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header24.xml" ContentType="application/vnd.openxmlformats-officedocument.wordprocessingml.header+xml"/>
  <Override PartName="/word/header25.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43.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0.xml" ContentType="application/vnd.openxmlformats-officedocument.wordprocessingml.header+xml"/>
  <Override PartName="/word/header51.xml" ContentType="application/vnd.openxmlformats-officedocument.wordprocessingml.header+xml"/>
  <Override PartName="/word/footer51.xml" ContentType="application/vnd.openxmlformats-officedocument.wordprocessingml.footer+xml"/>
  <Override PartName="/word/footer52.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3.xml" ContentType="application/vnd.openxmlformats-officedocument.wordprocessingml.footer+xml"/>
  <Override PartName="/word/header54.xml" ContentType="application/vnd.openxmlformats-officedocument.wordprocessingml.header+xml"/>
  <Override PartName="/word/header55.xml" ContentType="application/vnd.openxmlformats-officedocument.wordprocessingml.header+xml"/>
  <Override PartName="/word/footer54.xml" ContentType="application/vnd.openxmlformats-officedocument.wordprocessingml.footer+xml"/>
  <Override PartName="/word/footer55.xml" ContentType="application/vnd.openxmlformats-officedocument.wordprocessingml.footer+xml"/>
  <Override PartName="/word/header56.xml" ContentType="application/vnd.openxmlformats-officedocument.wordprocessingml.header+xml"/>
  <Override PartName="/word/header57.xml" ContentType="application/vnd.openxmlformats-officedocument.wordprocessingml.header+xml"/>
  <Override PartName="/word/footer56.xml" ContentType="application/vnd.openxmlformats-officedocument.wordprocessingml.footer+xml"/>
  <Override PartName="/word/footer57.xml" ContentType="application/vnd.openxmlformats-officedocument.wordprocessingml.footer+xml"/>
  <Override PartName="/word/header58.xml" ContentType="application/vnd.openxmlformats-officedocument.wordprocessingml.header+xml"/>
  <Override PartName="/word/footer58.xml" ContentType="application/vnd.openxmlformats-officedocument.wordprocessingml.footer+xml"/>
  <Override PartName="/word/header59.xml" ContentType="application/vnd.openxmlformats-officedocument.wordprocessingml.header+xml"/>
  <Override PartName="/word/header60.xml" ContentType="application/vnd.openxmlformats-officedocument.wordprocessingml.header+xml"/>
  <Override PartName="/word/footer59.xml" ContentType="application/vnd.openxmlformats-officedocument.wordprocessingml.footer+xml"/>
  <Override PartName="/word/footer60.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footer63.xml" ContentType="application/vnd.openxmlformats-officedocument.wordprocessingml.footer+xml"/>
  <Override PartName="/word/footer64.xml" ContentType="application/vnd.openxmlformats-officedocument.wordprocessingml.footer+xml"/>
  <Override PartName="/word/header65.xml" ContentType="application/vnd.openxmlformats-officedocument.wordprocessingml.header+xml"/>
  <Override PartName="/word/header66.xml" ContentType="application/vnd.openxmlformats-officedocument.wordprocessingml.header+xml"/>
  <Override PartName="/word/footer65.xml" ContentType="application/vnd.openxmlformats-officedocument.wordprocessingml.footer+xml"/>
  <Override PartName="/word/footer66.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footer69.xml" ContentType="application/vnd.openxmlformats-officedocument.wordprocessingml.footer+xml"/>
  <Override PartName="/word/footer70.xml" ContentType="application/vnd.openxmlformats-officedocument.wordprocessingml.footer+xml"/>
  <Override PartName="/word/header71.xml" ContentType="application/vnd.openxmlformats-officedocument.wordprocessingml.header+xml"/>
  <Override PartName="/word/header72.xml" ContentType="application/vnd.openxmlformats-officedocument.wordprocessingml.header+xml"/>
  <Override PartName="/word/footer71.xml" ContentType="application/vnd.openxmlformats-officedocument.wordprocessingml.footer+xml"/>
  <Override PartName="/word/footer72.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3.xml" ContentType="application/vnd.openxmlformats-officedocument.wordprocessingml.footer+xml"/>
  <Override PartName="/word/header75.xml" ContentType="application/vnd.openxmlformats-officedocument.wordprocessingml.header+xml"/>
  <Override PartName="/word/header76.xml" ContentType="application/vnd.openxmlformats-officedocument.wordprocessingml.header+xml"/>
  <Override PartName="/word/footer74.xml" ContentType="application/vnd.openxmlformats-officedocument.wordprocessingml.footer+xml"/>
  <Override PartName="/word/footer75.xml" ContentType="application/vnd.openxmlformats-officedocument.wordprocessingml.footer+xml"/>
  <Override PartName="/word/header77.xml" ContentType="application/vnd.openxmlformats-officedocument.wordprocessingml.header+xml"/>
  <Override PartName="/word/footer76.xml" ContentType="application/vnd.openxmlformats-officedocument.wordprocessingml.footer+xml"/>
  <Override PartName="/word/header78.xml" ContentType="application/vnd.openxmlformats-officedocument.wordprocessingml.header+xml"/>
  <Override PartName="/word/header79.xml" ContentType="application/vnd.openxmlformats-officedocument.wordprocessingml.header+xml"/>
  <Override PartName="/word/footer77.xml" ContentType="application/vnd.openxmlformats-officedocument.wordprocessingml.footer+xml"/>
  <Override PartName="/word/header80.xml" ContentType="application/vnd.openxmlformats-officedocument.wordprocessingml.header+xml"/>
  <Override PartName="/word/header81.xml" ContentType="application/vnd.openxmlformats-officedocument.wordprocessingml.header+xml"/>
  <Override PartName="/word/footer78.xml" ContentType="application/vnd.openxmlformats-officedocument.wordprocessingml.footer+xml"/>
  <Override PartName="/word/footer79.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44415675"/>
    <w:p w14:paraId="16CD535A" w14:textId="79B3E51E" w:rsidR="003F37CE" w:rsidRDefault="003F37CE" w:rsidP="003F37CE">
      <w:r>
        <w:rPr>
          <w:b/>
          <w:noProof/>
        </w:rPr>
        <mc:AlternateContent>
          <mc:Choice Requires="wps">
            <w:drawing>
              <wp:anchor distT="0" distB="0" distL="114300" distR="114300" simplePos="0" relativeHeight="251686912" behindDoc="0" locked="0" layoutInCell="1" allowOverlap="1" wp14:anchorId="4405A04F" wp14:editId="1BFF4221">
                <wp:simplePos x="0" y="0"/>
                <wp:positionH relativeFrom="column">
                  <wp:posOffset>-923925</wp:posOffset>
                </wp:positionH>
                <wp:positionV relativeFrom="paragraph">
                  <wp:posOffset>-964042</wp:posOffset>
                </wp:positionV>
                <wp:extent cx="2729552" cy="10153934"/>
                <wp:effectExtent l="0" t="0" r="0" b="0"/>
                <wp:wrapNone/>
                <wp:docPr id="112" name="Rectangle 1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29552" cy="10153934"/>
                        </a:xfrm>
                        <a:prstGeom prst="rect">
                          <a:avLst/>
                        </a:prstGeom>
                        <a:solidFill>
                          <a:srgbClr val="E6572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63B36053" id="Rectangle 112" o:spid="_x0000_s1026" alt="&quot;&quot;" style="position:absolute;margin-left:-72.75pt;margin-top:-75.9pt;width:214.95pt;height:799.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" fillcolor="#e65725" stroked="f" strokeweight="1pt"/>
            </w:pict>
          </mc:Fallback>
        </mc:AlternateContent>
      </w:r>
      <w:r w:rsidR="00CF618C">
        <w:t>tab</w:t>
      </w:r>
    </w:p>
    <w:p w14:paraId="680A18AB" w14:textId="26EB8E04" w:rsidR="003F37CE" w:rsidRPr="00E26466" w:rsidRDefault="003F37CE" w:rsidP="009B7AED">
      <w:pPr>
        <w:ind w:left="3600"/>
        <w:jc w:val="left"/>
        <w:rPr>
          <w:rFonts w:ascii="Arial Bold" w:hAnsi="Arial Bold" w:cs="Arial"/>
          <w:b/>
          <w:bCs/>
          <w:color w:val="E65725"/>
          <w:sz w:val="108"/>
          <w:szCs w:val="108"/>
        </w:rPr>
      </w:pPr>
      <w:r w:rsidRPr="00E26466">
        <w:rPr>
          <w:rFonts w:ascii="Arial Bold" w:hAnsi="Arial Bold" w:cs="Arial"/>
          <w:b/>
          <w:bCs/>
          <w:color w:val="E65725"/>
          <w:sz w:val="108"/>
          <w:szCs w:val="108"/>
        </w:rPr>
        <w:t>Traffic</w:t>
      </w:r>
      <w:r w:rsidR="009B7AED" w:rsidRPr="00E26466">
        <w:rPr>
          <w:rFonts w:ascii="Arial Bold" w:hAnsi="Arial Bold" w:cs="Arial"/>
          <w:b/>
          <w:bCs/>
          <w:color w:val="E65725"/>
          <w:sz w:val="108"/>
          <w:szCs w:val="108"/>
        </w:rPr>
        <w:br/>
      </w:r>
      <w:r w:rsidRPr="00E26466">
        <w:rPr>
          <w:rFonts w:ascii="Arial Bold" w:hAnsi="Arial Bold" w:cs="Arial"/>
          <w:b/>
          <w:bCs/>
          <w:color w:val="E65725"/>
          <w:sz w:val="108"/>
          <w:szCs w:val="108"/>
        </w:rPr>
        <w:t>Monitoring</w:t>
      </w:r>
      <w:r w:rsidR="009B7AED" w:rsidRPr="00E26466">
        <w:rPr>
          <w:rFonts w:ascii="Arial Bold" w:hAnsi="Arial Bold" w:cs="Arial"/>
          <w:b/>
          <w:bCs/>
          <w:color w:val="E65725"/>
          <w:sz w:val="108"/>
          <w:szCs w:val="108"/>
        </w:rPr>
        <w:br/>
      </w:r>
      <w:r w:rsidRPr="00E26466">
        <w:rPr>
          <w:rFonts w:ascii="Arial Bold" w:hAnsi="Arial Bold" w:cs="Arial"/>
          <w:b/>
          <w:bCs/>
          <w:color w:val="E65725"/>
          <w:sz w:val="108"/>
          <w:szCs w:val="108"/>
        </w:rPr>
        <w:t>Guide</w:t>
      </w:r>
    </w:p>
    <w:p w14:paraId="666152B4" w14:textId="6C18937A" w:rsidR="003F37CE" w:rsidRPr="0076651F" w:rsidRDefault="00640346" w:rsidP="003F37CE">
      <w:pPr>
        <w:pStyle w:val="Title3"/>
        <w:rPr>
          <w:sz w:val="96"/>
          <w:szCs w:val="96"/>
        </w:rPr>
      </w:pPr>
      <w:r w:rsidRPr="00420B9E">
        <w:rPr>
          <w:b/>
          <w:bCs w:val="0"/>
          <w:noProof/>
          <w:color w:val="005596"/>
          <w:sz w:val="52"/>
          <w:lang w:eastAsia="en-US"/>
        </w:rPr>
        <mc:AlternateContent>
          <mc:Choice Requires="wps">
            <w:drawing>
              <wp:anchor distT="0" distB="0" distL="114300" distR="114300" simplePos="0" relativeHeight="251688960" behindDoc="0" locked="0" layoutInCell="1" allowOverlap="1" wp14:anchorId="0BB5DBF7" wp14:editId="3AB182EF">
                <wp:simplePos x="0" y="0"/>
                <wp:positionH relativeFrom="column">
                  <wp:posOffset>-3361372</wp:posOffset>
                </wp:positionH>
                <wp:positionV relativeFrom="paragraph">
                  <wp:posOffset>864929</wp:posOffset>
                </wp:positionV>
                <wp:extent cx="9692640" cy="1403985"/>
                <wp:effectExtent l="0" t="4763" r="0" b="0"/>
                <wp:wrapNone/>
                <wp:docPr id="30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9692640" cy="1403985"/>
                        </a:xfrm>
                        <a:prstGeom prst="rect">
                          <a:avLst/>
                        </a:prstGeom>
                        <a:solidFill>
                          <a:srgbClr val="E65725"/>
                        </a:solidFill>
                        <a:ln w="9525">
                          <a:noFill/>
                          <a:miter lim="800000"/>
                          <a:headEnd/>
                          <a:tailEnd/>
                        </a:ln>
                      </wps:spPr>
                      <wps:txbx>
                        <w:txbxContent>
                          <w:p w14:paraId="34D6281B" w14:textId="77777777" w:rsidR="00E30324" w:rsidRPr="00DC4F16" w:rsidRDefault="00E30324" w:rsidP="003F37CE">
                            <w:pPr>
                              <w:rPr>
                                <w:color w:val="FFFFFF" w:themeColor="background1"/>
                                <w:sz w:val="64"/>
                                <w:szCs w:val="64"/>
                              </w:rPr>
                            </w:pPr>
                            <w:r w:rsidRPr="00DC4F16">
                              <w:rPr>
                                <w:color w:val="FFFFFF" w:themeColor="background1"/>
                                <w:sz w:val="64"/>
                                <w:szCs w:val="64"/>
                              </w:rPr>
                              <w:t>Federal Highway Administration Traffic Monitoring Guide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oel="http://schemas.microsoft.com/office/2019/extlst">
            <w:pict>
              <v:shapetype w14:anchorId="0BB5DBF7" id="_x0000_t202" coordsize="21600,21600" o:spt="202" path="m,l,21600r21600,l21600,xe">
                <v:stroke joinstyle="miter"/>
                <v:path gradientshapeok="t" o:connecttype="rect"/>
              </v:shapetype>
              <v:shape id="Text Box 2" o:spid="_x0000_s1026" type="#_x0000_t202" alt="&quot;&quot;" style="position:absolute;margin-left:-264.65pt;margin-top:68.1pt;width:763.2pt;height:110.55pt;rotation:-90;z-index:2516889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" fillcolor="#e65725" stroked="f">
                <v:textbox style="mso-fit-shape-to-text:t">
                  <w:txbxContent>
                    <w:p w14:paraId="34D6281B" w14:textId="77777777" w:rsidR="00E30324" w:rsidRPr="00DC4F16" w:rsidRDefault="00E30324" w:rsidP="003F37CE">
                      <w:pPr>
                        <w:rPr>
                          <w:color w:val="FFFFFF" w:themeColor="background1"/>
                          <w:sz w:val="64"/>
                          <w:szCs w:val="64"/>
                        </w:rPr>
                      </w:pPr>
                      <w:r w:rsidRPr="00DC4F16">
                        <w:rPr>
                          <w:color w:val="FFFFFF" w:themeColor="background1"/>
                          <w:sz w:val="64"/>
                          <w:szCs w:val="64"/>
                        </w:rPr>
                        <w:t>Federal Highway Administration Traffic Monitoring Guide</w:t>
                      </w:r>
                    </w:p>
                  </w:txbxContent>
                </v:textbox>
              </v:shape>
            </w:pict>
          </mc:Fallback>
        </mc:AlternateContent>
      </w:r>
    </w:p>
    <w:p w14:paraId="3EAEA386" w14:textId="6C935B0B" w:rsidR="003F37CE" w:rsidRDefault="003F37CE" w:rsidP="003F37CE">
      <w:pPr>
        <w:pStyle w:val="Title3"/>
      </w:pPr>
    </w:p>
    <w:p w14:paraId="4CC4273E" w14:textId="77777777" w:rsidR="003F37CE" w:rsidRDefault="003F37CE" w:rsidP="003F37CE">
      <w:pPr>
        <w:pStyle w:val="Title3"/>
      </w:pPr>
    </w:p>
    <w:p w14:paraId="1C224E04" w14:textId="0FB90B39" w:rsidR="003F37CE" w:rsidRPr="0076651F" w:rsidRDefault="006C17FD" w:rsidP="003F37CE">
      <w:pPr>
        <w:pStyle w:val="Title3"/>
        <w:ind w:left="2880" w:firstLine="720"/>
        <w:rPr>
          <w:sz w:val="36"/>
          <w:szCs w:val="36"/>
        </w:rPr>
      </w:pPr>
      <w:r>
        <w:rPr>
          <w:sz w:val="36"/>
          <w:szCs w:val="36"/>
        </w:rPr>
        <w:t>Dec</w:t>
      </w:r>
      <w:r w:rsidR="00FA6CD4">
        <w:rPr>
          <w:sz w:val="36"/>
          <w:szCs w:val="36"/>
        </w:rPr>
        <w:t>ember</w:t>
      </w:r>
      <w:r w:rsidR="00DC4F16">
        <w:rPr>
          <w:sz w:val="36"/>
          <w:szCs w:val="36"/>
        </w:rPr>
        <w:t xml:space="preserve"> </w:t>
      </w:r>
      <w:r w:rsidR="003F37CE" w:rsidRPr="0076651F">
        <w:rPr>
          <w:sz w:val="36"/>
          <w:szCs w:val="36"/>
        </w:rPr>
        <w:t>202</w:t>
      </w:r>
      <w:r w:rsidR="006D27E1">
        <w:rPr>
          <w:sz w:val="36"/>
          <w:szCs w:val="36"/>
        </w:rPr>
        <w:t>2</w:t>
      </w:r>
    </w:p>
    <w:p w14:paraId="6B17B6C8" w14:textId="48ED9CB2" w:rsidR="003F37CE" w:rsidRPr="0069543A" w:rsidRDefault="003F37CE" w:rsidP="003F37CE">
      <w:pPr>
        <w:rPr>
          <w:lang w:eastAsia="zh-TW"/>
        </w:rPr>
      </w:pPr>
    </w:p>
    <w:p w14:paraId="07CC13DD" w14:textId="5507BCC9" w:rsidR="003F37CE" w:rsidRDefault="003F37CE" w:rsidP="003F37CE">
      <w:pPr>
        <w:rPr>
          <w:lang w:eastAsia="zh-TW"/>
        </w:rPr>
      </w:pPr>
    </w:p>
    <w:p w14:paraId="3B22CCD8" w14:textId="4B461ACC" w:rsidR="003F37CE" w:rsidRDefault="003F37CE" w:rsidP="003F37CE">
      <w:pPr>
        <w:rPr>
          <w:lang w:eastAsia="zh-TW"/>
        </w:rPr>
      </w:pPr>
    </w:p>
    <w:p w14:paraId="41193FDA" w14:textId="61E01F73" w:rsidR="003F37CE" w:rsidRDefault="003F37CE" w:rsidP="003F37CE">
      <w:pPr>
        <w:rPr>
          <w:lang w:eastAsia="zh-TW"/>
        </w:rPr>
      </w:pPr>
    </w:p>
    <w:p w14:paraId="00B36FAE" w14:textId="31057E28" w:rsidR="003F37CE" w:rsidRDefault="003F37CE" w:rsidP="003F37CE">
      <w:pPr>
        <w:rPr>
          <w:lang w:eastAsia="zh-TW"/>
        </w:rPr>
      </w:pPr>
    </w:p>
    <w:p w14:paraId="7ED025BF" w14:textId="4AD56CC8" w:rsidR="003F37CE" w:rsidRDefault="003F37CE" w:rsidP="003F37CE">
      <w:pPr>
        <w:rPr>
          <w:lang w:eastAsia="zh-TW"/>
        </w:rPr>
      </w:pPr>
    </w:p>
    <w:p w14:paraId="124511CB" w14:textId="391DC2B9" w:rsidR="003F37CE" w:rsidRDefault="003F37CE" w:rsidP="003F37CE">
      <w:pPr>
        <w:rPr>
          <w:lang w:eastAsia="zh-TW"/>
        </w:rPr>
      </w:pPr>
    </w:p>
    <w:p w14:paraId="7EC84C12" w14:textId="13D0ABD4" w:rsidR="003F37CE" w:rsidRPr="0069543A" w:rsidRDefault="003F37CE" w:rsidP="003F37CE">
      <w:pPr>
        <w:rPr>
          <w:lang w:eastAsia="zh-TW"/>
        </w:rPr>
      </w:pPr>
    </w:p>
    <w:p w14:paraId="651B38A3" w14:textId="0B89A0AB" w:rsidR="003F37CE" w:rsidRDefault="003F37CE" w:rsidP="003F37CE">
      <w:pPr>
        <w:rPr>
          <w:lang w:eastAsia="zh-TW"/>
        </w:rPr>
      </w:pPr>
    </w:p>
    <w:p w14:paraId="6058A6D8" w14:textId="01033093" w:rsidR="003F37CE" w:rsidRPr="0069543A" w:rsidRDefault="003F37CE" w:rsidP="003F37CE">
      <w:pPr>
        <w:rPr>
          <w:lang w:eastAsia="zh-TW"/>
        </w:rPr>
        <w:sectPr w:rsidR="003F37CE" w:rsidRPr="0069543A" w:rsidSect="003C28DA">
          <w:footerReference w:type="even" r:id="rId11"/>
          <w:footerReference w:type="first" r:id="rId12"/>
          <w:pgSz w:w="12240" w:h="15840" w:code="1"/>
          <w:pgMar w:top="1440" w:right="1440" w:bottom="1152" w:left="1440" w:header="720" w:footer="576" w:gutter="0"/>
          <w:cols w:space="720"/>
          <w:titlePg/>
          <w:docGrid w:linePitch="360"/>
        </w:sectPr>
      </w:pPr>
    </w:p>
    <w:p w14:paraId="347D8E8F" w14:textId="39E56AE8" w:rsidR="00E27E9A" w:rsidRDefault="0098117D" w:rsidP="003F37CE">
      <w:pPr>
        <w:pStyle w:val="Title3"/>
        <w:jc w:val="center"/>
        <w:rPr>
          <w:b/>
        </w:rPr>
        <w:sectPr w:rsidR="00E27E9A" w:rsidSect="003C28DA">
          <w:footerReference w:type="default" r:id="rId13"/>
          <w:type w:val="continuous"/>
          <w:pgSz w:w="12240" w:h="15840" w:code="1"/>
          <w:pgMar w:top="1440" w:right="1440" w:bottom="1152" w:left="1440" w:header="720" w:footer="576" w:gutter="0"/>
          <w:pgNumType w:start="1" w:chapStyle="1"/>
          <w:cols w:space="720"/>
        </w:sectPr>
      </w:pPr>
      <w:r>
        <w:rPr>
          <w:noProof/>
        </w:rPr>
        <w:drawing>
          <wp:anchor distT="0" distB="0" distL="114300" distR="114300" simplePos="0" relativeHeight="251739136" behindDoc="0" locked="0" layoutInCell="1" allowOverlap="1" wp14:anchorId="13DEE64F" wp14:editId="2A989ECB">
            <wp:simplePos x="0" y="0"/>
            <wp:positionH relativeFrom="column">
              <wp:posOffset>2242185</wp:posOffset>
            </wp:positionH>
            <wp:positionV relativeFrom="paragraph">
              <wp:posOffset>594880</wp:posOffset>
            </wp:positionV>
            <wp:extent cx="3663950" cy="1603375"/>
            <wp:effectExtent l="0" t="0" r="0" b="0"/>
            <wp:wrapSquare wrapText="bothSides"/>
            <wp:docPr id="35871" name="Picture 358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71" name="Picture 35871">
                      <a:extLst>
                        <a:ext uri="{C183D7F6-B498-43B3-948B-1728B52AA6E4}">
                          <adec:decorative xmlns:adec="http://schemas.microsoft.com/office/drawing/2017/decorative" val="1"/>
                        </a:ext>
                      </a:extLs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63950" cy="1603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740B35" w14:textId="2A08F988" w:rsidR="003F37CE" w:rsidRPr="00331662" w:rsidRDefault="003F37CE" w:rsidP="00E27E9A">
      <w:pPr>
        <w:pStyle w:val="Title3"/>
        <w:spacing w:before="0" w:after="120"/>
        <w:jc w:val="center"/>
        <w:rPr>
          <w:b/>
        </w:rPr>
      </w:pPr>
      <w:r w:rsidRPr="00331662">
        <w:rPr>
          <w:b/>
        </w:rPr>
        <w:lastRenderedPageBreak/>
        <w:t>Notice</w:t>
      </w:r>
    </w:p>
    <w:p w14:paraId="31B70C2D" w14:textId="5A687B23" w:rsidR="003F37CE" w:rsidRPr="00331662" w:rsidRDefault="003F37CE" w:rsidP="00A35EAF">
      <w:pPr>
        <w:pStyle w:val="BodyText"/>
      </w:pPr>
      <w:r w:rsidRPr="00690F2E">
        <w:rPr>
          <w:rFonts w:cs="Arial"/>
        </w:rPr>
        <w:t>The United States</w:t>
      </w:r>
      <w:r w:rsidRPr="00331662">
        <w:t xml:space="preserve"> Government does not endorse products </w:t>
      </w:r>
      <w:r w:rsidRPr="00690F2E">
        <w:rPr>
          <w:rFonts w:cs="Arial"/>
        </w:rPr>
        <w:t>or</w:t>
      </w:r>
      <w:r w:rsidRPr="00331662">
        <w:t xml:space="preserve"> manufacturers.</w:t>
      </w:r>
      <w:r w:rsidR="004D4172">
        <w:t xml:space="preserve"> </w:t>
      </w:r>
      <w:r w:rsidRPr="00690F2E">
        <w:rPr>
          <w:rFonts w:cs="Arial"/>
        </w:rPr>
        <w:t>Trade and</w:t>
      </w:r>
      <w:r w:rsidRPr="00331662">
        <w:t xml:space="preserve"> manufacturers’ names appear in this report only because they are considered essential to the </w:t>
      </w:r>
      <w:r w:rsidRPr="00690F2E">
        <w:rPr>
          <w:rFonts w:cs="Arial"/>
        </w:rPr>
        <w:t>object</w:t>
      </w:r>
      <w:r w:rsidRPr="00331662">
        <w:t xml:space="preserve"> of the document.</w:t>
      </w:r>
    </w:p>
    <w:p w14:paraId="565AF443" w14:textId="77777777" w:rsidR="003F37CE" w:rsidRPr="00331662" w:rsidRDefault="003F37CE" w:rsidP="00E27E9A">
      <w:pPr>
        <w:pStyle w:val="Title3"/>
        <w:spacing w:after="120"/>
        <w:jc w:val="center"/>
        <w:rPr>
          <w:b/>
        </w:rPr>
      </w:pPr>
      <w:r w:rsidRPr="00331662">
        <w:rPr>
          <w:b/>
        </w:rPr>
        <w:t>Quality Assurance Statement</w:t>
      </w:r>
    </w:p>
    <w:p w14:paraId="1341E18F" w14:textId="1D73D757" w:rsidR="00163ED5" w:rsidRDefault="003F37CE" w:rsidP="00A35EAF">
      <w:pPr>
        <w:pStyle w:val="BodyText"/>
        <w:sectPr w:rsidR="00163ED5" w:rsidSect="004F6DDF">
          <w:footerReference w:type="default" r:id="rId15"/>
          <w:pgSz w:w="12240" w:h="15840" w:code="1"/>
          <w:pgMar w:top="1440" w:right="1440" w:bottom="1152" w:left="1440" w:header="720" w:footer="576" w:gutter="0"/>
          <w:pgNumType w:start="1"/>
          <w:cols w:space="720"/>
          <w:vAlign w:val="center"/>
        </w:sectPr>
      </w:pPr>
      <w:r w:rsidRPr="00A35EAF">
        <w:t>The Federal Highway Administration (FHWA) provides high-quality information to serve Government, industry, and the public in a manner that promotes public understanding.</w:t>
      </w:r>
      <w:r w:rsidR="004D4172">
        <w:t xml:space="preserve"> </w:t>
      </w:r>
      <w:r w:rsidRPr="00A35EAF">
        <w:t>Standards and policies are used to ensure and maximize the quality, objectivity, utility, and integrity of its information.</w:t>
      </w:r>
      <w:r w:rsidR="004D4172">
        <w:t xml:space="preserve"> </w:t>
      </w:r>
      <w:r w:rsidRPr="00A35EAF">
        <w:t>FHWA periodically reviews quality issues and adjusts its programs and processes to ensure continuous quality improvement.</w:t>
      </w:r>
    </w:p>
    <w:p w14:paraId="3024C4B6" w14:textId="2013ED80" w:rsidR="00951F5E" w:rsidRPr="00871F71" w:rsidRDefault="00951F5E" w:rsidP="00871F71">
      <w:pPr>
        <w:pStyle w:val="TOCHeading"/>
        <w:spacing w:before="0" w:line="240" w:lineRule="auto"/>
        <w:rPr>
          <w:rFonts w:ascii="Cambria" w:hAnsi="Cambria"/>
          <w:color w:val="auto"/>
        </w:rPr>
      </w:pPr>
      <w:r w:rsidRPr="00871F71">
        <w:rPr>
          <w:rFonts w:ascii="Cambria" w:hAnsi="Cambria"/>
          <w:color w:val="auto"/>
        </w:rPr>
        <w:lastRenderedPageBreak/>
        <w:t>Table of Contents</w:t>
      </w:r>
    </w:p>
    <w:p w14:paraId="378B1AE5" w14:textId="37AF0DDD" w:rsidR="00B2059E" w:rsidRPr="009E43D6" w:rsidRDefault="00B2059E" w:rsidP="00B2059E">
      <w:pPr>
        <w:jc w:val="right"/>
        <w:rPr>
          <w:rFonts w:ascii="Cambria" w:hAnsi="Cambria"/>
        </w:rPr>
      </w:pPr>
      <w:r w:rsidRPr="009E43D6">
        <w:rPr>
          <w:rFonts w:ascii="Cambria" w:hAnsi="Cambria"/>
        </w:rPr>
        <w:t>Page</w:t>
      </w:r>
    </w:p>
    <w:p w14:paraId="774FCC0F" w14:textId="697A8146" w:rsidR="00D6698F" w:rsidRDefault="00754259">
      <w:pPr>
        <w:pStyle w:val="TOC1"/>
        <w:rPr>
          <w:rFonts w:asciiTheme="minorHAnsi" w:eastAsiaTheme="minorEastAsia" w:hAnsiTheme="minorHAnsi" w:cstheme="minorBidi"/>
          <w:b w:val="0"/>
          <w:color w:val="auto"/>
          <w:sz w:val="22"/>
          <w:szCs w:val="22"/>
        </w:rPr>
      </w:pPr>
      <w:r>
        <w:fldChar w:fldCharType="begin"/>
      </w:r>
      <w:r>
        <w:instrText xml:space="preserve"> TOC \h \z \t "Heading 1,1,Heading 2,2,Heading 3,3,Heading 4,4,Heading 5,1,Heading 6,2" </w:instrText>
      </w:r>
      <w:r>
        <w:fldChar w:fldCharType="separate"/>
      </w:r>
      <w:hyperlink w:anchor="_Toc118205540" w:history="1">
        <w:r w:rsidR="00D6698F" w:rsidRPr="00E92ABE">
          <w:rPr>
            <w:rStyle w:val="Hyperlink"/>
          </w:rPr>
          <w:t>Acronyms and Definitions</w:t>
        </w:r>
        <w:r w:rsidR="00D6698F">
          <w:rPr>
            <w:webHidden/>
          </w:rPr>
          <w:tab/>
        </w:r>
        <w:r w:rsidR="00D6698F">
          <w:rPr>
            <w:webHidden/>
          </w:rPr>
          <w:fldChar w:fldCharType="begin"/>
        </w:r>
        <w:r w:rsidR="00D6698F">
          <w:rPr>
            <w:webHidden/>
          </w:rPr>
          <w:instrText xml:space="preserve"> PAGEREF _Toc118205540 \h </w:instrText>
        </w:r>
        <w:r w:rsidR="00D6698F">
          <w:rPr>
            <w:webHidden/>
          </w:rPr>
        </w:r>
        <w:r w:rsidR="00D6698F">
          <w:rPr>
            <w:webHidden/>
          </w:rPr>
          <w:fldChar w:fldCharType="separate"/>
        </w:r>
        <w:r w:rsidR="00C07DF9">
          <w:rPr>
            <w:webHidden/>
          </w:rPr>
          <w:t>x</w:t>
        </w:r>
        <w:r w:rsidR="00D6698F">
          <w:rPr>
            <w:webHidden/>
          </w:rPr>
          <w:fldChar w:fldCharType="end"/>
        </w:r>
      </w:hyperlink>
    </w:p>
    <w:p w14:paraId="4B545582" w14:textId="066BCBD9" w:rsidR="00D6698F" w:rsidRDefault="00464453">
      <w:pPr>
        <w:pStyle w:val="TOC1"/>
        <w:rPr>
          <w:rFonts w:asciiTheme="minorHAnsi" w:eastAsiaTheme="minorEastAsia" w:hAnsiTheme="minorHAnsi" w:cstheme="minorBidi"/>
          <w:b w:val="0"/>
          <w:color w:val="auto"/>
          <w:sz w:val="22"/>
          <w:szCs w:val="22"/>
        </w:rPr>
      </w:pPr>
      <w:hyperlink w:anchor="_Toc118205541" w:history="1">
        <w:r w:rsidR="00D6698F" w:rsidRPr="00E92ABE">
          <w:rPr>
            <w:rStyle w:val="Hyperlink"/>
          </w:rPr>
          <w:t>Traffic Monitoring Guide Executive Summary</w:t>
        </w:r>
        <w:r w:rsidR="00D6698F">
          <w:rPr>
            <w:webHidden/>
          </w:rPr>
          <w:tab/>
          <w:t>ES-</w:t>
        </w:r>
        <w:r w:rsidR="00D6698F">
          <w:rPr>
            <w:webHidden/>
          </w:rPr>
          <w:fldChar w:fldCharType="begin"/>
        </w:r>
        <w:r w:rsidR="00D6698F">
          <w:rPr>
            <w:webHidden/>
          </w:rPr>
          <w:instrText xml:space="preserve"> PAGEREF _Toc118205541 \h </w:instrText>
        </w:r>
        <w:r w:rsidR="00D6698F">
          <w:rPr>
            <w:webHidden/>
          </w:rPr>
        </w:r>
        <w:r w:rsidR="00D6698F">
          <w:rPr>
            <w:webHidden/>
          </w:rPr>
          <w:fldChar w:fldCharType="separate"/>
        </w:r>
        <w:r w:rsidR="00C07DF9">
          <w:rPr>
            <w:webHidden/>
          </w:rPr>
          <w:t>1</w:t>
        </w:r>
        <w:r w:rsidR="00D6698F">
          <w:rPr>
            <w:webHidden/>
          </w:rPr>
          <w:fldChar w:fldCharType="end"/>
        </w:r>
      </w:hyperlink>
    </w:p>
    <w:p w14:paraId="7D613204" w14:textId="4B3728C0" w:rsidR="00D6698F" w:rsidRDefault="00464453" w:rsidP="00D6698F">
      <w:pPr>
        <w:pStyle w:val="TOC2"/>
        <w:rPr>
          <w:rFonts w:asciiTheme="minorHAnsi" w:eastAsiaTheme="minorEastAsia" w:hAnsiTheme="minorHAnsi" w:cstheme="minorBidi"/>
          <w:sz w:val="22"/>
        </w:rPr>
      </w:pPr>
      <w:hyperlink w:anchor="_Toc118205542" w:history="1">
        <w:r w:rsidR="00D6698F" w:rsidRPr="00E92ABE">
          <w:rPr>
            <w:rStyle w:val="Hyperlink"/>
          </w:rPr>
          <w:t>ES.1</w:t>
        </w:r>
        <w:r w:rsidR="00D6698F">
          <w:rPr>
            <w:rFonts w:asciiTheme="minorHAnsi" w:eastAsiaTheme="minorEastAsia" w:hAnsiTheme="minorHAnsi" w:cstheme="minorBidi"/>
            <w:sz w:val="22"/>
          </w:rPr>
          <w:tab/>
        </w:r>
        <w:r w:rsidR="00D6698F" w:rsidRPr="00E92ABE">
          <w:rPr>
            <w:rStyle w:val="Hyperlink"/>
          </w:rPr>
          <w:t>Background</w:t>
        </w:r>
        <w:r w:rsidR="00D6698F">
          <w:rPr>
            <w:webHidden/>
          </w:rPr>
          <w:tab/>
          <w:t>ES-</w:t>
        </w:r>
        <w:r w:rsidR="00D6698F">
          <w:rPr>
            <w:webHidden/>
          </w:rPr>
          <w:fldChar w:fldCharType="begin"/>
        </w:r>
        <w:r w:rsidR="00D6698F">
          <w:rPr>
            <w:webHidden/>
          </w:rPr>
          <w:instrText xml:space="preserve"> PAGEREF _Toc118205542 \h </w:instrText>
        </w:r>
        <w:r w:rsidR="00D6698F">
          <w:rPr>
            <w:webHidden/>
          </w:rPr>
        </w:r>
        <w:r w:rsidR="00D6698F">
          <w:rPr>
            <w:webHidden/>
          </w:rPr>
          <w:fldChar w:fldCharType="separate"/>
        </w:r>
        <w:r w:rsidR="00C07DF9">
          <w:rPr>
            <w:webHidden/>
          </w:rPr>
          <w:t>1</w:t>
        </w:r>
        <w:r w:rsidR="00D6698F">
          <w:rPr>
            <w:webHidden/>
          </w:rPr>
          <w:fldChar w:fldCharType="end"/>
        </w:r>
      </w:hyperlink>
    </w:p>
    <w:p w14:paraId="14C8C2D6" w14:textId="7FF2AF13" w:rsidR="00D6698F" w:rsidRDefault="00464453" w:rsidP="00D6698F">
      <w:pPr>
        <w:pStyle w:val="TOC2"/>
        <w:rPr>
          <w:rFonts w:asciiTheme="minorHAnsi" w:eastAsiaTheme="minorEastAsia" w:hAnsiTheme="minorHAnsi" w:cstheme="minorBidi"/>
          <w:sz w:val="22"/>
        </w:rPr>
      </w:pPr>
      <w:hyperlink w:anchor="_Toc118205543" w:history="1">
        <w:r w:rsidR="00D6698F" w:rsidRPr="00E92ABE">
          <w:rPr>
            <w:rStyle w:val="Hyperlink"/>
          </w:rPr>
          <w:t>ES.2</w:t>
        </w:r>
        <w:r w:rsidR="00D6698F">
          <w:rPr>
            <w:rFonts w:asciiTheme="minorHAnsi" w:eastAsiaTheme="minorEastAsia" w:hAnsiTheme="minorHAnsi" w:cstheme="minorBidi"/>
            <w:sz w:val="22"/>
          </w:rPr>
          <w:tab/>
        </w:r>
        <w:r w:rsidR="00D6698F" w:rsidRPr="00E92ABE">
          <w:rPr>
            <w:rStyle w:val="Hyperlink"/>
          </w:rPr>
          <w:t>Scope</w:t>
        </w:r>
        <w:r w:rsidR="00D6698F">
          <w:rPr>
            <w:webHidden/>
          </w:rPr>
          <w:tab/>
          <w:t>ES-</w:t>
        </w:r>
        <w:r w:rsidR="00D6698F">
          <w:rPr>
            <w:webHidden/>
          </w:rPr>
          <w:fldChar w:fldCharType="begin"/>
        </w:r>
        <w:r w:rsidR="00D6698F">
          <w:rPr>
            <w:webHidden/>
          </w:rPr>
          <w:instrText xml:space="preserve"> PAGEREF _Toc118205543 \h </w:instrText>
        </w:r>
        <w:r w:rsidR="00D6698F">
          <w:rPr>
            <w:webHidden/>
          </w:rPr>
        </w:r>
        <w:r w:rsidR="00D6698F">
          <w:rPr>
            <w:webHidden/>
          </w:rPr>
          <w:fldChar w:fldCharType="separate"/>
        </w:r>
        <w:r w:rsidR="00C07DF9">
          <w:rPr>
            <w:webHidden/>
          </w:rPr>
          <w:t>1</w:t>
        </w:r>
        <w:r w:rsidR="00D6698F">
          <w:rPr>
            <w:webHidden/>
          </w:rPr>
          <w:fldChar w:fldCharType="end"/>
        </w:r>
      </w:hyperlink>
    </w:p>
    <w:p w14:paraId="74E7371F" w14:textId="7CFAC387" w:rsidR="00D6698F" w:rsidRDefault="00464453" w:rsidP="00D6698F">
      <w:pPr>
        <w:pStyle w:val="TOC2"/>
        <w:rPr>
          <w:rFonts w:asciiTheme="minorHAnsi" w:eastAsiaTheme="minorEastAsia" w:hAnsiTheme="minorHAnsi" w:cstheme="minorBidi"/>
          <w:sz w:val="22"/>
        </w:rPr>
      </w:pPr>
      <w:hyperlink w:anchor="_Toc118205544" w:history="1">
        <w:r w:rsidR="00D6698F" w:rsidRPr="00E92ABE">
          <w:rPr>
            <w:rStyle w:val="Hyperlink"/>
          </w:rPr>
          <w:t>ES.3</w:t>
        </w:r>
        <w:r w:rsidR="00D6698F">
          <w:rPr>
            <w:rFonts w:asciiTheme="minorHAnsi" w:eastAsiaTheme="minorEastAsia" w:hAnsiTheme="minorHAnsi" w:cstheme="minorBidi"/>
            <w:sz w:val="22"/>
          </w:rPr>
          <w:tab/>
        </w:r>
        <w:r w:rsidR="00D6698F" w:rsidRPr="00E92ABE">
          <w:rPr>
            <w:rStyle w:val="Hyperlink"/>
          </w:rPr>
          <w:t>Users</w:t>
        </w:r>
        <w:r w:rsidR="00D6698F">
          <w:rPr>
            <w:webHidden/>
          </w:rPr>
          <w:tab/>
          <w:t>ES-</w:t>
        </w:r>
        <w:r w:rsidR="00D6698F">
          <w:rPr>
            <w:webHidden/>
          </w:rPr>
          <w:fldChar w:fldCharType="begin"/>
        </w:r>
        <w:r w:rsidR="00D6698F">
          <w:rPr>
            <w:webHidden/>
          </w:rPr>
          <w:instrText xml:space="preserve"> PAGEREF _Toc118205544 \h </w:instrText>
        </w:r>
        <w:r w:rsidR="00D6698F">
          <w:rPr>
            <w:webHidden/>
          </w:rPr>
        </w:r>
        <w:r w:rsidR="00D6698F">
          <w:rPr>
            <w:webHidden/>
          </w:rPr>
          <w:fldChar w:fldCharType="separate"/>
        </w:r>
        <w:r w:rsidR="00C07DF9">
          <w:rPr>
            <w:webHidden/>
          </w:rPr>
          <w:t>1</w:t>
        </w:r>
        <w:r w:rsidR="00D6698F">
          <w:rPr>
            <w:webHidden/>
          </w:rPr>
          <w:fldChar w:fldCharType="end"/>
        </w:r>
      </w:hyperlink>
    </w:p>
    <w:p w14:paraId="653AA6FB" w14:textId="76A806D5" w:rsidR="00D6698F" w:rsidRDefault="00464453" w:rsidP="00D6698F">
      <w:pPr>
        <w:pStyle w:val="TOC2"/>
        <w:rPr>
          <w:rFonts w:asciiTheme="minorHAnsi" w:eastAsiaTheme="minorEastAsia" w:hAnsiTheme="minorHAnsi" w:cstheme="minorBidi"/>
          <w:sz w:val="22"/>
        </w:rPr>
      </w:pPr>
      <w:hyperlink w:anchor="_Toc118205545" w:history="1">
        <w:r w:rsidR="00D6698F" w:rsidRPr="00E92ABE">
          <w:rPr>
            <w:rStyle w:val="Hyperlink"/>
          </w:rPr>
          <w:t>ES.4</w:t>
        </w:r>
        <w:r w:rsidR="00D6698F">
          <w:rPr>
            <w:rFonts w:asciiTheme="minorHAnsi" w:eastAsiaTheme="minorEastAsia" w:hAnsiTheme="minorHAnsi" w:cstheme="minorBidi"/>
            <w:sz w:val="22"/>
          </w:rPr>
          <w:tab/>
        </w:r>
        <w:r w:rsidR="00D6698F" w:rsidRPr="00E92ABE">
          <w:rPr>
            <w:rStyle w:val="Hyperlink"/>
          </w:rPr>
          <w:t>Manual Organization</w:t>
        </w:r>
        <w:r w:rsidR="00D6698F">
          <w:rPr>
            <w:webHidden/>
          </w:rPr>
          <w:tab/>
          <w:t>ES-</w:t>
        </w:r>
        <w:r w:rsidR="00D6698F">
          <w:rPr>
            <w:webHidden/>
          </w:rPr>
          <w:fldChar w:fldCharType="begin"/>
        </w:r>
        <w:r w:rsidR="00D6698F">
          <w:rPr>
            <w:webHidden/>
          </w:rPr>
          <w:instrText xml:space="preserve"> PAGEREF _Toc118205545 \h </w:instrText>
        </w:r>
        <w:r w:rsidR="00D6698F">
          <w:rPr>
            <w:webHidden/>
          </w:rPr>
        </w:r>
        <w:r w:rsidR="00D6698F">
          <w:rPr>
            <w:webHidden/>
          </w:rPr>
          <w:fldChar w:fldCharType="separate"/>
        </w:r>
        <w:r w:rsidR="00C07DF9">
          <w:rPr>
            <w:webHidden/>
          </w:rPr>
          <w:t>2</w:t>
        </w:r>
        <w:r w:rsidR="00D6698F">
          <w:rPr>
            <w:webHidden/>
          </w:rPr>
          <w:fldChar w:fldCharType="end"/>
        </w:r>
      </w:hyperlink>
    </w:p>
    <w:p w14:paraId="1624DBCE" w14:textId="1E8DA704" w:rsidR="00D6698F" w:rsidRDefault="00464453" w:rsidP="00D6698F">
      <w:pPr>
        <w:pStyle w:val="TOC2"/>
        <w:rPr>
          <w:rFonts w:asciiTheme="minorHAnsi" w:eastAsiaTheme="minorEastAsia" w:hAnsiTheme="minorHAnsi" w:cstheme="minorBidi"/>
          <w:sz w:val="22"/>
        </w:rPr>
      </w:pPr>
      <w:hyperlink w:anchor="_Toc118205546" w:history="1">
        <w:r w:rsidR="00D6698F" w:rsidRPr="00E92ABE">
          <w:rPr>
            <w:rStyle w:val="Hyperlink"/>
          </w:rPr>
          <w:t>ES.5</w:t>
        </w:r>
        <w:r w:rsidR="00D6698F">
          <w:rPr>
            <w:rFonts w:asciiTheme="minorHAnsi" w:eastAsiaTheme="minorEastAsia" w:hAnsiTheme="minorHAnsi" w:cstheme="minorBidi"/>
            <w:sz w:val="22"/>
          </w:rPr>
          <w:tab/>
        </w:r>
        <w:r w:rsidR="00D6698F" w:rsidRPr="00E92ABE">
          <w:rPr>
            <w:rStyle w:val="Hyperlink"/>
          </w:rPr>
          <w:t>Supporting Information – Appendices Overview</w:t>
        </w:r>
        <w:r w:rsidR="00D6698F">
          <w:rPr>
            <w:webHidden/>
          </w:rPr>
          <w:tab/>
          <w:t>ES-</w:t>
        </w:r>
        <w:r w:rsidR="00D6698F">
          <w:rPr>
            <w:webHidden/>
          </w:rPr>
          <w:fldChar w:fldCharType="begin"/>
        </w:r>
        <w:r w:rsidR="00D6698F">
          <w:rPr>
            <w:webHidden/>
          </w:rPr>
          <w:instrText xml:space="preserve"> PAGEREF _Toc118205546 \h </w:instrText>
        </w:r>
        <w:r w:rsidR="00D6698F">
          <w:rPr>
            <w:webHidden/>
          </w:rPr>
        </w:r>
        <w:r w:rsidR="00D6698F">
          <w:rPr>
            <w:webHidden/>
          </w:rPr>
          <w:fldChar w:fldCharType="separate"/>
        </w:r>
        <w:r w:rsidR="00C07DF9">
          <w:rPr>
            <w:webHidden/>
          </w:rPr>
          <w:t>2</w:t>
        </w:r>
        <w:r w:rsidR="00D6698F">
          <w:rPr>
            <w:webHidden/>
          </w:rPr>
          <w:fldChar w:fldCharType="end"/>
        </w:r>
      </w:hyperlink>
    </w:p>
    <w:p w14:paraId="1F11218A" w14:textId="1A9AF185" w:rsidR="00D6698F" w:rsidRDefault="00464453">
      <w:pPr>
        <w:pStyle w:val="TOC1"/>
        <w:rPr>
          <w:rFonts w:asciiTheme="minorHAnsi" w:eastAsiaTheme="minorEastAsia" w:hAnsiTheme="minorHAnsi" w:cstheme="minorBidi"/>
          <w:b w:val="0"/>
          <w:color w:val="auto"/>
          <w:sz w:val="22"/>
          <w:szCs w:val="22"/>
        </w:rPr>
      </w:pPr>
      <w:hyperlink w:anchor="_Toc118205547" w:history="1">
        <w:r w:rsidR="00D6698F" w:rsidRPr="00E92ABE">
          <w:rPr>
            <w:rStyle w:val="Hyperlink"/>
          </w:rPr>
          <w:t>Chapter 1.</w:t>
        </w:r>
        <w:r w:rsidR="00D6698F">
          <w:rPr>
            <w:rFonts w:asciiTheme="minorHAnsi" w:eastAsiaTheme="minorEastAsia" w:hAnsiTheme="minorHAnsi" w:cstheme="minorBidi"/>
            <w:b w:val="0"/>
            <w:color w:val="auto"/>
            <w:sz w:val="22"/>
            <w:szCs w:val="22"/>
          </w:rPr>
          <w:tab/>
        </w:r>
        <w:r w:rsidR="00D6698F" w:rsidRPr="00E92ABE">
          <w:rPr>
            <w:rStyle w:val="Hyperlink"/>
          </w:rPr>
          <w:t>Traffic Monitoring Program Introduction</w:t>
        </w:r>
        <w:r w:rsidR="00D6698F">
          <w:rPr>
            <w:webHidden/>
          </w:rPr>
          <w:tab/>
        </w:r>
        <w:r w:rsidR="00D6698F">
          <w:rPr>
            <w:webHidden/>
          </w:rPr>
          <w:fldChar w:fldCharType="begin"/>
        </w:r>
        <w:r w:rsidR="00D6698F">
          <w:rPr>
            <w:webHidden/>
          </w:rPr>
          <w:instrText xml:space="preserve"> PAGEREF _Toc118205547 \h </w:instrText>
        </w:r>
        <w:r w:rsidR="00D6698F">
          <w:rPr>
            <w:webHidden/>
          </w:rPr>
        </w:r>
        <w:r w:rsidR="00D6698F">
          <w:rPr>
            <w:webHidden/>
          </w:rPr>
          <w:fldChar w:fldCharType="separate"/>
        </w:r>
        <w:r w:rsidR="00C07DF9">
          <w:rPr>
            <w:webHidden/>
          </w:rPr>
          <w:t>1-1</w:t>
        </w:r>
        <w:r w:rsidR="00D6698F">
          <w:rPr>
            <w:webHidden/>
          </w:rPr>
          <w:fldChar w:fldCharType="end"/>
        </w:r>
      </w:hyperlink>
    </w:p>
    <w:p w14:paraId="6F406B58" w14:textId="3A65B23F" w:rsidR="00D6698F" w:rsidRDefault="00464453" w:rsidP="00D6698F">
      <w:pPr>
        <w:pStyle w:val="TOC2"/>
        <w:rPr>
          <w:rFonts w:asciiTheme="minorHAnsi" w:eastAsiaTheme="minorEastAsia" w:hAnsiTheme="minorHAnsi" w:cstheme="minorBidi"/>
          <w:sz w:val="22"/>
        </w:rPr>
      </w:pPr>
      <w:hyperlink w:anchor="_Toc118205548" w:history="1">
        <w:r w:rsidR="00D6698F" w:rsidRPr="00E92ABE">
          <w:rPr>
            <w:rStyle w:val="Hyperlink"/>
          </w:rPr>
          <w:t>1.1</w:t>
        </w:r>
        <w:r w:rsidR="00D6698F">
          <w:rPr>
            <w:rFonts w:asciiTheme="minorHAnsi" w:eastAsiaTheme="minorEastAsia" w:hAnsiTheme="minorHAnsi" w:cstheme="minorBidi"/>
            <w:sz w:val="22"/>
          </w:rPr>
          <w:tab/>
        </w:r>
        <w:r w:rsidR="00D6698F" w:rsidRPr="00E92ABE">
          <w:rPr>
            <w:rStyle w:val="Hyperlink"/>
          </w:rPr>
          <w:t>Introduction</w:t>
        </w:r>
        <w:r w:rsidR="00D6698F">
          <w:rPr>
            <w:webHidden/>
          </w:rPr>
          <w:tab/>
        </w:r>
        <w:r w:rsidR="00D6698F">
          <w:rPr>
            <w:webHidden/>
          </w:rPr>
          <w:fldChar w:fldCharType="begin"/>
        </w:r>
        <w:r w:rsidR="00D6698F">
          <w:rPr>
            <w:webHidden/>
          </w:rPr>
          <w:instrText xml:space="preserve"> PAGEREF _Toc118205548 \h </w:instrText>
        </w:r>
        <w:r w:rsidR="00D6698F">
          <w:rPr>
            <w:webHidden/>
          </w:rPr>
        </w:r>
        <w:r w:rsidR="00D6698F">
          <w:rPr>
            <w:webHidden/>
          </w:rPr>
          <w:fldChar w:fldCharType="separate"/>
        </w:r>
        <w:r w:rsidR="00C07DF9">
          <w:rPr>
            <w:webHidden/>
          </w:rPr>
          <w:t>1-1</w:t>
        </w:r>
        <w:r w:rsidR="00D6698F">
          <w:rPr>
            <w:webHidden/>
          </w:rPr>
          <w:fldChar w:fldCharType="end"/>
        </w:r>
      </w:hyperlink>
    </w:p>
    <w:p w14:paraId="1563025C" w14:textId="36138F4A" w:rsidR="00D6698F" w:rsidRDefault="00464453">
      <w:pPr>
        <w:pStyle w:val="TOC3"/>
        <w:tabs>
          <w:tab w:val="left" w:pos="2016"/>
        </w:tabs>
        <w:rPr>
          <w:rFonts w:asciiTheme="minorHAnsi" w:eastAsiaTheme="minorEastAsia" w:hAnsiTheme="minorHAnsi" w:cstheme="minorBidi"/>
          <w:color w:val="auto"/>
          <w:sz w:val="22"/>
          <w:szCs w:val="22"/>
        </w:rPr>
      </w:pPr>
      <w:hyperlink w:anchor="_Toc118205549" w:history="1">
        <w:r w:rsidR="00D6698F" w:rsidRPr="00E92ABE">
          <w:rPr>
            <w:rStyle w:val="Hyperlink"/>
          </w:rPr>
          <w:t>1.1.1</w:t>
        </w:r>
        <w:r w:rsidR="00D6698F">
          <w:rPr>
            <w:rFonts w:asciiTheme="minorHAnsi" w:eastAsiaTheme="minorEastAsia" w:hAnsiTheme="minorHAnsi" w:cstheme="minorBidi"/>
            <w:color w:val="auto"/>
            <w:sz w:val="22"/>
            <w:szCs w:val="22"/>
          </w:rPr>
          <w:tab/>
        </w:r>
        <w:r w:rsidR="00D6698F" w:rsidRPr="00E92ABE">
          <w:rPr>
            <w:rStyle w:val="Hyperlink"/>
          </w:rPr>
          <w:t>Statutory Background and Code of Federal Regulations</w:t>
        </w:r>
        <w:r w:rsidR="00D6698F">
          <w:rPr>
            <w:webHidden/>
          </w:rPr>
          <w:tab/>
        </w:r>
        <w:r w:rsidR="00D6698F">
          <w:rPr>
            <w:webHidden/>
          </w:rPr>
          <w:fldChar w:fldCharType="begin"/>
        </w:r>
        <w:r w:rsidR="00D6698F">
          <w:rPr>
            <w:webHidden/>
          </w:rPr>
          <w:instrText xml:space="preserve"> PAGEREF _Toc118205549 \h </w:instrText>
        </w:r>
        <w:r w:rsidR="00D6698F">
          <w:rPr>
            <w:webHidden/>
          </w:rPr>
        </w:r>
        <w:r w:rsidR="00D6698F">
          <w:rPr>
            <w:webHidden/>
          </w:rPr>
          <w:fldChar w:fldCharType="separate"/>
        </w:r>
        <w:r w:rsidR="00C07DF9">
          <w:rPr>
            <w:webHidden/>
          </w:rPr>
          <w:t>1-2</w:t>
        </w:r>
        <w:r w:rsidR="00D6698F">
          <w:rPr>
            <w:webHidden/>
          </w:rPr>
          <w:fldChar w:fldCharType="end"/>
        </w:r>
      </w:hyperlink>
    </w:p>
    <w:p w14:paraId="125E52C6" w14:textId="020CB56D" w:rsidR="00D6698F" w:rsidRDefault="00464453">
      <w:pPr>
        <w:pStyle w:val="TOC3"/>
        <w:tabs>
          <w:tab w:val="left" w:pos="2016"/>
        </w:tabs>
        <w:rPr>
          <w:rFonts w:asciiTheme="minorHAnsi" w:eastAsiaTheme="minorEastAsia" w:hAnsiTheme="minorHAnsi" w:cstheme="minorBidi"/>
          <w:color w:val="auto"/>
          <w:sz w:val="22"/>
          <w:szCs w:val="22"/>
        </w:rPr>
      </w:pPr>
      <w:hyperlink w:anchor="_Toc118205550" w:history="1">
        <w:r w:rsidR="00D6698F" w:rsidRPr="00E92ABE">
          <w:rPr>
            <w:rStyle w:val="Hyperlink"/>
          </w:rPr>
          <w:t>1.1.2</w:t>
        </w:r>
        <w:r w:rsidR="00D6698F">
          <w:rPr>
            <w:rFonts w:asciiTheme="minorHAnsi" w:eastAsiaTheme="minorEastAsia" w:hAnsiTheme="minorHAnsi" w:cstheme="minorBidi"/>
            <w:color w:val="auto"/>
            <w:sz w:val="22"/>
            <w:szCs w:val="22"/>
          </w:rPr>
          <w:tab/>
        </w:r>
        <w:r w:rsidR="00D6698F" w:rsidRPr="00E92ABE">
          <w:rPr>
            <w:rStyle w:val="Hyperlink"/>
            <w:i/>
            <w:iCs/>
          </w:rPr>
          <w:t>TMG</w:t>
        </w:r>
        <w:r w:rsidR="00D6698F" w:rsidRPr="00E92ABE">
          <w:rPr>
            <w:rStyle w:val="Hyperlink"/>
          </w:rPr>
          <w:t xml:space="preserve"> Organization</w:t>
        </w:r>
        <w:r w:rsidR="00D6698F">
          <w:rPr>
            <w:webHidden/>
          </w:rPr>
          <w:tab/>
        </w:r>
        <w:r w:rsidR="00D6698F">
          <w:rPr>
            <w:webHidden/>
          </w:rPr>
          <w:fldChar w:fldCharType="begin"/>
        </w:r>
        <w:r w:rsidR="00D6698F">
          <w:rPr>
            <w:webHidden/>
          </w:rPr>
          <w:instrText xml:space="preserve"> PAGEREF _Toc118205550 \h </w:instrText>
        </w:r>
        <w:r w:rsidR="00D6698F">
          <w:rPr>
            <w:webHidden/>
          </w:rPr>
        </w:r>
        <w:r w:rsidR="00D6698F">
          <w:rPr>
            <w:webHidden/>
          </w:rPr>
          <w:fldChar w:fldCharType="separate"/>
        </w:r>
        <w:r w:rsidR="00C07DF9">
          <w:rPr>
            <w:webHidden/>
          </w:rPr>
          <w:t>1-3</w:t>
        </w:r>
        <w:r w:rsidR="00D6698F">
          <w:rPr>
            <w:webHidden/>
          </w:rPr>
          <w:fldChar w:fldCharType="end"/>
        </w:r>
      </w:hyperlink>
    </w:p>
    <w:p w14:paraId="479A371E" w14:textId="470411AB" w:rsidR="00D6698F" w:rsidRDefault="00464453" w:rsidP="00D6698F">
      <w:pPr>
        <w:pStyle w:val="TOC2"/>
        <w:rPr>
          <w:rFonts w:asciiTheme="minorHAnsi" w:eastAsiaTheme="minorEastAsia" w:hAnsiTheme="minorHAnsi" w:cstheme="minorBidi"/>
          <w:sz w:val="22"/>
        </w:rPr>
      </w:pPr>
      <w:hyperlink w:anchor="_Toc118205551" w:history="1">
        <w:r w:rsidR="00D6698F" w:rsidRPr="00E92ABE">
          <w:rPr>
            <w:rStyle w:val="Hyperlink"/>
          </w:rPr>
          <w:t>1.2</w:t>
        </w:r>
        <w:r w:rsidR="00D6698F">
          <w:rPr>
            <w:rFonts w:asciiTheme="minorHAnsi" w:eastAsiaTheme="minorEastAsia" w:hAnsiTheme="minorHAnsi" w:cstheme="minorBidi"/>
            <w:sz w:val="22"/>
          </w:rPr>
          <w:tab/>
        </w:r>
        <w:r w:rsidR="00D6698F" w:rsidRPr="00E92ABE">
          <w:rPr>
            <w:rStyle w:val="Hyperlink"/>
          </w:rPr>
          <w:t>Traffic Monitoring Program Purpose</w:t>
        </w:r>
        <w:r w:rsidR="00D6698F">
          <w:rPr>
            <w:webHidden/>
          </w:rPr>
          <w:tab/>
        </w:r>
        <w:r w:rsidR="00D6698F">
          <w:rPr>
            <w:webHidden/>
          </w:rPr>
          <w:fldChar w:fldCharType="begin"/>
        </w:r>
        <w:r w:rsidR="00D6698F">
          <w:rPr>
            <w:webHidden/>
          </w:rPr>
          <w:instrText xml:space="preserve"> PAGEREF _Toc118205551 \h </w:instrText>
        </w:r>
        <w:r w:rsidR="00D6698F">
          <w:rPr>
            <w:webHidden/>
          </w:rPr>
        </w:r>
        <w:r w:rsidR="00D6698F">
          <w:rPr>
            <w:webHidden/>
          </w:rPr>
          <w:fldChar w:fldCharType="separate"/>
        </w:r>
        <w:r w:rsidR="00C07DF9">
          <w:rPr>
            <w:webHidden/>
          </w:rPr>
          <w:t>1-4</w:t>
        </w:r>
        <w:r w:rsidR="00D6698F">
          <w:rPr>
            <w:webHidden/>
          </w:rPr>
          <w:fldChar w:fldCharType="end"/>
        </w:r>
      </w:hyperlink>
    </w:p>
    <w:p w14:paraId="024154CA" w14:textId="58F0AEC5" w:rsidR="00D6698F" w:rsidRDefault="00464453" w:rsidP="00D6698F">
      <w:pPr>
        <w:pStyle w:val="TOC2"/>
        <w:rPr>
          <w:rFonts w:asciiTheme="minorHAnsi" w:eastAsiaTheme="minorEastAsia" w:hAnsiTheme="minorHAnsi" w:cstheme="minorBidi"/>
          <w:sz w:val="22"/>
        </w:rPr>
      </w:pPr>
      <w:hyperlink w:anchor="_Toc118205552" w:history="1">
        <w:r w:rsidR="00D6698F" w:rsidRPr="00E92ABE">
          <w:rPr>
            <w:rStyle w:val="Hyperlink"/>
          </w:rPr>
          <w:t>1.3</w:t>
        </w:r>
        <w:r w:rsidR="00D6698F">
          <w:rPr>
            <w:rFonts w:asciiTheme="minorHAnsi" w:eastAsiaTheme="minorEastAsia" w:hAnsiTheme="minorHAnsi" w:cstheme="minorBidi"/>
            <w:sz w:val="22"/>
          </w:rPr>
          <w:tab/>
        </w:r>
        <w:r w:rsidR="00D6698F" w:rsidRPr="00E92ABE">
          <w:rPr>
            <w:rStyle w:val="Hyperlink"/>
          </w:rPr>
          <w:t>Traffic Data Types Introduction</w:t>
        </w:r>
        <w:r w:rsidR="00D6698F">
          <w:rPr>
            <w:webHidden/>
          </w:rPr>
          <w:tab/>
        </w:r>
        <w:r w:rsidR="00D6698F">
          <w:rPr>
            <w:webHidden/>
          </w:rPr>
          <w:fldChar w:fldCharType="begin"/>
        </w:r>
        <w:r w:rsidR="00D6698F">
          <w:rPr>
            <w:webHidden/>
          </w:rPr>
          <w:instrText xml:space="preserve"> PAGEREF _Toc118205552 \h </w:instrText>
        </w:r>
        <w:r w:rsidR="00D6698F">
          <w:rPr>
            <w:webHidden/>
          </w:rPr>
        </w:r>
        <w:r w:rsidR="00D6698F">
          <w:rPr>
            <w:webHidden/>
          </w:rPr>
          <w:fldChar w:fldCharType="separate"/>
        </w:r>
        <w:r w:rsidR="00C07DF9">
          <w:rPr>
            <w:webHidden/>
          </w:rPr>
          <w:t>1-4</w:t>
        </w:r>
        <w:r w:rsidR="00D6698F">
          <w:rPr>
            <w:webHidden/>
          </w:rPr>
          <w:fldChar w:fldCharType="end"/>
        </w:r>
      </w:hyperlink>
    </w:p>
    <w:p w14:paraId="1F5E8986" w14:textId="1901DC2F" w:rsidR="00D6698F" w:rsidRDefault="00464453">
      <w:pPr>
        <w:pStyle w:val="TOC3"/>
        <w:tabs>
          <w:tab w:val="left" w:pos="2016"/>
        </w:tabs>
        <w:rPr>
          <w:rFonts w:asciiTheme="minorHAnsi" w:eastAsiaTheme="minorEastAsia" w:hAnsiTheme="minorHAnsi" w:cstheme="minorBidi"/>
          <w:color w:val="auto"/>
          <w:sz w:val="22"/>
          <w:szCs w:val="22"/>
        </w:rPr>
      </w:pPr>
      <w:hyperlink w:anchor="_Toc118205553" w:history="1">
        <w:r w:rsidR="00D6698F" w:rsidRPr="00E92ABE">
          <w:rPr>
            <w:rStyle w:val="Hyperlink"/>
          </w:rPr>
          <w:t>1.3.1</w:t>
        </w:r>
        <w:r w:rsidR="00D6698F">
          <w:rPr>
            <w:rFonts w:asciiTheme="minorHAnsi" w:eastAsiaTheme="minorEastAsia" w:hAnsiTheme="minorHAnsi" w:cstheme="minorBidi"/>
            <w:color w:val="auto"/>
            <w:sz w:val="22"/>
            <w:szCs w:val="22"/>
          </w:rPr>
          <w:tab/>
        </w:r>
        <w:r w:rsidR="00D6698F" w:rsidRPr="00E92ABE">
          <w:rPr>
            <w:rStyle w:val="Hyperlink"/>
          </w:rPr>
          <w:t>Volume Data</w:t>
        </w:r>
        <w:r w:rsidR="00D6698F">
          <w:rPr>
            <w:webHidden/>
          </w:rPr>
          <w:tab/>
        </w:r>
        <w:r w:rsidR="00D6698F">
          <w:rPr>
            <w:webHidden/>
          </w:rPr>
          <w:fldChar w:fldCharType="begin"/>
        </w:r>
        <w:r w:rsidR="00D6698F">
          <w:rPr>
            <w:webHidden/>
          </w:rPr>
          <w:instrText xml:space="preserve"> PAGEREF _Toc118205553 \h </w:instrText>
        </w:r>
        <w:r w:rsidR="00D6698F">
          <w:rPr>
            <w:webHidden/>
          </w:rPr>
        </w:r>
        <w:r w:rsidR="00D6698F">
          <w:rPr>
            <w:webHidden/>
          </w:rPr>
          <w:fldChar w:fldCharType="separate"/>
        </w:r>
        <w:r w:rsidR="00C07DF9">
          <w:rPr>
            <w:webHidden/>
          </w:rPr>
          <w:t>1-5</w:t>
        </w:r>
        <w:r w:rsidR="00D6698F">
          <w:rPr>
            <w:webHidden/>
          </w:rPr>
          <w:fldChar w:fldCharType="end"/>
        </w:r>
      </w:hyperlink>
    </w:p>
    <w:p w14:paraId="08CE9FBE" w14:textId="160C176F" w:rsidR="00D6698F" w:rsidRDefault="00464453">
      <w:pPr>
        <w:pStyle w:val="TOC3"/>
        <w:tabs>
          <w:tab w:val="left" w:pos="2016"/>
        </w:tabs>
        <w:rPr>
          <w:rFonts w:asciiTheme="minorHAnsi" w:eastAsiaTheme="minorEastAsia" w:hAnsiTheme="minorHAnsi" w:cstheme="minorBidi"/>
          <w:color w:val="auto"/>
          <w:sz w:val="22"/>
          <w:szCs w:val="22"/>
        </w:rPr>
      </w:pPr>
      <w:hyperlink w:anchor="_Toc118205554" w:history="1">
        <w:r w:rsidR="00D6698F" w:rsidRPr="00E92ABE">
          <w:rPr>
            <w:rStyle w:val="Hyperlink"/>
          </w:rPr>
          <w:t>1.3.2</w:t>
        </w:r>
        <w:r w:rsidR="00D6698F">
          <w:rPr>
            <w:rFonts w:asciiTheme="minorHAnsi" w:eastAsiaTheme="minorEastAsia" w:hAnsiTheme="minorHAnsi" w:cstheme="minorBidi"/>
            <w:color w:val="auto"/>
            <w:sz w:val="22"/>
            <w:szCs w:val="22"/>
          </w:rPr>
          <w:tab/>
        </w:r>
        <w:r w:rsidR="00D6698F" w:rsidRPr="00E92ABE">
          <w:rPr>
            <w:rStyle w:val="Hyperlink"/>
          </w:rPr>
          <w:t>Speed Data Collection</w:t>
        </w:r>
        <w:r w:rsidR="00D6698F">
          <w:rPr>
            <w:webHidden/>
          </w:rPr>
          <w:tab/>
        </w:r>
        <w:r w:rsidR="00D6698F">
          <w:rPr>
            <w:webHidden/>
          </w:rPr>
          <w:fldChar w:fldCharType="begin"/>
        </w:r>
        <w:r w:rsidR="00D6698F">
          <w:rPr>
            <w:webHidden/>
          </w:rPr>
          <w:instrText xml:space="preserve"> PAGEREF _Toc118205554 \h </w:instrText>
        </w:r>
        <w:r w:rsidR="00D6698F">
          <w:rPr>
            <w:webHidden/>
          </w:rPr>
        </w:r>
        <w:r w:rsidR="00D6698F">
          <w:rPr>
            <w:webHidden/>
          </w:rPr>
          <w:fldChar w:fldCharType="separate"/>
        </w:r>
        <w:r w:rsidR="00C07DF9">
          <w:rPr>
            <w:webHidden/>
          </w:rPr>
          <w:t>1-5</w:t>
        </w:r>
        <w:r w:rsidR="00D6698F">
          <w:rPr>
            <w:webHidden/>
          </w:rPr>
          <w:fldChar w:fldCharType="end"/>
        </w:r>
      </w:hyperlink>
    </w:p>
    <w:p w14:paraId="79D30021" w14:textId="13A59A1D" w:rsidR="00D6698F" w:rsidRDefault="00464453">
      <w:pPr>
        <w:pStyle w:val="TOC3"/>
        <w:tabs>
          <w:tab w:val="left" w:pos="2016"/>
        </w:tabs>
        <w:rPr>
          <w:rFonts w:asciiTheme="minorHAnsi" w:eastAsiaTheme="minorEastAsia" w:hAnsiTheme="minorHAnsi" w:cstheme="minorBidi"/>
          <w:color w:val="auto"/>
          <w:sz w:val="22"/>
          <w:szCs w:val="22"/>
        </w:rPr>
      </w:pPr>
      <w:hyperlink w:anchor="_Toc118205555" w:history="1">
        <w:r w:rsidR="00D6698F" w:rsidRPr="00E92ABE">
          <w:rPr>
            <w:rStyle w:val="Hyperlink"/>
          </w:rPr>
          <w:t>1.3.3</w:t>
        </w:r>
        <w:r w:rsidR="00D6698F">
          <w:rPr>
            <w:rFonts w:asciiTheme="minorHAnsi" w:eastAsiaTheme="minorEastAsia" w:hAnsiTheme="minorHAnsi" w:cstheme="minorBidi"/>
            <w:color w:val="auto"/>
            <w:sz w:val="22"/>
            <w:szCs w:val="22"/>
          </w:rPr>
          <w:tab/>
        </w:r>
        <w:r w:rsidR="00D6698F" w:rsidRPr="00E92ABE">
          <w:rPr>
            <w:rStyle w:val="Hyperlink"/>
          </w:rPr>
          <w:t>Vehicle Classification Data</w:t>
        </w:r>
        <w:r w:rsidR="00D6698F">
          <w:rPr>
            <w:webHidden/>
          </w:rPr>
          <w:tab/>
        </w:r>
        <w:r w:rsidR="00D6698F">
          <w:rPr>
            <w:webHidden/>
          </w:rPr>
          <w:fldChar w:fldCharType="begin"/>
        </w:r>
        <w:r w:rsidR="00D6698F">
          <w:rPr>
            <w:webHidden/>
          </w:rPr>
          <w:instrText xml:space="preserve"> PAGEREF _Toc118205555 \h </w:instrText>
        </w:r>
        <w:r w:rsidR="00D6698F">
          <w:rPr>
            <w:webHidden/>
          </w:rPr>
        </w:r>
        <w:r w:rsidR="00D6698F">
          <w:rPr>
            <w:webHidden/>
          </w:rPr>
          <w:fldChar w:fldCharType="separate"/>
        </w:r>
        <w:r w:rsidR="00C07DF9">
          <w:rPr>
            <w:webHidden/>
          </w:rPr>
          <w:t>1-5</w:t>
        </w:r>
        <w:r w:rsidR="00D6698F">
          <w:rPr>
            <w:webHidden/>
          </w:rPr>
          <w:fldChar w:fldCharType="end"/>
        </w:r>
      </w:hyperlink>
    </w:p>
    <w:p w14:paraId="2EB8F676" w14:textId="186A8001" w:rsidR="00D6698F" w:rsidRDefault="00464453">
      <w:pPr>
        <w:pStyle w:val="TOC3"/>
        <w:tabs>
          <w:tab w:val="left" w:pos="2016"/>
        </w:tabs>
        <w:rPr>
          <w:rFonts w:asciiTheme="minorHAnsi" w:eastAsiaTheme="minorEastAsia" w:hAnsiTheme="minorHAnsi" w:cstheme="minorBidi"/>
          <w:color w:val="auto"/>
          <w:sz w:val="22"/>
          <w:szCs w:val="22"/>
        </w:rPr>
      </w:pPr>
      <w:hyperlink w:anchor="_Toc118205556" w:history="1">
        <w:r w:rsidR="00D6698F" w:rsidRPr="00E92ABE">
          <w:rPr>
            <w:rStyle w:val="Hyperlink"/>
          </w:rPr>
          <w:t>1.3.4</w:t>
        </w:r>
        <w:r w:rsidR="00D6698F">
          <w:rPr>
            <w:rFonts w:asciiTheme="minorHAnsi" w:eastAsiaTheme="minorEastAsia" w:hAnsiTheme="minorHAnsi" w:cstheme="minorBidi"/>
            <w:color w:val="auto"/>
            <w:sz w:val="22"/>
            <w:szCs w:val="22"/>
          </w:rPr>
          <w:tab/>
        </w:r>
        <w:r w:rsidR="00D6698F" w:rsidRPr="00E92ABE">
          <w:rPr>
            <w:rStyle w:val="Hyperlink"/>
          </w:rPr>
          <w:t>Weight Data</w:t>
        </w:r>
        <w:r w:rsidR="00D6698F">
          <w:rPr>
            <w:webHidden/>
          </w:rPr>
          <w:tab/>
        </w:r>
        <w:r w:rsidR="00D6698F">
          <w:rPr>
            <w:webHidden/>
          </w:rPr>
          <w:fldChar w:fldCharType="begin"/>
        </w:r>
        <w:r w:rsidR="00D6698F">
          <w:rPr>
            <w:webHidden/>
          </w:rPr>
          <w:instrText xml:space="preserve"> PAGEREF _Toc118205556 \h </w:instrText>
        </w:r>
        <w:r w:rsidR="00D6698F">
          <w:rPr>
            <w:webHidden/>
          </w:rPr>
        </w:r>
        <w:r w:rsidR="00D6698F">
          <w:rPr>
            <w:webHidden/>
          </w:rPr>
          <w:fldChar w:fldCharType="separate"/>
        </w:r>
        <w:r w:rsidR="00C07DF9">
          <w:rPr>
            <w:webHidden/>
          </w:rPr>
          <w:t>1-5</w:t>
        </w:r>
        <w:r w:rsidR="00D6698F">
          <w:rPr>
            <w:webHidden/>
          </w:rPr>
          <w:fldChar w:fldCharType="end"/>
        </w:r>
      </w:hyperlink>
    </w:p>
    <w:p w14:paraId="08D3EC1B" w14:textId="0509F80C" w:rsidR="00D6698F" w:rsidRDefault="00464453">
      <w:pPr>
        <w:pStyle w:val="TOC3"/>
        <w:tabs>
          <w:tab w:val="left" w:pos="2016"/>
        </w:tabs>
        <w:rPr>
          <w:rFonts w:asciiTheme="minorHAnsi" w:eastAsiaTheme="minorEastAsia" w:hAnsiTheme="minorHAnsi" w:cstheme="minorBidi"/>
          <w:color w:val="auto"/>
          <w:sz w:val="22"/>
          <w:szCs w:val="22"/>
        </w:rPr>
      </w:pPr>
      <w:hyperlink w:anchor="_Toc118205557" w:history="1">
        <w:r w:rsidR="00D6698F" w:rsidRPr="00E92ABE">
          <w:rPr>
            <w:rStyle w:val="Hyperlink"/>
          </w:rPr>
          <w:t>1.3.5</w:t>
        </w:r>
        <w:r w:rsidR="00D6698F">
          <w:rPr>
            <w:rFonts w:asciiTheme="minorHAnsi" w:eastAsiaTheme="minorEastAsia" w:hAnsiTheme="minorHAnsi" w:cstheme="minorBidi"/>
            <w:color w:val="auto"/>
            <w:sz w:val="22"/>
            <w:szCs w:val="22"/>
          </w:rPr>
          <w:tab/>
        </w:r>
        <w:r w:rsidR="00D6698F" w:rsidRPr="00E92ABE">
          <w:rPr>
            <w:rStyle w:val="Hyperlink"/>
          </w:rPr>
          <w:t>Travel Time</w:t>
        </w:r>
        <w:r w:rsidR="00D6698F">
          <w:rPr>
            <w:webHidden/>
          </w:rPr>
          <w:tab/>
        </w:r>
        <w:r w:rsidR="00D6698F">
          <w:rPr>
            <w:webHidden/>
          </w:rPr>
          <w:fldChar w:fldCharType="begin"/>
        </w:r>
        <w:r w:rsidR="00D6698F">
          <w:rPr>
            <w:webHidden/>
          </w:rPr>
          <w:instrText xml:space="preserve"> PAGEREF _Toc118205557 \h </w:instrText>
        </w:r>
        <w:r w:rsidR="00D6698F">
          <w:rPr>
            <w:webHidden/>
          </w:rPr>
        </w:r>
        <w:r w:rsidR="00D6698F">
          <w:rPr>
            <w:webHidden/>
          </w:rPr>
          <w:fldChar w:fldCharType="separate"/>
        </w:r>
        <w:r w:rsidR="00C07DF9">
          <w:rPr>
            <w:webHidden/>
          </w:rPr>
          <w:t>1-5</w:t>
        </w:r>
        <w:r w:rsidR="00D6698F">
          <w:rPr>
            <w:webHidden/>
          </w:rPr>
          <w:fldChar w:fldCharType="end"/>
        </w:r>
      </w:hyperlink>
    </w:p>
    <w:p w14:paraId="4515761D" w14:textId="4BACB3E3" w:rsidR="00D6698F" w:rsidRDefault="00464453">
      <w:pPr>
        <w:pStyle w:val="TOC3"/>
        <w:tabs>
          <w:tab w:val="left" w:pos="2016"/>
        </w:tabs>
        <w:rPr>
          <w:rFonts w:asciiTheme="minorHAnsi" w:eastAsiaTheme="minorEastAsia" w:hAnsiTheme="minorHAnsi" w:cstheme="minorBidi"/>
          <w:color w:val="auto"/>
          <w:sz w:val="22"/>
          <w:szCs w:val="22"/>
        </w:rPr>
      </w:pPr>
      <w:hyperlink w:anchor="_Toc118205558" w:history="1">
        <w:r w:rsidR="00D6698F" w:rsidRPr="00E92ABE">
          <w:rPr>
            <w:rStyle w:val="Hyperlink"/>
          </w:rPr>
          <w:t>1.3.6</w:t>
        </w:r>
        <w:r w:rsidR="00D6698F">
          <w:rPr>
            <w:rFonts w:asciiTheme="minorHAnsi" w:eastAsiaTheme="minorEastAsia" w:hAnsiTheme="minorHAnsi" w:cstheme="minorBidi"/>
            <w:color w:val="auto"/>
            <w:sz w:val="22"/>
            <w:szCs w:val="22"/>
          </w:rPr>
          <w:tab/>
        </w:r>
        <w:r w:rsidR="00D6698F" w:rsidRPr="00E92ABE">
          <w:rPr>
            <w:rStyle w:val="Hyperlink"/>
          </w:rPr>
          <w:t>Origin and Destination</w:t>
        </w:r>
        <w:r w:rsidR="00D6698F">
          <w:rPr>
            <w:webHidden/>
          </w:rPr>
          <w:tab/>
        </w:r>
        <w:r w:rsidR="00D6698F">
          <w:rPr>
            <w:webHidden/>
          </w:rPr>
          <w:fldChar w:fldCharType="begin"/>
        </w:r>
        <w:r w:rsidR="00D6698F">
          <w:rPr>
            <w:webHidden/>
          </w:rPr>
          <w:instrText xml:space="preserve"> PAGEREF _Toc118205558 \h </w:instrText>
        </w:r>
        <w:r w:rsidR="00D6698F">
          <w:rPr>
            <w:webHidden/>
          </w:rPr>
        </w:r>
        <w:r w:rsidR="00D6698F">
          <w:rPr>
            <w:webHidden/>
          </w:rPr>
          <w:fldChar w:fldCharType="separate"/>
        </w:r>
        <w:r w:rsidR="00C07DF9">
          <w:rPr>
            <w:webHidden/>
          </w:rPr>
          <w:t>1-6</w:t>
        </w:r>
        <w:r w:rsidR="00D6698F">
          <w:rPr>
            <w:webHidden/>
          </w:rPr>
          <w:fldChar w:fldCharType="end"/>
        </w:r>
      </w:hyperlink>
    </w:p>
    <w:p w14:paraId="63611A1D" w14:textId="30DE40DF" w:rsidR="00D6698F" w:rsidRDefault="00464453" w:rsidP="00D6698F">
      <w:pPr>
        <w:pStyle w:val="TOC2"/>
        <w:rPr>
          <w:rFonts w:asciiTheme="minorHAnsi" w:eastAsiaTheme="minorEastAsia" w:hAnsiTheme="minorHAnsi" w:cstheme="minorBidi"/>
          <w:sz w:val="22"/>
        </w:rPr>
      </w:pPr>
      <w:hyperlink w:anchor="_Toc118205559" w:history="1">
        <w:r w:rsidR="00D6698F" w:rsidRPr="00E92ABE">
          <w:rPr>
            <w:rStyle w:val="Hyperlink"/>
          </w:rPr>
          <w:t>1.4</w:t>
        </w:r>
        <w:r w:rsidR="00D6698F">
          <w:rPr>
            <w:rFonts w:asciiTheme="minorHAnsi" w:eastAsiaTheme="minorEastAsia" w:hAnsiTheme="minorHAnsi" w:cstheme="minorBidi"/>
            <w:sz w:val="22"/>
          </w:rPr>
          <w:tab/>
        </w:r>
        <w:r w:rsidR="00D6698F" w:rsidRPr="00E92ABE">
          <w:rPr>
            <w:rStyle w:val="Hyperlink"/>
          </w:rPr>
          <w:t>Traffic Data Program Users</w:t>
        </w:r>
        <w:r w:rsidR="00D6698F">
          <w:rPr>
            <w:webHidden/>
          </w:rPr>
          <w:tab/>
        </w:r>
        <w:r w:rsidR="00D6698F">
          <w:rPr>
            <w:webHidden/>
          </w:rPr>
          <w:fldChar w:fldCharType="begin"/>
        </w:r>
        <w:r w:rsidR="00D6698F">
          <w:rPr>
            <w:webHidden/>
          </w:rPr>
          <w:instrText xml:space="preserve"> PAGEREF _Toc118205559 \h </w:instrText>
        </w:r>
        <w:r w:rsidR="00D6698F">
          <w:rPr>
            <w:webHidden/>
          </w:rPr>
        </w:r>
        <w:r w:rsidR="00D6698F">
          <w:rPr>
            <w:webHidden/>
          </w:rPr>
          <w:fldChar w:fldCharType="separate"/>
        </w:r>
        <w:r w:rsidR="00C07DF9">
          <w:rPr>
            <w:webHidden/>
          </w:rPr>
          <w:t>1-6</w:t>
        </w:r>
        <w:r w:rsidR="00D6698F">
          <w:rPr>
            <w:webHidden/>
          </w:rPr>
          <w:fldChar w:fldCharType="end"/>
        </w:r>
      </w:hyperlink>
    </w:p>
    <w:p w14:paraId="1F33B3BD" w14:textId="47922BEE" w:rsidR="00D6698F" w:rsidRDefault="00464453">
      <w:pPr>
        <w:pStyle w:val="TOC3"/>
        <w:tabs>
          <w:tab w:val="left" w:pos="2016"/>
        </w:tabs>
        <w:rPr>
          <w:rFonts w:asciiTheme="minorHAnsi" w:eastAsiaTheme="minorEastAsia" w:hAnsiTheme="minorHAnsi" w:cstheme="minorBidi"/>
          <w:color w:val="auto"/>
          <w:sz w:val="22"/>
          <w:szCs w:val="22"/>
        </w:rPr>
      </w:pPr>
      <w:hyperlink w:anchor="_Toc118205560" w:history="1">
        <w:r w:rsidR="00D6698F" w:rsidRPr="00E92ABE">
          <w:rPr>
            <w:rStyle w:val="Hyperlink"/>
          </w:rPr>
          <w:t>1.4.1</w:t>
        </w:r>
        <w:r w:rsidR="00D6698F">
          <w:rPr>
            <w:rFonts w:asciiTheme="minorHAnsi" w:eastAsiaTheme="minorEastAsia" w:hAnsiTheme="minorHAnsi" w:cstheme="minorBidi"/>
            <w:color w:val="auto"/>
            <w:sz w:val="22"/>
            <w:szCs w:val="22"/>
          </w:rPr>
          <w:tab/>
        </w:r>
        <w:r w:rsidR="00D6698F" w:rsidRPr="00E92ABE">
          <w:rPr>
            <w:rStyle w:val="Hyperlink"/>
          </w:rPr>
          <w:t>Federal Data Submittal Needs</w:t>
        </w:r>
        <w:r w:rsidR="00D6698F">
          <w:rPr>
            <w:webHidden/>
          </w:rPr>
          <w:tab/>
        </w:r>
        <w:r w:rsidR="00D6698F">
          <w:rPr>
            <w:webHidden/>
          </w:rPr>
          <w:fldChar w:fldCharType="begin"/>
        </w:r>
        <w:r w:rsidR="00D6698F">
          <w:rPr>
            <w:webHidden/>
          </w:rPr>
          <w:instrText xml:space="preserve"> PAGEREF _Toc118205560 \h </w:instrText>
        </w:r>
        <w:r w:rsidR="00D6698F">
          <w:rPr>
            <w:webHidden/>
          </w:rPr>
        </w:r>
        <w:r w:rsidR="00D6698F">
          <w:rPr>
            <w:webHidden/>
          </w:rPr>
          <w:fldChar w:fldCharType="separate"/>
        </w:r>
        <w:r w:rsidR="00C07DF9">
          <w:rPr>
            <w:webHidden/>
          </w:rPr>
          <w:t>1-6</w:t>
        </w:r>
        <w:r w:rsidR="00D6698F">
          <w:rPr>
            <w:webHidden/>
          </w:rPr>
          <w:fldChar w:fldCharType="end"/>
        </w:r>
      </w:hyperlink>
    </w:p>
    <w:p w14:paraId="1D830E0A" w14:textId="222044C5" w:rsidR="00D6698F" w:rsidRDefault="00464453">
      <w:pPr>
        <w:pStyle w:val="TOC4"/>
        <w:tabs>
          <w:tab w:val="left" w:pos="2793"/>
        </w:tabs>
        <w:rPr>
          <w:sz w:val="22"/>
          <w:szCs w:val="22"/>
        </w:rPr>
      </w:pPr>
      <w:hyperlink w:anchor="_Toc118205561" w:history="1">
        <w:r w:rsidR="00D6698F" w:rsidRPr="00E92ABE">
          <w:rPr>
            <w:rStyle w:val="Hyperlink"/>
          </w:rPr>
          <w:t>1.4.1.1</w:t>
        </w:r>
        <w:r w:rsidR="00D6698F">
          <w:rPr>
            <w:sz w:val="22"/>
            <w:szCs w:val="22"/>
          </w:rPr>
          <w:tab/>
        </w:r>
        <w:r w:rsidR="00D6698F" w:rsidRPr="00E92ABE">
          <w:rPr>
            <w:rStyle w:val="Hyperlink"/>
          </w:rPr>
          <w:t>Introduction of HPMS Traffic and Travel Data Elements</w:t>
        </w:r>
        <w:r w:rsidR="00D6698F">
          <w:rPr>
            <w:webHidden/>
          </w:rPr>
          <w:tab/>
        </w:r>
        <w:r w:rsidR="00D6698F">
          <w:rPr>
            <w:webHidden/>
          </w:rPr>
          <w:fldChar w:fldCharType="begin"/>
        </w:r>
        <w:r w:rsidR="00D6698F">
          <w:rPr>
            <w:webHidden/>
          </w:rPr>
          <w:instrText xml:space="preserve"> PAGEREF _Toc118205561 \h </w:instrText>
        </w:r>
        <w:r w:rsidR="00D6698F">
          <w:rPr>
            <w:webHidden/>
          </w:rPr>
        </w:r>
        <w:r w:rsidR="00D6698F">
          <w:rPr>
            <w:webHidden/>
          </w:rPr>
          <w:fldChar w:fldCharType="separate"/>
        </w:r>
        <w:r w:rsidR="00C07DF9">
          <w:rPr>
            <w:webHidden/>
          </w:rPr>
          <w:t>1-6</w:t>
        </w:r>
        <w:r w:rsidR="00D6698F">
          <w:rPr>
            <w:webHidden/>
          </w:rPr>
          <w:fldChar w:fldCharType="end"/>
        </w:r>
      </w:hyperlink>
    </w:p>
    <w:p w14:paraId="47BE47D6" w14:textId="3225F345" w:rsidR="00D6698F" w:rsidRDefault="00464453">
      <w:pPr>
        <w:pStyle w:val="TOC4"/>
        <w:tabs>
          <w:tab w:val="left" w:pos="2793"/>
        </w:tabs>
        <w:rPr>
          <w:sz w:val="22"/>
          <w:szCs w:val="22"/>
        </w:rPr>
      </w:pPr>
      <w:hyperlink w:anchor="_Toc118205562" w:history="1">
        <w:r w:rsidR="00D6698F" w:rsidRPr="00E92ABE">
          <w:rPr>
            <w:rStyle w:val="Hyperlink"/>
          </w:rPr>
          <w:t>1.4.1.2</w:t>
        </w:r>
        <w:r w:rsidR="00D6698F">
          <w:rPr>
            <w:sz w:val="22"/>
            <w:szCs w:val="22"/>
          </w:rPr>
          <w:tab/>
        </w:r>
        <w:r w:rsidR="00D6698F" w:rsidRPr="00E92ABE">
          <w:rPr>
            <w:rStyle w:val="Hyperlink"/>
          </w:rPr>
          <w:t>Introduction to the Traffic Monitoring and Analysis System</w:t>
        </w:r>
        <w:r w:rsidR="00D6698F">
          <w:rPr>
            <w:webHidden/>
          </w:rPr>
          <w:tab/>
        </w:r>
        <w:r w:rsidR="00D6698F">
          <w:rPr>
            <w:webHidden/>
          </w:rPr>
          <w:fldChar w:fldCharType="begin"/>
        </w:r>
        <w:r w:rsidR="00D6698F">
          <w:rPr>
            <w:webHidden/>
          </w:rPr>
          <w:instrText xml:space="preserve"> PAGEREF _Toc118205562 \h </w:instrText>
        </w:r>
        <w:r w:rsidR="00D6698F">
          <w:rPr>
            <w:webHidden/>
          </w:rPr>
        </w:r>
        <w:r w:rsidR="00D6698F">
          <w:rPr>
            <w:webHidden/>
          </w:rPr>
          <w:fldChar w:fldCharType="separate"/>
        </w:r>
        <w:r w:rsidR="00C07DF9">
          <w:rPr>
            <w:webHidden/>
          </w:rPr>
          <w:t>1-7</w:t>
        </w:r>
        <w:r w:rsidR="00D6698F">
          <w:rPr>
            <w:webHidden/>
          </w:rPr>
          <w:fldChar w:fldCharType="end"/>
        </w:r>
      </w:hyperlink>
    </w:p>
    <w:p w14:paraId="69D6AB0A" w14:textId="070DD05F" w:rsidR="00D6698F" w:rsidRDefault="00464453">
      <w:pPr>
        <w:pStyle w:val="TOC3"/>
        <w:tabs>
          <w:tab w:val="left" w:pos="2016"/>
        </w:tabs>
        <w:rPr>
          <w:rFonts w:asciiTheme="minorHAnsi" w:eastAsiaTheme="minorEastAsia" w:hAnsiTheme="minorHAnsi" w:cstheme="minorBidi"/>
          <w:color w:val="auto"/>
          <w:sz w:val="22"/>
          <w:szCs w:val="22"/>
        </w:rPr>
      </w:pPr>
      <w:hyperlink w:anchor="_Toc118205563" w:history="1">
        <w:r w:rsidR="00D6698F" w:rsidRPr="00E92ABE">
          <w:rPr>
            <w:rStyle w:val="Hyperlink"/>
          </w:rPr>
          <w:t>1.4.2</w:t>
        </w:r>
        <w:r w:rsidR="00D6698F">
          <w:rPr>
            <w:rFonts w:asciiTheme="minorHAnsi" w:eastAsiaTheme="minorEastAsia" w:hAnsiTheme="minorHAnsi" w:cstheme="minorBidi"/>
            <w:color w:val="auto"/>
            <w:sz w:val="22"/>
            <w:szCs w:val="22"/>
          </w:rPr>
          <w:tab/>
        </w:r>
        <w:r w:rsidR="00D6698F" w:rsidRPr="00E92ABE">
          <w:rPr>
            <w:rStyle w:val="Hyperlink"/>
          </w:rPr>
          <w:t>Traffic Data Needs</w:t>
        </w:r>
        <w:r w:rsidR="00D6698F">
          <w:rPr>
            <w:webHidden/>
          </w:rPr>
          <w:tab/>
        </w:r>
        <w:r w:rsidR="00D6698F">
          <w:rPr>
            <w:webHidden/>
          </w:rPr>
          <w:fldChar w:fldCharType="begin"/>
        </w:r>
        <w:r w:rsidR="00D6698F">
          <w:rPr>
            <w:webHidden/>
          </w:rPr>
          <w:instrText xml:space="preserve"> PAGEREF _Toc118205563 \h </w:instrText>
        </w:r>
        <w:r w:rsidR="00D6698F">
          <w:rPr>
            <w:webHidden/>
          </w:rPr>
        </w:r>
        <w:r w:rsidR="00D6698F">
          <w:rPr>
            <w:webHidden/>
          </w:rPr>
          <w:fldChar w:fldCharType="separate"/>
        </w:r>
        <w:r w:rsidR="00C07DF9">
          <w:rPr>
            <w:webHidden/>
          </w:rPr>
          <w:t>1-7</w:t>
        </w:r>
        <w:r w:rsidR="00D6698F">
          <w:rPr>
            <w:webHidden/>
          </w:rPr>
          <w:fldChar w:fldCharType="end"/>
        </w:r>
      </w:hyperlink>
    </w:p>
    <w:p w14:paraId="6B6C97B7" w14:textId="458B9279" w:rsidR="00D6698F" w:rsidRDefault="00464453">
      <w:pPr>
        <w:pStyle w:val="TOC3"/>
        <w:tabs>
          <w:tab w:val="left" w:pos="2016"/>
        </w:tabs>
        <w:rPr>
          <w:rFonts w:asciiTheme="minorHAnsi" w:eastAsiaTheme="minorEastAsia" w:hAnsiTheme="minorHAnsi" w:cstheme="minorBidi"/>
          <w:color w:val="auto"/>
          <w:sz w:val="22"/>
          <w:szCs w:val="22"/>
        </w:rPr>
      </w:pPr>
      <w:hyperlink w:anchor="_Toc118205564" w:history="1">
        <w:r w:rsidR="00D6698F" w:rsidRPr="00E92ABE">
          <w:rPr>
            <w:rStyle w:val="Hyperlink"/>
          </w:rPr>
          <w:t>1.4.3</w:t>
        </w:r>
        <w:r w:rsidR="00D6698F">
          <w:rPr>
            <w:rFonts w:asciiTheme="minorHAnsi" w:eastAsiaTheme="minorEastAsia" w:hAnsiTheme="minorHAnsi" w:cstheme="minorBidi"/>
            <w:color w:val="auto"/>
            <w:sz w:val="22"/>
            <w:szCs w:val="22"/>
          </w:rPr>
          <w:tab/>
        </w:r>
        <w:r w:rsidR="00D6698F" w:rsidRPr="00E92ABE">
          <w:rPr>
            <w:rStyle w:val="Hyperlink"/>
          </w:rPr>
          <w:t>Data Usage Summary</w:t>
        </w:r>
        <w:r w:rsidR="00D6698F">
          <w:rPr>
            <w:webHidden/>
          </w:rPr>
          <w:tab/>
        </w:r>
        <w:r w:rsidR="00D6698F">
          <w:rPr>
            <w:webHidden/>
          </w:rPr>
          <w:fldChar w:fldCharType="begin"/>
        </w:r>
        <w:r w:rsidR="00D6698F">
          <w:rPr>
            <w:webHidden/>
          </w:rPr>
          <w:instrText xml:space="preserve"> PAGEREF _Toc118205564 \h </w:instrText>
        </w:r>
        <w:r w:rsidR="00D6698F">
          <w:rPr>
            <w:webHidden/>
          </w:rPr>
        </w:r>
        <w:r w:rsidR="00D6698F">
          <w:rPr>
            <w:webHidden/>
          </w:rPr>
          <w:fldChar w:fldCharType="separate"/>
        </w:r>
        <w:r w:rsidR="00C07DF9">
          <w:rPr>
            <w:webHidden/>
          </w:rPr>
          <w:t>1-7</w:t>
        </w:r>
        <w:r w:rsidR="00D6698F">
          <w:rPr>
            <w:webHidden/>
          </w:rPr>
          <w:fldChar w:fldCharType="end"/>
        </w:r>
      </w:hyperlink>
    </w:p>
    <w:p w14:paraId="400535B3" w14:textId="591348C4" w:rsidR="00D6698F" w:rsidRDefault="00464453" w:rsidP="00D6698F">
      <w:pPr>
        <w:pStyle w:val="TOC2"/>
        <w:rPr>
          <w:rFonts w:asciiTheme="minorHAnsi" w:eastAsiaTheme="minorEastAsia" w:hAnsiTheme="minorHAnsi" w:cstheme="minorBidi"/>
          <w:sz w:val="22"/>
        </w:rPr>
      </w:pPr>
      <w:hyperlink w:anchor="_Toc118205565" w:history="1">
        <w:r w:rsidR="00D6698F" w:rsidRPr="00E92ABE">
          <w:rPr>
            <w:rStyle w:val="Hyperlink"/>
          </w:rPr>
          <w:t>1.5</w:t>
        </w:r>
        <w:r w:rsidR="00D6698F">
          <w:rPr>
            <w:rFonts w:asciiTheme="minorHAnsi" w:eastAsiaTheme="minorEastAsia" w:hAnsiTheme="minorHAnsi" w:cstheme="minorBidi"/>
            <w:sz w:val="22"/>
          </w:rPr>
          <w:tab/>
        </w:r>
        <w:r w:rsidR="00D6698F" w:rsidRPr="00E92ABE">
          <w:rPr>
            <w:rStyle w:val="Hyperlink"/>
          </w:rPr>
          <w:t>Program Design Considerations</w:t>
        </w:r>
        <w:r w:rsidR="00D6698F">
          <w:rPr>
            <w:webHidden/>
          </w:rPr>
          <w:tab/>
        </w:r>
        <w:r w:rsidR="00D6698F">
          <w:rPr>
            <w:webHidden/>
          </w:rPr>
          <w:fldChar w:fldCharType="begin"/>
        </w:r>
        <w:r w:rsidR="00D6698F">
          <w:rPr>
            <w:webHidden/>
          </w:rPr>
          <w:instrText xml:space="preserve"> PAGEREF _Toc118205565 \h </w:instrText>
        </w:r>
        <w:r w:rsidR="00D6698F">
          <w:rPr>
            <w:webHidden/>
          </w:rPr>
        </w:r>
        <w:r w:rsidR="00D6698F">
          <w:rPr>
            <w:webHidden/>
          </w:rPr>
          <w:fldChar w:fldCharType="separate"/>
        </w:r>
        <w:r w:rsidR="00C07DF9">
          <w:rPr>
            <w:webHidden/>
          </w:rPr>
          <w:t>1-8</w:t>
        </w:r>
        <w:r w:rsidR="00D6698F">
          <w:rPr>
            <w:webHidden/>
          </w:rPr>
          <w:fldChar w:fldCharType="end"/>
        </w:r>
      </w:hyperlink>
    </w:p>
    <w:p w14:paraId="22E9F55C" w14:textId="1EF78B8C" w:rsidR="00D6698F" w:rsidRDefault="00464453">
      <w:pPr>
        <w:pStyle w:val="TOC3"/>
        <w:tabs>
          <w:tab w:val="left" w:pos="2016"/>
        </w:tabs>
        <w:rPr>
          <w:rFonts w:asciiTheme="minorHAnsi" w:eastAsiaTheme="minorEastAsia" w:hAnsiTheme="minorHAnsi" w:cstheme="minorBidi"/>
          <w:color w:val="auto"/>
          <w:sz w:val="22"/>
          <w:szCs w:val="22"/>
        </w:rPr>
      </w:pPr>
      <w:hyperlink w:anchor="_Toc118205566" w:history="1">
        <w:r w:rsidR="00D6698F" w:rsidRPr="00E92ABE">
          <w:rPr>
            <w:rStyle w:val="Hyperlink"/>
          </w:rPr>
          <w:t>1.5.1</w:t>
        </w:r>
        <w:r w:rsidR="00D6698F">
          <w:rPr>
            <w:rFonts w:asciiTheme="minorHAnsi" w:eastAsiaTheme="minorEastAsia" w:hAnsiTheme="minorHAnsi" w:cstheme="minorBidi"/>
            <w:color w:val="auto"/>
            <w:sz w:val="22"/>
            <w:szCs w:val="22"/>
          </w:rPr>
          <w:tab/>
        </w:r>
        <w:r w:rsidR="00D6698F" w:rsidRPr="00E92ABE">
          <w:rPr>
            <w:rStyle w:val="Hyperlink"/>
          </w:rPr>
          <w:t>Statewide Traffic Monitoring Program Types (Regional, Roadway, Project Specific) Overview</w:t>
        </w:r>
        <w:r w:rsidR="00D6698F">
          <w:rPr>
            <w:webHidden/>
          </w:rPr>
          <w:tab/>
        </w:r>
        <w:r w:rsidR="00D6698F">
          <w:rPr>
            <w:webHidden/>
          </w:rPr>
          <w:fldChar w:fldCharType="begin"/>
        </w:r>
        <w:r w:rsidR="00D6698F">
          <w:rPr>
            <w:webHidden/>
          </w:rPr>
          <w:instrText xml:space="preserve"> PAGEREF _Toc118205566 \h </w:instrText>
        </w:r>
        <w:r w:rsidR="00D6698F">
          <w:rPr>
            <w:webHidden/>
          </w:rPr>
        </w:r>
        <w:r w:rsidR="00D6698F">
          <w:rPr>
            <w:webHidden/>
          </w:rPr>
          <w:fldChar w:fldCharType="separate"/>
        </w:r>
        <w:r w:rsidR="00C07DF9">
          <w:rPr>
            <w:webHidden/>
          </w:rPr>
          <w:t>1-9</w:t>
        </w:r>
        <w:r w:rsidR="00D6698F">
          <w:rPr>
            <w:webHidden/>
          </w:rPr>
          <w:fldChar w:fldCharType="end"/>
        </w:r>
      </w:hyperlink>
    </w:p>
    <w:p w14:paraId="0476A264" w14:textId="15CE1D5F" w:rsidR="00D6698F" w:rsidRDefault="00464453">
      <w:pPr>
        <w:pStyle w:val="TOC4"/>
        <w:tabs>
          <w:tab w:val="left" w:pos="2793"/>
        </w:tabs>
        <w:rPr>
          <w:sz w:val="22"/>
          <w:szCs w:val="22"/>
        </w:rPr>
      </w:pPr>
      <w:hyperlink w:anchor="_Toc118205567" w:history="1">
        <w:r w:rsidR="00D6698F" w:rsidRPr="00E92ABE">
          <w:rPr>
            <w:rStyle w:val="Hyperlink"/>
          </w:rPr>
          <w:t>1.5.1.1</w:t>
        </w:r>
        <w:r w:rsidR="00D6698F">
          <w:rPr>
            <w:sz w:val="22"/>
            <w:szCs w:val="22"/>
          </w:rPr>
          <w:tab/>
        </w:r>
        <w:r w:rsidR="00D6698F" w:rsidRPr="00E92ABE">
          <w:rPr>
            <w:rStyle w:val="Hyperlink"/>
          </w:rPr>
          <w:t>Regional and Sub-Area Traffic monitoring Design</w:t>
        </w:r>
        <w:r w:rsidR="00D6698F">
          <w:rPr>
            <w:webHidden/>
          </w:rPr>
          <w:tab/>
        </w:r>
        <w:r w:rsidR="00D6698F">
          <w:rPr>
            <w:webHidden/>
          </w:rPr>
          <w:fldChar w:fldCharType="begin"/>
        </w:r>
        <w:r w:rsidR="00D6698F">
          <w:rPr>
            <w:webHidden/>
          </w:rPr>
          <w:instrText xml:space="preserve"> PAGEREF _Toc118205567 \h </w:instrText>
        </w:r>
        <w:r w:rsidR="00D6698F">
          <w:rPr>
            <w:webHidden/>
          </w:rPr>
        </w:r>
        <w:r w:rsidR="00D6698F">
          <w:rPr>
            <w:webHidden/>
          </w:rPr>
          <w:fldChar w:fldCharType="separate"/>
        </w:r>
        <w:r w:rsidR="00C07DF9">
          <w:rPr>
            <w:webHidden/>
          </w:rPr>
          <w:t>1-9</w:t>
        </w:r>
        <w:r w:rsidR="00D6698F">
          <w:rPr>
            <w:webHidden/>
          </w:rPr>
          <w:fldChar w:fldCharType="end"/>
        </w:r>
      </w:hyperlink>
    </w:p>
    <w:p w14:paraId="5640933E" w14:textId="2A475402" w:rsidR="00D6698F" w:rsidRDefault="00464453">
      <w:pPr>
        <w:pStyle w:val="TOC4"/>
        <w:tabs>
          <w:tab w:val="left" w:pos="2793"/>
        </w:tabs>
        <w:rPr>
          <w:sz w:val="22"/>
          <w:szCs w:val="22"/>
        </w:rPr>
      </w:pPr>
      <w:hyperlink w:anchor="_Toc118205568" w:history="1">
        <w:r w:rsidR="00D6698F" w:rsidRPr="00E92ABE">
          <w:rPr>
            <w:rStyle w:val="Hyperlink"/>
          </w:rPr>
          <w:t>1.5.1.2</w:t>
        </w:r>
        <w:r w:rsidR="00D6698F">
          <w:rPr>
            <w:sz w:val="22"/>
            <w:szCs w:val="22"/>
          </w:rPr>
          <w:tab/>
        </w:r>
        <w:r w:rsidR="00D6698F" w:rsidRPr="00E92ABE">
          <w:rPr>
            <w:rStyle w:val="Hyperlink"/>
          </w:rPr>
          <w:t>Roadway Facility Specific Traffic Monitoring Design</w:t>
        </w:r>
        <w:r w:rsidR="00D6698F">
          <w:rPr>
            <w:webHidden/>
          </w:rPr>
          <w:tab/>
        </w:r>
        <w:r w:rsidR="00D6698F">
          <w:rPr>
            <w:webHidden/>
          </w:rPr>
          <w:fldChar w:fldCharType="begin"/>
        </w:r>
        <w:r w:rsidR="00D6698F">
          <w:rPr>
            <w:webHidden/>
          </w:rPr>
          <w:instrText xml:space="preserve"> PAGEREF _Toc118205568 \h </w:instrText>
        </w:r>
        <w:r w:rsidR="00D6698F">
          <w:rPr>
            <w:webHidden/>
          </w:rPr>
        </w:r>
        <w:r w:rsidR="00D6698F">
          <w:rPr>
            <w:webHidden/>
          </w:rPr>
          <w:fldChar w:fldCharType="separate"/>
        </w:r>
        <w:r w:rsidR="00C07DF9">
          <w:rPr>
            <w:webHidden/>
          </w:rPr>
          <w:t>1-9</w:t>
        </w:r>
        <w:r w:rsidR="00D6698F">
          <w:rPr>
            <w:webHidden/>
          </w:rPr>
          <w:fldChar w:fldCharType="end"/>
        </w:r>
      </w:hyperlink>
    </w:p>
    <w:p w14:paraId="065DA537" w14:textId="40AE05C7" w:rsidR="00D6698F" w:rsidRDefault="00464453">
      <w:pPr>
        <w:pStyle w:val="TOC3"/>
        <w:tabs>
          <w:tab w:val="left" w:pos="2016"/>
        </w:tabs>
        <w:rPr>
          <w:rFonts w:asciiTheme="minorHAnsi" w:eastAsiaTheme="minorEastAsia" w:hAnsiTheme="minorHAnsi" w:cstheme="minorBidi"/>
          <w:color w:val="auto"/>
          <w:sz w:val="22"/>
          <w:szCs w:val="22"/>
        </w:rPr>
      </w:pPr>
      <w:hyperlink w:anchor="_Toc118205569" w:history="1">
        <w:r w:rsidR="00D6698F" w:rsidRPr="00E92ABE">
          <w:rPr>
            <w:rStyle w:val="Hyperlink"/>
          </w:rPr>
          <w:t>1.5.2</w:t>
        </w:r>
        <w:r w:rsidR="00D6698F">
          <w:rPr>
            <w:rFonts w:asciiTheme="minorHAnsi" w:eastAsiaTheme="minorEastAsia" w:hAnsiTheme="minorHAnsi" w:cstheme="minorBidi"/>
            <w:color w:val="auto"/>
            <w:sz w:val="22"/>
            <w:szCs w:val="22"/>
          </w:rPr>
          <w:tab/>
        </w:r>
        <w:r w:rsidR="00D6698F" w:rsidRPr="00E92ABE">
          <w:rPr>
            <w:rStyle w:val="Hyperlink"/>
          </w:rPr>
          <w:t>Components of a Traffic Data Program</w:t>
        </w:r>
        <w:r w:rsidR="00D6698F">
          <w:rPr>
            <w:webHidden/>
          </w:rPr>
          <w:tab/>
        </w:r>
        <w:r w:rsidR="00D6698F">
          <w:rPr>
            <w:webHidden/>
          </w:rPr>
          <w:fldChar w:fldCharType="begin"/>
        </w:r>
        <w:r w:rsidR="00D6698F">
          <w:rPr>
            <w:webHidden/>
          </w:rPr>
          <w:instrText xml:space="preserve"> PAGEREF _Toc118205569 \h </w:instrText>
        </w:r>
        <w:r w:rsidR="00D6698F">
          <w:rPr>
            <w:webHidden/>
          </w:rPr>
        </w:r>
        <w:r w:rsidR="00D6698F">
          <w:rPr>
            <w:webHidden/>
          </w:rPr>
          <w:fldChar w:fldCharType="separate"/>
        </w:r>
        <w:r w:rsidR="00C07DF9">
          <w:rPr>
            <w:webHidden/>
          </w:rPr>
          <w:t>1-9</w:t>
        </w:r>
        <w:r w:rsidR="00D6698F">
          <w:rPr>
            <w:webHidden/>
          </w:rPr>
          <w:fldChar w:fldCharType="end"/>
        </w:r>
      </w:hyperlink>
    </w:p>
    <w:p w14:paraId="5197F3D7" w14:textId="228A851E" w:rsidR="00D6698F" w:rsidRDefault="00464453">
      <w:pPr>
        <w:pStyle w:val="TOC4"/>
        <w:tabs>
          <w:tab w:val="left" w:pos="2793"/>
        </w:tabs>
        <w:rPr>
          <w:sz w:val="22"/>
          <w:szCs w:val="22"/>
        </w:rPr>
      </w:pPr>
      <w:hyperlink w:anchor="_Toc118205570" w:history="1">
        <w:r w:rsidR="00D6698F" w:rsidRPr="00E92ABE">
          <w:rPr>
            <w:rStyle w:val="Hyperlink"/>
          </w:rPr>
          <w:t>1.5.2.1</w:t>
        </w:r>
        <w:r w:rsidR="00D6698F">
          <w:rPr>
            <w:sz w:val="22"/>
            <w:szCs w:val="22"/>
          </w:rPr>
          <w:tab/>
        </w:r>
        <w:r w:rsidR="00D6698F" w:rsidRPr="00E92ABE">
          <w:rPr>
            <w:rStyle w:val="Hyperlink"/>
          </w:rPr>
          <w:t>Continuous Count Program (Volume, Speed, Classification, and Weight)</w:t>
        </w:r>
        <w:r w:rsidR="00D6698F">
          <w:rPr>
            <w:webHidden/>
          </w:rPr>
          <w:tab/>
        </w:r>
        <w:r w:rsidR="00D6698F">
          <w:rPr>
            <w:webHidden/>
          </w:rPr>
          <w:fldChar w:fldCharType="begin"/>
        </w:r>
        <w:r w:rsidR="00D6698F">
          <w:rPr>
            <w:webHidden/>
          </w:rPr>
          <w:instrText xml:space="preserve"> PAGEREF _Toc118205570 \h </w:instrText>
        </w:r>
        <w:r w:rsidR="00D6698F">
          <w:rPr>
            <w:webHidden/>
          </w:rPr>
        </w:r>
        <w:r w:rsidR="00D6698F">
          <w:rPr>
            <w:webHidden/>
          </w:rPr>
          <w:fldChar w:fldCharType="separate"/>
        </w:r>
        <w:r w:rsidR="00C07DF9">
          <w:rPr>
            <w:webHidden/>
          </w:rPr>
          <w:t>1-10</w:t>
        </w:r>
        <w:r w:rsidR="00D6698F">
          <w:rPr>
            <w:webHidden/>
          </w:rPr>
          <w:fldChar w:fldCharType="end"/>
        </w:r>
      </w:hyperlink>
    </w:p>
    <w:p w14:paraId="4D72562C" w14:textId="4C7779EE" w:rsidR="00D6698F" w:rsidRDefault="00464453">
      <w:pPr>
        <w:pStyle w:val="TOC4"/>
        <w:tabs>
          <w:tab w:val="left" w:pos="2793"/>
        </w:tabs>
        <w:rPr>
          <w:sz w:val="22"/>
          <w:szCs w:val="22"/>
        </w:rPr>
      </w:pPr>
      <w:hyperlink w:anchor="_Toc118205571" w:history="1">
        <w:r w:rsidR="00D6698F" w:rsidRPr="00E92ABE">
          <w:rPr>
            <w:rStyle w:val="Hyperlink"/>
          </w:rPr>
          <w:t>1.5.2.2</w:t>
        </w:r>
        <w:r w:rsidR="00D6698F">
          <w:rPr>
            <w:sz w:val="22"/>
            <w:szCs w:val="22"/>
          </w:rPr>
          <w:tab/>
        </w:r>
        <w:r w:rsidR="00D6698F" w:rsidRPr="00E92ABE">
          <w:rPr>
            <w:rStyle w:val="Hyperlink"/>
          </w:rPr>
          <w:t>Short-Term Count Program (Volume, Speed, Classification, and Weight)</w:t>
        </w:r>
        <w:r w:rsidR="00D6698F">
          <w:rPr>
            <w:webHidden/>
          </w:rPr>
          <w:tab/>
        </w:r>
        <w:r w:rsidR="00D6698F">
          <w:rPr>
            <w:webHidden/>
          </w:rPr>
          <w:fldChar w:fldCharType="begin"/>
        </w:r>
        <w:r w:rsidR="00D6698F">
          <w:rPr>
            <w:webHidden/>
          </w:rPr>
          <w:instrText xml:space="preserve"> PAGEREF _Toc118205571 \h </w:instrText>
        </w:r>
        <w:r w:rsidR="00D6698F">
          <w:rPr>
            <w:webHidden/>
          </w:rPr>
        </w:r>
        <w:r w:rsidR="00D6698F">
          <w:rPr>
            <w:webHidden/>
          </w:rPr>
          <w:fldChar w:fldCharType="separate"/>
        </w:r>
        <w:r w:rsidR="00C07DF9">
          <w:rPr>
            <w:webHidden/>
          </w:rPr>
          <w:t>1-10</w:t>
        </w:r>
        <w:r w:rsidR="00D6698F">
          <w:rPr>
            <w:webHidden/>
          </w:rPr>
          <w:fldChar w:fldCharType="end"/>
        </w:r>
      </w:hyperlink>
    </w:p>
    <w:p w14:paraId="3660B25F" w14:textId="489E9CE8" w:rsidR="00D6698F" w:rsidRDefault="00464453">
      <w:pPr>
        <w:pStyle w:val="TOC4"/>
        <w:tabs>
          <w:tab w:val="left" w:pos="2793"/>
        </w:tabs>
        <w:rPr>
          <w:sz w:val="22"/>
          <w:szCs w:val="22"/>
        </w:rPr>
      </w:pPr>
      <w:hyperlink w:anchor="_Toc118205572" w:history="1">
        <w:r w:rsidR="00D6698F" w:rsidRPr="00E92ABE">
          <w:rPr>
            <w:rStyle w:val="Hyperlink"/>
          </w:rPr>
          <w:t>1.5.2.3</w:t>
        </w:r>
        <w:r w:rsidR="00D6698F">
          <w:rPr>
            <w:sz w:val="22"/>
            <w:szCs w:val="22"/>
          </w:rPr>
          <w:tab/>
        </w:r>
        <w:r w:rsidR="00D6698F" w:rsidRPr="00E92ABE">
          <w:rPr>
            <w:rStyle w:val="Hyperlink"/>
          </w:rPr>
          <w:t>Coverage Counts Program (Full Roadway Network Traffic Data Coverage Program)</w:t>
        </w:r>
        <w:r w:rsidR="00D6698F">
          <w:rPr>
            <w:webHidden/>
          </w:rPr>
          <w:tab/>
        </w:r>
        <w:r w:rsidR="00D6698F">
          <w:rPr>
            <w:webHidden/>
          </w:rPr>
          <w:fldChar w:fldCharType="begin"/>
        </w:r>
        <w:r w:rsidR="00D6698F">
          <w:rPr>
            <w:webHidden/>
          </w:rPr>
          <w:instrText xml:space="preserve"> PAGEREF _Toc118205572 \h </w:instrText>
        </w:r>
        <w:r w:rsidR="00D6698F">
          <w:rPr>
            <w:webHidden/>
          </w:rPr>
        </w:r>
        <w:r w:rsidR="00D6698F">
          <w:rPr>
            <w:webHidden/>
          </w:rPr>
          <w:fldChar w:fldCharType="separate"/>
        </w:r>
        <w:r w:rsidR="00C07DF9">
          <w:rPr>
            <w:webHidden/>
          </w:rPr>
          <w:t>1-11</w:t>
        </w:r>
        <w:r w:rsidR="00D6698F">
          <w:rPr>
            <w:webHidden/>
          </w:rPr>
          <w:fldChar w:fldCharType="end"/>
        </w:r>
      </w:hyperlink>
    </w:p>
    <w:p w14:paraId="36A7BEEE" w14:textId="073BC76D" w:rsidR="00D6698F" w:rsidRDefault="00464453">
      <w:pPr>
        <w:pStyle w:val="TOC4"/>
        <w:tabs>
          <w:tab w:val="left" w:pos="2793"/>
        </w:tabs>
        <w:rPr>
          <w:sz w:val="22"/>
          <w:szCs w:val="22"/>
        </w:rPr>
      </w:pPr>
      <w:hyperlink w:anchor="_Toc118205573" w:history="1">
        <w:r w:rsidR="00D6698F" w:rsidRPr="00E92ABE">
          <w:rPr>
            <w:rStyle w:val="Hyperlink"/>
          </w:rPr>
          <w:t>1.5.2.4</w:t>
        </w:r>
        <w:r w:rsidR="00D6698F">
          <w:rPr>
            <w:sz w:val="22"/>
            <w:szCs w:val="22"/>
          </w:rPr>
          <w:tab/>
        </w:r>
        <w:r w:rsidR="00D6698F" w:rsidRPr="00E92ABE">
          <w:rPr>
            <w:rStyle w:val="Hyperlink"/>
          </w:rPr>
          <w:t>Special Counts Program (Roadway- or Supporting Program-Specific Traffic Data)</w:t>
        </w:r>
        <w:r w:rsidR="00D6698F">
          <w:rPr>
            <w:webHidden/>
          </w:rPr>
          <w:tab/>
        </w:r>
        <w:r w:rsidR="00D6698F">
          <w:rPr>
            <w:webHidden/>
          </w:rPr>
          <w:fldChar w:fldCharType="begin"/>
        </w:r>
        <w:r w:rsidR="00D6698F">
          <w:rPr>
            <w:webHidden/>
          </w:rPr>
          <w:instrText xml:space="preserve"> PAGEREF _Toc118205573 \h </w:instrText>
        </w:r>
        <w:r w:rsidR="00D6698F">
          <w:rPr>
            <w:webHidden/>
          </w:rPr>
        </w:r>
        <w:r w:rsidR="00D6698F">
          <w:rPr>
            <w:webHidden/>
          </w:rPr>
          <w:fldChar w:fldCharType="separate"/>
        </w:r>
        <w:r w:rsidR="00C07DF9">
          <w:rPr>
            <w:webHidden/>
          </w:rPr>
          <w:t>1-11</w:t>
        </w:r>
        <w:r w:rsidR="00D6698F">
          <w:rPr>
            <w:webHidden/>
          </w:rPr>
          <w:fldChar w:fldCharType="end"/>
        </w:r>
      </w:hyperlink>
    </w:p>
    <w:p w14:paraId="5C5470D3" w14:textId="4AE1E07D" w:rsidR="00D6698F" w:rsidRDefault="00464453">
      <w:pPr>
        <w:pStyle w:val="TOC4"/>
        <w:tabs>
          <w:tab w:val="left" w:pos="2793"/>
        </w:tabs>
        <w:rPr>
          <w:sz w:val="22"/>
          <w:szCs w:val="22"/>
        </w:rPr>
      </w:pPr>
      <w:hyperlink w:anchor="_Toc118205574" w:history="1">
        <w:r w:rsidR="00D6698F" w:rsidRPr="00E92ABE">
          <w:rPr>
            <w:rStyle w:val="Hyperlink"/>
          </w:rPr>
          <w:t>1.5.2.5</w:t>
        </w:r>
        <w:r w:rsidR="00D6698F">
          <w:rPr>
            <w:sz w:val="22"/>
            <w:szCs w:val="22"/>
          </w:rPr>
          <w:tab/>
        </w:r>
        <w:r w:rsidR="00D6698F" w:rsidRPr="00E92ABE">
          <w:rPr>
            <w:rStyle w:val="Hyperlink"/>
          </w:rPr>
          <w:t>Micromobility Permanent Data Program</w:t>
        </w:r>
        <w:r w:rsidR="00D6698F">
          <w:rPr>
            <w:webHidden/>
          </w:rPr>
          <w:tab/>
        </w:r>
        <w:r w:rsidR="00D6698F">
          <w:rPr>
            <w:webHidden/>
          </w:rPr>
          <w:fldChar w:fldCharType="begin"/>
        </w:r>
        <w:r w:rsidR="00D6698F">
          <w:rPr>
            <w:webHidden/>
          </w:rPr>
          <w:instrText xml:space="preserve"> PAGEREF _Toc118205574 \h </w:instrText>
        </w:r>
        <w:r w:rsidR="00D6698F">
          <w:rPr>
            <w:webHidden/>
          </w:rPr>
        </w:r>
        <w:r w:rsidR="00D6698F">
          <w:rPr>
            <w:webHidden/>
          </w:rPr>
          <w:fldChar w:fldCharType="separate"/>
        </w:r>
        <w:r w:rsidR="00C07DF9">
          <w:rPr>
            <w:webHidden/>
          </w:rPr>
          <w:t>1-11</w:t>
        </w:r>
        <w:r w:rsidR="00D6698F">
          <w:rPr>
            <w:webHidden/>
          </w:rPr>
          <w:fldChar w:fldCharType="end"/>
        </w:r>
      </w:hyperlink>
    </w:p>
    <w:p w14:paraId="2E79299E" w14:textId="19B14EBD" w:rsidR="00D6698F" w:rsidRDefault="00464453">
      <w:pPr>
        <w:pStyle w:val="TOC4"/>
        <w:tabs>
          <w:tab w:val="left" w:pos="2793"/>
        </w:tabs>
        <w:rPr>
          <w:sz w:val="22"/>
          <w:szCs w:val="22"/>
        </w:rPr>
      </w:pPr>
      <w:hyperlink w:anchor="_Toc118205575" w:history="1">
        <w:r w:rsidR="00D6698F" w:rsidRPr="00E92ABE">
          <w:rPr>
            <w:rStyle w:val="Hyperlink"/>
          </w:rPr>
          <w:t>1.5.2.6</w:t>
        </w:r>
        <w:r w:rsidR="00D6698F">
          <w:rPr>
            <w:sz w:val="22"/>
            <w:szCs w:val="22"/>
          </w:rPr>
          <w:tab/>
        </w:r>
        <w:r w:rsidR="00D6698F" w:rsidRPr="00E92ABE">
          <w:rPr>
            <w:rStyle w:val="Hyperlink"/>
            <w:rFonts w:eastAsiaTheme="majorEastAsia"/>
          </w:rPr>
          <w:t>Micromobility Short Term Count Program</w:t>
        </w:r>
        <w:r w:rsidR="00D6698F">
          <w:rPr>
            <w:webHidden/>
          </w:rPr>
          <w:tab/>
        </w:r>
        <w:r w:rsidR="00D6698F">
          <w:rPr>
            <w:webHidden/>
          </w:rPr>
          <w:fldChar w:fldCharType="begin"/>
        </w:r>
        <w:r w:rsidR="00D6698F">
          <w:rPr>
            <w:webHidden/>
          </w:rPr>
          <w:instrText xml:space="preserve"> PAGEREF _Toc118205575 \h </w:instrText>
        </w:r>
        <w:r w:rsidR="00D6698F">
          <w:rPr>
            <w:webHidden/>
          </w:rPr>
        </w:r>
        <w:r w:rsidR="00D6698F">
          <w:rPr>
            <w:webHidden/>
          </w:rPr>
          <w:fldChar w:fldCharType="separate"/>
        </w:r>
        <w:r w:rsidR="00C07DF9">
          <w:rPr>
            <w:webHidden/>
          </w:rPr>
          <w:t>1-12</w:t>
        </w:r>
        <w:r w:rsidR="00D6698F">
          <w:rPr>
            <w:webHidden/>
          </w:rPr>
          <w:fldChar w:fldCharType="end"/>
        </w:r>
      </w:hyperlink>
    </w:p>
    <w:p w14:paraId="793E5981" w14:textId="5941AAD4" w:rsidR="00D6698F" w:rsidRDefault="00464453" w:rsidP="00D6698F">
      <w:pPr>
        <w:pStyle w:val="TOC2"/>
        <w:rPr>
          <w:rFonts w:asciiTheme="minorHAnsi" w:eastAsiaTheme="minorEastAsia" w:hAnsiTheme="minorHAnsi" w:cstheme="minorBidi"/>
          <w:sz w:val="22"/>
        </w:rPr>
      </w:pPr>
      <w:hyperlink w:anchor="_Toc118205576" w:history="1">
        <w:r w:rsidR="00D6698F" w:rsidRPr="00E92ABE">
          <w:rPr>
            <w:rStyle w:val="Hyperlink"/>
          </w:rPr>
          <w:t>1.6</w:t>
        </w:r>
        <w:r w:rsidR="00D6698F">
          <w:rPr>
            <w:rFonts w:asciiTheme="minorHAnsi" w:eastAsiaTheme="minorEastAsia" w:hAnsiTheme="minorHAnsi" w:cstheme="minorBidi"/>
            <w:sz w:val="22"/>
          </w:rPr>
          <w:tab/>
        </w:r>
        <w:r w:rsidR="00D6698F" w:rsidRPr="00E92ABE">
          <w:rPr>
            <w:rStyle w:val="Hyperlink"/>
          </w:rPr>
          <w:t>Program Evaluation</w:t>
        </w:r>
        <w:r w:rsidR="00D6698F">
          <w:rPr>
            <w:webHidden/>
          </w:rPr>
          <w:tab/>
        </w:r>
        <w:r w:rsidR="00D6698F">
          <w:rPr>
            <w:webHidden/>
          </w:rPr>
          <w:fldChar w:fldCharType="begin"/>
        </w:r>
        <w:r w:rsidR="00D6698F">
          <w:rPr>
            <w:webHidden/>
          </w:rPr>
          <w:instrText xml:space="preserve"> PAGEREF _Toc118205576 \h </w:instrText>
        </w:r>
        <w:r w:rsidR="00D6698F">
          <w:rPr>
            <w:webHidden/>
          </w:rPr>
        </w:r>
        <w:r w:rsidR="00D6698F">
          <w:rPr>
            <w:webHidden/>
          </w:rPr>
          <w:fldChar w:fldCharType="separate"/>
        </w:r>
        <w:r w:rsidR="00C07DF9">
          <w:rPr>
            <w:webHidden/>
          </w:rPr>
          <w:t>1-12</w:t>
        </w:r>
        <w:r w:rsidR="00D6698F">
          <w:rPr>
            <w:webHidden/>
          </w:rPr>
          <w:fldChar w:fldCharType="end"/>
        </w:r>
      </w:hyperlink>
    </w:p>
    <w:p w14:paraId="67FC9229" w14:textId="0933A95B" w:rsidR="00D6698F" w:rsidRDefault="00464453" w:rsidP="00D6698F">
      <w:pPr>
        <w:pStyle w:val="TOC2"/>
        <w:rPr>
          <w:rFonts w:asciiTheme="minorHAnsi" w:eastAsiaTheme="minorEastAsia" w:hAnsiTheme="minorHAnsi" w:cstheme="minorBidi"/>
          <w:sz w:val="22"/>
        </w:rPr>
      </w:pPr>
      <w:hyperlink w:anchor="_Toc118205577" w:history="1">
        <w:r w:rsidR="00D6698F" w:rsidRPr="00E92ABE">
          <w:rPr>
            <w:rStyle w:val="Hyperlink"/>
          </w:rPr>
          <w:t>1.7</w:t>
        </w:r>
        <w:r w:rsidR="00D6698F">
          <w:rPr>
            <w:rFonts w:asciiTheme="minorHAnsi" w:eastAsiaTheme="minorEastAsia" w:hAnsiTheme="minorHAnsi" w:cstheme="minorBidi"/>
            <w:sz w:val="22"/>
          </w:rPr>
          <w:tab/>
        </w:r>
        <w:r w:rsidR="00D6698F" w:rsidRPr="00E92ABE">
          <w:rPr>
            <w:rStyle w:val="Hyperlink"/>
          </w:rPr>
          <w:t>Coordinating Count Programs and Sharing Data</w:t>
        </w:r>
        <w:r w:rsidR="00D6698F">
          <w:rPr>
            <w:webHidden/>
          </w:rPr>
          <w:tab/>
        </w:r>
        <w:r w:rsidR="00D6698F">
          <w:rPr>
            <w:webHidden/>
          </w:rPr>
          <w:fldChar w:fldCharType="begin"/>
        </w:r>
        <w:r w:rsidR="00D6698F">
          <w:rPr>
            <w:webHidden/>
          </w:rPr>
          <w:instrText xml:space="preserve"> PAGEREF _Toc118205577 \h </w:instrText>
        </w:r>
        <w:r w:rsidR="00D6698F">
          <w:rPr>
            <w:webHidden/>
          </w:rPr>
        </w:r>
        <w:r w:rsidR="00D6698F">
          <w:rPr>
            <w:webHidden/>
          </w:rPr>
          <w:fldChar w:fldCharType="separate"/>
        </w:r>
        <w:r w:rsidR="00C07DF9">
          <w:rPr>
            <w:webHidden/>
          </w:rPr>
          <w:t>1-15</w:t>
        </w:r>
        <w:r w:rsidR="00D6698F">
          <w:rPr>
            <w:webHidden/>
          </w:rPr>
          <w:fldChar w:fldCharType="end"/>
        </w:r>
      </w:hyperlink>
    </w:p>
    <w:p w14:paraId="5F80291A" w14:textId="6812E946" w:rsidR="00D6698F" w:rsidRDefault="00464453" w:rsidP="00D6698F">
      <w:pPr>
        <w:pStyle w:val="TOC2"/>
        <w:rPr>
          <w:rFonts w:asciiTheme="minorHAnsi" w:eastAsiaTheme="minorEastAsia" w:hAnsiTheme="minorHAnsi" w:cstheme="minorBidi"/>
          <w:sz w:val="22"/>
        </w:rPr>
      </w:pPr>
      <w:hyperlink w:anchor="_Toc118205578" w:history="1">
        <w:r w:rsidR="00D6698F" w:rsidRPr="00E92ABE">
          <w:rPr>
            <w:rStyle w:val="Hyperlink"/>
          </w:rPr>
          <w:t>1.8</w:t>
        </w:r>
        <w:r w:rsidR="00D6698F">
          <w:rPr>
            <w:rFonts w:asciiTheme="minorHAnsi" w:eastAsiaTheme="minorEastAsia" w:hAnsiTheme="minorHAnsi" w:cstheme="minorBidi"/>
            <w:sz w:val="22"/>
          </w:rPr>
          <w:tab/>
        </w:r>
        <w:r w:rsidR="00D6698F" w:rsidRPr="00E92ABE">
          <w:rPr>
            <w:rStyle w:val="Hyperlink"/>
          </w:rPr>
          <w:t>Documentation and Metadata</w:t>
        </w:r>
        <w:r w:rsidR="00D6698F">
          <w:rPr>
            <w:webHidden/>
          </w:rPr>
          <w:tab/>
        </w:r>
        <w:r w:rsidR="00D6698F">
          <w:rPr>
            <w:webHidden/>
          </w:rPr>
          <w:fldChar w:fldCharType="begin"/>
        </w:r>
        <w:r w:rsidR="00D6698F">
          <w:rPr>
            <w:webHidden/>
          </w:rPr>
          <w:instrText xml:space="preserve"> PAGEREF _Toc118205578 \h </w:instrText>
        </w:r>
        <w:r w:rsidR="00D6698F">
          <w:rPr>
            <w:webHidden/>
          </w:rPr>
        </w:r>
        <w:r w:rsidR="00D6698F">
          <w:rPr>
            <w:webHidden/>
          </w:rPr>
          <w:fldChar w:fldCharType="separate"/>
        </w:r>
        <w:r w:rsidR="00C07DF9">
          <w:rPr>
            <w:webHidden/>
          </w:rPr>
          <w:t>1-16</w:t>
        </w:r>
        <w:r w:rsidR="00D6698F">
          <w:rPr>
            <w:webHidden/>
          </w:rPr>
          <w:fldChar w:fldCharType="end"/>
        </w:r>
      </w:hyperlink>
    </w:p>
    <w:p w14:paraId="52B5AE19" w14:textId="2AAC6B1C" w:rsidR="00D6698F" w:rsidRDefault="00464453">
      <w:pPr>
        <w:pStyle w:val="TOC1"/>
        <w:rPr>
          <w:rFonts w:asciiTheme="minorHAnsi" w:eastAsiaTheme="minorEastAsia" w:hAnsiTheme="minorHAnsi" w:cstheme="minorBidi"/>
          <w:b w:val="0"/>
          <w:color w:val="auto"/>
          <w:sz w:val="22"/>
          <w:szCs w:val="22"/>
        </w:rPr>
      </w:pPr>
      <w:hyperlink w:anchor="_Toc118205579" w:history="1">
        <w:r w:rsidR="00D6698F" w:rsidRPr="00E92ABE">
          <w:rPr>
            <w:rStyle w:val="Hyperlink"/>
          </w:rPr>
          <w:t>Chapter 2.</w:t>
        </w:r>
        <w:r w:rsidR="00D6698F">
          <w:rPr>
            <w:rFonts w:asciiTheme="minorHAnsi" w:eastAsiaTheme="minorEastAsia" w:hAnsiTheme="minorHAnsi" w:cstheme="minorBidi"/>
            <w:b w:val="0"/>
            <w:color w:val="auto"/>
            <w:sz w:val="22"/>
            <w:szCs w:val="22"/>
          </w:rPr>
          <w:tab/>
        </w:r>
        <w:r w:rsidR="00D6698F" w:rsidRPr="00E92ABE">
          <w:rPr>
            <w:rStyle w:val="Hyperlink"/>
          </w:rPr>
          <w:t>Traffic Data Collection Technology and Equipment</w:t>
        </w:r>
        <w:r w:rsidR="00D6698F">
          <w:rPr>
            <w:webHidden/>
          </w:rPr>
          <w:tab/>
        </w:r>
        <w:r w:rsidR="00D6698F">
          <w:rPr>
            <w:webHidden/>
          </w:rPr>
          <w:fldChar w:fldCharType="begin"/>
        </w:r>
        <w:r w:rsidR="00D6698F">
          <w:rPr>
            <w:webHidden/>
          </w:rPr>
          <w:instrText xml:space="preserve"> PAGEREF _Toc118205579 \h </w:instrText>
        </w:r>
        <w:r w:rsidR="00D6698F">
          <w:rPr>
            <w:webHidden/>
          </w:rPr>
        </w:r>
        <w:r w:rsidR="00D6698F">
          <w:rPr>
            <w:webHidden/>
          </w:rPr>
          <w:fldChar w:fldCharType="separate"/>
        </w:r>
        <w:r w:rsidR="00C07DF9">
          <w:rPr>
            <w:webHidden/>
          </w:rPr>
          <w:t>2-1</w:t>
        </w:r>
        <w:r w:rsidR="00D6698F">
          <w:rPr>
            <w:webHidden/>
          </w:rPr>
          <w:fldChar w:fldCharType="end"/>
        </w:r>
      </w:hyperlink>
    </w:p>
    <w:p w14:paraId="1EE4E541" w14:textId="726065BC" w:rsidR="00D6698F" w:rsidRDefault="00464453" w:rsidP="00D6698F">
      <w:pPr>
        <w:pStyle w:val="TOC2"/>
        <w:rPr>
          <w:rFonts w:asciiTheme="minorHAnsi" w:eastAsiaTheme="minorEastAsia" w:hAnsiTheme="minorHAnsi" w:cstheme="minorBidi"/>
          <w:sz w:val="22"/>
        </w:rPr>
      </w:pPr>
      <w:hyperlink w:anchor="_Toc118205580" w:history="1">
        <w:r w:rsidR="00D6698F" w:rsidRPr="00E92ABE">
          <w:rPr>
            <w:rStyle w:val="Hyperlink"/>
          </w:rPr>
          <w:t>2.1</w:t>
        </w:r>
        <w:r w:rsidR="00D6698F">
          <w:rPr>
            <w:rFonts w:asciiTheme="minorHAnsi" w:eastAsiaTheme="minorEastAsia" w:hAnsiTheme="minorHAnsi" w:cstheme="minorBidi"/>
            <w:sz w:val="22"/>
          </w:rPr>
          <w:tab/>
        </w:r>
        <w:r w:rsidR="00D6698F" w:rsidRPr="00E92ABE">
          <w:rPr>
            <w:rStyle w:val="Hyperlink"/>
          </w:rPr>
          <w:t>Monitoring Technology and Equipment</w:t>
        </w:r>
        <w:r w:rsidR="00D6698F">
          <w:rPr>
            <w:webHidden/>
          </w:rPr>
          <w:tab/>
        </w:r>
        <w:r w:rsidR="00D6698F">
          <w:rPr>
            <w:webHidden/>
          </w:rPr>
          <w:fldChar w:fldCharType="begin"/>
        </w:r>
        <w:r w:rsidR="00D6698F">
          <w:rPr>
            <w:webHidden/>
          </w:rPr>
          <w:instrText xml:space="preserve"> PAGEREF _Toc118205580 \h </w:instrText>
        </w:r>
        <w:r w:rsidR="00D6698F">
          <w:rPr>
            <w:webHidden/>
          </w:rPr>
        </w:r>
        <w:r w:rsidR="00D6698F">
          <w:rPr>
            <w:webHidden/>
          </w:rPr>
          <w:fldChar w:fldCharType="separate"/>
        </w:r>
        <w:r w:rsidR="00C07DF9">
          <w:rPr>
            <w:webHidden/>
          </w:rPr>
          <w:t>2-1</w:t>
        </w:r>
        <w:r w:rsidR="00D6698F">
          <w:rPr>
            <w:webHidden/>
          </w:rPr>
          <w:fldChar w:fldCharType="end"/>
        </w:r>
      </w:hyperlink>
    </w:p>
    <w:p w14:paraId="4E3B9EDE" w14:textId="3FDCAEB0" w:rsidR="00D6698F" w:rsidRDefault="00464453">
      <w:pPr>
        <w:pStyle w:val="TOC3"/>
        <w:tabs>
          <w:tab w:val="left" w:pos="2016"/>
        </w:tabs>
        <w:rPr>
          <w:rFonts w:asciiTheme="minorHAnsi" w:eastAsiaTheme="minorEastAsia" w:hAnsiTheme="minorHAnsi" w:cstheme="minorBidi"/>
          <w:color w:val="auto"/>
          <w:sz w:val="22"/>
          <w:szCs w:val="22"/>
        </w:rPr>
      </w:pPr>
      <w:hyperlink w:anchor="_Toc118205581" w:history="1">
        <w:r w:rsidR="00D6698F" w:rsidRPr="00E92ABE">
          <w:rPr>
            <w:rStyle w:val="Hyperlink"/>
          </w:rPr>
          <w:t>2.1.1</w:t>
        </w:r>
        <w:r w:rsidR="00D6698F">
          <w:rPr>
            <w:rFonts w:asciiTheme="minorHAnsi" w:eastAsiaTheme="minorEastAsia" w:hAnsiTheme="minorHAnsi" w:cstheme="minorBidi"/>
            <w:color w:val="auto"/>
            <w:sz w:val="22"/>
            <w:szCs w:val="22"/>
          </w:rPr>
          <w:tab/>
        </w:r>
        <w:r w:rsidR="00D6698F" w:rsidRPr="00E92ABE">
          <w:rPr>
            <w:rStyle w:val="Hyperlink"/>
          </w:rPr>
          <w:t>Types of Traffic Data Collected</w:t>
        </w:r>
        <w:r w:rsidR="00D6698F">
          <w:rPr>
            <w:webHidden/>
          </w:rPr>
          <w:tab/>
        </w:r>
        <w:r w:rsidR="00D6698F">
          <w:rPr>
            <w:webHidden/>
          </w:rPr>
          <w:fldChar w:fldCharType="begin"/>
        </w:r>
        <w:r w:rsidR="00D6698F">
          <w:rPr>
            <w:webHidden/>
          </w:rPr>
          <w:instrText xml:space="preserve"> PAGEREF _Toc118205581 \h </w:instrText>
        </w:r>
        <w:r w:rsidR="00D6698F">
          <w:rPr>
            <w:webHidden/>
          </w:rPr>
        </w:r>
        <w:r w:rsidR="00D6698F">
          <w:rPr>
            <w:webHidden/>
          </w:rPr>
          <w:fldChar w:fldCharType="separate"/>
        </w:r>
        <w:r w:rsidR="00C07DF9">
          <w:rPr>
            <w:webHidden/>
          </w:rPr>
          <w:t>2-1</w:t>
        </w:r>
        <w:r w:rsidR="00D6698F">
          <w:rPr>
            <w:webHidden/>
          </w:rPr>
          <w:fldChar w:fldCharType="end"/>
        </w:r>
      </w:hyperlink>
    </w:p>
    <w:p w14:paraId="604A8396" w14:textId="373AFC5E" w:rsidR="00D6698F" w:rsidRDefault="00464453">
      <w:pPr>
        <w:pStyle w:val="TOC3"/>
        <w:tabs>
          <w:tab w:val="left" w:pos="2016"/>
        </w:tabs>
        <w:rPr>
          <w:rFonts w:asciiTheme="minorHAnsi" w:eastAsiaTheme="minorEastAsia" w:hAnsiTheme="minorHAnsi" w:cstheme="minorBidi"/>
          <w:color w:val="auto"/>
          <w:sz w:val="22"/>
          <w:szCs w:val="22"/>
        </w:rPr>
      </w:pPr>
      <w:hyperlink w:anchor="_Toc118205582" w:history="1">
        <w:r w:rsidR="00D6698F" w:rsidRPr="00E92ABE">
          <w:rPr>
            <w:rStyle w:val="Hyperlink"/>
          </w:rPr>
          <w:t>2.1.2</w:t>
        </w:r>
        <w:r w:rsidR="00D6698F">
          <w:rPr>
            <w:rFonts w:asciiTheme="minorHAnsi" w:eastAsiaTheme="minorEastAsia" w:hAnsiTheme="minorHAnsi" w:cstheme="minorBidi"/>
            <w:color w:val="auto"/>
            <w:sz w:val="22"/>
            <w:szCs w:val="22"/>
          </w:rPr>
          <w:tab/>
        </w:r>
        <w:r w:rsidR="00D6698F" w:rsidRPr="00E92ABE">
          <w:rPr>
            <w:rStyle w:val="Hyperlink"/>
          </w:rPr>
          <w:t>Detection Methods</w:t>
        </w:r>
        <w:r w:rsidR="00D6698F">
          <w:rPr>
            <w:webHidden/>
          </w:rPr>
          <w:tab/>
        </w:r>
        <w:r w:rsidR="00D6698F">
          <w:rPr>
            <w:webHidden/>
          </w:rPr>
          <w:fldChar w:fldCharType="begin"/>
        </w:r>
        <w:r w:rsidR="00D6698F">
          <w:rPr>
            <w:webHidden/>
          </w:rPr>
          <w:instrText xml:space="preserve"> PAGEREF _Toc118205582 \h </w:instrText>
        </w:r>
        <w:r w:rsidR="00D6698F">
          <w:rPr>
            <w:webHidden/>
          </w:rPr>
        </w:r>
        <w:r w:rsidR="00D6698F">
          <w:rPr>
            <w:webHidden/>
          </w:rPr>
          <w:fldChar w:fldCharType="separate"/>
        </w:r>
        <w:r w:rsidR="00C07DF9">
          <w:rPr>
            <w:webHidden/>
          </w:rPr>
          <w:t>2-1</w:t>
        </w:r>
        <w:r w:rsidR="00D6698F">
          <w:rPr>
            <w:webHidden/>
          </w:rPr>
          <w:fldChar w:fldCharType="end"/>
        </w:r>
      </w:hyperlink>
    </w:p>
    <w:p w14:paraId="25A702A3" w14:textId="2C9883EE" w:rsidR="00D6698F" w:rsidRDefault="00464453">
      <w:pPr>
        <w:pStyle w:val="TOC3"/>
        <w:tabs>
          <w:tab w:val="left" w:pos="2016"/>
        </w:tabs>
        <w:rPr>
          <w:rFonts w:asciiTheme="minorHAnsi" w:eastAsiaTheme="minorEastAsia" w:hAnsiTheme="minorHAnsi" w:cstheme="minorBidi"/>
          <w:color w:val="auto"/>
          <w:sz w:val="22"/>
          <w:szCs w:val="22"/>
        </w:rPr>
      </w:pPr>
      <w:hyperlink w:anchor="_Toc118205583" w:history="1">
        <w:r w:rsidR="00D6698F" w:rsidRPr="00E92ABE">
          <w:rPr>
            <w:rStyle w:val="Hyperlink"/>
          </w:rPr>
          <w:t>2.1.3</w:t>
        </w:r>
        <w:r w:rsidR="00D6698F">
          <w:rPr>
            <w:rFonts w:asciiTheme="minorHAnsi" w:eastAsiaTheme="minorEastAsia" w:hAnsiTheme="minorHAnsi" w:cstheme="minorBidi"/>
            <w:color w:val="auto"/>
            <w:sz w:val="22"/>
            <w:szCs w:val="22"/>
          </w:rPr>
          <w:tab/>
        </w:r>
        <w:r w:rsidR="00D6698F" w:rsidRPr="00E92ABE">
          <w:rPr>
            <w:rStyle w:val="Hyperlink"/>
          </w:rPr>
          <w:t>Equipment Types</w:t>
        </w:r>
        <w:r w:rsidR="00D6698F">
          <w:rPr>
            <w:webHidden/>
          </w:rPr>
          <w:tab/>
        </w:r>
        <w:r w:rsidR="00D6698F">
          <w:rPr>
            <w:webHidden/>
          </w:rPr>
          <w:fldChar w:fldCharType="begin"/>
        </w:r>
        <w:r w:rsidR="00D6698F">
          <w:rPr>
            <w:webHidden/>
          </w:rPr>
          <w:instrText xml:space="preserve"> PAGEREF _Toc118205583 \h </w:instrText>
        </w:r>
        <w:r w:rsidR="00D6698F">
          <w:rPr>
            <w:webHidden/>
          </w:rPr>
        </w:r>
        <w:r w:rsidR="00D6698F">
          <w:rPr>
            <w:webHidden/>
          </w:rPr>
          <w:fldChar w:fldCharType="separate"/>
        </w:r>
        <w:r w:rsidR="00C07DF9">
          <w:rPr>
            <w:webHidden/>
          </w:rPr>
          <w:t>2-1</w:t>
        </w:r>
        <w:r w:rsidR="00D6698F">
          <w:rPr>
            <w:webHidden/>
          </w:rPr>
          <w:fldChar w:fldCharType="end"/>
        </w:r>
      </w:hyperlink>
    </w:p>
    <w:p w14:paraId="131CE555" w14:textId="28CC1E48" w:rsidR="00D6698F" w:rsidRDefault="00464453">
      <w:pPr>
        <w:pStyle w:val="TOC3"/>
        <w:tabs>
          <w:tab w:val="left" w:pos="2016"/>
        </w:tabs>
        <w:rPr>
          <w:rFonts w:asciiTheme="minorHAnsi" w:eastAsiaTheme="minorEastAsia" w:hAnsiTheme="minorHAnsi" w:cstheme="minorBidi"/>
          <w:color w:val="auto"/>
          <w:sz w:val="22"/>
          <w:szCs w:val="22"/>
        </w:rPr>
      </w:pPr>
      <w:hyperlink w:anchor="_Toc118205584" w:history="1">
        <w:r w:rsidR="00D6698F" w:rsidRPr="00E92ABE">
          <w:rPr>
            <w:rStyle w:val="Hyperlink"/>
          </w:rPr>
          <w:t>2.1.4</w:t>
        </w:r>
        <w:r w:rsidR="00D6698F">
          <w:rPr>
            <w:rFonts w:asciiTheme="minorHAnsi" w:eastAsiaTheme="minorEastAsia" w:hAnsiTheme="minorHAnsi" w:cstheme="minorBidi"/>
            <w:color w:val="auto"/>
            <w:sz w:val="22"/>
            <w:szCs w:val="22"/>
          </w:rPr>
          <w:tab/>
        </w:r>
        <w:r w:rsidR="00D6698F" w:rsidRPr="00E92ABE">
          <w:rPr>
            <w:rStyle w:val="Hyperlink"/>
          </w:rPr>
          <w:t>Equipment Components</w:t>
        </w:r>
        <w:r w:rsidR="00D6698F">
          <w:rPr>
            <w:webHidden/>
          </w:rPr>
          <w:tab/>
        </w:r>
        <w:r w:rsidR="00D6698F">
          <w:rPr>
            <w:webHidden/>
          </w:rPr>
          <w:fldChar w:fldCharType="begin"/>
        </w:r>
        <w:r w:rsidR="00D6698F">
          <w:rPr>
            <w:webHidden/>
          </w:rPr>
          <w:instrText xml:space="preserve"> PAGEREF _Toc118205584 \h </w:instrText>
        </w:r>
        <w:r w:rsidR="00D6698F">
          <w:rPr>
            <w:webHidden/>
          </w:rPr>
        </w:r>
        <w:r w:rsidR="00D6698F">
          <w:rPr>
            <w:webHidden/>
          </w:rPr>
          <w:fldChar w:fldCharType="separate"/>
        </w:r>
        <w:r w:rsidR="00C07DF9">
          <w:rPr>
            <w:webHidden/>
          </w:rPr>
          <w:t>2-1</w:t>
        </w:r>
        <w:r w:rsidR="00D6698F">
          <w:rPr>
            <w:webHidden/>
          </w:rPr>
          <w:fldChar w:fldCharType="end"/>
        </w:r>
      </w:hyperlink>
    </w:p>
    <w:p w14:paraId="5696B79B" w14:textId="0ADA851B" w:rsidR="00D6698F" w:rsidRDefault="00464453">
      <w:pPr>
        <w:pStyle w:val="TOC3"/>
        <w:tabs>
          <w:tab w:val="left" w:pos="2016"/>
        </w:tabs>
        <w:rPr>
          <w:rFonts w:asciiTheme="minorHAnsi" w:eastAsiaTheme="minorEastAsia" w:hAnsiTheme="minorHAnsi" w:cstheme="minorBidi"/>
          <w:color w:val="auto"/>
          <w:sz w:val="22"/>
          <w:szCs w:val="22"/>
        </w:rPr>
      </w:pPr>
      <w:hyperlink w:anchor="_Toc118205585" w:history="1">
        <w:r w:rsidR="00D6698F" w:rsidRPr="00E92ABE">
          <w:rPr>
            <w:rStyle w:val="Hyperlink"/>
          </w:rPr>
          <w:t>2.1.5</w:t>
        </w:r>
        <w:r w:rsidR="00D6698F">
          <w:rPr>
            <w:rFonts w:asciiTheme="minorHAnsi" w:eastAsiaTheme="minorEastAsia" w:hAnsiTheme="minorHAnsi" w:cstheme="minorBidi"/>
            <w:color w:val="auto"/>
            <w:sz w:val="22"/>
            <w:szCs w:val="22"/>
          </w:rPr>
          <w:tab/>
        </w:r>
        <w:r w:rsidR="00D6698F" w:rsidRPr="00E92ABE">
          <w:rPr>
            <w:rStyle w:val="Hyperlink"/>
          </w:rPr>
          <w:t>Sensor Types Overview</w:t>
        </w:r>
        <w:r w:rsidR="00D6698F">
          <w:rPr>
            <w:webHidden/>
          </w:rPr>
          <w:tab/>
        </w:r>
        <w:r w:rsidR="00D6698F">
          <w:rPr>
            <w:webHidden/>
          </w:rPr>
          <w:fldChar w:fldCharType="begin"/>
        </w:r>
        <w:r w:rsidR="00D6698F">
          <w:rPr>
            <w:webHidden/>
          </w:rPr>
          <w:instrText xml:space="preserve"> PAGEREF _Toc118205585 \h </w:instrText>
        </w:r>
        <w:r w:rsidR="00D6698F">
          <w:rPr>
            <w:webHidden/>
          </w:rPr>
        </w:r>
        <w:r w:rsidR="00D6698F">
          <w:rPr>
            <w:webHidden/>
          </w:rPr>
          <w:fldChar w:fldCharType="separate"/>
        </w:r>
        <w:r w:rsidR="00C07DF9">
          <w:rPr>
            <w:webHidden/>
          </w:rPr>
          <w:t>2-3</w:t>
        </w:r>
        <w:r w:rsidR="00D6698F">
          <w:rPr>
            <w:webHidden/>
          </w:rPr>
          <w:fldChar w:fldCharType="end"/>
        </w:r>
      </w:hyperlink>
    </w:p>
    <w:p w14:paraId="6F0EAB51" w14:textId="473262C7" w:rsidR="00D6698F" w:rsidRDefault="00464453">
      <w:pPr>
        <w:pStyle w:val="TOC3"/>
        <w:tabs>
          <w:tab w:val="left" w:pos="2016"/>
        </w:tabs>
        <w:rPr>
          <w:rFonts w:asciiTheme="minorHAnsi" w:eastAsiaTheme="minorEastAsia" w:hAnsiTheme="minorHAnsi" w:cstheme="minorBidi"/>
          <w:color w:val="auto"/>
          <w:sz w:val="22"/>
          <w:szCs w:val="22"/>
        </w:rPr>
      </w:pPr>
      <w:hyperlink w:anchor="_Toc118205586" w:history="1">
        <w:r w:rsidR="00D6698F" w:rsidRPr="00E92ABE">
          <w:rPr>
            <w:rStyle w:val="Hyperlink"/>
          </w:rPr>
          <w:t>2.1.6</w:t>
        </w:r>
        <w:r w:rsidR="00D6698F">
          <w:rPr>
            <w:rFonts w:asciiTheme="minorHAnsi" w:eastAsiaTheme="minorEastAsia" w:hAnsiTheme="minorHAnsi" w:cstheme="minorBidi"/>
            <w:color w:val="auto"/>
            <w:sz w:val="22"/>
            <w:szCs w:val="22"/>
          </w:rPr>
          <w:tab/>
        </w:r>
        <w:r w:rsidR="00D6698F" w:rsidRPr="00E92ABE">
          <w:rPr>
            <w:rStyle w:val="Hyperlink"/>
          </w:rPr>
          <w:t>Sensor Technology Combinations</w:t>
        </w:r>
        <w:r w:rsidR="00D6698F">
          <w:rPr>
            <w:webHidden/>
          </w:rPr>
          <w:tab/>
        </w:r>
        <w:r w:rsidR="00D6698F">
          <w:rPr>
            <w:webHidden/>
          </w:rPr>
          <w:fldChar w:fldCharType="begin"/>
        </w:r>
        <w:r w:rsidR="00D6698F">
          <w:rPr>
            <w:webHidden/>
          </w:rPr>
          <w:instrText xml:space="preserve"> PAGEREF _Toc118205586 \h </w:instrText>
        </w:r>
        <w:r w:rsidR="00D6698F">
          <w:rPr>
            <w:webHidden/>
          </w:rPr>
        </w:r>
        <w:r w:rsidR="00D6698F">
          <w:rPr>
            <w:webHidden/>
          </w:rPr>
          <w:fldChar w:fldCharType="separate"/>
        </w:r>
        <w:r w:rsidR="00C07DF9">
          <w:rPr>
            <w:webHidden/>
          </w:rPr>
          <w:t>2-5</w:t>
        </w:r>
        <w:r w:rsidR="00D6698F">
          <w:rPr>
            <w:webHidden/>
          </w:rPr>
          <w:fldChar w:fldCharType="end"/>
        </w:r>
      </w:hyperlink>
    </w:p>
    <w:p w14:paraId="20CF45DA" w14:textId="19366640" w:rsidR="00D6698F" w:rsidRDefault="00464453">
      <w:pPr>
        <w:pStyle w:val="TOC3"/>
        <w:tabs>
          <w:tab w:val="left" w:pos="2016"/>
        </w:tabs>
        <w:rPr>
          <w:rFonts w:asciiTheme="minorHAnsi" w:eastAsiaTheme="minorEastAsia" w:hAnsiTheme="minorHAnsi" w:cstheme="minorBidi"/>
          <w:color w:val="auto"/>
          <w:sz w:val="22"/>
          <w:szCs w:val="22"/>
        </w:rPr>
      </w:pPr>
      <w:hyperlink w:anchor="_Toc118205587" w:history="1">
        <w:r w:rsidR="00D6698F" w:rsidRPr="00E92ABE">
          <w:rPr>
            <w:rStyle w:val="Hyperlink"/>
          </w:rPr>
          <w:t>2.1.7</w:t>
        </w:r>
        <w:r w:rsidR="00D6698F">
          <w:rPr>
            <w:rFonts w:asciiTheme="minorHAnsi" w:eastAsiaTheme="minorEastAsia" w:hAnsiTheme="minorHAnsi" w:cstheme="minorBidi"/>
            <w:color w:val="auto"/>
            <w:sz w:val="22"/>
            <w:szCs w:val="22"/>
          </w:rPr>
          <w:tab/>
        </w:r>
        <w:r w:rsidR="00D6698F" w:rsidRPr="00E92ABE">
          <w:rPr>
            <w:rStyle w:val="Hyperlink"/>
          </w:rPr>
          <w:t>Strengths And Weaknesses Of Commercially Available Sensor Technologies</w:t>
        </w:r>
        <w:r w:rsidR="00D6698F">
          <w:rPr>
            <w:webHidden/>
          </w:rPr>
          <w:tab/>
        </w:r>
        <w:r w:rsidR="00D6698F">
          <w:rPr>
            <w:webHidden/>
          </w:rPr>
          <w:fldChar w:fldCharType="begin"/>
        </w:r>
        <w:r w:rsidR="00D6698F">
          <w:rPr>
            <w:webHidden/>
          </w:rPr>
          <w:instrText xml:space="preserve"> PAGEREF _Toc118205587 \h </w:instrText>
        </w:r>
        <w:r w:rsidR="00D6698F">
          <w:rPr>
            <w:webHidden/>
          </w:rPr>
        </w:r>
        <w:r w:rsidR="00D6698F">
          <w:rPr>
            <w:webHidden/>
          </w:rPr>
          <w:fldChar w:fldCharType="separate"/>
        </w:r>
        <w:r w:rsidR="00C07DF9">
          <w:rPr>
            <w:webHidden/>
          </w:rPr>
          <w:t>2-5</w:t>
        </w:r>
        <w:r w:rsidR="00D6698F">
          <w:rPr>
            <w:webHidden/>
          </w:rPr>
          <w:fldChar w:fldCharType="end"/>
        </w:r>
      </w:hyperlink>
    </w:p>
    <w:p w14:paraId="4AB786C0" w14:textId="1461A396" w:rsidR="00D6698F" w:rsidRDefault="00464453" w:rsidP="00D6698F">
      <w:pPr>
        <w:pStyle w:val="TOC2"/>
        <w:rPr>
          <w:rFonts w:asciiTheme="minorHAnsi" w:eastAsiaTheme="minorEastAsia" w:hAnsiTheme="minorHAnsi" w:cstheme="minorBidi"/>
          <w:sz w:val="22"/>
        </w:rPr>
      </w:pPr>
      <w:hyperlink w:anchor="_Toc118205588" w:history="1">
        <w:r w:rsidR="00D6698F" w:rsidRPr="00E92ABE">
          <w:rPr>
            <w:rStyle w:val="Hyperlink"/>
          </w:rPr>
          <w:t>2.2</w:t>
        </w:r>
        <w:r w:rsidR="00D6698F">
          <w:rPr>
            <w:rFonts w:asciiTheme="minorHAnsi" w:eastAsiaTheme="minorEastAsia" w:hAnsiTheme="minorHAnsi" w:cstheme="minorBidi"/>
            <w:sz w:val="22"/>
          </w:rPr>
          <w:tab/>
        </w:r>
        <w:r w:rsidR="00D6698F" w:rsidRPr="00E92ABE">
          <w:rPr>
            <w:rStyle w:val="Hyperlink"/>
          </w:rPr>
          <w:t>Selecting Motorized Traffic Monitoring Technologies</w:t>
        </w:r>
        <w:r w:rsidR="00D6698F">
          <w:rPr>
            <w:webHidden/>
          </w:rPr>
          <w:tab/>
        </w:r>
        <w:r w:rsidR="00D6698F">
          <w:rPr>
            <w:webHidden/>
          </w:rPr>
          <w:fldChar w:fldCharType="begin"/>
        </w:r>
        <w:r w:rsidR="00D6698F">
          <w:rPr>
            <w:webHidden/>
          </w:rPr>
          <w:instrText xml:space="preserve"> PAGEREF _Toc118205588 \h </w:instrText>
        </w:r>
        <w:r w:rsidR="00D6698F">
          <w:rPr>
            <w:webHidden/>
          </w:rPr>
        </w:r>
        <w:r w:rsidR="00D6698F">
          <w:rPr>
            <w:webHidden/>
          </w:rPr>
          <w:fldChar w:fldCharType="separate"/>
        </w:r>
        <w:r w:rsidR="00C07DF9">
          <w:rPr>
            <w:webHidden/>
          </w:rPr>
          <w:t>2-11</w:t>
        </w:r>
        <w:r w:rsidR="00D6698F">
          <w:rPr>
            <w:webHidden/>
          </w:rPr>
          <w:fldChar w:fldCharType="end"/>
        </w:r>
      </w:hyperlink>
    </w:p>
    <w:p w14:paraId="7DB94352" w14:textId="0AFFBD84" w:rsidR="00D6698F" w:rsidRDefault="00464453">
      <w:pPr>
        <w:pStyle w:val="TOC3"/>
        <w:tabs>
          <w:tab w:val="left" w:pos="2016"/>
        </w:tabs>
        <w:rPr>
          <w:rFonts w:asciiTheme="minorHAnsi" w:eastAsiaTheme="minorEastAsia" w:hAnsiTheme="minorHAnsi" w:cstheme="minorBidi"/>
          <w:color w:val="auto"/>
          <w:sz w:val="22"/>
          <w:szCs w:val="22"/>
        </w:rPr>
      </w:pPr>
      <w:hyperlink w:anchor="_Toc118205589" w:history="1">
        <w:r w:rsidR="00D6698F" w:rsidRPr="00E92ABE">
          <w:rPr>
            <w:rStyle w:val="Hyperlink"/>
          </w:rPr>
          <w:t>2.2.1</w:t>
        </w:r>
        <w:r w:rsidR="00D6698F">
          <w:rPr>
            <w:rFonts w:asciiTheme="minorHAnsi" w:eastAsiaTheme="minorEastAsia" w:hAnsiTheme="minorHAnsi" w:cstheme="minorBidi"/>
            <w:color w:val="auto"/>
            <w:sz w:val="22"/>
            <w:szCs w:val="22"/>
          </w:rPr>
          <w:tab/>
        </w:r>
        <w:r w:rsidR="00D6698F" w:rsidRPr="00E92ABE">
          <w:rPr>
            <w:rStyle w:val="Hyperlink"/>
          </w:rPr>
          <w:t>Vehicle Detection Equipment Capabilities by Traffic Data Types</w:t>
        </w:r>
        <w:r w:rsidR="00D6698F">
          <w:rPr>
            <w:webHidden/>
          </w:rPr>
          <w:tab/>
        </w:r>
        <w:r w:rsidR="00D6698F">
          <w:rPr>
            <w:webHidden/>
          </w:rPr>
          <w:fldChar w:fldCharType="begin"/>
        </w:r>
        <w:r w:rsidR="00D6698F">
          <w:rPr>
            <w:webHidden/>
          </w:rPr>
          <w:instrText xml:space="preserve"> PAGEREF _Toc118205589 \h </w:instrText>
        </w:r>
        <w:r w:rsidR="00D6698F">
          <w:rPr>
            <w:webHidden/>
          </w:rPr>
        </w:r>
        <w:r w:rsidR="00D6698F">
          <w:rPr>
            <w:webHidden/>
          </w:rPr>
          <w:fldChar w:fldCharType="separate"/>
        </w:r>
        <w:r w:rsidR="00C07DF9">
          <w:rPr>
            <w:webHidden/>
          </w:rPr>
          <w:t>2-11</w:t>
        </w:r>
        <w:r w:rsidR="00D6698F">
          <w:rPr>
            <w:webHidden/>
          </w:rPr>
          <w:fldChar w:fldCharType="end"/>
        </w:r>
      </w:hyperlink>
    </w:p>
    <w:p w14:paraId="47589D3F" w14:textId="460353FB" w:rsidR="00D6698F" w:rsidRDefault="00464453">
      <w:pPr>
        <w:pStyle w:val="TOC3"/>
        <w:tabs>
          <w:tab w:val="left" w:pos="2016"/>
        </w:tabs>
        <w:rPr>
          <w:rFonts w:asciiTheme="minorHAnsi" w:eastAsiaTheme="minorEastAsia" w:hAnsiTheme="minorHAnsi" w:cstheme="minorBidi"/>
          <w:color w:val="auto"/>
          <w:sz w:val="22"/>
          <w:szCs w:val="22"/>
        </w:rPr>
      </w:pPr>
      <w:hyperlink w:anchor="_Toc118205590" w:history="1">
        <w:r w:rsidR="00D6698F" w:rsidRPr="00E92ABE">
          <w:rPr>
            <w:rStyle w:val="Hyperlink"/>
          </w:rPr>
          <w:t>2.2.2</w:t>
        </w:r>
        <w:r w:rsidR="00D6698F">
          <w:rPr>
            <w:rFonts w:asciiTheme="minorHAnsi" w:eastAsiaTheme="minorEastAsia" w:hAnsiTheme="minorHAnsi" w:cstheme="minorBidi"/>
            <w:color w:val="auto"/>
            <w:sz w:val="22"/>
            <w:szCs w:val="22"/>
          </w:rPr>
          <w:tab/>
        </w:r>
        <w:r w:rsidR="00D6698F" w:rsidRPr="00E92ABE">
          <w:rPr>
            <w:rStyle w:val="Hyperlink"/>
          </w:rPr>
          <w:t>Equipment Selection Considerations</w:t>
        </w:r>
        <w:r w:rsidR="00D6698F">
          <w:rPr>
            <w:webHidden/>
          </w:rPr>
          <w:tab/>
        </w:r>
        <w:r w:rsidR="00D6698F">
          <w:rPr>
            <w:webHidden/>
          </w:rPr>
          <w:fldChar w:fldCharType="begin"/>
        </w:r>
        <w:r w:rsidR="00D6698F">
          <w:rPr>
            <w:webHidden/>
          </w:rPr>
          <w:instrText xml:space="preserve"> PAGEREF _Toc118205590 \h </w:instrText>
        </w:r>
        <w:r w:rsidR="00D6698F">
          <w:rPr>
            <w:webHidden/>
          </w:rPr>
        </w:r>
        <w:r w:rsidR="00D6698F">
          <w:rPr>
            <w:webHidden/>
          </w:rPr>
          <w:fldChar w:fldCharType="separate"/>
        </w:r>
        <w:r w:rsidR="00C07DF9">
          <w:rPr>
            <w:webHidden/>
          </w:rPr>
          <w:t>2-15</w:t>
        </w:r>
        <w:r w:rsidR="00D6698F">
          <w:rPr>
            <w:webHidden/>
          </w:rPr>
          <w:fldChar w:fldCharType="end"/>
        </w:r>
      </w:hyperlink>
    </w:p>
    <w:p w14:paraId="2D95487D" w14:textId="0FAB8A96" w:rsidR="00D6698F" w:rsidRDefault="00464453">
      <w:pPr>
        <w:pStyle w:val="TOC3"/>
        <w:tabs>
          <w:tab w:val="left" w:pos="2016"/>
        </w:tabs>
        <w:rPr>
          <w:rFonts w:asciiTheme="minorHAnsi" w:eastAsiaTheme="minorEastAsia" w:hAnsiTheme="minorHAnsi" w:cstheme="minorBidi"/>
          <w:color w:val="auto"/>
          <w:sz w:val="22"/>
          <w:szCs w:val="22"/>
        </w:rPr>
      </w:pPr>
      <w:hyperlink w:anchor="_Toc118205591" w:history="1">
        <w:r w:rsidR="00D6698F" w:rsidRPr="00E92ABE">
          <w:rPr>
            <w:rStyle w:val="Hyperlink"/>
          </w:rPr>
          <w:t>2.2.3</w:t>
        </w:r>
        <w:r w:rsidR="00D6698F">
          <w:rPr>
            <w:rFonts w:asciiTheme="minorHAnsi" w:eastAsiaTheme="minorEastAsia" w:hAnsiTheme="minorHAnsi" w:cstheme="minorBidi"/>
            <w:color w:val="auto"/>
            <w:sz w:val="22"/>
            <w:szCs w:val="22"/>
          </w:rPr>
          <w:tab/>
        </w:r>
        <w:r w:rsidR="00D6698F" w:rsidRPr="00E92ABE">
          <w:rPr>
            <w:rStyle w:val="Hyperlink"/>
          </w:rPr>
          <w:t>Equipment Selection for Short-Term Temporary Counts</w:t>
        </w:r>
        <w:r w:rsidR="00D6698F">
          <w:rPr>
            <w:webHidden/>
          </w:rPr>
          <w:tab/>
        </w:r>
        <w:r w:rsidR="00D6698F">
          <w:rPr>
            <w:webHidden/>
          </w:rPr>
          <w:fldChar w:fldCharType="begin"/>
        </w:r>
        <w:r w:rsidR="00D6698F">
          <w:rPr>
            <w:webHidden/>
          </w:rPr>
          <w:instrText xml:space="preserve"> PAGEREF _Toc118205591 \h </w:instrText>
        </w:r>
        <w:r w:rsidR="00D6698F">
          <w:rPr>
            <w:webHidden/>
          </w:rPr>
        </w:r>
        <w:r w:rsidR="00D6698F">
          <w:rPr>
            <w:webHidden/>
          </w:rPr>
          <w:fldChar w:fldCharType="separate"/>
        </w:r>
        <w:r w:rsidR="00C07DF9">
          <w:rPr>
            <w:webHidden/>
          </w:rPr>
          <w:t>2-17</w:t>
        </w:r>
        <w:r w:rsidR="00D6698F">
          <w:rPr>
            <w:webHidden/>
          </w:rPr>
          <w:fldChar w:fldCharType="end"/>
        </w:r>
      </w:hyperlink>
    </w:p>
    <w:p w14:paraId="530AABA4" w14:textId="3B1C9FBD" w:rsidR="00D6698F" w:rsidRDefault="00464453">
      <w:pPr>
        <w:pStyle w:val="TOC3"/>
        <w:tabs>
          <w:tab w:val="left" w:pos="2016"/>
        </w:tabs>
        <w:rPr>
          <w:rFonts w:asciiTheme="minorHAnsi" w:eastAsiaTheme="minorEastAsia" w:hAnsiTheme="minorHAnsi" w:cstheme="minorBidi"/>
          <w:color w:val="auto"/>
          <w:sz w:val="22"/>
          <w:szCs w:val="22"/>
        </w:rPr>
      </w:pPr>
      <w:hyperlink w:anchor="_Toc118205592" w:history="1">
        <w:r w:rsidR="00D6698F" w:rsidRPr="00E92ABE">
          <w:rPr>
            <w:rStyle w:val="Hyperlink"/>
          </w:rPr>
          <w:t>2.2.4</w:t>
        </w:r>
        <w:r w:rsidR="00D6698F">
          <w:rPr>
            <w:rFonts w:asciiTheme="minorHAnsi" w:eastAsiaTheme="minorEastAsia" w:hAnsiTheme="minorHAnsi" w:cstheme="minorBidi"/>
            <w:color w:val="auto"/>
            <w:sz w:val="22"/>
            <w:szCs w:val="22"/>
          </w:rPr>
          <w:tab/>
        </w:r>
        <w:r w:rsidR="00D6698F" w:rsidRPr="00E92ABE">
          <w:rPr>
            <w:rStyle w:val="Hyperlink"/>
          </w:rPr>
          <w:t>Equipment Selection for Continuous Counts</w:t>
        </w:r>
        <w:r w:rsidR="00D6698F">
          <w:rPr>
            <w:webHidden/>
          </w:rPr>
          <w:tab/>
        </w:r>
        <w:r w:rsidR="00D6698F">
          <w:rPr>
            <w:webHidden/>
          </w:rPr>
          <w:fldChar w:fldCharType="begin"/>
        </w:r>
        <w:r w:rsidR="00D6698F">
          <w:rPr>
            <w:webHidden/>
          </w:rPr>
          <w:instrText xml:space="preserve"> PAGEREF _Toc118205592 \h </w:instrText>
        </w:r>
        <w:r w:rsidR="00D6698F">
          <w:rPr>
            <w:webHidden/>
          </w:rPr>
        </w:r>
        <w:r w:rsidR="00D6698F">
          <w:rPr>
            <w:webHidden/>
          </w:rPr>
          <w:fldChar w:fldCharType="separate"/>
        </w:r>
        <w:r w:rsidR="00C07DF9">
          <w:rPr>
            <w:webHidden/>
          </w:rPr>
          <w:t>2-21</w:t>
        </w:r>
        <w:r w:rsidR="00D6698F">
          <w:rPr>
            <w:webHidden/>
          </w:rPr>
          <w:fldChar w:fldCharType="end"/>
        </w:r>
      </w:hyperlink>
    </w:p>
    <w:p w14:paraId="5B679050" w14:textId="33967E30" w:rsidR="00D6698F" w:rsidRDefault="00464453">
      <w:pPr>
        <w:pStyle w:val="TOC3"/>
        <w:tabs>
          <w:tab w:val="left" w:pos="2016"/>
        </w:tabs>
        <w:rPr>
          <w:rFonts w:asciiTheme="minorHAnsi" w:eastAsiaTheme="minorEastAsia" w:hAnsiTheme="minorHAnsi" w:cstheme="minorBidi"/>
          <w:color w:val="auto"/>
          <w:sz w:val="22"/>
          <w:szCs w:val="22"/>
        </w:rPr>
      </w:pPr>
      <w:hyperlink w:anchor="_Toc118205593" w:history="1">
        <w:r w:rsidR="00D6698F" w:rsidRPr="00E92ABE">
          <w:rPr>
            <w:rStyle w:val="Hyperlink"/>
          </w:rPr>
          <w:t>2.2.5</w:t>
        </w:r>
        <w:r w:rsidR="00D6698F">
          <w:rPr>
            <w:rFonts w:asciiTheme="minorHAnsi" w:eastAsiaTheme="minorEastAsia" w:hAnsiTheme="minorHAnsi" w:cstheme="minorBidi"/>
            <w:color w:val="auto"/>
            <w:sz w:val="22"/>
            <w:szCs w:val="22"/>
          </w:rPr>
          <w:tab/>
        </w:r>
        <w:r w:rsidR="00D6698F" w:rsidRPr="00E92ABE">
          <w:rPr>
            <w:rStyle w:val="Hyperlink"/>
          </w:rPr>
          <w:t>Sensor and Equipment Location Considerations</w:t>
        </w:r>
        <w:r w:rsidR="00D6698F">
          <w:rPr>
            <w:webHidden/>
          </w:rPr>
          <w:tab/>
        </w:r>
        <w:r w:rsidR="00D6698F">
          <w:rPr>
            <w:webHidden/>
          </w:rPr>
          <w:fldChar w:fldCharType="begin"/>
        </w:r>
        <w:r w:rsidR="00D6698F">
          <w:rPr>
            <w:webHidden/>
          </w:rPr>
          <w:instrText xml:space="preserve"> PAGEREF _Toc118205593 \h </w:instrText>
        </w:r>
        <w:r w:rsidR="00D6698F">
          <w:rPr>
            <w:webHidden/>
          </w:rPr>
        </w:r>
        <w:r w:rsidR="00D6698F">
          <w:rPr>
            <w:webHidden/>
          </w:rPr>
          <w:fldChar w:fldCharType="separate"/>
        </w:r>
        <w:r w:rsidR="00C07DF9">
          <w:rPr>
            <w:webHidden/>
          </w:rPr>
          <w:t>2-24</w:t>
        </w:r>
        <w:r w:rsidR="00D6698F">
          <w:rPr>
            <w:webHidden/>
          </w:rPr>
          <w:fldChar w:fldCharType="end"/>
        </w:r>
      </w:hyperlink>
    </w:p>
    <w:p w14:paraId="2F182FD2" w14:textId="219292E9" w:rsidR="00D6698F" w:rsidRDefault="00464453">
      <w:pPr>
        <w:pStyle w:val="TOC3"/>
        <w:tabs>
          <w:tab w:val="left" w:pos="2016"/>
        </w:tabs>
        <w:rPr>
          <w:rFonts w:asciiTheme="minorHAnsi" w:eastAsiaTheme="minorEastAsia" w:hAnsiTheme="minorHAnsi" w:cstheme="minorBidi"/>
          <w:color w:val="auto"/>
          <w:sz w:val="22"/>
          <w:szCs w:val="22"/>
        </w:rPr>
      </w:pPr>
      <w:hyperlink w:anchor="_Toc118205594" w:history="1">
        <w:r w:rsidR="00D6698F" w:rsidRPr="00E92ABE">
          <w:rPr>
            <w:rStyle w:val="Hyperlink"/>
          </w:rPr>
          <w:t>2.2.6</w:t>
        </w:r>
        <w:r w:rsidR="00D6698F">
          <w:rPr>
            <w:rFonts w:asciiTheme="minorHAnsi" w:eastAsiaTheme="minorEastAsia" w:hAnsiTheme="minorHAnsi" w:cstheme="minorBidi"/>
            <w:color w:val="auto"/>
            <w:sz w:val="22"/>
            <w:szCs w:val="22"/>
          </w:rPr>
          <w:tab/>
        </w:r>
        <w:r w:rsidR="00D6698F" w:rsidRPr="00E92ABE">
          <w:rPr>
            <w:rStyle w:val="Hyperlink"/>
          </w:rPr>
          <w:t>Sensor Layout and Configuration for Motorized Vehicle Detection</w:t>
        </w:r>
        <w:r w:rsidR="00D6698F">
          <w:rPr>
            <w:webHidden/>
          </w:rPr>
          <w:tab/>
        </w:r>
        <w:r w:rsidR="00D6698F">
          <w:rPr>
            <w:webHidden/>
          </w:rPr>
          <w:fldChar w:fldCharType="begin"/>
        </w:r>
        <w:r w:rsidR="00D6698F">
          <w:rPr>
            <w:webHidden/>
          </w:rPr>
          <w:instrText xml:space="preserve"> PAGEREF _Toc118205594 \h </w:instrText>
        </w:r>
        <w:r w:rsidR="00D6698F">
          <w:rPr>
            <w:webHidden/>
          </w:rPr>
        </w:r>
        <w:r w:rsidR="00D6698F">
          <w:rPr>
            <w:webHidden/>
          </w:rPr>
          <w:fldChar w:fldCharType="separate"/>
        </w:r>
        <w:r w:rsidR="00C07DF9">
          <w:rPr>
            <w:webHidden/>
          </w:rPr>
          <w:t>2-25</w:t>
        </w:r>
        <w:r w:rsidR="00D6698F">
          <w:rPr>
            <w:webHidden/>
          </w:rPr>
          <w:fldChar w:fldCharType="end"/>
        </w:r>
      </w:hyperlink>
    </w:p>
    <w:p w14:paraId="4DEF4E33" w14:textId="6536F9D8" w:rsidR="00D6698F" w:rsidRDefault="00464453" w:rsidP="00D6698F">
      <w:pPr>
        <w:pStyle w:val="TOC2"/>
        <w:rPr>
          <w:rFonts w:asciiTheme="minorHAnsi" w:eastAsiaTheme="minorEastAsia" w:hAnsiTheme="minorHAnsi" w:cstheme="minorBidi"/>
          <w:sz w:val="22"/>
        </w:rPr>
      </w:pPr>
      <w:hyperlink w:anchor="_Toc118205595" w:history="1">
        <w:r w:rsidR="00D6698F" w:rsidRPr="00E92ABE">
          <w:rPr>
            <w:rStyle w:val="Hyperlink"/>
          </w:rPr>
          <w:t>2.3</w:t>
        </w:r>
        <w:r w:rsidR="00D6698F">
          <w:rPr>
            <w:rFonts w:asciiTheme="minorHAnsi" w:eastAsiaTheme="minorEastAsia" w:hAnsiTheme="minorHAnsi" w:cstheme="minorBidi"/>
            <w:sz w:val="22"/>
          </w:rPr>
          <w:tab/>
        </w:r>
        <w:r w:rsidR="00D6698F" w:rsidRPr="00E92ABE">
          <w:rPr>
            <w:rStyle w:val="Hyperlink"/>
          </w:rPr>
          <w:t>Selecting Micromobility Counting Equipment</w:t>
        </w:r>
        <w:r w:rsidR="00D6698F">
          <w:rPr>
            <w:webHidden/>
          </w:rPr>
          <w:tab/>
        </w:r>
        <w:r w:rsidR="00D6698F">
          <w:rPr>
            <w:webHidden/>
          </w:rPr>
          <w:fldChar w:fldCharType="begin"/>
        </w:r>
        <w:r w:rsidR="00D6698F">
          <w:rPr>
            <w:webHidden/>
          </w:rPr>
          <w:instrText xml:space="preserve"> PAGEREF _Toc118205595 \h </w:instrText>
        </w:r>
        <w:r w:rsidR="00D6698F">
          <w:rPr>
            <w:webHidden/>
          </w:rPr>
        </w:r>
        <w:r w:rsidR="00D6698F">
          <w:rPr>
            <w:webHidden/>
          </w:rPr>
          <w:fldChar w:fldCharType="separate"/>
        </w:r>
        <w:r w:rsidR="00C07DF9">
          <w:rPr>
            <w:webHidden/>
          </w:rPr>
          <w:t>2-32</w:t>
        </w:r>
        <w:r w:rsidR="00D6698F">
          <w:rPr>
            <w:webHidden/>
          </w:rPr>
          <w:fldChar w:fldCharType="end"/>
        </w:r>
      </w:hyperlink>
    </w:p>
    <w:p w14:paraId="7097DC3B" w14:textId="7A1EE192" w:rsidR="00D6698F" w:rsidRDefault="00464453">
      <w:pPr>
        <w:pStyle w:val="TOC3"/>
        <w:tabs>
          <w:tab w:val="left" w:pos="2016"/>
        </w:tabs>
        <w:rPr>
          <w:rFonts w:asciiTheme="minorHAnsi" w:eastAsiaTheme="minorEastAsia" w:hAnsiTheme="minorHAnsi" w:cstheme="minorBidi"/>
          <w:color w:val="auto"/>
          <w:sz w:val="22"/>
          <w:szCs w:val="22"/>
        </w:rPr>
      </w:pPr>
      <w:hyperlink w:anchor="_Toc118205596" w:history="1">
        <w:r w:rsidR="00D6698F" w:rsidRPr="00E92ABE">
          <w:rPr>
            <w:rStyle w:val="Hyperlink"/>
          </w:rPr>
          <w:t>2.3.1</w:t>
        </w:r>
        <w:r w:rsidR="00D6698F">
          <w:rPr>
            <w:rFonts w:asciiTheme="minorHAnsi" w:eastAsiaTheme="minorEastAsia" w:hAnsiTheme="minorHAnsi" w:cstheme="minorBidi"/>
            <w:color w:val="auto"/>
            <w:sz w:val="22"/>
            <w:szCs w:val="22"/>
          </w:rPr>
          <w:tab/>
        </w:r>
        <w:r w:rsidR="00D6698F" w:rsidRPr="00E92ABE">
          <w:rPr>
            <w:rStyle w:val="Hyperlink"/>
          </w:rPr>
          <w:t>Challenges Unique to Micromobility Counting</w:t>
        </w:r>
        <w:r w:rsidR="00D6698F">
          <w:rPr>
            <w:webHidden/>
          </w:rPr>
          <w:tab/>
        </w:r>
        <w:r w:rsidR="00D6698F">
          <w:rPr>
            <w:webHidden/>
          </w:rPr>
          <w:fldChar w:fldCharType="begin"/>
        </w:r>
        <w:r w:rsidR="00D6698F">
          <w:rPr>
            <w:webHidden/>
          </w:rPr>
          <w:instrText xml:space="preserve"> PAGEREF _Toc118205596 \h </w:instrText>
        </w:r>
        <w:r w:rsidR="00D6698F">
          <w:rPr>
            <w:webHidden/>
          </w:rPr>
        </w:r>
        <w:r w:rsidR="00D6698F">
          <w:rPr>
            <w:webHidden/>
          </w:rPr>
          <w:fldChar w:fldCharType="separate"/>
        </w:r>
        <w:r w:rsidR="00C07DF9">
          <w:rPr>
            <w:webHidden/>
          </w:rPr>
          <w:t>2-32</w:t>
        </w:r>
        <w:r w:rsidR="00D6698F">
          <w:rPr>
            <w:webHidden/>
          </w:rPr>
          <w:fldChar w:fldCharType="end"/>
        </w:r>
      </w:hyperlink>
    </w:p>
    <w:p w14:paraId="0CE8BE3F" w14:textId="436909B7" w:rsidR="00D6698F" w:rsidRDefault="00464453">
      <w:pPr>
        <w:pStyle w:val="TOC3"/>
        <w:tabs>
          <w:tab w:val="left" w:pos="2016"/>
        </w:tabs>
        <w:rPr>
          <w:rFonts w:asciiTheme="minorHAnsi" w:eastAsiaTheme="minorEastAsia" w:hAnsiTheme="minorHAnsi" w:cstheme="minorBidi"/>
          <w:color w:val="auto"/>
          <w:sz w:val="22"/>
          <w:szCs w:val="22"/>
        </w:rPr>
      </w:pPr>
      <w:hyperlink w:anchor="_Toc118205597" w:history="1">
        <w:r w:rsidR="00D6698F" w:rsidRPr="00E92ABE">
          <w:rPr>
            <w:rStyle w:val="Hyperlink"/>
          </w:rPr>
          <w:t>2.3.2</w:t>
        </w:r>
        <w:r w:rsidR="00D6698F">
          <w:rPr>
            <w:rFonts w:asciiTheme="minorHAnsi" w:eastAsiaTheme="minorEastAsia" w:hAnsiTheme="minorHAnsi" w:cstheme="minorBidi"/>
            <w:color w:val="auto"/>
            <w:sz w:val="22"/>
            <w:szCs w:val="22"/>
          </w:rPr>
          <w:tab/>
        </w:r>
        <w:r w:rsidR="00D6698F" w:rsidRPr="00E92ABE">
          <w:rPr>
            <w:rStyle w:val="Hyperlink"/>
          </w:rPr>
          <w:t>How to Select Micromobility Counting Equipment Type</w:t>
        </w:r>
        <w:r w:rsidR="00D6698F">
          <w:rPr>
            <w:webHidden/>
          </w:rPr>
          <w:tab/>
        </w:r>
        <w:r w:rsidR="00D6698F">
          <w:rPr>
            <w:webHidden/>
          </w:rPr>
          <w:fldChar w:fldCharType="begin"/>
        </w:r>
        <w:r w:rsidR="00D6698F">
          <w:rPr>
            <w:webHidden/>
          </w:rPr>
          <w:instrText xml:space="preserve"> PAGEREF _Toc118205597 \h </w:instrText>
        </w:r>
        <w:r w:rsidR="00D6698F">
          <w:rPr>
            <w:webHidden/>
          </w:rPr>
        </w:r>
        <w:r w:rsidR="00D6698F">
          <w:rPr>
            <w:webHidden/>
          </w:rPr>
          <w:fldChar w:fldCharType="separate"/>
        </w:r>
        <w:r w:rsidR="00C07DF9">
          <w:rPr>
            <w:webHidden/>
          </w:rPr>
          <w:t>2-32</w:t>
        </w:r>
        <w:r w:rsidR="00D6698F">
          <w:rPr>
            <w:webHidden/>
          </w:rPr>
          <w:fldChar w:fldCharType="end"/>
        </w:r>
      </w:hyperlink>
    </w:p>
    <w:p w14:paraId="57D71F46" w14:textId="2A4A6636" w:rsidR="00D6698F" w:rsidRDefault="00464453">
      <w:pPr>
        <w:pStyle w:val="TOC3"/>
        <w:tabs>
          <w:tab w:val="left" w:pos="2016"/>
        </w:tabs>
        <w:rPr>
          <w:rFonts w:asciiTheme="minorHAnsi" w:eastAsiaTheme="minorEastAsia" w:hAnsiTheme="minorHAnsi" w:cstheme="minorBidi"/>
          <w:color w:val="auto"/>
          <w:sz w:val="22"/>
          <w:szCs w:val="22"/>
        </w:rPr>
      </w:pPr>
      <w:hyperlink w:anchor="_Toc118205598" w:history="1">
        <w:r w:rsidR="00D6698F" w:rsidRPr="00E92ABE">
          <w:rPr>
            <w:rStyle w:val="Hyperlink"/>
          </w:rPr>
          <w:t>2.3.3</w:t>
        </w:r>
        <w:r w:rsidR="00D6698F">
          <w:rPr>
            <w:rFonts w:asciiTheme="minorHAnsi" w:eastAsiaTheme="minorEastAsia" w:hAnsiTheme="minorHAnsi" w:cstheme="minorBidi"/>
            <w:color w:val="auto"/>
            <w:sz w:val="22"/>
            <w:szCs w:val="22"/>
          </w:rPr>
          <w:tab/>
        </w:r>
        <w:r w:rsidR="00D6698F" w:rsidRPr="00E92ABE">
          <w:rPr>
            <w:rStyle w:val="Hyperlink"/>
          </w:rPr>
          <w:t>Sensor Layout and Equipment Set-up</w:t>
        </w:r>
        <w:r w:rsidR="00D6698F">
          <w:rPr>
            <w:webHidden/>
          </w:rPr>
          <w:tab/>
        </w:r>
        <w:r w:rsidR="00D6698F">
          <w:rPr>
            <w:webHidden/>
          </w:rPr>
          <w:fldChar w:fldCharType="begin"/>
        </w:r>
        <w:r w:rsidR="00D6698F">
          <w:rPr>
            <w:webHidden/>
          </w:rPr>
          <w:instrText xml:space="preserve"> PAGEREF _Toc118205598 \h </w:instrText>
        </w:r>
        <w:r w:rsidR="00D6698F">
          <w:rPr>
            <w:webHidden/>
          </w:rPr>
        </w:r>
        <w:r w:rsidR="00D6698F">
          <w:rPr>
            <w:webHidden/>
          </w:rPr>
          <w:fldChar w:fldCharType="separate"/>
        </w:r>
        <w:r w:rsidR="00C07DF9">
          <w:rPr>
            <w:webHidden/>
          </w:rPr>
          <w:t>2-33</w:t>
        </w:r>
        <w:r w:rsidR="00D6698F">
          <w:rPr>
            <w:webHidden/>
          </w:rPr>
          <w:fldChar w:fldCharType="end"/>
        </w:r>
      </w:hyperlink>
    </w:p>
    <w:p w14:paraId="72D79698" w14:textId="375E6471" w:rsidR="00D6698F" w:rsidRDefault="00464453">
      <w:pPr>
        <w:pStyle w:val="TOC3"/>
        <w:tabs>
          <w:tab w:val="left" w:pos="2016"/>
        </w:tabs>
        <w:rPr>
          <w:rFonts w:asciiTheme="minorHAnsi" w:eastAsiaTheme="minorEastAsia" w:hAnsiTheme="minorHAnsi" w:cstheme="minorBidi"/>
          <w:color w:val="auto"/>
          <w:sz w:val="22"/>
          <w:szCs w:val="22"/>
        </w:rPr>
      </w:pPr>
      <w:hyperlink w:anchor="_Toc118205599" w:history="1">
        <w:r w:rsidR="00D6698F" w:rsidRPr="00E92ABE">
          <w:rPr>
            <w:rStyle w:val="Hyperlink"/>
          </w:rPr>
          <w:t>2.3.4</w:t>
        </w:r>
        <w:r w:rsidR="00D6698F">
          <w:rPr>
            <w:rFonts w:asciiTheme="minorHAnsi" w:eastAsiaTheme="minorEastAsia" w:hAnsiTheme="minorHAnsi" w:cstheme="minorBidi"/>
            <w:color w:val="auto"/>
            <w:sz w:val="22"/>
            <w:szCs w:val="22"/>
          </w:rPr>
          <w:tab/>
        </w:r>
        <w:r w:rsidR="00D6698F" w:rsidRPr="00E92ABE">
          <w:rPr>
            <w:rStyle w:val="Hyperlink"/>
          </w:rPr>
          <w:t>Pressure and Seismic Sensors</w:t>
        </w:r>
        <w:r w:rsidR="00D6698F">
          <w:rPr>
            <w:webHidden/>
          </w:rPr>
          <w:tab/>
        </w:r>
        <w:r w:rsidR="00D6698F">
          <w:rPr>
            <w:webHidden/>
          </w:rPr>
          <w:fldChar w:fldCharType="begin"/>
        </w:r>
        <w:r w:rsidR="00D6698F">
          <w:rPr>
            <w:webHidden/>
          </w:rPr>
          <w:instrText xml:space="preserve"> PAGEREF _Toc118205599 \h </w:instrText>
        </w:r>
        <w:r w:rsidR="00D6698F">
          <w:rPr>
            <w:webHidden/>
          </w:rPr>
        </w:r>
        <w:r w:rsidR="00D6698F">
          <w:rPr>
            <w:webHidden/>
          </w:rPr>
          <w:fldChar w:fldCharType="separate"/>
        </w:r>
        <w:r w:rsidR="00C07DF9">
          <w:rPr>
            <w:webHidden/>
          </w:rPr>
          <w:t>2-37</w:t>
        </w:r>
        <w:r w:rsidR="00D6698F">
          <w:rPr>
            <w:webHidden/>
          </w:rPr>
          <w:fldChar w:fldCharType="end"/>
        </w:r>
      </w:hyperlink>
    </w:p>
    <w:p w14:paraId="53B94113" w14:textId="4C5D0798" w:rsidR="00D6698F" w:rsidRDefault="00464453">
      <w:pPr>
        <w:pStyle w:val="TOC3"/>
        <w:tabs>
          <w:tab w:val="left" w:pos="2016"/>
        </w:tabs>
        <w:rPr>
          <w:rFonts w:asciiTheme="minorHAnsi" w:eastAsiaTheme="minorEastAsia" w:hAnsiTheme="minorHAnsi" w:cstheme="minorBidi"/>
          <w:color w:val="auto"/>
          <w:sz w:val="22"/>
          <w:szCs w:val="22"/>
        </w:rPr>
      </w:pPr>
      <w:hyperlink w:anchor="_Toc118205600" w:history="1">
        <w:r w:rsidR="00D6698F" w:rsidRPr="00E92ABE">
          <w:rPr>
            <w:rStyle w:val="Hyperlink"/>
          </w:rPr>
          <w:t>2.3.5</w:t>
        </w:r>
        <w:r w:rsidR="00D6698F">
          <w:rPr>
            <w:rFonts w:asciiTheme="minorHAnsi" w:eastAsiaTheme="minorEastAsia" w:hAnsiTheme="minorHAnsi" w:cstheme="minorBidi"/>
            <w:color w:val="auto"/>
            <w:sz w:val="22"/>
            <w:szCs w:val="22"/>
          </w:rPr>
          <w:tab/>
        </w:r>
        <w:r w:rsidR="00D6698F" w:rsidRPr="00E92ABE">
          <w:rPr>
            <w:rStyle w:val="Hyperlink"/>
          </w:rPr>
          <w:t>Video Image Processing</w:t>
        </w:r>
        <w:r w:rsidR="00D6698F">
          <w:rPr>
            <w:webHidden/>
          </w:rPr>
          <w:tab/>
        </w:r>
        <w:r w:rsidR="00D6698F">
          <w:rPr>
            <w:webHidden/>
          </w:rPr>
          <w:fldChar w:fldCharType="begin"/>
        </w:r>
        <w:r w:rsidR="00D6698F">
          <w:rPr>
            <w:webHidden/>
          </w:rPr>
          <w:instrText xml:space="preserve"> PAGEREF _Toc118205600 \h </w:instrText>
        </w:r>
        <w:r w:rsidR="00D6698F">
          <w:rPr>
            <w:webHidden/>
          </w:rPr>
        </w:r>
        <w:r w:rsidR="00D6698F">
          <w:rPr>
            <w:webHidden/>
          </w:rPr>
          <w:fldChar w:fldCharType="separate"/>
        </w:r>
        <w:r w:rsidR="00C07DF9">
          <w:rPr>
            <w:webHidden/>
          </w:rPr>
          <w:t>2-38</w:t>
        </w:r>
        <w:r w:rsidR="00D6698F">
          <w:rPr>
            <w:webHidden/>
          </w:rPr>
          <w:fldChar w:fldCharType="end"/>
        </w:r>
      </w:hyperlink>
    </w:p>
    <w:p w14:paraId="0502597C" w14:textId="01C40BCE" w:rsidR="00D6698F" w:rsidRDefault="00464453" w:rsidP="00D6698F">
      <w:pPr>
        <w:pStyle w:val="TOC2"/>
        <w:rPr>
          <w:rFonts w:asciiTheme="minorHAnsi" w:eastAsiaTheme="minorEastAsia" w:hAnsiTheme="minorHAnsi" w:cstheme="minorBidi"/>
          <w:sz w:val="22"/>
        </w:rPr>
      </w:pPr>
      <w:hyperlink w:anchor="_Toc118205601" w:history="1">
        <w:r w:rsidR="00D6698F" w:rsidRPr="00E92ABE">
          <w:rPr>
            <w:rStyle w:val="Hyperlink"/>
          </w:rPr>
          <w:t>2.4</w:t>
        </w:r>
        <w:r w:rsidR="00D6698F">
          <w:rPr>
            <w:rFonts w:asciiTheme="minorHAnsi" w:eastAsiaTheme="minorEastAsia" w:hAnsiTheme="minorHAnsi" w:cstheme="minorBidi"/>
            <w:sz w:val="22"/>
          </w:rPr>
          <w:tab/>
        </w:r>
        <w:r w:rsidR="00D6698F" w:rsidRPr="00E92ABE">
          <w:rPr>
            <w:rStyle w:val="Hyperlink"/>
          </w:rPr>
          <w:t>Traffic Monitoring Equipment Evaluation, Maintenance, Calibration, and Quality Assurance Considerations</w:t>
        </w:r>
        <w:r w:rsidR="00D6698F">
          <w:rPr>
            <w:webHidden/>
          </w:rPr>
          <w:tab/>
        </w:r>
        <w:r w:rsidR="00D6698F">
          <w:rPr>
            <w:webHidden/>
          </w:rPr>
          <w:fldChar w:fldCharType="begin"/>
        </w:r>
        <w:r w:rsidR="00D6698F">
          <w:rPr>
            <w:webHidden/>
          </w:rPr>
          <w:instrText xml:space="preserve"> PAGEREF _Toc118205601 \h </w:instrText>
        </w:r>
        <w:r w:rsidR="00D6698F">
          <w:rPr>
            <w:webHidden/>
          </w:rPr>
        </w:r>
        <w:r w:rsidR="00D6698F">
          <w:rPr>
            <w:webHidden/>
          </w:rPr>
          <w:fldChar w:fldCharType="separate"/>
        </w:r>
        <w:r w:rsidR="00C07DF9">
          <w:rPr>
            <w:webHidden/>
          </w:rPr>
          <w:t>2-39</w:t>
        </w:r>
        <w:r w:rsidR="00D6698F">
          <w:rPr>
            <w:webHidden/>
          </w:rPr>
          <w:fldChar w:fldCharType="end"/>
        </w:r>
      </w:hyperlink>
    </w:p>
    <w:p w14:paraId="462FACE2" w14:textId="4705A79F" w:rsidR="00D6698F" w:rsidRDefault="00464453">
      <w:pPr>
        <w:pStyle w:val="TOC3"/>
        <w:tabs>
          <w:tab w:val="left" w:pos="2016"/>
        </w:tabs>
        <w:rPr>
          <w:rFonts w:asciiTheme="minorHAnsi" w:eastAsiaTheme="minorEastAsia" w:hAnsiTheme="minorHAnsi" w:cstheme="minorBidi"/>
          <w:color w:val="auto"/>
          <w:sz w:val="22"/>
          <w:szCs w:val="22"/>
        </w:rPr>
      </w:pPr>
      <w:hyperlink w:anchor="_Toc118205602" w:history="1">
        <w:r w:rsidR="00D6698F" w:rsidRPr="00E92ABE">
          <w:rPr>
            <w:rStyle w:val="Hyperlink"/>
          </w:rPr>
          <w:t>2.4.1</w:t>
        </w:r>
        <w:r w:rsidR="00D6698F">
          <w:rPr>
            <w:rFonts w:asciiTheme="minorHAnsi" w:eastAsiaTheme="minorEastAsia" w:hAnsiTheme="minorHAnsi" w:cstheme="minorBidi"/>
            <w:color w:val="auto"/>
            <w:sz w:val="22"/>
            <w:szCs w:val="22"/>
          </w:rPr>
          <w:tab/>
        </w:r>
        <w:r w:rsidR="00D6698F" w:rsidRPr="00E92ABE">
          <w:rPr>
            <w:rStyle w:val="Hyperlink"/>
          </w:rPr>
          <w:t>Equipment Testing and Technology Evaluation</w:t>
        </w:r>
        <w:r w:rsidR="00D6698F">
          <w:rPr>
            <w:webHidden/>
          </w:rPr>
          <w:tab/>
        </w:r>
        <w:r w:rsidR="00D6698F">
          <w:rPr>
            <w:webHidden/>
          </w:rPr>
          <w:fldChar w:fldCharType="begin"/>
        </w:r>
        <w:r w:rsidR="00D6698F">
          <w:rPr>
            <w:webHidden/>
          </w:rPr>
          <w:instrText xml:space="preserve"> PAGEREF _Toc118205602 \h </w:instrText>
        </w:r>
        <w:r w:rsidR="00D6698F">
          <w:rPr>
            <w:webHidden/>
          </w:rPr>
        </w:r>
        <w:r w:rsidR="00D6698F">
          <w:rPr>
            <w:webHidden/>
          </w:rPr>
          <w:fldChar w:fldCharType="separate"/>
        </w:r>
        <w:r w:rsidR="00C07DF9">
          <w:rPr>
            <w:webHidden/>
          </w:rPr>
          <w:t>2-39</w:t>
        </w:r>
        <w:r w:rsidR="00D6698F">
          <w:rPr>
            <w:webHidden/>
          </w:rPr>
          <w:fldChar w:fldCharType="end"/>
        </w:r>
      </w:hyperlink>
    </w:p>
    <w:p w14:paraId="2E0834D7" w14:textId="0F03907A" w:rsidR="00D6698F" w:rsidRDefault="00464453">
      <w:pPr>
        <w:pStyle w:val="TOC3"/>
        <w:tabs>
          <w:tab w:val="left" w:pos="2016"/>
        </w:tabs>
        <w:rPr>
          <w:rFonts w:asciiTheme="minorHAnsi" w:eastAsiaTheme="minorEastAsia" w:hAnsiTheme="minorHAnsi" w:cstheme="minorBidi"/>
          <w:color w:val="auto"/>
          <w:sz w:val="22"/>
          <w:szCs w:val="22"/>
        </w:rPr>
      </w:pPr>
      <w:hyperlink w:anchor="_Toc118205603" w:history="1">
        <w:r w:rsidR="00D6698F" w:rsidRPr="00E92ABE">
          <w:rPr>
            <w:rStyle w:val="Hyperlink"/>
          </w:rPr>
          <w:t>2.4.2</w:t>
        </w:r>
        <w:r w:rsidR="00D6698F">
          <w:rPr>
            <w:rFonts w:asciiTheme="minorHAnsi" w:eastAsiaTheme="minorEastAsia" w:hAnsiTheme="minorHAnsi" w:cstheme="minorBidi"/>
            <w:color w:val="auto"/>
            <w:sz w:val="22"/>
            <w:szCs w:val="22"/>
          </w:rPr>
          <w:tab/>
        </w:r>
        <w:r w:rsidR="00D6698F" w:rsidRPr="00E92ABE">
          <w:rPr>
            <w:rStyle w:val="Hyperlink"/>
          </w:rPr>
          <w:t>Equipment Installation, Maintenance, and Operation</w:t>
        </w:r>
        <w:r w:rsidR="00D6698F">
          <w:rPr>
            <w:webHidden/>
          </w:rPr>
          <w:tab/>
        </w:r>
        <w:r w:rsidR="00D6698F">
          <w:rPr>
            <w:webHidden/>
          </w:rPr>
          <w:fldChar w:fldCharType="begin"/>
        </w:r>
        <w:r w:rsidR="00D6698F">
          <w:rPr>
            <w:webHidden/>
          </w:rPr>
          <w:instrText xml:space="preserve"> PAGEREF _Toc118205603 \h </w:instrText>
        </w:r>
        <w:r w:rsidR="00D6698F">
          <w:rPr>
            <w:webHidden/>
          </w:rPr>
        </w:r>
        <w:r w:rsidR="00D6698F">
          <w:rPr>
            <w:webHidden/>
          </w:rPr>
          <w:fldChar w:fldCharType="separate"/>
        </w:r>
        <w:r w:rsidR="00C07DF9">
          <w:rPr>
            <w:webHidden/>
          </w:rPr>
          <w:t>2-40</w:t>
        </w:r>
        <w:r w:rsidR="00D6698F">
          <w:rPr>
            <w:webHidden/>
          </w:rPr>
          <w:fldChar w:fldCharType="end"/>
        </w:r>
      </w:hyperlink>
    </w:p>
    <w:p w14:paraId="0BDFF4AD" w14:textId="5156B629" w:rsidR="00D6698F" w:rsidRDefault="00464453">
      <w:pPr>
        <w:pStyle w:val="TOC3"/>
        <w:tabs>
          <w:tab w:val="left" w:pos="2016"/>
        </w:tabs>
        <w:rPr>
          <w:rFonts w:asciiTheme="minorHAnsi" w:eastAsiaTheme="minorEastAsia" w:hAnsiTheme="minorHAnsi" w:cstheme="minorBidi"/>
          <w:color w:val="auto"/>
          <w:sz w:val="22"/>
          <w:szCs w:val="22"/>
        </w:rPr>
      </w:pPr>
      <w:hyperlink w:anchor="_Toc118205604" w:history="1">
        <w:r w:rsidR="00D6698F" w:rsidRPr="00E92ABE">
          <w:rPr>
            <w:rStyle w:val="Hyperlink"/>
          </w:rPr>
          <w:t>2.4.3</w:t>
        </w:r>
        <w:r w:rsidR="00D6698F">
          <w:rPr>
            <w:rFonts w:asciiTheme="minorHAnsi" w:eastAsiaTheme="minorEastAsia" w:hAnsiTheme="minorHAnsi" w:cstheme="minorBidi"/>
            <w:color w:val="auto"/>
            <w:sz w:val="22"/>
            <w:szCs w:val="22"/>
          </w:rPr>
          <w:tab/>
        </w:r>
        <w:r w:rsidR="00D6698F" w:rsidRPr="00E92ABE">
          <w:rPr>
            <w:rStyle w:val="Hyperlink"/>
          </w:rPr>
          <w:t>Equipment Calibration and Data Monitoring</w:t>
        </w:r>
        <w:r w:rsidR="00D6698F">
          <w:rPr>
            <w:webHidden/>
          </w:rPr>
          <w:tab/>
        </w:r>
        <w:r w:rsidR="00D6698F">
          <w:rPr>
            <w:webHidden/>
          </w:rPr>
          <w:fldChar w:fldCharType="begin"/>
        </w:r>
        <w:r w:rsidR="00D6698F">
          <w:rPr>
            <w:webHidden/>
          </w:rPr>
          <w:instrText xml:space="preserve"> PAGEREF _Toc118205604 \h </w:instrText>
        </w:r>
        <w:r w:rsidR="00D6698F">
          <w:rPr>
            <w:webHidden/>
          </w:rPr>
        </w:r>
        <w:r w:rsidR="00D6698F">
          <w:rPr>
            <w:webHidden/>
          </w:rPr>
          <w:fldChar w:fldCharType="separate"/>
        </w:r>
        <w:r w:rsidR="00C07DF9">
          <w:rPr>
            <w:webHidden/>
          </w:rPr>
          <w:t>2-40</w:t>
        </w:r>
        <w:r w:rsidR="00D6698F">
          <w:rPr>
            <w:webHidden/>
          </w:rPr>
          <w:fldChar w:fldCharType="end"/>
        </w:r>
      </w:hyperlink>
    </w:p>
    <w:p w14:paraId="29BA38C9" w14:textId="77F6A25E" w:rsidR="00D6698F" w:rsidRDefault="00464453">
      <w:pPr>
        <w:pStyle w:val="TOC3"/>
        <w:tabs>
          <w:tab w:val="left" w:pos="2016"/>
        </w:tabs>
        <w:rPr>
          <w:rFonts w:asciiTheme="minorHAnsi" w:eastAsiaTheme="minorEastAsia" w:hAnsiTheme="minorHAnsi" w:cstheme="minorBidi"/>
          <w:color w:val="auto"/>
          <w:sz w:val="22"/>
          <w:szCs w:val="22"/>
        </w:rPr>
      </w:pPr>
      <w:hyperlink w:anchor="_Toc118205605" w:history="1">
        <w:r w:rsidR="00D6698F" w:rsidRPr="00E92ABE">
          <w:rPr>
            <w:rStyle w:val="Hyperlink"/>
          </w:rPr>
          <w:t>2.4.4</w:t>
        </w:r>
        <w:r w:rsidR="00D6698F">
          <w:rPr>
            <w:rFonts w:asciiTheme="minorHAnsi" w:eastAsiaTheme="minorEastAsia" w:hAnsiTheme="minorHAnsi" w:cstheme="minorBidi"/>
            <w:color w:val="auto"/>
            <w:sz w:val="22"/>
            <w:szCs w:val="22"/>
          </w:rPr>
          <w:tab/>
        </w:r>
        <w:r w:rsidR="00D6698F" w:rsidRPr="00E92ABE">
          <w:rPr>
            <w:rStyle w:val="Hyperlink"/>
          </w:rPr>
          <w:t>Quality Assurance Considerations</w:t>
        </w:r>
        <w:r w:rsidR="00D6698F">
          <w:rPr>
            <w:webHidden/>
          </w:rPr>
          <w:tab/>
        </w:r>
        <w:r w:rsidR="00D6698F">
          <w:rPr>
            <w:webHidden/>
          </w:rPr>
          <w:fldChar w:fldCharType="begin"/>
        </w:r>
        <w:r w:rsidR="00D6698F">
          <w:rPr>
            <w:webHidden/>
          </w:rPr>
          <w:instrText xml:space="preserve"> PAGEREF _Toc118205605 \h </w:instrText>
        </w:r>
        <w:r w:rsidR="00D6698F">
          <w:rPr>
            <w:webHidden/>
          </w:rPr>
        </w:r>
        <w:r w:rsidR="00D6698F">
          <w:rPr>
            <w:webHidden/>
          </w:rPr>
          <w:fldChar w:fldCharType="separate"/>
        </w:r>
        <w:r w:rsidR="00C07DF9">
          <w:rPr>
            <w:webHidden/>
          </w:rPr>
          <w:t>2-41</w:t>
        </w:r>
        <w:r w:rsidR="00D6698F">
          <w:rPr>
            <w:webHidden/>
          </w:rPr>
          <w:fldChar w:fldCharType="end"/>
        </w:r>
      </w:hyperlink>
    </w:p>
    <w:p w14:paraId="682149BD" w14:textId="1FE504EC" w:rsidR="00D6698F" w:rsidRDefault="00464453">
      <w:pPr>
        <w:pStyle w:val="TOC1"/>
        <w:rPr>
          <w:rFonts w:asciiTheme="minorHAnsi" w:eastAsiaTheme="minorEastAsia" w:hAnsiTheme="minorHAnsi" w:cstheme="minorBidi"/>
          <w:b w:val="0"/>
          <w:color w:val="auto"/>
          <w:sz w:val="22"/>
          <w:szCs w:val="22"/>
        </w:rPr>
      </w:pPr>
      <w:hyperlink w:anchor="_Toc118205606" w:history="1">
        <w:r w:rsidR="00D6698F" w:rsidRPr="00E92ABE">
          <w:rPr>
            <w:rStyle w:val="Hyperlink"/>
          </w:rPr>
          <w:t>Chapter 3.</w:t>
        </w:r>
        <w:r w:rsidR="00D6698F">
          <w:rPr>
            <w:rFonts w:asciiTheme="minorHAnsi" w:eastAsiaTheme="minorEastAsia" w:hAnsiTheme="minorHAnsi" w:cstheme="minorBidi"/>
            <w:b w:val="0"/>
            <w:color w:val="auto"/>
            <w:sz w:val="22"/>
            <w:szCs w:val="22"/>
          </w:rPr>
          <w:tab/>
        </w:r>
        <w:r w:rsidR="00D6698F" w:rsidRPr="00E92ABE">
          <w:rPr>
            <w:rStyle w:val="Hyperlink"/>
          </w:rPr>
          <w:t>Methodologies for Traffic Data Collection and Processing</w:t>
        </w:r>
        <w:r w:rsidR="00D6698F">
          <w:rPr>
            <w:webHidden/>
          </w:rPr>
          <w:tab/>
        </w:r>
        <w:r w:rsidR="00D6698F">
          <w:rPr>
            <w:webHidden/>
          </w:rPr>
          <w:fldChar w:fldCharType="begin"/>
        </w:r>
        <w:r w:rsidR="00D6698F">
          <w:rPr>
            <w:webHidden/>
          </w:rPr>
          <w:instrText xml:space="preserve"> PAGEREF _Toc118205606 \h </w:instrText>
        </w:r>
        <w:r w:rsidR="00D6698F">
          <w:rPr>
            <w:webHidden/>
          </w:rPr>
        </w:r>
        <w:r w:rsidR="00D6698F">
          <w:rPr>
            <w:webHidden/>
          </w:rPr>
          <w:fldChar w:fldCharType="separate"/>
        </w:r>
        <w:r w:rsidR="00C07DF9">
          <w:rPr>
            <w:webHidden/>
          </w:rPr>
          <w:t>3-1</w:t>
        </w:r>
        <w:r w:rsidR="00D6698F">
          <w:rPr>
            <w:webHidden/>
          </w:rPr>
          <w:fldChar w:fldCharType="end"/>
        </w:r>
      </w:hyperlink>
    </w:p>
    <w:p w14:paraId="6016C5E1" w14:textId="43D48CF0" w:rsidR="00D6698F" w:rsidRDefault="00464453" w:rsidP="00D6698F">
      <w:pPr>
        <w:pStyle w:val="TOC2"/>
        <w:rPr>
          <w:rFonts w:asciiTheme="minorHAnsi" w:eastAsiaTheme="minorEastAsia" w:hAnsiTheme="minorHAnsi" w:cstheme="minorBidi"/>
          <w:sz w:val="22"/>
        </w:rPr>
      </w:pPr>
      <w:hyperlink w:anchor="_Toc118205607" w:history="1">
        <w:r w:rsidR="00D6698F" w:rsidRPr="00E92ABE">
          <w:rPr>
            <w:rStyle w:val="Hyperlink"/>
          </w:rPr>
          <w:t>3.1</w:t>
        </w:r>
        <w:r w:rsidR="00D6698F">
          <w:rPr>
            <w:rFonts w:asciiTheme="minorHAnsi" w:eastAsiaTheme="minorEastAsia" w:hAnsiTheme="minorHAnsi" w:cstheme="minorBidi"/>
            <w:sz w:val="22"/>
          </w:rPr>
          <w:tab/>
        </w:r>
        <w:r w:rsidR="00D6698F" w:rsidRPr="00E92ABE">
          <w:rPr>
            <w:rStyle w:val="Hyperlink"/>
          </w:rPr>
          <w:t>How To Design A Continuous Count Traffic Volume Data Collection Program</w:t>
        </w:r>
        <w:r w:rsidR="00D6698F">
          <w:rPr>
            <w:webHidden/>
          </w:rPr>
          <w:tab/>
        </w:r>
        <w:r w:rsidR="00D6698F">
          <w:rPr>
            <w:webHidden/>
          </w:rPr>
          <w:fldChar w:fldCharType="begin"/>
        </w:r>
        <w:r w:rsidR="00D6698F">
          <w:rPr>
            <w:webHidden/>
          </w:rPr>
          <w:instrText xml:space="preserve"> PAGEREF _Toc118205607 \h </w:instrText>
        </w:r>
        <w:r w:rsidR="00D6698F">
          <w:rPr>
            <w:webHidden/>
          </w:rPr>
        </w:r>
        <w:r w:rsidR="00D6698F">
          <w:rPr>
            <w:webHidden/>
          </w:rPr>
          <w:fldChar w:fldCharType="separate"/>
        </w:r>
        <w:r w:rsidR="00C07DF9">
          <w:rPr>
            <w:webHidden/>
          </w:rPr>
          <w:t>3-1</w:t>
        </w:r>
        <w:r w:rsidR="00D6698F">
          <w:rPr>
            <w:webHidden/>
          </w:rPr>
          <w:fldChar w:fldCharType="end"/>
        </w:r>
      </w:hyperlink>
    </w:p>
    <w:p w14:paraId="64B229FE" w14:textId="3DF6B924" w:rsidR="00D6698F" w:rsidRDefault="00464453">
      <w:pPr>
        <w:pStyle w:val="TOC3"/>
        <w:tabs>
          <w:tab w:val="left" w:pos="2016"/>
        </w:tabs>
        <w:rPr>
          <w:rFonts w:asciiTheme="minorHAnsi" w:eastAsiaTheme="minorEastAsia" w:hAnsiTheme="minorHAnsi" w:cstheme="minorBidi"/>
          <w:color w:val="auto"/>
          <w:sz w:val="22"/>
          <w:szCs w:val="22"/>
        </w:rPr>
      </w:pPr>
      <w:hyperlink w:anchor="_Toc118205608" w:history="1">
        <w:r w:rsidR="00D6698F" w:rsidRPr="00E92ABE">
          <w:rPr>
            <w:rStyle w:val="Hyperlink"/>
          </w:rPr>
          <w:t>3.1.1</w:t>
        </w:r>
        <w:r w:rsidR="00D6698F">
          <w:rPr>
            <w:rFonts w:asciiTheme="minorHAnsi" w:eastAsiaTheme="minorEastAsia" w:hAnsiTheme="minorHAnsi" w:cstheme="minorBidi"/>
            <w:color w:val="auto"/>
            <w:sz w:val="22"/>
            <w:szCs w:val="22"/>
          </w:rPr>
          <w:tab/>
        </w:r>
        <w:r w:rsidR="00D6698F" w:rsidRPr="00E92ABE">
          <w:rPr>
            <w:rStyle w:val="Hyperlink"/>
          </w:rPr>
          <w:t>Purpose</w:t>
        </w:r>
        <w:r w:rsidR="00D6698F">
          <w:rPr>
            <w:webHidden/>
          </w:rPr>
          <w:tab/>
        </w:r>
        <w:r w:rsidR="00D6698F">
          <w:rPr>
            <w:webHidden/>
          </w:rPr>
          <w:fldChar w:fldCharType="begin"/>
        </w:r>
        <w:r w:rsidR="00D6698F">
          <w:rPr>
            <w:webHidden/>
          </w:rPr>
          <w:instrText xml:space="preserve"> PAGEREF _Toc118205608 \h </w:instrText>
        </w:r>
        <w:r w:rsidR="00D6698F">
          <w:rPr>
            <w:webHidden/>
          </w:rPr>
        </w:r>
        <w:r w:rsidR="00D6698F">
          <w:rPr>
            <w:webHidden/>
          </w:rPr>
          <w:fldChar w:fldCharType="separate"/>
        </w:r>
        <w:r w:rsidR="00C07DF9">
          <w:rPr>
            <w:webHidden/>
          </w:rPr>
          <w:t>3-1</w:t>
        </w:r>
        <w:r w:rsidR="00D6698F">
          <w:rPr>
            <w:webHidden/>
          </w:rPr>
          <w:fldChar w:fldCharType="end"/>
        </w:r>
      </w:hyperlink>
    </w:p>
    <w:p w14:paraId="2201ECA3" w14:textId="6BE09DCA" w:rsidR="00D6698F" w:rsidRDefault="00464453">
      <w:pPr>
        <w:pStyle w:val="TOC3"/>
        <w:tabs>
          <w:tab w:val="left" w:pos="2016"/>
        </w:tabs>
        <w:rPr>
          <w:rFonts w:asciiTheme="minorHAnsi" w:eastAsiaTheme="minorEastAsia" w:hAnsiTheme="minorHAnsi" w:cstheme="minorBidi"/>
          <w:color w:val="auto"/>
          <w:sz w:val="22"/>
          <w:szCs w:val="22"/>
        </w:rPr>
      </w:pPr>
      <w:hyperlink w:anchor="_Toc118205609" w:history="1">
        <w:r w:rsidR="00D6698F" w:rsidRPr="00E92ABE">
          <w:rPr>
            <w:rStyle w:val="Hyperlink"/>
          </w:rPr>
          <w:t>3.1.2</w:t>
        </w:r>
        <w:r w:rsidR="00D6698F">
          <w:rPr>
            <w:rFonts w:asciiTheme="minorHAnsi" w:eastAsiaTheme="minorEastAsia" w:hAnsiTheme="minorHAnsi" w:cstheme="minorBidi"/>
            <w:color w:val="auto"/>
            <w:sz w:val="22"/>
            <w:szCs w:val="22"/>
          </w:rPr>
          <w:tab/>
        </w:r>
        <w:r w:rsidR="00D6698F" w:rsidRPr="00E92ABE">
          <w:rPr>
            <w:rStyle w:val="Hyperlink"/>
          </w:rPr>
          <w:t>Continuous Count Station Program Objectives (Volume)</w:t>
        </w:r>
        <w:r w:rsidR="00D6698F">
          <w:rPr>
            <w:webHidden/>
          </w:rPr>
          <w:tab/>
        </w:r>
        <w:r w:rsidR="00D6698F">
          <w:rPr>
            <w:webHidden/>
          </w:rPr>
          <w:fldChar w:fldCharType="begin"/>
        </w:r>
        <w:r w:rsidR="00D6698F">
          <w:rPr>
            <w:webHidden/>
          </w:rPr>
          <w:instrText xml:space="preserve"> PAGEREF _Toc118205609 \h </w:instrText>
        </w:r>
        <w:r w:rsidR="00D6698F">
          <w:rPr>
            <w:webHidden/>
          </w:rPr>
        </w:r>
        <w:r w:rsidR="00D6698F">
          <w:rPr>
            <w:webHidden/>
          </w:rPr>
          <w:fldChar w:fldCharType="separate"/>
        </w:r>
        <w:r w:rsidR="00C07DF9">
          <w:rPr>
            <w:webHidden/>
          </w:rPr>
          <w:t>3-1</w:t>
        </w:r>
        <w:r w:rsidR="00D6698F">
          <w:rPr>
            <w:webHidden/>
          </w:rPr>
          <w:fldChar w:fldCharType="end"/>
        </w:r>
      </w:hyperlink>
    </w:p>
    <w:p w14:paraId="3EDFEA41" w14:textId="5A6C3739" w:rsidR="00D6698F" w:rsidRDefault="00464453">
      <w:pPr>
        <w:pStyle w:val="TOC3"/>
        <w:tabs>
          <w:tab w:val="left" w:pos="2016"/>
        </w:tabs>
        <w:rPr>
          <w:rFonts w:asciiTheme="minorHAnsi" w:eastAsiaTheme="minorEastAsia" w:hAnsiTheme="minorHAnsi" w:cstheme="minorBidi"/>
          <w:color w:val="auto"/>
          <w:sz w:val="22"/>
          <w:szCs w:val="22"/>
        </w:rPr>
      </w:pPr>
      <w:hyperlink w:anchor="_Toc118205610" w:history="1">
        <w:r w:rsidR="00D6698F" w:rsidRPr="00E92ABE">
          <w:rPr>
            <w:rStyle w:val="Hyperlink"/>
          </w:rPr>
          <w:t>3.1.3</w:t>
        </w:r>
        <w:r w:rsidR="00D6698F">
          <w:rPr>
            <w:rFonts w:asciiTheme="minorHAnsi" w:eastAsiaTheme="minorEastAsia" w:hAnsiTheme="minorHAnsi" w:cstheme="minorBidi"/>
            <w:color w:val="auto"/>
            <w:sz w:val="22"/>
            <w:szCs w:val="22"/>
          </w:rPr>
          <w:tab/>
        </w:r>
        <w:r w:rsidR="00D6698F" w:rsidRPr="00E92ABE">
          <w:rPr>
            <w:rStyle w:val="Hyperlink"/>
          </w:rPr>
          <w:t>Continuous Count Program Design Process (Volume)</w:t>
        </w:r>
        <w:r w:rsidR="00D6698F">
          <w:rPr>
            <w:webHidden/>
          </w:rPr>
          <w:tab/>
        </w:r>
        <w:r w:rsidR="00D6698F">
          <w:rPr>
            <w:webHidden/>
          </w:rPr>
          <w:fldChar w:fldCharType="begin"/>
        </w:r>
        <w:r w:rsidR="00D6698F">
          <w:rPr>
            <w:webHidden/>
          </w:rPr>
          <w:instrText xml:space="preserve"> PAGEREF _Toc118205610 \h </w:instrText>
        </w:r>
        <w:r w:rsidR="00D6698F">
          <w:rPr>
            <w:webHidden/>
          </w:rPr>
        </w:r>
        <w:r w:rsidR="00D6698F">
          <w:rPr>
            <w:webHidden/>
          </w:rPr>
          <w:fldChar w:fldCharType="separate"/>
        </w:r>
        <w:r w:rsidR="00C07DF9">
          <w:rPr>
            <w:webHidden/>
          </w:rPr>
          <w:t>3-1</w:t>
        </w:r>
        <w:r w:rsidR="00D6698F">
          <w:rPr>
            <w:webHidden/>
          </w:rPr>
          <w:fldChar w:fldCharType="end"/>
        </w:r>
      </w:hyperlink>
    </w:p>
    <w:p w14:paraId="2F2A8C91" w14:textId="093295B5" w:rsidR="00D6698F" w:rsidRDefault="00464453">
      <w:pPr>
        <w:pStyle w:val="TOC3"/>
        <w:tabs>
          <w:tab w:val="left" w:pos="2016"/>
        </w:tabs>
        <w:rPr>
          <w:rFonts w:asciiTheme="minorHAnsi" w:eastAsiaTheme="minorEastAsia" w:hAnsiTheme="minorHAnsi" w:cstheme="minorBidi"/>
          <w:color w:val="auto"/>
          <w:sz w:val="22"/>
          <w:szCs w:val="22"/>
        </w:rPr>
      </w:pPr>
      <w:hyperlink w:anchor="_Toc118205611" w:history="1">
        <w:r w:rsidR="00D6698F" w:rsidRPr="00E92ABE">
          <w:rPr>
            <w:rStyle w:val="Hyperlink"/>
          </w:rPr>
          <w:t>3.1.4</w:t>
        </w:r>
        <w:r w:rsidR="00D6698F">
          <w:rPr>
            <w:rFonts w:asciiTheme="minorHAnsi" w:eastAsiaTheme="minorEastAsia" w:hAnsiTheme="minorHAnsi" w:cstheme="minorBidi"/>
            <w:color w:val="auto"/>
            <w:sz w:val="22"/>
            <w:szCs w:val="22"/>
          </w:rPr>
          <w:tab/>
        </w:r>
        <w:r w:rsidR="00D6698F" w:rsidRPr="00E92ABE">
          <w:rPr>
            <w:rStyle w:val="Hyperlink"/>
          </w:rPr>
          <w:t>Establishing And Evaluating A Continuous Count Program (VOLUME)</w:t>
        </w:r>
        <w:r w:rsidR="00D6698F">
          <w:rPr>
            <w:webHidden/>
          </w:rPr>
          <w:tab/>
        </w:r>
        <w:r w:rsidR="00D6698F">
          <w:rPr>
            <w:webHidden/>
          </w:rPr>
          <w:fldChar w:fldCharType="begin"/>
        </w:r>
        <w:r w:rsidR="00D6698F">
          <w:rPr>
            <w:webHidden/>
          </w:rPr>
          <w:instrText xml:space="preserve"> PAGEREF _Toc118205611 \h </w:instrText>
        </w:r>
        <w:r w:rsidR="00D6698F">
          <w:rPr>
            <w:webHidden/>
          </w:rPr>
        </w:r>
        <w:r w:rsidR="00D6698F">
          <w:rPr>
            <w:webHidden/>
          </w:rPr>
          <w:fldChar w:fldCharType="separate"/>
        </w:r>
        <w:r w:rsidR="00C07DF9">
          <w:rPr>
            <w:webHidden/>
          </w:rPr>
          <w:t>3-2</w:t>
        </w:r>
        <w:r w:rsidR="00D6698F">
          <w:rPr>
            <w:webHidden/>
          </w:rPr>
          <w:fldChar w:fldCharType="end"/>
        </w:r>
      </w:hyperlink>
    </w:p>
    <w:p w14:paraId="0E5F5F0F" w14:textId="0CEE4C13" w:rsidR="00D6698F" w:rsidRDefault="00464453">
      <w:pPr>
        <w:pStyle w:val="TOC4"/>
        <w:tabs>
          <w:tab w:val="left" w:pos="2793"/>
        </w:tabs>
        <w:rPr>
          <w:sz w:val="22"/>
          <w:szCs w:val="22"/>
        </w:rPr>
      </w:pPr>
      <w:hyperlink w:anchor="_Toc118205612" w:history="1">
        <w:r w:rsidR="00D6698F" w:rsidRPr="00E92ABE">
          <w:rPr>
            <w:rStyle w:val="Hyperlink"/>
          </w:rPr>
          <w:t>3.1.4.1</w:t>
        </w:r>
        <w:r w:rsidR="00D6698F">
          <w:rPr>
            <w:sz w:val="22"/>
            <w:szCs w:val="22"/>
          </w:rPr>
          <w:tab/>
        </w:r>
        <w:r w:rsidR="00D6698F" w:rsidRPr="00E92ABE">
          <w:rPr>
            <w:rStyle w:val="Hyperlink"/>
          </w:rPr>
          <w:t>Step 1: Review the Existing Continuous Count Program</w:t>
        </w:r>
        <w:r w:rsidR="00D6698F">
          <w:rPr>
            <w:webHidden/>
          </w:rPr>
          <w:tab/>
        </w:r>
        <w:r w:rsidR="00D6698F">
          <w:rPr>
            <w:webHidden/>
          </w:rPr>
          <w:fldChar w:fldCharType="begin"/>
        </w:r>
        <w:r w:rsidR="00D6698F">
          <w:rPr>
            <w:webHidden/>
          </w:rPr>
          <w:instrText xml:space="preserve"> PAGEREF _Toc118205612 \h </w:instrText>
        </w:r>
        <w:r w:rsidR="00D6698F">
          <w:rPr>
            <w:webHidden/>
          </w:rPr>
        </w:r>
        <w:r w:rsidR="00D6698F">
          <w:rPr>
            <w:webHidden/>
          </w:rPr>
          <w:fldChar w:fldCharType="separate"/>
        </w:r>
        <w:r w:rsidR="00C07DF9">
          <w:rPr>
            <w:webHidden/>
          </w:rPr>
          <w:t>3-2</w:t>
        </w:r>
        <w:r w:rsidR="00D6698F">
          <w:rPr>
            <w:webHidden/>
          </w:rPr>
          <w:fldChar w:fldCharType="end"/>
        </w:r>
      </w:hyperlink>
    </w:p>
    <w:p w14:paraId="7BCE87C1" w14:textId="76DC29D8" w:rsidR="00D6698F" w:rsidRDefault="00464453">
      <w:pPr>
        <w:pStyle w:val="TOC4"/>
        <w:tabs>
          <w:tab w:val="left" w:pos="2793"/>
        </w:tabs>
        <w:rPr>
          <w:sz w:val="22"/>
          <w:szCs w:val="22"/>
        </w:rPr>
      </w:pPr>
      <w:hyperlink w:anchor="_Toc118205613" w:history="1">
        <w:r w:rsidR="00D6698F" w:rsidRPr="00E92ABE">
          <w:rPr>
            <w:rStyle w:val="Hyperlink"/>
          </w:rPr>
          <w:t>3.1.4.2</w:t>
        </w:r>
        <w:r w:rsidR="00D6698F">
          <w:rPr>
            <w:sz w:val="22"/>
            <w:szCs w:val="22"/>
          </w:rPr>
          <w:tab/>
        </w:r>
        <w:r w:rsidR="00D6698F" w:rsidRPr="00E92ABE">
          <w:rPr>
            <w:rStyle w:val="Hyperlink"/>
          </w:rPr>
          <w:t>Step 2: Develop an Inventory of the Available and Needed Continuous Count Locations and Equipment</w:t>
        </w:r>
        <w:r w:rsidR="00D6698F">
          <w:rPr>
            <w:webHidden/>
          </w:rPr>
          <w:tab/>
        </w:r>
        <w:r w:rsidR="00D6698F">
          <w:rPr>
            <w:webHidden/>
          </w:rPr>
          <w:fldChar w:fldCharType="begin"/>
        </w:r>
        <w:r w:rsidR="00D6698F">
          <w:rPr>
            <w:webHidden/>
          </w:rPr>
          <w:instrText xml:space="preserve"> PAGEREF _Toc118205613 \h </w:instrText>
        </w:r>
        <w:r w:rsidR="00D6698F">
          <w:rPr>
            <w:webHidden/>
          </w:rPr>
        </w:r>
        <w:r w:rsidR="00D6698F">
          <w:rPr>
            <w:webHidden/>
          </w:rPr>
          <w:fldChar w:fldCharType="separate"/>
        </w:r>
        <w:r w:rsidR="00C07DF9">
          <w:rPr>
            <w:webHidden/>
          </w:rPr>
          <w:t>3-3</w:t>
        </w:r>
        <w:r w:rsidR="00D6698F">
          <w:rPr>
            <w:webHidden/>
          </w:rPr>
          <w:fldChar w:fldCharType="end"/>
        </w:r>
      </w:hyperlink>
    </w:p>
    <w:p w14:paraId="3D3AF7FE" w14:textId="1204F885" w:rsidR="00D6698F" w:rsidRDefault="00464453">
      <w:pPr>
        <w:pStyle w:val="TOC4"/>
        <w:tabs>
          <w:tab w:val="left" w:pos="2793"/>
        </w:tabs>
        <w:rPr>
          <w:sz w:val="22"/>
          <w:szCs w:val="22"/>
        </w:rPr>
      </w:pPr>
      <w:hyperlink w:anchor="_Toc118205614" w:history="1">
        <w:r w:rsidR="00D6698F" w:rsidRPr="00E92ABE">
          <w:rPr>
            <w:rStyle w:val="Hyperlink"/>
          </w:rPr>
          <w:t>3.1.4.3</w:t>
        </w:r>
        <w:r w:rsidR="00D6698F">
          <w:rPr>
            <w:sz w:val="22"/>
            <w:szCs w:val="22"/>
          </w:rPr>
          <w:tab/>
        </w:r>
        <w:r w:rsidR="00D6698F" w:rsidRPr="00E92ABE">
          <w:rPr>
            <w:rStyle w:val="Hyperlink"/>
          </w:rPr>
          <w:t>Step 3: Determine the Traffic Patterns to Be Monitored</w:t>
        </w:r>
        <w:r w:rsidR="00D6698F">
          <w:rPr>
            <w:webHidden/>
          </w:rPr>
          <w:tab/>
        </w:r>
        <w:r w:rsidR="00D6698F">
          <w:rPr>
            <w:webHidden/>
          </w:rPr>
          <w:fldChar w:fldCharType="begin"/>
        </w:r>
        <w:r w:rsidR="00D6698F">
          <w:rPr>
            <w:webHidden/>
          </w:rPr>
          <w:instrText xml:space="preserve"> PAGEREF _Toc118205614 \h </w:instrText>
        </w:r>
        <w:r w:rsidR="00D6698F">
          <w:rPr>
            <w:webHidden/>
          </w:rPr>
        </w:r>
        <w:r w:rsidR="00D6698F">
          <w:rPr>
            <w:webHidden/>
          </w:rPr>
          <w:fldChar w:fldCharType="separate"/>
        </w:r>
        <w:r w:rsidR="00C07DF9">
          <w:rPr>
            <w:webHidden/>
          </w:rPr>
          <w:t>3-4</w:t>
        </w:r>
        <w:r w:rsidR="00D6698F">
          <w:rPr>
            <w:webHidden/>
          </w:rPr>
          <w:fldChar w:fldCharType="end"/>
        </w:r>
      </w:hyperlink>
    </w:p>
    <w:p w14:paraId="1A488EF0" w14:textId="7D8FB55F" w:rsidR="00D6698F" w:rsidRDefault="00464453">
      <w:pPr>
        <w:pStyle w:val="TOC4"/>
        <w:tabs>
          <w:tab w:val="left" w:pos="2793"/>
        </w:tabs>
        <w:rPr>
          <w:sz w:val="22"/>
          <w:szCs w:val="22"/>
        </w:rPr>
      </w:pPr>
      <w:hyperlink w:anchor="_Toc118205615" w:history="1">
        <w:r w:rsidR="00D6698F" w:rsidRPr="00E92ABE">
          <w:rPr>
            <w:rStyle w:val="Hyperlink"/>
          </w:rPr>
          <w:t>3.1.4.4</w:t>
        </w:r>
        <w:r w:rsidR="00D6698F">
          <w:rPr>
            <w:sz w:val="22"/>
            <w:szCs w:val="22"/>
          </w:rPr>
          <w:tab/>
        </w:r>
        <w:r w:rsidR="00D6698F" w:rsidRPr="00E92ABE">
          <w:rPr>
            <w:rStyle w:val="Hyperlink"/>
          </w:rPr>
          <w:t>Step 4: Establish Temporal Pattern Groups</w:t>
        </w:r>
        <w:r w:rsidR="00D6698F">
          <w:rPr>
            <w:webHidden/>
          </w:rPr>
          <w:tab/>
        </w:r>
        <w:r w:rsidR="00D6698F">
          <w:rPr>
            <w:webHidden/>
          </w:rPr>
          <w:fldChar w:fldCharType="begin"/>
        </w:r>
        <w:r w:rsidR="00D6698F">
          <w:rPr>
            <w:webHidden/>
          </w:rPr>
          <w:instrText xml:space="preserve"> PAGEREF _Toc118205615 \h </w:instrText>
        </w:r>
        <w:r w:rsidR="00D6698F">
          <w:rPr>
            <w:webHidden/>
          </w:rPr>
        </w:r>
        <w:r w:rsidR="00D6698F">
          <w:rPr>
            <w:webHidden/>
          </w:rPr>
          <w:fldChar w:fldCharType="separate"/>
        </w:r>
        <w:r w:rsidR="00C07DF9">
          <w:rPr>
            <w:webHidden/>
          </w:rPr>
          <w:t>3-6</w:t>
        </w:r>
        <w:r w:rsidR="00D6698F">
          <w:rPr>
            <w:webHidden/>
          </w:rPr>
          <w:fldChar w:fldCharType="end"/>
        </w:r>
      </w:hyperlink>
    </w:p>
    <w:p w14:paraId="6CA0417C" w14:textId="66F02DA4" w:rsidR="00D6698F" w:rsidRDefault="00464453">
      <w:pPr>
        <w:pStyle w:val="TOC4"/>
        <w:tabs>
          <w:tab w:val="left" w:pos="2793"/>
        </w:tabs>
        <w:rPr>
          <w:sz w:val="22"/>
          <w:szCs w:val="22"/>
        </w:rPr>
      </w:pPr>
      <w:hyperlink w:anchor="_Toc118205616" w:history="1">
        <w:r w:rsidR="00D6698F" w:rsidRPr="00E92ABE">
          <w:rPr>
            <w:rStyle w:val="Hyperlink"/>
          </w:rPr>
          <w:t>3.1.4.5</w:t>
        </w:r>
        <w:r w:rsidR="00D6698F">
          <w:rPr>
            <w:sz w:val="22"/>
            <w:szCs w:val="22"/>
          </w:rPr>
          <w:tab/>
        </w:r>
        <w:r w:rsidR="00D6698F" w:rsidRPr="00E92ABE">
          <w:rPr>
            <w:rStyle w:val="Hyperlink"/>
          </w:rPr>
          <w:t>Step 5: Determine Appropriate Number of Continuous Count Locations</w:t>
        </w:r>
        <w:r w:rsidR="00D6698F">
          <w:rPr>
            <w:webHidden/>
          </w:rPr>
          <w:tab/>
        </w:r>
        <w:r w:rsidR="00D6698F">
          <w:rPr>
            <w:webHidden/>
          </w:rPr>
          <w:fldChar w:fldCharType="begin"/>
        </w:r>
        <w:r w:rsidR="00D6698F">
          <w:rPr>
            <w:webHidden/>
          </w:rPr>
          <w:instrText xml:space="preserve"> PAGEREF _Toc118205616 \h </w:instrText>
        </w:r>
        <w:r w:rsidR="00D6698F">
          <w:rPr>
            <w:webHidden/>
          </w:rPr>
        </w:r>
        <w:r w:rsidR="00D6698F">
          <w:rPr>
            <w:webHidden/>
          </w:rPr>
          <w:fldChar w:fldCharType="separate"/>
        </w:r>
        <w:r w:rsidR="00C07DF9">
          <w:rPr>
            <w:webHidden/>
          </w:rPr>
          <w:t>3-8</w:t>
        </w:r>
        <w:r w:rsidR="00D6698F">
          <w:rPr>
            <w:webHidden/>
          </w:rPr>
          <w:fldChar w:fldCharType="end"/>
        </w:r>
      </w:hyperlink>
    </w:p>
    <w:p w14:paraId="5AFD2A01" w14:textId="25EA141E" w:rsidR="00D6698F" w:rsidRDefault="00464453">
      <w:pPr>
        <w:pStyle w:val="TOC4"/>
        <w:tabs>
          <w:tab w:val="left" w:pos="2793"/>
        </w:tabs>
        <w:rPr>
          <w:sz w:val="22"/>
          <w:szCs w:val="22"/>
        </w:rPr>
      </w:pPr>
      <w:hyperlink w:anchor="_Toc118205617" w:history="1">
        <w:r w:rsidR="00D6698F" w:rsidRPr="00E92ABE">
          <w:rPr>
            <w:rStyle w:val="Hyperlink"/>
          </w:rPr>
          <w:t>3.1.4.6</w:t>
        </w:r>
        <w:r w:rsidR="00D6698F">
          <w:rPr>
            <w:sz w:val="22"/>
            <w:szCs w:val="22"/>
          </w:rPr>
          <w:tab/>
        </w:r>
        <w:r w:rsidR="00D6698F" w:rsidRPr="00E92ABE">
          <w:rPr>
            <w:rStyle w:val="Hyperlink"/>
          </w:rPr>
          <w:t>Step 6: Select Specific Count Locations</w:t>
        </w:r>
        <w:r w:rsidR="00D6698F">
          <w:rPr>
            <w:webHidden/>
          </w:rPr>
          <w:tab/>
        </w:r>
        <w:r w:rsidR="00D6698F">
          <w:rPr>
            <w:webHidden/>
          </w:rPr>
          <w:fldChar w:fldCharType="begin"/>
        </w:r>
        <w:r w:rsidR="00D6698F">
          <w:rPr>
            <w:webHidden/>
          </w:rPr>
          <w:instrText xml:space="preserve"> PAGEREF _Toc118205617 \h </w:instrText>
        </w:r>
        <w:r w:rsidR="00D6698F">
          <w:rPr>
            <w:webHidden/>
          </w:rPr>
        </w:r>
        <w:r w:rsidR="00D6698F">
          <w:rPr>
            <w:webHidden/>
          </w:rPr>
          <w:fldChar w:fldCharType="separate"/>
        </w:r>
        <w:r w:rsidR="00C07DF9">
          <w:rPr>
            <w:webHidden/>
          </w:rPr>
          <w:t>3-10</w:t>
        </w:r>
        <w:r w:rsidR="00D6698F">
          <w:rPr>
            <w:webHidden/>
          </w:rPr>
          <w:fldChar w:fldCharType="end"/>
        </w:r>
      </w:hyperlink>
    </w:p>
    <w:p w14:paraId="3D416139" w14:textId="41402FF5" w:rsidR="00D6698F" w:rsidRDefault="00464453">
      <w:pPr>
        <w:pStyle w:val="TOC4"/>
        <w:tabs>
          <w:tab w:val="left" w:pos="2793"/>
        </w:tabs>
        <w:rPr>
          <w:sz w:val="22"/>
          <w:szCs w:val="22"/>
        </w:rPr>
      </w:pPr>
      <w:hyperlink w:anchor="_Toc118205618" w:history="1">
        <w:r w:rsidR="00D6698F" w:rsidRPr="00E92ABE">
          <w:rPr>
            <w:rStyle w:val="Hyperlink"/>
          </w:rPr>
          <w:t>3.1.4.7</w:t>
        </w:r>
        <w:r w:rsidR="00D6698F">
          <w:rPr>
            <w:sz w:val="22"/>
            <w:szCs w:val="22"/>
          </w:rPr>
          <w:tab/>
        </w:r>
        <w:r w:rsidR="00D6698F" w:rsidRPr="00E92ABE">
          <w:rPr>
            <w:rStyle w:val="Hyperlink"/>
          </w:rPr>
          <w:t>Step 7: Compute Temporal Factors</w:t>
        </w:r>
        <w:r w:rsidR="00D6698F">
          <w:rPr>
            <w:webHidden/>
          </w:rPr>
          <w:tab/>
        </w:r>
        <w:r w:rsidR="00D6698F">
          <w:rPr>
            <w:webHidden/>
          </w:rPr>
          <w:fldChar w:fldCharType="begin"/>
        </w:r>
        <w:r w:rsidR="00D6698F">
          <w:rPr>
            <w:webHidden/>
          </w:rPr>
          <w:instrText xml:space="preserve"> PAGEREF _Toc118205618 \h </w:instrText>
        </w:r>
        <w:r w:rsidR="00D6698F">
          <w:rPr>
            <w:webHidden/>
          </w:rPr>
        </w:r>
        <w:r w:rsidR="00D6698F">
          <w:rPr>
            <w:webHidden/>
          </w:rPr>
          <w:fldChar w:fldCharType="separate"/>
        </w:r>
        <w:r w:rsidR="00C07DF9">
          <w:rPr>
            <w:webHidden/>
          </w:rPr>
          <w:t>3-12</w:t>
        </w:r>
        <w:r w:rsidR="00D6698F">
          <w:rPr>
            <w:webHidden/>
          </w:rPr>
          <w:fldChar w:fldCharType="end"/>
        </w:r>
      </w:hyperlink>
    </w:p>
    <w:p w14:paraId="103BA106" w14:textId="53C6AB89" w:rsidR="00D6698F" w:rsidRDefault="00464453" w:rsidP="00D6698F">
      <w:pPr>
        <w:pStyle w:val="TOC2"/>
        <w:rPr>
          <w:rFonts w:asciiTheme="minorHAnsi" w:eastAsiaTheme="minorEastAsia" w:hAnsiTheme="minorHAnsi" w:cstheme="minorBidi"/>
          <w:sz w:val="22"/>
        </w:rPr>
      </w:pPr>
      <w:hyperlink w:anchor="_Toc118205619" w:history="1">
        <w:r w:rsidR="00D6698F" w:rsidRPr="00E92ABE">
          <w:rPr>
            <w:rStyle w:val="Hyperlink"/>
          </w:rPr>
          <w:t>3.2</w:t>
        </w:r>
        <w:r w:rsidR="00D6698F">
          <w:rPr>
            <w:rFonts w:asciiTheme="minorHAnsi" w:eastAsiaTheme="minorEastAsia" w:hAnsiTheme="minorHAnsi" w:cstheme="minorBidi"/>
            <w:sz w:val="22"/>
          </w:rPr>
          <w:tab/>
        </w:r>
        <w:r w:rsidR="00D6698F" w:rsidRPr="00E92ABE">
          <w:rPr>
            <w:rStyle w:val="Hyperlink"/>
          </w:rPr>
          <w:t>How To Design a Vehicle Classification Count (Axle and Length) Data Program</w:t>
        </w:r>
        <w:r w:rsidR="00D6698F">
          <w:rPr>
            <w:webHidden/>
          </w:rPr>
          <w:tab/>
        </w:r>
        <w:r w:rsidR="00D6698F">
          <w:rPr>
            <w:webHidden/>
          </w:rPr>
          <w:fldChar w:fldCharType="begin"/>
        </w:r>
        <w:r w:rsidR="00D6698F">
          <w:rPr>
            <w:webHidden/>
          </w:rPr>
          <w:instrText xml:space="preserve"> PAGEREF _Toc118205619 \h </w:instrText>
        </w:r>
        <w:r w:rsidR="00D6698F">
          <w:rPr>
            <w:webHidden/>
          </w:rPr>
        </w:r>
        <w:r w:rsidR="00D6698F">
          <w:rPr>
            <w:webHidden/>
          </w:rPr>
          <w:fldChar w:fldCharType="separate"/>
        </w:r>
        <w:r w:rsidR="00C07DF9">
          <w:rPr>
            <w:webHidden/>
          </w:rPr>
          <w:t>3-15</w:t>
        </w:r>
        <w:r w:rsidR="00D6698F">
          <w:rPr>
            <w:webHidden/>
          </w:rPr>
          <w:fldChar w:fldCharType="end"/>
        </w:r>
      </w:hyperlink>
    </w:p>
    <w:p w14:paraId="5A9D2A6F" w14:textId="6811BD94" w:rsidR="00D6698F" w:rsidRDefault="00464453">
      <w:pPr>
        <w:pStyle w:val="TOC3"/>
        <w:tabs>
          <w:tab w:val="left" w:pos="2016"/>
        </w:tabs>
        <w:rPr>
          <w:rFonts w:asciiTheme="minorHAnsi" w:eastAsiaTheme="minorEastAsia" w:hAnsiTheme="minorHAnsi" w:cstheme="minorBidi"/>
          <w:color w:val="auto"/>
          <w:sz w:val="22"/>
          <w:szCs w:val="22"/>
        </w:rPr>
      </w:pPr>
      <w:hyperlink w:anchor="_Toc118205620" w:history="1">
        <w:r w:rsidR="00D6698F" w:rsidRPr="00E92ABE">
          <w:rPr>
            <w:rStyle w:val="Hyperlink"/>
          </w:rPr>
          <w:t>3.2.1</w:t>
        </w:r>
        <w:r w:rsidR="00D6698F">
          <w:rPr>
            <w:rFonts w:asciiTheme="minorHAnsi" w:eastAsiaTheme="minorEastAsia" w:hAnsiTheme="minorHAnsi" w:cstheme="minorBidi"/>
            <w:color w:val="auto"/>
            <w:sz w:val="22"/>
            <w:szCs w:val="22"/>
          </w:rPr>
          <w:tab/>
        </w:r>
        <w:r w:rsidR="00D6698F" w:rsidRPr="00E92ABE">
          <w:rPr>
            <w:rStyle w:val="Hyperlink"/>
          </w:rPr>
          <w:t>Program Design Process Overview</w:t>
        </w:r>
        <w:r w:rsidR="00D6698F">
          <w:rPr>
            <w:webHidden/>
          </w:rPr>
          <w:tab/>
        </w:r>
        <w:r w:rsidR="00D6698F">
          <w:rPr>
            <w:webHidden/>
          </w:rPr>
          <w:fldChar w:fldCharType="begin"/>
        </w:r>
        <w:r w:rsidR="00D6698F">
          <w:rPr>
            <w:webHidden/>
          </w:rPr>
          <w:instrText xml:space="preserve"> PAGEREF _Toc118205620 \h </w:instrText>
        </w:r>
        <w:r w:rsidR="00D6698F">
          <w:rPr>
            <w:webHidden/>
          </w:rPr>
        </w:r>
        <w:r w:rsidR="00D6698F">
          <w:rPr>
            <w:webHidden/>
          </w:rPr>
          <w:fldChar w:fldCharType="separate"/>
        </w:r>
        <w:r w:rsidR="00C07DF9">
          <w:rPr>
            <w:webHidden/>
          </w:rPr>
          <w:t>3-15</w:t>
        </w:r>
        <w:r w:rsidR="00D6698F">
          <w:rPr>
            <w:webHidden/>
          </w:rPr>
          <w:fldChar w:fldCharType="end"/>
        </w:r>
      </w:hyperlink>
    </w:p>
    <w:p w14:paraId="5A71DA8F" w14:textId="5CEE6C03" w:rsidR="00D6698F" w:rsidRDefault="00464453">
      <w:pPr>
        <w:pStyle w:val="TOC3"/>
        <w:tabs>
          <w:tab w:val="left" w:pos="2016"/>
        </w:tabs>
        <w:rPr>
          <w:rFonts w:asciiTheme="minorHAnsi" w:eastAsiaTheme="minorEastAsia" w:hAnsiTheme="minorHAnsi" w:cstheme="minorBidi"/>
          <w:color w:val="auto"/>
          <w:sz w:val="22"/>
          <w:szCs w:val="22"/>
        </w:rPr>
      </w:pPr>
      <w:hyperlink w:anchor="_Toc118205621" w:history="1">
        <w:r w:rsidR="00D6698F" w:rsidRPr="00E92ABE">
          <w:rPr>
            <w:rStyle w:val="Hyperlink"/>
          </w:rPr>
          <w:t>3.2.2</w:t>
        </w:r>
        <w:r w:rsidR="00D6698F">
          <w:rPr>
            <w:rFonts w:asciiTheme="minorHAnsi" w:eastAsiaTheme="minorEastAsia" w:hAnsiTheme="minorHAnsi" w:cstheme="minorBidi"/>
            <w:color w:val="auto"/>
            <w:sz w:val="22"/>
            <w:szCs w:val="22"/>
          </w:rPr>
          <w:tab/>
        </w:r>
        <w:r w:rsidR="00D6698F" w:rsidRPr="00E92ABE">
          <w:rPr>
            <w:rStyle w:val="Hyperlink"/>
          </w:rPr>
          <w:t>Step 1: Review the Existing Continuous Vehicle Classification Count Program</w:t>
        </w:r>
        <w:r w:rsidR="00D6698F">
          <w:rPr>
            <w:webHidden/>
          </w:rPr>
          <w:tab/>
        </w:r>
        <w:r w:rsidR="00D6698F">
          <w:rPr>
            <w:webHidden/>
          </w:rPr>
          <w:fldChar w:fldCharType="begin"/>
        </w:r>
        <w:r w:rsidR="00D6698F">
          <w:rPr>
            <w:webHidden/>
          </w:rPr>
          <w:instrText xml:space="preserve"> PAGEREF _Toc118205621 \h </w:instrText>
        </w:r>
        <w:r w:rsidR="00D6698F">
          <w:rPr>
            <w:webHidden/>
          </w:rPr>
        </w:r>
        <w:r w:rsidR="00D6698F">
          <w:rPr>
            <w:webHidden/>
          </w:rPr>
          <w:fldChar w:fldCharType="separate"/>
        </w:r>
        <w:r w:rsidR="00C07DF9">
          <w:rPr>
            <w:webHidden/>
          </w:rPr>
          <w:t>3-16</w:t>
        </w:r>
        <w:r w:rsidR="00D6698F">
          <w:rPr>
            <w:webHidden/>
          </w:rPr>
          <w:fldChar w:fldCharType="end"/>
        </w:r>
      </w:hyperlink>
    </w:p>
    <w:p w14:paraId="5CDA91EA" w14:textId="1D2DA07E" w:rsidR="00D6698F" w:rsidRDefault="00464453">
      <w:pPr>
        <w:pStyle w:val="TOC3"/>
        <w:tabs>
          <w:tab w:val="left" w:pos="2016"/>
        </w:tabs>
        <w:rPr>
          <w:rFonts w:asciiTheme="minorHAnsi" w:eastAsiaTheme="minorEastAsia" w:hAnsiTheme="minorHAnsi" w:cstheme="minorBidi"/>
          <w:color w:val="auto"/>
          <w:sz w:val="22"/>
          <w:szCs w:val="22"/>
        </w:rPr>
      </w:pPr>
      <w:hyperlink w:anchor="_Toc118205622" w:history="1">
        <w:r w:rsidR="00D6698F" w:rsidRPr="00E92ABE">
          <w:rPr>
            <w:rStyle w:val="Hyperlink"/>
          </w:rPr>
          <w:t>3.2.3</w:t>
        </w:r>
        <w:r w:rsidR="00D6698F">
          <w:rPr>
            <w:rFonts w:asciiTheme="minorHAnsi" w:eastAsiaTheme="minorEastAsia" w:hAnsiTheme="minorHAnsi" w:cstheme="minorBidi"/>
            <w:color w:val="auto"/>
            <w:sz w:val="22"/>
            <w:szCs w:val="22"/>
          </w:rPr>
          <w:tab/>
        </w:r>
        <w:r w:rsidR="00D6698F" w:rsidRPr="00E92ABE">
          <w:rPr>
            <w:rStyle w:val="Hyperlink"/>
          </w:rPr>
          <w:t>Step 2: Develop an Inventory of Available Vehicle Classification Count Locations and Equipment</w:t>
        </w:r>
        <w:r w:rsidR="00D6698F">
          <w:rPr>
            <w:webHidden/>
          </w:rPr>
          <w:tab/>
        </w:r>
        <w:r w:rsidR="00D6698F">
          <w:rPr>
            <w:webHidden/>
          </w:rPr>
          <w:fldChar w:fldCharType="begin"/>
        </w:r>
        <w:r w:rsidR="00D6698F">
          <w:rPr>
            <w:webHidden/>
          </w:rPr>
          <w:instrText xml:space="preserve"> PAGEREF _Toc118205622 \h </w:instrText>
        </w:r>
        <w:r w:rsidR="00D6698F">
          <w:rPr>
            <w:webHidden/>
          </w:rPr>
        </w:r>
        <w:r w:rsidR="00D6698F">
          <w:rPr>
            <w:webHidden/>
          </w:rPr>
          <w:fldChar w:fldCharType="separate"/>
        </w:r>
        <w:r w:rsidR="00C07DF9">
          <w:rPr>
            <w:webHidden/>
          </w:rPr>
          <w:t>3-16</w:t>
        </w:r>
        <w:r w:rsidR="00D6698F">
          <w:rPr>
            <w:webHidden/>
          </w:rPr>
          <w:fldChar w:fldCharType="end"/>
        </w:r>
      </w:hyperlink>
    </w:p>
    <w:p w14:paraId="481CA269" w14:textId="08B8118A" w:rsidR="00D6698F" w:rsidRDefault="00464453">
      <w:pPr>
        <w:pStyle w:val="TOC3"/>
        <w:tabs>
          <w:tab w:val="left" w:pos="2016"/>
        </w:tabs>
        <w:rPr>
          <w:rFonts w:asciiTheme="minorHAnsi" w:eastAsiaTheme="minorEastAsia" w:hAnsiTheme="minorHAnsi" w:cstheme="minorBidi"/>
          <w:color w:val="auto"/>
          <w:sz w:val="22"/>
          <w:szCs w:val="22"/>
        </w:rPr>
      </w:pPr>
      <w:hyperlink w:anchor="_Toc118205623" w:history="1">
        <w:r w:rsidR="00D6698F" w:rsidRPr="00E92ABE">
          <w:rPr>
            <w:rStyle w:val="Hyperlink"/>
          </w:rPr>
          <w:t>3.2.4</w:t>
        </w:r>
        <w:r w:rsidR="00D6698F">
          <w:rPr>
            <w:rFonts w:asciiTheme="minorHAnsi" w:eastAsiaTheme="minorEastAsia" w:hAnsiTheme="minorHAnsi" w:cstheme="minorBidi"/>
            <w:color w:val="auto"/>
            <w:sz w:val="22"/>
            <w:szCs w:val="22"/>
          </w:rPr>
          <w:tab/>
        </w:r>
        <w:r w:rsidR="00D6698F" w:rsidRPr="00E92ABE">
          <w:rPr>
            <w:rStyle w:val="Hyperlink"/>
          </w:rPr>
          <w:t>Step 3: Determine the Traffic Patterns to Be Monitored</w:t>
        </w:r>
        <w:r w:rsidR="00D6698F">
          <w:rPr>
            <w:webHidden/>
          </w:rPr>
          <w:tab/>
        </w:r>
        <w:r w:rsidR="00D6698F">
          <w:rPr>
            <w:webHidden/>
          </w:rPr>
          <w:fldChar w:fldCharType="begin"/>
        </w:r>
        <w:r w:rsidR="00D6698F">
          <w:rPr>
            <w:webHidden/>
          </w:rPr>
          <w:instrText xml:space="preserve"> PAGEREF _Toc118205623 \h </w:instrText>
        </w:r>
        <w:r w:rsidR="00D6698F">
          <w:rPr>
            <w:webHidden/>
          </w:rPr>
        </w:r>
        <w:r w:rsidR="00D6698F">
          <w:rPr>
            <w:webHidden/>
          </w:rPr>
          <w:fldChar w:fldCharType="separate"/>
        </w:r>
        <w:r w:rsidR="00C07DF9">
          <w:rPr>
            <w:webHidden/>
          </w:rPr>
          <w:t>3-16</w:t>
        </w:r>
        <w:r w:rsidR="00D6698F">
          <w:rPr>
            <w:webHidden/>
          </w:rPr>
          <w:fldChar w:fldCharType="end"/>
        </w:r>
      </w:hyperlink>
    </w:p>
    <w:p w14:paraId="0D8F7F46" w14:textId="72BE52E0" w:rsidR="00D6698F" w:rsidRDefault="00464453">
      <w:pPr>
        <w:pStyle w:val="TOC3"/>
        <w:tabs>
          <w:tab w:val="left" w:pos="2016"/>
        </w:tabs>
        <w:rPr>
          <w:rFonts w:asciiTheme="minorHAnsi" w:eastAsiaTheme="minorEastAsia" w:hAnsiTheme="minorHAnsi" w:cstheme="minorBidi"/>
          <w:color w:val="auto"/>
          <w:sz w:val="22"/>
          <w:szCs w:val="22"/>
        </w:rPr>
      </w:pPr>
      <w:hyperlink w:anchor="_Toc118205624" w:history="1">
        <w:r w:rsidR="00D6698F" w:rsidRPr="00E92ABE">
          <w:rPr>
            <w:rStyle w:val="Hyperlink"/>
          </w:rPr>
          <w:t>3.2.5</w:t>
        </w:r>
        <w:r w:rsidR="00D6698F">
          <w:rPr>
            <w:rFonts w:asciiTheme="minorHAnsi" w:eastAsiaTheme="minorEastAsia" w:hAnsiTheme="minorHAnsi" w:cstheme="minorBidi"/>
            <w:color w:val="auto"/>
            <w:sz w:val="22"/>
            <w:szCs w:val="22"/>
          </w:rPr>
          <w:tab/>
        </w:r>
        <w:r w:rsidR="00D6698F" w:rsidRPr="00E92ABE">
          <w:rPr>
            <w:rStyle w:val="Hyperlink"/>
          </w:rPr>
          <w:t>Step 4: Establish Monthly Pattern Groups</w:t>
        </w:r>
        <w:r w:rsidR="00D6698F">
          <w:rPr>
            <w:webHidden/>
          </w:rPr>
          <w:tab/>
        </w:r>
        <w:r w:rsidR="00D6698F">
          <w:rPr>
            <w:webHidden/>
          </w:rPr>
          <w:fldChar w:fldCharType="begin"/>
        </w:r>
        <w:r w:rsidR="00D6698F">
          <w:rPr>
            <w:webHidden/>
          </w:rPr>
          <w:instrText xml:space="preserve"> PAGEREF _Toc118205624 \h </w:instrText>
        </w:r>
        <w:r w:rsidR="00D6698F">
          <w:rPr>
            <w:webHidden/>
          </w:rPr>
        </w:r>
        <w:r w:rsidR="00D6698F">
          <w:rPr>
            <w:webHidden/>
          </w:rPr>
          <w:fldChar w:fldCharType="separate"/>
        </w:r>
        <w:r w:rsidR="00C07DF9">
          <w:rPr>
            <w:webHidden/>
          </w:rPr>
          <w:t>3-17</w:t>
        </w:r>
        <w:r w:rsidR="00D6698F">
          <w:rPr>
            <w:webHidden/>
          </w:rPr>
          <w:fldChar w:fldCharType="end"/>
        </w:r>
      </w:hyperlink>
    </w:p>
    <w:p w14:paraId="55124DD6" w14:textId="26237090" w:rsidR="00D6698F" w:rsidRDefault="00464453">
      <w:pPr>
        <w:pStyle w:val="TOC4"/>
        <w:tabs>
          <w:tab w:val="left" w:pos="2793"/>
        </w:tabs>
        <w:rPr>
          <w:sz w:val="22"/>
          <w:szCs w:val="22"/>
        </w:rPr>
      </w:pPr>
      <w:hyperlink w:anchor="_Toc118205625" w:history="1">
        <w:r w:rsidR="00D6698F" w:rsidRPr="00E92ABE">
          <w:rPr>
            <w:rStyle w:val="Hyperlink"/>
          </w:rPr>
          <w:t>3.2.5.1</w:t>
        </w:r>
        <w:r w:rsidR="00D6698F">
          <w:rPr>
            <w:sz w:val="22"/>
            <w:szCs w:val="22"/>
          </w:rPr>
          <w:tab/>
        </w:r>
        <w:r w:rsidR="00D6698F" w:rsidRPr="00E92ABE">
          <w:rPr>
            <w:rStyle w:val="Hyperlink"/>
          </w:rPr>
          <w:t>Understand Differences in Travel Patterns for Different Vehicle Classes</w:t>
        </w:r>
        <w:r w:rsidR="00D6698F">
          <w:rPr>
            <w:webHidden/>
          </w:rPr>
          <w:tab/>
        </w:r>
        <w:r w:rsidR="00D6698F">
          <w:rPr>
            <w:webHidden/>
          </w:rPr>
          <w:fldChar w:fldCharType="begin"/>
        </w:r>
        <w:r w:rsidR="00D6698F">
          <w:rPr>
            <w:webHidden/>
          </w:rPr>
          <w:instrText xml:space="preserve"> PAGEREF _Toc118205625 \h </w:instrText>
        </w:r>
        <w:r w:rsidR="00D6698F">
          <w:rPr>
            <w:webHidden/>
          </w:rPr>
        </w:r>
        <w:r w:rsidR="00D6698F">
          <w:rPr>
            <w:webHidden/>
          </w:rPr>
          <w:fldChar w:fldCharType="separate"/>
        </w:r>
        <w:r w:rsidR="00C07DF9">
          <w:rPr>
            <w:webHidden/>
          </w:rPr>
          <w:t>3-17</w:t>
        </w:r>
        <w:r w:rsidR="00D6698F">
          <w:rPr>
            <w:webHidden/>
          </w:rPr>
          <w:fldChar w:fldCharType="end"/>
        </w:r>
      </w:hyperlink>
    </w:p>
    <w:p w14:paraId="3A40E76E" w14:textId="1C567064" w:rsidR="00D6698F" w:rsidRDefault="00464453">
      <w:pPr>
        <w:pStyle w:val="TOC4"/>
        <w:tabs>
          <w:tab w:val="left" w:pos="2793"/>
        </w:tabs>
        <w:rPr>
          <w:sz w:val="22"/>
          <w:szCs w:val="22"/>
        </w:rPr>
      </w:pPr>
      <w:hyperlink w:anchor="_Toc118205626" w:history="1">
        <w:r w:rsidR="00D6698F" w:rsidRPr="00E92ABE">
          <w:rPr>
            <w:rStyle w:val="Hyperlink"/>
          </w:rPr>
          <w:t>3.2.5.2</w:t>
        </w:r>
        <w:r w:rsidR="00D6698F">
          <w:rPr>
            <w:sz w:val="22"/>
            <w:szCs w:val="22"/>
          </w:rPr>
          <w:tab/>
        </w:r>
        <w:r w:rsidR="00D6698F" w:rsidRPr="00E92ABE">
          <w:rPr>
            <w:rStyle w:val="Hyperlink"/>
          </w:rPr>
          <w:t>Vehicle Classes Used for Factoring</w:t>
        </w:r>
        <w:r w:rsidR="00D6698F">
          <w:rPr>
            <w:webHidden/>
          </w:rPr>
          <w:tab/>
        </w:r>
        <w:r w:rsidR="00D6698F">
          <w:rPr>
            <w:webHidden/>
          </w:rPr>
          <w:fldChar w:fldCharType="begin"/>
        </w:r>
        <w:r w:rsidR="00D6698F">
          <w:rPr>
            <w:webHidden/>
          </w:rPr>
          <w:instrText xml:space="preserve"> PAGEREF _Toc118205626 \h </w:instrText>
        </w:r>
        <w:r w:rsidR="00D6698F">
          <w:rPr>
            <w:webHidden/>
          </w:rPr>
        </w:r>
        <w:r w:rsidR="00D6698F">
          <w:rPr>
            <w:webHidden/>
          </w:rPr>
          <w:fldChar w:fldCharType="separate"/>
        </w:r>
        <w:r w:rsidR="00C07DF9">
          <w:rPr>
            <w:webHidden/>
          </w:rPr>
          <w:t>3-17</w:t>
        </w:r>
        <w:r w:rsidR="00D6698F">
          <w:rPr>
            <w:webHidden/>
          </w:rPr>
          <w:fldChar w:fldCharType="end"/>
        </w:r>
      </w:hyperlink>
    </w:p>
    <w:p w14:paraId="66FB34E2" w14:textId="275DDC86" w:rsidR="00D6698F" w:rsidRDefault="00464453">
      <w:pPr>
        <w:pStyle w:val="TOC4"/>
        <w:tabs>
          <w:tab w:val="left" w:pos="2793"/>
        </w:tabs>
        <w:rPr>
          <w:sz w:val="22"/>
          <w:szCs w:val="22"/>
        </w:rPr>
      </w:pPr>
      <w:hyperlink w:anchor="_Toc118205627" w:history="1">
        <w:r w:rsidR="00D6698F" w:rsidRPr="00E92ABE">
          <w:rPr>
            <w:rStyle w:val="Hyperlink"/>
          </w:rPr>
          <w:t>3.2.5.3</w:t>
        </w:r>
        <w:r w:rsidR="00D6698F">
          <w:rPr>
            <w:sz w:val="22"/>
            <w:szCs w:val="22"/>
          </w:rPr>
          <w:tab/>
        </w:r>
        <w:r w:rsidR="00D6698F" w:rsidRPr="00E92ABE">
          <w:rPr>
            <w:rStyle w:val="Hyperlink"/>
          </w:rPr>
          <w:t>Select Factoring Methodology</w:t>
        </w:r>
        <w:r w:rsidR="00D6698F">
          <w:rPr>
            <w:webHidden/>
          </w:rPr>
          <w:tab/>
        </w:r>
        <w:r w:rsidR="00D6698F">
          <w:rPr>
            <w:webHidden/>
          </w:rPr>
          <w:fldChar w:fldCharType="begin"/>
        </w:r>
        <w:r w:rsidR="00D6698F">
          <w:rPr>
            <w:webHidden/>
          </w:rPr>
          <w:instrText xml:space="preserve"> PAGEREF _Toc118205627 \h </w:instrText>
        </w:r>
        <w:r w:rsidR="00D6698F">
          <w:rPr>
            <w:webHidden/>
          </w:rPr>
        </w:r>
        <w:r w:rsidR="00D6698F">
          <w:rPr>
            <w:webHidden/>
          </w:rPr>
          <w:fldChar w:fldCharType="separate"/>
        </w:r>
        <w:r w:rsidR="00C07DF9">
          <w:rPr>
            <w:webHidden/>
          </w:rPr>
          <w:t>3-18</w:t>
        </w:r>
        <w:r w:rsidR="00D6698F">
          <w:rPr>
            <w:webHidden/>
          </w:rPr>
          <w:fldChar w:fldCharType="end"/>
        </w:r>
      </w:hyperlink>
    </w:p>
    <w:p w14:paraId="4E28BEB5" w14:textId="7F39234F" w:rsidR="00D6698F" w:rsidRDefault="00464453">
      <w:pPr>
        <w:pStyle w:val="TOC4"/>
        <w:tabs>
          <w:tab w:val="left" w:pos="2793"/>
        </w:tabs>
        <w:rPr>
          <w:sz w:val="22"/>
          <w:szCs w:val="22"/>
        </w:rPr>
      </w:pPr>
      <w:hyperlink w:anchor="_Toc118205628" w:history="1">
        <w:r w:rsidR="00D6698F" w:rsidRPr="00E92ABE">
          <w:rPr>
            <w:rStyle w:val="Hyperlink"/>
          </w:rPr>
          <w:t>3.2.5.4</w:t>
        </w:r>
        <w:r w:rsidR="00D6698F">
          <w:rPr>
            <w:sz w:val="22"/>
            <w:szCs w:val="22"/>
          </w:rPr>
          <w:tab/>
        </w:r>
        <w:r w:rsidR="00D6698F" w:rsidRPr="00E92ABE">
          <w:rPr>
            <w:rStyle w:val="Hyperlink"/>
          </w:rPr>
          <w:t>Create Initial Factor Groups (Traditional Approach)</w:t>
        </w:r>
        <w:r w:rsidR="00D6698F">
          <w:rPr>
            <w:webHidden/>
          </w:rPr>
          <w:tab/>
        </w:r>
        <w:r w:rsidR="00D6698F">
          <w:rPr>
            <w:webHidden/>
          </w:rPr>
          <w:fldChar w:fldCharType="begin"/>
        </w:r>
        <w:r w:rsidR="00D6698F">
          <w:rPr>
            <w:webHidden/>
          </w:rPr>
          <w:instrText xml:space="preserve"> PAGEREF _Toc118205628 \h </w:instrText>
        </w:r>
        <w:r w:rsidR="00D6698F">
          <w:rPr>
            <w:webHidden/>
          </w:rPr>
        </w:r>
        <w:r w:rsidR="00D6698F">
          <w:rPr>
            <w:webHidden/>
          </w:rPr>
          <w:fldChar w:fldCharType="separate"/>
        </w:r>
        <w:r w:rsidR="00C07DF9">
          <w:rPr>
            <w:webHidden/>
          </w:rPr>
          <w:t>3-20</w:t>
        </w:r>
        <w:r w:rsidR="00D6698F">
          <w:rPr>
            <w:webHidden/>
          </w:rPr>
          <w:fldChar w:fldCharType="end"/>
        </w:r>
      </w:hyperlink>
    </w:p>
    <w:p w14:paraId="0C290238" w14:textId="0917923D" w:rsidR="00D6698F" w:rsidRDefault="00464453">
      <w:pPr>
        <w:pStyle w:val="TOC3"/>
        <w:tabs>
          <w:tab w:val="left" w:pos="2016"/>
        </w:tabs>
        <w:rPr>
          <w:rFonts w:asciiTheme="minorHAnsi" w:eastAsiaTheme="minorEastAsia" w:hAnsiTheme="minorHAnsi" w:cstheme="minorBidi"/>
          <w:color w:val="auto"/>
          <w:sz w:val="22"/>
          <w:szCs w:val="22"/>
        </w:rPr>
      </w:pPr>
      <w:hyperlink w:anchor="_Toc118205629" w:history="1">
        <w:r w:rsidR="00D6698F" w:rsidRPr="00E92ABE">
          <w:rPr>
            <w:rStyle w:val="Hyperlink"/>
          </w:rPr>
          <w:t>3.2.6</w:t>
        </w:r>
        <w:r w:rsidR="00D6698F">
          <w:rPr>
            <w:rFonts w:asciiTheme="minorHAnsi" w:eastAsiaTheme="minorEastAsia" w:hAnsiTheme="minorHAnsi" w:cstheme="minorBidi"/>
            <w:color w:val="auto"/>
            <w:sz w:val="22"/>
            <w:szCs w:val="22"/>
          </w:rPr>
          <w:tab/>
        </w:r>
        <w:r w:rsidR="00D6698F" w:rsidRPr="00E92ABE">
          <w:rPr>
            <w:rStyle w:val="Hyperlink"/>
          </w:rPr>
          <w:t>Step 5. Develop Monthly Factors</w:t>
        </w:r>
        <w:r w:rsidR="00D6698F">
          <w:rPr>
            <w:webHidden/>
          </w:rPr>
          <w:tab/>
        </w:r>
        <w:r w:rsidR="00D6698F">
          <w:rPr>
            <w:webHidden/>
          </w:rPr>
          <w:fldChar w:fldCharType="begin"/>
        </w:r>
        <w:r w:rsidR="00D6698F">
          <w:rPr>
            <w:webHidden/>
          </w:rPr>
          <w:instrText xml:space="preserve"> PAGEREF _Toc118205629 \h </w:instrText>
        </w:r>
        <w:r w:rsidR="00D6698F">
          <w:rPr>
            <w:webHidden/>
          </w:rPr>
        </w:r>
        <w:r w:rsidR="00D6698F">
          <w:rPr>
            <w:webHidden/>
          </w:rPr>
          <w:fldChar w:fldCharType="separate"/>
        </w:r>
        <w:r w:rsidR="00C07DF9">
          <w:rPr>
            <w:webHidden/>
          </w:rPr>
          <w:t>3-22</w:t>
        </w:r>
        <w:r w:rsidR="00D6698F">
          <w:rPr>
            <w:webHidden/>
          </w:rPr>
          <w:fldChar w:fldCharType="end"/>
        </w:r>
      </w:hyperlink>
    </w:p>
    <w:p w14:paraId="1C46D75E" w14:textId="45037FE5" w:rsidR="00D6698F" w:rsidRDefault="00464453">
      <w:pPr>
        <w:pStyle w:val="TOC4"/>
        <w:tabs>
          <w:tab w:val="left" w:pos="2793"/>
        </w:tabs>
        <w:rPr>
          <w:sz w:val="22"/>
          <w:szCs w:val="22"/>
        </w:rPr>
      </w:pPr>
      <w:hyperlink w:anchor="_Toc118205630" w:history="1">
        <w:r w:rsidR="00D6698F" w:rsidRPr="00E92ABE">
          <w:rPr>
            <w:rStyle w:val="Hyperlink"/>
          </w:rPr>
          <w:t>3.2.6.1</w:t>
        </w:r>
        <w:r w:rsidR="00D6698F">
          <w:rPr>
            <w:sz w:val="22"/>
            <w:szCs w:val="22"/>
          </w:rPr>
          <w:tab/>
        </w:r>
        <w:r w:rsidR="00D6698F" w:rsidRPr="00E92ABE">
          <w:rPr>
            <w:rStyle w:val="Hyperlink"/>
          </w:rPr>
          <w:t>Test the Quality of the Selected Groups</w:t>
        </w:r>
        <w:r w:rsidR="00D6698F">
          <w:rPr>
            <w:webHidden/>
          </w:rPr>
          <w:tab/>
        </w:r>
        <w:r w:rsidR="00D6698F">
          <w:rPr>
            <w:webHidden/>
          </w:rPr>
          <w:fldChar w:fldCharType="begin"/>
        </w:r>
        <w:r w:rsidR="00D6698F">
          <w:rPr>
            <w:webHidden/>
          </w:rPr>
          <w:instrText xml:space="preserve"> PAGEREF _Toc118205630 \h </w:instrText>
        </w:r>
        <w:r w:rsidR="00D6698F">
          <w:rPr>
            <w:webHidden/>
          </w:rPr>
        </w:r>
        <w:r w:rsidR="00D6698F">
          <w:rPr>
            <w:webHidden/>
          </w:rPr>
          <w:fldChar w:fldCharType="separate"/>
        </w:r>
        <w:r w:rsidR="00C07DF9">
          <w:rPr>
            <w:webHidden/>
          </w:rPr>
          <w:t>3-22</w:t>
        </w:r>
        <w:r w:rsidR="00D6698F">
          <w:rPr>
            <w:webHidden/>
          </w:rPr>
          <w:fldChar w:fldCharType="end"/>
        </w:r>
      </w:hyperlink>
    </w:p>
    <w:p w14:paraId="64C0ED64" w14:textId="77D1E637" w:rsidR="00D6698F" w:rsidRDefault="00464453">
      <w:pPr>
        <w:pStyle w:val="TOC4"/>
        <w:tabs>
          <w:tab w:val="left" w:pos="2793"/>
        </w:tabs>
        <w:rPr>
          <w:sz w:val="22"/>
          <w:szCs w:val="22"/>
        </w:rPr>
      </w:pPr>
      <w:hyperlink w:anchor="_Toc118205631" w:history="1">
        <w:r w:rsidR="00D6698F" w:rsidRPr="00E92ABE">
          <w:rPr>
            <w:rStyle w:val="Hyperlink"/>
          </w:rPr>
          <w:t>3.2.6.2</w:t>
        </w:r>
        <w:r w:rsidR="00D6698F">
          <w:rPr>
            <w:sz w:val="22"/>
            <w:szCs w:val="22"/>
          </w:rPr>
          <w:tab/>
        </w:r>
        <w:r w:rsidR="00D6698F" w:rsidRPr="00E92ABE">
          <w:rPr>
            <w:rStyle w:val="Hyperlink"/>
          </w:rPr>
          <w:t>Determine the Precision of the Factors</w:t>
        </w:r>
        <w:r w:rsidR="00D6698F">
          <w:rPr>
            <w:webHidden/>
          </w:rPr>
          <w:tab/>
        </w:r>
        <w:r w:rsidR="00D6698F">
          <w:rPr>
            <w:webHidden/>
          </w:rPr>
          <w:fldChar w:fldCharType="begin"/>
        </w:r>
        <w:r w:rsidR="00D6698F">
          <w:rPr>
            <w:webHidden/>
          </w:rPr>
          <w:instrText xml:space="preserve"> PAGEREF _Toc118205631 \h </w:instrText>
        </w:r>
        <w:r w:rsidR="00D6698F">
          <w:rPr>
            <w:webHidden/>
          </w:rPr>
        </w:r>
        <w:r w:rsidR="00D6698F">
          <w:rPr>
            <w:webHidden/>
          </w:rPr>
          <w:fldChar w:fldCharType="separate"/>
        </w:r>
        <w:r w:rsidR="00C07DF9">
          <w:rPr>
            <w:webHidden/>
          </w:rPr>
          <w:t>3-23</w:t>
        </w:r>
        <w:r w:rsidR="00D6698F">
          <w:rPr>
            <w:webHidden/>
          </w:rPr>
          <w:fldChar w:fldCharType="end"/>
        </w:r>
      </w:hyperlink>
    </w:p>
    <w:p w14:paraId="585FF0AA" w14:textId="4DF8917D" w:rsidR="00D6698F" w:rsidRDefault="00464453">
      <w:pPr>
        <w:pStyle w:val="TOC4"/>
        <w:tabs>
          <w:tab w:val="left" w:pos="2793"/>
        </w:tabs>
        <w:rPr>
          <w:sz w:val="22"/>
          <w:szCs w:val="22"/>
        </w:rPr>
      </w:pPr>
      <w:hyperlink w:anchor="_Toc118205632" w:history="1">
        <w:r w:rsidR="00D6698F" w:rsidRPr="00E92ABE">
          <w:rPr>
            <w:rStyle w:val="Hyperlink"/>
          </w:rPr>
          <w:t>3.2.6.3</w:t>
        </w:r>
        <w:r w:rsidR="00D6698F">
          <w:rPr>
            <w:sz w:val="22"/>
            <w:szCs w:val="22"/>
          </w:rPr>
          <w:tab/>
        </w:r>
        <w:r w:rsidR="00D6698F" w:rsidRPr="00E92ABE">
          <w:rPr>
            <w:rStyle w:val="Hyperlink"/>
          </w:rPr>
          <w:t>Refine the Factor Groups</w:t>
        </w:r>
        <w:r w:rsidR="00D6698F">
          <w:rPr>
            <w:webHidden/>
          </w:rPr>
          <w:tab/>
        </w:r>
        <w:r w:rsidR="00D6698F">
          <w:rPr>
            <w:webHidden/>
          </w:rPr>
          <w:fldChar w:fldCharType="begin"/>
        </w:r>
        <w:r w:rsidR="00D6698F">
          <w:rPr>
            <w:webHidden/>
          </w:rPr>
          <w:instrText xml:space="preserve"> PAGEREF _Toc118205632 \h </w:instrText>
        </w:r>
        <w:r w:rsidR="00D6698F">
          <w:rPr>
            <w:webHidden/>
          </w:rPr>
        </w:r>
        <w:r w:rsidR="00D6698F">
          <w:rPr>
            <w:webHidden/>
          </w:rPr>
          <w:fldChar w:fldCharType="separate"/>
        </w:r>
        <w:r w:rsidR="00C07DF9">
          <w:rPr>
            <w:webHidden/>
          </w:rPr>
          <w:t>3-24</w:t>
        </w:r>
        <w:r w:rsidR="00D6698F">
          <w:rPr>
            <w:webHidden/>
          </w:rPr>
          <w:fldChar w:fldCharType="end"/>
        </w:r>
      </w:hyperlink>
    </w:p>
    <w:p w14:paraId="73A093B4" w14:textId="3ED375CD" w:rsidR="00D6698F" w:rsidRDefault="00464453">
      <w:pPr>
        <w:pStyle w:val="TOC3"/>
        <w:tabs>
          <w:tab w:val="left" w:pos="2016"/>
        </w:tabs>
        <w:rPr>
          <w:rFonts w:asciiTheme="minorHAnsi" w:eastAsiaTheme="minorEastAsia" w:hAnsiTheme="minorHAnsi" w:cstheme="minorBidi"/>
          <w:color w:val="auto"/>
          <w:sz w:val="22"/>
          <w:szCs w:val="22"/>
        </w:rPr>
      </w:pPr>
      <w:hyperlink w:anchor="_Toc118205633" w:history="1">
        <w:r w:rsidR="00D6698F" w:rsidRPr="00E92ABE">
          <w:rPr>
            <w:rStyle w:val="Hyperlink"/>
          </w:rPr>
          <w:t>3.2.7</w:t>
        </w:r>
        <w:r w:rsidR="00D6698F">
          <w:rPr>
            <w:rFonts w:asciiTheme="minorHAnsi" w:eastAsiaTheme="minorEastAsia" w:hAnsiTheme="minorHAnsi" w:cstheme="minorBidi"/>
            <w:color w:val="auto"/>
            <w:sz w:val="22"/>
            <w:szCs w:val="22"/>
          </w:rPr>
          <w:tab/>
        </w:r>
        <w:r w:rsidR="00D6698F" w:rsidRPr="00E92ABE">
          <w:rPr>
            <w:rStyle w:val="Hyperlink"/>
          </w:rPr>
          <w:t>Step 6 Determine the Appropriate Number of Continuous Vehicle Classification Locations</w:t>
        </w:r>
        <w:r w:rsidR="00D6698F">
          <w:rPr>
            <w:webHidden/>
          </w:rPr>
          <w:tab/>
        </w:r>
        <w:r w:rsidR="00D6698F">
          <w:rPr>
            <w:webHidden/>
          </w:rPr>
          <w:fldChar w:fldCharType="begin"/>
        </w:r>
        <w:r w:rsidR="00D6698F">
          <w:rPr>
            <w:webHidden/>
          </w:rPr>
          <w:instrText xml:space="preserve"> PAGEREF _Toc118205633 \h </w:instrText>
        </w:r>
        <w:r w:rsidR="00D6698F">
          <w:rPr>
            <w:webHidden/>
          </w:rPr>
        </w:r>
        <w:r w:rsidR="00D6698F">
          <w:rPr>
            <w:webHidden/>
          </w:rPr>
          <w:fldChar w:fldCharType="separate"/>
        </w:r>
        <w:r w:rsidR="00C07DF9">
          <w:rPr>
            <w:webHidden/>
          </w:rPr>
          <w:t>3-24</w:t>
        </w:r>
        <w:r w:rsidR="00D6698F">
          <w:rPr>
            <w:webHidden/>
          </w:rPr>
          <w:fldChar w:fldCharType="end"/>
        </w:r>
      </w:hyperlink>
    </w:p>
    <w:p w14:paraId="724F5A72" w14:textId="14464231" w:rsidR="00D6698F" w:rsidRDefault="00464453">
      <w:pPr>
        <w:pStyle w:val="TOC4"/>
        <w:tabs>
          <w:tab w:val="left" w:pos="2793"/>
        </w:tabs>
        <w:rPr>
          <w:sz w:val="22"/>
          <w:szCs w:val="22"/>
        </w:rPr>
      </w:pPr>
      <w:hyperlink w:anchor="_Toc118205634" w:history="1">
        <w:r w:rsidR="00D6698F" w:rsidRPr="00E92ABE">
          <w:rPr>
            <w:rStyle w:val="Hyperlink"/>
          </w:rPr>
          <w:t>3.2.7.1</w:t>
        </w:r>
        <w:r w:rsidR="00D6698F">
          <w:rPr>
            <w:sz w:val="22"/>
            <w:szCs w:val="22"/>
          </w:rPr>
          <w:tab/>
        </w:r>
        <w:r w:rsidR="00D6698F" w:rsidRPr="00E92ABE">
          <w:rPr>
            <w:rStyle w:val="Hyperlink"/>
          </w:rPr>
          <w:t>Collect Additional Data and Refine the Established Process</w:t>
        </w:r>
        <w:r w:rsidR="00D6698F">
          <w:rPr>
            <w:webHidden/>
          </w:rPr>
          <w:tab/>
        </w:r>
        <w:r w:rsidR="00D6698F">
          <w:rPr>
            <w:webHidden/>
          </w:rPr>
          <w:fldChar w:fldCharType="begin"/>
        </w:r>
        <w:r w:rsidR="00D6698F">
          <w:rPr>
            <w:webHidden/>
          </w:rPr>
          <w:instrText xml:space="preserve"> PAGEREF _Toc118205634 \h </w:instrText>
        </w:r>
        <w:r w:rsidR="00D6698F">
          <w:rPr>
            <w:webHidden/>
          </w:rPr>
        </w:r>
        <w:r w:rsidR="00D6698F">
          <w:rPr>
            <w:webHidden/>
          </w:rPr>
          <w:fldChar w:fldCharType="separate"/>
        </w:r>
        <w:r w:rsidR="00C07DF9">
          <w:rPr>
            <w:webHidden/>
          </w:rPr>
          <w:t>3-25</w:t>
        </w:r>
        <w:r w:rsidR="00D6698F">
          <w:rPr>
            <w:webHidden/>
          </w:rPr>
          <w:fldChar w:fldCharType="end"/>
        </w:r>
      </w:hyperlink>
    </w:p>
    <w:p w14:paraId="694DC391" w14:textId="67B1A009" w:rsidR="00D6698F" w:rsidRDefault="00464453">
      <w:pPr>
        <w:pStyle w:val="TOC3"/>
        <w:tabs>
          <w:tab w:val="left" w:pos="2016"/>
        </w:tabs>
        <w:rPr>
          <w:rFonts w:asciiTheme="minorHAnsi" w:eastAsiaTheme="minorEastAsia" w:hAnsiTheme="minorHAnsi" w:cstheme="minorBidi"/>
          <w:color w:val="auto"/>
          <w:sz w:val="22"/>
          <w:szCs w:val="22"/>
        </w:rPr>
      </w:pPr>
      <w:hyperlink w:anchor="_Toc118205635" w:history="1">
        <w:r w:rsidR="00D6698F" w:rsidRPr="00E92ABE">
          <w:rPr>
            <w:rStyle w:val="Hyperlink"/>
          </w:rPr>
          <w:t>3.2.8</w:t>
        </w:r>
        <w:r w:rsidR="00D6698F">
          <w:rPr>
            <w:rFonts w:asciiTheme="minorHAnsi" w:eastAsiaTheme="minorEastAsia" w:hAnsiTheme="minorHAnsi" w:cstheme="minorBidi"/>
            <w:color w:val="auto"/>
            <w:sz w:val="22"/>
            <w:szCs w:val="22"/>
          </w:rPr>
          <w:tab/>
        </w:r>
        <w:r w:rsidR="00D6698F" w:rsidRPr="00E92ABE">
          <w:rPr>
            <w:rStyle w:val="Hyperlink"/>
          </w:rPr>
          <w:t>Step 7 Compute Final Group Temporal Adjustment Factors</w:t>
        </w:r>
        <w:r w:rsidR="00D6698F">
          <w:rPr>
            <w:webHidden/>
          </w:rPr>
          <w:tab/>
        </w:r>
        <w:r w:rsidR="00D6698F">
          <w:rPr>
            <w:webHidden/>
          </w:rPr>
          <w:fldChar w:fldCharType="begin"/>
        </w:r>
        <w:r w:rsidR="00D6698F">
          <w:rPr>
            <w:webHidden/>
          </w:rPr>
          <w:instrText xml:space="preserve"> PAGEREF _Toc118205635 \h </w:instrText>
        </w:r>
        <w:r w:rsidR="00D6698F">
          <w:rPr>
            <w:webHidden/>
          </w:rPr>
        </w:r>
        <w:r w:rsidR="00D6698F">
          <w:rPr>
            <w:webHidden/>
          </w:rPr>
          <w:fldChar w:fldCharType="separate"/>
        </w:r>
        <w:r w:rsidR="00C07DF9">
          <w:rPr>
            <w:webHidden/>
          </w:rPr>
          <w:t>3-25</w:t>
        </w:r>
        <w:r w:rsidR="00D6698F">
          <w:rPr>
            <w:webHidden/>
          </w:rPr>
          <w:fldChar w:fldCharType="end"/>
        </w:r>
      </w:hyperlink>
    </w:p>
    <w:p w14:paraId="67549120" w14:textId="1697BBFB" w:rsidR="00D6698F" w:rsidRDefault="00464453" w:rsidP="00D6698F">
      <w:pPr>
        <w:pStyle w:val="TOC2"/>
        <w:rPr>
          <w:rFonts w:asciiTheme="minorHAnsi" w:eastAsiaTheme="minorEastAsia" w:hAnsiTheme="minorHAnsi" w:cstheme="minorBidi"/>
          <w:sz w:val="22"/>
        </w:rPr>
      </w:pPr>
      <w:hyperlink w:anchor="_Toc118205636" w:history="1">
        <w:r w:rsidR="00D6698F" w:rsidRPr="00E92ABE">
          <w:rPr>
            <w:rStyle w:val="Hyperlink"/>
          </w:rPr>
          <w:t>3.3</w:t>
        </w:r>
        <w:r w:rsidR="00D6698F">
          <w:rPr>
            <w:rFonts w:asciiTheme="minorHAnsi" w:eastAsiaTheme="minorEastAsia" w:hAnsiTheme="minorHAnsi" w:cstheme="minorBidi"/>
            <w:sz w:val="22"/>
          </w:rPr>
          <w:tab/>
        </w:r>
        <w:r w:rsidR="00D6698F" w:rsidRPr="00E92ABE">
          <w:rPr>
            <w:rStyle w:val="Hyperlink"/>
          </w:rPr>
          <w:t>How To Design A Continuous Vehicle Weight Data Monitoring Program (Weight)</w:t>
        </w:r>
        <w:r w:rsidR="00D6698F">
          <w:rPr>
            <w:webHidden/>
          </w:rPr>
          <w:tab/>
        </w:r>
        <w:r w:rsidR="00D6698F">
          <w:rPr>
            <w:webHidden/>
          </w:rPr>
          <w:fldChar w:fldCharType="begin"/>
        </w:r>
        <w:r w:rsidR="00D6698F">
          <w:rPr>
            <w:webHidden/>
          </w:rPr>
          <w:instrText xml:space="preserve"> PAGEREF _Toc118205636 \h </w:instrText>
        </w:r>
        <w:r w:rsidR="00D6698F">
          <w:rPr>
            <w:webHidden/>
          </w:rPr>
        </w:r>
        <w:r w:rsidR="00D6698F">
          <w:rPr>
            <w:webHidden/>
          </w:rPr>
          <w:fldChar w:fldCharType="separate"/>
        </w:r>
        <w:r w:rsidR="00C07DF9">
          <w:rPr>
            <w:webHidden/>
          </w:rPr>
          <w:t>3-28</w:t>
        </w:r>
        <w:r w:rsidR="00D6698F">
          <w:rPr>
            <w:webHidden/>
          </w:rPr>
          <w:fldChar w:fldCharType="end"/>
        </w:r>
      </w:hyperlink>
    </w:p>
    <w:p w14:paraId="325077B4" w14:textId="09AAB353" w:rsidR="00D6698F" w:rsidRDefault="00464453">
      <w:pPr>
        <w:pStyle w:val="TOC3"/>
        <w:tabs>
          <w:tab w:val="left" w:pos="2016"/>
        </w:tabs>
        <w:rPr>
          <w:rFonts w:asciiTheme="minorHAnsi" w:eastAsiaTheme="minorEastAsia" w:hAnsiTheme="minorHAnsi" w:cstheme="minorBidi"/>
          <w:color w:val="auto"/>
          <w:sz w:val="22"/>
          <w:szCs w:val="22"/>
        </w:rPr>
      </w:pPr>
      <w:hyperlink w:anchor="_Toc118205637" w:history="1">
        <w:r w:rsidR="00D6698F" w:rsidRPr="00E92ABE">
          <w:rPr>
            <w:rStyle w:val="Hyperlink"/>
          </w:rPr>
          <w:t>3.3.1</w:t>
        </w:r>
        <w:r w:rsidR="00D6698F">
          <w:rPr>
            <w:rFonts w:asciiTheme="minorHAnsi" w:eastAsiaTheme="minorEastAsia" w:hAnsiTheme="minorHAnsi" w:cstheme="minorBidi"/>
            <w:color w:val="auto"/>
            <w:sz w:val="22"/>
            <w:szCs w:val="22"/>
          </w:rPr>
          <w:tab/>
        </w:r>
        <w:r w:rsidR="00D6698F" w:rsidRPr="00E92ABE">
          <w:rPr>
            <w:rStyle w:val="Hyperlink"/>
          </w:rPr>
          <w:t>Statewide WIM Program</w:t>
        </w:r>
        <w:r w:rsidR="00D6698F">
          <w:rPr>
            <w:webHidden/>
          </w:rPr>
          <w:tab/>
        </w:r>
        <w:r w:rsidR="00D6698F">
          <w:rPr>
            <w:webHidden/>
          </w:rPr>
          <w:fldChar w:fldCharType="begin"/>
        </w:r>
        <w:r w:rsidR="00D6698F">
          <w:rPr>
            <w:webHidden/>
          </w:rPr>
          <w:instrText xml:space="preserve"> PAGEREF _Toc118205637 \h </w:instrText>
        </w:r>
        <w:r w:rsidR="00D6698F">
          <w:rPr>
            <w:webHidden/>
          </w:rPr>
        </w:r>
        <w:r w:rsidR="00D6698F">
          <w:rPr>
            <w:webHidden/>
          </w:rPr>
          <w:fldChar w:fldCharType="separate"/>
        </w:r>
        <w:r w:rsidR="00C07DF9">
          <w:rPr>
            <w:webHidden/>
          </w:rPr>
          <w:t>3-28</w:t>
        </w:r>
        <w:r w:rsidR="00D6698F">
          <w:rPr>
            <w:webHidden/>
          </w:rPr>
          <w:fldChar w:fldCharType="end"/>
        </w:r>
      </w:hyperlink>
    </w:p>
    <w:p w14:paraId="540D10A0" w14:textId="506957AD" w:rsidR="00D6698F" w:rsidRDefault="00464453">
      <w:pPr>
        <w:pStyle w:val="TOC3"/>
        <w:tabs>
          <w:tab w:val="left" w:pos="2016"/>
        </w:tabs>
        <w:rPr>
          <w:rFonts w:asciiTheme="minorHAnsi" w:eastAsiaTheme="minorEastAsia" w:hAnsiTheme="minorHAnsi" w:cstheme="minorBidi"/>
          <w:color w:val="auto"/>
          <w:sz w:val="22"/>
          <w:szCs w:val="22"/>
        </w:rPr>
      </w:pPr>
      <w:hyperlink w:anchor="_Toc118205638" w:history="1">
        <w:r w:rsidR="00D6698F" w:rsidRPr="00E92ABE">
          <w:rPr>
            <w:rStyle w:val="Hyperlink"/>
          </w:rPr>
          <w:t>3.3.2</w:t>
        </w:r>
        <w:r w:rsidR="00D6698F">
          <w:rPr>
            <w:rFonts w:asciiTheme="minorHAnsi" w:eastAsiaTheme="minorEastAsia" w:hAnsiTheme="minorHAnsi" w:cstheme="minorBidi"/>
            <w:color w:val="auto"/>
            <w:sz w:val="22"/>
            <w:szCs w:val="22"/>
          </w:rPr>
          <w:tab/>
        </w:r>
        <w:r w:rsidR="00D6698F" w:rsidRPr="00E92ABE">
          <w:rPr>
            <w:rStyle w:val="Hyperlink"/>
          </w:rPr>
          <w:t>Step 1. Review the Existing Weight Data Collection Program</w:t>
        </w:r>
        <w:r w:rsidR="00D6698F">
          <w:rPr>
            <w:webHidden/>
          </w:rPr>
          <w:tab/>
        </w:r>
        <w:r w:rsidR="00D6698F">
          <w:rPr>
            <w:webHidden/>
          </w:rPr>
          <w:fldChar w:fldCharType="begin"/>
        </w:r>
        <w:r w:rsidR="00D6698F">
          <w:rPr>
            <w:webHidden/>
          </w:rPr>
          <w:instrText xml:space="preserve"> PAGEREF _Toc118205638 \h </w:instrText>
        </w:r>
        <w:r w:rsidR="00D6698F">
          <w:rPr>
            <w:webHidden/>
          </w:rPr>
        </w:r>
        <w:r w:rsidR="00D6698F">
          <w:rPr>
            <w:webHidden/>
          </w:rPr>
          <w:fldChar w:fldCharType="separate"/>
        </w:r>
        <w:r w:rsidR="00C07DF9">
          <w:rPr>
            <w:webHidden/>
          </w:rPr>
          <w:t>3-28</w:t>
        </w:r>
        <w:r w:rsidR="00D6698F">
          <w:rPr>
            <w:webHidden/>
          </w:rPr>
          <w:fldChar w:fldCharType="end"/>
        </w:r>
      </w:hyperlink>
    </w:p>
    <w:p w14:paraId="1443BAF8" w14:textId="296F2DBC" w:rsidR="00D6698F" w:rsidRDefault="00464453">
      <w:pPr>
        <w:pStyle w:val="TOC4"/>
        <w:tabs>
          <w:tab w:val="left" w:pos="2793"/>
        </w:tabs>
        <w:rPr>
          <w:sz w:val="22"/>
          <w:szCs w:val="22"/>
        </w:rPr>
      </w:pPr>
      <w:hyperlink w:anchor="_Toc118205639" w:history="1">
        <w:r w:rsidR="00D6698F" w:rsidRPr="00E92ABE">
          <w:rPr>
            <w:rStyle w:val="Hyperlink"/>
          </w:rPr>
          <w:t>3.3.2.1</w:t>
        </w:r>
        <w:r w:rsidR="00D6698F">
          <w:rPr>
            <w:sz w:val="22"/>
            <w:szCs w:val="22"/>
          </w:rPr>
          <w:tab/>
        </w:r>
        <w:r w:rsidR="00D6698F" w:rsidRPr="00E92ABE">
          <w:rPr>
            <w:rStyle w:val="Hyperlink"/>
          </w:rPr>
          <w:t>Heavy Vehicle Weight User Needs</w:t>
        </w:r>
        <w:r w:rsidR="00D6698F">
          <w:rPr>
            <w:webHidden/>
          </w:rPr>
          <w:tab/>
        </w:r>
        <w:r w:rsidR="00D6698F">
          <w:rPr>
            <w:webHidden/>
          </w:rPr>
          <w:fldChar w:fldCharType="begin"/>
        </w:r>
        <w:r w:rsidR="00D6698F">
          <w:rPr>
            <w:webHidden/>
          </w:rPr>
          <w:instrText xml:space="preserve"> PAGEREF _Toc118205639 \h </w:instrText>
        </w:r>
        <w:r w:rsidR="00D6698F">
          <w:rPr>
            <w:webHidden/>
          </w:rPr>
        </w:r>
        <w:r w:rsidR="00D6698F">
          <w:rPr>
            <w:webHidden/>
          </w:rPr>
          <w:fldChar w:fldCharType="separate"/>
        </w:r>
        <w:r w:rsidR="00C07DF9">
          <w:rPr>
            <w:webHidden/>
          </w:rPr>
          <w:t>3-28</w:t>
        </w:r>
        <w:r w:rsidR="00D6698F">
          <w:rPr>
            <w:webHidden/>
          </w:rPr>
          <w:fldChar w:fldCharType="end"/>
        </w:r>
      </w:hyperlink>
    </w:p>
    <w:p w14:paraId="056884B4" w14:textId="055A334E" w:rsidR="00D6698F" w:rsidRDefault="00464453">
      <w:pPr>
        <w:pStyle w:val="TOC4"/>
        <w:tabs>
          <w:tab w:val="left" w:pos="2793"/>
        </w:tabs>
        <w:rPr>
          <w:sz w:val="22"/>
          <w:szCs w:val="22"/>
        </w:rPr>
      </w:pPr>
      <w:hyperlink w:anchor="_Toc118205640" w:history="1">
        <w:r w:rsidR="00D6698F" w:rsidRPr="00E92ABE">
          <w:rPr>
            <w:rStyle w:val="Hyperlink"/>
          </w:rPr>
          <w:t>3.3.2.2</w:t>
        </w:r>
        <w:r w:rsidR="00D6698F">
          <w:rPr>
            <w:sz w:val="22"/>
            <w:szCs w:val="22"/>
          </w:rPr>
          <w:tab/>
        </w:r>
        <w:r w:rsidR="00D6698F" w:rsidRPr="00E92ABE">
          <w:rPr>
            <w:rStyle w:val="Hyperlink"/>
          </w:rPr>
          <w:t>Truck Weight Data Summaries</w:t>
        </w:r>
        <w:r w:rsidR="00D6698F">
          <w:rPr>
            <w:webHidden/>
          </w:rPr>
          <w:tab/>
        </w:r>
        <w:r w:rsidR="00D6698F">
          <w:rPr>
            <w:webHidden/>
          </w:rPr>
          <w:fldChar w:fldCharType="begin"/>
        </w:r>
        <w:r w:rsidR="00D6698F">
          <w:rPr>
            <w:webHidden/>
          </w:rPr>
          <w:instrText xml:space="preserve"> PAGEREF _Toc118205640 \h </w:instrText>
        </w:r>
        <w:r w:rsidR="00D6698F">
          <w:rPr>
            <w:webHidden/>
          </w:rPr>
        </w:r>
        <w:r w:rsidR="00D6698F">
          <w:rPr>
            <w:webHidden/>
          </w:rPr>
          <w:fldChar w:fldCharType="separate"/>
        </w:r>
        <w:r w:rsidR="00C07DF9">
          <w:rPr>
            <w:webHidden/>
          </w:rPr>
          <w:t>3-29</w:t>
        </w:r>
        <w:r w:rsidR="00D6698F">
          <w:rPr>
            <w:webHidden/>
          </w:rPr>
          <w:fldChar w:fldCharType="end"/>
        </w:r>
      </w:hyperlink>
    </w:p>
    <w:p w14:paraId="15B7A13E" w14:textId="752290F6" w:rsidR="00D6698F" w:rsidRDefault="00464453">
      <w:pPr>
        <w:pStyle w:val="TOC3"/>
        <w:tabs>
          <w:tab w:val="left" w:pos="2016"/>
        </w:tabs>
        <w:rPr>
          <w:rFonts w:asciiTheme="minorHAnsi" w:eastAsiaTheme="minorEastAsia" w:hAnsiTheme="minorHAnsi" w:cstheme="minorBidi"/>
          <w:color w:val="auto"/>
          <w:sz w:val="22"/>
          <w:szCs w:val="22"/>
        </w:rPr>
      </w:pPr>
      <w:hyperlink w:anchor="_Toc118205641" w:history="1">
        <w:r w:rsidR="00D6698F" w:rsidRPr="00E92ABE">
          <w:rPr>
            <w:rStyle w:val="Hyperlink"/>
          </w:rPr>
          <w:t>3.3.3</w:t>
        </w:r>
        <w:r w:rsidR="00D6698F">
          <w:rPr>
            <w:rFonts w:asciiTheme="minorHAnsi" w:eastAsiaTheme="minorEastAsia" w:hAnsiTheme="minorHAnsi" w:cstheme="minorBidi"/>
            <w:color w:val="auto"/>
            <w:sz w:val="22"/>
            <w:szCs w:val="22"/>
          </w:rPr>
          <w:tab/>
        </w:r>
        <w:r w:rsidR="00D6698F" w:rsidRPr="00E92ABE">
          <w:rPr>
            <w:rStyle w:val="Hyperlink"/>
          </w:rPr>
          <w:t>Step 2. Inventory Existing WIM Sites and Assess WIM Site Locations</w:t>
        </w:r>
        <w:r w:rsidR="00D6698F">
          <w:rPr>
            <w:webHidden/>
          </w:rPr>
          <w:tab/>
        </w:r>
        <w:r w:rsidR="00D6698F">
          <w:rPr>
            <w:webHidden/>
          </w:rPr>
          <w:fldChar w:fldCharType="begin"/>
        </w:r>
        <w:r w:rsidR="00D6698F">
          <w:rPr>
            <w:webHidden/>
          </w:rPr>
          <w:instrText xml:space="preserve"> PAGEREF _Toc118205641 \h </w:instrText>
        </w:r>
        <w:r w:rsidR="00D6698F">
          <w:rPr>
            <w:webHidden/>
          </w:rPr>
        </w:r>
        <w:r w:rsidR="00D6698F">
          <w:rPr>
            <w:webHidden/>
          </w:rPr>
          <w:fldChar w:fldCharType="separate"/>
        </w:r>
        <w:r w:rsidR="00C07DF9">
          <w:rPr>
            <w:webHidden/>
          </w:rPr>
          <w:t>3-31</w:t>
        </w:r>
        <w:r w:rsidR="00D6698F">
          <w:rPr>
            <w:webHidden/>
          </w:rPr>
          <w:fldChar w:fldCharType="end"/>
        </w:r>
      </w:hyperlink>
    </w:p>
    <w:p w14:paraId="40B195AD" w14:textId="101B51C8" w:rsidR="00D6698F" w:rsidRDefault="00464453">
      <w:pPr>
        <w:pStyle w:val="TOC3"/>
        <w:tabs>
          <w:tab w:val="left" w:pos="2016"/>
        </w:tabs>
        <w:rPr>
          <w:rFonts w:asciiTheme="minorHAnsi" w:eastAsiaTheme="minorEastAsia" w:hAnsiTheme="minorHAnsi" w:cstheme="minorBidi"/>
          <w:color w:val="auto"/>
          <w:sz w:val="22"/>
          <w:szCs w:val="22"/>
        </w:rPr>
      </w:pPr>
      <w:hyperlink w:anchor="_Toc118205642" w:history="1">
        <w:r w:rsidR="00D6698F" w:rsidRPr="00E92ABE">
          <w:rPr>
            <w:rStyle w:val="Hyperlink"/>
          </w:rPr>
          <w:t>3.3.4</w:t>
        </w:r>
        <w:r w:rsidR="00D6698F">
          <w:rPr>
            <w:rFonts w:asciiTheme="minorHAnsi" w:eastAsiaTheme="minorEastAsia" w:hAnsiTheme="minorHAnsi" w:cstheme="minorBidi"/>
            <w:color w:val="auto"/>
            <w:sz w:val="22"/>
            <w:szCs w:val="22"/>
          </w:rPr>
          <w:tab/>
        </w:r>
        <w:r w:rsidR="00D6698F" w:rsidRPr="00E92ABE">
          <w:rPr>
            <w:rStyle w:val="Hyperlink"/>
          </w:rPr>
          <w:t>Step 3. Determine the Roadway Groups to Be Monitored</w:t>
        </w:r>
        <w:r w:rsidR="00D6698F">
          <w:rPr>
            <w:webHidden/>
          </w:rPr>
          <w:tab/>
        </w:r>
        <w:r w:rsidR="00D6698F">
          <w:rPr>
            <w:webHidden/>
          </w:rPr>
          <w:fldChar w:fldCharType="begin"/>
        </w:r>
        <w:r w:rsidR="00D6698F">
          <w:rPr>
            <w:webHidden/>
          </w:rPr>
          <w:instrText xml:space="preserve"> PAGEREF _Toc118205642 \h </w:instrText>
        </w:r>
        <w:r w:rsidR="00D6698F">
          <w:rPr>
            <w:webHidden/>
          </w:rPr>
        </w:r>
        <w:r w:rsidR="00D6698F">
          <w:rPr>
            <w:webHidden/>
          </w:rPr>
          <w:fldChar w:fldCharType="separate"/>
        </w:r>
        <w:r w:rsidR="00C07DF9">
          <w:rPr>
            <w:webHidden/>
          </w:rPr>
          <w:t>3-32</w:t>
        </w:r>
        <w:r w:rsidR="00D6698F">
          <w:rPr>
            <w:webHidden/>
          </w:rPr>
          <w:fldChar w:fldCharType="end"/>
        </w:r>
      </w:hyperlink>
    </w:p>
    <w:p w14:paraId="77C7D2A1" w14:textId="1CB31B60" w:rsidR="00D6698F" w:rsidRDefault="00464453">
      <w:pPr>
        <w:pStyle w:val="TOC3"/>
        <w:tabs>
          <w:tab w:val="left" w:pos="2016"/>
        </w:tabs>
        <w:rPr>
          <w:rFonts w:asciiTheme="minorHAnsi" w:eastAsiaTheme="minorEastAsia" w:hAnsiTheme="minorHAnsi" w:cstheme="minorBidi"/>
          <w:color w:val="auto"/>
          <w:sz w:val="22"/>
          <w:szCs w:val="22"/>
        </w:rPr>
      </w:pPr>
      <w:hyperlink w:anchor="_Toc118205643" w:history="1">
        <w:r w:rsidR="00D6698F" w:rsidRPr="00E92ABE">
          <w:rPr>
            <w:rStyle w:val="Hyperlink"/>
          </w:rPr>
          <w:t>3.3.5</w:t>
        </w:r>
        <w:r w:rsidR="00D6698F">
          <w:rPr>
            <w:rFonts w:asciiTheme="minorHAnsi" w:eastAsiaTheme="minorEastAsia" w:hAnsiTheme="minorHAnsi" w:cstheme="minorBidi"/>
            <w:color w:val="auto"/>
            <w:sz w:val="22"/>
            <w:szCs w:val="22"/>
          </w:rPr>
          <w:tab/>
        </w:r>
        <w:r w:rsidR="00D6698F" w:rsidRPr="00E92ABE">
          <w:rPr>
            <w:rStyle w:val="Hyperlink"/>
          </w:rPr>
          <w:t>Step 4. Establish Load Factor Groups</w:t>
        </w:r>
        <w:r w:rsidR="00D6698F">
          <w:rPr>
            <w:webHidden/>
          </w:rPr>
          <w:tab/>
        </w:r>
        <w:r w:rsidR="00D6698F">
          <w:rPr>
            <w:webHidden/>
          </w:rPr>
          <w:fldChar w:fldCharType="begin"/>
        </w:r>
        <w:r w:rsidR="00D6698F">
          <w:rPr>
            <w:webHidden/>
          </w:rPr>
          <w:instrText xml:space="preserve"> PAGEREF _Toc118205643 \h </w:instrText>
        </w:r>
        <w:r w:rsidR="00D6698F">
          <w:rPr>
            <w:webHidden/>
          </w:rPr>
        </w:r>
        <w:r w:rsidR="00D6698F">
          <w:rPr>
            <w:webHidden/>
          </w:rPr>
          <w:fldChar w:fldCharType="separate"/>
        </w:r>
        <w:r w:rsidR="00C07DF9">
          <w:rPr>
            <w:webHidden/>
          </w:rPr>
          <w:t>3-33</w:t>
        </w:r>
        <w:r w:rsidR="00D6698F">
          <w:rPr>
            <w:webHidden/>
          </w:rPr>
          <w:fldChar w:fldCharType="end"/>
        </w:r>
      </w:hyperlink>
    </w:p>
    <w:p w14:paraId="47E860F3" w14:textId="0697B567" w:rsidR="00D6698F" w:rsidRDefault="00464453">
      <w:pPr>
        <w:pStyle w:val="TOC3"/>
        <w:tabs>
          <w:tab w:val="left" w:pos="2016"/>
        </w:tabs>
        <w:rPr>
          <w:rFonts w:asciiTheme="minorHAnsi" w:eastAsiaTheme="minorEastAsia" w:hAnsiTheme="minorHAnsi" w:cstheme="minorBidi"/>
          <w:color w:val="auto"/>
          <w:sz w:val="22"/>
          <w:szCs w:val="22"/>
        </w:rPr>
      </w:pPr>
      <w:hyperlink w:anchor="_Toc118205644" w:history="1">
        <w:r w:rsidR="00D6698F" w:rsidRPr="00E92ABE">
          <w:rPr>
            <w:rStyle w:val="Hyperlink"/>
          </w:rPr>
          <w:t>3.3.6</w:t>
        </w:r>
        <w:r w:rsidR="00D6698F">
          <w:rPr>
            <w:rFonts w:asciiTheme="minorHAnsi" w:eastAsiaTheme="minorEastAsia" w:hAnsiTheme="minorHAnsi" w:cstheme="minorBidi"/>
            <w:color w:val="auto"/>
            <w:sz w:val="22"/>
            <w:szCs w:val="22"/>
          </w:rPr>
          <w:tab/>
        </w:r>
        <w:r w:rsidR="00D6698F" w:rsidRPr="00E92ABE">
          <w:rPr>
            <w:rStyle w:val="Hyperlink"/>
          </w:rPr>
          <w:t>Step 5. Determine the Appropriate Number of Weight Data Collection Locations</w:t>
        </w:r>
        <w:r w:rsidR="00D6698F">
          <w:rPr>
            <w:webHidden/>
          </w:rPr>
          <w:tab/>
        </w:r>
        <w:r w:rsidR="00D6698F">
          <w:rPr>
            <w:webHidden/>
          </w:rPr>
          <w:fldChar w:fldCharType="begin"/>
        </w:r>
        <w:r w:rsidR="00D6698F">
          <w:rPr>
            <w:webHidden/>
          </w:rPr>
          <w:instrText xml:space="preserve"> PAGEREF _Toc118205644 \h </w:instrText>
        </w:r>
        <w:r w:rsidR="00D6698F">
          <w:rPr>
            <w:webHidden/>
          </w:rPr>
        </w:r>
        <w:r w:rsidR="00D6698F">
          <w:rPr>
            <w:webHidden/>
          </w:rPr>
          <w:fldChar w:fldCharType="separate"/>
        </w:r>
        <w:r w:rsidR="00C07DF9">
          <w:rPr>
            <w:webHidden/>
          </w:rPr>
          <w:t>3-39</w:t>
        </w:r>
        <w:r w:rsidR="00D6698F">
          <w:rPr>
            <w:webHidden/>
          </w:rPr>
          <w:fldChar w:fldCharType="end"/>
        </w:r>
      </w:hyperlink>
    </w:p>
    <w:p w14:paraId="38DC2ADC" w14:textId="1AAF79F4" w:rsidR="00D6698F" w:rsidRDefault="00464453">
      <w:pPr>
        <w:pStyle w:val="TOC3"/>
        <w:tabs>
          <w:tab w:val="left" w:pos="2016"/>
        </w:tabs>
        <w:rPr>
          <w:rFonts w:asciiTheme="minorHAnsi" w:eastAsiaTheme="minorEastAsia" w:hAnsiTheme="minorHAnsi" w:cstheme="minorBidi"/>
          <w:color w:val="auto"/>
          <w:sz w:val="22"/>
          <w:szCs w:val="22"/>
        </w:rPr>
      </w:pPr>
      <w:hyperlink w:anchor="_Toc118205645" w:history="1">
        <w:r w:rsidR="00D6698F" w:rsidRPr="00E92ABE">
          <w:rPr>
            <w:rStyle w:val="Hyperlink"/>
          </w:rPr>
          <w:t>3.3.7</w:t>
        </w:r>
        <w:r w:rsidR="00D6698F">
          <w:rPr>
            <w:rFonts w:asciiTheme="minorHAnsi" w:eastAsiaTheme="minorEastAsia" w:hAnsiTheme="minorHAnsi" w:cstheme="minorBidi"/>
            <w:color w:val="auto"/>
            <w:sz w:val="22"/>
            <w:szCs w:val="22"/>
          </w:rPr>
          <w:tab/>
        </w:r>
        <w:r w:rsidR="00D6698F" w:rsidRPr="00E92ABE">
          <w:rPr>
            <w:rStyle w:val="Hyperlink"/>
          </w:rPr>
          <w:t>Step 6. Select New Sites to Meet WIM Program Needs</w:t>
        </w:r>
        <w:r w:rsidR="00D6698F">
          <w:rPr>
            <w:webHidden/>
          </w:rPr>
          <w:tab/>
        </w:r>
        <w:r w:rsidR="00D6698F">
          <w:rPr>
            <w:webHidden/>
          </w:rPr>
          <w:fldChar w:fldCharType="begin"/>
        </w:r>
        <w:r w:rsidR="00D6698F">
          <w:rPr>
            <w:webHidden/>
          </w:rPr>
          <w:instrText xml:space="preserve"> PAGEREF _Toc118205645 \h </w:instrText>
        </w:r>
        <w:r w:rsidR="00D6698F">
          <w:rPr>
            <w:webHidden/>
          </w:rPr>
        </w:r>
        <w:r w:rsidR="00D6698F">
          <w:rPr>
            <w:webHidden/>
          </w:rPr>
          <w:fldChar w:fldCharType="separate"/>
        </w:r>
        <w:r w:rsidR="00C07DF9">
          <w:rPr>
            <w:webHidden/>
          </w:rPr>
          <w:t>3-41</w:t>
        </w:r>
        <w:r w:rsidR="00D6698F">
          <w:rPr>
            <w:webHidden/>
          </w:rPr>
          <w:fldChar w:fldCharType="end"/>
        </w:r>
      </w:hyperlink>
    </w:p>
    <w:p w14:paraId="716518EE" w14:textId="632CB8F7" w:rsidR="00D6698F" w:rsidRDefault="00464453">
      <w:pPr>
        <w:pStyle w:val="TOC3"/>
        <w:tabs>
          <w:tab w:val="left" w:pos="2016"/>
        </w:tabs>
        <w:rPr>
          <w:rFonts w:asciiTheme="minorHAnsi" w:eastAsiaTheme="minorEastAsia" w:hAnsiTheme="minorHAnsi" w:cstheme="minorBidi"/>
          <w:color w:val="auto"/>
          <w:sz w:val="22"/>
          <w:szCs w:val="22"/>
        </w:rPr>
      </w:pPr>
      <w:hyperlink w:anchor="_Toc118205646" w:history="1">
        <w:r w:rsidR="00D6698F" w:rsidRPr="00E92ABE">
          <w:rPr>
            <w:rStyle w:val="Hyperlink"/>
          </w:rPr>
          <w:t>3.3.8</w:t>
        </w:r>
        <w:r w:rsidR="00D6698F">
          <w:rPr>
            <w:rFonts w:asciiTheme="minorHAnsi" w:eastAsiaTheme="minorEastAsia" w:hAnsiTheme="minorHAnsi" w:cstheme="minorBidi"/>
            <w:color w:val="auto"/>
            <w:sz w:val="22"/>
            <w:szCs w:val="22"/>
          </w:rPr>
          <w:tab/>
        </w:r>
        <w:r w:rsidR="00D6698F" w:rsidRPr="00E92ABE">
          <w:rPr>
            <w:rStyle w:val="Hyperlink"/>
          </w:rPr>
          <w:t>Step 7. Integrate the WIM Sites with the Remaining Count Program</w:t>
        </w:r>
        <w:r w:rsidR="00D6698F">
          <w:rPr>
            <w:webHidden/>
          </w:rPr>
          <w:tab/>
        </w:r>
        <w:r w:rsidR="00D6698F">
          <w:rPr>
            <w:webHidden/>
          </w:rPr>
          <w:fldChar w:fldCharType="begin"/>
        </w:r>
        <w:r w:rsidR="00D6698F">
          <w:rPr>
            <w:webHidden/>
          </w:rPr>
          <w:instrText xml:space="preserve"> PAGEREF _Toc118205646 \h </w:instrText>
        </w:r>
        <w:r w:rsidR="00D6698F">
          <w:rPr>
            <w:webHidden/>
          </w:rPr>
        </w:r>
        <w:r w:rsidR="00D6698F">
          <w:rPr>
            <w:webHidden/>
          </w:rPr>
          <w:fldChar w:fldCharType="separate"/>
        </w:r>
        <w:r w:rsidR="00C07DF9">
          <w:rPr>
            <w:webHidden/>
          </w:rPr>
          <w:t>3-42</w:t>
        </w:r>
        <w:r w:rsidR="00D6698F">
          <w:rPr>
            <w:webHidden/>
          </w:rPr>
          <w:fldChar w:fldCharType="end"/>
        </w:r>
      </w:hyperlink>
    </w:p>
    <w:p w14:paraId="4E7A4896" w14:textId="188D1505" w:rsidR="00D6698F" w:rsidRDefault="00464453">
      <w:pPr>
        <w:pStyle w:val="TOC4"/>
        <w:tabs>
          <w:tab w:val="left" w:pos="2793"/>
        </w:tabs>
        <w:rPr>
          <w:sz w:val="22"/>
          <w:szCs w:val="22"/>
        </w:rPr>
      </w:pPr>
      <w:hyperlink w:anchor="_Toc118205647" w:history="1">
        <w:r w:rsidR="00D6698F" w:rsidRPr="00E92ABE">
          <w:rPr>
            <w:rStyle w:val="Hyperlink"/>
          </w:rPr>
          <w:t>3.3.8.1</w:t>
        </w:r>
        <w:r w:rsidR="00D6698F">
          <w:rPr>
            <w:sz w:val="22"/>
            <w:szCs w:val="22"/>
          </w:rPr>
          <w:tab/>
        </w:r>
        <w:r w:rsidR="00D6698F" w:rsidRPr="00E92ABE">
          <w:rPr>
            <w:rStyle w:val="Hyperlink"/>
          </w:rPr>
          <w:t>Total Size of the Weight Data Collection Program</w:t>
        </w:r>
        <w:r w:rsidR="00D6698F">
          <w:rPr>
            <w:webHidden/>
          </w:rPr>
          <w:tab/>
        </w:r>
        <w:r w:rsidR="00D6698F">
          <w:rPr>
            <w:webHidden/>
          </w:rPr>
          <w:fldChar w:fldCharType="begin"/>
        </w:r>
        <w:r w:rsidR="00D6698F">
          <w:rPr>
            <w:webHidden/>
          </w:rPr>
          <w:instrText xml:space="preserve"> PAGEREF _Toc118205647 \h </w:instrText>
        </w:r>
        <w:r w:rsidR="00D6698F">
          <w:rPr>
            <w:webHidden/>
          </w:rPr>
        </w:r>
        <w:r w:rsidR="00D6698F">
          <w:rPr>
            <w:webHidden/>
          </w:rPr>
          <w:fldChar w:fldCharType="separate"/>
        </w:r>
        <w:r w:rsidR="00C07DF9">
          <w:rPr>
            <w:webHidden/>
          </w:rPr>
          <w:t>3-43</w:t>
        </w:r>
        <w:r w:rsidR="00D6698F">
          <w:rPr>
            <w:webHidden/>
          </w:rPr>
          <w:fldChar w:fldCharType="end"/>
        </w:r>
      </w:hyperlink>
    </w:p>
    <w:p w14:paraId="443F9283" w14:textId="3110C50C" w:rsidR="00D6698F" w:rsidRDefault="00464453" w:rsidP="00D6698F">
      <w:pPr>
        <w:pStyle w:val="TOC2"/>
        <w:rPr>
          <w:rFonts w:asciiTheme="minorHAnsi" w:eastAsiaTheme="minorEastAsia" w:hAnsiTheme="minorHAnsi" w:cstheme="minorBidi"/>
          <w:sz w:val="22"/>
        </w:rPr>
      </w:pPr>
      <w:hyperlink w:anchor="_Toc118205648" w:history="1">
        <w:r w:rsidR="00D6698F" w:rsidRPr="00E92ABE">
          <w:rPr>
            <w:rStyle w:val="Hyperlink"/>
          </w:rPr>
          <w:t>3.4</w:t>
        </w:r>
        <w:r w:rsidR="00D6698F">
          <w:rPr>
            <w:rFonts w:asciiTheme="minorHAnsi" w:eastAsiaTheme="minorEastAsia" w:hAnsiTheme="minorHAnsi" w:cstheme="minorBidi"/>
            <w:sz w:val="22"/>
          </w:rPr>
          <w:tab/>
        </w:r>
        <w:r w:rsidR="00D6698F" w:rsidRPr="00E92ABE">
          <w:rPr>
            <w:rStyle w:val="Hyperlink"/>
          </w:rPr>
          <w:t>How To Design A Short-Term Data Collection Program</w:t>
        </w:r>
        <w:r w:rsidR="00D6698F">
          <w:rPr>
            <w:webHidden/>
          </w:rPr>
          <w:tab/>
        </w:r>
        <w:r w:rsidR="00D6698F">
          <w:rPr>
            <w:webHidden/>
          </w:rPr>
          <w:fldChar w:fldCharType="begin"/>
        </w:r>
        <w:r w:rsidR="00D6698F">
          <w:rPr>
            <w:webHidden/>
          </w:rPr>
          <w:instrText xml:space="preserve"> PAGEREF _Toc118205648 \h </w:instrText>
        </w:r>
        <w:r w:rsidR="00D6698F">
          <w:rPr>
            <w:webHidden/>
          </w:rPr>
        </w:r>
        <w:r w:rsidR="00D6698F">
          <w:rPr>
            <w:webHidden/>
          </w:rPr>
          <w:fldChar w:fldCharType="separate"/>
        </w:r>
        <w:r w:rsidR="00C07DF9">
          <w:rPr>
            <w:webHidden/>
          </w:rPr>
          <w:t>3-43</w:t>
        </w:r>
        <w:r w:rsidR="00D6698F">
          <w:rPr>
            <w:webHidden/>
          </w:rPr>
          <w:fldChar w:fldCharType="end"/>
        </w:r>
      </w:hyperlink>
    </w:p>
    <w:p w14:paraId="55E47445" w14:textId="7F01DDAD" w:rsidR="00D6698F" w:rsidRDefault="00464453">
      <w:pPr>
        <w:pStyle w:val="TOC3"/>
        <w:tabs>
          <w:tab w:val="left" w:pos="2016"/>
        </w:tabs>
        <w:rPr>
          <w:rFonts w:asciiTheme="minorHAnsi" w:eastAsiaTheme="minorEastAsia" w:hAnsiTheme="minorHAnsi" w:cstheme="minorBidi"/>
          <w:color w:val="auto"/>
          <w:sz w:val="22"/>
          <w:szCs w:val="22"/>
        </w:rPr>
      </w:pPr>
      <w:hyperlink w:anchor="_Toc118205649" w:history="1">
        <w:r w:rsidR="00D6698F" w:rsidRPr="00E92ABE">
          <w:rPr>
            <w:rStyle w:val="Hyperlink"/>
          </w:rPr>
          <w:t>3.4.1</w:t>
        </w:r>
        <w:r w:rsidR="00D6698F">
          <w:rPr>
            <w:rFonts w:asciiTheme="minorHAnsi" w:eastAsiaTheme="minorEastAsia" w:hAnsiTheme="minorHAnsi" w:cstheme="minorBidi"/>
            <w:color w:val="auto"/>
            <w:sz w:val="22"/>
            <w:szCs w:val="22"/>
          </w:rPr>
          <w:tab/>
        </w:r>
        <w:r w:rsidR="00D6698F" w:rsidRPr="00E92ABE">
          <w:rPr>
            <w:rStyle w:val="Hyperlink"/>
          </w:rPr>
          <w:t>Steps to Develop Short-Term Count Data Collection Program</w:t>
        </w:r>
        <w:r w:rsidR="00D6698F">
          <w:rPr>
            <w:webHidden/>
          </w:rPr>
          <w:tab/>
        </w:r>
        <w:r w:rsidR="00D6698F">
          <w:rPr>
            <w:webHidden/>
          </w:rPr>
          <w:fldChar w:fldCharType="begin"/>
        </w:r>
        <w:r w:rsidR="00D6698F">
          <w:rPr>
            <w:webHidden/>
          </w:rPr>
          <w:instrText xml:space="preserve"> PAGEREF _Toc118205649 \h </w:instrText>
        </w:r>
        <w:r w:rsidR="00D6698F">
          <w:rPr>
            <w:webHidden/>
          </w:rPr>
        </w:r>
        <w:r w:rsidR="00D6698F">
          <w:rPr>
            <w:webHidden/>
          </w:rPr>
          <w:fldChar w:fldCharType="separate"/>
        </w:r>
        <w:r w:rsidR="00C07DF9">
          <w:rPr>
            <w:webHidden/>
          </w:rPr>
          <w:t>3-43</w:t>
        </w:r>
        <w:r w:rsidR="00D6698F">
          <w:rPr>
            <w:webHidden/>
          </w:rPr>
          <w:fldChar w:fldCharType="end"/>
        </w:r>
      </w:hyperlink>
    </w:p>
    <w:p w14:paraId="384D5C40" w14:textId="3BBB363F" w:rsidR="00D6698F" w:rsidRDefault="00464453">
      <w:pPr>
        <w:pStyle w:val="TOC3"/>
        <w:tabs>
          <w:tab w:val="left" w:pos="2016"/>
        </w:tabs>
        <w:rPr>
          <w:rFonts w:asciiTheme="minorHAnsi" w:eastAsiaTheme="minorEastAsia" w:hAnsiTheme="minorHAnsi" w:cstheme="minorBidi"/>
          <w:color w:val="auto"/>
          <w:sz w:val="22"/>
          <w:szCs w:val="22"/>
        </w:rPr>
      </w:pPr>
      <w:hyperlink w:anchor="_Toc118205650" w:history="1">
        <w:r w:rsidR="00D6698F" w:rsidRPr="00E92ABE">
          <w:rPr>
            <w:rStyle w:val="Hyperlink"/>
          </w:rPr>
          <w:t>3.4.2</w:t>
        </w:r>
        <w:r w:rsidR="00D6698F">
          <w:rPr>
            <w:rFonts w:asciiTheme="minorHAnsi" w:eastAsiaTheme="minorEastAsia" w:hAnsiTheme="minorHAnsi" w:cstheme="minorBidi"/>
            <w:color w:val="auto"/>
            <w:sz w:val="22"/>
            <w:szCs w:val="22"/>
          </w:rPr>
          <w:tab/>
        </w:r>
        <w:r w:rsidR="00D6698F" w:rsidRPr="00E92ABE">
          <w:rPr>
            <w:rStyle w:val="Hyperlink"/>
          </w:rPr>
          <w:t>Duration of Counts</w:t>
        </w:r>
        <w:r w:rsidR="00D6698F">
          <w:rPr>
            <w:webHidden/>
          </w:rPr>
          <w:tab/>
        </w:r>
        <w:r w:rsidR="00D6698F">
          <w:rPr>
            <w:webHidden/>
          </w:rPr>
          <w:fldChar w:fldCharType="begin"/>
        </w:r>
        <w:r w:rsidR="00D6698F">
          <w:rPr>
            <w:webHidden/>
          </w:rPr>
          <w:instrText xml:space="preserve"> PAGEREF _Toc118205650 \h </w:instrText>
        </w:r>
        <w:r w:rsidR="00D6698F">
          <w:rPr>
            <w:webHidden/>
          </w:rPr>
        </w:r>
        <w:r w:rsidR="00D6698F">
          <w:rPr>
            <w:webHidden/>
          </w:rPr>
          <w:fldChar w:fldCharType="separate"/>
        </w:r>
        <w:r w:rsidR="00C07DF9">
          <w:rPr>
            <w:webHidden/>
          </w:rPr>
          <w:t>3-44</w:t>
        </w:r>
        <w:r w:rsidR="00D6698F">
          <w:rPr>
            <w:webHidden/>
          </w:rPr>
          <w:fldChar w:fldCharType="end"/>
        </w:r>
      </w:hyperlink>
    </w:p>
    <w:p w14:paraId="0AD8CD48" w14:textId="51C5268D" w:rsidR="00D6698F" w:rsidRDefault="00464453">
      <w:pPr>
        <w:pStyle w:val="TOC3"/>
        <w:tabs>
          <w:tab w:val="left" w:pos="2016"/>
        </w:tabs>
        <w:rPr>
          <w:rFonts w:asciiTheme="minorHAnsi" w:eastAsiaTheme="minorEastAsia" w:hAnsiTheme="minorHAnsi" w:cstheme="minorBidi"/>
          <w:color w:val="auto"/>
          <w:sz w:val="22"/>
          <w:szCs w:val="22"/>
        </w:rPr>
      </w:pPr>
      <w:hyperlink w:anchor="_Toc118205651" w:history="1">
        <w:r w:rsidR="00D6698F" w:rsidRPr="00E92ABE">
          <w:rPr>
            <w:rStyle w:val="Hyperlink"/>
          </w:rPr>
          <w:t>3.4.3</w:t>
        </w:r>
        <w:r w:rsidR="00D6698F">
          <w:rPr>
            <w:rFonts w:asciiTheme="minorHAnsi" w:eastAsiaTheme="minorEastAsia" w:hAnsiTheme="minorHAnsi" w:cstheme="minorBidi"/>
            <w:color w:val="auto"/>
            <w:sz w:val="22"/>
            <w:szCs w:val="22"/>
          </w:rPr>
          <w:tab/>
        </w:r>
        <w:r w:rsidR="00D6698F" w:rsidRPr="00E92ABE">
          <w:rPr>
            <w:rStyle w:val="Hyperlink"/>
          </w:rPr>
          <w:t>Spacing and Geographical Coverage Methods for Grouping Count Locations (for</w:t>
        </w:r>
        <w:r w:rsidR="00D6698F">
          <w:rPr>
            <w:rStyle w:val="Hyperlink"/>
          </w:rPr>
          <w:t> </w:t>
        </w:r>
        <w:r w:rsidR="00D6698F" w:rsidRPr="00E92ABE">
          <w:rPr>
            <w:rStyle w:val="Hyperlink"/>
          </w:rPr>
          <w:t>Factoring)</w:t>
        </w:r>
        <w:r w:rsidR="00D6698F">
          <w:rPr>
            <w:webHidden/>
          </w:rPr>
          <w:tab/>
        </w:r>
        <w:r w:rsidR="00D6698F">
          <w:rPr>
            <w:webHidden/>
          </w:rPr>
          <w:fldChar w:fldCharType="begin"/>
        </w:r>
        <w:r w:rsidR="00D6698F">
          <w:rPr>
            <w:webHidden/>
          </w:rPr>
          <w:instrText xml:space="preserve"> PAGEREF _Toc118205651 \h </w:instrText>
        </w:r>
        <w:r w:rsidR="00D6698F">
          <w:rPr>
            <w:webHidden/>
          </w:rPr>
        </w:r>
        <w:r w:rsidR="00D6698F">
          <w:rPr>
            <w:webHidden/>
          </w:rPr>
          <w:fldChar w:fldCharType="separate"/>
        </w:r>
        <w:r w:rsidR="00C07DF9">
          <w:rPr>
            <w:webHidden/>
          </w:rPr>
          <w:t>3-44</w:t>
        </w:r>
        <w:r w:rsidR="00D6698F">
          <w:rPr>
            <w:webHidden/>
          </w:rPr>
          <w:fldChar w:fldCharType="end"/>
        </w:r>
      </w:hyperlink>
    </w:p>
    <w:p w14:paraId="3A480851" w14:textId="61E48065" w:rsidR="00D6698F" w:rsidRDefault="00464453">
      <w:pPr>
        <w:pStyle w:val="TOC3"/>
        <w:tabs>
          <w:tab w:val="left" w:pos="2016"/>
        </w:tabs>
        <w:rPr>
          <w:rFonts w:asciiTheme="minorHAnsi" w:eastAsiaTheme="minorEastAsia" w:hAnsiTheme="minorHAnsi" w:cstheme="minorBidi"/>
          <w:color w:val="auto"/>
          <w:sz w:val="22"/>
          <w:szCs w:val="22"/>
        </w:rPr>
      </w:pPr>
      <w:hyperlink w:anchor="_Toc118205652" w:history="1">
        <w:r w:rsidR="00D6698F" w:rsidRPr="00E92ABE">
          <w:rPr>
            <w:rStyle w:val="Hyperlink"/>
          </w:rPr>
          <w:t>3.4.4</w:t>
        </w:r>
        <w:r w:rsidR="00D6698F">
          <w:rPr>
            <w:rFonts w:asciiTheme="minorHAnsi" w:eastAsiaTheme="minorEastAsia" w:hAnsiTheme="minorHAnsi" w:cstheme="minorBidi"/>
            <w:color w:val="auto"/>
            <w:sz w:val="22"/>
            <w:szCs w:val="22"/>
          </w:rPr>
          <w:tab/>
        </w:r>
        <w:r w:rsidR="00D6698F" w:rsidRPr="00E92ABE">
          <w:rPr>
            <w:rStyle w:val="Hyperlink"/>
          </w:rPr>
          <w:t>Count Frequency</w:t>
        </w:r>
        <w:r w:rsidR="00D6698F">
          <w:rPr>
            <w:webHidden/>
          </w:rPr>
          <w:tab/>
        </w:r>
        <w:r w:rsidR="00D6698F">
          <w:rPr>
            <w:webHidden/>
          </w:rPr>
          <w:fldChar w:fldCharType="begin"/>
        </w:r>
        <w:r w:rsidR="00D6698F">
          <w:rPr>
            <w:webHidden/>
          </w:rPr>
          <w:instrText xml:space="preserve"> PAGEREF _Toc118205652 \h </w:instrText>
        </w:r>
        <w:r w:rsidR="00D6698F">
          <w:rPr>
            <w:webHidden/>
          </w:rPr>
        </w:r>
        <w:r w:rsidR="00D6698F">
          <w:rPr>
            <w:webHidden/>
          </w:rPr>
          <w:fldChar w:fldCharType="separate"/>
        </w:r>
        <w:r w:rsidR="00C07DF9">
          <w:rPr>
            <w:webHidden/>
          </w:rPr>
          <w:t>3-45</w:t>
        </w:r>
        <w:r w:rsidR="00D6698F">
          <w:rPr>
            <w:webHidden/>
          </w:rPr>
          <w:fldChar w:fldCharType="end"/>
        </w:r>
      </w:hyperlink>
    </w:p>
    <w:p w14:paraId="7873D800" w14:textId="52AE3CF2" w:rsidR="00D6698F" w:rsidRDefault="00464453">
      <w:pPr>
        <w:pStyle w:val="TOC3"/>
        <w:tabs>
          <w:tab w:val="left" w:pos="2016"/>
        </w:tabs>
        <w:rPr>
          <w:rFonts w:asciiTheme="minorHAnsi" w:eastAsiaTheme="minorEastAsia" w:hAnsiTheme="minorHAnsi" w:cstheme="minorBidi"/>
          <w:color w:val="auto"/>
          <w:sz w:val="22"/>
          <w:szCs w:val="22"/>
        </w:rPr>
      </w:pPr>
      <w:hyperlink w:anchor="_Toc118205653" w:history="1">
        <w:r w:rsidR="00D6698F" w:rsidRPr="00E92ABE">
          <w:rPr>
            <w:rStyle w:val="Hyperlink"/>
          </w:rPr>
          <w:t>3.4.5</w:t>
        </w:r>
        <w:r w:rsidR="00D6698F">
          <w:rPr>
            <w:rFonts w:asciiTheme="minorHAnsi" w:eastAsiaTheme="minorEastAsia" w:hAnsiTheme="minorHAnsi" w:cstheme="minorBidi"/>
            <w:color w:val="auto"/>
            <w:sz w:val="22"/>
            <w:szCs w:val="22"/>
          </w:rPr>
          <w:tab/>
        </w:r>
        <w:r w:rsidR="00D6698F" w:rsidRPr="00E92ABE">
          <w:rPr>
            <w:rStyle w:val="Hyperlink"/>
          </w:rPr>
          <w:t>Special Needs Counts</w:t>
        </w:r>
        <w:r w:rsidR="00D6698F">
          <w:rPr>
            <w:webHidden/>
          </w:rPr>
          <w:tab/>
        </w:r>
        <w:r w:rsidR="00D6698F">
          <w:rPr>
            <w:webHidden/>
          </w:rPr>
          <w:fldChar w:fldCharType="begin"/>
        </w:r>
        <w:r w:rsidR="00D6698F">
          <w:rPr>
            <w:webHidden/>
          </w:rPr>
          <w:instrText xml:space="preserve"> PAGEREF _Toc118205653 \h </w:instrText>
        </w:r>
        <w:r w:rsidR="00D6698F">
          <w:rPr>
            <w:webHidden/>
          </w:rPr>
        </w:r>
        <w:r w:rsidR="00D6698F">
          <w:rPr>
            <w:webHidden/>
          </w:rPr>
          <w:fldChar w:fldCharType="separate"/>
        </w:r>
        <w:r w:rsidR="00C07DF9">
          <w:rPr>
            <w:webHidden/>
          </w:rPr>
          <w:t>3-46</w:t>
        </w:r>
        <w:r w:rsidR="00D6698F">
          <w:rPr>
            <w:webHidden/>
          </w:rPr>
          <w:fldChar w:fldCharType="end"/>
        </w:r>
      </w:hyperlink>
    </w:p>
    <w:p w14:paraId="0F326A45" w14:textId="72C5E73E" w:rsidR="00D6698F" w:rsidRDefault="00464453">
      <w:pPr>
        <w:pStyle w:val="TOC3"/>
        <w:tabs>
          <w:tab w:val="left" w:pos="2016"/>
        </w:tabs>
        <w:rPr>
          <w:rFonts w:asciiTheme="minorHAnsi" w:eastAsiaTheme="minorEastAsia" w:hAnsiTheme="minorHAnsi" w:cstheme="minorBidi"/>
          <w:color w:val="auto"/>
          <w:sz w:val="22"/>
          <w:szCs w:val="22"/>
        </w:rPr>
      </w:pPr>
      <w:hyperlink w:anchor="_Toc118205654" w:history="1">
        <w:r w:rsidR="00D6698F" w:rsidRPr="00E92ABE">
          <w:rPr>
            <w:rStyle w:val="Hyperlink"/>
          </w:rPr>
          <w:t>3.4.6</w:t>
        </w:r>
        <w:r w:rsidR="00D6698F">
          <w:rPr>
            <w:rFonts w:asciiTheme="minorHAnsi" w:eastAsiaTheme="minorEastAsia" w:hAnsiTheme="minorHAnsi" w:cstheme="minorBidi"/>
            <w:color w:val="auto"/>
            <w:sz w:val="22"/>
            <w:szCs w:val="22"/>
          </w:rPr>
          <w:tab/>
        </w:r>
        <w:r w:rsidR="00D6698F" w:rsidRPr="00E92ABE">
          <w:rPr>
            <w:rStyle w:val="Hyperlink"/>
          </w:rPr>
          <w:t>Statistical Samples in the Special Needs Program</w:t>
        </w:r>
        <w:r w:rsidR="00D6698F">
          <w:rPr>
            <w:webHidden/>
          </w:rPr>
          <w:tab/>
        </w:r>
        <w:r w:rsidR="00D6698F">
          <w:rPr>
            <w:webHidden/>
          </w:rPr>
          <w:fldChar w:fldCharType="begin"/>
        </w:r>
        <w:r w:rsidR="00D6698F">
          <w:rPr>
            <w:webHidden/>
          </w:rPr>
          <w:instrText xml:space="preserve"> PAGEREF _Toc118205654 \h </w:instrText>
        </w:r>
        <w:r w:rsidR="00D6698F">
          <w:rPr>
            <w:webHidden/>
          </w:rPr>
        </w:r>
        <w:r w:rsidR="00D6698F">
          <w:rPr>
            <w:webHidden/>
          </w:rPr>
          <w:fldChar w:fldCharType="separate"/>
        </w:r>
        <w:r w:rsidR="00C07DF9">
          <w:rPr>
            <w:webHidden/>
          </w:rPr>
          <w:t>3-48</w:t>
        </w:r>
        <w:r w:rsidR="00D6698F">
          <w:rPr>
            <w:webHidden/>
          </w:rPr>
          <w:fldChar w:fldCharType="end"/>
        </w:r>
      </w:hyperlink>
    </w:p>
    <w:p w14:paraId="1C238CB2" w14:textId="2EBF7CFE" w:rsidR="00D6698F" w:rsidRDefault="00464453">
      <w:pPr>
        <w:pStyle w:val="TOC3"/>
        <w:tabs>
          <w:tab w:val="left" w:pos="2016"/>
        </w:tabs>
        <w:rPr>
          <w:rFonts w:asciiTheme="minorHAnsi" w:eastAsiaTheme="minorEastAsia" w:hAnsiTheme="minorHAnsi" w:cstheme="minorBidi"/>
          <w:color w:val="auto"/>
          <w:sz w:val="22"/>
          <w:szCs w:val="22"/>
        </w:rPr>
      </w:pPr>
      <w:hyperlink w:anchor="_Toc118205655" w:history="1">
        <w:r w:rsidR="00D6698F" w:rsidRPr="00E92ABE">
          <w:rPr>
            <w:rStyle w:val="Hyperlink"/>
          </w:rPr>
          <w:t>3.4.7</w:t>
        </w:r>
        <w:r w:rsidR="00D6698F">
          <w:rPr>
            <w:rFonts w:asciiTheme="minorHAnsi" w:eastAsiaTheme="minorEastAsia" w:hAnsiTheme="minorHAnsi" w:cstheme="minorBidi"/>
            <w:color w:val="auto"/>
            <w:sz w:val="22"/>
            <w:szCs w:val="22"/>
          </w:rPr>
          <w:tab/>
        </w:r>
        <w:r w:rsidR="00D6698F" w:rsidRPr="00E92ABE">
          <w:rPr>
            <w:rStyle w:val="Hyperlink"/>
          </w:rPr>
          <w:t>Point-Specific Estimates in the Special Needs Program</w:t>
        </w:r>
        <w:r w:rsidR="00D6698F">
          <w:rPr>
            <w:webHidden/>
          </w:rPr>
          <w:tab/>
        </w:r>
        <w:r w:rsidR="00D6698F">
          <w:rPr>
            <w:webHidden/>
          </w:rPr>
          <w:fldChar w:fldCharType="begin"/>
        </w:r>
        <w:r w:rsidR="00D6698F">
          <w:rPr>
            <w:webHidden/>
          </w:rPr>
          <w:instrText xml:space="preserve"> PAGEREF _Toc118205655 \h </w:instrText>
        </w:r>
        <w:r w:rsidR="00D6698F">
          <w:rPr>
            <w:webHidden/>
          </w:rPr>
        </w:r>
        <w:r w:rsidR="00D6698F">
          <w:rPr>
            <w:webHidden/>
          </w:rPr>
          <w:fldChar w:fldCharType="separate"/>
        </w:r>
        <w:r w:rsidR="00C07DF9">
          <w:rPr>
            <w:webHidden/>
          </w:rPr>
          <w:t>3-48</w:t>
        </w:r>
        <w:r w:rsidR="00D6698F">
          <w:rPr>
            <w:webHidden/>
          </w:rPr>
          <w:fldChar w:fldCharType="end"/>
        </w:r>
      </w:hyperlink>
    </w:p>
    <w:p w14:paraId="1AD941E9" w14:textId="2CFD39BE" w:rsidR="00D6698F" w:rsidRDefault="00464453">
      <w:pPr>
        <w:pStyle w:val="TOC3"/>
        <w:tabs>
          <w:tab w:val="left" w:pos="2016"/>
        </w:tabs>
        <w:rPr>
          <w:rFonts w:asciiTheme="minorHAnsi" w:eastAsiaTheme="minorEastAsia" w:hAnsiTheme="minorHAnsi" w:cstheme="minorBidi"/>
          <w:color w:val="auto"/>
          <w:sz w:val="22"/>
          <w:szCs w:val="22"/>
        </w:rPr>
      </w:pPr>
      <w:hyperlink w:anchor="_Toc118205656" w:history="1">
        <w:r w:rsidR="00D6698F" w:rsidRPr="00E92ABE">
          <w:rPr>
            <w:rStyle w:val="Hyperlink"/>
          </w:rPr>
          <w:t>3.4.8</w:t>
        </w:r>
        <w:r w:rsidR="00D6698F">
          <w:rPr>
            <w:rFonts w:asciiTheme="minorHAnsi" w:eastAsiaTheme="minorEastAsia" w:hAnsiTheme="minorHAnsi" w:cstheme="minorBidi"/>
            <w:color w:val="auto"/>
            <w:sz w:val="22"/>
            <w:szCs w:val="22"/>
          </w:rPr>
          <w:tab/>
        </w:r>
        <w:r w:rsidR="00D6698F" w:rsidRPr="00E92ABE">
          <w:rPr>
            <w:rStyle w:val="Hyperlink"/>
          </w:rPr>
          <w:t>Coordinating the Short-term and Special Needs Counts</w:t>
        </w:r>
        <w:r w:rsidR="00D6698F">
          <w:rPr>
            <w:webHidden/>
          </w:rPr>
          <w:tab/>
        </w:r>
        <w:r w:rsidR="00D6698F">
          <w:rPr>
            <w:webHidden/>
          </w:rPr>
          <w:fldChar w:fldCharType="begin"/>
        </w:r>
        <w:r w:rsidR="00D6698F">
          <w:rPr>
            <w:webHidden/>
          </w:rPr>
          <w:instrText xml:space="preserve"> PAGEREF _Toc118205656 \h </w:instrText>
        </w:r>
        <w:r w:rsidR="00D6698F">
          <w:rPr>
            <w:webHidden/>
          </w:rPr>
        </w:r>
        <w:r w:rsidR="00D6698F">
          <w:rPr>
            <w:webHidden/>
          </w:rPr>
          <w:fldChar w:fldCharType="separate"/>
        </w:r>
        <w:r w:rsidR="00C07DF9">
          <w:rPr>
            <w:webHidden/>
          </w:rPr>
          <w:t>3-49</w:t>
        </w:r>
        <w:r w:rsidR="00D6698F">
          <w:rPr>
            <w:webHidden/>
          </w:rPr>
          <w:fldChar w:fldCharType="end"/>
        </w:r>
      </w:hyperlink>
    </w:p>
    <w:p w14:paraId="1BC258CB" w14:textId="124DE3FD" w:rsidR="00D6698F" w:rsidRDefault="00464453">
      <w:pPr>
        <w:pStyle w:val="TOC3"/>
        <w:tabs>
          <w:tab w:val="left" w:pos="2016"/>
        </w:tabs>
        <w:rPr>
          <w:rFonts w:asciiTheme="minorHAnsi" w:eastAsiaTheme="minorEastAsia" w:hAnsiTheme="minorHAnsi" w:cstheme="minorBidi"/>
          <w:color w:val="auto"/>
          <w:sz w:val="22"/>
          <w:szCs w:val="22"/>
        </w:rPr>
      </w:pPr>
      <w:hyperlink w:anchor="_Toc118205657" w:history="1">
        <w:r w:rsidR="00D6698F" w:rsidRPr="00E92ABE">
          <w:rPr>
            <w:rStyle w:val="Hyperlink"/>
          </w:rPr>
          <w:t>3.4.9</w:t>
        </w:r>
        <w:r w:rsidR="00D6698F">
          <w:rPr>
            <w:rFonts w:asciiTheme="minorHAnsi" w:eastAsiaTheme="minorEastAsia" w:hAnsiTheme="minorHAnsi" w:cstheme="minorBidi"/>
            <w:color w:val="auto"/>
            <w:sz w:val="22"/>
            <w:szCs w:val="22"/>
          </w:rPr>
          <w:tab/>
        </w:r>
        <w:r w:rsidR="00D6698F" w:rsidRPr="00E92ABE">
          <w:rPr>
            <w:rStyle w:val="Hyperlink"/>
          </w:rPr>
          <w:t>Adjusting Short-term Volume Counts to AADT</w:t>
        </w:r>
        <w:r w:rsidR="00D6698F">
          <w:rPr>
            <w:webHidden/>
          </w:rPr>
          <w:tab/>
        </w:r>
        <w:r w:rsidR="00D6698F">
          <w:rPr>
            <w:webHidden/>
          </w:rPr>
          <w:fldChar w:fldCharType="begin"/>
        </w:r>
        <w:r w:rsidR="00D6698F">
          <w:rPr>
            <w:webHidden/>
          </w:rPr>
          <w:instrText xml:space="preserve"> PAGEREF _Toc118205657 \h </w:instrText>
        </w:r>
        <w:r w:rsidR="00D6698F">
          <w:rPr>
            <w:webHidden/>
          </w:rPr>
        </w:r>
        <w:r w:rsidR="00D6698F">
          <w:rPr>
            <w:webHidden/>
          </w:rPr>
          <w:fldChar w:fldCharType="separate"/>
        </w:r>
        <w:r w:rsidR="00C07DF9">
          <w:rPr>
            <w:webHidden/>
          </w:rPr>
          <w:t>3-50</w:t>
        </w:r>
        <w:r w:rsidR="00D6698F">
          <w:rPr>
            <w:webHidden/>
          </w:rPr>
          <w:fldChar w:fldCharType="end"/>
        </w:r>
      </w:hyperlink>
    </w:p>
    <w:p w14:paraId="09D532B9" w14:textId="20FD544D" w:rsidR="00D6698F" w:rsidRDefault="00464453" w:rsidP="00D6698F">
      <w:pPr>
        <w:pStyle w:val="TOC2"/>
        <w:rPr>
          <w:rFonts w:asciiTheme="minorHAnsi" w:eastAsiaTheme="minorEastAsia" w:hAnsiTheme="minorHAnsi" w:cstheme="minorBidi"/>
          <w:sz w:val="22"/>
        </w:rPr>
      </w:pPr>
      <w:hyperlink w:anchor="_Toc118205658" w:history="1">
        <w:r w:rsidR="00D6698F" w:rsidRPr="00E92ABE">
          <w:rPr>
            <w:rStyle w:val="Hyperlink"/>
          </w:rPr>
          <w:t>3.5</w:t>
        </w:r>
        <w:r w:rsidR="00D6698F">
          <w:rPr>
            <w:rFonts w:asciiTheme="minorHAnsi" w:eastAsiaTheme="minorEastAsia" w:hAnsiTheme="minorHAnsi" w:cstheme="minorBidi"/>
            <w:sz w:val="22"/>
          </w:rPr>
          <w:tab/>
        </w:r>
        <w:r w:rsidR="00D6698F" w:rsidRPr="00E92ABE">
          <w:rPr>
            <w:rStyle w:val="Hyperlink"/>
          </w:rPr>
          <w:t>How To Collect Speed Data Using Portable Counts</w:t>
        </w:r>
        <w:r w:rsidR="00D6698F">
          <w:rPr>
            <w:webHidden/>
          </w:rPr>
          <w:tab/>
        </w:r>
        <w:r w:rsidR="00D6698F">
          <w:rPr>
            <w:webHidden/>
          </w:rPr>
          <w:fldChar w:fldCharType="begin"/>
        </w:r>
        <w:r w:rsidR="00D6698F">
          <w:rPr>
            <w:webHidden/>
          </w:rPr>
          <w:instrText xml:space="preserve"> PAGEREF _Toc118205658 \h </w:instrText>
        </w:r>
        <w:r w:rsidR="00D6698F">
          <w:rPr>
            <w:webHidden/>
          </w:rPr>
        </w:r>
        <w:r w:rsidR="00D6698F">
          <w:rPr>
            <w:webHidden/>
          </w:rPr>
          <w:fldChar w:fldCharType="separate"/>
        </w:r>
        <w:r w:rsidR="00C07DF9">
          <w:rPr>
            <w:webHidden/>
          </w:rPr>
          <w:t>3-50</w:t>
        </w:r>
        <w:r w:rsidR="00D6698F">
          <w:rPr>
            <w:webHidden/>
          </w:rPr>
          <w:fldChar w:fldCharType="end"/>
        </w:r>
      </w:hyperlink>
    </w:p>
    <w:p w14:paraId="5307A7EA" w14:textId="19C19061" w:rsidR="00D6698F" w:rsidRDefault="00464453" w:rsidP="00D6698F">
      <w:pPr>
        <w:pStyle w:val="TOC2"/>
        <w:rPr>
          <w:rFonts w:asciiTheme="minorHAnsi" w:eastAsiaTheme="minorEastAsia" w:hAnsiTheme="minorHAnsi" w:cstheme="minorBidi"/>
          <w:sz w:val="22"/>
        </w:rPr>
      </w:pPr>
      <w:hyperlink w:anchor="_Toc118205659" w:history="1">
        <w:r w:rsidR="00D6698F" w:rsidRPr="00E92ABE">
          <w:rPr>
            <w:rStyle w:val="Hyperlink"/>
          </w:rPr>
          <w:t>3.6</w:t>
        </w:r>
        <w:r w:rsidR="00D6698F">
          <w:rPr>
            <w:rFonts w:asciiTheme="minorHAnsi" w:eastAsiaTheme="minorEastAsia" w:hAnsiTheme="minorHAnsi" w:cstheme="minorBidi"/>
            <w:sz w:val="22"/>
          </w:rPr>
          <w:tab/>
        </w:r>
        <w:r w:rsidR="00D6698F" w:rsidRPr="00E92ABE">
          <w:rPr>
            <w:rStyle w:val="Hyperlink"/>
          </w:rPr>
          <w:t>How to Design a Short-Term Classification Data Collection Program (Axle and Length)</w:t>
        </w:r>
        <w:r w:rsidR="00D6698F">
          <w:rPr>
            <w:webHidden/>
          </w:rPr>
          <w:tab/>
        </w:r>
        <w:r w:rsidR="00D6698F">
          <w:rPr>
            <w:webHidden/>
          </w:rPr>
          <w:fldChar w:fldCharType="begin"/>
        </w:r>
        <w:r w:rsidR="00D6698F">
          <w:rPr>
            <w:webHidden/>
          </w:rPr>
          <w:instrText xml:space="preserve"> PAGEREF _Toc118205659 \h </w:instrText>
        </w:r>
        <w:r w:rsidR="00D6698F">
          <w:rPr>
            <w:webHidden/>
          </w:rPr>
        </w:r>
        <w:r w:rsidR="00D6698F">
          <w:rPr>
            <w:webHidden/>
          </w:rPr>
          <w:fldChar w:fldCharType="separate"/>
        </w:r>
        <w:r w:rsidR="00C07DF9">
          <w:rPr>
            <w:webHidden/>
          </w:rPr>
          <w:t>3-51</w:t>
        </w:r>
        <w:r w:rsidR="00D6698F">
          <w:rPr>
            <w:webHidden/>
          </w:rPr>
          <w:fldChar w:fldCharType="end"/>
        </w:r>
      </w:hyperlink>
    </w:p>
    <w:p w14:paraId="67C1AB80" w14:textId="4CBFDC8A" w:rsidR="00D6698F" w:rsidRDefault="00464453" w:rsidP="00D6698F">
      <w:pPr>
        <w:pStyle w:val="TOC2"/>
        <w:rPr>
          <w:rFonts w:asciiTheme="minorHAnsi" w:eastAsiaTheme="minorEastAsia" w:hAnsiTheme="minorHAnsi" w:cstheme="minorBidi"/>
          <w:sz w:val="22"/>
        </w:rPr>
      </w:pPr>
      <w:hyperlink w:anchor="_Toc118205660" w:history="1">
        <w:r w:rsidR="00D6698F" w:rsidRPr="00E92ABE">
          <w:rPr>
            <w:rStyle w:val="Hyperlink"/>
          </w:rPr>
          <w:t>3.7</w:t>
        </w:r>
        <w:r w:rsidR="00D6698F">
          <w:rPr>
            <w:rFonts w:asciiTheme="minorHAnsi" w:eastAsiaTheme="minorEastAsia" w:hAnsiTheme="minorHAnsi" w:cstheme="minorBidi"/>
            <w:sz w:val="22"/>
          </w:rPr>
          <w:tab/>
        </w:r>
        <w:r w:rsidR="00D6698F" w:rsidRPr="00E92ABE">
          <w:rPr>
            <w:rStyle w:val="Hyperlink"/>
          </w:rPr>
          <w:t>How To Account for Traffic Variability</w:t>
        </w:r>
        <w:r w:rsidR="00D6698F">
          <w:rPr>
            <w:webHidden/>
          </w:rPr>
          <w:tab/>
        </w:r>
        <w:r w:rsidR="00D6698F">
          <w:rPr>
            <w:webHidden/>
          </w:rPr>
          <w:fldChar w:fldCharType="begin"/>
        </w:r>
        <w:r w:rsidR="00D6698F">
          <w:rPr>
            <w:webHidden/>
          </w:rPr>
          <w:instrText xml:space="preserve"> PAGEREF _Toc118205660 \h </w:instrText>
        </w:r>
        <w:r w:rsidR="00D6698F">
          <w:rPr>
            <w:webHidden/>
          </w:rPr>
        </w:r>
        <w:r w:rsidR="00D6698F">
          <w:rPr>
            <w:webHidden/>
          </w:rPr>
          <w:fldChar w:fldCharType="separate"/>
        </w:r>
        <w:r w:rsidR="00C07DF9">
          <w:rPr>
            <w:webHidden/>
          </w:rPr>
          <w:t>3-58</w:t>
        </w:r>
        <w:r w:rsidR="00D6698F">
          <w:rPr>
            <w:webHidden/>
          </w:rPr>
          <w:fldChar w:fldCharType="end"/>
        </w:r>
      </w:hyperlink>
    </w:p>
    <w:p w14:paraId="0BDD3222" w14:textId="0A27BD8D" w:rsidR="00D6698F" w:rsidRDefault="00464453">
      <w:pPr>
        <w:pStyle w:val="TOC3"/>
        <w:tabs>
          <w:tab w:val="left" w:pos="2016"/>
        </w:tabs>
        <w:rPr>
          <w:rFonts w:asciiTheme="minorHAnsi" w:eastAsiaTheme="minorEastAsia" w:hAnsiTheme="minorHAnsi" w:cstheme="minorBidi"/>
          <w:color w:val="auto"/>
          <w:sz w:val="22"/>
          <w:szCs w:val="22"/>
        </w:rPr>
      </w:pPr>
      <w:hyperlink w:anchor="_Toc118205661" w:history="1">
        <w:r w:rsidR="00D6698F" w:rsidRPr="00E92ABE">
          <w:rPr>
            <w:rStyle w:val="Hyperlink"/>
          </w:rPr>
          <w:t>3.7.1</w:t>
        </w:r>
        <w:r w:rsidR="00D6698F">
          <w:rPr>
            <w:rFonts w:asciiTheme="minorHAnsi" w:eastAsiaTheme="minorEastAsia" w:hAnsiTheme="minorHAnsi" w:cstheme="minorBidi"/>
            <w:color w:val="auto"/>
            <w:sz w:val="22"/>
            <w:szCs w:val="22"/>
          </w:rPr>
          <w:tab/>
        </w:r>
        <w:r w:rsidR="00D6698F" w:rsidRPr="00E92ABE">
          <w:rPr>
            <w:rStyle w:val="Hyperlink"/>
          </w:rPr>
          <w:t>Traffic Variability</w:t>
        </w:r>
        <w:r w:rsidR="00D6698F">
          <w:rPr>
            <w:webHidden/>
          </w:rPr>
          <w:tab/>
        </w:r>
        <w:r w:rsidR="00D6698F">
          <w:rPr>
            <w:webHidden/>
          </w:rPr>
          <w:fldChar w:fldCharType="begin"/>
        </w:r>
        <w:r w:rsidR="00D6698F">
          <w:rPr>
            <w:webHidden/>
          </w:rPr>
          <w:instrText xml:space="preserve"> PAGEREF _Toc118205661 \h </w:instrText>
        </w:r>
        <w:r w:rsidR="00D6698F">
          <w:rPr>
            <w:webHidden/>
          </w:rPr>
        </w:r>
        <w:r w:rsidR="00D6698F">
          <w:rPr>
            <w:webHidden/>
          </w:rPr>
          <w:fldChar w:fldCharType="separate"/>
        </w:r>
        <w:r w:rsidR="00C07DF9">
          <w:rPr>
            <w:webHidden/>
          </w:rPr>
          <w:t>3-58</w:t>
        </w:r>
        <w:r w:rsidR="00D6698F">
          <w:rPr>
            <w:webHidden/>
          </w:rPr>
          <w:fldChar w:fldCharType="end"/>
        </w:r>
      </w:hyperlink>
    </w:p>
    <w:p w14:paraId="3FD8F3A8" w14:textId="70EC78B4" w:rsidR="00D6698F" w:rsidRDefault="00464453">
      <w:pPr>
        <w:pStyle w:val="TOC3"/>
        <w:tabs>
          <w:tab w:val="left" w:pos="2016"/>
        </w:tabs>
        <w:rPr>
          <w:rFonts w:asciiTheme="minorHAnsi" w:eastAsiaTheme="minorEastAsia" w:hAnsiTheme="minorHAnsi" w:cstheme="minorBidi"/>
          <w:color w:val="auto"/>
          <w:sz w:val="22"/>
          <w:szCs w:val="22"/>
        </w:rPr>
      </w:pPr>
      <w:hyperlink w:anchor="_Toc118205662" w:history="1">
        <w:r w:rsidR="00D6698F" w:rsidRPr="00E92ABE">
          <w:rPr>
            <w:rStyle w:val="Hyperlink"/>
          </w:rPr>
          <w:t>3.7.2</w:t>
        </w:r>
        <w:r w:rsidR="00D6698F">
          <w:rPr>
            <w:rFonts w:asciiTheme="minorHAnsi" w:eastAsiaTheme="minorEastAsia" w:hAnsiTheme="minorHAnsi" w:cstheme="minorBidi"/>
            <w:color w:val="auto"/>
            <w:sz w:val="22"/>
            <w:szCs w:val="22"/>
          </w:rPr>
          <w:tab/>
        </w:r>
        <w:r w:rsidR="00D6698F" w:rsidRPr="00E92ABE">
          <w:rPr>
            <w:rStyle w:val="Hyperlink"/>
          </w:rPr>
          <w:t>Programs and Technology Designs that Account for Traffic Variability</w:t>
        </w:r>
        <w:r w:rsidR="00D6698F">
          <w:rPr>
            <w:webHidden/>
          </w:rPr>
          <w:tab/>
        </w:r>
        <w:r w:rsidR="00D6698F">
          <w:rPr>
            <w:webHidden/>
          </w:rPr>
          <w:fldChar w:fldCharType="begin"/>
        </w:r>
        <w:r w:rsidR="00D6698F">
          <w:rPr>
            <w:webHidden/>
          </w:rPr>
          <w:instrText xml:space="preserve"> PAGEREF _Toc118205662 \h </w:instrText>
        </w:r>
        <w:r w:rsidR="00D6698F">
          <w:rPr>
            <w:webHidden/>
          </w:rPr>
        </w:r>
        <w:r w:rsidR="00D6698F">
          <w:rPr>
            <w:webHidden/>
          </w:rPr>
          <w:fldChar w:fldCharType="separate"/>
        </w:r>
        <w:r w:rsidR="00C07DF9">
          <w:rPr>
            <w:webHidden/>
          </w:rPr>
          <w:t>3-63</w:t>
        </w:r>
        <w:r w:rsidR="00D6698F">
          <w:rPr>
            <w:webHidden/>
          </w:rPr>
          <w:fldChar w:fldCharType="end"/>
        </w:r>
      </w:hyperlink>
    </w:p>
    <w:p w14:paraId="01083B71" w14:textId="660B94A3" w:rsidR="00D6698F" w:rsidRDefault="00464453">
      <w:pPr>
        <w:pStyle w:val="TOC3"/>
        <w:tabs>
          <w:tab w:val="left" w:pos="2016"/>
        </w:tabs>
        <w:rPr>
          <w:rFonts w:asciiTheme="minorHAnsi" w:eastAsiaTheme="minorEastAsia" w:hAnsiTheme="minorHAnsi" w:cstheme="minorBidi"/>
          <w:color w:val="auto"/>
          <w:sz w:val="22"/>
          <w:szCs w:val="22"/>
        </w:rPr>
      </w:pPr>
      <w:hyperlink w:anchor="_Toc118205663" w:history="1">
        <w:r w:rsidR="00D6698F" w:rsidRPr="00E92ABE">
          <w:rPr>
            <w:rStyle w:val="Hyperlink"/>
          </w:rPr>
          <w:t>3.7.3</w:t>
        </w:r>
        <w:r w:rsidR="00D6698F">
          <w:rPr>
            <w:rFonts w:asciiTheme="minorHAnsi" w:eastAsiaTheme="minorEastAsia" w:hAnsiTheme="minorHAnsi" w:cstheme="minorBidi"/>
            <w:color w:val="auto"/>
            <w:sz w:val="22"/>
            <w:szCs w:val="22"/>
          </w:rPr>
          <w:tab/>
        </w:r>
        <w:r w:rsidR="00D6698F" w:rsidRPr="00E92ABE">
          <w:rPr>
            <w:rStyle w:val="Hyperlink"/>
          </w:rPr>
          <w:t>Micromobility Permanent Data Program</w:t>
        </w:r>
        <w:r w:rsidR="00D6698F">
          <w:rPr>
            <w:webHidden/>
          </w:rPr>
          <w:tab/>
        </w:r>
        <w:r w:rsidR="00D6698F">
          <w:rPr>
            <w:webHidden/>
          </w:rPr>
          <w:fldChar w:fldCharType="begin"/>
        </w:r>
        <w:r w:rsidR="00D6698F">
          <w:rPr>
            <w:webHidden/>
          </w:rPr>
          <w:instrText xml:space="preserve"> PAGEREF _Toc118205663 \h </w:instrText>
        </w:r>
        <w:r w:rsidR="00D6698F">
          <w:rPr>
            <w:webHidden/>
          </w:rPr>
        </w:r>
        <w:r w:rsidR="00D6698F">
          <w:rPr>
            <w:webHidden/>
          </w:rPr>
          <w:fldChar w:fldCharType="separate"/>
        </w:r>
        <w:r w:rsidR="00C07DF9">
          <w:rPr>
            <w:webHidden/>
          </w:rPr>
          <w:t>3-63</w:t>
        </w:r>
        <w:r w:rsidR="00D6698F">
          <w:rPr>
            <w:webHidden/>
          </w:rPr>
          <w:fldChar w:fldCharType="end"/>
        </w:r>
      </w:hyperlink>
    </w:p>
    <w:p w14:paraId="33DD1580" w14:textId="52859BAF" w:rsidR="00D6698F" w:rsidRDefault="00464453" w:rsidP="00D6698F">
      <w:pPr>
        <w:pStyle w:val="TOC2"/>
        <w:rPr>
          <w:rFonts w:asciiTheme="minorHAnsi" w:eastAsiaTheme="minorEastAsia" w:hAnsiTheme="minorHAnsi" w:cstheme="minorBidi"/>
          <w:sz w:val="22"/>
        </w:rPr>
      </w:pPr>
      <w:hyperlink w:anchor="_Toc118205664" w:history="1">
        <w:r w:rsidR="00D6698F" w:rsidRPr="00E92ABE">
          <w:rPr>
            <w:rStyle w:val="Hyperlink"/>
          </w:rPr>
          <w:t>3.8</w:t>
        </w:r>
        <w:r w:rsidR="00D6698F">
          <w:rPr>
            <w:rFonts w:asciiTheme="minorHAnsi" w:eastAsiaTheme="minorEastAsia" w:hAnsiTheme="minorHAnsi" w:cstheme="minorBidi"/>
            <w:sz w:val="22"/>
          </w:rPr>
          <w:tab/>
        </w:r>
        <w:r w:rsidR="00D6698F" w:rsidRPr="00E92ABE">
          <w:rPr>
            <w:rStyle w:val="Hyperlink"/>
          </w:rPr>
          <w:t>Traffic Data Processing</w:t>
        </w:r>
        <w:r w:rsidR="00D6698F">
          <w:rPr>
            <w:webHidden/>
          </w:rPr>
          <w:tab/>
        </w:r>
        <w:r w:rsidR="00D6698F">
          <w:rPr>
            <w:webHidden/>
          </w:rPr>
          <w:fldChar w:fldCharType="begin"/>
        </w:r>
        <w:r w:rsidR="00D6698F">
          <w:rPr>
            <w:webHidden/>
          </w:rPr>
          <w:instrText xml:space="preserve"> PAGEREF _Toc118205664 \h </w:instrText>
        </w:r>
        <w:r w:rsidR="00D6698F">
          <w:rPr>
            <w:webHidden/>
          </w:rPr>
        </w:r>
        <w:r w:rsidR="00D6698F">
          <w:rPr>
            <w:webHidden/>
          </w:rPr>
          <w:fldChar w:fldCharType="separate"/>
        </w:r>
        <w:r w:rsidR="00C07DF9">
          <w:rPr>
            <w:webHidden/>
          </w:rPr>
          <w:t>3-67</w:t>
        </w:r>
        <w:r w:rsidR="00D6698F">
          <w:rPr>
            <w:webHidden/>
          </w:rPr>
          <w:fldChar w:fldCharType="end"/>
        </w:r>
      </w:hyperlink>
    </w:p>
    <w:p w14:paraId="438E92DD" w14:textId="2CE643E0" w:rsidR="00D6698F" w:rsidRDefault="00464453">
      <w:pPr>
        <w:pStyle w:val="TOC3"/>
        <w:tabs>
          <w:tab w:val="left" w:pos="2016"/>
        </w:tabs>
        <w:rPr>
          <w:rFonts w:asciiTheme="minorHAnsi" w:eastAsiaTheme="minorEastAsia" w:hAnsiTheme="minorHAnsi" w:cstheme="minorBidi"/>
          <w:color w:val="auto"/>
          <w:sz w:val="22"/>
          <w:szCs w:val="22"/>
        </w:rPr>
      </w:pPr>
      <w:hyperlink w:anchor="_Toc118205665" w:history="1">
        <w:r w:rsidR="00D6698F" w:rsidRPr="00E92ABE">
          <w:rPr>
            <w:rStyle w:val="Hyperlink"/>
          </w:rPr>
          <w:t>3.8.1</w:t>
        </w:r>
        <w:r w:rsidR="00D6698F">
          <w:rPr>
            <w:rFonts w:asciiTheme="minorHAnsi" w:eastAsiaTheme="minorEastAsia" w:hAnsiTheme="minorHAnsi" w:cstheme="minorBidi"/>
            <w:color w:val="auto"/>
            <w:sz w:val="22"/>
            <w:szCs w:val="22"/>
          </w:rPr>
          <w:tab/>
        </w:r>
        <w:r w:rsidR="00D6698F" w:rsidRPr="00E92ABE">
          <w:rPr>
            <w:rStyle w:val="Hyperlink"/>
          </w:rPr>
          <w:t>Calculations and Computations for End-of-Year Processing</w:t>
        </w:r>
        <w:r w:rsidR="00D6698F">
          <w:rPr>
            <w:webHidden/>
          </w:rPr>
          <w:tab/>
        </w:r>
        <w:r w:rsidR="00D6698F">
          <w:rPr>
            <w:webHidden/>
          </w:rPr>
          <w:fldChar w:fldCharType="begin"/>
        </w:r>
        <w:r w:rsidR="00D6698F">
          <w:rPr>
            <w:webHidden/>
          </w:rPr>
          <w:instrText xml:space="preserve"> PAGEREF _Toc118205665 \h </w:instrText>
        </w:r>
        <w:r w:rsidR="00D6698F">
          <w:rPr>
            <w:webHidden/>
          </w:rPr>
        </w:r>
        <w:r w:rsidR="00D6698F">
          <w:rPr>
            <w:webHidden/>
          </w:rPr>
          <w:fldChar w:fldCharType="separate"/>
        </w:r>
        <w:r w:rsidR="00C07DF9">
          <w:rPr>
            <w:webHidden/>
          </w:rPr>
          <w:t>3-67</w:t>
        </w:r>
        <w:r w:rsidR="00D6698F">
          <w:rPr>
            <w:webHidden/>
          </w:rPr>
          <w:fldChar w:fldCharType="end"/>
        </w:r>
      </w:hyperlink>
    </w:p>
    <w:p w14:paraId="4FA4F293" w14:textId="414A3757" w:rsidR="00D6698F" w:rsidRDefault="00464453">
      <w:pPr>
        <w:pStyle w:val="TOC3"/>
        <w:tabs>
          <w:tab w:val="left" w:pos="2016"/>
        </w:tabs>
        <w:rPr>
          <w:rFonts w:asciiTheme="minorHAnsi" w:eastAsiaTheme="minorEastAsia" w:hAnsiTheme="minorHAnsi" w:cstheme="minorBidi"/>
          <w:color w:val="auto"/>
          <w:sz w:val="22"/>
          <w:szCs w:val="22"/>
        </w:rPr>
      </w:pPr>
      <w:hyperlink w:anchor="_Toc118205666" w:history="1">
        <w:r w:rsidR="00D6698F" w:rsidRPr="00E92ABE">
          <w:rPr>
            <w:rStyle w:val="Hyperlink"/>
          </w:rPr>
          <w:t>3.8.2</w:t>
        </w:r>
        <w:r w:rsidR="00D6698F">
          <w:rPr>
            <w:rFonts w:asciiTheme="minorHAnsi" w:eastAsiaTheme="minorEastAsia" w:hAnsiTheme="minorHAnsi" w:cstheme="minorBidi"/>
            <w:color w:val="auto"/>
            <w:sz w:val="22"/>
            <w:szCs w:val="22"/>
          </w:rPr>
          <w:tab/>
        </w:r>
        <w:r w:rsidR="00D6698F" w:rsidRPr="00E92ABE">
          <w:rPr>
            <w:rStyle w:val="Hyperlink"/>
          </w:rPr>
          <w:t>Methods for AADT Calculations for CCS</w:t>
        </w:r>
        <w:r w:rsidR="00D6698F">
          <w:rPr>
            <w:webHidden/>
          </w:rPr>
          <w:tab/>
        </w:r>
        <w:r w:rsidR="00D6698F">
          <w:rPr>
            <w:webHidden/>
          </w:rPr>
          <w:fldChar w:fldCharType="begin"/>
        </w:r>
        <w:r w:rsidR="00D6698F">
          <w:rPr>
            <w:webHidden/>
          </w:rPr>
          <w:instrText xml:space="preserve"> PAGEREF _Toc118205666 \h </w:instrText>
        </w:r>
        <w:r w:rsidR="00D6698F">
          <w:rPr>
            <w:webHidden/>
          </w:rPr>
        </w:r>
        <w:r w:rsidR="00D6698F">
          <w:rPr>
            <w:webHidden/>
          </w:rPr>
          <w:fldChar w:fldCharType="separate"/>
        </w:r>
        <w:r w:rsidR="00C07DF9">
          <w:rPr>
            <w:webHidden/>
          </w:rPr>
          <w:t>3-67</w:t>
        </w:r>
        <w:r w:rsidR="00D6698F">
          <w:rPr>
            <w:webHidden/>
          </w:rPr>
          <w:fldChar w:fldCharType="end"/>
        </w:r>
      </w:hyperlink>
    </w:p>
    <w:p w14:paraId="05FAE219" w14:textId="4764AA3E" w:rsidR="00D6698F" w:rsidRDefault="00464453">
      <w:pPr>
        <w:pStyle w:val="TOC3"/>
        <w:tabs>
          <w:tab w:val="left" w:pos="2016"/>
        </w:tabs>
        <w:rPr>
          <w:rFonts w:asciiTheme="minorHAnsi" w:eastAsiaTheme="minorEastAsia" w:hAnsiTheme="minorHAnsi" w:cstheme="minorBidi"/>
          <w:color w:val="auto"/>
          <w:sz w:val="22"/>
          <w:szCs w:val="22"/>
        </w:rPr>
      </w:pPr>
      <w:hyperlink w:anchor="_Toc118205667" w:history="1">
        <w:r w:rsidR="00D6698F" w:rsidRPr="00E92ABE">
          <w:rPr>
            <w:rStyle w:val="Hyperlink"/>
          </w:rPr>
          <w:t>3.8.3</w:t>
        </w:r>
        <w:r w:rsidR="00D6698F">
          <w:rPr>
            <w:rFonts w:asciiTheme="minorHAnsi" w:eastAsiaTheme="minorEastAsia" w:hAnsiTheme="minorHAnsi" w:cstheme="minorBidi"/>
            <w:color w:val="auto"/>
            <w:sz w:val="22"/>
            <w:szCs w:val="22"/>
          </w:rPr>
          <w:tab/>
        </w:r>
        <w:r w:rsidR="00D6698F" w:rsidRPr="00E92ABE">
          <w:rPr>
            <w:rStyle w:val="Hyperlink"/>
          </w:rPr>
          <w:t>Procedure for AADT Calculation Based on CCS Data Using the FHWA Formula</w:t>
        </w:r>
        <w:r w:rsidR="00D6698F">
          <w:rPr>
            <w:webHidden/>
          </w:rPr>
          <w:tab/>
        </w:r>
        <w:r w:rsidR="00D6698F">
          <w:rPr>
            <w:webHidden/>
          </w:rPr>
          <w:fldChar w:fldCharType="begin"/>
        </w:r>
        <w:r w:rsidR="00D6698F">
          <w:rPr>
            <w:webHidden/>
          </w:rPr>
          <w:instrText xml:space="preserve"> PAGEREF _Toc118205667 \h </w:instrText>
        </w:r>
        <w:r w:rsidR="00D6698F">
          <w:rPr>
            <w:webHidden/>
          </w:rPr>
        </w:r>
        <w:r w:rsidR="00D6698F">
          <w:rPr>
            <w:webHidden/>
          </w:rPr>
          <w:fldChar w:fldCharType="separate"/>
        </w:r>
        <w:r w:rsidR="00C07DF9">
          <w:rPr>
            <w:webHidden/>
          </w:rPr>
          <w:t>3-69</w:t>
        </w:r>
        <w:r w:rsidR="00D6698F">
          <w:rPr>
            <w:webHidden/>
          </w:rPr>
          <w:fldChar w:fldCharType="end"/>
        </w:r>
      </w:hyperlink>
    </w:p>
    <w:p w14:paraId="04C093C1" w14:textId="12F6846A" w:rsidR="00D6698F" w:rsidRDefault="00464453">
      <w:pPr>
        <w:pStyle w:val="TOC3"/>
        <w:tabs>
          <w:tab w:val="left" w:pos="2016"/>
        </w:tabs>
        <w:rPr>
          <w:rFonts w:asciiTheme="minorHAnsi" w:eastAsiaTheme="minorEastAsia" w:hAnsiTheme="minorHAnsi" w:cstheme="minorBidi"/>
          <w:color w:val="auto"/>
          <w:sz w:val="22"/>
          <w:szCs w:val="22"/>
        </w:rPr>
      </w:pPr>
      <w:hyperlink w:anchor="_Toc118205668" w:history="1">
        <w:r w:rsidR="00D6698F" w:rsidRPr="00E92ABE">
          <w:rPr>
            <w:rStyle w:val="Hyperlink"/>
          </w:rPr>
          <w:t>3.8.4</w:t>
        </w:r>
        <w:r w:rsidR="00D6698F">
          <w:rPr>
            <w:rFonts w:asciiTheme="minorHAnsi" w:eastAsiaTheme="minorEastAsia" w:hAnsiTheme="minorHAnsi" w:cstheme="minorBidi"/>
            <w:color w:val="auto"/>
            <w:sz w:val="22"/>
            <w:szCs w:val="22"/>
          </w:rPr>
          <w:tab/>
        </w:r>
        <w:r w:rsidR="00D6698F" w:rsidRPr="00E92ABE">
          <w:rPr>
            <w:rStyle w:val="Hyperlink"/>
          </w:rPr>
          <w:t>Computation of AVDT and DVDT</w:t>
        </w:r>
        <w:r w:rsidR="00D6698F">
          <w:rPr>
            <w:webHidden/>
          </w:rPr>
          <w:tab/>
        </w:r>
        <w:r w:rsidR="00D6698F">
          <w:rPr>
            <w:webHidden/>
          </w:rPr>
          <w:fldChar w:fldCharType="begin"/>
        </w:r>
        <w:r w:rsidR="00D6698F">
          <w:rPr>
            <w:webHidden/>
          </w:rPr>
          <w:instrText xml:space="preserve"> PAGEREF _Toc118205668 \h </w:instrText>
        </w:r>
        <w:r w:rsidR="00D6698F">
          <w:rPr>
            <w:webHidden/>
          </w:rPr>
        </w:r>
        <w:r w:rsidR="00D6698F">
          <w:rPr>
            <w:webHidden/>
          </w:rPr>
          <w:fldChar w:fldCharType="separate"/>
        </w:r>
        <w:r w:rsidR="00C07DF9">
          <w:rPr>
            <w:webHidden/>
          </w:rPr>
          <w:t>3-71</w:t>
        </w:r>
        <w:r w:rsidR="00D6698F">
          <w:rPr>
            <w:webHidden/>
          </w:rPr>
          <w:fldChar w:fldCharType="end"/>
        </w:r>
      </w:hyperlink>
    </w:p>
    <w:p w14:paraId="6AF10F34" w14:textId="715776E7" w:rsidR="00D6698F" w:rsidRDefault="00464453">
      <w:pPr>
        <w:pStyle w:val="TOC3"/>
        <w:tabs>
          <w:tab w:val="left" w:pos="2016"/>
        </w:tabs>
        <w:rPr>
          <w:rFonts w:asciiTheme="minorHAnsi" w:eastAsiaTheme="minorEastAsia" w:hAnsiTheme="minorHAnsi" w:cstheme="minorBidi"/>
          <w:color w:val="auto"/>
          <w:sz w:val="22"/>
          <w:szCs w:val="22"/>
        </w:rPr>
      </w:pPr>
      <w:hyperlink w:anchor="_Toc118205669" w:history="1">
        <w:r w:rsidR="00D6698F" w:rsidRPr="00E92ABE">
          <w:rPr>
            <w:rStyle w:val="Hyperlink"/>
          </w:rPr>
          <w:t>3.8.5</w:t>
        </w:r>
        <w:r w:rsidR="00D6698F">
          <w:rPr>
            <w:rFonts w:asciiTheme="minorHAnsi" w:eastAsiaTheme="minorEastAsia" w:hAnsiTheme="minorHAnsi" w:cstheme="minorBidi"/>
            <w:color w:val="auto"/>
            <w:sz w:val="22"/>
            <w:szCs w:val="22"/>
          </w:rPr>
          <w:tab/>
        </w:r>
        <w:r w:rsidR="00D6698F" w:rsidRPr="00E92ABE">
          <w:rPr>
            <w:rStyle w:val="Hyperlink"/>
          </w:rPr>
          <w:t>Estimating Annual Average Daily Traffic Volumes from Short-Term Counts of More Than 24-Hours</w:t>
        </w:r>
        <w:r w:rsidR="00D6698F">
          <w:rPr>
            <w:webHidden/>
          </w:rPr>
          <w:tab/>
        </w:r>
        <w:r w:rsidR="00D6698F">
          <w:rPr>
            <w:webHidden/>
          </w:rPr>
          <w:fldChar w:fldCharType="begin"/>
        </w:r>
        <w:r w:rsidR="00D6698F">
          <w:rPr>
            <w:webHidden/>
          </w:rPr>
          <w:instrText xml:space="preserve"> PAGEREF _Toc118205669 \h </w:instrText>
        </w:r>
        <w:r w:rsidR="00D6698F">
          <w:rPr>
            <w:webHidden/>
          </w:rPr>
        </w:r>
        <w:r w:rsidR="00D6698F">
          <w:rPr>
            <w:webHidden/>
          </w:rPr>
          <w:fldChar w:fldCharType="separate"/>
        </w:r>
        <w:r w:rsidR="00C07DF9">
          <w:rPr>
            <w:webHidden/>
          </w:rPr>
          <w:t>3-72</w:t>
        </w:r>
        <w:r w:rsidR="00D6698F">
          <w:rPr>
            <w:webHidden/>
          </w:rPr>
          <w:fldChar w:fldCharType="end"/>
        </w:r>
      </w:hyperlink>
    </w:p>
    <w:p w14:paraId="3CE131A8" w14:textId="66DB4018" w:rsidR="00D6698F" w:rsidRDefault="00464453">
      <w:pPr>
        <w:pStyle w:val="TOC3"/>
        <w:tabs>
          <w:tab w:val="left" w:pos="2016"/>
        </w:tabs>
        <w:rPr>
          <w:rFonts w:asciiTheme="minorHAnsi" w:eastAsiaTheme="minorEastAsia" w:hAnsiTheme="minorHAnsi" w:cstheme="minorBidi"/>
          <w:color w:val="auto"/>
          <w:sz w:val="22"/>
          <w:szCs w:val="22"/>
        </w:rPr>
      </w:pPr>
      <w:hyperlink w:anchor="_Toc118205670" w:history="1">
        <w:r w:rsidR="00D6698F" w:rsidRPr="00E92ABE">
          <w:rPr>
            <w:rStyle w:val="Hyperlink"/>
          </w:rPr>
          <w:t>3.8.6</w:t>
        </w:r>
        <w:r w:rsidR="00D6698F">
          <w:rPr>
            <w:rFonts w:asciiTheme="minorHAnsi" w:eastAsiaTheme="minorEastAsia" w:hAnsiTheme="minorHAnsi" w:cstheme="minorBidi"/>
            <w:color w:val="auto"/>
            <w:sz w:val="22"/>
            <w:szCs w:val="22"/>
          </w:rPr>
          <w:tab/>
        </w:r>
        <w:r w:rsidR="00D6698F" w:rsidRPr="00E92ABE">
          <w:rPr>
            <w:rStyle w:val="Hyperlink"/>
          </w:rPr>
          <w:t>Estimating Annual Average Daily Truck Traffic Volumes from Short-Term Counts</w:t>
        </w:r>
        <w:r w:rsidR="00D6698F">
          <w:rPr>
            <w:webHidden/>
          </w:rPr>
          <w:tab/>
        </w:r>
        <w:r w:rsidR="00D6698F">
          <w:rPr>
            <w:webHidden/>
          </w:rPr>
          <w:fldChar w:fldCharType="begin"/>
        </w:r>
        <w:r w:rsidR="00D6698F">
          <w:rPr>
            <w:webHidden/>
          </w:rPr>
          <w:instrText xml:space="preserve"> PAGEREF _Toc118205670 \h </w:instrText>
        </w:r>
        <w:r w:rsidR="00D6698F">
          <w:rPr>
            <w:webHidden/>
          </w:rPr>
        </w:r>
        <w:r w:rsidR="00D6698F">
          <w:rPr>
            <w:webHidden/>
          </w:rPr>
          <w:fldChar w:fldCharType="separate"/>
        </w:r>
        <w:r w:rsidR="00C07DF9">
          <w:rPr>
            <w:webHidden/>
          </w:rPr>
          <w:t>3-72</w:t>
        </w:r>
        <w:r w:rsidR="00D6698F">
          <w:rPr>
            <w:webHidden/>
          </w:rPr>
          <w:fldChar w:fldCharType="end"/>
        </w:r>
      </w:hyperlink>
    </w:p>
    <w:p w14:paraId="263AC5EF" w14:textId="7A542E11" w:rsidR="00D6698F" w:rsidRDefault="00464453" w:rsidP="00D6698F">
      <w:pPr>
        <w:pStyle w:val="TOC2"/>
        <w:rPr>
          <w:rFonts w:asciiTheme="minorHAnsi" w:eastAsiaTheme="minorEastAsia" w:hAnsiTheme="minorHAnsi" w:cstheme="minorBidi"/>
          <w:sz w:val="22"/>
        </w:rPr>
      </w:pPr>
      <w:hyperlink w:anchor="_Toc118205671" w:history="1">
        <w:r w:rsidR="00D6698F" w:rsidRPr="00E92ABE">
          <w:rPr>
            <w:rStyle w:val="Hyperlink"/>
          </w:rPr>
          <w:t>3.9</w:t>
        </w:r>
        <w:r w:rsidR="00D6698F">
          <w:rPr>
            <w:rFonts w:asciiTheme="minorHAnsi" w:eastAsiaTheme="minorEastAsia" w:hAnsiTheme="minorHAnsi" w:cstheme="minorBidi"/>
            <w:sz w:val="22"/>
          </w:rPr>
          <w:tab/>
        </w:r>
        <w:r w:rsidR="00D6698F" w:rsidRPr="00E92ABE">
          <w:rPr>
            <w:rStyle w:val="Hyperlink"/>
          </w:rPr>
          <w:t>Factors</w:t>
        </w:r>
        <w:r w:rsidR="00D6698F">
          <w:rPr>
            <w:webHidden/>
          </w:rPr>
          <w:tab/>
        </w:r>
        <w:r w:rsidR="00D6698F">
          <w:rPr>
            <w:webHidden/>
          </w:rPr>
          <w:fldChar w:fldCharType="begin"/>
        </w:r>
        <w:r w:rsidR="00D6698F">
          <w:rPr>
            <w:webHidden/>
          </w:rPr>
          <w:instrText xml:space="preserve"> PAGEREF _Toc118205671 \h </w:instrText>
        </w:r>
        <w:r w:rsidR="00D6698F">
          <w:rPr>
            <w:webHidden/>
          </w:rPr>
        </w:r>
        <w:r w:rsidR="00D6698F">
          <w:rPr>
            <w:webHidden/>
          </w:rPr>
          <w:fldChar w:fldCharType="separate"/>
        </w:r>
        <w:r w:rsidR="00C07DF9">
          <w:rPr>
            <w:webHidden/>
          </w:rPr>
          <w:t>3-73</w:t>
        </w:r>
        <w:r w:rsidR="00D6698F">
          <w:rPr>
            <w:webHidden/>
          </w:rPr>
          <w:fldChar w:fldCharType="end"/>
        </w:r>
      </w:hyperlink>
    </w:p>
    <w:p w14:paraId="37C83BBD" w14:textId="26977081" w:rsidR="00D6698F" w:rsidRDefault="00464453">
      <w:pPr>
        <w:pStyle w:val="TOC3"/>
        <w:tabs>
          <w:tab w:val="left" w:pos="2016"/>
        </w:tabs>
        <w:rPr>
          <w:rFonts w:asciiTheme="minorHAnsi" w:eastAsiaTheme="minorEastAsia" w:hAnsiTheme="minorHAnsi" w:cstheme="minorBidi"/>
          <w:color w:val="auto"/>
          <w:sz w:val="22"/>
          <w:szCs w:val="22"/>
        </w:rPr>
      </w:pPr>
      <w:hyperlink w:anchor="_Toc118205672" w:history="1">
        <w:r w:rsidR="00D6698F" w:rsidRPr="00E92ABE">
          <w:rPr>
            <w:rStyle w:val="Hyperlink"/>
          </w:rPr>
          <w:t>3.9.1</w:t>
        </w:r>
        <w:r w:rsidR="00D6698F">
          <w:rPr>
            <w:rFonts w:asciiTheme="minorHAnsi" w:eastAsiaTheme="minorEastAsia" w:hAnsiTheme="minorHAnsi" w:cstheme="minorBidi"/>
            <w:color w:val="auto"/>
            <w:sz w:val="22"/>
            <w:szCs w:val="22"/>
          </w:rPr>
          <w:tab/>
        </w:r>
        <w:r w:rsidR="00D6698F" w:rsidRPr="00E92ABE">
          <w:rPr>
            <w:rStyle w:val="Hyperlink"/>
          </w:rPr>
          <w:t>Temporal Factors</w:t>
        </w:r>
        <w:r w:rsidR="00D6698F">
          <w:rPr>
            <w:webHidden/>
          </w:rPr>
          <w:tab/>
        </w:r>
        <w:r w:rsidR="00D6698F">
          <w:rPr>
            <w:webHidden/>
          </w:rPr>
          <w:fldChar w:fldCharType="begin"/>
        </w:r>
        <w:r w:rsidR="00D6698F">
          <w:rPr>
            <w:webHidden/>
          </w:rPr>
          <w:instrText xml:space="preserve"> PAGEREF _Toc118205672 \h </w:instrText>
        </w:r>
        <w:r w:rsidR="00D6698F">
          <w:rPr>
            <w:webHidden/>
          </w:rPr>
        </w:r>
        <w:r w:rsidR="00D6698F">
          <w:rPr>
            <w:webHidden/>
          </w:rPr>
          <w:fldChar w:fldCharType="separate"/>
        </w:r>
        <w:r w:rsidR="00C07DF9">
          <w:rPr>
            <w:webHidden/>
          </w:rPr>
          <w:t>3-73</w:t>
        </w:r>
        <w:r w:rsidR="00D6698F">
          <w:rPr>
            <w:webHidden/>
          </w:rPr>
          <w:fldChar w:fldCharType="end"/>
        </w:r>
      </w:hyperlink>
    </w:p>
    <w:p w14:paraId="17A89A4E" w14:textId="73D94FC0" w:rsidR="00D6698F" w:rsidRDefault="00464453">
      <w:pPr>
        <w:pStyle w:val="TOC3"/>
        <w:tabs>
          <w:tab w:val="left" w:pos="2016"/>
        </w:tabs>
        <w:rPr>
          <w:rFonts w:asciiTheme="minorHAnsi" w:eastAsiaTheme="minorEastAsia" w:hAnsiTheme="minorHAnsi" w:cstheme="minorBidi"/>
          <w:color w:val="auto"/>
          <w:sz w:val="22"/>
          <w:szCs w:val="22"/>
        </w:rPr>
      </w:pPr>
      <w:hyperlink w:anchor="_Toc118205673" w:history="1">
        <w:r w:rsidR="00D6698F" w:rsidRPr="00E92ABE">
          <w:rPr>
            <w:rStyle w:val="Hyperlink"/>
          </w:rPr>
          <w:t>3.9.2</w:t>
        </w:r>
        <w:r w:rsidR="00D6698F">
          <w:rPr>
            <w:rFonts w:asciiTheme="minorHAnsi" w:eastAsiaTheme="minorEastAsia" w:hAnsiTheme="minorHAnsi" w:cstheme="minorBidi"/>
            <w:color w:val="auto"/>
            <w:sz w:val="22"/>
            <w:szCs w:val="22"/>
          </w:rPr>
          <w:tab/>
        </w:r>
        <w:r w:rsidR="00D6698F" w:rsidRPr="00E92ABE">
          <w:rPr>
            <w:rStyle w:val="Hyperlink"/>
          </w:rPr>
          <w:t>Axle Correction Factoring</w:t>
        </w:r>
        <w:r w:rsidR="00D6698F">
          <w:rPr>
            <w:webHidden/>
          </w:rPr>
          <w:tab/>
        </w:r>
        <w:r w:rsidR="00D6698F">
          <w:rPr>
            <w:webHidden/>
          </w:rPr>
          <w:fldChar w:fldCharType="begin"/>
        </w:r>
        <w:r w:rsidR="00D6698F">
          <w:rPr>
            <w:webHidden/>
          </w:rPr>
          <w:instrText xml:space="preserve"> PAGEREF _Toc118205673 \h </w:instrText>
        </w:r>
        <w:r w:rsidR="00D6698F">
          <w:rPr>
            <w:webHidden/>
          </w:rPr>
        </w:r>
        <w:r w:rsidR="00D6698F">
          <w:rPr>
            <w:webHidden/>
          </w:rPr>
          <w:fldChar w:fldCharType="separate"/>
        </w:r>
        <w:r w:rsidR="00C07DF9">
          <w:rPr>
            <w:webHidden/>
          </w:rPr>
          <w:t>3-73</w:t>
        </w:r>
        <w:r w:rsidR="00D6698F">
          <w:rPr>
            <w:webHidden/>
          </w:rPr>
          <w:fldChar w:fldCharType="end"/>
        </w:r>
      </w:hyperlink>
    </w:p>
    <w:p w14:paraId="3A34513E" w14:textId="17835146" w:rsidR="00D6698F" w:rsidRDefault="00464453">
      <w:pPr>
        <w:pStyle w:val="TOC3"/>
        <w:tabs>
          <w:tab w:val="left" w:pos="2016"/>
        </w:tabs>
        <w:rPr>
          <w:rFonts w:asciiTheme="minorHAnsi" w:eastAsiaTheme="minorEastAsia" w:hAnsiTheme="minorHAnsi" w:cstheme="minorBidi"/>
          <w:color w:val="auto"/>
          <w:sz w:val="22"/>
          <w:szCs w:val="22"/>
        </w:rPr>
      </w:pPr>
      <w:hyperlink w:anchor="_Toc118205674" w:history="1">
        <w:r w:rsidR="00D6698F" w:rsidRPr="00E92ABE">
          <w:rPr>
            <w:rStyle w:val="Hyperlink"/>
          </w:rPr>
          <w:t>3.9.3</w:t>
        </w:r>
        <w:r w:rsidR="00D6698F">
          <w:rPr>
            <w:rFonts w:asciiTheme="minorHAnsi" w:eastAsiaTheme="minorEastAsia" w:hAnsiTheme="minorHAnsi" w:cstheme="minorBidi"/>
            <w:color w:val="auto"/>
            <w:sz w:val="22"/>
            <w:szCs w:val="22"/>
          </w:rPr>
          <w:tab/>
        </w:r>
        <w:r w:rsidR="00D6698F" w:rsidRPr="00E92ABE">
          <w:rPr>
            <w:rStyle w:val="Hyperlink"/>
          </w:rPr>
          <w:t>Factoring Short Term Counts</w:t>
        </w:r>
        <w:r w:rsidR="00D6698F">
          <w:rPr>
            <w:webHidden/>
          </w:rPr>
          <w:tab/>
        </w:r>
        <w:r w:rsidR="00D6698F">
          <w:rPr>
            <w:webHidden/>
          </w:rPr>
          <w:fldChar w:fldCharType="begin"/>
        </w:r>
        <w:r w:rsidR="00D6698F">
          <w:rPr>
            <w:webHidden/>
          </w:rPr>
          <w:instrText xml:space="preserve"> PAGEREF _Toc118205674 \h </w:instrText>
        </w:r>
        <w:r w:rsidR="00D6698F">
          <w:rPr>
            <w:webHidden/>
          </w:rPr>
        </w:r>
        <w:r w:rsidR="00D6698F">
          <w:rPr>
            <w:webHidden/>
          </w:rPr>
          <w:fldChar w:fldCharType="separate"/>
        </w:r>
        <w:r w:rsidR="00C07DF9">
          <w:rPr>
            <w:webHidden/>
          </w:rPr>
          <w:t>3-76</w:t>
        </w:r>
        <w:r w:rsidR="00D6698F">
          <w:rPr>
            <w:webHidden/>
          </w:rPr>
          <w:fldChar w:fldCharType="end"/>
        </w:r>
      </w:hyperlink>
    </w:p>
    <w:p w14:paraId="041D8621" w14:textId="475EBF61" w:rsidR="00D6698F" w:rsidRDefault="00464453">
      <w:pPr>
        <w:pStyle w:val="TOC4"/>
        <w:tabs>
          <w:tab w:val="left" w:pos="2793"/>
        </w:tabs>
        <w:rPr>
          <w:sz w:val="22"/>
          <w:szCs w:val="22"/>
        </w:rPr>
      </w:pPr>
      <w:hyperlink w:anchor="_Toc118205675" w:history="1">
        <w:r w:rsidR="00D6698F" w:rsidRPr="00E92ABE">
          <w:rPr>
            <w:rStyle w:val="Hyperlink"/>
          </w:rPr>
          <w:t>3.9.3.1</w:t>
        </w:r>
        <w:r w:rsidR="00D6698F">
          <w:rPr>
            <w:sz w:val="22"/>
            <w:szCs w:val="22"/>
          </w:rPr>
          <w:tab/>
        </w:r>
        <w:r w:rsidR="00D6698F" w:rsidRPr="00E92ABE">
          <w:rPr>
            <w:rStyle w:val="Hyperlink"/>
          </w:rPr>
          <w:t>Micromobility Example: Factoring Short-Term Counts</w:t>
        </w:r>
        <w:r w:rsidR="00D6698F">
          <w:rPr>
            <w:webHidden/>
          </w:rPr>
          <w:tab/>
        </w:r>
        <w:r w:rsidR="00D6698F">
          <w:rPr>
            <w:webHidden/>
          </w:rPr>
          <w:fldChar w:fldCharType="begin"/>
        </w:r>
        <w:r w:rsidR="00D6698F">
          <w:rPr>
            <w:webHidden/>
          </w:rPr>
          <w:instrText xml:space="preserve"> PAGEREF _Toc118205675 \h </w:instrText>
        </w:r>
        <w:r w:rsidR="00D6698F">
          <w:rPr>
            <w:webHidden/>
          </w:rPr>
        </w:r>
        <w:r w:rsidR="00D6698F">
          <w:rPr>
            <w:webHidden/>
          </w:rPr>
          <w:fldChar w:fldCharType="separate"/>
        </w:r>
        <w:r w:rsidR="00C07DF9">
          <w:rPr>
            <w:webHidden/>
          </w:rPr>
          <w:t>3-77</w:t>
        </w:r>
        <w:r w:rsidR="00D6698F">
          <w:rPr>
            <w:webHidden/>
          </w:rPr>
          <w:fldChar w:fldCharType="end"/>
        </w:r>
      </w:hyperlink>
    </w:p>
    <w:p w14:paraId="7BAF41DA" w14:textId="19A918D5" w:rsidR="00D6698F" w:rsidRDefault="00464453">
      <w:pPr>
        <w:pStyle w:val="TOC4"/>
        <w:tabs>
          <w:tab w:val="left" w:pos="2793"/>
        </w:tabs>
        <w:rPr>
          <w:sz w:val="22"/>
          <w:szCs w:val="22"/>
        </w:rPr>
      </w:pPr>
      <w:hyperlink w:anchor="_Toc118205676" w:history="1">
        <w:r w:rsidR="00D6698F" w:rsidRPr="00E92ABE">
          <w:rPr>
            <w:rStyle w:val="Hyperlink"/>
          </w:rPr>
          <w:t>3.9.3.2</w:t>
        </w:r>
        <w:r w:rsidR="00D6698F">
          <w:rPr>
            <w:sz w:val="22"/>
            <w:szCs w:val="22"/>
          </w:rPr>
          <w:tab/>
        </w:r>
        <w:r w:rsidR="00D6698F" w:rsidRPr="00E92ABE">
          <w:rPr>
            <w:rStyle w:val="Hyperlink"/>
          </w:rPr>
          <w:t>Micromobility Weather Factor</w:t>
        </w:r>
        <w:r w:rsidR="00D6698F">
          <w:rPr>
            <w:webHidden/>
          </w:rPr>
          <w:tab/>
        </w:r>
        <w:r w:rsidR="00D6698F">
          <w:rPr>
            <w:webHidden/>
          </w:rPr>
          <w:fldChar w:fldCharType="begin"/>
        </w:r>
        <w:r w:rsidR="00D6698F">
          <w:rPr>
            <w:webHidden/>
          </w:rPr>
          <w:instrText xml:space="preserve"> PAGEREF _Toc118205676 \h </w:instrText>
        </w:r>
        <w:r w:rsidR="00D6698F">
          <w:rPr>
            <w:webHidden/>
          </w:rPr>
        </w:r>
        <w:r w:rsidR="00D6698F">
          <w:rPr>
            <w:webHidden/>
          </w:rPr>
          <w:fldChar w:fldCharType="separate"/>
        </w:r>
        <w:r w:rsidR="00C07DF9">
          <w:rPr>
            <w:webHidden/>
          </w:rPr>
          <w:t>3-78</w:t>
        </w:r>
        <w:r w:rsidR="00D6698F">
          <w:rPr>
            <w:webHidden/>
          </w:rPr>
          <w:fldChar w:fldCharType="end"/>
        </w:r>
      </w:hyperlink>
    </w:p>
    <w:p w14:paraId="0D7E4C4C" w14:textId="3DF1F27D" w:rsidR="00D6698F" w:rsidRDefault="00464453">
      <w:pPr>
        <w:pStyle w:val="TOC3"/>
        <w:tabs>
          <w:tab w:val="left" w:pos="2016"/>
        </w:tabs>
        <w:rPr>
          <w:rFonts w:asciiTheme="minorHAnsi" w:eastAsiaTheme="minorEastAsia" w:hAnsiTheme="minorHAnsi" w:cstheme="minorBidi"/>
          <w:color w:val="auto"/>
          <w:sz w:val="22"/>
          <w:szCs w:val="22"/>
        </w:rPr>
      </w:pPr>
      <w:hyperlink w:anchor="_Toc118205677" w:history="1">
        <w:r w:rsidR="00D6698F" w:rsidRPr="00E92ABE">
          <w:rPr>
            <w:rStyle w:val="Hyperlink"/>
          </w:rPr>
          <w:t>3.9.4</w:t>
        </w:r>
        <w:r w:rsidR="00D6698F">
          <w:rPr>
            <w:rFonts w:asciiTheme="minorHAnsi" w:eastAsiaTheme="minorEastAsia" w:hAnsiTheme="minorHAnsi" w:cstheme="minorBidi"/>
            <w:color w:val="auto"/>
            <w:sz w:val="22"/>
            <w:szCs w:val="22"/>
          </w:rPr>
          <w:tab/>
        </w:r>
        <w:r w:rsidR="00D6698F" w:rsidRPr="00E92ABE">
          <w:rPr>
            <w:rStyle w:val="Hyperlink"/>
          </w:rPr>
          <w:t>Considerations for Collecting Motorcycle Data and Correction Factoring</w:t>
        </w:r>
        <w:r w:rsidR="00D6698F">
          <w:rPr>
            <w:webHidden/>
          </w:rPr>
          <w:tab/>
        </w:r>
        <w:r w:rsidR="00D6698F">
          <w:rPr>
            <w:webHidden/>
          </w:rPr>
          <w:fldChar w:fldCharType="begin"/>
        </w:r>
        <w:r w:rsidR="00D6698F">
          <w:rPr>
            <w:webHidden/>
          </w:rPr>
          <w:instrText xml:space="preserve"> PAGEREF _Toc118205677 \h </w:instrText>
        </w:r>
        <w:r w:rsidR="00D6698F">
          <w:rPr>
            <w:webHidden/>
          </w:rPr>
        </w:r>
        <w:r w:rsidR="00D6698F">
          <w:rPr>
            <w:webHidden/>
          </w:rPr>
          <w:fldChar w:fldCharType="separate"/>
        </w:r>
        <w:r w:rsidR="00C07DF9">
          <w:rPr>
            <w:webHidden/>
          </w:rPr>
          <w:t>3-79</w:t>
        </w:r>
        <w:r w:rsidR="00D6698F">
          <w:rPr>
            <w:webHidden/>
          </w:rPr>
          <w:fldChar w:fldCharType="end"/>
        </w:r>
      </w:hyperlink>
    </w:p>
    <w:p w14:paraId="4141BC14" w14:textId="7494C998" w:rsidR="00D6698F" w:rsidRDefault="00464453" w:rsidP="00D6698F">
      <w:pPr>
        <w:pStyle w:val="TOC2"/>
        <w:rPr>
          <w:rStyle w:val="Hyperlink"/>
        </w:rPr>
      </w:pPr>
      <w:hyperlink w:anchor="_Toc118205678" w:history="1">
        <w:r w:rsidR="00D6698F" w:rsidRPr="00E92ABE">
          <w:rPr>
            <w:rStyle w:val="Hyperlink"/>
          </w:rPr>
          <w:t>3.10</w:t>
        </w:r>
        <w:r w:rsidR="00D6698F">
          <w:rPr>
            <w:rFonts w:asciiTheme="minorHAnsi" w:eastAsiaTheme="minorEastAsia" w:hAnsiTheme="minorHAnsi" w:cstheme="minorBidi"/>
            <w:sz w:val="22"/>
          </w:rPr>
          <w:tab/>
        </w:r>
        <w:r w:rsidR="00D6698F" w:rsidRPr="00E92ABE">
          <w:rPr>
            <w:rStyle w:val="Hyperlink"/>
          </w:rPr>
          <w:t>Quality Assurance – Starts with The Data Quality Act Requirements</w:t>
        </w:r>
        <w:r w:rsidR="00D6698F">
          <w:rPr>
            <w:webHidden/>
          </w:rPr>
          <w:tab/>
        </w:r>
        <w:r w:rsidR="00D6698F">
          <w:rPr>
            <w:webHidden/>
          </w:rPr>
          <w:fldChar w:fldCharType="begin"/>
        </w:r>
        <w:r w:rsidR="00D6698F">
          <w:rPr>
            <w:webHidden/>
          </w:rPr>
          <w:instrText xml:space="preserve"> PAGEREF _Toc118205678 \h </w:instrText>
        </w:r>
        <w:r w:rsidR="00D6698F">
          <w:rPr>
            <w:webHidden/>
          </w:rPr>
        </w:r>
        <w:r w:rsidR="00D6698F">
          <w:rPr>
            <w:webHidden/>
          </w:rPr>
          <w:fldChar w:fldCharType="separate"/>
        </w:r>
        <w:r w:rsidR="00C07DF9">
          <w:rPr>
            <w:webHidden/>
          </w:rPr>
          <w:t>3-82</w:t>
        </w:r>
        <w:r w:rsidR="00D6698F">
          <w:rPr>
            <w:webHidden/>
          </w:rPr>
          <w:fldChar w:fldCharType="end"/>
        </w:r>
      </w:hyperlink>
    </w:p>
    <w:p w14:paraId="4DA65FCA" w14:textId="77777777" w:rsidR="00D6698F" w:rsidRDefault="00D6698F">
      <w:pPr>
        <w:widowControl/>
        <w:suppressAutoHyphens w:val="0"/>
        <w:autoSpaceDE/>
        <w:autoSpaceDN/>
        <w:adjustRightInd/>
        <w:spacing w:after="160" w:line="259" w:lineRule="auto"/>
        <w:jc w:val="left"/>
        <w:textAlignment w:val="auto"/>
        <w:rPr>
          <w:rStyle w:val="Hyperlink"/>
          <w:rFonts w:eastAsiaTheme="minorHAnsi"/>
          <w:noProof/>
          <w:szCs w:val="22"/>
        </w:rPr>
      </w:pPr>
      <w:r>
        <w:rPr>
          <w:rStyle w:val="Hyperlink"/>
          <w:noProof/>
        </w:rPr>
        <w:br w:type="page"/>
      </w:r>
    </w:p>
    <w:p w14:paraId="11D91526" w14:textId="025E3AF3" w:rsidR="00D6698F" w:rsidRDefault="00464453">
      <w:pPr>
        <w:pStyle w:val="TOC1"/>
        <w:rPr>
          <w:rFonts w:asciiTheme="minorHAnsi" w:eastAsiaTheme="minorEastAsia" w:hAnsiTheme="minorHAnsi" w:cstheme="minorBidi"/>
          <w:b w:val="0"/>
          <w:color w:val="auto"/>
          <w:sz w:val="22"/>
          <w:szCs w:val="22"/>
        </w:rPr>
      </w:pPr>
      <w:hyperlink w:anchor="_Toc118205679" w:history="1">
        <w:r w:rsidR="00D6698F" w:rsidRPr="00E92ABE">
          <w:rPr>
            <w:rStyle w:val="Hyperlink"/>
          </w:rPr>
          <w:t>Chapter 4.</w:t>
        </w:r>
        <w:r w:rsidR="00D6698F">
          <w:rPr>
            <w:rFonts w:asciiTheme="minorHAnsi" w:eastAsiaTheme="minorEastAsia" w:hAnsiTheme="minorHAnsi" w:cstheme="minorBidi"/>
            <w:b w:val="0"/>
            <w:color w:val="auto"/>
            <w:sz w:val="22"/>
            <w:szCs w:val="22"/>
          </w:rPr>
          <w:tab/>
        </w:r>
        <w:r w:rsidR="00D6698F" w:rsidRPr="00E92ABE">
          <w:rPr>
            <w:rStyle w:val="Hyperlink"/>
          </w:rPr>
          <w:t>Traffic Monitoring Data Formats</w:t>
        </w:r>
        <w:r w:rsidR="00D6698F">
          <w:rPr>
            <w:webHidden/>
          </w:rPr>
          <w:tab/>
        </w:r>
        <w:r w:rsidR="00D6698F">
          <w:rPr>
            <w:webHidden/>
          </w:rPr>
          <w:fldChar w:fldCharType="begin"/>
        </w:r>
        <w:r w:rsidR="00D6698F">
          <w:rPr>
            <w:webHidden/>
          </w:rPr>
          <w:instrText xml:space="preserve"> PAGEREF _Toc118205679 \h </w:instrText>
        </w:r>
        <w:r w:rsidR="00D6698F">
          <w:rPr>
            <w:webHidden/>
          </w:rPr>
        </w:r>
        <w:r w:rsidR="00D6698F">
          <w:rPr>
            <w:webHidden/>
          </w:rPr>
          <w:fldChar w:fldCharType="separate"/>
        </w:r>
        <w:r w:rsidR="00C07DF9">
          <w:rPr>
            <w:webHidden/>
          </w:rPr>
          <w:t>4-1</w:t>
        </w:r>
        <w:r w:rsidR="00D6698F">
          <w:rPr>
            <w:webHidden/>
          </w:rPr>
          <w:fldChar w:fldCharType="end"/>
        </w:r>
      </w:hyperlink>
    </w:p>
    <w:p w14:paraId="500D0A07" w14:textId="4C3B291A" w:rsidR="00D6698F" w:rsidRDefault="00464453" w:rsidP="00D6698F">
      <w:pPr>
        <w:pStyle w:val="TOC2"/>
        <w:rPr>
          <w:rFonts w:asciiTheme="minorHAnsi" w:eastAsiaTheme="minorEastAsia" w:hAnsiTheme="minorHAnsi" w:cstheme="minorBidi"/>
          <w:sz w:val="22"/>
        </w:rPr>
      </w:pPr>
      <w:hyperlink w:anchor="_Toc118205680" w:history="1">
        <w:r w:rsidR="00D6698F" w:rsidRPr="00E92ABE">
          <w:rPr>
            <w:rStyle w:val="Hyperlink"/>
          </w:rPr>
          <w:t>4.1</w:t>
        </w:r>
        <w:r w:rsidR="00D6698F">
          <w:rPr>
            <w:rFonts w:asciiTheme="minorHAnsi" w:eastAsiaTheme="minorEastAsia" w:hAnsiTheme="minorHAnsi" w:cstheme="minorBidi"/>
            <w:sz w:val="22"/>
          </w:rPr>
          <w:tab/>
        </w:r>
        <w:r w:rsidR="00D6698F" w:rsidRPr="00E92ABE">
          <w:rPr>
            <w:rStyle w:val="Hyperlink"/>
          </w:rPr>
          <w:t>Introduction</w:t>
        </w:r>
        <w:r w:rsidR="00D6698F">
          <w:rPr>
            <w:webHidden/>
          </w:rPr>
          <w:tab/>
        </w:r>
        <w:r w:rsidR="00D6698F">
          <w:rPr>
            <w:webHidden/>
          </w:rPr>
          <w:fldChar w:fldCharType="begin"/>
        </w:r>
        <w:r w:rsidR="00D6698F">
          <w:rPr>
            <w:webHidden/>
          </w:rPr>
          <w:instrText xml:space="preserve"> PAGEREF _Toc118205680 \h </w:instrText>
        </w:r>
        <w:r w:rsidR="00D6698F">
          <w:rPr>
            <w:webHidden/>
          </w:rPr>
        </w:r>
        <w:r w:rsidR="00D6698F">
          <w:rPr>
            <w:webHidden/>
          </w:rPr>
          <w:fldChar w:fldCharType="separate"/>
        </w:r>
        <w:r w:rsidR="00C07DF9">
          <w:rPr>
            <w:webHidden/>
          </w:rPr>
          <w:t>4-1</w:t>
        </w:r>
        <w:r w:rsidR="00D6698F">
          <w:rPr>
            <w:webHidden/>
          </w:rPr>
          <w:fldChar w:fldCharType="end"/>
        </w:r>
      </w:hyperlink>
    </w:p>
    <w:p w14:paraId="1F46835D" w14:textId="05C7F694" w:rsidR="00D6698F" w:rsidRDefault="00464453">
      <w:pPr>
        <w:pStyle w:val="TOC3"/>
        <w:tabs>
          <w:tab w:val="left" w:pos="2016"/>
        </w:tabs>
        <w:rPr>
          <w:rFonts w:asciiTheme="minorHAnsi" w:eastAsiaTheme="minorEastAsia" w:hAnsiTheme="minorHAnsi" w:cstheme="minorBidi"/>
          <w:color w:val="auto"/>
          <w:sz w:val="22"/>
          <w:szCs w:val="22"/>
        </w:rPr>
      </w:pPr>
      <w:hyperlink w:anchor="_Toc118205681" w:history="1">
        <w:r w:rsidR="00D6698F" w:rsidRPr="00E92ABE">
          <w:rPr>
            <w:rStyle w:val="Hyperlink"/>
          </w:rPr>
          <w:t>4.1.1</w:t>
        </w:r>
        <w:r w:rsidR="00D6698F">
          <w:rPr>
            <w:rFonts w:asciiTheme="minorHAnsi" w:eastAsiaTheme="minorEastAsia" w:hAnsiTheme="minorHAnsi" w:cstheme="minorBidi"/>
            <w:color w:val="auto"/>
            <w:sz w:val="22"/>
            <w:szCs w:val="22"/>
          </w:rPr>
          <w:tab/>
        </w:r>
        <w:r w:rsidR="00D6698F" w:rsidRPr="00E92ABE">
          <w:rPr>
            <w:rStyle w:val="Hyperlink"/>
          </w:rPr>
          <w:t>Data Submission Frequency</w:t>
        </w:r>
        <w:r w:rsidR="00D6698F">
          <w:rPr>
            <w:webHidden/>
          </w:rPr>
          <w:tab/>
        </w:r>
        <w:r w:rsidR="00D6698F">
          <w:rPr>
            <w:webHidden/>
          </w:rPr>
          <w:fldChar w:fldCharType="begin"/>
        </w:r>
        <w:r w:rsidR="00D6698F">
          <w:rPr>
            <w:webHidden/>
          </w:rPr>
          <w:instrText xml:space="preserve"> PAGEREF _Toc118205681 \h </w:instrText>
        </w:r>
        <w:r w:rsidR="00D6698F">
          <w:rPr>
            <w:webHidden/>
          </w:rPr>
        </w:r>
        <w:r w:rsidR="00D6698F">
          <w:rPr>
            <w:webHidden/>
          </w:rPr>
          <w:fldChar w:fldCharType="separate"/>
        </w:r>
        <w:r w:rsidR="00C07DF9">
          <w:rPr>
            <w:webHidden/>
          </w:rPr>
          <w:t>4-1</w:t>
        </w:r>
        <w:r w:rsidR="00D6698F">
          <w:rPr>
            <w:webHidden/>
          </w:rPr>
          <w:fldChar w:fldCharType="end"/>
        </w:r>
      </w:hyperlink>
    </w:p>
    <w:p w14:paraId="6F2A51F0" w14:textId="0111B665" w:rsidR="00D6698F" w:rsidRDefault="00464453">
      <w:pPr>
        <w:pStyle w:val="TOC3"/>
        <w:tabs>
          <w:tab w:val="left" w:pos="2016"/>
        </w:tabs>
        <w:rPr>
          <w:rFonts w:asciiTheme="minorHAnsi" w:eastAsiaTheme="minorEastAsia" w:hAnsiTheme="minorHAnsi" w:cstheme="minorBidi"/>
          <w:color w:val="auto"/>
          <w:sz w:val="22"/>
          <w:szCs w:val="22"/>
        </w:rPr>
      </w:pPr>
      <w:hyperlink w:anchor="_Toc118205682" w:history="1">
        <w:r w:rsidR="00D6698F" w:rsidRPr="00E92ABE">
          <w:rPr>
            <w:rStyle w:val="Hyperlink"/>
          </w:rPr>
          <w:t>4.1.2</w:t>
        </w:r>
        <w:r w:rsidR="00D6698F">
          <w:rPr>
            <w:rFonts w:asciiTheme="minorHAnsi" w:eastAsiaTheme="minorEastAsia" w:hAnsiTheme="minorHAnsi" w:cstheme="minorBidi"/>
            <w:color w:val="auto"/>
            <w:sz w:val="22"/>
            <w:szCs w:val="22"/>
          </w:rPr>
          <w:tab/>
        </w:r>
        <w:r w:rsidR="00D6698F" w:rsidRPr="00E92ABE">
          <w:rPr>
            <w:rStyle w:val="Hyperlink"/>
          </w:rPr>
          <w:t>File Naming Recommendations</w:t>
        </w:r>
        <w:r w:rsidR="00D6698F">
          <w:rPr>
            <w:webHidden/>
          </w:rPr>
          <w:tab/>
        </w:r>
        <w:r w:rsidR="00D6698F">
          <w:rPr>
            <w:webHidden/>
          </w:rPr>
          <w:fldChar w:fldCharType="begin"/>
        </w:r>
        <w:r w:rsidR="00D6698F">
          <w:rPr>
            <w:webHidden/>
          </w:rPr>
          <w:instrText xml:space="preserve"> PAGEREF _Toc118205682 \h </w:instrText>
        </w:r>
        <w:r w:rsidR="00D6698F">
          <w:rPr>
            <w:webHidden/>
          </w:rPr>
        </w:r>
        <w:r w:rsidR="00D6698F">
          <w:rPr>
            <w:webHidden/>
          </w:rPr>
          <w:fldChar w:fldCharType="separate"/>
        </w:r>
        <w:r w:rsidR="00C07DF9">
          <w:rPr>
            <w:webHidden/>
          </w:rPr>
          <w:t>4-2</w:t>
        </w:r>
        <w:r w:rsidR="00D6698F">
          <w:rPr>
            <w:webHidden/>
          </w:rPr>
          <w:fldChar w:fldCharType="end"/>
        </w:r>
      </w:hyperlink>
    </w:p>
    <w:p w14:paraId="45964525" w14:textId="38EC0124" w:rsidR="00D6698F" w:rsidRDefault="00464453" w:rsidP="00D6698F">
      <w:pPr>
        <w:pStyle w:val="TOC2"/>
        <w:rPr>
          <w:rFonts w:asciiTheme="minorHAnsi" w:eastAsiaTheme="minorEastAsia" w:hAnsiTheme="minorHAnsi" w:cstheme="minorBidi"/>
          <w:sz w:val="22"/>
        </w:rPr>
      </w:pPr>
      <w:hyperlink w:anchor="_Toc118205683" w:history="1">
        <w:r w:rsidR="00D6698F" w:rsidRPr="00E92ABE">
          <w:rPr>
            <w:rStyle w:val="Hyperlink"/>
          </w:rPr>
          <w:t>4.2</w:t>
        </w:r>
        <w:r w:rsidR="00D6698F">
          <w:rPr>
            <w:rFonts w:asciiTheme="minorHAnsi" w:eastAsiaTheme="minorEastAsia" w:hAnsiTheme="minorHAnsi" w:cstheme="minorBidi"/>
            <w:sz w:val="22"/>
          </w:rPr>
          <w:tab/>
        </w:r>
        <w:r w:rsidR="00D6698F" w:rsidRPr="00E92ABE">
          <w:rPr>
            <w:rStyle w:val="Hyperlink"/>
          </w:rPr>
          <w:t>Station Description Data Format (Pipe Delimited only)</w:t>
        </w:r>
        <w:r w:rsidR="00D6698F">
          <w:rPr>
            <w:webHidden/>
          </w:rPr>
          <w:tab/>
        </w:r>
        <w:r w:rsidR="00D6698F">
          <w:rPr>
            <w:webHidden/>
          </w:rPr>
          <w:fldChar w:fldCharType="begin"/>
        </w:r>
        <w:r w:rsidR="00D6698F">
          <w:rPr>
            <w:webHidden/>
          </w:rPr>
          <w:instrText xml:space="preserve"> PAGEREF _Toc118205683 \h </w:instrText>
        </w:r>
        <w:r w:rsidR="00D6698F">
          <w:rPr>
            <w:webHidden/>
          </w:rPr>
        </w:r>
        <w:r w:rsidR="00D6698F">
          <w:rPr>
            <w:webHidden/>
          </w:rPr>
          <w:fldChar w:fldCharType="separate"/>
        </w:r>
        <w:r w:rsidR="00C07DF9">
          <w:rPr>
            <w:webHidden/>
          </w:rPr>
          <w:t>4-2</w:t>
        </w:r>
        <w:r w:rsidR="00D6698F">
          <w:rPr>
            <w:webHidden/>
          </w:rPr>
          <w:fldChar w:fldCharType="end"/>
        </w:r>
      </w:hyperlink>
    </w:p>
    <w:p w14:paraId="30E77814" w14:textId="44266A8C" w:rsidR="00D6698F" w:rsidRDefault="00464453">
      <w:pPr>
        <w:pStyle w:val="TOC3"/>
        <w:tabs>
          <w:tab w:val="left" w:pos="2016"/>
        </w:tabs>
        <w:rPr>
          <w:rFonts w:asciiTheme="minorHAnsi" w:eastAsiaTheme="minorEastAsia" w:hAnsiTheme="minorHAnsi" w:cstheme="minorBidi"/>
          <w:color w:val="auto"/>
          <w:sz w:val="22"/>
          <w:szCs w:val="22"/>
        </w:rPr>
      </w:pPr>
      <w:hyperlink w:anchor="_Toc118205684" w:history="1">
        <w:r w:rsidR="00D6698F" w:rsidRPr="00E92ABE">
          <w:rPr>
            <w:rStyle w:val="Hyperlink"/>
          </w:rPr>
          <w:t>4.2.1</w:t>
        </w:r>
        <w:r w:rsidR="00D6698F">
          <w:rPr>
            <w:rFonts w:asciiTheme="minorHAnsi" w:eastAsiaTheme="minorEastAsia" w:hAnsiTheme="minorHAnsi" w:cstheme="minorBidi"/>
            <w:color w:val="auto"/>
            <w:sz w:val="22"/>
            <w:szCs w:val="22"/>
          </w:rPr>
          <w:tab/>
        </w:r>
        <w:r w:rsidR="00D6698F" w:rsidRPr="00E92ABE">
          <w:rPr>
            <w:rStyle w:val="Hyperlink"/>
          </w:rPr>
          <w:t>File Naming Recommendation</w:t>
        </w:r>
        <w:r w:rsidR="00D6698F">
          <w:rPr>
            <w:webHidden/>
          </w:rPr>
          <w:tab/>
        </w:r>
        <w:r w:rsidR="00D6698F">
          <w:rPr>
            <w:webHidden/>
          </w:rPr>
          <w:fldChar w:fldCharType="begin"/>
        </w:r>
        <w:r w:rsidR="00D6698F">
          <w:rPr>
            <w:webHidden/>
          </w:rPr>
          <w:instrText xml:space="preserve"> PAGEREF _Toc118205684 \h </w:instrText>
        </w:r>
        <w:r w:rsidR="00D6698F">
          <w:rPr>
            <w:webHidden/>
          </w:rPr>
        </w:r>
        <w:r w:rsidR="00D6698F">
          <w:rPr>
            <w:webHidden/>
          </w:rPr>
          <w:fldChar w:fldCharType="separate"/>
        </w:r>
        <w:r w:rsidR="00C07DF9">
          <w:rPr>
            <w:webHidden/>
          </w:rPr>
          <w:t>4-3</w:t>
        </w:r>
        <w:r w:rsidR="00D6698F">
          <w:rPr>
            <w:webHidden/>
          </w:rPr>
          <w:fldChar w:fldCharType="end"/>
        </w:r>
      </w:hyperlink>
    </w:p>
    <w:p w14:paraId="3AF676BA" w14:textId="7E0C5073" w:rsidR="00D6698F" w:rsidRDefault="00464453">
      <w:pPr>
        <w:pStyle w:val="TOC3"/>
        <w:tabs>
          <w:tab w:val="left" w:pos="2016"/>
        </w:tabs>
        <w:rPr>
          <w:rFonts w:asciiTheme="minorHAnsi" w:eastAsiaTheme="minorEastAsia" w:hAnsiTheme="minorHAnsi" w:cstheme="minorBidi"/>
          <w:color w:val="auto"/>
          <w:sz w:val="22"/>
          <w:szCs w:val="22"/>
        </w:rPr>
      </w:pPr>
      <w:hyperlink w:anchor="_Toc118205685" w:history="1">
        <w:r w:rsidR="00D6698F" w:rsidRPr="00E92ABE">
          <w:rPr>
            <w:rStyle w:val="Hyperlink"/>
          </w:rPr>
          <w:t>4.2.2</w:t>
        </w:r>
        <w:r w:rsidR="00D6698F">
          <w:rPr>
            <w:rFonts w:asciiTheme="minorHAnsi" w:eastAsiaTheme="minorEastAsia" w:hAnsiTheme="minorHAnsi" w:cstheme="minorBidi"/>
            <w:color w:val="auto"/>
            <w:sz w:val="22"/>
            <w:szCs w:val="22"/>
          </w:rPr>
          <w:tab/>
        </w:r>
        <w:r w:rsidR="00D6698F" w:rsidRPr="00E92ABE">
          <w:rPr>
            <w:rStyle w:val="Hyperlink"/>
          </w:rPr>
          <w:t>Station Description – Pipe-Delimited Format</w:t>
        </w:r>
        <w:r w:rsidR="00D6698F">
          <w:rPr>
            <w:webHidden/>
          </w:rPr>
          <w:tab/>
        </w:r>
        <w:r w:rsidR="00D6698F">
          <w:rPr>
            <w:webHidden/>
          </w:rPr>
          <w:fldChar w:fldCharType="begin"/>
        </w:r>
        <w:r w:rsidR="00D6698F">
          <w:rPr>
            <w:webHidden/>
          </w:rPr>
          <w:instrText xml:space="preserve"> PAGEREF _Toc118205685 \h </w:instrText>
        </w:r>
        <w:r w:rsidR="00D6698F">
          <w:rPr>
            <w:webHidden/>
          </w:rPr>
        </w:r>
        <w:r w:rsidR="00D6698F">
          <w:rPr>
            <w:webHidden/>
          </w:rPr>
          <w:fldChar w:fldCharType="separate"/>
        </w:r>
        <w:r w:rsidR="00C07DF9">
          <w:rPr>
            <w:webHidden/>
          </w:rPr>
          <w:t>4-3</w:t>
        </w:r>
        <w:r w:rsidR="00D6698F">
          <w:rPr>
            <w:webHidden/>
          </w:rPr>
          <w:fldChar w:fldCharType="end"/>
        </w:r>
      </w:hyperlink>
    </w:p>
    <w:p w14:paraId="1C3580C9" w14:textId="7327BE73" w:rsidR="00D6698F" w:rsidRDefault="00464453" w:rsidP="00D6698F">
      <w:pPr>
        <w:pStyle w:val="TOC2"/>
        <w:rPr>
          <w:rFonts w:asciiTheme="minorHAnsi" w:eastAsiaTheme="minorEastAsia" w:hAnsiTheme="minorHAnsi" w:cstheme="minorBidi"/>
          <w:sz w:val="22"/>
        </w:rPr>
      </w:pPr>
      <w:hyperlink w:anchor="_Toc118205686" w:history="1">
        <w:r w:rsidR="00D6698F" w:rsidRPr="00E92ABE">
          <w:rPr>
            <w:rStyle w:val="Hyperlink"/>
          </w:rPr>
          <w:t>4.3</w:t>
        </w:r>
        <w:r w:rsidR="00D6698F">
          <w:rPr>
            <w:rFonts w:asciiTheme="minorHAnsi" w:eastAsiaTheme="minorEastAsia" w:hAnsiTheme="minorHAnsi" w:cstheme="minorBidi"/>
            <w:sz w:val="22"/>
          </w:rPr>
          <w:tab/>
        </w:r>
        <w:r w:rsidR="00D6698F" w:rsidRPr="00E92ABE">
          <w:rPr>
            <w:rStyle w:val="Hyperlink"/>
          </w:rPr>
          <w:t>Traffic Volume Data Format (Fixed Width or Pipe Delimited)</w:t>
        </w:r>
        <w:r w:rsidR="00D6698F">
          <w:rPr>
            <w:webHidden/>
          </w:rPr>
          <w:tab/>
        </w:r>
        <w:r w:rsidR="00D6698F">
          <w:rPr>
            <w:webHidden/>
          </w:rPr>
          <w:fldChar w:fldCharType="begin"/>
        </w:r>
        <w:r w:rsidR="00D6698F">
          <w:rPr>
            <w:webHidden/>
          </w:rPr>
          <w:instrText xml:space="preserve"> PAGEREF _Toc118205686 \h </w:instrText>
        </w:r>
        <w:r w:rsidR="00D6698F">
          <w:rPr>
            <w:webHidden/>
          </w:rPr>
        </w:r>
        <w:r w:rsidR="00D6698F">
          <w:rPr>
            <w:webHidden/>
          </w:rPr>
          <w:fldChar w:fldCharType="separate"/>
        </w:r>
        <w:r w:rsidR="00C07DF9">
          <w:rPr>
            <w:webHidden/>
          </w:rPr>
          <w:t>4-12</w:t>
        </w:r>
        <w:r w:rsidR="00D6698F">
          <w:rPr>
            <w:webHidden/>
          </w:rPr>
          <w:fldChar w:fldCharType="end"/>
        </w:r>
      </w:hyperlink>
    </w:p>
    <w:p w14:paraId="4B9A4FDF" w14:textId="46B0C3AE" w:rsidR="00D6698F" w:rsidRDefault="00464453">
      <w:pPr>
        <w:pStyle w:val="TOC3"/>
        <w:tabs>
          <w:tab w:val="left" w:pos="2016"/>
        </w:tabs>
        <w:rPr>
          <w:rFonts w:asciiTheme="minorHAnsi" w:eastAsiaTheme="minorEastAsia" w:hAnsiTheme="minorHAnsi" w:cstheme="minorBidi"/>
          <w:color w:val="auto"/>
          <w:sz w:val="22"/>
          <w:szCs w:val="22"/>
        </w:rPr>
      </w:pPr>
      <w:hyperlink w:anchor="_Toc118205687" w:history="1">
        <w:r w:rsidR="00D6698F" w:rsidRPr="00E92ABE">
          <w:rPr>
            <w:rStyle w:val="Hyperlink"/>
          </w:rPr>
          <w:t>4.3.1</w:t>
        </w:r>
        <w:r w:rsidR="00D6698F">
          <w:rPr>
            <w:rFonts w:asciiTheme="minorHAnsi" w:eastAsiaTheme="minorEastAsia" w:hAnsiTheme="minorHAnsi" w:cstheme="minorBidi"/>
            <w:color w:val="auto"/>
            <w:sz w:val="22"/>
            <w:szCs w:val="22"/>
          </w:rPr>
          <w:tab/>
        </w:r>
        <w:r w:rsidR="00D6698F" w:rsidRPr="00E92ABE">
          <w:rPr>
            <w:rStyle w:val="Hyperlink"/>
          </w:rPr>
          <w:t>File Naming Recommendation</w:t>
        </w:r>
        <w:r w:rsidR="00D6698F">
          <w:rPr>
            <w:webHidden/>
          </w:rPr>
          <w:tab/>
        </w:r>
        <w:r w:rsidR="00D6698F">
          <w:rPr>
            <w:webHidden/>
          </w:rPr>
          <w:fldChar w:fldCharType="begin"/>
        </w:r>
        <w:r w:rsidR="00D6698F">
          <w:rPr>
            <w:webHidden/>
          </w:rPr>
          <w:instrText xml:space="preserve"> PAGEREF _Toc118205687 \h </w:instrText>
        </w:r>
        <w:r w:rsidR="00D6698F">
          <w:rPr>
            <w:webHidden/>
          </w:rPr>
        </w:r>
        <w:r w:rsidR="00D6698F">
          <w:rPr>
            <w:webHidden/>
          </w:rPr>
          <w:fldChar w:fldCharType="separate"/>
        </w:r>
        <w:r w:rsidR="00C07DF9">
          <w:rPr>
            <w:webHidden/>
          </w:rPr>
          <w:t>4-12</w:t>
        </w:r>
        <w:r w:rsidR="00D6698F">
          <w:rPr>
            <w:webHidden/>
          </w:rPr>
          <w:fldChar w:fldCharType="end"/>
        </w:r>
      </w:hyperlink>
    </w:p>
    <w:p w14:paraId="79F70855" w14:textId="7650E7A6" w:rsidR="00D6698F" w:rsidRDefault="00464453">
      <w:pPr>
        <w:pStyle w:val="TOC3"/>
        <w:tabs>
          <w:tab w:val="left" w:pos="2016"/>
        </w:tabs>
        <w:rPr>
          <w:rFonts w:asciiTheme="minorHAnsi" w:eastAsiaTheme="minorEastAsia" w:hAnsiTheme="minorHAnsi" w:cstheme="minorBidi"/>
          <w:color w:val="auto"/>
          <w:sz w:val="22"/>
          <w:szCs w:val="22"/>
        </w:rPr>
      </w:pPr>
      <w:hyperlink w:anchor="_Toc118205688" w:history="1">
        <w:r w:rsidR="00D6698F" w:rsidRPr="00E92ABE">
          <w:rPr>
            <w:rStyle w:val="Hyperlink"/>
          </w:rPr>
          <w:t>4.3.2</w:t>
        </w:r>
        <w:r w:rsidR="00D6698F">
          <w:rPr>
            <w:rFonts w:asciiTheme="minorHAnsi" w:eastAsiaTheme="minorEastAsia" w:hAnsiTheme="minorHAnsi" w:cstheme="minorBidi"/>
            <w:color w:val="auto"/>
            <w:sz w:val="22"/>
            <w:szCs w:val="22"/>
          </w:rPr>
          <w:tab/>
        </w:r>
        <w:r w:rsidR="00D6698F" w:rsidRPr="00E92ABE">
          <w:rPr>
            <w:rStyle w:val="Hyperlink"/>
          </w:rPr>
          <w:t>Traffic Volume Data – Fixed-Width Format</w:t>
        </w:r>
        <w:r w:rsidR="00D6698F">
          <w:rPr>
            <w:webHidden/>
          </w:rPr>
          <w:tab/>
        </w:r>
        <w:r w:rsidR="00D6698F">
          <w:rPr>
            <w:webHidden/>
          </w:rPr>
          <w:fldChar w:fldCharType="begin"/>
        </w:r>
        <w:r w:rsidR="00D6698F">
          <w:rPr>
            <w:webHidden/>
          </w:rPr>
          <w:instrText xml:space="preserve"> PAGEREF _Toc118205688 \h </w:instrText>
        </w:r>
        <w:r w:rsidR="00D6698F">
          <w:rPr>
            <w:webHidden/>
          </w:rPr>
        </w:r>
        <w:r w:rsidR="00D6698F">
          <w:rPr>
            <w:webHidden/>
          </w:rPr>
          <w:fldChar w:fldCharType="separate"/>
        </w:r>
        <w:r w:rsidR="00C07DF9">
          <w:rPr>
            <w:webHidden/>
          </w:rPr>
          <w:t>4-12</w:t>
        </w:r>
        <w:r w:rsidR="00D6698F">
          <w:rPr>
            <w:webHidden/>
          </w:rPr>
          <w:fldChar w:fldCharType="end"/>
        </w:r>
      </w:hyperlink>
    </w:p>
    <w:p w14:paraId="15079B6B" w14:textId="28F86C55" w:rsidR="00D6698F" w:rsidRDefault="00464453">
      <w:pPr>
        <w:pStyle w:val="TOC3"/>
        <w:tabs>
          <w:tab w:val="left" w:pos="2016"/>
        </w:tabs>
        <w:rPr>
          <w:rFonts w:asciiTheme="minorHAnsi" w:eastAsiaTheme="minorEastAsia" w:hAnsiTheme="minorHAnsi" w:cstheme="minorBidi"/>
          <w:color w:val="auto"/>
          <w:sz w:val="22"/>
          <w:szCs w:val="22"/>
        </w:rPr>
      </w:pPr>
      <w:hyperlink w:anchor="_Toc118205689" w:history="1">
        <w:r w:rsidR="00D6698F" w:rsidRPr="00E92ABE">
          <w:rPr>
            <w:rStyle w:val="Hyperlink"/>
          </w:rPr>
          <w:t>4.3.3</w:t>
        </w:r>
        <w:r w:rsidR="00D6698F">
          <w:rPr>
            <w:rFonts w:asciiTheme="minorHAnsi" w:eastAsiaTheme="minorEastAsia" w:hAnsiTheme="minorHAnsi" w:cstheme="minorBidi"/>
            <w:color w:val="auto"/>
            <w:sz w:val="22"/>
            <w:szCs w:val="22"/>
          </w:rPr>
          <w:tab/>
        </w:r>
        <w:r w:rsidR="00D6698F" w:rsidRPr="00E92ABE">
          <w:rPr>
            <w:rStyle w:val="Hyperlink"/>
          </w:rPr>
          <w:t>Traffic Volume Data – Pipe-Delimited Format</w:t>
        </w:r>
        <w:r w:rsidR="00D6698F">
          <w:rPr>
            <w:webHidden/>
          </w:rPr>
          <w:tab/>
        </w:r>
        <w:r w:rsidR="00D6698F">
          <w:rPr>
            <w:webHidden/>
          </w:rPr>
          <w:fldChar w:fldCharType="begin"/>
        </w:r>
        <w:r w:rsidR="00D6698F">
          <w:rPr>
            <w:webHidden/>
          </w:rPr>
          <w:instrText xml:space="preserve"> PAGEREF _Toc118205689 \h </w:instrText>
        </w:r>
        <w:r w:rsidR="00D6698F">
          <w:rPr>
            <w:webHidden/>
          </w:rPr>
        </w:r>
        <w:r w:rsidR="00D6698F">
          <w:rPr>
            <w:webHidden/>
          </w:rPr>
          <w:fldChar w:fldCharType="separate"/>
        </w:r>
        <w:r w:rsidR="00C07DF9">
          <w:rPr>
            <w:webHidden/>
          </w:rPr>
          <w:t>4-15</w:t>
        </w:r>
        <w:r w:rsidR="00D6698F">
          <w:rPr>
            <w:webHidden/>
          </w:rPr>
          <w:fldChar w:fldCharType="end"/>
        </w:r>
      </w:hyperlink>
    </w:p>
    <w:p w14:paraId="5FE21922" w14:textId="70A43F38" w:rsidR="00D6698F" w:rsidRDefault="00464453" w:rsidP="00D6698F">
      <w:pPr>
        <w:pStyle w:val="TOC2"/>
        <w:rPr>
          <w:rFonts w:asciiTheme="minorHAnsi" w:eastAsiaTheme="minorEastAsia" w:hAnsiTheme="minorHAnsi" w:cstheme="minorBidi"/>
          <w:sz w:val="22"/>
        </w:rPr>
      </w:pPr>
      <w:hyperlink w:anchor="_Toc118205690" w:history="1">
        <w:r w:rsidR="00D6698F" w:rsidRPr="00E92ABE">
          <w:rPr>
            <w:rStyle w:val="Hyperlink"/>
          </w:rPr>
          <w:t>4.4</w:t>
        </w:r>
        <w:r w:rsidR="00D6698F">
          <w:rPr>
            <w:rFonts w:asciiTheme="minorHAnsi" w:eastAsiaTheme="minorEastAsia" w:hAnsiTheme="minorHAnsi" w:cstheme="minorBidi"/>
            <w:sz w:val="22"/>
          </w:rPr>
          <w:tab/>
        </w:r>
        <w:r w:rsidR="00D6698F" w:rsidRPr="00E92ABE">
          <w:rPr>
            <w:rStyle w:val="Hyperlink"/>
          </w:rPr>
          <w:t>Vehicle Speed Data Format (Fixed Width or Pipe Delimited)</w:t>
        </w:r>
        <w:r w:rsidR="00D6698F">
          <w:rPr>
            <w:webHidden/>
          </w:rPr>
          <w:tab/>
        </w:r>
        <w:r w:rsidR="00D6698F">
          <w:rPr>
            <w:webHidden/>
          </w:rPr>
          <w:fldChar w:fldCharType="begin"/>
        </w:r>
        <w:r w:rsidR="00D6698F">
          <w:rPr>
            <w:webHidden/>
          </w:rPr>
          <w:instrText xml:space="preserve"> PAGEREF _Toc118205690 \h </w:instrText>
        </w:r>
        <w:r w:rsidR="00D6698F">
          <w:rPr>
            <w:webHidden/>
          </w:rPr>
        </w:r>
        <w:r w:rsidR="00D6698F">
          <w:rPr>
            <w:webHidden/>
          </w:rPr>
          <w:fldChar w:fldCharType="separate"/>
        </w:r>
        <w:r w:rsidR="00C07DF9">
          <w:rPr>
            <w:webHidden/>
          </w:rPr>
          <w:t>4-18</w:t>
        </w:r>
        <w:r w:rsidR="00D6698F">
          <w:rPr>
            <w:webHidden/>
          </w:rPr>
          <w:fldChar w:fldCharType="end"/>
        </w:r>
      </w:hyperlink>
    </w:p>
    <w:p w14:paraId="7FEB0F34" w14:textId="063B6B6C" w:rsidR="00D6698F" w:rsidRDefault="00464453">
      <w:pPr>
        <w:pStyle w:val="TOC3"/>
        <w:tabs>
          <w:tab w:val="left" w:pos="2016"/>
        </w:tabs>
        <w:rPr>
          <w:rFonts w:asciiTheme="minorHAnsi" w:eastAsiaTheme="minorEastAsia" w:hAnsiTheme="minorHAnsi" w:cstheme="minorBidi"/>
          <w:color w:val="auto"/>
          <w:sz w:val="22"/>
          <w:szCs w:val="22"/>
        </w:rPr>
      </w:pPr>
      <w:hyperlink w:anchor="_Toc118205691" w:history="1">
        <w:r w:rsidR="00D6698F" w:rsidRPr="00E92ABE">
          <w:rPr>
            <w:rStyle w:val="Hyperlink"/>
          </w:rPr>
          <w:t>4.4.1</w:t>
        </w:r>
        <w:r w:rsidR="00D6698F">
          <w:rPr>
            <w:rFonts w:asciiTheme="minorHAnsi" w:eastAsiaTheme="minorEastAsia" w:hAnsiTheme="minorHAnsi" w:cstheme="minorBidi"/>
            <w:color w:val="auto"/>
            <w:sz w:val="22"/>
            <w:szCs w:val="22"/>
          </w:rPr>
          <w:tab/>
        </w:r>
        <w:r w:rsidR="00D6698F" w:rsidRPr="00E92ABE">
          <w:rPr>
            <w:rStyle w:val="Hyperlink"/>
          </w:rPr>
          <w:t>File Naming Recommendation</w:t>
        </w:r>
        <w:r w:rsidR="00D6698F">
          <w:rPr>
            <w:webHidden/>
          </w:rPr>
          <w:tab/>
        </w:r>
        <w:r w:rsidR="00D6698F">
          <w:rPr>
            <w:webHidden/>
          </w:rPr>
          <w:fldChar w:fldCharType="begin"/>
        </w:r>
        <w:r w:rsidR="00D6698F">
          <w:rPr>
            <w:webHidden/>
          </w:rPr>
          <w:instrText xml:space="preserve"> PAGEREF _Toc118205691 \h </w:instrText>
        </w:r>
        <w:r w:rsidR="00D6698F">
          <w:rPr>
            <w:webHidden/>
          </w:rPr>
        </w:r>
        <w:r w:rsidR="00D6698F">
          <w:rPr>
            <w:webHidden/>
          </w:rPr>
          <w:fldChar w:fldCharType="separate"/>
        </w:r>
        <w:r w:rsidR="00C07DF9">
          <w:rPr>
            <w:webHidden/>
          </w:rPr>
          <w:t>4-18</w:t>
        </w:r>
        <w:r w:rsidR="00D6698F">
          <w:rPr>
            <w:webHidden/>
          </w:rPr>
          <w:fldChar w:fldCharType="end"/>
        </w:r>
      </w:hyperlink>
    </w:p>
    <w:p w14:paraId="77B346A2" w14:textId="5DB8EF45" w:rsidR="00D6698F" w:rsidRDefault="00464453">
      <w:pPr>
        <w:pStyle w:val="TOC3"/>
        <w:tabs>
          <w:tab w:val="left" w:pos="2016"/>
        </w:tabs>
        <w:rPr>
          <w:rFonts w:asciiTheme="minorHAnsi" w:eastAsiaTheme="minorEastAsia" w:hAnsiTheme="minorHAnsi" w:cstheme="minorBidi"/>
          <w:color w:val="auto"/>
          <w:sz w:val="22"/>
          <w:szCs w:val="22"/>
        </w:rPr>
      </w:pPr>
      <w:hyperlink w:anchor="_Toc118205692" w:history="1">
        <w:r w:rsidR="00D6698F" w:rsidRPr="00E92ABE">
          <w:rPr>
            <w:rStyle w:val="Hyperlink"/>
          </w:rPr>
          <w:t>4.4.2</w:t>
        </w:r>
        <w:r w:rsidR="00D6698F">
          <w:rPr>
            <w:rFonts w:asciiTheme="minorHAnsi" w:eastAsiaTheme="minorEastAsia" w:hAnsiTheme="minorHAnsi" w:cstheme="minorBidi"/>
            <w:color w:val="auto"/>
            <w:sz w:val="22"/>
            <w:szCs w:val="22"/>
          </w:rPr>
          <w:tab/>
        </w:r>
        <w:r w:rsidR="00D6698F" w:rsidRPr="00E92ABE">
          <w:rPr>
            <w:rStyle w:val="Hyperlink"/>
          </w:rPr>
          <w:t>Vehicle Speed Data – Fixed-Width Format</w:t>
        </w:r>
        <w:r w:rsidR="00D6698F">
          <w:rPr>
            <w:webHidden/>
          </w:rPr>
          <w:tab/>
        </w:r>
        <w:r w:rsidR="00D6698F">
          <w:rPr>
            <w:webHidden/>
          </w:rPr>
          <w:fldChar w:fldCharType="begin"/>
        </w:r>
        <w:r w:rsidR="00D6698F">
          <w:rPr>
            <w:webHidden/>
          </w:rPr>
          <w:instrText xml:space="preserve"> PAGEREF _Toc118205692 \h </w:instrText>
        </w:r>
        <w:r w:rsidR="00D6698F">
          <w:rPr>
            <w:webHidden/>
          </w:rPr>
        </w:r>
        <w:r w:rsidR="00D6698F">
          <w:rPr>
            <w:webHidden/>
          </w:rPr>
          <w:fldChar w:fldCharType="separate"/>
        </w:r>
        <w:r w:rsidR="00C07DF9">
          <w:rPr>
            <w:webHidden/>
          </w:rPr>
          <w:t>4-18</w:t>
        </w:r>
        <w:r w:rsidR="00D6698F">
          <w:rPr>
            <w:webHidden/>
          </w:rPr>
          <w:fldChar w:fldCharType="end"/>
        </w:r>
      </w:hyperlink>
    </w:p>
    <w:p w14:paraId="33A9A1B9" w14:textId="0B9CA842" w:rsidR="00D6698F" w:rsidRDefault="00464453">
      <w:pPr>
        <w:pStyle w:val="TOC3"/>
        <w:tabs>
          <w:tab w:val="left" w:pos="2016"/>
        </w:tabs>
        <w:rPr>
          <w:rFonts w:asciiTheme="minorHAnsi" w:eastAsiaTheme="minorEastAsia" w:hAnsiTheme="minorHAnsi" w:cstheme="minorBidi"/>
          <w:color w:val="auto"/>
          <w:sz w:val="22"/>
          <w:szCs w:val="22"/>
        </w:rPr>
      </w:pPr>
      <w:hyperlink w:anchor="_Toc118205693" w:history="1">
        <w:r w:rsidR="00D6698F" w:rsidRPr="00E92ABE">
          <w:rPr>
            <w:rStyle w:val="Hyperlink"/>
          </w:rPr>
          <w:t>4.4.3</w:t>
        </w:r>
        <w:r w:rsidR="00D6698F">
          <w:rPr>
            <w:rFonts w:asciiTheme="minorHAnsi" w:eastAsiaTheme="minorEastAsia" w:hAnsiTheme="minorHAnsi" w:cstheme="minorBidi"/>
            <w:color w:val="auto"/>
            <w:sz w:val="22"/>
            <w:szCs w:val="22"/>
          </w:rPr>
          <w:tab/>
        </w:r>
        <w:r w:rsidR="00D6698F" w:rsidRPr="00E92ABE">
          <w:rPr>
            <w:rStyle w:val="Hyperlink"/>
          </w:rPr>
          <w:t>Vehicle Speed Data – Pipe-Delimited Format</w:t>
        </w:r>
        <w:r w:rsidR="00D6698F">
          <w:rPr>
            <w:webHidden/>
          </w:rPr>
          <w:tab/>
        </w:r>
        <w:r w:rsidR="00D6698F">
          <w:rPr>
            <w:webHidden/>
          </w:rPr>
          <w:fldChar w:fldCharType="begin"/>
        </w:r>
        <w:r w:rsidR="00D6698F">
          <w:rPr>
            <w:webHidden/>
          </w:rPr>
          <w:instrText xml:space="preserve"> PAGEREF _Toc118205693 \h </w:instrText>
        </w:r>
        <w:r w:rsidR="00D6698F">
          <w:rPr>
            <w:webHidden/>
          </w:rPr>
        </w:r>
        <w:r w:rsidR="00D6698F">
          <w:rPr>
            <w:webHidden/>
          </w:rPr>
          <w:fldChar w:fldCharType="separate"/>
        </w:r>
        <w:r w:rsidR="00C07DF9">
          <w:rPr>
            <w:webHidden/>
          </w:rPr>
          <w:t>4-29</w:t>
        </w:r>
        <w:r w:rsidR="00D6698F">
          <w:rPr>
            <w:webHidden/>
          </w:rPr>
          <w:fldChar w:fldCharType="end"/>
        </w:r>
      </w:hyperlink>
    </w:p>
    <w:p w14:paraId="0DAE0D34" w14:textId="1DF2CD42" w:rsidR="00D6698F" w:rsidRDefault="00464453" w:rsidP="00D6698F">
      <w:pPr>
        <w:pStyle w:val="TOC2"/>
        <w:rPr>
          <w:rFonts w:asciiTheme="minorHAnsi" w:eastAsiaTheme="minorEastAsia" w:hAnsiTheme="minorHAnsi" w:cstheme="minorBidi"/>
          <w:sz w:val="22"/>
        </w:rPr>
      </w:pPr>
      <w:hyperlink w:anchor="_Toc118205694" w:history="1">
        <w:r w:rsidR="00D6698F" w:rsidRPr="00E92ABE">
          <w:rPr>
            <w:rStyle w:val="Hyperlink"/>
          </w:rPr>
          <w:t>4.5</w:t>
        </w:r>
        <w:r w:rsidR="00D6698F">
          <w:rPr>
            <w:rFonts w:asciiTheme="minorHAnsi" w:eastAsiaTheme="minorEastAsia" w:hAnsiTheme="minorHAnsi" w:cstheme="minorBidi"/>
            <w:sz w:val="22"/>
          </w:rPr>
          <w:tab/>
        </w:r>
        <w:r w:rsidR="00D6698F" w:rsidRPr="00E92ABE">
          <w:rPr>
            <w:rStyle w:val="Hyperlink"/>
          </w:rPr>
          <w:t>Vehicle Classification Data Format (Fixed Width or Pipe Delimited)</w:t>
        </w:r>
        <w:r w:rsidR="00D6698F">
          <w:rPr>
            <w:webHidden/>
          </w:rPr>
          <w:tab/>
        </w:r>
        <w:r w:rsidR="00D6698F">
          <w:rPr>
            <w:webHidden/>
          </w:rPr>
          <w:fldChar w:fldCharType="begin"/>
        </w:r>
        <w:r w:rsidR="00D6698F">
          <w:rPr>
            <w:webHidden/>
          </w:rPr>
          <w:instrText xml:space="preserve"> PAGEREF _Toc118205694 \h </w:instrText>
        </w:r>
        <w:r w:rsidR="00D6698F">
          <w:rPr>
            <w:webHidden/>
          </w:rPr>
        </w:r>
        <w:r w:rsidR="00D6698F">
          <w:rPr>
            <w:webHidden/>
          </w:rPr>
          <w:fldChar w:fldCharType="separate"/>
        </w:r>
        <w:r w:rsidR="00C07DF9">
          <w:rPr>
            <w:webHidden/>
          </w:rPr>
          <w:t>4-32</w:t>
        </w:r>
        <w:r w:rsidR="00D6698F">
          <w:rPr>
            <w:webHidden/>
          </w:rPr>
          <w:fldChar w:fldCharType="end"/>
        </w:r>
      </w:hyperlink>
    </w:p>
    <w:p w14:paraId="693D32F2" w14:textId="693A2B73" w:rsidR="00D6698F" w:rsidRDefault="00464453">
      <w:pPr>
        <w:pStyle w:val="TOC3"/>
        <w:tabs>
          <w:tab w:val="left" w:pos="2016"/>
        </w:tabs>
        <w:rPr>
          <w:rFonts w:asciiTheme="minorHAnsi" w:eastAsiaTheme="minorEastAsia" w:hAnsiTheme="minorHAnsi" w:cstheme="minorBidi"/>
          <w:color w:val="auto"/>
          <w:sz w:val="22"/>
          <w:szCs w:val="22"/>
        </w:rPr>
      </w:pPr>
      <w:hyperlink w:anchor="_Toc118205695" w:history="1">
        <w:r w:rsidR="00D6698F" w:rsidRPr="00E92ABE">
          <w:rPr>
            <w:rStyle w:val="Hyperlink"/>
          </w:rPr>
          <w:t>4.5.1</w:t>
        </w:r>
        <w:r w:rsidR="00D6698F">
          <w:rPr>
            <w:rFonts w:asciiTheme="minorHAnsi" w:eastAsiaTheme="minorEastAsia" w:hAnsiTheme="minorHAnsi" w:cstheme="minorBidi"/>
            <w:color w:val="auto"/>
            <w:sz w:val="22"/>
            <w:szCs w:val="22"/>
          </w:rPr>
          <w:tab/>
        </w:r>
        <w:r w:rsidR="00D6698F" w:rsidRPr="00E92ABE">
          <w:rPr>
            <w:rStyle w:val="Hyperlink"/>
          </w:rPr>
          <w:t>File Naming Recommendation</w:t>
        </w:r>
        <w:r w:rsidR="00D6698F">
          <w:rPr>
            <w:webHidden/>
          </w:rPr>
          <w:tab/>
        </w:r>
        <w:r w:rsidR="00D6698F">
          <w:rPr>
            <w:webHidden/>
          </w:rPr>
          <w:fldChar w:fldCharType="begin"/>
        </w:r>
        <w:r w:rsidR="00D6698F">
          <w:rPr>
            <w:webHidden/>
          </w:rPr>
          <w:instrText xml:space="preserve"> PAGEREF _Toc118205695 \h </w:instrText>
        </w:r>
        <w:r w:rsidR="00D6698F">
          <w:rPr>
            <w:webHidden/>
          </w:rPr>
        </w:r>
        <w:r w:rsidR="00D6698F">
          <w:rPr>
            <w:webHidden/>
          </w:rPr>
          <w:fldChar w:fldCharType="separate"/>
        </w:r>
        <w:r w:rsidR="00C07DF9">
          <w:rPr>
            <w:webHidden/>
          </w:rPr>
          <w:t>4-32</w:t>
        </w:r>
        <w:r w:rsidR="00D6698F">
          <w:rPr>
            <w:webHidden/>
          </w:rPr>
          <w:fldChar w:fldCharType="end"/>
        </w:r>
      </w:hyperlink>
    </w:p>
    <w:p w14:paraId="6BD84A73" w14:textId="764F74A3" w:rsidR="00D6698F" w:rsidRDefault="00464453">
      <w:pPr>
        <w:pStyle w:val="TOC3"/>
        <w:tabs>
          <w:tab w:val="left" w:pos="2016"/>
        </w:tabs>
        <w:rPr>
          <w:rFonts w:asciiTheme="minorHAnsi" w:eastAsiaTheme="minorEastAsia" w:hAnsiTheme="minorHAnsi" w:cstheme="minorBidi"/>
          <w:color w:val="auto"/>
          <w:sz w:val="22"/>
          <w:szCs w:val="22"/>
        </w:rPr>
      </w:pPr>
      <w:hyperlink w:anchor="_Toc118205696" w:history="1">
        <w:r w:rsidR="00D6698F" w:rsidRPr="00E92ABE">
          <w:rPr>
            <w:rStyle w:val="Hyperlink"/>
          </w:rPr>
          <w:t>4.5.2</w:t>
        </w:r>
        <w:r w:rsidR="00D6698F">
          <w:rPr>
            <w:rFonts w:asciiTheme="minorHAnsi" w:eastAsiaTheme="minorEastAsia" w:hAnsiTheme="minorHAnsi" w:cstheme="minorBidi"/>
            <w:color w:val="auto"/>
            <w:sz w:val="22"/>
            <w:szCs w:val="22"/>
          </w:rPr>
          <w:tab/>
        </w:r>
        <w:r w:rsidR="00D6698F" w:rsidRPr="00E92ABE">
          <w:rPr>
            <w:rStyle w:val="Hyperlink"/>
          </w:rPr>
          <w:t>Vehicle Classification – Fixed-Width Format</w:t>
        </w:r>
        <w:r w:rsidR="00D6698F">
          <w:rPr>
            <w:webHidden/>
          </w:rPr>
          <w:tab/>
        </w:r>
        <w:r w:rsidR="00D6698F">
          <w:rPr>
            <w:webHidden/>
          </w:rPr>
          <w:fldChar w:fldCharType="begin"/>
        </w:r>
        <w:r w:rsidR="00D6698F">
          <w:rPr>
            <w:webHidden/>
          </w:rPr>
          <w:instrText xml:space="preserve"> PAGEREF _Toc118205696 \h </w:instrText>
        </w:r>
        <w:r w:rsidR="00D6698F">
          <w:rPr>
            <w:webHidden/>
          </w:rPr>
        </w:r>
        <w:r w:rsidR="00D6698F">
          <w:rPr>
            <w:webHidden/>
          </w:rPr>
          <w:fldChar w:fldCharType="separate"/>
        </w:r>
        <w:r w:rsidR="00C07DF9">
          <w:rPr>
            <w:webHidden/>
          </w:rPr>
          <w:t>4-32</w:t>
        </w:r>
        <w:r w:rsidR="00D6698F">
          <w:rPr>
            <w:webHidden/>
          </w:rPr>
          <w:fldChar w:fldCharType="end"/>
        </w:r>
      </w:hyperlink>
    </w:p>
    <w:p w14:paraId="63AD0421" w14:textId="50BD452B" w:rsidR="00D6698F" w:rsidRDefault="00464453">
      <w:pPr>
        <w:pStyle w:val="TOC3"/>
        <w:tabs>
          <w:tab w:val="left" w:pos="2016"/>
        </w:tabs>
        <w:rPr>
          <w:rFonts w:asciiTheme="minorHAnsi" w:eastAsiaTheme="minorEastAsia" w:hAnsiTheme="minorHAnsi" w:cstheme="minorBidi"/>
          <w:color w:val="auto"/>
          <w:sz w:val="22"/>
          <w:szCs w:val="22"/>
        </w:rPr>
      </w:pPr>
      <w:hyperlink w:anchor="_Toc118205697" w:history="1">
        <w:r w:rsidR="00D6698F" w:rsidRPr="00E92ABE">
          <w:rPr>
            <w:rStyle w:val="Hyperlink"/>
          </w:rPr>
          <w:t>4.5.3</w:t>
        </w:r>
        <w:r w:rsidR="00D6698F">
          <w:rPr>
            <w:rFonts w:asciiTheme="minorHAnsi" w:eastAsiaTheme="minorEastAsia" w:hAnsiTheme="minorHAnsi" w:cstheme="minorBidi"/>
            <w:color w:val="auto"/>
            <w:sz w:val="22"/>
            <w:szCs w:val="22"/>
          </w:rPr>
          <w:tab/>
        </w:r>
        <w:r w:rsidR="00D6698F" w:rsidRPr="00E92ABE">
          <w:rPr>
            <w:rStyle w:val="Hyperlink"/>
          </w:rPr>
          <w:t>Vehicle Classification – Pipe-Delimited Format</w:t>
        </w:r>
        <w:r w:rsidR="00D6698F">
          <w:rPr>
            <w:webHidden/>
          </w:rPr>
          <w:tab/>
        </w:r>
        <w:r w:rsidR="00D6698F">
          <w:rPr>
            <w:webHidden/>
          </w:rPr>
          <w:fldChar w:fldCharType="begin"/>
        </w:r>
        <w:r w:rsidR="00D6698F">
          <w:rPr>
            <w:webHidden/>
          </w:rPr>
          <w:instrText xml:space="preserve"> PAGEREF _Toc118205697 \h </w:instrText>
        </w:r>
        <w:r w:rsidR="00D6698F">
          <w:rPr>
            <w:webHidden/>
          </w:rPr>
        </w:r>
        <w:r w:rsidR="00D6698F">
          <w:rPr>
            <w:webHidden/>
          </w:rPr>
          <w:fldChar w:fldCharType="separate"/>
        </w:r>
        <w:r w:rsidR="00C07DF9">
          <w:rPr>
            <w:webHidden/>
          </w:rPr>
          <w:t>4-38</w:t>
        </w:r>
        <w:r w:rsidR="00D6698F">
          <w:rPr>
            <w:webHidden/>
          </w:rPr>
          <w:fldChar w:fldCharType="end"/>
        </w:r>
      </w:hyperlink>
    </w:p>
    <w:p w14:paraId="7F84449F" w14:textId="718B8A54" w:rsidR="00D6698F" w:rsidRDefault="00464453" w:rsidP="00D6698F">
      <w:pPr>
        <w:pStyle w:val="TOC2"/>
        <w:rPr>
          <w:rFonts w:asciiTheme="minorHAnsi" w:eastAsiaTheme="minorEastAsia" w:hAnsiTheme="minorHAnsi" w:cstheme="minorBidi"/>
          <w:sz w:val="22"/>
        </w:rPr>
      </w:pPr>
      <w:hyperlink w:anchor="_Toc118205698" w:history="1">
        <w:r w:rsidR="00D6698F" w:rsidRPr="00E92ABE">
          <w:rPr>
            <w:rStyle w:val="Hyperlink"/>
          </w:rPr>
          <w:t>4.6</w:t>
        </w:r>
        <w:r w:rsidR="00D6698F">
          <w:rPr>
            <w:rFonts w:asciiTheme="minorHAnsi" w:eastAsiaTheme="minorEastAsia" w:hAnsiTheme="minorHAnsi" w:cstheme="minorBidi"/>
            <w:sz w:val="22"/>
          </w:rPr>
          <w:tab/>
        </w:r>
        <w:r w:rsidR="00D6698F" w:rsidRPr="00E92ABE">
          <w:rPr>
            <w:rStyle w:val="Hyperlink"/>
          </w:rPr>
          <w:t>Weight Data Format (Fixed Width or Pipe Delimited)</w:t>
        </w:r>
        <w:r w:rsidR="00D6698F">
          <w:rPr>
            <w:webHidden/>
          </w:rPr>
          <w:tab/>
        </w:r>
        <w:r w:rsidR="00D6698F">
          <w:rPr>
            <w:webHidden/>
          </w:rPr>
          <w:fldChar w:fldCharType="begin"/>
        </w:r>
        <w:r w:rsidR="00D6698F">
          <w:rPr>
            <w:webHidden/>
          </w:rPr>
          <w:instrText xml:space="preserve"> PAGEREF _Toc118205698 \h </w:instrText>
        </w:r>
        <w:r w:rsidR="00D6698F">
          <w:rPr>
            <w:webHidden/>
          </w:rPr>
        </w:r>
        <w:r w:rsidR="00D6698F">
          <w:rPr>
            <w:webHidden/>
          </w:rPr>
          <w:fldChar w:fldCharType="separate"/>
        </w:r>
        <w:r w:rsidR="00C07DF9">
          <w:rPr>
            <w:webHidden/>
          </w:rPr>
          <w:t>4-40</w:t>
        </w:r>
        <w:r w:rsidR="00D6698F">
          <w:rPr>
            <w:webHidden/>
          </w:rPr>
          <w:fldChar w:fldCharType="end"/>
        </w:r>
      </w:hyperlink>
    </w:p>
    <w:p w14:paraId="1049716A" w14:textId="7A46D03A" w:rsidR="00D6698F" w:rsidRDefault="00464453">
      <w:pPr>
        <w:pStyle w:val="TOC3"/>
        <w:tabs>
          <w:tab w:val="left" w:pos="2016"/>
        </w:tabs>
        <w:rPr>
          <w:rFonts w:asciiTheme="minorHAnsi" w:eastAsiaTheme="minorEastAsia" w:hAnsiTheme="minorHAnsi" w:cstheme="minorBidi"/>
          <w:color w:val="auto"/>
          <w:sz w:val="22"/>
          <w:szCs w:val="22"/>
        </w:rPr>
      </w:pPr>
      <w:hyperlink w:anchor="_Toc118205699" w:history="1">
        <w:r w:rsidR="00D6698F" w:rsidRPr="00E92ABE">
          <w:rPr>
            <w:rStyle w:val="Hyperlink"/>
          </w:rPr>
          <w:t>4.6.1</w:t>
        </w:r>
        <w:r w:rsidR="00D6698F">
          <w:rPr>
            <w:rFonts w:asciiTheme="minorHAnsi" w:eastAsiaTheme="minorEastAsia" w:hAnsiTheme="minorHAnsi" w:cstheme="minorBidi"/>
            <w:color w:val="auto"/>
            <w:sz w:val="22"/>
            <w:szCs w:val="22"/>
          </w:rPr>
          <w:tab/>
        </w:r>
        <w:r w:rsidR="00D6698F" w:rsidRPr="00E92ABE">
          <w:rPr>
            <w:rStyle w:val="Hyperlink"/>
          </w:rPr>
          <w:t>File Naming Recommendation</w:t>
        </w:r>
        <w:r w:rsidR="00D6698F">
          <w:rPr>
            <w:webHidden/>
          </w:rPr>
          <w:tab/>
        </w:r>
        <w:r w:rsidR="00D6698F">
          <w:rPr>
            <w:webHidden/>
          </w:rPr>
          <w:fldChar w:fldCharType="begin"/>
        </w:r>
        <w:r w:rsidR="00D6698F">
          <w:rPr>
            <w:webHidden/>
          </w:rPr>
          <w:instrText xml:space="preserve"> PAGEREF _Toc118205699 \h </w:instrText>
        </w:r>
        <w:r w:rsidR="00D6698F">
          <w:rPr>
            <w:webHidden/>
          </w:rPr>
        </w:r>
        <w:r w:rsidR="00D6698F">
          <w:rPr>
            <w:webHidden/>
          </w:rPr>
          <w:fldChar w:fldCharType="separate"/>
        </w:r>
        <w:r w:rsidR="00C07DF9">
          <w:rPr>
            <w:webHidden/>
          </w:rPr>
          <w:t>4-40</w:t>
        </w:r>
        <w:r w:rsidR="00D6698F">
          <w:rPr>
            <w:webHidden/>
          </w:rPr>
          <w:fldChar w:fldCharType="end"/>
        </w:r>
      </w:hyperlink>
    </w:p>
    <w:p w14:paraId="6C90A77A" w14:textId="57A8CFE2" w:rsidR="00D6698F" w:rsidRDefault="00464453">
      <w:pPr>
        <w:pStyle w:val="TOC3"/>
        <w:tabs>
          <w:tab w:val="left" w:pos="2016"/>
        </w:tabs>
        <w:rPr>
          <w:rFonts w:asciiTheme="minorHAnsi" w:eastAsiaTheme="minorEastAsia" w:hAnsiTheme="minorHAnsi" w:cstheme="minorBidi"/>
          <w:color w:val="auto"/>
          <w:sz w:val="22"/>
          <w:szCs w:val="22"/>
        </w:rPr>
      </w:pPr>
      <w:hyperlink w:anchor="_Toc118205700" w:history="1">
        <w:r w:rsidR="00D6698F" w:rsidRPr="00E92ABE">
          <w:rPr>
            <w:rStyle w:val="Hyperlink"/>
          </w:rPr>
          <w:t>4.6.2</w:t>
        </w:r>
        <w:r w:rsidR="00D6698F">
          <w:rPr>
            <w:rFonts w:asciiTheme="minorHAnsi" w:eastAsiaTheme="minorEastAsia" w:hAnsiTheme="minorHAnsi" w:cstheme="minorBidi"/>
            <w:color w:val="auto"/>
            <w:sz w:val="22"/>
            <w:szCs w:val="22"/>
          </w:rPr>
          <w:tab/>
        </w:r>
        <w:r w:rsidR="00D6698F" w:rsidRPr="00E92ABE">
          <w:rPr>
            <w:rStyle w:val="Hyperlink"/>
          </w:rPr>
          <w:t>Weight – Fixed-width Format</w:t>
        </w:r>
        <w:r w:rsidR="00D6698F">
          <w:rPr>
            <w:webHidden/>
          </w:rPr>
          <w:tab/>
        </w:r>
        <w:r w:rsidR="00D6698F">
          <w:rPr>
            <w:webHidden/>
          </w:rPr>
          <w:fldChar w:fldCharType="begin"/>
        </w:r>
        <w:r w:rsidR="00D6698F">
          <w:rPr>
            <w:webHidden/>
          </w:rPr>
          <w:instrText xml:space="preserve"> PAGEREF _Toc118205700 \h </w:instrText>
        </w:r>
        <w:r w:rsidR="00D6698F">
          <w:rPr>
            <w:webHidden/>
          </w:rPr>
        </w:r>
        <w:r w:rsidR="00D6698F">
          <w:rPr>
            <w:webHidden/>
          </w:rPr>
          <w:fldChar w:fldCharType="separate"/>
        </w:r>
        <w:r w:rsidR="00C07DF9">
          <w:rPr>
            <w:webHidden/>
          </w:rPr>
          <w:t>4-40</w:t>
        </w:r>
        <w:r w:rsidR="00D6698F">
          <w:rPr>
            <w:webHidden/>
          </w:rPr>
          <w:fldChar w:fldCharType="end"/>
        </w:r>
      </w:hyperlink>
    </w:p>
    <w:p w14:paraId="0475E777" w14:textId="2AA1B159" w:rsidR="00D6698F" w:rsidRDefault="00464453">
      <w:pPr>
        <w:pStyle w:val="TOC3"/>
        <w:tabs>
          <w:tab w:val="left" w:pos="2016"/>
        </w:tabs>
        <w:rPr>
          <w:rFonts w:asciiTheme="minorHAnsi" w:eastAsiaTheme="minorEastAsia" w:hAnsiTheme="minorHAnsi" w:cstheme="minorBidi"/>
          <w:color w:val="auto"/>
          <w:sz w:val="22"/>
          <w:szCs w:val="22"/>
        </w:rPr>
      </w:pPr>
      <w:hyperlink w:anchor="_Toc118205701" w:history="1">
        <w:r w:rsidR="00D6698F" w:rsidRPr="00E92ABE">
          <w:rPr>
            <w:rStyle w:val="Hyperlink"/>
          </w:rPr>
          <w:t>4.6.3</w:t>
        </w:r>
        <w:r w:rsidR="00D6698F">
          <w:rPr>
            <w:rFonts w:asciiTheme="minorHAnsi" w:eastAsiaTheme="minorEastAsia" w:hAnsiTheme="minorHAnsi" w:cstheme="minorBidi"/>
            <w:color w:val="auto"/>
            <w:sz w:val="22"/>
            <w:szCs w:val="22"/>
          </w:rPr>
          <w:tab/>
        </w:r>
        <w:r w:rsidR="00D6698F" w:rsidRPr="00E92ABE">
          <w:rPr>
            <w:rStyle w:val="Hyperlink"/>
          </w:rPr>
          <w:t>Weight Data – Pipe-Delimited Format</w:t>
        </w:r>
        <w:r w:rsidR="00D6698F">
          <w:rPr>
            <w:webHidden/>
          </w:rPr>
          <w:tab/>
        </w:r>
        <w:r w:rsidR="00D6698F">
          <w:rPr>
            <w:webHidden/>
          </w:rPr>
          <w:fldChar w:fldCharType="begin"/>
        </w:r>
        <w:r w:rsidR="00D6698F">
          <w:rPr>
            <w:webHidden/>
          </w:rPr>
          <w:instrText xml:space="preserve"> PAGEREF _Toc118205701 \h </w:instrText>
        </w:r>
        <w:r w:rsidR="00D6698F">
          <w:rPr>
            <w:webHidden/>
          </w:rPr>
        </w:r>
        <w:r w:rsidR="00D6698F">
          <w:rPr>
            <w:webHidden/>
          </w:rPr>
          <w:fldChar w:fldCharType="separate"/>
        </w:r>
        <w:r w:rsidR="00C07DF9">
          <w:rPr>
            <w:webHidden/>
          </w:rPr>
          <w:t>4-45</w:t>
        </w:r>
        <w:r w:rsidR="00D6698F">
          <w:rPr>
            <w:webHidden/>
          </w:rPr>
          <w:fldChar w:fldCharType="end"/>
        </w:r>
      </w:hyperlink>
    </w:p>
    <w:p w14:paraId="3A3D6253" w14:textId="5E69D24E" w:rsidR="00D6698F" w:rsidRDefault="00464453" w:rsidP="00D6698F">
      <w:pPr>
        <w:pStyle w:val="TOC2"/>
        <w:rPr>
          <w:rFonts w:asciiTheme="minorHAnsi" w:eastAsiaTheme="minorEastAsia" w:hAnsiTheme="minorHAnsi" w:cstheme="minorBidi"/>
          <w:sz w:val="22"/>
        </w:rPr>
      </w:pPr>
      <w:hyperlink w:anchor="_Toc118205702" w:history="1">
        <w:r w:rsidR="00D6698F" w:rsidRPr="00E92ABE">
          <w:rPr>
            <w:rStyle w:val="Hyperlink"/>
          </w:rPr>
          <w:t>4.7</w:t>
        </w:r>
        <w:r w:rsidR="00D6698F">
          <w:rPr>
            <w:rFonts w:asciiTheme="minorHAnsi" w:eastAsiaTheme="minorEastAsia" w:hAnsiTheme="minorHAnsi" w:cstheme="minorBidi"/>
            <w:sz w:val="22"/>
          </w:rPr>
          <w:tab/>
        </w:r>
        <w:r w:rsidR="00D6698F" w:rsidRPr="00E92ABE">
          <w:rPr>
            <w:rStyle w:val="Hyperlink"/>
          </w:rPr>
          <w:t>Detailed Individual Vehicle Record (IVR) Data Format (Fixed Width or Pipe Delimited)</w:t>
        </w:r>
        <w:r w:rsidR="00D6698F">
          <w:rPr>
            <w:webHidden/>
          </w:rPr>
          <w:tab/>
        </w:r>
        <w:r w:rsidR="00D6698F">
          <w:rPr>
            <w:webHidden/>
          </w:rPr>
          <w:fldChar w:fldCharType="begin"/>
        </w:r>
        <w:r w:rsidR="00D6698F">
          <w:rPr>
            <w:webHidden/>
          </w:rPr>
          <w:instrText xml:space="preserve"> PAGEREF _Toc118205702 \h </w:instrText>
        </w:r>
        <w:r w:rsidR="00D6698F">
          <w:rPr>
            <w:webHidden/>
          </w:rPr>
        </w:r>
        <w:r w:rsidR="00D6698F">
          <w:rPr>
            <w:webHidden/>
          </w:rPr>
          <w:fldChar w:fldCharType="separate"/>
        </w:r>
        <w:r w:rsidR="00C07DF9">
          <w:rPr>
            <w:webHidden/>
          </w:rPr>
          <w:t>4-47</w:t>
        </w:r>
        <w:r w:rsidR="00D6698F">
          <w:rPr>
            <w:webHidden/>
          </w:rPr>
          <w:fldChar w:fldCharType="end"/>
        </w:r>
      </w:hyperlink>
    </w:p>
    <w:p w14:paraId="5FF1D66D" w14:textId="6F9DDF3E" w:rsidR="00D6698F" w:rsidRDefault="00464453">
      <w:pPr>
        <w:pStyle w:val="TOC3"/>
        <w:tabs>
          <w:tab w:val="left" w:pos="2016"/>
        </w:tabs>
        <w:rPr>
          <w:rFonts w:asciiTheme="minorHAnsi" w:eastAsiaTheme="minorEastAsia" w:hAnsiTheme="minorHAnsi" w:cstheme="minorBidi"/>
          <w:color w:val="auto"/>
          <w:sz w:val="22"/>
          <w:szCs w:val="22"/>
        </w:rPr>
      </w:pPr>
      <w:hyperlink w:anchor="_Toc118205703" w:history="1">
        <w:r w:rsidR="00D6698F" w:rsidRPr="00E92ABE">
          <w:rPr>
            <w:rStyle w:val="Hyperlink"/>
          </w:rPr>
          <w:t>4.7.1</w:t>
        </w:r>
        <w:r w:rsidR="00D6698F">
          <w:rPr>
            <w:rFonts w:asciiTheme="minorHAnsi" w:eastAsiaTheme="minorEastAsia" w:hAnsiTheme="minorHAnsi" w:cstheme="minorBidi"/>
            <w:color w:val="auto"/>
            <w:sz w:val="22"/>
            <w:szCs w:val="22"/>
          </w:rPr>
          <w:tab/>
        </w:r>
        <w:r w:rsidR="00D6698F" w:rsidRPr="00E92ABE">
          <w:rPr>
            <w:rStyle w:val="Hyperlink"/>
          </w:rPr>
          <w:t>Traffic Volume Only Format (V)</w:t>
        </w:r>
        <w:r w:rsidR="00D6698F">
          <w:rPr>
            <w:webHidden/>
          </w:rPr>
          <w:tab/>
        </w:r>
        <w:r w:rsidR="00D6698F">
          <w:rPr>
            <w:webHidden/>
          </w:rPr>
          <w:fldChar w:fldCharType="begin"/>
        </w:r>
        <w:r w:rsidR="00D6698F">
          <w:rPr>
            <w:webHidden/>
          </w:rPr>
          <w:instrText xml:space="preserve"> PAGEREF _Toc118205703 \h </w:instrText>
        </w:r>
        <w:r w:rsidR="00D6698F">
          <w:rPr>
            <w:webHidden/>
          </w:rPr>
        </w:r>
        <w:r w:rsidR="00D6698F">
          <w:rPr>
            <w:webHidden/>
          </w:rPr>
          <w:fldChar w:fldCharType="separate"/>
        </w:r>
        <w:r w:rsidR="00C07DF9">
          <w:rPr>
            <w:webHidden/>
          </w:rPr>
          <w:t>4-48</w:t>
        </w:r>
        <w:r w:rsidR="00D6698F">
          <w:rPr>
            <w:webHidden/>
          </w:rPr>
          <w:fldChar w:fldCharType="end"/>
        </w:r>
      </w:hyperlink>
    </w:p>
    <w:p w14:paraId="5BBC105A" w14:textId="71333642" w:rsidR="00D6698F" w:rsidRDefault="00464453">
      <w:pPr>
        <w:pStyle w:val="TOC3"/>
        <w:tabs>
          <w:tab w:val="left" w:pos="2016"/>
        </w:tabs>
        <w:rPr>
          <w:rFonts w:asciiTheme="minorHAnsi" w:eastAsiaTheme="minorEastAsia" w:hAnsiTheme="minorHAnsi" w:cstheme="minorBidi"/>
          <w:color w:val="auto"/>
          <w:sz w:val="22"/>
          <w:szCs w:val="22"/>
        </w:rPr>
      </w:pPr>
      <w:hyperlink w:anchor="_Toc118205704" w:history="1">
        <w:r w:rsidR="00D6698F" w:rsidRPr="00E92ABE">
          <w:rPr>
            <w:rStyle w:val="Hyperlink"/>
          </w:rPr>
          <w:t>4.7.2</w:t>
        </w:r>
        <w:r w:rsidR="00D6698F">
          <w:rPr>
            <w:rFonts w:asciiTheme="minorHAnsi" w:eastAsiaTheme="minorEastAsia" w:hAnsiTheme="minorHAnsi" w:cstheme="minorBidi"/>
            <w:color w:val="auto"/>
            <w:sz w:val="22"/>
            <w:szCs w:val="22"/>
          </w:rPr>
          <w:tab/>
        </w:r>
        <w:r w:rsidR="00D6698F" w:rsidRPr="00E92ABE">
          <w:rPr>
            <w:rStyle w:val="Hyperlink"/>
          </w:rPr>
          <w:t>Speed and Length Classification Data Format (T)</w:t>
        </w:r>
        <w:r w:rsidR="00D6698F">
          <w:rPr>
            <w:webHidden/>
          </w:rPr>
          <w:tab/>
        </w:r>
        <w:r w:rsidR="00D6698F">
          <w:rPr>
            <w:webHidden/>
          </w:rPr>
          <w:fldChar w:fldCharType="begin"/>
        </w:r>
        <w:r w:rsidR="00D6698F">
          <w:rPr>
            <w:webHidden/>
          </w:rPr>
          <w:instrText xml:space="preserve"> PAGEREF _Toc118205704 \h </w:instrText>
        </w:r>
        <w:r w:rsidR="00D6698F">
          <w:rPr>
            <w:webHidden/>
          </w:rPr>
        </w:r>
        <w:r w:rsidR="00D6698F">
          <w:rPr>
            <w:webHidden/>
          </w:rPr>
          <w:fldChar w:fldCharType="separate"/>
        </w:r>
        <w:r w:rsidR="00C07DF9">
          <w:rPr>
            <w:webHidden/>
          </w:rPr>
          <w:t>4-54</w:t>
        </w:r>
        <w:r w:rsidR="00D6698F">
          <w:rPr>
            <w:webHidden/>
          </w:rPr>
          <w:fldChar w:fldCharType="end"/>
        </w:r>
      </w:hyperlink>
    </w:p>
    <w:p w14:paraId="58CC3718" w14:textId="56982095" w:rsidR="00D6698F" w:rsidRDefault="00464453">
      <w:pPr>
        <w:pStyle w:val="TOC3"/>
        <w:tabs>
          <w:tab w:val="left" w:pos="2016"/>
        </w:tabs>
        <w:rPr>
          <w:rFonts w:asciiTheme="minorHAnsi" w:eastAsiaTheme="minorEastAsia" w:hAnsiTheme="minorHAnsi" w:cstheme="minorBidi"/>
          <w:color w:val="auto"/>
          <w:sz w:val="22"/>
          <w:szCs w:val="22"/>
        </w:rPr>
      </w:pPr>
      <w:hyperlink w:anchor="_Toc118205705" w:history="1">
        <w:r w:rsidR="00D6698F" w:rsidRPr="00E92ABE">
          <w:rPr>
            <w:rStyle w:val="Hyperlink"/>
          </w:rPr>
          <w:t>4.7.3</w:t>
        </w:r>
        <w:r w:rsidR="00D6698F">
          <w:rPr>
            <w:rFonts w:asciiTheme="minorHAnsi" w:eastAsiaTheme="minorEastAsia" w:hAnsiTheme="minorHAnsi" w:cstheme="minorBidi"/>
            <w:color w:val="auto"/>
            <w:sz w:val="22"/>
            <w:szCs w:val="22"/>
          </w:rPr>
          <w:tab/>
        </w:r>
        <w:r w:rsidR="00D6698F" w:rsidRPr="00E92ABE">
          <w:rPr>
            <w:rStyle w:val="Hyperlink"/>
          </w:rPr>
          <w:t>Axle Classification Data Format (C)</w:t>
        </w:r>
        <w:r w:rsidR="00D6698F">
          <w:rPr>
            <w:webHidden/>
          </w:rPr>
          <w:tab/>
        </w:r>
        <w:r w:rsidR="00D6698F">
          <w:rPr>
            <w:webHidden/>
          </w:rPr>
          <w:fldChar w:fldCharType="begin"/>
        </w:r>
        <w:r w:rsidR="00D6698F">
          <w:rPr>
            <w:webHidden/>
          </w:rPr>
          <w:instrText xml:space="preserve"> PAGEREF _Toc118205705 \h </w:instrText>
        </w:r>
        <w:r w:rsidR="00D6698F">
          <w:rPr>
            <w:webHidden/>
          </w:rPr>
        </w:r>
        <w:r w:rsidR="00D6698F">
          <w:rPr>
            <w:webHidden/>
          </w:rPr>
          <w:fldChar w:fldCharType="separate"/>
        </w:r>
        <w:r w:rsidR="00C07DF9">
          <w:rPr>
            <w:webHidden/>
          </w:rPr>
          <w:t>4-56</w:t>
        </w:r>
        <w:r w:rsidR="00D6698F">
          <w:rPr>
            <w:webHidden/>
          </w:rPr>
          <w:fldChar w:fldCharType="end"/>
        </w:r>
      </w:hyperlink>
    </w:p>
    <w:p w14:paraId="2D6A6ADD" w14:textId="708CBC8E" w:rsidR="00D6698F" w:rsidRDefault="00464453">
      <w:pPr>
        <w:pStyle w:val="TOC3"/>
        <w:tabs>
          <w:tab w:val="left" w:pos="2016"/>
        </w:tabs>
        <w:rPr>
          <w:rFonts w:asciiTheme="minorHAnsi" w:eastAsiaTheme="minorEastAsia" w:hAnsiTheme="minorHAnsi" w:cstheme="minorBidi"/>
          <w:color w:val="auto"/>
          <w:sz w:val="22"/>
          <w:szCs w:val="22"/>
        </w:rPr>
      </w:pPr>
      <w:hyperlink w:anchor="_Toc118205706" w:history="1">
        <w:r w:rsidR="00D6698F" w:rsidRPr="00E92ABE">
          <w:rPr>
            <w:rStyle w:val="Hyperlink"/>
          </w:rPr>
          <w:t>4.7.4</w:t>
        </w:r>
        <w:r w:rsidR="00D6698F">
          <w:rPr>
            <w:rFonts w:asciiTheme="minorHAnsi" w:eastAsiaTheme="minorEastAsia" w:hAnsiTheme="minorHAnsi" w:cstheme="minorBidi"/>
            <w:color w:val="auto"/>
            <w:sz w:val="22"/>
            <w:szCs w:val="22"/>
          </w:rPr>
          <w:tab/>
        </w:r>
        <w:r w:rsidR="00D6698F" w:rsidRPr="00E92ABE">
          <w:rPr>
            <w:rStyle w:val="Hyperlink"/>
          </w:rPr>
          <w:t>Weight Data Format for Reporting Axle Weights (W)</w:t>
        </w:r>
        <w:r w:rsidR="00D6698F">
          <w:rPr>
            <w:webHidden/>
          </w:rPr>
          <w:tab/>
        </w:r>
        <w:r w:rsidR="00D6698F">
          <w:rPr>
            <w:webHidden/>
          </w:rPr>
          <w:fldChar w:fldCharType="begin"/>
        </w:r>
        <w:r w:rsidR="00D6698F">
          <w:rPr>
            <w:webHidden/>
          </w:rPr>
          <w:instrText xml:space="preserve"> PAGEREF _Toc118205706 \h </w:instrText>
        </w:r>
        <w:r w:rsidR="00D6698F">
          <w:rPr>
            <w:webHidden/>
          </w:rPr>
        </w:r>
        <w:r w:rsidR="00D6698F">
          <w:rPr>
            <w:webHidden/>
          </w:rPr>
          <w:fldChar w:fldCharType="separate"/>
        </w:r>
        <w:r w:rsidR="00C07DF9">
          <w:rPr>
            <w:webHidden/>
          </w:rPr>
          <w:t>4-61</w:t>
        </w:r>
        <w:r w:rsidR="00D6698F">
          <w:rPr>
            <w:webHidden/>
          </w:rPr>
          <w:fldChar w:fldCharType="end"/>
        </w:r>
      </w:hyperlink>
    </w:p>
    <w:p w14:paraId="66925D46" w14:textId="606007AB" w:rsidR="00D6698F" w:rsidRDefault="00464453">
      <w:pPr>
        <w:pStyle w:val="TOC3"/>
        <w:tabs>
          <w:tab w:val="left" w:pos="2016"/>
        </w:tabs>
        <w:rPr>
          <w:rFonts w:asciiTheme="minorHAnsi" w:eastAsiaTheme="minorEastAsia" w:hAnsiTheme="minorHAnsi" w:cstheme="minorBidi"/>
          <w:color w:val="auto"/>
          <w:sz w:val="22"/>
          <w:szCs w:val="22"/>
        </w:rPr>
      </w:pPr>
      <w:hyperlink w:anchor="_Toc118205707" w:history="1">
        <w:r w:rsidR="00D6698F" w:rsidRPr="00E92ABE">
          <w:rPr>
            <w:rStyle w:val="Hyperlink"/>
          </w:rPr>
          <w:t>4.7.5</w:t>
        </w:r>
        <w:r w:rsidR="00D6698F">
          <w:rPr>
            <w:rFonts w:asciiTheme="minorHAnsi" w:eastAsiaTheme="minorEastAsia" w:hAnsiTheme="minorHAnsi" w:cstheme="minorBidi"/>
            <w:color w:val="auto"/>
            <w:sz w:val="22"/>
            <w:szCs w:val="22"/>
          </w:rPr>
          <w:tab/>
        </w:r>
        <w:r w:rsidR="00D6698F" w:rsidRPr="00E92ABE">
          <w:rPr>
            <w:rStyle w:val="Hyperlink"/>
          </w:rPr>
          <w:t>Vehicle Classification and Wheel Weights (Z)</w:t>
        </w:r>
        <w:r w:rsidR="00D6698F">
          <w:rPr>
            <w:webHidden/>
          </w:rPr>
          <w:tab/>
        </w:r>
        <w:r w:rsidR="00D6698F">
          <w:rPr>
            <w:webHidden/>
          </w:rPr>
          <w:fldChar w:fldCharType="begin"/>
        </w:r>
        <w:r w:rsidR="00D6698F">
          <w:rPr>
            <w:webHidden/>
          </w:rPr>
          <w:instrText xml:space="preserve"> PAGEREF _Toc118205707 \h </w:instrText>
        </w:r>
        <w:r w:rsidR="00D6698F">
          <w:rPr>
            <w:webHidden/>
          </w:rPr>
        </w:r>
        <w:r w:rsidR="00D6698F">
          <w:rPr>
            <w:webHidden/>
          </w:rPr>
          <w:fldChar w:fldCharType="separate"/>
        </w:r>
        <w:r w:rsidR="00C07DF9">
          <w:rPr>
            <w:webHidden/>
          </w:rPr>
          <w:t>4-67</w:t>
        </w:r>
        <w:r w:rsidR="00D6698F">
          <w:rPr>
            <w:webHidden/>
          </w:rPr>
          <w:fldChar w:fldCharType="end"/>
        </w:r>
      </w:hyperlink>
    </w:p>
    <w:p w14:paraId="18114117" w14:textId="7F1758CA" w:rsidR="00D6698F" w:rsidRDefault="00464453" w:rsidP="00D6698F">
      <w:pPr>
        <w:pStyle w:val="TOC2"/>
        <w:rPr>
          <w:rFonts w:asciiTheme="minorHAnsi" w:eastAsiaTheme="minorEastAsia" w:hAnsiTheme="minorHAnsi" w:cstheme="minorBidi"/>
          <w:sz w:val="22"/>
        </w:rPr>
      </w:pPr>
      <w:hyperlink w:anchor="_Toc118205708" w:history="1">
        <w:r w:rsidR="00D6698F" w:rsidRPr="00E92ABE">
          <w:rPr>
            <w:rStyle w:val="Hyperlink"/>
          </w:rPr>
          <w:t>4.8</w:t>
        </w:r>
        <w:r w:rsidR="00D6698F">
          <w:rPr>
            <w:rFonts w:asciiTheme="minorHAnsi" w:eastAsiaTheme="minorEastAsia" w:hAnsiTheme="minorHAnsi" w:cstheme="minorBidi"/>
            <w:sz w:val="22"/>
          </w:rPr>
          <w:tab/>
        </w:r>
        <w:r w:rsidR="00D6698F" w:rsidRPr="00E92ABE">
          <w:rPr>
            <w:rStyle w:val="Hyperlink"/>
          </w:rPr>
          <w:t>Micromobility Count Station Description Data Format (Fixed Width Or Pipe Delimited)</w:t>
        </w:r>
        <w:r w:rsidR="00D6698F">
          <w:rPr>
            <w:webHidden/>
          </w:rPr>
          <w:tab/>
        </w:r>
        <w:r w:rsidR="00D6698F">
          <w:rPr>
            <w:webHidden/>
          </w:rPr>
          <w:fldChar w:fldCharType="begin"/>
        </w:r>
        <w:r w:rsidR="00D6698F">
          <w:rPr>
            <w:webHidden/>
          </w:rPr>
          <w:instrText xml:space="preserve"> PAGEREF _Toc118205708 \h </w:instrText>
        </w:r>
        <w:r w:rsidR="00D6698F">
          <w:rPr>
            <w:webHidden/>
          </w:rPr>
        </w:r>
        <w:r w:rsidR="00D6698F">
          <w:rPr>
            <w:webHidden/>
          </w:rPr>
          <w:fldChar w:fldCharType="separate"/>
        </w:r>
        <w:r w:rsidR="00C07DF9">
          <w:rPr>
            <w:webHidden/>
          </w:rPr>
          <w:t>4-75</w:t>
        </w:r>
        <w:r w:rsidR="00D6698F">
          <w:rPr>
            <w:webHidden/>
          </w:rPr>
          <w:fldChar w:fldCharType="end"/>
        </w:r>
      </w:hyperlink>
    </w:p>
    <w:p w14:paraId="68FAD017" w14:textId="6F0170E5" w:rsidR="00D6698F" w:rsidRDefault="00464453" w:rsidP="00D6698F">
      <w:pPr>
        <w:pStyle w:val="TOC2"/>
        <w:rPr>
          <w:rFonts w:asciiTheme="minorHAnsi" w:eastAsiaTheme="minorEastAsia" w:hAnsiTheme="minorHAnsi" w:cstheme="minorBidi"/>
          <w:sz w:val="22"/>
        </w:rPr>
      </w:pPr>
      <w:hyperlink w:anchor="_Toc118205709" w:history="1">
        <w:r w:rsidR="00D6698F" w:rsidRPr="00E92ABE">
          <w:rPr>
            <w:rStyle w:val="Hyperlink"/>
          </w:rPr>
          <w:t>4.9</w:t>
        </w:r>
        <w:r w:rsidR="00D6698F">
          <w:rPr>
            <w:rFonts w:asciiTheme="minorHAnsi" w:eastAsiaTheme="minorEastAsia" w:hAnsiTheme="minorHAnsi" w:cstheme="minorBidi"/>
            <w:sz w:val="22"/>
          </w:rPr>
          <w:tab/>
        </w:r>
        <w:r w:rsidR="00D6698F" w:rsidRPr="00E92ABE">
          <w:rPr>
            <w:rStyle w:val="Hyperlink"/>
          </w:rPr>
          <w:t>Micromobility Count Data Format (Fixed Width Or Pipe Delimited)</w:t>
        </w:r>
        <w:r w:rsidR="00D6698F">
          <w:rPr>
            <w:webHidden/>
          </w:rPr>
          <w:tab/>
        </w:r>
        <w:r w:rsidR="00D6698F">
          <w:rPr>
            <w:webHidden/>
          </w:rPr>
          <w:fldChar w:fldCharType="begin"/>
        </w:r>
        <w:r w:rsidR="00D6698F">
          <w:rPr>
            <w:webHidden/>
          </w:rPr>
          <w:instrText xml:space="preserve"> PAGEREF _Toc118205709 \h </w:instrText>
        </w:r>
        <w:r w:rsidR="00D6698F">
          <w:rPr>
            <w:webHidden/>
          </w:rPr>
        </w:r>
        <w:r w:rsidR="00D6698F">
          <w:rPr>
            <w:webHidden/>
          </w:rPr>
          <w:fldChar w:fldCharType="separate"/>
        </w:r>
        <w:r w:rsidR="00C07DF9">
          <w:rPr>
            <w:webHidden/>
          </w:rPr>
          <w:t>4-85</w:t>
        </w:r>
        <w:r w:rsidR="00D6698F">
          <w:rPr>
            <w:webHidden/>
          </w:rPr>
          <w:fldChar w:fldCharType="end"/>
        </w:r>
      </w:hyperlink>
    </w:p>
    <w:p w14:paraId="790E0028" w14:textId="132846DF" w:rsidR="00D6698F" w:rsidRDefault="00464453">
      <w:pPr>
        <w:pStyle w:val="TOC1"/>
        <w:rPr>
          <w:rFonts w:asciiTheme="minorHAnsi" w:eastAsiaTheme="minorEastAsia" w:hAnsiTheme="minorHAnsi" w:cstheme="minorBidi"/>
          <w:b w:val="0"/>
          <w:color w:val="auto"/>
          <w:sz w:val="22"/>
          <w:szCs w:val="22"/>
        </w:rPr>
      </w:pPr>
      <w:hyperlink w:anchor="_Toc118205710" w:history="1">
        <w:r w:rsidR="00D6698F" w:rsidRPr="00E92ABE">
          <w:rPr>
            <w:rStyle w:val="Hyperlink"/>
          </w:rPr>
          <w:t>Chapter 5.</w:t>
        </w:r>
        <w:r w:rsidR="00D6698F">
          <w:rPr>
            <w:rFonts w:asciiTheme="minorHAnsi" w:eastAsiaTheme="minorEastAsia" w:hAnsiTheme="minorHAnsi" w:cstheme="minorBidi"/>
            <w:b w:val="0"/>
            <w:color w:val="auto"/>
            <w:sz w:val="22"/>
            <w:szCs w:val="22"/>
          </w:rPr>
          <w:tab/>
        </w:r>
        <w:r w:rsidR="00D6698F" w:rsidRPr="00E92ABE">
          <w:rPr>
            <w:rStyle w:val="Hyperlink"/>
          </w:rPr>
          <w:t>Federal Data Reporting Requirements and Tools: HPMS and TMAS</w:t>
        </w:r>
        <w:r w:rsidR="00D6698F">
          <w:rPr>
            <w:webHidden/>
          </w:rPr>
          <w:tab/>
        </w:r>
        <w:r w:rsidR="00D6698F">
          <w:rPr>
            <w:webHidden/>
          </w:rPr>
          <w:fldChar w:fldCharType="begin"/>
        </w:r>
        <w:r w:rsidR="00D6698F">
          <w:rPr>
            <w:webHidden/>
          </w:rPr>
          <w:instrText xml:space="preserve"> PAGEREF _Toc118205710 \h </w:instrText>
        </w:r>
        <w:r w:rsidR="00D6698F">
          <w:rPr>
            <w:webHidden/>
          </w:rPr>
        </w:r>
        <w:r w:rsidR="00D6698F">
          <w:rPr>
            <w:webHidden/>
          </w:rPr>
          <w:fldChar w:fldCharType="separate"/>
        </w:r>
        <w:r w:rsidR="00C07DF9">
          <w:rPr>
            <w:webHidden/>
          </w:rPr>
          <w:t>5-1</w:t>
        </w:r>
        <w:r w:rsidR="00D6698F">
          <w:rPr>
            <w:webHidden/>
          </w:rPr>
          <w:fldChar w:fldCharType="end"/>
        </w:r>
      </w:hyperlink>
    </w:p>
    <w:p w14:paraId="2928FDC3" w14:textId="403A364D" w:rsidR="00D6698F" w:rsidRDefault="00464453" w:rsidP="00D6698F">
      <w:pPr>
        <w:pStyle w:val="TOC2"/>
        <w:rPr>
          <w:rFonts w:asciiTheme="minorHAnsi" w:eastAsiaTheme="minorEastAsia" w:hAnsiTheme="minorHAnsi" w:cstheme="minorBidi"/>
          <w:sz w:val="22"/>
        </w:rPr>
      </w:pPr>
      <w:hyperlink w:anchor="_Toc118205711" w:history="1">
        <w:r w:rsidR="00D6698F" w:rsidRPr="00E92ABE">
          <w:rPr>
            <w:rStyle w:val="Hyperlink"/>
          </w:rPr>
          <w:t>5.1</w:t>
        </w:r>
        <w:r w:rsidR="00D6698F">
          <w:rPr>
            <w:rFonts w:asciiTheme="minorHAnsi" w:eastAsiaTheme="minorEastAsia" w:hAnsiTheme="minorHAnsi" w:cstheme="minorBidi"/>
            <w:sz w:val="22"/>
          </w:rPr>
          <w:tab/>
        </w:r>
        <w:r w:rsidR="00D6698F" w:rsidRPr="00E92ABE">
          <w:rPr>
            <w:rStyle w:val="Hyperlink"/>
          </w:rPr>
          <w:t>Highway Performance Monitoring System (HPMS) Requirements For Traffic Data</w:t>
        </w:r>
        <w:r w:rsidR="00D6698F">
          <w:rPr>
            <w:webHidden/>
          </w:rPr>
          <w:tab/>
        </w:r>
        <w:r w:rsidR="00D6698F">
          <w:rPr>
            <w:webHidden/>
          </w:rPr>
          <w:fldChar w:fldCharType="begin"/>
        </w:r>
        <w:r w:rsidR="00D6698F">
          <w:rPr>
            <w:webHidden/>
          </w:rPr>
          <w:instrText xml:space="preserve"> PAGEREF _Toc118205711 \h </w:instrText>
        </w:r>
        <w:r w:rsidR="00D6698F">
          <w:rPr>
            <w:webHidden/>
          </w:rPr>
        </w:r>
        <w:r w:rsidR="00D6698F">
          <w:rPr>
            <w:webHidden/>
          </w:rPr>
          <w:fldChar w:fldCharType="separate"/>
        </w:r>
        <w:r w:rsidR="00C07DF9">
          <w:rPr>
            <w:webHidden/>
          </w:rPr>
          <w:t>5-1</w:t>
        </w:r>
        <w:r w:rsidR="00D6698F">
          <w:rPr>
            <w:webHidden/>
          </w:rPr>
          <w:fldChar w:fldCharType="end"/>
        </w:r>
      </w:hyperlink>
    </w:p>
    <w:p w14:paraId="249BE5CD" w14:textId="1C9AC640" w:rsidR="00D6698F" w:rsidRDefault="00464453" w:rsidP="00D6698F">
      <w:pPr>
        <w:pStyle w:val="TOC2"/>
        <w:rPr>
          <w:rFonts w:asciiTheme="minorHAnsi" w:eastAsiaTheme="minorEastAsia" w:hAnsiTheme="minorHAnsi" w:cstheme="minorBidi"/>
          <w:sz w:val="22"/>
        </w:rPr>
      </w:pPr>
      <w:hyperlink w:anchor="_Toc118205712" w:history="1">
        <w:r w:rsidR="00D6698F" w:rsidRPr="00E92ABE">
          <w:rPr>
            <w:rStyle w:val="Hyperlink"/>
          </w:rPr>
          <w:t>5.2</w:t>
        </w:r>
        <w:r w:rsidR="00D6698F">
          <w:rPr>
            <w:rFonts w:asciiTheme="minorHAnsi" w:eastAsiaTheme="minorEastAsia" w:hAnsiTheme="minorHAnsi" w:cstheme="minorBidi"/>
            <w:sz w:val="22"/>
          </w:rPr>
          <w:tab/>
        </w:r>
        <w:r w:rsidR="00D6698F" w:rsidRPr="00E92ABE">
          <w:rPr>
            <w:rStyle w:val="Hyperlink"/>
          </w:rPr>
          <w:t>HPMS Requirements</w:t>
        </w:r>
        <w:r w:rsidR="00D6698F">
          <w:rPr>
            <w:webHidden/>
          </w:rPr>
          <w:tab/>
        </w:r>
        <w:r w:rsidR="00D6698F">
          <w:rPr>
            <w:webHidden/>
          </w:rPr>
          <w:fldChar w:fldCharType="begin"/>
        </w:r>
        <w:r w:rsidR="00D6698F">
          <w:rPr>
            <w:webHidden/>
          </w:rPr>
          <w:instrText xml:space="preserve"> PAGEREF _Toc118205712 \h </w:instrText>
        </w:r>
        <w:r w:rsidR="00D6698F">
          <w:rPr>
            <w:webHidden/>
          </w:rPr>
        </w:r>
        <w:r w:rsidR="00D6698F">
          <w:rPr>
            <w:webHidden/>
          </w:rPr>
          <w:fldChar w:fldCharType="separate"/>
        </w:r>
        <w:r w:rsidR="00C07DF9">
          <w:rPr>
            <w:webHidden/>
          </w:rPr>
          <w:t>5-3</w:t>
        </w:r>
        <w:r w:rsidR="00D6698F">
          <w:rPr>
            <w:webHidden/>
          </w:rPr>
          <w:fldChar w:fldCharType="end"/>
        </w:r>
      </w:hyperlink>
    </w:p>
    <w:p w14:paraId="0BCBB9A6" w14:textId="1EBA3101" w:rsidR="00D6698F" w:rsidRDefault="00464453">
      <w:pPr>
        <w:pStyle w:val="TOC3"/>
        <w:tabs>
          <w:tab w:val="left" w:pos="2016"/>
        </w:tabs>
        <w:rPr>
          <w:rFonts w:asciiTheme="minorHAnsi" w:eastAsiaTheme="minorEastAsia" w:hAnsiTheme="minorHAnsi" w:cstheme="minorBidi"/>
          <w:color w:val="auto"/>
          <w:sz w:val="22"/>
          <w:szCs w:val="22"/>
        </w:rPr>
      </w:pPr>
      <w:hyperlink w:anchor="_Toc118205713" w:history="1">
        <w:r w:rsidR="00D6698F" w:rsidRPr="00E92ABE">
          <w:rPr>
            <w:rStyle w:val="Hyperlink"/>
          </w:rPr>
          <w:t>5.2.1</w:t>
        </w:r>
        <w:r w:rsidR="00D6698F">
          <w:rPr>
            <w:rFonts w:asciiTheme="minorHAnsi" w:eastAsiaTheme="minorEastAsia" w:hAnsiTheme="minorHAnsi" w:cstheme="minorBidi"/>
            <w:color w:val="auto"/>
            <w:sz w:val="22"/>
            <w:szCs w:val="22"/>
          </w:rPr>
          <w:tab/>
        </w:r>
        <w:r w:rsidR="00D6698F" w:rsidRPr="00E92ABE">
          <w:rPr>
            <w:rStyle w:val="Hyperlink"/>
          </w:rPr>
          <w:t>HPMS Data Model</w:t>
        </w:r>
        <w:r w:rsidR="00D6698F">
          <w:rPr>
            <w:webHidden/>
          </w:rPr>
          <w:tab/>
        </w:r>
        <w:r w:rsidR="00D6698F">
          <w:rPr>
            <w:webHidden/>
          </w:rPr>
          <w:fldChar w:fldCharType="begin"/>
        </w:r>
        <w:r w:rsidR="00D6698F">
          <w:rPr>
            <w:webHidden/>
          </w:rPr>
          <w:instrText xml:space="preserve"> PAGEREF _Toc118205713 \h </w:instrText>
        </w:r>
        <w:r w:rsidR="00D6698F">
          <w:rPr>
            <w:webHidden/>
          </w:rPr>
        </w:r>
        <w:r w:rsidR="00D6698F">
          <w:rPr>
            <w:webHidden/>
          </w:rPr>
          <w:fldChar w:fldCharType="separate"/>
        </w:r>
        <w:r w:rsidR="00C07DF9">
          <w:rPr>
            <w:webHidden/>
          </w:rPr>
          <w:t>5-3</w:t>
        </w:r>
        <w:r w:rsidR="00D6698F">
          <w:rPr>
            <w:webHidden/>
          </w:rPr>
          <w:fldChar w:fldCharType="end"/>
        </w:r>
      </w:hyperlink>
    </w:p>
    <w:p w14:paraId="219DD66B" w14:textId="6BD760D2" w:rsidR="00D6698F" w:rsidRDefault="00464453">
      <w:pPr>
        <w:pStyle w:val="TOC3"/>
        <w:tabs>
          <w:tab w:val="left" w:pos="2016"/>
        </w:tabs>
        <w:rPr>
          <w:rFonts w:asciiTheme="minorHAnsi" w:eastAsiaTheme="minorEastAsia" w:hAnsiTheme="minorHAnsi" w:cstheme="minorBidi"/>
          <w:color w:val="auto"/>
          <w:sz w:val="22"/>
          <w:szCs w:val="22"/>
        </w:rPr>
      </w:pPr>
      <w:hyperlink w:anchor="_Toc118205714" w:history="1">
        <w:r w:rsidR="00D6698F" w:rsidRPr="00E92ABE">
          <w:rPr>
            <w:rStyle w:val="Hyperlink"/>
          </w:rPr>
          <w:t>5.2.2</w:t>
        </w:r>
        <w:r w:rsidR="00D6698F">
          <w:rPr>
            <w:rFonts w:asciiTheme="minorHAnsi" w:eastAsiaTheme="minorEastAsia" w:hAnsiTheme="minorHAnsi" w:cstheme="minorBidi"/>
            <w:color w:val="auto"/>
            <w:sz w:val="22"/>
            <w:szCs w:val="22"/>
          </w:rPr>
          <w:tab/>
        </w:r>
        <w:r w:rsidR="00D6698F" w:rsidRPr="00E92ABE">
          <w:rPr>
            <w:rStyle w:val="Hyperlink"/>
          </w:rPr>
          <w:t>AADT Reporting on Mainlines and Ramps</w:t>
        </w:r>
        <w:r w:rsidR="00D6698F">
          <w:rPr>
            <w:webHidden/>
          </w:rPr>
          <w:tab/>
        </w:r>
        <w:r w:rsidR="00D6698F">
          <w:rPr>
            <w:webHidden/>
          </w:rPr>
          <w:fldChar w:fldCharType="begin"/>
        </w:r>
        <w:r w:rsidR="00D6698F">
          <w:rPr>
            <w:webHidden/>
          </w:rPr>
          <w:instrText xml:space="preserve"> PAGEREF _Toc118205714 \h </w:instrText>
        </w:r>
        <w:r w:rsidR="00D6698F">
          <w:rPr>
            <w:webHidden/>
          </w:rPr>
        </w:r>
        <w:r w:rsidR="00D6698F">
          <w:rPr>
            <w:webHidden/>
          </w:rPr>
          <w:fldChar w:fldCharType="separate"/>
        </w:r>
        <w:r w:rsidR="00C07DF9">
          <w:rPr>
            <w:webHidden/>
          </w:rPr>
          <w:t>5-4</w:t>
        </w:r>
        <w:r w:rsidR="00D6698F">
          <w:rPr>
            <w:webHidden/>
          </w:rPr>
          <w:fldChar w:fldCharType="end"/>
        </w:r>
      </w:hyperlink>
    </w:p>
    <w:p w14:paraId="3F379ACB" w14:textId="357BD98D" w:rsidR="00D6698F" w:rsidRDefault="00464453">
      <w:pPr>
        <w:pStyle w:val="TOC3"/>
        <w:tabs>
          <w:tab w:val="left" w:pos="2016"/>
        </w:tabs>
        <w:rPr>
          <w:rFonts w:asciiTheme="minorHAnsi" w:eastAsiaTheme="minorEastAsia" w:hAnsiTheme="minorHAnsi" w:cstheme="minorBidi"/>
          <w:color w:val="auto"/>
          <w:sz w:val="22"/>
          <w:szCs w:val="22"/>
        </w:rPr>
      </w:pPr>
      <w:hyperlink w:anchor="_Toc118205715" w:history="1">
        <w:r w:rsidR="00D6698F" w:rsidRPr="00E92ABE">
          <w:rPr>
            <w:rStyle w:val="Hyperlink"/>
          </w:rPr>
          <w:t>5.2.3</w:t>
        </w:r>
        <w:r w:rsidR="00D6698F">
          <w:rPr>
            <w:rFonts w:asciiTheme="minorHAnsi" w:eastAsiaTheme="minorEastAsia" w:hAnsiTheme="minorHAnsi" w:cstheme="minorBidi"/>
            <w:color w:val="auto"/>
            <w:sz w:val="22"/>
            <w:szCs w:val="22"/>
          </w:rPr>
          <w:tab/>
        </w:r>
        <w:r w:rsidR="00D6698F" w:rsidRPr="00E92ABE">
          <w:rPr>
            <w:rStyle w:val="Hyperlink"/>
          </w:rPr>
          <w:t>Rounding AADTs</w:t>
        </w:r>
        <w:r w:rsidR="00D6698F">
          <w:rPr>
            <w:webHidden/>
          </w:rPr>
          <w:tab/>
        </w:r>
        <w:r w:rsidR="00D6698F">
          <w:rPr>
            <w:webHidden/>
          </w:rPr>
          <w:fldChar w:fldCharType="begin"/>
        </w:r>
        <w:r w:rsidR="00D6698F">
          <w:rPr>
            <w:webHidden/>
          </w:rPr>
          <w:instrText xml:space="preserve"> PAGEREF _Toc118205715 \h </w:instrText>
        </w:r>
        <w:r w:rsidR="00D6698F">
          <w:rPr>
            <w:webHidden/>
          </w:rPr>
        </w:r>
        <w:r w:rsidR="00D6698F">
          <w:rPr>
            <w:webHidden/>
          </w:rPr>
          <w:fldChar w:fldCharType="separate"/>
        </w:r>
        <w:r w:rsidR="00C07DF9">
          <w:rPr>
            <w:webHidden/>
          </w:rPr>
          <w:t>5-6</w:t>
        </w:r>
        <w:r w:rsidR="00D6698F">
          <w:rPr>
            <w:webHidden/>
          </w:rPr>
          <w:fldChar w:fldCharType="end"/>
        </w:r>
      </w:hyperlink>
    </w:p>
    <w:p w14:paraId="533A2201" w14:textId="4857AC9D" w:rsidR="00D6698F" w:rsidRDefault="00464453">
      <w:pPr>
        <w:pStyle w:val="TOC3"/>
        <w:tabs>
          <w:tab w:val="left" w:pos="2016"/>
        </w:tabs>
        <w:rPr>
          <w:rFonts w:asciiTheme="minorHAnsi" w:eastAsiaTheme="minorEastAsia" w:hAnsiTheme="minorHAnsi" w:cstheme="minorBidi"/>
          <w:color w:val="auto"/>
          <w:sz w:val="22"/>
          <w:szCs w:val="22"/>
        </w:rPr>
      </w:pPr>
      <w:hyperlink w:anchor="_Toc118205716" w:history="1">
        <w:r w:rsidR="00D6698F" w:rsidRPr="00E92ABE">
          <w:rPr>
            <w:rStyle w:val="Hyperlink"/>
          </w:rPr>
          <w:t>5.2.4</w:t>
        </w:r>
        <w:r w:rsidR="00D6698F">
          <w:rPr>
            <w:rFonts w:asciiTheme="minorHAnsi" w:eastAsiaTheme="minorEastAsia" w:hAnsiTheme="minorHAnsi" w:cstheme="minorBidi"/>
            <w:color w:val="auto"/>
            <w:sz w:val="22"/>
            <w:szCs w:val="22"/>
          </w:rPr>
          <w:tab/>
        </w:r>
        <w:r w:rsidR="00D6698F" w:rsidRPr="00E92ABE">
          <w:rPr>
            <w:rStyle w:val="Hyperlink"/>
          </w:rPr>
          <w:t>Motorcycle Counts</w:t>
        </w:r>
        <w:r w:rsidR="00D6698F">
          <w:rPr>
            <w:webHidden/>
          </w:rPr>
          <w:tab/>
        </w:r>
        <w:r w:rsidR="00D6698F">
          <w:rPr>
            <w:webHidden/>
          </w:rPr>
          <w:fldChar w:fldCharType="begin"/>
        </w:r>
        <w:r w:rsidR="00D6698F">
          <w:rPr>
            <w:webHidden/>
          </w:rPr>
          <w:instrText xml:space="preserve"> PAGEREF _Toc118205716 \h </w:instrText>
        </w:r>
        <w:r w:rsidR="00D6698F">
          <w:rPr>
            <w:webHidden/>
          </w:rPr>
        </w:r>
        <w:r w:rsidR="00D6698F">
          <w:rPr>
            <w:webHidden/>
          </w:rPr>
          <w:fldChar w:fldCharType="separate"/>
        </w:r>
        <w:r w:rsidR="00C07DF9">
          <w:rPr>
            <w:webHidden/>
          </w:rPr>
          <w:t>5-7</w:t>
        </w:r>
        <w:r w:rsidR="00D6698F">
          <w:rPr>
            <w:webHidden/>
          </w:rPr>
          <w:fldChar w:fldCharType="end"/>
        </w:r>
      </w:hyperlink>
    </w:p>
    <w:p w14:paraId="78376C68" w14:textId="59AA823E" w:rsidR="00D6698F" w:rsidRDefault="00464453">
      <w:pPr>
        <w:pStyle w:val="TOC3"/>
        <w:tabs>
          <w:tab w:val="left" w:pos="2016"/>
        </w:tabs>
        <w:rPr>
          <w:rFonts w:asciiTheme="minorHAnsi" w:eastAsiaTheme="minorEastAsia" w:hAnsiTheme="minorHAnsi" w:cstheme="minorBidi"/>
          <w:color w:val="auto"/>
          <w:sz w:val="22"/>
          <w:szCs w:val="22"/>
        </w:rPr>
      </w:pPr>
      <w:hyperlink w:anchor="_Toc118205717" w:history="1">
        <w:r w:rsidR="00D6698F" w:rsidRPr="00E92ABE">
          <w:rPr>
            <w:rStyle w:val="Hyperlink"/>
          </w:rPr>
          <w:t>5.2.5</w:t>
        </w:r>
        <w:r w:rsidR="00D6698F">
          <w:rPr>
            <w:rFonts w:asciiTheme="minorHAnsi" w:eastAsiaTheme="minorEastAsia" w:hAnsiTheme="minorHAnsi" w:cstheme="minorBidi"/>
            <w:color w:val="auto"/>
            <w:sz w:val="22"/>
            <w:szCs w:val="22"/>
          </w:rPr>
          <w:tab/>
        </w:r>
        <w:r w:rsidR="00D6698F" w:rsidRPr="00E92ABE">
          <w:rPr>
            <w:rStyle w:val="Hyperlink"/>
          </w:rPr>
          <w:t>Vehicle Classification Counts</w:t>
        </w:r>
        <w:r w:rsidR="00D6698F">
          <w:rPr>
            <w:webHidden/>
          </w:rPr>
          <w:tab/>
        </w:r>
        <w:r w:rsidR="00D6698F">
          <w:rPr>
            <w:webHidden/>
          </w:rPr>
          <w:fldChar w:fldCharType="begin"/>
        </w:r>
        <w:r w:rsidR="00D6698F">
          <w:rPr>
            <w:webHidden/>
          </w:rPr>
          <w:instrText xml:space="preserve"> PAGEREF _Toc118205717 \h </w:instrText>
        </w:r>
        <w:r w:rsidR="00D6698F">
          <w:rPr>
            <w:webHidden/>
          </w:rPr>
        </w:r>
        <w:r w:rsidR="00D6698F">
          <w:rPr>
            <w:webHidden/>
          </w:rPr>
          <w:fldChar w:fldCharType="separate"/>
        </w:r>
        <w:r w:rsidR="00C07DF9">
          <w:rPr>
            <w:webHidden/>
          </w:rPr>
          <w:t>5-7</w:t>
        </w:r>
        <w:r w:rsidR="00D6698F">
          <w:rPr>
            <w:webHidden/>
          </w:rPr>
          <w:fldChar w:fldCharType="end"/>
        </w:r>
      </w:hyperlink>
    </w:p>
    <w:p w14:paraId="0146CF24" w14:textId="4F29BF37" w:rsidR="00D6698F" w:rsidRDefault="00464453">
      <w:pPr>
        <w:pStyle w:val="TOC3"/>
        <w:tabs>
          <w:tab w:val="left" w:pos="2016"/>
        </w:tabs>
        <w:rPr>
          <w:rFonts w:asciiTheme="minorHAnsi" w:eastAsiaTheme="minorEastAsia" w:hAnsiTheme="minorHAnsi" w:cstheme="minorBidi"/>
          <w:color w:val="auto"/>
          <w:sz w:val="22"/>
          <w:szCs w:val="22"/>
        </w:rPr>
      </w:pPr>
      <w:hyperlink w:anchor="_Toc118205718" w:history="1">
        <w:r w:rsidR="00D6698F" w:rsidRPr="00E92ABE">
          <w:rPr>
            <w:rStyle w:val="Hyperlink"/>
          </w:rPr>
          <w:t>5.2.6</w:t>
        </w:r>
        <w:r w:rsidR="00D6698F">
          <w:rPr>
            <w:rFonts w:asciiTheme="minorHAnsi" w:eastAsiaTheme="minorEastAsia" w:hAnsiTheme="minorHAnsi" w:cstheme="minorBidi"/>
            <w:color w:val="auto"/>
            <w:sz w:val="22"/>
            <w:szCs w:val="22"/>
          </w:rPr>
          <w:tab/>
        </w:r>
        <w:r w:rsidR="00D6698F" w:rsidRPr="00E92ABE">
          <w:rPr>
            <w:rStyle w:val="Hyperlink"/>
          </w:rPr>
          <w:t>Truck AADT</w:t>
        </w:r>
        <w:r w:rsidR="00D6698F">
          <w:rPr>
            <w:webHidden/>
          </w:rPr>
          <w:tab/>
        </w:r>
        <w:r w:rsidR="00D6698F">
          <w:rPr>
            <w:webHidden/>
          </w:rPr>
          <w:fldChar w:fldCharType="begin"/>
        </w:r>
        <w:r w:rsidR="00D6698F">
          <w:rPr>
            <w:webHidden/>
          </w:rPr>
          <w:instrText xml:space="preserve"> PAGEREF _Toc118205718 \h </w:instrText>
        </w:r>
        <w:r w:rsidR="00D6698F">
          <w:rPr>
            <w:webHidden/>
          </w:rPr>
        </w:r>
        <w:r w:rsidR="00D6698F">
          <w:rPr>
            <w:webHidden/>
          </w:rPr>
          <w:fldChar w:fldCharType="separate"/>
        </w:r>
        <w:r w:rsidR="00C07DF9">
          <w:rPr>
            <w:webHidden/>
          </w:rPr>
          <w:t>5-7</w:t>
        </w:r>
        <w:r w:rsidR="00D6698F">
          <w:rPr>
            <w:webHidden/>
          </w:rPr>
          <w:fldChar w:fldCharType="end"/>
        </w:r>
      </w:hyperlink>
    </w:p>
    <w:p w14:paraId="14854736" w14:textId="51EFD48F" w:rsidR="00D6698F" w:rsidRDefault="00464453">
      <w:pPr>
        <w:pStyle w:val="TOC3"/>
        <w:tabs>
          <w:tab w:val="left" w:pos="2016"/>
        </w:tabs>
        <w:rPr>
          <w:rFonts w:asciiTheme="minorHAnsi" w:eastAsiaTheme="minorEastAsia" w:hAnsiTheme="minorHAnsi" w:cstheme="minorBidi"/>
          <w:color w:val="auto"/>
          <w:sz w:val="22"/>
          <w:szCs w:val="22"/>
        </w:rPr>
      </w:pPr>
      <w:hyperlink w:anchor="_Toc118205719" w:history="1">
        <w:r w:rsidR="00D6698F" w:rsidRPr="00E92ABE">
          <w:rPr>
            <w:rStyle w:val="Hyperlink"/>
          </w:rPr>
          <w:t>5.2.7</w:t>
        </w:r>
        <w:r w:rsidR="00D6698F">
          <w:rPr>
            <w:rFonts w:asciiTheme="minorHAnsi" w:eastAsiaTheme="minorEastAsia" w:hAnsiTheme="minorHAnsi" w:cstheme="minorBidi"/>
            <w:color w:val="auto"/>
            <w:sz w:val="22"/>
            <w:szCs w:val="22"/>
          </w:rPr>
          <w:tab/>
        </w:r>
        <w:r w:rsidR="00D6698F" w:rsidRPr="00E92ABE">
          <w:rPr>
            <w:rStyle w:val="Hyperlink"/>
          </w:rPr>
          <w:t>Estimates of Travel by Vehicle Type</w:t>
        </w:r>
        <w:r w:rsidR="00D6698F">
          <w:rPr>
            <w:webHidden/>
          </w:rPr>
          <w:tab/>
        </w:r>
        <w:r w:rsidR="00D6698F">
          <w:rPr>
            <w:webHidden/>
          </w:rPr>
          <w:fldChar w:fldCharType="begin"/>
        </w:r>
        <w:r w:rsidR="00D6698F">
          <w:rPr>
            <w:webHidden/>
          </w:rPr>
          <w:instrText xml:space="preserve"> PAGEREF _Toc118205719 \h </w:instrText>
        </w:r>
        <w:r w:rsidR="00D6698F">
          <w:rPr>
            <w:webHidden/>
          </w:rPr>
        </w:r>
        <w:r w:rsidR="00D6698F">
          <w:rPr>
            <w:webHidden/>
          </w:rPr>
          <w:fldChar w:fldCharType="separate"/>
        </w:r>
        <w:r w:rsidR="00C07DF9">
          <w:rPr>
            <w:webHidden/>
          </w:rPr>
          <w:t>5-7</w:t>
        </w:r>
        <w:r w:rsidR="00D6698F">
          <w:rPr>
            <w:webHidden/>
          </w:rPr>
          <w:fldChar w:fldCharType="end"/>
        </w:r>
      </w:hyperlink>
    </w:p>
    <w:p w14:paraId="58099FC2" w14:textId="4E22C05A" w:rsidR="00D6698F" w:rsidRDefault="00464453">
      <w:pPr>
        <w:pStyle w:val="TOC3"/>
        <w:tabs>
          <w:tab w:val="left" w:pos="2016"/>
        </w:tabs>
        <w:rPr>
          <w:rFonts w:asciiTheme="minorHAnsi" w:eastAsiaTheme="minorEastAsia" w:hAnsiTheme="minorHAnsi" w:cstheme="minorBidi"/>
          <w:color w:val="auto"/>
          <w:sz w:val="22"/>
          <w:szCs w:val="22"/>
        </w:rPr>
      </w:pPr>
      <w:hyperlink w:anchor="_Toc118205720" w:history="1">
        <w:r w:rsidR="00D6698F" w:rsidRPr="00E92ABE">
          <w:rPr>
            <w:rStyle w:val="Hyperlink"/>
          </w:rPr>
          <w:t>5.2.8</w:t>
        </w:r>
        <w:r w:rsidR="00D6698F">
          <w:rPr>
            <w:rFonts w:asciiTheme="minorHAnsi" w:eastAsiaTheme="minorEastAsia" w:hAnsiTheme="minorHAnsi" w:cstheme="minorBidi"/>
            <w:color w:val="auto"/>
            <w:sz w:val="22"/>
            <w:szCs w:val="22"/>
          </w:rPr>
          <w:tab/>
        </w:r>
        <w:r w:rsidR="00D6698F" w:rsidRPr="00E92ABE">
          <w:rPr>
            <w:rStyle w:val="Hyperlink"/>
          </w:rPr>
          <w:t>Volume Group Assignments</w:t>
        </w:r>
        <w:r w:rsidR="00D6698F">
          <w:rPr>
            <w:webHidden/>
          </w:rPr>
          <w:tab/>
        </w:r>
        <w:r w:rsidR="00D6698F">
          <w:rPr>
            <w:webHidden/>
          </w:rPr>
          <w:fldChar w:fldCharType="begin"/>
        </w:r>
        <w:r w:rsidR="00D6698F">
          <w:rPr>
            <w:webHidden/>
          </w:rPr>
          <w:instrText xml:space="preserve"> PAGEREF _Toc118205720 \h </w:instrText>
        </w:r>
        <w:r w:rsidR="00D6698F">
          <w:rPr>
            <w:webHidden/>
          </w:rPr>
        </w:r>
        <w:r w:rsidR="00D6698F">
          <w:rPr>
            <w:webHidden/>
          </w:rPr>
          <w:fldChar w:fldCharType="separate"/>
        </w:r>
        <w:r w:rsidR="00C07DF9">
          <w:rPr>
            <w:webHidden/>
          </w:rPr>
          <w:t>5-8</w:t>
        </w:r>
        <w:r w:rsidR="00D6698F">
          <w:rPr>
            <w:webHidden/>
          </w:rPr>
          <w:fldChar w:fldCharType="end"/>
        </w:r>
      </w:hyperlink>
    </w:p>
    <w:p w14:paraId="0442C337" w14:textId="2402171E" w:rsidR="00D6698F" w:rsidRDefault="00464453">
      <w:pPr>
        <w:pStyle w:val="TOC3"/>
        <w:tabs>
          <w:tab w:val="left" w:pos="2016"/>
        </w:tabs>
        <w:rPr>
          <w:rFonts w:asciiTheme="minorHAnsi" w:eastAsiaTheme="minorEastAsia" w:hAnsiTheme="minorHAnsi" w:cstheme="minorBidi"/>
          <w:color w:val="auto"/>
          <w:sz w:val="22"/>
          <w:szCs w:val="22"/>
        </w:rPr>
      </w:pPr>
      <w:hyperlink w:anchor="_Toc118205721" w:history="1">
        <w:r w:rsidR="00D6698F" w:rsidRPr="00E92ABE">
          <w:rPr>
            <w:rStyle w:val="Hyperlink"/>
          </w:rPr>
          <w:t>5.2.9</w:t>
        </w:r>
        <w:r w:rsidR="00D6698F">
          <w:rPr>
            <w:rFonts w:asciiTheme="minorHAnsi" w:eastAsiaTheme="minorEastAsia" w:hAnsiTheme="minorHAnsi" w:cstheme="minorBidi"/>
            <w:color w:val="auto"/>
            <w:sz w:val="22"/>
            <w:szCs w:val="22"/>
          </w:rPr>
          <w:tab/>
        </w:r>
        <w:r w:rsidR="00D6698F" w:rsidRPr="00E92ABE">
          <w:rPr>
            <w:rStyle w:val="Hyperlink"/>
          </w:rPr>
          <w:t>Traffic Metadata</w:t>
        </w:r>
        <w:r w:rsidR="00D6698F">
          <w:rPr>
            <w:webHidden/>
          </w:rPr>
          <w:tab/>
        </w:r>
        <w:r w:rsidR="00D6698F">
          <w:rPr>
            <w:webHidden/>
          </w:rPr>
          <w:fldChar w:fldCharType="begin"/>
        </w:r>
        <w:r w:rsidR="00D6698F">
          <w:rPr>
            <w:webHidden/>
          </w:rPr>
          <w:instrText xml:space="preserve"> PAGEREF _Toc118205721 \h </w:instrText>
        </w:r>
        <w:r w:rsidR="00D6698F">
          <w:rPr>
            <w:webHidden/>
          </w:rPr>
        </w:r>
        <w:r w:rsidR="00D6698F">
          <w:rPr>
            <w:webHidden/>
          </w:rPr>
          <w:fldChar w:fldCharType="separate"/>
        </w:r>
        <w:r w:rsidR="00C07DF9">
          <w:rPr>
            <w:webHidden/>
          </w:rPr>
          <w:t>5-8</w:t>
        </w:r>
        <w:r w:rsidR="00D6698F">
          <w:rPr>
            <w:webHidden/>
          </w:rPr>
          <w:fldChar w:fldCharType="end"/>
        </w:r>
      </w:hyperlink>
    </w:p>
    <w:p w14:paraId="1047B5CD" w14:textId="3A03C2A5" w:rsidR="00D6698F" w:rsidRDefault="00464453" w:rsidP="00D6698F">
      <w:pPr>
        <w:pStyle w:val="TOC2"/>
        <w:rPr>
          <w:rFonts w:asciiTheme="minorHAnsi" w:eastAsiaTheme="minorEastAsia" w:hAnsiTheme="minorHAnsi" w:cstheme="minorBidi"/>
          <w:sz w:val="22"/>
        </w:rPr>
      </w:pPr>
      <w:hyperlink w:anchor="_Toc118205722" w:history="1">
        <w:r w:rsidR="00D6698F" w:rsidRPr="00E92ABE">
          <w:rPr>
            <w:rStyle w:val="Hyperlink"/>
          </w:rPr>
          <w:t>5.3</w:t>
        </w:r>
        <w:r w:rsidR="00D6698F">
          <w:rPr>
            <w:rFonts w:asciiTheme="minorHAnsi" w:eastAsiaTheme="minorEastAsia" w:hAnsiTheme="minorHAnsi" w:cstheme="minorBidi"/>
            <w:sz w:val="22"/>
          </w:rPr>
          <w:tab/>
        </w:r>
        <w:r w:rsidR="00D6698F" w:rsidRPr="00E92ABE">
          <w:rPr>
            <w:rStyle w:val="Hyperlink"/>
          </w:rPr>
          <w:t>Guidelines for Collecting Traffic Data to Support HPMS</w:t>
        </w:r>
        <w:r w:rsidR="00D6698F">
          <w:rPr>
            <w:webHidden/>
          </w:rPr>
          <w:tab/>
        </w:r>
        <w:r w:rsidR="00D6698F">
          <w:rPr>
            <w:webHidden/>
          </w:rPr>
          <w:fldChar w:fldCharType="begin"/>
        </w:r>
        <w:r w:rsidR="00D6698F">
          <w:rPr>
            <w:webHidden/>
          </w:rPr>
          <w:instrText xml:space="preserve"> PAGEREF _Toc118205722 \h </w:instrText>
        </w:r>
        <w:r w:rsidR="00D6698F">
          <w:rPr>
            <w:webHidden/>
          </w:rPr>
        </w:r>
        <w:r w:rsidR="00D6698F">
          <w:rPr>
            <w:webHidden/>
          </w:rPr>
          <w:fldChar w:fldCharType="separate"/>
        </w:r>
        <w:r w:rsidR="00C07DF9">
          <w:rPr>
            <w:webHidden/>
          </w:rPr>
          <w:t>5-8</w:t>
        </w:r>
        <w:r w:rsidR="00D6698F">
          <w:rPr>
            <w:webHidden/>
          </w:rPr>
          <w:fldChar w:fldCharType="end"/>
        </w:r>
      </w:hyperlink>
    </w:p>
    <w:p w14:paraId="2A164261" w14:textId="102479F7" w:rsidR="00D6698F" w:rsidRDefault="00464453">
      <w:pPr>
        <w:pStyle w:val="TOC3"/>
        <w:tabs>
          <w:tab w:val="left" w:pos="2016"/>
        </w:tabs>
        <w:rPr>
          <w:rFonts w:asciiTheme="minorHAnsi" w:eastAsiaTheme="minorEastAsia" w:hAnsiTheme="minorHAnsi" w:cstheme="minorBidi"/>
          <w:color w:val="auto"/>
          <w:sz w:val="22"/>
          <w:szCs w:val="22"/>
        </w:rPr>
      </w:pPr>
      <w:hyperlink w:anchor="_Toc118205723" w:history="1">
        <w:r w:rsidR="00D6698F" w:rsidRPr="00E92ABE">
          <w:rPr>
            <w:rStyle w:val="Hyperlink"/>
          </w:rPr>
          <w:t>5.3.1</w:t>
        </w:r>
        <w:r w:rsidR="00D6698F">
          <w:rPr>
            <w:rFonts w:asciiTheme="minorHAnsi" w:eastAsiaTheme="minorEastAsia" w:hAnsiTheme="minorHAnsi" w:cstheme="minorBidi"/>
            <w:color w:val="auto"/>
            <w:sz w:val="22"/>
            <w:szCs w:val="22"/>
          </w:rPr>
          <w:tab/>
        </w:r>
        <w:r w:rsidR="00D6698F" w:rsidRPr="00E92ABE">
          <w:rPr>
            <w:rStyle w:val="Hyperlink"/>
          </w:rPr>
          <w:t>Permanent (Continuous) Counts</w:t>
        </w:r>
        <w:r w:rsidR="00D6698F">
          <w:rPr>
            <w:webHidden/>
          </w:rPr>
          <w:tab/>
        </w:r>
        <w:r w:rsidR="00D6698F">
          <w:rPr>
            <w:webHidden/>
          </w:rPr>
          <w:fldChar w:fldCharType="begin"/>
        </w:r>
        <w:r w:rsidR="00D6698F">
          <w:rPr>
            <w:webHidden/>
          </w:rPr>
          <w:instrText xml:space="preserve"> PAGEREF _Toc118205723 \h </w:instrText>
        </w:r>
        <w:r w:rsidR="00D6698F">
          <w:rPr>
            <w:webHidden/>
          </w:rPr>
        </w:r>
        <w:r w:rsidR="00D6698F">
          <w:rPr>
            <w:webHidden/>
          </w:rPr>
          <w:fldChar w:fldCharType="separate"/>
        </w:r>
        <w:r w:rsidR="00C07DF9">
          <w:rPr>
            <w:webHidden/>
          </w:rPr>
          <w:t>5-9</w:t>
        </w:r>
        <w:r w:rsidR="00D6698F">
          <w:rPr>
            <w:webHidden/>
          </w:rPr>
          <w:fldChar w:fldCharType="end"/>
        </w:r>
      </w:hyperlink>
    </w:p>
    <w:p w14:paraId="32FD52F7" w14:textId="5334527F" w:rsidR="00D6698F" w:rsidRDefault="00464453">
      <w:pPr>
        <w:pStyle w:val="TOC3"/>
        <w:tabs>
          <w:tab w:val="left" w:pos="2016"/>
        </w:tabs>
        <w:rPr>
          <w:rFonts w:asciiTheme="minorHAnsi" w:eastAsiaTheme="minorEastAsia" w:hAnsiTheme="minorHAnsi" w:cstheme="minorBidi"/>
          <w:color w:val="auto"/>
          <w:sz w:val="22"/>
          <w:szCs w:val="22"/>
        </w:rPr>
      </w:pPr>
      <w:hyperlink w:anchor="_Toc118205724" w:history="1">
        <w:r w:rsidR="00D6698F" w:rsidRPr="00E92ABE">
          <w:rPr>
            <w:rStyle w:val="Hyperlink"/>
          </w:rPr>
          <w:t>5.3.2</w:t>
        </w:r>
        <w:r w:rsidR="00D6698F">
          <w:rPr>
            <w:rFonts w:asciiTheme="minorHAnsi" w:eastAsiaTheme="minorEastAsia" w:hAnsiTheme="minorHAnsi" w:cstheme="minorBidi"/>
            <w:color w:val="auto"/>
            <w:sz w:val="22"/>
            <w:szCs w:val="22"/>
          </w:rPr>
          <w:tab/>
        </w:r>
        <w:r w:rsidR="00D6698F" w:rsidRPr="00E92ABE">
          <w:rPr>
            <w:rStyle w:val="Hyperlink"/>
          </w:rPr>
          <w:t>Short-Term Counts</w:t>
        </w:r>
        <w:r w:rsidR="00D6698F">
          <w:rPr>
            <w:webHidden/>
          </w:rPr>
          <w:tab/>
        </w:r>
        <w:r w:rsidR="00D6698F">
          <w:rPr>
            <w:webHidden/>
          </w:rPr>
          <w:fldChar w:fldCharType="begin"/>
        </w:r>
        <w:r w:rsidR="00D6698F">
          <w:rPr>
            <w:webHidden/>
          </w:rPr>
          <w:instrText xml:space="preserve"> PAGEREF _Toc118205724 \h </w:instrText>
        </w:r>
        <w:r w:rsidR="00D6698F">
          <w:rPr>
            <w:webHidden/>
          </w:rPr>
        </w:r>
        <w:r w:rsidR="00D6698F">
          <w:rPr>
            <w:webHidden/>
          </w:rPr>
          <w:fldChar w:fldCharType="separate"/>
        </w:r>
        <w:r w:rsidR="00C07DF9">
          <w:rPr>
            <w:webHidden/>
          </w:rPr>
          <w:t>5-9</w:t>
        </w:r>
        <w:r w:rsidR="00D6698F">
          <w:rPr>
            <w:webHidden/>
          </w:rPr>
          <w:fldChar w:fldCharType="end"/>
        </w:r>
      </w:hyperlink>
    </w:p>
    <w:p w14:paraId="3B648B66" w14:textId="794F76E9" w:rsidR="00D6698F" w:rsidRDefault="00464453">
      <w:pPr>
        <w:pStyle w:val="TOC3"/>
        <w:tabs>
          <w:tab w:val="left" w:pos="2016"/>
        </w:tabs>
        <w:rPr>
          <w:rFonts w:asciiTheme="minorHAnsi" w:eastAsiaTheme="minorEastAsia" w:hAnsiTheme="minorHAnsi" w:cstheme="minorBidi"/>
          <w:color w:val="auto"/>
          <w:sz w:val="22"/>
          <w:szCs w:val="22"/>
        </w:rPr>
      </w:pPr>
      <w:hyperlink w:anchor="_Toc118205725" w:history="1">
        <w:r w:rsidR="00D6698F" w:rsidRPr="00E92ABE">
          <w:rPr>
            <w:rStyle w:val="Hyperlink"/>
          </w:rPr>
          <w:t>5.3.3</w:t>
        </w:r>
        <w:r w:rsidR="00D6698F">
          <w:rPr>
            <w:rFonts w:asciiTheme="minorHAnsi" w:eastAsiaTheme="minorEastAsia" w:hAnsiTheme="minorHAnsi" w:cstheme="minorBidi"/>
            <w:color w:val="auto"/>
            <w:sz w:val="22"/>
            <w:szCs w:val="22"/>
          </w:rPr>
          <w:tab/>
        </w:r>
        <w:r w:rsidR="00D6698F" w:rsidRPr="00E92ABE">
          <w:rPr>
            <w:rStyle w:val="Hyperlink"/>
          </w:rPr>
          <w:t>Ramp Counts</w:t>
        </w:r>
        <w:r w:rsidR="00D6698F">
          <w:rPr>
            <w:webHidden/>
          </w:rPr>
          <w:tab/>
        </w:r>
        <w:r w:rsidR="00D6698F">
          <w:rPr>
            <w:webHidden/>
          </w:rPr>
          <w:fldChar w:fldCharType="begin"/>
        </w:r>
        <w:r w:rsidR="00D6698F">
          <w:rPr>
            <w:webHidden/>
          </w:rPr>
          <w:instrText xml:space="preserve"> PAGEREF _Toc118205725 \h </w:instrText>
        </w:r>
        <w:r w:rsidR="00D6698F">
          <w:rPr>
            <w:webHidden/>
          </w:rPr>
        </w:r>
        <w:r w:rsidR="00D6698F">
          <w:rPr>
            <w:webHidden/>
          </w:rPr>
          <w:fldChar w:fldCharType="separate"/>
        </w:r>
        <w:r w:rsidR="00C07DF9">
          <w:rPr>
            <w:webHidden/>
          </w:rPr>
          <w:t>5-10</w:t>
        </w:r>
        <w:r w:rsidR="00D6698F">
          <w:rPr>
            <w:webHidden/>
          </w:rPr>
          <w:fldChar w:fldCharType="end"/>
        </w:r>
      </w:hyperlink>
    </w:p>
    <w:p w14:paraId="1B448E57" w14:textId="0B996831" w:rsidR="00D6698F" w:rsidRDefault="00464453">
      <w:pPr>
        <w:pStyle w:val="TOC3"/>
        <w:tabs>
          <w:tab w:val="left" w:pos="2016"/>
        </w:tabs>
        <w:rPr>
          <w:rFonts w:asciiTheme="minorHAnsi" w:eastAsiaTheme="minorEastAsia" w:hAnsiTheme="minorHAnsi" w:cstheme="minorBidi"/>
          <w:color w:val="auto"/>
          <w:sz w:val="22"/>
          <w:szCs w:val="22"/>
        </w:rPr>
      </w:pPr>
      <w:hyperlink w:anchor="_Toc118205726" w:history="1">
        <w:r w:rsidR="00D6698F" w:rsidRPr="00E92ABE">
          <w:rPr>
            <w:rStyle w:val="Hyperlink"/>
          </w:rPr>
          <w:t>5.3.4</w:t>
        </w:r>
        <w:r w:rsidR="00D6698F">
          <w:rPr>
            <w:rFonts w:asciiTheme="minorHAnsi" w:eastAsiaTheme="minorEastAsia" w:hAnsiTheme="minorHAnsi" w:cstheme="minorBidi"/>
            <w:color w:val="auto"/>
            <w:sz w:val="22"/>
            <w:szCs w:val="22"/>
          </w:rPr>
          <w:tab/>
        </w:r>
        <w:r w:rsidR="00D6698F" w:rsidRPr="00E92ABE">
          <w:rPr>
            <w:rStyle w:val="Hyperlink"/>
          </w:rPr>
          <w:t>Vehicle Classification Counts</w:t>
        </w:r>
        <w:r w:rsidR="00D6698F">
          <w:rPr>
            <w:webHidden/>
          </w:rPr>
          <w:tab/>
        </w:r>
        <w:r w:rsidR="00D6698F">
          <w:rPr>
            <w:webHidden/>
          </w:rPr>
          <w:fldChar w:fldCharType="begin"/>
        </w:r>
        <w:r w:rsidR="00D6698F">
          <w:rPr>
            <w:webHidden/>
          </w:rPr>
          <w:instrText xml:space="preserve"> PAGEREF _Toc118205726 \h </w:instrText>
        </w:r>
        <w:r w:rsidR="00D6698F">
          <w:rPr>
            <w:webHidden/>
          </w:rPr>
        </w:r>
        <w:r w:rsidR="00D6698F">
          <w:rPr>
            <w:webHidden/>
          </w:rPr>
          <w:fldChar w:fldCharType="separate"/>
        </w:r>
        <w:r w:rsidR="00C07DF9">
          <w:rPr>
            <w:webHidden/>
          </w:rPr>
          <w:t>5-10</w:t>
        </w:r>
        <w:r w:rsidR="00D6698F">
          <w:rPr>
            <w:webHidden/>
          </w:rPr>
          <w:fldChar w:fldCharType="end"/>
        </w:r>
      </w:hyperlink>
    </w:p>
    <w:p w14:paraId="3015619E" w14:textId="58110B23" w:rsidR="00D6698F" w:rsidRDefault="00464453">
      <w:pPr>
        <w:pStyle w:val="TOC3"/>
        <w:tabs>
          <w:tab w:val="left" w:pos="2016"/>
        </w:tabs>
        <w:rPr>
          <w:rFonts w:asciiTheme="minorHAnsi" w:eastAsiaTheme="minorEastAsia" w:hAnsiTheme="minorHAnsi" w:cstheme="minorBidi"/>
          <w:color w:val="auto"/>
          <w:sz w:val="22"/>
          <w:szCs w:val="22"/>
        </w:rPr>
      </w:pPr>
      <w:hyperlink w:anchor="_Toc118205727" w:history="1">
        <w:r w:rsidR="00D6698F" w:rsidRPr="00E92ABE">
          <w:rPr>
            <w:rStyle w:val="Hyperlink"/>
          </w:rPr>
          <w:t>5.3.5</w:t>
        </w:r>
        <w:r w:rsidR="00D6698F">
          <w:rPr>
            <w:rFonts w:asciiTheme="minorHAnsi" w:eastAsiaTheme="minorEastAsia" w:hAnsiTheme="minorHAnsi" w:cstheme="minorBidi"/>
            <w:color w:val="auto"/>
            <w:sz w:val="22"/>
            <w:szCs w:val="22"/>
          </w:rPr>
          <w:tab/>
        </w:r>
        <w:r w:rsidR="00D6698F" w:rsidRPr="00E92ABE">
          <w:rPr>
            <w:rStyle w:val="Hyperlink"/>
          </w:rPr>
          <w:t>Equipment Calibration</w:t>
        </w:r>
        <w:r w:rsidR="00D6698F">
          <w:rPr>
            <w:webHidden/>
          </w:rPr>
          <w:tab/>
        </w:r>
        <w:r w:rsidR="00D6698F">
          <w:rPr>
            <w:webHidden/>
          </w:rPr>
          <w:fldChar w:fldCharType="begin"/>
        </w:r>
        <w:r w:rsidR="00D6698F">
          <w:rPr>
            <w:webHidden/>
          </w:rPr>
          <w:instrText xml:space="preserve"> PAGEREF _Toc118205727 \h </w:instrText>
        </w:r>
        <w:r w:rsidR="00D6698F">
          <w:rPr>
            <w:webHidden/>
          </w:rPr>
        </w:r>
        <w:r w:rsidR="00D6698F">
          <w:rPr>
            <w:webHidden/>
          </w:rPr>
          <w:fldChar w:fldCharType="separate"/>
        </w:r>
        <w:r w:rsidR="00C07DF9">
          <w:rPr>
            <w:webHidden/>
          </w:rPr>
          <w:t>5-11</w:t>
        </w:r>
        <w:r w:rsidR="00D6698F">
          <w:rPr>
            <w:webHidden/>
          </w:rPr>
          <w:fldChar w:fldCharType="end"/>
        </w:r>
      </w:hyperlink>
    </w:p>
    <w:p w14:paraId="0CD279BF" w14:textId="77777777" w:rsidR="00D6698F" w:rsidRDefault="00D6698F">
      <w:pPr>
        <w:widowControl/>
        <w:suppressAutoHyphens w:val="0"/>
        <w:autoSpaceDE/>
        <w:autoSpaceDN/>
        <w:adjustRightInd/>
        <w:spacing w:after="160" w:line="259" w:lineRule="auto"/>
        <w:jc w:val="left"/>
        <w:textAlignment w:val="auto"/>
        <w:rPr>
          <w:rStyle w:val="Hyperlink"/>
          <w:rFonts w:eastAsiaTheme="minorHAnsi"/>
          <w:noProof/>
          <w:szCs w:val="22"/>
        </w:rPr>
      </w:pPr>
      <w:r>
        <w:rPr>
          <w:rStyle w:val="Hyperlink"/>
          <w:noProof/>
        </w:rPr>
        <w:br w:type="page"/>
      </w:r>
    </w:p>
    <w:p w14:paraId="3F4EC536" w14:textId="68722650" w:rsidR="00D6698F" w:rsidRDefault="00464453" w:rsidP="00D6698F">
      <w:pPr>
        <w:pStyle w:val="TOC2"/>
        <w:rPr>
          <w:rFonts w:asciiTheme="minorHAnsi" w:eastAsiaTheme="minorEastAsia" w:hAnsiTheme="minorHAnsi" w:cstheme="minorBidi"/>
          <w:sz w:val="22"/>
        </w:rPr>
      </w:pPr>
      <w:hyperlink w:anchor="_Toc118205728" w:history="1">
        <w:r w:rsidR="00D6698F" w:rsidRPr="00E92ABE">
          <w:rPr>
            <w:rStyle w:val="Hyperlink"/>
          </w:rPr>
          <w:t>5.4</w:t>
        </w:r>
        <w:r w:rsidR="00D6698F">
          <w:rPr>
            <w:rFonts w:asciiTheme="minorHAnsi" w:eastAsiaTheme="minorEastAsia" w:hAnsiTheme="minorHAnsi" w:cstheme="minorBidi"/>
            <w:sz w:val="22"/>
          </w:rPr>
          <w:tab/>
        </w:r>
        <w:r w:rsidR="00D6698F" w:rsidRPr="00E92ABE">
          <w:rPr>
            <w:rStyle w:val="Hyperlink"/>
          </w:rPr>
          <w:t>Calculation of Data Items</w:t>
        </w:r>
        <w:r w:rsidR="00D6698F">
          <w:rPr>
            <w:webHidden/>
          </w:rPr>
          <w:tab/>
        </w:r>
        <w:r w:rsidR="00D6698F">
          <w:rPr>
            <w:webHidden/>
          </w:rPr>
          <w:fldChar w:fldCharType="begin"/>
        </w:r>
        <w:r w:rsidR="00D6698F">
          <w:rPr>
            <w:webHidden/>
          </w:rPr>
          <w:instrText xml:space="preserve"> PAGEREF _Toc118205728 \h </w:instrText>
        </w:r>
        <w:r w:rsidR="00D6698F">
          <w:rPr>
            <w:webHidden/>
          </w:rPr>
        </w:r>
        <w:r w:rsidR="00D6698F">
          <w:rPr>
            <w:webHidden/>
          </w:rPr>
          <w:fldChar w:fldCharType="separate"/>
        </w:r>
        <w:r w:rsidR="00C07DF9">
          <w:rPr>
            <w:webHidden/>
          </w:rPr>
          <w:t>5-11</w:t>
        </w:r>
        <w:r w:rsidR="00D6698F">
          <w:rPr>
            <w:webHidden/>
          </w:rPr>
          <w:fldChar w:fldCharType="end"/>
        </w:r>
      </w:hyperlink>
    </w:p>
    <w:p w14:paraId="4BF08826" w14:textId="74D757A6" w:rsidR="00D6698F" w:rsidRDefault="00464453">
      <w:pPr>
        <w:pStyle w:val="TOC3"/>
        <w:tabs>
          <w:tab w:val="left" w:pos="2016"/>
        </w:tabs>
        <w:rPr>
          <w:rFonts w:asciiTheme="minorHAnsi" w:eastAsiaTheme="minorEastAsia" w:hAnsiTheme="minorHAnsi" w:cstheme="minorBidi"/>
          <w:color w:val="auto"/>
          <w:sz w:val="22"/>
          <w:szCs w:val="22"/>
        </w:rPr>
      </w:pPr>
      <w:hyperlink w:anchor="_Toc118205729" w:history="1">
        <w:r w:rsidR="00D6698F" w:rsidRPr="00E92ABE">
          <w:rPr>
            <w:rStyle w:val="Hyperlink"/>
          </w:rPr>
          <w:t>5.4.1</w:t>
        </w:r>
        <w:r w:rsidR="00D6698F">
          <w:rPr>
            <w:rFonts w:asciiTheme="minorHAnsi" w:eastAsiaTheme="minorEastAsia" w:hAnsiTheme="minorHAnsi" w:cstheme="minorBidi"/>
            <w:color w:val="auto"/>
            <w:sz w:val="22"/>
            <w:szCs w:val="22"/>
          </w:rPr>
          <w:tab/>
        </w:r>
        <w:r w:rsidR="00D6698F" w:rsidRPr="00E92ABE">
          <w:rPr>
            <w:rStyle w:val="Hyperlink"/>
          </w:rPr>
          <w:t>AADT</w:t>
        </w:r>
        <w:r w:rsidR="00D6698F">
          <w:rPr>
            <w:webHidden/>
          </w:rPr>
          <w:tab/>
        </w:r>
        <w:r w:rsidR="00D6698F">
          <w:rPr>
            <w:webHidden/>
          </w:rPr>
          <w:fldChar w:fldCharType="begin"/>
        </w:r>
        <w:r w:rsidR="00D6698F">
          <w:rPr>
            <w:webHidden/>
          </w:rPr>
          <w:instrText xml:space="preserve"> PAGEREF _Toc118205729 \h </w:instrText>
        </w:r>
        <w:r w:rsidR="00D6698F">
          <w:rPr>
            <w:webHidden/>
          </w:rPr>
        </w:r>
        <w:r w:rsidR="00D6698F">
          <w:rPr>
            <w:webHidden/>
          </w:rPr>
          <w:fldChar w:fldCharType="separate"/>
        </w:r>
        <w:r w:rsidR="00C07DF9">
          <w:rPr>
            <w:webHidden/>
          </w:rPr>
          <w:t>5-11</w:t>
        </w:r>
        <w:r w:rsidR="00D6698F">
          <w:rPr>
            <w:webHidden/>
          </w:rPr>
          <w:fldChar w:fldCharType="end"/>
        </w:r>
      </w:hyperlink>
    </w:p>
    <w:p w14:paraId="65A40A58" w14:textId="39F1D473" w:rsidR="00D6698F" w:rsidRDefault="00464453">
      <w:pPr>
        <w:pStyle w:val="TOC3"/>
        <w:tabs>
          <w:tab w:val="left" w:pos="2016"/>
        </w:tabs>
        <w:rPr>
          <w:rFonts w:asciiTheme="minorHAnsi" w:eastAsiaTheme="minorEastAsia" w:hAnsiTheme="minorHAnsi" w:cstheme="minorBidi"/>
          <w:color w:val="auto"/>
          <w:sz w:val="22"/>
          <w:szCs w:val="22"/>
        </w:rPr>
      </w:pPr>
      <w:hyperlink w:anchor="_Toc118205730" w:history="1">
        <w:r w:rsidR="00D6698F" w:rsidRPr="00E92ABE">
          <w:rPr>
            <w:rStyle w:val="Hyperlink"/>
          </w:rPr>
          <w:t>5.4.2</w:t>
        </w:r>
        <w:r w:rsidR="00D6698F">
          <w:rPr>
            <w:rFonts w:asciiTheme="minorHAnsi" w:eastAsiaTheme="minorEastAsia" w:hAnsiTheme="minorHAnsi" w:cstheme="minorBidi"/>
            <w:color w:val="auto"/>
            <w:sz w:val="22"/>
            <w:szCs w:val="22"/>
          </w:rPr>
          <w:tab/>
        </w:r>
        <w:r w:rsidR="00D6698F" w:rsidRPr="00E92ABE">
          <w:rPr>
            <w:rStyle w:val="Hyperlink"/>
          </w:rPr>
          <w:t>AADT_SINGLE_UNIT</w:t>
        </w:r>
        <w:r w:rsidR="00D6698F">
          <w:rPr>
            <w:webHidden/>
          </w:rPr>
          <w:tab/>
        </w:r>
        <w:r w:rsidR="00D6698F">
          <w:rPr>
            <w:webHidden/>
          </w:rPr>
          <w:fldChar w:fldCharType="begin"/>
        </w:r>
        <w:r w:rsidR="00D6698F">
          <w:rPr>
            <w:webHidden/>
          </w:rPr>
          <w:instrText xml:space="preserve"> PAGEREF _Toc118205730 \h </w:instrText>
        </w:r>
        <w:r w:rsidR="00D6698F">
          <w:rPr>
            <w:webHidden/>
          </w:rPr>
        </w:r>
        <w:r w:rsidR="00D6698F">
          <w:rPr>
            <w:webHidden/>
          </w:rPr>
          <w:fldChar w:fldCharType="separate"/>
        </w:r>
        <w:r w:rsidR="00C07DF9">
          <w:rPr>
            <w:webHidden/>
          </w:rPr>
          <w:t>5-11</w:t>
        </w:r>
        <w:r w:rsidR="00D6698F">
          <w:rPr>
            <w:webHidden/>
          </w:rPr>
          <w:fldChar w:fldCharType="end"/>
        </w:r>
      </w:hyperlink>
    </w:p>
    <w:p w14:paraId="612DCB6D" w14:textId="2EAEA394" w:rsidR="00D6698F" w:rsidRDefault="00464453">
      <w:pPr>
        <w:pStyle w:val="TOC3"/>
        <w:tabs>
          <w:tab w:val="left" w:pos="2016"/>
        </w:tabs>
        <w:rPr>
          <w:rFonts w:asciiTheme="minorHAnsi" w:eastAsiaTheme="minorEastAsia" w:hAnsiTheme="minorHAnsi" w:cstheme="minorBidi"/>
          <w:color w:val="auto"/>
          <w:sz w:val="22"/>
          <w:szCs w:val="22"/>
        </w:rPr>
      </w:pPr>
      <w:hyperlink w:anchor="_Toc118205731" w:history="1">
        <w:r w:rsidR="00D6698F" w:rsidRPr="00E92ABE">
          <w:rPr>
            <w:rStyle w:val="Hyperlink"/>
          </w:rPr>
          <w:t>5.4.3</w:t>
        </w:r>
        <w:r w:rsidR="00D6698F">
          <w:rPr>
            <w:rFonts w:asciiTheme="minorHAnsi" w:eastAsiaTheme="minorEastAsia" w:hAnsiTheme="minorHAnsi" w:cstheme="minorBidi"/>
            <w:color w:val="auto"/>
            <w:sz w:val="22"/>
            <w:szCs w:val="22"/>
          </w:rPr>
          <w:tab/>
        </w:r>
        <w:r w:rsidR="00D6698F" w:rsidRPr="00E92ABE">
          <w:rPr>
            <w:rStyle w:val="Hyperlink"/>
          </w:rPr>
          <w:t>PCT_DH_SINGLE_UNIT</w:t>
        </w:r>
        <w:r w:rsidR="00D6698F">
          <w:rPr>
            <w:webHidden/>
          </w:rPr>
          <w:tab/>
        </w:r>
        <w:r w:rsidR="00D6698F">
          <w:rPr>
            <w:webHidden/>
          </w:rPr>
          <w:fldChar w:fldCharType="begin"/>
        </w:r>
        <w:r w:rsidR="00D6698F">
          <w:rPr>
            <w:webHidden/>
          </w:rPr>
          <w:instrText xml:space="preserve"> PAGEREF _Toc118205731 \h </w:instrText>
        </w:r>
        <w:r w:rsidR="00D6698F">
          <w:rPr>
            <w:webHidden/>
          </w:rPr>
        </w:r>
        <w:r w:rsidR="00D6698F">
          <w:rPr>
            <w:webHidden/>
          </w:rPr>
          <w:fldChar w:fldCharType="separate"/>
        </w:r>
        <w:r w:rsidR="00C07DF9">
          <w:rPr>
            <w:webHidden/>
          </w:rPr>
          <w:t>5-11</w:t>
        </w:r>
        <w:r w:rsidR="00D6698F">
          <w:rPr>
            <w:webHidden/>
          </w:rPr>
          <w:fldChar w:fldCharType="end"/>
        </w:r>
      </w:hyperlink>
    </w:p>
    <w:p w14:paraId="34E1FF4C" w14:textId="6E9CC42E" w:rsidR="00D6698F" w:rsidRDefault="00464453">
      <w:pPr>
        <w:pStyle w:val="TOC3"/>
        <w:tabs>
          <w:tab w:val="left" w:pos="2016"/>
        </w:tabs>
        <w:rPr>
          <w:rFonts w:asciiTheme="minorHAnsi" w:eastAsiaTheme="minorEastAsia" w:hAnsiTheme="minorHAnsi" w:cstheme="minorBidi"/>
          <w:color w:val="auto"/>
          <w:sz w:val="22"/>
          <w:szCs w:val="22"/>
        </w:rPr>
      </w:pPr>
      <w:hyperlink w:anchor="_Toc118205732" w:history="1">
        <w:r w:rsidR="00D6698F" w:rsidRPr="00E92ABE">
          <w:rPr>
            <w:rStyle w:val="Hyperlink"/>
          </w:rPr>
          <w:t>5.4.4</w:t>
        </w:r>
        <w:r w:rsidR="00D6698F">
          <w:rPr>
            <w:rFonts w:asciiTheme="minorHAnsi" w:eastAsiaTheme="minorEastAsia" w:hAnsiTheme="minorHAnsi" w:cstheme="minorBidi"/>
            <w:color w:val="auto"/>
            <w:sz w:val="22"/>
            <w:szCs w:val="22"/>
          </w:rPr>
          <w:tab/>
        </w:r>
        <w:r w:rsidR="00D6698F" w:rsidRPr="00E92ABE">
          <w:rPr>
            <w:rStyle w:val="Hyperlink"/>
          </w:rPr>
          <w:t>AADT_COMBINATION</w:t>
        </w:r>
        <w:r w:rsidR="00D6698F">
          <w:rPr>
            <w:webHidden/>
          </w:rPr>
          <w:tab/>
        </w:r>
        <w:r w:rsidR="00D6698F">
          <w:rPr>
            <w:webHidden/>
          </w:rPr>
          <w:fldChar w:fldCharType="begin"/>
        </w:r>
        <w:r w:rsidR="00D6698F">
          <w:rPr>
            <w:webHidden/>
          </w:rPr>
          <w:instrText xml:space="preserve"> PAGEREF _Toc118205732 \h </w:instrText>
        </w:r>
        <w:r w:rsidR="00D6698F">
          <w:rPr>
            <w:webHidden/>
          </w:rPr>
        </w:r>
        <w:r w:rsidR="00D6698F">
          <w:rPr>
            <w:webHidden/>
          </w:rPr>
          <w:fldChar w:fldCharType="separate"/>
        </w:r>
        <w:r w:rsidR="00C07DF9">
          <w:rPr>
            <w:webHidden/>
          </w:rPr>
          <w:t>5-12</w:t>
        </w:r>
        <w:r w:rsidR="00D6698F">
          <w:rPr>
            <w:webHidden/>
          </w:rPr>
          <w:fldChar w:fldCharType="end"/>
        </w:r>
      </w:hyperlink>
    </w:p>
    <w:p w14:paraId="5D0BD342" w14:textId="014B9C34" w:rsidR="00D6698F" w:rsidRDefault="00464453">
      <w:pPr>
        <w:pStyle w:val="TOC3"/>
        <w:tabs>
          <w:tab w:val="left" w:pos="2016"/>
        </w:tabs>
        <w:rPr>
          <w:rFonts w:asciiTheme="minorHAnsi" w:eastAsiaTheme="minorEastAsia" w:hAnsiTheme="minorHAnsi" w:cstheme="minorBidi"/>
          <w:color w:val="auto"/>
          <w:sz w:val="22"/>
          <w:szCs w:val="22"/>
        </w:rPr>
      </w:pPr>
      <w:hyperlink w:anchor="_Toc118205733" w:history="1">
        <w:r w:rsidR="00D6698F" w:rsidRPr="00E92ABE">
          <w:rPr>
            <w:rStyle w:val="Hyperlink"/>
          </w:rPr>
          <w:t>5.4.5</w:t>
        </w:r>
        <w:r w:rsidR="00D6698F">
          <w:rPr>
            <w:rFonts w:asciiTheme="minorHAnsi" w:eastAsiaTheme="minorEastAsia" w:hAnsiTheme="minorHAnsi" w:cstheme="minorBidi"/>
            <w:color w:val="auto"/>
            <w:sz w:val="22"/>
            <w:szCs w:val="22"/>
          </w:rPr>
          <w:tab/>
        </w:r>
        <w:r w:rsidR="00D6698F" w:rsidRPr="00E92ABE">
          <w:rPr>
            <w:rStyle w:val="Hyperlink"/>
          </w:rPr>
          <w:t>PCT_DH_COMBINATION</w:t>
        </w:r>
        <w:r w:rsidR="00D6698F">
          <w:rPr>
            <w:webHidden/>
          </w:rPr>
          <w:tab/>
        </w:r>
        <w:r w:rsidR="00D6698F">
          <w:rPr>
            <w:webHidden/>
          </w:rPr>
          <w:fldChar w:fldCharType="begin"/>
        </w:r>
        <w:r w:rsidR="00D6698F">
          <w:rPr>
            <w:webHidden/>
          </w:rPr>
          <w:instrText xml:space="preserve"> PAGEREF _Toc118205733 \h </w:instrText>
        </w:r>
        <w:r w:rsidR="00D6698F">
          <w:rPr>
            <w:webHidden/>
          </w:rPr>
        </w:r>
        <w:r w:rsidR="00D6698F">
          <w:rPr>
            <w:webHidden/>
          </w:rPr>
          <w:fldChar w:fldCharType="separate"/>
        </w:r>
        <w:r w:rsidR="00C07DF9">
          <w:rPr>
            <w:webHidden/>
          </w:rPr>
          <w:t>5-12</w:t>
        </w:r>
        <w:r w:rsidR="00D6698F">
          <w:rPr>
            <w:webHidden/>
          </w:rPr>
          <w:fldChar w:fldCharType="end"/>
        </w:r>
      </w:hyperlink>
    </w:p>
    <w:p w14:paraId="29B48436" w14:textId="4509C120" w:rsidR="00D6698F" w:rsidRDefault="00464453">
      <w:pPr>
        <w:pStyle w:val="TOC3"/>
        <w:tabs>
          <w:tab w:val="left" w:pos="2016"/>
        </w:tabs>
        <w:rPr>
          <w:rFonts w:asciiTheme="minorHAnsi" w:eastAsiaTheme="minorEastAsia" w:hAnsiTheme="minorHAnsi" w:cstheme="minorBidi"/>
          <w:color w:val="auto"/>
          <w:sz w:val="22"/>
          <w:szCs w:val="22"/>
        </w:rPr>
      </w:pPr>
      <w:hyperlink w:anchor="_Toc118205734" w:history="1">
        <w:r w:rsidR="00D6698F" w:rsidRPr="00E92ABE">
          <w:rPr>
            <w:rStyle w:val="Hyperlink"/>
          </w:rPr>
          <w:t>5.4.6</w:t>
        </w:r>
        <w:r w:rsidR="00D6698F">
          <w:rPr>
            <w:rFonts w:asciiTheme="minorHAnsi" w:eastAsiaTheme="minorEastAsia" w:hAnsiTheme="minorHAnsi" w:cstheme="minorBidi"/>
            <w:color w:val="auto"/>
            <w:sz w:val="22"/>
            <w:szCs w:val="22"/>
          </w:rPr>
          <w:tab/>
        </w:r>
        <w:r w:rsidR="00D6698F" w:rsidRPr="00E92ABE">
          <w:rPr>
            <w:rStyle w:val="Hyperlink"/>
          </w:rPr>
          <w:t>K_FACTOR</w:t>
        </w:r>
        <w:r w:rsidR="00D6698F">
          <w:rPr>
            <w:webHidden/>
          </w:rPr>
          <w:tab/>
        </w:r>
        <w:r w:rsidR="00D6698F">
          <w:rPr>
            <w:webHidden/>
          </w:rPr>
          <w:fldChar w:fldCharType="begin"/>
        </w:r>
        <w:r w:rsidR="00D6698F">
          <w:rPr>
            <w:webHidden/>
          </w:rPr>
          <w:instrText xml:space="preserve"> PAGEREF _Toc118205734 \h </w:instrText>
        </w:r>
        <w:r w:rsidR="00D6698F">
          <w:rPr>
            <w:webHidden/>
          </w:rPr>
        </w:r>
        <w:r w:rsidR="00D6698F">
          <w:rPr>
            <w:webHidden/>
          </w:rPr>
          <w:fldChar w:fldCharType="separate"/>
        </w:r>
        <w:r w:rsidR="00C07DF9">
          <w:rPr>
            <w:webHidden/>
          </w:rPr>
          <w:t>5-12</w:t>
        </w:r>
        <w:r w:rsidR="00D6698F">
          <w:rPr>
            <w:webHidden/>
          </w:rPr>
          <w:fldChar w:fldCharType="end"/>
        </w:r>
      </w:hyperlink>
    </w:p>
    <w:p w14:paraId="0D40E16A" w14:textId="2A8FE2CD" w:rsidR="00D6698F" w:rsidRDefault="00464453">
      <w:pPr>
        <w:pStyle w:val="TOC3"/>
        <w:tabs>
          <w:tab w:val="left" w:pos="2016"/>
        </w:tabs>
        <w:rPr>
          <w:rFonts w:asciiTheme="minorHAnsi" w:eastAsiaTheme="minorEastAsia" w:hAnsiTheme="minorHAnsi" w:cstheme="minorBidi"/>
          <w:color w:val="auto"/>
          <w:sz w:val="22"/>
          <w:szCs w:val="22"/>
        </w:rPr>
      </w:pPr>
      <w:hyperlink w:anchor="_Toc118205735" w:history="1">
        <w:r w:rsidR="00D6698F" w:rsidRPr="00E92ABE">
          <w:rPr>
            <w:rStyle w:val="Hyperlink"/>
          </w:rPr>
          <w:t>5.4.7</w:t>
        </w:r>
        <w:r w:rsidR="00D6698F">
          <w:rPr>
            <w:rFonts w:asciiTheme="minorHAnsi" w:eastAsiaTheme="minorEastAsia" w:hAnsiTheme="minorHAnsi" w:cstheme="minorBidi"/>
            <w:color w:val="auto"/>
            <w:sz w:val="22"/>
            <w:szCs w:val="22"/>
          </w:rPr>
          <w:tab/>
        </w:r>
        <w:r w:rsidR="00D6698F" w:rsidRPr="00E92ABE">
          <w:rPr>
            <w:rStyle w:val="Hyperlink"/>
          </w:rPr>
          <w:t>DIR_FACTOR</w:t>
        </w:r>
        <w:r w:rsidR="00D6698F">
          <w:rPr>
            <w:webHidden/>
          </w:rPr>
          <w:tab/>
        </w:r>
        <w:r w:rsidR="00D6698F">
          <w:rPr>
            <w:webHidden/>
          </w:rPr>
          <w:fldChar w:fldCharType="begin"/>
        </w:r>
        <w:r w:rsidR="00D6698F">
          <w:rPr>
            <w:webHidden/>
          </w:rPr>
          <w:instrText xml:space="preserve"> PAGEREF _Toc118205735 \h </w:instrText>
        </w:r>
        <w:r w:rsidR="00D6698F">
          <w:rPr>
            <w:webHidden/>
          </w:rPr>
        </w:r>
        <w:r w:rsidR="00D6698F">
          <w:rPr>
            <w:webHidden/>
          </w:rPr>
          <w:fldChar w:fldCharType="separate"/>
        </w:r>
        <w:r w:rsidR="00C07DF9">
          <w:rPr>
            <w:webHidden/>
          </w:rPr>
          <w:t>5-12</w:t>
        </w:r>
        <w:r w:rsidR="00D6698F">
          <w:rPr>
            <w:webHidden/>
          </w:rPr>
          <w:fldChar w:fldCharType="end"/>
        </w:r>
      </w:hyperlink>
    </w:p>
    <w:p w14:paraId="0D14522A" w14:textId="5BBF4C7B" w:rsidR="00D6698F" w:rsidRDefault="00464453">
      <w:pPr>
        <w:pStyle w:val="TOC3"/>
        <w:tabs>
          <w:tab w:val="left" w:pos="2016"/>
        </w:tabs>
        <w:rPr>
          <w:rFonts w:asciiTheme="minorHAnsi" w:eastAsiaTheme="minorEastAsia" w:hAnsiTheme="minorHAnsi" w:cstheme="minorBidi"/>
          <w:color w:val="auto"/>
          <w:sz w:val="22"/>
          <w:szCs w:val="22"/>
        </w:rPr>
      </w:pPr>
      <w:hyperlink w:anchor="_Toc118205736" w:history="1">
        <w:r w:rsidR="00D6698F" w:rsidRPr="00E92ABE">
          <w:rPr>
            <w:rStyle w:val="Hyperlink"/>
          </w:rPr>
          <w:t>5.4.8</w:t>
        </w:r>
        <w:r w:rsidR="00D6698F">
          <w:rPr>
            <w:rFonts w:asciiTheme="minorHAnsi" w:eastAsiaTheme="minorEastAsia" w:hAnsiTheme="minorHAnsi" w:cstheme="minorBidi"/>
            <w:color w:val="auto"/>
            <w:sz w:val="22"/>
            <w:szCs w:val="22"/>
          </w:rPr>
          <w:tab/>
        </w:r>
        <w:r w:rsidR="00D6698F" w:rsidRPr="00E92ABE">
          <w:rPr>
            <w:rStyle w:val="Hyperlink"/>
          </w:rPr>
          <w:t>FUTURE_AADT</w:t>
        </w:r>
        <w:r w:rsidR="00D6698F">
          <w:rPr>
            <w:webHidden/>
          </w:rPr>
          <w:tab/>
        </w:r>
        <w:r w:rsidR="00D6698F">
          <w:rPr>
            <w:webHidden/>
          </w:rPr>
          <w:fldChar w:fldCharType="begin"/>
        </w:r>
        <w:r w:rsidR="00D6698F">
          <w:rPr>
            <w:webHidden/>
          </w:rPr>
          <w:instrText xml:space="preserve"> PAGEREF _Toc118205736 \h </w:instrText>
        </w:r>
        <w:r w:rsidR="00D6698F">
          <w:rPr>
            <w:webHidden/>
          </w:rPr>
        </w:r>
        <w:r w:rsidR="00D6698F">
          <w:rPr>
            <w:webHidden/>
          </w:rPr>
          <w:fldChar w:fldCharType="separate"/>
        </w:r>
        <w:r w:rsidR="00C07DF9">
          <w:rPr>
            <w:webHidden/>
          </w:rPr>
          <w:t>5-12</w:t>
        </w:r>
        <w:r w:rsidR="00D6698F">
          <w:rPr>
            <w:webHidden/>
          </w:rPr>
          <w:fldChar w:fldCharType="end"/>
        </w:r>
      </w:hyperlink>
    </w:p>
    <w:p w14:paraId="5FA0C0A4" w14:textId="0047BE92" w:rsidR="00D6698F" w:rsidRDefault="00464453" w:rsidP="00D6698F">
      <w:pPr>
        <w:pStyle w:val="TOC2"/>
        <w:rPr>
          <w:rFonts w:asciiTheme="minorHAnsi" w:eastAsiaTheme="minorEastAsia" w:hAnsiTheme="minorHAnsi" w:cstheme="minorBidi"/>
          <w:sz w:val="22"/>
        </w:rPr>
      </w:pPr>
      <w:hyperlink w:anchor="_Toc118205737" w:history="1">
        <w:r w:rsidR="00D6698F" w:rsidRPr="00E92ABE">
          <w:rPr>
            <w:rStyle w:val="Hyperlink"/>
          </w:rPr>
          <w:t>5.5</w:t>
        </w:r>
        <w:r w:rsidR="00D6698F">
          <w:rPr>
            <w:rFonts w:asciiTheme="minorHAnsi" w:eastAsiaTheme="minorEastAsia" w:hAnsiTheme="minorHAnsi" w:cstheme="minorBidi"/>
            <w:sz w:val="22"/>
          </w:rPr>
          <w:tab/>
        </w:r>
        <w:r w:rsidR="00D6698F" w:rsidRPr="00E92ABE">
          <w:rPr>
            <w:rStyle w:val="Hyperlink"/>
          </w:rPr>
          <w:t>Traffic Monitoring and Analysis System (TMAS)</w:t>
        </w:r>
        <w:r w:rsidR="00D6698F">
          <w:rPr>
            <w:webHidden/>
          </w:rPr>
          <w:tab/>
        </w:r>
        <w:r w:rsidR="00D6698F">
          <w:rPr>
            <w:webHidden/>
          </w:rPr>
          <w:fldChar w:fldCharType="begin"/>
        </w:r>
        <w:r w:rsidR="00D6698F">
          <w:rPr>
            <w:webHidden/>
          </w:rPr>
          <w:instrText xml:space="preserve"> PAGEREF _Toc118205737 \h </w:instrText>
        </w:r>
        <w:r w:rsidR="00D6698F">
          <w:rPr>
            <w:webHidden/>
          </w:rPr>
        </w:r>
        <w:r w:rsidR="00D6698F">
          <w:rPr>
            <w:webHidden/>
          </w:rPr>
          <w:fldChar w:fldCharType="separate"/>
        </w:r>
        <w:r w:rsidR="00C07DF9">
          <w:rPr>
            <w:webHidden/>
          </w:rPr>
          <w:t>5-13</w:t>
        </w:r>
        <w:r w:rsidR="00D6698F">
          <w:rPr>
            <w:webHidden/>
          </w:rPr>
          <w:fldChar w:fldCharType="end"/>
        </w:r>
      </w:hyperlink>
    </w:p>
    <w:p w14:paraId="350B33F0" w14:textId="365F04F4" w:rsidR="00D6698F" w:rsidRDefault="00464453">
      <w:pPr>
        <w:pStyle w:val="TOC3"/>
        <w:tabs>
          <w:tab w:val="left" w:pos="2016"/>
        </w:tabs>
        <w:rPr>
          <w:rFonts w:asciiTheme="minorHAnsi" w:eastAsiaTheme="minorEastAsia" w:hAnsiTheme="minorHAnsi" w:cstheme="minorBidi"/>
          <w:color w:val="auto"/>
          <w:sz w:val="22"/>
          <w:szCs w:val="22"/>
        </w:rPr>
      </w:pPr>
      <w:hyperlink w:anchor="_Toc118205738" w:history="1">
        <w:r w:rsidR="00D6698F" w:rsidRPr="00E92ABE">
          <w:rPr>
            <w:rStyle w:val="Hyperlink"/>
          </w:rPr>
          <w:t>5.5.1</w:t>
        </w:r>
        <w:r w:rsidR="00D6698F">
          <w:rPr>
            <w:rFonts w:asciiTheme="minorHAnsi" w:eastAsiaTheme="minorEastAsia" w:hAnsiTheme="minorHAnsi" w:cstheme="minorBidi"/>
            <w:color w:val="auto"/>
            <w:sz w:val="22"/>
            <w:szCs w:val="22"/>
          </w:rPr>
          <w:tab/>
        </w:r>
        <w:r w:rsidR="00D6698F" w:rsidRPr="00E92ABE">
          <w:rPr>
            <w:rStyle w:val="Hyperlink"/>
          </w:rPr>
          <w:t>TMAS Requirements and Features</w:t>
        </w:r>
        <w:r w:rsidR="00D6698F">
          <w:rPr>
            <w:webHidden/>
          </w:rPr>
          <w:tab/>
        </w:r>
        <w:r w:rsidR="00D6698F">
          <w:rPr>
            <w:webHidden/>
          </w:rPr>
          <w:fldChar w:fldCharType="begin"/>
        </w:r>
        <w:r w:rsidR="00D6698F">
          <w:rPr>
            <w:webHidden/>
          </w:rPr>
          <w:instrText xml:space="preserve"> PAGEREF _Toc118205738 \h </w:instrText>
        </w:r>
        <w:r w:rsidR="00D6698F">
          <w:rPr>
            <w:webHidden/>
          </w:rPr>
        </w:r>
        <w:r w:rsidR="00D6698F">
          <w:rPr>
            <w:webHidden/>
          </w:rPr>
          <w:fldChar w:fldCharType="separate"/>
        </w:r>
        <w:r w:rsidR="00C07DF9">
          <w:rPr>
            <w:webHidden/>
          </w:rPr>
          <w:t>5-13</w:t>
        </w:r>
        <w:r w:rsidR="00D6698F">
          <w:rPr>
            <w:webHidden/>
          </w:rPr>
          <w:fldChar w:fldCharType="end"/>
        </w:r>
      </w:hyperlink>
    </w:p>
    <w:p w14:paraId="09D4484C" w14:textId="04AC630C" w:rsidR="00D6698F" w:rsidRDefault="00464453">
      <w:pPr>
        <w:pStyle w:val="TOC1"/>
        <w:rPr>
          <w:rFonts w:asciiTheme="minorHAnsi" w:eastAsiaTheme="minorEastAsia" w:hAnsiTheme="minorHAnsi" w:cstheme="minorBidi"/>
          <w:b w:val="0"/>
          <w:color w:val="auto"/>
          <w:sz w:val="22"/>
          <w:szCs w:val="22"/>
        </w:rPr>
      </w:pPr>
      <w:hyperlink w:anchor="_Toc118205739" w:history="1">
        <w:r w:rsidR="00D6698F" w:rsidRPr="00E92ABE">
          <w:rPr>
            <w:rStyle w:val="Hyperlink"/>
          </w:rPr>
          <w:t>Chapter 6.</w:t>
        </w:r>
        <w:r w:rsidR="00D6698F">
          <w:rPr>
            <w:rFonts w:asciiTheme="minorHAnsi" w:eastAsiaTheme="minorEastAsia" w:hAnsiTheme="minorHAnsi" w:cstheme="minorBidi"/>
            <w:b w:val="0"/>
            <w:color w:val="auto"/>
            <w:sz w:val="22"/>
            <w:szCs w:val="22"/>
          </w:rPr>
          <w:tab/>
        </w:r>
        <w:r w:rsidR="00D6698F" w:rsidRPr="00E92ABE">
          <w:rPr>
            <w:rStyle w:val="Hyperlink"/>
          </w:rPr>
          <w:t>Third-Party Traffic Data</w:t>
        </w:r>
        <w:r w:rsidR="00D6698F">
          <w:rPr>
            <w:webHidden/>
          </w:rPr>
          <w:tab/>
        </w:r>
        <w:r w:rsidR="00D6698F">
          <w:rPr>
            <w:webHidden/>
          </w:rPr>
          <w:fldChar w:fldCharType="begin"/>
        </w:r>
        <w:r w:rsidR="00D6698F">
          <w:rPr>
            <w:webHidden/>
          </w:rPr>
          <w:instrText xml:space="preserve"> PAGEREF _Toc118205739 \h </w:instrText>
        </w:r>
        <w:r w:rsidR="00D6698F">
          <w:rPr>
            <w:webHidden/>
          </w:rPr>
        </w:r>
        <w:r w:rsidR="00D6698F">
          <w:rPr>
            <w:webHidden/>
          </w:rPr>
          <w:fldChar w:fldCharType="separate"/>
        </w:r>
        <w:r w:rsidR="00C07DF9">
          <w:rPr>
            <w:webHidden/>
          </w:rPr>
          <w:t>6-1</w:t>
        </w:r>
        <w:r w:rsidR="00D6698F">
          <w:rPr>
            <w:webHidden/>
          </w:rPr>
          <w:fldChar w:fldCharType="end"/>
        </w:r>
      </w:hyperlink>
    </w:p>
    <w:p w14:paraId="2FE63160" w14:textId="4C1CF007" w:rsidR="00D6698F" w:rsidRDefault="00464453" w:rsidP="00D6698F">
      <w:pPr>
        <w:pStyle w:val="TOC2"/>
        <w:rPr>
          <w:rFonts w:asciiTheme="minorHAnsi" w:eastAsiaTheme="minorEastAsia" w:hAnsiTheme="minorHAnsi" w:cstheme="minorBidi"/>
          <w:sz w:val="22"/>
        </w:rPr>
      </w:pPr>
      <w:hyperlink w:anchor="_Toc118205740" w:history="1">
        <w:r w:rsidR="00D6698F" w:rsidRPr="00E92ABE">
          <w:rPr>
            <w:rStyle w:val="Hyperlink"/>
          </w:rPr>
          <w:t>6.1</w:t>
        </w:r>
        <w:r w:rsidR="00D6698F">
          <w:rPr>
            <w:rFonts w:asciiTheme="minorHAnsi" w:eastAsiaTheme="minorEastAsia" w:hAnsiTheme="minorHAnsi" w:cstheme="minorBidi"/>
            <w:sz w:val="22"/>
          </w:rPr>
          <w:tab/>
        </w:r>
        <w:r w:rsidR="00D6698F" w:rsidRPr="00E92ABE">
          <w:rPr>
            <w:rStyle w:val="Hyperlink"/>
          </w:rPr>
          <w:t>Data Needs</w:t>
        </w:r>
        <w:r w:rsidR="00D6698F">
          <w:rPr>
            <w:webHidden/>
          </w:rPr>
          <w:tab/>
        </w:r>
        <w:r w:rsidR="00D6698F">
          <w:rPr>
            <w:webHidden/>
          </w:rPr>
          <w:fldChar w:fldCharType="begin"/>
        </w:r>
        <w:r w:rsidR="00D6698F">
          <w:rPr>
            <w:webHidden/>
          </w:rPr>
          <w:instrText xml:space="preserve"> PAGEREF _Toc118205740 \h </w:instrText>
        </w:r>
        <w:r w:rsidR="00D6698F">
          <w:rPr>
            <w:webHidden/>
          </w:rPr>
        </w:r>
        <w:r w:rsidR="00D6698F">
          <w:rPr>
            <w:webHidden/>
          </w:rPr>
          <w:fldChar w:fldCharType="separate"/>
        </w:r>
        <w:r w:rsidR="00C07DF9">
          <w:rPr>
            <w:webHidden/>
          </w:rPr>
          <w:t>6-1</w:t>
        </w:r>
        <w:r w:rsidR="00D6698F">
          <w:rPr>
            <w:webHidden/>
          </w:rPr>
          <w:fldChar w:fldCharType="end"/>
        </w:r>
      </w:hyperlink>
    </w:p>
    <w:p w14:paraId="2D00F855" w14:textId="75A16271" w:rsidR="00D6698F" w:rsidRDefault="00464453" w:rsidP="00D6698F">
      <w:pPr>
        <w:pStyle w:val="TOC2"/>
        <w:rPr>
          <w:rFonts w:asciiTheme="minorHAnsi" w:eastAsiaTheme="minorEastAsia" w:hAnsiTheme="minorHAnsi" w:cstheme="minorBidi"/>
          <w:sz w:val="22"/>
        </w:rPr>
      </w:pPr>
      <w:hyperlink w:anchor="_Toc118205741" w:history="1">
        <w:r w:rsidR="00D6698F" w:rsidRPr="00E92ABE">
          <w:rPr>
            <w:rStyle w:val="Hyperlink"/>
          </w:rPr>
          <w:t>6.2</w:t>
        </w:r>
        <w:r w:rsidR="00D6698F">
          <w:rPr>
            <w:rFonts w:asciiTheme="minorHAnsi" w:eastAsiaTheme="minorEastAsia" w:hAnsiTheme="minorHAnsi" w:cstheme="minorBidi"/>
            <w:sz w:val="22"/>
          </w:rPr>
          <w:tab/>
        </w:r>
        <w:r w:rsidR="00D6698F" w:rsidRPr="00E92ABE">
          <w:rPr>
            <w:rStyle w:val="Hyperlink"/>
          </w:rPr>
          <w:t>Data Quality</w:t>
        </w:r>
        <w:r w:rsidR="00D6698F">
          <w:rPr>
            <w:webHidden/>
          </w:rPr>
          <w:tab/>
        </w:r>
        <w:r w:rsidR="00D6698F">
          <w:rPr>
            <w:webHidden/>
          </w:rPr>
          <w:fldChar w:fldCharType="begin"/>
        </w:r>
        <w:r w:rsidR="00D6698F">
          <w:rPr>
            <w:webHidden/>
          </w:rPr>
          <w:instrText xml:space="preserve"> PAGEREF _Toc118205741 \h </w:instrText>
        </w:r>
        <w:r w:rsidR="00D6698F">
          <w:rPr>
            <w:webHidden/>
          </w:rPr>
        </w:r>
        <w:r w:rsidR="00D6698F">
          <w:rPr>
            <w:webHidden/>
          </w:rPr>
          <w:fldChar w:fldCharType="separate"/>
        </w:r>
        <w:r w:rsidR="00C07DF9">
          <w:rPr>
            <w:webHidden/>
          </w:rPr>
          <w:t>6-1</w:t>
        </w:r>
        <w:r w:rsidR="00D6698F">
          <w:rPr>
            <w:webHidden/>
          </w:rPr>
          <w:fldChar w:fldCharType="end"/>
        </w:r>
      </w:hyperlink>
    </w:p>
    <w:p w14:paraId="1943A129" w14:textId="31E75C93" w:rsidR="00D6698F" w:rsidRDefault="00464453" w:rsidP="00D6698F">
      <w:pPr>
        <w:pStyle w:val="TOC2"/>
        <w:rPr>
          <w:rFonts w:asciiTheme="minorHAnsi" w:eastAsiaTheme="minorEastAsia" w:hAnsiTheme="minorHAnsi" w:cstheme="minorBidi"/>
          <w:sz w:val="22"/>
        </w:rPr>
      </w:pPr>
      <w:hyperlink w:anchor="_Toc118205742" w:history="1">
        <w:r w:rsidR="00D6698F" w:rsidRPr="00E92ABE">
          <w:rPr>
            <w:rStyle w:val="Hyperlink"/>
          </w:rPr>
          <w:t>6.3</w:t>
        </w:r>
        <w:r w:rsidR="00D6698F">
          <w:rPr>
            <w:rFonts w:asciiTheme="minorHAnsi" w:eastAsiaTheme="minorEastAsia" w:hAnsiTheme="minorHAnsi" w:cstheme="minorBidi"/>
            <w:sz w:val="22"/>
          </w:rPr>
          <w:tab/>
        </w:r>
        <w:r w:rsidR="00D6698F" w:rsidRPr="00E92ABE">
          <w:rPr>
            <w:rStyle w:val="Hyperlink"/>
          </w:rPr>
          <w:t>Data Ownership</w:t>
        </w:r>
        <w:r w:rsidR="00D6698F">
          <w:rPr>
            <w:webHidden/>
          </w:rPr>
          <w:tab/>
        </w:r>
        <w:r w:rsidR="00D6698F">
          <w:rPr>
            <w:webHidden/>
          </w:rPr>
          <w:fldChar w:fldCharType="begin"/>
        </w:r>
        <w:r w:rsidR="00D6698F">
          <w:rPr>
            <w:webHidden/>
          </w:rPr>
          <w:instrText xml:space="preserve"> PAGEREF _Toc118205742 \h </w:instrText>
        </w:r>
        <w:r w:rsidR="00D6698F">
          <w:rPr>
            <w:webHidden/>
          </w:rPr>
        </w:r>
        <w:r w:rsidR="00D6698F">
          <w:rPr>
            <w:webHidden/>
          </w:rPr>
          <w:fldChar w:fldCharType="separate"/>
        </w:r>
        <w:r w:rsidR="00C07DF9">
          <w:rPr>
            <w:webHidden/>
          </w:rPr>
          <w:t>6-2</w:t>
        </w:r>
        <w:r w:rsidR="00D6698F">
          <w:rPr>
            <w:webHidden/>
          </w:rPr>
          <w:fldChar w:fldCharType="end"/>
        </w:r>
      </w:hyperlink>
    </w:p>
    <w:p w14:paraId="528A51EC" w14:textId="383BF296" w:rsidR="00D6698F" w:rsidRDefault="00464453">
      <w:pPr>
        <w:pStyle w:val="TOC3"/>
        <w:tabs>
          <w:tab w:val="left" w:pos="2016"/>
        </w:tabs>
        <w:rPr>
          <w:rFonts w:asciiTheme="minorHAnsi" w:eastAsiaTheme="minorEastAsia" w:hAnsiTheme="minorHAnsi" w:cstheme="minorBidi"/>
          <w:color w:val="auto"/>
          <w:sz w:val="22"/>
          <w:szCs w:val="22"/>
        </w:rPr>
      </w:pPr>
      <w:hyperlink w:anchor="_Toc118205743" w:history="1">
        <w:r w:rsidR="00D6698F" w:rsidRPr="00E92ABE">
          <w:rPr>
            <w:rStyle w:val="Hyperlink"/>
          </w:rPr>
          <w:t>6.3.1</w:t>
        </w:r>
        <w:r w:rsidR="00D6698F">
          <w:rPr>
            <w:rFonts w:asciiTheme="minorHAnsi" w:eastAsiaTheme="minorEastAsia" w:hAnsiTheme="minorHAnsi" w:cstheme="minorBidi"/>
            <w:color w:val="auto"/>
            <w:sz w:val="22"/>
            <w:szCs w:val="22"/>
          </w:rPr>
          <w:tab/>
        </w:r>
        <w:r w:rsidR="00D6698F" w:rsidRPr="00E92ABE">
          <w:rPr>
            <w:rStyle w:val="Hyperlink"/>
          </w:rPr>
          <w:t>Data Storage and Possession</w:t>
        </w:r>
        <w:r w:rsidR="00D6698F">
          <w:rPr>
            <w:webHidden/>
          </w:rPr>
          <w:tab/>
        </w:r>
        <w:r w:rsidR="00D6698F">
          <w:rPr>
            <w:webHidden/>
          </w:rPr>
          <w:fldChar w:fldCharType="begin"/>
        </w:r>
        <w:r w:rsidR="00D6698F">
          <w:rPr>
            <w:webHidden/>
          </w:rPr>
          <w:instrText xml:space="preserve"> PAGEREF _Toc118205743 \h </w:instrText>
        </w:r>
        <w:r w:rsidR="00D6698F">
          <w:rPr>
            <w:webHidden/>
          </w:rPr>
        </w:r>
        <w:r w:rsidR="00D6698F">
          <w:rPr>
            <w:webHidden/>
          </w:rPr>
          <w:fldChar w:fldCharType="separate"/>
        </w:r>
        <w:r w:rsidR="00C07DF9">
          <w:rPr>
            <w:webHidden/>
          </w:rPr>
          <w:t>6-2</w:t>
        </w:r>
        <w:r w:rsidR="00D6698F">
          <w:rPr>
            <w:webHidden/>
          </w:rPr>
          <w:fldChar w:fldCharType="end"/>
        </w:r>
      </w:hyperlink>
    </w:p>
    <w:p w14:paraId="1F75B523" w14:textId="30BAEAE4" w:rsidR="00D6698F" w:rsidRDefault="00464453">
      <w:pPr>
        <w:pStyle w:val="TOC3"/>
        <w:tabs>
          <w:tab w:val="left" w:pos="2016"/>
        </w:tabs>
        <w:rPr>
          <w:rFonts w:asciiTheme="minorHAnsi" w:eastAsiaTheme="minorEastAsia" w:hAnsiTheme="minorHAnsi" w:cstheme="minorBidi"/>
          <w:color w:val="auto"/>
          <w:sz w:val="22"/>
          <w:szCs w:val="22"/>
        </w:rPr>
      </w:pPr>
      <w:hyperlink w:anchor="_Toc118205744" w:history="1">
        <w:r w:rsidR="00D6698F" w:rsidRPr="00E92ABE">
          <w:rPr>
            <w:rStyle w:val="Hyperlink"/>
          </w:rPr>
          <w:t>6.3.2</w:t>
        </w:r>
        <w:r w:rsidR="00D6698F">
          <w:rPr>
            <w:rFonts w:asciiTheme="minorHAnsi" w:eastAsiaTheme="minorEastAsia" w:hAnsiTheme="minorHAnsi" w:cstheme="minorBidi"/>
            <w:color w:val="auto"/>
            <w:sz w:val="22"/>
            <w:szCs w:val="22"/>
          </w:rPr>
          <w:tab/>
        </w:r>
        <w:r w:rsidR="00D6698F" w:rsidRPr="00E92ABE">
          <w:rPr>
            <w:rStyle w:val="Hyperlink"/>
          </w:rPr>
          <w:t>Data Rights</w:t>
        </w:r>
        <w:r w:rsidR="00D6698F">
          <w:rPr>
            <w:webHidden/>
          </w:rPr>
          <w:tab/>
        </w:r>
        <w:r w:rsidR="00D6698F">
          <w:rPr>
            <w:webHidden/>
          </w:rPr>
          <w:fldChar w:fldCharType="begin"/>
        </w:r>
        <w:r w:rsidR="00D6698F">
          <w:rPr>
            <w:webHidden/>
          </w:rPr>
          <w:instrText xml:space="preserve"> PAGEREF _Toc118205744 \h </w:instrText>
        </w:r>
        <w:r w:rsidR="00D6698F">
          <w:rPr>
            <w:webHidden/>
          </w:rPr>
        </w:r>
        <w:r w:rsidR="00D6698F">
          <w:rPr>
            <w:webHidden/>
          </w:rPr>
          <w:fldChar w:fldCharType="separate"/>
        </w:r>
        <w:r w:rsidR="00C07DF9">
          <w:rPr>
            <w:webHidden/>
          </w:rPr>
          <w:t>6-2</w:t>
        </w:r>
        <w:r w:rsidR="00D6698F">
          <w:rPr>
            <w:webHidden/>
          </w:rPr>
          <w:fldChar w:fldCharType="end"/>
        </w:r>
      </w:hyperlink>
    </w:p>
    <w:p w14:paraId="01B2B07F" w14:textId="7FE96182" w:rsidR="00D6698F" w:rsidRDefault="00464453">
      <w:pPr>
        <w:pStyle w:val="TOC3"/>
        <w:tabs>
          <w:tab w:val="left" w:pos="2016"/>
        </w:tabs>
        <w:rPr>
          <w:rFonts w:asciiTheme="minorHAnsi" w:eastAsiaTheme="minorEastAsia" w:hAnsiTheme="minorHAnsi" w:cstheme="minorBidi"/>
          <w:color w:val="auto"/>
          <w:sz w:val="22"/>
          <w:szCs w:val="22"/>
        </w:rPr>
      </w:pPr>
      <w:hyperlink w:anchor="_Toc118205745" w:history="1">
        <w:r w:rsidR="00D6698F" w:rsidRPr="00E92ABE">
          <w:rPr>
            <w:rStyle w:val="Hyperlink"/>
          </w:rPr>
          <w:t>6.3.3</w:t>
        </w:r>
        <w:r w:rsidR="00D6698F">
          <w:rPr>
            <w:rFonts w:asciiTheme="minorHAnsi" w:eastAsiaTheme="minorEastAsia" w:hAnsiTheme="minorHAnsi" w:cstheme="minorBidi"/>
            <w:color w:val="auto"/>
            <w:sz w:val="22"/>
            <w:szCs w:val="22"/>
          </w:rPr>
          <w:tab/>
        </w:r>
        <w:r w:rsidR="00D6698F" w:rsidRPr="00E92ABE">
          <w:rPr>
            <w:rStyle w:val="Hyperlink"/>
          </w:rPr>
          <w:t>Version Control</w:t>
        </w:r>
        <w:r w:rsidR="00D6698F">
          <w:rPr>
            <w:webHidden/>
          </w:rPr>
          <w:tab/>
        </w:r>
        <w:r w:rsidR="00D6698F">
          <w:rPr>
            <w:webHidden/>
          </w:rPr>
          <w:fldChar w:fldCharType="begin"/>
        </w:r>
        <w:r w:rsidR="00D6698F">
          <w:rPr>
            <w:webHidden/>
          </w:rPr>
          <w:instrText xml:space="preserve"> PAGEREF _Toc118205745 \h </w:instrText>
        </w:r>
        <w:r w:rsidR="00D6698F">
          <w:rPr>
            <w:webHidden/>
          </w:rPr>
        </w:r>
        <w:r w:rsidR="00D6698F">
          <w:rPr>
            <w:webHidden/>
          </w:rPr>
          <w:fldChar w:fldCharType="separate"/>
        </w:r>
        <w:r w:rsidR="00C07DF9">
          <w:rPr>
            <w:webHidden/>
          </w:rPr>
          <w:t>6-2</w:t>
        </w:r>
        <w:r w:rsidR="00D6698F">
          <w:rPr>
            <w:webHidden/>
          </w:rPr>
          <w:fldChar w:fldCharType="end"/>
        </w:r>
      </w:hyperlink>
    </w:p>
    <w:p w14:paraId="3F29B521" w14:textId="20CBC98F" w:rsidR="00D6698F" w:rsidRDefault="00464453" w:rsidP="00D6698F">
      <w:pPr>
        <w:pStyle w:val="TOC2"/>
        <w:rPr>
          <w:rFonts w:asciiTheme="minorHAnsi" w:eastAsiaTheme="minorEastAsia" w:hAnsiTheme="minorHAnsi" w:cstheme="minorBidi"/>
          <w:sz w:val="22"/>
        </w:rPr>
      </w:pPr>
      <w:hyperlink w:anchor="_Toc118205746" w:history="1">
        <w:r w:rsidR="00D6698F" w:rsidRPr="00E92ABE">
          <w:rPr>
            <w:rStyle w:val="Hyperlink"/>
          </w:rPr>
          <w:t>6.4</w:t>
        </w:r>
        <w:r w:rsidR="00D6698F">
          <w:rPr>
            <w:rFonts w:asciiTheme="minorHAnsi" w:eastAsiaTheme="minorEastAsia" w:hAnsiTheme="minorHAnsi" w:cstheme="minorBidi"/>
            <w:sz w:val="22"/>
          </w:rPr>
          <w:tab/>
        </w:r>
        <w:r w:rsidR="00D6698F" w:rsidRPr="00E92ABE">
          <w:rPr>
            <w:rStyle w:val="Hyperlink"/>
          </w:rPr>
          <w:t>Costs</w:t>
        </w:r>
        <w:r w:rsidR="00D6698F">
          <w:rPr>
            <w:webHidden/>
          </w:rPr>
          <w:tab/>
        </w:r>
        <w:r w:rsidR="00D6698F">
          <w:rPr>
            <w:webHidden/>
          </w:rPr>
          <w:fldChar w:fldCharType="begin"/>
        </w:r>
        <w:r w:rsidR="00D6698F">
          <w:rPr>
            <w:webHidden/>
          </w:rPr>
          <w:instrText xml:space="preserve"> PAGEREF _Toc118205746 \h </w:instrText>
        </w:r>
        <w:r w:rsidR="00D6698F">
          <w:rPr>
            <w:webHidden/>
          </w:rPr>
        </w:r>
        <w:r w:rsidR="00D6698F">
          <w:rPr>
            <w:webHidden/>
          </w:rPr>
          <w:fldChar w:fldCharType="separate"/>
        </w:r>
        <w:r w:rsidR="00C07DF9">
          <w:rPr>
            <w:webHidden/>
          </w:rPr>
          <w:t>6-3</w:t>
        </w:r>
        <w:r w:rsidR="00D6698F">
          <w:rPr>
            <w:webHidden/>
          </w:rPr>
          <w:fldChar w:fldCharType="end"/>
        </w:r>
      </w:hyperlink>
    </w:p>
    <w:p w14:paraId="3E168749" w14:textId="328DBCE4" w:rsidR="00D6698F" w:rsidRDefault="00464453" w:rsidP="00D6698F">
      <w:pPr>
        <w:pStyle w:val="TOC2"/>
        <w:rPr>
          <w:rFonts w:asciiTheme="minorHAnsi" w:eastAsiaTheme="minorEastAsia" w:hAnsiTheme="minorHAnsi" w:cstheme="minorBidi"/>
          <w:sz w:val="22"/>
        </w:rPr>
      </w:pPr>
      <w:hyperlink w:anchor="_Toc118205747" w:history="1">
        <w:r w:rsidR="00D6698F" w:rsidRPr="00E92ABE">
          <w:rPr>
            <w:rStyle w:val="Hyperlink"/>
          </w:rPr>
          <w:t>6.5</w:t>
        </w:r>
        <w:r w:rsidR="00D6698F">
          <w:rPr>
            <w:rFonts w:asciiTheme="minorHAnsi" w:eastAsiaTheme="minorEastAsia" w:hAnsiTheme="minorHAnsi" w:cstheme="minorBidi"/>
            <w:sz w:val="22"/>
          </w:rPr>
          <w:tab/>
        </w:r>
        <w:r w:rsidR="00D6698F" w:rsidRPr="00E92ABE">
          <w:rPr>
            <w:rStyle w:val="Hyperlink"/>
          </w:rPr>
          <w:t>Summary</w:t>
        </w:r>
        <w:r w:rsidR="00D6698F">
          <w:rPr>
            <w:webHidden/>
          </w:rPr>
          <w:tab/>
        </w:r>
        <w:r w:rsidR="00D6698F">
          <w:rPr>
            <w:webHidden/>
          </w:rPr>
          <w:fldChar w:fldCharType="begin"/>
        </w:r>
        <w:r w:rsidR="00D6698F">
          <w:rPr>
            <w:webHidden/>
          </w:rPr>
          <w:instrText xml:space="preserve"> PAGEREF _Toc118205747 \h </w:instrText>
        </w:r>
        <w:r w:rsidR="00D6698F">
          <w:rPr>
            <w:webHidden/>
          </w:rPr>
        </w:r>
        <w:r w:rsidR="00D6698F">
          <w:rPr>
            <w:webHidden/>
          </w:rPr>
          <w:fldChar w:fldCharType="separate"/>
        </w:r>
        <w:r w:rsidR="00C07DF9">
          <w:rPr>
            <w:webHidden/>
          </w:rPr>
          <w:t>6-3</w:t>
        </w:r>
        <w:r w:rsidR="00D6698F">
          <w:rPr>
            <w:webHidden/>
          </w:rPr>
          <w:fldChar w:fldCharType="end"/>
        </w:r>
      </w:hyperlink>
    </w:p>
    <w:p w14:paraId="0150D344" w14:textId="3FBD2DBE" w:rsidR="00D6698F" w:rsidRDefault="00464453">
      <w:pPr>
        <w:pStyle w:val="TOC1"/>
        <w:rPr>
          <w:rFonts w:asciiTheme="minorHAnsi" w:eastAsiaTheme="minorEastAsia" w:hAnsiTheme="minorHAnsi" w:cstheme="minorBidi"/>
          <w:b w:val="0"/>
          <w:color w:val="auto"/>
          <w:sz w:val="22"/>
          <w:szCs w:val="22"/>
        </w:rPr>
      </w:pPr>
      <w:hyperlink w:anchor="_Toc118205748" w:history="1">
        <w:r w:rsidR="00D6698F" w:rsidRPr="00E92ABE">
          <w:rPr>
            <w:rStyle w:val="Hyperlink"/>
          </w:rPr>
          <w:t>Chapter 7.</w:t>
        </w:r>
        <w:r w:rsidR="00D6698F">
          <w:rPr>
            <w:rFonts w:asciiTheme="minorHAnsi" w:eastAsiaTheme="minorEastAsia" w:hAnsiTheme="minorHAnsi" w:cstheme="minorBidi"/>
            <w:b w:val="0"/>
            <w:color w:val="auto"/>
            <w:sz w:val="22"/>
            <w:szCs w:val="22"/>
          </w:rPr>
          <w:tab/>
        </w:r>
        <w:r w:rsidR="00D6698F" w:rsidRPr="00E92ABE">
          <w:rPr>
            <w:rStyle w:val="Hyperlink"/>
          </w:rPr>
          <w:t>References</w:t>
        </w:r>
        <w:r w:rsidR="00D6698F">
          <w:rPr>
            <w:webHidden/>
          </w:rPr>
          <w:tab/>
        </w:r>
        <w:r w:rsidR="00D6698F">
          <w:rPr>
            <w:webHidden/>
          </w:rPr>
          <w:fldChar w:fldCharType="begin"/>
        </w:r>
        <w:r w:rsidR="00D6698F">
          <w:rPr>
            <w:webHidden/>
          </w:rPr>
          <w:instrText xml:space="preserve"> PAGEREF _Toc118205748 \h </w:instrText>
        </w:r>
        <w:r w:rsidR="00D6698F">
          <w:rPr>
            <w:webHidden/>
          </w:rPr>
        </w:r>
        <w:r w:rsidR="00D6698F">
          <w:rPr>
            <w:webHidden/>
          </w:rPr>
          <w:fldChar w:fldCharType="separate"/>
        </w:r>
        <w:r w:rsidR="00C07DF9">
          <w:rPr>
            <w:webHidden/>
          </w:rPr>
          <w:t>7-1</w:t>
        </w:r>
        <w:r w:rsidR="00D6698F">
          <w:rPr>
            <w:webHidden/>
          </w:rPr>
          <w:fldChar w:fldCharType="end"/>
        </w:r>
      </w:hyperlink>
    </w:p>
    <w:p w14:paraId="5C562305" w14:textId="3BEACA33" w:rsidR="00871F71" w:rsidRDefault="00464453" w:rsidP="00B21798">
      <w:pPr>
        <w:pStyle w:val="TOC1"/>
        <w:rPr>
          <w:rFonts w:ascii="Arial" w:hAnsi="Arial" w:cs="Arial"/>
          <w:color w:val="4472C4" w:themeColor="accent1"/>
        </w:rPr>
      </w:pPr>
      <w:hyperlink w:anchor="_Toc118205749" w:history="1">
        <w:r w:rsidR="00D6698F" w:rsidRPr="00E92ABE">
          <w:rPr>
            <w:rStyle w:val="Hyperlink"/>
          </w:rPr>
          <w:t>Chapter 8.</w:t>
        </w:r>
        <w:r w:rsidR="00D6698F">
          <w:rPr>
            <w:rFonts w:asciiTheme="minorHAnsi" w:eastAsiaTheme="minorEastAsia" w:hAnsiTheme="minorHAnsi" w:cstheme="minorBidi"/>
            <w:b w:val="0"/>
            <w:color w:val="auto"/>
            <w:sz w:val="22"/>
            <w:szCs w:val="22"/>
          </w:rPr>
          <w:tab/>
        </w:r>
        <w:r w:rsidR="00D6698F" w:rsidRPr="00E92ABE">
          <w:rPr>
            <w:rStyle w:val="Hyperlink"/>
          </w:rPr>
          <w:t>Glossary</w:t>
        </w:r>
        <w:r w:rsidR="00D6698F">
          <w:rPr>
            <w:webHidden/>
          </w:rPr>
          <w:tab/>
        </w:r>
        <w:r w:rsidR="00D6698F">
          <w:rPr>
            <w:webHidden/>
          </w:rPr>
          <w:fldChar w:fldCharType="begin"/>
        </w:r>
        <w:r w:rsidR="00D6698F">
          <w:rPr>
            <w:webHidden/>
          </w:rPr>
          <w:instrText xml:space="preserve"> PAGEREF _Toc118205749 \h </w:instrText>
        </w:r>
        <w:r w:rsidR="00D6698F">
          <w:rPr>
            <w:webHidden/>
          </w:rPr>
        </w:r>
        <w:r w:rsidR="00D6698F">
          <w:rPr>
            <w:webHidden/>
          </w:rPr>
          <w:fldChar w:fldCharType="separate"/>
        </w:r>
        <w:r w:rsidR="00C07DF9">
          <w:rPr>
            <w:webHidden/>
          </w:rPr>
          <w:t>8-1</w:t>
        </w:r>
        <w:r w:rsidR="00D6698F">
          <w:rPr>
            <w:webHidden/>
          </w:rPr>
          <w:fldChar w:fldCharType="end"/>
        </w:r>
      </w:hyperlink>
      <w:r w:rsidR="00754259">
        <w:rPr>
          <w:rFonts w:ascii="Arial" w:hAnsi="Arial" w:cs="Arial"/>
          <w:color w:val="4472C4" w:themeColor="accent1"/>
        </w:rPr>
        <w:fldChar w:fldCharType="end"/>
      </w:r>
    </w:p>
    <w:p w14:paraId="2CF6346A" w14:textId="10F0CF2D" w:rsidR="00871F71" w:rsidRPr="00871F71" w:rsidRDefault="00871F71" w:rsidP="00871F71">
      <w:pPr>
        <w:pStyle w:val="TOCHeading"/>
        <w:spacing w:after="120" w:line="240" w:lineRule="auto"/>
        <w:rPr>
          <w:rFonts w:ascii="Cambria" w:hAnsi="Cambria"/>
          <w:color w:val="auto"/>
          <w:sz w:val="26"/>
          <w:szCs w:val="26"/>
        </w:rPr>
      </w:pPr>
      <w:r w:rsidRPr="00871F71">
        <w:rPr>
          <w:rFonts w:ascii="Cambria" w:hAnsi="Cambria"/>
          <w:color w:val="auto"/>
          <w:sz w:val="26"/>
          <w:szCs w:val="26"/>
        </w:rPr>
        <w:t xml:space="preserve">List of </w:t>
      </w:r>
      <w:r>
        <w:rPr>
          <w:rFonts w:ascii="Cambria" w:hAnsi="Cambria"/>
          <w:color w:val="auto"/>
          <w:sz w:val="26"/>
          <w:szCs w:val="26"/>
        </w:rPr>
        <w:t>Appendices</w:t>
      </w:r>
    </w:p>
    <w:p w14:paraId="7F6D9154" w14:textId="38CEAD31" w:rsidR="00C07DF9" w:rsidRDefault="00A871E2">
      <w:pPr>
        <w:pStyle w:val="TableofFigures"/>
        <w:rPr>
          <w:rFonts w:eastAsiaTheme="minorEastAsia" w:cstheme="minorBidi"/>
          <w:color w:val="auto"/>
          <w:sz w:val="22"/>
          <w:szCs w:val="22"/>
        </w:rPr>
      </w:pPr>
      <w:r>
        <w:rPr>
          <w:rFonts w:ascii="Arial" w:hAnsi="Arial" w:cs="Arial"/>
          <w:color w:val="4472C4" w:themeColor="accent1"/>
        </w:rPr>
        <w:fldChar w:fldCharType="begin"/>
      </w:r>
      <w:r>
        <w:rPr>
          <w:rFonts w:ascii="Arial" w:hAnsi="Arial" w:cs="Arial"/>
          <w:color w:val="4472C4" w:themeColor="accent1"/>
        </w:rPr>
        <w:instrText xml:space="preserve"> TOC \h \z \t "Heading 9" \c </w:instrText>
      </w:r>
      <w:r>
        <w:rPr>
          <w:rFonts w:ascii="Arial" w:hAnsi="Arial" w:cs="Arial"/>
          <w:color w:val="4472C4" w:themeColor="accent1"/>
        </w:rPr>
        <w:fldChar w:fldCharType="separate"/>
      </w:r>
      <w:hyperlink w:anchor="_Toc120626343" w:history="1">
        <w:r w:rsidR="00C07DF9" w:rsidRPr="0054456B">
          <w:rPr>
            <w:rStyle w:val="Hyperlink"/>
          </w:rPr>
          <w:t>Appendix A –  Vehicle Types</w:t>
        </w:r>
        <w:r w:rsidR="00C07DF9">
          <w:rPr>
            <w:webHidden/>
          </w:rPr>
          <w:tab/>
        </w:r>
        <w:r w:rsidR="00C07DF9">
          <w:rPr>
            <w:webHidden/>
          </w:rPr>
          <w:fldChar w:fldCharType="begin"/>
        </w:r>
        <w:r w:rsidR="00C07DF9">
          <w:rPr>
            <w:webHidden/>
          </w:rPr>
          <w:instrText xml:space="preserve"> PAGEREF _Toc120626343 \h </w:instrText>
        </w:r>
        <w:r w:rsidR="00C07DF9">
          <w:rPr>
            <w:webHidden/>
          </w:rPr>
        </w:r>
        <w:r w:rsidR="00C07DF9">
          <w:rPr>
            <w:webHidden/>
          </w:rPr>
          <w:fldChar w:fldCharType="separate"/>
        </w:r>
        <w:r w:rsidR="00C07DF9">
          <w:rPr>
            <w:webHidden/>
          </w:rPr>
          <w:t>A-1</w:t>
        </w:r>
        <w:r w:rsidR="00C07DF9">
          <w:rPr>
            <w:webHidden/>
          </w:rPr>
          <w:fldChar w:fldCharType="end"/>
        </w:r>
      </w:hyperlink>
    </w:p>
    <w:p w14:paraId="296D37A8" w14:textId="0ED89D89" w:rsidR="00C07DF9" w:rsidRDefault="00464453">
      <w:pPr>
        <w:pStyle w:val="TableofFigures"/>
        <w:rPr>
          <w:rFonts w:eastAsiaTheme="minorEastAsia" w:cstheme="minorBidi"/>
          <w:color w:val="auto"/>
          <w:sz w:val="22"/>
          <w:szCs w:val="22"/>
        </w:rPr>
      </w:pPr>
      <w:hyperlink w:anchor="_Toc120626344" w:history="1">
        <w:r w:rsidR="00C07DF9" w:rsidRPr="0054456B">
          <w:rPr>
            <w:rStyle w:val="Hyperlink"/>
          </w:rPr>
          <w:t>Appendix B –  Designing Statewide Traffic Monitoring Programs</w:t>
        </w:r>
        <w:r w:rsidR="00C07DF9">
          <w:rPr>
            <w:webHidden/>
          </w:rPr>
          <w:tab/>
        </w:r>
        <w:r w:rsidR="00C07DF9">
          <w:rPr>
            <w:webHidden/>
          </w:rPr>
          <w:fldChar w:fldCharType="begin"/>
        </w:r>
        <w:r w:rsidR="00C07DF9">
          <w:rPr>
            <w:webHidden/>
          </w:rPr>
          <w:instrText xml:space="preserve"> PAGEREF _Toc120626344 \h </w:instrText>
        </w:r>
        <w:r w:rsidR="00C07DF9">
          <w:rPr>
            <w:webHidden/>
          </w:rPr>
        </w:r>
        <w:r w:rsidR="00C07DF9">
          <w:rPr>
            <w:webHidden/>
          </w:rPr>
          <w:fldChar w:fldCharType="separate"/>
        </w:r>
        <w:r w:rsidR="00C07DF9">
          <w:rPr>
            <w:webHidden/>
          </w:rPr>
          <w:t>B-1</w:t>
        </w:r>
        <w:r w:rsidR="00C07DF9">
          <w:rPr>
            <w:webHidden/>
          </w:rPr>
          <w:fldChar w:fldCharType="end"/>
        </w:r>
      </w:hyperlink>
    </w:p>
    <w:p w14:paraId="5DFCF07C" w14:textId="35C78143" w:rsidR="00C07DF9" w:rsidRDefault="00464453">
      <w:pPr>
        <w:pStyle w:val="TableofFigures"/>
        <w:rPr>
          <w:rFonts w:eastAsiaTheme="minorEastAsia" w:cstheme="minorBidi"/>
          <w:color w:val="auto"/>
          <w:sz w:val="22"/>
          <w:szCs w:val="22"/>
        </w:rPr>
      </w:pPr>
      <w:hyperlink w:anchor="_Toc120626345" w:history="1">
        <w:r w:rsidR="00C07DF9" w:rsidRPr="0054456B">
          <w:rPr>
            <w:rStyle w:val="Hyperlink"/>
          </w:rPr>
          <w:t>Appendix C –  Compendium of Data Quality Control Criteria</w:t>
        </w:r>
        <w:r w:rsidR="00C07DF9">
          <w:rPr>
            <w:webHidden/>
          </w:rPr>
          <w:tab/>
        </w:r>
        <w:r w:rsidR="00C07DF9">
          <w:rPr>
            <w:webHidden/>
          </w:rPr>
          <w:fldChar w:fldCharType="begin"/>
        </w:r>
        <w:r w:rsidR="00C07DF9">
          <w:rPr>
            <w:webHidden/>
          </w:rPr>
          <w:instrText xml:space="preserve"> PAGEREF _Toc120626345 \h </w:instrText>
        </w:r>
        <w:r w:rsidR="00C07DF9">
          <w:rPr>
            <w:webHidden/>
          </w:rPr>
        </w:r>
        <w:r w:rsidR="00C07DF9">
          <w:rPr>
            <w:webHidden/>
          </w:rPr>
          <w:fldChar w:fldCharType="separate"/>
        </w:r>
        <w:r w:rsidR="00C07DF9">
          <w:rPr>
            <w:webHidden/>
          </w:rPr>
          <w:t>C-1</w:t>
        </w:r>
        <w:r w:rsidR="00C07DF9">
          <w:rPr>
            <w:webHidden/>
          </w:rPr>
          <w:fldChar w:fldCharType="end"/>
        </w:r>
      </w:hyperlink>
    </w:p>
    <w:p w14:paraId="4BA2B7B0" w14:textId="09C25E8E" w:rsidR="00C07DF9" w:rsidRDefault="00464453">
      <w:pPr>
        <w:pStyle w:val="TableofFigures"/>
        <w:rPr>
          <w:rFonts w:eastAsiaTheme="minorEastAsia" w:cstheme="minorBidi"/>
          <w:color w:val="auto"/>
          <w:sz w:val="22"/>
          <w:szCs w:val="22"/>
        </w:rPr>
      </w:pPr>
      <w:hyperlink w:anchor="_Toc120626346" w:history="1">
        <w:r w:rsidR="00C07DF9" w:rsidRPr="0054456B">
          <w:rPr>
            <w:rStyle w:val="Hyperlink"/>
          </w:rPr>
          <w:t>Appendix D –  Equipment Calibration</w:t>
        </w:r>
        <w:r w:rsidR="00C07DF9">
          <w:rPr>
            <w:webHidden/>
          </w:rPr>
          <w:tab/>
        </w:r>
        <w:r w:rsidR="00C07DF9">
          <w:rPr>
            <w:webHidden/>
          </w:rPr>
          <w:fldChar w:fldCharType="begin"/>
        </w:r>
        <w:r w:rsidR="00C07DF9">
          <w:rPr>
            <w:webHidden/>
          </w:rPr>
          <w:instrText xml:space="preserve"> PAGEREF _Toc120626346 \h </w:instrText>
        </w:r>
        <w:r w:rsidR="00C07DF9">
          <w:rPr>
            <w:webHidden/>
          </w:rPr>
        </w:r>
        <w:r w:rsidR="00C07DF9">
          <w:rPr>
            <w:webHidden/>
          </w:rPr>
          <w:fldChar w:fldCharType="separate"/>
        </w:r>
        <w:r w:rsidR="00C07DF9">
          <w:rPr>
            <w:webHidden/>
          </w:rPr>
          <w:t>D-1</w:t>
        </w:r>
        <w:r w:rsidR="00C07DF9">
          <w:rPr>
            <w:webHidden/>
          </w:rPr>
          <w:fldChar w:fldCharType="end"/>
        </w:r>
      </w:hyperlink>
    </w:p>
    <w:p w14:paraId="3C6DB155" w14:textId="6CB6E634" w:rsidR="00C07DF9" w:rsidRDefault="00464453">
      <w:pPr>
        <w:pStyle w:val="TableofFigures"/>
        <w:rPr>
          <w:rFonts w:eastAsiaTheme="minorEastAsia" w:cstheme="minorBidi"/>
          <w:color w:val="auto"/>
          <w:sz w:val="22"/>
          <w:szCs w:val="22"/>
        </w:rPr>
      </w:pPr>
      <w:hyperlink w:anchor="_Toc120626347" w:history="1">
        <w:r w:rsidR="00C07DF9" w:rsidRPr="0054456B">
          <w:rPr>
            <w:rStyle w:val="Hyperlink"/>
          </w:rPr>
          <w:t>Appendix E –  NCDOT Clustering Method for MEPDG</w:t>
        </w:r>
        <w:r w:rsidR="00C07DF9">
          <w:rPr>
            <w:webHidden/>
          </w:rPr>
          <w:tab/>
        </w:r>
        <w:r w:rsidR="00C07DF9">
          <w:rPr>
            <w:webHidden/>
          </w:rPr>
          <w:fldChar w:fldCharType="begin"/>
        </w:r>
        <w:r w:rsidR="00C07DF9">
          <w:rPr>
            <w:webHidden/>
          </w:rPr>
          <w:instrText xml:space="preserve"> PAGEREF _Toc120626347 \h </w:instrText>
        </w:r>
        <w:r w:rsidR="00C07DF9">
          <w:rPr>
            <w:webHidden/>
          </w:rPr>
        </w:r>
        <w:r w:rsidR="00C07DF9">
          <w:rPr>
            <w:webHidden/>
          </w:rPr>
          <w:fldChar w:fldCharType="separate"/>
        </w:r>
        <w:r w:rsidR="00C07DF9">
          <w:rPr>
            <w:webHidden/>
          </w:rPr>
          <w:t>E-1</w:t>
        </w:r>
        <w:r w:rsidR="00C07DF9">
          <w:rPr>
            <w:webHidden/>
          </w:rPr>
          <w:fldChar w:fldCharType="end"/>
        </w:r>
      </w:hyperlink>
    </w:p>
    <w:p w14:paraId="5738CDEA" w14:textId="624C3F7F" w:rsidR="00C07DF9" w:rsidRDefault="00464453">
      <w:pPr>
        <w:pStyle w:val="TableofFigures"/>
        <w:rPr>
          <w:rFonts w:eastAsiaTheme="minorEastAsia" w:cstheme="minorBidi"/>
          <w:color w:val="auto"/>
          <w:sz w:val="22"/>
          <w:szCs w:val="22"/>
        </w:rPr>
      </w:pPr>
      <w:hyperlink w:anchor="_Toc120626348" w:history="1">
        <w:r w:rsidR="00C07DF9" w:rsidRPr="0054456B">
          <w:rPr>
            <w:rStyle w:val="Hyperlink"/>
          </w:rPr>
          <w:t>Appendix F –  Traffic Data for Pavement Design</w:t>
        </w:r>
        <w:r w:rsidR="00C07DF9">
          <w:rPr>
            <w:webHidden/>
          </w:rPr>
          <w:tab/>
        </w:r>
        <w:r w:rsidR="00C07DF9">
          <w:rPr>
            <w:webHidden/>
          </w:rPr>
          <w:fldChar w:fldCharType="begin"/>
        </w:r>
        <w:r w:rsidR="00C07DF9">
          <w:rPr>
            <w:webHidden/>
          </w:rPr>
          <w:instrText xml:space="preserve"> PAGEREF _Toc120626348 \h </w:instrText>
        </w:r>
        <w:r w:rsidR="00C07DF9">
          <w:rPr>
            <w:webHidden/>
          </w:rPr>
        </w:r>
        <w:r w:rsidR="00C07DF9">
          <w:rPr>
            <w:webHidden/>
          </w:rPr>
          <w:fldChar w:fldCharType="separate"/>
        </w:r>
        <w:r w:rsidR="00C07DF9">
          <w:rPr>
            <w:webHidden/>
          </w:rPr>
          <w:t>F-1</w:t>
        </w:r>
        <w:r w:rsidR="00C07DF9">
          <w:rPr>
            <w:webHidden/>
          </w:rPr>
          <w:fldChar w:fldCharType="end"/>
        </w:r>
      </w:hyperlink>
    </w:p>
    <w:p w14:paraId="39406126" w14:textId="5B085DAF" w:rsidR="00C07DF9" w:rsidRDefault="00464453">
      <w:pPr>
        <w:pStyle w:val="TableofFigures"/>
        <w:rPr>
          <w:rFonts w:eastAsiaTheme="minorEastAsia" w:cstheme="minorBidi"/>
          <w:color w:val="auto"/>
          <w:sz w:val="22"/>
          <w:szCs w:val="22"/>
        </w:rPr>
      </w:pPr>
      <w:hyperlink w:anchor="_Toc120626349" w:history="1">
        <w:r w:rsidR="00C07DF9" w:rsidRPr="0054456B">
          <w:rPr>
            <w:rStyle w:val="Hyperlink"/>
          </w:rPr>
          <w:t>Appendix G –  Length Based Class Memo</w:t>
        </w:r>
        <w:r w:rsidR="00C07DF9">
          <w:rPr>
            <w:webHidden/>
          </w:rPr>
          <w:tab/>
        </w:r>
        <w:r w:rsidR="00C07DF9">
          <w:rPr>
            <w:webHidden/>
          </w:rPr>
          <w:fldChar w:fldCharType="begin"/>
        </w:r>
        <w:r w:rsidR="00C07DF9">
          <w:rPr>
            <w:webHidden/>
          </w:rPr>
          <w:instrText xml:space="preserve"> PAGEREF _Toc120626349 \h </w:instrText>
        </w:r>
        <w:r w:rsidR="00C07DF9">
          <w:rPr>
            <w:webHidden/>
          </w:rPr>
        </w:r>
        <w:r w:rsidR="00C07DF9">
          <w:rPr>
            <w:webHidden/>
          </w:rPr>
          <w:fldChar w:fldCharType="separate"/>
        </w:r>
        <w:r w:rsidR="00C07DF9">
          <w:rPr>
            <w:webHidden/>
          </w:rPr>
          <w:t>G-1</w:t>
        </w:r>
        <w:r w:rsidR="00C07DF9">
          <w:rPr>
            <w:webHidden/>
          </w:rPr>
          <w:fldChar w:fldCharType="end"/>
        </w:r>
      </w:hyperlink>
    </w:p>
    <w:p w14:paraId="75DBD228" w14:textId="52991CF1" w:rsidR="00C07DF9" w:rsidRDefault="00464453">
      <w:pPr>
        <w:pStyle w:val="TableofFigures"/>
        <w:rPr>
          <w:rFonts w:eastAsiaTheme="minorEastAsia" w:cstheme="minorBidi"/>
          <w:color w:val="auto"/>
          <w:sz w:val="22"/>
          <w:szCs w:val="22"/>
        </w:rPr>
      </w:pPr>
      <w:hyperlink w:anchor="_Toc120626350" w:history="1">
        <w:r w:rsidR="00C07DF9" w:rsidRPr="0054456B">
          <w:rPr>
            <w:rStyle w:val="Hyperlink"/>
          </w:rPr>
          <w:t>Appendix H –  Bike/Ped Site Selection Process/Publication –  Florida Department of Transportation (FDOT’s) Nonmotorized Site Selection Methodology (excerpts from the Statewide Non-Motorized Traffic Monitoring Program Recommendations Report December 2018)</w:t>
        </w:r>
        <w:r w:rsidR="00C07DF9">
          <w:rPr>
            <w:webHidden/>
          </w:rPr>
          <w:tab/>
        </w:r>
        <w:r w:rsidR="00C07DF9">
          <w:rPr>
            <w:webHidden/>
          </w:rPr>
          <w:fldChar w:fldCharType="begin"/>
        </w:r>
        <w:r w:rsidR="00C07DF9">
          <w:rPr>
            <w:webHidden/>
          </w:rPr>
          <w:instrText xml:space="preserve"> PAGEREF _Toc120626350 \h </w:instrText>
        </w:r>
        <w:r w:rsidR="00C07DF9">
          <w:rPr>
            <w:webHidden/>
          </w:rPr>
        </w:r>
        <w:r w:rsidR="00C07DF9">
          <w:rPr>
            <w:webHidden/>
          </w:rPr>
          <w:fldChar w:fldCharType="separate"/>
        </w:r>
        <w:r w:rsidR="00C07DF9">
          <w:rPr>
            <w:webHidden/>
          </w:rPr>
          <w:t>H-1</w:t>
        </w:r>
        <w:r w:rsidR="00C07DF9">
          <w:rPr>
            <w:webHidden/>
          </w:rPr>
          <w:fldChar w:fldCharType="end"/>
        </w:r>
      </w:hyperlink>
    </w:p>
    <w:p w14:paraId="0D1A4331" w14:textId="74D50F91" w:rsidR="00C07DF9" w:rsidRDefault="00464453">
      <w:pPr>
        <w:pStyle w:val="TableofFigures"/>
        <w:rPr>
          <w:rFonts w:eastAsiaTheme="minorEastAsia" w:cstheme="minorBidi"/>
          <w:color w:val="auto"/>
          <w:sz w:val="22"/>
          <w:szCs w:val="22"/>
        </w:rPr>
      </w:pPr>
      <w:hyperlink w:anchor="_Toc120626351" w:history="1">
        <w:r w:rsidR="00C07DF9" w:rsidRPr="0054456B">
          <w:rPr>
            <w:rStyle w:val="Hyperlink"/>
          </w:rPr>
          <w:t>Appendix I –  Motorcycle Data Collection Methods</w:t>
        </w:r>
        <w:r w:rsidR="00C07DF9">
          <w:rPr>
            <w:webHidden/>
          </w:rPr>
          <w:tab/>
        </w:r>
        <w:r w:rsidR="00C07DF9">
          <w:rPr>
            <w:webHidden/>
          </w:rPr>
          <w:fldChar w:fldCharType="begin"/>
        </w:r>
        <w:r w:rsidR="00C07DF9">
          <w:rPr>
            <w:webHidden/>
          </w:rPr>
          <w:instrText xml:space="preserve"> PAGEREF _Toc120626351 \h </w:instrText>
        </w:r>
        <w:r w:rsidR="00C07DF9">
          <w:rPr>
            <w:webHidden/>
          </w:rPr>
        </w:r>
        <w:r w:rsidR="00C07DF9">
          <w:rPr>
            <w:webHidden/>
          </w:rPr>
          <w:fldChar w:fldCharType="separate"/>
        </w:r>
        <w:r w:rsidR="00C07DF9">
          <w:rPr>
            <w:webHidden/>
          </w:rPr>
          <w:t>I-1</w:t>
        </w:r>
        <w:r w:rsidR="00C07DF9">
          <w:rPr>
            <w:webHidden/>
          </w:rPr>
          <w:fldChar w:fldCharType="end"/>
        </w:r>
      </w:hyperlink>
    </w:p>
    <w:p w14:paraId="43906F9D" w14:textId="3FBA5C37" w:rsidR="00C07DF9" w:rsidRDefault="00464453">
      <w:pPr>
        <w:pStyle w:val="TableofFigures"/>
        <w:rPr>
          <w:rFonts w:eastAsiaTheme="minorEastAsia" w:cstheme="minorBidi"/>
          <w:color w:val="auto"/>
          <w:sz w:val="22"/>
          <w:szCs w:val="22"/>
        </w:rPr>
      </w:pPr>
      <w:hyperlink w:anchor="_Toc120626352" w:history="1">
        <w:r w:rsidR="00C07DF9" w:rsidRPr="0054456B">
          <w:rPr>
            <w:rStyle w:val="Hyperlink"/>
          </w:rPr>
          <w:t>Appendix J –  Traffic Pattern Examples</w:t>
        </w:r>
        <w:r w:rsidR="00C07DF9">
          <w:rPr>
            <w:webHidden/>
          </w:rPr>
          <w:tab/>
        </w:r>
        <w:r w:rsidR="00C07DF9">
          <w:rPr>
            <w:webHidden/>
          </w:rPr>
          <w:fldChar w:fldCharType="begin"/>
        </w:r>
        <w:r w:rsidR="00C07DF9">
          <w:rPr>
            <w:webHidden/>
          </w:rPr>
          <w:instrText xml:space="preserve"> PAGEREF _Toc120626352 \h </w:instrText>
        </w:r>
        <w:r w:rsidR="00C07DF9">
          <w:rPr>
            <w:webHidden/>
          </w:rPr>
        </w:r>
        <w:r w:rsidR="00C07DF9">
          <w:rPr>
            <w:webHidden/>
          </w:rPr>
          <w:fldChar w:fldCharType="separate"/>
        </w:r>
        <w:r w:rsidR="00C07DF9">
          <w:rPr>
            <w:webHidden/>
          </w:rPr>
          <w:t>J-1</w:t>
        </w:r>
        <w:r w:rsidR="00C07DF9">
          <w:rPr>
            <w:webHidden/>
          </w:rPr>
          <w:fldChar w:fldCharType="end"/>
        </w:r>
      </w:hyperlink>
    </w:p>
    <w:p w14:paraId="1716B873" w14:textId="08BA01CB" w:rsidR="00C07DF9" w:rsidRDefault="00464453">
      <w:pPr>
        <w:pStyle w:val="TableofFigures"/>
        <w:rPr>
          <w:rFonts w:eastAsiaTheme="minorEastAsia" w:cstheme="minorBidi"/>
          <w:color w:val="auto"/>
          <w:sz w:val="22"/>
          <w:szCs w:val="22"/>
        </w:rPr>
      </w:pPr>
      <w:hyperlink w:anchor="_Toc120626353" w:history="1">
        <w:r w:rsidR="00C07DF9" w:rsidRPr="0054456B">
          <w:rPr>
            <w:rStyle w:val="Hyperlink"/>
          </w:rPr>
          <w:t>Appendix K –  Typical Interchange AADT Estimation</w:t>
        </w:r>
        <w:r w:rsidR="00C07DF9">
          <w:rPr>
            <w:webHidden/>
          </w:rPr>
          <w:tab/>
        </w:r>
        <w:r w:rsidR="00C07DF9">
          <w:rPr>
            <w:webHidden/>
          </w:rPr>
          <w:fldChar w:fldCharType="begin"/>
        </w:r>
        <w:r w:rsidR="00C07DF9">
          <w:rPr>
            <w:webHidden/>
          </w:rPr>
          <w:instrText xml:space="preserve"> PAGEREF _Toc120626353 \h </w:instrText>
        </w:r>
        <w:r w:rsidR="00C07DF9">
          <w:rPr>
            <w:webHidden/>
          </w:rPr>
        </w:r>
        <w:r w:rsidR="00C07DF9">
          <w:rPr>
            <w:webHidden/>
          </w:rPr>
          <w:fldChar w:fldCharType="separate"/>
        </w:r>
        <w:r w:rsidR="00C07DF9">
          <w:rPr>
            <w:webHidden/>
          </w:rPr>
          <w:t>K-1</w:t>
        </w:r>
        <w:r w:rsidR="00C07DF9">
          <w:rPr>
            <w:webHidden/>
          </w:rPr>
          <w:fldChar w:fldCharType="end"/>
        </w:r>
      </w:hyperlink>
    </w:p>
    <w:p w14:paraId="5DAEC228" w14:textId="10D1A4C0" w:rsidR="00C07DF9" w:rsidRDefault="00464453">
      <w:pPr>
        <w:pStyle w:val="TableofFigures"/>
        <w:rPr>
          <w:rFonts w:eastAsiaTheme="minorEastAsia" w:cstheme="minorBidi"/>
          <w:color w:val="auto"/>
          <w:sz w:val="22"/>
          <w:szCs w:val="22"/>
        </w:rPr>
      </w:pPr>
      <w:hyperlink w:anchor="_Toc120626354" w:history="1">
        <w:r w:rsidR="00C07DF9" w:rsidRPr="0054456B">
          <w:rPr>
            <w:rStyle w:val="Hyperlink"/>
          </w:rPr>
          <w:t>Appendix L –  AASHTO AADT Calculation</w:t>
        </w:r>
        <w:r w:rsidR="00C07DF9">
          <w:rPr>
            <w:webHidden/>
          </w:rPr>
          <w:tab/>
        </w:r>
        <w:r w:rsidR="00C07DF9">
          <w:rPr>
            <w:webHidden/>
          </w:rPr>
          <w:fldChar w:fldCharType="begin"/>
        </w:r>
        <w:r w:rsidR="00C07DF9">
          <w:rPr>
            <w:webHidden/>
          </w:rPr>
          <w:instrText xml:space="preserve"> PAGEREF _Toc120626354 \h </w:instrText>
        </w:r>
        <w:r w:rsidR="00C07DF9">
          <w:rPr>
            <w:webHidden/>
          </w:rPr>
        </w:r>
        <w:r w:rsidR="00C07DF9">
          <w:rPr>
            <w:webHidden/>
          </w:rPr>
          <w:fldChar w:fldCharType="separate"/>
        </w:r>
        <w:r w:rsidR="00C07DF9">
          <w:rPr>
            <w:webHidden/>
          </w:rPr>
          <w:t>L-1</w:t>
        </w:r>
        <w:r w:rsidR="00C07DF9">
          <w:rPr>
            <w:webHidden/>
          </w:rPr>
          <w:fldChar w:fldCharType="end"/>
        </w:r>
      </w:hyperlink>
    </w:p>
    <w:p w14:paraId="145B6315" w14:textId="7ECA76EA" w:rsidR="00C07DF9" w:rsidRDefault="00464453">
      <w:pPr>
        <w:pStyle w:val="TableofFigures"/>
        <w:rPr>
          <w:rFonts w:eastAsiaTheme="minorEastAsia" w:cstheme="minorBidi"/>
          <w:color w:val="auto"/>
          <w:sz w:val="22"/>
          <w:szCs w:val="22"/>
        </w:rPr>
      </w:pPr>
      <w:hyperlink w:anchor="_Toc120626355" w:history="1">
        <w:r w:rsidR="00C07DF9" w:rsidRPr="0054456B">
          <w:rPr>
            <w:rStyle w:val="Hyperlink"/>
          </w:rPr>
          <w:t>Appendix M –  TMAS Quality Control Checks</w:t>
        </w:r>
        <w:r w:rsidR="00C07DF9">
          <w:rPr>
            <w:webHidden/>
          </w:rPr>
          <w:tab/>
        </w:r>
        <w:r w:rsidR="00C07DF9">
          <w:rPr>
            <w:webHidden/>
          </w:rPr>
          <w:fldChar w:fldCharType="begin"/>
        </w:r>
        <w:r w:rsidR="00C07DF9">
          <w:rPr>
            <w:webHidden/>
          </w:rPr>
          <w:instrText xml:space="preserve"> PAGEREF _Toc120626355 \h </w:instrText>
        </w:r>
        <w:r w:rsidR="00C07DF9">
          <w:rPr>
            <w:webHidden/>
          </w:rPr>
        </w:r>
        <w:r w:rsidR="00C07DF9">
          <w:rPr>
            <w:webHidden/>
          </w:rPr>
          <w:fldChar w:fldCharType="separate"/>
        </w:r>
        <w:r w:rsidR="00C07DF9">
          <w:rPr>
            <w:webHidden/>
          </w:rPr>
          <w:t>M-1</w:t>
        </w:r>
        <w:r w:rsidR="00C07DF9">
          <w:rPr>
            <w:webHidden/>
          </w:rPr>
          <w:fldChar w:fldCharType="end"/>
        </w:r>
      </w:hyperlink>
    </w:p>
    <w:p w14:paraId="34905678" w14:textId="10F4DB59" w:rsidR="004042FB" w:rsidRDefault="00A871E2">
      <w:pPr>
        <w:widowControl/>
        <w:suppressAutoHyphens w:val="0"/>
        <w:autoSpaceDE/>
        <w:autoSpaceDN/>
        <w:adjustRightInd/>
        <w:spacing w:line="259" w:lineRule="auto"/>
        <w:jc w:val="left"/>
        <w:textAlignment w:val="auto"/>
        <w:rPr>
          <w:rFonts w:ascii="Arial" w:eastAsiaTheme="majorEastAsia" w:hAnsi="Arial" w:cs="Arial"/>
          <w:color w:val="4472C4" w:themeColor="accent1"/>
          <w:sz w:val="32"/>
          <w:szCs w:val="32"/>
        </w:rPr>
      </w:pPr>
      <w:r>
        <w:rPr>
          <w:rFonts w:ascii="Arial" w:hAnsi="Arial" w:cs="Arial"/>
          <w:color w:val="4472C4" w:themeColor="accent1"/>
        </w:rPr>
        <w:fldChar w:fldCharType="end"/>
      </w:r>
      <w:r w:rsidR="004042FB">
        <w:rPr>
          <w:rFonts w:ascii="Arial" w:hAnsi="Arial" w:cs="Arial"/>
          <w:color w:val="4472C4" w:themeColor="accent1"/>
        </w:rPr>
        <w:br w:type="page"/>
      </w:r>
    </w:p>
    <w:p w14:paraId="63CF5070" w14:textId="70883619" w:rsidR="00EC2EDE" w:rsidRPr="00871F71" w:rsidRDefault="001705F9" w:rsidP="00031D1D">
      <w:pPr>
        <w:pStyle w:val="TOCHeading"/>
        <w:spacing w:before="0" w:after="120" w:line="240" w:lineRule="auto"/>
        <w:rPr>
          <w:rFonts w:ascii="Cambria" w:hAnsi="Cambria"/>
          <w:color w:val="auto"/>
          <w:sz w:val="26"/>
          <w:szCs w:val="26"/>
        </w:rPr>
      </w:pPr>
      <w:r w:rsidRPr="00871F71">
        <w:rPr>
          <w:rFonts w:ascii="Cambria" w:hAnsi="Cambria"/>
          <w:color w:val="auto"/>
          <w:sz w:val="26"/>
          <w:szCs w:val="26"/>
        </w:rPr>
        <w:lastRenderedPageBreak/>
        <w:t>List</w:t>
      </w:r>
      <w:r w:rsidR="00EC2EDE" w:rsidRPr="00871F71">
        <w:rPr>
          <w:rFonts w:ascii="Cambria" w:hAnsi="Cambria"/>
          <w:color w:val="auto"/>
          <w:sz w:val="26"/>
          <w:szCs w:val="26"/>
        </w:rPr>
        <w:t xml:space="preserve"> of Figures</w:t>
      </w:r>
    </w:p>
    <w:p w14:paraId="1DC2FE8A" w14:textId="4048B9DC" w:rsidR="00C54875" w:rsidRDefault="0019188C">
      <w:pPr>
        <w:pStyle w:val="TableofFigures"/>
        <w:rPr>
          <w:rFonts w:eastAsiaTheme="minorEastAsia" w:cstheme="minorBidi"/>
          <w:color w:val="auto"/>
          <w:sz w:val="22"/>
          <w:szCs w:val="22"/>
        </w:rPr>
      </w:pPr>
      <w:r>
        <w:rPr>
          <w:rFonts w:ascii="Arial" w:hAnsi="Arial" w:cs="Arial"/>
          <w:color w:val="4472C4" w:themeColor="accent1"/>
        </w:rPr>
        <w:fldChar w:fldCharType="begin"/>
      </w:r>
      <w:r>
        <w:rPr>
          <w:rFonts w:ascii="Arial" w:hAnsi="Arial" w:cs="Arial"/>
          <w:color w:val="4472C4" w:themeColor="accent1"/>
        </w:rPr>
        <w:instrText xml:space="preserve"> TOC \h \z \t "TMG Figure Caption" \c </w:instrText>
      </w:r>
      <w:r>
        <w:rPr>
          <w:rFonts w:ascii="Arial" w:hAnsi="Arial" w:cs="Arial"/>
          <w:color w:val="4472C4" w:themeColor="accent1"/>
        </w:rPr>
        <w:fldChar w:fldCharType="separate"/>
      </w:r>
      <w:hyperlink w:anchor="_Toc120626553" w:history="1">
        <w:r w:rsidR="00C54875" w:rsidRPr="003C5DD2">
          <w:rPr>
            <w:rStyle w:val="Hyperlink"/>
          </w:rPr>
          <w:t>Figure 1</w:t>
        </w:r>
        <w:r w:rsidR="00C54875" w:rsidRPr="003C5DD2">
          <w:rPr>
            <w:rStyle w:val="Hyperlink"/>
          </w:rPr>
          <w:noBreakHyphen/>
          <w:t>1. Steps for Establishing a Data Program</w:t>
        </w:r>
        <w:r w:rsidR="00C54875">
          <w:rPr>
            <w:webHidden/>
          </w:rPr>
          <w:tab/>
        </w:r>
        <w:r w:rsidR="00C54875">
          <w:rPr>
            <w:webHidden/>
          </w:rPr>
          <w:fldChar w:fldCharType="begin"/>
        </w:r>
        <w:r w:rsidR="00C54875">
          <w:rPr>
            <w:webHidden/>
          </w:rPr>
          <w:instrText xml:space="preserve"> PAGEREF _Toc120626553 \h </w:instrText>
        </w:r>
        <w:r w:rsidR="00C54875">
          <w:rPr>
            <w:webHidden/>
          </w:rPr>
        </w:r>
        <w:r w:rsidR="00C54875">
          <w:rPr>
            <w:webHidden/>
          </w:rPr>
          <w:fldChar w:fldCharType="separate"/>
        </w:r>
        <w:r w:rsidR="00C54875">
          <w:rPr>
            <w:webHidden/>
          </w:rPr>
          <w:t>1-15</w:t>
        </w:r>
        <w:r w:rsidR="00C54875">
          <w:rPr>
            <w:webHidden/>
          </w:rPr>
          <w:fldChar w:fldCharType="end"/>
        </w:r>
      </w:hyperlink>
    </w:p>
    <w:p w14:paraId="5CABAEF3" w14:textId="62EF9C47" w:rsidR="00C54875" w:rsidRDefault="00464453">
      <w:pPr>
        <w:pStyle w:val="TableofFigures"/>
        <w:rPr>
          <w:rFonts w:eastAsiaTheme="minorEastAsia" w:cstheme="minorBidi"/>
          <w:color w:val="auto"/>
          <w:sz w:val="22"/>
          <w:szCs w:val="22"/>
        </w:rPr>
      </w:pPr>
      <w:hyperlink w:anchor="_Toc120626554" w:history="1">
        <w:r w:rsidR="00C54875" w:rsidRPr="003C5DD2">
          <w:rPr>
            <w:rStyle w:val="Hyperlink"/>
          </w:rPr>
          <w:t>Figure 2</w:t>
        </w:r>
        <w:r w:rsidR="00C54875" w:rsidRPr="003C5DD2">
          <w:rPr>
            <w:rStyle w:val="Hyperlink"/>
          </w:rPr>
          <w:noBreakHyphen/>
          <w:t>1. Example of Traffic Monitoring Equipment and Site Layout</w:t>
        </w:r>
        <w:r w:rsidR="00C54875">
          <w:rPr>
            <w:webHidden/>
          </w:rPr>
          <w:tab/>
        </w:r>
        <w:r w:rsidR="00C54875">
          <w:rPr>
            <w:webHidden/>
          </w:rPr>
          <w:fldChar w:fldCharType="begin"/>
        </w:r>
        <w:r w:rsidR="00C54875">
          <w:rPr>
            <w:webHidden/>
          </w:rPr>
          <w:instrText xml:space="preserve"> PAGEREF _Toc120626554 \h </w:instrText>
        </w:r>
        <w:r w:rsidR="00C54875">
          <w:rPr>
            <w:webHidden/>
          </w:rPr>
        </w:r>
        <w:r w:rsidR="00C54875">
          <w:rPr>
            <w:webHidden/>
          </w:rPr>
          <w:fldChar w:fldCharType="separate"/>
        </w:r>
        <w:r w:rsidR="00C54875">
          <w:rPr>
            <w:webHidden/>
          </w:rPr>
          <w:t>2-2</w:t>
        </w:r>
        <w:r w:rsidR="00C54875">
          <w:rPr>
            <w:webHidden/>
          </w:rPr>
          <w:fldChar w:fldCharType="end"/>
        </w:r>
      </w:hyperlink>
    </w:p>
    <w:p w14:paraId="416390AC" w14:textId="65F3A882" w:rsidR="00C54875" w:rsidRDefault="00464453">
      <w:pPr>
        <w:pStyle w:val="TableofFigures"/>
        <w:rPr>
          <w:rFonts w:eastAsiaTheme="minorEastAsia" w:cstheme="minorBidi"/>
          <w:color w:val="auto"/>
          <w:sz w:val="22"/>
          <w:szCs w:val="22"/>
        </w:rPr>
      </w:pPr>
      <w:hyperlink w:anchor="_Toc120626555" w:history="1">
        <w:r w:rsidR="00C54875" w:rsidRPr="003C5DD2">
          <w:rPr>
            <w:rStyle w:val="Hyperlink"/>
          </w:rPr>
          <w:t>Figure 2</w:t>
        </w:r>
        <w:r w:rsidR="00C54875" w:rsidRPr="003C5DD2">
          <w:rPr>
            <w:rStyle w:val="Hyperlink"/>
          </w:rPr>
          <w:noBreakHyphen/>
          <w:t>2. Example of Sensor Output Conversion to Vehicle Classification Data</w:t>
        </w:r>
        <w:r w:rsidR="00C54875">
          <w:rPr>
            <w:webHidden/>
          </w:rPr>
          <w:tab/>
        </w:r>
        <w:r w:rsidR="00C54875">
          <w:rPr>
            <w:webHidden/>
          </w:rPr>
          <w:fldChar w:fldCharType="begin"/>
        </w:r>
        <w:r w:rsidR="00C54875">
          <w:rPr>
            <w:webHidden/>
          </w:rPr>
          <w:instrText xml:space="preserve"> PAGEREF _Toc120626555 \h </w:instrText>
        </w:r>
        <w:r w:rsidR="00C54875">
          <w:rPr>
            <w:webHidden/>
          </w:rPr>
        </w:r>
        <w:r w:rsidR="00C54875">
          <w:rPr>
            <w:webHidden/>
          </w:rPr>
          <w:fldChar w:fldCharType="separate"/>
        </w:r>
        <w:r w:rsidR="00C54875">
          <w:rPr>
            <w:webHidden/>
          </w:rPr>
          <w:t>2-3</w:t>
        </w:r>
        <w:r w:rsidR="00C54875">
          <w:rPr>
            <w:webHidden/>
          </w:rPr>
          <w:fldChar w:fldCharType="end"/>
        </w:r>
      </w:hyperlink>
    </w:p>
    <w:p w14:paraId="23B1DBA5" w14:textId="4DA01D15" w:rsidR="00C54875" w:rsidRDefault="00464453">
      <w:pPr>
        <w:pStyle w:val="TableofFigures"/>
        <w:rPr>
          <w:rFonts w:eastAsiaTheme="minorEastAsia" w:cstheme="minorBidi"/>
          <w:color w:val="auto"/>
          <w:sz w:val="22"/>
          <w:szCs w:val="22"/>
        </w:rPr>
      </w:pPr>
      <w:hyperlink r:id="rId16" w:anchor="_Toc120626556" w:history="1">
        <w:r w:rsidR="00C54875" w:rsidRPr="003C5DD2">
          <w:rPr>
            <w:rStyle w:val="Hyperlink"/>
          </w:rPr>
          <w:t>Figure 2</w:t>
        </w:r>
        <w:r w:rsidR="00C54875" w:rsidRPr="003C5DD2">
          <w:rPr>
            <w:rStyle w:val="Hyperlink"/>
          </w:rPr>
          <w:noBreakHyphen/>
          <w:t>3. Example of Speed and Axle Spacing Monthly Trend Analysis</w:t>
        </w:r>
        <w:r w:rsidR="00C54875">
          <w:rPr>
            <w:webHidden/>
          </w:rPr>
          <w:tab/>
        </w:r>
        <w:r w:rsidR="00C54875">
          <w:rPr>
            <w:webHidden/>
          </w:rPr>
          <w:fldChar w:fldCharType="begin"/>
        </w:r>
        <w:r w:rsidR="00C54875">
          <w:rPr>
            <w:webHidden/>
          </w:rPr>
          <w:instrText xml:space="preserve"> PAGEREF _Toc120626556 \h </w:instrText>
        </w:r>
        <w:r w:rsidR="00C54875">
          <w:rPr>
            <w:webHidden/>
          </w:rPr>
        </w:r>
        <w:r w:rsidR="00C54875">
          <w:rPr>
            <w:webHidden/>
          </w:rPr>
          <w:fldChar w:fldCharType="separate"/>
        </w:r>
        <w:r w:rsidR="00C54875">
          <w:rPr>
            <w:webHidden/>
          </w:rPr>
          <w:t>2-14</w:t>
        </w:r>
        <w:r w:rsidR="00C54875">
          <w:rPr>
            <w:webHidden/>
          </w:rPr>
          <w:fldChar w:fldCharType="end"/>
        </w:r>
      </w:hyperlink>
    </w:p>
    <w:p w14:paraId="79441584" w14:textId="6F3500A6" w:rsidR="00C54875" w:rsidRDefault="00464453">
      <w:pPr>
        <w:pStyle w:val="TableofFigures"/>
        <w:rPr>
          <w:rFonts w:eastAsiaTheme="minorEastAsia" w:cstheme="minorBidi"/>
          <w:color w:val="auto"/>
          <w:sz w:val="22"/>
          <w:szCs w:val="22"/>
        </w:rPr>
      </w:pPr>
      <w:hyperlink w:anchor="_Toc120626557" w:history="1">
        <w:r w:rsidR="00C54875" w:rsidRPr="003C5DD2">
          <w:rPr>
            <w:rStyle w:val="Hyperlink"/>
          </w:rPr>
          <w:t>Figure 2</w:t>
        </w:r>
        <w:r w:rsidR="00C54875" w:rsidRPr="003C5DD2">
          <w:rPr>
            <w:rStyle w:val="Hyperlink"/>
          </w:rPr>
          <w:noBreakHyphen/>
          <w:t>4. Example of Loop Sensor Layout</w:t>
        </w:r>
        <w:r w:rsidR="00C54875">
          <w:rPr>
            <w:webHidden/>
          </w:rPr>
          <w:tab/>
        </w:r>
        <w:r w:rsidR="00C54875">
          <w:rPr>
            <w:webHidden/>
          </w:rPr>
          <w:fldChar w:fldCharType="begin"/>
        </w:r>
        <w:r w:rsidR="00C54875">
          <w:rPr>
            <w:webHidden/>
          </w:rPr>
          <w:instrText xml:space="preserve"> PAGEREF _Toc120626557 \h </w:instrText>
        </w:r>
        <w:r w:rsidR="00C54875">
          <w:rPr>
            <w:webHidden/>
          </w:rPr>
        </w:r>
        <w:r w:rsidR="00C54875">
          <w:rPr>
            <w:webHidden/>
          </w:rPr>
          <w:fldChar w:fldCharType="separate"/>
        </w:r>
        <w:r w:rsidR="00C54875">
          <w:rPr>
            <w:webHidden/>
          </w:rPr>
          <w:t>2-26</w:t>
        </w:r>
        <w:r w:rsidR="00C54875">
          <w:rPr>
            <w:webHidden/>
          </w:rPr>
          <w:fldChar w:fldCharType="end"/>
        </w:r>
      </w:hyperlink>
    </w:p>
    <w:p w14:paraId="43FA5B38" w14:textId="720203B2" w:rsidR="00C54875" w:rsidRDefault="00464453">
      <w:pPr>
        <w:pStyle w:val="TableofFigures"/>
        <w:rPr>
          <w:rFonts w:eastAsiaTheme="minorEastAsia" w:cstheme="minorBidi"/>
          <w:color w:val="auto"/>
          <w:sz w:val="22"/>
          <w:szCs w:val="22"/>
        </w:rPr>
      </w:pPr>
      <w:hyperlink w:anchor="_Toc120626558" w:history="1">
        <w:r w:rsidR="00C54875" w:rsidRPr="003C5DD2">
          <w:rPr>
            <w:rStyle w:val="Hyperlink"/>
          </w:rPr>
          <w:t>Figure 2</w:t>
        </w:r>
        <w:r w:rsidR="00C54875" w:rsidRPr="003C5DD2">
          <w:rPr>
            <w:rStyle w:val="Hyperlink"/>
          </w:rPr>
          <w:noBreakHyphen/>
          <w:t>5. Example of Piezo Sensor Layout</w:t>
        </w:r>
        <w:r w:rsidR="00C54875">
          <w:rPr>
            <w:webHidden/>
          </w:rPr>
          <w:tab/>
        </w:r>
        <w:r w:rsidR="00C54875">
          <w:rPr>
            <w:webHidden/>
          </w:rPr>
          <w:fldChar w:fldCharType="begin"/>
        </w:r>
        <w:r w:rsidR="00C54875">
          <w:rPr>
            <w:webHidden/>
          </w:rPr>
          <w:instrText xml:space="preserve"> PAGEREF _Toc120626558 \h </w:instrText>
        </w:r>
        <w:r w:rsidR="00C54875">
          <w:rPr>
            <w:webHidden/>
          </w:rPr>
        </w:r>
        <w:r w:rsidR="00C54875">
          <w:rPr>
            <w:webHidden/>
          </w:rPr>
          <w:fldChar w:fldCharType="separate"/>
        </w:r>
        <w:r w:rsidR="00C54875">
          <w:rPr>
            <w:webHidden/>
          </w:rPr>
          <w:t>2-27</w:t>
        </w:r>
        <w:r w:rsidR="00C54875">
          <w:rPr>
            <w:webHidden/>
          </w:rPr>
          <w:fldChar w:fldCharType="end"/>
        </w:r>
      </w:hyperlink>
    </w:p>
    <w:p w14:paraId="768A4D54" w14:textId="75C968D4" w:rsidR="00C54875" w:rsidRDefault="00464453">
      <w:pPr>
        <w:pStyle w:val="TableofFigures"/>
        <w:rPr>
          <w:rFonts w:eastAsiaTheme="minorEastAsia" w:cstheme="minorBidi"/>
          <w:color w:val="auto"/>
          <w:sz w:val="22"/>
          <w:szCs w:val="22"/>
        </w:rPr>
      </w:pPr>
      <w:hyperlink w:anchor="_Toc120626559" w:history="1">
        <w:r w:rsidR="00C54875" w:rsidRPr="003C5DD2">
          <w:rPr>
            <w:rStyle w:val="Hyperlink"/>
          </w:rPr>
          <w:t>Figure 2</w:t>
        </w:r>
        <w:r w:rsidR="00C54875" w:rsidRPr="003C5DD2">
          <w:rPr>
            <w:rStyle w:val="Hyperlink"/>
          </w:rPr>
          <w:noBreakHyphen/>
          <w:t>6. Example of Loop and Piezo Sensor Layout</w:t>
        </w:r>
        <w:r w:rsidR="00C54875">
          <w:rPr>
            <w:webHidden/>
          </w:rPr>
          <w:tab/>
        </w:r>
        <w:r w:rsidR="00C54875">
          <w:rPr>
            <w:webHidden/>
          </w:rPr>
          <w:fldChar w:fldCharType="begin"/>
        </w:r>
        <w:r w:rsidR="00C54875">
          <w:rPr>
            <w:webHidden/>
          </w:rPr>
          <w:instrText xml:space="preserve"> PAGEREF _Toc120626559 \h </w:instrText>
        </w:r>
        <w:r w:rsidR="00C54875">
          <w:rPr>
            <w:webHidden/>
          </w:rPr>
        </w:r>
        <w:r w:rsidR="00C54875">
          <w:rPr>
            <w:webHidden/>
          </w:rPr>
          <w:fldChar w:fldCharType="separate"/>
        </w:r>
        <w:r w:rsidR="00C54875">
          <w:rPr>
            <w:webHidden/>
          </w:rPr>
          <w:t>2-28</w:t>
        </w:r>
        <w:r w:rsidR="00C54875">
          <w:rPr>
            <w:webHidden/>
          </w:rPr>
          <w:fldChar w:fldCharType="end"/>
        </w:r>
      </w:hyperlink>
    </w:p>
    <w:p w14:paraId="32C5957D" w14:textId="05914899" w:rsidR="00C54875" w:rsidRDefault="00464453">
      <w:pPr>
        <w:pStyle w:val="TableofFigures"/>
        <w:rPr>
          <w:rFonts w:eastAsiaTheme="minorEastAsia" w:cstheme="minorBidi"/>
          <w:color w:val="auto"/>
          <w:sz w:val="22"/>
          <w:szCs w:val="22"/>
        </w:rPr>
      </w:pPr>
      <w:hyperlink w:anchor="_Toc120626560" w:history="1">
        <w:r w:rsidR="00C54875" w:rsidRPr="003C5DD2">
          <w:rPr>
            <w:rStyle w:val="Hyperlink"/>
          </w:rPr>
          <w:t>Figure 2</w:t>
        </w:r>
        <w:r w:rsidR="00C54875" w:rsidRPr="003C5DD2">
          <w:rPr>
            <w:rStyle w:val="Hyperlink"/>
          </w:rPr>
          <w:noBreakHyphen/>
          <w:t>7. Example of Portable Pneumatic Tube Layout</w:t>
        </w:r>
        <w:r w:rsidR="00C54875">
          <w:rPr>
            <w:webHidden/>
          </w:rPr>
          <w:tab/>
        </w:r>
        <w:r w:rsidR="00C54875">
          <w:rPr>
            <w:webHidden/>
          </w:rPr>
          <w:fldChar w:fldCharType="begin"/>
        </w:r>
        <w:r w:rsidR="00C54875">
          <w:rPr>
            <w:webHidden/>
          </w:rPr>
          <w:instrText xml:space="preserve"> PAGEREF _Toc120626560 \h </w:instrText>
        </w:r>
        <w:r w:rsidR="00C54875">
          <w:rPr>
            <w:webHidden/>
          </w:rPr>
        </w:r>
        <w:r w:rsidR="00C54875">
          <w:rPr>
            <w:webHidden/>
          </w:rPr>
          <w:fldChar w:fldCharType="separate"/>
        </w:r>
        <w:r w:rsidR="00C54875">
          <w:rPr>
            <w:webHidden/>
          </w:rPr>
          <w:t>2-29</w:t>
        </w:r>
        <w:r w:rsidR="00C54875">
          <w:rPr>
            <w:webHidden/>
          </w:rPr>
          <w:fldChar w:fldCharType="end"/>
        </w:r>
      </w:hyperlink>
    </w:p>
    <w:p w14:paraId="6104AD8E" w14:textId="4E6F05FD" w:rsidR="00C54875" w:rsidRDefault="00464453">
      <w:pPr>
        <w:pStyle w:val="TableofFigures"/>
        <w:rPr>
          <w:rFonts w:eastAsiaTheme="minorEastAsia" w:cstheme="minorBidi"/>
          <w:color w:val="auto"/>
          <w:sz w:val="22"/>
          <w:szCs w:val="22"/>
        </w:rPr>
      </w:pPr>
      <w:hyperlink w:anchor="_Toc120626561" w:history="1">
        <w:r w:rsidR="00C54875" w:rsidRPr="003C5DD2">
          <w:rPr>
            <w:rStyle w:val="Hyperlink"/>
          </w:rPr>
          <w:t>Figure 2</w:t>
        </w:r>
        <w:r w:rsidR="00C54875" w:rsidRPr="003C5DD2">
          <w:rPr>
            <w:rStyle w:val="Hyperlink"/>
          </w:rPr>
          <w:noBreakHyphen/>
          <w:t>8. Example of Portable Pneumatic Tube Layout with a Knot and Two Counters</w:t>
        </w:r>
        <w:r w:rsidR="00C54875">
          <w:rPr>
            <w:webHidden/>
          </w:rPr>
          <w:tab/>
        </w:r>
        <w:r w:rsidR="00C54875">
          <w:rPr>
            <w:webHidden/>
          </w:rPr>
          <w:fldChar w:fldCharType="begin"/>
        </w:r>
        <w:r w:rsidR="00C54875">
          <w:rPr>
            <w:webHidden/>
          </w:rPr>
          <w:instrText xml:space="preserve"> PAGEREF _Toc120626561 \h </w:instrText>
        </w:r>
        <w:r w:rsidR="00C54875">
          <w:rPr>
            <w:webHidden/>
          </w:rPr>
        </w:r>
        <w:r w:rsidR="00C54875">
          <w:rPr>
            <w:webHidden/>
          </w:rPr>
          <w:fldChar w:fldCharType="separate"/>
        </w:r>
        <w:r w:rsidR="00C54875">
          <w:rPr>
            <w:webHidden/>
          </w:rPr>
          <w:t>2-30</w:t>
        </w:r>
        <w:r w:rsidR="00C54875">
          <w:rPr>
            <w:webHidden/>
          </w:rPr>
          <w:fldChar w:fldCharType="end"/>
        </w:r>
      </w:hyperlink>
    </w:p>
    <w:p w14:paraId="0B8315ED" w14:textId="6BC5394E" w:rsidR="00C54875" w:rsidRDefault="00464453">
      <w:pPr>
        <w:pStyle w:val="TableofFigures"/>
        <w:rPr>
          <w:rFonts w:eastAsiaTheme="minorEastAsia" w:cstheme="minorBidi"/>
          <w:color w:val="auto"/>
          <w:sz w:val="22"/>
          <w:szCs w:val="22"/>
        </w:rPr>
      </w:pPr>
      <w:hyperlink w:anchor="_Toc120626562" w:history="1">
        <w:r w:rsidR="00C54875" w:rsidRPr="003C5DD2">
          <w:rPr>
            <w:rStyle w:val="Hyperlink"/>
          </w:rPr>
          <w:t>Figure 2</w:t>
        </w:r>
        <w:r w:rsidR="00C54875" w:rsidRPr="003C5DD2">
          <w:rPr>
            <w:rStyle w:val="Hyperlink"/>
          </w:rPr>
          <w:noBreakHyphen/>
          <w:t>9. Example of Staggered WIM Sensor Layout for Plate Sensors</w:t>
        </w:r>
        <w:r w:rsidR="00C54875">
          <w:rPr>
            <w:webHidden/>
          </w:rPr>
          <w:tab/>
        </w:r>
        <w:r w:rsidR="00C54875">
          <w:rPr>
            <w:webHidden/>
          </w:rPr>
          <w:fldChar w:fldCharType="begin"/>
        </w:r>
        <w:r w:rsidR="00C54875">
          <w:rPr>
            <w:webHidden/>
          </w:rPr>
          <w:instrText xml:space="preserve"> PAGEREF _Toc120626562 \h </w:instrText>
        </w:r>
        <w:r w:rsidR="00C54875">
          <w:rPr>
            <w:webHidden/>
          </w:rPr>
        </w:r>
        <w:r w:rsidR="00C54875">
          <w:rPr>
            <w:webHidden/>
          </w:rPr>
          <w:fldChar w:fldCharType="separate"/>
        </w:r>
        <w:r w:rsidR="00C54875">
          <w:rPr>
            <w:webHidden/>
          </w:rPr>
          <w:t>2-31</w:t>
        </w:r>
        <w:r w:rsidR="00C54875">
          <w:rPr>
            <w:webHidden/>
          </w:rPr>
          <w:fldChar w:fldCharType="end"/>
        </w:r>
      </w:hyperlink>
    </w:p>
    <w:p w14:paraId="3EECE9CF" w14:textId="54FC3B64" w:rsidR="00C54875" w:rsidRDefault="00464453">
      <w:pPr>
        <w:pStyle w:val="TableofFigures"/>
        <w:rPr>
          <w:rFonts w:eastAsiaTheme="minorEastAsia" w:cstheme="minorBidi"/>
          <w:color w:val="auto"/>
          <w:sz w:val="22"/>
          <w:szCs w:val="22"/>
        </w:rPr>
      </w:pPr>
      <w:hyperlink w:anchor="_Toc120626563" w:history="1">
        <w:r w:rsidR="00C54875" w:rsidRPr="003C5DD2">
          <w:rPr>
            <w:rStyle w:val="Hyperlink"/>
          </w:rPr>
          <w:t>Figure 2</w:t>
        </w:r>
        <w:r w:rsidR="00C54875" w:rsidRPr="003C5DD2">
          <w:rPr>
            <w:rStyle w:val="Hyperlink"/>
          </w:rPr>
          <w:noBreakHyphen/>
          <w:t>10. Equipment Selection Process</w:t>
        </w:r>
        <w:r w:rsidR="00C54875">
          <w:rPr>
            <w:webHidden/>
          </w:rPr>
          <w:tab/>
        </w:r>
        <w:r w:rsidR="00C54875">
          <w:rPr>
            <w:webHidden/>
          </w:rPr>
          <w:fldChar w:fldCharType="begin"/>
        </w:r>
        <w:r w:rsidR="00C54875">
          <w:rPr>
            <w:webHidden/>
          </w:rPr>
          <w:instrText xml:space="preserve"> PAGEREF _Toc120626563 \h </w:instrText>
        </w:r>
        <w:r w:rsidR="00C54875">
          <w:rPr>
            <w:webHidden/>
          </w:rPr>
        </w:r>
        <w:r w:rsidR="00C54875">
          <w:rPr>
            <w:webHidden/>
          </w:rPr>
          <w:fldChar w:fldCharType="separate"/>
        </w:r>
        <w:r w:rsidR="00C54875">
          <w:rPr>
            <w:webHidden/>
          </w:rPr>
          <w:t>2-33</w:t>
        </w:r>
        <w:r w:rsidR="00C54875">
          <w:rPr>
            <w:webHidden/>
          </w:rPr>
          <w:fldChar w:fldCharType="end"/>
        </w:r>
      </w:hyperlink>
    </w:p>
    <w:p w14:paraId="21D27355" w14:textId="06ACA62F" w:rsidR="00C54875" w:rsidRDefault="00464453">
      <w:pPr>
        <w:pStyle w:val="TableofFigures"/>
        <w:rPr>
          <w:rFonts w:eastAsiaTheme="minorEastAsia" w:cstheme="minorBidi"/>
          <w:color w:val="auto"/>
          <w:sz w:val="22"/>
          <w:szCs w:val="22"/>
        </w:rPr>
      </w:pPr>
      <w:hyperlink w:anchor="_Toc120626564" w:history="1">
        <w:r w:rsidR="00C54875" w:rsidRPr="003C5DD2">
          <w:rPr>
            <w:rStyle w:val="Hyperlink"/>
          </w:rPr>
          <w:t>Figure 2</w:t>
        </w:r>
        <w:r w:rsidR="00C54875" w:rsidRPr="003C5DD2">
          <w:rPr>
            <w:rStyle w:val="Hyperlink"/>
          </w:rPr>
          <w:noBreakHyphen/>
          <w:t>11. Examples of Inductance Loop Detector Shapes for Bicyclist Counting</w:t>
        </w:r>
        <w:r w:rsidR="00C54875">
          <w:rPr>
            <w:webHidden/>
          </w:rPr>
          <w:tab/>
        </w:r>
        <w:r w:rsidR="00C54875">
          <w:rPr>
            <w:webHidden/>
          </w:rPr>
          <w:fldChar w:fldCharType="begin"/>
        </w:r>
        <w:r w:rsidR="00C54875">
          <w:rPr>
            <w:webHidden/>
          </w:rPr>
          <w:instrText xml:space="preserve"> PAGEREF _Toc120626564 \h </w:instrText>
        </w:r>
        <w:r w:rsidR="00C54875">
          <w:rPr>
            <w:webHidden/>
          </w:rPr>
        </w:r>
        <w:r w:rsidR="00C54875">
          <w:rPr>
            <w:webHidden/>
          </w:rPr>
          <w:fldChar w:fldCharType="separate"/>
        </w:r>
        <w:r w:rsidR="00C54875">
          <w:rPr>
            <w:webHidden/>
          </w:rPr>
          <w:t>2-34</w:t>
        </w:r>
        <w:r w:rsidR="00C54875">
          <w:rPr>
            <w:webHidden/>
          </w:rPr>
          <w:fldChar w:fldCharType="end"/>
        </w:r>
      </w:hyperlink>
    </w:p>
    <w:p w14:paraId="219F4226" w14:textId="6B014532" w:rsidR="00C54875" w:rsidRDefault="00464453">
      <w:pPr>
        <w:pStyle w:val="TableofFigures"/>
        <w:rPr>
          <w:rFonts w:eastAsiaTheme="minorEastAsia" w:cstheme="minorBidi"/>
          <w:color w:val="auto"/>
          <w:sz w:val="22"/>
          <w:szCs w:val="22"/>
        </w:rPr>
      </w:pPr>
      <w:hyperlink w:anchor="_Toc120626565" w:history="1">
        <w:r w:rsidR="00C54875" w:rsidRPr="003C5DD2">
          <w:rPr>
            <w:rStyle w:val="Hyperlink"/>
          </w:rPr>
          <w:t>Figure 2</w:t>
        </w:r>
        <w:r w:rsidR="00C54875" w:rsidRPr="003C5DD2">
          <w:rPr>
            <w:rStyle w:val="Hyperlink"/>
          </w:rPr>
          <w:noBreakHyphen/>
          <w:t>12. Example a of Passive Infrared Sensor Combined with Inductance Loop Detectors</w:t>
        </w:r>
        <w:r w:rsidR="00C54875">
          <w:rPr>
            <w:webHidden/>
          </w:rPr>
          <w:tab/>
        </w:r>
        <w:r w:rsidR="00C54875">
          <w:rPr>
            <w:webHidden/>
          </w:rPr>
          <w:fldChar w:fldCharType="begin"/>
        </w:r>
        <w:r w:rsidR="00C54875">
          <w:rPr>
            <w:webHidden/>
          </w:rPr>
          <w:instrText xml:space="preserve"> PAGEREF _Toc120626565 \h </w:instrText>
        </w:r>
        <w:r w:rsidR="00C54875">
          <w:rPr>
            <w:webHidden/>
          </w:rPr>
        </w:r>
        <w:r w:rsidR="00C54875">
          <w:rPr>
            <w:webHidden/>
          </w:rPr>
          <w:fldChar w:fldCharType="separate"/>
        </w:r>
        <w:r w:rsidR="00C54875">
          <w:rPr>
            <w:webHidden/>
          </w:rPr>
          <w:t>2-35</w:t>
        </w:r>
        <w:r w:rsidR="00C54875">
          <w:rPr>
            <w:webHidden/>
          </w:rPr>
          <w:fldChar w:fldCharType="end"/>
        </w:r>
      </w:hyperlink>
    </w:p>
    <w:p w14:paraId="75B95D1B" w14:textId="62AB8D88" w:rsidR="00C54875" w:rsidRDefault="00464453">
      <w:pPr>
        <w:pStyle w:val="TableofFigures"/>
        <w:rPr>
          <w:rFonts w:eastAsiaTheme="minorEastAsia" w:cstheme="minorBidi"/>
          <w:color w:val="auto"/>
          <w:sz w:val="22"/>
          <w:szCs w:val="22"/>
        </w:rPr>
      </w:pPr>
      <w:hyperlink w:anchor="_Toc120626566" w:history="1">
        <w:r w:rsidR="00C54875" w:rsidRPr="003C5DD2">
          <w:rPr>
            <w:rStyle w:val="Hyperlink"/>
          </w:rPr>
          <w:t>Figure 2</w:t>
        </w:r>
        <w:r w:rsidR="00C54875" w:rsidRPr="003C5DD2">
          <w:rPr>
            <w:rStyle w:val="Hyperlink"/>
          </w:rPr>
          <w:noBreakHyphen/>
          <w:t>13. Example B of Passive Infrared Sensor Combined with Inductance Loop Detectors</w:t>
        </w:r>
        <w:r w:rsidR="00C54875">
          <w:rPr>
            <w:webHidden/>
          </w:rPr>
          <w:tab/>
        </w:r>
        <w:r w:rsidR="00C54875">
          <w:rPr>
            <w:webHidden/>
          </w:rPr>
          <w:fldChar w:fldCharType="begin"/>
        </w:r>
        <w:r w:rsidR="00C54875">
          <w:rPr>
            <w:webHidden/>
          </w:rPr>
          <w:instrText xml:space="preserve"> PAGEREF _Toc120626566 \h </w:instrText>
        </w:r>
        <w:r w:rsidR="00C54875">
          <w:rPr>
            <w:webHidden/>
          </w:rPr>
        </w:r>
        <w:r w:rsidR="00C54875">
          <w:rPr>
            <w:webHidden/>
          </w:rPr>
          <w:fldChar w:fldCharType="separate"/>
        </w:r>
        <w:r w:rsidR="00C54875">
          <w:rPr>
            <w:webHidden/>
          </w:rPr>
          <w:t>2-36</w:t>
        </w:r>
        <w:r w:rsidR="00C54875">
          <w:rPr>
            <w:webHidden/>
          </w:rPr>
          <w:fldChar w:fldCharType="end"/>
        </w:r>
      </w:hyperlink>
    </w:p>
    <w:p w14:paraId="6335C294" w14:textId="7F723252" w:rsidR="00C54875" w:rsidRDefault="00464453">
      <w:pPr>
        <w:pStyle w:val="TableofFigures"/>
        <w:rPr>
          <w:rFonts w:eastAsiaTheme="minorEastAsia" w:cstheme="minorBidi"/>
          <w:color w:val="auto"/>
          <w:sz w:val="22"/>
          <w:szCs w:val="22"/>
        </w:rPr>
      </w:pPr>
      <w:hyperlink w:anchor="_Toc120626567" w:history="1">
        <w:r w:rsidR="00C54875" w:rsidRPr="003C5DD2">
          <w:rPr>
            <w:rStyle w:val="Hyperlink"/>
          </w:rPr>
          <w:t>Figure 2</w:t>
        </w:r>
        <w:r w:rsidR="00C54875" w:rsidRPr="003C5DD2">
          <w:rPr>
            <w:rStyle w:val="Hyperlink"/>
          </w:rPr>
          <w:noBreakHyphen/>
          <w:t>14. Typical Configuration for Active Infrared Sensor</w:t>
        </w:r>
        <w:r w:rsidR="00C54875">
          <w:rPr>
            <w:webHidden/>
          </w:rPr>
          <w:tab/>
        </w:r>
        <w:r w:rsidR="00C54875">
          <w:rPr>
            <w:webHidden/>
          </w:rPr>
          <w:fldChar w:fldCharType="begin"/>
        </w:r>
        <w:r w:rsidR="00C54875">
          <w:rPr>
            <w:webHidden/>
          </w:rPr>
          <w:instrText xml:space="preserve"> PAGEREF _Toc120626567 \h </w:instrText>
        </w:r>
        <w:r w:rsidR="00C54875">
          <w:rPr>
            <w:webHidden/>
          </w:rPr>
        </w:r>
        <w:r w:rsidR="00C54875">
          <w:rPr>
            <w:webHidden/>
          </w:rPr>
          <w:fldChar w:fldCharType="separate"/>
        </w:r>
        <w:r w:rsidR="00C54875">
          <w:rPr>
            <w:webHidden/>
          </w:rPr>
          <w:t>2-36</w:t>
        </w:r>
        <w:r w:rsidR="00C54875">
          <w:rPr>
            <w:webHidden/>
          </w:rPr>
          <w:fldChar w:fldCharType="end"/>
        </w:r>
      </w:hyperlink>
    </w:p>
    <w:p w14:paraId="207685A7" w14:textId="088EF8D8" w:rsidR="00C54875" w:rsidRDefault="00464453">
      <w:pPr>
        <w:pStyle w:val="TableofFigures"/>
        <w:rPr>
          <w:rFonts w:eastAsiaTheme="minorEastAsia" w:cstheme="minorBidi"/>
          <w:color w:val="auto"/>
          <w:sz w:val="22"/>
          <w:szCs w:val="22"/>
        </w:rPr>
      </w:pPr>
      <w:hyperlink w:anchor="_Toc120626568" w:history="1">
        <w:r w:rsidR="00C54875" w:rsidRPr="003C5DD2">
          <w:rPr>
            <w:rStyle w:val="Hyperlink"/>
          </w:rPr>
          <w:t>Figure 2</w:t>
        </w:r>
        <w:r w:rsidR="00C54875" w:rsidRPr="003C5DD2">
          <w:rPr>
            <w:rStyle w:val="Hyperlink"/>
          </w:rPr>
          <w:noBreakHyphen/>
          <w:t>15. Example of Pneumatic Tube Configuration for Counting Directional Bicyclist Traffic</w:t>
        </w:r>
        <w:r w:rsidR="00C54875">
          <w:rPr>
            <w:webHidden/>
          </w:rPr>
          <w:tab/>
        </w:r>
        <w:r w:rsidR="00C54875">
          <w:rPr>
            <w:webHidden/>
          </w:rPr>
          <w:fldChar w:fldCharType="begin"/>
        </w:r>
        <w:r w:rsidR="00C54875">
          <w:rPr>
            <w:webHidden/>
          </w:rPr>
          <w:instrText xml:space="preserve"> PAGEREF _Toc120626568 \h </w:instrText>
        </w:r>
        <w:r w:rsidR="00C54875">
          <w:rPr>
            <w:webHidden/>
          </w:rPr>
        </w:r>
        <w:r w:rsidR="00C54875">
          <w:rPr>
            <w:webHidden/>
          </w:rPr>
          <w:fldChar w:fldCharType="separate"/>
        </w:r>
        <w:r w:rsidR="00C54875">
          <w:rPr>
            <w:webHidden/>
          </w:rPr>
          <w:t>2-37</w:t>
        </w:r>
        <w:r w:rsidR="00C54875">
          <w:rPr>
            <w:webHidden/>
          </w:rPr>
          <w:fldChar w:fldCharType="end"/>
        </w:r>
      </w:hyperlink>
    </w:p>
    <w:p w14:paraId="7DF221FE" w14:textId="139CB3DA" w:rsidR="00C54875" w:rsidRDefault="00464453">
      <w:pPr>
        <w:pStyle w:val="TableofFigures"/>
        <w:rPr>
          <w:rFonts w:eastAsiaTheme="minorEastAsia" w:cstheme="minorBidi"/>
          <w:color w:val="auto"/>
          <w:sz w:val="22"/>
          <w:szCs w:val="22"/>
        </w:rPr>
      </w:pPr>
      <w:hyperlink w:anchor="_Toc120626569" w:history="1">
        <w:r w:rsidR="00C54875" w:rsidRPr="003C5DD2">
          <w:rPr>
            <w:rStyle w:val="Hyperlink"/>
          </w:rPr>
          <w:t>Figure 2</w:t>
        </w:r>
        <w:r w:rsidR="00C54875" w:rsidRPr="003C5DD2">
          <w:rPr>
            <w:rStyle w:val="Hyperlink"/>
          </w:rPr>
          <w:noBreakHyphen/>
          <w:t>16. Examples of Pressure Sensors on Natural (A) and Paved (B) Surfaces</w:t>
        </w:r>
        <w:r w:rsidR="00C54875">
          <w:rPr>
            <w:webHidden/>
          </w:rPr>
          <w:tab/>
        </w:r>
        <w:r w:rsidR="00C54875">
          <w:rPr>
            <w:webHidden/>
          </w:rPr>
          <w:fldChar w:fldCharType="begin"/>
        </w:r>
        <w:r w:rsidR="00C54875">
          <w:rPr>
            <w:webHidden/>
          </w:rPr>
          <w:instrText xml:space="preserve"> PAGEREF _Toc120626569 \h </w:instrText>
        </w:r>
        <w:r w:rsidR="00C54875">
          <w:rPr>
            <w:webHidden/>
          </w:rPr>
        </w:r>
        <w:r w:rsidR="00C54875">
          <w:rPr>
            <w:webHidden/>
          </w:rPr>
          <w:fldChar w:fldCharType="separate"/>
        </w:r>
        <w:r w:rsidR="00C54875">
          <w:rPr>
            <w:webHidden/>
          </w:rPr>
          <w:t>2-38</w:t>
        </w:r>
        <w:r w:rsidR="00C54875">
          <w:rPr>
            <w:webHidden/>
          </w:rPr>
          <w:fldChar w:fldCharType="end"/>
        </w:r>
      </w:hyperlink>
    </w:p>
    <w:p w14:paraId="4D0F14AB" w14:textId="724B37C4" w:rsidR="00C54875" w:rsidRDefault="00464453">
      <w:pPr>
        <w:pStyle w:val="TableofFigures"/>
        <w:rPr>
          <w:rFonts w:eastAsiaTheme="minorEastAsia" w:cstheme="minorBidi"/>
          <w:color w:val="auto"/>
          <w:sz w:val="22"/>
          <w:szCs w:val="22"/>
        </w:rPr>
      </w:pPr>
      <w:hyperlink w:anchor="_Toc120626570" w:history="1">
        <w:r w:rsidR="00C54875" w:rsidRPr="003C5DD2">
          <w:rPr>
            <w:rStyle w:val="Hyperlink"/>
          </w:rPr>
          <w:t>Figure 2</w:t>
        </w:r>
        <w:r w:rsidR="00C54875" w:rsidRPr="003C5DD2">
          <w:rPr>
            <w:rStyle w:val="Hyperlink"/>
          </w:rPr>
          <w:noBreakHyphen/>
          <w:t>17. Example of Video Capture of Bicycles and Pedestrians</w:t>
        </w:r>
        <w:r w:rsidR="00C54875">
          <w:rPr>
            <w:webHidden/>
          </w:rPr>
          <w:tab/>
        </w:r>
        <w:r w:rsidR="00C54875">
          <w:rPr>
            <w:webHidden/>
          </w:rPr>
          <w:fldChar w:fldCharType="begin"/>
        </w:r>
        <w:r w:rsidR="00C54875">
          <w:rPr>
            <w:webHidden/>
          </w:rPr>
          <w:instrText xml:space="preserve"> PAGEREF _Toc120626570 \h </w:instrText>
        </w:r>
        <w:r w:rsidR="00C54875">
          <w:rPr>
            <w:webHidden/>
          </w:rPr>
        </w:r>
        <w:r w:rsidR="00C54875">
          <w:rPr>
            <w:webHidden/>
          </w:rPr>
          <w:fldChar w:fldCharType="separate"/>
        </w:r>
        <w:r w:rsidR="00C54875">
          <w:rPr>
            <w:webHidden/>
          </w:rPr>
          <w:t>2-39</w:t>
        </w:r>
        <w:r w:rsidR="00C54875">
          <w:rPr>
            <w:webHidden/>
          </w:rPr>
          <w:fldChar w:fldCharType="end"/>
        </w:r>
      </w:hyperlink>
    </w:p>
    <w:p w14:paraId="5698C6A7" w14:textId="6934D04F" w:rsidR="00C54875" w:rsidRDefault="00464453">
      <w:pPr>
        <w:pStyle w:val="TableofFigures"/>
        <w:rPr>
          <w:rFonts w:eastAsiaTheme="minorEastAsia" w:cstheme="minorBidi"/>
          <w:color w:val="auto"/>
          <w:sz w:val="22"/>
          <w:szCs w:val="22"/>
        </w:rPr>
      </w:pPr>
      <w:hyperlink w:anchor="_Toc120626571" w:history="1">
        <w:r w:rsidR="00C54875" w:rsidRPr="003C5DD2">
          <w:rPr>
            <w:rStyle w:val="Hyperlink"/>
          </w:rPr>
          <w:t>Figure 3</w:t>
        </w:r>
        <w:r w:rsidR="00C54875" w:rsidRPr="003C5DD2">
          <w:rPr>
            <w:rStyle w:val="Hyperlink"/>
          </w:rPr>
          <w:noBreakHyphen/>
          <w:t>1. Example of Differences in Monthly Travel Patterns By Day of Week in Montana</w:t>
        </w:r>
        <w:r w:rsidR="00C54875">
          <w:rPr>
            <w:webHidden/>
          </w:rPr>
          <w:tab/>
        </w:r>
        <w:r w:rsidR="00C54875">
          <w:rPr>
            <w:webHidden/>
          </w:rPr>
          <w:fldChar w:fldCharType="begin"/>
        </w:r>
        <w:r w:rsidR="00C54875">
          <w:rPr>
            <w:webHidden/>
          </w:rPr>
          <w:instrText xml:space="preserve"> PAGEREF _Toc120626571 \h </w:instrText>
        </w:r>
        <w:r w:rsidR="00C54875">
          <w:rPr>
            <w:webHidden/>
          </w:rPr>
        </w:r>
        <w:r w:rsidR="00C54875">
          <w:rPr>
            <w:webHidden/>
          </w:rPr>
          <w:fldChar w:fldCharType="separate"/>
        </w:r>
        <w:r w:rsidR="00C54875">
          <w:rPr>
            <w:webHidden/>
          </w:rPr>
          <w:t>3-5</w:t>
        </w:r>
        <w:r w:rsidR="00C54875">
          <w:rPr>
            <w:webHidden/>
          </w:rPr>
          <w:fldChar w:fldCharType="end"/>
        </w:r>
      </w:hyperlink>
    </w:p>
    <w:p w14:paraId="3E09C90A" w14:textId="1EB79677" w:rsidR="00C54875" w:rsidRDefault="00464453">
      <w:pPr>
        <w:pStyle w:val="TableofFigures"/>
        <w:rPr>
          <w:rFonts w:eastAsiaTheme="minorEastAsia" w:cstheme="minorBidi"/>
          <w:color w:val="auto"/>
          <w:sz w:val="22"/>
          <w:szCs w:val="22"/>
        </w:rPr>
      </w:pPr>
      <w:hyperlink w:anchor="_Toc120626572" w:history="1">
        <w:r w:rsidR="00C54875" w:rsidRPr="003C5DD2">
          <w:rPr>
            <w:rStyle w:val="Hyperlink"/>
          </w:rPr>
          <w:t>Figure 3</w:t>
        </w:r>
        <w:r w:rsidR="00C54875" w:rsidRPr="003C5DD2">
          <w:rPr>
            <w:rStyle w:val="Hyperlink"/>
          </w:rPr>
          <w:noBreakHyphen/>
          <w:t xml:space="preserve">2. Relationship between </w:t>
        </w:r>
        <m:oMath>
          <m:r>
            <m:rPr>
              <m:sty m:val="bi"/>
            </m:rPr>
            <w:rPr>
              <w:rStyle w:val="Hyperlink"/>
              <w:rFonts w:ascii="Cambria Math" w:hAnsi="Cambria Math"/>
            </w:rPr>
            <m:t>t</m:t>
          </m:r>
          <m:r>
            <m:rPr>
              <m:sty m:val="b"/>
            </m:rPr>
            <w:rPr>
              <w:rStyle w:val="Hyperlink"/>
              <w:rFonts w:ascii="Cambria Math" w:hAnsi="Cambria Math"/>
            </w:rPr>
            <m:t>0</m:t>
          </m:r>
          <m:r>
            <m:rPr>
              <m:sty m:val="p"/>
            </m:rPr>
            <w:rPr>
              <w:rStyle w:val="Hyperlink"/>
              <w:rFonts w:ascii="Cambria Math" w:hAnsi="Cambria Math"/>
            </w:rPr>
            <m:t>.</m:t>
          </m:r>
          <m:r>
            <m:rPr>
              <m:sty m:val="b"/>
            </m:rPr>
            <w:rPr>
              <w:rStyle w:val="Hyperlink"/>
              <w:rFonts w:ascii="Cambria Math" w:hAnsi="Cambria Math"/>
            </w:rPr>
            <m:t>025</m:t>
          </m:r>
          <m:r>
            <m:rPr>
              <m:sty m:val="p"/>
            </m:rPr>
            <w:rPr>
              <w:rStyle w:val="Hyperlink"/>
              <w:rFonts w:ascii="Cambria Math" w:hAnsi="Cambria Math"/>
            </w:rPr>
            <m:t xml:space="preserve">, </m:t>
          </m:r>
          <m:r>
            <m:rPr>
              <m:sty m:val="bi"/>
            </m:rPr>
            <w:rPr>
              <w:rStyle w:val="Hyperlink"/>
              <w:rFonts w:ascii="Cambria Math" w:hAnsi="Cambria Math"/>
            </w:rPr>
            <m:t>n</m:t>
          </m:r>
          <m:r>
            <m:rPr>
              <m:sty m:val="p"/>
            </m:rPr>
            <w:rPr>
              <w:rStyle w:val="Hyperlink"/>
              <w:rFonts w:ascii="Cambria Math" w:hAnsi="Cambria Math"/>
            </w:rPr>
            <m:t>-</m:t>
          </m:r>
          <m:r>
            <m:rPr>
              <m:sty m:val="b"/>
            </m:rPr>
            <w:rPr>
              <w:rStyle w:val="Hyperlink"/>
              <w:rFonts w:ascii="Cambria Math" w:hAnsi="Cambria Math"/>
            </w:rPr>
            <m:t>11</m:t>
          </m:r>
          <m:r>
            <m:rPr>
              <m:sty m:val="bi"/>
            </m:rPr>
            <w:rPr>
              <w:rStyle w:val="Hyperlink"/>
              <w:rFonts w:ascii="Cambria Math" w:hAnsi="Cambria Math"/>
            </w:rPr>
            <m:t>n</m:t>
          </m:r>
        </m:oMath>
        <w:r w:rsidR="00C54875" w:rsidRPr="003C5DD2">
          <w:rPr>
            <w:rStyle w:val="Hyperlink"/>
          </w:rPr>
          <w:t xml:space="preserve"> Statistic and Number of Sites</w:t>
        </w:r>
        <w:r w:rsidR="00C54875">
          <w:rPr>
            <w:webHidden/>
          </w:rPr>
          <w:tab/>
        </w:r>
        <w:r w:rsidR="00C54875">
          <w:rPr>
            <w:webHidden/>
          </w:rPr>
          <w:fldChar w:fldCharType="begin"/>
        </w:r>
        <w:r w:rsidR="00C54875">
          <w:rPr>
            <w:webHidden/>
          </w:rPr>
          <w:instrText xml:space="preserve"> PAGEREF _Toc120626572 \h </w:instrText>
        </w:r>
        <w:r w:rsidR="00C54875">
          <w:rPr>
            <w:webHidden/>
          </w:rPr>
        </w:r>
        <w:r w:rsidR="00C54875">
          <w:rPr>
            <w:webHidden/>
          </w:rPr>
          <w:fldChar w:fldCharType="separate"/>
        </w:r>
        <w:r w:rsidR="00C54875">
          <w:rPr>
            <w:webHidden/>
          </w:rPr>
          <w:t>3-24</w:t>
        </w:r>
        <w:r w:rsidR="00C54875">
          <w:rPr>
            <w:webHidden/>
          </w:rPr>
          <w:fldChar w:fldCharType="end"/>
        </w:r>
      </w:hyperlink>
    </w:p>
    <w:p w14:paraId="18724C58" w14:textId="7DF99D08" w:rsidR="00C54875" w:rsidRDefault="00464453">
      <w:pPr>
        <w:pStyle w:val="TableofFigures"/>
        <w:rPr>
          <w:rFonts w:eastAsiaTheme="minorEastAsia" w:cstheme="minorBidi"/>
          <w:color w:val="auto"/>
          <w:sz w:val="22"/>
          <w:szCs w:val="22"/>
        </w:rPr>
      </w:pPr>
      <w:hyperlink w:anchor="_Toc120626573" w:history="1">
        <w:r w:rsidR="00C54875" w:rsidRPr="003C5DD2">
          <w:rPr>
            <w:rStyle w:val="Hyperlink"/>
          </w:rPr>
          <w:t>Figure 3</w:t>
        </w:r>
        <w:r w:rsidR="00C54875" w:rsidRPr="003C5DD2">
          <w:rPr>
            <w:rStyle w:val="Hyperlink"/>
          </w:rPr>
          <w:noBreakHyphen/>
          <w:t>3. Tandem Axle Load Distributions with Different Loading Conditions</w:t>
        </w:r>
        <w:r w:rsidR="00C54875">
          <w:rPr>
            <w:webHidden/>
          </w:rPr>
          <w:tab/>
        </w:r>
        <w:r w:rsidR="00C54875">
          <w:rPr>
            <w:webHidden/>
          </w:rPr>
          <w:fldChar w:fldCharType="begin"/>
        </w:r>
        <w:r w:rsidR="00C54875">
          <w:rPr>
            <w:webHidden/>
          </w:rPr>
          <w:instrText xml:space="preserve"> PAGEREF _Toc120626573 \h </w:instrText>
        </w:r>
        <w:r w:rsidR="00C54875">
          <w:rPr>
            <w:webHidden/>
          </w:rPr>
        </w:r>
        <w:r w:rsidR="00C54875">
          <w:rPr>
            <w:webHidden/>
          </w:rPr>
          <w:fldChar w:fldCharType="separate"/>
        </w:r>
        <w:r w:rsidR="00C54875">
          <w:rPr>
            <w:webHidden/>
          </w:rPr>
          <w:t>3-34</w:t>
        </w:r>
        <w:r w:rsidR="00C54875">
          <w:rPr>
            <w:webHidden/>
          </w:rPr>
          <w:fldChar w:fldCharType="end"/>
        </w:r>
      </w:hyperlink>
    </w:p>
    <w:p w14:paraId="73E778EC" w14:textId="7FA504FD" w:rsidR="00C54875" w:rsidRDefault="00464453">
      <w:pPr>
        <w:pStyle w:val="TableofFigures"/>
        <w:rPr>
          <w:rFonts w:eastAsiaTheme="minorEastAsia" w:cstheme="minorBidi"/>
          <w:color w:val="auto"/>
          <w:sz w:val="22"/>
          <w:szCs w:val="22"/>
        </w:rPr>
      </w:pPr>
      <w:hyperlink w:anchor="_Toc120626574" w:history="1">
        <w:r w:rsidR="00C54875" w:rsidRPr="003C5DD2">
          <w:rPr>
            <w:rStyle w:val="Hyperlink"/>
          </w:rPr>
          <w:t>Figure 3</w:t>
        </w:r>
        <w:r w:rsidR="00C54875" w:rsidRPr="003C5DD2">
          <w:rPr>
            <w:rStyle w:val="Hyperlink"/>
          </w:rPr>
          <w:noBreakHyphen/>
          <w:t>4. Weekly Bicycle and Pedestrian Traffic</w:t>
        </w:r>
        <w:r w:rsidR="00C54875">
          <w:rPr>
            <w:webHidden/>
          </w:rPr>
          <w:tab/>
        </w:r>
        <w:r w:rsidR="00C54875">
          <w:rPr>
            <w:webHidden/>
          </w:rPr>
          <w:fldChar w:fldCharType="begin"/>
        </w:r>
        <w:r w:rsidR="00C54875">
          <w:rPr>
            <w:webHidden/>
          </w:rPr>
          <w:instrText xml:space="preserve"> PAGEREF _Toc120626574 \h </w:instrText>
        </w:r>
        <w:r w:rsidR="00C54875">
          <w:rPr>
            <w:webHidden/>
          </w:rPr>
        </w:r>
        <w:r w:rsidR="00C54875">
          <w:rPr>
            <w:webHidden/>
          </w:rPr>
          <w:fldChar w:fldCharType="separate"/>
        </w:r>
        <w:r w:rsidR="00C54875">
          <w:rPr>
            <w:webHidden/>
          </w:rPr>
          <w:t>3-47</w:t>
        </w:r>
        <w:r w:rsidR="00C54875">
          <w:rPr>
            <w:webHidden/>
          </w:rPr>
          <w:fldChar w:fldCharType="end"/>
        </w:r>
      </w:hyperlink>
    </w:p>
    <w:p w14:paraId="1216F557" w14:textId="3FF7D830" w:rsidR="00C54875" w:rsidRDefault="00464453">
      <w:pPr>
        <w:pStyle w:val="TableofFigures"/>
        <w:rPr>
          <w:rFonts w:eastAsiaTheme="minorEastAsia" w:cstheme="minorBidi"/>
          <w:color w:val="auto"/>
          <w:sz w:val="22"/>
          <w:szCs w:val="22"/>
        </w:rPr>
      </w:pPr>
      <w:hyperlink w:anchor="_Toc120626575" w:history="1">
        <w:r w:rsidR="00C54875" w:rsidRPr="003C5DD2">
          <w:rPr>
            <w:rStyle w:val="Hyperlink"/>
          </w:rPr>
          <w:t>Figure 3</w:t>
        </w:r>
        <w:r w:rsidR="00C54875" w:rsidRPr="003C5DD2">
          <w:rPr>
            <w:rStyle w:val="Hyperlink"/>
          </w:rPr>
          <w:noBreakHyphen/>
          <w:t>5. FHWA’S 13 Vehicle Category Classification</w:t>
        </w:r>
        <w:r w:rsidR="00C54875">
          <w:rPr>
            <w:webHidden/>
          </w:rPr>
          <w:tab/>
        </w:r>
        <w:r w:rsidR="00C54875">
          <w:rPr>
            <w:webHidden/>
          </w:rPr>
          <w:fldChar w:fldCharType="begin"/>
        </w:r>
        <w:r w:rsidR="00C54875">
          <w:rPr>
            <w:webHidden/>
          </w:rPr>
          <w:instrText xml:space="preserve"> PAGEREF _Toc120626575 \h </w:instrText>
        </w:r>
        <w:r w:rsidR="00C54875">
          <w:rPr>
            <w:webHidden/>
          </w:rPr>
        </w:r>
        <w:r w:rsidR="00C54875">
          <w:rPr>
            <w:webHidden/>
          </w:rPr>
          <w:fldChar w:fldCharType="separate"/>
        </w:r>
        <w:r w:rsidR="00C54875">
          <w:rPr>
            <w:webHidden/>
          </w:rPr>
          <w:t>3-52</w:t>
        </w:r>
        <w:r w:rsidR="00C54875">
          <w:rPr>
            <w:webHidden/>
          </w:rPr>
          <w:fldChar w:fldCharType="end"/>
        </w:r>
      </w:hyperlink>
    </w:p>
    <w:p w14:paraId="15CECAF9" w14:textId="3C5EAA19" w:rsidR="00C54875" w:rsidRDefault="00464453">
      <w:pPr>
        <w:pStyle w:val="TableofFigures"/>
        <w:rPr>
          <w:rFonts w:eastAsiaTheme="minorEastAsia" w:cstheme="minorBidi"/>
          <w:color w:val="auto"/>
          <w:sz w:val="22"/>
          <w:szCs w:val="22"/>
        </w:rPr>
      </w:pPr>
      <w:hyperlink w:anchor="_Toc120626576" w:history="1">
        <w:r w:rsidR="00C54875" w:rsidRPr="003C5DD2">
          <w:rPr>
            <w:rStyle w:val="Hyperlink"/>
          </w:rPr>
          <w:t>Figure 3</w:t>
        </w:r>
        <w:r w:rsidR="00C54875" w:rsidRPr="003C5DD2">
          <w:rPr>
            <w:rStyle w:val="Hyperlink"/>
          </w:rPr>
          <w:noBreakHyphen/>
          <w:t>6. Example of Differences in Time-of-Day Traffic Volume by HPMS Vehicle Class</w:t>
        </w:r>
        <w:r w:rsidR="00C54875">
          <w:rPr>
            <w:webHidden/>
          </w:rPr>
          <w:tab/>
        </w:r>
        <w:r w:rsidR="00C54875">
          <w:rPr>
            <w:webHidden/>
          </w:rPr>
          <w:fldChar w:fldCharType="begin"/>
        </w:r>
        <w:r w:rsidR="00C54875">
          <w:rPr>
            <w:webHidden/>
          </w:rPr>
          <w:instrText xml:space="preserve"> PAGEREF _Toc120626576 \h </w:instrText>
        </w:r>
        <w:r w:rsidR="00C54875">
          <w:rPr>
            <w:webHidden/>
          </w:rPr>
        </w:r>
        <w:r w:rsidR="00C54875">
          <w:rPr>
            <w:webHidden/>
          </w:rPr>
          <w:fldChar w:fldCharType="separate"/>
        </w:r>
        <w:r w:rsidR="00C54875">
          <w:rPr>
            <w:webHidden/>
          </w:rPr>
          <w:t>3-59</w:t>
        </w:r>
        <w:r w:rsidR="00C54875">
          <w:rPr>
            <w:webHidden/>
          </w:rPr>
          <w:fldChar w:fldCharType="end"/>
        </w:r>
      </w:hyperlink>
    </w:p>
    <w:p w14:paraId="394D670F" w14:textId="4A15BC89" w:rsidR="00C54875" w:rsidRDefault="00464453">
      <w:pPr>
        <w:pStyle w:val="TableofFigures"/>
        <w:rPr>
          <w:rFonts w:eastAsiaTheme="minorEastAsia" w:cstheme="minorBidi"/>
          <w:color w:val="auto"/>
          <w:sz w:val="22"/>
          <w:szCs w:val="22"/>
        </w:rPr>
      </w:pPr>
      <w:hyperlink w:anchor="_Toc120626577" w:history="1">
        <w:r w:rsidR="00C54875" w:rsidRPr="003C5DD2">
          <w:rPr>
            <w:rStyle w:val="Hyperlink"/>
          </w:rPr>
          <w:t>Figure 3</w:t>
        </w:r>
        <w:r w:rsidR="00C54875" w:rsidRPr="003C5DD2">
          <w:rPr>
            <w:rStyle w:val="Hyperlink"/>
          </w:rPr>
          <w:noBreakHyphen/>
          <w:t>7. Example of Differences in Traffic Volume by Day of Week for Florida Site</w:t>
        </w:r>
        <w:r w:rsidR="00C54875">
          <w:rPr>
            <w:webHidden/>
          </w:rPr>
          <w:tab/>
        </w:r>
        <w:r w:rsidR="00C54875">
          <w:rPr>
            <w:webHidden/>
          </w:rPr>
          <w:fldChar w:fldCharType="begin"/>
        </w:r>
        <w:r w:rsidR="00C54875">
          <w:rPr>
            <w:webHidden/>
          </w:rPr>
          <w:instrText xml:space="preserve"> PAGEREF _Toc120626577 \h </w:instrText>
        </w:r>
        <w:r w:rsidR="00C54875">
          <w:rPr>
            <w:webHidden/>
          </w:rPr>
        </w:r>
        <w:r w:rsidR="00C54875">
          <w:rPr>
            <w:webHidden/>
          </w:rPr>
          <w:fldChar w:fldCharType="separate"/>
        </w:r>
        <w:r w:rsidR="00C54875">
          <w:rPr>
            <w:webHidden/>
          </w:rPr>
          <w:t>3-60</w:t>
        </w:r>
        <w:r w:rsidR="00C54875">
          <w:rPr>
            <w:webHidden/>
          </w:rPr>
          <w:fldChar w:fldCharType="end"/>
        </w:r>
      </w:hyperlink>
    </w:p>
    <w:p w14:paraId="6977718E" w14:textId="67028D7A" w:rsidR="00C54875" w:rsidRDefault="00464453">
      <w:pPr>
        <w:pStyle w:val="TableofFigures"/>
        <w:rPr>
          <w:rFonts w:eastAsiaTheme="minorEastAsia" w:cstheme="minorBidi"/>
          <w:color w:val="auto"/>
          <w:sz w:val="22"/>
          <w:szCs w:val="22"/>
        </w:rPr>
      </w:pPr>
      <w:hyperlink w:anchor="_Toc120626578" w:history="1">
        <w:r w:rsidR="00C54875" w:rsidRPr="003C5DD2">
          <w:rPr>
            <w:rStyle w:val="Hyperlink"/>
          </w:rPr>
          <w:t>Figure 3</w:t>
        </w:r>
        <w:r w:rsidR="00C54875" w:rsidRPr="003C5DD2">
          <w:rPr>
            <w:rStyle w:val="Hyperlink"/>
          </w:rPr>
          <w:noBreakHyphen/>
          <w:t>8. Example of Monthly Volume Pattern for a Rural Road in Wyoming</w:t>
        </w:r>
        <w:r w:rsidR="00C54875">
          <w:rPr>
            <w:webHidden/>
          </w:rPr>
          <w:tab/>
        </w:r>
        <w:r w:rsidR="00C54875">
          <w:rPr>
            <w:webHidden/>
          </w:rPr>
          <w:fldChar w:fldCharType="begin"/>
        </w:r>
        <w:r w:rsidR="00C54875">
          <w:rPr>
            <w:webHidden/>
          </w:rPr>
          <w:instrText xml:space="preserve"> PAGEREF _Toc120626578 \h </w:instrText>
        </w:r>
        <w:r w:rsidR="00C54875">
          <w:rPr>
            <w:webHidden/>
          </w:rPr>
        </w:r>
        <w:r w:rsidR="00C54875">
          <w:rPr>
            <w:webHidden/>
          </w:rPr>
          <w:fldChar w:fldCharType="separate"/>
        </w:r>
        <w:r w:rsidR="00C54875">
          <w:rPr>
            <w:webHidden/>
          </w:rPr>
          <w:t>3-61</w:t>
        </w:r>
        <w:r w:rsidR="00C54875">
          <w:rPr>
            <w:webHidden/>
          </w:rPr>
          <w:fldChar w:fldCharType="end"/>
        </w:r>
      </w:hyperlink>
    </w:p>
    <w:p w14:paraId="264C3CE3" w14:textId="772FA4F8" w:rsidR="00C54875" w:rsidRDefault="00464453">
      <w:pPr>
        <w:pStyle w:val="TableofFigures"/>
        <w:rPr>
          <w:rFonts w:eastAsiaTheme="minorEastAsia" w:cstheme="minorBidi"/>
          <w:color w:val="auto"/>
          <w:sz w:val="22"/>
          <w:szCs w:val="22"/>
        </w:rPr>
      </w:pPr>
      <w:hyperlink w:anchor="_Toc120626579" w:history="1">
        <w:r w:rsidR="00C54875" w:rsidRPr="003C5DD2">
          <w:rPr>
            <w:rStyle w:val="Hyperlink"/>
          </w:rPr>
          <w:t>Figure 3</w:t>
        </w:r>
        <w:r w:rsidR="00C54875" w:rsidRPr="003C5DD2">
          <w:rPr>
            <w:rStyle w:val="Hyperlink"/>
          </w:rPr>
          <w:noBreakHyphen/>
          <w:t>9. Example of Differences in ACF by DOW and MOY in Montana</w:t>
        </w:r>
        <w:r w:rsidR="00C54875">
          <w:rPr>
            <w:webHidden/>
          </w:rPr>
          <w:tab/>
        </w:r>
        <w:r w:rsidR="00C54875">
          <w:rPr>
            <w:webHidden/>
          </w:rPr>
          <w:fldChar w:fldCharType="begin"/>
        </w:r>
        <w:r w:rsidR="00C54875">
          <w:rPr>
            <w:webHidden/>
          </w:rPr>
          <w:instrText xml:space="preserve"> PAGEREF _Toc120626579 \h </w:instrText>
        </w:r>
        <w:r w:rsidR="00C54875">
          <w:rPr>
            <w:webHidden/>
          </w:rPr>
        </w:r>
        <w:r w:rsidR="00C54875">
          <w:rPr>
            <w:webHidden/>
          </w:rPr>
          <w:fldChar w:fldCharType="separate"/>
        </w:r>
        <w:r w:rsidR="00C54875">
          <w:rPr>
            <w:webHidden/>
          </w:rPr>
          <w:t>3-74</w:t>
        </w:r>
        <w:r w:rsidR="00C54875">
          <w:rPr>
            <w:webHidden/>
          </w:rPr>
          <w:fldChar w:fldCharType="end"/>
        </w:r>
      </w:hyperlink>
    </w:p>
    <w:p w14:paraId="55C8A44F" w14:textId="3BBFF4E3" w:rsidR="00C54875" w:rsidRDefault="00464453">
      <w:pPr>
        <w:pStyle w:val="TableofFigures"/>
        <w:rPr>
          <w:rFonts w:eastAsiaTheme="minorEastAsia" w:cstheme="minorBidi"/>
          <w:color w:val="auto"/>
          <w:sz w:val="22"/>
          <w:szCs w:val="22"/>
        </w:rPr>
      </w:pPr>
      <w:hyperlink w:anchor="_Toc120626580" w:history="1">
        <w:r w:rsidR="00C54875" w:rsidRPr="003C5DD2">
          <w:rPr>
            <w:rStyle w:val="Hyperlink"/>
          </w:rPr>
          <w:t>Figure 4</w:t>
        </w:r>
        <w:r w:rsidR="00C54875" w:rsidRPr="003C5DD2">
          <w:rPr>
            <w:rStyle w:val="Hyperlink"/>
          </w:rPr>
          <w:noBreakHyphen/>
          <w:t>1. Direction and Lane Code Example</w:t>
        </w:r>
        <w:r w:rsidR="00C54875">
          <w:rPr>
            <w:webHidden/>
          </w:rPr>
          <w:tab/>
        </w:r>
        <w:r w:rsidR="00C54875">
          <w:rPr>
            <w:webHidden/>
          </w:rPr>
          <w:fldChar w:fldCharType="begin"/>
        </w:r>
        <w:r w:rsidR="00C54875">
          <w:rPr>
            <w:webHidden/>
          </w:rPr>
          <w:instrText xml:space="preserve"> PAGEREF _Toc120626580 \h </w:instrText>
        </w:r>
        <w:r w:rsidR="00C54875">
          <w:rPr>
            <w:webHidden/>
          </w:rPr>
        </w:r>
        <w:r w:rsidR="00C54875">
          <w:rPr>
            <w:webHidden/>
          </w:rPr>
          <w:fldChar w:fldCharType="separate"/>
        </w:r>
        <w:r w:rsidR="00C54875">
          <w:rPr>
            <w:webHidden/>
          </w:rPr>
          <w:t>4-6</w:t>
        </w:r>
        <w:r w:rsidR="00C54875">
          <w:rPr>
            <w:webHidden/>
          </w:rPr>
          <w:fldChar w:fldCharType="end"/>
        </w:r>
      </w:hyperlink>
    </w:p>
    <w:p w14:paraId="0D544E5B" w14:textId="654C70F1" w:rsidR="00C54875" w:rsidRDefault="00464453">
      <w:pPr>
        <w:pStyle w:val="TableofFigures"/>
        <w:rPr>
          <w:rFonts w:eastAsiaTheme="minorEastAsia" w:cstheme="minorBidi"/>
          <w:color w:val="auto"/>
          <w:sz w:val="22"/>
          <w:szCs w:val="22"/>
        </w:rPr>
      </w:pPr>
      <w:hyperlink w:anchor="_Toc120626581" w:history="1">
        <w:r w:rsidR="00C54875" w:rsidRPr="003C5DD2">
          <w:rPr>
            <w:rStyle w:val="Hyperlink"/>
          </w:rPr>
          <w:t>Figure 4</w:t>
        </w:r>
        <w:r w:rsidR="00C54875" w:rsidRPr="003C5DD2">
          <w:rPr>
            <w:rStyle w:val="Hyperlink"/>
          </w:rPr>
          <w:noBreakHyphen/>
          <w:t>2. Illustration of Class 09 - Semi-Truck, 04 - Bus, and 06 - Dump-Truck</w:t>
        </w:r>
        <w:r w:rsidR="00C54875">
          <w:rPr>
            <w:webHidden/>
          </w:rPr>
          <w:tab/>
        </w:r>
        <w:r w:rsidR="00C54875">
          <w:rPr>
            <w:webHidden/>
          </w:rPr>
          <w:fldChar w:fldCharType="begin"/>
        </w:r>
        <w:r w:rsidR="00C54875">
          <w:rPr>
            <w:webHidden/>
          </w:rPr>
          <w:instrText xml:space="preserve"> PAGEREF _Toc120626581 \h </w:instrText>
        </w:r>
        <w:r w:rsidR="00C54875">
          <w:rPr>
            <w:webHidden/>
          </w:rPr>
        </w:r>
        <w:r w:rsidR="00C54875">
          <w:rPr>
            <w:webHidden/>
          </w:rPr>
          <w:fldChar w:fldCharType="separate"/>
        </w:r>
        <w:r w:rsidR="00C54875">
          <w:rPr>
            <w:webHidden/>
          </w:rPr>
          <w:t>4-45</w:t>
        </w:r>
        <w:r w:rsidR="00C54875">
          <w:rPr>
            <w:webHidden/>
          </w:rPr>
          <w:fldChar w:fldCharType="end"/>
        </w:r>
      </w:hyperlink>
    </w:p>
    <w:p w14:paraId="764EC2DC" w14:textId="1D997381" w:rsidR="00C54875" w:rsidRDefault="00464453">
      <w:pPr>
        <w:pStyle w:val="TableofFigures"/>
        <w:rPr>
          <w:rFonts w:eastAsiaTheme="minorEastAsia" w:cstheme="minorBidi"/>
          <w:color w:val="auto"/>
          <w:sz w:val="22"/>
          <w:szCs w:val="22"/>
        </w:rPr>
      </w:pPr>
      <w:hyperlink w:anchor="_Toc120626582" w:history="1">
        <w:r w:rsidR="00C54875" w:rsidRPr="003C5DD2">
          <w:rPr>
            <w:rStyle w:val="Hyperlink"/>
          </w:rPr>
          <w:t>Figure 5</w:t>
        </w:r>
        <w:r w:rsidR="00C54875" w:rsidRPr="003C5DD2">
          <w:rPr>
            <w:rStyle w:val="Hyperlink"/>
          </w:rPr>
          <w:noBreakHyphen/>
          <w:t>1. HPMS TOPS Development Process</w:t>
        </w:r>
        <w:r w:rsidR="00C54875">
          <w:rPr>
            <w:webHidden/>
          </w:rPr>
          <w:tab/>
        </w:r>
        <w:r w:rsidR="00C54875">
          <w:rPr>
            <w:webHidden/>
          </w:rPr>
          <w:fldChar w:fldCharType="begin"/>
        </w:r>
        <w:r w:rsidR="00C54875">
          <w:rPr>
            <w:webHidden/>
          </w:rPr>
          <w:instrText xml:space="preserve"> PAGEREF _Toc120626582 \h </w:instrText>
        </w:r>
        <w:r w:rsidR="00C54875">
          <w:rPr>
            <w:webHidden/>
          </w:rPr>
        </w:r>
        <w:r w:rsidR="00C54875">
          <w:rPr>
            <w:webHidden/>
          </w:rPr>
          <w:fldChar w:fldCharType="separate"/>
        </w:r>
        <w:r w:rsidR="00C54875">
          <w:rPr>
            <w:webHidden/>
          </w:rPr>
          <w:t>5-2</w:t>
        </w:r>
        <w:r w:rsidR="00C54875">
          <w:rPr>
            <w:webHidden/>
          </w:rPr>
          <w:fldChar w:fldCharType="end"/>
        </w:r>
      </w:hyperlink>
    </w:p>
    <w:p w14:paraId="1D798862" w14:textId="46966EE7" w:rsidR="00833E15" w:rsidRPr="00833E15" w:rsidRDefault="0019188C" w:rsidP="00833E15">
      <w:pPr>
        <w:pStyle w:val="TableofFigures"/>
      </w:pPr>
      <w:r>
        <w:rPr>
          <w:rFonts w:ascii="Arial" w:hAnsi="Arial" w:cs="Arial"/>
          <w:color w:val="4472C4" w:themeColor="accent1"/>
        </w:rPr>
        <w:fldChar w:fldCharType="end"/>
      </w:r>
    </w:p>
    <w:p w14:paraId="12F72F16" w14:textId="77777777" w:rsidR="00031D1D" w:rsidRDefault="00031D1D">
      <w:pPr>
        <w:widowControl/>
        <w:suppressAutoHyphens w:val="0"/>
        <w:autoSpaceDE/>
        <w:autoSpaceDN/>
        <w:adjustRightInd/>
        <w:spacing w:after="160" w:line="259" w:lineRule="auto"/>
        <w:jc w:val="left"/>
        <w:textAlignment w:val="auto"/>
        <w:rPr>
          <w:rFonts w:ascii="Cambria" w:hAnsi="Cambria"/>
          <w:color w:val="auto"/>
          <w:sz w:val="26"/>
          <w:szCs w:val="26"/>
        </w:rPr>
        <w:sectPr w:rsidR="00031D1D" w:rsidSect="004F6DDF">
          <w:headerReference w:type="even" r:id="rId17"/>
          <w:headerReference w:type="default" r:id="rId18"/>
          <w:footerReference w:type="even" r:id="rId19"/>
          <w:footerReference w:type="default" r:id="rId20"/>
          <w:footerReference w:type="first" r:id="rId21"/>
          <w:pgSz w:w="12240" w:h="15840" w:code="1"/>
          <w:pgMar w:top="1440" w:right="1440" w:bottom="1152" w:left="1440" w:header="720" w:footer="576" w:gutter="0"/>
          <w:pgNumType w:fmt="lowerRoman" w:start="1"/>
          <w:cols w:space="720"/>
          <w:titlePg/>
        </w:sectPr>
      </w:pPr>
    </w:p>
    <w:p w14:paraId="2FE4AA59" w14:textId="22C97A28" w:rsidR="00E35C2C" w:rsidRPr="00871F71" w:rsidRDefault="00E35C2C" w:rsidP="00031D1D">
      <w:pPr>
        <w:pStyle w:val="TOCHeading"/>
        <w:spacing w:before="0" w:after="120" w:line="240" w:lineRule="auto"/>
        <w:rPr>
          <w:rFonts w:ascii="Cambria" w:hAnsi="Cambria"/>
          <w:color w:val="auto"/>
          <w:sz w:val="26"/>
          <w:szCs w:val="26"/>
        </w:rPr>
      </w:pPr>
      <w:r w:rsidRPr="00871F71">
        <w:rPr>
          <w:rFonts w:ascii="Cambria" w:hAnsi="Cambria"/>
          <w:color w:val="auto"/>
          <w:sz w:val="26"/>
          <w:szCs w:val="26"/>
        </w:rPr>
        <w:lastRenderedPageBreak/>
        <w:t>List of Tables</w:t>
      </w:r>
    </w:p>
    <w:p w14:paraId="31A96D8A" w14:textId="3185CAF1" w:rsidR="009E1F29" w:rsidRDefault="0019188C">
      <w:pPr>
        <w:pStyle w:val="TableofFigures"/>
        <w:rPr>
          <w:rFonts w:eastAsiaTheme="minorEastAsia" w:cstheme="minorBidi"/>
          <w:color w:val="auto"/>
          <w:sz w:val="22"/>
          <w:szCs w:val="22"/>
        </w:rPr>
      </w:pPr>
      <w:r>
        <w:rPr>
          <w:b/>
          <w:bCs/>
          <w:sz w:val="26"/>
          <w:szCs w:val="26"/>
        </w:rPr>
        <w:fldChar w:fldCharType="begin"/>
      </w:r>
      <w:r>
        <w:rPr>
          <w:b/>
          <w:bCs/>
          <w:sz w:val="26"/>
          <w:szCs w:val="26"/>
        </w:rPr>
        <w:instrText xml:space="preserve"> TOC \h \z \t "TMG Table Caption" \c </w:instrText>
      </w:r>
      <w:r>
        <w:rPr>
          <w:b/>
          <w:bCs/>
          <w:sz w:val="26"/>
          <w:szCs w:val="26"/>
        </w:rPr>
        <w:fldChar w:fldCharType="separate"/>
      </w:r>
      <w:hyperlink w:anchor="_Toc120631116" w:history="1">
        <w:r w:rsidR="009E1F29" w:rsidRPr="00E34F3E">
          <w:rPr>
            <w:rStyle w:val="Hyperlink"/>
          </w:rPr>
          <w:t>Table 1</w:t>
        </w:r>
        <w:r w:rsidR="009E1F29" w:rsidRPr="00E34F3E">
          <w:rPr>
            <w:rStyle w:val="Hyperlink"/>
          </w:rPr>
          <w:noBreakHyphen/>
          <w:t>1. Examples of Highway Traffic and Travel Data Uses</w:t>
        </w:r>
        <w:r w:rsidR="009E1F29">
          <w:rPr>
            <w:webHidden/>
          </w:rPr>
          <w:tab/>
        </w:r>
        <w:r w:rsidR="009E1F29">
          <w:rPr>
            <w:webHidden/>
          </w:rPr>
          <w:fldChar w:fldCharType="begin"/>
        </w:r>
        <w:r w:rsidR="009E1F29">
          <w:rPr>
            <w:webHidden/>
          </w:rPr>
          <w:instrText xml:space="preserve"> PAGEREF _Toc120631116 \h </w:instrText>
        </w:r>
        <w:r w:rsidR="009E1F29">
          <w:rPr>
            <w:webHidden/>
          </w:rPr>
        </w:r>
        <w:r w:rsidR="009E1F29">
          <w:rPr>
            <w:webHidden/>
          </w:rPr>
          <w:fldChar w:fldCharType="separate"/>
        </w:r>
        <w:r w:rsidR="009E1F29">
          <w:rPr>
            <w:webHidden/>
          </w:rPr>
          <w:t>1-7</w:t>
        </w:r>
        <w:r w:rsidR="009E1F29">
          <w:rPr>
            <w:webHidden/>
          </w:rPr>
          <w:fldChar w:fldCharType="end"/>
        </w:r>
      </w:hyperlink>
    </w:p>
    <w:p w14:paraId="4BDC26F7" w14:textId="40CF6125" w:rsidR="009E1F29" w:rsidRDefault="00464453">
      <w:pPr>
        <w:pStyle w:val="TableofFigures"/>
        <w:rPr>
          <w:rFonts w:eastAsiaTheme="minorEastAsia" w:cstheme="minorBidi"/>
          <w:color w:val="auto"/>
          <w:sz w:val="22"/>
          <w:szCs w:val="22"/>
        </w:rPr>
      </w:pPr>
      <w:hyperlink r:id="rId22" w:anchor="_Toc120631117" w:history="1">
        <w:r w:rsidR="009E1F29" w:rsidRPr="00E34F3E">
          <w:rPr>
            <w:rStyle w:val="Hyperlink"/>
          </w:rPr>
          <w:t>Table 2</w:t>
        </w:r>
        <w:r w:rsidR="009E1F29" w:rsidRPr="00E34F3E">
          <w:rPr>
            <w:rStyle w:val="Hyperlink"/>
          </w:rPr>
          <w:noBreakHyphen/>
          <w:t>1. Basic Data Types Reported by Traffic Monitoring Devices</w:t>
        </w:r>
        <w:r w:rsidR="009E1F29">
          <w:rPr>
            <w:webHidden/>
          </w:rPr>
          <w:tab/>
        </w:r>
        <w:r w:rsidR="009E1F29">
          <w:rPr>
            <w:webHidden/>
          </w:rPr>
          <w:fldChar w:fldCharType="begin"/>
        </w:r>
        <w:r w:rsidR="009E1F29">
          <w:rPr>
            <w:webHidden/>
          </w:rPr>
          <w:instrText xml:space="preserve"> PAGEREF _Toc120631117 \h </w:instrText>
        </w:r>
        <w:r w:rsidR="009E1F29">
          <w:rPr>
            <w:webHidden/>
          </w:rPr>
        </w:r>
        <w:r w:rsidR="009E1F29">
          <w:rPr>
            <w:webHidden/>
          </w:rPr>
          <w:fldChar w:fldCharType="separate"/>
        </w:r>
        <w:r w:rsidR="009E1F29">
          <w:rPr>
            <w:webHidden/>
          </w:rPr>
          <w:t>2-1</w:t>
        </w:r>
        <w:r w:rsidR="009E1F29">
          <w:rPr>
            <w:webHidden/>
          </w:rPr>
          <w:fldChar w:fldCharType="end"/>
        </w:r>
      </w:hyperlink>
    </w:p>
    <w:p w14:paraId="57CFB7C8" w14:textId="346B45E6" w:rsidR="009E1F29" w:rsidRDefault="00464453">
      <w:pPr>
        <w:pStyle w:val="TableofFigures"/>
        <w:rPr>
          <w:rFonts w:eastAsiaTheme="minorEastAsia" w:cstheme="minorBidi"/>
          <w:color w:val="auto"/>
          <w:sz w:val="22"/>
          <w:szCs w:val="22"/>
        </w:rPr>
      </w:pPr>
      <w:hyperlink w:anchor="_Toc120631118" w:history="1">
        <w:r w:rsidR="009E1F29" w:rsidRPr="00E34F3E">
          <w:rPr>
            <w:rStyle w:val="Hyperlink"/>
          </w:rPr>
          <w:t>Table 2</w:t>
        </w:r>
        <w:r w:rsidR="009E1F29" w:rsidRPr="00E34F3E">
          <w:rPr>
            <w:rStyle w:val="Hyperlink"/>
          </w:rPr>
          <w:noBreakHyphen/>
          <w:t>2. Strengths and Weaknesses of Commercially Available Sensor Technologies for Motorized Vehicle Detection and Counting</w:t>
        </w:r>
        <w:r w:rsidR="009E1F29">
          <w:rPr>
            <w:webHidden/>
          </w:rPr>
          <w:tab/>
        </w:r>
        <w:r w:rsidR="009E1F29">
          <w:rPr>
            <w:webHidden/>
          </w:rPr>
          <w:fldChar w:fldCharType="begin"/>
        </w:r>
        <w:r w:rsidR="009E1F29">
          <w:rPr>
            <w:webHidden/>
          </w:rPr>
          <w:instrText xml:space="preserve"> PAGEREF _Toc120631118 \h </w:instrText>
        </w:r>
        <w:r w:rsidR="009E1F29">
          <w:rPr>
            <w:webHidden/>
          </w:rPr>
        </w:r>
        <w:r w:rsidR="009E1F29">
          <w:rPr>
            <w:webHidden/>
          </w:rPr>
          <w:fldChar w:fldCharType="separate"/>
        </w:r>
        <w:r w:rsidR="009E1F29">
          <w:rPr>
            <w:webHidden/>
          </w:rPr>
          <w:t>2-6</w:t>
        </w:r>
        <w:r w:rsidR="009E1F29">
          <w:rPr>
            <w:webHidden/>
          </w:rPr>
          <w:fldChar w:fldCharType="end"/>
        </w:r>
      </w:hyperlink>
    </w:p>
    <w:p w14:paraId="56CA5CA1" w14:textId="034F4212" w:rsidR="009E1F29" w:rsidRDefault="00464453">
      <w:pPr>
        <w:pStyle w:val="TableofFigures"/>
        <w:rPr>
          <w:rFonts w:eastAsiaTheme="minorEastAsia" w:cstheme="minorBidi"/>
          <w:color w:val="auto"/>
          <w:sz w:val="22"/>
          <w:szCs w:val="22"/>
        </w:rPr>
      </w:pPr>
      <w:hyperlink w:anchor="_Toc120631119" w:history="1">
        <w:r w:rsidR="009E1F29" w:rsidRPr="00E34F3E">
          <w:rPr>
            <w:rStyle w:val="Hyperlink"/>
          </w:rPr>
          <w:t>Table 2</w:t>
        </w:r>
        <w:r w:rsidR="009E1F29" w:rsidRPr="00E34F3E">
          <w:rPr>
            <w:rStyle w:val="Hyperlink"/>
          </w:rPr>
          <w:noBreakHyphen/>
          <w:t>3. Strengths and Weaknesses of WIM Technologies for Moving Motorized Vehicle Detection, Counting, Weighing, and Classifying</w:t>
        </w:r>
        <w:r w:rsidR="009E1F29">
          <w:rPr>
            <w:webHidden/>
          </w:rPr>
          <w:tab/>
        </w:r>
        <w:r w:rsidR="009E1F29">
          <w:rPr>
            <w:webHidden/>
          </w:rPr>
          <w:fldChar w:fldCharType="begin"/>
        </w:r>
        <w:r w:rsidR="009E1F29">
          <w:rPr>
            <w:webHidden/>
          </w:rPr>
          <w:instrText xml:space="preserve"> PAGEREF _Toc120631119 \h </w:instrText>
        </w:r>
        <w:r w:rsidR="009E1F29">
          <w:rPr>
            <w:webHidden/>
          </w:rPr>
        </w:r>
        <w:r w:rsidR="009E1F29">
          <w:rPr>
            <w:webHidden/>
          </w:rPr>
          <w:fldChar w:fldCharType="separate"/>
        </w:r>
        <w:r w:rsidR="009E1F29">
          <w:rPr>
            <w:webHidden/>
          </w:rPr>
          <w:t>2-9</w:t>
        </w:r>
        <w:r w:rsidR="009E1F29">
          <w:rPr>
            <w:webHidden/>
          </w:rPr>
          <w:fldChar w:fldCharType="end"/>
        </w:r>
      </w:hyperlink>
    </w:p>
    <w:p w14:paraId="2C5078B0" w14:textId="41174C6E" w:rsidR="009E1F29" w:rsidRDefault="00464453">
      <w:pPr>
        <w:pStyle w:val="TableofFigures"/>
        <w:rPr>
          <w:rFonts w:eastAsiaTheme="minorEastAsia" w:cstheme="minorBidi"/>
          <w:color w:val="auto"/>
          <w:sz w:val="22"/>
          <w:szCs w:val="22"/>
        </w:rPr>
      </w:pPr>
      <w:hyperlink w:anchor="_Toc120631120" w:history="1">
        <w:r w:rsidR="009E1F29" w:rsidRPr="00E34F3E">
          <w:rPr>
            <w:rStyle w:val="Hyperlink"/>
          </w:rPr>
          <w:t>Table 2</w:t>
        </w:r>
        <w:r w:rsidR="009E1F29" w:rsidRPr="00E34F3E">
          <w:rPr>
            <w:rStyle w:val="Hyperlink"/>
          </w:rPr>
          <w:noBreakHyphen/>
          <w:t>4. Strengths, Weaknesses, and Applications of Micromobility Detection Technologies</w:t>
        </w:r>
        <w:r w:rsidR="009E1F29">
          <w:rPr>
            <w:webHidden/>
          </w:rPr>
          <w:tab/>
        </w:r>
        <w:r w:rsidR="009E1F29">
          <w:rPr>
            <w:webHidden/>
          </w:rPr>
          <w:fldChar w:fldCharType="begin"/>
        </w:r>
        <w:r w:rsidR="009E1F29">
          <w:rPr>
            <w:webHidden/>
          </w:rPr>
          <w:instrText xml:space="preserve"> PAGEREF _Toc120631120 \h </w:instrText>
        </w:r>
        <w:r w:rsidR="009E1F29">
          <w:rPr>
            <w:webHidden/>
          </w:rPr>
        </w:r>
        <w:r w:rsidR="009E1F29">
          <w:rPr>
            <w:webHidden/>
          </w:rPr>
          <w:fldChar w:fldCharType="separate"/>
        </w:r>
        <w:r w:rsidR="009E1F29">
          <w:rPr>
            <w:webHidden/>
          </w:rPr>
          <w:t>2-10</w:t>
        </w:r>
        <w:r w:rsidR="009E1F29">
          <w:rPr>
            <w:webHidden/>
          </w:rPr>
          <w:fldChar w:fldCharType="end"/>
        </w:r>
      </w:hyperlink>
    </w:p>
    <w:p w14:paraId="2632B681" w14:textId="1F0A650E" w:rsidR="009E1F29" w:rsidRDefault="00464453">
      <w:pPr>
        <w:pStyle w:val="TableofFigures"/>
        <w:rPr>
          <w:rFonts w:eastAsiaTheme="minorEastAsia" w:cstheme="minorBidi"/>
          <w:color w:val="auto"/>
          <w:sz w:val="22"/>
          <w:szCs w:val="22"/>
        </w:rPr>
      </w:pPr>
      <w:hyperlink w:anchor="_Toc120631121" w:history="1">
        <w:r w:rsidR="009E1F29" w:rsidRPr="00E34F3E">
          <w:rPr>
            <w:rStyle w:val="Hyperlink"/>
          </w:rPr>
          <w:t>Table 2</w:t>
        </w:r>
        <w:r w:rsidR="009E1F29" w:rsidRPr="00E34F3E">
          <w:rPr>
            <w:rStyle w:val="Hyperlink"/>
          </w:rPr>
          <w:noBreakHyphen/>
          <w:t>5. Motorized Vehicle Detection Sensor Comparison</w:t>
        </w:r>
        <w:r w:rsidR="009E1F29">
          <w:rPr>
            <w:webHidden/>
          </w:rPr>
          <w:tab/>
        </w:r>
        <w:r w:rsidR="009E1F29">
          <w:rPr>
            <w:webHidden/>
          </w:rPr>
          <w:fldChar w:fldCharType="begin"/>
        </w:r>
        <w:r w:rsidR="009E1F29">
          <w:rPr>
            <w:webHidden/>
          </w:rPr>
          <w:instrText xml:space="preserve"> PAGEREF _Toc120631121 \h </w:instrText>
        </w:r>
        <w:r w:rsidR="009E1F29">
          <w:rPr>
            <w:webHidden/>
          </w:rPr>
        </w:r>
        <w:r w:rsidR="009E1F29">
          <w:rPr>
            <w:webHidden/>
          </w:rPr>
          <w:fldChar w:fldCharType="separate"/>
        </w:r>
        <w:r w:rsidR="009E1F29">
          <w:rPr>
            <w:webHidden/>
          </w:rPr>
          <w:t>2-11</w:t>
        </w:r>
        <w:r w:rsidR="009E1F29">
          <w:rPr>
            <w:webHidden/>
          </w:rPr>
          <w:fldChar w:fldCharType="end"/>
        </w:r>
      </w:hyperlink>
    </w:p>
    <w:p w14:paraId="0290400B" w14:textId="7C2B9158" w:rsidR="009E1F29" w:rsidRDefault="00464453">
      <w:pPr>
        <w:pStyle w:val="TableofFigures"/>
        <w:rPr>
          <w:rFonts w:eastAsiaTheme="minorEastAsia" w:cstheme="minorBidi"/>
          <w:color w:val="auto"/>
          <w:sz w:val="22"/>
          <w:szCs w:val="22"/>
        </w:rPr>
      </w:pPr>
      <w:hyperlink r:id="rId23" w:anchor="_Toc120631122" w:history="1">
        <w:r w:rsidR="009E1F29" w:rsidRPr="00E34F3E">
          <w:rPr>
            <w:rStyle w:val="Hyperlink"/>
          </w:rPr>
          <w:t>Table 2</w:t>
        </w:r>
        <w:r w:rsidR="009E1F29" w:rsidRPr="00E34F3E">
          <w:rPr>
            <w:rStyle w:val="Hyperlink"/>
          </w:rPr>
          <w:noBreakHyphen/>
          <w:t>6. Common Technologies Used for Counting Vehicles Versus Axles</w:t>
        </w:r>
        <w:r w:rsidR="009E1F29">
          <w:rPr>
            <w:webHidden/>
          </w:rPr>
          <w:tab/>
        </w:r>
        <w:r w:rsidR="009E1F29">
          <w:rPr>
            <w:webHidden/>
          </w:rPr>
          <w:fldChar w:fldCharType="begin"/>
        </w:r>
        <w:r w:rsidR="009E1F29">
          <w:rPr>
            <w:webHidden/>
          </w:rPr>
          <w:instrText xml:space="preserve"> PAGEREF _Toc120631122 \h </w:instrText>
        </w:r>
        <w:r w:rsidR="009E1F29">
          <w:rPr>
            <w:webHidden/>
          </w:rPr>
        </w:r>
        <w:r w:rsidR="009E1F29">
          <w:rPr>
            <w:webHidden/>
          </w:rPr>
          <w:fldChar w:fldCharType="separate"/>
        </w:r>
        <w:r w:rsidR="009E1F29">
          <w:rPr>
            <w:webHidden/>
          </w:rPr>
          <w:t>2-13</w:t>
        </w:r>
        <w:r w:rsidR="009E1F29">
          <w:rPr>
            <w:webHidden/>
          </w:rPr>
          <w:fldChar w:fldCharType="end"/>
        </w:r>
      </w:hyperlink>
    </w:p>
    <w:p w14:paraId="72F59CEA" w14:textId="1031C62D" w:rsidR="009E1F29" w:rsidRDefault="00464453">
      <w:pPr>
        <w:pStyle w:val="TableofFigures"/>
        <w:rPr>
          <w:rFonts w:eastAsiaTheme="minorEastAsia" w:cstheme="minorBidi"/>
          <w:color w:val="auto"/>
          <w:sz w:val="22"/>
          <w:szCs w:val="22"/>
        </w:rPr>
      </w:pPr>
      <w:hyperlink r:id="rId24" w:anchor="_Toc120631123" w:history="1">
        <w:r w:rsidR="009E1F29" w:rsidRPr="00E34F3E">
          <w:rPr>
            <w:rStyle w:val="Hyperlink"/>
          </w:rPr>
          <w:t>Table 2</w:t>
        </w:r>
        <w:r w:rsidR="009E1F29" w:rsidRPr="00E34F3E">
          <w:rPr>
            <w:rStyle w:val="Hyperlink"/>
          </w:rPr>
          <w:noBreakHyphen/>
          <w:t>7. Common Technologies for Classifying Motorized Vehicles</w:t>
        </w:r>
        <w:r w:rsidR="009E1F29">
          <w:rPr>
            <w:webHidden/>
          </w:rPr>
          <w:tab/>
        </w:r>
        <w:r w:rsidR="009E1F29">
          <w:rPr>
            <w:webHidden/>
          </w:rPr>
          <w:fldChar w:fldCharType="begin"/>
        </w:r>
        <w:r w:rsidR="009E1F29">
          <w:rPr>
            <w:webHidden/>
          </w:rPr>
          <w:instrText xml:space="preserve"> PAGEREF _Toc120631123 \h </w:instrText>
        </w:r>
        <w:r w:rsidR="009E1F29">
          <w:rPr>
            <w:webHidden/>
          </w:rPr>
        </w:r>
        <w:r w:rsidR="009E1F29">
          <w:rPr>
            <w:webHidden/>
          </w:rPr>
          <w:fldChar w:fldCharType="separate"/>
        </w:r>
        <w:r w:rsidR="009E1F29">
          <w:rPr>
            <w:webHidden/>
          </w:rPr>
          <w:t>2-13</w:t>
        </w:r>
        <w:r w:rsidR="009E1F29">
          <w:rPr>
            <w:webHidden/>
          </w:rPr>
          <w:fldChar w:fldCharType="end"/>
        </w:r>
      </w:hyperlink>
    </w:p>
    <w:p w14:paraId="5391C2AE" w14:textId="38EA99DB" w:rsidR="009E1F29" w:rsidRDefault="00464453">
      <w:pPr>
        <w:pStyle w:val="TableofFigures"/>
        <w:rPr>
          <w:rFonts w:eastAsiaTheme="minorEastAsia" w:cstheme="minorBidi"/>
          <w:color w:val="auto"/>
          <w:sz w:val="22"/>
          <w:szCs w:val="22"/>
        </w:rPr>
      </w:pPr>
      <w:hyperlink w:anchor="_Toc120631124" w:history="1">
        <w:r w:rsidR="009E1F29" w:rsidRPr="00E34F3E">
          <w:rPr>
            <w:rStyle w:val="Hyperlink"/>
          </w:rPr>
          <w:t>Table 2</w:t>
        </w:r>
        <w:r w:rsidR="009E1F29" w:rsidRPr="00E34F3E">
          <w:rPr>
            <w:rStyle w:val="Hyperlink"/>
          </w:rPr>
          <w:noBreakHyphen/>
          <w:t>8. Intrusive and Non-Intrusive Technologies</w:t>
        </w:r>
        <w:r w:rsidR="009E1F29">
          <w:rPr>
            <w:webHidden/>
          </w:rPr>
          <w:tab/>
        </w:r>
        <w:r w:rsidR="009E1F29">
          <w:rPr>
            <w:webHidden/>
          </w:rPr>
          <w:fldChar w:fldCharType="begin"/>
        </w:r>
        <w:r w:rsidR="009E1F29">
          <w:rPr>
            <w:webHidden/>
          </w:rPr>
          <w:instrText xml:space="preserve"> PAGEREF _Toc120631124 \h </w:instrText>
        </w:r>
        <w:r w:rsidR="009E1F29">
          <w:rPr>
            <w:webHidden/>
          </w:rPr>
        </w:r>
        <w:r w:rsidR="009E1F29">
          <w:rPr>
            <w:webHidden/>
          </w:rPr>
          <w:fldChar w:fldCharType="separate"/>
        </w:r>
        <w:r w:rsidR="009E1F29">
          <w:rPr>
            <w:webHidden/>
          </w:rPr>
          <w:t>2-17</w:t>
        </w:r>
        <w:r w:rsidR="009E1F29">
          <w:rPr>
            <w:webHidden/>
          </w:rPr>
          <w:fldChar w:fldCharType="end"/>
        </w:r>
      </w:hyperlink>
    </w:p>
    <w:p w14:paraId="19E67FEE" w14:textId="254E7C78" w:rsidR="009E1F29" w:rsidRDefault="00464453">
      <w:pPr>
        <w:pStyle w:val="TableofFigures"/>
        <w:rPr>
          <w:rFonts w:eastAsiaTheme="minorEastAsia" w:cstheme="minorBidi"/>
          <w:color w:val="auto"/>
          <w:sz w:val="22"/>
          <w:szCs w:val="22"/>
        </w:rPr>
      </w:pPr>
      <w:hyperlink w:anchor="_Toc120631125" w:history="1">
        <w:r w:rsidR="009E1F29" w:rsidRPr="00E34F3E">
          <w:rPr>
            <w:rStyle w:val="Hyperlink"/>
          </w:rPr>
          <w:t>Table 2</w:t>
        </w:r>
        <w:r w:rsidR="009E1F29" w:rsidRPr="00E34F3E">
          <w:rPr>
            <w:rStyle w:val="Hyperlink"/>
          </w:rPr>
          <w:noBreakHyphen/>
          <w:t>9. Sensors for Motorized Vehicle Data Collection for Short-Term Counts</w:t>
        </w:r>
        <w:r w:rsidR="009E1F29">
          <w:rPr>
            <w:webHidden/>
          </w:rPr>
          <w:tab/>
        </w:r>
        <w:r w:rsidR="009E1F29">
          <w:rPr>
            <w:webHidden/>
          </w:rPr>
          <w:fldChar w:fldCharType="begin"/>
        </w:r>
        <w:r w:rsidR="009E1F29">
          <w:rPr>
            <w:webHidden/>
          </w:rPr>
          <w:instrText xml:space="preserve"> PAGEREF _Toc120631125 \h </w:instrText>
        </w:r>
        <w:r w:rsidR="009E1F29">
          <w:rPr>
            <w:webHidden/>
          </w:rPr>
        </w:r>
        <w:r w:rsidR="009E1F29">
          <w:rPr>
            <w:webHidden/>
          </w:rPr>
          <w:fldChar w:fldCharType="separate"/>
        </w:r>
        <w:r w:rsidR="009E1F29">
          <w:rPr>
            <w:webHidden/>
          </w:rPr>
          <w:t>2-19</w:t>
        </w:r>
        <w:r w:rsidR="009E1F29">
          <w:rPr>
            <w:webHidden/>
          </w:rPr>
          <w:fldChar w:fldCharType="end"/>
        </w:r>
      </w:hyperlink>
    </w:p>
    <w:p w14:paraId="3AC68475" w14:textId="502D4A8D" w:rsidR="009E1F29" w:rsidRDefault="00464453">
      <w:pPr>
        <w:pStyle w:val="TableofFigures"/>
        <w:rPr>
          <w:rFonts w:eastAsiaTheme="minorEastAsia" w:cstheme="minorBidi"/>
          <w:color w:val="auto"/>
          <w:sz w:val="22"/>
          <w:szCs w:val="22"/>
        </w:rPr>
      </w:pPr>
      <w:hyperlink w:anchor="_Toc120631126" w:history="1">
        <w:r w:rsidR="009E1F29" w:rsidRPr="00E34F3E">
          <w:rPr>
            <w:rStyle w:val="Hyperlink"/>
          </w:rPr>
          <w:t>Table 2</w:t>
        </w:r>
        <w:r w:rsidR="009E1F29" w:rsidRPr="00E34F3E">
          <w:rPr>
            <w:rStyle w:val="Hyperlink"/>
          </w:rPr>
          <w:noBreakHyphen/>
          <w:t>10. Sensors for Motorized Vehicle Data Collection for Permanent Count Locations</w:t>
        </w:r>
        <w:r w:rsidR="009E1F29">
          <w:rPr>
            <w:webHidden/>
          </w:rPr>
          <w:tab/>
        </w:r>
        <w:r w:rsidR="009E1F29">
          <w:rPr>
            <w:webHidden/>
          </w:rPr>
          <w:fldChar w:fldCharType="begin"/>
        </w:r>
        <w:r w:rsidR="009E1F29">
          <w:rPr>
            <w:webHidden/>
          </w:rPr>
          <w:instrText xml:space="preserve"> PAGEREF _Toc120631126 \h </w:instrText>
        </w:r>
        <w:r w:rsidR="009E1F29">
          <w:rPr>
            <w:webHidden/>
          </w:rPr>
        </w:r>
        <w:r w:rsidR="009E1F29">
          <w:rPr>
            <w:webHidden/>
          </w:rPr>
          <w:fldChar w:fldCharType="separate"/>
        </w:r>
        <w:r w:rsidR="009E1F29">
          <w:rPr>
            <w:webHidden/>
          </w:rPr>
          <w:t>2-22</w:t>
        </w:r>
        <w:r w:rsidR="009E1F29">
          <w:rPr>
            <w:webHidden/>
          </w:rPr>
          <w:fldChar w:fldCharType="end"/>
        </w:r>
      </w:hyperlink>
    </w:p>
    <w:p w14:paraId="6CD462C7" w14:textId="687A303E" w:rsidR="009E1F29" w:rsidRDefault="00464453">
      <w:pPr>
        <w:pStyle w:val="TableofFigures"/>
        <w:rPr>
          <w:rFonts w:eastAsiaTheme="minorEastAsia" w:cstheme="minorBidi"/>
          <w:color w:val="auto"/>
          <w:sz w:val="22"/>
          <w:szCs w:val="22"/>
        </w:rPr>
      </w:pPr>
      <w:hyperlink r:id="rId25" w:anchor="_Toc120631127" w:history="1">
        <w:r w:rsidR="009E1F29" w:rsidRPr="00E34F3E">
          <w:rPr>
            <w:rStyle w:val="Hyperlink"/>
          </w:rPr>
          <w:t>Table 3</w:t>
        </w:r>
        <w:r w:rsidR="009E1F29" w:rsidRPr="00E34F3E">
          <w:rPr>
            <w:rStyle w:val="Hyperlink"/>
          </w:rPr>
          <w:noBreakHyphen/>
          <w:t>1. Minimum Recommended Volume Factor Groups</w:t>
        </w:r>
        <w:r w:rsidR="009E1F29">
          <w:rPr>
            <w:webHidden/>
          </w:rPr>
          <w:tab/>
        </w:r>
        <w:r w:rsidR="009E1F29">
          <w:rPr>
            <w:webHidden/>
          </w:rPr>
          <w:fldChar w:fldCharType="begin"/>
        </w:r>
        <w:r w:rsidR="009E1F29">
          <w:rPr>
            <w:webHidden/>
          </w:rPr>
          <w:instrText xml:space="preserve"> PAGEREF _Toc120631127 \h </w:instrText>
        </w:r>
        <w:r w:rsidR="009E1F29">
          <w:rPr>
            <w:webHidden/>
          </w:rPr>
        </w:r>
        <w:r w:rsidR="009E1F29">
          <w:rPr>
            <w:webHidden/>
          </w:rPr>
          <w:fldChar w:fldCharType="separate"/>
        </w:r>
        <w:r w:rsidR="009E1F29">
          <w:rPr>
            <w:webHidden/>
          </w:rPr>
          <w:t>3-7</w:t>
        </w:r>
        <w:r w:rsidR="009E1F29">
          <w:rPr>
            <w:webHidden/>
          </w:rPr>
          <w:fldChar w:fldCharType="end"/>
        </w:r>
      </w:hyperlink>
    </w:p>
    <w:p w14:paraId="2ADE6A2D" w14:textId="06F02BE6" w:rsidR="009E1F29" w:rsidRDefault="00464453">
      <w:pPr>
        <w:pStyle w:val="TableofFigures"/>
        <w:rPr>
          <w:rFonts w:eastAsiaTheme="minorEastAsia" w:cstheme="minorBidi"/>
          <w:color w:val="auto"/>
          <w:sz w:val="22"/>
          <w:szCs w:val="22"/>
        </w:rPr>
      </w:pPr>
      <w:hyperlink w:anchor="_Toc120631128" w:history="1">
        <w:r w:rsidR="009E1F29" w:rsidRPr="00E34F3E">
          <w:rPr>
            <w:rStyle w:val="Hyperlink"/>
          </w:rPr>
          <w:t>Table 3</w:t>
        </w:r>
        <w:r w:rsidR="009E1F29" w:rsidRPr="00E34F3E">
          <w:rPr>
            <w:rStyle w:val="Hyperlink"/>
          </w:rPr>
          <w:noBreakHyphen/>
          <w:t>2. Advantages and Disadvantages of Monthly Pattern Group Types</w:t>
        </w:r>
        <w:r w:rsidR="009E1F29">
          <w:rPr>
            <w:webHidden/>
          </w:rPr>
          <w:tab/>
        </w:r>
        <w:r w:rsidR="009E1F29">
          <w:rPr>
            <w:webHidden/>
          </w:rPr>
          <w:fldChar w:fldCharType="begin"/>
        </w:r>
        <w:r w:rsidR="009E1F29">
          <w:rPr>
            <w:webHidden/>
          </w:rPr>
          <w:instrText xml:space="preserve"> PAGEREF _Toc120631128 \h </w:instrText>
        </w:r>
        <w:r w:rsidR="009E1F29">
          <w:rPr>
            <w:webHidden/>
          </w:rPr>
        </w:r>
        <w:r w:rsidR="009E1F29">
          <w:rPr>
            <w:webHidden/>
          </w:rPr>
          <w:fldChar w:fldCharType="separate"/>
        </w:r>
        <w:r w:rsidR="009E1F29">
          <w:rPr>
            <w:webHidden/>
          </w:rPr>
          <w:t>3-8</w:t>
        </w:r>
        <w:r w:rsidR="009E1F29">
          <w:rPr>
            <w:webHidden/>
          </w:rPr>
          <w:fldChar w:fldCharType="end"/>
        </w:r>
      </w:hyperlink>
    </w:p>
    <w:p w14:paraId="319BF9D2" w14:textId="0C45551E" w:rsidR="009E1F29" w:rsidRDefault="00464453">
      <w:pPr>
        <w:pStyle w:val="TableofFigures"/>
        <w:rPr>
          <w:rFonts w:eastAsiaTheme="minorEastAsia" w:cstheme="minorBidi"/>
          <w:color w:val="auto"/>
          <w:sz w:val="22"/>
          <w:szCs w:val="22"/>
        </w:rPr>
      </w:pPr>
      <w:hyperlink w:anchor="_Toc120631129" w:history="1">
        <w:r w:rsidR="009E1F29" w:rsidRPr="00E34F3E">
          <w:rPr>
            <w:rStyle w:val="Hyperlink"/>
          </w:rPr>
          <w:t>Table 3</w:t>
        </w:r>
        <w:r w:rsidR="009E1F29" w:rsidRPr="00E34F3E">
          <w:rPr>
            <w:rStyle w:val="Hyperlink"/>
          </w:rPr>
          <w:noBreakHyphen/>
          <w:t>3. Reference Accuracy and Precision for AADT Estimates</w:t>
        </w:r>
        <w:r w:rsidR="009E1F29">
          <w:rPr>
            <w:webHidden/>
          </w:rPr>
          <w:tab/>
        </w:r>
        <w:r w:rsidR="009E1F29">
          <w:rPr>
            <w:webHidden/>
          </w:rPr>
          <w:fldChar w:fldCharType="begin"/>
        </w:r>
        <w:r w:rsidR="009E1F29">
          <w:rPr>
            <w:webHidden/>
          </w:rPr>
          <w:instrText xml:space="preserve"> PAGEREF _Toc120631129 \h </w:instrText>
        </w:r>
        <w:r w:rsidR="009E1F29">
          <w:rPr>
            <w:webHidden/>
          </w:rPr>
        </w:r>
        <w:r w:rsidR="009E1F29">
          <w:rPr>
            <w:webHidden/>
          </w:rPr>
          <w:fldChar w:fldCharType="separate"/>
        </w:r>
        <w:r w:rsidR="009E1F29">
          <w:rPr>
            <w:webHidden/>
          </w:rPr>
          <w:t>3-12</w:t>
        </w:r>
        <w:r w:rsidR="009E1F29">
          <w:rPr>
            <w:webHidden/>
          </w:rPr>
          <w:fldChar w:fldCharType="end"/>
        </w:r>
      </w:hyperlink>
    </w:p>
    <w:p w14:paraId="47CBACFA" w14:textId="445DFDF9" w:rsidR="009E1F29" w:rsidRDefault="00464453">
      <w:pPr>
        <w:pStyle w:val="TableofFigures"/>
        <w:rPr>
          <w:rFonts w:eastAsiaTheme="minorEastAsia" w:cstheme="minorBidi"/>
          <w:color w:val="auto"/>
          <w:sz w:val="22"/>
          <w:szCs w:val="22"/>
        </w:rPr>
      </w:pPr>
      <w:hyperlink w:anchor="_Toc120631130" w:history="1">
        <w:r w:rsidR="009E1F29" w:rsidRPr="00E34F3E">
          <w:rPr>
            <w:rStyle w:val="Hyperlink"/>
          </w:rPr>
          <w:t>Table 3</w:t>
        </w:r>
        <w:r w:rsidR="009E1F29" w:rsidRPr="00E34F3E">
          <w:rPr>
            <w:rStyle w:val="Hyperlink"/>
          </w:rPr>
          <w:noBreakHyphen/>
          <w:t>4. HPMS Vehicle Class Groups/FHWA Vehicle Classes</w:t>
        </w:r>
        <w:r w:rsidR="009E1F29">
          <w:rPr>
            <w:webHidden/>
          </w:rPr>
          <w:tab/>
        </w:r>
        <w:r w:rsidR="009E1F29">
          <w:rPr>
            <w:webHidden/>
          </w:rPr>
          <w:fldChar w:fldCharType="begin"/>
        </w:r>
        <w:r w:rsidR="009E1F29">
          <w:rPr>
            <w:webHidden/>
          </w:rPr>
          <w:instrText xml:space="preserve"> PAGEREF _Toc120631130 \h </w:instrText>
        </w:r>
        <w:r w:rsidR="009E1F29">
          <w:rPr>
            <w:webHidden/>
          </w:rPr>
        </w:r>
        <w:r w:rsidR="009E1F29">
          <w:rPr>
            <w:webHidden/>
          </w:rPr>
          <w:fldChar w:fldCharType="separate"/>
        </w:r>
        <w:r w:rsidR="009E1F29">
          <w:rPr>
            <w:webHidden/>
          </w:rPr>
          <w:t>3-17</w:t>
        </w:r>
        <w:r w:rsidR="009E1F29">
          <w:rPr>
            <w:webHidden/>
          </w:rPr>
          <w:fldChar w:fldCharType="end"/>
        </w:r>
      </w:hyperlink>
    </w:p>
    <w:p w14:paraId="6BB7DBCB" w14:textId="0A78B01A" w:rsidR="009E1F29" w:rsidRDefault="00464453">
      <w:pPr>
        <w:pStyle w:val="TableofFigures"/>
        <w:rPr>
          <w:rFonts w:eastAsiaTheme="minorEastAsia" w:cstheme="minorBidi"/>
          <w:color w:val="auto"/>
          <w:sz w:val="22"/>
          <w:szCs w:val="22"/>
        </w:rPr>
      </w:pPr>
      <w:hyperlink w:anchor="_Toc120631131" w:history="1">
        <w:r w:rsidR="009E1F29" w:rsidRPr="00E34F3E">
          <w:rPr>
            <w:rStyle w:val="Hyperlink"/>
          </w:rPr>
          <w:t>Table 3</w:t>
        </w:r>
        <w:r w:rsidR="009E1F29" w:rsidRPr="00E34F3E">
          <w:rPr>
            <w:rStyle w:val="Hyperlink"/>
          </w:rPr>
          <w:noBreakHyphen/>
          <w:t>5. Example Classification Factor Groups</w:t>
        </w:r>
        <w:r w:rsidR="009E1F29">
          <w:rPr>
            <w:webHidden/>
          </w:rPr>
          <w:tab/>
        </w:r>
        <w:r w:rsidR="009E1F29">
          <w:rPr>
            <w:webHidden/>
          </w:rPr>
          <w:fldChar w:fldCharType="begin"/>
        </w:r>
        <w:r w:rsidR="009E1F29">
          <w:rPr>
            <w:webHidden/>
          </w:rPr>
          <w:instrText xml:space="preserve"> PAGEREF _Toc120631131 \h </w:instrText>
        </w:r>
        <w:r w:rsidR="009E1F29">
          <w:rPr>
            <w:webHidden/>
          </w:rPr>
        </w:r>
        <w:r w:rsidR="009E1F29">
          <w:rPr>
            <w:webHidden/>
          </w:rPr>
          <w:fldChar w:fldCharType="separate"/>
        </w:r>
        <w:r w:rsidR="009E1F29">
          <w:rPr>
            <w:webHidden/>
          </w:rPr>
          <w:t>3-21</w:t>
        </w:r>
        <w:r w:rsidR="009E1F29">
          <w:rPr>
            <w:webHidden/>
          </w:rPr>
          <w:fldChar w:fldCharType="end"/>
        </w:r>
      </w:hyperlink>
    </w:p>
    <w:p w14:paraId="0777E6F2" w14:textId="3264C7DB" w:rsidR="009E1F29" w:rsidRDefault="00464453">
      <w:pPr>
        <w:pStyle w:val="TableofFigures"/>
        <w:rPr>
          <w:rFonts w:eastAsiaTheme="minorEastAsia" w:cstheme="minorBidi"/>
          <w:color w:val="auto"/>
          <w:sz w:val="22"/>
          <w:szCs w:val="22"/>
        </w:rPr>
      </w:pPr>
      <w:hyperlink w:anchor="_Toc120631132" w:history="1">
        <w:r w:rsidR="009E1F29" w:rsidRPr="00E34F3E">
          <w:rPr>
            <w:rStyle w:val="Hyperlink"/>
          </w:rPr>
          <w:t>Table 3</w:t>
        </w:r>
        <w:r w:rsidR="009E1F29" w:rsidRPr="00E34F3E">
          <w:rPr>
            <w:rStyle w:val="Hyperlink"/>
          </w:rPr>
          <w:noBreakHyphen/>
          <w:t>6. Example of Monthly Factors by Vehicle Class at a Single Site</w:t>
        </w:r>
        <w:r w:rsidR="009E1F29">
          <w:rPr>
            <w:webHidden/>
          </w:rPr>
          <w:tab/>
        </w:r>
        <w:r w:rsidR="009E1F29">
          <w:rPr>
            <w:webHidden/>
          </w:rPr>
          <w:fldChar w:fldCharType="begin"/>
        </w:r>
        <w:r w:rsidR="009E1F29">
          <w:rPr>
            <w:webHidden/>
          </w:rPr>
          <w:instrText xml:space="preserve"> PAGEREF _Toc120631132 \h </w:instrText>
        </w:r>
        <w:r w:rsidR="009E1F29">
          <w:rPr>
            <w:webHidden/>
          </w:rPr>
        </w:r>
        <w:r w:rsidR="009E1F29">
          <w:rPr>
            <w:webHidden/>
          </w:rPr>
          <w:fldChar w:fldCharType="separate"/>
        </w:r>
        <w:r w:rsidR="009E1F29">
          <w:rPr>
            <w:webHidden/>
          </w:rPr>
          <w:t>3-22</w:t>
        </w:r>
        <w:r w:rsidR="009E1F29">
          <w:rPr>
            <w:webHidden/>
          </w:rPr>
          <w:fldChar w:fldCharType="end"/>
        </w:r>
      </w:hyperlink>
    </w:p>
    <w:p w14:paraId="1DE3907B" w14:textId="4EB51CC3" w:rsidR="009E1F29" w:rsidRDefault="00464453">
      <w:pPr>
        <w:pStyle w:val="TableofFigures"/>
        <w:rPr>
          <w:rFonts w:eastAsiaTheme="minorEastAsia" w:cstheme="minorBidi"/>
          <w:color w:val="auto"/>
          <w:sz w:val="22"/>
          <w:szCs w:val="22"/>
        </w:rPr>
      </w:pPr>
      <w:hyperlink r:id="rId26" w:anchor="_Toc120631133" w:history="1">
        <w:r w:rsidR="009E1F29" w:rsidRPr="00E34F3E">
          <w:rPr>
            <w:rStyle w:val="Hyperlink"/>
          </w:rPr>
          <w:t>Table 3</w:t>
        </w:r>
        <w:r w:rsidR="009E1F29" w:rsidRPr="00E34F3E">
          <w:rPr>
            <w:rStyle w:val="Hyperlink"/>
          </w:rPr>
          <w:noBreakHyphen/>
          <w:t>7. Motorcycle Traffic Volume Estimation</w:t>
        </w:r>
        <w:r w:rsidR="009E1F29">
          <w:rPr>
            <w:webHidden/>
          </w:rPr>
          <w:tab/>
        </w:r>
        <w:r w:rsidR="009E1F29">
          <w:rPr>
            <w:webHidden/>
          </w:rPr>
          <w:fldChar w:fldCharType="begin"/>
        </w:r>
        <w:r w:rsidR="009E1F29">
          <w:rPr>
            <w:webHidden/>
          </w:rPr>
          <w:instrText xml:space="preserve"> PAGEREF _Toc120631133 \h </w:instrText>
        </w:r>
        <w:r w:rsidR="009E1F29">
          <w:rPr>
            <w:webHidden/>
          </w:rPr>
        </w:r>
        <w:r w:rsidR="009E1F29">
          <w:rPr>
            <w:webHidden/>
          </w:rPr>
          <w:fldChar w:fldCharType="separate"/>
        </w:r>
        <w:r w:rsidR="009E1F29">
          <w:rPr>
            <w:webHidden/>
          </w:rPr>
          <w:t>3-26</w:t>
        </w:r>
        <w:r w:rsidR="009E1F29">
          <w:rPr>
            <w:webHidden/>
          </w:rPr>
          <w:fldChar w:fldCharType="end"/>
        </w:r>
      </w:hyperlink>
    </w:p>
    <w:p w14:paraId="3E2A8BDC" w14:textId="4394AE98" w:rsidR="009E1F29" w:rsidRDefault="00464453">
      <w:pPr>
        <w:pStyle w:val="TableofFigures"/>
        <w:rPr>
          <w:rFonts w:eastAsiaTheme="minorEastAsia" w:cstheme="minorBidi"/>
          <w:color w:val="auto"/>
          <w:sz w:val="22"/>
          <w:szCs w:val="22"/>
        </w:rPr>
      </w:pPr>
      <w:hyperlink r:id="rId27" w:anchor="_Toc120631134" w:history="1">
        <w:r w:rsidR="009E1F29" w:rsidRPr="00E34F3E">
          <w:rPr>
            <w:rStyle w:val="Hyperlink"/>
          </w:rPr>
          <w:t>Table 3</w:t>
        </w:r>
        <w:r w:rsidR="009E1F29" w:rsidRPr="00E34F3E">
          <w:rPr>
            <w:rStyle w:val="Hyperlink"/>
          </w:rPr>
          <w:noBreakHyphen/>
          <w:t>8. ADT</w:t>
        </w:r>
        <w:r w:rsidR="009E1F29" w:rsidRPr="00E34F3E">
          <w:rPr>
            <w:rStyle w:val="Hyperlink"/>
            <w:vertAlign w:val="subscript"/>
          </w:rPr>
          <w:t>m</w:t>
        </w:r>
        <w:r w:rsidR="009E1F29" w:rsidRPr="00E34F3E">
          <w:rPr>
            <w:rStyle w:val="Hyperlink"/>
          </w:rPr>
          <w:t xml:space="preserve"> by Day of Week</w:t>
        </w:r>
        <w:r w:rsidR="009E1F29">
          <w:rPr>
            <w:webHidden/>
          </w:rPr>
          <w:tab/>
        </w:r>
        <w:r w:rsidR="009E1F29">
          <w:rPr>
            <w:webHidden/>
          </w:rPr>
          <w:fldChar w:fldCharType="begin"/>
        </w:r>
        <w:r w:rsidR="009E1F29">
          <w:rPr>
            <w:webHidden/>
          </w:rPr>
          <w:instrText xml:space="preserve"> PAGEREF _Toc120631134 \h </w:instrText>
        </w:r>
        <w:r w:rsidR="009E1F29">
          <w:rPr>
            <w:webHidden/>
          </w:rPr>
        </w:r>
        <w:r w:rsidR="009E1F29">
          <w:rPr>
            <w:webHidden/>
          </w:rPr>
          <w:fldChar w:fldCharType="separate"/>
        </w:r>
        <w:r w:rsidR="009E1F29">
          <w:rPr>
            <w:webHidden/>
          </w:rPr>
          <w:t>3-26</w:t>
        </w:r>
        <w:r w:rsidR="009E1F29">
          <w:rPr>
            <w:webHidden/>
          </w:rPr>
          <w:fldChar w:fldCharType="end"/>
        </w:r>
      </w:hyperlink>
    </w:p>
    <w:p w14:paraId="01445436" w14:textId="7C308A37" w:rsidR="009E1F29" w:rsidRDefault="00464453">
      <w:pPr>
        <w:pStyle w:val="TableofFigures"/>
        <w:rPr>
          <w:rFonts w:eastAsiaTheme="minorEastAsia" w:cstheme="minorBidi"/>
          <w:color w:val="auto"/>
          <w:sz w:val="22"/>
          <w:szCs w:val="22"/>
        </w:rPr>
      </w:pPr>
      <w:hyperlink r:id="rId28" w:anchor="_Toc120631135" w:history="1">
        <w:r w:rsidR="009E1F29" w:rsidRPr="00E34F3E">
          <w:rPr>
            <w:rStyle w:val="Hyperlink"/>
          </w:rPr>
          <w:t>Table 3</w:t>
        </w:r>
        <w:r w:rsidR="009E1F29" w:rsidRPr="00E34F3E">
          <w:rPr>
            <w:rStyle w:val="Hyperlink"/>
          </w:rPr>
          <w:noBreakHyphen/>
          <w:t>9. ADT Calculation Example</w:t>
        </w:r>
        <w:r w:rsidR="009E1F29">
          <w:rPr>
            <w:webHidden/>
          </w:rPr>
          <w:tab/>
        </w:r>
        <w:r w:rsidR="009E1F29">
          <w:rPr>
            <w:webHidden/>
          </w:rPr>
          <w:fldChar w:fldCharType="begin"/>
        </w:r>
        <w:r w:rsidR="009E1F29">
          <w:rPr>
            <w:webHidden/>
          </w:rPr>
          <w:instrText xml:space="preserve"> PAGEREF _Toc120631135 \h </w:instrText>
        </w:r>
        <w:r w:rsidR="009E1F29">
          <w:rPr>
            <w:webHidden/>
          </w:rPr>
        </w:r>
        <w:r w:rsidR="009E1F29">
          <w:rPr>
            <w:webHidden/>
          </w:rPr>
          <w:fldChar w:fldCharType="separate"/>
        </w:r>
        <w:r w:rsidR="009E1F29">
          <w:rPr>
            <w:webHidden/>
          </w:rPr>
          <w:t>3-26</w:t>
        </w:r>
        <w:r w:rsidR="009E1F29">
          <w:rPr>
            <w:webHidden/>
          </w:rPr>
          <w:fldChar w:fldCharType="end"/>
        </w:r>
      </w:hyperlink>
    </w:p>
    <w:p w14:paraId="355F5490" w14:textId="42E4FEC4" w:rsidR="009E1F29" w:rsidRDefault="00464453">
      <w:pPr>
        <w:pStyle w:val="TableofFigures"/>
        <w:rPr>
          <w:rFonts w:eastAsiaTheme="minorEastAsia" w:cstheme="minorBidi"/>
          <w:color w:val="auto"/>
          <w:sz w:val="22"/>
          <w:szCs w:val="22"/>
        </w:rPr>
      </w:pPr>
      <w:hyperlink w:anchor="_Toc120631136" w:history="1">
        <w:r w:rsidR="009E1F29" w:rsidRPr="00E34F3E">
          <w:rPr>
            <w:rStyle w:val="Hyperlink"/>
          </w:rPr>
          <w:t>Table 3</w:t>
        </w:r>
        <w:r w:rsidR="009E1F29" w:rsidRPr="00E34F3E">
          <w:rPr>
            <w:rStyle w:val="Hyperlink"/>
          </w:rPr>
          <w:noBreakHyphen/>
          <w:t>10. ADT Vehicle Type Computation Example</w:t>
        </w:r>
        <w:r w:rsidR="009E1F29">
          <w:rPr>
            <w:webHidden/>
          </w:rPr>
          <w:tab/>
        </w:r>
        <w:r w:rsidR="009E1F29">
          <w:rPr>
            <w:webHidden/>
          </w:rPr>
          <w:fldChar w:fldCharType="begin"/>
        </w:r>
        <w:r w:rsidR="009E1F29">
          <w:rPr>
            <w:webHidden/>
          </w:rPr>
          <w:instrText xml:space="preserve"> PAGEREF _Toc120631136 \h </w:instrText>
        </w:r>
        <w:r w:rsidR="009E1F29">
          <w:rPr>
            <w:webHidden/>
          </w:rPr>
        </w:r>
        <w:r w:rsidR="009E1F29">
          <w:rPr>
            <w:webHidden/>
          </w:rPr>
          <w:fldChar w:fldCharType="separate"/>
        </w:r>
        <w:r w:rsidR="009E1F29">
          <w:rPr>
            <w:webHidden/>
          </w:rPr>
          <w:t>3-27</w:t>
        </w:r>
        <w:r w:rsidR="009E1F29">
          <w:rPr>
            <w:webHidden/>
          </w:rPr>
          <w:fldChar w:fldCharType="end"/>
        </w:r>
      </w:hyperlink>
    </w:p>
    <w:p w14:paraId="253BF3F4" w14:textId="04E23766" w:rsidR="009E1F29" w:rsidRDefault="00464453">
      <w:pPr>
        <w:pStyle w:val="TableofFigures"/>
        <w:rPr>
          <w:rFonts w:eastAsiaTheme="minorEastAsia" w:cstheme="minorBidi"/>
          <w:color w:val="auto"/>
          <w:sz w:val="22"/>
          <w:szCs w:val="22"/>
        </w:rPr>
      </w:pPr>
      <w:hyperlink r:id="rId29" w:anchor="_Toc120631137" w:history="1">
        <w:r w:rsidR="009E1F29" w:rsidRPr="00E34F3E">
          <w:rPr>
            <w:rStyle w:val="Hyperlink"/>
          </w:rPr>
          <w:t>Table 3</w:t>
        </w:r>
        <w:r w:rsidR="009E1F29" w:rsidRPr="00E34F3E">
          <w:rPr>
            <w:rStyle w:val="Hyperlink"/>
          </w:rPr>
          <w:noBreakHyphen/>
          <w:t xml:space="preserve">11. Example of </w:t>
        </w:r>
        <w:r w:rsidR="006C17FD">
          <w:rPr>
            <w:rStyle w:val="Hyperlink"/>
          </w:rPr>
          <w:t>a</w:t>
        </w:r>
        <w:r w:rsidR="009E1F29" w:rsidRPr="00E34F3E">
          <w:rPr>
            <w:rStyle w:val="Hyperlink"/>
          </w:rPr>
          <w:t xml:space="preserve"> Normalized Load Spectrum for Vehicle Class 9 Single and Tandem Axles from FDOT</w:t>
        </w:r>
        <w:r w:rsidR="009E1F29">
          <w:rPr>
            <w:webHidden/>
          </w:rPr>
          <w:tab/>
        </w:r>
        <w:r w:rsidR="009E1F29">
          <w:rPr>
            <w:webHidden/>
          </w:rPr>
          <w:fldChar w:fldCharType="begin"/>
        </w:r>
        <w:r w:rsidR="009E1F29">
          <w:rPr>
            <w:webHidden/>
          </w:rPr>
          <w:instrText xml:space="preserve"> PAGEREF _Toc120631137 \h </w:instrText>
        </w:r>
        <w:r w:rsidR="009E1F29">
          <w:rPr>
            <w:webHidden/>
          </w:rPr>
        </w:r>
        <w:r w:rsidR="009E1F29">
          <w:rPr>
            <w:webHidden/>
          </w:rPr>
          <w:fldChar w:fldCharType="separate"/>
        </w:r>
        <w:r w:rsidR="009E1F29">
          <w:rPr>
            <w:webHidden/>
          </w:rPr>
          <w:t>3-30</w:t>
        </w:r>
        <w:r w:rsidR="009E1F29">
          <w:rPr>
            <w:webHidden/>
          </w:rPr>
          <w:fldChar w:fldCharType="end"/>
        </w:r>
      </w:hyperlink>
    </w:p>
    <w:p w14:paraId="080A9C3E" w14:textId="4D96BF52" w:rsidR="009E1F29" w:rsidRDefault="00464453">
      <w:pPr>
        <w:pStyle w:val="TableofFigures"/>
        <w:rPr>
          <w:rFonts w:eastAsiaTheme="minorEastAsia" w:cstheme="minorBidi"/>
          <w:color w:val="auto"/>
          <w:sz w:val="22"/>
          <w:szCs w:val="22"/>
        </w:rPr>
      </w:pPr>
      <w:hyperlink w:anchor="_Toc120631138" w:history="1">
        <w:r w:rsidR="009E1F29" w:rsidRPr="00E34F3E">
          <w:rPr>
            <w:rStyle w:val="Hyperlink"/>
          </w:rPr>
          <w:t>Table 3</w:t>
        </w:r>
        <w:r w:rsidR="009E1F29" w:rsidRPr="00E34F3E">
          <w:rPr>
            <w:rStyle w:val="Hyperlink"/>
          </w:rPr>
          <w:noBreakHyphen/>
          <w:t>12. Example Truck Loading Groups</w:t>
        </w:r>
        <w:r w:rsidR="009E1F29">
          <w:rPr>
            <w:webHidden/>
          </w:rPr>
          <w:tab/>
        </w:r>
        <w:r w:rsidR="009E1F29">
          <w:rPr>
            <w:webHidden/>
          </w:rPr>
          <w:fldChar w:fldCharType="begin"/>
        </w:r>
        <w:r w:rsidR="009E1F29">
          <w:rPr>
            <w:webHidden/>
          </w:rPr>
          <w:instrText xml:space="preserve"> PAGEREF _Toc120631138 \h </w:instrText>
        </w:r>
        <w:r w:rsidR="009E1F29">
          <w:rPr>
            <w:webHidden/>
          </w:rPr>
        </w:r>
        <w:r w:rsidR="009E1F29">
          <w:rPr>
            <w:webHidden/>
          </w:rPr>
          <w:fldChar w:fldCharType="separate"/>
        </w:r>
        <w:r w:rsidR="009E1F29">
          <w:rPr>
            <w:webHidden/>
          </w:rPr>
          <w:t>3-36</w:t>
        </w:r>
        <w:r w:rsidR="009E1F29">
          <w:rPr>
            <w:webHidden/>
          </w:rPr>
          <w:fldChar w:fldCharType="end"/>
        </w:r>
      </w:hyperlink>
    </w:p>
    <w:p w14:paraId="1A18A206" w14:textId="1BB4A1EA" w:rsidR="009E1F29" w:rsidRDefault="00464453">
      <w:pPr>
        <w:pStyle w:val="TableofFigures"/>
        <w:rPr>
          <w:rFonts w:eastAsiaTheme="minorEastAsia" w:cstheme="minorBidi"/>
          <w:color w:val="auto"/>
          <w:sz w:val="22"/>
          <w:szCs w:val="22"/>
        </w:rPr>
      </w:pPr>
      <w:hyperlink r:id="rId30" w:anchor="_Toc120631139" w:history="1">
        <w:r w:rsidR="009E1F29" w:rsidRPr="00E34F3E">
          <w:rPr>
            <w:rStyle w:val="Hyperlink"/>
          </w:rPr>
          <w:t>Table 3</w:t>
        </w:r>
        <w:r w:rsidR="009E1F29" w:rsidRPr="00E34F3E">
          <w:rPr>
            <w:rStyle w:val="Hyperlink"/>
          </w:rPr>
          <w:noBreakHyphen/>
          <w:t>13. Example of Statistic Computation for Load Factor Group Precision Estimates</w:t>
        </w:r>
        <w:r w:rsidR="009E1F29">
          <w:rPr>
            <w:webHidden/>
          </w:rPr>
          <w:tab/>
        </w:r>
        <w:r w:rsidR="009E1F29">
          <w:rPr>
            <w:webHidden/>
          </w:rPr>
          <w:fldChar w:fldCharType="begin"/>
        </w:r>
        <w:r w:rsidR="009E1F29">
          <w:rPr>
            <w:webHidden/>
          </w:rPr>
          <w:instrText xml:space="preserve"> PAGEREF _Toc120631139 \h </w:instrText>
        </w:r>
        <w:r w:rsidR="009E1F29">
          <w:rPr>
            <w:webHidden/>
          </w:rPr>
        </w:r>
        <w:r w:rsidR="009E1F29">
          <w:rPr>
            <w:webHidden/>
          </w:rPr>
          <w:fldChar w:fldCharType="separate"/>
        </w:r>
        <w:r w:rsidR="009E1F29">
          <w:rPr>
            <w:webHidden/>
          </w:rPr>
          <w:t>3-38</w:t>
        </w:r>
        <w:r w:rsidR="009E1F29">
          <w:rPr>
            <w:webHidden/>
          </w:rPr>
          <w:fldChar w:fldCharType="end"/>
        </w:r>
      </w:hyperlink>
    </w:p>
    <w:p w14:paraId="3E0C7172" w14:textId="0600C958" w:rsidR="009E1F29" w:rsidRDefault="00464453">
      <w:pPr>
        <w:pStyle w:val="TableofFigures"/>
        <w:rPr>
          <w:rFonts w:eastAsiaTheme="minorEastAsia" w:cstheme="minorBidi"/>
          <w:color w:val="auto"/>
          <w:sz w:val="22"/>
          <w:szCs w:val="22"/>
        </w:rPr>
      </w:pPr>
      <w:hyperlink r:id="rId31" w:anchor="_Toc120631140" w:history="1">
        <w:r w:rsidR="009E1F29" w:rsidRPr="00E34F3E">
          <w:rPr>
            <w:rStyle w:val="Hyperlink"/>
          </w:rPr>
          <w:t>Table 3</w:t>
        </w:r>
        <w:r w:rsidR="009E1F29" w:rsidRPr="00E34F3E">
          <w:rPr>
            <w:rStyle w:val="Hyperlink"/>
          </w:rPr>
          <w:noBreakHyphen/>
          <w:t>14. Statistics Used for Sample Size Computation</w:t>
        </w:r>
        <w:r w:rsidR="009E1F29">
          <w:rPr>
            <w:webHidden/>
          </w:rPr>
          <w:tab/>
        </w:r>
        <w:r w:rsidR="009E1F29">
          <w:rPr>
            <w:webHidden/>
          </w:rPr>
          <w:fldChar w:fldCharType="begin"/>
        </w:r>
        <w:r w:rsidR="009E1F29">
          <w:rPr>
            <w:webHidden/>
          </w:rPr>
          <w:instrText xml:space="preserve"> PAGEREF _Toc120631140 \h </w:instrText>
        </w:r>
        <w:r w:rsidR="009E1F29">
          <w:rPr>
            <w:webHidden/>
          </w:rPr>
        </w:r>
        <w:r w:rsidR="009E1F29">
          <w:rPr>
            <w:webHidden/>
          </w:rPr>
          <w:fldChar w:fldCharType="separate"/>
        </w:r>
        <w:r w:rsidR="009E1F29">
          <w:rPr>
            <w:webHidden/>
          </w:rPr>
          <w:t>3-40</w:t>
        </w:r>
        <w:r w:rsidR="009E1F29">
          <w:rPr>
            <w:webHidden/>
          </w:rPr>
          <w:fldChar w:fldCharType="end"/>
        </w:r>
      </w:hyperlink>
    </w:p>
    <w:p w14:paraId="7E68F984" w14:textId="010529DE" w:rsidR="009E1F29" w:rsidRDefault="00464453">
      <w:pPr>
        <w:pStyle w:val="TableofFigures"/>
        <w:rPr>
          <w:rFonts w:eastAsiaTheme="minorEastAsia" w:cstheme="minorBidi"/>
          <w:color w:val="auto"/>
          <w:sz w:val="22"/>
          <w:szCs w:val="22"/>
        </w:rPr>
      </w:pPr>
      <w:hyperlink r:id="rId32" w:anchor="_Toc120631141" w:history="1">
        <w:r w:rsidR="009E1F29" w:rsidRPr="00E34F3E">
          <w:rPr>
            <w:rStyle w:val="Hyperlink"/>
          </w:rPr>
          <w:t>Table 3</w:t>
        </w:r>
        <w:r w:rsidR="009E1F29" w:rsidRPr="00E34F3E">
          <w:rPr>
            <w:rStyle w:val="Hyperlink"/>
          </w:rPr>
          <w:noBreakHyphen/>
          <w:t>15. Estimating Spacing of Short-Duration Counts</w:t>
        </w:r>
        <w:r w:rsidR="009E1F29">
          <w:rPr>
            <w:webHidden/>
          </w:rPr>
          <w:tab/>
        </w:r>
        <w:r w:rsidR="009E1F29">
          <w:rPr>
            <w:webHidden/>
          </w:rPr>
          <w:fldChar w:fldCharType="begin"/>
        </w:r>
        <w:r w:rsidR="009E1F29">
          <w:rPr>
            <w:webHidden/>
          </w:rPr>
          <w:instrText xml:space="preserve"> PAGEREF _Toc120631141 \h </w:instrText>
        </w:r>
        <w:r w:rsidR="009E1F29">
          <w:rPr>
            <w:webHidden/>
          </w:rPr>
        </w:r>
        <w:r w:rsidR="009E1F29">
          <w:rPr>
            <w:webHidden/>
          </w:rPr>
          <w:fldChar w:fldCharType="separate"/>
        </w:r>
        <w:r w:rsidR="009E1F29">
          <w:rPr>
            <w:webHidden/>
          </w:rPr>
          <w:t>3-45</w:t>
        </w:r>
        <w:r w:rsidR="009E1F29">
          <w:rPr>
            <w:webHidden/>
          </w:rPr>
          <w:fldChar w:fldCharType="end"/>
        </w:r>
      </w:hyperlink>
    </w:p>
    <w:p w14:paraId="1C39300C" w14:textId="56E858D5" w:rsidR="009E1F29" w:rsidRDefault="00464453">
      <w:pPr>
        <w:pStyle w:val="TableofFigures"/>
        <w:rPr>
          <w:rFonts w:eastAsiaTheme="minorEastAsia" w:cstheme="minorBidi"/>
          <w:color w:val="auto"/>
          <w:sz w:val="22"/>
          <w:szCs w:val="22"/>
        </w:rPr>
      </w:pPr>
      <w:hyperlink w:anchor="_Toc120631142" w:history="1">
        <w:r w:rsidR="009E1F29" w:rsidRPr="00E34F3E">
          <w:rPr>
            <w:rStyle w:val="Hyperlink"/>
          </w:rPr>
          <w:t>Table 3</w:t>
        </w:r>
        <w:r w:rsidR="009E1F29" w:rsidRPr="00E34F3E">
          <w:rPr>
            <w:rStyle w:val="Hyperlink"/>
          </w:rPr>
          <w:noBreakHyphen/>
          <w:t>16. Traffic Segments and Classification Short-Term Program Based on Functional Classification and Truck Activity</w:t>
        </w:r>
        <w:r w:rsidR="009E1F29">
          <w:rPr>
            <w:webHidden/>
          </w:rPr>
          <w:tab/>
        </w:r>
        <w:r w:rsidR="009E1F29">
          <w:rPr>
            <w:webHidden/>
          </w:rPr>
          <w:fldChar w:fldCharType="begin"/>
        </w:r>
        <w:r w:rsidR="009E1F29">
          <w:rPr>
            <w:webHidden/>
          </w:rPr>
          <w:instrText xml:space="preserve"> PAGEREF _Toc120631142 \h </w:instrText>
        </w:r>
        <w:r w:rsidR="009E1F29">
          <w:rPr>
            <w:webHidden/>
          </w:rPr>
        </w:r>
        <w:r w:rsidR="009E1F29">
          <w:rPr>
            <w:webHidden/>
          </w:rPr>
          <w:fldChar w:fldCharType="separate"/>
        </w:r>
        <w:r w:rsidR="009E1F29">
          <w:rPr>
            <w:webHidden/>
          </w:rPr>
          <w:t>3-54</w:t>
        </w:r>
        <w:r w:rsidR="009E1F29">
          <w:rPr>
            <w:webHidden/>
          </w:rPr>
          <w:fldChar w:fldCharType="end"/>
        </w:r>
      </w:hyperlink>
    </w:p>
    <w:p w14:paraId="58F4EFD5" w14:textId="78C00626" w:rsidR="009E1F29" w:rsidRDefault="00464453">
      <w:pPr>
        <w:pStyle w:val="TableofFigures"/>
        <w:rPr>
          <w:rFonts w:eastAsiaTheme="minorEastAsia" w:cstheme="minorBidi"/>
          <w:color w:val="auto"/>
          <w:sz w:val="22"/>
          <w:szCs w:val="22"/>
        </w:rPr>
      </w:pPr>
      <w:hyperlink w:anchor="_Toc120631143" w:history="1">
        <w:r w:rsidR="009E1F29" w:rsidRPr="00E34F3E">
          <w:rPr>
            <w:rStyle w:val="Hyperlink"/>
          </w:rPr>
          <w:t>Table 3</w:t>
        </w:r>
        <w:r w:rsidR="009E1F29" w:rsidRPr="00E34F3E">
          <w:rPr>
            <w:rStyle w:val="Hyperlink"/>
          </w:rPr>
          <w:noBreakHyphen/>
          <w:t>17. Example Abbreviated Dataset (Selected Hours) Showing Partial-day Counts</w:t>
        </w:r>
        <w:r w:rsidR="009E1F29">
          <w:rPr>
            <w:webHidden/>
          </w:rPr>
          <w:tab/>
        </w:r>
        <w:r w:rsidR="009E1F29">
          <w:rPr>
            <w:webHidden/>
          </w:rPr>
          <w:fldChar w:fldCharType="begin"/>
        </w:r>
        <w:r w:rsidR="009E1F29">
          <w:rPr>
            <w:webHidden/>
          </w:rPr>
          <w:instrText xml:space="preserve"> PAGEREF _Toc120631143 \h </w:instrText>
        </w:r>
        <w:r w:rsidR="009E1F29">
          <w:rPr>
            <w:webHidden/>
          </w:rPr>
        </w:r>
        <w:r w:rsidR="009E1F29">
          <w:rPr>
            <w:webHidden/>
          </w:rPr>
          <w:fldChar w:fldCharType="separate"/>
        </w:r>
        <w:r w:rsidR="009E1F29">
          <w:rPr>
            <w:webHidden/>
          </w:rPr>
          <w:t>3-69</w:t>
        </w:r>
        <w:r w:rsidR="009E1F29">
          <w:rPr>
            <w:webHidden/>
          </w:rPr>
          <w:fldChar w:fldCharType="end"/>
        </w:r>
      </w:hyperlink>
    </w:p>
    <w:p w14:paraId="47A1B66A" w14:textId="28886509" w:rsidR="009E1F29" w:rsidRDefault="00464453">
      <w:pPr>
        <w:pStyle w:val="TableofFigures"/>
        <w:rPr>
          <w:rFonts w:eastAsiaTheme="minorEastAsia" w:cstheme="minorBidi"/>
          <w:color w:val="auto"/>
          <w:sz w:val="22"/>
          <w:szCs w:val="22"/>
        </w:rPr>
      </w:pPr>
      <w:hyperlink w:anchor="_Toc120631144" w:history="1">
        <w:r w:rsidR="009E1F29" w:rsidRPr="00E34F3E">
          <w:rPr>
            <w:rStyle w:val="Hyperlink"/>
          </w:rPr>
          <w:t>Table 3</w:t>
        </w:r>
        <w:r w:rsidR="009E1F29" w:rsidRPr="00E34F3E">
          <w:rPr>
            <w:rStyle w:val="Hyperlink"/>
          </w:rPr>
          <w:noBreakHyphen/>
          <w:t>18. Example of Hourly Totals for Time-of-Day and Day-of-Week</w:t>
        </w:r>
        <w:r w:rsidR="009E1F29">
          <w:rPr>
            <w:webHidden/>
          </w:rPr>
          <w:tab/>
        </w:r>
        <w:r w:rsidR="009E1F29">
          <w:rPr>
            <w:webHidden/>
          </w:rPr>
          <w:fldChar w:fldCharType="begin"/>
        </w:r>
        <w:r w:rsidR="009E1F29">
          <w:rPr>
            <w:webHidden/>
          </w:rPr>
          <w:instrText xml:space="preserve"> PAGEREF _Toc120631144 \h </w:instrText>
        </w:r>
        <w:r w:rsidR="009E1F29">
          <w:rPr>
            <w:webHidden/>
          </w:rPr>
        </w:r>
        <w:r w:rsidR="009E1F29">
          <w:rPr>
            <w:webHidden/>
          </w:rPr>
          <w:fldChar w:fldCharType="separate"/>
        </w:r>
        <w:r w:rsidR="009E1F29">
          <w:rPr>
            <w:webHidden/>
          </w:rPr>
          <w:t>3-69</w:t>
        </w:r>
        <w:r w:rsidR="009E1F29">
          <w:rPr>
            <w:webHidden/>
          </w:rPr>
          <w:fldChar w:fldCharType="end"/>
        </w:r>
      </w:hyperlink>
    </w:p>
    <w:p w14:paraId="21DFD9E6" w14:textId="177D1C37" w:rsidR="009E1F29" w:rsidRDefault="00464453">
      <w:pPr>
        <w:pStyle w:val="TableofFigures"/>
        <w:rPr>
          <w:rFonts w:eastAsiaTheme="minorEastAsia" w:cstheme="minorBidi"/>
          <w:color w:val="auto"/>
          <w:sz w:val="22"/>
          <w:szCs w:val="22"/>
        </w:rPr>
      </w:pPr>
      <w:hyperlink w:anchor="_Toc120631145" w:history="1">
        <w:r w:rsidR="009E1F29" w:rsidRPr="00E34F3E">
          <w:rPr>
            <w:rStyle w:val="Hyperlink"/>
          </w:rPr>
          <w:t>Table 3</w:t>
        </w:r>
        <w:r w:rsidR="009E1F29" w:rsidRPr="00E34F3E">
          <w:rPr>
            <w:rStyle w:val="Hyperlink"/>
          </w:rPr>
          <w:noBreakHyphen/>
          <w:t>19. Example of Day-of-Week Averages</w:t>
        </w:r>
        <w:r w:rsidR="009E1F29">
          <w:rPr>
            <w:webHidden/>
          </w:rPr>
          <w:tab/>
        </w:r>
        <w:r w:rsidR="009E1F29">
          <w:rPr>
            <w:webHidden/>
          </w:rPr>
          <w:fldChar w:fldCharType="begin"/>
        </w:r>
        <w:r w:rsidR="009E1F29">
          <w:rPr>
            <w:webHidden/>
          </w:rPr>
          <w:instrText xml:space="preserve"> PAGEREF _Toc120631145 \h </w:instrText>
        </w:r>
        <w:r w:rsidR="009E1F29">
          <w:rPr>
            <w:webHidden/>
          </w:rPr>
        </w:r>
        <w:r w:rsidR="009E1F29">
          <w:rPr>
            <w:webHidden/>
          </w:rPr>
          <w:fldChar w:fldCharType="separate"/>
        </w:r>
        <w:r w:rsidR="009E1F29">
          <w:rPr>
            <w:webHidden/>
          </w:rPr>
          <w:t>3-70</w:t>
        </w:r>
        <w:r w:rsidR="009E1F29">
          <w:rPr>
            <w:webHidden/>
          </w:rPr>
          <w:fldChar w:fldCharType="end"/>
        </w:r>
      </w:hyperlink>
    </w:p>
    <w:p w14:paraId="23B71AC8" w14:textId="61BF707C" w:rsidR="009E1F29" w:rsidRDefault="00464453">
      <w:pPr>
        <w:pStyle w:val="TableofFigures"/>
        <w:rPr>
          <w:rFonts w:eastAsiaTheme="minorEastAsia" w:cstheme="minorBidi"/>
          <w:color w:val="auto"/>
          <w:sz w:val="22"/>
          <w:szCs w:val="22"/>
        </w:rPr>
      </w:pPr>
      <w:hyperlink w:anchor="_Toc120631146" w:history="1">
        <w:r w:rsidR="009E1F29" w:rsidRPr="00E34F3E">
          <w:rPr>
            <w:rStyle w:val="Hyperlink"/>
          </w:rPr>
          <w:t>Table 3</w:t>
        </w:r>
        <w:r w:rsidR="009E1F29" w:rsidRPr="00E34F3E">
          <w:rPr>
            <w:rStyle w:val="Hyperlink"/>
          </w:rPr>
          <w:noBreakHyphen/>
          <w:t>20. Example Calculation of the ACF</w:t>
        </w:r>
        <w:r w:rsidR="009E1F29">
          <w:rPr>
            <w:webHidden/>
          </w:rPr>
          <w:tab/>
        </w:r>
        <w:r w:rsidR="009E1F29">
          <w:rPr>
            <w:webHidden/>
          </w:rPr>
          <w:fldChar w:fldCharType="begin"/>
        </w:r>
        <w:r w:rsidR="009E1F29">
          <w:rPr>
            <w:webHidden/>
          </w:rPr>
          <w:instrText xml:space="preserve"> PAGEREF _Toc120631146 \h </w:instrText>
        </w:r>
        <w:r w:rsidR="009E1F29">
          <w:rPr>
            <w:webHidden/>
          </w:rPr>
        </w:r>
        <w:r w:rsidR="009E1F29">
          <w:rPr>
            <w:webHidden/>
          </w:rPr>
          <w:fldChar w:fldCharType="separate"/>
        </w:r>
        <w:r w:rsidR="009E1F29">
          <w:rPr>
            <w:webHidden/>
          </w:rPr>
          <w:t>3-75</w:t>
        </w:r>
        <w:r w:rsidR="009E1F29">
          <w:rPr>
            <w:webHidden/>
          </w:rPr>
          <w:fldChar w:fldCharType="end"/>
        </w:r>
      </w:hyperlink>
    </w:p>
    <w:p w14:paraId="428B3669" w14:textId="1B2AF7D2" w:rsidR="009E1F29" w:rsidRDefault="00464453">
      <w:pPr>
        <w:pStyle w:val="TableofFigures"/>
        <w:rPr>
          <w:rFonts w:eastAsiaTheme="minorEastAsia" w:cstheme="minorBidi"/>
          <w:color w:val="auto"/>
          <w:sz w:val="22"/>
          <w:szCs w:val="22"/>
        </w:rPr>
      </w:pPr>
      <w:hyperlink w:anchor="_Toc120631147" w:history="1">
        <w:r w:rsidR="009E1F29" w:rsidRPr="00E34F3E">
          <w:rPr>
            <w:rStyle w:val="Hyperlink"/>
          </w:rPr>
          <w:t>Table 3</w:t>
        </w:r>
        <w:r w:rsidR="009E1F29" w:rsidRPr="00E34F3E">
          <w:rPr>
            <w:rStyle w:val="Hyperlink"/>
          </w:rPr>
          <w:noBreakHyphen/>
          <w:t>21. Number of Axles Per Vehicle</w:t>
        </w:r>
        <w:r w:rsidR="009E1F29">
          <w:rPr>
            <w:webHidden/>
          </w:rPr>
          <w:tab/>
        </w:r>
        <w:r w:rsidR="009E1F29">
          <w:rPr>
            <w:webHidden/>
          </w:rPr>
          <w:fldChar w:fldCharType="begin"/>
        </w:r>
        <w:r w:rsidR="009E1F29">
          <w:rPr>
            <w:webHidden/>
          </w:rPr>
          <w:instrText xml:space="preserve"> PAGEREF _Toc120631147 \h </w:instrText>
        </w:r>
        <w:r w:rsidR="009E1F29">
          <w:rPr>
            <w:webHidden/>
          </w:rPr>
        </w:r>
        <w:r w:rsidR="009E1F29">
          <w:rPr>
            <w:webHidden/>
          </w:rPr>
          <w:fldChar w:fldCharType="separate"/>
        </w:r>
        <w:r w:rsidR="009E1F29">
          <w:rPr>
            <w:webHidden/>
          </w:rPr>
          <w:t>3-76</w:t>
        </w:r>
        <w:r w:rsidR="009E1F29">
          <w:rPr>
            <w:webHidden/>
          </w:rPr>
          <w:fldChar w:fldCharType="end"/>
        </w:r>
      </w:hyperlink>
    </w:p>
    <w:p w14:paraId="71B3261E" w14:textId="2D86A63E" w:rsidR="009E1F29" w:rsidRDefault="00464453">
      <w:pPr>
        <w:pStyle w:val="TableofFigures"/>
        <w:rPr>
          <w:rFonts w:eastAsiaTheme="minorEastAsia" w:cstheme="minorBidi"/>
          <w:color w:val="auto"/>
          <w:sz w:val="22"/>
          <w:szCs w:val="22"/>
        </w:rPr>
      </w:pPr>
      <w:hyperlink w:anchor="_Toc120631148" w:history="1">
        <w:r w:rsidR="009E1F29" w:rsidRPr="00E34F3E">
          <w:rPr>
            <w:rStyle w:val="Hyperlink"/>
          </w:rPr>
          <w:t>Table 3</w:t>
        </w:r>
        <w:r w:rsidR="009E1F29" w:rsidRPr="00E34F3E">
          <w:rPr>
            <w:rStyle w:val="Hyperlink"/>
          </w:rPr>
          <w:noBreakHyphen/>
          <w:t>22. 2011 Mixed-Mode Traffic Count Statistics for Midtown Greenway Near Hennepin Avenue, Minneapolis, Minnesota</w:t>
        </w:r>
        <w:r w:rsidR="009E1F29">
          <w:rPr>
            <w:webHidden/>
          </w:rPr>
          <w:tab/>
        </w:r>
        <w:r w:rsidR="009E1F29">
          <w:rPr>
            <w:webHidden/>
          </w:rPr>
          <w:fldChar w:fldCharType="begin"/>
        </w:r>
        <w:r w:rsidR="009E1F29">
          <w:rPr>
            <w:webHidden/>
          </w:rPr>
          <w:instrText xml:space="preserve"> PAGEREF _Toc120631148 \h </w:instrText>
        </w:r>
        <w:r w:rsidR="009E1F29">
          <w:rPr>
            <w:webHidden/>
          </w:rPr>
        </w:r>
        <w:r w:rsidR="009E1F29">
          <w:rPr>
            <w:webHidden/>
          </w:rPr>
          <w:fldChar w:fldCharType="separate"/>
        </w:r>
        <w:r w:rsidR="009E1F29">
          <w:rPr>
            <w:webHidden/>
          </w:rPr>
          <w:t>3-78</w:t>
        </w:r>
        <w:r w:rsidR="009E1F29">
          <w:rPr>
            <w:webHidden/>
          </w:rPr>
          <w:fldChar w:fldCharType="end"/>
        </w:r>
      </w:hyperlink>
    </w:p>
    <w:p w14:paraId="00CA5426" w14:textId="1DC85F30" w:rsidR="009E1F29" w:rsidRDefault="00464453">
      <w:pPr>
        <w:pStyle w:val="TableofFigures"/>
        <w:rPr>
          <w:rFonts w:eastAsiaTheme="minorEastAsia" w:cstheme="minorBidi"/>
          <w:color w:val="auto"/>
          <w:sz w:val="22"/>
          <w:szCs w:val="22"/>
        </w:rPr>
      </w:pPr>
      <w:hyperlink w:anchor="_Toc120631149" w:history="1">
        <w:r w:rsidR="009E1F29" w:rsidRPr="00E34F3E">
          <w:rPr>
            <w:rStyle w:val="Hyperlink"/>
          </w:rPr>
          <w:t>Table 4</w:t>
        </w:r>
        <w:r w:rsidR="009E1F29" w:rsidRPr="00E34F3E">
          <w:rPr>
            <w:rStyle w:val="Hyperlink"/>
          </w:rPr>
          <w:noBreakHyphen/>
          <w:t>1. Data Submission Frequency</w:t>
        </w:r>
        <w:r w:rsidR="009E1F29">
          <w:rPr>
            <w:webHidden/>
          </w:rPr>
          <w:tab/>
        </w:r>
        <w:r w:rsidR="009E1F29">
          <w:rPr>
            <w:webHidden/>
          </w:rPr>
          <w:fldChar w:fldCharType="begin"/>
        </w:r>
        <w:r w:rsidR="009E1F29">
          <w:rPr>
            <w:webHidden/>
          </w:rPr>
          <w:instrText xml:space="preserve"> PAGEREF _Toc120631149 \h </w:instrText>
        </w:r>
        <w:r w:rsidR="009E1F29">
          <w:rPr>
            <w:webHidden/>
          </w:rPr>
        </w:r>
        <w:r w:rsidR="009E1F29">
          <w:rPr>
            <w:webHidden/>
          </w:rPr>
          <w:fldChar w:fldCharType="separate"/>
        </w:r>
        <w:r w:rsidR="009E1F29">
          <w:rPr>
            <w:webHidden/>
          </w:rPr>
          <w:t>4-1</w:t>
        </w:r>
        <w:r w:rsidR="009E1F29">
          <w:rPr>
            <w:webHidden/>
          </w:rPr>
          <w:fldChar w:fldCharType="end"/>
        </w:r>
      </w:hyperlink>
    </w:p>
    <w:p w14:paraId="6D0AE408" w14:textId="7B47300A" w:rsidR="009E1F29" w:rsidRDefault="00464453">
      <w:pPr>
        <w:pStyle w:val="TableofFigures"/>
        <w:rPr>
          <w:rFonts w:eastAsiaTheme="minorEastAsia" w:cstheme="minorBidi"/>
          <w:color w:val="auto"/>
          <w:sz w:val="22"/>
          <w:szCs w:val="22"/>
        </w:rPr>
      </w:pPr>
      <w:hyperlink w:anchor="_Toc120631150" w:history="1">
        <w:r w:rsidR="009E1F29" w:rsidRPr="00E34F3E">
          <w:rPr>
            <w:rStyle w:val="Hyperlink"/>
          </w:rPr>
          <w:t>Table 4</w:t>
        </w:r>
        <w:r w:rsidR="009E1F29" w:rsidRPr="00E34F3E">
          <w:rPr>
            <w:rStyle w:val="Hyperlink"/>
          </w:rPr>
          <w:noBreakHyphen/>
          <w:t>2. Station Description Record</w:t>
        </w:r>
        <w:r w:rsidR="009E1F29">
          <w:rPr>
            <w:webHidden/>
          </w:rPr>
          <w:tab/>
        </w:r>
        <w:r w:rsidR="009E1F29">
          <w:rPr>
            <w:webHidden/>
          </w:rPr>
          <w:fldChar w:fldCharType="begin"/>
        </w:r>
        <w:r w:rsidR="009E1F29">
          <w:rPr>
            <w:webHidden/>
          </w:rPr>
          <w:instrText xml:space="preserve"> PAGEREF _Toc120631150 \h </w:instrText>
        </w:r>
        <w:r w:rsidR="009E1F29">
          <w:rPr>
            <w:webHidden/>
          </w:rPr>
        </w:r>
        <w:r w:rsidR="009E1F29">
          <w:rPr>
            <w:webHidden/>
          </w:rPr>
          <w:fldChar w:fldCharType="separate"/>
        </w:r>
        <w:r w:rsidR="009E1F29">
          <w:rPr>
            <w:webHidden/>
          </w:rPr>
          <w:t>4-3</w:t>
        </w:r>
        <w:r w:rsidR="009E1F29">
          <w:rPr>
            <w:webHidden/>
          </w:rPr>
          <w:fldChar w:fldCharType="end"/>
        </w:r>
      </w:hyperlink>
    </w:p>
    <w:p w14:paraId="55DB09E2" w14:textId="2E38691D" w:rsidR="009E1F29" w:rsidRDefault="00464453">
      <w:pPr>
        <w:pStyle w:val="TableofFigures"/>
        <w:rPr>
          <w:rFonts w:eastAsiaTheme="minorEastAsia" w:cstheme="minorBidi"/>
          <w:color w:val="auto"/>
          <w:sz w:val="22"/>
          <w:szCs w:val="22"/>
        </w:rPr>
      </w:pPr>
      <w:hyperlink w:anchor="_Toc120631151" w:history="1">
        <w:r w:rsidR="009E1F29" w:rsidRPr="00E34F3E">
          <w:rPr>
            <w:rStyle w:val="Hyperlink"/>
          </w:rPr>
          <w:t>Table 4</w:t>
        </w:r>
        <w:r w:rsidR="009E1F29" w:rsidRPr="00E34F3E">
          <w:rPr>
            <w:rStyle w:val="Hyperlink"/>
          </w:rPr>
          <w:noBreakHyphen/>
          <w:t>3. FIPS State Codes</w:t>
        </w:r>
        <w:r w:rsidR="009E1F29">
          <w:rPr>
            <w:webHidden/>
          </w:rPr>
          <w:tab/>
        </w:r>
        <w:r w:rsidR="009E1F29">
          <w:rPr>
            <w:webHidden/>
          </w:rPr>
          <w:fldChar w:fldCharType="begin"/>
        </w:r>
        <w:r w:rsidR="009E1F29">
          <w:rPr>
            <w:webHidden/>
          </w:rPr>
          <w:instrText xml:space="preserve"> PAGEREF _Toc120631151 \h </w:instrText>
        </w:r>
        <w:r w:rsidR="009E1F29">
          <w:rPr>
            <w:webHidden/>
          </w:rPr>
        </w:r>
        <w:r w:rsidR="009E1F29">
          <w:rPr>
            <w:webHidden/>
          </w:rPr>
          <w:fldChar w:fldCharType="separate"/>
        </w:r>
        <w:r w:rsidR="009E1F29">
          <w:rPr>
            <w:webHidden/>
          </w:rPr>
          <w:t>4-4</w:t>
        </w:r>
        <w:r w:rsidR="009E1F29">
          <w:rPr>
            <w:webHidden/>
          </w:rPr>
          <w:fldChar w:fldCharType="end"/>
        </w:r>
      </w:hyperlink>
    </w:p>
    <w:p w14:paraId="4F16F599" w14:textId="52972DB9" w:rsidR="009E1F29" w:rsidRDefault="00464453">
      <w:pPr>
        <w:pStyle w:val="TableofFigures"/>
        <w:rPr>
          <w:rFonts w:eastAsiaTheme="minorEastAsia" w:cstheme="minorBidi"/>
          <w:color w:val="auto"/>
          <w:sz w:val="22"/>
          <w:szCs w:val="22"/>
        </w:rPr>
      </w:pPr>
      <w:hyperlink w:anchor="_Toc120631152" w:history="1">
        <w:r w:rsidR="009E1F29" w:rsidRPr="00E34F3E">
          <w:rPr>
            <w:rStyle w:val="Hyperlink"/>
          </w:rPr>
          <w:t>Table 4</w:t>
        </w:r>
        <w:r w:rsidR="009E1F29" w:rsidRPr="00E34F3E">
          <w:rPr>
            <w:rStyle w:val="Hyperlink"/>
          </w:rPr>
          <w:noBreakHyphen/>
          <w:t>4. Direction of Travel Codes</w:t>
        </w:r>
        <w:r w:rsidR="009E1F29">
          <w:rPr>
            <w:webHidden/>
          </w:rPr>
          <w:tab/>
        </w:r>
        <w:r w:rsidR="009E1F29">
          <w:rPr>
            <w:webHidden/>
          </w:rPr>
          <w:fldChar w:fldCharType="begin"/>
        </w:r>
        <w:r w:rsidR="009E1F29">
          <w:rPr>
            <w:webHidden/>
          </w:rPr>
          <w:instrText xml:space="preserve"> PAGEREF _Toc120631152 \h </w:instrText>
        </w:r>
        <w:r w:rsidR="009E1F29">
          <w:rPr>
            <w:webHidden/>
          </w:rPr>
        </w:r>
        <w:r w:rsidR="009E1F29">
          <w:rPr>
            <w:webHidden/>
          </w:rPr>
          <w:fldChar w:fldCharType="separate"/>
        </w:r>
        <w:r w:rsidR="009E1F29">
          <w:rPr>
            <w:webHidden/>
          </w:rPr>
          <w:t>4-5</w:t>
        </w:r>
        <w:r w:rsidR="009E1F29">
          <w:rPr>
            <w:webHidden/>
          </w:rPr>
          <w:fldChar w:fldCharType="end"/>
        </w:r>
      </w:hyperlink>
    </w:p>
    <w:p w14:paraId="3ED8C7E6" w14:textId="06C75A1F" w:rsidR="009E1F29" w:rsidRDefault="00464453">
      <w:pPr>
        <w:pStyle w:val="TableofFigures"/>
        <w:rPr>
          <w:rFonts w:eastAsiaTheme="minorEastAsia" w:cstheme="minorBidi"/>
          <w:color w:val="auto"/>
          <w:sz w:val="22"/>
          <w:szCs w:val="22"/>
        </w:rPr>
      </w:pPr>
      <w:hyperlink r:id="rId33" w:anchor="_Toc120631153" w:history="1">
        <w:r w:rsidR="009E1F29" w:rsidRPr="00E34F3E">
          <w:rPr>
            <w:rStyle w:val="Hyperlink"/>
          </w:rPr>
          <w:t>Table 4</w:t>
        </w:r>
        <w:r w:rsidR="009E1F29" w:rsidRPr="00E34F3E">
          <w:rPr>
            <w:rStyle w:val="Hyperlink"/>
          </w:rPr>
          <w:noBreakHyphen/>
          <w:t>5. Lane of Travel Codes</w:t>
        </w:r>
        <w:r w:rsidR="009E1F29">
          <w:rPr>
            <w:webHidden/>
          </w:rPr>
          <w:tab/>
        </w:r>
        <w:r w:rsidR="009E1F29">
          <w:rPr>
            <w:webHidden/>
          </w:rPr>
          <w:fldChar w:fldCharType="begin"/>
        </w:r>
        <w:r w:rsidR="009E1F29">
          <w:rPr>
            <w:webHidden/>
          </w:rPr>
          <w:instrText xml:space="preserve"> PAGEREF _Toc120631153 \h </w:instrText>
        </w:r>
        <w:r w:rsidR="009E1F29">
          <w:rPr>
            <w:webHidden/>
          </w:rPr>
        </w:r>
        <w:r w:rsidR="009E1F29">
          <w:rPr>
            <w:webHidden/>
          </w:rPr>
          <w:fldChar w:fldCharType="separate"/>
        </w:r>
        <w:r w:rsidR="009E1F29">
          <w:rPr>
            <w:webHidden/>
          </w:rPr>
          <w:t>4-5</w:t>
        </w:r>
        <w:r w:rsidR="009E1F29">
          <w:rPr>
            <w:webHidden/>
          </w:rPr>
          <w:fldChar w:fldCharType="end"/>
        </w:r>
      </w:hyperlink>
    </w:p>
    <w:p w14:paraId="1D7989D0" w14:textId="552EA517" w:rsidR="009E1F29" w:rsidRDefault="00464453">
      <w:pPr>
        <w:pStyle w:val="TableofFigures"/>
        <w:rPr>
          <w:rFonts w:eastAsiaTheme="minorEastAsia" w:cstheme="minorBidi"/>
          <w:color w:val="auto"/>
          <w:sz w:val="22"/>
          <w:szCs w:val="22"/>
        </w:rPr>
      </w:pPr>
      <w:hyperlink r:id="rId34" w:anchor="_Toc120631154" w:history="1">
        <w:r w:rsidR="009E1F29" w:rsidRPr="00E34F3E">
          <w:rPr>
            <w:rStyle w:val="Hyperlink"/>
          </w:rPr>
          <w:t>Table 4</w:t>
        </w:r>
        <w:r w:rsidR="009E1F29" w:rsidRPr="00E34F3E">
          <w:rPr>
            <w:rStyle w:val="Hyperlink"/>
          </w:rPr>
          <w:noBreakHyphen/>
          <w:t>6. Functional Classification Codes</w:t>
        </w:r>
        <w:r w:rsidR="009E1F29">
          <w:rPr>
            <w:webHidden/>
          </w:rPr>
          <w:tab/>
        </w:r>
        <w:r w:rsidR="009E1F29">
          <w:rPr>
            <w:webHidden/>
          </w:rPr>
          <w:fldChar w:fldCharType="begin"/>
        </w:r>
        <w:r w:rsidR="009E1F29">
          <w:rPr>
            <w:webHidden/>
          </w:rPr>
          <w:instrText xml:space="preserve"> PAGEREF _Toc120631154 \h </w:instrText>
        </w:r>
        <w:r w:rsidR="009E1F29">
          <w:rPr>
            <w:webHidden/>
          </w:rPr>
        </w:r>
        <w:r w:rsidR="009E1F29">
          <w:rPr>
            <w:webHidden/>
          </w:rPr>
          <w:fldChar w:fldCharType="separate"/>
        </w:r>
        <w:r w:rsidR="009E1F29">
          <w:rPr>
            <w:webHidden/>
          </w:rPr>
          <w:t>4-6</w:t>
        </w:r>
        <w:r w:rsidR="009E1F29">
          <w:rPr>
            <w:webHidden/>
          </w:rPr>
          <w:fldChar w:fldCharType="end"/>
        </w:r>
      </w:hyperlink>
    </w:p>
    <w:p w14:paraId="5AA8C06F" w14:textId="162BA14E" w:rsidR="009E1F29" w:rsidRDefault="00464453">
      <w:pPr>
        <w:pStyle w:val="TableofFigures"/>
        <w:rPr>
          <w:rFonts w:eastAsiaTheme="minorEastAsia" w:cstheme="minorBidi"/>
          <w:color w:val="auto"/>
          <w:sz w:val="22"/>
          <w:szCs w:val="22"/>
        </w:rPr>
      </w:pPr>
      <w:hyperlink w:anchor="_Toc120631155" w:history="1">
        <w:r w:rsidR="009E1F29" w:rsidRPr="00E34F3E">
          <w:rPr>
            <w:rStyle w:val="Hyperlink"/>
          </w:rPr>
          <w:t>Table 4</w:t>
        </w:r>
        <w:r w:rsidR="009E1F29" w:rsidRPr="00E34F3E">
          <w:rPr>
            <w:rStyle w:val="Hyperlink"/>
          </w:rPr>
          <w:noBreakHyphen/>
          <w:t>7. Values Corresponding to Vehicle Classification Groupings</w:t>
        </w:r>
        <w:r w:rsidR="009E1F29">
          <w:rPr>
            <w:webHidden/>
          </w:rPr>
          <w:tab/>
        </w:r>
        <w:r w:rsidR="009E1F29">
          <w:rPr>
            <w:webHidden/>
          </w:rPr>
          <w:fldChar w:fldCharType="begin"/>
        </w:r>
        <w:r w:rsidR="009E1F29">
          <w:rPr>
            <w:webHidden/>
          </w:rPr>
          <w:instrText xml:space="preserve"> PAGEREF _Toc120631155 \h </w:instrText>
        </w:r>
        <w:r w:rsidR="009E1F29">
          <w:rPr>
            <w:webHidden/>
          </w:rPr>
        </w:r>
        <w:r w:rsidR="009E1F29">
          <w:rPr>
            <w:webHidden/>
          </w:rPr>
          <w:fldChar w:fldCharType="separate"/>
        </w:r>
        <w:r w:rsidR="009E1F29">
          <w:rPr>
            <w:webHidden/>
          </w:rPr>
          <w:t>4-7</w:t>
        </w:r>
        <w:r w:rsidR="009E1F29">
          <w:rPr>
            <w:webHidden/>
          </w:rPr>
          <w:fldChar w:fldCharType="end"/>
        </w:r>
      </w:hyperlink>
    </w:p>
    <w:p w14:paraId="16EB544B" w14:textId="728757E6" w:rsidR="009E1F29" w:rsidRDefault="00464453">
      <w:pPr>
        <w:pStyle w:val="TableofFigures"/>
        <w:rPr>
          <w:rFonts w:eastAsiaTheme="minorEastAsia" w:cstheme="minorBidi"/>
          <w:color w:val="auto"/>
          <w:sz w:val="22"/>
          <w:szCs w:val="22"/>
        </w:rPr>
      </w:pPr>
      <w:hyperlink r:id="rId35" w:anchor="_Toc120631156" w:history="1">
        <w:r w:rsidR="009E1F29" w:rsidRPr="00E34F3E">
          <w:rPr>
            <w:rStyle w:val="Hyperlink"/>
          </w:rPr>
          <w:t>Table 4</w:t>
        </w:r>
        <w:r w:rsidR="009E1F29" w:rsidRPr="00E34F3E">
          <w:rPr>
            <w:rStyle w:val="Hyperlink"/>
          </w:rPr>
          <w:noBreakHyphen/>
          <w:t>8. Posted Route Signing Codes</w:t>
        </w:r>
        <w:r w:rsidR="009E1F29">
          <w:rPr>
            <w:webHidden/>
          </w:rPr>
          <w:tab/>
        </w:r>
        <w:r w:rsidR="009E1F29">
          <w:rPr>
            <w:webHidden/>
          </w:rPr>
          <w:fldChar w:fldCharType="begin"/>
        </w:r>
        <w:r w:rsidR="009E1F29">
          <w:rPr>
            <w:webHidden/>
          </w:rPr>
          <w:instrText xml:space="preserve"> PAGEREF _Toc120631156 \h </w:instrText>
        </w:r>
        <w:r w:rsidR="009E1F29">
          <w:rPr>
            <w:webHidden/>
          </w:rPr>
        </w:r>
        <w:r w:rsidR="009E1F29">
          <w:rPr>
            <w:webHidden/>
          </w:rPr>
          <w:fldChar w:fldCharType="separate"/>
        </w:r>
        <w:r w:rsidR="009E1F29">
          <w:rPr>
            <w:webHidden/>
          </w:rPr>
          <w:t>4-10</w:t>
        </w:r>
        <w:r w:rsidR="009E1F29">
          <w:rPr>
            <w:webHidden/>
          </w:rPr>
          <w:fldChar w:fldCharType="end"/>
        </w:r>
      </w:hyperlink>
    </w:p>
    <w:p w14:paraId="5D0D7F49" w14:textId="7B6C0656" w:rsidR="009E1F29" w:rsidRDefault="00464453">
      <w:pPr>
        <w:pStyle w:val="TableofFigures"/>
        <w:rPr>
          <w:rFonts w:eastAsiaTheme="minorEastAsia" w:cstheme="minorBidi"/>
          <w:color w:val="auto"/>
          <w:sz w:val="22"/>
          <w:szCs w:val="22"/>
        </w:rPr>
      </w:pPr>
      <w:hyperlink w:anchor="_Toc120631157" w:history="1">
        <w:r w:rsidR="009E1F29" w:rsidRPr="00E34F3E">
          <w:rPr>
            <w:rStyle w:val="Hyperlink"/>
          </w:rPr>
          <w:t>Table 4</w:t>
        </w:r>
        <w:r w:rsidR="009E1F29" w:rsidRPr="00E34F3E">
          <w:rPr>
            <w:rStyle w:val="Hyperlink"/>
          </w:rPr>
          <w:noBreakHyphen/>
          <w:t>9. Traffic Volume Record – Fixed-Width Format</w:t>
        </w:r>
        <w:r w:rsidR="009E1F29">
          <w:rPr>
            <w:webHidden/>
          </w:rPr>
          <w:tab/>
        </w:r>
        <w:r w:rsidR="009E1F29">
          <w:rPr>
            <w:webHidden/>
          </w:rPr>
          <w:fldChar w:fldCharType="begin"/>
        </w:r>
        <w:r w:rsidR="009E1F29">
          <w:rPr>
            <w:webHidden/>
          </w:rPr>
          <w:instrText xml:space="preserve"> PAGEREF _Toc120631157 \h </w:instrText>
        </w:r>
        <w:r w:rsidR="009E1F29">
          <w:rPr>
            <w:webHidden/>
          </w:rPr>
        </w:r>
        <w:r w:rsidR="009E1F29">
          <w:rPr>
            <w:webHidden/>
          </w:rPr>
          <w:fldChar w:fldCharType="separate"/>
        </w:r>
        <w:r w:rsidR="009E1F29">
          <w:rPr>
            <w:webHidden/>
          </w:rPr>
          <w:t>4-12</w:t>
        </w:r>
        <w:r w:rsidR="009E1F29">
          <w:rPr>
            <w:webHidden/>
          </w:rPr>
          <w:fldChar w:fldCharType="end"/>
        </w:r>
      </w:hyperlink>
    </w:p>
    <w:p w14:paraId="69D8FCA4" w14:textId="3C8A36B4" w:rsidR="009E1F29" w:rsidRDefault="00464453">
      <w:pPr>
        <w:pStyle w:val="TableofFigures"/>
        <w:rPr>
          <w:rFonts w:eastAsiaTheme="minorEastAsia" w:cstheme="minorBidi"/>
          <w:color w:val="auto"/>
          <w:sz w:val="22"/>
          <w:szCs w:val="22"/>
        </w:rPr>
      </w:pPr>
      <w:hyperlink w:anchor="_Toc120631158" w:history="1">
        <w:r w:rsidR="009E1F29" w:rsidRPr="00E34F3E">
          <w:rPr>
            <w:rStyle w:val="Hyperlink"/>
          </w:rPr>
          <w:t>Table 4</w:t>
        </w:r>
        <w:r w:rsidR="009E1F29" w:rsidRPr="00E34F3E">
          <w:rPr>
            <w:rStyle w:val="Hyperlink"/>
          </w:rPr>
          <w:noBreakHyphen/>
          <w:t>10. Time Covered Fields – 60-Minute Data</w:t>
        </w:r>
        <w:r w:rsidR="009E1F29">
          <w:rPr>
            <w:webHidden/>
          </w:rPr>
          <w:tab/>
        </w:r>
        <w:r w:rsidR="009E1F29">
          <w:rPr>
            <w:webHidden/>
          </w:rPr>
          <w:fldChar w:fldCharType="begin"/>
        </w:r>
        <w:r w:rsidR="009E1F29">
          <w:rPr>
            <w:webHidden/>
          </w:rPr>
          <w:instrText xml:space="preserve"> PAGEREF _Toc120631158 \h </w:instrText>
        </w:r>
        <w:r w:rsidR="009E1F29">
          <w:rPr>
            <w:webHidden/>
          </w:rPr>
        </w:r>
        <w:r w:rsidR="009E1F29">
          <w:rPr>
            <w:webHidden/>
          </w:rPr>
          <w:fldChar w:fldCharType="separate"/>
        </w:r>
        <w:r w:rsidR="009E1F29">
          <w:rPr>
            <w:webHidden/>
          </w:rPr>
          <w:t>4-15</w:t>
        </w:r>
        <w:r w:rsidR="009E1F29">
          <w:rPr>
            <w:webHidden/>
          </w:rPr>
          <w:fldChar w:fldCharType="end"/>
        </w:r>
      </w:hyperlink>
    </w:p>
    <w:p w14:paraId="446119B6" w14:textId="330DAAC3" w:rsidR="009E1F29" w:rsidRDefault="00464453">
      <w:pPr>
        <w:pStyle w:val="TableofFigures"/>
        <w:rPr>
          <w:rFonts w:eastAsiaTheme="minorEastAsia" w:cstheme="minorBidi"/>
          <w:color w:val="auto"/>
          <w:sz w:val="22"/>
          <w:szCs w:val="22"/>
        </w:rPr>
      </w:pPr>
      <w:hyperlink w:anchor="_Toc120631159" w:history="1">
        <w:r w:rsidR="009E1F29" w:rsidRPr="00E34F3E">
          <w:rPr>
            <w:rStyle w:val="Hyperlink"/>
          </w:rPr>
          <w:t>Table 4</w:t>
        </w:r>
        <w:r w:rsidR="009E1F29" w:rsidRPr="00E34F3E">
          <w:rPr>
            <w:rStyle w:val="Hyperlink"/>
          </w:rPr>
          <w:noBreakHyphen/>
          <w:t>11. Traffic Volume Record Example (60-minute Time Interval – 4 Lanes with All Lanes and Directions Combined)</w:t>
        </w:r>
        <w:r w:rsidR="009E1F29">
          <w:rPr>
            <w:webHidden/>
          </w:rPr>
          <w:tab/>
        </w:r>
        <w:r w:rsidR="009E1F29">
          <w:rPr>
            <w:webHidden/>
          </w:rPr>
          <w:fldChar w:fldCharType="begin"/>
        </w:r>
        <w:r w:rsidR="009E1F29">
          <w:rPr>
            <w:webHidden/>
          </w:rPr>
          <w:instrText xml:space="preserve"> PAGEREF _Toc120631159 \h </w:instrText>
        </w:r>
        <w:r w:rsidR="009E1F29">
          <w:rPr>
            <w:webHidden/>
          </w:rPr>
        </w:r>
        <w:r w:rsidR="009E1F29">
          <w:rPr>
            <w:webHidden/>
          </w:rPr>
          <w:fldChar w:fldCharType="separate"/>
        </w:r>
        <w:r w:rsidR="009E1F29">
          <w:rPr>
            <w:webHidden/>
          </w:rPr>
          <w:t>4-15</w:t>
        </w:r>
        <w:r w:rsidR="009E1F29">
          <w:rPr>
            <w:webHidden/>
          </w:rPr>
          <w:fldChar w:fldCharType="end"/>
        </w:r>
      </w:hyperlink>
    </w:p>
    <w:p w14:paraId="5C2437CD" w14:textId="326C2841" w:rsidR="009E1F29" w:rsidRDefault="00464453">
      <w:pPr>
        <w:pStyle w:val="TableofFigures"/>
        <w:rPr>
          <w:rFonts w:eastAsiaTheme="minorEastAsia" w:cstheme="minorBidi"/>
          <w:color w:val="auto"/>
          <w:sz w:val="22"/>
          <w:szCs w:val="22"/>
        </w:rPr>
      </w:pPr>
      <w:hyperlink w:anchor="_Toc120631160" w:history="1">
        <w:r w:rsidR="009E1F29" w:rsidRPr="00E34F3E">
          <w:rPr>
            <w:rStyle w:val="Hyperlink"/>
          </w:rPr>
          <w:t>Table 4</w:t>
        </w:r>
        <w:r w:rsidR="009E1F29" w:rsidRPr="00E34F3E">
          <w:rPr>
            <w:rStyle w:val="Hyperlink"/>
          </w:rPr>
          <w:noBreakHyphen/>
          <w:t>12. Vehicle Speed Record – Fixed-Width Format</w:t>
        </w:r>
        <w:r w:rsidR="009E1F29">
          <w:rPr>
            <w:webHidden/>
          </w:rPr>
          <w:tab/>
        </w:r>
        <w:r w:rsidR="009E1F29">
          <w:rPr>
            <w:webHidden/>
          </w:rPr>
          <w:fldChar w:fldCharType="begin"/>
        </w:r>
        <w:r w:rsidR="009E1F29">
          <w:rPr>
            <w:webHidden/>
          </w:rPr>
          <w:instrText xml:space="preserve"> PAGEREF _Toc120631160 \h </w:instrText>
        </w:r>
        <w:r w:rsidR="009E1F29">
          <w:rPr>
            <w:webHidden/>
          </w:rPr>
        </w:r>
        <w:r w:rsidR="009E1F29">
          <w:rPr>
            <w:webHidden/>
          </w:rPr>
          <w:fldChar w:fldCharType="separate"/>
        </w:r>
        <w:r w:rsidR="009E1F29">
          <w:rPr>
            <w:webHidden/>
          </w:rPr>
          <w:t>4-19</w:t>
        </w:r>
        <w:r w:rsidR="009E1F29">
          <w:rPr>
            <w:webHidden/>
          </w:rPr>
          <w:fldChar w:fldCharType="end"/>
        </w:r>
      </w:hyperlink>
    </w:p>
    <w:p w14:paraId="747DA7C2" w14:textId="6CEB210F" w:rsidR="009E1F29" w:rsidRDefault="00464453">
      <w:pPr>
        <w:pStyle w:val="TableofFigures"/>
        <w:rPr>
          <w:rFonts w:eastAsiaTheme="minorEastAsia" w:cstheme="minorBidi"/>
          <w:color w:val="auto"/>
          <w:sz w:val="22"/>
          <w:szCs w:val="22"/>
        </w:rPr>
      </w:pPr>
      <w:hyperlink r:id="rId36" w:anchor="_Toc120631161" w:history="1">
        <w:r w:rsidR="009E1F29" w:rsidRPr="00E34F3E">
          <w:rPr>
            <w:rStyle w:val="Hyperlink"/>
          </w:rPr>
          <w:t>Table 4</w:t>
        </w:r>
        <w:r w:rsidR="009E1F29" w:rsidRPr="00E34F3E">
          <w:rPr>
            <w:rStyle w:val="Hyperlink"/>
          </w:rPr>
          <w:noBreakHyphen/>
          <w:t>13. Total Number of Speed Bins</w:t>
        </w:r>
        <w:r w:rsidR="009E1F29">
          <w:rPr>
            <w:webHidden/>
          </w:rPr>
          <w:tab/>
        </w:r>
        <w:r w:rsidR="009E1F29">
          <w:rPr>
            <w:webHidden/>
          </w:rPr>
          <w:fldChar w:fldCharType="begin"/>
        </w:r>
        <w:r w:rsidR="009E1F29">
          <w:rPr>
            <w:webHidden/>
          </w:rPr>
          <w:instrText xml:space="preserve"> PAGEREF _Toc120631161 \h </w:instrText>
        </w:r>
        <w:r w:rsidR="009E1F29">
          <w:rPr>
            <w:webHidden/>
          </w:rPr>
        </w:r>
        <w:r w:rsidR="009E1F29">
          <w:rPr>
            <w:webHidden/>
          </w:rPr>
          <w:fldChar w:fldCharType="separate"/>
        </w:r>
        <w:r w:rsidR="009E1F29">
          <w:rPr>
            <w:webHidden/>
          </w:rPr>
          <w:t>4-21</w:t>
        </w:r>
        <w:r w:rsidR="009E1F29">
          <w:rPr>
            <w:webHidden/>
          </w:rPr>
          <w:fldChar w:fldCharType="end"/>
        </w:r>
      </w:hyperlink>
    </w:p>
    <w:p w14:paraId="1399BA16" w14:textId="7BD3C05F" w:rsidR="009E1F29" w:rsidRDefault="00464453">
      <w:pPr>
        <w:pStyle w:val="TableofFigures"/>
        <w:rPr>
          <w:rFonts w:eastAsiaTheme="minorEastAsia" w:cstheme="minorBidi"/>
          <w:color w:val="auto"/>
          <w:sz w:val="22"/>
          <w:szCs w:val="22"/>
        </w:rPr>
      </w:pPr>
      <w:hyperlink w:anchor="_Toc120631162" w:history="1">
        <w:r w:rsidR="009E1F29" w:rsidRPr="00E34F3E">
          <w:rPr>
            <w:rStyle w:val="Hyperlink"/>
          </w:rPr>
          <w:t>Table 4</w:t>
        </w:r>
        <w:r w:rsidR="009E1F29" w:rsidRPr="00E34F3E">
          <w:rPr>
            <w:rStyle w:val="Hyperlink"/>
          </w:rPr>
          <w:noBreakHyphen/>
          <w:t>14. Speed Record Example (15 Bins, 2 lanes with Lanes or Directions Not Combined at  5-Minute Interval with No Restrictions) – Fixed-Width Format</w:t>
        </w:r>
        <w:r w:rsidR="009E1F29">
          <w:rPr>
            <w:webHidden/>
          </w:rPr>
          <w:tab/>
        </w:r>
        <w:r w:rsidR="009E1F29">
          <w:rPr>
            <w:webHidden/>
          </w:rPr>
          <w:fldChar w:fldCharType="begin"/>
        </w:r>
        <w:r w:rsidR="009E1F29">
          <w:rPr>
            <w:webHidden/>
          </w:rPr>
          <w:instrText xml:space="preserve"> PAGEREF _Toc120631162 \h </w:instrText>
        </w:r>
        <w:r w:rsidR="009E1F29">
          <w:rPr>
            <w:webHidden/>
          </w:rPr>
        </w:r>
        <w:r w:rsidR="009E1F29">
          <w:rPr>
            <w:webHidden/>
          </w:rPr>
          <w:fldChar w:fldCharType="separate"/>
        </w:r>
        <w:r w:rsidR="009E1F29">
          <w:rPr>
            <w:webHidden/>
          </w:rPr>
          <w:t>4-25</w:t>
        </w:r>
        <w:r w:rsidR="009E1F29">
          <w:rPr>
            <w:webHidden/>
          </w:rPr>
          <w:fldChar w:fldCharType="end"/>
        </w:r>
      </w:hyperlink>
    </w:p>
    <w:p w14:paraId="0B84942B" w14:textId="4C6B711D" w:rsidR="009E1F29" w:rsidRDefault="00464453">
      <w:pPr>
        <w:pStyle w:val="TableofFigures"/>
        <w:rPr>
          <w:rFonts w:eastAsiaTheme="minorEastAsia" w:cstheme="minorBidi"/>
          <w:color w:val="auto"/>
          <w:sz w:val="22"/>
          <w:szCs w:val="22"/>
        </w:rPr>
      </w:pPr>
      <w:hyperlink w:anchor="_Toc120631163" w:history="1">
        <w:r w:rsidR="009E1F29" w:rsidRPr="00E34F3E">
          <w:rPr>
            <w:rStyle w:val="Hyperlink"/>
          </w:rPr>
          <w:t>Table 4</w:t>
        </w:r>
        <w:r w:rsidR="009E1F29" w:rsidRPr="00E34F3E">
          <w:rPr>
            <w:rStyle w:val="Hyperlink"/>
          </w:rPr>
          <w:noBreakHyphen/>
          <w:t>15. Speed Record Example (21 Bins, 4 Lanes with Lanes or Directions Not Combined at 60-Minute Interval with No Restrictions, Total Volume Not Recorded) – Fixed Width Format</w:t>
        </w:r>
        <w:r w:rsidR="009E1F29">
          <w:rPr>
            <w:webHidden/>
          </w:rPr>
          <w:tab/>
        </w:r>
        <w:r w:rsidR="009E1F29">
          <w:rPr>
            <w:webHidden/>
          </w:rPr>
          <w:fldChar w:fldCharType="begin"/>
        </w:r>
        <w:r w:rsidR="009E1F29">
          <w:rPr>
            <w:webHidden/>
          </w:rPr>
          <w:instrText xml:space="preserve"> PAGEREF _Toc120631163 \h </w:instrText>
        </w:r>
        <w:r w:rsidR="009E1F29">
          <w:rPr>
            <w:webHidden/>
          </w:rPr>
        </w:r>
        <w:r w:rsidR="009E1F29">
          <w:rPr>
            <w:webHidden/>
          </w:rPr>
          <w:fldChar w:fldCharType="separate"/>
        </w:r>
        <w:r w:rsidR="009E1F29">
          <w:rPr>
            <w:webHidden/>
          </w:rPr>
          <w:t>4-28</w:t>
        </w:r>
        <w:r w:rsidR="009E1F29">
          <w:rPr>
            <w:webHidden/>
          </w:rPr>
          <w:fldChar w:fldCharType="end"/>
        </w:r>
      </w:hyperlink>
    </w:p>
    <w:p w14:paraId="7834F59B" w14:textId="67148EA8" w:rsidR="009E1F29" w:rsidRDefault="00464453">
      <w:pPr>
        <w:pStyle w:val="TableofFigures"/>
        <w:rPr>
          <w:rFonts w:eastAsiaTheme="minorEastAsia" w:cstheme="minorBidi"/>
          <w:color w:val="auto"/>
          <w:sz w:val="22"/>
          <w:szCs w:val="22"/>
        </w:rPr>
      </w:pPr>
      <w:hyperlink w:anchor="_Toc120631164" w:history="1">
        <w:r w:rsidR="009E1F29" w:rsidRPr="00E34F3E">
          <w:rPr>
            <w:rStyle w:val="Hyperlink"/>
          </w:rPr>
          <w:t>Table 4</w:t>
        </w:r>
        <w:r w:rsidR="009E1F29" w:rsidRPr="00E34F3E">
          <w:rPr>
            <w:rStyle w:val="Hyperlink"/>
          </w:rPr>
          <w:noBreakHyphen/>
          <w:t>16. Speed Record Example (25 Bins, 2 Lanes with Lanes or Directions Not Combined at 60-Minute Interval) – Fixed Width Format</w:t>
        </w:r>
        <w:r w:rsidR="009E1F29">
          <w:rPr>
            <w:webHidden/>
          </w:rPr>
          <w:tab/>
        </w:r>
        <w:r w:rsidR="009E1F29">
          <w:rPr>
            <w:webHidden/>
          </w:rPr>
          <w:fldChar w:fldCharType="begin"/>
        </w:r>
        <w:r w:rsidR="009E1F29">
          <w:rPr>
            <w:webHidden/>
          </w:rPr>
          <w:instrText xml:space="preserve"> PAGEREF _Toc120631164 \h </w:instrText>
        </w:r>
        <w:r w:rsidR="009E1F29">
          <w:rPr>
            <w:webHidden/>
          </w:rPr>
        </w:r>
        <w:r w:rsidR="009E1F29">
          <w:rPr>
            <w:webHidden/>
          </w:rPr>
          <w:fldChar w:fldCharType="separate"/>
        </w:r>
        <w:r w:rsidR="009E1F29">
          <w:rPr>
            <w:webHidden/>
          </w:rPr>
          <w:t>4-29</w:t>
        </w:r>
        <w:r w:rsidR="009E1F29">
          <w:rPr>
            <w:webHidden/>
          </w:rPr>
          <w:fldChar w:fldCharType="end"/>
        </w:r>
      </w:hyperlink>
    </w:p>
    <w:p w14:paraId="22BF4029" w14:textId="029B1AF4" w:rsidR="009E1F29" w:rsidRDefault="00464453">
      <w:pPr>
        <w:pStyle w:val="TableofFigures"/>
        <w:rPr>
          <w:rFonts w:eastAsiaTheme="minorEastAsia" w:cstheme="minorBidi"/>
          <w:color w:val="auto"/>
          <w:sz w:val="22"/>
          <w:szCs w:val="22"/>
        </w:rPr>
      </w:pPr>
      <w:hyperlink w:anchor="_Toc120631165" w:history="1">
        <w:r w:rsidR="009E1F29" w:rsidRPr="00E34F3E">
          <w:rPr>
            <w:rStyle w:val="Hyperlink"/>
          </w:rPr>
          <w:t>Table 4</w:t>
        </w:r>
        <w:r w:rsidR="009E1F29" w:rsidRPr="00E34F3E">
          <w:rPr>
            <w:rStyle w:val="Hyperlink"/>
          </w:rPr>
          <w:noBreakHyphen/>
          <w:t>17. Vehicle Classification Record – Fixed-Width Format</w:t>
        </w:r>
        <w:r w:rsidR="009E1F29">
          <w:rPr>
            <w:webHidden/>
          </w:rPr>
          <w:tab/>
        </w:r>
        <w:r w:rsidR="009E1F29">
          <w:rPr>
            <w:webHidden/>
          </w:rPr>
          <w:fldChar w:fldCharType="begin"/>
        </w:r>
        <w:r w:rsidR="009E1F29">
          <w:rPr>
            <w:webHidden/>
          </w:rPr>
          <w:instrText xml:space="preserve"> PAGEREF _Toc120631165 \h </w:instrText>
        </w:r>
        <w:r w:rsidR="009E1F29">
          <w:rPr>
            <w:webHidden/>
          </w:rPr>
        </w:r>
        <w:r w:rsidR="009E1F29">
          <w:rPr>
            <w:webHidden/>
          </w:rPr>
          <w:fldChar w:fldCharType="separate"/>
        </w:r>
        <w:r w:rsidR="009E1F29">
          <w:rPr>
            <w:webHidden/>
          </w:rPr>
          <w:t>4-32</w:t>
        </w:r>
        <w:r w:rsidR="009E1F29">
          <w:rPr>
            <w:webHidden/>
          </w:rPr>
          <w:fldChar w:fldCharType="end"/>
        </w:r>
      </w:hyperlink>
    </w:p>
    <w:p w14:paraId="1E0D1A52" w14:textId="4F886A4F" w:rsidR="009E1F29" w:rsidRDefault="00464453">
      <w:pPr>
        <w:pStyle w:val="TableofFigures"/>
        <w:rPr>
          <w:rFonts w:eastAsiaTheme="minorEastAsia" w:cstheme="minorBidi"/>
          <w:color w:val="auto"/>
          <w:sz w:val="22"/>
          <w:szCs w:val="22"/>
        </w:rPr>
      </w:pPr>
      <w:hyperlink w:anchor="_Toc120631166" w:history="1">
        <w:r w:rsidR="009E1F29" w:rsidRPr="00E34F3E">
          <w:rPr>
            <w:rStyle w:val="Hyperlink"/>
          </w:rPr>
          <w:t>Table 4</w:t>
        </w:r>
        <w:r w:rsidR="009E1F29" w:rsidRPr="00E34F3E">
          <w:rPr>
            <w:rStyle w:val="Hyperlink"/>
          </w:rPr>
          <w:noBreakHyphen/>
          <w:t>18. Vehicle Classification Record Example (3 Length-Class Bins, 4 Lanes with Lanes and Directions not Combined at 60-Minute Interval for 2 Hours) – Fixed Width Format</w:t>
        </w:r>
        <w:r w:rsidR="009E1F29">
          <w:rPr>
            <w:webHidden/>
          </w:rPr>
          <w:tab/>
        </w:r>
        <w:r w:rsidR="009E1F29">
          <w:rPr>
            <w:webHidden/>
          </w:rPr>
          <w:fldChar w:fldCharType="begin"/>
        </w:r>
        <w:r w:rsidR="009E1F29">
          <w:rPr>
            <w:webHidden/>
          </w:rPr>
          <w:instrText xml:space="preserve"> PAGEREF _Toc120631166 \h </w:instrText>
        </w:r>
        <w:r w:rsidR="009E1F29">
          <w:rPr>
            <w:webHidden/>
          </w:rPr>
        </w:r>
        <w:r w:rsidR="009E1F29">
          <w:rPr>
            <w:webHidden/>
          </w:rPr>
          <w:fldChar w:fldCharType="separate"/>
        </w:r>
        <w:r w:rsidR="009E1F29">
          <w:rPr>
            <w:webHidden/>
          </w:rPr>
          <w:t>4-37</w:t>
        </w:r>
        <w:r w:rsidR="009E1F29">
          <w:rPr>
            <w:webHidden/>
          </w:rPr>
          <w:fldChar w:fldCharType="end"/>
        </w:r>
      </w:hyperlink>
    </w:p>
    <w:p w14:paraId="77B782D1" w14:textId="4F1B21CD" w:rsidR="009E1F29" w:rsidRDefault="00464453">
      <w:pPr>
        <w:pStyle w:val="TableofFigures"/>
        <w:rPr>
          <w:rFonts w:eastAsiaTheme="minorEastAsia" w:cstheme="minorBidi"/>
          <w:color w:val="auto"/>
          <w:sz w:val="22"/>
          <w:szCs w:val="22"/>
        </w:rPr>
      </w:pPr>
      <w:hyperlink w:anchor="_Toc120631167" w:history="1">
        <w:r w:rsidR="009E1F29" w:rsidRPr="00E34F3E">
          <w:rPr>
            <w:rStyle w:val="Hyperlink"/>
          </w:rPr>
          <w:t>Table 4</w:t>
        </w:r>
        <w:r w:rsidR="009E1F29" w:rsidRPr="00E34F3E">
          <w:rPr>
            <w:rStyle w:val="Hyperlink"/>
          </w:rPr>
          <w:noBreakHyphen/>
          <w:t>19. Vehicle Classification Record Example (13 Axle-Class Bins, 2 Lanes with Lanes or Directions not Combined at 15-Minute Interval) – Fixed Width Format</w:t>
        </w:r>
        <w:r w:rsidR="009E1F29">
          <w:rPr>
            <w:webHidden/>
          </w:rPr>
          <w:tab/>
        </w:r>
        <w:r w:rsidR="009E1F29">
          <w:rPr>
            <w:webHidden/>
          </w:rPr>
          <w:fldChar w:fldCharType="begin"/>
        </w:r>
        <w:r w:rsidR="009E1F29">
          <w:rPr>
            <w:webHidden/>
          </w:rPr>
          <w:instrText xml:space="preserve"> PAGEREF _Toc120631167 \h </w:instrText>
        </w:r>
        <w:r w:rsidR="009E1F29">
          <w:rPr>
            <w:webHidden/>
          </w:rPr>
        </w:r>
        <w:r w:rsidR="009E1F29">
          <w:rPr>
            <w:webHidden/>
          </w:rPr>
          <w:fldChar w:fldCharType="separate"/>
        </w:r>
        <w:r w:rsidR="009E1F29">
          <w:rPr>
            <w:webHidden/>
          </w:rPr>
          <w:t>4-37</w:t>
        </w:r>
        <w:r w:rsidR="009E1F29">
          <w:rPr>
            <w:webHidden/>
          </w:rPr>
          <w:fldChar w:fldCharType="end"/>
        </w:r>
      </w:hyperlink>
    </w:p>
    <w:p w14:paraId="5622939F" w14:textId="6A87C472" w:rsidR="009E1F29" w:rsidRDefault="00464453">
      <w:pPr>
        <w:pStyle w:val="TableofFigures"/>
        <w:rPr>
          <w:rFonts w:eastAsiaTheme="minorEastAsia" w:cstheme="minorBidi"/>
          <w:color w:val="auto"/>
          <w:sz w:val="22"/>
          <w:szCs w:val="22"/>
        </w:rPr>
      </w:pPr>
      <w:hyperlink w:anchor="_Toc120631168" w:history="1">
        <w:r w:rsidR="009E1F29" w:rsidRPr="00E34F3E">
          <w:rPr>
            <w:rStyle w:val="Hyperlink"/>
          </w:rPr>
          <w:t>Table 4</w:t>
        </w:r>
        <w:r w:rsidR="009E1F29" w:rsidRPr="00E34F3E">
          <w:rPr>
            <w:rStyle w:val="Hyperlink"/>
          </w:rPr>
          <w:noBreakHyphen/>
          <w:t>20. Weight Record – Fixed-Width Format</w:t>
        </w:r>
        <w:r w:rsidR="009E1F29">
          <w:rPr>
            <w:webHidden/>
          </w:rPr>
          <w:tab/>
        </w:r>
        <w:r w:rsidR="009E1F29">
          <w:rPr>
            <w:webHidden/>
          </w:rPr>
          <w:fldChar w:fldCharType="begin"/>
        </w:r>
        <w:r w:rsidR="009E1F29">
          <w:rPr>
            <w:webHidden/>
          </w:rPr>
          <w:instrText xml:space="preserve"> PAGEREF _Toc120631168 \h </w:instrText>
        </w:r>
        <w:r w:rsidR="009E1F29">
          <w:rPr>
            <w:webHidden/>
          </w:rPr>
        </w:r>
        <w:r w:rsidR="009E1F29">
          <w:rPr>
            <w:webHidden/>
          </w:rPr>
          <w:fldChar w:fldCharType="separate"/>
        </w:r>
        <w:r w:rsidR="009E1F29">
          <w:rPr>
            <w:webHidden/>
          </w:rPr>
          <w:t>4-40</w:t>
        </w:r>
        <w:r w:rsidR="009E1F29">
          <w:rPr>
            <w:webHidden/>
          </w:rPr>
          <w:fldChar w:fldCharType="end"/>
        </w:r>
      </w:hyperlink>
    </w:p>
    <w:p w14:paraId="078612CE" w14:textId="1B9ED3B6" w:rsidR="009E1F29" w:rsidRDefault="00464453">
      <w:pPr>
        <w:pStyle w:val="TableofFigures"/>
        <w:rPr>
          <w:rFonts w:eastAsiaTheme="minorEastAsia" w:cstheme="minorBidi"/>
          <w:color w:val="auto"/>
          <w:sz w:val="22"/>
          <w:szCs w:val="22"/>
        </w:rPr>
      </w:pPr>
      <w:hyperlink w:anchor="_Toc120631169" w:history="1">
        <w:r w:rsidR="009E1F29" w:rsidRPr="00E34F3E">
          <w:rPr>
            <w:rStyle w:val="Hyperlink"/>
          </w:rPr>
          <w:t>Table 4</w:t>
        </w:r>
        <w:r w:rsidR="009E1F29" w:rsidRPr="00E34F3E">
          <w:rPr>
            <w:rStyle w:val="Hyperlink"/>
          </w:rPr>
          <w:noBreakHyphen/>
          <w:t>21. Weight Record Example – Fixed-Width Format</w:t>
        </w:r>
        <w:r w:rsidR="009E1F29">
          <w:rPr>
            <w:webHidden/>
          </w:rPr>
          <w:tab/>
        </w:r>
        <w:r w:rsidR="009E1F29">
          <w:rPr>
            <w:webHidden/>
          </w:rPr>
          <w:fldChar w:fldCharType="begin"/>
        </w:r>
        <w:r w:rsidR="009E1F29">
          <w:rPr>
            <w:webHidden/>
          </w:rPr>
          <w:instrText xml:space="preserve"> PAGEREF _Toc120631169 \h </w:instrText>
        </w:r>
        <w:r w:rsidR="009E1F29">
          <w:rPr>
            <w:webHidden/>
          </w:rPr>
        </w:r>
        <w:r w:rsidR="009E1F29">
          <w:rPr>
            <w:webHidden/>
          </w:rPr>
          <w:fldChar w:fldCharType="separate"/>
        </w:r>
        <w:r w:rsidR="009E1F29">
          <w:rPr>
            <w:webHidden/>
          </w:rPr>
          <w:t>4-44</w:t>
        </w:r>
        <w:r w:rsidR="009E1F29">
          <w:rPr>
            <w:webHidden/>
          </w:rPr>
          <w:fldChar w:fldCharType="end"/>
        </w:r>
      </w:hyperlink>
    </w:p>
    <w:p w14:paraId="3D8C2CB9" w14:textId="3FF5534A" w:rsidR="009E1F29" w:rsidRDefault="00464453">
      <w:pPr>
        <w:pStyle w:val="TableofFigures"/>
        <w:rPr>
          <w:rFonts w:eastAsiaTheme="minorEastAsia" w:cstheme="minorBidi"/>
          <w:color w:val="auto"/>
          <w:sz w:val="22"/>
          <w:szCs w:val="22"/>
        </w:rPr>
      </w:pPr>
      <w:hyperlink r:id="rId37" w:anchor="_Toc120631170" w:history="1">
        <w:r w:rsidR="009E1F29" w:rsidRPr="00E34F3E">
          <w:rPr>
            <w:rStyle w:val="Hyperlink"/>
          </w:rPr>
          <w:t>Table 4</w:t>
        </w:r>
        <w:r w:rsidR="009E1F29" w:rsidRPr="00E34F3E">
          <w:rPr>
            <w:rStyle w:val="Hyperlink"/>
          </w:rPr>
          <w:noBreakHyphen/>
          <w:t>22. Units of Measurement</w:t>
        </w:r>
        <w:r w:rsidR="009E1F29">
          <w:rPr>
            <w:webHidden/>
          </w:rPr>
          <w:tab/>
        </w:r>
        <w:r w:rsidR="009E1F29">
          <w:rPr>
            <w:webHidden/>
          </w:rPr>
          <w:fldChar w:fldCharType="begin"/>
        </w:r>
        <w:r w:rsidR="009E1F29">
          <w:rPr>
            <w:webHidden/>
          </w:rPr>
          <w:instrText xml:space="preserve"> PAGEREF _Toc120631170 \h </w:instrText>
        </w:r>
        <w:r w:rsidR="009E1F29">
          <w:rPr>
            <w:webHidden/>
          </w:rPr>
        </w:r>
        <w:r w:rsidR="009E1F29">
          <w:rPr>
            <w:webHidden/>
          </w:rPr>
          <w:fldChar w:fldCharType="separate"/>
        </w:r>
        <w:r w:rsidR="009E1F29">
          <w:rPr>
            <w:webHidden/>
          </w:rPr>
          <w:t>4-47</w:t>
        </w:r>
        <w:r w:rsidR="009E1F29">
          <w:rPr>
            <w:webHidden/>
          </w:rPr>
          <w:fldChar w:fldCharType="end"/>
        </w:r>
      </w:hyperlink>
    </w:p>
    <w:p w14:paraId="459C7E69" w14:textId="5733E2BF" w:rsidR="009E1F29" w:rsidRDefault="00464453">
      <w:pPr>
        <w:pStyle w:val="TableofFigures"/>
        <w:rPr>
          <w:rFonts w:eastAsiaTheme="minorEastAsia" w:cstheme="minorBidi"/>
          <w:color w:val="auto"/>
          <w:sz w:val="22"/>
          <w:szCs w:val="22"/>
        </w:rPr>
      </w:pPr>
      <w:hyperlink w:anchor="_Toc120631171" w:history="1">
        <w:r w:rsidR="009E1F29" w:rsidRPr="00E34F3E">
          <w:rPr>
            <w:rStyle w:val="Hyperlink"/>
          </w:rPr>
          <w:t>Table 4</w:t>
        </w:r>
        <w:r w:rsidR="009E1F29" w:rsidRPr="00E34F3E">
          <w:rPr>
            <w:rStyle w:val="Hyperlink"/>
          </w:rPr>
          <w:noBreakHyphen/>
          <w:t>23. Individual Vehicle Record Collected by Volume Device (V Variant) – Fixed-Width Format</w:t>
        </w:r>
        <w:r w:rsidR="009E1F29">
          <w:rPr>
            <w:webHidden/>
          </w:rPr>
          <w:tab/>
        </w:r>
        <w:r w:rsidR="009E1F29">
          <w:rPr>
            <w:webHidden/>
          </w:rPr>
          <w:fldChar w:fldCharType="begin"/>
        </w:r>
        <w:r w:rsidR="009E1F29">
          <w:rPr>
            <w:webHidden/>
          </w:rPr>
          <w:instrText xml:space="preserve"> PAGEREF _Toc120631171 \h </w:instrText>
        </w:r>
        <w:r w:rsidR="009E1F29">
          <w:rPr>
            <w:webHidden/>
          </w:rPr>
        </w:r>
        <w:r w:rsidR="009E1F29">
          <w:rPr>
            <w:webHidden/>
          </w:rPr>
          <w:fldChar w:fldCharType="separate"/>
        </w:r>
        <w:r w:rsidR="009E1F29">
          <w:rPr>
            <w:webHidden/>
          </w:rPr>
          <w:t>4-48</w:t>
        </w:r>
        <w:r w:rsidR="009E1F29">
          <w:rPr>
            <w:webHidden/>
          </w:rPr>
          <w:fldChar w:fldCharType="end"/>
        </w:r>
      </w:hyperlink>
    </w:p>
    <w:p w14:paraId="1FAA6DBE" w14:textId="52B90D92" w:rsidR="009E1F29" w:rsidRDefault="00464453">
      <w:pPr>
        <w:pStyle w:val="TableofFigures"/>
        <w:rPr>
          <w:rFonts w:eastAsiaTheme="minorEastAsia" w:cstheme="minorBidi"/>
          <w:color w:val="auto"/>
          <w:sz w:val="22"/>
          <w:szCs w:val="22"/>
        </w:rPr>
      </w:pPr>
      <w:hyperlink w:anchor="_Toc120631172" w:history="1">
        <w:r w:rsidR="009E1F29" w:rsidRPr="00E34F3E">
          <w:rPr>
            <w:rStyle w:val="Hyperlink"/>
          </w:rPr>
          <w:t>Table 4</w:t>
        </w:r>
        <w:r w:rsidR="009E1F29" w:rsidRPr="00E34F3E">
          <w:rPr>
            <w:rStyle w:val="Hyperlink"/>
          </w:rPr>
          <w:noBreakHyphen/>
          <w:t>24. Individual Codes for Class and Body Type 1&lt;5</w:t>
        </w:r>
        <w:r w:rsidR="009E1F29">
          <w:rPr>
            <w:webHidden/>
          </w:rPr>
          <w:tab/>
        </w:r>
        <w:r w:rsidR="009E1F29">
          <w:rPr>
            <w:webHidden/>
          </w:rPr>
          <w:fldChar w:fldCharType="begin"/>
        </w:r>
        <w:r w:rsidR="009E1F29">
          <w:rPr>
            <w:webHidden/>
          </w:rPr>
          <w:instrText xml:space="preserve"> PAGEREF _Toc120631172 \h </w:instrText>
        </w:r>
        <w:r w:rsidR="009E1F29">
          <w:rPr>
            <w:webHidden/>
          </w:rPr>
        </w:r>
        <w:r w:rsidR="009E1F29">
          <w:rPr>
            <w:webHidden/>
          </w:rPr>
          <w:fldChar w:fldCharType="separate"/>
        </w:r>
        <w:r w:rsidR="009E1F29">
          <w:rPr>
            <w:webHidden/>
          </w:rPr>
          <w:t>4-51</w:t>
        </w:r>
        <w:r w:rsidR="009E1F29">
          <w:rPr>
            <w:webHidden/>
          </w:rPr>
          <w:fldChar w:fldCharType="end"/>
        </w:r>
      </w:hyperlink>
    </w:p>
    <w:p w14:paraId="6840E591" w14:textId="03BBA6B5" w:rsidR="009E1F29" w:rsidRDefault="00464453">
      <w:pPr>
        <w:pStyle w:val="TableofFigures"/>
        <w:rPr>
          <w:rFonts w:eastAsiaTheme="minorEastAsia" w:cstheme="minorBidi"/>
          <w:color w:val="auto"/>
          <w:sz w:val="22"/>
          <w:szCs w:val="22"/>
        </w:rPr>
      </w:pPr>
      <w:hyperlink w:anchor="_Toc120631173" w:history="1">
        <w:r w:rsidR="009E1F29" w:rsidRPr="00E34F3E">
          <w:rPr>
            <w:rStyle w:val="Hyperlink"/>
          </w:rPr>
          <w:t>Table 4</w:t>
        </w:r>
        <w:r w:rsidR="009E1F29" w:rsidRPr="00E34F3E">
          <w:rPr>
            <w:rStyle w:val="Hyperlink"/>
          </w:rPr>
          <w:noBreakHyphen/>
          <w:t>25. Individual Codes for Class and Body Type when Code 1&gt;=5</w:t>
        </w:r>
        <w:r w:rsidR="009E1F29">
          <w:rPr>
            <w:webHidden/>
          </w:rPr>
          <w:tab/>
        </w:r>
        <w:r w:rsidR="009E1F29">
          <w:rPr>
            <w:webHidden/>
          </w:rPr>
          <w:fldChar w:fldCharType="begin"/>
        </w:r>
        <w:r w:rsidR="009E1F29">
          <w:rPr>
            <w:webHidden/>
          </w:rPr>
          <w:instrText xml:space="preserve"> PAGEREF _Toc120631173 \h </w:instrText>
        </w:r>
        <w:r w:rsidR="009E1F29">
          <w:rPr>
            <w:webHidden/>
          </w:rPr>
        </w:r>
        <w:r w:rsidR="009E1F29">
          <w:rPr>
            <w:webHidden/>
          </w:rPr>
          <w:fldChar w:fldCharType="separate"/>
        </w:r>
        <w:r w:rsidR="009E1F29">
          <w:rPr>
            <w:webHidden/>
          </w:rPr>
          <w:t>4-52</w:t>
        </w:r>
        <w:r w:rsidR="009E1F29">
          <w:rPr>
            <w:webHidden/>
          </w:rPr>
          <w:fldChar w:fldCharType="end"/>
        </w:r>
      </w:hyperlink>
    </w:p>
    <w:p w14:paraId="1CB3D9D3" w14:textId="1FBAE405" w:rsidR="009E1F29" w:rsidRDefault="00464453">
      <w:pPr>
        <w:pStyle w:val="TableofFigures"/>
        <w:rPr>
          <w:rFonts w:eastAsiaTheme="minorEastAsia" w:cstheme="minorBidi"/>
          <w:color w:val="auto"/>
          <w:sz w:val="22"/>
          <w:szCs w:val="22"/>
        </w:rPr>
      </w:pPr>
      <w:hyperlink w:anchor="_Toc120631174" w:history="1">
        <w:r w:rsidR="009E1F29" w:rsidRPr="00E34F3E">
          <w:rPr>
            <w:rStyle w:val="Hyperlink"/>
          </w:rPr>
          <w:t>Table 4</w:t>
        </w:r>
        <w:r w:rsidR="009E1F29" w:rsidRPr="00E34F3E">
          <w:rPr>
            <w:rStyle w:val="Hyperlink"/>
          </w:rPr>
          <w:noBreakHyphen/>
          <w:t>26. Individual Vehicle Record (Volume Site) Example (Southbound Lane 1, Note – Record Length Ends With 5 Blanks) – Fixed-Width Format</w:t>
        </w:r>
        <w:r w:rsidR="009E1F29">
          <w:rPr>
            <w:webHidden/>
          </w:rPr>
          <w:tab/>
        </w:r>
        <w:r w:rsidR="009E1F29">
          <w:rPr>
            <w:webHidden/>
          </w:rPr>
          <w:fldChar w:fldCharType="begin"/>
        </w:r>
        <w:r w:rsidR="009E1F29">
          <w:rPr>
            <w:webHidden/>
          </w:rPr>
          <w:instrText xml:space="preserve"> PAGEREF _Toc120631174 \h </w:instrText>
        </w:r>
        <w:r w:rsidR="009E1F29">
          <w:rPr>
            <w:webHidden/>
          </w:rPr>
        </w:r>
        <w:r w:rsidR="009E1F29">
          <w:rPr>
            <w:webHidden/>
          </w:rPr>
          <w:fldChar w:fldCharType="separate"/>
        </w:r>
        <w:r w:rsidR="009E1F29">
          <w:rPr>
            <w:webHidden/>
          </w:rPr>
          <w:t>4-53</w:t>
        </w:r>
        <w:r w:rsidR="009E1F29">
          <w:rPr>
            <w:webHidden/>
          </w:rPr>
          <w:fldChar w:fldCharType="end"/>
        </w:r>
      </w:hyperlink>
    </w:p>
    <w:p w14:paraId="3AB82794" w14:textId="545674CA" w:rsidR="009E1F29" w:rsidRDefault="00464453">
      <w:pPr>
        <w:pStyle w:val="TableofFigures"/>
        <w:rPr>
          <w:rFonts w:eastAsiaTheme="minorEastAsia" w:cstheme="minorBidi"/>
          <w:color w:val="auto"/>
          <w:sz w:val="22"/>
          <w:szCs w:val="22"/>
        </w:rPr>
      </w:pPr>
      <w:hyperlink w:anchor="_Toc120631175" w:history="1">
        <w:r w:rsidR="009E1F29" w:rsidRPr="00E34F3E">
          <w:rPr>
            <w:rStyle w:val="Hyperlink"/>
          </w:rPr>
          <w:t>Table 4</w:t>
        </w:r>
        <w:r w:rsidR="009E1F29" w:rsidRPr="00E34F3E">
          <w:rPr>
            <w:rStyle w:val="Hyperlink"/>
          </w:rPr>
          <w:noBreakHyphen/>
          <w:t>27. Speed and Length Classification Individual Vehicle Record (T Variant) – Fixed-width Format</w:t>
        </w:r>
        <w:r w:rsidR="009E1F29">
          <w:rPr>
            <w:webHidden/>
          </w:rPr>
          <w:tab/>
        </w:r>
        <w:r w:rsidR="009E1F29">
          <w:rPr>
            <w:webHidden/>
          </w:rPr>
          <w:fldChar w:fldCharType="begin"/>
        </w:r>
        <w:r w:rsidR="009E1F29">
          <w:rPr>
            <w:webHidden/>
          </w:rPr>
          <w:instrText xml:space="preserve"> PAGEREF _Toc120631175 \h </w:instrText>
        </w:r>
        <w:r w:rsidR="009E1F29">
          <w:rPr>
            <w:webHidden/>
          </w:rPr>
        </w:r>
        <w:r w:rsidR="009E1F29">
          <w:rPr>
            <w:webHidden/>
          </w:rPr>
          <w:fldChar w:fldCharType="separate"/>
        </w:r>
        <w:r w:rsidR="009E1F29">
          <w:rPr>
            <w:webHidden/>
          </w:rPr>
          <w:t>4-54</w:t>
        </w:r>
        <w:r w:rsidR="009E1F29">
          <w:rPr>
            <w:webHidden/>
          </w:rPr>
          <w:fldChar w:fldCharType="end"/>
        </w:r>
      </w:hyperlink>
    </w:p>
    <w:p w14:paraId="45D32DE2" w14:textId="197E9374" w:rsidR="009E1F29" w:rsidRDefault="00464453">
      <w:pPr>
        <w:pStyle w:val="TableofFigures"/>
        <w:rPr>
          <w:rFonts w:eastAsiaTheme="minorEastAsia" w:cstheme="minorBidi"/>
          <w:color w:val="auto"/>
          <w:sz w:val="22"/>
          <w:szCs w:val="22"/>
        </w:rPr>
      </w:pPr>
      <w:hyperlink w:anchor="_Toc120631176" w:history="1">
        <w:r w:rsidR="009E1F29" w:rsidRPr="00E34F3E">
          <w:rPr>
            <w:rStyle w:val="Hyperlink"/>
          </w:rPr>
          <w:t>Table 4</w:t>
        </w:r>
        <w:r w:rsidR="009E1F29" w:rsidRPr="00E34F3E">
          <w:rPr>
            <w:rStyle w:val="Hyperlink"/>
          </w:rPr>
          <w:noBreakHyphen/>
          <w:t>28. Individual Vehicle Record (Speed Site) Example (Northbound Lane 2) – Fixed-Width Format</w:t>
        </w:r>
        <w:r w:rsidR="009E1F29">
          <w:rPr>
            <w:webHidden/>
          </w:rPr>
          <w:tab/>
        </w:r>
        <w:r w:rsidR="009E1F29">
          <w:rPr>
            <w:webHidden/>
          </w:rPr>
          <w:fldChar w:fldCharType="begin"/>
        </w:r>
        <w:r w:rsidR="009E1F29">
          <w:rPr>
            <w:webHidden/>
          </w:rPr>
          <w:instrText xml:space="preserve"> PAGEREF _Toc120631176 \h </w:instrText>
        </w:r>
        <w:r w:rsidR="009E1F29">
          <w:rPr>
            <w:webHidden/>
          </w:rPr>
        </w:r>
        <w:r w:rsidR="009E1F29">
          <w:rPr>
            <w:webHidden/>
          </w:rPr>
          <w:fldChar w:fldCharType="separate"/>
        </w:r>
        <w:r w:rsidR="009E1F29">
          <w:rPr>
            <w:webHidden/>
          </w:rPr>
          <w:t>4-55</w:t>
        </w:r>
        <w:r w:rsidR="009E1F29">
          <w:rPr>
            <w:webHidden/>
          </w:rPr>
          <w:fldChar w:fldCharType="end"/>
        </w:r>
      </w:hyperlink>
    </w:p>
    <w:p w14:paraId="51941E21" w14:textId="1C2B98D8" w:rsidR="009E1F29" w:rsidRDefault="00464453">
      <w:pPr>
        <w:pStyle w:val="TableofFigures"/>
        <w:rPr>
          <w:rFonts w:eastAsiaTheme="minorEastAsia" w:cstheme="minorBidi"/>
          <w:color w:val="auto"/>
          <w:sz w:val="22"/>
          <w:szCs w:val="22"/>
        </w:rPr>
      </w:pPr>
      <w:hyperlink w:anchor="_Toc120631177" w:history="1">
        <w:r w:rsidR="009E1F29" w:rsidRPr="00E34F3E">
          <w:rPr>
            <w:rStyle w:val="Hyperlink"/>
          </w:rPr>
          <w:t>Table 4</w:t>
        </w:r>
        <w:r w:rsidR="009E1F29" w:rsidRPr="00E34F3E">
          <w:rPr>
            <w:rStyle w:val="Hyperlink"/>
          </w:rPr>
          <w:noBreakHyphen/>
          <w:t>29. Individual Vehicle Record by Classification (Axle) Device (C Variant) – Fixed width</w:t>
        </w:r>
        <w:r w:rsidR="009E1F29">
          <w:rPr>
            <w:webHidden/>
          </w:rPr>
          <w:tab/>
        </w:r>
        <w:r w:rsidR="009E1F29">
          <w:rPr>
            <w:webHidden/>
          </w:rPr>
          <w:fldChar w:fldCharType="begin"/>
        </w:r>
        <w:r w:rsidR="009E1F29">
          <w:rPr>
            <w:webHidden/>
          </w:rPr>
          <w:instrText xml:space="preserve"> PAGEREF _Toc120631177 \h </w:instrText>
        </w:r>
        <w:r w:rsidR="009E1F29">
          <w:rPr>
            <w:webHidden/>
          </w:rPr>
        </w:r>
        <w:r w:rsidR="009E1F29">
          <w:rPr>
            <w:webHidden/>
          </w:rPr>
          <w:fldChar w:fldCharType="separate"/>
        </w:r>
        <w:r w:rsidR="009E1F29">
          <w:rPr>
            <w:webHidden/>
          </w:rPr>
          <w:t>4-57</w:t>
        </w:r>
        <w:r w:rsidR="009E1F29">
          <w:rPr>
            <w:webHidden/>
          </w:rPr>
          <w:fldChar w:fldCharType="end"/>
        </w:r>
      </w:hyperlink>
    </w:p>
    <w:p w14:paraId="3A54A876" w14:textId="33F72661" w:rsidR="009E1F29" w:rsidRDefault="00464453">
      <w:pPr>
        <w:pStyle w:val="TableofFigures"/>
        <w:rPr>
          <w:rFonts w:eastAsiaTheme="minorEastAsia" w:cstheme="minorBidi"/>
          <w:color w:val="auto"/>
          <w:sz w:val="22"/>
          <w:szCs w:val="22"/>
        </w:rPr>
      </w:pPr>
      <w:hyperlink w:anchor="_Toc120631178" w:history="1">
        <w:r w:rsidR="009E1F29" w:rsidRPr="00E34F3E">
          <w:rPr>
            <w:rStyle w:val="Hyperlink"/>
          </w:rPr>
          <w:t>Table 4</w:t>
        </w:r>
        <w:r w:rsidR="009E1F29" w:rsidRPr="00E34F3E">
          <w:rPr>
            <w:rStyle w:val="Hyperlink"/>
          </w:rPr>
          <w:noBreakHyphen/>
          <w:t>30. Individual Vehicle Record (Classification Site) Example (Eastbound Lane 4) – Fixed-Width Format</w:t>
        </w:r>
        <w:r w:rsidR="009E1F29">
          <w:rPr>
            <w:webHidden/>
          </w:rPr>
          <w:tab/>
        </w:r>
        <w:r w:rsidR="009E1F29">
          <w:rPr>
            <w:webHidden/>
          </w:rPr>
          <w:fldChar w:fldCharType="begin"/>
        </w:r>
        <w:r w:rsidR="009E1F29">
          <w:rPr>
            <w:webHidden/>
          </w:rPr>
          <w:instrText xml:space="preserve"> PAGEREF _Toc120631178 \h </w:instrText>
        </w:r>
        <w:r w:rsidR="009E1F29">
          <w:rPr>
            <w:webHidden/>
          </w:rPr>
        </w:r>
        <w:r w:rsidR="009E1F29">
          <w:rPr>
            <w:webHidden/>
          </w:rPr>
          <w:fldChar w:fldCharType="separate"/>
        </w:r>
        <w:r w:rsidR="009E1F29">
          <w:rPr>
            <w:webHidden/>
          </w:rPr>
          <w:t>4-59</w:t>
        </w:r>
        <w:r w:rsidR="009E1F29">
          <w:rPr>
            <w:webHidden/>
          </w:rPr>
          <w:fldChar w:fldCharType="end"/>
        </w:r>
      </w:hyperlink>
    </w:p>
    <w:p w14:paraId="5CCF93DA" w14:textId="6884C6F3" w:rsidR="009E1F29" w:rsidRDefault="00464453">
      <w:pPr>
        <w:pStyle w:val="TableofFigures"/>
        <w:rPr>
          <w:rFonts w:eastAsiaTheme="minorEastAsia" w:cstheme="minorBidi"/>
          <w:color w:val="auto"/>
          <w:sz w:val="22"/>
          <w:szCs w:val="22"/>
        </w:rPr>
      </w:pPr>
      <w:hyperlink w:anchor="_Toc120631179" w:history="1">
        <w:r w:rsidR="009E1F29" w:rsidRPr="00E34F3E">
          <w:rPr>
            <w:rStyle w:val="Hyperlink"/>
          </w:rPr>
          <w:t>Table 4</w:t>
        </w:r>
        <w:r w:rsidR="009E1F29" w:rsidRPr="00E34F3E">
          <w:rPr>
            <w:rStyle w:val="Hyperlink"/>
          </w:rPr>
          <w:noBreakHyphen/>
          <w:t>31. Individual Vehicle Record by Weight (Axle) Device (W Variant) – Fixed Width Format</w:t>
        </w:r>
        <w:r w:rsidR="009E1F29">
          <w:rPr>
            <w:webHidden/>
          </w:rPr>
          <w:tab/>
        </w:r>
        <w:r w:rsidR="009E1F29">
          <w:rPr>
            <w:webHidden/>
          </w:rPr>
          <w:fldChar w:fldCharType="begin"/>
        </w:r>
        <w:r w:rsidR="009E1F29">
          <w:rPr>
            <w:webHidden/>
          </w:rPr>
          <w:instrText xml:space="preserve"> PAGEREF _Toc120631179 \h </w:instrText>
        </w:r>
        <w:r w:rsidR="009E1F29">
          <w:rPr>
            <w:webHidden/>
          </w:rPr>
        </w:r>
        <w:r w:rsidR="009E1F29">
          <w:rPr>
            <w:webHidden/>
          </w:rPr>
          <w:fldChar w:fldCharType="separate"/>
        </w:r>
        <w:r w:rsidR="009E1F29">
          <w:rPr>
            <w:webHidden/>
          </w:rPr>
          <w:t>4-61</w:t>
        </w:r>
        <w:r w:rsidR="009E1F29">
          <w:rPr>
            <w:webHidden/>
          </w:rPr>
          <w:fldChar w:fldCharType="end"/>
        </w:r>
      </w:hyperlink>
    </w:p>
    <w:p w14:paraId="2267FBFF" w14:textId="67AA5A46" w:rsidR="009E1F29" w:rsidRDefault="00464453">
      <w:pPr>
        <w:pStyle w:val="TableofFigures"/>
        <w:rPr>
          <w:rFonts w:eastAsiaTheme="minorEastAsia" w:cstheme="minorBidi"/>
          <w:color w:val="auto"/>
          <w:sz w:val="22"/>
          <w:szCs w:val="22"/>
        </w:rPr>
      </w:pPr>
      <w:hyperlink w:anchor="_Toc120631180" w:history="1">
        <w:r w:rsidR="009E1F29" w:rsidRPr="00E34F3E">
          <w:rPr>
            <w:rStyle w:val="Hyperlink"/>
          </w:rPr>
          <w:t>Table 4</w:t>
        </w:r>
        <w:r w:rsidR="009E1F29" w:rsidRPr="00E34F3E">
          <w:rPr>
            <w:rStyle w:val="Hyperlink"/>
          </w:rPr>
          <w:noBreakHyphen/>
          <w:t>32. Individual Vehicle Record (Weight Site) Example (Westbound Lane 3) – Fixed-Width Format</w:t>
        </w:r>
        <w:r w:rsidR="009E1F29">
          <w:rPr>
            <w:webHidden/>
          </w:rPr>
          <w:tab/>
        </w:r>
        <w:r w:rsidR="009E1F29">
          <w:rPr>
            <w:webHidden/>
          </w:rPr>
          <w:fldChar w:fldCharType="begin"/>
        </w:r>
        <w:r w:rsidR="009E1F29">
          <w:rPr>
            <w:webHidden/>
          </w:rPr>
          <w:instrText xml:space="preserve"> PAGEREF _Toc120631180 \h </w:instrText>
        </w:r>
        <w:r w:rsidR="009E1F29">
          <w:rPr>
            <w:webHidden/>
          </w:rPr>
        </w:r>
        <w:r w:rsidR="009E1F29">
          <w:rPr>
            <w:webHidden/>
          </w:rPr>
          <w:fldChar w:fldCharType="separate"/>
        </w:r>
        <w:r w:rsidR="009E1F29">
          <w:rPr>
            <w:webHidden/>
          </w:rPr>
          <w:t>4-65</w:t>
        </w:r>
        <w:r w:rsidR="009E1F29">
          <w:rPr>
            <w:webHidden/>
          </w:rPr>
          <w:fldChar w:fldCharType="end"/>
        </w:r>
      </w:hyperlink>
    </w:p>
    <w:p w14:paraId="0A3B2B66" w14:textId="7CC40D26" w:rsidR="009E1F29" w:rsidRDefault="00464453">
      <w:pPr>
        <w:pStyle w:val="TableofFigures"/>
        <w:rPr>
          <w:rFonts w:eastAsiaTheme="minorEastAsia" w:cstheme="minorBidi"/>
          <w:color w:val="auto"/>
          <w:sz w:val="22"/>
          <w:szCs w:val="22"/>
        </w:rPr>
      </w:pPr>
      <w:hyperlink w:anchor="_Toc120631181" w:history="1">
        <w:r w:rsidR="009E1F29" w:rsidRPr="00E34F3E">
          <w:rPr>
            <w:rStyle w:val="Hyperlink"/>
          </w:rPr>
          <w:t>Table 4</w:t>
        </w:r>
        <w:r w:rsidR="009E1F29" w:rsidRPr="00E34F3E">
          <w:rPr>
            <w:rStyle w:val="Hyperlink"/>
          </w:rPr>
          <w:noBreakHyphen/>
          <w:t>33. Individual Vehicle Record Collected by Weight (Left and Right) Device (Z Variant) – Fixed-Width Format</w:t>
        </w:r>
        <w:r w:rsidR="009E1F29">
          <w:rPr>
            <w:webHidden/>
          </w:rPr>
          <w:tab/>
        </w:r>
        <w:r w:rsidR="009E1F29">
          <w:rPr>
            <w:webHidden/>
          </w:rPr>
          <w:fldChar w:fldCharType="begin"/>
        </w:r>
        <w:r w:rsidR="009E1F29">
          <w:rPr>
            <w:webHidden/>
          </w:rPr>
          <w:instrText xml:space="preserve"> PAGEREF _Toc120631181 \h </w:instrText>
        </w:r>
        <w:r w:rsidR="009E1F29">
          <w:rPr>
            <w:webHidden/>
          </w:rPr>
        </w:r>
        <w:r w:rsidR="009E1F29">
          <w:rPr>
            <w:webHidden/>
          </w:rPr>
          <w:fldChar w:fldCharType="separate"/>
        </w:r>
        <w:r w:rsidR="009E1F29">
          <w:rPr>
            <w:webHidden/>
          </w:rPr>
          <w:t>4-67</w:t>
        </w:r>
        <w:r w:rsidR="009E1F29">
          <w:rPr>
            <w:webHidden/>
          </w:rPr>
          <w:fldChar w:fldCharType="end"/>
        </w:r>
      </w:hyperlink>
    </w:p>
    <w:p w14:paraId="1AFC9FA7" w14:textId="2F708699" w:rsidR="009E1F29" w:rsidRDefault="00464453">
      <w:pPr>
        <w:pStyle w:val="TableofFigures"/>
        <w:rPr>
          <w:rFonts w:eastAsiaTheme="minorEastAsia" w:cstheme="minorBidi"/>
          <w:color w:val="auto"/>
          <w:sz w:val="22"/>
          <w:szCs w:val="22"/>
        </w:rPr>
      </w:pPr>
      <w:hyperlink w:anchor="_Toc120631182" w:history="1">
        <w:r w:rsidR="009E1F29" w:rsidRPr="00E34F3E">
          <w:rPr>
            <w:rStyle w:val="Hyperlink"/>
          </w:rPr>
          <w:t>Table 4</w:t>
        </w:r>
        <w:r w:rsidR="009E1F29" w:rsidRPr="00E34F3E">
          <w:rPr>
            <w:rStyle w:val="Hyperlink"/>
          </w:rPr>
          <w:noBreakHyphen/>
          <w:t>34. Individual Vehicle Record (Left and Right Site) Example (Westbound Lane 1) – Fixed-Width Format</w:t>
        </w:r>
        <w:r w:rsidR="009E1F29">
          <w:rPr>
            <w:webHidden/>
          </w:rPr>
          <w:tab/>
        </w:r>
        <w:r w:rsidR="009E1F29">
          <w:rPr>
            <w:webHidden/>
          </w:rPr>
          <w:fldChar w:fldCharType="begin"/>
        </w:r>
        <w:r w:rsidR="009E1F29">
          <w:rPr>
            <w:webHidden/>
          </w:rPr>
          <w:instrText xml:space="preserve"> PAGEREF _Toc120631182 \h </w:instrText>
        </w:r>
        <w:r w:rsidR="009E1F29">
          <w:rPr>
            <w:webHidden/>
          </w:rPr>
        </w:r>
        <w:r w:rsidR="009E1F29">
          <w:rPr>
            <w:webHidden/>
          </w:rPr>
          <w:fldChar w:fldCharType="separate"/>
        </w:r>
        <w:r w:rsidR="009E1F29">
          <w:rPr>
            <w:webHidden/>
          </w:rPr>
          <w:t>4-72</w:t>
        </w:r>
        <w:r w:rsidR="009E1F29">
          <w:rPr>
            <w:webHidden/>
          </w:rPr>
          <w:fldChar w:fldCharType="end"/>
        </w:r>
      </w:hyperlink>
    </w:p>
    <w:p w14:paraId="68859AF7" w14:textId="5C42DEC3" w:rsidR="009E1F29" w:rsidRDefault="00464453">
      <w:pPr>
        <w:pStyle w:val="TableofFigures"/>
        <w:rPr>
          <w:rFonts w:eastAsiaTheme="minorEastAsia" w:cstheme="minorBidi"/>
          <w:color w:val="auto"/>
          <w:sz w:val="22"/>
          <w:szCs w:val="22"/>
        </w:rPr>
      </w:pPr>
      <w:hyperlink w:anchor="_Toc120631183" w:history="1">
        <w:r w:rsidR="009E1F29" w:rsidRPr="00E34F3E">
          <w:rPr>
            <w:rStyle w:val="Hyperlink"/>
          </w:rPr>
          <w:t>Table 4</w:t>
        </w:r>
        <w:r w:rsidR="009E1F29" w:rsidRPr="00E34F3E">
          <w:rPr>
            <w:rStyle w:val="Hyperlink"/>
          </w:rPr>
          <w:noBreakHyphen/>
          <w:t>35. Micromobility Count Station Description Record – Fixed-Width Format</w:t>
        </w:r>
        <w:r w:rsidR="009E1F29">
          <w:rPr>
            <w:webHidden/>
          </w:rPr>
          <w:tab/>
        </w:r>
        <w:r w:rsidR="009E1F29">
          <w:rPr>
            <w:webHidden/>
          </w:rPr>
          <w:fldChar w:fldCharType="begin"/>
        </w:r>
        <w:r w:rsidR="009E1F29">
          <w:rPr>
            <w:webHidden/>
          </w:rPr>
          <w:instrText xml:space="preserve"> PAGEREF _Toc120631183 \h </w:instrText>
        </w:r>
        <w:r w:rsidR="009E1F29">
          <w:rPr>
            <w:webHidden/>
          </w:rPr>
        </w:r>
        <w:r w:rsidR="009E1F29">
          <w:rPr>
            <w:webHidden/>
          </w:rPr>
          <w:fldChar w:fldCharType="separate"/>
        </w:r>
        <w:r w:rsidR="009E1F29">
          <w:rPr>
            <w:webHidden/>
          </w:rPr>
          <w:t>4-75</w:t>
        </w:r>
        <w:r w:rsidR="009E1F29">
          <w:rPr>
            <w:webHidden/>
          </w:rPr>
          <w:fldChar w:fldCharType="end"/>
        </w:r>
      </w:hyperlink>
    </w:p>
    <w:p w14:paraId="6896D2A4" w14:textId="4AB62708" w:rsidR="009E1F29" w:rsidRDefault="00464453">
      <w:pPr>
        <w:pStyle w:val="TableofFigures"/>
        <w:rPr>
          <w:rFonts w:eastAsiaTheme="minorEastAsia" w:cstheme="minorBidi"/>
          <w:color w:val="auto"/>
          <w:sz w:val="22"/>
          <w:szCs w:val="22"/>
        </w:rPr>
      </w:pPr>
      <w:hyperlink r:id="rId38" w:anchor="_Toc120631184" w:history="1">
        <w:r w:rsidR="009E1F29" w:rsidRPr="00E34F3E">
          <w:rPr>
            <w:rStyle w:val="Hyperlink"/>
          </w:rPr>
          <w:t>Table 4</w:t>
        </w:r>
        <w:r w:rsidR="009E1F29" w:rsidRPr="00E34F3E">
          <w:rPr>
            <w:rStyle w:val="Hyperlink"/>
          </w:rPr>
          <w:noBreakHyphen/>
          <w:t>36. Classification Codes</w:t>
        </w:r>
        <w:r w:rsidR="009E1F29">
          <w:rPr>
            <w:webHidden/>
          </w:rPr>
          <w:tab/>
        </w:r>
        <w:r w:rsidR="009E1F29">
          <w:rPr>
            <w:webHidden/>
          </w:rPr>
          <w:fldChar w:fldCharType="begin"/>
        </w:r>
        <w:r w:rsidR="009E1F29">
          <w:rPr>
            <w:webHidden/>
          </w:rPr>
          <w:instrText xml:space="preserve"> PAGEREF _Toc120631184 \h </w:instrText>
        </w:r>
        <w:r w:rsidR="009E1F29">
          <w:rPr>
            <w:webHidden/>
          </w:rPr>
        </w:r>
        <w:r w:rsidR="009E1F29">
          <w:rPr>
            <w:webHidden/>
          </w:rPr>
          <w:fldChar w:fldCharType="separate"/>
        </w:r>
        <w:r w:rsidR="009E1F29">
          <w:rPr>
            <w:webHidden/>
          </w:rPr>
          <w:t>4-76</w:t>
        </w:r>
        <w:r w:rsidR="009E1F29">
          <w:rPr>
            <w:webHidden/>
          </w:rPr>
          <w:fldChar w:fldCharType="end"/>
        </w:r>
      </w:hyperlink>
    </w:p>
    <w:p w14:paraId="7D1BC068" w14:textId="111EB25E" w:rsidR="009E1F29" w:rsidRDefault="00464453">
      <w:pPr>
        <w:pStyle w:val="TableofFigures"/>
        <w:rPr>
          <w:rFonts w:eastAsiaTheme="minorEastAsia" w:cstheme="minorBidi"/>
          <w:color w:val="auto"/>
          <w:sz w:val="22"/>
          <w:szCs w:val="22"/>
        </w:rPr>
      </w:pPr>
      <w:hyperlink r:id="rId39" w:anchor="_Toc120631185" w:history="1">
        <w:r w:rsidR="009E1F29" w:rsidRPr="00E34F3E">
          <w:rPr>
            <w:rStyle w:val="Hyperlink"/>
          </w:rPr>
          <w:t>Table 4</w:t>
        </w:r>
        <w:r w:rsidR="009E1F29" w:rsidRPr="00E34F3E">
          <w:rPr>
            <w:rStyle w:val="Hyperlink"/>
          </w:rPr>
          <w:noBreakHyphen/>
          <w:t>37. Direction of Route Codes</w:t>
        </w:r>
        <w:r w:rsidR="009E1F29">
          <w:rPr>
            <w:webHidden/>
          </w:rPr>
          <w:tab/>
        </w:r>
        <w:r w:rsidR="009E1F29">
          <w:rPr>
            <w:webHidden/>
          </w:rPr>
          <w:fldChar w:fldCharType="begin"/>
        </w:r>
        <w:r w:rsidR="009E1F29">
          <w:rPr>
            <w:webHidden/>
          </w:rPr>
          <w:instrText xml:space="preserve"> PAGEREF _Toc120631185 \h </w:instrText>
        </w:r>
        <w:r w:rsidR="009E1F29">
          <w:rPr>
            <w:webHidden/>
          </w:rPr>
        </w:r>
        <w:r w:rsidR="009E1F29">
          <w:rPr>
            <w:webHidden/>
          </w:rPr>
          <w:fldChar w:fldCharType="separate"/>
        </w:r>
        <w:r w:rsidR="009E1F29">
          <w:rPr>
            <w:webHidden/>
          </w:rPr>
          <w:t>4-77</w:t>
        </w:r>
        <w:r w:rsidR="009E1F29">
          <w:rPr>
            <w:webHidden/>
          </w:rPr>
          <w:fldChar w:fldCharType="end"/>
        </w:r>
      </w:hyperlink>
    </w:p>
    <w:p w14:paraId="2CB14606" w14:textId="6C044912" w:rsidR="009E1F29" w:rsidRDefault="00464453">
      <w:pPr>
        <w:pStyle w:val="TableofFigures"/>
        <w:rPr>
          <w:rFonts w:eastAsiaTheme="minorEastAsia" w:cstheme="minorBidi"/>
          <w:color w:val="auto"/>
          <w:sz w:val="22"/>
          <w:szCs w:val="22"/>
        </w:rPr>
      </w:pPr>
      <w:hyperlink r:id="rId40" w:anchor="_Toc120631186" w:history="1">
        <w:r w:rsidR="009E1F29" w:rsidRPr="00E34F3E">
          <w:rPr>
            <w:rStyle w:val="Hyperlink"/>
          </w:rPr>
          <w:t>Table 4</w:t>
        </w:r>
        <w:r w:rsidR="009E1F29" w:rsidRPr="00E34F3E">
          <w:rPr>
            <w:rStyle w:val="Hyperlink"/>
          </w:rPr>
          <w:noBreakHyphen/>
          <w:t>38. Posted Route Signing Codes</w:t>
        </w:r>
        <w:r w:rsidR="009E1F29">
          <w:rPr>
            <w:webHidden/>
          </w:rPr>
          <w:tab/>
        </w:r>
        <w:r w:rsidR="009E1F29">
          <w:rPr>
            <w:webHidden/>
          </w:rPr>
          <w:fldChar w:fldCharType="begin"/>
        </w:r>
        <w:r w:rsidR="009E1F29">
          <w:rPr>
            <w:webHidden/>
          </w:rPr>
          <w:instrText xml:space="preserve"> PAGEREF _Toc120631186 \h </w:instrText>
        </w:r>
        <w:r w:rsidR="009E1F29">
          <w:rPr>
            <w:webHidden/>
          </w:rPr>
        </w:r>
        <w:r w:rsidR="009E1F29">
          <w:rPr>
            <w:webHidden/>
          </w:rPr>
          <w:fldChar w:fldCharType="separate"/>
        </w:r>
        <w:r w:rsidR="009E1F29">
          <w:rPr>
            <w:webHidden/>
          </w:rPr>
          <w:t>4-81</w:t>
        </w:r>
        <w:r w:rsidR="009E1F29">
          <w:rPr>
            <w:webHidden/>
          </w:rPr>
          <w:fldChar w:fldCharType="end"/>
        </w:r>
      </w:hyperlink>
    </w:p>
    <w:p w14:paraId="27D831EB" w14:textId="58EA3C36" w:rsidR="009E1F29" w:rsidRDefault="00464453">
      <w:pPr>
        <w:pStyle w:val="TableofFigures"/>
        <w:rPr>
          <w:rFonts w:eastAsiaTheme="minorEastAsia" w:cstheme="minorBidi"/>
          <w:color w:val="auto"/>
          <w:sz w:val="22"/>
          <w:szCs w:val="22"/>
        </w:rPr>
      </w:pPr>
      <w:hyperlink w:anchor="_Toc120631187" w:history="1">
        <w:r w:rsidR="009E1F29" w:rsidRPr="00E34F3E">
          <w:rPr>
            <w:rStyle w:val="Hyperlink"/>
          </w:rPr>
          <w:t>Table 4</w:t>
        </w:r>
        <w:r w:rsidR="009E1F29" w:rsidRPr="00E34F3E">
          <w:rPr>
            <w:rStyle w:val="Hyperlink"/>
          </w:rPr>
          <w:noBreakHyphen/>
          <w:t>39. Micromobility Count Station Description Record Example – Fixed-Width Format</w:t>
        </w:r>
        <w:r w:rsidR="009E1F29">
          <w:rPr>
            <w:webHidden/>
          </w:rPr>
          <w:tab/>
        </w:r>
        <w:r w:rsidR="009E1F29">
          <w:rPr>
            <w:webHidden/>
          </w:rPr>
          <w:fldChar w:fldCharType="begin"/>
        </w:r>
        <w:r w:rsidR="009E1F29">
          <w:rPr>
            <w:webHidden/>
          </w:rPr>
          <w:instrText xml:space="preserve"> PAGEREF _Toc120631187 \h </w:instrText>
        </w:r>
        <w:r w:rsidR="009E1F29">
          <w:rPr>
            <w:webHidden/>
          </w:rPr>
        </w:r>
        <w:r w:rsidR="009E1F29">
          <w:rPr>
            <w:webHidden/>
          </w:rPr>
          <w:fldChar w:fldCharType="separate"/>
        </w:r>
        <w:r w:rsidR="009E1F29">
          <w:rPr>
            <w:webHidden/>
          </w:rPr>
          <w:t>4-82</w:t>
        </w:r>
        <w:r w:rsidR="009E1F29">
          <w:rPr>
            <w:webHidden/>
          </w:rPr>
          <w:fldChar w:fldCharType="end"/>
        </w:r>
      </w:hyperlink>
    </w:p>
    <w:p w14:paraId="2BFFC0C4" w14:textId="3D9DEC5B" w:rsidR="009E1F29" w:rsidRDefault="00464453">
      <w:pPr>
        <w:pStyle w:val="TableofFigures"/>
        <w:rPr>
          <w:rFonts w:eastAsiaTheme="minorEastAsia" w:cstheme="minorBidi"/>
          <w:color w:val="auto"/>
          <w:sz w:val="22"/>
          <w:szCs w:val="22"/>
        </w:rPr>
      </w:pPr>
      <w:hyperlink w:anchor="_Toc120631188" w:history="1">
        <w:r w:rsidR="009E1F29" w:rsidRPr="00E34F3E">
          <w:rPr>
            <w:rStyle w:val="Hyperlink"/>
          </w:rPr>
          <w:t>Table 4</w:t>
        </w:r>
        <w:r w:rsidR="009E1F29" w:rsidRPr="00E34F3E">
          <w:rPr>
            <w:rStyle w:val="Hyperlink"/>
          </w:rPr>
          <w:noBreakHyphen/>
          <w:t>40. Micromobility Count Record – Fixed-Width Format</w:t>
        </w:r>
        <w:r w:rsidR="009E1F29">
          <w:rPr>
            <w:webHidden/>
          </w:rPr>
          <w:tab/>
        </w:r>
        <w:r w:rsidR="009E1F29">
          <w:rPr>
            <w:webHidden/>
          </w:rPr>
          <w:fldChar w:fldCharType="begin"/>
        </w:r>
        <w:r w:rsidR="009E1F29">
          <w:rPr>
            <w:webHidden/>
          </w:rPr>
          <w:instrText xml:space="preserve"> PAGEREF _Toc120631188 \h </w:instrText>
        </w:r>
        <w:r w:rsidR="009E1F29">
          <w:rPr>
            <w:webHidden/>
          </w:rPr>
        </w:r>
        <w:r w:rsidR="009E1F29">
          <w:rPr>
            <w:webHidden/>
          </w:rPr>
          <w:fldChar w:fldCharType="separate"/>
        </w:r>
        <w:r w:rsidR="009E1F29">
          <w:rPr>
            <w:webHidden/>
          </w:rPr>
          <w:t>4-85</w:t>
        </w:r>
        <w:r w:rsidR="009E1F29">
          <w:rPr>
            <w:webHidden/>
          </w:rPr>
          <w:fldChar w:fldCharType="end"/>
        </w:r>
      </w:hyperlink>
    </w:p>
    <w:p w14:paraId="0D92E21E" w14:textId="604B8E9B" w:rsidR="009E1F29" w:rsidRDefault="00464453">
      <w:pPr>
        <w:pStyle w:val="TableofFigures"/>
        <w:rPr>
          <w:rFonts w:eastAsiaTheme="minorEastAsia" w:cstheme="minorBidi"/>
          <w:color w:val="auto"/>
          <w:sz w:val="22"/>
          <w:szCs w:val="22"/>
        </w:rPr>
      </w:pPr>
      <w:hyperlink w:anchor="_Toc120631189" w:history="1">
        <w:r w:rsidR="009E1F29" w:rsidRPr="00E34F3E">
          <w:rPr>
            <w:rStyle w:val="Hyperlink"/>
          </w:rPr>
          <w:t>Table 4</w:t>
        </w:r>
        <w:r w:rsidR="009E1F29" w:rsidRPr="00E34F3E">
          <w:rPr>
            <w:rStyle w:val="Hyperlink"/>
          </w:rPr>
          <w:noBreakHyphen/>
          <w:t>41. Micromobility Count Record Example – Fixed Width Example</w:t>
        </w:r>
        <w:r w:rsidR="009E1F29">
          <w:rPr>
            <w:webHidden/>
          </w:rPr>
          <w:tab/>
        </w:r>
        <w:r w:rsidR="009E1F29">
          <w:rPr>
            <w:webHidden/>
          </w:rPr>
          <w:fldChar w:fldCharType="begin"/>
        </w:r>
        <w:r w:rsidR="009E1F29">
          <w:rPr>
            <w:webHidden/>
          </w:rPr>
          <w:instrText xml:space="preserve"> PAGEREF _Toc120631189 \h </w:instrText>
        </w:r>
        <w:r w:rsidR="009E1F29">
          <w:rPr>
            <w:webHidden/>
          </w:rPr>
        </w:r>
        <w:r w:rsidR="009E1F29">
          <w:rPr>
            <w:webHidden/>
          </w:rPr>
          <w:fldChar w:fldCharType="separate"/>
        </w:r>
        <w:r w:rsidR="009E1F29">
          <w:rPr>
            <w:webHidden/>
          </w:rPr>
          <w:t>4-93</w:t>
        </w:r>
        <w:r w:rsidR="009E1F29">
          <w:rPr>
            <w:webHidden/>
          </w:rPr>
          <w:fldChar w:fldCharType="end"/>
        </w:r>
      </w:hyperlink>
    </w:p>
    <w:p w14:paraId="56F9543E" w14:textId="7E68DA37" w:rsidR="009E1F29" w:rsidRDefault="00464453">
      <w:pPr>
        <w:pStyle w:val="TableofFigures"/>
        <w:rPr>
          <w:rFonts w:eastAsiaTheme="minorEastAsia" w:cstheme="minorBidi"/>
          <w:color w:val="auto"/>
          <w:sz w:val="22"/>
          <w:szCs w:val="22"/>
        </w:rPr>
      </w:pPr>
      <w:hyperlink w:anchor="_Toc120631190" w:history="1">
        <w:r w:rsidR="009E1F29" w:rsidRPr="00E34F3E">
          <w:rPr>
            <w:rStyle w:val="Hyperlink"/>
          </w:rPr>
          <w:t>Table 5</w:t>
        </w:r>
        <w:r w:rsidR="009E1F29" w:rsidRPr="00E34F3E">
          <w:rPr>
            <w:rStyle w:val="Hyperlink"/>
          </w:rPr>
          <w:noBreakHyphen/>
          <w:t>1. HPMS Traffic Data Items</w:t>
        </w:r>
        <w:r w:rsidR="009E1F29">
          <w:rPr>
            <w:webHidden/>
          </w:rPr>
          <w:tab/>
        </w:r>
        <w:r w:rsidR="009E1F29">
          <w:rPr>
            <w:webHidden/>
          </w:rPr>
          <w:fldChar w:fldCharType="begin"/>
        </w:r>
        <w:r w:rsidR="009E1F29">
          <w:rPr>
            <w:webHidden/>
          </w:rPr>
          <w:instrText xml:space="preserve"> PAGEREF _Toc120631190 \h </w:instrText>
        </w:r>
        <w:r w:rsidR="009E1F29">
          <w:rPr>
            <w:webHidden/>
          </w:rPr>
        </w:r>
        <w:r w:rsidR="009E1F29">
          <w:rPr>
            <w:webHidden/>
          </w:rPr>
          <w:fldChar w:fldCharType="separate"/>
        </w:r>
        <w:r w:rsidR="009E1F29">
          <w:rPr>
            <w:webHidden/>
          </w:rPr>
          <w:t>5-3</w:t>
        </w:r>
        <w:r w:rsidR="009E1F29">
          <w:rPr>
            <w:webHidden/>
          </w:rPr>
          <w:fldChar w:fldCharType="end"/>
        </w:r>
      </w:hyperlink>
    </w:p>
    <w:p w14:paraId="3621A2F8" w14:textId="3E9DED3A" w:rsidR="009E1F29" w:rsidRDefault="00464453">
      <w:pPr>
        <w:pStyle w:val="TableofFigures"/>
        <w:rPr>
          <w:rFonts w:eastAsiaTheme="minorEastAsia" w:cstheme="minorBidi"/>
          <w:color w:val="auto"/>
          <w:sz w:val="22"/>
          <w:szCs w:val="22"/>
        </w:rPr>
      </w:pPr>
      <w:hyperlink w:anchor="_Toc120631191" w:history="1">
        <w:r w:rsidR="009E1F29" w:rsidRPr="00E34F3E">
          <w:rPr>
            <w:rStyle w:val="Hyperlink"/>
          </w:rPr>
          <w:t>Table 5</w:t>
        </w:r>
        <w:r w:rsidR="009E1F29" w:rsidRPr="00E34F3E">
          <w:rPr>
            <w:rStyle w:val="Hyperlink"/>
          </w:rPr>
          <w:noBreakHyphen/>
          <w:t>2. Combined Area Type and Functional System Groups</w:t>
        </w:r>
        <w:r w:rsidR="009E1F29">
          <w:rPr>
            <w:webHidden/>
          </w:rPr>
          <w:tab/>
        </w:r>
        <w:r w:rsidR="009E1F29">
          <w:rPr>
            <w:webHidden/>
          </w:rPr>
          <w:fldChar w:fldCharType="begin"/>
        </w:r>
        <w:r w:rsidR="009E1F29">
          <w:rPr>
            <w:webHidden/>
          </w:rPr>
          <w:instrText xml:space="preserve"> PAGEREF _Toc120631191 \h </w:instrText>
        </w:r>
        <w:r w:rsidR="009E1F29">
          <w:rPr>
            <w:webHidden/>
          </w:rPr>
        </w:r>
        <w:r w:rsidR="009E1F29">
          <w:rPr>
            <w:webHidden/>
          </w:rPr>
          <w:fldChar w:fldCharType="separate"/>
        </w:r>
        <w:r w:rsidR="009E1F29">
          <w:rPr>
            <w:webHidden/>
          </w:rPr>
          <w:t>5-7</w:t>
        </w:r>
        <w:r w:rsidR="009E1F29">
          <w:rPr>
            <w:webHidden/>
          </w:rPr>
          <w:fldChar w:fldCharType="end"/>
        </w:r>
      </w:hyperlink>
    </w:p>
    <w:p w14:paraId="2F9F106B" w14:textId="4375D2C5" w:rsidR="0019188C" w:rsidRPr="00B2059E" w:rsidRDefault="0019188C" w:rsidP="00E26EBD">
      <w:pPr>
        <w:pStyle w:val="TableofFigures"/>
        <w:rPr>
          <w:b/>
          <w:bCs/>
          <w:sz w:val="26"/>
          <w:szCs w:val="26"/>
        </w:rPr>
      </w:pPr>
      <w:r>
        <w:rPr>
          <w:b/>
          <w:bCs/>
          <w:sz w:val="26"/>
          <w:szCs w:val="26"/>
        </w:rPr>
        <w:fldChar w:fldCharType="end"/>
      </w:r>
    </w:p>
    <w:p w14:paraId="548922A9" w14:textId="77777777" w:rsidR="004F6DDF" w:rsidRDefault="004F6DDF">
      <w:pPr>
        <w:widowControl/>
        <w:suppressAutoHyphens w:val="0"/>
        <w:autoSpaceDE/>
        <w:autoSpaceDN/>
        <w:adjustRightInd/>
        <w:spacing w:line="259" w:lineRule="auto"/>
        <w:jc w:val="left"/>
        <w:textAlignment w:val="auto"/>
        <w:rPr>
          <w:color w:val="000000" w:themeColor="text1"/>
        </w:rPr>
        <w:sectPr w:rsidR="004F6DDF" w:rsidSect="00031D1D">
          <w:headerReference w:type="even" r:id="rId41"/>
          <w:headerReference w:type="default" r:id="rId42"/>
          <w:headerReference w:type="first" r:id="rId43"/>
          <w:pgSz w:w="12240" w:h="15840" w:code="1"/>
          <w:pgMar w:top="1440" w:right="1440" w:bottom="1152" w:left="1440" w:header="720" w:footer="576" w:gutter="0"/>
          <w:pgNumType w:fmt="lowerRoman"/>
          <w:cols w:space="720"/>
          <w:titlePg/>
        </w:sectPr>
      </w:pPr>
    </w:p>
    <w:p w14:paraId="01F10697" w14:textId="6EB87A6B" w:rsidR="00663879" w:rsidRPr="004C0E95" w:rsidRDefault="00663879" w:rsidP="00AA759F">
      <w:pPr>
        <w:pStyle w:val="Heading1"/>
        <w:numPr>
          <w:ilvl w:val="0"/>
          <w:numId w:val="0"/>
        </w:numPr>
      </w:pPr>
      <w:bookmarkStart w:id="1" w:name="_Toc114474703"/>
      <w:bookmarkStart w:id="2" w:name="_Toc114488055"/>
      <w:bookmarkStart w:id="3" w:name="_Toc118205540"/>
      <w:r w:rsidRPr="004C0E95">
        <w:lastRenderedPageBreak/>
        <w:t>Acronyms and Definitions</w:t>
      </w:r>
      <w:bookmarkEnd w:id="1"/>
      <w:bookmarkEnd w:id="2"/>
      <w:bookmarkEnd w:id="3"/>
    </w:p>
    <w:tbl>
      <w:tblPr>
        <w:tblStyle w:val="TMGTable10"/>
        <w:tblW w:w="9504" w:type="dxa"/>
        <w:tblLook w:val="04A0" w:firstRow="1" w:lastRow="0" w:firstColumn="1" w:lastColumn="0" w:noHBand="0" w:noVBand="1"/>
      </w:tblPr>
      <w:tblGrid>
        <w:gridCol w:w="1736"/>
        <w:gridCol w:w="7768"/>
      </w:tblGrid>
      <w:tr w:rsidR="00564C5E" w:rsidRPr="00E27E9A" w14:paraId="55BD8742" w14:textId="77777777" w:rsidTr="00701BE1">
        <w:trPr>
          <w:cnfStyle w:val="100000000000" w:firstRow="1" w:lastRow="0" w:firstColumn="0" w:lastColumn="0" w:oddVBand="0" w:evenVBand="0" w:oddHBand="0" w:evenHBand="0" w:firstRowFirstColumn="0" w:firstRowLastColumn="0" w:lastRowFirstColumn="0" w:lastRowLastColumn="0"/>
          <w:trHeight w:val="33"/>
        </w:trPr>
        <w:tc>
          <w:tcPr>
            <w:tcW w:w="1710" w:type="dxa"/>
            <w:hideMark/>
          </w:tcPr>
          <w:p w14:paraId="3C71C6C0" w14:textId="667555D1" w:rsidR="00564C5E" w:rsidRPr="00701BE1" w:rsidRDefault="00564C5E" w:rsidP="00CE51D9">
            <w:pPr>
              <w:pStyle w:val="Heading11"/>
              <w:spacing w:after="120" w:line="240" w:lineRule="auto"/>
              <w:jc w:val="left"/>
              <w:rPr>
                <w:rFonts w:asciiTheme="minorHAnsi" w:hAnsiTheme="minorHAnsi" w:cstheme="minorHAnsi"/>
                <w:b/>
                <w:bCs w:val="0"/>
                <w:color w:val="FFFFFF" w:themeColor="background1"/>
                <w:sz w:val="24"/>
                <w:szCs w:val="24"/>
              </w:rPr>
            </w:pPr>
            <w:bookmarkStart w:id="4" w:name="_Toc76049062"/>
            <w:bookmarkStart w:id="5" w:name="_Toc114474704"/>
            <w:r w:rsidRPr="00701BE1">
              <w:rPr>
                <w:rFonts w:asciiTheme="minorHAnsi" w:hAnsiTheme="minorHAnsi" w:cstheme="minorHAnsi"/>
                <w:b/>
                <w:bCs w:val="0"/>
                <w:color w:val="FFFFFF" w:themeColor="background1"/>
                <w:sz w:val="24"/>
                <w:szCs w:val="24"/>
              </w:rPr>
              <w:t>Acronym</w:t>
            </w:r>
            <w:bookmarkEnd w:id="4"/>
            <w:bookmarkEnd w:id="5"/>
          </w:p>
        </w:tc>
        <w:tc>
          <w:tcPr>
            <w:tcW w:w="7650" w:type="dxa"/>
            <w:hideMark/>
          </w:tcPr>
          <w:p w14:paraId="73E2900F" w14:textId="77777777" w:rsidR="00564C5E" w:rsidRPr="00701BE1" w:rsidRDefault="00564C5E" w:rsidP="00CE51D9">
            <w:pPr>
              <w:pStyle w:val="Heading11"/>
              <w:spacing w:after="120" w:line="240" w:lineRule="auto"/>
              <w:jc w:val="left"/>
              <w:rPr>
                <w:rFonts w:asciiTheme="minorHAnsi" w:hAnsiTheme="minorHAnsi" w:cstheme="minorHAnsi"/>
                <w:b/>
                <w:bCs w:val="0"/>
                <w:color w:val="FFFFFF" w:themeColor="background1"/>
                <w:sz w:val="24"/>
                <w:szCs w:val="24"/>
              </w:rPr>
            </w:pPr>
            <w:bookmarkStart w:id="6" w:name="_Toc76042257"/>
            <w:bookmarkStart w:id="7" w:name="_Toc76047607"/>
            <w:bookmarkStart w:id="8" w:name="_Toc76049063"/>
            <w:bookmarkStart w:id="9" w:name="_Toc114474705"/>
            <w:r w:rsidRPr="00701BE1">
              <w:rPr>
                <w:rFonts w:asciiTheme="minorHAnsi" w:hAnsiTheme="minorHAnsi" w:cstheme="minorHAnsi"/>
                <w:b/>
                <w:bCs w:val="0"/>
                <w:color w:val="FFFFFF" w:themeColor="background1"/>
                <w:sz w:val="24"/>
                <w:szCs w:val="24"/>
              </w:rPr>
              <w:t>Definition</w:t>
            </w:r>
            <w:bookmarkEnd w:id="6"/>
            <w:bookmarkEnd w:id="7"/>
            <w:bookmarkEnd w:id="8"/>
            <w:bookmarkEnd w:id="9"/>
          </w:p>
        </w:tc>
      </w:tr>
      <w:tr w:rsidR="00564C5E" w:rsidRPr="008339A7" w14:paraId="52A3D50B" w14:textId="77777777" w:rsidTr="00701BE1">
        <w:trPr>
          <w:trHeight w:val="71"/>
        </w:trPr>
        <w:tc>
          <w:tcPr>
            <w:tcW w:w="1710" w:type="dxa"/>
            <w:noWrap/>
            <w:hideMark/>
          </w:tcPr>
          <w:p w14:paraId="62FAD9E6" w14:textId="77777777" w:rsidR="00564C5E" w:rsidRPr="008339A7" w:rsidRDefault="00564C5E" w:rsidP="00CE51D9">
            <w:pPr>
              <w:spacing w:after="120"/>
              <w:jc w:val="left"/>
            </w:pPr>
            <w:r w:rsidRPr="008339A7">
              <w:t>3S2</w:t>
            </w:r>
          </w:p>
        </w:tc>
        <w:tc>
          <w:tcPr>
            <w:tcW w:w="7650" w:type="dxa"/>
            <w:noWrap/>
            <w:hideMark/>
          </w:tcPr>
          <w:p w14:paraId="4C862E1C" w14:textId="77777777" w:rsidR="00564C5E" w:rsidRPr="008339A7" w:rsidRDefault="00564C5E" w:rsidP="00CE51D9">
            <w:pPr>
              <w:spacing w:after="120"/>
              <w:ind w:left="37"/>
              <w:jc w:val="left"/>
            </w:pPr>
            <w:r w:rsidRPr="008339A7">
              <w:t>3-axle tractor with a 2-axle semi-trailer</w:t>
            </w:r>
          </w:p>
        </w:tc>
      </w:tr>
      <w:tr w:rsidR="00564C5E" w:rsidRPr="008339A7" w14:paraId="3522F13D" w14:textId="77777777" w:rsidTr="00701BE1">
        <w:trPr>
          <w:trHeight w:val="23"/>
        </w:trPr>
        <w:tc>
          <w:tcPr>
            <w:tcW w:w="1710" w:type="dxa"/>
            <w:noWrap/>
            <w:hideMark/>
          </w:tcPr>
          <w:p w14:paraId="7230DDE9" w14:textId="216E3A29" w:rsidR="00564C5E" w:rsidRPr="008339A7" w:rsidRDefault="00564C5E" w:rsidP="00CE51D9">
            <w:pPr>
              <w:spacing w:after="120"/>
              <w:jc w:val="left"/>
            </w:pPr>
            <w:r w:rsidRPr="008339A7">
              <w:t>AADT</w:t>
            </w:r>
          </w:p>
        </w:tc>
        <w:tc>
          <w:tcPr>
            <w:tcW w:w="7650" w:type="dxa"/>
            <w:noWrap/>
            <w:hideMark/>
          </w:tcPr>
          <w:p w14:paraId="57BE2875" w14:textId="77777777" w:rsidR="00564C5E" w:rsidRPr="008339A7" w:rsidRDefault="00564C5E" w:rsidP="00CE51D9">
            <w:pPr>
              <w:spacing w:after="120"/>
              <w:ind w:left="37"/>
              <w:jc w:val="left"/>
            </w:pPr>
            <w:r w:rsidRPr="008339A7">
              <w:t>Annual Average Daily Traffic</w:t>
            </w:r>
          </w:p>
        </w:tc>
      </w:tr>
      <w:tr w:rsidR="00564C5E" w:rsidRPr="008339A7" w14:paraId="1CE561FA" w14:textId="77777777" w:rsidTr="00701BE1">
        <w:trPr>
          <w:trHeight w:val="23"/>
        </w:trPr>
        <w:tc>
          <w:tcPr>
            <w:tcW w:w="1710" w:type="dxa"/>
            <w:noWrap/>
            <w:hideMark/>
          </w:tcPr>
          <w:p w14:paraId="188D77BF" w14:textId="77777777" w:rsidR="00564C5E" w:rsidRPr="008339A7" w:rsidRDefault="00564C5E" w:rsidP="00CE51D9">
            <w:pPr>
              <w:spacing w:after="120"/>
              <w:jc w:val="left"/>
            </w:pPr>
            <w:r w:rsidRPr="008339A7">
              <w:t>AADBT</w:t>
            </w:r>
          </w:p>
        </w:tc>
        <w:tc>
          <w:tcPr>
            <w:tcW w:w="7650" w:type="dxa"/>
            <w:noWrap/>
            <w:hideMark/>
          </w:tcPr>
          <w:p w14:paraId="063791EA" w14:textId="17B668AE" w:rsidR="00564C5E" w:rsidRPr="008339A7" w:rsidRDefault="00564C5E" w:rsidP="00CE51D9">
            <w:pPr>
              <w:spacing w:after="120"/>
              <w:ind w:left="37"/>
              <w:jc w:val="left"/>
            </w:pPr>
            <w:r w:rsidRPr="008339A7">
              <w:t>Annual Average Daily Bicycle Traffic</w:t>
            </w:r>
          </w:p>
        </w:tc>
      </w:tr>
      <w:tr w:rsidR="00564C5E" w:rsidRPr="008339A7" w14:paraId="55D0790C" w14:textId="77777777" w:rsidTr="00701BE1">
        <w:trPr>
          <w:trHeight w:val="300"/>
        </w:trPr>
        <w:tc>
          <w:tcPr>
            <w:tcW w:w="1710" w:type="dxa"/>
            <w:noWrap/>
            <w:hideMark/>
          </w:tcPr>
          <w:p w14:paraId="26EC6E7E" w14:textId="77777777" w:rsidR="00564C5E" w:rsidRPr="008339A7" w:rsidRDefault="00564C5E" w:rsidP="00CE51D9">
            <w:pPr>
              <w:spacing w:after="120"/>
              <w:jc w:val="left"/>
            </w:pPr>
            <w:r w:rsidRPr="008339A7">
              <w:t>AADNT</w:t>
            </w:r>
          </w:p>
        </w:tc>
        <w:tc>
          <w:tcPr>
            <w:tcW w:w="7650" w:type="dxa"/>
            <w:noWrap/>
            <w:hideMark/>
          </w:tcPr>
          <w:p w14:paraId="575793DD" w14:textId="4BDAA624" w:rsidR="00564C5E" w:rsidRPr="008339A7" w:rsidRDefault="00564C5E" w:rsidP="00CE51D9">
            <w:pPr>
              <w:spacing w:after="120"/>
              <w:ind w:left="37"/>
              <w:jc w:val="left"/>
            </w:pPr>
            <w:r w:rsidRPr="008339A7">
              <w:t>Annual Average Daily Nonmotorized Traffic</w:t>
            </w:r>
          </w:p>
        </w:tc>
      </w:tr>
      <w:tr w:rsidR="00564C5E" w:rsidRPr="008339A7" w14:paraId="2A147D62" w14:textId="77777777" w:rsidTr="00701BE1">
        <w:trPr>
          <w:trHeight w:val="300"/>
        </w:trPr>
        <w:tc>
          <w:tcPr>
            <w:tcW w:w="1710" w:type="dxa"/>
            <w:noWrap/>
            <w:hideMark/>
          </w:tcPr>
          <w:p w14:paraId="39C0B38D" w14:textId="77777777" w:rsidR="00564C5E" w:rsidRPr="008339A7" w:rsidRDefault="00564C5E" w:rsidP="00CE51D9">
            <w:pPr>
              <w:spacing w:after="120"/>
              <w:jc w:val="left"/>
            </w:pPr>
            <w:r w:rsidRPr="008339A7">
              <w:t>AADPT</w:t>
            </w:r>
          </w:p>
        </w:tc>
        <w:tc>
          <w:tcPr>
            <w:tcW w:w="7650" w:type="dxa"/>
            <w:noWrap/>
            <w:hideMark/>
          </w:tcPr>
          <w:p w14:paraId="30B4FB2B" w14:textId="23C66EB1" w:rsidR="00564C5E" w:rsidRPr="008339A7" w:rsidRDefault="00564C5E" w:rsidP="00CE51D9">
            <w:pPr>
              <w:spacing w:after="120"/>
              <w:ind w:left="37"/>
              <w:jc w:val="left"/>
            </w:pPr>
            <w:r w:rsidRPr="008339A7">
              <w:t>Annual Average Daily Pedestrian Traffic</w:t>
            </w:r>
          </w:p>
        </w:tc>
      </w:tr>
      <w:tr w:rsidR="00564C5E" w:rsidRPr="008339A7" w14:paraId="202207D1" w14:textId="77777777" w:rsidTr="00701BE1">
        <w:trPr>
          <w:trHeight w:val="300"/>
        </w:trPr>
        <w:tc>
          <w:tcPr>
            <w:tcW w:w="1710" w:type="dxa"/>
            <w:noWrap/>
            <w:hideMark/>
          </w:tcPr>
          <w:p w14:paraId="6F1AED7E" w14:textId="77777777" w:rsidR="00564C5E" w:rsidRPr="008339A7" w:rsidRDefault="00564C5E" w:rsidP="00CE51D9">
            <w:pPr>
              <w:spacing w:after="120"/>
              <w:jc w:val="left"/>
            </w:pPr>
            <w:r w:rsidRPr="008339A7">
              <w:t>AADTT</w:t>
            </w:r>
          </w:p>
        </w:tc>
        <w:tc>
          <w:tcPr>
            <w:tcW w:w="7650" w:type="dxa"/>
            <w:noWrap/>
            <w:hideMark/>
          </w:tcPr>
          <w:p w14:paraId="7715F341" w14:textId="77777777" w:rsidR="00564C5E" w:rsidRPr="008339A7" w:rsidRDefault="00564C5E" w:rsidP="00CE51D9">
            <w:pPr>
              <w:spacing w:after="120"/>
              <w:ind w:left="37"/>
              <w:jc w:val="left"/>
            </w:pPr>
            <w:r w:rsidRPr="008339A7">
              <w:t>Annual Average Daily Truck Traffic</w:t>
            </w:r>
          </w:p>
        </w:tc>
      </w:tr>
      <w:tr w:rsidR="00564C5E" w:rsidRPr="008339A7" w14:paraId="41108DAF" w14:textId="77777777" w:rsidTr="00701BE1">
        <w:trPr>
          <w:trHeight w:val="71"/>
        </w:trPr>
        <w:tc>
          <w:tcPr>
            <w:tcW w:w="1710" w:type="dxa"/>
            <w:noWrap/>
            <w:hideMark/>
          </w:tcPr>
          <w:p w14:paraId="54929280" w14:textId="77777777" w:rsidR="00564C5E" w:rsidRPr="008339A7" w:rsidRDefault="00564C5E" w:rsidP="00CE51D9">
            <w:pPr>
              <w:spacing w:after="120"/>
              <w:jc w:val="left"/>
            </w:pPr>
            <w:r w:rsidRPr="008339A7">
              <w:t>AASHTO</w:t>
            </w:r>
          </w:p>
        </w:tc>
        <w:tc>
          <w:tcPr>
            <w:tcW w:w="7650" w:type="dxa"/>
            <w:noWrap/>
            <w:hideMark/>
          </w:tcPr>
          <w:p w14:paraId="160B0D79" w14:textId="77777777" w:rsidR="00564C5E" w:rsidRPr="008339A7" w:rsidRDefault="00564C5E" w:rsidP="00CE51D9">
            <w:pPr>
              <w:spacing w:after="120"/>
              <w:ind w:left="37"/>
              <w:jc w:val="left"/>
            </w:pPr>
            <w:r w:rsidRPr="008339A7">
              <w:t>American Association of State Highway and Transportation Officials</w:t>
            </w:r>
          </w:p>
        </w:tc>
      </w:tr>
      <w:tr w:rsidR="00564C5E" w:rsidRPr="008339A7" w14:paraId="034899BF" w14:textId="77777777" w:rsidTr="00701BE1">
        <w:trPr>
          <w:trHeight w:val="300"/>
        </w:trPr>
        <w:tc>
          <w:tcPr>
            <w:tcW w:w="1710" w:type="dxa"/>
            <w:noWrap/>
            <w:hideMark/>
          </w:tcPr>
          <w:p w14:paraId="33184B4A" w14:textId="77777777" w:rsidR="00564C5E" w:rsidRPr="008339A7" w:rsidRDefault="00564C5E" w:rsidP="00CE51D9">
            <w:pPr>
              <w:spacing w:after="120"/>
              <w:jc w:val="left"/>
            </w:pPr>
            <w:r w:rsidRPr="008339A7">
              <w:t>AAWDT</w:t>
            </w:r>
          </w:p>
        </w:tc>
        <w:tc>
          <w:tcPr>
            <w:tcW w:w="7650" w:type="dxa"/>
            <w:noWrap/>
            <w:hideMark/>
          </w:tcPr>
          <w:p w14:paraId="460D321F" w14:textId="77777777" w:rsidR="00564C5E" w:rsidRPr="008339A7" w:rsidRDefault="00564C5E" w:rsidP="00CE51D9">
            <w:pPr>
              <w:spacing w:after="120"/>
              <w:ind w:left="37"/>
              <w:jc w:val="left"/>
            </w:pPr>
            <w:r w:rsidRPr="008339A7">
              <w:t>Annual Average Weekday Traffic</w:t>
            </w:r>
          </w:p>
        </w:tc>
      </w:tr>
      <w:tr w:rsidR="00564C5E" w:rsidRPr="008339A7" w14:paraId="1F06B68C" w14:textId="77777777" w:rsidTr="00701BE1">
        <w:trPr>
          <w:trHeight w:val="300"/>
        </w:trPr>
        <w:tc>
          <w:tcPr>
            <w:tcW w:w="1710" w:type="dxa"/>
            <w:noWrap/>
            <w:hideMark/>
          </w:tcPr>
          <w:p w14:paraId="133ED6A2" w14:textId="77777777" w:rsidR="00564C5E" w:rsidRPr="008339A7" w:rsidRDefault="00564C5E" w:rsidP="00CE51D9">
            <w:pPr>
              <w:spacing w:after="120"/>
              <w:jc w:val="left"/>
            </w:pPr>
            <w:r w:rsidRPr="008339A7">
              <w:t>ADMS</w:t>
            </w:r>
          </w:p>
        </w:tc>
        <w:tc>
          <w:tcPr>
            <w:tcW w:w="7650" w:type="dxa"/>
            <w:noWrap/>
            <w:hideMark/>
          </w:tcPr>
          <w:p w14:paraId="6CBCB8B4" w14:textId="77777777" w:rsidR="00564C5E" w:rsidRPr="008339A7" w:rsidRDefault="00564C5E" w:rsidP="00CE51D9">
            <w:pPr>
              <w:spacing w:after="120"/>
              <w:ind w:left="37"/>
              <w:jc w:val="left"/>
            </w:pPr>
            <w:r w:rsidRPr="008339A7">
              <w:t>Archived Data Management System</w:t>
            </w:r>
          </w:p>
        </w:tc>
      </w:tr>
      <w:tr w:rsidR="00564C5E" w:rsidRPr="008339A7" w14:paraId="5B45CE26" w14:textId="77777777" w:rsidTr="00701BE1">
        <w:trPr>
          <w:trHeight w:val="300"/>
        </w:trPr>
        <w:tc>
          <w:tcPr>
            <w:tcW w:w="1710" w:type="dxa"/>
            <w:noWrap/>
            <w:hideMark/>
          </w:tcPr>
          <w:p w14:paraId="5F95D4BA" w14:textId="77777777" w:rsidR="00564C5E" w:rsidRPr="008339A7" w:rsidRDefault="00564C5E" w:rsidP="00CE51D9">
            <w:pPr>
              <w:spacing w:after="120"/>
              <w:jc w:val="left"/>
            </w:pPr>
            <w:r w:rsidRPr="008339A7">
              <w:t>ADT</w:t>
            </w:r>
          </w:p>
        </w:tc>
        <w:tc>
          <w:tcPr>
            <w:tcW w:w="7650" w:type="dxa"/>
            <w:noWrap/>
            <w:hideMark/>
          </w:tcPr>
          <w:p w14:paraId="120EC26F" w14:textId="77777777" w:rsidR="00564C5E" w:rsidRPr="008339A7" w:rsidRDefault="00564C5E" w:rsidP="00CE51D9">
            <w:pPr>
              <w:spacing w:after="120"/>
              <w:ind w:left="37"/>
              <w:jc w:val="left"/>
            </w:pPr>
            <w:r w:rsidRPr="008339A7">
              <w:t>Average Daily Traffic</w:t>
            </w:r>
          </w:p>
        </w:tc>
      </w:tr>
      <w:tr w:rsidR="00564C5E" w:rsidRPr="008339A7" w14:paraId="424A8E25" w14:textId="77777777" w:rsidTr="00701BE1">
        <w:trPr>
          <w:trHeight w:val="300"/>
        </w:trPr>
        <w:tc>
          <w:tcPr>
            <w:tcW w:w="1710" w:type="dxa"/>
            <w:noWrap/>
            <w:hideMark/>
          </w:tcPr>
          <w:p w14:paraId="20027FFE" w14:textId="77777777" w:rsidR="00564C5E" w:rsidRPr="008339A7" w:rsidRDefault="00564C5E" w:rsidP="00CE51D9">
            <w:pPr>
              <w:spacing w:after="120"/>
              <w:jc w:val="left"/>
            </w:pPr>
            <w:r w:rsidRPr="008339A7">
              <w:t>ADUS</w:t>
            </w:r>
          </w:p>
        </w:tc>
        <w:tc>
          <w:tcPr>
            <w:tcW w:w="7650" w:type="dxa"/>
            <w:noWrap/>
            <w:hideMark/>
          </w:tcPr>
          <w:p w14:paraId="1AF4F43D" w14:textId="77777777" w:rsidR="00564C5E" w:rsidRPr="008339A7" w:rsidRDefault="00564C5E" w:rsidP="00CE51D9">
            <w:pPr>
              <w:spacing w:after="120"/>
              <w:ind w:left="37"/>
              <w:jc w:val="left"/>
            </w:pPr>
            <w:r w:rsidRPr="008339A7">
              <w:t>Archived Data User Service</w:t>
            </w:r>
          </w:p>
        </w:tc>
      </w:tr>
      <w:tr w:rsidR="00564C5E" w:rsidRPr="008339A7" w14:paraId="0C335FDF" w14:textId="77777777" w:rsidTr="00701BE1">
        <w:trPr>
          <w:trHeight w:val="300"/>
        </w:trPr>
        <w:tc>
          <w:tcPr>
            <w:tcW w:w="1710" w:type="dxa"/>
            <w:noWrap/>
            <w:hideMark/>
          </w:tcPr>
          <w:p w14:paraId="413BEDF2" w14:textId="77777777" w:rsidR="00564C5E" w:rsidRPr="008339A7" w:rsidRDefault="00564C5E" w:rsidP="00CE51D9">
            <w:pPr>
              <w:spacing w:after="120"/>
              <w:jc w:val="left"/>
            </w:pPr>
            <w:r w:rsidRPr="008339A7">
              <w:t>APTS</w:t>
            </w:r>
          </w:p>
        </w:tc>
        <w:tc>
          <w:tcPr>
            <w:tcW w:w="7650" w:type="dxa"/>
            <w:noWrap/>
            <w:hideMark/>
          </w:tcPr>
          <w:p w14:paraId="332421D9" w14:textId="77777777" w:rsidR="00564C5E" w:rsidRPr="008339A7" w:rsidRDefault="00564C5E" w:rsidP="00CE51D9">
            <w:pPr>
              <w:spacing w:after="120"/>
              <w:ind w:left="37"/>
              <w:jc w:val="left"/>
            </w:pPr>
            <w:r w:rsidRPr="008339A7">
              <w:t>Advanced Public Transportation Systems</w:t>
            </w:r>
          </w:p>
        </w:tc>
      </w:tr>
      <w:tr w:rsidR="00564C5E" w:rsidRPr="008339A7" w14:paraId="0A41F151" w14:textId="77777777" w:rsidTr="00701BE1">
        <w:trPr>
          <w:trHeight w:val="300"/>
        </w:trPr>
        <w:tc>
          <w:tcPr>
            <w:tcW w:w="1710" w:type="dxa"/>
            <w:noWrap/>
            <w:hideMark/>
          </w:tcPr>
          <w:p w14:paraId="29F19FEA" w14:textId="77777777" w:rsidR="00564C5E" w:rsidRPr="008339A7" w:rsidRDefault="00564C5E" w:rsidP="00CE51D9">
            <w:pPr>
              <w:spacing w:after="120"/>
              <w:jc w:val="left"/>
            </w:pPr>
            <w:r w:rsidRPr="008339A7">
              <w:t>ARTS</w:t>
            </w:r>
          </w:p>
        </w:tc>
        <w:tc>
          <w:tcPr>
            <w:tcW w:w="7650" w:type="dxa"/>
            <w:noWrap/>
            <w:hideMark/>
          </w:tcPr>
          <w:p w14:paraId="3590ACCC" w14:textId="77777777" w:rsidR="00564C5E" w:rsidRPr="008339A7" w:rsidRDefault="00564C5E" w:rsidP="00CE51D9">
            <w:pPr>
              <w:spacing w:after="120"/>
              <w:ind w:left="37"/>
              <w:jc w:val="left"/>
            </w:pPr>
            <w:r w:rsidRPr="008339A7">
              <w:t>Advanced Rural Transportation Systems</w:t>
            </w:r>
          </w:p>
        </w:tc>
      </w:tr>
      <w:tr w:rsidR="00564C5E" w:rsidRPr="008339A7" w14:paraId="3438C4B1" w14:textId="77777777" w:rsidTr="00701BE1">
        <w:trPr>
          <w:trHeight w:val="300"/>
        </w:trPr>
        <w:tc>
          <w:tcPr>
            <w:tcW w:w="1710" w:type="dxa"/>
            <w:noWrap/>
            <w:hideMark/>
          </w:tcPr>
          <w:p w14:paraId="1ED376C9" w14:textId="77777777" w:rsidR="00564C5E" w:rsidRPr="008339A7" w:rsidRDefault="00564C5E" w:rsidP="00CE51D9">
            <w:pPr>
              <w:spacing w:after="120"/>
              <w:jc w:val="left"/>
            </w:pPr>
            <w:r w:rsidRPr="008339A7">
              <w:t>ASTM</w:t>
            </w:r>
          </w:p>
        </w:tc>
        <w:tc>
          <w:tcPr>
            <w:tcW w:w="7650" w:type="dxa"/>
            <w:noWrap/>
            <w:hideMark/>
          </w:tcPr>
          <w:p w14:paraId="3180C600" w14:textId="77777777" w:rsidR="00564C5E" w:rsidRPr="008339A7" w:rsidRDefault="00564C5E" w:rsidP="00CE51D9">
            <w:pPr>
              <w:spacing w:after="120"/>
              <w:ind w:left="37"/>
              <w:jc w:val="left"/>
            </w:pPr>
            <w:r w:rsidRPr="008339A7">
              <w:t>American Society for Testing and Materials</w:t>
            </w:r>
          </w:p>
        </w:tc>
      </w:tr>
      <w:tr w:rsidR="00564C5E" w:rsidRPr="008339A7" w14:paraId="7718F248" w14:textId="77777777" w:rsidTr="00701BE1">
        <w:trPr>
          <w:trHeight w:val="300"/>
        </w:trPr>
        <w:tc>
          <w:tcPr>
            <w:tcW w:w="1710" w:type="dxa"/>
            <w:noWrap/>
            <w:hideMark/>
          </w:tcPr>
          <w:p w14:paraId="00DE9A37" w14:textId="77777777" w:rsidR="00564C5E" w:rsidRPr="008339A7" w:rsidRDefault="00564C5E" w:rsidP="00CE51D9">
            <w:pPr>
              <w:spacing w:after="120"/>
              <w:jc w:val="left"/>
            </w:pPr>
            <w:r w:rsidRPr="008339A7">
              <w:t>ATIS</w:t>
            </w:r>
          </w:p>
        </w:tc>
        <w:tc>
          <w:tcPr>
            <w:tcW w:w="7650" w:type="dxa"/>
            <w:noWrap/>
            <w:hideMark/>
          </w:tcPr>
          <w:p w14:paraId="76CED046" w14:textId="77777777" w:rsidR="00564C5E" w:rsidRPr="008339A7" w:rsidRDefault="00564C5E" w:rsidP="00CE51D9">
            <w:pPr>
              <w:spacing w:after="120"/>
              <w:ind w:left="37"/>
              <w:jc w:val="left"/>
            </w:pPr>
            <w:r w:rsidRPr="008339A7">
              <w:t>Advanced Traveler Information System</w:t>
            </w:r>
          </w:p>
        </w:tc>
      </w:tr>
      <w:tr w:rsidR="00564C5E" w:rsidRPr="008339A7" w14:paraId="336748CA" w14:textId="77777777" w:rsidTr="00701BE1">
        <w:trPr>
          <w:trHeight w:val="300"/>
        </w:trPr>
        <w:tc>
          <w:tcPr>
            <w:tcW w:w="1710" w:type="dxa"/>
            <w:noWrap/>
            <w:hideMark/>
          </w:tcPr>
          <w:p w14:paraId="1313AC45" w14:textId="755C4BF6" w:rsidR="00564C5E" w:rsidRPr="008339A7" w:rsidRDefault="00564C5E" w:rsidP="00CE51D9">
            <w:pPr>
              <w:spacing w:after="120"/>
              <w:jc w:val="left"/>
            </w:pPr>
            <w:r w:rsidRPr="008339A7">
              <w:t>ATS</w:t>
            </w:r>
          </w:p>
        </w:tc>
        <w:tc>
          <w:tcPr>
            <w:tcW w:w="7650" w:type="dxa"/>
            <w:noWrap/>
            <w:hideMark/>
          </w:tcPr>
          <w:p w14:paraId="74C48D22" w14:textId="77777777" w:rsidR="00564C5E" w:rsidRPr="008339A7" w:rsidRDefault="00564C5E" w:rsidP="00CE51D9">
            <w:pPr>
              <w:spacing w:after="120"/>
              <w:ind w:left="37"/>
              <w:jc w:val="left"/>
            </w:pPr>
            <w:r w:rsidRPr="008339A7">
              <w:t>Average Tandem Spacing</w:t>
            </w:r>
          </w:p>
        </w:tc>
      </w:tr>
      <w:tr w:rsidR="00564C5E" w:rsidRPr="008339A7" w14:paraId="499EEF6E" w14:textId="77777777" w:rsidTr="00701BE1">
        <w:trPr>
          <w:trHeight w:val="300"/>
        </w:trPr>
        <w:tc>
          <w:tcPr>
            <w:tcW w:w="1710" w:type="dxa"/>
            <w:noWrap/>
            <w:hideMark/>
          </w:tcPr>
          <w:p w14:paraId="1C60358B" w14:textId="77777777" w:rsidR="00564C5E" w:rsidRPr="008339A7" w:rsidRDefault="00564C5E" w:rsidP="00CE51D9">
            <w:pPr>
              <w:spacing w:after="120"/>
              <w:jc w:val="left"/>
            </w:pPr>
            <w:r w:rsidRPr="008339A7">
              <w:t>ATMS</w:t>
            </w:r>
          </w:p>
        </w:tc>
        <w:tc>
          <w:tcPr>
            <w:tcW w:w="7650" w:type="dxa"/>
            <w:noWrap/>
            <w:hideMark/>
          </w:tcPr>
          <w:p w14:paraId="31F2C5E7" w14:textId="77777777" w:rsidR="00564C5E" w:rsidRPr="008339A7" w:rsidRDefault="00564C5E" w:rsidP="00CE51D9">
            <w:pPr>
              <w:spacing w:after="120"/>
              <w:ind w:left="37"/>
              <w:jc w:val="left"/>
            </w:pPr>
            <w:r w:rsidRPr="008339A7">
              <w:t>Advanced Traffic Management System</w:t>
            </w:r>
          </w:p>
        </w:tc>
      </w:tr>
      <w:tr w:rsidR="00564C5E" w:rsidRPr="008339A7" w14:paraId="7A4412ED" w14:textId="77777777" w:rsidTr="00701BE1">
        <w:trPr>
          <w:trHeight w:val="300"/>
        </w:trPr>
        <w:tc>
          <w:tcPr>
            <w:tcW w:w="1710" w:type="dxa"/>
            <w:noWrap/>
            <w:hideMark/>
          </w:tcPr>
          <w:p w14:paraId="715437DC" w14:textId="77777777" w:rsidR="00564C5E" w:rsidRPr="008339A7" w:rsidRDefault="00564C5E" w:rsidP="00CE51D9">
            <w:pPr>
              <w:spacing w:after="120"/>
              <w:jc w:val="left"/>
            </w:pPr>
            <w:r w:rsidRPr="008339A7">
              <w:t>ATR</w:t>
            </w:r>
          </w:p>
        </w:tc>
        <w:tc>
          <w:tcPr>
            <w:tcW w:w="7650" w:type="dxa"/>
            <w:noWrap/>
            <w:hideMark/>
          </w:tcPr>
          <w:p w14:paraId="46EFD826" w14:textId="77777777" w:rsidR="00564C5E" w:rsidRPr="008339A7" w:rsidRDefault="00564C5E" w:rsidP="00CE51D9">
            <w:pPr>
              <w:spacing w:after="120"/>
              <w:ind w:left="37"/>
              <w:jc w:val="left"/>
            </w:pPr>
            <w:r w:rsidRPr="008339A7">
              <w:t>Automated Traffic Recorder</w:t>
            </w:r>
          </w:p>
        </w:tc>
      </w:tr>
      <w:tr w:rsidR="00564C5E" w:rsidRPr="008339A7" w14:paraId="3A2EDEEE" w14:textId="77777777" w:rsidTr="00701BE1">
        <w:trPr>
          <w:trHeight w:val="300"/>
        </w:trPr>
        <w:tc>
          <w:tcPr>
            <w:tcW w:w="1710" w:type="dxa"/>
            <w:noWrap/>
            <w:hideMark/>
          </w:tcPr>
          <w:p w14:paraId="2097083C" w14:textId="77777777" w:rsidR="00564C5E" w:rsidRPr="008339A7" w:rsidRDefault="00564C5E" w:rsidP="00CE51D9">
            <w:pPr>
              <w:spacing w:after="120"/>
              <w:jc w:val="left"/>
            </w:pPr>
            <w:r w:rsidRPr="008339A7">
              <w:t>AVC</w:t>
            </w:r>
          </w:p>
        </w:tc>
        <w:tc>
          <w:tcPr>
            <w:tcW w:w="7650" w:type="dxa"/>
            <w:noWrap/>
            <w:hideMark/>
          </w:tcPr>
          <w:p w14:paraId="5D239C45" w14:textId="77777777" w:rsidR="00564C5E" w:rsidRPr="008339A7" w:rsidRDefault="00564C5E" w:rsidP="00CE51D9">
            <w:pPr>
              <w:spacing w:after="120"/>
              <w:ind w:left="37"/>
              <w:jc w:val="left"/>
            </w:pPr>
            <w:r w:rsidRPr="70EA9535">
              <w:rPr>
                <w:color w:val="000000" w:themeColor="text1"/>
              </w:rPr>
              <w:t xml:space="preserve">Automated Vehicle Classifier </w:t>
            </w:r>
          </w:p>
        </w:tc>
      </w:tr>
      <w:tr w:rsidR="00564C5E" w:rsidRPr="008339A7" w14:paraId="61F1419B" w14:textId="77777777" w:rsidTr="00701BE1">
        <w:trPr>
          <w:trHeight w:val="300"/>
        </w:trPr>
        <w:tc>
          <w:tcPr>
            <w:tcW w:w="1710" w:type="dxa"/>
            <w:noWrap/>
            <w:hideMark/>
          </w:tcPr>
          <w:p w14:paraId="332B1E76" w14:textId="77777777" w:rsidR="00564C5E" w:rsidRPr="008339A7" w:rsidRDefault="00564C5E" w:rsidP="00CE51D9">
            <w:pPr>
              <w:spacing w:after="120"/>
              <w:jc w:val="left"/>
            </w:pPr>
            <w:r w:rsidRPr="008339A7">
              <w:t>AVDT</w:t>
            </w:r>
          </w:p>
        </w:tc>
        <w:tc>
          <w:tcPr>
            <w:tcW w:w="7650" w:type="dxa"/>
            <w:noWrap/>
            <w:hideMark/>
          </w:tcPr>
          <w:p w14:paraId="183C7215" w14:textId="77777777" w:rsidR="00564C5E" w:rsidRPr="008339A7" w:rsidRDefault="00564C5E" w:rsidP="00CE51D9">
            <w:pPr>
              <w:spacing w:after="120"/>
              <w:ind w:left="37"/>
              <w:jc w:val="left"/>
            </w:pPr>
            <w:r w:rsidRPr="008339A7">
              <w:t>Annual Vehicle Distance Traveled</w:t>
            </w:r>
          </w:p>
        </w:tc>
      </w:tr>
      <w:tr w:rsidR="00564C5E" w:rsidRPr="008339A7" w14:paraId="0D9B5F27" w14:textId="77777777" w:rsidTr="00701BE1">
        <w:trPr>
          <w:trHeight w:val="300"/>
        </w:trPr>
        <w:tc>
          <w:tcPr>
            <w:tcW w:w="1710" w:type="dxa"/>
            <w:noWrap/>
            <w:hideMark/>
          </w:tcPr>
          <w:p w14:paraId="7F6EB710" w14:textId="77777777" w:rsidR="00564C5E" w:rsidRPr="008339A7" w:rsidRDefault="00564C5E" w:rsidP="00CE51D9">
            <w:pPr>
              <w:spacing w:after="120"/>
              <w:jc w:val="left"/>
            </w:pPr>
            <w:r w:rsidRPr="008339A7">
              <w:t>BMS</w:t>
            </w:r>
          </w:p>
        </w:tc>
        <w:tc>
          <w:tcPr>
            <w:tcW w:w="7650" w:type="dxa"/>
            <w:noWrap/>
            <w:hideMark/>
          </w:tcPr>
          <w:p w14:paraId="5571E642" w14:textId="77777777" w:rsidR="00564C5E" w:rsidRPr="008339A7" w:rsidRDefault="00564C5E" w:rsidP="00CE51D9">
            <w:pPr>
              <w:spacing w:after="120"/>
              <w:ind w:left="37"/>
              <w:jc w:val="left"/>
            </w:pPr>
            <w:r w:rsidRPr="008339A7">
              <w:t>Bridge Management System</w:t>
            </w:r>
          </w:p>
        </w:tc>
      </w:tr>
      <w:tr w:rsidR="00564C5E" w:rsidRPr="008339A7" w14:paraId="099CD300" w14:textId="77777777" w:rsidTr="00701BE1">
        <w:trPr>
          <w:trHeight w:val="300"/>
        </w:trPr>
        <w:tc>
          <w:tcPr>
            <w:tcW w:w="1710" w:type="dxa"/>
            <w:noWrap/>
            <w:hideMark/>
          </w:tcPr>
          <w:p w14:paraId="1C9E013C" w14:textId="77777777" w:rsidR="00564C5E" w:rsidRPr="008339A7" w:rsidRDefault="00564C5E" w:rsidP="00CE51D9">
            <w:pPr>
              <w:spacing w:after="120"/>
              <w:jc w:val="left"/>
            </w:pPr>
            <w:r w:rsidRPr="008339A7">
              <w:t>CAAA</w:t>
            </w:r>
          </w:p>
        </w:tc>
        <w:tc>
          <w:tcPr>
            <w:tcW w:w="7650" w:type="dxa"/>
            <w:noWrap/>
            <w:hideMark/>
          </w:tcPr>
          <w:p w14:paraId="74A218C2" w14:textId="77777777" w:rsidR="00564C5E" w:rsidRPr="008339A7" w:rsidRDefault="00564C5E" w:rsidP="00CE51D9">
            <w:pPr>
              <w:spacing w:after="120"/>
              <w:ind w:left="37"/>
              <w:jc w:val="left"/>
            </w:pPr>
            <w:r w:rsidRPr="008339A7">
              <w:t>Clean Air Act Amendments (1990)</w:t>
            </w:r>
          </w:p>
        </w:tc>
      </w:tr>
      <w:tr w:rsidR="00564C5E" w:rsidRPr="008339A7" w14:paraId="04A2BB4A" w14:textId="77777777" w:rsidTr="00701BE1">
        <w:trPr>
          <w:trHeight w:val="300"/>
        </w:trPr>
        <w:tc>
          <w:tcPr>
            <w:tcW w:w="1710" w:type="dxa"/>
            <w:noWrap/>
            <w:hideMark/>
          </w:tcPr>
          <w:p w14:paraId="605758AD" w14:textId="77777777" w:rsidR="00564C5E" w:rsidRPr="008339A7" w:rsidRDefault="00564C5E" w:rsidP="00CE51D9">
            <w:pPr>
              <w:spacing w:after="120"/>
              <w:jc w:val="left"/>
            </w:pPr>
            <w:r w:rsidRPr="008339A7">
              <w:t>CCS</w:t>
            </w:r>
          </w:p>
        </w:tc>
        <w:tc>
          <w:tcPr>
            <w:tcW w:w="7650" w:type="dxa"/>
            <w:noWrap/>
            <w:hideMark/>
          </w:tcPr>
          <w:p w14:paraId="11F1CF19" w14:textId="77777777" w:rsidR="00564C5E" w:rsidRPr="008339A7" w:rsidRDefault="00564C5E" w:rsidP="00CE51D9">
            <w:pPr>
              <w:spacing w:after="120"/>
              <w:ind w:left="37"/>
              <w:jc w:val="left"/>
            </w:pPr>
            <w:r w:rsidRPr="008339A7">
              <w:t>Continuous Count Station</w:t>
            </w:r>
          </w:p>
        </w:tc>
      </w:tr>
      <w:tr w:rsidR="00564C5E" w:rsidRPr="008339A7" w14:paraId="64020A45" w14:textId="77777777" w:rsidTr="00701BE1">
        <w:trPr>
          <w:trHeight w:val="300"/>
        </w:trPr>
        <w:tc>
          <w:tcPr>
            <w:tcW w:w="1710" w:type="dxa"/>
            <w:noWrap/>
            <w:hideMark/>
          </w:tcPr>
          <w:p w14:paraId="71F7CB1D" w14:textId="77777777" w:rsidR="00564C5E" w:rsidRPr="008339A7" w:rsidRDefault="00564C5E" w:rsidP="00CE51D9">
            <w:pPr>
              <w:spacing w:after="120"/>
              <w:jc w:val="left"/>
            </w:pPr>
            <w:r w:rsidRPr="008339A7">
              <w:t>CFR</w:t>
            </w:r>
          </w:p>
        </w:tc>
        <w:tc>
          <w:tcPr>
            <w:tcW w:w="7650" w:type="dxa"/>
            <w:noWrap/>
            <w:hideMark/>
          </w:tcPr>
          <w:p w14:paraId="4A381171" w14:textId="77777777" w:rsidR="00564C5E" w:rsidRPr="008339A7" w:rsidRDefault="00564C5E" w:rsidP="00CE51D9">
            <w:pPr>
              <w:spacing w:after="120"/>
              <w:ind w:left="37"/>
              <w:jc w:val="left"/>
            </w:pPr>
            <w:r w:rsidRPr="008339A7">
              <w:t>Code of Federal Regulations</w:t>
            </w:r>
          </w:p>
        </w:tc>
      </w:tr>
      <w:tr w:rsidR="00564C5E" w:rsidRPr="008339A7" w14:paraId="2E526035" w14:textId="77777777" w:rsidTr="00701BE1">
        <w:trPr>
          <w:trHeight w:val="300"/>
        </w:trPr>
        <w:tc>
          <w:tcPr>
            <w:tcW w:w="1710" w:type="dxa"/>
            <w:noWrap/>
            <w:hideMark/>
          </w:tcPr>
          <w:p w14:paraId="3D50DA53" w14:textId="77777777" w:rsidR="00564C5E" w:rsidRPr="008339A7" w:rsidRDefault="00564C5E" w:rsidP="00CE51D9">
            <w:pPr>
              <w:spacing w:after="120"/>
              <w:jc w:val="left"/>
            </w:pPr>
            <w:r w:rsidRPr="008339A7">
              <w:t>CMS</w:t>
            </w:r>
          </w:p>
        </w:tc>
        <w:tc>
          <w:tcPr>
            <w:tcW w:w="7650" w:type="dxa"/>
            <w:noWrap/>
            <w:hideMark/>
          </w:tcPr>
          <w:p w14:paraId="61D47326" w14:textId="77777777" w:rsidR="00564C5E" w:rsidRPr="008339A7" w:rsidRDefault="00564C5E" w:rsidP="00CE51D9">
            <w:pPr>
              <w:spacing w:after="120"/>
              <w:ind w:left="37"/>
              <w:jc w:val="left"/>
            </w:pPr>
            <w:r w:rsidRPr="008339A7">
              <w:t>Congestion Management System</w:t>
            </w:r>
          </w:p>
        </w:tc>
      </w:tr>
      <w:tr w:rsidR="00564C5E" w:rsidRPr="008339A7" w14:paraId="3D4D7586" w14:textId="77777777" w:rsidTr="00701BE1">
        <w:trPr>
          <w:trHeight w:val="300"/>
        </w:trPr>
        <w:tc>
          <w:tcPr>
            <w:tcW w:w="1710" w:type="dxa"/>
            <w:noWrap/>
            <w:hideMark/>
          </w:tcPr>
          <w:p w14:paraId="29419E35" w14:textId="77777777" w:rsidR="00564C5E" w:rsidRPr="008339A7" w:rsidRDefault="00564C5E" w:rsidP="00CE51D9">
            <w:pPr>
              <w:spacing w:after="120"/>
              <w:jc w:val="left"/>
            </w:pPr>
            <w:r w:rsidRPr="008339A7">
              <w:t>CVC</w:t>
            </w:r>
          </w:p>
        </w:tc>
        <w:tc>
          <w:tcPr>
            <w:tcW w:w="7650" w:type="dxa"/>
            <w:noWrap/>
            <w:hideMark/>
          </w:tcPr>
          <w:p w14:paraId="555F1FA2" w14:textId="77777777" w:rsidR="00564C5E" w:rsidRPr="008339A7" w:rsidRDefault="00564C5E" w:rsidP="00CE51D9">
            <w:pPr>
              <w:spacing w:after="120"/>
              <w:ind w:left="37"/>
              <w:jc w:val="left"/>
            </w:pPr>
            <w:r w:rsidRPr="008339A7">
              <w:t>Continuous Vehicle Classifier</w:t>
            </w:r>
          </w:p>
        </w:tc>
      </w:tr>
      <w:tr w:rsidR="00564C5E" w:rsidRPr="008339A7" w14:paraId="06680652" w14:textId="77777777" w:rsidTr="00701BE1">
        <w:trPr>
          <w:trHeight w:val="300"/>
        </w:trPr>
        <w:tc>
          <w:tcPr>
            <w:tcW w:w="1710" w:type="dxa"/>
            <w:noWrap/>
            <w:hideMark/>
          </w:tcPr>
          <w:p w14:paraId="5FA27031" w14:textId="77777777" w:rsidR="00564C5E" w:rsidRPr="008339A7" w:rsidRDefault="00564C5E" w:rsidP="00CE51D9">
            <w:pPr>
              <w:spacing w:after="120"/>
              <w:jc w:val="left"/>
            </w:pPr>
            <w:r w:rsidRPr="008339A7">
              <w:t>CVO</w:t>
            </w:r>
          </w:p>
        </w:tc>
        <w:tc>
          <w:tcPr>
            <w:tcW w:w="7650" w:type="dxa"/>
            <w:noWrap/>
            <w:hideMark/>
          </w:tcPr>
          <w:p w14:paraId="75B6F1D2" w14:textId="77777777" w:rsidR="00564C5E" w:rsidRPr="008339A7" w:rsidRDefault="00564C5E" w:rsidP="00CE51D9">
            <w:pPr>
              <w:spacing w:after="120"/>
              <w:ind w:left="37"/>
              <w:jc w:val="left"/>
            </w:pPr>
            <w:r w:rsidRPr="008339A7">
              <w:t>Commercial Vehicle Operations</w:t>
            </w:r>
          </w:p>
        </w:tc>
      </w:tr>
      <w:tr w:rsidR="00564C5E" w:rsidRPr="008339A7" w14:paraId="2A2E0D13" w14:textId="77777777" w:rsidTr="00701BE1">
        <w:trPr>
          <w:trHeight w:val="300"/>
        </w:trPr>
        <w:tc>
          <w:tcPr>
            <w:tcW w:w="1710" w:type="dxa"/>
            <w:noWrap/>
            <w:hideMark/>
          </w:tcPr>
          <w:p w14:paraId="5FC7232C" w14:textId="77777777" w:rsidR="00564C5E" w:rsidRPr="008339A7" w:rsidRDefault="00564C5E" w:rsidP="00CE51D9">
            <w:pPr>
              <w:spacing w:after="120"/>
              <w:jc w:val="left"/>
            </w:pPr>
            <w:r w:rsidRPr="008339A7">
              <w:t>DOT</w:t>
            </w:r>
          </w:p>
        </w:tc>
        <w:tc>
          <w:tcPr>
            <w:tcW w:w="7650" w:type="dxa"/>
            <w:noWrap/>
            <w:hideMark/>
          </w:tcPr>
          <w:p w14:paraId="759D2F57" w14:textId="77777777" w:rsidR="00564C5E" w:rsidRPr="008339A7" w:rsidRDefault="00564C5E" w:rsidP="00CE51D9">
            <w:pPr>
              <w:spacing w:after="120"/>
              <w:ind w:left="37"/>
              <w:jc w:val="left"/>
            </w:pPr>
            <w:r w:rsidRPr="008339A7">
              <w:t>Department of Transportation</w:t>
            </w:r>
          </w:p>
        </w:tc>
      </w:tr>
      <w:tr w:rsidR="00564C5E" w:rsidRPr="008339A7" w14:paraId="5BDF22F4" w14:textId="77777777" w:rsidTr="00701BE1">
        <w:trPr>
          <w:trHeight w:val="300"/>
        </w:trPr>
        <w:tc>
          <w:tcPr>
            <w:tcW w:w="1710" w:type="dxa"/>
            <w:noWrap/>
            <w:hideMark/>
          </w:tcPr>
          <w:p w14:paraId="43B85E1B" w14:textId="77777777" w:rsidR="00564C5E" w:rsidRPr="008339A7" w:rsidRDefault="00564C5E" w:rsidP="00CE51D9">
            <w:pPr>
              <w:spacing w:after="120"/>
              <w:jc w:val="left"/>
            </w:pPr>
            <w:r w:rsidRPr="008339A7">
              <w:t>DOW</w:t>
            </w:r>
          </w:p>
        </w:tc>
        <w:tc>
          <w:tcPr>
            <w:tcW w:w="7650" w:type="dxa"/>
            <w:noWrap/>
            <w:hideMark/>
          </w:tcPr>
          <w:p w14:paraId="12FF013C" w14:textId="77777777" w:rsidR="00564C5E" w:rsidRPr="008339A7" w:rsidRDefault="00564C5E" w:rsidP="00CE51D9">
            <w:pPr>
              <w:spacing w:after="120"/>
              <w:ind w:left="37"/>
              <w:jc w:val="left"/>
            </w:pPr>
            <w:r w:rsidRPr="008339A7">
              <w:t>Day of Week</w:t>
            </w:r>
          </w:p>
        </w:tc>
      </w:tr>
      <w:tr w:rsidR="00564C5E" w:rsidRPr="008339A7" w14:paraId="7EA7AAED" w14:textId="77777777" w:rsidTr="00701BE1">
        <w:trPr>
          <w:trHeight w:val="300"/>
        </w:trPr>
        <w:tc>
          <w:tcPr>
            <w:tcW w:w="1710" w:type="dxa"/>
            <w:noWrap/>
            <w:hideMark/>
          </w:tcPr>
          <w:p w14:paraId="1A4CC169" w14:textId="77777777" w:rsidR="00564C5E" w:rsidRPr="008339A7" w:rsidRDefault="00564C5E" w:rsidP="00CE51D9">
            <w:pPr>
              <w:spacing w:after="120"/>
              <w:jc w:val="left"/>
            </w:pPr>
            <w:r w:rsidRPr="008339A7">
              <w:t>DVDT</w:t>
            </w:r>
          </w:p>
        </w:tc>
        <w:tc>
          <w:tcPr>
            <w:tcW w:w="7650" w:type="dxa"/>
            <w:noWrap/>
            <w:hideMark/>
          </w:tcPr>
          <w:p w14:paraId="0DA499A9" w14:textId="77777777" w:rsidR="00564C5E" w:rsidRPr="008339A7" w:rsidRDefault="00564C5E" w:rsidP="00CE51D9">
            <w:pPr>
              <w:spacing w:after="120"/>
              <w:ind w:left="37"/>
              <w:jc w:val="left"/>
            </w:pPr>
            <w:r w:rsidRPr="008339A7">
              <w:t>Daily Vehicle Distance Traveled</w:t>
            </w:r>
          </w:p>
        </w:tc>
      </w:tr>
      <w:tr w:rsidR="00564C5E" w:rsidRPr="008339A7" w14:paraId="44F45795" w14:textId="77777777" w:rsidTr="00701BE1">
        <w:trPr>
          <w:trHeight w:val="300"/>
        </w:trPr>
        <w:tc>
          <w:tcPr>
            <w:tcW w:w="1710" w:type="dxa"/>
            <w:noWrap/>
            <w:hideMark/>
          </w:tcPr>
          <w:p w14:paraId="015551B1" w14:textId="77777777" w:rsidR="00564C5E" w:rsidRPr="008339A7" w:rsidRDefault="00564C5E" w:rsidP="00CE51D9">
            <w:pPr>
              <w:spacing w:after="120"/>
              <w:jc w:val="left"/>
            </w:pPr>
            <w:r w:rsidRPr="008339A7">
              <w:t>EAL</w:t>
            </w:r>
          </w:p>
        </w:tc>
        <w:tc>
          <w:tcPr>
            <w:tcW w:w="7650" w:type="dxa"/>
            <w:noWrap/>
            <w:hideMark/>
          </w:tcPr>
          <w:p w14:paraId="412BB610" w14:textId="77777777" w:rsidR="00564C5E" w:rsidRPr="008339A7" w:rsidRDefault="00564C5E" w:rsidP="00CE51D9">
            <w:pPr>
              <w:spacing w:after="120"/>
              <w:ind w:left="37"/>
              <w:jc w:val="left"/>
            </w:pPr>
            <w:r w:rsidRPr="008339A7">
              <w:t>Equivalent Axle Loading</w:t>
            </w:r>
          </w:p>
        </w:tc>
      </w:tr>
      <w:tr w:rsidR="00564C5E" w:rsidRPr="008339A7" w14:paraId="79B270C8" w14:textId="77777777" w:rsidTr="00701BE1">
        <w:trPr>
          <w:trHeight w:val="300"/>
        </w:trPr>
        <w:tc>
          <w:tcPr>
            <w:tcW w:w="1710" w:type="dxa"/>
            <w:noWrap/>
            <w:hideMark/>
          </w:tcPr>
          <w:p w14:paraId="6CD0D747" w14:textId="77777777" w:rsidR="00564C5E" w:rsidRPr="008339A7" w:rsidRDefault="00564C5E" w:rsidP="00CE51D9">
            <w:pPr>
              <w:spacing w:after="120"/>
              <w:jc w:val="left"/>
            </w:pPr>
            <w:r w:rsidRPr="008339A7">
              <w:t>EPA</w:t>
            </w:r>
          </w:p>
        </w:tc>
        <w:tc>
          <w:tcPr>
            <w:tcW w:w="7650" w:type="dxa"/>
            <w:noWrap/>
            <w:hideMark/>
          </w:tcPr>
          <w:p w14:paraId="22DFAB11" w14:textId="77777777" w:rsidR="00564C5E" w:rsidRPr="008339A7" w:rsidRDefault="00564C5E" w:rsidP="00CE51D9">
            <w:pPr>
              <w:spacing w:after="120"/>
              <w:ind w:left="37"/>
              <w:jc w:val="left"/>
            </w:pPr>
            <w:r w:rsidRPr="008339A7">
              <w:t>Environmental Protection Agency</w:t>
            </w:r>
          </w:p>
        </w:tc>
      </w:tr>
      <w:tr w:rsidR="00564C5E" w:rsidRPr="008339A7" w14:paraId="06645DEF" w14:textId="77777777" w:rsidTr="00701BE1">
        <w:trPr>
          <w:trHeight w:val="300"/>
        </w:trPr>
        <w:tc>
          <w:tcPr>
            <w:tcW w:w="1710" w:type="dxa"/>
            <w:noWrap/>
            <w:hideMark/>
          </w:tcPr>
          <w:p w14:paraId="4D9D9F0B" w14:textId="77777777" w:rsidR="00564C5E" w:rsidRPr="008339A7" w:rsidRDefault="00564C5E" w:rsidP="00CE51D9">
            <w:pPr>
              <w:spacing w:after="120"/>
              <w:jc w:val="left"/>
            </w:pPr>
            <w:r w:rsidRPr="008339A7">
              <w:lastRenderedPageBreak/>
              <w:t>ESAL</w:t>
            </w:r>
          </w:p>
        </w:tc>
        <w:tc>
          <w:tcPr>
            <w:tcW w:w="7650" w:type="dxa"/>
            <w:noWrap/>
            <w:hideMark/>
          </w:tcPr>
          <w:p w14:paraId="32EB4289" w14:textId="77777777" w:rsidR="00564C5E" w:rsidRPr="008339A7" w:rsidRDefault="00564C5E" w:rsidP="00CE51D9">
            <w:pPr>
              <w:spacing w:after="120"/>
              <w:ind w:left="37"/>
              <w:jc w:val="left"/>
            </w:pPr>
            <w:r w:rsidRPr="008339A7">
              <w:t>Equivalent Single Axle Loading</w:t>
            </w:r>
          </w:p>
        </w:tc>
      </w:tr>
      <w:tr w:rsidR="00564C5E" w:rsidRPr="008339A7" w14:paraId="15869BF0" w14:textId="77777777" w:rsidTr="00701BE1">
        <w:trPr>
          <w:trHeight w:val="300"/>
        </w:trPr>
        <w:tc>
          <w:tcPr>
            <w:tcW w:w="1710" w:type="dxa"/>
            <w:noWrap/>
            <w:hideMark/>
          </w:tcPr>
          <w:p w14:paraId="53745D55" w14:textId="77777777" w:rsidR="00564C5E" w:rsidRPr="008339A7" w:rsidRDefault="00564C5E" w:rsidP="00CE51D9">
            <w:pPr>
              <w:spacing w:after="120"/>
              <w:jc w:val="left"/>
            </w:pPr>
            <w:r w:rsidRPr="008339A7">
              <w:t>FHWA</w:t>
            </w:r>
          </w:p>
        </w:tc>
        <w:tc>
          <w:tcPr>
            <w:tcW w:w="7650" w:type="dxa"/>
            <w:noWrap/>
            <w:hideMark/>
          </w:tcPr>
          <w:p w14:paraId="322D78F8" w14:textId="77777777" w:rsidR="00564C5E" w:rsidRPr="008339A7" w:rsidRDefault="00564C5E" w:rsidP="00CE51D9">
            <w:pPr>
              <w:spacing w:after="120"/>
              <w:ind w:left="37"/>
              <w:jc w:val="left"/>
            </w:pPr>
            <w:r w:rsidRPr="008339A7">
              <w:t>Federal Highway Administration</w:t>
            </w:r>
          </w:p>
        </w:tc>
      </w:tr>
      <w:tr w:rsidR="00564C5E" w:rsidRPr="008339A7" w14:paraId="259DFF45" w14:textId="77777777" w:rsidTr="00701BE1">
        <w:trPr>
          <w:trHeight w:val="300"/>
        </w:trPr>
        <w:tc>
          <w:tcPr>
            <w:tcW w:w="1710" w:type="dxa"/>
            <w:noWrap/>
            <w:hideMark/>
          </w:tcPr>
          <w:p w14:paraId="6818F17E" w14:textId="77777777" w:rsidR="00564C5E" w:rsidRPr="008339A7" w:rsidRDefault="00564C5E" w:rsidP="00CE51D9">
            <w:pPr>
              <w:spacing w:after="120"/>
              <w:jc w:val="left"/>
            </w:pPr>
            <w:r w:rsidRPr="008339A7">
              <w:t>FIPS</w:t>
            </w:r>
          </w:p>
        </w:tc>
        <w:tc>
          <w:tcPr>
            <w:tcW w:w="7650" w:type="dxa"/>
            <w:noWrap/>
            <w:hideMark/>
          </w:tcPr>
          <w:p w14:paraId="1FF56E87" w14:textId="77777777" w:rsidR="00564C5E" w:rsidRPr="008339A7" w:rsidRDefault="00564C5E" w:rsidP="00CE51D9">
            <w:pPr>
              <w:spacing w:after="120"/>
              <w:ind w:left="37"/>
              <w:jc w:val="left"/>
            </w:pPr>
            <w:r w:rsidRPr="008339A7">
              <w:t>Federal Information Processing Standards</w:t>
            </w:r>
          </w:p>
        </w:tc>
      </w:tr>
      <w:tr w:rsidR="00564C5E" w:rsidRPr="008339A7" w14:paraId="1BD57297" w14:textId="77777777" w:rsidTr="00701BE1">
        <w:trPr>
          <w:trHeight w:val="300"/>
        </w:trPr>
        <w:tc>
          <w:tcPr>
            <w:tcW w:w="1710" w:type="dxa"/>
            <w:noWrap/>
            <w:hideMark/>
          </w:tcPr>
          <w:p w14:paraId="3956C5D2" w14:textId="77777777" w:rsidR="00564C5E" w:rsidRPr="008339A7" w:rsidRDefault="00564C5E" w:rsidP="00CE51D9">
            <w:pPr>
              <w:spacing w:after="120"/>
              <w:jc w:val="left"/>
            </w:pPr>
            <w:r w:rsidRPr="008339A7">
              <w:t>GIS</w:t>
            </w:r>
          </w:p>
        </w:tc>
        <w:tc>
          <w:tcPr>
            <w:tcW w:w="7650" w:type="dxa"/>
            <w:noWrap/>
            <w:hideMark/>
          </w:tcPr>
          <w:p w14:paraId="50EFD544" w14:textId="77777777" w:rsidR="00564C5E" w:rsidRPr="008339A7" w:rsidRDefault="00564C5E" w:rsidP="00CE51D9">
            <w:pPr>
              <w:spacing w:after="120"/>
              <w:ind w:left="37"/>
              <w:jc w:val="left"/>
            </w:pPr>
            <w:r w:rsidRPr="008339A7">
              <w:t>Geographic Information System</w:t>
            </w:r>
          </w:p>
        </w:tc>
      </w:tr>
      <w:tr w:rsidR="00564C5E" w:rsidRPr="008339A7" w14:paraId="7AF3605F" w14:textId="77777777" w:rsidTr="00701BE1">
        <w:trPr>
          <w:trHeight w:val="300"/>
        </w:trPr>
        <w:tc>
          <w:tcPr>
            <w:tcW w:w="1710" w:type="dxa"/>
            <w:noWrap/>
            <w:hideMark/>
          </w:tcPr>
          <w:p w14:paraId="6699B902" w14:textId="77777777" w:rsidR="00564C5E" w:rsidRPr="008339A7" w:rsidRDefault="00564C5E" w:rsidP="00CE51D9">
            <w:pPr>
              <w:spacing w:after="120"/>
              <w:jc w:val="left"/>
            </w:pPr>
            <w:r w:rsidRPr="008339A7">
              <w:t>GPS</w:t>
            </w:r>
          </w:p>
        </w:tc>
        <w:tc>
          <w:tcPr>
            <w:tcW w:w="7650" w:type="dxa"/>
            <w:noWrap/>
            <w:hideMark/>
          </w:tcPr>
          <w:p w14:paraId="325B7DBC" w14:textId="77777777" w:rsidR="00564C5E" w:rsidRPr="008339A7" w:rsidRDefault="00564C5E" w:rsidP="00CE51D9">
            <w:pPr>
              <w:spacing w:after="120"/>
              <w:ind w:left="37"/>
              <w:jc w:val="left"/>
            </w:pPr>
            <w:r w:rsidRPr="008339A7">
              <w:t>Global Positioning System</w:t>
            </w:r>
          </w:p>
        </w:tc>
      </w:tr>
      <w:tr w:rsidR="00564C5E" w:rsidRPr="008339A7" w14:paraId="1FE3E736" w14:textId="77777777" w:rsidTr="00701BE1">
        <w:trPr>
          <w:trHeight w:val="300"/>
        </w:trPr>
        <w:tc>
          <w:tcPr>
            <w:tcW w:w="1710" w:type="dxa"/>
            <w:noWrap/>
            <w:hideMark/>
          </w:tcPr>
          <w:p w14:paraId="65C51CDD" w14:textId="77777777" w:rsidR="00564C5E" w:rsidRPr="008339A7" w:rsidRDefault="00564C5E" w:rsidP="00CE51D9">
            <w:pPr>
              <w:spacing w:after="120"/>
              <w:jc w:val="left"/>
            </w:pPr>
            <w:r w:rsidRPr="008339A7">
              <w:t>GVW</w:t>
            </w:r>
          </w:p>
        </w:tc>
        <w:tc>
          <w:tcPr>
            <w:tcW w:w="7650" w:type="dxa"/>
            <w:noWrap/>
            <w:hideMark/>
          </w:tcPr>
          <w:p w14:paraId="55F129F8" w14:textId="77777777" w:rsidR="00564C5E" w:rsidRPr="008339A7" w:rsidRDefault="00564C5E" w:rsidP="00CE51D9">
            <w:pPr>
              <w:spacing w:after="120"/>
              <w:jc w:val="left"/>
            </w:pPr>
            <w:r w:rsidRPr="008339A7">
              <w:t>Gross Vehicle Weight</w:t>
            </w:r>
          </w:p>
        </w:tc>
      </w:tr>
      <w:tr w:rsidR="00564C5E" w:rsidRPr="008339A7" w14:paraId="68BD4B9A" w14:textId="77777777" w:rsidTr="00701BE1">
        <w:trPr>
          <w:trHeight w:val="300"/>
        </w:trPr>
        <w:tc>
          <w:tcPr>
            <w:tcW w:w="1710" w:type="dxa"/>
            <w:noWrap/>
            <w:hideMark/>
          </w:tcPr>
          <w:p w14:paraId="0529CD79" w14:textId="77777777" w:rsidR="00564C5E" w:rsidRPr="008339A7" w:rsidRDefault="00564C5E" w:rsidP="00CE51D9">
            <w:pPr>
              <w:spacing w:after="120"/>
              <w:jc w:val="left"/>
            </w:pPr>
            <w:r w:rsidRPr="008339A7">
              <w:t>HOD</w:t>
            </w:r>
          </w:p>
        </w:tc>
        <w:tc>
          <w:tcPr>
            <w:tcW w:w="7650" w:type="dxa"/>
            <w:noWrap/>
            <w:hideMark/>
          </w:tcPr>
          <w:p w14:paraId="2FBC600B" w14:textId="77777777" w:rsidR="00564C5E" w:rsidRPr="008339A7" w:rsidRDefault="00564C5E" w:rsidP="00CE51D9">
            <w:pPr>
              <w:spacing w:after="120"/>
              <w:jc w:val="left"/>
            </w:pPr>
            <w:r w:rsidRPr="008339A7">
              <w:t>Hour of Day</w:t>
            </w:r>
          </w:p>
        </w:tc>
      </w:tr>
      <w:tr w:rsidR="00564C5E" w:rsidRPr="008339A7" w14:paraId="5FA4B408" w14:textId="77777777" w:rsidTr="00701BE1">
        <w:trPr>
          <w:trHeight w:val="300"/>
        </w:trPr>
        <w:tc>
          <w:tcPr>
            <w:tcW w:w="1710" w:type="dxa"/>
            <w:noWrap/>
            <w:hideMark/>
          </w:tcPr>
          <w:p w14:paraId="410A4955" w14:textId="77777777" w:rsidR="00564C5E" w:rsidRPr="008339A7" w:rsidRDefault="00564C5E" w:rsidP="00CE51D9">
            <w:pPr>
              <w:spacing w:after="120"/>
              <w:jc w:val="left"/>
            </w:pPr>
            <w:r w:rsidRPr="008339A7">
              <w:t>HPMS</w:t>
            </w:r>
          </w:p>
        </w:tc>
        <w:tc>
          <w:tcPr>
            <w:tcW w:w="7650" w:type="dxa"/>
            <w:noWrap/>
            <w:hideMark/>
          </w:tcPr>
          <w:p w14:paraId="42AC1B6B" w14:textId="77777777" w:rsidR="00564C5E" w:rsidRPr="008339A7" w:rsidRDefault="00564C5E" w:rsidP="00CE51D9">
            <w:pPr>
              <w:spacing w:after="120"/>
              <w:jc w:val="left"/>
            </w:pPr>
            <w:r w:rsidRPr="008339A7">
              <w:t>Highway Performance Monitoring System</w:t>
            </w:r>
          </w:p>
        </w:tc>
      </w:tr>
      <w:tr w:rsidR="00564C5E" w:rsidRPr="008339A7" w14:paraId="467A9A71" w14:textId="77777777" w:rsidTr="00701BE1">
        <w:trPr>
          <w:trHeight w:val="300"/>
        </w:trPr>
        <w:tc>
          <w:tcPr>
            <w:tcW w:w="1710" w:type="dxa"/>
            <w:noWrap/>
            <w:hideMark/>
          </w:tcPr>
          <w:p w14:paraId="4C9B80C8" w14:textId="77777777" w:rsidR="00564C5E" w:rsidRPr="008339A7" w:rsidRDefault="00564C5E" w:rsidP="00CE51D9">
            <w:pPr>
              <w:spacing w:after="120"/>
              <w:jc w:val="left"/>
            </w:pPr>
            <w:r w:rsidRPr="008339A7">
              <w:t>IRI</w:t>
            </w:r>
          </w:p>
        </w:tc>
        <w:tc>
          <w:tcPr>
            <w:tcW w:w="7650" w:type="dxa"/>
            <w:noWrap/>
            <w:hideMark/>
          </w:tcPr>
          <w:p w14:paraId="04A84563" w14:textId="77777777" w:rsidR="00564C5E" w:rsidRPr="008339A7" w:rsidRDefault="00564C5E" w:rsidP="00CE51D9">
            <w:pPr>
              <w:spacing w:after="120"/>
              <w:jc w:val="left"/>
            </w:pPr>
            <w:r w:rsidRPr="008339A7">
              <w:t>International Roughness Index</w:t>
            </w:r>
          </w:p>
        </w:tc>
      </w:tr>
      <w:tr w:rsidR="00564C5E" w:rsidRPr="008339A7" w14:paraId="165D87CF" w14:textId="77777777" w:rsidTr="00701BE1">
        <w:trPr>
          <w:trHeight w:val="510"/>
        </w:trPr>
        <w:tc>
          <w:tcPr>
            <w:tcW w:w="1710" w:type="dxa"/>
            <w:noWrap/>
            <w:hideMark/>
          </w:tcPr>
          <w:p w14:paraId="6883B2B8" w14:textId="77777777" w:rsidR="00564C5E" w:rsidRPr="008339A7" w:rsidRDefault="00564C5E" w:rsidP="00CE51D9">
            <w:pPr>
              <w:spacing w:after="120"/>
              <w:jc w:val="left"/>
            </w:pPr>
            <w:r w:rsidRPr="008339A7">
              <w:t>ISTEA</w:t>
            </w:r>
          </w:p>
        </w:tc>
        <w:tc>
          <w:tcPr>
            <w:tcW w:w="7650" w:type="dxa"/>
            <w:noWrap/>
            <w:hideMark/>
          </w:tcPr>
          <w:p w14:paraId="1F6C3C99" w14:textId="77777777" w:rsidR="00564C5E" w:rsidRPr="008339A7" w:rsidRDefault="00564C5E" w:rsidP="00CE51D9">
            <w:pPr>
              <w:spacing w:after="120"/>
              <w:jc w:val="left"/>
            </w:pPr>
            <w:r w:rsidRPr="008339A7">
              <w:t>Intermodal Surface Transportation Efficiency Act (1991)</w:t>
            </w:r>
          </w:p>
        </w:tc>
      </w:tr>
      <w:tr w:rsidR="00564C5E" w:rsidRPr="008339A7" w14:paraId="73FCED47" w14:textId="77777777" w:rsidTr="00701BE1">
        <w:trPr>
          <w:trHeight w:val="300"/>
        </w:trPr>
        <w:tc>
          <w:tcPr>
            <w:tcW w:w="1710" w:type="dxa"/>
            <w:noWrap/>
            <w:hideMark/>
          </w:tcPr>
          <w:p w14:paraId="1D2FDBF4" w14:textId="77777777" w:rsidR="00564C5E" w:rsidRPr="008339A7" w:rsidRDefault="00564C5E" w:rsidP="00CE51D9">
            <w:pPr>
              <w:spacing w:after="120"/>
              <w:jc w:val="left"/>
            </w:pPr>
            <w:r w:rsidRPr="008339A7">
              <w:t>ITS</w:t>
            </w:r>
          </w:p>
        </w:tc>
        <w:tc>
          <w:tcPr>
            <w:tcW w:w="7650" w:type="dxa"/>
            <w:noWrap/>
            <w:hideMark/>
          </w:tcPr>
          <w:p w14:paraId="5015EB9E" w14:textId="77777777" w:rsidR="00564C5E" w:rsidRPr="008339A7" w:rsidRDefault="00564C5E" w:rsidP="00CE51D9">
            <w:pPr>
              <w:spacing w:after="120"/>
              <w:jc w:val="left"/>
            </w:pPr>
            <w:r w:rsidRPr="008339A7">
              <w:t>Intelligent Transportation System</w:t>
            </w:r>
          </w:p>
        </w:tc>
      </w:tr>
      <w:tr w:rsidR="00564C5E" w:rsidRPr="008339A7" w14:paraId="0449D5DB" w14:textId="77777777" w:rsidTr="00701BE1">
        <w:trPr>
          <w:trHeight w:val="300"/>
        </w:trPr>
        <w:tc>
          <w:tcPr>
            <w:tcW w:w="1710" w:type="dxa"/>
            <w:noWrap/>
            <w:hideMark/>
          </w:tcPr>
          <w:p w14:paraId="4927B7AD" w14:textId="77777777" w:rsidR="00564C5E" w:rsidRPr="008339A7" w:rsidRDefault="00564C5E" w:rsidP="00CE51D9">
            <w:pPr>
              <w:spacing w:after="120"/>
              <w:jc w:val="left"/>
            </w:pPr>
            <w:r w:rsidRPr="008339A7">
              <w:t>KIPS</w:t>
            </w:r>
          </w:p>
        </w:tc>
        <w:tc>
          <w:tcPr>
            <w:tcW w:w="7650" w:type="dxa"/>
            <w:noWrap/>
            <w:hideMark/>
          </w:tcPr>
          <w:p w14:paraId="13BE3D7E" w14:textId="77777777" w:rsidR="00564C5E" w:rsidRPr="008339A7" w:rsidRDefault="00564C5E" w:rsidP="00CE51D9">
            <w:pPr>
              <w:spacing w:after="120"/>
              <w:jc w:val="left"/>
            </w:pPr>
            <w:r w:rsidRPr="008339A7">
              <w:t>Kilopounds (thousands of pounds)</w:t>
            </w:r>
          </w:p>
        </w:tc>
      </w:tr>
      <w:tr w:rsidR="00564C5E" w:rsidRPr="008339A7" w14:paraId="65E6A2B8" w14:textId="77777777" w:rsidTr="00701BE1">
        <w:trPr>
          <w:trHeight w:val="300"/>
        </w:trPr>
        <w:tc>
          <w:tcPr>
            <w:tcW w:w="1710" w:type="dxa"/>
            <w:noWrap/>
            <w:hideMark/>
          </w:tcPr>
          <w:p w14:paraId="1F9DE630" w14:textId="77777777" w:rsidR="00564C5E" w:rsidRPr="008339A7" w:rsidRDefault="00564C5E" w:rsidP="00CE51D9">
            <w:pPr>
              <w:spacing w:after="120"/>
              <w:jc w:val="left"/>
            </w:pPr>
            <w:r w:rsidRPr="008339A7">
              <w:t>LRS</w:t>
            </w:r>
          </w:p>
        </w:tc>
        <w:tc>
          <w:tcPr>
            <w:tcW w:w="7650" w:type="dxa"/>
            <w:noWrap/>
            <w:hideMark/>
          </w:tcPr>
          <w:p w14:paraId="079478B0" w14:textId="77777777" w:rsidR="00564C5E" w:rsidRPr="008339A7" w:rsidRDefault="00564C5E" w:rsidP="00CE51D9">
            <w:pPr>
              <w:spacing w:after="120"/>
              <w:jc w:val="left"/>
            </w:pPr>
            <w:r w:rsidRPr="008339A7">
              <w:t>Linear Referencing System</w:t>
            </w:r>
          </w:p>
        </w:tc>
      </w:tr>
      <w:tr w:rsidR="00564C5E" w:rsidRPr="008339A7" w14:paraId="4B630D26" w14:textId="77777777" w:rsidTr="00701BE1">
        <w:trPr>
          <w:trHeight w:val="300"/>
        </w:trPr>
        <w:tc>
          <w:tcPr>
            <w:tcW w:w="1710" w:type="dxa"/>
            <w:noWrap/>
            <w:hideMark/>
          </w:tcPr>
          <w:p w14:paraId="5BFD622E" w14:textId="77777777" w:rsidR="00564C5E" w:rsidRPr="008339A7" w:rsidRDefault="00564C5E" w:rsidP="00CE51D9">
            <w:pPr>
              <w:spacing w:after="120"/>
              <w:jc w:val="left"/>
            </w:pPr>
            <w:r w:rsidRPr="008339A7">
              <w:t>LTBP</w:t>
            </w:r>
          </w:p>
        </w:tc>
        <w:tc>
          <w:tcPr>
            <w:tcW w:w="7650" w:type="dxa"/>
            <w:noWrap/>
            <w:hideMark/>
          </w:tcPr>
          <w:p w14:paraId="22AC69C9" w14:textId="77777777" w:rsidR="00564C5E" w:rsidRPr="008339A7" w:rsidRDefault="00564C5E" w:rsidP="00CE51D9">
            <w:pPr>
              <w:spacing w:after="120"/>
              <w:jc w:val="left"/>
            </w:pPr>
            <w:r w:rsidRPr="008339A7">
              <w:t>Long Term Bridge Performance</w:t>
            </w:r>
          </w:p>
        </w:tc>
      </w:tr>
      <w:tr w:rsidR="00564C5E" w:rsidRPr="008339A7" w14:paraId="4B4AD3AE" w14:textId="77777777" w:rsidTr="00701BE1">
        <w:trPr>
          <w:trHeight w:val="300"/>
        </w:trPr>
        <w:tc>
          <w:tcPr>
            <w:tcW w:w="1710" w:type="dxa"/>
            <w:noWrap/>
            <w:hideMark/>
          </w:tcPr>
          <w:p w14:paraId="31FC4F6F" w14:textId="77777777" w:rsidR="00564C5E" w:rsidRPr="008339A7" w:rsidRDefault="00564C5E" w:rsidP="00CE51D9">
            <w:pPr>
              <w:spacing w:after="120"/>
              <w:jc w:val="left"/>
            </w:pPr>
            <w:r w:rsidRPr="008339A7">
              <w:t>LTPP</w:t>
            </w:r>
          </w:p>
        </w:tc>
        <w:tc>
          <w:tcPr>
            <w:tcW w:w="7650" w:type="dxa"/>
            <w:noWrap/>
            <w:hideMark/>
          </w:tcPr>
          <w:p w14:paraId="37802CFE" w14:textId="77777777" w:rsidR="00564C5E" w:rsidRPr="008339A7" w:rsidRDefault="00564C5E" w:rsidP="00CE51D9">
            <w:pPr>
              <w:spacing w:after="120"/>
              <w:jc w:val="left"/>
            </w:pPr>
            <w:r w:rsidRPr="008339A7">
              <w:t>Long Term Pavement Performance</w:t>
            </w:r>
          </w:p>
        </w:tc>
      </w:tr>
      <w:tr w:rsidR="00564C5E" w:rsidRPr="008339A7" w14:paraId="2CFC504A" w14:textId="77777777" w:rsidTr="00701BE1">
        <w:trPr>
          <w:trHeight w:val="300"/>
        </w:trPr>
        <w:tc>
          <w:tcPr>
            <w:tcW w:w="1710" w:type="dxa"/>
            <w:noWrap/>
            <w:hideMark/>
          </w:tcPr>
          <w:p w14:paraId="10A79806" w14:textId="77777777" w:rsidR="00564C5E" w:rsidRPr="008339A7" w:rsidRDefault="00564C5E" w:rsidP="00CE51D9">
            <w:pPr>
              <w:spacing w:after="120"/>
              <w:jc w:val="left"/>
            </w:pPr>
            <w:r w:rsidRPr="008339A7">
              <w:t>LTTP</w:t>
            </w:r>
          </w:p>
        </w:tc>
        <w:tc>
          <w:tcPr>
            <w:tcW w:w="7650" w:type="dxa"/>
            <w:noWrap/>
            <w:hideMark/>
          </w:tcPr>
          <w:p w14:paraId="087FE18B" w14:textId="77777777" w:rsidR="00564C5E" w:rsidRPr="008339A7" w:rsidRDefault="00564C5E" w:rsidP="00CE51D9">
            <w:pPr>
              <w:spacing w:after="120"/>
              <w:jc w:val="left"/>
            </w:pPr>
            <w:r w:rsidRPr="008339A7">
              <w:t>Long-Term Transportation Plan</w:t>
            </w:r>
          </w:p>
        </w:tc>
      </w:tr>
      <w:tr w:rsidR="00564C5E" w:rsidRPr="008339A7" w14:paraId="443B6B15" w14:textId="77777777" w:rsidTr="00701BE1">
        <w:trPr>
          <w:trHeight w:val="300"/>
        </w:trPr>
        <w:tc>
          <w:tcPr>
            <w:tcW w:w="1710" w:type="dxa"/>
            <w:noWrap/>
            <w:hideMark/>
          </w:tcPr>
          <w:p w14:paraId="66A0E299" w14:textId="77777777" w:rsidR="00564C5E" w:rsidRPr="008339A7" w:rsidRDefault="00564C5E" w:rsidP="00CE51D9">
            <w:pPr>
              <w:spacing w:after="120"/>
              <w:jc w:val="left"/>
            </w:pPr>
            <w:r w:rsidRPr="008339A7">
              <w:t>MADT</w:t>
            </w:r>
          </w:p>
        </w:tc>
        <w:tc>
          <w:tcPr>
            <w:tcW w:w="7650" w:type="dxa"/>
            <w:noWrap/>
            <w:hideMark/>
          </w:tcPr>
          <w:p w14:paraId="4521FEDE" w14:textId="77777777" w:rsidR="00564C5E" w:rsidRPr="008339A7" w:rsidRDefault="00564C5E" w:rsidP="00CE51D9">
            <w:pPr>
              <w:spacing w:after="120"/>
              <w:jc w:val="left"/>
            </w:pPr>
            <w:r w:rsidRPr="008339A7">
              <w:t>Monthly Average Daily Traffic</w:t>
            </w:r>
          </w:p>
        </w:tc>
      </w:tr>
      <w:tr w:rsidR="00564C5E" w:rsidRPr="008339A7" w14:paraId="631A6BE2" w14:textId="77777777" w:rsidTr="00701BE1">
        <w:trPr>
          <w:trHeight w:val="300"/>
        </w:trPr>
        <w:tc>
          <w:tcPr>
            <w:tcW w:w="1710" w:type="dxa"/>
            <w:noWrap/>
            <w:hideMark/>
          </w:tcPr>
          <w:p w14:paraId="3687D5B4" w14:textId="77777777" w:rsidR="00564C5E" w:rsidRPr="008339A7" w:rsidRDefault="00564C5E" w:rsidP="00CE51D9">
            <w:pPr>
              <w:spacing w:after="120"/>
              <w:jc w:val="left"/>
            </w:pPr>
            <w:r w:rsidRPr="008339A7">
              <w:t>MADTT</w:t>
            </w:r>
          </w:p>
        </w:tc>
        <w:tc>
          <w:tcPr>
            <w:tcW w:w="7650" w:type="dxa"/>
            <w:noWrap/>
            <w:hideMark/>
          </w:tcPr>
          <w:p w14:paraId="141E2266" w14:textId="77777777" w:rsidR="00564C5E" w:rsidRPr="008339A7" w:rsidRDefault="00564C5E" w:rsidP="00CE51D9">
            <w:pPr>
              <w:spacing w:after="120"/>
              <w:jc w:val="left"/>
            </w:pPr>
            <w:r w:rsidRPr="008339A7">
              <w:t>Monthly Average Daily Truck Traffic</w:t>
            </w:r>
          </w:p>
        </w:tc>
      </w:tr>
      <w:tr w:rsidR="00564C5E" w:rsidRPr="008339A7" w14:paraId="3758760C" w14:textId="77777777" w:rsidTr="00701BE1">
        <w:trPr>
          <w:trHeight w:val="300"/>
        </w:trPr>
        <w:tc>
          <w:tcPr>
            <w:tcW w:w="1710" w:type="dxa"/>
            <w:noWrap/>
            <w:hideMark/>
          </w:tcPr>
          <w:p w14:paraId="07A9AC39" w14:textId="77777777" w:rsidR="00564C5E" w:rsidRPr="008339A7" w:rsidRDefault="00564C5E" w:rsidP="00CE51D9">
            <w:pPr>
              <w:spacing w:after="120"/>
              <w:jc w:val="left"/>
            </w:pPr>
            <w:r w:rsidRPr="008339A7">
              <w:t>MAF</w:t>
            </w:r>
          </w:p>
        </w:tc>
        <w:tc>
          <w:tcPr>
            <w:tcW w:w="7650" w:type="dxa"/>
            <w:noWrap/>
            <w:hideMark/>
          </w:tcPr>
          <w:p w14:paraId="1340C87F" w14:textId="77777777" w:rsidR="00564C5E" w:rsidRPr="008339A7" w:rsidRDefault="00564C5E" w:rsidP="00CE51D9">
            <w:pPr>
              <w:spacing w:after="120"/>
              <w:jc w:val="left"/>
            </w:pPr>
            <w:r w:rsidRPr="008339A7">
              <w:t>Monthly Adjustment Factor</w:t>
            </w:r>
          </w:p>
        </w:tc>
      </w:tr>
      <w:tr w:rsidR="00564C5E" w:rsidRPr="008339A7" w14:paraId="1A75E78D" w14:textId="77777777" w:rsidTr="00701BE1">
        <w:trPr>
          <w:trHeight w:val="23"/>
        </w:trPr>
        <w:tc>
          <w:tcPr>
            <w:tcW w:w="1710" w:type="dxa"/>
            <w:noWrap/>
            <w:hideMark/>
          </w:tcPr>
          <w:p w14:paraId="57B56FE4" w14:textId="77777777" w:rsidR="00564C5E" w:rsidRPr="008339A7" w:rsidRDefault="00564C5E" w:rsidP="00CE51D9">
            <w:pPr>
              <w:spacing w:after="120"/>
              <w:jc w:val="left"/>
            </w:pPr>
            <w:r w:rsidRPr="008339A7">
              <w:t>MAP-21</w:t>
            </w:r>
          </w:p>
        </w:tc>
        <w:tc>
          <w:tcPr>
            <w:tcW w:w="7650" w:type="dxa"/>
            <w:noWrap/>
            <w:hideMark/>
          </w:tcPr>
          <w:p w14:paraId="66926D3F" w14:textId="77777777" w:rsidR="00564C5E" w:rsidRPr="008339A7" w:rsidRDefault="00564C5E" w:rsidP="00CE51D9">
            <w:pPr>
              <w:spacing w:after="120"/>
              <w:jc w:val="left"/>
            </w:pPr>
            <w:r w:rsidRPr="008339A7">
              <w:t>Moving Ahead for Progress in the 21</w:t>
            </w:r>
            <w:r w:rsidRPr="008339A7">
              <w:rPr>
                <w:vertAlign w:val="superscript"/>
              </w:rPr>
              <w:t>st</w:t>
            </w:r>
            <w:r w:rsidRPr="008339A7">
              <w:t xml:space="preserve"> Century Act (2012)</w:t>
            </w:r>
          </w:p>
        </w:tc>
      </w:tr>
      <w:tr w:rsidR="00564C5E" w:rsidRPr="008339A7" w14:paraId="06E5F894" w14:textId="77777777" w:rsidTr="00701BE1">
        <w:trPr>
          <w:trHeight w:val="23"/>
        </w:trPr>
        <w:tc>
          <w:tcPr>
            <w:tcW w:w="1710" w:type="dxa"/>
            <w:noWrap/>
            <w:hideMark/>
          </w:tcPr>
          <w:p w14:paraId="3840C1A6" w14:textId="77777777" w:rsidR="00564C5E" w:rsidRPr="008339A7" w:rsidRDefault="00564C5E" w:rsidP="00CE51D9">
            <w:pPr>
              <w:spacing w:after="120"/>
              <w:jc w:val="left"/>
            </w:pPr>
            <w:r w:rsidRPr="008339A7">
              <w:t>MAWDT</w:t>
            </w:r>
          </w:p>
        </w:tc>
        <w:tc>
          <w:tcPr>
            <w:tcW w:w="7650" w:type="dxa"/>
            <w:noWrap/>
            <w:hideMark/>
          </w:tcPr>
          <w:p w14:paraId="2751C457" w14:textId="77777777" w:rsidR="00564C5E" w:rsidRPr="008339A7" w:rsidRDefault="00564C5E" w:rsidP="00CE51D9">
            <w:pPr>
              <w:spacing w:after="120"/>
              <w:jc w:val="left"/>
            </w:pPr>
            <w:r w:rsidRPr="008339A7">
              <w:t>Monthly Average Weekday Daily Traffic</w:t>
            </w:r>
          </w:p>
        </w:tc>
      </w:tr>
      <w:tr w:rsidR="00564C5E" w:rsidRPr="008339A7" w14:paraId="1721AD4A" w14:textId="77777777" w:rsidTr="00701BE1">
        <w:trPr>
          <w:trHeight w:val="23"/>
        </w:trPr>
        <w:tc>
          <w:tcPr>
            <w:tcW w:w="1710" w:type="dxa"/>
            <w:noWrap/>
            <w:hideMark/>
          </w:tcPr>
          <w:p w14:paraId="3F7DF75E" w14:textId="77777777" w:rsidR="00564C5E" w:rsidRPr="008339A7" w:rsidRDefault="00564C5E" w:rsidP="00CE51D9">
            <w:pPr>
              <w:spacing w:after="120"/>
              <w:jc w:val="left"/>
            </w:pPr>
            <w:r w:rsidRPr="008339A7">
              <w:t>MAWDTT</w:t>
            </w:r>
          </w:p>
        </w:tc>
        <w:tc>
          <w:tcPr>
            <w:tcW w:w="7650" w:type="dxa"/>
            <w:noWrap/>
            <w:hideMark/>
          </w:tcPr>
          <w:p w14:paraId="5E87B46D" w14:textId="77777777" w:rsidR="00564C5E" w:rsidRPr="008339A7" w:rsidRDefault="00564C5E" w:rsidP="00CE51D9">
            <w:pPr>
              <w:spacing w:after="120"/>
              <w:jc w:val="left"/>
            </w:pPr>
            <w:r w:rsidRPr="008339A7">
              <w:t>Monthly Average Weekday Daily Truck Traffic</w:t>
            </w:r>
          </w:p>
        </w:tc>
      </w:tr>
      <w:tr w:rsidR="00564C5E" w:rsidRPr="008339A7" w14:paraId="3C2CB2BF" w14:textId="77777777" w:rsidTr="00701BE1">
        <w:trPr>
          <w:trHeight w:val="23"/>
        </w:trPr>
        <w:tc>
          <w:tcPr>
            <w:tcW w:w="1710" w:type="dxa"/>
            <w:noWrap/>
            <w:hideMark/>
          </w:tcPr>
          <w:p w14:paraId="0201B4BF" w14:textId="77777777" w:rsidR="00564C5E" w:rsidRPr="008339A7" w:rsidRDefault="00564C5E" w:rsidP="00CE51D9">
            <w:pPr>
              <w:spacing w:after="120"/>
              <w:jc w:val="left"/>
            </w:pPr>
            <w:r w:rsidRPr="008339A7">
              <w:t>MAWET</w:t>
            </w:r>
          </w:p>
        </w:tc>
        <w:tc>
          <w:tcPr>
            <w:tcW w:w="7650" w:type="dxa"/>
            <w:noWrap/>
            <w:hideMark/>
          </w:tcPr>
          <w:p w14:paraId="167FB418" w14:textId="77777777" w:rsidR="00564C5E" w:rsidRPr="008339A7" w:rsidRDefault="00564C5E" w:rsidP="00CE51D9">
            <w:pPr>
              <w:spacing w:after="120"/>
              <w:jc w:val="left"/>
            </w:pPr>
            <w:r w:rsidRPr="008339A7">
              <w:t>Monthly Average Weekend Daily Traffic</w:t>
            </w:r>
          </w:p>
        </w:tc>
      </w:tr>
      <w:tr w:rsidR="00564C5E" w:rsidRPr="008339A7" w14:paraId="2C7D5FE8" w14:textId="77777777" w:rsidTr="00701BE1">
        <w:trPr>
          <w:trHeight w:val="23"/>
        </w:trPr>
        <w:tc>
          <w:tcPr>
            <w:tcW w:w="1710" w:type="dxa"/>
            <w:noWrap/>
            <w:hideMark/>
          </w:tcPr>
          <w:p w14:paraId="19D21272" w14:textId="77777777" w:rsidR="00564C5E" w:rsidRPr="008339A7" w:rsidRDefault="00564C5E" w:rsidP="00CE51D9">
            <w:pPr>
              <w:spacing w:after="120"/>
              <w:jc w:val="left"/>
            </w:pPr>
            <w:r w:rsidRPr="008339A7">
              <w:t>MOY</w:t>
            </w:r>
          </w:p>
        </w:tc>
        <w:tc>
          <w:tcPr>
            <w:tcW w:w="7650" w:type="dxa"/>
            <w:noWrap/>
            <w:hideMark/>
          </w:tcPr>
          <w:p w14:paraId="2B1A56B6" w14:textId="77777777" w:rsidR="00564C5E" w:rsidRPr="008339A7" w:rsidRDefault="00564C5E" w:rsidP="00CE51D9">
            <w:pPr>
              <w:spacing w:after="120"/>
              <w:jc w:val="left"/>
            </w:pPr>
            <w:r w:rsidRPr="008339A7">
              <w:t>Month of Year</w:t>
            </w:r>
          </w:p>
        </w:tc>
      </w:tr>
      <w:tr w:rsidR="00564C5E" w:rsidRPr="008339A7" w14:paraId="68B69EA8" w14:textId="77777777" w:rsidTr="00701BE1">
        <w:trPr>
          <w:trHeight w:val="23"/>
        </w:trPr>
        <w:tc>
          <w:tcPr>
            <w:tcW w:w="1710" w:type="dxa"/>
            <w:noWrap/>
            <w:hideMark/>
          </w:tcPr>
          <w:p w14:paraId="60D50E50" w14:textId="77777777" w:rsidR="00564C5E" w:rsidRPr="008339A7" w:rsidRDefault="00564C5E" w:rsidP="00CE51D9">
            <w:pPr>
              <w:spacing w:after="120"/>
              <w:jc w:val="left"/>
            </w:pPr>
            <w:r w:rsidRPr="008339A7">
              <w:t>MPO</w:t>
            </w:r>
          </w:p>
        </w:tc>
        <w:tc>
          <w:tcPr>
            <w:tcW w:w="7650" w:type="dxa"/>
            <w:noWrap/>
            <w:hideMark/>
          </w:tcPr>
          <w:p w14:paraId="6892F464" w14:textId="77777777" w:rsidR="00564C5E" w:rsidRPr="008339A7" w:rsidRDefault="00564C5E" w:rsidP="00CE51D9">
            <w:pPr>
              <w:spacing w:after="120"/>
              <w:jc w:val="left"/>
            </w:pPr>
            <w:r w:rsidRPr="008339A7">
              <w:t>Metropolitan Planning Organization</w:t>
            </w:r>
          </w:p>
        </w:tc>
      </w:tr>
      <w:tr w:rsidR="00564C5E" w:rsidRPr="008339A7" w14:paraId="6CCCC92F" w14:textId="77777777" w:rsidTr="00701BE1">
        <w:trPr>
          <w:trHeight w:val="23"/>
        </w:trPr>
        <w:tc>
          <w:tcPr>
            <w:tcW w:w="1710" w:type="dxa"/>
            <w:noWrap/>
            <w:hideMark/>
          </w:tcPr>
          <w:p w14:paraId="40F17650" w14:textId="77777777" w:rsidR="00564C5E" w:rsidRPr="008339A7" w:rsidRDefault="00564C5E" w:rsidP="00CE51D9">
            <w:pPr>
              <w:spacing w:after="120"/>
              <w:jc w:val="left"/>
            </w:pPr>
            <w:r w:rsidRPr="008339A7">
              <w:t>NEPA</w:t>
            </w:r>
          </w:p>
        </w:tc>
        <w:tc>
          <w:tcPr>
            <w:tcW w:w="7650" w:type="dxa"/>
            <w:noWrap/>
            <w:hideMark/>
          </w:tcPr>
          <w:p w14:paraId="0A54A864" w14:textId="77777777" w:rsidR="00564C5E" w:rsidRPr="008339A7" w:rsidRDefault="00564C5E" w:rsidP="00CE51D9">
            <w:pPr>
              <w:spacing w:after="120"/>
              <w:jc w:val="left"/>
            </w:pPr>
            <w:r w:rsidRPr="008339A7">
              <w:t>National Environmental Policy Act</w:t>
            </w:r>
          </w:p>
        </w:tc>
      </w:tr>
      <w:tr w:rsidR="00564C5E" w:rsidRPr="008339A7" w14:paraId="09BE3169" w14:textId="77777777" w:rsidTr="00701BE1">
        <w:trPr>
          <w:trHeight w:val="23"/>
        </w:trPr>
        <w:tc>
          <w:tcPr>
            <w:tcW w:w="1710" w:type="dxa"/>
            <w:noWrap/>
            <w:hideMark/>
          </w:tcPr>
          <w:p w14:paraId="074F0D82" w14:textId="77777777" w:rsidR="00564C5E" w:rsidRPr="008339A7" w:rsidRDefault="00564C5E" w:rsidP="00CE51D9">
            <w:pPr>
              <w:spacing w:after="120"/>
              <w:jc w:val="left"/>
            </w:pPr>
            <w:r w:rsidRPr="008339A7">
              <w:t>NHPN</w:t>
            </w:r>
          </w:p>
        </w:tc>
        <w:tc>
          <w:tcPr>
            <w:tcW w:w="7650" w:type="dxa"/>
            <w:noWrap/>
            <w:hideMark/>
          </w:tcPr>
          <w:p w14:paraId="7EC5EA65" w14:textId="77777777" w:rsidR="00564C5E" w:rsidRPr="008339A7" w:rsidRDefault="00564C5E" w:rsidP="00CE51D9">
            <w:pPr>
              <w:spacing w:after="120"/>
              <w:jc w:val="left"/>
            </w:pPr>
            <w:r w:rsidRPr="008339A7">
              <w:t>National Highway Planning Network</w:t>
            </w:r>
          </w:p>
        </w:tc>
      </w:tr>
      <w:tr w:rsidR="00564C5E" w:rsidRPr="008339A7" w14:paraId="3BCB01B7" w14:textId="77777777" w:rsidTr="00701BE1">
        <w:trPr>
          <w:trHeight w:val="23"/>
        </w:trPr>
        <w:tc>
          <w:tcPr>
            <w:tcW w:w="1710" w:type="dxa"/>
            <w:noWrap/>
            <w:hideMark/>
          </w:tcPr>
          <w:p w14:paraId="607A416A" w14:textId="77777777" w:rsidR="00564C5E" w:rsidRPr="008339A7" w:rsidRDefault="00564C5E" w:rsidP="00CE51D9">
            <w:pPr>
              <w:spacing w:after="120"/>
              <w:jc w:val="left"/>
            </w:pPr>
            <w:r w:rsidRPr="008339A7">
              <w:t>NHS</w:t>
            </w:r>
          </w:p>
        </w:tc>
        <w:tc>
          <w:tcPr>
            <w:tcW w:w="7650" w:type="dxa"/>
            <w:noWrap/>
            <w:hideMark/>
          </w:tcPr>
          <w:p w14:paraId="4D2C6928" w14:textId="77777777" w:rsidR="00564C5E" w:rsidRPr="008339A7" w:rsidRDefault="00564C5E" w:rsidP="00CE51D9">
            <w:pPr>
              <w:spacing w:after="120"/>
              <w:jc w:val="left"/>
            </w:pPr>
            <w:r w:rsidRPr="008339A7">
              <w:t>National Highway System</w:t>
            </w:r>
          </w:p>
        </w:tc>
      </w:tr>
      <w:tr w:rsidR="00564C5E" w:rsidRPr="008339A7" w14:paraId="1FAD924B" w14:textId="77777777" w:rsidTr="00701BE1">
        <w:trPr>
          <w:trHeight w:val="23"/>
        </w:trPr>
        <w:tc>
          <w:tcPr>
            <w:tcW w:w="1710" w:type="dxa"/>
            <w:noWrap/>
            <w:hideMark/>
          </w:tcPr>
          <w:p w14:paraId="760DAFAE" w14:textId="77777777" w:rsidR="00564C5E" w:rsidRPr="008339A7" w:rsidRDefault="00564C5E" w:rsidP="00CE51D9">
            <w:pPr>
              <w:spacing w:after="120"/>
              <w:jc w:val="left"/>
            </w:pPr>
            <w:r w:rsidRPr="008339A7">
              <w:t>NIT</w:t>
            </w:r>
          </w:p>
        </w:tc>
        <w:tc>
          <w:tcPr>
            <w:tcW w:w="7650" w:type="dxa"/>
            <w:noWrap/>
            <w:hideMark/>
          </w:tcPr>
          <w:p w14:paraId="06199D20" w14:textId="77777777" w:rsidR="00564C5E" w:rsidRPr="008339A7" w:rsidRDefault="00564C5E" w:rsidP="00CE51D9">
            <w:pPr>
              <w:spacing w:after="120"/>
              <w:jc w:val="left"/>
            </w:pPr>
            <w:r w:rsidRPr="008339A7">
              <w:t>National Institute of Technology</w:t>
            </w:r>
          </w:p>
        </w:tc>
      </w:tr>
      <w:tr w:rsidR="00564C5E" w:rsidRPr="008339A7" w14:paraId="2CDDCFB0" w14:textId="77777777" w:rsidTr="00701BE1">
        <w:trPr>
          <w:trHeight w:val="23"/>
        </w:trPr>
        <w:tc>
          <w:tcPr>
            <w:tcW w:w="1710" w:type="dxa"/>
            <w:noWrap/>
            <w:hideMark/>
          </w:tcPr>
          <w:p w14:paraId="60D20D87" w14:textId="77777777" w:rsidR="00564C5E" w:rsidRPr="008339A7" w:rsidRDefault="00564C5E" w:rsidP="00CE51D9">
            <w:pPr>
              <w:spacing w:after="120"/>
              <w:jc w:val="left"/>
            </w:pPr>
            <w:r w:rsidRPr="008339A7">
              <w:t>NPS</w:t>
            </w:r>
          </w:p>
        </w:tc>
        <w:tc>
          <w:tcPr>
            <w:tcW w:w="7650" w:type="dxa"/>
            <w:noWrap/>
            <w:hideMark/>
          </w:tcPr>
          <w:p w14:paraId="755DDC6A" w14:textId="77777777" w:rsidR="00564C5E" w:rsidRPr="008339A7" w:rsidRDefault="00564C5E" w:rsidP="00CE51D9">
            <w:pPr>
              <w:spacing w:after="120"/>
              <w:jc w:val="left"/>
            </w:pPr>
            <w:r w:rsidRPr="008339A7">
              <w:t>National Park Service</w:t>
            </w:r>
          </w:p>
        </w:tc>
      </w:tr>
      <w:tr w:rsidR="00564C5E" w:rsidRPr="008339A7" w14:paraId="12E287CB" w14:textId="77777777" w:rsidTr="00701BE1">
        <w:trPr>
          <w:trHeight w:val="23"/>
        </w:trPr>
        <w:tc>
          <w:tcPr>
            <w:tcW w:w="1710" w:type="dxa"/>
            <w:noWrap/>
            <w:hideMark/>
          </w:tcPr>
          <w:p w14:paraId="54754C1B" w14:textId="77777777" w:rsidR="00564C5E" w:rsidRPr="008339A7" w:rsidRDefault="00564C5E" w:rsidP="00CE51D9">
            <w:pPr>
              <w:spacing w:after="120"/>
              <w:jc w:val="left"/>
            </w:pPr>
            <w:r w:rsidRPr="008339A7">
              <w:t>OFE</w:t>
            </w:r>
          </w:p>
        </w:tc>
        <w:tc>
          <w:tcPr>
            <w:tcW w:w="7650" w:type="dxa"/>
            <w:noWrap/>
            <w:hideMark/>
          </w:tcPr>
          <w:p w14:paraId="32F5985A" w14:textId="77777777" w:rsidR="00564C5E" w:rsidRPr="008339A7" w:rsidRDefault="00564C5E" w:rsidP="00CE51D9">
            <w:pPr>
              <w:spacing w:after="120"/>
              <w:jc w:val="left"/>
            </w:pPr>
            <w:r w:rsidRPr="008339A7">
              <w:t>Other Freeways and Expressways</w:t>
            </w:r>
          </w:p>
        </w:tc>
      </w:tr>
      <w:tr w:rsidR="00564C5E" w:rsidRPr="008339A7" w14:paraId="720BDA06" w14:textId="77777777" w:rsidTr="00701BE1">
        <w:trPr>
          <w:trHeight w:val="23"/>
        </w:trPr>
        <w:tc>
          <w:tcPr>
            <w:tcW w:w="1710" w:type="dxa"/>
            <w:noWrap/>
            <w:hideMark/>
          </w:tcPr>
          <w:p w14:paraId="17803B15" w14:textId="77777777" w:rsidR="00564C5E" w:rsidRPr="008339A7" w:rsidRDefault="00564C5E" w:rsidP="00CE51D9">
            <w:pPr>
              <w:spacing w:after="120"/>
              <w:jc w:val="left"/>
            </w:pPr>
            <w:r w:rsidRPr="008339A7">
              <w:t>OPA</w:t>
            </w:r>
          </w:p>
        </w:tc>
        <w:tc>
          <w:tcPr>
            <w:tcW w:w="7650" w:type="dxa"/>
            <w:noWrap/>
            <w:hideMark/>
          </w:tcPr>
          <w:p w14:paraId="2D676148" w14:textId="77777777" w:rsidR="00564C5E" w:rsidRPr="008339A7" w:rsidRDefault="00564C5E" w:rsidP="00CE51D9">
            <w:pPr>
              <w:spacing w:after="120"/>
              <w:jc w:val="left"/>
            </w:pPr>
            <w:r w:rsidRPr="008339A7">
              <w:t>Other Principal Arterial</w:t>
            </w:r>
          </w:p>
        </w:tc>
      </w:tr>
      <w:tr w:rsidR="00564C5E" w:rsidRPr="008339A7" w14:paraId="0BA69599" w14:textId="77777777" w:rsidTr="00701BE1">
        <w:trPr>
          <w:trHeight w:val="23"/>
        </w:trPr>
        <w:tc>
          <w:tcPr>
            <w:tcW w:w="1710" w:type="dxa"/>
            <w:noWrap/>
            <w:hideMark/>
          </w:tcPr>
          <w:p w14:paraId="4BB81456" w14:textId="77777777" w:rsidR="00564C5E" w:rsidRPr="008339A7" w:rsidRDefault="00564C5E" w:rsidP="00CE51D9">
            <w:pPr>
              <w:spacing w:after="120"/>
              <w:jc w:val="left"/>
            </w:pPr>
            <w:r w:rsidRPr="008339A7">
              <w:t>PAS</w:t>
            </w:r>
          </w:p>
        </w:tc>
        <w:tc>
          <w:tcPr>
            <w:tcW w:w="7650" w:type="dxa"/>
            <w:noWrap/>
            <w:hideMark/>
          </w:tcPr>
          <w:p w14:paraId="6FF10054" w14:textId="77777777" w:rsidR="00564C5E" w:rsidRPr="008339A7" w:rsidRDefault="00564C5E" w:rsidP="00CE51D9">
            <w:pPr>
              <w:spacing w:after="120"/>
              <w:jc w:val="left"/>
            </w:pPr>
            <w:r w:rsidRPr="008339A7">
              <w:t>Principal Arterial System</w:t>
            </w:r>
          </w:p>
        </w:tc>
      </w:tr>
      <w:tr w:rsidR="00564C5E" w:rsidRPr="008339A7" w14:paraId="5E5D3A27" w14:textId="77777777" w:rsidTr="00701BE1">
        <w:trPr>
          <w:trHeight w:val="23"/>
        </w:trPr>
        <w:tc>
          <w:tcPr>
            <w:tcW w:w="1710" w:type="dxa"/>
            <w:noWrap/>
            <w:hideMark/>
          </w:tcPr>
          <w:p w14:paraId="10C5C475" w14:textId="77777777" w:rsidR="00564C5E" w:rsidRPr="008339A7" w:rsidRDefault="00564C5E" w:rsidP="00CE51D9">
            <w:pPr>
              <w:spacing w:after="120"/>
              <w:jc w:val="left"/>
            </w:pPr>
            <w:r w:rsidRPr="008339A7">
              <w:t>PHF</w:t>
            </w:r>
          </w:p>
        </w:tc>
        <w:tc>
          <w:tcPr>
            <w:tcW w:w="7650" w:type="dxa"/>
            <w:noWrap/>
            <w:hideMark/>
          </w:tcPr>
          <w:p w14:paraId="0E0E86FC" w14:textId="77777777" w:rsidR="00564C5E" w:rsidRPr="008339A7" w:rsidRDefault="00564C5E" w:rsidP="00CE51D9">
            <w:pPr>
              <w:spacing w:after="120"/>
              <w:jc w:val="left"/>
            </w:pPr>
            <w:r w:rsidRPr="008339A7">
              <w:t>Peak Hour Factor</w:t>
            </w:r>
          </w:p>
        </w:tc>
      </w:tr>
      <w:tr w:rsidR="00564C5E" w:rsidRPr="008339A7" w14:paraId="60EDFDE5" w14:textId="77777777" w:rsidTr="00701BE1">
        <w:trPr>
          <w:trHeight w:val="23"/>
        </w:trPr>
        <w:tc>
          <w:tcPr>
            <w:tcW w:w="1710" w:type="dxa"/>
            <w:noWrap/>
            <w:hideMark/>
          </w:tcPr>
          <w:p w14:paraId="398CC462" w14:textId="77777777" w:rsidR="00564C5E" w:rsidRPr="008339A7" w:rsidRDefault="00564C5E" w:rsidP="00CE51D9">
            <w:pPr>
              <w:spacing w:after="120"/>
              <w:jc w:val="left"/>
            </w:pPr>
            <w:r w:rsidRPr="008339A7">
              <w:lastRenderedPageBreak/>
              <w:t>PMS</w:t>
            </w:r>
          </w:p>
        </w:tc>
        <w:tc>
          <w:tcPr>
            <w:tcW w:w="7650" w:type="dxa"/>
            <w:noWrap/>
            <w:hideMark/>
          </w:tcPr>
          <w:p w14:paraId="6856B1C0" w14:textId="77777777" w:rsidR="00564C5E" w:rsidRPr="008339A7" w:rsidRDefault="00564C5E" w:rsidP="00CE51D9">
            <w:pPr>
              <w:spacing w:after="120"/>
              <w:jc w:val="left"/>
            </w:pPr>
            <w:r w:rsidRPr="008339A7">
              <w:t>Pavement Management System</w:t>
            </w:r>
          </w:p>
        </w:tc>
      </w:tr>
      <w:tr w:rsidR="00564C5E" w:rsidRPr="008339A7" w14:paraId="29FA3164" w14:textId="77777777" w:rsidTr="00701BE1">
        <w:trPr>
          <w:trHeight w:val="23"/>
        </w:trPr>
        <w:tc>
          <w:tcPr>
            <w:tcW w:w="1710" w:type="dxa"/>
            <w:noWrap/>
            <w:hideMark/>
          </w:tcPr>
          <w:p w14:paraId="253230A8" w14:textId="77777777" w:rsidR="00564C5E" w:rsidRPr="008339A7" w:rsidRDefault="00564C5E" w:rsidP="00CE51D9">
            <w:pPr>
              <w:spacing w:after="120"/>
              <w:jc w:val="left"/>
            </w:pPr>
            <w:r w:rsidRPr="008339A7">
              <w:t>PSR</w:t>
            </w:r>
          </w:p>
        </w:tc>
        <w:tc>
          <w:tcPr>
            <w:tcW w:w="7650" w:type="dxa"/>
            <w:noWrap/>
            <w:hideMark/>
          </w:tcPr>
          <w:p w14:paraId="1181572E" w14:textId="77777777" w:rsidR="00564C5E" w:rsidRPr="008339A7" w:rsidRDefault="00564C5E" w:rsidP="00CE51D9">
            <w:pPr>
              <w:spacing w:after="120"/>
              <w:jc w:val="left"/>
            </w:pPr>
            <w:r w:rsidRPr="008339A7">
              <w:t>Present Serviceability Rating</w:t>
            </w:r>
          </w:p>
        </w:tc>
      </w:tr>
      <w:tr w:rsidR="00564C5E" w:rsidRPr="008339A7" w14:paraId="417636BF" w14:textId="77777777" w:rsidTr="00701BE1">
        <w:trPr>
          <w:trHeight w:val="23"/>
        </w:trPr>
        <w:tc>
          <w:tcPr>
            <w:tcW w:w="1710" w:type="dxa"/>
            <w:noWrap/>
            <w:hideMark/>
          </w:tcPr>
          <w:p w14:paraId="7E458D36" w14:textId="77777777" w:rsidR="00564C5E" w:rsidRPr="008339A7" w:rsidRDefault="00564C5E" w:rsidP="00CE51D9">
            <w:pPr>
              <w:spacing w:after="120"/>
              <w:jc w:val="left"/>
            </w:pPr>
            <w:r w:rsidRPr="008339A7">
              <w:t>PTR</w:t>
            </w:r>
          </w:p>
        </w:tc>
        <w:tc>
          <w:tcPr>
            <w:tcW w:w="7650" w:type="dxa"/>
            <w:noWrap/>
            <w:hideMark/>
          </w:tcPr>
          <w:p w14:paraId="4D47402F" w14:textId="77777777" w:rsidR="00564C5E" w:rsidRPr="008339A7" w:rsidRDefault="00564C5E" w:rsidP="00CE51D9">
            <w:pPr>
              <w:spacing w:after="120"/>
              <w:jc w:val="left"/>
            </w:pPr>
            <w:r w:rsidRPr="008339A7">
              <w:t>Portable Traffic Recorder</w:t>
            </w:r>
          </w:p>
        </w:tc>
      </w:tr>
      <w:tr w:rsidR="00564C5E" w:rsidRPr="008339A7" w14:paraId="60235481" w14:textId="77777777" w:rsidTr="00701BE1">
        <w:trPr>
          <w:trHeight w:val="23"/>
        </w:trPr>
        <w:tc>
          <w:tcPr>
            <w:tcW w:w="1710" w:type="dxa"/>
            <w:noWrap/>
            <w:hideMark/>
          </w:tcPr>
          <w:p w14:paraId="6F1F17E6" w14:textId="77777777" w:rsidR="00564C5E" w:rsidRPr="008339A7" w:rsidRDefault="00564C5E" w:rsidP="00CE51D9">
            <w:pPr>
              <w:spacing w:after="120"/>
              <w:jc w:val="left"/>
            </w:pPr>
            <w:r w:rsidRPr="008339A7">
              <w:t>RF</w:t>
            </w:r>
          </w:p>
        </w:tc>
        <w:tc>
          <w:tcPr>
            <w:tcW w:w="7650" w:type="dxa"/>
            <w:noWrap/>
            <w:hideMark/>
          </w:tcPr>
          <w:p w14:paraId="16E4BC95" w14:textId="77777777" w:rsidR="00564C5E" w:rsidRPr="008339A7" w:rsidRDefault="00564C5E" w:rsidP="00CE51D9">
            <w:pPr>
              <w:spacing w:after="120"/>
              <w:jc w:val="left"/>
            </w:pPr>
            <w:r w:rsidRPr="008339A7">
              <w:t>Radio Frequency</w:t>
            </w:r>
          </w:p>
        </w:tc>
      </w:tr>
      <w:tr w:rsidR="00564C5E" w:rsidRPr="008339A7" w14:paraId="2483B810" w14:textId="77777777" w:rsidTr="00701BE1">
        <w:trPr>
          <w:trHeight w:val="23"/>
        </w:trPr>
        <w:tc>
          <w:tcPr>
            <w:tcW w:w="1710" w:type="dxa"/>
            <w:noWrap/>
            <w:hideMark/>
          </w:tcPr>
          <w:p w14:paraId="466DB16E" w14:textId="77777777" w:rsidR="00564C5E" w:rsidRPr="008339A7" w:rsidRDefault="00564C5E" w:rsidP="00CE51D9">
            <w:pPr>
              <w:spacing w:after="120"/>
              <w:jc w:val="left"/>
            </w:pPr>
            <w:r w:rsidRPr="008339A7">
              <w:t>SADT</w:t>
            </w:r>
          </w:p>
        </w:tc>
        <w:tc>
          <w:tcPr>
            <w:tcW w:w="7650" w:type="dxa"/>
            <w:noWrap/>
            <w:hideMark/>
          </w:tcPr>
          <w:p w14:paraId="793C9742" w14:textId="77777777" w:rsidR="00564C5E" w:rsidRPr="008339A7" w:rsidRDefault="00564C5E" w:rsidP="00CE51D9">
            <w:pPr>
              <w:spacing w:after="120"/>
              <w:jc w:val="left"/>
            </w:pPr>
            <w:r w:rsidRPr="008339A7">
              <w:t>Seasonal Average Daily Traffic</w:t>
            </w:r>
          </w:p>
        </w:tc>
      </w:tr>
      <w:tr w:rsidR="00564C5E" w:rsidRPr="008339A7" w14:paraId="7BB42462" w14:textId="77777777" w:rsidTr="00701BE1">
        <w:trPr>
          <w:trHeight w:val="23"/>
        </w:trPr>
        <w:tc>
          <w:tcPr>
            <w:tcW w:w="1710" w:type="dxa"/>
            <w:noWrap/>
            <w:hideMark/>
          </w:tcPr>
          <w:p w14:paraId="6C3905AB" w14:textId="77777777" w:rsidR="00564C5E" w:rsidRPr="008339A7" w:rsidRDefault="00564C5E" w:rsidP="00CE51D9">
            <w:pPr>
              <w:spacing w:after="120"/>
              <w:jc w:val="left"/>
            </w:pPr>
            <w:r w:rsidRPr="008339A7">
              <w:t>SAWA</w:t>
            </w:r>
          </w:p>
        </w:tc>
        <w:tc>
          <w:tcPr>
            <w:tcW w:w="7650" w:type="dxa"/>
            <w:noWrap/>
            <w:hideMark/>
          </w:tcPr>
          <w:p w14:paraId="629B5260" w14:textId="77777777" w:rsidR="00564C5E" w:rsidRPr="008339A7" w:rsidRDefault="00564C5E" w:rsidP="00CE51D9">
            <w:pPr>
              <w:spacing w:after="120"/>
              <w:jc w:val="left"/>
            </w:pPr>
            <w:r w:rsidRPr="008339A7">
              <w:t>Steering Axle Weight Average</w:t>
            </w:r>
          </w:p>
        </w:tc>
      </w:tr>
      <w:tr w:rsidR="00564C5E" w:rsidRPr="008339A7" w14:paraId="1CD72537" w14:textId="77777777" w:rsidTr="00701BE1">
        <w:trPr>
          <w:trHeight w:val="23"/>
        </w:trPr>
        <w:tc>
          <w:tcPr>
            <w:tcW w:w="1710" w:type="dxa"/>
            <w:noWrap/>
            <w:hideMark/>
          </w:tcPr>
          <w:p w14:paraId="48E4B8F0" w14:textId="77777777" w:rsidR="00564C5E" w:rsidRPr="008339A7" w:rsidRDefault="00564C5E" w:rsidP="00CE51D9">
            <w:pPr>
              <w:spacing w:after="120"/>
              <w:jc w:val="left"/>
            </w:pPr>
            <w:r w:rsidRPr="008339A7">
              <w:t>SHRP</w:t>
            </w:r>
          </w:p>
        </w:tc>
        <w:tc>
          <w:tcPr>
            <w:tcW w:w="7650" w:type="dxa"/>
            <w:noWrap/>
            <w:hideMark/>
          </w:tcPr>
          <w:p w14:paraId="0997BA6A" w14:textId="77777777" w:rsidR="00564C5E" w:rsidRPr="008339A7" w:rsidRDefault="00564C5E" w:rsidP="00CE51D9">
            <w:pPr>
              <w:spacing w:after="120"/>
              <w:jc w:val="left"/>
            </w:pPr>
            <w:r w:rsidRPr="008339A7">
              <w:t>Strategic Highway Research Program</w:t>
            </w:r>
          </w:p>
        </w:tc>
      </w:tr>
      <w:tr w:rsidR="00564C5E" w:rsidRPr="008339A7" w14:paraId="484A4C05" w14:textId="77777777" w:rsidTr="00701BE1">
        <w:trPr>
          <w:trHeight w:val="23"/>
        </w:trPr>
        <w:tc>
          <w:tcPr>
            <w:tcW w:w="1710" w:type="dxa"/>
            <w:noWrap/>
            <w:hideMark/>
          </w:tcPr>
          <w:p w14:paraId="04BB6502" w14:textId="77777777" w:rsidR="00564C5E" w:rsidRPr="008339A7" w:rsidRDefault="00564C5E" w:rsidP="00CE51D9">
            <w:pPr>
              <w:spacing w:after="120"/>
              <w:jc w:val="left"/>
            </w:pPr>
            <w:r w:rsidRPr="008339A7">
              <w:t>TEA21</w:t>
            </w:r>
          </w:p>
        </w:tc>
        <w:tc>
          <w:tcPr>
            <w:tcW w:w="7650" w:type="dxa"/>
            <w:noWrap/>
            <w:hideMark/>
          </w:tcPr>
          <w:p w14:paraId="241EAFC8" w14:textId="77777777" w:rsidR="00564C5E" w:rsidRPr="008339A7" w:rsidRDefault="00564C5E" w:rsidP="00CE51D9">
            <w:pPr>
              <w:spacing w:after="120"/>
              <w:jc w:val="left"/>
            </w:pPr>
            <w:r w:rsidRPr="008339A7">
              <w:t>Transportation Equity Act for the 21</w:t>
            </w:r>
            <w:r w:rsidRPr="008339A7">
              <w:rPr>
                <w:vertAlign w:val="superscript"/>
              </w:rPr>
              <w:t>st</w:t>
            </w:r>
            <w:r w:rsidRPr="008339A7">
              <w:t xml:space="preserve"> Century</w:t>
            </w:r>
          </w:p>
        </w:tc>
      </w:tr>
      <w:tr w:rsidR="00564C5E" w:rsidRPr="008339A7" w14:paraId="193EEA25" w14:textId="77777777" w:rsidTr="00701BE1">
        <w:trPr>
          <w:trHeight w:val="23"/>
        </w:trPr>
        <w:tc>
          <w:tcPr>
            <w:tcW w:w="1710" w:type="dxa"/>
            <w:noWrap/>
            <w:hideMark/>
          </w:tcPr>
          <w:p w14:paraId="655336C7" w14:textId="77777777" w:rsidR="00564C5E" w:rsidRPr="008339A7" w:rsidRDefault="00564C5E" w:rsidP="00CE51D9">
            <w:pPr>
              <w:spacing w:after="120"/>
              <w:jc w:val="left"/>
            </w:pPr>
            <w:r w:rsidRPr="008339A7">
              <w:t>TMAS</w:t>
            </w:r>
          </w:p>
        </w:tc>
        <w:tc>
          <w:tcPr>
            <w:tcW w:w="7650" w:type="dxa"/>
            <w:noWrap/>
            <w:hideMark/>
          </w:tcPr>
          <w:p w14:paraId="44695DC3" w14:textId="77777777" w:rsidR="00564C5E" w:rsidRPr="008339A7" w:rsidRDefault="00564C5E" w:rsidP="00CE51D9">
            <w:pPr>
              <w:spacing w:after="120"/>
              <w:jc w:val="left"/>
            </w:pPr>
            <w:r w:rsidRPr="008339A7">
              <w:t>Travel Monitoring Analysis System</w:t>
            </w:r>
          </w:p>
        </w:tc>
      </w:tr>
      <w:tr w:rsidR="00564C5E" w:rsidRPr="008339A7" w14:paraId="24F9ED22" w14:textId="77777777" w:rsidTr="00701BE1">
        <w:trPr>
          <w:trHeight w:val="23"/>
        </w:trPr>
        <w:tc>
          <w:tcPr>
            <w:tcW w:w="1710" w:type="dxa"/>
            <w:noWrap/>
            <w:hideMark/>
          </w:tcPr>
          <w:p w14:paraId="1DA93AED" w14:textId="77777777" w:rsidR="00564C5E" w:rsidRPr="008339A7" w:rsidRDefault="00564C5E" w:rsidP="00CE51D9">
            <w:pPr>
              <w:spacing w:after="120"/>
              <w:jc w:val="left"/>
              <w:rPr>
                <w:i/>
                <w:iCs/>
              </w:rPr>
            </w:pPr>
            <w:r w:rsidRPr="008339A7">
              <w:rPr>
                <w:i/>
                <w:iCs/>
              </w:rPr>
              <w:t>TMG</w:t>
            </w:r>
          </w:p>
        </w:tc>
        <w:tc>
          <w:tcPr>
            <w:tcW w:w="7650" w:type="dxa"/>
            <w:noWrap/>
            <w:hideMark/>
          </w:tcPr>
          <w:p w14:paraId="00465365" w14:textId="77777777" w:rsidR="00564C5E" w:rsidRPr="008339A7" w:rsidRDefault="00564C5E" w:rsidP="00CE51D9">
            <w:pPr>
              <w:spacing w:after="120"/>
              <w:jc w:val="left"/>
            </w:pPr>
            <w:r w:rsidRPr="008339A7">
              <w:t>Traffic Monitoring Guide</w:t>
            </w:r>
          </w:p>
        </w:tc>
      </w:tr>
      <w:tr w:rsidR="00564C5E" w:rsidRPr="008339A7" w14:paraId="4BA6A138" w14:textId="77777777" w:rsidTr="00701BE1">
        <w:trPr>
          <w:trHeight w:val="23"/>
        </w:trPr>
        <w:tc>
          <w:tcPr>
            <w:tcW w:w="1710" w:type="dxa"/>
            <w:noWrap/>
            <w:hideMark/>
          </w:tcPr>
          <w:p w14:paraId="230B07F9" w14:textId="77777777" w:rsidR="00564C5E" w:rsidRPr="008339A7" w:rsidRDefault="00564C5E" w:rsidP="00CE51D9">
            <w:pPr>
              <w:spacing w:after="120"/>
              <w:jc w:val="left"/>
            </w:pPr>
            <w:r w:rsidRPr="008339A7">
              <w:t>TVT</w:t>
            </w:r>
          </w:p>
        </w:tc>
        <w:tc>
          <w:tcPr>
            <w:tcW w:w="7650" w:type="dxa"/>
            <w:noWrap/>
            <w:hideMark/>
          </w:tcPr>
          <w:p w14:paraId="793D9C6B" w14:textId="77777777" w:rsidR="00564C5E" w:rsidRPr="008339A7" w:rsidRDefault="00564C5E" w:rsidP="00CE51D9">
            <w:pPr>
              <w:spacing w:after="120"/>
              <w:jc w:val="left"/>
            </w:pPr>
            <w:r w:rsidRPr="008339A7">
              <w:t>Travel Volume Trends</w:t>
            </w:r>
          </w:p>
        </w:tc>
      </w:tr>
      <w:tr w:rsidR="00564C5E" w:rsidRPr="008339A7" w14:paraId="231C6B06" w14:textId="77777777" w:rsidTr="00701BE1">
        <w:trPr>
          <w:trHeight w:val="23"/>
        </w:trPr>
        <w:tc>
          <w:tcPr>
            <w:tcW w:w="1710" w:type="dxa"/>
            <w:noWrap/>
            <w:hideMark/>
          </w:tcPr>
          <w:p w14:paraId="5283ADFF" w14:textId="77777777" w:rsidR="00564C5E" w:rsidRPr="008339A7" w:rsidRDefault="00564C5E" w:rsidP="00CE51D9">
            <w:pPr>
              <w:spacing w:after="120"/>
              <w:jc w:val="left"/>
            </w:pPr>
            <w:r w:rsidRPr="008339A7">
              <w:t>TWS</w:t>
            </w:r>
          </w:p>
        </w:tc>
        <w:tc>
          <w:tcPr>
            <w:tcW w:w="7650" w:type="dxa"/>
            <w:noWrap/>
            <w:hideMark/>
          </w:tcPr>
          <w:p w14:paraId="20B6E282" w14:textId="77777777" w:rsidR="00564C5E" w:rsidRPr="008339A7" w:rsidRDefault="00564C5E" w:rsidP="00CE51D9">
            <w:pPr>
              <w:spacing w:after="120"/>
              <w:jc w:val="left"/>
            </w:pPr>
            <w:r w:rsidRPr="008339A7">
              <w:t>Truck Weight Study</w:t>
            </w:r>
          </w:p>
        </w:tc>
      </w:tr>
      <w:tr w:rsidR="00564C5E" w:rsidRPr="008339A7" w14:paraId="616AC3FB" w14:textId="77777777" w:rsidTr="00701BE1">
        <w:trPr>
          <w:trHeight w:val="23"/>
        </w:trPr>
        <w:tc>
          <w:tcPr>
            <w:tcW w:w="1710" w:type="dxa"/>
            <w:noWrap/>
            <w:hideMark/>
          </w:tcPr>
          <w:p w14:paraId="144277D6" w14:textId="77777777" w:rsidR="00564C5E" w:rsidRPr="008339A7" w:rsidRDefault="00564C5E" w:rsidP="00CE51D9">
            <w:pPr>
              <w:spacing w:after="120"/>
              <w:jc w:val="left"/>
            </w:pPr>
            <w:r w:rsidRPr="008339A7">
              <w:t>UPACS</w:t>
            </w:r>
          </w:p>
        </w:tc>
        <w:tc>
          <w:tcPr>
            <w:tcW w:w="7650" w:type="dxa"/>
            <w:noWrap/>
            <w:hideMark/>
          </w:tcPr>
          <w:p w14:paraId="54FBF820" w14:textId="77777777" w:rsidR="00564C5E" w:rsidRPr="008339A7" w:rsidRDefault="00564C5E" w:rsidP="00CE51D9">
            <w:pPr>
              <w:spacing w:after="120"/>
              <w:jc w:val="left"/>
            </w:pPr>
            <w:r w:rsidRPr="008339A7">
              <w:t>User Profile and Access Control System</w:t>
            </w:r>
          </w:p>
        </w:tc>
      </w:tr>
      <w:tr w:rsidR="00564C5E" w:rsidRPr="008339A7" w14:paraId="7D4C2890" w14:textId="77777777" w:rsidTr="00701BE1">
        <w:trPr>
          <w:trHeight w:val="23"/>
        </w:trPr>
        <w:tc>
          <w:tcPr>
            <w:tcW w:w="1710" w:type="dxa"/>
            <w:noWrap/>
            <w:hideMark/>
          </w:tcPr>
          <w:p w14:paraId="57ED64A6" w14:textId="77777777" w:rsidR="00564C5E" w:rsidRPr="008339A7" w:rsidRDefault="00564C5E" w:rsidP="00CE51D9">
            <w:pPr>
              <w:spacing w:after="120"/>
              <w:jc w:val="left"/>
            </w:pPr>
            <w:r w:rsidRPr="008339A7">
              <w:t>VDT</w:t>
            </w:r>
          </w:p>
        </w:tc>
        <w:tc>
          <w:tcPr>
            <w:tcW w:w="7650" w:type="dxa"/>
            <w:noWrap/>
            <w:hideMark/>
          </w:tcPr>
          <w:p w14:paraId="493B26CB" w14:textId="77777777" w:rsidR="00564C5E" w:rsidRPr="008339A7" w:rsidRDefault="00564C5E" w:rsidP="00CE51D9">
            <w:pPr>
              <w:spacing w:after="120"/>
              <w:jc w:val="left"/>
            </w:pPr>
            <w:r w:rsidRPr="008339A7">
              <w:t>Vehicle Distance Traveled</w:t>
            </w:r>
          </w:p>
        </w:tc>
      </w:tr>
      <w:tr w:rsidR="00564C5E" w:rsidRPr="008339A7" w14:paraId="00164620" w14:textId="77777777" w:rsidTr="00701BE1">
        <w:trPr>
          <w:trHeight w:val="23"/>
        </w:trPr>
        <w:tc>
          <w:tcPr>
            <w:tcW w:w="1710" w:type="dxa"/>
            <w:noWrap/>
            <w:hideMark/>
          </w:tcPr>
          <w:p w14:paraId="6DBD0EF3" w14:textId="77777777" w:rsidR="00564C5E" w:rsidRPr="008339A7" w:rsidRDefault="00564C5E" w:rsidP="00CE51D9">
            <w:pPr>
              <w:spacing w:after="120"/>
              <w:jc w:val="left"/>
            </w:pPr>
            <w:r w:rsidRPr="008339A7">
              <w:t>VMT</w:t>
            </w:r>
          </w:p>
        </w:tc>
        <w:tc>
          <w:tcPr>
            <w:tcW w:w="7650" w:type="dxa"/>
            <w:noWrap/>
            <w:hideMark/>
          </w:tcPr>
          <w:p w14:paraId="08F37D30" w14:textId="77777777" w:rsidR="00564C5E" w:rsidRPr="008339A7" w:rsidRDefault="00564C5E" w:rsidP="00CE51D9">
            <w:pPr>
              <w:spacing w:after="120"/>
              <w:jc w:val="left"/>
            </w:pPr>
            <w:r w:rsidRPr="008339A7">
              <w:t>Vehicle Miles Traveled</w:t>
            </w:r>
          </w:p>
        </w:tc>
      </w:tr>
      <w:tr w:rsidR="00564C5E" w:rsidRPr="008339A7" w14:paraId="1C5909CC" w14:textId="77777777" w:rsidTr="00701BE1">
        <w:trPr>
          <w:trHeight w:val="23"/>
        </w:trPr>
        <w:tc>
          <w:tcPr>
            <w:tcW w:w="1710" w:type="dxa"/>
            <w:noWrap/>
            <w:hideMark/>
          </w:tcPr>
          <w:p w14:paraId="718CE920" w14:textId="77777777" w:rsidR="00564C5E" w:rsidRPr="008339A7" w:rsidRDefault="00564C5E" w:rsidP="00CE51D9">
            <w:pPr>
              <w:spacing w:after="120"/>
              <w:jc w:val="left"/>
            </w:pPr>
            <w:r w:rsidRPr="008339A7">
              <w:t>VTRIS</w:t>
            </w:r>
          </w:p>
        </w:tc>
        <w:tc>
          <w:tcPr>
            <w:tcW w:w="7650" w:type="dxa"/>
            <w:noWrap/>
            <w:hideMark/>
          </w:tcPr>
          <w:p w14:paraId="45D876F9" w14:textId="77777777" w:rsidR="00564C5E" w:rsidRPr="008339A7" w:rsidRDefault="00564C5E" w:rsidP="00CE51D9">
            <w:pPr>
              <w:spacing w:after="120"/>
              <w:jc w:val="left"/>
            </w:pPr>
            <w:r w:rsidRPr="008339A7">
              <w:t>Vehicle Travel Information System</w:t>
            </w:r>
          </w:p>
        </w:tc>
      </w:tr>
      <w:tr w:rsidR="00564C5E" w:rsidRPr="008339A7" w14:paraId="1B000924" w14:textId="77777777" w:rsidTr="00701BE1">
        <w:trPr>
          <w:trHeight w:val="23"/>
        </w:trPr>
        <w:tc>
          <w:tcPr>
            <w:tcW w:w="1710" w:type="dxa"/>
            <w:noWrap/>
            <w:hideMark/>
          </w:tcPr>
          <w:p w14:paraId="1ED99AB2" w14:textId="61E41B0A" w:rsidR="00564C5E" w:rsidRPr="008339A7" w:rsidRDefault="00564C5E" w:rsidP="00CE51D9">
            <w:pPr>
              <w:spacing w:after="120"/>
              <w:jc w:val="left"/>
            </w:pPr>
            <w:r w:rsidRPr="008339A7">
              <w:t>WIM</w:t>
            </w:r>
          </w:p>
        </w:tc>
        <w:tc>
          <w:tcPr>
            <w:tcW w:w="7650" w:type="dxa"/>
            <w:noWrap/>
            <w:hideMark/>
          </w:tcPr>
          <w:p w14:paraId="1D10725D" w14:textId="77777777" w:rsidR="00564C5E" w:rsidRPr="008339A7" w:rsidRDefault="00564C5E" w:rsidP="00CE51D9">
            <w:pPr>
              <w:spacing w:after="120"/>
              <w:jc w:val="left"/>
            </w:pPr>
            <w:r w:rsidRPr="008339A7">
              <w:t>Weigh-in-Motion</w:t>
            </w:r>
          </w:p>
        </w:tc>
      </w:tr>
    </w:tbl>
    <w:p w14:paraId="1729773C" w14:textId="77777777" w:rsidR="00CF3A35" w:rsidRPr="004C0E95" w:rsidRDefault="00CF3A35">
      <w:pPr>
        <w:pStyle w:val="Heading1"/>
        <w:sectPr w:rsidR="00CF3A35" w:rsidRPr="004C0E95" w:rsidSect="009E43D6">
          <w:headerReference w:type="even" r:id="rId44"/>
          <w:headerReference w:type="default" r:id="rId45"/>
          <w:headerReference w:type="first" r:id="rId46"/>
          <w:pgSz w:w="12240" w:h="15840" w:code="1"/>
          <w:pgMar w:top="1440" w:right="1440" w:bottom="1152" w:left="1440" w:header="720" w:footer="576" w:gutter="0"/>
          <w:pgNumType w:fmt="lowerRoman"/>
          <w:cols w:space="720"/>
          <w:titlePg/>
        </w:sectPr>
      </w:pPr>
      <w:bookmarkStart w:id="10" w:name="_Toc57736800"/>
      <w:bookmarkStart w:id="11" w:name="_Toc68864921"/>
      <w:bookmarkStart w:id="12" w:name="_Toc114474706"/>
    </w:p>
    <w:p w14:paraId="112ED8D5" w14:textId="46CE8A2F" w:rsidR="00046060" w:rsidRPr="004C0E95" w:rsidRDefault="001705F9" w:rsidP="00AA759F">
      <w:pPr>
        <w:pStyle w:val="Heading1"/>
        <w:numPr>
          <w:ilvl w:val="0"/>
          <w:numId w:val="0"/>
        </w:numPr>
      </w:pPr>
      <w:bookmarkStart w:id="13" w:name="_Toc114485820"/>
      <w:bookmarkStart w:id="14" w:name="_Toc118205541"/>
      <w:r w:rsidRPr="004C0E95">
        <w:lastRenderedPageBreak/>
        <w:t xml:space="preserve">Traffic </w:t>
      </w:r>
      <w:r w:rsidR="00F30C58" w:rsidRPr="004C0E95">
        <w:t xml:space="preserve">Monitoring Guide </w:t>
      </w:r>
      <w:r w:rsidR="00046060" w:rsidRPr="004C0E95">
        <w:t>Executive Summary</w:t>
      </w:r>
      <w:bookmarkEnd w:id="0"/>
      <w:bookmarkEnd w:id="10"/>
      <w:bookmarkEnd w:id="11"/>
      <w:bookmarkEnd w:id="12"/>
      <w:bookmarkEnd w:id="13"/>
      <w:bookmarkEnd w:id="14"/>
    </w:p>
    <w:p w14:paraId="4D4116B4" w14:textId="0BA07836" w:rsidR="00046060" w:rsidRPr="00871F71" w:rsidRDefault="004E69D2" w:rsidP="004E69D2">
      <w:pPr>
        <w:pStyle w:val="Heading6"/>
      </w:pPr>
      <w:bookmarkStart w:id="15" w:name="_Toc363656109"/>
      <w:bookmarkStart w:id="16" w:name="_Toc114488056"/>
      <w:bookmarkStart w:id="17" w:name="_Toc118205542"/>
      <w:r w:rsidRPr="00871F71">
        <w:t>ES.1</w:t>
      </w:r>
      <w:r w:rsidRPr="00871F71">
        <w:tab/>
      </w:r>
      <w:r w:rsidR="00046060" w:rsidRPr="00871F71">
        <w:t>Background</w:t>
      </w:r>
      <w:bookmarkEnd w:id="15"/>
      <w:bookmarkEnd w:id="16"/>
      <w:bookmarkEnd w:id="17"/>
    </w:p>
    <w:p w14:paraId="5510E17D" w14:textId="7ED1D526" w:rsidR="00046060" w:rsidRPr="004E7B1E" w:rsidRDefault="00046060" w:rsidP="00A35EAF">
      <w:pPr>
        <w:pStyle w:val="BodyText"/>
      </w:pPr>
      <w:r w:rsidRPr="004956A2">
        <w:t xml:space="preserve">This edition of the </w:t>
      </w:r>
      <w:r w:rsidRPr="00BD126D">
        <w:rPr>
          <w:rStyle w:val="Italic"/>
          <w:iCs/>
        </w:rPr>
        <w:t>Traffic Monitoring Guide (TMG)</w:t>
      </w:r>
      <w:r w:rsidRPr="004956A2">
        <w:t xml:space="preserve"> is intended to </w:t>
      </w:r>
      <w:r w:rsidRPr="004E7B1E">
        <w:t>provide the most up</w:t>
      </w:r>
      <w:r w:rsidR="002E1BE3">
        <w:t>-</w:t>
      </w:r>
      <w:r w:rsidRPr="004E7B1E">
        <w:t>to</w:t>
      </w:r>
      <w:r w:rsidR="002E1BE3">
        <w:t>-</w:t>
      </w:r>
      <w:r w:rsidRPr="004E7B1E">
        <w:t xml:space="preserve">date guidance to State highway agencies about the policies, standards, procedures, </w:t>
      </w:r>
      <w:r w:rsidR="00EE407B" w:rsidRPr="004E7B1E">
        <w:t xml:space="preserve">reporting, </w:t>
      </w:r>
      <w:r w:rsidRPr="004E7B1E">
        <w:t xml:space="preserve">and equipment </w:t>
      </w:r>
      <w:r w:rsidR="00995880" w:rsidRPr="004E7B1E">
        <w:t xml:space="preserve">utilized </w:t>
      </w:r>
      <w:r w:rsidRPr="004E7B1E">
        <w:t xml:space="preserve">in a traffic </w:t>
      </w:r>
      <w:r w:rsidRPr="00A35EAF">
        <w:t>monitoring</w:t>
      </w:r>
      <w:r w:rsidRPr="004E7B1E">
        <w:t xml:space="preserve"> program. The </w:t>
      </w:r>
      <w:r w:rsidRPr="0034431C">
        <w:rPr>
          <w:i/>
          <w:iCs/>
        </w:rPr>
        <w:t>TMG</w:t>
      </w:r>
      <w:r w:rsidRPr="004E7B1E">
        <w:t xml:space="preserve"> presents recommendations </w:t>
      </w:r>
      <w:r w:rsidR="00995880" w:rsidRPr="004E7B1E">
        <w:t>that help</w:t>
      </w:r>
      <w:r w:rsidRPr="004E7B1E">
        <w:t xml:space="preserve"> improve and advance current programs with a view toward the future of traffic monitoring and with consideration for transportation </w:t>
      </w:r>
      <w:r w:rsidR="001862BE" w:rsidRPr="004E7B1E">
        <w:t xml:space="preserve">regulations </w:t>
      </w:r>
      <w:r w:rsidRPr="004E7B1E">
        <w:t xml:space="preserve">resulting from </w:t>
      </w:r>
      <w:r w:rsidR="001862BE" w:rsidRPr="004E7B1E">
        <w:t xml:space="preserve">the </w:t>
      </w:r>
      <w:r w:rsidR="00D62373" w:rsidRPr="00D53F9F">
        <w:t>Fixing America's Surface Transportation (</w:t>
      </w:r>
      <w:r w:rsidR="001862BE" w:rsidRPr="004E7B1E">
        <w:t>FAST</w:t>
      </w:r>
      <w:r w:rsidR="00D62373">
        <w:t>)</w:t>
      </w:r>
      <w:r w:rsidR="001862BE" w:rsidRPr="004E7B1E">
        <w:t xml:space="preserve"> Act and its predecessors</w:t>
      </w:r>
      <w:r w:rsidRPr="004E7B1E">
        <w:t xml:space="preserve">. </w:t>
      </w:r>
    </w:p>
    <w:p w14:paraId="03A75A0C" w14:textId="6F39F195" w:rsidR="00046060" w:rsidRPr="004E7B1E" w:rsidRDefault="00046060" w:rsidP="00A35EAF">
      <w:pPr>
        <w:pStyle w:val="BodyText"/>
      </w:pPr>
      <w:r w:rsidRPr="004E7B1E">
        <w:t xml:space="preserve">The needs for traffic </w:t>
      </w:r>
      <w:r w:rsidR="00831ED3" w:rsidRPr="004E7B1E">
        <w:t xml:space="preserve">monitoring </w:t>
      </w:r>
      <w:r w:rsidRPr="004E7B1E">
        <w:t>data at both the Federal</w:t>
      </w:r>
      <w:r w:rsidR="00995880" w:rsidRPr="004E7B1E">
        <w:t>,</w:t>
      </w:r>
      <w:r w:rsidRPr="004E7B1E">
        <w:t xml:space="preserve"> State</w:t>
      </w:r>
      <w:r w:rsidR="00995880" w:rsidRPr="004E7B1E">
        <w:t>, and local</w:t>
      </w:r>
      <w:r w:rsidRPr="004E7B1E">
        <w:t xml:space="preserve"> levels require that </w:t>
      </w:r>
      <w:r w:rsidR="00995880" w:rsidRPr="004E7B1E">
        <w:t xml:space="preserve">agencies </w:t>
      </w:r>
      <w:r w:rsidRPr="004E7B1E">
        <w:t xml:space="preserve">have a well-designed traffic monitoring program. Traffic data </w:t>
      </w:r>
      <w:r w:rsidR="002E1BE3">
        <w:t>are</w:t>
      </w:r>
      <w:r w:rsidR="002E1BE3" w:rsidRPr="004E7B1E">
        <w:t xml:space="preserve"> </w:t>
      </w:r>
      <w:r w:rsidRPr="004E7B1E">
        <w:t xml:space="preserve">needed to assess current and past </w:t>
      </w:r>
      <w:r w:rsidR="001862BE" w:rsidRPr="004E7B1E">
        <w:t xml:space="preserve">system </w:t>
      </w:r>
      <w:r w:rsidRPr="004E7B1E">
        <w:t xml:space="preserve">performance and to predict future performance. Improved traffic data, including data on ramps, </w:t>
      </w:r>
      <w:r w:rsidR="002E1BE3">
        <w:t>are</w:t>
      </w:r>
      <w:r w:rsidR="002E1BE3" w:rsidRPr="004E7B1E">
        <w:t xml:space="preserve"> </w:t>
      </w:r>
      <w:r w:rsidRPr="004E7B1E">
        <w:t xml:space="preserve">needed for reporting in the Highway Performance Monitoring System (HPMS), and there are now opportunities to </w:t>
      </w:r>
      <w:r w:rsidR="001862BE" w:rsidRPr="004E7B1E">
        <w:t xml:space="preserve">use </w:t>
      </w:r>
      <w:r w:rsidRPr="004E7B1E">
        <w:t xml:space="preserve">traffic data </w:t>
      </w:r>
      <w:r w:rsidR="001862BE" w:rsidRPr="004E7B1E">
        <w:t xml:space="preserve">acquired </w:t>
      </w:r>
      <w:r w:rsidRPr="004E7B1E">
        <w:t xml:space="preserve">from Intelligent Transportation Systems (ITS) to support coordination of planning and operations functions at the </w:t>
      </w:r>
      <w:r w:rsidR="00995880" w:rsidRPr="004E7B1E">
        <w:t>various agency</w:t>
      </w:r>
      <w:r w:rsidRPr="004E7B1E">
        <w:t xml:space="preserve"> levels. </w:t>
      </w:r>
    </w:p>
    <w:p w14:paraId="46362579" w14:textId="6BC0BA7F" w:rsidR="00046060" w:rsidRPr="004E7B1E" w:rsidRDefault="00046060" w:rsidP="00A35EAF">
      <w:pPr>
        <w:pStyle w:val="BodyText"/>
      </w:pPr>
      <w:r w:rsidRPr="004E7B1E">
        <w:t xml:space="preserve">Continued improvements in traffic data collection technology have allowed States to improve their data collection processes and to streamline </w:t>
      </w:r>
      <w:r w:rsidR="00831ED3" w:rsidRPr="004E7B1E">
        <w:t>quality assurance and quality control (</w:t>
      </w:r>
      <w:r w:rsidRPr="004E7B1E">
        <w:t>QA/QC</w:t>
      </w:r>
      <w:r w:rsidR="00831ED3" w:rsidRPr="004E7B1E">
        <w:t>)</w:t>
      </w:r>
      <w:r w:rsidRPr="004E7B1E">
        <w:t xml:space="preserve"> procedures. New technology also enables States to collect data on </w:t>
      </w:r>
      <w:r w:rsidR="009D55A9" w:rsidRPr="004E7B1E">
        <w:t>micromobility</w:t>
      </w:r>
      <w:r w:rsidRPr="004E7B1E">
        <w:t xml:space="preserve"> </w:t>
      </w:r>
      <w:r w:rsidR="00D170DF" w:rsidRPr="004E7B1E">
        <w:t>tra</w:t>
      </w:r>
      <w:r w:rsidR="00D170DF">
        <w:t>ffic</w:t>
      </w:r>
      <w:r w:rsidRPr="004E7B1E">
        <w:t xml:space="preserve">, including bicycle and pedestrian traffic. The use of </w:t>
      </w:r>
      <w:r w:rsidR="002913D2" w:rsidRPr="004E7B1E">
        <w:t>micromobility</w:t>
      </w:r>
      <w:r w:rsidRPr="004E7B1E">
        <w:t xml:space="preserve"> </w:t>
      </w:r>
      <w:r w:rsidR="00D170DF" w:rsidRPr="004E7B1E">
        <w:t>tra</w:t>
      </w:r>
      <w:r w:rsidR="00D170DF">
        <w:t>ffic</w:t>
      </w:r>
      <w:r w:rsidR="00D170DF" w:rsidRPr="004E7B1E">
        <w:t xml:space="preserve"> </w:t>
      </w:r>
      <w:r w:rsidRPr="004E7B1E">
        <w:t>data supports analys</w:t>
      </w:r>
      <w:r w:rsidR="002E1BE3">
        <w:t>e</w:t>
      </w:r>
      <w:r w:rsidRPr="004E7B1E">
        <w:t>s regarding the impacts to the transportation network (on volumes and safety) resulting from the use of bicycles</w:t>
      </w:r>
      <w:r w:rsidR="00C46D82" w:rsidRPr="004E7B1E">
        <w:t xml:space="preserve"> and other</w:t>
      </w:r>
      <w:r w:rsidR="005B76E1" w:rsidRPr="004E7B1E">
        <w:t xml:space="preserve"> micromobility</w:t>
      </w:r>
      <w:r w:rsidR="00C46D82" w:rsidRPr="004E7B1E">
        <w:t xml:space="preserve"> devices</w:t>
      </w:r>
      <w:r w:rsidRPr="004E7B1E">
        <w:t xml:space="preserve"> as alternative travel method</w:t>
      </w:r>
      <w:r w:rsidR="00995880" w:rsidRPr="004E7B1E">
        <w:t>s</w:t>
      </w:r>
      <w:r w:rsidRPr="004E7B1E">
        <w:t xml:space="preserve">. The new technologies and procedures for traffic monitoring presented in </w:t>
      </w:r>
      <w:r w:rsidR="002E1BE3">
        <w:t xml:space="preserve">the </w:t>
      </w:r>
      <w:r w:rsidR="002E1BE3" w:rsidRPr="002E1BE3">
        <w:rPr>
          <w:i/>
          <w:iCs/>
        </w:rPr>
        <w:t>TMG</w:t>
      </w:r>
      <w:r w:rsidRPr="004E7B1E">
        <w:t xml:space="preserve"> are supplemented with practical examples from State experiences </w:t>
      </w:r>
      <w:r w:rsidR="00995880" w:rsidRPr="004E7B1E">
        <w:t xml:space="preserve">to </w:t>
      </w:r>
      <w:r w:rsidRPr="004E7B1E">
        <w:t>improv</w:t>
      </w:r>
      <w:r w:rsidR="006B10FE">
        <w:t xml:space="preserve">e </w:t>
      </w:r>
      <w:r w:rsidRPr="004E7B1E">
        <w:t xml:space="preserve">traffic monitoring programs. </w:t>
      </w:r>
    </w:p>
    <w:p w14:paraId="264865C1" w14:textId="634CB882" w:rsidR="00046060" w:rsidRPr="004E7B1E" w:rsidRDefault="00046060" w:rsidP="00A35EAF">
      <w:pPr>
        <w:pStyle w:val="BodyText"/>
      </w:pPr>
      <w:r w:rsidRPr="004E7B1E">
        <w:t>T</w:t>
      </w:r>
      <w:r w:rsidR="002E1BE3">
        <w:t xml:space="preserve">he </w:t>
      </w:r>
      <w:r w:rsidR="002E1BE3" w:rsidRPr="002E1BE3">
        <w:rPr>
          <w:i/>
          <w:iCs/>
        </w:rPr>
        <w:t>TMG</w:t>
      </w:r>
      <w:r w:rsidRPr="004E7B1E">
        <w:t xml:space="preserve"> is written to assist both experienced traffic data collection personnel and those who are less experienced or new to traffic</w:t>
      </w:r>
      <w:r w:rsidR="00831ED3" w:rsidRPr="004E7B1E">
        <w:t xml:space="preserve"> </w:t>
      </w:r>
      <w:r w:rsidRPr="004E7B1E">
        <w:t xml:space="preserve">data collection. </w:t>
      </w:r>
      <w:r w:rsidR="00C454C7">
        <w:t>R</w:t>
      </w:r>
      <w:r w:rsidRPr="004E7B1E">
        <w:t xml:space="preserve">eference material that </w:t>
      </w:r>
      <w:r w:rsidR="00995880" w:rsidRPr="004E7B1E">
        <w:t xml:space="preserve">will </w:t>
      </w:r>
      <w:r w:rsidRPr="004E7B1E">
        <w:t>benefit traffic data collection program</w:t>
      </w:r>
      <w:r w:rsidR="00777872" w:rsidRPr="004E7B1E">
        <w:t>s</w:t>
      </w:r>
      <w:r w:rsidRPr="004E7B1E">
        <w:t xml:space="preserve"> is found in </w:t>
      </w:r>
      <w:r w:rsidR="00777872" w:rsidRPr="004E7B1E">
        <w:t xml:space="preserve">the </w:t>
      </w:r>
      <w:r w:rsidR="0074518A" w:rsidRPr="004E7B1E">
        <w:t>Appendices</w:t>
      </w:r>
      <w:r w:rsidRPr="004E7B1E">
        <w:t xml:space="preserve">. </w:t>
      </w:r>
    </w:p>
    <w:p w14:paraId="42746BF0" w14:textId="1CF5D771" w:rsidR="00046060" w:rsidRPr="004E7B1E" w:rsidRDefault="00046060" w:rsidP="00A35EAF">
      <w:pPr>
        <w:pStyle w:val="BodyText"/>
      </w:pPr>
      <w:r w:rsidRPr="004E7B1E">
        <w:t xml:space="preserve">This edition of the </w:t>
      </w:r>
      <w:r w:rsidRPr="004E7B1E">
        <w:rPr>
          <w:i/>
        </w:rPr>
        <w:t>TMG</w:t>
      </w:r>
      <w:r w:rsidRPr="004E7B1E">
        <w:t xml:space="preserve"> also includes data formats for reporting traffic data</w:t>
      </w:r>
      <w:r w:rsidR="005B76E1" w:rsidRPr="004E7B1E">
        <w:t>, including</w:t>
      </w:r>
      <w:r w:rsidRPr="004E7B1E">
        <w:t xml:space="preserve"> the </w:t>
      </w:r>
      <w:r w:rsidR="0034431C">
        <w:t>Individual</w:t>
      </w:r>
      <w:r w:rsidR="0034431C" w:rsidRPr="004E7B1E">
        <w:t xml:space="preserve"> </w:t>
      </w:r>
      <w:r w:rsidRPr="004E7B1E">
        <w:t xml:space="preserve">Vehicle </w:t>
      </w:r>
      <w:r w:rsidR="008B63CC">
        <w:t>Record (IVR) f</w:t>
      </w:r>
      <w:r w:rsidRPr="004E7B1E">
        <w:t>ormat</w:t>
      </w:r>
      <w:r w:rsidR="004D4172">
        <w:t xml:space="preserve"> </w:t>
      </w:r>
      <w:r w:rsidRPr="004E7B1E">
        <w:t xml:space="preserve">for reporting volume, </w:t>
      </w:r>
      <w:r w:rsidR="002E1BE3">
        <w:t xml:space="preserve">vehicle </w:t>
      </w:r>
      <w:r w:rsidRPr="004E7B1E">
        <w:t xml:space="preserve">speed, vehicle classification, and vehicle weight data. Data formats are also provided for reporting </w:t>
      </w:r>
      <w:r w:rsidR="002913D2" w:rsidRPr="004E7B1E">
        <w:t>micromobility</w:t>
      </w:r>
      <w:r w:rsidRPr="004E7B1E">
        <w:t xml:space="preserve"> data for those </w:t>
      </w:r>
      <w:r w:rsidR="00995880" w:rsidRPr="004E7B1E">
        <w:t>agencies</w:t>
      </w:r>
      <w:r w:rsidRPr="004E7B1E">
        <w:t xml:space="preserve"> with capabilities to collect this type of data. This edition of the </w:t>
      </w:r>
      <w:r w:rsidRPr="004E7B1E">
        <w:rPr>
          <w:i/>
        </w:rPr>
        <w:t>TMG</w:t>
      </w:r>
      <w:r w:rsidRPr="004E7B1E">
        <w:t xml:space="preserve"> has been developed with considerable input from State traffic data program managers. This approach has resulted in a </w:t>
      </w:r>
      <w:r w:rsidR="00DC0F7C" w:rsidRPr="004E7B1E">
        <w:t xml:space="preserve">practical </w:t>
      </w:r>
      <w:r w:rsidRPr="004E7B1E">
        <w:t xml:space="preserve">guidance document that FHWA anticipates will be </w:t>
      </w:r>
      <w:r w:rsidR="00DC0F7C" w:rsidRPr="004E7B1E">
        <w:t xml:space="preserve">helpful </w:t>
      </w:r>
      <w:r w:rsidRPr="004E7B1E">
        <w:t>to States in improving their business processes, technology, and equipment used to successfully manage their traffic monitoring programs.</w:t>
      </w:r>
    </w:p>
    <w:p w14:paraId="075DB354" w14:textId="5BF3AD6C" w:rsidR="00046060" w:rsidRPr="00871F71" w:rsidRDefault="004E69D2" w:rsidP="004E69D2">
      <w:pPr>
        <w:pStyle w:val="Heading6"/>
      </w:pPr>
      <w:bookmarkStart w:id="18" w:name="_Toc363656110"/>
      <w:bookmarkStart w:id="19" w:name="_Toc114488057"/>
      <w:bookmarkStart w:id="20" w:name="_Toc118205543"/>
      <w:r w:rsidRPr="00871F71">
        <w:t>ES.2</w:t>
      </w:r>
      <w:r w:rsidRPr="00871F71">
        <w:tab/>
      </w:r>
      <w:r w:rsidR="00046060" w:rsidRPr="00871F71">
        <w:t>Scope</w:t>
      </w:r>
      <w:bookmarkEnd w:id="18"/>
      <w:bookmarkEnd w:id="19"/>
      <w:bookmarkEnd w:id="20"/>
    </w:p>
    <w:p w14:paraId="30B54887" w14:textId="4BD9DD4C" w:rsidR="00046060" w:rsidRPr="004E7B1E" w:rsidRDefault="00046060" w:rsidP="00A35EAF">
      <w:pPr>
        <w:pStyle w:val="BodyText"/>
      </w:pPr>
      <w:r w:rsidRPr="004E7B1E">
        <w:t xml:space="preserve">The scope of State traffic monitoring programs </w:t>
      </w:r>
      <w:r w:rsidR="00797E56" w:rsidRPr="004E7B1E">
        <w:t>encompasses</w:t>
      </w:r>
      <w:r w:rsidRPr="004E7B1E">
        <w:t xml:space="preserve"> </w:t>
      </w:r>
      <w:r w:rsidR="00797E56" w:rsidRPr="004E7B1E">
        <w:t xml:space="preserve">volume, classification, </w:t>
      </w:r>
      <w:r w:rsidRPr="004E7B1E">
        <w:t>speed</w:t>
      </w:r>
      <w:r w:rsidR="005B76E1" w:rsidRPr="004E7B1E">
        <w:t>,</w:t>
      </w:r>
      <w:r w:rsidRPr="004E7B1E">
        <w:t xml:space="preserve"> </w:t>
      </w:r>
      <w:r w:rsidR="00797E56" w:rsidRPr="004E7B1E">
        <w:t xml:space="preserve">and weight </w:t>
      </w:r>
      <w:r w:rsidRPr="004E7B1E">
        <w:t>data</w:t>
      </w:r>
      <w:r w:rsidR="00797E56" w:rsidRPr="004E7B1E">
        <w:t>.</w:t>
      </w:r>
      <w:r w:rsidRPr="004E7B1E">
        <w:t xml:space="preserve"> Traffic</w:t>
      </w:r>
      <w:r w:rsidR="00CC262E">
        <w:t> </w:t>
      </w:r>
      <w:r w:rsidR="00831ED3" w:rsidRPr="004E7B1E">
        <w:t xml:space="preserve">monitoring </w:t>
      </w:r>
      <w:r w:rsidRPr="004E7B1E">
        <w:t>data from the States continues to be required to meet the reporting requirements of the Federal Highway Administration (FHWA) under United States Code of Federal Regulations (CFR) title 23, 420.105(b), which requires States to provide data that support FHWA’s reporting responsibilities to Congress and to the public. Traffic data reported under this Federal regulation are submitted as part of the annual HPMS report from each State.</w:t>
      </w:r>
    </w:p>
    <w:p w14:paraId="35AC208F" w14:textId="6A5F13C9" w:rsidR="00046060" w:rsidRPr="000E3335" w:rsidRDefault="004E69D2" w:rsidP="004E69D2">
      <w:pPr>
        <w:pStyle w:val="Heading6"/>
      </w:pPr>
      <w:bookmarkStart w:id="21" w:name="_Toc363656111"/>
      <w:bookmarkStart w:id="22" w:name="_Toc114488058"/>
      <w:bookmarkStart w:id="23" w:name="_Toc118205544"/>
      <w:r>
        <w:t>ES.3</w:t>
      </w:r>
      <w:r>
        <w:tab/>
      </w:r>
      <w:r w:rsidR="00046060" w:rsidRPr="000E3335">
        <w:t>Users</w:t>
      </w:r>
      <w:bookmarkEnd w:id="21"/>
      <w:bookmarkEnd w:id="22"/>
      <w:bookmarkEnd w:id="23"/>
    </w:p>
    <w:p w14:paraId="2769ECA9" w14:textId="401EE8C7" w:rsidR="00046060" w:rsidRPr="004E7B1E" w:rsidRDefault="00046060" w:rsidP="00A35EAF">
      <w:pPr>
        <w:pStyle w:val="BodyText"/>
      </w:pPr>
      <w:r w:rsidRPr="004E7B1E">
        <w:t>Traffic</w:t>
      </w:r>
      <w:r w:rsidR="00FB1DB6" w:rsidRPr="004E7B1E">
        <w:t xml:space="preserve"> </w:t>
      </w:r>
      <w:r w:rsidRPr="004E7B1E">
        <w:t>data</w:t>
      </w:r>
      <w:r w:rsidR="006A2A36" w:rsidRPr="004E7B1E">
        <w:t>sets are</w:t>
      </w:r>
      <w:r w:rsidRPr="004E7B1E">
        <w:t xml:space="preserve"> typically used to support highway agency activities that include </w:t>
      </w:r>
      <w:r w:rsidR="00595366" w:rsidRPr="004E7B1E">
        <w:t xml:space="preserve">planning, </w:t>
      </w:r>
      <w:r w:rsidRPr="004E7B1E">
        <w:t>design, maintenance, operations, safety, environmental analysis, finance, engineering economics, and performance management. Each State has its own traffic data collection needs, priorities, budgets, geographic, and organizational constraints. These differences cause agencies to select different equipment for data collection, use different data collection plans, and emphasize different data reporting outputs. T</w:t>
      </w:r>
      <w:r w:rsidR="0034431C">
        <w:t xml:space="preserve">he </w:t>
      </w:r>
      <w:r w:rsidR="0034431C" w:rsidRPr="002E1BE3">
        <w:rPr>
          <w:i/>
          <w:iCs/>
        </w:rPr>
        <w:t>TMG</w:t>
      </w:r>
      <w:r w:rsidRPr="004E7B1E">
        <w:t xml:space="preserve"> provide</w:t>
      </w:r>
      <w:r w:rsidR="00B93866" w:rsidRPr="004E7B1E">
        <w:t>s</w:t>
      </w:r>
      <w:r w:rsidRPr="004E7B1E">
        <w:t xml:space="preserve"> </w:t>
      </w:r>
      <w:r w:rsidR="006B10FE">
        <w:t>support</w:t>
      </w:r>
      <w:r w:rsidR="006B10FE" w:rsidRPr="004E7B1E">
        <w:t xml:space="preserve"> </w:t>
      </w:r>
      <w:r w:rsidRPr="004E7B1E">
        <w:t xml:space="preserve">to highway agencies in </w:t>
      </w:r>
      <w:r w:rsidR="00B93866" w:rsidRPr="004E7B1E">
        <w:t>regard to</w:t>
      </w:r>
      <w:r w:rsidRPr="004E7B1E">
        <w:t xml:space="preserve"> successful approaches for data collection, analysis, and reporting based on </w:t>
      </w:r>
      <w:r w:rsidR="0034431C">
        <w:t>noteworthy</w:t>
      </w:r>
      <w:r w:rsidR="0034431C" w:rsidRPr="004E7B1E">
        <w:t xml:space="preserve"> </w:t>
      </w:r>
      <w:r w:rsidRPr="004E7B1E">
        <w:t>practice examples</w:t>
      </w:r>
      <w:r w:rsidR="006B10FE">
        <w:t xml:space="preserve">. These </w:t>
      </w:r>
      <w:r w:rsidR="003B7D35">
        <w:t xml:space="preserve">noteworthy </w:t>
      </w:r>
      <w:r w:rsidR="006B10FE">
        <w:t xml:space="preserve">practice examples </w:t>
      </w:r>
      <w:r w:rsidRPr="004E7B1E">
        <w:t xml:space="preserve">are highlighted in the appendices. </w:t>
      </w:r>
    </w:p>
    <w:p w14:paraId="25A8D9A7" w14:textId="110AAF38" w:rsidR="00046060" w:rsidRPr="00F468E1" w:rsidRDefault="004E69D2" w:rsidP="004E69D2">
      <w:pPr>
        <w:pStyle w:val="Heading6"/>
      </w:pPr>
      <w:bookmarkStart w:id="24" w:name="_Toc363656112"/>
      <w:bookmarkStart w:id="25" w:name="_Toc114488059"/>
      <w:bookmarkStart w:id="26" w:name="_Toc118205545"/>
      <w:r>
        <w:lastRenderedPageBreak/>
        <w:t>ES.4</w:t>
      </w:r>
      <w:r>
        <w:tab/>
      </w:r>
      <w:r w:rsidR="00046060" w:rsidRPr="00F468E1">
        <w:t>Manual Organization</w:t>
      </w:r>
      <w:bookmarkEnd w:id="24"/>
      <w:bookmarkEnd w:id="25"/>
      <w:bookmarkEnd w:id="26"/>
    </w:p>
    <w:p w14:paraId="59B28F5E" w14:textId="7E1C6446" w:rsidR="00046060" w:rsidRPr="004E7B1E" w:rsidRDefault="00046060" w:rsidP="00A35EAF">
      <w:pPr>
        <w:pStyle w:val="BodyText"/>
      </w:pPr>
      <w:r w:rsidRPr="004E7B1E">
        <w:t xml:space="preserve">The </w:t>
      </w:r>
      <w:r w:rsidR="0034431C" w:rsidRPr="0034431C">
        <w:rPr>
          <w:i/>
          <w:iCs/>
        </w:rPr>
        <w:t>TM</w:t>
      </w:r>
      <w:r w:rsidRPr="004E7B1E">
        <w:rPr>
          <w:rStyle w:val="Italic"/>
          <w:iCs/>
        </w:rPr>
        <w:t>G</w:t>
      </w:r>
      <w:r w:rsidRPr="004E7B1E">
        <w:t xml:space="preserve"> begins with an overview of traffic monitoring programs (Chapter 1). The </w:t>
      </w:r>
      <w:r w:rsidR="00633208" w:rsidRPr="0034431C">
        <w:rPr>
          <w:i/>
          <w:iCs/>
        </w:rPr>
        <w:t>TM</w:t>
      </w:r>
      <w:r w:rsidRPr="004E7B1E">
        <w:rPr>
          <w:rStyle w:val="Italic"/>
          <w:iCs/>
        </w:rPr>
        <w:t>G</w:t>
      </w:r>
      <w:r w:rsidRPr="004E7B1E">
        <w:t xml:space="preserve"> also </w:t>
      </w:r>
      <w:r w:rsidR="005B76E1" w:rsidRPr="004E7B1E">
        <w:t>covers vehicle detection</w:t>
      </w:r>
      <w:r w:rsidRPr="004E7B1E">
        <w:t xml:space="preserve"> theory and provides an overview of different </w:t>
      </w:r>
      <w:r w:rsidR="005B76E1" w:rsidRPr="004E7B1E">
        <w:t xml:space="preserve">traffic monitoring </w:t>
      </w:r>
      <w:r w:rsidRPr="004E7B1E">
        <w:t xml:space="preserve">technologies (Chapter 2) and provides comprehensive guidance on the methodologies used for motorized and </w:t>
      </w:r>
      <w:r w:rsidR="002913D2" w:rsidRPr="004E7B1E">
        <w:t>micromobility</w:t>
      </w:r>
      <w:r w:rsidR="009D55A9" w:rsidRPr="004E7B1E">
        <w:t xml:space="preserve"> </w:t>
      </w:r>
      <w:r w:rsidRPr="004E7B1E">
        <w:t>traffic monitoring practices (Chapter 3).</w:t>
      </w:r>
      <w:r w:rsidR="004D4172">
        <w:t xml:space="preserve"> </w:t>
      </w:r>
      <w:r w:rsidRPr="004E7B1E">
        <w:t xml:space="preserve">Defined record formats used for submitting traffic data for both motorized and </w:t>
      </w:r>
      <w:r w:rsidR="002913D2" w:rsidRPr="004E7B1E">
        <w:t>micromobility</w:t>
      </w:r>
      <w:r w:rsidRPr="004E7B1E">
        <w:t xml:space="preserve"> data</w:t>
      </w:r>
      <w:r w:rsidR="00633208">
        <w:t>,</w:t>
      </w:r>
      <w:r w:rsidRPr="004E7B1E">
        <w:t xml:space="preserve"> along with a table explaining the deadlines for submitting traffic data to the FHWA Office of Highway Policy Information</w:t>
      </w:r>
      <w:r w:rsidR="00633208">
        <w:t>,</w:t>
      </w:r>
      <w:r w:rsidRPr="004E7B1E">
        <w:t xml:space="preserve"> can be found in Chapter 4.</w:t>
      </w:r>
      <w:r w:rsidR="004D4172">
        <w:t xml:space="preserve"> </w:t>
      </w:r>
      <w:r w:rsidRPr="004E7B1E">
        <w:t xml:space="preserve">Federal data reporting requirements and the importance of HPMS reporting requirements for traffic data are explained in Chapter 5. The final </w:t>
      </w:r>
      <w:r w:rsidRPr="00B80543">
        <w:t>chapter (Chapter 6) con</w:t>
      </w:r>
      <w:r w:rsidRPr="004E7B1E">
        <w:t>tains new information on acquiring third</w:t>
      </w:r>
      <w:r w:rsidR="00633208">
        <w:t>-</w:t>
      </w:r>
      <w:r w:rsidRPr="004E7B1E">
        <w:t>party traffic data, new technology</w:t>
      </w:r>
      <w:r w:rsidR="005B76E1" w:rsidRPr="004E7B1E">
        <w:t>,</w:t>
      </w:r>
      <w:r w:rsidRPr="004E7B1E">
        <w:t xml:space="preserve"> and data analysis (3</w:t>
      </w:r>
      <w:r w:rsidRPr="004E7B1E">
        <w:rPr>
          <w:vertAlign w:val="superscript"/>
        </w:rPr>
        <w:t>rd</w:t>
      </w:r>
      <w:r w:rsidRPr="004E7B1E">
        <w:t xml:space="preserve"> Party Data Sources). </w:t>
      </w:r>
    </w:p>
    <w:p w14:paraId="3232EFBA" w14:textId="6F011962" w:rsidR="00046060" w:rsidRPr="00FF5B13" w:rsidRDefault="0011380D" w:rsidP="007958C1">
      <w:pPr>
        <w:pStyle w:val="BodyText"/>
        <w:spacing w:after="60"/>
      </w:pPr>
      <w:r w:rsidRPr="00FF5B13">
        <w:t>A glossary of terms, list of acronyms</w:t>
      </w:r>
      <w:r w:rsidR="00633208">
        <w:t>,</w:t>
      </w:r>
      <w:r w:rsidRPr="00FF5B13">
        <w:t xml:space="preserve"> and </w:t>
      </w:r>
      <w:r w:rsidR="00046060" w:rsidRPr="00FF5B13">
        <w:t>Appendices are included</w:t>
      </w:r>
      <w:r w:rsidRPr="00FF5B13">
        <w:t xml:space="preserve">. The </w:t>
      </w:r>
      <w:r w:rsidR="006B10FE" w:rsidRPr="00FF5B13">
        <w:t>Appendices</w:t>
      </w:r>
      <w:r w:rsidRPr="00FF5B13">
        <w:t xml:space="preserve"> </w:t>
      </w:r>
      <w:r w:rsidR="00046060" w:rsidRPr="00FF5B13">
        <w:t>provide</w:t>
      </w:r>
      <w:r w:rsidRPr="00FF5B13">
        <w:t xml:space="preserve"> </w:t>
      </w:r>
      <w:r w:rsidR="00046060" w:rsidRPr="00FF5B13">
        <w:t xml:space="preserve">establishing </w:t>
      </w:r>
      <w:bookmarkStart w:id="27" w:name="_Hlk78790114"/>
      <w:r w:rsidR="00046060" w:rsidRPr="00FF5B13">
        <w:t>data QA/QC criteria, setting up and calibrating data collection equipment</w:t>
      </w:r>
      <w:r w:rsidRPr="00FF5B13">
        <w:t xml:space="preserve">, </w:t>
      </w:r>
      <w:r w:rsidR="00046060" w:rsidRPr="00FF5B13">
        <w:t xml:space="preserve">guidance on the use of traffic data for pavement design purposes, guidance on length-based classification, and </w:t>
      </w:r>
      <w:r w:rsidR="00B93866" w:rsidRPr="00FF5B13">
        <w:t xml:space="preserve">traffic data </w:t>
      </w:r>
      <w:r w:rsidR="00FB1DB6" w:rsidRPr="00FF5B13">
        <w:t>quality control (</w:t>
      </w:r>
      <w:r w:rsidR="00046060" w:rsidRPr="00FF5B13">
        <w:t>QC</w:t>
      </w:r>
      <w:r w:rsidR="00FB1DB6" w:rsidRPr="00FF5B13">
        <w:t>)</w:t>
      </w:r>
      <w:r w:rsidR="00046060" w:rsidRPr="00FF5B13">
        <w:t xml:space="preserve"> checks performed </w:t>
      </w:r>
      <w:bookmarkEnd w:id="27"/>
      <w:r w:rsidR="00046060" w:rsidRPr="00FF5B13">
        <w:t>by the Travel Monitoring Analysis System (TMAS) software. Th</w:t>
      </w:r>
      <w:r w:rsidR="00633208">
        <w:t>e</w:t>
      </w:r>
      <w:r w:rsidR="00046060" w:rsidRPr="00FF5B13">
        <w:t xml:space="preserve"> </w:t>
      </w:r>
      <w:r w:rsidR="00633208" w:rsidRPr="0034431C">
        <w:rPr>
          <w:i/>
          <w:iCs/>
        </w:rPr>
        <w:t>TM</w:t>
      </w:r>
      <w:r w:rsidR="00046060" w:rsidRPr="00FF5B13">
        <w:rPr>
          <w:rStyle w:val="Italic"/>
          <w:iCs/>
        </w:rPr>
        <w:t>G</w:t>
      </w:r>
      <w:r w:rsidR="00046060" w:rsidRPr="00FF5B13">
        <w:t xml:space="preserve"> also includes References.</w:t>
      </w:r>
    </w:p>
    <w:p w14:paraId="61813B34" w14:textId="027D0681" w:rsidR="002913D2" w:rsidRPr="00FF5B13" w:rsidRDefault="002913D2" w:rsidP="0010467B">
      <w:pPr>
        <w:pStyle w:val="BodyText"/>
      </w:pPr>
      <w:r w:rsidRPr="00FF5B13">
        <w:t xml:space="preserve">There are several new sections within the </w:t>
      </w:r>
      <w:r w:rsidR="004621B2">
        <w:t>2022</w:t>
      </w:r>
      <w:r w:rsidRPr="00FF5B13">
        <w:t xml:space="preserve"> TMG</w:t>
      </w:r>
      <w:r w:rsidR="005B76E1" w:rsidRPr="00FF5B13">
        <w:t xml:space="preserve"> edition</w:t>
      </w:r>
      <w:r w:rsidR="00CC1DE1" w:rsidRPr="00FF5B13">
        <w:t>.</w:t>
      </w:r>
      <w:r w:rsidR="004D4172">
        <w:t xml:space="preserve"> </w:t>
      </w:r>
      <w:r w:rsidR="00CC1DE1" w:rsidRPr="00FF5B13">
        <w:t xml:space="preserve">These new sections with major changes are highlighted below </w:t>
      </w:r>
      <w:r w:rsidR="00CC1DE1" w:rsidRPr="0010467B">
        <w:t>and</w:t>
      </w:r>
      <w:r w:rsidR="00CC1DE1" w:rsidRPr="00FF5B13">
        <w:t xml:space="preserve"> </w:t>
      </w:r>
      <w:r w:rsidRPr="00FF5B13">
        <w:t>include</w:t>
      </w:r>
      <w:r w:rsidR="00CC1DE1" w:rsidRPr="00FF5B13">
        <w:t>:</w:t>
      </w:r>
    </w:p>
    <w:p w14:paraId="021465BD" w14:textId="26639BB7" w:rsidR="002913D2" w:rsidRPr="00FF5B13" w:rsidRDefault="002913D2">
      <w:pPr>
        <w:pStyle w:val="TMGBullet"/>
      </w:pPr>
      <w:r w:rsidRPr="00FF5B13">
        <w:t>Expansion of non-motorized traffic monitoring to include all micromobility devices (Ch. 1</w:t>
      </w:r>
      <w:r w:rsidR="005B76E1" w:rsidRPr="00FF5B13">
        <w:t xml:space="preserve"> and 2</w:t>
      </w:r>
      <w:r w:rsidRPr="00FF5B13">
        <w:t>)</w:t>
      </w:r>
    </w:p>
    <w:p w14:paraId="638FC3DF" w14:textId="0C25A93E" w:rsidR="002913D2" w:rsidRPr="00FF5B13" w:rsidRDefault="002913D2">
      <w:pPr>
        <w:pStyle w:val="TMGBullet"/>
      </w:pPr>
      <w:r w:rsidRPr="00FF5B13">
        <w:t xml:space="preserve">Consolidation and update of </w:t>
      </w:r>
      <w:r w:rsidR="00E62737" w:rsidRPr="00FF5B13">
        <w:t xml:space="preserve">traffic </w:t>
      </w:r>
      <w:r w:rsidRPr="00FF5B13">
        <w:t xml:space="preserve">monitoring </w:t>
      </w:r>
      <w:r w:rsidR="00E62737" w:rsidRPr="00FF5B13">
        <w:t xml:space="preserve">technologies </w:t>
      </w:r>
      <w:r w:rsidRPr="00FF5B13">
        <w:t>(Ch. 2)</w:t>
      </w:r>
    </w:p>
    <w:p w14:paraId="1D5A3568" w14:textId="67475315" w:rsidR="002913D2" w:rsidRPr="00FF5B13" w:rsidRDefault="004E7B1E">
      <w:pPr>
        <w:pStyle w:val="TMGBullet"/>
      </w:pPr>
      <w:r w:rsidRPr="00FF5B13">
        <w:t>Similarities</w:t>
      </w:r>
      <w:r w:rsidR="002913D2" w:rsidRPr="00FF5B13">
        <w:t xml:space="preserve"> between motorized vehicle</w:t>
      </w:r>
      <w:r w:rsidR="00665742">
        <w:t xml:space="preserve"> and </w:t>
      </w:r>
      <w:r w:rsidR="002913D2" w:rsidRPr="00FF5B13">
        <w:t>micromobility data collection and processing (Ch. 3)</w:t>
      </w:r>
    </w:p>
    <w:p w14:paraId="28BF96C6" w14:textId="77777777" w:rsidR="002913D2" w:rsidRPr="00FF5B13" w:rsidRDefault="002913D2">
      <w:pPr>
        <w:pStyle w:val="TMGBullet"/>
      </w:pPr>
      <w:r w:rsidRPr="00FF5B13">
        <w:t>Significantly revised data formats for FHWA submissions (Ch. 4)</w:t>
      </w:r>
    </w:p>
    <w:p w14:paraId="5907E20D" w14:textId="77777777" w:rsidR="002913D2" w:rsidRPr="00FF5B13" w:rsidRDefault="002913D2">
      <w:pPr>
        <w:pStyle w:val="TMGBullet"/>
      </w:pPr>
      <w:r w:rsidRPr="00FF5B13">
        <w:t>New emphasis on 3rd party roles in traffic programs (Ch. 6)</w:t>
      </w:r>
    </w:p>
    <w:p w14:paraId="09D7D12F" w14:textId="1CD4D29A" w:rsidR="00187330" w:rsidRPr="00FF5B13" w:rsidRDefault="00187330" w:rsidP="0010467B">
      <w:pPr>
        <w:pStyle w:val="BodyText"/>
      </w:pPr>
      <w:r w:rsidRPr="00FF5B13">
        <w:t xml:space="preserve">The </w:t>
      </w:r>
      <w:r w:rsidR="004621B2">
        <w:t>2022</w:t>
      </w:r>
      <w:r w:rsidRPr="00FF5B13">
        <w:t xml:space="preserve"> </w:t>
      </w:r>
      <w:r w:rsidRPr="00FF5B13">
        <w:rPr>
          <w:i/>
          <w:iCs/>
        </w:rPr>
        <w:t>TMG</w:t>
      </w:r>
      <w:r w:rsidRPr="00FF5B13">
        <w:t xml:space="preserve"> has been organized into six </w:t>
      </w:r>
      <w:r w:rsidRPr="0010467B">
        <w:t>different</w:t>
      </w:r>
      <w:r w:rsidRPr="00FF5B13">
        <w:t xml:space="preserve"> chapters including the following:</w:t>
      </w:r>
    </w:p>
    <w:p w14:paraId="3780BC2F" w14:textId="74B5000F" w:rsidR="00187330" w:rsidRPr="00FF5B13" w:rsidRDefault="00187330">
      <w:pPr>
        <w:pStyle w:val="TMGBullet"/>
      </w:pPr>
      <w:r w:rsidRPr="00FF5B13">
        <w:t xml:space="preserve">Chapter 1 Traffic Monitoring </w:t>
      </w:r>
      <w:r w:rsidR="00F87F9D" w:rsidRPr="00FF5B13">
        <w:t>Theory, Technology and Concepts</w:t>
      </w:r>
      <w:r w:rsidR="004D4172">
        <w:t xml:space="preserve"> </w:t>
      </w:r>
    </w:p>
    <w:p w14:paraId="60C0352F" w14:textId="3455DDA1" w:rsidR="00187330" w:rsidRPr="00FF5B13" w:rsidRDefault="00187330">
      <w:pPr>
        <w:pStyle w:val="TMGBullet"/>
      </w:pPr>
      <w:r w:rsidRPr="00FF5B13">
        <w:t xml:space="preserve">Chapter 2 Traffic Data Collection </w:t>
      </w:r>
      <w:r w:rsidR="00F87F9D" w:rsidRPr="00FF5B13">
        <w:t xml:space="preserve">and </w:t>
      </w:r>
      <w:r w:rsidRPr="00FF5B13">
        <w:t xml:space="preserve">Technology </w:t>
      </w:r>
    </w:p>
    <w:p w14:paraId="48C52B4F" w14:textId="705B6C66" w:rsidR="00187330" w:rsidRPr="00FF5B13" w:rsidRDefault="00187330">
      <w:pPr>
        <w:pStyle w:val="TMGBullet"/>
      </w:pPr>
      <w:r w:rsidRPr="00FF5B13">
        <w:t xml:space="preserve">Chapter 3 </w:t>
      </w:r>
      <w:r w:rsidR="00F87F9D" w:rsidRPr="00FF5B13">
        <w:t xml:space="preserve">Traffic Monitoring </w:t>
      </w:r>
      <w:r w:rsidRPr="00FF5B13">
        <w:t>Methodolog</w:t>
      </w:r>
      <w:r w:rsidR="00F87F9D" w:rsidRPr="00FF5B13">
        <w:t>y</w:t>
      </w:r>
    </w:p>
    <w:p w14:paraId="4F1B4A5E" w14:textId="7E5A8088" w:rsidR="00187330" w:rsidRPr="00FF5B13" w:rsidRDefault="00187330">
      <w:pPr>
        <w:pStyle w:val="TMGBullet"/>
      </w:pPr>
      <w:r w:rsidRPr="00FF5B13">
        <w:t>Chapter 4 Traffic Monitoring Formats</w:t>
      </w:r>
    </w:p>
    <w:p w14:paraId="6500DBBA" w14:textId="77777777" w:rsidR="00187330" w:rsidRPr="00FF5B13" w:rsidRDefault="00187330">
      <w:pPr>
        <w:pStyle w:val="TMGBullet"/>
      </w:pPr>
      <w:r w:rsidRPr="00FF5B13">
        <w:t>Chapter 5 Federal Data Reporting Requirements and Tools: TMAS, HPMS</w:t>
      </w:r>
    </w:p>
    <w:p w14:paraId="3F746DBF" w14:textId="77777777" w:rsidR="00F87F9D" w:rsidRPr="00FF5B13" w:rsidRDefault="00187330">
      <w:pPr>
        <w:pStyle w:val="TMGBullet"/>
      </w:pPr>
      <w:r w:rsidRPr="00FF5B13">
        <w:t>Chapter 6 Third Party Traffic Data</w:t>
      </w:r>
    </w:p>
    <w:p w14:paraId="40FE8356" w14:textId="4CFF9000" w:rsidR="005359BF" w:rsidRPr="004E7B1E" w:rsidRDefault="00046060" w:rsidP="00A35EAF">
      <w:pPr>
        <w:pStyle w:val="BodyText"/>
      </w:pPr>
      <w:r w:rsidRPr="006B10FE">
        <w:rPr>
          <w:rStyle w:val="Bold"/>
        </w:rPr>
        <w:t>Appendices</w:t>
      </w:r>
      <w:r w:rsidRPr="006B10FE">
        <w:t xml:space="preserve"> in the </w:t>
      </w:r>
      <w:r w:rsidRPr="006B10FE">
        <w:rPr>
          <w:i/>
        </w:rPr>
        <w:t>TMG</w:t>
      </w:r>
      <w:r w:rsidRPr="006B10FE">
        <w:t xml:space="preserve"> provide additional guidance to the user. </w:t>
      </w:r>
      <w:r w:rsidR="005359BF">
        <w:t>Th</w:t>
      </w:r>
      <w:r w:rsidR="00AB4F01">
        <w:t>e</w:t>
      </w:r>
      <w:r w:rsidR="005359BF">
        <w:t xml:space="preserve"> appendices are introduced briefly in section</w:t>
      </w:r>
      <w:r w:rsidR="00B90CB1">
        <w:t> </w:t>
      </w:r>
      <w:r w:rsidR="005359BF">
        <w:t>ES.5.</w:t>
      </w:r>
    </w:p>
    <w:p w14:paraId="7F014787" w14:textId="20849A6B" w:rsidR="005359BF" w:rsidRPr="007E763C" w:rsidRDefault="009E43D6" w:rsidP="004E69D2">
      <w:pPr>
        <w:pStyle w:val="Heading6"/>
      </w:pPr>
      <w:bookmarkStart w:id="28" w:name="_Toc114488060"/>
      <w:bookmarkStart w:id="29" w:name="_Toc118205546"/>
      <w:r>
        <w:t>ES.5</w:t>
      </w:r>
      <w:r>
        <w:tab/>
      </w:r>
      <w:r w:rsidR="005359BF" w:rsidRPr="007E763C">
        <w:t>S</w:t>
      </w:r>
      <w:r w:rsidR="004E69D2">
        <w:t>upporting</w:t>
      </w:r>
      <w:r w:rsidR="005359BF" w:rsidRPr="007E763C">
        <w:t xml:space="preserve"> </w:t>
      </w:r>
      <w:r w:rsidR="004E69D2">
        <w:t>Information</w:t>
      </w:r>
      <w:r w:rsidR="005359BF" w:rsidRPr="007E763C">
        <w:t xml:space="preserve"> – A</w:t>
      </w:r>
      <w:r w:rsidR="004E69D2">
        <w:t>ppendices Overview</w:t>
      </w:r>
      <w:bookmarkEnd w:id="28"/>
      <w:bookmarkEnd w:id="29"/>
    </w:p>
    <w:p w14:paraId="2F458C2A" w14:textId="788D3DF6" w:rsidR="00716FC1" w:rsidRDefault="00716FC1">
      <w:pPr>
        <w:pStyle w:val="TMGBullet"/>
      </w:pPr>
      <w:bookmarkStart w:id="30" w:name="_Hlk81907653"/>
      <w:r>
        <w:t>Appendix A – Vehicle Types (This appendix contains description</w:t>
      </w:r>
      <w:r w:rsidR="00BA0024">
        <w:t>s</w:t>
      </w:r>
      <w:r>
        <w:t xml:space="preserve"> of 13 FHWA vehicle classes.)</w:t>
      </w:r>
    </w:p>
    <w:p w14:paraId="1A1EFABB" w14:textId="26F92633" w:rsidR="00716FC1" w:rsidRDefault="00716FC1">
      <w:pPr>
        <w:pStyle w:val="TMGBullet"/>
      </w:pPr>
      <w:r>
        <w:t>Appendix B –</w:t>
      </w:r>
      <w:r w:rsidR="007047D1">
        <w:t xml:space="preserve"> </w:t>
      </w:r>
      <w:r>
        <w:t>Designing Statewide Traffic Monitoring Programs (This appendix contains several examples of successful Statewide Traffic Monitoring Programs designs.)</w:t>
      </w:r>
    </w:p>
    <w:p w14:paraId="318598BF" w14:textId="77777777" w:rsidR="00716FC1" w:rsidRDefault="00716FC1">
      <w:pPr>
        <w:pStyle w:val="TMGBullet"/>
      </w:pPr>
      <w:r>
        <w:t>Appendix C – Compendium of Data Quality Control Criteria (This appendix contains compilation of data quality control (QC) criteria and QC checks used by Vermont and New York DOTs.)</w:t>
      </w:r>
    </w:p>
    <w:p w14:paraId="6D41B5CB" w14:textId="6C8D8541" w:rsidR="00716FC1" w:rsidRDefault="00716FC1">
      <w:pPr>
        <w:pStyle w:val="TMGBullet"/>
      </w:pPr>
      <w:r>
        <w:t>Appendix D –</w:t>
      </w:r>
      <w:r w:rsidR="007047D1">
        <w:t xml:space="preserve"> </w:t>
      </w:r>
      <w:r>
        <w:t>Equipment Calibration (This appendix contains compilation of successful traffic monitoring equipment calibration used by different highway agencies.)</w:t>
      </w:r>
    </w:p>
    <w:p w14:paraId="0CE827DB" w14:textId="55504168" w:rsidR="00716FC1" w:rsidRDefault="00716FC1">
      <w:pPr>
        <w:pStyle w:val="TMGBullet"/>
      </w:pPr>
      <w:r>
        <w:t xml:space="preserve">Appendix E – NCDOT Clustering Method for MEPDG Equipment Calibration (This appendix contains results of the research study that applied </w:t>
      </w:r>
      <w:r w:rsidR="00BA0024">
        <w:t xml:space="preserve">the </w:t>
      </w:r>
      <w:r>
        <w:t xml:space="preserve">clustering methodology to develop Traffic Data Inputs for </w:t>
      </w:r>
      <w:r w:rsidR="00E8480D">
        <w:t>Mechanistic-Empirical Pavement Design</w:t>
      </w:r>
      <w:r w:rsidR="008B63CC">
        <w:t xml:space="preserve"> Guide</w:t>
      </w:r>
      <w:r w:rsidR="00E8480D">
        <w:t xml:space="preserve"> (</w:t>
      </w:r>
      <w:r>
        <w:t>MEPDG</w:t>
      </w:r>
      <w:r w:rsidR="00E8480D">
        <w:t>)</w:t>
      </w:r>
      <w:r>
        <w:t>.)</w:t>
      </w:r>
    </w:p>
    <w:p w14:paraId="414DC0D2" w14:textId="4462E2F5" w:rsidR="00716FC1" w:rsidRDefault="00716FC1">
      <w:pPr>
        <w:pStyle w:val="TMGBullet"/>
      </w:pPr>
      <w:r>
        <w:t>Appendix F – Traffic Data for Pavement Design (This appendix describes the procedures for computing traffic inputs for traditional (AASHTO 93) and new MEPDG methods)</w:t>
      </w:r>
    </w:p>
    <w:p w14:paraId="5EEAFDF9" w14:textId="7FE4C4A4" w:rsidR="00716FC1" w:rsidRDefault="00716FC1">
      <w:pPr>
        <w:pStyle w:val="TMGBullet"/>
      </w:pPr>
      <w:r>
        <w:t>Appendix G – Length</w:t>
      </w:r>
      <w:r w:rsidR="00E8480D">
        <w:t>-</w:t>
      </w:r>
      <w:r>
        <w:t xml:space="preserve">Based Class Memo (This appendix describes the requirements for reporting of length-based vehicle classification data to the </w:t>
      </w:r>
      <w:r w:rsidR="002A6CA5">
        <w:t>HPMS</w:t>
      </w:r>
      <w:r>
        <w:t>)</w:t>
      </w:r>
    </w:p>
    <w:p w14:paraId="781E1072" w14:textId="360FF439" w:rsidR="00716FC1" w:rsidRDefault="00716FC1">
      <w:pPr>
        <w:pStyle w:val="TMGBullet"/>
      </w:pPr>
      <w:r>
        <w:t xml:space="preserve">Appendix H – </w:t>
      </w:r>
      <w:r w:rsidR="00BA0024">
        <w:t xml:space="preserve">Bicycle and </w:t>
      </w:r>
      <w:r w:rsidR="00E8480D">
        <w:t>Pedestrian</w:t>
      </w:r>
      <w:r>
        <w:t xml:space="preserve"> Site Selection Process/Publication - Florida Department of Transportation (FDOT’s) Nonmotorized Site Selection Methodology (This appendix includes excerpts from the FDOT’s 2018 Statewide Non-Motorized Traffic Monitoring Program Recommendations Report.)</w:t>
      </w:r>
    </w:p>
    <w:p w14:paraId="3469E132" w14:textId="77777777" w:rsidR="00716FC1" w:rsidRDefault="00716FC1">
      <w:pPr>
        <w:pStyle w:val="TMGBullet"/>
      </w:pPr>
      <w:r>
        <w:t>Appendix I – Motorcycle Data Collection Methods (This appendix provides detailed guidance for motorcycle data collection prepared by Montana DOT.)</w:t>
      </w:r>
    </w:p>
    <w:p w14:paraId="5CF117B3" w14:textId="77777777" w:rsidR="00716FC1" w:rsidRDefault="00716FC1">
      <w:pPr>
        <w:pStyle w:val="TMGBullet"/>
      </w:pPr>
      <w:r>
        <w:lastRenderedPageBreak/>
        <w:t>Appendix J – Traffic Pattern Examples (This appendix provides examples of temporal traffic patterns for motorized and micromobility travel including hourly, day of week, and monthly patterns for different road facility types.)</w:t>
      </w:r>
    </w:p>
    <w:p w14:paraId="28271462" w14:textId="6C69485F" w:rsidR="00716FC1" w:rsidRDefault="00716FC1">
      <w:pPr>
        <w:pStyle w:val="TMGBullet"/>
      </w:pPr>
      <w:r>
        <w:t>Appendix K – Typical Interchange AADT Estimation (This appendix provides equations and computational examples to obtain AADT from limited mainline counts for the most common interchange and ramp configurations.)</w:t>
      </w:r>
    </w:p>
    <w:p w14:paraId="1E0A428D" w14:textId="0F5E72E3" w:rsidR="00427B30" w:rsidRDefault="00427B30">
      <w:pPr>
        <w:pStyle w:val="TMGBullet"/>
      </w:pPr>
      <w:r>
        <w:t xml:space="preserve">Appendix </w:t>
      </w:r>
      <w:r w:rsidRPr="00427B30">
        <w:t>L – AASHTO AADT Calculation (This appendix provides equations to obtain AADTs using the AASHTO method.)</w:t>
      </w:r>
    </w:p>
    <w:p w14:paraId="4ECE9ED6" w14:textId="77777777" w:rsidR="007958C1" w:rsidRDefault="008B63CC">
      <w:pPr>
        <w:pStyle w:val="TMGBullet"/>
      </w:pPr>
      <w:r>
        <w:t>Appendix M – TMAS Quality Control Checks (This appendix provides quality checks for micromobility, volume, speed, class, weight, and IVR.)</w:t>
      </w:r>
    </w:p>
    <w:p w14:paraId="70DDA251" w14:textId="77777777" w:rsidR="007958C1" w:rsidRDefault="007958C1" w:rsidP="009C337D">
      <w:pPr>
        <w:pStyle w:val="TMGBullet"/>
        <w:numPr>
          <w:ilvl w:val="0"/>
          <w:numId w:val="0"/>
        </w:numPr>
        <w:ind w:left="288" w:hanging="288"/>
      </w:pPr>
    </w:p>
    <w:p w14:paraId="11D7C7F0" w14:textId="77777777" w:rsidR="007958C1" w:rsidRPr="004C0E95" w:rsidRDefault="007958C1">
      <w:pPr>
        <w:pStyle w:val="Heading1"/>
        <w:sectPr w:rsidR="007958C1" w:rsidRPr="004C0E95" w:rsidSect="000808EE">
          <w:headerReference w:type="even" r:id="rId47"/>
          <w:headerReference w:type="default" r:id="rId48"/>
          <w:footerReference w:type="even" r:id="rId49"/>
          <w:footerReference w:type="default" r:id="rId50"/>
          <w:footerReference w:type="first" r:id="rId51"/>
          <w:pgSz w:w="12240" w:h="15840" w:code="1"/>
          <w:pgMar w:top="1440" w:right="1440" w:bottom="1152" w:left="1440" w:header="720" w:footer="576" w:gutter="0"/>
          <w:pgNumType w:start="1" w:chapStyle="5"/>
          <w:cols w:space="720"/>
          <w:titlePg/>
        </w:sectPr>
      </w:pPr>
      <w:bookmarkStart w:id="31" w:name="_Toc363656113"/>
      <w:bookmarkStart w:id="32" w:name="_Toc450638903"/>
      <w:bookmarkStart w:id="33" w:name="_Toc44415676"/>
      <w:bookmarkStart w:id="34" w:name="_Toc57736801"/>
      <w:bookmarkStart w:id="35" w:name="_Toc68864922"/>
      <w:bookmarkStart w:id="36" w:name="_Toc114474707"/>
      <w:bookmarkEnd w:id="30"/>
    </w:p>
    <w:p w14:paraId="07B74F57" w14:textId="59409C40" w:rsidR="00046060" w:rsidRPr="009E43D6" w:rsidRDefault="00046060">
      <w:pPr>
        <w:pStyle w:val="Heading1"/>
      </w:pPr>
      <w:bookmarkStart w:id="37" w:name="_Toc114485821"/>
      <w:bookmarkStart w:id="38" w:name="_Toc114488061"/>
      <w:bookmarkStart w:id="39" w:name="_Toc118205547"/>
      <w:r w:rsidRPr="009E43D6">
        <w:lastRenderedPageBreak/>
        <w:t xml:space="preserve">Traffic Monitoring </w:t>
      </w:r>
      <w:bookmarkEnd w:id="31"/>
      <w:bookmarkEnd w:id="32"/>
      <w:bookmarkEnd w:id="33"/>
      <w:bookmarkEnd w:id="34"/>
      <w:bookmarkEnd w:id="35"/>
      <w:r w:rsidR="00ED7363" w:rsidRPr="009E43D6">
        <w:t>Program Introduction</w:t>
      </w:r>
      <w:bookmarkEnd w:id="36"/>
      <w:bookmarkEnd w:id="37"/>
      <w:bookmarkEnd w:id="38"/>
      <w:bookmarkEnd w:id="39"/>
    </w:p>
    <w:p w14:paraId="1E6B7CF9" w14:textId="0A8766E9" w:rsidR="00046060" w:rsidRPr="004D4172" w:rsidRDefault="00046060">
      <w:pPr>
        <w:pStyle w:val="Heading2"/>
      </w:pPr>
      <w:bookmarkStart w:id="40" w:name="_Toc349905066"/>
      <w:bookmarkStart w:id="41" w:name="_Toc325034096"/>
      <w:bookmarkStart w:id="42" w:name="_Toc363656114"/>
      <w:bookmarkStart w:id="43" w:name="_Toc450638904"/>
      <w:bookmarkStart w:id="44" w:name="_Toc44415677"/>
      <w:bookmarkStart w:id="45" w:name="_Toc57736802"/>
      <w:bookmarkStart w:id="46" w:name="_Toc68864923"/>
      <w:bookmarkStart w:id="47" w:name="_Toc114474708"/>
      <w:bookmarkStart w:id="48" w:name="_Toc114485822"/>
      <w:bookmarkStart w:id="49" w:name="_Toc114488062"/>
      <w:bookmarkStart w:id="50" w:name="_Toc118205548"/>
      <w:r w:rsidRPr="004D4172">
        <w:t>Introduction</w:t>
      </w:r>
      <w:bookmarkEnd w:id="40"/>
      <w:bookmarkEnd w:id="41"/>
      <w:bookmarkEnd w:id="42"/>
      <w:bookmarkEnd w:id="43"/>
      <w:bookmarkEnd w:id="44"/>
      <w:bookmarkEnd w:id="45"/>
      <w:bookmarkEnd w:id="46"/>
      <w:bookmarkEnd w:id="47"/>
      <w:bookmarkEnd w:id="48"/>
      <w:bookmarkEnd w:id="49"/>
      <w:bookmarkEnd w:id="50"/>
    </w:p>
    <w:p w14:paraId="6822E4B6" w14:textId="425A0165" w:rsidR="007E44F9" w:rsidRPr="00D53F9F" w:rsidRDefault="007E44F9" w:rsidP="00A35EAF">
      <w:pPr>
        <w:pStyle w:val="BodyText"/>
      </w:pPr>
      <w:r w:rsidRPr="00D53F9F">
        <w:t xml:space="preserve">Traffic monitoring </w:t>
      </w:r>
      <w:r w:rsidR="00163851" w:rsidRPr="00D53F9F">
        <w:t>is</w:t>
      </w:r>
      <w:r w:rsidRPr="00D53F9F">
        <w:t xml:space="preserve"> performed to collect data that characterize the use and performance of a roadway, trail, or path traveled by motorized vehicles, micropowered devices such as electrical bicycles, nonmotorized devices such as bicycles, and pedestrians. This chapter addresses the high-level design of a traffic monitoring program and provides guidance on how data planning </w:t>
      </w:r>
      <w:r w:rsidR="00163851" w:rsidRPr="00D53F9F">
        <w:t>is</w:t>
      </w:r>
      <w:r w:rsidRPr="00D53F9F">
        <w:t xml:space="preserve"> used to support the </w:t>
      </w:r>
      <w:r w:rsidR="00A06DD7" w:rsidRPr="00D53F9F">
        <w:t xml:space="preserve">program </w:t>
      </w:r>
      <w:r w:rsidRPr="00D53F9F">
        <w:t>design and development at State highway agencies and local Metropolitan Planning Organizations</w:t>
      </w:r>
      <w:r w:rsidR="00176B34">
        <w:t xml:space="preserve"> (MPOs)</w:t>
      </w:r>
      <w:r w:rsidRPr="00D53F9F">
        <w:t xml:space="preserve">. It explains the importance of having such a program from three perspectives: statewide, regional/sub-area, and roadway facility/corridor-specific traffic monitoring. </w:t>
      </w:r>
    </w:p>
    <w:p w14:paraId="726BB6E2" w14:textId="77777777" w:rsidR="00046060" w:rsidRPr="00D53F9F" w:rsidRDefault="00046060" w:rsidP="00A35EAF">
      <w:pPr>
        <w:pStyle w:val="BodyText"/>
      </w:pPr>
      <w:r w:rsidRPr="00D53F9F">
        <w:t>This chapter is organized into the following four sections:</w:t>
      </w:r>
    </w:p>
    <w:p w14:paraId="1A31AF10" w14:textId="71D0C5A8" w:rsidR="00046060" w:rsidRPr="001E2FE0" w:rsidRDefault="00046060" w:rsidP="00A35EAF">
      <w:pPr>
        <w:pStyle w:val="BodyText"/>
      </w:pPr>
      <w:r w:rsidRPr="001E2FE0">
        <w:t xml:space="preserve">1.2 Traffic Monitoring </w:t>
      </w:r>
      <w:r w:rsidR="00CE58C8">
        <w:t xml:space="preserve">Program </w:t>
      </w:r>
      <w:r w:rsidRPr="001E2FE0">
        <w:t>Purpose (W</w:t>
      </w:r>
      <w:r w:rsidR="000628F1">
        <w:t>HY</w:t>
      </w:r>
      <w:r w:rsidRPr="001E2FE0">
        <w:t>)</w:t>
      </w:r>
    </w:p>
    <w:p w14:paraId="7F15C011" w14:textId="77777777" w:rsidR="00046060" w:rsidRPr="001E2FE0" w:rsidRDefault="00046060" w:rsidP="00A35EAF">
      <w:pPr>
        <w:pStyle w:val="BodyText"/>
      </w:pPr>
      <w:r w:rsidRPr="001E2FE0">
        <w:t>1.3 Traffic Data Types Introduction (WHAT)</w:t>
      </w:r>
    </w:p>
    <w:p w14:paraId="0076426B" w14:textId="2F2D6A90" w:rsidR="00046060" w:rsidRPr="001E2FE0" w:rsidRDefault="00046060" w:rsidP="00A35EAF">
      <w:pPr>
        <w:pStyle w:val="BodyText"/>
      </w:pPr>
      <w:r w:rsidRPr="001E2FE0">
        <w:t xml:space="preserve">1.4 Traffic Data Program </w:t>
      </w:r>
      <w:r w:rsidR="00CE58C8">
        <w:t>Users</w:t>
      </w:r>
      <w:r w:rsidRPr="001E2FE0">
        <w:t xml:space="preserve"> (WHO)</w:t>
      </w:r>
    </w:p>
    <w:p w14:paraId="53DEA842" w14:textId="0A847C92" w:rsidR="00046060" w:rsidRPr="001E2FE0" w:rsidRDefault="00046060" w:rsidP="00A35EAF">
      <w:pPr>
        <w:pStyle w:val="BodyText"/>
      </w:pPr>
      <w:r w:rsidRPr="001E2FE0">
        <w:t>1.5 Traffic Data Program Design Consideration</w:t>
      </w:r>
      <w:r w:rsidR="007E44F9" w:rsidRPr="001E2FE0">
        <w:t xml:space="preserve"> (HOW)</w:t>
      </w:r>
    </w:p>
    <w:p w14:paraId="0504396F" w14:textId="03E3A425" w:rsidR="00046060" w:rsidRDefault="006B10FE" w:rsidP="00A35EAF">
      <w:pPr>
        <w:pStyle w:val="BodyText"/>
      </w:pPr>
      <w:r w:rsidRPr="001E2FE0">
        <w:t xml:space="preserve">The </w:t>
      </w:r>
      <w:r w:rsidRPr="009C085C">
        <w:rPr>
          <w:i/>
          <w:iCs/>
        </w:rPr>
        <w:t>TMG</w:t>
      </w:r>
      <w:r w:rsidR="00046060" w:rsidRPr="001E2FE0">
        <w:t xml:space="preserve"> has existe</w:t>
      </w:r>
      <w:r w:rsidR="00176B34">
        <w:t>d</w:t>
      </w:r>
      <w:r w:rsidR="00046060" w:rsidRPr="001E2FE0">
        <w:t xml:space="preserve"> </w:t>
      </w:r>
      <w:r>
        <w:t xml:space="preserve">since </w:t>
      </w:r>
      <w:r w:rsidR="00163851">
        <w:t xml:space="preserve">before </w:t>
      </w:r>
      <w:r w:rsidR="00046060" w:rsidRPr="001E2FE0">
        <w:t xml:space="preserve">the passage of </w:t>
      </w:r>
      <w:r w:rsidR="00D26FA9">
        <w:t>Intermodal Surface Transportation Equality Act (</w:t>
      </w:r>
      <w:r w:rsidR="00046060" w:rsidRPr="001E2FE0">
        <w:t>ISTEA</w:t>
      </w:r>
      <w:r w:rsidR="00163851">
        <w:t>-1991</w:t>
      </w:r>
      <w:r w:rsidR="00D26FA9">
        <w:t>)</w:t>
      </w:r>
      <w:r w:rsidR="00046060" w:rsidRPr="001E2FE0">
        <w:t>. It</w:t>
      </w:r>
      <w:r w:rsidR="008D44A6">
        <w:t> </w:t>
      </w:r>
      <w:r w:rsidR="00046060" w:rsidRPr="001E2FE0">
        <w:t xml:space="preserve">has provided guidance to traffic monitoring programs across the </w:t>
      </w:r>
      <w:r w:rsidR="00176B34">
        <w:t>N</w:t>
      </w:r>
      <w:r w:rsidR="00046060" w:rsidRPr="001E2FE0">
        <w:t xml:space="preserve">ation. The primary audience for this guide is </w:t>
      </w:r>
      <w:r w:rsidR="00176B34">
        <w:t>S</w:t>
      </w:r>
      <w:r w:rsidR="00046060" w:rsidRPr="001E2FE0">
        <w:t>tate highway agencies</w:t>
      </w:r>
      <w:r w:rsidR="002D5FA1" w:rsidRPr="001E2FE0">
        <w:t>,</w:t>
      </w:r>
      <w:r w:rsidR="00046060" w:rsidRPr="001E2FE0">
        <w:t xml:space="preserve"> local </w:t>
      </w:r>
      <w:r w:rsidR="00176B34">
        <w:t>MPOs,</w:t>
      </w:r>
      <w:r w:rsidR="00046060" w:rsidRPr="001E2FE0">
        <w:t xml:space="preserve"> and other professionals who are interested in </w:t>
      </w:r>
      <w:r w:rsidR="00A64311" w:rsidRPr="001E2FE0">
        <w:t xml:space="preserve">traffic </w:t>
      </w:r>
      <w:r w:rsidR="00046060" w:rsidRPr="001E2FE0">
        <w:t xml:space="preserve">monitoring activities, </w:t>
      </w:r>
      <w:r w:rsidR="004162D0" w:rsidRPr="001E2FE0">
        <w:t>equipment,</w:t>
      </w:r>
      <w:r w:rsidR="00046060" w:rsidRPr="001E2FE0">
        <w:t xml:space="preserve"> and data. Th</w:t>
      </w:r>
      <w:r w:rsidR="00176B34">
        <w:t xml:space="preserve">e </w:t>
      </w:r>
      <w:r w:rsidR="00176B34" w:rsidRPr="00176B34">
        <w:rPr>
          <w:i/>
          <w:iCs/>
        </w:rPr>
        <w:t>TMG</w:t>
      </w:r>
      <w:r w:rsidR="00046060" w:rsidRPr="001E2FE0">
        <w:t xml:space="preserve"> is updated on a</w:t>
      </w:r>
      <w:r w:rsidR="004E7B1E">
        <w:t xml:space="preserve"> routine</w:t>
      </w:r>
      <w:r w:rsidR="00046060" w:rsidRPr="001E2FE0">
        <w:t xml:space="preserve"> basis to reflect legislation and regulation changes, technology development, and new program and initiat</w:t>
      </w:r>
      <w:r w:rsidR="007D7A85">
        <w:t>ive</w:t>
      </w:r>
      <w:r w:rsidR="00046060" w:rsidRPr="001E2FE0">
        <w:t xml:space="preserve"> needs.</w:t>
      </w:r>
      <w:r w:rsidR="004D4172">
        <w:t xml:space="preserve"> </w:t>
      </w:r>
    </w:p>
    <w:p w14:paraId="2CA1C46E" w14:textId="3C0AB698" w:rsidR="00151C0B" w:rsidRPr="00EE7D22" w:rsidRDefault="00151C0B" w:rsidP="00A35EAF">
      <w:pPr>
        <w:pStyle w:val="BodyText"/>
      </w:pPr>
      <w:r w:rsidRPr="00EE7D22">
        <w:t>Traffic data monitoring programs can include both motorized and</w:t>
      </w:r>
      <w:r>
        <w:t xml:space="preserve"> micromobility.</w:t>
      </w:r>
      <w:r w:rsidRPr="00EE7D22">
        <w:t xml:space="preserve"> </w:t>
      </w:r>
      <w:r>
        <w:t>A</w:t>
      </w:r>
      <w:r w:rsidRPr="00EE7D22">
        <w:t>gencies may have two separate data collection programs</w:t>
      </w:r>
      <w:r w:rsidR="00176B34">
        <w:t>,</w:t>
      </w:r>
      <w:r w:rsidRPr="00EE7D22">
        <w:t xml:space="preserve"> such as one for motorized and one for </w:t>
      </w:r>
      <w:r>
        <w:t>micromobility</w:t>
      </w:r>
      <w:r w:rsidRPr="00EE7D22">
        <w:t xml:space="preserve"> </w:t>
      </w:r>
      <w:r>
        <w:t xml:space="preserve">(that encompasses pedestrian traffic) </w:t>
      </w:r>
      <w:r w:rsidRPr="00EE7D22">
        <w:t>travel monitoring. Differences between these programs are described below</w:t>
      </w:r>
      <w:r>
        <w:t xml:space="preserve">. </w:t>
      </w:r>
      <w:r w:rsidRPr="00EE7D22">
        <w:t xml:space="preserve">Both programs are typically organized by continuous and </w:t>
      </w:r>
      <w:r>
        <w:t>short-term</w:t>
      </w:r>
      <w:r w:rsidRPr="00EE7D22">
        <w:t xml:space="preserve"> counting programs. Within the monitoring programs</w:t>
      </w:r>
      <w:r>
        <w:t>,</w:t>
      </w:r>
      <w:r w:rsidRPr="00EE7D22">
        <w:t xml:space="preserve"> there are </w:t>
      </w:r>
      <w:r>
        <w:t>two</w:t>
      </w:r>
      <w:r w:rsidRPr="00EE7D22">
        <w:t xml:space="preserve"> primary data collection sub-programs that include a volume and classification data collection program. In addition, motorized traffic monitoring programs also include a weight data collection program.</w:t>
      </w:r>
      <w:r w:rsidR="004D4172">
        <w:t xml:space="preserve"> </w:t>
      </w:r>
    </w:p>
    <w:p w14:paraId="54F974F8" w14:textId="4AE532A9" w:rsidR="00151C0B" w:rsidRPr="00F53123" w:rsidRDefault="00151C0B" w:rsidP="00A35EAF">
      <w:pPr>
        <w:pStyle w:val="BodyText"/>
        <w:rPr>
          <w:rFonts w:ascii="Cambria" w:hAnsi="Cambria"/>
          <w:b/>
          <w:bCs/>
          <w:sz w:val="22"/>
          <w:szCs w:val="22"/>
        </w:rPr>
      </w:pPr>
      <w:r w:rsidRPr="00F53123">
        <w:rPr>
          <w:rFonts w:ascii="Cambria" w:hAnsi="Cambria"/>
          <w:b/>
          <w:bCs/>
          <w:sz w:val="22"/>
          <w:szCs w:val="22"/>
        </w:rPr>
        <w:t>Motorized and Micromobility Program Differentiators</w:t>
      </w:r>
    </w:p>
    <w:p w14:paraId="0109331A" w14:textId="00F5DD3B" w:rsidR="00151C0B" w:rsidRPr="00D53F9F" w:rsidRDefault="00151C0B" w:rsidP="00A35EAF">
      <w:pPr>
        <w:pStyle w:val="BodyText"/>
      </w:pPr>
      <w:r w:rsidRPr="00D53F9F">
        <w:t xml:space="preserve">One of the key differences in </w:t>
      </w:r>
      <w:r w:rsidR="00176B34">
        <w:t xml:space="preserve">the </w:t>
      </w:r>
      <w:r w:rsidRPr="00D53F9F">
        <w:t xml:space="preserve">state of the practice between motorized and micromobility traffic monitoring is the scale of data collection. Most micromobility data collection programs have a much smaller number of monitoring locations, and these limited location samples may not accurately represent the entire geographic area of interest. In many cases, the micromobility monitoring locations have been chosen based on highest usage levels or strategic areas of facility improvement. Given limited data collection resources and specific data uses, these site selection criteria may be appropriate. However, one should recognize that these limited location samples might represent a biased estimate of overall usage and trends for a city or </w:t>
      </w:r>
      <w:r w:rsidR="00477FC0">
        <w:t>S</w:t>
      </w:r>
      <w:r w:rsidRPr="00D53F9F">
        <w:t xml:space="preserve">tate. More research is needed to identify statistically representative site selection criteria. </w:t>
      </w:r>
    </w:p>
    <w:p w14:paraId="58FA1A3A" w14:textId="17151AFA" w:rsidR="00151C0B" w:rsidRPr="00151C0B" w:rsidRDefault="00151C0B" w:rsidP="00A35EAF">
      <w:pPr>
        <w:pStyle w:val="BodyText"/>
      </w:pPr>
      <w:r w:rsidRPr="00D53F9F">
        <w:t>A second key difference is that micromobility traffic will typically have higher use on lower functional class roads and streets as well as shared</w:t>
      </w:r>
      <w:r w:rsidR="008A03F0">
        <w:t>-</w:t>
      </w:r>
      <w:r w:rsidRPr="00D53F9F">
        <w:t xml:space="preserve">use paths and pedestrian facilities, simply because of the more pleasant environment of lower speeds and volumes of motorized traffic. </w:t>
      </w:r>
      <w:r w:rsidR="00477FC0">
        <w:t>In addition</w:t>
      </w:r>
      <w:r w:rsidRPr="00D53F9F">
        <w:t>, pedestrian and non-motorized vehicles are not permitted</w:t>
      </w:r>
      <w:r w:rsidRPr="00151C0B">
        <w:t xml:space="preserve"> to use/operate on limited access facilities such as interstate highways.</w:t>
      </w:r>
      <w:r w:rsidR="004D4172">
        <w:t xml:space="preserve"> </w:t>
      </w:r>
      <w:r w:rsidRPr="00151C0B">
        <w:t>Conversely, motorized traffic monitoring focuses on higher functional class roads that provide the quickest and most direct route for motorized traffic.</w:t>
      </w:r>
    </w:p>
    <w:p w14:paraId="0DCCFC3D" w14:textId="4E191979" w:rsidR="00151C0B" w:rsidRPr="00151C0B" w:rsidRDefault="00151C0B" w:rsidP="00A35EAF">
      <w:pPr>
        <w:pStyle w:val="BodyText"/>
      </w:pPr>
      <w:r w:rsidRPr="00151C0B">
        <w:t>A third key difference is that technologies for counting micromobility traffic for pedestrians, hover boards, e-bikes, bicyclists, etc. are not always scheduled to collect data for the same period such as 24 hours, 48 hours, or 2 weeks of consecutively collected (15 minute or hourly) data.</w:t>
      </w:r>
    </w:p>
    <w:p w14:paraId="0BF574F3" w14:textId="4C6875C2" w:rsidR="00151C0B" w:rsidRPr="00151C0B" w:rsidRDefault="00151C0B" w:rsidP="00A35EAF">
      <w:pPr>
        <w:pStyle w:val="BodyText"/>
      </w:pPr>
      <w:r w:rsidRPr="00151C0B">
        <w:t>Finally, a fourth key difference is that technologies for counting micromobility traffic are still evolving</w:t>
      </w:r>
      <w:r w:rsidR="00477FC0">
        <w:t>,</w:t>
      </w:r>
      <w:r w:rsidRPr="00151C0B">
        <w:t xml:space="preserve"> and error rates associated with different technologies are not well known. All methods for counting both motorized and micromobility traffic have error rates and provide estimates that only approximate actual use; however, the error </w:t>
      </w:r>
      <w:r w:rsidRPr="00151C0B">
        <w:lastRenderedPageBreak/>
        <w:t>rates for technologies used to count motorized traffic generally are better understood, as are the procedures for managing or reducing these errors.</w:t>
      </w:r>
    </w:p>
    <w:p w14:paraId="6774EE02" w14:textId="02DE2996" w:rsidR="00046060" w:rsidRPr="004D4172" w:rsidRDefault="00046060">
      <w:pPr>
        <w:pStyle w:val="Heading3"/>
      </w:pPr>
      <w:bookmarkStart w:id="51" w:name="_Toc33968096"/>
      <w:bookmarkStart w:id="52" w:name="_Toc44415678"/>
      <w:bookmarkStart w:id="53" w:name="_Toc57736803"/>
      <w:bookmarkStart w:id="54" w:name="_Toc114485823"/>
      <w:bookmarkStart w:id="55" w:name="_Toc114488063"/>
      <w:bookmarkStart w:id="56" w:name="_Toc118205549"/>
      <w:r w:rsidRPr="004D4172">
        <w:t>Statutory Background and Code of Federal Regulations</w:t>
      </w:r>
      <w:bookmarkEnd w:id="51"/>
      <w:bookmarkEnd w:id="52"/>
      <w:bookmarkEnd w:id="53"/>
      <w:bookmarkEnd w:id="54"/>
      <w:bookmarkEnd w:id="55"/>
      <w:bookmarkEnd w:id="56"/>
    </w:p>
    <w:p w14:paraId="0BDBC15C" w14:textId="63E3083C" w:rsidR="00046060" w:rsidRPr="00D53F9F" w:rsidRDefault="009B2632" w:rsidP="00A35EAF">
      <w:pPr>
        <w:pStyle w:val="BodyText"/>
      </w:pPr>
      <w:r w:rsidRPr="00D53F9F">
        <w:t>T</w:t>
      </w:r>
      <w:r w:rsidR="00046060" w:rsidRPr="00D53F9F">
        <w:t xml:space="preserve">he Intermodal Surface Transportation Equality Act (ISTEA) </w:t>
      </w:r>
      <w:r w:rsidR="00291935" w:rsidRPr="00D53F9F">
        <w:t xml:space="preserve">put forth </w:t>
      </w:r>
      <w:r w:rsidR="00046060" w:rsidRPr="00D53F9F">
        <w:t xml:space="preserve">the need to establish a systematic statewide </w:t>
      </w:r>
      <w:r w:rsidR="00B119C4" w:rsidRPr="00D53F9F">
        <w:t>T</w:t>
      </w:r>
      <w:r w:rsidR="00046060" w:rsidRPr="00D53F9F">
        <w:t xml:space="preserve">raffic </w:t>
      </w:r>
      <w:r w:rsidR="00B119C4" w:rsidRPr="00D53F9F">
        <w:t>M</w:t>
      </w:r>
      <w:r w:rsidR="00046060" w:rsidRPr="00D53F9F">
        <w:t xml:space="preserve">onitoring </w:t>
      </w:r>
      <w:r w:rsidR="00B119C4" w:rsidRPr="00D53F9F">
        <w:t>S</w:t>
      </w:r>
      <w:r w:rsidR="00046060" w:rsidRPr="00D53F9F">
        <w:t xml:space="preserve">ystem (TMS). Based on </w:t>
      </w:r>
      <w:r w:rsidRPr="00D53F9F">
        <w:t xml:space="preserve">this </w:t>
      </w:r>
      <w:r w:rsidR="00046060" w:rsidRPr="00D53F9F">
        <w:t xml:space="preserve">Statutory directive and authority contained in 23 United States Code (U. S. C.) 134, 135, and 303, the FHWA </w:t>
      </w:r>
      <w:r w:rsidRPr="00D53F9F">
        <w:t xml:space="preserve">established </w:t>
      </w:r>
      <w:r w:rsidR="00046060" w:rsidRPr="00D53F9F">
        <w:t>23 Code of Federal Regulation</w:t>
      </w:r>
      <w:r w:rsidR="00477FC0">
        <w:t>s</w:t>
      </w:r>
      <w:r w:rsidR="00046060" w:rsidRPr="00D53F9F">
        <w:t xml:space="preserve"> (CFR) Part 500 Subpart B – Traffic Monitoring System. 23 CFR Part 500 Subpart B outlined both the technical and legal obligations for State highway agencies to establish a functional TMS where traffic data items such as volume, classification, and weight data can be collected, processed, and reported.</w:t>
      </w:r>
    </w:p>
    <w:p w14:paraId="089598DA" w14:textId="17BFD5E4" w:rsidR="00046060" w:rsidRPr="00D53F9F" w:rsidRDefault="009B2632" w:rsidP="00A35EAF">
      <w:pPr>
        <w:pStyle w:val="BodyText"/>
      </w:pPr>
      <w:r w:rsidRPr="00D53F9F">
        <w:t>Subsequently</w:t>
      </w:r>
      <w:r w:rsidR="009644D1" w:rsidRPr="00D53F9F">
        <w:t>,</w:t>
      </w:r>
      <w:r w:rsidR="00046060" w:rsidRPr="00D53F9F">
        <w:t xml:space="preserve"> both </w:t>
      </w:r>
      <w:r w:rsidR="00D62373">
        <w:t xml:space="preserve">the </w:t>
      </w:r>
      <w:r w:rsidR="00D62373" w:rsidRPr="00D62373">
        <w:t>Transportation Equity Act for the 21st Century</w:t>
      </w:r>
      <w:r w:rsidR="00D62373">
        <w:t xml:space="preserve"> (</w:t>
      </w:r>
      <w:r w:rsidR="00046060" w:rsidRPr="00D53F9F">
        <w:t>TEA-21</w:t>
      </w:r>
      <w:r w:rsidR="00D62373">
        <w:t>)</w:t>
      </w:r>
      <w:r w:rsidR="00046060" w:rsidRPr="00D53F9F">
        <w:t xml:space="preserve"> and the Safe, Accountable, Flexible, Efficient Transportation Equity Act: A Legacy for Users (SAFETEA-LU) </w:t>
      </w:r>
      <w:r w:rsidR="00044F98" w:rsidRPr="00D53F9F">
        <w:t>contained</w:t>
      </w:r>
      <w:r w:rsidR="00046060" w:rsidRPr="00D53F9F">
        <w:t xml:space="preserve"> Federal funding for the </w:t>
      </w:r>
      <w:r w:rsidR="00044F98" w:rsidRPr="00D53F9F">
        <w:t xml:space="preserve">State </w:t>
      </w:r>
      <w:r w:rsidR="00046060" w:rsidRPr="00D53F9F">
        <w:t xml:space="preserve">TMS. When TEA-21 expired in July 2012, there was a substantial number of traffic monitoring stations established by </w:t>
      </w:r>
      <w:r w:rsidR="00D62373">
        <w:t>S</w:t>
      </w:r>
      <w:r w:rsidR="00046060" w:rsidRPr="00D53F9F">
        <w:t>tate highway agencies</w:t>
      </w:r>
      <w:r w:rsidR="00D62373">
        <w:t>,</w:t>
      </w:r>
      <w:r w:rsidR="00046060" w:rsidRPr="00D53F9F">
        <w:t xml:space="preserve"> which is evidenced by both the quality and quantity of data submitted to the FHWA through both the Highway Performance Monitoring System (HPMS) and the Traffic Monitoring Analysis System (TMAS). </w:t>
      </w:r>
    </w:p>
    <w:p w14:paraId="6E15A009" w14:textId="252B3462" w:rsidR="00046060" w:rsidRPr="00D53F9F" w:rsidRDefault="00046060" w:rsidP="00A35EAF">
      <w:pPr>
        <w:pStyle w:val="BodyText"/>
      </w:pPr>
      <w:r w:rsidRPr="00D53F9F">
        <w:t xml:space="preserve">When Moving Ahead for Progress in the 21st Century Act (MAP-21) replaced SAFETEA-LU in 2012, the </w:t>
      </w:r>
      <w:r w:rsidR="00D62373">
        <w:t>F</w:t>
      </w:r>
      <w:r w:rsidRPr="00D53F9F">
        <w:t>ederal requirement that each State should have an operational traffic monitoring system to be in place was deemed met</w:t>
      </w:r>
      <w:r w:rsidR="007E1BFC" w:rsidRPr="00D53F9F">
        <w:t>.</w:t>
      </w:r>
      <w:r w:rsidR="00044F98" w:rsidRPr="00D53F9F">
        <w:t xml:space="preserve"> </w:t>
      </w:r>
    </w:p>
    <w:p w14:paraId="4EA965FD" w14:textId="6874345D" w:rsidR="00046060" w:rsidRPr="00D53F9F" w:rsidRDefault="00044F98" w:rsidP="00A35EAF">
      <w:pPr>
        <w:pStyle w:val="BodyText"/>
      </w:pPr>
      <w:r w:rsidRPr="00D53F9F">
        <w:t>Since that time, the mission of TMS has expanded u</w:t>
      </w:r>
      <w:r w:rsidR="00046060" w:rsidRPr="00D53F9F">
        <w:t xml:space="preserve">nder the authority of both MAP-21 and the Fixing America's Surface Transportation (FAST) Act </w:t>
      </w:r>
      <w:r w:rsidRPr="00D53F9F">
        <w:t xml:space="preserve">to include </w:t>
      </w:r>
      <w:r w:rsidR="00046060" w:rsidRPr="00D53F9F">
        <w:t xml:space="preserve">for </w:t>
      </w:r>
      <w:r w:rsidRPr="00D53F9F">
        <w:t>performance management</w:t>
      </w:r>
      <w:r w:rsidR="00046060" w:rsidRPr="00D53F9F">
        <w:t xml:space="preserve">, safety, and </w:t>
      </w:r>
      <w:r w:rsidRPr="00D53F9F">
        <w:t>many</w:t>
      </w:r>
      <w:r w:rsidR="00046060" w:rsidRPr="00D53F9F">
        <w:t xml:space="preserve"> other Federal-aid highway programs as detailed in the </w:t>
      </w:r>
      <w:r w:rsidR="003322B9">
        <w:t>F</w:t>
      </w:r>
      <w:r w:rsidR="00046060" w:rsidRPr="00D53F9F">
        <w:t>ederal statutes listed below.</w:t>
      </w:r>
    </w:p>
    <w:p w14:paraId="53BA8A54" w14:textId="77777777" w:rsidR="00046060" w:rsidRPr="00F53123" w:rsidRDefault="00046060" w:rsidP="00A35EAF">
      <w:pPr>
        <w:pStyle w:val="BodyText"/>
        <w:rPr>
          <w:rFonts w:ascii="Cambria" w:hAnsi="Cambria"/>
          <w:b/>
          <w:bCs/>
          <w:i/>
          <w:iCs/>
          <w:sz w:val="22"/>
          <w:szCs w:val="22"/>
          <w:lang w:bidi="en-US"/>
        </w:rPr>
      </w:pPr>
      <w:r w:rsidRPr="00F53123">
        <w:rPr>
          <w:rFonts w:ascii="Cambria" w:hAnsi="Cambria"/>
          <w:b/>
          <w:bCs/>
          <w:i/>
          <w:iCs/>
          <w:sz w:val="22"/>
          <w:szCs w:val="22"/>
          <w:lang w:bidi="en-US"/>
        </w:rPr>
        <w:t>Current Legal Authority and Responsibility</w:t>
      </w:r>
    </w:p>
    <w:p w14:paraId="3659962D" w14:textId="77777777" w:rsidR="00046060" w:rsidRPr="00D53F9F" w:rsidRDefault="00046060" w:rsidP="00A35EAF">
      <w:pPr>
        <w:pStyle w:val="BodyText"/>
      </w:pPr>
      <w:r w:rsidRPr="00D53F9F">
        <w:t xml:space="preserve">23 U. S. Code § 150: National Goals and Performance Management Measures (prescribes the legal requirements of systematic traffic monitoring data) </w:t>
      </w:r>
    </w:p>
    <w:p w14:paraId="25E31823" w14:textId="08031D0B" w:rsidR="00046060" w:rsidRPr="00D53F9F" w:rsidRDefault="00046060" w:rsidP="0010467B">
      <w:pPr>
        <w:pStyle w:val="BodyText"/>
      </w:pPr>
      <w:r w:rsidRPr="00D53F9F">
        <w:t xml:space="preserve">23 CFR § 490: National Performance Management Measures (prescribes more specific legal requirements of systematic traffic </w:t>
      </w:r>
      <w:r w:rsidRPr="0010467B">
        <w:t>monitoring</w:t>
      </w:r>
      <w:r w:rsidRPr="00D53F9F">
        <w:t xml:space="preserve"> data) </w:t>
      </w:r>
    </w:p>
    <w:p w14:paraId="1421BDC0" w14:textId="77777777" w:rsidR="00046060" w:rsidRPr="004D4172" w:rsidRDefault="00046060">
      <w:pPr>
        <w:pStyle w:val="TMGBullet"/>
      </w:pPr>
      <w:r w:rsidRPr="004D4172">
        <w:t>Subpart B: Measures for Highway Safety</w:t>
      </w:r>
    </w:p>
    <w:p w14:paraId="6D7929B7" w14:textId="77777777" w:rsidR="00046060" w:rsidRPr="004D4172" w:rsidRDefault="00046060">
      <w:pPr>
        <w:pStyle w:val="TMGBullet"/>
      </w:pPr>
      <w:r w:rsidRPr="004D4172">
        <w:t>Subpart E: Measures to Assess Performance of the NHS</w:t>
      </w:r>
    </w:p>
    <w:p w14:paraId="5C424FCF" w14:textId="77777777" w:rsidR="00046060" w:rsidRPr="004D4172" w:rsidRDefault="00046060">
      <w:pPr>
        <w:pStyle w:val="TMGBullet"/>
      </w:pPr>
      <w:r w:rsidRPr="004D4172">
        <w:t>Subpart F: Measures to Assess Freight Movement on the Interstate</w:t>
      </w:r>
    </w:p>
    <w:p w14:paraId="76FC9BA0" w14:textId="77777777" w:rsidR="00046060" w:rsidRPr="004D4172" w:rsidRDefault="00046060">
      <w:pPr>
        <w:pStyle w:val="TMGBullet"/>
      </w:pPr>
      <w:r w:rsidRPr="004D4172">
        <w:t>Subpart G: Measures to Assess CMAQ Program Traffic Congestion</w:t>
      </w:r>
    </w:p>
    <w:p w14:paraId="53EB4AC0" w14:textId="77777777" w:rsidR="00046060" w:rsidRPr="00D53F9F" w:rsidRDefault="00046060" w:rsidP="00A35EAF">
      <w:pPr>
        <w:pStyle w:val="BodyText"/>
      </w:pPr>
      <w:r w:rsidRPr="00D53F9F">
        <w:t xml:space="preserve">49 U. S. Code § 5304(g): Statewide Transportation Improvement Program (STIP) (granting Federal authority in approval of the STIP and prescribes types of traffic data required) </w:t>
      </w:r>
    </w:p>
    <w:p w14:paraId="049F8AE2" w14:textId="7BC8E876" w:rsidR="00046060" w:rsidRPr="00D53F9F" w:rsidRDefault="00046060" w:rsidP="00A35EAF">
      <w:pPr>
        <w:pStyle w:val="BodyText"/>
      </w:pPr>
      <w:r w:rsidRPr="00D53F9F">
        <w:t>23 CFR § 45</w:t>
      </w:r>
      <w:r w:rsidR="0070233B">
        <w:t>0</w:t>
      </w:r>
      <w:r w:rsidRPr="00D53F9F">
        <w:t>: Planning Assistance and Standards (specifies the legal requirement to rely on data obtained from the traffic monitoring system)</w:t>
      </w:r>
    </w:p>
    <w:p w14:paraId="779FBF7D" w14:textId="658AE084" w:rsidR="00046060" w:rsidRPr="00D53F9F" w:rsidRDefault="00046060" w:rsidP="00A35EAF">
      <w:pPr>
        <w:pStyle w:val="BodyText"/>
      </w:pPr>
      <w:r w:rsidRPr="00D53F9F">
        <w:t xml:space="preserve">23 U. S. Code § 315: Rules, Regulations, and Recommendations (granting Federal authority to collect data from </w:t>
      </w:r>
      <w:r w:rsidR="003322B9">
        <w:t>S</w:t>
      </w:r>
      <w:r w:rsidRPr="00D53F9F">
        <w:t>tates to support the Federal-aid highway program)</w:t>
      </w:r>
    </w:p>
    <w:p w14:paraId="468211E0" w14:textId="1AF878B1" w:rsidR="00046060" w:rsidRPr="00D53F9F" w:rsidRDefault="00046060" w:rsidP="00A35EAF">
      <w:pPr>
        <w:pStyle w:val="BodyText"/>
      </w:pPr>
      <w:r w:rsidRPr="00D53F9F">
        <w:t>23 CFR § 1.5</w:t>
      </w:r>
      <w:r w:rsidR="00306BF0">
        <w:t>:</w:t>
      </w:r>
      <w:r w:rsidRPr="00D53F9F">
        <w:t xml:space="preserve"> Information furnished by State highway departments (granting Federal authority to collect data from </w:t>
      </w:r>
      <w:r w:rsidR="003322B9">
        <w:t>S</w:t>
      </w:r>
      <w:r w:rsidRPr="00D53F9F">
        <w:t>tates to support the Federal-aid highway program)</w:t>
      </w:r>
    </w:p>
    <w:p w14:paraId="06F494C5" w14:textId="4F20AD0A" w:rsidR="00046060" w:rsidRPr="00D53F9F" w:rsidRDefault="00046060" w:rsidP="00A35EAF">
      <w:pPr>
        <w:pStyle w:val="BodyText"/>
      </w:pPr>
      <w:r w:rsidRPr="00D53F9F">
        <w:t>23 U. S. Code § 503</w:t>
      </w:r>
      <w:r w:rsidR="00306BF0">
        <w:t>:</w:t>
      </w:r>
      <w:r w:rsidRPr="00D53F9F">
        <w:t xml:space="preserve"> Research and Technology Development and Deployment (mandates the FHWA to conduct the biennial Condition &amp; Performance (C&amp;P) Report to Congress and the need for </w:t>
      </w:r>
      <w:r w:rsidR="003322B9">
        <w:t>S</w:t>
      </w:r>
      <w:r w:rsidRPr="00D53F9F">
        <w:t>tate</w:t>
      </w:r>
      <w:r w:rsidR="003322B9">
        <w:t>-</w:t>
      </w:r>
      <w:r w:rsidRPr="00D53F9F">
        <w:t>supplied traffic data).</w:t>
      </w:r>
      <w:r w:rsidR="004D4172">
        <w:t xml:space="preserve"> </w:t>
      </w:r>
    </w:p>
    <w:p w14:paraId="6FFC0D99" w14:textId="77777777" w:rsidR="00046060" w:rsidRPr="00F53123" w:rsidRDefault="00046060" w:rsidP="00A35EAF">
      <w:pPr>
        <w:pStyle w:val="BodyText"/>
        <w:rPr>
          <w:rFonts w:ascii="Cambria" w:hAnsi="Cambria"/>
          <w:b/>
          <w:bCs/>
          <w:i/>
          <w:iCs/>
          <w:sz w:val="22"/>
          <w:szCs w:val="22"/>
          <w:lang w:bidi="en-US"/>
        </w:rPr>
      </w:pPr>
      <w:r w:rsidRPr="00F53123">
        <w:rPr>
          <w:rFonts w:ascii="Cambria" w:hAnsi="Cambria"/>
          <w:b/>
          <w:bCs/>
          <w:i/>
          <w:iCs/>
          <w:sz w:val="22"/>
          <w:szCs w:val="22"/>
          <w:lang w:bidi="en-US"/>
        </w:rPr>
        <w:t>Additional Authority for Air Quality Non-Attainment Areas</w:t>
      </w:r>
    </w:p>
    <w:p w14:paraId="33A2A417" w14:textId="3A3C08F6" w:rsidR="00046060" w:rsidRPr="00D53F9F" w:rsidRDefault="00046060" w:rsidP="00A35EAF">
      <w:pPr>
        <w:pStyle w:val="BodyText"/>
      </w:pPr>
      <w:r w:rsidRPr="00D53F9F">
        <w:t xml:space="preserve">40 CFR §93 Subpart A: Transportation Conformity Requirements (defines traffic data dimensions) </w:t>
      </w:r>
    </w:p>
    <w:p w14:paraId="017DC36D" w14:textId="51ABC7F6" w:rsidR="0091460B" w:rsidRDefault="00046060" w:rsidP="00A35EAF">
      <w:pPr>
        <w:pStyle w:val="BodyText"/>
      </w:pPr>
      <w:r w:rsidRPr="00D53F9F">
        <w:t>40 CFR §93 Subpar</w:t>
      </w:r>
      <w:r w:rsidR="003322B9">
        <w:t>t</w:t>
      </w:r>
      <w:r w:rsidRPr="00D53F9F">
        <w:t xml:space="preserve"> B: General Conformity</w:t>
      </w:r>
      <w:r w:rsidRPr="00A64311">
        <w:t xml:space="preserve"> Requirements (defines traffic data dimensions)</w:t>
      </w:r>
    </w:p>
    <w:p w14:paraId="4622FED6" w14:textId="77777777" w:rsidR="0091460B" w:rsidRDefault="0091460B">
      <w:pPr>
        <w:widowControl/>
        <w:suppressAutoHyphens w:val="0"/>
        <w:autoSpaceDE/>
        <w:autoSpaceDN/>
        <w:adjustRightInd/>
        <w:spacing w:line="259" w:lineRule="auto"/>
        <w:jc w:val="left"/>
        <w:textAlignment w:val="auto"/>
        <w:rPr>
          <w:color w:val="auto"/>
        </w:rPr>
      </w:pPr>
      <w:r>
        <w:br w:type="page"/>
      </w:r>
    </w:p>
    <w:p w14:paraId="45DDA81E" w14:textId="663885BA" w:rsidR="00046060" w:rsidRPr="00F468E1" w:rsidRDefault="00BE5D4E">
      <w:pPr>
        <w:pStyle w:val="Heading3"/>
      </w:pPr>
      <w:bookmarkStart w:id="57" w:name="_Toc33968097"/>
      <w:bookmarkStart w:id="58" w:name="_Toc44415679"/>
      <w:bookmarkStart w:id="59" w:name="_Toc57736804"/>
      <w:bookmarkStart w:id="60" w:name="_Toc114485824"/>
      <w:bookmarkStart w:id="61" w:name="_Toc114488064"/>
      <w:bookmarkStart w:id="62" w:name="_Toc118205550"/>
      <w:r w:rsidRPr="00BE5D4E">
        <w:rPr>
          <w:i/>
          <w:iCs/>
        </w:rPr>
        <w:lastRenderedPageBreak/>
        <w:t>TM</w:t>
      </w:r>
      <w:r w:rsidR="00046060" w:rsidRPr="00BE5D4E">
        <w:rPr>
          <w:i/>
          <w:iCs/>
        </w:rPr>
        <w:t>G</w:t>
      </w:r>
      <w:r w:rsidR="00046060" w:rsidRPr="00F468E1">
        <w:t xml:space="preserve"> Organization</w:t>
      </w:r>
      <w:bookmarkStart w:id="63" w:name="_Hlk36124400"/>
      <w:bookmarkEnd w:id="57"/>
      <w:bookmarkEnd w:id="58"/>
      <w:bookmarkEnd w:id="59"/>
      <w:bookmarkEnd w:id="60"/>
      <w:bookmarkEnd w:id="61"/>
      <w:bookmarkEnd w:id="62"/>
      <w:r w:rsidR="00046060" w:rsidRPr="00F468E1">
        <w:t xml:space="preserve"> </w:t>
      </w:r>
    </w:p>
    <w:p w14:paraId="24CAE0CD" w14:textId="3C062EC8" w:rsidR="00187330" w:rsidRPr="004E7B1E" w:rsidRDefault="00187330" w:rsidP="00A35EAF">
      <w:pPr>
        <w:pStyle w:val="BodyText"/>
      </w:pPr>
      <w:r>
        <w:t xml:space="preserve">The chapters and appendices </w:t>
      </w:r>
      <w:r w:rsidRPr="004E7B1E">
        <w:t>in th</w:t>
      </w:r>
      <w:r w:rsidR="00BE5D4E">
        <w:t>e</w:t>
      </w:r>
      <w:r w:rsidRPr="004E7B1E">
        <w:t xml:space="preserve"> </w:t>
      </w:r>
      <w:r w:rsidR="00BE5D4E" w:rsidRPr="00BE5D4E">
        <w:rPr>
          <w:i/>
          <w:iCs/>
        </w:rPr>
        <w:t>TM</w:t>
      </w:r>
      <w:r w:rsidRPr="004E7B1E">
        <w:rPr>
          <w:rStyle w:val="Italic"/>
          <w:iCs/>
        </w:rPr>
        <w:t>G</w:t>
      </w:r>
      <w:r w:rsidRPr="004E7B1E">
        <w:t xml:space="preserve"> include the following:</w:t>
      </w:r>
    </w:p>
    <w:p w14:paraId="161ECDAD" w14:textId="415CF552" w:rsidR="00187330" w:rsidRPr="004E7B1E" w:rsidRDefault="00187330" w:rsidP="00A35EAF">
      <w:pPr>
        <w:pStyle w:val="BodyText"/>
      </w:pPr>
      <w:r w:rsidRPr="004E7B1E">
        <w:rPr>
          <w:rStyle w:val="Bold"/>
        </w:rPr>
        <w:t xml:space="preserve">Chapter 1 – Traffic Monitoring Program Introduction: Federal Authority, Data Users and Data Sources, Business Planning and Design </w:t>
      </w:r>
      <w:r w:rsidR="0010467B">
        <w:rPr>
          <w:rStyle w:val="Bold"/>
        </w:rPr>
        <w:t>–</w:t>
      </w:r>
      <w:r w:rsidRPr="004E7B1E">
        <w:rPr>
          <w:rStyle w:val="Bold"/>
        </w:rPr>
        <w:t xml:space="preserve"> </w:t>
      </w:r>
      <w:r w:rsidRPr="004E7B1E">
        <w:t xml:space="preserve">This chapter provides a </w:t>
      </w:r>
      <w:r w:rsidRPr="00BE5D4E">
        <w:rPr>
          <w:i/>
          <w:iCs/>
        </w:rPr>
        <w:t>TMG</w:t>
      </w:r>
      <w:r w:rsidRPr="004E7B1E">
        <w:t xml:space="preserve"> introduction with an overview of the guide’s organization and an overview of traffic monitoring program, including: traffic monitoring program purpose, traffic data customers and common traffic data requirements, and an introduction of essential elements of traffic monitoring program. </w:t>
      </w:r>
    </w:p>
    <w:p w14:paraId="36C517FA" w14:textId="543D8D71" w:rsidR="00187330" w:rsidRPr="004E7B1E" w:rsidRDefault="00187330" w:rsidP="00A35EAF">
      <w:pPr>
        <w:pStyle w:val="BodyText"/>
      </w:pPr>
      <w:r w:rsidRPr="004E7B1E">
        <w:rPr>
          <w:rStyle w:val="Bold"/>
        </w:rPr>
        <w:t xml:space="preserve">Chapter 2 – Traffic Data Collection Technology and Equipment - </w:t>
      </w:r>
      <w:r w:rsidRPr="004E7B1E">
        <w:t>This chapter provides an overview of different vehicle detection technologies to collect motorized</w:t>
      </w:r>
      <w:r w:rsidR="008F1F94" w:rsidRPr="004E7B1E">
        <w:t xml:space="preserve"> </w:t>
      </w:r>
      <w:r w:rsidRPr="004E7B1E">
        <w:t xml:space="preserve">and micromobility traffic data. It also contains practical guidance on </w:t>
      </w:r>
      <w:r w:rsidR="008F1F94" w:rsidRPr="004E7B1E">
        <w:t xml:space="preserve">selecting traffic monitoring location, </w:t>
      </w:r>
      <w:r w:rsidRPr="004E7B1E">
        <w:t>sensor layout</w:t>
      </w:r>
      <w:r w:rsidR="008F1F94" w:rsidRPr="004E7B1E">
        <w:t>,</w:t>
      </w:r>
      <w:r w:rsidRPr="004E7B1E">
        <w:t xml:space="preserve"> and equipment installation and calibration.</w:t>
      </w:r>
    </w:p>
    <w:p w14:paraId="42359927" w14:textId="5867F946" w:rsidR="00187330" w:rsidRPr="003F6ED0" w:rsidRDefault="00187330" w:rsidP="00A35EAF">
      <w:pPr>
        <w:pStyle w:val="BodyText"/>
      </w:pPr>
      <w:r w:rsidRPr="004E7B1E">
        <w:rPr>
          <w:rStyle w:val="Bold"/>
        </w:rPr>
        <w:t xml:space="preserve">Chapter 3 – Methodologies for Traffic Data Collection and Processing - </w:t>
      </w:r>
      <w:r w:rsidRPr="004E7B1E">
        <w:t xml:space="preserve">This chapter describes methodologies for collecting traffic data from moving vehicles and pedestrians, including guidance for continuous and short-term data collection plans. It provides guidance on how to collect traffic data to support various FHWA, </w:t>
      </w:r>
      <w:r w:rsidR="00034708">
        <w:t>S</w:t>
      </w:r>
      <w:r w:rsidRPr="004E7B1E">
        <w:t xml:space="preserve">tate, and local-level programs. This chapter addresses limitations related to traffic monitoring program design, duration of data </w:t>
      </w:r>
      <w:r w:rsidRPr="003F6ED0">
        <w:t xml:space="preserve">collection, and natural traffic variations and their potential effect on computed traffic data statistics. This chapter also contains methodology and practical examples of parameter computations based on collected traffic data. </w:t>
      </w:r>
    </w:p>
    <w:p w14:paraId="1D414403" w14:textId="77777777" w:rsidR="00187330" w:rsidRDefault="00187330" w:rsidP="0010467B">
      <w:pPr>
        <w:pStyle w:val="BodyText"/>
      </w:pPr>
      <w:r>
        <w:t xml:space="preserve">This comprehensive chapter also </w:t>
      </w:r>
      <w:r w:rsidRPr="0010467B">
        <w:t>provides</w:t>
      </w:r>
      <w:r>
        <w:t xml:space="preserve"> guidance on the following:</w:t>
      </w:r>
    </w:p>
    <w:p w14:paraId="6BDAEE92" w14:textId="27D2C860" w:rsidR="00187330" w:rsidRPr="0091460B" w:rsidRDefault="00187330">
      <w:pPr>
        <w:pStyle w:val="TMGBullet"/>
      </w:pPr>
      <w:r w:rsidRPr="0091460B">
        <w:t>Methods used to determine the number of data collection sites</w:t>
      </w:r>
      <w:r w:rsidR="00034708" w:rsidRPr="0091460B">
        <w:t>.</w:t>
      </w:r>
    </w:p>
    <w:p w14:paraId="48FF3BD1" w14:textId="5C5DCB76" w:rsidR="00187330" w:rsidRPr="0091460B" w:rsidRDefault="00187330">
      <w:pPr>
        <w:pStyle w:val="TMGBullet"/>
      </w:pPr>
      <w:r w:rsidRPr="0091460B">
        <w:t xml:space="preserve">How </w:t>
      </w:r>
      <w:r w:rsidR="008F1F94" w:rsidRPr="0091460B">
        <w:t xml:space="preserve">to develop </w:t>
      </w:r>
      <w:r w:rsidRPr="0091460B">
        <w:t xml:space="preserve">factor groups </w:t>
      </w:r>
      <w:r w:rsidR="008F1F94" w:rsidRPr="0091460B">
        <w:t>and assign sites to the group</w:t>
      </w:r>
      <w:r w:rsidR="00034708" w:rsidRPr="0091460B">
        <w:t>.</w:t>
      </w:r>
    </w:p>
    <w:p w14:paraId="02A6A69C" w14:textId="15535DBD" w:rsidR="00187330" w:rsidRPr="0091460B" w:rsidRDefault="00187330">
      <w:pPr>
        <w:pStyle w:val="TMGBullet"/>
      </w:pPr>
      <w:r w:rsidRPr="0091460B">
        <w:t xml:space="preserve">How to derive Daily, Monthly, Weekly and Annual Average Daily Traffic </w:t>
      </w:r>
      <w:r w:rsidR="008F1F94" w:rsidRPr="0091460B">
        <w:t>estimates</w:t>
      </w:r>
      <w:r w:rsidR="00034708" w:rsidRPr="0091460B">
        <w:t>.</w:t>
      </w:r>
    </w:p>
    <w:p w14:paraId="4E524E71" w14:textId="215DB930" w:rsidR="00187330" w:rsidRPr="0091460B" w:rsidRDefault="008F1F94">
      <w:pPr>
        <w:pStyle w:val="TMGBullet"/>
      </w:pPr>
      <w:r w:rsidRPr="0091460B">
        <w:t>M</w:t>
      </w:r>
      <w:r w:rsidR="00187330" w:rsidRPr="0091460B">
        <w:t>ethodologies and steps to establish Continuous Count and Short</w:t>
      </w:r>
      <w:r w:rsidR="00034708" w:rsidRPr="0091460B">
        <w:t>-</w:t>
      </w:r>
      <w:r w:rsidR="00E73EC1" w:rsidRPr="0091460B">
        <w:t xml:space="preserve">Term </w:t>
      </w:r>
      <w:r w:rsidR="00187330" w:rsidRPr="0091460B">
        <w:t>Count programs to collect volume, speed, vehicle classification, and weight data</w:t>
      </w:r>
      <w:r w:rsidR="00034708" w:rsidRPr="0091460B">
        <w:t>.</w:t>
      </w:r>
    </w:p>
    <w:p w14:paraId="46981F7E" w14:textId="53EAEF75" w:rsidR="00187330" w:rsidRPr="0091460B" w:rsidRDefault="00187330">
      <w:pPr>
        <w:pStyle w:val="TMGBullet"/>
      </w:pPr>
      <w:r w:rsidRPr="0091460B">
        <w:t>How to estimate motorcycle Vehicle Miles Traveled (VMT).</w:t>
      </w:r>
    </w:p>
    <w:p w14:paraId="54FCF878" w14:textId="1CE82995" w:rsidR="00187330" w:rsidRPr="004E7B1E" w:rsidRDefault="00187330" w:rsidP="0010467B">
      <w:pPr>
        <w:pStyle w:val="BodyText"/>
      </w:pPr>
      <w:r w:rsidRPr="004E7B1E">
        <w:t>This chapter provides guidance and examples on coordinating activities for transportation management and operations functions within State DOTs</w:t>
      </w:r>
      <w:r w:rsidR="008F1F94" w:rsidRPr="004E7B1E">
        <w:t>,</w:t>
      </w:r>
      <w:r w:rsidRPr="004E7B1E">
        <w:t xml:space="preserve"> </w:t>
      </w:r>
      <w:r w:rsidR="008F1F94" w:rsidRPr="004E7B1E">
        <w:t xml:space="preserve">including </w:t>
      </w:r>
      <w:r w:rsidRPr="004E7B1E">
        <w:t>the following:</w:t>
      </w:r>
    </w:p>
    <w:p w14:paraId="07D4E951" w14:textId="30A625C0" w:rsidR="00187330" w:rsidRPr="004E7B1E" w:rsidRDefault="00187330">
      <w:pPr>
        <w:pStyle w:val="TMGBullet"/>
      </w:pPr>
      <w:r w:rsidRPr="004E7B1E">
        <w:t>Traffic management and operations (freeway, freight, arterial) including traveler information, incident management, and planning for operations (including performance measures)</w:t>
      </w:r>
      <w:r w:rsidR="00034708">
        <w:t>.</w:t>
      </w:r>
    </w:p>
    <w:p w14:paraId="0E07741D" w14:textId="710302F3" w:rsidR="00187330" w:rsidRPr="004E7B1E" w:rsidRDefault="00187330">
      <w:pPr>
        <w:pStyle w:val="TMGBullet"/>
      </w:pPr>
      <w:r w:rsidRPr="004E7B1E">
        <w:t>Special monitoring for evacuations/emergency/planned events</w:t>
      </w:r>
      <w:r w:rsidR="00034708">
        <w:t>.</w:t>
      </w:r>
    </w:p>
    <w:p w14:paraId="4EFE2C0A" w14:textId="1B951A11" w:rsidR="00187330" w:rsidRPr="004E7B1E" w:rsidRDefault="00187330">
      <w:pPr>
        <w:pStyle w:val="TMGBullet"/>
      </w:pPr>
      <w:r w:rsidRPr="004E7B1E">
        <w:t>Commercial vehicle enforcement</w:t>
      </w:r>
      <w:r w:rsidR="00034708">
        <w:t>.</w:t>
      </w:r>
    </w:p>
    <w:p w14:paraId="07EC5B9F" w14:textId="586681A5" w:rsidR="00187330" w:rsidRPr="004E7B1E" w:rsidRDefault="00187330">
      <w:pPr>
        <w:pStyle w:val="TMGBullet"/>
      </w:pPr>
      <w:r w:rsidRPr="004E7B1E">
        <w:t>Safety</w:t>
      </w:r>
      <w:r w:rsidR="00034708">
        <w:t>.</w:t>
      </w:r>
    </w:p>
    <w:p w14:paraId="11838A07" w14:textId="73B8ADCD" w:rsidR="00187330" w:rsidRPr="004E7B1E" w:rsidRDefault="00187330">
      <w:pPr>
        <w:pStyle w:val="TMGBullet"/>
      </w:pPr>
      <w:r w:rsidRPr="004E7B1E">
        <w:t>Planning (including access management, modeling</w:t>
      </w:r>
      <w:r w:rsidR="009E57FD">
        <w:t>,</w:t>
      </w:r>
      <w:r w:rsidRPr="004E7B1E">
        <w:t xml:space="preserve"> and long</w:t>
      </w:r>
      <w:r w:rsidR="00034708">
        <w:t>-</w:t>
      </w:r>
      <w:r w:rsidRPr="004E7B1E">
        <w:t>range planning).</w:t>
      </w:r>
    </w:p>
    <w:p w14:paraId="7E52E8E9" w14:textId="2EAA32CA" w:rsidR="00187330" w:rsidRPr="004E7B1E" w:rsidRDefault="00187330" w:rsidP="00A35EAF">
      <w:pPr>
        <w:pStyle w:val="BodyText"/>
        <w:rPr>
          <w:rStyle w:val="Bold"/>
        </w:rPr>
      </w:pPr>
      <w:r w:rsidRPr="004E7B1E">
        <w:rPr>
          <w:rStyle w:val="Bold"/>
        </w:rPr>
        <w:t xml:space="preserve">Chapter 4 – Traffic Monitoring Data Formats - This chapter describes data and file formats for traffic data collection to satisfy FHWA traffic data reporting requirements. </w:t>
      </w:r>
      <w:r w:rsidRPr="004E7B1E">
        <w:t xml:space="preserve">This chapter also defines the data record formats and data submittal frequency for reporting volume, speed, vehicle classification, and weight data for motorized </w:t>
      </w:r>
      <w:r w:rsidR="006B10FE">
        <w:t>vehicles</w:t>
      </w:r>
      <w:r w:rsidR="006B10FE" w:rsidRPr="004E7B1E">
        <w:t xml:space="preserve"> </w:t>
      </w:r>
      <w:r w:rsidRPr="004E7B1E">
        <w:t xml:space="preserve">and also describes the data formats for reporting </w:t>
      </w:r>
      <w:r w:rsidR="00665742">
        <w:t xml:space="preserve">Micromobility </w:t>
      </w:r>
      <w:r w:rsidRPr="004E7B1E">
        <w:t xml:space="preserve">data. It </w:t>
      </w:r>
      <w:r w:rsidR="008F1F94" w:rsidRPr="004E7B1E">
        <w:t>describes</w:t>
      </w:r>
      <w:r w:rsidR="00A506DB">
        <w:t xml:space="preserve"> </w:t>
      </w:r>
      <w:r w:rsidR="00E73EC1" w:rsidRPr="004E7B1E">
        <w:t>Individual Vehicle Record (IVR) formats</w:t>
      </w:r>
      <w:r w:rsidRPr="004E7B1E">
        <w:t xml:space="preserve">, as an alternative method for submitting traffic data to FHWA. The traffic data formats described in this chapter are </w:t>
      </w:r>
      <w:r w:rsidR="00655834">
        <w:t>a</w:t>
      </w:r>
      <w:r w:rsidRPr="004E7B1E">
        <w:t>n addition to the traffic data submitted annually to FHWA as part of the HPMS submittal.</w:t>
      </w:r>
    </w:p>
    <w:p w14:paraId="4DBE1F97" w14:textId="5E5EFB5B" w:rsidR="00187330" w:rsidRPr="003F6ED0" w:rsidRDefault="00187330" w:rsidP="00A35EAF">
      <w:pPr>
        <w:pStyle w:val="BodyText"/>
        <w:rPr>
          <w:rStyle w:val="Bold"/>
        </w:rPr>
      </w:pPr>
      <w:r w:rsidRPr="004E7B1E">
        <w:rPr>
          <w:rStyle w:val="Bold"/>
        </w:rPr>
        <w:t xml:space="preserve">Chapter 5 – This chapter describes </w:t>
      </w:r>
      <w:r w:rsidRPr="003F6ED0">
        <w:rPr>
          <w:rStyle w:val="Bold"/>
        </w:rPr>
        <w:t xml:space="preserve">HPMS </w:t>
      </w:r>
      <w:r w:rsidR="00034708">
        <w:rPr>
          <w:rStyle w:val="Bold"/>
        </w:rPr>
        <w:t>r</w:t>
      </w:r>
      <w:r w:rsidRPr="003F6ED0">
        <w:rPr>
          <w:rStyle w:val="Bold"/>
        </w:rPr>
        <w:t xml:space="preserve">equirements for traffic data reporting. </w:t>
      </w:r>
      <w:r w:rsidR="006F7145">
        <w:t>The traffic data items reported in HPMS are identified</w:t>
      </w:r>
      <w:r w:rsidR="00034708">
        <w:t>,</w:t>
      </w:r>
      <w:r w:rsidR="006F7145">
        <w:t xml:space="preserve"> and the use of th</w:t>
      </w:r>
      <w:r w:rsidR="00034708">
        <w:t>ese</w:t>
      </w:r>
      <w:r w:rsidR="006F7145">
        <w:t xml:space="preserve"> data is also explained in this chapter.</w:t>
      </w:r>
      <w:r w:rsidR="0017327B">
        <w:t xml:space="preserve"> </w:t>
      </w:r>
      <w:r w:rsidRPr="003F6ED0">
        <w:rPr>
          <w:rStyle w:val="Bold"/>
        </w:rPr>
        <w:t>This chapter also provides detailed information about the FHWA TMAS software submittal system</w:t>
      </w:r>
      <w:r w:rsidR="006F7145">
        <w:rPr>
          <w:rStyle w:val="Bold"/>
        </w:rPr>
        <w:t>,</w:t>
      </w:r>
      <w:r w:rsidRPr="003F6ED0">
        <w:rPr>
          <w:rStyle w:val="Bold"/>
        </w:rPr>
        <w:t xml:space="preserve"> including a discussion about why TMAS is important and how data partners (State DOTs, MPOs, Counties, Cities, etc.) provide data to meet the </w:t>
      </w:r>
      <w:r w:rsidR="00034708">
        <w:rPr>
          <w:rStyle w:val="Bold"/>
        </w:rPr>
        <w:t>F</w:t>
      </w:r>
      <w:r w:rsidRPr="003F6ED0">
        <w:rPr>
          <w:rStyle w:val="Bold"/>
        </w:rPr>
        <w:t xml:space="preserve">ederal data needs. </w:t>
      </w:r>
      <w:r>
        <w:t>Traffic data represent a significant portion (25%) of the HPMS data reported to FHWA annually. Many of these data</w:t>
      </w:r>
      <w:r w:rsidR="00E63844">
        <w:t xml:space="preserve">sets </w:t>
      </w:r>
      <w:r>
        <w:t xml:space="preserve">are provided from a State’s traffic monitoring program. </w:t>
      </w:r>
    </w:p>
    <w:p w14:paraId="05AF00B8" w14:textId="7CDDB316" w:rsidR="00187330" w:rsidRPr="004E7B1E" w:rsidRDefault="00187330" w:rsidP="00A35EAF">
      <w:pPr>
        <w:pStyle w:val="BodyText"/>
      </w:pPr>
      <w:r>
        <w:rPr>
          <w:rStyle w:val="Bold"/>
        </w:rPr>
        <w:t xml:space="preserve">Chapter 6 – </w:t>
      </w:r>
      <w:r w:rsidRPr="003F6ED0">
        <w:rPr>
          <w:rStyle w:val="Bold"/>
        </w:rPr>
        <w:t xml:space="preserve">This chapter provides an overview of innovative ways of collecting traffic data using emerging new technologies from connected and autonomous vehicles and from the Internet-of-Things (IoT) environment, </w:t>
      </w:r>
      <w:r w:rsidRPr="004E7B1E">
        <w:rPr>
          <w:rStyle w:val="Bold"/>
        </w:rPr>
        <w:t>including discussion about acquiring third</w:t>
      </w:r>
      <w:r w:rsidR="005B7275">
        <w:rPr>
          <w:rStyle w:val="Bold"/>
        </w:rPr>
        <w:t>-</w:t>
      </w:r>
      <w:r w:rsidRPr="004E7B1E">
        <w:rPr>
          <w:rStyle w:val="Bold"/>
        </w:rPr>
        <w:t>party traffic data</w:t>
      </w:r>
      <w:r w:rsidR="006F7145" w:rsidRPr="004E7B1E">
        <w:rPr>
          <w:rStyle w:val="Bold"/>
        </w:rPr>
        <w:t>.</w:t>
      </w:r>
    </w:p>
    <w:p w14:paraId="601C8C38" w14:textId="2E639D4C" w:rsidR="00046060" w:rsidRPr="004E7B1E" w:rsidRDefault="00046060" w:rsidP="00D91CD0">
      <w:pPr>
        <w:pStyle w:val="BodyText"/>
      </w:pPr>
      <w:r w:rsidRPr="004E7B1E">
        <w:t xml:space="preserve">There are a few differences between the 2016 </w:t>
      </w:r>
      <w:r w:rsidRPr="004E7B1E">
        <w:rPr>
          <w:i/>
          <w:iCs/>
        </w:rPr>
        <w:t>TMG</w:t>
      </w:r>
      <w:r w:rsidRPr="004E7B1E">
        <w:t xml:space="preserve"> and the </w:t>
      </w:r>
      <w:r w:rsidR="004621B2">
        <w:t>2022</w:t>
      </w:r>
      <w:r w:rsidRPr="004E7B1E">
        <w:t xml:space="preserve"> </w:t>
      </w:r>
      <w:r w:rsidRPr="004E7B1E">
        <w:rPr>
          <w:i/>
          <w:iCs/>
        </w:rPr>
        <w:t>TMG</w:t>
      </w:r>
      <w:r w:rsidRPr="004E7B1E">
        <w:t xml:space="preserve">. First, information has been combined and condensed to reduce the total number of chapters from 7 to 6. </w:t>
      </w:r>
      <w:r w:rsidR="006F7145" w:rsidRPr="004E7B1E">
        <w:t xml:space="preserve">Second, the </w:t>
      </w:r>
      <w:r w:rsidR="004621B2">
        <w:t>2022</w:t>
      </w:r>
      <w:r w:rsidRPr="004E7B1E">
        <w:t xml:space="preserve"> </w:t>
      </w:r>
      <w:r w:rsidRPr="004E7B1E">
        <w:rPr>
          <w:i/>
          <w:iCs/>
        </w:rPr>
        <w:t xml:space="preserve">TMG </w:t>
      </w:r>
      <w:r w:rsidRPr="004E7B1E">
        <w:t xml:space="preserve">now provides the new term, </w:t>
      </w:r>
      <w:r w:rsidR="00B1760A" w:rsidRPr="004E7B1E">
        <w:t>micromobility.</w:t>
      </w:r>
      <w:r w:rsidRPr="004E7B1E">
        <w:t xml:space="preserve"> The term </w:t>
      </w:r>
      <w:r w:rsidR="002913D2" w:rsidRPr="004E7B1E">
        <w:t>micromobility</w:t>
      </w:r>
      <w:r w:rsidRPr="004E7B1E">
        <w:t xml:space="preserve"> is an all-inclusive updated and modern definition of a </w:t>
      </w:r>
      <w:r w:rsidR="009D55A9" w:rsidRPr="004E7B1E">
        <w:t>n</w:t>
      </w:r>
      <w:r w:rsidRPr="004E7B1E">
        <w:t xml:space="preserve">onmotorized </w:t>
      </w:r>
      <w:r w:rsidRPr="004E7B1E">
        <w:lastRenderedPageBreak/>
        <w:t>program and incorporates</w:t>
      </w:r>
      <w:r w:rsidR="00E73EC1" w:rsidRPr="004E7B1E">
        <w:t xml:space="preserve"> pedestrians, human</w:t>
      </w:r>
      <w:r w:rsidR="005B7275">
        <w:t>-</w:t>
      </w:r>
      <w:r w:rsidR="00E73EC1" w:rsidRPr="004E7B1E">
        <w:t>powered bicycles</w:t>
      </w:r>
      <w:r w:rsidRPr="004E7B1E">
        <w:t xml:space="preserve"> scooters, hoverboards, e-bikes, and other micro-powered </w:t>
      </w:r>
      <w:r w:rsidR="004E7B1E" w:rsidRPr="004E7B1E">
        <w:t>tra</w:t>
      </w:r>
      <w:r w:rsidR="004E7B1E">
        <w:t>ffic</w:t>
      </w:r>
      <w:r w:rsidRPr="004E7B1E">
        <w:t>.</w:t>
      </w:r>
      <w:r w:rsidR="004D4172">
        <w:t xml:space="preserve"> </w:t>
      </w:r>
      <w:r w:rsidRPr="004E7B1E">
        <w:t xml:space="preserve">Chapter 3 provides a separate subsection dedicated to the </w:t>
      </w:r>
      <w:r w:rsidR="002913D2" w:rsidRPr="004E7B1E">
        <w:t>micromobility</w:t>
      </w:r>
      <w:r w:rsidR="009D55A9" w:rsidRPr="004E7B1E">
        <w:t xml:space="preserve"> </w:t>
      </w:r>
      <w:r w:rsidRPr="004E7B1E">
        <w:t>program methods for traffic data collection and processing.</w:t>
      </w:r>
      <w:r w:rsidR="004D4172">
        <w:t xml:space="preserve"> </w:t>
      </w:r>
      <w:r w:rsidR="00E607B6">
        <w:t xml:space="preserve">Third, pipe-delimited file formats are now an acceptable way to submit data (see Chapter 4). </w:t>
      </w:r>
      <w:r w:rsidRPr="004E7B1E">
        <w:t xml:space="preserve">Additionally, a new informational </w:t>
      </w:r>
      <w:r w:rsidR="00201511" w:rsidRPr="004E7B1E">
        <w:t>C</w:t>
      </w:r>
      <w:r w:rsidRPr="004E7B1E">
        <w:t>hapter 6 has been added providing information on how to acquire and work with third</w:t>
      </w:r>
      <w:r w:rsidR="005B7275">
        <w:t>-</w:t>
      </w:r>
      <w:r w:rsidRPr="004E7B1E">
        <w:t xml:space="preserve">party traffic </w:t>
      </w:r>
      <w:r w:rsidR="002D5FA1" w:rsidRPr="004E7B1E">
        <w:t xml:space="preserve">and </w:t>
      </w:r>
      <w:r w:rsidR="004E7B1E" w:rsidRPr="004E7B1E">
        <w:t>t</w:t>
      </w:r>
      <w:r w:rsidR="004E7B1E">
        <w:t>raffic</w:t>
      </w:r>
      <w:r w:rsidR="004E7B1E" w:rsidRPr="004E7B1E">
        <w:t xml:space="preserve"> </w:t>
      </w:r>
      <w:r w:rsidR="002D5FA1" w:rsidRPr="004E7B1E">
        <w:t xml:space="preserve">monitoring </w:t>
      </w:r>
      <w:r w:rsidRPr="004E7B1E">
        <w:t xml:space="preserve">data, and data analysis. </w:t>
      </w:r>
    </w:p>
    <w:p w14:paraId="423C2DD0" w14:textId="412A9DAC" w:rsidR="00046060" w:rsidRPr="00F468E1" w:rsidRDefault="00046060">
      <w:pPr>
        <w:pStyle w:val="Heading2"/>
      </w:pPr>
      <w:bookmarkStart w:id="64" w:name="_Toc33968098"/>
      <w:bookmarkStart w:id="65" w:name="_Toc44415680"/>
      <w:bookmarkStart w:id="66" w:name="_Toc57736805"/>
      <w:bookmarkStart w:id="67" w:name="_Toc68864924"/>
      <w:bookmarkStart w:id="68" w:name="_Toc114474709"/>
      <w:bookmarkStart w:id="69" w:name="_Toc114485825"/>
      <w:bookmarkStart w:id="70" w:name="_Toc114488065"/>
      <w:bookmarkStart w:id="71" w:name="_Toc118205551"/>
      <w:bookmarkEnd w:id="63"/>
      <w:r w:rsidRPr="00F468E1">
        <w:t>Traffic Monitoring Program Purpose</w:t>
      </w:r>
      <w:bookmarkStart w:id="72" w:name="_Toc290555953"/>
      <w:bookmarkStart w:id="73" w:name="_Toc291242899"/>
      <w:bookmarkEnd w:id="64"/>
      <w:bookmarkEnd w:id="65"/>
      <w:bookmarkEnd w:id="66"/>
      <w:bookmarkEnd w:id="67"/>
      <w:bookmarkEnd w:id="68"/>
      <w:bookmarkEnd w:id="69"/>
      <w:bookmarkEnd w:id="70"/>
      <w:bookmarkEnd w:id="71"/>
      <w:r w:rsidRPr="00F468E1">
        <w:t xml:space="preserve"> </w:t>
      </w:r>
    </w:p>
    <w:p w14:paraId="30133512" w14:textId="21A44ECB" w:rsidR="000967B2" w:rsidRPr="004E7B1E" w:rsidRDefault="000967B2" w:rsidP="00A35EAF">
      <w:pPr>
        <w:pStyle w:val="BodyText"/>
      </w:pPr>
      <w:r w:rsidRPr="004E7B1E">
        <w:t xml:space="preserve">Traffic data </w:t>
      </w:r>
      <w:r w:rsidR="006315EB" w:rsidRPr="004E7B1E">
        <w:t xml:space="preserve">provide </w:t>
      </w:r>
      <w:r w:rsidRPr="004E7B1E">
        <w:t>the foundation for transportation decision making including both program and project development.</w:t>
      </w:r>
      <w:r w:rsidR="004D4172">
        <w:t xml:space="preserve"> </w:t>
      </w:r>
      <w:r w:rsidR="006315EB" w:rsidRPr="004E7B1E">
        <w:t>For example</w:t>
      </w:r>
      <w:r w:rsidRPr="004E7B1E">
        <w:t xml:space="preserve">, Congress relies on </w:t>
      </w:r>
      <w:r w:rsidR="006315EB" w:rsidRPr="004E7B1E">
        <w:t xml:space="preserve">historical, </w:t>
      </w:r>
      <w:r w:rsidR="004809A5" w:rsidRPr="004E7B1E">
        <w:t>current,</w:t>
      </w:r>
      <w:r w:rsidR="006315EB" w:rsidRPr="004E7B1E">
        <w:t xml:space="preserve"> and projected </w:t>
      </w:r>
      <w:r w:rsidRPr="004E7B1E">
        <w:t>traffic data</w:t>
      </w:r>
      <w:r w:rsidR="006315EB" w:rsidRPr="004E7B1E">
        <w:t xml:space="preserve"> when</w:t>
      </w:r>
      <w:r w:rsidRPr="004E7B1E">
        <w:t xml:space="preserve"> develop</w:t>
      </w:r>
      <w:r w:rsidR="006315EB" w:rsidRPr="004E7B1E">
        <w:t>ing</w:t>
      </w:r>
      <w:r w:rsidRPr="004E7B1E">
        <w:t xml:space="preserve"> various surface transportation </w:t>
      </w:r>
      <w:r w:rsidR="006315EB" w:rsidRPr="004E7B1E">
        <w:t>statutes, regulations, and funding authorizations</w:t>
      </w:r>
      <w:r w:rsidRPr="004E7B1E">
        <w:t xml:space="preserve">. </w:t>
      </w:r>
      <w:r w:rsidR="006315EB" w:rsidRPr="004E7B1E">
        <w:t xml:space="preserve">Other </w:t>
      </w:r>
      <w:r w:rsidR="00CD4F88" w:rsidRPr="004E7B1E">
        <w:t xml:space="preserve">Federal </w:t>
      </w:r>
      <w:r w:rsidR="006315EB" w:rsidRPr="004E7B1E">
        <w:t>p</w:t>
      </w:r>
      <w:r w:rsidRPr="004E7B1E">
        <w:t>rograms established by surface transportation legislation such as the highway safety improvement program, the national performance management program, the national freight program, the congestion mitigation, air quality program</w:t>
      </w:r>
      <w:r w:rsidR="006315EB" w:rsidRPr="004E7B1E">
        <w:t>s</w:t>
      </w:r>
      <w:r w:rsidRPr="004E7B1E">
        <w:t xml:space="preserve">, </w:t>
      </w:r>
      <w:r w:rsidR="006315EB" w:rsidRPr="004E7B1E">
        <w:t>and others</w:t>
      </w:r>
      <w:r w:rsidRPr="004E7B1E">
        <w:t xml:space="preserve"> rely on traffic data for their implementation. </w:t>
      </w:r>
      <w:r w:rsidR="006315EB" w:rsidRPr="004E7B1E">
        <w:t xml:space="preserve">Each of these programs </w:t>
      </w:r>
      <w:r w:rsidRPr="004E7B1E">
        <w:t>demand accountability and transparency</w:t>
      </w:r>
      <w:r w:rsidR="006315EB" w:rsidRPr="004E7B1E">
        <w:t xml:space="preserve"> and t</w:t>
      </w:r>
      <w:r w:rsidRPr="004E7B1E">
        <w:t xml:space="preserve">raffic data </w:t>
      </w:r>
      <w:r w:rsidR="006315EB" w:rsidRPr="004E7B1E">
        <w:t xml:space="preserve">that meets or exceeds known quality thresholds </w:t>
      </w:r>
      <w:r w:rsidR="00853301">
        <w:t xml:space="preserve">and </w:t>
      </w:r>
      <w:r w:rsidRPr="004E7B1E">
        <w:t>fulfill</w:t>
      </w:r>
      <w:r w:rsidR="00E73EC1" w:rsidRPr="004E7B1E">
        <w:t>s</w:t>
      </w:r>
      <w:r w:rsidRPr="004E7B1E">
        <w:t xml:space="preserve"> such demands. </w:t>
      </w:r>
    </w:p>
    <w:p w14:paraId="6BE7D16C" w14:textId="2A16B85C" w:rsidR="000967B2" w:rsidRPr="004E7B1E" w:rsidRDefault="000967B2" w:rsidP="00A35EAF">
      <w:pPr>
        <w:pStyle w:val="BodyText"/>
      </w:pPr>
      <w:r w:rsidRPr="004E7B1E">
        <w:t xml:space="preserve">On </w:t>
      </w:r>
      <w:r w:rsidR="00CD4F88" w:rsidRPr="004E7B1E">
        <w:t>statewide and regional scales</w:t>
      </w:r>
      <w:r w:rsidRPr="004E7B1E">
        <w:t xml:space="preserve"> where </w:t>
      </w:r>
      <w:r w:rsidR="005B7275">
        <w:t>S</w:t>
      </w:r>
      <w:r w:rsidRPr="004E7B1E">
        <w:t xml:space="preserve">tate highway agencies </w:t>
      </w:r>
      <w:r w:rsidR="00CD4F88" w:rsidRPr="004E7B1E">
        <w:t xml:space="preserve">and MPOs </w:t>
      </w:r>
      <w:r w:rsidRPr="004E7B1E">
        <w:t xml:space="preserve">are primarily responsible, </w:t>
      </w:r>
      <w:r w:rsidR="008D4059" w:rsidRPr="004E7B1E">
        <w:t xml:space="preserve">key </w:t>
      </w:r>
      <w:r w:rsidRPr="004E7B1E">
        <w:t xml:space="preserve">traffic data </w:t>
      </w:r>
      <w:r w:rsidR="008D4059" w:rsidRPr="004E7B1E">
        <w:t xml:space="preserve">elements such as volume, </w:t>
      </w:r>
      <w:r w:rsidR="00F81137" w:rsidRPr="004E7B1E">
        <w:t>class,</w:t>
      </w:r>
      <w:r w:rsidR="008D4059" w:rsidRPr="004E7B1E">
        <w:t xml:space="preserve"> and weight data, </w:t>
      </w:r>
      <w:r w:rsidRPr="004E7B1E">
        <w:t>provide critical piece</w:t>
      </w:r>
      <w:r w:rsidR="00CD4F88" w:rsidRPr="004E7B1E">
        <w:t>s</w:t>
      </w:r>
      <w:r w:rsidRPr="004E7B1E">
        <w:t xml:space="preserve"> of needed information. </w:t>
      </w:r>
      <w:r w:rsidR="00CD4F88" w:rsidRPr="004E7B1E">
        <w:t>T</w:t>
      </w:r>
      <w:r w:rsidRPr="004E7B1E">
        <w:t>he ability to understand the future needs of the transportation system is quantified with traffic data</w:t>
      </w:r>
      <w:r w:rsidR="00CD4F88" w:rsidRPr="004E7B1E">
        <w:t xml:space="preserve"> during the planning process</w:t>
      </w:r>
      <w:r w:rsidRPr="004E7B1E">
        <w:t>. Any Transportation Improvement Program (TIP) or Statewide Transportation Improvement Plan</w:t>
      </w:r>
      <w:r w:rsidR="00CD4F88" w:rsidRPr="004E7B1E">
        <w:t xml:space="preserve"> (STIP)</w:t>
      </w:r>
      <w:r w:rsidRPr="004E7B1E">
        <w:t xml:space="preserve"> developed without adequate traffic data is certainly not reliable, misleading the public, and </w:t>
      </w:r>
      <w:r w:rsidR="00E73EC1" w:rsidRPr="004E7B1E">
        <w:t xml:space="preserve">may be </w:t>
      </w:r>
      <w:r w:rsidRPr="004E7B1E">
        <w:t xml:space="preserve">misappropriating public funds. </w:t>
      </w:r>
    </w:p>
    <w:p w14:paraId="375A0CED" w14:textId="4D971359" w:rsidR="000967B2" w:rsidRPr="004E7B1E" w:rsidRDefault="00CD4F88" w:rsidP="00A35EAF">
      <w:pPr>
        <w:pStyle w:val="BodyText"/>
      </w:pPr>
      <w:r w:rsidRPr="004E7B1E">
        <w:t>T</w:t>
      </w:r>
      <w:r w:rsidR="000967B2" w:rsidRPr="004E7B1E">
        <w:t xml:space="preserve">ransportation </w:t>
      </w:r>
      <w:r w:rsidRPr="004E7B1E">
        <w:t xml:space="preserve">air quality </w:t>
      </w:r>
      <w:r w:rsidR="000967B2" w:rsidRPr="004E7B1E">
        <w:t>conformity determination relies on quality traffic data</w:t>
      </w:r>
      <w:r w:rsidR="005B7275">
        <w:t>,</w:t>
      </w:r>
      <w:r w:rsidRPr="004E7B1E">
        <w:t xml:space="preserve"> as do</w:t>
      </w:r>
      <w:r w:rsidR="000967B2" w:rsidRPr="004E7B1E">
        <w:t xml:space="preserve"> other environmental impact evaluations</w:t>
      </w:r>
      <w:r w:rsidRPr="004E7B1E">
        <w:t xml:space="preserve"> such as </w:t>
      </w:r>
      <w:r w:rsidR="000967B2" w:rsidRPr="004E7B1E">
        <w:t xml:space="preserve">highway noise </w:t>
      </w:r>
      <w:r w:rsidRPr="004E7B1E">
        <w:t>analysis</w:t>
      </w:r>
      <w:r w:rsidR="000967B2" w:rsidRPr="004E7B1E">
        <w:t>.</w:t>
      </w:r>
      <w:r w:rsidR="004D4172">
        <w:t xml:space="preserve"> </w:t>
      </w:r>
    </w:p>
    <w:p w14:paraId="14AEC122" w14:textId="38DBB947" w:rsidR="000967B2" w:rsidRPr="004E7B1E" w:rsidRDefault="000967B2" w:rsidP="00A35EAF">
      <w:pPr>
        <w:pStyle w:val="BodyText"/>
      </w:pPr>
      <w:r w:rsidRPr="004E7B1E">
        <w:t xml:space="preserve">For capacity improvement projects, traffic data offer the ultimate justification for </w:t>
      </w:r>
      <w:r w:rsidR="005B7275">
        <w:t xml:space="preserve">a </w:t>
      </w:r>
      <w:r w:rsidR="00CD4F88" w:rsidRPr="004E7B1E">
        <w:t>project’s scope and design concept</w:t>
      </w:r>
      <w:r w:rsidRPr="004E7B1E">
        <w:t xml:space="preserve">. </w:t>
      </w:r>
      <w:r w:rsidR="00CD4F88" w:rsidRPr="004E7B1E">
        <w:t>T</w:t>
      </w:r>
      <w:r w:rsidRPr="004E7B1E">
        <w:t xml:space="preserve">raffic data </w:t>
      </w:r>
      <w:r w:rsidR="00CD4F88" w:rsidRPr="004E7B1E">
        <w:t xml:space="preserve">also </w:t>
      </w:r>
      <w:r w:rsidRPr="004E7B1E">
        <w:t>offer information and data for safety projects. Traffic data enable safety trend analysis</w:t>
      </w:r>
      <w:r w:rsidR="00481F18">
        <w:t xml:space="preserve"> and</w:t>
      </w:r>
      <w:r w:rsidRPr="004E7B1E">
        <w:t xml:space="preserve"> the development of specific </w:t>
      </w:r>
      <w:r w:rsidR="00CD4F88" w:rsidRPr="004E7B1E">
        <w:t xml:space="preserve">mitigation </w:t>
      </w:r>
      <w:r w:rsidRPr="004E7B1E">
        <w:t xml:space="preserve">strategies and </w:t>
      </w:r>
      <w:r w:rsidR="00481F18">
        <w:t>are</w:t>
      </w:r>
      <w:r w:rsidR="00481F18" w:rsidRPr="004E7B1E">
        <w:t xml:space="preserve"> </w:t>
      </w:r>
      <w:r w:rsidR="00453953" w:rsidRPr="004E7B1E">
        <w:t xml:space="preserve">used </w:t>
      </w:r>
      <w:r w:rsidR="00CD4F88" w:rsidRPr="004E7B1E">
        <w:t xml:space="preserve">in </w:t>
      </w:r>
      <w:r w:rsidR="00453953" w:rsidRPr="004E7B1E">
        <w:t>post-crash analys</w:t>
      </w:r>
      <w:r w:rsidR="00481F18">
        <w:t>e</w:t>
      </w:r>
      <w:r w:rsidR="00453953" w:rsidRPr="004E7B1E">
        <w:t xml:space="preserve">s. </w:t>
      </w:r>
    </w:p>
    <w:p w14:paraId="0F33F173" w14:textId="78CBDF9C" w:rsidR="000967B2" w:rsidRPr="004E7B1E" w:rsidRDefault="000967B2" w:rsidP="00A35EAF">
      <w:pPr>
        <w:pStyle w:val="BodyText"/>
      </w:pPr>
      <w:r w:rsidRPr="004E7B1E">
        <w:t xml:space="preserve">The importance of traffic data </w:t>
      </w:r>
      <w:r w:rsidR="00453953" w:rsidRPr="004E7B1E">
        <w:t xml:space="preserve">to </w:t>
      </w:r>
      <w:r w:rsidR="00A971C1" w:rsidRPr="004E7B1E">
        <w:t xml:space="preserve">road and bridge </w:t>
      </w:r>
      <w:r w:rsidR="006F7145" w:rsidRPr="004E7B1E">
        <w:t xml:space="preserve">design, </w:t>
      </w:r>
      <w:r w:rsidRPr="004E7B1E">
        <w:t>construction, operations, and maintenance</w:t>
      </w:r>
      <w:r w:rsidR="00453953" w:rsidRPr="004E7B1E">
        <w:t xml:space="preserve"> processes</w:t>
      </w:r>
      <w:r w:rsidRPr="004E7B1E">
        <w:t xml:space="preserve"> are obvious </w:t>
      </w:r>
      <w:r w:rsidR="00453953" w:rsidRPr="004E7B1E">
        <w:t>and ubiquitous</w:t>
      </w:r>
      <w:r w:rsidR="00481F18">
        <w:t>,</w:t>
      </w:r>
      <w:r w:rsidR="00453953" w:rsidRPr="004E7B1E">
        <w:t xml:space="preserve"> </w:t>
      </w:r>
      <w:r w:rsidRPr="004E7B1E">
        <w:t>as a significant percentage of all public roadways are under repair, maintenance, and upgrade at any given time throughout the year. Traffic data help make all work zones and maintenance activities less impactful and safer to the traveling public.</w:t>
      </w:r>
      <w:r w:rsidR="004D4172">
        <w:t xml:space="preserve"> </w:t>
      </w:r>
      <w:r w:rsidRPr="004E7B1E">
        <w:t>And</w:t>
      </w:r>
      <w:r w:rsidR="00481F18">
        <w:t>,</w:t>
      </w:r>
      <w:r w:rsidRPr="004E7B1E">
        <w:t xml:space="preserve"> traffic data enable </w:t>
      </w:r>
      <w:r w:rsidR="00E73EC1" w:rsidRPr="004E7B1E">
        <w:t xml:space="preserve">reliable </w:t>
      </w:r>
      <w:r w:rsidRPr="004E7B1E">
        <w:t>decisions in granting access points and median opening</w:t>
      </w:r>
      <w:r w:rsidR="00481F18">
        <w:t>s</w:t>
      </w:r>
      <w:r w:rsidRPr="004E7B1E">
        <w:t xml:space="preserve"> to both businesses and citizens</w:t>
      </w:r>
      <w:r w:rsidR="00481F18">
        <w:t>,</w:t>
      </w:r>
      <w:r w:rsidRPr="004E7B1E">
        <w:t xml:space="preserve"> ensuring an efficient highway system. </w:t>
      </w:r>
    </w:p>
    <w:p w14:paraId="56C26FD0" w14:textId="41DF407B" w:rsidR="000967B2" w:rsidRPr="004E7B1E" w:rsidRDefault="003E4BA2" w:rsidP="00A35EAF">
      <w:pPr>
        <w:pStyle w:val="BodyText"/>
      </w:pPr>
      <w:r w:rsidRPr="004E7B1E">
        <w:t>Traffic</w:t>
      </w:r>
      <w:r w:rsidR="000967B2" w:rsidRPr="004E7B1E">
        <w:t xml:space="preserve"> data </w:t>
      </w:r>
      <w:r w:rsidR="00481F18">
        <w:t>are among</w:t>
      </w:r>
      <w:r w:rsidR="000967B2" w:rsidRPr="004E7B1E">
        <w:t xml:space="preserve"> the most critical data and information pieces in the transportation decision-making process. The traffic monitoring program is to ensure </w:t>
      </w:r>
      <w:r w:rsidR="005818DC" w:rsidRPr="004E7B1E">
        <w:t xml:space="preserve">that </w:t>
      </w:r>
      <w:r w:rsidR="000967B2" w:rsidRPr="004E7B1E">
        <w:t>the collection and processing of needed traffic data is efficient, effective, and consistent.</w:t>
      </w:r>
    </w:p>
    <w:p w14:paraId="19B66CDE" w14:textId="55ADF058" w:rsidR="00046060" w:rsidRPr="00F468E1" w:rsidRDefault="00046060">
      <w:pPr>
        <w:pStyle w:val="Heading2"/>
      </w:pPr>
      <w:bookmarkStart w:id="74" w:name="_Toc44415681"/>
      <w:bookmarkStart w:id="75" w:name="_Toc57736806"/>
      <w:bookmarkStart w:id="76" w:name="_Toc68864925"/>
      <w:bookmarkStart w:id="77" w:name="_Toc114474710"/>
      <w:bookmarkStart w:id="78" w:name="_Toc114485826"/>
      <w:bookmarkStart w:id="79" w:name="_Toc114488066"/>
      <w:bookmarkStart w:id="80" w:name="_Toc118205552"/>
      <w:bookmarkStart w:id="81" w:name="_Toc349905067"/>
      <w:bookmarkStart w:id="82" w:name="_Toc325034097"/>
      <w:bookmarkStart w:id="83" w:name="_Toc363656115"/>
      <w:bookmarkStart w:id="84" w:name="_Toc450638905"/>
      <w:r w:rsidRPr="00F468E1">
        <w:t>Traffic Data Types Introduction</w:t>
      </w:r>
      <w:bookmarkEnd w:id="74"/>
      <w:bookmarkEnd w:id="75"/>
      <w:bookmarkEnd w:id="76"/>
      <w:bookmarkEnd w:id="77"/>
      <w:bookmarkEnd w:id="78"/>
      <w:bookmarkEnd w:id="79"/>
      <w:bookmarkEnd w:id="80"/>
      <w:r w:rsidRPr="00F468E1">
        <w:t xml:space="preserve"> </w:t>
      </w:r>
    </w:p>
    <w:p w14:paraId="0C047078" w14:textId="0D99CB4B" w:rsidR="000967B2" w:rsidRPr="004E7B1E" w:rsidRDefault="000967B2" w:rsidP="00A35EAF">
      <w:pPr>
        <w:pStyle w:val="BodyText"/>
      </w:pPr>
      <w:r w:rsidRPr="004E7B1E">
        <w:t xml:space="preserve">There are several data program types that can be organized into sub-programs </w:t>
      </w:r>
      <w:r w:rsidR="00453953" w:rsidRPr="004E7B1E">
        <w:t>within a</w:t>
      </w:r>
      <w:r w:rsidRPr="004E7B1E">
        <w:t xml:space="preserve"> traffic monitoring program. These include volume, classification, weight, travel time (speed), and origin</w:t>
      </w:r>
      <w:r w:rsidR="00453953" w:rsidRPr="004E7B1E">
        <w:t>-</w:t>
      </w:r>
      <w:r w:rsidRPr="004E7B1E">
        <w:t>destination data programs</w:t>
      </w:r>
      <w:r w:rsidR="007E1BFC" w:rsidRPr="004E7B1E">
        <w:t>.</w:t>
      </w:r>
    </w:p>
    <w:p w14:paraId="16933A78" w14:textId="032321A6" w:rsidR="00D170DF" w:rsidRPr="00D170DF" w:rsidRDefault="000967B2" w:rsidP="00A35EAF">
      <w:pPr>
        <w:pStyle w:val="BodyText"/>
      </w:pPr>
      <w:r w:rsidRPr="004E7B1E">
        <w:t xml:space="preserve">The different traffic monitoring data types are </w:t>
      </w:r>
      <w:r w:rsidR="00453953" w:rsidRPr="004E7B1E">
        <w:t xml:space="preserve">designed </w:t>
      </w:r>
      <w:r w:rsidRPr="004E7B1E">
        <w:t xml:space="preserve">to meet </w:t>
      </w:r>
      <w:r w:rsidR="00453953" w:rsidRPr="004E7B1E">
        <w:t xml:space="preserve">specific </w:t>
      </w:r>
      <w:r w:rsidRPr="004E7B1E">
        <w:t>program needs.</w:t>
      </w:r>
      <w:r w:rsidR="004D4172">
        <w:t xml:space="preserve"> </w:t>
      </w:r>
      <w:r w:rsidRPr="004E7B1E">
        <w:t xml:space="preserve">While volume data provide an </w:t>
      </w:r>
      <w:r w:rsidR="00453953" w:rsidRPr="004E7B1E">
        <w:t xml:space="preserve">aggregate </w:t>
      </w:r>
      <w:r w:rsidRPr="004E7B1E">
        <w:t xml:space="preserve">sense of demand, </w:t>
      </w:r>
      <w:r w:rsidR="004622CB" w:rsidRPr="004E7B1E">
        <w:t xml:space="preserve">vehicle </w:t>
      </w:r>
      <w:r w:rsidRPr="004E7B1E">
        <w:t>classification data offer insight on how different vehicle</w:t>
      </w:r>
      <w:r w:rsidR="00453953" w:rsidRPr="004E7B1E">
        <w:t xml:space="preserve"> types</w:t>
      </w:r>
      <w:r w:rsidRPr="004E7B1E">
        <w:t xml:space="preserve"> contribut</w:t>
      </w:r>
      <w:r w:rsidR="00453953" w:rsidRPr="004E7B1E">
        <w:t>e</w:t>
      </w:r>
      <w:r w:rsidRPr="004E7B1E">
        <w:t xml:space="preserve"> to the overall demand </w:t>
      </w:r>
      <w:r w:rsidR="00A022A6">
        <w:t>as well as</w:t>
      </w:r>
      <w:r w:rsidR="00A022A6" w:rsidRPr="004E7B1E">
        <w:t xml:space="preserve"> </w:t>
      </w:r>
      <w:r w:rsidR="00453953" w:rsidRPr="004E7B1E">
        <w:t xml:space="preserve">to </w:t>
      </w:r>
      <w:r w:rsidRPr="004E7B1E">
        <w:t>congestion, safety,</w:t>
      </w:r>
      <w:r w:rsidR="00453953" w:rsidRPr="004E7B1E">
        <w:t xml:space="preserve"> air quality, and so on</w:t>
      </w:r>
      <w:r w:rsidRPr="004E7B1E">
        <w:t xml:space="preserve">. Weight data </w:t>
      </w:r>
      <w:r w:rsidR="00453953" w:rsidRPr="004E7B1E">
        <w:t xml:space="preserve">provide necessary </w:t>
      </w:r>
      <w:r w:rsidRPr="004E7B1E">
        <w:t xml:space="preserve">information </w:t>
      </w:r>
      <w:r w:rsidR="004622CB" w:rsidRPr="004E7B1E">
        <w:t xml:space="preserve">for </w:t>
      </w:r>
      <w:r w:rsidRPr="004E7B1E">
        <w:t xml:space="preserve">pavement </w:t>
      </w:r>
      <w:r w:rsidR="00453953" w:rsidRPr="004E7B1E">
        <w:t>and bridge design</w:t>
      </w:r>
      <w:r w:rsidR="00453953" w:rsidRPr="004E7B1E" w:rsidDel="00453953">
        <w:t xml:space="preserve"> </w:t>
      </w:r>
      <w:r w:rsidR="00453953" w:rsidRPr="004E7B1E">
        <w:t xml:space="preserve">and </w:t>
      </w:r>
      <w:r w:rsidRPr="004E7B1E">
        <w:t>maintenance</w:t>
      </w:r>
      <w:r w:rsidR="00453953" w:rsidRPr="004E7B1E">
        <w:t xml:space="preserve"> decisions</w:t>
      </w:r>
      <w:r w:rsidRPr="004E7B1E">
        <w:t xml:space="preserve"> and </w:t>
      </w:r>
      <w:r w:rsidR="00A022A6">
        <w:t>are</w:t>
      </w:r>
      <w:r w:rsidR="00A022A6" w:rsidRPr="004E7B1E">
        <w:t xml:space="preserve"> </w:t>
      </w:r>
      <w:r w:rsidR="004622CB" w:rsidRPr="004E7B1E">
        <w:t xml:space="preserve">also </w:t>
      </w:r>
      <w:r w:rsidR="00453953" w:rsidRPr="004E7B1E">
        <w:t>used in various</w:t>
      </w:r>
      <w:r w:rsidRPr="004E7B1E">
        <w:t xml:space="preserve"> safety and security</w:t>
      </w:r>
      <w:r w:rsidR="00453953" w:rsidRPr="004E7B1E">
        <w:t xml:space="preserve"> programs</w:t>
      </w:r>
      <w:r w:rsidRPr="004E7B1E">
        <w:t xml:space="preserve">. Travel time and travel speed data offer information for travel </w:t>
      </w:r>
      <w:r w:rsidRPr="00D170DF">
        <w:t>reliability</w:t>
      </w:r>
      <w:r w:rsidR="00B95C8D">
        <w:t>,</w:t>
      </w:r>
      <w:r w:rsidRPr="00D170DF">
        <w:t xml:space="preserve"> enabling better trip planning and performance management. Origin</w:t>
      </w:r>
      <w:r w:rsidR="00453953" w:rsidRPr="00D170DF">
        <w:t>-D</w:t>
      </w:r>
      <w:r w:rsidRPr="00D170DF">
        <w:t>estination data provide needed information on demand analysis and corridor usage, through traffic and cost allocation analysis.</w:t>
      </w:r>
      <w:r w:rsidR="004D4172">
        <w:t xml:space="preserve"> </w:t>
      </w:r>
    </w:p>
    <w:p w14:paraId="47445F44" w14:textId="12A6028A" w:rsidR="000967B2" w:rsidRPr="00D170DF" w:rsidRDefault="00D170DF" w:rsidP="00A35EAF">
      <w:pPr>
        <w:pStyle w:val="BodyText"/>
      </w:pPr>
      <w:r w:rsidRPr="00D170DF">
        <w:t xml:space="preserve">There are two basic programs to obtain </w:t>
      </w:r>
      <w:r w:rsidRPr="00D170DF">
        <w:rPr>
          <w:lang w:bidi="en-US"/>
        </w:rPr>
        <w:t>volume, class, weight, and speed data: a continuous count data program and short-term data program.</w:t>
      </w:r>
      <w:r w:rsidR="004D4172">
        <w:rPr>
          <w:lang w:bidi="en-US"/>
        </w:rPr>
        <w:t xml:space="preserve"> </w:t>
      </w:r>
    </w:p>
    <w:p w14:paraId="2D9FE13D" w14:textId="156720FA" w:rsidR="000967B2" w:rsidRPr="00D170DF" w:rsidRDefault="00453953" w:rsidP="00A35EAF">
      <w:pPr>
        <w:pStyle w:val="BodyText"/>
      </w:pPr>
      <w:r w:rsidRPr="00D170DF">
        <w:t xml:space="preserve">The following </w:t>
      </w:r>
      <w:r w:rsidR="00B95C8D">
        <w:t>s</w:t>
      </w:r>
      <w:r w:rsidRPr="00D170DF">
        <w:t xml:space="preserve">ections contain more detailed </w:t>
      </w:r>
      <w:r w:rsidR="000967B2" w:rsidRPr="00D170DF">
        <w:t>descriptions of each traffic data type and traffic data collection subprograms.</w:t>
      </w:r>
    </w:p>
    <w:p w14:paraId="067B2E22" w14:textId="370155A8" w:rsidR="00046060" w:rsidRPr="009E43D6" w:rsidRDefault="00046060">
      <w:pPr>
        <w:pStyle w:val="Heading3"/>
      </w:pPr>
      <w:bookmarkStart w:id="85" w:name="_Toc57733423"/>
      <w:bookmarkStart w:id="86" w:name="_Toc57736208"/>
      <w:bookmarkStart w:id="87" w:name="_Toc57736353"/>
      <w:bookmarkStart w:id="88" w:name="_Toc57736385"/>
      <w:bookmarkStart w:id="89" w:name="_Toc57736417"/>
      <w:bookmarkStart w:id="90" w:name="_Toc57736449"/>
      <w:bookmarkStart w:id="91" w:name="_Toc57736481"/>
      <w:bookmarkStart w:id="92" w:name="_Toc57736513"/>
      <w:bookmarkStart w:id="93" w:name="_Toc57736545"/>
      <w:bookmarkStart w:id="94" w:name="_Toc57736583"/>
      <w:bookmarkStart w:id="95" w:name="_Toc57736615"/>
      <w:bookmarkStart w:id="96" w:name="_Toc57736647"/>
      <w:bookmarkStart w:id="97" w:name="_Toc57736679"/>
      <w:bookmarkStart w:id="98" w:name="_Toc57736711"/>
      <w:bookmarkStart w:id="99" w:name="_Toc57736743"/>
      <w:bookmarkStart w:id="100" w:name="_Toc57736775"/>
      <w:bookmarkStart w:id="101" w:name="_Toc57736807"/>
      <w:bookmarkStart w:id="102" w:name="_Toc57736844"/>
      <w:bookmarkStart w:id="103" w:name="_Toc57736875"/>
      <w:bookmarkStart w:id="104" w:name="_Toc57736906"/>
      <w:bookmarkStart w:id="105" w:name="_Toc57736937"/>
      <w:bookmarkStart w:id="106" w:name="_Toc57736968"/>
      <w:bookmarkStart w:id="107" w:name="_Toc57736999"/>
      <w:bookmarkStart w:id="108" w:name="_Toc57737030"/>
      <w:bookmarkStart w:id="109" w:name="_Toc57737061"/>
      <w:bookmarkStart w:id="110" w:name="_Toc57737092"/>
      <w:bookmarkStart w:id="111" w:name="_Toc57737123"/>
      <w:bookmarkStart w:id="112" w:name="_Toc57737154"/>
      <w:bookmarkStart w:id="113" w:name="_Toc57737185"/>
      <w:bookmarkStart w:id="114" w:name="_Toc57737216"/>
      <w:bookmarkStart w:id="115" w:name="_Toc57737253"/>
      <w:bookmarkStart w:id="116" w:name="_Toc57737290"/>
      <w:bookmarkStart w:id="117" w:name="_Toc57737322"/>
      <w:bookmarkStart w:id="118" w:name="_Toc58352744"/>
      <w:bookmarkStart w:id="119" w:name="_Toc58353018"/>
      <w:bookmarkStart w:id="120" w:name="_Toc58353054"/>
      <w:bookmarkStart w:id="121" w:name="_Toc63858878"/>
      <w:bookmarkStart w:id="122" w:name="_Toc63860542"/>
      <w:bookmarkStart w:id="123" w:name="_Toc68700073"/>
      <w:bookmarkStart w:id="124" w:name="_Toc68700412"/>
      <w:bookmarkStart w:id="125" w:name="_Toc68700791"/>
      <w:bookmarkStart w:id="126" w:name="_Toc68798705"/>
      <w:bookmarkStart w:id="127" w:name="_Toc68798929"/>
      <w:bookmarkStart w:id="128" w:name="_Toc68800842"/>
      <w:bookmarkStart w:id="129" w:name="_Toc68801913"/>
      <w:bookmarkStart w:id="130" w:name="_Toc68806301"/>
      <w:bookmarkStart w:id="131" w:name="_Toc68806524"/>
      <w:bookmarkStart w:id="132" w:name="_Toc68806746"/>
      <w:bookmarkStart w:id="133" w:name="_Toc68862768"/>
      <w:bookmarkStart w:id="134" w:name="_Toc68864538"/>
      <w:bookmarkStart w:id="135" w:name="_Toc57733424"/>
      <w:bookmarkStart w:id="136" w:name="_Toc57736209"/>
      <w:bookmarkStart w:id="137" w:name="_Toc57736354"/>
      <w:bookmarkStart w:id="138" w:name="_Toc57736386"/>
      <w:bookmarkStart w:id="139" w:name="_Toc57736418"/>
      <w:bookmarkStart w:id="140" w:name="_Toc57736450"/>
      <w:bookmarkStart w:id="141" w:name="_Toc57736482"/>
      <w:bookmarkStart w:id="142" w:name="_Toc57736514"/>
      <w:bookmarkStart w:id="143" w:name="_Toc57736546"/>
      <w:bookmarkStart w:id="144" w:name="_Toc57736584"/>
      <w:bookmarkStart w:id="145" w:name="_Toc57736616"/>
      <w:bookmarkStart w:id="146" w:name="_Toc57736648"/>
      <w:bookmarkStart w:id="147" w:name="_Toc57736680"/>
      <w:bookmarkStart w:id="148" w:name="_Toc57736712"/>
      <w:bookmarkStart w:id="149" w:name="_Toc57736744"/>
      <w:bookmarkStart w:id="150" w:name="_Toc57736776"/>
      <w:bookmarkStart w:id="151" w:name="_Toc57736808"/>
      <w:bookmarkStart w:id="152" w:name="_Toc57736845"/>
      <w:bookmarkStart w:id="153" w:name="_Toc57736876"/>
      <w:bookmarkStart w:id="154" w:name="_Toc57736907"/>
      <w:bookmarkStart w:id="155" w:name="_Toc57736938"/>
      <w:bookmarkStart w:id="156" w:name="_Toc57736969"/>
      <w:bookmarkStart w:id="157" w:name="_Toc57737000"/>
      <w:bookmarkStart w:id="158" w:name="_Toc57737031"/>
      <w:bookmarkStart w:id="159" w:name="_Toc57737062"/>
      <w:bookmarkStart w:id="160" w:name="_Toc57737093"/>
      <w:bookmarkStart w:id="161" w:name="_Toc57737124"/>
      <w:bookmarkStart w:id="162" w:name="_Toc57737155"/>
      <w:bookmarkStart w:id="163" w:name="_Toc57737186"/>
      <w:bookmarkStart w:id="164" w:name="_Toc57737217"/>
      <w:bookmarkStart w:id="165" w:name="_Toc57737254"/>
      <w:bookmarkStart w:id="166" w:name="_Toc57737291"/>
      <w:bookmarkStart w:id="167" w:name="_Toc57737323"/>
      <w:bookmarkStart w:id="168" w:name="_Toc58352745"/>
      <w:bookmarkStart w:id="169" w:name="_Toc58353019"/>
      <w:bookmarkStart w:id="170" w:name="_Toc58353055"/>
      <w:bookmarkStart w:id="171" w:name="_Toc63858879"/>
      <w:bookmarkStart w:id="172" w:name="_Toc63860543"/>
      <w:bookmarkStart w:id="173" w:name="_Toc68700074"/>
      <w:bookmarkStart w:id="174" w:name="_Toc68700413"/>
      <w:bookmarkStart w:id="175" w:name="_Toc68700792"/>
      <w:bookmarkStart w:id="176" w:name="_Toc68798706"/>
      <w:bookmarkStart w:id="177" w:name="_Toc68798930"/>
      <w:bookmarkStart w:id="178" w:name="_Toc68800843"/>
      <w:bookmarkStart w:id="179" w:name="_Toc68801914"/>
      <w:bookmarkStart w:id="180" w:name="_Toc68806302"/>
      <w:bookmarkStart w:id="181" w:name="_Toc68806525"/>
      <w:bookmarkStart w:id="182" w:name="_Toc68806747"/>
      <w:bookmarkStart w:id="183" w:name="_Toc68862769"/>
      <w:bookmarkStart w:id="184" w:name="_Toc68864539"/>
      <w:bookmarkStart w:id="185" w:name="_Toc33968100"/>
      <w:bookmarkStart w:id="186" w:name="_Toc44415682"/>
      <w:bookmarkStart w:id="187" w:name="_Toc57736809"/>
      <w:bookmarkStart w:id="188" w:name="_Toc114488067"/>
      <w:bookmarkStart w:id="189" w:name="_Toc118205553"/>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r w:rsidRPr="009E43D6">
        <w:lastRenderedPageBreak/>
        <w:t>Volume Data</w:t>
      </w:r>
      <w:bookmarkEnd w:id="185"/>
      <w:bookmarkEnd w:id="186"/>
      <w:bookmarkEnd w:id="187"/>
      <w:bookmarkEnd w:id="188"/>
      <w:bookmarkEnd w:id="189"/>
    </w:p>
    <w:p w14:paraId="07428267" w14:textId="0A13ACD0" w:rsidR="00480E52" w:rsidRDefault="00480E52" w:rsidP="00A35EAF">
      <w:pPr>
        <w:pStyle w:val="BodyText"/>
      </w:pPr>
      <w:r w:rsidRPr="00D170DF">
        <w:t>Volume data refers to the total number of vehicles</w:t>
      </w:r>
      <w:r w:rsidR="00665742">
        <w:t xml:space="preserve"> or</w:t>
      </w:r>
      <w:r w:rsidR="006177BA" w:rsidRPr="00D170DF">
        <w:t xml:space="preserve"> </w:t>
      </w:r>
      <w:r w:rsidR="00825E9E" w:rsidRPr="00D170DF">
        <w:t>micromobility</w:t>
      </w:r>
      <w:r w:rsidRPr="00D170DF">
        <w:t xml:space="preserve"> passing through a point </w:t>
      </w:r>
      <w:r w:rsidR="00825E9E" w:rsidRPr="00D170DF">
        <w:t xml:space="preserve">on a </w:t>
      </w:r>
      <w:r w:rsidRPr="00D170DF">
        <w:t>roadway</w:t>
      </w:r>
      <w:r w:rsidR="00825E9E" w:rsidRPr="00D170DF">
        <w:t>, bikeway, or walkway</w:t>
      </w:r>
      <w:r w:rsidRPr="00D170DF">
        <w:t xml:space="preserve"> in a predefined time interval. </w:t>
      </w:r>
    </w:p>
    <w:p w14:paraId="3C9BA3C6" w14:textId="2BA8E40E" w:rsidR="00A05DA7" w:rsidRPr="00A05DA7" w:rsidRDefault="00A05DA7" w:rsidP="00A35EAF">
      <w:pPr>
        <w:pStyle w:val="BodyText"/>
      </w:pPr>
      <w:r w:rsidRPr="00C73D24">
        <w:t xml:space="preserve">All highway agencies should have access to data collected from continuous counters. Agencies should work with each other to ensure that enough data </w:t>
      </w:r>
      <w:r w:rsidR="00B95C8D">
        <w:t>are</w:t>
      </w:r>
      <w:r w:rsidR="00B95C8D" w:rsidRPr="00C73D24">
        <w:t xml:space="preserve"> </w:t>
      </w:r>
      <w:r w:rsidRPr="00C73D24">
        <w:t>collected and shared to allow calculation of accurate adjustment factors needed to convert short</w:t>
      </w:r>
      <w:r>
        <w:t>-term</w:t>
      </w:r>
      <w:r w:rsidRPr="00C73D24">
        <w:t xml:space="preserve"> traffic counts into estimates of</w:t>
      </w:r>
      <w:r w:rsidR="00B95C8D">
        <w:t xml:space="preserve"> annual average daily traffic</w:t>
      </w:r>
      <w:r w:rsidRPr="00C73D24">
        <w:t xml:space="preserve"> </w:t>
      </w:r>
      <w:r w:rsidR="00B95C8D">
        <w:t>(</w:t>
      </w:r>
      <w:r w:rsidRPr="00C73D24">
        <w:t>AADT</w:t>
      </w:r>
      <w:r w:rsidR="00B95C8D">
        <w:t>)</w:t>
      </w:r>
      <w:r w:rsidRPr="00C73D24">
        <w:t xml:space="preserve">. Chapter 3 provides guidance on how to structure continuous count programs, how to determine the appropriate number of counters for </w:t>
      </w:r>
      <w:r w:rsidRPr="00A05DA7">
        <w:t xml:space="preserve">adjustment factor development, and how to apply those factors. </w:t>
      </w:r>
    </w:p>
    <w:p w14:paraId="73C7B97F" w14:textId="0941C6A1" w:rsidR="00A05DA7" w:rsidRPr="00A05DA7" w:rsidRDefault="00A05DA7" w:rsidP="00A35EAF">
      <w:pPr>
        <w:pStyle w:val="BodyText"/>
      </w:pPr>
      <w:r w:rsidRPr="00A05DA7">
        <w:t>The continuous counts allow an agency to understand temporal (time-of-day (TOD), day of week (DOW), month-of-year (MOY) and multi-year – year-to-year (YtY)) changes in traffic volume, speed, class, and weight.</w:t>
      </w:r>
      <w:r w:rsidR="004D4172">
        <w:t xml:space="preserve"> </w:t>
      </w:r>
      <w:r w:rsidRPr="00A05DA7">
        <w:t xml:space="preserve">This analysis provides the mechanism needed to convert short-term counts into accurate annualized estimates. Adjustments to short-term count data are also required to remove the temporal bias for an annualized purpose such as AADT, Single Unit Truck (SU) AADT, and Combination Unit </w:t>
      </w:r>
      <w:r w:rsidR="00853301">
        <w:t xml:space="preserve">(CU) </w:t>
      </w:r>
      <w:r w:rsidRPr="00A05DA7">
        <w:t>Truck AADT.</w:t>
      </w:r>
      <w:r w:rsidR="004D4172">
        <w:t xml:space="preserve"> </w:t>
      </w:r>
    </w:p>
    <w:p w14:paraId="3EA58BA5" w14:textId="2D9CAF29" w:rsidR="00046060" w:rsidRPr="00F468E1" w:rsidRDefault="009566D0">
      <w:pPr>
        <w:pStyle w:val="Heading3"/>
      </w:pPr>
      <w:bookmarkStart w:id="190" w:name="_Toc44415683"/>
      <w:bookmarkStart w:id="191" w:name="_Toc57736810"/>
      <w:bookmarkStart w:id="192" w:name="_Toc114488068"/>
      <w:bookmarkStart w:id="193" w:name="_Toc118205554"/>
      <w:r w:rsidRPr="00F468E1">
        <w:t>Speed D</w:t>
      </w:r>
      <w:r w:rsidR="00BA1AD5" w:rsidRPr="00F468E1">
        <w:t>ata Collection</w:t>
      </w:r>
      <w:bookmarkEnd w:id="190"/>
      <w:bookmarkEnd w:id="191"/>
      <w:bookmarkEnd w:id="192"/>
      <w:bookmarkEnd w:id="193"/>
    </w:p>
    <w:p w14:paraId="690B1042" w14:textId="512B7366" w:rsidR="008D4059" w:rsidRPr="00D170DF" w:rsidRDefault="00480E52" w:rsidP="00A35EAF">
      <w:pPr>
        <w:pStyle w:val="BodyText"/>
      </w:pPr>
      <w:r w:rsidRPr="00D170DF">
        <w:t>Speed data represent a vehicle traversing through a segment of roadway. When the length of the roadway segment is sufficiently short, the speed is also called a spot speed.</w:t>
      </w:r>
      <w:r w:rsidR="004D4172">
        <w:t xml:space="preserve"> </w:t>
      </w:r>
      <w:r w:rsidR="002E4CB5" w:rsidRPr="00D170DF">
        <w:t>R</w:t>
      </w:r>
      <w:r w:rsidRPr="00D170DF">
        <w:t>egardless of the</w:t>
      </w:r>
      <w:r w:rsidR="002E4CB5" w:rsidRPr="00D170DF">
        <w:t xml:space="preserve"> </w:t>
      </w:r>
      <w:r w:rsidR="00FC6703" w:rsidRPr="00D170DF">
        <w:t xml:space="preserve">segment </w:t>
      </w:r>
      <w:r w:rsidR="002E4CB5" w:rsidRPr="00D170DF">
        <w:t>length</w:t>
      </w:r>
      <w:r w:rsidRPr="00D170DF">
        <w:t xml:space="preserve">, speed </w:t>
      </w:r>
      <w:r w:rsidR="00FC6703" w:rsidRPr="00D170DF">
        <w:t xml:space="preserve">data </w:t>
      </w:r>
      <w:r w:rsidR="00B95C8D">
        <w:t>are</w:t>
      </w:r>
      <w:r w:rsidR="00B95C8D" w:rsidRPr="00D170DF">
        <w:t xml:space="preserve"> </w:t>
      </w:r>
      <w:r w:rsidR="00FC6703" w:rsidRPr="00D170DF">
        <w:t>assumed to be “</w:t>
      </w:r>
      <w:r w:rsidRPr="00D170DF">
        <w:t>space mean speed</w:t>
      </w:r>
      <w:r w:rsidR="00FC6703" w:rsidRPr="00D170DF">
        <w:t>,”</w:t>
      </w:r>
      <w:r w:rsidRPr="00D170DF">
        <w:t xml:space="preserve"> meaning speed is </w:t>
      </w:r>
      <w:r w:rsidR="00FC6703" w:rsidRPr="00D170DF">
        <w:t>equal to</w:t>
      </w:r>
      <w:r w:rsidRPr="00D170DF">
        <w:t xml:space="preserve"> segment length</w:t>
      </w:r>
      <w:r w:rsidR="00FC6703" w:rsidRPr="00D170DF">
        <w:t xml:space="preserve"> divided</w:t>
      </w:r>
      <w:r w:rsidRPr="00D170DF">
        <w:t xml:space="preserve"> by </w:t>
      </w:r>
      <w:r w:rsidR="00FC6703" w:rsidRPr="00D170DF">
        <w:t xml:space="preserve">the </w:t>
      </w:r>
      <w:r w:rsidRPr="00D170DF">
        <w:t>time a vehicle takes to traverse through the segment.</w:t>
      </w:r>
      <w:r w:rsidR="004D4172">
        <w:t xml:space="preserve"> </w:t>
      </w:r>
    </w:p>
    <w:p w14:paraId="6FEB02BE" w14:textId="4E104C98" w:rsidR="00046060" w:rsidRPr="00F468E1" w:rsidRDefault="009566D0">
      <w:pPr>
        <w:pStyle w:val="Heading3"/>
      </w:pPr>
      <w:bookmarkStart w:id="194" w:name="_Toc44415684"/>
      <w:bookmarkStart w:id="195" w:name="_Toc57736811"/>
      <w:bookmarkStart w:id="196" w:name="_Toc114488069"/>
      <w:bookmarkStart w:id="197" w:name="_Toc118205555"/>
      <w:r w:rsidRPr="00F468E1">
        <w:t>Vehicle Classification Data</w:t>
      </w:r>
      <w:bookmarkEnd w:id="194"/>
      <w:bookmarkEnd w:id="195"/>
      <w:bookmarkEnd w:id="196"/>
      <w:bookmarkEnd w:id="197"/>
      <w:r w:rsidR="00046060" w:rsidRPr="00E214D2">
        <w:t xml:space="preserve"> </w:t>
      </w:r>
    </w:p>
    <w:p w14:paraId="214EC8B8" w14:textId="22573FF2" w:rsidR="00D40BB7" w:rsidRPr="00D170DF" w:rsidRDefault="00D40BB7" w:rsidP="00A35EAF">
      <w:pPr>
        <w:pStyle w:val="BodyText"/>
      </w:pPr>
      <w:r w:rsidRPr="00D170DF">
        <w:t xml:space="preserve">Vehicle classification data </w:t>
      </w:r>
      <w:r w:rsidR="00162E41" w:rsidRPr="00D170DF">
        <w:t>refers t</w:t>
      </w:r>
      <w:r w:rsidR="008F623E" w:rsidRPr="00D170DF">
        <w:t>o</w:t>
      </w:r>
      <w:r w:rsidRPr="00D170DF">
        <w:t xml:space="preserve"> the count</w:t>
      </w:r>
      <w:r w:rsidR="008F623E" w:rsidRPr="00D170DF">
        <w:t>s</w:t>
      </w:r>
      <w:r w:rsidRPr="00D170DF">
        <w:t xml:space="preserve"> of vehicle</w:t>
      </w:r>
      <w:r w:rsidR="00287ED8" w:rsidRPr="00D170DF">
        <w:t>s</w:t>
      </w:r>
      <w:r w:rsidRPr="00D170DF">
        <w:t xml:space="preserve"> by </w:t>
      </w:r>
      <w:r w:rsidR="002B423E" w:rsidRPr="00D170DF">
        <w:t xml:space="preserve">specific </w:t>
      </w:r>
      <w:r w:rsidRPr="00D170DF">
        <w:t xml:space="preserve">vehicle type. The standard vehicle classification categories are the 13 vehicle types adopted by the FHWA and </w:t>
      </w:r>
      <w:r w:rsidR="001B50F1" w:rsidRPr="00D170DF">
        <w:t xml:space="preserve">are </w:t>
      </w:r>
      <w:r w:rsidRPr="00D170DF">
        <w:t xml:space="preserve">used for geometric design, pavement and bridge design, </w:t>
      </w:r>
      <w:r w:rsidR="003552EF" w:rsidRPr="00D170DF">
        <w:t>s</w:t>
      </w:r>
      <w:r w:rsidRPr="00D170DF">
        <w:t>afety analysis, performance measurement, and environmental impact analysis</w:t>
      </w:r>
      <w:r w:rsidR="001B50F1" w:rsidRPr="00D170DF">
        <w:t xml:space="preserve"> and other programs</w:t>
      </w:r>
      <w:r w:rsidRPr="00D170DF">
        <w:t>.</w:t>
      </w:r>
      <w:r w:rsidR="004D4172">
        <w:t xml:space="preserve"> </w:t>
      </w:r>
      <w:r w:rsidRPr="00D170DF">
        <w:t>Vehicle classification data ha</w:t>
      </w:r>
      <w:r w:rsidR="00B95C8D">
        <w:t>ve</w:t>
      </w:r>
      <w:r w:rsidRPr="00D170DF">
        <w:t xml:space="preserve"> the same unit as volume data</w:t>
      </w:r>
      <w:r w:rsidR="00B95C8D">
        <w:t xml:space="preserve"> (i.e.,</w:t>
      </w:r>
      <w:r w:rsidRPr="00D170DF">
        <w:t xml:space="preserve"> the number of vehicles passing through a point or short </w:t>
      </w:r>
      <w:r w:rsidR="00301434">
        <w:t xml:space="preserve">roadway </w:t>
      </w:r>
      <w:r w:rsidRPr="00D170DF">
        <w:t>segment in a predefined time period</w:t>
      </w:r>
      <w:r w:rsidR="00B95C8D">
        <w:t>)</w:t>
      </w:r>
      <w:r w:rsidRPr="00D170DF">
        <w:t xml:space="preserve">. </w:t>
      </w:r>
      <w:r w:rsidR="00D170DF">
        <w:t xml:space="preserve">Some </w:t>
      </w:r>
      <w:r w:rsidR="00B95C8D">
        <w:t>S</w:t>
      </w:r>
      <w:r w:rsidR="00D170DF">
        <w:t>tates also collect length-based classification data</w:t>
      </w:r>
      <w:r w:rsidR="00D170DF" w:rsidRPr="00911AE2">
        <w:t>.</w:t>
      </w:r>
      <w:r w:rsidR="004D4172">
        <w:t xml:space="preserve"> </w:t>
      </w:r>
      <w:r w:rsidR="00D170DF" w:rsidRPr="00911AE2">
        <w:t>Chapter 3 provides details on the 13 vehicle types.</w:t>
      </w:r>
    </w:p>
    <w:p w14:paraId="25D53001" w14:textId="03D82EF5" w:rsidR="00046060" w:rsidRPr="00F468E1" w:rsidRDefault="00EC2EDE">
      <w:pPr>
        <w:pStyle w:val="Heading3"/>
      </w:pPr>
      <w:bookmarkStart w:id="198" w:name="_Toc33968103"/>
      <w:bookmarkStart w:id="199" w:name="_Toc44415685"/>
      <w:bookmarkStart w:id="200" w:name="_Toc57736812"/>
      <w:bookmarkStart w:id="201" w:name="_Toc114488070"/>
      <w:bookmarkStart w:id="202" w:name="_Toc118205556"/>
      <w:r w:rsidRPr="00F468E1">
        <w:t>Weight Data</w:t>
      </w:r>
      <w:bookmarkEnd w:id="198"/>
      <w:bookmarkEnd w:id="199"/>
      <w:bookmarkEnd w:id="200"/>
      <w:bookmarkEnd w:id="201"/>
      <w:bookmarkEnd w:id="202"/>
    </w:p>
    <w:p w14:paraId="5EA6C773" w14:textId="3B6DC44A" w:rsidR="00D40BB7" w:rsidRPr="004B62BF" w:rsidRDefault="00D40BB7" w:rsidP="004B62BF">
      <w:pPr>
        <w:pStyle w:val="BodyText"/>
      </w:pPr>
      <w:r w:rsidRPr="004B62BF">
        <w:t>Weigh</w:t>
      </w:r>
      <w:r w:rsidR="008D4059" w:rsidRPr="004B62BF">
        <w:t>t</w:t>
      </w:r>
      <w:r w:rsidRPr="004B62BF">
        <w:t xml:space="preserve"> data refers to vehicle </w:t>
      </w:r>
      <w:r w:rsidR="002B423E" w:rsidRPr="004B62BF">
        <w:t xml:space="preserve">wheel path (if collected by wheel path), </w:t>
      </w:r>
      <w:r w:rsidRPr="004B62BF">
        <w:t>axle and gross vehicle weight. The collection of vehicle weight data is typically only applicable to trucks and not the light-duty passenger vehicles</w:t>
      </w:r>
      <w:r w:rsidR="002B423E" w:rsidRPr="004B62BF">
        <w:t xml:space="preserve"> (classes 1-3)</w:t>
      </w:r>
      <w:r w:rsidRPr="004B62BF">
        <w:t>.</w:t>
      </w:r>
      <w:r w:rsidR="004D4172" w:rsidRPr="004B62BF">
        <w:t xml:space="preserve"> </w:t>
      </w:r>
      <w:r w:rsidRPr="004B62BF">
        <w:t xml:space="preserve">The rationale for this is that both the axle weight and gross vehicle weight of regular passenger vehicles have virtually no design impact on a roadway’s pavement or the loading of a bridge. </w:t>
      </w:r>
      <w:r w:rsidR="0005262A" w:rsidRPr="004B62BF">
        <w:t xml:space="preserve">For the purposes of traffic monitoring, weight </w:t>
      </w:r>
      <w:r w:rsidRPr="004B62BF">
        <w:t xml:space="preserve">data are </w:t>
      </w:r>
      <w:r w:rsidR="0005262A" w:rsidRPr="004B62BF">
        <w:t>typically</w:t>
      </w:r>
      <w:r w:rsidRPr="004B62BF">
        <w:t xml:space="preserve"> collected by the </w:t>
      </w:r>
      <w:r w:rsidR="0005262A" w:rsidRPr="004B62BF">
        <w:t xml:space="preserve">Weigh-In-Motion (WIM) systems </w:t>
      </w:r>
      <w:r w:rsidRPr="004B62BF">
        <w:t xml:space="preserve">installed in </w:t>
      </w:r>
      <w:r w:rsidR="0005262A" w:rsidRPr="004B62BF">
        <w:t>a roadway</w:t>
      </w:r>
      <w:r w:rsidRPr="004B62BF">
        <w:t>.</w:t>
      </w:r>
    </w:p>
    <w:p w14:paraId="7E9F6F4D" w14:textId="12980507" w:rsidR="00046060" w:rsidRPr="00F468E1" w:rsidRDefault="00817C7A">
      <w:pPr>
        <w:pStyle w:val="Heading3"/>
      </w:pPr>
      <w:bookmarkStart w:id="203" w:name="_Toc33968104"/>
      <w:bookmarkStart w:id="204" w:name="_Toc44415686"/>
      <w:bookmarkStart w:id="205" w:name="_Toc57736813"/>
      <w:bookmarkStart w:id="206" w:name="_Toc114488071"/>
      <w:bookmarkStart w:id="207" w:name="_Toc118205557"/>
      <w:r w:rsidRPr="00F468E1">
        <w:t>Travel Time</w:t>
      </w:r>
      <w:bookmarkEnd w:id="203"/>
      <w:bookmarkEnd w:id="204"/>
      <w:bookmarkEnd w:id="205"/>
      <w:bookmarkEnd w:id="206"/>
      <w:bookmarkEnd w:id="207"/>
    </w:p>
    <w:p w14:paraId="7E6F4678" w14:textId="223E11FA" w:rsidR="00D40BB7" w:rsidRPr="00D170DF" w:rsidRDefault="00D40BB7" w:rsidP="00A35EAF">
      <w:pPr>
        <w:pStyle w:val="BodyText"/>
        <w:rPr>
          <w:rFonts w:asciiTheme="minorHAnsi" w:eastAsiaTheme="minorHAnsi" w:hAnsiTheme="minorHAnsi" w:cstheme="minorBidi"/>
          <w:sz w:val="22"/>
          <w:szCs w:val="22"/>
        </w:rPr>
      </w:pPr>
      <w:r w:rsidRPr="00D170DF">
        <w:t xml:space="preserve">Travel time characterizes the time it takes for a vehicle to travel </w:t>
      </w:r>
      <w:r w:rsidR="00A86DB0" w:rsidRPr="00D170DF">
        <w:t xml:space="preserve">from </w:t>
      </w:r>
      <w:r w:rsidRPr="00D170DF">
        <w:t xml:space="preserve">point A to point B along a </w:t>
      </w:r>
      <w:r w:rsidR="0087338A">
        <w:t>roadway</w:t>
      </w:r>
      <w:r w:rsidRPr="00D170DF">
        <w:t xml:space="preserve">. While </w:t>
      </w:r>
      <w:r w:rsidR="00E66DAF" w:rsidRPr="00D170DF">
        <w:t xml:space="preserve">stationary </w:t>
      </w:r>
      <w:r w:rsidRPr="00D170DF">
        <w:t>sensors</w:t>
      </w:r>
      <w:r w:rsidR="00287ED8" w:rsidRPr="00D170DF">
        <w:t>,</w:t>
      </w:r>
      <w:r w:rsidRPr="00D170DF">
        <w:t xml:space="preserve"> such as th</w:t>
      </w:r>
      <w:r w:rsidR="00257C18" w:rsidRPr="00D170DF">
        <w:t>o</w:t>
      </w:r>
      <w:r w:rsidRPr="00D170DF">
        <w:t>se used in both the continuous count program and the short</w:t>
      </w:r>
      <w:r w:rsidR="00335FA8" w:rsidRPr="00D170DF">
        <w:t>-term count</w:t>
      </w:r>
      <w:r w:rsidRPr="00D170DF">
        <w:t xml:space="preserve"> program</w:t>
      </w:r>
      <w:r w:rsidR="00287ED8" w:rsidRPr="00D170DF">
        <w:t>,</w:t>
      </w:r>
      <w:r w:rsidRPr="00D170DF">
        <w:t xml:space="preserve"> can measure travel time, </w:t>
      </w:r>
      <w:r w:rsidR="00257C18" w:rsidRPr="00D170DF">
        <w:t>their</w:t>
      </w:r>
      <w:r w:rsidRPr="00D170DF">
        <w:t xml:space="preserve"> applicability is limited due to coverage limits. Current </w:t>
      </w:r>
      <w:r w:rsidR="00301434" w:rsidRPr="00D170DF">
        <w:t>probe-based</w:t>
      </w:r>
      <w:r w:rsidRPr="00D170DF">
        <w:t xml:space="preserve"> devices </w:t>
      </w:r>
      <w:r w:rsidR="00E66DAF" w:rsidRPr="00D170DF">
        <w:t xml:space="preserve">located inside moving vehicles </w:t>
      </w:r>
      <w:r w:rsidRPr="00D170DF">
        <w:t xml:space="preserve">enable travel time collection for </w:t>
      </w:r>
      <w:r w:rsidR="002B423E" w:rsidRPr="00D170DF">
        <w:t xml:space="preserve">many </w:t>
      </w:r>
      <w:r w:rsidRPr="00D170DF">
        <w:t>highway segments in the system without the need of installing any specialized hardware by a highway agency.</w:t>
      </w:r>
    </w:p>
    <w:p w14:paraId="457DCE1D" w14:textId="3FCE2AB8" w:rsidR="00046060" w:rsidRPr="00F53123" w:rsidRDefault="00046060" w:rsidP="00A35EAF">
      <w:pPr>
        <w:pStyle w:val="BodyText"/>
        <w:rPr>
          <w:rFonts w:ascii="Cambria" w:hAnsi="Cambria"/>
          <w:b/>
          <w:bCs/>
          <w:i/>
          <w:iCs/>
          <w:sz w:val="22"/>
          <w:szCs w:val="22"/>
          <w:lang w:bidi="en-US"/>
        </w:rPr>
      </w:pPr>
      <w:bookmarkStart w:id="208" w:name="_Toc44415687"/>
      <w:bookmarkStart w:id="209" w:name="_Hlk58231421"/>
      <w:r w:rsidRPr="00F53123">
        <w:rPr>
          <w:rFonts w:ascii="Cambria" w:hAnsi="Cambria"/>
          <w:b/>
          <w:bCs/>
          <w:i/>
          <w:iCs/>
          <w:sz w:val="22"/>
          <w:szCs w:val="22"/>
          <w:lang w:bidi="en-US"/>
        </w:rPr>
        <w:t>Vehicle Occupancy</w:t>
      </w:r>
      <w:bookmarkEnd w:id="208"/>
    </w:p>
    <w:p w14:paraId="56CC95B0" w14:textId="51F33B5B" w:rsidR="00F53123" w:rsidRDefault="00D40BB7" w:rsidP="00A35EAF">
      <w:pPr>
        <w:pStyle w:val="BodyText"/>
      </w:pPr>
      <w:r w:rsidRPr="00D170DF">
        <w:t xml:space="preserve">Vehicle Occupancy refers to the number of persons inside a vehicle. Traditionally, vehicle occupancy data are collected through roadside observations, personal or household surveys. While these traditional methods work well, they are costly. </w:t>
      </w:r>
      <w:r w:rsidR="00A86DB0" w:rsidRPr="00D170DF">
        <w:t>More recently, r</w:t>
      </w:r>
      <w:r w:rsidRPr="00D170DF">
        <w:t xml:space="preserve">oadside cameras </w:t>
      </w:r>
      <w:r w:rsidR="00A86DB0" w:rsidRPr="00D170DF">
        <w:t xml:space="preserve">are </w:t>
      </w:r>
      <w:r w:rsidR="00E66DAF" w:rsidRPr="00D170DF">
        <w:t xml:space="preserve">being </w:t>
      </w:r>
      <w:r w:rsidR="00A86DB0" w:rsidRPr="00D170DF">
        <w:t>used</w:t>
      </w:r>
      <w:r w:rsidRPr="00D170DF">
        <w:t xml:space="preserve"> to collect such information. </w:t>
      </w:r>
      <w:r w:rsidRPr="00C87C42">
        <w:t>Also, advanced statistical methods have proven that vehicle occupancy data can be derived from crash records supplemented by other data sources.</w:t>
      </w:r>
    </w:p>
    <w:p w14:paraId="7B38F8DB" w14:textId="77777777" w:rsidR="00F53123" w:rsidRDefault="00F53123">
      <w:pPr>
        <w:widowControl/>
        <w:suppressAutoHyphens w:val="0"/>
        <w:autoSpaceDE/>
        <w:autoSpaceDN/>
        <w:adjustRightInd/>
        <w:spacing w:line="259" w:lineRule="auto"/>
        <w:jc w:val="left"/>
        <w:textAlignment w:val="auto"/>
        <w:rPr>
          <w:color w:val="auto"/>
        </w:rPr>
      </w:pPr>
      <w:r>
        <w:br w:type="page"/>
      </w:r>
    </w:p>
    <w:bookmarkEnd w:id="209"/>
    <w:p w14:paraId="0659132B" w14:textId="51DACC8C" w:rsidR="00046060" w:rsidRPr="00F53123" w:rsidRDefault="00046060" w:rsidP="00A35EAF">
      <w:pPr>
        <w:pStyle w:val="BodyText"/>
        <w:rPr>
          <w:rFonts w:ascii="Cambria" w:hAnsi="Cambria"/>
          <w:b/>
          <w:bCs/>
          <w:i/>
          <w:iCs/>
          <w:sz w:val="22"/>
          <w:szCs w:val="22"/>
          <w:lang w:bidi="en-US"/>
        </w:rPr>
      </w:pPr>
      <w:r w:rsidRPr="00F53123">
        <w:rPr>
          <w:rFonts w:ascii="Cambria" w:hAnsi="Cambria"/>
          <w:b/>
          <w:bCs/>
          <w:i/>
          <w:iCs/>
          <w:sz w:val="22"/>
          <w:szCs w:val="22"/>
          <w:lang w:bidi="en-US"/>
        </w:rPr>
        <w:lastRenderedPageBreak/>
        <w:t>Lane Occupancy Data</w:t>
      </w:r>
    </w:p>
    <w:p w14:paraId="13A7A40E" w14:textId="2649A975" w:rsidR="00AD7481" w:rsidRPr="008073D3" w:rsidRDefault="00AD7481" w:rsidP="00A35EAF">
      <w:pPr>
        <w:pStyle w:val="BodyText"/>
      </w:pPr>
      <w:bookmarkStart w:id="210" w:name="_Toc33968106"/>
      <w:r w:rsidRPr="00D170DF">
        <w:t xml:space="preserve">Lane occupancy can also be used as a direct measure of congestion. </w:t>
      </w:r>
      <w:r w:rsidRPr="008073D3">
        <w:t xml:space="preserve">Many urban freeway and arterial performance monitoring programs use lane occupancy measurements to describe the onset and duration of congested conditions. For example, the Washington State Department of Transportation uses lane occupancy values above 35 percent to indicate the formation of stop-and-go congestion. </w:t>
      </w:r>
    </w:p>
    <w:p w14:paraId="01523686" w14:textId="36F85902" w:rsidR="009D0BE3" w:rsidRPr="00D170DF" w:rsidRDefault="009D0BE3" w:rsidP="00A35EAF">
      <w:pPr>
        <w:pStyle w:val="BodyText"/>
      </w:pPr>
      <w:r>
        <w:t>I</w:t>
      </w:r>
      <w:r w:rsidRPr="008073D3">
        <w:t xml:space="preserve">nductive loop detectors and other devices that mimic loop output, such as video image-based counters, can produce </w:t>
      </w:r>
      <w:r w:rsidR="006D5591">
        <w:t xml:space="preserve">lane </w:t>
      </w:r>
      <w:r w:rsidRPr="008073D3">
        <w:t xml:space="preserve">occupancy statistics that describe the percentage of time that a vehicle occupies the </w:t>
      </w:r>
      <w:r w:rsidRPr="00D170DF">
        <w:t>detection zone. This value can be converted into a reasonable measure of</w:t>
      </w:r>
      <w:r w:rsidR="00FC1AE5">
        <w:t xml:space="preserve"> </w:t>
      </w:r>
      <w:r w:rsidR="006D5591">
        <w:t>lane occupancy</w:t>
      </w:r>
      <w:r w:rsidR="00FC1AE5">
        <w:t>.</w:t>
      </w:r>
      <w:r w:rsidRPr="00D170DF">
        <w:t xml:space="preserve"> </w:t>
      </w:r>
    </w:p>
    <w:p w14:paraId="174E0BE7" w14:textId="4BDA3D14" w:rsidR="009D0BE3" w:rsidRPr="00D170DF" w:rsidRDefault="009D0BE3" w:rsidP="00A35EAF">
      <w:pPr>
        <w:pStyle w:val="BodyText"/>
      </w:pPr>
      <w:r w:rsidRPr="00D170DF">
        <w:t xml:space="preserve">Roadway Occupancy is well defined in the </w:t>
      </w:r>
      <w:bookmarkStart w:id="211" w:name="_Hlk76051455"/>
      <w:r w:rsidRPr="009C085C">
        <w:rPr>
          <w:i/>
          <w:iCs/>
        </w:rPr>
        <w:t>FHWA Traffic Data Pocket Guide</w:t>
      </w:r>
      <w:r w:rsidRPr="00D170DF">
        <w:t xml:space="preserve"> </w:t>
      </w:r>
      <w:bookmarkEnd w:id="211"/>
      <w:r w:rsidR="00FF5B13">
        <w:t xml:space="preserve">(FWHA 2018) </w:t>
      </w:r>
      <w:r w:rsidRPr="00D170DF">
        <w:t>under the traffic data computation method section.</w:t>
      </w:r>
    </w:p>
    <w:p w14:paraId="186F4815" w14:textId="46706C4D" w:rsidR="009D0BE3" w:rsidRPr="00CC262E" w:rsidRDefault="009D0BE3" w:rsidP="00A35EAF">
      <w:pPr>
        <w:pStyle w:val="BodyText"/>
        <w:rPr>
          <w:rFonts w:ascii="Cambria" w:hAnsi="Cambria"/>
          <w:b/>
          <w:bCs/>
          <w:i/>
          <w:iCs/>
          <w:sz w:val="22"/>
          <w:szCs w:val="22"/>
          <w:lang w:bidi="en-US"/>
        </w:rPr>
      </w:pPr>
      <w:r w:rsidRPr="00CC262E">
        <w:rPr>
          <w:rFonts w:ascii="Cambria" w:hAnsi="Cambria"/>
          <w:b/>
          <w:bCs/>
          <w:i/>
          <w:iCs/>
          <w:sz w:val="22"/>
          <w:szCs w:val="22"/>
          <w:lang w:bidi="en-US"/>
        </w:rPr>
        <w:t>Headway and Gap Data</w:t>
      </w:r>
    </w:p>
    <w:p w14:paraId="214D5819" w14:textId="69A9398B" w:rsidR="00AD7481" w:rsidRPr="00D170DF" w:rsidRDefault="009D0BE3" w:rsidP="00A35EAF">
      <w:pPr>
        <w:pStyle w:val="BodyText"/>
      </w:pPr>
      <w:r w:rsidRPr="00D170DF">
        <w:t xml:space="preserve">Headway is the time between the front of one vehicle and the front of </w:t>
      </w:r>
      <w:r w:rsidR="002B423E" w:rsidRPr="00D170DF">
        <w:t xml:space="preserve">the next </w:t>
      </w:r>
      <w:r w:rsidRPr="00D170DF">
        <w:t>vehicle</w:t>
      </w:r>
      <w:r w:rsidR="0087338A">
        <w:t>,</w:t>
      </w:r>
      <w:r w:rsidRPr="00D170DF">
        <w:t xml:space="preserve"> and gap is the distance between the back bumper of one vehicle and the start of the next vehicle. </w:t>
      </w:r>
      <w:r w:rsidR="00AD7481" w:rsidRPr="00D170DF">
        <w:t xml:space="preserve">Traffic monitoring devices that time stamp the passage of either individual vehicles or the axles of individual vehicles can be used to report the headway between vehicles and/or the time gap between </w:t>
      </w:r>
      <w:r w:rsidR="009C2C20" w:rsidRPr="00D170DF">
        <w:t>vehicles.</w:t>
      </w:r>
      <w:r w:rsidR="00AD7481" w:rsidRPr="00D170DF">
        <w:t xml:space="preserve"> These statistics are useful for </w:t>
      </w:r>
      <w:r w:rsidR="002B423E" w:rsidRPr="00D170DF">
        <w:t>several</w:t>
      </w:r>
      <w:r w:rsidR="00AD7481" w:rsidRPr="00D170DF">
        <w:t xml:space="preserve"> specific operational analyses but are not routinely reported as an output of most traffic monitoring programs. Consequently, most headway and gap information is collected and reported as part of special studies</w:t>
      </w:r>
      <w:r w:rsidR="00A86DB0" w:rsidRPr="00D170DF">
        <w:t>.</w:t>
      </w:r>
      <w:r w:rsidR="004D4172">
        <w:t xml:space="preserve"> </w:t>
      </w:r>
    </w:p>
    <w:p w14:paraId="224109ED" w14:textId="11CFB653" w:rsidR="00046060" w:rsidRPr="00F468E1" w:rsidRDefault="00A54CCB">
      <w:pPr>
        <w:pStyle w:val="Heading3"/>
      </w:pPr>
      <w:bookmarkStart w:id="212" w:name="_Toc44415688"/>
      <w:bookmarkStart w:id="213" w:name="_Toc57736814"/>
      <w:bookmarkStart w:id="214" w:name="_Toc114488072"/>
      <w:bookmarkStart w:id="215" w:name="_Toc118205558"/>
      <w:r w:rsidRPr="00F468E1">
        <w:t xml:space="preserve">Origin and </w:t>
      </w:r>
      <w:r w:rsidR="00EC2EDE" w:rsidRPr="00F468E1">
        <w:t>Destination</w:t>
      </w:r>
      <w:bookmarkEnd w:id="210"/>
      <w:bookmarkEnd w:id="212"/>
      <w:bookmarkEnd w:id="213"/>
      <w:bookmarkEnd w:id="214"/>
      <w:bookmarkEnd w:id="215"/>
    </w:p>
    <w:p w14:paraId="38A314F8" w14:textId="20B77281" w:rsidR="00C73D24" w:rsidRPr="00D170DF" w:rsidRDefault="00C73D24" w:rsidP="00A35EAF">
      <w:pPr>
        <w:pStyle w:val="BodyText"/>
      </w:pPr>
      <w:r w:rsidRPr="00D170DF">
        <w:t xml:space="preserve">Origin </w:t>
      </w:r>
      <w:r w:rsidR="005908F6" w:rsidRPr="00D170DF">
        <w:t xml:space="preserve">and </w:t>
      </w:r>
      <w:r w:rsidRPr="00D170DF">
        <w:t xml:space="preserve">destination (OD) data refers to location data related to where a vehicle </w:t>
      </w:r>
      <w:r w:rsidR="00F07C6B" w:rsidRPr="00D170DF">
        <w:t>enters</w:t>
      </w:r>
      <w:r w:rsidRPr="00D170DF">
        <w:t xml:space="preserve"> a road and where it </w:t>
      </w:r>
      <w:r w:rsidR="00F07C6B" w:rsidRPr="00D170DF">
        <w:t>exits</w:t>
      </w:r>
      <w:r w:rsidRPr="00D170DF">
        <w:t xml:space="preserve"> a road. For example, a truck entered Interstate 95 </w:t>
      </w:r>
      <w:r w:rsidR="00301434">
        <w:t>at</w:t>
      </w:r>
      <w:r w:rsidR="00301434" w:rsidRPr="00D170DF">
        <w:t xml:space="preserve"> </w:t>
      </w:r>
      <w:r w:rsidRPr="00D170DF">
        <w:t xml:space="preserve">Exit # 23 and got off the interstate </w:t>
      </w:r>
      <w:r w:rsidR="00301434">
        <w:t>at</w:t>
      </w:r>
      <w:r w:rsidR="00301434" w:rsidRPr="00D170DF">
        <w:t xml:space="preserve"> </w:t>
      </w:r>
      <w:r w:rsidRPr="00D170DF">
        <w:t xml:space="preserve">Exit # 127. Exit #23 and Exit #127 are the origin and destinations. Historically, OD data </w:t>
      </w:r>
      <w:r w:rsidR="0087338A">
        <w:t>are</w:t>
      </w:r>
      <w:r w:rsidR="0087338A" w:rsidRPr="00D170DF">
        <w:t xml:space="preserve"> </w:t>
      </w:r>
      <w:r w:rsidRPr="00D170DF">
        <w:t xml:space="preserve">most likely obtained from surveys. </w:t>
      </w:r>
      <w:r w:rsidR="002B423E" w:rsidRPr="00D170DF">
        <w:t>Probe</w:t>
      </w:r>
      <w:r w:rsidR="0087338A">
        <w:t>-</w:t>
      </w:r>
      <w:r w:rsidR="002B423E" w:rsidRPr="00D170DF">
        <w:t>based</w:t>
      </w:r>
      <w:r w:rsidRPr="00D170DF">
        <w:t xml:space="preserve"> </w:t>
      </w:r>
      <w:r w:rsidR="00F07C6B" w:rsidRPr="00D170DF">
        <w:t>technolog</w:t>
      </w:r>
      <w:r w:rsidR="00442B2B">
        <w:t>ies</w:t>
      </w:r>
      <w:r w:rsidR="00F07C6B" w:rsidRPr="00D170DF">
        <w:t xml:space="preserve"> </w:t>
      </w:r>
      <w:r w:rsidRPr="00D170DF">
        <w:t xml:space="preserve">have made </w:t>
      </w:r>
      <w:r w:rsidR="00F07C6B" w:rsidRPr="00D170DF">
        <w:t xml:space="preserve">OD </w:t>
      </w:r>
      <w:r w:rsidRPr="00D170DF">
        <w:t xml:space="preserve">data collection </w:t>
      </w:r>
      <w:r w:rsidR="00F07C6B" w:rsidRPr="00D170DF">
        <w:t>easier and less labor intensive</w:t>
      </w:r>
      <w:r w:rsidRPr="00D170DF">
        <w:t xml:space="preserve">. Also, new research associated with existing loop detector technology led to </w:t>
      </w:r>
      <w:r w:rsidR="002B423E" w:rsidRPr="00D170DF">
        <w:t xml:space="preserve">inductive </w:t>
      </w:r>
      <w:r w:rsidR="005908F6" w:rsidRPr="00D170DF">
        <w:t xml:space="preserve">loop </w:t>
      </w:r>
      <w:r w:rsidRPr="00D170DF">
        <w:t xml:space="preserve">signature capability for vehicle </w:t>
      </w:r>
      <w:r w:rsidR="002B423E" w:rsidRPr="00D170DF">
        <w:t>re-</w:t>
      </w:r>
      <w:r w:rsidRPr="00D170DF">
        <w:t xml:space="preserve">identification and </w:t>
      </w:r>
      <w:r w:rsidR="00F07C6B" w:rsidRPr="00D170DF">
        <w:t xml:space="preserve">can </w:t>
      </w:r>
      <w:r w:rsidRPr="00D170DF">
        <w:t>make OD data collection a regular component of traffic monitoring.</w:t>
      </w:r>
    </w:p>
    <w:p w14:paraId="34269081" w14:textId="2271FAE4" w:rsidR="00046060" w:rsidRPr="00F468E1" w:rsidRDefault="00046060">
      <w:pPr>
        <w:pStyle w:val="Heading2"/>
      </w:pPr>
      <w:bookmarkStart w:id="216" w:name="_Toc44415689"/>
      <w:bookmarkStart w:id="217" w:name="_Toc57736815"/>
      <w:bookmarkStart w:id="218" w:name="_Toc68864926"/>
      <w:bookmarkStart w:id="219" w:name="_Toc114474711"/>
      <w:bookmarkStart w:id="220" w:name="_Toc114485827"/>
      <w:bookmarkStart w:id="221" w:name="_Toc114488073"/>
      <w:bookmarkStart w:id="222" w:name="_Toc118205559"/>
      <w:r w:rsidRPr="00F468E1">
        <w:t xml:space="preserve">Traffic Data Program </w:t>
      </w:r>
      <w:bookmarkEnd w:id="216"/>
      <w:r w:rsidR="00955879" w:rsidRPr="00F468E1">
        <w:t>Users</w:t>
      </w:r>
      <w:bookmarkEnd w:id="217"/>
      <w:bookmarkEnd w:id="218"/>
      <w:bookmarkEnd w:id="219"/>
      <w:bookmarkEnd w:id="220"/>
      <w:bookmarkEnd w:id="221"/>
      <w:bookmarkEnd w:id="222"/>
    </w:p>
    <w:p w14:paraId="0547047A" w14:textId="2A474DCC" w:rsidR="00C73D24" w:rsidRPr="00F468E1" w:rsidRDefault="00C73D24">
      <w:pPr>
        <w:pStyle w:val="Heading3"/>
      </w:pPr>
      <w:bookmarkStart w:id="223" w:name="_Toc57733433"/>
      <w:bookmarkStart w:id="224" w:name="_Toc57736217"/>
      <w:bookmarkStart w:id="225" w:name="_Toc57736362"/>
      <w:bookmarkStart w:id="226" w:name="_Toc57736394"/>
      <w:bookmarkStart w:id="227" w:name="_Toc57736426"/>
      <w:bookmarkStart w:id="228" w:name="_Toc57736458"/>
      <w:bookmarkStart w:id="229" w:name="_Toc57736490"/>
      <w:bookmarkStart w:id="230" w:name="_Toc57736522"/>
      <w:bookmarkStart w:id="231" w:name="_Toc57736554"/>
      <w:bookmarkStart w:id="232" w:name="_Toc57736592"/>
      <w:bookmarkStart w:id="233" w:name="_Toc57736624"/>
      <w:bookmarkStart w:id="234" w:name="_Toc57736656"/>
      <w:bookmarkStart w:id="235" w:name="_Toc57736688"/>
      <w:bookmarkStart w:id="236" w:name="_Toc57736720"/>
      <w:bookmarkStart w:id="237" w:name="_Toc57736752"/>
      <w:bookmarkStart w:id="238" w:name="_Toc57736784"/>
      <w:bookmarkStart w:id="239" w:name="_Toc57736816"/>
      <w:bookmarkStart w:id="240" w:name="_Toc57736853"/>
      <w:bookmarkStart w:id="241" w:name="_Toc57736884"/>
      <w:bookmarkStart w:id="242" w:name="_Toc57736915"/>
      <w:bookmarkStart w:id="243" w:name="_Toc57736946"/>
      <w:bookmarkStart w:id="244" w:name="_Toc57736977"/>
      <w:bookmarkStart w:id="245" w:name="_Toc57737008"/>
      <w:bookmarkStart w:id="246" w:name="_Toc57737039"/>
      <w:bookmarkStart w:id="247" w:name="_Toc57737070"/>
      <w:bookmarkStart w:id="248" w:name="_Toc57737101"/>
      <w:bookmarkStart w:id="249" w:name="_Toc57737132"/>
      <w:bookmarkStart w:id="250" w:name="_Toc57737163"/>
      <w:bookmarkStart w:id="251" w:name="_Toc57737194"/>
      <w:bookmarkStart w:id="252" w:name="_Toc57737225"/>
      <w:bookmarkStart w:id="253" w:name="_Toc57737262"/>
      <w:bookmarkStart w:id="254" w:name="_Toc57737299"/>
      <w:bookmarkStart w:id="255" w:name="_Toc57737331"/>
      <w:bookmarkStart w:id="256" w:name="_Toc58352753"/>
      <w:bookmarkStart w:id="257" w:name="_Toc58353027"/>
      <w:bookmarkStart w:id="258" w:name="_Toc58353063"/>
      <w:bookmarkStart w:id="259" w:name="_Toc63858887"/>
      <w:bookmarkStart w:id="260" w:name="_Toc63860551"/>
      <w:bookmarkStart w:id="261" w:name="_Toc68700082"/>
      <w:bookmarkStart w:id="262" w:name="_Toc68700421"/>
      <w:bookmarkStart w:id="263" w:name="_Toc68700800"/>
      <w:bookmarkStart w:id="264" w:name="_Toc68798714"/>
      <w:bookmarkStart w:id="265" w:name="_Toc68798938"/>
      <w:bookmarkStart w:id="266" w:name="_Toc68800851"/>
      <w:bookmarkStart w:id="267" w:name="_Toc68801922"/>
      <w:bookmarkStart w:id="268" w:name="_Toc68806310"/>
      <w:bookmarkStart w:id="269" w:name="_Toc68806533"/>
      <w:bookmarkStart w:id="270" w:name="_Toc68806755"/>
      <w:bookmarkStart w:id="271" w:name="_Toc68862777"/>
      <w:bookmarkStart w:id="272" w:name="_Toc68864547"/>
      <w:bookmarkStart w:id="273" w:name="_Toc57736817"/>
      <w:bookmarkStart w:id="274" w:name="_Toc114488074"/>
      <w:bookmarkStart w:id="275" w:name="_Toc118205560"/>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r w:rsidRPr="00F468E1">
        <w:t>Federal Data Submittal Needs</w:t>
      </w:r>
      <w:bookmarkEnd w:id="273"/>
      <w:bookmarkEnd w:id="274"/>
      <w:bookmarkEnd w:id="275"/>
    </w:p>
    <w:p w14:paraId="2B001173" w14:textId="664A0C51" w:rsidR="00C73D24" w:rsidRPr="00786D11" w:rsidRDefault="001317F3" w:rsidP="00A35EAF">
      <w:pPr>
        <w:pStyle w:val="BodyText"/>
      </w:pPr>
      <w:r w:rsidRPr="00786D11">
        <w:t>S</w:t>
      </w:r>
      <w:r w:rsidR="00C73D24" w:rsidRPr="00786D11">
        <w:t xml:space="preserve">tate </w:t>
      </w:r>
      <w:r w:rsidRPr="00786D11">
        <w:t xml:space="preserve">highway </w:t>
      </w:r>
      <w:r w:rsidR="00C73D24" w:rsidRPr="00786D11">
        <w:t>agencies are</w:t>
      </w:r>
      <w:r w:rsidR="00786D11">
        <w:t xml:space="preserve"> requested</w:t>
      </w:r>
      <w:r w:rsidR="00C73D24" w:rsidRPr="00786D11">
        <w:t xml:space="preserve"> to submit motorized traffic monitoring</w:t>
      </w:r>
      <w:r w:rsidRPr="00786D11">
        <w:t xml:space="preserve"> </w:t>
      </w:r>
      <w:r w:rsidR="00C73D24" w:rsidRPr="00786D11">
        <w:t>program data</w:t>
      </w:r>
      <w:r w:rsidR="00F07C6B" w:rsidRPr="00786D11">
        <w:t>, including volume, speed, class</w:t>
      </w:r>
      <w:r w:rsidRPr="00786D11">
        <w:t>,</w:t>
      </w:r>
      <w:r w:rsidR="00F07C6B" w:rsidRPr="00786D11">
        <w:t xml:space="preserve"> and weight data</w:t>
      </w:r>
      <w:r w:rsidR="00C73D24" w:rsidRPr="00786D11">
        <w:t xml:space="preserve"> from their continuous counting stations </w:t>
      </w:r>
      <w:r w:rsidR="001B2FCA" w:rsidRPr="00786D11">
        <w:t>monthly</w:t>
      </w:r>
      <w:r w:rsidR="00C73D24" w:rsidRPr="00786D11">
        <w:t xml:space="preserve"> </w:t>
      </w:r>
      <w:r w:rsidR="00AA1887" w:rsidRPr="00786D11">
        <w:t xml:space="preserve">to the </w:t>
      </w:r>
      <w:r w:rsidR="00F07C6B" w:rsidRPr="00786D11">
        <w:t xml:space="preserve">FHWA </w:t>
      </w:r>
      <w:r w:rsidR="00AA1887" w:rsidRPr="00786D11">
        <w:t xml:space="preserve">TMAS. </w:t>
      </w:r>
      <w:r w:rsidRPr="00786D11">
        <w:t xml:space="preserve">In addition, </w:t>
      </w:r>
      <w:r w:rsidR="00C73D24" w:rsidRPr="00786D11">
        <w:t xml:space="preserve">traffic volumes </w:t>
      </w:r>
      <w:r w:rsidR="005908F6" w:rsidRPr="00786D11">
        <w:t>for all roadway</w:t>
      </w:r>
      <w:r w:rsidR="00442B2B">
        <w:t>s</w:t>
      </w:r>
      <w:r w:rsidR="005908F6" w:rsidRPr="00786D11">
        <w:t xml:space="preserve"> </w:t>
      </w:r>
      <w:r w:rsidR="00C73D24" w:rsidRPr="00786D11">
        <w:t xml:space="preserve">are required to be submitted </w:t>
      </w:r>
      <w:r w:rsidRPr="00786D11">
        <w:t xml:space="preserve">annually </w:t>
      </w:r>
      <w:r w:rsidR="00C73D24" w:rsidRPr="00786D11">
        <w:t>to the FHWA through the HPMS reporting</w:t>
      </w:r>
      <w:r w:rsidRPr="00786D11">
        <w:t xml:space="preserve"> process</w:t>
      </w:r>
      <w:r w:rsidR="00C73D24" w:rsidRPr="00786D11">
        <w:t>.</w:t>
      </w:r>
    </w:p>
    <w:p w14:paraId="468282AC" w14:textId="0C806181" w:rsidR="00046060" w:rsidRPr="009E43D6" w:rsidRDefault="00046060">
      <w:pPr>
        <w:pStyle w:val="Heading4"/>
      </w:pPr>
      <w:bookmarkStart w:id="276" w:name="_Toc44415690"/>
      <w:bookmarkStart w:id="277" w:name="_Toc118205561"/>
      <w:r w:rsidRPr="009E43D6">
        <w:t xml:space="preserve">Introduction of HPMS Traffic </w:t>
      </w:r>
      <w:r w:rsidR="00A45B46" w:rsidRPr="009E43D6">
        <w:t xml:space="preserve">and Travel </w:t>
      </w:r>
      <w:r w:rsidRPr="009E43D6">
        <w:t>Data Elements</w:t>
      </w:r>
      <w:bookmarkEnd w:id="276"/>
      <w:bookmarkEnd w:id="277"/>
    </w:p>
    <w:p w14:paraId="6D615768" w14:textId="644A52D3" w:rsidR="001317F3" w:rsidRPr="00786D11" w:rsidRDefault="00C73D24" w:rsidP="0010467B">
      <w:pPr>
        <w:pStyle w:val="BodyText"/>
      </w:pPr>
      <w:r w:rsidRPr="00786D11">
        <w:t xml:space="preserve">HPMS reporting </w:t>
      </w:r>
      <w:r w:rsidRPr="0010467B">
        <w:t xml:space="preserve">requires </w:t>
      </w:r>
      <w:r w:rsidR="00442B2B" w:rsidRPr="0010467B">
        <w:t>S</w:t>
      </w:r>
      <w:r w:rsidRPr="0010467B">
        <w:t xml:space="preserve">tate </w:t>
      </w:r>
      <w:r w:rsidR="001317F3" w:rsidRPr="0010467B">
        <w:t xml:space="preserve">highway </w:t>
      </w:r>
      <w:r w:rsidRPr="0010467B">
        <w:t>agencies to provide traffic</w:t>
      </w:r>
      <w:r w:rsidR="00A45B46" w:rsidRPr="0010467B">
        <w:t xml:space="preserve"> and travel</w:t>
      </w:r>
      <w:r w:rsidRPr="0010467B">
        <w:t xml:space="preserve"> data elements</w:t>
      </w:r>
      <w:r w:rsidR="001317F3" w:rsidRPr="0010467B">
        <w:t xml:space="preserve"> by individual predefined HPMS segments once a year</w:t>
      </w:r>
      <w:r w:rsidRPr="0010467B">
        <w:t xml:space="preserve">. </w:t>
      </w:r>
      <w:r w:rsidRPr="00786D11">
        <w:t>T</w:t>
      </w:r>
      <w:r w:rsidR="001317F3" w:rsidRPr="00786D11">
        <w:t xml:space="preserve">he following </w:t>
      </w:r>
      <w:r w:rsidR="00273767" w:rsidRPr="00786D11">
        <w:t xml:space="preserve">elements </w:t>
      </w:r>
      <w:r w:rsidR="001317F3" w:rsidRPr="00786D11">
        <w:t xml:space="preserve">are a sample of </w:t>
      </w:r>
      <w:r w:rsidRPr="00786D11">
        <w:t xml:space="preserve">traffic </w:t>
      </w:r>
      <w:r w:rsidR="00A45B46" w:rsidRPr="00786D11">
        <w:t xml:space="preserve">and travel </w:t>
      </w:r>
      <w:r w:rsidRPr="00786D11">
        <w:t xml:space="preserve">data </w:t>
      </w:r>
      <w:r w:rsidR="005908F6" w:rsidRPr="00786D11">
        <w:t xml:space="preserve">and derived statistical parameters included </w:t>
      </w:r>
      <w:r w:rsidRPr="00786D11">
        <w:t xml:space="preserve">in the HPMS </w:t>
      </w:r>
      <w:r w:rsidR="001317F3" w:rsidRPr="00786D11">
        <w:t>submission:</w:t>
      </w:r>
      <w:r w:rsidR="004D4172">
        <w:t xml:space="preserve"> </w:t>
      </w:r>
    </w:p>
    <w:p w14:paraId="4C61DD62" w14:textId="7D100E64" w:rsidR="00C73D24" w:rsidRPr="00786D11" w:rsidRDefault="00C73D24">
      <w:pPr>
        <w:pStyle w:val="TMGBullet"/>
      </w:pPr>
      <w:r w:rsidRPr="00786D11">
        <w:t>AADT</w:t>
      </w:r>
    </w:p>
    <w:p w14:paraId="6176C45A" w14:textId="577F380D" w:rsidR="00C73D24" w:rsidRPr="00786D11" w:rsidRDefault="00C73D24">
      <w:pPr>
        <w:pStyle w:val="TMGBullet"/>
      </w:pPr>
      <w:r w:rsidRPr="00786D11">
        <w:t>D factor (directional distribution</w:t>
      </w:r>
      <w:r w:rsidR="002B423E" w:rsidRPr="00786D11">
        <w:t xml:space="preserve"> for the design hour</w:t>
      </w:r>
      <w:r w:rsidRPr="00786D11">
        <w:t>)</w:t>
      </w:r>
    </w:p>
    <w:p w14:paraId="2457A30A" w14:textId="6F3D9E32" w:rsidR="00C73D24" w:rsidRPr="00786D11" w:rsidRDefault="00C73D24">
      <w:pPr>
        <w:pStyle w:val="TMGBullet"/>
      </w:pPr>
      <w:r w:rsidRPr="00786D11">
        <w:t>K factor (</w:t>
      </w:r>
      <w:r w:rsidR="002B423E" w:rsidRPr="00786D11">
        <w:t xml:space="preserve">design </w:t>
      </w:r>
      <w:r w:rsidRPr="00786D11">
        <w:t>hour)</w:t>
      </w:r>
    </w:p>
    <w:p w14:paraId="51167127" w14:textId="39D815F6" w:rsidR="00C73D24" w:rsidRPr="00786D11" w:rsidRDefault="00C73D24">
      <w:pPr>
        <w:pStyle w:val="TMGBullet"/>
      </w:pPr>
      <w:r w:rsidRPr="00786D11">
        <w:t>AADTT (Annual Average Daily Truck Traffic)</w:t>
      </w:r>
    </w:p>
    <w:p w14:paraId="6198B260" w14:textId="6C05056A" w:rsidR="008B3440" w:rsidRPr="00786D11" w:rsidRDefault="008B3440">
      <w:pPr>
        <w:pStyle w:val="TMGBullet"/>
      </w:pPr>
      <w:r w:rsidRPr="00786D11">
        <w:t>Future AADT (</w:t>
      </w:r>
      <w:r w:rsidR="00FF1D13" w:rsidRPr="00786D11">
        <w:t>20- or 25-year</w:t>
      </w:r>
      <w:r w:rsidRPr="00786D11">
        <w:t xml:space="preserve"> future AADT)</w:t>
      </w:r>
    </w:p>
    <w:p w14:paraId="3A000463" w14:textId="7DD41EDC" w:rsidR="008B3440" w:rsidRPr="00786D11" w:rsidRDefault="008B3440">
      <w:pPr>
        <w:pStyle w:val="TMGBullet"/>
      </w:pPr>
      <w:r w:rsidRPr="00786D11">
        <w:t>% Peak SU and % Peak CU (number of SU or CU vehicles in the peak hour divided by AADT)</w:t>
      </w:r>
    </w:p>
    <w:p w14:paraId="37C63710" w14:textId="17ADB3B7" w:rsidR="001317F3" w:rsidRPr="006C7083" w:rsidRDefault="008B3440">
      <w:pPr>
        <w:pStyle w:val="TMGBullet"/>
      </w:pPr>
      <w:r w:rsidRPr="00786D11">
        <w:t>SU and CU AADT (Single Unit and Combination Unit Annual Average Daily Traffic)</w:t>
      </w:r>
    </w:p>
    <w:p w14:paraId="6561A933" w14:textId="0ED94551" w:rsidR="00C73D24" w:rsidRPr="00786D11" w:rsidRDefault="001317F3" w:rsidP="00A35EAF">
      <w:pPr>
        <w:pStyle w:val="BodyText"/>
        <w:rPr>
          <w:lang w:bidi="en-US"/>
        </w:rPr>
      </w:pPr>
      <w:r w:rsidRPr="00786D11">
        <w:t>Refer to Chapter 5 f</w:t>
      </w:r>
      <w:r w:rsidR="00C73D24" w:rsidRPr="00786D11">
        <w:t xml:space="preserve">or a </w:t>
      </w:r>
      <w:r w:rsidRPr="00786D11">
        <w:t xml:space="preserve">more detailed discussion of traffic data contained in HPMS. </w:t>
      </w:r>
    </w:p>
    <w:p w14:paraId="17DBEA36" w14:textId="1303E1F4" w:rsidR="00046060" w:rsidRPr="00F468E1" w:rsidRDefault="00273767">
      <w:pPr>
        <w:pStyle w:val="Heading4"/>
      </w:pPr>
      <w:bookmarkStart w:id="278" w:name="_Toc118205562"/>
      <w:bookmarkStart w:id="279" w:name="_Toc44415691"/>
      <w:r w:rsidRPr="00F468E1">
        <w:lastRenderedPageBreak/>
        <w:t>Introduction to the</w:t>
      </w:r>
      <w:r w:rsidR="00046060" w:rsidRPr="00F468E1">
        <w:t xml:space="preserve"> Traffic Monitoring and Analysis System</w:t>
      </w:r>
      <w:bookmarkEnd w:id="278"/>
      <w:r w:rsidR="00046060" w:rsidRPr="00F468E1">
        <w:t xml:space="preserve"> </w:t>
      </w:r>
      <w:bookmarkEnd w:id="279"/>
    </w:p>
    <w:p w14:paraId="539192ED" w14:textId="4D5F99A3" w:rsidR="00FB13A6" w:rsidRPr="00786D11" w:rsidRDefault="00C73D24" w:rsidP="00A35EAF">
      <w:pPr>
        <w:pStyle w:val="BodyText"/>
      </w:pPr>
      <w:r w:rsidRPr="00786D11">
        <w:t xml:space="preserve">State agency traffic data programs are required to submit traffic data </w:t>
      </w:r>
      <w:r w:rsidR="006F623F" w:rsidRPr="00786D11">
        <w:t>monthly</w:t>
      </w:r>
      <w:r w:rsidR="000E1C61" w:rsidRPr="00786D11">
        <w:t>. T</w:t>
      </w:r>
      <w:r w:rsidRPr="00786D11">
        <w:t xml:space="preserve">o </w:t>
      </w:r>
      <w:r w:rsidR="000E1C61" w:rsidRPr="00786D11">
        <w:t>facilitate this</w:t>
      </w:r>
      <w:r w:rsidRPr="00786D11">
        <w:t xml:space="preserve"> requirement, FHWA </w:t>
      </w:r>
      <w:r w:rsidR="00FB13A6" w:rsidRPr="00786D11">
        <w:t>provides access to</w:t>
      </w:r>
      <w:r w:rsidR="001317F3" w:rsidRPr="00786D11">
        <w:t xml:space="preserve"> </w:t>
      </w:r>
      <w:r w:rsidRPr="00786D11">
        <w:t>the TMAS.</w:t>
      </w:r>
      <w:r w:rsidR="004D4172">
        <w:t xml:space="preserve"> </w:t>
      </w:r>
      <w:r w:rsidR="00FB13A6" w:rsidRPr="00786D11">
        <w:t xml:space="preserve">This </w:t>
      </w:r>
      <w:r w:rsidRPr="00786D11">
        <w:t xml:space="preserve">software </w:t>
      </w:r>
      <w:r w:rsidR="00FB13A6" w:rsidRPr="00786D11">
        <w:t xml:space="preserve">supports traffic </w:t>
      </w:r>
      <w:r w:rsidRPr="00786D11">
        <w:t>data</w:t>
      </w:r>
      <w:r w:rsidR="00FB13A6" w:rsidRPr="00786D11">
        <w:t xml:space="preserve"> uploads</w:t>
      </w:r>
      <w:r w:rsidRPr="00786D11">
        <w:t xml:space="preserve"> to the </w:t>
      </w:r>
      <w:r w:rsidR="002B423E" w:rsidRPr="00786D11">
        <w:t xml:space="preserve">FHWA </w:t>
      </w:r>
      <w:r w:rsidR="000E1C61" w:rsidRPr="00786D11">
        <w:t>National</w:t>
      </w:r>
      <w:r w:rsidRPr="00786D11">
        <w:t xml:space="preserve"> </w:t>
      </w:r>
      <w:r w:rsidR="000E1C61" w:rsidRPr="00786D11">
        <w:t>T</w:t>
      </w:r>
      <w:r w:rsidRPr="00786D11">
        <w:t xml:space="preserve">raffic </w:t>
      </w:r>
      <w:r w:rsidR="000E1C61" w:rsidRPr="00911AE2">
        <w:t>D</w:t>
      </w:r>
      <w:r w:rsidRPr="00911AE2">
        <w:t>atabase.</w:t>
      </w:r>
      <w:r w:rsidR="004D4172">
        <w:t xml:space="preserve"> </w:t>
      </w:r>
      <w:r w:rsidR="00786D11" w:rsidRPr="00911AE2">
        <w:t xml:space="preserve">For a complete list of all TMAS quality control methods, </w:t>
      </w:r>
      <w:r w:rsidR="003A70F5">
        <w:t>contact FHWA</w:t>
      </w:r>
      <w:r w:rsidR="00786D11" w:rsidRPr="00911AE2">
        <w:t>.</w:t>
      </w:r>
      <w:r w:rsidR="004D4172">
        <w:t xml:space="preserve"> </w:t>
      </w:r>
      <w:r w:rsidRPr="00911AE2">
        <w:t>Th</w:t>
      </w:r>
      <w:r w:rsidR="00FB13A6" w:rsidRPr="00911AE2">
        <w:t xml:space="preserve">e </w:t>
      </w:r>
      <w:r w:rsidRPr="00911AE2">
        <w:t xml:space="preserve">system </w:t>
      </w:r>
      <w:r w:rsidR="00FB13A6" w:rsidRPr="00911AE2">
        <w:t xml:space="preserve">also provides data </w:t>
      </w:r>
      <w:r w:rsidRPr="00911AE2">
        <w:t>download, quality control/quality checking, and reporting features. TMAS continues to evolve</w:t>
      </w:r>
      <w:r w:rsidRPr="00786D11">
        <w:t xml:space="preserve"> and now </w:t>
      </w:r>
      <w:r w:rsidR="00FB13A6" w:rsidRPr="00786D11">
        <w:t xml:space="preserve">contains </w:t>
      </w:r>
      <w:r w:rsidR="002913D2" w:rsidRPr="00786D11">
        <w:t>micromobility</w:t>
      </w:r>
      <w:r w:rsidR="00AC0985" w:rsidRPr="00786D11">
        <w:t xml:space="preserve"> traffic monitoring </w:t>
      </w:r>
      <w:r w:rsidRPr="00786D11">
        <w:t>data.</w:t>
      </w:r>
      <w:r w:rsidR="004D4172">
        <w:t xml:space="preserve"> </w:t>
      </w:r>
    </w:p>
    <w:p w14:paraId="19504684" w14:textId="12BE743A" w:rsidR="00FB13A6" w:rsidRPr="00786D11" w:rsidRDefault="00FB13A6" w:rsidP="00A35EAF">
      <w:pPr>
        <w:pStyle w:val="BodyText"/>
      </w:pPr>
      <w:r w:rsidRPr="00786D11">
        <w:t xml:space="preserve">Refer to Chapter 5 for a more detailed discussion of TMAS. </w:t>
      </w:r>
    </w:p>
    <w:p w14:paraId="6AB4D868" w14:textId="11303830" w:rsidR="00046060" w:rsidRPr="00F468E1" w:rsidRDefault="00046060">
      <w:pPr>
        <w:pStyle w:val="Heading3"/>
      </w:pPr>
      <w:bookmarkStart w:id="280" w:name="_Toc33968109"/>
      <w:bookmarkStart w:id="281" w:name="_Toc44415692"/>
      <w:bookmarkStart w:id="282" w:name="_Toc57736818"/>
      <w:bookmarkStart w:id="283" w:name="_Toc114488075"/>
      <w:bookmarkStart w:id="284" w:name="_Toc118205563"/>
      <w:r w:rsidRPr="00F468E1">
        <w:t>Traffic Data Needs</w:t>
      </w:r>
      <w:bookmarkEnd w:id="280"/>
      <w:bookmarkEnd w:id="281"/>
      <w:bookmarkEnd w:id="282"/>
      <w:bookmarkEnd w:id="283"/>
      <w:bookmarkEnd w:id="284"/>
    </w:p>
    <w:p w14:paraId="5C4F562F" w14:textId="1166B1F9" w:rsidR="00C73D24" w:rsidRPr="00786D11" w:rsidRDefault="007F3414" w:rsidP="00A35EAF">
      <w:pPr>
        <w:pStyle w:val="BodyText"/>
      </w:pPr>
      <w:r w:rsidRPr="00786D11">
        <w:t>T</w:t>
      </w:r>
      <w:r w:rsidR="00C73D24" w:rsidRPr="00786D11">
        <w:t>he benefits</w:t>
      </w:r>
      <w:r w:rsidRPr="00786D11">
        <w:t xml:space="preserve"> that accrue from having comprehensive and </w:t>
      </w:r>
      <w:r w:rsidR="00F53600" w:rsidRPr="00786D11">
        <w:t>high-quality</w:t>
      </w:r>
      <w:r w:rsidRPr="00786D11">
        <w:t xml:space="preserve"> traffic data</w:t>
      </w:r>
      <w:r w:rsidR="00C73D24" w:rsidRPr="00786D11">
        <w:t xml:space="preserve"> </w:t>
      </w:r>
      <w:r w:rsidRPr="00786D11">
        <w:t xml:space="preserve">should be </w:t>
      </w:r>
      <w:r w:rsidR="00C73D24" w:rsidRPr="00786D11">
        <w:t xml:space="preserve">balanced against </w:t>
      </w:r>
      <w:r w:rsidRPr="00786D11">
        <w:t xml:space="preserve">the costs necessary </w:t>
      </w:r>
      <w:r w:rsidR="00C73D24" w:rsidRPr="00786D11">
        <w:t xml:space="preserve">to implement </w:t>
      </w:r>
      <w:r w:rsidRPr="00786D11">
        <w:t xml:space="preserve">and sustain </w:t>
      </w:r>
      <w:r w:rsidR="00C73D24" w:rsidRPr="00786D11">
        <w:t>an effective and efficient traffic monitoring program.</w:t>
      </w:r>
    </w:p>
    <w:p w14:paraId="2154E62A" w14:textId="1C541E7D" w:rsidR="00997E45" w:rsidRPr="00786D11" w:rsidRDefault="00C73D24" w:rsidP="00A35EAF">
      <w:pPr>
        <w:pStyle w:val="BodyText"/>
      </w:pPr>
      <w:r w:rsidRPr="00786D11">
        <w:t xml:space="preserve">Therefore, in planning and designing a traffic </w:t>
      </w:r>
      <w:r w:rsidR="00973314" w:rsidRPr="00786D11">
        <w:t xml:space="preserve">and travel </w:t>
      </w:r>
      <w:r w:rsidRPr="00786D11">
        <w:t>monitoring program</w:t>
      </w:r>
      <w:r w:rsidR="00442B2B">
        <w:t>,</w:t>
      </w:r>
      <w:r w:rsidRPr="00786D11">
        <w:t xml:space="preserve"> it is critical to consider </w:t>
      </w:r>
      <w:r w:rsidR="002B423E" w:rsidRPr="00786D11">
        <w:t xml:space="preserve">your customer </w:t>
      </w:r>
      <w:r w:rsidR="00E47632" w:rsidRPr="00786D11">
        <w:t xml:space="preserve">user </w:t>
      </w:r>
      <w:r w:rsidRPr="00786D11">
        <w:t xml:space="preserve">needs and the benefits that result from the timely delivery of quality traffic data for decision support. </w:t>
      </w:r>
    </w:p>
    <w:p w14:paraId="1DBF2906" w14:textId="440F9C16" w:rsidR="00C73D24" w:rsidRPr="00786D11" w:rsidRDefault="005216B1" w:rsidP="0010467B">
      <w:pPr>
        <w:pStyle w:val="BodyText"/>
      </w:pPr>
      <w:r w:rsidRPr="00786D11">
        <w:t xml:space="preserve">Users </w:t>
      </w:r>
      <w:r w:rsidR="00C73D24" w:rsidRPr="00786D11">
        <w:t>of traffic data</w:t>
      </w:r>
      <w:r w:rsidRPr="00786D11">
        <w:t xml:space="preserve">, </w:t>
      </w:r>
      <w:r w:rsidRPr="0010467B">
        <w:t>including</w:t>
      </w:r>
      <w:r w:rsidRPr="00786D11">
        <w:t xml:space="preserve"> micromobility data,</w:t>
      </w:r>
      <w:r w:rsidR="00C73D24" w:rsidRPr="00786D11">
        <w:t xml:space="preserve"> generally fall into the following categories:</w:t>
      </w:r>
    </w:p>
    <w:p w14:paraId="499597FB" w14:textId="44AA60CD" w:rsidR="00C73D24" w:rsidRPr="009C085C" w:rsidRDefault="00C73D24">
      <w:pPr>
        <w:pStyle w:val="TMGBullet"/>
      </w:pPr>
      <w:r w:rsidRPr="009C085C">
        <w:t>F</w:t>
      </w:r>
      <w:r w:rsidR="002B423E" w:rsidRPr="009C085C">
        <w:t>ederal and F</w:t>
      </w:r>
      <w:r w:rsidRPr="009C085C">
        <w:t xml:space="preserve">HWA – Uses traffic data </w:t>
      </w:r>
      <w:r w:rsidR="007D2A1E" w:rsidRPr="009C085C">
        <w:t xml:space="preserve">to </w:t>
      </w:r>
      <w:r w:rsidRPr="009C085C">
        <w:t xml:space="preserve">support national transportation policy development and in </w:t>
      </w:r>
      <w:r w:rsidR="00DF660B" w:rsidRPr="009C085C">
        <w:t xml:space="preserve">preparing </w:t>
      </w:r>
      <w:r w:rsidRPr="009C085C">
        <w:t xml:space="preserve">national reports such as traffic volume trends or </w:t>
      </w:r>
      <w:bookmarkStart w:id="285" w:name="_Hlk76051562"/>
      <w:r w:rsidRPr="009C085C">
        <w:t>HPMS</w:t>
      </w:r>
      <w:r w:rsidR="00442B2B">
        <w:t xml:space="preserve"> programs</w:t>
      </w:r>
      <w:r w:rsidRPr="009C085C">
        <w:t xml:space="preserve"> discussed in Chapter 5 and the periodic </w:t>
      </w:r>
      <w:r w:rsidRPr="00FF5B13">
        <w:rPr>
          <w:i/>
          <w:iCs/>
        </w:rPr>
        <w:t xml:space="preserve">Status of the Nation’s Highways. Bridges, and Transit: National Conditions &amp; Performance Reports </w:t>
      </w:r>
      <w:bookmarkEnd w:id="285"/>
      <w:r w:rsidRPr="00FF5B13">
        <w:rPr>
          <w:i/>
          <w:iCs/>
        </w:rPr>
        <w:t>to Congress</w:t>
      </w:r>
      <w:r w:rsidRPr="009C085C">
        <w:t>.</w:t>
      </w:r>
      <w:r w:rsidR="0035111C" w:rsidRPr="009C085C">
        <w:t xml:space="preserve"> Traffic data reported to FHWA </w:t>
      </w:r>
      <w:r w:rsidR="00442B2B">
        <w:t>are</w:t>
      </w:r>
      <w:r w:rsidR="0035111C" w:rsidRPr="009C085C">
        <w:t xml:space="preserve"> also used to apportion funding to States from the U.S. Highway Trust Fund.</w:t>
      </w:r>
    </w:p>
    <w:p w14:paraId="5B06D5D3" w14:textId="567113D2" w:rsidR="00C73D24" w:rsidRPr="009C085C" w:rsidRDefault="00C73D24">
      <w:pPr>
        <w:pStyle w:val="TMGBullet"/>
      </w:pPr>
      <w:r w:rsidRPr="009C085C">
        <w:t>State DOT</w:t>
      </w:r>
      <w:r w:rsidR="005216B1" w:rsidRPr="009C085C">
        <w:t xml:space="preserve"> operating units</w:t>
      </w:r>
      <w:r w:rsidR="00DF660B" w:rsidRPr="009C085C">
        <w:t xml:space="preserve"> </w:t>
      </w:r>
      <w:r w:rsidRPr="009C085C">
        <w:t>– Use traffic data in support of DOT functions such as planning, operations, safety, bridges, design, construction, maintenance, environmental, enforcement, air quality, freight offices</w:t>
      </w:r>
      <w:r w:rsidR="00442B2B">
        <w:t>,</w:t>
      </w:r>
      <w:r w:rsidRPr="009C085C">
        <w:t xml:space="preserve"> and other programs.</w:t>
      </w:r>
    </w:p>
    <w:p w14:paraId="02B2A894" w14:textId="419D96FF" w:rsidR="00C73D24" w:rsidRPr="009C085C" w:rsidRDefault="00C73D24">
      <w:pPr>
        <w:pStyle w:val="TMGBullet"/>
      </w:pPr>
      <w:r w:rsidRPr="009C085C">
        <w:t>Local Agencies – Local governments</w:t>
      </w:r>
      <w:r w:rsidR="000E1C61" w:rsidRPr="009C085C">
        <w:t xml:space="preserve"> (cities, </w:t>
      </w:r>
      <w:r w:rsidR="002B423E" w:rsidRPr="009C085C">
        <w:t xml:space="preserve">towns, </w:t>
      </w:r>
      <w:r w:rsidR="000E1C61" w:rsidRPr="009C085C">
        <w:t>counties</w:t>
      </w:r>
      <w:r w:rsidR="005216B1" w:rsidRPr="009C085C">
        <w:t>, tribes,</w:t>
      </w:r>
      <w:r w:rsidRPr="009C085C">
        <w:t xml:space="preserve"> and MPOs</w:t>
      </w:r>
      <w:r w:rsidR="000E1C61" w:rsidRPr="009C085C">
        <w:t>)</w:t>
      </w:r>
      <w:r w:rsidR="00DF660B" w:rsidRPr="009C085C">
        <w:t xml:space="preserve"> – Use traffic data to support internal </w:t>
      </w:r>
      <w:r w:rsidR="00301434" w:rsidRPr="009C085C">
        <w:t>needs.</w:t>
      </w:r>
      <w:r w:rsidRPr="009C085C">
        <w:t xml:space="preserve"> </w:t>
      </w:r>
    </w:p>
    <w:p w14:paraId="1AF9ECEA" w14:textId="1CEC222A" w:rsidR="00C73D24" w:rsidRPr="009C085C" w:rsidRDefault="00C73D24">
      <w:pPr>
        <w:pStyle w:val="TMGBullet"/>
      </w:pPr>
      <w:r w:rsidRPr="009C085C">
        <w:t xml:space="preserve">Public – Including </w:t>
      </w:r>
      <w:r w:rsidR="005216B1" w:rsidRPr="009C085C">
        <w:t xml:space="preserve">ad hoc </w:t>
      </w:r>
      <w:r w:rsidRPr="009C085C">
        <w:t>public requests</w:t>
      </w:r>
      <w:r w:rsidR="005216B1" w:rsidRPr="009C085C">
        <w:t>, academic researchers, private sector organizations such as insurance companies, special interest groups, etc.</w:t>
      </w:r>
    </w:p>
    <w:p w14:paraId="1461A721" w14:textId="55CD4205" w:rsidR="00C73D24" w:rsidRPr="00F468E1" w:rsidRDefault="00C73D24">
      <w:pPr>
        <w:pStyle w:val="Heading3"/>
      </w:pPr>
      <w:bookmarkStart w:id="286" w:name="_Toc33968110"/>
      <w:bookmarkStart w:id="287" w:name="_Toc44415693"/>
      <w:bookmarkStart w:id="288" w:name="_Toc57736819"/>
      <w:bookmarkStart w:id="289" w:name="_Toc114488076"/>
      <w:bookmarkStart w:id="290" w:name="_Toc118205564"/>
      <w:r w:rsidRPr="00F468E1">
        <w:t xml:space="preserve">Data Usage </w:t>
      </w:r>
      <w:bookmarkEnd w:id="286"/>
      <w:bookmarkEnd w:id="287"/>
      <w:bookmarkEnd w:id="288"/>
      <w:r w:rsidR="00DF660B" w:rsidRPr="00F468E1">
        <w:t>Summary</w:t>
      </w:r>
      <w:bookmarkEnd w:id="289"/>
      <w:bookmarkEnd w:id="290"/>
    </w:p>
    <w:p w14:paraId="4577A4AF" w14:textId="5EF2C79F" w:rsidR="00F55A65" w:rsidRPr="00C87C42" w:rsidRDefault="005216B1" w:rsidP="00A35EAF">
      <w:pPr>
        <w:pStyle w:val="BodyText"/>
        <w:rPr>
          <w:b/>
          <w:bCs/>
          <w:smallCaps/>
          <w:sz w:val="24"/>
          <w:szCs w:val="22"/>
        </w:rPr>
      </w:pPr>
      <w:r w:rsidRPr="00786D11">
        <w:t>T</w:t>
      </w:r>
      <w:r w:rsidR="00C73D24" w:rsidRPr="00786D11">
        <w:t xml:space="preserve">raffic data usage continues to expand and grow in terms of </w:t>
      </w:r>
      <w:r w:rsidRPr="00786D11">
        <w:t xml:space="preserve">the </w:t>
      </w:r>
      <w:r w:rsidR="00C73D24" w:rsidRPr="00786D11">
        <w:t>types and numbers of users</w:t>
      </w:r>
      <w:r w:rsidRPr="00786D11">
        <w:t xml:space="preserve">. </w:t>
      </w:r>
      <w:r w:rsidR="00411B1F">
        <w:fldChar w:fldCharType="begin"/>
      </w:r>
      <w:r w:rsidR="00411B1F">
        <w:instrText xml:space="preserve"> REF _Ref114749772 \h </w:instrText>
      </w:r>
      <w:r w:rsidR="00411B1F">
        <w:fldChar w:fldCharType="separate"/>
      </w:r>
      <w:r w:rsidR="00C07DF9" w:rsidRPr="003D4982">
        <w:t xml:space="preserve">Table </w:t>
      </w:r>
      <w:r w:rsidR="00C07DF9">
        <w:rPr>
          <w:noProof/>
        </w:rPr>
        <w:t>1</w:t>
      </w:r>
      <w:r w:rsidR="00C07DF9" w:rsidRPr="003D4982">
        <w:noBreakHyphen/>
      </w:r>
      <w:r w:rsidR="00C07DF9">
        <w:rPr>
          <w:noProof/>
        </w:rPr>
        <w:t>1</w:t>
      </w:r>
      <w:r w:rsidR="00411B1F">
        <w:fldChar w:fldCharType="end"/>
      </w:r>
      <w:r w:rsidRPr="00786D11">
        <w:t xml:space="preserve"> illustrates the range of uses for the most common types of traffic and travel data, including </w:t>
      </w:r>
      <w:r w:rsidR="00C73D24" w:rsidRPr="00786D11">
        <w:t xml:space="preserve">traffic </w:t>
      </w:r>
      <w:r w:rsidRPr="00786D11">
        <w:t>counts</w:t>
      </w:r>
      <w:r w:rsidR="00C73D24" w:rsidRPr="00786D11">
        <w:t xml:space="preserve">, vehicle classification, vehicle </w:t>
      </w:r>
      <w:r w:rsidRPr="00786D11">
        <w:t>weights</w:t>
      </w:r>
      <w:r w:rsidR="00C73D24" w:rsidRPr="00786D11">
        <w:t xml:space="preserve">, and </w:t>
      </w:r>
      <w:r w:rsidRPr="00786D11">
        <w:t xml:space="preserve">vehicle </w:t>
      </w:r>
      <w:r w:rsidR="00C73D24" w:rsidRPr="00786D11">
        <w:t>speed.</w:t>
      </w:r>
      <w:bookmarkStart w:id="291" w:name="_Hlk37247772"/>
    </w:p>
    <w:p w14:paraId="6728A252" w14:textId="5C3FF1C4" w:rsidR="00BB3217" w:rsidRPr="003D4982" w:rsidRDefault="00BB3217" w:rsidP="00442CC1">
      <w:pPr>
        <w:pStyle w:val="TMGTableCaption"/>
      </w:pPr>
      <w:bookmarkStart w:id="292" w:name="_Ref114749772"/>
      <w:bookmarkStart w:id="293" w:name="_Toc57738927"/>
      <w:bookmarkStart w:id="294" w:name="_Toc68874099"/>
      <w:bookmarkStart w:id="295" w:name="_Toc114474810"/>
      <w:bookmarkStart w:id="296" w:name="_Toc120631116"/>
      <w:r w:rsidRPr="003D4982">
        <w:t xml:space="preserve">Table </w:t>
      </w:r>
      <w:fldSimple w:instr=" STYLEREF 1 \s ">
        <w:r w:rsidR="00C07DF9">
          <w:rPr>
            <w:noProof/>
          </w:rPr>
          <w:t>1</w:t>
        </w:r>
      </w:fldSimple>
      <w:r w:rsidR="00FE5355" w:rsidRPr="003D4982">
        <w:noBreakHyphen/>
      </w:r>
      <w:fldSimple w:instr=" SEQ Table \* ARABIC \s 1 ">
        <w:r w:rsidR="00C07DF9">
          <w:rPr>
            <w:noProof/>
          </w:rPr>
          <w:t>1</w:t>
        </w:r>
      </w:fldSimple>
      <w:bookmarkEnd w:id="292"/>
      <w:r w:rsidR="007F2D82">
        <w:t>.</w:t>
      </w:r>
      <w:r w:rsidRPr="003D4982">
        <w:t xml:space="preserve"> Examples </w:t>
      </w:r>
      <w:r w:rsidR="007F2D82">
        <w:t>o</w:t>
      </w:r>
      <w:r w:rsidRPr="003D4982">
        <w:t xml:space="preserve">f Highway Traffic </w:t>
      </w:r>
      <w:r w:rsidR="007F2D82">
        <w:t>a</w:t>
      </w:r>
      <w:r w:rsidRPr="003D4982">
        <w:t>nd Travel Data Uses</w:t>
      </w:r>
      <w:bookmarkEnd w:id="293"/>
      <w:bookmarkEnd w:id="294"/>
      <w:bookmarkEnd w:id="295"/>
      <w:bookmarkEnd w:id="296"/>
    </w:p>
    <w:tbl>
      <w:tblPr>
        <w:tblStyle w:val="TableGrid1"/>
        <w:tblW w:w="9360" w:type="dxa"/>
        <w:jc w:val="center"/>
        <w:tblLayout w:type="fixed"/>
        <w:tblCellMar>
          <w:left w:w="86" w:type="dxa"/>
          <w:right w:w="86" w:type="dxa"/>
        </w:tblCellMar>
        <w:tblLook w:val="0020" w:firstRow="1" w:lastRow="0" w:firstColumn="0" w:lastColumn="0" w:noHBand="0" w:noVBand="0"/>
      </w:tblPr>
      <w:tblGrid>
        <w:gridCol w:w="1435"/>
        <w:gridCol w:w="2340"/>
        <w:gridCol w:w="2070"/>
        <w:gridCol w:w="1890"/>
        <w:gridCol w:w="1625"/>
      </w:tblGrid>
      <w:tr w:rsidR="00C73D24" w:rsidRPr="003D4982" w14:paraId="6B9B3B50" w14:textId="77777777" w:rsidTr="007C54FC">
        <w:trPr>
          <w:trHeight w:val="56"/>
          <w:tblHeader/>
          <w:jc w:val="center"/>
        </w:trPr>
        <w:tc>
          <w:tcPr>
            <w:tcW w:w="1435" w:type="dxa"/>
            <w:tcBorders>
              <w:right w:val="single" w:sz="4" w:space="0" w:color="FFFFFF" w:themeColor="background1"/>
            </w:tcBorders>
            <w:shd w:val="clear" w:color="auto" w:fill="1F3864"/>
            <w:vAlign w:val="center"/>
          </w:tcPr>
          <w:p w14:paraId="3E1E4E2F" w14:textId="6EFDCC6A" w:rsidR="00C73D24" w:rsidRPr="003D4982" w:rsidRDefault="00C73D24" w:rsidP="003D4982">
            <w:pPr>
              <w:pStyle w:val="TableBodyText"/>
              <w:spacing w:before="20" w:after="20" w:line="240" w:lineRule="auto"/>
              <w:jc w:val="center"/>
              <w:rPr>
                <w:rFonts w:cstheme="minorHAnsi"/>
                <w:b/>
                <w:bCs/>
                <w:szCs w:val="20"/>
              </w:rPr>
            </w:pPr>
            <w:r w:rsidRPr="003D4982">
              <w:rPr>
                <w:rFonts w:cstheme="minorHAnsi"/>
                <w:b/>
                <w:bCs/>
                <w:color w:val="FFFFFF" w:themeColor="background1"/>
                <w:szCs w:val="20"/>
              </w:rPr>
              <w:t>Highway Activity</w:t>
            </w:r>
          </w:p>
        </w:tc>
        <w:tc>
          <w:tcPr>
            <w:tcW w:w="2340" w:type="dxa"/>
            <w:tcBorders>
              <w:left w:val="single" w:sz="4" w:space="0" w:color="FFFFFF" w:themeColor="background1"/>
              <w:right w:val="single" w:sz="4" w:space="0" w:color="FFFFFF" w:themeColor="background1"/>
            </w:tcBorders>
            <w:shd w:val="clear" w:color="auto" w:fill="1F3864"/>
            <w:vAlign w:val="center"/>
          </w:tcPr>
          <w:p w14:paraId="2BAA2376" w14:textId="4D3B1768" w:rsidR="00C73D24" w:rsidRPr="003D4982" w:rsidRDefault="00C73D24" w:rsidP="003D4982">
            <w:pPr>
              <w:pStyle w:val="TableBodyText"/>
              <w:spacing w:before="20" w:after="20" w:line="240" w:lineRule="auto"/>
              <w:jc w:val="center"/>
              <w:rPr>
                <w:rFonts w:cstheme="minorHAnsi"/>
                <w:b/>
                <w:bCs/>
                <w:color w:val="FFFFFF" w:themeColor="background1"/>
                <w:szCs w:val="20"/>
              </w:rPr>
            </w:pPr>
            <w:r w:rsidRPr="003D4982">
              <w:rPr>
                <w:rFonts w:cstheme="minorHAnsi"/>
                <w:b/>
                <w:bCs/>
                <w:color w:val="FFFFFF" w:themeColor="background1"/>
                <w:szCs w:val="20"/>
              </w:rPr>
              <w:t xml:space="preserve">Traffic </w:t>
            </w:r>
            <w:r w:rsidR="00786D11" w:rsidRPr="003D4982">
              <w:rPr>
                <w:rFonts w:cstheme="minorHAnsi"/>
                <w:b/>
                <w:bCs/>
                <w:color w:val="FFFFFF" w:themeColor="background1"/>
                <w:szCs w:val="20"/>
              </w:rPr>
              <w:t>Volume</w:t>
            </w:r>
          </w:p>
        </w:tc>
        <w:tc>
          <w:tcPr>
            <w:tcW w:w="2070" w:type="dxa"/>
            <w:tcBorders>
              <w:left w:val="single" w:sz="4" w:space="0" w:color="FFFFFF" w:themeColor="background1"/>
              <w:right w:val="single" w:sz="4" w:space="0" w:color="FFFFFF" w:themeColor="background1"/>
            </w:tcBorders>
            <w:shd w:val="clear" w:color="auto" w:fill="1F3864"/>
            <w:vAlign w:val="center"/>
          </w:tcPr>
          <w:p w14:paraId="391F3D29" w14:textId="19980455" w:rsidR="00C73D24" w:rsidRPr="003D4982" w:rsidRDefault="00C73D24" w:rsidP="003D4982">
            <w:pPr>
              <w:pStyle w:val="TableBodyText"/>
              <w:spacing w:before="20" w:after="20" w:line="240" w:lineRule="auto"/>
              <w:jc w:val="center"/>
              <w:rPr>
                <w:rFonts w:cstheme="minorHAnsi"/>
                <w:b/>
                <w:bCs/>
                <w:color w:val="FFFFFF" w:themeColor="background1"/>
                <w:szCs w:val="20"/>
              </w:rPr>
            </w:pPr>
            <w:r w:rsidRPr="003D4982">
              <w:rPr>
                <w:rFonts w:cstheme="minorHAnsi"/>
                <w:b/>
                <w:bCs/>
                <w:color w:val="FFFFFF" w:themeColor="background1"/>
                <w:szCs w:val="20"/>
              </w:rPr>
              <w:t>Vehicle Classification</w:t>
            </w:r>
          </w:p>
        </w:tc>
        <w:tc>
          <w:tcPr>
            <w:tcW w:w="1890" w:type="dxa"/>
            <w:tcBorders>
              <w:left w:val="single" w:sz="4" w:space="0" w:color="FFFFFF" w:themeColor="background1"/>
              <w:right w:val="single" w:sz="4" w:space="0" w:color="FFFFFF" w:themeColor="background1"/>
            </w:tcBorders>
            <w:shd w:val="clear" w:color="auto" w:fill="1F3864"/>
            <w:vAlign w:val="center"/>
          </w:tcPr>
          <w:p w14:paraId="7E7A18D2" w14:textId="77EAF43D" w:rsidR="00C73D24" w:rsidRPr="003D4982" w:rsidRDefault="00C73D24" w:rsidP="003D4982">
            <w:pPr>
              <w:pStyle w:val="TableBodyText"/>
              <w:spacing w:before="20" w:after="20" w:line="240" w:lineRule="auto"/>
              <w:jc w:val="center"/>
              <w:rPr>
                <w:rFonts w:cstheme="minorHAnsi"/>
                <w:b/>
                <w:bCs/>
                <w:color w:val="FFFFFF" w:themeColor="background1"/>
                <w:szCs w:val="20"/>
              </w:rPr>
            </w:pPr>
            <w:r w:rsidRPr="003D4982">
              <w:rPr>
                <w:rFonts w:cstheme="minorHAnsi"/>
                <w:b/>
                <w:bCs/>
                <w:color w:val="FFFFFF" w:themeColor="background1"/>
                <w:szCs w:val="20"/>
              </w:rPr>
              <w:t xml:space="preserve">Vehicle </w:t>
            </w:r>
            <w:r w:rsidR="005216B1" w:rsidRPr="003D4982">
              <w:rPr>
                <w:rFonts w:cstheme="minorHAnsi"/>
                <w:b/>
                <w:bCs/>
                <w:color w:val="FFFFFF" w:themeColor="background1"/>
                <w:szCs w:val="20"/>
              </w:rPr>
              <w:t>Weight</w:t>
            </w:r>
          </w:p>
        </w:tc>
        <w:tc>
          <w:tcPr>
            <w:tcW w:w="1625" w:type="dxa"/>
            <w:tcBorders>
              <w:left w:val="single" w:sz="4" w:space="0" w:color="FFFFFF" w:themeColor="background1"/>
            </w:tcBorders>
            <w:shd w:val="clear" w:color="auto" w:fill="1F3864"/>
            <w:vAlign w:val="center"/>
          </w:tcPr>
          <w:p w14:paraId="2D1722B5" w14:textId="6663F41A" w:rsidR="00C73D24" w:rsidRPr="003D4982" w:rsidRDefault="005216B1" w:rsidP="003D4982">
            <w:pPr>
              <w:pStyle w:val="TableBodyText"/>
              <w:spacing w:before="20" w:after="20" w:line="240" w:lineRule="auto"/>
              <w:jc w:val="center"/>
              <w:rPr>
                <w:rFonts w:cstheme="minorHAnsi"/>
                <w:b/>
                <w:bCs/>
                <w:color w:val="FFFFFF" w:themeColor="background1"/>
                <w:szCs w:val="20"/>
              </w:rPr>
            </w:pPr>
            <w:r w:rsidRPr="003D4982">
              <w:rPr>
                <w:rFonts w:cstheme="minorHAnsi"/>
                <w:b/>
                <w:bCs/>
                <w:color w:val="FFFFFF" w:themeColor="background1"/>
                <w:szCs w:val="20"/>
              </w:rPr>
              <w:t>Vehicle</w:t>
            </w:r>
            <w:r w:rsidR="003D4982">
              <w:rPr>
                <w:rFonts w:cstheme="minorHAnsi"/>
                <w:b/>
                <w:bCs/>
                <w:color w:val="FFFFFF" w:themeColor="background1"/>
                <w:szCs w:val="20"/>
              </w:rPr>
              <w:t xml:space="preserve"> </w:t>
            </w:r>
            <w:r w:rsidR="00C73D24" w:rsidRPr="003D4982">
              <w:rPr>
                <w:rFonts w:cstheme="minorHAnsi"/>
                <w:b/>
                <w:bCs/>
                <w:color w:val="FFFFFF" w:themeColor="background1"/>
                <w:szCs w:val="20"/>
              </w:rPr>
              <w:t>Speed</w:t>
            </w:r>
          </w:p>
        </w:tc>
      </w:tr>
      <w:tr w:rsidR="00C73D24" w:rsidRPr="003D4982" w14:paraId="36E02EC9" w14:textId="77777777" w:rsidTr="007C54FC">
        <w:trPr>
          <w:trHeight w:val="134"/>
          <w:jc w:val="center"/>
        </w:trPr>
        <w:tc>
          <w:tcPr>
            <w:tcW w:w="1435" w:type="dxa"/>
            <w:vAlign w:val="center"/>
          </w:tcPr>
          <w:p w14:paraId="3D3F69CB" w14:textId="77777777" w:rsidR="00C73D24" w:rsidRPr="003D4982" w:rsidRDefault="00C73D24" w:rsidP="008D44A6">
            <w:pPr>
              <w:pStyle w:val="TableBodyText"/>
              <w:spacing w:before="20" w:after="20" w:line="240" w:lineRule="auto"/>
              <w:rPr>
                <w:rFonts w:cstheme="minorHAnsi"/>
                <w:b/>
                <w:bCs/>
                <w:szCs w:val="20"/>
              </w:rPr>
            </w:pPr>
            <w:r w:rsidRPr="003D4982">
              <w:rPr>
                <w:rFonts w:cstheme="minorHAnsi"/>
                <w:b/>
                <w:bCs/>
                <w:szCs w:val="20"/>
              </w:rPr>
              <w:t>Design</w:t>
            </w:r>
          </w:p>
        </w:tc>
        <w:tc>
          <w:tcPr>
            <w:tcW w:w="2340" w:type="dxa"/>
            <w:vAlign w:val="center"/>
          </w:tcPr>
          <w:p w14:paraId="44CA62CB" w14:textId="77777777" w:rsidR="00C73D24" w:rsidRPr="003D4982" w:rsidRDefault="00C73D24" w:rsidP="008D44A6">
            <w:pPr>
              <w:pStyle w:val="TableBodyText"/>
              <w:spacing w:before="20" w:after="20" w:line="240" w:lineRule="auto"/>
              <w:ind w:left="144" w:hanging="144"/>
              <w:rPr>
                <w:rFonts w:cstheme="minorHAnsi"/>
                <w:szCs w:val="20"/>
              </w:rPr>
            </w:pPr>
            <w:r w:rsidRPr="003D4982">
              <w:rPr>
                <w:rFonts w:cstheme="minorHAnsi"/>
                <w:szCs w:val="20"/>
              </w:rPr>
              <w:t>Highway geometry</w:t>
            </w:r>
          </w:p>
        </w:tc>
        <w:tc>
          <w:tcPr>
            <w:tcW w:w="2070" w:type="dxa"/>
            <w:vAlign w:val="center"/>
          </w:tcPr>
          <w:p w14:paraId="233CDB9E" w14:textId="49CB217D" w:rsidR="00C73D24" w:rsidRPr="003D4982" w:rsidRDefault="00C73D24" w:rsidP="008D44A6">
            <w:pPr>
              <w:pStyle w:val="TableBodyText"/>
              <w:spacing w:before="20" w:after="20" w:line="240" w:lineRule="auto"/>
              <w:ind w:left="144" w:hanging="144"/>
              <w:rPr>
                <w:rFonts w:cstheme="minorHAnsi"/>
                <w:szCs w:val="20"/>
              </w:rPr>
            </w:pPr>
            <w:r w:rsidRPr="003D4982">
              <w:rPr>
                <w:rFonts w:cstheme="minorHAnsi"/>
                <w:szCs w:val="20"/>
              </w:rPr>
              <w:t>Pavement design, bridge design</w:t>
            </w:r>
          </w:p>
        </w:tc>
        <w:tc>
          <w:tcPr>
            <w:tcW w:w="1890" w:type="dxa"/>
            <w:vAlign w:val="center"/>
          </w:tcPr>
          <w:p w14:paraId="70C1F604" w14:textId="77777777" w:rsidR="00C73D24" w:rsidRPr="003D4982" w:rsidRDefault="00C73D24" w:rsidP="008D44A6">
            <w:pPr>
              <w:pStyle w:val="TableBodyText"/>
              <w:spacing w:before="20" w:after="20" w:line="240" w:lineRule="auto"/>
              <w:ind w:left="144" w:hanging="144"/>
              <w:rPr>
                <w:rFonts w:cstheme="minorHAnsi"/>
                <w:szCs w:val="20"/>
              </w:rPr>
            </w:pPr>
            <w:r w:rsidRPr="003D4982">
              <w:rPr>
                <w:rFonts w:cstheme="minorHAnsi"/>
                <w:szCs w:val="20"/>
              </w:rPr>
              <w:t>Pavement design, bridge design, and monitoring</w:t>
            </w:r>
          </w:p>
        </w:tc>
        <w:tc>
          <w:tcPr>
            <w:tcW w:w="1625" w:type="dxa"/>
            <w:vAlign w:val="center"/>
          </w:tcPr>
          <w:p w14:paraId="5C07EB71" w14:textId="77777777" w:rsidR="00C73D24" w:rsidRPr="003D4982" w:rsidRDefault="00C73D24" w:rsidP="008D44A6">
            <w:pPr>
              <w:pStyle w:val="TableBodyText"/>
              <w:spacing w:before="20" w:after="20" w:line="240" w:lineRule="auto"/>
              <w:ind w:left="144" w:hanging="144"/>
              <w:rPr>
                <w:rFonts w:cstheme="minorHAnsi"/>
                <w:szCs w:val="20"/>
              </w:rPr>
            </w:pPr>
            <w:r w:rsidRPr="003D4982">
              <w:rPr>
                <w:rFonts w:cstheme="minorHAnsi"/>
                <w:szCs w:val="20"/>
              </w:rPr>
              <w:t>Highway geometry</w:t>
            </w:r>
          </w:p>
        </w:tc>
      </w:tr>
      <w:tr w:rsidR="00C73D24" w:rsidRPr="003D4982" w14:paraId="4D093BB9" w14:textId="77777777" w:rsidTr="007C54FC">
        <w:trPr>
          <w:trHeight w:val="56"/>
          <w:jc w:val="center"/>
        </w:trPr>
        <w:tc>
          <w:tcPr>
            <w:tcW w:w="1435" w:type="dxa"/>
            <w:vAlign w:val="center"/>
          </w:tcPr>
          <w:p w14:paraId="516F9B9A" w14:textId="77777777" w:rsidR="00C73D24" w:rsidRPr="003D4982" w:rsidRDefault="00C73D24" w:rsidP="008D44A6">
            <w:pPr>
              <w:pStyle w:val="TableBodyText"/>
              <w:spacing w:before="20" w:after="20" w:line="240" w:lineRule="auto"/>
              <w:rPr>
                <w:rFonts w:cstheme="minorHAnsi"/>
                <w:b/>
                <w:bCs/>
                <w:szCs w:val="20"/>
              </w:rPr>
            </w:pPr>
            <w:r w:rsidRPr="003D4982">
              <w:rPr>
                <w:rFonts w:cstheme="minorHAnsi"/>
                <w:b/>
                <w:bCs/>
                <w:szCs w:val="20"/>
              </w:rPr>
              <w:t>Engineering Economics</w:t>
            </w:r>
          </w:p>
        </w:tc>
        <w:tc>
          <w:tcPr>
            <w:tcW w:w="2340" w:type="dxa"/>
            <w:vAlign w:val="center"/>
          </w:tcPr>
          <w:p w14:paraId="41B140D5" w14:textId="77777777" w:rsidR="00C73D24" w:rsidRPr="003D4982" w:rsidRDefault="00C73D24" w:rsidP="008D44A6">
            <w:pPr>
              <w:pStyle w:val="TableBodyText"/>
              <w:spacing w:before="20" w:after="20" w:line="240" w:lineRule="auto"/>
              <w:ind w:left="144" w:hanging="144"/>
              <w:rPr>
                <w:rFonts w:cstheme="minorHAnsi"/>
                <w:szCs w:val="20"/>
              </w:rPr>
            </w:pPr>
            <w:r w:rsidRPr="003D4982">
              <w:rPr>
                <w:rFonts w:cstheme="minorHAnsi"/>
                <w:szCs w:val="20"/>
              </w:rPr>
              <w:t>Benefit of highway improvements</w:t>
            </w:r>
          </w:p>
        </w:tc>
        <w:tc>
          <w:tcPr>
            <w:tcW w:w="2070" w:type="dxa"/>
            <w:vAlign w:val="center"/>
          </w:tcPr>
          <w:p w14:paraId="4810F5B5" w14:textId="77777777" w:rsidR="00C73D24" w:rsidRPr="003D4982" w:rsidRDefault="00C73D24" w:rsidP="008D44A6">
            <w:pPr>
              <w:pStyle w:val="TableBodyText"/>
              <w:spacing w:before="20" w:after="20" w:line="240" w:lineRule="auto"/>
              <w:ind w:left="144" w:hanging="144"/>
              <w:rPr>
                <w:rFonts w:cstheme="minorHAnsi"/>
                <w:szCs w:val="20"/>
              </w:rPr>
            </w:pPr>
            <w:r w:rsidRPr="003D4982">
              <w:rPr>
                <w:rFonts w:cstheme="minorHAnsi"/>
                <w:szCs w:val="20"/>
              </w:rPr>
              <w:t>Cost of vehicle operation</w:t>
            </w:r>
          </w:p>
        </w:tc>
        <w:tc>
          <w:tcPr>
            <w:tcW w:w="1890" w:type="dxa"/>
            <w:vAlign w:val="center"/>
          </w:tcPr>
          <w:p w14:paraId="4DAF01C9" w14:textId="77777777" w:rsidR="00C73D24" w:rsidRPr="003D4982" w:rsidRDefault="00C73D24" w:rsidP="008D44A6">
            <w:pPr>
              <w:pStyle w:val="TableBodyText"/>
              <w:spacing w:before="20" w:after="20" w:line="240" w:lineRule="auto"/>
              <w:ind w:left="144" w:hanging="144"/>
              <w:rPr>
                <w:rFonts w:cstheme="minorHAnsi"/>
                <w:szCs w:val="20"/>
              </w:rPr>
            </w:pPr>
            <w:r w:rsidRPr="003D4982">
              <w:rPr>
                <w:rFonts w:cstheme="minorHAnsi"/>
                <w:szCs w:val="20"/>
              </w:rPr>
              <w:t>Benefit of truck climbing lane</w:t>
            </w:r>
          </w:p>
        </w:tc>
        <w:tc>
          <w:tcPr>
            <w:tcW w:w="1625" w:type="dxa"/>
            <w:vAlign w:val="center"/>
          </w:tcPr>
          <w:p w14:paraId="4DE45E7A" w14:textId="77777777" w:rsidR="00C73D24" w:rsidRPr="003D4982" w:rsidRDefault="00C73D24" w:rsidP="008D44A6">
            <w:pPr>
              <w:pStyle w:val="TableBodyText"/>
              <w:spacing w:before="20" w:after="20" w:line="240" w:lineRule="auto"/>
              <w:ind w:left="144" w:hanging="144"/>
              <w:rPr>
                <w:rFonts w:cstheme="minorHAnsi"/>
                <w:szCs w:val="20"/>
              </w:rPr>
            </w:pPr>
            <w:r w:rsidRPr="003D4982">
              <w:rPr>
                <w:rFonts w:cstheme="minorHAnsi"/>
                <w:szCs w:val="20"/>
              </w:rPr>
              <w:t>Costs associated with congestion</w:t>
            </w:r>
          </w:p>
        </w:tc>
      </w:tr>
      <w:tr w:rsidR="00C73D24" w:rsidRPr="003D4982" w14:paraId="19811AD1" w14:textId="77777777" w:rsidTr="007C54FC">
        <w:trPr>
          <w:trHeight w:val="60"/>
          <w:jc w:val="center"/>
        </w:trPr>
        <w:tc>
          <w:tcPr>
            <w:tcW w:w="1435" w:type="dxa"/>
            <w:vAlign w:val="center"/>
          </w:tcPr>
          <w:p w14:paraId="7644F408" w14:textId="77777777" w:rsidR="00C73D24" w:rsidRPr="003D4982" w:rsidRDefault="00C73D24" w:rsidP="008D44A6">
            <w:pPr>
              <w:pStyle w:val="TableBodyText"/>
              <w:spacing w:before="20" w:after="20" w:line="240" w:lineRule="auto"/>
              <w:rPr>
                <w:rFonts w:cstheme="minorHAnsi"/>
                <w:b/>
                <w:bCs/>
                <w:szCs w:val="20"/>
              </w:rPr>
            </w:pPr>
            <w:r w:rsidRPr="003D4982">
              <w:rPr>
                <w:rFonts w:cstheme="minorHAnsi"/>
                <w:b/>
                <w:bCs/>
                <w:szCs w:val="20"/>
              </w:rPr>
              <w:t>Finance</w:t>
            </w:r>
          </w:p>
        </w:tc>
        <w:tc>
          <w:tcPr>
            <w:tcW w:w="2340" w:type="dxa"/>
            <w:vAlign w:val="center"/>
          </w:tcPr>
          <w:p w14:paraId="4E52D037" w14:textId="77777777" w:rsidR="00C73D24" w:rsidRPr="003D4982" w:rsidRDefault="00C73D24" w:rsidP="008D44A6">
            <w:pPr>
              <w:pStyle w:val="TableBodyText"/>
              <w:spacing w:before="20" w:after="20" w:line="240" w:lineRule="auto"/>
              <w:ind w:left="144" w:hanging="144"/>
              <w:rPr>
                <w:rFonts w:cstheme="minorHAnsi"/>
                <w:szCs w:val="20"/>
              </w:rPr>
            </w:pPr>
            <w:r w:rsidRPr="003D4982">
              <w:rPr>
                <w:rFonts w:cstheme="minorHAnsi"/>
                <w:szCs w:val="20"/>
              </w:rPr>
              <w:t>Estimates of highway revenue and toll revenue</w:t>
            </w:r>
          </w:p>
        </w:tc>
        <w:tc>
          <w:tcPr>
            <w:tcW w:w="2070" w:type="dxa"/>
            <w:vAlign w:val="center"/>
          </w:tcPr>
          <w:p w14:paraId="5A0AAAD1" w14:textId="394D0AE2" w:rsidR="00C73D24" w:rsidRPr="003D4982" w:rsidRDefault="00C73D24" w:rsidP="008D44A6">
            <w:pPr>
              <w:pStyle w:val="TableBodyText"/>
              <w:spacing w:before="20" w:after="20" w:line="240" w:lineRule="auto"/>
              <w:ind w:left="144" w:hanging="144"/>
              <w:rPr>
                <w:rFonts w:cstheme="minorHAnsi"/>
                <w:szCs w:val="20"/>
              </w:rPr>
            </w:pPr>
            <w:r w:rsidRPr="003D4982">
              <w:rPr>
                <w:rFonts w:cstheme="minorHAnsi"/>
                <w:szCs w:val="20"/>
              </w:rPr>
              <w:t>Highway cost allocation</w:t>
            </w:r>
          </w:p>
        </w:tc>
        <w:tc>
          <w:tcPr>
            <w:tcW w:w="1890" w:type="dxa"/>
            <w:vAlign w:val="center"/>
          </w:tcPr>
          <w:p w14:paraId="6647EFC9" w14:textId="2053C8F5" w:rsidR="00C73D24" w:rsidRPr="003D4982" w:rsidRDefault="00C73D24" w:rsidP="008D44A6">
            <w:pPr>
              <w:pStyle w:val="TableBodyText"/>
              <w:spacing w:before="20" w:after="20" w:line="240" w:lineRule="auto"/>
              <w:ind w:left="144" w:hanging="144"/>
              <w:rPr>
                <w:rFonts w:cstheme="minorHAnsi"/>
                <w:szCs w:val="20"/>
              </w:rPr>
            </w:pPr>
            <w:r w:rsidRPr="003D4982">
              <w:rPr>
                <w:rFonts w:cstheme="minorHAnsi"/>
                <w:szCs w:val="20"/>
              </w:rPr>
              <w:t>Highway cost allocation</w:t>
            </w:r>
          </w:p>
        </w:tc>
        <w:tc>
          <w:tcPr>
            <w:tcW w:w="1625" w:type="dxa"/>
            <w:vAlign w:val="center"/>
          </w:tcPr>
          <w:p w14:paraId="70C6E661" w14:textId="49512A28" w:rsidR="00C73D24" w:rsidRPr="003D4982" w:rsidRDefault="00C73D24" w:rsidP="008D44A6">
            <w:pPr>
              <w:pStyle w:val="TableBodyText"/>
              <w:spacing w:before="20" w:after="20" w:line="240" w:lineRule="auto"/>
              <w:ind w:left="144" w:hanging="144"/>
              <w:rPr>
                <w:rFonts w:cstheme="minorHAnsi"/>
                <w:szCs w:val="20"/>
              </w:rPr>
            </w:pPr>
            <w:r w:rsidRPr="003D4982">
              <w:rPr>
                <w:rFonts w:cstheme="minorHAnsi"/>
                <w:szCs w:val="20"/>
              </w:rPr>
              <w:t>User travel time costs</w:t>
            </w:r>
          </w:p>
        </w:tc>
      </w:tr>
      <w:tr w:rsidR="00C73D24" w:rsidRPr="003D4982" w14:paraId="68D4E93B" w14:textId="77777777" w:rsidTr="007C54FC">
        <w:trPr>
          <w:trHeight w:val="60"/>
          <w:jc w:val="center"/>
        </w:trPr>
        <w:tc>
          <w:tcPr>
            <w:tcW w:w="1435" w:type="dxa"/>
            <w:vAlign w:val="center"/>
          </w:tcPr>
          <w:p w14:paraId="08EE75E8" w14:textId="77777777" w:rsidR="00C73D24" w:rsidRPr="003D4982" w:rsidRDefault="00C73D24" w:rsidP="008D44A6">
            <w:pPr>
              <w:pStyle w:val="TableBodyText"/>
              <w:spacing w:before="20" w:after="20" w:line="240" w:lineRule="auto"/>
              <w:rPr>
                <w:rFonts w:cstheme="minorHAnsi"/>
                <w:b/>
                <w:bCs/>
                <w:szCs w:val="20"/>
              </w:rPr>
            </w:pPr>
            <w:r w:rsidRPr="003D4982">
              <w:rPr>
                <w:rFonts w:cstheme="minorHAnsi"/>
                <w:b/>
                <w:bCs/>
                <w:szCs w:val="20"/>
              </w:rPr>
              <w:t>Legislation</w:t>
            </w:r>
          </w:p>
        </w:tc>
        <w:tc>
          <w:tcPr>
            <w:tcW w:w="2340" w:type="dxa"/>
            <w:vAlign w:val="center"/>
          </w:tcPr>
          <w:p w14:paraId="3F2DFEAD" w14:textId="77777777" w:rsidR="00C73D24" w:rsidRPr="003D4982" w:rsidRDefault="00C73D24" w:rsidP="008D44A6">
            <w:pPr>
              <w:pStyle w:val="TableBodyText"/>
              <w:spacing w:before="20" w:after="20" w:line="240" w:lineRule="auto"/>
              <w:ind w:left="144" w:hanging="144"/>
              <w:rPr>
                <w:rFonts w:cstheme="minorHAnsi"/>
                <w:szCs w:val="20"/>
              </w:rPr>
            </w:pPr>
            <w:r w:rsidRPr="003D4982">
              <w:rPr>
                <w:rFonts w:cstheme="minorHAnsi"/>
                <w:szCs w:val="20"/>
              </w:rPr>
              <w:t>Selection of highway routes</w:t>
            </w:r>
          </w:p>
        </w:tc>
        <w:tc>
          <w:tcPr>
            <w:tcW w:w="2070" w:type="dxa"/>
            <w:vAlign w:val="center"/>
          </w:tcPr>
          <w:p w14:paraId="629011EE" w14:textId="77777777" w:rsidR="00C73D24" w:rsidRPr="003D4982" w:rsidRDefault="00C73D24" w:rsidP="008D44A6">
            <w:pPr>
              <w:pStyle w:val="TableBodyText"/>
              <w:spacing w:before="20" w:after="20" w:line="240" w:lineRule="auto"/>
              <w:ind w:left="144" w:hanging="144"/>
              <w:rPr>
                <w:rFonts w:cstheme="minorHAnsi"/>
                <w:szCs w:val="20"/>
              </w:rPr>
            </w:pPr>
            <w:r w:rsidRPr="003D4982">
              <w:rPr>
                <w:rFonts w:cstheme="minorHAnsi"/>
                <w:szCs w:val="20"/>
              </w:rPr>
              <w:t>Speed limits and oversize vehicle policy</w:t>
            </w:r>
          </w:p>
        </w:tc>
        <w:tc>
          <w:tcPr>
            <w:tcW w:w="1890" w:type="dxa"/>
            <w:vAlign w:val="center"/>
          </w:tcPr>
          <w:p w14:paraId="4C0CC48E" w14:textId="7E50248C" w:rsidR="00C73D24" w:rsidRPr="00874407" w:rsidRDefault="00051B79" w:rsidP="008D44A6">
            <w:pPr>
              <w:pStyle w:val="TableBodyText"/>
              <w:spacing w:before="20" w:after="20" w:line="240" w:lineRule="auto"/>
              <w:ind w:left="144" w:hanging="144"/>
              <w:rPr>
                <w:rFonts w:cstheme="minorHAnsi"/>
                <w:szCs w:val="20"/>
              </w:rPr>
            </w:pPr>
            <w:r w:rsidRPr="00874407">
              <w:rPr>
                <w:rFonts w:cstheme="minorHAnsi"/>
                <w:szCs w:val="20"/>
              </w:rPr>
              <w:t>Changing weight limits on highways</w:t>
            </w:r>
          </w:p>
        </w:tc>
        <w:tc>
          <w:tcPr>
            <w:tcW w:w="1625" w:type="dxa"/>
            <w:vAlign w:val="center"/>
          </w:tcPr>
          <w:p w14:paraId="20DD6769" w14:textId="77777777" w:rsidR="00C73D24" w:rsidRPr="003D4982" w:rsidRDefault="00C73D24" w:rsidP="008D44A6">
            <w:pPr>
              <w:pStyle w:val="TableBodyText"/>
              <w:spacing w:before="20" w:after="20" w:line="240" w:lineRule="auto"/>
              <w:ind w:left="144" w:hanging="144"/>
              <w:rPr>
                <w:rFonts w:cstheme="minorHAnsi"/>
                <w:szCs w:val="20"/>
              </w:rPr>
            </w:pPr>
            <w:r w:rsidRPr="003D4982">
              <w:rPr>
                <w:rFonts w:cstheme="minorHAnsi"/>
                <w:szCs w:val="20"/>
              </w:rPr>
              <w:t>Speed limits</w:t>
            </w:r>
          </w:p>
        </w:tc>
      </w:tr>
      <w:tr w:rsidR="00C73D24" w:rsidRPr="003D4982" w14:paraId="655EBC41" w14:textId="77777777" w:rsidTr="007C54FC">
        <w:trPr>
          <w:trHeight w:val="60"/>
          <w:jc w:val="center"/>
        </w:trPr>
        <w:tc>
          <w:tcPr>
            <w:tcW w:w="1435" w:type="dxa"/>
          </w:tcPr>
          <w:p w14:paraId="4B045E37" w14:textId="77777777" w:rsidR="00C73D24" w:rsidRPr="003D4982" w:rsidRDefault="00C73D24" w:rsidP="003D4982">
            <w:pPr>
              <w:pStyle w:val="TableBodyText"/>
              <w:pageBreakBefore/>
              <w:spacing w:before="20" w:after="20" w:line="240" w:lineRule="auto"/>
              <w:rPr>
                <w:rFonts w:cstheme="minorHAnsi"/>
                <w:b/>
                <w:bCs/>
                <w:szCs w:val="20"/>
              </w:rPr>
            </w:pPr>
            <w:r w:rsidRPr="003D4982">
              <w:rPr>
                <w:rFonts w:cstheme="minorHAnsi"/>
                <w:b/>
                <w:bCs/>
                <w:szCs w:val="20"/>
              </w:rPr>
              <w:lastRenderedPageBreak/>
              <w:t>Maintenance</w:t>
            </w:r>
          </w:p>
        </w:tc>
        <w:tc>
          <w:tcPr>
            <w:tcW w:w="2340" w:type="dxa"/>
          </w:tcPr>
          <w:p w14:paraId="1254F9F3" w14:textId="77777777" w:rsidR="003E4D1B" w:rsidRPr="003D4982" w:rsidRDefault="00C73D24" w:rsidP="00874407">
            <w:pPr>
              <w:pStyle w:val="TableBodyText"/>
              <w:spacing w:before="20" w:after="60" w:line="240" w:lineRule="auto"/>
              <w:ind w:left="144" w:hanging="144"/>
              <w:rPr>
                <w:rFonts w:cstheme="minorHAnsi"/>
                <w:szCs w:val="20"/>
              </w:rPr>
            </w:pPr>
            <w:r w:rsidRPr="003D4982">
              <w:rPr>
                <w:rFonts w:cstheme="minorHAnsi"/>
                <w:szCs w:val="20"/>
              </w:rPr>
              <w:t>Selecting the timing of maintenance, by lane volume for lane closure policies</w:t>
            </w:r>
            <w:r w:rsidR="003E4D1B" w:rsidRPr="003D4982">
              <w:rPr>
                <w:rFonts w:cstheme="minorHAnsi"/>
                <w:szCs w:val="20"/>
              </w:rPr>
              <w:t xml:space="preserve"> </w:t>
            </w:r>
          </w:p>
          <w:p w14:paraId="004D308F" w14:textId="32278DEB" w:rsidR="00051B79" w:rsidRPr="003D4982" w:rsidRDefault="00051B79" w:rsidP="00874407">
            <w:pPr>
              <w:pStyle w:val="TableBodyText"/>
              <w:spacing w:before="20" w:after="60" w:line="240" w:lineRule="auto"/>
              <w:ind w:left="144" w:hanging="144"/>
              <w:rPr>
                <w:rFonts w:cstheme="minorHAnsi"/>
                <w:szCs w:val="20"/>
              </w:rPr>
            </w:pPr>
            <w:r w:rsidRPr="003D4982">
              <w:rPr>
                <w:rFonts w:cstheme="minorHAnsi"/>
                <w:szCs w:val="20"/>
              </w:rPr>
              <w:t>Prioritizing activities</w:t>
            </w:r>
            <w:r w:rsidR="003E4D1B" w:rsidRPr="003D4982">
              <w:rPr>
                <w:rFonts w:cstheme="minorHAnsi"/>
                <w:szCs w:val="20"/>
              </w:rPr>
              <w:t xml:space="preserve"> </w:t>
            </w:r>
            <w:r w:rsidRPr="003D4982">
              <w:rPr>
                <w:rFonts w:cstheme="minorHAnsi"/>
                <w:szCs w:val="20"/>
              </w:rPr>
              <w:t>Determ</w:t>
            </w:r>
            <w:r w:rsidR="003E4D1B" w:rsidRPr="003D4982">
              <w:rPr>
                <w:rFonts w:cstheme="minorHAnsi"/>
                <w:szCs w:val="20"/>
              </w:rPr>
              <w:t>ine</w:t>
            </w:r>
            <w:r w:rsidRPr="003D4982">
              <w:rPr>
                <w:rFonts w:cstheme="minorHAnsi"/>
                <w:szCs w:val="20"/>
              </w:rPr>
              <w:t xml:space="preserve"> bridge responsibility (</w:t>
            </w:r>
            <w:r w:rsidR="008A0ADC" w:rsidRPr="003D4982">
              <w:rPr>
                <w:rFonts w:cstheme="minorHAnsi"/>
                <w:szCs w:val="20"/>
              </w:rPr>
              <w:t>S</w:t>
            </w:r>
            <w:r w:rsidRPr="003D4982">
              <w:rPr>
                <w:rFonts w:cstheme="minorHAnsi"/>
                <w:szCs w:val="20"/>
              </w:rPr>
              <w:t>tate vs. local)</w:t>
            </w:r>
          </w:p>
          <w:p w14:paraId="019F3F66" w14:textId="327C2DF7" w:rsidR="00051B79" w:rsidRPr="003D4982" w:rsidRDefault="00051B79" w:rsidP="00874407">
            <w:pPr>
              <w:pStyle w:val="TableBodyText"/>
              <w:spacing w:before="20" w:after="20" w:line="240" w:lineRule="auto"/>
              <w:ind w:left="144" w:hanging="144"/>
              <w:rPr>
                <w:rFonts w:cstheme="minorHAnsi"/>
                <w:szCs w:val="20"/>
              </w:rPr>
            </w:pPr>
            <w:r w:rsidRPr="003D4982">
              <w:rPr>
                <w:rFonts w:cstheme="minorHAnsi"/>
                <w:szCs w:val="20"/>
              </w:rPr>
              <w:t>Determine highway striping responsibility (</w:t>
            </w:r>
            <w:r w:rsidR="008A0ADC" w:rsidRPr="003D4982">
              <w:rPr>
                <w:rFonts w:cstheme="minorHAnsi"/>
                <w:szCs w:val="20"/>
              </w:rPr>
              <w:t>S</w:t>
            </w:r>
            <w:r w:rsidRPr="003D4982">
              <w:rPr>
                <w:rFonts w:cstheme="minorHAnsi"/>
                <w:szCs w:val="20"/>
              </w:rPr>
              <w:t>tate vs. local)</w:t>
            </w:r>
          </w:p>
        </w:tc>
        <w:tc>
          <w:tcPr>
            <w:tcW w:w="2070" w:type="dxa"/>
          </w:tcPr>
          <w:p w14:paraId="554FD03E" w14:textId="77777777" w:rsidR="00C73D24" w:rsidRPr="003D4982" w:rsidRDefault="00C73D24" w:rsidP="00874407">
            <w:pPr>
              <w:pStyle w:val="TableBodyText"/>
              <w:spacing w:before="20" w:after="20" w:line="240" w:lineRule="auto"/>
              <w:ind w:left="144" w:hanging="144"/>
              <w:rPr>
                <w:rFonts w:cstheme="minorHAnsi"/>
                <w:szCs w:val="20"/>
              </w:rPr>
            </w:pPr>
            <w:r w:rsidRPr="003D4982">
              <w:rPr>
                <w:rFonts w:cstheme="minorHAnsi"/>
                <w:szCs w:val="20"/>
              </w:rPr>
              <w:t>Selection of maintenance activities</w:t>
            </w:r>
          </w:p>
        </w:tc>
        <w:tc>
          <w:tcPr>
            <w:tcW w:w="1890" w:type="dxa"/>
          </w:tcPr>
          <w:p w14:paraId="71F4D076" w14:textId="77777777" w:rsidR="00C73D24" w:rsidRPr="003D4982" w:rsidRDefault="00C73D24" w:rsidP="00874407">
            <w:pPr>
              <w:pStyle w:val="TableBodyText"/>
              <w:spacing w:before="20" w:after="20" w:line="240" w:lineRule="auto"/>
              <w:ind w:left="144" w:hanging="144"/>
              <w:rPr>
                <w:rFonts w:cstheme="minorHAnsi"/>
                <w:szCs w:val="20"/>
              </w:rPr>
            </w:pPr>
            <w:r w:rsidRPr="003D4982">
              <w:rPr>
                <w:rFonts w:cstheme="minorHAnsi"/>
                <w:szCs w:val="20"/>
              </w:rPr>
              <w:t>Pavement management, bridge management</w:t>
            </w:r>
          </w:p>
        </w:tc>
        <w:tc>
          <w:tcPr>
            <w:tcW w:w="1625" w:type="dxa"/>
          </w:tcPr>
          <w:p w14:paraId="57EE206C" w14:textId="77777777" w:rsidR="00C73D24" w:rsidRPr="003D4982" w:rsidRDefault="00C73D24" w:rsidP="00874407">
            <w:pPr>
              <w:pStyle w:val="TableBodyText"/>
              <w:spacing w:before="20" w:after="20" w:line="240" w:lineRule="auto"/>
              <w:ind w:left="144" w:hanging="144"/>
              <w:rPr>
                <w:rFonts w:cstheme="minorHAnsi"/>
                <w:szCs w:val="20"/>
              </w:rPr>
            </w:pPr>
            <w:r w:rsidRPr="003D4982">
              <w:rPr>
                <w:rFonts w:cstheme="minorHAnsi"/>
                <w:szCs w:val="20"/>
              </w:rPr>
              <w:t>Work zone safety measures</w:t>
            </w:r>
          </w:p>
        </w:tc>
      </w:tr>
      <w:tr w:rsidR="00C73D24" w:rsidRPr="003D4982" w14:paraId="41A45B20" w14:textId="77777777" w:rsidTr="007C54FC">
        <w:trPr>
          <w:trHeight w:val="60"/>
          <w:jc w:val="center"/>
        </w:trPr>
        <w:tc>
          <w:tcPr>
            <w:tcW w:w="1435" w:type="dxa"/>
          </w:tcPr>
          <w:p w14:paraId="7E68EE77" w14:textId="77777777" w:rsidR="00C73D24" w:rsidRPr="003D4982" w:rsidRDefault="00C73D24" w:rsidP="003D4982">
            <w:pPr>
              <w:pStyle w:val="TableBodyText"/>
              <w:spacing w:before="20" w:after="20" w:line="240" w:lineRule="auto"/>
              <w:rPr>
                <w:rFonts w:cstheme="minorHAnsi"/>
                <w:b/>
                <w:bCs/>
                <w:szCs w:val="20"/>
              </w:rPr>
            </w:pPr>
            <w:r w:rsidRPr="003D4982">
              <w:rPr>
                <w:rFonts w:cstheme="minorHAnsi"/>
                <w:b/>
                <w:bCs/>
                <w:szCs w:val="20"/>
              </w:rPr>
              <w:t>Operations</w:t>
            </w:r>
          </w:p>
        </w:tc>
        <w:tc>
          <w:tcPr>
            <w:tcW w:w="2340" w:type="dxa"/>
          </w:tcPr>
          <w:p w14:paraId="1A9137CE" w14:textId="77777777" w:rsidR="00C73D24" w:rsidRPr="003D4982" w:rsidRDefault="00C73D24" w:rsidP="00874407">
            <w:pPr>
              <w:pStyle w:val="TableBodyText"/>
              <w:spacing w:before="20" w:after="60" w:line="240" w:lineRule="auto"/>
              <w:ind w:left="144" w:hanging="144"/>
              <w:rPr>
                <w:rFonts w:cstheme="minorHAnsi"/>
                <w:szCs w:val="20"/>
              </w:rPr>
            </w:pPr>
            <w:r w:rsidRPr="003D4982">
              <w:rPr>
                <w:rFonts w:cstheme="minorHAnsi"/>
                <w:szCs w:val="20"/>
              </w:rPr>
              <w:t>Signal timing, by lane volumes</w:t>
            </w:r>
          </w:p>
          <w:p w14:paraId="501694F4" w14:textId="77777777" w:rsidR="00C73D24" w:rsidRPr="003D4982" w:rsidRDefault="00C73D24" w:rsidP="00874407">
            <w:pPr>
              <w:pStyle w:val="TableBodyText"/>
              <w:spacing w:before="20" w:after="20" w:line="240" w:lineRule="auto"/>
              <w:ind w:left="144" w:hanging="144"/>
              <w:rPr>
                <w:rFonts w:cstheme="minorHAnsi"/>
                <w:szCs w:val="20"/>
              </w:rPr>
            </w:pPr>
            <w:r w:rsidRPr="003D4982">
              <w:rPr>
                <w:rFonts w:cstheme="minorHAnsi"/>
                <w:szCs w:val="20"/>
              </w:rPr>
              <w:t>Traveler information emergency evaluation</w:t>
            </w:r>
          </w:p>
        </w:tc>
        <w:tc>
          <w:tcPr>
            <w:tcW w:w="2070" w:type="dxa"/>
          </w:tcPr>
          <w:p w14:paraId="0D5D3A8C" w14:textId="77777777" w:rsidR="00C73D24" w:rsidRPr="003D4982" w:rsidRDefault="00C73D24" w:rsidP="00874407">
            <w:pPr>
              <w:pStyle w:val="TableBodyText"/>
              <w:spacing w:before="20" w:after="60" w:line="240" w:lineRule="auto"/>
              <w:ind w:left="144" w:hanging="144"/>
              <w:rPr>
                <w:rFonts w:cstheme="minorHAnsi"/>
                <w:szCs w:val="20"/>
              </w:rPr>
            </w:pPr>
            <w:r w:rsidRPr="003D4982">
              <w:rPr>
                <w:rFonts w:cstheme="minorHAnsi"/>
                <w:szCs w:val="20"/>
              </w:rPr>
              <w:t>Development of control strategies and speed by class</w:t>
            </w:r>
          </w:p>
          <w:p w14:paraId="4C9BC189" w14:textId="77777777" w:rsidR="00C73D24" w:rsidRPr="003D4982" w:rsidRDefault="00C73D24" w:rsidP="00874407">
            <w:pPr>
              <w:pStyle w:val="TableBodyText"/>
              <w:spacing w:before="20" w:after="20" w:line="240" w:lineRule="auto"/>
              <w:ind w:left="144" w:hanging="144"/>
              <w:rPr>
                <w:rFonts w:cstheme="minorHAnsi"/>
                <w:szCs w:val="20"/>
              </w:rPr>
            </w:pPr>
            <w:r w:rsidRPr="003D4982">
              <w:rPr>
                <w:rFonts w:cstheme="minorHAnsi"/>
                <w:szCs w:val="20"/>
              </w:rPr>
              <w:t>Freight</w:t>
            </w:r>
          </w:p>
        </w:tc>
        <w:tc>
          <w:tcPr>
            <w:tcW w:w="1890" w:type="dxa"/>
          </w:tcPr>
          <w:p w14:paraId="0E5C72D9" w14:textId="77777777" w:rsidR="00C73D24" w:rsidRPr="003D4982" w:rsidRDefault="00C73D24" w:rsidP="00874407">
            <w:pPr>
              <w:pStyle w:val="TableBodyText"/>
              <w:spacing w:before="20" w:after="60" w:line="240" w:lineRule="auto"/>
              <w:ind w:left="144" w:hanging="144"/>
              <w:rPr>
                <w:rFonts w:cstheme="minorHAnsi"/>
                <w:szCs w:val="20"/>
              </w:rPr>
            </w:pPr>
            <w:r w:rsidRPr="003D4982">
              <w:rPr>
                <w:rFonts w:cstheme="minorHAnsi"/>
                <w:szCs w:val="20"/>
              </w:rPr>
              <w:t>Weight enforcement activities</w:t>
            </w:r>
          </w:p>
          <w:p w14:paraId="0BAEACA7" w14:textId="77777777" w:rsidR="00C73D24" w:rsidRPr="003D4982" w:rsidRDefault="00C73D24" w:rsidP="00874407">
            <w:pPr>
              <w:pStyle w:val="TableBodyText"/>
              <w:spacing w:before="20" w:after="20" w:line="240" w:lineRule="auto"/>
              <w:ind w:left="144" w:hanging="144"/>
              <w:rPr>
                <w:rFonts w:cstheme="minorHAnsi"/>
                <w:szCs w:val="20"/>
              </w:rPr>
            </w:pPr>
            <w:r w:rsidRPr="003D4982">
              <w:rPr>
                <w:rFonts w:cstheme="minorHAnsi"/>
                <w:szCs w:val="20"/>
              </w:rPr>
              <w:t>Freight</w:t>
            </w:r>
          </w:p>
        </w:tc>
        <w:tc>
          <w:tcPr>
            <w:tcW w:w="1625" w:type="dxa"/>
          </w:tcPr>
          <w:p w14:paraId="47223086" w14:textId="77777777" w:rsidR="00C73D24" w:rsidRPr="003D4982" w:rsidRDefault="00C73D24" w:rsidP="00874407">
            <w:pPr>
              <w:pStyle w:val="TableBodyText"/>
              <w:spacing w:before="20" w:after="60" w:line="240" w:lineRule="auto"/>
              <w:ind w:left="144" w:hanging="144"/>
              <w:rPr>
                <w:rFonts w:cstheme="minorHAnsi"/>
                <w:szCs w:val="20"/>
              </w:rPr>
            </w:pPr>
            <w:r w:rsidRPr="003D4982">
              <w:rPr>
                <w:rFonts w:cstheme="minorHAnsi"/>
                <w:szCs w:val="20"/>
              </w:rPr>
              <w:t>Setting speed limits and speed by class</w:t>
            </w:r>
          </w:p>
          <w:p w14:paraId="05AC64D1" w14:textId="77777777" w:rsidR="00C73D24" w:rsidRPr="003D4982" w:rsidRDefault="00C73D24" w:rsidP="00874407">
            <w:pPr>
              <w:pStyle w:val="TableBodyText"/>
              <w:spacing w:before="20" w:after="20" w:line="240" w:lineRule="auto"/>
              <w:ind w:left="144" w:hanging="144"/>
              <w:rPr>
                <w:rFonts w:cstheme="minorHAnsi"/>
                <w:szCs w:val="20"/>
              </w:rPr>
            </w:pPr>
            <w:r w:rsidRPr="003D4982">
              <w:rPr>
                <w:rFonts w:cstheme="minorHAnsi"/>
                <w:szCs w:val="20"/>
              </w:rPr>
              <w:t>Traveler information</w:t>
            </w:r>
          </w:p>
        </w:tc>
      </w:tr>
      <w:tr w:rsidR="00C73D24" w:rsidRPr="003D4982" w14:paraId="0E43F572" w14:textId="77777777" w:rsidTr="007C54FC">
        <w:trPr>
          <w:trHeight w:val="60"/>
          <w:jc w:val="center"/>
        </w:trPr>
        <w:tc>
          <w:tcPr>
            <w:tcW w:w="1435" w:type="dxa"/>
          </w:tcPr>
          <w:p w14:paraId="5948B31D" w14:textId="77777777" w:rsidR="00C73D24" w:rsidRPr="003D4982" w:rsidRDefault="00C73D24" w:rsidP="003D4982">
            <w:pPr>
              <w:pStyle w:val="TableBodyText"/>
              <w:spacing w:before="20" w:after="20" w:line="240" w:lineRule="auto"/>
              <w:rPr>
                <w:rFonts w:cstheme="minorHAnsi"/>
                <w:b/>
                <w:bCs/>
                <w:szCs w:val="20"/>
              </w:rPr>
            </w:pPr>
            <w:r w:rsidRPr="003D4982">
              <w:rPr>
                <w:rFonts w:cstheme="minorHAnsi"/>
                <w:b/>
                <w:bCs/>
                <w:szCs w:val="20"/>
              </w:rPr>
              <w:t>Planning</w:t>
            </w:r>
          </w:p>
        </w:tc>
        <w:tc>
          <w:tcPr>
            <w:tcW w:w="2340" w:type="dxa"/>
          </w:tcPr>
          <w:p w14:paraId="1DBB761B" w14:textId="77777777" w:rsidR="00C73D24" w:rsidRPr="003D4982" w:rsidRDefault="00C73D24" w:rsidP="00874407">
            <w:pPr>
              <w:pStyle w:val="TableBodyText"/>
              <w:spacing w:before="20" w:after="60" w:line="240" w:lineRule="auto"/>
              <w:ind w:left="144" w:hanging="144"/>
              <w:rPr>
                <w:rFonts w:cstheme="minorHAnsi"/>
                <w:szCs w:val="20"/>
              </w:rPr>
            </w:pPr>
            <w:r w:rsidRPr="003D4982">
              <w:rPr>
                <w:rFonts w:cstheme="minorHAnsi"/>
                <w:szCs w:val="20"/>
              </w:rPr>
              <w:t>Location and design of highway systems</w:t>
            </w:r>
          </w:p>
          <w:p w14:paraId="3BAEB629" w14:textId="5A5AC6FA" w:rsidR="00051B79" w:rsidRPr="003D4982" w:rsidRDefault="00051B79" w:rsidP="00874407">
            <w:pPr>
              <w:pStyle w:val="TableBodyText"/>
              <w:spacing w:before="20" w:after="60" w:line="240" w:lineRule="auto"/>
              <w:ind w:left="144" w:hanging="144"/>
              <w:rPr>
                <w:rFonts w:cstheme="minorHAnsi"/>
                <w:szCs w:val="20"/>
              </w:rPr>
            </w:pPr>
            <w:r w:rsidRPr="003D4982">
              <w:rPr>
                <w:rFonts w:cstheme="minorHAnsi"/>
                <w:szCs w:val="20"/>
              </w:rPr>
              <w:t>Assignment/change of F</w:t>
            </w:r>
            <w:r w:rsidR="003B7D35" w:rsidRPr="003D4982">
              <w:rPr>
                <w:rFonts w:cstheme="minorHAnsi"/>
                <w:szCs w:val="20"/>
              </w:rPr>
              <w:t xml:space="preserve">ederal </w:t>
            </w:r>
            <w:r w:rsidRPr="003D4982">
              <w:rPr>
                <w:rFonts w:cstheme="minorHAnsi"/>
                <w:szCs w:val="20"/>
              </w:rPr>
              <w:t>F</w:t>
            </w:r>
            <w:r w:rsidR="003B7D35" w:rsidRPr="003D4982">
              <w:rPr>
                <w:rFonts w:cstheme="minorHAnsi"/>
                <w:szCs w:val="20"/>
              </w:rPr>
              <w:t xml:space="preserve">unctional </w:t>
            </w:r>
            <w:r w:rsidRPr="003D4982">
              <w:rPr>
                <w:rFonts w:cstheme="minorHAnsi"/>
                <w:szCs w:val="20"/>
              </w:rPr>
              <w:t>C</w:t>
            </w:r>
            <w:r w:rsidR="003B7D35" w:rsidRPr="003D4982">
              <w:rPr>
                <w:rFonts w:cstheme="minorHAnsi"/>
                <w:szCs w:val="20"/>
              </w:rPr>
              <w:t>lassification</w:t>
            </w:r>
          </w:p>
          <w:p w14:paraId="550C4D3B" w14:textId="60FC1C0B" w:rsidR="00051B79" w:rsidRPr="003D4982" w:rsidRDefault="00051B79" w:rsidP="00874407">
            <w:pPr>
              <w:pStyle w:val="TableBodyText"/>
              <w:spacing w:before="20" w:after="20" w:line="240" w:lineRule="auto"/>
              <w:ind w:left="144" w:hanging="144"/>
              <w:rPr>
                <w:rFonts w:cstheme="minorHAnsi"/>
                <w:szCs w:val="20"/>
              </w:rPr>
            </w:pPr>
            <w:r w:rsidRPr="003D4982">
              <w:rPr>
                <w:rFonts w:cstheme="minorHAnsi"/>
                <w:szCs w:val="20"/>
              </w:rPr>
              <w:t>Prioritiz</w:t>
            </w:r>
            <w:r w:rsidR="00D75375" w:rsidRPr="003D4982">
              <w:rPr>
                <w:rFonts w:cstheme="minorHAnsi"/>
                <w:szCs w:val="20"/>
              </w:rPr>
              <w:t>ing</w:t>
            </w:r>
            <w:r w:rsidRPr="003D4982">
              <w:rPr>
                <w:rFonts w:cstheme="minorHAnsi"/>
                <w:szCs w:val="20"/>
              </w:rPr>
              <w:t xml:space="preserve"> projects</w:t>
            </w:r>
          </w:p>
        </w:tc>
        <w:tc>
          <w:tcPr>
            <w:tcW w:w="2070" w:type="dxa"/>
          </w:tcPr>
          <w:p w14:paraId="53FBA746" w14:textId="77777777" w:rsidR="00C73D24" w:rsidRPr="003D4982" w:rsidRDefault="00C73D24" w:rsidP="00874407">
            <w:pPr>
              <w:pStyle w:val="TableBodyText"/>
              <w:spacing w:before="20" w:after="20" w:line="240" w:lineRule="auto"/>
              <w:ind w:left="144" w:hanging="144"/>
              <w:rPr>
                <w:rFonts w:cstheme="minorHAnsi"/>
                <w:szCs w:val="20"/>
              </w:rPr>
            </w:pPr>
            <w:r w:rsidRPr="003D4982">
              <w:rPr>
                <w:rFonts w:cstheme="minorHAnsi"/>
                <w:szCs w:val="20"/>
              </w:rPr>
              <w:t>Forecasts of travel by vehicle type</w:t>
            </w:r>
          </w:p>
        </w:tc>
        <w:tc>
          <w:tcPr>
            <w:tcW w:w="1890" w:type="dxa"/>
          </w:tcPr>
          <w:p w14:paraId="784D1645" w14:textId="77777777" w:rsidR="00C73D24" w:rsidRPr="003D4982" w:rsidRDefault="00C73D24" w:rsidP="00874407">
            <w:pPr>
              <w:pStyle w:val="TableBodyText"/>
              <w:spacing w:before="20" w:after="60" w:line="240" w:lineRule="auto"/>
              <w:ind w:left="144" w:hanging="144"/>
              <w:rPr>
                <w:rFonts w:cstheme="minorHAnsi"/>
                <w:szCs w:val="20"/>
              </w:rPr>
            </w:pPr>
            <w:r w:rsidRPr="003D4982">
              <w:rPr>
                <w:rFonts w:cstheme="minorHAnsi"/>
                <w:szCs w:val="20"/>
              </w:rPr>
              <w:t>Truck lanes</w:t>
            </w:r>
          </w:p>
          <w:p w14:paraId="405C6035" w14:textId="77777777" w:rsidR="00C73D24" w:rsidRPr="003D4982" w:rsidRDefault="00C73D24" w:rsidP="00874407">
            <w:pPr>
              <w:pStyle w:val="TableBodyText"/>
              <w:spacing w:before="20" w:after="60" w:line="240" w:lineRule="auto"/>
              <w:ind w:left="144" w:hanging="144"/>
              <w:rPr>
                <w:rFonts w:cstheme="minorHAnsi"/>
                <w:szCs w:val="20"/>
              </w:rPr>
            </w:pPr>
            <w:r w:rsidRPr="003D4982">
              <w:rPr>
                <w:rFonts w:cstheme="minorHAnsi"/>
                <w:szCs w:val="20"/>
              </w:rPr>
              <w:t>Truck ramps</w:t>
            </w:r>
          </w:p>
          <w:p w14:paraId="32E3B6EF" w14:textId="77777777" w:rsidR="00C73D24" w:rsidRPr="003D4982" w:rsidRDefault="00C73D24" w:rsidP="00874407">
            <w:pPr>
              <w:pStyle w:val="TableBodyText"/>
              <w:spacing w:before="20" w:after="20" w:line="240" w:lineRule="auto"/>
              <w:ind w:left="144" w:hanging="144"/>
              <w:rPr>
                <w:rFonts w:cstheme="minorHAnsi"/>
                <w:szCs w:val="20"/>
              </w:rPr>
            </w:pPr>
            <w:r w:rsidRPr="003D4982">
              <w:rPr>
                <w:rFonts w:cstheme="minorHAnsi"/>
                <w:szCs w:val="20"/>
              </w:rPr>
              <w:t>Freight</w:t>
            </w:r>
          </w:p>
        </w:tc>
        <w:tc>
          <w:tcPr>
            <w:tcW w:w="1625" w:type="dxa"/>
          </w:tcPr>
          <w:p w14:paraId="64EDB4F5" w14:textId="77777777" w:rsidR="00C73D24" w:rsidRPr="003D4982" w:rsidRDefault="00C73D24" w:rsidP="00874407">
            <w:pPr>
              <w:pStyle w:val="TableBodyText"/>
              <w:spacing w:before="20" w:after="20" w:line="240" w:lineRule="auto"/>
              <w:ind w:left="144" w:hanging="144"/>
              <w:rPr>
                <w:rFonts w:cstheme="minorHAnsi"/>
                <w:szCs w:val="20"/>
              </w:rPr>
            </w:pPr>
            <w:r w:rsidRPr="003D4982">
              <w:rPr>
                <w:rFonts w:cstheme="minorHAnsi"/>
                <w:szCs w:val="20"/>
              </w:rPr>
              <w:t>Congestion measurement systems</w:t>
            </w:r>
          </w:p>
        </w:tc>
      </w:tr>
      <w:tr w:rsidR="00C73D24" w:rsidRPr="003D4982" w14:paraId="74437292" w14:textId="77777777" w:rsidTr="007C54FC">
        <w:trPr>
          <w:trHeight w:val="60"/>
          <w:jc w:val="center"/>
        </w:trPr>
        <w:tc>
          <w:tcPr>
            <w:tcW w:w="1435" w:type="dxa"/>
          </w:tcPr>
          <w:p w14:paraId="602BD31B" w14:textId="77777777" w:rsidR="00C73D24" w:rsidRPr="003D4982" w:rsidRDefault="00C73D24" w:rsidP="003D4982">
            <w:pPr>
              <w:pStyle w:val="TableBodyText"/>
              <w:spacing w:before="20" w:after="20" w:line="240" w:lineRule="auto"/>
              <w:rPr>
                <w:rFonts w:cstheme="minorHAnsi"/>
                <w:b/>
                <w:bCs/>
                <w:szCs w:val="20"/>
              </w:rPr>
            </w:pPr>
            <w:r w:rsidRPr="003D4982">
              <w:rPr>
                <w:rFonts w:cstheme="minorHAnsi"/>
                <w:b/>
                <w:bCs/>
                <w:szCs w:val="20"/>
              </w:rPr>
              <w:t>Environmental Analysis</w:t>
            </w:r>
          </w:p>
        </w:tc>
        <w:tc>
          <w:tcPr>
            <w:tcW w:w="2340" w:type="dxa"/>
          </w:tcPr>
          <w:p w14:paraId="0C4E9199" w14:textId="77777777" w:rsidR="00C73D24" w:rsidRPr="003D4982" w:rsidRDefault="00C73D24" w:rsidP="00874407">
            <w:pPr>
              <w:pStyle w:val="TableBodyText"/>
              <w:spacing w:before="20" w:after="20" w:line="240" w:lineRule="auto"/>
              <w:ind w:left="144" w:hanging="144"/>
              <w:rPr>
                <w:rFonts w:cstheme="minorHAnsi"/>
                <w:szCs w:val="20"/>
              </w:rPr>
            </w:pPr>
            <w:r w:rsidRPr="003D4982">
              <w:rPr>
                <w:rFonts w:cstheme="minorHAnsi"/>
                <w:szCs w:val="20"/>
              </w:rPr>
              <w:t>Air quality analysis, noise impact analysis</w:t>
            </w:r>
          </w:p>
        </w:tc>
        <w:tc>
          <w:tcPr>
            <w:tcW w:w="2070" w:type="dxa"/>
          </w:tcPr>
          <w:p w14:paraId="3D344571" w14:textId="77777777" w:rsidR="00C73D24" w:rsidRPr="003D4982" w:rsidRDefault="00C73D24" w:rsidP="00874407">
            <w:pPr>
              <w:pStyle w:val="TableBodyText"/>
              <w:spacing w:before="20" w:after="20" w:line="240" w:lineRule="auto"/>
              <w:ind w:left="144" w:hanging="144"/>
              <w:rPr>
                <w:rFonts w:cstheme="minorHAnsi"/>
                <w:szCs w:val="20"/>
              </w:rPr>
            </w:pPr>
            <w:r w:rsidRPr="003D4982">
              <w:rPr>
                <w:rFonts w:cstheme="minorHAnsi"/>
                <w:szCs w:val="20"/>
              </w:rPr>
              <w:t>Forecasts of emissions by type of vehicle</w:t>
            </w:r>
          </w:p>
        </w:tc>
        <w:tc>
          <w:tcPr>
            <w:tcW w:w="1890" w:type="dxa"/>
          </w:tcPr>
          <w:p w14:paraId="1958D5FF" w14:textId="77777777" w:rsidR="00C73D24" w:rsidRPr="003D4982" w:rsidRDefault="00C73D24" w:rsidP="00874407">
            <w:pPr>
              <w:pStyle w:val="TableBodyText"/>
              <w:spacing w:before="20" w:after="20" w:line="240" w:lineRule="auto"/>
              <w:ind w:left="144" w:hanging="144"/>
              <w:rPr>
                <w:rFonts w:cstheme="minorHAnsi"/>
                <w:szCs w:val="20"/>
              </w:rPr>
            </w:pPr>
            <w:r w:rsidRPr="003D4982">
              <w:rPr>
                <w:rFonts w:cstheme="minorHAnsi"/>
                <w:szCs w:val="20"/>
              </w:rPr>
              <w:t>Emissions by type of vehicle</w:t>
            </w:r>
          </w:p>
        </w:tc>
        <w:tc>
          <w:tcPr>
            <w:tcW w:w="1625" w:type="dxa"/>
          </w:tcPr>
          <w:p w14:paraId="0016583B" w14:textId="77777777" w:rsidR="00C73D24" w:rsidRPr="003D4982" w:rsidRDefault="00C73D24" w:rsidP="00874407">
            <w:pPr>
              <w:pStyle w:val="TableBodyText"/>
              <w:spacing w:before="20" w:after="20" w:line="240" w:lineRule="auto"/>
              <w:ind w:left="144" w:hanging="144"/>
              <w:rPr>
                <w:rFonts w:cstheme="minorHAnsi"/>
                <w:szCs w:val="20"/>
              </w:rPr>
            </w:pPr>
            <w:r w:rsidRPr="003D4982">
              <w:rPr>
                <w:rFonts w:cstheme="minorHAnsi"/>
                <w:szCs w:val="20"/>
              </w:rPr>
              <w:t>Project-level analyses</w:t>
            </w:r>
          </w:p>
        </w:tc>
      </w:tr>
      <w:tr w:rsidR="00C73D24" w:rsidRPr="003D4982" w14:paraId="03C44B3A" w14:textId="77777777" w:rsidTr="007C54FC">
        <w:trPr>
          <w:trHeight w:val="60"/>
          <w:jc w:val="center"/>
        </w:trPr>
        <w:tc>
          <w:tcPr>
            <w:tcW w:w="1435" w:type="dxa"/>
          </w:tcPr>
          <w:p w14:paraId="5A8F5282" w14:textId="77777777" w:rsidR="00C73D24" w:rsidRPr="003D4982" w:rsidRDefault="00C73D24" w:rsidP="003D4982">
            <w:pPr>
              <w:pStyle w:val="TableBodyText"/>
              <w:spacing w:before="20" w:after="20" w:line="240" w:lineRule="auto"/>
              <w:rPr>
                <w:rFonts w:cstheme="minorHAnsi"/>
                <w:b/>
                <w:bCs/>
                <w:szCs w:val="20"/>
              </w:rPr>
            </w:pPr>
            <w:r w:rsidRPr="003D4982">
              <w:rPr>
                <w:rFonts w:cstheme="minorHAnsi"/>
                <w:b/>
                <w:bCs/>
                <w:szCs w:val="20"/>
              </w:rPr>
              <w:t>Safety</w:t>
            </w:r>
          </w:p>
        </w:tc>
        <w:tc>
          <w:tcPr>
            <w:tcW w:w="2340" w:type="dxa"/>
          </w:tcPr>
          <w:p w14:paraId="475D3C70" w14:textId="77777777" w:rsidR="00C73D24" w:rsidRPr="003D4982" w:rsidRDefault="00C73D24" w:rsidP="00874407">
            <w:pPr>
              <w:pStyle w:val="TableBodyText"/>
              <w:spacing w:before="20" w:after="20" w:line="240" w:lineRule="auto"/>
              <w:ind w:left="144" w:hanging="144"/>
              <w:rPr>
                <w:rFonts w:cstheme="minorHAnsi"/>
                <w:szCs w:val="20"/>
              </w:rPr>
            </w:pPr>
            <w:r w:rsidRPr="003D4982">
              <w:rPr>
                <w:rFonts w:cstheme="minorHAnsi"/>
                <w:szCs w:val="20"/>
              </w:rPr>
              <w:t>Design of traffic control systems and accident rates</w:t>
            </w:r>
          </w:p>
        </w:tc>
        <w:tc>
          <w:tcPr>
            <w:tcW w:w="2070" w:type="dxa"/>
          </w:tcPr>
          <w:p w14:paraId="5EE46E26" w14:textId="77777777" w:rsidR="00C73D24" w:rsidRPr="003D4982" w:rsidRDefault="00C73D24" w:rsidP="00874407">
            <w:pPr>
              <w:pStyle w:val="TableBodyText"/>
              <w:spacing w:before="20" w:after="20" w:line="240" w:lineRule="auto"/>
              <w:ind w:left="144" w:hanging="144"/>
              <w:rPr>
                <w:rFonts w:cstheme="minorHAnsi"/>
                <w:szCs w:val="20"/>
              </w:rPr>
            </w:pPr>
            <w:r w:rsidRPr="003D4982">
              <w:rPr>
                <w:rFonts w:cstheme="minorHAnsi"/>
                <w:szCs w:val="20"/>
              </w:rPr>
              <w:t>Safety conflicts due to vehicle mix and accident rates</w:t>
            </w:r>
          </w:p>
        </w:tc>
        <w:tc>
          <w:tcPr>
            <w:tcW w:w="1890" w:type="dxa"/>
          </w:tcPr>
          <w:p w14:paraId="7C62A35C" w14:textId="77777777" w:rsidR="00C73D24" w:rsidRPr="003D4982" w:rsidRDefault="00C73D24" w:rsidP="00874407">
            <w:pPr>
              <w:pStyle w:val="TableBodyText"/>
              <w:spacing w:before="20" w:after="20" w:line="240" w:lineRule="auto"/>
              <w:ind w:left="144" w:hanging="144"/>
              <w:rPr>
                <w:rFonts w:cstheme="minorHAnsi"/>
                <w:szCs w:val="20"/>
              </w:rPr>
            </w:pPr>
            <w:r w:rsidRPr="003D4982">
              <w:rPr>
                <w:rFonts w:cstheme="minorHAnsi"/>
                <w:szCs w:val="20"/>
              </w:rPr>
              <w:t>Weight limits and regulations</w:t>
            </w:r>
          </w:p>
        </w:tc>
        <w:tc>
          <w:tcPr>
            <w:tcW w:w="1625" w:type="dxa"/>
          </w:tcPr>
          <w:p w14:paraId="6F21EE6A" w14:textId="77777777" w:rsidR="00C73D24" w:rsidRPr="003D4982" w:rsidRDefault="00C73D24" w:rsidP="00874407">
            <w:pPr>
              <w:pStyle w:val="TableBodyText"/>
              <w:spacing w:before="20" w:after="20" w:line="240" w:lineRule="auto"/>
              <w:ind w:left="144" w:hanging="144"/>
              <w:rPr>
                <w:rFonts w:cstheme="minorHAnsi"/>
                <w:szCs w:val="20"/>
              </w:rPr>
            </w:pPr>
            <w:r w:rsidRPr="003D4982">
              <w:rPr>
                <w:rFonts w:cstheme="minorHAnsi"/>
                <w:szCs w:val="20"/>
              </w:rPr>
              <w:t>Design of safety systems</w:t>
            </w:r>
          </w:p>
        </w:tc>
      </w:tr>
      <w:tr w:rsidR="00C73D24" w:rsidRPr="003D4982" w14:paraId="5CB72303" w14:textId="77777777" w:rsidTr="007C54FC">
        <w:trPr>
          <w:trHeight w:val="60"/>
          <w:jc w:val="center"/>
        </w:trPr>
        <w:tc>
          <w:tcPr>
            <w:tcW w:w="1435" w:type="dxa"/>
          </w:tcPr>
          <w:p w14:paraId="1C86A725" w14:textId="77777777" w:rsidR="00C73D24" w:rsidRPr="003D4982" w:rsidRDefault="00C73D24" w:rsidP="003D4982">
            <w:pPr>
              <w:pStyle w:val="TableBodyText"/>
              <w:spacing w:before="20" w:after="20" w:line="240" w:lineRule="auto"/>
              <w:rPr>
                <w:rFonts w:cstheme="minorHAnsi"/>
                <w:b/>
                <w:bCs/>
                <w:szCs w:val="20"/>
              </w:rPr>
            </w:pPr>
            <w:r w:rsidRPr="003D4982">
              <w:rPr>
                <w:rFonts w:cstheme="minorHAnsi"/>
                <w:b/>
                <w:bCs/>
                <w:szCs w:val="20"/>
              </w:rPr>
              <w:t>Statistics</w:t>
            </w:r>
          </w:p>
        </w:tc>
        <w:tc>
          <w:tcPr>
            <w:tcW w:w="2340" w:type="dxa"/>
          </w:tcPr>
          <w:p w14:paraId="5B813553" w14:textId="77777777" w:rsidR="00C73D24" w:rsidRPr="003D4982" w:rsidRDefault="00051B79" w:rsidP="00874407">
            <w:pPr>
              <w:pStyle w:val="TableBodyText"/>
              <w:spacing w:before="20" w:after="60" w:line="240" w:lineRule="auto"/>
              <w:ind w:left="144" w:hanging="144"/>
              <w:rPr>
                <w:rFonts w:cstheme="minorHAnsi"/>
                <w:szCs w:val="20"/>
              </w:rPr>
            </w:pPr>
            <w:r w:rsidRPr="003D4982">
              <w:rPr>
                <w:rFonts w:cstheme="minorHAnsi"/>
                <w:szCs w:val="20"/>
              </w:rPr>
              <w:t xml:space="preserve">Annual </w:t>
            </w:r>
            <w:r w:rsidR="00C73D24" w:rsidRPr="003D4982">
              <w:rPr>
                <w:rFonts w:cstheme="minorHAnsi"/>
                <w:szCs w:val="20"/>
              </w:rPr>
              <w:t>Average daily traffic</w:t>
            </w:r>
          </w:p>
          <w:p w14:paraId="74C6FD52" w14:textId="42CCBE7E" w:rsidR="00051B79" w:rsidRPr="003D4982" w:rsidRDefault="00051B79" w:rsidP="00874407">
            <w:pPr>
              <w:pStyle w:val="TableBodyText"/>
              <w:spacing w:before="20" w:after="20" w:line="240" w:lineRule="auto"/>
              <w:ind w:left="144" w:hanging="144"/>
              <w:rPr>
                <w:rFonts w:cstheme="minorHAnsi"/>
                <w:szCs w:val="20"/>
              </w:rPr>
            </w:pPr>
            <w:r w:rsidRPr="003D4982">
              <w:rPr>
                <w:rFonts w:cstheme="minorHAnsi"/>
                <w:szCs w:val="20"/>
              </w:rPr>
              <w:t>Vehicle Miles Traveled</w:t>
            </w:r>
          </w:p>
        </w:tc>
        <w:tc>
          <w:tcPr>
            <w:tcW w:w="2070" w:type="dxa"/>
          </w:tcPr>
          <w:p w14:paraId="10F12C8D" w14:textId="77777777" w:rsidR="00C73D24" w:rsidRPr="003D4982" w:rsidRDefault="00C73D24" w:rsidP="00874407">
            <w:pPr>
              <w:pStyle w:val="TableBodyText"/>
              <w:spacing w:before="20" w:after="20" w:line="240" w:lineRule="auto"/>
              <w:ind w:left="144" w:hanging="144"/>
              <w:rPr>
                <w:rFonts w:cstheme="minorHAnsi"/>
                <w:szCs w:val="20"/>
              </w:rPr>
            </w:pPr>
            <w:r w:rsidRPr="003D4982">
              <w:rPr>
                <w:rFonts w:cstheme="minorHAnsi"/>
                <w:szCs w:val="20"/>
              </w:rPr>
              <w:t>Travel by vehicle type</w:t>
            </w:r>
          </w:p>
        </w:tc>
        <w:tc>
          <w:tcPr>
            <w:tcW w:w="1890" w:type="dxa"/>
          </w:tcPr>
          <w:p w14:paraId="0F46D725" w14:textId="77777777" w:rsidR="00C73D24" w:rsidRPr="003D4982" w:rsidRDefault="00C73D24" w:rsidP="00874407">
            <w:pPr>
              <w:pStyle w:val="TableBodyText"/>
              <w:spacing w:before="20" w:after="20" w:line="240" w:lineRule="auto"/>
              <w:ind w:left="144" w:hanging="144"/>
              <w:rPr>
                <w:rFonts w:cstheme="minorHAnsi"/>
                <w:szCs w:val="20"/>
              </w:rPr>
            </w:pPr>
            <w:r w:rsidRPr="003D4982">
              <w:rPr>
                <w:rFonts w:cstheme="minorHAnsi"/>
                <w:szCs w:val="20"/>
              </w:rPr>
              <w:t>Average weight by vehicle class</w:t>
            </w:r>
          </w:p>
        </w:tc>
        <w:tc>
          <w:tcPr>
            <w:tcW w:w="1625" w:type="dxa"/>
          </w:tcPr>
          <w:p w14:paraId="2BB86994" w14:textId="77777777" w:rsidR="00C73D24" w:rsidRPr="003D4982" w:rsidRDefault="00C73D24" w:rsidP="00874407">
            <w:pPr>
              <w:pStyle w:val="TableBodyText"/>
              <w:spacing w:before="20" w:after="20" w:line="240" w:lineRule="auto"/>
              <w:ind w:left="144" w:hanging="144"/>
              <w:rPr>
                <w:rFonts w:cstheme="minorHAnsi"/>
                <w:szCs w:val="20"/>
              </w:rPr>
            </w:pPr>
            <w:r w:rsidRPr="003D4982">
              <w:rPr>
                <w:rFonts w:cstheme="minorHAnsi"/>
                <w:szCs w:val="20"/>
              </w:rPr>
              <w:t>85</w:t>
            </w:r>
            <w:r w:rsidRPr="00874407">
              <w:rPr>
                <w:rFonts w:cstheme="minorHAnsi"/>
                <w:szCs w:val="20"/>
              </w:rPr>
              <w:t>th</w:t>
            </w:r>
            <w:r w:rsidRPr="003D4982">
              <w:rPr>
                <w:rFonts w:cstheme="minorHAnsi"/>
                <w:szCs w:val="20"/>
              </w:rPr>
              <w:t xml:space="preserve"> percentile</w:t>
            </w:r>
          </w:p>
        </w:tc>
      </w:tr>
      <w:tr w:rsidR="00C73D24" w:rsidRPr="003D4982" w14:paraId="2BB6F6B1" w14:textId="77777777" w:rsidTr="007C54FC">
        <w:trPr>
          <w:trHeight w:val="60"/>
          <w:jc w:val="center"/>
        </w:trPr>
        <w:tc>
          <w:tcPr>
            <w:tcW w:w="1435" w:type="dxa"/>
          </w:tcPr>
          <w:p w14:paraId="78C71888" w14:textId="77777777" w:rsidR="00C73D24" w:rsidRPr="003D4982" w:rsidRDefault="00C73D24" w:rsidP="003D4982">
            <w:pPr>
              <w:pStyle w:val="TableBodyText"/>
              <w:spacing w:before="20" w:after="20" w:line="240" w:lineRule="auto"/>
              <w:rPr>
                <w:rFonts w:cstheme="minorHAnsi"/>
                <w:b/>
                <w:bCs/>
                <w:szCs w:val="20"/>
              </w:rPr>
            </w:pPr>
            <w:r w:rsidRPr="003D4982">
              <w:rPr>
                <w:rFonts w:cstheme="minorHAnsi"/>
                <w:b/>
                <w:bCs/>
                <w:szCs w:val="20"/>
              </w:rPr>
              <w:t>Private Sector</w:t>
            </w:r>
          </w:p>
        </w:tc>
        <w:tc>
          <w:tcPr>
            <w:tcW w:w="2340" w:type="dxa"/>
          </w:tcPr>
          <w:p w14:paraId="09050F92" w14:textId="77777777" w:rsidR="00C73D24" w:rsidRPr="003D4982" w:rsidRDefault="00C73D24" w:rsidP="00874407">
            <w:pPr>
              <w:pStyle w:val="TableBodyText"/>
              <w:spacing w:before="20" w:after="60" w:line="240" w:lineRule="auto"/>
              <w:ind w:left="144" w:hanging="144"/>
              <w:rPr>
                <w:rFonts w:cstheme="minorHAnsi"/>
                <w:szCs w:val="20"/>
              </w:rPr>
            </w:pPr>
            <w:r w:rsidRPr="003D4982">
              <w:rPr>
                <w:rFonts w:cstheme="minorHAnsi"/>
                <w:szCs w:val="20"/>
              </w:rPr>
              <w:t>Location of service areas</w:t>
            </w:r>
          </w:p>
          <w:p w14:paraId="499DA396" w14:textId="77777777" w:rsidR="00C73D24" w:rsidRPr="003D4982" w:rsidRDefault="00C73D24" w:rsidP="00874407">
            <w:pPr>
              <w:pStyle w:val="TableBodyText"/>
              <w:spacing w:before="20" w:after="60" w:line="240" w:lineRule="auto"/>
              <w:ind w:left="144" w:hanging="144"/>
              <w:rPr>
                <w:rFonts w:cstheme="minorHAnsi"/>
                <w:szCs w:val="20"/>
              </w:rPr>
            </w:pPr>
            <w:r w:rsidRPr="003D4982">
              <w:rPr>
                <w:rFonts w:cstheme="minorHAnsi"/>
                <w:szCs w:val="20"/>
              </w:rPr>
              <w:t>Development planning</w:t>
            </w:r>
          </w:p>
          <w:p w14:paraId="223318C0" w14:textId="3647E556" w:rsidR="00051B79" w:rsidRPr="003D4982" w:rsidRDefault="00051B79" w:rsidP="00874407">
            <w:pPr>
              <w:pStyle w:val="TableBodyText"/>
              <w:spacing w:before="20" w:after="20" w:line="240" w:lineRule="auto"/>
              <w:ind w:left="144" w:hanging="144"/>
              <w:rPr>
                <w:rFonts w:cstheme="minorHAnsi"/>
                <w:szCs w:val="20"/>
              </w:rPr>
            </w:pPr>
            <w:r w:rsidRPr="003D4982">
              <w:rPr>
                <w:rFonts w:cstheme="minorHAnsi"/>
                <w:szCs w:val="20"/>
              </w:rPr>
              <w:t>Business loans</w:t>
            </w:r>
          </w:p>
        </w:tc>
        <w:tc>
          <w:tcPr>
            <w:tcW w:w="2070" w:type="dxa"/>
          </w:tcPr>
          <w:p w14:paraId="1D4946E2" w14:textId="77777777" w:rsidR="00C73D24" w:rsidRPr="003D4982" w:rsidRDefault="00C73D24" w:rsidP="00874407">
            <w:pPr>
              <w:pStyle w:val="TableBodyText"/>
              <w:spacing w:before="20" w:after="20" w:line="240" w:lineRule="auto"/>
              <w:ind w:left="144" w:hanging="144"/>
              <w:rPr>
                <w:rFonts w:cstheme="minorHAnsi"/>
                <w:szCs w:val="20"/>
              </w:rPr>
            </w:pPr>
            <w:r w:rsidRPr="003D4982">
              <w:rPr>
                <w:rFonts w:cstheme="minorHAnsi"/>
                <w:szCs w:val="20"/>
              </w:rPr>
              <w:t>Marketing keyed to particular vehicle types</w:t>
            </w:r>
          </w:p>
        </w:tc>
        <w:tc>
          <w:tcPr>
            <w:tcW w:w="1890" w:type="dxa"/>
          </w:tcPr>
          <w:p w14:paraId="1F310A5F" w14:textId="77777777" w:rsidR="00C73D24" w:rsidRPr="003D4982" w:rsidRDefault="00C73D24" w:rsidP="00874407">
            <w:pPr>
              <w:pStyle w:val="TableBodyText"/>
              <w:spacing w:before="20" w:after="60" w:line="240" w:lineRule="auto"/>
              <w:ind w:left="144" w:hanging="144"/>
              <w:rPr>
                <w:rFonts w:cstheme="minorHAnsi"/>
                <w:szCs w:val="20"/>
              </w:rPr>
            </w:pPr>
            <w:r w:rsidRPr="003D4982">
              <w:rPr>
                <w:rFonts w:cstheme="minorHAnsi"/>
                <w:szCs w:val="20"/>
              </w:rPr>
              <w:t>Trends in freight movement</w:t>
            </w:r>
          </w:p>
          <w:p w14:paraId="37678FD1" w14:textId="77777777" w:rsidR="00C73D24" w:rsidRPr="003D4982" w:rsidRDefault="00C73D24" w:rsidP="00874407">
            <w:pPr>
              <w:pStyle w:val="TableBodyText"/>
              <w:spacing w:before="20" w:after="20" w:line="240" w:lineRule="auto"/>
              <w:ind w:left="144" w:hanging="144"/>
              <w:rPr>
                <w:rFonts w:cstheme="minorHAnsi"/>
                <w:szCs w:val="20"/>
              </w:rPr>
            </w:pPr>
            <w:r w:rsidRPr="003D4982">
              <w:rPr>
                <w:rFonts w:cstheme="minorHAnsi"/>
                <w:szCs w:val="20"/>
              </w:rPr>
              <w:t>Truck lanes</w:t>
            </w:r>
          </w:p>
        </w:tc>
        <w:tc>
          <w:tcPr>
            <w:tcW w:w="1625" w:type="dxa"/>
          </w:tcPr>
          <w:p w14:paraId="1B050C56" w14:textId="77777777" w:rsidR="00C73D24" w:rsidRPr="003D4982" w:rsidRDefault="00C73D24" w:rsidP="00874407">
            <w:pPr>
              <w:pStyle w:val="TableBodyText"/>
              <w:spacing w:before="20" w:after="20" w:line="240" w:lineRule="auto"/>
              <w:ind w:left="144" w:hanging="144"/>
              <w:rPr>
                <w:rFonts w:cstheme="minorHAnsi"/>
                <w:szCs w:val="20"/>
              </w:rPr>
            </w:pPr>
            <w:r w:rsidRPr="003D4982">
              <w:rPr>
                <w:rFonts w:cstheme="minorHAnsi"/>
                <w:szCs w:val="20"/>
              </w:rPr>
              <w:t>Accessibility to service areas</w:t>
            </w:r>
          </w:p>
        </w:tc>
      </w:tr>
      <w:tr w:rsidR="00C73D24" w:rsidRPr="003D4982" w14:paraId="4317AB6D" w14:textId="77777777" w:rsidTr="007C54FC">
        <w:trPr>
          <w:trHeight w:val="60"/>
          <w:jc w:val="center"/>
        </w:trPr>
        <w:tc>
          <w:tcPr>
            <w:tcW w:w="1435" w:type="dxa"/>
          </w:tcPr>
          <w:p w14:paraId="2522A7AA" w14:textId="77777777" w:rsidR="00C73D24" w:rsidRPr="003D4982" w:rsidRDefault="00C73D24" w:rsidP="003D4982">
            <w:pPr>
              <w:pStyle w:val="TableBodyText"/>
              <w:spacing w:before="20" w:after="20" w:line="240" w:lineRule="auto"/>
              <w:rPr>
                <w:rFonts w:cstheme="minorHAnsi"/>
                <w:b/>
                <w:bCs/>
                <w:szCs w:val="20"/>
              </w:rPr>
            </w:pPr>
            <w:r w:rsidRPr="003D4982">
              <w:rPr>
                <w:rFonts w:cstheme="minorHAnsi"/>
                <w:b/>
                <w:bCs/>
                <w:szCs w:val="20"/>
              </w:rPr>
              <w:t>Administration, Other</w:t>
            </w:r>
          </w:p>
        </w:tc>
        <w:tc>
          <w:tcPr>
            <w:tcW w:w="2340" w:type="dxa"/>
          </w:tcPr>
          <w:p w14:paraId="3D86E38C" w14:textId="77777777" w:rsidR="00C73D24" w:rsidRPr="003D4982" w:rsidRDefault="00C73D24" w:rsidP="00874407">
            <w:pPr>
              <w:pStyle w:val="TableBodyText"/>
              <w:spacing w:before="20" w:after="20" w:line="240" w:lineRule="auto"/>
              <w:ind w:left="144" w:hanging="144"/>
              <w:rPr>
                <w:rFonts w:cstheme="minorHAnsi"/>
                <w:szCs w:val="20"/>
              </w:rPr>
            </w:pPr>
            <w:r w:rsidRPr="003D4982">
              <w:rPr>
                <w:rFonts w:cstheme="minorHAnsi"/>
                <w:szCs w:val="20"/>
              </w:rPr>
              <w:t>Performance measurement, resource allocation, emergency operations, asset management</w:t>
            </w:r>
          </w:p>
        </w:tc>
        <w:tc>
          <w:tcPr>
            <w:tcW w:w="2070" w:type="dxa"/>
          </w:tcPr>
          <w:p w14:paraId="7AD453F0" w14:textId="77777777" w:rsidR="00C73D24" w:rsidRPr="003D4982" w:rsidRDefault="00C73D24" w:rsidP="00874407">
            <w:pPr>
              <w:pStyle w:val="TableBodyText"/>
              <w:spacing w:before="20" w:after="60" w:line="240" w:lineRule="auto"/>
              <w:ind w:left="144" w:hanging="144"/>
              <w:rPr>
                <w:rFonts w:cstheme="minorHAnsi"/>
                <w:szCs w:val="20"/>
              </w:rPr>
            </w:pPr>
            <w:r w:rsidRPr="003D4982">
              <w:rPr>
                <w:rFonts w:cstheme="minorHAnsi"/>
                <w:szCs w:val="20"/>
              </w:rPr>
              <w:t>Lane use</w:t>
            </w:r>
          </w:p>
          <w:p w14:paraId="3EA51579" w14:textId="77777777" w:rsidR="00C73D24" w:rsidRPr="003D4982" w:rsidRDefault="00C73D24" w:rsidP="00874407">
            <w:pPr>
              <w:pStyle w:val="TableBodyText"/>
              <w:spacing w:before="20" w:after="20" w:line="240" w:lineRule="auto"/>
              <w:ind w:left="144" w:hanging="144"/>
              <w:rPr>
                <w:rFonts w:cstheme="minorHAnsi"/>
                <w:szCs w:val="20"/>
              </w:rPr>
            </w:pPr>
            <w:r w:rsidRPr="003D4982">
              <w:rPr>
                <w:rFonts w:cstheme="minorHAnsi"/>
                <w:szCs w:val="20"/>
              </w:rPr>
              <w:t>Tax administration</w:t>
            </w:r>
          </w:p>
        </w:tc>
        <w:tc>
          <w:tcPr>
            <w:tcW w:w="1890" w:type="dxa"/>
          </w:tcPr>
          <w:p w14:paraId="5E35A363" w14:textId="77777777" w:rsidR="00C73D24" w:rsidRPr="003D4982" w:rsidRDefault="00C73D24" w:rsidP="00874407">
            <w:pPr>
              <w:pStyle w:val="TableBodyText"/>
              <w:spacing w:before="20" w:after="20" w:line="240" w:lineRule="auto"/>
              <w:ind w:left="144" w:hanging="144"/>
              <w:rPr>
                <w:rFonts w:cstheme="minorHAnsi"/>
                <w:szCs w:val="20"/>
              </w:rPr>
            </w:pPr>
            <w:r w:rsidRPr="003D4982">
              <w:rPr>
                <w:rFonts w:cstheme="minorHAnsi"/>
                <w:szCs w:val="20"/>
              </w:rPr>
              <w:t>Enforcement</w:t>
            </w:r>
          </w:p>
        </w:tc>
        <w:tc>
          <w:tcPr>
            <w:tcW w:w="1625" w:type="dxa"/>
          </w:tcPr>
          <w:p w14:paraId="4ACA0466" w14:textId="045795EE" w:rsidR="00C73D24" w:rsidRPr="00874407" w:rsidRDefault="003B7D35" w:rsidP="00874407">
            <w:pPr>
              <w:pStyle w:val="TableBodyText"/>
              <w:spacing w:before="20" w:after="20" w:line="240" w:lineRule="auto"/>
              <w:ind w:left="144" w:hanging="144"/>
              <w:rPr>
                <w:rFonts w:cstheme="minorHAnsi"/>
                <w:szCs w:val="20"/>
              </w:rPr>
            </w:pPr>
            <w:r w:rsidRPr="00874407">
              <w:rPr>
                <w:rFonts w:cstheme="minorHAnsi"/>
                <w:szCs w:val="20"/>
              </w:rPr>
              <w:t>N/A</w:t>
            </w:r>
          </w:p>
        </w:tc>
      </w:tr>
    </w:tbl>
    <w:p w14:paraId="4A09C2B4" w14:textId="2EE6CCDF" w:rsidR="00335BE0" w:rsidRPr="00F468E1" w:rsidRDefault="00C73D24">
      <w:pPr>
        <w:pStyle w:val="Heading2"/>
      </w:pPr>
      <w:bookmarkStart w:id="297" w:name="_Toc33968111"/>
      <w:bookmarkStart w:id="298" w:name="_Toc44415694"/>
      <w:bookmarkStart w:id="299" w:name="_Toc57736820"/>
      <w:bookmarkStart w:id="300" w:name="_Toc68864927"/>
      <w:bookmarkStart w:id="301" w:name="_Toc114474712"/>
      <w:bookmarkStart w:id="302" w:name="_Toc114485828"/>
      <w:bookmarkStart w:id="303" w:name="_Toc114488077"/>
      <w:bookmarkStart w:id="304" w:name="_Toc118205565"/>
      <w:bookmarkEnd w:id="291"/>
      <w:r w:rsidRPr="00F468E1">
        <w:t>Program Design Considerations</w:t>
      </w:r>
      <w:bookmarkEnd w:id="297"/>
      <w:bookmarkEnd w:id="298"/>
      <w:bookmarkEnd w:id="299"/>
      <w:bookmarkEnd w:id="300"/>
      <w:bookmarkEnd w:id="301"/>
      <w:bookmarkEnd w:id="302"/>
      <w:bookmarkEnd w:id="303"/>
      <w:bookmarkEnd w:id="304"/>
    </w:p>
    <w:p w14:paraId="7FC8067E" w14:textId="088B74AD" w:rsidR="009E6BEB" w:rsidRPr="00786D11" w:rsidRDefault="0035111C" w:rsidP="00A35EAF">
      <w:pPr>
        <w:pStyle w:val="BodyText"/>
      </w:pPr>
      <w:r w:rsidRPr="00786D11">
        <w:t>S</w:t>
      </w:r>
      <w:r w:rsidR="00C73D24" w:rsidRPr="00786D11">
        <w:t xml:space="preserve">tatewide traffic monitoring programs </w:t>
      </w:r>
      <w:r w:rsidRPr="00786D11">
        <w:t xml:space="preserve">are </w:t>
      </w:r>
      <w:r w:rsidR="00C73D24" w:rsidRPr="00786D11">
        <w:t xml:space="preserve">designed to collect </w:t>
      </w:r>
      <w:r w:rsidR="00C326E4" w:rsidRPr="00786D11">
        <w:t>four</w:t>
      </w:r>
      <w:r w:rsidR="00C73D24" w:rsidRPr="00786D11">
        <w:t xml:space="preserve"> types of data: volume, </w:t>
      </w:r>
      <w:r w:rsidR="00972A84" w:rsidRPr="00786D11">
        <w:t xml:space="preserve">speed, </w:t>
      </w:r>
      <w:r w:rsidR="00C73D24" w:rsidRPr="00786D11">
        <w:t>classification, and weight. The information obtained from statewide traffic</w:t>
      </w:r>
      <w:r w:rsidR="008F36C0" w:rsidRPr="00786D11">
        <w:t xml:space="preserve"> </w:t>
      </w:r>
      <w:r w:rsidR="00C73D24" w:rsidRPr="00786D11">
        <w:t>monitoring programs is also the primary information resource for almost all general queries about road use in a State</w:t>
      </w:r>
      <w:r w:rsidR="009E6BEB" w:rsidRPr="00786D11">
        <w:t>. T</w:t>
      </w:r>
      <w:r w:rsidR="0085609D" w:rsidRPr="00786D11">
        <w:t>h</w:t>
      </w:r>
      <w:r w:rsidR="0023520C">
        <w:t>ese</w:t>
      </w:r>
      <w:r w:rsidR="009E6BEB" w:rsidRPr="00786D11">
        <w:t xml:space="preserve"> data provide </w:t>
      </w:r>
      <w:r w:rsidRPr="00786D11">
        <w:t>a critical framework for effective decision making.</w:t>
      </w:r>
      <w:r w:rsidR="00C73D24" w:rsidRPr="00786D11">
        <w:t xml:space="preserve"> </w:t>
      </w:r>
    </w:p>
    <w:p w14:paraId="26770ADA" w14:textId="2DD22D93" w:rsidR="00C73D24" w:rsidRPr="00786D11" w:rsidRDefault="00C73D24" w:rsidP="00A35EAF">
      <w:pPr>
        <w:pStyle w:val="BodyText"/>
      </w:pPr>
      <w:r w:rsidRPr="00786D11">
        <w:t>Many users, both inside and outside of State highway agencies, periodically need basic traffic statistics, and those statistics should be readily available and comparable throughout the State</w:t>
      </w:r>
      <w:r w:rsidR="0035111C" w:rsidRPr="00786D11">
        <w:t xml:space="preserve"> and between States</w:t>
      </w:r>
      <w:r w:rsidRPr="00786D11">
        <w:t xml:space="preserve">. Requests for statewide data can range from how vehicle miles of travel are changing to compute carbon emissions to whether </w:t>
      </w:r>
      <w:r w:rsidRPr="00786D11">
        <w:lastRenderedPageBreak/>
        <w:t xml:space="preserve">specific roads carry enough volume to warrant new construction activity. </w:t>
      </w:r>
      <w:r w:rsidR="00301434">
        <w:t>A</w:t>
      </w:r>
      <w:r w:rsidRPr="00786D11">
        <w:t xml:space="preserve"> </w:t>
      </w:r>
      <w:r w:rsidR="00156665" w:rsidRPr="00786D11">
        <w:t xml:space="preserve">comprehensive </w:t>
      </w:r>
      <w:r w:rsidRPr="00786D11">
        <w:t xml:space="preserve">statewide counting program allows an agency to </w:t>
      </w:r>
      <w:r w:rsidR="00C326E4" w:rsidRPr="00786D11">
        <w:t xml:space="preserve">confidently and effectively </w:t>
      </w:r>
      <w:r w:rsidRPr="00786D11">
        <w:t xml:space="preserve">answer a wide range of key policy and business questions. </w:t>
      </w:r>
      <w:r w:rsidR="0035111C" w:rsidRPr="00786D11">
        <w:t xml:space="preserve">The ability to describe how much traffic is using a road reflects positively on the agency’s ability to effectively perform its responsibilities and manage its budget. Highway </w:t>
      </w:r>
      <w:r w:rsidRPr="00786D11">
        <w:t xml:space="preserve">agencies that cannot provide direct, timely, and accurate answers to these basic queries risk losing their credibility and subsequently the support of decision makers and the taxpaying public. </w:t>
      </w:r>
    </w:p>
    <w:p w14:paraId="0909EFFF" w14:textId="3D84503A" w:rsidR="00C73D24" w:rsidRPr="00786D11" w:rsidRDefault="00C73D24" w:rsidP="00A35EAF">
      <w:pPr>
        <w:pStyle w:val="BodyText"/>
      </w:pPr>
      <w:bookmarkStart w:id="305" w:name="_Hlk58231545"/>
      <w:r w:rsidRPr="00786D11">
        <w:t>While several traffic volume statistics are used in traffic analyses, of primary interest for the design of statewide traffic monitoring programs are AADT and average daily vehicle distance traveled (</w:t>
      </w:r>
      <w:r w:rsidR="00A506DB">
        <w:t>D</w:t>
      </w:r>
      <w:r w:rsidRPr="00786D11">
        <w:t>VDT). Because DVDT is computed by multiplying the roadway segment AADT by the length of that segment, the primary goal of most traffic monitoring programs is to develop accurate AADT estimates, which can then be expanded to estimates of travel.</w:t>
      </w:r>
    </w:p>
    <w:p w14:paraId="6ED53E10" w14:textId="45881494" w:rsidR="00DC23A8" w:rsidRPr="00F468E1" w:rsidRDefault="00C73D24">
      <w:pPr>
        <w:pStyle w:val="Heading3"/>
      </w:pPr>
      <w:bookmarkStart w:id="306" w:name="_Toc57737336"/>
      <w:bookmarkStart w:id="307" w:name="_Toc57733438"/>
      <w:bookmarkStart w:id="308" w:name="_Toc57736222"/>
      <w:bookmarkStart w:id="309" w:name="_Toc57736367"/>
      <w:bookmarkStart w:id="310" w:name="_Toc57736399"/>
      <w:bookmarkStart w:id="311" w:name="_Toc57736431"/>
      <w:bookmarkStart w:id="312" w:name="_Toc57736463"/>
      <w:bookmarkStart w:id="313" w:name="_Toc57736495"/>
      <w:bookmarkStart w:id="314" w:name="_Toc57736527"/>
      <w:bookmarkStart w:id="315" w:name="_Toc57736559"/>
      <w:bookmarkStart w:id="316" w:name="_Toc57736597"/>
      <w:bookmarkStart w:id="317" w:name="_Toc57736629"/>
      <w:bookmarkStart w:id="318" w:name="_Toc57736661"/>
      <w:bookmarkStart w:id="319" w:name="_Toc57736693"/>
      <w:bookmarkStart w:id="320" w:name="_Toc57736725"/>
      <w:bookmarkStart w:id="321" w:name="_Toc57736757"/>
      <w:bookmarkStart w:id="322" w:name="_Toc57736789"/>
      <w:bookmarkStart w:id="323" w:name="_Toc57736821"/>
      <w:bookmarkStart w:id="324" w:name="_Toc57736858"/>
      <w:bookmarkStart w:id="325" w:name="_Toc57736889"/>
      <w:bookmarkStart w:id="326" w:name="_Toc57736920"/>
      <w:bookmarkStart w:id="327" w:name="_Toc57736951"/>
      <w:bookmarkStart w:id="328" w:name="_Toc57736982"/>
      <w:bookmarkStart w:id="329" w:name="_Toc57737013"/>
      <w:bookmarkStart w:id="330" w:name="_Toc57737044"/>
      <w:bookmarkStart w:id="331" w:name="_Toc57737075"/>
      <w:bookmarkStart w:id="332" w:name="_Toc57737106"/>
      <w:bookmarkStart w:id="333" w:name="_Toc57737137"/>
      <w:bookmarkStart w:id="334" w:name="_Toc57737168"/>
      <w:bookmarkStart w:id="335" w:name="_Toc57737199"/>
      <w:bookmarkStart w:id="336" w:name="_Toc57737230"/>
      <w:bookmarkStart w:id="337" w:name="_Toc57737267"/>
      <w:bookmarkStart w:id="338" w:name="_Toc57737304"/>
      <w:bookmarkStart w:id="339" w:name="_Toc57737337"/>
      <w:bookmarkStart w:id="340" w:name="_Toc58352758"/>
      <w:bookmarkStart w:id="341" w:name="_Toc58353032"/>
      <w:bookmarkStart w:id="342" w:name="_Toc58353068"/>
      <w:bookmarkStart w:id="343" w:name="_Toc63858892"/>
      <w:bookmarkStart w:id="344" w:name="_Toc63860556"/>
      <w:bookmarkStart w:id="345" w:name="_Toc68700087"/>
      <w:bookmarkStart w:id="346" w:name="_Toc68700426"/>
      <w:bookmarkStart w:id="347" w:name="_Toc68700805"/>
      <w:bookmarkStart w:id="348" w:name="_Toc68798719"/>
      <w:bookmarkStart w:id="349" w:name="_Toc68798943"/>
      <w:bookmarkStart w:id="350" w:name="_Toc68800856"/>
      <w:bookmarkStart w:id="351" w:name="_Toc68801927"/>
      <w:bookmarkStart w:id="352" w:name="_Toc68806315"/>
      <w:bookmarkStart w:id="353" w:name="_Toc68806538"/>
      <w:bookmarkStart w:id="354" w:name="_Toc68806760"/>
      <w:bookmarkStart w:id="355" w:name="_Toc68862782"/>
      <w:bookmarkStart w:id="356" w:name="_Toc68864552"/>
      <w:bookmarkStart w:id="357" w:name="_Toc33968112"/>
      <w:bookmarkStart w:id="358" w:name="_Toc44415695"/>
      <w:bookmarkStart w:id="359" w:name="_Toc57736822"/>
      <w:bookmarkStart w:id="360" w:name="_Toc114488078"/>
      <w:bookmarkStart w:id="361" w:name="_Toc118205566"/>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r w:rsidRPr="00F468E1">
        <w:t>Statewide Traffic Monitoring Program Types (Regional, Roadway, Project Specific) Overview</w:t>
      </w:r>
      <w:bookmarkEnd w:id="357"/>
      <w:bookmarkEnd w:id="358"/>
      <w:bookmarkEnd w:id="359"/>
      <w:bookmarkEnd w:id="360"/>
      <w:bookmarkEnd w:id="361"/>
    </w:p>
    <w:p w14:paraId="328ABA74" w14:textId="1806A7A6" w:rsidR="00E9144E" w:rsidRPr="00F468E1" w:rsidRDefault="00E9144E">
      <w:pPr>
        <w:pStyle w:val="Heading4"/>
      </w:pPr>
      <w:bookmarkStart w:id="362" w:name="_Toc118205567"/>
      <w:r w:rsidRPr="00F468E1">
        <w:t>Regional and Sub-Area Traffic monitoring Design</w:t>
      </w:r>
      <w:bookmarkEnd w:id="362"/>
    </w:p>
    <w:p w14:paraId="0F1FD2B4" w14:textId="77777777" w:rsidR="00E9144E" w:rsidRPr="00786D11" w:rsidRDefault="00E9144E" w:rsidP="00A35EAF">
      <w:pPr>
        <w:pStyle w:val="BodyText"/>
      </w:pPr>
      <w:r w:rsidRPr="00786D11">
        <w:t xml:space="preserve">A traffic monitoring program can be implemented at regional or sub-area levels to address additional information needs that are not met as part of a general statewide program. Traffic monitoring at this level is generally more detailed than the statewide program and may include roads that are not part of the statewide program. </w:t>
      </w:r>
    </w:p>
    <w:p w14:paraId="52E2FFB5" w14:textId="02CA969C" w:rsidR="00E9144E" w:rsidRPr="00786D11" w:rsidRDefault="00E9144E" w:rsidP="00A35EAF">
      <w:pPr>
        <w:pStyle w:val="BodyText"/>
      </w:pPr>
      <w:r w:rsidRPr="00786D11">
        <w:t>Regional or sub-area monitoring plans are generally designed to answer specific questions of regional importance such as traffic movements that cross</w:t>
      </w:r>
      <w:r w:rsidR="0023520C">
        <w:t xml:space="preserve"> </w:t>
      </w:r>
      <w:r w:rsidRPr="00786D11">
        <w:t xml:space="preserve">jurisdictional borders (e.g., they may provide data that are used to allocate State resources between jurisdictions within the region). Regional traffic monitoring data such as congestion and travel time reliability </w:t>
      </w:r>
      <w:r w:rsidR="0023520C">
        <w:t>are</w:t>
      </w:r>
      <w:r w:rsidR="0023520C" w:rsidRPr="00786D11">
        <w:t xml:space="preserve"> </w:t>
      </w:r>
      <w:r w:rsidRPr="00786D11">
        <w:t xml:space="preserve">used to answer key scoping questions for upcoming regional projects. </w:t>
      </w:r>
    </w:p>
    <w:p w14:paraId="6978A50F" w14:textId="0B4D27D1" w:rsidR="00E9144E" w:rsidRDefault="00E9144E" w:rsidP="00A35EAF">
      <w:pPr>
        <w:pStyle w:val="BodyText"/>
      </w:pPr>
      <w:r w:rsidRPr="00786D11">
        <w:t xml:space="preserve">Similarly, detailed regional traffic counts can be vital to maintaining or improving the economic vitality of communities that depend on recreational movements. Data collection in geographic areas with recreational traffic movements may use different methods or times than would otherwise be collected for </w:t>
      </w:r>
      <w:r>
        <w:t>general State traffic monitoring purposes. Additional information with example</w:t>
      </w:r>
      <w:r w:rsidR="003A70F5">
        <w:t>s</w:t>
      </w:r>
      <w:r>
        <w:t xml:space="preserve"> of the design of a regional traffic monitoring program is found in </w:t>
      </w:r>
      <w:r w:rsidR="003A70F5">
        <w:t>Appendix B</w:t>
      </w:r>
      <w:r w:rsidRPr="00B80543">
        <w:t>.</w:t>
      </w:r>
      <w:r>
        <w:t xml:space="preserve"> </w:t>
      </w:r>
    </w:p>
    <w:p w14:paraId="1D37458F" w14:textId="525A5855" w:rsidR="003C1578" w:rsidRPr="00F468E1" w:rsidRDefault="003C1578">
      <w:pPr>
        <w:pStyle w:val="Heading4"/>
      </w:pPr>
      <w:bookmarkStart w:id="363" w:name="_Toc118205568"/>
      <w:r w:rsidRPr="00F468E1">
        <w:t>Roadway Facility Specific Traffic Monitoring Design</w:t>
      </w:r>
      <w:bookmarkEnd w:id="363"/>
    </w:p>
    <w:p w14:paraId="6C743485" w14:textId="420C8C9F" w:rsidR="003C1578" w:rsidRPr="00786D11" w:rsidRDefault="003C1578" w:rsidP="00A35EAF">
      <w:pPr>
        <w:pStyle w:val="BodyText"/>
      </w:pPr>
      <w:r>
        <w:t xml:space="preserve">Facility-specific monitoring plans are the most detailed level of traffic monitoring programs. Roadway facility-level monitoring provides data needed at the project level. A minimum of four data items are typically produced as part of these monitoring efforts: AADT, K-Factor, D-Factor, and truck percentages. However, </w:t>
      </w:r>
      <w:r w:rsidRPr="00786D11">
        <w:t xml:space="preserve">monitoring efforts may also collect data items that are needed for specific project purposes such as vehicle speed distributions, turning movements, </w:t>
      </w:r>
      <w:r w:rsidR="00156665" w:rsidRPr="00786D11">
        <w:t xml:space="preserve">lane distribution factors </w:t>
      </w:r>
      <w:r w:rsidRPr="00786D11">
        <w:t xml:space="preserve">and vehicle weight by class or by axle. </w:t>
      </w:r>
    </w:p>
    <w:p w14:paraId="03DF0108" w14:textId="7E74F0BC" w:rsidR="003C1578" w:rsidRPr="00786D11" w:rsidRDefault="003C1578" w:rsidP="00A35EAF">
      <w:pPr>
        <w:pStyle w:val="BodyText"/>
      </w:pPr>
      <w:r w:rsidRPr="00786D11">
        <w:t xml:space="preserve">Facility-specific traffic monitoring programs are designed to provide the site-specific traffic statistics needed for roadway project development and planning studies. </w:t>
      </w:r>
      <w:r w:rsidR="00786D11">
        <w:t>Special counts are added to the overall traffic count database throughout the calendar year to capture special traffic data as needed.</w:t>
      </w:r>
      <w:r w:rsidR="004D4172">
        <w:t xml:space="preserve"> </w:t>
      </w:r>
      <w:r w:rsidRPr="00786D11">
        <w:t xml:space="preserve">They are also used to collect the detailed data needed to design, implement, and refine traffic operations plans (e.g., traffic signal timing or event planning). Well-designed facility monitoring plans are fundamental to the effective management and operation of heavily used roadways. </w:t>
      </w:r>
    </w:p>
    <w:p w14:paraId="7CCD8F89" w14:textId="64796751" w:rsidR="007E0937" w:rsidRPr="00F468E1" w:rsidRDefault="007E0937">
      <w:pPr>
        <w:pStyle w:val="Heading3"/>
      </w:pPr>
      <w:bookmarkStart w:id="364" w:name="_Toc33968116"/>
      <w:bookmarkStart w:id="365" w:name="_Toc44415698"/>
      <w:bookmarkStart w:id="366" w:name="_Toc57736827"/>
      <w:bookmarkStart w:id="367" w:name="_Toc114488079"/>
      <w:bookmarkStart w:id="368" w:name="_Toc118205569"/>
      <w:r w:rsidRPr="00F468E1">
        <w:t xml:space="preserve">Components of a </w:t>
      </w:r>
      <w:r w:rsidR="00CC20CD" w:rsidRPr="00F468E1">
        <w:t>Traffic</w:t>
      </w:r>
      <w:r w:rsidRPr="00F468E1">
        <w:t xml:space="preserve"> Data Program</w:t>
      </w:r>
      <w:bookmarkEnd w:id="364"/>
      <w:bookmarkEnd w:id="365"/>
      <w:bookmarkEnd w:id="366"/>
      <w:bookmarkEnd w:id="367"/>
      <w:bookmarkEnd w:id="368"/>
    </w:p>
    <w:p w14:paraId="4A757915" w14:textId="7C88A88B" w:rsidR="007E0937" w:rsidRPr="00786D11" w:rsidRDefault="007E0937" w:rsidP="00A35EAF">
      <w:pPr>
        <w:pStyle w:val="BodyText"/>
      </w:pPr>
      <w:r w:rsidRPr="00786D11">
        <w:t xml:space="preserve">The </w:t>
      </w:r>
      <w:r w:rsidRPr="00786D11">
        <w:rPr>
          <w:i/>
          <w:iCs/>
          <w:spacing w:val="-2"/>
        </w:rPr>
        <w:t>TMG</w:t>
      </w:r>
      <w:r w:rsidRPr="00786D11">
        <w:t xml:space="preserve"> is designed to provide guidance to States, MPOs</w:t>
      </w:r>
      <w:r w:rsidR="001C6CA6">
        <w:t>,</w:t>
      </w:r>
      <w:r w:rsidRPr="00786D11">
        <w:t xml:space="preserve"> and local agencies in establishing and maintaining a traffic monitoring program. Other national reference material includes the</w:t>
      </w:r>
      <w:r w:rsidRPr="00786D11">
        <w:rPr>
          <w:i/>
          <w:iCs/>
          <w:spacing w:val="-2"/>
        </w:rPr>
        <w:t xml:space="preserve"> </w:t>
      </w:r>
      <w:bookmarkStart w:id="369" w:name="_Hlk76051779"/>
      <w:r w:rsidRPr="00786D11">
        <w:rPr>
          <w:i/>
          <w:iCs/>
          <w:spacing w:val="-2"/>
        </w:rPr>
        <w:t>AASHTO Guidelines for Traffic Programs</w:t>
      </w:r>
      <w:r w:rsidR="00FF5B13">
        <w:rPr>
          <w:i/>
          <w:iCs/>
          <w:spacing w:val="-2"/>
        </w:rPr>
        <w:t xml:space="preserve"> (</w:t>
      </w:r>
      <w:r w:rsidR="00FF5B13" w:rsidRPr="00FF5B13">
        <w:rPr>
          <w:spacing w:val="-2"/>
        </w:rPr>
        <w:t>A</w:t>
      </w:r>
      <w:r w:rsidR="00653225">
        <w:rPr>
          <w:spacing w:val="-2"/>
        </w:rPr>
        <w:t>A</w:t>
      </w:r>
      <w:r w:rsidR="00FF5B13" w:rsidRPr="00FF5B13">
        <w:rPr>
          <w:spacing w:val="-2"/>
        </w:rPr>
        <w:t>SHTO 2009</w:t>
      </w:r>
      <w:r w:rsidR="00FF5B13">
        <w:rPr>
          <w:i/>
          <w:iCs/>
          <w:spacing w:val="-2"/>
        </w:rPr>
        <w:t>)</w:t>
      </w:r>
      <w:r w:rsidR="00F03237" w:rsidRPr="00786D11">
        <w:rPr>
          <w:i/>
          <w:iCs/>
          <w:spacing w:val="-2"/>
        </w:rPr>
        <w:t>, the WIM Pocket Guide</w:t>
      </w:r>
      <w:r w:rsidR="00FF5B13">
        <w:rPr>
          <w:i/>
          <w:iCs/>
          <w:spacing w:val="-2"/>
        </w:rPr>
        <w:t xml:space="preserve"> (</w:t>
      </w:r>
      <w:r w:rsidR="00FF5B13" w:rsidRPr="00FF5B13">
        <w:rPr>
          <w:spacing w:val="-2"/>
        </w:rPr>
        <w:t>FHWA 2018</w:t>
      </w:r>
      <w:r w:rsidR="00FF5B13">
        <w:rPr>
          <w:i/>
          <w:iCs/>
          <w:spacing w:val="-2"/>
        </w:rPr>
        <w:t>)</w:t>
      </w:r>
      <w:r w:rsidR="00156665" w:rsidRPr="00786D11">
        <w:t xml:space="preserve">, </w:t>
      </w:r>
      <w:r w:rsidRPr="00786D11">
        <w:rPr>
          <w:i/>
          <w:iCs/>
          <w:spacing w:val="-2"/>
        </w:rPr>
        <w:t xml:space="preserve">ASTM </w:t>
      </w:r>
      <w:r w:rsidR="00156665" w:rsidRPr="00786D11">
        <w:rPr>
          <w:i/>
          <w:iCs/>
          <w:spacing w:val="-2"/>
        </w:rPr>
        <w:t xml:space="preserve">and both the FHWA </w:t>
      </w:r>
      <w:r w:rsidR="00FF5B13">
        <w:rPr>
          <w:i/>
          <w:iCs/>
          <w:spacing w:val="-2"/>
        </w:rPr>
        <w:t>Traffic</w:t>
      </w:r>
      <w:r w:rsidRPr="00786D11">
        <w:rPr>
          <w:i/>
          <w:iCs/>
          <w:spacing w:val="-2"/>
        </w:rPr>
        <w:t xml:space="preserve"> Detector Handbook</w:t>
      </w:r>
      <w:r w:rsidR="00156665" w:rsidRPr="00786D11">
        <w:rPr>
          <w:i/>
          <w:iCs/>
          <w:spacing w:val="-2"/>
        </w:rPr>
        <w:t xml:space="preserve"> </w:t>
      </w:r>
      <w:r w:rsidR="00FF5B13">
        <w:rPr>
          <w:i/>
          <w:iCs/>
          <w:spacing w:val="-2"/>
        </w:rPr>
        <w:t>(</w:t>
      </w:r>
      <w:r w:rsidR="00FF5B13" w:rsidRPr="00FF5B13">
        <w:rPr>
          <w:spacing w:val="-2"/>
        </w:rPr>
        <w:t>FHWA 2006</w:t>
      </w:r>
      <w:r w:rsidR="00FF5B13">
        <w:rPr>
          <w:i/>
          <w:iCs/>
          <w:spacing w:val="-2"/>
        </w:rPr>
        <w:t xml:space="preserve">) </w:t>
      </w:r>
      <w:r w:rsidR="00156665" w:rsidRPr="00786D11">
        <w:rPr>
          <w:i/>
          <w:iCs/>
          <w:spacing w:val="-2"/>
        </w:rPr>
        <w:t>and HPMS Field Manual</w:t>
      </w:r>
      <w:r w:rsidR="00FF5B13">
        <w:rPr>
          <w:i/>
          <w:iCs/>
          <w:spacing w:val="-2"/>
        </w:rPr>
        <w:t xml:space="preserve"> (</w:t>
      </w:r>
      <w:r w:rsidR="00FF5B13" w:rsidRPr="00FF5B13">
        <w:rPr>
          <w:spacing w:val="-2"/>
        </w:rPr>
        <w:t>FHWA 2016</w:t>
      </w:r>
      <w:r w:rsidR="00FF5B13">
        <w:rPr>
          <w:i/>
          <w:iCs/>
          <w:spacing w:val="-2"/>
        </w:rPr>
        <w:t>)</w:t>
      </w:r>
      <w:r w:rsidRPr="00786D11">
        <w:t xml:space="preserve">. </w:t>
      </w:r>
    </w:p>
    <w:bookmarkEnd w:id="369"/>
    <w:p w14:paraId="17B2EB8E" w14:textId="1B91458D" w:rsidR="007E0937" w:rsidRPr="00786D11" w:rsidRDefault="007E0937" w:rsidP="00A35EAF">
      <w:pPr>
        <w:pStyle w:val="BodyText"/>
      </w:pPr>
      <w:r w:rsidRPr="00786D11">
        <w:t xml:space="preserve">The following </w:t>
      </w:r>
      <w:r w:rsidR="00BF539A" w:rsidRPr="00786D11">
        <w:t xml:space="preserve">sections </w:t>
      </w:r>
      <w:r w:rsidRPr="00786D11">
        <w:t xml:space="preserve">describe the purpose and framework for establishing a traffic monitoring program. These programs are designed to collect traffic data within a defined geographic area for a State, region, or at the </w:t>
      </w:r>
      <w:r w:rsidRPr="00786D11">
        <w:lastRenderedPageBreak/>
        <w:t>roadway-specific level. The types of data collected primarily consist of volume, speed, classification, and weight data</w:t>
      </w:r>
      <w:r w:rsidR="00BF539A" w:rsidRPr="00786D11">
        <w:t xml:space="preserve"> for motor vehicles</w:t>
      </w:r>
      <w:r w:rsidRPr="00786D11">
        <w:t>. Many traffic programs are adding</w:t>
      </w:r>
      <w:r w:rsidR="00BF539A" w:rsidRPr="00786D11">
        <w:t xml:space="preserve"> micromobility </w:t>
      </w:r>
      <w:r w:rsidRPr="00786D11">
        <w:t>counting</w:t>
      </w:r>
      <w:r w:rsidR="00BF539A" w:rsidRPr="00786D11">
        <w:t xml:space="preserve"> to their existing motorized count programs.</w:t>
      </w:r>
      <w:r w:rsidRPr="00786D11">
        <w:t xml:space="preserve"> </w:t>
      </w:r>
    </w:p>
    <w:p w14:paraId="460360A8" w14:textId="0E503813" w:rsidR="007E0937" w:rsidRPr="00786D11" w:rsidRDefault="00E26EBD" w:rsidP="00A35EAF">
      <w:pPr>
        <w:pStyle w:val="BodyText"/>
      </w:pPr>
      <w:r>
        <w:fldChar w:fldCharType="begin"/>
      </w:r>
      <w:r>
        <w:instrText xml:space="preserve"> REF _Ref114751964 \h </w:instrText>
      </w:r>
      <w:r>
        <w:fldChar w:fldCharType="separate"/>
      </w:r>
      <w:r w:rsidR="00C07DF9">
        <w:t xml:space="preserve">Figure </w:t>
      </w:r>
      <w:r w:rsidR="00C07DF9">
        <w:rPr>
          <w:noProof/>
        </w:rPr>
        <w:t>1</w:t>
      </w:r>
      <w:r w:rsidR="00C07DF9">
        <w:noBreakHyphen/>
      </w:r>
      <w:r w:rsidR="00C07DF9">
        <w:rPr>
          <w:noProof/>
        </w:rPr>
        <w:t>1</w:t>
      </w:r>
      <w:r>
        <w:fldChar w:fldCharType="end"/>
      </w:r>
      <w:r w:rsidR="00D23A29" w:rsidRPr="00B80543">
        <w:t xml:space="preserve"> </w:t>
      </w:r>
      <w:r w:rsidR="00D23A29" w:rsidRPr="00786D11">
        <w:t>shows t</w:t>
      </w:r>
      <w:r w:rsidR="007E0937" w:rsidRPr="00786D11">
        <w:t xml:space="preserve">he recommended framework for a traffic monitoring program </w:t>
      </w:r>
      <w:r w:rsidR="00D23A29" w:rsidRPr="00786D11">
        <w:t xml:space="preserve">that </w:t>
      </w:r>
      <w:r w:rsidR="007E0937" w:rsidRPr="00786D11">
        <w:t>consists of two basic components:</w:t>
      </w:r>
    </w:p>
    <w:p w14:paraId="0A9FDE1B" w14:textId="418D5AE9" w:rsidR="007E0937" w:rsidRPr="00786D11" w:rsidRDefault="007E0937" w:rsidP="00124974">
      <w:pPr>
        <w:pStyle w:val="CallOut"/>
        <w:numPr>
          <w:ilvl w:val="0"/>
          <w:numId w:val="97"/>
        </w:numPr>
        <w:ind w:left="1008" w:hanging="288"/>
      </w:pPr>
      <w:r w:rsidRPr="00786D11">
        <w:t>Continuous count</w:t>
      </w:r>
      <w:r w:rsidR="00BF539A" w:rsidRPr="00786D11">
        <w:t xml:space="preserve"> program</w:t>
      </w:r>
    </w:p>
    <w:p w14:paraId="321879D1" w14:textId="6CED0AEB" w:rsidR="007E0937" w:rsidRPr="00786D11" w:rsidRDefault="007E0937" w:rsidP="00483EA2">
      <w:pPr>
        <w:pStyle w:val="CallOut"/>
        <w:numPr>
          <w:ilvl w:val="0"/>
          <w:numId w:val="97"/>
        </w:numPr>
        <w:ind w:left="1008" w:hanging="288"/>
      </w:pPr>
      <w:r w:rsidRPr="00786D11">
        <w:t>Short</w:t>
      </w:r>
      <w:r w:rsidR="00335FA8" w:rsidRPr="00786D11">
        <w:t xml:space="preserve">-term </w:t>
      </w:r>
      <w:r w:rsidRPr="00786D11">
        <w:t>count</w:t>
      </w:r>
      <w:r w:rsidR="00BF539A" w:rsidRPr="00786D11">
        <w:t xml:space="preserve"> program, </w:t>
      </w:r>
      <w:r w:rsidRPr="00786D11">
        <w:t>including periodic coverage counts and special needs counts</w:t>
      </w:r>
    </w:p>
    <w:p w14:paraId="7142FE0A" w14:textId="37563C0A" w:rsidR="006D26AD" w:rsidRPr="00786D11" w:rsidRDefault="006D26AD" w:rsidP="000808EE">
      <w:pPr>
        <w:pStyle w:val="BodyText"/>
        <w:spacing w:before="120"/>
        <w:rPr>
          <w:lang w:bidi="en-US"/>
        </w:rPr>
      </w:pPr>
      <w:r w:rsidRPr="00786D11">
        <w:rPr>
          <w:b/>
          <w:bCs/>
          <w:i/>
          <w:iCs/>
          <w:lang w:bidi="en-US"/>
        </w:rPr>
        <w:t xml:space="preserve">CONTINUOUS COUNT PROGRAM </w:t>
      </w:r>
      <w:r w:rsidRPr="00786D11">
        <w:rPr>
          <w:lang w:bidi="en-US"/>
        </w:rPr>
        <w:t>– A continuous count program refers to the processes and procedures used to collect traffic data from permanently installed counters operating on a continuous basis throughout the entire 24</w:t>
      </w:r>
      <w:r w:rsidR="00D91CD0">
        <w:rPr>
          <w:lang w:bidi="en-US"/>
        </w:rPr>
        <w:t> </w:t>
      </w:r>
      <w:r w:rsidRPr="00786D11">
        <w:rPr>
          <w:lang w:bidi="en-US"/>
        </w:rPr>
        <w:t xml:space="preserve">hours in a day, year-round. Data from the continuous program provide temporal information such as patterns of </w:t>
      </w:r>
      <w:r w:rsidR="00156665" w:rsidRPr="00786D11">
        <w:rPr>
          <w:lang w:bidi="en-US"/>
        </w:rPr>
        <w:t xml:space="preserve">time </w:t>
      </w:r>
      <w:r w:rsidRPr="00786D11">
        <w:rPr>
          <w:lang w:bidi="en-US"/>
        </w:rPr>
        <w:t>of day, day of week, week of month, and month of year.</w:t>
      </w:r>
      <w:r w:rsidR="004D4172">
        <w:rPr>
          <w:lang w:bidi="en-US"/>
        </w:rPr>
        <w:t xml:space="preserve"> </w:t>
      </w:r>
      <w:r w:rsidRPr="00786D11">
        <w:rPr>
          <w:lang w:bidi="en-US"/>
        </w:rPr>
        <w:t xml:space="preserve">A continuous count program helps to understand temporal time-of-day (TOD), day-of-week (DOW), and month-of-year </w:t>
      </w:r>
      <w:r w:rsidR="009C085C">
        <w:rPr>
          <w:lang w:bidi="en-US"/>
        </w:rPr>
        <w:t>(</w:t>
      </w:r>
      <w:r w:rsidRPr="00786D11">
        <w:rPr>
          <w:lang w:bidi="en-US"/>
        </w:rPr>
        <w:t xml:space="preserve">MOY) changes in traffic volume. </w:t>
      </w:r>
    </w:p>
    <w:p w14:paraId="7C141B2B" w14:textId="03EE365B" w:rsidR="006D26AD" w:rsidRPr="00786D11" w:rsidRDefault="006D26AD" w:rsidP="00A35EAF">
      <w:pPr>
        <w:pStyle w:val="BodyText"/>
        <w:rPr>
          <w:lang w:bidi="en-US"/>
        </w:rPr>
      </w:pPr>
      <w:r w:rsidRPr="00786D11">
        <w:rPr>
          <w:b/>
          <w:bCs/>
          <w:i/>
          <w:iCs/>
          <w:lang w:bidi="en-US"/>
        </w:rPr>
        <w:t xml:space="preserve">SHORT-TERM COUNT PROGRAM </w:t>
      </w:r>
      <w:r w:rsidRPr="00786D11">
        <w:rPr>
          <w:lang w:bidi="en-US"/>
        </w:rPr>
        <w:t>– The short</w:t>
      </w:r>
      <w:r w:rsidRPr="00786D11">
        <w:t>-term</w:t>
      </w:r>
      <w:r w:rsidRPr="00786D11">
        <w:rPr>
          <w:lang w:bidi="en-US"/>
        </w:rPr>
        <w:t xml:space="preserve"> count program refers to the processes and procedures to collect traffic data from installed sensors for a continuous period of less than one-year.</w:t>
      </w:r>
      <w:r w:rsidR="004D4172">
        <w:rPr>
          <w:lang w:bidi="en-US"/>
        </w:rPr>
        <w:t xml:space="preserve"> </w:t>
      </w:r>
      <w:r w:rsidRPr="00786D11">
        <w:rPr>
          <w:lang w:bidi="en-US"/>
        </w:rPr>
        <w:t>The duration of the short</w:t>
      </w:r>
      <w:r w:rsidRPr="00786D11">
        <w:t>-term</w:t>
      </w:r>
      <w:r w:rsidRPr="00786D11">
        <w:rPr>
          <w:lang w:bidi="en-US"/>
        </w:rPr>
        <w:t xml:space="preserve"> counts can be as short as 24 hours or, more preferably, a week or longer period. The short</w:t>
      </w:r>
      <w:r w:rsidRPr="00786D11">
        <w:t xml:space="preserve">-term </w:t>
      </w:r>
      <w:r w:rsidRPr="00786D11">
        <w:rPr>
          <w:lang w:bidi="en-US"/>
        </w:rPr>
        <w:t xml:space="preserve">count program is also referred to as the “coverage count program or portable counts program.” </w:t>
      </w:r>
    </w:p>
    <w:p w14:paraId="78957AE4" w14:textId="024A2C38" w:rsidR="00C73D24" w:rsidRPr="00F468E1" w:rsidRDefault="00C73D24">
      <w:pPr>
        <w:pStyle w:val="Heading4"/>
      </w:pPr>
      <w:bookmarkStart w:id="370" w:name="_Toc33968117"/>
      <w:bookmarkStart w:id="371" w:name="_Toc44415699"/>
      <w:r w:rsidRPr="00F468E1">
        <w:t xml:space="preserve"> </w:t>
      </w:r>
      <w:bookmarkStart w:id="372" w:name="_Toc118205570"/>
      <w:r w:rsidRPr="00F468E1">
        <w:t>Continuous Count Program (Volume, Speed, Classification, and Weight)</w:t>
      </w:r>
      <w:bookmarkEnd w:id="370"/>
      <w:bookmarkEnd w:id="371"/>
      <w:bookmarkEnd w:id="372"/>
    </w:p>
    <w:p w14:paraId="62A1F118" w14:textId="29A08E4E" w:rsidR="00D00ACE" w:rsidRPr="00786D11" w:rsidRDefault="00156665" w:rsidP="00A35EAF">
      <w:pPr>
        <w:pStyle w:val="BodyText"/>
      </w:pPr>
      <w:r w:rsidRPr="00786D11">
        <w:t>C</w:t>
      </w:r>
      <w:r w:rsidR="00D00ACE" w:rsidRPr="00786D11">
        <w:t xml:space="preserve">ontinuous count stations </w:t>
      </w:r>
      <w:r w:rsidRPr="00786D11">
        <w:t>(CCS</w:t>
      </w:r>
      <w:r w:rsidR="00B15FB9">
        <w:t>s</w:t>
      </w:r>
      <w:r w:rsidRPr="00786D11">
        <w:t xml:space="preserve">) </w:t>
      </w:r>
      <w:r w:rsidR="00D00ACE" w:rsidRPr="00786D11">
        <w:t xml:space="preserve">form the basis for the overall traffic monitoring program. A continuous count is a volume count derived from permanently installed counters for a period of 24 hours each day over 365 days (except for leap year) for the data-reporting year. In some States, this is referred to as the permanent count program. In the </w:t>
      </w:r>
      <w:r w:rsidR="00D00ACE" w:rsidRPr="00786D11">
        <w:rPr>
          <w:i/>
        </w:rPr>
        <w:t>TMG</w:t>
      </w:r>
      <w:r w:rsidR="00D00ACE" w:rsidRPr="00786D11">
        <w:t>, th</w:t>
      </w:r>
      <w:r w:rsidR="0018043D" w:rsidRPr="00786D11">
        <w:t>is</w:t>
      </w:r>
      <w:r w:rsidR="00D00ACE" w:rsidRPr="00786D11">
        <w:t xml:space="preserve"> program </w:t>
      </w:r>
      <w:r w:rsidR="00B15FB9">
        <w:t>is</w:t>
      </w:r>
      <w:r w:rsidR="00D00ACE" w:rsidRPr="00786D11">
        <w:t xml:space="preserve"> referred to as the continuous count program. </w:t>
      </w:r>
    </w:p>
    <w:p w14:paraId="6E0CA668" w14:textId="2F4B3F4A" w:rsidR="0018043D" w:rsidRPr="00786D11" w:rsidRDefault="008C3DC6" w:rsidP="0010467B">
      <w:pPr>
        <w:pStyle w:val="BodyText"/>
      </w:pPr>
      <w:r w:rsidRPr="00786D11">
        <w:t>C</w:t>
      </w:r>
      <w:r w:rsidR="00D00ACE" w:rsidRPr="00786D11">
        <w:t xml:space="preserve">ontinuous count programs </w:t>
      </w:r>
      <w:r w:rsidRPr="00786D11">
        <w:t xml:space="preserve">have many </w:t>
      </w:r>
      <w:r w:rsidRPr="0010467B">
        <w:t>objectives</w:t>
      </w:r>
      <w:r w:rsidRPr="00786D11">
        <w:t xml:space="preserve"> that </w:t>
      </w:r>
      <w:r w:rsidR="0018043D" w:rsidRPr="00786D11">
        <w:t xml:space="preserve">can </w:t>
      </w:r>
      <w:r w:rsidR="00D00ACE" w:rsidRPr="00786D11">
        <w:t xml:space="preserve">vary from State to State. </w:t>
      </w:r>
      <w:r w:rsidR="0018043D" w:rsidRPr="00786D11">
        <w:t>For example, continuous count station data can be used to</w:t>
      </w:r>
    </w:p>
    <w:p w14:paraId="4BD0050D" w14:textId="0F8003A1" w:rsidR="0018043D" w:rsidRPr="00786D11" w:rsidRDefault="00D00ACE">
      <w:pPr>
        <w:pStyle w:val="TMGBullet"/>
      </w:pPr>
      <w:r w:rsidRPr="00786D11">
        <w:t>develop adjustment factors</w:t>
      </w:r>
      <w:r w:rsidR="00B15FB9">
        <w:t>.</w:t>
      </w:r>
    </w:p>
    <w:p w14:paraId="77B564A3" w14:textId="3D18014B" w:rsidR="0018043D" w:rsidRPr="00786D11" w:rsidRDefault="00D00ACE">
      <w:pPr>
        <w:pStyle w:val="TMGBullet"/>
      </w:pPr>
      <w:r w:rsidRPr="00786D11">
        <w:t>track traffic volume trends on important roadway segments</w:t>
      </w:r>
      <w:r w:rsidR="00B15FB9">
        <w:t>.</w:t>
      </w:r>
    </w:p>
    <w:p w14:paraId="06A7DFB6" w14:textId="77777777" w:rsidR="0018043D" w:rsidRPr="00786D11" w:rsidRDefault="00D00ACE">
      <w:pPr>
        <w:pStyle w:val="TMGBullet"/>
      </w:pPr>
      <w:r w:rsidRPr="00786D11">
        <w:t xml:space="preserve">provide inputs to traffic management and traveler information systems. </w:t>
      </w:r>
    </w:p>
    <w:p w14:paraId="79AB1309" w14:textId="29D07235" w:rsidR="00D00ACE" w:rsidRPr="00786D11" w:rsidRDefault="00D00ACE" w:rsidP="00A35EAF">
      <w:pPr>
        <w:pStyle w:val="BodyText"/>
      </w:pPr>
      <w:r w:rsidRPr="00786D11">
        <w:t xml:space="preserve">The number and location of the counters, type of equipment used, array, sensor technology, and the analysis procedures used to manipulate data supplied by these counters are </w:t>
      </w:r>
      <w:r w:rsidR="0018043D" w:rsidRPr="00786D11">
        <w:t>determined by</w:t>
      </w:r>
      <w:r w:rsidRPr="00786D11">
        <w:t xml:space="preserve"> these objectives. As a result, it is of the utmost importance to establish, refine, and document the objectives of the program. Only by thoroughly defining the objectives, and designing the program to meet those objectives, will it be possible to develop an effective and cost-efficient program. </w:t>
      </w:r>
    </w:p>
    <w:p w14:paraId="2B2D4081" w14:textId="77777777" w:rsidR="00C73D24" w:rsidRPr="00FE48E0" w:rsidRDefault="00C73D24" w:rsidP="00A35EAF">
      <w:pPr>
        <w:pStyle w:val="BodyText"/>
        <w:rPr>
          <w:rFonts w:ascii="Cambria" w:hAnsi="Cambria"/>
          <w:b/>
          <w:bCs/>
          <w:i/>
          <w:iCs/>
          <w:sz w:val="22"/>
          <w:szCs w:val="22"/>
        </w:rPr>
      </w:pPr>
      <w:r w:rsidRPr="00FE48E0">
        <w:rPr>
          <w:rFonts w:ascii="Cambria" w:hAnsi="Cambria"/>
          <w:b/>
          <w:bCs/>
          <w:i/>
          <w:iCs/>
          <w:sz w:val="22"/>
          <w:szCs w:val="22"/>
        </w:rPr>
        <w:t>Continuous Vehicle Classification Data Program</w:t>
      </w:r>
    </w:p>
    <w:p w14:paraId="47091ACA" w14:textId="17C7DB30" w:rsidR="0098633A" w:rsidRPr="00786D11" w:rsidRDefault="00C73D24" w:rsidP="00A35EAF">
      <w:pPr>
        <w:pStyle w:val="BodyText"/>
        <w:rPr>
          <w:b/>
          <w:bCs/>
        </w:rPr>
      </w:pPr>
      <w:r w:rsidRPr="00786D11">
        <w:t xml:space="preserve">The continuous vehicle classification </w:t>
      </w:r>
      <w:r w:rsidR="0098633A" w:rsidRPr="00786D11">
        <w:t>(CV</w:t>
      </w:r>
      <w:r w:rsidR="00156665" w:rsidRPr="00786D11">
        <w:t>C</w:t>
      </w:r>
      <w:r w:rsidR="0098633A" w:rsidRPr="00786D11">
        <w:t xml:space="preserve">) </w:t>
      </w:r>
      <w:r w:rsidRPr="00786D11">
        <w:t>data collection program is related to, but distinct from</w:t>
      </w:r>
      <w:r w:rsidR="00F87E8A">
        <w:t xml:space="preserve"> and often is a subset to</w:t>
      </w:r>
      <w:r w:rsidRPr="00786D11">
        <w:t>, the traditional Continuous Count Program.</w:t>
      </w:r>
      <w:r w:rsidR="004D4172">
        <w:rPr>
          <w:b/>
          <w:bCs/>
        </w:rPr>
        <w:t xml:space="preserve"> </w:t>
      </w:r>
    </w:p>
    <w:p w14:paraId="56A2B554" w14:textId="7A6A8C0D" w:rsidR="002F1491" w:rsidRPr="00D91CD0" w:rsidRDefault="002F1491" w:rsidP="00A119E0">
      <w:pPr>
        <w:pStyle w:val="CallOut"/>
      </w:pPr>
      <w:r w:rsidRPr="00D91CD0">
        <w:t xml:space="preserve">FHWA supports highway agencies programs that are designed to collect classification data (which also supply total volume information) in place of simple volume counts whenever possible. </w:t>
      </w:r>
    </w:p>
    <w:p w14:paraId="1492335E" w14:textId="06DAFBA5" w:rsidR="00786D11" w:rsidRDefault="00786D11" w:rsidP="00A35EAF">
      <w:pPr>
        <w:pStyle w:val="BodyText"/>
      </w:pPr>
      <w:r>
        <w:t>Traditional Continuous Count Programs require motorcycle factoring, transit vehicles, and other types of traffic volume data.</w:t>
      </w:r>
      <w:r w:rsidR="004D4172">
        <w:t xml:space="preserve"> </w:t>
      </w:r>
      <w:r w:rsidR="00A05DA7">
        <w:t>Class factoring traffic data programs should include a minimum of the 6 vehicle types in the HPMS Vehicle Summary table.</w:t>
      </w:r>
    </w:p>
    <w:p w14:paraId="1EB2F996" w14:textId="7334EE0A" w:rsidR="00C73D24" w:rsidRPr="00F468E1" w:rsidRDefault="00C73D24">
      <w:pPr>
        <w:pStyle w:val="Heading4"/>
      </w:pPr>
      <w:bookmarkStart w:id="373" w:name="Short_Count_Program_Design"/>
      <w:bookmarkStart w:id="374" w:name="_Toc33968118"/>
      <w:bookmarkStart w:id="375" w:name="_Toc44415700"/>
      <w:bookmarkStart w:id="376" w:name="_Toc118205571"/>
      <w:r w:rsidRPr="00F468E1">
        <w:t>Short-</w:t>
      </w:r>
      <w:r w:rsidR="00335FA8" w:rsidRPr="00F468E1">
        <w:t>Term</w:t>
      </w:r>
      <w:r w:rsidRPr="00F468E1">
        <w:t xml:space="preserve"> Count Program </w:t>
      </w:r>
      <w:bookmarkEnd w:id="373"/>
      <w:r w:rsidRPr="00F468E1">
        <w:t>(Volume, Speed, Classification, and Weight)</w:t>
      </w:r>
      <w:bookmarkEnd w:id="374"/>
      <w:bookmarkEnd w:id="375"/>
      <w:bookmarkEnd w:id="376"/>
    </w:p>
    <w:p w14:paraId="531DBD58" w14:textId="168196A0" w:rsidR="00C73D24" w:rsidRPr="00A05DA7" w:rsidRDefault="00C73D24" w:rsidP="00A35EAF">
      <w:pPr>
        <w:pStyle w:val="BodyText"/>
      </w:pPr>
      <w:r w:rsidRPr="00A05DA7">
        <w:t>Transportation agencies perform short-</w:t>
      </w:r>
      <w:r w:rsidR="00335FA8" w:rsidRPr="00A05DA7">
        <w:t xml:space="preserve">term </w:t>
      </w:r>
      <w:r w:rsidRPr="00A05DA7">
        <w:t xml:space="preserve">counts for a variety of purposes including meeting Federal reporting needs </w:t>
      </w:r>
      <w:r w:rsidR="00687B0E" w:rsidRPr="00A05DA7">
        <w:t xml:space="preserve">such as </w:t>
      </w:r>
      <w:r w:rsidRPr="00A05DA7">
        <w:t xml:space="preserve">HPMS, supplying information for individual projects (pavement design, planning studies, etc.), and providing broad knowledge of roadway use. </w:t>
      </w:r>
      <w:r w:rsidR="00687B0E" w:rsidRPr="00A05DA7">
        <w:t>P</w:t>
      </w:r>
      <w:r w:rsidRPr="00A05DA7">
        <w:t>ortable short-</w:t>
      </w:r>
      <w:r w:rsidR="00335FA8" w:rsidRPr="00A05DA7">
        <w:t>term</w:t>
      </w:r>
      <w:r w:rsidRPr="00A05DA7">
        <w:t xml:space="preserve"> counts also ensure geographic diversity and coverage. </w:t>
      </w:r>
      <w:r w:rsidR="006E7B78" w:rsidRPr="00A05DA7">
        <w:t xml:space="preserve">When properly designed and executed, the short-term counting program allows network-wide traffic </w:t>
      </w:r>
      <w:r w:rsidR="006E7B78" w:rsidRPr="00A05DA7">
        <w:lastRenderedPageBreak/>
        <w:t xml:space="preserve">data coverage at </w:t>
      </w:r>
      <w:r w:rsidR="00156665" w:rsidRPr="00A05DA7">
        <w:t xml:space="preserve">a </w:t>
      </w:r>
      <w:r w:rsidR="006E7B78" w:rsidRPr="00A05DA7">
        <w:t xml:space="preserve">low cost. </w:t>
      </w:r>
      <w:r w:rsidRPr="00A05DA7">
        <w:t>The short-</w:t>
      </w:r>
      <w:r w:rsidR="00335FA8" w:rsidRPr="00A05DA7">
        <w:t>term</w:t>
      </w:r>
      <w:r w:rsidRPr="00A05DA7">
        <w:t xml:space="preserve"> counting program is most efficient if these various data collection efforts are coordinated so that one count program meets multiple needs. Examples of coordination include: sharing counting schedules with city/county/MPO staff; putting technology solutions in place that include access to software that encourages the integration/dissemination/conversion of schedules/data collected from city/county/MPO and State agencies;</w:t>
      </w:r>
      <w:r w:rsidR="00156665" w:rsidRPr="00A05DA7">
        <w:t xml:space="preserve"> providing city/county/MPO and public customers axle correction factors (ACF) and other factors;</w:t>
      </w:r>
      <w:r w:rsidRPr="00A05DA7">
        <w:t xml:space="preserve"> and establishing a data governance committee that crosses agency jurisdictions including national, State, county, city, and MPO boundaries. </w:t>
      </w:r>
    </w:p>
    <w:p w14:paraId="36F5A83E" w14:textId="00722C8B" w:rsidR="00C73D24" w:rsidRPr="00FE48E0" w:rsidRDefault="00C73D24" w:rsidP="00A35EAF">
      <w:pPr>
        <w:pStyle w:val="BodyText"/>
        <w:rPr>
          <w:rFonts w:ascii="Cambria" w:hAnsi="Cambria"/>
          <w:b/>
          <w:bCs/>
          <w:i/>
          <w:iCs/>
          <w:sz w:val="22"/>
          <w:szCs w:val="22"/>
        </w:rPr>
      </w:pPr>
      <w:r w:rsidRPr="00FE48E0">
        <w:rPr>
          <w:rFonts w:ascii="Cambria" w:hAnsi="Cambria"/>
          <w:b/>
          <w:bCs/>
          <w:i/>
          <w:iCs/>
          <w:sz w:val="22"/>
          <w:szCs w:val="22"/>
        </w:rPr>
        <w:t>Short-</w:t>
      </w:r>
      <w:r w:rsidR="00335FA8" w:rsidRPr="00FE48E0">
        <w:rPr>
          <w:rFonts w:ascii="Cambria" w:hAnsi="Cambria"/>
          <w:b/>
          <w:bCs/>
          <w:i/>
          <w:iCs/>
          <w:sz w:val="22"/>
          <w:szCs w:val="22"/>
        </w:rPr>
        <w:t>Term</w:t>
      </w:r>
      <w:r w:rsidRPr="00FE48E0">
        <w:rPr>
          <w:rFonts w:ascii="Cambria" w:hAnsi="Cambria"/>
          <w:b/>
          <w:bCs/>
          <w:i/>
          <w:iCs/>
          <w:sz w:val="22"/>
          <w:szCs w:val="22"/>
        </w:rPr>
        <w:t xml:space="preserve"> Count</w:t>
      </w:r>
      <w:r w:rsidR="006E7B78" w:rsidRPr="00FE48E0">
        <w:rPr>
          <w:rFonts w:ascii="Cambria" w:hAnsi="Cambria"/>
          <w:b/>
          <w:bCs/>
          <w:i/>
          <w:iCs/>
          <w:sz w:val="22"/>
          <w:szCs w:val="22"/>
        </w:rPr>
        <w:t xml:space="preserve"> </w:t>
      </w:r>
      <w:r w:rsidR="005D1636" w:rsidRPr="00FE48E0">
        <w:rPr>
          <w:rFonts w:ascii="Cambria" w:hAnsi="Cambria"/>
          <w:b/>
          <w:bCs/>
          <w:i/>
          <w:iCs/>
          <w:sz w:val="22"/>
          <w:szCs w:val="22"/>
        </w:rPr>
        <w:t xml:space="preserve">Volume </w:t>
      </w:r>
      <w:r w:rsidR="006E7B78" w:rsidRPr="00FE48E0">
        <w:rPr>
          <w:rFonts w:ascii="Cambria" w:hAnsi="Cambria"/>
          <w:b/>
          <w:bCs/>
          <w:i/>
          <w:iCs/>
          <w:sz w:val="22"/>
          <w:szCs w:val="22"/>
        </w:rPr>
        <w:t>Station</w:t>
      </w:r>
      <w:r w:rsidRPr="00FE48E0">
        <w:rPr>
          <w:rFonts w:ascii="Cambria" w:hAnsi="Cambria"/>
          <w:b/>
          <w:bCs/>
          <w:i/>
          <w:iCs/>
          <w:sz w:val="22"/>
          <w:szCs w:val="22"/>
        </w:rPr>
        <w:t>s</w:t>
      </w:r>
    </w:p>
    <w:p w14:paraId="41CA2F2D" w14:textId="75D1DA8D" w:rsidR="004C6B14" w:rsidRPr="00A05DA7" w:rsidRDefault="004C6B14" w:rsidP="00A35EAF">
      <w:pPr>
        <w:pStyle w:val="BodyText"/>
      </w:pPr>
      <w:bookmarkStart w:id="377" w:name="_Hlk53403386"/>
      <w:r w:rsidRPr="00A05DA7">
        <w:t xml:space="preserve">Short-term count stations collect data </w:t>
      </w:r>
      <w:r w:rsidR="006E7B78" w:rsidRPr="00A05DA7">
        <w:t>using portable traffic counting equipment and sensors. Short-term data collected by such stations should</w:t>
      </w:r>
      <w:r w:rsidRPr="00A05DA7">
        <w:t xml:space="preserve"> be adjusted to represent an AADT) number.</w:t>
      </w:r>
      <w:r w:rsidR="004D4172">
        <w:t xml:space="preserve"> </w:t>
      </w:r>
      <w:r w:rsidRPr="00A05DA7">
        <w:t xml:space="preserve">For a detailed definition of </w:t>
      </w:r>
      <w:r w:rsidR="006E7B78" w:rsidRPr="00A05DA7">
        <w:t xml:space="preserve">short-term </w:t>
      </w:r>
      <w:r w:rsidRPr="00A05DA7">
        <w:t>counting station or related terms, please see the glossary of terms.</w:t>
      </w:r>
      <w:r w:rsidR="004D4172">
        <w:t xml:space="preserve"> </w:t>
      </w:r>
      <w:r w:rsidR="00156665" w:rsidRPr="00A05DA7">
        <w:t>These short</w:t>
      </w:r>
      <w:r w:rsidR="00B15FB9">
        <w:t>-</w:t>
      </w:r>
      <w:r w:rsidR="00156665" w:rsidRPr="00A05DA7">
        <w:t>term volume stations often require ACF and temporal factors to properly annualize them.</w:t>
      </w:r>
    </w:p>
    <w:bookmarkEnd w:id="377"/>
    <w:p w14:paraId="3A36D8AF" w14:textId="03F6FFEF" w:rsidR="00C73D24" w:rsidRPr="00FE48E0" w:rsidRDefault="00C73D24" w:rsidP="00A35EAF">
      <w:pPr>
        <w:pStyle w:val="BodyText"/>
        <w:rPr>
          <w:rFonts w:ascii="Cambria" w:hAnsi="Cambria"/>
          <w:b/>
          <w:bCs/>
          <w:i/>
          <w:iCs/>
          <w:sz w:val="22"/>
          <w:szCs w:val="22"/>
        </w:rPr>
      </w:pPr>
      <w:r w:rsidRPr="00FE48E0">
        <w:rPr>
          <w:rFonts w:ascii="Cambria" w:hAnsi="Cambria"/>
          <w:b/>
          <w:bCs/>
          <w:i/>
          <w:iCs/>
          <w:sz w:val="22"/>
          <w:szCs w:val="22"/>
        </w:rPr>
        <w:t>Short-</w:t>
      </w:r>
      <w:r w:rsidR="006E7B78" w:rsidRPr="00FE48E0">
        <w:rPr>
          <w:rFonts w:ascii="Cambria" w:hAnsi="Cambria"/>
          <w:b/>
          <w:bCs/>
          <w:i/>
          <w:iCs/>
          <w:sz w:val="22"/>
          <w:szCs w:val="22"/>
        </w:rPr>
        <w:t xml:space="preserve">Term </w:t>
      </w:r>
      <w:r w:rsidRPr="00FE48E0">
        <w:rPr>
          <w:rFonts w:ascii="Cambria" w:hAnsi="Cambria"/>
          <w:b/>
          <w:bCs/>
          <w:i/>
          <w:iCs/>
          <w:sz w:val="22"/>
          <w:szCs w:val="22"/>
        </w:rPr>
        <w:t xml:space="preserve">Vehicle Classification </w:t>
      </w:r>
      <w:r w:rsidR="005D1636" w:rsidRPr="00FE48E0">
        <w:rPr>
          <w:rFonts w:ascii="Cambria" w:hAnsi="Cambria"/>
          <w:b/>
          <w:bCs/>
          <w:i/>
          <w:iCs/>
          <w:sz w:val="22"/>
          <w:szCs w:val="22"/>
        </w:rPr>
        <w:t>Stations</w:t>
      </w:r>
    </w:p>
    <w:p w14:paraId="65237B3A" w14:textId="59FF3776" w:rsidR="00C73D24" w:rsidRPr="00A05DA7" w:rsidRDefault="00C73D24" w:rsidP="00A35EAF">
      <w:pPr>
        <w:pStyle w:val="BodyText"/>
      </w:pPr>
      <w:r w:rsidRPr="00A05DA7">
        <w:t xml:space="preserve">Short </w:t>
      </w:r>
      <w:r w:rsidR="00335FA8" w:rsidRPr="00A05DA7">
        <w:t>term</w:t>
      </w:r>
      <w:r w:rsidRPr="00A05DA7">
        <w:t xml:space="preserve"> vehicle classification counts serve as the primary mechanism for collecting information on heavy vehicle volumes. They provide the geographic distribution necessary to meet the general agency needs and the needs of its customers, as well as the site-specific knowledge needed for the more detailed technical analyses of users.</w:t>
      </w:r>
      <w:r w:rsidR="00156665" w:rsidRPr="00A05DA7">
        <w:t xml:space="preserve"> These traffic collection locations do not need ACF.</w:t>
      </w:r>
    </w:p>
    <w:p w14:paraId="0756ECB9" w14:textId="509CD9BC" w:rsidR="00C73D24" w:rsidRPr="00F468E1" w:rsidRDefault="004D12BF">
      <w:pPr>
        <w:pStyle w:val="Heading4"/>
      </w:pPr>
      <w:bookmarkStart w:id="378" w:name="_Toc33968119"/>
      <w:bookmarkStart w:id="379" w:name="_Toc44415701"/>
      <w:bookmarkStart w:id="380" w:name="_Toc118205572"/>
      <w:r w:rsidRPr="00F468E1">
        <w:t xml:space="preserve">Coverage </w:t>
      </w:r>
      <w:r w:rsidR="00C73D24" w:rsidRPr="00F468E1">
        <w:t>Counts Program (</w:t>
      </w:r>
      <w:r w:rsidRPr="00F468E1">
        <w:t xml:space="preserve">Full </w:t>
      </w:r>
      <w:r w:rsidR="00C73D24" w:rsidRPr="00F468E1">
        <w:t>Roadway</w:t>
      </w:r>
      <w:r w:rsidRPr="00F468E1">
        <w:t xml:space="preserve"> Network Traffic Data Coverage</w:t>
      </w:r>
      <w:r w:rsidR="00CB7C90" w:rsidRPr="00F468E1">
        <w:t xml:space="preserve"> </w:t>
      </w:r>
      <w:r w:rsidR="00C73D24" w:rsidRPr="00F468E1">
        <w:t>Program)</w:t>
      </w:r>
      <w:bookmarkEnd w:id="378"/>
      <w:bookmarkEnd w:id="379"/>
      <w:bookmarkEnd w:id="380"/>
    </w:p>
    <w:p w14:paraId="73526CBB" w14:textId="6E091A0D" w:rsidR="004C6B14" w:rsidRDefault="004D12BF" w:rsidP="00A35EAF">
      <w:pPr>
        <w:pStyle w:val="BodyText"/>
      </w:pPr>
      <w:r w:rsidRPr="00A75603">
        <w:t xml:space="preserve">The two types of short-term counts include coverage counts and special counts. </w:t>
      </w:r>
      <w:r w:rsidR="00C73D24" w:rsidRPr="00A75603">
        <w:t>The coverage count</w:t>
      </w:r>
      <w:r w:rsidR="00A75603">
        <w:t xml:space="preserve"> </w:t>
      </w:r>
      <w:r w:rsidRPr="00A75603">
        <w:t xml:space="preserve">program </w:t>
      </w:r>
      <w:r w:rsidR="00C73D24" w:rsidRPr="00A75603">
        <w:t>subset covers</w:t>
      </w:r>
      <w:r w:rsidR="00C73D24" w:rsidRPr="00C73D24">
        <w:t xml:space="preserve"> the roadway system on a periodic basis to meet both point-specific and area needs, including the HPMS reporting requirements. </w:t>
      </w:r>
    </w:p>
    <w:p w14:paraId="2CC418E0" w14:textId="46292DE0" w:rsidR="00C73D24" w:rsidRPr="003E1386" w:rsidRDefault="00C73D24" w:rsidP="00A119E0">
      <w:pPr>
        <w:pStyle w:val="CallOut"/>
      </w:pPr>
      <w:r w:rsidRPr="003E1386">
        <w:t xml:space="preserve">The TMG recommends that the short-count data collection consist of a periodic comprehensive coverage program over the entire system on a maximum </w:t>
      </w:r>
      <w:r w:rsidR="00B15FB9">
        <w:t>6</w:t>
      </w:r>
      <w:r w:rsidR="00196012">
        <w:t>-</w:t>
      </w:r>
      <w:r w:rsidRPr="003E1386">
        <w:t xml:space="preserve">year cycle. The coverage plan includes counting the HPMS sample and full-extent sections on a shorter (maximum) </w:t>
      </w:r>
      <w:r w:rsidR="00BE4A36">
        <w:t>3</w:t>
      </w:r>
      <w:r w:rsidRPr="003E1386">
        <w:t xml:space="preserve">year cycle to meet the national HPMS requirement. </w:t>
      </w:r>
    </w:p>
    <w:p w14:paraId="4E0001B8" w14:textId="2C59F4EA" w:rsidR="004D12BF" w:rsidRPr="00F468E1" w:rsidRDefault="004D12BF">
      <w:pPr>
        <w:pStyle w:val="Heading4"/>
      </w:pPr>
      <w:bookmarkStart w:id="381" w:name="_Toc118205573"/>
      <w:r w:rsidRPr="00F468E1">
        <w:t>Special Counts Program (Roadway- or Supporting Program-Specific Traffic Data)</w:t>
      </w:r>
      <w:bookmarkEnd w:id="381"/>
    </w:p>
    <w:p w14:paraId="79FB0E88" w14:textId="7A50C4DD" w:rsidR="00C73D24" w:rsidRPr="00C73D24" w:rsidRDefault="00C73D24" w:rsidP="0010467B">
      <w:pPr>
        <w:pStyle w:val="BodyText"/>
      </w:pPr>
      <w:r w:rsidRPr="00C73D24">
        <w:t xml:space="preserve">The coverage program is supplemented with a special needs </w:t>
      </w:r>
      <w:r w:rsidR="004D12BF" w:rsidRPr="00A75603">
        <w:t>program subset</w:t>
      </w:r>
      <w:r w:rsidR="004D12BF">
        <w:t xml:space="preserve"> </w:t>
      </w:r>
      <w:r w:rsidRPr="00C73D24">
        <w:t>where additional counts are performed</w:t>
      </w:r>
      <w:r w:rsidR="004D12BF">
        <w:t>,</w:t>
      </w:r>
      <w:r w:rsidRPr="00C73D24">
        <w:t xml:space="preserve"> as needed</w:t>
      </w:r>
      <w:r w:rsidR="004D12BF">
        <w:t>,</w:t>
      </w:r>
      <w:r w:rsidRPr="00C73D24">
        <w:t xml:space="preserve"> to meet other more specific data needs. The special needs program represents many different operations and may include the following:</w:t>
      </w:r>
    </w:p>
    <w:p w14:paraId="2F696A59" w14:textId="77777777" w:rsidR="00C73D24" w:rsidRPr="00C73D24" w:rsidRDefault="00C73D24">
      <w:pPr>
        <w:pStyle w:val="TMGBullet"/>
      </w:pPr>
      <w:r w:rsidRPr="00C73D24">
        <w:t xml:space="preserve">Pavement design counts performed to provide data for pavement design, maintenance, repair, rehabilitation, and reconstruction. </w:t>
      </w:r>
    </w:p>
    <w:p w14:paraId="7A21A462" w14:textId="77777777" w:rsidR="00C73D24" w:rsidRPr="00A05DA7" w:rsidRDefault="00C73D24">
      <w:pPr>
        <w:pStyle w:val="TMGBullet"/>
      </w:pPr>
      <w:r w:rsidRPr="00C73D24">
        <w:t xml:space="preserve">Traffic operations counts performed to provide inputs to traffic control studies (e.g., the creation of new signal timing </w:t>
      </w:r>
      <w:r w:rsidRPr="00A05DA7">
        <w:t xml:space="preserve">plans). </w:t>
      </w:r>
    </w:p>
    <w:p w14:paraId="77AC2B73" w14:textId="55D442C4" w:rsidR="00C73D24" w:rsidRPr="00A05DA7" w:rsidRDefault="00C73D24">
      <w:pPr>
        <w:pStyle w:val="TMGBullet"/>
      </w:pPr>
      <w:r w:rsidRPr="00A05DA7">
        <w:t>Traffic counts for other special purpose studies</w:t>
      </w:r>
      <w:r w:rsidR="00BE4A36">
        <w:t>.</w:t>
      </w:r>
    </w:p>
    <w:p w14:paraId="230BD1B1" w14:textId="77777777" w:rsidR="00C73D24" w:rsidRPr="00A05DA7" w:rsidRDefault="00C73D24">
      <w:pPr>
        <w:pStyle w:val="TMGBullet"/>
      </w:pPr>
      <w:r w:rsidRPr="00A05DA7">
        <w:t>Lane closure policies, corridor studies, inclement weather, and construction management.</w:t>
      </w:r>
    </w:p>
    <w:p w14:paraId="78FB6060" w14:textId="4FDBB13E" w:rsidR="00C73D24" w:rsidRPr="00F468E1" w:rsidRDefault="002913D2">
      <w:pPr>
        <w:pStyle w:val="Heading4"/>
      </w:pPr>
      <w:bookmarkStart w:id="382" w:name="_Toc33968120"/>
      <w:bookmarkStart w:id="383" w:name="_Toc44415702"/>
      <w:bookmarkStart w:id="384" w:name="_Toc118205574"/>
      <w:r w:rsidRPr="00F468E1">
        <w:t>Micromobility</w:t>
      </w:r>
      <w:r w:rsidR="00C73D24" w:rsidRPr="00F468E1">
        <w:t xml:space="preserve"> Permanent Data Program</w:t>
      </w:r>
      <w:bookmarkEnd w:id="382"/>
      <w:bookmarkEnd w:id="383"/>
      <w:bookmarkEnd w:id="384"/>
    </w:p>
    <w:p w14:paraId="5EAD2B40" w14:textId="50575943" w:rsidR="00C73D24" w:rsidRPr="00A05DA7" w:rsidRDefault="00C73D24" w:rsidP="00A35EAF">
      <w:pPr>
        <w:pStyle w:val="BodyText"/>
      </w:pPr>
      <w:r w:rsidRPr="00A05DA7">
        <w:t xml:space="preserve">One of the key differences between </w:t>
      </w:r>
      <w:r w:rsidR="002913D2" w:rsidRPr="00A05DA7">
        <w:t>micromobility</w:t>
      </w:r>
      <w:r w:rsidRPr="00A05DA7">
        <w:t xml:space="preserve"> and motorized traffic monitoring is the scale of data collection. Most </w:t>
      </w:r>
      <w:r w:rsidR="002913D2" w:rsidRPr="00A05DA7">
        <w:t>micromobility</w:t>
      </w:r>
      <w:r w:rsidRPr="00A05DA7">
        <w:t xml:space="preserve"> </w:t>
      </w:r>
      <w:r w:rsidR="00546B6F" w:rsidRPr="00A05DA7">
        <w:t xml:space="preserve">traffic monitoring </w:t>
      </w:r>
      <w:r w:rsidRPr="00A05DA7">
        <w:t xml:space="preserve">programs have a much smaller number of monitoring locations, and these limited location samples may not accurately represent the entire geographic area of interest. In many cases, the </w:t>
      </w:r>
      <w:r w:rsidR="002913D2" w:rsidRPr="00A05DA7">
        <w:t>micromobility</w:t>
      </w:r>
      <w:r w:rsidRPr="00A05DA7">
        <w:t xml:space="preserve"> monitoring locations have been chosen based on highest usage levels or strategic areas of facility improvement. Given limited data collection resources and specific data uses, these site selection criteria may be appropriate. However, one should recognize that these limited location samples might represent a biased estimate of overall usage and trends for a city</w:t>
      </w:r>
      <w:r w:rsidR="004D12BF" w:rsidRPr="00A05DA7">
        <w:t>, county,</w:t>
      </w:r>
      <w:r w:rsidRPr="00A05DA7">
        <w:t xml:space="preserve"> or State. </w:t>
      </w:r>
      <w:r w:rsidR="00156665" w:rsidRPr="00A05DA7">
        <w:t xml:space="preserve">Additional </w:t>
      </w:r>
      <w:r w:rsidRPr="00A05DA7">
        <w:t xml:space="preserve">research is needed to identify statistically representative site selection criteria. </w:t>
      </w:r>
    </w:p>
    <w:p w14:paraId="34611124" w14:textId="4B123B49" w:rsidR="00C73D24" w:rsidRPr="00A05DA7" w:rsidRDefault="00C73D24" w:rsidP="00A35EAF">
      <w:pPr>
        <w:pStyle w:val="BodyText"/>
      </w:pPr>
      <w:r w:rsidRPr="00A05DA7">
        <w:lastRenderedPageBreak/>
        <w:t xml:space="preserve">A second key difference is that </w:t>
      </w:r>
      <w:r w:rsidR="002913D2" w:rsidRPr="00A05DA7">
        <w:t>micromobility</w:t>
      </w:r>
      <w:r w:rsidR="006219FF" w:rsidRPr="00A05DA7">
        <w:t xml:space="preserve"> </w:t>
      </w:r>
      <w:r w:rsidRPr="00A05DA7">
        <w:t>traffic will typically have higher use on lower functional class roads and streets as well as shared</w:t>
      </w:r>
      <w:r w:rsidR="008A03F0">
        <w:t>-</w:t>
      </w:r>
      <w:r w:rsidRPr="00A05DA7">
        <w:t>use paths and pedestrian facilities, simply because of the more pleasant environment of lower speeds and volumes of motorized traffic. Conversely, motorized traffic monitoring focuses on higher functional class roads that provide the quickest and most direct route for motorized traffic.</w:t>
      </w:r>
    </w:p>
    <w:p w14:paraId="37E4B0D7" w14:textId="77777777" w:rsidR="00FE0C97" w:rsidRPr="00A05DA7" w:rsidRDefault="00C73D24" w:rsidP="00A35EAF">
      <w:pPr>
        <w:pStyle w:val="BodyText"/>
      </w:pPr>
      <w:r w:rsidRPr="00A05DA7">
        <w:t>A third key difference in current practice is a tendency to use very short</w:t>
      </w:r>
      <w:r w:rsidR="00335FA8" w:rsidRPr="00A05DA7">
        <w:t>-term</w:t>
      </w:r>
      <w:r w:rsidRPr="00A05DA7">
        <w:t xml:space="preserve"> counts (i.e., as short as 2 hours) for </w:t>
      </w:r>
      <w:r w:rsidR="002913D2" w:rsidRPr="00A05DA7">
        <w:t>micromobility</w:t>
      </w:r>
      <w:r w:rsidRPr="00A05DA7">
        <w:t xml:space="preserve"> traffic monitoring, primarily because of the perceived difficulty of automatically counting pedestrians and bicyclists (as well as the desire to collect gender and bicycle helmet use</w:t>
      </w:r>
      <w:r w:rsidR="00497B68" w:rsidRPr="00A05DA7">
        <w:t xml:space="preserve"> data</w:t>
      </w:r>
      <w:r w:rsidRPr="00A05DA7">
        <w:t xml:space="preserve">). </w:t>
      </w:r>
    </w:p>
    <w:p w14:paraId="0E66AAA3" w14:textId="523C7E06" w:rsidR="00FE0C97" w:rsidRPr="003E1386" w:rsidRDefault="00C73D24" w:rsidP="00A119E0">
      <w:pPr>
        <w:pStyle w:val="CallOut"/>
      </w:pPr>
      <w:r w:rsidRPr="003E1386">
        <w:t xml:space="preserve">Although this practice is not prohibited by the </w:t>
      </w:r>
      <w:r w:rsidR="00546B6F" w:rsidRPr="000844ED">
        <w:rPr>
          <w:i/>
          <w:iCs/>
        </w:rPr>
        <w:t>TMG</w:t>
      </w:r>
      <w:r w:rsidRPr="003E1386">
        <w:t>, data users should recognize that these very short</w:t>
      </w:r>
      <w:r w:rsidR="00335FA8" w:rsidRPr="003E1386">
        <w:t xml:space="preserve">-term </w:t>
      </w:r>
      <w:r w:rsidRPr="003E1386">
        <w:t xml:space="preserve">counts can introduce significant overall error when </w:t>
      </w:r>
      <w:r w:rsidR="002913D2" w:rsidRPr="003E1386">
        <w:t>micromobility</w:t>
      </w:r>
      <w:r w:rsidRPr="003E1386">
        <w:t xml:space="preserve"> traffic use is low and inherently variable. </w:t>
      </w:r>
    </w:p>
    <w:p w14:paraId="0ADB5238" w14:textId="15793072" w:rsidR="00C73D24" w:rsidRPr="00A05DA7" w:rsidRDefault="00C73D24" w:rsidP="00A35EAF">
      <w:pPr>
        <w:pStyle w:val="BodyText"/>
      </w:pPr>
      <w:r w:rsidRPr="00A05DA7">
        <w:t>If short</w:t>
      </w:r>
      <w:r w:rsidR="00335FA8" w:rsidRPr="00A05DA7">
        <w:t xml:space="preserve">-term </w:t>
      </w:r>
      <w:r w:rsidR="002913D2" w:rsidRPr="00A05DA7">
        <w:t>micromobility</w:t>
      </w:r>
      <w:r w:rsidRPr="00A05DA7">
        <w:t xml:space="preserve"> counts are </w:t>
      </w:r>
      <w:r w:rsidR="00546B6F" w:rsidRPr="00A05DA7">
        <w:t>needed</w:t>
      </w:r>
      <w:r w:rsidRPr="00A05DA7">
        <w:t xml:space="preserve">, then it is essential that longer counts be taken to establish hourly patterns and a statistical basis for extrapolation of these counts. This issue </w:t>
      </w:r>
      <w:r w:rsidR="00BE4A36">
        <w:t>is</w:t>
      </w:r>
      <w:r w:rsidRPr="00A05DA7">
        <w:t xml:space="preserve"> addressed in more detail in </w:t>
      </w:r>
      <w:r w:rsidR="00546B6F" w:rsidRPr="00A05DA7">
        <w:t>Chapter 3</w:t>
      </w:r>
      <w:r w:rsidRPr="00A05DA7">
        <w:t>.</w:t>
      </w:r>
    </w:p>
    <w:p w14:paraId="1AEDF467" w14:textId="3FC2EB56" w:rsidR="00C73D24" w:rsidRPr="00A05DA7" w:rsidRDefault="00C73D24" w:rsidP="00A35EAF">
      <w:pPr>
        <w:pStyle w:val="BodyText"/>
      </w:pPr>
      <w:r w:rsidRPr="00A05DA7">
        <w:t xml:space="preserve">Finally, a fourth key difference is that </w:t>
      </w:r>
      <w:r w:rsidR="00497B68" w:rsidRPr="00A05DA7">
        <w:t xml:space="preserve">the monitoring </w:t>
      </w:r>
      <w:r w:rsidRPr="00A05DA7">
        <w:t xml:space="preserve">technologies for counting </w:t>
      </w:r>
      <w:r w:rsidR="00497B68" w:rsidRPr="00A05DA7">
        <w:t xml:space="preserve">micromobility </w:t>
      </w:r>
      <w:r w:rsidRPr="00A05DA7">
        <w:t>still are evolving</w:t>
      </w:r>
      <w:r w:rsidR="00BE4A36">
        <w:t>,</w:t>
      </w:r>
      <w:r w:rsidRPr="00A05DA7">
        <w:t xml:space="preserve"> and error rates associated with different technologies </w:t>
      </w:r>
      <w:r w:rsidR="00BE4A36">
        <w:t xml:space="preserve">are </w:t>
      </w:r>
      <w:r w:rsidR="0053788D" w:rsidRPr="00A05DA7">
        <w:t xml:space="preserve">becoming </w:t>
      </w:r>
      <w:r w:rsidR="00301434" w:rsidRPr="00A05DA7">
        <w:t>available</w:t>
      </w:r>
      <w:r w:rsidRPr="00A05DA7">
        <w:t xml:space="preserve">. All methods for counting both motorized and </w:t>
      </w:r>
      <w:r w:rsidR="002913D2" w:rsidRPr="00A05DA7">
        <w:t>micromobility</w:t>
      </w:r>
      <w:r w:rsidRPr="00A05DA7">
        <w:t xml:space="preserve"> traffic have error rates and provide estimates that only approximate actual use; however, the error rates for technologies used to count motorized traffic generally are better understood, as are the procedures for managing or reducing these errors.</w:t>
      </w:r>
    </w:p>
    <w:p w14:paraId="3E895CB9" w14:textId="541C1477" w:rsidR="00886405" w:rsidRPr="00A05DA7" w:rsidRDefault="00A05DA7" w:rsidP="00A35EAF">
      <w:pPr>
        <w:pStyle w:val="BodyText"/>
      </w:pPr>
      <w:bookmarkStart w:id="385" w:name="_Hlk76051908"/>
      <w:r>
        <w:t>National Cooperative Highway Research Project (</w:t>
      </w:r>
      <w:r w:rsidR="00886405" w:rsidRPr="00A05DA7">
        <w:t>NCHRP</w:t>
      </w:r>
      <w:r>
        <w:t>)</w:t>
      </w:r>
      <w:r w:rsidR="00886405" w:rsidRPr="00A05DA7">
        <w:t xml:space="preserve"> </w:t>
      </w:r>
      <w:r w:rsidR="00886405" w:rsidRPr="000844ED">
        <w:rPr>
          <w:i/>
          <w:iCs/>
        </w:rPr>
        <w:t>Report 797</w:t>
      </w:r>
      <w:r w:rsidR="000844ED">
        <w:rPr>
          <w:i/>
          <w:iCs/>
        </w:rPr>
        <w:t xml:space="preserve">: </w:t>
      </w:r>
      <w:r w:rsidR="00886405" w:rsidRPr="000844ED">
        <w:rPr>
          <w:i/>
          <w:iCs/>
        </w:rPr>
        <w:t>Guide</w:t>
      </w:r>
      <w:r w:rsidR="008940BC">
        <w:rPr>
          <w:i/>
          <w:iCs/>
        </w:rPr>
        <w:t>book</w:t>
      </w:r>
      <w:r w:rsidR="00886405" w:rsidRPr="00A05DA7">
        <w:rPr>
          <w:i/>
        </w:rPr>
        <w:t xml:space="preserve"> on Pedestrian and Bicycle Volume Data Collection</w:t>
      </w:r>
      <w:r w:rsidR="00886405" w:rsidRPr="00A05DA7">
        <w:t xml:space="preserve"> </w:t>
      </w:r>
      <w:bookmarkStart w:id="386" w:name="_Hlk113955483"/>
      <w:bookmarkEnd w:id="385"/>
      <w:r w:rsidR="00FF5B13">
        <w:t xml:space="preserve">(NASEM 2014) </w:t>
      </w:r>
      <w:bookmarkEnd w:id="386"/>
      <w:r w:rsidR="00497B68" w:rsidRPr="00A05DA7">
        <w:t>provides additional information.</w:t>
      </w:r>
    </w:p>
    <w:p w14:paraId="4B119519" w14:textId="5C207717" w:rsidR="00006750" w:rsidRPr="00F468E1" w:rsidRDefault="0058143F">
      <w:pPr>
        <w:pStyle w:val="Heading4"/>
      </w:pPr>
      <w:bookmarkStart w:id="387" w:name="_Toc118205575"/>
      <w:r w:rsidRPr="00F468E1">
        <w:rPr>
          <w:rFonts w:eastAsiaTheme="majorEastAsia"/>
        </w:rPr>
        <w:t>Micromobility Short Term Count Program</w:t>
      </w:r>
      <w:bookmarkEnd w:id="387"/>
    </w:p>
    <w:p w14:paraId="5F4266FC" w14:textId="65443F7B" w:rsidR="00C73D24" w:rsidRPr="00C73D24" w:rsidRDefault="00955D21" w:rsidP="00A35EAF">
      <w:pPr>
        <w:pStyle w:val="BodyText"/>
      </w:pPr>
      <w:r w:rsidRPr="00A05DA7">
        <w:t>T</w:t>
      </w:r>
      <w:r w:rsidR="00C73D24" w:rsidRPr="00A05DA7">
        <w:t xml:space="preserve">he majority of </w:t>
      </w:r>
      <w:r w:rsidR="002913D2" w:rsidRPr="00A05DA7">
        <w:t>micromobility</w:t>
      </w:r>
      <w:r w:rsidR="006219FF" w:rsidRPr="00A05DA7">
        <w:t xml:space="preserve"> </w:t>
      </w:r>
      <w:r w:rsidR="00C73D24" w:rsidRPr="00A05DA7">
        <w:t>locations will be monitored using short-</w:t>
      </w:r>
      <w:r w:rsidR="00335FA8" w:rsidRPr="00A05DA7">
        <w:t>term</w:t>
      </w:r>
      <w:r w:rsidR="00C73D24" w:rsidRPr="00A05DA7">
        <w:t xml:space="preserve"> counts</w:t>
      </w:r>
      <w:r w:rsidRPr="00A05DA7">
        <w:t xml:space="preserve"> and special needs counts although </w:t>
      </w:r>
      <w:r w:rsidR="009039A8" w:rsidRPr="00A05DA7">
        <w:t xml:space="preserve">in </w:t>
      </w:r>
      <w:r w:rsidR="002913D2" w:rsidRPr="00A05DA7">
        <w:t>micromobility</w:t>
      </w:r>
      <w:r w:rsidR="009039A8" w:rsidRPr="00A05DA7">
        <w:t xml:space="preserve"> programs, </w:t>
      </w:r>
      <w:r w:rsidR="00C73D24" w:rsidRPr="00A05DA7">
        <w:t>the distinction between short</w:t>
      </w:r>
      <w:r w:rsidR="00335FA8" w:rsidRPr="00A05DA7">
        <w:t>-term</w:t>
      </w:r>
      <w:r w:rsidR="00C73D24" w:rsidRPr="00A05DA7">
        <w:t xml:space="preserve"> counts and special needs counts </w:t>
      </w:r>
      <w:r w:rsidRPr="00A05DA7">
        <w:t xml:space="preserve">may </w:t>
      </w:r>
      <w:r w:rsidR="00C73D24" w:rsidRPr="00A05DA7">
        <w:t xml:space="preserve">not </w:t>
      </w:r>
      <w:r w:rsidR="00120B05" w:rsidRPr="00A05DA7">
        <w:t xml:space="preserve">be </w:t>
      </w:r>
      <w:r w:rsidR="0053788D" w:rsidRPr="00A05DA7">
        <w:t xml:space="preserve">as </w:t>
      </w:r>
      <w:r w:rsidR="00C73D24" w:rsidRPr="00A05DA7">
        <w:t>clearly defined</w:t>
      </w:r>
      <w:r w:rsidRPr="00A05DA7">
        <w:t xml:space="preserve"> in some programs</w:t>
      </w:r>
      <w:r w:rsidR="00C73D24" w:rsidRPr="00A05DA7">
        <w:t>. Short-</w:t>
      </w:r>
      <w:r w:rsidR="00335FA8" w:rsidRPr="00A05DA7">
        <w:t>term</w:t>
      </w:r>
      <w:r w:rsidR="00C73D24" w:rsidRPr="00A05DA7">
        <w:t xml:space="preserve"> counts are </w:t>
      </w:r>
      <w:r w:rsidRPr="00A05DA7">
        <w:t xml:space="preserve">often </w:t>
      </w:r>
      <w:r w:rsidR="00C73D24" w:rsidRPr="00A05DA7">
        <w:t>performed on specific facilities based on certain needs for that facility (e.g., before-after</w:t>
      </w:r>
      <w:r w:rsidRPr="00A05DA7">
        <w:t xml:space="preserve"> use</w:t>
      </w:r>
      <w:r w:rsidR="00C73D24" w:rsidRPr="00A05DA7">
        <w:t>)</w:t>
      </w:r>
      <w:r w:rsidRPr="00A05DA7">
        <w:t>. One limitation of this data lies in the uncertainty over wh</w:t>
      </w:r>
      <w:r w:rsidR="00C73D24" w:rsidRPr="00A05DA7">
        <w:t xml:space="preserve">ether </w:t>
      </w:r>
      <w:r w:rsidRPr="00A05DA7">
        <w:t xml:space="preserve">the data collected at </w:t>
      </w:r>
      <w:r w:rsidR="00C73D24" w:rsidRPr="00A05DA7">
        <w:t xml:space="preserve">that </w:t>
      </w:r>
      <w:r w:rsidR="0053788D" w:rsidRPr="00A05DA7">
        <w:t xml:space="preserve">a </w:t>
      </w:r>
      <w:r w:rsidR="00C73D24" w:rsidRPr="00A05DA7">
        <w:t xml:space="preserve">specific facility </w:t>
      </w:r>
      <w:r w:rsidR="00BE4A36">
        <w:t>are</w:t>
      </w:r>
      <w:r w:rsidR="00BE4A36" w:rsidRPr="00A05DA7">
        <w:t xml:space="preserve"> </w:t>
      </w:r>
      <w:r w:rsidR="00C73D24" w:rsidRPr="00A05DA7">
        <w:t xml:space="preserve">representative of other </w:t>
      </w:r>
      <w:r w:rsidRPr="00A05DA7">
        <w:t xml:space="preserve">similar </w:t>
      </w:r>
      <w:r w:rsidR="00C73D24" w:rsidRPr="00A05DA7">
        <w:t>facilities and can therefore be expanded to a sub-area or regional estimate</w:t>
      </w:r>
      <w:r w:rsidRPr="00A05DA7">
        <w:t xml:space="preserve">s </w:t>
      </w:r>
      <w:r w:rsidR="00C73D24" w:rsidRPr="00A05DA7">
        <w:t xml:space="preserve">of overall </w:t>
      </w:r>
      <w:r w:rsidR="002913D2" w:rsidRPr="00A05DA7">
        <w:t>micromobility</w:t>
      </w:r>
      <w:r w:rsidR="006219FF" w:rsidRPr="00A05DA7">
        <w:t xml:space="preserve"> </w:t>
      </w:r>
      <w:r w:rsidR="00C73D24" w:rsidRPr="00A05DA7">
        <w:t>travel</w:t>
      </w:r>
      <w:r w:rsidR="00C73D24" w:rsidRPr="00C73D24">
        <w:t>.</w:t>
      </w:r>
    </w:p>
    <w:p w14:paraId="62EC5501" w14:textId="30C7980D" w:rsidR="00335BE0" w:rsidRPr="00F468E1" w:rsidRDefault="00C73D24">
      <w:pPr>
        <w:pStyle w:val="Heading2"/>
      </w:pPr>
      <w:bookmarkStart w:id="388" w:name="_Toc349905074"/>
      <w:bookmarkStart w:id="389" w:name="_Toc363656122"/>
      <w:bookmarkStart w:id="390" w:name="_Toc450638912"/>
      <w:bookmarkStart w:id="391" w:name="_Toc33968125"/>
      <w:bookmarkStart w:id="392" w:name="_Toc44415707"/>
      <w:bookmarkStart w:id="393" w:name="_Toc57736828"/>
      <w:bookmarkStart w:id="394" w:name="_Toc68864928"/>
      <w:bookmarkStart w:id="395" w:name="_Toc114474713"/>
      <w:bookmarkStart w:id="396" w:name="_Toc114485829"/>
      <w:bookmarkStart w:id="397" w:name="_Toc114488080"/>
      <w:bookmarkStart w:id="398" w:name="_Toc118205576"/>
      <w:r w:rsidRPr="00F468E1">
        <w:t>Program Evaluation</w:t>
      </w:r>
      <w:bookmarkEnd w:id="388"/>
      <w:bookmarkEnd w:id="389"/>
      <w:bookmarkEnd w:id="390"/>
      <w:bookmarkEnd w:id="391"/>
      <w:bookmarkEnd w:id="392"/>
      <w:bookmarkEnd w:id="393"/>
      <w:bookmarkEnd w:id="394"/>
      <w:bookmarkEnd w:id="395"/>
      <w:bookmarkEnd w:id="396"/>
      <w:bookmarkEnd w:id="397"/>
      <w:bookmarkEnd w:id="398"/>
    </w:p>
    <w:p w14:paraId="3EDDFBA1" w14:textId="04B5F246" w:rsidR="009039A8" w:rsidRPr="003E1386" w:rsidRDefault="001B1094" w:rsidP="00A119E0">
      <w:pPr>
        <w:pStyle w:val="CallOut"/>
      </w:pPr>
      <w:r w:rsidRPr="003E1386">
        <w:t>DOT traffic monitoring programs should be comprehensively evaluated</w:t>
      </w:r>
      <w:r w:rsidR="00C73D24" w:rsidRPr="003E1386">
        <w:t xml:space="preserve"> </w:t>
      </w:r>
      <w:r w:rsidRPr="003E1386">
        <w:t xml:space="preserve">every </w:t>
      </w:r>
      <w:r w:rsidR="00BE4A36">
        <w:t>5</w:t>
      </w:r>
      <w:r w:rsidR="00BE4A36" w:rsidRPr="003E1386">
        <w:t xml:space="preserve"> </w:t>
      </w:r>
      <w:r w:rsidRPr="003E1386">
        <w:t xml:space="preserve">years, </w:t>
      </w:r>
      <w:r w:rsidR="00C73D24" w:rsidRPr="003E1386">
        <w:t>at a minimum</w:t>
      </w:r>
      <w:r w:rsidR="001E71DE" w:rsidRPr="003E1386">
        <w:t xml:space="preserve">, to assure compliance with users’ needs and </w:t>
      </w:r>
      <w:r w:rsidR="00BE4A36">
        <w:t>F</w:t>
      </w:r>
      <w:r w:rsidR="001E71DE" w:rsidRPr="003E1386">
        <w:t>ederal regulations, account for changes in road usage, and address equipment or personnel needs</w:t>
      </w:r>
      <w:r w:rsidR="00C73D24" w:rsidRPr="003E1386">
        <w:t xml:space="preserve">. </w:t>
      </w:r>
    </w:p>
    <w:p w14:paraId="3051A82A" w14:textId="121572E7" w:rsidR="00C73D24" w:rsidRPr="00A05DA7" w:rsidRDefault="00C73D24" w:rsidP="00A35EAF">
      <w:pPr>
        <w:pStyle w:val="BodyText"/>
      </w:pPr>
      <w:r w:rsidRPr="00A05DA7">
        <w:t xml:space="preserve">This comprehensive evaluation should include </w:t>
      </w:r>
      <w:r w:rsidR="001B1094" w:rsidRPr="00A05DA7">
        <w:t xml:space="preserve">auditing </w:t>
      </w:r>
      <w:r w:rsidRPr="00A05DA7">
        <w:t>all aspects of the program including equipment inventories, site selection procedures, data collection practices, validation, quality control, analyzing data,</w:t>
      </w:r>
      <w:r w:rsidR="00D965FF" w:rsidRPr="00A05DA7">
        <w:t xml:space="preserve"> staffing levels,</w:t>
      </w:r>
      <w:r w:rsidRPr="00A05DA7">
        <w:t xml:space="preserve"> data dissemination practices</w:t>
      </w:r>
      <w:r w:rsidR="00D965FF" w:rsidRPr="00A05DA7">
        <w:t>,</w:t>
      </w:r>
      <w:r w:rsidR="00BA6DB9" w:rsidRPr="00A05DA7">
        <w:t xml:space="preserve"> and</w:t>
      </w:r>
      <w:r w:rsidR="00D965FF" w:rsidRPr="00A05DA7">
        <w:t xml:space="preserve"> data user base review and documentation updates</w:t>
      </w:r>
      <w:r w:rsidRPr="00A05DA7">
        <w:t>.</w:t>
      </w:r>
      <w:r w:rsidR="004D4172">
        <w:t xml:space="preserve"> </w:t>
      </w:r>
      <w:r w:rsidR="0053788D" w:rsidRPr="00A05DA7">
        <w:t xml:space="preserve">The state DOT </w:t>
      </w:r>
      <w:r w:rsidR="00F97F9E">
        <w:t>should provide its</w:t>
      </w:r>
      <w:r w:rsidR="0053788D" w:rsidRPr="00A05DA7">
        <w:t xml:space="preserve"> FHWA Division Office </w:t>
      </w:r>
      <w:r w:rsidR="00F97F9E">
        <w:t xml:space="preserve">with </w:t>
      </w:r>
      <w:r w:rsidR="0053788D" w:rsidRPr="00A05DA7">
        <w:t xml:space="preserve">the results from the comprehensive evaluation. </w:t>
      </w:r>
      <w:r w:rsidRPr="00A05DA7">
        <w:t xml:space="preserve">A comprehensive travel monitoring program evaluation should provide an agency with a strategic business plan that documents program strengths and deficiencies with targeted recommendations for minimizing deficiencies and leveraging data program assets for a broad range of agency needs. A comprehensive program evaluation is recommended every </w:t>
      </w:r>
      <w:r w:rsidR="00F97F9E">
        <w:t>5</w:t>
      </w:r>
      <w:r w:rsidR="00F97F9E" w:rsidRPr="00A05DA7">
        <w:t xml:space="preserve"> </w:t>
      </w:r>
      <w:r w:rsidRPr="00A05DA7">
        <w:t xml:space="preserve">years because travel monitoring equipment and technology, as well as Federal regulations requiring travel monitoring data, can change over time, ultimately requiring travel monitoring program changes. </w:t>
      </w:r>
    </w:p>
    <w:p w14:paraId="47AD107A" w14:textId="31D0372E" w:rsidR="00C73D24" w:rsidRPr="00A05DA7" w:rsidRDefault="00C73D24" w:rsidP="0010467B">
      <w:pPr>
        <w:pStyle w:val="BodyText"/>
      </w:pPr>
      <w:r w:rsidRPr="00A05DA7">
        <w:t xml:space="preserve">Conducting a </w:t>
      </w:r>
      <w:r w:rsidR="007A682A" w:rsidRPr="00A05DA7">
        <w:t xml:space="preserve">thorough </w:t>
      </w:r>
      <w:r w:rsidRPr="00A05DA7">
        <w:t xml:space="preserve">program evaluation </w:t>
      </w:r>
      <w:r w:rsidR="001B1094" w:rsidRPr="00A05DA7">
        <w:t xml:space="preserve">identifies potential </w:t>
      </w:r>
      <w:r w:rsidRPr="00A05DA7">
        <w:t>sav</w:t>
      </w:r>
      <w:r w:rsidR="001B1094" w:rsidRPr="00A05DA7">
        <w:t>ings of</w:t>
      </w:r>
      <w:r w:rsidRPr="00A05DA7">
        <w:t xml:space="preserve"> time, resources, and </w:t>
      </w:r>
      <w:r w:rsidR="001B1094" w:rsidRPr="00A05DA7">
        <w:t xml:space="preserve">budget and recommends </w:t>
      </w:r>
      <w:r w:rsidRPr="00A05DA7">
        <w:t>business practice</w:t>
      </w:r>
      <w:r w:rsidR="001B1094" w:rsidRPr="00A05DA7">
        <w:t xml:space="preserve"> improvements</w:t>
      </w:r>
      <w:r w:rsidRPr="00A05DA7">
        <w:t xml:space="preserve"> that eliminate unnecessary or inefficient </w:t>
      </w:r>
      <w:r w:rsidR="001B1094" w:rsidRPr="00A05DA7">
        <w:t xml:space="preserve">monitoring </w:t>
      </w:r>
      <w:r w:rsidRPr="00A05DA7">
        <w:t xml:space="preserve">processes or data </w:t>
      </w:r>
      <w:r w:rsidRPr="0010467B">
        <w:t>management</w:t>
      </w:r>
      <w:r w:rsidRPr="00A05DA7">
        <w:t xml:space="preserve"> practices.</w:t>
      </w:r>
      <w:r w:rsidR="004D4172">
        <w:t xml:space="preserve"> </w:t>
      </w:r>
      <w:r w:rsidRPr="00A05DA7">
        <w:t xml:space="preserve">Examples </w:t>
      </w:r>
      <w:r w:rsidR="00BA6DB9" w:rsidRPr="00A05DA7">
        <w:t xml:space="preserve">to consider </w:t>
      </w:r>
      <w:r w:rsidRPr="00A05DA7">
        <w:t xml:space="preserve">include (but are not limited to) the following: </w:t>
      </w:r>
    </w:p>
    <w:p w14:paraId="555DE6A8" w14:textId="77777777" w:rsidR="00C73D24" w:rsidRPr="00A05DA7" w:rsidRDefault="00C73D24">
      <w:pPr>
        <w:pStyle w:val="TMGBullet"/>
      </w:pPr>
      <w:r w:rsidRPr="00A05DA7">
        <w:t>Sharing of data with partner agencies and eliminating duplication of data collection efforts.</w:t>
      </w:r>
    </w:p>
    <w:p w14:paraId="0E66A462" w14:textId="3E44127E" w:rsidR="00C73D24" w:rsidRPr="00A05DA7" w:rsidRDefault="00C73D24">
      <w:pPr>
        <w:pStyle w:val="TMGBullet"/>
      </w:pPr>
      <w:r w:rsidRPr="00A05DA7">
        <w:t>Eliminati</w:t>
      </w:r>
      <w:r w:rsidR="0053788D" w:rsidRPr="00A05DA7">
        <w:t>on</w:t>
      </w:r>
      <w:r w:rsidRPr="00A05DA7">
        <w:t xml:space="preserve"> of travel monitoring sites by consolidating data sources that are overlapping within an agency.</w:t>
      </w:r>
    </w:p>
    <w:p w14:paraId="12BD05EB" w14:textId="3A10465B" w:rsidR="00C73D24" w:rsidRPr="00C73D24" w:rsidRDefault="00C73D24">
      <w:pPr>
        <w:pStyle w:val="TMGBullet"/>
      </w:pPr>
      <w:r w:rsidRPr="00C73D24">
        <w:t xml:space="preserve">Implementing automated software technologies to eliminate </w:t>
      </w:r>
      <w:r w:rsidR="00BA6DB9">
        <w:t xml:space="preserve">or improve </w:t>
      </w:r>
      <w:r w:rsidRPr="00C73D24">
        <w:t>manual or electronic processing of data as well as eliminating inefficient or unnecessary business process steps.</w:t>
      </w:r>
    </w:p>
    <w:p w14:paraId="7898B254" w14:textId="77777777" w:rsidR="00C73D24" w:rsidRPr="00C73D24" w:rsidRDefault="00C73D24">
      <w:pPr>
        <w:pStyle w:val="TMGBullet"/>
      </w:pPr>
      <w:r w:rsidRPr="00C73D24">
        <w:lastRenderedPageBreak/>
        <w:t>Purchasing and integrating private sector data to supplement existing data sources within the program.</w:t>
      </w:r>
    </w:p>
    <w:p w14:paraId="14FE35EE" w14:textId="0B4BE442" w:rsidR="00C73D24" w:rsidRPr="00C73D24" w:rsidRDefault="00C73D24">
      <w:pPr>
        <w:pStyle w:val="TMGBullet"/>
      </w:pPr>
      <w:r w:rsidRPr="00C73D24">
        <w:t>Upgrading site equipment to include cellular (preferred)/dial-up modems or establishing fiber network access eliminating the need for site visits to download data</w:t>
      </w:r>
      <w:r w:rsidR="00F97F9E">
        <w:t>.</w:t>
      </w:r>
    </w:p>
    <w:p w14:paraId="7767B736" w14:textId="5BE5BCBE" w:rsidR="00C73D24" w:rsidRPr="00C73D24" w:rsidRDefault="00C73D24">
      <w:pPr>
        <w:pStyle w:val="TMGBullet"/>
      </w:pPr>
      <w:r w:rsidRPr="00C73D24">
        <w:t>Integration of travel monitoring program data with Intelligent Transportation Systems (ITS) data eliminating duplication of efforts within an agency</w:t>
      </w:r>
      <w:r w:rsidR="00F97F9E">
        <w:t>—</w:t>
      </w:r>
      <w:r w:rsidRPr="00C73D24">
        <w:t>this requires coordination and standardization of data collection efforts (time of collection 24 hours without gaps), resources, data export formats, etc.</w:t>
      </w:r>
    </w:p>
    <w:p w14:paraId="60EC84F5" w14:textId="2F3A4075" w:rsidR="00C73D24" w:rsidRPr="00A05DA7" w:rsidRDefault="00C73D24" w:rsidP="00A35EAF">
      <w:pPr>
        <w:pStyle w:val="BodyText"/>
      </w:pPr>
      <w:r w:rsidRPr="00C73D24">
        <w:t xml:space="preserve">Many agencies already rely on </w:t>
      </w:r>
      <w:r w:rsidRPr="00A05DA7">
        <w:t>obtaining advice from partner Federal, State, and local agencies related to budgeting, monitoring equipment, resource allocations, etc. When conducting a comprehensive program evaluation, a similar industry practice</w:t>
      </w:r>
      <w:r w:rsidR="007A682A" w:rsidRPr="00A05DA7">
        <w:t xml:space="preserve"> (i.e., peer benchmarking)</w:t>
      </w:r>
      <w:r w:rsidRPr="00A05DA7">
        <w:t xml:space="preserve"> is advised. </w:t>
      </w:r>
    </w:p>
    <w:p w14:paraId="6CB58C09" w14:textId="3DAF26DC" w:rsidR="00C73D24" w:rsidRPr="00C73D24" w:rsidRDefault="00C73D24" w:rsidP="00A35EAF">
      <w:pPr>
        <w:pStyle w:val="BodyText"/>
      </w:pPr>
      <w:r w:rsidRPr="00A05DA7">
        <w:t>Managing a travel monitoring program requires many different skills including budgeting</w:t>
      </w:r>
      <w:r w:rsidR="00F97F9E">
        <w:t>,</w:t>
      </w:r>
      <w:r w:rsidRPr="00A05DA7">
        <w:t xml:space="preserve"> resource allocations</w:t>
      </w:r>
      <w:r w:rsidR="00F97F9E">
        <w:t>,</w:t>
      </w:r>
      <w:r w:rsidRPr="00A05DA7">
        <w:t xml:space="preserve"> statistical analyses</w:t>
      </w:r>
      <w:r w:rsidR="00F97F9E">
        <w:t>,</w:t>
      </w:r>
      <w:r w:rsidRPr="00A05DA7">
        <w:t xml:space="preserve"> and quality evaluation of the travel monitoring program’s data.</w:t>
      </w:r>
      <w:r w:rsidR="004D4172">
        <w:t xml:space="preserve"> </w:t>
      </w:r>
      <w:r w:rsidRPr="00A05DA7">
        <w:t xml:space="preserve">The remainder of this section describes the steps for conducting </w:t>
      </w:r>
      <w:r w:rsidRPr="00C73D24">
        <w:t>the program evaluation.</w:t>
      </w:r>
    </w:p>
    <w:p w14:paraId="0BCA17BB" w14:textId="77777777" w:rsidR="00C73D24" w:rsidRPr="00C73D24" w:rsidRDefault="00C73D24" w:rsidP="0010467B">
      <w:pPr>
        <w:pStyle w:val="BodyText"/>
      </w:pPr>
      <w:r w:rsidRPr="00C73D24">
        <w:t xml:space="preserve">The program evaluation review should include the following elements. </w:t>
      </w:r>
    </w:p>
    <w:p w14:paraId="62FD081F" w14:textId="2E57118D" w:rsidR="00C73D24" w:rsidRPr="00C73D24" w:rsidRDefault="00C73D24" w:rsidP="00F53123">
      <w:pPr>
        <w:pStyle w:val="BodyText"/>
        <w:numPr>
          <w:ilvl w:val="0"/>
          <w:numId w:val="20"/>
        </w:numPr>
        <w:spacing w:after="60"/>
        <w:ind w:left="648"/>
      </w:pPr>
      <w:r w:rsidRPr="00C73D24">
        <w:t>Goals and Objectives – Identify a clear statement of goals and objectives of the traffic</w:t>
      </w:r>
      <w:r w:rsidR="001575CC">
        <w:t xml:space="preserve"> and travel</w:t>
      </w:r>
      <w:r w:rsidRPr="00C73D24">
        <w:t xml:space="preserve"> monitoring program and how it fits into the agency p</w:t>
      </w:r>
      <w:r w:rsidR="007A682A">
        <w:t>l</w:t>
      </w:r>
      <w:r w:rsidRPr="00C73D24">
        <w:t>anning, project, program, and policy development process</w:t>
      </w:r>
      <w:r w:rsidR="007A682A">
        <w:t>es</w:t>
      </w:r>
      <w:r w:rsidRPr="00C73D24">
        <w:t xml:space="preserve"> and supports other agency needs.</w:t>
      </w:r>
    </w:p>
    <w:p w14:paraId="202D6707" w14:textId="53F8D408" w:rsidR="00C73D24" w:rsidRPr="00A05DA7" w:rsidRDefault="00C73D24" w:rsidP="00F53123">
      <w:pPr>
        <w:pStyle w:val="BodyText"/>
        <w:numPr>
          <w:ilvl w:val="0"/>
          <w:numId w:val="20"/>
        </w:numPr>
        <w:spacing w:after="60"/>
        <w:ind w:left="648"/>
      </w:pPr>
      <w:r w:rsidRPr="00C73D24">
        <w:t xml:space="preserve">Stakeholders – Identify all stakeholders and customers of the data. Customers of the traffic data program should include internal customers, external partners (MPOs, local governments and the public) </w:t>
      </w:r>
      <w:r w:rsidRPr="00A05DA7">
        <w:t>and FHWA (for reporting purposes). The stakeholders should include both data collectors and users. (</w:t>
      </w:r>
      <w:r w:rsidR="00FA17D2">
        <w:t>s</w:t>
      </w:r>
      <w:r w:rsidRPr="00F52C82">
        <w:t>ee</w:t>
      </w:r>
      <w:r w:rsidR="00FA17D2">
        <w:t xml:space="preserve"> </w:t>
      </w:r>
      <w:r w:rsidR="00411B1F">
        <w:fldChar w:fldCharType="begin"/>
      </w:r>
      <w:r w:rsidR="00411B1F">
        <w:instrText xml:space="preserve"> REF _Ref114749772 \h </w:instrText>
      </w:r>
      <w:r w:rsidR="00411B1F">
        <w:fldChar w:fldCharType="separate"/>
      </w:r>
      <w:r w:rsidR="00C07DF9" w:rsidRPr="003D4982">
        <w:t xml:space="preserve">Table </w:t>
      </w:r>
      <w:r w:rsidR="00C07DF9">
        <w:rPr>
          <w:noProof/>
        </w:rPr>
        <w:t>1</w:t>
      </w:r>
      <w:r w:rsidR="00C07DF9" w:rsidRPr="003D4982">
        <w:noBreakHyphen/>
      </w:r>
      <w:r w:rsidR="00C07DF9">
        <w:rPr>
          <w:noProof/>
        </w:rPr>
        <w:t>1</w:t>
      </w:r>
      <w:r w:rsidR="00411B1F">
        <w:fldChar w:fldCharType="end"/>
      </w:r>
      <w:r w:rsidRPr="00A05DA7">
        <w:t>)</w:t>
      </w:r>
    </w:p>
    <w:p w14:paraId="08D64240" w14:textId="05CE590F" w:rsidR="00C73D24" w:rsidRPr="00A05DA7" w:rsidRDefault="00C73D24" w:rsidP="00F53123">
      <w:pPr>
        <w:pStyle w:val="BodyText"/>
        <w:numPr>
          <w:ilvl w:val="0"/>
          <w:numId w:val="20"/>
        </w:numPr>
        <w:spacing w:after="60"/>
        <w:ind w:left="648"/>
      </w:pPr>
      <w:r w:rsidRPr="00A05DA7">
        <w:t xml:space="preserve">Benefits of the Traffic Monitoring Program – Document the benefits of a traffic </w:t>
      </w:r>
      <w:r w:rsidR="001575CC" w:rsidRPr="00A05DA7">
        <w:t xml:space="preserve">and travel </w:t>
      </w:r>
      <w:r w:rsidRPr="00A05DA7">
        <w:t xml:space="preserve">monitoring program </w:t>
      </w:r>
      <w:r w:rsidR="007A682A" w:rsidRPr="00A05DA7">
        <w:t xml:space="preserve">to the </w:t>
      </w:r>
      <w:r w:rsidRPr="00A05DA7">
        <w:t xml:space="preserve">agency and </w:t>
      </w:r>
      <w:r w:rsidR="007A682A" w:rsidRPr="00A05DA7">
        <w:t xml:space="preserve">to </w:t>
      </w:r>
      <w:r w:rsidRPr="00A05DA7">
        <w:t>all the internal and external stakeholders. This can include fiscal decision-making abilities and resource benefits.</w:t>
      </w:r>
    </w:p>
    <w:p w14:paraId="1EB84866" w14:textId="4B118EAD" w:rsidR="00C73D24" w:rsidRPr="00A05DA7" w:rsidRDefault="00C73D24" w:rsidP="00F53123">
      <w:pPr>
        <w:pStyle w:val="BodyText"/>
        <w:numPr>
          <w:ilvl w:val="0"/>
          <w:numId w:val="20"/>
        </w:numPr>
        <w:spacing w:after="60"/>
        <w:ind w:left="648"/>
      </w:pPr>
      <w:r w:rsidRPr="00A05DA7">
        <w:t xml:space="preserve">Documentation of Federal, State, </w:t>
      </w:r>
      <w:r w:rsidR="007A682A" w:rsidRPr="00A05DA7">
        <w:t xml:space="preserve">and </w:t>
      </w:r>
      <w:r w:rsidRPr="00A05DA7">
        <w:t xml:space="preserve">Local Requirements and Guidelines for </w:t>
      </w:r>
      <w:r w:rsidR="007A682A" w:rsidRPr="00A05DA7">
        <w:t xml:space="preserve">the traffic </w:t>
      </w:r>
      <w:r w:rsidR="001575CC" w:rsidRPr="00A05DA7">
        <w:t xml:space="preserve">and </w:t>
      </w:r>
      <w:r w:rsidR="007A682A" w:rsidRPr="00A05DA7">
        <w:t>travel monitoring program </w:t>
      </w:r>
      <w:r w:rsidRPr="00A05DA7">
        <w:t xml:space="preserve">– Document requirements and guidelines that must/should be followed in establishing traffic monitoring programs. </w:t>
      </w:r>
    </w:p>
    <w:p w14:paraId="1EBE3EE8" w14:textId="34514C33" w:rsidR="00C73D24" w:rsidRPr="00A05DA7" w:rsidRDefault="00C73D24" w:rsidP="00D06A3D">
      <w:pPr>
        <w:pStyle w:val="BodyText"/>
        <w:numPr>
          <w:ilvl w:val="0"/>
          <w:numId w:val="20"/>
        </w:numPr>
        <w:ind w:left="648"/>
      </w:pPr>
      <w:r w:rsidRPr="00A05DA7">
        <w:t xml:space="preserve">Documentation of Existing </w:t>
      </w:r>
      <w:r w:rsidR="007A682A" w:rsidRPr="00A05DA7">
        <w:t xml:space="preserve">Monitoring </w:t>
      </w:r>
      <w:r w:rsidRPr="00A05DA7">
        <w:t>Process</w:t>
      </w:r>
      <w:r w:rsidR="007A682A" w:rsidRPr="00A05DA7">
        <w:t>es and Data</w:t>
      </w:r>
      <w:r w:rsidRPr="00A05DA7">
        <w:t> – Document the physical infrastructure of existing data programs. This documentation serves as customer data supply and demand documentation</w:t>
      </w:r>
      <w:r w:rsidR="00F97F9E">
        <w:t>,</w:t>
      </w:r>
      <w:r w:rsidRPr="00A05DA7">
        <w:t xml:space="preserve"> helping all stakeholders including the managers, the collection staff, analysts, and customers of the statewide traffic database. Some States apply use-case diagrams or other forms of diagramming and flowcharting to indicate which data elements are collected</w:t>
      </w:r>
      <w:r w:rsidR="00F97F9E">
        <w:t>;</w:t>
      </w:r>
      <w:r w:rsidRPr="00A05DA7">
        <w:t xml:space="preserve"> how they are processed, analyzed</w:t>
      </w:r>
      <w:r w:rsidR="00F97F9E">
        <w:t>,</w:t>
      </w:r>
      <w:r w:rsidRPr="00A05DA7">
        <w:t xml:space="preserve"> and reported</w:t>
      </w:r>
      <w:r w:rsidR="00F97F9E">
        <w:t>;</w:t>
      </w:r>
      <w:r w:rsidRPr="00A05DA7">
        <w:t xml:space="preserve"> who is involved</w:t>
      </w:r>
      <w:r w:rsidR="00F97F9E">
        <w:t>;</w:t>
      </w:r>
      <w:r w:rsidRPr="00A05DA7">
        <w:t xml:space="preserve"> and which databases are integrated and published. Staffing responsibilities should also be documented for future planning. </w:t>
      </w:r>
    </w:p>
    <w:p w14:paraId="0380198F" w14:textId="0775E9C1" w:rsidR="00C73D24" w:rsidRPr="00C73D24" w:rsidRDefault="00C73D24" w:rsidP="00CC262E">
      <w:pPr>
        <w:pStyle w:val="BodyText"/>
        <w:spacing w:after="60"/>
        <w:ind w:left="648"/>
      </w:pPr>
      <w:r w:rsidRPr="00C73D24">
        <w:t xml:space="preserve">This documentation should (minimally) include the following elements: </w:t>
      </w:r>
    </w:p>
    <w:p w14:paraId="64613D2B" w14:textId="744C4CAD" w:rsidR="00C73D24" w:rsidRPr="000844ED" w:rsidRDefault="00BA6DB9" w:rsidP="00CC262E">
      <w:pPr>
        <w:pStyle w:val="TMGBullet"/>
        <w:ind w:left="936"/>
      </w:pPr>
      <w:r w:rsidRPr="000844ED">
        <w:t xml:space="preserve">Annual </w:t>
      </w:r>
      <w:r w:rsidR="00C73D24" w:rsidRPr="000844ED">
        <w:t xml:space="preserve">Calibration protocols and procedures </w:t>
      </w:r>
      <w:r w:rsidR="0053788D" w:rsidRPr="000844ED">
        <w:t xml:space="preserve">utilized </w:t>
      </w:r>
      <w:r w:rsidR="00C73D24" w:rsidRPr="000844ED">
        <w:t>for all data types.</w:t>
      </w:r>
    </w:p>
    <w:p w14:paraId="017479A2" w14:textId="4098AD1B" w:rsidR="00C73D24" w:rsidRPr="000844ED" w:rsidRDefault="00C73D24" w:rsidP="00CC262E">
      <w:pPr>
        <w:pStyle w:val="TMGBullet"/>
        <w:ind w:left="936"/>
      </w:pPr>
      <w:r w:rsidRPr="000844ED">
        <w:t>Standardized specifications for factoring process</w:t>
      </w:r>
      <w:r w:rsidR="0053788D" w:rsidRPr="000844ED">
        <w:t xml:space="preserve"> (including ACF)</w:t>
      </w:r>
      <w:r w:rsidRPr="000844ED">
        <w:t>.</w:t>
      </w:r>
    </w:p>
    <w:p w14:paraId="6C6AFB9D" w14:textId="346DD719" w:rsidR="00C73D24" w:rsidRPr="000844ED" w:rsidRDefault="00C73D24" w:rsidP="00CC262E">
      <w:pPr>
        <w:pStyle w:val="TMGBullet"/>
        <w:ind w:left="936"/>
      </w:pPr>
      <w:r w:rsidRPr="000844ED">
        <w:t>Data distribution and delivery methods.</w:t>
      </w:r>
    </w:p>
    <w:p w14:paraId="74E1A695" w14:textId="5D0F3676" w:rsidR="00BA6DB9" w:rsidRPr="000844ED" w:rsidRDefault="00BA6DB9" w:rsidP="00CC262E">
      <w:pPr>
        <w:pStyle w:val="TMGBullet"/>
        <w:ind w:left="936"/>
      </w:pPr>
      <w:r w:rsidRPr="000844ED">
        <w:t>Frequency and duration of portable counts.</w:t>
      </w:r>
    </w:p>
    <w:p w14:paraId="5F43A5FA" w14:textId="77777777" w:rsidR="00C73D24" w:rsidRPr="000844ED" w:rsidRDefault="00C73D24" w:rsidP="00CC262E">
      <w:pPr>
        <w:pStyle w:val="TMGBullet"/>
        <w:ind w:left="936"/>
      </w:pPr>
      <w:r w:rsidRPr="000844ED">
        <w:t>Reporting requirements and methods.</w:t>
      </w:r>
    </w:p>
    <w:p w14:paraId="26EC9B5B" w14:textId="059909A3" w:rsidR="00F436C9" w:rsidRPr="000844ED" w:rsidRDefault="00C73D24" w:rsidP="00CC262E">
      <w:pPr>
        <w:pStyle w:val="TMGBullet"/>
        <w:ind w:left="936"/>
      </w:pPr>
      <w:r w:rsidRPr="000844ED">
        <w:t>Number of counts and samples taken</w:t>
      </w:r>
    </w:p>
    <w:p w14:paraId="41435B6F" w14:textId="5B136B02" w:rsidR="00C73D24" w:rsidRPr="000844ED" w:rsidRDefault="00F436C9" w:rsidP="00CC262E">
      <w:pPr>
        <w:pStyle w:val="TMGBullet"/>
        <w:ind w:left="936"/>
      </w:pPr>
      <w:r w:rsidRPr="000844ED">
        <w:t xml:space="preserve">Location of permanent and portable sites </w:t>
      </w:r>
      <w:r w:rsidR="00C73D24" w:rsidRPr="000844ED">
        <w:t>and the logic used with how they are </w:t>
      </w:r>
      <w:r w:rsidRPr="000844ED">
        <w:t>selected</w:t>
      </w:r>
      <w:r w:rsidR="00C73D24" w:rsidRPr="000844ED">
        <w:t>.</w:t>
      </w:r>
    </w:p>
    <w:p w14:paraId="50179594" w14:textId="3C35CD09" w:rsidR="00C73D24" w:rsidRPr="000844ED" w:rsidRDefault="00C73D24" w:rsidP="00CC262E">
      <w:pPr>
        <w:pStyle w:val="TMGBullet"/>
        <w:ind w:left="936"/>
      </w:pPr>
      <w:r w:rsidRPr="000844ED">
        <w:t>Inventory and age of equipment</w:t>
      </w:r>
      <w:r w:rsidR="0053788D" w:rsidRPr="000844ED">
        <w:t xml:space="preserve"> (including cabinet batteries)</w:t>
      </w:r>
      <w:r w:rsidRPr="000844ED">
        <w:t xml:space="preserve">. </w:t>
      </w:r>
    </w:p>
    <w:p w14:paraId="33D229F4" w14:textId="119AED3A" w:rsidR="00C73D24" w:rsidRPr="000844ED" w:rsidRDefault="00C73D24" w:rsidP="00CC262E">
      <w:pPr>
        <w:pStyle w:val="TMGBullet"/>
        <w:ind w:left="936"/>
      </w:pPr>
      <w:r w:rsidRPr="000844ED">
        <w:t xml:space="preserve">Database management and storage procedures including data archiving, retrieval, network connectivity/access/security and storage. </w:t>
      </w:r>
    </w:p>
    <w:p w14:paraId="20A051A8" w14:textId="2DE51499" w:rsidR="00C73D24" w:rsidRPr="000844ED" w:rsidRDefault="00C73D24" w:rsidP="00CC262E">
      <w:pPr>
        <w:pStyle w:val="TMGBullet"/>
        <w:ind w:left="936"/>
      </w:pPr>
      <w:r w:rsidRPr="000844ED">
        <w:t>Data retention methods and what formats are employed</w:t>
      </w:r>
      <w:r w:rsidR="00471BCA">
        <w:t>.</w:t>
      </w:r>
    </w:p>
    <w:p w14:paraId="41694F9B" w14:textId="77777777" w:rsidR="00C73D24" w:rsidRPr="000844ED" w:rsidRDefault="00C73D24" w:rsidP="00CC262E">
      <w:pPr>
        <w:pStyle w:val="TMGBullet"/>
        <w:ind w:left="936"/>
      </w:pPr>
      <w:r w:rsidRPr="000844ED">
        <w:t xml:space="preserve">Personnel and worker’s technical and safety training. </w:t>
      </w:r>
    </w:p>
    <w:p w14:paraId="001FC248" w14:textId="70DEB374" w:rsidR="00C73D24" w:rsidRPr="00C73D24" w:rsidRDefault="00C73D24" w:rsidP="003C28DA">
      <w:pPr>
        <w:pStyle w:val="BodyText"/>
        <w:numPr>
          <w:ilvl w:val="0"/>
          <w:numId w:val="20"/>
        </w:numPr>
        <w:ind w:left="648"/>
      </w:pPr>
      <w:r w:rsidRPr="00A0199D">
        <w:t xml:space="preserve">Review of Stakeholder Needs – </w:t>
      </w:r>
      <w:r w:rsidRPr="00C73D24">
        <w:t>This review can be accomplished through surveys, informal discussions, meetings, or focus groups. The objective is to determine stakeholder needs (data demand) with respect to the following dimensions of traffic data quality (data supply):</w:t>
      </w:r>
    </w:p>
    <w:p w14:paraId="5D6CF6E2" w14:textId="77777777" w:rsidR="00C73D24" w:rsidRPr="00C73D24" w:rsidRDefault="00C73D24" w:rsidP="003C28DA">
      <w:pPr>
        <w:widowControl/>
        <w:numPr>
          <w:ilvl w:val="0"/>
          <w:numId w:val="19"/>
        </w:numPr>
        <w:tabs>
          <w:tab w:val="left" w:pos="270"/>
        </w:tabs>
        <w:suppressAutoHyphens w:val="0"/>
        <w:autoSpaceDE/>
        <w:autoSpaceDN/>
        <w:adjustRightInd/>
        <w:spacing w:after="120"/>
        <w:ind w:left="936" w:hanging="288"/>
        <w:contextualSpacing/>
        <w:jc w:val="left"/>
        <w:textAlignment w:val="auto"/>
      </w:pPr>
      <w:r w:rsidRPr="00C73D24">
        <w:lastRenderedPageBreak/>
        <w:t xml:space="preserve">Accuracy – The measure or degree of agreement between a data value or set of values and a source assumed to be correct. </w:t>
      </w:r>
    </w:p>
    <w:p w14:paraId="384814D2" w14:textId="331F9DBF" w:rsidR="00C73D24" w:rsidRPr="00C73D24" w:rsidRDefault="00C73D24" w:rsidP="003C28DA">
      <w:pPr>
        <w:widowControl/>
        <w:numPr>
          <w:ilvl w:val="0"/>
          <w:numId w:val="19"/>
        </w:numPr>
        <w:tabs>
          <w:tab w:val="left" w:pos="270"/>
        </w:tabs>
        <w:suppressAutoHyphens w:val="0"/>
        <w:autoSpaceDE/>
        <w:autoSpaceDN/>
        <w:adjustRightInd/>
        <w:spacing w:after="120"/>
        <w:ind w:left="936" w:hanging="288"/>
        <w:contextualSpacing/>
        <w:jc w:val="left"/>
        <w:textAlignment w:val="auto"/>
      </w:pPr>
      <w:r w:rsidRPr="00C73D24">
        <w:t>Completeness</w:t>
      </w:r>
      <w:r w:rsidR="00BA6DB9">
        <w:t xml:space="preserve"> </w:t>
      </w:r>
      <w:r w:rsidRPr="00C73D24">
        <w:t>–</w:t>
      </w:r>
      <w:r w:rsidRPr="00C73D24">
        <w:rPr>
          <w:spacing w:val="2"/>
        </w:rPr>
        <w:t xml:space="preserve"> </w:t>
      </w:r>
      <w:r w:rsidRPr="00C73D24">
        <w:t>The degree to which data fields and respective values are present in the attributes database (e.g., volume and speed are database fields that have values such as a volume (AADT) of 1</w:t>
      </w:r>
      <w:r w:rsidR="00913E1C">
        <w:t>,</w:t>
      </w:r>
      <w:r w:rsidRPr="00C73D24">
        <w:t>500 or a speed value of 55 miles per hour attributes of traffic) that require them. Completeness can refer to both the temporal and spatial aspect of data quality, in the sense that completeness measures the quantity of data available in comparison to the quantity of data that should be available.</w:t>
      </w:r>
    </w:p>
    <w:p w14:paraId="5E7766E8" w14:textId="77777777" w:rsidR="00C73D24" w:rsidRPr="00C73D24" w:rsidRDefault="00C73D24" w:rsidP="003C28DA">
      <w:pPr>
        <w:widowControl/>
        <w:numPr>
          <w:ilvl w:val="0"/>
          <w:numId w:val="19"/>
        </w:numPr>
        <w:tabs>
          <w:tab w:val="left" w:pos="270"/>
        </w:tabs>
        <w:suppressAutoHyphens w:val="0"/>
        <w:autoSpaceDE/>
        <w:autoSpaceDN/>
        <w:adjustRightInd/>
        <w:spacing w:after="120"/>
        <w:ind w:left="936" w:hanging="288"/>
        <w:contextualSpacing/>
        <w:jc w:val="left"/>
        <w:textAlignment w:val="auto"/>
      </w:pPr>
      <w:r w:rsidRPr="00C73D24">
        <w:t>Timeliness</w:t>
      </w:r>
      <w:r w:rsidRPr="00C73D24">
        <w:rPr>
          <w:spacing w:val="2"/>
        </w:rPr>
        <w:t> </w:t>
      </w:r>
      <w:r w:rsidRPr="00C73D24">
        <w:t>–</w:t>
      </w:r>
      <w:r w:rsidRPr="00C73D24">
        <w:rPr>
          <w:spacing w:val="2"/>
        </w:rPr>
        <w:t xml:space="preserve"> </w:t>
      </w:r>
      <w:r w:rsidRPr="00C73D24">
        <w:t xml:space="preserve">The degree to which data values or a set of values are provided at the time required or specified. Examples are real-time data, near-real time, and annual or historical data. The data collection/usage purpose and context may or may not require real-time data. </w:t>
      </w:r>
    </w:p>
    <w:p w14:paraId="25B3A946" w14:textId="77777777" w:rsidR="00C73D24" w:rsidRPr="00C73D24" w:rsidRDefault="00C73D24" w:rsidP="003C28DA">
      <w:pPr>
        <w:widowControl/>
        <w:numPr>
          <w:ilvl w:val="0"/>
          <w:numId w:val="19"/>
        </w:numPr>
        <w:tabs>
          <w:tab w:val="left" w:pos="270"/>
        </w:tabs>
        <w:suppressAutoHyphens w:val="0"/>
        <w:autoSpaceDE/>
        <w:autoSpaceDN/>
        <w:adjustRightInd/>
        <w:spacing w:after="120"/>
        <w:ind w:left="936" w:hanging="288"/>
        <w:contextualSpacing/>
        <w:jc w:val="left"/>
        <w:textAlignment w:val="auto"/>
      </w:pPr>
      <w:r w:rsidRPr="00C73D24">
        <w:t>Coverage</w:t>
      </w:r>
      <w:r w:rsidRPr="00C73D24">
        <w:rPr>
          <w:spacing w:val="2"/>
        </w:rPr>
        <w:t> </w:t>
      </w:r>
      <w:r w:rsidRPr="00C73D24">
        <w:t>–</w:t>
      </w:r>
      <w:r w:rsidRPr="00C73D24">
        <w:rPr>
          <w:spacing w:val="2"/>
        </w:rPr>
        <w:t xml:space="preserve"> </w:t>
      </w:r>
      <w:r w:rsidRPr="00C73D24">
        <w:t xml:space="preserve">The degree to which data values in a sample accurately represent the whole of that which is to be measured. </w:t>
      </w:r>
    </w:p>
    <w:p w14:paraId="7871B7D8" w14:textId="77777777" w:rsidR="00C73D24" w:rsidRPr="00C73D24" w:rsidRDefault="00C73D24" w:rsidP="003C28DA">
      <w:pPr>
        <w:widowControl/>
        <w:numPr>
          <w:ilvl w:val="0"/>
          <w:numId w:val="19"/>
        </w:numPr>
        <w:tabs>
          <w:tab w:val="left" w:pos="270"/>
        </w:tabs>
        <w:suppressAutoHyphens w:val="0"/>
        <w:autoSpaceDE/>
        <w:autoSpaceDN/>
        <w:adjustRightInd/>
        <w:spacing w:after="120"/>
        <w:ind w:left="936" w:hanging="288"/>
        <w:contextualSpacing/>
        <w:jc w:val="left"/>
        <w:textAlignment w:val="auto"/>
      </w:pPr>
      <w:r w:rsidRPr="00C73D24">
        <w:t>Accessibility (also referred to as usability)</w:t>
      </w:r>
      <w:r w:rsidRPr="00C73D24">
        <w:rPr>
          <w:spacing w:val="2"/>
        </w:rPr>
        <w:t> </w:t>
      </w:r>
      <w:r w:rsidRPr="00C73D24">
        <w:t>–</w:t>
      </w:r>
      <w:r w:rsidRPr="00C73D24">
        <w:rPr>
          <w:spacing w:val="2"/>
        </w:rPr>
        <w:t xml:space="preserve"> </w:t>
      </w:r>
      <w:r w:rsidRPr="00C73D24">
        <w:t xml:space="preserve">The relative ease with which data can be delivered or retrieved and manipulated by data consumers to meet their needs. </w:t>
      </w:r>
    </w:p>
    <w:p w14:paraId="3DA6DC5E" w14:textId="24240082" w:rsidR="00C73D24" w:rsidRDefault="00C73D24" w:rsidP="003C28DA">
      <w:pPr>
        <w:widowControl/>
        <w:numPr>
          <w:ilvl w:val="0"/>
          <w:numId w:val="19"/>
        </w:numPr>
        <w:tabs>
          <w:tab w:val="left" w:pos="270"/>
        </w:tabs>
        <w:suppressAutoHyphens w:val="0"/>
        <w:autoSpaceDE/>
        <w:autoSpaceDN/>
        <w:adjustRightInd/>
        <w:spacing w:after="120"/>
        <w:ind w:left="936" w:hanging="288"/>
        <w:contextualSpacing/>
        <w:jc w:val="left"/>
        <w:textAlignment w:val="auto"/>
      </w:pPr>
      <w:r w:rsidRPr="00C73D24">
        <w:t>How the data are being used.</w:t>
      </w:r>
    </w:p>
    <w:p w14:paraId="14344A6E" w14:textId="253F76D4" w:rsidR="00BA6DB9" w:rsidRDefault="00BA6DB9" w:rsidP="003C28DA">
      <w:pPr>
        <w:widowControl/>
        <w:numPr>
          <w:ilvl w:val="0"/>
          <w:numId w:val="19"/>
        </w:numPr>
        <w:tabs>
          <w:tab w:val="left" w:pos="270"/>
        </w:tabs>
        <w:suppressAutoHyphens w:val="0"/>
        <w:autoSpaceDE/>
        <w:autoSpaceDN/>
        <w:adjustRightInd/>
        <w:spacing w:after="120"/>
        <w:ind w:left="936" w:hanging="288"/>
        <w:contextualSpacing/>
        <w:jc w:val="left"/>
        <w:textAlignment w:val="auto"/>
      </w:pPr>
      <w:r>
        <w:t>Duration</w:t>
      </w:r>
    </w:p>
    <w:p w14:paraId="25322D57" w14:textId="7F8B7CCB" w:rsidR="00BA6DB9" w:rsidRPr="00C73D24" w:rsidRDefault="00BA6DB9" w:rsidP="003C28DA">
      <w:pPr>
        <w:widowControl/>
        <w:numPr>
          <w:ilvl w:val="0"/>
          <w:numId w:val="19"/>
        </w:numPr>
        <w:tabs>
          <w:tab w:val="left" w:pos="270"/>
        </w:tabs>
        <w:suppressAutoHyphens w:val="0"/>
        <w:autoSpaceDE/>
        <w:autoSpaceDN/>
        <w:adjustRightInd/>
        <w:spacing w:after="120"/>
        <w:ind w:left="936" w:hanging="288"/>
        <w:contextualSpacing/>
        <w:jc w:val="left"/>
        <w:textAlignment w:val="auto"/>
      </w:pPr>
      <w:r>
        <w:t>Frequency</w:t>
      </w:r>
    </w:p>
    <w:p w14:paraId="4560E893" w14:textId="356CB2D8" w:rsidR="00C73D24" w:rsidRPr="00CC553D" w:rsidRDefault="00C73D24" w:rsidP="003C28DA">
      <w:pPr>
        <w:widowControl/>
        <w:numPr>
          <w:ilvl w:val="0"/>
          <w:numId w:val="19"/>
        </w:numPr>
        <w:tabs>
          <w:tab w:val="left" w:pos="270"/>
        </w:tabs>
        <w:suppressAutoHyphens w:val="0"/>
        <w:autoSpaceDE/>
        <w:autoSpaceDN/>
        <w:adjustRightInd/>
        <w:spacing w:after="120"/>
        <w:ind w:left="936" w:hanging="288"/>
        <w:contextualSpacing/>
        <w:jc w:val="left"/>
        <w:textAlignment w:val="auto"/>
        <w:rPr>
          <w:spacing w:val="2"/>
        </w:rPr>
      </w:pPr>
      <w:r w:rsidRPr="00CC553D">
        <w:t>Formats of data (storing, reporting, exporting, integrating</w:t>
      </w:r>
      <w:r w:rsidR="00471BCA">
        <w:t>,</w:t>
      </w:r>
      <w:r w:rsidRPr="00CC553D">
        <w:t xml:space="preserve"> and converting)</w:t>
      </w:r>
    </w:p>
    <w:p w14:paraId="31C734DB" w14:textId="76565DB5" w:rsidR="00C73D24" w:rsidRPr="00C73D24" w:rsidRDefault="00C73D24" w:rsidP="003C28DA">
      <w:pPr>
        <w:pStyle w:val="BodyText"/>
        <w:numPr>
          <w:ilvl w:val="0"/>
          <w:numId w:val="20"/>
        </w:numPr>
        <w:ind w:left="648"/>
      </w:pPr>
      <w:r w:rsidRPr="00D23A29">
        <w:t xml:space="preserve">Identification of </w:t>
      </w:r>
      <w:r w:rsidRPr="00CC553D">
        <w:t>Gaps </w:t>
      </w:r>
      <w:r w:rsidR="00F436C9" w:rsidRPr="00CC553D">
        <w:t>and Overlaps</w:t>
      </w:r>
      <w:r w:rsidR="00123F88">
        <w:t xml:space="preserve"> </w:t>
      </w:r>
      <w:r w:rsidRPr="00CC553D">
        <w:t>– Includes a review of resources and allocation of resources to priorities, identification of gaps, and overlaps in the</w:t>
      </w:r>
      <w:r w:rsidRPr="00C73D24">
        <w:t xml:space="preserve"> data program. These can include the number of collection devices, processes, data gaps, and resources. For example, a State may identify that the factor groups they are using are not adequate or there may be a need to add more ramp counts. Other gaps could include the need for more or different report formats. An example of an overlap may be the identification of an opportunity to share traffic </w:t>
      </w:r>
      <w:r w:rsidR="001575CC">
        <w:t xml:space="preserve">and travel </w:t>
      </w:r>
      <w:r w:rsidRPr="00C73D24">
        <w:t xml:space="preserve">data with a local agency or duplicated count locations. The key in this step is to document all needs and carefully prioritize them against available or potential resources. This step allows for the provision of expectations regarding needs and a vision of the State’s future traffic </w:t>
      </w:r>
      <w:r w:rsidR="001575CC">
        <w:t xml:space="preserve">and travel </w:t>
      </w:r>
      <w:r w:rsidRPr="00C73D24">
        <w:t>monitoring programs.</w:t>
      </w:r>
    </w:p>
    <w:p w14:paraId="42438D26" w14:textId="1E65FD76" w:rsidR="00C73D24" w:rsidRPr="00C73D24" w:rsidRDefault="00C73D24" w:rsidP="003C28DA">
      <w:pPr>
        <w:pStyle w:val="BodyText"/>
        <w:numPr>
          <w:ilvl w:val="0"/>
          <w:numId w:val="20"/>
        </w:numPr>
        <w:ind w:left="648"/>
      </w:pPr>
      <w:r w:rsidRPr="00C73D24">
        <w:t>Review Program Components </w:t>
      </w:r>
      <w:r w:rsidR="00123F88">
        <w:t>–</w:t>
      </w:r>
      <w:r w:rsidRPr="00C73D24">
        <w:t xml:space="preserve"> During the program evaluation (recommended at least every </w:t>
      </w:r>
      <w:r w:rsidR="00471BCA">
        <w:t>5</w:t>
      </w:r>
      <w:r w:rsidR="00123F88">
        <w:t> </w:t>
      </w:r>
      <w:r w:rsidRPr="00C73D24">
        <w:t>years)</w:t>
      </w:r>
      <w:r w:rsidR="00471BCA">
        <w:t>,</w:t>
      </w:r>
      <w:r w:rsidRPr="00C73D24">
        <w:t xml:space="preserve"> States should review all steps documented to determine if they are meeting the requirements. </w:t>
      </w:r>
      <w:r w:rsidR="00E26EBD">
        <w:fldChar w:fldCharType="begin"/>
      </w:r>
      <w:r w:rsidR="00E26EBD">
        <w:instrText xml:space="preserve"> REF _Ref114751964 \h </w:instrText>
      </w:r>
      <w:r w:rsidR="00E26EBD">
        <w:fldChar w:fldCharType="separate"/>
      </w:r>
      <w:r w:rsidR="00C07DF9">
        <w:t xml:space="preserve">Figure </w:t>
      </w:r>
      <w:r w:rsidR="00C07DF9">
        <w:rPr>
          <w:noProof/>
        </w:rPr>
        <w:t>1</w:t>
      </w:r>
      <w:r w:rsidR="00C07DF9">
        <w:noBreakHyphen/>
      </w:r>
      <w:r w:rsidR="00C07DF9">
        <w:rPr>
          <w:noProof/>
        </w:rPr>
        <w:t>1</w:t>
      </w:r>
      <w:r w:rsidR="00E26EBD">
        <w:fldChar w:fldCharType="end"/>
      </w:r>
      <w:r w:rsidR="00CC553D">
        <w:t xml:space="preserve"> </w:t>
      </w:r>
      <w:r w:rsidRPr="00C73D24">
        <w:t>outlin</w:t>
      </w:r>
      <w:r w:rsidR="000844ED">
        <w:t>es</w:t>
      </w:r>
      <w:r w:rsidRPr="00C73D24">
        <w:t xml:space="preserve"> steps for establishing elements of traffic data programs </w:t>
      </w:r>
      <w:r w:rsidR="000844ED">
        <w:t xml:space="preserve">that </w:t>
      </w:r>
      <w:r w:rsidRPr="00C73D24">
        <w:t>will be particularly useful in the assessment</w:t>
      </w:r>
      <w:r w:rsidR="00471BCA">
        <w:t>—</w:t>
      </w:r>
      <w:r w:rsidRPr="00C73D24">
        <w:t>Steps for Establishing a Continuous Data Program, and Steps for Creating and Maintaining a Continuous Data Program.</w:t>
      </w:r>
    </w:p>
    <w:p w14:paraId="348AD19B" w14:textId="5F423480" w:rsidR="00C73D24" w:rsidRPr="00C73D24" w:rsidRDefault="00C73D24" w:rsidP="000808EE">
      <w:pPr>
        <w:pStyle w:val="BodyText"/>
        <w:numPr>
          <w:ilvl w:val="0"/>
          <w:numId w:val="20"/>
        </w:numPr>
        <w:ind w:left="648"/>
      </w:pPr>
      <w:r w:rsidRPr="00C73D24">
        <w:t>Implementation Plan – Develop an implementation plan to make the improvements identified in Step 7 and deemed necessary in Step 8. In documenting improvement needs, the traffic</w:t>
      </w:r>
      <w:r w:rsidR="001575CC">
        <w:t xml:space="preserve"> and travel</w:t>
      </w:r>
      <w:r w:rsidRPr="00C73D24">
        <w:t xml:space="preserve"> monitoring staff may wish to conduct a benefits analysis and risk assessment. This assessment would involve identifying the benefits from traffic monitoring program data and products, </w:t>
      </w:r>
      <w:r w:rsidR="00471BCA">
        <w:t>as well as</w:t>
      </w:r>
      <w:r w:rsidR="00471BCA" w:rsidRPr="00C73D24">
        <w:t xml:space="preserve"> </w:t>
      </w:r>
      <w:r w:rsidRPr="00C73D24">
        <w:t>the risks of not providing the traffic data at the desired level of quality.</w:t>
      </w:r>
    </w:p>
    <w:p w14:paraId="4C98093D" w14:textId="09E50572" w:rsidR="00C73D24" w:rsidRPr="00B80543" w:rsidRDefault="00C73D24" w:rsidP="00563E7D">
      <w:pPr>
        <w:pStyle w:val="BodyText"/>
        <w:ind w:left="648"/>
      </w:pPr>
      <w:r w:rsidRPr="00C73D24">
        <w:t xml:space="preserve">This business process review should be updated </w:t>
      </w:r>
      <w:r w:rsidR="00BA6DB9">
        <w:t>every 5 years</w:t>
      </w:r>
      <w:r w:rsidRPr="00C73D24">
        <w:t xml:space="preserve"> to ensure the optimum use of resources with respect to stakeholder needs. States have embarked on business process reviews to document their processes, identify gaps, and improve their traffic </w:t>
      </w:r>
      <w:r w:rsidR="001575CC">
        <w:t xml:space="preserve">and travel </w:t>
      </w:r>
      <w:r w:rsidRPr="00C73D24">
        <w:t xml:space="preserve">monitoring programs. Good </w:t>
      </w:r>
      <w:r w:rsidR="00471BCA">
        <w:t>e</w:t>
      </w:r>
      <w:r w:rsidRPr="00C73D24">
        <w:t xml:space="preserve">xamples are provided in </w:t>
      </w:r>
      <w:r w:rsidRPr="00F52C82">
        <w:t xml:space="preserve">Appendix </w:t>
      </w:r>
      <w:r w:rsidR="00F52C82" w:rsidRPr="00F52C82">
        <w:t>B</w:t>
      </w:r>
      <w:r w:rsidRPr="00F52C82">
        <w:t>.</w:t>
      </w:r>
    </w:p>
    <w:p w14:paraId="7FA75281" w14:textId="67489F17" w:rsidR="00C73D24" w:rsidRDefault="00C73D24" w:rsidP="00563E7D">
      <w:pPr>
        <w:pStyle w:val="BodyText"/>
        <w:ind w:left="648"/>
      </w:pPr>
      <w:r w:rsidRPr="00B80543">
        <w:t xml:space="preserve">Data </w:t>
      </w:r>
      <w:r w:rsidR="00F436C9" w:rsidRPr="00B80543">
        <w:t xml:space="preserve">business planning </w:t>
      </w:r>
      <w:r w:rsidRPr="00B80543">
        <w:t xml:space="preserve">is an important component of any State DOT traffic </w:t>
      </w:r>
      <w:r w:rsidR="001575CC" w:rsidRPr="00B80543">
        <w:t xml:space="preserve">and travel </w:t>
      </w:r>
      <w:r w:rsidRPr="00B80543">
        <w:t xml:space="preserve">monitoring program because it ensures that customer needs are met and the most efficient methods are deployed. It also provides accountability, transparency, and other strategic management benefits such as </w:t>
      </w:r>
      <w:r w:rsidR="00A05DA7" w:rsidRPr="00B80543">
        <w:t>documenting what duties does each data program staff perform.</w:t>
      </w:r>
      <w:r w:rsidR="004D4172">
        <w:t xml:space="preserve"> </w:t>
      </w:r>
      <w:r w:rsidRPr="00B80543">
        <w:t>Several States have well-documented programs and can be used as references (</w:t>
      </w:r>
      <w:r w:rsidRPr="00F52C82">
        <w:t xml:space="preserve">see Appendices </w:t>
      </w:r>
      <w:r w:rsidR="00F52C82" w:rsidRPr="00F52C82">
        <w:t>B,</w:t>
      </w:r>
      <w:r w:rsidR="00F52C82">
        <w:t xml:space="preserve"> </w:t>
      </w:r>
      <w:r w:rsidR="00F52C82" w:rsidRPr="00F52C82">
        <w:t>C</w:t>
      </w:r>
      <w:r w:rsidRPr="00F52C82">
        <w:t xml:space="preserve">, and </w:t>
      </w:r>
      <w:r w:rsidR="00F52C82" w:rsidRPr="00F52C82">
        <w:t>D</w:t>
      </w:r>
      <w:r w:rsidRPr="00B80543">
        <w:t>).</w:t>
      </w:r>
    </w:p>
    <w:p w14:paraId="453E9D92" w14:textId="001F9A0F" w:rsidR="007F4A65" w:rsidRDefault="00A10882" w:rsidP="000808EE">
      <w:pPr>
        <w:keepNext/>
        <w:jc w:val="center"/>
      </w:pPr>
      <w:r>
        <w:rPr>
          <w:noProof/>
        </w:rPr>
        <w:lastRenderedPageBreak/>
        <w:drawing>
          <wp:inline distT="0" distB="0" distL="0" distR="0" wp14:anchorId="1EC17203" wp14:editId="012A956A">
            <wp:extent cx="5486400" cy="3200400"/>
            <wp:effectExtent l="38100" t="38100" r="38100" b="38100"/>
            <wp:docPr id="35851" name="Diagram 35851" descr="Step one review existing continuous count program. Current program define analyze and document current continuous program for traffic patterns for you to determine existing and changing traffic patterns this will require data adjustment quality control and share formal rules and procedures are in place summary statistics from raw collected continuous count stations. Step two develop inventory of available continuous count locations and equipment. Existing data sources review other sources review uses of data. Step 3 determine the traffic patterns to be monitored time patterns monthly factors assignment hour of day adjustment day of week adjustment. Step 4 establish monthly pattern groups traditional approach cluster analysis volume factor groups. Step 5 determine appropriate number of continuous count locations. #6 select specific count locations. Step 7 compute temporal factor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p>
    <w:p w14:paraId="64814471" w14:textId="6E5002EF" w:rsidR="00C73D24" w:rsidRDefault="00C73D24" w:rsidP="000808EE">
      <w:pPr>
        <w:widowControl/>
        <w:spacing w:before="60" w:after="120"/>
        <w:ind w:left="360"/>
        <w:jc w:val="left"/>
        <w:rPr>
          <w:i/>
          <w:sz w:val="18"/>
          <w:szCs w:val="18"/>
        </w:rPr>
      </w:pPr>
      <w:r w:rsidRPr="00C73D24">
        <w:rPr>
          <w:i/>
          <w:sz w:val="18"/>
          <w:szCs w:val="18"/>
        </w:rPr>
        <w:t>Source:</w:t>
      </w:r>
      <w:r w:rsidR="0061163F">
        <w:rPr>
          <w:i/>
          <w:sz w:val="18"/>
          <w:szCs w:val="18"/>
        </w:rPr>
        <w:t xml:space="preserve"> </w:t>
      </w:r>
      <w:r w:rsidR="00F73B92">
        <w:rPr>
          <w:i/>
          <w:sz w:val="18"/>
          <w:szCs w:val="18"/>
        </w:rPr>
        <w:t xml:space="preserve"> </w:t>
      </w:r>
      <w:r w:rsidRPr="00C73D24">
        <w:rPr>
          <w:i/>
          <w:sz w:val="18"/>
          <w:szCs w:val="18"/>
        </w:rPr>
        <w:t>Federal Highway Administration.</w:t>
      </w:r>
    </w:p>
    <w:p w14:paraId="044AD4BF" w14:textId="5F750F6E" w:rsidR="000808EE" w:rsidRDefault="000808EE" w:rsidP="000808EE">
      <w:pPr>
        <w:pStyle w:val="TMGFigureCaption"/>
      </w:pPr>
      <w:bookmarkStart w:id="399" w:name="_Ref114751964"/>
      <w:bookmarkStart w:id="400" w:name="_Toc114474778"/>
      <w:bookmarkStart w:id="401" w:name="_Toc120626553"/>
      <w:r>
        <w:t xml:space="preserve">Figure </w:t>
      </w:r>
      <w:r>
        <w:rPr>
          <w:noProof/>
        </w:rPr>
        <w:fldChar w:fldCharType="begin"/>
      </w:r>
      <w:r>
        <w:rPr>
          <w:noProof/>
        </w:rPr>
        <w:instrText xml:space="preserve"> STYLEREF 1 \s </w:instrText>
      </w:r>
      <w:r>
        <w:rPr>
          <w:noProof/>
        </w:rPr>
        <w:fldChar w:fldCharType="separate"/>
      </w:r>
      <w:r w:rsidR="00C07DF9">
        <w:rPr>
          <w:noProof/>
        </w:rPr>
        <w:t>1</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C07DF9">
        <w:rPr>
          <w:noProof/>
        </w:rPr>
        <w:t>1</w:t>
      </w:r>
      <w:r>
        <w:rPr>
          <w:noProof/>
        </w:rPr>
        <w:fldChar w:fldCharType="end"/>
      </w:r>
      <w:bookmarkEnd w:id="399"/>
      <w:r w:rsidR="00E26EBD">
        <w:rPr>
          <w:noProof/>
        </w:rPr>
        <w:t>.</w:t>
      </w:r>
      <w:r>
        <w:t xml:space="preserve"> </w:t>
      </w:r>
      <w:r w:rsidRPr="00221683">
        <w:t xml:space="preserve">Steps </w:t>
      </w:r>
      <w:r w:rsidR="000A0FD5">
        <w:t>f</w:t>
      </w:r>
      <w:r w:rsidRPr="00221683">
        <w:t xml:space="preserve">or Establishing </w:t>
      </w:r>
      <w:r w:rsidR="00F53123">
        <w:t>a</w:t>
      </w:r>
      <w:r w:rsidRPr="00221683">
        <w:t xml:space="preserve"> Data Program</w:t>
      </w:r>
      <w:bookmarkEnd w:id="400"/>
      <w:bookmarkEnd w:id="401"/>
    </w:p>
    <w:p w14:paraId="6A68C278" w14:textId="70166457" w:rsidR="00C73D24" w:rsidRPr="00F468E1" w:rsidRDefault="00C73D24">
      <w:pPr>
        <w:pStyle w:val="Heading2"/>
      </w:pPr>
      <w:bookmarkStart w:id="402" w:name="_Toc349905075"/>
      <w:bookmarkStart w:id="403" w:name="_Toc363656123"/>
      <w:bookmarkStart w:id="404" w:name="_Toc450638913"/>
      <w:bookmarkStart w:id="405" w:name="_Toc33968126"/>
      <w:bookmarkStart w:id="406" w:name="_Toc44415708"/>
      <w:bookmarkStart w:id="407" w:name="_Toc57736829"/>
      <w:bookmarkStart w:id="408" w:name="_Toc68864929"/>
      <w:bookmarkStart w:id="409" w:name="_Toc114474714"/>
      <w:bookmarkStart w:id="410" w:name="_Toc114485830"/>
      <w:bookmarkStart w:id="411" w:name="_Toc114488081"/>
      <w:bookmarkStart w:id="412" w:name="_Toc118205577"/>
      <w:r w:rsidRPr="004D4172">
        <w:t>Coordinating Count Programs and Sharing Data</w:t>
      </w:r>
      <w:bookmarkEnd w:id="402"/>
      <w:bookmarkEnd w:id="403"/>
      <w:bookmarkEnd w:id="404"/>
      <w:bookmarkEnd w:id="405"/>
      <w:bookmarkEnd w:id="406"/>
      <w:bookmarkEnd w:id="407"/>
      <w:bookmarkEnd w:id="408"/>
      <w:bookmarkEnd w:id="409"/>
      <w:bookmarkEnd w:id="410"/>
      <w:bookmarkEnd w:id="411"/>
      <w:bookmarkEnd w:id="412"/>
    </w:p>
    <w:p w14:paraId="2BA278E7" w14:textId="5BA7D0CE" w:rsidR="00C73D24" w:rsidRPr="00C73D24" w:rsidRDefault="00D40C22" w:rsidP="00A35EAF">
      <w:pPr>
        <w:pStyle w:val="BodyText"/>
      </w:pPr>
      <w:r>
        <w:t>C</w:t>
      </w:r>
      <w:r w:rsidR="00421AEF">
        <w:t xml:space="preserve">oordinating count programs and sharing data </w:t>
      </w:r>
      <w:r w:rsidR="00E35DA7">
        <w:t>are</w:t>
      </w:r>
      <w:r w:rsidR="00E35DA7" w:rsidRPr="00C73D24">
        <w:t xml:space="preserve"> </w:t>
      </w:r>
      <w:r w:rsidR="00421AEF">
        <w:t xml:space="preserve">beneficial to </w:t>
      </w:r>
      <w:r w:rsidR="00F744C4">
        <w:t>all public</w:t>
      </w:r>
      <w:r w:rsidR="007F0E98">
        <w:t xml:space="preserve"> </w:t>
      </w:r>
      <w:r w:rsidR="00421AEF">
        <w:t>agencies. S</w:t>
      </w:r>
      <w:r w:rsidR="00C73D24" w:rsidRPr="00C73D24">
        <w:t>haring data collection resources</w:t>
      </w:r>
      <w:r w:rsidR="00421AEF">
        <w:t xml:space="preserve"> </w:t>
      </w:r>
      <w:r w:rsidR="00F744C4">
        <w:t xml:space="preserve">often </w:t>
      </w:r>
      <w:r w:rsidR="00421AEF">
        <w:t>reduce</w:t>
      </w:r>
      <w:r w:rsidR="00F744C4">
        <w:t>s</w:t>
      </w:r>
      <w:r w:rsidR="00421AEF">
        <w:t xml:space="preserve"> costs of purchasing and installing equipment</w:t>
      </w:r>
      <w:r w:rsidR="00C73D24" w:rsidRPr="00C73D24">
        <w:t>. Access to additional counts provide</w:t>
      </w:r>
      <w:r w:rsidR="00421AEF">
        <w:t>s another opportunity for</w:t>
      </w:r>
      <w:r w:rsidR="00C73D24" w:rsidRPr="00C73D24">
        <w:t xml:space="preserve"> data </w:t>
      </w:r>
      <w:r w:rsidR="00421AEF">
        <w:t xml:space="preserve">usage in </w:t>
      </w:r>
      <w:r w:rsidR="00C73D24" w:rsidRPr="00C73D24">
        <w:t>quality assurance</w:t>
      </w:r>
      <w:r w:rsidR="00421AEF">
        <w:t xml:space="preserve"> activities that</w:t>
      </w:r>
      <w:r w:rsidR="00C73D24" w:rsidRPr="00C73D24">
        <w:t xml:space="preserve"> sav</w:t>
      </w:r>
      <w:r w:rsidR="00421AEF">
        <w:t>e</w:t>
      </w:r>
      <w:r w:rsidR="00C73D24" w:rsidRPr="00C73D24">
        <w:t xml:space="preserve"> money</w:t>
      </w:r>
      <w:r w:rsidR="00421AEF">
        <w:t>, increase quality</w:t>
      </w:r>
      <w:r w:rsidR="00C73D24" w:rsidRPr="00C73D24">
        <w:t xml:space="preserve">, and </w:t>
      </w:r>
      <w:r w:rsidR="00421AEF">
        <w:t xml:space="preserve">make </w:t>
      </w:r>
      <w:r w:rsidR="00C73D24" w:rsidRPr="00C73D24">
        <w:t xml:space="preserve">reporting </w:t>
      </w:r>
      <w:r w:rsidR="00421AEF">
        <w:t>of data easier</w:t>
      </w:r>
      <w:r w:rsidR="00D97897">
        <w:t>,</w:t>
      </w:r>
      <w:r w:rsidR="00421AEF">
        <w:t xml:space="preserve"> allowing </w:t>
      </w:r>
      <w:r w:rsidR="00C73D24" w:rsidRPr="00C73D24">
        <w:t xml:space="preserve">all data </w:t>
      </w:r>
      <w:r w:rsidR="00421AEF">
        <w:t>to</w:t>
      </w:r>
      <w:r w:rsidR="00C73D24" w:rsidRPr="00C73D24">
        <w:t xml:space="preserve"> be integrated into one platform. For example, data may exist in different formats or be collected with different standards (e.g., 24-hour versus 48-hour counts). With carefully planned and implemented management strategies in place (such as creating a data governance committee, implementing QA/QC data procedures, and having a scalable enterprise-wide data warehousing solution)</w:t>
      </w:r>
      <w:r w:rsidR="00E35DA7">
        <w:t>,</w:t>
      </w:r>
      <w:r w:rsidR="00C73D24" w:rsidRPr="00C73D24">
        <w:t xml:space="preserve"> an agency cannot only overcome data sharing challenges, but benefit significantly through data sharing </w:t>
      </w:r>
      <w:r w:rsidR="00E35DA7">
        <w:t>noteworthy</w:t>
      </w:r>
      <w:r w:rsidR="00E35DA7" w:rsidRPr="00C73D24">
        <w:t xml:space="preserve"> </w:t>
      </w:r>
      <w:r w:rsidR="00C73D24" w:rsidRPr="00C73D24">
        <w:t>practices.</w:t>
      </w:r>
    </w:p>
    <w:p w14:paraId="1304F41D" w14:textId="1DB59650" w:rsidR="00C73D24" w:rsidRDefault="00C73D24" w:rsidP="00A35EAF">
      <w:pPr>
        <w:pStyle w:val="BodyText"/>
      </w:pPr>
      <w:r w:rsidRPr="00C73D24">
        <w:t xml:space="preserve">Agencies should work together to reduce duplication in the number and location of permanent, continuous data collection devices. Agencies should share the data they collect (e.g., a State DOT could use monthly and DOW information collected at permanent sites operated by a county or city as part of developing adjustment factors for a specific urban area). A single count location can supply information for many purposes (e.g., permanent, continuous weigh-in-motion </w:t>
      </w:r>
      <w:r w:rsidR="00F744C4">
        <w:t>site</w:t>
      </w:r>
      <w:r w:rsidR="00F744C4" w:rsidRPr="00C73D24">
        <w:t xml:space="preserve">s </w:t>
      </w:r>
      <w:r w:rsidRPr="00C73D24">
        <w:t>supply weight</w:t>
      </w:r>
      <w:r w:rsidR="00F744C4">
        <w:t>s</w:t>
      </w:r>
      <w:r w:rsidRPr="00C73D24">
        <w:t>,</w:t>
      </w:r>
      <w:r w:rsidR="00F744C4">
        <w:t xml:space="preserve"> spacings,</w:t>
      </w:r>
      <w:r w:rsidRPr="00C73D24">
        <w:t xml:space="preserve"> classification, speed, and volume data). Opportunities to share data exist not only among agencies but also </w:t>
      </w:r>
      <w:r w:rsidRPr="00C73D24">
        <w:rPr>
          <w:i/>
          <w:iCs/>
        </w:rPr>
        <w:t>within</w:t>
      </w:r>
      <w:r w:rsidRPr="00C73D24">
        <w:t xml:space="preserve"> agencies. Ensuring that planning, operations, maintenance, and construction groups share the data they collect can substantially increase the availability of traffic </w:t>
      </w:r>
      <w:r w:rsidR="001575CC">
        <w:t xml:space="preserve">and travel </w:t>
      </w:r>
      <w:r w:rsidRPr="00C73D24">
        <w:t>monitoring data and benefits derived, while reducing the overall cost of data collection.</w:t>
      </w:r>
    </w:p>
    <w:p w14:paraId="19AF848B" w14:textId="7F006650" w:rsidR="00C73D24" w:rsidRPr="007F0E98" w:rsidRDefault="00C73D24" w:rsidP="00A35EAF">
      <w:pPr>
        <w:pStyle w:val="BodyText"/>
      </w:pPr>
      <w:r w:rsidRPr="00C73D24">
        <w:t>Key sources for urban traffic data are the traffic surveillance systems used for traffic management and control. The</w:t>
      </w:r>
      <w:r w:rsidR="00FE48E0">
        <w:t> </w:t>
      </w:r>
      <w:r w:rsidRPr="00C73D24">
        <w:t xml:space="preserve">ITS program offers highway agencies the ability to </w:t>
      </w:r>
      <w:r w:rsidR="00114556">
        <w:t xml:space="preserve">receive and utilize </w:t>
      </w:r>
      <w:r w:rsidRPr="00C73D24">
        <w:t xml:space="preserve">continuous traffic </w:t>
      </w:r>
      <w:r w:rsidRPr="007F0E98">
        <w:t>monitoring data at high</w:t>
      </w:r>
      <w:r w:rsidR="00E35DA7">
        <w:t>-</w:t>
      </w:r>
      <w:r w:rsidRPr="007F0E98">
        <w:t xml:space="preserve">volume locations. Access to these data requires proactive efforts by the </w:t>
      </w:r>
      <w:r w:rsidR="00114556" w:rsidRPr="007F0E98">
        <w:t>agencies involved (both the producer of the data and the user of the data)</w:t>
      </w:r>
      <w:r w:rsidR="00E35DA7">
        <w:t>,</w:t>
      </w:r>
      <w:r w:rsidRPr="007F0E98">
        <w:t xml:space="preserve"> as archiving and analysis of surveillance data are traditionally less important to the operations groups that build, operate, and maintain these ITS systems. Without proactive efforts by the</w:t>
      </w:r>
      <w:r w:rsidR="00114556" w:rsidRPr="007F0E98">
        <w:t xml:space="preserve"> respective agencies,</w:t>
      </w:r>
      <w:r w:rsidRPr="007F0E98">
        <w:t xml:space="preserve"> benefits of ITS data can be lost because operations groups spend their </w:t>
      </w:r>
      <w:r w:rsidR="00F744C4" w:rsidRPr="007F0E98">
        <w:t xml:space="preserve">limited </w:t>
      </w:r>
      <w:r w:rsidRPr="007F0E98">
        <w:t xml:space="preserve">resources on operational improvements rather than on the archiving and analysis software needed </w:t>
      </w:r>
      <w:r w:rsidR="00D40C22">
        <w:t xml:space="preserve">to </w:t>
      </w:r>
      <w:r w:rsidR="00F744C4" w:rsidRPr="007F0E98">
        <w:t>maintain</w:t>
      </w:r>
      <w:r w:rsidRPr="007F0E98">
        <w:t xml:space="preserve"> useful traffic </w:t>
      </w:r>
      <w:r w:rsidR="00DA6FBC" w:rsidRPr="007F0E98">
        <w:t xml:space="preserve">and travel </w:t>
      </w:r>
      <w:r w:rsidRPr="007F0E98">
        <w:t xml:space="preserve">statistics. </w:t>
      </w:r>
      <w:r w:rsidR="00F744C4" w:rsidRPr="007F0E98">
        <w:t>When configured properly</w:t>
      </w:r>
      <w:r w:rsidR="00E35DA7">
        <w:t>,</w:t>
      </w:r>
      <w:r w:rsidR="00F744C4" w:rsidRPr="007F0E98">
        <w:t xml:space="preserve"> the t</w:t>
      </w:r>
      <w:r w:rsidRPr="007F0E98">
        <w:t>raffic monitoring assets can also supplement ITS assets and provide critical information for operations.</w:t>
      </w:r>
    </w:p>
    <w:p w14:paraId="7D7C7F91" w14:textId="280BAB2B" w:rsidR="00C73D24" w:rsidRPr="007F0E98" w:rsidRDefault="00C73D24" w:rsidP="00A35EAF">
      <w:pPr>
        <w:pStyle w:val="BodyText"/>
      </w:pPr>
      <w:r w:rsidRPr="007F0E98">
        <w:lastRenderedPageBreak/>
        <w:t xml:space="preserve">Examples of </w:t>
      </w:r>
      <w:r w:rsidR="00E35DA7">
        <w:t>noteworthy</w:t>
      </w:r>
      <w:r w:rsidR="00E35DA7" w:rsidRPr="007F0E98">
        <w:t xml:space="preserve"> </w:t>
      </w:r>
      <w:r w:rsidRPr="007F0E98">
        <w:t xml:space="preserve">practices related to sharing traffic </w:t>
      </w:r>
      <w:r w:rsidR="00DA6FBC" w:rsidRPr="007F0E98">
        <w:t xml:space="preserve">and travel </w:t>
      </w:r>
      <w:r w:rsidRPr="007F0E98">
        <w:t xml:space="preserve">data can be found </w:t>
      </w:r>
      <w:r w:rsidRPr="00F52C82">
        <w:t xml:space="preserve">in Appendix </w:t>
      </w:r>
      <w:r w:rsidR="00F52C82">
        <w:t>B</w:t>
      </w:r>
      <w:r w:rsidRPr="00B80543">
        <w:t>.</w:t>
      </w:r>
    </w:p>
    <w:p w14:paraId="2C36CAEC" w14:textId="261447C8" w:rsidR="00C73D24" w:rsidRPr="00F468E1" w:rsidRDefault="00C73D24">
      <w:pPr>
        <w:pStyle w:val="Heading2"/>
      </w:pPr>
      <w:bookmarkStart w:id="413" w:name="_Toc349905078"/>
      <w:bookmarkStart w:id="414" w:name="_Toc363656126"/>
      <w:bookmarkStart w:id="415" w:name="_Toc450638916"/>
      <w:bookmarkStart w:id="416" w:name="_Toc33968127"/>
      <w:bookmarkStart w:id="417" w:name="_Toc44415709"/>
      <w:bookmarkStart w:id="418" w:name="_Toc57736830"/>
      <w:bookmarkStart w:id="419" w:name="_Toc68864930"/>
      <w:bookmarkStart w:id="420" w:name="_Toc114474715"/>
      <w:bookmarkStart w:id="421" w:name="_Toc114485831"/>
      <w:bookmarkStart w:id="422" w:name="_Toc114488082"/>
      <w:bookmarkStart w:id="423" w:name="_Toc118205578"/>
      <w:r w:rsidRPr="00F468E1">
        <w:t>Documentation and Metadata</w:t>
      </w:r>
      <w:bookmarkEnd w:id="413"/>
      <w:bookmarkEnd w:id="414"/>
      <w:bookmarkEnd w:id="415"/>
      <w:bookmarkEnd w:id="416"/>
      <w:bookmarkEnd w:id="417"/>
      <w:bookmarkEnd w:id="418"/>
      <w:bookmarkEnd w:id="419"/>
      <w:bookmarkEnd w:id="420"/>
      <w:bookmarkEnd w:id="421"/>
      <w:bookmarkEnd w:id="422"/>
      <w:bookmarkEnd w:id="423"/>
    </w:p>
    <w:p w14:paraId="3BB2F59B" w14:textId="3384404F" w:rsidR="009A685B" w:rsidRPr="007F0E98" w:rsidRDefault="00C73D24" w:rsidP="00A35EAF">
      <w:pPr>
        <w:pStyle w:val="BodyText"/>
      </w:pPr>
      <w:r w:rsidRPr="007F0E98">
        <w:t xml:space="preserve">Another critical factor of a well-designed traffic monitoring program is thorough and complete documentation. States </w:t>
      </w:r>
      <w:r w:rsidR="00570B70" w:rsidRPr="007F0E98">
        <w:t>should</w:t>
      </w:r>
      <w:r w:rsidRPr="007F0E98">
        <w:t xml:space="preserve"> maintain adequate documentation to support the decisions made and to allow future reexamination of those decisions as experience is gained in such areas as the factoring process. </w:t>
      </w:r>
      <w:r w:rsidR="009A685B" w:rsidRPr="007F0E98">
        <w:t>Developing program documentation is recommended for traffic data programs.</w:t>
      </w:r>
      <w:r w:rsidR="004D4172">
        <w:t xml:space="preserve"> </w:t>
      </w:r>
      <w:r w:rsidR="009A685B" w:rsidRPr="007F0E98">
        <w:t xml:space="preserve">For example, </w:t>
      </w:r>
      <w:r w:rsidRPr="007F0E98">
        <w:t xml:space="preserve">HPMS annual report </w:t>
      </w:r>
      <w:r w:rsidR="009A685B" w:rsidRPr="007F0E98">
        <w:t>process documentation is</w:t>
      </w:r>
      <w:r w:rsidR="007F0E98">
        <w:t xml:space="preserve"> required.</w:t>
      </w:r>
      <w:r w:rsidR="009A685B" w:rsidRPr="007F0E98">
        <w:t xml:space="preserve"> HPMS annual reporting also requires </w:t>
      </w:r>
      <w:r w:rsidRPr="007F0E98">
        <w:t>reporting of metadata pertaining particularly to traffic data</w:t>
      </w:r>
      <w:r w:rsidR="009A685B" w:rsidRPr="007F0E98">
        <w:t>.</w:t>
      </w:r>
      <w:r w:rsidR="004D4172">
        <w:t xml:space="preserve"> </w:t>
      </w:r>
    </w:p>
    <w:p w14:paraId="12547E67" w14:textId="2419B659" w:rsidR="009A685B" w:rsidRPr="00894AE9" w:rsidRDefault="009A685B" w:rsidP="00A119E0">
      <w:pPr>
        <w:pStyle w:val="CallOut"/>
      </w:pPr>
      <w:r w:rsidRPr="00894AE9">
        <w:rPr>
          <w:rStyle w:val="CallOutChar"/>
        </w:rPr>
        <w:t xml:space="preserve">Documentation </w:t>
      </w:r>
      <w:r w:rsidR="00C73D24" w:rsidRPr="00894AE9">
        <w:rPr>
          <w:rStyle w:val="CallOutChar"/>
        </w:rPr>
        <w:t>is recommended for any processes or methods used in data collection and analysis that may affect the outcome of the traffic data reported.</w:t>
      </w:r>
      <w:r w:rsidR="00C73D24" w:rsidRPr="00894AE9">
        <w:t xml:space="preserve"> </w:t>
      </w:r>
    </w:p>
    <w:p w14:paraId="0305F8F1" w14:textId="28AA4B6B" w:rsidR="00C73D24" w:rsidRPr="007F0E98" w:rsidRDefault="00C73D24" w:rsidP="00A35EAF">
      <w:pPr>
        <w:pStyle w:val="BodyText"/>
      </w:pPr>
      <w:r w:rsidRPr="007F0E98">
        <w:t xml:space="preserve">Metadata </w:t>
      </w:r>
      <w:r w:rsidR="00570B70" w:rsidRPr="007F0E98">
        <w:t>should include</w:t>
      </w:r>
      <w:r w:rsidRPr="007F0E98">
        <w:t xml:space="preserve"> documentation </w:t>
      </w:r>
      <w:r w:rsidR="00570B70" w:rsidRPr="007F0E98">
        <w:t xml:space="preserve">describing </w:t>
      </w:r>
      <w:r w:rsidRPr="007F0E98">
        <w:t xml:space="preserve">specific data items and datasets. For example, traffic metadata </w:t>
      </w:r>
      <w:r w:rsidR="00570B70" w:rsidRPr="007F0E98">
        <w:t>should</w:t>
      </w:r>
      <w:r w:rsidRPr="007F0E98">
        <w:t xml:space="preserve"> describe whether AADT values have been seasonally adjusted, whether AADT values are drawn directly (raw unadjusted data) from vehicle count data, or whether AADT is adjusted by annual growth/change. </w:t>
      </w:r>
    </w:p>
    <w:p w14:paraId="172BE97B" w14:textId="70FE8A4C" w:rsidR="00C73D24" w:rsidRPr="007F0E98" w:rsidRDefault="00570B70" w:rsidP="00A35EAF">
      <w:pPr>
        <w:pStyle w:val="BodyText"/>
      </w:pPr>
      <w:r w:rsidRPr="007F0E98">
        <w:t>D</w:t>
      </w:r>
      <w:r w:rsidR="00C73D24" w:rsidRPr="007F0E98">
        <w:t xml:space="preserve">ata </w:t>
      </w:r>
      <w:r w:rsidRPr="007F0E98">
        <w:t xml:space="preserve">program documentation should </w:t>
      </w:r>
      <w:r w:rsidR="00C73D24" w:rsidRPr="007F0E98">
        <w:t xml:space="preserve">be a shared responsibility between </w:t>
      </w:r>
      <w:r w:rsidR="007F0E98">
        <w:t xml:space="preserve">the Traffic Monitoring Staff and </w:t>
      </w:r>
      <w:r w:rsidR="00C73D24" w:rsidRPr="007F0E98">
        <w:t xml:space="preserve">IT divisions and </w:t>
      </w:r>
      <w:r w:rsidR="000F0BCF" w:rsidRPr="007F0E98">
        <w:t>the data</w:t>
      </w:r>
      <w:r w:rsidR="00B74500">
        <w:t>-</w:t>
      </w:r>
      <w:r w:rsidR="000F0BCF" w:rsidRPr="007F0E98">
        <w:t xml:space="preserve">collecting </w:t>
      </w:r>
      <w:r w:rsidR="00C73D24" w:rsidRPr="007F0E98">
        <w:t>business units within the organization. The</w:t>
      </w:r>
      <w:r w:rsidR="000F0BCF" w:rsidRPr="007F0E98">
        <w:t>se</w:t>
      </w:r>
      <w:r w:rsidR="00C73D24" w:rsidRPr="007F0E98">
        <w:t xml:space="preserve"> units </w:t>
      </w:r>
      <w:r w:rsidRPr="007F0E98">
        <w:t xml:space="preserve">should </w:t>
      </w:r>
      <w:r w:rsidR="000F0BCF" w:rsidRPr="007F0E98">
        <w:t>bear the</w:t>
      </w:r>
      <w:r w:rsidR="00C73D24" w:rsidRPr="007F0E98">
        <w:t xml:space="preserve"> responsibility to document the business needs and benefits for the traffic programs so that executives internally, as well as external entities such as legislatures, are aware of the importance of continued funding and resource allocation to support these critical programs. Establishing structured documentation procedures includes having well</w:t>
      </w:r>
      <w:r w:rsidR="00B74500">
        <w:t>-</w:t>
      </w:r>
      <w:r w:rsidR="00C73D24" w:rsidRPr="007F0E98">
        <w:t>defined change tracking mechanisms to ensure that the prioritization of requested system changes is in accordance with the primary goals and objectives of the agency</w:t>
      </w:r>
      <w:r w:rsidR="00316AA3" w:rsidRPr="007F0E98">
        <w:t>.</w:t>
      </w:r>
    </w:p>
    <w:p w14:paraId="0AA8C272" w14:textId="04693A28" w:rsidR="00C73D24" w:rsidRPr="00C73D24" w:rsidRDefault="00C73D24" w:rsidP="00A35EAF">
      <w:pPr>
        <w:pStyle w:val="BodyText"/>
      </w:pPr>
      <w:r w:rsidRPr="007F0E98">
        <w:t xml:space="preserve">All types of documentation that are used to support traffic monitoring programs become a significant part of the repository of information about the program. This important information </w:t>
      </w:r>
      <w:r w:rsidR="00570B70" w:rsidRPr="007F0E98">
        <w:t>is useful</w:t>
      </w:r>
      <w:r w:rsidRPr="007F0E98">
        <w:t xml:space="preserve"> at the national level for modeling travel trends, conducting highway safety and weight studies, as well as supporting State needs and uses for the data. </w:t>
      </w:r>
    </w:p>
    <w:p w14:paraId="003C3F8B" w14:textId="77777777" w:rsidR="004D4172" w:rsidRPr="004C0E95" w:rsidRDefault="004D4172">
      <w:pPr>
        <w:pStyle w:val="Heading1"/>
        <w:sectPr w:rsidR="004D4172" w:rsidRPr="004C0E95" w:rsidSect="000808EE">
          <w:headerReference w:type="even" r:id="rId57"/>
          <w:headerReference w:type="default" r:id="rId58"/>
          <w:footerReference w:type="even" r:id="rId59"/>
          <w:footerReference w:type="default" r:id="rId60"/>
          <w:headerReference w:type="first" r:id="rId61"/>
          <w:footerReference w:type="first" r:id="rId62"/>
          <w:pgSz w:w="12240" w:h="15840" w:code="1"/>
          <w:pgMar w:top="1440" w:right="1440" w:bottom="1152" w:left="1440" w:header="720" w:footer="576" w:gutter="0"/>
          <w:pgNumType w:start="1" w:chapStyle="1"/>
          <w:cols w:space="720"/>
          <w:titlePg/>
        </w:sectPr>
      </w:pPr>
      <w:bookmarkStart w:id="424" w:name="_Toc63428113"/>
      <w:bookmarkStart w:id="425" w:name="_Toc68864931"/>
      <w:bookmarkStart w:id="426" w:name="_Toc114474716"/>
      <w:bookmarkEnd w:id="72"/>
      <w:bookmarkEnd w:id="73"/>
      <w:bookmarkEnd w:id="81"/>
      <w:bookmarkEnd w:id="82"/>
      <w:bookmarkEnd w:id="83"/>
      <w:bookmarkEnd w:id="84"/>
    </w:p>
    <w:p w14:paraId="6ADD03D1" w14:textId="4BAC6B82" w:rsidR="008822A4" w:rsidRPr="004C0E95" w:rsidRDefault="008822A4">
      <w:pPr>
        <w:pStyle w:val="Heading1"/>
      </w:pPr>
      <w:bookmarkStart w:id="427" w:name="_Toc114485832"/>
      <w:bookmarkStart w:id="428" w:name="_Toc114488083"/>
      <w:bookmarkStart w:id="429" w:name="_Toc118205579"/>
      <w:r w:rsidRPr="004C0E95">
        <w:lastRenderedPageBreak/>
        <w:t>Traffic Data Collection Technology and Equipment</w:t>
      </w:r>
      <w:bookmarkEnd w:id="424"/>
      <w:bookmarkEnd w:id="425"/>
      <w:bookmarkEnd w:id="426"/>
      <w:bookmarkEnd w:id="427"/>
      <w:bookmarkEnd w:id="428"/>
      <w:bookmarkEnd w:id="429"/>
    </w:p>
    <w:p w14:paraId="592B232E" w14:textId="04CE22A6" w:rsidR="008822A4" w:rsidRPr="00F468E1" w:rsidRDefault="008822A4">
      <w:pPr>
        <w:pStyle w:val="Heading2"/>
      </w:pPr>
      <w:bookmarkStart w:id="430" w:name="_Toc54881439"/>
      <w:bookmarkStart w:id="431" w:name="_Toc54945683"/>
      <w:bookmarkStart w:id="432" w:name="_Toc54946989"/>
      <w:bookmarkStart w:id="433" w:name="_Toc54947958"/>
      <w:bookmarkStart w:id="434" w:name="_Toc63428038"/>
      <w:bookmarkStart w:id="435" w:name="_Toc63428114"/>
      <w:bookmarkStart w:id="436" w:name="_Toc68700094"/>
      <w:bookmarkStart w:id="437" w:name="_Toc68700433"/>
      <w:bookmarkStart w:id="438" w:name="_Toc68700812"/>
      <w:bookmarkStart w:id="439" w:name="_Toc68798726"/>
      <w:bookmarkStart w:id="440" w:name="_Toc68798950"/>
      <w:bookmarkStart w:id="441" w:name="_Toc68800863"/>
      <w:bookmarkStart w:id="442" w:name="_Toc68801934"/>
      <w:bookmarkStart w:id="443" w:name="_Toc68806322"/>
      <w:bookmarkStart w:id="444" w:name="_Toc68806545"/>
      <w:bookmarkStart w:id="445" w:name="_Toc68806767"/>
      <w:bookmarkStart w:id="446" w:name="_Toc68862789"/>
      <w:bookmarkStart w:id="447" w:name="_Toc68864559"/>
      <w:bookmarkStart w:id="448" w:name="_Toc68864932"/>
      <w:bookmarkStart w:id="449" w:name="_Toc68866434"/>
      <w:bookmarkStart w:id="450" w:name="_Toc68888480"/>
      <w:bookmarkStart w:id="451" w:name="_Toc68951013"/>
      <w:bookmarkStart w:id="452" w:name="_Toc68951668"/>
      <w:bookmarkStart w:id="453" w:name="_Toc68951744"/>
      <w:bookmarkStart w:id="454" w:name="_Toc68951820"/>
      <w:bookmarkStart w:id="455" w:name="_Toc68951896"/>
      <w:bookmarkStart w:id="456" w:name="_Toc68951972"/>
      <w:bookmarkStart w:id="457" w:name="_Toc69387125"/>
      <w:bookmarkStart w:id="458" w:name="_Toc75706444"/>
      <w:bookmarkStart w:id="459" w:name="_Toc76042194"/>
      <w:bookmarkStart w:id="460" w:name="_Toc76042269"/>
      <w:bookmarkStart w:id="461" w:name="_Toc76047619"/>
      <w:bookmarkStart w:id="462" w:name="_Toc76049075"/>
      <w:bookmarkStart w:id="463" w:name="_Toc114474717"/>
      <w:bookmarkStart w:id="464" w:name="_Toc54881440"/>
      <w:bookmarkStart w:id="465" w:name="_Toc54945684"/>
      <w:bookmarkStart w:id="466" w:name="_Toc54946990"/>
      <w:bookmarkStart w:id="467" w:name="_Toc54947959"/>
      <w:bookmarkStart w:id="468" w:name="_Toc63428039"/>
      <w:bookmarkStart w:id="469" w:name="_Toc63428115"/>
      <w:bookmarkStart w:id="470" w:name="_Toc68700095"/>
      <w:bookmarkStart w:id="471" w:name="_Toc68700434"/>
      <w:bookmarkStart w:id="472" w:name="_Toc68700813"/>
      <w:bookmarkStart w:id="473" w:name="_Toc68798727"/>
      <w:bookmarkStart w:id="474" w:name="_Toc68798951"/>
      <w:bookmarkStart w:id="475" w:name="_Toc68800864"/>
      <w:bookmarkStart w:id="476" w:name="_Toc68801935"/>
      <w:bookmarkStart w:id="477" w:name="_Toc68806323"/>
      <w:bookmarkStart w:id="478" w:name="_Toc68806546"/>
      <w:bookmarkStart w:id="479" w:name="_Toc68806768"/>
      <w:bookmarkStart w:id="480" w:name="_Toc68862790"/>
      <w:bookmarkStart w:id="481" w:name="_Toc68864560"/>
      <w:bookmarkStart w:id="482" w:name="_Toc68864933"/>
      <w:bookmarkStart w:id="483" w:name="_Toc68866435"/>
      <w:bookmarkStart w:id="484" w:name="_Toc68888481"/>
      <w:bookmarkStart w:id="485" w:name="_Toc68951014"/>
      <w:bookmarkStart w:id="486" w:name="_Toc68951669"/>
      <w:bookmarkStart w:id="487" w:name="_Toc68951745"/>
      <w:bookmarkStart w:id="488" w:name="_Toc68951821"/>
      <w:bookmarkStart w:id="489" w:name="_Toc68951897"/>
      <w:bookmarkStart w:id="490" w:name="_Toc68951973"/>
      <w:bookmarkStart w:id="491" w:name="_Toc69387126"/>
      <w:bookmarkStart w:id="492" w:name="_Toc75706445"/>
      <w:bookmarkStart w:id="493" w:name="_Toc76042195"/>
      <w:bookmarkStart w:id="494" w:name="_Toc76042270"/>
      <w:bookmarkStart w:id="495" w:name="_Toc76047620"/>
      <w:bookmarkStart w:id="496" w:name="_Toc76049076"/>
      <w:bookmarkStart w:id="497" w:name="_Toc114474718"/>
      <w:bookmarkStart w:id="498" w:name="_Toc52785391"/>
      <w:bookmarkStart w:id="499" w:name="_Toc34764842"/>
      <w:bookmarkStart w:id="500" w:name="_Toc27479711"/>
      <w:bookmarkStart w:id="501" w:name="_Toc63428116"/>
      <w:bookmarkStart w:id="502" w:name="_Toc68864934"/>
      <w:bookmarkStart w:id="503" w:name="_Toc114474719"/>
      <w:bookmarkStart w:id="504" w:name="_Toc118205580"/>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r w:rsidRPr="00F468E1">
        <w:t>Monitoring Technology</w:t>
      </w:r>
      <w:bookmarkEnd w:id="498"/>
      <w:bookmarkEnd w:id="499"/>
      <w:bookmarkEnd w:id="500"/>
      <w:r w:rsidRPr="00F468E1">
        <w:t xml:space="preserve"> and Equipment</w:t>
      </w:r>
      <w:bookmarkEnd w:id="501"/>
      <w:bookmarkEnd w:id="502"/>
      <w:bookmarkEnd w:id="503"/>
      <w:bookmarkEnd w:id="504"/>
    </w:p>
    <w:p w14:paraId="66F17ACB" w14:textId="237C7AE9" w:rsidR="008822A4" w:rsidRPr="00855E7E" w:rsidRDefault="008822A4" w:rsidP="00A35EAF">
      <w:pPr>
        <w:pStyle w:val="BodyText"/>
      </w:pPr>
      <w:r w:rsidRPr="00855E7E">
        <w:t xml:space="preserve">The following sections include commonly used technologies for vehicle and micromobility detection. </w:t>
      </w:r>
      <w:bookmarkStart w:id="505" w:name="_Hlk76052306"/>
      <w:r w:rsidRPr="00855E7E">
        <w:t xml:space="preserve">Additional information is available in the FHWA’s </w:t>
      </w:r>
      <w:r w:rsidRPr="000844ED">
        <w:rPr>
          <w:i/>
          <w:iCs/>
        </w:rPr>
        <w:t>Traffic Detector Handbook</w:t>
      </w:r>
      <w:r w:rsidRPr="00855E7E">
        <w:t xml:space="preserve"> (FHWA</w:t>
      </w:r>
      <w:r w:rsidR="00FC1969">
        <w:t xml:space="preserve"> 2006</w:t>
      </w:r>
      <w:r w:rsidRPr="00855E7E">
        <w:t xml:space="preserve">) and in Chapter 3 of the </w:t>
      </w:r>
      <w:r w:rsidRPr="00855E7E">
        <w:rPr>
          <w:i/>
        </w:rPr>
        <w:t>AASHTO</w:t>
      </w:r>
      <w:r w:rsidRPr="00855E7E">
        <w:t xml:space="preserve"> report </w:t>
      </w:r>
      <w:r w:rsidRPr="00855E7E">
        <w:rPr>
          <w:i/>
        </w:rPr>
        <w:t>Guidelines for Traffic Data Programs</w:t>
      </w:r>
      <w:r w:rsidR="00FC1969">
        <w:rPr>
          <w:i/>
        </w:rPr>
        <w:t xml:space="preserve"> (AASHTO 2009)</w:t>
      </w:r>
      <w:r w:rsidRPr="00855E7E">
        <w:t xml:space="preserve">. The most up-to-date information on specific equipment is available from the manufacturer. The FHWA </w:t>
      </w:r>
      <w:r w:rsidRPr="000844ED">
        <w:rPr>
          <w:i/>
          <w:iCs/>
        </w:rPr>
        <w:t>WIM Pocket Guide</w:t>
      </w:r>
      <w:r w:rsidRPr="00855E7E">
        <w:t xml:space="preserve"> </w:t>
      </w:r>
      <w:r w:rsidR="00FC1969">
        <w:t xml:space="preserve">(FHWA 2018) </w:t>
      </w:r>
      <w:r w:rsidRPr="00855E7E">
        <w:t xml:space="preserve">and FHWA’s </w:t>
      </w:r>
      <w:r w:rsidRPr="000844ED">
        <w:rPr>
          <w:i/>
          <w:iCs/>
        </w:rPr>
        <w:t>Travel Monitoring and Traffic Volume</w:t>
      </w:r>
      <w:r w:rsidRPr="00855E7E">
        <w:t xml:space="preserve"> website also contains a wealth of information.</w:t>
      </w:r>
      <w:r>
        <w:t xml:space="preserve"> </w:t>
      </w:r>
      <w:bookmarkEnd w:id="505"/>
    </w:p>
    <w:p w14:paraId="51DBE5A4" w14:textId="79840612" w:rsidR="008822A4" w:rsidRPr="00F468E1" w:rsidRDefault="00442CC1">
      <w:pPr>
        <w:pStyle w:val="Heading3"/>
      </w:pPr>
      <w:bookmarkStart w:id="506" w:name="_Toc54945686"/>
      <w:bookmarkStart w:id="507" w:name="_Toc54946992"/>
      <w:bookmarkStart w:id="508" w:name="_Toc54947961"/>
      <w:bookmarkStart w:id="509" w:name="_Toc63428041"/>
      <w:bookmarkStart w:id="510" w:name="_Toc63428117"/>
      <w:bookmarkStart w:id="511" w:name="_Toc68700097"/>
      <w:bookmarkStart w:id="512" w:name="_Toc68700436"/>
      <w:bookmarkStart w:id="513" w:name="_Toc68700815"/>
      <w:bookmarkStart w:id="514" w:name="_Toc68798729"/>
      <w:bookmarkStart w:id="515" w:name="_Toc68798953"/>
      <w:bookmarkStart w:id="516" w:name="_Toc68800866"/>
      <w:bookmarkStart w:id="517" w:name="_Toc68801937"/>
      <w:bookmarkStart w:id="518" w:name="_Toc68806325"/>
      <w:bookmarkStart w:id="519" w:name="_Toc68806548"/>
      <w:bookmarkStart w:id="520" w:name="_Toc68806770"/>
      <w:bookmarkStart w:id="521" w:name="_Toc68862792"/>
      <w:bookmarkStart w:id="522" w:name="_Toc68864562"/>
      <w:bookmarkStart w:id="523" w:name="_Toc54945687"/>
      <w:bookmarkStart w:id="524" w:name="_Toc54946993"/>
      <w:bookmarkStart w:id="525" w:name="_Toc54947962"/>
      <w:bookmarkStart w:id="526" w:name="_Toc63428042"/>
      <w:bookmarkStart w:id="527" w:name="_Toc63428118"/>
      <w:bookmarkStart w:id="528" w:name="_Toc68700098"/>
      <w:bookmarkStart w:id="529" w:name="_Toc68700437"/>
      <w:bookmarkStart w:id="530" w:name="_Toc68700816"/>
      <w:bookmarkStart w:id="531" w:name="_Toc68798730"/>
      <w:bookmarkStart w:id="532" w:name="_Toc68798954"/>
      <w:bookmarkStart w:id="533" w:name="_Toc68800867"/>
      <w:bookmarkStart w:id="534" w:name="_Toc68801938"/>
      <w:bookmarkStart w:id="535" w:name="_Toc68806326"/>
      <w:bookmarkStart w:id="536" w:name="_Toc68806549"/>
      <w:bookmarkStart w:id="537" w:name="_Toc68806771"/>
      <w:bookmarkStart w:id="538" w:name="_Toc68862793"/>
      <w:bookmarkStart w:id="539" w:name="_Toc68864563"/>
      <w:bookmarkStart w:id="540" w:name="_Toc54945688"/>
      <w:bookmarkStart w:id="541" w:name="_Toc54946994"/>
      <w:bookmarkStart w:id="542" w:name="_Toc54947963"/>
      <w:bookmarkStart w:id="543" w:name="_Toc63428043"/>
      <w:bookmarkStart w:id="544" w:name="_Toc63428119"/>
      <w:bookmarkStart w:id="545" w:name="_Toc68700099"/>
      <w:bookmarkStart w:id="546" w:name="_Toc68700438"/>
      <w:bookmarkStart w:id="547" w:name="_Toc68700817"/>
      <w:bookmarkStart w:id="548" w:name="_Toc68798731"/>
      <w:bookmarkStart w:id="549" w:name="_Toc68798955"/>
      <w:bookmarkStart w:id="550" w:name="_Toc68800868"/>
      <w:bookmarkStart w:id="551" w:name="_Toc68801939"/>
      <w:bookmarkStart w:id="552" w:name="_Toc68806327"/>
      <w:bookmarkStart w:id="553" w:name="_Toc68806550"/>
      <w:bookmarkStart w:id="554" w:name="_Toc68806772"/>
      <w:bookmarkStart w:id="555" w:name="_Toc68862794"/>
      <w:bookmarkStart w:id="556" w:name="_Toc68864564"/>
      <w:bookmarkStart w:id="557" w:name="_Toc52785393"/>
      <w:bookmarkStart w:id="558" w:name="_Toc63428120"/>
      <w:bookmarkStart w:id="559" w:name="_Toc118205581"/>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r>
        <w:rPr>
          <w:noProof/>
        </w:rPr>
        <mc:AlternateContent>
          <mc:Choice Requires="wps">
            <w:drawing>
              <wp:anchor distT="45720" distB="45720" distL="114300" distR="114300" simplePos="0" relativeHeight="251693056" behindDoc="0" locked="0" layoutInCell="1" allowOverlap="1" wp14:anchorId="18303C74" wp14:editId="11B37276">
                <wp:simplePos x="0" y="0"/>
                <wp:positionH relativeFrom="margin">
                  <wp:posOffset>2557145</wp:posOffset>
                </wp:positionH>
                <wp:positionV relativeFrom="paragraph">
                  <wp:posOffset>334645</wp:posOffset>
                </wp:positionV>
                <wp:extent cx="3409315" cy="2458085"/>
                <wp:effectExtent l="0" t="0" r="635" b="0"/>
                <wp:wrapSquare wrapText="bothSides"/>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315" cy="2458085"/>
                        </a:xfrm>
                        <a:prstGeom prst="rect">
                          <a:avLst/>
                        </a:prstGeom>
                        <a:solidFill>
                          <a:srgbClr val="FFFFFF"/>
                        </a:solidFill>
                        <a:ln w="9525">
                          <a:noFill/>
                          <a:miter lim="800000"/>
                          <a:headEnd/>
                          <a:tailEnd/>
                        </a:ln>
                      </wps:spPr>
                      <wps:txbx>
                        <w:txbxContent>
                          <w:p w14:paraId="3A69403F" w14:textId="7C02DB63" w:rsidR="00442CC1" w:rsidRPr="00442CC1" w:rsidRDefault="00442CC1" w:rsidP="00442CC1">
                            <w:pPr>
                              <w:pStyle w:val="TMGTableCaption"/>
                              <w:spacing w:before="0"/>
                            </w:pPr>
                            <w:bookmarkStart w:id="560" w:name="_Ref114499296"/>
                            <w:bookmarkStart w:id="561" w:name="_Toc114474811"/>
                            <w:bookmarkStart w:id="562" w:name="_Toc120631117"/>
                            <w:r w:rsidRPr="00442CC1">
                              <w:t xml:space="preserve">Table </w:t>
                            </w:r>
                            <w:fldSimple w:instr=" STYLEREF 1 \s ">
                              <w:r w:rsidR="00FC0E95">
                                <w:rPr>
                                  <w:noProof/>
                                </w:rPr>
                                <w:t>2</w:t>
                              </w:r>
                            </w:fldSimple>
                            <w:r w:rsidRPr="00442CC1">
                              <w:noBreakHyphen/>
                            </w:r>
                            <w:fldSimple w:instr=" SEQ Table \* ARABIC \s 1 ">
                              <w:r w:rsidR="00FC0E95">
                                <w:rPr>
                                  <w:noProof/>
                                </w:rPr>
                                <w:t>1</w:t>
                              </w:r>
                            </w:fldSimple>
                            <w:bookmarkEnd w:id="560"/>
                            <w:r w:rsidR="00352273">
                              <w:rPr>
                                <w:noProof/>
                              </w:rPr>
                              <w:t>.</w:t>
                            </w:r>
                            <w:r w:rsidRPr="00442CC1">
                              <w:t xml:space="preserve"> Basic Data Types Reported</w:t>
                            </w:r>
                            <w:r w:rsidR="00352273">
                              <w:br/>
                              <w:t>b</w:t>
                            </w:r>
                            <w:r w:rsidRPr="00442CC1">
                              <w:t>y Traffic Monitoring Devices</w:t>
                            </w:r>
                            <w:bookmarkEnd w:id="561"/>
                            <w:bookmarkEnd w:id="562"/>
                          </w:p>
                          <w:tbl>
                            <w:tblPr>
                              <w:tblStyle w:val="TMGTable10"/>
                              <w:tblW w:w="5310" w:type="dxa"/>
                              <w:tblLayout w:type="fixed"/>
                              <w:tblLook w:val="04A0" w:firstRow="1" w:lastRow="0" w:firstColumn="1" w:lastColumn="0" w:noHBand="0" w:noVBand="1"/>
                            </w:tblPr>
                            <w:tblGrid>
                              <w:gridCol w:w="2330"/>
                              <w:gridCol w:w="2980"/>
                            </w:tblGrid>
                            <w:tr w:rsidR="00442CC1" w:rsidRPr="00973D01" w14:paraId="0EAC2111" w14:textId="77777777" w:rsidTr="00701BE1">
                              <w:trPr>
                                <w:cnfStyle w:val="100000000000" w:firstRow="1" w:lastRow="0" w:firstColumn="0" w:lastColumn="0" w:oddVBand="0" w:evenVBand="0" w:oddHBand="0" w:evenHBand="0" w:firstRowFirstColumn="0" w:firstRowLastColumn="0" w:lastRowFirstColumn="0" w:lastRowLastColumn="0"/>
                                <w:trHeight w:val="25"/>
                              </w:trPr>
                              <w:tc>
                                <w:tcPr>
                                  <w:tcW w:w="2330" w:type="dxa"/>
                                  <w:hideMark/>
                                </w:tcPr>
                                <w:p w14:paraId="72D27E49" w14:textId="77777777" w:rsidR="00442CC1" w:rsidRPr="00973D01" w:rsidRDefault="00442CC1" w:rsidP="00F508B2">
                                  <w:pPr>
                                    <w:pStyle w:val="TableBodyText"/>
                                    <w:spacing w:line="240" w:lineRule="auto"/>
                                    <w:jc w:val="center"/>
                                    <w:rPr>
                                      <w:b/>
                                      <w:bCs/>
                                      <w:color w:val="FFFFFF" w:themeColor="background1"/>
                                    </w:rPr>
                                  </w:pPr>
                                  <w:r w:rsidRPr="00973D01">
                                    <w:rPr>
                                      <w:b/>
                                      <w:bCs/>
                                      <w:color w:val="FFFFFF" w:themeColor="background1"/>
                                    </w:rPr>
                                    <w:t>Motorized Vehicles</w:t>
                                  </w:r>
                                </w:p>
                              </w:tc>
                              <w:tc>
                                <w:tcPr>
                                  <w:tcW w:w="2980" w:type="dxa"/>
                                  <w:hideMark/>
                                </w:tcPr>
                                <w:p w14:paraId="1043A8B7" w14:textId="77777777" w:rsidR="00442CC1" w:rsidRPr="00973D01" w:rsidRDefault="00442CC1" w:rsidP="00F508B2">
                                  <w:pPr>
                                    <w:pStyle w:val="TableBodyText"/>
                                    <w:spacing w:line="240" w:lineRule="auto"/>
                                    <w:jc w:val="center"/>
                                    <w:rPr>
                                      <w:b/>
                                      <w:bCs/>
                                      <w:color w:val="FFFFFF" w:themeColor="background1"/>
                                    </w:rPr>
                                  </w:pPr>
                                  <w:r w:rsidRPr="00973D01">
                                    <w:rPr>
                                      <w:b/>
                                      <w:bCs/>
                                      <w:color w:val="FFFFFF" w:themeColor="background1"/>
                                    </w:rPr>
                                    <w:t>Micromobility</w:t>
                                  </w:r>
                                </w:p>
                              </w:tc>
                            </w:tr>
                            <w:tr w:rsidR="00442CC1" w:rsidRPr="00973D01" w14:paraId="07E247CF" w14:textId="77777777" w:rsidTr="00701BE1">
                              <w:trPr>
                                <w:trHeight w:val="357"/>
                              </w:trPr>
                              <w:tc>
                                <w:tcPr>
                                  <w:tcW w:w="2330" w:type="dxa"/>
                                  <w:hideMark/>
                                </w:tcPr>
                                <w:p w14:paraId="7C7D3F92" w14:textId="77777777" w:rsidR="00442CC1" w:rsidRPr="00973D01" w:rsidRDefault="00442CC1" w:rsidP="00F508B2">
                                  <w:pPr>
                                    <w:pStyle w:val="TableBodyText"/>
                                    <w:spacing w:before="20" w:after="20" w:line="240" w:lineRule="auto"/>
                                  </w:pPr>
                                  <w:r w:rsidRPr="00973D01">
                                    <w:t>Individual vehicle records</w:t>
                                  </w:r>
                                </w:p>
                                <w:p w14:paraId="6BFCBF4B" w14:textId="77777777" w:rsidR="00442CC1" w:rsidRPr="00973D01" w:rsidRDefault="00442CC1" w:rsidP="00F508B2">
                                  <w:pPr>
                                    <w:pStyle w:val="TableBodyText"/>
                                    <w:spacing w:before="20" w:after="20" w:line="240" w:lineRule="auto"/>
                                  </w:pPr>
                                  <w:r w:rsidRPr="00973D01">
                                    <w:t>Vehicle volumes</w:t>
                                  </w:r>
                                </w:p>
                                <w:p w14:paraId="5A4398CE" w14:textId="77777777" w:rsidR="00442CC1" w:rsidRPr="00973D01" w:rsidRDefault="00442CC1" w:rsidP="00F508B2">
                                  <w:pPr>
                                    <w:pStyle w:val="TableBodyText"/>
                                    <w:spacing w:before="20" w:after="20" w:line="240" w:lineRule="auto"/>
                                  </w:pPr>
                                  <w:r w:rsidRPr="00973D01">
                                    <w:t xml:space="preserve">Vehicle classification </w:t>
                                  </w:r>
                                </w:p>
                                <w:p w14:paraId="6E49FAB6" w14:textId="77777777" w:rsidR="00442CC1" w:rsidRPr="00973D01" w:rsidRDefault="00442CC1" w:rsidP="00F508B2">
                                  <w:pPr>
                                    <w:pStyle w:val="TableBodyText"/>
                                    <w:spacing w:before="20" w:after="20" w:line="240" w:lineRule="auto"/>
                                  </w:pPr>
                                  <w:r w:rsidRPr="00973D01">
                                    <w:t>Vehicle length</w:t>
                                  </w:r>
                                </w:p>
                                <w:p w14:paraId="27241D31" w14:textId="77777777" w:rsidR="00442CC1" w:rsidRPr="00973D01" w:rsidRDefault="00442CC1" w:rsidP="00F508B2">
                                  <w:pPr>
                                    <w:pStyle w:val="TableBodyText"/>
                                    <w:spacing w:before="20" w:after="20" w:line="240" w:lineRule="auto"/>
                                  </w:pPr>
                                  <w:r w:rsidRPr="00973D01">
                                    <w:t>Vehicle speed</w:t>
                                  </w:r>
                                </w:p>
                                <w:p w14:paraId="2F80AB0E" w14:textId="77777777" w:rsidR="00442CC1" w:rsidRPr="00973D01" w:rsidRDefault="00442CC1" w:rsidP="00F508B2">
                                  <w:pPr>
                                    <w:pStyle w:val="TableBodyText"/>
                                    <w:spacing w:before="20" w:after="20" w:line="240" w:lineRule="auto"/>
                                  </w:pPr>
                                  <w:r w:rsidRPr="00973D01">
                                    <w:t>Axle spacing</w:t>
                                  </w:r>
                                </w:p>
                                <w:p w14:paraId="762F1226" w14:textId="77777777" w:rsidR="00442CC1" w:rsidRPr="00973D01" w:rsidRDefault="00442CC1" w:rsidP="00F508B2">
                                  <w:pPr>
                                    <w:pStyle w:val="TableBodyText"/>
                                    <w:spacing w:before="20" w:after="20" w:line="240" w:lineRule="auto"/>
                                  </w:pPr>
                                  <w:r w:rsidRPr="00973D01">
                                    <w:t>Axle weights (GVW)</w:t>
                                  </w:r>
                                </w:p>
                                <w:p w14:paraId="06D82263" w14:textId="77777777" w:rsidR="00442CC1" w:rsidRPr="00973D01" w:rsidRDefault="00442CC1" w:rsidP="00F508B2">
                                  <w:pPr>
                                    <w:pStyle w:val="TableBodyText"/>
                                    <w:spacing w:before="20" w:after="20" w:line="240" w:lineRule="auto"/>
                                  </w:pPr>
                                  <w:r w:rsidRPr="00973D01">
                                    <w:t>Gap</w:t>
                                  </w:r>
                                </w:p>
                                <w:p w14:paraId="2CABD6B4" w14:textId="77777777" w:rsidR="00442CC1" w:rsidRPr="00973D01" w:rsidRDefault="00442CC1" w:rsidP="00F508B2">
                                  <w:pPr>
                                    <w:pStyle w:val="TableBodyText"/>
                                    <w:spacing w:before="20" w:after="20" w:line="240" w:lineRule="auto"/>
                                  </w:pPr>
                                  <w:r w:rsidRPr="00973D01">
                                    <w:t>Headway</w:t>
                                  </w:r>
                                </w:p>
                                <w:p w14:paraId="57588DB5" w14:textId="77777777" w:rsidR="00442CC1" w:rsidRPr="00973D01" w:rsidRDefault="00442CC1" w:rsidP="00F508B2">
                                  <w:pPr>
                                    <w:pStyle w:val="TableBodyText"/>
                                    <w:spacing w:before="20" w:after="20" w:line="240" w:lineRule="auto"/>
                                  </w:pPr>
                                  <w:r w:rsidRPr="00973D01">
                                    <w:t>Lane occupancy</w:t>
                                  </w:r>
                                </w:p>
                              </w:tc>
                              <w:tc>
                                <w:tcPr>
                                  <w:tcW w:w="2980" w:type="dxa"/>
                                  <w:hideMark/>
                                </w:tcPr>
                                <w:p w14:paraId="7B413C2E" w14:textId="77777777" w:rsidR="00442CC1" w:rsidRPr="00973D01" w:rsidRDefault="00442CC1" w:rsidP="00F508B2">
                                  <w:pPr>
                                    <w:pStyle w:val="TableBodyText"/>
                                    <w:spacing w:before="20" w:after="20" w:line="240" w:lineRule="auto"/>
                                  </w:pPr>
                                  <w:r w:rsidRPr="00973D01">
                                    <w:t>Pedestrian volumes</w:t>
                                  </w:r>
                                </w:p>
                                <w:p w14:paraId="10AEB257" w14:textId="77777777" w:rsidR="00442CC1" w:rsidRPr="00973D01" w:rsidRDefault="00442CC1" w:rsidP="00F508B2">
                                  <w:pPr>
                                    <w:pStyle w:val="TableBodyText"/>
                                    <w:spacing w:before="20" w:after="20" w:line="240" w:lineRule="auto"/>
                                  </w:pPr>
                                  <w:r w:rsidRPr="00973D01">
                                    <w:t>Micromobility device volumes</w:t>
                                  </w:r>
                                </w:p>
                                <w:p w14:paraId="18FC7060" w14:textId="77777777" w:rsidR="00442CC1" w:rsidRPr="00973D01" w:rsidRDefault="00442CC1" w:rsidP="00F508B2">
                                  <w:pPr>
                                    <w:pStyle w:val="TableBodyText"/>
                                    <w:spacing w:before="20" w:after="20" w:line="240" w:lineRule="auto"/>
                                  </w:pPr>
                                  <w:r w:rsidRPr="00973D01">
                                    <w:t xml:space="preserve">Micromobility device classification </w:t>
                                  </w:r>
                                </w:p>
                                <w:p w14:paraId="276FD244" w14:textId="77777777" w:rsidR="00442CC1" w:rsidRPr="00973D01" w:rsidRDefault="00442CC1" w:rsidP="00F508B2">
                                  <w:pPr>
                                    <w:pStyle w:val="TableBodyText"/>
                                    <w:spacing w:before="20" w:after="20" w:line="240" w:lineRule="auto"/>
                                  </w:pPr>
                                </w:p>
                              </w:tc>
                            </w:tr>
                          </w:tbl>
                          <w:p w14:paraId="0EE98028" w14:textId="77777777" w:rsidR="00442CC1" w:rsidRDefault="00442CC1" w:rsidP="00442CC1"/>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8303C74" id="_x0000_t202" coordsize="21600,21600" o:spt="202" path="m,l,21600r21600,l21600,xe">
                <v:stroke joinstyle="miter"/>
                <v:path gradientshapeok="t" o:connecttype="rect"/>
              </v:shapetype>
              <v:shape id="_x0000_s1027" type="#_x0000_t202" style="position:absolute;left:0;text-align:left;margin-left:201.35pt;margin-top:26.35pt;width:268.45pt;height:193.55pt;z-index:251693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" stroked="f">
                <v:textbox inset="0,0,0,0">
                  <w:txbxContent>
                    <w:p w14:paraId="3A69403F" w14:textId="7C02DB63" w:rsidR="00442CC1" w:rsidRPr="00442CC1" w:rsidRDefault="00442CC1" w:rsidP="00442CC1">
                      <w:pPr>
                        <w:pStyle w:val="TMGTableCaption"/>
                        <w:spacing w:before="0"/>
                      </w:pPr>
                      <w:bookmarkStart w:id="563" w:name="_Ref114499296"/>
                      <w:bookmarkStart w:id="564" w:name="_Toc114474811"/>
                      <w:bookmarkStart w:id="565" w:name="_Toc120631117"/>
                      <w:r w:rsidRPr="00442CC1">
                        <w:t xml:space="preserve">Table </w:t>
                      </w:r>
                      <w:fldSimple w:instr=" STYLEREF 1 \s ">
                        <w:r w:rsidR="00FC0E95">
                          <w:rPr>
                            <w:noProof/>
                          </w:rPr>
                          <w:t>2</w:t>
                        </w:r>
                      </w:fldSimple>
                      <w:r w:rsidRPr="00442CC1">
                        <w:noBreakHyphen/>
                      </w:r>
                      <w:fldSimple w:instr=" SEQ Table \* ARABIC \s 1 ">
                        <w:r w:rsidR="00FC0E95">
                          <w:rPr>
                            <w:noProof/>
                          </w:rPr>
                          <w:t>1</w:t>
                        </w:r>
                      </w:fldSimple>
                      <w:bookmarkEnd w:id="563"/>
                      <w:r w:rsidR="00352273">
                        <w:rPr>
                          <w:noProof/>
                        </w:rPr>
                        <w:t>.</w:t>
                      </w:r>
                      <w:r w:rsidRPr="00442CC1">
                        <w:t xml:space="preserve"> Basic Data Types Reported</w:t>
                      </w:r>
                      <w:r w:rsidR="00352273">
                        <w:br/>
                        <w:t>b</w:t>
                      </w:r>
                      <w:r w:rsidRPr="00442CC1">
                        <w:t>y Traffic Monitoring Devices</w:t>
                      </w:r>
                      <w:bookmarkEnd w:id="564"/>
                      <w:bookmarkEnd w:id="565"/>
                    </w:p>
                    <w:tbl>
                      <w:tblPr>
                        <w:tblStyle w:val="TMGTable10"/>
                        <w:tblW w:w="5310" w:type="dxa"/>
                        <w:tblLayout w:type="fixed"/>
                        <w:tblLook w:val="04A0" w:firstRow="1" w:lastRow="0" w:firstColumn="1" w:lastColumn="0" w:noHBand="0" w:noVBand="1"/>
                      </w:tblPr>
                      <w:tblGrid>
                        <w:gridCol w:w="2330"/>
                        <w:gridCol w:w="2980"/>
                      </w:tblGrid>
                      <w:tr w:rsidR="00442CC1" w:rsidRPr="00973D01" w14:paraId="0EAC2111" w14:textId="77777777" w:rsidTr="00701BE1">
                        <w:trPr>
                          <w:cnfStyle w:val="100000000000" w:firstRow="1" w:lastRow="0" w:firstColumn="0" w:lastColumn="0" w:oddVBand="0" w:evenVBand="0" w:oddHBand="0" w:evenHBand="0" w:firstRowFirstColumn="0" w:firstRowLastColumn="0" w:lastRowFirstColumn="0" w:lastRowLastColumn="0"/>
                          <w:trHeight w:val="25"/>
                        </w:trPr>
                        <w:tc>
                          <w:tcPr>
                            <w:tcW w:w="2330" w:type="dxa"/>
                            <w:hideMark/>
                          </w:tcPr>
                          <w:p w14:paraId="72D27E49" w14:textId="77777777" w:rsidR="00442CC1" w:rsidRPr="00973D01" w:rsidRDefault="00442CC1" w:rsidP="00F508B2">
                            <w:pPr>
                              <w:pStyle w:val="TableBodyText"/>
                              <w:spacing w:line="240" w:lineRule="auto"/>
                              <w:jc w:val="center"/>
                              <w:rPr>
                                <w:b/>
                                <w:bCs/>
                                <w:color w:val="FFFFFF" w:themeColor="background1"/>
                              </w:rPr>
                            </w:pPr>
                            <w:r w:rsidRPr="00973D01">
                              <w:rPr>
                                <w:b/>
                                <w:bCs/>
                                <w:color w:val="FFFFFF" w:themeColor="background1"/>
                              </w:rPr>
                              <w:t>Motorized Vehicles</w:t>
                            </w:r>
                          </w:p>
                        </w:tc>
                        <w:tc>
                          <w:tcPr>
                            <w:tcW w:w="2980" w:type="dxa"/>
                            <w:hideMark/>
                          </w:tcPr>
                          <w:p w14:paraId="1043A8B7" w14:textId="77777777" w:rsidR="00442CC1" w:rsidRPr="00973D01" w:rsidRDefault="00442CC1" w:rsidP="00F508B2">
                            <w:pPr>
                              <w:pStyle w:val="TableBodyText"/>
                              <w:spacing w:line="240" w:lineRule="auto"/>
                              <w:jc w:val="center"/>
                              <w:rPr>
                                <w:b/>
                                <w:bCs/>
                                <w:color w:val="FFFFFF" w:themeColor="background1"/>
                              </w:rPr>
                            </w:pPr>
                            <w:r w:rsidRPr="00973D01">
                              <w:rPr>
                                <w:b/>
                                <w:bCs/>
                                <w:color w:val="FFFFFF" w:themeColor="background1"/>
                              </w:rPr>
                              <w:t>Micromobility</w:t>
                            </w:r>
                          </w:p>
                        </w:tc>
                      </w:tr>
                      <w:tr w:rsidR="00442CC1" w:rsidRPr="00973D01" w14:paraId="07E247CF" w14:textId="77777777" w:rsidTr="00701BE1">
                        <w:trPr>
                          <w:trHeight w:val="357"/>
                        </w:trPr>
                        <w:tc>
                          <w:tcPr>
                            <w:tcW w:w="2330" w:type="dxa"/>
                            <w:hideMark/>
                          </w:tcPr>
                          <w:p w14:paraId="7C7D3F92" w14:textId="77777777" w:rsidR="00442CC1" w:rsidRPr="00973D01" w:rsidRDefault="00442CC1" w:rsidP="00F508B2">
                            <w:pPr>
                              <w:pStyle w:val="TableBodyText"/>
                              <w:spacing w:before="20" w:after="20" w:line="240" w:lineRule="auto"/>
                            </w:pPr>
                            <w:r w:rsidRPr="00973D01">
                              <w:t>Individual vehicle records</w:t>
                            </w:r>
                          </w:p>
                          <w:p w14:paraId="6BFCBF4B" w14:textId="77777777" w:rsidR="00442CC1" w:rsidRPr="00973D01" w:rsidRDefault="00442CC1" w:rsidP="00F508B2">
                            <w:pPr>
                              <w:pStyle w:val="TableBodyText"/>
                              <w:spacing w:before="20" w:after="20" w:line="240" w:lineRule="auto"/>
                            </w:pPr>
                            <w:r w:rsidRPr="00973D01">
                              <w:t>Vehicle volumes</w:t>
                            </w:r>
                          </w:p>
                          <w:p w14:paraId="5A4398CE" w14:textId="77777777" w:rsidR="00442CC1" w:rsidRPr="00973D01" w:rsidRDefault="00442CC1" w:rsidP="00F508B2">
                            <w:pPr>
                              <w:pStyle w:val="TableBodyText"/>
                              <w:spacing w:before="20" w:after="20" w:line="240" w:lineRule="auto"/>
                            </w:pPr>
                            <w:r w:rsidRPr="00973D01">
                              <w:t xml:space="preserve">Vehicle classification </w:t>
                            </w:r>
                          </w:p>
                          <w:p w14:paraId="6E49FAB6" w14:textId="77777777" w:rsidR="00442CC1" w:rsidRPr="00973D01" w:rsidRDefault="00442CC1" w:rsidP="00F508B2">
                            <w:pPr>
                              <w:pStyle w:val="TableBodyText"/>
                              <w:spacing w:before="20" w:after="20" w:line="240" w:lineRule="auto"/>
                            </w:pPr>
                            <w:r w:rsidRPr="00973D01">
                              <w:t>Vehicle length</w:t>
                            </w:r>
                          </w:p>
                          <w:p w14:paraId="27241D31" w14:textId="77777777" w:rsidR="00442CC1" w:rsidRPr="00973D01" w:rsidRDefault="00442CC1" w:rsidP="00F508B2">
                            <w:pPr>
                              <w:pStyle w:val="TableBodyText"/>
                              <w:spacing w:before="20" w:after="20" w:line="240" w:lineRule="auto"/>
                            </w:pPr>
                            <w:r w:rsidRPr="00973D01">
                              <w:t>Vehicle speed</w:t>
                            </w:r>
                          </w:p>
                          <w:p w14:paraId="2F80AB0E" w14:textId="77777777" w:rsidR="00442CC1" w:rsidRPr="00973D01" w:rsidRDefault="00442CC1" w:rsidP="00F508B2">
                            <w:pPr>
                              <w:pStyle w:val="TableBodyText"/>
                              <w:spacing w:before="20" w:after="20" w:line="240" w:lineRule="auto"/>
                            </w:pPr>
                            <w:r w:rsidRPr="00973D01">
                              <w:t>Axle spacing</w:t>
                            </w:r>
                          </w:p>
                          <w:p w14:paraId="762F1226" w14:textId="77777777" w:rsidR="00442CC1" w:rsidRPr="00973D01" w:rsidRDefault="00442CC1" w:rsidP="00F508B2">
                            <w:pPr>
                              <w:pStyle w:val="TableBodyText"/>
                              <w:spacing w:before="20" w:after="20" w:line="240" w:lineRule="auto"/>
                            </w:pPr>
                            <w:r w:rsidRPr="00973D01">
                              <w:t>Axle weights (GVW)</w:t>
                            </w:r>
                          </w:p>
                          <w:p w14:paraId="06D82263" w14:textId="77777777" w:rsidR="00442CC1" w:rsidRPr="00973D01" w:rsidRDefault="00442CC1" w:rsidP="00F508B2">
                            <w:pPr>
                              <w:pStyle w:val="TableBodyText"/>
                              <w:spacing w:before="20" w:after="20" w:line="240" w:lineRule="auto"/>
                            </w:pPr>
                            <w:r w:rsidRPr="00973D01">
                              <w:t>Gap</w:t>
                            </w:r>
                          </w:p>
                          <w:p w14:paraId="2CABD6B4" w14:textId="77777777" w:rsidR="00442CC1" w:rsidRPr="00973D01" w:rsidRDefault="00442CC1" w:rsidP="00F508B2">
                            <w:pPr>
                              <w:pStyle w:val="TableBodyText"/>
                              <w:spacing w:before="20" w:after="20" w:line="240" w:lineRule="auto"/>
                            </w:pPr>
                            <w:r w:rsidRPr="00973D01">
                              <w:t>Headway</w:t>
                            </w:r>
                          </w:p>
                          <w:p w14:paraId="57588DB5" w14:textId="77777777" w:rsidR="00442CC1" w:rsidRPr="00973D01" w:rsidRDefault="00442CC1" w:rsidP="00F508B2">
                            <w:pPr>
                              <w:pStyle w:val="TableBodyText"/>
                              <w:spacing w:before="20" w:after="20" w:line="240" w:lineRule="auto"/>
                            </w:pPr>
                            <w:r w:rsidRPr="00973D01">
                              <w:t>Lane occupancy</w:t>
                            </w:r>
                          </w:p>
                        </w:tc>
                        <w:tc>
                          <w:tcPr>
                            <w:tcW w:w="2980" w:type="dxa"/>
                            <w:hideMark/>
                          </w:tcPr>
                          <w:p w14:paraId="7B413C2E" w14:textId="77777777" w:rsidR="00442CC1" w:rsidRPr="00973D01" w:rsidRDefault="00442CC1" w:rsidP="00F508B2">
                            <w:pPr>
                              <w:pStyle w:val="TableBodyText"/>
                              <w:spacing w:before="20" w:after="20" w:line="240" w:lineRule="auto"/>
                            </w:pPr>
                            <w:r w:rsidRPr="00973D01">
                              <w:t>Pedestrian volumes</w:t>
                            </w:r>
                          </w:p>
                          <w:p w14:paraId="10AEB257" w14:textId="77777777" w:rsidR="00442CC1" w:rsidRPr="00973D01" w:rsidRDefault="00442CC1" w:rsidP="00F508B2">
                            <w:pPr>
                              <w:pStyle w:val="TableBodyText"/>
                              <w:spacing w:before="20" w:after="20" w:line="240" w:lineRule="auto"/>
                            </w:pPr>
                            <w:r w:rsidRPr="00973D01">
                              <w:t>Micromobility device volumes</w:t>
                            </w:r>
                          </w:p>
                          <w:p w14:paraId="18FC7060" w14:textId="77777777" w:rsidR="00442CC1" w:rsidRPr="00973D01" w:rsidRDefault="00442CC1" w:rsidP="00F508B2">
                            <w:pPr>
                              <w:pStyle w:val="TableBodyText"/>
                              <w:spacing w:before="20" w:after="20" w:line="240" w:lineRule="auto"/>
                            </w:pPr>
                            <w:r w:rsidRPr="00973D01">
                              <w:t xml:space="preserve">Micromobility device classification </w:t>
                            </w:r>
                          </w:p>
                          <w:p w14:paraId="276FD244" w14:textId="77777777" w:rsidR="00442CC1" w:rsidRPr="00973D01" w:rsidRDefault="00442CC1" w:rsidP="00F508B2">
                            <w:pPr>
                              <w:pStyle w:val="TableBodyText"/>
                              <w:spacing w:before="20" w:after="20" w:line="240" w:lineRule="auto"/>
                            </w:pPr>
                          </w:p>
                        </w:tc>
                      </w:tr>
                    </w:tbl>
                    <w:p w14:paraId="0EE98028" w14:textId="77777777" w:rsidR="00442CC1" w:rsidRDefault="00442CC1" w:rsidP="00442CC1"/>
                  </w:txbxContent>
                </v:textbox>
                <w10:wrap type="square" anchorx="margin"/>
              </v:shape>
            </w:pict>
          </mc:Fallback>
        </mc:AlternateContent>
      </w:r>
      <w:r w:rsidR="008822A4" w:rsidRPr="00F468E1">
        <w:t>Types of Traffic Data Collected</w:t>
      </w:r>
      <w:bookmarkEnd w:id="557"/>
      <w:bookmarkEnd w:id="558"/>
      <w:bookmarkEnd w:id="559"/>
    </w:p>
    <w:bookmarkStart w:id="566" w:name="_Hlk42700646"/>
    <w:p w14:paraId="1F4D3FE5" w14:textId="5C5907EE" w:rsidR="00331E21" w:rsidRPr="00331E21" w:rsidRDefault="00B7187C" w:rsidP="00A35EAF">
      <w:pPr>
        <w:pStyle w:val="BodyText"/>
      </w:pPr>
      <w:r>
        <w:fldChar w:fldCharType="begin"/>
      </w:r>
      <w:r>
        <w:instrText xml:space="preserve"> REF _Ref114499296 \h </w:instrText>
      </w:r>
      <w:r>
        <w:fldChar w:fldCharType="separate"/>
      </w:r>
      <w:r w:rsidR="00C07DF9" w:rsidRPr="00442CC1">
        <w:t xml:space="preserve">Table </w:t>
      </w:r>
      <w:r w:rsidR="00C07DF9">
        <w:rPr>
          <w:noProof/>
        </w:rPr>
        <w:t>2</w:t>
      </w:r>
      <w:r w:rsidR="00C07DF9" w:rsidRPr="00442CC1">
        <w:noBreakHyphen/>
      </w:r>
      <w:r w:rsidR="00C07DF9">
        <w:rPr>
          <w:noProof/>
        </w:rPr>
        <w:t>1</w:t>
      </w:r>
      <w:r>
        <w:fldChar w:fldCharType="end"/>
      </w:r>
      <w:r w:rsidR="008822A4" w:rsidRPr="00855E7E">
        <w:t xml:space="preserve"> lists typical </w:t>
      </w:r>
      <w:bookmarkStart w:id="567" w:name="_Hlk31112268"/>
      <w:r w:rsidR="008822A4" w:rsidRPr="00855E7E">
        <w:t>types of traffic data collected by traffic monitoring devices for motorized and</w:t>
      </w:r>
      <w:r w:rsidR="00665742">
        <w:t xml:space="preserve"> </w:t>
      </w:r>
      <w:r w:rsidR="008822A4" w:rsidRPr="00855E7E">
        <w:t>micromobility data collection programs</w:t>
      </w:r>
      <w:bookmarkEnd w:id="567"/>
      <w:r w:rsidR="008822A4" w:rsidRPr="00855E7E">
        <w:t>.</w:t>
      </w:r>
      <w:r w:rsidR="008822A4" w:rsidRPr="0055139D">
        <w:t xml:space="preserve"> See Chapter 4 for a detailed listing of data types that could be provided by traffic monitoring devices.</w:t>
      </w:r>
    </w:p>
    <w:p w14:paraId="34C0289F" w14:textId="77777777" w:rsidR="008822A4" w:rsidRPr="00F468E1" w:rsidRDefault="008822A4">
      <w:pPr>
        <w:pStyle w:val="Heading3"/>
      </w:pPr>
      <w:bookmarkStart w:id="568" w:name="_Toc63428121"/>
      <w:bookmarkStart w:id="569" w:name="_Toc118205582"/>
      <w:bookmarkStart w:id="570" w:name="_Toc52785394"/>
      <w:bookmarkEnd w:id="566"/>
      <w:r w:rsidRPr="00F468E1">
        <w:t>Detection Methods</w:t>
      </w:r>
      <w:bookmarkEnd w:id="568"/>
      <w:bookmarkEnd w:id="569"/>
    </w:p>
    <w:p w14:paraId="4AE32318" w14:textId="0F24F6F6" w:rsidR="008822A4" w:rsidRPr="00855E7E" w:rsidRDefault="008822A4" w:rsidP="00A35EAF">
      <w:pPr>
        <w:pStyle w:val="BodyText"/>
      </w:pPr>
      <w:r w:rsidRPr="00855E7E">
        <w:t>There are two general methods for detecting passing vehicles</w:t>
      </w:r>
      <w:r w:rsidR="00123F88">
        <w:t xml:space="preserve"> </w:t>
      </w:r>
      <w:r w:rsidRPr="00855E7E">
        <w:t>and micromobility users: automatic and manual.</w:t>
      </w:r>
    </w:p>
    <w:p w14:paraId="06C62691" w14:textId="72CE559F" w:rsidR="008822A4" w:rsidRPr="00855E7E" w:rsidRDefault="008822A4" w:rsidP="00A35EAF">
      <w:pPr>
        <w:pStyle w:val="BodyText"/>
      </w:pPr>
      <w:r w:rsidRPr="00855E7E">
        <w:t>Automatic methods – refer to the collection of vehicular and pedestrian data using automatic equipment. The equipment is designed to continuously record the presence, distribution, and variation of traffic flow.</w:t>
      </w:r>
      <w:r w:rsidR="004D4172">
        <w:t xml:space="preserve"> </w:t>
      </w:r>
      <w:r w:rsidRPr="00855E7E">
        <w:t>The data are recorded and reported for each individual detected observation or summarized (binned) by discrete time periods (e.g.</w:t>
      </w:r>
      <w:r w:rsidR="009D4260">
        <w:t>,</w:t>
      </w:r>
      <w:r w:rsidRPr="00855E7E">
        <w:t xml:space="preserve"> by 5 min., 15 min., hour of the day, daily counts). Automatic methods include permanently installed or portable (typically, for less than 7 days) equipment. Automated methods are further classified as intrusive (i.e., the traffic detection sensor is placed on or under the road surface) or non-intrusive (i.e., there is no sensor on or under the road).</w:t>
      </w:r>
    </w:p>
    <w:p w14:paraId="7AC229CA" w14:textId="45FCD284" w:rsidR="008822A4" w:rsidRPr="00855E7E" w:rsidRDefault="008822A4" w:rsidP="00A35EAF">
      <w:pPr>
        <w:pStyle w:val="BodyText"/>
      </w:pPr>
      <w:r w:rsidRPr="00855E7E">
        <w:t>Manual methods –</w:t>
      </w:r>
      <w:r w:rsidRPr="00855E7E">
        <w:rPr>
          <w:b/>
          <w:i/>
          <w:smallCaps/>
        </w:rPr>
        <w:t xml:space="preserve"> </w:t>
      </w:r>
      <w:r w:rsidRPr="00855E7E">
        <w:t>refer to those methods that involve a human observer determining and recording the numbers of vehicles</w:t>
      </w:r>
      <w:r w:rsidR="00123F88">
        <w:t xml:space="preserve"> </w:t>
      </w:r>
      <w:r w:rsidRPr="00855E7E">
        <w:t>and micromobility users. The total counts are reported by time interval</w:t>
      </w:r>
      <w:r w:rsidR="00172C36">
        <w:t>,</w:t>
      </w:r>
      <w:r w:rsidRPr="00855E7E">
        <w:t xml:space="preserve"> or the observed objects are sorted by a human observer and reported by vehicle classification, vehicle occupancy, turning movement counts, etc. While these methods have limited application due to their limited use and high cost, they serve an important function for verifying automated vehicle detection equipment performance and accuracy.</w:t>
      </w:r>
    </w:p>
    <w:p w14:paraId="05CA3587" w14:textId="77777777" w:rsidR="008822A4" w:rsidRPr="00F468E1" w:rsidRDefault="008822A4">
      <w:pPr>
        <w:pStyle w:val="Heading3"/>
        <w:rPr>
          <w:rFonts w:eastAsiaTheme="minorEastAsia"/>
        </w:rPr>
      </w:pPr>
      <w:bookmarkStart w:id="571" w:name="_Toc63428122"/>
      <w:bookmarkStart w:id="572" w:name="_Toc118205583"/>
      <w:r w:rsidRPr="00F468E1">
        <w:rPr>
          <w:rFonts w:eastAsiaTheme="minorEastAsia"/>
        </w:rPr>
        <w:t>Equipment Types</w:t>
      </w:r>
      <w:bookmarkEnd w:id="570"/>
      <w:bookmarkEnd w:id="571"/>
      <w:bookmarkEnd w:id="572"/>
      <w:r w:rsidRPr="00F468E1">
        <w:rPr>
          <w:rFonts w:eastAsiaTheme="minorEastAsia"/>
        </w:rPr>
        <w:t xml:space="preserve"> </w:t>
      </w:r>
    </w:p>
    <w:p w14:paraId="39743B5C" w14:textId="1AD4D669" w:rsidR="008822A4" w:rsidRPr="00220AFE" w:rsidRDefault="008822A4" w:rsidP="00A35EAF">
      <w:pPr>
        <w:pStyle w:val="BodyText"/>
        <w:rPr>
          <w:rFonts w:eastAsia="Calibri"/>
        </w:rPr>
      </w:pPr>
      <w:r w:rsidRPr="00220AFE">
        <w:rPr>
          <w:rFonts w:eastAsia="Calibri"/>
        </w:rPr>
        <w:t xml:space="preserve">The common names for traffic monitoring equipment are traffic counters and vehicle detectors. The equipment for specialized traffic data collection has additional names, including: Continuous Vehicle Classifiers (CVC), Weigh-In-Motion (WIM) systems, </w:t>
      </w:r>
      <w:bookmarkStart w:id="573" w:name="_Hlk52888698"/>
      <w:r w:rsidRPr="00220AFE">
        <w:rPr>
          <w:rFonts w:eastAsia="Calibri"/>
        </w:rPr>
        <w:t xml:space="preserve">and micromobility </w:t>
      </w:r>
      <w:bookmarkEnd w:id="573"/>
      <w:r w:rsidRPr="00220AFE">
        <w:rPr>
          <w:rFonts w:eastAsia="Calibri"/>
        </w:rPr>
        <w:t xml:space="preserve">detectors. These devices can be portable and referred to as Portable Traffic Recorder (PTR) or permanently installed at Continuous Count Stations (CCSs). The </w:t>
      </w:r>
      <w:r w:rsidRPr="00FC1969">
        <w:rPr>
          <w:rFonts w:eastAsia="Calibri"/>
          <w:i/>
          <w:iCs/>
        </w:rPr>
        <w:t>TMG</w:t>
      </w:r>
      <w:r w:rsidRPr="00220AFE">
        <w:rPr>
          <w:rFonts w:eastAsia="Calibri"/>
        </w:rPr>
        <w:t xml:space="preserve"> Glossary contains the detailed definitions for the above listed equipment types.</w:t>
      </w:r>
    </w:p>
    <w:p w14:paraId="3B15FE8E" w14:textId="77777777" w:rsidR="008822A4" w:rsidRPr="00F468E1" w:rsidRDefault="008822A4">
      <w:pPr>
        <w:pStyle w:val="Heading3"/>
      </w:pPr>
      <w:bookmarkStart w:id="574" w:name="_Toc323545627"/>
      <w:bookmarkStart w:id="575" w:name="_Toc323547084"/>
      <w:bookmarkStart w:id="576" w:name="_Toc323547166"/>
      <w:bookmarkStart w:id="577" w:name="_Toc323545628"/>
      <w:bookmarkStart w:id="578" w:name="_Toc323547085"/>
      <w:bookmarkStart w:id="579" w:name="_Toc323547167"/>
      <w:bookmarkStart w:id="580" w:name="_Toc52785395"/>
      <w:bookmarkStart w:id="581" w:name="_Toc63428123"/>
      <w:bookmarkStart w:id="582" w:name="_Toc118205584"/>
      <w:bookmarkStart w:id="583" w:name="_Toc349905068"/>
      <w:bookmarkStart w:id="584" w:name="_Toc290555957"/>
      <w:bookmarkStart w:id="585" w:name="_Toc291242900"/>
      <w:bookmarkStart w:id="586" w:name="_Toc325034105"/>
      <w:bookmarkStart w:id="587" w:name="_Toc363656116"/>
      <w:bookmarkStart w:id="588" w:name="_Toc450638906"/>
      <w:bookmarkEnd w:id="574"/>
      <w:bookmarkEnd w:id="575"/>
      <w:bookmarkEnd w:id="576"/>
      <w:bookmarkEnd w:id="577"/>
      <w:bookmarkEnd w:id="578"/>
      <w:bookmarkEnd w:id="579"/>
      <w:r w:rsidRPr="00F468E1">
        <w:t>Equipment Components</w:t>
      </w:r>
      <w:bookmarkEnd w:id="580"/>
      <w:bookmarkEnd w:id="581"/>
      <w:bookmarkEnd w:id="582"/>
      <w:r w:rsidRPr="00F468E1">
        <w:t xml:space="preserve"> </w:t>
      </w:r>
    </w:p>
    <w:p w14:paraId="55D36806" w14:textId="4C75FC5D" w:rsidR="008822A4" w:rsidRPr="00855E7E" w:rsidRDefault="008822A4" w:rsidP="00A35EAF">
      <w:pPr>
        <w:pStyle w:val="BodyText"/>
      </w:pPr>
      <w:r w:rsidRPr="00855E7E">
        <w:t>Although vehicle detectors sometimes differ in function and application, based on whether permanent or portable, these systems have common major components. These systems consist of (1) sensor(s) installed in, under, alongside, or above the roadway, (2) an electronic data collection device (controller), typically stored in a roadside cabinet that processes the signals from the sensor; (3) a power source supporting data collection device; (4)</w:t>
      </w:r>
      <w:r w:rsidR="00411B1F">
        <w:t> </w:t>
      </w:r>
      <w:r w:rsidRPr="00855E7E">
        <w:t xml:space="preserve">telecommunication equipment; and (5) additional support infrastructure such as wires, pull boxes, conduits, </w:t>
      </w:r>
      <w:r w:rsidRPr="00855E7E">
        <w:lastRenderedPageBreak/>
        <w:t>etc. A complete traffic monitoring site layout is shown in</w:t>
      </w:r>
      <w:r w:rsidR="000844ED">
        <w:t xml:space="preserve"> </w:t>
      </w:r>
      <w:r w:rsidR="00E26EBD">
        <w:fldChar w:fldCharType="begin"/>
      </w:r>
      <w:r w:rsidR="00E26EBD">
        <w:instrText xml:space="preserve"> REF _Ref114751991 \h </w:instrText>
      </w:r>
      <w:r w:rsidR="00E26EBD">
        <w:fldChar w:fldCharType="separate"/>
      </w:r>
      <w:r w:rsidR="00C07DF9" w:rsidRPr="00B7187C">
        <w:t xml:space="preserve">Figure </w:t>
      </w:r>
      <w:r w:rsidR="00C07DF9">
        <w:rPr>
          <w:noProof/>
        </w:rPr>
        <w:t>2</w:t>
      </w:r>
      <w:r w:rsidR="00C07DF9" w:rsidRPr="00B7187C">
        <w:noBreakHyphen/>
      </w:r>
      <w:r w:rsidR="00C07DF9">
        <w:rPr>
          <w:noProof/>
        </w:rPr>
        <w:t>1</w:t>
      </w:r>
      <w:r w:rsidR="00E26EBD">
        <w:fldChar w:fldCharType="end"/>
      </w:r>
      <w:r w:rsidRPr="00855E7E">
        <w:t>. The equipment shown is a typical configuration used to collect vehicle count, vehicle classification, vehicle length, axle spacing, axle and gross vehicle weight, and vehicle speed.</w:t>
      </w:r>
    </w:p>
    <w:p w14:paraId="2A4A913D" w14:textId="77777777" w:rsidR="008822A4" w:rsidRPr="00855E7E" w:rsidRDefault="008822A4" w:rsidP="00A119E0">
      <w:pPr>
        <w:pStyle w:val="CallOut"/>
      </w:pPr>
      <w:r w:rsidRPr="007C3BFB">
        <w:t xml:space="preserve">FHWA recommends using 8 feet wide by 6 feet long (along the wheel path) loops and full lane width </w:t>
      </w:r>
      <w:r>
        <w:t xml:space="preserve">pneumatic </w:t>
      </w:r>
      <w:r w:rsidRPr="007C3BFB">
        <w:t>road tubes or axle sensors for lanes wider than 10 feet.</w:t>
      </w:r>
    </w:p>
    <w:p w14:paraId="4E4ED82A" w14:textId="77777777" w:rsidR="008822A4" w:rsidRPr="00855E7E" w:rsidRDefault="008822A4" w:rsidP="008822A4">
      <w:pPr>
        <w:pStyle w:val="FigureTitle"/>
        <w:jc w:val="right"/>
        <w:rPr>
          <w:color w:val="auto"/>
        </w:rPr>
      </w:pPr>
      <w:r w:rsidRPr="00855E7E">
        <w:rPr>
          <w:noProof/>
          <w:color w:val="auto"/>
        </w:rPr>
        <w:drawing>
          <wp:inline distT="0" distB="0" distL="0" distR="0" wp14:anchorId="395787F6" wp14:editId="4109D49E">
            <wp:extent cx="5485500" cy="4389120"/>
            <wp:effectExtent l="0" t="0" r="1270" b="0"/>
            <wp:docPr id="6" name="Picture 6" descr="Schematic top down view of a double threshold array traffic sensor array for a two lane roadway.  Each lane has a left wheel path and right wheel path sensor that are placed both before and after a 6' by 8' (wide) loop for each lane.  On the roadside is shown blocks for a power source if AC powered or solar powered boxes represent either powering method.  For communication a telephone drop if not telemetry is listed.  Between both sides of the road a dashed line shows a in ground conduit between pull bo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chematic top down view of a double threshold array traffic sensor array for a two lane roadway.  Each lane has a left wheel path and right wheel path sensor that are placed both before and after a 6' by 8' (wide) loop for each lane.  On the roadside is shown blocks for a power source if AC powered or solar powered boxes represent either powering method.  For communication a telephone drop if not telemetry is listed.  Between both sides of the road a dashed line shows a in ground conduit between pull boxe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96571" cy="4397978"/>
                    </a:xfrm>
                    <a:prstGeom prst="rect">
                      <a:avLst/>
                    </a:prstGeom>
                    <a:noFill/>
                  </pic:spPr>
                </pic:pic>
              </a:graphicData>
            </a:graphic>
          </wp:inline>
        </w:drawing>
      </w:r>
    </w:p>
    <w:p w14:paraId="41C7B320" w14:textId="0E8D6C16" w:rsidR="008822A4" w:rsidRDefault="008822A4" w:rsidP="00B854E1">
      <w:pPr>
        <w:pStyle w:val="Source"/>
        <w:ind w:left="720"/>
      </w:pPr>
      <w:r>
        <w:t>Source:</w:t>
      </w:r>
      <w:r w:rsidR="0061163F">
        <w:t xml:space="preserve"> </w:t>
      </w:r>
      <w:r>
        <w:t xml:space="preserve"> Federal Highway Administration.</w:t>
      </w:r>
    </w:p>
    <w:p w14:paraId="23AE7D96" w14:textId="08999631" w:rsidR="000808EE" w:rsidRPr="00B7187C" w:rsidRDefault="000808EE" w:rsidP="00B7187C">
      <w:pPr>
        <w:pStyle w:val="TMGFigureCaption"/>
      </w:pPr>
      <w:bookmarkStart w:id="589" w:name="_Ref114751991"/>
      <w:bookmarkStart w:id="590" w:name="_Toc63428096"/>
      <w:bookmarkStart w:id="591" w:name="_Toc114474779"/>
      <w:bookmarkStart w:id="592" w:name="_Toc120626554"/>
      <w:r w:rsidRPr="00B7187C">
        <w:t xml:space="preserve">Figure </w:t>
      </w:r>
      <w:fldSimple w:instr=" STYLEREF 1 \s ">
        <w:r w:rsidR="00C07DF9">
          <w:rPr>
            <w:noProof/>
          </w:rPr>
          <w:t>2</w:t>
        </w:r>
      </w:fldSimple>
      <w:r w:rsidRPr="00B7187C">
        <w:noBreakHyphen/>
      </w:r>
      <w:fldSimple w:instr=" SEQ Figure \* ARABIC \s 1 ">
        <w:r w:rsidR="00C07DF9">
          <w:rPr>
            <w:noProof/>
          </w:rPr>
          <w:t>1</w:t>
        </w:r>
      </w:fldSimple>
      <w:bookmarkEnd w:id="589"/>
      <w:r w:rsidR="00E26EBD">
        <w:t>.</w:t>
      </w:r>
      <w:r w:rsidRPr="00B7187C">
        <w:t xml:space="preserve"> Example of </w:t>
      </w:r>
      <w:r w:rsidR="0061163F">
        <w:t>T</w:t>
      </w:r>
      <w:r w:rsidRPr="00B7187C">
        <w:t xml:space="preserve">raffic </w:t>
      </w:r>
      <w:r w:rsidR="0061163F">
        <w:t>M</w:t>
      </w:r>
      <w:r w:rsidRPr="00B7187C">
        <w:t xml:space="preserve">onitoring </w:t>
      </w:r>
      <w:r w:rsidR="0061163F">
        <w:t>E</w:t>
      </w:r>
      <w:r w:rsidRPr="00B7187C">
        <w:t xml:space="preserve">quipment and </w:t>
      </w:r>
      <w:r w:rsidR="0061163F">
        <w:t>S</w:t>
      </w:r>
      <w:r w:rsidRPr="00B7187C">
        <w:t xml:space="preserve">ite </w:t>
      </w:r>
      <w:r w:rsidR="0061163F">
        <w:t>L</w:t>
      </w:r>
      <w:r w:rsidRPr="00B7187C">
        <w:t>ayout</w:t>
      </w:r>
      <w:bookmarkEnd w:id="590"/>
      <w:bookmarkEnd w:id="591"/>
      <w:bookmarkEnd w:id="592"/>
    </w:p>
    <w:p w14:paraId="252FB3BC" w14:textId="2850DC03" w:rsidR="008822A4" w:rsidRPr="00855E7E" w:rsidRDefault="008822A4" w:rsidP="00A35EAF">
      <w:pPr>
        <w:pStyle w:val="BodyText"/>
      </w:pPr>
      <w:bookmarkStart w:id="593" w:name="_Toc323545632"/>
      <w:bookmarkStart w:id="594" w:name="_Toc323547089"/>
      <w:bookmarkStart w:id="595" w:name="_Toc323547171"/>
      <w:bookmarkStart w:id="596" w:name="_Toc323545633"/>
      <w:bookmarkStart w:id="597" w:name="_Toc323547090"/>
      <w:bookmarkStart w:id="598" w:name="_Toc323547172"/>
      <w:bookmarkStart w:id="599" w:name="_Toc323545634"/>
      <w:bookmarkStart w:id="600" w:name="_Toc323547091"/>
      <w:bookmarkStart w:id="601" w:name="_Toc323547173"/>
      <w:bookmarkStart w:id="602" w:name="_Toc323545635"/>
      <w:bookmarkStart w:id="603" w:name="_Toc323547092"/>
      <w:bookmarkStart w:id="604" w:name="_Toc323547174"/>
      <w:bookmarkStart w:id="605" w:name="_Toc323545636"/>
      <w:bookmarkStart w:id="606" w:name="_Toc323547093"/>
      <w:bookmarkStart w:id="607" w:name="_Toc323547175"/>
      <w:bookmarkStart w:id="608" w:name="_Toc323545637"/>
      <w:bookmarkStart w:id="609" w:name="_Toc323547094"/>
      <w:bookmarkStart w:id="610" w:name="_Toc323547176"/>
      <w:bookmarkStart w:id="611" w:name="_Toc323545638"/>
      <w:bookmarkStart w:id="612" w:name="_Toc323547095"/>
      <w:bookmarkStart w:id="613" w:name="_Toc323547177"/>
      <w:bookmarkStart w:id="614" w:name="_Toc323545639"/>
      <w:bookmarkStart w:id="615" w:name="_Toc323547096"/>
      <w:bookmarkStart w:id="616" w:name="_Toc323547178"/>
      <w:bookmarkStart w:id="617" w:name="_Toc323545640"/>
      <w:bookmarkStart w:id="618" w:name="_Toc323547097"/>
      <w:bookmarkStart w:id="619" w:name="_Toc323547179"/>
      <w:bookmarkStart w:id="620" w:name="_Toc323545641"/>
      <w:bookmarkStart w:id="621" w:name="_Toc323547098"/>
      <w:bookmarkStart w:id="622" w:name="_Toc323547180"/>
      <w:bookmarkStart w:id="623" w:name="_Toc323545642"/>
      <w:bookmarkStart w:id="624" w:name="_Toc323547099"/>
      <w:bookmarkStart w:id="625" w:name="_Toc323547181"/>
      <w:bookmarkStart w:id="626" w:name="_Toc323545643"/>
      <w:bookmarkStart w:id="627" w:name="_Toc323547100"/>
      <w:bookmarkStart w:id="628" w:name="_Toc323547182"/>
      <w:bookmarkStart w:id="629" w:name="_Toc323545644"/>
      <w:bookmarkStart w:id="630" w:name="_Toc323547101"/>
      <w:bookmarkStart w:id="631" w:name="_Toc323547183"/>
      <w:bookmarkStart w:id="632" w:name="_Toc323545645"/>
      <w:bookmarkStart w:id="633" w:name="_Toc323547102"/>
      <w:bookmarkStart w:id="634" w:name="_Toc323547184"/>
      <w:bookmarkStart w:id="635" w:name="_Toc323545646"/>
      <w:bookmarkStart w:id="636" w:name="_Toc323547103"/>
      <w:bookmarkStart w:id="637" w:name="_Toc323547185"/>
      <w:bookmarkStart w:id="638" w:name="_Toc323545647"/>
      <w:bookmarkStart w:id="639" w:name="_Toc323547104"/>
      <w:bookmarkStart w:id="640" w:name="_Toc323547186"/>
      <w:bookmarkStart w:id="641" w:name="_Toc323545648"/>
      <w:bookmarkStart w:id="642" w:name="_Toc323547105"/>
      <w:bookmarkStart w:id="643" w:name="_Toc323547187"/>
      <w:bookmarkStart w:id="644" w:name="_Toc323545649"/>
      <w:bookmarkStart w:id="645" w:name="_Toc323547106"/>
      <w:bookmarkStart w:id="646" w:name="_Toc323547188"/>
      <w:bookmarkStart w:id="647" w:name="_Toc323545650"/>
      <w:bookmarkStart w:id="648" w:name="_Toc323547107"/>
      <w:bookmarkStart w:id="649" w:name="_Toc323547189"/>
      <w:bookmarkStart w:id="650" w:name="_Toc323545651"/>
      <w:bookmarkStart w:id="651" w:name="_Toc323547108"/>
      <w:bookmarkStart w:id="652" w:name="_Toc323547190"/>
      <w:bookmarkStart w:id="653" w:name="_Toc323545652"/>
      <w:bookmarkStart w:id="654" w:name="_Toc323547109"/>
      <w:bookmarkStart w:id="655" w:name="_Toc323547191"/>
      <w:bookmarkStart w:id="656" w:name="_Toc323545653"/>
      <w:bookmarkStart w:id="657" w:name="_Toc323547110"/>
      <w:bookmarkStart w:id="658" w:name="_Toc323547192"/>
      <w:bookmarkStart w:id="659" w:name="_Toc323545654"/>
      <w:bookmarkStart w:id="660" w:name="_Toc323547111"/>
      <w:bookmarkStart w:id="661" w:name="_Toc323547193"/>
      <w:bookmarkStart w:id="662" w:name="_Toc323545655"/>
      <w:bookmarkStart w:id="663" w:name="_Toc323547112"/>
      <w:bookmarkStart w:id="664" w:name="_Toc323547194"/>
      <w:bookmarkStart w:id="665" w:name="_Toc323545656"/>
      <w:bookmarkStart w:id="666" w:name="_Toc323547113"/>
      <w:bookmarkStart w:id="667" w:name="_Toc323547195"/>
      <w:bookmarkStart w:id="668" w:name="_Toc323545657"/>
      <w:bookmarkStart w:id="669" w:name="_Toc323547114"/>
      <w:bookmarkStart w:id="670" w:name="_Toc323547196"/>
      <w:bookmarkStart w:id="671" w:name="_Toc323545658"/>
      <w:bookmarkStart w:id="672" w:name="_Toc323547115"/>
      <w:bookmarkStart w:id="673" w:name="_Toc323547197"/>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r w:rsidRPr="00855E7E">
        <w:t xml:space="preserve">The technology used to sense the passing traffic stream determines what each data collection device physically counts. The signals collected from the sensors are converted and processed by the controller (typically using a proprietary method specific to that equipment’s vendor) into vehicular and traffic flow information. This information is stored in the data storage unit of the traffic controller device for later download. </w:t>
      </w:r>
      <w:r w:rsidR="00E26EBD">
        <w:fldChar w:fldCharType="begin"/>
      </w:r>
      <w:r w:rsidR="00E26EBD">
        <w:instrText xml:space="preserve"> REF _Ref114752006 \h </w:instrText>
      </w:r>
      <w:r w:rsidR="00E26EBD">
        <w:fldChar w:fldCharType="separate"/>
      </w:r>
      <w:r w:rsidR="00C07DF9" w:rsidRPr="007679D4">
        <w:t xml:space="preserve">Figure </w:t>
      </w:r>
      <w:r w:rsidR="00C07DF9">
        <w:rPr>
          <w:noProof/>
        </w:rPr>
        <w:t>2</w:t>
      </w:r>
      <w:r w:rsidR="00C07DF9">
        <w:noBreakHyphen/>
      </w:r>
      <w:r w:rsidR="00C07DF9">
        <w:rPr>
          <w:noProof/>
        </w:rPr>
        <w:t>2</w:t>
      </w:r>
      <w:r w:rsidR="00E26EBD">
        <w:fldChar w:fldCharType="end"/>
      </w:r>
      <w:r w:rsidRPr="00855E7E">
        <w:t xml:space="preserve"> shows an example of the signals collected by the axle sensors and the inductive loop being interpreted into vehicle classification data.</w:t>
      </w:r>
    </w:p>
    <w:p w14:paraId="48D7F598" w14:textId="77777777" w:rsidR="008822A4" w:rsidRPr="00855E7E" w:rsidRDefault="008822A4" w:rsidP="00B854E1">
      <w:pPr>
        <w:keepNext/>
        <w:jc w:val="center"/>
        <w:rPr>
          <w:rFonts w:eastAsia="Calibri"/>
          <w:color w:val="auto"/>
          <w:szCs w:val="22"/>
          <w:highlight w:val="magenta"/>
        </w:rPr>
      </w:pPr>
      <w:r w:rsidRPr="00855E7E">
        <w:rPr>
          <w:rFonts w:eastAsia="Calibri"/>
          <w:noProof/>
          <w:color w:val="auto"/>
          <w:szCs w:val="22"/>
        </w:rPr>
        <w:lastRenderedPageBreak/>
        <w:drawing>
          <wp:inline distT="0" distB="0" distL="0" distR="0" wp14:anchorId="39480D39" wp14:editId="5EBDB611">
            <wp:extent cx="4258852" cy="1237129"/>
            <wp:effectExtent l="0" t="0" r="8890" b="1270"/>
            <wp:docPr id="19" name="Picture 33" descr="This figure shows the time series of a truck as it traverses axles sensors and how the loop on will show the vehicle presence and then with each axle the spacing due to the individual axle piezo pulses provide the inter-axle spacing for all 5 axles.  Lastly the figure shows the piezo sensor out condition as good and there being 5 axles detected and the class of the vehicle as being a class 9 definition for the two-axle binning scheme deployed for the Virginia D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33" descr="This figure shows the time series of a truck as it traverses axles sensors and how the loop on will show the vehicle presence and then with each axle the spacing due to the individual axle piezo pulses provide the inter-axle spacing for all 5 axles.  Lastly the figure shows the piezo sensor out condition as good and there being 5 axles detected and the class of the vehicle as being a class 9 definition for the two-axle binning scheme deployed for the Virginia DOT."/>
                    <pic:cNvPicPr>
                      <a:picLocks noChangeAspect="1" noChangeArrowheads="1"/>
                    </pic:cNvPicPr>
                  </pic:nvPicPr>
                  <pic:blipFill>
                    <a:blip r:embed="rId64">
                      <a:extLst>
                        <a:ext uri="{28A0092B-C50C-407E-A947-70E740481C1C}">
                          <a14:useLocalDpi xmlns:a14="http://schemas.microsoft.com/office/drawing/2010/main" val="0"/>
                        </a:ext>
                      </a:extLst>
                    </a:blip>
                    <a:srcRect b="59061"/>
                    <a:stretch>
                      <a:fillRect/>
                    </a:stretch>
                  </pic:blipFill>
                  <pic:spPr bwMode="auto">
                    <a:xfrm>
                      <a:off x="0" y="0"/>
                      <a:ext cx="4290516" cy="1246327"/>
                    </a:xfrm>
                    <a:prstGeom prst="rect">
                      <a:avLst/>
                    </a:prstGeom>
                    <a:noFill/>
                    <a:ln>
                      <a:noFill/>
                    </a:ln>
                  </pic:spPr>
                </pic:pic>
              </a:graphicData>
            </a:graphic>
          </wp:inline>
        </w:drawing>
      </w:r>
    </w:p>
    <w:p w14:paraId="1FF597A6" w14:textId="627832C6" w:rsidR="008822A4" w:rsidRDefault="008822A4" w:rsidP="00B854E1">
      <w:pPr>
        <w:pStyle w:val="Source"/>
        <w:ind w:left="1530"/>
      </w:pPr>
      <w:r w:rsidRPr="00855E7E">
        <w:t>Source:</w:t>
      </w:r>
      <w:r w:rsidR="0061163F">
        <w:t xml:space="preserve"> </w:t>
      </w:r>
      <w:r w:rsidRPr="00855E7E">
        <w:t xml:space="preserve"> Virginia Department of Transportation</w:t>
      </w:r>
    </w:p>
    <w:p w14:paraId="11C237F1" w14:textId="57EE4342" w:rsidR="00B7187C" w:rsidRPr="007679D4" w:rsidRDefault="00B7187C" w:rsidP="00B7187C">
      <w:pPr>
        <w:pStyle w:val="TMGFigureCaption"/>
      </w:pPr>
      <w:bookmarkStart w:id="674" w:name="_Ref114752006"/>
      <w:bookmarkStart w:id="675" w:name="_Toc63428097"/>
      <w:bookmarkStart w:id="676" w:name="_Toc114474780"/>
      <w:bookmarkStart w:id="677" w:name="_Toc120626555"/>
      <w:r w:rsidRPr="007679D4">
        <w:t xml:space="preserve">Figure </w:t>
      </w:r>
      <w:r>
        <w:rPr>
          <w:noProof/>
        </w:rPr>
        <w:fldChar w:fldCharType="begin"/>
      </w:r>
      <w:r>
        <w:rPr>
          <w:noProof/>
        </w:rPr>
        <w:instrText xml:space="preserve"> STYLEREF 1 \s </w:instrText>
      </w:r>
      <w:r>
        <w:rPr>
          <w:noProof/>
        </w:rPr>
        <w:fldChar w:fldCharType="separate"/>
      </w:r>
      <w:r w:rsidR="00C07DF9">
        <w:rPr>
          <w:noProof/>
        </w:rPr>
        <w:t>2</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C07DF9">
        <w:rPr>
          <w:noProof/>
        </w:rPr>
        <w:t>2</w:t>
      </w:r>
      <w:r>
        <w:rPr>
          <w:noProof/>
        </w:rPr>
        <w:fldChar w:fldCharType="end"/>
      </w:r>
      <w:bookmarkEnd w:id="674"/>
      <w:r w:rsidR="00E26EBD">
        <w:rPr>
          <w:noProof/>
        </w:rPr>
        <w:t>.</w:t>
      </w:r>
      <w:r w:rsidRPr="007679D4">
        <w:t xml:space="preserve"> Example </w:t>
      </w:r>
      <w:r>
        <w:t>o</w:t>
      </w:r>
      <w:r w:rsidRPr="007679D4">
        <w:t xml:space="preserve">f Sensor Output Conversion </w:t>
      </w:r>
      <w:r>
        <w:t>t</w:t>
      </w:r>
      <w:r w:rsidRPr="007679D4">
        <w:t>o Vehicle Classification Data</w:t>
      </w:r>
      <w:bookmarkEnd w:id="675"/>
      <w:bookmarkEnd w:id="676"/>
      <w:bookmarkEnd w:id="677"/>
    </w:p>
    <w:p w14:paraId="2BC7741A" w14:textId="77777777" w:rsidR="008822A4" w:rsidRPr="00F468E1" w:rsidRDefault="008822A4">
      <w:pPr>
        <w:pStyle w:val="Heading3"/>
      </w:pPr>
      <w:bookmarkStart w:id="678" w:name="_Toc52785396"/>
      <w:bookmarkStart w:id="679" w:name="_Toc63428124"/>
      <w:bookmarkStart w:id="680" w:name="_Toc118205585"/>
      <w:bookmarkEnd w:id="583"/>
      <w:bookmarkEnd w:id="584"/>
      <w:bookmarkEnd w:id="585"/>
      <w:bookmarkEnd w:id="586"/>
      <w:bookmarkEnd w:id="587"/>
      <w:bookmarkEnd w:id="588"/>
      <w:r w:rsidRPr="00F468E1">
        <w:t>Sensor Types Overview</w:t>
      </w:r>
      <w:bookmarkEnd w:id="678"/>
      <w:bookmarkEnd w:id="679"/>
      <w:bookmarkEnd w:id="680"/>
    </w:p>
    <w:p w14:paraId="1DBDD726" w14:textId="723244FF" w:rsidR="008822A4" w:rsidRPr="00855E7E" w:rsidRDefault="008822A4" w:rsidP="0010467B">
      <w:pPr>
        <w:pStyle w:val="BodyText"/>
      </w:pPr>
      <w:r w:rsidRPr="00855E7E">
        <w:t xml:space="preserve">The theory and operation of vehicle sensors is discussed in detail in the sensor technology chapter of the </w:t>
      </w:r>
      <w:r w:rsidRPr="00855E7E">
        <w:rPr>
          <w:i/>
          <w:iCs/>
        </w:rPr>
        <w:t>Traffic Detector Handbook</w:t>
      </w:r>
      <w:r w:rsidRPr="00855E7E">
        <w:t xml:space="preserve"> (FHWA</w:t>
      </w:r>
      <w:r w:rsidR="00FC1969">
        <w:t xml:space="preserve"> 2006</w:t>
      </w:r>
      <w:r w:rsidRPr="00855E7E">
        <w:t>).</w:t>
      </w:r>
      <w:r w:rsidR="004D4172">
        <w:t xml:space="preserve"> </w:t>
      </w:r>
      <w:r w:rsidRPr="00855E7E">
        <w:t xml:space="preserve">The following types of vehicle presence technologies are used for detecting moving </w:t>
      </w:r>
      <w:r w:rsidRPr="0010467B">
        <w:t>vehicles</w:t>
      </w:r>
      <w:r w:rsidRPr="00855E7E">
        <w:t xml:space="preserve"> and/or </w:t>
      </w:r>
      <w:r w:rsidR="00631A57">
        <w:t>Micromobility users</w:t>
      </w:r>
      <w:r w:rsidRPr="00855E7E">
        <w:t>:</w:t>
      </w:r>
    </w:p>
    <w:p w14:paraId="16F38E25" w14:textId="155ACFC1" w:rsidR="008822A4" w:rsidRPr="00220AFE" w:rsidRDefault="008822A4">
      <w:pPr>
        <w:pStyle w:val="TMGBullet"/>
        <w:contextualSpacing w:val="0"/>
      </w:pPr>
      <w:bookmarkStart w:id="681" w:name="_Hlk37863067"/>
      <w:r w:rsidRPr="00220AFE">
        <w:t>Inductive Loop Detector –</w:t>
      </w:r>
      <w:r w:rsidR="00123F88">
        <w:t xml:space="preserve"> </w:t>
      </w:r>
      <w:r w:rsidRPr="00220AFE">
        <w:t>detect</w:t>
      </w:r>
      <w:r w:rsidR="005D3505">
        <w:t>s</w:t>
      </w:r>
      <w:r w:rsidRPr="00220AFE">
        <w:t xml:space="preserve"> vehicle or micromobility device passage and presence. This sensor uses a low</w:t>
      </w:r>
      <w:r w:rsidR="00D2299F">
        <w:t>-</w:t>
      </w:r>
      <w:r w:rsidRPr="00220AFE">
        <w:t>voltage alternating electrical current through a formed wire coil embedded in the pavement. The wire coil loop sometimes is placed in the aggregate base below the pavement. The current creates lines of flux field above the formed wire coil, which is disturbed by a passing conductive object of detecting sufficient conductive material (e.g., car, truck, and bike). If this disruption meets predetermined threshold criteria, detection occurs, and the object is counted by a data logger or computer. Advanced signal processing (such as recording and interpretation of loop signatures) is used to derive certain vehicle class characteristics. The sensor consists of four parts, namely 3</w:t>
      </w:r>
      <w:r w:rsidR="00D2299F">
        <w:t xml:space="preserve"> to </w:t>
      </w:r>
      <w:r w:rsidRPr="00220AFE">
        <w:t>4 turns (depending on the loop size) of wire embedded in the pavement, a lead-in wire running from the wire loop in the pavement to the pull box, and a lead-in cable spliced to the lead-in wire at the pull box, which connects to the inductive loop detector electronic circuit on a card or device within the equipment cabinet or traffic counter.</w:t>
      </w:r>
    </w:p>
    <w:p w14:paraId="18A0E3E8" w14:textId="4D621275" w:rsidR="008822A4" w:rsidRPr="00220AFE" w:rsidRDefault="008822A4">
      <w:pPr>
        <w:pStyle w:val="TMGBullet"/>
        <w:contextualSpacing w:val="0"/>
      </w:pPr>
      <w:r w:rsidRPr="00220AFE">
        <w:t>Magnetic Sensor (Induction or Search Coil Magnetometer) –</w:t>
      </w:r>
      <w:r w:rsidR="00FE48E0">
        <w:t xml:space="preserve"> </w:t>
      </w:r>
      <w:r w:rsidRPr="00220AFE">
        <w:t>detect</w:t>
      </w:r>
      <w:r w:rsidR="005D3505">
        <w:t>s</w:t>
      </w:r>
      <w:r w:rsidRPr="00220AFE">
        <w:t xml:space="preserve"> the presence of a ferrous metal object through the perturbation (known as a magnetic anomaly) it causes in the Earth's magnetic field.</w:t>
      </w:r>
      <w:r w:rsidR="004D4172">
        <w:t xml:space="preserve"> </w:t>
      </w:r>
      <w:r w:rsidRPr="00220AFE">
        <w:t xml:space="preserve">It is placed under or in the roadway to detect the passage of a vehicle over the sensor. Its output is connected to an electronics unit. The two types of magnetic sensors are fluxgate magnetometers and induction magnetometers, referred to as magnetic detectors as described in the </w:t>
      </w:r>
      <w:r w:rsidRPr="005E416B">
        <w:rPr>
          <w:i/>
          <w:iCs/>
        </w:rPr>
        <w:t>Traffic Detector Handbook</w:t>
      </w:r>
      <w:r w:rsidRPr="00220AFE">
        <w:t>.</w:t>
      </w:r>
    </w:p>
    <w:p w14:paraId="6F53F32D" w14:textId="5AC02EA7" w:rsidR="008822A4" w:rsidRPr="00220AFE" w:rsidRDefault="008822A4">
      <w:pPr>
        <w:pStyle w:val="TMGBullet"/>
        <w:contextualSpacing w:val="0"/>
      </w:pPr>
      <w:r w:rsidRPr="00220AFE">
        <w:t>Microwave Sensor –</w:t>
      </w:r>
      <w:r w:rsidR="00123F88">
        <w:t xml:space="preserve"> </w:t>
      </w:r>
      <w:r w:rsidRPr="00220AFE">
        <w:t>transmit</w:t>
      </w:r>
      <w:r w:rsidR="005D3505">
        <w:t>s</w:t>
      </w:r>
      <w:r w:rsidRPr="00220AFE">
        <w:t xml:space="preserve"> electromagnetic energy from an antenna toward vehicles traveling the roadway. When a vehicle passes through the antenna beam, a portion of the transmitted energy is reflected towards the antenna. The energy then enters a receiver where the detection is made and traffic flow data, such as volume count, speed, and vehicle length, are calculated. Microwave sensors that utilize </w:t>
      </w:r>
      <w:r w:rsidR="00C653D2">
        <w:t xml:space="preserve">the </w:t>
      </w:r>
      <w:r w:rsidRPr="00220AFE">
        <w:t xml:space="preserve">Doppler principle analyze the frequency of the received signal. The frequency is decreased by a vehicle moving away from the radar and increased by a vehicle moving toward the radar. Vehicle passage or count is denoted by the presence of the frequency shift. Vehicle presence cannot be measured with the constant frequency waveform since only moving vehicles are detected. </w:t>
      </w:r>
    </w:p>
    <w:p w14:paraId="02A4F286" w14:textId="2FDC3CE5" w:rsidR="00D17BF1" w:rsidRDefault="008822A4">
      <w:pPr>
        <w:pStyle w:val="TMGBullet"/>
        <w:contextualSpacing w:val="0"/>
      </w:pPr>
      <w:r w:rsidRPr="00220AFE">
        <w:t>Passive Infrared Sensor –</w:t>
      </w:r>
      <w:r w:rsidR="00123F88">
        <w:t xml:space="preserve"> </w:t>
      </w:r>
      <w:r w:rsidRPr="00220AFE">
        <w:t>detect</w:t>
      </w:r>
      <w:r w:rsidR="005D3505">
        <w:t>s</w:t>
      </w:r>
      <w:r w:rsidRPr="00220AFE">
        <w:t xml:space="preserve"> energy from two sources: 1) energy emitted from vehicles, road surfaces, and other objects in the field of view; and 2) energy emitted by the atmosphere and reflected by vehicles, road surfaces, or other objects into the sensor aperture. The energy captured by passive infrared sensors is focused by an optical system onto an infrared-sensitive material mounted at the focal plane of the optics. The infrared sensitive element converts the reflected and emitted energy into electrical signals. Real-time signal processing is used to analyze the signals for the presence of a vehicle. The sensors are mounted overhead or in a side-looking configuration to view approaching or departing traffic. Infrared sensors are used for signal control; volume, speed, and class measurement; detection of pedestrians in crosswalks; and transmission of traffic information to motorists.</w:t>
      </w:r>
    </w:p>
    <w:p w14:paraId="2F18DF5B" w14:textId="77777777" w:rsidR="00D17BF1" w:rsidRDefault="00D17BF1">
      <w:pPr>
        <w:widowControl/>
        <w:suppressAutoHyphens w:val="0"/>
        <w:autoSpaceDE/>
        <w:autoSpaceDN/>
        <w:adjustRightInd/>
        <w:spacing w:after="160" w:line="259" w:lineRule="auto"/>
        <w:jc w:val="left"/>
        <w:textAlignment w:val="auto"/>
        <w:rPr>
          <w:color w:val="auto"/>
        </w:rPr>
      </w:pPr>
      <w:r>
        <w:br w:type="page"/>
      </w:r>
    </w:p>
    <w:p w14:paraId="0CF8A4D2" w14:textId="1F92FC46" w:rsidR="008822A4" w:rsidRPr="00220AFE" w:rsidRDefault="008822A4">
      <w:pPr>
        <w:pStyle w:val="TMGBullet"/>
        <w:contextualSpacing w:val="0"/>
      </w:pPr>
      <w:r w:rsidRPr="00220AFE">
        <w:lastRenderedPageBreak/>
        <w:t xml:space="preserve">Passive Acoustic Array Sensors – </w:t>
      </w:r>
      <w:r w:rsidR="005D3505">
        <w:t>m</w:t>
      </w:r>
      <w:r w:rsidRPr="00C033BF">
        <w:t>easure</w:t>
      </w:r>
      <w:r w:rsidR="005D3505">
        <w:t>s</w:t>
      </w:r>
      <w:r w:rsidRPr="00220AFE">
        <w:t xml:space="preserve"> vehicle passage, presence, and speed by detecting acoustic energy or audible sounds produced by vehicular traffic from a variety of sources within each vehicle and from the interaction of a vehicle’s tires with the road. When a vehicle passes through the detection zone, an increase in sound energy is recognized by the signal-processing algorithm and a vehicle presence signal is generated. When the vehicle leaves the detection zone, the sound energy level drops below the detection threshold, and the vehicle presence signal is terminated.</w:t>
      </w:r>
    </w:p>
    <w:p w14:paraId="39D7D13A" w14:textId="64E4BE8D" w:rsidR="008822A4" w:rsidRPr="00220AFE" w:rsidRDefault="008822A4">
      <w:pPr>
        <w:pStyle w:val="TMGBullet"/>
        <w:contextualSpacing w:val="0"/>
      </w:pPr>
      <w:r w:rsidRPr="00220AFE">
        <w:t xml:space="preserve">Ultrasonic Sensor – </w:t>
      </w:r>
      <w:r w:rsidR="00347D4A">
        <w:t>t</w:t>
      </w:r>
      <w:r w:rsidRPr="00220AFE">
        <w:t>ransmit</w:t>
      </w:r>
      <w:r w:rsidR="00347D4A">
        <w:t>s</w:t>
      </w:r>
      <w:r w:rsidRPr="00220AFE">
        <w:t xml:space="preserve"> pressure waves of sound energy at a frequency between 25 and 50 kHz, which is above the human audible range. Most ultrasonic sensors operate with pulse waveforms and provide vehicle count, presence, and occupancy information.</w:t>
      </w:r>
    </w:p>
    <w:p w14:paraId="27826CBD" w14:textId="466AF509" w:rsidR="008822A4" w:rsidRPr="00220AFE" w:rsidRDefault="008822A4">
      <w:pPr>
        <w:pStyle w:val="TMGBullet"/>
        <w:contextualSpacing w:val="0"/>
      </w:pPr>
      <w:r w:rsidRPr="00220AFE">
        <w:t>Laser Radar Sensor –</w:t>
      </w:r>
      <w:r w:rsidR="00FE48E0">
        <w:t xml:space="preserve"> </w:t>
      </w:r>
      <w:r w:rsidRPr="00220AFE">
        <w:t>transmit energy in the near infrared spectrum. Models are available that scan infrared beams over multiple lanes or use multiple laser diode sources to emit a number of fixed beams that cover the desired lane width. Laser radars provide vehicle presence at traffic signals, volume, speed, length assessment, queue measurement, and classification.</w:t>
      </w:r>
    </w:p>
    <w:p w14:paraId="51924E93" w14:textId="366F1F1C" w:rsidR="008822A4" w:rsidRPr="00220AFE" w:rsidRDefault="008822A4">
      <w:pPr>
        <w:pStyle w:val="TMGBullet"/>
        <w:contextualSpacing w:val="0"/>
      </w:pPr>
      <w:r w:rsidRPr="00220AFE">
        <w:t xml:space="preserve">Video Detection System – </w:t>
      </w:r>
      <w:r w:rsidR="00347D4A">
        <w:t>t</w:t>
      </w:r>
      <w:r w:rsidRPr="00220AFE">
        <w:t>ypically consist</w:t>
      </w:r>
      <w:r w:rsidR="00347D4A">
        <w:t>s</w:t>
      </w:r>
      <w:r w:rsidRPr="00220AFE">
        <w:t xml:space="preserve"> of one or more cameras, a microprocessor-based computer for digitizing and analyzing the imagery, and software for interpreting the images and converting them into traffic flow data. </w:t>
      </w:r>
    </w:p>
    <w:p w14:paraId="74DD34EA" w14:textId="6D2F83AA" w:rsidR="008822A4" w:rsidRPr="00220AFE" w:rsidRDefault="008822A4">
      <w:pPr>
        <w:pStyle w:val="TMGBullet"/>
        <w:contextualSpacing w:val="0"/>
      </w:pPr>
      <w:r w:rsidRPr="00220AFE">
        <w:t xml:space="preserve">Pneumatic </w:t>
      </w:r>
      <w:r w:rsidR="00347D4A">
        <w:t>T</w:t>
      </w:r>
      <w:r w:rsidRPr="00220AFE">
        <w:t>ube – uses an air switch connected to the end of the rubber road tubes to detect short burst(s) of air from a vehicle that rolls over the tube. The data logger then uses pre-defined criteria (e.g., axle spacing, speed) to determine whether a valid vehicle type has passed over the tubes. This detector is widely used for portable traffic monitoring.</w:t>
      </w:r>
      <w:r w:rsidR="004D4172">
        <w:t xml:space="preserve"> </w:t>
      </w:r>
      <w:r w:rsidRPr="00220AFE">
        <w:t>When two tubes are placed in parallel on the roadway, the signal results provide information sufficient to classify vehicles using detected axle spacing under free flow traffic conditions.</w:t>
      </w:r>
    </w:p>
    <w:p w14:paraId="6543FB34" w14:textId="6009409F" w:rsidR="008822A4" w:rsidRPr="00220AFE" w:rsidRDefault="008822A4">
      <w:pPr>
        <w:pStyle w:val="TMGBullet"/>
        <w:contextualSpacing w:val="0"/>
      </w:pPr>
      <w:r w:rsidRPr="00220AFE">
        <w:t xml:space="preserve">Piezoelectric </w:t>
      </w:r>
      <w:r w:rsidR="00347D4A">
        <w:t>S</w:t>
      </w:r>
      <w:r w:rsidRPr="00220AFE">
        <w:t>ensor – detects a vehicle axle</w:t>
      </w:r>
      <w:r w:rsidR="00C033BF">
        <w:t>’</w:t>
      </w:r>
      <w:r w:rsidRPr="00220AFE">
        <w:t>s passage using a change in the sensor’s voltage that is directly proportional to the pressure applied by the vehicle wheel on the sensor. Piezoelectric sensors are used independently to detect and classify vehicles or in conjunction with loop inductors to increase classification accuracy by providing overall (loop) length. Piezoelectric sensors, in combination with passive infrared technologies, are capable of detecting bicycle</w:t>
      </w:r>
      <w:r w:rsidR="00C033BF">
        <w:t>s</w:t>
      </w:r>
      <w:r w:rsidRPr="00220AFE">
        <w:t xml:space="preserve"> in mixed pedestrian and bicycle traffic.</w:t>
      </w:r>
      <w:r w:rsidR="004D4172">
        <w:t xml:space="preserve"> </w:t>
      </w:r>
      <w:r w:rsidRPr="00220AFE">
        <w:t>Piezo sensors are also used for WIM sensing.</w:t>
      </w:r>
    </w:p>
    <w:p w14:paraId="7C08E004" w14:textId="5319118A" w:rsidR="008822A4" w:rsidRPr="00220AFE" w:rsidRDefault="008822A4">
      <w:pPr>
        <w:pStyle w:val="TMGBullet"/>
        <w:contextualSpacing w:val="0"/>
      </w:pPr>
      <w:r w:rsidRPr="00220AFE">
        <w:t xml:space="preserve">Fiberoptic </w:t>
      </w:r>
      <w:r w:rsidR="00347D4A">
        <w:t>S</w:t>
      </w:r>
      <w:r w:rsidRPr="00220AFE">
        <w:t>ensor – detects changes of a tightened optical fiber when a vehicle passes over the sensor embedded in the road surface. This sensor is capable of vehicle detection, classification, and weighing.</w:t>
      </w:r>
    </w:p>
    <w:p w14:paraId="7B86E965" w14:textId="6BB3F76B" w:rsidR="008822A4" w:rsidRPr="00220AFE" w:rsidRDefault="008822A4">
      <w:pPr>
        <w:pStyle w:val="TMGBullet"/>
        <w:contextualSpacing w:val="0"/>
      </w:pPr>
      <w:r w:rsidRPr="00220AFE">
        <w:t xml:space="preserve">Bending </w:t>
      </w:r>
      <w:r w:rsidR="00347D4A">
        <w:t>P</w:t>
      </w:r>
      <w:r w:rsidRPr="00220AFE">
        <w:t>late for WIM – utilizes strain gauges bonded to the underside of the plate to collect loading data. As</w:t>
      </w:r>
      <w:r w:rsidR="00CC262E">
        <w:t> </w:t>
      </w:r>
      <w:r w:rsidRPr="00220AFE">
        <w:t>vehicle axles pass over the bending plate, the system measures the strain on the plate at highway speeds and calculates the load required to induce that level of strain.</w:t>
      </w:r>
    </w:p>
    <w:p w14:paraId="01B4AFEC" w14:textId="69E66238" w:rsidR="008822A4" w:rsidRPr="00220AFE" w:rsidRDefault="008822A4">
      <w:pPr>
        <w:pStyle w:val="TMGBullet"/>
        <w:contextualSpacing w:val="0"/>
      </w:pPr>
      <w:r w:rsidRPr="00220AFE">
        <w:t xml:space="preserve">Load </w:t>
      </w:r>
      <w:r w:rsidR="00347D4A">
        <w:t>C</w:t>
      </w:r>
      <w:r w:rsidRPr="00220AFE">
        <w:t>ell for WIM – utilizes two scales to detect an axle and to weigh both the right and left side of the axle at highway speeds per axle passage. The load cell sensor utilizes transducer(s)</w:t>
      </w:r>
      <w:r w:rsidR="00CA00D4">
        <w:t>,</w:t>
      </w:r>
      <w:r w:rsidRPr="00220AFE">
        <w:t xml:space="preserve"> which creates an electrical signal whose amplitude is directly proportional to the force being measured. The system records the weights measured by each scale and sums them to obtain the axle weight.</w:t>
      </w:r>
    </w:p>
    <w:p w14:paraId="0BCD9753" w14:textId="0B195B3E" w:rsidR="008822A4" w:rsidRPr="00220AFE" w:rsidRDefault="008822A4">
      <w:pPr>
        <w:pStyle w:val="TMGBullet"/>
        <w:contextualSpacing w:val="0"/>
      </w:pPr>
      <w:r w:rsidRPr="00220AFE">
        <w:t xml:space="preserve">Strain </w:t>
      </w:r>
      <w:r w:rsidR="00347D4A">
        <w:t>G</w:t>
      </w:r>
      <w:r w:rsidRPr="00220AFE">
        <w:t xml:space="preserve">auge </w:t>
      </w:r>
      <w:r w:rsidR="00347D4A">
        <w:t>S</w:t>
      </w:r>
      <w:r w:rsidRPr="00220AFE">
        <w:t xml:space="preserve">trip </w:t>
      </w:r>
      <w:r w:rsidR="00347D4A">
        <w:t>S</w:t>
      </w:r>
      <w:r w:rsidRPr="00220AFE">
        <w:t xml:space="preserve">ensor for WIM – uses strain gauge load cell technology. As a vehicle passes over the WIM sensor, the system measures the vertical strain placed on the sensor by the weight of the wheel. The resultant change in the electronic properties of the strain gauge load cells </w:t>
      </w:r>
      <w:r w:rsidR="00CA00D4">
        <w:t>is</w:t>
      </w:r>
      <w:r w:rsidR="00CA00D4" w:rsidRPr="00220AFE">
        <w:t xml:space="preserve"> </w:t>
      </w:r>
      <w:r w:rsidRPr="00220AFE">
        <w:t>translated into the dynamic load that is used by the software to estimate wheel, axle, and vehicle weight.</w:t>
      </w:r>
    </w:p>
    <w:p w14:paraId="69331389" w14:textId="4652F7BA" w:rsidR="008822A4" w:rsidRPr="00220AFE" w:rsidRDefault="008822A4">
      <w:pPr>
        <w:pStyle w:val="TMGBullet"/>
        <w:contextualSpacing w:val="0"/>
      </w:pPr>
      <w:r w:rsidRPr="00220AFE">
        <w:t>Bridge WIM (B-WIM) – uses strain transducers mounted to the underside of culverts, bridge decks, or bridge structural members. These deformations of bridge structural members detected by the strain sensors are analyzed to measure the axle loads of passing traffic.</w:t>
      </w:r>
    </w:p>
    <w:p w14:paraId="67814B12" w14:textId="7B4E5E46" w:rsidR="008822A4" w:rsidRPr="00220AFE" w:rsidRDefault="008822A4">
      <w:pPr>
        <w:pStyle w:val="TMGBullet"/>
        <w:contextualSpacing w:val="0"/>
      </w:pPr>
      <w:r w:rsidRPr="00220AFE">
        <w:t>Seismic sensors – operates by detecting the passage of energy waves through the ground caused by feet, bicycle tires, or wheels on micromobility devices. These sensors are most common on unpaved trails or paths.</w:t>
      </w:r>
    </w:p>
    <w:p w14:paraId="6629DA10" w14:textId="5DEECFD9" w:rsidR="008822A4" w:rsidRPr="00220AFE" w:rsidRDefault="008822A4">
      <w:pPr>
        <w:pStyle w:val="TMGBullet"/>
        <w:contextualSpacing w:val="0"/>
      </w:pPr>
      <w:r w:rsidRPr="00220AFE">
        <w:t>Pressure plate – detects vehicles, micromobility devices, or pedestrians by detecting changes in force (i.e., weight), much like an electronic bathroom scale. These sensors are most common on unpaved trails or paths.</w:t>
      </w:r>
    </w:p>
    <w:p w14:paraId="6E9F808F" w14:textId="77777777" w:rsidR="008822A4" w:rsidRPr="00F468E1" w:rsidRDefault="008822A4">
      <w:pPr>
        <w:pStyle w:val="Heading3"/>
      </w:pPr>
      <w:bookmarkStart w:id="682" w:name="_Toc52785397"/>
      <w:bookmarkStart w:id="683" w:name="_Toc63428125"/>
      <w:bookmarkStart w:id="684" w:name="_Toc118205586"/>
      <w:r w:rsidRPr="00F468E1">
        <w:lastRenderedPageBreak/>
        <w:t>Sensor Technology Combinations</w:t>
      </w:r>
      <w:bookmarkEnd w:id="682"/>
      <w:bookmarkEnd w:id="683"/>
      <w:bookmarkEnd w:id="684"/>
    </w:p>
    <w:bookmarkEnd w:id="681"/>
    <w:p w14:paraId="7813EB9A" w14:textId="24FC76CA" w:rsidR="008822A4" w:rsidRPr="00855E7E" w:rsidRDefault="008822A4" w:rsidP="00A35EAF">
      <w:pPr>
        <w:pStyle w:val="BodyText"/>
      </w:pPr>
      <w:r w:rsidRPr="00855E7E">
        <w:t xml:space="preserve">Many </w:t>
      </w:r>
      <w:r w:rsidR="00CA00D4">
        <w:t>S</w:t>
      </w:r>
      <w:r w:rsidRPr="00855E7E">
        <w:t xml:space="preserve">tate highway agencies have adopted a policy to “collect data once and use it multiple times.” This approach leads to traffic monitoring site designs that combine multiple sensor technologies to achieve more comprehensive traffic data collection satisfying needs of multiple customers/data users. </w:t>
      </w:r>
    </w:p>
    <w:p w14:paraId="2F426450" w14:textId="77F67E4C" w:rsidR="008822A4" w:rsidRPr="00855E7E" w:rsidRDefault="008822A4" w:rsidP="00A35EAF">
      <w:pPr>
        <w:pStyle w:val="BodyText"/>
      </w:pPr>
      <w:r w:rsidRPr="00855E7E">
        <w:t xml:space="preserve">Various types of sensors are used in combination, for traffic management, law enforcement, and other applications. Examples of sensor technology combinations include ultrasonic-infrared-microwave combinations, inductive loops enhanced with magnetic signature detector card, WIM sensor and inductive loop combinations, </w:t>
      </w:r>
      <w:r w:rsidR="00CA00D4">
        <w:t xml:space="preserve">and </w:t>
      </w:r>
      <w:r w:rsidRPr="00855E7E">
        <w:t xml:space="preserve">WIM sensors combined with license plate and DOT registration number video readers. </w:t>
      </w:r>
      <w:r w:rsidR="00CA00D4">
        <w:t>A c</w:t>
      </w:r>
      <w:r w:rsidRPr="00855E7E">
        <w:t>ombination of inductive loops with axle sensors or magnetic signature detector card improves quality of vehicle classification.</w:t>
      </w:r>
    </w:p>
    <w:p w14:paraId="210F2429" w14:textId="77777777" w:rsidR="008822A4" w:rsidRPr="00855E7E" w:rsidRDefault="008822A4" w:rsidP="0010467B">
      <w:pPr>
        <w:pStyle w:val="BodyText"/>
      </w:pPr>
      <w:r w:rsidRPr="00855E7E">
        <w:t xml:space="preserve">An example of sensor technology combinations that have been widely used over the years is a combination of inductive loops and axle sensors. </w:t>
      </w:r>
      <w:r w:rsidRPr="0010467B">
        <w:t>That</w:t>
      </w:r>
      <w:r w:rsidRPr="00855E7E">
        <w:t xml:space="preserve"> sensor combination provides opportunities to collect the following data at the same site:</w:t>
      </w:r>
    </w:p>
    <w:p w14:paraId="5CEAFD3A" w14:textId="77777777" w:rsidR="008822A4" w:rsidRPr="00220AFE" w:rsidRDefault="008822A4">
      <w:pPr>
        <w:pStyle w:val="TMGBullet"/>
      </w:pPr>
      <w:r w:rsidRPr="00220AFE">
        <w:t>Individual vehicle records</w:t>
      </w:r>
    </w:p>
    <w:p w14:paraId="3E018D16" w14:textId="77777777" w:rsidR="008822A4" w:rsidRPr="00220AFE" w:rsidRDefault="008822A4">
      <w:pPr>
        <w:pStyle w:val="TMGBullet"/>
      </w:pPr>
      <w:r w:rsidRPr="00220AFE">
        <w:t>Vehicle volumes</w:t>
      </w:r>
    </w:p>
    <w:p w14:paraId="5C8E57DD" w14:textId="77777777" w:rsidR="008822A4" w:rsidRPr="00220AFE" w:rsidRDefault="008822A4">
      <w:pPr>
        <w:pStyle w:val="TMGBullet"/>
      </w:pPr>
      <w:r w:rsidRPr="00220AFE">
        <w:t>Vehicle classification (axle based)</w:t>
      </w:r>
    </w:p>
    <w:p w14:paraId="5BCD8F14" w14:textId="77777777" w:rsidR="008822A4" w:rsidRPr="00220AFE" w:rsidRDefault="008822A4">
      <w:pPr>
        <w:pStyle w:val="TMGBullet"/>
      </w:pPr>
      <w:r w:rsidRPr="00220AFE">
        <w:t>Vehicle length</w:t>
      </w:r>
    </w:p>
    <w:p w14:paraId="77F6CB47" w14:textId="77777777" w:rsidR="008822A4" w:rsidRPr="00220AFE" w:rsidRDefault="008822A4">
      <w:pPr>
        <w:pStyle w:val="TMGBullet"/>
      </w:pPr>
      <w:r w:rsidRPr="00220AFE">
        <w:t>Vehicle speed</w:t>
      </w:r>
    </w:p>
    <w:p w14:paraId="51E15AE7" w14:textId="77777777" w:rsidR="008822A4" w:rsidRPr="00220AFE" w:rsidRDefault="008822A4">
      <w:pPr>
        <w:pStyle w:val="TMGBullet"/>
      </w:pPr>
      <w:r w:rsidRPr="00220AFE">
        <w:t>Axle spacing</w:t>
      </w:r>
    </w:p>
    <w:p w14:paraId="4D69305A" w14:textId="77777777" w:rsidR="008822A4" w:rsidRPr="00220AFE" w:rsidRDefault="008822A4">
      <w:pPr>
        <w:pStyle w:val="TMGBullet"/>
      </w:pPr>
      <w:r w:rsidRPr="00220AFE">
        <w:t>Axle weights</w:t>
      </w:r>
    </w:p>
    <w:p w14:paraId="5770BDC4" w14:textId="77777777" w:rsidR="008822A4" w:rsidRPr="00220AFE" w:rsidRDefault="008822A4">
      <w:pPr>
        <w:pStyle w:val="TMGBullet"/>
      </w:pPr>
      <w:r w:rsidRPr="00220AFE">
        <w:t>Gap</w:t>
      </w:r>
    </w:p>
    <w:p w14:paraId="1B2CF693" w14:textId="77777777" w:rsidR="008822A4" w:rsidRPr="00220AFE" w:rsidRDefault="008822A4">
      <w:pPr>
        <w:pStyle w:val="TMGBullet"/>
      </w:pPr>
      <w:r w:rsidRPr="00220AFE">
        <w:t>Headway</w:t>
      </w:r>
    </w:p>
    <w:p w14:paraId="26FC2E3C" w14:textId="77777777" w:rsidR="008822A4" w:rsidRPr="00220AFE" w:rsidRDefault="008822A4">
      <w:pPr>
        <w:pStyle w:val="TMGBullet"/>
      </w:pPr>
      <w:r w:rsidRPr="00220AFE">
        <w:t>Lane occupancy</w:t>
      </w:r>
    </w:p>
    <w:p w14:paraId="33867C8E" w14:textId="55AE5310" w:rsidR="008822A4" w:rsidRPr="00855E7E" w:rsidRDefault="008822A4" w:rsidP="00A35EAF">
      <w:pPr>
        <w:pStyle w:val="BodyText"/>
      </w:pPr>
      <w:r w:rsidRPr="00855E7E">
        <w:t xml:space="preserve">When the loop and axle sensor combination is coupled with the roadside camera, they </w:t>
      </w:r>
      <w:r w:rsidR="00631A57" w:rsidRPr="00855E7E">
        <w:t>can collect</w:t>
      </w:r>
      <w:r w:rsidRPr="00855E7E">
        <w:t xml:space="preserve"> even more information about each passing vehicle, including body type (associated with carrying specifics commodities), license plate, and U.S. DOT vehicle registration number (for commercial trucks). </w:t>
      </w:r>
    </w:p>
    <w:p w14:paraId="4965155F" w14:textId="465820BF" w:rsidR="008822A4" w:rsidRPr="00855E7E" w:rsidRDefault="00CA00D4" w:rsidP="00A35EAF">
      <w:pPr>
        <w:pStyle w:val="BodyText"/>
      </w:pPr>
      <w:r>
        <w:t>A c</w:t>
      </w:r>
      <w:r w:rsidR="008822A4" w:rsidRPr="00855E7E">
        <w:t>ombination of WIM and video monitoring equipment allows collection of the extended dataset</w:t>
      </w:r>
      <w:r w:rsidR="004D12B9">
        <w:t>,</w:t>
      </w:r>
      <w:r w:rsidR="008822A4" w:rsidRPr="00855E7E">
        <w:t xml:space="preserve"> providing additional information of interest about heavy vehicles, including license plate, U</w:t>
      </w:r>
      <w:r w:rsidR="004D12B9">
        <w:t>.</w:t>
      </w:r>
      <w:r w:rsidR="008822A4" w:rsidRPr="00855E7E">
        <w:t>S</w:t>
      </w:r>
      <w:r w:rsidR="004D12B9">
        <w:t>.</w:t>
      </w:r>
      <w:r w:rsidR="008822A4" w:rsidRPr="00855E7E">
        <w:t xml:space="preserve"> DOT registration information, body type, cargo trailer configuration, axle arrangement details (such as lifted axles).</w:t>
      </w:r>
    </w:p>
    <w:p w14:paraId="45F1C9C8" w14:textId="40A1084F" w:rsidR="008822A4" w:rsidRPr="00855E7E" w:rsidRDefault="008822A4" w:rsidP="0010467B">
      <w:pPr>
        <w:pStyle w:val="BodyText"/>
      </w:pPr>
      <w:r w:rsidRPr="00855E7E">
        <w:t xml:space="preserve">Other examples of technology </w:t>
      </w:r>
      <w:r w:rsidRPr="0010467B">
        <w:t>combinations</w:t>
      </w:r>
      <w:r w:rsidRPr="00855E7E">
        <w:t>, common for detecting and classifying micromobility, include the following combinations:</w:t>
      </w:r>
    </w:p>
    <w:p w14:paraId="67D6E98D" w14:textId="77777777" w:rsidR="008822A4" w:rsidRPr="00855E7E" w:rsidRDefault="008822A4" w:rsidP="00B7187C">
      <w:pPr>
        <w:numPr>
          <w:ilvl w:val="0"/>
          <w:numId w:val="24"/>
        </w:numPr>
        <w:tabs>
          <w:tab w:val="clear" w:pos="1980"/>
          <w:tab w:val="left" w:pos="720"/>
          <w:tab w:val="num" w:pos="1620"/>
          <w:tab w:val="num" w:pos="2520"/>
        </w:tabs>
        <w:suppressAutoHyphens w:val="0"/>
        <w:autoSpaceDE/>
        <w:autoSpaceDN/>
        <w:spacing w:after="120"/>
        <w:ind w:left="648"/>
        <w:contextualSpacing/>
        <w:textAlignment w:val="baseline"/>
        <w:rPr>
          <w:color w:val="auto"/>
        </w:rPr>
      </w:pPr>
      <w:r w:rsidRPr="00855E7E">
        <w:rPr>
          <w:color w:val="auto"/>
        </w:rPr>
        <w:t>Video and infrared sensors</w:t>
      </w:r>
    </w:p>
    <w:p w14:paraId="3ACAB5A4" w14:textId="07271384" w:rsidR="008822A4" w:rsidRPr="00855E7E" w:rsidRDefault="008822A4" w:rsidP="00B7187C">
      <w:pPr>
        <w:numPr>
          <w:ilvl w:val="0"/>
          <w:numId w:val="24"/>
        </w:numPr>
        <w:tabs>
          <w:tab w:val="clear" w:pos="1980"/>
          <w:tab w:val="left" w:pos="720"/>
          <w:tab w:val="num" w:pos="1620"/>
          <w:tab w:val="num" w:pos="2520"/>
        </w:tabs>
        <w:suppressAutoHyphens w:val="0"/>
        <w:autoSpaceDE/>
        <w:autoSpaceDN/>
        <w:spacing w:after="120"/>
        <w:ind w:left="648"/>
        <w:contextualSpacing/>
        <w:textAlignment w:val="baseline"/>
        <w:rPr>
          <w:color w:val="auto"/>
        </w:rPr>
      </w:pPr>
      <w:r w:rsidRPr="00855E7E">
        <w:rPr>
          <w:color w:val="auto"/>
        </w:rPr>
        <w:t xml:space="preserve">Video and </w:t>
      </w:r>
      <w:r>
        <w:rPr>
          <w:color w:val="auto"/>
        </w:rPr>
        <w:t xml:space="preserve">pneumatic </w:t>
      </w:r>
      <w:r w:rsidRPr="00855E7E">
        <w:rPr>
          <w:color w:val="auto"/>
        </w:rPr>
        <w:t>road tubes</w:t>
      </w:r>
      <w:r w:rsidR="004D4172">
        <w:rPr>
          <w:color w:val="auto"/>
        </w:rPr>
        <w:t xml:space="preserve"> </w:t>
      </w:r>
    </w:p>
    <w:p w14:paraId="0DA7323E" w14:textId="77777777" w:rsidR="008822A4" w:rsidRPr="00855E7E" w:rsidRDefault="008822A4" w:rsidP="00B7187C">
      <w:pPr>
        <w:numPr>
          <w:ilvl w:val="0"/>
          <w:numId w:val="24"/>
        </w:numPr>
        <w:tabs>
          <w:tab w:val="clear" w:pos="1980"/>
          <w:tab w:val="left" w:pos="720"/>
          <w:tab w:val="num" w:pos="1620"/>
          <w:tab w:val="num" w:pos="2520"/>
        </w:tabs>
        <w:suppressAutoHyphens w:val="0"/>
        <w:autoSpaceDE/>
        <w:autoSpaceDN/>
        <w:spacing w:after="120"/>
        <w:ind w:left="648"/>
        <w:contextualSpacing/>
        <w:textAlignment w:val="baseline"/>
        <w:rPr>
          <w:color w:val="auto"/>
        </w:rPr>
      </w:pPr>
      <w:r w:rsidRPr="00855E7E">
        <w:rPr>
          <w:color w:val="auto"/>
        </w:rPr>
        <w:t>Infrared sensors and inductance loop</w:t>
      </w:r>
    </w:p>
    <w:p w14:paraId="623F29F2" w14:textId="77777777" w:rsidR="008822A4" w:rsidRPr="00855E7E" w:rsidRDefault="008822A4" w:rsidP="00B7187C">
      <w:pPr>
        <w:numPr>
          <w:ilvl w:val="0"/>
          <w:numId w:val="24"/>
        </w:numPr>
        <w:tabs>
          <w:tab w:val="clear" w:pos="1980"/>
          <w:tab w:val="left" w:pos="720"/>
          <w:tab w:val="num" w:pos="1620"/>
          <w:tab w:val="num" w:pos="2520"/>
        </w:tabs>
        <w:suppressAutoHyphens w:val="0"/>
        <w:autoSpaceDE/>
        <w:autoSpaceDN/>
        <w:spacing w:after="120"/>
        <w:ind w:left="648"/>
        <w:contextualSpacing/>
        <w:textAlignment w:val="baseline"/>
        <w:rPr>
          <w:color w:val="auto"/>
        </w:rPr>
      </w:pPr>
      <w:r w:rsidRPr="00855E7E">
        <w:rPr>
          <w:color w:val="auto"/>
        </w:rPr>
        <w:t xml:space="preserve">Infrared sensors and piezo axle sensors </w:t>
      </w:r>
    </w:p>
    <w:p w14:paraId="2C391650" w14:textId="77777777" w:rsidR="008822A4" w:rsidRPr="00F468E1" w:rsidRDefault="008822A4">
      <w:pPr>
        <w:pStyle w:val="Heading3"/>
      </w:pPr>
      <w:bookmarkStart w:id="685" w:name="_Toc52785398"/>
      <w:bookmarkStart w:id="686" w:name="_Toc63428126"/>
      <w:bookmarkStart w:id="687" w:name="_Toc118205587"/>
      <w:bookmarkStart w:id="688" w:name="_Hlk42786854"/>
      <w:r w:rsidRPr="00F468E1">
        <w:t>Strengths And Weaknesses Of Commercially Available Sensor Technologies</w:t>
      </w:r>
      <w:bookmarkEnd w:id="685"/>
      <w:bookmarkEnd w:id="686"/>
      <w:bookmarkEnd w:id="687"/>
    </w:p>
    <w:bookmarkEnd w:id="688"/>
    <w:p w14:paraId="2519B608" w14:textId="3DED1208" w:rsidR="008822A4" w:rsidRPr="00855E7E" w:rsidRDefault="008822A4" w:rsidP="00A35EAF">
      <w:pPr>
        <w:pStyle w:val="BodyText"/>
        <w:rPr>
          <w:i/>
          <w:iCs/>
        </w:rPr>
      </w:pPr>
      <w:r w:rsidRPr="00855E7E">
        <w:t xml:space="preserve">This section describes the kinds of technologies that are available to support traffic monitoring programs, including the general strengths and weaknesses of each of those technologies. An additional source of information on the selection of traffic monitoring equipment is Chapter 3 of the report </w:t>
      </w:r>
      <w:r w:rsidRPr="00855E7E">
        <w:rPr>
          <w:i/>
          <w:iCs/>
        </w:rPr>
        <w:t>AASHTO Guidelines for Traffic Data Programs</w:t>
      </w:r>
      <w:r w:rsidRPr="00855E7E">
        <w:t xml:space="preserve"> (</w:t>
      </w:r>
      <w:r w:rsidR="0071341E">
        <w:t xml:space="preserve">AASHTO </w:t>
      </w:r>
      <w:r w:rsidRPr="00855E7E">
        <w:t>2009).</w:t>
      </w:r>
    </w:p>
    <w:p w14:paraId="51BD5E23" w14:textId="7B2AC414" w:rsidR="0047629D" w:rsidRDefault="00411B1F" w:rsidP="00A35EAF">
      <w:pPr>
        <w:pStyle w:val="BodyText"/>
      </w:pPr>
      <w:r>
        <w:fldChar w:fldCharType="begin"/>
      </w:r>
      <w:r>
        <w:instrText xml:space="preserve"> REF _Ref114749773 \h </w:instrText>
      </w:r>
      <w:r>
        <w:fldChar w:fldCharType="separate"/>
      </w:r>
      <w:r w:rsidR="00C07DF9" w:rsidRPr="00855E7E">
        <w:t xml:space="preserve">Table </w:t>
      </w:r>
      <w:r w:rsidR="00C07DF9">
        <w:rPr>
          <w:noProof/>
        </w:rPr>
        <w:t>2</w:t>
      </w:r>
      <w:r w:rsidR="00C07DF9">
        <w:noBreakHyphen/>
      </w:r>
      <w:r w:rsidR="00C07DF9">
        <w:rPr>
          <w:noProof/>
        </w:rPr>
        <w:t>2</w:t>
      </w:r>
      <w:r>
        <w:fldChar w:fldCharType="end"/>
      </w:r>
      <w:r w:rsidR="008822A4" w:rsidRPr="00FD2F5D">
        <w:t xml:space="preserve"> describes the strengths and weaknesses of the types of technology used for motorized vehicle presence detection. Presence detection refers to the ability of a vehicle detector to sense that a vehicle, whether moving or stopped, has appeared in its zone of detection. </w:t>
      </w:r>
      <w:r>
        <w:fldChar w:fldCharType="begin"/>
      </w:r>
      <w:r>
        <w:instrText xml:space="preserve"> REF _Ref114749774 \h </w:instrText>
      </w:r>
      <w:r>
        <w:fldChar w:fldCharType="separate"/>
      </w:r>
      <w:r w:rsidR="00C07DF9" w:rsidRPr="00855E7E">
        <w:t xml:space="preserve">Table </w:t>
      </w:r>
      <w:r w:rsidR="00C07DF9">
        <w:rPr>
          <w:noProof/>
        </w:rPr>
        <w:t>2</w:t>
      </w:r>
      <w:r w:rsidR="00C07DF9">
        <w:noBreakHyphen/>
      </w:r>
      <w:r w:rsidR="00C07DF9">
        <w:rPr>
          <w:noProof/>
        </w:rPr>
        <w:t>3</w:t>
      </w:r>
      <w:r>
        <w:fldChar w:fldCharType="end"/>
      </w:r>
      <w:r w:rsidR="008822A4" w:rsidRPr="00FD2F5D">
        <w:t xml:space="preserve"> describes the strengths and weaknesses of the sensors used for weighing and classifying vehicles in motion.</w:t>
      </w:r>
      <w:r w:rsidR="004D4172">
        <w:t xml:space="preserve"> </w:t>
      </w:r>
    </w:p>
    <w:p w14:paraId="666928DF" w14:textId="40BD254A" w:rsidR="008822A4" w:rsidRPr="00855E7E" w:rsidRDefault="00411B1F" w:rsidP="00A35EAF">
      <w:pPr>
        <w:pStyle w:val="BodyText"/>
      </w:pPr>
      <w:r>
        <w:fldChar w:fldCharType="begin"/>
      </w:r>
      <w:r>
        <w:instrText xml:space="preserve"> REF _Ref114749775 \h </w:instrText>
      </w:r>
      <w:r>
        <w:fldChar w:fldCharType="separate"/>
      </w:r>
      <w:r w:rsidR="00C07DF9" w:rsidRPr="00483FDF">
        <w:t xml:space="preserve">Table </w:t>
      </w:r>
      <w:r w:rsidR="00C07DF9">
        <w:rPr>
          <w:noProof/>
        </w:rPr>
        <w:t>2</w:t>
      </w:r>
      <w:r w:rsidR="00C07DF9">
        <w:noBreakHyphen/>
      </w:r>
      <w:r w:rsidR="00C07DF9">
        <w:rPr>
          <w:noProof/>
        </w:rPr>
        <w:t>4</w:t>
      </w:r>
      <w:r>
        <w:fldChar w:fldCharType="end"/>
      </w:r>
      <w:r w:rsidR="008822A4" w:rsidRPr="00FD2F5D">
        <w:t xml:space="preserve"> describes the strengths and weaknesses of the sensors used for micromobility detection. In addition to sensor capabilities consideration, it is important to consider that even for the selected</w:t>
      </w:r>
      <w:r w:rsidR="008822A4" w:rsidRPr="00855E7E">
        <w:t xml:space="preserve"> technology</w:t>
      </w:r>
      <w:r w:rsidR="003C6501">
        <w:t>,</w:t>
      </w:r>
      <w:r w:rsidR="008822A4" w:rsidRPr="00855E7E">
        <w:t xml:space="preserve"> data accuracy varies significantly based on sensor configuration, site location, </w:t>
      </w:r>
      <w:r w:rsidR="008822A4">
        <w:t xml:space="preserve">pavement condition, </w:t>
      </w:r>
      <w:r w:rsidR="008822A4" w:rsidRPr="00855E7E">
        <w:t>installation, calibration, and maintenance practices.</w:t>
      </w:r>
      <w:r w:rsidR="004D4172">
        <w:t xml:space="preserve"> </w:t>
      </w:r>
      <w:bookmarkStart w:id="689" w:name="_Ref323457643"/>
    </w:p>
    <w:p w14:paraId="6B51D64A" w14:textId="4E8CA3A0" w:rsidR="008822A4" w:rsidRDefault="008822A4" w:rsidP="00B7187C">
      <w:pPr>
        <w:pStyle w:val="TMGTableCaption"/>
      </w:pPr>
      <w:bookmarkStart w:id="690" w:name="_Ref114749773"/>
      <w:bookmarkStart w:id="691" w:name="_Toc63428087"/>
      <w:bookmarkStart w:id="692" w:name="_Toc68874100"/>
      <w:bookmarkStart w:id="693" w:name="_Toc114474812"/>
      <w:bookmarkStart w:id="694" w:name="_Toc120631118"/>
      <w:r w:rsidRPr="00855E7E">
        <w:lastRenderedPageBreak/>
        <w:t xml:space="preserve">Table </w:t>
      </w:r>
      <w:fldSimple w:instr=" STYLEREF 1 \s ">
        <w:r w:rsidR="00C07DF9">
          <w:rPr>
            <w:noProof/>
          </w:rPr>
          <w:t>2</w:t>
        </w:r>
      </w:fldSimple>
      <w:r w:rsidR="00FE5355">
        <w:noBreakHyphen/>
      </w:r>
      <w:fldSimple w:instr=" SEQ Table \* ARABIC \s 1 ">
        <w:r w:rsidR="00C07DF9">
          <w:rPr>
            <w:noProof/>
          </w:rPr>
          <w:t>2</w:t>
        </w:r>
      </w:fldSimple>
      <w:bookmarkEnd w:id="690"/>
      <w:r w:rsidR="00E34EB1">
        <w:t>.</w:t>
      </w:r>
      <w:r w:rsidRPr="00855E7E">
        <w:t xml:space="preserve"> Strengths and Weaknesses of Commercially Available Sensor Technologies for</w:t>
      </w:r>
      <w:r w:rsidR="00B7187C">
        <w:t> </w:t>
      </w:r>
      <w:r w:rsidRPr="00855E7E">
        <w:t>Motorized</w:t>
      </w:r>
      <w:r w:rsidR="00B7187C">
        <w:t> </w:t>
      </w:r>
      <w:r w:rsidRPr="00855E7E">
        <w:t>Vehicle Detection and Counting</w:t>
      </w:r>
      <w:bookmarkEnd w:id="691"/>
      <w:bookmarkEnd w:id="692"/>
      <w:bookmarkEnd w:id="693"/>
      <w:bookmarkEnd w:id="694"/>
    </w:p>
    <w:tbl>
      <w:tblPr>
        <w:tblStyle w:val="TableGrid"/>
        <w:tblW w:w="9360" w:type="dxa"/>
        <w:jc w:val="center"/>
        <w:tblCellMar>
          <w:left w:w="86" w:type="dxa"/>
          <w:right w:w="86" w:type="dxa"/>
        </w:tblCellMar>
        <w:tblLook w:val="04A0" w:firstRow="1" w:lastRow="0" w:firstColumn="1" w:lastColumn="0" w:noHBand="0" w:noVBand="1"/>
      </w:tblPr>
      <w:tblGrid>
        <w:gridCol w:w="1493"/>
        <w:gridCol w:w="3362"/>
        <w:gridCol w:w="4505"/>
      </w:tblGrid>
      <w:tr w:rsidR="00B91AE6" w14:paraId="7701000B" w14:textId="77777777" w:rsidTr="00207990">
        <w:trPr>
          <w:tblHeader/>
          <w:jc w:val="center"/>
        </w:trPr>
        <w:tc>
          <w:tcPr>
            <w:tcW w:w="1493" w:type="dxa"/>
            <w:tcBorders>
              <w:right w:val="single" w:sz="4" w:space="0" w:color="FFFFFF" w:themeColor="background1"/>
            </w:tcBorders>
            <w:shd w:val="clear" w:color="auto" w:fill="1F3864"/>
            <w:vAlign w:val="center"/>
          </w:tcPr>
          <w:p w14:paraId="1C49E36B" w14:textId="0BCDB07C" w:rsidR="00B91AE6" w:rsidRPr="0019188C" w:rsidRDefault="00B91AE6" w:rsidP="0019188C">
            <w:pPr>
              <w:spacing w:before="20" w:after="20"/>
              <w:ind w:left="0"/>
              <w:jc w:val="center"/>
              <w:rPr>
                <w:b/>
                <w:bCs/>
                <w:color w:val="FFFFFF" w:themeColor="background1"/>
              </w:rPr>
            </w:pPr>
            <w:r w:rsidRPr="0019188C">
              <w:rPr>
                <w:b/>
                <w:bCs/>
                <w:color w:val="FFFFFF" w:themeColor="background1"/>
              </w:rPr>
              <w:t>Technology</w:t>
            </w:r>
          </w:p>
        </w:tc>
        <w:tc>
          <w:tcPr>
            <w:tcW w:w="3362" w:type="dxa"/>
            <w:tcBorders>
              <w:left w:val="single" w:sz="4" w:space="0" w:color="FFFFFF" w:themeColor="background1"/>
              <w:right w:val="single" w:sz="4" w:space="0" w:color="FFFFFF" w:themeColor="background1"/>
            </w:tcBorders>
            <w:shd w:val="clear" w:color="auto" w:fill="1F3864"/>
            <w:vAlign w:val="center"/>
          </w:tcPr>
          <w:p w14:paraId="59A64DDF" w14:textId="6CF83154" w:rsidR="00B91AE6" w:rsidRPr="0019188C" w:rsidRDefault="00B91AE6" w:rsidP="0019188C">
            <w:pPr>
              <w:spacing w:before="20" w:after="20"/>
              <w:ind w:left="0"/>
              <w:jc w:val="center"/>
              <w:rPr>
                <w:b/>
                <w:bCs/>
                <w:color w:val="FFFFFF" w:themeColor="background1"/>
              </w:rPr>
            </w:pPr>
            <w:r w:rsidRPr="0019188C">
              <w:rPr>
                <w:b/>
                <w:bCs/>
                <w:color w:val="FFFFFF" w:themeColor="background1"/>
              </w:rPr>
              <w:t>Strengths</w:t>
            </w:r>
          </w:p>
        </w:tc>
        <w:tc>
          <w:tcPr>
            <w:tcW w:w="4505" w:type="dxa"/>
            <w:tcBorders>
              <w:left w:val="single" w:sz="4" w:space="0" w:color="FFFFFF" w:themeColor="background1"/>
            </w:tcBorders>
            <w:shd w:val="clear" w:color="auto" w:fill="1F3864"/>
            <w:vAlign w:val="center"/>
          </w:tcPr>
          <w:p w14:paraId="5C064139" w14:textId="08894AC5" w:rsidR="00B91AE6" w:rsidRPr="0019188C" w:rsidRDefault="00B91AE6" w:rsidP="0019188C">
            <w:pPr>
              <w:spacing w:before="20" w:after="20"/>
              <w:ind w:left="0"/>
              <w:jc w:val="center"/>
              <w:rPr>
                <w:b/>
                <w:bCs/>
                <w:color w:val="FFFFFF" w:themeColor="background1"/>
              </w:rPr>
            </w:pPr>
            <w:r w:rsidRPr="0019188C">
              <w:rPr>
                <w:b/>
                <w:bCs/>
                <w:color w:val="FFFFFF" w:themeColor="background1"/>
              </w:rPr>
              <w:t>Weaknesses</w:t>
            </w:r>
          </w:p>
        </w:tc>
      </w:tr>
      <w:tr w:rsidR="00B91AE6" w14:paraId="1F44C645" w14:textId="77777777" w:rsidTr="00207990">
        <w:trPr>
          <w:jc w:val="center"/>
        </w:trPr>
        <w:tc>
          <w:tcPr>
            <w:tcW w:w="1493" w:type="dxa"/>
          </w:tcPr>
          <w:p w14:paraId="7C6BAC1D" w14:textId="00E43615" w:rsidR="00B91AE6" w:rsidRPr="0019188C" w:rsidRDefault="00B91AE6" w:rsidP="0019188C">
            <w:pPr>
              <w:spacing w:before="20" w:after="20"/>
              <w:ind w:left="0"/>
              <w:jc w:val="left"/>
              <w:rPr>
                <w:b/>
                <w:bCs/>
              </w:rPr>
            </w:pPr>
            <w:r w:rsidRPr="0019188C">
              <w:rPr>
                <w:b/>
                <w:bCs/>
              </w:rPr>
              <w:t xml:space="preserve">Inductive </w:t>
            </w:r>
            <w:r w:rsidR="00065FBA" w:rsidRPr="0019188C">
              <w:rPr>
                <w:b/>
                <w:bCs/>
              </w:rPr>
              <w:t>L</w:t>
            </w:r>
            <w:r w:rsidRPr="0019188C">
              <w:rPr>
                <w:b/>
                <w:bCs/>
              </w:rPr>
              <w:t>oop</w:t>
            </w:r>
          </w:p>
        </w:tc>
        <w:tc>
          <w:tcPr>
            <w:tcW w:w="3362" w:type="dxa"/>
          </w:tcPr>
          <w:p w14:paraId="0508B27F" w14:textId="77777777" w:rsidR="00B91AE6" w:rsidRPr="00855E7E" w:rsidRDefault="00B91AE6">
            <w:pPr>
              <w:pStyle w:val="TableBodyText"/>
              <w:numPr>
                <w:ilvl w:val="0"/>
                <w:numId w:val="86"/>
              </w:numPr>
              <w:spacing w:before="20" w:after="20" w:line="240" w:lineRule="auto"/>
              <w:ind w:left="216" w:hanging="216"/>
            </w:pPr>
            <w:r w:rsidRPr="00855E7E">
              <w:t>Flexible design to satisfy large variety of applications</w:t>
            </w:r>
          </w:p>
          <w:p w14:paraId="39B46E74" w14:textId="77777777" w:rsidR="00B91AE6" w:rsidRPr="00855E7E" w:rsidRDefault="00B91AE6">
            <w:pPr>
              <w:pStyle w:val="TableBodyText"/>
              <w:numPr>
                <w:ilvl w:val="0"/>
                <w:numId w:val="86"/>
              </w:numPr>
              <w:spacing w:before="20" w:after="20" w:line="240" w:lineRule="auto"/>
              <w:ind w:left="216" w:hanging="216"/>
            </w:pPr>
            <w:r w:rsidRPr="00855E7E">
              <w:t>Mature, well-understood technology, long lasting at 20+ years</w:t>
            </w:r>
          </w:p>
          <w:p w14:paraId="59FE3A72" w14:textId="77777777" w:rsidR="00B91AE6" w:rsidRPr="00855E7E" w:rsidRDefault="00B91AE6">
            <w:pPr>
              <w:pStyle w:val="TableBodyText"/>
              <w:numPr>
                <w:ilvl w:val="0"/>
                <w:numId w:val="86"/>
              </w:numPr>
              <w:spacing w:before="20" w:after="20" w:line="240" w:lineRule="auto"/>
              <w:ind w:left="216" w:hanging="216"/>
            </w:pPr>
            <w:r w:rsidRPr="00855E7E">
              <w:t>Large experience base</w:t>
            </w:r>
          </w:p>
          <w:p w14:paraId="09150D3F" w14:textId="77777777" w:rsidR="00B91AE6" w:rsidRPr="00855E7E" w:rsidRDefault="00B91AE6">
            <w:pPr>
              <w:pStyle w:val="TableBodyText"/>
              <w:numPr>
                <w:ilvl w:val="0"/>
                <w:numId w:val="86"/>
              </w:numPr>
              <w:spacing w:before="20" w:after="20" w:line="240" w:lineRule="auto"/>
              <w:ind w:left="216" w:hanging="216"/>
            </w:pPr>
            <w:r w:rsidRPr="00855E7E">
              <w:t>Provides basic traffic parameters (e.g., volume, presence, occupancy, speed, headway, and gap)</w:t>
            </w:r>
          </w:p>
          <w:p w14:paraId="07A9D799" w14:textId="77777777" w:rsidR="00B91AE6" w:rsidRPr="00855E7E" w:rsidRDefault="00B91AE6">
            <w:pPr>
              <w:pStyle w:val="TableBodyText"/>
              <w:numPr>
                <w:ilvl w:val="0"/>
                <w:numId w:val="86"/>
              </w:numPr>
              <w:spacing w:before="20" w:after="20" w:line="240" w:lineRule="auto"/>
              <w:ind w:left="216" w:hanging="216"/>
            </w:pPr>
            <w:r w:rsidRPr="00855E7E">
              <w:t>Insensitive to inclement weather such as rain, fog, and snow</w:t>
            </w:r>
          </w:p>
          <w:p w14:paraId="19C0B46B" w14:textId="77777777" w:rsidR="00B91AE6" w:rsidRPr="00855E7E" w:rsidRDefault="00B91AE6">
            <w:pPr>
              <w:pStyle w:val="TableBodyText"/>
              <w:numPr>
                <w:ilvl w:val="0"/>
                <w:numId w:val="86"/>
              </w:numPr>
              <w:spacing w:before="20" w:after="20" w:line="240" w:lineRule="auto"/>
              <w:ind w:left="216" w:hanging="216"/>
            </w:pPr>
            <w:r w:rsidRPr="00855E7E">
              <w:t>Provides best accuracy for count data as compared with other commonly used techniques</w:t>
            </w:r>
          </w:p>
          <w:p w14:paraId="49B6DA22" w14:textId="10D62A51" w:rsidR="00B91AE6" w:rsidRPr="00B91AE6" w:rsidRDefault="00B91AE6">
            <w:pPr>
              <w:pStyle w:val="TableBodyText"/>
              <w:numPr>
                <w:ilvl w:val="0"/>
                <w:numId w:val="86"/>
              </w:numPr>
              <w:spacing w:before="20" w:after="20" w:line="240" w:lineRule="auto"/>
              <w:ind w:left="216" w:hanging="216"/>
              <w:rPr>
                <w:b/>
                <w:bCs/>
              </w:rPr>
            </w:pPr>
            <w:r w:rsidRPr="00B91AE6">
              <w:t>Common standard for obtaining accurate occupancy measurements</w:t>
            </w:r>
          </w:p>
        </w:tc>
        <w:tc>
          <w:tcPr>
            <w:tcW w:w="4505" w:type="dxa"/>
          </w:tcPr>
          <w:p w14:paraId="032216CF" w14:textId="77777777" w:rsidR="00B91AE6" w:rsidRPr="00855E7E" w:rsidRDefault="00B91AE6">
            <w:pPr>
              <w:pStyle w:val="TableBodyText"/>
              <w:numPr>
                <w:ilvl w:val="0"/>
                <w:numId w:val="86"/>
              </w:numPr>
              <w:spacing w:before="20" w:after="20" w:line="240" w:lineRule="auto"/>
              <w:ind w:left="216" w:hanging="216"/>
            </w:pPr>
            <w:r w:rsidRPr="00855E7E">
              <w:t>Installation requires pavement cut</w:t>
            </w:r>
          </w:p>
          <w:p w14:paraId="4DD1AB36" w14:textId="77777777" w:rsidR="00B91AE6" w:rsidRPr="00855E7E" w:rsidRDefault="00B91AE6">
            <w:pPr>
              <w:pStyle w:val="TableBodyText"/>
              <w:numPr>
                <w:ilvl w:val="0"/>
                <w:numId w:val="86"/>
              </w:numPr>
              <w:spacing w:before="20" w:after="20" w:line="240" w:lineRule="auto"/>
              <w:ind w:left="216" w:hanging="216"/>
            </w:pPr>
            <w:r w:rsidRPr="00855E7E">
              <w:t>Improper installation decreases pavement life</w:t>
            </w:r>
          </w:p>
          <w:p w14:paraId="7FA2104E" w14:textId="77777777" w:rsidR="00B91AE6" w:rsidRPr="00855E7E" w:rsidRDefault="00B91AE6">
            <w:pPr>
              <w:pStyle w:val="TableBodyText"/>
              <w:numPr>
                <w:ilvl w:val="0"/>
                <w:numId w:val="86"/>
              </w:numPr>
              <w:spacing w:before="20" w:after="20" w:line="240" w:lineRule="auto"/>
              <w:ind w:left="216" w:hanging="216"/>
            </w:pPr>
            <w:r w:rsidRPr="00855E7E">
              <w:t>Installation and maintenance require lane closure</w:t>
            </w:r>
          </w:p>
          <w:p w14:paraId="07588171" w14:textId="77777777" w:rsidR="00B91AE6" w:rsidRPr="00855E7E" w:rsidRDefault="00B91AE6">
            <w:pPr>
              <w:pStyle w:val="TableBodyText"/>
              <w:numPr>
                <w:ilvl w:val="0"/>
                <w:numId w:val="86"/>
              </w:numPr>
              <w:spacing w:before="20" w:after="20" w:line="240" w:lineRule="auto"/>
              <w:ind w:left="216" w:hanging="216"/>
            </w:pPr>
            <w:r w:rsidRPr="00855E7E">
              <w:t>Wire loops subject to stresses of traffic</w:t>
            </w:r>
          </w:p>
          <w:p w14:paraId="696A7E53" w14:textId="77777777" w:rsidR="00B91AE6" w:rsidRPr="00855E7E" w:rsidRDefault="00B91AE6">
            <w:pPr>
              <w:pStyle w:val="TableBodyText"/>
              <w:numPr>
                <w:ilvl w:val="0"/>
                <w:numId w:val="86"/>
              </w:numPr>
              <w:spacing w:before="20" w:after="20" w:line="240" w:lineRule="auto"/>
              <w:ind w:left="216" w:hanging="216"/>
            </w:pPr>
            <w:r w:rsidRPr="00855E7E">
              <w:t>Multiple loops usually required to monitor a location</w:t>
            </w:r>
          </w:p>
          <w:p w14:paraId="357D31C9" w14:textId="77777777" w:rsidR="00B91AE6" w:rsidRPr="00855E7E" w:rsidRDefault="00B91AE6">
            <w:pPr>
              <w:pStyle w:val="TableBodyText"/>
              <w:numPr>
                <w:ilvl w:val="0"/>
                <w:numId w:val="86"/>
              </w:numPr>
              <w:spacing w:before="20" w:after="20" w:line="240" w:lineRule="auto"/>
              <w:ind w:left="216" w:hanging="216"/>
            </w:pPr>
            <w:r w:rsidRPr="00855E7E">
              <w:t>Detection accuracy decreases when design requires detection of a large variety of vehicle classes (unless loop signature technology is deployed)</w:t>
            </w:r>
          </w:p>
          <w:p w14:paraId="06DB1F19" w14:textId="1EEBBA9F" w:rsidR="00B91AE6" w:rsidRPr="00B91AE6" w:rsidRDefault="00B91AE6">
            <w:pPr>
              <w:pStyle w:val="TableBodyText"/>
              <w:numPr>
                <w:ilvl w:val="0"/>
                <w:numId w:val="86"/>
              </w:numPr>
              <w:spacing w:before="20" w:after="20" w:line="240" w:lineRule="auto"/>
              <w:ind w:left="216" w:hanging="216"/>
              <w:rPr>
                <w:b/>
                <w:bCs/>
              </w:rPr>
            </w:pPr>
            <w:r w:rsidRPr="00B91AE6">
              <w:t>Does not detect axles in commonly used configurations</w:t>
            </w:r>
          </w:p>
        </w:tc>
      </w:tr>
      <w:tr w:rsidR="00B91AE6" w14:paraId="73F4ACCD" w14:textId="77777777" w:rsidTr="00207990">
        <w:trPr>
          <w:jc w:val="center"/>
        </w:trPr>
        <w:tc>
          <w:tcPr>
            <w:tcW w:w="1493" w:type="dxa"/>
          </w:tcPr>
          <w:p w14:paraId="2C7703C8" w14:textId="00C66733" w:rsidR="00B91AE6" w:rsidRPr="0019188C" w:rsidRDefault="00B91AE6" w:rsidP="0019188C">
            <w:pPr>
              <w:spacing w:before="20" w:after="20"/>
              <w:ind w:left="0"/>
              <w:jc w:val="left"/>
              <w:rPr>
                <w:b/>
                <w:bCs/>
              </w:rPr>
            </w:pPr>
            <w:r w:rsidRPr="0019188C">
              <w:rPr>
                <w:b/>
                <w:bCs/>
              </w:rPr>
              <w:t xml:space="preserve">Piezo </w:t>
            </w:r>
            <w:r w:rsidR="00065FBA" w:rsidRPr="0019188C">
              <w:rPr>
                <w:b/>
                <w:bCs/>
              </w:rPr>
              <w:t>S</w:t>
            </w:r>
            <w:r w:rsidRPr="0019188C">
              <w:rPr>
                <w:b/>
                <w:bCs/>
              </w:rPr>
              <w:t>ensors</w:t>
            </w:r>
          </w:p>
        </w:tc>
        <w:tc>
          <w:tcPr>
            <w:tcW w:w="3362" w:type="dxa"/>
          </w:tcPr>
          <w:p w14:paraId="6685E3A4" w14:textId="77777777" w:rsidR="00B91AE6" w:rsidRPr="00855E7E" w:rsidRDefault="00B91AE6">
            <w:pPr>
              <w:pStyle w:val="TableBodyText"/>
              <w:numPr>
                <w:ilvl w:val="0"/>
                <w:numId w:val="86"/>
              </w:numPr>
              <w:spacing w:before="20" w:after="20" w:line="240" w:lineRule="auto"/>
              <w:ind w:left="216" w:hanging="216"/>
            </w:pPr>
            <w:r w:rsidRPr="00855E7E">
              <w:t xml:space="preserve">High accuracy in vehicle classification </w:t>
            </w:r>
          </w:p>
          <w:p w14:paraId="397AEBC3" w14:textId="77777777" w:rsidR="00B91AE6" w:rsidRPr="00855E7E" w:rsidRDefault="00B91AE6">
            <w:pPr>
              <w:pStyle w:val="TableBodyText"/>
              <w:numPr>
                <w:ilvl w:val="0"/>
                <w:numId w:val="86"/>
              </w:numPr>
              <w:spacing w:before="20" w:after="20" w:line="240" w:lineRule="auto"/>
              <w:ind w:left="216" w:hanging="216"/>
            </w:pPr>
            <w:r w:rsidRPr="00855E7E">
              <w:t>Insensitive to inclement weather such as rain, fog, and snow</w:t>
            </w:r>
          </w:p>
          <w:p w14:paraId="3BB361DF" w14:textId="77777777" w:rsidR="00B91AE6" w:rsidRPr="00855E7E" w:rsidRDefault="00B91AE6">
            <w:pPr>
              <w:pStyle w:val="TableBodyText"/>
              <w:numPr>
                <w:ilvl w:val="0"/>
                <w:numId w:val="86"/>
              </w:numPr>
              <w:spacing w:before="20" w:after="20" w:line="240" w:lineRule="auto"/>
              <w:ind w:left="216" w:hanging="216"/>
            </w:pPr>
            <w:r w:rsidRPr="00855E7E">
              <w:t>Common standard for obtaining axle count and classification</w:t>
            </w:r>
          </w:p>
          <w:p w14:paraId="6BBE6D2B" w14:textId="77777777" w:rsidR="00B91AE6" w:rsidRPr="00855E7E" w:rsidRDefault="00B91AE6">
            <w:pPr>
              <w:pStyle w:val="TableBodyText"/>
              <w:numPr>
                <w:ilvl w:val="0"/>
                <w:numId w:val="86"/>
              </w:numPr>
              <w:spacing w:before="20" w:after="20" w:line="240" w:lineRule="auto"/>
              <w:ind w:left="216" w:hanging="216"/>
            </w:pPr>
            <w:r w:rsidRPr="00855E7E">
              <w:t>Used to collect weight classification data (WIM); quartz performance comparable to bending plates</w:t>
            </w:r>
          </w:p>
          <w:p w14:paraId="6CD8EAC4" w14:textId="036EFD91" w:rsidR="00B91AE6" w:rsidRPr="00B91AE6" w:rsidRDefault="00B91AE6">
            <w:pPr>
              <w:pStyle w:val="TableBodyText"/>
              <w:numPr>
                <w:ilvl w:val="0"/>
                <w:numId w:val="86"/>
              </w:numPr>
              <w:spacing w:before="20" w:after="20" w:line="240" w:lineRule="auto"/>
              <w:ind w:left="216" w:hanging="216"/>
              <w:rPr>
                <w:b/>
                <w:bCs/>
              </w:rPr>
            </w:pPr>
            <w:r w:rsidRPr="00B91AE6">
              <w:t>Mature, well-understood technology</w:t>
            </w:r>
          </w:p>
        </w:tc>
        <w:tc>
          <w:tcPr>
            <w:tcW w:w="4505" w:type="dxa"/>
          </w:tcPr>
          <w:p w14:paraId="5402495D" w14:textId="77777777" w:rsidR="00B91AE6" w:rsidRPr="00855E7E" w:rsidRDefault="00B91AE6">
            <w:pPr>
              <w:pStyle w:val="TableBodyText"/>
              <w:numPr>
                <w:ilvl w:val="0"/>
                <w:numId w:val="86"/>
              </w:numPr>
              <w:spacing w:before="20" w:after="20" w:line="240" w:lineRule="auto"/>
              <w:ind w:left="216" w:hanging="216"/>
            </w:pPr>
            <w:r w:rsidRPr="00855E7E">
              <w:t>Installation requires pavement cut</w:t>
            </w:r>
          </w:p>
          <w:p w14:paraId="76C55CA2" w14:textId="77777777" w:rsidR="00B91AE6" w:rsidRPr="00855E7E" w:rsidRDefault="00B91AE6">
            <w:pPr>
              <w:pStyle w:val="TableBodyText"/>
              <w:numPr>
                <w:ilvl w:val="0"/>
                <w:numId w:val="86"/>
              </w:numPr>
              <w:spacing w:before="20" w:after="20" w:line="240" w:lineRule="auto"/>
              <w:ind w:left="216" w:hanging="216"/>
            </w:pPr>
            <w:r w:rsidRPr="00855E7E">
              <w:t>Improper installation decreases pavement life</w:t>
            </w:r>
          </w:p>
          <w:p w14:paraId="0C7FA99E" w14:textId="77777777" w:rsidR="00B91AE6" w:rsidRPr="00855E7E" w:rsidRDefault="00B91AE6">
            <w:pPr>
              <w:pStyle w:val="TableBodyText"/>
              <w:numPr>
                <w:ilvl w:val="0"/>
                <w:numId w:val="86"/>
              </w:numPr>
              <w:spacing w:before="20" w:after="20" w:line="240" w:lineRule="auto"/>
              <w:ind w:left="216" w:hanging="216"/>
            </w:pPr>
            <w:r w:rsidRPr="00855E7E">
              <w:t>Installation and maintenance require lane closure</w:t>
            </w:r>
          </w:p>
          <w:p w14:paraId="189AC221" w14:textId="77777777" w:rsidR="00B91AE6" w:rsidRPr="00855E7E" w:rsidRDefault="00B91AE6">
            <w:pPr>
              <w:pStyle w:val="TableBodyText"/>
              <w:numPr>
                <w:ilvl w:val="0"/>
                <w:numId w:val="86"/>
              </w:numPr>
              <w:spacing w:before="20" w:after="20" w:line="240" w:lineRule="auto"/>
              <w:ind w:left="216" w:hanging="216"/>
            </w:pPr>
            <w:r w:rsidRPr="00855E7E">
              <w:t>Polymer piezo is sensitive to temperature</w:t>
            </w:r>
          </w:p>
          <w:p w14:paraId="04163A84" w14:textId="77777777" w:rsidR="00B91AE6" w:rsidRPr="00855E7E" w:rsidRDefault="00B91AE6">
            <w:pPr>
              <w:pStyle w:val="TableBodyText"/>
              <w:numPr>
                <w:ilvl w:val="0"/>
                <w:numId w:val="86"/>
              </w:numPr>
              <w:spacing w:before="20" w:after="20" w:line="240" w:lineRule="auto"/>
              <w:ind w:left="216" w:hanging="216"/>
            </w:pPr>
            <w:r w:rsidRPr="00855E7E">
              <w:t>Does not detect vehicle overall length</w:t>
            </w:r>
          </w:p>
          <w:p w14:paraId="58B35C9C" w14:textId="63CF9B37" w:rsidR="00B91AE6" w:rsidRPr="00B91AE6" w:rsidRDefault="00B91AE6">
            <w:pPr>
              <w:pStyle w:val="TableBodyText"/>
              <w:numPr>
                <w:ilvl w:val="0"/>
                <w:numId w:val="86"/>
              </w:numPr>
              <w:spacing w:before="20" w:after="20" w:line="240" w:lineRule="auto"/>
              <w:ind w:left="216" w:hanging="216"/>
              <w:rPr>
                <w:b/>
                <w:bCs/>
              </w:rPr>
            </w:pPr>
            <w:r w:rsidRPr="00B91AE6">
              <w:t>Does not work well in slow or stopped traffic</w:t>
            </w:r>
          </w:p>
        </w:tc>
      </w:tr>
      <w:tr w:rsidR="00B91AE6" w14:paraId="0DA8936C" w14:textId="77777777" w:rsidTr="00207990">
        <w:trPr>
          <w:jc w:val="center"/>
        </w:trPr>
        <w:tc>
          <w:tcPr>
            <w:tcW w:w="1493" w:type="dxa"/>
          </w:tcPr>
          <w:p w14:paraId="66F202A7" w14:textId="12D1E610" w:rsidR="00B91AE6" w:rsidRPr="0019188C" w:rsidRDefault="00B91AE6" w:rsidP="0019188C">
            <w:pPr>
              <w:spacing w:before="20" w:after="20"/>
              <w:ind w:left="0"/>
              <w:jc w:val="left"/>
              <w:rPr>
                <w:b/>
                <w:bCs/>
              </w:rPr>
            </w:pPr>
            <w:r w:rsidRPr="0019188C">
              <w:rPr>
                <w:b/>
                <w:bCs/>
              </w:rPr>
              <w:t xml:space="preserve">Pneumatic </w:t>
            </w:r>
            <w:r w:rsidR="00065FBA" w:rsidRPr="0019188C">
              <w:rPr>
                <w:b/>
                <w:bCs/>
              </w:rPr>
              <w:t>T</w:t>
            </w:r>
            <w:r w:rsidRPr="0019188C">
              <w:rPr>
                <w:b/>
                <w:bCs/>
              </w:rPr>
              <w:t>ube</w:t>
            </w:r>
          </w:p>
        </w:tc>
        <w:tc>
          <w:tcPr>
            <w:tcW w:w="3362" w:type="dxa"/>
          </w:tcPr>
          <w:p w14:paraId="5CE2EA1F" w14:textId="77777777" w:rsidR="00B91AE6" w:rsidRPr="00855E7E" w:rsidRDefault="00B91AE6">
            <w:pPr>
              <w:pStyle w:val="TableBodyText"/>
              <w:numPr>
                <w:ilvl w:val="0"/>
                <w:numId w:val="86"/>
              </w:numPr>
              <w:spacing w:before="20" w:after="20" w:line="240" w:lineRule="auto"/>
              <w:ind w:left="216" w:hanging="216"/>
            </w:pPr>
            <w:r w:rsidRPr="00855E7E">
              <w:t>Common standard for obtaining axle count and classification in portable applications</w:t>
            </w:r>
          </w:p>
          <w:p w14:paraId="083C9410" w14:textId="77777777" w:rsidR="00B91AE6" w:rsidRDefault="00B91AE6">
            <w:pPr>
              <w:pStyle w:val="TableBodyText"/>
              <w:numPr>
                <w:ilvl w:val="0"/>
                <w:numId w:val="86"/>
              </w:numPr>
              <w:spacing w:before="20" w:after="20" w:line="240" w:lineRule="auto"/>
              <w:ind w:left="216" w:hanging="216"/>
            </w:pPr>
            <w:r w:rsidRPr="00855E7E">
              <w:t>Mature, well-understood technology</w:t>
            </w:r>
          </w:p>
          <w:p w14:paraId="6D5CA525" w14:textId="1708D367" w:rsidR="00B91AE6" w:rsidRDefault="00B91AE6">
            <w:pPr>
              <w:pStyle w:val="TableBodyText"/>
              <w:numPr>
                <w:ilvl w:val="0"/>
                <w:numId w:val="86"/>
              </w:numPr>
              <w:spacing w:before="20" w:after="20" w:line="240" w:lineRule="auto"/>
              <w:ind w:left="216" w:hanging="216"/>
            </w:pPr>
            <w:r w:rsidRPr="00A0571C">
              <w:t>Low cost and no damage to the pavement</w:t>
            </w:r>
          </w:p>
        </w:tc>
        <w:tc>
          <w:tcPr>
            <w:tcW w:w="4505" w:type="dxa"/>
          </w:tcPr>
          <w:p w14:paraId="48A2C2A0" w14:textId="77777777" w:rsidR="00B91AE6" w:rsidRPr="00855E7E" w:rsidRDefault="00B91AE6">
            <w:pPr>
              <w:pStyle w:val="TableBodyText"/>
              <w:numPr>
                <w:ilvl w:val="0"/>
                <w:numId w:val="86"/>
              </w:numPr>
              <w:spacing w:before="20" w:after="20" w:line="240" w:lineRule="auto"/>
              <w:ind w:left="216" w:hanging="216"/>
            </w:pPr>
            <w:r w:rsidRPr="00855E7E">
              <w:t>Installation sometimes requires lane closure</w:t>
            </w:r>
          </w:p>
          <w:p w14:paraId="27115469" w14:textId="77777777" w:rsidR="00B91AE6" w:rsidRPr="00855E7E" w:rsidRDefault="00B91AE6">
            <w:pPr>
              <w:pStyle w:val="TableBodyText"/>
              <w:numPr>
                <w:ilvl w:val="0"/>
                <w:numId w:val="86"/>
              </w:numPr>
              <w:spacing w:before="20" w:after="20" w:line="240" w:lineRule="auto"/>
              <w:ind w:left="216" w:hanging="216"/>
            </w:pPr>
            <w:r w:rsidRPr="00855E7E">
              <w:t>Does not detect vehicle overall length</w:t>
            </w:r>
          </w:p>
          <w:p w14:paraId="16386C89" w14:textId="5EE00347" w:rsidR="00B91AE6" w:rsidRPr="00B91AE6" w:rsidRDefault="00B91AE6">
            <w:pPr>
              <w:pStyle w:val="TableBodyText"/>
              <w:numPr>
                <w:ilvl w:val="0"/>
                <w:numId w:val="86"/>
              </w:numPr>
              <w:spacing w:before="20" w:after="20" w:line="240" w:lineRule="auto"/>
              <w:ind w:left="216" w:hanging="216"/>
              <w:rPr>
                <w:b/>
                <w:bCs/>
              </w:rPr>
            </w:pPr>
            <w:r w:rsidRPr="00B91AE6">
              <w:t>Does not work well in very high volume or very slow (5 mph) or stopped traffic</w:t>
            </w:r>
          </w:p>
        </w:tc>
      </w:tr>
      <w:tr w:rsidR="00B91AE6" w14:paraId="1221440F" w14:textId="77777777" w:rsidTr="00207990">
        <w:trPr>
          <w:jc w:val="center"/>
        </w:trPr>
        <w:tc>
          <w:tcPr>
            <w:tcW w:w="1493" w:type="dxa"/>
          </w:tcPr>
          <w:p w14:paraId="7A1620D4" w14:textId="15D5114A" w:rsidR="00B91AE6" w:rsidRPr="0019188C" w:rsidRDefault="00B91AE6" w:rsidP="0019188C">
            <w:pPr>
              <w:spacing w:before="20" w:after="20"/>
              <w:ind w:left="0"/>
              <w:jc w:val="left"/>
              <w:rPr>
                <w:b/>
                <w:bCs/>
              </w:rPr>
            </w:pPr>
            <w:r w:rsidRPr="0019188C">
              <w:rPr>
                <w:b/>
                <w:bCs/>
              </w:rPr>
              <w:t>Magnetic</w:t>
            </w:r>
            <w:r w:rsidR="00FE48E0">
              <w:rPr>
                <w:b/>
                <w:bCs/>
              </w:rPr>
              <w:br/>
            </w:r>
            <w:r w:rsidRPr="0019188C">
              <w:rPr>
                <w:b/>
                <w:bCs/>
              </w:rPr>
              <w:t>(</w:t>
            </w:r>
            <w:r w:rsidR="00065FBA" w:rsidRPr="0019188C">
              <w:rPr>
                <w:b/>
                <w:bCs/>
              </w:rPr>
              <w:t>T</w:t>
            </w:r>
            <w:r w:rsidRPr="0019188C">
              <w:rPr>
                <w:b/>
                <w:bCs/>
              </w:rPr>
              <w:t xml:space="preserve">wo-axis </w:t>
            </w:r>
            <w:r w:rsidR="00065FBA" w:rsidRPr="0019188C">
              <w:rPr>
                <w:b/>
                <w:bCs/>
              </w:rPr>
              <w:t>F</w:t>
            </w:r>
            <w:r w:rsidRPr="0019188C">
              <w:rPr>
                <w:b/>
                <w:bCs/>
              </w:rPr>
              <w:t xml:space="preserve">luxgate </w:t>
            </w:r>
            <w:r w:rsidR="00065FBA" w:rsidRPr="0019188C">
              <w:rPr>
                <w:b/>
                <w:bCs/>
              </w:rPr>
              <w:t>M</w:t>
            </w:r>
            <w:r w:rsidRPr="0019188C">
              <w:rPr>
                <w:b/>
                <w:bCs/>
              </w:rPr>
              <w:t xml:space="preserve">agnetometer, </w:t>
            </w:r>
            <w:r w:rsidR="00065FBA" w:rsidRPr="0019188C">
              <w:rPr>
                <w:b/>
                <w:bCs/>
              </w:rPr>
              <w:t>I</w:t>
            </w:r>
            <w:r w:rsidRPr="0019188C">
              <w:rPr>
                <w:b/>
                <w:bCs/>
              </w:rPr>
              <w:t xml:space="preserve">nduction or </w:t>
            </w:r>
            <w:r w:rsidR="00065FBA" w:rsidRPr="0019188C">
              <w:rPr>
                <w:b/>
                <w:bCs/>
              </w:rPr>
              <w:t>S</w:t>
            </w:r>
            <w:r w:rsidRPr="0019188C">
              <w:rPr>
                <w:b/>
                <w:bCs/>
              </w:rPr>
              <w:t xml:space="preserve">earch </w:t>
            </w:r>
            <w:r w:rsidR="00065FBA" w:rsidRPr="0019188C">
              <w:rPr>
                <w:b/>
                <w:bCs/>
              </w:rPr>
              <w:t>C</w:t>
            </w:r>
            <w:r w:rsidRPr="0019188C">
              <w:rPr>
                <w:b/>
                <w:bCs/>
              </w:rPr>
              <w:t xml:space="preserve">oil </w:t>
            </w:r>
            <w:r w:rsidR="00065FBA" w:rsidRPr="0019188C">
              <w:rPr>
                <w:b/>
                <w:bCs/>
              </w:rPr>
              <w:t>M</w:t>
            </w:r>
            <w:r w:rsidRPr="0019188C">
              <w:rPr>
                <w:b/>
                <w:bCs/>
              </w:rPr>
              <w:t>agnetometer)</w:t>
            </w:r>
          </w:p>
        </w:tc>
        <w:tc>
          <w:tcPr>
            <w:tcW w:w="3362" w:type="dxa"/>
          </w:tcPr>
          <w:p w14:paraId="10A4AADE" w14:textId="77777777" w:rsidR="00B91AE6" w:rsidRPr="00855E7E" w:rsidRDefault="00B91AE6">
            <w:pPr>
              <w:pStyle w:val="TableBodyText"/>
              <w:numPr>
                <w:ilvl w:val="0"/>
                <w:numId w:val="86"/>
              </w:numPr>
              <w:spacing w:before="20" w:after="20" w:line="240" w:lineRule="auto"/>
              <w:ind w:left="216" w:hanging="216"/>
            </w:pPr>
            <w:r w:rsidRPr="00855E7E">
              <w:t>Less susceptible than loops to stresses of traffic</w:t>
            </w:r>
          </w:p>
          <w:p w14:paraId="183BB016" w14:textId="77777777" w:rsidR="00B91AE6" w:rsidRPr="00855E7E" w:rsidRDefault="00B91AE6">
            <w:pPr>
              <w:pStyle w:val="TableBodyText"/>
              <w:numPr>
                <w:ilvl w:val="0"/>
                <w:numId w:val="86"/>
              </w:numPr>
              <w:spacing w:before="20" w:after="20" w:line="240" w:lineRule="auto"/>
              <w:ind w:left="216" w:hanging="216"/>
            </w:pPr>
            <w:r w:rsidRPr="00855E7E">
              <w:t>Insensitive to inclement weather such as snow, rain, and fog</w:t>
            </w:r>
          </w:p>
          <w:p w14:paraId="44DF00A0" w14:textId="77777777" w:rsidR="00B91AE6" w:rsidRPr="00855E7E" w:rsidRDefault="00B91AE6">
            <w:pPr>
              <w:pStyle w:val="TableBodyText"/>
              <w:numPr>
                <w:ilvl w:val="0"/>
                <w:numId w:val="86"/>
              </w:numPr>
              <w:spacing w:before="20" w:after="20" w:line="240" w:lineRule="auto"/>
              <w:ind w:left="216" w:hanging="216"/>
            </w:pPr>
            <w:r w:rsidRPr="00855E7E">
              <w:t>Some models transmit data over wireless radio frequency (RF) link</w:t>
            </w:r>
          </w:p>
          <w:p w14:paraId="3A27E2A7" w14:textId="77777777" w:rsidR="00B91AE6" w:rsidRPr="00855E7E" w:rsidRDefault="00B91AE6">
            <w:pPr>
              <w:pStyle w:val="TableBodyText"/>
              <w:numPr>
                <w:ilvl w:val="0"/>
                <w:numId w:val="86"/>
              </w:numPr>
              <w:spacing w:before="20" w:after="20" w:line="240" w:lineRule="auto"/>
              <w:ind w:left="216" w:hanging="216"/>
            </w:pPr>
            <w:r w:rsidRPr="00855E7E">
              <w:t>Used where loops are not feasible (e.g., bridge decks)</w:t>
            </w:r>
          </w:p>
          <w:p w14:paraId="3DF64EF7" w14:textId="272EE30E" w:rsidR="00B91AE6" w:rsidRDefault="00B91AE6">
            <w:pPr>
              <w:pStyle w:val="TableBodyText"/>
              <w:numPr>
                <w:ilvl w:val="0"/>
                <w:numId w:val="86"/>
              </w:numPr>
              <w:spacing w:before="20" w:after="20" w:line="240" w:lineRule="auto"/>
              <w:ind w:left="216" w:hanging="216"/>
            </w:pPr>
            <w:r w:rsidRPr="00855E7E">
              <w:t>Some models are installed under roadway without need for pavement cuts; however, boring under roadway is required</w:t>
            </w:r>
          </w:p>
        </w:tc>
        <w:tc>
          <w:tcPr>
            <w:tcW w:w="4505" w:type="dxa"/>
          </w:tcPr>
          <w:p w14:paraId="4CC96760" w14:textId="77777777" w:rsidR="00B91AE6" w:rsidRPr="00855E7E" w:rsidRDefault="00B91AE6">
            <w:pPr>
              <w:pStyle w:val="TableBodyText"/>
              <w:numPr>
                <w:ilvl w:val="0"/>
                <w:numId w:val="86"/>
              </w:numPr>
              <w:spacing w:before="20" w:after="20" w:line="240" w:lineRule="auto"/>
              <w:ind w:left="216" w:hanging="216"/>
            </w:pPr>
            <w:r w:rsidRPr="00855E7E">
              <w:t>Installation requires pavement cut or boring under roadway</w:t>
            </w:r>
          </w:p>
          <w:p w14:paraId="658FBF2A" w14:textId="77777777" w:rsidR="00B91AE6" w:rsidRPr="00855E7E" w:rsidRDefault="00B91AE6">
            <w:pPr>
              <w:pStyle w:val="TableBodyText"/>
              <w:numPr>
                <w:ilvl w:val="0"/>
                <w:numId w:val="86"/>
              </w:numPr>
              <w:spacing w:before="20" w:after="20" w:line="240" w:lineRule="auto"/>
              <w:ind w:left="216" w:hanging="216"/>
            </w:pPr>
            <w:r w:rsidRPr="00855E7E">
              <w:t>Improper installation decreases pavement life</w:t>
            </w:r>
          </w:p>
          <w:p w14:paraId="56A5A0AC" w14:textId="77777777" w:rsidR="00B91AE6" w:rsidRPr="00855E7E" w:rsidRDefault="00B91AE6">
            <w:pPr>
              <w:pStyle w:val="TableBodyText"/>
              <w:numPr>
                <w:ilvl w:val="0"/>
                <w:numId w:val="86"/>
              </w:numPr>
              <w:spacing w:before="20" w:after="20" w:line="240" w:lineRule="auto"/>
              <w:ind w:left="216" w:hanging="216"/>
            </w:pPr>
            <w:r w:rsidRPr="00855E7E">
              <w:t>Installation and maintenance require lane closure</w:t>
            </w:r>
          </w:p>
          <w:p w14:paraId="2B11CE56" w14:textId="77777777" w:rsidR="00B91AE6" w:rsidRPr="00855E7E" w:rsidRDefault="00B91AE6">
            <w:pPr>
              <w:pStyle w:val="TableBodyText"/>
              <w:numPr>
                <w:ilvl w:val="0"/>
                <w:numId w:val="86"/>
              </w:numPr>
              <w:spacing w:before="20" w:after="20" w:line="240" w:lineRule="auto"/>
              <w:ind w:left="216" w:hanging="216"/>
            </w:pPr>
            <w:r w:rsidRPr="00855E7E">
              <w:t>Models with small detection zones require multiple units for full lane detection</w:t>
            </w:r>
          </w:p>
          <w:p w14:paraId="2D402D94" w14:textId="652589A3" w:rsidR="00B91AE6" w:rsidRPr="00B91AE6" w:rsidRDefault="00B91AE6">
            <w:pPr>
              <w:pStyle w:val="TableBodyText"/>
              <w:numPr>
                <w:ilvl w:val="0"/>
                <w:numId w:val="86"/>
              </w:numPr>
              <w:spacing w:before="20" w:after="20" w:line="240" w:lineRule="auto"/>
              <w:ind w:left="216" w:hanging="216"/>
              <w:rPr>
                <w:b/>
                <w:bCs/>
              </w:rPr>
            </w:pPr>
            <w:r w:rsidRPr="00B91AE6">
              <w:t>Cannot detect or classify stopped vehicles or axles unless special sensor layouts and signal processing software are used</w:t>
            </w:r>
          </w:p>
        </w:tc>
      </w:tr>
      <w:tr w:rsidR="00B91AE6" w14:paraId="7E994FCF" w14:textId="77777777" w:rsidTr="00207990">
        <w:trPr>
          <w:jc w:val="center"/>
        </w:trPr>
        <w:tc>
          <w:tcPr>
            <w:tcW w:w="1493" w:type="dxa"/>
          </w:tcPr>
          <w:p w14:paraId="7D11B451" w14:textId="4FC95983" w:rsidR="00B91AE6" w:rsidRPr="0019188C" w:rsidRDefault="00B91AE6" w:rsidP="00207990">
            <w:pPr>
              <w:pageBreakBefore/>
              <w:spacing w:before="20" w:after="20"/>
              <w:ind w:left="0"/>
              <w:jc w:val="left"/>
              <w:rPr>
                <w:b/>
                <w:bCs/>
              </w:rPr>
            </w:pPr>
            <w:r w:rsidRPr="0019188C">
              <w:rPr>
                <w:b/>
                <w:bCs/>
              </w:rPr>
              <w:lastRenderedPageBreak/>
              <w:t>Microwave</w:t>
            </w:r>
          </w:p>
        </w:tc>
        <w:tc>
          <w:tcPr>
            <w:tcW w:w="3362" w:type="dxa"/>
          </w:tcPr>
          <w:p w14:paraId="3FD88083" w14:textId="77777777" w:rsidR="00B91AE6" w:rsidRPr="00855E7E" w:rsidRDefault="00B91AE6">
            <w:pPr>
              <w:pStyle w:val="TableBodyText"/>
              <w:numPr>
                <w:ilvl w:val="0"/>
                <w:numId w:val="86"/>
              </w:numPr>
              <w:spacing w:before="20" w:after="20" w:line="240" w:lineRule="auto"/>
              <w:ind w:left="216" w:hanging="216"/>
            </w:pPr>
            <w:r w:rsidRPr="00855E7E">
              <w:t>Typically,</w:t>
            </w:r>
            <w:r>
              <w:t xml:space="preserve"> </w:t>
            </w:r>
            <w:r w:rsidRPr="00855E7E">
              <w:t>insensitive to inclement weather at the relatively short ranges encountered in traffic management applications</w:t>
            </w:r>
          </w:p>
          <w:p w14:paraId="6FC6F20F" w14:textId="77777777" w:rsidR="00B91AE6" w:rsidRPr="00855E7E" w:rsidRDefault="00B91AE6">
            <w:pPr>
              <w:pStyle w:val="TableBodyText"/>
              <w:numPr>
                <w:ilvl w:val="0"/>
                <w:numId w:val="86"/>
              </w:numPr>
              <w:spacing w:before="20" w:after="20" w:line="240" w:lineRule="auto"/>
              <w:ind w:left="216" w:hanging="216"/>
            </w:pPr>
            <w:r w:rsidRPr="00855E7E">
              <w:t>Direct measurement of speed</w:t>
            </w:r>
          </w:p>
          <w:p w14:paraId="3E412CCD" w14:textId="77777777" w:rsidR="00B91AE6" w:rsidRPr="00855E7E" w:rsidRDefault="00B91AE6">
            <w:pPr>
              <w:pStyle w:val="TableBodyText"/>
              <w:numPr>
                <w:ilvl w:val="0"/>
                <w:numId w:val="86"/>
              </w:numPr>
              <w:spacing w:before="20" w:after="20" w:line="240" w:lineRule="auto"/>
              <w:ind w:left="216" w:hanging="216"/>
            </w:pPr>
            <w:r w:rsidRPr="00855E7E">
              <w:t>Multiple lane operation available</w:t>
            </w:r>
          </w:p>
          <w:p w14:paraId="656077FB" w14:textId="77777777" w:rsidR="00B91AE6" w:rsidRPr="00855E7E" w:rsidRDefault="00B91AE6">
            <w:pPr>
              <w:pStyle w:val="TableBodyText"/>
              <w:numPr>
                <w:ilvl w:val="0"/>
                <w:numId w:val="86"/>
              </w:numPr>
              <w:spacing w:before="20" w:after="20" w:line="240" w:lineRule="auto"/>
              <w:ind w:left="216" w:hanging="216"/>
            </w:pPr>
            <w:r w:rsidRPr="00855E7E">
              <w:t>Detects slow-moving vehicles</w:t>
            </w:r>
          </w:p>
          <w:p w14:paraId="40E7CB46" w14:textId="77777777" w:rsidR="00B91AE6" w:rsidRDefault="00B91AE6">
            <w:pPr>
              <w:pStyle w:val="TableBodyText"/>
              <w:numPr>
                <w:ilvl w:val="0"/>
                <w:numId w:val="86"/>
              </w:numPr>
              <w:spacing w:before="20" w:after="20" w:line="240" w:lineRule="auto"/>
              <w:ind w:left="216" w:hanging="216"/>
            </w:pPr>
            <w:r w:rsidRPr="00855E7E">
              <w:t>Accommodates changes in lane assignment at a location</w:t>
            </w:r>
          </w:p>
          <w:p w14:paraId="2B3F7546" w14:textId="176E1646" w:rsidR="00B91AE6" w:rsidRDefault="00B91AE6">
            <w:pPr>
              <w:pStyle w:val="TableBodyText"/>
              <w:numPr>
                <w:ilvl w:val="0"/>
                <w:numId w:val="86"/>
              </w:numPr>
              <w:spacing w:before="20" w:after="20" w:line="240" w:lineRule="auto"/>
              <w:ind w:left="216" w:hanging="216"/>
            </w:pPr>
            <w:r w:rsidRPr="00855E7E">
              <w:t>Non-intrusive installation</w:t>
            </w:r>
          </w:p>
        </w:tc>
        <w:tc>
          <w:tcPr>
            <w:tcW w:w="4505" w:type="dxa"/>
          </w:tcPr>
          <w:p w14:paraId="782FFA0C" w14:textId="77777777" w:rsidR="00B91AE6" w:rsidRPr="00855E7E" w:rsidRDefault="00B91AE6">
            <w:pPr>
              <w:pStyle w:val="TableBodyText"/>
              <w:numPr>
                <w:ilvl w:val="0"/>
                <w:numId w:val="86"/>
              </w:numPr>
              <w:spacing w:before="20" w:after="20" w:line="240" w:lineRule="auto"/>
              <w:ind w:left="216" w:hanging="216"/>
            </w:pPr>
            <w:r w:rsidRPr="00855E7E">
              <w:t>Sometimes miss occasional vehicles traveling side-by-side (occlusion)</w:t>
            </w:r>
          </w:p>
          <w:p w14:paraId="63989305" w14:textId="77777777" w:rsidR="00B91AE6" w:rsidRPr="00855E7E" w:rsidRDefault="00B91AE6">
            <w:pPr>
              <w:pStyle w:val="TableBodyText"/>
              <w:numPr>
                <w:ilvl w:val="0"/>
                <w:numId w:val="86"/>
              </w:numPr>
              <w:spacing w:before="20" w:after="20" w:line="240" w:lineRule="auto"/>
              <w:ind w:left="216" w:hanging="216"/>
            </w:pPr>
            <w:r w:rsidRPr="00855E7E">
              <w:t>Calibration and sensor position are crucial to proper operation</w:t>
            </w:r>
          </w:p>
          <w:p w14:paraId="3C82BCFF" w14:textId="6F4D1FF9" w:rsidR="00B91AE6" w:rsidRDefault="00B91AE6">
            <w:pPr>
              <w:pStyle w:val="TableBodyText"/>
              <w:numPr>
                <w:ilvl w:val="0"/>
                <w:numId w:val="86"/>
              </w:numPr>
              <w:spacing w:before="20" w:after="20" w:line="240" w:lineRule="auto"/>
              <w:ind w:left="216" w:hanging="216"/>
            </w:pPr>
            <w:r w:rsidRPr="00855E7E">
              <w:t>Cannot detect stopped vehicles</w:t>
            </w:r>
            <w:r>
              <w:t xml:space="preserve"> or individual</w:t>
            </w:r>
            <w:r w:rsidRPr="00855E7E">
              <w:t xml:space="preserve"> axles</w:t>
            </w:r>
          </w:p>
        </w:tc>
      </w:tr>
      <w:tr w:rsidR="00B91AE6" w14:paraId="1D427394" w14:textId="77777777" w:rsidTr="00207990">
        <w:trPr>
          <w:jc w:val="center"/>
        </w:trPr>
        <w:tc>
          <w:tcPr>
            <w:tcW w:w="1493" w:type="dxa"/>
          </w:tcPr>
          <w:p w14:paraId="0C963667" w14:textId="68286286" w:rsidR="00B91AE6" w:rsidRPr="0019188C" w:rsidRDefault="00B91AE6" w:rsidP="0019188C">
            <w:pPr>
              <w:spacing w:before="20" w:after="20"/>
              <w:ind w:left="0"/>
              <w:jc w:val="left"/>
              <w:rPr>
                <w:b/>
                <w:bCs/>
              </w:rPr>
            </w:pPr>
            <w:r w:rsidRPr="0019188C">
              <w:rPr>
                <w:b/>
                <w:bCs/>
              </w:rPr>
              <w:t xml:space="preserve">Active </w:t>
            </w:r>
            <w:r w:rsidR="00065FBA" w:rsidRPr="0019188C">
              <w:rPr>
                <w:b/>
                <w:bCs/>
              </w:rPr>
              <w:t>I</w:t>
            </w:r>
            <w:r w:rsidRPr="0019188C">
              <w:rPr>
                <w:b/>
                <w:bCs/>
              </w:rPr>
              <w:t>nfrared (</w:t>
            </w:r>
            <w:r w:rsidR="00065FBA" w:rsidRPr="0019188C">
              <w:rPr>
                <w:b/>
                <w:bCs/>
              </w:rPr>
              <w:t>L</w:t>
            </w:r>
            <w:r w:rsidRPr="0019188C">
              <w:rPr>
                <w:b/>
                <w:bCs/>
              </w:rPr>
              <w:t xml:space="preserve">aser </w:t>
            </w:r>
            <w:r w:rsidR="00065FBA" w:rsidRPr="0019188C">
              <w:rPr>
                <w:b/>
                <w:bCs/>
              </w:rPr>
              <w:t>R</w:t>
            </w:r>
            <w:r w:rsidRPr="0019188C">
              <w:rPr>
                <w:b/>
                <w:bCs/>
              </w:rPr>
              <w:t>adar)</w:t>
            </w:r>
          </w:p>
        </w:tc>
        <w:tc>
          <w:tcPr>
            <w:tcW w:w="3362" w:type="dxa"/>
          </w:tcPr>
          <w:p w14:paraId="33909978" w14:textId="77777777" w:rsidR="00B91AE6" w:rsidRPr="00855E7E" w:rsidRDefault="00B91AE6">
            <w:pPr>
              <w:pStyle w:val="TableBodyText"/>
              <w:numPr>
                <w:ilvl w:val="0"/>
                <w:numId w:val="86"/>
              </w:numPr>
              <w:spacing w:before="20" w:after="20" w:line="240" w:lineRule="auto"/>
              <w:ind w:left="216" w:hanging="216"/>
            </w:pPr>
            <w:r w:rsidRPr="00855E7E">
              <w:t>Transmits multiple beams for accurate measurement of vehicle position, speed, and class</w:t>
            </w:r>
          </w:p>
          <w:p w14:paraId="4D5C693C" w14:textId="77777777" w:rsidR="00B91AE6" w:rsidRPr="00855E7E" w:rsidRDefault="00B91AE6">
            <w:pPr>
              <w:pStyle w:val="TableBodyText"/>
              <w:numPr>
                <w:ilvl w:val="0"/>
                <w:numId w:val="86"/>
              </w:numPr>
              <w:spacing w:before="20" w:after="20" w:line="240" w:lineRule="auto"/>
              <w:ind w:left="216" w:hanging="216"/>
            </w:pPr>
            <w:r w:rsidRPr="00855E7E">
              <w:t>Multiple lane operation available</w:t>
            </w:r>
          </w:p>
          <w:p w14:paraId="6D3DF810" w14:textId="77777777" w:rsidR="00B91AE6" w:rsidRPr="00855E7E" w:rsidRDefault="00B91AE6">
            <w:pPr>
              <w:pStyle w:val="TableBodyText"/>
              <w:numPr>
                <w:ilvl w:val="0"/>
                <w:numId w:val="86"/>
              </w:numPr>
              <w:spacing w:before="20" w:after="20" w:line="240" w:lineRule="auto"/>
              <w:ind w:left="216" w:hanging="216"/>
            </w:pPr>
            <w:r w:rsidRPr="00855E7E">
              <w:t>Good motorcycle detection</w:t>
            </w:r>
          </w:p>
          <w:p w14:paraId="7D6272C6" w14:textId="77777777" w:rsidR="00B91AE6" w:rsidRPr="00855E7E" w:rsidRDefault="00B91AE6">
            <w:pPr>
              <w:pStyle w:val="TableBodyText"/>
              <w:numPr>
                <w:ilvl w:val="0"/>
                <w:numId w:val="86"/>
              </w:numPr>
              <w:spacing w:before="20" w:after="20" w:line="240" w:lineRule="auto"/>
              <w:ind w:left="216" w:hanging="216"/>
            </w:pPr>
            <w:r w:rsidRPr="00855E7E">
              <w:t>Non-intrusive installation</w:t>
            </w:r>
          </w:p>
          <w:p w14:paraId="79B1BFB1" w14:textId="44DA0499" w:rsidR="00B91AE6" w:rsidRDefault="00B91AE6">
            <w:pPr>
              <w:pStyle w:val="TableBodyText"/>
              <w:numPr>
                <w:ilvl w:val="0"/>
                <w:numId w:val="86"/>
              </w:numPr>
              <w:spacing w:before="20" w:after="20" w:line="240" w:lineRule="auto"/>
              <w:ind w:left="216" w:hanging="216"/>
            </w:pPr>
            <w:r w:rsidRPr="00855E7E">
              <w:t>Installed on one side or both sides of the roadway depending on the system used</w:t>
            </w:r>
          </w:p>
        </w:tc>
        <w:tc>
          <w:tcPr>
            <w:tcW w:w="4505" w:type="dxa"/>
          </w:tcPr>
          <w:p w14:paraId="7AEF465B" w14:textId="77777777" w:rsidR="00B91AE6" w:rsidRPr="00855E7E" w:rsidRDefault="00B91AE6">
            <w:pPr>
              <w:pStyle w:val="TableBodyText"/>
              <w:numPr>
                <w:ilvl w:val="0"/>
                <w:numId w:val="86"/>
              </w:numPr>
              <w:spacing w:before="20" w:after="20" w:line="240" w:lineRule="auto"/>
              <w:ind w:left="216" w:hanging="216"/>
            </w:pPr>
            <w:r w:rsidRPr="00855E7E">
              <w:t>Operation is affected by fog when visibility is less than ≈20 feet (6 meters) or blowing snow is present</w:t>
            </w:r>
          </w:p>
          <w:p w14:paraId="486B1D06" w14:textId="77777777" w:rsidR="00B91AE6" w:rsidRPr="00B91AE6" w:rsidRDefault="00B91AE6">
            <w:pPr>
              <w:pStyle w:val="TableBodyText"/>
              <w:numPr>
                <w:ilvl w:val="0"/>
                <w:numId w:val="86"/>
              </w:numPr>
              <w:spacing w:before="20" w:after="20" w:line="240" w:lineRule="auto"/>
              <w:ind w:left="216" w:hanging="216"/>
            </w:pPr>
            <w:r w:rsidRPr="00855E7E">
              <w:t xml:space="preserve">Installation and maintenance, including periodic lens cleaning, require lane closure </w:t>
            </w:r>
            <w:r w:rsidRPr="00B91AE6">
              <w:t xml:space="preserve">(should not require a lane closure for cleaning </w:t>
            </w:r>
            <w:r w:rsidRPr="00855E7E">
              <w:t>and maintenance of a side-fired laser)</w:t>
            </w:r>
          </w:p>
          <w:p w14:paraId="3313E4EF" w14:textId="504554B5" w:rsidR="00B91AE6" w:rsidRDefault="00B91AE6">
            <w:pPr>
              <w:pStyle w:val="TableBodyText"/>
              <w:numPr>
                <w:ilvl w:val="0"/>
                <w:numId w:val="86"/>
              </w:numPr>
              <w:spacing w:before="20" w:after="20" w:line="240" w:lineRule="auto"/>
              <w:ind w:left="216" w:hanging="216"/>
            </w:pPr>
            <w:r w:rsidRPr="00855E7E">
              <w:t>Side</w:t>
            </w:r>
            <w:r>
              <w:t>-</w:t>
            </w:r>
            <w:r w:rsidRPr="00855E7E">
              <w:t>fire axle detection will not work with roads that have a substantial crown or median obstructions</w:t>
            </w:r>
          </w:p>
        </w:tc>
      </w:tr>
      <w:tr w:rsidR="00B91AE6" w14:paraId="09D79AE1" w14:textId="77777777" w:rsidTr="00207990">
        <w:trPr>
          <w:jc w:val="center"/>
        </w:trPr>
        <w:tc>
          <w:tcPr>
            <w:tcW w:w="1493" w:type="dxa"/>
          </w:tcPr>
          <w:p w14:paraId="1958A493" w14:textId="0305A127" w:rsidR="00B91AE6" w:rsidRPr="0019188C" w:rsidRDefault="00B91AE6" w:rsidP="0019188C">
            <w:pPr>
              <w:spacing w:before="20" w:after="20"/>
              <w:ind w:left="0"/>
              <w:jc w:val="left"/>
              <w:rPr>
                <w:b/>
                <w:bCs/>
              </w:rPr>
            </w:pPr>
            <w:r w:rsidRPr="0019188C">
              <w:rPr>
                <w:b/>
                <w:bCs/>
              </w:rPr>
              <w:t xml:space="preserve">Passive </w:t>
            </w:r>
            <w:r w:rsidR="00065FBA" w:rsidRPr="0019188C">
              <w:rPr>
                <w:b/>
                <w:bCs/>
              </w:rPr>
              <w:t>I</w:t>
            </w:r>
            <w:r w:rsidRPr="0019188C">
              <w:rPr>
                <w:b/>
                <w:bCs/>
              </w:rPr>
              <w:t>nfrared</w:t>
            </w:r>
          </w:p>
        </w:tc>
        <w:tc>
          <w:tcPr>
            <w:tcW w:w="3362" w:type="dxa"/>
          </w:tcPr>
          <w:p w14:paraId="49C719BE" w14:textId="77777777" w:rsidR="00B91AE6" w:rsidRPr="00855E7E" w:rsidRDefault="00B91AE6">
            <w:pPr>
              <w:pStyle w:val="TableBodyText"/>
              <w:numPr>
                <w:ilvl w:val="0"/>
                <w:numId w:val="86"/>
              </w:numPr>
              <w:spacing w:before="20" w:after="20" w:line="240" w:lineRule="auto"/>
              <w:ind w:left="216" w:hanging="216"/>
            </w:pPr>
            <w:r w:rsidRPr="00855E7E">
              <w:t>Multizone passive sensors measure speed</w:t>
            </w:r>
          </w:p>
          <w:p w14:paraId="76337054" w14:textId="77777777" w:rsidR="00B91AE6" w:rsidRPr="00855E7E" w:rsidRDefault="00B91AE6">
            <w:pPr>
              <w:pStyle w:val="TableBodyText"/>
              <w:numPr>
                <w:ilvl w:val="0"/>
                <w:numId w:val="86"/>
              </w:numPr>
              <w:spacing w:before="20" w:after="20" w:line="240" w:lineRule="auto"/>
              <w:ind w:left="216" w:hanging="216"/>
            </w:pPr>
            <w:r w:rsidRPr="00855E7E">
              <w:t>Good motorcycle detection</w:t>
            </w:r>
          </w:p>
          <w:p w14:paraId="78AE4A87" w14:textId="2E692C58" w:rsidR="00B91AE6" w:rsidRDefault="00B91AE6">
            <w:pPr>
              <w:pStyle w:val="TableBodyText"/>
              <w:numPr>
                <w:ilvl w:val="0"/>
                <w:numId w:val="86"/>
              </w:numPr>
              <w:spacing w:before="20" w:after="20" w:line="240" w:lineRule="auto"/>
              <w:ind w:left="216" w:hanging="216"/>
            </w:pPr>
            <w:r w:rsidRPr="00855E7E">
              <w:t>Non-intrusive installation</w:t>
            </w:r>
          </w:p>
        </w:tc>
        <w:tc>
          <w:tcPr>
            <w:tcW w:w="4505" w:type="dxa"/>
          </w:tcPr>
          <w:p w14:paraId="13D7001E" w14:textId="77777777" w:rsidR="00B91AE6" w:rsidRPr="00B91AE6" w:rsidRDefault="00B91AE6">
            <w:pPr>
              <w:pStyle w:val="TableBodyText"/>
              <w:numPr>
                <w:ilvl w:val="0"/>
                <w:numId w:val="86"/>
              </w:numPr>
              <w:spacing w:before="20" w:after="20" w:line="240" w:lineRule="auto"/>
              <w:ind w:left="216" w:hanging="216"/>
            </w:pPr>
            <w:r w:rsidRPr="00B91AE6">
              <w:t>Passive sensor has reduced vehicle sensitivity in heavy rain, snow, and dense fog</w:t>
            </w:r>
          </w:p>
          <w:p w14:paraId="3A2C31B3" w14:textId="77777777" w:rsidR="00B91AE6" w:rsidRPr="00B91AE6" w:rsidRDefault="00B91AE6">
            <w:pPr>
              <w:pStyle w:val="TableBodyText"/>
              <w:numPr>
                <w:ilvl w:val="0"/>
                <w:numId w:val="86"/>
              </w:numPr>
              <w:spacing w:before="20" w:after="20" w:line="240" w:lineRule="auto"/>
              <w:ind w:left="216" w:hanging="216"/>
            </w:pPr>
            <w:r w:rsidRPr="00B91AE6">
              <w:t>Some models not recommended for presence detection</w:t>
            </w:r>
          </w:p>
          <w:p w14:paraId="516E26E9" w14:textId="4C7B7FB6" w:rsidR="00B91AE6" w:rsidRDefault="00B91AE6">
            <w:pPr>
              <w:pStyle w:val="TableBodyText"/>
              <w:numPr>
                <w:ilvl w:val="0"/>
                <w:numId w:val="86"/>
              </w:numPr>
              <w:spacing w:before="20" w:after="20" w:line="240" w:lineRule="auto"/>
              <w:ind w:left="216" w:hanging="216"/>
            </w:pPr>
            <w:r w:rsidRPr="00B91AE6">
              <w:t>No accurate vehicle length or axle detection (requires periodic lens cleaning)</w:t>
            </w:r>
          </w:p>
        </w:tc>
      </w:tr>
      <w:tr w:rsidR="00B91AE6" w14:paraId="3819341C" w14:textId="77777777" w:rsidTr="00207990">
        <w:trPr>
          <w:jc w:val="center"/>
        </w:trPr>
        <w:tc>
          <w:tcPr>
            <w:tcW w:w="1493" w:type="dxa"/>
          </w:tcPr>
          <w:p w14:paraId="48E966D2" w14:textId="12868F5E" w:rsidR="00B91AE6" w:rsidRPr="0019188C" w:rsidRDefault="00B91AE6" w:rsidP="0019188C">
            <w:pPr>
              <w:spacing w:before="20" w:after="20"/>
              <w:ind w:left="0"/>
              <w:jc w:val="left"/>
              <w:rPr>
                <w:b/>
                <w:bCs/>
              </w:rPr>
            </w:pPr>
            <w:r w:rsidRPr="0019188C">
              <w:rPr>
                <w:b/>
                <w:bCs/>
              </w:rPr>
              <w:t>Ultrasonic</w:t>
            </w:r>
          </w:p>
        </w:tc>
        <w:tc>
          <w:tcPr>
            <w:tcW w:w="3362" w:type="dxa"/>
          </w:tcPr>
          <w:p w14:paraId="211756AD" w14:textId="77777777" w:rsidR="00B91AE6" w:rsidRPr="00855E7E" w:rsidRDefault="00B91AE6">
            <w:pPr>
              <w:pStyle w:val="TableBodyText"/>
              <w:numPr>
                <w:ilvl w:val="0"/>
                <w:numId w:val="86"/>
              </w:numPr>
              <w:spacing w:before="20" w:after="20" w:line="240" w:lineRule="auto"/>
              <w:ind w:left="216" w:hanging="216"/>
            </w:pPr>
            <w:r w:rsidRPr="00855E7E">
              <w:t>Multiple lane operation available</w:t>
            </w:r>
          </w:p>
          <w:p w14:paraId="3D1A5650" w14:textId="1764EE83" w:rsidR="00B91AE6" w:rsidRDefault="00B91AE6">
            <w:pPr>
              <w:pStyle w:val="TableBodyText"/>
              <w:numPr>
                <w:ilvl w:val="0"/>
                <w:numId w:val="86"/>
              </w:numPr>
              <w:spacing w:before="20" w:after="20" w:line="240" w:lineRule="auto"/>
              <w:ind w:left="216" w:hanging="216"/>
            </w:pPr>
            <w:r w:rsidRPr="00855E7E">
              <w:t>Capable of over</w:t>
            </w:r>
            <w:r>
              <w:t>-</w:t>
            </w:r>
            <w:r w:rsidRPr="00855E7E">
              <w:t>height vehicle detection</w:t>
            </w:r>
          </w:p>
        </w:tc>
        <w:tc>
          <w:tcPr>
            <w:tcW w:w="4505" w:type="dxa"/>
          </w:tcPr>
          <w:p w14:paraId="161ECBE5" w14:textId="77777777" w:rsidR="00B91AE6" w:rsidRPr="00855E7E" w:rsidRDefault="00B91AE6">
            <w:pPr>
              <w:pStyle w:val="TableBodyText"/>
              <w:numPr>
                <w:ilvl w:val="0"/>
                <w:numId w:val="86"/>
              </w:numPr>
              <w:spacing w:before="20" w:after="20" w:line="240" w:lineRule="auto"/>
              <w:ind w:left="216" w:hanging="216"/>
            </w:pPr>
            <w:r w:rsidRPr="00855E7E">
              <w:t>Environmental conditions such as temperature change and extreme air turbulence often affect performance; temperature compensation is built into some models</w:t>
            </w:r>
          </w:p>
          <w:p w14:paraId="3680BB6D" w14:textId="77777777" w:rsidR="00B91AE6" w:rsidRPr="00855E7E" w:rsidRDefault="00B91AE6">
            <w:pPr>
              <w:pStyle w:val="TableBodyText"/>
              <w:numPr>
                <w:ilvl w:val="0"/>
                <w:numId w:val="86"/>
              </w:numPr>
              <w:spacing w:before="20" w:after="20" w:line="240" w:lineRule="auto"/>
              <w:ind w:left="216" w:hanging="216"/>
            </w:pPr>
            <w:r w:rsidRPr="00855E7E">
              <w:t>Large pulse repetition periods degrade occupancy measurement on freeways with vehicles traveling at moderate to high speeds</w:t>
            </w:r>
          </w:p>
          <w:p w14:paraId="366E149A" w14:textId="03A31706" w:rsidR="00B91AE6" w:rsidRDefault="00B91AE6">
            <w:pPr>
              <w:pStyle w:val="TableBodyText"/>
              <w:numPr>
                <w:ilvl w:val="0"/>
                <w:numId w:val="86"/>
              </w:numPr>
              <w:spacing w:before="20" w:after="20" w:line="240" w:lineRule="auto"/>
              <w:ind w:left="216" w:hanging="216"/>
            </w:pPr>
            <w:r w:rsidRPr="00855E7E">
              <w:t>Cannot detect stopped vehicles</w:t>
            </w:r>
            <w:r>
              <w:t xml:space="preserve"> or individual</w:t>
            </w:r>
            <w:r w:rsidRPr="00855E7E">
              <w:t> axles</w:t>
            </w:r>
          </w:p>
        </w:tc>
      </w:tr>
      <w:tr w:rsidR="00B91AE6" w14:paraId="1057D7E9" w14:textId="77777777" w:rsidTr="00207990">
        <w:trPr>
          <w:jc w:val="center"/>
        </w:trPr>
        <w:tc>
          <w:tcPr>
            <w:tcW w:w="1493" w:type="dxa"/>
          </w:tcPr>
          <w:p w14:paraId="7B9F512E" w14:textId="1616DAB0" w:rsidR="00B91AE6" w:rsidRPr="0019188C" w:rsidRDefault="00B91AE6" w:rsidP="0019188C">
            <w:pPr>
              <w:spacing w:before="20" w:after="20"/>
              <w:ind w:left="0"/>
              <w:jc w:val="left"/>
              <w:rPr>
                <w:b/>
                <w:bCs/>
              </w:rPr>
            </w:pPr>
            <w:r w:rsidRPr="0019188C">
              <w:rPr>
                <w:b/>
                <w:bCs/>
              </w:rPr>
              <w:t>Acoustic</w:t>
            </w:r>
          </w:p>
        </w:tc>
        <w:tc>
          <w:tcPr>
            <w:tcW w:w="3362" w:type="dxa"/>
          </w:tcPr>
          <w:p w14:paraId="5EB52FA2" w14:textId="77777777" w:rsidR="00B91AE6" w:rsidRPr="00855E7E" w:rsidRDefault="00B91AE6">
            <w:pPr>
              <w:pStyle w:val="TableBodyText"/>
              <w:numPr>
                <w:ilvl w:val="0"/>
                <w:numId w:val="86"/>
              </w:numPr>
              <w:spacing w:before="20" w:after="20" w:line="240" w:lineRule="auto"/>
              <w:ind w:left="216" w:hanging="216"/>
            </w:pPr>
            <w:r w:rsidRPr="00855E7E">
              <w:t>Passive detection</w:t>
            </w:r>
          </w:p>
          <w:p w14:paraId="67F14FB6" w14:textId="77777777" w:rsidR="00B91AE6" w:rsidRPr="00855E7E" w:rsidRDefault="00B91AE6">
            <w:pPr>
              <w:pStyle w:val="TableBodyText"/>
              <w:numPr>
                <w:ilvl w:val="0"/>
                <w:numId w:val="86"/>
              </w:numPr>
              <w:spacing w:before="20" w:after="20" w:line="240" w:lineRule="auto"/>
              <w:ind w:left="216" w:hanging="216"/>
            </w:pPr>
            <w:r w:rsidRPr="00855E7E">
              <w:t>Insensitive to precipitation</w:t>
            </w:r>
          </w:p>
          <w:p w14:paraId="29FA519D" w14:textId="2F8BEE9B" w:rsidR="00B91AE6" w:rsidRDefault="00B91AE6">
            <w:pPr>
              <w:pStyle w:val="TableBodyText"/>
              <w:numPr>
                <w:ilvl w:val="0"/>
                <w:numId w:val="86"/>
              </w:numPr>
              <w:spacing w:before="20" w:after="20" w:line="240" w:lineRule="auto"/>
              <w:ind w:left="216" w:hanging="216"/>
            </w:pPr>
            <w:r w:rsidRPr="00855E7E">
              <w:t>Multiple lane operation available in some models</w:t>
            </w:r>
          </w:p>
        </w:tc>
        <w:tc>
          <w:tcPr>
            <w:tcW w:w="4505" w:type="dxa"/>
          </w:tcPr>
          <w:p w14:paraId="264D82F5" w14:textId="77777777" w:rsidR="00B91AE6" w:rsidRPr="00855E7E" w:rsidRDefault="00B91AE6">
            <w:pPr>
              <w:pStyle w:val="TableBodyText"/>
              <w:numPr>
                <w:ilvl w:val="0"/>
                <w:numId w:val="86"/>
              </w:numPr>
              <w:spacing w:before="20" w:after="20" w:line="240" w:lineRule="auto"/>
              <w:ind w:left="216" w:hanging="216"/>
            </w:pPr>
            <w:r w:rsidRPr="00855E7E">
              <w:t>Cold temperatures affect vehicle count accuracy</w:t>
            </w:r>
          </w:p>
          <w:p w14:paraId="06A5B1E5" w14:textId="77777777" w:rsidR="00B91AE6" w:rsidRPr="00855E7E" w:rsidRDefault="00B91AE6">
            <w:pPr>
              <w:pStyle w:val="TableBodyText"/>
              <w:numPr>
                <w:ilvl w:val="0"/>
                <w:numId w:val="86"/>
              </w:numPr>
              <w:spacing w:before="20" w:after="20" w:line="240" w:lineRule="auto"/>
              <w:ind w:left="216" w:hanging="216"/>
            </w:pPr>
            <w:r w:rsidRPr="00855E7E">
              <w:t>Specific models are not recommended with slow-moving vehicles in stop-and-go traffic</w:t>
            </w:r>
          </w:p>
          <w:p w14:paraId="0319D047" w14:textId="1DA65D35" w:rsidR="00B91AE6" w:rsidRDefault="00B91AE6">
            <w:pPr>
              <w:pStyle w:val="TableBodyText"/>
              <w:numPr>
                <w:ilvl w:val="0"/>
                <w:numId w:val="86"/>
              </w:numPr>
              <w:spacing w:before="20" w:after="20" w:line="240" w:lineRule="auto"/>
              <w:ind w:left="216" w:hanging="216"/>
            </w:pPr>
            <w:r w:rsidRPr="00855E7E">
              <w:t>Cannot detect stopped vehicles</w:t>
            </w:r>
            <w:r>
              <w:t xml:space="preserve"> or individual</w:t>
            </w:r>
            <w:r w:rsidRPr="00855E7E">
              <w:t> axles</w:t>
            </w:r>
          </w:p>
        </w:tc>
      </w:tr>
      <w:tr w:rsidR="00B91AE6" w14:paraId="0D89DEDB" w14:textId="77777777" w:rsidTr="00207990">
        <w:trPr>
          <w:jc w:val="center"/>
        </w:trPr>
        <w:tc>
          <w:tcPr>
            <w:tcW w:w="1493" w:type="dxa"/>
          </w:tcPr>
          <w:p w14:paraId="0286E767" w14:textId="3AD16B25" w:rsidR="00B91AE6" w:rsidRPr="0019188C" w:rsidRDefault="00B91AE6" w:rsidP="00207990">
            <w:pPr>
              <w:pageBreakBefore/>
              <w:spacing w:before="20" w:after="20"/>
              <w:ind w:left="0"/>
              <w:jc w:val="left"/>
              <w:rPr>
                <w:b/>
                <w:bCs/>
              </w:rPr>
            </w:pPr>
            <w:r w:rsidRPr="0019188C">
              <w:rPr>
                <w:b/>
                <w:bCs/>
              </w:rPr>
              <w:lastRenderedPageBreak/>
              <w:t xml:space="preserve">Video </w:t>
            </w:r>
            <w:r w:rsidR="00065FBA" w:rsidRPr="0019188C">
              <w:rPr>
                <w:b/>
                <w:bCs/>
              </w:rPr>
              <w:t>D</w:t>
            </w:r>
            <w:r w:rsidRPr="0019188C">
              <w:rPr>
                <w:b/>
                <w:bCs/>
              </w:rPr>
              <w:t xml:space="preserve">etection </w:t>
            </w:r>
            <w:r w:rsidR="00065FBA" w:rsidRPr="0019188C">
              <w:rPr>
                <w:b/>
                <w:bCs/>
              </w:rPr>
              <w:t>S</w:t>
            </w:r>
            <w:r w:rsidRPr="0019188C">
              <w:rPr>
                <w:b/>
                <w:bCs/>
              </w:rPr>
              <w:t>ystem</w:t>
            </w:r>
          </w:p>
        </w:tc>
        <w:tc>
          <w:tcPr>
            <w:tcW w:w="3362" w:type="dxa"/>
          </w:tcPr>
          <w:p w14:paraId="03A69E4D" w14:textId="77777777" w:rsidR="00B91AE6" w:rsidRPr="00855E7E" w:rsidRDefault="00B91AE6">
            <w:pPr>
              <w:pStyle w:val="TableBodyText"/>
              <w:numPr>
                <w:ilvl w:val="0"/>
                <w:numId w:val="86"/>
              </w:numPr>
              <w:spacing w:before="20" w:after="20" w:line="240" w:lineRule="auto"/>
              <w:ind w:left="216" w:hanging="216"/>
            </w:pPr>
            <w:r w:rsidRPr="00855E7E">
              <w:t>Monitors multiple lanes and multiple detection zones/lane</w:t>
            </w:r>
          </w:p>
          <w:p w14:paraId="2A13AB2B" w14:textId="7CD4F0C8" w:rsidR="00B91AE6" w:rsidRPr="00855E7E" w:rsidRDefault="00B91AE6">
            <w:pPr>
              <w:pStyle w:val="TableBodyText"/>
              <w:numPr>
                <w:ilvl w:val="0"/>
                <w:numId w:val="86"/>
              </w:numPr>
              <w:spacing w:before="20" w:after="20" w:line="240" w:lineRule="auto"/>
              <w:ind w:left="216" w:hanging="216"/>
            </w:pPr>
            <w:r w:rsidRPr="00855E7E">
              <w:t>Easy to add and modify detection</w:t>
            </w:r>
            <w:r w:rsidR="00207990">
              <w:t xml:space="preserve"> </w:t>
            </w:r>
            <w:r w:rsidRPr="00855E7E">
              <w:t>zones</w:t>
            </w:r>
          </w:p>
          <w:p w14:paraId="4F9A5721" w14:textId="77777777" w:rsidR="00B91AE6" w:rsidRPr="00855E7E" w:rsidRDefault="00B91AE6">
            <w:pPr>
              <w:pStyle w:val="TableBodyText"/>
              <w:numPr>
                <w:ilvl w:val="0"/>
                <w:numId w:val="86"/>
              </w:numPr>
              <w:spacing w:before="20" w:after="20" w:line="240" w:lineRule="auto"/>
              <w:ind w:left="216" w:hanging="216"/>
            </w:pPr>
            <w:r w:rsidRPr="00855E7E">
              <w:t>Rich array of data available</w:t>
            </w:r>
          </w:p>
          <w:p w14:paraId="6F0D63E7" w14:textId="77777777" w:rsidR="00B91AE6" w:rsidRDefault="00B91AE6">
            <w:pPr>
              <w:pStyle w:val="TableBodyText"/>
              <w:numPr>
                <w:ilvl w:val="0"/>
                <w:numId w:val="86"/>
              </w:numPr>
              <w:spacing w:before="20" w:after="20" w:line="240" w:lineRule="auto"/>
              <w:ind w:left="216" w:hanging="216"/>
            </w:pPr>
            <w:r w:rsidRPr="00855E7E">
              <w:t>Generally, cost effective when many detection zones within the camera field of view or specialized data are required</w:t>
            </w:r>
          </w:p>
          <w:p w14:paraId="0C68079A" w14:textId="6FBE89BB" w:rsidR="00B91AE6" w:rsidRDefault="00B91AE6">
            <w:pPr>
              <w:pStyle w:val="TableBodyText"/>
              <w:numPr>
                <w:ilvl w:val="0"/>
                <w:numId w:val="86"/>
              </w:numPr>
              <w:spacing w:before="20" w:after="20" w:line="240" w:lineRule="auto"/>
              <w:ind w:left="216" w:hanging="216"/>
            </w:pPr>
            <w:r w:rsidRPr="00855E7E">
              <w:t>Non-intrusive installation</w:t>
            </w:r>
          </w:p>
        </w:tc>
        <w:tc>
          <w:tcPr>
            <w:tcW w:w="4505" w:type="dxa"/>
          </w:tcPr>
          <w:p w14:paraId="7BB6ABAA" w14:textId="77777777" w:rsidR="00B91AE6" w:rsidRPr="00855E7E" w:rsidRDefault="00B91AE6">
            <w:pPr>
              <w:pStyle w:val="TableBodyText"/>
              <w:numPr>
                <w:ilvl w:val="0"/>
                <w:numId w:val="86"/>
              </w:numPr>
              <w:spacing w:before="20" w:after="20" w:line="240" w:lineRule="auto"/>
              <w:ind w:left="216" w:hanging="216"/>
            </w:pPr>
            <w:r w:rsidRPr="00855E7E">
              <w:t>Installation and maintenance, including periodic lens cleaning, require lane closure when camera is mounted over roadway (lane closure is not required when camera is mounted at side of roadway)</w:t>
            </w:r>
          </w:p>
          <w:p w14:paraId="29E485C8" w14:textId="77777777" w:rsidR="00B91AE6" w:rsidRPr="00855E7E" w:rsidRDefault="00B91AE6">
            <w:pPr>
              <w:pStyle w:val="TableBodyText"/>
              <w:numPr>
                <w:ilvl w:val="0"/>
                <w:numId w:val="86"/>
              </w:numPr>
              <w:spacing w:before="20" w:after="20" w:line="240" w:lineRule="auto"/>
              <w:ind w:left="216" w:hanging="216"/>
            </w:pPr>
            <w:r w:rsidRPr="00855E7E">
              <w:t>Performance affected by inclement weather such as fog, rain, and snow; vehicle shadows; vehicle projection into adjacent lanes; occlusion; day-to-night transition; vehicle/road contrast; and water, salt grime, icicles, and cobwebs on camera lens</w:t>
            </w:r>
          </w:p>
          <w:p w14:paraId="3EED0839" w14:textId="77777777" w:rsidR="00B91AE6" w:rsidRPr="00855E7E" w:rsidRDefault="00B91AE6">
            <w:pPr>
              <w:pStyle w:val="TableBodyText"/>
              <w:numPr>
                <w:ilvl w:val="0"/>
                <w:numId w:val="86"/>
              </w:numPr>
              <w:spacing w:before="20" w:after="20" w:line="240" w:lineRule="auto"/>
              <w:ind w:left="216" w:hanging="216"/>
            </w:pPr>
            <w:r w:rsidRPr="00855E7E">
              <w:t>Reliable nighttime signal actuation requires illumination</w:t>
            </w:r>
          </w:p>
          <w:p w14:paraId="26613FE3" w14:textId="77777777" w:rsidR="00B91AE6" w:rsidRPr="00855E7E" w:rsidRDefault="00B91AE6">
            <w:pPr>
              <w:pStyle w:val="TableBodyText"/>
              <w:numPr>
                <w:ilvl w:val="0"/>
                <w:numId w:val="86"/>
              </w:numPr>
              <w:spacing w:before="20" w:after="20" w:line="240" w:lineRule="auto"/>
              <w:ind w:left="216" w:hanging="216"/>
            </w:pPr>
            <w:r w:rsidRPr="00855E7E">
              <w:t>Requires 30- to 50-ft (9- to 15-m) camera mounting height (in a side-mounting configuration) for optimum presence detection and speed measurement</w:t>
            </w:r>
          </w:p>
          <w:p w14:paraId="7BDC9E62" w14:textId="77777777" w:rsidR="00B91AE6" w:rsidRPr="00855E7E" w:rsidRDefault="00B91AE6">
            <w:pPr>
              <w:pStyle w:val="TableBodyText"/>
              <w:numPr>
                <w:ilvl w:val="0"/>
                <w:numId w:val="86"/>
              </w:numPr>
              <w:spacing w:before="20" w:after="20" w:line="240" w:lineRule="auto"/>
              <w:ind w:left="216" w:hanging="216"/>
            </w:pPr>
            <w:r w:rsidRPr="00855E7E">
              <w:t>Cannot detect axles</w:t>
            </w:r>
          </w:p>
          <w:p w14:paraId="59B51B46" w14:textId="77777777" w:rsidR="00B91AE6" w:rsidRDefault="00B91AE6">
            <w:pPr>
              <w:pStyle w:val="TableBodyText"/>
              <w:numPr>
                <w:ilvl w:val="0"/>
                <w:numId w:val="86"/>
              </w:numPr>
              <w:spacing w:before="20" w:after="20" w:line="240" w:lineRule="auto"/>
              <w:ind w:left="216" w:hanging="216"/>
            </w:pPr>
            <w:r w:rsidRPr="00855E7E">
              <w:t>Some models susceptible to camera motion caused by strong winds or vibration of camera mounting structure</w:t>
            </w:r>
          </w:p>
          <w:p w14:paraId="0DF866BB" w14:textId="13E42812" w:rsidR="00B91AE6" w:rsidRDefault="00B91AE6">
            <w:pPr>
              <w:pStyle w:val="TableBodyText"/>
              <w:numPr>
                <w:ilvl w:val="0"/>
                <w:numId w:val="86"/>
              </w:numPr>
              <w:spacing w:before="20" w:after="20" w:line="240" w:lineRule="auto"/>
              <w:ind w:left="216" w:hanging="216"/>
            </w:pPr>
            <w:r w:rsidRPr="00A0571C">
              <w:t>Complicated or expensive data processing required</w:t>
            </w:r>
          </w:p>
        </w:tc>
      </w:tr>
    </w:tbl>
    <w:bookmarkEnd w:id="689"/>
    <w:p w14:paraId="50A918DE" w14:textId="26E144A8" w:rsidR="008822A4" w:rsidRPr="00855E7E" w:rsidRDefault="008822A4" w:rsidP="00B854E1">
      <w:pPr>
        <w:pStyle w:val="Source"/>
      </w:pPr>
      <w:r w:rsidRPr="00855E7E">
        <w:t>Source:</w:t>
      </w:r>
      <w:r w:rsidR="0061163F">
        <w:t xml:space="preserve"> </w:t>
      </w:r>
      <w:r w:rsidR="00600225">
        <w:t xml:space="preserve"> </w:t>
      </w:r>
      <w:r w:rsidRPr="00855E7E">
        <w:t xml:space="preserve">Adapted from </w:t>
      </w:r>
      <w:r w:rsidRPr="00855E7E">
        <w:rPr>
          <w:iCs/>
        </w:rPr>
        <w:t>Traffic Detector Handbook</w:t>
      </w:r>
      <w:r w:rsidRPr="00855E7E">
        <w:t xml:space="preserve">, 2006. </w:t>
      </w:r>
    </w:p>
    <w:p w14:paraId="5FC8F074" w14:textId="77777777" w:rsidR="00483FDF" w:rsidRDefault="00483FDF" w:rsidP="00D25C28">
      <w:pPr>
        <w:pStyle w:val="FigureCaption"/>
      </w:pPr>
      <w:bookmarkStart w:id="695" w:name="_Toc63428088"/>
      <w:r>
        <w:br w:type="page"/>
      </w:r>
    </w:p>
    <w:p w14:paraId="022BD43E" w14:textId="31182B17" w:rsidR="008822A4" w:rsidRPr="00855E7E" w:rsidRDefault="008822A4" w:rsidP="00B91AE6">
      <w:pPr>
        <w:pStyle w:val="TMGTableCaption"/>
      </w:pPr>
      <w:bookmarkStart w:id="696" w:name="_Ref114749774"/>
      <w:bookmarkStart w:id="697" w:name="_Toc68874101"/>
      <w:bookmarkStart w:id="698" w:name="_Toc114474813"/>
      <w:bookmarkStart w:id="699" w:name="_Toc120631119"/>
      <w:r w:rsidRPr="00855E7E">
        <w:lastRenderedPageBreak/>
        <w:t xml:space="preserve">Table </w:t>
      </w:r>
      <w:fldSimple w:instr=" STYLEREF 1 \s ">
        <w:r w:rsidR="00C07DF9">
          <w:rPr>
            <w:noProof/>
          </w:rPr>
          <w:t>2</w:t>
        </w:r>
      </w:fldSimple>
      <w:r w:rsidR="00FE5355">
        <w:noBreakHyphen/>
      </w:r>
      <w:fldSimple w:instr=" SEQ Table \* ARABIC \s 1 ">
        <w:r w:rsidR="00C07DF9">
          <w:rPr>
            <w:noProof/>
          </w:rPr>
          <w:t>3</w:t>
        </w:r>
      </w:fldSimple>
      <w:bookmarkEnd w:id="696"/>
      <w:r w:rsidR="00E34EB1">
        <w:t>.</w:t>
      </w:r>
      <w:r w:rsidRPr="00855E7E">
        <w:t xml:space="preserve"> Strengths </w:t>
      </w:r>
      <w:r w:rsidR="006827F7">
        <w:t>a</w:t>
      </w:r>
      <w:r w:rsidRPr="00855E7E">
        <w:t xml:space="preserve">nd Weaknesses </w:t>
      </w:r>
      <w:r w:rsidR="006827F7">
        <w:t>o</w:t>
      </w:r>
      <w:r w:rsidRPr="00855E7E">
        <w:t>f W</w:t>
      </w:r>
      <w:r w:rsidR="000059F9">
        <w:t>IM</w:t>
      </w:r>
      <w:r w:rsidRPr="00855E7E">
        <w:t xml:space="preserve"> Technologies </w:t>
      </w:r>
      <w:r w:rsidR="006827F7">
        <w:t>f</w:t>
      </w:r>
      <w:r w:rsidRPr="00855E7E">
        <w:t xml:space="preserve">or Moving Motorized Vehicle Detection, Counting, Weighing, </w:t>
      </w:r>
      <w:r w:rsidR="006827F7">
        <w:t>a</w:t>
      </w:r>
      <w:r w:rsidRPr="00855E7E">
        <w:t>nd Classifying</w:t>
      </w:r>
      <w:bookmarkEnd w:id="695"/>
      <w:bookmarkEnd w:id="697"/>
      <w:bookmarkEnd w:id="698"/>
      <w:bookmarkEnd w:id="699"/>
    </w:p>
    <w:tbl>
      <w:tblPr>
        <w:tblStyle w:val="TableGrid1"/>
        <w:tblW w:w="9360" w:type="dxa"/>
        <w:jc w:val="center"/>
        <w:tblCellMar>
          <w:left w:w="86" w:type="dxa"/>
          <w:right w:w="86" w:type="dxa"/>
        </w:tblCellMar>
        <w:tblLook w:val="04A0" w:firstRow="1" w:lastRow="0" w:firstColumn="1" w:lastColumn="0" w:noHBand="0" w:noVBand="1"/>
        <w:tblCaption w:val="Table 2"/>
        <w:tblDescription w:val="Summary of WIM Sensor Technology Assessment by sensor type to outline the strengths, weaknesses, ASTM type, and recommended use or applications of each."/>
      </w:tblPr>
      <w:tblGrid>
        <w:gridCol w:w="1421"/>
        <w:gridCol w:w="3834"/>
        <w:gridCol w:w="4105"/>
      </w:tblGrid>
      <w:tr w:rsidR="008822A4" w:rsidRPr="0019188C" w14:paraId="0C23F10E" w14:textId="77777777" w:rsidTr="00600225">
        <w:trPr>
          <w:trHeight w:val="151"/>
          <w:tblHeader/>
          <w:jc w:val="center"/>
        </w:trPr>
        <w:tc>
          <w:tcPr>
            <w:tcW w:w="759" w:type="pct"/>
            <w:tcBorders>
              <w:right w:val="single" w:sz="4" w:space="0" w:color="FFFFFF" w:themeColor="background1"/>
            </w:tcBorders>
            <w:shd w:val="clear" w:color="auto" w:fill="1F3864" w:themeFill="accent1" w:themeFillShade="80"/>
            <w:vAlign w:val="center"/>
            <w:hideMark/>
          </w:tcPr>
          <w:p w14:paraId="667A0EF6" w14:textId="77777777" w:rsidR="008822A4" w:rsidRPr="0019188C" w:rsidRDefault="008822A4" w:rsidP="0019188C">
            <w:pPr>
              <w:spacing w:before="20" w:after="20"/>
              <w:jc w:val="center"/>
              <w:rPr>
                <w:b/>
                <w:bCs/>
                <w:color w:val="FFFFFF" w:themeColor="background1"/>
              </w:rPr>
            </w:pPr>
            <w:r w:rsidRPr="0019188C">
              <w:rPr>
                <w:b/>
                <w:bCs/>
                <w:color w:val="FFFFFF" w:themeColor="background1"/>
              </w:rPr>
              <w:t>Sensor Type</w:t>
            </w:r>
          </w:p>
        </w:tc>
        <w:tc>
          <w:tcPr>
            <w:tcW w:w="2048" w:type="pct"/>
            <w:tcBorders>
              <w:left w:val="single" w:sz="4" w:space="0" w:color="FFFFFF" w:themeColor="background1"/>
              <w:right w:val="single" w:sz="4" w:space="0" w:color="FFFFFF" w:themeColor="background1"/>
            </w:tcBorders>
            <w:shd w:val="clear" w:color="auto" w:fill="1F3864" w:themeFill="accent1" w:themeFillShade="80"/>
            <w:vAlign w:val="center"/>
            <w:hideMark/>
          </w:tcPr>
          <w:p w14:paraId="739CD54C" w14:textId="77777777" w:rsidR="008822A4" w:rsidRPr="0019188C" w:rsidRDefault="008822A4" w:rsidP="0019188C">
            <w:pPr>
              <w:spacing w:before="20" w:after="20"/>
              <w:jc w:val="center"/>
              <w:rPr>
                <w:b/>
                <w:bCs/>
                <w:color w:val="FFFFFF" w:themeColor="background1"/>
              </w:rPr>
            </w:pPr>
            <w:r w:rsidRPr="0019188C">
              <w:rPr>
                <w:b/>
                <w:bCs/>
                <w:color w:val="FFFFFF" w:themeColor="background1"/>
              </w:rPr>
              <w:t>Strengths</w:t>
            </w:r>
          </w:p>
        </w:tc>
        <w:tc>
          <w:tcPr>
            <w:tcW w:w="2193" w:type="pct"/>
            <w:tcBorders>
              <w:left w:val="single" w:sz="4" w:space="0" w:color="FFFFFF" w:themeColor="background1"/>
            </w:tcBorders>
            <w:shd w:val="clear" w:color="auto" w:fill="1F3864" w:themeFill="accent1" w:themeFillShade="80"/>
            <w:vAlign w:val="center"/>
            <w:hideMark/>
          </w:tcPr>
          <w:p w14:paraId="62AFC4F6" w14:textId="77777777" w:rsidR="008822A4" w:rsidRPr="0019188C" w:rsidRDefault="008822A4" w:rsidP="0019188C">
            <w:pPr>
              <w:spacing w:before="20" w:after="20"/>
              <w:jc w:val="center"/>
              <w:rPr>
                <w:b/>
                <w:bCs/>
                <w:color w:val="FFFFFF" w:themeColor="background1"/>
              </w:rPr>
            </w:pPr>
            <w:r w:rsidRPr="0019188C">
              <w:rPr>
                <w:b/>
                <w:bCs/>
                <w:color w:val="FFFFFF" w:themeColor="background1"/>
              </w:rPr>
              <w:t>Weaknesses</w:t>
            </w:r>
          </w:p>
        </w:tc>
      </w:tr>
      <w:tr w:rsidR="00973D01" w:rsidRPr="00973D01" w14:paraId="228348DD" w14:textId="77777777" w:rsidTr="00600225">
        <w:trPr>
          <w:jc w:val="center"/>
        </w:trPr>
        <w:tc>
          <w:tcPr>
            <w:tcW w:w="759" w:type="pct"/>
            <w:hideMark/>
          </w:tcPr>
          <w:p w14:paraId="59E357D6" w14:textId="77777777" w:rsidR="008822A4" w:rsidRPr="0081246B" w:rsidRDefault="008822A4" w:rsidP="00973D01">
            <w:pPr>
              <w:pStyle w:val="TableBodyText"/>
              <w:rPr>
                <w:rFonts w:eastAsia="Calibri"/>
                <w:b/>
                <w:color w:val="auto"/>
              </w:rPr>
            </w:pPr>
            <w:r w:rsidRPr="0081246B">
              <w:rPr>
                <w:rFonts w:eastAsia="Calibri"/>
                <w:b/>
                <w:color w:val="auto"/>
              </w:rPr>
              <w:t>Load Cell</w:t>
            </w:r>
          </w:p>
        </w:tc>
        <w:tc>
          <w:tcPr>
            <w:tcW w:w="2048" w:type="pct"/>
            <w:hideMark/>
          </w:tcPr>
          <w:p w14:paraId="01AD9DF7" w14:textId="77777777" w:rsidR="008822A4" w:rsidRPr="00855E7E" w:rsidRDefault="008822A4" w:rsidP="00B854E1">
            <w:pPr>
              <w:pStyle w:val="TableBodyText"/>
              <w:spacing w:before="20" w:after="60" w:line="240" w:lineRule="auto"/>
              <w:ind w:left="144" w:hanging="144"/>
              <w:rPr>
                <w:rFonts w:eastAsia="Calibri"/>
                <w:color w:val="auto"/>
              </w:rPr>
            </w:pPr>
            <w:r w:rsidRPr="00855E7E">
              <w:rPr>
                <w:rFonts w:eastAsia="Calibri"/>
                <w:color w:val="auto"/>
              </w:rPr>
              <w:t xml:space="preserve">Higher </w:t>
            </w:r>
            <w:r w:rsidRPr="00B854E1">
              <w:rPr>
                <w:rFonts w:cstheme="minorHAnsi"/>
                <w:color w:val="auto"/>
                <w:szCs w:val="20"/>
              </w:rPr>
              <w:t>accuracy</w:t>
            </w:r>
          </w:p>
          <w:p w14:paraId="7C91AB73" w14:textId="77777777" w:rsidR="008822A4" w:rsidRDefault="008822A4" w:rsidP="00B854E1">
            <w:pPr>
              <w:pStyle w:val="TableBodyText"/>
              <w:spacing w:before="20" w:after="60" w:line="240" w:lineRule="auto"/>
              <w:ind w:left="144" w:hanging="144"/>
              <w:rPr>
                <w:rFonts w:eastAsia="Calibri"/>
                <w:color w:val="auto"/>
              </w:rPr>
            </w:pPr>
            <w:r w:rsidRPr="00855E7E">
              <w:rPr>
                <w:rFonts w:eastAsia="Calibri"/>
                <w:color w:val="auto"/>
              </w:rPr>
              <w:t xml:space="preserve">Provides </w:t>
            </w:r>
            <w:r w:rsidRPr="00B854E1">
              <w:rPr>
                <w:rFonts w:cstheme="minorHAnsi"/>
                <w:color w:val="auto"/>
                <w:szCs w:val="20"/>
              </w:rPr>
              <w:t>count</w:t>
            </w:r>
            <w:r w:rsidRPr="00855E7E">
              <w:rPr>
                <w:rFonts w:eastAsia="Calibri"/>
                <w:color w:val="auto"/>
              </w:rPr>
              <w:t>, classification, speed, weight, axle spacing, individual vehicle records data</w:t>
            </w:r>
          </w:p>
          <w:p w14:paraId="7B6B46C0" w14:textId="77777777" w:rsidR="008822A4" w:rsidRPr="00855E7E" w:rsidRDefault="008822A4" w:rsidP="00600225">
            <w:pPr>
              <w:pStyle w:val="TableBodyText"/>
              <w:spacing w:before="20" w:after="20" w:line="240" w:lineRule="auto"/>
              <w:ind w:left="144" w:hanging="144"/>
              <w:rPr>
                <w:rFonts w:eastAsia="Calibri"/>
                <w:color w:val="auto"/>
              </w:rPr>
            </w:pPr>
            <w:r>
              <w:rPr>
                <w:rFonts w:eastAsia="Calibri"/>
                <w:color w:val="auto"/>
              </w:rPr>
              <w:t>Long service life</w:t>
            </w:r>
          </w:p>
        </w:tc>
        <w:tc>
          <w:tcPr>
            <w:tcW w:w="2193" w:type="pct"/>
            <w:hideMark/>
          </w:tcPr>
          <w:p w14:paraId="5D861AC6" w14:textId="77777777" w:rsidR="008822A4" w:rsidRPr="00855E7E" w:rsidRDefault="008822A4" w:rsidP="00B854E1">
            <w:pPr>
              <w:pStyle w:val="TableBodyText"/>
              <w:spacing w:before="20" w:after="60" w:line="240" w:lineRule="auto"/>
              <w:ind w:left="144" w:hanging="144"/>
              <w:rPr>
                <w:rFonts w:eastAsia="Calibri"/>
                <w:color w:val="auto"/>
              </w:rPr>
            </w:pPr>
            <w:r w:rsidRPr="00855E7E">
              <w:rPr>
                <w:rFonts w:eastAsia="Calibri"/>
                <w:color w:val="auto"/>
              </w:rPr>
              <w:t>Use in concrete only</w:t>
            </w:r>
          </w:p>
          <w:p w14:paraId="7CBE14D6" w14:textId="77777777" w:rsidR="008822A4" w:rsidRPr="00855E7E" w:rsidRDefault="008822A4" w:rsidP="00B854E1">
            <w:pPr>
              <w:pStyle w:val="TableBodyText"/>
              <w:spacing w:before="20" w:after="60" w:line="240" w:lineRule="auto"/>
              <w:ind w:left="144" w:hanging="144"/>
              <w:rPr>
                <w:rFonts w:eastAsia="Calibri"/>
                <w:color w:val="auto"/>
              </w:rPr>
            </w:pPr>
            <w:r w:rsidRPr="00855E7E">
              <w:rPr>
                <w:rFonts w:eastAsia="Calibri"/>
                <w:color w:val="auto"/>
              </w:rPr>
              <w:t>High cost</w:t>
            </w:r>
            <w:r>
              <w:rPr>
                <w:rFonts w:eastAsia="Calibri"/>
                <w:color w:val="auto"/>
              </w:rPr>
              <w:t xml:space="preserve">; total </w:t>
            </w:r>
            <w:r w:rsidRPr="00B854E1">
              <w:rPr>
                <w:rFonts w:cstheme="minorHAnsi"/>
                <w:color w:val="auto"/>
                <w:szCs w:val="20"/>
              </w:rPr>
              <w:t>life</w:t>
            </w:r>
            <w:r>
              <w:rPr>
                <w:rFonts w:eastAsia="Calibri"/>
                <w:color w:val="auto"/>
              </w:rPr>
              <w:t>-cycle cost is more efficient over long data collection periods</w:t>
            </w:r>
          </w:p>
          <w:p w14:paraId="23326010" w14:textId="77777777" w:rsidR="008822A4" w:rsidRPr="00855E7E" w:rsidRDefault="008822A4" w:rsidP="00B854E1">
            <w:pPr>
              <w:pStyle w:val="TableBodyText"/>
              <w:spacing w:before="20" w:after="60" w:line="240" w:lineRule="auto"/>
              <w:ind w:left="144" w:hanging="144"/>
              <w:rPr>
                <w:rFonts w:eastAsia="Calibri"/>
                <w:color w:val="auto"/>
              </w:rPr>
            </w:pPr>
            <w:r w:rsidRPr="00855E7E">
              <w:rPr>
                <w:rFonts w:eastAsia="Calibri"/>
                <w:color w:val="auto"/>
              </w:rPr>
              <w:t xml:space="preserve">High </w:t>
            </w:r>
            <w:r w:rsidRPr="00B854E1">
              <w:rPr>
                <w:rFonts w:cstheme="minorHAnsi"/>
                <w:color w:val="auto"/>
                <w:szCs w:val="20"/>
              </w:rPr>
              <w:t>maintenance</w:t>
            </w:r>
          </w:p>
          <w:p w14:paraId="5E9C0546" w14:textId="77777777" w:rsidR="008822A4" w:rsidRPr="00855E7E" w:rsidRDefault="008822A4" w:rsidP="00600225">
            <w:pPr>
              <w:pStyle w:val="TableBodyText"/>
              <w:spacing w:before="20" w:after="20" w:line="240" w:lineRule="auto"/>
              <w:ind w:left="144" w:hanging="144"/>
              <w:rPr>
                <w:rFonts w:eastAsia="Calibri"/>
                <w:color w:val="auto"/>
              </w:rPr>
            </w:pPr>
            <w:r w:rsidRPr="00855E7E">
              <w:rPr>
                <w:rFonts w:eastAsia="Calibri"/>
                <w:color w:val="auto"/>
              </w:rPr>
              <w:t>Installation requires more time, training, and resources</w:t>
            </w:r>
          </w:p>
        </w:tc>
      </w:tr>
      <w:tr w:rsidR="008822A4" w:rsidRPr="00855E7E" w14:paraId="4BC9C64F" w14:textId="77777777" w:rsidTr="00600225">
        <w:trPr>
          <w:trHeight w:val="475"/>
          <w:jc w:val="center"/>
        </w:trPr>
        <w:tc>
          <w:tcPr>
            <w:tcW w:w="759" w:type="pct"/>
            <w:hideMark/>
          </w:tcPr>
          <w:p w14:paraId="218F187C" w14:textId="77777777" w:rsidR="008822A4" w:rsidRPr="0081246B" w:rsidRDefault="008822A4" w:rsidP="00973D01">
            <w:pPr>
              <w:pStyle w:val="TableBodyText"/>
              <w:rPr>
                <w:rFonts w:eastAsia="Calibri"/>
                <w:b/>
                <w:color w:val="auto"/>
              </w:rPr>
            </w:pPr>
            <w:r w:rsidRPr="0081246B">
              <w:rPr>
                <w:rFonts w:eastAsia="Calibri"/>
                <w:b/>
                <w:color w:val="auto"/>
              </w:rPr>
              <w:t>Bending Plate</w:t>
            </w:r>
          </w:p>
        </w:tc>
        <w:tc>
          <w:tcPr>
            <w:tcW w:w="2048" w:type="pct"/>
            <w:hideMark/>
          </w:tcPr>
          <w:p w14:paraId="09AB0A7E" w14:textId="77777777" w:rsidR="008822A4" w:rsidRPr="00855E7E" w:rsidRDefault="008822A4" w:rsidP="00B854E1">
            <w:pPr>
              <w:pStyle w:val="TableBodyText"/>
              <w:spacing w:before="20" w:after="60" w:line="240" w:lineRule="auto"/>
              <w:ind w:left="144" w:hanging="144"/>
              <w:rPr>
                <w:rFonts w:eastAsia="Calibri"/>
                <w:color w:val="auto"/>
              </w:rPr>
            </w:pPr>
            <w:r w:rsidRPr="00855E7E">
              <w:rPr>
                <w:rFonts w:eastAsia="Calibri"/>
                <w:color w:val="auto"/>
              </w:rPr>
              <w:t xml:space="preserve">Higher </w:t>
            </w:r>
            <w:r w:rsidRPr="00B854E1">
              <w:rPr>
                <w:rFonts w:cstheme="minorHAnsi"/>
                <w:color w:val="auto"/>
                <w:szCs w:val="20"/>
              </w:rPr>
              <w:t>accuracy</w:t>
            </w:r>
          </w:p>
          <w:p w14:paraId="01BE3528" w14:textId="77777777" w:rsidR="008822A4" w:rsidRDefault="008822A4" w:rsidP="00B854E1">
            <w:pPr>
              <w:pStyle w:val="TableBodyText"/>
              <w:spacing w:before="20" w:after="60" w:line="240" w:lineRule="auto"/>
              <w:ind w:left="144" w:hanging="144"/>
              <w:rPr>
                <w:rFonts w:eastAsia="Calibri"/>
                <w:color w:val="auto"/>
              </w:rPr>
            </w:pPr>
            <w:r w:rsidRPr="00855E7E">
              <w:rPr>
                <w:rFonts w:eastAsia="Calibri"/>
                <w:color w:val="auto"/>
              </w:rPr>
              <w:t xml:space="preserve">Provides </w:t>
            </w:r>
            <w:r w:rsidRPr="00B854E1">
              <w:rPr>
                <w:rFonts w:cstheme="minorHAnsi"/>
                <w:color w:val="auto"/>
                <w:szCs w:val="20"/>
              </w:rPr>
              <w:t>count</w:t>
            </w:r>
            <w:r w:rsidRPr="00855E7E">
              <w:rPr>
                <w:rFonts w:eastAsia="Calibri"/>
                <w:color w:val="auto"/>
              </w:rPr>
              <w:t>, classification, speed, weight, axle spacing, individual vehicle records data</w:t>
            </w:r>
          </w:p>
          <w:p w14:paraId="7909E78A" w14:textId="77777777" w:rsidR="008822A4" w:rsidRPr="00855E7E" w:rsidRDefault="008822A4" w:rsidP="00600225">
            <w:pPr>
              <w:pStyle w:val="TableBodyText"/>
              <w:spacing w:before="20" w:after="20" w:line="240" w:lineRule="auto"/>
              <w:ind w:left="144" w:hanging="144"/>
              <w:rPr>
                <w:rFonts w:eastAsia="Calibri"/>
                <w:color w:val="auto"/>
              </w:rPr>
            </w:pPr>
            <w:r>
              <w:rPr>
                <w:rFonts w:eastAsia="Calibri"/>
                <w:color w:val="auto"/>
              </w:rPr>
              <w:t>Long service life</w:t>
            </w:r>
          </w:p>
        </w:tc>
        <w:tc>
          <w:tcPr>
            <w:tcW w:w="2193" w:type="pct"/>
            <w:hideMark/>
          </w:tcPr>
          <w:p w14:paraId="0C049931" w14:textId="77777777" w:rsidR="008822A4" w:rsidRPr="00855E7E" w:rsidRDefault="008822A4" w:rsidP="00B854E1">
            <w:pPr>
              <w:pStyle w:val="TableBodyText"/>
              <w:spacing w:before="20" w:after="60" w:line="240" w:lineRule="auto"/>
              <w:ind w:left="144" w:hanging="144"/>
              <w:rPr>
                <w:rFonts w:eastAsia="Calibri"/>
                <w:color w:val="auto"/>
              </w:rPr>
            </w:pPr>
            <w:r w:rsidRPr="00855E7E">
              <w:rPr>
                <w:rFonts w:eastAsia="Calibri"/>
                <w:color w:val="auto"/>
              </w:rPr>
              <w:t xml:space="preserve">Use in </w:t>
            </w:r>
            <w:r w:rsidRPr="00B854E1">
              <w:rPr>
                <w:rFonts w:cstheme="minorHAnsi"/>
                <w:color w:val="auto"/>
                <w:szCs w:val="20"/>
              </w:rPr>
              <w:t>concrete</w:t>
            </w:r>
            <w:r w:rsidRPr="00855E7E">
              <w:rPr>
                <w:rFonts w:eastAsia="Calibri"/>
                <w:color w:val="auto"/>
              </w:rPr>
              <w:t xml:space="preserve"> only</w:t>
            </w:r>
          </w:p>
          <w:p w14:paraId="2775A12D" w14:textId="77777777" w:rsidR="008822A4" w:rsidRPr="00855E7E" w:rsidRDefault="008822A4" w:rsidP="00B854E1">
            <w:pPr>
              <w:pStyle w:val="TableBodyText"/>
              <w:spacing w:before="20" w:after="60" w:line="240" w:lineRule="auto"/>
              <w:ind w:left="144" w:hanging="144"/>
              <w:rPr>
                <w:rFonts w:eastAsia="Calibri"/>
                <w:color w:val="auto"/>
              </w:rPr>
            </w:pPr>
            <w:r w:rsidRPr="00855E7E">
              <w:rPr>
                <w:rFonts w:eastAsia="Calibri"/>
                <w:color w:val="auto"/>
              </w:rPr>
              <w:t>High to Moderate cost</w:t>
            </w:r>
            <w:r>
              <w:rPr>
                <w:rFonts w:eastAsia="Calibri"/>
                <w:color w:val="auto"/>
              </w:rPr>
              <w:t xml:space="preserve">; total life-cycle cost is more </w:t>
            </w:r>
            <w:r w:rsidRPr="00B854E1">
              <w:rPr>
                <w:rFonts w:cstheme="minorHAnsi"/>
                <w:color w:val="auto"/>
                <w:szCs w:val="20"/>
              </w:rPr>
              <w:t>efficient</w:t>
            </w:r>
            <w:r>
              <w:rPr>
                <w:rFonts w:eastAsia="Calibri"/>
                <w:color w:val="auto"/>
              </w:rPr>
              <w:t xml:space="preserve"> over long data collection periods</w:t>
            </w:r>
          </w:p>
          <w:p w14:paraId="66B513E9" w14:textId="77777777" w:rsidR="008822A4" w:rsidRPr="00855E7E" w:rsidRDefault="008822A4" w:rsidP="00600225">
            <w:pPr>
              <w:pStyle w:val="TableBodyText"/>
              <w:spacing w:before="20" w:after="20" w:line="240" w:lineRule="auto"/>
              <w:ind w:left="144" w:hanging="144"/>
              <w:rPr>
                <w:rFonts w:eastAsia="Calibri"/>
                <w:color w:val="auto"/>
              </w:rPr>
            </w:pPr>
            <w:r w:rsidRPr="00855E7E">
              <w:rPr>
                <w:rFonts w:eastAsia="Calibri"/>
                <w:color w:val="auto"/>
              </w:rPr>
              <w:t>Must be regularly maintained to prevent getting loose and causing safety hazard</w:t>
            </w:r>
          </w:p>
        </w:tc>
      </w:tr>
      <w:tr w:rsidR="008822A4" w:rsidRPr="00855E7E" w14:paraId="6A48574E" w14:textId="77777777" w:rsidTr="00600225">
        <w:trPr>
          <w:trHeight w:val="440"/>
          <w:jc w:val="center"/>
        </w:trPr>
        <w:tc>
          <w:tcPr>
            <w:tcW w:w="759" w:type="pct"/>
            <w:hideMark/>
          </w:tcPr>
          <w:p w14:paraId="16C9976C" w14:textId="3802EC42" w:rsidR="008822A4" w:rsidRPr="0081246B" w:rsidRDefault="008822A4" w:rsidP="00973D01">
            <w:pPr>
              <w:pStyle w:val="TableBodyText"/>
              <w:rPr>
                <w:rFonts w:eastAsia="Calibri"/>
                <w:b/>
                <w:color w:val="auto"/>
              </w:rPr>
            </w:pPr>
            <w:r w:rsidRPr="0081246B">
              <w:rPr>
                <w:rFonts w:eastAsia="Calibri"/>
                <w:b/>
                <w:color w:val="auto"/>
              </w:rPr>
              <w:t xml:space="preserve">Quartz </w:t>
            </w:r>
            <w:r w:rsidR="00065FBA">
              <w:rPr>
                <w:rFonts w:eastAsia="Calibri"/>
                <w:b/>
                <w:color w:val="auto"/>
              </w:rPr>
              <w:t>P</w:t>
            </w:r>
            <w:r w:rsidRPr="0081246B">
              <w:rPr>
                <w:rFonts w:eastAsia="Calibri"/>
                <w:b/>
                <w:color w:val="auto"/>
              </w:rPr>
              <w:t>iezo</w:t>
            </w:r>
          </w:p>
        </w:tc>
        <w:tc>
          <w:tcPr>
            <w:tcW w:w="2048" w:type="pct"/>
            <w:hideMark/>
          </w:tcPr>
          <w:p w14:paraId="4EC2D217" w14:textId="77777777" w:rsidR="008822A4" w:rsidRPr="00855E7E" w:rsidRDefault="008822A4" w:rsidP="00B854E1">
            <w:pPr>
              <w:pStyle w:val="TableBodyText"/>
              <w:spacing w:before="20" w:after="60" w:line="240" w:lineRule="auto"/>
              <w:ind w:left="144" w:hanging="144"/>
              <w:rPr>
                <w:rFonts w:eastAsia="Calibri"/>
                <w:color w:val="auto"/>
              </w:rPr>
            </w:pPr>
            <w:r w:rsidRPr="00855E7E">
              <w:rPr>
                <w:rFonts w:eastAsia="Calibri"/>
                <w:color w:val="auto"/>
              </w:rPr>
              <w:t>High accuracy, low maintenance</w:t>
            </w:r>
          </w:p>
          <w:p w14:paraId="23029D9D" w14:textId="77777777" w:rsidR="008822A4" w:rsidRPr="00855E7E" w:rsidRDefault="008822A4" w:rsidP="00600225">
            <w:pPr>
              <w:pStyle w:val="TableBodyText"/>
              <w:spacing w:before="20" w:after="20" w:line="240" w:lineRule="auto"/>
              <w:ind w:left="144" w:hanging="144"/>
              <w:rPr>
                <w:rFonts w:eastAsia="Calibri"/>
                <w:color w:val="auto"/>
              </w:rPr>
            </w:pPr>
            <w:r w:rsidRPr="00855E7E">
              <w:rPr>
                <w:rFonts w:eastAsia="Calibri"/>
                <w:color w:val="auto"/>
              </w:rPr>
              <w:t>Provides count, classification, speed, weight, axle spacing, individual vehicle records data</w:t>
            </w:r>
          </w:p>
        </w:tc>
        <w:tc>
          <w:tcPr>
            <w:tcW w:w="2193" w:type="pct"/>
            <w:hideMark/>
          </w:tcPr>
          <w:p w14:paraId="36656109" w14:textId="77777777" w:rsidR="008822A4" w:rsidRPr="00855E7E" w:rsidRDefault="008822A4" w:rsidP="00600225">
            <w:pPr>
              <w:pStyle w:val="TableBodyText"/>
              <w:spacing w:before="20" w:after="20" w:line="240" w:lineRule="auto"/>
              <w:ind w:left="144" w:hanging="144"/>
              <w:rPr>
                <w:rFonts w:eastAsia="Calibri"/>
                <w:color w:val="auto"/>
              </w:rPr>
            </w:pPr>
            <w:r w:rsidRPr="00855E7E">
              <w:rPr>
                <w:rFonts w:eastAsia="Calibri"/>
                <w:color w:val="auto"/>
              </w:rPr>
              <w:t>Moderate cost</w:t>
            </w:r>
          </w:p>
        </w:tc>
      </w:tr>
      <w:tr w:rsidR="008822A4" w:rsidRPr="00855E7E" w14:paraId="5952A800" w14:textId="77777777" w:rsidTr="00600225">
        <w:trPr>
          <w:trHeight w:val="593"/>
          <w:jc w:val="center"/>
        </w:trPr>
        <w:tc>
          <w:tcPr>
            <w:tcW w:w="759" w:type="pct"/>
            <w:hideMark/>
          </w:tcPr>
          <w:p w14:paraId="744A3EA6" w14:textId="77777777" w:rsidR="008822A4" w:rsidRPr="0081246B" w:rsidRDefault="008822A4" w:rsidP="00973D01">
            <w:pPr>
              <w:pStyle w:val="TableBodyText"/>
              <w:rPr>
                <w:rFonts w:eastAsia="Calibri"/>
                <w:b/>
                <w:color w:val="auto"/>
              </w:rPr>
            </w:pPr>
            <w:r w:rsidRPr="0081246B">
              <w:rPr>
                <w:rFonts w:eastAsia="Calibri"/>
                <w:b/>
                <w:color w:val="auto"/>
              </w:rPr>
              <w:t>Strain Gauge Strip Sensor</w:t>
            </w:r>
          </w:p>
        </w:tc>
        <w:tc>
          <w:tcPr>
            <w:tcW w:w="2048" w:type="pct"/>
            <w:hideMark/>
          </w:tcPr>
          <w:p w14:paraId="5F52550C" w14:textId="77777777" w:rsidR="008822A4" w:rsidRPr="00855E7E" w:rsidRDefault="008822A4" w:rsidP="00B854E1">
            <w:pPr>
              <w:pStyle w:val="TableBodyText"/>
              <w:spacing w:before="20" w:after="60" w:line="240" w:lineRule="auto"/>
              <w:ind w:left="144" w:hanging="144"/>
              <w:rPr>
                <w:rFonts w:eastAsia="Calibri"/>
                <w:color w:val="auto"/>
              </w:rPr>
            </w:pPr>
            <w:r w:rsidRPr="00855E7E">
              <w:rPr>
                <w:rFonts w:eastAsia="Calibri"/>
                <w:color w:val="auto"/>
              </w:rPr>
              <w:t xml:space="preserve">High accuracy, </w:t>
            </w:r>
            <w:r w:rsidRPr="00B854E1">
              <w:rPr>
                <w:rFonts w:cstheme="minorHAnsi"/>
                <w:color w:val="auto"/>
                <w:szCs w:val="20"/>
              </w:rPr>
              <w:t>low</w:t>
            </w:r>
            <w:r w:rsidRPr="00855E7E">
              <w:rPr>
                <w:rFonts w:eastAsia="Calibri"/>
                <w:color w:val="auto"/>
              </w:rPr>
              <w:t xml:space="preserve"> maintenance</w:t>
            </w:r>
          </w:p>
          <w:p w14:paraId="7495992E" w14:textId="77777777" w:rsidR="008822A4" w:rsidRPr="00855E7E" w:rsidRDefault="008822A4" w:rsidP="00600225">
            <w:pPr>
              <w:pStyle w:val="TableBodyText"/>
              <w:spacing w:before="20" w:after="20" w:line="240" w:lineRule="auto"/>
              <w:ind w:left="144" w:hanging="144"/>
              <w:rPr>
                <w:rFonts w:eastAsia="Calibri"/>
                <w:color w:val="auto"/>
              </w:rPr>
            </w:pPr>
            <w:r w:rsidRPr="00855E7E">
              <w:rPr>
                <w:rFonts w:eastAsia="Calibri"/>
                <w:color w:val="auto"/>
              </w:rPr>
              <w:t>Provides count, classification, speed, weight, axle spacing, individual vehicle records data</w:t>
            </w:r>
          </w:p>
        </w:tc>
        <w:tc>
          <w:tcPr>
            <w:tcW w:w="2193" w:type="pct"/>
            <w:hideMark/>
          </w:tcPr>
          <w:p w14:paraId="2A22622A" w14:textId="77777777" w:rsidR="008822A4" w:rsidRPr="00855E7E" w:rsidRDefault="008822A4" w:rsidP="00600225">
            <w:pPr>
              <w:pStyle w:val="TableBodyText"/>
              <w:spacing w:before="20" w:after="20" w:line="240" w:lineRule="auto"/>
              <w:ind w:left="144" w:hanging="144"/>
              <w:rPr>
                <w:rFonts w:eastAsia="Calibri"/>
                <w:color w:val="auto"/>
              </w:rPr>
            </w:pPr>
            <w:r w:rsidRPr="00855E7E">
              <w:rPr>
                <w:rFonts w:eastAsia="Calibri"/>
                <w:color w:val="auto"/>
              </w:rPr>
              <w:t>Limited long-term performance record</w:t>
            </w:r>
          </w:p>
          <w:p w14:paraId="041CA0D4" w14:textId="77777777" w:rsidR="008822A4" w:rsidRPr="00855E7E" w:rsidRDefault="008822A4" w:rsidP="00600225">
            <w:pPr>
              <w:pStyle w:val="TableBodyText"/>
              <w:spacing w:before="20" w:after="20" w:line="240" w:lineRule="auto"/>
              <w:ind w:left="144" w:hanging="144"/>
              <w:rPr>
                <w:rFonts w:eastAsia="Calibri"/>
                <w:color w:val="auto"/>
              </w:rPr>
            </w:pPr>
            <w:r w:rsidRPr="00855E7E">
              <w:rPr>
                <w:rFonts w:eastAsia="Calibri"/>
                <w:color w:val="auto"/>
              </w:rPr>
              <w:t>Implemented with limited number of controllers</w:t>
            </w:r>
          </w:p>
        </w:tc>
      </w:tr>
      <w:tr w:rsidR="008822A4" w:rsidRPr="00855E7E" w14:paraId="2807AC86" w14:textId="77777777" w:rsidTr="00600225">
        <w:trPr>
          <w:trHeight w:val="593"/>
          <w:jc w:val="center"/>
        </w:trPr>
        <w:tc>
          <w:tcPr>
            <w:tcW w:w="759" w:type="pct"/>
            <w:hideMark/>
          </w:tcPr>
          <w:p w14:paraId="5303F0AD" w14:textId="77777777" w:rsidR="008822A4" w:rsidRPr="0081246B" w:rsidRDefault="008822A4" w:rsidP="00973D01">
            <w:pPr>
              <w:pStyle w:val="TableBodyText"/>
              <w:rPr>
                <w:rFonts w:eastAsia="Calibri"/>
                <w:b/>
                <w:color w:val="auto"/>
              </w:rPr>
            </w:pPr>
            <w:r w:rsidRPr="0081246B">
              <w:rPr>
                <w:rFonts w:eastAsia="Calibri"/>
                <w:b/>
                <w:color w:val="auto"/>
              </w:rPr>
              <w:t>Permanent Polymer Piezo (including co-ax)</w:t>
            </w:r>
          </w:p>
        </w:tc>
        <w:tc>
          <w:tcPr>
            <w:tcW w:w="2048" w:type="pct"/>
            <w:hideMark/>
          </w:tcPr>
          <w:p w14:paraId="5934ED2B" w14:textId="77777777" w:rsidR="008822A4" w:rsidRPr="00855E7E" w:rsidRDefault="008822A4" w:rsidP="00B854E1">
            <w:pPr>
              <w:pStyle w:val="TableBodyText"/>
              <w:spacing w:before="20" w:after="60" w:line="240" w:lineRule="auto"/>
              <w:ind w:left="144" w:hanging="144"/>
              <w:rPr>
                <w:rFonts w:eastAsia="Calibri"/>
                <w:color w:val="auto"/>
              </w:rPr>
            </w:pPr>
            <w:r w:rsidRPr="00855E7E">
              <w:rPr>
                <w:rFonts w:eastAsia="Calibri"/>
                <w:color w:val="auto"/>
              </w:rPr>
              <w:t>Low cost, low maintenance</w:t>
            </w:r>
          </w:p>
          <w:p w14:paraId="5E7B8008" w14:textId="77777777" w:rsidR="008822A4" w:rsidRPr="00855E7E" w:rsidRDefault="008822A4" w:rsidP="00600225">
            <w:pPr>
              <w:pStyle w:val="TableBodyText"/>
              <w:spacing w:before="20" w:after="20" w:line="240" w:lineRule="auto"/>
              <w:ind w:left="144" w:hanging="144"/>
              <w:rPr>
                <w:rFonts w:eastAsia="Calibri"/>
                <w:color w:val="auto"/>
              </w:rPr>
            </w:pPr>
            <w:r w:rsidRPr="00855E7E">
              <w:rPr>
                <w:rFonts w:eastAsia="Calibri"/>
                <w:color w:val="auto"/>
              </w:rPr>
              <w:t>Provides count, classification, speed, weight, axle spacing, individual vehicle records data</w:t>
            </w:r>
          </w:p>
        </w:tc>
        <w:tc>
          <w:tcPr>
            <w:tcW w:w="2193" w:type="pct"/>
            <w:hideMark/>
          </w:tcPr>
          <w:p w14:paraId="42EBA4F2" w14:textId="77777777" w:rsidR="008822A4" w:rsidRPr="00855E7E" w:rsidRDefault="008822A4" w:rsidP="00B854E1">
            <w:pPr>
              <w:pStyle w:val="TableBodyText"/>
              <w:spacing w:before="20" w:after="60" w:line="240" w:lineRule="auto"/>
              <w:ind w:left="144" w:hanging="144"/>
              <w:rPr>
                <w:rFonts w:eastAsia="Calibri"/>
                <w:color w:val="auto"/>
              </w:rPr>
            </w:pPr>
            <w:r w:rsidRPr="00855E7E">
              <w:rPr>
                <w:rFonts w:eastAsia="Calibri"/>
                <w:color w:val="auto"/>
              </w:rPr>
              <w:t xml:space="preserve">Temperature </w:t>
            </w:r>
            <w:r w:rsidRPr="00B854E1">
              <w:rPr>
                <w:rFonts w:cstheme="minorHAnsi"/>
                <w:color w:val="auto"/>
                <w:szCs w:val="20"/>
              </w:rPr>
              <w:t>sensitive</w:t>
            </w:r>
          </w:p>
          <w:p w14:paraId="6523C349" w14:textId="77777777" w:rsidR="008822A4" w:rsidRPr="00855E7E" w:rsidRDefault="008822A4" w:rsidP="00600225">
            <w:pPr>
              <w:pStyle w:val="TableBodyText"/>
              <w:spacing w:before="20" w:after="20" w:line="240" w:lineRule="auto"/>
              <w:ind w:left="144" w:hanging="144"/>
              <w:rPr>
                <w:rFonts w:eastAsia="Calibri"/>
                <w:color w:val="auto"/>
              </w:rPr>
            </w:pPr>
            <w:r w:rsidRPr="00855E7E">
              <w:rPr>
                <w:rFonts w:eastAsia="Calibri"/>
                <w:color w:val="auto"/>
              </w:rPr>
              <w:t>Needs seasonal calibration</w:t>
            </w:r>
          </w:p>
        </w:tc>
      </w:tr>
      <w:tr w:rsidR="008822A4" w:rsidRPr="00855E7E" w14:paraId="177B737F" w14:textId="77777777" w:rsidTr="00600225">
        <w:trPr>
          <w:trHeight w:val="692"/>
          <w:jc w:val="center"/>
        </w:trPr>
        <w:tc>
          <w:tcPr>
            <w:tcW w:w="759" w:type="pct"/>
          </w:tcPr>
          <w:p w14:paraId="4492CBD1" w14:textId="74E382AC" w:rsidR="008822A4" w:rsidRPr="0081246B" w:rsidRDefault="008822A4" w:rsidP="00065FBA">
            <w:pPr>
              <w:pStyle w:val="TableBodyText"/>
              <w:rPr>
                <w:rFonts w:eastAsia="Calibri"/>
                <w:b/>
                <w:color w:val="auto"/>
              </w:rPr>
            </w:pPr>
            <w:r w:rsidRPr="0081246B">
              <w:rPr>
                <w:rFonts w:eastAsia="Calibri"/>
                <w:b/>
                <w:color w:val="auto"/>
              </w:rPr>
              <w:t>Portable Polymer Piezo</w:t>
            </w:r>
          </w:p>
        </w:tc>
        <w:tc>
          <w:tcPr>
            <w:tcW w:w="2048" w:type="pct"/>
            <w:hideMark/>
          </w:tcPr>
          <w:p w14:paraId="4EA1F09C" w14:textId="77777777" w:rsidR="008822A4" w:rsidRPr="00855E7E" w:rsidRDefault="008822A4" w:rsidP="00B854E1">
            <w:pPr>
              <w:pStyle w:val="TableBodyText"/>
              <w:spacing w:before="20" w:after="60" w:line="240" w:lineRule="auto"/>
              <w:ind w:left="144" w:hanging="144"/>
              <w:rPr>
                <w:rFonts w:eastAsia="Calibri"/>
                <w:color w:val="auto"/>
              </w:rPr>
            </w:pPr>
            <w:r w:rsidRPr="00855E7E">
              <w:rPr>
                <w:rFonts w:eastAsia="Calibri"/>
                <w:color w:val="auto"/>
              </w:rPr>
              <w:t xml:space="preserve">Low initial </w:t>
            </w:r>
            <w:r w:rsidRPr="00B854E1">
              <w:rPr>
                <w:rFonts w:cstheme="minorHAnsi"/>
                <w:color w:val="auto"/>
                <w:szCs w:val="20"/>
              </w:rPr>
              <w:t>cost</w:t>
            </w:r>
            <w:r w:rsidRPr="00855E7E">
              <w:rPr>
                <w:rFonts w:eastAsia="Calibri"/>
                <w:color w:val="auto"/>
              </w:rPr>
              <w:t>, easy to set up, portable</w:t>
            </w:r>
          </w:p>
          <w:p w14:paraId="359868CA" w14:textId="77777777" w:rsidR="008822A4" w:rsidRPr="00855E7E" w:rsidRDefault="008822A4" w:rsidP="00600225">
            <w:pPr>
              <w:pStyle w:val="TableBodyText"/>
              <w:spacing w:before="20" w:after="20" w:line="240" w:lineRule="auto"/>
              <w:ind w:left="144" w:hanging="144"/>
              <w:rPr>
                <w:rFonts w:eastAsia="Calibri"/>
                <w:color w:val="auto"/>
              </w:rPr>
            </w:pPr>
            <w:r w:rsidRPr="00855E7E">
              <w:rPr>
                <w:rFonts w:eastAsia="Calibri"/>
                <w:color w:val="auto"/>
              </w:rPr>
              <w:t>Provides count, classification, speed, weight, axle spacing, individual vehicle records data</w:t>
            </w:r>
          </w:p>
        </w:tc>
        <w:tc>
          <w:tcPr>
            <w:tcW w:w="2193" w:type="pct"/>
            <w:hideMark/>
          </w:tcPr>
          <w:p w14:paraId="32F8D83D" w14:textId="77777777" w:rsidR="008822A4" w:rsidRPr="00855E7E" w:rsidRDefault="008822A4" w:rsidP="00B854E1">
            <w:pPr>
              <w:pStyle w:val="TableBodyText"/>
              <w:spacing w:before="20" w:after="60" w:line="240" w:lineRule="auto"/>
              <w:ind w:left="144" w:hanging="144"/>
              <w:rPr>
                <w:rFonts w:eastAsia="Calibri"/>
                <w:color w:val="auto"/>
              </w:rPr>
            </w:pPr>
            <w:r w:rsidRPr="00855E7E">
              <w:rPr>
                <w:rFonts w:eastAsia="Calibri"/>
                <w:color w:val="auto"/>
              </w:rPr>
              <w:t xml:space="preserve">Low </w:t>
            </w:r>
            <w:r w:rsidRPr="00B854E1">
              <w:rPr>
                <w:rFonts w:cstheme="minorHAnsi"/>
                <w:color w:val="auto"/>
                <w:szCs w:val="20"/>
              </w:rPr>
              <w:t>accuracy</w:t>
            </w:r>
          </w:p>
          <w:p w14:paraId="0F8C613F" w14:textId="77777777" w:rsidR="008822A4" w:rsidRPr="00855E7E" w:rsidRDefault="008822A4" w:rsidP="00600225">
            <w:pPr>
              <w:pStyle w:val="TableBodyText"/>
              <w:spacing w:before="20" w:after="20" w:line="240" w:lineRule="auto"/>
              <w:ind w:left="144" w:hanging="144"/>
              <w:rPr>
                <w:rFonts w:eastAsia="Calibri"/>
                <w:color w:val="auto"/>
              </w:rPr>
            </w:pPr>
            <w:r w:rsidRPr="00855E7E">
              <w:rPr>
                <w:rFonts w:eastAsia="Calibri"/>
                <w:color w:val="auto"/>
              </w:rPr>
              <w:t>Temperature sensitivity, needs local calibration</w:t>
            </w:r>
          </w:p>
        </w:tc>
      </w:tr>
      <w:tr w:rsidR="008822A4" w:rsidRPr="00855E7E" w14:paraId="690D2BCB" w14:textId="77777777" w:rsidTr="00600225">
        <w:trPr>
          <w:trHeight w:val="530"/>
          <w:jc w:val="center"/>
        </w:trPr>
        <w:tc>
          <w:tcPr>
            <w:tcW w:w="759" w:type="pct"/>
            <w:hideMark/>
          </w:tcPr>
          <w:p w14:paraId="760A9F28" w14:textId="0F03510A" w:rsidR="008822A4" w:rsidRPr="0081246B" w:rsidRDefault="008822A4" w:rsidP="00973D01">
            <w:pPr>
              <w:pStyle w:val="TableBodyText"/>
              <w:rPr>
                <w:rFonts w:eastAsia="Calibri"/>
                <w:b/>
                <w:color w:val="auto"/>
              </w:rPr>
            </w:pPr>
            <w:r w:rsidRPr="0081246B">
              <w:rPr>
                <w:rFonts w:eastAsia="Calibri"/>
                <w:b/>
                <w:color w:val="auto"/>
              </w:rPr>
              <w:t>Bridge WIM</w:t>
            </w:r>
          </w:p>
          <w:p w14:paraId="1088C170" w14:textId="7FB12CCC" w:rsidR="008822A4" w:rsidRPr="0081246B" w:rsidRDefault="008822A4" w:rsidP="00973D01">
            <w:pPr>
              <w:pStyle w:val="TableBodyText"/>
              <w:rPr>
                <w:rFonts w:eastAsia="Calibri"/>
                <w:b/>
                <w:color w:val="auto"/>
              </w:rPr>
            </w:pPr>
            <w:r w:rsidRPr="0081246B">
              <w:rPr>
                <w:rFonts w:eastAsia="Calibri"/>
                <w:b/>
                <w:color w:val="auto"/>
              </w:rPr>
              <w:t>(</w:t>
            </w:r>
            <w:r w:rsidR="00065FBA">
              <w:rPr>
                <w:rFonts w:eastAsia="Calibri"/>
                <w:b/>
                <w:color w:val="auto"/>
              </w:rPr>
              <w:t>S</w:t>
            </w:r>
            <w:r w:rsidRPr="0081246B">
              <w:rPr>
                <w:rFonts w:eastAsia="Calibri"/>
                <w:b/>
                <w:color w:val="auto"/>
              </w:rPr>
              <w:t xml:space="preserve">train </w:t>
            </w:r>
            <w:r w:rsidR="00065FBA">
              <w:rPr>
                <w:rFonts w:eastAsia="Calibri"/>
                <w:b/>
                <w:color w:val="auto"/>
              </w:rPr>
              <w:t>G</w:t>
            </w:r>
            <w:r w:rsidRPr="0081246B">
              <w:rPr>
                <w:rFonts w:eastAsia="Calibri"/>
                <w:b/>
                <w:color w:val="auto"/>
              </w:rPr>
              <w:t>auge)</w:t>
            </w:r>
          </w:p>
        </w:tc>
        <w:tc>
          <w:tcPr>
            <w:tcW w:w="2048" w:type="pct"/>
            <w:hideMark/>
          </w:tcPr>
          <w:p w14:paraId="69719B8F" w14:textId="77777777" w:rsidR="008822A4" w:rsidRPr="00855E7E" w:rsidRDefault="008822A4" w:rsidP="00600225">
            <w:pPr>
              <w:pStyle w:val="TableBodyText"/>
              <w:spacing w:before="20" w:after="20" w:line="240" w:lineRule="auto"/>
              <w:ind w:left="144" w:hanging="144"/>
              <w:rPr>
                <w:rFonts w:eastAsia="Calibri"/>
                <w:color w:val="auto"/>
              </w:rPr>
            </w:pPr>
            <w:r w:rsidRPr="00855E7E">
              <w:rPr>
                <w:rFonts w:eastAsia="Calibri"/>
                <w:color w:val="auto"/>
              </w:rPr>
              <w:t>Quick to set up, provides portable count, classification, weight, axle spacing, individual vehicle records data</w:t>
            </w:r>
          </w:p>
        </w:tc>
        <w:tc>
          <w:tcPr>
            <w:tcW w:w="2193" w:type="pct"/>
            <w:hideMark/>
          </w:tcPr>
          <w:p w14:paraId="4669ADCB" w14:textId="77777777" w:rsidR="008822A4" w:rsidRPr="00855E7E" w:rsidRDefault="008822A4" w:rsidP="00B854E1">
            <w:pPr>
              <w:pStyle w:val="TableBodyText"/>
              <w:spacing w:before="20" w:after="60" w:line="240" w:lineRule="auto"/>
              <w:ind w:left="144" w:hanging="144"/>
              <w:rPr>
                <w:rFonts w:eastAsia="Calibri"/>
                <w:color w:val="auto"/>
              </w:rPr>
            </w:pPr>
            <w:r w:rsidRPr="00855E7E">
              <w:rPr>
                <w:rFonts w:eastAsia="Calibri"/>
                <w:color w:val="auto"/>
              </w:rPr>
              <w:t xml:space="preserve">Depends on local bridge structural response, needs local </w:t>
            </w:r>
            <w:r w:rsidRPr="00B854E1">
              <w:rPr>
                <w:rFonts w:cstheme="minorHAnsi"/>
                <w:color w:val="auto"/>
                <w:szCs w:val="20"/>
              </w:rPr>
              <w:t>calibration</w:t>
            </w:r>
          </w:p>
          <w:p w14:paraId="5F3D0D5A" w14:textId="77777777" w:rsidR="008822A4" w:rsidRPr="00855E7E" w:rsidRDefault="008822A4" w:rsidP="00600225">
            <w:pPr>
              <w:pStyle w:val="TableBodyText"/>
              <w:spacing w:before="20" w:after="20" w:line="240" w:lineRule="auto"/>
              <w:ind w:left="144" w:hanging="144"/>
              <w:rPr>
                <w:rFonts w:eastAsia="Calibri"/>
                <w:color w:val="auto"/>
              </w:rPr>
            </w:pPr>
            <w:r w:rsidRPr="00855E7E">
              <w:rPr>
                <w:rFonts w:eastAsia="Calibri"/>
                <w:color w:val="auto"/>
              </w:rPr>
              <w:t>Safety risk &amp; special equipment for tall bridges</w:t>
            </w:r>
          </w:p>
          <w:p w14:paraId="44360FE9" w14:textId="77777777" w:rsidR="008822A4" w:rsidRPr="00855E7E" w:rsidRDefault="008822A4" w:rsidP="00600225">
            <w:pPr>
              <w:pStyle w:val="TableBodyText"/>
              <w:spacing w:before="20" w:after="20" w:line="240" w:lineRule="auto"/>
              <w:ind w:left="144" w:hanging="144"/>
              <w:rPr>
                <w:rFonts w:eastAsia="Calibri"/>
                <w:color w:val="auto"/>
              </w:rPr>
            </w:pPr>
            <w:r w:rsidRPr="00855E7E">
              <w:rPr>
                <w:rFonts w:eastAsia="Calibri"/>
                <w:color w:val="auto"/>
              </w:rPr>
              <w:t>Accuracy depends on accurate bridge response modeling</w:t>
            </w:r>
          </w:p>
        </w:tc>
      </w:tr>
    </w:tbl>
    <w:p w14:paraId="3955F5E5" w14:textId="2B13975B" w:rsidR="00065FBA" w:rsidRPr="00B854E1" w:rsidRDefault="008822A4" w:rsidP="00B854E1">
      <w:pPr>
        <w:pStyle w:val="Source"/>
      </w:pPr>
      <w:r w:rsidRPr="00B854E1">
        <w:t>Source:</w:t>
      </w:r>
      <w:r w:rsidR="0061163F">
        <w:t xml:space="preserve"> </w:t>
      </w:r>
      <w:r w:rsidR="00600225" w:rsidRPr="00B854E1">
        <w:t xml:space="preserve"> </w:t>
      </w:r>
      <w:r w:rsidRPr="00B854E1">
        <w:t xml:space="preserve">Adapted from FHWA Weigh-In-Motion Pocket Guide, 2018. </w:t>
      </w:r>
    </w:p>
    <w:p w14:paraId="0F5329E4" w14:textId="77777777" w:rsidR="00065FBA" w:rsidRDefault="00065FBA">
      <w:pPr>
        <w:widowControl/>
        <w:suppressAutoHyphens w:val="0"/>
        <w:autoSpaceDE/>
        <w:autoSpaceDN/>
        <w:adjustRightInd/>
        <w:spacing w:line="259" w:lineRule="auto"/>
        <w:jc w:val="left"/>
        <w:textAlignment w:val="auto"/>
        <w:rPr>
          <w:i/>
          <w:color w:val="auto"/>
          <w:sz w:val="18"/>
          <w:szCs w:val="18"/>
        </w:rPr>
      </w:pPr>
      <w:r>
        <w:br w:type="page"/>
      </w:r>
    </w:p>
    <w:p w14:paraId="4DF91B69" w14:textId="3042D595" w:rsidR="008822A4" w:rsidRPr="00483FDF" w:rsidRDefault="008822A4" w:rsidP="00600225">
      <w:pPr>
        <w:pStyle w:val="TMGTableCaption"/>
      </w:pPr>
      <w:bookmarkStart w:id="700" w:name="_Ref114749775"/>
      <w:bookmarkStart w:id="701" w:name="_Toc63428089"/>
      <w:bookmarkStart w:id="702" w:name="_Toc68874102"/>
      <w:bookmarkStart w:id="703" w:name="_Toc114474814"/>
      <w:bookmarkStart w:id="704" w:name="_Toc120631120"/>
      <w:r w:rsidRPr="00483FDF">
        <w:lastRenderedPageBreak/>
        <w:t xml:space="preserve">Table </w:t>
      </w:r>
      <w:fldSimple w:instr=" STYLEREF 1 \s ">
        <w:r w:rsidR="00C07DF9">
          <w:rPr>
            <w:noProof/>
          </w:rPr>
          <w:t>2</w:t>
        </w:r>
      </w:fldSimple>
      <w:r w:rsidR="00FE5355">
        <w:noBreakHyphen/>
      </w:r>
      <w:fldSimple w:instr=" SEQ Table \* ARABIC \s 1 ">
        <w:r w:rsidR="00C07DF9">
          <w:rPr>
            <w:noProof/>
          </w:rPr>
          <w:t>4</w:t>
        </w:r>
      </w:fldSimple>
      <w:bookmarkEnd w:id="700"/>
      <w:r w:rsidR="00E34EB1">
        <w:t>.</w:t>
      </w:r>
      <w:r w:rsidRPr="00483FDF">
        <w:t xml:space="preserve"> Strengths, Weaknesses, and Applications of Micromobility Detection Technologies</w:t>
      </w:r>
      <w:bookmarkEnd w:id="701"/>
      <w:bookmarkEnd w:id="702"/>
      <w:bookmarkEnd w:id="703"/>
      <w:bookmarkEnd w:id="704"/>
    </w:p>
    <w:tbl>
      <w:tblPr>
        <w:tblStyle w:val="TableGrid1"/>
        <w:tblW w:w="9360" w:type="dxa"/>
        <w:jc w:val="center"/>
        <w:tblCellMar>
          <w:left w:w="86" w:type="dxa"/>
          <w:right w:w="86" w:type="dxa"/>
        </w:tblCellMar>
        <w:tblLook w:val="04A0" w:firstRow="1" w:lastRow="0" w:firstColumn="1" w:lastColumn="0" w:noHBand="0" w:noVBand="1"/>
      </w:tblPr>
      <w:tblGrid>
        <w:gridCol w:w="1538"/>
        <w:gridCol w:w="2420"/>
        <w:gridCol w:w="2158"/>
        <w:gridCol w:w="3244"/>
      </w:tblGrid>
      <w:tr w:rsidR="008822A4" w:rsidRPr="0019188C" w14:paraId="4C0A4497" w14:textId="77777777" w:rsidTr="003519FA">
        <w:trPr>
          <w:trHeight w:val="60"/>
          <w:tblHeader/>
          <w:jc w:val="center"/>
        </w:trPr>
        <w:tc>
          <w:tcPr>
            <w:tcW w:w="821" w:type="pct"/>
            <w:tcBorders>
              <w:right w:val="single" w:sz="4" w:space="0" w:color="FFFFFF" w:themeColor="background1"/>
            </w:tcBorders>
            <w:shd w:val="clear" w:color="auto" w:fill="1F3864" w:themeFill="accent1" w:themeFillShade="80"/>
            <w:hideMark/>
          </w:tcPr>
          <w:p w14:paraId="689D5E50" w14:textId="77777777" w:rsidR="008822A4" w:rsidRPr="0019188C" w:rsidRDefault="008822A4" w:rsidP="0019188C">
            <w:pPr>
              <w:spacing w:before="20" w:after="20"/>
              <w:jc w:val="center"/>
              <w:rPr>
                <w:b/>
                <w:bCs/>
                <w:color w:val="FFFFFF" w:themeColor="background1"/>
              </w:rPr>
            </w:pPr>
            <w:r w:rsidRPr="0019188C">
              <w:rPr>
                <w:b/>
                <w:bCs/>
                <w:color w:val="FFFFFF" w:themeColor="background1"/>
              </w:rPr>
              <w:t>Technology</w:t>
            </w:r>
          </w:p>
        </w:tc>
        <w:tc>
          <w:tcPr>
            <w:tcW w:w="1292" w:type="pct"/>
            <w:tcBorders>
              <w:left w:val="single" w:sz="4" w:space="0" w:color="FFFFFF" w:themeColor="background1"/>
              <w:right w:val="single" w:sz="4" w:space="0" w:color="FFFFFF" w:themeColor="background1"/>
            </w:tcBorders>
            <w:shd w:val="clear" w:color="auto" w:fill="1F3864" w:themeFill="accent1" w:themeFillShade="80"/>
            <w:hideMark/>
          </w:tcPr>
          <w:p w14:paraId="783814BA" w14:textId="77777777" w:rsidR="008822A4" w:rsidRPr="0019188C" w:rsidRDefault="008822A4" w:rsidP="0019188C">
            <w:pPr>
              <w:spacing w:before="20" w:after="20"/>
              <w:jc w:val="center"/>
              <w:rPr>
                <w:b/>
                <w:bCs/>
                <w:color w:val="FFFFFF" w:themeColor="background1"/>
              </w:rPr>
            </w:pPr>
            <w:r w:rsidRPr="0019188C">
              <w:rPr>
                <w:b/>
                <w:bCs/>
                <w:color w:val="FFFFFF" w:themeColor="background1"/>
              </w:rPr>
              <w:t>Typical Applications</w:t>
            </w:r>
          </w:p>
        </w:tc>
        <w:tc>
          <w:tcPr>
            <w:tcW w:w="1153" w:type="pct"/>
            <w:tcBorders>
              <w:left w:val="single" w:sz="4" w:space="0" w:color="FFFFFF" w:themeColor="background1"/>
              <w:right w:val="single" w:sz="4" w:space="0" w:color="FFFFFF" w:themeColor="background1"/>
            </w:tcBorders>
            <w:shd w:val="clear" w:color="auto" w:fill="1F3864" w:themeFill="accent1" w:themeFillShade="80"/>
            <w:hideMark/>
          </w:tcPr>
          <w:p w14:paraId="1A801277" w14:textId="77777777" w:rsidR="008822A4" w:rsidRPr="0019188C" w:rsidRDefault="008822A4" w:rsidP="0019188C">
            <w:pPr>
              <w:spacing w:before="20" w:after="20"/>
              <w:jc w:val="center"/>
              <w:rPr>
                <w:b/>
                <w:bCs/>
                <w:color w:val="FFFFFF" w:themeColor="background1"/>
              </w:rPr>
            </w:pPr>
            <w:r w:rsidRPr="0019188C">
              <w:rPr>
                <w:b/>
                <w:bCs/>
                <w:color w:val="FFFFFF" w:themeColor="background1"/>
              </w:rPr>
              <w:t>Strengths</w:t>
            </w:r>
          </w:p>
        </w:tc>
        <w:tc>
          <w:tcPr>
            <w:tcW w:w="1733" w:type="pct"/>
            <w:tcBorders>
              <w:left w:val="single" w:sz="4" w:space="0" w:color="FFFFFF" w:themeColor="background1"/>
            </w:tcBorders>
            <w:shd w:val="clear" w:color="auto" w:fill="1F3864" w:themeFill="accent1" w:themeFillShade="80"/>
            <w:hideMark/>
          </w:tcPr>
          <w:p w14:paraId="3E51327A" w14:textId="77777777" w:rsidR="008822A4" w:rsidRPr="0019188C" w:rsidRDefault="008822A4" w:rsidP="0019188C">
            <w:pPr>
              <w:spacing w:before="20" w:after="20"/>
              <w:jc w:val="center"/>
              <w:rPr>
                <w:b/>
                <w:bCs/>
                <w:color w:val="FFFFFF" w:themeColor="background1"/>
              </w:rPr>
            </w:pPr>
            <w:r w:rsidRPr="0019188C">
              <w:rPr>
                <w:b/>
                <w:bCs/>
                <w:color w:val="FFFFFF" w:themeColor="background1"/>
              </w:rPr>
              <w:t>Weaknesses</w:t>
            </w:r>
          </w:p>
        </w:tc>
      </w:tr>
      <w:tr w:rsidR="008822A4" w:rsidRPr="003D7A05" w14:paraId="633D5508" w14:textId="77777777" w:rsidTr="003519FA">
        <w:trPr>
          <w:trHeight w:val="60"/>
          <w:jc w:val="center"/>
        </w:trPr>
        <w:tc>
          <w:tcPr>
            <w:tcW w:w="821" w:type="pct"/>
            <w:hideMark/>
          </w:tcPr>
          <w:p w14:paraId="40F63FA1" w14:textId="77777777" w:rsidR="008822A4" w:rsidRPr="003D7A05" w:rsidRDefault="008822A4" w:rsidP="003D7A05">
            <w:pPr>
              <w:pStyle w:val="TableBodyText"/>
              <w:spacing w:before="20" w:after="20" w:line="240" w:lineRule="auto"/>
              <w:rPr>
                <w:rFonts w:cstheme="minorHAnsi"/>
                <w:b/>
                <w:bCs/>
                <w:color w:val="auto"/>
                <w:szCs w:val="20"/>
              </w:rPr>
            </w:pPr>
            <w:r w:rsidRPr="003D7A05">
              <w:rPr>
                <w:rFonts w:cstheme="minorHAnsi"/>
                <w:b/>
                <w:bCs/>
                <w:color w:val="auto"/>
                <w:szCs w:val="20"/>
              </w:rPr>
              <w:t>Inductance Loop</w:t>
            </w:r>
          </w:p>
        </w:tc>
        <w:tc>
          <w:tcPr>
            <w:tcW w:w="1292" w:type="pct"/>
            <w:hideMark/>
          </w:tcPr>
          <w:p w14:paraId="41F3D71C" w14:textId="77777777" w:rsidR="008822A4" w:rsidRPr="003D7A05" w:rsidRDefault="008822A4" w:rsidP="00065FBA">
            <w:pPr>
              <w:pStyle w:val="TableBodyText"/>
              <w:spacing w:before="20" w:after="60" w:line="240" w:lineRule="auto"/>
              <w:ind w:left="144" w:hanging="144"/>
              <w:rPr>
                <w:rFonts w:cstheme="minorHAnsi"/>
                <w:color w:val="auto"/>
                <w:szCs w:val="20"/>
              </w:rPr>
            </w:pPr>
            <w:r w:rsidRPr="003D7A05">
              <w:rPr>
                <w:rFonts w:cstheme="minorHAnsi"/>
                <w:color w:val="auto"/>
                <w:szCs w:val="20"/>
              </w:rPr>
              <w:t>Permanent counts</w:t>
            </w:r>
          </w:p>
          <w:p w14:paraId="2D8C02E7" w14:textId="61C85D64" w:rsidR="008822A4" w:rsidRPr="003D7A05" w:rsidRDefault="008822A4" w:rsidP="00065FBA">
            <w:pPr>
              <w:pStyle w:val="TableBodyText"/>
              <w:spacing w:before="20" w:after="20" w:line="240" w:lineRule="auto"/>
              <w:ind w:left="144" w:hanging="144"/>
              <w:rPr>
                <w:rFonts w:cstheme="minorHAnsi"/>
                <w:color w:val="auto"/>
                <w:szCs w:val="20"/>
              </w:rPr>
            </w:pPr>
            <w:r w:rsidRPr="003D7A05">
              <w:rPr>
                <w:rFonts w:cstheme="minorHAnsi"/>
                <w:color w:val="auto"/>
                <w:szCs w:val="20"/>
              </w:rPr>
              <w:t>Bicyclists and some</w:t>
            </w:r>
            <w:r w:rsidR="00065FBA">
              <w:rPr>
                <w:rFonts w:cstheme="minorHAnsi"/>
                <w:color w:val="auto"/>
                <w:szCs w:val="20"/>
              </w:rPr>
              <w:t xml:space="preserve"> </w:t>
            </w:r>
            <w:r w:rsidRPr="003D7A05">
              <w:rPr>
                <w:rFonts w:cstheme="minorHAnsi"/>
                <w:color w:val="auto"/>
                <w:szCs w:val="20"/>
              </w:rPr>
              <w:t>micromobility device users (e-bikes)</w:t>
            </w:r>
          </w:p>
        </w:tc>
        <w:tc>
          <w:tcPr>
            <w:tcW w:w="1153" w:type="pct"/>
            <w:hideMark/>
          </w:tcPr>
          <w:p w14:paraId="6F582D69" w14:textId="77777777" w:rsidR="008822A4" w:rsidRPr="003D7A05" w:rsidRDefault="008822A4" w:rsidP="00065FBA">
            <w:pPr>
              <w:pStyle w:val="TableBodyText"/>
              <w:spacing w:before="20" w:after="60" w:line="240" w:lineRule="auto"/>
              <w:ind w:left="144" w:hanging="144"/>
              <w:rPr>
                <w:rFonts w:cstheme="minorHAnsi"/>
                <w:color w:val="auto"/>
                <w:szCs w:val="20"/>
              </w:rPr>
            </w:pPr>
            <w:r w:rsidRPr="003D7A05">
              <w:rPr>
                <w:rFonts w:cstheme="minorHAnsi"/>
                <w:color w:val="auto"/>
                <w:szCs w:val="20"/>
              </w:rPr>
              <w:t>Accurate when properly installed and configured</w:t>
            </w:r>
          </w:p>
          <w:p w14:paraId="24D2F8A7" w14:textId="2CBCFCFC" w:rsidR="008822A4" w:rsidRPr="003D7A05" w:rsidRDefault="008822A4" w:rsidP="00065FBA">
            <w:pPr>
              <w:pStyle w:val="TableBodyText"/>
              <w:spacing w:before="20" w:after="20" w:line="240" w:lineRule="auto"/>
              <w:ind w:left="144" w:hanging="144"/>
              <w:rPr>
                <w:rFonts w:cstheme="minorHAnsi"/>
                <w:color w:val="auto"/>
                <w:szCs w:val="20"/>
              </w:rPr>
            </w:pPr>
            <w:r w:rsidRPr="003D7A05">
              <w:rPr>
                <w:rFonts w:cstheme="minorHAnsi"/>
                <w:color w:val="auto"/>
                <w:szCs w:val="20"/>
              </w:rPr>
              <w:t>Uses traditional motor vehicle counting</w:t>
            </w:r>
            <w:r w:rsidR="00065FBA">
              <w:rPr>
                <w:rFonts w:cstheme="minorHAnsi"/>
                <w:color w:val="auto"/>
                <w:szCs w:val="20"/>
              </w:rPr>
              <w:t xml:space="preserve"> </w:t>
            </w:r>
            <w:r w:rsidRPr="003D7A05">
              <w:rPr>
                <w:rFonts w:cstheme="minorHAnsi"/>
                <w:color w:val="auto"/>
                <w:szCs w:val="20"/>
              </w:rPr>
              <w:t>technology</w:t>
            </w:r>
          </w:p>
        </w:tc>
        <w:tc>
          <w:tcPr>
            <w:tcW w:w="1733" w:type="pct"/>
            <w:hideMark/>
          </w:tcPr>
          <w:p w14:paraId="4C99DA89" w14:textId="77777777" w:rsidR="008822A4" w:rsidRPr="003D7A05" w:rsidRDefault="008822A4" w:rsidP="00065FBA">
            <w:pPr>
              <w:pStyle w:val="TableBodyText"/>
              <w:spacing w:before="20" w:after="60" w:line="240" w:lineRule="auto"/>
              <w:ind w:left="144" w:hanging="144"/>
              <w:rPr>
                <w:rFonts w:cstheme="minorHAnsi"/>
                <w:color w:val="auto"/>
                <w:szCs w:val="20"/>
              </w:rPr>
            </w:pPr>
            <w:r w:rsidRPr="003D7A05">
              <w:rPr>
                <w:rFonts w:cstheme="minorHAnsi"/>
                <w:color w:val="auto"/>
                <w:szCs w:val="20"/>
              </w:rPr>
              <w:t>Capable of counting bicyclists only</w:t>
            </w:r>
          </w:p>
          <w:p w14:paraId="456198A1" w14:textId="77777777" w:rsidR="008822A4" w:rsidRPr="003D7A05" w:rsidRDefault="008822A4" w:rsidP="00065FBA">
            <w:pPr>
              <w:pStyle w:val="TableBodyText"/>
              <w:spacing w:before="20" w:after="60" w:line="240" w:lineRule="auto"/>
              <w:ind w:left="144" w:hanging="144"/>
              <w:rPr>
                <w:rFonts w:cstheme="minorHAnsi"/>
                <w:color w:val="auto"/>
                <w:szCs w:val="20"/>
              </w:rPr>
            </w:pPr>
            <w:r w:rsidRPr="003D7A05">
              <w:rPr>
                <w:rFonts w:cstheme="minorHAnsi"/>
                <w:color w:val="auto"/>
                <w:szCs w:val="20"/>
              </w:rPr>
              <w:t>Requires saw cuts in existing pavement or pre-formed loops in new pavement construction</w:t>
            </w:r>
          </w:p>
          <w:p w14:paraId="4C2930AE" w14:textId="77777777" w:rsidR="008822A4" w:rsidRPr="003D7A05" w:rsidRDefault="008822A4" w:rsidP="00065FBA">
            <w:pPr>
              <w:pStyle w:val="TableBodyText"/>
              <w:spacing w:before="20" w:after="20" w:line="240" w:lineRule="auto"/>
              <w:ind w:left="144" w:hanging="144"/>
              <w:rPr>
                <w:rFonts w:cstheme="minorHAnsi"/>
                <w:color w:val="auto"/>
                <w:szCs w:val="20"/>
              </w:rPr>
            </w:pPr>
            <w:r w:rsidRPr="003D7A05">
              <w:rPr>
                <w:rFonts w:cstheme="minorHAnsi"/>
                <w:color w:val="auto"/>
                <w:szCs w:val="20"/>
              </w:rPr>
              <w:t>Often have higher error with groups</w:t>
            </w:r>
          </w:p>
        </w:tc>
      </w:tr>
      <w:tr w:rsidR="008822A4" w:rsidRPr="003D7A05" w14:paraId="7A805E0F" w14:textId="77777777" w:rsidTr="003519FA">
        <w:trPr>
          <w:trHeight w:val="60"/>
          <w:jc w:val="center"/>
        </w:trPr>
        <w:tc>
          <w:tcPr>
            <w:tcW w:w="821" w:type="pct"/>
            <w:hideMark/>
          </w:tcPr>
          <w:p w14:paraId="42F3FB3C" w14:textId="15B2513E" w:rsidR="008822A4" w:rsidRPr="003D7A05" w:rsidRDefault="008822A4" w:rsidP="003D7A05">
            <w:pPr>
              <w:pStyle w:val="TableBodyText"/>
              <w:spacing w:before="20" w:after="20" w:line="240" w:lineRule="auto"/>
              <w:rPr>
                <w:rFonts w:cstheme="minorHAnsi"/>
                <w:b/>
                <w:bCs/>
                <w:color w:val="auto"/>
                <w:szCs w:val="20"/>
              </w:rPr>
            </w:pPr>
            <w:r w:rsidRPr="003D7A05">
              <w:rPr>
                <w:rFonts w:cstheme="minorHAnsi"/>
                <w:b/>
                <w:bCs/>
                <w:color w:val="auto"/>
                <w:szCs w:val="20"/>
              </w:rPr>
              <w:t xml:space="preserve">Pressure </w:t>
            </w:r>
            <w:r w:rsidR="00065FBA">
              <w:rPr>
                <w:rFonts w:cstheme="minorHAnsi"/>
                <w:b/>
                <w:bCs/>
                <w:color w:val="auto"/>
                <w:szCs w:val="20"/>
              </w:rPr>
              <w:t>P</w:t>
            </w:r>
            <w:r w:rsidRPr="003D7A05">
              <w:rPr>
                <w:rFonts w:cstheme="minorHAnsi"/>
                <w:b/>
                <w:bCs/>
                <w:color w:val="auto"/>
                <w:szCs w:val="20"/>
              </w:rPr>
              <w:t xml:space="preserve">late </w:t>
            </w:r>
            <w:r w:rsidR="00065FBA">
              <w:rPr>
                <w:rFonts w:cstheme="minorHAnsi"/>
                <w:b/>
                <w:bCs/>
                <w:color w:val="auto"/>
                <w:szCs w:val="20"/>
              </w:rPr>
              <w:t>S</w:t>
            </w:r>
            <w:r w:rsidRPr="003D7A05">
              <w:rPr>
                <w:rFonts w:cstheme="minorHAnsi"/>
                <w:b/>
                <w:bCs/>
                <w:color w:val="auto"/>
                <w:szCs w:val="20"/>
              </w:rPr>
              <w:t>ensor/</w:t>
            </w:r>
            <w:r w:rsidR="00065FBA">
              <w:rPr>
                <w:rFonts w:cstheme="minorHAnsi"/>
                <w:b/>
                <w:bCs/>
                <w:color w:val="auto"/>
                <w:szCs w:val="20"/>
              </w:rPr>
              <w:t>P</w:t>
            </w:r>
            <w:r w:rsidRPr="003D7A05">
              <w:rPr>
                <w:rFonts w:cstheme="minorHAnsi"/>
                <w:b/>
                <w:bCs/>
                <w:color w:val="auto"/>
                <w:szCs w:val="20"/>
              </w:rPr>
              <w:t xml:space="preserve">ressure </w:t>
            </w:r>
            <w:r w:rsidR="00065FBA">
              <w:rPr>
                <w:rFonts w:cstheme="minorHAnsi"/>
                <w:b/>
                <w:bCs/>
                <w:color w:val="auto"/>
                <w:szCs w:val="20"/>
              </w:rPr>
              <w:t>M</w:t>
            </w:r>
            <w:r w:rsidRPr="003D7A05">
              <w:rPr>
                <w:rFonts w:cstheme="minorHAnsi"/>
                <w:b/>
                <w:bCs/>
                <w:color w:val="auto"/>
                <w:szCs w:val="20"/>
              </w:rPr>
              <w:t>ats</w:t>
            </w:r>
          </w:p>
        </w:tc>
        <w:tc>
          <w:tcPr>
            <w:tcW w:w="1292" w:type="pct"/>
            <w:hideMark/>
          </w:tcPr>
          <w:p w14:paraId="24F9F2C8" w14:textId="77777777" w:rsidR="008822A4" w:rsidRPr="003D7A05" w:rsidRDefault="008822A4" w:rsidP="00065FBA">
            <w:pPr>
              <w:pStyle w:val="TableBodyText"/>
              <w:spacing w:before="20" w:after="60" w:line="240" w:lineRule="auto"/>
              <w:ind w:left="144" w:hanging="144"/>
              <w:rPr>
                <w:rFonts w:cstheme="minorHAnsi"/>
                <w:color w:val="auto"/>
                <w:szCs w:val="20"/>
              </w:rPr>
            </w:pPr>
            <w:r w:rsidRPr="003D7A05">
              <w:rPr>
                <w:rFonts w:cstheme="minorHAnsi"/>
                <w:color w:val="auto"/>
                <w:szCs w:val="20"/>
              </w:rPr>
              <w:t>Permanent counts</w:t>
            </w:r>
          </w:p>
          <w:p w14:paraId="2BF97DEB" w14:textId="77777777" w:rsidR="0030638C" w:rsidRPr="003D7A05" w:rsidRDefault="008822A4" w:rsidP="00065FBA">
            <w:pPr>
              <w:pStyle w:val="TableBodyText"/>
              <w:spacing w:before="20" w:after="60" w:line="240" w:lineRule="auto"/>
              <w:ind w:left="144" w:hanging="144"/>
              <w:rPr>
                <w:rFonts w:cstheme="minorHAnsi"/>
                <w:color w:val="auto"/>
                <w:szCs w:val="20"/>
              </w:rPr>
            </w:pPr>
            <w:r w:rsidRPr="003D7A05">
              <w:rPr>
                <w:rFonts w:cstheme="minorHAnsi"/>
                <w:color w:val="auto"/>
                <w:szCs w:val="20"/>
              </w:rPr>
              <w:t xml:space="preserve">Typically on unpaved trails or paths </w:t>
            </w:r>
          </w:p>
          <w:p w14:paraId="23E3AF29" w14:textId="1FC6E2DA" w:rsidR="008822A4" w:rsidRPr="003D7A05" w:rsidRDefault="008822A4" w:rsidP="00065FBA">
            <w:pPr>
              <w:pStyle w:val="TableBodyText"/>
              <w:spacing w:before="20" w:after="20" w:line="240" w:lineRule="auto"/>
              <w:ind w:left="144" w:hanging="144"/>
              <w:rPr>
                <w:rFonts w:cstheme="minorHAnsi"/>
                <w:color w:val="auto"/>
                <w:szCs w:val="20"/>
              </w:rPr>
            </w:pPr>
            <w:r w:rsidRPr="003D7A05">
              <w:rPr>
                <w:rFonts w:cstheme="minorHAnsi"/>
                <w:color w:val="auto"/>
                <w:szCs w:val="20"/>
              </w:rPr>
              <w:t>Bicyclists, micromobility device users, and pedestrians combined</w:t>
            </w:r>
          </w:p>
        </w:tc>
        <w:tc>
          <w:tcPr>
            <w:tcW w:w="1153" w:type="pct"/>
            <w:hideMark/>
          </w:tcPr>
          <w:p w14:paraId="70C37CD3" w14:textId="77777777" w:rsidR="008822A4" w:rsidRPr="003D7A05" w:rsidRDefault="008822A4" w:rsidP="00065FBA">
            <w:pPr>
              <w:pStyle w:val="TableBodyText"/>
              <w:spacing w:before="20" w:after="20" w:line="240" w:lineRule="auto"/>
              <w:ind w:left="144" w:hanging="144"/>
              <w:rPr>
                <w:rFonts w:cstheme="minorHAnsi"/>
                <w:color w:val="auto"/>
                <w:szCs w:val="20"/>
              </w:rPr>
            </w:pPr>
            <w:r w:rsidRPr="003D7A05">
              <w:rPr>
                <w:rFonts w:cstheme="minorHAnsi"/>
                <w:color w:val="auto"/>
                <w:szCs w:val="20"/>
              </w:rPr>
              <w:t>Some equipment able to distinguish bicyclists and pedestrians</w:t>
            </w:r>
          </w:p>
        </w:tc>
        <w:tc>
          <w:tcPr>
            <w:tcW w:w="1733" w:type="pct"/>
            <w:hideMark/>
          </w:tcPr>
          <w:p w14:paraId="1698AF0E" w14:textId="77777777" w:rsidR="008822A4" w:rsidRPr="003D7A05" w:rsidRDefault="008822A4" w:rsidP="00065FBA">
            <w:pPr>
              <w:pStyle w:val="TableBodyText"/>
              <w:spacing w:before="20" w:after="20" w:line="240" w:lineRule="auto"/>
              <w:ind w:left="144" w:hanging="144"/>
              <w:rPr>
                <w:rFonts w:cstheme="minorHAnsi"/>
                <w:color w:val="auto"/>
                <w:szCs w:val="20"/>
              </w:rPr>
            </w:pPr>
            <w:r w:rsidRPr="003D7A05">
              <w:rPr>
                <w:rFonts w:cstheme="minorHAnsi"/>
                <w:color w:val="auto"/>
                <w:szCs w:val="20"/>
              </w:rPr>
              <w:t>Expensive/disruptive for installation under asphalt or concrete pavement</w:t>
            </w:r>
          </w:p>
        </w:tc>
      </w:tr>
      <w:tr w:rsidR="008822A4" w:rsidRPr="003D7A05" w14:paraId="6EDD9397" w14:textId="77777777" w:rsidTr="003519FA">
        <w:trPr>
          <w:trHeight w:val="60"/>
          <w:jc w:val="center"/>
        </w:trPr>
        <w:tc>
          <w:tcPr>
            <w:tcW w:w="821" w:type="pct"/>
            <w:hideMark/>
          </w:tcPr>
          <w:p w14:paraId="29A56B93" w14:textId="336A3A06" w:rsidR="008822A4" w:rsidRPr="003D7A05" w:rsidRDefault="008822A4" w:rsidP="003D7A05">
            <w:pPr>
              <w:pStyle w:val="TableBodyText"/>
              <w:spacing w:before="20" w:after="20" w:line="240" w:lineRule="auto"/>
              <w:rPr>
                <w:rFonts w:cstheme="minorHAnsi"/>
                <w:b/>
                <w:bCs/>
                <w:color w:val="auto"/>
                <w:szCs w:val="20"/>
              </w:rPr>
            </w:pPr>
            <w:r w:rsidRPr="003D7A05">
              <w:rPr>
                <w:rFonts w:cstheme="minorHAnsi"/>
                <w:b/>
                <w:bCs/>
                <w:color w:val="auto"/>
                <w:szCs w:val="20"/>
              </w:rPr>
              <w:t xml:space="preserve">Seismic </w:t>
            </w:r>
            <w:r w:rsidR="00065FBA">
              <w:rPr>
                <w:rFonts w:cstheme="minorHAnsi"/>
                <w:b/>
                <w:bCs/>
                <w:color w:val="auto"/>
                <w:szCs w:val="20"/>
              </w:rPr>
              <w:t>S</w:t>
            </w:r>
            <w:r w:rsidRPr="003D7A05">
              <w:rPr>
                <w:rFonts w:cstheme="minorHAnsi"/>
                <w:b/>
                <w:bCs/>
                <w:color w:val="auto"/>
                <w:szCs w:val="20"/>
              </w:rPr>
              <w:t>ensor</w:t>
            </w:r>
          </w:p>
        </w:tc>
        <w:tc>
          <w:tcPr>
            <w:tcW w:w="1292" w:type="pct"/>
            <w:hideMark/>
          </w:tcPr>
          <w:p w14:paraId="6613075C" w14:textId="77777777" w:rsidR="0030638C" w:rsidRPr="003D7A05" w:rsidRDefault="008822A4" w:rsidP="00065FBA">
            <w:pPr>
              <w:pStyle w:val="TableBodyText"/>
              <w:spacing w:before="20" w:after="60" w:line="240" w:lineRule="auto"/>
              <w:ind w:left="144" w:hanging="144"/>
              <w:rPr>
                <w:rFonts w:cstheme="minorHAnsi"/>
                <w:color w:val="auto"/>
                <w:szCs w:val="20"/>
              </w:rPr>
            </w:pPr>
            <w:r w:rsidRPr="003D7A05">
              <w:rPr>
                <w:rFonts w:cstheme="minorHAnsi"/>
                <w:color w:val="auto"/>
                <w:szCs w:val="20"/>
              </w:rPr>
              <w:t xml:space="preserve">Short-term counts on unpaved trails </w:t>
            </w:r>
          </w:p>
          <w:p w14:paraId="4A1C9F46" w14:textId="4F4D5DC4" w:rsidR="008822A4" w:rsidRPr="003D7A05" w:rsidRDefault="008822A4" w:rsidP="00065FBA">
            <w:pPr>
              <w:pStyle w:val="TableBodyText"/>
              <w:spacing w:before="20" w:after="20" w:line="240" w:lineRule="auto"/>
              <w:ind w:left="144" w:hanging="144"/>
              <w:rPr>
                <w:rFonts w:cstheme="minorHAnsi"/>
                <w:color w:val="auto"/>
                <w:szCs w:val="20"/>
              </w:rPr>
            </w:pPr>
            <w:r w:rsidRPr="003D7A05">
              <w:rPr>
                <w:rFonts w:cstheme="minorHAnsi"/>
                <w:color w:val="auto"/>
                <w:szCs w:val="20"/>
              </w:rPr>
              <w:t>Bicyclists, micromobility device users, and pedestrians combined</w:t>
            </w:r>
          </w:p>
        </w:tc>
        <w:tc>
          <w:tcPr>
            <w:tcW w:w="1153" w:type="pct"/>
            <w:hideMark/>
          </w:tcPr>
          <w:p w14:paraId="47171519" w14:textId="77777777" w:rsidR="008822A4" w:rsidRPr="003D7A05" w:rsidRDefault="008822A4" w:rsidP="00065FBA">
            <w:pPr>
              <w:pStyle w:val="TableBodyText"/>
              <w:spacing w:before="20" w:after="20" w:line="240" w:lineRule="auto"/>
              <w:ind w:left="144" w:hanging="144"/>
              <w:rPr>
                <w:rFonts w:cstheme="minorHAnsi"/>
                <w:color w:val="auto"/>
                <w:szCs w:val="20"/>
              </w:rPr>
            </w:pPr>
            <w:r w:rsidRPr="003D7A05">
              <w:rPr>
                <w:rFonts w:cstheme="minorHAnsi"/>
                <w:color w:val="auto"/>
                <w:szCs w:val="20"/>
              </w:rPr>
              <w:t>Equipment is hidden from view</w:t>
            </w:r>
          </w:p>
        </w:tc>
        <w:tc>
          <w:tcPr>
            <w:tcW w:w="1733" w:type="pct"/>
            <w:hideMark/>
          </w:tcPr>
          <w:p w14:paraId="5B9143A9" w14:textId="501E1AC8" w:rsidR="008822A4" w:rsidRPr="003D7A05" w:rsidRDefault="008822A4" w:rsidP="00065FBA">
            <w:pPr>
              <w:pStyle w:val="TableBodyText"/>
              <w:spacing w:before="20" w:after="20" w:line="240" w:lineRule="auto"/>
              <w:ind w:left="144" w:hanging="144"/>
              <w:rPr>
                <w:rFonts w:cstheme="minorHAnsi"/>
                <w:color w:val="auto"/>
                <w:szCs w:val="20"/>
              </w:rPr>
            </w:pPr>
            <w:r w:rsidRPr="003D7A05">
              <w:rPr>
                <w:rFonts w:cstheme="minorHAnsi"/>
                <w:color w:val="auto"/>
                <w:szCs w:val="20"/>
              </w:rPr>
              <w:t>Commercially</w:t>
            </w:r>
            <w:r w:rsidR="008C0740" w:rsidRPr="003D7A05">
              <w:rPr>
                <w:rFonts w:cstheme="minorHAnsi"/>
                <w:color w:val="auto"/>
                <w:szCs w:val="20"/>
              </w:rPr>
              <w:t xml:space="preserve"> </w:t>
            </w:r>
            <w:r w:rsidRPr="003D7A05">
              <w:rPr>
                <w:rFonts w:cstheme="minorHAnsi"/>
                <w:color w:val="auto"/>
                <w:szCs w:val="20"/>
              </w:rPr>
              <w:t>available, off-the-shelf products for counting are limited</w:t>
            </w:r>
          </w:p>
        </w:tc>
      </w:tr>
      <w:tr w:rsidR="008822A4" w:rsidRPr="003D7A05" w14:paraId="47835493" w14:textId="77777777" w:rsidTr="003519FA">
        <w:trPr>
          <w:trHeight w:val="60"/>
          <w:jc w:val="center"/>
        </w:trPr>
        <w:tc>
          <w:tcPr>
            <w:tcW w:w="821" w:type="pct"/>
            <w:hideMark/>
          </w:tcPr>
          <w:p w14:paraId="457408F5" w14:textId="3DD6B14E" w:rsidR="008822A4" w:rsidRPr="003D7A05" w:rsidRDefault="008822A4" w:rsidP="003D7A05">
            <w:pPr>
              <w:pStyle w:val="TableBodyText"/>
              <w:spacing w:before="20" w:after="20" w:line="240" w:lineRule="auto"/>
              <w:rPr>
                <w:rFonts w:cstheme="minorHAnsi"/>
                <w:b/>
                <w:bCs/>
                <w:color w:val="auto"/>
                <w:szCs w:val="20"/>
              </w:rPr>
            </w:pPr>
            <w:r w:rsidRPr="003D7A05">
              <w:rPr>
                <w:rFonts w:cstheme="minorHAnsi"/>
                <w:b/>
                <w:bCs/>
                <w:color w:val="auto"/>
                <w:szCs w:val="20"/>
              </w:rPr>
              <w:t xml:space="preserve">Radar </w:t>
            </w:r>
            <w:r w:rsidR="00065FBA">
              <w:rPr>
                <w:rFonts w:cstheme="minorHAnsi"/>
                <w:b/>
                <w:bCs/>
                <w:color w:val="auto"/>
                <w:szCs w:val="20"/>
              </w:rPr>
              <w:t>S</w:t>
            </w:r>
            <w:r w:rsidRPr="003D7A05">
              <w:rPr>
                <w:rFonts w:cstheme="minorHAnsi"/>
                <w:b/>
                <w:bCs/>
                <w:color w:val="auto"/>
                <w:szCs w:val="20"/>
              </w:rPr>
              <w:t>ensor</w:t>
            </w:r>
          </w:p>
        </w:tc>
        <w:tc>
          <w:tcPr>
            <w:tcW w:w="1292" w:type="pct"/>
            <w:hideMark/>
          </w:tcPr>
          <w:p w14:paraId="7D35486F" w14:textId="77777777" w:rsidR="008C0740" w:rsidRPr="003D7A05" w:rsidRDefault="008822A4" w:rsidP="00065FBA">
            <w:pPr>
              <w:pStyle w:val="TableBodyText"/>
              <w:spacing w:before="20" w:after="60" w:line="240" w:lineRule="auto"/>
              <w:ind w:left="144" w:hanging="144"/>
              <w:rPr>
                <w:rFonts w:cstheme="minorHAnsi"/>
                <w:color w:val="auto"/>
                <w:szCs w:val="20"/>
              </w:rPr>
            </w:pPr>
            <w:r w:rsidRPr="003D7A05">
              <w:rPr>
                <w:rFonts w:cstheme="minorHAnsi"/>
                <w:color w:val="auto"/>
                <w:szCs w:val="20"/>
              </w:rPr>
              <w:t xml:space="preserve">Short-term or permanent counts </w:t>
            </w:r>
          </w:p>
          <w:p w14:paraId="0F8877A6" w14:textId="29174816" w:rsidR="008822A4" w:rsidRPr="003D7A05" w:rsidRDefault="008822A4" w:rsidP="00065FBA">
            <w:pPr>
              <w:pStyle w:val="TableBodyText"/>
              <w:spacing w:before="20" w:after="20" w:line="240" w:lineRule="auto"/>
              <w:ind w:left="144" w:hanging="144"/>
              <w:rPr>
                <w:rFonts w:cstheme="minorHAnsi"/>
                <w:color w:val="auto"/>
                <w:szCs w:val="20"/>
              </w:rPr>
            </w:pPr>
            <w:r w:rsidRPr="003D7A05">
              <w:rPr>
                <w:rFonts w:cstheme="minorHAnsi"/>
                <w:color w:val="auto"/>
                <w:szCs w:val="20"/>
              </w:rPr>
              <w:t>Bicyclists, micromobility device users, and pedestrians combined</w:t>
            </w:r>
          </w:p>
        </w:tc>
        <w:tc>
          <w:tcPr>
            <w:tcW w:w="1153" w:type="pct"/>
            <w:hideMark/>
          </w:tcPr>
          <w:p w14:paraId="0162CA37" w14:textId="77777777" w:rsidR="008822A4" w:rsidRPr="003D7A05" w:rsidRDefault="008822A4" w:rsidP="00065FBA">
            <w:pPr>
              <w:pStyle w:val="TableBodyText"/>
              <w:spacing w:before="20" w:after="20" w:line="240" w:lineRule="auto"/>
              <w:ind w:left="144" w:hanging="144"/>
              <w:rPr>
                <w:rFonts w:cstheme="minorHAnsi"/>
                <w:color w:val="auto"/>
                <w:szCs w:val="20"/>
              </w:rPr>
            </w:pPr>
            <w:r w:rsidRPr="003D7A05">
              <w:rPr>
                <w:rFonts w:cstheme="minorHAnsi"/>
                <w:color w:val="auto"/>
                <w:szCs w:val="20"/>
              </w:rPr>
              <w:t>Capable of counting bicyclists in dedicated bike lanes or bikeways</w:t>
            </w:r>
          </w:p>
        </w:tc>
        <w:tc>
          <w:tcPr>
            <w:tcW w:w="1733" w:type="pct"/>
            <w:hideMark/>
          </w:tcPr>
          <w:p w14:paraId="45F44838" w14:textId="77777777" w:rsidR="008822A4" w:rsidRPr="003D7A05" w:rsidRDefault="008822A4" w:rsidP="00065FBA">
            <w:pPr>
              <w:pStyle w:val="TableBodyText"/>
              <w:spacing w:before="20" w:after="20" w:line="240" w:lineRule="auto"/>
              <w:ind w:left="144" w:hanging="144"/>
              <w:rPr>
                <w:rFonts w:cstheme="minorHAnsi"/>
                <w:color w:val="auto"/>
                <w:szCs w:val="20"/>
              </w:rPr>
            </w:pPr>
            <w:r w:rsidRPr="003D7A05">
              <w:rPr>
                <w:rFonts w:cstheme="minorHAnsi"/>
                <w:color w:val="auto"/>
                <w:szCs w:val="20"/>
              </w:rPr>
              <w:t>Commercially available, off-the-shelf products for counting are limited</w:t>
            </w:r>
          </w:p>
        </w:tc>
      </w:tr>
      <w:tr w:rsidR="008822A4" w:rsidRPr="003D7A05" w14:paraId="115BCB73" w14:textId="77777777" w:rsidTr="003519FA">
        <w:trPr>
          <w:trHeight w:val="60"/>
          <w:jc w:val="center"/>
        </w:trPr>
        <w:tc>
          <w:tcPr>
            <w:tcW w:w="821" w:type="pct"/>
            <w:hideMark/>
          </w:tcPr>
          <w:p w14:paraId="1450749B" w14:textId="77777777" w:rsidR="008822A4" w:rsidRPr="003D7A05" w:rsidRDefault="008822A4" w:rsidP="003D7A05">
            <w:pPr>
              <w:pStyle w:val="TableBodyText"/>
              <w:spacing w:before="20" w:after="20" w:line="240" w:lineRule="auto"/>
              <w:rPr>
                <w:rFonts w:cstheme="minorHAnsi"/>
                <w:b/>
                <w:bCs/>
                <w:color w:val="auto"/>
                <w:szCs w:val="20"/>
              </w:rPr>
            </w:pPr>
            <w:r w:rsidRPr="003D7A05">
              <w:rPr>
                <w:rFonts w:cstheme="minorHAnsi"/>
                <w:b/>
                <w:bCs/>
                <w:color w:val="auto"/>
                <w:szCs w:val="20"/>
              </w:rPr>
              <w:t>Video Imaging (Lidar) – Automated</w:t>
            </w:r>
          </w:p>
        </w:tc>
        <w:tc>
          <w:tcPr>
            <w:tcW w:w="1292" w:type="pct"/>
            <w:hideMark/>
          </w:tcPr>
          <w:p w14:paraId="6D9612AE" w14:textId="25F07E0B" w:rsidR="008822A4" w:rsidRPr="003D7A05" w:rsidRDefault="008822A4" w:rsidP="00065FBA">
            <w:pPr>
              <w:pStyle w:val="TableBodyText"/>
              <w:spacing w:before="20" w:after="60" w:line="240" w:lineRule="auto"/>
              <w:ind w:left="144" w:hanging="144"/>
              <w:rPr>
                <w:rFonts w:cstheme="minorHAnsi"/>
                <w:color w:val="auto"/>
                <w:szCs w:val="20"/>
              </w:rPr>
            </w:pPr>
            <w:r w:rsidRPr="003D7A05">
              <w:rPr>
                <w:rFonts w:cstheme="minorHAnsi"/>
                <w:color w:val="auto"/>
                <w:szCs w:val="20"/>
              </w:rPr>
              <w:t>Short-term or permanent</w:t>
            </w:r>
            <w:r w:rsidR="00065FBA">
              <w:rPr>
                <w:rFonts w:cstheme="minorHAnsi"/>
                <w:color w:val="auto"/>
                <w:szCs w:val="20"/>
              </w:rPr>
              <w:t xml:space="preserve"> </w:t>
            </w:r>
            <w:r w:rsidRPr="003D7A05">
              <w:rPr>
                <w:rFonts w:cstheme="minorHAnsi"/>
                <w:color w:val="auto"/>
                <w:szCs w:val="20"/>
              </w:rPr>
              <w:t xml:space="preserve">counts </w:t>
            </w:r>
          </w:p>
          <w:p w14:paraId="31579C24" w14:textId="6986B513" w:rsidR="008822A4" w:rsidRPr="003D7A05" w:rsidRDefault="008822A4" w:rsidP="00065FBA">
            <w:pPr>
              <w:pStyle w:val="TableBodyText"/>
              <w:spacing w:before="20" w:after="20" w:line="240" w:lineRule="auto"/>
              <w:ind w:left="144" w:hanging="144"/>
              <w:rPr>
                <w:rFonts w:cstheme="minorHAnsi"/>
                <w:color w:val="auto"/>
                <w:szCs w:val="20"/>
              </w:rPr>
            </w:pPr>
            <w:r w:rsidRPr="003D7A05">
              <w:rPr>
                <w:rFonts w:cstheme="minorHAnsi"/>
                <w:color w:val="auto"/>
                <w:szCs w:val="20"/>
              </w:rPr>
              <w:t>Bicyclists, micromobility device users, and pedestrians</w:t>
            </w:r>
            <w:r w:rsidR="00065FBA">
              <w:rPr>
                <w:rFonts w:cstheme="minorHAnsi"/>
                <w:color w:val="auto"/>
                <w:szCs w:val="20"/>
              </w:rPr>
              <w:t xml:space="preserve"> </w:t>
            </w:r>
            <w:r w:rsidRPr="003D7A05">
              <w:rPr>
                <w:rFonts w:cstheme="minorHAnsi"/>
                <w:color w:val="auto"/>
                <w:szCs w:val="20"/>
              </w:rPr>
              <w:t>separately</w:t>
            </w:r>
          </w:p>
        </w:tc>
        <w:tc>
          <w:tcPr>
            <w:tcW w:w="1153" w:type="pct"/>
            <w:hideMark/>
          </w:tcPr>
          <w:p w14:paraId="090DDF88" w14:textId="69786A46" w:rsidR="008822A4" w:rsidRPr="003D7A05" w:rsidRDefault="008822A4" w:rsidP="00065FBA">
            <w:pPr>
              <w:pStyle w:val="TableBodyText"/>
              <w:spacing w:before="20" w:after="20" w:line="240" w:lineRule="auto"/>
              <w:ind w:left="144" w:hanging="144"/>
              <w:rPr>
                <w:rFonts w:cstheme="minorHAnsi"/>
                <w:color w:val="auto"/>
                <w:szCs w:val="20"/>
              </w:rPr>
            </w:pPr>
            <w:r w:rsidRPr="003D7A05">
              <w:rPr>
                <w:rFonts w:cstheme="minorHAnsi"/>
                <w:color w:val="auto"/>
                <w:szCs w:val="20"/>
              </w:rPr>
              <w:t>Potential accuracy in dense,</w:t>
            </w:r>
            <w:r w:rsidR="004D4172" w:rsidRPr="003D7A05">
              <w:rPr>
                <w:rFonts w:cstheme="minorHAnsi"/>
                <w:color w:val="auto"/>
                <w:szCs w:val="20"/>
              </w:rPr>
              <w:t xml:space="preserve"> </w:t>
            </w:r>
            <w:r w:rsidRPr="003D7A05">
              <w:rPr>
                <w:rFonts w:cstheme="minorHAnsi"/>
                <w:color w:val="auto"/>
                <w:szCs w:val="20"/>
              </w:rPr>
              <w:t>high-traffic areas</w:t>
            </w:r>
          </w:p>
        </w:tc>
        <w:tc>
          <w:tcPr>
            <w:tcW w:w="1733" w:type="pct"/>
            <w:hideMark/>
          </w:tcPr>
          <w:p w14:paraId="74451EB3" w14:textId="77777777" w:rsidR="008822A4" w:rsidRPr="003D7A05" w:rsidRDefault="008822A4" w:rsidP="00065FBA">
            <w:pPr>
              <w:pStyle w:val="TableBodyText"/>
              <w:spacing w:before="20" w:after="60" w:line="240" w:lineRule="auto"/>
              <w:ind w:left="144" w:hanging="144"/>
              <w:rPr>
                <w:rFonts w:cstheme="minorHAnsi"/>
                <w:color w:val="auto"/>
                <w:szCs w:val="20"/>
              </w:rPr>
            </w:pPr>
            <w:r w:rsidRPr="003D7A05">
              <w:rPr>
                <w:rFonts w:cstheme="minorHAnsi"/>
                <w:color w:val="auto"/>
                <w:szCs w:val="20"/>
              </w:rPr>
              <w:t>Typically, more expensive for exclusive installations</w:t>
            </w:r>
          </w:p>
          <w:p w14:paraId="1AB79F02" w14:textId="77777777" w:rsidR="008822A4" w:rsidRPr="003D7A05" w:rsidRDefault="008822A4" w:rsidP="00065FBA">
            <w:pPr>
              <w:pStyle w:val="TableBodyText"/>
              <w:spacing w:before="20" w:after="20" w:line="240" w:lineRule="auto"/>
              <w:ind w:left="144" w:hanging="144"/>
              <w:rPr>
                <w:rFonts w:cstheme="minorHAnsi"/>
                <w:color w:val="auto"/>
                <w:szCs w:val="20"/>
              </w:rPr>
            </w:pPr>
            <w:r w:rsidRPr="003D7A05">
              <w:rPr>
                <w:rFonts w:cstheme="minorHAnsi"/>
                <w:color w:val="auto"/>
                <w:szCs w:val="20"/>
              </w:rPr>
              <w:t>Algorithm development still maturing</w:t>
            </w:r>
          </w:p>
        </w:tc>
      </w:tr>
      <w:tr w:rsidR="008822A4" w:rsidRPr="003D7A05" w14:paraId="6A81615C" w14:textId="77777777" w:rsidTr="003519FA">
        <w:trPr>
          <w:trHeight w:val="60"/>
          <w:jc w:val="center"/>
        </w:trPr>
        <w:tc>
          <w:tcPr>
            <w:tcW w:w="821" w:type="pct"/>
            <w:hideMark/>
          </w:tcPr>
          <w:p w14:paraId="0998A557" w14:textId="77777777" w:rsidR="008822A4" w:rsidRPr="003D7A05" w:rsidRDefault="008822A4" w:rsidP="003D7A05">
            <w:pPr>
              <w:pStyle w:val="TableBodyText"/>
              <w:spacing w:before="20" w:after="20" w:line="240" w:lineRule="auto"/>
              <w:rPr>
                <w:rFonts w:cstheme="minorHAnsi"/>
                <w:b/>
                <w:bCs/>
                <w:color w:val="auto"/>
                <w:szCs w:val="20"/>
              </w:rPr>
            </w:pPr>
            <w:r w:rsidRPr="003D7A05">
              <w:rPr>
                <w:rFonts w:cstheme="minorHAnsi"/>
                <w:b/>
                <w:bCs/>
                <w:color w:val="auto"/>
                <w:szCs w:val="20"/>
              </w:rPr>
              <w:t>Infrared – Active</w:t>
            </w:r>
          </w:p>
        </w:tc>
        <w:tc>
          <w:tcPr>
            <w:tcW w:w="1292" w:type="pct"/>
            <w:hideMark/>
          </w:tcPr>
          <w:p w14:paraId="400BB4AD" w14:textId="21B32366" w:rsidR="008822A4" w:rsidRPr="003D7A05" w:rsidRDefault="008822A4" w:rsidP="00065FBA">
            <w:pPr>
              <w:pStyle w:val="TableBodyText"/>
              <w:spacing w:before="20" w:after="60" w:line="240" w:lineRule="auto"/>
              <w:ind w:left="144" w:hanging="144"/>
              <w:rPr>
                <w:rFonts w:cstheme="minorHAnsi"/>
                <w:color w:val="auto"/>
                <w:szCs w:val="20"/>
              </w:rPr>
            </w:pPr>
            <w:r w:rsidRPr="003D7A05">
              <w:rPr>
                <w:rFonts w:cstheme="minorHAnsi"/>
                <w:color w:val="auto"/>
                <w:szCs w:val="20"/>
              </w:rPr>
              <w:t>Short-term or permanent</w:t>
            </w:r>
            <w:r w:rsidR="00065FBA">
              <w:rPr>
                <w:rFonts w:cstheme="minorHAnsi"/>
                <w:color w:val="auto"/>
                <w:szCs w:val="20"/>
              </w:rPr>
              <w:t xml:space="preserve"> </w:t>
            </w:r>
            <w:r w:rsidRPr="003D7A05">
              <w:rPr>
                <w:rFonts w:cstheme="minorHAnsi"/>
                <w:color w:val="auto"/>
                <w:szCs w:val="20"/>
              </w:rPr>
              <w:t xml:space="preserve">counts </w:t>
            </w:r>
          </w:p>
          <w:p w14:paraId="1C1F21EC" w14:textId="723F16E6" w:rsidR="008822A4" w:rsidRPr="003D7A05" w:rsidRDefault="008822A4" w:rsidP="00065FBA">
            <w:pPr>
              <w:pStyle w:val="TableBodyText"/>
              <w:spacing w:before="20" w:after="20" w:line="240" w:lineRule="auto"/>
              <w:ind w:left="144" w:hanging="144"/>
              <w:rPr>
                <w:rFonts w:cstheme="minorHAnsi"/>
                <w:color w:val="auto"/>
                <w:szCs w:val="20"/>
              </w:rPr>
            </w:pPr>
            <w:r w:rsidRPr="003D7A05">
              <w:rPr>
                <w:rFonts w:cstheme="minorHAnsi"/>
                <w:color w:val="auto"/>
                <w:szCs w:val="20"/>
              </w:rPr>
              <w:t>of micromobility device users and pedestrians</w:t>
            </w:r>
            <w:r w:rsidR="00065FBA">
              <w:rPr>
                <w:rFonts w:cstheme="minorHAnsi"/>
                <w:color w:val="auto"/>
                <w:szCs w:val="20"/>
              </w:rPr>
              <w:t xml:space="preserve"> </w:t>
            </w:r>
            <w:r w:rsidRPr="003D7A05">
              <w:rPr>
                <w:rFonts w:cstheme="minorHAnsi"/>
                <w:color w:val="auto"/>
                <w:szCs w:val="20"/>
              </w:rPr>
              <w:t>combined</w:t>
            </w:r>
          </w:p>
        </w:tc>
        <w:tc>
          <w:tcPr>
            <w:tcW w:w="1153" w:type="pct"/>
            <w:hideMark/>
          </w:tcPr>
          <w:p w14:paraId="716522BD" w14:textId="77777777" w:rsidR="008822A4" w:rsidRPr="003D7A05" w:rsidRDefault="008822A4" w:rsidP="00065FBA">
            <w:pPr>
              <w:pStyle w:val="TableBodyText"/>
              <w:spacing w:before="20" w:after="60" w:line="240" w:lineRule="auto"/>
              <w:ind w:left="144" w:hanging="144"/>
              <w:rPr>
                <w:rFonts w:cstheme="minorHAnsi"/>
                <w:color w:val="auto"/>
                <w:szCs w:val="20"/>
              </w:rPr>
            </w:pPr>
            <w:r w:rsidRPr="003D7A05">
              <w:rPr>
                <w:rFonts w:cstheme="minorHAnsi"/>
                <w:color w:val="auto"/>
                <w:szCs w:val="20"/>
              </w:rPr>
              <w:t>Relatively portable</w:t>
            </w:r>
          </w:p>
          <w:p w14:paraId="4FF29BDA" w14:textId="77777777" w:rsidR="008822A4" w:rsidRPr="003D7A05" w:rsidRDefault="008822A4" w:rsidP="00065FBA">
            <w:pPr>
              <w:pStyle w:val="TableBodyText"/>
              <w:spacing w:before="20" w:after="20" w:line="240" w:lineRule="auto"/>
              <w:ind w:left="144" w:hanging="144"/>
              <w:rPr>
                <w:rFonts w:cstheme="minorHAnsi"/>
                <w:color w:val="auto"/>
                <w:szCs w:val="20"/>
              </w:rPr>
            </w:pPr>
            <w:r w:rsidRPr="003D7A05">
              <w:rPr>
                <w:rFonts w:cstheme="minorHAnsi"/>
                <w:color w:val="auto"/>
                <w:szCs w:val="20"/>
              </w:rPr>
              <w:t>Low profile, unobtrusive appearance</w:t>
            </w:r>
          </w:p>
        </w:tc>
        <w:tc>
          <w:tcPr>
            <w:tcW w:w="1733" w:type="pct"/>
            <w:hideMark/>
          </w:tcPr>
          <w:p w14:paraId="2951E951" w14:textId="77777777" w:rsidR="008822A4" w:rsidRPr="003D7A05" w:rsidRDefault="008822A4" w:rsidP="00065FBA">
            <w:pPr>
              <w:pStyle w:val="TableBodyText"/>
              <w:spacing w:before="20" w:after="60" w:line="240" w:lineRule="auto"/>
              <w:ind w:left="144" w:hanging="144"/>
              <w:rPr>
                <w:rFonts w:cstheme="minorHAnsi"/>
                <w:color w:val="auto"/>
                <w:szCs w:val="20"/>
              </w:rPr>
            </w:pPr>
            <w:r w:rsidRPr="003D7A05">
              <w:rPr>
                <w:rFonts w:cstheme="minorHAnsi"/>
                <w:color w:val="auto"/>
                <w:szCs w:val="20"/>
              </w:rPr>
              <w:t>Cannot distinguish between bicyclists and pedestrians unless combined with another bicycle detection technology</w:t>
            </w:r>
          </w:p>
          <w:p w14:paraId="46708A36" w14:textId="77777777" w:rsidR="008822A4" w:rsidRPr="003D7A05" w:rsidRDefault="008822A4" w:rsidP="00065FBA">
            <w:pPr>
              <w:pStyle w:val="TableBodyText"/>
              <w:spacing w:before="20" w:after="60" w:line="240" w:lineRule="auto"/>
              <w:ind w:left="144" w:hanging="144"/>
              <w:rPr>
                <w:rFonts w:cstheme="minorHAnsi"/>
                <w:color w:val="auto"/>
                <w:szCs w:val="20"/>
              </w:rPr>
            </w:pPr>
            <w:r w:rsidRPr="003D7A05">
              <w:rPr>
                <w:rFonts w:cstheme="minorHAnsi"/>
                <w:color w:val="auto"/>
                <w:szCs w:val="20"/>
              </w:rPr>
              <w:t>Very difficult to use for bike lanes and shared lanes</w:t>
            </w:r>
          </w:p>
          <w:p w14:paraId="667325E3" w14:textId="77777777" w:rsidR="008822A4" w:rsidRPr="003D7A05" w:rsidRDefault="008822A4" w:rsidP="00065FBA">
            <w:pPr>
              <w:pStyle w:val="TableBodyText"/>
              <w:spacing w:before="20" w:after="20" w:line="240" w:lineRule="auto"/>
              <w:ind w:left="144" w:hanging="144"/>
              <w:rPr>
                <w:rFonts w:cstheme="minorHAnsi"/>
                <w:color w:val="auto"/>
                <w:szCs w:val="20"/>
              </w:rPr>
            </w:pPr>
            <w:r w:rsidRPr="003D7A05">
              <w:rPr>
                <w:rFonts w:cstheme="minorHAnsi"/>
                <w:color w:val="auto"/>
                <w:szCs w:val="20"/>
              </w:rPr>
              <w:t>Often have higher error with groups</w:t>
            </w:r>
          </w:p>
        </w:tc>
      </w:tr>
      <w:tr w:rsidR="008822A4" w:rsidRPr="003D7A05" w14:paraId="7F6E73E8" w14:textId="77777777" w:rsidTr="003519FA">
        <w:trPr>
          <w:trHeight w:val="60"/>
          <w:jc w:val="center"/>
        </w:trPr>
        <w:tc>
          <w:tcPr>
            <w:tcW w:w="821" w:type="pct"/>
            <w:hideMark/>
          </w:tcPr>
          <w:p w14:paraId="0080F5D8" w14:textId="20A22BD4" w:rsidR="008822A4" w:rsidRPr="003D7A05" w:rsidRDefault="00973D01" w:rsidP="003519FA">
            <w:pPr>
              <w:pStyle w:val="TableBodyText"/>
              <w:spacing w:before="20" w:after="20" w:line="240" w:lineRule="auto"/>
              <w:rPr>
                <w:rFonts w:cstheme="minorHAnsi"/>
                <w:b/>
                <w:bCs/>
                <w:color w:val="auto"/>
                <w:szCs w:val="20"/>
              </w:rPr>
            </w:pPr>
            <w:r w:rsidRPr="003D7A05">
              <w:rPr>
                <w:rFonts w:cstheme="minorHAnsi"/>
                <w:b/>
                <w:bCs/>
                <w:color w:val="auto"/>
                <w:szCs w:val="20"/>
              </w:rPr>
              <w:t>I</w:t>
            </w:r>
            <w:r w:rsidR="008822A4" w:rsidRPr="003D7A05">
              <w:rPr>
                <w:rFonts w:cstheme="minorHAnsi"/>
                <w:b/>
                <w:bCs/>
                <w:color w:val="auto"/>
                <w:szCs w:val="20"/>
              </w:rPr>
              <w:t>nfrared – Passive</w:t>
            </w:r>
          </w:p>
        </w:tc>
        <w:tc>
          <w:tcPr>
            <w:tcW w:w="1292" w:type="pct"/>
            <w:hideMark/>
          </w:tcPr>
          <w:p w14:paraId="10CA38FF" w14:textId="0BC820D4" w:rsidR="008822A4" w:rsidRPr="003D7A05" w:rsidRDefault="008822A4" w:rsidP="003519FA">
            <w:pPr>
              <w:pStyle w:val="TableBodyText"/>
              <w:spacing w:before="20" w:after="20" w:line="240" w:lineRule="auto"/>
              <w:ind w:left="144" w:hanging="144"/>
              <w:rPr>
                <w:rFonts w:cstheme="minorHAnsi"/>
                <w:color w:val="auto"/>
                <w:szCs w:val="20"/>
              </w:rPr>
            </w:pPr>
            <w:r w:rsidRPr="003D7A05">
              <w:rPr>
                <w:rFonts w:cstheme="minorHAnsi"/>
                <w:color w:val="auto"/>
                <w:szCs w:val="20"/>
              </w:rPr>
              <w:t>Short-term or permanent</w:t>
            </w:r>
            <w:r w:rsidR="00065FBA">
              <w:rPr>
                <w:rFonts w:cstheme="minorHAnsi"/>
                <w:color w:val="auto"/>
                <w:szCs w:val="20"/>
              </w:rPr>
              <w:t xml:space="preserve"> </w:t>
            </w:r>
            <w:r w:rsidRPr="003D7A05">
              <w:rPr>
                <w:rFonts w:cstheme="minorHAnsi"/>
                <w:color w:val="auto"/>
                <w:szCs w:val="20"/>
              </w:rPr>
              <w:t>counts micromobility device users and pedestrians combined</w:t>
            </w:r>
          </w:p>
        </w:tc>
        <w:tc>
          <w:tcPr>
            <w:tcW w:w="1153" w:type="pct"/>
            <w:hideMark/>
          </w:tcPr>
          <w:p w14:paraId="38F93AEC" w14:textId="77777777" w:rsidR="008822A4" w:rsidRPr="003D7A05" w:rsidRDefault="008822A4" w:rsidP="003519FA">
            <w:pPr>
              <w:pStyle w:val="TableBodyText"/>
              <w:spacing w:before="20" w:after="60" w:line="240" w:lineRule="auto"/>
              <w:ind w:left="144" w:hanging="144"/>
              <w:rPr>
                <w:rFonts w:cstheme="minorHAnsi"/>
                <w:color w:val="auto"/>
                <w:szCs w:val="20"/>
              </w:rPr>
            </w:pPr>
            <w:r w:rsidRPr="003D7A05">
              <w:rPr>
                <w:rFonts w:cstheme="minorHAnsi"/>
                <w:color w:val="auto"/>
                <w:szCs w:val="20"/>
              </w:rPr>
              <w:t>Very portable with easy setup</w:t>
            </w:r>
          </w:p>
          <w:p w14:paraId="4C56309F" w14:textId="77777777" w:rsidR="008822A4" w:rsidRPr="003D7A05" w:rsidRDefault="008822A4" w:rsidP="003519FA">
            <w:pPr>
              <w:pStyle w:val="TableBodyText"/>
              <w:spacing w:before="20" w:after="20" w:line="240" w:lineRule="auto"/>
              <w:ind w:left="144" w:hanging="144"/>
              <w:rPr>
                <w:rFonts w:cstheme="minorHAnsi"/>
                <w:color w:val="auto"/>
                <w:szCs w:val="20"/>
              </w:rPr>
            </w:pPr>
            <w:r w:rsidRPr="003D7A05">
              <w:rPr>
                <w:rFonts w:cstheme="minorHAnsi"/>
                <w:color w:val="auto"/>
                <w:szCs w:val="20"/>
              </w:rPr>
              <w:t>Low profile, unobtrusive appearance</w:t>
            </w:r>
          </w:p>
        </w:tc>
        <w:tc>
          <w:tcPr>
            <w:tcW w:w="1733" w:type="pct"/>
            <w:hideMark/>
          </w:tcPr>
          <w:p w14:paraId="21942924" w14:textId="77777777" w:rsidR="008822A4" w:rsidRPr="003D7A05" w:rsidRDefault="008822A4" w:rsidP="003519FA">
            <w:pPr>
              <w:pStyle w:val="TableBodyText"/>
              <w:spacing w:before="20" w:after="60" w:line="240" w:lineRule="auto"/>
              <w:ind w:left="144" w:hanging="144"/>
              <w:rPr>
                <w:rFonts w:cstheme="minorHAnsi"/>
                <w:color w:val="auto"/>
                <w:szCs w:val="20"/>
              </w:rPr>
            </w:pPr>
            <w:r w:rsidRPr="003D7A05">
              <w:rPr>
                <w:rFonts w:cstheme="minorHAnsi"/>
                <w:color w:val="auto"/>
                <w:szCs w:val="20"/>
              </w:rPr>
              <w:t>Cannot distinguish between bicyclists and pedestrians unless combined with another bicycle detector</w:t>
            </w:r>
          </w:p>
          <w:p w14:paraId="4BFB1AB3" w14:textId="77777777" w:rsidR="008822A4" w:rsidRPr="003D7A05" w:rsidRDefault="008822A4" w:rsidP="003519FA">
            <w:pPr>
              <w:pStyle w:val="TableBodyText"/>
              <w:spacing w:before="20" w:after="60" w:line="240" w:lineRule="auto"/>
              <w:ind w:left="144" w:hanging="144"/>
              <w:rPr>
                <w:rFonts w:cstheme="minorHAnsi"/>
                <w:color w:val="auto"/>
                <w:szCs w:val="20"/>
              </w:rPr>
            </w:pPr>
            <w:r w:rsidRPr="003D7A05">
              <w:rPr>
                <w:rFonts w:cstheme="minorHAnsi"/>
                <w:color w:val="auto"/>
                <w:szCs w:val="20"/>
              </w:rPr>
              <w:t>Difficult to use for bike lanes and shared lanes, requires careful site selection and configuration</w:t>
            </w:r>
          </w:p>
          <w:p w14:paraId="7B3C2FF2" w14:textId="77777777" w:rsidR="008822A4" w:rsidRPr="003D7A05" w:rsidRDefault="008822A4" w:rsidP="003519FA">
            <w:pPr>
              <w:pStyle w:val="TableBodyText"/>
              <w:spacing w:before="20" w:after="60" w:line="240" w:lineRule="auto"/>
              <w:ind w:left="144" w:hanging="144"/>
              <w:rPr>
                <w:rFonts w:cstheme="minorHAnsi"/>
                <w:color w:val="auto"/>
                <w:szCs w:val="20"/>
              </w:rPr>
            </w:pPr>
            <w:r w:rsidRPr="003D7A05">
              <w:rPr>
                <w:rFonts w:cstheme="minorHAnsi"/>
                <w:color w:val="auto"/>
                <w:szCs w:val="20"/>
              </w:rPr>
              <w:t>Have higher error when ambient air temperature approaches body temperature range</w:t>
            </w:r>
          </w:p>
          <w:p w14:paraId="4F085ED5" w14:textId="77777777" w:rsidR="008822A4" w:rsidRPr="003D7A05" w:rsidRDefault="008822A4" w:rsidP="003519FA">
            <w:pPr>
              <w:pStyle w:val="TableBodyText"/>
              <w:spacing w:before="20" w:after="60" w:line="240" w:lineRule="auto"/>
              <w:ind w:left="144" w:hanging="144"/>
              <w:rPr>
                <w:rFonts w:cstheme="minorHAnsi"/>
                <w:color w:val="auto"/>
                <w:szCs w:val="20"/>
              </w:rPr>
            </w:pPr>
            <w:r w:rsidRPr="003D7A05">
              <w:rPr>
                <w:rFonts w:cstheme="minorHAnsi"/>
                <w:color w:val="auto"/>
                <w:szCs w:val="20"/>
              </w:rPr>
              <w:t>Often have higher error with groups</w:t>
            </w:r>
          </w:p>
          <w:p w14:paraId="0F2AFE67" w14:textId="77777777" w:rsidR="008822A4" w:rsidRPr="003D7A05" w:rsidRDefault="008822A4" w:rsidP="003519FA">
            <w:pPr>
              <w:pStyle w:val="TableBodyText"/>
              <w:spacing w:before="20" w:after="20" w:line="240" w:lineRule="auto"/>
              <w:ind w:left="144" w:hanging="144"/>
              <w:rPr>
                <w:rFonts w:cstheme="minorHAnsi"/>
                <w:color w:val="auto"/>
                <w:szCs w:val="20"/>
              </w:rPr>
            </w:pPr>
            <w:r w:rsidRPr="003D7A05">
              <w:rPr>
                <w:rFonts w:cstheme="minorHAnsi"/>
                <w:color w:val="auto"/>
                <w:szCs w:val="20"/>
              </w:rPr>
              <w:t>Direct sunlight on sensor may create false counts</w:t>
            </w:r>
          </w:p>
        </w:tc>
      </w:tr>
      <w:tr w:rsidR="008822A4" w:rsidRPr="003D7A05" w14:paraId="707310A7" w14:textId="77777777" w:rsidTr="003519FA">
        <w:trPr>
          <w:trHeight w:val="60"/>
          <w:jc w:val="center"/>
        </w:trPr>
        <w:tc>
          <w:tcPr>
            <w:tcW w:w="821" w:type="pct"/>
            <w:hideMark/>
          </w:tcPr>
          <w:p w14:paraId="4B6177DA" w14:textId="77777777" w:rsidR="008822A4" w:rsidRPr="003D7A05" w:rsidRDefault="008822A4" w:rsidP="003D7A05">
            <w:pPr>
              <w:pStyle w:val="TableBodyText"/>
              <w:spacing w:before="20" w:after="20" w:line="240" w:lineRule="auto"/>
              <w:rPr>
                <w:rFonts w:cstheme="minorHAnsi"/>
                <w:b/>
                <w:bCs/>
                <w:color w:val="auto"/>
                <w:szCs w:val="20"/>
              </w:rPr>
            </w:pPr>
            <w:r w:rsidRPr="003D7A05">
              <w:rPr>
                <w:rFonts w:cstheme="minorHAnsi"/>
                <w:b/>
                <w:bCs/>
                <w:color w:val="auto"/>
                <w:szCs w:val="20"/>
              </w:rPr>
              <w:lastRenderedPageBreak/>
              <w:t>Pneumatic Tube</w:t>
            </w:r>
          </w:p>
        </w:tc>
        <w:tc>
          <w:tcPr>
            <w:tcW w:w="1292" w:type="pct"/>
            <w:hideMark/>
          </w:tcPr>
          <w:p w14:paraId="753FC7AD" w14:textId="77777777" w:rsidR="008822A4" w:rsidRPr="003D7A05" w:rsidRDefault="008822A4" w:rsidP="00065FBA">
            <w:pPr>
              <w:pStyle w:val="TableBodyText"/>
              <w:spacing w:before="20" w:after="20" w:line="240" w:lineRule="auto"/>
              <w:ind w:left="144" w:hanging="144"/>
              <w:rPr>
                <w:rFonts w:cstheme="minorHAnsi"/>
                <w:color w:val="auto"/>
                <w:szCs w:val="20"/>
              </w:rPr>
            </w:pPr>
            <w:r w:rsidRPr="003D7A05">
              <w:rPr>
                <w:rFonts w:cstheme="minorHAnsi"/>
                <w:color w:val="auto"/>
                <w:szCs w:val="20"/>
              </w:rPr>
              <w:t>Short-term counts of 2-axle micromobility device users</w:t>
            </w:r>
          </w:p>
        </w:tc>
        <w:tc>
          <w:tcPr>
            <w:tcW w:w="1153" w:type="pct"/>
            <w:hideMark/>
          </w:tcPr>
          <w:p w14:paraId="2ADC1DC0" w14:textId="77777777" w:rsidR="008822A4" w:rsidRPr="003D7A05" w:rsidRDefault="008822A4" w:rsidP="00065FBA">
            <w:pPr>
              <w:pStyle w:val="TableBodyText"/>
              <w:spacing w:before="20" w:after="60" w:line="240" w:lineRule="auto"/>
              <w:ind w:left="144" w:hanging="144"/>
              <w:rPr>
                <w:rFonts w:cstheme="minorHAnsi"/>
                <w:color w:val="auto"/>
                <w:szCs w:val="20"/>
              </w:rPr>
            </w:pPr>
            <w:r w:rsidRPr="003D7A05">
              <w:rPr>
                <w:rFonts w:cstheme="minorHAnsi"/>
                <w:color w:val="auto"/>
                <w:szCs w:val="20"/>
              </w:rPr>
              <w:t>Relatively portable, low-cost</w:t>
            </w:r>
          </w:p>
          <w:p w14:paraId="596E29C9" w14:textId="77777777" w:rsidR="008822A4" w:rsidRPr="003D7A05" w:rsidRDefault="008822A4" w:rsidP="00065FBA">
            <w:pPr>
              <w:pStyle w:val="TableBodyText"/>
              <w:spacing w:before="20" w:after="20" w:line="240" w:lineRule="auto"/>
              <w:ind w:left="144" w:hanging="144"/>
              <w:rPr>
                <w:rFonts w:cstheme="minorHAnsi"/>
                <w:color w:val="auto"/>
                <w:szCs w:val="20"/>
              </w:rPr>
            </w:pPr>
            <w:r w:rsidRPr="003D7A05">
              <w:rPr>
                <w:rFonts w:cstheme="minorHAnsi"/>
                <w:color w:val="auto"/>
                <w:szCs w:val="20"/>
              </w:rPr>
              <w:t>Possible to use existing motor vehicle counting technology and equipment</w:t>
            </w:r>
          </w:p>
        </w:tc>
        <w:tc>
          <w:tcPr>
            <w:tcW w:w="1733" w:type="pct"/>
            <w:hideMark/>
          </w:tcPr>
          <w:p w14:paraId="7245F875" w14:textId="77777777" w:rsidR="008822A4" w:rsidRPr="003D7A05" w:rsidRDefault="008822A4" w:rsidP="00065FBA">
            <w:pPr>
              <w:pStyle w:val="TableBodyText"/>
              <w:spacing w:before="20" w:after="60" w:line="240" w:lineRule="auto"/>
              <w:ind w:left="144" w:hanging="144"/>
              <w:rPr>
                <w:rFonts w:cstheme="minorHAnsi"/>
                <w:color w:val="auto"/>
                <w:szCs w:val="20"/>
              </w:rPr>
            </w:pPr>
            <w:r w:rsidRPr="003D7A05">
              <w:rPr>
                <w:rFonts w:cstheme="minorHAnsi"/>
                <w:color w:val="auto"/>
                <w:szCs w:val="20"/>
              </w:rPr>
              <w:t>Capable of counting bicyclists only</w:t>
            </w:r>
          </w:p>
          <w:p w14:paraId="015984B0" w14:textId="77777777" w:rsidR="008822A4" w:rsidRPr="003D7A05" w:rsidRDefault="008822A4" w:rsidP="00065FBA">
            <w:pPr>
              <w:pStyle w:val="TableBodyText"/>
              <w:spacing w:before="20" w:after="60" w:line="240" w:lineRule="auto"/>
              <w:ind w:left="144" w:hanging="144"/>
              <w:rPr>
                <w:rFonts w:cstheme="minorHAnsi"/>
                <w:color w:val="auto"/>
                <w:szCs w:val="20"/>
              </w:rPr>
            </w:pPr>
            <w:r w:rsidRPr="003D7A05">
              <w:rPr>
                <w:rFonts w:cstheme="minorHAnsi"/>
                <w:color w:val="auto"/>
                <w:szCs w:val="20"/>
              </w:rPr>
              <w:t>Tubes pose hazard to trail users</w:t>
            </w:r>
          </w:p>
          <w:p w14:paraId="624401DE" w14:textId="77777777" w:rsidR="008822A4" w:rsidRPr="003D7A05" w:rsidRDefault="008822A4" w:rsidP="00065FBA">
            <w:pPr>
              <w:pStyle w:val="TableBodyText"/>
              <w:spacing w:before="20" w:after="60" w:line="240" w:lineRule="auto"/>
              <w:ind w:left="144" w:hanging="144"/>
              <w:rPr>
                <w:rFonts w:cstheme="minorHAnsi"/>
                <w:color w:val="auto"/>
                <w:szCs w:val="20"/>
              </w:rPr>
            </w:pPr>
            <w:r w:rsidRPr="003D7A05">
              <w:rPr>
                <w:rFonts w:cstheme="minorHAnsi"/>
                <w:color w:val="auto"/>
                <w:szCs w:val="20"/>
              </w:rPr>
              <w:t>Greater risk of vandalism</w:t>
            </w:r>
          </w:p>
          <w:p w14:paraId="660888C0" w14:textId="77777777" w:rsidR="008822A4" w:rsidRPr="003D7A05" w:rsidRDefault="008822A4" w:rsidP="00065FBA">
            <w:pPr>
              <w:pStyle w:val="TableBodyText"/>
              <w:spacing w:before="20" w:after="20" w:line="240" w:lineRule="auto"/>
              <w:ind w:left="144" w:hanging="144"/>
              <w:rPr>
                <w:rFonts w:cstheme="minorHAnsi"/>
                <w:color w:val="auto"/>
                <w:szCs w:val="20"/>
              </w:rPr>
            </w:pPr>
            <w:r w:rsidRPr="003D7A05">
              <w:rPr>
                <w:rFonts w:cstheme="minorHAnsi"/>
                <w:color w:val="auto"/>
                <w:szCs w:val="20"/>
              </w:rPr>
              <w:t>Special care needed when installing and configuring for counting bikes in bike or shared lanes</w:t>
            </w:r>
          </w:p>
        </w:tc>
      </w:tr>
      <w:tr w:rsidR="008822A4" w:rsidRPr="003D7A05" w14:paraId="447B03DB" w14:textId="77777777" w:rsidTr="003519FA">
        <w:trPr>
          <w:trHeight w:val="60"/>
          <w:jc w:val="center"/>
        </w:trPr>
        <w:tc>
          <w:tcPr>
            <w:tcW w:w="821" w:type="pct"/>
            <w:hideMark/>
          </w:tcPr>
          <w:p w14:paraId="0952CDE2" w14:textId="77777777" w:rsidR="008822A4" w:rsidRPr="003D7A05" w:rsidRDefault="008822A4" w:rsidP="003D7A05">
            <w:pPr>
              <w:pStyle w:val="TableBodyText"/>
              <w:spacing w:before="20" w:after="20" w:line="240" w:lineRule="auto"/>
              <w:rPr>
                <w:rFonts w:cstheme="minorHAnsi"/>
                <w:b/>
                <w:bCs/>
                <w:color w:val="auto"/>
                <w:szCs w:val="20"/>
              </w:rPr>
            </w:pPr>
            <w:r w:rsidRPr="003D7A05">
              <w:rPr>
                <w:rFonts w:cstheme="minorHAnsi"/>
                <w:b/>
                <w:bCs/>
                <w:color w:val="auto"/>
                <w:szCs w:val="20"/>
              </w:rPr>
              <w:t>Video Imaging – Manual Reduction</w:t>
            </w:r>
          </w:p>
        </w:tc>
        <w:tc>
          <w:tcPr>
            <w:tcW w:w="1292" w:type="pct"/>
            <w:hideMark/>
          </w:tcPr>
          <w:p w14:paraId="4AE421F4" w14:textId="25196D5D" w:rsidR="008822A4" w:rsidRPr="003D7A05" w:rsidRDefault="008822A4" w:rsidP="00065FBA">
            <w:pPr>
              <w:pStyle w:val="TableBodyText"/>
              <w:spacing w:before="20" w:after="20" w:line="240" w:lineRule="auto"/>
              <w:ind w:left="144" w:hanging="144"/>
              <w:rPr>
                <w:rFonts w:cstheme="minorHAnsi"/>
                <w:color w:val="auto"/>
                <w:szCs w:val="20"/>
              </w:rPr>
            </w:pPr>
            <w:r w:rsidRPr="003D7A05">
              <w:rPr>
                <w:rFonts w:cstheme="minorHAnsi"/>
                <w:color w:val="auto"/>
                <w:szCs w:val="20"/>
              </w:rPr>
              <w:t>Short-term counts of micromobility devices and pedestrians</w:t>
            </w:r>
            <w:r w:rsidR="00FB770F">
              <w:rPr>
                <w:rFonts w:cstheme="minorHAnsi"/>
                <w:color w:val="auto"/>
                <w:szCs w:val="20"/>
              </w:rPr>
              <w:t xml:space="preserve"> </w:t>
            </w:r>
            <w:r w:rsidRPr="003D7A05">
              <w:rPr>
                <w:rFonts w:cstheme="minorHAnsi"/>
                <w:color w:val="auto"/>
                <w:szCs w:val="20"/>
              </w:rPr>
              <w:t>separately</w:t>
            </w:r>
          </w:p>
        </w:tc>
        <w:tc>
          <w:tcPr>
            <w:tcW w:w="1153" w:type="pct"/>
            <w:hideMark/>
          </w:tcPr>
          <w:p w14:paraId="2CF77784" w14:textId="77777777" w:rsidR="008822A4" w:rsidRPr="003D7A05" w:rsidRDefault="008822A4" w:rsidP="00065FBA">
            <w:pPr>
              <w:pStyle w:val="TableBodyText"/>
              <w:spacing w:before="20" w:after="20" w:line="240" w:lineRule="auto"/>
              <w:ind w:left="144" w:hanging="144"/>
              <w:rPr>
                <w:rFonts w:cstheme="minorHAnsi"/>
                <w:color w:val="auto"/>
                <w:szCs w:val="20"/>
              </w:rPr>
            </w:pPr>
            <w:r w:rsidRPr="003D7A05">
              <w:rPr>
                <w:rFonts w:cstheme="minorHAnsi"/>
                <w:color w:val="auto"/>
                <w:szCs w:val="20"/>
              </w:rPr>
              <w:t>Cost is lower when existing video cameras are already installed</w:t>
            </w:r>
          </w:p>
        </w:tc>
        <w:tc>
          <w:tcPr>
            <w:tcW w:w="1733" w:type="pct"/>
            <w:hideMark/>
          </w:tcPr>
          <w:p w14:paraId="2CB0CFAE" w14:textId="77777777" w:rsidR="008822A4" w:rsidRPr="003D7A05" w:rsidRDefault="008822A4" w:rsidP="00065FBA">
            <w:pPr>
              <w:pStyle w:val="TableBodyText"/>
              <w:spacing w:before="20" w:after="60" w:line="240" w:lineRule="auto"/>
              <w:ind w:left="144" w:hanging="144"/>
              <w:rPr>
                <w:rFonts w:cstheme="minorHAnsi"/>
                <w:color w:val="auto"/>
                <w:szCs w:val="20"/>
              </w:rPr>
            </w:pPr>
            <w:r w:rsidRPr="003D7A05">
              <w:rPr>
                <w:rFonts w:cstheme="minorHAnsi"/>
                <w:color w:val="auto"/>
                <w:szCs w:val="20"/>
              </w:rPr>
              <w:t>Limited to short-term use</w:t>
            </w:r>
          </w:p>
          <w:p w14:paraId="161C200E" w14:textId="77777777" w:rsidR="008822A4" w:rsidRPr="003D7A05" w:rsidRDefault="008822A4" w:rsidP="00065FBA">
            <w:pPr>
              <w:pStyle w:val="TableBodyText"/>
              <w:spacing w:before="20" w:after="60" w:line="240" w:lineRule="auto"/>
              <w:ind w:left="144" w:hanging="144"/>
              <w:rPr>
                <w:rFonts w:cstheme="minorHAnsi"/>
                <w:color w:val="auto"/>
                <w:szCs w:val="20"/>
              </w:rPr>
            </w:pPr>
            <w:r w:rsidRPr="003D7A05">
              <w:rPr>
                <w:rFonts w:cstheme="minorHAnsi"/>
                <w:color w:val="auto"/>
                <w:szCs w:val="20"/>
              </w:rPr>
              <w:t>Manual video reduction is labor-intensive</w:t>
            </w:r>
          </w:p>
          <w:p w14:paraId="50066465" w14:textId="77777777" w:rsidR="008822A4" w:rsidRPr="003D7A05" w:rsidRDefault="008822A4" w:rsidP="00065FBA">
            <w:pPr>
              <w:pStyle w:val="TableBodyText"/>
              <w:spacing w:before="20" w:after="60" w:line="240" w:lineRule="auto"/>
              <w:ind w:left="144" w:hanging="144"/>
              <w:rPr>
                <w:rFonts w:cstheme="minorHAnsi"/>
                <w:color w:val="auto"/>
                <w:szCs w:val="20"/>
              </w:rPr>
            </w:pPr>
            <w:r w:rsidRPr="003D7A05">
              <w:rPr>
                <w:rFonts w:cstheme="minorHAnsi"/>
                <w:color w:val="auto"/>
                <w:szCs w:val="20"/>
              </w:rPr>
              <w:t xml:space="preserve">Weather and lighting reduce the accuracy </w:t>
            </w:r>
          </w:p>
          <w:p w14:paraId="20465015" w14:textId="77777777" w:rsidR="008822A4" w:rsidRPr="003D7A05" w:rsidRDefault="008822A4" w:rsidP="00065FBA">
            <w:pPr>
              <w:pStyle w:val="TableBodyText"/>
              <w:spacing w:before="20" w:after="20" w:line="240" w:lineRule="auto"/>
              <w:ind w:left="144" w:hanging="144"/>
              <w:rPr>
                <w:rFonts w:cstheme="minorHAnsi"/>
                <w:color w:val="auto"/>
                <w:szCs w:val="20"/>
              </w:rPr>
            </w:pPr>
            <w:r w:rsidRPr="003D7A05">
              <w:rPr>
                <w:rFonts w:cstheme="minorHAnsi"/>
                <w:color w:val="auto"/>
                <w:szCs w:val="20"/>
              </w:rPr>
              <w:t>Video image processing has the highest equipment costs</w:t>
            </w:r>
          </w:p>
        </w:tc>
      </w:tr>
      <w:tr w:rsidR="008822A4" w:rsidRPr="003D7A05" w14:paraId="7353A709" w14:textId="77777777" w:rsidTr="003519FA">
        <w:trPr>
          <w:trHeight w:val="60"/>
          <w:jc w:val="center"/>
        </w:trPr>
        <w:tc>
          <w:tcPr>
            <w:tcW w:w="821" w:type="pct"/>
            <w:hideMark/>
          </w:tcPr>
          <w:p w14:paraId="3E4FB450" w14:textId="77777777" w:rsidR="008822A4" w:rsidRPr="003D7A05" w:rsidRDefault="008822A4" w:rsidP="003D7A05">
            <w:pPr>
              <w:pStyle w:val="TableBodyText"/>
              <w:spacing w:before="20" w:after="20" w:line="240" w:lineRule="auto"/>
              <w:rPr>
                <w:rFonts w:cstheme="minorHAnsi"/>
                <w:b/>
                <w:bCs/>
                <w:color w:val="auto"/>
                <w:szCs w:val="20"/>
              </w:rPr>
            </w:pPr>
            <w:r w:rsidRPr="003D7A05">
              <w:rPr>
                <w:rFonts w:cstheme="minorHAnsi"/>
                <w:b/>
                <w:bCs/>
                <w:color w:val="auto"/>
                <w:szCs w:val="20"/>
              </w:rPr>
              <w:t>Manual Observer</w:t>
            </w:r>
          </w:p>
        </w:tc>
        <w:tc>
          <w:tcPr>
            <w:tcW w:w="1292" w:type="pct"/>
            <w:hideMark/>
          </w:tcPr>
          <w:p w14:paraId="315DB984" w14:textId="18462A7D" w:rsidR="008822A4" w:rsidRPr="003D7A05" w:rsidRDefault="008822A4" w:rsidP="00065FBA">
            <w:pPr>
              <w:pStyle w:val="TableBodyText"/>
              <w:spacing w:before="20" w:after="20" w:line="240" w:lineRule="auto"/>
              <w:ind w:left="144" w:hanging="144"/>
              <w:rPr>
                <w:rFonts w:cstheme="minorHAnsi"/>
                <w:color w:val="auto"/>
                <w:szCs w:val="20"/>
              </w:rPr>
            </w:pPr>
            <w:r w:rsidRPr="003D7A05">
              <w:rPr>
                <w:rFonts w:cstheme="minorHAnsi"/>
                <w:color w:val="auto"/>
                <w:szCs w:val="20"/>
              </w:rPr>
              <w:t>Short-term counts of micromobility devices and pedestrians</w:t>
            </w:r>
            <w:r w:rsidR="00FB770F">
              <w:rPr>
                <w:rFonts w:cstheme="minorHAnsi"/>
                <w:color w:val="auto"/>
                <w:szCs w:val="20"/>
              </w:rPr>
              <w:t xml:space="preserve"> </w:t>
            </w:r>
            <w:r w:rsidRPr="003D7A05">
              <w:rPr>
                <w:rFonts w:cstheme="minorHAnsi"/>
                <w:color w:val="auto"/>
                <w:szCs w:val="20"/>
              </w:rPr>
              <w:t>separately</w:t>
            </w:r>
          </w:p>
        </w:tc>
        <w:tc>
          <w:tcPr>
            <w:tcW w:w="1153" w:type="pct"/>
            <w:hideMark/>
          </w:tcPr>
          <w:p w14:paraId="73A2D178" w14:textId="77777777" w:rsidR="008822A4" w:rsidRPr="003D7A05" w:rsidRDefault="008822A4" w:rsidP="00065FBA">
            <w:pPr>
              <w:pStyle w:val="TableBodyText"/>
              <w:spacing w:before="20" w:after="60" w:line="240" w:lineRule="auto"/>
              <w:ind w:left="144" w:hanging="144"/>
              <w:rPr>
                <w:rFonts w:cstheme="minorHAnsi"/>
                <w:color w:val="auto"/>
                <w:szCs w:val="20"/>
              </w:rPr>
            </w:pPr>
            <w:r w:rsidRPr="003D7A05">
              <w:rPr>
                <w:rFonts w:cstheme="minorHAnsi"/>
                <w:color w:val="auto"/>
                <w:szCs w:val="20"/>
              </w:rPr>
              <w:t>Very portable</w:t>
            </w:r>
          </w:p>
          <w:p w14:paraId="484AE49A" w14:textId="54FAC41F" w:rsidR="008822A4" w:rsidRPr="003D7A05" w:rsidRDefault="008822A4" w:rsidP="00065FBA">
            <w:pPr>
              <w:pStyle w:val="TableBodyText"/>
              <w:spacing w:before="20" w:after="20" w:line="240" w:lineRule="auto"/>
              <w:ind w:left="144" w:hanging="144"/>
              <w:rPr>
                <w:rFonts w:cstheme="minorHAnsi"/>
                <w:color w:val="auto"/>
                <w:szCs w:val="20"/>
              </w:rPr>
            </w:pPr>
            <w:r w:rsidRPr="003D7A05">
              <w:rPr>
                <w:rFonts w:cstheme="minorHAnsi"/>
                <w:color w:val="auto"/>
                <w:szCs w:val="20"/>
              </w:rPr>
              <w:t>Also used for automated equipment</w:t>
            </w:r>
            <w:r w:rsidR="00FB770F">
              <w:rPr>
                <w:rFonts w:cstheme="minorHAnsi"/>
                <w:color w:val="auto"/>
                <w:szCs w:val="20"/>
              </w:rPr>
              <w:t xml:space="preserve"> </w:t>
            </w:r>
            <w:r w:rsidRPr="003D7A05">
              <w:rPr>
                <w:rFonts w:cstheme="minorHAnsi"/>
                <w:color w:val="auto"/>
                <w:szCs w:val="20"/>
              </w:rPr>
              <w:t>validation</w:t>
            </w:r>
          </w:p>
        </w:tc>
        <w:tc>
          <w:tcPr>
            <w:tcW w:w="1733" w:type="pct"/>
            <w:hideMark/>
          </w:tcPr>
          <w:p w14:paraId="7C30B318" w14:textId="77777777" w:rsidR="008822A4" w:rsidRPr="003D7A05" w:rsidRDefault="008822A4" w:rsidP="00065FBA">
            <w:pPr>
              <w:pStyle w:val="TableBodyText"/>
              <w:spacing w:before="20" w:after="20" w:line="240" w:lineRule="auto"/>
              <w:ind w:left="144" w:hanging="144"/>
              <w:rPr>
                <w:rFonts w:cstheme="minorHAnsi"/>
                <w:color w:val="auto"/>
                <w:szCs w:val="20"/>
              </w:rPr>
            </w:pPr>
            <w:r w:rsidRPr="003D7A05">
              <w:rPr>
                <w:rFonts w:cstheme="minorHAnsi"/>
                <w:color w:val="auto"/>
                <w:szCs w:val="20"/>
              </w:rPr>
              <w:t>Expensive and possibly inaccurate for longer duration counts</w:t>
            </w:r>
          </w:p>
        </w:tc>
      </w:tr>
    </w:tbl>
    <w:p w14:paraId="78C96499" w14:textId="2731501D" w:rsidR="008822A4" w:rsidRPr="00F468E1" w:rsidRDefault="008822A4">
      <w:pPr>
        <w:pStyle w:val="Heading2"/>
        <w:spacing w:before="360"/>
      </w:pPr>
      <w:bookmarkStart w:id="705" w:name="_Toc52785399"/>
      <w:bookmarkStart w:id="706" w:name="_Toc63428127"/>
      <w:bookmarkStart w:id="707" w:name="_Toc68864935"/>
      <w:bookmarkStart w:id="708" w:name="_Toc114474720"/>
      <w:bookmarkStart w:id="709" w:name="_Toc118205588"/>
      <w:r w:rsidRPr="00F468E1">
        <w:t>Selecting Motorized Traffic Monitoring Technologies</w:t>
      </w:r>
      <w:bookmarkEnd w:id="705"/>
      <w:bookmarkEnd w:id="706"/>
      <w:bookmarkEnd w:id="707"/>
      <w:bookmarkEnd w:id="708"/>
      <w:bookmarkEnd w:id="709"/>
    </w:p>
    <w:p w14:paraId="61253233" w14:textId="5B854F11" w:rsidR="008822A4" w:rsidRPr="00F468E1" w:rsidRDefault="008822A4">
      <w:pPr>
        <w:pStyle w:val="Heading3"/>
      </w:pPr>
      <w:bookmarkStart w:id="710" w:name="_Toc52785400"/>
      <w:bookmarkStart w:id="711" w:name="_Toc63428128"/>
      <w:bookmarkStart w:id="712" w:name="_Toc325034107"/>
      <w:bookmarkStart w:id="713" w:name="_Toc118205589"/>
      <w:r w:rsidRPr="00F468E1">
        <w:t>Vehicle Detection Equipment Capabilities by Traffic Data Types</w:t>
      </w:r>
      <w:bookmarkEnd w:id="710"/>
      <w:bookmarkEnd w:id="711"/>
      <w:bookmarkEnd w:id="712"/>
      <w:bookmarkEnd w:id="713"/>
    </w:p>
    <w:p w14:paraId="6B03A8AA" w14:textId="24D70DDD" w:rsidR="008822A4" w:rsidRPr="00855E7E" w:rsidRDefault="008822A4" w:rsidP="00A35EAF">
      <w:pPr>
        <w:pStyle w:val="BodyText"/>
      </w:pPr>
      <w:r w:rsidRPr="00855E7E">
        <w:t xml:space="preserve">A good way to categorize traffic monitoring devices is based on the type of data they collect. </w:t>
      </w:r>
      <w:r w:rsidR="006827F7">
        <w:fldChar w:fldCharType="begin"/>
      </w:r>
      <w:r w:rsidR="006827F7">
        <w:instrText xml:space="preserve"> REF _Ref114749776 \h </w:instrText>
      </w:r>
      <w:r w:rsidR="006827F7">
        <w:fldChar w:fldCharType="separate"/>
      </w:r>
      <w:r w:rsidR="00C07DF9" w:rsidRPr="00855E7E">
        <w:t xml:space="preserve">Table </w:t>
      </w:r>
      <w:r w:rsidR="00C07DF9">
        <w:rPr>
          <w:noProof/>
        </w:rPr>
        <w:t>2</w:t>
      </w:r>
      <w:r w:rsidR="00C07DF9">
        <w:noBreakHyphen/>
      </w:r>
      <w:r w:rsidR="00C07DF9">
        <w:rPr>
          <w:noProof/>
        </w:rPr>
        <w:t>5</w:t>
      </w:r>
      <w:r w:rsidR="006827F7">
        <w:fldChar w:fldCharType="end"/>
      </w:r>
      <w:r w:rsidRPr="00855E7E">
        <w:t xml:space="preserve"> provides a comparison of sensor capabilities for motorized vehicle detection by key traffic attributes. The following sub-sections describe technologies for collecting the different types of traffic data.</w:t>
      </w:r>
    </w:p>
    <w:p w14:paraId="066A6F4F" w14:textId="6C1D3591" w:rsidR="008822A4" w:rsidRPr="00855E7E" w:rsidRDefault="008822A4" w:rsidP="00B854E1">
      <w:pPr>
        <w:pStyle w:val="TMGTableCaption"/>
      </w:pPr>
      <w:bookmarkStart w:id="714" w:name="_Ref114749776"/>
      <w:bookmarkStart w:id="715" w:name="_Toc63428090"/>
      <w:bookmarkStart w:id="716" w:name="_Toc68874103"/>
      <w:bookmarkStart w:id="717" w:name="_Toc114474815"/>
      <w:bookmarkStart w:id="718" w:name="_Toc120631121"/>
      <w:r w:rsidRPr="00855E7E">
        <w:t xml:space="preserve">Table </w:t>
      </w:r>
      <w:fldSimple w:instr=" STYLEREF 1 \s ">
        <w:r w:rsidR="00C07DF9">
          <w:rPr>
            <w:noProof/>
          </w:rPr>
          <w:t>2</w:t>
        </w:r>
      </w:fldSimple>
      <w:r w:rsidR="00FE5355">
        <w:noBreakHyphen/>
      </w:r>
      <w:fldSimple w:instr=" SEQ Table \* ARABIC \s 1 ">
        <w:r w:rsidR="00C07DF9">
          <w:rPr>
            <w:noProof/>
          </w:rPr>
          <w:t>5</w:t>
        </w:r>
      </w:fldSimple>
      <w:bookmarkEnd w:id="714"/>
      <w:r w:rsidR="00E34EB1">
        <w:t>.</w:t>
      </w:r>
      <w:r w:rsidRPr="00855E7E">
        <w:t xml:space="preserve"> Motorized Vehicle Detection Sensor Comparison</w:t>
      </w:r>
      <w:bookmarkEnd w:id="715"/>
      <w:bookmarkEnd w:id="716"/>
      <w:bookmarkEnd w:id="717"/>
      <w:bookmarkEnd w:id="718"/>
    </w:p>
    <w:tbl>
      <w:tblPr>
        <w:tblStyle w:val="TMGTable10"/>
        <w:tblW w:w="9360" w:type="dxa"/>
        <w:tblLayout w:type="fixed"/>
        <w:tblLook w:val="04A0" w:firstRow="1" w:lastRow="0" w:firstColumn="1" w:lastColumn="0" w:noHBand="0" w:noVBand="1"/>
      </w:tblPr>
      <w:tblGrid>
        <w:gridCol w:w="1525"/>
        <w:gridCol w:w="900"/>
        <w:gridCol w:w="990"/>
        <w:gridCol w:w="810"/>
        <w:gridCol w:w="1350"/>
        <w:gridCol w:w="900"/>
        <w:gridCol w:w="1710"/>
        <w:gridCol w:w="1169"/>
        <w:gridCol w:w="6"/>
      </w:tblGrid>
      <w:tr w:rsidR="006C17FD" w:rsidRPr="00B854E1" w14:paraId="0DD896CC" w14:textId="77777777" w:rsidTr="006C17FD">
        <w:trPr>
          <w:cnfStyle w:val="100000000000" w:firstRow="1" w:lastRow="0" w:firstColumn="0" w:lastColumn="0" w:oddVBand="0" w:evenVBand="0" w:oddHBand="0" w:evenHBand="0" w:firstRowFirstColumn="0" w:firstRowLastColumn="0" w:lastRowFirstColumn="0" w:lastRowLastColumn="0"/>
          <w:trHeight w:val="382"/>
          <w:tblHeader/>
        </w:trPr>
        <w:tc>
          <w:tcPr>
            <w:tcW w:w="1525" w:type="dxa"/>
            <w:hideMark/>
          </w:tcPr>
          <w:p w14:paraId="3C3CCC64" w14:textId="77777777" w:rsidR="007C54FC" w:rsidRPr="00B854E1" w:rsidRDefault="007C54FC" w:rsidP="002C1B45">
            <w:pPr>
              <w:pStyle w:val="TableBodyText"/>
              <w:spacing w:line="240" w:lineRule="auto"/>
              <w:jc w:val="center"/>
              <w:rPr>
                <w:rFonts w:ascii="Calibri" w:hAnsi="Calibri" w:cs="Calibri"/>
                <w:b/>
                <w:bCs/>
                <w:color w:val="FFFFFF" w:themeColor="background1"/>
                <w:szCs w:val="20"/>
              </w:rPr>
            </w:pPr>
            <w:r w:rsidRPr="00B854E1">
              <w:rPr>
                <w:rFonts w:ascii="Calibri" w:hAnsi="Calibri" w:cs="Calibri"/>
                <w:b/>
                <w:bCs/>
                <w:color w:val="FFFFFF" w:themeColor="background1"/>
                <w:szCs w:val="20"/>
              </w:rPr>
              <w:t>Sensor Technology</w:t>
            </w:r>
          </w:p>
        </w:tc>
        <w:tc>
          <w:tcPr>
            <w:tcW w:w="900" w:type="dxa"/>
            <w:hideMark/>
          </w:tcPr>
          <w:p w14:paraId="0379F5FE" w14:textId="77777777" w:rsidR="007C54FC" w:rsidRPr="00B854E1" w:rsidRDefault="007C54FC" w:rsidP="002C1B45">
            <w:pPr>
              <w:pStyle w:val="TableBodyText"/>
              <w:spacing w:line="240" w:lineRule="auto"/>
              <w:jc w:val="center"/>
              <w:rPr>
                <w:rFonts w:ascii="Calibri" w:hAnsi="Calibri" w:cs="Calibri"/>
                <w:b/>
                <w:bCs/>
                <w:color w:val="FFFFFF" w:themeColor="background1"/>
                <w:szCs w:val="20"/>
              </w:rPr>
            </w:pPr>
            <w:r w:rsidRPr="00B854E1">
              <w:rPr>
                <w:rFonts w:ascii="Calibri" w:hAnsi="Calibri" w:cs="Calibri"/>
                <w:b/>
                <w:bCs/>
                <w:color w:val="FFFFFF" w:themeColor="background1"/>
                <w:szCs w:val="20"/>
              </w:rPr>
              <w:t>Vehicle Count</w:t>
            </w:r>
          </w:p>
        </w:tc>
        <w:tc>
          <w:tcPr>
            <w:tcW w:w="990" w:type="dxa"/>
            <w:hideMark/>
          </w:tcPr>
          <w:p w14:paraId="78DEC6B2" w14:textId="77777777" w:rsidR="007C54FC" w:rsidRPr="00B854E1" w:rsidRDefault="007C54FC" w:rsidP="002C1B45">
            <w:pPr>
              <w:pStyle w:val="TableBodyText"/>
              <w:spacing w:line="240" w:lineRule="auto"/>
              <w:jc w:val="center"/>
              <w:rPr>
                <w:rFonts w:ascii="Calibri" w:hAnsi="Calibri" w:cs="Calibri"/>
                <w:b/>
                <w:bCs/>
                <w:color w:val="FFFFFF" w:themeColor="background1"/>
                <w:szCs w:val="20"/>
              </w:rPr>
            </w:pPr>
            <w:r w:rsidRPr="00B854E1">
              <w:rPr>
                <w:rFonts w:ascii="Calibri" w:hAnsi="Calibri" w:cs="Calibri"/>
                <w:b/>
                <w:bCs/>
                <w:color w:val="FFFFFF" w:themeColor="background1"/>
                <w:szCs w:val="20"/>
              </w:rPr>
              <w:t>Vehicle Presence</w:t>
            </w:r>
          </w:p>
        </w:tc>
        <w:tc>
          <w:tcPr>
            <w:tcW w:w="810" w:type="dxa"/>
            <w:hideMark/>
          </w:tcPr>
          <w:p w14:paraId="15798810" w14:textId="55566BA0" w:rsidR="007C54FC" w:rsidRPr="00B854E1" w:rsidRDefault="007C54FC" w:rsidP="002C1B45">
            <w:pPr>
              <w:pStyle w:val="TableBodyText"/>
              <w:spacing w:line="240" w:lineRule="auto"/>
              <w:jc w:val="center"/>
              <w:rPr>
                <w:rFonts w:ascii="Calibri" w:hAnsi="Calibri" w:cs="Calibri"/>
                <w:b/>
                <w:bCs/>
                <w:color w:val="FFFFFF" w:themeColor="background1"/>
                <w:szCs w:val="20"/>
              </w:rPr>
            </w:pPr>
            <w:r w:rsidRPr="00B854E1">
              <w:rPr>
                <w:rFonts w:ascii="Calibri" w:hAnsi="Calibri" w:cs="Calibri"/>
                <w:b/>
                <w:bCs/>
                <w:color w:val="FFFFFF" w:themeColor="background1"/>
                <w:szCs w:val="20"/>
              </w:rPr>
              <w:t>Speed</w:t>
            </w:r>
          </w:p>
        </w:tc>
        <w:tc>
          <w:tcPr>
            <w:tcW w:w="1350" w:type="dxa"/>
            <w:hideMark/>
          </w:tcPr>
          <w:p w14:paraId="726588C7" w14:textId="5BCBE41D" w:rsidR="007C54FC" w:rsidRPr="00B854E1" w:rsidRDefault="007C54FC" w:rsidP="002C1B45">
            <w:pPr>
              <w:pStyle w:val="TableBodyText"/>
              <w:spacing w:line="240" w:lineRule="auto"/>
              <w:jc w:val="center"/>
              <w:rPr>
                <w:rFonts w:ascii="Calibri" w:hAnsi="Calibri" w:cs="Calibri"/>
                <w:b/>
                <w:bCs/>
                <w:color w:val="FFFFFF" w:themeColor="background1"/>
                <w:szCs w:val="20"/>
              </w:rPr>
            </w:pPr>
            <w:r w:rsidRPr="00B854E1">
              <w:rPr>
                <w:rFonts w:ascii="Calibri" w:hAnsi="Calibri" w:cs="Calibri"/>
                <w:b/>
                <w:bCs/>
                <w:color w:val="FFFFFF" w:themeColor="background1"/>
                <w:szCs w:val="20"/>
              </w:rPr>
              <w:t>Vehicle Classification</w:t>
            </w:r>
            <w:r w:rsidRPr="00B854E1">
              <w:rPr>
                <w:rFonts w:ascii="Calibri" w:hAnsi="Calibri" w:cs="Calibri"/>
                <w:b/>
                <w:bCs/>
                <w:color w:val="FFFFFF" w:themeColor="background1"/>
                <w:szCs w:val="20"/>
                <w:vertAlign w:val="superscript"/>
              </w:rPr>
              <w:t>i</w:t>
            </w:r>
          </w:p>
        </w:tc>
        <w:tc>
          <w:tcPr>
            <w:tcW w:w="900" w:type="dxa"/>
            <w:hideMark/>
          </w:tcPr>
          <w:p w14:paraId="3C3D389F" w14:textId="61D4C4E0" w:rsidR="007C54FC" w:rsidRPr="00B854E1" w:rsidRDefault="007C54FC" w:rsidP="002C1B45">
            <w:pPr>
              <w:pStyle w:val="TableBodyText"/>
              <w:spacing w:line="240" w:lineRule="auto"/>
              <w:jc w:val="center"/>
              <w:rPr>
                <w:rFonts w:ascii="Calibri" w:hAnsi="Calibri" w:cs="Calibri"/>
                <w:b/>
                <w:bCs/>
                <w:color w:val="FFFFFF" w:themeColor="background1"/>
                <w:szCs w:val="20"/>
              </w:rPr>
            </w:pPr>
            <w:r w:rsidRPr="00B854E1">
              <w:rPr>
                <w:rFonts w:ascii="Calibri" w:hAnsi="Calibri" w:cs="Calibri"/>
                <w:b/>
                <w:bCs/>
                <w:color w:val="FFFFFF" w:themeColor="background1"/>
                <w:szCs w:val="20"/>
              </w:rPr>
              <w:t>Weight</w:t>
            </w:r>
          </w:p>
        </w:tc>
        <w:tc>
          <w:tcPr>
            <w:tcW w:w="1710" w:type="dxa"/>
            <w:hideMark/>
          </w:tcPr>
          <w:p w14:paraId="13B20F32" w14:textId="77777777" w:rsidR="007C54FC" w:rsidRPr="00B854E1" w:rsidRDefault="007C54FC" w:rsidP="002C1B45">
            <w:pPr>
              <w:pStyle w:val="TableBodyText"/>
              <w:spacing w:line="240" w:lineRule="auto"/>
              <w:jc w:val="center"/>
              <w:rPr>
                <w:rFonts w:ascii="Calibri" w:hAnsi="Calibri" w:cs="Calibri"/>
                <w:b/>
                <w:bCs/>
                <w:color w:val="FFFFFF" w:themeColor="background1"/>
                <w:szCs w:val="20"/>
              </w:rPr>
            </w:pPr>
            <w:r w:rsidRPr="00B854E1">
              <w:rPr>
                <w:rFonts w:ascii="Calibri" w:hAnsi="Calibri" w:cs="Calibri"/>
                <w:b/>
                <w:bCs/>
                <w:color w:val="FFFFFF" w:themeColor="background1"/>
                <w:szCs w:val="20"/>
              </w:rPr>
              <w:t>Multiple Lane, Multiple Detection Zone Data</w:t>
            </w:r>
          </w:p>
        </w:tc>
        <w:tc>
          <w:tcPr>
            <w:tcW w:w="1175" w:type="dxa"/>
            <w:gridSpan w:val="2"/>
            <w:hideMark/>
          </w:tcPr>
          <w:p w14:paraId="30FDA611" w14:textId="77777777" w:rsidR="007C54FC" w:rsidRPr="00B854E1" w:rsidRDefault="007C54FC" w:rsidP="002C1B45">
            <w:pPr>
              <w:pStyle w:val="TableBodyText"/>
              <w:spacing w:line="240" w:lineRule="auto"/>
              <w:jc w:val="center"/>
              <w:rPr>
                <w:rFonts w:ascii="Calibri" w:hAnsi="Calibri" w:cs="Calibri"/>
                <w:b/>
                <w:bCs/>
                <w:color w:val="FFFFFF" w:themeColor="background1"/>
                <w:szCs w:val="20"/>
              </w:rPr>
            </w:pPr>
            <w:r w:rsidRPr="00B854E1">
              <w:rPr>
                <w:rFonts w:ascii="Calibri" w:hAnsi="Calibri" w:cs="Calibri"/>
                <w:b/>
                <w:bCs/>
                <w:color w:val="FFFFFF" w:themeColor="background1"/>
                <w:szCs w:val="20"/>
              </w:rPr>
              <w:t xml:space="preserve">Sensor </w:t>
            </w:r>
            <w:r w:rsidRPr="00B854E1">
              <w:rPr>
                <w:rFonts w:ascii="Calibri" w:hAnsi="Calibri" w:cs="Calibri"/>
                <w:b/>
                <w:bCs/>
                <w:color w:val="FFFFFF" w:themeColor="background1"/>
                <w:szCs w:val="20"/>
              </w:rPr>
              <w:br/>
              <w:t>Purchase Cost</w:t>
            </w:r>
          </w:p>
        </w:tc>
      </w:tr>
      <w:tr w:rsidR="006C17FD" w:rsidRPr="00B854E1" w14:paraId="24C3F097" w14:textId="77777777" w:rsidTr="006C17FD">
        <w:trPr>
          <w:gridAfter w:val="1"/>
          <w:wAfter w:w="6" w:type="dxa"/>
        </w:trPr>
        <w:tc>
          <w:tcPr>
            <w:tcW w:w="1525" w:type="dxa"/>
            <w:hideMark/>
          </w:tcPr>
          <w:p w14:paraId="491DC190" w14:textId="77777777" w:rsidR="008822A4" w:rsidRPr="00B854E1" w:rsidRDefault="008822A4" w:rsidP="002C1B45">
            <w:pPr>
              <w:pStyle w:val="TableBodyText"/>
              <w:spacing w:line="240" w:lineRule="auto"/>
              <w:rPr>
                <w:rFonts w:ascii="Calibri" w:hAnsi="Calibri" w:cs="Calibri"/>
                <w:b/>
                <w:bCs/>
                <w:color w:val="auto"/>
                <w:szCs w:val="20"/>
              </w:rPr>
            </w:pPr>
            <w:r w:rsidRPr="00B854E1">
              <w:rPr>
                <w:rFonts w:ascii="Calibri" w:hAnsi="Calibri" w:cs="Calibri"/>
                <w:b/>
                <w:bCs/>
                <w:color w:val="auto"/>
                <w:szCs w:val="20"/>
              </w:rPr>
              <w:t>Inductive Loop</w:t>
            </w:r>
          </w:p>
        </w:tc>
        <w:tc>
          <w:tcPr>
            <w:tcW w:w="900" w:type="dxa"/>
            <w:hideMark/>
          </w:tcPr>
          <w:p w14:paraId="159786A9"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990" w:type="dxa"/>
            <w:hideMark/>
          </w:tcPr>
          <w:p w14:paraId="7115B099"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810" w:type="dxa"/>
            <w:hideMark/>
          </w:tcPr>
          <w:p w14:paraId="6824C80E"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r w:rsidRPr="00B854E1">
              <w:rPr>
                <w:rFonts w:ascii="Calibri" w:hAnsi="Calibri" w:cs="Calibri"/>
                <w:color w:val="auto"/>
                <w:szCs w:val="20"/>
                <w:vertAlign w:val="superscript"/>
              </w:rPr>
              <w:t>a</w:t>
            </w:r>
          </w:p>
        </w:tc>
        <w:tc>
          <w:tcPr>
            <w:tcW w:w="1350" w:type="dxa"/>
            <w:hideMark/>
          </w:tcPr>
          <w:p w14:paraId="661B9F45"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r w:rsidRPr="00B854E1">
              <w:rPr>
                <w:rFonts w:ascii="Calibri" w:hAnsi="Calibri" w:cs="Calibri"/>
                <w:color w:val="auto"/>
                <w:szCs w:val="20"/>
                <w:vertAlign w:val="superscript"/>
              </w:rPr>
              <w:t>b</w:t>
            </w:r>
          </w:p>
        </w:tc>
        <w:tc>
          <w:tcPr>
            <w:tcW w:w="900" w:type="dxa"/>
          </w:tcPr>
          <w:p w14:paraId="4CBA0045" w14:textId="77777777" w:rsidR="008822A4" w:rsidRPr="00B854E1" w:rsidRDefault="008822A4" w:rsidP="002C1B45">
            <w:pPr>
              <w:pStyle w:val="TableBodyText"/>
              <w:spacing w:line="240" w:lineRule="auto"/>
              <w:jc w:val="center"/>
              <w:rPr>
                <w:rFonts w:ascii="Calibri" w:hAnsi="Calibri" w:cs="Calibri"/>
                <w:color w:val="auto"/>
                <w:szCs w:val="20"/>
              </w:rPr>
            </w:pPr>
          </w:p>
        </w:tc>
        <w:tc>
          <w:tcPr>
            <w:tcW w:w="1710" w:type="dxa"/>
          </w:tcPr>
          <w:p w14:paraId="16A9279E"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1169" w:type="dxa"/>
            <w:hideMark/>
          </w:tcPr>
          <w:p w14:paraId="726195FD"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Low</w:t>
            </w:r>
            <w:r w:rsidRPr="00B854E1">
              <w:rPr>
                <w:rFonts w:ascii="Calibri" w:hAnsi="Calibri" w:cs="Calibri"/>
                <w:color w:val="auto"/>
                <w:szCs w:val="20"/>
                <w:vertAlign w:val="superscript"/>
              </w:rPr>
              <w:t>h</w:t>
            </w:r>
          </w:p>
        </w:tc>
      </w:tr>
      <w:tr w:rsidR="006C17FD" w:rsidRPr="00B854E1" w14:paraId="4FDC1F56" w14:textId="77777777" w:rsidTr="006C17FD">
        <w:trPr>
          <w:gridAfter w:val="1"/>
          <w:wAfter w:w="6" w:type="dxa"/>
          <w:trHeight w:val="20"/>
        </w:trPr>
        <w:tc>
          <w:tcPr>
            <w:tcW w:w="1525" w:type="dxa"/>
            <w:hideMark/>
          </w:tcPr>
          <w:p w14:paraId="0BF19711" w14:textId="0DA69489" w:rsidR="008822A4" w:rsidRPr="00B854E1" w:rsidRDefault="008822A4" w:rsidP="002C1B45">
            <w:pPr>
              <w:pStyle w:val="TableBodyText"/>
              <w:spacing w:line="240" w:lineRule="auto"/>
              <w:rPr>
                <w:rFonts w:ascii="Calibri" w:hAnsi="Calibri" w:cs="Calibri"/>
                <w:b/>
                <w:bCs/>
                <w:color w:val="auto"/>
                <w:szCs w:val="20"/>
              </w:rPr>
            </w:pPr>
            <w:r w:rsidRPr="00B854E1">
              <w:rPr>
                <w:rFonts w:ascii="Calibri" w:hAnsi="Calibri" w:cs="Calibri"/>
                <w:b/>
                <w:bCs/>
                <w:color w:val="auto"/>
                <w:szCs w:val="20"/>
              </w:rPr>
              <w:t xml:space="preserve">Magnetometer </w:t>
            </w:r>
            <w:r w:rsidRPr="00B854E1">
              <w:rPr>
                <w:rFonts w:ascii="Calibri" w:hAnsi="Calibri" w:cs="Calibri"/>
                <w:b/>
                <w:bCs/>
                <w:color w:val="auto"/>
                <w:szCs w:val="20"/>
              </w:rPr>
              <w:br/>
              <w:t>(2-Axis Fluxgate)</w:t>
            </w:r>
          </w:p>
        </w:tc>
        <w:tc>
          <w:tcPr>
            <w:tcW w:w="900" w:type="dxa"/>
            <w:hideMark/>
          </w:tcPr>
          <w:p w14:paraId="4E3D2238"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990" w:type="dxa"/>
            <w:hideMark/>
          </w:tcPr>
          <w:p w14:paraId="1A569D48"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810" w:type="dxa"/>
            <w:hideMark/>
          </w:tcPr>
          <w:p w14:paraId="07DC8BF5"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r w:rsidRPr="00B854E1">
              <w:rPr>
                <w:rFonts w:ascii="Calibri" w:hAnsi="Calibri" w:cs="Calibri"/>
                <w:color w:val="auto"/>
                <w:szCs w:val="20"/>
                <w:vertAlign w:val="superscript"/>
              </w:rPr>
              <w:t>a</w:t>
            </w:r>
          </w:p>
        </w:tc>
        <w:tc>
          <w:tcPr>
            <w:tcW w:w="1350" w:type="dxa"/>
          </w:tcPr>
          <w:p w14:paraId="32F1DD58" w14:textId="77777777" w:rsidR="008822A4" w:rsidRPr="00B854E1" w:rsidRDefault="008822A4" w:rsidP="002C1B45">
            <w:pPr>
              <w:pStyle w:val="TableBodyText"/>
              <w:spacing w:line="240" w:lineRule="auto"/>
              <w:jc w:val="center"/>
              <w:rPr>
                <w:rFonts w:ascii="Calibri" w:hAnsi="Calibri" w:cs="Calibri"/>
                <w:color w:val="auto"/>
                <w:szCs w:val="20"/>
              </w:rPr>
            </w:pPr>
          </w:p>
        </w:tc>
        <w:tc>
          <w:tcPr>
            <w:tcW w:w="900" w:type="dxa"/>
          </w:tcPr>
          <w:p w14:paraId="03C53A4F" w14:textId="77777777" w:rsidR="008822A4" w:rsidRPr="00B854E1" w:rsidRDefault="008822A4" w:rsidP="002C1B45">
            <w:pPr>
              <w:pStyle w:val="TableBodyText"/>
              <w:spacing w:line="240" w:lineRule="auto"/>
              <w:jc w:val="center"/>
              <w:rPr>
                <w:rFonts w:ascii="Calibri" w:hAnsi="Calibri" w:cs="Calibri"/>
                <w:color w:val="auto"/>
                <w:szCs w:val="20"/>
              </w:rPr>
            </w:pPr>
          </w:p>
        </w:tc>
        <w:tc>
          <w:tcPr>
            <w:tcW w:w="1710" w:type="dxa"/>
          </w:tcPr>
          <w:p w14:paraId="405AAB29" w14:textId="77777777" w:rsidR="008822A4" w:rsidRPr="00B854E1" w:rsidRDefault="008822A4" w:rsidP="002C1B45">
            <w:pPr>
              <w:pStyle w:val="TableBodyText"/>
              <w:spacing w:line="240" w:lineRule="auto"/>
              <w:jc w:val="center"/>
              <w:rPr>
                <w:rFonts w:ascii="Calibri" w:hAnsi="Calibri" w:cs="Calibri"/>
                <w:color w:val="auto"/>
                <w:szCs w:val="20"/>
              </w:rPr>
            </w:pPr>
          </w:p>
        </w:tc>
        <w:tc>
          <w:tcPr>
            <w:tcW w:w="1169" w:type="dxa"/>
            <w:hideMark/>
          </w:tcPr>
          <w:p w14:paraId="71652227"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Low</w:t>
            </w:r>
            <w:r w:rsidRPr="00B854E1">
              <w:rPr>
                <w:rFonts w:ascii="Calibri" w:hAnsi="Calibri" w:cs="Calibri"/>
                <w:color w:val="auto"/>
                <w:szCs w:val="20"/>
                <w:vertAlign w:val="superscript"/>
              </w:rPr>
              <w:t>h</w:t>
            </w:r>
          </w:p>
        </w:tc>
      </w:tr>
      <w:tr w:rsidR="006C17FD" w:rsidRPr="00B854E1" w14:paraId="07285A1C" w14:textId="77777777" w:rsidTr="006C17FD">
        <w:trPr>
          <w:gridAfter w:val="1"/>
          <w:wAfter w:w="6" w:type="dxa"/>
        </w:trPr>
        <w:tc>
          <w:tcPr>
            <w:tcW w:w="1525" w:type="dxa"/>
            <w:hideMark/>
          </w:tcPr>
          <w:p w14:paraId="4AAB191B" w14:textId="77777777" w:rsidR="008822A4" w:rsidRPr="00B854E1" w:rsidRDefault="008822A4" w:rsidP="002C1B45">
            <w:pPr>
              <w:pStyle w:val="TableBodyText"/>
              <w:spacing w:line="240" w:lineRule="auto"/>
              <w:rPr>
                <w:rFonts w:ascii="Calibri" w:hAnsi="Calibri" w:cs="Calibri"/>
                <w:b/>
                <w:bCs/>
                <w:color w:val="auto"/>
                <w:szCs w:val="20"/>
              </w:rPr>
            </w:pPr>
            <w:r w:rsidRPr="00B854E1">
              <w:rPr>
                <w:rFonts w:ascii="Calibri" w:hAnsi="Calibri" w:cs="Calibri"/>
                <w:b/>
                <w:bCs/>
                <w:color w:val="auto"/>
                <w:szCs w:val="20"/>
              </w:rPr>
              <w:t>Magnetic Induction Coil</w:t>
            </w:r>
          </w:p>
        </w:tc>
        <w:tc>
          <w:tcPr>
            <w:tcW w:w="900" w:type="dxa"/>
            <w:hideMark/>
          </w:tcPr>
          <w:p w14:paraId="20EF0C1C"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990" w:type="dxa"/>
            <w:hideMark/>
          </w:tcPr>
          <w:p w14:paraId="0DB045D9"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r w:rsidRPr="00B854E1">
              <w:rPr>
                <w:rFonts w:ascii="Calibri" w:hAnsi="Calibri" w:cs="Calibri"/>
                <w:color w:val="auto"/>
                <w:szCs w:val="20"/>
                <w:vertAlign w:val="superscript"/>
              </w:rPr>
              <w:t>c</w:t>
            </w:r>
          </w:p>
        </w:tc>
        <w:tc>
          <w:tcPr>
            <w:tcW w:w="810" w:type="dxa"/>
            <w:hideMark/>
          </w:tcPr>
          <w:p w14:paraId="3E7447BC"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r w:rsidRPr="00B854E1">
              <w:rPr>
                <w:rFonts w:ascii="Calibri" w:hAnsi="Calibri" w:cs="Calibri"/>
                <w:color w:val="auto"/>
                <w:szCs w:val="20"/>
                <w:vertAlign w:val="superscript"/>
              </w:rPr>
              <w:t>a</w:t>
            </w:r>
          </w:p>
        </w:tc>
        <w:tc>
          <w:tcPr>
            <w:tcW w:w="1350" w:type="dxa"/>
          </w:tcPr>
          <w:p w14:paraId="0DF0D017" w14:textId="77777777" w:rsidR="008822A4" w:rsidRPr="00B854E1" w:rsidRDefault="008822A4" w:rsidP="002C1B45">
            <w:pPr>
              <w:pStyle w:val="TableBodyText"/>
              <w:spacing w:line="240" w:lineRule="auto"/>
              <w:jc w:val="center"/>
              <w:rPr>
                <w:rFonts w:ascii="Calibri" w:hAnsi="Calibri" w:cs="Calibri"/>
                <w:color w:val="auto"/>
                <w:szCs w:val="20"/>
              </w:rPr>
            </w:pPr>
          </w:p>
        </w:tc>
        <w:tc>
          <w:tcPr>
            <w:tcW w:w="900" w:type="dxa"/>
          </w:tcPr>
          <w:p w14:paraId="6A6BBF32" w14:textId="77777777" w:rsidR="008822A4" w:rsidRPr="00B854E1" w:rsidRDefault="008822A4" w:rsidP="002C1B45">
            <w:pPr>
              <w:pStyle w:val="TableBodyText"/>
              <w:spacing w:line="240" w:lineRule="auto"/>
              <w:jc w:val="center"/>
              <w:rPr>
                <w:rFonts w:ascii="Calibri" w:hAnsi="Calibri" w:cs="Calibri"/>
                <w:color w:val="auto"/>
                <w:szCs w:val="20"/>
              </w:rPr>
            </w:pPr>
          </w:p>
        </w:tc>
        <w:tc>
          <w:tcPr>
            <w:tcW w:w="1710" w:type="dxa"/>
          </w:tcPr>
          <w:p w14:paraId="4292CDE3" w14:textId="77777777" w:rsidR="008822A4" w:rsidRPr="00B854E1" w:rsidRDefault="008822A4" w:rsidP="002C1B45">
            <w:pPr>
              <w:pStyle w:val="TableBodyText"/>
              <w:spacing w:line="240" w:lineRule="auto"/>
              <w:jc w:val="center"/>
              <w:rPr>
                <w:rFonts w:ascii="Calibri" w:hAnsi="Calibri" w:cs="Calibri"/>
                <w:color w:val="auto"/>
                <w:szCs w:val="20"/>
              </w:rPr>
            </w:pPr>
          </w:p>
        </w:tc>
        <w:tc>
          <w:tcPr>
            <w:tcW w:w="1169" w:type="dxa"/>
            <w:hideMark/>
          </w:tcPr>
          <w:p w14:paraId="14F14673"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Low to moderate</w:t>
            </w:r>
            <w:r w:rsidRPr="00B854E1">
              <w:rPr>
                <w:rFonts w:ascii="Calibri" w:hAnsi="Calibri" w:cs="Calibri"/>
                <w:color w:val="auto"/>
                <w:szCs w:val="20"/>
                <w:vertAlign w:val="superscript"/>
              </w:rPr>
              <w:t>h</w:t>
            </w:r>
          </w:p>
        </w:tc>
      </w:tr>
      <w:tr w:rsidR="006C17FD" w:rsidRPr="00B854E1" w14:paraId="069F77D5" w14:textId="77777777" w:rsidTr="006C17FD">
        <w:trPr>
          <w:gridAfter w:val="1"/>
          <w:wAfter w:w="6" w:type="dxa"/>
        </w:trPr>
        <w:tc>
          <w:tcPr>
            <w:tcW w:w="1525" w:type="dxa"/>
            <w:hideMark/>
          </w:tcPr>
          <w:p w14:paraId="32159DB8" w14:textId="491E2434" w:rsidR="008822A4" w:rsidRPr="00B854E1" w:rsidRDefault="008822A4" w:rsidP="002C1B45">
            <w:pPr>
              <w:pStyle w:val="TableBodyText"/>
              <w:spacing w:line="240" w:lineRule="auto"/>
              <w:rPr>
                <w:rFonts w:ascii="Calibri" w:hAnsi="Calibri" w:cs="Calibri"/>
                <w:b/>
                <w:bCs/>
                <w:color w:val="auto"/>
                <w:szCs w:val="20"/>
              </w:rPr>
            </w:pPr>
            <w:r w:rsidRPr="00B854E1">
              <w:rPr>
                <w:rFonts w:ascii="Calibri" w:hAnsi="Calibri" w:cs="Calibri"/>
                <w:b/>
                <w:bCs/>
                <w:color w:val="auto"/>
                <w:szCs w:val="20"/>
              </w:rPr>
              <w:t>Microwave</w:t>
            </w:r>
          </w:p>
        </w:tc>
        <w:tc>
          <w:tcPr>
            <w:tcW w:w="900" w:type="dxa"/>
            <w:hideMark/>
          </w:tcPr>
          <w:p w14:paraId="02506281"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990" w:type="dxa"/>
            <w:hideMark/>
          </w:tcPr>
          <w:p w14:paraId="60DFAD5A"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r w:rsidRPr="00B854E1">
              <w:rPr>
                <w:rFonts w:ascii="Calibri" w:hAnsi="Calibri" w:cs="Calibri"/>
                <w:color w:val="auto"/>
                <w:szCs w:val="20"/>
                <w:vertAlign w:val="superscript"/>
              </w:rPr>
              <w:t>d</w:t>
            </w:r>
          </w:p>
        </w:tc>
        <w:tc>
          <w:tcPr>
            <w:tcW w:w="810" w:type="dxa"/>
            <w:hideMark/>
          </w:tcPr>
          <w:p w14:paraId="000A4246"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1350" w:type="dxa"/>
            <w:hideMark/>
          </w:tcPr>
          <w:p w14:paraId="249D231D"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r w:rsidRPr="00B854E1">
              <w:rPr>
                <w:rFonts w:ascii="Calibri" w:hAnsi="Calibri" w:cs="Calibri"/>
                <w:color w:val="auto"/>
                <w:szCs w:val="20"/>
                <w:vertAlign w:val="superscript"/>
              </w:rPr>
              <w:t>d</w:t>
            </w:r>
          </w:p>
        </w:tc>
        <w:tc>
          <w:tcPr>
            <w:tcW w:w="900" w:type="dxa"/>
          </w:tcPr>
          <w:p w14:paraId="3B58E568" w14:textId="77777777" w:rsidR="008822A4" w:rsidRPr="00B854E1" w:rsidRDefault="008822A4" w:rsidP="002C1B45">
            <w:pPr>
              <w:pStyle w:val="TableBodyText"/>
              <w:spacing w:line="240" w:lineRule="auto"/>
              <w:jc w:val="center"/>
              <w:rPr>
                <w:rFonts w:ascii="Calibri" w:hAnsi="Calibri" w:cs="Calibri"/>
                <w:color w:val="auto"/>
                <w:szCs w:val="20"/>
              </w:rPr>
            </w:pPr>
          </w:p>
        </w:tc>
        <w:tc>
          <w:tcPr>
            <w:tcW w:w="1710" w:type="dxa"/>
          </w:tcPr>
          <w:p w14:paraId="5C658E09" w14:textId="77777777" w:rsidR="008822A4" w:rsidRPr="00B854E1" w:rsidRDefault="008822A4" w:rsidP="002C1B45">
            <w:pPr>
              <w:pStyle w:val="TableBodyText"/>
              <w:spacing w:line="240" w:lineRule="auto"/>
              <w:jc w:val="center"/>
              <w:rPr>
                <w:rFonts w:ascii="Calibri" w:hAnsi="Calibri" w:cs="Calibri"/>
                <w:color w:val="auto"/>
                <w:szCs w:val="20"/>
              </w:rPr>
            </w:pPr>
          </w:p>
        </w:tc>
        <w:tc>
          <w:tcPr>
            <w:tcW w:w="1169" w:type="dxa"/>
            <w:hideMark/>
          </w:tcPr>
          <w:p w14:paraId="3F06E582"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Low to moderate</w:t>
            </w:r>
          </w:p>
        </w:tc>
      </w:tr>
      <w:tr w:rsidR="006C17FD" w:rsidRPr="00B854E1" w14:paraId="2396F805" w14:textId="77777777" w:rsidTr="006C17FD">
        <w:trPr>
          <w:gridAfter w:val="1"/>
          <w:wAfter w:w="6" w:type="dxa"/>
        </w:trPr>
        <w:tc>
          <w:tcPr>
            <w:tcW w:w="1525" w:type="dxa"/>
            <w:hideMark/>
          </w:tcPr>
          <w:p w14:paraId="2EC4E46C" w14:textId="77777777" w:rsidR="008822A4" w:rsidRPr="002C1B45" w:rsidRDefault="008822A4" w:rsidP="002C1B45">
            <w:pPr>
              <w:pStyle w:val="TableBodyText"/>
              <w:rPr>
                <w:b/>
                <w:bCs/>
              </w:rPr>
            </w:pPr>
            <w:r w:rsidRPr="002C1B45">
              <w:rPr>
                <w:b/>
                <w:bCs/>
              </w:rPr>
              <w:t>Active Infrared</w:t>
            </w:r>
          </w:p>
        </w:tc>
        <w:tc>
          <w:tcPr>
            <w:tcW w:w="900" w:type="dxa"/>
            <w:hideMark/>
          </w:tcPr>
          <w:p w14:paraId="527BC5FF"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r w:rsidRPr="00B854E1">
              <w:rPr>
                <w:rFonts w:ascii="Calibri" w:hAnsi="Calibri" w:cs="Calibri"/>
                <w:color w:val="auto"/>
                <w:szCs w:val="20"/>
                <w:vertAlign w:val="superscript"/>
              </w:rPr>
              <w:t>g</w:t>
            </w:r>
          </w:p>
        </w:tc>
        <w:tc>
          <w:tcPr>
            <w:tcW w:w="990" w:type="dxa"/>
            <w:hideMark/>
          </w:tcPr>
          <w:p w14:paraId="71679B67"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810" w:type="dxa"/>
            <w:hideMark/>
          </w:tcPr>
          <w:p w14:paraId="2EC1C178"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r w:rsidRPr="00B854E1">
              <w:rPr>
                <w:rFonts w:ascii="Calibri" w:hAnsi="Calibri" w:cs="Calibri"/>
                <w:color w:val="auto"/>
                <w:szCs w:val="20"/>
                <w:vertAlign w:val="superscript"/>
              </w:rPr>
              <w:t>e</w:t>
            </w:r>
          </w:p>
        </w:tc>
        <w:tc>
          <w:tcPr>
            <w:tcW w:w="1350" w:type="dxa"/>
            <w:hideMark/>
          </w:tcPr>
          <w:p w14:paraId="5A27E698"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900" w:type="dxa"/>
          </w:tcPr>
          <w:p w14:paraId="47C6326E" w14:textId="77777777" w:rsidR="008822A4" w:rsidRPr="00B854E1" w:rsidRDefault="008822A4" w:rsidP="002C1B45">
            <w:pPr>
              <w:pStyle w:val="TableBodyText"/>
              <w:spacing w:line="240" w:lineRule="auto"/>
              <w:jc w:val="center"/>
              <w:rPr>
                <w:rFonts w:ascii="Calibri" w:hAnsi="Calibri" w:cs="Calibri"/>
                <w:color w:val="auto"/>
                <w:szCs w:val="20"/>
              </w:rPr>
            </w:pPr>
          </w:p>
        </w:tc>
        <w:tc>
          <w:tcPr>
            <w:tcW w:w="1710" w:type="dxa"/>
          </w:tcPr>
          <w:p w14:paraId="19897E4E"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1169" w:type="dxa"/>
            <w:hideMark/>
          </w:tcPr>
          <w:p w14:paraId="4ABF2FBB"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Moderate</w:t>
            </w:r>
          </w:p>
        </w:tc>
      </w:tr>
      <w:tr w:rsidR="006C17FD" w:rsidRPr="00B854E1" w14:paraId="112918CB" w14:textId="77777777" w:rsidTr="006C17FD">
        <w:trPr>
          <w:gridAfter w:val="1"/>
          <w:wAfter w:w="6" w:type="dxa"/>
        </w:trPr>
        <w:tc>
          <w:tcPr>
            <w:tcW w:w="1525" w:type="dxa"/>
            <w:hideMark/>
          </w:tcPr>
          <w:p w14:paraId="71B59E8C" w14:textId="77777777" w:rsidR="008822A4" w:rsidRPr="00B854E1" w:rsidRDefault="008822A4" w:rsidP="002C1B45">
            <w:pPr>
              <w:pStyle w:val="TableBodyText"/>
              <w:spacing w:line="240" w:lineRule="auto"/>
              <w:rPr>
                <w:rFonts w:ascii="Calibri" w:hAnsi="Calibri" w:cs="Calibri"/>
                <w:b/>
                <w:bCs/>
                <w:color w:val="auto"/>
                <w:szCs w:val="20"/>
              </w:rPr>
            </w:pPr>
            <w:r w:rsidRPr="00B854E1">
              <w:rPr>
                <w:rFonts w:ascii="Calibri" w:hAnsi="Calibri" w:cs="Calibri"/>
                <w:b/>
                <w:bCs/>
                <w:color w:val="auto"/>
                <w:szCs w:val="20"/>
              </w:rPr>
              <w:t>Passive Infrared</w:t>
            </w:r>
          </w:p>
        </w:tc>
        <w:tc>
          <w:tcPr>
            <w:tcW w:w="900" w:type="dxa"/>
            <w:hideMark/>
          </w:tcPr>
          <w:p w14:paraId="5F904CAE"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r w:rsidRPr="00B854E1">
              <w:rPr>
                <w:rFonts w:ascii="Calibri" w:hAnsi="Calibri" w:cs="Calibri"/>
                <w:color w:val="auto"/>
                <w:szCs w:val="20"/>
                <w:vertAlign w:val="superscript"/>
              </w:rPr>
              <w:t>g</w:t>
            </w:r>
          </w:p>
        </w:tc>
        <w:tc>
          <w:tcPr>
            <w:tcW w:w="990" w:type="dxa"/>
            <w:hideMark/>
          </w:tcPr>
          <w:p w14:paraId="3DDA97BD"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810" w:type="dxa"/>
            <w:hideMark/>
          </w:tcPr>
          <w:p w14:paraId="05FBF00D"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r w:rsidRPr="00B854E1">
              <w:rPr>
                <w:rFonts w:ascii="Calibri" w:hAnsi="Calibri" w:cs="Calibri"/>
                <w:color w:val="auto"/>
                <w:szCs w:val="20"/>
                <w:vertAlign w:val="superscript"/>
              </w:rPr>
              <w:t>e</w:t>
            </w:r>
          </w:p>
        </w:tc>
        <w:tc>
          <w:tcPr>
            <w:tcW w:w="1350" w:type="dxa"/>
          </w:tcPr>
          <w:p w14:paraId="2D34D3A7" w14:textId="77777777" w:rsidR="008822A4" w:rsidRPr="00B854E1" w:rsidRDefault="008822A4" w:rsidP="002C1B45">
            <w:pPr>
              <w:pStyle w:val="TableBodyText"/>
              <w:spacing w:line="240" w:lineRule="auto"/>
              <w:jc w:val="center"/>
              <w:rPr>
                <w:rFonts w:ascii="Calibri" w:hAnsi="Calibri" w:cs="Calibri"/>
                <w:color w:val="auto"/>
                <w:szCs w:val="20"/>
              </w:rPr>
            </w:pPr>
          </w:p>
        </w:tc>
        <w:tc>
          <w:tcPr>
            <w:tcW w:w="900" w:type="dxa"/>
          </w:tcPr>
          <w:p w14:paraId="5EA87898" w14:textId="77777777" w:rsidR="008822A4" w:rsidRPr="00B854E1" w:rsidRDefault="008822A4" w:rsidP="002C1B45">
            <w:pPr>
              <w:pStyle w:val="TableBodyText"/>
              <w:spacing w:line="240" w:lineRule="auto"/>
              <w:jc w:val="center"/>
              <w:rPr>
                <w:rFonts w:ascii="Calibri" w:hAnsi="Calibri" w:cs="Calibri"/>
                <w:color w:val="auto"/>
                <w:szCs w:val="20"/>
              </w:rPr>
            </w:pPr>
          </w:p>
        </w:tc>
        <w:tc>
          <w:tcPr>
            <w:tcW w:w="1710" w:type="dxa"/>
          </w:tcPr>
          <w:p w14:paraId="002751A3" w14:textId="77777777" w:rsidR="008822A4" w:rsidRPr="00B854E1" w:rsidRDefault="008822A4" w:rsidP="002C1B45">
            <w:pPr>
              <w:pStyle w:val="TableBodyText"/>
              <w:spacing w:line="240" w:lineRule="auto"/>
              <w:jc w:val="center"/>
              <w:rPr>
                <w:rFonts w:ascii="Calibri" w:hAnsi="Calibri" w:cs="Calibri"/>
                <w:color w:val="auto"/>
                <w:szCs w:val="20"/>
              </w:rPr>
            </w:pPr>
          </w:p>
        </w:tc>
        <w:tc>
          <w:tcPr>
            <w:tcW w:w="1169" w:type="dxa"/>
            <w:hideMark/>
          </w:tcPr>
          <w:p w14:paraId="7F739BB3"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Low to moderate</w:t>
            </w:r>
          </w:p>
        </w:tc>
      </w:tr>
      <w:tr w:rsidR="006C17FD" w:rsidRPr="00B854E1" w14:paraId="7B2AAE8F" w14:textId="77777777" w:rsidTr="006C17FD">
        <w:trPr>
          <w:gridAfter w:val="1"/>
          <w:wAfter w:w="6" w:type="dxa"/>
        </w:trPr>
        <w:tc>
          <w:tcPr>
            <w:tcW w:w="1525" w:type="dxa"/>
            <w:hideMark/>
          </w:tcPr>
          <w:p w14:paraId="70A8E1DC" w14:textId="77777777" w:rsidR="008822A4" w:rsidRPr="00B854E1" w:rsidRDefault="008822A4" w:rsidP="002C1B45">
            <w:pPr>
              <w:pStyle w:val="TableBodyText"/>
              <w:spacing w:line="240" w:lineRule="auto"/>
              <w:rPr>
                <w:rFonts w:ascii="Calibri" w:hAnsi="Calibri" w:cs="Calibri"/>
                <w:b/>
                <w:bCs/>
                <w:color w:val="auto"/>
                <w:szCs w:val="20"/>
              </w:rPr>
            </w:pPr>
            <w:r w:rsidRPr="00B854E1">
              <w:rPr>
                <w:rFonts w:ascii="Calibri" w:hAnsi="Calibri" w:cs="Calibri"/>
                <w:b/>
                <w:bCs/>
                <w:color w:val="auto"/>
                <w:szCs w:val="20"/>
              </w:rPr>
              <w:t>Ultrasonic</w:t>
            </w:r>
          </w:p>
        </w:tc>
        <w:tc>
          <w:tcPr>
            <w:tcW w:w="900" w:type="dxa"/>
            <w:hideMark/>
          </w:tcPr>
          <w:p w14:paraId="19EDA504"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990" w:type="dxa"/>
            <w:hideMark/>
          </w:tcPr>
          <w:p w14:paraId="4CE05A1A"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810" w:type="dxa"/>
          </w:tcPr>
          <w:p w14:paraId="55ED7481" w14:textId="77777777" w:rsidR="008822A4" w:rsidRPr="00B854E1" w:rsidRDefault="008822A4" w:rsidP="002C1B45">
            <w:pPr>
              <w:pStyle w:val="TableBodyText"/>
              <w:spacing w:line="240" w:lineRule="auto"/>
              <w:jc w:val="center"/>
              <w:rPr>
                <w:rFonts w:ascii="Calibri" w:hAnsi="Calibri" w:cs="Calibri"/>
                <w:color w:val="auto"/>
                <w:szCs w:val="20"/>
              </w:rPr>
            </w:pPr>
          </w:p>
        </w:tc>
        <w:tc>
          <w:tcPr>
            <w:tcW w:w="1350" w:type="dxa"/>
          </w:tcPr>
          <w:p w14:paraId="119B69A2" w14:textId="77777777" w:rsidR="008822A4" w:rsidRPr="00B854E1" w:rsidRDefault="008822A4" w:rsidP="002C1B45">
            <w:pPr>
              <w:pStyle w:val="TableBodyText"/>
              <w:spacing w:line="240" w:lineRule="auto"/>
              <w:jc w:val="center"/>
              <w:rPr>
                <w:rFonts w:ascii="Calibri" w:hAnsi="Calibri" w:cs="Calibri"/>
                <w:color w:val="auto"/>
                <w:szCs w:val="20"/>
              </w:rPr>
            </w:pPr>
          </w:p>
        </w:tc>
        <w:tc>
          <w:tcPr>
            <w:tcW w:w="900" w:type="dxa"/>
          </w:tcPr>
          <w:p w14:paraId="12302D7E" w14:textId="77777777" w:rsidR="008822A4" w:rsidRPr="00B854E1" w:rsidRDefault="008822A4" w:rsidP="002C1B45">
            <w:pPr>
              <w:pStyle w:val="TableBodyText"/>
              <w:spacing w:line="240" w:lineRule="auto"/>
              <w:jc w:val="center"/>
              <w:rPr>
                <w:rFonts w:ascii="Calibri" w:hAnsi="Calibri" w:cs="Calibri"/>
                <w:color w:val="auto"/>
                <w:szCs w:val="20"/>
              </w:rPr>
            </w:pPr>
          </w:p>
        </w:tc>
        <w:tc>
          <w:tcPr>
            <w:tcW w:w="1710" w:type="dxa"/>
          </w:tcPr>
          <w:p w14:paraId="5D4DF2BE" w14:textId="77777777" w:rsidR="008822A4" w:rsidRPr="00B854E1" w:rsidRDefault="008822A4" w:rsidP="002C1B45">
            <w:pPr>
              <w:pStyle w:val="TableBodyText"/>
              <w:spacing w:line="240" w:lineRule="auto"/>
              <w:jc w:val="center"/>
              <w:rPr>
                <w:rFonts w:ascii="Calibri" w:hAnsi="Calibri" w:cs="Calibri"/>
                <w:color w:val="auto"/>
                <w:szCs w:val="20"/>
              </w:rPr>
            </w:pPr>
          </w:p>
        </w:tc>
        <w:tc>
          <w:tcPr>
            <w:tcW w:w="1169" w:type="dxa"/>
            <w:hideMark/>
          </w:tcPr>
          <w:p w14:paraId="1266572A"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Low to moderate</w:t>
            </w:r>
          </w:p>
        </w:tc>
      </w:tr>
      <w:tr w:rsidR="006C17FD" w:rsidRPr="00B854E1" w14:paraId="51F711A3" w14:textId="77777777" w:rsidTr="006C17FD">
        <w:trPr>
          <w:gridAfter w:val="1"/>
          <w:wAfter w:w="6" w:type="dxa"/>
        </w:trPr>
        <w:tc>
          <w:tcPr>
            <w:tcW w:w="1525" w:type="dxa"/>
            <w:hideMark/>
          </w:tcPr>
          <w:p w14:paraId="2F77AF04" w14:textId="77777777" w:rsidR="008822A4" w:rsidRPr="00B854E1" w:rsidRDefault="008822A4" w:rsidP="002C1B45">
            <w:pPr>
              <w:pStyle w:val="TableBodyText"/>
              <w:spacing w:line="240" w:lineRule="auto"/>
              <w:rPr>
                <w:rFonts w:ascii="Calibri" w:hAnsi="Calibri" w:cs="Calibri"/>
                <w:b/>
                <w:bCs/>
                <w:color w:val="auto"/>
                <w:szCs w:val="20"/>
              </w:rPr>
            </w:pPr>
            <w:r w:rsidRPr="00B854E1">
              <w:rPr>
                <w:rFonts w:ascii="Calibri" w:hAnsi="Calibri" w:cs="Calibri"/>
                <w:b/>
                <w:bCs/>
                <w:color w:val="auto"/>
                <w:szCs w:val="20"/>
              </w:rPr>
              <w:t>Acoustic Array</w:t>
            </w:r>
          </w:p>
        </w:tc>
        <w:tc>
          <w:tcPr>
            <w:tcW w:w="900" w:type="dxa"/>
            <w:hideMark/>
          </w:tcPr>
          <w:p w14:paraId="1D820B17"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990" w:type="dxa"/>
            <w:hideMark/>
          </w:tcPr>
          <w:p w14:paraId="20F034A5"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810" w:type="dxa"/>
            <w:hideMark/>
          </w:tcPr>
          <w:p w14:paraId="3A2055C3"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1350" w:type="dxa"/>
          </w:tcPr>
          <w:p w14:paraId="0587000C" w14:textId="77777777" w:rsidR="008822A4" w:rsidRPr="00B854E1" w:rsidRDefault="008822A4" w:rsidP="002C1B45">
            <w:pPr>
              <w:pStyle w:val="TableBodyText"/>
              <w:spacing w:line="240" w:lineRule="auto"/>
              <w:jc w:val="center"/>
              <w:rPr>
                <w:rFonts w:ascii="Calibri" w:hAnsi="Calibri" w:cs="Calibri"/>
                <w:color w:val="auto"/>
                <w:szCs w:val="20"/>
              </w:rPr>
            </w:pPr>
          </w:p>
        </w:tc>
        <w:tc>
          <w:tcPr>
            <w:tcW w:w="900" w:type="dxa"/>
          </w:tcPr>
          <w:p w14:paraId="2719768C" w14:textId="77777777" w:rsidR="008822A4" w:rsidRPr="00B854E1" w:rsidRDefault="008822A4" w:rsidP="002C1B45">
            <w:pPr>
              <w:pStyle w:val="TableBodyText"/>
              <w:spacing w:line="240" w:lineRule="auto"/>
              <w:jc w:val="center"/>
              <w:rPr>
                <w:rFonts w:ascii="Calibri" w:hAnsi="Calibri" w:cs="Calibri"/>
                <w:color w:val="auto"/>
                <w:szCs w:val="20"/>
              </w:rPr>
            </w:pPr>
          </w:p>
        </w:tc>
        <w:tc>
          <w:tcPr>
            <w:tcW w:w="1710" w:type="dxa"/>
            <w:hideMark/>
          </w:tcPr>
          <w:p w14:paraId="16E59674"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r w:rsidRPr="00B854E1">
              <w:rPr>
                <w:rFonts w:ascii="Calibri" w:hAnsi="Calibri" w:cs="Calibri"/>
                <w:color w:val="auto"/>
                <w:szCs w:val="20"/>
                <w:vertAlign w:val="superscript"/>
              </w:rPr>
              <w:t>f</w:t>
            </w:r>
          </w:p>
        </w:tc>
        <w:tc>
          <w:tcPr>
            <w:tcW w:w="1169" w:type="dxa"/>
            <w:hideMark/>
          </w:tcPr>
          <w:p w14:paraId="00C99F76"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Moderate</w:t>
            </w:r>
          </w:p>
        </w:tc>
      </w:tr>
      <w:tr w:rsidR="006C17FD" w:rsidRPr="00B854E1" w14:paraId="3D1B9EA9" w14:textId="77777777" w:rsidTr="006C17FD">
        <w:trPr>
          <w:gridAfter w:val="1"/>
          <w:wAfter w:w="6" w:type="dxa"/>
        </w:trPr>
        <w:tc>
          <w:tcPr>
            <w:tcW w:w="1525" w:type="dxa"/>
            <w:hideMark/>
          </w:tcPr>
          <w:p w14:paraId="0E6C74A8" w14:textId="4A9CF667" w:rsidR="008822A4" w:rsidRPr="00B854E1" w:rsidRDefault="008822A4" w:rsidP="003519FA">
            <w:pPr>
              <w:pStyle w:val="TableBodyText"/>
              <w:pageBreakBefore/>
              <w:spacing w:line="240" w:lineRule="auto"/>
              <w:rPr>
                <w:rFonts w:ascii="Calibri" w:hAnsi="Calibri" w:cs="Calibri"/>
                <w:b/>
                <w:bCs/>
                <w:color w:val="auto"/>
                <w:szCs w:val="20"/>
              </w:rPr>
            </w:pPr>
            <w:r w:rsidRPr="00B854E1">
              <w:rPr>
                <w:rFonts w:ascii="Calibri" w:hAnsi="Calibri" w:cs="Calibri"/>
                <w:b/>
                <w:bCs/>
                <w:color w:val="auto"/>
                <w:szCs w:val="20"/>
              </w:rPr>
              <w:lastRenderedPageBreak/>
              <w:t>Video Detection System</w:t>
            </w:r>
          </w:p>
        </w:tc>
        <w:tc>
          <w:tcPr>
            <w:tcW w:w="900" w:type="dxa"/>
            <w:hideMark/>
          </w:tcPr>
          <w:p w14:paraId="71C4192F"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990" w:type="dxa"/>
            <w:hideMark/>
          </w:tcPr>
          <w:p w14:paraId="0B071D35"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810" w:type="dxa"/>
            <w:hideMark/>
          </w:tcPr>
          <w:p w14:paraId="2AF83AEB"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1350" w:type="dxa"/>
            <w:hideMark/>
          </w:tcPr>
          <w:p w14:paraId="0FF919D9"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900" w:type="dxa"/>
          </w:tcPr>
          <w:p w14:paraId="62615074" w14:textId="77777777" w:rsidR="008822A4" w:rsidRPr="00B854E1" w:rsidRDefault="008822A4" w:rsidP="002C1B45">
            <w:pPr>
              <w:pStyle w:val="TableBodyText"/>
              <w:spacing w:line="240" w:lineRule="auto"/>
              <w:jc w:val="center"/>
              <w:rPr>
                <w:rFonts w:ascii="Calibri" w:hAnsi="Calibri" w:cs="Calibri"/>
                <w:color w:val="auto"/>
                <w:szCs w:val="20"/>
              </w:rPr>
            </w:pPr>
          </w:p>
        </w:tc>
        <w:tc>
          <w:tcPr>
            <w:tcW w:w="1710" w:type="dxa"/>
            <w:hideMark/>
          </w:tcPr>
          <w:p w14:paraId="4A585BF0"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1169" w:type="dxa"/>
            <w:hideMark/>
          </w:tcPr>
          <w:p w14:paraId="3ACBF24F"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Moderate</w:t>
            </w:r>
          </w:p>
        </w:tc>
      </w:tr>
      <w:tr w:rsidR="006C17FD" w:rsidRPr="00B854E1" w14:paraId="6201A834" w14:textId="77777777" w:rsidTr="006C17FD">
        <w:trPr>
          <w:gridAfter w:val="1"/>
          <w:wAfter w:w="6" w:type="dxa"/>
        </w:trPr>
        <w:tc>
          <w:tcPr>
            <w:tcW w:w="1525" w:type="dxa"/>
            <w:hideMark/>
          </w:tcPr>
          <w:p w14:paraId="67A28AB1" w14:textId="77777777" w:rsidR="008822A4" w:rsidRPr="00B854E1" w:rsidRDefault="008822A4" w:rsidP="002C1B45">
            <w:pPr>
              <w:pStyle w:val="TableBodyText"/>
              <w:spacing w:line="240" w:lineRule="auto"/>
              <w:rPr>
                <w:rFonts w:ascii="Calibri" w:hAnsi="Calibri" w:cs="Calibri"/>
                <w:b/>
                <w:bCs/>
                <w:color w:val="auto"/>
                <w:szCs w:val="20"/>
              </w:rPr>
            </w:pPr>
            <w:r w:rsidRPr="00B854E1">
              <w:rPr>
                <w:rFonts w:ascii="Calibri" w:hAnsi="Calibri" w:cs="Calibri"/>
                <w:b/>
                <w:bCs/>
                <w:color w:val="auto"/>
                <w:szCs w:val="20"/>
              </w:rPr>
              <w:t>Laser</w:t>
            </w:r>
          </w:p>
        </w:tc>
        <w:tc>
          <w:tcPr>
            <w:tcW w:w="900" w:type="dxa"/>
            <w:hideMark/>
          </w:tcPr>
          <w:p w14:paraId="61AF8536"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990" w:type="dxa"/>
            <w:hideMark/>
          </w:tcPr>
          <w:p w14:paraId="25964B73"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810" w:type="dxa"/>
          </w:tcPr>
          <w:p w14:paraId="11D944A9" w14:textId="77777777" w:rsidR="008822A4" w:rsidRPr="00B854E1" w:rsidRDefault="008822A4" w:rsidP="002C1B45">
            <w:pPr>
              <w:pStyle w:val="TableBodyText"/>
              <w:spacing w:line="240" w:lineRule="auto"/>
              <w:jc w:val="center"/>
              <w:rPr>
                <w:rFonts w:ascii="Calibri" w:hAnsi="Calibri" w:cs="Calibri"/>
                <w:color w:val="auto"/>
                <w:szCs w:val="20"/>
              </w:rPr>
            </w:pPr>
          </w:p>
        </w:tc>
        <w:tc>
          <w:tcPr>
            <w:tcW w:w="1350" w:type="dxa"/>
          </w:tcPr>
          <w:p w14:paraId="572BBE9E" w14:textId="77777777" w:rsidR="008822A4" w:rsidRPr="00B854E1" w:rsidRDefault="008822A4" w:rsidP="002C1B45">
            <w:pPr>
              <w:pStyle w:val="TableBodyText"/>
              <w:spacing w:line="240" w:lineRule="auto"/>
              <w:jc w:val="center"/>
              <w:rPr>
                <w:rFonts w:ascii="Calibri" w:hAnsi="Calibri" w:cs="Calibri"/>
                <w:color w:val="auto"/>
                <w:szCs w:val="20"/>
              </w:rPr>
            </w:pPr>
          </w:p>
        </w:tc>
        <w:tc>
          <w:tcPr>
            <w:tcW w:w="900" w:type="dxa"/>
          </w:tcPr>
          <w:p w14:paraId="443C8838" w14:textId="77777777" w:rsidR="008822A4" w:rsidRPr="00B854E1" w:rsidRDefault="008822A4" w:rsidP="002C1B45">
            <w:pPr>
              <w:pStyle w:val="TableBodyText"/>
              <w:spacing w:line="240" w:lineRule="auto"/>
              <w:jc w:val="center"/>
              <w:rPr>
                <w:rFonts w:ascii="Calibri" w:hAnsi="Calibri" w:cs="Calibri"/>
                <w:color w:val="auto"/>
                <w:szCs w:val="20"/>
              </w:rPr>
            </w:pPr>
          </w:p>
        </w:tc>
        <w:tc>
          <w:tcPr>
            <w:tcW w:w="1710" w:type="dxa"/>
            <w:hideMark/>
          </w:tcPr>
          <w:p w14:paraId="6142977F"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1169" w:type="dxa"/>
            <w:hideMark/>
          </w:tcPr>
          <w:p w14:paraId="52BAC418"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Moderate</w:t>
            </w:r>
          </w:p>
        </w:tc>
      </w:tr>
      <w:tr w:rsidR="006C17FD" w:rsidRPr="00B854E1" w14:paraId="7E2EE31C" w14:textId="77777777" w:rsidTr="006C17FD">
        <w:trPr>
          <w:gridAfter w:val="1"/>
          <w:wAfter w:w="6" w:type="dxa"/>
        </w:trPr>
        <w:tc>
          <w:tcPr>
            <w:tcW w:w="1525" w:type="dxa"/>
            <w:hideMark/>
          </w:tcPr>
          <w:p w14:paraId="749ECAC6" w14:textId="77777777" w:rsidR="008822A4" w:rsidRPr="00B854E1" w:rsidRDefault="008822A4" w:rsidP="002C1B45">
            <w:pPr>
              <w:pStyle w:val="TableBodyText"/>
              <w:spacing w:line="240" w:lineRule="auto"/>
              <w:rPr>
                <w:rFonts w:ascii="Calibri" w:hAnsi="Calibri" w:cs="Calibri"/>
                <w:b/>
                <w:bCs/>
                <w:color w:val="auto"/>
                <w:szCs w:val="20"/>
              </w:rPr>
            </w:pPr>
            <w:r w:rsidRPr="00B854E1">
              <w:rPr>
                <w:rFonts w:ascii="Calibri" w:hAnsi="Calibri" w:cs="Calibri"/>
                <w:b/>
                <w:bCs/>
                <w:color w:val="auto"/>
                <w:szCs w:val="20"/>
              </w:rPr>
              <w:t>Contact switches closures (e.g., pneumatic tubes)</w:t>
            </w:r>
          </w:p>
        </w:tc>
        <w:tc>
          <w:tcPr>
            <w:tcW w:w="900" w:type="dxa"/>
            <w:hideMark/>
          </w:tcPr>
          <w:p w14:paraId="0AD5FFC0"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990" w:type="dxa"/>
            <w:hideMark/>
          </w:tcPr>
          <w:p w14:paraId="4EC118EE"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810" w:type="dxa"/>
            <w:hideMark/>
          </w:tcPr>
          <w:p w14:paraId="60E6346E"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1350" w:type="dxa"/>
            <w:hideMark/>
          </w:tcPr>
          <w:p w14:paraId="7A765538"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900" w:type="dxa"/>
          </w:tcPr>
          <w:p w14:paraId="28B04FD0" w14:textId="77777777" w:rsidR="008822A4" w:rsidRPr="00B854E1" w:rsidRDefault="008822A4" w:rsidP="002C1B45">
            <w:pPr>
              <w:pStyle w:val="TableBodyText"/>
              <w:spacing w:line="240" w:lineRule="auto"/>
              <w:jc w:val="center"/>
              <w:rPr>
                <w:rFonts w:ascii="Calibri" w:hAnsi="Calibri" w:cs="Calibri"/>
                <w:color w:val="auto"/>
                <w:szCs w:val="20"/>
              </w:rPr>
            </w:pPr>
          </w:p>
        </w:tc>
        <w:tc>
          <w:tcPr>
            <w:tcW w:w="1710" w:type="dxa"/>
          </w:tcPr>
          <w:p w14:paraId="0EF2ABD1" w14:textId="77777777" w:rsidR="008822A4" w:rsidRPr="00B854E1" w:rsidRDefault="008822A4" w:rsidP="002C1B45">
            <w:pPr>
              <w:pStyle w:val="TableBodyText"/>
              <w:spacing w:line="240" w:lineRule="auto"/>
              <w:jc w:val="center"/>
              <w:rPr>
                <w:rFonts w:ascii="Calibri" w:hAnsi="Calibri" w:cs="Calibri"/>
                <w:color w:val="auto"/>
                <w:szCs w:val="20"/>
              </w:rPr>
            </w:pPr>
          </w:p>
        </w:tc>
        <w:tc>
          <w:tcPr>
            <w:tcW w:w="1169" w:type="dxa"/>
            <w:hideMark/>
          </w:tcPr>
          <w:p w14:paraId="0EB62ED2"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Very low, only for short-term counts</w:t>
            </w:r>
          </w:p>
        </w:tc>
      </w:tr>
      <w:tr w:rsidR="006C17FD" w:rsidRPr="00B854E1" w14:paraId="4922E366" w14:textId="77777777" w:rsidTr="006C17FD">
        <w:trPr>
          <w:gridAfter w:val="1"/>
          <w:wAfter w:w="6" w:type="dxa"/>
        </w:trPr>
        <w:tc>
          <w:tcPr>
            <w:tcW w:w="1525" w:type="dxa"/>
            <w:hideMark/>
          </w:tcPr>
          <w:p w14:paraId="67CBAB8C" w14:textId="77777777" w:rsidR="008822A4" w:rsidRPr="00B854E1" w:rsidRDefault="008822A4" w:rsidP="002C1B45">
            <w:pPr>
              <w:pStyle w:val="TableBodyText"/>
              <w:spacing w:line="240" w:lineRule="auto"/>
              <w:rPr>
                <w:rFonts w:ascii="Calibri" w:hAnsi="Calibri" w:cs="Calibri"/>
                <w:b/>
                <w:bCs/>
                <w:color w:val="auto"/>
                <w:szCs w:val="20"/>
              </w:rPr>
            </w:pPr>
            <w:r w:rsidRPr="00B854E1">
              <w:rPr>
                <w:rFonts w:ascii="Calibri" w:hAnsi="Calibri" w:cs="Calibri"/>
                <w:b/>
                <w:bCs/>
                <w:color w:val="auto"/>
                <w:szCs w:val="20"/>
              </w:rPr>
              <w:t>Fiber optic</w:t>
            </w:r>
          </w:p>
        </w:tc>
        <w:tc>
          <w:tcPr>
            <w:tcW w:w="900" w:type="dxa"/>
            <w:hideMark/>
          </w:tcPr>
          <w:p w14:paraId="0B80F5CD"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990" w:type="dxa"/>
            <w:hideMark/>
          </w:tcPr>
          <w:p w14:paraId="6D626813"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810" w:type="dxa"/>
            <w:hideMark/>
          </w:tcPr>
          <w:p w14:paraId="733FA05A"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1350" w:type="dxa"/>
            <w:hideMark/>
          </w:tcPr>
          <w:p w14:paraId="6AF79BD9"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900" w:type="dxa"/>
            <w:hideMark/>
          </w:tcPr>
          <w:p w14:paraId="3822B71D"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1710" w:type="dxa"/>
          </w:tcPr>
          <w:p w14:paraId="26D7A0F0"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1169" w:type="dxa"/>
            <w:hideMark/>
          </w:tcPr>
          <w:p w14:paraId="3945E304"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Moderate</w:t>
            </w:r>
          </w:p>
        </w:tc>
      </w:tr>
      <w:tr w:rsidR="006C17FD" w:rsidRPr="00B854E1" w14:paraId="30F938E5" w14:textId="77777777" w:rsidTr="006C17FD">
        <w:trPr>
          <w:gridAfter w:val="1"/>
          <w:wAfter w:w="6" w:type="dxa"/>
        </w:trPr>
        <w:tc>
          <w:tcPr>
            <w:tcW w:w="1525" w:type="dxa"/>
            <w:hideMark/>
          </w:tcPr>
          <w:p w14:paraId="5A7A9CD1" w14:textId="77777777" w:rsidR="008822A4" w:rsidRPr="00B854E1" w:rsidRDefault="008822A4" w:rsidP="002C1B45">
            <w:pPr>
              <w:pStyle w:val="TableBodyText"/>
              <w:spacing w:line="240" w:lineRule="auto"/>
              <w:rPr>
                <w:rFonts w:ascii="Calibri" w:hAnsi="Calibri" w:cs="Calibri"/>
                <w:b/>
                <w:bCs/>
                <w:color w:val="auto"/>
                <w:szCs w:val="20"/>
              </w:rPr>
            </w:pPr>
            <w:r w:rsidRPr="00B854E1">
              <w:rPr>
                <w:rFonts w:ascii="Calibri" w:hAnsi="Calibri" w:cs="Calibri"/>
                <w:b/>
                <w:bCs/>
                <w:color w:val="auto"/>
                <w:szCs w:val="20"/>
              </w:rPr>
              <w:t>Load Cell</w:t>
            </w:r>
          </w:p>
        </w:tc>
        <w:tc>
          <w:tcPr>
            <w:tcW w:w="900" w:type="dxa"/>
            <w:hideMark/>
          </w:tcPr>
          <w:p w14:paraId="2CDED2D2"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990" w:type="dxa"/>
            <w:hideMark/>
          </w:tcPr>
          <w:p w14:paraId="7B4A9468"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810" w:type="dxa"/>
            <w:hideMark/>
          </w:tcPr>
          <w:p w14:paraId="772C5CFA"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1350" w:type="dxa"/>
            <w:hideMark/>
          </w:tcPr>
          <w:p w14:paraId="7BF7E51E"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900" w:type="dxa"/>
            <w:hideMark/>
          </w:tcPr>
          <w:p w14:paraId="701DAB4D"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1710" w:type="dxa"/>
          </w:tcPr>
          <w:p w14:paraId="3D41AF78"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1169" w:type="dxa"/>
            <w:hideMark/>
          </w:tcPr>
          <w:p w14:paraId="1BF56A3C"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Very high</w:t>
            </w:r>
          </w:p>
        </w:tc>
      </w:tr>
      <w:tr w:rsidR="006C17FD" w:rsidRPr="00B854E1" w14:paraId="5EB2D487" w14:textId="77777777" w:rsidTr="006C17FD">
        <w:trPr>
          <w:gridAfter w:val="1"/>
          <w:wAfter w:w="6" w:type="dxa"/>
        </w:trPr>
        <w:tc>
          <w:tcPr>
            <w:tcW w:w="1525" w:type="dxa"/>
            <w:hideMark/>
          </w:tcPr>
          <w:p w14:paraId="64086C66" w14:textId="77777777" w:rsidR="008822A4" w:rsidRPr="00B854E1" w:rsidRDefault="008822A4" w:rsidP="002C1B45">
            <w:pPr>
              <w:pStyle w:val="TableBodyText"/>
              <w:spacing w:line="240" w:lineRule="auto"/>
              <w:rPr>
                <w:rFonts w:ascii="Calibri" w:hAnsi="Calibri" w:cs="Calibri"/>
                <w:b/>
                <w:bCs/>
                <w:color w:val="auto"/>
                <w:szCs w:val="20"/>
              </w:rPr>
            </w:pPr>
            <w:r w:rsidRPr="00B854E1">
              <w:rPr>
                <w:rFonts w:ascii="Calibri" w:hAnsi="Calibri" w:cs="Calibri"/>
                <w:b/>
                <w:bCs/>
                <w:color w:val="auto"/>
                <w:szCs w:val="20"/>
              </w:rPr>
              <w:t>Bending Plate</w:t>
            </w:r>
          </w:p>
        </w:tc>
        <w:tc>
          <w:tcPr>
            <w:tcW w:w="900" w:type="dxa"/>
            <w:hideMark/>
          </w:tcPr>
          <w:p w14:paraId="323382A3"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990" w:type="dxa"/>
            <w:hideMark/>
          </w:tcPr>
          <w:p w14:paraId="7D276B2C"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810" w:type="dxa"/>
            <w:hideMark/>
          </w:tcPr>
          <w:p w14:paraId="6C476D85"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1350" w:type="dxa"/>
            <w:hideMark/>
          </w:tcPr>
          <w:p w14:paraId="0B416EF2"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900" w:type="dxa"/>
            <w:hideMark/>
          </w:tcPr>
          <w:p w14:paraId="6849F57B"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1710" w:type="dxa"/>
          </w:tcPr>
          <w:p w14:paraId="785B5908"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1169" w:type="dxa"/>
            <w:hideMark/>
          </w:tcPr>
          <w:p w14:paraId="63737094"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High</w:t>
            </w:r>
          </w:p>
        </w:tc>
      </w:tr>
      <w:tr w:rsidR="006C17FD" w:rsidRPr="00B854E1" w14:paraId="4585D8AE" w14:textId="77777777" w:rsidTr="006C17FD">
        <w:trPr>
          <w:gridAfter w:val="1"/>
          <w:wAfter w:w="6" w:type="dxa"/>
        </w:trPr>
        <w:tc>
          <w:tcPr>
            <w:tcW w:w="1525" w:type="dxa"/>
            <w:hideMark/>
          </w:tcPr>
          <w:p w14:paraId="0D901510" w14:textId="77777777" w:rsidR="008822A4" w:rsidRPr="00B854E1" w:rsidRDefault="008822A4" w:rsidP="002C1B45">
            <w:pPr>
              <w:pStyle w:val="TableBodyText"/>
              <w:spacing w:line="240" w:lineRule="auto"/>
              <w:rPr>
                <w:rFonts w:ascii="Calibri" w:hAnsi="Calibri" w:cs="Calibri"/>
                <w:b/>
                <w:bCs/>
                <w:color w:val="auto"/>
                <w:szCs w:val="20"/>
              </w:rPr>
            </w:pPr>
            <w:r w:rsidRPr="00B854E1">
              <w:rPr>
                <w:rFonts w:ascii="Calibri" w:hAnsi="Calibri" w:cs="Calibri"/>
                <w:b/>
                <w:bCs/>
                <w:color w:val="auto"/>
                <w:szCs w:val="20"/>
              </w:rPr>
              <w:t>Quartz piezo</w:t>
            </w:r>
          </w:p>
        </w:tc>
        <w:tc>
          <w:tcPr>
            <w:tcW w:w="900" w:type="dxa"/>
            <w:hideMark/>
          </w:tcPr>
          <w:p w14:paraId="6B84CE5E"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990" w:type="dxa"/>
            <w:hideMark/>
          </w:tcPr>
          <w:p w14:paraId="60EDD7E5"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810" w:type="dxa"/>
            <w:hideMark/>
          </w:tcPr>
          <w:p w14:paraId="1F804DD3"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1350" w:type="dxa"/>
            <w:hideMark/>
          </w:tcPr>
          <w:p w14:paraId="18366522"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900" w:type="dxa"/>
            <w:hideMark/>
          </w:tcPr>
          <w:p w14:paraId="79D275C8"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1710" w:type="dxa"/>
          </w:tcPr>
          <w:p w14:paraId="19FD6ED9"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1169" w:type="dxa"/>
            <w:hideMark/>
          </w:tcPr>
          <w:p w14:paraId="2A92319B"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Moderate to high</w:t>
            </w:r>
          </w:p>
        </w:tc>
      </w:tr>
      <w:tr w:rsidR="006C17FD" w:rsidRPr="00B854E1" w14:paraId="49489282" w14:textId="77777777" w:rsidTr="006C17FD">
        <w:trPr>
          <w:gridAfter w:val="1"/>
          <w:wAfter w:w="6" w:type="dxa"/>
        </w:trPr>
        <w:tc>
          <w:tcPr>
            <w:tcW w:w="1525" w:type="dxa"/>
            <w:hideMark/>
          </w:tcPr>
          <w:p w14:paraId="3AD66F17" w14:textId="77777777" w:rsidR="008822A4" w:rsidRPr="00B854E1" w:rsidRDefault="008822A4" w:rsidP="002C1B45">
            <w:pPr>
              <w:pStyle w:val="TableBodyText"/>
              <w:spacing w:line="240" w:lineRule="auto"/>
              <w:rPr>
                <w:rFonts w:ascii="Calibri" w:hAnsi="Calibri" w:cs="Calibri"/>
                <w:b/>
                <w:bCs/>
                <w:color w:val="auto"/>
                <w:szCs w:val="20"/>
              </w:rPr>
            </w:pPr>
            <w:r w:rsidRPr="00B854E1">
              <w:rPr>
                <w:rFonts w:ascii="Calibri" w:hAnsi="Calibri" w:cs="Calibri"/>
                <w:b/>
                <w:bCs/>
                <w:color w:val="auto"/>
                <w:szCs w:val="20"/>
              </w:rPr>
              <w:t>Strain Gauge Strip Sensor</w:t>
            </w:r>
          </w:p>
        </w:tc>
        <w:tc>
          <w:tcPr>
            <w:tcW w:w="900" w:type="dxa"/>
            <w:hideMark/>
          </w:tcPr>
          <w:p w14:paraId="4F70A410"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990" w:type="dxa"/>
            <w:hideMark/>
          </w:tcPr>
          <w:p w14:paraId="2F52EA6E"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810" w:type="dxa"/>
            <w:hideMark/>
          </w:tcPr>
          <w:p w14:paraId="1AF85807"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1350" w:type="dxa"/>
            <w:hideMark/>
          </w:tcPr>
          <w:p w14:paraId="4455C4C2"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900" w:type="dxa"/>
            <w:hideMark/>
          </w:tcPr>
          <w:p w14:paraId="296A1381"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1710" w:type="dxa"/>
          </w:tcPr>
          <w:p w14:paraId="657B0B36"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1169" w:type="dxa"/>
            <w:hideMark/>
          </w:tcPr>
          <w:p w14:paraId="3C69FE2B"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Moderate to high</w:t>
            </w:r>
          </w:p>
        </w:tc>
      </w:tr>
      <w:tr w:rsidR="006C17FD" w:rsidRPr="00B854E1" w14:paraId="6E34C80F" w14:textId="77777777" w:rsidTr="006C17FD">
        <w:trPr>
          <w:gridAfter w:val="1"/>
          <w:wAfter w:w="6" w:type="dxa"/>
        </w:trPr>
        <w:tc>
          <w:tcPr>
            <w:tcW w:w="1525" w:type="dxa"/>
            <w:hideMark/>
          </w:tcPr>
          <w:p w14:paraId="00296BBC" w14:textId="245FB0DD" w:rsidR="008822A4" w:rsidRPr="00B854E1" w:rsidRDefault="008822A4" w:rsidP="002C1B45">
            <w:pPr>
              <w:pStyle w:val="TableBodyText"/>
              <w:spacing w:line="240" w:lineRule="auto"/>
              <w:rPr>
                <w:rFonts w:ascii="Calibri" w:hAnsi="Calibri" w:cs="Calibri"/>
                <w:b/>
                <w:bCs/>
                <w:color w:val="auto"/>
                <w:szCs w:val="20"/>
              </w:rPr>
            </w:pPr>
            <w:r w:rsidRPr="00B854E1">
              <w:rPr>
                <w:rFonts w:ascii="Calibri" w:hAnsi="Calibri" w:cs="Calibri"/>
                <w:b/>
                <w:bCs/>
                <w:color w:val="auto"/>
                <w:szCs w:val="20"/>
              </w:rPr>
              <w:t>Polymer Piezo</w:t>
            </w:r>
          </w:p>
        </w:tc>
        <w:tc>
          <w:tcPr>
            <w:tcW w:w="900" w:type="dxa"/>
            <w:hideMark/>
          </w:tcPr>
          <w:p w14:paraId="5016AAFE"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990" w:type="dxa"/>
            <w:hideMark/>
          </w:tcPr>
          <w:p w14:paraId="10AAA5C0"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810" w:type="dxa"/>
            <w:hideMark/>
          </w:tcPr>
          <w:p w14:paraId="7DA55F95"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1350" w:type="dxa"/>
            <w:hideMark/>
          </w:tcPr>
          <w:p w14:paraId="4C50D71B"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900" w:type="dxa"/>
            <w:hideMark/>
          </w:tcPr>
          <w:p w14:paraId="545909F0"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1710" w:type="dxa"/>
          </w:tcPr>
          <w:p w14:paraId="76DF21F0"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1169" w:type="dxa"/>
            <w:hideMark/>
          </w:tcPr>
          <w:p w14:paraId="6925E7A6"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Low</w:t>
            </w:r>
          </w:p>
        </w:tc>
      </w:tr>
      <w:tr w:rsidR="006C17FD" w:rsidRPr="00B854E1" w14:paraId="3FA8942D" w14:textId="77777777" w:rsidTr="006C17FD">
        <w:trPr>
          <w:gridAfter w:val="1"/>
          <w:wAfter w:w="6" w:type="dxa"/>
        </w:trPr>
        <w:tc>
          <w:tcPr>
            <w:tcW w:w="1525" w:type="dxa"/>
            <w:hideMark/>
          </w:tcPr>
          <w:p w14:paraId="79EBD1D8" w14:textId="02A5B4D3" w:rsidR="008822A4" w:rsidRPr="00B854E1" w:rsidRDefault="008822A4" w:rsidP="002C1B45">
            <w:pPr>
              <w:pStyle w:val="TableBodyText"/>
              <w:spacing w:line="240" w:lineRule="auto"/>
              <w:rPr>
                <w:rFonts w:ascii="Calibri" w:hAnsi="Calibri" w:cs="Calibri"/>
                <w:b/>
                <w:bCs/>
                <w:color w:val="auto"/>
                <w:szCs w:val="20"/>
              </w:rPr>
            </w:pPr>
            <w:r w:rsidRPr="00B854E1">
              <w:rPr>
                <w:rFonts w:ascii="Calibri" w:hAnsi="Calibri" w:cs="Calibri"/>
                <w:b/>
                <w:bCs/>
                <w:color w:val="auto"/>
                <w:szCs w:val="20"/>
              </w:rPr>
              <w:t>Bridge WIM</w:t>
            </w:r>
          </w:p>
        </w:tc>
        <w:tc>
          <w:tcPr>
            <w:tcW w:w="900" w:type="dxa"/>
            <w:hideMark/>
          </w:tcPr>
          <w:p w14:paraId="66DE48F9"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990" w:type="dxa"/>
            <w:hideMark/>
          </w:tcPr>
          <w:p w14:paraId="78A25BE2"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810" w:type="dxa"/>
            <w:hideMark/>
          </w:tcPr>
          <w:p w14:paraId="07ABEEBB"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1350" w:type="dxa"/>
            <w:hideMark/>
          </w:tcPr>
          <w:p w14:paraId="69F238B3"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900" w:type="dxa"/>
            <w:hideMark/>
          </w:tcPr>
          <w:p w14:paraId="0C7610C9"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1710" w:type="dxa"/>
          </w:tcPr>
          <w:p w14:paraId="286E95C2"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X</w:t>
            </w:r>
          </w:p>
        </w:tc>
        <w:tc>
          <w:tcPr>
            <w:tcW w:w="1169" w:type="dxa"/>
            <w:hideMark/>
          </w:tcPr>
          <w:p w14:paraId="357409CC" w14:textId="77777777" w:rsidR="008822A4" w:rsidRPr="00B854E1" w:rsidRDefault="008822A4" w:rsidP="002C1B45">
            <w:pPr>
              <w:pStyle w:val="TableBodyText"/>
              <w:spacing w:line="240" w:lineRule="auto"/>
              <w:jc w:val="center"/>
              <w:rPr>
                <w:rFonts w:ascii="Calibri" w:hAnsi="Calibri" w:cs="Calibri"/>
                <w:color w:val="auto"/>
                <w:szCs w:val="20"/>
              </w:rPr>
            </w:pPr>
            <w:r w:rsidRPr="00B854E1">
              <w:rPr>
                <w:rFonts w:ascii="Calibri" w:hAnsi="Calibri" w:cs="Calibri"/>
                <w:color w:val="auto"/>
                <w:szCs w:val="20"/>
              </w:rPr>
              <w:t>Moderate</w:t>
            </w:r>
          </w:p>
        </w:tc>
      </w:tr>
    </w:tbl>
    <w:p w14:paraId="41495D9C" w14:textId="1BB2EB62" w:rsidR="008822A4" w:rsidRPr="00855E7E" w:rsidRDefault="00301434" w:rsidP="009110F4">
      <w:pPr>
        <w:pStyle w:val="Source"/>
        <w:spacing w:before="40" w:after="40"/>
      </w:pPr>
      <w:r w:rsidRPr="00855E7E">
        <w:rPr>
          <w:vertAlign w:val="superscript"/>
        </w:rPr>
        <w:t>a</w:t>
      </w:r>
      <w:r w:rsidRPr="00855E7E">
        <w:t xml:space="preserve"> Measured</w:t>
      </w:r>
      <w:r w:rsidR="008822A4" w:rsidRPr="00855E7E">
        <w:t xml:space="preserve"> using 2 </w:t>
      </w:r>
      <w:r w:rsidRPr="00855E7E">
        <w:t>sensors a</w:t>
      </w:r>
      <w:r w:rsidR="008822A4" w:rsidRPr="00855E7E">
        <w:t xml:space="preserve"> known distance apart or estimated from 1 sensor, the effective detection zone, and vehicle length</w:t>
      </w:r>
    </w:p>
    <w:p w14:paraId="36990CA7" w14:textId="4C0F03B5" w:rsidR="008822A4" w:rsidRPr="00855E7E" w:rsidRDefault="008822A4" w:rsidP="009110F4">
      <w:pPr>
        <w:pStyle w:val="Source"/>
        <w:spacing w:before="40" w:after="40"/>
        <w:rPr>
          <w:vertAlign w:val="superscript"/>
        </w:rPr>
      </w:pPr>
      <w:r w:rsidRPr="00855E7E">
        <w:rPr>
          <w:vertAlign w:val="superscript"/>
        </w:rPr>
        <w:t>b</w:t>
      </w:r>
      <w:r w:rsidR="004D4172">
        <w:rPr>
          <w:vertAlign w:val="superscript"/>
        </w:rPr>
        <w:t xml:space="preserve"> </w:t>
      </w:r>
      <w:r w:rsidRPr="00855E7E">
        <w:t>With specialized electronics unit containing embedded firmware that classifies vehicles.</w:t>
      </w:r>
    </w:p>
    <w:p w14:paraId="28873A7C" w14:textId="0542967C" w:rsidR="008822A4" w:rsidRPr="00855E7E" w:rsidRDefault="008822A4" w:rsidP="009110F4">
      <w:pPr>
        <w:pStyle w:val="Source"/>
        <w:spacing w:before="40" w:after="40"/>
      </w:pPr>
      <w:r w:rsidRPr="00855E7E">
        <w:rPr>
          <w:vertAlign w:val="superscript"/>
        </w:rPr>
        <w:t>c</w:t>
      </w:r>
      <w:r w:rsidR="004D4172">
        <w:rPr>
          <w:vertAlign w:val="superscript"/>
        </w:rPr>
        <w:t xml:space="preserve"> </w:t>
      </w:r>
      <w:r w:rsidRPr="00855E7E">
        <w:t>With special sensor layouts and signal processing software.</w:t>
      </w:r>
    </w:p>
    <w:p w14:paraId="66DB7C63" w14:textId="4B7C33A6" w:rsidR="008822A4" w:rsidRPr="00855E7E" w:rsidRDefault="008822A4" w:rsidP="009110F4">
      <w:pPr>
        <w:pStyle w:val="Source"/>
        <w:spacing w:before="40" w:after="40"/>
      </w:pPr>
      <w:r w:rsidRPr="00855E7E">
        <w:rPr>
          <w:vertAlign w:val="superscript"/>
        </w:rPr>
        <w:t>d</w:t>
      </w:r>
      <w:r w:rsidR="004D4172">
        <w:t xml:space="preserve"> </w:t>
      </w:r>
      <w:r w:rsidRPr="00855E7E">
        <w:t>With microwave sensors that transmit the proper waveform and have appropriate signal processing.</w:t>
      </w:r>
    </w:p>
    <w:p w14:paraId="0D3FDDE6" w14:textId="1476FB27" w:rsidR="008822A4" w:rsidRPr="00855E7E" w:rsidRDefault="008822A4" w:rsidP="009110F4">
      <w:pPr>
        <w:pStyle w:val="Source"/>
        <w:spacing w:before="40" w:after="40"/>
      </w:pPr>
      <w:r w:rsidRPr="00855E7E">
        <w:rPr>
          <w:vertAlign w:val="superscript"/>
        </w:rPr>
        <w:t>e</w:t>
      </w:r>
      <w:r w:rsidR="004D4172">
        <w:rPr>
          <w:vertAlign w:val="superscript"/>
        </w:rPr>
        <w:t xml:space="preserve"> </w:t>
      </w:r>
      <w:r w:rsidRPr="00855E7E">
        <w:t>With multi-detection zone passive or active mode infrared sensors.</w:t>
      </w:r>
    </w:p>
    <w:p w14:paraId="663084AA" w14:textId="5E63A771" w:rsidR="008822A4" w:rsidRPr="00855E7E" w:rsidRDefault="008822A4" w:rsidP="009110F4">
      <w:pPr>
        <w:pStyle w:val="Source"/>
        <w:spacing w:before="40" w:after="40"/>
      </w:pPr>
      <w:r w:rsidRPr="00855E7E">
        <w:rPr>
          <w:vertAlign w:val="superscript"/>
        </w:rPr>
        <w:t>f</w:t>
      </w:r>
      <w:r w:rsidR="004D4172">
        <w:t xml:space="preserve"> </w:t>
      </w:r>
      <w:r w:rsidRPr="00855E7E">
        <w:t>With models that contain appropriate beam-forming and signal processing.</w:t>
      </w:r>
    </w:p>
    <w:p w14:paraId="6E5E4BDE" w14:textId="2919F96A" w:rsidR="008822A4" w:rsidRPr="00855E7E" w:rsidRDefault="008822A4" w:rsidP="009110F4">
      <w:pPr>
        <w:pStyle w:val="Source"/>
        <w:spacing w:before="40" w:after="40"/>
      </w:pPr>
      <w:r w:rsidRPr="00855E7E">
        <w:rPr>
          <w:vertAlign w:val="superscript"/>
        </w:rPr>
        <w:t>g</w:t>
      </w:r>
      <w:r w:rsidR="004D4172">
        <w:t xml:space="preserve"> </w:t>
      </w:r>
      <w:r w:rsidRPr="00855E7E">
        <w:t>Axle counts converted to vehicle counts through factoring.</w:t>
      </w:r>
    </w:p>
    <w:p w14:paraId="329162E2" w14:textId="480211DC" w:rsidR="008822A4" w:rsidRPr="00855E7E" w:rsidRDefault="008822A4" w:rsidP="009110F4">
      <w:pPr>
        <w:pStyle w:val="Source"/>
        <w:spacing w:before="40" w:after="40"/>
      </w:pPr>
      <w:r w:rsidRPr="00855E7E">
        <w:rPr>
          <w:vertAlign w:val="superscript"/>
        </w:rPr>
        <w:t>h</w:t>
      </w:r>
      <w:r w:rsidR="004D4172">
        <w:t xml:space="preserve"> </w:t>
      </w:r>
      <w:r w:rsidRPr="00855E7E">
        <w:t>Includes underground sensor and local detector or receiver electronics.</w:t>
      </w:r>
      <w:r w:rsidR="004D4172">
        <w:t xml:space="preserve"> </w:t>
      </w:r>
      <w:r w:rsidRPr="00855E7E">
        <w:t>Electronics options are available to receive multiple sensors, multiple lane data.</w:t>
      </w:r>
    </w:p>
    <w:p w14:paraId="0E8B4CD9" w14:textId="77777777" w:rsidR="008822A4" w:rsidRPr="00855E7E" w:rsidRDefault="008822A4" w:rsidP="009110F4">
      <w:pPr>
        <w:pStyle w:val="Source"/>
        <w:spacing w:before="40" w:after="40"/>
      </w:pPr>
      <w:r w:rsidRPr="00855E7E">
        <w:rPr>
          <w:rFonts w:ascii="Arial Narrow" w:hAnsi="Arial Narrow"/>
          <w:vertAlign w:val="superscript"/>
        </w:rPr>
        <w:t>i</w:t>
      </w:r>
      <w:r w:rsidRPr="00855E7E">
        <w:rPr>
          <w:rFonts w:ascii="Arial Narrow" w:hAnsi="Arial Narrow"/>
        </w:rPr>
        <w:t xml:space="preserve"> </w:t>
      </w:r>
      <w:r w:rsidRPr="00855E7E">
        <w:t>There are different types of classification schemes (axle-based, length-based and visual schema)</w:t>
      </w:r>
    </w:p>
    <w:p w14:paraId="110FE505" w14:textId="29A24BFC" w:rsidR="008822A4" w:rsidRPr="00855E7E" w:rsidRDefault="008822A4" w:rsidP="0010467B">
      <w:pPr>
        <w:pStyle w:val="Source"/>
        <w:spacing w:before="40" w:after="360"/>
      </w:pPr>
      <w:r w:rsidRPr="00855E7E">
        <w:t>Source:</w:t>
      </w:r>
      <w:r w:rsidR="0061163F">
        <w:t xml:space="preserve"> </w:t>
      </w:r>
      <w:r w:rsidR="009110F4">
        <w:t xml:space="preserve"> </w:t>
      </w:r>
      <w:r w:rsidRPr="00855E7E">
        <w:t>Federal Highway Administration.</w:t>
      </w:r>
    </w:p>
    <w:p w14:paraId="29D1AF88" w14:textId="4A551840" w:rsidR="008822A4" w:rsidRPr="009110F4" w:rsidRDefault="008822A4" w:rsidP="00A35EAF">
      <w:pPr>
        <w:pStyle w:val="BodyText"/>
        <w:rPr>
          <w:rStyle w:val="Strong"/>
          <w:rFonts w:ascii="Cambria" w:hAnsi="Cambria"/>
          <w:sz w:val="22"/>
          <w:szCs w:val="22"/>
        </w:rPr>
      </w:pPr>
      <w:r w:rsidRPr="009110F4">
        <w:rPr>
          <w:rStyle w:val="Strong"/>
          <w:rFonts w:ascii="Cambria" w:hAnsi="Cambria"/>
          <w:sz w:val="22"/>
          <w:szCs w:val="22"/>
        </w:rPr>
        <w:t>Individual Vehicle Records</w:t>
      </w:r>
    </w:p>
    <w:p w14:paraId="6C47CF84" w14:textId="0A2DF6F7" w:rsidR="008822A4" w:rsidRPr="00855E7E" w:rsidRDefault="008822A4" w:rsidP="00A35EAF">
      <w:pPr>
        <w:pStyle w:val="BodyText"/>
      </w:pPr>
      <w:r w:rsidRPr="00855E7E">
        <w:t xml:space="preserve">An Individual Vehicle Record (IVR) contains information about each discrete passing vehicle, such as: vehicle type (i.e., vehicle classification), number of axles, axle spacing, and vehicle length. In addition, some IVRs include information about vehicle speed, gross vehicle weight, axle and wheel loads, and magnetic loop signatures. This information is obtained by the equipment using both vehicle presence and axle detection technologies. </w:t>
      </w:r>
      <w:r w:rsidR="00301434">
        <w:t>The m</w:t>
      </w:r>
      <w:r w:rsidR="00301434" w:rsidRPr="00855E7E">
        <w:t xml:space="preserve">ost </w:t>
      </w:r>
      <w:r w:rsidRPr="00855E7E">
        <w:t>commonly used sensor combinations are inductive loops and axle sensors (e.g., piezo electric, bending plates, load cells, and strip strain gauge sensors). In some cases, a pair of axle sensors used on their own is sufficient but the accuracy of IVR data collection degrades in congested traffic conditions, when the distance between vehicles converges on the distance between the axles of a large vehicles. The use of video cameras, in addition to inductive loops and axle sensors, allows for the collection of additional IVR information, such as vehicle license plate, and vehicle DOT registration numbers.</w:t>
      </w:r>
    </w:p>
    <w:p w14:paraId="19F0F65D" w14:textId="5DBEF9EF" w:rsidR="008822A4" w:rsidRPr="00855E7E" w:rsidRDefault="008822A4" w:rsidP="00A119E0">
      <w:pPr>
        <w:pStyle w:val="CallOut"/>
      </w:pPr>
      <w:r w:rsidRPr="00855E7E">
        <w:t xml:space="preserve">FHWA recommends collecting data in individual vehicle record (IVR) format whenever possible. For more details on the IVR format, see chapter </w:t>
      </w:r>
      <w:r w:rsidR="00C355D6">
        <w:t>4</w:t>
      </w:r>
      <w:r w:rsidRPr="00855E7E">
        <w:t>. Considerations for data storage requirements must be made when purchasing equipment or evaluating older equipment because IVR data reporting requires large storage space.</w:t>
      </w:r>
    </w:p>
    <w:p w14:paraId="4C28078E" w14:textId="68DEEFF1" w:rsidR="008822A4" w:rsidRPr="009110F4" w:rsidRDefault="00E05149" w:rsidP="00A35EAF">
      <w:pPr>
        <w:pStyle w:val="BodyText"/>
        <w:rPr>
          <w:rStyle w:val="Strong"/>
          <w:rFonts w:ascii="Cambria" w:hAnsi="Cambria"/>
          <w:sz w:val="22"/>
          <w:szCs w:val="22"/>
        </w:rPr>
      </w:pPr>
      <w:r>
        <w:rPr>
          <w:noProof/>
        </w:rPr>
        <w:lastRenderedPageBreak/>
        <mc:AlternateContent>
          <mc:Choice Requires="wps">
            <w:drawing>
              <wp:anchor distT="45720" distB="45720" distL="114300" distR="114300" simplePos="0" relativeHeight="251695104" behindDoc="0" locked="0" layoutInCell="1" allowOverlap="1" wp14:anchorId="389285F2" wp14:editId="70C7FFD0">
                <wp:simplePos x="0" y="0"/>
                <wp:positionH relativeFrom="margin">
                  <wp:posOffset>2564879</wp:posOffset>
                </wp:positionH>
                <wp:positionV relativeFrom="paragraph">
                  <wp:posOffset>34290</wp:posOffset>
                </wp:positionV>
                <wp:extent cx="3400425" cy="2619375"/>
                <wp:effectExtent l="0" t="0" r="9525" b="9525"/>
                <wp:wrapSquare wrapText="bothSides"/>
                <wp:docPr id="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0425" cy="2619375"/>
                        </a:xfrm>
                        <a:prstGeom prst="rect">
                          <a:avLst/>
                        </a:prstGeom>
                        <a:solidFill>
                          <a:srgbClr val="FFFFFF"/>
                        </a:solidFill>
                        <a:ln w="9525">
                          <a:noFill/>
                          <a:miter lim="800000"/>
                          <a:headEnd/>
                          <a:tailEnd/>
                        </a:ln>
                      </wps:spPr>
                      <wps:txbx>
                        <w:txbxContent>
                          <w:p w14:paraId="4D34342A" w14:textId="171C1AD6" w:rsidR="00E05149" w:rsidRDefault="00773DFE" w:rsidP="00E05149">
                            <w:pPr>
                              <w:pStyle w:val="TMGTableCaption"/>
                              <w:spacing w:before="0"/>
                            </w:pPr>
                            <w:bookmarkStart w:id="719" w:name="_Ref114749800"/>
                            <w:bookmarkStart w:id="720" w:name="_Toc63428091"/>
                            <w:bookmarkStart w:id="721" w:name="_Toc68874104"/>
                            <w:bookmarkStart w:id="722" w:name="_Toc114474816"/>
                            <w:bookmarkStart w:id="723" w:name="_Toc120631122"/>
                            <w:r w:rsidRPr="00E83CA9">
                              <w:t xml:space="preserve">Table </w:t>
                            </w:r>
                            <w:fldSimple w:instr=" STYLEREF 1 \s ">
                              <w:r w:rsidR="00FC0E95">
                                <w:rPr>
                                  <w:noProof/>
                                </w:rPr>
                                <w:t>2</w:t>
                              </w:r>
                            </w:fldSimple>
                            <w:r w:rsidRPr="00E83CA9">
                              <w:noBreakHyphen/>
                            </w:r>
                            <w:fldSimple w:instr=" SEQ Table \* ARABIC \s 1 ">
                              <w:r w:rsidR="00FC0E95">
                                <w:rPr>
                                  <w:noProof/>
                                </w:rPr>
                                <w:t>6</w:t>
                              </w:r>
                            </w:fldSimple>
                            <w:bookmarkEnd w:id="719"/>
                            <w:r w:rsidR="00352273">
                              <w:t>.</w:t>
                            </w:r>
                            <w:r w:rsidRPr="00E83CA9">
                              <w:t xml:space="preserve"> Common Technologies Used </w:t>
                            </w:r>
                            <w:r w:rsidR="00E05149">
                              <w:t>f</w:t>
                            </w:r>
                            <w:r w:rsidRPr="00E83CA9">
                              <w:t>or</w:t>
                            </w:r>
                            <w:r w:rsidR="00352273">
                              <w:t> </w:t>
                            </w:r>
                            <w:r w:rsidRPr="00E83CA9">
                              <w:t>Counting</w:t>
                            </w:r>
                            <w:r w:rsidR="00733E56">
                              <w:t> </w:t>
                            </w:r>
                            <w:r w:rsidRPr="00E83CA9">
                              <w:t>Vehicles Versus Axles</w:t>
                            </w:r>
                            <w:bookmarkEnd w:id="720"/>
                            <w:bookmarkEnd w:id="721"/>
                            <w:bookmarkEnd w:id="722"/>
                            <w:bookmarkEnd w:id="723"/>
                          </w:p>
                          <w:tbl>
                            <w:tblPr>
                              <w:tblStyle w:val="TableGrid"/>
                              <w:tblW w:w="0" w:type="auto"/>
                              <w:tblCellMar>
                                <w:left w:w="86" w:type="dxa"/>
                                <w:right w:w="86" w:type="dxa"/>
                              </w:tblCellMar>
                              <w:tblLook w:val="04A0" w:firstRow="1" w:lastRow="0" w:firstColumn="1" w:lastColumn="0" w:noHBand="0" w:noVBand="1"/>
                            </w:tblPr>
                            <w:tblGrid>
                              <w:gridCol w:w="2875"/>
                              <w:gridCol w:w="2430"/>
                            </w:tblGrid>
                            <w:tr w:rsidR="00733E56" w14:paraId="6FF2C4C0" w14:textId="77777777" w:rsidTr="00733E56">
                              <w:tc>
                                <w:tcPr>
                                  <w:tcW w:w="2875" w:type="dxa"/>
                                  <w:tcBorders>
                                    <w:right w:val="single" w:sz="4" w:space="0" w:color="FFFFFF" w:themeColor="background1"/>
                                  </w:tcBorders>
                                  <w:shd w:val="clear" w:color="auto" w:fill="1F3864"/>
                                  <w:vAlign w:val="center"/>
                                </w:tcPr>
                                <w:p w14:paraId="66C20A4B" w14:textId="77777777" w:rsidR="00E05149" w:rsidRPr="00207990" w:rsidRDefault="00E05149" w:rsidP="000277E0">
                                  <w:pPr>
                                    <w:pStyle w:val="TableBodyText"/>
                                    <w:spacing w:before="20" w:after="20" w:line="240" w:lineRule="auto"/>
                                    <w:ind w:left="5"/>
                                    <w:jc w:val="center"/>
                                    <w:rPr>
                                      <w:rFonts w:ascii="Calibri" w:hAnsi="Calibri" w:cs="Calibri"/>
                                      <w:b/>
                                      <w:bCs/>
                                      <w:color w:val="FFFFFF" w:themeColor="background1"/>
                                      <w:szCs w:val="20"/>
                                      <w:lang w:bidi="ar-SA"/>
                                    </w:rPr>
                                  </w:pPr>
                                  <w:r w:rsidRPr="00207990">
                                    <w:rPr>
                                      <w:rFonts w:ascii="Calibri" w:hAnsi="Calibri" w:cs="Calibri"/>
                                      <w:b/>
                                      <w:bCs/>
                                      <w:color w:val="FFFFFF" w:themeColor="background1"/>
                                      <w:szCs w:val="20"/>
                                      <w:lang w:bidi="ar-SA"/>
                                    </w:rPr>
                                    <w:t>Presence-Sensing Technologies</w:t>
                                  </w:r>
                                </w:p>
                              </w:tc>
                              <w:tc>
                                <w:tcPr>
                                  <w:tcW w:w="2430" w:type="dxa"/>
                                  <w:tcBorders>
                                    <w:left w:val="single" w:sz="4" w:space="0" w:color="FFFFFF" w:themeColor="background1"/>
                                  </w:tcBorders>
                                  <w:shd w:val="clear" w:color="auto" w:fill="1F3864"/>
                                  <w:vAlign w:val="center"/>
                                </w:tcPr>
                                <w:p w14:paraId="3D11D3AF" w14:textId="77777777" w:rsidR="00E05149" w:rsidRPr="00207990" w:rsidRDefault="00E05149" w:rsidP="000277E0">
                                  <w:pPr>
                                    <w:pStyle w:val="TableBodyText"/>
                                    <w:spacing w:before="20" w:after="20" w:line="240" w:lineRule="auto"/>
                                    <w:ind w:left="5"/>
                                    <w:jc w:val="center"/>
                                    <w:rPr>
                                      <w:rFonts w:ascii="Calibri" w:hAnsi="Calibri" w:cs="Calibri"/>
                                      <w:b/>
                                      <w:bCs/>
                                      <w:color w:val="FFFFFF" w:themeColor="background1"/>
                                      <w:szCs w:val="20"/>
                                      <w:lang w:bidi="ar-SA"/>
                                    </w:rPr>
                                  </w:pPr>
                                  <w:r w:rsidRPr="00207990">
                                    <w:rPr>
                                      <w:rFonts w:ascii="Calibri" w:hAnsi="Calibri" w:cs="Calibri"/>
                                      <w:b/>
                                      <w:bCs/>
                                      <w:color w:val="FFFFFF" w:themeColor="background1"/>
                                      <w:szCs w:val="20"/>
                                      <w:lang w:bidi="ar-SA"/>
                                    </w:rPr>
                                    <w:t>Axle-Sensing Technologies</w:t>
                                  </w:r>
                                </w:p>
                              </w:tc>
                            </w:tr>
                            <w:tr w:rsidR="00E05149" w14:paraId="6D308821" w14:textId="77777777" w:rsidTr="00733E56">
                              <w:tc>
                                <w:tcPr>
                                  <w:tcW w:w="2875" w:type="dxa"/>
                                </w:tcPr>
                                <w:p w14:paraId="4F72F455" w14:textId="77777777" w:rsidR="00E05149" w:rsidRPr="0009677A" w:rsidRDefault="00E05149" w:rsidP="000277E0">
                                  <w:pPr>
                                    <w:pStyle w:val="TableBodyText"/>
                                    <w:spacing w:before="10" w:after="10" w:line="240" w:lineRule="auto"/>
                                    <w:ind w:left="144" w:hanging="144"/>
                                    <w:rPr>
                                      <w:rFonts w:ascii="Calibri" w:hAnsi="Calibri" w:cs="Calibri"/>
                                    </w:rPr>
                                  </w:pPr>
                                  <w:r w:rsidRPr="0009677A">
                                    <w:rPr>
                                      <w:rFonts w:ascii="Calibri" w:hAnsi="Calibri" w:cs="Calibri"/>
                                    </w:rPr>
                                    <w:t>Inductive loops</w:t>
                                  </w:r>
                                </w:p>
                                <w:p w14:paraId="08144104" w14:textId="77777777" w:rsidR="00E05149" w:rsidRPr="0009677A" w:rsidRDefault="00E05149" w:rsidP="000277E0">
                                  <w:pPr>
                                    <w:pStyle w:val="TableBodyText"/>
                                    <w:spacing w:before="10" w:after="10" w:line="240" w:lineRule="auto"/>
                                    <w:ind w:left="144" w:hanging="144"/>
                                    <w:rPr>
                                      <w:rFonts w:ascii="Calibri" w:hAnsi="Calibri" w:cs="Calibri"/>
                                    </w:rPr>
                                  </w:pPr>
                                  <w:r w:rsidRPr="0009677A">
                                    <w:rPr>
                                      <w:rFonts w:ascii="Calibri" w:hAnsi="Calibri" w:cs="Calibri"/>
                                    </w:rPr>
                                    <w:t>Magnetic</w:t>
                                  </w:r>
                                </w:p>
                                <w:p w14:paraId="0C0EEBA8" w14:textId="77777777" w:rsidR="00E05149" w:rsidRPr="0009677A" w:rsidRDefault="00E05149" w:rsidP="000277E0">
                                  <w:pPr>
                                    <w:pStyle w:val="TableBodyText"/>
                                    <w:spacing w:before="10" w:after="10" w:line="240" w:lineRule="auto"/>
                                    <w:ind w:left="144" w:hanging="144"/>
                                    <w:rPr>
                                      <w:rFonts w:ascii="Calibri" w:hAnsi="Calibri" w:cs="Calibri"/>
                                    </w:rPr>
                                  </w:pPr>
                                  <w:r w:rsidRPr="0009677A">
                                    <w:rPr>
                                      <w:rFonts w:ascii="Calibri" w:hAnsi="Calibri" w:cs="Calibri"/>
                                    </w:rPr>
                                    <w:t>Video detection system</w:t>
                                  </w:r>
                                </w:p>
                                <w:p w14:paraId="33733E29" w14:textId="77777777" w:rsidR="00E05149" w:rsidRPr="0009677A" w:rsidRDefault="00E05149" w:rsidP="000277E0">
                                  <w:pPr>
                                    <w:pStyle w:val="TableBodyText"/>
                                    <w:spacing w:before="10" w:after="10" w:line="240" w:lineRule="auto"/>
                                    <w:ind w:left="144" w:hanging="144"/>
                                    <w:rPr>
                                      <w:rFonts w:ascii="Calibri" w:hAnsi="Calibri" w:cs="Calibri"/>
                                    </w:rPr>
                                  </w:pPr>
                                  <w:r w:rsidRPr="0009677A">
                                    <w:rPr>
                                      <w:rFonts w:ascii="Calibri" w:hAnsi="Calibri" w:cs="Calibri"/>
                                    </w:rPr>
                                    <w:t xml:space="preserve">Acoustic </w:t>
                                  </w:r>
                                </w:p>
                                <w:p w14:paraId="67247239" w14:textId="77777777" w:rsidR="00E05149" w:rsidRPr="0009677A" w:rsidRDefault="00E05149" w:rsidP="000277E0">
                                  <w:pPr>
                                    <w:pStyle w:val="TableBodyText"/>
                                    <w:spacing w:before="10" w:after="10" w:line="240" w:lineRule="auto"/>
                                    <w:ind w:left="144" w:hanging="144"/>
                                    <w:rPr>
                                      <w:rFonts w:ascii="Calibri" w:hAnsi="Calibri" w:cs="Calibri"/>
                                    </w:rPr>
                                  </w:pPr>
                                  <w:r w:rsidRPr="0009677A">
                                    <w:rPr>
                                      <w:rFonts w:ascii="Calibri" w:hAnsi="Calibri" w:cs="Calibri"/>
                                    </w:rPr>
                                    <w:t>Ultrasonic</w:t>
                                  </w:r>
                                </w:p>
                                <w:p w14:paraId="7C3EF1E9" w14:textId="77777777" w:rsidR="00E05149" w:rsidRPr="0009677A" w:rsidRDefault="00E05149" w:rsidP="000277E0">
                                  <w:pPr>
                                    <w:pStyle w:val="TableBodyText"/>
                                    <w:spacing w:before="10" w:after="10" w:line="240" w:lineRule="auto"/>
                                    <w:ind w:left="144" w:hanging="144"/>
                                    <w:rPr>
                                      <w:rFonts w:ascii="Calibri" w:hAnsi="Calibri" w:cs="Calibri"/>
                                    </w:rPr>
                                  </w:pPr>
                                  <w:r w:rsidRPr="0009677A">
                                    <w:rPr>
                                      <w:rFonts w:ascii="Calibri" w:hAnsi="Calibri" w:cs="Calibri"/>
                                    </w:rPr>
                                    <w:t xml:space="preserve">Microwave </w:t>
                                  </w:r>
                                </w:p>
                                <w:p w14:paraId="15D3657E" w14:textId="77777777" w:rsidR="00E05149" w:rsidRPr="0009677A" w:rsidRDefault="00E05149" w:rsidP="000277E0">
                                  <w:pPr>
                                    <w:pStyle w:val="TableBodyText"/>
                                    <w:spacing w:before="10" w:after="10" w:line="240" w:lineRule="auto"/>
                                    <w:ind w:left="144" w:hanging="144"/>
                                    <w:rPr>
                                      <w:rFonts w:ascii="Calibri" w:hAnsi="Calibri" w:cs="Calibri"/>
                                    </w:rPr>
                                  </w:pPr>
                                  <w:r w:rsidRPr="0009677A">
                                    <w:rPr>
                                      <w:rFonts w:ascii="Calibri" w:hAnsi="Calibri" w:cs="Calibri"/>
                                    </w:rPr>
                                    <w:t>Laser radar</w:t>
                                  </w:r>
                                </w:p>
                                <w:p w14:paraId="69E95156" w14:textId="77777777" w:rsidR="00E05149" w:rsidRPr="0009677A" w:rsidRDefault="00E05149" w:rsidP="000277E0">
                                  <w:pPr>
                                    <w:pStyle w:val="TableBodyText"/>
                                    <w:spacing w:before="10" w:after="10" w:line="240" w:lineRule="auto"/>
                                    <w:ind w:left="144" w:hanging="144"/>
                                    <w:rPr>
                                      <w:rFonts w:ascii="Calibri" w:hAnsi="Calibri" w:cs="Calibri"/>
                                      <w:b/>
                                      <w:bCs/>
                                    </w:rPr>
                                  </w:pPr>
                                  <w:r w:rsidRPr="0009677A">
                                    <w:rPr>
                                      <w:rFonts w:ascii="Calibri" w:hAnsi="Calibri" w:cs="Calibri"/>
                                    </w:rPr>
                                    <w:t>Passive infrared</w:t>
                                  </w:r>
                                </w:p>
                              </w:tc>
                              <w:tc>
                                <w:tcPr>
                                  <w:tcW w:w="2430" w:type="dxa"/>
                                </w:tcPr>
                                <w:p w14:paraId="36E243C8" w14:textId="77777777" w:rsidR="00E05149" w:rsidRPr="0009677A" w:rsidRDefault="00E05149" w:rsidP="000277E0">
                                  <w:pPr>
                                    <w:pStyle w:val="TableBodyText"/>
                                    <w:spacing w:before="10" w:after="10" w:line="240" w:lineRule="auto"/>
                                    <w:ind w:left="144" w:hanging="144"/>
                                    <w:rPr>
                                      <w:rFonts w:ascii="Calibri" w:hAnsi="Calibri" w:cs="Calibri"/>
                                    </w:rPr>
                                  </w:pPr>
                                  <w:r w:rsidRPr="0009677A">
                                    <w:rPr>
                                      <w:rFonts w:ascii="Calibri" w:hAnsi="Calibri" w:cs="Calibri"/>
                                    </w:rPr>
                                    <w:t>Infrared</w:t>
                                  </w:r>
                                </w:p>
                                <w:p w14:paraId="214F2CF2" w14:textId="77777777" w:rsidR="00E05149" w:rsidRPr="0009677A" w:rsidRDefault="00E05149" w:rsidP="000277E0">
                                  <w:pPr>
                                    <w:pStyle w:val="TableBodyText"/>
                                    <w:spacing w:before="10" w:after="10" w:line="240" w:lineRule="auto"/>
                                    <w:ind w:left="144" w:hanging="144"/>
                                    <w:rPr>
                                      <w:rFonts w:ascii="Calibri" w:hAnsi="Calibri" w:cs="Calibri"/>
                                    </w:rPr>
                                  </w:pPr>
                                  <w:r w:rsidRPr="0009677A">
                                    <w:rPr>
                                      <w:rFonts w:ascii="Calibri" w:hAnsi="Calibri" w:cs="Calibri"/>
                                    </w:rPr>
                                    <w:t xml:space="preserve">Laser (most) </w:t>
                                  </w:r>
                                </w:p>
                                <w:p w14:paraId="757BF8DB" w14:textId="77777777" w:rsidR="00E05149" w:rsidRPr="0009677A" w:rsidRDefault="00E05149" w:rsidP="000277E0">
                                  <w:pPr>
                                    <w:pStyle w:val="TableBodyText"/>
                                    <w:spacing w:before="10" w:after="10" w:line="240" w:lineRule="auto"/>
                                    <w:ind w:left="144" w:hanging="144"/>
                                    <w:rPr>
                                      <w:rFonts w:ascii="Calibri" w:hAnsi="Calibri" w:cs="Calibri"/>
                                    </w:rPr>
                                  </w:pPr>
                                  <w:r w:rsidRPr="0009677A">
                                    <w:rPr>
                                      <w:rFonts w:ascii="Calibri" w:hAnsi="Calibri" w:cs="Calibri"/>
                                    </w:rPr>
                                    <w:t>Polymer piezo</w:t>
                                  </w:r>
                                </w:p>
                                <w:p w14:paraId="3006EB8F" w14:textId="77777777" w:rsidR="00E05149" w:rsidRPr="0009677A" w:rsidRDefault="00E05149" w:rsidP="000277E0">
                                  <w:pPr>
                                    <w:pStyle w:val="TableBodyText"/>
                                    <w:spacing w:before="10" w:after="10" w:line="240" w:lineRule="auto"/>
                                    <w:ind w:left="144" w:hanging="144"/>
                                    <w:rPr>
                                      <w:rFonts w:ascii="Calibri" w:hAnsi="Calibri" w:cs="Calibri"/>
                                    </w:rPr>
                                  </w:pPr>
                                  <w:r w:rsidRPr="0009677A">
                                    <w:rPr>
                                      <w:rFonts w:ascii="Calibri" w:hAnsi="Calibri" w:cs="Calibri"/>
                                    </w:rPr>
                                    <w:t>Quartz piezo</w:t>
                                  </w:r>
                                </w:p>
                                <w:p w14:paraId="1487AC7C" w14:textId="77777777" w:rsidR="00E05149" w:rsidRPr="0009677A" w:rsidRDefault="00E05149" w:rsidP="000277E0">
                                  <w:pPr>
                                    <w:pStyle w:val="TableBodyText"/>
                                    <w:spacing w:before="10" w:after="10" w:line="240" w:lineRule="auto"/>
                                    <w:ind w:left="144" w:hanging="144"/>
                                    <w:rPr>
                                      <w:rFonts w:ascii="Calibri" w:hAnsi="Calibri" w:cs="Calibri"/>
                                    </w:rPr>
                                  </w:pPr>
                                  <w:r w:rsidRPr="0009677A">
                                    <w:rPr>
                                      <w:rFonts w:ascii="Calibri" w:hAnsi="Calibri" w:cs="Calibri"/>
                                    </w:rPr>
                                    <w:t>Strain gauge strip sensor</w:t>
                                  </w:r>
                                </w:p>
                                <w:p w14:paraId="33F0DB3A" w14:textId="77777777" w:rsidR="00E05149" w:rsidRPr="0009677A" w:rsidRDefault="00E05149" w:rsidP="000277E0">
                                  <w:pPr>
                                    <w:pStyle w:val="TableBodyText"/>
                                    <w:spacing w:before="10" w:after="10" w:line="240" w:lineRule="auto"/>
                                    <w:ind w:left="144" w:hanging="144"/>
                                    <w:rPr>
                                      <w:rFonts w:ascii="Calibri" w:hAnsi="Calibri" w:cs="Calibri"/>
                                    </w:rPr>
                                  </w:pPr>
                                  <w:r w:rsidRPr="0009677A">
                                    <w:rPr>
                                      <w:rFonts w:ascii="Calibri" w:hAnsi="Calibri" w:cs="Calibri"/>
                                    </w:rPr>
                                    <w:t>Fiber optic</w:t>
                                  </w:r>
                                </w:p>
                                <w:p w14:paraId="3A17132B" w14:textId="77777777" w:rsidR="00E05149" w:rsidRPr="0009677A" w:rsidRDefault="00E05149" w:rsidP="000277E0">
                                  <w:pPr>
                                    <w:pStyle w:val="TableBodyText"/>
                                    <w:spacing w:before="10" w:after="10" w:line="240" w:lineRule="auto"/>
                                    <w:ind w:left="144" w:hanging="144"/>
                                    <w:rPr>
                                      <w:rFonts w:ascii="Calibri" w:hAnsi="Calibri" w:cs="Calibri"/>
                                    </w:rPr>
                                  </w:pPr>
                                  <w:r w:rsidRPr="0009677A">
                                    <w:rPr>
                                      <w:rFonts w:ascii="Calibri" w:hAnsi="Calibri" w:cs="Calibri"/>
                                    </w:rPr>
                                    <w:t>Capacitance mats</w:t>
                                  </w:r>
                                </w:p>
                                <w:p w14:paraId="22471CF5" w14:textId="77777777" w:rsidR="00E05149" w:rsidRPr="0009677A" w:rsidRDefault="00E05149" w:rsidP="000277E0">
                                  <w:pPr>
                                    <w:pStyle w:val="TableBodyText"/>
                                    <w:spacing w:before="10" w:after="10" w:line="240" w:lineRule="auto"/>
                                    <w:ind w:left="144" w:hanging="144"/>
                                    <w:rPr>
                                      <w:rFonts w:ascii="Calibri" w:hAnsi="Calibri" w:cs="Calibri"/>
                                    </w:rPr>
                                  </w:pPr>
                                  <w:r w:rsidRPr="0009677A">
                                    <w:rPr>
                                      <w:rFonts w:ascii="Calibri" w:hAnsi="Calibri" w:cs="Calibri"/>
                                    </w:rPr>
                                    <w:t>Bending plates</w:t>
                                  </w:r>
                                </w:p>
                                <w:p w14:paraId="1D2EAFA8" w14:textId="77777777" w:rsidR="00E05149" w:rsidRPr="0009677A" w:rsidRDefault="00E05149" w:rsidP="000277E0">
                                  <w:pPr>
                                    <w:pStyle w:val="TableBodyText"/>
                                    <w:spacing w:before="10" w:after="10" w:line="240" w:lineRule="auto"/>
                                    <w:ind w:left="144" w:hanging="144"/>
                                    <w:rPr>
                                      <w:rFonts w:ascii="Calibri" w:hAnsi="Calibri" w:cs="Calibri"/>
                                    </w:rPr>
                                  </w:pPr>
                                  <w:r w:rsidRPr="0009677A">
                                    <w:rPr>
                                      <w:rFonts w:ascii="Calibri" w:hAnsi="Calibri" w:cs="Calibri"/>
                                    </w:rPr>
                                    <w:t>Load cells</w:t>
                                  </w:r>
                                </w:p>
                                <w:p w14:paraId="231592E7" w14:textId="77777777" w:rsidR="00E05149" w:rsidRPr="0009677A" w:rsidRDefault="00E05149" w:rsidP="000277E0">
                                  <w:pPr>
                                    <w:pStyle w:val="TableBodyText"/>
                                    <w:spacing w:before="10" w:after="10" w:line="240" w:lineRule="auto"/>
                                    <w:ind w:left="144" w:hanging="144"/>
                                    <w:rPr>
                                      <w:rFonts w:ascii="Calibri" w:hAnsi="Calibri" w:cs="Calibri"/>
                                    </w:rPr>
                                  </w:pPr>
                                  <w:r w:rsidRPr="0009677A">
                                    <w:rPr>
                                      <w:rFonts w:ascii="Calibri" w:hAnsi="Calibri" w:cs="Calibri"/>
                                    </w:rPr>
                                    <w:t xml:space="preserve">Inductive loop signatures </w:t>
                                  </w:r>
                                </w:p>
                                <w:p w14:paraId="0DB17DB7" w14:textId="77777777" w:rsidR="00E05149" w:rsidRPr="0009677A" w:rsidRDefault="00E05149" w:rsidP="000277E0">
                                  <w:pPr>
                                    <w:pStyle w:val="TableBodyText"/>
                                    <w:spacing w:before="10" w:after="10" w:line="240" w:lineRule="auto"/>
                                    <w:ind w:left="144" w:hanging="144"/>
                                    <w:rPr>
                                      <w:rFonts w:ascii="Calibri" w:hAnsi="Calibri" w:cs="Calibri"/>
                                      <w:b/>
                                      <w:bCs/>
                                    </w:rPr>
                                  </w:pPr>
                                  <w:r w:rsidRPr="0009677A">
                                    <w:rPr>
                                      <w:rFonts w:ascii="Calibri" w:hAnsi="Calibri" w:cs="Calibri"/>
                                    </w:rPr>
                                    <w:t>Contact switch closures (e.g., pneumatic tubes)</w:t>
                                  </w:r>
                                </w:p>
                              </w:tc>
                            </w:tr>
                          </w:tbl>
                          <w:p w14:paraId="79E35218" w14:textId="77777777" w:rsidR="00E05149" w:rsidRPr="00E83CA9" w:rsidRDefault="00E05149" w:rsidP="00E05149">
                            <w:pPr>
                              <w:keepNext/>
                              <w:spacing w:before="240" w:after="60"/>
                              <w:jc w:val="center"/>
                              <w:rPr>
                                <w:b/>
                                <w:bCs/>
                              </w:rPr>
                            </w:pPr>
                          </w:p>
                          <w:p w14:paraId="20D16984" w14:textId="77777777" w:rsidR="00E05149" w:rsidRDefault="00E05149" w:rsidP="00E05149"/>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89285F2" id="_x0000_s1028" type="#_x0000_t202" style="position:absolute;margin-left:201.95pt;margin-top:2.7pt;width:267.75pt;height:206.25pt;z-index:251695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" stroked="f">
                <v:textbox inset="0,0,0,0">
                  <w:txbxContent>
                    <w:p w14:paraId="4D34342A" w14:textId="171C1AD6" w:rsidR="00E05149" w:rsidRDefault="00773DFE" w:rsidP="00E05149">
                      <w:pPr>
                        <w:pStyle w:val="TMGTableCaption"/>
                        <w:spacing w:before="0"/>
                      </w:pPr>
                      <w:bookmarkStart w:id="724" w:name="_Ref114749800"/>
                      <w:bookmarkStart w:id="725" w:name="_Toc63428091"/>
                      <w:bookmarkStart w:id="726" w:name="_Toc68874104"/>
                      <w:bookmarkStart w:id="727" w:name="_Toc114474816"/>
                      <w:bookmarkStart w:id="728" w:name="_Toc120631122"/>
                      <w:r w:rsidRPr="00E83CA9">
                        <w:t xml:space="preserve">Table </w:t>
                      </w:r>
                      <w:fldSimple w:instr=" STYLEREF 1 \s ">
                        <w:r w:rsidR="00FC0E95">
                          <w:rPr>
                            <w:noProof/>
                          </w:rPr>
                          <w:t>2</w:t>
                        </w:r>
                      </w:fldSimple>
                      <w:r w:rsidRPr="00E83CA9">
                        <w:noBreakHyphen/>
                      </w:r>
                      <w:fldSimple w:instr=" SEQ Table \* ARABIC \s 1 ">
                        <w:r w:rsidR="00FC0E95">
                          <w:rPr>
                            <w:noProof/>
                          </w:rPr>
                          <w:t>6</w:t>
                        </w:r>
                      </w:fldSimple>
                      <w:bookmarkEnd w:id="724"/>
                      <w:r w:rsidR="00352273">
                        <w:t>.</w:t>
                      </w:r>
                      <w:r w:rsidRPr="00E83CA9">
                        <w:t xml:space="preserve"> Common Technologies Used </w:t>
                      </w:r>
                      <w:r w:rsidR="00E05149">
                        <w:t>f</w:t>
                      </w:r>
                      <w:r w:rsidRPr="00E83CA9">
                        <w:t>or</w:t>
                      </w:r>
                      <w:r w:rsidR="00352273">
                        <w:t> </w:t>
                      </w:r>
                      <w:r w:rsidRPr="00E83CA9">
                        <w:t>Counting</w:t>
                      </w:r>
                      <w:r w:rsidR="00733E56">
                        <w:t> </w:t>
                      </w:r>
                      <w:r w:rsidRPr="00E83CA9">
                        <w:t>Vehicles Versus Axles</w:t>
                      </w:r>
                      <w:bookmarkEnd w:id="725"/>
                      <w:bookmarkEnd w:id="726"/>
                      <w:bookmarkEnd w:id="727"/>
                      <w:bookmarkEnd w:id="728"/>
                    </w:p>
                    <w:tbl>
                      <w:tblPr>
                        <w:tblStyle w:val="TableGrid"/>
                        <w:tblW w:w="0" w:type="auto"/>
                        <w:tblCellMar>
                          <w:left w:w="86" w:type="dxa"/>
                          <w:right w:w="86" w:type="dxa"/>
                        </w:tblCellMar>
                        <w:tblLook w:val="04A0" w:firstRow="1" w:lastRow="0" w:firstColumn="1" w:lastColumn="0" w:noHBand="0" w:noVBand="1"/>
                      </w:tblPr>
                      <w:tblGrid>
                        <w:gridCol w:w="2875"/>
                        <w:gridCol w:w="2430"/>
                      </w:tblGrid>
                      <w:tr w:rsidR="00733E56" w14:paraId="6FF2C4C0" w14:textId="77777777" w:rsidTr="00733E56">
                        <w:tc>
                          <w:tcPr>
                            <w:tcW w:w="2875" w:type="dxa"/>
                            <w:tcBorders>
                              <w:right w:val="single" w:sz="4" w:space="0" w:color="FFFFFF" w:themeColor="background1"/>
                            </w:tcBorders>
                            <w:shd w:val="clear" w:color="auto" w:fill="1F3864"/>
                            <w:vAlign w:val="center"/>
                          </w:tcPr>
                          <w:p w14:paraId="66C20A4B" w14:textId="77777777" w:rsidR="00E05149" w:rsidRPr="00207990" w:rsidRDefault="00E05149" w:rsidP="000277E0">
                            <w:pPr>
                              <w:pStyle w:val="TableBodyText"/>
                              <w:spacing w:before="20" w:after="20" w:line="240" w:lineRule="auto"/>
                              <w:ind w:left="5"/>
                              <w:jc w:val="center"/>
                              <w:rPr>
                                <w:rFonts w:ascii="Calibri" w:hAnsi="Calibri" w:cs="Calibri"/>
                                <w:b/>
                                <w:bCs/>
                                <w:color w:val="FFFFFF" w:themeColor="background1"/>
                                <w:szCs w:val="20"/>
                                <w:lang w:bidi="ar-SA"/>
                              </w:rPr>
                            </w:pPr>
                            <w:r w:rsidRPr="00207990">
                              <w:rPr>
                                <w:rFonts w:ascii="Calibri" w:hAnsi="Calibri" w:cs="Calibri"/>
                                <w:b/>
                                <w:bCs/>
                                <w:color w:val="FFFFFF" w:themeColor="background1"/>
                                <w:szCs w:val="20"/>
                                <w:lang w:bidi="ar-SA"/>
                              </w:rPr>
                              <w:t>Presence-Sensing Technologies</w:t>
                            </w:r>
                          </w:p>
                        </w:tc>
                        <w:tc>
                          <w:tcPr>
                            <w:tcW w:w="2430" w:type="dxa"/>
                            <w:tcBorders>
                              <w:left w:val="single" w:sz="4" w:space="0" w:color="FFFFFF" w:themeColor="background1"/>
                            </w:tcBorders>
                            <w:shd w:val="clear" w:color="auto" w:fill="1F3864"/>
                            <w:vAlign w:val="center"/>
                          </w:tcPr>
                          <w:p w14:paraId="3D11D3AF" w14:textId="77777777" w:rsidR="00E05149" w:rsidRPr="00207990" w:rsidRDefault="00E05149" w:rsidP="000277E0">
                            <w:pPr>
                              <w:pStyle w:val="TableBodyText"/>
                              <w:spacing w:before="20" w:after="20" w:line="240" w:lineRule="auto"/>
                              <w:ind w:left="5"/>
                              <w:jc w:val="center"/>
                              <w:rPr>
                                <w:rFonts w:ascii="Calibri" w:hAnsi="Calibri" w:cs="Calibri"/>
                                <w:b/>
                                <w:bCs/>
                                <w:color w:val="FFFFFF" w:themeColor="background1"/>
                                <w:szCs w:val="20"/>
                                <w:lang w:bidi="ar-SA"/>
                              </w:rPr>
                            </w:pPr>
                            <w:r w:rsidRPr="00207990">
                              <w:rPr>
                                <w:rFonts w:ascii="Calibri" w:hAnsi="Calibri" w:cs="Calibri"/>
                                <w:b/>
                                <w:bCs/>
                                <w:color w:val="FFFFFF" w:themeColor="background1"/>
                                <w:szCs w:val="20"/>
                                <w:lang w:bidi="ar-SA"/>
                              </w:rPr>
                              <w:t>Axle-Sensing Technologies</w:t>
                            </w:r>
                          </w:p>
                        </w:tc>
                      </w:tr>
                      <w:tr w:rsidR="00E05149" w14:paraId="6D308821" w14:textId="77777777" w:rsidTr="00733E56">
                        <w:tc>
                          <w:tcPr>
                            <w:tcW w:w="2875" w:type="dxa"/>
                          </w:tcPr>
                          <w:p w14:paraId="4F72F455" w14:textId="77777777" w:rsidR="00E05149" w:rsidRPr="0009677A" w:rsidRDefault="00E05149" w:rsidP="000277E0">
                            <w:pPr>
                              <w:pStyle w:val="TableBodyText"/>
                              <w:spacing w:before="10" w:after="10" w:line="240" w:lineRule="auto"/>
                              <w:ind w:left="144" w:hanging="144"/>
                              <w:rPr>
                                <w:rFonts w:ascii="Calibri" w:hAnsi="Calibri" w:cs="Calibri"/>
                              </w:rPr>
                            </w:pPr>
                            <w:r w:rsidRPr="0009677A">
                              <w:rPr>
                                <w:rFonts w:ascii="Calibri" w:hAnsi="Calibri" w:cs="Calibri"/>
                              </w:rPr>
                              <w:t>Inductive loops</w:t>
                            </w:r>
                          </w:p>
                          <w:p w14:paraId="08144104" w14:textId="77777777" w:rsidR="00E05149" w:rsidRPr="0009677A" w:rsidRDefault="00E05149" w:rsidP="000277E0">
                            <w:pPr>
                              <w:pStyle w:val="TableBodyText"/>
                              <w:spacing w:before="10" w:after="10" w:line="240" w:lineRule="auto"/>
                              <w:ind w:left="144" w:hanging="144"/>
                              <w:rPr>
                                <w:rFonts w:ascii="Calibri" w:hAnsi="Calibri" w:cs="Calibri"/>
                              </w:rPr>
                            </w:pPr>
                            <w:r w:rsidRPr="0009677A">
                              <w:rPr>
                                <w:rFonts w:ascii="Calibri" w:hAnsi="Calibri" w:cs="Calibri"/>
                              </w:rPr>
                              <w:t>Magnetic</w:t>
                            </w:r>
                          </w:p>
                          <w:p w14:paraId="0C0EEBA8" w14:textId="77777777" w:rsidR="00E05149" w:rsidRPr="0009677A" w:rsidRDefault="00E05149" w:rsidP="000277E0">
                            <w:pPr>
                              <w:pStyle w:val="TableBodyText"/>
                              <w:spacing w:before="10" w:after="10" w:line="240" w:lineRule="auto"/>
                              <w:ind w:left="144" w:hanging="144"/>
                              <w:rPr>
                                <w:rFonts w:ascii="Calibri" w:hAnsi="Calibri" w:cs="Calibri"/>
                              </w:rPr>
                            </w:pPr>
                            <w:r w:rsidRPr="0009677A">
                              <w:rPr>
                                <w:rFonts w:ascii="Calibri" w:hAnsi="Calibri" w:cs="Calibri"/>
                              </w:rPr>
                              <w:t>Video detection system</w:t>
                            </w:r>
                          </w:p>
                          <w:p w14:paraId="33733E29" w14:textId="77777777" w:rsidR="00E05149" w:rsidRPr="0009677A" w:rsidRDefault="00E05149" w:rsidP="000277E0">
                            <w:pPr>
                              <w:pStyle w:val="TableBodyText"/>
                              <w:spacing w:before="10" w:after="10" w:line="240" w:lineRule="auto"/>
                              <w:ind w:left="144" w:hanging="144"/>
                              <w:rPr>
                                <w:rFonts w:ascii="Calibri" w:hAnsi="Calibri" w:cs="Calibri"/>
                              </w:rPr>
                            </w:pPr>
                            <w:r w:rsidRPr="0009677A">
                              <w:rPr>
                                <w:rFonts w:ascii="Calibri" w:hAnsi="Calibri" w:cs="Calibri"/>
                              </w:rPr>
                              <w:t xml:space="preserve">Acoustic </w:t>
                            </w:r>
                          </w:p>
                          <w:p w14:paraId="67247239" w14:textId="77777777" w:rsidR="00E05149" w:rsidRPr="0009677A" w:rsidRDefault="00E05149" w:rsidP="000277E0">
                            <w:pPr>
                              <w:pStyle w:val="TableBodyText"/>
                              <w:spacing w:before="10" w:after="10" w:line="240" w:lineRule="auto"/>
                              <w:ind w:left="144" w:hanging="144"/>
                              <w:rPr>
                                <w:rFonts w:ascii="Calibri" w:hAnsi="Calibri" w:cs="Calibri"/>
                              </w:rPr>
                            </w:pPr>
                            <w:r w:rsidRPr="0009677A">
                              <w:rPr>
                                <w:rFonts w:ascii="Calibri" w:hAnsi="Calibri" w:cs="Calibri"/>
                              </w:rPr>
                              <w:t>Ultrasonic</w:t>
                            </w:r>
                          </w:p>
                          <w:p w14:paraId="7C3EF1E9" w14:textId="77777777" w:rsidR="00E05149" w:rsidRPr="0009677A" w:rsidRDefault="00E05149" w:rsidP="000277E0">
                            <w:pPr>
                              <w:pStyle w:val="TableBodyText"/>
                              <w:spacing w:before="10" w:after="10" w:line="240" w:lineRule="auto"/>
                              <w:ind w:left="144" w:hanging="144"/>
                              <w:rPr>
                                <w:rFonts w:ascii="Calibri" w:hAnsi="Calibri" w:cs="Calibri"/>
                              </w:rPr>
                            </w:pPr>
                            <w:r w:rsidRPr="0009677A">
                              <w:rPr>
                                <w:rFonts w:ascii="Calibri" w:hAnsi="Calibri" w:cs="Calibri"/>
                              </w:rPr>
                              <w:t xml:space="preserve">Microwave </w:t>
                            </w:r>
                          </w:p>
                          <w:p w14:paraId="15D3657E" w14:textId="77777777" w:rsidR="00E05149" w:rsidRPr="0009677A" w:rsidRDefault="00E05149" w:rsidP="000277E0">
                            <w:pPr>
                              <w:pStyle w:val="TableBodyText"/>
                              <w:spacing w:before="10" w:after="10" w:line="240" w:lineRule="auto"/>
                              <w:ind w:left="144" w:hanging="144"/>
                              <w:rPr>
                                <w:rFonts w:ascii="Calibri" w:hAnsi="Calibri" w:cs="Calibri"/>
                              </w:rPr>
                            </w:pPr>
                            <w:r w:rsidRPr="0009677A">
                              <w:rPr>
                                <w:rFonts w:ascii="Calibri" w:hAnsi="Calibri" w:cs="Calibri"/>
                              </w:rPr>
                              <w:t>Laser radar</w:t>
                            </w:r>
                          </w:p>
                          <w:p w14:paraId="69E95156" w14:textId="77777777" w:rsidR="00E05149" w:rsidRPr="0009677A" w:rsidRDefault="00E05149" w:rsidP="000277E0">
                            <w:pPr>
                              <w:pStyle w:val="TableBodyText"/>
                              <w:spacing w:before="10" w:after="10" w:line="240" w:lineRule="auto"/>
                              <w:ind w:left="144" w:hanging="144"/>
                              <w:rPr>
                                <w:rFonts w:ascii="Calibri" w:hAnsi="Calibri" w:cs="Calibri"/>
                                <w:b/>
                                <w:bCs/>
                              </w:rPr>
                            </w:pPr>
                            <w:r w:rsidRPr="0009677A">
                              <w:rPr>
                                <w:rFonts w:ascii="Calibri" w:hAnsi="Calibri" w:cs="Calibri"/>
                              </w:rPr>
                              <w:t>Passive infrared</w:t>
                            </w:r>
                          </w:p>
                        </w:tc>
                        <w:tc>
                          <w:tcPr>
                            <w:tcW w:w="2430" w:type="dxa"/>
                          </w:tcPr>
                          <w:p w14:paraId="36E243C8" w14:textId="77777777" w:rsidR="00E05149" w:rsidRPr="0009677A" w:rsidRDefault="00E05149" w:rsidP="000277E0">
                            <w:pPr>
                              <w:pStyle w:val="TableBodyText"/>
                              <w:spacing w:before="10" w:after="10" w:line="240" w:lineRule="auto"/>
                              <w:ind w:left="144" w:hanging="144"/>
                              <w:rPr>
                                <w:rFonts w:ascii="Calibri" w:hAnsi="Calibri" w:cs="Calibri"/>
                              </w:rPr>
                            </w:pPr>
                            <w:r w:rsidRPr="0009677A">
                              <w:rPr>
                                <w:rFonts w:ascii="Calibri" w:hAnsi="Calibri" w:cs="Calibri"/>
                              </w:rPr>
                              <w:t>Infrared</w:t>
                            </w:r>
                          </w:p>
                          <w:p w14:paraId="214F2CF2" w14:textId="77777777" w:rsidR="00E05149" w:rsidRPr="0009677A" w:rsidRDefault="00E05149" w:rsidP="000277E0">
                            <w:pPr>
                              <w:pStyle w:val="TableBodyText"/>
                              <w:spacing w:before="10" w:after="10" w:line="240" w:lineRule="auto"/>
                              <w:ind w:left="144" w:hanging="144"/>
                              <w:rPr>
                                <w:rFonts w:ascii="Calibri" w:hAnsi="Calibri" w:cs="Calibri"/>
                              </w:rPr>
                            </w:pPr>
                            <w:r w:rsidRPr="0009677A">
                              <w:rPr>
                                <w:rFonts w:ascii="Calibri" w:hAnsi="Calibri" w:cs="Calibri"/>
                              </w:rPr>
                              <w:t xml:space="preserve">Laser (most) </w:t>
                            </w:r>
                          </w:p>
                          <w:p w14:paraId="757BF8DB" w14:textId="77777777" w:rsidR="00E05149" w:rsidRPr="0009677A" w:rsidRDefault="00E05149" w:rsidP="000277E0">
                            <w:pPr>
                              <w:pStyle w:val="TableBodyText"/>
                              <w:spacing w:before="10" w:after="10" w:line="240" w:lineRule="auto"/>
                              <w:ind w:left="144" w:hanging="144"/>
                              <w:rPr>
                                <w:rFonts w:ascii="Calibri" w:hAnsi="Calibri" w:cs="Calibri"/>
                              </w:rPr>
                            </w:pPr>
                            <w:r w:rsidRPr="0009677A">
                              <w:rPr>
                                <w:rFonts w:ascii="Calibri" w:hAnsi="Calibri" w:cs="Calibri"/>
                              </w:rPr>
                              <w:t>Polymer piezo</w:t>
                            </w:r>
                          </w:p>
                          <w:p w14:paraId="3006EB8F" w14:textId="77777777" w:rsidR="00E05149" w:rsidRPr="0009677A" w:rsidRDefault="00E05149" w:rsidP="000277E0">
                            <w:pPr>
                              <w:pStyle w:val="TableBodyText"/>
                              <w:spacing w:before="10" w:after="10" w:line="240" w:lineRule="auto"/>
                              <w:ind w:left="144" w:hanging="144"/>
                              <w:rPr>
                                <w:rFonts w:ascii="Calibri" w:hAnsi="Calibri" w:cs="Calibri"/>
                              </w:rPr>
                            </w:pPr>
                            <w:r w:rsidRPr="0009677A">
                              <w:rPr>
                                <w:rFonts w:ascii="Calibri" w:hAnsi="Calibri" w:cs="Calibri"/>
                              </w:rPr>
                              <w:t>Quartz piezo</w:t>
                            </w:r>
                          </w:p>
                          <w:p w14:paraId="1487AC7C" w14:textId="77777777" w:rsidR="00E05149" w:rsidRPr="0009677A" w:rsidRDefault="00E05149" w:rsidP="000277E0">
                            <w:pPr>
                              <w:pStyle w:val="TableBodyText"/>
                              <w:spacing w:before="10" w:after="10" w:line="240" w:lineRule="auto"/>
                              <w:ind w:left="144" w:hanging="144"/>
                              <w:rPr>
                                <w:rFonts w:ascii="Calibri" w:hAnsi="Calibri" w:cs="Calibri"/>
                              </w:rPr>
                            </w:pPr>
                            <w:r w:rsidRPr="0009677A">
                              <w:rPr>
                                <w:rFonts w:ascii="Calibri" w:hAnsi="Calibri" w:cs="Calibri"/>
                              </w:rPr>
                              <w:t>Strain gauge strip sensor</w:t>
                            </w:r>
                          </w:p>
                          <w:p w14:paraId="33F0DB3A" w14:textId="77777777" w:rsidR="00E05149" w:rsidRPr="0009677A" w:rsidRDefault="00E05149" w:rsidP="000277E0">
                            <w:pPr>
                              <w:pStyle w:val="TableBodyText"/>
                              <w:spacing w:before="10" w:after="10" w:line="240" w:lineRule="auto"/>
                              <w:ind w:left="144" w:hanging="144"/>
                              <w:rPr>
                                <w:rFonts w:ascii="Calibri" w:hAnsi="Calibri" w:cs="Calibri"/>
                              </w:rPr>
                            </w:pPr>
                            <w:r w:rsidRPr="0009677A">
                              <w:rPr>
                                <w:rFonts w:ascii="Calibri" w:hAnsi="Calibri" w:cs="Calibri"/>
                              </w:rPr>
                              <w:t>Fiber optic</w:t>
                            </w:r>
                          </w:p>
                          <w:p w14:paraId="3A17132B" w14:textId="77777777" w:rsidR="00E05149" w:rsidRPr="0009677A" w:rsidRDefault="00E05149" w:rsidP="000277E0">
                            <w:pPr>
                              <w:pStyle w:val="TableBodyText"/>
                              <w:spacing w:before="10" w:after="10" w:line="240" w:lineRule="auto"/>
                              <w:ind w:left="144" w:hanging="144"/>
                              <w:rPr>
                                <w:rFonts w:ascii="Calibri" w:hAnsi="Calibri" w:cs="Calibri"/>
                              </w:rPr>
                            </w:pPr>
                            <w:r w:rsidRPr="0009677A">
                              <w:rPr>
                                <w:rFonts w:ascii="Calibri" w:hAnsi="Calibri" w:cs="Calibri"/>
                              </w:rPr>
                              <w:t>Capacitance mats</w:t>
                            </w:r>
                          </w:p>
                          <w:p w14:paraId="22471CF5" w14:textId="77777777" w:rsidR="00E05149" w:rsidRPr="0009677A" w:rsidRDefault="00E05149" w:rsidP="000277E0">
                            <w:pPr>
                              <w:pStyle w:val="TableBodyText"/>
                              <w:spacing w:before="10" w:after="10" w:line="240" w:lineRule="auto"/>
                              <w:ind w:left="144" w:hanging="144"/>
                              <w:rPr>
                                <w:rFonts w:ascii="Calibri" w:hAnsi="Calibri" w:cs="Calibri"/>
                              </w:rPr>
                            </w:pPr>
                            <w:r w:rsidRPr="0009677A">
                              <w:rPr>
                                <w:rFonts w:ascii="Calibri" w:hAnsi="Calibri" w:cs="Calibri"/>
                              </w:rPr>
                              <w:t>Bending plates</w:t>
                            </w:r>
                          </w:p>
                          <w:p w14:paraId="1D2EAFA8" w14:textId="77777777" w:rsidR="00E05149" w:rsidRPr="0009677A" w:rsidRDefault="00E05149" w:rsidP="000277E0">
                            <w:pPr>
                              <w:pStyle w:val="TableBodyText"/>
                              <w:spacing w:before="10" w:after="10" w:line="240" w:lineRule="auto"/>
                              <w:ind w:left="144" w:hanging="144"/>
                              <w:rPr>
                                <w:rFonts w:ascii="Calibri" w:hAnsi="Calibri" w:cs="Calibri"/>
                              </w:rPr>
                            </w:pPr>
                            <w:r w:rsidRPr="0009677A">
                              <w:rPr>
                                <w:rFonts w:ascii="Calibri" w:hAnsi="Calibri" w:cs="Calibri"/>
                              </w:rPr>
                              <w:t>Load cells</w:t>
                            </w:r>
                          </w:p>
                          <w:p w14:paraId="231592E7" w14:textId="77777777" w:rsidR="00E05149" w:rsidRPr="0009677A" w:rsidRDefault="00E05149" w:rsidP="000277E0">
                            <w:pPr>
                              <w:pStyle w:val="TableBodyText"/>
                              <w:spacing w:before="10" w:after="10" w:line="240" w:lineRule="auto"/>
                              <w:ind w:left="144" w:hanging="144"/>
                              <w:rPr>
                                <w:rFonts w:ascii="Calibri" w:hAnsi="Calibri" w:cs="Calibri"/>
                              </w:rPr>
                            </w:pPr>
                            <w:r w:rsidRPr="0009677A">
                              <w:rPr>
                                <w:rFonts w:ascii="Calibri" w:hAnsi="Calibri" w:cs="Calibri"/>
                              </w:rPr>
                              <w:t xml:space="preserve">Inductive loop signatures </w:t>
                            </w:r>
                          </w:p>
                          <w:p w14:paraId="0DB17DB7" w14:textId="77777777" w:rsidR="00E05149" w:rsidRPr="0009677A" w:rsidRDefault="00E05149" w:rsidP="000277E0">
                            <w:pPr>
                              <w:pStyle w:val="TableBodyText"/>
                              <w:spacing w:before="10" w:after="10" w:line="240" w:lineRule="auto"/>
                              <w:ind w:left="144" w:hanging="144"/>
                              <w:rPr>
                                <w:rFonts w:ascii="Calibri" w:hAnsi="Calibri" w:cs="Calibri"/>
                                <w:b/>
                                <w:bCs/>
                              </w:rPr>
                            </w:pPr>
                            <w:r w:rsidRPr="0009677A">
                              <w:rPr>
                                <w:rFonts w:ascii="Calibri" w:hAnsi="Calibri" w:cs="Calibri"/>
                              </w:rPr>
                              <w:t>Contact switch closures (e.g., pneumatic tubes)</w:t>
                            </w:r>
                          </w:p>
                        </w:tc>
                      </w:tr>
                    </w:tbl>
                    <w:p w14:paraId="79E35218" w14:textId="77777777" w:rsidR="00E05149" w:rsidRPr="00E83CA9" w:rsidRDefault="00E05149" w:rsidP="00E05149">
                      <w:pPr>
                        <w:keepNext/>
                        <w:spacing w:before="240" w:after="60"/>
                        <w:jc w:val="center"/>
                        <w:rPr>
                          <w:b/>
                          <w:bCs/>
                        </w:rPr>
                      </w:pPr>
                    </w:p>
                    <w:p w14:paraId="20D16984" w14:textId="77777777" w:rsidR="00E05149" w:rsidRDefault="00E05149" w:rsidP="00E05149"/>
                  </w:txbxContent>
                </v:textbox>
                <w10:wrap type="square" anchorx="margin"/>
              </v:shape>
            </w:pict>
          </mc:Fallback>
        </mc:AlternateContent>
      </w:r>
      <w:r w:rsidR="008822A4" w:rsidRPr="009110F4">
        <w:rPr>
          <w:rStyle w:val="Strong"/>
          <w:rFonts w:ascii="Cambria" w:hAnsi="Cambria"/>
          <w:sz w:val="22"/>
          <w:szCs w:val="22"/>
        </w:rPr>
        <w:t>Vehicle Volume</w:t>
      </w:r>
    </w:p>
    <w:p w14:paraId="36B6AE26" w14:textId="5DD506BF" w:rsidR="008822A4" w:rsidRPr="00E05149" w:rsidRDefault="00733E56" w:rsidP="00E05149">
      <w:pPr>
        <w:pStyle w:val="BodyText"/>
      </w:pPr>
      <w:r>
        <w:rPr>
          <w:noProof/>
        </w:rPr>
        <mc:AlternateContent>
          <mc:Choice Requires="wps">
            <w:drawing>
              <wp:anchor distT="45720" distB="45720" distL="114300" distR="114300" simplePos="0" relativeHeight="251697152" behindDoc="0" locked="0" layoutInCell="1" allowOverlap="1" wp14:anchorId="719C80AC" wp14:editId="4FE0C0CF">
                <wp:simplePos x="0" y="0"/>
                <wp:positionH relativeFrom="margin">
                  <wp:posOffset>2175641</wp:posOffset>
                </wp:positionH>
                <wp:positionV relativeFrom="paragraph">
                  <wp:posOffset>2437940</wp:posOffset>
                </wp:positionV>
                <wp:extent cx="3842385" cy="3097924"/>
                <wp:effectExtent l="0" t="0" r="5715" b="7620"/>
                <wp:wrapSquare wrapText="bothSides"/>
                <wp:docPr id="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2385" cy="3097924"/>
                        </a:xfrm>
                        <a:prstGeom prst="rect">
                          <a:avLst/>
                        </a:prstGeom>
                        <a:solidFill>
                          <a:srgbClr val="FFFFFF"/>
                        </a:solidFill>
                        <a:ln w="9525">
                          <a:noFill/>
                          <a:miter lim="800000"/>
                          <a:headEnd/>
                          <a:tailEnd/>
                        </a:ln>
                      </wps:spPr>
                      <wps:txbx>
                        <w:txbxContent>
                          <w:p w14:paraId="15C45400" w14:textId="5B406569" w:rsidR="00733E56" w:rsidRDefault="00733E56" w:rsidP="00733E56">
                            <w:pPr>
                              <w:pStyle w:val="TMGTableCaption"/>
                              <w:spacing w:before="0"/>
                            </w:pPr>
                            <w:bookmarkStart w:id="729" w:name="_Ref114749816"/>
                            <w:bookmarkStart w:id="730" w:name="_Toc63428092"/>
                            <w:bookmarkStart w:id="731" w:name="_Toc68874105"/>
                            <w:bookmarkStart w:id="732" w:name="_Toc114474817"/>
                            <w:bookmarkStart w:id="733" w:name="_Toc120631123"/>
                            <w:r w:rsidRPr="00855E7E">
                              <w:t xml:space="preserve">Table </w:t>
                            </w:r>
                            <w:fldSimple w:instr=" STYLEREF 1 \s ">
                              <w:r w:rsidR="00FC0E95">
                                <w:rPr>
                                  <w:noProof/>
                                </w:rPr>
                                <w:t>2</w:t>
                              </w:r>
                            </w:fldSimple>
                            <w:r>
                              <w:noBreakHyphen/>
                            </w:r>
                            <w:fldSimple w:instr=" SEQ Table \* ARABIC \s 1 ">
                              <w:r w:rsidR="00FC0E95">
                                <w:rPr>
                                  <w:noProof/>
                                </w:rPr>
                                <w:t>7</w:t>
                              </w:r>
                            </w:fldSimple>
                            <w:bookmarkEnd w:id="729"/>
                            <w:r w:rsidR="00352273">
                              <w:t>.</w:t>
                            </w:r>
                            <w:r w:rsidRPr="00855E7E">
                              <w:t xml:space="preserve"> Common Technologies </w:t>
                            </w:r>
                            <w:r>
                              <w:t>f</w:t>
                            </w:r>
                            <w:r w:rsidRPr="00855E7E">
                              <w:t>or Classifying</w:t>
                            </w:r>
                            <w:r>
                              <w:t> </w:t>
                            </w:r>
                            <w:r w:rsidRPr="00855E7E">
                              <w:t>Motorized</w:t>
                            </w:r>
                            <w:r>
                              <w:t> </w:t>
                            </w:r>
                            <w:r w:rsidRPr="00855E7E">
                              <w:t>Vehicles</w:t>
                            </w:r>
                            <w:bookmarkEnd w:id="730"/>
                            <w:bookmarkEnd w:id="731"/>
                            <w:bookmarkEnd w:id="732"/>
                            <w:bookmarkEnd w:id="733"/>
                          </w:p>
                          <w:tbl>
                            <w:tblPr>
                              <w:tblStyle w:val="TableGrid"/>
                              <w:tblW w:w="0" w:type="auto"/>
                              <w:tblCellMar>
                                <w:left w:w="86" w:type="dxa"/>
                                <w:right w:w="86" w:type="dxa"/>
                              </w:tblCellMar>
                              <w:tblLook w:val="04A0" w:firstRow="1" w:lastRow="0" w:firstColumn="1" w:lastColumn="0" w:noHBand="0" w:noVBand="1"/>
                            </w:tblPr>
                            <w:tblGrid>
                              <w:gridCol w:w="3145"/>
                              <w:gridCol w:w="2790"/>
                            </w:tblGrid>
                            <w:tr w:rsidR="00733E56" w14:paraId="53AFFA79" w14:textId="77777777" w:rsidTr="00733E56">
                              <w:tc>
                                <w:tcPr>
                                  <w:tcW w:w="3145" w:type="dxa"/>
                                  <w:tcBorders>
                                    <w:right w:val="single" w:sz="4" w:space="0" w:color="FFFFFF" w:themeColor="background1"/>
                                  </w:tcBorders>
                                  <w:shd w:val="clear" w:color="auto" w:fill="1F3864"/>
                                  <w:vAlign w:val="center"/>
                                </w:tcPr>
                                <w:p w14:paraId="27D7342E" w14:textId="1AADF520" w:rsidR="00733E56" w:rsidRPr="00207990" w:rsidRDefault="00733E56" w:rsidP="000277E0">
                                  <w:pPr>
                                    <w:pStyle w:val="TableBodyText"/>
                                    <w:spacing w:before="20" w:after="20" w:line="240" w:lineRule="auto"/>
                                    <w:ind w:left="5"/>
                                    <w:jc w:val="center"/>
                                    <w:rPr>
                                      <w:rFonts w:ascii="Calibri" w:hAnsi="Calibri" w:cs="Calibri"/>
                                      <w:b/>
                                      <w:bCs/>
                                      <w:color w:val="FFFFFF" w:themeColor="background1"/>
                                      <w:szCs w:val="20"/>
                                      <w:lang w:bidi="ar-SA"/>
                                    </w:rPr>
                                  </w:pPr>
                                  <w:r w:rsidRPr="00207990">
                                    <w:rPr>
                                      <w:rFonts w:ascii="Calibri" w:hAnsi="Calibri" w:cs="Calibri"/>
                                      <w:b/>
                                      <w:bCs/>
                                      <w:color w:val="FFFFFF" w:themeColor="background1"/>
                                      <w:szCs w:val="20"/>
                                      <w:lang w:bidi="ar-SA"/>
                                    </w:rPr>
                                    <w:t xml:space="preserve">Technologies for Axle-Based </w:t>
                                  </w:r>
                                  <w:r w:rsidRPr="00207990">
                                    <w:rPr>
                                      <w:rFonts w:ascii="Calibri" w:hAnsi="Calibri" w:cs="Calibri"/>
                                      <w:b/>
                                      <w:bCs/>
                                      <w:color w:val="FFFFFF" w:themeColor="background1"/>
                                      <w:szCs w:val="20"/>
                                      <w:lang w:bidi="ar-SA"/>
                                    </w:rPr>
                                    <w:br/>
                                    <w:t>Vehicle Classification</w:t>
                                  </w:r>
                                </w:p>
                              </w:tc>
                              <w:tc>
                                <w:tcPr>
                                  <w:tcW w:w="2790" w:type="dxa"/>
                                  <w:tcBorders>
                                    <w:left w:val="single" w:sz="4" w:space="0" w:color="FFFFFF" w:themeColor="background1"/>
                                  </w:tcBorders>
                                  <w:shd w:val="clear" w:color="auto" w:fill="1F3864"/>
                                  <w:vAlign w:val="center"/>
                                </w:tcPr>
                                <w:p w14:paraId="05F99AB0" w14:textId="33D36198" w:rsidR="00733E56" w:rsidRPr="00207990" w:rsidRDefault="00733E56" w:rsidP="000277E0">
                                  <w:pPr>
                                    <w:pStyle w:val="TableBodyText"/>
                                    <w:spacing w:before="20" w:after="20" w:line="240" w:lineRule="auto"/>
                                    <w:ind w:left="5"/>
                                    <w:jc w:val="center"/>
                                    <w:rPr>
                                      <w:rFonts w:ascii="Calibri" w:hAnsi="Calibri" w:cs="Calibri"/>
                                      <w:b/>
                                      <w:bCs/>
                                      <w:color w:val="FFFFFF" w:themeColor="background1"/>
                                      <w:szCs w:val="20"/>
                                      <w:lang w:bidi="ar-SA"/>
                                    </w:rPr>
                                  </w:pPr>
                                  <w:r w:rsidRPr="00207990">
                                    <w:rPr>
                                      <w:rFonts w:ascii="Calibri" w:hAnsi="Calibri" w:cs="Calibri"/>
                                      <w:b/>
                                      <w:bCs/>
                                      <w:color w:val="FFFFFF" w:themeColor="background1"/>
                                      <w:szCs w:val="20"/>
                                      <w:lang w:bidi="ar-SA"/>
                                    </w:rPr>
                                    <w:t xml:space="preserve">Technologies for Length-Based </w:t>
                                  </w:r>
                                  <w:r w:rsidRPr="00207990">
                                    <w:rPr>
                                      <w:rFonts w:ascii="Calibri" w:hAnsi="Calibri" w:cs="Calibri"/>
                                      <w:b/>
                                      <w:bCs/>
                                      <w:color w:val="FFFFFF" w:themeColor="background1"/>
                                      <w:szCs w:val="20"/>
                                      <w:lang w:bidi="ar-SA"/>
                                    </w:rPr>
                                    <w:br/>
                                    <w:t>Vehicle Classification</w:t>
                                  </w:r>
                                </w:p>
                              </w:tc>
                            </w:tr>
                            <w:tr w:rsidR="00733E56" w14:paraId="2366AA78" w14:textId="77777777" w:rsidTr="00733E56">
                              <w:tc>
                                <w:tcPr>
                                  <w:tcW w:w="3145" w:type="dxa"/>
                                </w:tcPr>
                                <w:p w14:paraId="69A91916" w14:textId="77777777" w:rsidR="00733E56" w:rsidRPr="000277E0" w:rsidRDefault="00733E56" w:rsidP="000277E0">
                                  <w:pPr>
                                    <w:pStyle w:val="TableBodyText"/>
                                    <w:spacing w:before="10" w:after="10" w:line="240" w:lineRule="auto"/>
                                    <w:ind w:left="144" w:hanging="144"/>
                                    <w:rPr>
                                      <w:rFonts w:ascii="Calibri" w:hAnsi="Calibri" w:cs="Calibri"/>
                                    </w:rPr>
                                  </w:pPr>
                                  <w:r w:rsidRPr="000277E0">
                                    <w:rPr>
                                      <w:rFonts w:ascii="Calibri" w:hAnsi="Calibri" w:cs="Calibri"/>
                                    </w:rPr>
                                    <w:t>Infrared (passive)</w:t>
                                  </w:r>
                                </w:p>
                                <w:p w14:paraId="17346159" w14:textId="77777777" w:rsidR="00733E56" w:rsidRPr="000277E0" w:rsidRDefault="00733E56" w:rsidP="000277E0">
                                  <w:pPr>
                                    <w:pStyle w:val="TableBodyText"/>
                                    <w:spacing w:before="10" w:after="10" w:line="240" w:lineRule="auto"/>
                                    <w:ind w:left="144" w:hanging="144"/>
                                    <w:rPr>
                                      <w:rFonts w:ascii="Calibri" w:hAnsi="Calibri" w:cs="Calibri"/>
                                    </w:rPr>
                                  </w:pPr>
                                  <w:r w:rsidRPr="000277E0">
                                    <w:rPr>
                                      <w:rFonts w:ascii="Calibri" w:hAnsi="Calibri" w:cs="Calibri"/>
                                    </w:rPr>
                                    <w:t>Laser radar</w:t>
                                  </w:r>
                                </w:p>
                                <w:p w14:paraId="4F874C94" w14:textId="77777777" w:rsidR="00733E56" w:rsidRPr="000277E0" w:rsidRDefault="00733E56" w:rsidP="000277E0">
                                  <w:pPr>
                                    <w:pStyle w:val="TableBodyText"/>
                                    <w:spacing w:before="10" w:after="10" w:line="240" w:lineRule="auto"/>
                                    <w:ind w:left="144" w:hanging="144"/>
                                    <w:rPr>
                                      <w:rFonts w:ascii="Calibri" w:hAnsi="Calibri" w:cs="Calibri"/>
                                    </w:rPr>
                                  </w:pPr>
                                  <w:r w:rsidRPr="000277E0">
                                    <w:rPr>
                                      <w:rFonts w:ascii="Calibri" w:hAnsi="Calibri" w:cs="Calibri"/>
                                    </w:rPr>
                                    <w:t>Polymer piezo</w:t>
                                  </w:r>
                                </w:p>
                                <w:p w14:paraId="14919AEA" w14:textId="77777777" w:rsidR="00733E56" w:rsidRPr="000277E0" w:rsidRDefault="00733E56" w:rsidP="000277E0">
                                  <w:pPr>
                                    <w:pStyle w:val="TableBodyText"/>
                                    <w:spacing w:before="10" w:after="10" w:line="240" w:lineRule="auto"/>
                                    <w:ind w:left="144" w:hanging="144"/>
                                    <w:rPr>
                                      <w:rFonts w:ascii="Calibri" w:hAnsi="Calibri" w:cs="Calibri"/>
                                    </w:rPr>
                                  </w:pPr>
                                  <w:r w:rsidRPr="000277E0">
                                    <w:rPr>
                                      <w:rFonts w:ascii="Calibri" w:hAnsi="Calibri" w:cs="Calibri"/>
                                    </w:rPr>
                                    <w:t>Quartz piezo</w:t>
                                  </w:r>
                                </w:p>
                                <w:p w14:paraId="30F0D1FC" w14:textId="77777777" w:rsidR="00733E56" w:rsidRPr="000277E0" w:rsidRDefault="00733E56" w:rsidP="000277E0">
                                  <w:pPr>
                                    <w:pStyle w:val="TableBodyText"/>
                                    <w:spacing w:before="10" w:after="10" w:line="240" w:lineRule="auto"/>
                                    <w:ind w:left="144" w:hanging="144"/>
                                    <w:rPr>
                                      <w:rFonts w:ascii="Calibri" w:hAnsi="Calibri" w:cs="Calibri"/>
                                    </w:rPr>
                                  </w:pPr>
                                  <w:r w:rsidRPr="000277E0">
                                    <w:rPr>
                                      <w:rFonts w:ascii="Calibri" w:hAnsi="Calibri" w:cs="Calibri"/>
                                    </w:rPr>
                                    <w:t>Strain gauge strip sensor</w:t>
                                  </w:r>
                                </w:p>
                                <w:p w14:paraId="21B47542" w14:textId="77777777" w:rsidR="00733E56" w:rsidRPr="000277E0" w:rsidRDefault="00733E56" w:rsidP="000277E0">
                                  <w:pPr>
                                    <w:pStyle w:val="TableBodyText"/>
                                    <w:spacing w:before="10" w:after="10" w:line="240" w:lineRule="auto"/>
                                    <w:ind w:left="144" w:hanging="144"/>
                                    <w:rPr>
                                      <w:rFonts w:ascii="Calibri" w:hAnsi="Calibri" w:cs="Calibri"/>
                                    </w:rPr>
                                  </w:pPr>
                                  <w:r w:rsidRPr="000277E0">
                                    <w:rPr>
                                      <w:rFonts w:ascii="Calibri" w:hAnsi="Calibri" w:cs="Calibri"/>
                                    </w:rPr>
                                    <w:t>Fiber optic</w:t>
                                  </w:r>
                                </w:p>
                                <w:p w14:paraId="23032E1C" w14:textId="77777777" w:rsidR="00733E56" w:rsidRPr="000277E0" w:rsidRDefault="00733E56" w:rsidP="000277E0">
                                  <w:pPr>
                                    <w:pStyle w:val="TableBodyText"/>
                                    <w:spacing w:before="10" w:after="10" w:line="240" w:lineRule="auto"/>
                                    <w:ind w:left="144" w:hanging="144"/>
                                    <w:rPr>
                                      <w:rFonts w:ascii="Calibri" w:hAnsi="Calibri" w:cs="Calibri"/>
                                    </w:rPr>
                                  </w:pPr>
                                  <w:r w:rsidRPr="000277E0">
                                    <w:rPr>
                                      <w:rFonts w:ascii="Calibri" w:hAnsi="Calibri" w:cs="Calibri"/>
                                    </w:rPr>
                                    <w:t>Capacitance mats</w:t>
                                  </w:r>
                                </w:p>
                                <w:p w14:paraId="4C0CA670" w14:textId="77777777" w:rsidR="00733E56" w:rsidRPr="000277E0" w:rsidRDefault="00733E56" w:rsidP="000277E0">
                                  <w:pPr>
                                    <w:pStyle w:val="TableBodyText"/>
                                    <w:spacing w:before="10" w:after="10" w:line="240" w:lineRule="auto"/>
                                    <w:ind w:left="144" w:hanging="144"/>
                                    <w:rPr>
                                      <w:rFonts w:ascii="Calibri" w:hAnsi="Calibri" w:cs="Calibri"/>
                                    </w:rPr>
                                  </w:pPr>
                                  <w:r w:rsidRPr="000277E0">
                                    <w:rPr>
                                      <w:rFonts w:ascii="Calibri" w:hAnsi="Calibri" w:cs="Calibri"/>
                                    </w:rPr>
                                    <w:t>Bending plates</w:t>
                                  </w:r>
                                </w:p>
                                <w:p w14:paraId="1C59EE5B" w14:textId="77777777" w:rsidR="00733E56" w:rsidRPr="000277E0" w:rsidRDefault="00733E56" w:rsidP="000277E0">
                                  <w:pPr>
                                    <w:pStyle w:val="TableBodyText"/>
                                    <w:spacing w:before="10" w:after="10" w:line="240" w:lineRule="auto"/>
                                    <w:ind w:left="144" w:hanging="144"/>
                                    <w:rPr>
                                      <w:rFonts w:ascii="Calibri" w:hAnsi="Calibri" w:cs="Calibri"/>
                                    </w:rPr>
                                  </w:pPr>
                                  <w:r w:rsidRPr="000277E0">
                                    <w:rPr>
                                      <w:rFonts w:ascii="Calibri" w:hAnsi="Calibri" w:cs="Calibri"/>
                                    </w:rPr>
                                    <w:t>Load cells</w:t>
                                  </w:r>
                                </w:p>
                                <w:p w14:paraId="4119E077" w14:textId="77777777" w:rsidR="00733E56" w:rsidRPr="000277E0" w:rsidRDefault="00733E56" w:rsidP="000277E0">
                                  <w:pPr>
                                    <w:pStyle w:val="TableBodyText"/>
                                    <w:spacing w:before="10" w:after="10" w:line="240" w:lineRule="auto"/>
                                    <w:ind w:left="144" w:hanging="144"/>
                                    <w:rPr>
                                      <w:rFonts w:ascii="Calibri" w:hAnsi="Calibri" w:cs="Calibri"/>
                                    </w:rPr>
                                  </w:pPr>
                                  <w:r w:rsidRPr="000277E0">
                                    <w:rPr>
                                      <w:rFonts w:ascii="Calibri" w:hAnsi="Calibri" w:cs="Calibri"/>
                                    </w:rPr>
                                    <w:t>Contact switch closures (e.g., pneumatic tubes)</w:t>
                                  </w:r>
                                </w:p>
                                <w:p w14:paraId="18C5130B" w14:textId="77777777" w:rsidR="00733E56" w:rsidRPr="000277E0" w:rsidRDefault="00733E56" w:rsidP="000277E0">
                                  <w:pPr>
                                    <w:pStyle w:val="TableBodyText"/>
                                    <w:spacing w:before="10" w:after="10" w:line="240" w:lineRule="auto"/>
                                    <w:ind w:left="144" w:hanging="144"/>
                                    <w:rPr>
                                      <w:rFonts w:ascii="Calibri" w:hAnsi="Calibri" w:cs="Calibri"/>
                                    </w:rPr>
                                  </w:pPr>
                                  <w:r w:rsidRPr="000277E0">
                                    <w:rPr>
                                      <w:rFonts w:ascii="Calibri" w:hAnsi="Calibri" w:cs="Calibri"/>
                                    </w:rPr>
                                    <w:t>Specialized loop signature systems</w:t>
                                  </w:r>
                                </w:p>
                                <w:p w14:paraId="672E8DC1" w14:textId="5B78505B" w:rsidR="00733E56" w:rsidRPr="000277E0" w:rsidRDefault="00733E56" w:rsidP="000277E0">
                                  <w:pPr>
                                    <w:pStyle w:val="TableBodyText"/>
                                    <w:spacing w:before="10" w:after="10" w:line="240" w:lineRule="auto"/>
                                    <w:ind w:left="144" w:hanging="144"/>
                                    <w:rPr>
                                      <w:rFonts w:ascii="Calibri" w:hAnsi="Calibri" w:cs="Calibri"/>
                                    </w:rPr>
                                  </w:pPr>
                                  <w:r w:rsidRPr="000277E0">
                                    <w:rPr>
                                      <w:rFonts w:ascii="Calibri" w:hAnsi="Calibri" w:cs="Calibri"/>
                                    </w:rPr>
                                    <w:t>Any of the above combined with inductive loops</w:t>
                                  </w:r>
                                </w:p>
                              </w:tc>
                              <w:tc>
                                <w:tcPr>
                                  <w:tcW w:w="2790" w:type="dxa"/>
                                </w:tcPr>
                                <w:p w14:paraId="386F31B3" w14:textId="77777777" w:rsidR="00733E56" w:rsidRPr="000277E0" w:rsidRDefault="00733E56" w:rsidP="000277E0">
                                  <w:pPr>
                                    <w:pStyle w:val="TableBodyText"/>
                                    <w:spacing w:before="10" w:after="10" w:line="240" w:lineRule="auto"/>
                                    <w:ind w:left="144" w:hanging="144"/>
                                    <w:rPr>
                                      <w:rFonts w:ascii="Calibri" w:hAnsi="Calibri" w:cs="Calibri"/>
                                    </w:rPr>
                                  </w:pPr>
                                  <w:r w:rsidRPr="000277E0">
                                    <w:rPr>
                                      <w:rFonts w:ascii="Calibri" w:hAnsi="Calibri" w:cs="Calibri"/>
                                    </w:rPr>
                                    <w:t>Dual inductive loops</w:t>
                                  </w:r>
                                </w:p>
                                <w:p w14:paraId="1CD270F4" w14:textId="77777777" w:rsidR="00733E56" w:rsidRPr="000277E0" w:rsidRDefault="00733E56" w:rsidP="000277E0">
                                  <w:pPr>
                                    <w:pStyle w:val="TableBodyText"/>
                                    <w:spacing w:before="10" w:after="10" w:line="240" w:lineRule="auto"/>
                                    <w:ind w:left="144" w:hanging="144"/>
                                    <w:rPr>
                                      <w:rFonts w:ascii="Calibri" w:hAnsi="Calibri" w:cs="Calibri"/>
                                    </w:rPr>
                                  </w:pPr>
                                  <w:r w:rsidRPr="000277E0">
                                    <w:rPr>
                                      <w:rFonts w:ascii="Calibri" w:hAnsi="Calibri" w:cs="Calibri"/>
                                    </w:rPr>
                                    <w:t xml:space="preserve">Inductive loops </w:t>
                                  </w:r>
                                </w:p>
                                <w:p w14:paraId="5043FAB6" w14:textId="77777777" w:rsidR="00733E56" w:rsidRPr="000277E0" w:rsidRDefault="00733E56" w:rsidP="000277E0">
                                  <w:pPr>
                                    <w:pStyle w:val="TableBodyText"/>
                                    <w:spacing w:before="10" w:after="10" w:line="240" w:lineRule="auto"/>
                                    <w:ind w:left="144" w:hanging="144"/>
                                    <w:rPr>
                                      <w:rFonts w:ascii="Calibri" w:hAnsi="Calibri" w:cs="Calibri"/>
                                    </w:rPr>
                                  </w:pPr>
                                  <w:r w:rsidRPr="000277E0">
                                    <w:rPr>
                                      <w:rFonts w:ascii="Calibri" w:hAnsi="Calibri" w:cs="Calibri"/>
                                    </w:rPr>
                                    <w:t>Magnetic (magnetometer)</w:t>
                                  </w:r>
                                </w:p>
                                <w:p w14:paraId="5AF5E930" w14:textId="77777777" w:rsidR="00733E56" w:rsidRPr="000277E0" w:rsidRDefault="00733E56" w:rsidP="000277E0">
                                  <w:pPr>
                                    <w:pStyle w:val="TableBodyText"/>
                                    <w:spacing w:before="10" w:after="10" w:line="240" w:lineRule="auto"/>
                                    <w:ind w:left="144" w:hanging="144"/>
                                    <w:rPr>
                                      <w:rFonts w:ascii="Calibri" w:hAnsi="Calibri" w:cs="Calibri"/>
                                    </w:rPr>
                                  </w:pPr>
                                  <w:r w:rsidRPr="000277E0">
                                    <w:rPr>
                                      <w:rFonts w:ascii="Calibri" w:hAnsi="Calibri" w:cs="Calibri"/>
                                    </w:rPr>
                                    <w:t>Video detection system</w:t>
                                  </w:r>
                                </w:p>
                                <w:p w14:paraId="098DE3BE" w14:textId="26FFC4CF" w:rsidR="00733E56" w:rsidRPr="000277E0" w:rsidRDefault="00733E56" w:rsidP="000277E0">
                                  <w:pPr>
                                    <w:pStyle w:val="TableBodyText"/>
                                    <w:spacing w:before="10" w:after="10" w:line="240" w:lineRule="auto"/>
                                    <w:ind w:left="144" w:hanging="144"/>
                                    <w:rPr>
                                      <w:rFonts w:ascii="Calibri" w:hAnsi="Calibri" w:cs="Calibri"/>
                                    </w:rPr>
                                  </w:pPr>
                                  <w:r w:rsidRPr="000277E0">
                                    <w:rPr>
                                      <w:rFonts w:ascii="Calibri" w:hAnsi="Calibri" w:cs="Calibri"/>
                                    </w:rPr>
                                    <w:t xml:space="preserve">Microwave </w:t>
                                  </w:r>
                                </w:p>
                              </w:tc>
                            </w:tr>
                          </w:tbl>
                          <w:p w14:paraId="7434E434" w14:textId="77777777" w:rsidR="00733E56" w:rsidRDefault="00733E56" w:rsidP="00733E56"/>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19C80AC" id="_x0000_s1029" type="#_x0000_t202" style="position:absolute;margin-left:171.3pt;margin-top:191.95pt;width:302.55pt;height:243.95pt;z-index:251697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" stroked="f">
                <v:textbox inset="0,0,0,0">
                  <w:txbxContent>
                    <w:p w14:paraId="15C45400" w14:textId="5B406569" w:rsidR="00733E56" w:rsidRDefault="00733E56" w:rsidP="00733E56">
                      <w:pPr>
                        <w:pStyle w:val="TMGTableCaption"/>
                        <w:spacing w:before="0"/>
                      </w:pPr>
                      <w:bookmarkStart w:id="734" w:name="_Ref114749816"/>
                      <w:bookmarkStart w:id="735" w:name="_Toc63428092"/>
                      <w:bookmarkStart w:id="736" w:name="_Toc68874105"/>
                      <w:bookmarkStart w:id="737" w:name="_Toc114474817"/>
                      <w:bookmarkStart w:id="738" w:name="_Toc120631123"/>
                      <w:r w:rsidRPr="00855E7E">
                        <w:t xml:space="preserve">Table </w:t>
                      </w:r>
                      <w:fldSimple w:instr=" STYLEREF 1 \s ">
                        <w:r w:rsidR="00FC0E95">
                          <w:rPr>
                            <w:noProof/>
                          </w:rPr>
                          <w:t>2</w:t>
                        </w:r>
                      </w:fldSimple>
                      <w:r>
                        <w:noBreakHyphen/>
                      </w:r>
                      <w:fldSimple w:instr=" SEQ Table \* ARABIC \s 1 ">
                        <w:r w:rsidR="00FC0E95">
                          <w:rPr>
                            <w:noProof/>
                          </w:rPr>
                          <w:t>7</w:t>
                        </w:r>
                      </w:fldSimple>
                      <w:bookmarkEnd w:id="734"/>
                      <w:r w:rsidR="00352273">
                        <w:t>.</w:t>
                      </w:r>
                      <w:r w:rsidRPr="00855E7E">
                        <w:t xml:space="preserve"> Common Technologies </w:t>
                      </w:r>
                      <w:r>
                        <w:t>f</w:t>
                      </w:r>
                      <w:r w:rsidRPr="00855E7E">
                        <w:t>or Classifying</w:t>
                      </w:r>
                      <w:r>
                        <w:t> </w:t>
                      </w:r>
                      <w:r w:rsidRPr="00855E7E">
                        <w:t>Motorized</w:t>
                      </w:r>
                      <w:r>
                        <w:t> </w:t>
                      </w:r>
                      <w:r w:rsidRPr="00855E7E">
                        <w:t>Vehicles</w:t>
                      </w:r>
                      <w:bookmarkEnd w:id="735"/>
                      <w:bookmarkEnd w:id="736"/>
                      <w:bookmarkEnd w:id="737"/>
                      <w:bookmarkEnd w:id="738"/>
                    </w:p>
                    <w:tbl>
                      <w:tblPr>
                        <w:tblStyle w:val="TableGrid"/>
                        <w:tblW w:w="0" w:type="auto"/>
                        <w:tblCellMar>
                          <w:left w:w="86" w:type="dxa"/>
                          <w:right w:w="86" w:type="dxa"/>
                        </w:tblCellMar>
                        <w:tblLook w:val="04A0" w:firstRow="1" w:lastRow="0" w:firstColumn="1" w:lastColumn="0" w:noHBand="0" w:noVBand="1"/>
                      </w:tblPr>
                      <w:tblGrid>
                        <w:gridCol w:w="3145"/>
                        <w:gridCol w:w="2790"/>
                      </w:tblGrid>
                      <w:tr w:rsidR="00733E56" w14:paraId="53AFFA79" w14:textId="77777777" w:rsidTr="00733E56">
                        <w:tc>
                          <w:tcPr>
                            <w:tcW w:w="3145" w:type="dxa"/>
                            <w:tcBorders>
                              <w:right w:val="single" w:sz="4" w:space="0" w:color="FFFFFF" w:themeColor="background1"/>
                            </w:tcBorders>
                            <w:shd w:val="clear" w:color="auto" w:fill="1F3864"/>
                            <w:vAlign w:val="center"/>
                          </w:tcPr>
                          <w:p w14:paraId="27D7342E" w14:textId="1AADF520" w:rsidR="00733E56" w:rsidRPr="00207990" w:rsidRDefault="00733E56" w:rsidP="000277E0">
                            <w:pPr>
                              <w:pStyle w:val="TableBodyText"/>
                              <w:spacing w:before="20" w:after="20" w:line="240" w:lineRule="auto"/>
                              <w:ind w:left="5"/>
                              <w:jc w:val="center"/>
                              <w:rPr>
                                <w:rFonts w:ascii="Calibri" w:hAnsi="Calibri" w:cs="Calibri"/>
                                <w:b/>
                                <w:bCs/>
                                <w:color w:val="FFFFFF" w:themeColor="background1"/>
                                <w:szCs w:val="20"/>
                                <w:lang w:bidi="ar-SA"/>
                              </w:rPr>
                            </w:pPr>
                            <w:r w:rsidRPr="00207990">
                              <w:rPr>
                                <w:rFonts w:ascii="Calibri" w:hAnsi="Calibri" w:cs="Calibri"/>
                                <w:b/>
                                <w:bCs/>
                                <w:color w:val="FFFFFF" w:themeColor="background1"/>
                                <w:szCs w:val="20"/>
                                <w:lang w:bidi="ar-SA"/>
                              </w:rPr>
                              <w:t xml:space="preserve">Technologies for Axle-Based </w:t>
                            </w:r>
                            <w:r w:rsidRPr="00207990">
                              <w:rPr>
                                <w:rFonts w:ascii="Calibri" w:hAnsi="Calibri" w:cs="Calibri"/>
                                <w:b/>
                                <w:bCs/>
                                <w:color w:val="FFFFFF" w:themeColor="background1"/>
                                <w:szCs w:val="20"/>
                                <w:lang w:bidi="ar-SA"/>
                              </w:rPr>
                              <w:br/>
                              <w:t>Vehicle Classification</w:t>
                            </w:r>
                          </w:p>
                        </w:tc>
                        <w:tc>
                          <w:tcPr>
                            <w:tcW w:w="2790" w:type="dxa"/>
                            <w:tcBorders>
                              <w:left w:val="single" w:sz="4" w:space="0" w:color="FFFFFF" w:themeColor="background1"/>
                            </w:tcBorders>
                            <w:shd w:val="clear" w:color="auto" w:fill="1F3864"/>
                            <w:vAlign w:val="center"/>
                          </w:tcPr>
                          <w:p w14:paraId="05F99AB0" w14:textId="33D36198" w:rsidR="00733E56" w:rsidRPr="00207990" w:rsidRDefault="00733E56" w:rsidP="000277E0">
                            <w:pPr>
                              <w:pStyle w:val="TableBodyText"/>
                              <w:spacing w:before="20" w:after="20" w:line="240" w:lineRule="auto"/>
                              <w:ind w:left="5"/>
                              <w:jc w:val="center"/>
                              <w:rPr>
                                <w:rFonts w:ascii="Calibri" w:hAnsi="Calibri" w:cs="Calibri"/>
                                <w:b/>
                                <w:bCs/>
                                <w:color w:val="FFFFFF" w:themeColor="background1"/>
                                <w:szCs w:val="20"/>
                                <w:lang w:bidi="ar-SA"/>
                              </w:rPr>
                            </w:pPr>
                            <w:r w:rsidRPr="00207990">
                              <w:rPr>
                                <w:rFonts w:ascii="Calibri" w:hAnsi="Calibri" w:cs="Calibri"/>
                                <w:b/>
                                <w:bCs/>
                                <w:color w:val="FFFFFF" w:themeColor="background1"/>
                                <w:szCs w:val="20"/>
                                <w:lang w:bidi="ar-SA"/>
                              </w:rPr>
                              <w:t xml:space="preserve">Technologies for Length-Based </w:t>
                            </w:r>
                            <w:r w:rsidRPr="00207990">
                              <w:rPr>
                                <w:rFonts w:ascii="Calibri" w:hAnsi="Calibri" w:cs="Calibri"/>
                                <w:b/>
                                <w:bCs/>
                                <w:color w:val="FFFFFF" w:themeColor="background1"/>
                                <w:szCs w:val="20"/>
                                <w:lang w:bidi="ar-SA"/>
                              </w:rPr>
                              <w:br/>
                              <w:t>Vehicle Classification</w:t>
                            </w:r>
                          </w:p>
                        </w:tc>
                      </w:tr>
                      <w:tr w:rsidR="00733E56" w14:paraId="2366AA78" w14:textId="77777777" w:rsidTr="00733E56">
                        <w:tc>
                          <w:tcPr>
                            <w:tcW w:w="3145" w:type="dxa"/>
                          </w:tcPr>
                          <w:p w14:paraId="69A91916" w14:textId="77777777" w:rsidR="00733E56" w:rsidRPr="000277E0" w:rsidRDefault="00733E56" w:rsidP="000277E0">
                            <w:pPr>
                              <w:pStyle w:val="TableBodyText"/>
                              <w:spacing w:before="10" w:after="10" w:line="240" w:lineRule="auto"/>
                              <w:ind w:left="144" w:hanging="144"/>
                              <w:rPr>
                                <w:rFonts w:ascii="Calibri" w:hAnsi="Calibri" w:cs="Calibri"/>
                              </w:rPr>
                            </w:pPr>
                            <w:r w:rsidRPr="000277E0">
                              <w:rPr>
                                <w:rFonts w:ascii="Calibri" w:hAnsi="Calibri" w:cs="Calibri"/>
                              </w:rPr>
                              <w:t>Infrared (passive)</w:t>
                            </w:r>
                          </w:p>
                          <w:p w14:paraId="17346159" w14:textId="77777777" w:rsidR="00733E56" w:rsidRPr="000277E0" w:rsidRDefault="00733E56" w:rsidP="000277E0">
                            <w:pPr>
                              <w:pStyle w:val="TableBodyText"/>
                              <w:spacing w:before="10" w:after="10" w:line="240" w:lineRule="auto"/>
                              <w:ind w:left="144" w:hanging="144"/>
                              <w:rPr>
                                <w:rFonts w:ascii="Calibri" w:hAnsi="Calibri" w:cs="Calibri"/>
                              </w:rPr>
                            </w:pPr>
                            <w:r w:rsidRPr="000277E0">
                              <w:rPr>
                                <w:rFonts w:ascii="Calibri" w:hAnsi="Calibri" w:cs="Calibri"/>
                              </w:rPr>
                              <w:t>Laser radar</w:t>
                            </w:r>
                          </w:p>
                          <w:p w14:paraId="4F874C94" w14:textId="77777777" w:rsidR="00733E56" w:rsidRPr="000277E0" w:rsidRDefault="00733E56" w:rsidP="000277E0">
                            <w:pPr>
                              <w:pStyle w:val="TableBodyText"/>
                              <w:spacing w:before="10" w:after="10" w:line="240" w:lineRule="auto"/>
                              <w:ind w:left="144" w:hanging="144"/>
                              <w:rPr>
                                <w:rFonts w:ascii="Calibri" w:hAnsi="Calibri" w:cs="Calibri"/>
                              </w:rPr>
                            </w:pPr>
                            <w:r w:rsidRPr="000277E0">
                              <w:rPr>
                                <w:rFonts w:ascii="Calibri" w:hAnsi="Calibri" w:cs="Calibri"/>
                              </w:rPr>
                              <w:t>Polymer piezo</w:t>
                            </w:r>
                          </w:p>
                          <w:p w14:paraId="14919AEA" w14:textId="77777777" w:rsidR="00733E56" w:rsidRPr="000277E0" w:rsidRDefault="00733E56" w:rsidP="000277E0">
                            <w:pPr>
                              <w:pStyle w:val="TableBodyText"/>
                              <w:spacing w:before="10" w:after="10" w:line="240" w:lineRule="auto"/>
                              <w:ind w:left="144" w:hanging="144"/>
                              <w:rPr>
                                <w:rFonts w:ascii="Calibri" w:hAnsi="Calibri" w:cs="Calibri"/>
                              </w:rPr>
                            </w:pPr>
                            <w:r w:rsidRPr="000277E0">
                              <w:rPr>
                                <w:rFonts w:ascii="Calibri" w:hAnsi="Calibri" w:cs="Calibri"/>
                              </w:rPr>
                              <w:t>Quartz piezo</w:t>
                            </w:r>
                          </w:p>
                          <w:p w14:paraId="30F0D1FC" w14:textId="77777777" w:rsidR="00733E56" w:rsidRPr="000277E0" w:rsidRDefault="00733E56" w:rsidP="000277E0">
                            <w:pPr>
                              <w:pStyle w:val="TableBodyText"/>
                              <w:spacing w:before="10" w:after="10" w:line="240" w:lineRule="auto"/>
                              <w:ind w:left="144" w:hanging="144"/>
                              <w:rPr>
                                <w:rFonts w:ascii="Calibri" w:hAnsi="Calibri" w:cs="Calibri"/>
                              </w:rPr>
                            </w:pPr>
                            <w:r w:rsidRPr="000277E0">
                              <w:rPr>
                                <w:rFonts w:ascii="Calibri" w:hAnsi="Calibri" w:cs="Calibri"/>
                              </w:rPr>
                              <w:t>Strain gauge strip sensor</w:t>
                            </w:r>
                          </w:p>
                          <w:p w14:paraId="21B47542" w14:textId="77777777" w:rsidR="00733E56" w:rsidRPr="000277E0" w:rsidRDefault="00733E56" w:rsidP="000277E0">
                            <w:pPr>
                              <w:pStyle w:val="TableBodyText"/>
                              <w:spacing w:before="10" w:after="10" w:line="240" w:lineRule="auto"/>
                              <w:ind w:left="144" w:hanging="144"/>
                              <w:rPr>
                                <w:rFonts w:ascii="Calibri" w:hAnsi="Calibri" w:cs="Calibri"/>
                              </w:rPr>
                            </w:pPr>
                            <w:r w:rsidRPr="000277E0">
                              <w:rPr>
                                <w:rFonts w:ascii="Calibri" w:hAnsi="Calibri" w:cs="Calibri"/>
                              </w:rPr>
                              <w:t>Fiber optic</w:t>
                            </w:r>
                          </w:p>
                          <w:p w14:paraId="23032E1C" w14:textId="77777777" w:rsidR="00733E56" w:rsidRPr="000277E0" w:rsidRDefault="00733E56" w:rsidP="000277E0">
                            <w:pPr>
                              <w:pStyle w:val="TableBodyText"/>
                              <w:spacing w:before="10" w:after="10" w:line="240" w:lineRule="auto"/>
                              <w:ind w:left="144" w:hanging="144"/>
                              <w:rPr>
                                <w:rFonts w:ascii="Calibri" w:hAnsi="Calibri" w:cs="Calibri"/>
                              </w:rPr>
                            </w:pPr>
                            <w:r w:rsidRPr="000277E0">
                              <w:rPr>
                                <w:rFonts w:ascii="Calibri" w:hAnsi="Calibri" w:cs="Calibri"/>
                              </w:rPr>
                              <w:t>Capacitance mats</w:t>
                            </w:r>
                          </w:p>
                          <w:p w14:paraId="4C0CA670" w14:textId="77777777" w:rsidR="00733E56" w:rsidRPr="000277E0" w:rsidRDefault="00733E56" w:rsidP="000277E0">
                            <w:pPr>
                              <w:pStyle w:val="TableBodyText"/>
                              <w:spacing w:before="10" w:after="10" w:line="240" w:lineRule="auto"/>
                              <w:ind w:left="144" w:hanging="144"/>
                              <w:rPr>
                                <w:rFonts w:ascii="Calibri" w:hAnsi="Calibri" w:cs="Calibri"/>
                              </w:rPr>
                            </w:pPr>
                            <w:r w:rsidRPr="000277E0">
                              <w:rPr>
                                <w:rFonts w:ascii="Calibri" w:hAnsi="Calibri" w:cs="Calibri"/>
                              </w:rPr>
                              <w:t>Bending plates</w:t>
                            </w:r>
                          </w:p>
                          <w:p w14:paraId="1C59EE5B" w14:textId="77777777" w:rsidR="00733E56" w:rsidRPr="000277E0" w:rsidRDefault="00733E56" w:rsidP="000277E0">
                            <w:pPr>
                              <w:pStyle w:val="TableBodyText"/>
                              <w:spacing w:before="10" w:after="10" w:line="240" w:lineRule="auto"/>
                              <w:ind w:left="144" w:hanging="144"/>
                              <w:rPr>
                                <w:rFonts w:ascii="Calibri" w:hAnsi="Calibri" w:cs="Calibri"/>
                              </w:rPr>
                            </w:pPr>
                            <w:r w:rsidRPr="000277E0">
                              <w:rPr>
                                <w:rFonts w:ascii="Calibri" w:hAnsi="Calibri" w:cs="Calibri"/>
                              </w:rPr>
                              <w:t>Load cells</w:t>
                            </w:r>
                          </w:p>
                          <w:p w14:paraId="4119E077" w14:textId="77777777" w:rsidR="00733E56" w:rsidRPr="000277E0" w:rsidRDefault="00733E56" w:rsidP="000277E0">
                            <w:pPr>
                              <w:pStyle w:val="TableBodyText"/>
                              <w:spacing w:before="10" w:after="10" w:line="240" w:lineRule="auto"/>
                              <w:ind w:left="144" w:hanging="144"/>
                              <w:rPr>
                                <w:rFonts w:ascii="Calibri" w:hAnsi="Calibri" w:cs="Calibri"/>
                              </w:rPr>
                            </w:pPr>
                            <w:r w:rsidRPr="000277E0">
                              <w:rPr>
                                <w:rFonts w:ascii="Calibri" w:hAnsi="Calibri" w:cs="Calibri"/>
                              </w:rPr>
                              <w:t>Contact switch closures (e.g., pneumatic tubes)</w:t>
                            </w:r>
                          </w:p>
                          <w:p w14:paraId="18C5130B" w14:textId="77777777" w:rsidR="00733E56" w:rsidRPr="000277E0" w:rsidRDefault="00733E56" w:rsidP="000277E0">
                            <w:pPr>
                              <w:pStyle w:val="TableBodyText"/>
                              <w:spacing w:before="10" w:after="10" w:line="240" w:lineRule="auto"/>
                              <w:ind w:left="144" w:hanging="144"/>
                              <w:rPr>
                                <w:rFonts w:ascii="Calibri" w:hAnsi="Calibri" w:cs="Calibri"/>
                              </w:rPr>
                            </w:pPr>
                            <w:r w:rsidRPr="000277E0">
                              <w:rPr>
                                <w:rFonts w:ascii="Calibri" w:hAnsi="Calibri" w:cs="Calibri"/>
                              </w:rPr>
                              <w:t>Specialized loop signature systems</w:t>
                            </w:r>
                          </w:p>
                          <w:p w14:paraId="672E8DC1" w14:textId="5B78505B" w:rsidR="00733E56" w:rsidRPr="000277E0" w:rsidRDefault="00733E56" w:rsidP="000277E0">
                            <w:pPr>
                              <w:pStyle w:val="TableBodyText"/>
                              <w:spacing w:before="10" w:after="10" w:line="240" w:lineRule="auto"/>
                              <w:ind w:left="144" w:hanging="144"/>
                              <w:rPr>
                                <w:rFonts w:ascii="Calibri" w:hAnsi="Calibri" w:cs="Calibri"/>
                              </w:rPr>
                            </w:pPr>
                            <w:r w:rsidRPr="000277E0">
                              <w:rPr>
                                <w:rFonts w:ascii="Calibri" w:hAnsi="Calibri" w:cs="Calibri"/>
                              </w:rPr>
                              <w:t>Any of the above combined with inductive loops</w:t>
                            </w:r>
                          </w:p>
                        </w:tc>
                        <w:tc>
                          <w:tcPr>
                            <w:tcW w:w="2790" w:type="dxa"/>
                          </w:tcPr>
                          <w:p w14:paraId="386F31B3" w14:textId="77777777" w:rsidR="00733E56" w:rsidRPr="000277E0" w:rsidRDefault="00733E56" w:rsidP="000277E0">
                            <w:pPr>
                              <w:pStyle w:val="TableBodyText"/>
                              <w:spacing w:before="10" w:after="10" w:line="240" w:lineRule="auto"/>
                              <w:ind w:left="144" w:hanging="144"/>
                              <w:rPr>
                                <w:rFonts w:ascii="Calibri" w:hAnsi="Calibri" w:cs="Calibri"/>
                              </w:rPr>
                            </w:pPr>
                            <w:r w:rsidRPr="000277E0">
                              <w:rPr>
                                <w:rFonts w:ascii="Calibri" w:hAnsi="Calibri" w:cs="Calibri"/>
                              </w:rPr>
                              <w:t>Dual inductive loops</w:t>
                            </w:r>
                          </w:p>
                          <w:p w14:paraId="1CD270F4" w14:textId="77777777" w:rsidR="00733E56" w:rsidRPr="000277E0" w:rsidRDefault="00733E56" w:rsidP="000277E0">
                            <w:pPr>
                              <w:pStyle w:val="TableBodyText"/>
                              <w:spacing w:before="10" w:after="10" w:line="240" w:lineRule="auto"/>
                              <w:ind w:left="144" w:hanging="144"/>
                              <w:rPr>
                                <w:rFonts w:ascii="Calibri" w:hAnsi="Calibri" w:cs="Calibri"/>
                              </w:rPr>
                            </w:pPr>
                            <w:r w:rsidRPr="000277E0">
                              <w:rPr>
                                <w:rFonts w:ascii="Calibri" w:hAnsi="Calibri" w:cs="Calibri"/>
                              </w:rPr>
                              <w:t xml:space="preserve">Inductive loops </w:t>
                            </w:r>
                          </w:p>
                          <w:p w14:paraId="5043FAB6" w14:textId="77777777" w:rsidR="00733E56" w:rsidRPr="000277E0" w:rsidRDefault="00733E56" w:rsidP="000277E0">
                            <w:pPr>
                              <w:pStyle w:val="TableBodyText"/>
                              <w:spacing w:before="10" w:after="10" w:line="240" w:lineRule="auto"/>
                              <w:ind w:left="144" w:hanging="144"/>
                              <w:rPr>
                                <w:rFonts w:ascii="Calibri" w:hAnsi="Calibri" w:cs="Calibri"/>
                              </w:rPr>
                            </w:pPr>
                            <w:r w:rsidRPr="000277E0">
                              <w:rPr>
                                <w:rFonts w:ascii="Calibri" w:hAnsi="Calibri" w:cs="Calibri"/>
                              </w:rPr>
                              <w:t>Magnetic (magnetometer)</w:t>
                            </w:r>
                          </w:p>
                          <w:p w14:paraId="5AF5E930" w14:textId="77777777" w:rsidR="00733E56" w:rsidRPr="000277E0" w:rsidRDefault="00733E56" w:rsidP="000277E0">
                            <w:pPr>
                              <w:pStyle w:val="TableBodyText"/>
                              <w:spacing w:before="10" w:after="10" w:line="240" w:lineRule="auto"/>
                              <w:ind w:left="144" w:hanging="144"/>
                              <w:rPr>
                                <w:rFonts w:ascii="Calibri" w:hAnsi="Calibri" w:cs="Calibri"/>
                              </w:rPr>
                            </w:pPr>
                            <w:r w:rsidRPr="000277E0">
                              <w:rPr>
                                <w:rFonts w:ascii="Calibri" w:hAnsi="Calibri" w:cs="Calibri"/>
                              </w:rPr>
                              <w:t>Video detection system</w:t>
                            </w:r>
                          </w:p>
                          <w:p w14:paraId="098DE3BE" w14:textId="26FFC4CF" w:rsidR="00733E56" w:rsidRPr="000277E0" w:rsidRDefault="00733E56" w:rsidP="000277E0">
                            <w:pPr>
                              <w:pStyle w:val="TableBodyText"/>
                              <w:spacing w:before="10" w:after="10" w:line="240" w:lineRule="auto"/>
                              <w:ind w:left="144" w:hanging="144"/>
                              <w:rPr>
                                <w:rFonts w:ascii="Calibri" w:hAnsi="Calibri" w:cs="Calibri"/>
                              </w:rPr>
                            </w:pPr>
                            <w:r w:rsidRPr="000277E0">
                              <w:rPr>
                                <w:rFonts w:ascii="Calibri" w:hAnsi="Calibri" w:cs="Calibri"/>
                              </w:rPr>
                              <w:t xml:space="preserve">Microwave </w:t>
                            </w:r>
                          </w:p>
                        </w:tc>
                      </w:tr>
                    </w:tbl>
                    <w:p w14:paraId="7434E434" w14:textId="77777777" w:rsidR="00733E56" w:rsidRDefault="00733E56" w:rsidP="00733E56"/>
                  </w:txbxContent>
                </v:textbox>
                <w10:wrap type="square" anchorx="margin"/>
              </v:shape>
            </w:pict>
          </mc:Fallback>
        </mc:AlternateContent>
      </w:r>
      <w:r w:rsidR="008822A4" w:rsidRPr="00E05149">
        <w:t>Some vehicle detection technologies count each passing object, where in most cases an object is a vehicle, whether it is a car or multi-unit truck. Others do not detect a vehicle, but instead count the axles of those vehicles or actual sensor actuations. Additional information is then used to convert the axle count data into measures of vehicle volume. In</w:t>
      </w:r>
      <w:r w:rsidR="002921E7">
        <w:t> </w:t>
      </w:r>
      <w:r w:rsidR="008822A4" w:rsidRPr="00E05149">
        <w:t xml:space="preserve">many cases, this extra information comes from a second sensor. But for simple, single sensor, axle-based counters, an adjustment factor (the axle correction factor) is applied against the total axle count to provide an estimate of vehicle volume. </w:t>
      </w:r>
      <w:r w:rsidR="006827F7">
        <w:fldChar w:fldCharType="begin"/>
      </w:r>
      <w:r w:rsidR="006827F7">
        <w:instrText xml:space="preserve"> REF _Ref114749800 \h </w:instrText>
      </w:r>
      <w:r w:rsidR="006827F7">
        <w:fldChar w:fldCharType="separate"/>
      </w:r>
      <w:r w:rsidR="00C07DF9" w:rsidRPr="00E83CA9">
        <w:t xml:space="preserve">Table </w:t>
      </w:r>
      <w:r w:rsidR="00C07DF9">
        <w:rPr>
          <w:noProof/>
        </w:rPr>
        <w:t>2</w:t>
      </w:r>
      <w:r w:rsidR="00C07DF9" w:rsidRPr="00E83CA9">
        <w:noBreakHyphen/>
      </w:r>
      <w:r w:rsidR="00C07DF9">
        <w:rPr>
          <w:noProof/>
        </w:rPr>
        <w:t>6</w:t>
      </w:r>
      <w:r w:rsidR="006827F7">
        <w:fldChar w:fldCharType="end"/>
      </w:r>
      <w:r w:rsidR="008822A4" w:rsidRPr="00E05149">
        <w:t xml:space="preserve"> summarizes which of the currently available traffic monitoring technologies directly count vehicle volumes, and which count axles requiring conversion of those data to vehicle volume estimates. </w:t>
      </w:r>
    </w:p>
    <w:p w14:paraId="39AC99C2" w14:textId="03847A68" w:rsidR="008822A4" w:rsidRPr="00855E7E" w:rsidRDefault="008822A4" w:rsidP="00E05149">
      <w:pPr>
        <w:pStyle w:val="BodyText"/>
      </w:pPr>
      <w:r w:rsidRPr="00855E7E">
        <w:t xml:space="preserve">This table shows the most common application of the technology. In some cases, specific implementations of the technologies are used in different ways. For example, advanced processing of magnetic signatures of the loop sensors </w:t>
      </w:r>
      <w:r w:rsidR="009275D4">
        <w:t>is</w:t>
      </w:r>
      <w:r w:rsidR="009275D4" w:rsidRPr="00855E7E">
        <w:t xml:space="preserve"> </w:t>
      </w:r>
      <w:r w:rsidRPr="00855E7E">
        <w:t>used to count axles very accurately and even classify vehicles. However, most loop installations are not capable of detecting axles.</w:t>
      </w:r>
    </w:p>
    <w:p w14:paraId="2D937F85" w14:textId="49F2EC66" w:rsidR="005656CD" w:rsidRDefault="006827F7" w:rsidP="00A35EAF">
      <w:pPr>
        <w:pStyle w:val="BodyText"/>
      </w:pPr>
      <w:r>
        <w:fldChar w:fldCharType="begin"/>
      </w:r>
      <w:r>
        <w:instrText xml:space="preserve"> REF _Ref114749816 \h </w:instrText>
      </w:r>
      <w:r>
        <w:fldChar w:fldCharType="separate"/>
      </w:r>
      <w:r w:rsidR="00C07DF9" w:rsidRPr="00855E7E">
        <w:t xml:space="preserve">Table </w:t>
      </w:r>
      <w:r w:rsidR="00C07DF9">
        <w:rPr>
          <w:noProof/>
        </w:rPr>
        <w:t>2</w:t>
      </w:r>
      <w:r w:rsidR="00C07DF9">
        <w:noBreakHyphen/>
      </w:r>
      <w:r w:rsidR="00C07DF9">
        <w:rPr>
          <w:noProof/>
        </w:rPr>
        <w:t>7</w:t>
      </w:r>
      <w:r>
        <w:fldChar w:fldCharType="end"/>
      </w:r>
      <w:r w:rsidR="008822A4" w:rsidRPr="00855E7E">
        <w:t xml:space="preserve"> describes which vehicle counting technologies are capable of classifying vehicles. </w:t>
      </w:r>
    </w:p>
    <w:p w14:paraId="2CCAC2DF" w14:textId="77777777" w:rsidR="008822A4" w:rsidRPr="009110F4" w:rsidRDefault="008822A4" w:rsidP="00A35EAF">
      <w:pPr>
        <w:pStyle w:val="BodyText"/>
        <w:rPr>
          <w:rStyle w:val="Strong"/>
          <w:rFonts w:ascii="Cambria" w:hAnsi="Cambria"/>
          <w:sz w:val="22"/>
          <w:szCs w:val="22"/>
        </w:rPr>
      </w:pPr>
      <w:r w:rsidRPr="009110F4">
        <w:rPr>
          <w:rStyle w:val="Strong"/>
          <w:rFonts w:ascii="Cambria" w:hAnsi="Cambria"/>
          <w:sz w:val="22"/>
          <w:szCs w:val="22"/>
        </w:rPr>
        <w:t>Speed</w:t>
      </w:r>
    </w:p>
    <w:p w14:paraId="79A2BF13" w14:textId="77777777" w:rsidR="008822A4" w:rsidRPr="00855E7E" w:rsidRDefault="008822A4" w:rsidP="00A35EAF">
      <w:pPr>
        <w:pStyle w:val="BodyText"/>
      </w:pPr>
      <w:r w:rsidRPr="00855E7E">
        <w:t>Most modern traffic monitoring technologies produce a measure of speed as part of their routine traffic monitoring function. Some technologies are particularly well suited for reporting individual vehicle speeds (that is tracking how fast each specific vehicle is moving), while others are designed to provide average facility speed over a given reporting interval. Although both data represent speed information, the usefulness of those data is very different. Traffic monitoring technologies that provide either axle-based vehicle classification or weigh in motion are also capable of providing vehicle speed data.</w:t>
      </w:r>
    </w:p>
    <w:p w14:paraId="7389227A" w14:textId="77777777" w:rsidR="008822A4" w:rsidRPr="00855E7E" w:rsidRDefault="008822A4" w:rsidP="00A35EAF">
      <w:pPr>
        <w:pStyle w:val="BodyText"/>
      </w:pPr>
      <w:r w:rsidRPr="00855E7E">
        <w:t xml:space="preserve">How the speed data are collected is as much a function of the equipment connected to the sensor as it is of the sensor technology itself. For example, the traditional method for estimating speeds when using a single inductive loop is to measure total sensor on time (lane occupancy) over a set period, along with the total number of vehicle observations during that period. By dividing the lane occupancy by the volume and multiplying by a constant that represents the average vehicle length for that location, average speed for that reporting period is computed and reported. However, more modern electronics often take the same basic single loop signal, and by analyzing that signal, directly calculate vehicle speed from the shape of the loop signature. Another approach to using loop technology is to place two loops in the lane at a known distance apart configured one after the other, thus forming a speed trap. When these loops are properly calibrated, the distance between the leading edge of the two </w:t>
      </w:r>
      <w:r w:rsidRPr="00855E7E">
        <w:lastRenderedPageBreak/>
        <w:t>detectors (</w:t>
      </w:r>
      <w:r w:rsidRPr="00855E7E">
        <w:rPr>
          <w:i/>
          <w:iCs/>
        </w:rPr>
        <w:t>d</w:t>
      </w:r>
      <w:r w:rsidRPr="00855E7E">
        <w:rPr>
          <w:vertAlign w:val="subscript"/>
        </w:rPr>
        <w:t>12</w:t>
      </w:r>
      <w:r w:rsidRPr="00855E7E">
        <w:t>) divided by the difference in time it takes for the passing vehicle to activate the second loop after it activates the first loop (</w:t>
      </w:r>
      <w:r w:rsidRPr="00855E7E">
        <w:rPr>
          <w:i/>
          <w:iCs/>
        </w:rPr>
        <w:t>T</w:t>
      </w:r>
      <w:r w:rsidRPr="00855E7E">
        <w:rPr>
          <w:vertAlign w:val="subscript"/>
        </w:rPr>
        <w:t>2</w:t>
      </w:r>
      <w:r w:rsidRPr="00855E7E">
        <w:t xml:space="preserve"> – </w:t>
      </w:r>
      <w:r w:rsidRPr="00855E7E">
        <w:rPr>
          <w:i/>
          <w:iCs/>
        </w:rPr>
        <w:t>T</w:t>
      </w:r>
      <w:r w:rsidRPr="00855E7E">
        <w:rPr>
          <w:vertAlign w:val="subscript"/>
        </w:rPr>
        <w:t>1</w:t>
      </w:r>
      <w:r w:rsidRPr="00855E7E">
        <w:t>) yields the speed of the vehicle (</w:t>
      </w:r>
      <w:r w:rsidRPr="00855E7E">
        <w:rPr>
          <w:i/>
          <w:iCs/>
        </w:rPr>
        <w:t>d</w:t>
      </w:r>
      <w:r w:rsidRPr="00855E7E">
        <w:rPr>
          <w:vertAlign w:val="subscript"/>
        </w:rPr>
        <w:t xml:space="preserve">12 </w:t>
      </w:r>
      <w:r w:rsidRPr="00855E7E">
        <w:t>/ (</w:t>
      </w:r>
      <w:r w:rsidRPr="00855E7E">
        <w:rPr>
          <w:i/>
          <w:iCs/>
        </w:rPr>
        <w:t>T</w:t>
      </w:r>
      <w:r w:rsidRPr="00855E7E">
        <w:rPr>
          <w:vertAlign w:val="subscript"/>
        </w:rPr>
        <w:t>2</w:t>
      </w:r>
      <w:r w:rsidRPr="00855E7E">
        <w:t> – </w:t>
      </w:r>
      <w:r w:rsidRPr="00855E7E">
        <w:rPr>
          <w:i/>
          <w:iCs/>
        </w:rPr>
        <w:t>T</w:t>
      </w:r>
      <w:r w:rsidRPr="00855E7E">
        <w:rPr>
          <w:vertAlign w:val="subscript"/>
        </w:rPr>
        <w:t>1</w:t>
      </w:r>
      <w:r w:rsidRPr="00855E7E">
        <w:t xml:space="preserve">)). </w:t>
      </w:r>
    </w:p>
    <w:p w14:paraId="6EFC95C8" w14:textId="77777777" w:rsidR="008822A4" w:rsidRPr="00855E7E" w:rsidRDefault="008822A4" w:rsidP="00A35EAF">
      <w:pPr>
        <w:pStyle w:val="BodyText"/>
      </w:pPr>
      <w:r w:rsidRPr="00855E7E">
        <w:t xml:space="preserve">Speed data are collected by axle detectors using the same timing principal as described for inductive loops, based on the known distance between the axle sensors and the amount of time between the activation of the first axle sensor and the activation of the second axle sensor by a particular axle. Axle spacing is computed by multiplying the calculated speed by the time between hits for a particular axle on the first and second axle sensors. Therefore, since both speed and axle spacing measurements are related, if the detector is measuring axle spacings accurately, it is also measuring speed accurately. </w:t>
      </w:r>
      <w:r w:rsidRPr="00855E7E">
        <w:rPr>
          <w:rFonts w:ascii="Calibri Light" w:hAnsi="Calibri Light" w:cs="Calibri Light"/>
        </w:rPr>
        <w:t>I</w:t>
      </w:r>
      <w:r w:rsidRPr="00855E7E">
        <w:t xml:space="preserve">f a true axle spacing is known (e.g., obtained by manual measurement), the known true axle spacing value can be compared with the value estimated by the detector. The error in the axle spacing could be used to flag the error in speed measurement as well. </w:t>
      </w:r>
    </w:p>
    <w:p w14:paraId="6B0B1669" w14:textId="795A8D7F" w:rsidR="008822A4" w:rsidRPr="00855E7E" w:rsidRDefault="005656CD" w:rsidP="00A35EAF">
      <w:pPr>
        <w:pStyle w:val="BodyText"/>
      </w:pPr>
      <w:r>
        <w:rPr>
          <w:noProof/>
        </w:rPr>
        <mc:AlternateContent>
          <mc:Choice Requires="wps">
            <w:drawing>
              <wp:anchor distT="45720" distB="45720" distL="114300" distR="114300" simplePos="0" relativeHeight="251699200" behindDoc="0" locked="0" layoutInCell="1" allowOverlap="1" wp14:anchorId="125E23D1" wp14:editId="302C8B1B">
                <wp:simplePos x="0" y="0"/>
                <wp:positionH relativeFrom="margin">
                  <wp:posOffset>224155</wp:posOffset>
                </wp:positionH>
                <wp:positionV relativeFrom="paragraph">
                  <wp:posOffset>1016635</wp:posOffset>
                </wp:positionV>
                <wp:extent cx="5474335" cy="3291840"/>
                <wp:effectExtent l="0" t="0" r="0" b="3810"/>
                <wp:wrapSquare wrapText="bothSides"/>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4335" cy="3291840"/>
                        </a:xfrm>
                        <a:prstGeom prst="rect">
                          <a:avLst/>
                        </a:prstGeom>
                        <a:solidFill>
                          <a:srgbClr val="FFFFFF"/>
                        </a:solidFill>
                        <a:ln w="9525">
                          <a:noFill/>
                          <a:miter lim="800000"/>
                          <a:headEnd/>
                          <a:tailEnd/>
                        </a:ln>
                      </wps:spPr>
                      <wps:txbx>
                        <w:txbxContent>
                          <w:p w14:paraId="26BC9ACC" w14:textId="77777777" w:rsidR="005656CD" w:rsidRPr="00855E7E" w:rsidRDefault="005656CD" w:rsidP="005656CD">
                            <w:pPr>
                              <w:jc w:val="center"/>
                              <w:rPr>
                                <w:color w:val="auto"/>
                              </w:rPr>
                            </w:pPr>
                            <w:r w:rsidRPr="00855E7E">
                              <w:rPr>
                                <w:noProof/>
                                <w:color w:val="auto"/>
                              </w:rPr>
                              <w:drawing>
                                <wp:inline distT="0" distB="0" distL="0" distR="0" wp14:anchorId="5D1391FD" wp14:editId="788817AD">
                                  <wp:extent cx="5407510" cy="2666616"/>
                                  <wp:effectExtent l="0" t="0" r="3175" b="635"/>
                                  <wp:docPr id="35862" name="Picture 35862" descr="Figure shows a dual axis graph (monthly average speed in mph and monthly average tandem tractor spacing in feet) with the left axis values of monthly average speed for the square box line plot with the out of calibration results from September 2015 through August 2016 with lower than average values (out of calibration range below 51 mph).  Within value values were reported from September 2016 through April 2018.  The right axis with the triangle plot line shows the average tractor axis tandem spacing being low at below 4.1 feet from September 2015 through August 2016 and then the correct values reported within range from September 2016 through April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62" name="Picture 35862" descr="Figure shows a dual axis graph (monthly average speed in mph and monthly average tandem tractor spacing in feet) with the left axis values of monthly average speed for the square box line plot with the out of calibration results from September 2015 through August 2016 with lower than average values (out of calibration range below 51 mph).  Within value values were reported from September 2016 through April 2018.  The right axis with the triangle plot line shows the average tractor axis tandem spacing being low at below 4.1 feet from September 2015 through August 2016 and then the correct values reported within range from September 2016 through April 201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08741" cy="2667223"/>
                                          </a:xfrm>
                                          <a:prstGeom prst="rect">
                                            <a:avLst/>
                                          </a:prstGeom>
                                          <a:noFill/>
                                        </pic:spPr>
                                      </pic:pic>
                                    </a:graphicData>
                                  </a:graphic>
                                </wp:inline>
                              </w:drawing>
                            </w:r>
                          </w:p>
                          <w:p w14:paraId="2C8B4440" w14:textId="77777777" w:rsidR="005656CD" w:rsidRDefault="005656CD" w:rsidP="005656CD">
                            <w:pPr>
                              <w:pStyle w:val="Source"/>
                              <w:ind w:left="603"/>
                            </w:pPr>
                            <w:r w:rsidRPr="005077F6">
                              <w:t>Source: Olga Selezneva, ARA Inc.</w:t>
                            </w:r>
                          </w:p>
                          <w:p w14:paraId="75C6114E" w14:textId="3238EC5F" w:rsidR="005656CD" w:rsidRPr="005656CD" w:rsidRDefault="005656CD" w:rsidP="005656CD">
                            <w:pPr>
                              <w:pStyle w:val="TMGFigureCaption"/>
                            </w:pPr>
                            <w:bookmarkStart w:id="739" w:name="_Ref114752023"/>
                            <w:bookmarkStart w:id="740" w:name="_Toc63428098"/>
                            <w:bookmarkStart w:id="741" w:name="_Toc114474781"/>
                            <w:bookmarkStart w:id="742" w:name="_Toc120626556"/>
                            <w:r w:rsidRPr="005656CD">
                              <w:t xml:space="preserve">Figure </w:t>
                            </w:r>
                            <w:fldSimple w:instr=" STYLEREF 1 \s ">
                              <w:r w:rsidR="00FC0E95">
                                <w:rPr>
                                  <w:noProof/>
                                </w:rPr>
                                <w:t>2</w:t>
                              </w:r>
                            </w:fldSimple>
                            <w:r w:rsidRPr="005656CD">
                              <w:noBreakHyphen/>
                            </w:r>
                            <w:fldSimple w:instr=" SEQ Figure \* ARABIC \s 1 ">
                              <w:r w:rsidR="00FC0E95">
                                <w:rPr>
                                  <w:noProof/>
                                </w:rPr>
                                <w:t>3</w:t>
                              </w:r>
                            </w:fldSimple>
                            <w:bookmarkEnd w:id="739"/>
                            <w:r w:rsidR="00E26EBD">
                              <w:t>.</w:t>
                            </w:r>
                            <w:r w:rsidRPr="005656CD">
                              <w:t xml:space="preserve"> Example of </w:t>
                            </w:r>
                            <w:r w:rsidR="003519FA">
                              <w:t>S</w:t>
                            </w:r>
                            <w:r w:rsidRPr="005656CD">
                              <w:t xml:space="preserve">peed and </w:t>
                            </w:r>
                            <w:r w:rsidR="003519FA">
                              <w:t>A</w:t>
                            </w:r>
                            <w:r w:rsidRPr="005656CD">
                              <w:t xml:space="preserve">xle </w:t>
                            </w:r>
                            <w:r w:rsidR="003519FA">
                              <w:t>S</w:t>
                            </w:r>
                            <w:r w:rsidRPr="005656CD">
                              <w:t xml:space="preserve">pacing </w:t>
                            </w:r>
                            <w:r w:rsidR="003519FA">
                              <w:t>M</w:t>
                            </w:r>
                            <w:r w:rsidRPr="005656CD">
                              <w:t xml:space="preserve">onthly </w:t>
                            </w:r>
                            <w:r w:rsidR="003519FA">
                              <w:t>T</w:t>
                            </w:r>
                            <w:r w:rsidRPr="005656CD">
                              <w:t xml:space="preserve">rend </w:t>
                            </w:r>
                            <w:r w:rsidR="003519FA">
                              <w:t>A</w:t>
                            </w:r>
                            <w:r w:rsidRPr="005656CD">
                              <w:t>nalysis</w:t>
                            </w:r>
                            <w:bookmarkEnd w:id="740"/>
                            <w:bookmarkEnd w:id="741"/>
                            <w:bookmarkEnd w:id="742"/>
                          </w:p>
                          <w:p w14:paraId="4A92D72B" w14:textId="77777777" w:rsidR="005656CD" w:rsidRPr="00E83CA9" w:rsidRDefault="005656CD" w:rsidP="005656CD">
                            <w:pPr>
                              <w:keepNext/>
                              <w:spacing w:before="240" w:after="60"/>
                              <w:jc w:val="center"/>
                              <w:rPr>
                                <w:b/>
                                <w:bCs/>
                              </w:rPr>
                            </w:pPr>
                          </w:p>
                          <w:p w14:paraId="7E5573F2" w14:textId="77777777" w:rsidR="005656CD" w:rsidRDefault="005656CD" w:rsidP="005656CD"/>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25E23D1" id="_x0000_s1030" type="#_x0000_t202" style="position:absolute;margin-left:17.65pt;margin-top:80.05pt;width:431.05pt;height:259.2pt;z-index:251699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" stroked="f">
                <v:textbox inset="0,0,0,0">
                  <w:txbxContent>
                    <w:p w14:paraId="26BC9ACC" w14:textId="77777777" w:rsidR="005656CD" w:rsidRPr="00855E7E" w:rsidRDefault="005656CD" w:rsidP="005656CD">
                      <w:pPr>
                        <w:jc w:val="center"/>
                        <w:rPr>
                          <w:color w:val="auto"/>
                        </w:rPr>
                      </w:pPr>
                      <w:r w:rsidRPr="00855E7E">
                        <w:rPr>
                          <w:noProof/>
                          <w:color w:val="auto"/>
                        </w:rPr>
                        <w:drawing>
                          <wp:inline distT="0" distB="0" distL="0" distR="0" wp14:anchorId="5D1391FD" wp14:editId="788817AD">
                            <wp:extent cx="5407510" cy="2666616"/>
                            <wp:effectExtent l="0" t="0" r="3175" b="635"/>
                            <wp:docPr id="35862" name="Picture 35862" descr="Figure shows a dual axis graph (monthly average speed in mph and monthly average tandem tractor spacing in feet) with the left axis values of monthly average speed for the square box line plot with the out of calibration results from September 2015 through August 2016 with lower than average values (out of calibration range below 51 mph).  Within value values were reported from September 2016 through April 2018.  The right axis with the triangle plot line shows the average tractor axis tandem spacing being low at below 4.1 feet from September 2015 through August 2016 and then the correct values reported within range from September 2016 through April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62" name="Picture 35862" descr="Figure shows a dual axis graph (monthly average speed in mph and monthly average tandem tractor spacing in feet) with the left axis values of monthly average speed for the square box line plot with the out of calibration results from September 2015 through August 2016 with lower than average values (out of calibration range below 51 mph).  Within value values were reported from September 2016 through April 2018.  The right axis with the triangle plot line shows the average tractor axis tandem spacing being low at below 4.1 feet from September 2015 through August 2016 and then the correct values reported within range from September 2016 through April 201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08741" cy="2667223"/>
                                    </a:xfrm>
                                    <a:prstGeom prst="rect">
                                      <a:avLst/>
                                    </a:prstGeom>
                                    <a:noFill/>
                                  </pic:spPr>
                                </pic:pic>
                              </a:graphicData>
                            </a:graphic>
                          </wp:inline>
                        </w:drawing>
                      </w:r>
                    </w:p>
                    <w:p w14:paraId="2C8B4440" w14:textId="77777777" w:rsidR="005656CD" w:rsidRDefault="005656CD" w:rsidP="005656CD">
                      <w:pPr>
                        <w:pStyle w:val="Source"/>
                        <w:ind w:left="603"/>
                      </w:pPr>
                      <w:r w:rsidRPr="005077F6">
                        <w:t>Source: Olga Selezneva, ARA Inc.</w:t>
                      </w:r>
                    </w:p>
                    <w:p w14:paraId="75C6114E" w14:textId="3238EC5F" w:rsidR="005656CD" w:rsidRPr="005656CD" w:rsidRDefault="005656CD" w:rsidP="005656CD">
                      <w:pPr>
                        <w:pStyle w:val="TMGFigureCaption"/>
                      </w:pPr>
                      <w:bookmarkStart w:id="743" w:name="_Ref114752023"/>
                      <w:bookmarkStart w:id="744" w:name="_Toc63428098"/>
                      <w:bookmarkStart w:id="745" w:name="_Toc114474781"/>
                      <w:bookmarkStart w:id="746" w:name="_Toc120626556"/>
                      <w:r w:rsidRPr="005656CD">
                        <w:t xml:space="preserve">Figure </w:t>
                      </w:r>
                      <w:fldSimple w:instr=" STYLEREF 1 \s ">
                        <w:r w:rsidR="00FC0E95">
                          <w:rPr>
                            <w:noProof/>
                          </w:rPr>
                          <w:t>2</w:t>
                        </w:r>
                      </w:fldSimple>
                      <w:r w:rsidRPr="005656CD">
                        <w:noBreakHyphen/>
                      </w:r>
                      <w:fldSimple w:instr=" SEQ Figure \* ARABIC \s 1 ">
                        <w:r w:rsidR="00FC0E95">
                          <w:rPr>
                            <w:noProof/>
                          </w:rPr>
                          <w:t>3</w:t>
                        </w:r>
                      </w:fldSimple>
                      <w:bookmarkEnd w:id="743"/>
                      <w:r w:rsidR="00E26EBD">
                        <w:t>.</w:t>
                      </w:r>
                      <w:r w:rsidRPr="005656CD">
                        <w:t xml:space="preserve"> Example of </w:t>
                      </w:r>
                      <w:r w:rsidR="003519FA">
                        <w:t>S</w:t>
                      </w:r>
                      <w:r w:rsidRPr="005656CD">
                        <w:t xml:space="preserve">peed and </w:t>
                      </w:r>
                      <w:r w:rsidR="003519FA">
                        <w:t>A</w:t>
                      </w:r>
                      <w:r w:rsidRPr="005656CD">
                        <w:t xml:space="preserve">xle </w:t>
                      </w:r>
                      <w:r w:rsidR="003519FA">
                        <w:t>S</w:t>
                      </w:r>
                      <w:r w:rsidRPr="005656CD">
                        <w:t xml:space="preserve">pacing </w:t>
                      </w:r>
                      <w:r w:rsidR="003519FA">
                        <w:t>M</w:t>
                      </w:r>
                      <w:r w:rsidRPr="005656CD">
                        <w:t xml:space="preserve">onthly </w:t>
                      </w:r>
                      <w:r w:rsidR="003519FA">
                        <w:t>T</w:t>
                      </w:r>
                      <w:r w:rsidRPr="005656CD">
                        <w:t xml:space="preserve">rend </w:t>
                      </w:r>
                      <w:r w:rsidR="003519FA">
                        <w:t>A</w:t>
                      </w:r>
                      <w:r w:rsidRPr="005656CD">
                        <w:t>nalysis</w:t>
                      </w:r>
                      <w:bookmarkEnd w:id="744"/>
                      <w:bookmarkEnd w:id="745"/>
                      <w:bookmarkEnd w:id="746"/>
                    </w:p>
                    <w:p w14:paraId="4A92D72B" w14:textId="77777777" w:rsidR="005656CD" w:rsidRPr="00E83CA9" w:rsidRDefault="005656CD" w:rsidP="005656CD">
                      <w:pPr>
                        <w:keepNext/>
                        <w:spacing w:before="240" w:after="60"/>
                        <w:jc w:val="center"/>
                        <w:rPr>
                          <w:b/>
                          <w:bCs/>
                        </w:rPr>
                      </w:pPr>
                    </w:p>
                    <w:p w14:paraId="7E5573F2" w14:textId="77777777" w:rsidR="005656CD" w:rsidRDefault="005656CD" w:rsidP="005656CD"/>
                  </w:txbxContent>
                </v:textbox>
                <w10:wrap type="square" anchorx="margin"/>
              </v:shape>
            </w:pict>
          </mc:Fallback>
        </mc:AlternateContent>
      </w:r>
      <w:r w:rsidR="00E26EBD">
        <w:fldChar w:fldCharType="begin"/>
      </w:r>
      <w:r w:rsidR="00E26EBD">
        <w:instrText xml:space="preserve"> REF _Ref114752023 \h </w:instrText>
      </w:r>
      <w:r w:rsidR="00E26EBD">
        <w:fldChar w:fldCharType="separate"/>
      </w:r>
      <w:r w:rsidR="00C07DF9" w:rsidRPr="005656CD">
        <w:t xml:space="preserve">Figure </w:t>
      </w:r>
      <w:r w:rsidR="00C07DF9">
        <w:rPr>
          <w:noProof/>
        </w:rPr>
        <w:t>2</w:t>
      </w:r>
      <w:r w:rsidR="00C07DF9" w:rsidRPr="005656CD">
        <w:noBreakHyphen/>
      </w:r>
      <w:r w:rsidR="00C07DF9">
        <w:rPr>
          <w:noProof/>
        </w:rPr>
        <w:t>3</w:t>
      </w:r>
      <w:r w:rsidR="00E26EBD">
        <w:fldChar w:fldCharType="end"/>
      </w:r>
      <w:r w:rsidR="0047629D">
        <w:t xml:space="preserve"> </w:t>
      </w:r>
      <w:r w:rsidR="008822A4" w:rsidRPr="00855E7E">
        <w:t>demonstrates how changes in speed and axle spacing can be used to identify the need for equipment calibration. Dashed horizontal lines show low and upper boundaries for a typical average tractor-tandem axle spacing for class 9 vehicles (i.e., spacing between 2</w:t>
      </w:r>
      <w:r w:rsidR="008822A4" w:rsidRPr="00855E7E">
        <w:rPr>
          <w:vertAlign w:val="superscript"/>
        </w:rPr>
        <w:t>nd</w:t>
      </w:r>
      <w:r w:rsidR="008822A4" w:rsidRPr="00855E7E">
        <w:t xml:space="preserve"> and 3</w:t>
      </w:r>
      <w:r w:rsidR="008822A4" w:rsidRPr="00855E7E">
        <w:rPr>
          <w:vertAlign w:val="superscript"/>
        </w:rPr>
        <w:t>rd</w:t>
      </w:r>
      <w:r w:rsidR="008822A4" w:rsidRPr="00855E7E">
        <w:t xml:space="preserve"> axles). Data points outside these boundaries signal that axle spacing measurements are out of calibration. The example shows that both the average monthly tractor-tandem axle spacing and the average monthly speed in are low in year 2015 and the first part of 2016, as compared to later months.</w:t>
      </w:r>
    </w:p>
    <w:p w14:paraId="05F7F66E" w14:textId="742B0318" w:rsidR="008822A4" w:rsidRPr="00855E7E" w:rsidRDefault="008822A4" w:rsidP="00A35EAF">
      <w:pPr>
        <w:pStyle w:val="BodyText"/>
      </w:pPr>
      <w:r w:rsidRPr="00855E7E">
        <w:t xml:space="preserve">The key to collecting speed data is that the agency needs to understand both what use they need from the data, and the capabilities of their available equipment. </w:t>
      </w:r>
    </w:p>
    <w:p w14:paraId="14B5978E" w14:textId="4794B025" w:rsidR="008822A4" w:rsidRPr="00855E7E" w:rsidRDefault="008822A4" w:rsidP="00A35EAF">
      <w:pPr>
        <w:pStyle w:val="BodyText"/>
      </w:pPr>
      <w:r w:rsidRPr="00855E7E">
        <w:t>Speed data are also be</w:t>
      </w:r>
      <w:r>
        <w:t>ing</w:t>
      </w:r>
      <w:r w:rsidRPr="00855E7E">
        <w:t xml:space="preserve"> obtained from other sources. One such source is vehicle probe data. Data collected from vehicle probes, within the overall roadway performance-monitoring program of an agency, should be loaded into the overall traffic monitoring database using the FHWA speed format. The FHWA speed format provides flexibility with a minimum of 15 speed bins to a maximum of 25 speed bins (all in 5 mph increments).</w:t>
      </w:r>
    </w:p>
    <w:p w14:paraId="1583E1E7" w14:textId="65148830" w:rsidR="008822A4" w:rsidRPr="009110F4" w:rsidRDefault="008822A4" w:rsidP="00A35EAF">
      <w:pPr>
        <w:pStyle w:val="BodyText"/>
        <w:rPr>
          <w:rStyle w:val="Strong"/>
          <w:rFonts w:ascii="Cambria" w:hAnsi="Cambria"/>
          <w:sz w:val="22"/>
          <w:szCs w:val="22"/>
        </w:rPr>
      </w:pPr>
      <w:r w:rsidRPr="009110F4">
        <w:rPr>
          <w:rStyle w:val="Strong"/>
          <w:rFonts w:ascii="Cambria" w:hAnsi="Cambria"/>
          <w:sz w:val="22"/>
          <w:szCs w:val="22"/>
        </w:rPr>
        <w:t>Axle and Gross Vehicle Weight</w:t>
      </w:r>
    </w:p>
    <w:p w14:paraId="7F7E210C" w14:textId="5FB9748C" w:rsidR="008822A4" w:rsidRPr="00855E7E" w:rsidRDefault="008822A4" w:rsidP="00A35EAF">
      <w:pPr>
        <w:pStyle w:val="BodyText"/>
      </w:pPr>
      <w:r w:rsidRPr="00855E7E">
        <w:t>A specific subset of traffic monitoring devices is capable of weighing vehicles while they travel down the road. These devices are commonly referred to as weigh-in-motion (WIM) scales. The sensors used are designed to not only detect the presence of an axle, but to measure the force being applied by that axle during the duration of the time the axle is in contact with the axle sensor. Sophisticated analysis is then applied to the signal produced by each sensor to estimate the static weight of each passing axle. Weights for all axles associated with a given vehicle are then combined to estimate the gross vehicle weight (GVW). Axle spacing</w:t>
      </w:r>
      <w:r w:rsidR="002E7A74">
        <w:t>s</w:t>
      </w:r>
      <w:r w:rsidRPr="00855E7E">
        <w:t xml:space="preserve"> are also recorded.</w:t>
      </w:r>
    </w:p>
    <w:p w14:paraId="24C6CA2A" w14:textId="68B91A44" w:rsidR="008822A4" w:rsidRPr="00855E7E" w:rsidRDefault="008822A4" w:rsidP="00A119E0">
      <w:pPr>
        <w:pStyle w:val="CallOut"/>
      </w:pPr>
      <w:r w:rsidRPr="00855E7E">
        <w:lastRenderedPageBreak/>
        <w:t>GVW is gross vehicle weight</w:t>
      </w:r>
      <w:r>
        <w:t>. This value is reported by</w:t>
      </w:r>
      <w:r w:rsidRPr="00855E7E">
        <w:t xml:space="preserve"> the WIM devices </w:t>
      </w:r>
      <w:r>
        <w:t>as</w:t>
      </w:r>
      <w:r w:rsidRPr="00855E7E">
        <w:t xml:space="preserve"> part of the traffic monitoring program</w:t>
      </w:r>
      <w:r>
        <w:t>.</w:t>
      </w:r>
      <w:r w:rsidRPr="00855E7E">
        <w:t xml:space="preserve"> GVWR is gross vehicle rate</w:t>
      </w:r>
      <w:r>
        <w:t>. It</w:t>
      </w:r>
      <w:r w:rsidRPr="00855E7E">
        <w:t xml:space="preserve"> is the maximum rating a vehicle can have for it</w:t>
      </w:r>
      <w:r>
        <w:t>s</w:t>
      </w:r>
      <w:r w:rsidRPr="00855E7E">
        <w:t xml:space="preserve"> gross weight.</w:t>
      </w:r>
      <w:r w:rsidR="004D4172">
        <w:t xml:space="preserve"> </w:t>
      </w:r>
      <w:r w:rsidRPr="00855E7E">
        <w:t>WIM devices do not provide the GVWR values.</w:t>
      </w:r>
    </w:p>
    <w:p w14:paraId="79466A06" w14:textId="203182C3" w:rsidR="008822A4" w:rsidRPr="003636F5" w:rsidRDefault="008822A4" w:rsidP="00A35EAF">
      <w:pPr>
        <w:pStyle w:val="BodyText"/>
      </w:pPr>
      <w:r w:rsidRPr="003636F5">
        <w:t xml:space="preserve">The WIM technologies used in the U.S. include piezo-electric (polymer piezo and quartz piezo), bending plates, fiber optic cables, load cells (both hydraulic and mechanical), capacitance mats, and strain gauge strips. Bridges and culverts instrumented with strain gauges are also being used as weight sensors. </w:t>
      </w:r>
    </w:p>
    <w:p w14:paraId="1D5E4DEF" w14:textId="26724770" w:rsidR="008822A4" w:rsidRPr="003636F5" w:rsidRDefault="008822A4" w:rsidP="00A35EAF">
      <w:pPr>
        <w:pStyle w:val="BodyText"/>
      </w:pPr>
      <w:r w:rsidRPr="003636F5">
        <w:t>In almost all cases, secondary sensors (e.g., inductive loop detectors) are used in combination with the primary axle and weight sensors to provide information on presence and vehicle length. Combining vehicle speed and presence information with the time between axle weight measurements allows the WIM system to correctly assign specific axles to specific vehicles and to group the axles correctly (that is to determine if the observed axles are single axles, tandem axles, tridems, quads, pentads or even larger groups of axles), and thus correctly classify each vehicle and compute its total weight. It is important to note that WIM measures the dynamic axle weights, and these are different from static axle weights; therefore, an adjustment algorithm is used by the WIM system to produce an estimate of static weight.</w:t>
      </w:r>
    </w:p>
    <w:p w14:paraId="45E09713" w14:textId="5CC04325" w:rsidR="008822A4" w:rsidRPr="009110F4" w:rsidRDefault="008822A4" w:rsidP="00A35EAF">
      <w:pPr>
        <w:pStyle w:val="BodyText"/>
        <w:rPr>
          <w:rStyle w:val="Strong"/>
          <w:rFonts w:ascii="Cambria" w:hAnsi="Cambria"/>
          <w:sz w:val="22"/>
          <w:szCs w:val="22"/>
        </w:rPr>
      </w:pPr>
      <w:r w:rsidRPr="009110F4">
        <w:rPr>
          <w:rStyle w:val="Strong"/>
          <w:rFonts w:ascii="Cambria" w:hAnsi="Cambria"/>
          <w:sz w:val="22"/>
          <w:szCs w:val="22"/>
        </w:rPr>
        <w:t>Motorcycle Counting</w:t>
      </w:r>
    </w:p>
    <w:p w14:paraId="54109828" w14:textId="77777777" w:rsidR="008822A4" w:rsidRPr="00855E7E" w:rsidRDefault="008822A4" w:rsidP="00A35EAF">
      <w:pPr>
        <w:pStyle w:val="BodyText"/>
      </w:pPr>
      <w:r w:rsidRPr="00855E7E">
        <w:t xml:space="preserve">The relatively small amount of metal in many motorcycles combined with the fact that many motorcyclists ride near lane lines to give themselves more time to avoid cars moving into their lanes means that inductive loop detectors and half lane axle sensors often undercount motorcycles. When motorcycles ride in closely spaced groups, the closely spaced axles and cycles often confuse available traffic monitoring equipment, which have not been designed to identify the resulting pattern of closely spaced axles and vehicles. </w:t>
      </w:r>
    </w:p>
    <w:p w14:paraId="1BAA11B9" w14:textId="4E314B61" w:rsidR="008822A4" w:rsidRPr="00855E7E" w:rsidRDefault="00BB1AC7" w:rsidP="003B0722">
      <w:pPr>
        <w:pStyle w:val="BodyText"/>
      </w:pPr>
      <w:r>
        <w:t>Four</w:t>
      </w:r>
      <w:r w:rsidRPr="00855E7E">
        <w:t xml:space="preserve"> </w:t>
      </w:r>
      <w:r w:rsidR="008822A4" w:rsidRPr="00855E7E">
        <w:t xml:space="preserve">aspects of </w:t>
      </w:r>
      <w:r w:rsidR="008822A4" w:rsidRPr="003B0722">
        <w:t>traffic</w:t>
      </w:r>
      <w:r w:rsidR="008822A4" w:rsidRPr="00855E7E">
        <w:t xml:space="preserve"> counting </w:t>
      </w:r>
      <w:r>
        <w:t xml:space="preserve">can be </w:t>
      </w:r>
      <w:r w:rsidR="008822A4" w:rsidRPr="00855E7E">
        <w:t>changed to improve accuracy of counting motorcycles:</w:t>
      </w:r>
    </w:p>
    <w:p w14:paraId="66769BDB" w14:textId="77777777" w:rsidR="008822A4" w:rsidRPr="00855E7E" w:rsidRDefault="008822A4" w:rsidP="00BC5AFC">
      <w:pPr>
        <w:spacing w:after="120"/>
        <w:ind w:left="648" w:hanging="360"/>
        <w:contextualSpacing/>
        <w:rPr>
          <w:color w:val="auto"/>
        </w:rPr>
      </w:pPr>
      <w:r w:rsidRPr="00855E7E">
        <w:rPr>
          <w:color w:val="auto"/>
        </w:rPr>
        <w:t>1.</w:t>
      </w:r>
      <w:r w:rsidRPr="00855E7E">
        <w:rPr>
          <w:color w:val="auto"/>
        </w:rPr>
        <w:tab/>
        <w:t>Use of full lane width axle sensors</w:t>
      </w:r>
    </w:p>
    <w:p w14:paraId="6F45FC7E" w14:textId="77777777" w:rsidR="008822A4" w:rsidRPr="00855E7E" w:rsidRDefault="008822A4" w:rsidP="00BC5AFC">
      <w:pPr>
        <w:spacing w:after="120"/>
        <w:ind w:left="648" w:hanging="360"/>
        <w:contextualSpacing/>
        <w:rPr>
          <w:color w:val="auto"/>
        </w:rPr>
      </w:pPr>
      <w:r w:rsidRPr="00855E7E">
        <w:rPr>
          <w:color w:val="auto"/>
        </w:rPr>
        <w:t>2.</w:t>
      </w:r>
      <w:r w:rsidRPr="00855E7E">
        <w:rPr>
          <w:color w:val="auto"/>
        </w:rPr>
        <w:tab/>
        <w:t>Use of wide loops of (8-foot-wide) in the lane for motorcycle counting</w:t>
      </w:r>
    </w:p>
    <w:p w14:paraId="6AF4691A" w14:textId="542597E3" w:rsidR="008822A4" w:rsidRPr="00855E7E" w:rsidRDefault="008822A4" w:rsidP="00BC5AFC">
      <w:pPr>
        <w:spacing w:after="120"/>
        <w:ind w:left="648" w:hanging="360"/>
        <w:contextualSpacing/>
        <w:rPr>
          <w:color w:val="auto"/>
        </w:rPr>
      </w:pPr>
      <w:r w:rsidRPr="00855E7E">
        <w:rPr>
          <w:color w:val="auto"/>
        </w:rPr>
        <w:t>3.</w:t>
      </w:r>
      <w:r w:rsidRPr="00855E7E">
        <w:rPr>
          <w:color w:val="auto"/>
        </w:rPr>
        <w:tab/>
      </w:r>
      <w:bookmarkStart w:id="743" w:name="_Hlk52451626"/>
      <w:r w:rsidRPr="00855E7E">
        <w:rPr>
          <w:color w:val="auto"/>
        </w:rPr>
        <w:t xml:space="preserve">Counting by wheel </w:t>
      </w:r>
      <w:r w:rsidRPr="00EA78FE">
        <w:rPr>
          <w:color w:val="auto"/>
        </w:rPr>
        <w:t xml:space="preserve">path (see Montana </w:t>
      </w:r>
      <w:r w:rsidR="00BB1AC7">
        <w:rPr>
          <w:color w:val="auto"/>
        </w:rPr>
        <w:t>e</w:t>
      </w:r>
      <w:r w:rsidRPr="00EA78FE">
        <w:rPr>
          <w:color w:val="auto"/>
        </w:rPr>
        <w:t xml:space="preserve">xample </w:t>
      </w:r>
      <w:r w:rsidR="00BB1AC7">
        <w:rPr>
          <w:color w:val="auto"/>
        </w:rPr>
        <w:t xml:space="preserve">in </w:t>
      </w:r>
      <w:r w:rsidRPr="00EA78FE">
        <w:rPr>
          <w:color w:val="auto"/>
        </w:rPr>
        <w:t>Appendix</w:t>
      </w:r>
      <w:r w:rsidR="00BB1AC7">
        <w:rPr>
          <w:color w:val="auto"/>
        </w:rPr>
        <w:t xml:space="preserve"> I</w:t>
      </w:r>
      <w:r w:rsidRPr="00EA78FE">
        <w:rPr>
          <w:color w:val="auto"/>
        </w:rPr>
        <w:t xml:space="preserve">) </w:t>
      </w:r>
      <w:bookmarkEnd w:id="743"/>
    </w:p>
    <w:p w14:paraId="3D710A0C" w14:textId="77777777" w:rsidR="008822A4" w:rsidRPr="00855E7E" w:rsidRDefault="008822A4" w:rsidP="00BC5AFC">
      <w:pPr>
        <w:spacing w:after="120"/>
        <w:ind w:left="648" w:hanging="360"/>
        <w:contextualSpacing/>
        <w:rPr>
          <w:color w:val="auto"/>
        </w:rPr>
      </w:pPr>
      <w:r w:rsidRPr="00855E7E">
        <w:rPr>
          <w:color w:val="auto"/>
        </w:rPr>
        <w:t>4.</w:t>
      </w:r>
      <w:r w:rsidRPr="00855E7E">
        <w:rPr>
          <w:color w:val="auto"/>
        </w:rPr>
        <w:tab/>
        <w:t>Video Detection (might be limited to detection during daytime only)</w:t>
      </w:r>
    </w:p>
    <w:p w14:paraId="461C07F5" w14:textId="77777777" w:rsidR="008822A4" w:rsidRPr="00855E7E" w:rsidRDefault="008822A4" w:rsidP="00A119E0">
      <w:pPr>
        <w:pStyle w:val="CallOut"/>
      </w:pPr>
      <w:r w:rsidRPr="00855E7E">
        <w:t>To improve accuracy of counting motorcycles, use full lane width axle sensors and 8-foot-wide loops.</w:t>
      </w:r>
    </w:p>
    <w:p w14:paraId="4AEC5F79" w14:textId="75E97A00" w:rsidR="008822A4" w:rsidRPr="009110F4" w:rsidRDefault="008822A4" w:rsidP="00201910">
      <w:pPr>
        <w:pStyle w:val="BodyText"/>
        <w:spacing w:before="120"/>
        <w:rPr>
          <w:rStyle w:val="Strong"/>
          <w:rFonts w:ascii="Cambria" w:hAnsi="Cambria"/>
          <w:sz w:val="22"/>
          <w:szCs w:val="22"/>
        </w:rPr>
      </w:pPr>
      <w:r w:rsidRPr="009110F4">
        <w:rPr>
          <w:rStyle w:val="Strong"/>
          <w:rFonts w:ascii="Cambria" w:hAnsi="Cambria"/>
          <w:sz w:val="22"/>
          <w:szCs w:val="22"/>
        </w:rPr>
        <w:t>Lane Occupancy</w:t>
      </w:r>
    </w:p>
    <w:p w14:paraId="691778CD" w14:textId="21A3E81C" w:rsidR="008822A4" w:rsidRPr="009110F4" w:rsidRDefault="008822A4" w:rsidP="00A35EAF">
      <w:pPr>
        <w:pStyle w:val="BodyText"/>
        <w:rPr>
          <w:b/>
          <w:bCs/>
        </w:rPr>
      </w:pPr>
      <w:r w:rsidRPr="00855E7E">
        <w:t xml:space="preserve">Inductive loop detectors and other devices, such as video image-based counters, </w:t>
      </w:r>
      <w:r w:rsidR="00301434" w:rsidRPr="00855E7E">
        <w:t>can produce</w:t>
      </w:r>
      <w:r w:rsidRPr="00855E7E">
        <w:t xml:space="preserve"> lane occupancy statistics that describe the percentage of time a vehicle occupies the detection zone. Many urban freeway and </w:t>
      </w:r>
      <w:r w:rsidRPr="009110F4">
        <w:t>arterial performance monitoring programs use lane occupancy measurements to describe the onset and duration of congested conditions.</w:t>
      </w:r>
      <w:r w:rsidRPr="009110F4">
        <w:rPr>
          <w:b/>
          <w:bCs/>
        </w:rPr>
        <w:t xml:space="preserve"> </w:t>
      </w:r>
    </w:p>
    <w:p w14:paraId="44823421" w14:textId="65CA6EA3" w:rsidR="008822A4" w:rsidRPr="009110F4" w:rsidRDefault="008822A4" w:rsidP="009110F4">
      <w:pPr>
        <w:pStyle w:val="BodyText"/>
        <w:rPr>
          <w:rStyle w:val="Strong"/>
          <w:rFonts w:ascii="Cambria" w:hAnsi="Cambria"/>
          <w:sz w:val="22"/>
          <w:szCs w:val="22"/>
        </w:rPr>
      </w:pPr>
      <w:r w:rsidRPr="009110F4">
        <w:rPr>
          <w:rStyle w:val="Strong"/>
          <w:rFonts w:ascii="Cambria" w:hAnsi="Cambria"/>
          <w:sz w:val="22"/>
          <w:szCs w:val="22"/>
        </w:rPr>
        <w:t>Headway and Time Gap</w:t>
      </w:r>
    </w:p>
    <w:p w14:paraId="52169FCB" w14:textId="22035A6E" w:rsidR="008822A4" w:rsidRPr="00855E7E" w:rsidRDefault="008822A4" w:rsidP="00A35EAF">
      <w:pPr>
        <w:pStyle w:val="BodyText"/>
      </w:pPr>
      <w:r w:rsidRPr="00855E7E">
        <w:t xml:space="preserve">Traffic monitoring devices that time stamp the passage of either individual vehicles or the axles of individual vehicles </w:t>
      </w:r>
      <w:r w:rsidR="00BB1AC7">
        <w:t xml:space="preserve">are </w:t>
      </w:r>
      <w:r w:rsidRPr="00855E7E">
        <w:t>called event recorders. The collected detailed data not only describe the traffic volume and often vehicle classification, but they explicitly measure the headway between vehicles and thus the vehicle gaps in the traffic stream. Traffic monitoring systems—such as WIM scales—routinely collect time-stamped vehicle records that can be used to report the headway between vehicles and/or the time gap between vehicles. When States collect data using the FHWA IVR format, they should consider reporting lane occupancy, headway, and gap data.</w:t>
      </w:r>
    </w:p>
    <w:p w14:paraId="48FD055D" w14:textId="77777777" w:rsidR="008822A4" w:rsidRPr="00F468E1" w:rsidRDefault="008822A4">
      <w:pPr>
        <w:pStyle w:val="Heading3"/>
      </w:pPr>
      <w:bookmarkStart w:id="744" w:name="_Toc52785401"/>
      <w:bookmarkStart w:id="745" w:name="_Toc63428129"/>
      <w:bookmarkStart w:id="746" w:name="_Toc118205590"/>
      <w:r w:rsidRPr="00F468E1">
        <w:t>Equipment Selection Considerations</w:t>
      </w:r>
      <w:bookmarkEnd w:id="744"/>
      <w:bookmarkEnd w:id="745"/>
      <w:bookmarkEnd w:id="746"/>
    </w:p>
    <w:p w14:paraId="2DC399BA" w14:textId="77777777" w:rsidR="008822A4" w:rsidRPr="00855E7E" w:rsidRDefault="008822A4" w:rsidP="003B0722">
      <w:pPr>
        <w:pStyle w:val="BodyText"/>
      </w:pPr>
      <w:r w:rsidRPr="00855E7E">
        <w:t xml:space="preserve">In addition to the basic functional requirements discussed above, roadway agencies should consider a variety of other functionalities when selecting </w:t>
      </w:r>
      <w:r w:rsidRPr="003B0722">
        <w:t>traffic</w:t>
      </w:r>
      <w:r w:rsidRPr="00855E7E">
        <w:t xml:space="preserve"> monitoring technologies, including:</w:t>
      </w:r>
    </w:p>
    <w:p w14:paraId="43ED3F59" w14:textId="77777777" w:rsidR="008822A4" w:rsidRPr="00855E7E" w:rsidRDefault="008822A4" w:rsidP="00FB770F">
      <w:pPr>
        <w:numPr>
          <w:ilvl w:val="0"/>
          <w:numId w:val="108"/>
        </w:numPr>
        <w:autoSpaceDE/>
        <w:autoSpaceDN/>
        <w:spacing w:after="120"/>
        <w:ind w:left="648" w:hanging="144"/>
        <w:contextualSpacing/>
        <w:jc w:val="left"/>
        <w:textAlignment w:val="baseline"/>
        <w:rPr>
          <w:color w:val="auto"/>
        </w:rPr>
      </w:pPr>
      <w:r w:rsidRPr="00855E7E">
        <w:rPr>
          <w:color w:val="auto"/>
        </w:rPr>
        <w:t>Number of lanes of data collection performed by any one piece of equipment and/or sensor</w:t>
      </w:r>
      <w:r>
        <w:rPr>
          <w:color w:val="auto"/>
        </w:rPr>
        <w:t>.</w:t>
      </w:r>
    </w:p>
    <w:p w14:paraId="7FA41DCF" w14:textId="77777777" w:rsidR="008822A4" w:rsidRPr="00855E7E" w:rsidRDefault="008822A4" w:rsidP="00FB770F">
      <w:pPr>
        <w:numPr>
          <w:ilvl w:val="0"/>
          <w:numId w:val="108"/>
        </w:numPr>
        <w:autoSpaceDE/>
        <w:autoSpaceDN/>
        <w:spacing w:after="120"/>
        <w:ind w:left="648" w:hanging="144"/>
        <w:contextualSpacing/>
        <w:jc w:val="left"/>
        <w:textAlignment w:val="baseline"/>
        <w:rPr>
          <w:color w:val="auto"/>
        </w:rPr>
      </w:pPr>
      <w:r w:rsidRPr="00855E7E">
        <w:rPr>
          <w:color w:val="auto"/>
        </w:rPr>
        <w:t>Cost of the equipment (initial cost, placement cost, operating cost, and expected maintenance costs)</w:t>
      </w:r>
      <w:r>
        <w:rPr>
          <w:color w:val="auto"/>
        </w:rPr>
        <w:t>.</w:t>
      </w:r>
    </w:p>
    <w:p w14:paraId="56187E4A" w14:textId="77777777" w:rsidR="008822A4" w:rsidRPr="00855E7E" w:rsidRDefault="008822A4" w:rsidP="00FB770F">
      <w:pPr>
        <w:numPr>
          <w:ilvl w:val="0"/>
          <w:numId w:val="108"/>
        </w:numPr>
        <w:autoSpaceDE/>
        <w:autoSpaceDN/>
        <w:spacing w:after="120"/>
        <w:ind w:left="648" w:hanging="144"/>
        <w:contextualSpacing/>
        <w:jc w:val="left"/>
        <w:textAlignment w:val="baseline"/>
        <w:rPr>
          <w:color w:val="auto"/>
        </w:rPr>
      </w:pPr>
      <w:r w:rsidRPr="00855E7E">
        <w:rPr>
          <w:color w:val="auto"/>
        </w:rPr>
        <w:t>Expected life of the sensors and data collection electronics</w:t>
      </w:r>
      <w:r>
        <w:rPr>
          <w:color w:val="auto"/>
        </w:rPr>
        <w:t>.</w:t>
      </w:r>
    </w:p>
    <w:p w14:paraId="04B1D2E6" w14:textId="77777777" w:rsidR="008822A4" w:rsidRPr="00855E7E" w:rsidRDefault="008822A4" w:rsidP="00FB770F">
      <w:pPr>
        <w:numPr>
          <w:ilvl w:val="0"/>
          <w:numId w:val="108"/>
        </w:numPr>
        <w:autoSpaceDE/>
        <w:autoSpaceDN/>
        <w:spacing w:after="120"/>
        <w:ind w:left="648" w:hanging="144"/>
        <w:contextualSpacing/>
        <w:jc w:val="left"/>
        <w:textAlignment w:val="baseline"/>
        <w:rPr>
          <w:color w:val="auto"/>
        </w:rPr>
      </w:pPr>
      <w:r w:rsidRPr="00855E7E">
        <w:rPr>
          <w:color w:val="auto"/>
        </w:rPr>
        <w:lastRenderedPageBreak/>
        <w:t>Warranties supplied by the manufacturer/vendor</w:t>
      </w:r>
      <w:r>
        <w:rPr>
          <w:color w:val="auto"/>
        </w:rPr>
        <w:t>.</w:t>
      </w:r>
    </w:p>
    <w:p w14:paraId="34F47841" w14:textId="77777777" w:rsidR="008822A4" w:rsidRPr="00855E7E" w:rsidRDefault="008822A4" w:rsidP="00FB770F">
      <w:pPr>
        <w:numPr>
          <w:ilvl w:val="0"/>
          <w:numId w:val="108"/>
        </w:numPr>
        <w:autoSpaceDE/>
        <w:autoSpaceDN/>
        <w:spacing w:after="120"/>
        <w:ind w:left="648" w:hanging="144"/>
        <w:contextualSpacing/>
        <w:jc w:val="left"/>
        <w:textAlignment w:val="baseline"/>
        <w:rPr>
          <w:color w:val="auto"/>
        </w:rPr>
      </w:pPr>
      <w:r w:rsidRPr="00855E7E">
        <w:rPr>
          <w:color w:val="auto"/>
        </w:rPr>
        <w:t>Environmental conditions under which the equipment is expected to operate relative to the strengths and weaknesses of each specific technology</w:t>
      </w:r>
      <w:r>
        <w:rPr>
          <w:color w:val="auto"/>
        </w:rPr>
        <w:t>.</w:t>
      </w:r>
    </w:p>
    <w:p w14:paraId="21B62005" w14:textId="77777777" w:rsidR="008822A4" w:rsidRPr="00855E7E" w:rsidRDefault="008822A4" w:rsidP="00FB770F">
      <w:pPr>
        <w:numPr>
          <w:ilvl w:val="0"/>
          <w:numId w:val="108"/>
        </w:numPr>
        <w:autoSpaceDE/>
        <w:autoSpaceDN/>
        <w:spacing w:after="120"/>
        <w:ind w:left="648" w:hanging="144"/>
        <w:contextualSpacing/>
        <w:jc w:val="left"/>
        <w:textAlignment w:val="baseline"/>
        <w:rPr>
          <w:color w:val="auto"/>
        </w:rPr>
      </w:pPr>
      <w:r w:rsidRPr="00855E7E">
        <w:rPr>
          <w:color w:val="auto"/>
        </w:rPr>
        <w:t>Whether the agency staff has the required knowledge and equipment for placing, annual calibrating, and maintaining the equipment</w:t>
      </w:r>
      <w:r>
        <w:rPr>
          <w:color w:val="auto"/>
        </w:rPr>
        <w:t>.</w:t>
      </w:r>
    </w:p>
    <w:p w14:paraId="62F72174" w14:textId="77777777" w:rsidR="008822A4" w:rsidRPr="00855E7E" w:rsidRDefault="008822A4" w:rsidP="00FB770F">
      <w:pPr>
        <w:numPr>
          <w:ilvl w:val="0"/>
          <w:numId w:val="108"/>
        </w:numPr>
        <w:autoSpaceDE/>
        <w:autoSpaceDN/>
        <w:spacing w:after="120"/>
        <w:ind w:left="648" w:hanging="144"/>
        <w:contextualSpacing/>
        <w:jc w:val="left"/>
        <w:textAlignment w:val="baseline"/>
        <w:rPr>
          <w:color w:val="auto"/>
        </w:rPr>
      </w:pPr>
      <w:r w:rsidRPr="00855E7E">
        <w:rPr>
          <w:color w:val="auto"/>
        </w:rPr>
        <w:t>Available communications capabilities (i.e., what options does the agency have for retrieving data from the data collection electronics, and how do those options fit within the agency’s current or planned traffic data processing procedures?)</w:t>
      </w:r>
      <w:r>
        <w:rPr>
          <w:color w:val="auto"/>
        </w:rPr>
        <w:t>.</w:t>
      </w:r>
    </w:p>
    <w:p w14:paraId="3DCB3D7A" w14:textId="77777777" w:rsidR="008822A4" w:rsidRPr="00855E7E" w:rsidRDefault="008822A4" w:rsidP="00FB770F">
      <w:pPr>
        <w:numPr>
          <w:ilvl w:val="0"/>
          <w:numId w:val="108"/>
        </w:numPr>
        <w:autoSpaceDE/>
        <w:autoSpaceDN/>
        <w:spacing w:after="120"/>
        <w:ind w:left="648" w:hanging="144"/>
        <w:contextualSpacing/>
        <w:jc w:val="left"/>
        <w:textAlignment w:val="baseline"/>
        <w:rPr>
          <w:color w:val="auto"/>
        </w:rPr>
      </w:pPr>
      <w:r w:rsidRPr="00855E7E">
        <w:rPr>
          <w:color w:val="auto"/>
        </w:rPr>
        <w:t>Type of power source to be used (AC/DC, solar, luminary, internal battery)</w:t>
      </w:r>
      <w:r>
        <w:rPr>
          <w:color w:val="auto"/>
        </w:rPr>
        <w:t>.</w:t>
      </w:r>
    </w:p>
    <w:p w14:paraId="39023F19" w14:textId="77777777" w:rsidR="008822A4" w:rsidRPr="00855E7E" w:rsidRDefault="008822A4" w:rsidP="00FB770F">
      <w:pPr>
        <w:numPr>
          <w:ilvl w:val="0"/>
          <w:numId w:val="108"/>
        </w:numPr>
        <w:autoSpaceDE/>
        <w:autoSpaceDN/>
        <w:spacing w:after="120"/>
        <w:ind w:left="648" w:hanging="144"/>
        <w:contextualSpacing/>
        <w:jc w:val="left"/>
        <w:textAlignment w:val="baseline"/>
        <w:rPr>
          <w:color w:val="auto"/>
        </w:rPr>
      </w:pPr>
      <w:r w:rsidRPr="00855E7E">
        <w:rPr>
          <w:color w:val="auto"/>
        </w:rPr>
        <w:t>Ability of the vendor to supply data outputs in a format that works seamlessly with the agency’s existing or planned data processing system (ability to integrate data into a centralized system and utilize information to calculate and summarize statewide year-end statistics)</w:t>
      </w:r>
      <w:r>
        <w:rPr>
          <w:color w:val="auto"/>
        </w:rPr>
        <w:t>.</w:t>
      </w:r>
    </w:p>
    <w:p w14:paraId="263B6A64" w14:textId="77777777" w:rsidR="008822A4" w:rsidRPr="00855E7E" w:rsidRDefault="008822A4" w:rsidP="00FB770F">
      <w:pPr>
        <w:numPr>
          <w:ilvl w:val="0"/>
          <w:numId w:val="108"/>
        </w:numPr>
        <w:autoSpaceDE/>
        <w:autoSpaceDN/>
        <w:spacing w:after="120"/>
        <w:ind w:left="648" w:hanging="144"/>
        <w:contextualSpacing/>
        <w:jc w:val="left"/>
        <w:textAlignment w:val="baseline"/>
        <w:rPr>
          <w:color w:val="auto"/>
        </w:rPr>
      </w:pPr>
      <w:r w:rsidRPr="00855E7E">
        <w:rPr>
          <w:color w:val="auto"/>
        </w:rPr>
        <w:t>Vendor agreement for software support, equipment maintenance, warranty work</w:t>
      </w:r>
      <w:r>
        <w:rPr>
          <w:color w:val="auto"/>
        </w:rPr>
        <w:t>.</w:t>
      </w:r>
    </w:p>
    <w:p w14:paraId="506D3CAB" w14:textId="1392A02F" w:rsidR="008822A4" w:rsidRPr="00855E7E" w:rsidRDefault="008822A4" w:rsidP="00FB770F">
      <w:pPr>
        <w:numPr>
          <w:ilvl w:val="0"/>
          <w:numId w:val="108"/>
        </w:numPr>
        <w:autoSpaceDE/>
        <w:autoSpaceDN/>
        <w:spacing w:after="120"/>
        <w:ind w:left="648" w:hanging="144"/>
        <w:contextualSpacing/>
        <w:jc w:val="left"/>
        <w:textAlignment w:val="baseline"/>
        <w:rPr>
          <w:color w:val="auto"/>
        </w:rPr>
      </w:pPr>
      <w:r w:rsidRPr="00855E7E">
        <w:rPr>
          <w:color w:val="auto"/>
        </w:rPr>
        <w:t>Pavement condition for surface sensor like piezo and WIM sensors</w:t>
      </w:r>
      <w:r>
        <w:rPr>
          <w:color w:val="auto"/>
        </w:rPr>
        <w:t>.</w:t>
      </w:r>
    </w:p>
    <w:p w14:paraId="09BD4AC2" w14:textId="77777777" w:rsidR="008822A4" w:rsidRPr="00855E7E" w:rsidRDefault="008822A4" w:rsidP="00FB770F">
      <w:pPr>
        <w:numPr>
          <w:ilvl w:val="0"/>
          <w:numId w:val="108"/>
        </w:numPr>
        <w:autoSpaceDE/>
        <w:autoSpaceDN/>
        <w:spacing w:after="120"/>
        <w:ind w:left="648" w:hanging="144"/>
        <w:contextualSpacing/>
        <w:jc w:val="left"/>
        <w:textAlignment w:val="baseline"/>
        <w:rPr>
          <w:color w:val="auto"/>
        </w:rPr>
      </w:pPr>
      <w:r w:rsidRPr="00855E7E">
        <w:rPr>
          <w:color w:val="auto"/>
        </w:rPr>
        <w:t>Installation materials and methods.</w:t>
      </w:r>
    </w:p>
    <w:p w14:paraId="3DE9B7C3" w14:textId="1201C20D" w:rsidR="008822A4" w:rsidRPr="00855E7E" w:rsidRDefault="008822A4" w:rsidP="00A35EAF">
      <w:pPr>
        <w:pStyle w:val="BodyText"/>
      </w:pPr>
      <w:r w:rsidRPr="00855E7E">
        <w:t>The first four of these issues provide the reviewer with the ability to trade</w:t>
      </w:r>
      <w:r w:rsidR="00BB1AC7">
        <w:t xml:space="preserve"> </w:t>
      </w:r>
      <w:r w:rsidRPr="00855E7E">
        <w:t>off cost and performance. Of particular importance is the warranty provided by the vendor, as it provides an important level of assurance</w:t>
      </w:r>
      <w:r w:rsidR="000C1A64">
        <w:t xml:space="preserve"> regarding the first three issues</w:t>
      </w:r>
      <w:r w:rsidRPr="00855E7E">
        <w:t xml:space="preserve">. </w:t>
      </w:r>
    </w:p>
    <w:p w14:paraId="4A3B9206" w14:textId="77777777" w:rsidR="008822A4" w:rsidRPr="00855E7E" w:rsidRDefault="008822A4" w:rsidP="00A35EAF">
      <w:pPr>
        <w:pStyle w:val="BodyText"/>
      </w:pPr>
      <w:r w:rsidRPr="00855E7E">
        <w:t xml:space="preserve">The fifth topic relates to the fact that some technologies work better in some specific environmental and traffic conditions than others. Some equipment might work very well in specific instances while work poorly in other circumstances. For example, </w:t>
      </w:r>
      <w:r>
        <w:t xml:space="preserve">pneumatic </w:t>
      </w:r>
      <w:r w:rsidRPr="00855E7E">
        <w:t xml:space="preserve">road tubes generally work well for short duration counts (48 hours) on lower volume, rural roadways. However, they do not work effectively on higher volume, multi-lane urban roadways. While vendors can create product modifications/versions to help technologies function in conditions for which they are generally not suited, when selecting technologies, agencies should be very aware of the increased likelihood of count issues/failures from those technologies in those conditions. </w:t>
      </w:r>
    </w:p>
    <w:p w14:paraId="6A5DD661" w14:textId="280C4327" w:rsidR="008822A4" w:rsidRPr="00855E7E" w:rsidRDefault="008822A4" w:rsidP="00A35EAF">
      <w:pPr>
        <w:pStyle w:val="BodyText"/>
      </w:pPr>
      <w:r w:rsidRPr="00855E7E">
        <w:t xml:space="preserve">The answer to the sixth topic determines whether the agency needs to purchase additional equipment to place, operate, and maintain new technologies, as well as have staff undergo new training to perform those tasks. </w:t>
      </w:r>
    </w:p>
    <w:p w14:paraId="2CF63E27" w14:textId="77777777" w:rsidR="008822A4" w:rsidRPr="00855E7E" w:rsidRDefault="008822A4" w:rsidP="00A35EAF">
      <w:pPr>
        <w:pStyle w:val="BodyText"/>
      </w:pPr>
      <w:r w:rsidRPr="00855E7E">
        <w:t xml:space="preserve">Finally, the last six topics describe how efficiently and reliably the vendor’s implementation of the selected technology will work within the existing or planned data processing system of the roadway agency. Collection, calibration, processing, reporting, accessing, and storing of traffic monitoring data is resource intensive and roadway agencies should consider how much effort is required for any given device. </w:t>
      </w:r>
    </w:p>
    <w:p w14:paraId="7DBB1BC1" w14:textId="77777777" w:rsidR="008822A4" w:rsidRPr="00BC5AFC" w:rsidRDefault="008822A4" w:rsidP="00A35EAF">
      <w:pPr>
        <w:pStyle w:val="BodyText"/>
        <w:rPr>
          <w:rStyle w:val="Strong"/>
          <w:rFonts w:ascii="Cambria" w:hAnsi="Cambria"/>
          <w:sz w:val="22"/>
          <w:szCs w:val="22"/>
        </w:rPr>
      </w:pPr>
      <w:bookmarkStart w:id="747" w:name="_Toc325034108"/>
      <w:r w:rsidRPr="00BC5AFC">
        <w:rPr>
          <w:rStyle w:val="Strong"/>
          <w:rFonts w:ascii="Cambria" w:hAnsi="Cambria"/>
          <w:sz w:val="22"/>
          <w:szCs w:val="22"/>
        </w:rPr>
        <w:t>Selecting Intrusive Versus Nonintrusive Sensor</w:t>
      </w:r>
      <w:bookmarkEnd w:id="747"/>
      <w:r w:rsidRPr="00BC5AFC">
        <w:rPr>
          <w:rStyle w:val="Strong"/>
          <w:rFonts w:ascii="Cambria" w:hAnsi="Cambria"/>
          <w:sz w:val="22"/>
          <w:szCs w:val="22"/>
        </w:rPr>
        <w:t xml:space="preserve">s </w:t>
      </w:r>
    </w:p>
    <w:p w14:paraId="0E24C728" w14:textId="5789599D" w:rsidR="008822A4" w:rsidRPr="00855E7E" w:rsidRDefault="008822A4" w:rsidP="00A35EAF">
      <w:pPr>
        <w:pStyle w:val="BodyText"/>
      </w:pPr>
      <w:r w:rsidRPr="00855E7E">
        <w:t xml:space="preserve">When deciding about selecting intrusive or non-intrusive sensors, site characteristics need to be carefully considered. See </w:t>
      </w:r>
      <w:r w:rsidR="00BF7738">
        <w:t xml:space="preserve">the </w:t>
      </w:r>
      <w:r w:rsidRPr="00855E7E">
        <w:t>Sensor and Equipment Location Considerations section later in this chapter for additional details.</w:t>
      </w:r>
    </w:p>
    <w:p w14:paraId="33F90FBD" w14:textId="141072AF" w:rsidR="008822A4" w:rsidRPr="00855E7E" w:rsidRDefault="008822A4" w:rsidP="00A35EAF">
      <w:pPr>
        <w:pStyle w:val="BodyText"/>
      </w:pPr>
      <w:r w:rsidRPr="00855E7E">
        <w:t>Non-intrusive sensors are further divided into overhead</w:t>
      </w:r>
      <w:r w:rsidR="00BF7738">
        <w:t>-</w:t>
      </w:r>
      <w:r w:rsidRPr="00855E7E">
        <w:t xml:space="preserve">mounted sensors and side-fired sensors. Side-fired sensors have the advantage of being mounted beside the road. This makes them easy to install, access, and maintain. </w:t>
      </w:r>
      <w:bookmarkStart w:id="748" w:name="_Hlk52883721"/>
      <w:r w:rsidRPr="00855E7E">
        <w:t xml:space="preserve">The drawback is that on multi-lane roadways, </w:t>
      </w:r>
      <w:bookmarkStart w:id="749" w:name="_Hlk49761100"/>
      <w:r w:rsidRPr="00855E7E">
        <w:t xml:space="preserve">traffic using the roadway lanes farthest away from the sensor location can be obscured from the side-fired sensors by vehicles (and particularly trucks) traveling in the lanes closer to the sensor. This is called </w:t>
      </w:r>
      <w:bookmarkStart w:id="750" w:name="_Hlk49760956"/>
      <w:r w:rsidRPr="00855E7E">
        <w:t>occlusion</w:t>
      </w:r>
      <w:bookmarkEnd w:id="750"/>
      <w:r w:rsidRPr="00855E7E">
        <w:t xml:space="preserve">. </w:t>
      </w:r>
      <w:bookmarkEnd w:id="748"/>
      <w:bookmarkEnd w:id="749"/>
      <w:r w:rsidRPr="00855E7E">
        <w:t xml:space="preserve">Occlusion results in undercounting of total volume and biased speed estimates if the traffic on the inside of the roadway is traveling at a different speed than traffic on the outside lanes. </w:t>
      </w:r>
    </w:p>
    <w:p w14:paraId="74DDA710" w14:textId="3CDC8ED9" w:rsidR="008822A4" w:rsidRPr="00855E7E" w:rsidRDefault="008822A4" w:rsidP="00A35EAF">
      <w:pPr>
        <w:pStyle w:val="BodyText"/>
      </w:pPr>
      <w:r w:rsidRPr="00855E7E">
        <w:t>Generally, the higher above the roadway the non-intrusive sensor is placed, the smaller the problem with occlusion. However, raising the sensor vertically 1) increases the cost of installation and maintenance; 2) decreases the resolution with which the sensor detects vehicles in the road; and 3) creates movement in the sensor (as the pole on which the sensor sits sways) leading to other forms of accuracy degradation.</w:t>
      </w:r>
      <w:r w:rsidR="004D4172">
        <w:t xml:space="preserve"> </w:t>
      </w:r>
      <w:r w:rsidRPr="00855E7E">
        <w:t>Manufacturer</w:t>
      </w:r>
      <w:r w:rsidR="00BF7738">
        <w:t>-</w:t>
      </w:r>
      <w:r w:rsidRPr="00855E7E">
        <w:t>recommended installation heights need to be followed.</w:t>
      </w:r>
    </w:p>
    <w:p w14:paraId="765F161B" w14:textId="67D6DFF4" w:rsidR="008822A4" w:rsidRPr="00855E7E" w:rsidRDefault="008822A4" w:rsidP="00A35EAF">
      <w:pPr>
        <w:pStyle w:val="BodyText"/>
      </w:pPr>
      <w:r w:rsidRPr="00855E7E">
        <w:t xml:space="preserve">Mounting the sensor directly above the lane of travel is one way of significantly reducing the opportunity for occlusion to occur. Thus, overhead mounted sensors tend to be more accurate than side-fired sensors of that same </w:t>
      </w:r>
      <w:r w:rsidRPr="00855E7E">
        <w:lastRenderedPageBreak/>
        <w:t>technology. The disadvantage of overhead mounted sensors is that the lane of travel must normally be shut down for the sensors to be installed and then each time maintenance is performed because of fears of material dropping onto the roadway during those activities. Closed lanes create potential congestion on high</w:t>
      </w:r>
      <w:r w:rsidR="00BF7738">
        <w:t>-</w:t>
      </w:r>
      <w:r w:rsidRPr="00855E7E">
        <w:t xml:space="preserve">volume roadways. </w:t>
      </w:r>
    </w:p>
    <w:p w14:paraId="38E00F68" w14:textId="2315414C" w:rsidR="008822A4" w:rsidRPr="00855E7E" w:rsidRDefault="008822A4" w:rsidP="003B0722">
      <w:pPr>
        <w:pStyle w:val="BodyText"/>
      </w:pPr>
      <w:r w:rsidRPr="00855E7E">
        <w:t xml:space="preserve">The most common </w:t>
      </w:r>
      <w:r w:rsidRPr="003B0722">
        <w:t>reasons</w:t>
      </w:r>
      <w:r w:rsidRPr="00855E7E">
        <w:t xml:space="preserve"> for choosing non-intrusive sensors over intrusive are as follows:</w:t>
      </w:r>
    </w:p>
    <w:p w14:paraId="06BBDD87" w14:textId="77777777" w:rsidR="008822A4" w:rsidRPr="00E26A8C" w:rsidRDefault="008822A4">
      <w:pPr>
        <w:pStyle w:val="TMGBullet"/>
      </w:pPr>
      <w:r w:rsidRPr="00E26A8C">
        <w:t>Unsafe conditions for placing or maintaining intrusive sensors, such as high-volume multi-lane facilities.</w:t>
      </w:r>
    </w:p>
    <w:p w14:paraId="702E483A" w14:textId="77777777" w:rsidR="008822A4" w:rsidRPr="00E26A8C" w:rsidRDefault="008822A4">
      <w:pPr>
        <w:pStyle w:val="TMGBullet"/>
      </w:pPr>
      <w:r w:rsidRPr="00E26A8C">
        <w:t>Expensive traffic control to place and/or maintain intrusive sensors.</w:t>
      </w:r>
    </w:p>
    <w:p w14:paraId="3A95BE26" w14:textId="77777777" w:rsidR="008822A4" w:rsidRPr="00E26A8C" w:rsidRDefault="008822A4">
      <w:pPr>
        <w:pStyle w:val="TMGBullet"/>
      </w:pPr>
      <w:r w:rsidRPr="00E26A8C">
        <w:t>Poor pavement condition.</w:t>
      </w:r>
    </w:p>
    <w:p w14:paraId="1DAC92FF" w14:textId="77777777" w:rsidR="008822A4" w:rsidRPr="00E26A8C" w:rsidRDefault="008822A4">
      <w:pPr>
        <w:pStyle w:val="TMGBullet"/>
      </w:pPr>
      <w:r w:rsidRPr="00E26A8C">
        <w:t>Disruption of traffic occurring with the placing of sensors introduces safety as well as sensor performance issues.</w:t>
      </w:r>
    </w:p>
    <w:p w14:paraId="24BE0762" w14:textId="395A7233" w:rsidR="00782C7E" w:rsidRDefault="008822A4">
      <w:pPr>
        <w:pStyle w:val="TMGBullet"/>
      </w:pPr>
      <w:r w:rsidRPr="00E26A8C">
        <w:t>Difficult to close the lane because of high traffic volumes.</w:t>
      </w:r>
    </w:p>
    <w:p w14:paraId="2DE82A75" w14:textId="5DDBF135" w:rsidR="008822A4" w:rsidRPr="00E26A8C" w:rsidRDefault="00782C7E" w:rsidP="00D82E40">
      <w:pPr>
        <w:pStyle w:val="BodyText"/>
        <w:spacing w:before="120"/>
      </w:pPr>
      <w:r>
        <w:t>I</w:t>
      </w:r>
      <w:r w:rsidR="008822A4" w:rsidRPr="00E26A8C">
        <w:t>ntrusive sensors perform best under the following conditions:</w:t>
      </w:r>
    </w:p>
    <w:p w14:paraId="3EB19F79" w14:textId="77777777" w:rsidR="008822A4" w:rsidRPr="00E26A8C" w:rsidRDefault="008822A4">
      <w:pPr>
        <w:pStyle w:val="TMGBullet"/>
      </w:pPr>
      <w:r w:rsidRPr="00E26A8C">
        <w:t>Even traffic flow at constant speed.</w:t>
      </w:r>
    </w:p>
    <w:p w14:paraId="3F3FC98C" w14:textId="77777777" w:rsidR="008822A4" w:rsidRPr="00E26A8C" w:rsidRDefault="008822A4">
      <w:pPr>
        <w:pStyle w:val="TMGBullet"/>
      </w:pPr>
      <w:r w:rsidRPr="00E26A8C">
        <w:t>Traffic follows good lane discipline.</w:t>
      </w:r>
    </w:p>
    <w:p w14:paraId="0D23E744" w14:textId="77777777" w:rsidR="008822A4" w:rsidRPr="00E26A8C" w:rsidRDefault="008822A4">
      <w:pPr>
        <w:pStyle w:val="TMGBullet"/>
      </w:pPr>
      <w:r w:rsidRPr="00E26A8C">
        <w:t>Straight and flat road section.</w:t>
      </w:r>
    </w:p>
    <w:p w14:paraId="356BC24B" w14:textId="77777777" w:rsidR="008822A4" w:rsidRPr="00E26A8C" w:rsidRDefault="008822A4">
      <w:pPr>
        <w:pStyle w:val="TMGBullet"/>
      </w:pPr>
      <w:r w:rsidRPr="00E26A8C">
        <w:t>Strong pavement with good surface condition.</w:t>
      </w:r>
    </w:p>
    <w:p w14:paraId="02097FA2" w14:textId="77777777" w:rsidR="008822A4" w:rsidRPr="00855E7E" w:rsidRDefault="008822A4">
      <w:pPr>
        <w:pStyle w:val="TMGBullet"/>
      </w:pPr>
      <w:r w:rsidRPr="00E26A8C">
        <w:t>Safe access to the sensors for maintenance using common traffic control proto</w:t>
      </w:r>
      <w:r w:rsidRPr="00855E7E">
        <w:t>cols.</w:t>
      </w:r>
    </w:p>
    <w:p w14:paraId="417208CC" w14:textId="3434CB39" w:rsidR="008822A4" w:rsidRPr="00855E7E" w:rsidRDefault="008822A4" w:rsidP="00A35EAF">
      <w:pPr>
        <w:pStyle w:val="BodyText"/>
      </w:pPr>
      <w:r w:rsidRPr="00855E7E">
        <w:t>The performance of in-roadway sensors such as inductive loops and magnetometer sensors is based, in part, on their close location to the vehicle. Thus, in-road sensors are insensitive to inclement weather due to a high signal-to-noise ratio. In traffic monitoring applications, in-road sensors effectively discriminate vehicle characteristics (e.g.</w:t>
      </w:r>
      <w:r w:rsidR="00944351">
        <w:t>,</w:t>
      </w:r>
      <w:r w:rsidRPr="00855E7E">
        <w:t xml:space="preserve"> axle spacing, class, length) on a lane</w:t>
      </w:r>
      <w:r w:rsidR="00944351">
        <w:t>-</w:t>
      </w:r>
      <w:r w:rsidRPr="00855E7E">
        <w:t>by</w:t>
      </w:r>
      <w:r w:rsidR="00944351">
        <w:t>-</w:t>
      </w:r>
      <w:r w:rsidRPr="00855E7E">
        <w:t>lane basis, without being subject to errors introduced by multiple vehicles simultaneously in the field of view of the sensor. Axle weights are the one form of data that cannot be collected non-intrusively. (Some bridge WIM systems are designed to operate without sensors being placed in the lane of travel.</w:t>
      </w:r>
      <w:r w:rsidR="00637C37">
        <w:t xml:space="preserve"> </w:t>
      </w:r>
      <w:r w:rsidR="00740995">
        <w:t>T</w:t>
      </w:r>
      <w:r w:rsidRPr="00855E7E">
        <w:t xml:space="preserve">hese systems only work on a limited set of bridges.) </w:t>
      </w:r>
    </w:p>
    <w:p w14:paraId="4EC854A0" w14:textId="39DC2250" w:rsidR="00D82E40" w:rsidRDefault="008822A4" w:rsidP="00A35EAF">
      <w:pPr>
        <w:pStyle w:val="BodyText"/>
      </w:pPr>
      <w:r w:rsidRPr="00855E7E">
        <w:t>The main disadvantage is the in-roadway installation, necessitating physical changes in the roadway as part of the installation process. Over-roadway sensors often provide data not available from in-roadway sensors and some monitor multiple lanes with one unit.</w:t>
      </w:r>
    </w:p>
    <w:p w14:paraId="766358C9" w14:textId="1BA092E3" w:rsidR="008822A4" w:rsidRPr="00855E7E" w:rsidRDefault="006827F7" w:rsidP="00A35EAF">
      <w:pPr>
        <w:pStyle w:val="BodyText"/>
      </w:pPr>
      <w:r>
        <w:fldChar w:fldCharType="begin"/>
      </w:r>
      <w:r>
        <w:instrText xml:space="preserve"> REF _Ref114749829 \h </w:instrText>
      </w:r>
      <w:r>
        <w:fldChar w:fldCharType="separate"/>
      </w:r>
      <w:r w:rsidR="00C07DF9" w:rsidRPr="00855E7E">
        <w:t xml:space="preserve">Table </w:t>
      </w:r>
      <w:r w:rsidR="00C07DF9">
        <w:rPr>
          <w:noProof/>
        </w:rPr>
        <w:t>2</w:t>
      </w:r>
      <w:r w:rsidR="00C07DF9">
        <w:noBreakHyphen/>
      </w:r>
      <w:r w:rsidR="00C07DF9">
        <w:rPr>
          <w:noProof/>
        </w:rPr>
        <w:t>8</w:t>
      </w:r>
      <w:r>
        <w:fldChar w:fldCharType="end"/>
      </w:r>
      <w:r w:rsidR="008822A4" w:rsidRPr="00855E7E">
        <w:t xml:space="preserve"> describes which sensors are intrusive and which are non-intrusive.</w:t>
      </w:r>
    </w:p>
    <w:p w14:paraId="5C520EFA" w14:textId="331C16AB" w:rsidR="008822A4" w:rsidRDefault="008822A4" w:rsidP="00C34163">
      <w:pPr>
        <w:pStyle w:val="TMGTableCaption"/>
      </w:pPr>
      <w:bookmarkStart w:id="751" w:name="_Ref114749829"/>
      <w:bookmarkStart w:id="752" w:name="_Toc63428093"/>
      <w:bookmarkStart w:id="753" w:name="_Toc68874106"/>
      <w:bookmarkStart w:id="754" w:name="_Toc114474818"/>
      <w:bookmarkStart w:id="755" w:name="_Toc120631124"/>
      <w:bookmarkStart w:id="756" w:name="_Hlk55199673"/>
      <w:r w:rsidRPr="00855E7E">
        <w:t xml:space="preserve">Table </w:t>
      </w:r>
      <w:fldSimple w:instr=" STYLEREF 1 \s ">
        <w:r w:rsidR="00C07DF9">
          <w:rPr>
            <w:noProof/>
          </w:rPr>
          <w:t>2</w:t>
        </w:r>
      </w:fldSimple>
      <w:r w:rsidR="00FE5355">
        <w:noBreakHyphen/>
      </w:r>
      <w:fldSimple w:instr=" SEQ Table \* ARABIC \s 1 ">
        <w:r w:rsidR="00C07DF9">
          <w:rPr>
            <w:noProof/>
          </w:rPr>
          <w:t>8</w:t>
        </w:r>
      </w:fldSimple>
      <w:bookmarkEnd w:id="751"/>
      <w:r w:rsidR="00E34EB1">
        <w:t>.</w:t>
      </w:r>
      <w:r w:rsidRPr="00855E7E">
        <w:t xml:space="preserve"> Intrusive </w:t>
      </w:r>
      <w:r w:rsidR="00BC5AFC">
        <w:t>a</w:t>
      </w:r>
      <w:r w:rsidRPr="00855E7E">
        <w:t>nd Non-Intrusive Technologies</w:t>
      </w:r>
      <w:bookmarkEnd w:id="752"/>
      <w:bookmarkEnd w:id="753"/>
      <w:bookmarkEnd w:id="754"/>
      <w:bookmarkEnd w:id="755"/>
    </w:p>
    <w:tbl>
      <w:tblPr>
        <w:tblStyle w:val="TableGrid"/>
        <w:tblW w:w="9360" w:type="dxa"/>
        <w:jc w:val="center"/>
        <w:tblCellMar>
          <w:left w:w="86" w:type="dxa"/>
          <w:right w:w="86" w:type="dxa"/>
        </w:tblCellMar>
        <w:tblLook w:val="04A0" w:firstRow="1" w:lastRow="0" w:firstColumn="1" w:lastColumn="0" w:noHBand="0" w:noVBand="1"/>
      </w:tblPr>
      <w:tblGrid>
        <w:gridCol w:w="5485"/>
        <w:gridCol w:w="3875"/>
      </w:tblGrid>
      <w:tr w:rsidR="00BC5AFC" w:rsidRPr="00BC5AFC" w14:paraId="7C0D3FC8" w14:textId="77777777" w:rsidTr="00E34EB1">
        <w:trPr>
          <w:trHeight w:val="75"/>
          <w:jc w:val="center"/>
        </w:trPr>
        <w:tc>
          <w:tcPr>
            <w:tcW w:w="5485" w:type="dxa"/>
            <w:tcBorders>
              <w:right w:val="single" w:sz="4" w:space="0" w:color="FFFFFF" w:themeColor="background1"/>
            </w:tcBorders>
            <w:shd w:val="clear" w:color="auto" w:fill="1F3864"/>
          </w:tcPr>
          <w:p w14:paraId="2F2B80B2" w14:textId="7D2A3C3B" w:rsidR="00BC5AFC" w:rsidRPr="00207990" w:rsidRDefault="00BC5AFC" w:rsidP="00EE628A">
            <w:pPr>
              <w:pStyle w:val="TableBodyText"/>
              <w:spacing w:before="20" w:after="20" w:line="240" w:lineRule="auto"/>
              <w:ind w:left="0"/>
              <w:jc w:val="center"/>
              <w:rPr>
                <w:rFonts w:ascii="Calibri" w:hAnsi="Calibri" w:cs="Calibri"/>
                <w:b/>
                <w:bCs/>
                <w:color w:val="FFFFFF" w:themeColor="background1"/>
                <w:szCs w:val="20"/>
                <w:lang w:bidi="ar-SA"/>
              </w:rPr>
            </w:pPr>
            <w:r w:rsidRPr="00207990">
              <w:rPr>
                <w:rFonts w:ascii="Calibri" w:hAnsi="Calibri" w:cs="Calibri"/>
                <w:b/>
                <w:bCs/>
                <w:color w:val="FFFFFF" w:themeColor="background1"/>
                <w:szCs w:val="20"/>
                <w:lang w:bidi="ar-SA"/>
              </w:rPr>
              <w:t>Intrusive</w:t>
            </w:r>
          </w:p>
        </w:tc>
        <w:tc>
          <w:tcPr>
            <w:tcW w:w="3875" w:type="dxa"/>
            <w:tcBorders>
              <w:left w:val="single" w:sz="4" w:space="0" w:color="FFFFFF" w:themeColor="background1"/>
            </w:tcBorders>
            <w:shd w:val="clear" w:color="auto" w:fill="1F3864"/>
          </w:tcPr>
          <w:p w14:paraId="32F4FFFC" w14:textId="5855A3A2" w:rsidR="00BC5AFC" w:rsidRPr="00207990" w:rsidRDefault="00BC5AFC" w:rsidP="00EE628A">
            <w:pPr>
              <w:pStyle w:val="TableBodyText"/>
              <w:spacing w:before="20" w:after="20" w:line="240" w:lineRule="auto"/>
              <w:ind w:left="0"/>
              <w:jc w:val="center"/>
              <w:rPr>
                <w:rFonts w:ascii="Calibri" w:hAnsi="Calibri" w:cs="Calibri"/>
                <w:b/>
                <w:bCs/>
                <w:color w:val="FFFFFF" w:themeColor="background1"/>
                <w:szCs w:val="20"/>
                <w:lang w:bidi="ar-SA"/>
              </w:rPr>
            </w:pPr>
            <w:r w:rsidRPr="00207990">
              <w:rPr>
                <w:rFonts w:ascii="Calibri" w:hAnsi="Calibri" w:cs="Calibri"/>
                <w:b/>
                <w:bCs/>
                <w:color w:val="FFFFFF" w:themeColor="background1"/>
                <w:szCs w:val="20"/>
                <w:lang w:bidi="ar-SA"/>
              </w:rPr>
              <w:t>Non-Intrusive</w:t>
            </w:r>
          </w:p>
        </w:tc>
      </w:tr>
      <w:tr w:rsidR="00BC5AFC" w:rsidRPr="00BC5AFC" w14:paraId="37F913A7" w14:textId="77777777" w:rsidTr="00E34EB1">
        <w:trPr>
          <w:jc w:val="center"/>
        </w:trPr>
        <w:tc>
          <w:tcPr>
            <w:tcW w:w="5485" w:type="dxa"/>
          </w:tcPr>
          <w:p w14:paraId="0D4A5886" w14:textId="77777777" w:rsidR="00BC5AFC" w:rsidRPr="00BC5AFC" w:rsidRDefault="00BC5AFC" w:rsidP="00EE628A">
            <w:pPr>
              <w:pStyle w:val="TableBodyText"/>
              <w:spacing w:before="20" w:after="20" w:line="240" w:lineRule="auto"/>
              <w:ind w:left="95"/>
              <w:rPr>
                <w:szCs w:val="20"/>
              </w:rPr>
            </w:pPr>
            <w:r w:rsidRPr="00BC5AFC">
              <w:rPr>
                <w:szCs w:val="20"/>
              </w:rPr>
              <w:t>Inductive loops</w:t>
            </w:r>
          </w:p>
          <w:p w14:paraId="7832C360" w14:textId="77777777" w:rsidR="00BC5AFC" w:rsidRPr="00BC5AFC" w:rsidRDefault="00BC5AFC" w:rsidP="00EE628A">
            <w:pPr>
              <w:pStyle w:val="TableBodyText"/>
              <w:spacing w:before="20" w:after="20" w:line="240" w:lineRule="auto"/>
              <w:ind w:left="95"/>
              <w:rPr>
                <w:szCs w:val="20"/>
              </w:rPr>
            </w:pPr>
            <w:r w:rsidRPr="00BC5AFC">
              <w:rPr>
                <w:szCs w:val="20"/>
              </w:rPr>
              <w:t xml:space="preserve">Polymer Piezo </w:t>
            </w:r>
          </w:p>
          <w:p w14:paraId="4E7E2AA4" w14:textId="77777777" w:rsidR="00BC5AFC" w:rsidRPr="00BC5AFC" w:rsidRDefault="00BC5AFC" w:rsidP="00EE628A">
            <w:pPr>
              <w:pStyle w:val="TableBodyText"/>
              <w:spacing w:before="20" w:after="20" w:line="240" w:lineRule="auto"/>
              <w:ind w:left="95"/>
              <w:rPr>
                <w:szCs w:val="20"/>
              </w:rPr>
            </w:pPr>
            <w:r w:rsidRPr="00BC5AFC">
              <w:rPr>
                <w:szCs w:val="20"/>
              </w:rPr>
              <w:t xml:space="preserve">Quartz Piezo </w:t>
            </w:r>
          </w:p>
          <w:p w14:paraId="5936BDA7" w14:textId="77777777" w:rsidR="00BC5AFC" w:rsidRPr="00BC5AFC" w:rsidRDefault="00BC5AFC" w:rsidP="00EE628A">
            <w:pPr>
              <w:pStyle w:val="TableBodyText"/>
              <w:spacing w:before="20" w:after="20" w:line="240" w:lineRule="auto"/>
              <w:ind w:left="95"/>
              <w:rPr>
                <w:szCs w:val="20"/>
              </w:rPr>
            </w:pPr>
            <w:r w:rsidRPr="00BC5AFC">
              <w:rPr>
                <w:szCs w:val="20"/>
              </w:rPr>
              <w:t>Fiber optic</w:t>
            </w:r>
          </w:p>
          <w:p w14:paraId="241694F9" w14:textId="77777777" w:rsidR="00BC5AFC" w:rsidRPr="00BC5AFC" w:rsidRDefault="00BC5AFC" w:rsidP="00EE628A">
            <w:pPr>
              <w:pStyle w:val="TableBodyText"/>
              <w:spacing w:before="20" w:after="20" w:line="240" w:lineRule="auto"/>
              <w:ind w:left="95"/>
              <w:rPr>
                <w:szCs w:val="20"/>
              </w:rPr>
            </w:pPr>
            <w:r w:rsidRPr="00BC5AFC">
              <w:rPr>
                <w:szCs w:val="20"/>
              </w:rPr>
              <w:t>Magnetometer (most sensor designs)</w:t>
            </w:r>
          </w:p>
          <w:p w14:paraId="115DDE1D" w14:textId="77777777" w:rsidR="00BC5AFC" w:rsidRPr="00BC5AFC" w:rsidRDefault="00BC5AFC" w:rsidP="00EE628A">
            <w:pPr>
              <w:pStyle w:val="TableBodyText"/>
              <w:spacing w:before="20" w:after="20" w:line="240" w:lineRule="auto"/>
              <w:ind w:left="95"/>
              <w:rPr>
                <w:szCs w:val="20"/>
              </w:rPr>
            </w:pPr>
            <w:r w:rsidRPr="00BC5AFC">
              <w:rPr>
                <w:szCs w:val="20"/>
              </w:rPr>
              <w:t>Tape Switches (pneumatic tubes)</w:t>
            </w:r>
          </w:p>
          <w:p w14:paraId="2354E8AC" w14:textId="591EC737" w:rsidR="00BC5AFC" w:rsidRPr="00BC5AFC" w:rsidRDefault="00BC5AFC" w:rsidP="00EE628A">
            <w:pPr>
              <w:pStyle w:val="TableBodyText"/>
              <w:spacing w:before="20" w:after="20" w:line="240" w:lineRule="auto"/>
              <w:ind w:left="95"/>
              <w:rPr>
                <w:szCs w:val="20"/>
              </w:rPr>
            </w:pPr>
            <w:r w:rsidRPr="00BC5AFC">
              <w:rPr>
                <w:szCs w:val="20"/>
              </w:rPr>
              <w:t>WIM systems (bending plates, load cells, and strip strain gauge)</w:t>
            </w:r>
          </w:p>
        </w:tc>
        <w:tc>
          <w:tcPr>
            <w:tcW w:w="3875" w:type="dxa"/>
          </w:tcPr>
          <w:p w14:paraId="0CCD6A2A" w14:textId="77777777" w:rsidR="00BC5AFC" w:rsidRPr="00BC5AFC" w:rsidRDefault="00BC5AFC" w:rsidP="00EE628A">
            <w:pPr>
              <w:pStyle w:val="TableBodyText"/>
              <w:spacing w:before="20" w:after="20" w:line="240" w:lineRule="auto"/>
              <w:ind w:left="95"/>
              <w:rPr>
                <w:szCs w:val="20"/>
              </w:rPr>
            </w:pPr>
            <w:r w:rsidRPr="00BC5AFC">
              <w:rPr>
                <w:szCs w:val="20"/>
              </w:rPr>
              <w:t>Infrared (passive, active)</w:t>
            </w:r>
          </w:p>
          <w:p w14:paraId="3F6E974A" w14:textId="77777777" w:rsidR="00BC5AFC" w:rsidRPr="00BC5AFC" w:rsidRDefault="00BC5AFC" w:rsidP="00EE628A">
            <w:pPr>
              <w:pStyle w:val="TableBodyText"/>
              <w:spacing w:before="20" w:after="20" w:line="240" w:lineRule="auto"/>
              <w:ind w:left="95"/>
              <w:rPr>
                <w:szCs w:val="20"/>
              </w:rPr>
            </w:pPr>
            <w:r w:rsidRPr="00BC5AFC">
              <w:rPr>
                <w:szCs w:val="20"/>
              </w:rPr>
              <w:t>Video detection system</w:t>
            </w:r>
          </w:p>
          <w:p w14:paraId="10AEB70B" w14:textId="77777777" w:rsidR="00BC5AFC" w:rsidRPr="00BC5AFC" w:rsidRDefault="00BC5AFC" w:rsidP="00EE628A">
            <w:pPr>
              <w:pStyle w:val="TableBodyText"/>
              <w:spacing w:before="20" w:after="20" w:line="240" w:lineRule="auto"/>
              <w:ind w:left="95"/>
              <w:rPr>
                <w:szCs w:val="20"/>
              </w:rPr>
            </w:pPr>
            <w:r w:rsidRPr="00BC5AFC">
              <w:rPr>
                <w:szCs w:val="20"/>
              </w:rPr>
              <w:t>Microwave (overhead or side mounted)</w:t>
            </w:r>
          </w:p>
          <w:p w14:paraId="19B0ED93" w14:textId="77777777" w:rsidR="00BC5AFC" w:rsidRPr="00BC5AFC" w:rsidRDefault="00BC5AFC" w:rsidP="00EE628A">
            <w:pPr>
              <w:pStyle w:val="TableBodyText"/>
              <w:spacing w:before="20" w:after="20" w:line="240" w:lineRule="auto"/>
              <w:ind w:left="95"/>
              <w:rPr>
                <w:szCs w:val="20"/>
              </w:rPr>
            </w:pPr>
            <w:r w:rsidRPr="00BC5AFC">
              <w:rPr>
                <w:szCs w:val="20"/>
              </w:rPr>
              <w:t>CW Doppler sensor</w:t>
            </w:r>
          </w:p>
          <w:p w14:paraId="3396EC4E" w14:textId="77777777" w:rsidR="00BC5AFC" w:rsidRPr="00BC5AFC" w:rsidRDefault="00BC5AFC" w:rsidP="00EE628A">
            <w:pPr>
              <w:pStyle w:val="TableBodyText"/>
              <w:spacing w:before="20" w:after="20" w:line="240" w:lineRule="auto"/>
              <w:ind w:left="95"/>
              <w:rPr>
                <w:szCs w:val="20"/>
              </w:rPr>
            </w:pPr>
            <w:r w:rsidRPr="00BC5AFC">
              <w:rPr>
                <w:szCs w:val="20"/>
              </w:rPr>
              <w:t>Acoustic</w:t>
            </w:r>
          </w:p>
          <w:p w14:paraId="3FF44640" w14:textId="77777777" w:rsidR="00BC5AFC" w:rsidRPr="00BC5AFC" w:rsidRDefault="00BC5AFC" w:rsidP="00EE628A">
            <w:pPr>
              <w:pStyle w:val="TableBodyText"/>
              <w:spacing w:before="20" w:after="20" w:line="240" w:lineRule="auto"/>
              <w:ind w:left="95"/>
              <w:rPr>
                <w:szCs w:val="20"/>
              </w:rPr>
            </w:pPr>
            <w:r w:rsidRPr="00BC5AFC">
              <w:rPr>
                <w:szCs w:val="20"/>
              </w:rPr>
              <w:t>Ultrasonic</w:t>
            </w:r>
          </w:p>
          <w:p w14:paraId="0B6EE2A2" w14:textId="1937DDE5" w:rsidR="00BC5AFC" w:rsidRPr="00BC5AFC" w:rsidRDefault="00BC5AFC" w:rsidP="00EE628A">
            <w:pPr>
              <w:pStyle w:val="TableBodyText"/>
              <w:spacing w:before="20" w:after="20" w:line="240" w:lineRule="auto"/>
              <w:ind w:left="95"/>
              <w:rPr>
                <w:szCs w:val="20"/>
              </w:rPr>
            </w:pPr>
            <w:r w:rsidRPr="00BC5AFC">
              <w:rPr>
                <w:szCs w:val="20"/>
              </w:rPr>
              <w:t>Laser radar</w:t>
            </w:r>
          </w:p>
        </w:tc>
      </w:tr>
    </w:tbl>
    <w:p w14:paraId="7E763311" w14:textId="06A4F67D" w:rsidR="008822A4" w:rsidRPr="00F468E1" w:rsidRDefault="008822A4">
      <w:pPr>
        <w:pStyle w:val="Heading3"/>
      </w:pPr>
      <w:bookmarkStart w:id="757" w:name="_Toc52785402"/>
      <w:bookmarkStart w:id="758" w:name="_Toc63428130"/>
      <w:bookmarkStart w:id="759" w:name="_Toc118205591"/>
      <w:bookmarkEnd w:id="756"/>
      <w:r w:rsidRPr="00F468E1">
        <w:t>Equipment Selection for Short-Term Temporary Counts</w:t>
      </w:r>
      <w:bookmarkEnd w:id="757"/>
      <w:bookmarkEnd w:id="758"/>
      <w:bookmarkEnd w:id="759"/>
      <w:r w:rsidRPr="00F468E1">
        <w:t xml:space="preserve"> </w:t>
      </w:r>
    </w:p>
    <w:p w14:paraId="179200CC" w14:textId="77777777" w:rsidR="008822A4" w:rsidRPr="00855E7E" w:rsidRDefault="008822A4" w:rsidP="003B0722">
      <w:pPr>
        <w:pStyle w:val="BodyText"/>
      </w:pPr>
      <w:bookmarkStart w:id="760" w:name="_Hlk49761731"/>
      <w:r w:rsidRPr="00855E7E">
        <w:t xml:space="preserve">The short-term temporary counts are designed to provide wide geographic coverage at low cost. Most highway agencies perform many short-term counts, with the data collection staff working frequently within the roadway right-of-way to place and retrieve data collection sensors and equipment. This leads to additional priorities when selecting the appropriate technologies and equipment for performing short-term counts (in addition to the issues discussed in the previous sections, and the accuracy and price of the equipment). </w:t>
      </w:r>
      <w:bookmarkEnd w:id="760"/>
      <w:r w:rsidRPr="00855E7E">
        <w:t xml:space="preserve">The technologies used for short-term counts </w:t>
      </w:r>
      <w:r w:rsidRPr="003B0722">
        <w:t>should</w:t>
      </w:r>
      <w:r w:rsidRPr="00855E7E">
        <w:t>:</w:t>
      </w:r>
    </w:p>
    <w:p w14:paraId="5735620F" w14:textId="77777777" w:rsidR="008822A4" w:rsidRPr="00220AFE" w:rsidRDefault="008822A4">
      <w:pPr>
        <w:pStyle w:val="TMGBullet"/>
      </w:pPr>
      <w:r w:rsidRPr="00220AFE">
        <w:t>Be easy and quick to put in place and calibrate (because this saves large amounts of staff time when even small savings are multiplied by a large number of counts).</w:t>
      </w:r>
    </w:p>
    <w:p w14:paraId="35FFAC05" w14:textId="77777777" w:rsidR="008822A4" w:rsidRPr="00220AFE" w:rsidRDefault="008822A4">
      <w:pPr>
        <w:pStyle w:val="TMGBullet"/>
      </w:pPr>
      <w:r w:rsidRPr="00220AFE">
        <w:t>Allow placement of the traffic sensors safely.</w:t>
      </w:r>
    </w:p>
    <w:p w14:paraId="2C771C1A" w14:textId="77777777" w:rsidR="008822A4" w:rsidRPr="00220AFE" w:rsidRDefault="008822A4">
      <w:pPr>
        <w:pStyle w:val="TMGBullet"/>
      </w:pPr>
      <w:r w:rsidRPr="00220AFE">
        <w:lastRenderedPageBreak/>
        <w:t>The data collection electronics should contain a sufficient power source to allow the device to operate until it is retrieved.</w:t>
      </w:r>
    </w:p>
    <w:p w14:paraId="707DD494" w14:textId="77777777" w:rsidR="008822A4" w:rsidRPr="00220AFE" w:rsidRDefault="008822A4">
      <w:pPr>
        <w:pStyle w:val="TMGBullet"/>
      </w:pPr>
      <w:r w:rsidRPr="00220AFE">
        <w:t xml:space="preserve">The data collection sensors should stay in place, and operate correctly for the duration of short count, sometimes extending to one week. </w:t>
      </w:r>
    </w:p>
    <w:p w14:paraId="26512861" w14:textId="77777777" w:rsidR="008822A4" w:rsidRPr="00220AFE" w:rsidRDefault="008822A4">
      <w:pPr>
        <w:pStyle w:val="TMGBullet"/>
      </w:pPr>
      <w:r w:rsidRPr="00220AFE">
        <w:t>The data collection equipment should be theft and vandalism resistant. (Traditionally, this has meant that the data collection electronics have been stored in a rugged case that can be chained to a permanent fixture to prevent theft.)</w:t>
      </w:r>
    </w:p>
    <w:p w14:paraId="1286D966" w14:textId="3DC74423" w:rsidR="008822A4" w:rsidRPr="00220AFE" w:rsidRDefault="008822A4">
      <w:pPr>
        <w:pStyle w:val="TMGBullet"/>
      </w:pPr>
      <w:r w:rsidRPr="00220AFE">
        <w:t>All data collection equipment should have clear markings for who owns the devices and a contact number to call should the equipment get lost, stolen</w:t>
      </w:r>
      <w:r w:rsidR="00944351">
        <w:t>,</w:t>
      </w:r>
      <w:r w:rsidRPr="00220AFE">
        <w:t xml:space="preserve"> or become mis</w:t>
      </w:r>
      <w:r w:rsidR="00944351">
        <w:t>-</w:t>
      </w:r>
      <w:r w:rsidRPr="00220AFE">
        <w:t>placed.</w:t>
      </w:r>
    </w:p>
    <w:p w14:paraId="5A4ECE75" w14:textId="77777777" w:rsidR="008822A4" w:rsidRPr="00220AFE" w:rsidRDefault="008822A4">
      <w:pPr>
        <w:pStyle w:val="TMGBullet"/>
      </w:pPr>
      <w:r w:rsidRPr="00220AFE">
        <w:t>The data collection electronics should have a robust mechanism for transferring data from the data collection electronics to the central traffic data repository.</w:t>
      </w:r>
    </w:p>
    <w:p w14:paraId="1C534562" w14:textId="77777777" w:rsidR="008822A4" w:rsidRPr="00220AFE" w:rsidRDefault="008822A4">
      <w:pPr>
        <w:pStyle w:val="TMGBullet"/>
      </w:pPr>
      <w:r w:rsidRPr="00220AFE">
        <w:t>Software should be user-friendly and easy to check for proper functionality before the technician leaves the site.</w:t>
      </w:r>
    </w:p>
    <w:p w14:paraId="41998323" w14:textId="208DD2DA" w:rsidR="008822A4" w:rsidRPr="00855E7E" w:rsidRDefault="008822A4" w:rsidP="00A35EAF">
      <w:pPr>
        <w:pStyle w:val="BodyText"/>
      </w:pPr>
      <w:r w:rsidRPr="00855E7E">
        <w:t>The speed of sensor placement, electronic equipment set up, and calibration are important. The faster sensors and data collection equipment are placed, the more count locations a given staff member can set-up in a day and the lower the cost</w:t>
      </w:r>
      <w:r w:rsidR="00010934">
        <w:t>s</w:t>
      </w:r>
      <w:r w:rsidRPr="00855E7E">
        <w:t xml:space="preserve"> of short-term data collecting are. At the same time, the placement (and pick up) of the sensors must not endanger the staff placing those sensors. This need to safeguard data collection staff, without incurring the high cost of full-scale traffic control, is one of the reasons so much effort has been spent on exploring non-intrusive traffic data collection technologies. However, on lower</w:t>
      </w:r>
      <w:r w:rsidR="00010934">
        <w:t>-</w:t>
      </w:r>
      <w:r w:rsidRPr="00855E7E">
        <w:t xml:space="preserve">volume roads where low-cost road-tube axle sensors can be easily placed without endangering the data collection staff, intrusive sensors are still commonly used. </w:t>
      </w:r>
    </w:p>
    <w:p w14:paraId="3948BAF2" w14:textId="53FF7A66" w:rsidR="008822A4" w:rsidRPr="00855E7E" w:rsidRDefault="008822A4" w:rsidP="00A35EAF">
      <w:pPr>
        <w:pStyle w:val="BodyText"/>
      </w:pPr>
      <w:r w:rsidRPr="00855E7E">
        <w:t xml:space="preserve">Where intrusive sensors cannot be safely and easily placed, agencies either use non-intrusive sensors or accept the cost of substantial traffic control each time a sensor must be placed in the roadway. Where short counts are used routinely at such locations, but the agency is not interested in investing </w:t>
      </w:r>
      <w:r w:rsidR="00010934">
        <w:t xml:space="preserve">in </w:t>
      </w:r>
      <w:r w:rsidRPr="00855E7E">
        <w:t xml:space="preserve">permanent equipment, another option is to place permanent intrusive sensors in the roadway but not to connect those sensors to permanent power and communications. Instead, to use these sensors, the agency simply connects portable data collection electronics to the sensor leads, which are stored in a weatherproof enclosure until they are needed again. This approach saves the agency both the initial capital expenditure of bringing power and communications to the site, and the cost of traffic control during subsequent site visits. However, this approach is only cost effective if the permanent sensors are long lived, and if that location is to be visited for data collection routinely. </w:t>
      </w:r>
    </w:p>
    <w:p w14:paraId="3638989A" w14:textId="77777777" w:rsidR="008822A4" w:rsidRPr="00855E7E" w:rsidRDefault="008822A4" w:rsidP="00A35EAF">
      <w:pPr>
        <w:pStyle w:val="BodyText"/>
      </w:pPr>
      <w:r w:rsidRPr="00855E7E">
        <w:t xml:space="preserve">If non-intrusive sensors are the desired option for short-term counts, the most common approach is to affix the non-intrusive sensors to an extendable pole, which is placed on a trailer. The trailer is then towed to the roadside locations, placed in a safe position behind a barrier, and the pole raised. The sensors are then calibrated, and the entire trailer system left in place for the duration of the count. </w:t>
      </w:r>
    </w:p>
    <w:p w14:paraId="344318BF" w14:textId="66E9D4E9" w:rsidR="008822A4" w:rsidRPr="00855E7E" w:rsidRDefault="008822A4" w:rsidP="00A35EAF">
      <w:pPr>
        <w:pStyle w:val="BodyText"/>
      </w:pPr>
      <w:r w:rsidRPr="00855E7E">
        <w:t>Short-term counts are commonly used to collect volume, volume by classification of vehicle (including micromobility) and speed. Portable road-top WIM sensors for vehicle and axle weight estimation are not recommended due to low weight data accuracy. Weight data are collected with a high degree of accuracy only using WIM sensors installed flush with</w:t>
      </w:r>
      <w:r w:rsidR="00010934">
        <w:t xml:space="preserve"> the</w:t>
      </w:r>
      <w:r w:rsidRPr="00855E7E">
        <w:t xml:space="preserve"> road surface. This means that most roadway agencies collect axle weight data from permanent data collection sites. </w:t>
      </w:r>
      <w:r w:rsidR="006827F7">
        <w:fldChar w:fldCharType="begin"/>
      </w:r>
      <w:r w:rsidR="006827F7">
        <w:instrText xml:space="preserve"> REF _Ref114749843 \h </w:instrText>
      </w:r>
      <w:r w:rsidR="006827F7">
        <w:fldChar w:fldCharType="separate"/>
      </w:r>
      <w:r w:rsidR="00C07DF9" w:rsidRPr="00855E7E">
        <w:t xml:space="preserve">Table </w:t>
      </w:r>
      <w:r w:rsidR="00C07DF9">
        <w:rPr>
          <w:noProof/>
        </w:rPr>
        <w:t>2</w:t>
      </w:r>
      <w:r w:rsidR="00C07DF9">
        <w:noBreakHyphen/>
      </w:r>
      <w:r w:rsidR="00C07DF9">
        <w:rPr>
          <w:noProof/>
        </w:rPr>
        <w:t>9</w:t>
      </w:r>
      <w:r w:rsidR="006827F7">
        <w:fldChar w:fldCharType="end"/>
      </w:r>
      <w:r w:rsidRPr="00855E7E">
        <w:t xml:space="preserve"> describes the sensor technologies that are commonly used for short-term counts and the motorized vehicle attributes they routinely collect. </w:t>
      </w:r>
    </w:p>
    <w:p w14:paraId="0D193833" w14:textId="77777777" w:rsidR="008822A4" w:rsidRPr="00855E7E" w:rsidRDefault="008822A4" w:rsidP="008822A4">
      <w:pPr>
        <w:rPr>
          <w:color w:val="auto"/>
        </w:rPr>
        <w:sectPr w:rsidR="008822A4" w:rsidRPr="00855E7E" w:rsidSect="00A0026F">
          <w:headerReference w:type="even" r:id="rId67"/>
          <w:headerReference w:type="default" r:id="rId68"/>
          <w:footerReference w:type="default" r:id="rId69"/>
          <w:type w:val="oddPage"/>
          <w:pgSz w:w="12240" w:h="15840" w:code="1"/>
          <w:pgMar w:top="1440" w:right="1440" w:bottom="1152" w:left="1440" w:header="720" w:footer="576" w:gutter="0"/>
          <w:pgNumType w:start="1" w:chapStyle="1"/>
          <w:cols w:space="720"/>
          <w:titlePg/>
        </w:sectPr>
      </w:pPr>
    </w:p>
    <w:p w14:paraId="1B8DA3B8" w14:textId="3D470A4C" w:rsidR="008822A4" w:rsidRPr="00855E7E" w:rsidRDefault="008822A4" w:rsidP="00BC5AFC">
      <w:pPr>
        <w:pStyle w:val="TMGTableCaption"/>
        <w:spacing w:before="0"/>
      </w:pPr>
      <w:bookmarkStart w:id="761" w:name="_Ref114749843"/>
      <w:bookmarkStart w:id="762" w:name="_Toc63428094"/>
      <w:bookmarkStart w:id="763" w:name="_Toc68874107"/>
      <w:bookmarkStart w:id="764" w:name="_Toc114474819"/>
      <w:bookmarkStart w:id="765" w:name="_Toc120631125"/>
      <w:r w:rsidRPr="00855E7E">
        <w:lastRenderedPageBreak/>
        <w:t xml:space="preserve">Table </w:t>
      </w:r>
      <w:fldSimple w:instr=" STYLEREF 1 \s ">
        <w:r w:rsidR="00C07DF9">
          <w:rPr>
            <w:noProof/>
          </w:rPr>
          <w:t>2</w:t>
        </w:r>
      </w:fldSimple>
      <w:r w:rsidR="00FE5355">
        <w:noBreakHyphen/>
      </w:r>
      <w:fldSimple w:instr=" SEQ Table \* ARABIC \s 1 ">
        <w:r w:rsidR="00C07DF9">
          <w:rPr>
            <w:noProof/>
          </w:rPr>
          <w:t>9</w:t>
        </w:r>
      </w:fldSimple>
      <w:bookmarkEnd w:id="761"/>
      <w:r w:rsidR="00E34EB1">
        <w:t>.</w:t>
      </w:r>
      <w:r w:rsidRPr="00855E7E">
        <w:t xml:space="preserve"> Sensors </w:t>
      </w:r>
      <w:r w:rsidR="006827F7">
        <w:t>f</w:t>
      </w:r>
      <w:r w:rsidRPr="00855E7E">
        <w:t xml:space="preserve">or Motorized Vehicle Data Collection </w:t>
      </w:r>
      <w:r w:rsidR="00E34EB1">
        <w:t>f</w:t>
      </w:r>
      <w:r w:rsidRPr="00855E7E">
        <w:t>or Short-Term Counts</w:t>
      </w:r>
      <w:bookmarkEnd w:id="762"/>
      <w:bookmarkEnd w:id="763"/>
      <w:bookmarkEnd w:id="764"/>
      <w:bookmarkEnd w:id="765"/>
    </w:p>
    <w:tbl>
      <w:tblPr>
        <w:tblStyle w:val="TMGTable10"/>
        <w:tblW w:w="13219" w:type="dxa"/>
        <w:tblLayout w:type="fixed"/>
        <w:tblLook w:val="04A0" w:firstRow="1" w:lastRow="0" w:firstColumn="1" w:lastColumn="0" w:noHBand="0" w:noVBand="1"/>
      </w:tblPr>
      <w:tblGrid>
        <w:gridCol w:w="1712"/>
        <w:gridCol w:w="1774"/>
        <w:gridCol w:w="1840"/>
        <w:gridCol w:w="1866"/>
        <w:gridCol w:w="3013"/>
        <w:gridCol w:w="3014"/>
      </w:tblGrid>
      <w:tr w:rsidR="00E779DE" w:rsidRPr="00855E7E" w14:paraId="695AE4EA" w14:textId="77777777" w:rsidTr="00701BE1">
        <w:trPr>
          <w:cnfStyle w:val="100000000000" w:firstRow="1" w:lastRow="0" w:firstColumn="0" w:lastColumn="0" w:oddVBand="0" w:evenVBand="0" w:oddHBand="0" w:evenHBand="0" w:firstRowFirstColumn="0" w:firstRowLastColumn="0" w:lastRowFirstColumn="0" w:lastRowLastColumn="0"/>
          <w:trHeight w:val="476"/>
        </w:trPr>
        <w:tc>
          <w:tcPr>
            <w:tcW w:w="1718" w:type="dxa"/>
            <w:hideMark/>
          </w:tcPr>
          <w:p w14:paraId="23CE7D3F" w14:textId="77777777" w:rsidR="008822A4" w:rsidRPr="00207990" w:rsidRDefault="008822A4" w:rsidP="007D7F48">
            <w:pPr>
              <w:pStyle w:val="TableBodyText"/>
              <w:spacing w:before="20" w:after="20" w:line="240" w:lineRule="auto"/>
              <w:jc w:val="center"/>
              <w:rPr>
                <w:rFonts w:ascii="Calibri" w:hAnsi="Calibri" w:cs="Calibri"/>
                <w:b/>
                <w:bCs/>
                <w:color w:val="FFFFFF" w:themeColor="background1"/>
                <w:szCs w:val="20"/>
              </w:rPr>
            </w:pPr>
            <w:bookmarkStart w:id="766" w:name="_Hlk62726699"/>
            <w:r w:rsidRPr="00207990">
              <w:rPr>
                <w:rFonts w:ascii="Calibri" w:hAnsi="Calibri" w:cs="Calibri"/>
                <w:b/>
                <w:bCs/>
                <w:color w:val="FFFFFF" w:themeColor="background1"/>
                <w:szCs w:val="20"/>
              </w:rPr>
              <w:t>Technology</w:t>
            </w:r>
          </w:p>
        </w:tc>
        <w:tc>
          <w:tcPr>
            <w:tcW w:w="1780" w:type="dxa"/>
            <w:hideMark/>
          </w:tcPr>
          <w:p w14:paraId="43A7A497" w14:textId="2CDCDD72" w:rsidR="008822A4" w:rsidRPr="00207990" w:rsidRDefault="008822A4" w:rsidP="007D7F48">
            <w:pPr>
              <w:pStyle w:val="TableBodyText"/>
              <w:spacing w:before="20" w:after="20" w:line="240" w:lineRule="auto"/>
              <w:jc w:val="center"/>
              <w:rPr>
                <w:rFonts w:ascii="Calibri" w:hAnsi="Calibri" w:cs="Calibri"/>
                <w:b/>
                <w:bCs/>
                <w:color w:val="FFFFFF" w:themeColor="background1"/>
                <w:szCs w:val="20"/>
              </w:rPr>
            </w:pPr>
            <w:bookmarkStart w:id="767" w:name="_Hlk62726299"/>
            <w:r w:rsidRPr="00207990">
              <w:rPr>
                <w:rFonts w:ascii="Calibri" w:hAnsi="Calibri" w:cs="Calibri"/>
                <w:b/>
                <w:bCs/>
                <w:color w:val="FFFFFF" w:themeColor="background1"/>
                <w:szCs w:val="20"/>
              </w:rPr>
              <w:t>No. Sensors Needed for Speed Data Collection</w:t>
            </w:r>
            <w:bookmarkEnd w:id="767"/>
          </w:p>
        </w:tc>
        <w:tc>
          <w:tcPr>
            <w:tcW w:w="1846" w:type="dxa"/>
            <w:hideMark/>
          </w:tcPr>
          <w:p w14:paraId="1162125F" w14:textId="3028309D" w:rsidR="008822A4" w:rsidRPr="00207990" w:rsidRDefault="008822A4" w:rsidP="007D7F48">
            <w:pPr>
              <w:pStyle w:val="TableBodyText"/>
              <w:spacing w:before="20" w:after="20" w:line="240" w:lineRule="auto"/>
              <w:jc w:val="center"/>
              <w:rPr>
                <w:rFonts w:ascii="Calibri" w:hAnsi="Calibri" w:cs="Calibri"/>
                <w:b/>
                <w:bCs/>
                <w:color w:val="FFFFFF" w:themeColor="background1"/>
                <w:szCs w:val="20"/>
              </w:rPr>
            </w:pPr>
            <w:r w:rsidRPr="00207990">
              <w:rPr>
                <w:rFonts w:ascii="Calibri" w:hAnsi="Calibri" w:cs="Calibri"/>
                <w:b/>
                <w:bCs/>
                <w:color w:val="FFFFFF" w:themeColor="background1"/>
                <w:szCs w:val="20"/>
              </w:rPr>
              <w:t xml:space="preserve">Types of Vehicle </w:t>
            </w:r>
            <w:r w:rsidRPr="00207990">
              <w:rPr>
                <w:rFonts w:ascii="Calibri" w:hAnsi="Calibri" w:cs="Calibri"/>
                <w:b/>
                <w:bCs/>
                <w:color w:val="FFFFFF" w:themeColor="background1"/>
                <w:szCs w:val="20"/>
              </w:rPr>
              <w:br/>
              <w:t xml:space="preserve">Classifications </w:t>
            </w:r>
            <w:r w:rsidRPr="00207990">
              <w:rPr>
                <w:rFonts w:ascii="Calibri" w:hAnsi="Calibri" w:cs="Calibri"/>
                <w:b/>
                <w:bCs/>
                <w:color w:val="FFFFFF" w:themeColor="background1"/>
                <w:szCs w:val="20"/>
              </w:rPr>
              <w:br/>
              <w:t>Collected</w:t>
            </w:r>
          </w:p>
        </w:tc>
        <w:tc>
          <w:tcPr>
            <w:tcW w:w="1872" w:type="dxa"/>
            <w:hideMark/>
          </w:tcPr>
          <w:p w14:paraId="7A676DFF" w14:textId="21EBCE24" w:rsidR="008822A4" w:rsidRPr="00207990" w:rsidRDefault="008822A4" w:rsidP="007D7F48">
            <w:pPr>
              <w:pStyle w:val="TableBodyText"/>
              <w:spacing w:before="20" w:after="20" w:line="240" w:lineRule="auto"/>
              <w:jc w:val="center"/>
              <w:rPr>
                <w:rFonts w:ascii="Calibri" w:hAnsi="Calibri" w:cs="Calibri"/>
                <w:b/>
                <w:bCs/>
                <w:color w:val="FFFFFF" w:themeColor="background1"/>
                <w:szCs w:val="20"/>
              </w:rPr>
            </w:pPr>
            <w:r w:rsidRPr="00207990">
              <w:rPr>
                <w:rFonts w:ascii="Calibri" w:hAnsi="Calibri" w:cs="Calibri"/>
                <w:b/>
                <w:bCs/>
                <w:color w:val="FFFFFF" w:themeColor="background1"/>
                <w:szCs w:val="20"/>
              </w:rPr>
              <w:t>Number of Lanes of</w:t>
            </w:r>
            <w:r w:rsidR="0061163F">
              <w:rPr>
                <w:rFonts w:ascii="Calibri" w:hAnsi="Calibri" w:cs="Calibri"/>
                <w:b/>
                <w:bCs/>
                <w:color w:val="FFFFFF" w:themeColor="background1"/>
                <w:szCs w:val="20"/>
              </w:rPr>
              <w:t xml:space="preserve"> </w:t>
            </w:r>
            <w:r w:rsidRPr="00207990">
              <w:rPr>
                <w:rFonts w:ascii="Calibri" w:hAnsi="Calibri" w:cs="Calibri"/>
                <w:b/>
                <w:bCs/>
                <w:color w:val="FFFFFF" w:themeColor="background1"/>
                <w:szCs w:val="20"/>
              </w:rPr>
              <w:t>Data Collected by Each Sensor</w:t>
            </w:r>
          </w:p>
        </w:tc>
        <w:tc>
          <w:tcPr>
            <w:tcW w:w="3024" w:type="dxa"/>
            <w:hideMark/>
          </w:tcPr>
          <w:p w14:paraId="6CF3C546" w14:textId="5D68276F" w:rsidR="008822A4" w:rsidRPr="00207990" w:rsidRDefault="008822A4" w:rsidP="007D7F48">
            <w:pPr>
              <w:pStyle w:val="TableBodyText"/>
              <w:spacing w:before="20" w:after="20" w:line="240" w:lineRule="auto"/>
              <w:jc w:val="center"/>
              <w:rPr>
                <w:rFonts w:ascii="Calibri" w:hAnsi="Calibri" w:cs="Calibri"/>
                <w:b/>
                <w:bCs/>
                <w:color w:val="FFFFFF" w:themeColor="background1"/>
                <w:szCs w:val="20"/>
              </w:rPr>
            </w:pPr>
            <w:bookmarkStart w:id="768" w:name="_Hlk62726818"/>
            <w:r w:rsidRPr="00207990">
              <w:rPr>
                <w:rFonts w:ascii="Calibri" w:hAnsi="Calibri" w:cs="Calibri"/>
                <w:b/>
                <w:bCs/>
                <w:color w:val="FFFFFF" w:themeColor="background1"/>
                <w:szCs w:val="20"/>
              </w:rPr>
              <w:t>Environmental</w:t>
            </w:r>
            <w:r w:rsidR="007D7F48" w:rsidRPr="00207990">
              <w:rPr>
                <w:rFonts w:ascii="Calibri" w:hAnsi="Calibri" w:cs="Calibri"/>
                <w:b/>
                <w:bCs/>
                <w:color w:val="FFFFFF" w:themeColor="background1"/>
                <w:szCs w:val="20"/>
              </w:rPr>
              <w:br/>
            </w:r>
            <w:r w:rsidRPr="00207990">
              <w:rPr>
                <w:rFonts w:ascii="Calibri" w:hAnsi="Calibri" w:cs="Calibri"/>
                <w:b/>
                <w:bCs/>
                <w:color w:val="FFFFFF" w:themeColor="background1"/>
                <w:szCs w:val="20"/>
              </w:rPr>
              <w:t>Issues</w:t>
            </w:r>
            <w:bookmarkEnd w:id="768"/>
            <w:r w:rsidRPr="00207990">
              <w:rPr>
                <w:rFonts w:ascii="Calibri" w:hAnsi="Calibri" w:cs="Calibri"/>
                <w:b/>
                <w:bCs/>
                <w:color w:val="FFFFFF" w:themeColor="background1"/>
                <w:szCs w:val="20"/>
              </w:rPr>
              <w:t>/Concerns</w:t>
            </w:r>
          </w:p>
        </w:tc>
        <w:tc>
          <w:tcPr>
            <w:tcW w:w="3025" w:type="dxa"/>
            <w:hideMark/>
          </w:tcPr>
          <w:p w14:paraId="5EE3EF29" w14:textId="2C9FC6F4" w:rsidR="008822A4" w:rsidRPr="00207990" w:rsidRDefault="008822A4" w:rsidP="007D7F48">
            <w:pPr>
              <w:pStyle w:val="TableBodyText"/>
              <w:spacing w:before="20" w:after="20" w:line="240" w:lineRule="auto"/>
              <w:jc w:val="center"/>
              <w:rPr>
                <w:rFonts w:ascii="Calibri" w:hAnsi="Calibri" w:cs="Calibri"/>
                <w:b/>
                <w:bCs/>
                <w:color w:val="FFFFFF" w:themeColor="background1"/>
                <w:szCs w:val="20"/>
              </w:rPr>
            </w:pPr>
            <w:r w:rsidRPr="00207990">
              <w:rPr>
                <w:rFonts w:ascii="Calibri" w:hAnsi="Calibri" w:cs="Calibri"/>
                <w:b/>
                <w:bCs/>
                <w:color w:val="FFFFFF" w:themeColor="background1"/>
                <w:szCs w:val="20"/>
              </w:rPr>
              <w:t>Other</w:t>
            </w:r>
            <w:r w:rsidR="007D7F48" w:rsidRPr="00207990">
              <w:rPr>
                <w:rFonts w:ascii="Calibri" w:hAnsi="Calibri" w:cs="Calibri"/>
                <w:b/>
                <w:bCs/>
                <w:color w:val="FFFFFF" w:themeColor="background1"/>
                <w:szCs w:val="20"/>
              </w:rPr>
              <w:br/>
            </w:r>
            <w:r w:rsidRPr="00207990">
              <w:rPr>
                <w:rFonts w:ascii="Calibri" w:hAnsi="Calibri" w:cs="Calibri"/>
                <w:b/>
                <w:bCs/>
                <w:color w:val="FFFFFF" w:themeColor="background1"/>
                <w:szCs w:val="20"/>
              </w:rPr>
              <w:t>Issues/Concerns</w:t>
            </w:r>
          </w:p>
        </w:tc>
      </w:tr>
      <w:bookmarkEnd w:id="766"/>
      <w:tr w:rsidR="007D7F48" w:rsidRPr="00855E7E" w14:paraId="0EC95225" w14:textId="77777777" w:rsidTr="00701BE1">
        <w:trPr>
          <w:trHeight w:val="539"/>
        </w:trPr>
        <w:tc>
          <w:tcPr>
            <w:tcW w:w="1718" w:type="dxa"/>
            <w:hideMark/>
          </w:tcPr>
          <w:p w14:paraId="5F0CC9DC" w14:textId="46A0EA39" w:rsidR="008822A4" w:rsidRPr="006307A2" w:rsidRDefault="008822A4" w:rsidP="007D7F48">
            <w:pPr>
              <w:pStyle w:val="TableBodyText"/>
              <w:spacing w:before="20" w:after="20" w:line="240" w:lineRule="auto"/>
              <w:rPr>
                <w:b/>
                <w:bCs/>
                <w:color w:val="auto"/>
              </w:rPr>
            </w:pPr>
            <w:r w:rsidRPr="006307A2">
              <w:rPr>
                <w:b/>
                <w:bCs/>
                <w:color w:val="auto"/>
              </w:rPr>
              <w:t>Pneumatic Tubes – traditional</w:t>
            </w:r>
          </w:p>
        </w:tc>
        <w:tc>
          <w:tcPr>
            <w:tcW w:w="1780" w:type="dxa"/>
            <w:hideMark/>
          </w:tcPr>
          <w:p w14:paraId="08A8E97F" w14:textId="77777777" w:rsidR="008822A4" w:rsidRPr="00855E7E" w:rsidRDefault="008822A4" w:rsidP="007D7F48">
            <w:pPr>
              <w:pStyle w:val="TableBodyText"/>
              <w:spacing w:before="20" w:after="20" w:line="240" w:lineRule="auto"/>
              <w:rPr>
                <w:color w:val="auto"/>
              </w:rPr>
            </w:pPr>
            <w:r w:rsidRPr="00855E7E">
              <w:rPr>
                <w:color w:val="auto"/>
              </w:rPr>
              <w:t>2 (One lane only)</w:t>
            </w:r>
          </w:p>
        </w:tc>
        <w:tc>
          <w:tcPr>
            <w:tcW w:w="1846" w:type="dxa"/>
            <w:hideMark/>
          </w:tcPr>
          <w:p w14:paraId="5312682E" w14:textId="77777777" w:rsidR="008822A4" w:rsidRPr="00855E7E" w:rsidRDefault="008822A4" w:rsidP="007D7F48">
            <w:pPr>
              <w:pStyle w:val="TableBodyText"/>
              <w:spacing w:before="20" w:after="20" w:line="240" w:lineRule="auto"/>
              <w:rPr>
                <w:color w:val="auto"/>
              </w:rPr>
            </w:pPr>
            <w:r w:rsidRPr="00855E7E">
              <w:rPr>
                <w:color w:val="auto"/>
              </w:rPr>
              <w:t>Axle Based</w:t>
            </w:r>
            <w:r w:rsidRPr="00855E7E">
              <w:rPr>
                <w:color w:val="auto"/>
              </w:rPr>
              <w:br/>
              <w:t>(FHWA 13+)</w:t>
            </w:r>
          </w:p>
        </w:tc>
        <w:tc>
          <w:tcPr>
            <w:tcW w:w="1872" w:type="dxa"/>
            <w:hideMark/>
          </w:tcPr>
          <w:p w14:paraId="04338BA6" w14:textId="77777777" w:rsidR="008822A4" w:rsidRPr="00855E7E" w:rsidRDefault="008822A4" w:rsidP="007D7F48">
            <w:pPr>
              <w:pStyle w:val="TableBodyText"/>
              <w:spacing w:before="20" w:after="20" w:line="240" w:lineRule="auto"/>
              <w:rPr>
                <w:color w:val="auto"/>
              </w:rPr>
            </w:pPr>
            <w:r w:rsidRPr="00855E7E">
              <w:rPr>
                <w:color w:val="auto"/>
              </w:rPr>
              <w:t>1 per pair of sensors</w:t>
            </w:r>
            <w:r w:rsidRPr="00855E7E">
              <w:rPr>
                <w:color w:val="auto"/>
              </w:rPr>
              <w:br/>
              <w:t>(Only lanes bordering shoulders)</w:t>
            </w:r>
          </w:p>
        </w:tc>
        <w:tc>
          <w:tcPr>
            <w:tcW w:w="3024" w:type="dxa"/>
            <w:hideMark/>
          </w:tcPr>
          <w:p w14:paraId="4881181A" w14:textId="77777777" w:rsidR="008822A4" w:rsidRPr="00855E7E" w:rsidRDefault="008822A4" w:rsidP="007D7F48">
            <w:pPr>
              <w:pStyle w:val="TableBodyText"/>
              <w:spacing w:before="20" w:after="20" w:line="240" w:lineRule="auto"/>
              <w:rPr>
                <w:color w:val="auto"/>
              </w:rPr>
            </w:pPr>
            <w:r w:rsidRPr="00855E7E">
              <w:rPr>
                <w:color w:val="auto"/>
              </w:rPr>
              <w:t>Not suited to snowy conditions</w:t>
            </w:r>
          </w:p>
        </w:tc>
        <w:tc>
          <w:tcPr>
            <w:tcW w:w="3025" w:type="dxa"/>
            <w:hideMark/>
          </w:tcPr>
          <w:p w14:paraId="1B866B26" w14:textId="77777777" w:rsidR="008822A4" w:rsidRPr="00855E7E" w:rsidRDefault="008822A4" w:rsidP="007D7F48">
            <w:pPr>
              <w:pStyle w:val="TableBodyText"/>
              <w:spacing w:before="20" w:after="20" w:line="240" w:lineRule="auto"/>
              <w:rPr>
                <w:color w:val="auto"/>
              </w:rPr>
            </w:pPr>
            <w:r w:rsidRPr="00855E7E">
              <w:rPr>
                <w:color w:val="auto"/>
              </w:rPr>
              <w:t>Accuracy limitations under very heavy traffic volumes or stop-and-go conditions</w:t>
            </w:r>
          </w:p>
        </w:tc>
      </w:tr>
      <w:tr w:rsidR="007D7F48" w:rsidRPr="00855E7E" w14:paraId="16D8F617" w14:textId="77777777" w:rsidTr="00701BE1">
        <w:trPr>
          <w:trHeight w:val="417"/>
        </w:trPr>
        <w:tc>
          <w:tcPr>
            <w:tcW w:w="1718" w:type="dxa"/>
            <w:hideMark/>
          </w:tcPr>
          <w:p w14:paraId="5C6117E7" w14:textId="26466E7E" w:rsidR="008822A4" w:rsidRPr="006307A2" w:rsidRDefault="008822A4" w:rsidP="007D7F48">
            <w:pPr>
              <w:pStyle w:val="TableBodyText"/>
              <w:spacing w:before="20" w:after="20" w:line="240" w:lineRule="auto"/>
              <w:rPr>
                <w:b/>
                <w:bCs/>
                <w:color w:val="auto"/>
              </w:rPr>
            </w:pPr>
            <w:r w:rsidRPr="006307A2">
              <w:rPr>
                <w:b/>
                <w:bCs/>
                <w:color w:val="auto"/>
              </w:rPr>
              <w:t>Pneumatic Tubes – multi-lane design</w:t>
            </w:r>
          </w:p>
        </w:tc>
        <w:tc>
          <w:tcPr>
            <w:tcW w:w="1780" w:type="dxa"/>
            <w:hideMark/>
          </w:tcPr>
          <w:p w14:paraId="13DED72E" w14:textId="77777777" w:rsidR="008822A4" w:rsidRPr="00855E7E" w:rsidRDefault="008822A4" w:rsidP="007D7F48">
            <w:pPr>
              <w:pStyle w:val="TableBodyText"/>
              <w:spacing w:before="20" w:after="20" w:line="240" w:lineRule="auto"/>
              <w:rPr>
                <w:color w:val="auto"/>
              </w:rPr>
            </w:pPr>
            <w:r w:rsidRPr="00855E7E">
              <w:rPr>
                <w:color w:val="auto"/>
              </w:rPr>
              <w:t>2 per lane</w:t>
            </w:r>
          </w:p>
        </w:tc>
        <w:tc>
          <w:tcPr>
            <w:tcW w:w="1846" w:type="dxa"/>
            <w:hideMark/>
          </w:tcPr>
          <w:p w14:paraId="66F1C684" w14:textId="77777777" w:rsidR="008822A4" w:rsidRPr="00855E7E" w:rsidRDefault="008822A4" w:rsidP="007D7F48">
            <w:pPr>
              <w:pStyle w:val="TableBodyText"/>
              <w:spacing w:before="20" w:after="20" w:line="240" w:lineRule="auto"/>
              <w:rPr>
                <w:color w:val="auto"/>
              </w:rPr>
            </w:pPr>
            <w:r w:rsidRPr="00855E7E">
              <w:rPr>
                <w:color w:val="auto"/>
              </w:rPr>
              <w:t>Axle Based</w:t>
            </w:r>
            <w:r w:rsidRPr="00855E7E">
              <w:rPr>
                <w:color w:val="auto"/>
              </w:rPr>
              <w:br/>
              <w:t>(FHWA 13+)</w:t>
            </w:r>
          </w:p>
        </w:tc>
        <w:tc>
          <w:tcPr>
            <w:tcW w:w="1872" w:type="dxa"/>
            <w:hideMark/>
          </w:tcPr>
          <w:p w14:paraId="6459A8BE" w14:textId="77777777" w:rsidR="008822A4" w:rsidRPr="00855E7E" w:rsidRDefault="008822A4" w:rsidP="007D7F48">
            <w:pPr>
              <w:pStyle w:val="TableBodyText"/>
              <w:spacing w:before="20" w:after="20" w:line="240" w:lineRule="auto"/>
              <w:rPr>
                <w:color w:val="auto"/>
              </w:rPr>
            </w:pPr>
            <w:r w:rsidRPr="00855E7E">
              <w:rPr>
                <w:color w:val="auto"/>
              </w:rPr>
              <w:t>1 per pair of sensors</w:t>
            </w:r>
          </w:p>
        </w:tc>
        <w:tc>
          <w:tcPr>
            <w:tcW w:w="3024" w:type="dxa"/>
            <w:hideMark/>
          </w:tcPr>
          <w:p w14:paraId="5EAB655A" w14:textId="77777777" w:rsidR="008822A4" w:rsidRPr="00855E7E" w:rsidRDefault="008822A4" w:rsidP="007D7F48">
            <w:pPr>
              <w:pStyle w:val="TableBodyText"/>
              <w:spacing w:before="20" w:after="20" w:line="240" w:lineRule="auto"/>
              <w:rPr>
                <w:color w:val="auto"/>
              </w:rPr>
            </w:pPr>
            <w:r w:rsidRPr="00855E7E">
              <w:rPr>
                <w:color w:val="auto"/>
              </w:rPr>
              <w:t>Not suited to snowy conditions</w:t>
            </w:r>
          </w:p>
        </w:tc>
        <w:tc>
          <w:tcPr>
            <w:tcW w:w="3025" w:type="dxa"/>
            <w:hideMark/>
          </w:tcPr>
          <w:p w14:paraId="705C0FD9" w14:textId="77777777" w:rsidR="008822A4" w:rsidRPr="00855E7E" w:rsidRDefault="008822A4" w:rsidP="007D7F48">
            <w:pPr>
              <w:pStyle w:val="TableBodyText"/>
              <w:spacing w:before="20" w:after="20" w:line="240" w:lineRule="auto"/>
              <w:rPr>
                <w:color w:val="auto"/>
              </w:rPr>
            </w:pPr>
            <w:r w:rsidRPr="00855E7E">
              <w:rPr>
                <w:color w:val="auto"/>
              </w:rPr>
              <w:t>Accuracy limitations under very heavy traffic volumes or stop-and-go conditions</w:t>
            </w:r>
          </w:p>
        </w:tc>
      </w:tr>
      <w:tr w:rsidR="007D7F48" w:rsidRPr="00855E7E" w14:paraId="0290CD81" w14:textId="77777777" w:rsidTr="00701BE1">
        <w:trPr>
          <w:trHeight w:val="462"/>
        </w:trPr>
        <w:tc>
          <w:tcPr>
            <w:tcW w:w="1718" w:type="dxa"/>
            <w:hideMark/>
          </w:tcPr>
          <w:p w14:paraId="1C658662" w14:textId="77777777" w:rsidR="008822A4" w:rsidRPr="006307A2" w:rsidRDefault="008822A4" w:rsidP="007D7F48">
            <w:pPr>
              <w:pStyle w:val="TableBodyText"/>
              <w:spacing w:before="20" w:after="20" w:line="240" w:lineRule="auto"/>
              <w:rPr>
                <w:b/>
                <w:bCs/>
                <w:color w:val="auto"/>
              </w:rPr>
            </w:pPr>
            <w:bookmarkStart w:id="769" w:name="_Hlk62726877"/>
            <w:r w:rsidRPr="006307A2">
              <w:rPr>
                <w:b/>
                <w:bCs/>
                <w:color w:val="auto"/>
              </w:rPr>
              <w:t>Tape Switches</w:t>
            </w:r>
          </w:p>
        </w:tc>
        <w:tc>
          <w:tcPr>
            <w:tcW w:w="1780" w:type="dxa"/>
            <w:hideMark/>
          </w:tcPr>
          <w:p w14:paraId="7DE10FA6" w14:textId="77777777" w:rsidR="008822A4" w:rsidRPr="00855E7E" w:rsidRDefault="008822A4" w:rsidP="007D7F48">
            <w:pPr>
              <w:pStyle w:val="TableBodyText"/>
              <w:spacing w:before="20" w:after="20" w:line="240" w:lineRule="auto"/>
              <w:rPr>
                <w:color w:val="auto"/>
              </w:rPr>
            </w:pPr>
            <w:r w:rsidRPr="00855E7E">
              <w:rPr>
                <w:color w:val="auto"/>
              </w:rPr>
              <w:t>2 per lane</w:t>
            </w:r>
          </w:p>
        </w:tc>
        <w:tc>
          <w:tcPr>
            <w:tcW w:w="1846" w:type="dxa"/>
            <w:hideMark/>
          </w:tcPr>
          <w:p w14:paraId="3E226065" w14:textId="77777777" w:rsidR="008822A4" w:rsidRPr="00855E7E" w:rsidRDefault="008822A4" w:rsidP="007D7F48">
            <w:pPr>
              <w:pStyle w:val="TableBodyText"/>
              <w:spacing w:before="20" w:after="20" w:line="240" w:lineRule="auto"/>
              <w:rPr>
                <w:color w:val="auto"/>
              </w:rPr>
            </w:pPr>
            <w:r w:rsidRPr="00855E7E">
              <w:rPr>
                <w:color w:val="auto"/>
              </w:rPr>
              <w:t>Axle Based</w:t>
            </w:r>
            <w:r w:rsidRPr="00855E7E">
              <w:rPr>
                <w:color w:val="auto"/>
              </w:rPr>
              <w:br/>
              <w:t>(FHWA 13+)</w:t>
            </w:r>
          </w:p>
        </w:tc>
        <w:tc>
          <w:tcPr>
            <w:tcW w:w="1872" w:type="dxa"/>
            <w:hideMark/>
          </w:tcPr>
          <w:p w14:paraId="47D8DDBB" w14:textId="77777777" w:rsidR="008822A4" w:rsidRPr="00855E7E" w:rsidRDefault="008822A4" w:rsidP="007D7F48">
            <w:pPr>
              <w:pStyle w:val="TableBodyText"/>
              <w:spacing w:before="20" w:after="20" w:line="240" w:lineRule="auto"/>
              <w:rPr>
                <w:color w:val="auto"/>
              </w:rPr>
            </w:pPr>
            <w:r w:rsidRPr="00855E7E">
              <w:rPr>
                <w:color w:val="auto"/>
              </w:rPr>
              <w:t>1 per pair of sensors</w:t>
            </w:r>
          </w:p>
        </w:tc>
        <w:tc>
          <w:tcPr>
            <w:tcW w:w="3024" w:type="dxa"/>
            <w:hideMark/>
          </w:tcPr>
          <w:p w14:paraId="65BF1D02" w14:textId="77777777" w:rsidR="008822A4" w:rsidRPr="00855E7E" w:rsidRDefault="008822A4" w:rsidP="007D7F48">
            <w:pPr>
              <w:pStyle w:val="TableBodyText"/>
              <w:spacing w:before="20" w:after="20" w:line="240" w:lineRule="auto"/>
              <w:rPr>
                <w:color w:val="auto"/>
              </w:rPr>
            </w:pPr>
            <w:r w:rsidRPr="00855E7E">
              <w:rPr>
                <w:color w:val="auto"/>
              </w:rPr>
              <w:t>Placement difficulties in wet conditions</w:t>
            </w:r>
          </w:p>
        </w:tc>
        <w:tc>
          <w:tcPr>
            <w:tcW w:w="3025" w:type="dxa"/>
            <w:hideMark/>
          </w:tcPr>
          <w:p w14:paraId="6FC8B9E7" w14:textId="77777777" w:rsidR="008822A4" w:rsidRPr="00855E7E" w:rsidRDefault="008822A4" w:rsidP="007D7F48">
            <w:pPr>
              <w:pStyle w:val="TableBodyText"/>
              <w:spacing w:before="20" w:after="20" w:line="240" w:lineRule="auto"/>
              <w:rPr>
                <w:color w:val="auto"/>
              </w:rPr>
            </w:pPr>
            <w:r w:rsidRPr="00855E7E">
              <w:rPr>
                <w:color w:val="auto"/>
              </w:rPr>
              <w:t>Needs protection of lead wires if placed on lanes not adjacent to shoulders</w:t>
            </w:r>
          </w:p>
        </w:tc>
      </w:tr>
      <w:tr w:rsidR="007D7F48" w:rsidRPr="00855E7E" w14:paraId="2C5C6BFC" w14:textId="77777777" w:rsidTr="00701BE1">
        <w:trPr>
          <w:trHeight w:val="710"/>
        </w:trPr>
        <w:tc>
          <w:tcPr>
            <w:tcW w:w="1718" w:type="dxa"/>
            <w:hideMark/>
          </w:tcPr>
          <w:p w14:paraId="082887A3" w14:textId="6B4CA667" w:rsidR="008822A4" w:rsidRPr="006307A2" w:rsidRDefault="008822A4" w:rsidP="007D7F48">
            <w:pPr>
              <w:pStyle w:val="TableBodyText"/>
              <w:spacing w:before="20" w:after="20" w:line="240" w:lineRule="auto"/>
              <w:rPr>
                <w:b/>
                <w:bCs/>
                <w:color w:val="auto"/>
              </w:rPr>
            </w:pPr>
            <w:r w:rsidRPr="006307A2">
              <w:rPr>
                <w:b/>
                <w:bCs/>
                <w:color w:val="auto"/>
              </w:rPr>
              <w:t>Magnetometer (several variations exist)</w:t>
            </w:r>
          </w:p>
        </w:tc>
        <w:tc>
          <w:tcPr>
            <w:tcW w:w="1780" w:type="dxa"/>
            <w:hideMark/>
          </w:tcPr>
          <w:p w14:paraId="15E82D6B" w14:textId="77777777" w:rsidR="008822A4" w:rsidRPr="00855E7E" w:rsidRDefault="008822A4" w:rsidP="007D7F48">
            <w:pPr>
              <w:pStyle w:val="TableBodyText"/>
              <w:spacing w:before="20" w:after="20" w:line="240" w:lineRule="auto"/>
              <w:rPr>
                <w:color w:val="auto"/>
              </w:rPr>
            </w:pPr>
            <w:r w:rsidRPr="00855E7E">
              <w:rPr>
                <w:color w:val="auto"/>
              </w:rPr>
              <w:t>2 per lane</w:t>
            </w:r>
          </w:p>
        </w:tc>
        <w:tc>
          <w:tcPr>
            <w:tcW w:w="1846" w:type="dxa"/>
            <w:hideMark/>
          </w:tcPr>
          <w:p w14:paraId="07232AFF" w14:textId="77777777" w:rsidR="008822A4" w:rsidRPr="00855E7E" w:rsidRDefault="008822A4" w:rsidP="007D7F48">
            <w:pPr>
              <w:pStyle w:val="TableBodyText"/>
              <w:spacing w:before="20" w:after="20" w:line="240" w:lineRule="auto"/>
              <w:rPr>
                <w:color w:val="auto"/>
              </w:rPr>
            </w:pPr>
            <w:r w:rsidRPr="00855E7E">
              <w:rPr>
                <w:color w:val="auto"/>
              </w:rPr>
              <w:t xml:space="preserve">Length-Based </w:t>
            </w:r>
            <w:r w:rsidRPr="00855E7E">
              <w:rPr>
                <w:color w:val="auto"/>
              </w:rPr>
              <w:br/>
              <w:t>(for most sensor designs)</w:t>
            </w:r>
          </w:p>
        </w:tc>
        <w:tc>
          <w:tcPr>
            <w:tcW w:w="1872" w:type="dxa"/>
            <w:hideMark/>
          </w:tcPr>
          <w:p w14:paraId="6B3527A7" w14:textId="77777777" w:rsidR="008822A4" w:rsidRPr="00855E7E" w:rsidRDefault="008822A4" w:rsidP="007D7F48">
            <w:pPr>
              <w:pStyle w:val="TableBodyText"/>
              <w:spacing w:before="20" w:after="20" w:line="240" w:lineRule="auto"/>
              <w:rPr>
                <w:color w:val="auto"/>
              </w:rPr>
            </w:pPr>
            <w:r w:rsidRPr="00855E7E">
              <w:rPr>
                <w:color w:val="auto"/>
              </w:rPr>
              <w:t>1 per sensor (2 sensors per lane if speed or vehicle length is needed)</w:t>
            </w:r>
          </w:p>
        </w:tc>
        <w:tc>
          <w:tcPr>
            <w:tcW w:w="3024" w:type="dxa"/>
            <w:hideMark/>
          </w:tcPr>
          <w:p w14:paraId="713F1DE6" w14:textId="77777777" w:rsidR="008822A4" w:rsidRPr="00855E7E" w:rsidRDefault="008822A4" w:rsidP="007D7F48">
            <w:pPr>
              <w:pStyle w:val="TableBodyText"/>
              <w:spacing w:before="20" w:after="20" w:line="240" w:lineRule="auto"/>
              <w:rPr>
                <w:color w:val="auto"/>
              </w:rPr>
            </w:pPr>
            <w:r w:rsidRPr="00855E7E">
              <w:rPr>
                <w:color w:val="auto"/>
              </w:rPr>
              <w:t>Most magnetic technology sensors require a short lane closure for sensor placement</w:t>
            </w:r>
          </w:p>
        </w:tc>
        <w:tc>
          <w:tcPr>
            <w:tcW w:w="3025" w:type="dxa"/>
            <w:hideMark/>
          </w:tcPr>
          <w:p w14:paraId="1D6AFC44" w14:textId="77777777" w:rsidR="008822A4" w:rsidRPr="00855E7E" w:rsidRDefault="008822A4" w:rsidP="007D7F48">
            <w:pPr>
              <w:pStyle w:val="TableBodyText"/>
              <w:spacing w:before="20" w:after="20" w:line="240" w:lineRule="auto"/>
              <w:rPr>
                <w:color w:val="auto"/>
              </w:rPr>
            </w:pPr>
            <w:r w:rsidRPr="00855E7E">
              <w:rPr>
                <w:color w:val="auto"/>
              </w:rPr>
              <w:t>Some magnetic sensors are placed in the pavement, others on the pavement, and others under the pavement</w:t>
            </w:r>
          </w:p>
        </w:tc>
      </w:tr>
      <w:bookmarkEnd w:id="769"/>
      <w:tr w:rsidR="007D7F48" w:rsidRPr="00855E7E" w14:paraId="5C5897E1" w14:textId="77777777" w:rsidTr="00701BE1">
        <w:trPr>
          <w:trHeight w:val="687"/>
        </w:trPr>
        <w:tc>
          <w:tcPr>
            <w:tcW w:w="1718" w:type="dxa"/>
            <w:hideMark/>
          </w:tcPr>
          <w:p w14:paraId="70A76D9F" w14:textId="7698AA40" w:rsidR="008822A4" w:rsidRPr="006307A2" w:rsidRDefault="008822A4" w:rsidP="007D7F48">
            <w:pPr>
              <w:pStyle w:val="TableBodyText"/>
              <w:spacing w:before="20" w:after="20" w:line="240" w:lineRule="auto"/>
              <w:rPr>
                <w:b/>
                <w:bCs/>
                <w:color w:val="auto"/>
              </w:rPr>
            </w:pPr>
            <w:r w:rsidRPr="006307A2">
              <w:rPr>
                <w:b/>
                <w:bCs/>
                <w:color w:val="auto"/>
              </w:rPr>
              <w:t>Video Detection System</w:t>
            </w:r>
          </w:p>
        </w:tc>
        <w:tc>
          <w:tcPr>
            <w:tcW w:w="1780" w:type="dxa"/>
            <w:hideMark/>
          </w:tcPr>
          <w:p w14:paraId="62256D1D" w14:textId="77777777" w:rsidR="008822A4" w:rsidRPr="00855E7E" w:rsidRDefault="008822A4" w:rsidP="007D7F48">
            <w:pPr>
              <w:pStyle w:val="TableBodyText"/>
              <w:spacing w:before="20" w:after="20" w:line="240" w:lineRule="auto"/>
              <w:rPr>
                <w:color w:val="auto"/>
              </w:rPr>
            </w:pPr>
            <w:r w:rsidRPr="00855E7E">
              <w:rPr>
                <w:color w:val="auto"/>
              </w:rPr>
              <w:t>1 camera</w:t>
            </w:r>
          </w:p>
        </w:tc>
        <w:tc>
          <w:tcPr>
            <w:tcW w:w="1846" w:type="dxa"/>
            <w:hideMark/>
          </w:tcPr>
          <w:p w14:paraId="02822977" w14:textId="10B7C786" w:rsidR="008822A4" w:rsidRPr="00855E7E" w:rsidRDefault="008822A4" w:rsidP="007D7F48">
            <w:pPr>
              <w:pStyle w:val="TableBodyText"/>
              <w:spacing w:before="20" w:after="20" w:line="240" w:lineRule="auto"/>
              <w:rPr>
                <w:color w:val="auto"/>
              </w:rPr>
            </w:pPr>
            <w:r w:rsidRPr="00855E7E">
              <w:rPr>
                <w:color w:val="auto"/>
              </w:rPr>
              <w:t xml:space="preserve">Length or Axle Based </w:t>
            </w:r>
          </w:p>
        </w:tc>
        <w:tc>
          <w:tcPr>
            <w:tcW w:w="1872" w:type="dxa"/>
            <w:hideMark/>
          </w:tcPr>
          <w:p w14:paraId="567D5EB8" w14:textId="77777777" w:rsidR="008822A4" w:rsidRPr="00855E7E" w:rsidRDefault="008822A4" w:rsidP="007D7F48">
            <w:pPr>
              <w:pStyle w:val="TableBodyText"/>
              <w:spacing w:before="20" w:after="20" w:line="240" w:lineRule="auto"/>
              <w:rPr>
                <w:color w:val="auto"/>
              </w:rPr>
            </w:pPr>
            <w:r w:rsidRPr="00855E7E">
              <w:rPr>
                <w:color w:val="auto"/>
              </w:rPr>
              <w:t>Multiple</w:t>
            </w:r>
          </w:p>
        </w:tc>
        <w:tc>
          <w:tcPr>
            <w:tcW w:w="3024" w:type="dxa"/>
            <w:hideMark/>
          </w:tcPr>
          <w:p w14:paraId="22A7A44C" w14:textId="77777777" w:rsidR="008822A4" w:rsidRPr="00855E7E" w:rsidRDefault="008822A4" w:rsidP="007D7F48">
            <w:pPr>
              <w:pStyle w:val="TableBodyText"/>
              <w:spacing w:before="20" w:after="20" w:line="240" w:lineRule="auto"/>
              <w:rPr>
                <w:color w:val="auto"/>
              </w:rPr>
            </w:pPr>
            <w:r w:rsidRPr="00855E7E">
              <w:rPr>
                <w:color w:val="auto"/>
              </w:rPr>
              <w:t>Does not work well in snow, fog, or dust storms</w:t>
            </w:r>
          </w:p>
        </w:tc>
        <w:tc>
          <w:tcPr>
            <w:tcW w:w="3025" w:type="dxa"/>
            <w:hideMark/>
          </w:tcPr>
          <w:p w14:paraId="1456ADDC" w14:textId="77777777" w:rsidR="008822A4" w:rsidRPr="00855E7E" w:rsidRDefault="008822A4" w:rsidP="007D7F48">
            <w:pPr>
              <w:pStyle w:val="TableBodyText"/>
              <w:spacing w:before="20" w:after="20" w:line="240" w:lineRule="auto"/>
              <w:rPr>
                <w:color w:val="auto"/>
              </w:rPr>
            </w:pPr>
            <w:r w:rsidRPr="00855E7E">
              <w:rPr>
                <w:color w:val="auto"/>
              </w:rPr>
              <w:t>Short-term counter is mounted on an extendible pole on a trailer pulled to the count site; generally slow to set up</w:t>
            </w:r>
          </w:p>
        </w:tc>
      </w:tr>
      <w:tr w:rsidR="007D7F48" w:rsidRPr="00855E7E" w14:paraId="02FA23C9" w14:textId="77777777" w:rsidTr="00701BE1">
        <w:trPr>
          <w:trHeight w:val="500"/>
        </w:trPr>
        <w:tc>
          <w:tcPr>
            <w:tcW w:w="1718" w:type="dxa"/>
            <w:hideMark/>
          </w:tcPr>
          <w:p w14:paraId="4DC76D1A" w14:textId="1876038E" w:rsidR="008822A4" w:rsidRPr="006307A2" w:rsidRDefault="008822A4" w:rsidP="007D7F48">
            <w:pPr>
              <w:pStyle w:val="TableBodyText"/>
              <w:spacing w:before="20" w:after="20" w:line="240" w:lineRule="auto"/>
              <w:rPr>
                <w:b/>
                <w:bCs/>
                <w:color w:val="auto"/>
              </w:rPr>
            </w:pPr>
            <w:r w:rsidRPr="006307A2">
              <w:rPr>
                <w:b/>
                <w:bCs/>
                <w:color w:val="auto"/>
              </w:rPr>
              <w:t>Piezo Polymer sensors (piezo-film, piezo-cable)</w:t>
            </w:r>
          </w:p>
        </w:tc>
        <w:tc>
          <w:tcPr>
            <w:tcW w:w="1780" w:type="dxa"/>
            <w:hideMark/>
          </w:tcPr>
          <w:p w14:paraId="76B15A87" w14:textId="77777777" w:rsidR="008822A4" w:rsidRPr="00855E7E" w:rsidRDefault="008822A4" w:rsidP="007D7F48">
            <w:pPr>
              <w:pStyle w:val="TableBodyText"/>
              <w:spacing w:before="20" w:after="20" w:line="240" w:lineRule="auto"/>
              <w:rPr>
                <w:color w:val="auto"/>
              </w:rPr>
            </w:pPr>
            <w:r w:rsidRPr="00855E7E">
              <w:rPr>
                <w:color w:val="auto"/>
              </w:rPr>
              <w:t>2 per lane</w:t>
            </w:r>
          </w:p>
        </w:tc>
        <w:tc>
          <w:tcPr>
            <w:tcW w:w="1846" w:type="dxa"/>
            <w:hideMark/>
          </w:tcPr>
          <w:p w14:paraId="0CEAF651" w14:textId="77777777" w:rsidR="008822A4" w:rsidRPr="00855E7E" w:rsidRDefault="008822A4" w:rsidP="007D7F48">
            <w:pPr>
              <w:pStyle w:val="TableBodyText"/>
              <w:spacing w:before="20" w:after="20" w:line="240" w:lineRule="auto"/>
              <w:rPr>
                <w:color w:val="auto"/>
              </w:rPr>
            </w:pPr>
            <w:r w:rsidRPr="00855E7E">
              <w:rPr>
                <w:color w:val="auto"/>
              </w:rPr>
              <w:t>Axle Based</w:t>
            </w:r>
            <w:r w:rsidRPr="00855E7E">
              <w:rPr>
                <w:color w:val="auto"/>
              </w:rPr>
              <w:br/>
              <w:t>(FHWA 13+)</w:t>
            </w:r>
          </w:p>
        </w:tc>
        <w:tc>
          <w:tcPr>
            <w:tcW w:w="1872" w:type="dxa"/>
            <w:hideMark/>
          </w:tcPr>
          <w:p w14:paraId="2CF82BE9" w14:textId="77777777" w:rsidR="008822A4" w:rsidRPr="00855E7E" w:rsidRDefault="008822A4" w:rsidP="007D7F48">
            <w:pPr>
              <w:pStyle w:val="TableBodyText"/>
              <w:spacing w:before="20" w:after="20" w:line="240" w:lineRule="auto"/>
              <w:rPr>
                <w:color w:val="auto"/>
              </w:rPr>
            </w:pPr>
            <w:r w:rsidRPr="00855E7E">
              <w:rPr>
                <w:color w:val="auto"/>
              </w:rPr>
              <w:t>1 per pair of sensors</w:t>
            </w:r>
          </w:p>
        </w:tc>
        <w:tc>
          <w:tcPr>
            <w:tcW w:w="3024" w:type="dxa"/>
            <w:hideMark/>
          </w:tcPr>
          <w:p w14:paraId="47B9631C" w14:textId="77777777" w:rsidR="008822A4" w:rsidRPr="00855E7E" w:rsidRDefault="008822A4" w:rsidP="007D7F48">
            <w:pPr>
              <w:pStyle w:val="TableBodyText"/>
              <w:spacing w:before="20" w:after="20" w:line="240" w:lineRule="auto"/>
              <w:rPr>
                <w:color w:val="auto"/>
              </w:rPr>
            </w:pPr>
            <w:r w:rsidRPr="00855E7E">
              <w:rPr>
                <w:color w:val="auto"/>
              </w:rPr>
              <w:t>Very cold weather often affects performance</w:t>
            </w:r>
          </w:p>
        </w:tc>
        <w:tc>
          <w:tcPr>
            <w:tcW w:w="3025" w:type="dxa"/>
            <w:hideMark/>
          </w:tcPr>
          <w:p w14:paraId="2E1BFE5E" w14:textId="77777777" w:rsidR="008822A4" w:rsidRPr="00855E7E" w:rsidRDefault="008822A4" w:rsidP="007D7F48">
            <w:pPr>
              <w:pStyle w:val="TableBodyText"/>
              <w:spacing w:before="20" w:after="20" w:line="240" w:lineRule="auto"/>
              <w:rPr>
                <w:color w:val="auto"/>
              </w:rPr>
            </w:pPr>
            <w:r w:rsidRPr="00855E7E">
              <w:rPr>
                <w:color w:val="auto"/>
              </w:rPr>
              <w:t>Needs protection of lead wires if placed on lanes not adjacent to shoulders</w:t>
            </w:r>
          </w:p>
        </w:tc>
      </w:tr>
      <w:tr w:rsidR="007D7F48" w:rsidRPr="00855E7E" w14:paraId="05A0D022" w14:textId="77777777" w:rsidTr="00701BE1">
        <w:trPr>
          <w:trHeight w:val="740"/>
        </w:trPr>
        <w:tc>
          <w:tcPr>
            <w:tcW w:w="1718" w:type="dxa"/>
            <w:hideMark/>
          </w:tcPr>
          <w:p w14:paraId="513B7C02" w14:textId="77777777" w:rsidR="008822A4" w:rsidRPr="006307A2" w:rsidRDefault="008822A4" w:rsidP="007D7F48">
            <w:pPr>
              <w:pStyle w:val="TableBodyText"/>
              <w:spacing w:before="20" w:after="20" w:line="240" w:lineRule="auto"/>
              <w:rPr>
                <w:b/>
                <w:bCs/>
                <w:color w:val="auto"/>
              </w:rPr>
            </w:pPr>
            <w:r w:rsidRPr="006307A2">
              <w:rPr>
                <w:b/>
                <w:bCs/>
                <w:color w:val="auto"/>
              </w:rPr>
              <w:t>Infrared</w:t>
            </w:r>
          </w:p>
        </w:tc>
        <w:tc>
          <w:tcPr>
            <w:tcW w:w="1780" w:type="dxa"/>
            <w:hideMark/>
          </w:tcPr>
          <w:p w14:paraId="72113616" w14:textId="77777777" w:rsidR="008822A4" w:rsidRPr="00855E7E" w:rsidRDefault="008822A4" w:rsidP="007D7F48">
            <w:pPr>
              <w:pStyle w:val="TableBodyText"/>
              <w:spacing w:before="20" w:after="20" w:line="240" w:lineRule="auto"/>
              <w:rPr>
                <w:color w:val="auto"/>
              </w:rPr>
            </w:pPr>
            <w:r w:rsidRPr="00855E7E">
              <w:rPr>
                <w:color w:val="auto"/>
              </w:rPr>
              <w:t>1 (transmitter + receptor)</w:t>
            </w:r>
          </w:p>
        </w:tc>
        <w:tc>
          <w:tcPr>
            <w:tcW w:w="1846" w:type="dxa"/>
            <w:hideMark/>
          </w:tcPr>
          <w:p w14:paraId="1954E746" w14:textId="77777777" w:rsidR="008822A4" w:rsidRPr="00855E7E" w:rsidRDefault="008822A4" w:rsidP="007D7F48">
            <w:pPr>
              <w:pStyle w:val="TableBodyText"/>
              <w:spacing w:before="20" w:after="20" w:line="240" w:lineRule="auto"/>
              <w:rPr>
                <w:color w:val="auto"/>
              </w:rPr>
            </w:pPr>
            <w:r w:rsidRPr="00855E7E">
              <w:rPr>
                <w:color w:val="auto"/>
              </w:rPr>
              <w:t>Axle Based</w:t>
            </w:r>
            <w:r w:rsidRPr="00855E7E">
              <w:rPr>
                <w:color w:val="auto"/>
              </w:rPr>
              <w:br/>
              <w:t>(FHWA 13+)</w:t>
            </w:r>
          </w:p>
        </w:tc>
        <w:tc>
          <w:tcPr>
            <w:tcW w:w="1872" w:type="dxa"/>
            <w:hideMark/>
          </w:tcPr>
          <w:p w14:paraId="693936E1" w14:textId="77777777" w:rsidR="008822A4" w:rsidRPr="00855E7E" w:rsidRDefault="008822A4" w:rsidP="007D7F48">
            <w:pPr>
              <w:pStyle w:val="TableBodyText"/>
              <w:spacing w:before="20" w:after="20" w:line="240" w:lineRule="auto"/>
              <w:rPr>
                <w:color w:val="auto"/>
              </w:rPr>
            </w:pPr>
            <w:r w:rsidRPr="00855E7E">
              <w:rPr>
                <w:color w:val="auto"/>
              </w:rPr>
              <w:t>Multiple</w:t>
            </w:r>
          </w:p>
        </w:tc>
        <w:tc>
          <w:tcPr>
            <w:tcW w:w="3024" w:type="dxa"/>
            <w:hideMark/>
          </w:tcPr>
          <w:p w14:paraId="52FB3665" w14:textId="59C83FFA" w:rsidR="008822A4" w:rsidRPr="00855E7E" w:rsidRDefault="008822A4" w:rsidP="007D7F48">
            <w:pPr>
              <w:pStyle w:val="TableBodyText"/>
              <w:spacing w:before="20" w:after="20" w:line="240" w:lineRule="auto"/>
              <w:rPr>
                <w:color w:val="auto"/>
              </w:rPr>
            </w:pPr>
            <w:r w:rsidRPr="00855E7E">
              <w:rPr>
                <w:color w:val="auto"/>
              </w:rPr>
              <w:t>Fog and heavy snow degrade performance and large crown in road will block beams; Occlusion</w:t>
            </w:r>
          </w:p>
        </w:tc>
        <w:tc>
          <w:tcPr>
            <w:tcW w:w="3025" w:type="dxa"/>
          </w:tcPr>
          <w:p w14:paraId="0A62A6AC" w14:textId="08790CEC" w:rsidR="008822A4" w:rsidRPr="00855E7E" w:rsidRDefault="00765EA0" w:rsidP="007D7F48">
            <w:pPr>
              <w:pStyle w:val="TableBodyText"/>
              <w:spacing w:before="20" w:after="20" w:line="240" w:lineRule="auto"/>
              <w:rPr>
                <w:color w:val="auto"/>
              </w:rPr>
            </w:pPr>
            <w:r w:rsidRPr="00765EA0">
              <w:rPr>
                <w:color w:val="auto"/>
              </w:rPr>
              <w:t>Infrared has an issue of heavy snow accumulation blocks the sensor.</w:t>
            </w:r>
          </w:p>
        </w:tc>
      </w:tr>
      <w:tr w:rsidR="007D7F48" w:rsidRPr="00855E7E" w14:paraId="44821F34" w14:textId="77777777" w:rsidTr="00701BE1">
        <w:trPr>
          <w:trHeight w:val="705"/>
        </w:trPr>
        <w:tc>
          <w:tcPr>
            <w:tcW w:w="1718" w:type="dxa"/>
            <w:hideMark/>
          </w:tcPr>
          <w:p w14:paraId="055D4BF2" w14:textId="77777777" w:rsidR="008822A4" w:rsidRPr="006307A2" w:rsidRDefault="008822A4" w:rsidP="007D7F48">
            <w:pPr>
              <w:pStyle w:val="TableBodyText"/>
              <w:spacing w:before="20" w:after="20" w:line="240" w:lineRule="auto"/>
              <w:rPr>
                <w:b/>
                <w:bCs/>
                <w:color w:val="auto"/>
              </w:rPr>
            </w:pPr>
            <w:r w:rsidRPr="006307A2">
              <w:rPr>
                <w:b/>
                <w:bCs/>
                <w:color w:val="auto"/>
              </w:rPr>
              <w:t>Microwave</w:t>
            </w:r>
          </w:p>
        </w:tc>
        <w:tc>
          <w:tcPr>
            <w:tcW w:w="1780" w:type="dxa"/>
            <w:hideMark/>
          </w:tcPr>
          <w:p w14:paraId="6737411A" w14:textId="77777777" w:rsidR="008822A4" w:rsidRPr="00855E7E" w:rsidRDefault="008822A4" w:rsidP="007D7F48">
            <w:pPr>
              <w:pStyle w:val="TableBodyText"/>
              <w:spacing w:before="20" w:after="20" w:line="240" w:lineRule="auto"/>
              <w:rPr>
                <w:color w:val="auto"/>
              </w:rPr>
            </w:pPr>
            <w:r w:rsidRPr="00855E7E">
              <w:rPr>
                <w:color w:val="auto"/>
              </w:rPr>
              <w:t>1 per direction (side-fired), 1 per lane (overhead)</w:t>
            </w:r>
          </w:p>
        </w:tc>
        <w:tc>
          <w:tcPr>
            <w:tcW w:w="1846" w:type="dxa"/>
            <w:hideMark/>
          </w:tcPr>
          <w:p w14:paraId="4DC97981" w14:textId="6712DA03" w:rsidR="008822A4" w:rsidRPr="00855E7E" w:rsidRDefault="008822A4" w:rsidP="007D7F48">
            <w:pPr>
              <w:pStyle w:val="TableBodyText"/>
              <w:spacing w:before="20" w:after="20" w:line="240" w:lineRule="auto"/>
              <w:rPr>
                <w:color w:val="auto"/>
              </w:rPr>
            </w:pPr>
            <w:r w:rsidRPr="00855E7E">
              <w:rPr>
                <w:color w:val="auto"/>
              </w:rPr>
              <w:t>Length-Based</w:t>
            </w:r>
          </w:p>
        </w:tc>
        <w:tc>
          <w:tcPr>
            <w:tcW w:w="1872" w:type="dxa"/>
            <w:hideMark/>
          </w:tcPr>
          <w:p w14:paraId="45473BC1" w14:textId="77777777" w:rsidR="008822A4" w:rsidRPr="00855E7E" w:rsidRDefault="008822A4" w:rsidP="007D7F48">
            <w:pPr>
              <w:pStyle w:val="TableBodyText"/>
              <w:spacing w:before="20" w:after="20" w:line="240" w:lineRule="auto"/>
              <w:rPr>
                <w:color w:val="auto"/>
              </w:rPr>
            </w:pPr>
            <w:r w:rsidRPr="00855E7E">
              <w:rPr>
                <w:color w:val="auto"/>
              </w:rPr>
              <w:t>Multiple</w:t>
            </w:r>
          </w:p>
        </w:tc>
        <w:tc>
          <w:tcPr>
            <w:tcW w:w="3024" w:type="dxa"/>
            <w:hideMark/>
          </w:tcPr>
          <w:p w14:paraId="58CC388C" w14:textId="77777777" w:rsidR="008822A4" w:rsidRPr="00855E7E" w:rsidRDefault="008822A4" w:rsidP="007D7F48">
            <w:pPr>
              <w:pStyle w:val="TableBodyText"/>
              <w:spacing w:before="20" w:after="20" w:line="240" w:lineRule="auto"/>
              <w:rPr>
                <w:color w:val="auto"/>
              </w:rPr>
            </w:pPr>
            <w:r w:rsidRPr="00855E7E">
              <w:rPr>
                <w:color w:val="auto"/>
              </w:rPr>
              <w:t>Occlusion issues with heavy or stop-and-go traffic and multiple lanes</w:t>
            </w:r>
          </w:p>
        </w:tc>
        <w:tc>
          <w:tcPr>
            <w:tcW w:w="3025" w:type="dxa"/>
            <w:hideMark/>
          </w:tcPr>
          <w:p w14:paraId="2DA2401B" w14:textId="77777777" w:rsidR="008822A4" w:rsidRPr="00855E7E" w:rsidRDefault="008822A4" w:rsidP="007D7F48">
            <w:pPr>
              <w:pStyle w:val="TableBodyText"/>
              <w:spacing w:before="20" w:after="20" w:line="240" w:lineRule="auto"/>
              <w:rPr>
                <w:color w:val="auto"/>
              </w:rPr>
            </w:pPr>
            <w:r w:rsidRPr="00855E7E">
              <w:rPr>
                <w:color w:val="auto"/>
              </w:rPr>
              <w:t>Short-term counter is mounted on an extensible pole on a trailer pulled to the count site. Count is not reliable in congested low-speed conditions.</w:t>
            </w:r>
          </w:p>
        </w:tc>
      </w:tr>
      <w:tr w:rsidR="007D7F48" w:rsidRPr="00855E7E" w14:paraId="21D7BEE8" w14:textId="77777777" w:rsidTr="00701BE1">
        <w:trPr>
          <w:trHeight w:val="52"/>
        </w:trPr>
        <w:tc>
          <w:tcPr>
            <w:tcW w:w="1718" w:type="dxa"/>
          </w:tcPr>
          <w:p w14:paraId="7F02179C" w14:textId="40848D4B" w:rsidR="008822A4" w:rsidRPr="006307A2" w:rsidRDefault="008822A4" w:rsidP="007D7F48">
            <w:pPr>
              <w:pStyle w:val="TableBodyText"/>
              <w:pageBreakBefore/>
              <w:spacing w:before="20" w:after="20" w:line="240" w:lineRule="auto"/>
              <w:rPr>
                <w:b/>
                <w:bCs/>
                <w:color w:val="auto"/>
              </w:rPr>
            </w:pPr>
            <w:r w:rsidRPr="006307A2">
              <w:rPr>
                <w:b/>
                <w:bCs/>
                <w:color w:val="auto"/>
              </w:rPr>
              <w:lastRenderedPageBreak/>
              <w:t xml:space="preserve">Acoustic </w:t>
            </w:r>
          </w:p>
        </w:tc>
        <w:tc>
          <w:tcPr>
            <w:tcW w:w="1780" w:type="dxa"/>
          </w:tcPr>
          <w:p w14:paraId="49727BA3" w14:textId="382D5555" w:rsidR="008822A4" w:rsidRPr="00855E7E" w:rsidRDefault="008822A4" w:rsidP="007D7F48">
            <w:pPr>
              <w:pStyle w:val="TableBodyText"/>
              <w:spacing w:before="20" w:after="20" w:line="240" w:lineRule="auto"/>
              <w:rPr>
                <w:color w:val="auto"/>
              </w:rPr>
            </w:pPr>
            <w:r w:rsidRPr="00855E7E">
              <w:rPr>
                <w:color w:val="auto"/>
              </w:rPr>
              <w:t>1 sensor</w:t>
            </w:r>
          </w:p>
        </w:tc>
        <w:tc>
          <w:tcPr>
            <w:tcW w:w="1846" w:type="dxa"/>
          </w:tcPr>
          <w:p w14:paraId="75F1DBF4" w14:textId="3E2F649D" w:rsidR="008822A4" w:rsidRPr="00855E7E" w:rsidRDefault="008822A4" w:rsidP="007D7F48">
            <w:pPr>
              <w:pStyle w:val="TableBodyText"/>
              <w:spacing w:before="20" w:after="20" w:line="240" w:lineRule="auto"/>
              <w:rPr>
                <w:color w:val="auto"/>
              </w:rPr>
            </w:pPr>
            <w:r w:rsidRPr="00855E7E">
              <w:rPr>
                <w:color w:val="auto"/>
              </w:rPr>
              <w:t>None</w:t>
            </w:r>
          </w:p>
        </w:tc>
        <w:tc>
          <w:tcPr>
            <w:tcW w:w="1872" w:type="dxa"/>
          </w:tcPr>
          <w:p w14:paraId="626AFDF2" w14:textId="3B33A07F" w:rsidR="008822A4" w:rsidRPr="00855E7E" w:rsidRDefault="008822A4" w:rsidP="007D7F48">
            <w:pPr>
              <w:pStyle w:val="TableBodyText"/>
              <w:spacing w:before="20" w:after="20" w:line="240" w:lineRule="auto"/>
              <w:rPr>
                <w:color w:val="auto"/>
              </w:rPr>
            </w:pPr>
            <w:r w:rsidRPr="00855E7E">
              <w:rPr>
                <w:color w:val="auto"/>
              </w:rPr>
              <w:t>Multiple</w:t>
            </w:r>
          </w:p>
        </w:tc>
        <w:tc>
          <w:tcPr>
            <w:tcW w:w="3024" w:type="dxa"/>
            <w:hideMark/>
          </w:tcPr>
          <w:p w14:paraId="3D9D1BA9" w14:textId="7DFCEB3D" w:rsidR="008822A4" w:rsidRPr="00855E7E" w:rsidRDefault="008822A4" w:rsidP="007D7F48">
            <w:pPr>
              <w:pStyle w:val="TableBodyText"/>
              <w:spacing w:before="20" w:after="20" w:line="240" w:lineRule="auto"/>
              <w:rPr>
                <w:color w:val="auto"/>
              </w:rPr>
            </w:pPr>
            <w:r w:rsidRPr="00855E7E">
              <w:rPr>
                <w:color w:val="auto"/>
              </w:rPr>
              <w:t>Background noise/sound often</w:t>
            </w:r>
            <w:r w:rsidR="007D7F48">
              <w:rPr>
                <w:color w:val="auto"/>
              </w:rPr>
              <w:t xml:space="preserve"> </w:t>
            </w:r>
            <w:r w:rsidRPr="00855E7E">
              <w:rPr>
                <w:color w:val="auto"/>
              </w:rPr>
              <w:t>interferes</w:t>
            </w:r>
          </w:p>
        </w:tc>
        <w:tc>
          <w:tcPr>
            <w:tcW w:w="3025" w:type="dxa"/>
            <w:hideMark/>
          </w:tcPr>
          <w:p w14:paraId="4F3AE7B4" w14:textId="77777777" w:rsidR="008822A4" w:rsidRPr="00855E7E" w:rsidRDefault="008822A4" w:rsidP="007D7F48">
            <w:pPr>
              <w:pStyle w:val="TableBodyText"/>
              <w:spacing w:before="20" w:after="20" w:line="240" w:lineRule="auto"/>
              <w:rPr>
                <w:color w:val="auto"/>
              </w:rPr>
            </w:pPr>
            <w:r w:rsidRPr="00855E7E">
              <w:rPr>
                <w:color w:val="auto"/>
              </w:rPr>
              <w:t>Short-term counter is mounted on an extensible pole on a trailer; the sensor should be mounted higher than 25 feet</w:t>
            </w:r>
          </w:p>
        </w:tc>
      </w:tr>
      <w:tr w:rsidR="007D7F48" w:rsidRPr="00855E7E" w14:paraId="75A5C04A" w14:textId="77777777" w:rsidTr="00701BE1">
        <w:trPr>
          <w:trHeight w:val="260"/>
        </w:trPr>
        <w:tc>
          <w:tcPr>
            <w:tcW w:w="1718" w:type="dxa"/>
            <w:hideMark/>
          </w:tcPr>
          <w:p w14:paraId="6CC38DF0" w14:textId="77777777" w:rsidR="008822A4" w:rsidRPr="006307A2" w:rsidRDefault="008822A4" w:rsidP="007D7F48">
            <w:pPr>
              <w:pStyle w:val="TableBodyText"/>
              <w:spacing w:before="20" w:after="20" w:line="240" w:lineRule="auto"/>
              <w:rPr>
                <w:b/>
                <w:bCs/>
                <w:color w:val="auto"/>
              </w:rPr>
            </w:pPr>
            <w:r w:rsidRPr="006307A2">
              <w:rPr>
                <w:b/>
                <w:bCs/>
                <w:color w:val="auto"/>
              </w:rPr>
              <w:t>Laser Radar</w:t>
            </w:r>
          </w:p>
        </w:tc>
        <w:tc>
          <w:tcPr>
            <w:tcW w:w="1780" w:type="dxa"/>
            <w:hideMark/>
          </w:tcPr>
          <w:p w14:paraId="25293137" w14:textId="77777777" w:rsidR="008822A4" w:rsidRPr="00855E7E" w:rsidRDefault="008822A4" w:rsidP="007D7F48">
            <w:pPr>
              <w:pStyle w:val="TableBodyText"/>
              <w:spacing w:before="20" w:after="20" w:line="240" w:lineRule="auto"/>
              <w:rPr>
                <w:color w:val="auto"/>
              </w:rPr>
            </w:pPr>
            <w:r w:rsidRPr="00855E7E">
              <w:rPr>
                <w:color w:val="auto"/>
              </w:rPr>
              <w:t>1 sensor</w:t>
            </w:r>
          </w:p>
        </w:tc>
        <w:tc>
          <w:tcPr>
            <w:tcW w:w="1846" w:type="dxa"/>
            <w:hideMark/>
          </w:tcPr>
          <w:p w14:paraId="3851DCBA" w14:textId="77777777" w:rsidR="008822A4" w:rsidRPr="00855E7E" w:rsidRDefault="008822A4" w:rsidP="007D7F48">
            <w:pPr>
              <w:pStyle w:val="TableBodyText"/>
              <w:spacing w:before="20" w:after="20" w:line="240" w:lineRule="auto"/>
              <w:rPr>
                <w:color w:val="auto"/>
              </w:rPr>
            </w:pPr>
            <w:r w:rsidRPr="00855E7E">
              <w:rPr>
                <w:color w:val="auto"/>
              </w:rPr>
              <w:t>13+</w:t>
            </w:r>
          </w:p>
        </w:tc>
        <w:tc>
          <w:tcPr>
            <w:tcW w:w="1872" w:type="dxa"/>
            <w:hideMark/>
          </w:tcPr>
          <w:p w14:paraId="378DABEE" w14:textId="77777777" w:rsidR="008822A4" w:rsidRPr="00855E7E" w:rsidRDefault="008822A4" w:rsidP="007D7F48">
            <w:pPr>
              <w:pStyle w:val="TableBodyText"/>
              <w:spacing w:before="20" w:after="20" w:line="240" w:lineRule="auto"/>
              <w:rPr>
                <w:color w:val="auto"/>
              </w:rPr>
            </w:pPr>
            <w:r w:rsidRPr="00855E7E">
              <w:rPr>
                <w:color w:val="auto"/>
              </w:rPr>
              <w:t>Maximum of 4</w:t>
            </w:r>
          </w:p>
        </w:tc>
        <w:tc>
          <w:tcPr>
            <w:tcW w:w="3024" w:type="dxa"/>
            <w:hideMark/>
          </w:tcPr>
          <w:p w14:paraId="51099390" w14:textId="77777777" w:rsidR="008822A4" w:rsidRPr="00855E7E" w:rsidRDefault="008822A4" w:rsidP="007D7F48">
            <w:pPr>
              <w:pStyle w:val="TableBodyText"/>
              <w:spacing w:before="20" w:after="20" w:line="240" w:lineRule="auto"/>
              <w:rPr>
                <w:color w:val="auto"/>
              </w:rPr>
            </w:pPr>
            <w:r w:rsidRPr="00855E7E">
              <w:rPr>
                <w:color w:val="auto"/>
              </w:rPr>
              <w:t>Snow, fog, heavy rain</w:t>
            </w:r>
          </w:p>
        </w:tc>
        <w:tc>
          <w:tcPr>
            <w:tcW w:w="3025" w:type="dxa"/>
            <w:hideMark/>
          </w:tcPr>
          <w:p w14:paraId="776EEDCD" w14:textId="77777777" w:rsidR="008822A4" w:rsidRPr="00855E7E" w:rsidRDefault="008822A4" w:rsidP="007D7F48">
            <w:pPr>
              <w:pStyle w:val="TableBodyText"/>
              <w:spacing w:before="20" w:after="20" w:line="240" w:lineRule="auto"/>
              <w:rPr>
                <w:color w:val="auto"/>
              </w:rPr>
            </w:pPr>
            <w:r w:rsidRPr="00855E7E">
              <w:rPr>
                <w:color w:val="auto"/>
              </w:rPr>
              <w:t>No in-road installation required</w:t>
            </w:r>
          </w:p>
        </w:tc>
      </w:tr>
      <w:tr w:rsidR="007D7F48" w:rsidRPr="00855E7E" w14:paraId="589F0AA3" w14:textId="77777777" w:rsidTr="00701BE1">
        <w:trPr>
          <w:trHeight w:val="260"/>
        </w:trPr>
        <w:tc>
          <w:tcPr>
            <w:tcW w:w="1718" w:type="dxa"/>
          </w:tcPr>
          <w:p w14:paraId="72CEC998" w14:textId="77777777" w:rsidR="008822A4" w:rsidRPr="006307A2" w:rsidRDefault="008822A4" w:rsidP="007D7F48">
            <w:pPr>
              <w:pStyle w:val="TableBodyText"/>
              <w:spacing w:before="20" w:after="20" w:line="240" w:lineRule="auto"/>
              <w:rPr>
                <w:b/>
                <w:bCs/>
                <w:color w:val="auto"/>
              </w:rPr>
            </w:pPr>
            <w:r w:rsidRPr="006307A2">
              <w:rPr>
                <w:b/>
                <w:bCs/>
                <w:color w:val="auto"/>
              </w:rPr>
              <w:t>Paste-Down Loop</w:t>
            </w:r>
          </w:p>
        </w:tc>
        <w:tc>
          <w:tcPr>
            <w:tcW w:w="1780" w:type="dxa"/>
          </w:tcPr>
          <w:p w14:paraId="0218D006" w14:textId="77777777" w:rsidR="008822A4" w:rsidRPr="00855E7E" w:rsidRDefault="008822A4" w:rsidP="007D7F48">
            <w:pPr>
              <w:pStyle w:val="TableBodyText"/>
              <w:spacing w:before="20" w:after="20" w:line="240" w:lineRule="auto"/>
              <w:rPr>
                <w:color w:val="auto"/>
              </w:rPr>
            </w:pPr>
            <w:r w:rsidRPr="00855E7E">
              <w:rPr>
                <w:color w:val="auto"/>
              </w:rPr>
              <w:t xml:space="preserve">2 per lane </w:t>
            </w:r>
          </w:p>
        </w:tc>
        <w:tc>
          <w:tcPr>
            <w:tcW w:w="1846" w:type="dxa"/>
          </w:tcPr>
          <w:p w14:paraId="0CF116C7" w14:textId="31AE4AB5" w:rsidR="008822A4" w:rsidRPr="00855E7E" w:rsidRDefault="008822A4" w:rsidP="007D7F48">
            <w:pPr>
              <w:pStyle w:val="TableBodyText"/>
              <w:spacing w:before="20" w:after="20" w:line="240" w:lineRule="auto"/>
              <w:rPr>
                <w:color w:val="auto"/>
              </w:rPr>
            </w:pPr>
            <w:r w:rsidRPr="00855E7E">
              <w:rPr>
                <w:color w:val="auto"/>
              </w:rPr>
              <w:t xml:space="preserve">(FHWA 13+) </w:t>
            </w:r>
            <w:r>
              <w:rPr>
                <w:color w:val="auto"/>
              </w:rPr>
              <w:t xml:space="preserve">if </w:t>
            </w:r>
            <w:r w:rsidRPr="00855E7E">
              <w:rPr>
                <w:color w:val="auto"/>
              </w:rPr>
              <w:t>ILS-based or Length-Based is 2 loops are used without ILS</w:t>
            </w:r>
          </w:p>
        </w:tc>
        <w:tc>
          <w:tcPr>
            <w:tcW w:w="1872" w:type="dxa"/>
          </w:tcPr>
          <w:p w14:paraId="1803844C" w14:textId="77777777" w:rsidR="008822A4" w:rsidRPr="001F5718" w:rsidRDefault="008822A4" w:rsidP="007D7F48">
            <w:pPr>
              <w:pStyle w:val="TableBodyText"/>
              <w:spacing w:before="20" w:after="20" w:line="240" w:lineRule="auto"/>
              <w:rPr>
                <w:rFonts w:cstheme="minorHAnsi"/>
                <w:color w:val="auto"/>
              </w:rPr>
            </w:pPr>
            <w:r w:rsidRPr="001F5718">
              <w:rPr>
                <w:rFonts w:cstheme="minorHAnsi"/>
              </w:rPr>
              <w:t>For 3 or more lanes, home run of the other lanes needs to be taken care of</w:t>
            </w:r>
          </w:p>
        </w:tc>
        <w:tc>
          <w:tcPr>
            <w:tcW w:w="3024" w:type="dxa"/>
          </w:tcPr>
          <w:p w14:paraId="59F72453" w14:textId="77777777" w:rsidR="008822A4" w:rsidRPr="00855E7E" w:rsidRDefault="008822A4" w:rsidP="007D7F48">
            <w:pPr>
              <w:pStyle w:val="TableBodyText"/>
              <w:spacing w:before="20" w:after="20" w:line="240" w:lineRule="auto"/>
              <w:rPr>
                <w:color w:val="auto"/>
              </w:rPr>
            </w:pPr>
            <w:r w:rsidRPr="00855E7E">
              <w:rPr>
                <w:color w:val="auto"/>
              </w:rPr>
              <w:t>Must be above freezing to install, unless the marmac tape rated for lower temps is used. Can’t be installed in rain or with snow or dew on the roadway</w:t>
            </w:r>
          </w:p>
        </w:tc>
        <w:tc>
          <w:tcPr>
            <w:tcW w:w="3025" w:type="dxa"/>
          </w:tcPr>
          <w:p w14:paraId="7939751B" w14:textId="77777777" w:rsidR="008822A4" w:rsidRPr="00855E7E" w:rsidRDefault="008822A4" w:rsidP="007D7F48">
            <w:pPr>
              <w:pStyle w:val="TableBodyText"/>
              <w:spacing w:before="20" w:after="20" w:line="240" w:lineRule="auto"/>
              <w:rPr>
                <w:color w:val="auto"/>
              </w:rPr>
            </w:pPr>
            <w:r w:rsidRPr="00855E7E">
              <w:rPr>
                <w:color w:val="auto"/>
              </w:rPr>
              <w:t>Requires clean, debris free surface to use a paste down loop.</w:t>
            </w:r>
          </w:p>
          <w:p w14:paraId="2C4E7303" w14:textId="77777777" w:rsidR="008822A4" w:rsidRPr="00855E7E" w:rsidRDefault="008822A4" w:rsidP="007D7F48">
            <w:pPr>
              <w:pStyle w:val="TableBodyText"/>
              <w:spacing w:before="20" w:after="20" w:line="240" w:lineRule="auto"/>
              <w:rPr>
                <w:color w:val="auto"/>
              </w:rPr>
            </w:pPr>
            <w:r w:rsidRPr="00855E7E">
              <w:rPr>
                <w:color w:val="auto"/>
              </w:rPr>
              <w:t>Can be peeled back up or left on the roadway after data collection is done.</w:t>
            </w:r>
          </w:p>
        </w:tc>
      </w:tr>
    </w:tbl>
    <w:p w14:paraId="6867F32B" w14:textId="2930D2DB" w:rsidR="008822A4" w:rsidRPr="00855E7E" w:rsidRDefault="008822A4" w:rsidP="00B854E1">
      <w:pPr>
        <w:pStyle w:val="Source"/>
      </w:pPr>
      <w:r w:rsidRPr="00855E7E">
        <w:t>Source:</w:t>
      </w:r>
      <w:r w:rsidR="0061163F">
        <w:t xml:space="preserve">  </w:t>
      </w:r>
      <w:r w:rsidRPr="00855E7E">
        <w:t>Based on Hallenbeck and Weinblatt, 2004.</w:t>
      </w:r>
    </w:p>
    <w:p w14:paraId="76E89E4C" w14:textId="77777777" w:rsidR="008822A4" w:rsidRPr="00855E7E" w:rsidRDefault="008822A4" w:rsidP="00BC5AFC">
      <w:pPr>
        <w:pStyle w:val="Source"/>
        <w:sectPr w:rsidR="008822A4" w:rsidRPr="00855E7E" w:rsidSect="00521309">
          <w:headerReference w:type="even" r:id="rId70"/>
          <w:headerReference w:type="default" r:id="rId71"/>
          <w:footerReference w:type="even" r:id="rId72"/>
          <w:footerReference w:type="default" r:id="rId73"/>
          <w:pgSz w:w="15840" w:h="12240" w:orient="landscape" w:code="1"/>
          <w:pgMar w:top="1440" w:right="1152" w:bottom="1440" w:left="1440" w:header="720" w:footer="576" w:gutter="0"/>
          <w:pgNumType w:chapStyle="1"/>
          <w:cols w:space="720"/>
          <w:docGrid w:linePitch="272"/>
        </w:sectPr>
      </w:pPr>
      <w:r w:rsidRPr="00855E7E">
        <w:t>ILS = inductive loop signature card</w:t>
      </w:r>
    </w:p>
    <w:p w14:paraId="550DB61B" w14:textId="1963DAF5" w:rsidR="008822A4" w:rsidRPr="00F468E1" w:rsidRDefault="008822A4">
      <w:pPr>
        <w:pStyle w:val="Heading3"/>
        <w:spacing w:before="0"/>
      </w:pPr>
      <w:bookmarkStart w:id="770" w:name="_Toc52785403"/>
      <w:bookmarkStart w:id="771" w:name="_Toc325034114"/>
      <w:bookmarkStart w:id="772" w:name="_Toc63428131"/>
      <w:bookmarkStart w:id="773" w:name="_Toc118205592"/>
      <w:r w:rsidRPr="00F468E1">
        <w:lastRenderedPageBreak/>
        <w:t>Equipment Selection for Continuous Counts</w:t>
      </w:r>
      <w:bookmarkEnd w:id="770"/>
      <w:bookmarkEnd w:id="771"/>
      <w:bookmarkEnd w:id="772"/>
      <w:bookmarkEnd w:id="773"/>
    </w:p>
    <w:p w14:paraId="0A100440" w14:textId="77777777" w:rsidR="008822A4" w:rsidRPr="00855E7E" w:rsidRDefault="008822A4" w:rsidP="00A35EAF">
      <w:pPr>
        <w:pStyle w:val="BodyText"/>
      </w:pPr>
      <w:r w:rsidRPr="00855E7E">
        <w:t xml:space="preserve">Continuous counts are collected using permanently installed equipment. Permanently installed, continually operating traffic monitoring equipment provides both current measures of traffic flow and a time series record of traffic flow attributes that describe how traffic flow changes over time at that location. </w:t>
      </w:r>
    </w:p>
    <w:p w14:paraId="237FC7F2" w14:textId="594291BC" w:rsidR="008822A4" w:rsidRPr="00855E7E" w:rsidRDefault="008822A4" w:rsidP="00A35EAF">
      <w:pPr>
        <w:pStyle w:val="BodyText"/>
      </w:pPr>
      <w:r w:rsidRPr="00855E7E">
        <w:t>Permanent sensors represent both a large financial investment and a large data resource. As a result, the selection, installation, and calibration of that equipment is particularly important. Sensors that are poorly installed, inadequately calibrated, or that fail quickly because of poor design, installation</w:t>
      </w:r>
      <w:r>
        <w:t>,</w:t>
      </w:r>
      <w:r w:rsidRPr="00855E7E">
        <w:t xml:space="preserve"> construction, </w:t>
      </w:r>
      <w:r>
        <w:t>or p</w:t>
      </w:r>
      <w:r w:rsidRPr="00083753">
        <w:t xml:space="preserve">oor pavement conditions </w:t>
      </w:r>
      <w:r w:rsidRPr="00855E7E">
        <w:t xml:space="preserve">not only do not generate useful data, </w:t>
      </w:r>
      <w:r w:rsidR="00C81DC3" w:rsidRPr="00855E7E">
        <w:t>but they also</w:t>
      </w:r>
      <w:r w:rsidRPr="00855E7E">
        <w:t xml:space="preserve"> waste resources (both money and staff time) that are needed for other data collection tasks. In part, this is because the funds spent on equipment and installation could be used elsewhere, but also because it requires considerable staff time to determine that the data being provided by poorly performing sensors are not an accurate representation of the traffic stream.</w:t>
      </w:r>
    </w:p>
    <w:p w14:paraId="78264755" w14:textId="77777777" w:rsidR="008822A4" w:rsidRPr="00855E7E" w:rsidRDefault="008822A4" w:rsidP="003B0722">
      <w:pPr>
        <w:pStyle w:val="BodyText"/>
      </w:pPr>
      <w:r w:rsidRPr="00855E7E">
        <w:t>Permanent traffic monitoring locations should have:</w:t>
      </w:r>
    </w:p>
    <w:p w14:paraId="6F8B7F76" w14:textId="69DDC1AB" w:rsidR="008822A4" w:rsidRPr="00220AFE" w:rsidRDefault="008822A4">
      <w:pPr>
        <w:pStyle w:val="TMGBullet"/>
      </w:pPr>
      <w:r w:rsidRPr="00220AFE">
        <w:t>Sensors that withstand the harsh roadway environment and operate for multiple years</w:t>
      </w:r>
      <w:r w:rsidR="00C81DC3">
        <w:t>.</w:t>
      </w:r>
    </w:p>
    <w:p w14:paraId="55A5CE2C" w14:textId="7B5BBE4B" w:rsidR="008822A4" w:rsidRPr="00220AFE" w:rsidRDefault="008822A4">
      <w:pPr>
        <w:pStyle w:val="TMGBullet"/>
      </w:pPr>
      <w:r w:rsidRPr="00220AFE">
        <w:t>Power sources (either electrical power or solar power with battery backup)</w:t>
      </w:r>
      <w:r w:rsidR="00C81DC3">
        <w:t>.</w:t>
      </w:r>
    </w:p>
    <w:p w14:paraId="54E35503" w14:textId="09A04926" w:rsidR="008822A4" w:rsidRPr="00220AFE" w:rsidRDefault="008822A4">
      <w:pPr>
        <w:pStyle w:val="TMGBullet"/>
      </w:pPr>
      <w:r w:rsidRPr="00220AFE">
        <w:t>Communications (land lines or cellular communications)</w:t>
      </w:r>
      <w:r w:rsidR="00C81DC3">
        <w:t>.</w:t>
      </w:r>
    </w:p>
    <w:p w14:paraId="30412490" w14:textId="6522DAB2" w:rsidR="008822A4" w:rsidRPr="00220AFE" w:rsidRDefault="008822A4">
      <w:pPr>
        <w:pStyle w:val="TMGBullet"/>
      </w:pPr>
      <w:r w:rsidRPr="00220AFE">
        <w:t>Environmental protection (traffic cabinet) for electronic data logger or controller (temperature, moisture, dirt, electrical surge protection on all sensors,</w:t>
      </w:r>
      <w:r w:rsidR="00080D85" w:rsidRPr="00220AFE">
        <w:t xml:space="preserve"> </w:t>
      </w:r>
      <w:r w:rsidRPr="00220AFE">
        <w:t>power and communications lines, and protection against animal and insect infestation)</w:t>
      </w:r>
      <w:r w:rsidR="00C81DC3">
        <w:t>.</w:t>
      </w:r>
    </w:p>
    <w:p w14:paraId="4E24854C" w14:textId="77777777" w:rsidR="008822A4" w:rsidRPr="00220AFE" w:rsidRDefault="008822A4">
      <w:pPr>
        <w:pStyle w:val="TMGBullet"/>
      </w:pPr>
      <w:r w:rsidRPr="00220AFE">
        <w:t>Safe pullout for maintenance vehicles and safe area for technician to access traffic equipment.</w:t>
      </w:r>
    </w:p>
    <w:p w14:paraId="6A1A9E68" w14:textId="052CB8BB" w:rsidR="008822A4" w:rsidRPr="00220AFE" w:rsidRDefault="008822A4">
      <w:pPr>
        <w:pStyle w:val="TMGBullet"/>
      </w:pPr>
      <w:r w:rsidRPr="00220AFE">
        <w:t>Straight and flat road segment with good quality smooth pavement (at least 300 ft before and 100 feet after the sensor)</w:t>
      </w:r>
      <w:r w:rsidR="00C81DC3">
        <w:t>.</w:t>
      </w:r>
    </w:p>
    <w:p w14:paraId="1A3BE7E8" w14:textId="1FB79E26" w:rsidR="008822A4" w:rsidRPr="00220AFE" w:rsidRDefault="008822A4">
      <w:pPr>
        <w:pStyle w:val="TMGBullet"/>
      </w:pPr>
      <w:r w:rsidRPr="00220AFE">
        <w:t>Selected road segment should have even traffic flow during all hours of the day with minimal stop and go traffic queues, not prone to lane changes, mergers, or weaving maneuvers</w:t>
      </w:r>
      <w:r w:rsidR="00C81DC3">
        <w:t>.</w:t>
      </w:r>
    </w:p>
    <w:p w14:paraId="073C66E2" w14:textId="4A37A9FF" w:rsidR="008822A4" w:rsidRPr="00220AFE" w:rsidRDefault="008822A4">
      <w:pPr>
        <w:pStyle w:val="TMGBullet"/>
      </w:pPr>
      <w:r w:rsidRPr="00220AFE">
        <w:t>For WIM sites, the turnaround time (one loop of the test vehicle) for calibration truck should be 30 minutes or less.</w:t>
      </w:r>
    </w:p>
    <w:p w14:paraId="33439709" w14:textId="623AE4D4" w:rsidR="008822A4" w:rsidRPr="00855E7E" w:rsidRDefault="008822A4" w:rsidP="00A35EAF">
      <w:pPr>
        <w:pStyle w:val="BodyText"/>
      </w:pPr>
      <w:r w:rsidRPr="00855E7E">
        <w:t>Unlike short-term counts, the speed of sensor installation is much less of an issue for selecting permanent count technology and equipment. The real key for permanent count technologies is that once installed, the equipment should operate accurately for long periods, with only a modest level of maintenance. In high</w:t>
      </w:r>
      <w:r w:rsidR="00C81DC3">
        <w:t>-</w:t>
      </w:r>
      <w:r w:rsidRPr="00855E7E">
        <w:t xml:space="preserve">volume locations, maintenance of an intrusive sensor is challenging unless lane closures are planned for some other purpose. (In a growing number of urban areas, traffic lane closures are very limited due to the size and scope of traffic congestion those closures cause, even at night.) </w:t>
      </w:r>
    </w:p>
    <w:p w14:paraId="4306112E" w14:textId="77777777" w:rsidR="008822A4" w:rsidRPr="00855E7E" w:rsidRDefault="008822A4" w:rsidP="00A35EAF">
      <w:pPr>
        <w:pStyle w:val="BodyText"/>
      </w:pPr>
      <w:r w:rsidRPr="00855E7E">
        <w:t xml:space="preserve">One of the great advantages of non-intrusive detectors as permanent traffic monitoring devices is the ability of the roadway agency to safely work on that equipment when it starts to have performance problems. Of course, not all non-intrusive equipment has this advantage. Non-intrusive equipment placed above the roadway requires lane closures for maintenance. In other instances, side-fired equipment positions come with penalties to the accuracy with which the devices work. </w:t>
      </w:r>
    </w:p>
    <w:p w14:paraId="5ACDF48A" w14:textId="315ED3DF" w:rsidR="008822A4" w:rsidRPr="00855E7E" w:rsidRDefault="006827F7" w:rsidP="00A35EAF">
      <w:pPr>
        <w:pStyle w:val="BodyText"/>
      </w:pPr>
      <w:r>
        <w:fldChar w:fldCharType="begin"/>
      </w:r>
      <w:r>
        <w:instrText xml:space="preserve"> REF _Ref114749858 \h </w:instrText>
      </w:r>
      <w:r>
        <w:fldChar w:fldCharType="separate"/>
      </w:r>
      <w:r w:rsidR="00C07DF9" w:rsidRPr="00C34163">
        <w:t xml:space="preserve">Table </w:t>
      </w:r>
      <w:r w:rsidR="00C07DF9">
        <w:rPr>
          <w:noProof/>
        </w:rPr>
        <w:t>2</w:t>
      </w:r>
      <w:r w:rsidR="00C07DF9" w:rsidRPr="00C34163">
        <w:noBreakHyphen/>
      </w:r>
      <w:r w:rsidR="00C07DF9">
        <w:rPr>
          <w:noProof/>
        </w:rPr>
        <w:t>10</w:t>
      </w:r>
      <w:r>
        <w:fldChar w:fldCharType="end"/>
      </w:r>
      <w:r w:rsidR="008822A4" w:rsidRPr="00855E7E">
        <w:t xml:space="preserve"> summarizes the technologies currently used for permanent vehicular traffic monitoring. Most measure count, presence, and occupancy. Some single detection zone sensors, such as the range-measuring ultrasonic sensor and some infrared sensors do not measure speed. Continuous wave Doppler radar sensors do not detect stopped or slow-moving vehicles.</w:t>
      </w:r>
    </w:p>
    <w:p w14:paraId="2A2B4261" w14:textId="77777777" w:rsidR="008822A4" w:rsidRPr="00855E7E" w:rsidRDefault="008822A4" w:rsidP="008822A4">
      <w:pPr>
        <w:spacing w:line="256" w:lineRule="auto"/>
        <w:rPr>
          <w:rFonts w:eastAsia="Calibri"/>
          <w:color w:val="auto"/>
          <w:szCs w:val="22"/>
        </w:rPr>
        <w:sectPr w:rsidR="008822A4" w:rsidRPr="00855E7E" w:rsidSect="003C28DA">
          <w:headerReference w:type="even" r:id="rId74"/>
          <w:headerReference w:type="default" r:id="rId75"/>
          <w:footerReference w:type="even" r:id="rId76"/>
          <w:footerReference w:type="default" r:id="rId77"/>
          <w:pgSz w:w="12240" w:h="15840" w:code="1"/>
          <w:pgMar w:top="1440" w:right="1440" w:bottom="1152" w:left="1440" w:header="720" w:footer="576" w:gutter="0"/>
          <w:pgNumType w:chapStyle="1"/>
          <w:cols w:space="720"/>
        </w:sectPr>
      </w:pPr>
    </w:p>
    <w:p w14:paraId="589E3A76" w14:textId="52FF4221" w:rsidR="008822A4" w:rsidRDefault="008822A4" w:rsidP="00BB182A">
      <w:pPr>
        <w:pStyle w:val="TMGTableCaption"/>
        <w:spacing w:before="0"/>
      </w:pPr>
      <w:bookmarkStart w:id="774" w:name="_Ref114749858"/>
      <w:bookmarkStart w:id="775" w:name="_Toc63428095"/>
      <w:bookmarkStart w:id="776" w:name="_Toc68874108"/>
      <w:bookmarkStart w:id="777" w:name="_Toc114474820"/>
      <w:bookmarkStart w:id="778" w:name="_Toc120631126"/>
      <w:r w:rsidRPr="00C34163">
        <w:lastRenderedPageBreak/>
        <w:t>Table</w:t>
      </w:r>
      <w:r w:rsidR="000A7B34" w:rsidRPr="00C34163">
        <w:t xml:space="preserve"> </w:t>
      </w:r>
      <w:fldSimple w:instr=" STYLEREF 1 \s ">
        <w:r w:rsidR="00C07DF9">
          <w:rPr>
            <w:noProof/>
          </w:rPr>
          <w:t>2</w:t>
        </w:r>
      </w:fldSimple>
      <w:r w:rsidR="00FE5355" w:rsidRPr="00C34163">
        <w:noBreakHyphen/>
      </w:r>
      <w:fldSimple w:instr=" SEQ Table \* ARABIC \s 1 ">
        <w:r w:rsidR="00C07DF9">
          <w:rPr>
            <w:noProof/>
          </w:rPr>
          <w:t>10</w:t>
        </w:r>
      </w:fldSimple>
      <w:bookmarkEnd w:id="774"/>
      <w:r w:rsidR="00E34EB1">
        <w:t>.</w:t>
      </w:r>
      <w:r w:rsidRPr="00C34163">
        <w:t xml:space="preserve"> Sensors </w:t>
      </w:r>
      <w:r w:rsidR="00E779DE">
        <w:t>f</w:t>
      </w:r>
      <w:r w:rsidRPr="00C34163">
        <w:t xml:space="preserve">or Motorized Vehicle Data Collection </w:t>
      </w:r>
      <w:r w:rsidR="00D6139F">
        <w:t>f</w:t>
      </w:r>
      <w:r w:rsidRPr="00C34163">
        <w:t>or Permanent Count Locations</w:t>
      </w:r>
      <w:bookmarkEnd w:id="775"/>
      <w:bookmarkEnd w:id="776"/>
      <w:bookmarkEnd w:id="777"/>
      <w:bookmarkEnd w:id="778"/>
    </w:p>
    <w:tbl>
      <w:tblPr>
        <w:tblStyle w:val="TableGrid"/>
        <w:tblW w:w="13219" w:type="dxa"/>
        <w:jc w:val="center"/>
        <w:tblLayout w:type="fixed"/>
        <w:tblCellMar>
          <w:left w:w="86" w:type="dxa"/>
          <w:right w:w="86" w:type="dxa"/>
        </w:tblCellMar>
        <w:tblLook w:val="04A0" w:firstRow="1" w:lastRow="0" w:firstColumn="1" w:lastColumn="0" w:noHBand="0" w:noVBand="1"/>
      </w:tblPr>
      <w:tblGrid>
        <w:gridCol w:w="1885"/>
        <w:gridCol w:w="1350"/>
        <w:gridCol w:w="1755"/>
        <w:gridCol w:w="1755"/>
        <w:gridCol w:w="2790"/>
        <w:gridCol w:w="3684"/>
      </w:tblGrid>
      <w:tr w:rsidR="00690521" w14:paraId="4C6E6DD5" w14:textId="77777777" w:rsidTr="003519FA">
        <w:trPr>
          <w:tblHeader/>
          <w:jc w:val="center"/>
        </w:trPr>
        <w:tc>
          <w:tcPr>
            <w:tcW w:w="1885" w:type="dxa"/>
            <w:tcBorders>
              <w:right w:val="single" w:sz="4" w:space="0" w:color="FFFFFF" w:themeColor="background1"/>
            </w:tcBorders>
            <w:shd w:val="clear" w:color="auto" w:fill="1F3864"/>
            <w:vAlign w:val="center"/>
          </w:tcPr>
          <w:p w14:paraId="69FB713C" w14:textId="2BD35D75" w:rsidR="00D6139F" w:rsidRPr="00207990" w:rsidRDefault="00D6139F" w:rsidP="00EE628A">
            <w:pPr>
              <w:pStyle w:val="TableBodyText"/>
              <w:spacing w:before="20" w:after="20" w:line="240" w:lineRule="auto"/>
              <w:ind w:left="0"/>
              <w:jc w:val="center"/>
              <w:rPr>
                <w:rFonts w:ascii="Calibri" w:hAnsi="Calibri" w:cs="Calibri"/>
                <w:b/>
                <w:bCs/>
                <w:color w:val="FFFFFF" w:themeColor="background1"/>
                <w:szCs w:val="20"/>
                <w:lang w:bidi="ar-SA"/>
              </w:rPr>
            </w:pPr>
            <w:r w:rsidRPr="00207990">
              <w:rPr>
                <w:rFonts w:ascii="Calibri" w:hAnsi="Calibri" w:cs="Calibri"/>
                <w:b/>
                <w:bCs/>
                <w:color w:val="FFFFFF" w:themeColor="background1"/>
                <w:szCs w:val="20"/>
                <w:lang w:bidi="ar-SA"/>
              </w:rPr>
              <w:t>Technology</w:t>
            </w:r>
          </w:p>
        </w:tc>
        <w:tc>
          <w:tcPr>
            <w:tcW w:w="1350" w:type="dxa"/>
            <w:tcBorders>
              <w:left w:val="single" w:sz="4" w:space="0" w:color="FFFFFF" w:themeColor="background1"/>
              <w:right w:val="single" w:sz="4" w:space="0" w:color="FFFFFF" w:themeColor="background1"/>
            </w:tcBorders>
            <w:shd w:val="clear" w:color="auto" w:fill="1F3864"/>
            <w:vAlign w:val="center"/>
          </w:tcPr>
          <w:p w14:paraId="6E33F006" w14:textId="66B52439" w:rsidR="00D6139F" w:rsidRPr="00207990" w:rsidRDefault="00D6139F" w:rsidP="00EE628A">
            <w:pPr>
              <w:pStyle w:val="TableBodyText"/>
              <w:spacing w:before="20" w:after="20" w:line="240" w:lineRule="auto"/>
              <w:ind w:left="0"/>
              <w:jc w:val="center"/>
              <w:rPr>
                <w:rFonts w:ascii="Calibri" w:hAnsi="Calibri" w:cs="Calibri"/>
                <w:b/>
                <w:bCs/>
                <w:color w:val="FFFFFF" w:themeColor="background1"/>
                <w:szCs w:val="20"/>
                <w:lang w:bidi="ar-SA"/>
              </w:rPr>
            </w:pPr>
            <w:r w:rsidRPr="00207990">
              <w:rPr>
                <w:rFonts w:ascii="Calibri" w:hAnsi="Calibri" w:cs="Calibri"/>
                <w:b/>
                <w:bCs/>
                <w:color w:val="FFFFFF" w:themeColor="background1"/>
                <w:szCs w:val="20"/>
                <w:lang w:bidi="ar-SA"/>
              </w:rPr>
              <w:t xml:space="preserve">Intrusive or </w:t>
            </w:r>
            <w:r w:rsidRPr="00207990">
              <w:rPr>
                <w:rFonts w:ascii="Calibri" w:hAnsi="Calibri" w:cs="Calibri"/>
                <w:b/>
                <w:bCs/>
                <w:color w:val="FFFFFF" w:themeColor="background1"/>
                <w:szCs w:val="20"/>
                <w:lang w:bidi="ar-SA"/>
              </w:rPr>
              <w:br/>
              <w:t>Non-intrusive</w:t>
            </w:r>
          </w:p>
        </w:tc>
        <w:tc>
          <w:tcPr>
            <w:tcW w:w="1755" w:type="dxa"/>
            <w:tcBorders>
              <w:left w:val="single" w:sz="4" w:space="0" w:color="FFFFFF" w:themeColor="background1"/>
              <w:right w:val="single" w:sz="4" w:space="0" w:color="FFFFFF" w:themeColor="background1"/>
            </w:tcBorders>
            <w:shd w:val="clear" w:color="auto" w:fill="1F3864"/>
            <w:vAlign w:val="center"/>
          </w:tcPr>
          <w:p w14:paraId="598BFF3A" w14:textId="4E3B8CED" w:rsidR="00D6139F" w:rsidRPr="00207990" w:rsidRDefault="00D6139F" w:rsidP="00EE628A">
            <w:pPr>
              <w:pStyle w:val="TableBodyText"/>
              <w:spacing w:before="20" w:after="20" w:line="240" w:lineRule="auto"/>
              <w:ind w:left="0"/>
              <w:jc w:val="center"/>
              <w:rPr>
                <w:rFonts w:ascii="Calibri" w:hAnsi="Calibri" w:cs="Calibri"/>
                <w:b/>
                <w:bCs/>
                <w:color w:val="FFFFFF" w:themeColor="background1"/>
                <w:szCs w:val="20"/>
                <w:lang w:bidi="ar-SA"/>
              </w:rPr>
            </w:pPr>
            <w:r w:rsidRPr="00207990">
              <w:rPr>
                <w:rFonts w:ascii="Calibri" w:hAnsi="Calibri" w:cs="Calibri"/>
                <w:b/>
                <w:bCs/>
                <w:color w:val="FFFFFF" w:themeColor="background1"/>
                <w:szCs w:val="20"/>
                <w:lang w:bidi="ar-SA"/>
              </w:rPr>
              <w:t xml:space="preserve">Types of Vehicle </w:t>
            </w:r>
            <w:r w:rsidRPr="00207990">
              <w:rPr>
                <w:rFonts w:ascii="Calibri" w:hAnsi="Calibri" w:cs="Calibri"/>
                <w:b/>
                <w:bCs/>
                <w:color w:val="FFFFFF" w:themeColor="background1"/>
                <w:szCs w:val="20"/>
                <w:lang w:bidi="ar-SA"/>
              </w:rPr>
              <w:br/>
              <w:t>Classifications Collects WIM?</w:t>
            </w:r>
          </w:p>
        </w:tc>
        <w:tc>
          <w:tcPr>
            <w:tcW w:w="1755" w:type="dxa"/>
            <w:tcBorders>
              <w:left w:val="single" w:sz="4" w:space="0" w:color="FFFFFF" w:themeColor="background1"/>
              <w:right w:val="single" w:sz="4" w:space="0" w:color="FFFFFF" w:themeColor="background1"/>
            </w:tcBorders>
            <w:shd w:val="clear" w:color="auto" w:fill="1F3864"/>
            <w:vAlign w:val="center"/>
          </w:tcPr>
          <w:p w14:paraId="6ACB4762" w14:textId="5D9A415A" w:rsidR="00D6139F" w:rsidRPr="00207990" w:rsidRDefault="00D6139F" w:rsidP="00EE628A">
            <w:pPr>
              <w:pStyle w:val="TableBodyText"/>
              <w:spacing w:before="20" w:after="20" w:line="240" w:lineRule="auto"/>
              <w:ind w:left="0"/>
              <w:jc w:val="center"/>
              <w:rPr>
                <w:rFonts w:ascii="Calibri" w:hAnsi="Calibri" w:cs="Calibri"/>
                <w:b/>
                <w:bCs/>
                <w:color w:val="FFFFFF" w:themeColor="background1"/>
                <w:szCs w:val="20"/>
                <w:lang w:bidi="ar-SA"/>
              </w:rPr>
            </w:pPr>
            <w:r w:rsidRPr="00207990">
              <w:rPr>
                <w:rFonts w:ascii="Calibri" w:hAnsi="Calibri" w:cs="Calibri"/>
                <w:b/>
                <w:bCs/>
                <w:color w:val="FFFFFF" w:themeColor="background1"/>
                <w:szCs w:val="20"/>
                <w:lang w:bidi="ar-SA"/>
              </w:rPr>
              <w:t>Number of Lanes of Data Collected by Each Sensor</w:t>
            </w:r>
          </w:p>
        </w:tc>
        <w:tc>
          <w:tcPr>
            <w:tcW w:w="2790" w:type="dxa"/>
            <w:tcBorders>
              <w:left w:val="single" w:sz="4" w:space="0" w:color="FFFFFF" w:themeColor="background1"/>
              <w:right w:val="single" w:sz="4" w:space="0" w:color="FFFFFF" w:themeColor="background1"/>
            </w:tcBorders>
            <w:shd w:val="clear" w:color="auto" w:fill="1F3864"/>
            <w:vAlign w:val="center"/>
          </w:tcPr>
          <w:p w14:paraId="137E6959" w14:textId="01CA110F" w:rsidR="00D6139F" w:rsidRPr="00207990" w:rsidRDefault="00D6139F" w:rsidP="00EE628A">
            <w:pPr>
              <w:pStyle w:val="TableBodyText"/>
              <w:spacing w:before="20" w:after="20" w:line="240" w:lineRule="auto"/>
              <w:ind w:left="0"/>
              <w:jc w:val="center"/>
              <w:rPr>
                <w:rFonts w:ascii="Calibri" w:hAnsi="Calibri" w:cs="Calibri"/>
                <w:b/>
                <w:bCs/>
                <w:color w:val="FFFFFF" w:themeColor="background1"/>
                <w:szCs w:val="20"/>
                <w:lang w:bidi="ar-SA"/>
              </w:rPr>
            </w:pPr>
            <w:r w:rsidRPr="00207990">
              <w:rPr>
                <w:rFonts w:ascii="Calibri" w:hAnsi="Calibri" w:cs="Calibri"/>
                <w:b/>
                <w:bCs/>
                <w:color w:val="FFFFFF" w:themeColor="background1"/>
                <w:szCs w:val="20"/>
                <w:lang w:bidi="ar-SA"/>
              </w:rPr>
              <w:t>Environmental and Road Maintenance</w:t>
            </w:r>
            <w:r w:rsidRPr="00207990">
              <w:rPr>
                <w:rFonts w:ascii="Calibri" w:hAnsi="Calibri" w:cs="Calibri"/>
                <w:b/>
                <w:bCs/>
                <w:color w:val="FFFFFF" w:themeColor="background1"/>
                <w:szCs w:val="20"/>
                <w:lang w:bidi="ar-SA"/>
              </w:rPr>
              <w:br/>
              <w:t>Issues/Concerns</w:t>
            </w:r>
          </w:p>
        </w:tc>
        <w:tc>
          <w:tcPr>
            <w:tcW w:w="3684" w:type="dxa"/>
            <w:tcBorders>
              <w:left w:val="single" w:sz="4" w:space="0" w:color="FFFFFF" w:themeColor="background1"/>
            </w:tcBorders>
            <w:shd w:val="clear" w:color="auto" w:fill="1F3864"/>
            <w:vAlign w:val="center"/>
          </w:tcPr>
          <w:p w14:paraId="739C40CA" w14:textId="3FFD2D7D" w:rsidR="00D6139F" w:rsidRPr="00207990" w:rsidRDefault="00D6139F" w:rsidP="00EE628A">
            <w:pPr>
              <w:pStyle w:val="TableBodyText"/>
              <w:spacing w:before="20" w:after="20" w:line="240" w:lineRule="auto"/>
              <w:ind w:left="0"/>
              <w:jc w:val="center"/>
              <w:rPr>
                <w:rFonts w:ascii="Calibri" w:hAnsi="Calibri" w:cs="Calibri"/>
                <w:b/>
                <w:bCs/>
                <w:color w:val="FFFFFF" w:themeColor="background1"/>
                <w:szCs w:val="20"/>
                <w:lang w:bidi="ar-SA"/>
              </w:rPr>
            </w:pPr>
            <w:r w:rsidRPr="00207990">
              <w:rPr>
                <w:rFonts w:ascii="Calibri" w:hAnsi="Calibri" w:cs="Calibri"/>
                <w:b/>
                <w:bCs/>
                <w:color w:val="FFFFFF" w:themeColor="background1"/>
                <w:szCs w:val="20"/>
                <w:lang w:bidi="ar-SA"/>
              </w:rPr>
              <w:t>Other Issues/Concerns</w:t>
            </w:r>
          </w:p>
        </w:tc>
      </w:tr>
      <w:tr w:rsidR="00690521" w14:paraId="12471C9A" w14:textId="77777777" w:rsidTr="003519FA">
        <w:trPr>
          <w:jc w:val="center"/>
        </w:trPr>
        <w:tc>
          <w:tcPr>
            <w:tcW w:w="1885" w:type="dxa"/>
          </w:tcPr>
          <w:p w14:paraId="4378664F" w14:textId="5D84F885" w:rsidR="00D6139F" w:rsidRPr="007973EC" w:rsidRDefault="00D6139F" w:rsidP="007973EC">
            <w:pPr>
              <w:spacing w:before="20" w:after="20"/>
              <w:ind w:left="0"/>
              <w:jc w:val="left"/>
              <w:rPr>
                <w:b/>
                <w:bCs/>
              </w:rPr>
            </w:pPr>
            <w:r w:rsidRPr="007973EC">
              <w:rPr>
                <w:b/>
                <w:bCs/>
              </w:rPr>
              <w:t>Piezo-Polymer Film or Cable</w:t>
            </w:r>
          </w:p>
        </w:tc>
        <w:tc>
          <w:tcPr>
            <w:tcW w:w="1350" w:type="dxa"/>
          </w:tcPr>
          <w:p w14:paraId="7CF9CE0C" w14:textId="513EF37C" w:rsidR="00D6139F" w:rsidRPr="007973EC" w:rsidRDefault="00D6139F" w:rsidP="007973EC">
            <w:pPr>
              <w:spacing w:before="20" w:after="20"/>
              <w:ind w:left="0"/>
              <w:jc w:val="left"/>
              <w:rPr>
                <w:color w:val="auto"/>
                <w:spacing w:val="-4"/>
              </w:rPr>
            </w:pPr>
            <w:r w:rsidRPr="00D6139F">
              <w:rPr>
                <w:color w:val="auto"/>
                <w:spacing w:val="-4"/>
              </w:rPr>
              <w:t>Intrusive</w:t>
            </w:r>
          </w:p>
        </w:tc>
        <w:tc>
          <w:tcPr>
            <w:tcW w:w="1755" w:type="dxa"/>
          </w:tcPr>
          <w:p w14:paraId="16628B09" w14:textId="770FCED5" w:rsidR="00D6139F" w:rsidRPr="007973EC" w:rsidRDefault="00D6139F" w:rsidP="007973EC">
            <w:pPr>
              <w:spacing w:before="20" w:after="20"/>
              <w:ind w:left="0"/>
              <w:jc w:val="left"/>
              <w:rPr>
                <w:color w:val="auto"/>
                <w:spacing w:val="-4"/>
              </w:rPr>
            </w:pPr>
            <w:r w:rsidRPr="00D6139F">
              <w:rPr>
                <w:color w:val="auto"/>
                <w:spacing w:val="-4"/>
              </w:rPr>
              <w:t>Axle Based</w:t>
            </w:r>
            <w:r w:rsidRPr="00D6139F">
              <w:rPr>
                <w:color w:val="auto"/>
                <w:spacing w:val="-4"/>
              </w:rPr>
              <w:br/>
              <w:t>(FHWA 13+)</w:t>
            </w:r>
            <w:r w:rsidRPr="00D6139F">
              <w:rPr>
                <w:color w:val="auto"/>
                <w:spacing w:val="-4"/>
              </w:rPr>
              <w:br/>
              <w:t>Can be used for WIM-capable</w:t>
            </w:r>
          </w:p>
        </w:tc>
        <w:tc>
          <w:tcPr>
            <w:tcW w:w="1755" w:type="dxa"/>
          </w:tcPr>
          <w:p w14:paraId="5D7CA8AB" w14:textId="347ECC12" w:rsidR="00D6139F" w:rsidRPr="007973EC" w:rsidRDefault="00D6139F" w:rsidP="007973EC">
            <w:pPr>
              <w:spacing w:before="20" w:after="20"/>
              <w:ind w:left="0"/>
              <w:jc w:val="left"/>
              <w:rPr>
                <w:color w:val="auto"/>
                <w:spacing w:val="-4"/>
              </w:rPr>
            </w:pPr>
            <w:r w:rsidRPr="00D6139F">
              <w:rPr>
                <w:color w:val="auto"/>
                <w:spacing w:val="-4"/>
              </w:rPr>
              <w:t>1 per pair of sensors</w:t>
            </w:r>
          </w:p>
        </w:tc>
        <w:tc>
          <w:tcPr>
            <w:tcW w:w="2790" w:type="dxa"/>
          </w:tcPr>
          <w:p w14:paraId="125F7E24" w14:textId="7F67B0C4" w:rsidR="00D6139F" w:rsidRPr="007973EC" w:rsidRDefault="00D6139F" w:rsidP="007973EC">
            <w:pPr>
              <w:spacing w:before="20" w:after="20"/>
              <w:ind w:left="0"/>
              <w:jc w:val="left"/>
              <w:rPr>
                <w:color w:val="auto"/>
                <w:spacing w:val="-4"/>
              </w:rPr>
            </w:pPr>
            <w:r w:rsidRPr="007973EC">
              <w:rPr>
                <w:color w:val="auto"/>
                <w:spacing w:val="-4"/>
              </w:rPr>
              <w:t>Susceptible to damage from mill and resurface and oversized trucks. Susceptible to snowplow damage, if not flush with surface</w:t>
            </w:r>
          </w:p>
        </w:tc>
        <w:tc>
          <w:tcPr>
            <w:tcW w:w="3684" w:type="dxa"/>
          </w:tcPr>
          <w:p w14:paraId="7476F2A2" w14:textId="47F5546D" w:rsidR="00D6139F" w:rsidRPr="007973EC" w:rsidRDefault="00D6139F" w:rsidP="007973EC">
            <w:pPr>
              <w:spacing w:before="20" w:after="20"/>
              <w:ind w:left="0"/>
              <w:jc w:val="left"/>
              <w:rPr>
                <w:color w:val="auto"/>
                <w:spacing w:val="-4"/>
              </w:rPr>
            </w:pPr>
            <w:r w:rsidRPr="00D6139F">
              <w:rPr>
                <w:color w:val="auto"/>
                <w:spacing w:val="-4"/>
              </w:rPr>
              <w:t>Temperature sensitive (for weight classification); doesn’t work well in stop-and-go traffic. Recommended full lane width sensors for motorcycle detection.</w:t>
            </w:r>
          </w:p>
        </w:tc>
      </w:tr>
      <w:tr w:rsidR="00690521" w14:paraId="015C9DDC" w14:textId="77777777" w:rsidTr="003519FA">
        <w:trPr>
          <w:jc w:val="center"/>
        </w:trPr>
        <w:tc>
          <w:tcPr>
            <w:tcW w:w="1885" w:type="dxa"/>
          </w:tcPr>
          <w:p w14:paraId="4D20FB37" w14:textId="29B4B1F1" w:rsidR="00D6139F" w:rsidRPr="007973EC" w:rsidRDefault="00D6139F" w:rsidP="007973EC">
            <w:pPr>
              <w:spacing w:before="20" w:after="20"/>
              <w:ind w:left="0"/>
              <w:jc w:val="left"/>
              <w:rPr>
                <w:b/>
                <w:bCs/>
              </w:rPr>
            </w:pPr>
            <w:r w:rsidRPr="007973EC">
              <w:rPr>
                <w:b/>
                <w:bCs/>
              </w:rPr>
              <w:t>Piezo-Quartz Cable</w:t>
            </w:r>
          </w:p>
        </w:tc>
        <w:tc>
          <w:tcPr>
            <w:tcW w:w="1350" w:type="dxa"/>
          </w:tcPr>
          <w:p w14:paraId="05523A76" w14:textId="141B23F3" w:rsidR="00D6139F" w:rsidRPr="007973EC" w:rsidRDefault="00D6139F" w:rsidP="007973EC">
            <w:pPr>
              <w:spacing w:before="20" w:after="20"/>
              <w:ind w:left="0"/>
              <w:jc w:val="left"/>
              <w:rPr>
                <w:color w:val="auto"/>
                <w:spacing w:val="-4"/>
              </w:rPr>
            </w:pPr>
            <w:r w:rsidRPr="00D6139F">
              <w:rPr>
                <w:color w:val="auto"/>
                <w:spacing w:val="-4"/>
              </w:rPr>
              <w:t>Intrusive</w:t>
            </w:r>
          </w:p>
        </w:tc>
        <w:tc>
          <w:tcPr>
            <w:tcW w:w="1755" w:type="dxa"/>
          </w:tcPr>
          <w:p w14:paraId="3E996D4D" w14:textId="703ED9FF" w:rsidR="00D6139F" w:rsidRPr="007973EC" w:rsidRDefault="00D6139F" w:rsidP="007973EC">
            <w:pPr>
              <w:spacing w:before="20" w:after="20"/>
              <w:ind w:left="0"/>
              <w:jc w:val="left"/>
              <w:rPr>
                <w:color w:val="auto"/>
                <w:spacing w:val="-4"/>
              </w:rPr>
            </w:pPr>
            <w:r w:rsidRPr="00D6139F">
              <w:rPr>
                <w:color w:val="auto"/>
                <w:spacing w:val="-4"/>
              </w:rPr>
              <w:t>Axle Based</w:t>
            </w:r>
            <w:r w:rsidRPr="00D6139F">
              <w:rPr>
                <w:color w:val="auto"/>
                <w:spacing w:val="-4"/>
              </w:rPr>
              <w:br/>
              <w:t>(FHWA 13+)</w:t>
            </w:r>
            <w:r w:rsidRPr="00D6139F">
              <w:rPr>
                <w:color w:val="auto"/>
                <w:spacing w:val="-4"/>
              </w:rPr>
              <w:br/>
              <w:t>A good WIM sensor</w:t>
            </w:r>
          </w:p>
        </w:tc>
        <w:tc>
          <w:tcPr>
            <w:tcW w:w="1755" w:type="dxa"/>
          </w:tcPr>
          <w:p w14:paraId="1F02F1CD" w14:textId="363DF8BC" w:rsidR="00D6139F" w:rsidRPr="007973EC" w:rsidRDefault="00D6139F" w:rsidP="007973EC">
            <w:pPr>
              <w:spacing w:before="20" w:after="20"/>
              <w:ind w:left="0"/>
              <w:jc w:val="left"/>
              <w:rPr>
                <w:color w:val="auto"/>
                <w:spacing w:val="-4"/>
              </w:rPr>
            </w:pPr>
            <w:r w:rsidRPr="00D6139F">
              <w:rPr>
                <w:color w:val="auto"/>
                <w:spacing w:val="-4"/>
              </w:rPr>
              <w:t>1 per set of sensors</w:t>
            </w:r>
          </w:p>
        </w:tc>
        <w:tc>
          <w:tcPr>
            <w:tcW w:w="2790" w:type="dxa"/>
          </w:tcPr>
          <w:p w14:paraId="4F02FC3F" w14:textId="027C09C2" w:rsidR="00D6139F" w:rsidRPr="007973EC" w:rsidRDefault="00D6139F" w:rsidP="007973EC">
            <w:pPr>
              <w:spacing w:before="20" w:after="20"/>
              <w:ind w:left="0"/>
              <w:jc w:val="left"/>
              <w:rPr>
                <w:color w:val="auto"/>
                <w:spacing w:val="-4"/>
              </w:rPr>
            </w:pPr>
            <w:r w:rsidRPr="007973EC">
              <w:rPr>
                <w:color w:val="auto"/>
                <w:spacing w:val="-4"/>
              </w:rPr>
              <w:t>Susceptible to damage from mill and resurface and oversized trucks. Susceptible to snowplow damage, if not flush with surface</w:t>
            </w:r>
          </w:p>
        </w:tc>
        <w:tc>
          <w:tcPr>
            <w:tcW w:w="3684" w:type="dxa"/>
          </w:tcPr>
          <w:p w14:paraId="4093CE42" w14:textId="6B8F1990" w:rsidR="00D6139F" w:rsidRPr="007973EC" w:rsidRDefault="00D6139F" w:rsidP="007973EC">
            <w:pPr>
              <w:spacing w:before="20" w:after="20"/>
              <w:ind w:left="0"/>
              <w:jc w:val="left"/>
              <w:rPr>
                <w:color w:val="auto"/>
                <w:spacing w:val="-4"/>
              </w:rPr>
            </w:pPr>
            <w:r w:rsidRPr="00D6139F">
              <w:rPr>
                <w:color w:val="auto"/>
                <w:spacing w:val="-4"/>
              </w:rPr>
              <w:t xml:space="preserve">Sensors are typically ½ lane in width, so a site requires 4 sensors/lane for double threshold WIM; it is possible to instrument only on wheel path, with modest loss of volume and classification accuracy. </w:t>
            </w:r>
            <w:r w:rsidRPr="007973EC">
              <w:rPr>
                <w:color w:val="auto"/>
                <w:spacing w:val="-4"/>
              </w:rPr>
              <w:t>Doesn’t work well in stop-and-go traffic.</w:t>
            </w:r>
          </w:p>
        </w:tc>
      </w:tr>
      <w:tr w:rsidR="00690521" w14:paraId="29FDE7A6" w14:textId="77777777" w:rsidTr="003519FA">
        <w:trPr>
          <w:trHeight w:val="863"/>
          <w:jc w:val="center"/>
        </w:trPr>
        <w:tc>
          <w:tcPr>
            <w:tcW w:w="1885" w:type="dxa"/>
          </w:tcPr>
          <w:p w14:paraId="5920B944" w14:textId="72D93E30" w:rsidR="00690521" w:rsidRPr="007973EC" w:rsidRDefault="00690521" w:rsidP="00DA464F">
            <w:pPr>
              <w:spacing w:before="20" w:after="20"/>
              <w:ind w:left="0"/>
              <w:jc w:val="left"/>
              <w:rPr>
                <w:b/>
                <w:bCs/>
              </w:rPr>
            </w:pPr>
            <w:r w:rsidRPr="007973EC">
              <w:rPr>
                <w:b/>
                <w:bCs/>
              </w:rPr>
              <w:t xml:space="preserve">Strip </w:t>
            </w:r>
            <w:r w:rsidR="002441AE" w:rsidRPr="007973EC">
              <w:rPr>
                <w:b/>
                <w:bCs/>
              </w:rPr>
              <w:t>S</w:t>
            </w:r>
            <w:r w:rsidRPr="007973EC">
              <w:rPr>
                <w:b/>
                <w:bCs/>
              </w:rPr>
              <w:t xml:space="preserve">train </w:t>
            </w:r>
            <w:r w:rsidR="002441AE" w:rsidRPr="007973EC">
              <w:rPr>
                <w:b/>
                <w:bCs/>
              </w:rPr>
              <w:t>G</w:t>
            </w:r>
            <w:r w:rsidRPr="007973EC">
              <w:rPr>
                <w:b/>
                <w:bCs/>
              </w:rPr>
              <w:t xml:space="preserve">auge WIM </w:t>
            </w:r>
            <w:r w:rsidR="002441AE" w:rsidRPr="007973EC">
              <w:rPr>
                <w:b/>
                <w:bCs/>
              </w:rPr>
              <w:t>S</w:t>
            </w:r>
            <w:r w:rsidRPr="007973EC">
              <w:rPr>
                <w:b/>
                <w:bCs/>
              </w:rPr>
              <w:t>ensor and other Pressure Sensors</w:t>
            </w:r>
          </w:p>
        </w:tc>
        <w:tc>
          <w:tcPr>
            <w:tcW w:w="1350" w:type="dxa"/>
          </w:tcPr>
          <w:p w14:paraId="57705652" w14:textId="56E2595B" w:rsidR="00690521" w:rsidRPr="007973EC" w:rsidRDefault="00690521" w:rsidP="007973EC">
            <w:pPr>
              <w:spacing w:before="20" w:after="20"/>
              <w:ind w:left="0"/>
              <w:jc w:val="left"/>
              <w:rPr>
                <w:color w:val="auto"/>
                <w:spacing w:val="-4"/>
              </w:rPr>
            </w:pPr>
            <w:r w:rsidRPr="00690521">
              <w:rPr>
                <w:color w:val="auto"/>
                <w:spacing w:val="-4"/>
              </w:rPr>
              <w:t>Intrusive</w:t>
            </w:r>
          </w:p>
        </w:tc>
        <w:tc>
          <w:tcPr>
            <w:tcW w:w="1755" w:type="dxa"/>
          </w:tcPr>
          <w:p w14:paraId="448ADF76" w14:textId="77777777" w:rsidR="00690521" w:rsidRPr="00690521" w:rsidRDefault="00690521" w:rsidP="007973EC">
            <w:pPr>
              <w:spacing w:before="20" w:after="20"/>
              <w:ind w:left="0"/>
              <w:jc w:val="left"/>
              <w:rPr>
                <w:color w:val="auto"/>
                <w:spacing w:val="-4"/>
              </w:rPr>
            </w:pPr>
            <w:r w:rsidRPr="00690521">
              <w:rPr>
                <w:color w:val="auto"/>
                <w:spacing w:val="-4"/>
              </w:rPr>
              <w:t>Axle Based</w:t>
            </w:r>
            <w:r w:rsidRPr="00690521">
              <w:rPr>
                <w:color w:val="auto"/>
                <w:spacing w:val="-4"/>
              </w:rPr>
              <w:br/>
              <w:t>(FHWA 13+)</w:t>
            </w:r>
          </w:p>
          <w:p w14:paraId="0BAC6D52" w14:textId="1EAB7ED2" w:rsidR="00690521" w:rsidRPr="007973EC" w:rsidRDefault="00690521" w:rsidP="007973EC">
            <w:pPr>
              <w:spacing w:before="20" w:after="20"/>
              <w:ind w:left="0"/>
              <w:jc w:val="left"/>
              <w:rPr>
                <w:color w:val="auto"/>
                <w:spacing w:val="-4"/>
              </w:rPr>
            </w:pPr>
            <w:r w:rsidRPr="00690521">
              <w:rPr>
                <w:color w:val="auto"/>
                <w:spacing w:val="-4"/>
              </w:rPr>
              <w:t>WIM-capable</w:t>
            </w:r>
          </w:p>
        </w:tc>
        <w:tc>
          <w:tcPr>
            <w:tcW w:w="1755" w:type="dxa"/>
          </w:tcPr>
          <w:p w14:paraId="70EA9AFC" w14:textId="342D06AC" w:rsidR="00690521" w:rsidRPr="007973EC" w:rsidRDefault="00690521" w:rsidP="007973EC">
            <w:pPr>
              <w:spacing w:before="20" w:after="20"/>
              <w:ind w:left="0"/>
              <w:jc w:val="left"/>
              <w:rPr>
                <w:color w:val="auto"/>
                <w:spacing w:val="-4"/>
              </w:rPr>
            </w:pPr>
            <w:r w:rsidRPr="00690521">
              <w:rPr>
                <w:color w:val="auto"/>
                <w:spacing w:val="-4"/>
              </w:rPr>
              <w:t>1 per pair of sensors</w:t>
            </w:r>
          </w:p>
        </w:tc>
        <w:tc>
          <w:tcPr>
            <w:tcW w:w="2790" w:type="dxa"/>
          </w:tcPr>
          <w:p w14:paraId="7348983A" w14:textId="3E65B9CB" w:rsidR="00690521" w:rsidRPr="007973EC" w:rsidRDefault="00690521" w:rsidP="007973EC">
            <w:pPr>
              <w:spacing w:before="20" w:after="20"/>
              <w:ind w:left="0"/>
              <w:jc w:val="left"/>
              <w:rPr>
                <w:color w:val="auto"/>
                <w:spacing w:val="-4"/>
              </w:rPr>
            </w:pPr>
            <w:r w:rsidRPr="007973EC">
              <w:rPr>
                <w:color w:val="auto"/>
                <w:spacing w:val="-4"/>
              </w:rPr>
              <w:t>Susceptible to damage from mill and resurface and oversized trucks. Susceptible to snowplow damage, if not flush with surface</w:t>
            </w:r>
          </w:p>
        </w:tc>
        <w:tc>
          <w:tcPr>
            <w:tcW w:w="3684" w:type="dxa"/>
          </w:tcPr>
          <w:p w14:paraId="4304CB74" w14:textId="5F957B42" w:rsidR="00690521" w:rsidRPr="007973EC" w:rsidRDefault="00690521" w:rsidP="007973EC">
            <w:pPr>
              <w:spacing w:before="20" w:after="20"/>
              <w:ind w:left="0"/>
              <w:jc w:val="left"/>
              <w:rPr>
                <w:color w:val="auto"/>
                <w:spacing w:val="-4"/>
              </w:rPr>
            </w:pPr>
            <w:r w:rsidRPr="007973EC">
              <w:rPr>
                <w:color w:val="auto"/>
                <w:spacing w:val="-4"/>
              </w:rPr>
              <w:t>Sensors are typically ½ lane in width, so a site requires 4 sensors/lane for double threshold WIM; it is possible to instrument only on wheel path, with modest loss of volume and classification accuracy.</w:t>
            </w:r>
            <w:r w:rsidRPr="00690521">
              <w:rPr>
                <w:color w:val="auto"/>
                <w:spacing w:val="-4"/>
              </w:rPr>
              <w:t xml:space="preserve"> Doesn’t work well in stop-and-go traffic.</w:t>
            </w:r>
          </w:p>
        </w:tc>
      </w:tr>
      <w:tr w:rsidR="002441AE" w14:paraId="3C1D9B8B" w14:textId="77777777" w:rsidTr="003519FA">
        <w:trPr>
          <w:jc w:val="center"/>
        </w:trPr>
        <w:tc>
          <w:tcPr>
            <w:tcW w:w="1885" w:type="dxa"/>
          </w:tcPr>
          <w:p w14:paraId="78DE3A48" w14:textId="4052B4C2" w:rsidR="00690521" w:rsidRPr="007973EC" w:rsidRDefault="00690521" w:rsidP="007973EC">
            <w:pPr>
              <w:spacing w:before="20" w:after="20"/>
              <w:ind w:left="0"/>
              <w:jc w:val="left"/>
              <w:rPr>
                <w:b/>
                <w:bCs/>
              </w:rPr>
            </w:pPr>
            <w:r w:rsidRPr="007973EC">
              <w:rPr>
                <w:b/>
                <w:bCs/>
              </w:rPr>
              <w:t>Inductive Loop (</w:t>
            </w:r>
            <w:r w:rsidR="002441AE" w:rsidRPr="007973EC">
              <w:rPr>
                <w:b/>
                <w:bCs/>
              </w:rPr>
              <w:t>C</w:t>
            </w:r>
            <w:r w:rsidRPr="007973EC">
              <w:rPr>
                <w:b/>
                <w:bCs/>
              </w:rPr>
              <w:t>onventional)</w:t>
            </w:r>
          </w:p>
        </w:tc>
        <w:tc>
          <w:tcPr>
            <w:tcW w:w="1350" w:type="dxa"/>
          </w:tcPr>
          <w:p w14:paraId="006EDC84" w14:textId="021643AB" w:rsidR="00690521" w:rsidRPr="007973EC" w:rsidRDefault="00690521" w:rsidP="007973EC">
            <w:pPr>
              <w:spacing w:before="20" w:after="20"/>
              <w:ind w:left="0"/>
              <w:jc w:val="left"/>
              <w:rPr>
                <w:color w:val="auto"/>
                <w:spacing w:val="-4"/>
              </w:rPr>
            </w:pPr>
            <w:r w:rsidRPr="00690521">
              <w:rPr>
                <w:color w:val="auto"/>
                <w:spacing w:val="-4"/>
              </w:rPr>
              <w:t>Intrusive</w:t>
            </w:r>
          </w:p>
        </w:tc>
        <w:tc>
          <w:tcPr>
            <w:tcW w:w="1755" w:type="dxa"/>
          </w:tcPr>
          <w:p w14:paraId="380E5DD7" w14:textId="2B2EA25B" w:rsidR="00690521" w:rsidRPr="007973EC" w:rsidRDefault="00690521" w:rsidP="007973EC">
            <w:pPr>
              <w:spacing w:before="20" w:after="20"/>
              <w:ind w:left="0"/>
              <w:jc w:val="left"/>
              <w:rPr>
                <w:color w:val="auto"/>
                <w:spacing w:val="-4"/>
              </w:rPr>
            </w:pPr>
            <w:r w:rsidRPr="00690521">
              <w:rPr>
                <w:color w:val="auto"/>
                <w:spacing w:val="-4"/>
              </w:rPr>
              <w:t>Length-Based</w:t>
            </w:r>
          </w:p>
        </w:tc>
        <w:tc>
          <w:tcPr>
            <w:tcW w:w="1755" w:type="dxa"/>
          </w:tcPr>
          <w:p w14:paraId="1A32C931" w14:textId="37174F7C" w:rsidR="00690521" w:rsidRPr="007973EC" w:rsidRDefault="00690521" w:rsidP="007973EC">
            <w:pPr>
              <w:spacing w:before="20" w:after="20"/>
              <w:ind w:left="0"/>
              <w:jc w:val="left"/>
              <w:rPr>
                <w:color w:val="auto"/>
                <w:spacing w:val="-4"/>
              </w:rPr>
            </w:pPr>
            <w:r w:rsidRPr="00690521">
              <w:rPr>
                <w:color w:val="auto"/>
                <w:spacing w:val="-4"/>
              </w:rPr>
              <w:t>1 per pair of sensors</w:t>
            </w:r>
          </w:p>
        </w:tc>
        <w:tc>
          <w:tcPr>
            <w:tcW w:w="2790" w:type="dxa"/>
          </w:tcPr>
          <w:p w14:paraId="14510B09" w14:textId="77777777" w:rsidR="00690521" w:rsidRPr="00690521" w:rsidRDefault="00690521" w:rsidP="007973EC">
            <w:pPr>
              <w:spacing w:before="20" w:after="20"/>
              <w:ind w:left="0"/>
              <w:jc w:val="left"/>
              <w:rPr>
                <w:color w:val="auto"/>
                <w:spacing w:val="-4"/>
              </w:rPr>
            </w:pPr>
            <w:r w:rsidRPr="00690521">
              <w:rPr>
                <w:color w:val="auto"/>
                <w:spacing w:val="-4"/>
              </w:rPr>
              <w:t xml:space="preserve">Susceptible to damage from ditching, mill, and resurface </w:t>
            </w:r>
          </w:p>
          <w:p w14:paraId="295D11B4" w14:textId="04211A96" w:rsidR="00690521" w:rsidRPr="007973EC" w:rsidRDefault="00690521" w:rsidP="007973EC">
            <w:pPr>
              <w:spacing w:before="20" w:after="20"/>
              <w:ind w:left="0"/>
              <w:jc w:val="left"/>
              <w:rPr>
                <w:color w:val="auto"/>
                <w:spacing w:val="-4"/>
              </w:rPr>
            </w:pPr>
            <w:r w:rsidRPr="00690521">
              <w:rPr>
                <w:color w:val="auto"/>
                <w:spacing w:val="-4"/>
              </w:rPr>
              <w:t>Lifecycle is affected by extreme heat or freeze-thaw cycles</w:t>
            </w:r>
          </w:p>
        </w:tc>
        <w:tc>
          <w:tcPr>
            <w:tcW w:w="3684" w:type="dxa"/>
          </w:tcPr>
          <w:p w14:paraId="727CE301" w14:textId="05059675" w:rsidR="00690521" w:rsidRPr="007973EC" w:rsidRDefault="00690521" w:rsidP="007973EC">
            <w:pPr>
              <w:spacing w:before="20" w:after="20"/>
              <w:ind w:left="0"/>
              <w:jc w:val="left"/>
              <w:rPr>
                <w:color w:val="auto"/>
                <w:spacing w:val="-4"/>
              </w:rPr>
            </w:pPr>
            <w:r w:rsidRPr="00690521">
              <w:rPr>
                <w:color w:val="auto"/>
                <w:spacing w:val="-4"/>
              </w:rPr>
              <w:t>Single loops can be used to collect volume and lane occupancy, from which speed can be estimated. Speed estimation accuracy improves by using loop signatures.</w:t>
            </w:r>
          </w:p>
        </w:tc>
      </w:tr>
      <w:tr w:rsidR="002441AE" w14:paraId="57AB3D97" w14:textId="77777777" w:rsidTr="003519FA">
        <w:trPr>
          <w:jc w:val="center"/>
        </w:trPr>
        <w:tc>
          <w:tcPr>
            <w:tcW w:w="1885" w:type="dxa"/>
          </w:tcPr>
          <w:p w14:paraId="11ABB8C1" w14:textId="6C14F3FB" w:rsidR="00690521" w:rsidRPr="007973EC" w:rsidRDefault="00690521" w:rsidP="007973EC">
            <w:pPr>
              <w:spacing w:before="20" w:after="20"/>
              <w:ind w:left="0"/>
              <w:jc w:val="left"/>
              <w:rPr>
                <w:b/>
                <w:bCs/>
              </w:rPr>
            </w:pPr>
            <w:r w:rsidRPr="007973EC">
              <w:rPr>
                <w:b/>
                <w:bCs/>
              </w:rPr>
              <w:t>Inductive Loop (</w:t>
            </w:r>
            <w:r w:rsidR="002441AE" w:rsidRPr="007973EC">
              <w:rPr>
                <w:b/>
                <w:bCs/>
              </w:rPr>
              <w:t>U</w:t>
            </w:r>
            <w:r w:rsidRPr="007973EC">
              <w:rPr>
                <w:b/>
                <w:bCs/>
              </w:rPr>
              <w:t xml:space="preserve">ndercarriage </w:t>
            </w:r>
            <w:r w:rsidR="002441AE" w:rsidRPr="007973EC">
              <w:rPr>
                <w:b/>
                <w:bCs/>
              </w:rPr>
              <w:t>P</w:t>
            </w:r>
            <w:r w:rsidRPr="007973EC">
              <w:rPr>
                <w:b/>
                <w:bCs/>
              </w:rPr>
              <w:t>rofile)</w:t>
            </w:r>
          </w:p>
        </w:tc>
        <w:tc>
          <w:tcPr>
            <w:tcW w:w="1350" w:type="dxa"/>
          </w:tcPr>
          <w:p w14:paraId="03DB88FA" w14:textId="6721E9A7" w:rsidR="00690521" w:rsidRPr="007973EC" w:rsidRDefault="00690521" w:rsidP="007973EC">
            <w:pPr>
              <w:spacing w:before="20" w:after="20"/>
              <w:ind w:left="0"/>
              <w:jc w:val="left"/>
              <w:rPr>
                <w:color w:val="auto"/>
                <w:spacing w:val="-4"/>
              </w:rPr>
            </w:pPr>
            <w:r w:rsidRPr="00690521">
              <w:rPr>
                <w:color w:val="auto"/>
                <w:spacing w:val="-4"/>
              </w:rPr>
              <w:t>Intrusive</w:t>
            </w:r>
          </w:p>
        </w:tc>
        <w:tc>
          <w:tcPr>
            <w:tcW w:w="1755" w:type="dxa"/>
          </w:tcPr>
          <w:p w14:paraId="18228F87" w14:textId="1B0D8A61" w:rsidR="00690521" w:rsidRPr="007973EC" w:rsidRDefault="00690521" w:rsidP="007973EC">
            <w:pPr>
              <w:spacing w:before="20" w:after="20"/>
              <w:ind w:left="0"/>
              <w:jc w:val="left"/>
              <w:rPr>
                <w:color w:val="auto"/>
                <w:spacing w:val="-4"/>
              </w:rPr>
            </w:pPr>
            <w:r w:rsidRPr="00690521">
              <w:rPr>
                <w:color w:val="auto"/>
                <w:spacing w:val="-4"/>
              </w:rPr>
              <w:t>Various</w:t>
            </w:r>
            <w:r w:rsidRPr="007973EC">
              <w:rPr>
                <w:color w:val="auto"/>
                <w:spacing w:val="-4"/>
                <w:vertAlign w:val="superscript"/>
              </w:rPr>
              <w:t>a</w:t>
            </w:r>
          </w:p>
        </w:tc>
        <w:tc>
          <w:tcPr>
            <w:tcW w:w="1755" w:type="dxa"/>
          </w:tcPr>
          <w:p w14:paraId="00E8E412" w14:textId="7182757D" w:rsidR="00690521" w:rsidRPr="007973EC" w:rsidRDefault="00690521" w:rsidP="007973EC">
            <w:pPr>
              <w:spacing w:before="20" w:after="20"/>
              <w:ind w:left="0"/>
              <w:jc w:val="left"/>
              <w:rPr>
                <w:color w:val="auto"/>
                <w:spacing w:val="-4"/>
              </w:rPr>
            </w:pPr>
            <w:r w:rsidRPr="00690521">
              <w:rPr>
                <w:color w:val="auto"/>
                <w:spacing w:val="-4"/>
              </w:rPr>
              <w:t>1 per set of sensors</w:t>
            </w:r>
          </w:p>
        </w:tc>
        <w:tc>
          <w:tcPr>
            <w:tcW w:w="2790" w:type="dxa"/>
          </w:tcPr>
          <w:p w14:paraId="34E23CD7" w14:textId="77777777" w:rsidR="00690521" w:rsidRPr="00690521" w:rsidRDefault="00690521" w:rsidP="007973EC">
            <w:pPr>
              <w:spacing w:before="20" w:after="20"/>
              <w:ind w:left="0"/>
              <w:jc w:val="left"/>
              <w:rPr>
                <w:color w:val="auto"/>
                <w:spacing w:val="-4"/>
              </w:rPr>
            </w:pPr>
            <w:r w:rsidRPr="00690521">
              <w:rPr>
                <w:color w:val="auto"/>
                <w:spacing w:val="-4"/>
              </w:rPr>
              <w:t xml:space="preserve">Susceptible to damage from ditching, mill, and resurface </w:t>
            </w:r>
          </w:p>
          <w:p w14:paraId="01823898" w14:textId="6644C478" w:rsidR="00690521" w:rsidRPr="007973EC" w:rsidRDefault="00690521" w:rsidP="007973EC">
            <w:pPr>
              <w:spacing w:before="20" w:after="20"/>
              <w:ind w:left="0"/>
              <w:jc w:val="left"/>
              <w:rPr>
                <w:color w:val="auto"/>
                <w:spacing w:val="-4"/>
              </w:rPr>
            </w:pPr>
            <w:r w:rsidRPr="00690521">
              <w:rPr>
                <w:color w:val="auto"/>
                <w:spacing w:val="-4"/>
              </w:rPr>
              <w:t>Lifecycle is affected by extreme heat or freeze-thaw cycles</w:t>
            </w:r>
          </w:p>
        </w:tc>
        <w:tc>
          <w:tcPr>
            <w:tcW w:w="3684" w:type="dxa"/>
          </w:tcPr>
          <w:p w14:paraId="7BC1DF94" w14:textId="77320A8E" w:rsidR="00690521" w:rsidRPr="007973EC" w:rsidRDefault="00690521" w:rsidP="007973EC">
            <w:pPr>
              <w:spacing w:before="20" w:after="20"/>
              <w:ind w:left="0"/>
              <w:jc w:val="left"/>
              <w:rPr>
                <w:color w:val="auto"/>
                <w:spacing w:val="-4"/>
              </w:rPr>
            </w:pPr>
            <w:r w:rsidRPr="00690521">
              <w:rPr>
                <w:color w:val="auto"/>
                <w:spacing w:val="-4"/>
              </w:rPr>
              <w:t>New technology, not currently in widespread use</w:t>
            </w:r>
          </w:p>
        </w:tc>
      </w:tr>
      <w:tr w:rsidR="002441AE" w14:paraId="476BCD55" w14:textId="77777777" w:rsidTr="003519FA">
        <w:trPr>
          <w:jc w:val="center"/>
        </w:trPr>
        <w:tc>
          <w:tcPr>
            <w:tcW w:w="1885" w:type="dxa"/>
          </w:tcPr>
          <w:p w14:paraId="7D04BE93" w14:textId="55CBD70E" w:rsidR="00690521" w:rsidRPr="007973EC" w:rsidRDefault="00690521" w:rsidP="007973EC">
            <w:pPr>
              <w:spacing w:before="20" w:after="20"/>
              <w:ind w:left="0"/>
              <w:jc w:val="left"/>
              <w:rPr>
                <w:b/>
                <w:bCs/>
              </w:rPr>
            </w:pPr>
            <w:r w:rsidRPr="007973EC">
              <w:rPr>
                <w:b/>
                <w:bCs/>
              </w:rPr>
              <w:t xml:space="preserve">Side-Mounted Microwave </w:t>
            </w:r>
          </w:p>
        </w:tc>
        <w:tc>
          <w:tcPr>
            <w:tcW w:w="1350" w:type="dxa"/>
          </w:tcPr>
          <w:p w14:paraId="3A100D88" w14:textId="08061C77" w:rsidR="00690521" w:rsidRPr="007973EC" w:rsidRDefault="00690521" w:rsidP="007973EC">
            <w:pPr>
              <w:spacing w:before="20" w:after="20"/>
              <w:ind w:left="0"/>
              <w:jc w:val="left"/>
              <w:rPr>
                <w:color w:val="auto"/>
                <w:spacing w:val="-4"/>
              </w:rPr>
            </w:pPr>
            <w:r w:rsidRPr="00690521">
              <w:rPr>
                <w:color w:val="auto"/>
                <w:spacing w:val="-4"/>
              </w:rPr>
              <w:t>Non-intrusive</w:t>
            </w:r>
          </w:p>
        </w:tc>
        <w:tc>
          <w:tcPr>
            <w:tcW w:w="1755" w:type="dxa"/>
          </w:tcPr>
          <w:p w14:paraId="14E3E543" w14:textId="6D7EB5AE" w:rsidR="00690521" w:rsidRPr="007973EC" w:rsidRDefault="00690521" w:rsidP="007973EC">
            <w:pPr>
              <w:spacing w:before="20" w:after="20"/>
              <w:ind w:left="0"/>
              <w:jc w:val="left"/>
              <w:rPr>
                <w:color w:val="auto"/>
                <w:spacing w:val="-4"/>
              </w:rPr>
            </w:pPr>
            <w:r w:rsidRPr="00690521">
              <w:rPr>
                <w:color w:val="auto"/>
                <w:spacing w:val="-4"/>
              </w:rPr>
              <w:t>Length-Based</w:t>
            </w:r>
          </w:p>
        </w:tc>
        <w:tc>
          <w:tcPr>
            <w:tcW w:w="1755" w:type="dxa"/>
          </w:tcPr>
          <w:p w14:paraId="05DF006D" w14:textId="310CB3BF" w:rsidR="00690521" w:rsidRPr="007973EC" w:rsidRDefault="00690521" w:rsidP="007973EC">
            <w:pPr>
              <w:spacing w:before="20" w:after="20"/>
              <w:ind w:left="0"/>
              <w:jc w:val="left"/>
              <w:rPr>
                <w:color w:val="auto"/>
                <w:spacing w:val="-4"/>
              </w:rPr>
            </w:pPr>
            <w:r w:rsidRPr="00690521">
              <w:rPr>
                <w:color w:val="auto"/>
                <w:spacing w:val="-4"/>
              </w:rPr>
              <w:t>Multiple</w:t>
            </w:r>
          </w:p>
        </w:tc>
        <w:tc>
          <w:tcPr>
            <w:tcW w:w="2790" w:type="dxa"/>
          </w:tcPr>
          <w:p w14:paraId="57201B34" w14:textId="2F3FE2A9" w:rsidR="00690521" w:rsidRPr="007973EC" w:rsidRDefault="00C21B9F" w:rsidP="007973EC">
            <w:pPr>
              <w:spacing w:before="20" w:after="20"/>
              <w:ind w:left="0"/>
              <w:jc w:val="left"/>
              <w:rPr>
                <w:color w:val="auto"/>
                <w:spacing w:val="-4"/>
              </w:rPr>
            </w:pPr>
            <w:r>
              <w:rPr>
                <w:color w:val="auto"/>
                <w:spacing w:val="-4"/>
              </w:rPr>
              <w:t>Occlusion</w:t>
            </w:r>
          </w:p>
        </w:tc>
        <w:tc>
          <w:tcPr>
            <w:tcW w:w="3684" w:type="dxa"/>
          </w:tcPr>
          <w:p w14:paraId="05C09048" w14:textId="4F5870A4" w:rsidR="00690521" w:rsidRPr="007973EC" w:rsidRDefault="00690521" w:rsidP="007973EC">
            <w:pPr>
              <w:spacing w:before="20" w:after="20"/>
              <w:ind w:left="0"/>
              <w:jc w:val="left"/>
              <w:rPr>
                <w:color w:val="auto"/>
                <w:spacing w:val="-4"/>
              </w:rPr>
            </w:pPr>
            <w:r w:rsidRPr="00690521">
              <w:rPr>
                <w:color w:val="auto"/>
                <w:spacing w:val="-4"/>
              </w:rPr>
              <w:t>Not as accurate as overhead-mounted, forward-, or rear-facing radar (getting close)</w:t>
            </w:r>
          </w:p>
        </w:tc>
      </w:tr>
      <w:tr w:rsidR="002441AE" w14:paraId="393C609A" w14:textId="77777777" w:rsidTr="003519FA">
        <w:trPr>
          <w:jc w:val="center"/>
        </w:trPr>
        <w:tc>
          <w:tcPr>
            <w:tcW w:w="1885" w:type="dxa"/>
          </w:tcPr>
          <w:p w14:paraId="16F7DFF9" w14:textId="698DCA6A" w:rsidR="00690521" w:rsidRPr="007973EC" w:rsidRDefault="00690521" w:rsidP="007973EC">
            <w:pPr>
              <w:spacing w:before="20" w:after="20"/>
              <w:ind w:left="0"/>
              <w:jc w:val="left"/>
              <w:rPr>
                <w:b/>
                <w:bCs/>
              </w:rPr>
            </w:pPr>
            <w:r w:rsidRPr="007973EC">
              <w:rPr>
                <w:b/>
                <w:bCs/>
              </w:rPr>
              <w:t xml:space="preserve">Overhead Microwave </w:t>
            </w:r>
          </w:p>
        </w:tc>
        <w:tc>
          <w:tcPr>
            <w:tcW w:w="1350" w:type="dxa"/>
          </w:tcPr>
          <w:p w14:paraId="3E581C4A" w14:textId="7F9B2D41" w:rsidR="00690521" w:rsidRPr="007973EC" w:rsidRDefault="00690521" w:rsidP="007973EC">
            <w:pPr>
              <w:spacing w:before="20" w:after="20"/>
              <w:ind w:left="0"/>
              <w:jc w:val="left"/>
              <w:rPr>
                <w:color w:val="auto"/>
                <w:spacing w:val="-4"/>
              </w:rPr>
            </w:pPr>
            <w:r w:rsidRPr="00690521">
              <w:rPr>
                <w:color w:val="auto"/>
                <w:spacing w:val="-4"/>
              </w:rPr>
              <w:t>Non-intrusive</w:t>
            </w:r>
          </w:p>
        </w:tc>
        <w:tc>
          <w:tcPr>
            <w:tcW w:w="1755" w:type="dxa"/>
          </w:tcPr>
          <w:p w14:paraId="55420BA3" w14:textId="7F241444" w:rsidR="00690521" w:rsidRPr="007973EC" w:rsidRDefault="00690521" w:rsidP="007973EC">
            <w:pPr>
              <w:spacing w:before="20" w:after="20"/>
              <w:ind w:left="0"/>
              <w:jc w:val="left"/>
              <w:rPr>
                <w:color w:val="auto"/>
                <w:spacing w:val="-4"/>
              </w:rPr>
            </w:pPr>
            <w:r w:rsidRPr="00690521">
              <w:rPr>
                <w:color w:val="auto"/>
                <w:spacing w:val="-4"/>
              </w:rPr>
              <w:t>Length-Based</w:t>
            </w:r>
          </w:p>
        </w:tc>
        <w:tc>
          <w:tcPr>
            <w:tcW w:w="1755" w:type="dxa"/>
          </w:tcPr>
          <w:p w14:paraId="61C5545D" w14:textId="262A6612" w:rsidR="00690521" w:rsidRPr="007973EC" w:rsidRDefault="00690521" w:rsidP="007973EC">
            <w:pPr>
              <w:spacing w:before="20" w:after="20"/>
              <w:ind w:left="0"/>
              <w:jc w:val="left"/>
              <w:rPr>
                <w:color w:val="auto"/>
                <w:spacing w:val="-4"/>
              </w:rPr>
            </w:pPr>
            <w:r w:rsidRPr="00690521">
              <w:rPr>
                <w:color w:val="auto"/>
                <w:spacing w:val="-4"/>
              </w:rPr>
              <w:t>1 per sensor</w:t>
            </w:r>
          </w:p>
        </w:tc>
        <w:tc>
          <w:tcPr>
            <w:tcW w:w="2790" w:type="dxa"/>
          </w:tcPr>
          <w:p w14:paraId="6A42600E" w14:textId="2DA0AFFB" w:rsidR="00690521" w:rsidRPr="007973EC" w:rsidRDefault="00C21B9F" w:rsidP="007973EC">
            <w:pPr>
              <w:spacing w:before="20" w:after="20"/>
              <w:ind w:left="0"/>
              <w:jc w:val="left"/>
              <w:rPr>
                <w:color w:val="auto"/>
                <w:spacing w:val="-4"/>
              </w:rPr>
            </w:pPr>
            <w:r>
              <w:rPr>
                <w:color w:val="auto"/>
                <w:spacing w:val="-4"/>
              </w:rPr>
              <w:t>Occlusion</w:t>
            </w:r>
          </w:p>
        </w:tc>
        <w:tc>
          <w:tcPr>
            <w:tcW w:w="3684" w:type="dxa"/>
          </w:tcPr>
          <w:p w14:paraId="0F6BE4FC" w14:textId="54BFEE5F" w:rsidR="00690521" w:rsidRPr="007973EC" w:rsidRDefault="00C21B9F" w:rsidP="007973EC">
            <w:pPr>
              <w:spacing w:before="20" w:after="20"/>
              <w:ind w:left="0"/>
              <w:jc w:val="left"/>
              <w:rPr>
                <w:color w:val="auto"/>
                <w:spacing w:val="-4"/>
              </w:rPr>
            </w:pPr>
            <w:r>
              <w:rPr>
                <w:color w:val="auto"/>
                <w:spacing w:val="-4"/>
              </w:rPr>
              <w:t>N/A</w:t>
            </w:r>
          </w:p>
        </w:tc>
      </w:tr>
      <w:tr w:rsidR="002441AE" w14:paraId="3425DC0D" w14:textId="77777777" w:rsidTr="003519FA">
        <w:trPr>
          <w:jc w:val="center"/>
        </w:trPr>
        <w:tc>
          <w:tcPr>
            <w:tcW w:w="1885" w:type="dxa"/>
          </w:tcPr>
          <w:p w14:paraId="1BA493A7" w14:textId="439A93A2" w:rsidR="00690521" w:rsidRPr="007973EC" w:rsidRDefault="00690521" w:rsidP="00AA759F">
            <w:pPr>
              <w:pageBreakBefore/>
              <w:spacing w:before="20" w:after="20"/>
              <w:ind w:left="0"/>
              <w:jc w:val="left"/>
              <w:rPr>
                <w:b/>
                <w:bCs/>
              </w:rPr>
            </w:pPr>
            <w:r w:rsidRPr="007973EC">
              <w:rPr>
                <w:b/>
                <w:bCs/>
              </w:rPr>
              <w:lastRenderedPageBreak/>
              <w:t>Doppler Radar</w:t>
            </w:r>
          </w:p>
        </w:tc>
        <w:tc>
          <w:tcPr>
            <w:tcW w:w="1350" w:type="dxa"/>
          </w:tcPr>
          <w:p w14:paraId="13C138D3" w14:textId="1C1E988D" w:rsidR="00690521" w:rsidRPr="007973EC" w:rsidRDefault="00690521" w:rsidP="007973EC">
            <w:pPr>
              <w:spacing w:before="20" w:after="20"/>
              <w:ind w:left="0"/>
              <w:jc w:val="left"/>
              <w:rPr>
                <w:color w:val="auto"/>
                <w:spacing w:val="-4"/>
              </w:rPr>
            </w:pPr>
            <w:r w:rsidRPr="00690521">
              <w:rPr>
                <w:color w:val="auto"/>
                <w:spacing w:val="-4"/>
              </w:rPr>
              <w:t>Non-intrusive</w:t>
            </w:r>
          </w:p>
        </w:tc>
        <w:tc>
          <w:tcPr>
            <w:tcW w:w="1755" w:type="dxa"/>
          </w:tcPr>
          <w:p w14:paraId="76ADB13E" w14:textId="5CCF25DF" w:rsidR="00690521" w:rsidRPr="007973EC" w:rsidRDefault="00690521" w:rsidP="007973EC">
            <w:pPr>
              <w:spacing w:before="20" w:after="20"/>
              <w:ind w:left="0"/>
              <w:jc w:val="left"/>
              <w:rPr>
                <w:color w:val="auto"/>
                <w:spacing w:val="-4"/>
              </w:rPr>
            </w:pPr>
            <w:r w:rsidRPr="00690521">
              <w:rPr>
                <w:color w:val="auto"/>
                <w:spacing w:val="-4"/>
              </w:rPr>
              <w:t>None</w:t>
            </w:r>
          </w:p>
        </w:tc>
        <w:tc>
          <w:tcPr>
            <w:tcW w:w="1755" w:type="dxa"/>
          </w:tcPr>
          <w:p w14:paraId="00759961" w14:textId="11ECD540" w:rsidR="00690521" w:rsidRPr="007973EC" w:rsidRDefault="00690521" w:rsidP="007973EC">
            <w:pPr>
              <w:spacing w:before="20" w:after="20"/>
              <w:ind w:left="0"/>
              <w:jc w:val="left"/>
              <w:rPr>
                <w:color w:val="auto"/>
                <w:spacing w:val="-4"/>
              </w:rPr>
            </w:pPr>
            <w:r w:rsidRPr="00690521">
              <w:rPr>
                <w:color w:val="auto"/>
                <w:spacing w:val="-4"/>
              </w:rPr>
              <w:t>Multiple</w:t>
            </w:r>
          </w:p>
        </w:tc>
        <w:tc>
          <w:tcPr>
            <w:tcW w:w="2790" w:type="dxa"/>
          </w:tcPr>
          <w:p w14:paraId="3A89C979" w14:textId="54EA740C" w:rsidR="00690521" w:rsidRPr="007973EC" w:rsidRDefault="00C21B9F" w:rsidP="007973EC">
            <w:pPr>
              <w:spacing w:before="20" w:after="20"/>
              <w:ind w:left="0"/>
              <w:jc w:val="left"/>
              <w:rPr>
                <w:color w:val="auto"/>
                <w:spacing w:val="-4"/>
              </w:rPr>
            </w:pPr>
            <w:r>
              <w:rPr>
                <w:color w:val="auto"/>
                <w:spacing w:val="-4"/>
              </w:rPr>
              <w:t>Occlusion</w:t>
            </w:r>
          </w:p>
        </w:tc>
        <w:tc>
          <w:tcPr>
            <w:tcW w:w="3684" w:type="dxa"/>
          </w:tcPr>
          <w:p w14:paraId="5302F961" w14:textId="45BDA7AE" w:rsidR="00690521" w:rsidRPr="007973EC" w:rsidRDefault="00690521" w:rsidP="007973EC">
            <w:pPr>
              <w:spacing w:before="20" w:after="20"/>
              <w:ind w:left="0"/>
              <w:jc w:val="left"/>
              <w:rPr>
                <w:color w:val="auto"/>
                <w:spacing w:val="-4"/>
              </w:rPr>
            </w:pPr>
            <w:r w:rsidRPr="00690521">
              <w:rPr>
                <w:color w:val="auto"/>
                <w:spacing w:val="-4"/>
              </w:rPr>
              <w:t xml:space="preserve">Generally used only for speed data collection, often not accurate as a volume counting device. </w:t>
            </w:r>
            <w:r w:rsidRPr="007973EC">
              <w:rPr>
                <w:color w:val="auto"/>
                <w:spacing w:val="-4"/>
              </w:rPr>
              <w:t>Count is not reliable in congested low-speed conditions.</w:t>
            </w:r>
          </w:p>
        </w:tc>
      </w:tr>
      <w:tr w:rsidR="002441AE" w14:paraId="59A7D236" w14:textId="77777777" w:rsidTr="003519FA">
        <w:trPr>
          <w:jc w:val="center"/>
        </w:trPr>
        <w:tc>
          <w:tcPr>
            <w:tcW w:w="1885" w:type="dxa"/>
          </w:tcPr>
          <w:p w14:paraId="2AA0DE09" w14:textId="2D35A314" w:rsidR="00690521" w:rsidRPr="007973EC" w:rsidRDefault="00690521" w:rsidP="007973EC">
            <w:pPr>
              <w:spacing w:before="20" w:after="20"/>
              <w:ind w:left="0"/>
              <w:jc w:val="left"/>
              <w:rPr>
                <w:b/>
                <w:bCs/>
              </w:rPr>
            </w:pPr>
            <w:r w:rsidRPr="007973EC">
              <w:rPr>
                <w:b/>
                <w:bCs/>
              </w:rPr>
              <w:t>Infrared/Laser</w:t>
            </w:r>
          </w:p>
        </w:tc>
        <w:tc>
          <w:tcPr>
            <w:tcW w:w="1350" w:type="dxa"/>
          </w:tcPr>
          <w:p w14:paraId="7872BD02" w14:textId="13090FB5" w:rsidR="00690521" w:rsidRPr="00690521" w:rsidRDefault="00690521" w:rsidP="007973EC">
            <w:pPr>
              <w:spacing w:before="20" w:after="20"/>
              <w:ind w:left="0"/>
              <w:jc w:val="left"/>
              <w:rPr>
                <w:b/>
                <w:bCs/>
              </w:rPr>
            </w:pPr>
            <w:r w:rsidRPr="00690521">
              <w:rPr>
                <w:color w:val="auto"/>
                <w:spacing w:val="-4"/>
              </w:rPr>
              <w:t>Non-intrusive</w:t>
            </w:r>
            <w:r w:rsidR="002441AE">
              <w:rPr>
                <w:color w:val="auto"/>
                <w:spacing w:val="-4"/>
              </w:rPr>
              <w:t xml:space="preserve"> </w:t>
            </w:r>
            <w:r w:rsidRPr="00690521">
              <w:rPr>
                <w:color w:val="auto"/>
                <w:spacing w:val="-4"/>
              </w:rPr>
              <w:t>(transmitter + receptor)</w:t>
            </w:r>
          </w:p>
        </w:tc>
        <w:tc>
          <w:tcPr>
            <w:tcW w:w="1755" w:type="dxa"/>
          </w:tcPr>
          <w:p w14:paraId="64C9E957" w14:textId="2D7C4902" w:rsidR="00690521" w:rsidRPr="00690521" w:rsidRDefault="00690521" w:rsidP="007973EC">
            <w:pPr>
              <w:spacing w:before="20" w:after="20"/>
              <w:ind w:left="0"/>
              <w:jc w:val="left"/>
              <w:rPr>
                <w:b/>
                <w:bCs/>
              </w:rPr>
            </w:pPr>
            <w:r w:rsidRPr="00690521">
              <w:rPr>
                <w:color w:val="auto"/>
                <w:spacing w:val="-4"/>
              </w:rPr>
              <w:t>Axle Based</w:t>
            </w:r>
            <w:r w:rsidRPr="00690521">
              <w:rPr>
                <w:color w:val="auto"/>
                <w:spacing w:val="-4"/>
              </w:rPr>
              <w:br/>
              <w:t>(FHWA 13+)</w:t>
            </w:r>
          </w:p>
        </w:tc>
        <w:tc>
          <w:tcPr>
            <w:tcW w:w="1755" w:type="dxa"/>
          </w:tcPr>
          <w:p w14:paraId="310992F0" w14:textId="14099E62" w:rsidR="00690521" w:rsidRPr="007973EC" w:rsidRDefault="00690521" w:rsidP="007973EC">
            <w:pPr>
              <w:spacing w:before="20" w:after="20"/>
              <w:ind w:left="0"/>
              <w:jc w:val="left"/>
              <w:rPr>
                <w:color w:val="auto"/>
                <w:spacing w:val="-4"/>
              </w:rPr>
            </w:pPr>
            <w:r w:rsidRPr="00690521">
              <w:rPr>
                <w:color w:val="auto"/>
                <w:spacing w:val="-4"/>
              </w:rPr>
              <w:t>Multiple</w:t>
            </w:r>
          </w:p>
        </w:tc>
        <w:tc>
          <w:tcPr>
            <w:tcW w:w="2790" w:type="dxa"/>
          </w:tcPr>
          <w:p w14:paraId="5756BCFB" w14:textId="500DC21C" w:rsidR="00690521" w:rsidRPr="007973EC" w:rsidRDefault="00690521" w:rsidP="007973EC">
            <w:pPr>
              <w:spacing w:before="20" w:after="20"/>
              <w:ind w:left="0"/>
              <w:jc w:val="left"/>
              <w:rPr>
                <w:color w:val="auto"/>
                <w:spacing w:val="-4"/>
              </w:rPr>
            </w:pPr>
            <w:r w:rsidRPr="00690521">
              <w:rPr>
                <w:color w:val="auto"/>
                <w:spacing w:val="-4"/>
              </w:rPr>
              <w:t>Fog and heavy snow often degrade performance</w:t>
            </w:r>
          </w:p>
        </w:tc>
        <w:tc>
          <w:tcPr>
            <w:tcW w:w="3684" w:type="dxa"/>
          </w:tcPr>
          <w:p w14:paraId="359CC113" w14:textId="3ADC81F7" w:rsidR="00690521" w:rsidRPr="007973EC" w:rsidRDefault="00690521" w:rsidP="007973EC">
            <w:pPr>
              <w:spacing w:before="20" w:after="20"/>
              <w:ind w:left="0"/>
              <w:jc w:val="left"/>
              <w:rPr>
                <w:color w:val="auto"/>
                <w:spacing w:val="-4"/>
              </w:rPr>
            </w:pPr>
            <w:r w:rsidRPr="00690521">
              <w:rPr>
                <w:color w:val="auto"/>
                <w:spacing w:val="-4"/>
              </w:rPr>
              <w:t>Most common device requires equipment on both sides of the right of way</w:t>
            </w:r>
          </w:p>
        </w:tc>
      </w:tr>
      <w:tr w:rsidR="002441AE" w14:paraId="0AAEDE9B" w14:textId="77777777" w:rsidTr="003519FA">
        <w:trPr>
          <w:jc w:val="center"/>
        </w:trPr>
        <w:tc>
          <w:tcPr>
            <w:tcW w:w="1885" w:type="dxa"/>
          </w:tcPr>
          <w:p w14:paraId="5F7FC783" w14:textId="221BB25B" w:rsidR="00690521" w:rsidRPr="007973EC" w:rsidRDefault="00690521" w:rsidP="007973EC">
            <w:pPr>
              <w:spacing w:before="20" w:after="20"/>
              <w:ind w:left="0"/>
              <w:jc w:val="left"/>
              <w:rPr>
                <w:b/>
                <w:bCs/>
              </w:rPr>
            </w:pPr>
            <w:r w:rsidRPr="007973EC">
              <w:rPr>
                <w:b/>
                <w:bCs/>
              </w:rPr>
              <w:t>Magnetometer</w:t>
            </w:r>
            <w:r w:rsidRPr="007973EC">
              <w:rPr>
                <w:b/>
                <w:bCs/>
              </w:rPr>
              <w:br/>
              <w:t>(3-</w:t>
            </w:r>
            <w:r w:rsidR="002441AE" w:rsidRPr="007973EC">
              <w:rPr>
                <w:b/>
                <w:bCs/>
              </w:rPr>
              <w:t>A</w:t>
            </w:r>
            <w:r w:rsidRPr="007973EC">
              <w:rPr>
                <w:b/>
                <w:bCs/>
              </w:rPr>
              <w:t xml:space="preserve">xis </w:t>
            </w:r>
            <w:r w:rsidR="002441AE" w:rsidRPr="007973EC">
              <w:rPr>
                <w:b/>
                <w:bCs/>
              </w:rPr>
              <w:t>F</w:t>
            </w:r>
            <w:r w:rsidRPr="007973EC">
              <w:rPr>
                <w:b/>
                <w:bCs/>
              </w:rPr>
              <w:t xml:space="preserve">lux </w:t>
            </w:r>
            <w:r w:rsidR="002441AE" w:rsidRPr="007973EC">
              <w:rPr>
                <w:b/>
                <w:bCs/>
              </w:rPr>
              <w:t>G</w:t>
            </w:r>
            <w:r w:rsidRPr="007973EC">
              <w:rPr>
                <w:b/>
                <w:bCs/>
              </w:rPr>
              <w:t xml:space="preserve">ate or </w:t>
            </w:r>
            <w:r w:rsidR="002441AE" w:rsidRPr="007973EC">
              <w:rPr>
                <w:b/>
                <w:bCs/>
              </w:rPr>
              <w:t>M</w:t>
            </w:r>
            <w:r w:rsidRPr="007973EC">
              <w:rPr>
                <w:b/>
                <w:bCs/>
              </w:rPr>
              <w:t xml:space="preserve">agnetic </w:t>
            </w:r>
            <w:r w:rsidR="002441AE" w:rsidRPr="007973EC">
              <w:rPr>
                <w:b/>
                <w:bCs/>
              </w:rPr>
              <w:t>I</w:t>
            </w:r>
            <w:r w:rsidRPr="007973EC">
              <w:rPr>
                <w:b/>
                <w:bCs/>
              </w:rPr>
              <w:t>maging)</w:t>
            </w:r>
          </w:p>
        </w:tc>
        <w:tc>
          <w:tcPr>
            <w:tcW w:w="1350" w:type="dxa"/>
          </w:tcPr>
          <w:p w14:paraId="4415D8F0" w14:textId="244CA623" w:rsidR="00690521" w:rsidRPr="007973EC" w:rsidRDefault="00690521" w:rsidP="007973EC">
            <w:pPr>
              <w:spacing w:before="20" w:after="20"/>
              <w:ind w:left="0"/>
            </w:pPr>
            <w:r w:rsidRPr="007973EC">
              <w:t>Intrusive</w:t>
            </w:r>
            <w:r w:rsidRPr="007973EC">
              <w:rPr>
                <w:vertAlign w:val="superscript"/>
              </w:rPr>
              <w:t>b</w:t>
            </w:r>
          </w:p>
        </w:tc>
        <w:tc>
          <w:tcPr>
            <w:tcW w:w="1755" w:type="dxa"/>
          </w:tcPr>
          <w:p w14:paraId="15303BB1" w14:textId="334EC9C6" w:rsidR="00690521" w:rsidRPr="007973EC" w:rsidRDefault="00690521" w:rsidP="007973EC">
            <w:pPr>
              <w:spacing w:before="20" w:after="20"/>
              <w:ind w:left="0"/>
              <w:jc w:val="left"/>
              <w:rPr>
                <w:color w:val="auto"/>
                <w:spacing w:val="-4"/>
              </w:rPr>
            </w:pPr>
            <w:r w:rsidRPr="00690521">
              <w:rPr>
                <w:color w:val="auto"/>
                <w:spacing w:val="-4"/>
              </w:rPr>
              <w:t>Length-Based</w:t>
            </w:r>
          </w:p>
        </w:tc>
        <w:tc>
          <w:tcPr>
            <w:tcW w:w="1755" w:type="dxa"/>
          </w:tcPr>
          <w:p w14:paraId="766EBA3B" w14:textId="0C3B7E3A" w:rsidR="00690521" w:rsidRPr="007973EC" w:rsidRDefault="00690521" w:rsidP="007973EC">
            <w:pPr>
              <w:spacing w:before="20" w:after="20"/>
              <w:ind w:left="0"/>
              <w:jc w:val="left"/>
              <w:rPr>
                <w:color w:val="auto"/>
                <w:spacing w:val="-4"/>
              </w:rPr>
            </w:pPr>
            <w:r w:rsidRPr="00690521">
              <w:rPr>
                <w:color w:val="auto"/>
                <w:spacing w:val="-4"/>
              </w:rPr>
              <w:t>1 lane</w:t>
            </w:r>
          </w:p>
        </w:tc>
        <w:tc>
          <w:tcPr>
            <w:tcW w:w="2790" w:type="dxa"/>
          </w:tcPr>
          <w:p w14:paraId="10EB6DD6" w14:textId="6FA94B52" w:rsidR="00690521" w:rsidRPr="007973EC" w:rsidRDefault="00C21B9F" w:rsidP="007973EC">
            <w:pPr>
              <w:spacing w:before="20" w:after="20"/>
              <w:ind w:left="0"/>
              <w:jc w:val="left"/>
              <w:rPr>
                <w:color w:val="auto"/>
                <w:spacing w:val="-4"/>
              </w:rPr>
            </w:pPr>
            <w:r w:rsidRPr="00690521">
              <w:rPr>
                <w:color w:val="auto"/>
                <w:spacing w:val="-4"/>
              </w:rPr>
              <w:t>Lifecycle is affected by extreme heat or freeze-thaw cycles</w:t>
            </w:r>
          </w:p>
        </w:tc>
        <w:tc>
          <w:tcPr>
            <w:tcW w:w="3684" w:type="dxa"/>
          </w:tcPr>
          <w:p w14:paraId="32E15CB8" w14:textId="6249D460" w:rsidR="00690521" w:rsidRPr="007973EC" w:rsidRDefault="00C21B9F" w:rsidP="007973EC">
            <w:pPr>
              <w:spacing w:before="20" w:after="20"/>
              <w:ind w:left="0"/>
              <w:jc w:val="left"/>
              <w:rPr>
                <w:color w:val="auto"/>
                <w:spacing w:val="-4"/>
              </w:rPr>
            </w:pPr>
            <w:r>
              <w:rPr>
                <w:color w:val="auto"/>
                <w:spacing w:val="-4"/>
              </w:rPr>
              <w:t>N/A</w:t>
            </w:r>
          </w:p>
        </w:tc>
      </w:tr>
      <w:tr w:rsidR="00690521" w14:paraId="36ECF2D6" w14:textId="77777777" w:rsidTr="003519FA">
        <w:trPr>
          <w:jc w:val="center"/>
        </w:trPr>
        <w:tc>
          <w:tcPr>
            <w:tcW w:w="1885" w:type="dxa"/>
          </w:tcPr>
          <w:p w14:paraId="0CACA23A" w14:textId="5D2BF24E" w:rsidR="00690521" w:rsidRPr="007973EC" w:rsidRDefault="00690521" w:rsidP="007973EC">
            <w:pPr>
              <w:spacing w:before="20" w:after="20"/>
              <w:ind w:left="0"/>
              <w:jc w:val="left"/>
              <w:rPr>
                <w:b/>
                <w:bCs/>
              </w:rPr>
            </w:pPr>
            <w:r w:rsidRPr="007973EC">
              <w:rPr>
                <w:b/>
                <w:bCs/>
              </w:rPr>
              <w:t>Video Detection System (</w:t>
            </w:r>
            <w:r w:rsidR="002441AE" w:rsidRPr="007973EC">
              <w:rPr>
                <w:b/>
                <w:bCs/>
              </w:rPr>
              <w:t>O</w:t>
            </w:r>
            <w:r w:rsidRPr="007973EC">
              <w:rPr>
                <w:b/>
                <w:bCs/>
              </w:rPr>
              <w:t>bject</w:t>
            </w:r>
            <w:r w:rsidR="002441AE" w:rsidRPr="007973EC">
              <w:rPr>
                <w:b/>
                <w:bCs/>
              </w:rPr>
              <w:t xml:space="preserve"> A</w:t>
            </w:r>
            <w:r w:rsidRPr="007973EC">
              <w:rPr>
                <w:b/>
                <w:bCs/>
              </w:rPr>
              <w:t>nalysis)</w:t>
            </w:r>
          </w:p>
        </w:tc>
        <w:tc>
          <w:tcPr>
            <w:tcW w:w="1350" w:type="dxa"/>
          </w:tcPr>
          <w:p w14:paraId="55D83328" w14:textId="256D0633" w:rsidR="00690521" w:rsidRPr="00690521" w:rsidRDefault="00690521" w:rsidP="007973EC">
            <w:pPr>
              <w:spacing w:before="20" w:after="20"/>
              <w:ind w:left="0"/>
              <w:jc w:val="left"/>
              <w:rPr>
                <w:b/>
                <w:bCs/>
              </w:rPr>
            </w:pPr>
            <w:r w:rsidRPr="00690521">
              <w:rPr>
                <w:color w:val="auto"/>
                <w:spacing w:val="-4"/>
              </w:rPr>
              <w:t>Non-intrusive</w:t>
            </w:r>
          </w:p>
        </w:tc>
        <w:tc>
          <w:tcPr>
            <w:tcW w:w="1755" w:type="dxa"/>
          </w:tcPr>
          <w:p w14:paraId="622F6630" w14:textId="2BF00861" w:rsidR="00690521" w:rsidRPr="00690521" w:rsidRDefault="00690521" w:rsidP="007973EC">
            <w:pPr>
              <w:spacing w:before="20" w:after="20"/>
              <w:ind w:left="0"/>
              <w:jc w:val="left"/>
              <w:rPr>
                <w:b/>
                <w:bCs/>
              </w:rPr>
            </w:pPr>
            <w:r w:rsidRPr="00690521">
              <w:rPr>
                <w:color w:val="auto"/>
                <w:spacing w:val="-4"/>
              </w:rPr>
              <w:t>Various</w:t>
            </w:r>
            <w:r w:rsidRPr="00690521">
              <w:rPr>
                <w:color w:val="auto"/>
                <w:spacing w:val="-4"/>
                <w:vertAlign w:val="superscript"/>
              </w:rPr>
              <w:t>c</w:t>
            </w:r>
          </w:p>
        </w:tc>
        <w:tc>
          <w:tcPr>
            <w:tcW w:w="1755" w:type="dxa"/>
          </w:tcPr>
          <w:p w14:paraId="4F70256A" w14:textId="54401B3A" w:rsidR="00690521" w:rsidRPr="007973EC" w:rsidRDefault="00690521" w:rsidP="007973EC">
            <w:pPr>
              <w:spacing w:before="20" w:after="20"/>
              <w:ind w:left="0"/>
              <w:jc w:val="left"/>
              <w:rPr>
                <w:color w:val="auto"/>
                <w:spacing w:val="-4"/>
              </w:rPr>
            </w:pPr>
            <w:r w:rsidRPr="00690521">
              <w:rPr>
                <w:color w:val="auto"/>
                <w:spacing w:val="-4"/>
              </w:rPr>
              <w:t>Multiple</w:t>
            </w:r>
          </w:p>
        </w:tc>
        <w:tc>
          <w:tcPr>
            <w:tcW w:w="2790" w:type="dxa"/>
          </w:tcPr>
          <w:p w14:paraId="1C583584" w14:textId="3A616A78" w:rsidR="00690521" w:rsidRPr="00690521" w:rsidRDefault="00690521" w:rsidP="007973EC">
            <w:pPr>
              <w:spacing w:before="20" w:after="20"/>
              <w:ind w:left="0"/>
              <w:jc w:val="left"/>
              <w:rPr>
                <w:b/>
                <w:bCs/>
              </w:rPr>
            </w:pPr>
            <w:r w:rsidRPr="00690521">
              <w:rPr>
                <w:color w:val="auto"/>
                <w:spacing w:val="-4"/>
              </w:rPr>
              <w:t>Often affected by heavy fog, snow, glare, dust</w:t>
            </w:r>
          </w:p>
        </w:tc>
        <w:tc>
          <w:tcPr>
            <w:tcW w:w="3684" w:type="dxa"/>
          </w:tcPr>
          <w:p w14:paraId="7F09D2E7" w14:textId="463E54BC" w:rsidR="00690521" w:rsidRPr="00690521" w:rsidRDefault="00690521" w:rsidP="007973EC">
            <w:pPr>
              <w:spacing w:before="20" w:after="20"/>
              <w:ind w:left="0"/>
              <w:jc w:val="left"/>
              <w:rPr>
                <w:b/>
                <w:bCs/>
              </w:rPr>
            </w:pPr>
            <w:r w:rsidRPr="00690521">
              <w:rPr>
                <w:color w:val="auto"/>
                <w:spacing w:val="-4"/>
              </w:rPr>
              <w:t>Requires proper mounting height; new technology, not currently in widespread use</w:t>
            </w:r>
          </w:p>
        </w:tc>
      </w:tr>
      <w:tr w:rsidR="00690521" w14:paraId="616EC121" w14:textId="77777777" w:rsidTr="003519FA">
        <w:trPr>
          <w:trHeight w:val="55"/>
          <w:jc w:val="center"/>
        </w:trPr>
        <w:tc>
          <w:tcPr>
            <w:tcW w:w="1885" w:type="dxa"/>
          </w:tcPr>
          <w:p w14:paraId="3B2CCC97" w14:textId="5272AEAB" w:rsidR="00690521" w:rsidRPr="007973EC" w:rsidRDefault="00690521" w:rsidP="007973EC">
            <w:pPr>
              <w:spacing w:before="20" w:after="20"/>
              <w:ind w:left="0"/>
              <w:jc w:val="left"/>
              <w:rPr>
                <w:b/>
                <w:bCs/>
              </w:rPr>
            </w:pPr>
            <w:r w:rsidRPr="007973EC">
              <w:rPr>
                <w:b/>
                <w:bCs/>
              </w:rPr>
              <w:t>Ultrasonic</w:t>
            </w:r>
          </w:p>
        </w:tc>
        <w:tc>
          <w:tcPr>
            <w:tcW w:w="1350" w:type="dxa"/>
          </w:tcPr>
          <w:p w14:paraId="40B19652" w14:textId="14A3AE8A" w:rsidR="00690521" w:rsidRPr="00690521" w:rsidRDefault="00690521" w:rsidP="007973EC">
            <w:pPr>
              <w:spacing w:before="20" w:after="20"/>
              <w:ind w:left="0"/>
              <w:jc w:val="left"/>
              <w:rPr>
                <w:b/>
                <w:bCs/>
              </w:rPr>
            </w:pPr>
            <w:r w:rsidRPr="00690521">
              <w:rPr>
                <w:color w:val="auto"/>
                <w:spacing w:val="-4"/>
              </w:rPr>
              <w:t>Non-intrusive</w:t>
            </w:r>
          </w:p>
        </w:tc>
        <w:tc>
          <w:tcPr>
            <w:tcW w:w="1755" w:type="dxa"/>
          </w:tcPr>
          <w:p w14:paraId="77E09CFB" w14:textId="4D87E32D" w:rsidR="00690521" w:rsidRPr="00690521" w:rsidRDefault="00690521" w:rsidP="007973EC">
            <w:pPr>
              <w:spacing w:before="20" w:after="20"/>
              <w:ind w:left="0"/>
              <w:jc w:val="left"/>
              <w:rPr>
                <w:b/>
                <w:bCs/>
              </w:rPr>
            </w:pPr>
            <w:r w:rsidRPr="00690521">
              <w:rPr>
                <w:color w:val="auto"/>
                <w:spacing w:val="-4"/>
              </w:rPr>
              <w:t>Length-Based</w:t>
            </w:r>
          </w:p>
        </w:tc>
        <w:tc>
          <w:tcPr>
            <w:tcW w:w="1755" w:type="dxa"/>
          </w:tcPr>
          <w:p w14:paraId="7EF3372D" w14:textId="4A927719" w:rsidR="00690521" w:rsidRPr="00690521" w:rsidRDefault="00690521" w:rsidP="007973EC">
            <w:pPr>
              <w:spacing w:before="20" w:after="20"/>
              <w:ind w:left="0"/>
              <w:jc w:val="left"/>
              <w:rPr>
                <w:b/>
                <w:bCs/>
              </w:rPr>
            </w:pPr>
            <w:r w:rsidRPr="00690521">
              <w:rPr>
                <w:color w:val="auto"/>
                <w:spacing w:val="-4"/>
              </w:rPr>
              <w:t>1 per pair of sensors</w:t>
            </w:r>
          </w:p>
        </w:tc>
        <w:tc>
          <w:tcPr>
            <w:tcW w:w="2790" w:type="dxa"/>
          </w:tcPr>
          <w:p w14:paraId="5398AC10" w14:textId="6FEFE78D" w:rsidR="00690521" w:rsidRPr="00690521" w:rsidRDefault="00690521" w:rsidP="007973EC">
            <w:pPr>
              <w:spacing w:before="20" w:after="20"/>
              <w:ind w:left="0"/>
              <w:jc w:val="left"/>
              <w:rPr>
                <w:b/>
                <w:bCs/>
              </w:rPr>
            </w:pPr>
            <w:r w:rsidRPr="00690521">
              <w:rPr>
                <w:color w:val="auto"/>
                <w:spacing w:val="-4"/>
              </w:rPr>
              <w:t>Temperature variation and air turbulence often affect accuracy</w:t>
            </w:r>
          </w:p>
        </w:tc>
        <w:tc>
          <w:tcPr>
            <w:tcW w:w="3684" w:type="dxa"/>
          </w:tcPr>
          <w:p w14:paraId="230DBF40" w14:textId="6192F485" w:rsidR="00690521" w:rsidRPr="00690521" w:rsidRDefault="00690521" w:rsidP="007973EC">
            <w:pPr>
              <w:spacing w:before="20" w:after="20"/>
              <w:ind w:left="0"/>
              <w:jc w:val="left"/>
              <w:rPr>
                <w:b/>
                <w:bCs/>
              </w:rPr>
            </w:pPr>
            <w:r w:rsidRPr="00690521">
              <w:rPr>
                <w:color w:val="auto"/>
                <w:spacing w:val="-4"/>
              </w:rPr>
              <w:t>New technology, not currently in widespread use</w:t>
            </w:r>
          </w:p>
        </w:tc>
      </w:tr>
      <w:tr w:rsidR="00690521" w14:paraId="18A2EBF5" w14:textId="77777777" w:rsidTr="003519FA">
        <w:trPr>
          <w:trHeight w:val="143"/>
          <w:jc w:val="center"/>
        </w:trPr>
        <w:tc>
          <w:tcPr>
            <w:tcW w:w="1885" w:type="dxa"/>
          </w:tcPr>
          <w:p w14:paraId="08297D41" w14:textId="5DBB8C86" w:rsidR="00690521" w:rsidRPr="007973EC" w:rsidRDefault="00690521" w:rsidP="007973EC">
            <w:pPr>
              <w:spacing w:before="20" w:after="20"/>
              <w:ind w:left="0"/>
              <w:jc w:val="left"/>
              <w:rPr>
                <w:b/>
                <w:bCs/>
              </w:rPr>
            </w:pPr>
            <w:r w:rsidRPr="007973EC">
              <w:rPr>
                <w:b/>
                <w:bCs/>
              </w:rPr>
              <w:t>Acoustic</w:t>
            </w:r>
          </w:p>
        </w:tc>
        <w:tc>
          <w:tcPr>
            <w:tcW w:w="1350" w:type="dxa"/>
          </w:tcPr>
          <w:p w14:paraId="3AB6D991" w14:textId="7F0AD455" w:rsidR="00690521" w:rsidRPr="00690521" w:rsidRDefault="00690521" w:rsidP="00D70429">
            <w:pPr>
              <w:spacing w:before="20" w:after="20"/>
              <w:ind w:left="0"/>
              <w:jc w:val="left"/>
              <w:rPr>
                <w:b/>
                <w:bCs/>
              </w:rPr>
            </w:pPr>
            <w:r w:rsidRPr="00690521">
              <w:rPr>
                <w:color w:val="auto"/>
                <w:spacing w:val="-4"/>
              </w:rPr>
              <w:t>Non-intrusive</w:t>
            </w:r>
          </w:p>
        </w:tc>
        <w:tc>
          <w:tcPr>
            <w:tcW w:w="1755" w:type="dxa"/>
          </w:tcPr>
          <w:p w14:paraId="13C556F0" w14:textId="56B0D20B" w:rsidR="00690521" w:rsidRPr="00690521" w:rsidRDefault="00690521" w:rsidP="00D70429">
            <w:pPr>
              <w:spacing w:before="20" w:after="20"/>
              <w:ind w:left="0"/>
              <w:jc w:val="left"/>
              <w:rPr>
                <w:b/>
                <w:bCs/>
              </w:rPr>
            </w:pPr>
            <w:r w:rsidRPr="00690521">
              <w:rPr>
                <w:color w:val="auto"/>
                <w:spacing w:val="-4"/>
              </w:rPr>
              <w:t>None</w:t>
            </w:r>
          </w:p>
        </w:tc>
        <w:tc>
          <w:tcPr>
            <w:tcW w:w="1755" w:type="dxa"/>
          </w:tcPr>
          <w:p w14:paraId="14A4DEB3" w14:textId="2D14F00E" w:rsidR="00690521" w:rsidRPr="007973EC" w:rsidRDefault="00690521" w:rsidP="007973EC">
            <w:pPr>
              <w:spacing w:before="20" w:after="20"/>
              <w:ind w:left="0"/>
              <w:jc w:val="left"/>
              <w:rPr>
                <w:color w:val="auto"/>
                <w:spacing w:val="-4"/>
              </w:rPr>
            </w:pPr>
            <w:r w:rsidRPr="00690521">
              <w:rPr>
                <w:color w:val="auto"/>
                <w:spacing w:val="-4"/>
              </w:rPr>
              <w:t>1 per pair of sensors</w:t>
            </w:r>
          </w:p>
        </w:tc>
        <w:tc>
          <w:tcPr>
            <w:tcW w:w="2790" w:type="dxa"/>
          </w:tcPr>
          <w:p w14:paraId="140044A2" w14:textId="5CAE8477" w:rsidR="00690521" w:rsidRPr="00690521" w:rsidRDefault="00C21B9F" w:rsidP="009E1F29">
            <w:pPr>
              <w:spacing w:before="20" w:after="20"/>
              <w:ind w:left="0"/>
              <w:jc w:val="left"/>
              <w:rPr>
                <w:b/>
                <w:bCs/>
              </w:rPr>
            </w:pPr>
            <w:r>
              <w:t xml:space="preserve">Multiple reflective </w:t>
            </w:r>
            <w:r w:rsidRPr="009E1F29">
              <w:rPr>
                <w:color w:val="auto"/>
                <w:spacing w:val="-4"/>
              </w:rPr>
              <w:t>signals</w:t>
            </w:r>
          </w:p>
        </w:tc>
        <w:tc>
          <w:tcPr>
            <w:tcW w:w="3684" w:type="dxa"/>
          </w:tcPr>
          <w:p w14:paraId="6955B8E4" w14:textId="174A02A2" w:rsidR="00690521" w:rsidRPr="00690521" w:rsidRDefault="00690521" w:rsidP="007973EC">
            <w:pPr>
              <w:spacing w:before="20" w:after="20"/>
              <w:ind w:left="0"/>
              <w:jc w:val="left"/>
              <w:rPr>
                <w:b/>
                <w:bCs/>
              </w:rPr>
            </w:pPr>
            <w:r w:rsidRPr="00690521">
              <w:rPr>
                <w:color w:val="auto"/>
                <w:spacing w:val="-4"/>
              </w:rPr>
              <w:t>Must be carefully calibrated</w:t>
            </w:r>
          </w:p>
        </w:tc>
      </w:tr>
      <w:tr w:rsidR="00690521" w14:paraId="0FB7170C" w14:textId="77777777" w:rsidTr="003519FA">
        <w:trPr>
          <w:jc w:val="center"/>
        </w:trPr>
        <w:tc>
          <w:tcPr>
            <w:tcW w:w="1885" w:type="dxa"/>
          </w:tcPr>
          <w:p w14:paraId="1E1BF496" w14:textId="0D53C783" w:rsidR="00690521" w:rsidRPr="007973EC" w:rsidRDefault="00690521" w:rsidP="007973EC">
            <w:pPr>
              <w:spacing w:before="20" w:after="20"/>
              <w:ind w:left="0"/>
              <w:jc w:val="left"/>
              <w:rPr>
                <w:b/>
                <w:bCs/>
              </w:rPr>
            </w:pPr>
            <w:r w:rsidRPr="007973EC">
              <w:rPr>
                <w:b/>
                <w:bCs/>
              </w:rPr>
              <w:t>Bending Plate</w:t>
            </w:r>
          </w:p>
        </w:tc>
        <w:tc>
          <w:tcPr>
            <w:tcW w:w="1350" w:type="dxa"/>
          </w:tcPr>
          <w:p w14:paraId="3182E1A1" w14:textId="6219AB14" w:rsidR="00690521" w:rsidRPr="00690521" w:rsidRDefault="00690521" w:rsidP="00D70429">
            <w:pPr>
              <w:spacing w:before="20" w:after="20"/>
              <w:ind w:left="0"/>
              <w:jc w:val="left"/>
              <w:rPr>
                <w:b/>
                <w:bCs/>
              </w:rPr>
            </w:pPr>
            <w:r w:rsidRPr="00690521">
              <w:rPr>
                <w:color w:val="auto"/>
                <w:spacing w:val="-4"/>
              </w:rPr>
              <w:t>Intrusive</w:t>
            </w:r>
          </w:p>
        </w:tc>
        <w:tc>
          <w:tcPr>
            <w:tcW w:w="1755" w:type="dxa"/>
          </w:tcPr>
          <w:p w14:paraId="0516ADBE" w14:textId="0DC50AD7" w:rsidR="00690521" w:rsidRPr="00690521" w:rsidRDefault="00690521" w:rsidP="00D70429">
            <w:pPr>
              <w:spacing w:before="20" w:after="20"/>
              <w:ind w:left="0"/>
              <w:jc w:val="left"/>
              <w:rPr>
                <w:b/>
                <w:bCs/>
              </w:rPr>
            </w:pPr>
            <w:r w:rsidRPr="00690521">
              <w:rPr>
                <w:color w:val="auto"/>
                <w:spacing w:val="-4"/>
              </w:rPr>
              <w:t>Axle Based (FHWA 13+)</w:t>
            </w:r>
            <w:r w:rsidRPr="00690521">
              <w:rPr>
                <w:color w:val="auto"/>
                <w:spacing w:val="-4"/>
              </w:rPr>
              <w:br/>
              <w:t>A good WIM sensor</w:t>
            </w:r>
          </w:p>
        </w:tc>
        <w:tc>
          <w:tcPr>
            <w:tcW w:w="1755" w:type="dxa"/>
          </w:tcPr>
          <w:p w14:paraId="5213F3BE" w14:textId="5B3D9526" w:rsidR="00690521" w:rsidRPr="007973EC" w:rsidRDefault="00690521" w:rsidP="007973EC">
            <w:pPr>
              <w:spacing w:before="20" w:after="20"/>
              <w:ind w:left="0"/>
              <w:jc w:val="left"/>
              <w:rPr>
                <w:color w:val="auto"/>
                <w:spacing w:val="-4"/>
              </w:rPr>
            </w:pPr>
            <w:r w:rsidRPr="00690521">
              <w:rPr>
                <w:color w:val="auto"/>
                <w:spacing w:val="-4"/>
              </w:rPr>
              <w:t>1 per set of sensors</w:t>
            </w:r>
          </w:p>
        </w:tc>
        <w:tc>
          <w:tcPr>
            <w:tcW w:w="2790" w:type="dxa"/>
          </w:tcPr>
          <w:p w14:paraId="627A8FD2" w14:textId="2E1CAEC2" w:rsidR="00690521" w:rsidRPr="00C21B9F" w:rsidRDefault="00C21B9F" w:rsidP="00C21B9F">
            <w:pPr>
              <w:spacing w:before="20" w:after="20"/>
              <w:ind w:left="4"/>
              <w:jc w:val="left"/>
              <w:rPr>
                <w:color w:val="auto"/>
                <w:spacing w:val="-4"/>
              </w:rPr>
            </w:pPr>
            <w:r w:rsidRPr="00690521">
              <w:rPr>
                <w:color w:val="auto"/>
                <w:spacing w:val="-4"/>
              </w:rPr>
              <w:t>Lifecycle is affected by extreme heat or freeze-thaw cycles</w:t>
            </w:r>
          </w:p>
        </w:tc>
        <w:tc>
          <w:tcPr>
            <w:tcW w:w="3684" w:type="dxa"/>
          </w:tcPr>
          <w:p w14:paraId="12EC564A" w14:textId="648FB1BD" w:rsidR="00690521" w:rsidRPr="00690521" w:rsidRDefault="00690521" w:rsidP="007973EC">
            <w:pPr>
              <w:spacing w:before="20" w:after="20"/>
              <w:ind w:left="0"/>
              <w:jc w:val="left"/>
              <w:rPr>
                <w:b/>
                <w:bCs/>
              </w:rPr>
            </w:pPr>
            <w:r w:rsidRPr="00690521">
              <w:rPr>
                <w:color w:val="auto"/>
                <w:spacing w:val="-4"/>
              </w:rPr>
              <w:t>Too expensive unless used as a WIM system</w:t>
            </w:r>
          </w:p>
        </w:tc>
      </w:tr>
      <w:tr w:rsidR="00690521" w14:paraId="740C7A66" w14:textId="77777777" w:rsidTr="003519FA">
        <w:trPr>
          <w:jc w:val="center"/>
        </w:trPr>
        <w:tc>
          <w:tcPr>
            <w:tcW w:w="1885" w:type="dxa"/>
          </w:tcPr>
          <w:p w14:paraId="70F408BE" w14:textId="77A27ED1" w:rsidR="00690521" w:rsidRPr="007973EC" w:rsidRDefault="00690521" w:rsidP="007973EC">
            <w:pPr>
              <w:spacing w:before="20" w:after="20"/>
              <w:ind w:left="0"/>
              <w:jc w:val="left"/>
              <w:rPr>
                <w:b/>
                <w:bCs/>
              </w:rPr>
            </w:pPr>
            <w:r w:rsidRPr="007973EC">
              <w:rPr>
                <w:b/>
                <w:bCs/>
              </w:rPr>
              <w:t>Bridge WIM</w:t>
            </w:r>
          </w:p>
        </w:tc>
        <w:tc>
          <w:tcPr>
            <w:tcW w:w="1350" w:type="dxa"/>
          </w:tcPr>
          <w:p w14:paraId="5D006798" w14:textId="2FE80BFE" w:rsidR="00690521" w:rsidRPr="00690521" w:rsidRDefault="00690521" w:rsidP="00D70429">
            <w:pPr>
              <w:spacing w:before="20" w:after="20"/>
              <w:ind w:left="0"/>
              <w:jc w:val="left"/>
              <w:rPr>
                <w:b/>
                <w:bCs/>
              </w:rPr>
            </w:pPr>
            <w:r w:rsidRPr="00690521">
              <w:rPr>
                <w:color w:val="auto"/>
                <w:spacing w:val="-4"/>
              </w:rPr>
              <w:t>Non-intrusive</w:t>
            </w:r>
          </w:p>
        </w:tc>
        <w:tc>
          <w:tcPr>
            <w:tcW w:w="1755" w:type="dxa"/>
          </w:tcPr>
          <w:p w14:paraId="739314BF" w14:textId="7420D0AF" w:rsidR="00690521" w:rsidRPr="00690521" w:rsidRDefault="00690521" w:rsidP="00D70429">
            <w:pPr>
              <w:spacing w:before="20" w:after="20"/>
              <w:ind w:left="0"/>
              <w:jc w:val="left"/>
              <w:rPr>
                <w:b/>
                <w:bCs/>
              </w:rPr>
            </w:pPr>
            <w:r w:rsidRPr="00690521">
              <w:rPr>
                <w:color w:val="auto"/>
                <w:spacing w:val="-4"/>
              </w:rPr>
              <w:t>Axle Based (FHWA 13+)</w:t>
            </w:r>
            <w:r w:rsidRPr="00690521">
              <w:rPr>
                <w:color w:val="auto"/>
                <w:spacing w:val="-4"/>
              </w:rPr>
              <w:br/>
              <w:t>a WIM system</w:t>
            </w:r>
          </w:p>
        </w:tc>
        <w:tc>
          <w:tcPr>
            <w:tcW w:w="1755" w:type="dxa"/>
          </w:tcPr>
          <w:p w14:paraId="6C8FDE1E" w14:textId="18447D81" w:rsidR="00690521" w:rsidRPr="007973EC" w:rsidRDefault="00C21B9F" w:rsidP="007973EC">
            <w:pPr>
              <w:spacing w:before="20" w:after="20"/>
              <w:ind w:left="0"/>
              <w:jc w:val="left"/>
              <w:rPr>
                <w:color w:val="auto"/>
                <w:spacing w:val="-4"/>
              </w:rPr>
            </w:pPr>
            <w:r w:rsidRPr="00690521">
              <w:rPr>
                <w:color w:val="auto"/>
                <w:spacing w:val="-4"/>
              </w:rPr>
              <w:t>1 per set of sensors</w:t>
            </w:r>
          </w:p>
        </w:tc>
        <w:tc>
          <w:tcPr>
            <w:tcW w:w="2790" w:type="dxa"/>
          </w:tcPr>
          <w:p w14:paraId="6649131E" w14:textId="1D69270A" w:rsidR="00690521" w:rsidRPr="00C21B9F" w:rsidRDefault="00C21B9F" w:rsidP="00C21B9F">
            <w:pPr>
              <w:spacing w:before="20" w:after="20"/>
              <w:ind w:left="4"/>
              <w:jc w:val="left"/>
              <w:rPr>
                <w:color w:val="auto"/>
                <w:spacing w:val="-4"/>
              </w:rPr>
            </w:pPr>
            <w:r w:rsidRPr="00690521">
              <w:rPr>
                <w:color w:val="auto"/>
                <w:spacing w:val="-4"/>
              </w:rPr>
              <w:t>Lifecycle is affected by extreme heat or freeze-thaw cycles</w:t>
            </w:r>
          </w:p>
        </w:tc>
        <w:tc>
          <w:tcPr>
            <w:tcW w:w="3684" w:type="dxa"/>
          </w:tcPr>
          <w:p w14:paraId="1C6F473C" w14:textId="29F2B95E" w:rsidR="00690521" w:rsidRPr="007973EC" w:rsidRDefault="00690521" w:rsidP="007973EC">
            <w:pPr>
              <w:spacing w:before="20" w:after="20"/>
              <w:ind w:left="0"/>
              <w:jc w:val="left"/>
              <w:rPr>
                <w:color w:val="auto"/>
                <w:spacing w:val="-4"/>
              </w:rPr>
            </w:pPr>
            <w:r w:rsidRPr="00690521">
              <w:rPr>
                <w:color w:val="auto"/>
                <w:spacing w:val="-4"/>
              </w:rPr>
              <w:t xml:space="preserve">Only works on specific types and sizes of bridges and </w:t>
            </w:r>
            <w:r w:rsidRPr="007973EC">
              <w:rPr>
                <w:color w:val="auto"/>
                <w:spacing w:val="-4"/>
              </w:rPr>
              <w:t>culverts</w:t>
            </w:r>
            <w:r w:rsidRPr="00690521">
              <w:rPr>
                <w:color w:val="auto"/>
                <w:spacing w:val="-4"/>
              </w:rPr>
              <w:t>; not really a conventional traffic monitoring device</w:t>
            </w:r>
          </w:p>
        </w:tc>
      </w:tr>
      <w:tr w:rsidR="00690521" w14:paraId="062E58FB" w14:textId="77777777" w:rsidTr="003519FA">
        <w:trPr>
          <w:jc w:val="center"/>
        </w:trPr>
        <w:tc>
          <w:tcPr>
            <w:tcW w:w="1885" w:type="dxa"/>
          </w:tcPr>
          <w:p w14:paraId="1DC07E56" w14:textId="5FBE2549" w:rsidR="00690521" w:rsidRPr="007973EC" w:rsidRDefault="00690521" w:rsidP="007973EC">
            <w:pPr>
              <w:spacing w:before="20" w:after="20"/>
              <w:ind w:left="0"/>
              <w:jc w:val="left"/>
              <w:rPr>
                <w:b/>
                <w:bCs/>
              </w:rPr>
            </w:pPr>
            <w:r w:rsidRPr="007973EC">
              <w:rPr>
                <w:b/>
                <w:bCs/>
              </w:rPr>
              <w:t>Load Cell</w:t>
            </w:r>
          </w:p>
        </w:tc>
        <w:tc>
          <w:tcPr>
            <w:tcW w:w="1350" w:type="dxa"/>
          </w:tcPr>
          <w:p w14:paraId="7CBB76A4" w14:textId="1CA94F11" w:rsidR="00690521" w:rsidRPr="00690521" w:rsidRDefault="00690521" w:rsidP="007973EC">
            <w:pPr>
              <w:spacing w:before="20" w:after="20"/>
              <w:ind w:left="0"/>
              <w:jc w:val="left"/>
              <w:rPr>
                <w:b/>
                <w:bCs/>
              </w:rPr>
            </w:pPr>
            <w:r w:rsidRPr="00690521">
              <w:rPr>
                <w:color w:val="auto"/>
                <w:spacing w:val="-4"/>
              </w:rPr>
              <w:t>Intrusive</w:t>
            </w:r>
          </w:p>
        </w:tc>
        <w:tc>
          <w:tcPr>
            <w:tcW w:w="1755" w:type="dxa"/>
          </w:tcPr>
          <w:p w14:paraId="3EC363C5" w14:textId="264B0815" w:rsidR="00690521" w:rsidRPr="00690521" w:rsidRDefault="00690521" w:rsidP="007973EC">
            <w:pPr>
              <w:spacing w:before="20" w:after="20"/>
              <w:ind w:left="0"/>
              <w:jc w:val="left"/>
              <w:rPr>
                <w:b/>
                <w:bCs/>
              </w:rPr>
            </w:pPr>
            <w:r w:rsidRPr="00690521">
              <w:rPr>
                <w:color w:val="auto"/>
                <w:spacing w:val="-4"/>
              </w:rPr>
              <w:t>FHWA 13+</w:t>
            </w:r>
          </w:p>
        </w:tc>
        <w:tc>
          <w:tcPr>
            <w:tcW w:w="1755" w:type="dxa"/>
          </w:tcPr>
          <w:p w14:paraId="68D74F83" w14:textId="2781DD5B" w:rsidR="00690521" w:rsidRPr="007973EC" w:rsidRDefault="00690521" w:rsidP="007973EC">
            <w:pPr>
              <w:spacing w:before="20" w:after="20"/>
              <w:ind w:left="0"/>
              <w:jc w:val="left"/>
              <w:rPr>
                <w:color w:val="auto"/>
                <w:spacing w:val="-4"/>
              </w:rPr>
            </w:pPr>
            <w:r w:rsidRPr="00690521">
              <w:rPr>
                <w:color w:val="auto"/>
                <w:spacing w:val="-4"/>
              </w:rPr>
              <w:t>1 per wheel path</w:t>
            </w:r>
          </w:p>
        </w:tc>
        <w:tc>
          <w:tcPr>
            <w:tcW w:w="2790" w:type="dxa"/>
          </w:tcPr>
          <w:p w14:paraId="2712315A" w14:textId="3C15A9BA" w:rsidR="00690521" w:rsidRPr="00690521" w:rsidRDefault="00690521" w:rsidP="007973EC">
            <w:pPr>
              <w:spacing w:before="20" w:after="20"/>
              <w:ind w:left="0"/>
              <w:jc w:val="left"/>
              <w:rPr>
                <w:b/>
                <w:bCs/>
              </w:rPr>
            </w:pPr>
            <w:r w:rsidRPr="00690521">
              <w:rPr>
                <w:color w:val="auto"/>
                <w:spacing w:val="-4"/>
              </w:rPr>
              <w:t>Large upfront cost</w:t>
            </w:r>
          </w:p>
        </w:tc>
        <w:tc>
          <w:tcPr>
            <w:tcW w:w="3684" w:type="dxa"/>
          </w:tcPr>
          <w:p w14:paraId="7FFC1E96" w14:textId="261D0ADB" w:rsidR="00690521" w:rsidRPr="007973EC" w:rsidRDefault="00690521" w:rsidP="007973EC">
            <w:pPr>
              <w:spacing w:before="20" w:after="20"/>
              <w:ind w:left="0"/>
              <w:jc w:val="left"/>
              <w:rPr>
                <w:color w:val="auto"/>
                <w:spacing w:val="-4"/>
              </w:rPr>
            </w:pPr>
            <w:r w:rsidRPr="007973EC">
              <w:rPr>
                <w:color w:val="auto"/>
                <w:spacing w:val="-4"/>
              </w:rPr>
              <w:t>Maintenance costs are yearly and require lane closure</w:t>
            </w:r>
          </w:p>
        </w:tc>
      </w:tr>
    </w:tbl>
    <w:p w14:paraId="69455CBE" w14:textId="12F98F0B" w:rsidR="008822A4" w:rsidRPr="0061163F" w:rsidRDefault="008822A4" w:rsidP="0061163F">
      <w:pPr>
        <w:pStyle w:val="Source"/>
      </w:pPr>
      <w:r w:rsidRPr="0061163F">
        <w:t>Source:</w:t>
      </w:r>
      <w:r w:rsidR="0061163F" w:rsidRPr="0061163F">
        <w:t xml:space="preserve">  </w:t>
      </w:r>
      <w:r w:rsidRPr="0061163F">
        <w:t>Based on Hallenbeck and Weinblatt, 2004.</w:t>
      </w:r>
    </w:p>
    <w:p w14:paraId="2503D0C6" w14:textId="5B51DAE8" w:rsidR="008822A4" w:rsidRPr="00855E7E" w:rsidRDefault="008822A4" w:rsidP="00927435">
      <w:pPr>
        <w:pStyle w:val="Source"/>
        <w:spacing w:before="100" w:after="0"/>
      </w:pPr>
      <w:r w:rsidRPr="00855E7E">
        <w:rPr>
          <w:vertAlign w:val="superscript"/>
        </w:rPr>
        <w:t>a</w:t>
      </w:r>
      <w:r w:rsidR="00BB182A">
        <w:rPr>
          <w:vertAlign w:val="superscript"/>
        </w:rPr>
        <w:t xml:space="preserve"> </w:t>
      </w:r>
      <w:r w:rsidRPr="00855E7E">
        <w:t>There are two basic undercarriage loop classifier technologies. One uses the “signature” from existing loops to determine classification by matching the shape of that loop to expected profiles. The other uses specific types of loops to detect changes in inductance associated with wheels, and uses that information to detect and measure axles. This device can classify by “axle,” while the other defines classes that relate strongly to axle-based classes but are not specifically based on the number and spacing of axles.</w:t>
      </w:r>
    </w:p>
    <w:p w14:paraId="1E6CF70D" w14:textId="560D6FA7" w:rsidR="008822A4" w:rsidRPr="00855E7E" w:rsidRDefault="008822A4" w:rsidP="00927435">
      <w:pPr>
        <w:pStyle w:val="Source"/>
        <w:spacing w:before="100" w:after="0"/>
      </w:pPr>
      <w:r w:rsidRPr="00855E7E">
        <w:rPr>
          <w:vertAlign w:val="superscript"/>
        </w:rPr>
        <w:t>b</w:t>
      </w:r>
      <w:r w:rsidR="00BB182A">
        <w:rPr>
          <w:vertAlign w:val="superscript"/>
        </w:rPr>
        <w:t xml:space="preserve"> </w:t>
      </w:r>
      <w:r w:rsidRPr="00855E7E">
        <w:t>Overhead-mounted, non-intrusive detectors require a structure (usually a bridge or gantry) upon which to be mounted. The expense of sensor installation increases dramatically where these do not already exist.</w:t>
      </w:r>
    </w:p>
    <w:p w14:paraId="0C771D51" w14:textId="046B381A" w:rsidR="008822A4" w:rsidRPr="00855E7E" w:rsidRDefault="008822A4" w:rsidP="00927435">
      <w:pPr>
        <w:pStyle w:val="Source"/>
        <w:spacing w:before="100" w:after="0"/>
        <w:rPr>
          <w:i w:val="0"/>
        </w:rPr>
      </w:pPr>
      <w:r w:rsidRPr="00855E7E">
        <w:rPr>
          <w:vertAlign w:val="superscript"/>
        </w:rPr>
        <w:t>c</w:t>
      </w:r>
      <w:r w:rsidR="00BB182A">
        <w:rPr>
          <w:vertAlign w:val="superscript"/>
        </w:rPr>
        <w:t xml:space="preserve"> </w:t>
      </w:r>
      <w:r w:rsidRPr="00855E7E">
        <w:t>Video image analysis will define classes based on the features detected by the software.</w:t>
      </w:r>
      <w:r w:rsidR="004D4172">
        <w:t xml:space="preserve"> </w:t>
      </w:r>
      <w:r w:rsidRPr="00855E7E">
        <w:t>The simplest detection algorithms are based on length.</w:t>
      </w:r>
      <w:r w:rsidR="004D4172">
        <w:t xml:space="preserve"> </w:t>
      </w:r>
      <w:r w:rsidRPr="00855E7E">
        <w:t>More complex algorithms detect and classify using axle information, provided the camera angles are capable of “seeing” different axles.</w:t>
      </w:r>
    </w:p>
    <w:p w14:paraId="50AC6A3E" w14:textId="77777777" w:rsidR="008822A4" w:rsidRPr="00855E7E" w:rsidRDefault="008822A4" w:rsidP="008822A4">
      <w:pPr>
        <w:rPr>
          <w:color w:val="auto"/>
          <w:highlight w:val="yellow"/>
        </w:rPr>
        <w:sectPr w:rsidR="008822A4" w:rsidRPr="00855E7E" w:rsidSect="00521309">
          <w:headerReference w:type="even" r:id="rId78"/>
          <w:headerReference w:type="default" r:id="rId79"/>
          <w:footerReference w:type="even" r:id="rId80"/>
          <w:footerReference w:type="default" r:id="rId81"/>
          <w:pgSz w:w="15840" w:h="12240" w:orient="landscape" w:code="1"/>
          <w:pgMar w:top="1440" w:right="1152" w:bottom="1440" w:left="1440" w:header="720" w:footer="576" w:gutter="0"/>
          <w:pgNumType w:chapStyle="1"/>
          <w:cols w:space="720"/>
          <w:docGrid w:linePitch="272"/>
        </w:sectPr>
      </w:pPr>
    </w:p>
    <w:p w14:paraId="0174A0BF" w14:textId="36D7DD57" w:rsidR="008822A4" w:rsidRPr="00F468E1" w:rsidRDefault="008822A4">
      <w:pPr>
        <w:pStyle w:val="Heading3"/>
        <w:spacing w:before="0"/>
      </w:pPr>
      <w:bookmarkStart w:id="779" w:name="_Toc52785404"/>
      <w:bookmarkStart w:id="780" w:name="_Toc63428132"/>
      <w:bookmarkStart w:id="781" w:name="_Toc118205593"/>
      <w:r w:rsidRPr="00F468E1">
        <w:lastRenderedPageBreak/>
        <w:t>Sensor and Equipment Location Considerations</w:t>
      </w:r>
      <w:bookmarkEnd w:id="779"/>
      <w:bookmarkEnd w:id="780"/>
      <w:bookmarkEnd w:id="781"/>
    </w:p>
    <w:p w14:paraId="72477927" w14:textId="77777777" w:rsidR="008822A4" w:rsidRPr="00855E7E" w:rsidRDefault="008822A4" w:rsidP="00A35EAF">
      <w:pPr>
        <w:pStyle w:val="BodyText"/>
      </w:pPr>
      <w:r w:rsidRPr="00855E7E">
        <w:t xml:space="preserve">State agencies typically consider “site-centric” or “equipment-centric” approaches for traffic monitoring equipment selection. With the site-centric approach, the count location is more important and selected first, followed by selection of the equipment that works best at the selected location. The competitive bidding is an important part of the equipment procurement process. It is advisable to conduct the site selection first and then use a list of locations in the bidding document to provide opportunities for the bidders to assess site characteristics and propose the equipment that operate successfully under known site conditions. </w:t>
      </w:r>
    </w:p>
    <w:p w14:paraId="3AFFCF18" w14:textId="2C0C3E49" w:rsidR="008822A4" w:rsidRPr="00855E7E" w:rsidRDefault="008822A4" w:rsidP="00A35EAF">
      <w:pPr>
        <w:pStyle w:val="BodyText"/>
      </w:pPr>
      <w:r w:rsidRPr="00855E7E">
        <w:t xml:space="preserve">Oftentimes, it is desirable to have similar equipment installed throughout the </w:t>
      </w:r>
      <w:r w:rsidR="001A1B02">
        <w:t>S</w:t>
      </w:r>
      <w:r w:rsidRPr="00855E7E">
        <w:t>tate to streamline equipment installation, maintenance, calibration, and operation. With this equipment-centric approach, specific locations are selected along the desired candidate road segments that provide the best data accuracy by addressing the manufacturers’ requirements for equipment’s operating conditions. Note that selecting a single type of equipment or vendor poses a higher cost and additional risk, if the vendor changes equipment, requires upgrades, or goes out of business.</w:t>
      </w:r>
    </w:p>
    <w:p w14:paraId="02B8AFC1" w14:textId="3D690D55" w:rsidR="008822A4" w:rsidRPr="00BB182A" w:rsidRDefault="008822A4" w:rsidP="00BB182A">
      <w:pPr>
        <w:pStyle w:val="BodyText"/>
        <w:rPr>
          <w:rStyle w:val="Strong"/>
          <w:rFonts w:ascii="Cambria" w:hAnsi="Cambria"/>
          <w:sz w:val="22"/>
          <w:szCs w:val="22"/>
        </w:rPr>
      </w:pPr>
      <w:r w:rsidRPr="00BB182A">
        <w:rPr>
          <w:rStyle w:val="Strong"/>
          <w:rFonts w:ascii="Cambria" w:hAnsi="Cambria"/>
          <w:sz w:val="22"/>
          <w:szCs w:val="22"/>
        </w:rPr>
        <w:t>Physical Characteristics of Traffic Monitoring Site Locations</w:t>
      </w:r>
    </w:p>
    <w:p w14:paraId="023B1F09" w14:textId="77777777" w:rsidR="008822A4" w:rsidRPr="00855E7E" w:rsidRDefault="008822A4" w:rsidP="003B0722">
      <w:pPr>
        <w:pStyle w:val="BodyText"/>
      </w:pPr>
      <w:r w:rsidRPr="00855E7E">
        <w:t xml:space="preserve">Traffic monitoring systems accurately </w:t>
      </w:r>
      <w:r w:rsidRPr="003B0722">
        <w:t>operate</w:t>
      </w:r>
      <w:r w:rsidRPr="00855E7E">
        <w:t xml:space="preserve"> only when the equipment is in a physical environment that meets specific criteria: </w:t>
      </w:r>
    </w:p>
    <w:p w14:paraId="31225E49" w14:textId="77777777" w:rsidR="008822A4" w:rsidRPr="00855E7E" w:rsidRDefault="008822A4">
      <w:pPr>
        <w:pStyle w:val="TMGBullet"/>
      </w:pPr>
      <w:r w:rsidRPr="00855E7E">
        <w:t>Traffic traveling with a speed that does not change while a vehicle is crossing over a sensor array, not prone to stop-and-go conditions, acceleration, deceleration, lane changes, mergers, frequent vehicle passing in sensor lane (i.e., merge or exit lanes), or weaving maneuvers.</w:t>
      </w:r>
    </w:p>
    <w:p w14:paraId="0E87E1F9" w14:textId="48405351" w:rsidR="008822A4" w:rsidRPr="00855E7E" w:rsidRDefault="008822A4">
      <w:pPr>
        <w:pStyle w:val="TMGBullet"/>
      </w:pPr>
      <w:r w:rsidRPr="00855E7E">
        <w:t>Access to landline power and communications or adequate solar/wind energy and wireless signal strength. If</w:t>
      </w:r>
      <w:r w:rsidR="003519FA">
        <w:t> </w:t>
      </w:r>
      <w:r w:rsidRPr="00855E7E">
        <w:t>cellular service is planned, its reliability at site location must be tested.</w:t>
      </w:r>
      <w:r w:rsidR="004D4172">
        <w:t xml:space="preserve"> </w:t>
      </w:r>
      <w:r w:rsidRPr="00855E7E">
        <w:t>If solar power is planned, conditions for its successful operation should be considered in all seasons (recommended minimum of 7</w:t>
      </w:r>
      <w:r w:rsidR="00D55505">
        <w:t> </w:t>
      </w:r>
      <w:r w:rsidRPr="00855E7E">
        <w:t>days of data storage available in the memory)</w:t>
      </w:r>
      <w:r w:rsidR="004D4172">
        <w:t xml:space="preserve"> </w:t>
      </w:r>
    </w:p>
    <w:p w14:paraId="0DF4B5EC" w14:textId="77777777" w:rsidR="008822A4" w:rsidRPr="00855E7E" w:rsidRDefault="008822A4">
      <w:pPr>
        <w:pStyle w:val="TMGBullet"/>
      </w:pPr>
      <w:r w:rsidRPr="00855E7E">
        <w:t>Safe pullout and parking area for maintenance truck and safe area for technician to access traffic cabinet and equipment for maintenance. Location of electronics outside the clear zone is a must.</w:t>
      </w:r>
    </w:p>
    <w:p w14:paraId="7FF3D581" w14:textId="77777777" w:rsidR="008822A4" w:rsidRPr="00855E7E" w:rsidRDefault="008822A4">
      <w:pPr>
        <w:pStyle w:val="TMGBullet"/>
      </w:pPr>
      <w:r w:rsidRPr="00855E7E">
        <w:t>Cabinet location provides clear view of the sensors and traveling vehicles from the traffic cabinet location to validate and verify equipment is working while on site by visually observing and classifying vehicles passing in the monitoring lane(s).</w:t>
      </w:r>
    </w:p>
    <w:p w14:paraId="4852AD99" w14:textId="7575C26A" w:rsidR="008822A4" w:rsidRPr="00855E7E" w:rsidRDefault="008822A4">
      <w:pPr>
        <w:pStyle w:val="TMGBullet"/>
      </w:pPr>
      <w:r w:rsidRPr="00855E7E">
        <w:t>Cabinet is in the area with a good drainage and not prone to flooding.</w:t>
      </w:r>
      <w:r w:rsidR="004D4172">
        <w:t xml:space="preserve"> </w:t>
      </w:r>
      <w:r w:rsidRPr="00855E7E">
        <w:t>Cabinet also provides good views of each roadway lane for viewing traffic for calibration purposes.</w:t>
      </w:r>
    </w:p>
    <w:p w14:paraId="26DAAA9D" w14:textId="77777777" w:rsidR="008822A4" w:rsidRDefault="008822A4">
      <w:pPr>
        <w:pStyle w:val="TMGBullet"/>
      </w:pPr>
      <w:r w:rsidRPr="00855E7E">
        <w:t>No major road or pavement work during the intended data collection period.</w:t>
      </w:r>
    </w:p>
    <w:p w14:paraId="2DD00F52" w14:textId="23664086" w:rsidR="008822A4" w:rsidRDefault="008822A4">
      <w:pPr>
        <w:pStyle w:val="TMGBullet"/>
      </w:pPr>
      <w:r>
        <w:t>Pavement in a good condition, free of cracks, rutting, or faulting.</w:t>
      </w:r>
      <w:r w:rsidR="004D4172">
        <w:t xml:space="preserve"> </w:t>
      </w:r>
      <w:r>
        <w:t>Sensors installed as part of pavement rehabilitation projects typically have a longer service life.</w:t>
      </w:r>
    </w:p>
    <w:p w14:paraId="6F555948" w14:textId="6CBE3934" w:rsidR="008822A4" w:rsidRPr="00855E7E" w:rsidRDefault="008822A4" w:rsidP="003B0722">
      <w:pPr>
        <w:pStyle w:val="BodyText"/>
      </w:pPr>
      <w:r w:rsidRPr="00855E7E">
        <w:t xml:space="preserve">The following site conditions should be </w:t>
      </w:r>
      <w:r w:rsidR="00B36D3C" w:rsidRPr="003B0722">
        <w:t>considered</w:t>
      </w:r>
      <w:r w:rsidR="00B36D3C" w:rsidRPr="00855E7E">
        <w:t xml:space="preserve"> </w:t>
      </w:r>
      <w:r w:rsidRPr="00855E7E">
        <w:t>for certain type of sensors or applications:</w:t>
      </w:r>
    </w:p>
    <w:p w14:paraId="384F250E" w14:textId="77777777" w:rsidR="008822A4" w:rsidRPr="00220AFE" w:rsidRDefault="008822A4">
      <w:pPr>
        <w:pStyle w:val="TMGBullet"/>
      </w:pPr>
      <w:r w:rsidRPr="00220AFE">
        <w:t>Avoid power lines</w:t>
      </w:r>
    </w:p>
    <w:p w14:paraId="4F4D5457" w14:textId="77777777" w:rsidR="008822A4" w:rsidRPr="00220AFE" w:rsidRDefault="008822A4">
      <w:pPr>
        <w:pStyle w:val="TMGBullet"/>
      </w:pPr>
      <w:r w:rsidRPr="00220AFE">
        <w:t>Avoid water bodies (to prevent water reflection, only if video monitoring is used)</w:t>
      </w:r>
    </w:p>
    <w:p w14:paraId="64A967AB" w14:textId="58A5730E" w:rsidR="008822A4" w:rsidRPr="00220AFE" w:rsidRDefault="008822A4">
      <w:pPr>
        <w:pStyle w:val="TMGBullet"/>
      </w:pPr>
      <w:r w:rsidRPr="00220AFE">
        <w:t>Avoid installation of counters that point toward traffic (only for infrared counters)</w:t>
      </w:r>
    </w:p>
    <w:p w14:paraId="51FAF1B2" w14:textId="77777777" w:rsidR="008822A4" w:rsidRPr="00220AFE" w:rsidRDefault="008822A4">
      <w:pPr>
        <w:pStyle w:val="TMGBullet"/>
      </w:pPr>
      <w:r w:rsidRPr="00220AFE">
        <w:t>Avoid areas where people stop and stand around an area (for pedestrian counts)</w:t>
      </w:r>
    </w:p>
    <w:p w14:paraId="23172D0E" w14:textId="77777777" w:rsidR="008822A4" w:rsidRPr="00220AFE" w:rsidRDefault="008822A4">
      <w:pPr>
        <w:pStyle w:val="TMGBullet"/>
      </w:pPr>
      <w:r w:rsidRPr="00220AFE">
        <w:t>Avoid curves (all sensors) – 5700 ft</w:t>
      </w:r>
    </w:p>
    <w:p w14:paraId="4B28416F" w14:textId="77777777" w:rsidR="008822A4" w:rsidRPr="00220AFE" w:rsidRDefault="008822A4">
      <w:pPr>
        <w:pStyle w:val="TMGBullet"/>
      </w:pPr>
      <w:r w:rsidRPr="00220AFE">
        <w:t>Avoid hills (all sensors) – less than 2 percent grade</w:t>
      </w:r>
    </w:p>
    <w:p w14:paraId="626326E0" w14:textId="77777777" w:rsidR="008822A4" w:rsidRPr="00220AFE" w:rsidRDefault="008822A4">
      <w:pPr>
        <w:pStyle w:val="TMGBullet"/>
      </w:pPr>
      <w:r w:rsidRPr="00220AFE">
        <w:t>Avoid counting at intersections (all sensors) – within 1200 feet</w:t>
      </w:r>
    </w:p>
    <w:p w14:paraId="10D73A44" w14:textId="77777777" w:rsidR="008822A4" w:rsidRPr="00220AFE" w:rsidRDefault="008822A4">
      <w:pPr>
        <w:pStyle w:val="TMGBullet"/>
      </w:pPr>
      <w:r w:rsidRPr="00220AFE">
        <w:t>Avoid traffic queues in the sensor area, if possible (all sensors)</w:t>
      </w:r>
    </w:p>
    <w:p w14:paraId="2BE302D8" w14:textId="77777777" w:rsidR="008822A4" w:rsidRPr="00220AFE" w:rsidRDefault="008822A4">
      <w:pPr>
        <w:pStyle w:val="TMGBullet"/>
      </w:pPr>
      <w:r w:rsidRPr="00220AFE">
        <w:t>Look for locations along the facility where a poll, tree, or other structure might be able to serve as part of the counter installation (short-term counts only)</w:t>
      </w:r>
    </w:p>
    <w:p w14:paraId="3EF0DE87" w14:textId="77777777" w:rsidR="008822A4" w:rsidRPr="00855E7E" w:rsidRDefault="008822A4" w:rsidP="006A044D">
      <w:pPr>
        <w:pStyle w:val="BodyText"/>
        <w:spacing w:after="60"/>
      </w:pPr>
      <w:r w:rsidRPr="00855E7E">
        <w:t>Non-intrusive sensors come with many of the same requirements as above.</w:t>
      </w:r>
    </w:p>
    <w:p w14:paraId="3995B484" w14:textId="08C24DB5" w:rsidR="006A044D" w:rsidRDefault="008822A4" w:rsidP="00A35EAF">
      <w:pPr>
        <w:pStyle w:val="BodyText"/>
      </w:pPr>
      <w:r w:rsidRPr="00855E7E">
        <w:t>Finally, selecting locations that allow collection of ramp lanes in addition to the mainline lanes reduces the number of separate lane counts.</w:t>
      </w:r>
      <w:r w:rsidR="004D4172">
        <w:t xml:space="preserve"> </w:t>
      </w:r>
      <w:r w:rsidRPr="00855E7E">
        <w:t>However, consideration should be given to data quality issues of such locations due to the potential for more congested conditions, slower speeds and lane changing within interchange areas.</w:t>
      </w:r>
    </w:p>
    <w:p w14:paraId="212BBE25" w14:textId="77777777" w:rsidR="006A044D" w:rsidRDefault="006A044D">
      <w:pPr>
        <w:widowControl/>
        <w:suppressAutoHyphens w:val="0"/>
        <w:autoSpaceDE/>
        <w:autoSpaceDN/>
        <w:adjustRightInd/>
        <w:spacing w:line="259" w:lineRule="auto"/>
        <w:jc w:val="left"/>
        <w:textAlignment w:val="auto"/>
        <w:rPr>
          <w:color w:val="auto"/>
        </w:rPr>
      </w:pPr>
      <w:r>
        <w:br w:type="page"/>
      </w:r>
    </w:p>
    <w:p w14:paraId="3F3AECC4" w14:textId="1C828D2C" w:rsidR="008822A4" w:rsidRPr="00BB182A" w:rsidRDefault="008822A4" w:rsidP="00A35EAF">
      <w:pPr>
        <w:pStyle w:val="BodyText"/>
        <w:rPr>
          <w:rStyle w:val="Strong"/>
          <w:rFonts w:ascii="Cambria" w:hAnsi="Cambria"/>
          <w:sz w:val="22"/>
          <w:szCs w:val="22"/>
        </w:rPr>
      </w:pPr>
      <w:r w:rsidRPr="00BB182A">
        <w:rPr>
          <w:rStyle w:val="Strong"/>
          <w:rFonts w:ascii="Cambria" w:hAnsi="Cambria"/>
          <w:sz w:val="22"/>
          <w:szCs w:val="22"/>
        </w:rPr>
        <w:lastRenderedPageBreak/>
        <w:t>Additional Considerations for WIM Site Locations</w:t>
      </w:r>
    </w:p>
    <w:p w14:paraId="5299F99D" w14:textId="576E9A43" w:rsidR="008822A4" w:rsidRPr="00855E7E" w:rsidRDefault="008822A4" w:rsidP="003B0722">
      <w:pPr>
        <w:pStyle w:val="BodyText"/>
      </w:pPr>
      <w:r w:rsidRPr="00855E7E">
        <w:t xml:space="preserve">States should place WIM equipment only in pavements that allow for accurate vehicle weighing. An excellent reference for WIM site requirements is </w:t>
      </w:r>
      <w:bookmarkStart w:id="782" w:name="_Hlk113952471"/>
      <w:bookmarkStart w:id="783" w:name="_Hlk76052759"/>
      <w:r w:rsidRPr="00855E7E">
        <w:rPr>
          <w:i/>
          <w:iCs/>
        </w:rPr>
        <w:t>ASTM Standard E-1318-09</w:t>
      </w:r>
      <w:r w:rsidR="00FC1969">
        <w:rPr>
          <w:i/>
          <w:iCs/>
        </w:rPr>
        <w:t xml:space="preserve"> </w:t>
      </w:r>
      <w:r w:rsidRPr="00855E7E">
        <w:rPr>
          <w:i/>
          <w:iCs/>
        </w:rPr>
        <w:t>Highway Weigh-in-Motion (WIM) Systems with User Requirements and Test Method</w:t>
      </w:r>
      <w:r w:rsidR="00FC1969">
        <w:rPr>
          <w:i/>
          <w:iCs/>
        </w:rPr>
        <w:t xml:space="preserve"> (ASTM 2017)</w:t>
      </w:r>
      <w:r w:rsidRPr="00855E7E">
        <w:t xml:space="preserve">. </w:t>
      </w:r>
      <w:bookmarkEnd w:id="782"/>
      <w:r w:rsidRPr="00855E7E">
        <w:t xml:space="preserve">Another excellent source is the </w:t>
      </w:r>
      <w:r w:rsidRPr="00855E7E">
        <w:rPr>
          <w:i/>
        </w:rPr>
        <w:t>FHWA WIM Pocket Guide</w:t>
      </w:r>
      <w:bookmarkEnd w:id="783"/>
      <w:r w:rsidR="00FC1969">
        <w:rPr>
          <w:i/>
        </w:rPr>
        <w:t xml:space="preserve"> (FHWA 2018)</w:t>
      </w:r>
      <w:r w:rsidRPr="00855E7E">
        <w:t xml:space="preserve">. In addition to general traffic monitoring site characteristics listed in the above section, all WIM sites should have the following </w:t>
      </w:r>
      <w:r w:rsidRPr="003B0722">
        <w:t>characteristics</w:t>
      </w:r>
      <w:r w:rsidRPr="00855E7E">
        <w:t xml:space="preserve">: </w:t>
      </w:r>
    </w:p>
    <w:p w14:paraId="7809D0C7" w14:textId="77777777" w:rsidR="008822A4" w:rsidRPr="00220AFE" w:rsidRDefault="008822A4">
      <w:pPr>
        <w:pStyle w:val="TMGBullet"/>
      </w:pPr>
      <w:r w:rsidRPr="00220AFE">
        <w:t>Sufficient truck volumes present at the roadway being monitored.</w:t>
      </w:r>
    </w:p>
    <w:p w14:paraId="2B9B4CD8" w14:textId="77777777" w:rsidR="008822A4" w:rsidRPr="00220AFE" w:rsidRDefault="008822A4">
      <w:pPr>
        <w:pStyle w:val="TMGBullet"/>
      </w:pPr>
      <w:r w:rsidRPr="00220AFE">
        <w:t>Proximity of certified static scales(optional).</w:t>
      </w:r>
    </w:p>
    <w:p w14:paraId="7FDFB954" w14:textId="77777777" w:rsidR="008822A4" w:rsidRPr="00220AFE" w:rsidRDefault="008822A4">
      <w:pPr>
        <w:pStyle w:val="TMGBullet"/>
      </w:pPr>
      <w:r w:rsidRPr="00220AFE">
        <w:t>Avoidance of weigh stations or nearby enforcement activities influencing truck composition.</w:t>
      </w:r>
    </w:p>
    <w:p w14:paraId="44D5DAEE" w14:textId="1B4D9963" w:rsidR="008822A4" w:rsidRPr="00220AFE" w:rsidRDefault="008822A4">
      <w:pPr>
        <w:pStyle w:val="TMGBullet"/>
      </w:pPr>
      <w:r w:rsidRPr="00220AFE">
        <w:t>Straight and flat road segment (in all planes) with cross slope and grade 1% or less and good quality smooth pavement (at least 300 to 400 feet before and 100 feet after the sensor, depending on highway speed</w:t>
      </w:r>
      <w:r w:rsidR="00351122">
        <w:t>)</w:t>
      </w:r>
      <w:r w:rsidRPr="00220AFE">
        <w:t xml:space="preserve">; for additional details see </w:t>
      </w:r>
      <w:bookmarkStart w:id="784" w:name="_Hlk76052789"/>
      <w:r w:rsidR="00351122">
        <w:rPr>
          <w:i/>
          <w:iCs/>
        </w:rPr>
        <w:t>WIM Pocket Guide</w:t>
      </w:r>
      <w:r w:rsidRPr="0047629D">
        <w:rPr>
          <w:i/>
          <w:iCs/>
        </w:rPr>
        <w:t>, Part I</w:t>
      </w:r>
      <w:bookmarkEnd w:id="784"/>
      <w:r w:rsidR="00351122">
        <w:t xml:space="preserve"> (FHWA 2018)</w:t>
      </w:r>
      <w:r w:rsidRPr="00220AFE">
        <w:t>.</w:t>
      </w:r>
    </w:p>
    <w:p w14:paraId="5B3CA969" w14:textId="77777777" w:rsidR="008822A4" w:rsidRPr="00220AFE" w:rsidRDefault="008822A4">
      <w:pPr>
        <w:pStyle w:val="TMGBullet"/>
      </w:pPr>
      <w:r w:rsidRPr="00220AFE">
        <w:t>Smooth pavement that is in good structural condition with enough strength to adequately support axle weight sensors (it is desirable for the sensor to be installed in the first 1/3 of Asphalt Cement or Portland Cement Concrete</w:t>
      </w:r>
      <w:r w:rsidRPr="00220AFE" w:rsidDel="008D60F7">
        <w:t xml:space="preserve"> </w:t>
      </w:r>
      <w:r w:rsidRPr="00220AFE">
        <w:t>layer thickness).</w:t>
      </w:r>
    </w:p>
    <w:p w14:paraId="413C0FE4" w14:textId="4920EEE8" w:rsidR="008822A4" w:rsidRPr="00220AFE" w:rsidRDefault="008822A4">
      <w:pPr>
        <w:pStyle w:val="TMGBullet"/>
      </w:pPr>
      <w:r w:rsidRPr="00220AFE">
        <w:t>Pavement should not be scheduled for resurfacing or other maintenance or rehabilitation activity before the end of the expected WIM data collection period.</w:t>
      </w:r>
    </w:p>
    <w:p w14:paraId="383A6323" w14:textId="77777777" w:rsidR="008822A4" w:rsidRPr="00220AFE" w:rsidRDefault="008822A4">
      <w:pPr>
        <w:pStyle w:val="TMGBullet"/>
      </w:pPr>
      <w:r w:rsidRPr="00220AFE">
        <w:t>The ability to perform calibration of the scales, including a turnaround (one loop of the test vehicle) for test trucks that takes less than 20-30 minutes to complete.</w:t>
      </w:r>
    </w:p>
    <w:p w14:paraId="32FA103B" w14:textId="0F7A09B5" w:rsidR="008822A4" w:rsidRPr="00220AFE" w:rsidRDefault="008822A4">
      <w:pPr>
        <w:pStyle w:val="TMGBullet"/>
      </w:pPr>
      <w:r w:rsidRPr="00220AFE">
        <w:t xml:space="preserve">It is important to have constant vehicle speed for WIM (which limits the use of WIM equipment in many urban and suburban areas where routine congestion occurs) primarily because deceleration and acceleration causes shifts in load from one set of axles to another and creates a dynamic rocking of the vehicle front to back, leading to increased weighing errors. </w:t>
      </w:r>
    </w:p>
    <w:p w14:paraId="3E4D6B18" w14:textId="57D32CE9" w:rsidR="008822A4" w:rsidRPr="00F468E1" w:rsidRDefault="008822A4">
      <w:pPr>
        <w:pStyle w:val="Heading3"/>
      </w:pPr>
      <w:bookmarkStart w:id="785" w:name="_Toc52785405"/>
      <w:bookmarkStart w:id="786" w:name="_Toc63428133"/>
      <w:bookmarkStart w:id="787" w:name="_Toc118205594"/>
      <w:r w:rsidRPr="00F468E1">
        <w:t>Sensor Layout and Configuration for Motorized Vehicle Detection</w:t>
      </w:r>
      <w:bookmarkEnd w:id="785"/>
      <w:bookmarkEnd w:id="786"/>
      <w:bookmarkEnd w:id="787"/>
    </w:p>
    <w:bookmarkStart w:id="788" w:name="_Hlk44591376"/>
    <w:p w14:paraId="3B125262" w14:textId="63395765" w:rsidR="008822A4" w:rsidRPr="00855E7E" w:rsidRDefault="00E26EBD" w:rsidP="00A35EAF">
      <w:pPr>
        <w:pStyle w:val="BodyText"/>
      </w:pPr>
      <w:r>
        <w:fldChar w:fldCharType="begin"/>
      </w:r>
      <w:r>
        <w:instrText xml:space="preserve"> REF _Ref114752038 \h </w:instrText>
      </w:r>
      <w:r>
        <w:fldChar w:fldCharType="separate"/>
      </w:r>
      <w:r w:rsidR="00C07DF9" w:rsidRPr="007679D4">
        <w:t xml:space="preserve">Figure </w:t>
      </w:r>
      <w:r w:rsidR="00C07DF9">
        <w:rPr>
          <w:noProof/>
        </w:rPr>
        <w:t>2</w:t>
      </w:r>
      <w:r w:rsidR="00C07DF9">
        <w:noBreakHyphen/>
      </w:r>
      <w:r w:rsidR="00C07DF9">
        <w:rPr>
          <w:noProof/>
        </w:rPr>
        <w:t>4</w:t>
      </w:r>
      <w:r>
        <w:fldChar w:fldCharType="end"/>
      </w:r>
      <w:r w:rsidR="00B36D3C">
        <w:t xml:space="preserve"> through </w:t>
      </w:r>
      <w:r>
        <w:fldChar w:fldCharType="begin"/>
      </w:r>
      <w:r>
        <w:instrText xml:space="preserve"> REF _Ref114752045 \h </w:instrText>
      </w:r>
      <w:r>
        <w:fldChar w:fldCharType="separate"/>
      </w:r>
      <w:r w:rsidR="00C07DF9" w:rsidRPr="00E049F5">
        <w:t xml:space="preserve">Figure </w:t>
      </w:r>
      <w:r w:rsidR="00C07DF9">
        <w:rPr>
          <w:noProof/>
        </w:rPr>
        <w:t>2</w:t>
      </w:r>
      <w:r w:rsidR="00C07DF9" w:rsidRPr="00E049F5">
        <w:noBreakHyphen/>
      </w:r>
      <w:r w:rsidR="00C07DF9">
        <w:rPr>
          <w:noProof/>
        </w:rPr>
        <w:t>9</w:t>
      </w:r>
      <w:r>
        <w:fldChar w:fldCharType="end"/>
      </w:r>
      <w:r w:rsidR="008822A4" w:rsidRPr="00855E7E">
        <w:t xml:space="preserve"> provide examples of recommended sensor layouts for intrusive sensors to monitor motorized traffic.</w:t>
      </w:r>
    </w:p>
    <w:p w14:paraId="6F0F6E63" w14:textId="77777777" w:rsidR="00220AFE" w:rsidRDefault="00220AFE" w:rsidP="00A35EAF">
      <w:pPr>
        <w:pStyle w:val="BodyText"/>
      </w:pPr>
      <w:bookmarkStart w:id="789" w:name="_Toc52785406"/>
      <w:bookmarkStart w:id="790" w:name="_Toc34764869"/>
      <w:r>
        <w:br w:type="page"/>
      </w:r>
    </w:p>
    <w:p w14:paraId="7456B899" w14:textId="4FF46D3C" w:rsidR="008822A4" w:rsidRPr="006A044D" w:rsidRDefault="008822A4" w:rsidP="00A35EAF">
      <w:pPr>
        <w:pStyle w:val="BodyText"/>
        <w:rPr>
          <w:rFonts w:ascii="Cambria" w:hAnsi="Cambria"/>
          <w:i/>
          <w:iCs/>
          <w:sz w:val="22"/>
          <w:szCs w:val="22"/>
        </w:rPr>
      </w:pPr>
      <w:r w:rsidRPr="006A044D">
        <w:rPr>
          <w:rFonts w:ascii="Cambria" w:hAnsi="Cambria"/>
          <w:i/>
          <w:iCs/>
          <w:sz w:val="22"/>
          <w:szCs w:val="22"/>
        </w:rPr>
        <w:lastRenderedPageBreak/>
        <w:t>Loop Layout and Configuration</w:t>
      </w:r>
      <w:bookmarkEnd w:id="789"/>
      <w:bookmarkEnd w:id="790"/>
    </w:p>
    <w:p w14:paraId="5A5BC653" w14:textId="77777777" w:rsidR="008822A4" w:rsidRPr="00855E7E" w:rsidRDefault="008822A4" w:rsidP="002C1B45">
      <w:pPr>
        <w:keepNext/>
        <w:spacing w:line="256" w:lineRule="auto"/>
        <w:ind w:left="90"/>
        <w:jc w:val="center"/>
        <w:rPr>
          <w:noProof/>
          <w:color w:val="auto"/>
        </w:rPr>
      </w:pPr>
      <w:r w:rsidRPr="00855E7E">
        <w:rPr>
          <w:noProof/>
          <w:color w:val="auto"/>
        </w:rPr>
        <w:drawing>
          <wp:inline distT="0" distB="0" distL="0" distR="0" wp14:anchorId="3FDABDEF" wp14:editId="05807DAD">
            <wp:extent cx="5048250" cy="5785532"/>
            <wp:effectExtent l="0" t="0" r="0" b="0"/>
            <wp:docPr id="17" name="Picture 17" descr="Schematic top down view of a dual loop traffic sensor array for a two lane roadway.  Each lane has a two loop sensors centered in each lane for a length class sensor array that are spaced with a 12’ to 16’ leading edge to leading edge. Each loop is 6' by 8' (wide) in the lane.  On the roadside is shown blocks for a power source if AC powered or solar powered boxes represent either powering method.  There are 1 ½” conduits for the loop conduits to the pull box and a 2” conduit from the pull box to the main controller cabinet.  For communications a telephone drop if not telemetry is listed.  Between both sides of the road a dashed line shows a in ground conduit between pull boxes.  Pre-drilled holes are shown on the loop cor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Schematic top down view of a dual loop traffic sensor array for a two lane roadway.  Each lane has a two loop sensors centered in each lane for a length class sensor array that are spaced with a 12’ to 16’ leading edge to leading edge. Each loop is 6' by 8' (wide) in the lane.  On the roadside is shown blocks for a power source if AC powered or solar powered boxes represent either powering method.  There are 1 ½” conduits for the loop conduits to the pull box and a 2” conduit from the pull box to the main controller cabinet.  For communications a telephone drop if not telemetry is listed.  Between both sides of the road a dashed line shows a in ground conduit between pull boxes.  Pre-drilled holes are shown on the loop corners."/>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049519" cy="5786986"/>
                    </a:xfrm>
                    <a:prstGeom prst="rect">
                      <a:avLst/>
                    </a:prstGeom>
                    <a:noFill/>
                    <a:ln>
                      <a:noFill/>
                    </a:ln>
                  </pic:spPr>
                </pic:pic>
              </a:graphicData>
            </a:graphic>
          </wp:inline>
        </w:drawing>
      </w:r>
    </w:p>
    <w:p w14:paraId="215B151D" w14:textId="6B4FC1ED" w:rsidR="008822A4" w:rsidRPr="00855E7E" w:rsidRDefault="008822A4" w:rsidP="0010467B">
      <w:pPr>
        <w:pStyle w:val="Source"/>
        <w:ind w:left="1350"/>
      </w:pPr>
      <w:r>
        <w:t>Source:</w:t>
      </w:r>
      <w:r w:rsidR="0061163F">
        <w:t xml:space="preserve"> </w:t>
      </w:r>
      <w:r>
        <w:t xml:space="preserve"> Federal Highway Administration.</w:t>
      </w:r>
    </w:p>
    <w:p w14:paraId="77112458" w14:textId="7F2F8F54" w:rsidR="006A044D" w:rsidRPr="007679D4" w:rsidRDefault="006A044D" w:rsidP="006A044D">
      <w:pPr>
        <w:pStyle w:val="TMGFigureCaption"/>
      </w:pPr>
      <w:bookmarkStart w:id="791" w:name="_Ref114752038"/>
      <w:bookmarkStart w:id="792" w:name="_Toc63428099"/>
      <w:bookmarkStart w:id="793" w:name="_Toc114474782"/>
      <w:bookmarkStart w:id="794" w:name="_Toc120626557"/>
      <w:r w:rsidRPr="007679D4">
        <w:t xml:space="preserve">Figure </w:t>
      </w:r>
      <w:fldSimple w:instr=" STYLEREF 1 \s ">
        <w:r w:rsidR="00C07DF9">
          <w:rPr>
            <w:noProof/>
          </w:rPr>
          <w:t>2</w:t>
        </w:r>
      </w:fldSimple>
      <w:r>
        <w:noBreakHyphen/>
      </w:r>
      <w:fldSimple w:instr=" SEQ Figure \* ARABIC \s 1 ">
        <w:r w:rsidR="00C07DF9">
          <w:rPr>
            <w:noProof/>
          </w:rPr>
          <w:t>4</w:t>
        </w:r>
      </w:fldSimple>
      <w:bookmarkEnd w:id="791"/>
      <w:r w:rsidR="00E26EBD">
        <w:t>.</w:t>
      </w:r>
      <w:r w:rsidRPr="007679D4">
        <w:t xml:space="preserve"> Example of Loop Sensor Layout</w:t>
      </w:r>
      <w:bookmarkEnd w:id="792"/>
      <w:bookmarkEnd w:id="793"/>
      <w:bookmarkEnd w:id="794"/>
    </w:p>
    <w:p w14:paraId="162CEE2C" w14:textId="77777777" w:rsidR="008822A4" w:rsidRPr="006A044D" w:rsidRDefault="008822A4" w:rsidP="006A044D">
      <w:pPr>
        <w:pStyle w:val="BodyText"/>
        <w:rPr>
          <w:rFonts w:ascii="Cambria" w:hAnsi="Cambria"/>
          <w:i/>
          <w:iCs/>
          <w:sz w:val="22"/>
          <w:szCs w:val="22"/>
        </w:rPr>
      </w:pPr>
      <w:bookmarkStart w:id="795" w:name="_Toc52785407"/>
      <w:bookmarkStart w:id="796" w:name="_Toc34764870"/>
      <w:bookmarkStart w:id="797" w:name="_Toc27479753"/>
      <w:bookmarkStart w:id="798" w:name="_Hlk31211587"/>
      <w:r w:rsidRPr="00F468E1">
        <w:rPr>
          <w:rFonts w:asciiTheme="minorHAnsi" w:hAnsiTheme="minorHAnsi" w:cstheme="minorHAnsi"/>
          <w:i/>
          <w:iCs/>
          <w:sz w:val="24"/>
          <w:szCs w:val="24"/>
        </w:rPr>
        <w:br w:type="page"/>
      </w:r>
      <w:r w:rsidRPr="006A044D">
        <w:rPr>
          <w:rFonts w:ascii="Cambria" w:hAnsi="Cambria"/>
          <w:i/>
          <w:iCs/>
          <w:sz w:val="22"/>
          <w:szCs w:val="22"/>
        </w:rPr>
        <w:lastRenderedPageBreak/>
        <w:t>Line Axle Sensor Layout and Configuration</w:t>
      </w:r>
      <w:bookmarkEnd w:id="795"/>
      <w:bookmarkEnd w:id="796"/>
      <w:bookmarkEnd w:id="797"/>
    </w:p>
    <w:p w14:paraId="1CF5826E" w14:textId="77777777" w:rsidR="008822A4" w:rsidRPr="00855E7E" w:rsidRDefault="008822A4" w:rsidP="00E049F5">
      <w:pPr>
        <w:keepNext/>
        <w:spacing w:line="256" w:lineRule="auto"/>
        <w:jc w:val="center"/>
        <w:rPr>
          <w:color w:val="auto"/>
        </w:rPr>
      </w:pPr>
      <w:bookmarkStart w:id="799" w:name="_Toc52785409"/>
      <w:bookmarkEnd w:id="799"/>
      <w:r w:rsidRPr="00855E7E">
        <w:rPr>
          <w:noProof/>
          <w:color w:val="auto"/>
        </w:rPr>
        <w:drawing>
          <wp:inline distT="0" distB="0" distL="0" distR="0" wp14:anchorId="5990C455" wp14:editId="2509A6F5">
            <wp:extent cx="5133340" cy="5917072"/>
            <wp:effectExtent l="0" t="0" r="0" b="7620"/>
            <wp:docPr id="16" name="Picture 16" descr="Schematic top down view of a dual piezo traffic sensor array for a two lane roadway.  Each lane has two piezo sensors centered in each lane for an axle class sensor array that are spaced with a 12’ to 16’ leading edge to leading edge distance. Each loop is 6' by 8' (wide) in the lane.  On the roadside is shown blocks for a power source if AC powered or solar powered boxes represent either powering method.  There are 1 ½” conduits for the piezo cable conduits to the pull box and a 2” conduit from the pull box to the main controller cabinet.  For communications a telephone drop if not telemetry is listed.  Between both sides of the road a dashed line shows an in-ground conduit between pull box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Schematic top down view of a dual piezo traffic sensor array for a two lane roadway.  Each lane has two piezo sensors centered in each lane for an axle class sensor array that are spaced with a 12’ to 16’ leading edge to leading edge distance. Each loop is 6' by 8' (wide) in the lane.  On the roadside is shown blocks for a power source if AC powered or solar powered boxes represent either powering method.  There are 1 ½” conduits for the piezo cable conduits to the pull box and a 2” conduit from the pull box to the main controller cabinet.  For communications a telephone drop if not telemetry is listed.  Between both sides of the road a dashed line shows an in-ground conduit between pull boxes.  "/>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a:stretch/>
                  </pic:blipFill>
                  <pic:spPr bwMode="auto">
                    <a:xfrm>
                      <a:off x="0" y="0"/>
                      <a:ext cx="5137039" cy="5921336"/>
                    </a:xfrm>
                    <a:prstGeom prst="rect">
                      <a:avLst/>
                    </a:prstGeom>
                    <a:noFill/>
                    <a:ln>
                      <a:noFill/>
                    </a:ln>
                    <a:extLst>
                      <a:ext uri="{53640926-AAD7-44D8-BBD7-CCE9431645EC}">
                        <a14:shadowObscured xmlns:a14="http://schemas.microsoft.com/office/drawing/2010/main"/>
                      </a:ext>
                    </a:extLst>
                  </pic:spPr>
                </pic:pic>
              </a:graphicData>
            </a:graphic>
          </wp:inline>
        </w:drawing>
      </w:r>
    </w:p>
    <w:p w14:paraId="475D291D" w14:textId="6DCF990B" w:rsidR="008822A4" w:rsidRPr="00855E7E" w:rsidRDefault="008822A4" w:rsidP="00E049F5">
      <w:pPr>
        <w:pStyle w:val="Source"/>
        <w:ind w:left="810"/>
      </w:pPr>
      <w:r>
        <w:t>Source:</w:t>
      </w:r>
      <w:r w:rsidR="0061163F">
        <w:t xml:space="preserve"> </w:t>
      </w:r>
      <w:r>
        <w:t xml:space="preserve"> Federal Highway Administration.</w:t>
      </w:r>
    </w:p>
    <w:p w14:paraId="6ED5EE07" w14:textId="324E1196" w:rsidR="00E049F5" w:rsidRPr="00E049F5" w:rsidRDefault="00E049F5" w:rsidP="00E049F5">
      <w:pPr>
        <w:pStyle w:val="TMGFigureCaption"/>
      </w:pPr>
      <w:bookmarkStart w:id="800" w:name="_Toc63428100"/>
      <w:bookmarkStart w:id="801" w:name="_Toc114474783"/>
      <w:bookmarkStart w:id="802" w:name="_Toc120626558"/>
      <w:r w:rsidRPr="00E049F5">
        <w:t xml:space="preserve">Figure </w:t>
      </w:r>
      <w:fldSimple w:instr=" STYLEREF 1 \s ">
        <w:r w:rsidR="00C07DF9">
          <w:rPr>
            <w:noProof/>
          </w:rPr>
          <w:t>2</w:t>
        </w:r>
      </w:fldSimple>
      <w:r w:rsidRPr="00E049F5">
        <w:noBreakHyphen/>
      </w:r>
      <w:fldSimple w:instr=" SEQ Figure \* ARABIC \s 1 ">
        <w:r w:rsidR="00C07DF9">
          <w:rPr>
            <w:noProof/>
          </w:rPr>
          <w:t>5</w:t>
        </w:r>
      </w:fldSimple>
      <w:r w:rsidR="00E26EBD">
        <w:t>.</w:t>
      </w:r>
      <w:r w:rsidRPr="00E049F5">
        <w:t xml:space="preserve"> Example </w:t>
      </w:r>
      <w:r>
        <w:t>o</w:t>
      </w:r>
      <w:r w:rsidRPr="00E049F5">
        <w:t>f Piezo Sensor Layout</w:t>
      </w:r>
      <w:bookmarkEnd w:id="800"/>
      <w:bookmarkEnd w:id="801"/>
      <w:bookmarkEnd w:id="802"/>
    </w:p>
    <w:p w14:paraId="1210269B" w14:textId="77777777" w:rsidR="008822A4" w:rsidRPr="006A044D" w:rsidRDefault="008822A4" w:rsidP="006A044D">
      <w:pPr>
        <w:pStyle w:val="BodyText"/>
        <w:rPr>
          <w:rFonts w:ascii="Cambria" w:hAnsi="Cambria"/>
          <w:i/>
          <w:iCs/>
          <w:sz w:val="22"/>
          <w:szCs w:val="22"/>
        </w:rPr>
      </w:pPr>
      <w:bookmarkStart w:id="803" w:name="_Toc52785410"/>
      <w:bookmarkStart w:id="804" w:name="_Toc34764871"/>
      <w:bookmarkStart w:id="805" w:name="_Toc27479754"/>
      <w:r w:rsidRPr="00F468E1">
        <w:rPr>
          <w:rFonts w:asciiTheme="minorHAnsi" w:hAnsiTheme="minorHAnsi" w:cstheme="minorHAnsi"/>
          <w:i/>
          <w:iCs/>
          <w:sz w:val="24"/>
          <w:szCs w:val="24"/>
        </w:rPr>
        <w:br w:type="page"/>
      </w:r>
      <w:r w:rsidRPr="006A044D">
        <w:rPr>
          <w:rFonts w:ascii="Cambria" w:hAnsi="Cambria"/>
          <w:i/>
          <w:iCs/>
          <w:sz w:val="22"/>
          <w:szCs w:val="22"/>
        </w:rPr>
        <w:lastRenderedPageBreak/>
        <w:t>Loop and Piezo Layout and Configuration</w:t>
      </w:r>
      <w:bookmarkEnd w:id="803"/>
      <w:bookmarkEnd w:id="804"/>
      <w:bookmarkEnd w:id="805"/>
    </w:p>
    <w:p w14:paraId="3997925E" w14:textId="77777777" w:rsidR="008822A4" w:rsidRPr="00855E7E" w:rsidRDefault="008822A4" w:rsidP="001A0245">
      <w:pPr>
        <w:keepNext/>
        <w:ind w:left="630"/>
        <w:rPr>
          <w:rFonts w:eastAsia="Calibri"/>
          <w:color w:val="auto"/>
          <w:szCs w:val="22"/>
          <w:highlight w:val="magenta"/>
        </w:rPr>
      </w:pPr>
      <w:r w:rsidRPr="00855E7E">
        <w:rPr>
          <w:noProof/>
          <w:color w:val="auto"/>
        </w:rPr>
        <w:drawing>
          <wp:inline distT="0" distB="0" distL="0" distR="0" wp14:anchorId="30B0D406" wp14:editId="607CF204">
            <wp:extent cx="5541099" cy="6387042"/>
            <wp:effectExtent l="0" t="0" r="0" b="0"/>
            <wp:docPr id="14" name="Picture 14" descr="Schematic top down view of a dual piezo single loop traffic sensor array for a two lane roadway.  Each lane has two piezo sensors centered in each lane for an axle class sensor array that are spaced with a 12’ to 16’ leading edge to leading edge distance. Each loop is 6' by 8' (wide) in the lane.  On the roadside is shown blocks for a power source if AC powered or solar powered boxes represent either powering method.  There are 1 ½” conduits for the piezo cable conduits to the pull box and a 2” conduit from the pull box to the main controller cabinet.  For communications a telephone drop if not telemetry is listed.  Between both sides of the road a dashed line shows an in-ground conduit between pull boxes.  Each loop is 6' by 8' (wide) and is centered in the lane.  Pre-drilled holes are shown on the loop cor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Schematic top down view of a dual piezo single loop traffic sensor array for a two lane roadway.  Each lane has two piezo sensors centered in each lane for an axle class sensor array that are spaced with a 12’ to 16’ leading edge to leading edge distance. Each loop is 6' by 8' (wide) in the lane.  On the roadside is shown blocks for a power source if AC powered or solar powered boxes represent either powering method.  There are 1 ½” conduits for the piezo cable conduits to the pull box and a 2” conduit from the pull box to the main controller cabinet.  For communications a telephone drop if not telemetry is listed.  Between both sides of the road a dashed line shows an in-ground conduit between pull boxes.  Each loop is 6' by 8' (wide) and is centered in the lane.  Pre-drilled holes are shown on the loop corners."/>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400" b="-1"/>
                    <a:stretch/>
                  </pic:blipFill>
                  <pic:spPr bwMode="auto">
                    <a:xfrm>
                      <a:off x="0" y="0"/>
                      <a:ext cx="5544030" cy="6390421"/>
                    </a:xfrm>
                    <a:prstGeom prst="rect">
                      <a:avLst/>
                    </a:prstGeom>
                    <a:noFill/>
                    <a:ln>
                      <a:noFill/>
                    </a:ln>
                    <a:extLst>
                      <a:ext uri="{53640926-AAD7-44D8-BBD7-CCE9431645EC}">
                        <a14:shadowObscured xmlns:a14="http://schemas.microsoft.com/office/drawing/2010/main"/>
                      </a:ext>
                    </a:extLst>
                  </pic:spPr>
                </pic:pic>
              </a:graphicData>
            </a:graphic>
          </wp:inline>
        </w:drawing>
      </w:r>
    </w:p>
    <w:p w14:paraId="001EB223" w14:textId="502F2877" w:rsidR="008822A4" w:rsidRDefault="008822A4" w:rsidP="001A0245">
      <w:pPr>
        <w:pStyle w:val="Source"/>
        <w:ind w:left="990"/>
      </w:pPr>
      <w:r>
        <w:t>Source:</w:t>
      </w:r>
      <w:r w:rsidR="0061163F">
        <w:t xml:space="preserve"> </w:t>
      </w:r>
      <w:r>
        <w:t xml:space="preserve"> Federal Highway Administration.</w:t>
      </w:r>
    </w:p>
    <w:p w14:paraId="2735C4FE" w14:textId="10DBCE76" w:rsidR="006A044D" w:rsidRPr="00E049F5" w:rsidRDefault="006A044D" w:rsidP="00E049F5">
      <w:pPr>
        <w:pStyle w:val="TMGFigureCaption"/>
        <w:rPr>
          <w:rFonts w:eastAsia="Calibri"/>
        </w:rPr>
      </w:pPr>
      <w:bookmarkStart w:id="806" w:name="_Toc63428101"/>
      <w:bookmarkStart w:id="807" w:name="_Toc114474784"/>
      <w:bookmarkStart w:id="808" w:name="_Toc120626559"/>
      <w:r w:rsidRPr="00E049F5">
        <w:t xml:space="preserve">Figure </w:t>
      </w:r>
      <w:fldSimple w:instr=" STYLEREF 1 \s ">
        <w:r w:rsidR="00C07DF9">
          <w:rPr>
            <w:noProof/>
          </w:rPr>
          <w:t>2</w:t>
        </w:r>
      </w:fldSimple>
      <w:r w:rsidRPr="00E049F5">
        <w:noBreakHyphen/>
      </w:r>
      <w:fldSimple w:instr=" SEQ Figure \* ARABIC \s 1 ">
        <w:r w:rsidR="00C07DF9">
          <w:rPr>
            <w:noProof/>
          </w:rPr>
          <w:t>6</w:t>
        </w:r>
      </w:fldSimple>
      <w:r w:rsidR="00E26EBD">
        <w:t>.</w:t>
      </w:r>
      <w:r w:rsidRPr="00E049F5">
        <w:t xml:space="preserve"> Example of Loop </w:t>
      </w:r>
      <w:r w:rsidR="00E049F5">
        <w:t>a</w:t>
      </w:r>
      <w:r w:rsidRPr="00E049F5">
        <w:t>nd Piezo Sensor Layout</w:t>
      </w:r>
      <w:bookmarkEnd w:id="806"/>
      <w:bookmarkEnd w:id="807"/>
      <w:bookmarkEnd w:id="808"/>
    </w:p>
    <w:p w14:paraId="34A4A6D5" w14:textId="77777777" w:rsidR="008822A4" w:rsidRPr="00855E7E" w:rsidRDefault="008822A4" w:rsidP="006A044D">
      <w:pPr>
        <w:widowControl/>
        <w:adjustRightInd/>
        <w:textAlignment w:val="auto"/>
        <w:rPr>
          <w:rFonts w:eastAsia="Calibri"/>
          <w:color w:val="auto"/>
          <w:highlight w:val="magenta"/>
        </w:rPr>
      </w:pPr>
      <w:r w:rsidRPr="00855E7E">
        <w:rPr>
          <w:rFonts w:eastAsia="Calibri"/>
          <w:color w:val="auto"/>
          <w:highlight w:val="magenta"/>
        </w:rPr>
        <w:br w:type="page"/>
      </w:r>
    </w:p>
    <w:p w14:paraId="2BA1031D" w14:textId="77777777" w:rsidR="008822A4" w:rsidRPr="006A044D" w:rsidRDefault="008822A4" w:rsidP="00A35EAF">
      <w:pPr>
        <w:pStyle w:val="BodyText"/>
        <w:rPr>
          <w:rFonts w:ascii="Cambria" w:hAnsi="Cambria"/>
          <w:i/>
          <w:iCs/>
          <w:sz w:val="22"/>
          <w:szCs w:val="22"/>
        </w:rPr>
      </w:pPr>
      <w:bookmarkStart w:id="809" w:name="_Hlk58250007"/>
      <w:bookmarkStart w:id="810" w:name="_Toc52785412"/>
      <w:bookmarkStart w:id="811" w:name="_Toc34764872"/>
      <w:bookmarkStart w:id="812" w:name="_Toc27479755"/>
      <w:r w:rsidRPr="006A044D">
        <w:rPr>
          <w:rFonts w:ascii="Cambria" w:hAnsi="Cambria"/>
          <w:i/>
          <w:iCs/>
          <w:sz w:val="22"/>
          <w:szCs w:val="22"/>
        </w:rPr>
        <w:lastRenderedPageBreak/>
        <w:t xml:space="preserve">Pneumatic Tube </w:t>
      </w:r>
      <w:bookmarkEnd w:id="809"/>
      <w:r w:rsidRPr="006A044D">
        <w:rPr>
          <w:rFonts w:ascii="Cambria" w:hAnsi="Cambria"/>
          <w:i/>
          <w:iCs/>
          <w:sz w:val="22"/>
          <w:szCs w:val="22"/>
        </w:rPr>
        <w:t>Layout and Configuration</w:t>
      </w:r>
      <w:bookmarkEnd w:id="810"/>
      <w:bookmarkEnd w:id="811"/>
      <w:bookmarkEnd w:id="812"/>
    </w:p>
    <w:p w14:paraId="38B7CE04" w14:textId="77777777" w:rsidR="008822A4" w:rsidRPr="00855E7E" w:rsidRDefault="008822A4" w:rsidP="002C1B45">
      <w:pPr>
        <w:keepNext/>
        <w:spacing w:line="256" w:lineRule="auto"/>
        <w:jc w:val="center"/>
        <w:rPr>
          <w:rFonts w:eastAsia="Calibri"/>
          <w:color w:val="auto"/>
          <w:szCs w:val="22"/>
          <w:highlight w:val="magenta"/>
        </w:rPr>
      </w:pPr>
      <w:bookmarkStart w:id="813" w:name="_Hlk62813870"/>
      <w:bookmarkStart w:id="814" w:name="_Toc52785414"/>
      <w:bookmarkStart w:id="815" w:name="_Toc34764873"/>
      <w:bookmarkStart w:id="816" w:name="_Toc27479756"/>
      <w:r w:rsidRPr="00855E7E">
        <w:rPr>
          <w:noProof/>
          <w:color w:val="auto"/>
        </w:rPr>
        <w:drawing>
          <wp:inline distT="0" distB="0" distL="0" distR="0" wp14:anchorId="6AC1BE30" wp14:editId="00FE27D0">
            <wp:extent cx="5538498" cy="5000625"/>
            <wp:effectExtent l="0" t="0" r="0" b="0"/>
            <wp:docPr id="113" name="Picture 113" descr="Schematic top down view of a pneumatic road tube axle traffic sensor array for a two lane roadway.  Each lane has two parallel road tubes with a 12’ to 16’ leading edge to leading edge spacing.    On the roadside is shown blocks for portable pneumatic traffic recording device that would be locked to a pole.  Additional taping locations are placed on each full lane width road tube at 3-4 intervals across the lane so as to hold down the road tube so it remains at the proper spacing and detects the axle with the proper interval.  Hold down clips or fasteners are nailed down and placed at the ends of each road tube and on the shoulder closest to the portable counter.   The far lane road tube sensors are extended in the closest lane all the way thru to the far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Schematic top down view of a pneumatic road tube axle traffic sensor array for a two lane roadway.  Each lane has two parallel road tubes with a 12’ to 16’ leading edge to leading edge spacing.    On the roadside is shown blocks for portable pneumatic traffic recording device that would be locked to a pole.  Additional taping locations are placed on each full lane width road tube at 3-4 intervals across the lane so as to hold down the road tube so it remains at the proper spacing and detects the axle with the proper interval.  Hold down clips or fasteners are nailed down and placed at the ends of each road tube and on the shoulder closest to the portable counter.   The far lane road tube sensors are extended in the closest lane all the way thru to the far side."/>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539939" cy="5001926"/>
                    </a:xfrm>
                    <a:prstGeom prst="rect">
                      <a:avLst/>
                    </a:prstGeom>
                    <a:noFill/>
                    <a:ln>
                      <a:noFill/>
                    </a:ln>
                  </pic:spPr>
                </pic:pic>
              </a:graphicData>
            </a:graphic>
          </wp:inline>
        </w:drawing>
      </w:r>
      <w:r w:rsidRPr="00855E7E">
        <w:rPr>
          <w:rFonts w:eastAsia="Calibri"/>
          <w:color w:val="auto"/>
          <w:szCs w:val="22"/>
          <w:highlight w:val="magenta"/>
        </w:rPr>
        <w:t xml:space="preserve"> </w:t>
      </w:r>
    </w:p>
    <w:p w14:paraId="7E6735CF" w14:textId="3C30459B" w:rsidR="008822A4" w:rsidRPr="00855E7E" w:rsidRDefault="008822A4" w:rsidP="0010467B">
      <w:pPr>
        <w:pStyle w:val="Source"/>
        <w:ind w:left="540"/>
      </w:pPr>
      <w:r>
        <w:t>Source:</w:t>
      </w:r>
      <w:r w:rsidR="0061163F">
        <w:t xml:space="preserve"> </w:t>
      </w:r>
      <w:r>
        <w:t xml:space="preserve"> Federal Highway Administration.</w:t>
      </w:r>
    </w:p>
    <w:p w14:paraId="7283DCFB" w14:textId="5E99ED35" w:rsidR="00E049F5" w:rsidRPr="00E049F5" w:rsidRDefault="00E049F5" w:rsidP="00E049F5">
      <w:pPr>
        <w:pStyle w:val="TMGFigureCaption"/>
        <w:rPr>
          <w:rFonts w:eastAsia="Calibri"/>
        </w:rPr>
      </w:pPr>
      <w:bookmarkStart w:id="817" w:name="_Toc63428102"/>
      <w:bookmarkStart w:id="818" w:name="_Toc114474785"/>
      <w:bookmarkStart w:id="819" w:name="_Toc120626560"/>
      <w:bookmarkEnd w:id="813"/>
      <w:r w:rsidRPr="00E049F5">
        <w:t xml:space="preserve">Figure </w:t>
      </w:r>
      <w:fldSimple w:instr=" STYLEREF 1 \s ">
        <w:r w:rsidR="00C07DF9">
          <w:rPr>
            <w:noProof/>
          </w:rPr>
          <w:t>2</w:t>
        </w:r>
      </w:fldSimple>
      <w:r w:rsidRPr="00E049F5">
        <w:noBreakHyphen/>
      </w:r>
      <w:fldSimple w:instr=" SEQ Figure \* ARABIC \s 1 ">
        <w:r w:rsidR="00C07DF9">
          <w:rPr>
            <w:noProof/>
          </w:rPr>
          <w:t>7</w:t>
        </w:r>
      </w:fldSimple>
      <w:r w:rsidR="00E26EBD">
        <w:t>.</w:t>
      </w:r>
      <w:r w:rsidRPr="00E049F5">
        <w:t xml:space="preserve"> Example of Portable Pneumatic Tube Layout</w:t>
      </w:r>
      <w:bookmarkEnd w:id="817"/>
      <w:bookmarkEnd w:id="818"/>
      <w:bookmarkEnd w:id="819"/>
    </w:p>
    <w:p w14:paraId="5888358B" w14:textId="77777777" w:rsidR="008822A4" w:rsidRPr="00855E7E" w:rsidRDefault="008822A4" w:rsidP="00E049F5">
      <w:pPr>
        <w:widowControl/>
        <w:adjustRightInd/>
        <w:textAlignment w:val="auto"/>
        <w:rPr>
          <w:rFonts w:ascii="Cambria" w:hAnsi="Cambria" w:cs="Arial"/>
          <w:i/>
          <w:iCs/>
          <w:color w:val="auto"/>
          <w:sz w:val="24"/>
          <w:szCs w:val="24"/>
        </w:rPr>
      </w:pPr>
      <w:r w:rsidRPr="00855E7E">
        <w:rPr>
          <w:rFonts w:ascii="Cambria" w:hAnsi="Cambria"/>
          <w:i/>
          <w:iCs/>
          <w:color w:val="auto"/>
          <w:sz w:val="24"/>
          <w:szCs w:val="24"/>
        </w:rPr>
        <w:br w:type="page"/>
      </w:r>
    </w:p>
    <w:p w14:paraId="12C98D17" w14:textId="4A154E1E" w:rsidR="008822A4" w:rsidRPr="00E049F5" w:rsidRDefault="008822A4" w:rsidP="00E049F5">
      <w:pPr>
        <w:rPr>
          <w:sz w:val="2"/>
          <w:szCs w:val="2"/>
        </w:rPr>
      </w:pPr>
      <w:bookmarkStart w:id="820" w:name="_Toc52785416"/>
      <w:bookmarkEnd w:id="798"/>
      <w:bookmarkEnd w:id="814"/>
      <w:bookmarkEnd w:id="815"/>
      <w:bookmarkEnd w:id="816"/>
    </w:p>
    <w:p w14:paraId="593669EB" w14:textId="2E62A406" w:rsidR="008822A4" w:rsidRDefault="009C047C" w:rsidP="008822A4">
      <w:pPr>
        <w:jc w:val="center"/>
      </w:pPr>
      <w:r w:rsidRPr="00E049F5">
        <w:rPr>
          <w:noProof/>
          <w:sz w:val="2"/>
          <w:szCs w:val="2"/>
        </w:rPr>
        <mc:AlternateContent>
          <mc:Choice Requires="wpg">
            <w:drawing>
              <wp:anchor distT="0" distB="0" distL="114300" distR="114300" simplePos="0" relativeHeight="251673600" behindDoc="0" locked="0" layoutInCell="1" allowOverlap="1" wp14:anchorId="57B92E81" wp14:editId="702C7A55">
                <wp:simplePos x="0" y="0"/>
                <wp:positionH relativeFrom="column">
                  <wp:posOffset>962167</wp:posOffset>
                </wp:positionH>
                <wp:positionV relativeFrom="paragraph">
                  <wp:posOffset>1567899</wp:posOffset>
                </wp:positionV>
                <wp:extent cx="2420998" cy="3370997"/>
                <wp:effectExtent l="0" t="0" r="36830" b="20320"/>
                <wp:wrapNone/>
                <wp:docPr id="75" name="Group 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420998" cy="3370997"/>
                          <a:chOff x="0" y="0"/>
                          <a:chExt cx="2241476" cy="3187032"/>
                        </a:xfrm>
                      </wpg:grpSpPr>
                      <wps:wsp>
                        <wps:cNvPr id="76" name="Straight Connector 76"/>
                        <wps:cNvCnPr/>
                        <wps:spPr>
                          <a:xfrm>
                            <a:off x="2235200" y="16044"/>
                            <a:ext cx="6276" cy="3165542"/>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77" name="Straight Connector 77"/>
                        <wps:cNvCnPr/>
                        <wps:spPr>
                          <a:xfrm>
                            <a:off x="0" y="0"/>
                            <a:ext cx="0" cy="3187032"/>
                          </a:xfrm>
                          <a:prstGeom prst="line">
                            <a:avLst/>
                          </a:prstGeom>
                          <a:ln w="1905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311F01FC" id="Group 75" o:spid="_x0000_s1026" alt="&quot;&quot;" style="position:absolute;margin-left:75.75pt;margin-top:123.45pt;width:190.65pt;height:265.45pt;z-index:251673600;mso-width-relative:margin;mso-height-relative:margin" coordsize="22414,31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">
                <v:line id="Straight Connector 76" o:spid="_x0000_s1027" style="position:absolute;visibility:visible;mso-wrap-style:square" from="22352,160" to="22414,31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" strokecolor="black [3200]" strokeweight="1.5pt">
                  <v:stroke joinstyle="miter"/>
                </v:line>
                <v:line id="Straight Connector 77" o:spid="_x0000_s1028" style="position:absolute;visibility:visible;mso-wrap-style:square" from="0,0" to="0,31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" strokecolor="black [3200]" strokeweight="1.5pt">
                  <v:stroke joinstyle="miter"/>
                </v:line>
              </v:group>
            </w:pict>
          </mc:Fallback>
        </mc:AlternateContent>
      </w:r>
      <w:r w:rsidR="002C1B45" w:rsidRPr="00E049F5">
        <w:rPr>
          <w:noProof/>
          <w:sz w:val="2"/>
          <w:szCs w:val="2"/>
        </w:rPr>
        <mc:AlternateContent>
          <mc:Choice Requires="wpg">
            <w:drawing>
              <wp:anchor distT="0" distB="0" distL="114300" distR="114300" simplePos="0" relativeHeight="251672576" behindDoc="0" locked="0" layoutInCell="1" allowOverlap="1" wp14:anchorId="0B4E20F9" wp14:editId="00983180">
                <wp:simplePos x="0" y="0"/>
                <wp:positionH relativeFrom="column">
                  <wp:posOffset>131445</wp:posOffset>
                </wp:positionH>
                <wp:positionV relativeFrom="paragraph">
                  <wp:posOffset>198120</wp:posOffset>
                </wp:positionV>
                <wp:extent cx="5201285" cy="6344920"/>
                <wp:effectExtent l="38100" t="0" r="0" b="0"/>
                <wp:wrapTopAndBottom/>
                <wp:docPr id="1" name="Group 1" descr="Schematic top down view of a dual pneumatic road tubes axle traffic sensor array for a two lane roadway with a portable counter on each side and a knotted road tube in the middle of a 100’ long road tube.  Each lane has two parallel road tubes with a 12’ to 16’ leading edge to leading edge spacing.    On the roadside is shown blocks for portable pneumatic traffic recording device that would be locked to a pole.  Additional taping locations are placed on each full lane width road tube at 3-4 intervals across the lane so as to hold down the road tube so it remains at the proper spacing and detects the axle with the proper interval.  Hold down clips or fasteners are nailed down and placed at the ends of each road tube and on the shoulder closest to the portable counter.   "/>
                <wp:cNvGraphicFramePr/>
                <a:graphic xmlns:a="http://schemas.openxmlformats.org/drawingml/2006/main">
                  <a:graphicData uri="http://schemas.microsoft.com/office/word/2010/wordprocessingGroup">
                    <wpg:wgp>
                      <wpg:cNvGrpSpPr/>
                      <wpg:grpSpPr>
                        <a:xfrm>
                          <a:off x="0" y="0"/>
                          <a:ext cx="5201285" cy="6344920"/>
                          <a:chOff x="0" y="0"/>
                          <a:chExt cx="4850397" cy="6016123"/>
                        </a:xfrm>
                      </wpg:grpSpPr>
                      <wps:wsp>
                        <wps:cNvPr id="2" name="Rectangle 2"/>
                        <wps:cNvSpPr/>
                        <wps:spPr>
                          <a:xfrm>
                            <a:off x="26737" y="1417052"/>
                            <a:ext cx="4099560" cy="45719"/>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Straight Arrow Connector 3"/>
                        <wps:cNvCnPr/>
                        <wps:spPr>
                          <a:xfrm flipV="1">
                            <a:off x="770689" y="1846179"/>
                            <a:ext cx="2234281" cy="8275"/>
                          </a:xfrm>
                          <a:prstGeom prst="straightConnector1">
                            <a:avLst/>
                          </a:prstGeom>
                          <a:ln>
                            <a:headEnd type="arrow" w="med" len="med"/>
                            <a:tailEnd type="arrow" w="med" len="med"/>
                          </a:ln>
                        </wps:spPr>
                        <wps:style>
                          <a:lnRef idx="1">
                            <a:schemeClr val="dk1"/>
                          </a:lnRef>
                          <a:fillRef idx="0">
                            <a:schemeClr val="dk1"/>
                          </a:fillRef>
                          <a:effectRef idx="0">
                            <a:schemeClr val="dk1"/>
                          </a:effectRef>
                          <a:fontRef idx="minor">
                            <a:schemeClr val="tx1"/>
                          </a:fontRef>
                        </wps:style>
                        <wps:bodyPr/>
                      </wps:wsp>
                      <wps:wsp>
                        <wps:cNvPr id="4" name="Text Box 4"/>
                        <wps:cNvSpPr txBox="1"/>
                        <wps:spPr>
                          <a:xfrm>
                            <a:off x="0" y="4871452"/>
                            <a:ext cx="1441450" cy="806785"/>
                          </a:xfrm>
                          <a:prstGeom prst="rect">
                            <a:avLst/>
                          </a:prstGeom>
                          <a:solidFill>
                            <a:schemeClr val="lt1"/>
                          </a:solidFill>
                          <a:ln w="15875">
                            <a:noFill/>
                          </a:ln>
                        </wps:spPr>
                        <wps:txbx>
                          <w:txbxContent>
                            <w:p w14:paraId="3AAAAA9A" w14:textId="77777777" w:rsidR="00E30324" w:rsidRPr="00563375" w:rsidRDefault="00E30324" w:rsidP="00A35EAF">
                              <w:pPr>
                                <w:pStyle w:val="BodyText"/>
                              </w:pPr>
                              <w:r>
                                <w:t>Portable counter, temporarily secured to permanent structure.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 name="Straight Connector 5"/>
                        <wps:cNvCnPr/>
                        <wps:spPr>
                          <a:xfrm flipV="1">
                            <a:off x="32084" y="4743116"/>
                            <a:ext cx="4006446" cy="0"/>
                          </a:xfrm>
                          <a:prstGeom prst="line">
                            <a:avLst/>
                          </a:prstGeom>
                          <a:ln w="6350"/>
                        </wps:spPr>
                        <wps:style>
                          <a:lnRef idx="1">
                            <a:schemeClr val="dk1"/>
                          </a:lnRef>
                          <a:fillRef idx="0">
                            <a:schemeClr val="dk1"/>
                          </a:fillRef>
                          <a:effectRef idx="0">
                            <a:schemeClr val="dk1"/>
                          </a:effectRef>
                          <a:fontRef idx="minor">
                            <a:schemeClr val="tx1"/>
                          </a:fontRef>
                        </wps:style>
                        <wps:bodyPr/>
                      </wps:wsp>
                      <wps:wsp>
                        <wps:cNvPr id="7" name="Text Box 7"/>
                        <wps:cNvSpPr txBox="1"/>
                        <wps:spPr>
                          <a:xfrm>
                            <a:off x="5347" y="4449010"/>
                            <a:ext cx="597084" cy="253497"/>
                          </a:xfrm>
                          <a:prstGeom prst="rect">
                            <a:avLst/>
                          </a:prstGeom>
                          <a:solidFill>
                            <a:schemeClr val="lt1"/>
                          </a:solidFill>
                          <a:ln w="15875">
                            <a:noFill/>
                          </a:ln>
                        </wps:spPr>
                        <wps:txbx>
                          <w:txbxContent>
                            <w:p w14:paraId="3393D06C" w14:textId="77777777" w:rsidR="00E30324" w:rsidRPr="00563375" w:rsidRDefault="00E30324" w:rsidP="008822A4">
                              <w:pPr>
                                <w:jc w:val="right"/>
                                <w:rPr>
                                  <w:sz w:val="24"/>
                                  <w:szCs w:val="24"/>
                                </w:rPr>
                              </w:pPr>
                              <w:r>
                                <w:rPr>
                                  <w:sz w:val="24"/>
                                  <w:szCs w:val="24"/>
                                </w:rPr>
                                <w:t>Shoulder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 name="Straight Connector 9"/>
                        <wps:cNvCnPr/>
                        <wps:spPr>
                          <a:xfrm flipV="1">
                            <a:off x="69516" y="1042737"/>
                            <a:ext cx="4006446" cy="0"/>
                          </a:xfrm>
                          <a:prstGeom prst="line">
                            <a:avLst/>
                          </a:prstGeom>
                          <a:ln w="6350"/>
                        </wps:spPr>
                        <wps:style>
                          <a:lnRef idx="1">
                            <a:schemeClr val="dk1"/>
                          </a:lnRef>
                          <a:fillRef idx="0">
                            <a:schemeClr val="dk1"/>
                          </a:fillRef>
                          <a:effectRef idx="0">
                            <a:schemeClr val="dk1"/>
                          </a:effectRef>
                          <a:fontRef idx="minor">
                            <a:schemeClr val="tx1"/>
                          </a:fontRef>
                        </wps:style>
                        <wps:bodyPr/>
                      </wps:wsp>
                      <wps:wsp>
                        <wps:cNvPr id="10" name="Straight Arrow Connector 10"/>
                        <wps:cNvCnPr/>
                        <wps:spPr>
                          <a:xfrm flipH="1" flipV="1">
                            <a:off x="2123574" y="5570287"/>
                            <a:ext cx="374650" cy="1079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 name="Text Box 11"/>
                        <wps:cNvSpPr txBox="1"/>
                        <wps:spPr>
                          <a:xfrm>
                            <a:off x="1417052" y="2296937"/>
                            <a:ext cx="1140460" cy="444625"/>
                          </a:xfrm>
                          <a:prstGeom prst="rect">
                            <a:avLst/>
                          </a:prstGeom>
                          <a:solidFill>
                            <a:schemeClr val="lt1"/>
                          </a:solidFill>
                          <a:ln w="15875">
                            <a:noFill/>
                          </a:ln>
                        </wps:spPr>
                        <wps:txbx>
                          <w:txbxContent>
                            <w:p w14:paraId="137660BE" w14:textId="77777777" w:rsidR="00E30324" w:rsidRPr="00563375" w:rsidRDefault="00E30324" w:rsidP="000C4FB1">
                              <w:pPr>
                                <w:jc w:val="left"/>
                                <w:rPr>
                                  <w:sz w:val="24"/>
                                  <w:szCs w:val="24"/>
                                </w:rPr>
                              </w:pPr>
                              <w:r>
                                <w:rPr>
                                  <w:sz w:val="24"/>
                                  <w:szCs w:val="24"/>
                                </w:rPr>
                                <w:t>Pneumatic tubes, 2 per lane.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5" name="Straight Arrow Connector 15"/>
                        <wps:cNvCnPr/>
                        <wps:spPr>
                          <a:xfrm flipV="1">
                            <a:off x="2577431" y="2495550"/>
                            <a:ext cx="433679" cy="9702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 name="Straight Arrow Connector 18"/>
                        <wps:cNvCnPr/>
                        <wps:spPr>
                          <a:xfrm flipH="1" flipV="1">
                            <a:off x="776037" y="2420687"/>
                            <a:ext cx="523464" cy="11482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 name="Text Box 20"/>
                        <wps:cNvSpPr txBox="1"/>
                        <wps:spPr>
                          <a:xfrm>
                            <a:off x="0" y="1112252"/>
                            <a:ext cx="628650" cy="253365"/>
                          </a:xfrm>
                          <a:prstGeom prst="rect">
                            <a:avLst/>
                          </a:prstGeom>
                          <a:solidFill>
                            <a:schemeClr val="lt1"/>
                          </a:solidFill>
                          <a:ln w="15875">
                            <a:noFill/>
                          </a:ln>
                        </wps:spPr>
                        <wps:txbx>
                          <w:txbxContent>
                            <w:p w14:paraId="622C3F25" w14:textId="77777777" w:rsidR="00E30324" w:rsidRPr="00563375" w:rsidRDefault="00E30324" w:rsidP="008822A4">
                              <w:pPr>
                                <w:jc w:val="right"/>
                                <w:rPr>
                                  <w:sz w:val="24"/>
                                  <w:szCs w:val="24"/>
                                </w:rPr>
                              </w:pPr>
                              <w:r>
                                <w:rPr>
                                  <w:sz w:val="24"/>
                                  <w:szCs w:val="24"/>
                                </w:rPr>
                                <w:t>Shoulder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1" name="Rectangle 21"/>
                        <wps:cNvSpPr/>
                        <wps:spPr>
                          <a:xfrm>
                            <a:off x="1892968" y="5251116"/>
                            <a:ext cx="45085" cy="45085"/>
                          </a:xfrm>
                          <a:prstGeom prst="rect">
                            <a:avLst/>
                          </a:prstGeom>
                          <a:solidFill>
                            <a:schemeClr val="bg2">
                              <a:lumMod val="50000"/>
                            </a:schemeClr>
                          </a:solid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Freeform 113"/>
                        <wps:cNvSpPr/>
                        <wps:spPr>
                          <a:xfrm>
                            <a:off x="2017027" y="4518525"/>
                            <a:ext cx="997906" cy="731120"/>
                          </a:xfrm>
                          <a:custGeom>
                            <a:avLst/>
                            <a:gdLst>
                              <a:gd name="connsiteX0" fmla="*/ 1038169 w 1040403"/>
                              <a:gd name="connsiteY0" fmla="*/ 0 h 660903"/>
                              <a:gd name="connsiteX1" fmla="*/ 1006482 w 1040403"/>
                              <a:gd name="connsiteY1" fmla="*/ 203703 h 660903"/>
                              <a:gd name="connsiteX2" fmla="*/ 802779 w 1040403"/>
                              <a:gd name="connsiteY2" fmla="*/ 362139 h 660903"/>
                              <a:gd name="connsiteX3" fmla="*/ 526648 w 1040403"/>
                              <a:gd name="connsiteY3" fmla="*/ 416460 h 660903"/>
                              <a:gd name="connsiteX4" fmla="*/ 37761 w 1040403"/>
                              <a:gd name="connsiteY4" fmla="*/ 502468 h 660903"/>
                              <a:gd name="connsiteX5" fmla="*/ 33234 w 1040403"/>
                              <a:gd name="connsiteY5" fmla="*/ 660903 h 660903"/>
                              <a:gd name="connsiteX6" fmla="*/ 33234 w 1040403"/>
                              <a:gd name="connsiteY6" fmla="*/ 660903 h 660903"/>
                              <a:gd name="connsiteX0" fmla="*/ 1033551 w 1036791"/>
                              <a:gd name="connsiteY0" fmla="*/ 0 h 701978"/>
                              <a:gd name="connsiteX1" fmla="*/ 1006482 w 1036791"/>
                              <a:gd name="connsiteY1" fmla="*/ 244778 h 701978"/>
                              <a:gd name="connsiteX2" fmla="*/ 802779 w 1036791"/>
                              <a:gd name="connsiteY2" fmla="*/ 403214 h 701978"/>
                              <a:gd name="connsiteX3" fmla="*/ 526648 w 1036791"/>
                              <a:gd name="connsiteY3" fmla="*/ 457535 h 701978"/>
                              <a:gd name="connsiteX4" fmla="*/ 37761 w 1036791"/>
                              <a:gd name="connsiteY4" fmla="*/ 543543 h 701978"/>
                              <a:gd name="connsiteX5" fmla="*/ 33234 w 1036791"/>
                              <a:gd name="connsiteY5" fmla="*/ 701978 h 701978"/>
                              <a:gd name="connsiteX6" fmla="*/ 33234 w 1036791"/>
                              <a:gd name="connsiteY6" fmla="*/ 701978 h 701978"/>
                              <a:gd name="connsiteX0" fmla="*/ 1033551 w 1033615"/>
                              <a:gd name="connsiteY0" fmla="*/ 0 h 701978"/>
                              <a:gd name="connsiteX1" fmla="*/ 834930 w 1033615"/>
                              <a:gd name="connsiteY1" fmla="*/ 234509 h 701978"/>
                              <a:gd name="connsiteX2" fmla="*/ 802779 w 1033615"/>
                              <a:gd name="connsiteY2" fmla="*/ 403214 h 701978"/>
                              <a:gd name="connsiteX3" fmla="*/ 526648 w 1033615"/>
                              <a:gd name="connsiteY3" fmla="*/ 457535 h 701978"/>
                              <a:gd name="connsiteX4" fmla="*/ 37761 w 1033615"/>
                              <a:gd name="connsiteY4" fmla="*/ 543543 h 701978"/>
                              <a:gd name="connsiteX5" fmla="*/ 33234 w 1033615"/>
                              <a:gd name="connsiteY5" fmla="*/ 701978 h 701978"/>
                              <a:gd name="connsiteX6" fmla="*/ 33234 w 1033615"/>
                              <a:gd name="connsiteY6" fmla="*/ 701978 h 701978"/>
                              <a:gd name="connsiteX0" fmla="*/ 1033551 w 1033628"/>
                              <a:gd name="connsiteY0" fmla="*/ 0 h 701978"/>
                              <a:gd name="connsiteX1" fmla="*/ 834930 w 1033628"/>
                              <a:gd name="connsiteY1" fmla="*/ 234509 h 701978"/>
                              <a:gd name="connsiteX2" fmla="*/ 625867 w 1033628"/>
                              <a:gd name="connsiteY2" fmla="*/ 326199 h 701978"/>
                              <a:gd name="connsiteX3" fmla="*/ 526648 w 1033628"/>
                              <a:gd name="connsiteY3" fmla="*/ 457535 h 701978"/>
                              <a:gd name="connsiteX4" fmla="*/ 37761 w 1033628"/>
                              <a:gd name="connsiteY4" fmla="*/ 543543 h 701978"/>
                              <a:gd name="connsiteX5" fmla="*/ 33234 w 1033628"/>
                              <a:gd name="connsiteY5" fmla="*/ 701978 h 701978"/>
                              <a:gd name="connsiteX6" fmla="*/ 33234 w 1033628"/>
                              <a:gd name="connsiteY6" fmla="*/ 701978 h 701978"/>
                              <a:gd name="connsiteX0" fmla="*/ 1023529 w 1023606"/>
                              <a:gd name="connsiteY0" fmla="*/ 0 h 701978"/>
                              <a:gd name="connsiteX1" fmla="*/ 824908 w 1023606"/>
                              <a:gd name="connsiteY1" fmla="*/ 234509 h 701978"/>
                              <a:gd name="connsiteX2" fmla="*/ 615845 w 1023606"/>
                              <a:gd name="connsiteY2" fmla="*/ 326199 h 701978"/>
                              <a:gd name="connsiteX3" fmla="*/ 381117 w 1023606"/>
                              <a:gd name="connsiteY3" fmla="*/ 390789 h 701978"/>
                              <a:gd name="connsiteX4" fmla="*/ 27739 w 1023606"/>
                              <a:gd name="connsiteY4" fmla="*/ 543543 h 701978"/>
                              <a:gd name="connsiteX5" fmla="*/ 23212 w 1023606"/>
                              <a:gd name="connsiteY5" fmla="*/ 701978 h 701978"/>
                              <a:gd name="connsiteX6" fmla="*/ 23212 w 1023606"/>
                              <a:gd name="connsiteY6" fmla="*/ 701978 h 701978"/>
                              <a:gd name="connsiteX0" fmla="*/ 1000317 w 1000394"/>
                              <a:gd name="connsiteY0" fmla="*/ 0 h 701978"/>
                              <a:gd name="connsiteX1" fmla="*/ 801696 w 1000394"/>
                              <a:gd name="connsiteY1" fmla="*/ 234509 h 701978"/>
                              <a:gd name="connsiteX2" fmla="*/ 592633 w 1000394"/>
                              <a:gd name="connsiteY2" fmla="*/ 326199 h 701978"/>
                              <a:gd name="connsiteX3" fmla="*/ 357905 w 1000394"/>
                              <a:gd name="connsiteY3" fmla="*/ 390789 h 701978"/>
                              <a:gd name="connsiteX4" fmla="*/ 63497 w 1000394"/>
                              <a:gd name="connsiteY4" fmla="*/ 528140 h 701978"/>
                              <a:gd name="connsiteX5" fmla="*/ 0 w 1000394"/>
                              <a:gd name="connsiteY5" fmla="*/ 701978 h 701978"/>
                              <a:gd name="connsiteX6" fmla="*/ 0 w 1000394"/>
                              <a:gd name="connsiteY6" fmla="*/ 701978 h 7019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00394" h="701978">
                                <a:moveTo>
                                  <a:pt x="1000317" y="0"/>
                                </a:moveTo>
                                <a:cubicBezTo>
                                  <a:pt x="1004089" y="71673"/>
                                  <a:pt x="869643" y="180143"/>
                                  <a:pt x="801696" y="234509"/>
                                </a:cubicBezTo>
                                <a:cubicBezTo>
                                  <a:pt x="733749" y="288876"/>
                                  <a:pt x="666598" y="300152"/>
                                  <a:pt x="592633" y="326199"/>
                                </a:cubicBezTo>
                                <a:cubicBezTo>
                                  <a:pt x="518668" y="352246"/>
                                  <a:pt x="446094" y="357132"/>
                                  <a:pt x="357905" y="390789"/>
                                </a:cubicBezTo>
                                <a:cubicBezTo>
                                  <a:pt x="269716" y="424446"/>
                                  <a:pt x="123148" y="476275"/>
                                  <a:pt x="63497" y="528140"/>
                                </a:cubicBezTo>
                                <a:cubicBezTo>
                                  <a:pt x="3846" y="580005"/>
                                  <a:pt x="0" y="701978"/>
                                  <a:pt x="0" y="701978"/>
                                </a:cubicBezTo>
                                <a:lnTo>
                                  <a:pt x="0" y="701978"/>
                                </a:lnTo>
                              </a:path>
                            </a:pathLst>
                          </a:custGeom>
                          <a:ln w="1905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Straight Arrow Connector 23"/>
                        <wps:cNvCnPr/>
                        <wps:spPr>
                          <a:xfrm flipV="1">
                            <a:off x="2673684" y="3032626"/>
                            <a:ext cx="255926" cy="36383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 name="Text Box 24"/>
                        <wps:cNvSpPr txBox="1"/>
                        <wps:spPr>
                          <a:xfrm>
                            <a:off x="3358147" y="3154947"/>
                            <a:ext cx="1492250" cy="1000125"/>
                          </a:xfrm>
                          <a:prstGeom prst="rect">
                            <a:avLst/>
                          </a:prstGeom>
                          <a:solidFill>
                            <a:schemeClr val="lt1"/>
                          </a:solidFill>
                          <a:ln w="15875">
                            <a:noFill/>
                          </a:ln>
                        </wps:spPr>
                        <wps:txbx>
                          <w:txbxContent>
                            <w:p w14:paraId="6EA8456F" w14:textId="77777777" w:rsidR="00E30324" w:rsidRPr="00116440" w:rsidRDefault="00E30324" w:rsidP="00A35EAF">
                              <w:pPr>
                                <w:pStyle w:val="BodyText"/>
                              </w:pPr>
                              <w:r w:rsidRPr="00116440">
                                <w:t>Tape road tubes as necessary within and between the lane with pavement tape (e.g., Marmac</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25" name="Group 25"/>
                        <wpg:cNvGrpSpPr/>
                        <wpg:grpSpPr>
                          <a:xfrm>
                            <a:off x="53474" y="2882231"/>
                            <a:ext cx="4038600" cy="45085"/>
                            <a:chOff x="0" y="0"/>
                            <a:chExt cx="3779520" cy="53340"/>
                          </a:xfrm>
                        </wpg:grpSpPr>
                        <wps:wsp>
                          <wps:cNvPr id="26" name="Rectangle 26"/>
                          <wps:cNvSpPr/>
                          <wps:spPr>
                            <a:xfrm>
                              <a:off x="0" y="0"/>
                              <a:ext cx="525780" cy="53340"/>
                            </a:xfrm>
                            <a:prstGeom prst="rect">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Rectangle 27"/>
                          <wps:cNvSpPr/>
                          <wps:spPr>
                            <a:xfrm>
                              <a:off x="1082040" y="0"/>
                              <a:ext cx="525780" cy="53340"/>
                            </a:xfrm>
                            <a:prstGeom prst="rect">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Rectangle 28"/>
                          <wps:cNvSpPr/>
                          <wps:spPr>
                            <a:xfrm>
                              <a:off x="2171700" y="0"/>
                              <a:ext cx="525780" cy="53340"/>
                            </a:xfrm>
                            <a:prstGeom prst="rect">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Rectangle 29"/>
                          <wps:cNvSpPr/>
                          <wps:spPr>
                            <a:xfrm>
                              <a:off x="3253740" y="0"/>
                              <a:ext cx="525780" cy="53340"/>
                            </a:xfrm>
                            <a:prstGeom prst="rect">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0" name="Rectangle 30"/>
                        <wps:cNvSpPr/>
                        <wps:spPr>
                          <a:xfrm>
                            <a:off x="32084" y="4352758"/>
                            <a:ext cx="4099560" cy="45719"/>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Text Box 31"/>
                        <wps:cNvSpPr txBox="1"/>
                        <wps:spPr>
                          <a:xfrm>
                            <a:off x="1550737" y="1753937"/>
                            <a:ext cx="575400" cy="217805"/>
                          </a:xfrm>
                          <a:prstGeom prst="rect">
                            <a:avLst/>
                          </a:prstGeom>
                          <a:solidFill>
                            <a:schemeClr val="bg1"/>
                          </a:solidFill>
                          <a:ln w="15875">
                            <a:noFill/>
                          </a:ln>
                        </wps:spPr>
                        <wps:txbx>
                          <w:txbxContent>
                            <w:p w14:paraId="718784A7" w14:textId="77777777" w:rsidR="00E30324" w:rsidRPr="00563375" w:rsidRDefault="00E30324" w:rsidP="008822A4">
                              <w:pPr>
                                <w:rPr>
                                  <w:sz w:val="24"/>
                                  <w:szCs w:val="24"/>
                                </w:rPr>
                              </w:pPr>
                              <w:r>
                                <w:rPr>
                                  <w:sz w:val="24"/>
                                  <w:szCs w:val="24"/>
                                </w:rPr>
                                <w:t>12 to 16’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2" name="Straight Arrow Connector 32"/>
                        <wps:cNvCnPr/>
                        <wps:spPr>
                          <a:xfrm flipH="1">
                            <a:off x="96252" y="2105860"/>
                            <a:ext cx="446366" cy="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33" name="Straight Arrow Connector 33"/>
                        <wps:cNvCnPr/>
                        <wps:spPr>
                          <a:xfrm>
                            <a:off x="90905" y="3597776"/>
                            <a:ext cx="453378" cy="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g:grpSp>
                        <wpg:cNvPr id="34" name="Group 34"/>
                        <wpg:cNvGrpSpPr/>
                        <wpg:grpSpPr>
                          <a:xfrm>
                            <a:off x="743284" y="4478364"/>
                            <a:ext cx="2306640" cy="1140016"/>
                            <a:chOff x="-22440" y="-2732"/>
                            <a:chExt cx="2306706" cy="1140239"/>
                          </a:xfrm>
                        </wpg:grpSpPr>
                        <wps:wsp>
                          <wps:cNvPr id="35" name="Rectangle 35"/>
                          <wps:cNvSpPr/>
                          <wps:spPr>
                            <a:xfrm>
                              <a:off x="1026597" y="813423"/>
                              <a:ext cx="334978" cy="158435"/>
                            </a:xfrm>
                            <a:prstGeom prst="rect">
                              <a:avLst/>
                            </a:prstGeom>
                            <a:solidFill>
                              <a:schemeClr val="bg2">
                                <a:lumMod val="50000"/>
                              </a:schemeClr>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Rectangle 36"/>
                          <wps:cNvSpPr/>
                          <wps:spPr>
                            <a:xfrm>
                              <a:off x="1228550" y="768544"/>
                              <a:ext cx="45085" cy="45085"/>
                            </a:xfrm>
                            <a:prstGeom prst="rect">
                              <a:avLst/>
                            </a:prstGeom>
                            <a:solidFill>
                              <a:schemeClr val="bg2">
                                <a:lumMod val="50000"/>
                              </a:schemeClr>
                            </a:solid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Freeform 121"/>
                          <wps:cNvSpPr/>
                          <wps:spPr>
                            <a:xfrm>
                              <a:off x="4433" y="45719"/>
                              <a:ext cx="1134199" cy="718717"/>
                            </a:xfrm>
                            <a:custGeom>
                              <a:avLst/>
                              <a:gdLst>
                                <a:gd name="connsiteX0" fmla="*/ 0 w 767591"/>
                                <a:gd name="connsiteY0" fmla="*/ 0 h 708338"/>
                                <a:gd name="connsiteX1" fmla="*/ 46364 w 767591"/>
                                <a:gd name="connsiteY1" fmla="*/ 110759 h 708338"/>
                                <a:gd name="connsiteX2" fmla="*/ 278184 w 767591"/>
                                <a:gd name="connsiteY2" fmla="*/ 190608 h 708338"/>
                                <a:gd name="connsiteX3" fmla="*/ 510004 w 767591"/>
                                <a:gd name="connsiteY3" fmla="*/ 334851 h 708338"/>
                                <a:gd name="connsiteX4" fmla="*/ 685156 w 767591"/>
                                <a:gd name="connsiteY4" fmla="*/ 497125 h 708338"/>
                                <a:gd name="connsiteX5" fmla="*/ 754702 w 767591"/>
                                <a:gd name="connsiteY5" fmla="*/ 615610 h 708338"/>
                                <a:gd name="connsiteX6" fmla="*/ 767581 w 767591"/>
                                <a:gd name="connsiteY6" fmla="*/ 708338 h 708338"/>
                                <a:gd name="connsiteX7" fmla="*/ 767581 w 767591"/>
                                <a:gd name="connsiteY7" fmla="*/ 708338 h 7083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767591" h="708338">
                                  <a:moveTo>
                                    <a:pt x="0" y="0"/>
                                  </a:moveTo>
                                  <a:cubicBezTo>
                                    <a:pt x="0" y="39495"/>
                                    <a:pt x="0" y="78991"/>
                                    <a:pt x="46364" y="110759"/>
                                  </a:cubicBezTo>
                                  <a:cubicBezTo>
                                    <a:pt x="92728" y="142527"/>
                                    <a:pt x="200911" y="153259"/>
                                    <a:pt x="278184" y="190608"/>
                                  </a:cubicBezTo>
                                  <a:cubicBezTo>
                                    <a:pt x="355457" y="227957"/>
                                    <a:pt x="442175" y="283765"/>
                                    <a:pt x="510004" y="334851"/>
                                  </a:cubicBezTo>
                                  <a:cubicBezTo>
                                    <a:pt x="577833" y="385937"/>
                                    <a:pt x="644373" y="450332"/>
                                    <a:pt x="685156" y="497125"/>
                                  </a:cubicBezTo>
                                  <a:cubicBezTo>
                                    <a:pt x="725939" y="543918"/>
                                    <a:pt x="740965" y="580408"/>
                                    <a:pt x="754702" y="615610"/>
                                  </a:cubicBezTo>
                                  <a:cubicBezTo>
                                    <a:pt x="768439" y="650812"/>
                                    <a:pt x="767581" y="708338"/>
                                    <a:pt x="767581" y="708338"/>
                                  </a:cubicBezTo>
                                  <a:lnTo>
                                    <a:pt x="767581" y="708338"/>
                                  </a:lnTo>
                                </a:path>
                              </a:pathLst>
                            </a:custGeom>
                            <a:ln w="1905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Rectangle 38"/>
                          <wps:cNvSpPr/>
                          <wps:spPr>
                            <a:xfrm>
                              <a:off x="2210268" y="-2732"/>
                              <a:ext cx="73998" cy="45719"/>
                            </a:xfrm>
                            <a:prstGeom prst="rect">
                              <a:avLst/>
                            </a:prstGeom>
                            <a:solidFill>
                              <a:schemeClr val="bg2">
                                <a:lumMod val="50000"/>
                              </a:schemeClr>
                            </a:solid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Rectangle 39"/>
                          <wps:cNvSpPr/>
                          <wps:spPr>
                            <a:xfrm>
                              <a:off x="-22440" y="0"/>
                              <a:ext cx="73998" cy="45719"/>
                            </a:xfrm>
                            <a:prstGeom prst="rect">
                              <a:avLst/>
                            </a:prstGeom>
                            <a:solidFill>
                              <a:schemeClr val="bg2">
                                <a:lumMod val="50000"/>
                              </a:schemeClr>
                            </a:solid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Oval 40"/>
                          <wps:cNvSpPr/>
                          <wps:spPr>
                            <a:xfrm>
                              <a:off x="1138793" y="1004157"/>
                              <a:ext cx="135890" cy="133350"/>
                            </a:xfrm>
                            <a:prstGeom prst="ellipse">
                              <a:avLst/>
                            </a:prstGeom>
                            <a:solidFill>
                              <a:schemeClr val="tx1">
                                <a:lumMod val="50000"/>
                                <a:lumOff val="50000"/>
                              </a:schemeClr>
                            </a:solidFill>
                            <a:ln>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1" name="Text Box 41"/>
                        <wps:cNvSpPr txBox="1"/>
                        <wps:spPr>
                          <a:xfrm>
                            <a:off x="2598821" y="5438273"/>
                            <a:ext cx="1782920" cy="577850"/>
                          </a:xfrm>
                          <a:prstGeom prst="rect">
                            <a:avLst/>
                          </a:prstGeom>
                          <a:solidFill>
                            <a:schemeClr val="lt1"/>
                          </a:solidFill>
                          <a:ln w="15875">
                            <a:noFill/>
                          </a:ln>
                        </wps:spPr>
                        <wps:txbx>
                          <w:txbxContent>
                            <w:p w14:paraId="49162AD3" w14:textId="77777777" w:rsidR="00E30324" w:rsidRPr="00563375" w:rsidRDefault="00E30324" w:rsidP="00A35EAF">
                              <w:pPr>
                                <w:pStyle w:val="BodyText"/>
                              </w:pPr>
                              <w:r>
                                <w:t>Existing service pole or other</w:t>
                              </w:r>
                              <w:r w:rsidRPr="005F69C8">
                                <w:t xml:space="preserve"> </w:t>
                              </w:r>
                              <w:r>
                                <w:t>permanent structure.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 name="Straight Arrow Connector 42"/>
                        <wps:cNvCnPr/>
                        <wps:spPr>
                          <a:xfrm>
                            <a:off x="1502610" y="5272505"/>
                            <a:ext cx="222250" cy="6794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3" name="Straight Arrow Connector 43"/>
                        <wps:cNvCnPr/>
                        <wps:spPr>
                          <a:xfrm flipH="1" flipV="1">
                            <a:off x="3063544" y="4609533"/>
                            <a:ext cx="26737" cy="31550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4" name="Straight Arrow Connector 44"/>
                        <wps:cNvCnPr/>
                        <wps:spPr>
                          <a:xfrm flipH="1" flipV="1">
                            <a:off x="882984" y="4508500"/>
                            <a:ext cx="1975106" cy="59096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5" name="Text Box 45"/>
                        <wps:cNvSpPr txBox="1"/>
                        <wps:spPr>
                          <a:xfrm>
                            <a:off x="2989180" y="4882351"/>
                            <a:ext cx="1797050" cy="460103"/>
                          </a:xfrm>
                          <a:prstGeom prst="rect">
                            <a:avLst/>
                          </a:prstGeom>
                          <a:solidFill>
                            <a:schemeClr val="lt1"/>
                          </a:solidFill>
                          <a:ln w="15875">
                            <a:noFill/>
                          </a:ln>
                        </wps:spPr>
                        <wps:txbx>
                          <w:txbxContent>
                            <w:p w14:paraId="29A2C3E5" w14:textId="77777777" w:rsidR="00E30324" w:rsidRPr="00563375" w:rsidRDefault="00E30324" w:rsidP="00A35EAF">
                              <w:pPr>
                                <w:pStyle w:val="BodyText"/>
                              </w:pPr>
                              <w:r>
                                <w:t>Hold-down clamps, saddles or fasteners, nailed in place.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 name="Text Box 46"/>
                        <wps:cNvSpPr txBox="1"/>
                        <wps:spPr>
                          <a:xfrm>
                            <a:off x="3315368" y="1611122"/>
                            <a:ext cx="1441951" cy="817754"/>
                          </a:xfrm>
                          <a:prstGeom prst="rect">
                            <a:avLst/>
                          </a:prstGeom>
                          <a:solidFill>
                            <a:schemeClr val="lt1"/>
                          </a:solidFill>
                          <a:ln w="15875">
                            <a:noFill/>
                          </a:ln>
                        </wps:spPr>
                        <wps:txbx>
                          <w:txbxContent>
                            <w:p w14:paraId="519FD23C" w14:textId="77777777" w:rsidR="00E30324" w:rsidRPr="00116440" w:rsidRDefault="00E30324" w:rsidP="00A35EAF">
                              <w:pPr>
                                <w:pStyle w:val="BodyText"/>
                              </w:pPr>
                              <w:r w:rsidRPr="00116440">
                                <w:t xml:space="preserve">Sensor </w:t>
                              </w:r>
                              <w:r>
                                <w:t>s</w:t>
                              </w:r>
                              <w:r w:rsidRPr="00116440">
                                <w:t>pacing may be different based on State's specification.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 name="Oval 47"/>
                        <wps:cNvSpPr/>
                        <wps:spPr>
                          <a:xfrm>
                            <a:off x="2962442" y="2860842"/>
                            <a:ext cx="107950" cy="98756"/>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Text Box 48"/>
                        <wps:cNvSpPr txBox="1"/>
                        <wps:spPr>
                          <a:xfrm>
                            <a:off x="1050529" y="3433010"/>
                            <a:ext cx="1714594" cy="834284"/>
                          </a:xfrm>
                          <a:prstGeom prst="rect">
                            <a:avLst/>
                          </a:prstGeom>
                          <a:solidFill>
                            <a:schemeClr val="lt1"/>
                          </a:solidFill>
                          <a:ln w="15875">
                            <a:noFill/>
                          </a:ln>
                        </wps:spPr>
                        <wps:txbx>
                          <w:txbxContent>
                            <w:p w14:paraId="7455E6EF" w14:textId="77777777" w:rsidR="00E30324" w:rsidRPr="00116440" w:rsidRDefault="00E30324" w:rsidP="00A35EAF">
                              <w:pPr>
                                <w:pStyle w:val="BodyText"/>
                              </w:pPr>
                              <w:r>
                                <w:t>Knot centered on 100’ tube; position on centerline.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9" name="Straight Arrow Connector 49"/>
                        <wps:cNvCnPr/>
                        <wps:spPr>
                          <a:xfrm flipH="1" flipV="1">
                            <a:off x="840205" y="3011237"/>
                            <a:ext cx="363835" cy="35880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cNvPr id="50" name="Group 50"/>
                        <wpg:cNvGrpSpPr/>
                        <wpg:grpSpPr>
                          <a:xfrm rot="10800000">
                            <a:off x="748631" y="219242"/>
                            <a:ext cx="2306706" cy="1092627"/>
                            <a:chOff x="0" y="44880"/>
                            <a:chExt cx="2306706" cy="1092627"/>
                          </a:xfrm>
                        </wpg:grpSpPr>
                        <wps:wsp>
                          <wps:cNvPr id="51" name="Rectangle 51"/>
                          <wps:cNvSpPr/>
                          <wps:spPr>
                            <a:xfrm>
                              <a:off x="1026597" y="813423"/>
                              <a:ext cx="334978" cy="158435"/>
                            </a:xfrm>
                            <a:prstGeom prst="rect">
                              <a:avLst/>
                            </a:prstGeom>
                            <a:solidFill>
                              <a:schemeClr val="bg2">
                                <a:lumMod val="50000"/>
                              </a:schemeClr>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Rectangle 52"/>
                          <wps:cNvSpPr/>
                          <wps:spPr>
                            <a:xfrm>
                              <a:off x="1099526" y="768544"/>
                              <a:ext cx="45085" cy="45085"/>
                            </a:xfrm>
                            <a:prstGeom prst="rect">
                              <a:avLst/>
                            </a:prstGeom>
                            <a:solidFill>
                              <a:schemeClr val="bg2">
                                <a:lumMod val="50000"/>
                              </a:schemeClr>
                            </a:solid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Rectangle 53"/>
                          <wps:cNvSpPr/>
                          <wps:spPr>
                            <a:xfrm>
                              <a:off x="1228550" y="768544"/>
                              <a:ext cx="45085" cy="45085"/>
                            </a:xfrm>
                            <a:prstGeom prst="rect">
                              <a:avLst/>
                            </a:prstGeom>
                            <a:solidFill>
                              <a:schemeClr val="bg2">
                                <a:lumMod val="50000"/>
                              </a:schemeClr>
                            </a:solid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Freeform 121"/>
                          <wps:cNvSpPr/>
                          <wps:spPr>
                            <a:xfrm>
                              <a:off x="39648" y="56245"/>
                              <a:ext cx="1083386" cy="708338"/>
                            </a:xfrm>
                            <a:custGeom>
                              <a:avLst/>
                              <a:gdLst>
                                <a:gd name="connsiteX0" fmla="*/ 0 w 767591"/>
                                <a:gd name="connsiteY0" fmla="*/ 0 h 708338"/>
                                <a:gd name="connsiteX1" fmla="*/ 46364 w 767591"/>
                                <a:gd name="connsiteY1" fmla="*/ 110759 h 708338"/>
                                <a:gd name="connsiteX2" fmla="*/ 278184 w 767591"/>
                                <a:gd name="connsiteY2" fmla="*/ 190608 h 708338"/>
                                <a:gd name="connsiteX3" fmla="*/ 510004 w 767591"/>
                                <a:gd name="connsiteY3" fmla="*/ 334851 h 708338"/>
                                <a:gd name="connsiteX4" fmla="*/ 685156 w 767591"/>
                                <a:gd name="connsiteY4" fmla="*/ 497125 h 708338"/>
                                <a:gd name="connsiteX5" fmla="*/ 754702 w 767591"/>
                                <a:gd name="connsiteY5" fmla="*/ 615610 h 708338"/>
                                <a:gd name="connsiteX6" fmla="*/ 767581 w 767591"/>
                                <a:gd name="connsiteY6" fmla="*/ 708338 h 708338"/>
                                <a:gd name="connsiteX7" fmla="*/ 767581 w 767591"/>
                                <a:gd name="connsiteY7" fmla="*/ 708338 h 7083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767591" h="708338">
                                  <a:moveTo>
                                    <a:pt x="0" y="0"/>
                                  </a:moveTo>
                                  <a:cubicBezTo>
                                    <a:pt x="0" y="39495"/>
                                    <a:pt x="0" y="78991"/>
                                    <a:pt x="46364" y="110759"/>
                                  </a:cubicBezTo>
                                  <a:cubicBezTo>
                                    <a:pt x="92728" y="142527"/>
                                    <a:pt x="200911" y="153259"/>
                                    <a:pt x="278184" y="190608"/>
                                  </a:cubicBezTo>
                                  <a:cubicBezTo>
                                    <a:pt x="355457" y="227957"/>
                                    <a:pt x="442175" y="283765"/>
                                    <a:pt x="510004" y="334851"/>
                                  </a:cubicBezTo>
                                  <a:cubicBezTo>
                                    <a:pt x="577833" y="385937"/>
                                    <a:pt x="644373" y="450332"/>
                                    <a:pt x="685156" y="497125"/>
                                  </a:cubicBezTo>
                                  <a:cubicBezTo>
                                    <a:pt x="725939" y="543918"/>
                                    <a:pt x="740965" y="580408"/>
                                    <a:pt x="754702" y="615610"/>
                                  </a:cubicBezTo>
                                  <a:cubicBezTo>
                                    <a:pt x="768439" y="650812"/>
                                    <a:pt x="767581" y="708338"/>
                                    <a:pt x="767581" y="708338"/>
                                  </a:cubicBezTo>
                                  <a:lnTo>
                                    <a:pt x="767581" y="708338"/>
                                  </a:lnTo>
                                </a:path>
                              </a:pathLst>
                            </a:custGeom>
                            <a:ln w="1905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Rectangle 55"/>
                          <wps:cNvSpPr/>
                          <wps:spPr>
                            <a:xfrm>
                              <a:off x="2232708" y="56098"/>
                              <a:ext cx="73998" cy="45719"/>
                            </a:xfrm>
                            <a:prstGeom prst="rect">
                              <a:avLst/>
                            </a:prstGeom>
                            <a:solidFill>
                              <a:schemeClr val="bg2">
                                <a:lumMod val="50000"/>
                              </a:schemeClr>
                            </a:solid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Rectangle 56"/>
                          <wps:cNvSpPr/>
                          <wps:spPr>
                            <a:xfrm>
                              <a:off x="0" y="44880"/>
                              <a:ext cx="73998" cy="45719"/>
                            </a:xfrm>
                            <a:prstGeom prst="rect">
                              <a:avLst/>
                            </a:prstGeom>
                            <a:solidFill>
                              <a:schemeClr val="bg2">
                                <a:lumMod val="50000"/>
                              </a:schemeClr>
                            </a:solid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Oval 57"/>
                          <wps:cNvSpPr/>
                          <wps:spPr>
                            <a:xfrm>
                              <a:off x="1116354" y="1004157"/>
                              <a:ext cx="135890" cy="133350"/>
                            </a:xfrm>
                            <a:prstGeom prst="ellipse">
                              <a:avLst/>
                            </a:prstGeom>
                            <a:solidFill>
                              <a:schemeClr val="tx1">
                                <a:lumMod val="50000"/>
                                <a:lumOff val="50000"/>
                              </a:schemeClr>
                            </a:solidFill>
                            <a:ln>
                              <a:solidFill>
                                <a:schemeClr val="tx1"/>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8" name="Freeform 121"/>
                        <wps:cNvSpPr/>
                        <wps:spPr>
                          <a:xfrm rot="10800000" flipV="1">
                            <a:off x="786063" y="577516"/>
                            <a:ext cx="1010285" cy="673100"/>
                          </a:xfrm>
                          <a:custGeom>
                            <a:avLst/>
                            <a:gdLst>
                              <a:gd name="connsiteX0" fmla="*/ 0 w 767591"/>
                              <a:gd name="connsiteY0" fmla="*/ 0 h 708338"/>
                              <a:gd name="connsiteX1" fmla="*/ 46364 w 767591"/>
                              <a:gd name="connsiteY1" fmla="*/ 110759 h 708338"/>
                              <a:gd name="connsiteX2" fmla="*/ 278184 w 767591"/>
                              <a:gd name="connsiteY2" fmla="*/ 190608 h 708338"/>
                              <a:gd name="connsiteX3" fmla="*/ 510004 w 767591"/>
                              <a:gd name="connsiteY3" fmla="*/ 334851 h 708338"/>
                              <a:gd name="connsiteX4" fmla="*/ 685156 w 767591"/>
                              <a:gd name="connsiteY4" fmla="*/ 497125 h 708338"/>
                              <a:gd name="connsiteX5" fmla="*/ 754702 w 767591"/>
                              <a:gd name="connsiteY5" fmla="*/ 615610 h 708338"/>
                              <a:gd name="connsiteX6" fmla="*/ 767581 w 767591"/>
                              <a:gd name="connsiteY6" fmla="*/ 708338 h 708338"/>
                              <a:gd name="connsiteX7" fmla="*/ 767581 w 767591"/>
                              <a:gd name="connsiteY7" fmla="*/ 708338 h 708338"/>
                              <a:gd name="connsiteX0" fmla="*/ 0 w 767591"/>
                              <a:gd name="connsiteY0" fmla="*/ 0 h 708338"/>
                              <a:gd name="connsiteX1" fmla="*/ 46364 w 767591"/>
                              <a:gd name="connsiteY1" fmla="*/ 110759 h 708338"/>
                              <a:gd name="connsiteX2" fmla="*/ 233650 w 767591"/>
                              <a:gd name="connsiteY2" fmla="*/ 258461 h 708338"/>
                              <a:gd name="connsiteX3" fmla="*/ 510004 w 767591"/>
                              <a:gd name="connsiteY3" fmla="*/ 334851 h 708338"/>
                              <a:gd name="connsiteX4" fmla="*/ 685156 w 767591"/>
                              <a:gd name="connsiteY4" fmla="*/ 497125 h 708338"/>
                              <a:gd name="connsiteX5" fmla="*/ 754702 w 767591"/>
                              <a:gd name="connsiteY5" fmla="*/ 615610 h 708338"/>
                              <a:gd name="connsiteX6" fmla="*/ 767581 w 767591"/>
                              <a:gd name="connsiteY6" fmla="*/ 708338 h 708338"/>
                              <a:gd name="connsiteX7" fmla="*/ 767581 w 767591"/>
                              <a:gd name="connsiteY7" fmla="*/ 708338 h 708338"/>
                              <a:gd name="connsiteX0" fmla="*/ 0 w 767591"/>
                              <a:gd name="connsiteY0" fmla="*/ 0 h 708338"/>
                              <a:gd name="connsiteX1" fmla="*/ 46364 w 767591"/>
                              <a:gd name="connsiteY1" fmla="*/ 110759 h 708338"/>
                              <a:gd name="connsiteX2" fmla="*/ 233650 w 767591"/>
                              <a:gd name="connsiteY2" fmla="*/ 258461 h 708338"/>
                              <a:gd name="connsiteX3" fmla="*/ 478830 w 767591"/>
                              <a:gd name="connsiteY3" fmla="*/ 384198 h 708338"/>
                              <a:gd name="connsiteX4" fmla="*/ 685156 w 767591"/>
                              <a:gd name="connsiteY4" fmla="*/ 497125 h 708338"/>
                              <a:gd name="connsiteX5" fmla="*/ 754702 w 767591"/>
                              <a:gd name="connsiteY5" fmla="*/ 615610 h 708338"/>
                              <a:gd name="connsiteX6" fmla="*/ 767581 w 767591"/>
                              <a:gd name="connsiteY6" fmla="*/ 708338 h 708338"/>
                              <a:gd name="connsiteX7" fmla="*/ 767581 w 767591"/>
                              <a:gd name="connsiteY7" fmla="*/ 708338 h 7083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767591" h="708338">
                                <a:moveTo>
                                  <a:pt x="0" y="0"/>
                                </a:moveTo>
                                <a:cubicBezTo>
                                  <a:pt x="0" y="39495"/>
                                  <a:pt x="7422" y="67682"/>
                                  <a:pt x="46364" y="110759"/>
                                </a:cubicBezTo>
                                <a:cubicBezTo>
                                  <a:pt x="85306" y="153836"/>
                                  <a:pt x="161572" y="212888"/>
                                  <a:pt x="233650" y="258461"/>
                                </a:cubicBezTo>
                                <a:cubicBezTo>
                                  <a:pt x="305728" y="304034"/>
                                  <a:pt x="403579" y="344421"/>
                                  <a:pt x="478830" y="384198"/>
                                </a:cubicBezTo>
                                <a:cubicBezTo>
                                  <a:pt x="554081" y="423975"/>
                                  <a:pt x="639177" y="458556"/>
                                  <a:pt x="685156" y="497125"/>
                                </a:cubicBezTo>
                                <a:cubicBezTo>
                                  <a:pt x="731135" y="535694"/>
                                  <a:pt x="740965" y="580408"/>
                                  <a:pt x="754702" y="615610"/>
                                </a:cubicBezTo>
                                <a:cubicBezTo>
                                  <a:pt x="768439" y="650812"/>
                                  <a:pt x="767581" y="708338"/>
                                  <a:pt x="767581" y="708338"/>
                                </a:cubicBezTo>
                                <a:lnTo>
                                  <a:pt x="767581" y="708338"/>
                                </a:lnTo>
                              </a:path>
                            </a:pathLst>
                          </a:custGeom>
                          <a:ln w="19050"/>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Text Box 59"/>
                        <wps:cNvSpPr txBox="1"/>
                        <wps:spPr>
                          <a:xfrm>
                            <a:off x="2540000" y="0"/>
                            <a:ext cx="2222762" cy="440882"/>
                          </a:xfrm>
                          <a:prstGeom prst="rect">
                            <a:avLst/>
                          </a:prstGeom>
                          <a:solidFill>
                            <a:schemeClr val="lt1"/>
                          </a:solidFill>
                          <a:ln w="15875">
                            <a:noFill/>
                          </a:ln>
                        </wps:spPr>
                        <wps:txbx>
                          <w:txbxContent>
                            <w:p w14:paraId="14ADFCB6" w14:textId="77777777" w:rsidR="00E30324" w:rsidRPr="00563375" w:rsidRDefault="00E30324" w:rsidP="00A35EAF">
                              <w:pPr>
                                <w:pStyle w:val="BodyText"/>
                              </w:pPr>
                              <w:r>
                                <w:t>Existing service pole or other</w:t>
                              </w:r>
                              <w:r w:rsidRPr="005F69C8">
                                <w:t xml:space="preserve"> </w:t>
                              </w:r>
                              <w:r>
                                <w:t>permanent structure.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 name="Text Box 60"/>
                        <wps:cNvSpPr txBox="1"/>
                        <wps:spPr>
                          <a:xfrm>
                            <a:off x="2550695" y="524041"/>
                            <a:ext cx="2222952" cy="482910"/>
                          </a:xfrm>
                          <a:prstGeom prst="rect">
                            <a:avLst/>
                          </a:prstGeom>
                          <a:solidFill>
                            <a:schemeClr val="lt1"/>
                          </a:solidFill>
                          <a:ln w="15875">
                            <a:noFill/>
                          </a:ln>
                        </wps:spPr>
                        <wps:txbx>
                          <w:txbxContent>
                            <w:p w14:paraId="1AF28DA5" w14:textId="77777777" w:rsidR="00E30324" w:rsidRPr="00563375" w:rsidRDefault="00E30324" w:rsidP="00A35EAF">
                              <w:pPr>
                                <w:pStyle w:val="BodyText"/>
                              </w:pPr>
                              <w:r>
                                <w:t>Portable counter, temporarily secured to permanent structure.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 name="Straight Arrow Connector 61"/>
                        <wps:cNvCnPr/>
                        <wps:spPr>
                          <a:xfrm flipH="1" flipV="1">
                            <a:off x="2107531" y="471237"/>
                            <a:ext cx="403225" cy="2222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2" name="Straight Arrow Connector 62"/>
                        <wps:cNvCnPr/>
                        <wps:spPr>
                          <a:xfrm flipH="1">
                            <a:off x="2032668" y="232945"/>
                            <a:ext cx="431800" cy="571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3" name="Text Box 63"/>
                        <wps:cNvSpPr txBox="1"/>
                        <wps:spPr>
                          <a:xfrm>
                            <a:off x="64168" y="16329"/>
                            <a:ext cx="1283970" cy="698580"/>
                          </a:xfrm>
                          <a:prstGeom prst="rect">
                            <a:avLst/>
                          </a:prstGeom>
                          <a:solidFill>
                            <a:schemeClr val="lt1"/>
                          </a:solidFill>
                          <a:ln w="15875">
                            <a:noFill/>
                          </a:ln>
                        </wps:spPr>
                        <wps:txbx>
                          <w:txbxContent>
                            <w:p w14:paraId="7408618E" w14:textId="77777777" w:rsidR="00E30324" w:rsidRPr="00563375" w:rsidRDefault="00E30324" w:rsidP="00A35EAF">
                              <w:pPr>
                                <w:pStyle w:val="BodyText"/>
                              </w:pPr>
                              <w:r>
                                <w:t>Hold-down clamps, saddles or fasteners, nailed in place.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 name="Straight Arrow Connector 64"/>
                        <wps:cNvCnPr/>
                        <wps:spPr>
                          <a:xfrm>
                            <a:off x="1197810" y="625642"/>
                            <a:ext cx="1707159" cy="64458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5" name="Straight Arrow Connector 65"/>
                        <wps:cNvCnPr/>
                        <wps:spPr>
                          <a:xfrm>
                            <a:off x="588210" y="786063"/>
                            <a:ext cx="152474" cy="36769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6" name="Straight Arrow Connector 66"/>
                        <wps:cNvCnPr/>
                        <wps:spPr>
                          <a:xfrm flipH="1" flipV="1">
                            <a:off x="2072439" y="1923381"/>
                            <a:ext cx="1181100" cy="19636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7" name="Oval 67"/>
                        <wps:cNvSpPr/>
                        <wps:spPr>
                          <a:xfrm>
                            <a:off x="732589" y="2860842"/>
                            <a:ext cx="107950" cy="98756"/>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Straight Arrow Connector 68"/>
                        <wps:cNvCnPr/>
                        <wps:spPr>
                          <a:xfrm flipH="1" flipV="1">
                            <a:off x="3043321" y="3353468"/>
                            <a:ext cx="298646" cy="9925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0B4E20F9" id="Group 1" o:spid="_x0000_s1031" alt="Schematic top down view of a dual pneumatic road tubes axle traffic sensor array for a two lane roadway with a portable counter on each side and a knotted road tube in the middle of a 100’ long road tube.  Each lane has two parallel road tubes with a 12’ to 16’ leading edge to leading edge spacing.    On the roadside is shown blocks for portable pneumatic traffic recording device that would be locked to a pole.  Additional taping locations are placed on each full lane width road tube at 3-4 intervals across the lane so as to hold down the road tube so it remains at the proper spacing and detects the axle with the proper interval.  Hold down clips or fasteners are nailed down and placed at the ends of each road tube and on the shoulder closest to the portable counter.   " style="position:absolute;left:0;text-align:left;margin-left:10.35pt;margin-top:15.6pt;width:409.55pt;height:499.6pt;z-index:251672576;mso-width-relative:margin;mso-height-relative:margin" coordsize="48503,60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">
                <v:rect id="Rectangle 2" o:spid="_x0000_s1032" style="position:absolute;left:267;top:14170;width:40995;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" fillcolor="white [3212]" strokecolor="black [3213]" strokeweight="1pt"/>
                <v:shapetype id="_x0000_t32" coordsize="21600,21600" o:spt="32" o:oned="t" path="m,l21600,21600e" filled="f">
                  <v:path arrowok="t" fillok="f" o:connecttype="none"/>
                  <o:lock v:ext="edit" shapetype="t"/>
                </v:shapetype>
                <v:shape id="Straight Arrow Connector 3" o:spid="_x0000_s1033" type="#_x0000_t32" style="position:absolute;left:7706;top:18461;width:22343;height:8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" strokecolor="black [3200]" strokeweight=".5pt">
                  <v:stroke startarrow="open" endarrow="open" joinstyle="miter"/>
                </v:shape>
                <v:shape id="Text Box 4" o:spid="_x0000_s1034" type="#_x0000_t202" style="position:absolute;top:48714;width:14414;height:80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" fillcolor="white [3201]" stroked="f" strokeweight="1.25pt">
                  <v:textbox inset="0,0,0,0">
                    <w:txbxContent>
                      <w:p w14:paraId="3AAAAA9A" w14:textId="77777777" w:rsidR="00E30324" w:rsidRPr="00563375" w:rsidRDefault="00E30324" w:rsidP="00A35EAF">
                        <w:pPr>
                          <w:pStyle w:val="BodyText"/>
                        </w:pPr>
                        <w:r>
                          <w:t>Portable counter, temporarily secured to permanent structure.</w:t>
                        </w:r>
                      </w:p>
                    </w:txbxContent>
                  </v:textbox>
                </v:shape>
                <v:line id="Straight Connector 5" o:spid="_x0000_s1035" style="position:absolute;flip:y;visibility:visible;mso-wrap-style:square" from="320,47431" to="40385,47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" strokecolor="black [3200]" strokeweight=".5pt">
                  <v:stroke joinstyle="miter"/>
                </v:line>
                <v:shape id="Text Box 7" o:spid="_x0000_s1036" type="#_x0000_t202" style="position:absolute;left:53;top:44490;width:5971;height:25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" fillcolor="white [3201]" stroked="f" strokeweight="1.25pt">
                  <v:textbox inset="0,0,0,0">
                    <w:txbxContent>
                      <w:p w14:paraId="3393D06C" w14:textId="77777777" w:rsidR="00E30324" w:rsidRPr="00563375" w:rsidRDefault="00E30324" w:rsidP="008822A4">
                        <w:pPr>
                          <w:jc w:val="right"/>
                          <w:rPr>
                            <w:sz w:val="24"/>
                            <w:szCs w:val="24"/>
                          </w:rPr>
                        </w:pPr>
                        <w:r>
                          <w:rPr>
                            <w:sz w:val="24"/>
                            <w:szCs w:val="24"/>
                          </w:rPr>
                          <w:t>Shoulder</w:t>
                        </w:r>
                      </w:p>
                    </w:txbxContent>
                  </v:textbox>
                </v:shape>
                <v:line id="Straight Connector 9" o:spid="_x0000_s1037" style="position:absolute;flip:y;visibility:visible;mso-wrap-style:square" from="695,10427" to="40759,10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" strokecolor="black [3200]" strokeweight=".5pt">
                  <v:stroke joinstyle="miter"/>
                </v:line>
                <v:shape id="Straight Arrow Connector 10" o:spid="_x0000_s1038" type="#_x0000_t32" style="position:absolute;left:21235;top:55702;width:3747;height:108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" strokecolor="black [3213]" strokeweight=".5pt">
                  <v:stroke endarrow="block" joinstyle="miter"/>
                </v:shape>
                <v:shape id="Text Box 11" o:spid="_x0000_s1039" type="#_x0000_t202" style="position:absolute;left:14170;top:22969;width:11405;height:44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" fillcolor="white [3201]" stroked="f" strokeweight="1.25pt">
                  <v:textbox inset="0,0,0,0">
                    <w:txbxContent>
                      <w:p w14:paraId="137660BE" w14:textId="77777777" w:rsidR="00E30324" w:rsidRPr="00563375" w:rsidRDefault="00E30324" w:rsidP="000C4FB1">
                        <w:pPr>
                          <w:jc w:val="left"/>
                          <w:rPr>
                            <w:sz w:val="24"/>
                            <w:szCs w:val="24"/>
                          </w:rPr>
                        </w:pPr>
                        <w:r>
                          <w:rPr>
                            <w:sz w:val="24"/>
                            <w:szCs w:val="24"/>
                          </w:rPr>
                          <w:t>Pneumatic tubes, 2 per lane.</w:t>
                        </w:r>
                      </w:p>
                    </w:txbxContent>
                  </v:textbox>
                </v:shape>
                <v:shape id="Straight Arrow Connector 15" o:spid="_x0000_s1040" type="#_x0000_t32" style="position:absolute;left:25774;top:24955;width:4337;height:97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" strokecolor="black [3213]" strokeweight=".5pt">
                  <v:stroke endarrow="block" joinstyle="miter"/>
                </v:shape>
                <v:shape id="Straight Arrow Connector 18" o:spid="_x0000_s1041" type="#_x0000_t32" style="position:absolute;left:7760;top:24206;width:5235;height:114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" strokecolor="black [3213]" strokeweight=".5pt">
                  <v:stroke endarrow="block" joinstyle="miter"/>
                </v:shape>
                <v:shape id="Text Box 20" o:spid="_x0000_s1042" type="#_x0000_t202" style="position:absolute;top:11122;width:6286;height:2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" fillcolor="white [3201]" stroked="f" strokeweight="1.25pt">
                  <v:textbox inset="0,0,0,0">
                    <w:txbxContent>
                      <w:p w14:paraId="622C3F25" w14:textId="77777777" w:rsidR="00E30324" w:rsidRPr="00563375" w:rsidRDefault="00E30324" w:rsidP="008822A4">
                        <w:pPr>
                          <w:jc w:val="right"/>
                          <w:rPr>
                            <w:sz w:val="24"/>
                            <w:szCs w:val="24"/>
                          </w:rPr>
                        </w:pPr>
                        <w:r>
                          <w:rPr>
                            <w:sz w:val="24"/>
                            <w:szCs w:val="24"/>
                          </w:rPr>
                          <w:t>Shoulder</w:t>
                        </w:r>
                      </w:p>
                    </w:txbxContent>
                  </v:textbox>
                </v:shape>
                <v:rect id="Rectangle 21" o:spid="_x0000_s1043" style="position:absolute;left:18929;top:52511;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" fillcolor="#747070 [1614]" strokecolor="black [1600]" strokeweight="1pt"/>
                <v:shape id="Freeform 113" o:spid="_x0000_s1044" style="position:absolute;left:20170;top:45185;width:9979;height:7311;visibility:visible;mso-wrap-style:square;v-text-anchor:middle" coordsize="1000394,701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" path="m1000317,v3772,71673,-130674,180143,-198621,234509c733749,288876,666598,300152,592633,326199v-73965,26047,-146539,30933,-234728,64590c269716,424446,123148,476275,63497,528140,3846,580005,,701978,,701978r,e" filled="f" strokecolor="black [3200]" strokeweight="1.5pt">
                  <v:stroke joinstyle="miter"/>
                  <v:path arrowok="t" o:connecttype="custom" o:connectlocs="997829,0;799702,244244;591159,339741;357015,407012;63339,550065;0,731120;0,731120" o:connectangles="0,0,0,0,0,0,0"/>
                </v:shape>
                <v:shape id="Straight Arrow Connector 23" o:spid="_x0000_s1045" type="#_x0000_t32" style="position:absolute;left:26736;top:30326;width:2560;height:363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" strokecolor="black [3213]" strokeweight=".5pt">
                  <v:stroke endarrow="block" joinstyle="miter"/>
                </v:shape>
                <v:shape id="Text Box 24" o:spid="_x0000_s1046" type="#_x0000_t202" style="position:absolute;left:33581;top:31549;width:14922;height:10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" fillcolor="white [3201]" stroked="f" strokeweight="1.25pt">
                  <v:textbox inset="0,0,0,0">
                    <w:txbxContent>
                      <w:p w14:paraId="6EA8456F" w14:textId="77777777" w:rsidR="00E30324" w:rsidRPr="00116440" w:rsidRDefault="00E30324" w:rsidP="00A35EAF">
                        <w:pPr>
                          <w:pStyle w:val="BodyText"/>
                        </w:pPr>
                        <w:r w:rsidRPr="00116440">
                          <w:t>Tape road tubes as necessary within and between the lane with pavement tape (e.g., Marmac</w:t>
                        </w:r>
                        <w:r>
                          <w:t>).</w:t>
                        </w:r>
                      </w:p>
                    </w:txbxContent>
                  </v:textbox>
                </v:shape>
                <v:group id="Group 25" o:spid="_x0000_s1047" style="position:absolute;left:534;top:28822;width:40386;height:451" coordsize="37795,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rect id="Rectangle 26" o:spid="_x0000_s1048" style="position:absolute;width:5257;height:5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" fillcolor="yellow" strokecolor="black [3213]" strokeweight="1pt"/>
                  <v:rect id="Rectangle 27" o:spid="_x0000_s1049" style="position:absolute;left:10820;width:5258;height:5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" fillcolor="yellow" strokecolor="black [3213]" strokeweight="1pt"/>
                  <v:rect id="Rectangle 28" o:spid="_x0000_s1050" style="position:absolute;left:21717;width:5257;height:5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" fillcolor="yellow" strokecolor="black [3213]" strokeweight="1pt"/>
                  <v:rect id="Rectangle 29" o:spid="_x0000_s1051" style="position:absolute;left:32537;width:5258;height:5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" fillcolor="yellow" strokecolor="black [3213]" strokeweight="1pt"/>
                </v:group>
                <v:rect id="Rectangle 30" o:spid="_x0000_s1052" style="position:absolute;left:320;top:43527;width:40996;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" fillcolor="white [3212]" strokecolor="black [3213]" strokeweight="1pt"/>
                <v:shape id="Text Box 31" o:spid="_x0000_s1053" type="#_x0000_t202" style="position:absolute;left:15507;top:17539;width:5754;height:21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" fillcolor="white [3212]" stroked="f" strokeweight="1.25pt">
                  <v:textbox inset="0,0,0,0">
                    <w:txbxContent>
                      <w:p w14:paraId="718784A7" w14:textId="77777777" w:rsidR="00E30324" w:rsidRPr="00563375" w:rsidRDefault="00E30324" w:rsidP="008822A4">
                        <w:pPr>
                          <w:rPr>
                            <w:sz w:val="24"/>
                            <w:szCs w:val="24"/>
                          </w:rPr>
                        </w:pPr>
                        <w:r>
                          <w:rPr>
                            <w:sz w:val="24"/>
                            <w:szCs w:val="24"/>
                          </w:rPr>
                          <w:t>12 to 16’</w:t>
                        </w:r>
                      </w:p>
                    </w:txbxContent>
                  </v:textbox>
                </v:shape>
                <v:shape id="Straight Arrow Connector 32" o:spid="_x0000_s1054" type="#_x0000_t32" style="position:absolute;left:962;top:21058;width:446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" strokecolor="black [3200]" strokeweight="3pt">
                  <v:stroke endarrow="block" joinstyle="miter"/>
                </v:shape>
                <v:shape id="Straight Arrow Connector 33" o:spid="_x0000_s1055" type="#_x0000_t32" style="position:absolute;left:909;top:35977;width:453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" strokecolor="black [3200]" strokeweight="3pt">
                  <v:stroke endarrow="block" joinstyle="miter"/>
                </v:shape>
                <v:group id="Group 34" o:spid="_x0000_s1056" style="position:absolute;left:7432;top:44783;width:23067;height:11400" coordorigin="-224,-27" coordsize="23067,11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rect id="Rectangle 35" o:spid="_x0000_s1057" style="position:absolute;left:10265;top:8134;width:3350;height:1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" fillcolor="#747070 [1614]" strokecolor="black [1600]" strokeweight="1pt"/>
                  <v:rect id="Rectangle 36" o:spid="_x0000_s1058" style="position:absolute;left:12285;top:7685;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" fillcolor="#747070 [1614]" strokecolor="black [1600]" strokeweight="1pt"/>
                  <v:shape id="Freeform 121" o:spid="_x0000_s1059" style="position:absolute;left:44;top:457;width:11342;height:7187;visibility:visible;mso-wrap-style:square;v-text-anchor:middle" coordsize="767591,708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" path="m,c,39495,,78991,46364,110759v46364,31768,154547,42500,231820,79849c355457,227957,442175,283765,510004,334851v67829,51086,134369,115481,175152,162274c725939,543918,740965,580408,754702,615610v13737,35202,12879,92728,12879,92728l767581,708338e" filled="f" strokecolor="black [3200]" strokeweight="1.5pt">
                    <v:stroke joinstyle="miter"/>
                    <v:path arrowok="t" o:connecttype="custom" o:connectlocs="0,0;68508,112382;411047,193401;753586,339757;1012392,504409;1115154,624630;1134184,718717;1134184,718717" o:connectangles="0,0,0,0,0,0,0,0"/>
                  </v:shape>
                  <v:rect id="Rectangle 38" o:spid="_x0000_s1060" style="position:absolute;left:22102;top:-27;width:740;height: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" fillcolor="#747070 [1614]" strokecolor="black [1600]" strokeweight="1pt"/>
                  <v:rect id="Rectangle 39" o:spid="_x0000_s1061" style="position:absolute;left:-224;width:739;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" fillcolor="#747070 [1614]" strokecolor="black [1600]" strokeweight="1pt"/>
                  <v:oval id="Oval 40" o:spid="_x0000_s1062" style="position:absolute;left:11387;top:10041;width:1359;height:1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" fillcolor="gray [1629]" strokecolor="black [3213]" strokeweight="1pt">
                    <v:stroke joinstyle="miter"/>
                  </v:oval>
                </v:group>
                <v:shape id="Text Box 41" o:spid="_x0000_s1063" type="#_x0000_t202" style="position:absolute;left:25988;top:54382;width:17829;height:57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" fillcolor="white [3201]" stroked="f" strokeweight="1.25pt">
                  <v:textbox inset="0,0,0,0">
                    <w:txbxContent>
                      <w:p w14:paraId="49162AD3" w14:textId="77777777" w:rsidR="00E30324" w:rsidRPr="00563375" w:rsidRDefault="00E30324" w:rsidP="00A35EAF">
                        <w:pPr>
                          <w:pStyle w:val="BodyText"/>
                        </w:pPr>
                        <w:r>
                          <w:t>Existing service pole or other</w:t>
                        </w:r>
                        <w:r w:rsidRPr="005F69C8">
                          <w:t xml:space="preserve"> </w:t>
                        </w:r>
                        <w:r>
                          <w:t>permanent structure.</w:t>
                        </w:r>
                      </w:p>
                    </w:txbxContent>
                  </v:textbox>
                </v:shape>
                <v:shape id="Straight Arrow Connector 42" o:spid="_x0000_s1064" type="#_x0000_t32" style="position:absolute;left:15026;top:52725;width:2222;height:6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" strokecolor="black [3213]" strokeweight=".5pt">
                  <v:stroke endarrow="block" joinstyle="miter"/>
                </v:shape>
                <v:shape id="Straight Arrow Connector 43" o:spid="_x0000_s1065" type="#_x0000_t32" style="position:absolute;left:30635;top:46095;width:267;height:315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" strokecolor="black [3213]" strokeweight=".5pt">
                  <v:stroke endarrow="block" joinstyle="miter"/>
                </v:shape>
                <v:shape id="Straight Arrow Connector 44" o:spid="_x0000_s1066" type="#_x0000_t32" style="position:absolute;left:8829;top:45085;width:19751;height:590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" strokecolor="black [3213]" strokeweight=".5pt">
                  <v:stroke endarrow="block" joinstyle="miter"/>
                </v:shape>
                <v:shape id="Text Box 45" o:spid="_x0000_s1067" type="#_x0000_t202" style="position:absolute;left:29891;top:48823;width:17971;height:4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" fillcolor="white [3201]" stroked="f" strokeweight="1.25pt">
                  <v:textbox inset="0,0,0,0">
                    <w:txbxContent>
                      <w:p w14:paraId="29A2C3E5" w14:textId="77777777" w:rsidR="00E30324" w:rsidRPr="00563375" w:rsidRDefault="00E30324" w:rsidP="00A35EAF">
                        <w:pPr>
                          <w:pStyle w:val="BodyText"/>
                        </w:pPr>
                        <w:r>
                          <w:t>Hold-down clamps, saddles or fasteners, nailed in place.</w:t>
                        </w:r>
                      </w:p>
                    </w:txbxContent>
                  </v:textbox>
                </v:shape>
                <v:shape id="Text Box 46" o:spid="_x0000_s1068" type="#_x0000_t202" style="position:absolute;left:33153;top:16111;width:14420;height:81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" fillcolor="white [3201]" stroked="f" strokeweight="1.25pt">
                  <v:textbox inset="0,0,0,0">
                    <w:txbxContent>
                      <w:p w14:paraId="519FD23C" w14:textId="77777777" w:rsidR="00E30324" w:rsidRPr="00116440" w:rsidRDefault="00E30324" w:rsidP="00A35EAF">
                        <w:pPr>
                          <w:pStyle w:val="BodyText"/>
                        </w:pPr>
                        <w:r w:rsidRPr="00116440">
                          <w:t xml:space="preserve">Sensor </w:t>
                        </w:r>
                        <w:r>
                          <w:t>s</w:t>
                        </w:r>
                        <w:r w:rsidRPr="00116440">
                          <w:t>pacing may be different based on State's specification.</w:t>
                        </w:r>
                      </w:p>
                    </w:txbxContent>
                  </v:textbox>
                </v:shape>
                <v:oval id="Oval 47" o:spid="_x0000_s1069" style="position:absolute;left:29624;top:28608;width:1079;height: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" fillcolor="black [3200]" strokecolor="black [1600]" strokeweight="1pt">
                  <v:stroke joinstyle="miter"/>
                </v:oval>
                <v:shape id="Text Box 48" o:spid="_x0000_s1070" type="#_x0000_t202" style="position:absolute;left:10505;top:34330;width:17146;height:8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" fillcolor="white [3201]" stroked="f" strokeweight="1.25pt">
                  <v:textbox inset="0,0,0,0">
                    <w:txbxContent>
                      <w:p w14:paraId="7455E6EF" w14:textId="77777777" w:rsidR="00E30324" w:rsidRPr="00116440" w:rsidRDefault="00E30324" w:rsidP="00A35EAF">
                        <w:pPr>
                          <w:pStyle w:val="BodyText"/>
                        </w:pPr>
                        <w:r>
                          <w:t>Knot centered on 100’ tube; position on centerline.</w:t>
                        </w:r>
                      </w:p>
                    </w:txbxContent>
                  </v:textbox>
                </v:shape>
                <v:shape id="Straight Arrow Connector 49" o:spid="_x0000_s1071" type="#_x0000_t32" style="position:absolute;left:8402;top:30112;width:3638;height:358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" strokecolor="black [3213]" strokeweight=".5pt">
                  <v:stroke endarrow="block" joinstyle="miter"/>
                </v:shape>
                <v:group id="Group 50" o:spid="_x0000_s1072" style="position:absolute;left:7486;top:2192;width:23067;height:10926;rotation:180" coordorigin=",448" coordsize="23067,10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">
                  <v:rect id="Rectangle 51" o:spid="_x0000_s1073" style="position:absolute;left:10265;top:8134;width:3350;height:1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" fillcolor="#747070 [1614]" strokecolor="black [1600]" strokeweight="1pt"/>
                  <v:rect id="Rectangle 52" o:spid="_x0000_s1074" style="position:absolute;left:10995;top:7685;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" fillcolor="#747070 [1614]" strokecolor="black [1600]" strokeweight="1pt"/>
                  <v:rect id="Rectangle 53" o:spid="_x0000_s1075" style="position:absolute;left:12285;top:7685;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" fillcolor="#747070 [1614]" strokecolor="black [1600]" strokeweight="1pt"/>
                  <v:shape id="Freeform 121" o:spid="_x0000_s1076" style="position:absolute;left:396;top:562;width:10834;height:7083;visibility:visible;mso-wrap-style:square;v-text-anchor:middle" coordsize="767591,708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" path="m,c,39495,,78991,46364,110759v46364,31768,154547,42500,231820,79849c355457,227957,442175,283765,510004,334851v67829,51086,134369,115481,175152,162274c725939,543918,740965,580408,754702,615610v13737,35202,12879,92728,12879,92728l767581,708338e" filled="f" strokecolor="black [3200]" strokeweight="1.5pt">
                    <v:stroke joinstyle="miter"/>
                    <v:path arrowok="t" o:connecttype="custom" o:connectlocs="0,0;65439,110759;392632,190608;719825,334851;967036,497125;1065194,615610;1083372,708338;1083372,708338" o:connectangles="0,0,0,0,0,0,0,0"/>
                  </v:shape>
                  <v:rect id="Rectangle 55" o:spid="_x0000_s1077" style="position:absolute;left:22327;top:560;width:740;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" fillcolor="#747070 [1614]" strokecolor="black [1600]" strokeweight="1pt"/>
                  <v:rect id="Rectangle 56" o:spid="_x0000_s1078" style="position:absolute;top:448;width:739;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" fillcolor="#747070 [1614]" strokecolor="black [1600]" strokeweight="1pt"/>
                  <v:oval id="Oval 57" o:spid="_x0000_s1079" style="position:absolute;left:11163;top:10041;width:1359;height:1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" fillcolor="gray [1629]" strokecolor="black [3213]" strokeweight="1pt">
                    <v:stroke joinstyle="miter"/>
                  </v:oval>
                </v:group>
                <v:shape id="Freeform 121" o:spid="_x0000_s1080" style="position:absolute;left:7860;top:5775;width:10103;height:6731;rotation:180;flip:y;visibility:visible;mso-wrap-style:square;v-text-anchor:middle" coordsize="767591,708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" path="m,c,39495,7422,67682,46364,110759v38942,43077,115208,102129,187286,147702c305728,304034,403579,344421,478830,384198v75251,39777,160347,74358,206326,112927c731135,535694,740965,580408,754702,615610v13737,35202,12879,92728,12879,92728l767581,708338e" filled="f" strokecolor="black [3200]" strokeweight="1.5pt">
                  <v:stroke joinstyle="miter"/>
                  <v:path arrowok="t" o:connecttype="custom" o:connectlocs="0,0;61023,105249;307525,245603;630225,365085;901786,472394;993321,584985;1010272,673100;1010272,673100" o:connectangles="0,0,0,0,0,0,0,0"/>
                </v:shape>
                <v:shape id="Text Box 59" o:spid="_x0000_s1081" type="#_x0000_t202" style="position:absolute;left:25400;width:22227;height:4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" fillcolor="white [3201]" stroked="f" strokeweight="1.25pt">
                  <v:textbox inset="0,0,0,0">
                    <w:txbxContent>
                      <w:p w14:paraId="14ADFCB6" w14:textId="77777777" w:rsidR="00E30324" w:rsidRPr="00563375" w:rsidRDefault="00E30324" w:rsidP="00A35EAF">
                        <w:pPr>
                          <w:pStyle w:val="BodyText"/>
                        </w:pPr>
                        <w:r>
                          <w:t>Existing service pole or other</w:t>
                        </w:r>
                        <w:r w:rsidRPr="005F69C8">
                          <w:t xml:space="preserve"> </w:t>
                        </w:r>
                        <w:r>
                          <w:t>permanent structure.</w:t>
                        </w:r>
                      </w:p>
                    </w:txbxContent>
                  </v:textbox>
                </v:shape>
                <v:shape id="Text Box 60" o:spid="_x0000_s1082" type="#_x0000_t202" style="position:absolute;left:25506;top:5240;width:22230;height:4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" fillcolor="white [3201]" stroked="f" strokeweight="1.25pt">
                  <v:textbox inset="0,0,0,0">
                    <w:txbxContent>
                      <w:p w14:paraId="1AF28DA5" w14:textId="77777777" w:rsidR="00E30324" w:rsidRPr="00563375" w:rsidRDefault="00E30324" w:rsidP="00A35EAF">
                        <w:pPr>
                          <w:pStyle w:val="BodyText"/>
                        </w:pPr>
                        <w:r>
                          <w:t>Portable counter, temporarily secured to permanent structure.</w:t>
                        </w:r>
                      </w:p>
                    </w:txbxContent>
                  </v:textbox>
                </v:shape>
                <v:shape id="Straight Arrow Connector 61" o:spid="_x0000_s1083" type="#_x0000_t32" style="position:absolute;left:21075;top:4712;width:4032;height:222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" strokecolor="black [3213]" strokeweight=".5pt">
                  <v:stroke endarrow="block" joinstyle="miter"/>
                </v:shape>
                <v:shape id="Straight Arrow Connector 62" o:spid="_x0000_s1084" type="#_x0000_t32" style="position:absolute;left:20326;top:2329;width:4318;height:57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" strokecolor="black [3213]" strokeweight=".5pt">
                  <v:stroke endarrow="block" joinstyle="miter"/>
                </v:shape>
                <v:shape id="Text Box 63" o:spid="_x0000_s1085" type="#_x0000_t202" style="position:absolute;left:641;top:163;width:12840;height:6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" fillcolor="white [3201]" stroked="f" strokeweight="1.25pt">
                  <v:textbox inset="0,0,0,0">
                    <w:txbxContent>
                      <w:p w14:paraId="7408618E" w14:textId="77777777" w:rsidR="00E30324" w:rsidRPr="00563375" w:rsidRDefault="00E30324" w:rsidP="00A35EAF">
                        <w:pPr>
                          <w:pStyle w:val="BodyText"/>
                        </w:pPr>
                        <w:r>
                          <w:t>Hold-down clamps, saddles or fasteners, nailed in place.</w:t>
                        </w:r>
                      </w:p>
                    </w:txbxContent>
                  </v:textbox>
                </v:shape>
                <v:shape id="Straight Arrow Connector 64" o:spid="_x0000_s1086" type="#_x0000_t32" style="position:absolute;left:11978;top:6256;width:17071;height:64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" strokecolor="black [3213]" strokeweight=".5pt">
                  <v:stroke endarrow="block" joinstyle="miter"/>
                </v:shape>
                <v:shape id="Straight Arrow Connector 65" o:spid="_x0000_s1087" type="#_x0000_t32" style="position:absolute;left:5882;top:7860;width:1524;height:36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" strokecolor="black [3213]" strokeweight=".5pt">
                  <v:stroke endarrow="block" joinstyle="miter"/>
                </v:shape>
                <v:shape id="Straight Arrow Connector 66" o:spid="_x0000_s1088" type="#_x0000_t32" style="position:absolute;left:20724;top:19233;width:11811;height:196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" strokecolor="black [3213]" strokeweight=".5pt">
                  <v:stroke endarrow="block" joinstyle="miter"/>
                </v:shape>
                <v:oval id="Oval 67" o:spid="_x0000_s1089" style="position:absolute;left:7325;top:28608;width:1080;height: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" fillcolor="black [3200]" strokecolor="black [1600]" strokeweight="1pt">
                  <v:stroke joinstyle="miter"/>
                </v:oval>
                <v:shape id="Straight Arrow Connector 68" o:spid="_x0000_s1090" type="#_x0000_t32" style="position:absolute;left:30433;top:33534;width:2986;height:99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" strokecolor="black [3213]" strokeweight=".5pt">
                  <v:stroke endarrow="block" joinstyle="miter"/>
                </v:shape>
                <w10:wrap type="topAndBottom"/>
              </v:group>
            </w:pict>
          </mc:Fallback>
        </mc:AlternateContent>
      </w:r>
    </w:p>
    <w:p w14:paraId="178A4FEA" w14:textId="22EB2620" w:rsidR="008822A4" w:rsidRPr="00855E7E" w:rsidRDefault="008822A4" w:rsidP="0010467B">
      <w:pPr>
        <w:pStyle w:val="Source"/>
        <w:ind w:left="180"/>
      </w:pPr>
      <w:r>
        <w:t>Source:</w:t>
      </w:r>
      <w:r w:rsidR="0061163F">
        <w:t xml:space="preserve"> </w:t>
      </w:r>
      <w:r>
        <w:t xml:space="preserve"> FHWA, adopted from Maine DOT practice.</w:t>
      </w:r>
    </w:p>
    <w:p w14:paraId="49B52F12" w14:textId="7E472139" w:rsidR="00E049F5" w:rsidRPr="007679D4" w:rsidRDefault="00E049F5" w:rsidP="00E049F5">
      <w:pPr>
        <w:pStyle w:val="TMGFigureCaption"/>
        <w:rPr>
          <w:rFonts w:eastAsia="Calibri"/>
        </w:rPr>
      </w:pPr>
      <w:bookmarkStart w:id="821" w:name="_Toc76042451"/>
      <w:bookmarkStart w:id="822" w:name="_Toc120626561"/>
      <w:r w:rsidRPr="007679D4">
        <w:t xml:space="preserve">Figure </w:t>
      </w:r>
      <w:r>
        <w:rPr>
          <w:noProof/>
        </w:rPr>
        <w:fldChar w:fldCharType="begin"/>
      </w:r>
      <w:r>
        <w:rPr>
          <w:noProof/>
        </w:rPr>
        <w:instrText xml:space="preserve"> STYLEREF 1 \s </w:instrText>
      </w:r>
      <w:r>
        <w:rPr>
          <w:noProof/>
        </w:rPr>
        <w:fldChar w:fldCharType="separate"/>
      </w:r>
      <w:r w:rsidR="00C07DF9">
        <w:rPr>
          <w:noProof/>
        </w:rPr>
        <w:t>2</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C07DF9">
        <w:rPr>
          <w:noProof/>
        </w:rPr>
        <w:t>8</w:t>
      </w:r>
      <w:r>
        <w:rPr>
          <w:noProof/>
        </w:rPr>
        <w:fldChar w:fldCharType="end"/>
      </w:r>
      <w:r w:rsidR="00E26EBD">
        <w:rPr>
          <w:noProof/>
        </w:rPr>
        <w:t>.</w:t>
      </w:r>
      <w:r w:rsidRPr="007679D4">
        <w:t xml:space="preserve"> Example of Portable Pneumatic Tube Layout</w:t>
      </w:r>
      <w:r>
        <w:t xml:space="preserve"> with </w:t>
      </w:r>
      <w:r w:rsidR="0061163F">
        <w:t>a</w:t>
      </w:r>
      <w:r>
        <w:t xml:space="preserve"> Knot and Two Counters</w:t>
      </w:r>
      <w:bookmarkEnd w:id="821"/>
      <w:bookmarkEnd w:id="822"/>
    </w:p>
    <w:p w14:paraId="473ADA59" w14:textId="77777777" w:rsidR="008822A4" w:rsidRDefault="008822A4" w:rsidP="000C4FB1">
      <w:pPr>
        <w:widowControl/>
        <w:adjustRightInd/>
        <w:jc w:val="left"/>
        <w:textAlignment w:val="auto"/>
        <w:rPr>
          <w:rFonts w:ascii="Cambria" w:hAnsi="Cambria"/>
          <w:i/>
          <w:iCs/>
          <w:color w:val="auto"/>
          <w:sz w:val="24"/>
          <w:szCs w:val="24"/>
        </w:rPr>
      </w:pPr>
      <w:r>
        <w:rPr>
          <w:rFonts w:ascii="Cambria" w:hAnsi="Cambria"/>
          <w:i/>
          <w:iCs/>
          <w:color w:val="auto"/>
          <w:sz w:val="24"/>
          <w:szCs w:val="24"/>
        </w:rPr>
        <w:br w:type="page"/>
      </w:r>
    </w:p>
    <w:p w14:paraId="37D771E8" w14:textId="5B6EBD69" w:rsidR="008822A4" w:rsidRPr="006A044D" w:rsidRDefault="008822A4" w:rsidP="006A044D">
      <w:pPr>
        <w:pStyle w:val="BodyText"/>
        <w:rPr>
          <w:rFonts w:ascii="Cambria" w:hAnsi="Cambria"/>
          <w:i/>
          <w:iCs/>
          <w:sz w:val="22"/>
          <w:szCs w:val="22"/>
        </w:rPr>
      </w:pPr>
      <w:r w:rsidRPr="006A044D">
        <w:rPr>
          <w:rFonts w:ascii="Cambria" w:hAnsi="Cambria"/>
          <w:i/>
          <w:iCs/>
          <w:sz w:val="22"/>
          <w:szCs w:val="22"/>
        </w:rPr>
        <w:lastRenderedPageBreak/>
        <w:t>Staggered WIM Sensor Configurations for Plate Sensors (Bending Plate, Load Cell)</w:t>
      </w:r>
      <w:bookmarkEnd w:id="820"/>
    </w:p>
    <w:p w14:paraId="4B1BD41C" w14:textId="77777777" w:rsidR="008822A4" w:rsidRPr="00855E7E" w:rsidRDefault="008822A4" w:rsidP="002C1B45">
      <w:pPr>
        <w:keepNext/>
        <w:spacing w:line="256" w:lineRule="auto"/>
        <w:jc w:val="center"/>
        <w:rPr>
          <w:rStyle w:val="BodyTextChar"/>
          <w:rFonts w:ascii="Cambria" w:hAnsi="Cambria"/>
          <w:i/>
          <w:iCs/>
          <w:color w:val="auto"/>
          <w:sz w:val="24"/>
          <w:szCs w:val="24"/>
        </w:rPr>
      </w:pPr>
      <w:bookmarkStart w:id="823" w:name="_Toc52785418"/>
      <w:bookmarkStart w:id="824" w:name="_Toc34764874"/>
      <w:r w:rsidRPr="00855E7E">
        <w:rPr>
          <w:noProof/>
          <w:color w:val="auto"/>
        </w:rPr>
        <w:drawing>
          <wp:inline distT="0" distB="0" distL="0" distR="0" wp14:anchorId="2535C881" wp14:editId="129ADCC9">
            <wp:extent cx="5144416" cy="6172200"/>
            <wp:effectExtent l="0" t="0" r="0" b="0"/>
            <wp:docPr id="282" name="Picture 282" descr="Schematic top down view of a weigh-in-motion bending plate traffic sensor array for a two lane roadway.  Each lane has a 6’ wide bending plate in each wheel path.  There is a drain conduit for each bending plate frame.  Each lane has two loop sensors centered in each lane for each WIM sensor array that are spaced with a 12’ to 16’ leading edge to leading edge. Each loop is 6' by 8' (wide) in the lane.  On the roadside is shown blocks for a power source if AC powered or solar powered boxes represent either powering method.  There are 1 ½” conduits for the loop conduits to the pull box and a 2” conduit from the pull box to the main controller cabinet.  For communications a telephone drop if not telemetry is listed.  Between both sides of the road a dashed line shows a in ground conduit between pull boxes.  Pre-drilled holes are shown on the loop cor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82" descr="Schematic top down view of a weigh-in-motion bending plate traffic sensor array for a two lane roadway.  Each lane has a 6’ wide bending plate in each wheel path.  There is a drain conduit for each bending plate frame.  Each lane has two loop sensors centered in each lane for each WIM sensor array that are spaced with a 12’ to 16’ leading edge to leading edge. Each loop is 6' by 8' (wide) in the lane.  On the roadside is shown blocks for a power source if AC powered or solar powered boxes represent either powering method.  There are 1 ½” conduits for the loop conduits to the pull box and a 2” conduit from the pull box to the main controller cabinet.  For communications a telephone drop if not telemetry is listed.  Between both sides of the road a dashed line shows a in ground conduit between pull boxes.  Pre-drilled holes are shown on the loop corners."/>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144715" cy="6172559"/>
                    </a:xfrm>
                    <a:prstGeom prst="rect">
                      <a:avLst/>
                    </a:prstGeom>
                    <a:noFill/>
                    <a:ln>
                      <a:noFill/>
                    </a:ln>
                  </pic:spPr>
                </pic:pic>
              </a:graphicData>
            </a:graphic>
          </wp:inline>
        </w:drawing>
      </w:r>
    </w:p>
    <w:p w14:paraId="05A50A18" w14:textId="5C2ADC84" w:rsidR="008822A4" w:rsidRPr="00855E7E" w:rsidRDefault="008822A4" w:rsidP="0010467B">
      <w:pPr>
        <w:pStyle w:val="Source"/>
        <w:ind w:left="900"/>
      </w:pPr>
      <w:r>
        <w:t xml:space="preserve">Source: </w:t>
      </w:r>
      <w:r w:rsidR="0061163F">
        <w:t xml:space="preserve"> </w:t>
      </w:r>
      <w:r>
        <w:t>Federal Highway Administration.</w:t>
      </w:r>
    </w:p>
    <w:p w14:paraId="3E72FE83" w14:textId="55DB3A1A" w:rsidR="00E049F5" w:rsidRPr="00E049F5" w:rsidRDefault="00E049F5" w:rsidP="00E049F5">
      <w:pPr>
        <w:pStyle w:val="TMGFigureCaption"/>
      </w:pPr>
      <w:bookmarkStart w:id="825" w:name="_Ref114752045"/>
      <w:bookmarkStart w:id="826" w:name="_Toc63428103"/>
      <w:bookmarkStart w:id="827" w:name="_Toc114474787"/>
      <w:bookmarkStart w:id="828" w:name="_Toc120626562"/>
      <w:r w:rsidRPr="00E049F5">
        <w:t xml:space="preserve">Figure </w:t>
      </w:r>
      <w:fldSimple w:instr=" STYLEREF 1 \s ">
        <w:r w:rsidR="00C07DF9">
          <w:rPr>
            <w:noProof/>
          </w:rPr>
          <w:t>2</w:t>
        </w:r>
      </w:fldSimple>
      <w:r w:rsidRPr="00E049F5">
        <w:noBreakHyphen/>
      </w:r>
      <w:fldSimple w:instr=" SEQ Figure \* ARABIC \s 1 ">
        <w:r w:rsidR="00C07DF9">
          <w:rPr>
            <w:noProof/>
          </w:rPr>
          <w:t>9</w:t>
        </w:r>
      </w:fldSimple>
      <w:bookmarkEnd w:id="825"/>
      <w:r w:rsidR="00E26EBD">
        <w:t>.</w:t>
      </w:r>
      <w:r w:rsidRPr="00E049F5">
        <w:t xml:space="preserve"> Example of Staggered WIM Sensor Layout for Plate Sensors</w:t>
      </w:r>
      <w:bookmarkEnd w:id="826"/>
      <w:bookmarkEnd w:id="827"/>
      <w:bookmarkEnd w:id="828"/>
    </w:p>
    <w:p w14:paraId="1AC2A8DF" w14:textId="77777777" w:rsidR="008822A4" w:rsidRPr="00855E7E" w:rsidRDefault="008822A4" w:rsidP="00E049F5">
      <w:pPr>
        <w:widowControl/>
        <w:adjustRightInd/>
        <w:jc w:val="left"/>
        <w:textAlignment w:val="auto"/>
        <w:rPr>
          <w:rStyle w:val="BodyTextChar"/>
          <w:rFonts w:ascii="Cambria" w:hAnsi="Cambria"/>
          <w:i/>
          <w:iCs/>
          <w:color w:val="auto"/>
          <w:sz w:val="24"/>
          <w:szCs w:val="24"/>
        </w:rPr>
      </w:pPr>
      <w:r w:rsidRPr="00855E7E">
        <w:rPr>
          <w:rStyle w:val="BodyTextChar"/>
          <w:rFonts w:ascii="Cambria" w:hAnsi="Cambria"/>
          <w:i/>
          <w:iCs/>
          <w:color w:val="auto"/>
          <w:sz w:val="24"/>
          <w:szCs w:val="24"/>
        </w:rPr>
        <w:br w:type="page"/>
      </w:r>
    </w:p>
    <w:p w14:paraId="63C51FFF" w14:textId="5EFC0B78" w:rsidR="008822A4" w:rsidRPr="00F468E1" w:rsidRDefault="008822A4">
      <w:pPr>
        <w:pStyle w:val="Heading2"/>
        <w:spacing w:before="0"/>
      </w:pPr>
      <w:bookmarkStart w:id="829" w:name="_Toc52785420"/>
      <w:bookmarkStart w:id="830" w:name="_Toc63428134"/>
      <w:bookmarkStart w:id="831" w:name="_Toc68864936"/>
      <w:bookmarkStart w:id="832" w:name="_Toc114474721"/>
      <w:bookmarkStart w:id="833" w:name="_Toc118205595"/>
      <w:bookmarkEnd w:id="788"/>
      <w:bookmarkEnd w:id="823"/>
      <w:bookmarkEnd w:id="824"/>
      <w:r w:rsidRPr="00F468E1">
        <w:lastRenderedPageBreak/>
        <w:t>Selecting Micromobility Counting Equipment</w:t>
      </w:r>
      <w:bookmarkEnd w:id="829"/>
      <w:bookmarkEnd w:id="830"/>
      <w:bookmarkEnd w:id="831"/>
      <w:bookmarkEnd w:id="832"/>
      <w:bookmarkEnd w:id="833"/>
    </w:p>
    <w:p w14:paraId="1C69562D" w14:textId="2682A8B0" w:rsidR="008822A4" w:rsidRPr="00855E7E" w:rsidRDefault="008822A4" w:rsidP="00A35EAF">
      <w:pPr>
        <w:pStyle w:val="BodyText"/>
      </w:pPr>
      <w:r w:rsidRPr="00855E7E">
        <w:t>Proper selection of technologies to count micromobility (i.e., bicyclists, pedestrians, scooters, e-scooters, e-bikes, e-skateboards, hovercrafts, etc.) traffic volumes at fixed locations is an important consideration. This section differentiates between those technologies best suited to count pedestrians versus micro-powered travelers. The</w:t>
      </w:r>
      <w:r w:rsidR="00FB770F">
        <w:t> </w:t>
      </w:r>
      <w:r w:rsidRPr="00855E7E">
        <w:t xml:space="preserve">discussion also identifies those technologies that are ideal for short-duration (i.e., portable) count locations and those that are ideal for continuous (i.e., permanent) count locations. </w:t>
      </w:r>
    </w:p>
    <w:p w14:paraId="101BBC57" w14:textId="76CFC3E7" w:rsidR="008822A4" w:rsidRPr="00F468E1" w:rsidRDefault="008822A4">
      <w:pPr>
        <w:pStyle w:val="Heading3"/>
      </w:pPr>
      <w:bookmarkStart w:id="834" w:name="_Toc52785421"/>
      <w:bookmarkStart w:id="835" w:name="_Toc63428135"/>
      <w:bookmarkStart w:id="836" w:name="_Toc118205596"/>
      <w:r w:rsidRPr="00F468E1">
        <w:t>Challenges Unique to Micromobility Counting</w:t>
      </w:r>
      <w:bookmarkEnd w:id="834"/>
      <w:bookmarkEnd w:id="835"/>
      <w:bookmarkEnd w:id="836"/>
    </w:p>
    <w:p w14:paraId="13150DBB" w14:textId="56502206" w:rsidR="008822A4" w:rsidRPr="00855E7E" w:rsidRDefault="008822A4" w:rsidP="003B0722">
      <w:pPr>
        <w:pStyle w:val="BodyText"/>
      </w:pPr>
      <w:r w:rsidRPr="00855E7E">
        <w:t xml:space="preserve">Many of the basic technologies for </w:t>
      </w:r>
      <w:r w:rsidR="00665742">
        <w:t>m</w:t>
      </w:r>
      <w:r w:rsidRPr="00855E7E">
        <w:t xml:space="preserve">icromobility counting, presented earlier in this chapter in </w:t>
      </w:r>
      <w:r w:rsidR="006827F7">
        <w:fldChar w:fldCharType="begin"/>
      </w:r>
      <w:r w:rsidR="006827F7">
        <w:instrText xml:space="preserve"> REF _Ref114749775 \h </w:instrText>
      </w:r>
      <w:r w:rsidR="006827F7">
        <w:fldChar w:fldCharType="separate"/>
      </w:r>
      <w:r w:rsidR="00C07DF9" w:rsidRPr="00483FDF">
        <w:t xml:space="preserve">Table </w:t>
      </w:r>
      <w:r w:rsidR="00C07DF9">
        <w:rPr>
          <w:noProof/>
        </w:rPr>
        <w:t>2</w:t>
      </w:r>
      <w:r w:rsidR="00C07DF9">
        <w:noBreakHyphen/>
      </w:r>
      <w:r w:rsidR="00C07DF9">
        <w:rPr>
          <w:noProof/>
        </w:rPr>
        <w:t>4</w:t>
      </w:r>
      <w:r w:rsidR="006827F7">
        <w:fldChar w:fldCharType="end"/>
      </w:r>
      <w:r w:rsidRPr="00855E7E">
        <w:t xml:space="preserve">, are similar to those used to count cars and trucks; however, the design/configuration of the sensors and the signal processing methods are often quite different. Therefore, separate equipment typically is used to monitor micromobility. The goal of micromobility </w:t>
      </w:r>
      <w:r w:rsidRPr="003B0722">
        <w:t>counting</w:t>
      </w:r>
      <w:r w:rsidRPr="00855E7E">
        <w:t xml:space="preserve"> devices are to accurately count:</w:t>
      </w:r>
    </w:p>
    <w:p w14:paraId="29BC7449" w14:textId="77777777" w:rsidR="008822A4" w:rsidRPr="00855E7E" w:rsidRDefault="008822A4" w:rsidP="004F7DB0">
      <w:pPr>
        <w:numPr>
          <w:ilvl w:val="0"/>
          <w:numId w:val="26"/>
        </w:numPr>
        <w:spacing w:after="120"/>
        <w:ind w:left="648"/>
        <w:contextualSpacing/>
        <w:textAlignment w:val="baseline"/>
        <w:rPr>
          <w:color w:val="auto"/>
        </w:rPr>
      </w:pPr>
      <w:r w:rsidRPr="00855E7E">
        <w:rPr>
          <w:color w:val="auto"/>
        </w:rPr>
        <w:t>Pedestrians only</w:t>
      </w:r>
    </w:p>
    <w:p w14:paraId="3DC5D495" w14:textId="77777777" w:rsidR="008822A4" w:rsidRPr="00855E7E" w:rsidRDefault="008822A4" w:rsidP="004F7DB0">
      <w:pPr>
        <w:numPr>
          <w:ilvl w:val="0"/>
          <w:numId w:val="26"/>
        </w:numPr>
        <w:spacing w:after="120"/>
        <w:ind w:left="648"/>
        <w:contextualSpacing/>
        <w:textAlignment w:val="baseline"/>
        <w:rPr>
          <w:color w:val="auto"/>
        </w:rPr>
      </w:pPr>
      <w:r w:rsidRPr="00855E7E">
        <w:rPr>
          <w:color w:val="auto"/>
        </w:rPr>
        <w:t>Pedestrians and micromobility device users combined</w:t>
      </w:r>
    </w:p>
    <w:p w14:paraId="69793D94" w14:textId="77777777" w:rsidR="008822A4" w:rsidRPr="00855E7E" w:rsidRDefault="008822A4" w:rsidP="004F7DB0">
      <w:pPr>
        <w:numPr>
          <w:ilvl w:val="0"/>
          <w:numId w:val="26"/>
        </w:numPr>
        <w:spacing w:after="120"/>
        <w:ind w:left="648"/>
        <w:contextualSpacing/>
        <w:textAlignment w:val="baseline"/>
        <w:rPr>
          <w:color w:val="auto"/>
        </w:rPr>
      </w:pPr>
      <w:r w:rsidRPr="00855E7E">
        <w:rPr>
          <w:color w:val="auto"/>
        </w:rPr>
        <w:t>Pedestrians and micromobility device users separately</w:t>
      </w:r>
    </w:p>
    <w:p w14:paraId="6B3C54B8" w14:textId="77777777" w:rsidR="008822A4" w:rsidRPr="00613A01" w:rsidRDefault="008822A4" w:rsidP="003B0722">
      <w:pPr>
        <w:pStyle w:val="BodyText"/>
      </w:pPr>
      <w:r w:rsidRPr="00613A01">
        <w:t xml:space="preserve">Technological </w:t>
      </w:r>
      <w:r w:rsidRPr="003B0722">
        <w:t>challenges</w:t>
      </w:r>
      <w:r w:rsidRPr="00613A01">
        <w:t xml:space="preserve"> to pedestrians and micromobility device monitoring are as follows:</w:t>
      </w:r>
    </w:p>
    <w:p w14:paraId="048AFDA6" w14:textId="25B8F214" w:rsidR="008822A4" w:rsidRPr="00613A01" w:rsidRDefault="008822A4">
      <w:pPr>
        <w:pStyle w:val="TMGBullet"/>
        <w:contextualSpacing w:val="0"/>
      </w:pPr>
      <w:r w:rsidRPr="00613A01">
        <w:t>micromobility users are less confined to fixed lanes or paths of travel than motor vehicles, and sometimes make unpredictable movements. Pedestrians take shortcuts off the sidewalk or cross streets at unmarked crossing locations. Bicyclists sometimes ride on sidewalks or travel outside designated bikeways. They sometimes stop in front of a sensor to talk, wait, or even to examine the sensor. These actions make it difficult to place or aim sensors and decrease the accuracy of the sensor equipment.</w:t>
      </w:r>
    </w:p>
    <w:p w14:paraId="633184DF" w14:textId="00225D68" w:rsidR="008822A4" w:rsidRPr="00613A01" w:rsidRDefault="008822A4">
      <w:pPr>
        <w:pStyle w:val="TMGBullet"/>
      </w:pPr>
      <w:r w:rsidRPr="00613A01">
        <w:t>micromobility users sometimes travel in closely spaced groups, and some sensors have difficulty differentiating between individuals within the group. In these cases, a group with multiple persons is counted as one person, and the sensor underestimates the actual counts.</w:t>
      </w:r>
    </w:p>
    <w:p w14:paraId="7DC3485C" w14:textId="78655DE9" w:rsidR="008822A4" w:rsidRPr="00855E7E" w:rsidRDefault="008822A4" w:rsidP="00A35EAF">
      <w:pPr>
        <w:pStyle w:val="BodyText"/>
      </w:pPr>
      <w:r w:rsidRPr="00855E7E">
        <w:t>Despite these challenges, several technologies are capable of accurately count micromobility traffic. The growing demand for automatic counters, increased competition in the marketplace, and advancing collective knowledge with existing products have resulted in improvements in equipment accuracy and capabilities.</w:t>
      </w:r>
      <w:r w:rsidR="004D4172">
        <w:t xml:space="preserve"> </w:t>
      </w:r>
      <w:bookmarkStart w:id="837" w:name="_Toc52785422"/>
    </w:p>
    <w:p w14:paraId="47BBDA19" w14:textId="342B28FA" w:rsidR="008822A4" w:rsidRPr="00F468E1" w:rsidRDefault="008822A4">
      <w:pPr>
        <w:pStyle w:val="Heading3"/>
      </w:pPr>
      <w:bookmarkStart w:id="838" w:name="_Toc63428136"/>
      <w:bookmarkStart w:id="839" w:name="_Toc118205597"/>
      <w:r w:rsidRPr="00F468E1">
        <w:t xml:space="preserve">How to Select </w:t>
      </w:r>
      <w:bookmarkStart w:id="840" w:name="_Hlk52454657"/>
      <w:r w:rsidRPr="00F468E1">
        <w:t xml:space="preserve">Micromobility </w:t>
      </w:r>
      <w:bookmarkEnd w:id="840"/>
      <w:r w:rsidRPr="00F468E1">
        <w:t>Counting Equipment Type</w:t>
      </w:r>
      <w:bookmarkEnd w:id="837"/>
      <w:bookmarkEnd w:id="838"/>
      <w:bookmarkEnd w:id="839"/>
    </w:p>
    <w:p w14:paraId="0CAAC17C" w14:textId="72DEA4F2" w:rsidR="008822A4" w:rsidRPr="00855E7E" w:rsidRDefault="008822A4" w:rsidP="00A35EAF">
      <w:pPr>
        <w:pStyle w:val="BodyText"/>
      </w:pPr>
      <w:r w:rsidRPr="00855E7E">
        <w:t>Commercially available counters use a variety of technologies and features that vary dramatically and affect how, what, where, and how long counts are collected. Even within a specific technology, the accuracy of commercially available products varies significantly based on configuration, installation, and level of use. Cost per data point also var</w:t>
      </w:r>
      <w:r w:rsidR="00536F22">
        <w:t>ies</w:t>
      </w:r>
      <w:r w:rsidRPr="00855E7E">
        <w:t xml:space="preserve"> greatly between counter technologies. Equipment calibration/validation needs must be also considered to ensure that count data are within the bounds of acceptable accuracy. Annual calibration is recommended.</w:t>
      </w:r>
    </w:p>
    <w:p w14:paraId="0DCD61B4" w14:textId="35EA30A0" w:rsidR="008822A4" w:rsidRPr="00855E7E" w:rsidRDefault="00D209D5" w:rsidP="003B0722">
      <w:pPr>
        <w:pStyle w:val="BodyText"/>
      </w:pPr>
      <w:r>
        <w:fldChar w:fldCharType="begin"/>
      </w:r>
      <w:r>
        <w:instrText xml:space="preserve"> REF _Ref114752151 \h </w:instrText>
      </w:r>
      <w:r>
        <w:fldChar w:fldCharType="separate"/>
      </w:r>
      <w:r w:rsidR="00C07DF9" w:rsidRPr="007679D4">
        <w:t xml:space="preserve">Figure </w:t>
      </w:r>
      <w:r w:rsidR="00C07DF9">
        <w:rPr>
          <w:noProof/>
        </w:rPr>
        <w:t>2</w:t>
      </w:r>
      <w:r w:rsidR="00C07DF9">
        <w:noBreakHyphen/>
      </w:r>
      <w:r w:rsidR="00C07DF9">
        <w:rPr>
          <w:noProof/>
        </w:rPr>
        <w:t>10</w:t>
      </w:r>
      <w:r>
        <w:fldChar w:fldCharType="end"/>
      </w:r>
      <w:r w:rsidR="008822A4" w:rsidRPr="00CF3843">
        <w:t xml:space="preserve"> presents</w:t>
      </w:r>
      <w:r w:rsidR="008822A4" w:rsidRPr="00855E7E">
        <w:t xml:space="preserve"> a simplified flowchart that helps to narrow possible choices based on the two most important aspects of </w:t>
      </w:r>
      <w:r w:rsidR="008822A4" w:rsidRPr="003B0722">
        <w:t>data</w:t>
      </w:r>
      <w:r w:rsidR="008822A4" w:rsidRPr="00855E7E">
        <w:t xml:space="preserve"> collection:</w:t>
      </w:r>
    </w:p>
    <w:p w14:paraId="1B29FDF3" w14:textId="39FC494A" w:rsidR="008822A4" w:rsidRPr="00855E7E" w:rsidRDefault="008822A4" w:rsidP="004F7DB0">
      <w:pPr>
        <w:numPr>
          <w:ilvl w:val="0"/>
          <w:numId w:val="27"/>
        </w:numPr>
        <w:tabs>
          <w:tab w:val="left" w:pos="180"/>
        </w:tabs>
        <w:autoSpaceDE/>
        <w:autoSpaceDN/>
        <w:spacing w:after="120"/>
        <w:ind w:left="648"/>
        <w:jc w:val="left"/>
        <w:textAlignment w:val="baseline"/>
        <w:rPr>
          <w:color w:val="auto"/>
        </w:rPr>
      </w:pPr>
      <w:r w:rsidRPr="00855E7E">
        <w:rPr>
          <w:color w:val="auto"/>
        </w:rPr>
        <w:t>What are you counting? Only micromobility devices (bicycles, scooters, hoverboards, e-bikes, etc.), only pedestrians, pedestrians and micromobility devices combined, or pedestrians and micromobility devices separately?</w:t>
      </w:r>
      <w:r w:rsidR="004D4172">
        <w:rPr>
          <w:color w:val="auto"/>
        </w:rPr>
        <w:t xml:space="preserve"> </w:t>
      </w:r>
      <w:r w:rsidRPr="00855E7E">
        <w:rPr>
          <w:color w:val="auto"/>
        </w:rPr>
        <w:t xml:space="preserve">The </w:t>
      </w:r>
      <w:r w:rsidRPr="0047629D">
        <w:rPr>
          <w:i/>
          <w:iCs/>
          <w:color w:val="auto"/>
        </w:rPr>
        <w:t>TMG</w:t>
      </w:r>
      <w:r w:rsidRPr="00855E7E">
        <w:rPr>
          <w:color w:val="auto"/>
        </w:rPr>
        <w:t xml:space="preserve"> handles all 4 of these types of counts.</w:t>
      </w:r>
    </w:p>
    <w:p w14:paraId="350018A9" w14:textId="340695DB" w:rsidR="008822A4" w:rsidRPr="00855E7E" w:rsidRDefault="008822A4" w:rsidP="004F7DB0">
      <w:pPr>
        <w:numPr>
          <w:ilvl w:val="0"/>
          <w:numId w:val="27"/>
        </w:numPr>
        <w:tabs>
          <w:tab w:val="left" w:pos="180"/>
        </w:tabs>
        <w:autoSpaceDE/>
        <w:autoSpaceDN/>
        <w:spacing w:after="120"/>
        <w:ind w:left="648"/>
        <w:jc w:val="left"/>
        <w:textAlignment w:val="baseline"/>
        <w:rPr>
          <w:color w:val="auto"/>
        </w:rPr>
      </w:pPr>
      <w:r w:rsidRPr="00855E7E">
        <w:rPr>
          <w:color w:val="auto"/>
        </w:rPr>
        <w:t>How long are you counting? Permanent, temporary, or somewhere in-between?</w:t>
      </w:r>
    </w:p>
    <w:p w14:paraId="5FBEECE0" w14:textId="75AA5713" w:rsidR="008822A4" w:rsidRPr="00855E7E" w:rsidRDefault="008822A4" w:rsidP="00A35EAF">
      <w:pPr>
        <w:pStyle w:val="BodyText"/>
      </w:pPr>
      <w:r w:rsidRPr="00855E7E">
        <w:t xml:space="preserve">Consider the following example: a city wishes to monitor a shared-use path and desires to count micromobility devices and pedestrians separately on a permanent basis. Using the simplified flowchart </w:t>
      </w:r>
      <w:r w:rsidR="0047629D">
        <w:t xml:space="preserve">in </w:t>
      </w:r>
      <w:r w:rsidR="00D209D5">
        <w:fldChar w:fldCharType="begin"/>
      </w:r>
      <w:r w:rsidR="00D209D5">
        <w:instrText xml:space="preserve"> REF _Ref114752151 \h </w:instrText>
      </w:r>
      <w:r w:rsidR="00D209D5">
        <w:fldChar w:fldCharType="separate"/>
      </w:r>
      <w:r w:rsidR="00C07DF9" w:rsidRPr="007679D4">
        <w:t xml:space="preserve">Figure </w:t>
      </w:r>
      <w:r w:rsidR="00C07DF9">
        <w:rPr>
          <w:noProof/>
        </w:rPr>
        <w:t>2</w:t>
      </w:r>
      <w:r w:rsidR="00C07DF9">
        <w:noBreakHyphen/>
      </w:r>
      <w:r w:rsidR="00C07DF9">
        <w:rPr>
          <w:noProof/>
        </w:rPr>
        <w:t>10</w:t>
      </w:r>
      <w:r w:rsidR="00D209D5">
        <w:fldChar w:fldCharType="end"/>
      </w:r>
      <w:r w:rsidRPr="007679D4">
        <w:t xml:space="preserve">, the first decision point is “What are you counting?” In this example, the city wants to count both modes separately (note the circled icons in </w:t>
      </w:r>
      <w:r w:rsidR="00D209D5">
        <w:fldChar w:fldCharType="begin"/>
      </w:r>
      <w:r w:rsidR="00D209D5">
        <w:instrText xml:space="preserve"> REF _Ref114752151 \h </w:instrText>
      </w:r>
      <w:r w:rsidR="00D209D5">
        <w:fldChar w:fldCharType="separate"/>
      </w:r>
      <w:r w:rsidR="00C07DF9" w:rsidRPr="007679D4">
        <w:t xml:space="preserve">Figure </w:t>
      </w:r>
      <w:r w:rsidR="00C07DF9">
        <w:rPr>
          <w:noProof/>
        </w:rPr>
        <w:t>2</w:t>
      </w:r>
      <w:r w:rsidR="00C07DF9">
        <w:noBreakHyphen/>
      </w:r>
      <w:r w:rsidR="00C07DF9">
        <w:rPr>
          <w:noProof/>
        </w:rPr>
        <w:t>10</w:t>
      </w:r>
      <w:r w:rsidR="00D209D5">
        <w:fldChar w:fldCharType="end"/>
      </w:r>
      <w:r w:rsidRPr="007679D4">
        <w:t>). The next question in the decision process is “How long will the counters be collecting data?” In this example, the city wants continuous data from a permanent location, so technologies toward the</w:t>
      </w:r>
      <w:r w:rsidRPr="00855E7E">
        <w:t xml:space="preserve"> middle and top of the table are relevant. Several equipment technologies are possible (e.g., pressure </w:t>
      </w:r>
      <w:r w:rsidRPr="00855E7E">
        <w:lastRenderedPageBreak/>
        <w:t>sensor and automated video imaging), but only a few have been used in common practice. Manual observers and video imaging with manual reduction are possible but are typically used for short-term data collection.</w:t>
      </w:r>
    </w:p>
    <w:p w14:paraId="3A923347" w14:textId="6B2A8AB6" w:rsidR="008822A4" w:rsidRDefault="004F7DB0" w:rsidP="00A35EAF">
      <w:pPr>
        <w:pStyle w:val="BodyText"/>
      </w:pPr>
      <w:r w:rsidRPr="004F7DB0">
        <w:rPr>
          <w:noProof/>
        </w:rPr>
        <w:drawing>
          <wp:anchor distT="0" distB="0" distL="114300" distR="114300" simplePos="0" relativeHeight="251701248" behindDoc="0" locked="0" layoutInCell="1" allowOverlap="1" wp14:anchorId="62856DC4" wp14:editId="4370EA93">
            <wp:simplePos x="0" y="0"/>
            <wp:positionH relativeFrom="column">
              <wp:posOffset>0</wp:posOffset>
            </wp:positionH>
            <wp:positionV relativeFrom="paragraph">
              <wp:posOffset>1178348</wp:posOffset>
            </wp:positionV>
            <wp:extent cx="5943600" cy="4943475"/>
            <wp:effectExtent l="0" t="0" r="0" b="0"/>
            <wp:wrapSquare wrapText="bothSides"/>
            <wp:docPr id="251" name="Picture 7" descr="A flow chart describing a the equipment selection process. 1. What are you counting? Micromobility device users only, pedestrians only, pedestrians and micro mobility device users combined, pedestrians and micro mobility device users separately. This is broken down according to technology and cost. 2. How long do you plan to use this technology? Ranging from permanent to temporary/short-term. Inductance loops are a common practice. They can detect Micromobility device users only and must be combined with other technology to classify pedestrians and bicyclists separately. The cost is mid-range. Magnetometers are possible for detection of micro mobility device users only and have a low to mid-range cost. Permanent installation is typical for asphalt or concrete pavements; temporary installation is possible for unpaved natural surface trails. Pressure sensors are possible with micromobility device users only, pedestrians only, a combination of pedestrian and micromobility device users combined, or you can use them to detect the pedestrians and micromobility device users separately and this is mid-range cost level. Next is radar sensor which can be used for micromobility device users only pedestrians only pedestrians and micromobility device users combined and is low to mid-range cost. Next is the seismic sensor which can be used for micromobility device users only pedestrians only pedestrians and micromobility users combined and is mid-range cost. We have video imaging automated which can be used for all micromobility device users only pedestrians only pedestrians and micromobility device users combined or detect them all separately and the cost is low to mid-range. Next, we have infrared sensor active or passive infrared if used for micromobility device users only they require specific mounting configuration to avoid counting cars and main traffic lanes or counting pedestrians on the sidewalk it can also be used to flying pedestrians only and pedestrians and micromobility device users combined or separately and the cost is low to mid-range. Next are pneumatic tubes which is a very common practice and this can be used for micromobility device users only. They can also be used for pedestrians and micromobility device users separately but it's not very common it must be combined with another technology to classify the pedestrians and bicyclists separately and cost is low to mid-range. Next is video imaging manual and it's possible to use that on micromobility device users only pedestrians only pedestrians and micromobility device users combined or put and it's very common to use them for pedestrian and micromobility device users separately that's very common practice and the cost can be low to high range. Last, we have manual observations which is a very common practice for all possibilities of micromobility device users only, pedestrians only, pedestrians and micromobility combined, or if you're classifying them separately. The cost for manual observation is from mid to high range.">
              <a:extLst xmlns:a="http://schemas.openxmlformats.org/drawingml/2006/main">
                <a:ext uri="{FF2B5EF4-FFF2-40B4-BE49-F238E27FC236}">
                  <a16:creationId xmlns:a16="http://schemas.microsoft.com/office/drawing/2014/main" id="{80E6C269-2B40-4D6B-B275-80D665AB62B7}"/>
                </a:ext>
              </a:extLst>
            </wp:docPr>
            <wp:cNvGraphicFramePr/>
            <a:graphic xmlns:a="http://schemas.openxmlformats.org/drawingml/2006/main">
              <a:graphicData uri="http://schemas.openxmlformats.org/drawingml/2006/picture">
                <pic:pic xmlns:pic="http://schemas.openxmlformats.org/drawingml/2006/picture">
                  <pic:nvPicPr>
                    <pic:cNvPr id="251" name="Picture 7" descr="A flow chart describing a the equipment selection process. 1. What are you counting? Micromobility device users only, pedestrians only, pedestrians and micro mobility device users combined, pedestrians and micro mobility device users separately. This is broken down according to technology and cost. 2. How long do you plan to use this technology? Ranging from permanent to temporary/short-term. Inductance loops are a common practice. They can detect Micromobility device users only and must be combined with other technology to classify pedestrians and bicyclists separately. The cost is mid-range. Magnetometers are possible for detection of micro mobility device users only and have a low to mid-range cost. Permanent installation is typical for asphalt or concrete pavements; temporary installation is possible for unpaved natural surface trails. Pressure sensors are possible with micromobility device users only, pedestrians only, a combination of pedestrian and micromobility device users combined, or you can use them to detect the pedestrians and micromobility device users separately and this is mid-range cost level. Next is radar sensor which can be used for micromobility device users only pedestrians only pedestrians and micromobility device users combined and is low to mid-range cost. Next is the seismic sensor which can be used for micromobility device users only pedestrians only pedestrians and micromobility users combined and is mid-range cost. We have video imaging automated which can be used for all micromobility device users only pedestrians only pedestrians and micromobility device users combined or detect them all separately and the cost is low to mid-range. Next, we have infrared sensor active or passive infrared if used for micromobility device users only they require specific mounting configuration to avoid counting cars and main traffic lanes or counting pedestrians on the sidewalk it can also be used to flying pedestrians only and pedestrians and micromobility device users combined or separately and the cost is low to mid-range. Next are pneumatic tubes which is a very common practice and this can be used for micromobility device users only. They can also be used for pedestrians and micromobility device users separately but it's not very common it must be combined with another technology to classify the pedestrians and bicyclists separately and cost is low to mid-range. Next is video imaging manual and it's possible to use that on micromobility device users only pedestrians only pedestrians and micromobility device users combined or put and it's very common to use them for pedestrian and micromobility device users separately that's very common practice and the cost can be low to high range. Last, we have manual observations which is a very common practice for all possibilities of micromobility device users only, pedestrians only, pedestrians and micromobility combined, or if you're classifying them separately. The cost for manual observation is from mid to high range.">
                      <a:extLst>
                        <a:ext uri="{FF2B5EF4-FFF2-40B4-BE49-F238E27FC236}">
                          <a16:creationId xmlns:a16="http://schemas.microsoft.com/office/drawing/2014/main" id="{80E6C269-2B40-4D6B-B275-80D665AB62B7}"/>
                        </a:ext>
                      </a:extLst>
                    </pic:cNvPr>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3600" cy="4943475"/>
                    </a:xfrm>
                    <a:prstGeom prst="rect">
                      <a:avLst/>
                    </a:prstGeom>
                    <a:noFill/>
                    <a:ln>
                      <a:noFill/>
                    </a:ln>
                  </pic:spPr>
                </pic:pic>
              </a:graphicData>
            </a:graphic>
          </wp:anchor>
        </w:drawing>
      </w:r>
      <w:r w:rsidR="008822A4" w:rsidRPr="00855E7E">
        <w:t xml:space="preserve">For a permanent site capable of counting pedestrians and bicyclists separately, two technologies will have to be paired together. Because inductance loops are more commonly used at permanent sites, the city staff selects a combined system that has an infrared pedestrian counter paired with an inductance loop detector for bicyclists. The infrared sensor by itself is not capable of differentiating between people walking or bicycling; however, when combined with the inductance loop detector, the bicyclist counts are automatically subtracted from the infrared sensor counts. Based on budget and commercial availability, a final decision is made about technology to be deployed. </w:t>
      </w:r>
    </w:p>
    <w:p w14:paraId="15C605D5" w14:textId="429D940F" w:rsidR="008822A4" w:rsidRPr="007679D4" w:rsidRDefault="008822A4" w:rsidP="004F7DB0">
      <w:pPr>
        <w:pStyle w:val="TMGFigureCaption"/>
      </w:pPr>
      <w:bookmarkStart w:id="841" w:name="_Ref114752151"/>
      <w:bookmarkStart w:id="842" w:name="_Toc63428104"/>
      <w:bookmarkStart w:id="843" w:name="_Toc114474788"/>
      <w:bookmarkStart w:id="844" w:name="_Toc120626563"/>
      <w:r w:rsidRPr="007679D4">
        <w:t xml:space="preserve">Figure </w:t>
      </w:r>
      <w:r w:rsidR="00ED7363">
        <w:rPr>
          <w:noProof/>
        </w:rPr>
        <w:fldChar w:fldCharType="begin"/>
      </w:r>
      <w:r w:rsidR="00ED7363">
        <w:rPr>
          <w:noProof/>
        </w:rPr>
        <w:instrText xml:space="preserve"> STYLEREF 1 \s </w:instrText>
      </w:r>
      <w:r w:rsidR="00ED7363">
        <w:rPr>
          <w:noProof/>
        </w:rPr>
        <w:fldChar w:fldCharType="separate"/>
      </w:r>
      <w:r w:rsidR="00C07DF9">
        <w:rPr>
          <w:noProof/>
        </w:rPr>
        <w:t>2</w:t>
      </w:r>
      <w:r w:rsidR="00ED7363">
        <w:rPr>
          <w:noProof/>
        </w:rPr>
        <w:fldChar w:fldCharType="end"/>
      </w:r>
      <w:r w:rsidR="00DB1EC4">
        <w:noBreakHyphen/>
      </w:r>
      <w:r w:rsidR="00ED7363">
        <w:rPr>
          <w:noProof/>
        </w:rPr>
        <w:fldChar w:fldCharType="begin"/>
      </w:r>
      <w:r w:rsidR="00ED7363">
        <w:rPr>
          <w:noProof/>
        </w:rPr>
        <w:instrText xml:space="preserve"> SEQ Figure \* ARABIC \s 1 </w:instrText>
      </w:r>
      <w:r w:rsidR="00ED7363">
        <w:rPr>
          <w:noProof/>
        </w:rPr>
        <w:fldChar w:fldCharType="separate"/>
      </w:r>
      <w:r w:rsidR="00C07DF9">
        <w:rPr>
          <w:noProof/>
        </w:rPr>
        <w:t>10</w:t>
      </w:r>
      <w:r w:rsidR="00ED7363">
        <w:rPr>
          <w:noProof/>
        </w:rPr>
        <w:fldChar w:fldCharType="end"/>
      </w:r>
      <w:bookmarkEnd w:id="841"/>
      <w:r w:rsidR="00D209D5">
        <w:rPr>
          <w:noProof/>
        </w:rPr>
        <w:t>.</w:t>
      </w:r>
      <w:r w:rsidRPr="007679D4">
        <w:t xml:space="preserve"> Equipment Selection Process</w:t>
      </w:r>
      <w:bookmarkEnd w:id="842"/>
      <w:bookmarkEnd w:id="843"/>
      <w:bookmarkEnd w:id="844"/>
    </w:p>
    <w:p w14:paraId="22FE6852" w14:textId="5A1862D9" w:rsidR="008822A4" w:rsidRPr="00F468E1" w:rsidRDefault="008822A4">
      <w:pPr>
        <w:pStyle w:val="Heading3"/>
      </w:pPr>
      <w:bookmarkStart w:id="845" w:name="_Toc52785423"/>
      <w:bookmarkStart w:id="846" w:name="_Toc63428137"/>
      <w:bookmarkStart w:id="847" w:name="_Toc118205598"/>
      <w:r w:rsidRPr="00F468E1">
        <w:t>Sensor Layout and Equipment Set-up</w:t>
      </w:r>
      <w:bookmarkEnd w:id="845"/>
      <w:bookmarkEnd w:id="846"/>
      <w:bookmarkEnd w:id="847"/>
    </w:p>
    <w:p w14:paraId="14F4E603" w14:textId="391431AE" w:rsidR="008822A4" w:rsidRPr="004F7DB0" w:rsidRDefault="008822A4" w:rsidP="00A35EAF">
      <w:pPr>
        <w:pStyle w:val="BodyText"/>
        <w:rPr>
          <w:rStyle w:val="Strong"/>
          <w:rFonts w:ascii="Cambria" w:hAnsi="Cambria"/>
          <w:sz w:val="22"/>
          <w:szCs w:val="22"/>
        </w:rPr>
      </w:pPr>
      <w:r w:rsidRPr="004F7DB0">
        <w:rPr>
          <w:rStyle w:val="Strong"/>
          <w:rFonts w:ascii="Cambria" w:hAnsi="Cambria"/>
          <w:sz w:val="22"/>
          <w:szCs w:val="22"/>
        </w:rPr>
        <w:t>Inductance Loop Detectors for Wheeled Micromobility Counting</w:t>
      </w:r>
    </w:p>
    <w:p w14:paraId="1228BADD" w14:textId="77777777" w:rsidR="008822A4" w:rsidRPr="00855E7E" w:rsidRDefault="008822A4" w:rsidP="00A35EAF">
      <w:pPr>
        <w:pStyle w:val="BodyText"/>
      </w:pPr>
      <w:r w:rsidRPr="00855E7E">
        <w:t xml:space="preserve">Inductance loop detectors do not require the presence of ferrous (i.e., iron, steel) bicycle frames; however, large conductive objects (like a car or truck) are more likely to meet the predetermined disruption criteria than smaller conductive or non-ferrous objects (like a motorcycle or bicycle). The sensitivity of an inductance loop should be changed to better detect motorcycles or bicycles, but the increased sensitivity often results in over counting for cars and trucks. For this reason, most agencies typically use dedicated loop detectors for counting bicycles rather than trying to use existing loop detectors to count cars, trucks, and bicycles. </w:t>
      </w:r>
    </w:p>
    <w:p w14:paraId="3F95657C" w14:textId="77777777" w:rsidR="008822A4" w:rsidRPr="00855E7E" w:rsidRDefault="008822A4" w:rsidP="00A35EAF">
      <w:pPr>
        <w:pStyle w:val="BodyText"/>
      </w:pPr>
      <w:r w:rsidRPr="00855E7E">
        <w:lastRenderedPageBreak/>
        <w:t>The preferred counting location is where bicycles are free-flowing and/or not likely to stop. Loop detectors for bicycle counting should be placed in lanes primarily used by bicycles. If the loop detectors are placed in lanes shared by motorized traffic and bicycles, special algorithms should be used to distinguish the bicycles from the motorized traffic.</w:t>
      </w:r>
    </w:p>
    <w:p w14:paraId="61631E89" w14:textId="77777777" w:rsidR="008822A4" w:rsidRPr="00855E7E" w:rsidRDefault="008822A4" w:rsidP="00A35EAF">
      <w:pPr>
        <w:pStyle w:val="BodyText"/>
      </w:pPr>
      <w:r w:rsidRPr="00855E7E">
        <w:t>Inductance loop detectors measure the direction of bicyclist travel using at least two possible options:</w:t>
      </w:r>
    </w:p>
    <w:p w14:paraId="32975B77" w14:textId="3ACBBF18" w:rsidR="008822A4" w:rsidRPr="00855E7E" w:rsidRDefault="008822A4" w:rsidP="004F7DB0">
      <w:pPr>
        <w:numPr>
          <w:ilvl w:val="0"/>
          <w:numId w:val="28"/>
        </w:numPr>
        <w:autoSpaceDE/>
        <w:autoSpaceDN/>
        <w:spacing w:after="120"/>
        <w:ind w:left="648"/>
        <w:jc w:val="left"/>
        <w:textAlignment w:val="baseline"/>
        <w:rPr>
          <w:color w:val="auto"/>
        </w:rPr>
      </w:pPr>
      <w:r w:rsidRPr="00855E7E">
        <w:rPr>
          <w:color w:val="auto"/>
        </w:rPr>
        <w:t xml:space="preserve">Installing an inductance loop within each directional travel lane and </w:t>
      </w:r>
      <w:r w:rsidR="00F75BE9" w:rsidRPr="00855E7E">
        <w:rPr>
          <w:color w:val="auto"/>
        </w:rPr>
        <w:t>if</w:t>
      </w:r>
      <w:r w:rsidRPr="00855E7E">
        <w:rPr>
          <w:color w:val="auto"/>
        </w:rPr>
        <w:t xml:space="preserve"> all (or a certain percentage) bicyclists in that lane are traveling in the specified direction (e.g., shared</w:t>
      </w:r>
      <w:r w:rsidR="008A03F0">
        <w:rPr>
          <w:color w:val="auto"/>
        </w:rPr>
        <w:t>-</w:t>
      </w:r>
      <w:r w:rsidRPr="00855E7E">
        <w:rPr>
          <w:color w:val="auto"/>
        </w:rPr>
        <w:t>use path or directional bike lane).</w:t>
      </w:r>
    </w:p>
    <w:p w14:paraId="739CBB12" w14:textId="77777777" w:rsidR="008822A4" w:rsidRPr="00855E7E" w:rsidRDefault="008822A4" w:rsidP="004F7DB0">
      <w:pPr>
        <w:numPr>
          <w:ilvl w:val="0"/>
          <w:numId w:val="28"/>
        </w:numPr>
        <w:autoSpaceDE/>
        <w:autoSpaceDN/>
        <w:spacing w:after="120"/>
        <w:ind w:left="648"/>
        <w:jc w:val="left"/>
        <w:textAlignment w:val="baseline"/>
        <w:rPr>
          <w:color w:val="auto"/>
        </w:rPr>
      </w:pPr>
      <w:r w:rsidRPr="00855E7E">
        <w:rPr>
          <w:color w:val="auto"/>
        </w:rPr>
        <w:t>Installing two inductance loops in series to infer direction from the timing of detection events for each loop.</w:t>
      </w:r>
    </w:p>
    <w:p w14:paraId="5EC18F62" w14:textId="77777777" w:rsidR="008822A4" w:rsidRPr="00855E7E" w:rsidRDefault="008822A4" w:rsidP="00A35EAF">
      <w:pPr>
        <w:pStyle w:val="BodyText"/>
      </w:pPr>
      <w:r w:rsidRPr="00855E7E">
        <w:t xml:space="preserve">The first option is the most used practice to date. For the second option, not all data loggers or controller equipment are capable of interpreting signals from a paired inductance loop sequence. </w:t>
      </w:r>
    </w:p>
    <w:p w14:paraId="42A68788" w14:textId="77777777" w:rsidR="008822A4" w:rsidRPr="00855E7E" w:rsidRDefault="008822A4" w:rsidP="003B0722">
      <w:pPr>
        <w:pStyle w:val="BodyText"/>
      </w:pPr>
      <w:r w:rsidRPr="00855E7E">
        <w:t xml:space="preserve">The most important variables in </w:t>
      </w:r>
      <w:r w:rsidRPr="003B0722">
        <w:t>accurate</w:t>
      </w:r>
      <w:r w:rsidRPr="00855E7E">
        <w:t xml:space="preserve"> bicycle detection via a loop detector are:</w:t>
      </w:r>
    </w:p>
    <w:p w14:paraId="09AA3996" w14:textId="761DEFD9" w:rsidR="008822A4" w:rsidRPr="00220AFE" w:rsidRDefault="008822A4">
      <w:pPr>
        <w:pStyle w:val="TMGBullet"/>
      </w:pPr>
      <w:r w:rsidRPr="00220AFE">
        <w:t xml:space="preserve">Loop configuration: Several different wire patterns have been used for counting bicycles, including quadrupole, diagonal quadrupole (also called Type D), chevron, and elongated diamond patterns (see </w:t>
      </w:r>
      <w:r w:rsidR="00D209D5">
        <w:fldChar w:fldCharType="begin"/>
      </w:r>
      <w:r w:rsidR="00D209D5">
        <w:instrText xml:space="preserve"> REF _Ref114752191 \h </w:instrText>
      </w:r>
      <w:r w:rsidR="00D209D5">
        <w:fldChar w:fldCharType="separate"/>
      </w:r>
      <w:r w:rsidR="00C07DF9" w:rsidRPr="004F7DB0">
        <w:t xml:space="preserve">Figure </w:t>
      </w:r>
      <w:r w:rsidR="00C07DF9">
        <w:rPr>
          <w:noProof/>
        </w:rPr>
        <w:t>2</w:t>
      </w:r>
      <w:r w:rsidR="00C07DF9" w:rsidRPr="004F7DB0">
        <w:noBreakHyphen/>
      </w:r>
      <w:r w:rsidR="00C07DF9">
        <w:rPr>
          <w:noProof/>
        </w:rPr>
        <w:t>11</w:t>
      </w:r>
      <w:r w:rsidR="00D209D5">
        <w:fldChar w:fldCharType="end"/>
      </w:r>
      <w:r w:rsidRPr="00220AFE">
        <w:t>). Loop configuration depends on travel behavior and road/trail type.</w:t>
      </w:r>
    </w:p>
    <w:p w14:paraId="626FE66A" w14:textId="77777777" w:rsidR="008822A4" w:rsidRPr="00220AFE" w:rsidRDefault="008822A4">
      <w:pPr>
        <w:pStyle w:val="TMGBullet"/>
      </w:pPr>
      <w:r w:rsidRPr="00220AFE">
        <w:t xml:space="preserve">Detector circuit sensitivity: The sensitivity should be high enough to detect non-ferrous bicycle frames but not so high as to detect motor vehicles in adjacent lanes. </w:t>
      </w:r>
    </w:p>
    <w:p w14:paraId="79E74FD0" w14:textId="121DB116" w:rsidR="008822A4" w:rsidRPr="00220AFE" w:rsidRDefault="008822A4">
      <w:pPr>
        <w:pStyle w:val="TMGBullet"/>
      </w:pPr>
      <w:r w:rsidRPr="00220AFE">
        <w:t xml:space="preserve">Bicycle position over the loop: Pavement stencils should be used to indicate optimal (i.e., most accurate) bicycle position over the loop detector, which is typically directly over the saw cut for the wire coil. </w:t>
      </w:r>
    </w:p>
    <w:p w14:paraId="39EDE090" w14:textId="112843D1" w:rsidR="008822A4" w:rsidRPr="00220AFE" w:rsidRDefault="008822A4">
      <w:pPr>
        <w:pStyle w:val="TMGBullet"/>
      </w:pPr>
      <w:r w:rsidRPr="00220AFE">
        <w:t xml:space="preserve">Bicycle size and composition: A large steel frame is more likely to disrupt the loop detector’s field than a smaller non-steel frame, but the threshold amount of ferrous metal is not a known quantity and varies based on the above three and other variables. Some inductance loop detectors detect bicycles with non-steel frames due to the presence of </w:t>
      </w:r>
      <w:r w:rsidR="00A132A7">
        <w:t>conductive material</w:t>
      </w:r>
      <w:r w:rsidRPr="00220AFE">
        <w:t xml:space="preserve"> in the wheels or other bicycle components.</w:t>
      </w:r>
    </w:p>
    <w:p w14:paraId="4005D46C" w14:textId="35148FCC" w:rsidR="00F665E5" w:rsidRDefault="00490545" w:rsidP="007047D1">
      <w:pPr>
        <w:pStyle w:val="BodyText"/>
        <w:tabs>
          <w:tab w:val="left" w:pos="2340"/>
          <w:tab w:val="center" w:pos="5310"/>
          <w:tab w:val="left" w:pos="6930"/>
        </w:tabs>
        <w:ind w:left="270"/>
      </w:pPr>
      <w:bookmarkStart w:id="848" w:name="_Toc450646676"/>
      <w:bookmarkStart w:id="849" w:name="_Toc363655921"/>
      <w:r>
        <w:rPr>
          <w:noProof/>
        </w:rPr>
        <w:drawing>
          <wp:inline distT="0" distB="0" distL="0" distR="0" wp14:anchorId="17B9D1A6" wp14:editId="36D8D198">
            <wp:extent cx="1116825" cy="855923"/>
            <wp:effectExtent l="0" t="0" r="7620" b="1905"/>
            <wp:docPr id="35853" name="Picture 358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3" name="Picture 35853">
                      <a:extLst>
                        <a:ext uri="{C183D7F6-B498-43B3-948B-1728B52AA6E4}">
                          <adec:decorative xmlns:adec="http://schemas.microsoft.com/office/drawing/2017/decorative" val="1"/>
                        </a:ext>
                      </a:extLst>
                    </pic:cNvPr>
                    <pic:cNvPicPr/>
                  </pic:nvPicPr>
                  <pic:blipFill rotWithShape="1">
                    <a:blip r:embed="rId88"/>
                    <a:srcRect l="2704" r="-1"/>
                    <a:stretch/>
                  </pic:blipFill>
                  <pic:spPr bwMode="auto">
                    <a:xfrm>
                      <a:off x="0" y="0"/>
                      <a:ext cx="1197994" cy="918130"/>
                    </a:xfrm>
                    <a:prstGeom prst="rect">
                      <a:avLst/>
                    </a:prstGeom>
                    <a:ln>
                      <a:noFill/>
                    </a:ln>
                    <a:extLst>
                      <a:ext uri="{53640926-AAD7-44D8-BBD7-CCE9431645EC}">
                        <a14:shadowObscured xmlns:a14="http://schemas.microsoft.com/office/drawing/2010/main"/>
                      </a:ext>
                    </a:extLst>
                  </pic:spPr>
                </pic:pic>
              </a:graphicData>
            </a:graphic>
          </wp:inline>
        </w:drawing>
      </w:r>
      <w:r w:rsidR="007047D1">
        <w:tab/>
      </w:r>
      <w:r w:rsidR="00F665E5">
        <w:t>Square</w:t>
      </w:r>
      <w:r w:rsidR="007047D1">
        <w:tab/>
      </w:r>
      <w:r>
        <w:rPr>
          <w:noProof/>
        </w:rPr>
        <w:drawing>
          <wp:inline distT="0" distB="0" distL="0" distR="0" wp14:anchorId="555DB49B" wp14:editId="36ED8BA9">
            <wp:extent cx="914400" cy="838571"/>
            <wp:effectExtent l="0" t="0" r="0" b="0"/>
            <wp:docPr id="35856" name="Picture 358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6" name="Picture 35856">
                      <a:extLst>
                        <a:ext uri="{C183D7F6-B498-43B3-948B-1728B52AA6E4}">
                          <adec:decorative xmlns:adec="http://schemas.microsoft.com/office/drawing/2017/decorative" val="1"/>
                        </a:ext>
                      </a:extLst>
                    </pic:cNvPr>
                    <pic:cNvPicPr/>
                  </pic:nvPicPr>
                  <pic:blipFill>
                    <a:blip r:embed="rId89"/>
                    <a:stretch>
                      <a:fillRect/>
                    </a:stretch>
                  </pic:blipFill>
                  <pic:spPr>
                    <a:xfrm>
                      <a:off x="0" y="0"/>
                      <a:ext cx="1054634" cy="967176"/>
                    </a:xfrm>
                    <a:prstGeom prst="rect">
                      <a:avLst/>
                    </a:prstGeom>
                  </pic:spPr>
                </pic:pic>
              </a:graphicData>
            </a:graphic>
          </wp:inline>
        </w:drawing>
      </w:r>
      <w:r w:rsidR="007047D1">
        <w:tab/>
      </w:r>
      <w:r>
        <w:t>Circle</w:t>
      </w:r>
    </w:p>
    <w:p w14:paraId="79A4BAFB" w14:textId="1B99B81A" w:rsidR="00490545" w:rsidRDefault="00490545" w:rsidP="007047D1">
      <w:pPr>
        <w:pStyle w:val="BodyText"/>
        <w:tabs>
          <w:tab w:val="left" w:pos="2340"/>
          <w:tab w:val="center" w:pos="5400"/>
          <w:tab w:val="left" w:pos="6930"/>
        </w:tabs>
        <w:ind w:left="270"/>
      </w:pPr>
      <w:r>
        <w:rPr>
          <w:noProof/>
        </w:rPr>
        <w:drawing>
          <wp:inline distT="0" distB="0" distL="0" distR="0" wp14:anchorId="3AC9438A" wp14:editId="5213AB42">
            <wp:extent cx="1116330" cy="1174074"/>
            <wp:effectExtent l="0" t="0" r="7620" b="7620"/>
            <wp:docPr id="35854" name="Picture 358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4" name="Picture 35854">
                      <a:extLst>
                        <a:ext uri="{C183D7F6-B498-43B3-948B-1728B52AA6E4}">
                          <adec:decorative xmlns:adec="http://schemas.microsoft.com/office/drawing/2017/decorative" val="1"/>
                        </a:ext>
                      </a:extLst>
                    </pic:cNvPr>
                    <pic:cNvPicPr/>
                  </pic:nvPicPr>
                  <pic:blipFill>
                    <a:blip r:embed="rId90"/>
                    <a:stretch>
                      <a:fillRect/>
                    </a:stretch>
                  </pic:blipFill>
                  <pic:spPr>
                    <a:xfrm>
                      <a:off x="0" y="0"/>
                      <a:ext cx="1172164" cy="1232796"/>
                    </a:xfrm>
                    <a:prstGeom prst="rect">
                      <a:avLst/>
                    </a:prstGeom>
                  </pic:spPr>
                </pic:pic>
              </a:graphicData>
            </a:graphic>
          </wp:inline>
        </w:drawing>
      </w:r>
      <w:r w:rsidR="007047D1">
        <w:tab/>
      </w:r>
      <w:r>
        <w:t>Rectangle</w:t>
      </w:r>
      <w:r w:rsidR="007047D1">
        <w:tab/>
      </w:r>
      <w:r>
        <w:rPr>
          <w:noProof/>
        </w:rPr>
        <w:drawing>
          <wp:inline distT="0" distB="0" distL="0" distR="0" wp14:anchorId="4FFC323E" wp14:editId="579DED26">
            <wp:extent cx="1591475" cy="968723"/>
            <wp:effectExtent l="0" t="0" r="8890" b="3175"/>
            <wp:docPr id="35857" name="Picture 358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7" name="Picture 35857">
                      <a:extLst>
                        <a:ext uri="{C183D7F6-B498-43B3-948B-1728B52AA6E4}">
                          <adec:decorative xmlns:adec="http://schemas.microsoft.com/office/drawing/2017/decorative" val="1"/>
                        </a:ext>
                      </a:extLst>
                    </pic:cNvPr>
                    <pic:cNvPicPr/>
                  </pic:nvPicPr>
                  <pic:blipFill>
                    <a:blip r:embed="rId91"/>
                    <a:stretch>
                      <a:fillRect/>
                    </a:stretch>
                  </pic:blipFill>
                  <pic:spPr>
                    <a:xfrm>
                      <a:off x="0" y="0"/>
                      <a:ext cx="1757986" cy="1070077"/>
                    </a:xfrm>
                    <a:prstGeom prst="rect">
                      <a:avLst/>
                    </a:prstGeom>
                  </pic:spPr>
                </pic:pic>
              </a:graphicData>
            </a:graphic>
          </wp:inline>
        </w:drawing>
      </w:r>
      <w:r w:rsidR="007047D1">
        <w:tab/>
      </w:r>
      <w:r w:rsidR="0069403D">
        <w:t>Modified Chevron</w:t>
      </w:r>
    </w:p>
    <w:p w14:paraId="5B1131CA" w14:textId="73388A05" w:rsidR="00490545" w:rsidRPr="007679D4" w:rsidRDefault="00490545" w:rsidP="007047D1">
      <w:pPr>
        <w:pStyle w:val="BodyText"/>
        <w:tabs>
          <w:tab w:val="left" w:pos="2340"/>
          <w:tab w:val="center" w:pos="5400"/>
          <w:tab w:val="left" w:pos="6930"/>
        </w:tabs>
        <w:ind w:left="270"/>
      </w:pPr>
      <w:r>
        <w:rPr>
          <w:noProof/>
        </w:rPr>
        <w:drawing>
          <wp:inline distT="0" distB="0" distL="0" distR="0" wp14:anchorId="00711166" wp14:editId="609FB367">
            <wp:extent cx="1116330" cy="1093682"/>
            <wp:effectExtent l="0" t="0" r="7620" b="0"/>
            <wp:docPr id="35855" name="Picture 358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5" name="Picture 35855">
                      <a:extLst>
                        <a:ext uri="{C183D7F6-B498-43B3-948B-1728B52AA6E4}">
                          <adec:decorative xmlns:adec="http://schemas.microsoft.com/office/drawing/2017/decorative" val="1"/>
                        </a:ext>
                      </a:extLst>
                    </pic:cNvPr>
                    <pic:cNvPicPr/>
                  </pic:nvPicPr>
                  <pic:blipFill rotWithShape="1">
                    <a:blip r:embed="rId92"/>
                    <a:srcRect t="3704"/>
                    <a:stretch/>
                  </pic:blipFill>
                  <pic:spPr bwMode="auto">
                    <a:xfrm>
                      <a:off x="0" y="0"/>
                      <a:ext cx="1190846" cy="1166686"/>
                    </a:xfrm>
                    <a:prstGeom prst="rect">
                      <a:avLst/>
                    </a:prstGeom>
                    <a:ln>
                      <a:noFill/>
                    </a:ln>
                    <a:extLst>
                      <a:ext uri="{53640926-AAD7-44D8-BBD7-CCE9431645EC}">
                        <a14:shadowObscured xmlns:a14="http://schemas.microsoft.com/office/drawing/2010/main"/>
                      </a:ext>
                    </a:extLst>
                  </pic:spPr>
                </pic:pic>
              </a:graphicData>
            </a:graphic>
          </wp:inline>
        </w:drawing>
      </w:r>
      <w:r w:rsidR="007047D1">
        <w:tab/>
      </w:r>
      <w:r>
        <w:t>Diamond</w:t>
      </w:r>
      <w:r w:rsidR="007047D1">
        <w:tab/>
      </w:r>
      <w:r w:rsidR="00326189">
        <w:rPr>
          <w:noProof/>
        </w:rPr>
        <w:drawing>
          <wp:inline distT="0" distB="0" distL="0" distR="0" wp14:anchorId="7E8A8B49" wp14:editId="69B26622">
            <wp:extent cx="1493753" cy="1097934"/>
            <wp:effectExtent l="0" t="0" r="0" b="6985"/>
            <wp:docPr id="35858" name="Picture 358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8" name="Picture 35858">
                      <a:extLst>
                        <a:ext uri="{C183D7F6-B498-43B3-948B-1728B52AA6E4}">
                          <adec:decorative xmlns:adec="http://schemas.microsoft.com/office/drawing/2017/decorative" val="1"/>
                        </a:ext>
                      </a:extLst>
                    </pic:cNvPr>
                    <pic:cNvPicPr/>
                  </pic:nvPicPr>
                  <pic:blipFill>
                    <a:blip r:embed="rId93"/>
                    <a:stretch>
                      <a:fillRect/>
                    </a:stretch>
                  </pic:blipFill>
                  <pic:spPr>
                    <a:xfrm>
                      <a:off x="0" y="0"/>
                      <a:ext cx="1640446" cy="1205756"/>
                    </a:xfrm>
                    <a:prstGeom prst="rect">
                      <a:avLst/>
                    </a:prstGeom>
                  </pic:spPr>
                </pic:pic>
              </a:graphicData>
            </a:graphic>
          </wp:inline>
        </w:drawing>
      </w:r>
      <w:r w:rsidR="007047D1">
        <w:tab/>
      </w:r>
      <w:r w:rsidR="00326189">
        <w:t>Double Diamond</w:t>
      </w:r>
    </w:p>
    <w:p w14:paraId="0712ABDE" w14:textId="461B6C8B" w:rsidR="004F7DB0" w:rsidRDefault="004F7DB0" w:rsidP="004F7DB0">
      <w:pPr>
        <w:pStyle w:val="TMGFigureCaption"/>
      </w:pPr>
      <w:bookmarkStart w:id="850" w:name="_Ref114752191"/>
      <w:bookmarkStart w:id="851" w:name="_Toc63428105"/>
      <w:bookmarkStart w:id="852" w:name="_Toc114474789"/>
      <w:bookmarkStart w:id="853" w:name="_Toc120626564"/>
      <w:bookmarkEnd w:id="848"/>
      <w:bookmarkEnd w:id="849"/>
      <w:r w:rsidRPr="004F7DB0">
        <w:t xml:space="preserve">Figure </w:t>
      </w:r>
      <w:fldSimple w:instr=" STYLEREF 1 \s ">
        <w:r w:rsidR="00C07DF9">
          <w:rPr>
            <w:noProof/>
          </w:rPr>
          <w:t>2</w:t>
        </w:r>
      </w:fldSimple>
      <w:r w:rsidRPr="004F7DB0">
        <w:noBreakHyphen/>
      </w:r>
      <w:fldSimple w:instr=" SEQ Figure \* ARABIC \s 1 ">
        <w:r w:rsidR="00C07DF9">
          <w:rPr>
            <w:noProof/>
          </w:rPr>
          <w:t>11</w:t>
        </w:r>
      </w:fldSimple>
      <w:bookmarkEnd w:id="850"/>
      <w:r w:rsidR="00D209D5">
        <w:t>.</w:t>
      </w:r>
      <w:r w:rsidRPr="004F7DB0">
        <w:t xml:space="preserve"> Examples </w:t>
      </w:r>
      <w:r w:rsidR="00411B1F">
        <w:t>o</w:t>
      </w:r>
      <w:r w:rsidRPr="004F7DB0">
        <w:t xml:space="preserve">f Inductance Loop Detector Shapes </w:t>
      </w:r>
      <w:r w:rsidR="003B0722">
        <w:t>f</w:t>
      </w:r>
      <w:r w:rsidRPr="004F7DB0">
        <w:t>or Bicyclist Counting</w:t>
      </w:r>
      <w:bookmarkEnd w:id="851"/>
      <w:bookmarkEnd w:id="852"/>
      <w:bookmarkEnd w:id="853"/>
    </w:p>
    <w:p w14:paraId="4B55813B" w14:textId="77777777" w:rsidR="00647627" w:rsidRDefault="00647627">
      <w:pPr>
        <w:widowControl/>
        <w:suppressAutoHyphens w:val="0"/>
        <w:autoSpaceDE/>
        <w:autoSpaceDN/>
        <w:adjustRightInd/>
        <w:spacing w:line="259" w:lineRule="auto"/>
        <w:jc w:val="left"/>
        <w:textAlignment w:val="auto"/>
        <w:rPr>
          <w:rStyle w:val="Strong"/>
          <w:rFonts w:ascii="Cambria" w:hAnsi="Cambria"/>
          <w:color w:val="auto"/>
          <w:sz w:val="22"/>
          <w:szCs w:val="22"/>
        </w:rPr>
      </w:pPr>
      <w:r>
        <w:rPr>
          <w:rStyle w:val="Strong"/>
          <w:rFonts w:ascii="Cambria" w:hAnsi="Cambria"/>
          <w:sz w:val="22"/>
          <w:szCs w:val="22"/>
        </w:rPr>
        <w:br w:type="page"/>
      </w:r>
    </w:p>
    <w:p w14:paraId="0827115E" w14:textId="394947D5" w:rsidR="008822A4" w:rsidRPr="004F7DB0" w:rsidRDefault="008822A4" w:rsidP="00A35EAF">
      <w:pPr>
        <w:pStyle w:val="BodyText"/>
        <w:rPr>
          <w:rStyle w:val="Strong"/>
          <w:rFonts w:ascii="Cambria" w:hAnsi="Cambria"/>
          <w:sz w:val="22"/>
          <w:szCs w:val="22"/>
        </w:rPr>
      </w:pPr>
      <w:r w:rsidRPr="004F7DB0">
        <w:rPr>
          <w:rStyle w:val="Strong"/>
          <w:rFonts w:ascii="Cambria" w:hAnsi="Cambria"/>
          <w:sz w:val="22"/>
          <w:szCs w:val="22"/>
        </w:rPr>
        <w:lastRenderedPageBreak/>
        <w:t>Infrared Sensors</w:t>
      </w:r>
    </w:p>
    <w:p w14:paraId="5DD1F067" w14:textId="75E45910" w:rsidR="008822A4" w:rsidRPr="00855E7E" w:rsidRDefault="008822A4" w:rsidP="00A35EAF">
      <w:pPr>
        <w:pStyle w:val="BodyText"/>
      </w:pPr>
      <w:r w:rsidRPr="00855E7E">
        <w:t>Two types of infrared sensors are used for micromobility detection: active infrared sensors and passive infrared sensors. For portable applications, infrared sensors should be enclosed in a vandal-resistant, lockable box and attached to an existing pole, fence post, or tree. For permanent applications, infrared sensors are often enclosed within wooden fence or other vertical posts.</w:t>
      </w:r>
    </w:p>
    <w:p w14:paraId="5A009488" w14:textId="5B6102EF" w:rsidR="008822A4" w:rsidRPr="00855E7E" w:rsidRDefault="008822A4" w:rsidP="00A35EAF">
      <w:pPr>
        <w:pStyle w:val="BodyText"/>
      </w:pPr>
      <w:r w:rsidRPr="00855E7E">
        <w:t>For micromobility counts, infrared sensors are frequently paired with another technology to improve differentiation between multiple persons in a group (i.e., side-by-side or closely spaced front-to-back and between bicyclists and pedestrians. Typical pairings include loops or axle sensors. In addition, use of an overhead gentry makes it easier to detect micromobility users traveling in a group. For example,</w:t>
      </w:r>
      <w:r w:rsidR="00D82E40">
        <w:t xml:space="preserve"> </w:t>
      </w:r>
      <w:r w:rsidR="00D82E40">
        <w:fldChar w:fldCharType="begin"/>
      </w:r>
      <w:r w:rsidR="00D82E40">
        <w:instrText xml:space="preserve"> REF _Ref116025103 \h </w:instrText>
      </w:r>
      <w:r w:rsidR="00D82E40">
        <w:fldChar w:fldCharType="separate"/>
      </w:r>
      <w:r w:rsidR="00C07DF9" w:rsidRPr="00C34163">
        <w:t xml:space="preserve">Figure </w:t>
      </w:r>
      <w:r w:rsidR="00C07DF9">
        <w:rPr>
          <w:noProof/>
        </w:rPr>
        <w:t>2</w:t>
      </w:r>
      <w:r w:rsidR="00C07DF9" w:rsidRPr="00C34163">
        <w:noBreakHyphen/>
      </w:r>
      <w:r w:rsidR="00C07DF9">
        <w:rPr>
          <w:noProof/>
        </w:rPr>
        <w:t>12</w:t>
      </w:r>
      <w:r w:rsidR="00D82E40">
        <w:fldChar w:fldCharType="end"/>
      </w:r>
      <w:r w:rsidRPr="00855E7E">
        <w:t xml:space="preserve"> and </w:t>
      </w:r>
      <w:r w:rsidR="00D209D5">
        <w:fldChar w:fldCharType="begin"/>
      </w:r>
      <w:r w:rsidR="00D209D5">
        <w:instrText xml:space="preserve"> REF _Ref114752216 \h </w:instrText>
      </w:r>
      <w:r w:rsidR="00D209D5">
        <w:fldChar w:fldCharType="separate"/>
      </w:r>
      <w:r w:rsidR="00C07DF9" w:rsidRPr="00C34163">
        <w:t xml:space="preserve">Figure </w:t>
      </w:r>
      <w:r w:rsidR="00C07DF9">
        <w:rPr>
          <w:noProof/>
        </w:rPr>
        <w:t>2</w:t>
      </w:r>
      <w:r w:rsidR="00C07DF9" w:rsidRPr="00C34163">
        <w:noBreakHyphen/>
      </w:r>
      <w:r w:rsidR="00C07DF9">
        <w:rPr>
          <w:noProof/>
        </w:rPr>
        <w:t>13</w:t>
      </w:r>
      <w:r w:rsidR="00D209D5">
        <w:fldChar w:fldCharType="end"/>
      </w:r>
      <w:r w:rsidRPr="00855E7E">
        <w:t xml:space="preserve"> show a permanent monitoring location that combines a passive infrared sensor with inductance loop detectors. </w:t>
      </w:r>
    </w:p>
    <w:p w14:paraId="634EFB92" w14:textId="77777777" w:rsidR="008822A4" w:rsidRPr="00855E7E" w:rsidRDefault="008822A4" w:rsidP="00A35EAF">
      <w:pPr>
        <w:pStyle w:val="BodyText"/>
      </w:pPr>
      <w:r w:rsidRPr="00855E7E">
        <w:t>The passive infrared sensors look for heat differentials and their patterns. These sensors have higher error rates when the ambient air temperature approaches normal body temperature (97°-100° Fahrenheit). The error var</w:t>
      </w:r>
      <w:r>
        <w:t>ies</w:t>
      </w:r>
      <w:r w:rsidRPr="00855E7E">
        <w:t xml:space="preserve"> among different brands of passive infrared counters. </w:t>
      </w:r>
    </w:p>
    <w:p w14:paraId="68160BE5" w14:textId="08768A3E" w:rsidR="008822A4" w:rsidRDefault="008822A4" w:rsidP="00A35EAF">
      <w:pPr>
        <w:pStyle w:val="BodyText"/>
      </w:pPr>
      <w:r w:rsidRPr="00855E7E">
        <w:t>Figure 2-1</w:t>
      </w:r>
      <w:r w:rsidR="00613A01">
        <w:t>4</w:t>
      </w:r>
      <w:r w:rsidRPr="00855E7E">
        <w:t xml:space="preserve"> shows a typical configuration for an active infrared sensor. This example shows an ideal location: 1)</w:t>
      </w:r>
      <w:r w:rsidR="00D55505">
        <w:t> </w:t>
      </w:r>
      <w:r w:rsidRPr="00855E7E">
        <w:t>primarily used by pedestrians and bicyclists only; 2) the travel area is constrained with the detector pointing across the sidewalk away from the street; and 3) the detection area is well defined in a position where pedestrians and bicyclists will be traveling perpendicular to the sensor.</w:t>
      </w:r>
    </w:p>
    <w:p w14:paraId="271BD10D" w14:textId="77777777" w:rsidR="008822A4" w:rsidRPr="00855E7E" w:rsidRDefault="008822A4" w:rsidP="00D209D5">
      <w:pPr>
        <w:spacing w:line="240" w:lineRule="atLeast"/>
        <w:jc w:val="center"/>
        <w:rPr>
          <w:color w:val="auto"/>
        </w:rPr>
      </w:pPr>
      <w:r w:rsidRPr="00855E7E">
        <w:rPr>
          <w:noProof/>
          <w:color w:val="auto"/>
        </w:rPr>
        <mc:AlternateContent>
          <mc:Choice Requires="wps">
            <w:drawing>
              <wp:anchor distT="0" distB="0" distL="114300" distR="114300" simplePos="0" relativeHeight="251667456" behindDoc="0" locked="0" layoutInCell="1" allowOverlap="1" wp14:anchorId="59641BAD" wp14:editId="2893A959">
                <wp:simplePos x="0" y="0"/>
                <wp:positionH relativeFrom="column">
                  <wp:posOffset>4050665</wp:posOffset>
                </wp:positionH>
                <wp:positionV relativeFrom="paragraph">
                  <wp:posOffset>1774825</wp:posOffset>
                </wp:positionV>
                <wp:extent cx="95250" cy="397510"/>
                <wp:effectExtent l="76200" t="0" r="57150" b="59690"/>
                <wp:wrapNone/>
                <wp:docPr id="248" name="AutoShape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0" cy="397510"/>
                        </a:xfrm>
                        <a:prstGeom prst="straightConnector1">
                          <a:avLst/>
                        </a:prstGeom>
                        <a:noFill/>
                        <a:ln w="25400">
                          <a:solidFill>
                            <a:srgbClr val="FFFF00"/>
                          </a:solidFill>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6981E2A1" id="AutoShape 56" o:spid="_x0000_s1026" type="#_x0000_t32" alt="&quot;&quot;" style="position:absolute;margin-left:318.95pt;margin-top:139.75pt;width:7.5pt;height:31.3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" strokecolor="yellow" strokeweight="2pt">
                <v:stroke endarrow="block" endarrowwidth="wide" endarrowlength="long"/>
              </v:shape>
            </w:pict>
          </mc:Fallback>
        </mc:AlternateContent>
      </w:r>
      <w:r w:rsidRPr="00855E7E">
        <w:rPr>
          <w:noProof/>
          <w:color w:val="auto"/>
        </w:rPr>
        <mc:AlternateContent>
          <mc:Choice Requires="wps">
            <w:drawing>
              <wp:anchor distT="0" distB="0" distL="114300" distR="114300" simplePos="0" relativeHeight="251661312" behindDoc="0" locked="0" layoutInCell="1" allowOverlap="1" wp14:anchorId="79316FB0" wp14:editId="43D47AA6">
                <wp:simplePos x="0" y="0"/>
                <wp:positionH relativeFrom="column">
                  <wp:posOffset>2998470</wp:posOffset>
                </wp:positionH>
                <wp:positionV relativeFrom="paragraph">
                  <wp:posOffset>1777365</wp:posOffset>
                </wp:positionV>
                <wp:extent cx="1144905" cy="310515"/>
                <wp:effectExtent l="38100" t="0" r="17145" b="89535"/>
                <wp:wrapNone/>
                <wp:docPr id="245" name="AutoShape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4905" cy="310515"/>
                        </a:xfrm>
                        <a:prstGeom prst="straightConnector1">
                          <a:avLst/>
                        </a:prstGeom>
                        <a:noFill/>
                        <a:ln w="25400">
                          <a:solidFill>
                            <a:srgbClr val="FFFF00"/>
                          </a:solidFill>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64909867" id="AutoShape 55" o:spid="_x0000_s1026" type="#_x0000_t32" alt="&quot;&quot;" style="position:absolute;margin-left:236.1pt;margin-top:139.95pt;width:90.15pt;height:24.45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" strokecolor="yellow" strokeweight="2pt">
                <v:stroke endarrow="block" endarrowwidth="wide" endarrowlength="long"/>
              </v:shape>
            </w:pict>
          </mc:Fallback>
        </mc:AlternateContent>
      </w:r>
      <w:r w:rsidRPr="00855E7E">
        <w:rPr>
          <w:noProof/>
          <w:color w:val="auto"/>
        </w:rPr>
        <mc:AlternateContent>
          <mc:Choice Requires="wps">
            <w:drawing>
              <wp:anchor distT="0" distB="0" distL="114300" distR="114300" simplePos="0" relativeHeight="251658240" behindDoc="0" locked="0" layoutInCell="1" allowOverlap="1" wp14:anchorId="484C3EDC" wp14:editId="62C02944">
                <wp:simplePos x="0" y="0"/>
                <wp:positionH relativeFrom="column">
                  <wp:posOffset>4094669</wp:posOffset>
                </wp:positionH>
                <wp:positionV relativeFrom="paragraph">
                  <wp:posOffset>1363790</wp:posOffset>
                </wp:positionV>
                <wp:extent cx="1143000" cy="415290"/>
                <wp:effectExtent l="0" t="0" r="0" b="3810"/>
                <wp:wrapNone/>
                <wp:docPr id="244"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415290"/>
                        </a:xfrm>
                        <a:prstGeom prst="rect">
                          <a:avLst/>
                        </a:prstGeom>
                        <a:solidFill>
                          <a:srgbClr val="FFFFFF">
                            <a:alpha val="50999"/>
                          </a:srgbClr>
                        </a:solidFill>
                        <a:ln>
                          <a:noFill/>
                        </a:ln>
                        <a:effectLst/>
                        <a:extLst>
                          <a:ext uri="{91240B29-F687-4F45-9708-019B960494DF}">
                            <a14:hiddenLine xmlns:a14="http://schemas.microsoft.com/office/drawing/2010/main" w="63500" cmpd="thickThin">
                              <a:solidFill>
                                <a:schemeClr val="accent4">
                                  <a:lumMod val="100000"/>
                                  <a:lumOff val="0"/>
                                </a:schemeClr>
                              </a:solidFill>
                              <a:miter lim="800000"/>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76DFEB7" w14:textId="77777777" w:rsidR="00E30324" w:rsidRDefault="00E30324" w:rsidP="00ED7363">
                            <w:pPr>
                              <w:rPr>
                                <w:rFonts w:ascii="Blue Highway" w:hAnsi="Blue Highway"/>
                                <w:b/>
                                <w:sz w:val="28"/>
                              </w:rPr>
                            </w:pPr>
                            <w:r>
                              <w:rPr>
                                <w:rFonts w:ascii="Blue Highway" w:hAnsi="Blue Highway"/>
                                <w:b/>
                                <w:sz w:val="28"/>
                              </w:rPr>
                              <w:t>Inductance Loops</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484C3EDC" id="Text Box 52" o:spid="_x0000_s1091" type="#_x0000_t202" style="position:absolute;left:0;text-align:left;margin-left:322.4pt;margin-top:107.4pt;width:90pt;height:32.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" stroked="f" strokecolor="#ffc000 [3207]" strokeweight="5pt">
                <v:fill opacity="33410f"/>
                <v:stroke linestyle="thickThin"/>
                <v:shadow color="#868686"/>
                <v:textbox inset="0,0,0,0">
                  <w:txbxContent>
                    <w:p w14:paraId="376DFEB7" w14:textId="77777777" w:rsidR="00E30324" w:rsidRDefault="00E30324" w:rsidP="00ED7363">
                      <w:pPr>
                        <w:rPr>
                          <w:rFonts w:ascii="Blue Highway" w:hAnsi="Blue Highway"/>
                          <w:b/>
                          <w:sz w:val="28"/>
                        </w:rPr>
                      </w:pPr>
                      <w:r>
                        <w:rPr>
                          <w:rFonts w:ascii="Blue Highway" w:hAnsi="Blue Highway"/>
                          <w:b/>
                          <w:sz w:val="28"/>
                        </w:rPr>
                        <w:t>Inductance Loops</w:t>
                      </w:r>
                    </w:p>
                  </w:txbxContent>
                </v:textbox>
              </v:shape>
            </w:pict>
          </mc:Fallback>
        </mc:AlternateContent>
      </w:r>
      <w:r w:rsidRPr="00855E7E">
        <w:rPr>
          <w:noProof/>
          <w:color w:val="auto"/>
        </w:rPr>
        <mc:AlternateContent>
          <mc:Choice Requires="wps">
            <w:drawing>
              <wp:anchor distT="0" distB="0" distL="114298" distR="114298" simplePos="0" relativeHeight="251662336" behindDoc="0" locked="0" layoutInCell="1" allowOverlap="1" wp14:anchorId="17A5A372" wp14:editId="4971F870">
                <wp:simplePos x="0" y="0"/>
                <wp:positionH relativeFrom="column">
                  <wp:posOffset>1243330</wp:posOffset>
                </wp:positionH>
                <wp:positionV relativeFrom="paragraph">
                  <wp:posOffset>514350</wp:posOffset>
                </wp:positionV>
                <wp:extent cx="45720" cy="488315"/>
                <wp:effectExtent l="57150" t="0" r="68580" b="64135"/>
                <wp:wrapNone/>
                <wp:docPr id="246" name="Straight Arrow Connector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 cy="488315"/>
                        </a:xfrm>
                        <a:prstGeom prst="straightConnector1">
                          <a:avLst/>
                        </a:prstGeom>
                        <a:noFill/>
                        <a:ln w="25400">
                          <a:solidFill>
                            <a:srgbClr val="FFFF00"/>
                          </a:solidFill>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5D6943A2" id="Straight Arrow Connector 11" o:spid="_x0000_s1026" type="#_x0000_t32" alt="&quot;&quot;" style="position:absolute;margin-left:97.9pt;margin-top:40.5pt;width:3.6pt;height:38.45pt;z-index:25166233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" strokecolor="yellow" strokeweight="2pt">
                <v:stroke endarrow="block" endarrowwidth="wide" endarrowlength="long"/>
              </v:shape>
            </w:pict>
          </mc:Fallback>
        </mc:AlternateContent>
      </w:r>
      <w:r w:rsidRPr="00855E7E">
        <w:rPr>
          <w:noProof/>
          <w:color w:val="auto"/>
        </w:rPr>
        <mc:AlternateContent>
          <mc:Choice Requires="wps">
            <w:drawing>
              <wp:anchor distT="0" distB="0" distL="114300" distR="114300" simplePos="0" relativeHeight="251659264" behindDoc="0" locked="0" layoutInCell="1" allowOverlap="1" wp14:anchorId="59A14DA7" wp14:editId="00FC1097">
                <wp:simplePos x="0" y="0"/>
                <wp:positionH relativeFrom="column">
                  <wp:posOffset>685800</wp:posOffset>
                </wp:positionH>
                <wp:positionV relativeFrom="paragraph">
                  <wp:posOffset>69850</wp:posOffset>
                </wp:positionV>
                <wp:extent cx="1143000" cy="441960"/>
                <wp:effectExtent l="0" t="0" r="0" b="0"/>
                <wp:wrapNone/>
                <wp:docPr id="247"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441960"/>
                        </a:xfrm>
                        <a:prstGeom prst="rect">
                          <a:avLst/>
                        </a:prstGeom>
                        <a:solidFill>
                          <a:srgbClr val="FFFFFF">
                            <a:alpha val="50999"/>
                          </a:srgbClr>
                        </a:solidFill>
                        <a:ln>
                          <a:noFill/>
                        </a:ln>
                        <a:effectLst/>
                        <a:extLst>
                          <a:ext uri="{91240B29-F687-4F45-9708-019B960494DF}">
                            <a14:hiddenLine xmlns:a14="http://schemas.microsoft.com/office/drawing/2010/main" w="63500" cmpd="thickThin">
                              <a:solidFill>
                                <a:schemeClr val="accent4">
                                  <a:lumMod val="100000"/>
                                  <a:lumOff val="0"/>
                                </a:schemeClr>
                              </a:solidFill>
                              <a:miter lim="800000"/>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E2F2C5E" w14:textId="77777777" w:rsidR="00E30324" w:rsidRDefault="00E30324" w:rsidP="00ED7363">
                            <w:pPr>
                              <w:rPr>
                                <w:rFonts w:ascii="Blue Highway" w:hAnsi="Blue Highway"/>
                                <w:b/>
                                <w:sz w:val="28"/>
                              </w:rPr>
                            </w:pPr>
                            <w:r>
                              <w:rPr>
                                <w:rFonts w:ascii="Blue Highway" w:hAnsi="Blue Highway"/>
                                <w:b/>
                                <w:sz w:val="28"/>
                              </w:rPr>
                              <w:t>Passive Infrared</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59A14DA7" id="Text Box 54" o:spid="_x0000_s1092" type="#_x0000_t202" style="position:absolute;left:0;text-align:left;margin-left:54pt;margin-top:5.5pt;width:90pt;height:34.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" stroked="f" strokecolor="#ffc000 [3207]" strokeweight="5pt">
                <v:fill opacity="33410f"/>
                <v:stroke linestyle="thickThin"/>
                <v:shadow color="#868686"/>
                <v:textbox inset="0,0,0,0">
                  <w:txbxContent>
                    <w:p w14:paraId="2E2F2C5E" w14:textId="77777777" w:rsidR="00E30324" w:rsidRDefault="00E30324" w:rsidP="00ED7363">
                      <w:pPr>
                        <w:rPr>
                          <w:rFonts w:ascii="Blue Highway" w:hAnsi="Blue Highway"/>
                          <w:b/>
                          <w:sz w:val="28"/>
                        </w:rPr>
                      </w:pPr>
                      <w:r>
                        <w:rPr>
                          <w:rFonts w:ascii="Blue Highway" w:hAnsi="Blue Highway"/>
                          <w:b/>
                          <w:sz w:val="28"/>
                        </w:rPr>
                        <w:t>Passive Infrared</w:t>
                      </w:r>
                    </w:p>
                  </w:txbxContent>
                </v:textbox>
              </v:shape>
            </w:pict>
          </mc:Fallback>
        </mc:AlternateContent>
      </w:r>
      <w:r w:rsidRPr="00855E7E">
        <w:rPr>
          <w:noProof/>
          <w:color w:val="auto"/>
        </w:rPr>
        <w:drawing>
          <wp:inline distT="0" distB="0" distL="0" distR="0" wp14:anchorId="0092970A" wp14:editId="620EF7BD">
            <wp:extent cx="4737100" cy="2705100"/>
            <wp:effectExtent l="0" t="0" r="6350" b="0"/>
            <wp:docPr id="70" name="Picture 12" descr="A cyclist on a park bicycle path passing over an inductive loop in a diamond configuration next to a passive infrared de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12" descr="A cyclist on a park bicycle path passing over an inductive loop in a diamond configuration next to a passive infrared device."/>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737100" cy="2705100"/>
                    </a:xfrm>
                    <a:prstGeom prst="rect">
                      <a:avLst/>
                    </a:prstGeom>
                    <a:noFill/>
                    <a:ln>
                      <a:noFill/>
                    </a:ln>
                  </pic:spPr>
                </pic:pic>
              </a:graphicData>
            </a:graphic>
          </wp:inline>
        </w:drawing>
      </w:r>
    </w:p>
    <w:p w14:paraId="712FB7E9" w14:textId="735AA6F7" w:rsidR="008822A4" w:rsidRDefault="008822A4" w:rsidP="00D209D5">
      <w:pPr>
        <w:pStyle w:val="Source"/>
        <w:ind w:left="936"/>
      </w:pPr>
      <w:r w:rsidRPr="00855E7E">
        <w:t>Source:</w:t>
      </w:r>
      <w:r w:rsidR="0061163F">
        <w:t xml:space="preserve"> </w:t>
      </w:r>
      <w:r w:rsidR="00647627">
        <w:t xml:space="preserve"> </w:t>
      </w:r>
      <w:r w:rsidRPr="00855E7E">
        <w:t>Shawn Turner, TTI.</w:t>
      </w:r>
    </w:p>
    <w:p w14:paraId="1FA75390" w14:textId="77C12B4F" w:rsidR="00647627" w:rsidRPr="00C34163" w:rsidRDefault="00647627" w:rsidP="00647627">
      <w:pPr>
        <w:pStyle w:val="TMGFigureCaption"/>
      </w:pPr>
      <w:bookmarkStart w:id="854" w:name="_Ref116025103"/>
      <w:bookmarkStart w:id="855" w:name="_Toc63428106"/>
      <w:bookmarkStart w:id="856" w:name="_Toc114474790"/>
      <w:bookmarkStart w:id="857" w:name="_Toc120626565"/>
      <w:r w:rsidRPr="00C34163">
        <w:t xml:space="preserve">Figure </w:t>
      </w:r>
      <w:fldSimple w:instr=" STYLEREF 1 \s ">
        <w:r w:rsidR="00C07DF9">
          <w:rPr>
            <w:noProof/>
          </w:rPr>
          <w:t>2</w:t>
        </w:r>
      </w:fldSimple>
      <w:r w:rsidRPr="00C34163">
        <w:noBreakHyphen/>
      </w:r>
      <w:fldSimple w:instr=" SEQ Figure \* ARABIC \s 1 ">
        <w:r w:rsidR="00C07DF9">
          <w:rPr>
            <w:noProof/>
          </w:rPr>
          <w:t>12</w:t>
        </w:r>
      </w:fldSimple>
      <w:bookmarkEnd w:id="854"/>
      <w:r w:rsidR="00D209D5">
        <w:t>.</w:t>
      </w:r>
      <w:r w:rsidRPr="00C34163">
        <w:t xml:space="preserve"> Example a of Passive Infrared Sensor Combined</w:t>
      </w:r>
      <w:r>
        <w:br/>
      </w:r>
      <w:r w:rsidRPr="00C34163">
        <w:t>with Inductance Loop Detectors</w:t>
      </w:r>
      <w:bookmarkEnd w:id="855"/>
      <w:bookmarkEnd w:id="856"/>
      <w:bookmarkEnd w:id="857"/>
    </w:p>
    <w:p w14:paraId="38AF7558" w14:textId="2A5EACF7" w:rsidR="008822A4" w:rsidRPr="00855E7E" w:rsidRDefault="00D757D0" w:rsidP="00647627">
      <w:pPr>
        <w:ind w:left="1958" w:hanging="878"/>
        <w:rPr>
          <w:i/>
          <w:color w:val="auto"/>
          <w:sz w:val="18"/>
          <w:szCs w:val="18"/>
          <w:highlight w:val="yellow"/>
        </w:rPr>
      </w:pPr>
      <w:r w:rsidRPr="00855E7E">
        <w:rPr>
          <w:i/>
          <w:noProof/>
          <w:color w:val="auto"/>
          <w:sz w:val="18"/>
          <w:szCs w:val="18"/>
        </w:rPr>
        <w:lastRenderedPageBreak/>
        <mc:AlternateContent>
          <mc:Choice Requires="wps">
            <w:drawing>
              <wp:anchor distT="0" distB="0" distL="114300" distR="114300" simplePos="0" relativeHeight="251665408" behindDoc="0" locked="0" layoutInCell="1" allowOverlap="1" wp14:anchorId="33CA74B1" wp14:editId="3112C855">
                <wp:simplePos x="0" y="0"/>
                <wp:positionH relativeFrom="column">
                  <wp:posOffset>3720421</wp:posOffset>
                </wp:positionH>
                <wp:positionV relativeFrom="paragraph">
                  <wp:posOffset>290520</wp:posOffset>
                </wp:positionV>
                <wp:extent cx="893460" cy="441960"/>
                <wp:effectExtent l="0" t="0" r="1905" b="0"/>
                <wp:wrapNone/>
                <wp:docPr id="242"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3460" cy="441960"/>
                        </a:xfrm>
                        <a:prstGeom prst="rect">
                          <a:avLst/>
                        </a:prstGeom>
                        <a:solidFill>
                          <a:srgbClr val="FFFFFF">
                            <a:alpha val="50999"/>
                          </a:srgbClr>
                        </a:solidFill>
                        <a:ln>
                          <a:noFill/>
                        </a:ln>
                        <a:effectLst/>
                        <a:extLst>
                          <a:ext uri="{91240B29-F687-4F45-9708-019B960494DF}">
                            <a14:hiddenLine xmlns:a14="http://schemas.microsoft.com/office/drawing/2010/main" w="63500" cmpd="thickThin">
                              <a:solidFill>
                                <a:schemeClr val="accent4">
                                  <a:lumMod val="100000"/>
                                  <a:lumOff val="0"/>
                                </a:schemeClr>
                              </a:solidFill>
                              <a:miter lim="800000"/>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21AB834" w14:textId="77777777" w:rsidR="00E30324" w:rsidRDefault="00E30324" w:rsidP="00ED7363">
                            <w:pPr>
                              <w:rPr>
                                <w:rFonts w:ascii="Blue Highway" w:hAnsi="Blue Highway"/>
                                <w:b/>
                                <w:sz w:val="28"/>
                              </w:rPr>
                            </w:pPr>
                            <w:r>
                              <w:rPr>
                                <w:rFonts w:ascii="Blue Highway" w:hAnsi="Blue Highway"/>
                                <w:b/>
                                <w:sz w:val="28"/>
                              </w:rPr>
                              <w:t>Passive Infrared</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33CA74B1" id="_x0000_s1093" type="#_x0000_t202" style="position:absolute;left:0;text-align:left;margin-left:292.95pt;margin-top:22.9pt;width:70.35pt;height:34.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" stroked="f" strokecolor="#ffc000 [3207]" strokeweight="5pt">
                <v:fill opacity="33410f"/>
                <v:stroke linestyle="thickThin"/>
                <v:shadow color="#868686"/>
                <v:textbox inset="0,0,0,0">
                  <w:txbxContent>
                    <w:p w14:paraId="421AB834" w14:textId="77777777" w:rsidR="00E30324" w:rsidRDefault="00E30324" w:rsidP="00ED7363">
                      <w:pPr>
                        <w:rPr>
                          <w:rFonts w:ascii="Blue Highway" w:hAnsi="Blue Highway"/>
                          <w:b/>
                          <w:sz w:val="28"/>
                        </w:rPr>
                      </w:pPr>
                      <w:r>
                        <w:rPr>
                          <w:rFonts w:ascii="Blue Highway" w:hAnsi="Blue Highway"/>
                          <w:b/>
                          <w:sz w:val="28"/>
                        </w:rPr>
                        <w:t>Passive Infrared</w:t>
                      </w:r>
                    </w:p>
                  </w:txbxContent>
                </v:textbox>
              </v:shape>
            </w:pict>
          </mc:Fallback>
        </mc:AlternateContent>
      </w:r>
      <w:r w:rsidRPr="00855E7E">
        <w:rPr>
          <w:i/>
          <w:noProof/>
          <w:color w:val="auto"/>
          <w:sz w:val="18"/>
          <w:szCs w:val="18"/>
        </w:rPr>
        <mc:AlternateContent>
          <mc:Choice Requires="wps">
            <w:drawing>
              <wp:anchor distT="0" distB="0" distL="114300" distR="114300" simplePos="0" relativeHeight="251663360" behindDoc="0" locked="0" layoutInCell="1" allowOverlap="1" wp14:anchorId="264CEC80" wp14:editId="770E9A1E">
                <wp:simplePos x="0" y="0"/>
                <wp:positionH relativeFrom="column">
                  <wp:posOffset>2952605</wp:posOffset>
                </wp:positionH>
                <wp:positionV relativeFrom="paragraph">
                  <wp:posOffset>2251943</wp:posOffset>
                </wp:positionV>
                <wp:extent cx="921380" cy="415290"/>
                <wp:effectExtent l="0" t="0" r="0" b="3810"/>
                <wp:wrapNone/>
                <wp:docPr id="239"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1380" cy="415290"/>
                        </a:xfrm>
                        <a:prstGeom prst="rect">
                          <a:avLst/>
                        </a:prstGeom>
                        <a:solidFill>
                          <a:srgbClr val="FFFFFF">
                            <a:alpha val="50999"/>
                          </a:srgbClr>
                        </a:solidFill>
                        <a:ln>
                          <a:noFill/>
                        </a:ln>
                        <a:effectLst/>
                        <a:extLst>
                          <a:ext uri="{91240B29-F687-4F45-9708-019B960494DF}">
                            <a14:hiddenLine xmlns:a14="http://schemas.microsoft.com/office/drawing/2010/main" w="63500" cmpd="thickThin">
                              <a:solidFill>
                                <a:schemeClr val="accent4">
                                  <a:lumMod val="100000"/>
                                  <a:lumOff val="0"/>
                                </a:schemeClr>
                              </a:solidFill>
                              <a:miter lim="800000"/>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BCD73AB" w14:textId="77777777" w:rsidR="00E30324" w:rsidRDefault="00E30324" w:rsidP="00ED7363">
                            <w:pPr>
                              <w:rPr>
                                <w:rFonts w:ascii="Blue Highway" w:hAnsi="Blue Highway"/>
                                <w:b/>
                                <w:sz w:val="28"/>
                              </w:rPr>
                            </w:pPr>
                            <w:r>
                              <w:rPr>
                                <w:rFonts w:ascii="Blue Highway" w:hAnsi="Blue Highway"/>
                                <w:b/>
                                <w:sz w:val="28"/>
                              </w:rPr>
                              <w:t>Inductance Loops</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264CEC80" id="_x0000_s1094" type="#_x0000_t202" style="position:absolute;left:0;text-align:left;margin-left:232.5pt;margin-top:177.3pt;width:72.55pt;height:32.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" stroked="f" strokecolor="#ffc000 [3207]" strokeweight="5pt">
                <v:fill opacity="33410f"/>
                <v:stroke linestyle="thickThin"/>
                <v:shadow color="#868686"/>
                <v:textbox inset="0,0,0,0">
                  <w:txbxContent>
                    <w:p w14:paraId="5BCD73AB" w14:textId="77777777" w:rsidR="00E30324" w:rsidRDefault="00E30324" w:rsidP="00ED7363">
                      <w:pPr>
                        <w:rPr>
                          <w:rFonts w:ascii="Blue Highway" w:hAnsi="Blue Highway"/>
                          <w:b/>
                          <w:sz w:val="28"/>
                        </w:rPr>
                      </w:pPr>
                      <w:r>
                        <w:rPr>
                          <w:rFonts w:ascii="Blue Highway" w:hAnsi="Blue Highway"/>
                          <w:b/>
                          <w:sz w:val="28"/>
                        </w:rPr>
                        <w:t>Inductance Loops</w:t>
                      </w:r>
                    </w:p>
                  </w:txbxContent>
                </v:textbox>
              </v:shape>
            </w:pict>
          </mc:Fallback>
        </mc:AlternateContent>
      </w:r>
      <w:r w:rsidR="008822A4" w:rsidRPr="00855E7E">
        <w:rPr>
          <w:i/>
          <w:noProof/>
          <w:color w:val="auto"/>
          <w:sz w:val="18"/>
          <w:szCs w:val="18"/>
        </w:rPr>
        <mc:AlternateContent>
          <mc:Choice Requires="wps">
            <w:drawing>
              <wp:anchor distT="0" distB="0" distL="114300" distR="114300" simplePos="0" relativeHeight="251664384" behindDoc="0" locked="0" layoutInCell="1" allowOverlap="1" wp14:anchorId="602B5C2C" wp14:editId="3454BB21">
                <wp:simplePos x="0" y="0"/>
                <wp:positionH relativeFrom="column">
                  <wp:posOffset>2796540</wp:posOffset>
                </wp:positionH>
                <wp:positionV relativeFrom="paragraph">
                  <wp:posOffset>2453640</wp:posOffset>
                </wp:positionV>
                <wp:extent cx="142875" cy="294005"/>
                <wp:effectExtent l="38100" t="0" r="28575" b="48895"/>
                <wp:wrapNone/>
                <wp:docPr id="241" name="AutoShape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2875" cy="294005"/>
                        </a:xfrm>
                        <a:prstGeom prst="straightConnector1">
                          <a:avLst/>
                        </a:prstGeom>
                        <a:noFill/>
                        <a:ln w="25400">
                          <a:solidFill>
                            <a:srgbClr val="FFFF00"/>
                          </a:solidFill>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2925CABE" id="AutoShape 56" o:spid="_x0000_s1026" type="#_x0000_t32" alt="&quot;&quot;" style="position:absolute;margin-left:220.2pt;margin-top:193.2pt;width:11.25pt;height:23.15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" strokecolor="yellow" strokeweight="2pt">
                <v:stroke endarrow="block" endarrowwidth="wide" endarrowlength="long"/>
              </v:shape>
            </w:pict>
          </mc:Fallback>
        </mc:AlternateContent>
      </w:r>
      <w:r w:rsidR="008822A4" w:rsidRPr="00855E7E">
        <w:rPr>
          <w:i/>
          <w:noProof/>
          <w:color w:val="auto"/>
          <w:sz w:val="18"/>
          <w:szCs w:val="18"/>
        </w:rPr>
        <mc:AlternateContent>
          <mc:Choice Requires="wps">
            <w:drawing>
              <wp:anchor distT="0" distB="0" distL="114300" distR="114300" simplePos="0" relativeHeight="251660288" behindDoc="0" locked="0" layoutInCell="1" allowOverlap="1" wp14:anchorId="7E3FFAAE" wp14:editId="319B9DAE">
                <wp:simplePos x="0" y="0"/>
                <wp:positionH relativeFrom="column">
                  <wp:posOffset>1325245</wp:posOffset>
                </wp:positionH>
                <wp:positionV relativeFrom="paragraph">
                  <wp:posOffset>2461895</wp:posOffset>
                </wp:positionV>
                <wp:extent cx="1614170" cy="302260"/>
                <wp:effectExtent l="38100" t="0" r="24130" b="97790"/>
                <wp:wrapNone/>
                <wp:docPr id="240" name="AutoShape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14170" cy="302260"/>
                        </a:xfrm>
                        <a:prstGeom prst="straightConnector1">
                          <a:avLst/>
                        </a:prstGeom>
                        <a:noFill/>
                        <a:ln w="25400">
                          <a:solidFill>
                            <a:srgbClr val="FFFF00"/>
                          </a:solidFill>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29DC9338" id="AutoShape 56" o:spid="_x0000_s1026" type="#_x0000_t32" alt="&quot;&quot;" style="position:absolute;margin-left:104.35pt;margin-top:193.85pt;width:127.1pt;height:23.8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" strokecolor="yellow" strokeweight="2pt">
                <v:stroke endarrow="block" endarrowwidth="wide" endarrowlength="long"/>
              </v:shape>
            </w:pict>
          </mc:Fallback>
        </mc:AlternateContent>
      </w:r>
      <w:r w:rsidR="008822A4" w:rsidRPr="00855E7E">
        <w:rPr>
          <w:i/>
          <w:noProof/>
          <w:color w:val="auto"/>
          <w:sz w:val="18"/>
          <w:szCs w:val="18"/>
        </w:rPr>
        <mc:AlternateContent>
          <mc:Choice Requires="wps">
            <w:drawing>
              <wp:anchor distT="0" distB="0" distL="114298" distR="114298" simplePos="0" relativeHeight="251666432" behindDoc="0" locked="0" layoutInCell="1" allowOverlap="1" wp14:anchorId="22E24514" wp14:editId="39FCFAFF">
                <wp:simplePos x="0" y="0"/>
                <wp:positionH relativeFrom="column">
                  <wp:posOffset>4076700</wp:posOffset>
                </wp:positionH>
                <wp:positionV relativeFrom="paragraph">
                  <wp:posOffset>730885</wp:posOffset>
                </wp:positionV>
                <wp:extent cx="158750" cy="233680"/>
                <wp:effectExtent l="0" t="0" r="69850" b="52070"/>
                <wp:wrapNone/>
                <wp:docPr id="243" name="Straight Arrow Connector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8750" cy="233680"/>
                        </a:xfrm>
                        <a:prstGeom prst="straightConnector1">
                          <a:avLst/>
                        </a:prstGeom>
                        <a:noFill/>
                        <a:ln w="25400">
                          <a:solidFill>
                            <a:srgbClr val="FFFF00"/>
                          </a:solidFill>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1F1A8D5E" id="Straight Arrow Connector 11" o:spid="_x0000_s1026" type="#_x0000_t32" alt="&quot;&quot;" style="position:absolute;margin-left:321pt;margin-top:57.55pt;width:12.5pt;height:18.4pt;z-index:25166643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" strokecolor="yellow" strokeweight="2pt">
                <v:stroke endarrow="block" endarrowwidth="wide" endarrowlength="long"/>
              </v:shape>
            </w:pict>
          </mc:Fallback>
        </mc:AlternateContent>
      </w:r>
      <w:r w:rsidR="008822A4" w:rsidRPr="00855E7E">
        <w:rPr>
          <w:i/>
          <w:noProof/>
          <w:color w:val="auto"/>
          <w:sz w:val="18"/>
          <w:szCs w:val="18"/>
        </w:rPr>
        <w:drawing>
          <wp:inline distT="0" distB="0" distL="0" distR="0" wp14:anchorId="7BF484DF" wp14:editId="0632814B">
            <wp:extent cx="4718050" cy="3136900"/>
            <wp:effectExtent l="0" t="0" r="6350" b="6350"/>
            <wp:docPr id="71" name="Picture 36403" descr="Cyclists and pedestrians on a busy park bicycle path passing over inductive loops in a diamond configuration next to a passive infrared de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36403" descr="Cyclists and pedestrians on a busy park bicycle path passing over inductive loops in a diamond configuration next to a passive infrared devic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718050" cy="3136900"/>
                    </a:xfrm>
                    <a:prstGeom prst="rect">
                      <a:avLst/>
                    </a:prstGeom>
                    <a:noFill/>
                    <a:ln>
                      <a:noFill/>
                    </a:ln>
                  </pic:spPr>
                </pic:pic>
              </a:graphicData>
            </a:graphic>
          </wp:inline>
        </w:drawing>
      </w:r>
    </w:p>
    <w:p w14:paraId="3E3576F4" w14:textId="77C44AF6" w:rsidR="008822A4" w:rsidRDefault="008822A4" w:rsidP="00647627">
      <w:pPr>
        <w:pStyle w:val="Source"/>
        <w:ind w:left="1080"/>
      </w:pPr>
      <w:r w:rsidRPr="00855E7E">
        <w:t>Source:</w:t>
      </w:r>
      <w:r w:rsidR="0061163F">
        <w:t xml:space="preserve"> </w:t>
      </w:r>
      <w:r w:rsidR="00647627">
        <w:t xml:space="preserve"> </w:t>
      </w:r>
      <w:r w:rsidRPr="00855E7E">
        <w:t>Louis Queruau, Eco-Counter</w:t>
      </w:r>
    </w:p>
    <w:p w14:paraId="03C31095" w14:textId="326F482A" w:rsidR="00647627" w:rsidRPr="00C34163" w:rsidRDefault="00647627" w:rsidP="00AA759F">
      <w:pPr>
        <w:pStyle w:val="TMGFigureCaption"/>
        <w:spacing w:after="360"/>
      </w:pPr>
      <w:bookmarkStart w:id="858" w:name="_Ref114752216"/>
      <w:bookmarkStart w:id="859" w:name="_Toc63428107"/>
      <w:bookmarkStart w:id="860" w:name="_Toc114474791"/>
      <w:bookmarkStart w:id="861" w:name="_Toc120626566"/>
      <w:r w:rsidRPr="00C34163">
        <w:t xml:space="preserve">Figure </w:t>
      </w:r>
      <w:fldSimple w:instr=" STYLEREF 1 \s ">
        <w:r w:rsidR="00C07DF9">
          <w:rPr>
            <w:noProof/>
          </w:rPr>
          <w:t>2</w:t>
        </w:r>
      </w:fldSimple>
      <w:r w:rsidRPr="00C34163">
        <w:noBreakHyphen/>
      </w:r>
      <w:fldSimple w:instr=" SEQ Figure \* ARABIC \s 1 ">
        <w:r w:rsidR="00C07DF9">
          <w:rPr>
            <w:noProof/>
          </w:rPr>
          <w:t>13</w:t>
        </w:r>
      </w:fldSimple>
      <w:bookmarkEnd w:id="858"/>
      <w:r w:rsidR="00D209D5">
        <w:t>.</w:t>
      </w:r>
      <w:r w:rsidRPr="00C34163">
        <w:t xml:space="preserve"> Example B of Passive Infrared Sensor Combined</w:t>
      </w:r>
      <w:r>
        <w:br/>
      </w:r>
      <w:r w:rsidRPr="00C34163">
        <w:t>with Inductance Loop Detectors</w:t>
      </w:r>
      <w:bookmarkEnd w:id="859"/>
      <w:bookmarkEnd w:id="860"/>
      <w:bookmarkEnd w:id="861"/>
    </w:p>
    <w:p w14:paraId="29E6BF61" w14:textId="314F585C" w:rsidR="008822A4" w:rsidRPr="00855E7E" w:rsidRDefault="00AA759F" w:rsidP="00AA759F">
      <w:pPr>
        <w:jc w:val="center"/>
        <w:rPr>
          <w:i/>
          <w:color w:val="auto"/>
          <w:sz w:val="18"/>
          <w:szCs w:val="18"/>
          <w:highlight w:val="yellow"/>
        </w:rPr>
      </w:pPr>
      <w:r w:rsidRPr="00855E7E">
        <w:rPr>
          <w:i/>
          <w:noProof/>
          <w:color w:val="auto"/>
          <w:sz w:val="18"/>
          <w:szCs w:val="18"/>
        </w:rPr>
        <mc:AlternateContent>
          <mc:Choice Requires="wps">
            <w:drawing>
              <wp:anchor distT="0" distB="0" distL="114298" distR="114298" simplePos="0" relativeHeight="251670528" behindDoc="0" locked="0" layoutInCell="1" allowOverlap="1" wp14:anchorId="3177A76C" wp14:editId="61F3A2DD">
                <wp:simplePos x="0" y="0"/>
                <wp:positionH relativeFrom="column">
                  <wp:posOffset>3749040</wp:posOffset>
                </wp:positionH>
                <wp:positionV relativeFrom="paragraph">
                  <wp:posOffset>1546860</wp:posOffset>
                </wp:positionV>
                <wp:extent cx="199390" cy="309245"/>
                <wp:effectExtent l="0" t="38100" r="48260" b="33655"/>
                <wp:wrapNone/>
                <wp:docPr id="236" name="Straight Arrow Connector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9390" cy="309245"/>
                        </a:xfrm>
                        <a:prstGeom prst="straightConnector1">
                          <a:avLst/>
                        </a:prstGeom>
                        <a:noFill/>
                        <a:ln w="25400">
                          <a:solidFill>
                            <a:srgbClr val="FFFF00"/>
                          </a:solidFill>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4AF62432" id="Straight Arrow Connector 11" o:spid="_x0000_s1026" type="#_x0000_t32" alt="&quot;&quot;" style="position:absolute;margin-left:295.2pt;margin-top:121.8pt;width:15.7pt;height:24.35pt;flip:y;z-index:25167052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" strokecolor="yellow" strokeweight="2pt">
                <v:stroke endarrow="block" endarrowwidth="wide" endarrowlength="long"/>
              </v:shape>
            </w:pict>
          </mc:Fallback>
        </mc:AlternateContent>
      </w:r>
      <w:r w:rsidRPr="00855E7E">
        <w:rPr>
          <w:i/>
          <w:noProof/>
          <w:color w:val="auto"/>
          <w:sz w:val="18"/>
          <w:szCs w:val="18"/>
        </w:rPr>
        <mc:AlternateContent>
          <mc:Choice Requires="wps">
            <w:drawing>
              <wp:anchor distT="0" distB="0" distL="114300" distR="114300" simplePos="0" relativeHeight="251668480" behindDoc="0" locked="0" layoutInCell="1" allowOverlap="1" wp14:anchorId="068038FF" wp14:editId="65F0EDC1">
                <wp:simplePos x="0" y="0"/>
                <wp:positionH relativeFrom="column">
                  <wp:posOffset>3192780</wp:posOffset>
                </wp:positionH>
                <wp:positionV relativeFrom="paragraph">
                  <wp:posOffset>1872615</wp:posOffset>
                </wp:positionV>
                <wp:extent cx="1143000" cy="415290"/>
                <wp:effectExtent l="0" t="0" r="0" b="3810"/>
                <wp:wrapNone/>
                <wp:docPr id="235"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415290"/>
                        </a:xfrm>
                        <a:prstGeom prst="rect">
                          <a:avLst/>
                        </a:prstGeom>
                        <a:solidFill>
                          <a:srgbClr val="FFFFFF">
                            <a:alpha val="50999"/>
                          </a:srgbClr>
                        </a:solidFill>
                        <a:ln>
                          <a:noFill/>
                        </a:ln>
                        <a:effectLst/>
                        <a:extLst>
                          <a:ext uri="{91240B29-F687-4F45-9708-019B960494DF}">
                            <a14:hiddenLine xmlns:a14="http://schemas.microsoft.com/office/drawing/2010/main" w="63500" cmpd="thickThin">
                              <a:solidFill>
                                <a:schemeClr val="accent4">
                                  <a:lumMod val="100000"/>
                                  <a:lumOff val="0"/>
                                </a:schemeClr>
                              </a:solidFill>
                              <a:miter lim="800000"/>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D62461E" w14:textId="77777777" w:rsidR="00E30324" w:rsidRDefault="00E30324" w:rsidP="00ED7363">
                            <w:pPr>
                              <w:rPr>
                                <w:rFonts w:ascii="Blue Highway" w:hAnsi="Blue Highway"/>
                                <w:b/>
                                <w:sz w:val="28"/>
                              </w:rPr>
                            </w:pPr>
                            <w:r>
                              <w:rPr>
                                <w:rFonts w:ascii="Blue Highway" w:hAnsi="Blue Highway"/>
                                <w:b/>
                                <w:sz w:val="28"/>
                              </w:rPr>
                              <w:t>Active Infrared Transmitter</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068038FF" id="_x0000_s1095" type="#_x0000_t202" style="position:absolute;left:0;text-align:left;margin-left:251.4pt;margin-top:147.45pt;width:90pt;height:32.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" stroked="f" strokecolor="#ffc000 [3207]" strokeweight="5pt">
                <v:fill opacity="33410f"/>
                <v:stroke linestyle="thickThin"/>
                <v:shadow color="#868686"/>
                <v:textbox inset="0,0,0,0">
                  <w:txbxContent>
                    <w:p w14:paraId="6D62461E" w14:textId="77777777" w:rsidR="00E30324" w:rsidRDefault="00E30324" w:rsidP="00ED7363">
                      <w:pPr>
                        <w:rPr>
                          <w:rFonts w:ascii="Blue Highway" w:hAnsi="Blue Highway"/>
                          <w:b/>
                          <w:sz w:val="28"/>
                        </w:rPr>
                      </w:pPr>
                      <w:r>
                        <w:rPr>
                          <w:rFonts w:ascii="Blue Highway" w:hAnsi="Blue Highway"/>
                          <w:b/>
                          <w:sz w:val="28"/>
                        </w:rPr>
                        <w:t>Active Infrared Transmitter</w:t>
                      </w:r>
                    </w:p>
                  </w:txbxContent>
                </v:textbox>
              </v:shape>
            </w:pict>
          </mc:Fallback>
        </mc:AlternateContent>
      </w:r>
      <w:r w:rsidRPr="00855E7E">
        <w:rPr>
          <w:i/>
          <w:noProof/>
          <w:color w:val="auto"/>
          <w:sz w:val="18"/>
          <w:szCs w:val="18"/>
        </w:rPr>
        <mc:AlternateContent>
          <mc:Choice Requires="wps">
            <w:drawing>
              <wp:anchor distT="0" distB="0" distL="114298" distR="114298" simplePos="0" relativeHeight="251671552" behindDoc="0" locked="0" layoutInCell="1" allowOverlap="1" wp14:anchorId="1897D577" wp14:editId="5ABBDF3C">
                <wp:simplePos x="0" y="0"/>
                <wp:positionH relativeFrom="column">
                  <wp:posOffset>1680845</wp:posOffset>
                </wp:positionH>
                <wp:positionV relativeFrom="paragraph">
                  <wp:posOffset>609600</wp:posOffset>
                </wp:positionV>
                <wp:extent cx="245745" cy="475615"/>
                <wp:effectExtent l="38100" t="0" r="20955" b="57785"/>
                <wp:wrapNone/>
                <wp:docPr id="237" name="Straight Arrow Connector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5745" cy="475615"/>
                        </a:xfrm>
                        <a:prstGeom prst="straightConnector1">
                          <a:avLst/>
                        </a:prstGeom>
                        <a:noFill/>
                        <a:ln w="25400">
                          <a:solidFill>
                            <a:srgbClr val="FFFF00"/>
                          </a:solidFill>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2B0CF23C" id="Straight Arrow Connector 11" o:spid="_x0000_s1026" type="#_x0000_t32" alt="&quot;&quot;" style="position:absolute;margin-left:132.35pt;margin-top:48pt;width:19.35pt;height:37.45pt;flip:x;z-index:25167155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" strokecolor="yellow" strokeweight="2pt">
                <v:stroke endarrow="block" endarrowwidth="wide" endarrowlength="long"/>
              </v:shape>
            </w:pict>
          </mc:Fallback>
        </mc:AlternateContent>
      </w:r>
      <w:r w:rsidRPr="00855E7E">
        <w:rPr>
          <w:i/>
          <w:noProof/>
          <w:color w:val="auto"/>
          <w:sz w:val="18"/>
          <w:szCs w:val="18"/>
        </w:rPr>
        <mc:AlternateContent>
          <mc:Choice Requires="wps">
            <w:drawing>
              <wp:anchor distT="0" distB="0" distL="114300" distR="114300" simplePos="0" relativeHeight="251669504" behindDoc="0" locked="0" layoutInCell="1" allowOverlap="1" wp14:anchorId="542AF2F0" wp14:editId="2B4128B5">
                <wp:simplePos x="0" y="0"/>
                <wp:positionH relativeFrom="column">
                  <wp:posOffset>1394619</wp:posOffset>
                </wp:positionH>
                <wp:positionV relativeFrom="paragraph">
                  <wp:posOffset>194310</wp:posOffset>
                </wp:positionV>
                <wp:extent cx="1143000" cy="415290"/>
                <wp:effectExtent l="0" t="0" r="0" b="3810"/>
                <wp:wrapNone/>
                <wp:docPr id="234"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415290"/>
                        </a:xfrm>
                        <a:prstGeom prst="rect">
                          <a:avLst/>
                        </a:prstGeom>
                        <a:solidFill>
                          <a:srgbClr val="FFFFFF">
                            <a:alpha val="50999"/>
                          </a:srgbClr>
                        </a:solidFill>
                        <a:ln>
                          <a:noFill/>
                        </a:ln>
                        <a:effectLst/>
                        <a:extLst>
                          <a:ext uri="{91240B29-F687-4F45-9708-019B960494DF}">
                            <a14:hiddenLine xmlns:a14="http://schemas.microsoft.com/office/drawing/2010/main" w="63500" cmpd="thickThin">
                              <a:solidFill>
                                <a:schemeClr val="accent4">
                                  <a:lumMod val="100000"/>
                                  <a:lumOff val="0"/>
                                </a:schemeClr>
                              </a:solidFill>
                              <a:miter lim="800000"/>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037318F" w14:textId="77777777" w:rsidR="00E30324" w:rsidRDefault="00E30324" w:rsidP="00ED7363">
                            <w:pPr>
                              <w:rPr>
                                <w:rFonts w:ascii="Blue Highway" w:hAnsi="Blue Highway"/>
                                <w:b/>
                                <w:sz w:val="28"/>
                              </w:rPr>
                            </w:pPr>
                            <w:r>
                              <w:rPr>
                                <w:rFonts w:ascii="Blue Highway" w:hAnsi="Blue Highway"/>
                                <w:b/>
                                <w:sz w:val="28"/>
                              </w:rPr>
                              <w:t>Active Infrared Reflector</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542AF2F0" id="_x0000_s1096" type="#_x0000_t202" style="position:absolute;left:0;text-align:left;margin-left:109.8pt;margin-top:15.3pt;width:90pt;height:32.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" stroked="f" strokecolor="#ffc000 [3207]" strokeweight="5pt">
                <v:fill opacity="33410f"/>
                <v:stroke linestyle="thickThin"/>
                <v:shadow color="#868686"/>
                <v:textbox inset="0,0,0,0">
                  <w:txbxContent>
                    <w:p w14:paraId="3037318F" w14:textId="77777777" w:rsidR="00E30324" w:rsidRDefault="00E30324" w:rsidP="00ED7363">
                      <w:pPr>
                        <w:rPr>
                          <w:rFonts w:ascii="Blue Highway" w:hAnsi="Blue Highway"/>
                          <w:b/>
                          <w:sz w:val="28"/>
                        </w:rPr>
                      </w:pPr>
                      <w:r>
                        <w:rPr>
                          <w:rFonts w:ascii="Blue Highway" w:hAnsi="Blue Highway"/>
                          <w:b/>
                          <w:sz w:val="28"/>
                        </w:rPr>
                        <w:t>Active Infrared Reflector</w:t>
                      </w:r>
                    </w:p>
                  </w:txbxContent>
                </v:textbox>
              </v:shape>
            </w:pict>
          </mc:Fallback>
        </mc:AlternateContent>
      </w:r>
      <w:r w:rsidR="008822A4" w:rsidRPr="00855E7E">
        <w:rPr>
          <w:i/>
          <w:noProof/>
          <w:color w:val="auto"/>
          <w:sz w:val="18"/>
          <w:szCs w:val="18"/>
        </w:rPr>
        <w:drawing>
          <wp:inline distT="0" distB="0" distL="0" distR="0" wp14:anchorId="135223BF" wp14:editId="634DCEA0">
            <wp:extent cx="3727450" cy="2419350"/>
            <wp:effectExtent l="0" t="0" r="6350" b="0"/>
            <wp:docPr id="72" name="Picture 36415" descr="A solitary cyclist on a park bicycle path passing through an infrared signal with active infrared devices on both sides of the bicycle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36415" descr="A solitary cyclist on a park bicycle path passing through an infrared signal with active infrared devices on both sides of the bicycle path."/>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727450" cy="2419350"/>
                    </a:xfrm>
                    <a:prstGeom prst="rect">
                      <a:avLst/>
                    </a:prstGeom>
                    <a:noFill/>
                    <a:ln>
                      <a:noFill/>
                    </a:ln>
                  </pic:spPr>
                </pic:pic>
              </a:graphicData>
            </a:graphic>
          </wp:inline>
        </w:drawing>
      </w:r>
    </w:p>
    <w:p w14:paraId="1448A3EA" w14:textId="72D91E0F" w:rsidR="008822A4" w:rsidRDefault="008822A4" w:rsidP="00AA759F">
      <w:pPr>
        <w:pStyle w:val="Source"/>
        <w:ind w:left="1737" w:right="1710"/>
      </w:pPr>
      <w:r w:rsidRPr="00855E7E">
        <w:t>Source:</w:t>
      </w:r>
      <w:r w:rsidR="0061163F">
        <w:t xml:space="preserve"> </w:t>
      </w:r>
      <w:r w:rsidRPr="00855E7E">
        <w:t xml:space="preserve"> Steve Hankey, University of Minnesota (Red horizontal line is provided to</w:t>
      </w:r>
      <w:r w:rsidR="0061163F">
        <w:t> </w:t>
      </w:r>
      <w:r w:rsidRPr="00855E7E">
        <w:t xml:space="preserve">visualize the infrared beam.) </w:t>
      </w:r>
    </w:p>
    <w:p w14:paraId="2F16B4F0" w14:textId="6B857269" w:rsidR="00647627" w:rsidRPr="00C34163" w:rsidRDefault="00647627" w:rsidP="00647627">
      <w:pPr>
        <w:pStyle w:val="TMGFigureCaption"/>
      </w:pPr>
      <w:bookmarkStart w:id="862" w:name="_Ref114752295"/>
      <w:bookmarkStart w:id="863" w:name="_Toc63428108"/>
      <w:bookmarkStart w:id="864" w:name="_Toc114474792"/>
      <w:bookmarkStart w:id="865" w:name="_Toc120626567"/>
      <w:r w:rsidRPr="00C34163">
        <w:t xml:space="preserve">Figure </w:t>
      </w:r>
      <w:fldSimple w:instr=" STYLEREF 1 \s ">
        <w:r w:rsidR="00C07DF9">
          <w:rPr>
            <w:noProof/>
          </w:rPr>
          <w:t>2</w:t>
        </w:r>
      </w:fldSimple>
      <w:r w:rsidRPr="00C34163">
        <w:noBreakHyphen/>
      </w:r>
      <w:fldSimple w:instr=" SEQ Figure \* ARABIC \s 1 ">
        <w:r w:rsidR="00C07DF9">
          <w:rPr>
            <w:noProof/>
          </w:rPr>
          <w:t>14</w:t>
        </w:r>
      </w:fldSimple>
      <w:bookmarkEnd w:id="862"/>
      <w:r w:rsidR="00D209D5">
        <w:t>.</w:t>
      </w:r>
      <w:r w:rsidRPr="00C34163">
        <w:t xml:space="preserve"> Typical Configuration for Active Infrared Sensor</w:t>
      </w:r>
      <w:bookmarkEnd w:id="863"/>
      <w:bookmarkEnd w:id="864"/>
      <w:bookmarkEnd w:id="865"/>
    </w:p>
    <w:p w14:paraId="41C4F9E9" w14:textId="46A21BCE" w:rsidR="008822A4" w:rsidRPr="004F7DB0" w:rsidRDefault="008822A4" w:rsidP="00A35EAF">
      <w:pPr>
        <w:pStyle w:val="BodyText"/>
        <w:rPr>
          <w:rStyle w:val="Strong"/>
          <w:rFonts w:ascii="Cambria" w:hAnsi="Cambria"/>
          <w:sz w:val="22"/>
          <w:szCs w:val="22"/>
        </w:rPr>
      </w:pPr>
      <w:r w:rsidRPr="004F7DB0">
        <w:rPr>
          <w:rStyle w:val="Strong"/>
          <w:rFonts w:ascii="Cambria" w:hAnsi="Cambria"/>
          <w:sz w:val="22"/>
          <w:szCs w:val="22"/>
        </w:rPr>
        <w:t>Pneumatic Tubes</w:t>
      </w:r>
    </w:p>
    <w:p w14:paraId="3CB4386F" w14:textId="0E269D3C" w:rsidR="008822A4" w:rsidRPr="00CF3843" w:rsidRDefault="008822A4" w:rsidP="00A35EAF">
      <w:pPr>
        <w:pStyle w:val="BodyText"/>
      </w:pPr>
      <w:r w:rsidRPr="00855E7E">
        <w:t>Pneumatic tubes are a low-cost, portable approach for counting micromobility vehicles (</w:t>
      </w:r>
      <w:r w:rsidR="00D209D5">
        <w:fldChar w:fldCharType="begin"/>
      </w:r>
      <w:r w:rsidR="00D209D5">
        <w:instrText xml:space="preserve"> REF _Ref114752286 \h </w:instrText>
      </w:r>
      <w:r w:rsidR="00D209D5">
        <w:fldChar w:fldCharType="separate"/>
      </w:r>
      <w:r w:rsidR="00C07DF9" w:rsidRPr="00C34163">
        <w:t xml:space="preserve">Figure </w:t>
      </w:r>
      <w:r w:rsidR="00C07DF9">
        <w:rPr>
          <w:noProof/>
        </w:rPr>
        <w:t>2</w:t>
      </w:r>
      <w:r w:rsidR="00C07DF9" w:rsidRPr="00C34163">
        <w:noBreakHyphen/>
      </w:r>
      <w:r w:rsidR="00C07DF9">
        <w:rPr>
          <w:noProof/>
        </w:rPr>
        <w:t>15</w:t>
      </w:r>
      <w:r w:rsidR="00D209D5">
        <w:fldChar w:fldCharType="end"/>
      </w:r>
      <w:r w:rsidRPr="00CF3843">
        <w:t xml:space="preserve">). The data logger should be set with pre-defined criteria (e.g., axle spacing) and/or algorithms to determine whether a valid vehicle type has passed over the tubes. Pneumatic tubes should be combined with infrared sensors at locations where both bicyclist and pedestrian counts are desired. </w:t>
      </w:r>
    </w:p>
    <w:p w14:paraId="68E5DD87" w14:textId="77777777" w:rsidR="008822A4" w:rsidRPr="00CF3843" w:rsidRDefault="008822A4" w:rsidP="00A35EAF">
      <w:pPr>
        <w:pStyle w:val="BodyText"/>
      </w:pPr>
      <w:r w:rsidRPr="00CF3843">
        <w:lastRenderedPageBreak/>
        <w:t>Due to their construction (smaller diameter and easier to squeeze due to thinner walls), smaller pneumatic tubes are better at capturing micromobility devices when they are used on dedicated pathways, since they are not also being used to also collect vehicle count data. The placement of pneumatic tubes for bicycles should adequately cover the bicycle travel path while not being exposed to excessive passage by motor vehicles.</w:t>
      </w:r>
    </w:p>
    <w:p w14:paraId="557070C3" w14:textId="66986A0D" w:rsidR="008822A4" w:rsidRPr="00855E7E" w:rsidRDefault="008822A4" w:rsidP="009A7C15">
      <w:pPr>
        <w:pStyle w:val="BodyText"/>
        <w:spacing w:after="240"/>
      </w:pPr>
      <w:r w:rsidRPr="00CF3843">
        <w:t>When counting bicycles in a bike lane or shared lane, passage and activation by motorized traffic is unavoidable. In these cases, the data logger criteria should be capable of ignoring typical motor vehicle axle spacing. If direction of bicyclist travel is desired, a pair of pneumatic tubes should be used (see</w:t>
      </w:r>
      <w:r w:rsidR="00D209D5">
        <w:t xml:space="preserve"> </w:t>
      </w:r>
      <w:r w:rsidR="00D209D5">
        <w:fldChar w:fldCharType="begin"/>
      </w:r>
      <w:r w:rsidR="00D209D5">
        <w:instrText xml:space="preserve"> REF _Ref114752286 \h </w:instrText>
      </w:r>
      <w:r w:rsidR="00D209D5">
        <w:fldChar w:fldCharType="separate"/>
      </w:r>
      <w:r w:rsidR="00C07DF9" w:rsidRPr="00C34163">
        <w:t xml:space="preserve">Figure </w:t>
      </w:r>
      <w:r w:rsidR="00C07DF9">
        <w:rPr>
          <w:noProof/>
        </w:rPr>
        <w:t>2</w:t>
      </w:r>
      <w:r w:rsidR="00C07DF9" w:rsidRPr="00C34163">
        <w:noBreakHyphen/>
      </w:r>
      <w:r w:rsidR="00C07DF9">
        <w:rPr>
          <w:noProof/>
        </w:rPr>
        <w:t>15</w:t>
      </w:r>
      <w:r w:rsidR="00D209D5">
        <w:fldChar w:fldCharType="end"/>
      </w:r>
      <w:r w:rsidRPr="00CF3843">
        <w:t>),</w:t>
      </w:r>
      <w:r w:rsidRPr="00855E7E">
        <w:t xml:space="preserve"> and travel direction should be inferred from the timing of detection events at each tube. For shared roadways with motorized traffic</w:t>
      </w:r>
      <w:r w:rsidR="00733018">
        <w:t>,</w:t>
      </w:r>
      <w:r w:rsidRPr="00855E7E">
        <w:t xml:space="preserve"> the classic tube diameter used for detection is 0.50 inches (15mm) and for greenways that do not encounter motorized traffic a thinner, mini-tube is utilized with a diameter of 0.35 inches (9mm).</w:t>
      </w:r>
    </w:p>
    <w:p w14:paraId="634C59C4" w14:textId="77777777" w:rsidR="008822A4" w:rsidRPr="00855E7E" w:rsidRDefault="008822A4" w:rsidP="009A7C15">
      <w:pPr>
        <w:jc w:val="center"/>
        <w:rPr>
          <w:i/>
          <w:color w:val="auto"/>
          <w:sz w:val="18"/>
          <w:szCs w:val="18"/>
          <w:highlight w:val="yellow"/>
        </w:rPr>
      </w:pPr>
      <w:r w:rsidRPr="00855E7E">
        <w:rPr>
          <w:i/>
          <w:noProof/>
          <w:color w:val="auto"/>
          <w:sz w:val="18"/>
          <w:szCs w:val="18"/>
        </w:rPr>
        <w:drawing>
          <wp:inline distT="0" distB="0" distL="0" distR="0" wp14:anchorId="062A468D" wp14:editId="647DFC1C">
            <wp:extent cx="5194300" cy="2286000"/>
            <wp:effectExtent l="0" t="0" r="6350" b="0"/>
            <wp:docPr id="73" name="Picture 3" descr="A solitary cyclist on an urban downhill slope passing over 2 road tubes. This collects both direction and speed of the cyc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3" descr="A solitary cyclist on an urban downhill slope passing over 2 road tubes. This collects both direction and speed of the cyclist."/>
                    <pic:cNvPicPr>
                      <a:picLocks noChangeAspect="1" noChangeArrowheads="1"/>
                    </pic:cNvPicPr>
                  </pic:nvPicPr>
                  <pic:blipFill>
                    <a:blip r:embed="rId97">
                      <a:extLst>
                        <a:ext uri="{28A0092B-C50C-407E-A947-70E740481C1C}">
                          <a14:useLocalDpi xmlns:a14="http://schemas.microsoft.com/office/drawing/2010/main" val="0"/>
                        </a:ext>
                      </a:extLst>
                    </a:blip>
                    <a:srcRect l="2835" r="5620"/>
                    <a:stretch>
                      <a:fillRect/>
                    </a:stretch>
                  </pic:blipFill>
                  <pic:spPr bwMode="auto">
                    <a:xfrm>
                      <a:off x="0" y="0"/>
                      <a:ext cx="5194300" cy="2286000"/>
                    </a:xfrm>
                    <a:prstGeom prst="rect">
                      <a:avLst/>
                    </a:prstGeom>
                    <a:noFill/>
                    <a:ln>
                      <a:noFill/>
                    </a:ln>
                  </pic:spPr>
                </pic:pic>
              </a:graphicData>
            </a:graphic>
          </wp:inline>
        </w:drawing>
      </w:r>
    </w:p>
    <w:p w14:paraId="031C941E" w14:textId="0E6328CD" w:rsidR="008822A4" w:rsidRDefault="008822A4" w:rsidP="00AA759F">
      <w:pPr>
        <w:spacing w:before="80" w:line="240" w:lineRule="atLeast"/>
        <w:ind w:left="585"/>
        <w:rPr>
          <w:color w:val="auto"/>
        </w:rPr>
      </w:pPr>
      <w:r w:rsidRPr="00855E7E">
        <w:rPr>
          <w:rStyle w:val="SourceChar"/>
          <w:color w:val="auto"/>
        </w:rPr>
        <w:t>Source:</w:t>
      </w:r>
      <w:r w:rsidR="0061163F">
        <w:rPr>
          <w:rStyle w:val="SourceChar"/>
          <w:color w:val="auto"/>
        </w:rPr>
        <w:t xml:space="preserve"> </w:t>
      </w:r>
      <w:r w:rsidR="009A7C15">
        <w:rPr>
          <w:rStyle w:val="SourceChar"/>
          <w:color w:val="auto"/>
        </w:rPr>
        <w:t xml:space="preserve"> </w:t>
      </w:r>
      <w:r w:rsidRPr="00855E7E">
        <w:rPr>
          <w:rStyle w:val="SourceChar"/>
          <w:color w:val="auto"/>
        </w:rPr>
        <w:t>Louis Queruau, Eco-Counter</w:t>
      </w:r>
      <w:r w:rsidRPr="00855E7E">
        <w:rPr>
          <w:color w:val="auto"/>
        </w:rPr>
        <w:t>.</w:t>
      </w:r>
    </w:p>
    <w:p w14:paraId="3F968BCA" w14:textId="5B832E1A" w:rsidR="009A7C15" w:rsidRPr="00C34163" w:rsidRDefault="009A7C15" w:rsidP="009A7C15">
      <w:pPr>
        <w:pStyle w:val="TMGFigureCaption"/>
      </w:pPr>
      <w:bookmarkStart w:id="866" w:name="_Ref114752286"/>
      <w:bookmarkStart w:id="867" w:name="_Toc63428109"/>
      <w:bookmarkStart w:id="868" w:name="_Toc114474793"/>
      <w:bookmarkStart w:id="869" w:name="_Toc120626568"/>
      <w:r w:rsidRPr="00C34163">
        <w:t xml:space="preserve">Figure </w:t>
      </w:r>
      <w:fldSimple w:instr=" STYLEREF 1 \s ">
        <w:r w:rsidR="00C07DF9">
          <w:rPr>
            <w:noProof/>
          </w:rPr>
          <w:t>2</w:t>
        </w:r>
      </w:fldSimple>
      <w:r w:rsidRPr="00C34163">
        <w:noBreakHyphen/>
      </w:r>
      <w:fldSimple w:instr=" SEQ Figure \* ARABIC \s 1 ">
        <w:r w:rsidR="00C07DF9">
          <w:rPr>
            <w:noProof/>
          </w:rPr>
          <w:t>15</w:t>
        </w:r>
      </w:fldSimple>
      <w:bookmarkEnd w:id="866"/>
      <w:r w:rsidR="00D209D5">
        <w:t>.</w:t>
      </w:r>
      <w:r w:rsidRPr="00C34163">
        <w:t xml:space="preserve"> Example of Pneumatic Tube Configuration for Counting Directional Bicyclist Traffic</w:t>
      </w:r>
      <w:bookmarkEnd w:id="867"/>
      <w:bookmarkEnd w:id="868"/>
      <w:bookmarkEnd w:id="869"/>
    </w:p>
    <w:p w14:paraId="7A6AE330" w14:textId="77437C30" w:rsidR="008822A4" w:rsidRPr="00855E7E" w:rsidRDefault="008822A4" w:rsidP="00A35EAF">
      <w:pPr>
        <w:pStyle w:val="BodyText"/>
      </w:pPr>
      <w:r w:rsidRPr="00855E7E">
        <w:t>Bicyclist safety is a concern when pneumatic tubes are installed with pavement nails or other metal fixtures, as they could possibly dislodge from the pavement and puncture a bicycle tire or create a road hazard for bicyclists. Extra care should be taken in installing pneumatic tubes, either by placing metal fixtures outside the bicycle facility or by using tape or other adhesive. Pneumatic tubes pose a tripping hazard</w:t>
      </w:r>
      <w:r w:rsidR="00733018">
        <w:t>,</w:t>
      </w:r>
      <w:r w:rsidRPr="00855E7E">
        <w:t xml:space="preserve"> and it is also known that bikes tend to go around them. Therefore, application of this technology is limited. Usage of this technology is not recommended for bike lanes on shared roadways with cars driving over the tubes and getting counted.</w:t>
      </w:r>
    </w:p>
    <w:p w14:paraId="719AB3A7" w14:textId="05A293CD" w:rsidR="008822A4" w:rsidRPr="00517F7A" w:rsidRDefault="008822A4">
      <w:pPr>
        <w:pStyle w:val="Heading3"/>
      </w:pPr>
      <w:bookmarkStart w:id="870" w:name="_Toc52785424"/>
      <w:bookmarkStart w:id="871" w:name="_Toc63428138"/>
      <w:bookmarkStart w:id="872" w:name="_Toc118205599"/>
      <w:r w:rsidRPr="00517F7A">
        <w:t>Pressure and Seismic Sensors</w:t>
      </w:r>
      <w:bookmarkEnd w:id="870"/>
      <w:bookmarkEnd w:id="871"/>
      <w:bookmarkEnd w:id="872"/>
    </w:p>
    <w:p w14:paraId="56EB1151" w14:textId="77777777" w:rsidR="008822A4" w:rsidRPr="00855E7E" w:rsidRDefault="008822A4" w:rsidP="00A35EAF">
      <w:pPr>
        <w:pStyle w:val="BodyText"/>
      </w:pPr>
      <w:r w:rsidRPr="00855E7E">
        <w:t xml:space="preserve">Pressure plate sensors operate by detecting changes in force (i.e., weight), much like an electronic bathroom scale. Seismic sensors (also sometimes called acoustic sensors) operate by detecting the passage of energy waves through the ground caused by feet, bicycle tires, or other nonmotorized wheels. As with other monitoring technologies, pre-defined criteria should be used to determine a valid detection and therefore a valid user to be counted. </w:t>
      </w:r>
    </w:p>
    <w:p w14:paraId="13042FD0" w14:textId="1F95971B" w:rsidR="008822A4" w:rsidRPr="00855E7E" w:rsidRDefault="008822A4" w:rsidP="00A35EAF">
      <w:pPr>
        <w:pStyle w:val="BodyText"/>
      </w:pPr>
      <w:r w:rsidRPr="00855E7E">
        <w:t>Both pressure plate and seismic sensors require the sensor element to be placed underneath or very near the detection area. Pressure and seismic sensors are most common on unpaved trails or paths (Figure 2-1</w:t>
      </w:r>
      <w:r w:rsidR="00613A01">
        <w:t>6</w:t>
      </w:r>
      <w:r w:rsidRPr="00855E7E">
        <w:t>), where burial of the sensor element is typically low-cost and minimally disruptive. However, pressure plate sensors should be used at curbside pedestrian signal waiting areas, as a supplement to or replacement of a pedestrian crosswalk push button.</w:t>
      </w:r>
    </w:p>
    <w:p w14:paraId="6EBA1B9A" w14:textId="2B079843" w:rsidR="00220AFE" w:rsidRDefault="008822A4" w:rsidP="00DA464F">
      <w:pPr>
        <w:pStyle w:val="BodyText"/>
      </w:pPr>
      <w:r w:rsidRPr="00855E7E">
        <w:t>Some models of pressure plate and seismic sensors are capable of detecting the difference between pedestrians and bicyclists. Placement and size of the pressure plate sensors (also known as pressure mats) is used to gather directional information. When installed properly, pressure and seismic sensors serve as permanent continuous counters.</w:t>
      </w:r>
      <w:bookmarkStart w:id="873" w:name="_Toc63428110"/>
      <w:r w:rsidR="00220AFE">
        <w:br w:type="page"/>
      </w:r>
    </w:p>
    <w:bookmarkEnd w:id="873"/>
    <w:p w14:paraId="70625DEE" w14:textId="77777777" w:rsidR="008822A4" w:rsidRPr="00855E7E" w:rsidRDefault="008822A4" w:rsidP="009A7C15">
      <w:pPr>
        <w:spacing w:before="80" w:line="240" w:lineRule="atLeast"/>
        <w:ind w:left="1800"/>
        <w:rPr>
          <w:color w:val="auto"/>
        </w:rPr>
      </w:pPr>
      <w:r w:rsidRPr="00855E7E">
        <w:rPr>
          <w:color w:val="auto"/>
        </w:rPr>
        <w:lastRenderedPageBreak/>
        <w:t>(a) Pressure sensor on natural surface trail</w:t>
      </w:r>
    </w:p>
    <w:p w14:paraId="08BA6D86" w14:textId="77777777" w:rsidR="008822A4" w:rsidRPr="00855E7E" w:rsidRDefault="008822A4" w:rsidP="009A7C15">
      <w:pPr>
        <w:spacing w:before="80" w:line="240" w:lineRule="atLeast"/>
        <w:jc w:val="center"/>
        <w:rPr>
          <w:noProof/>
          <w:color w:val="auto"/>
        </w:rPr>
      </w:pPr>
      <w:r w:rsidRPr="00855E7E">
        <w:rPr>
          <w:noProof/>
          <w:color w:val="auto"/>
        </w:rPr>
        <w:drawing>
          <wp:inline distT="0" distB="0" distL="0" distR="0" wp14:anchorId="40787957" wp14:editId="0B70FAE2">
            <wp:extent cx="3619500" cy="2590800"/>
            <wp:effectExtent l="0" t="0" r="0" b="0"/>
            <wp:docPr id="74" name="Picture 48" descr="Placement of a pressure sensor on a natural surface trail before it is covered up and after it is covered up showing no signs of the pressure sensor being in 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48" descr="Placement of a pressure sensor on a natural surface trail before it is covered up and after it is covered up showing no signs of the pressure sensor being in place."/>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619500" cy="2590800"/>
                    </a:xfrm>
                    <a:prstGeom prst="rect">
                      <a:avLst/>
                    </a:prstGeom>
                    <a:noFill/>
                    <a:ln>
                      <a:noFill/>
                    </a:ln>
                  </pic:spPr>
                </pic:pic>
              </a:graphicData>
            </a:graphic>
          </wp:inline>
        </w:drawing>
      </w:r>
    </w:p>
    <w:p w14:paraId="73085D1B" w14:textId="77777777" w:rsidR="008822A4" w:rsidRPr="00855E7E" w:rsidRDefault="008822A4" w:rsidP="009A7C15">
      <w:pPr>
        <w:spacing w:before="80" w:line="240" w:lineRule="atLeast"/>
        <w:ind w:left="1800"/>
        <w:rPr>
          <w:color w:val="auto"/>
        </w:rPr>
      </w:pPr>
      <w:r w:rsidRPr="00855E7E">
        <w:rPr>
          <w:color w:val="auto"/>
        </w:rPr>
        <w:t>(b) Pressure sensor on paved surface</w:t>
      </w:r>
    </w:p>
    <w:p w14:paraId="22E8D430" w14:textId="77777777" w:rsidR="008822A4" w:rsidRPr="00855E7E" w:rsidRDefault="008822A4" w:rsidP="009A7C15">
      <w:pPr>
        <w:spacing w:before="80" w:line="240" w:lineRule="atLeast"/>
        <w:jc w:val="center"/>
        <w:rPr>
          <w:color w:val="auto"/>
        </w:rPr>
      </w:pPr>
      <w:r w:rsidRPr="00855E7E">
        <w:rPr>
          <w:noProof/>
          <w:color w:val="auto"/>
        </w:rPr>
        <w:drawing>
          <wp:inline distT="0" distB="0" distL="0" distR="0" wp14:anchorId="22CFD754" wp14:editId="113F13EE">
            <wp:extent cx="3657600" cy="2794000"/>
            <wp:effectExtent l="0" t="0" r="0" b="6350"/>
            <wp:docPr id="78" name="Picture 49" descr="A pressure sensor on a paved surface on an entrance to a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49" descr="A pressure sensor on a paved surface on an entrance to a park."/>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657600" cy="2794000"/>
                    </a:xfrm>
                    <a:prstGeom prst="rect">
                      <a:avLst/>
                    </a:prstGeom>
                    <a:noFill/>
                    <a:ln>
                      <a:noFill/>
                    </a:ln>
                  </pic:spPr>
                </pic:pic>
              </a:graphicData>
            </a:graphic>
          </wp:inline>
        </w:drawing>
      </w:r>
    </w:p>
    <w:p w14:paraId="5921072F" w14:textId="5095C4DC" w:rsidR="008822A4" w:rsidRDefault="008822A4" w:rsidP="009A7C15">
      <w:pPr>
        <w:pStyle w:val="Source"/>
        <w:ind w:left="1791"/>
      </w:pPr>
      <w:r w:rsidRPr="009A7C15">
        <w:t>Source:</w:t>
      </w:r>
      <w:r w:rsidR="009A7C15" w:rsidRPr="009A7C15">
        <w:t xml:space="preserve"> </w:t>
      </w:r>
      <w:r w:rsidRPr="009A7C15">
        <w:t xml:space="preserve"> Jean-Francois Rheault, Eco-Count</w:t>
      </w:r>
      <w:r w:rsidRPr="00855E7E">
        <w:t>er.</w:t>
      </w:r>
    </w:p>
    <w:p w14:paraId="3928A1C2" w14:textId="6A3DC35F" w:rsidR="009A7C15" w:rsidRPr="00855E7E" w:rsidRDefault="009A7C15" w:rsidP="009A7C15">
      <w:pPr>
        <w:pStyle w:val="TMGFigureCaption"/>
      </w:pPr>
      <w:bookmarkStart w:id="874" w:name="_Toc114474794"/>
      <w:bookmarkStart w:id="875" w:name="_Toc120626569"/>
      <w:r w:rsidRPr="00855E7E">
        <w:t xml:space="preserve">Figure </w:t>
      </w:r>
      <w:fldSimple w:instr=" STYLEREF 1 \s ">
        <w:r w:rsidR="00C07DF9">
          <w:rPr>
            <w:noProof/>
          </w:rPr>
          <w:t>2</w:t>
        </w:r>
      </w:fldSimple>
      <w:r>
        <w:noBreakHyphen/>
      </w:r>
      <w:fldSimple w:instr=" SEQ Figure \* ARABIC \s 1 ">
        <w:r w:rsidR="00C07DF9">
          <w:rPr>
            <w:noProof/>
          </w:rPr>
          <w:t>16</w:t>
        </w:r>
      </w:fldSimple>
      <w:r w:rsidR="007F2D82">
        <w:t>.</w:t>
      </w:r>
      <w:r w:rsidRPr="00855E7E">
        <w:t xml:space="preserve"> Examples </w:t>
      </w:r>
      <w:r w:rsidR="00411B1F">
        <w:t>o</w:t>
      </w:r>
      <w:r w:rsidRPr="00855E7E">
        <w:t xml:space="preserve">f Pressure Sensors </w:t>
      </w:r>
      <w:r w:rsidR="007F2D82">
        <w:t>o</w:t>
      </w:r>
      <w:r w:rsidRPr="00855E7E">
        <w:t xml:space="preserve">n Natural (A) </w:t>
      </w:r>
      <w:r w:rsidR="00E34EB1">
        <w:t>a</w:t>
      </w:r>
      <w:r w:rsidRPr="00855E7E">
        <w:t>nd Paved (B) Surfaces</w:t>
      </w:r>
      <w:bookmarkEnd w:id="874"/>
      <w:bookmarkEnd w:id="875"/>
    </w:p>
    <w:p w14:paraId="631D766E" w14:textId="490CD8F1" w:rsidR="008822A4" w:rsidRPr="00517F7A" w:rsidRDefault="008822A4">
      <w:pPr>
        <w:pStyle w:val="Heading3"/>
      </w:pPr>
      <w:bookmarkStart w:id="876" w:name="_Toc52785425"/>
      <w:bookmarkStart w:id="877" w:name="_Toc63428139"/>
      <w:bookmarkStart w:id="878" w:name="_Toc118205600"/>
      <w:r w:rsidRPr="00517F7A">
        <w:t>Video Image Processing</w:t>
      </w:r>
      <w:bookmarkEnd w:id="876"/>
      <w:bookmarkEnd w:id="877"/>
      <w:bookmarkEnd w:id="878"/>
    </w:p>
    <w:p w14:paraId="7C554A6D" w14:textId="532D924D" w:rsidR="008822A4" w:rsidRPr="00855E7E" w:rsidRDefault="008822A4" w:rsidP="00A35EAF">
      <w:pPr>
        <w:pStyle w:val="BodyText"/>
      </w:pPr>
      <w:r w:rsidRPr="00855E7E">
        <w:t>Video image processing operates by using visual pattern recognition algorithms to identify (and sometimes track) a pedestrian or bicyclist traveling through a video camera’s field-of-view. Video image processing has the capability to distinguish pedestrians and/or bicyclists traveling in a group or cluster</w:t>
      </w:r>
      <w:r w:rsidR="00E93918">
        <w:t xml:space="preserve"> (see </w:t>
      </w:r>
      <w:r w:rsidR="00D82E40">
        <w:fldChar w:fldCharType="begin"/>
      </w:r>
      <w:r w:rsidR="00D82E40">
        <w:instrText xml:space="preserve"> REF _Ref116025154 \h </w:instrText>
      </w:r>
      <w:r w:rsidR="00D82E40">
        <w:fldChar w:fldCharType="separate"/>
      </w:r>
      <w:r w:rsidR="00C07DF9" w:rsidRPr="00C34163">
        <w:t xml:space="preserve">Figure </w:t>
      </w:r>
      <w:r w:rsidR="00C07DF9">
        <w:rPr>
          <w:noProof/>
        </w:rPr>
        <w:t>2</w:t>
      </w:r>
      <w:r w:rsidR="00C07DF9" w:rsidRPr="00C34163">
        <w:noBreakHyphen/>
      </w:r>
      <w:r w:rsidR="00C07DF9">
        <w:rPr>
          <w:noProof/>
        </w:rPr>
        <w:t>17</w:t>
      </w:r>
      <w:r w:rsidR="00D82E40">
        <w:fldChar w:fldCharType="end"/>
      </w:r>
      <w:r w:rsidR="00E93918">
        <w:t>)</w:t>
      </w:r>
      <w:r w:rsidRPr="00855E7E">
        <w:t>. These capabilities vary, depending on the algorithm implemented in the commercial products. Weather and lighting often reduce the accuracy of this technology. Finally, video image processing typically has the highest equipment costs. This type of sensing technology is rapidly developing, and improvements are being made to overcome bad weather using Lidar. The equipment should be deployed to many more locations, including signalized intersections.</w:t>
      </w:r>
    </w:p>
    <w:p w14:paraId="6F152A16" w14:textId="77777777" w:rsidR="008822A4" w:rsidRPr="00855E7E" w:rsidRDefault="008822A4" w:rsidP="00A35EAF">
      <w:pPr>
        <w:pStyle w:val="BodyText"/>
      </w:pPr>
      <w:r w:rsidRPr="00855E7E">
        <w:t>Pedestrian and bicyclist counts are manually reduced by viewing recorded video from intersection control or surveillance cameras. This manual approach is practical and low-cost for periodic short-term counts, but</w:t>
      </w:r>
      <w:r>
        <w:t xml:space="preserve"> it</w:t>
      </w:r>
      <w:r w:rsidRPr="00855E7E">
        <w:t xml:space="preserve"> is not sustainable for continuous monitoring purposes (due to required labor and associated costs). This approach </w:t>
      </w:r>
      <w:r w:rsidRPr="00855E7E">
        <w:lastRenderedPageBreak/>
        <w:t>eliminates equipment installation (and corresponding traffic control), but also requires a low-cost labor force to manually review the video. Several companies offer a portable video recording unit as well as data reduction services. The recorded video may be useful to other agencies or departments that wish to study bicyclist and pedestrian behavior (e.g., in response to safety issues or concerns). Additionally, this recorded video should be used for quality assurance purposes (i.e., for verification/validation of nearby automated counts).</w:t>
      </w:r>
    </w:p>
    <w:p w14:paraId="064D03EB" w14:textId="77777777" w:rsidR="008822A4" w:rsidRPr="00855E7E" w:rsidRDefault="008822A4" w:rsidP="009A7C15">
      <w:pPr>
        <w:keepNext/>
        <w:jc w:val="center"/>
        <w:rPr>
          <w:color w:val="auto"/>
        </w:rPr>
      </w:pPr>
      <w:r w:rsidRPr="00855E7E">
        <w:rPr>
          <w:noProof/>
          <w:color w:val="auto"/>
        </w:rPr>
        <w:drawing>
          <wp:inline distT="0" distB="0" distL="0" distR="0" wp14:anchorId="674251FE" wp14:editId="6AD73404">
            <wp:extent cx="5143500" cy="1803400"/>
            <wp:effectExtent l="0" t="0" r="0" b="6350"/>
            <wp:docPr id="79" name="Picture 342" descr="A video capture of bicycles and pedestrians on a crowded urban intersection showing direction and sp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342" descr="A video capture of bicycles and pedestrians on a crowded urban intersection showing direction and speed."/>
                    <pic:cNvPicPr>
                      <a:picLocks noChangeAspect="1" noChangeArrowheads="1"/>
                    </pic:cNvPicPr>
                  </pic:nvPicPr>
                  <pic:blipFill>
                    <a:blip r:embed="rId100">
                      <a:extLst>
                        <a:ext uri="{28A0092B-C50C-407E-A947-70E740481C1C}">
                          <a14:useLocalDpi xmlns:a14="http://schemas.microsoft.com/office/drawing/2010/main" val="0"/>
                        </a:ext>
                      </a:extLst>
                    </a:blip>
                    <a:srcRect l="5350" t="28300" r="5070" b="9622"/>
                    <a:stretch>
                      <a:fillRect/>
                    </a:stretch>
                  </pic:blipFill>
                  <pic:spPr bwMode="auto">
                    <a:xfrm>
                      <a:off x="0" y="0"/>
                      <a:ext cx="5143500" cy="1803400"/>
                    </a:xfrm>
                    <a:prstGeom prst="rect">
                      <a:avLst/>
                    </a:prstGeom>
                    <a:noFill/>
                    <a:ln>
                      <a:noFill/>
                    </a:ln>
                  </pic:spPr>
                </pic:pic>
              </a:graphicData>
            </a:graphic>
          </wp:inline>
        </w:drawing>
      </w:r>
    </w:p>
    <w:p w14:paraId="539C055E" w14:textId="0D2103FD" w:rsidR="008822A4" w:rsidRPr="009A7C15" w:rsidRDefault="008822A4" w:rsidP="009A7C15">
      <w:pPr>
        <w:pStyle w:val="Source"/>
        <w:ind w:left="630"/>
      </w:pPr>
      <w:r w:rsidRPr="009A7C15">
        <w:t>Source:</w:t>
      </w:r>
      <w:r w:rsidR="0061163F">
        <w:t xml:space="preserve"> </w:t>
      </w:r>
      <w:r w:rsidR="009A7C15">
        <w:t xml:space="preserve"> </w:t>
      </w:r>
      <w:r w:rsidRPr="009A7C15">
        <w:t>Louis Queruau, Eco-Counter.</w:t>
      </w:r>
    </w:p>
    <w:p w14:paraId="6046CA19" w14:textId="1302F276" w:rsidR="009A7C15" w:rsidRPr="00C34163" w:rsidRDefault="009A7C15" w:rsidP="009A7C15">
      <w:pPr>
        <w:pStyle w:val="TMGFigureCaption"/>
        <w:spacing w:after="360"/>
      </w:pPr>
      <w:bookmarkStart w:id="879" w:name="_Ref116025154"/>
      <w:bookmarkStart w:id="880" w:name="_Toc63428111"/>
      <w:bookmarkStart w:id="881" w:name="_Toc114474795"/>
      <w:bookmarkStart w:id="882" w:name="_Toc120626570"/>
      <w:r w:rsidRPr="00C34163">
        <w:t xml:space="preserve">Figure </w:t>
      </w:r>
      <w:fldSimple w:instr=" STYLEREF 1 \s ">
        <w:r w:rsidR="00C07DF9">
          <w:rPr>
            <w:noProof/>
          </w:rPr>
          <w:t>2</w:t>
        </w:r>
      </w:fldSimple>
      <w:r w:rsidRPr="00C34163">
        <w:noBreakHyphen/>
      </w:r>
      <w:fldSimple w:instr=" SEQ Figure \* ARABIC \s 1 ">
        <w:r w:rsidR="00C07DF9">
          <w:rPr>
            <w:noProof/>
          </w:rPr>
          <w:t>17</w:t>
        </w:r>
      </w:fldSimple>
      <w:bookmarkEnd w:id="879"/>
      <w:r w:rsidR="007F2D82">
        <w:t>.</w:t>
      </w:r>
      <w:r w:rsidRPr="00C34163">
        <w:t xml:space="preserve"> Example of Video Capture of Bicycles and Pedestrians</w:t>
      </w:r>
      <w:bookmarkEnd w:id="880"/>
      <w:bookmarkEnd w:id="881"/>
      <w:bookmarkEnd w:id="882"/>
    </w:p>
    <w:p w14:paraId="0583A61E" w14:textId="0F584E9B" w:rsidR="008822A4" w:rsidRPr="00517F7A" w:rsidRDefault="008822A4">
      <w:pPr>
        <w:pStyle w:val="Heading2"/>
      </w:pPr>
      <w:bookmarkStart w:id="883" w:name="_Toc450638914"/>
      <w:bookmarkStart w:id="884" w:name="_Toc363656124"/>
      <w:bookmarkStart w:id="885" w:name="_Toc349905076"/>
      <w:bookmarkStart w:id="886" w:name="_Toc63428140"/>
      <w:bookmarkStart w:id="887" w:name="_Toc68864937"/>
      <w:bookmarkStart w:id="888" w:name="_Toc114474722"/>
      <w:bookmarkStart w:id="889" w:name="_Toc118205601"/>
      <w:r w:rsidRPr="00517F7A">
        <w:t>Traffic Monitoring Equipment Evaluation, Maintenance, Calibration, and Quality Assurance Considerations</w:t>
      </w:r>
      <w:bookmarkEnd w:id="883"/>
      <w:bookmarkEnd w:id="884"/>
      <w:bookmarkEnd w:id="885"/>
      <w:bookmarkEnd w:id="886"/>
      <w:bookmarkEnd w:id="887"/>
      <w:bookmarkEnd w:id="888"/>
      <w:bookmarkEnd w:id="889"/>
    </w:p>
    <w:p w14:paraId="2688865F" w14:textId="77777777" w:rsidR="008822A4" w:rsidRPr="00855E7E" w:rsidRDefault="008822A4" w:rsidP="00A35EAF">
      <w:pPr>
        <w:pStyle w:val="BodyText"/>
      </w:pPr>
      <w:r w:rsidRPr="00855E7E">
        <w:t>To assure that the selected equipment performs to the best of its potential and high-quality traffic data are being collected and reported on a continuous basis, the following factors should be carefully and thoroughly addressed: site selection conducive to accurate data collection, use of proven technology, rigorous attention to detail and use of high-quality materials during the installation process, routine equipment maintenance and calibration, and robust data quality assurance process.</w:t>
      </w:r>
    </w:p>
    <w:p w14:paraId="5E97AA33" w14:textId="77777777" w:rsidR="008822A4" w:rsidRPr="00517F7A" w:rsidRDefault="008822A4">
      <w:pPr>
        <w:pStyle w:val="Heading3"/>
      </w:pPr>
      <w:bookmarkStart w:id="890" w:name="_Toc27475006"/>
      <w:bookmarkStart w:id="891" w:name="_Toc27475242"/>
      <w:bookmarkStart w:id="892" w:name="_Toc27475754"/>
      <w:bookmarkStart w:id="893" w:name="_Toc27478590"/>
      <w:bookmarkStart w:id="894" w:name="_Toc27479099"/>
      <w:bookmarkStart w:id="895" w:name="_Toc27479254"/>
      <w:bookmarkStart w:id="896" w:name="_Toc27479324"/>
      <w:bookmarkStart w:id="897" w:name="_Toc27479583"/>
      <w:bookmarkStart w:id="898" w:name="_Toc27479642"/>
      <w:bookmarkStart w:id="899" w:name="_Toc27479700"/>
      <w:bookmarkStart w:id="900" w:name="_Toc27479757"/>
      <w:bookmarkStart w:id="901" w:name="_Toc31024464"/>
      <w:bookmarkStart w:id="902" w:name="_Toc31025236"/>
      <w:bookmarkStart w:id="903" w:name="_Toc31034573"/>
      <w:bookmarkStart w:id="904" w:name="_Toc31098482"/>
      <w:bookmarkStart w:id="905" w:name="_Toc31199829"/>
      <w:bookmarkStart w:id="906" w:name="_Toc31200353"/>
      <w:bookmarkStart w:id="907" w:name="_Toc31213303"/>
      <w:bookmarkStart w:id="908" w:name="_Toc31214055"/>
      <w:bookmarkStart w:id="909" w:name="_Toc31214107"/>
      <w:bookmarkStart w:id="910" w:name="_Toc31214213"/>
      <w:bookmarkStart w:id="911" w:name="_Toc31214351"/>
      <w:bookmarkStart w:id="912" w:name="_Toc31214404"/>
      <w:bookmarkStart w:id="913" w:name="_Toc31214457"/>
      <w:bookmarkStart w:id="914" w:name="_Toc31214590"/>
      <w:bookmarkStart w:id="915" w:name="_Toc31289735"/>
      <w:bookmarkStart w:id="916" w:name="_Toc31298685"/>
      <w:bookmarkStart w:id="917" w:name="_Toc31298998"/>
      <w:bookmarkStart w:id="918" w:name="_Toc31379941"/>
      <w:bookmarkStart w:id="919" w:name="_Toc31379998"/>
      <w:bookmarkStart w:id="920" w:name="_Toc31383683"/>
      <w:bookmarkStart w:id="921" w:name="_Toc32575597"/>
      <w:bookmarkStart w:id="922" w:name="_Toc32578577"/>
      <w:bookmarkStart w:id="923" w:name="_Toc32580120"/>
      <w:bookmarkStart w:id="924" w:name="_Toc33606818"/>
      <w:bookmarkStart w:id="925" w:name="_Toc33607218"/>
      <w:bookmarkStart w:id="926" w:name="_Toc33961363"/>
      <w:bookmarkStart w:id="927" w:name="_Toc34764889"/>
      <w:bookmarkStart w:id="928" w:name="_Toc42605380"/>
      <w:bookmarkStart w:id="929" w:name="_Toc42697511"/>
      <w:bookmarkStart w:id="930" w:name="_Toc42697555"/>
      <w:bookmarkStart w:id="931" w:name="_Toc42697811"/>
      <w:bookmarkStart w:id="932" w:name="_Toc42697861"/>
      <w:bookmarkStart w:id="933" w:name="_Toc42698046"/>
      <w:bookmarkStart w:id="934" w:name="_Toc42698078"/>
      <w:bookmarkStart w:id="935" w:name="_Toc42698133"/>
      <w:bookmarkStart w:id="936" w:name="_Toc42698165"/>
      <w:bookmarkStart w:id="937" w:name="_Toc42704923"/>
      <w:bookmarkStart w:id="938" w:name="_Toc42704958"/>
      <w:bookmarkStart w:id="939" w:name="_Toc42705033"/>
      <w:bookmarkStart w:id="940" w:name="_Toc42705069"/>
      <w:bookmarkStart w:id="941" w:name="_Toc42783327"/>
      <w:bookmarkStart w:id="942" w:name="_Toc42783362"/>
      <w:bookmarkStart w:id="943" w:name="_Toc44590595"/>
      <w:bookmarkStart w:id="944" w:name="_Toc44590631"/>
      <w:bookmarkStart w:id="945" w:name="_Toc44591212"/>
      <w:bookmarkStart w:id="946" w:name="_Toc44596196"/>
      <w:bookmarkStart w:id="947" w:name="_Toc27475007"/>
      <w:bookmarkStart w:id="948" w:name="_Toc27475243"/>
      <w:bookmarkStart w:id="949" w:name="_Toc27475755"/>
      <w:bookmarkStart w:id="950" w:name="_Toc27478591"/>
      <w:bookmarkStart w:id="951" w:name="_Toc27479100"/>
      <w:bookmarkStart w:id="952" w:name="_Toc27479255"/>
      <w:bookmarkStart w:id="953" w:name="_Toc27479325"/>
      <w:bookmarkStart w:id="954" w:name="_Toc27479584"/>
      <w:bookmarkStart w:id="955" w:name="_Toc27479643"/>
      <w:bookmarkStart w:id="956" w:name="_Toc27479701"/>
      <w:bookmarkStart w:id="957" w:name="_Toc27479758"/>
      <w:bookmarkStart w:id="958" w:name="_Toc31024465"/>
      <w:bookmarkStart w:id="959" w:name="_Toc31025237"/>
      <w:bookmarkStart w:id="960" w:name="_Toc31034574"/>
      <w:bookmarkStart w:id="961" w:name="_Toc31098483"/>
      <w:bookmarkStart w:id="962" w:name="_Toc31199830"/>
      <w:bookmarkStart w:id="963" w:name="_Toc31200354"/>
      <w:bookmarkStart w:id="964" w:name="_Toc31213304"/>
      <w:bookmarkStart w:id="965" w:name="_Toc31214056"/>
      <w:bookmarkStart w:id="966" w:name="_Toc31214108"/>
      <w:bookmarkStart w:id="967" w:name="_Toc31214214"/>
      <w:bookmarkStart w:id="968" w:name="_Toc31214352"/>
      <w:bookmarkStart w:id="969" w:name="_Toc31214405"/>
      <w:bookmarkStart w:id="970" w:name="_Toc31214458"/>
      <w:bookmarkStart w:id="971" w:name="_Toc31214591"/>
      <w:bookmarkStart w:id="972" w:name="_Toc31289736"/>
      <w:bookmarkStart w:id="973" w:name="_Toc31298686"/>
      <w:bookmarkStart w:id="974" w:name="_Toc31298999"/>
      <w:bookmarkStart w:id="975" w:name="_Toc31379942"/>
      <w:bookmarkStart w:id="976" w:name="_Toc31379999"/>
      <w:bookmarkStart w:id="977" w:name="_Toc31383684"/>
      <w:bookmarkStart w:id="978" w:name="_Toc32575598"/>
      <w:bookmarkStart w:id="979" w:name="_Toc32578578"/>
      <w:bookmarkStart w:id="980" w:name="_Toc32580121"/>
      <w:bookmarkStart w:id="981" w:name="_Toc33606819"/>
      <w:bookmarkStart w:id="982" w:name="_Toc33607219"/>
      <w:bookmarkStart w:id="983" w:name="_Toc33961364"/>
      <w:bookmarkStart w:id="984" w:name="_Toc34764890"/>
      <w:bookmarkStart w:id="985" w:name="_Toc42605381"/>
      <w:bookmarkStart w:id="986" w:name="_Toc42697512"/>
      <w:bookmarkStart w:id="987" w:name="_Toc42697556"/>
      <w:bookmarkStart w:id="988" w:name="_Toc42697812"/>
      <w:bookmarkStart w:id="989" w:name="_Toc42697862"/>
      <w:bookmarkStart w:id="990" w:name="_Toc42698047"/>
      <w:bookmarkStart w:id="991" w:name="_Toc42698079"/>
      <w:bookmarkStart w:id="992" w:name="_Toc42698134"/>
      <w:bookmarkStart w:id="993" w:name="_Toc42698166"/>
      <w:bookmarkStart w:id="994" w:name="_Toc42704924"/>
      <w:bookmarkStart w:id="995" w:name="_Toc42704959"/>
      <w:bookmarkStart w:id="996" w:name="_Toc42705034"/>
      <w:bookmarkStart w:id="997" w:name="_Toc42705070"/>
      <w:bookmarkStart w:id="998" w:name="_Toc42783328"/>
      <w:bookmarkStart w:id="999" w:name="_Toc42783363"/>
      <w:bookmarkStart w:id="1000" w:name="_Toc44590596"/>
      <w:bookmarkStart w:id="1001" w:name="_Toc44590632"/>
      <w:bookmarkStart w:id="1002" w:name="_Toc44591213"/>
      <w:bookmarkStart w:id="1003" w:name="_Toc44596197"/>
      <w:bookmarkStart w:id="1004" w:name="_Toc27475008"/>
      <w:bookmarkStart w:id="1005" w:name="_Toc27475244"/>
      <w:bookmarkStart w:id="1006" w:name="_Toc27475756"/>
      <w:bookmarkStart w:id="1007" w:name="_Toc27478592"/>
      <w:bookmarkStart w:id="1008" w:name="_Toc27479101"/>
      <w:bookmarkStart w:id="1009" w:name="_Toc27479256"/>
      <w:bookmarkStart w:id="1010" w:name="_Toc27479326"/>
      <w:bookmarkStart w:id="1011" w:name="_Toc27479585"/>
      <w:bookmarkStart w:id="1012" w:name="_Toc27479644"/>
      <w:bookmarkStart w:id="1013" w:name="_Toc27479702"/>
      <w:bookmarkStart w:id="1014" w:name="_Toc27479759"/>
      <w:bookmarkStart w:id="1015" w:name="_Toc31024466"/>
      <w:bookmarkStart w:id="1016" w:name="_Toc31025238"/>
      <w:bookmarkStart w:id="1017" w:name="_Toc31034575"/>
      <w:bookmarkStart w:id="1018" w:name="_Toc31098484"/>
      <w:bookmarkStart w:id="1019" w:name="_Toc31199831"/>
      <w:bookmarkStart w:id="1020" w:name="_Toc31200355"/>
      <w:bookmarkStart w:id="1021" w:name="_Toc31213305"/>
      <w:bookmarkStart w:id="1022" w:name="_Toc31214057"/>
      <w:bookmarkStart w:id="1023" w:name="_Toc31214109"/>
      <w:bookmarkStart w:id="1024" w:name="_Toc31214215"/>
      <w:bookmarkStart w:id="1025" w:name="_Toc31214353"/>
      <w:bookmarkStart w:id="1026" w:name="_Toc31214406"/>
      <w:bookmarkStart w:id="1027" w:name="_Toc31214459"/>
      <w:bookmarkStart w:id="1028" w:name="_Toc31214592"/>
      <w:bookmarkStart w:id="1029" w:name="_Toc31289737"/>
      <w:bookmarkStart w:id="1030" w:name="_Toc31298687"/>
      <w:bookmarkStart w:id="1031" w:name="_Toc31299000"/>
      <w:bookmarkStart w:id="1032" w:name="_Toc31379943"/>
      <w:bookmarkStart w:id="1033" w:name="_Toc31380000"/>
      <w:bookmarkStart w:id="1034" w:name="_Toc31383685"/>
      <w:bookmarkStart w:id="1035" w:name="_Toc32575599"/>
      <w:bookmarkStart w:id="1036" w:name="_Toc32578579"/>
      <w:bookmarkStart w:id="1037" w:name="_Toc32580122"/>
      <w:bookmarkStart w:id="1038" w:name="_Toc33606820"/>
      <w:bookmarkStart w:id="1039" w:name="_Toc33607220"/>
      <w:bookmarkStart w:id="1040" w:name="_Toc33961365"/>
      <w:bookmarkStart w:id="1041" w:name="_Toc34764891"/>
      <w:bookmarkStart w:id="1042" w:name="_Toc42605382"/>
      <w:bookmarkStart w:id="1043" w:name="_Toc42697513"/>
      <w:bookmarkStart w:id="1044" w:name="_Toc42697557"/>
      <w:bookmarkStart w:id="1045" w:name="_Toc42697813"/>
      <w:bookmarkStart w:id="1046" w:name="_Toc42697863"/>
      <w:bookmarkStart w:id="1047" w:name="_Toc42698048"/>
      <w:bookmarkStart w:id="1048" w:name="_Toc42698080"/>
      <w:bookmarkStart w:id="1049" w:name="_Toc42698135"/>
      <w:bookmarkStart w:id="1050" w:name="_Toc42698167"/>
      <w:bookmarkStart w:id="1051" w:name="_Toc42704925"/>
      <w:bookmarkStart w:id="1052" w:name="_Toc42704960"/>
      <w:bookmarkStart w:id="1053" w:name="_Toc42705035"/>
      <w:bookmarkStart w:id="1054" w:name="_Toc42705071"/>
      <w:bookmarkStart w:id="1055" w:name="_Toc42783329"/>
      <w:bookmarkStart w:id="1056" w:name="_Toc42783364"/>
      <w:bookmarkStart w:id="1057" w:name="_Toc44590597"/>
      <w:bookmarkStart w:id="1058" w:name="_Toc44590633"/>
      <w:bookmarkStart w:id="1059" w:name="_Toc44591214"/>
      <w:bookmarkStart w:id="1060" w:name="_Toc44596198"/>
      <w:bookmarkStart w:id="1061" w:name="_Toc27475009"/>
      <w:bookmarkStart w:id="1062" w:name="_Toc27475245"/>
      <w:bookmarkStart w:id="1063" w:name="_Toc27475757"/>
      <w:bookmarkStart w:id="1064" w:name="_Toc27478593"/>
      <w:bookmarkStart w:id="1065" w:name="_Toc27479102"/>
      <w:bookmarkStart w:id="1066" w:name="_Toc27479257"/>
      <w:bookmarkStart w:id="1067" w:name="_Toc27479327"/>
      <w:bookmarkStart w:id="1068" w:name="_Toc27479586"/>
      <w:bookmarkStart w:id="1069" w:name="_Toc27479645"/>
      <w:bookmarkStart w:id="1070" w:name="_Toc27479703"/>
      <w:bookmarkStart w:id="1071" w:name="_Toc27479760"/>
      <w:bookmarkStart w:id="1072" w:name="_Toc31024467"/>
      <w:bookmarkStart w:id="1073" w:name="_Toc31025239"/>
      <w:bookmarkStart w:id="1074" w:name="_Toc31034576"/>
      <w:bookmarkStart w:id="1075" w:name="_Toc31098485"/>
      <w:bookmarkStart w:id="1076" w:name="_Toc31199832"/>
      <w:bookmarkStart w:id="1077" w:name="_Toc31200356"/>
      <w:bookmarkStart w:id="1078" w:name="_Toc31213306"/>
      <w:bookmarkStart w:id="1079" w:name="_Toc31214058"/>
      <w:bookmarkStart w:id="1080" w:name="_Toc31214110"/>
      <w:bookmarkStart w:id="1081" w:name="_Toc31214216"/>
      <w:bookmarkStart w:id="1082" w:name="_Toc31214354"/>
      <w:bookmarkStart w:id="1083" w:name="_Toc31214407"/>
      <w:bookmarkStart w:id="1084" w:name="_Toc31214460"/>
      <w:bookmarkStart w:id="1085" w:name="_Toc31214593"/>
      <w:bookmarkStart w:id="1086" w:name="_Toc31289738"/>
      <w:bookmarkStart w:id="1087" w:name="_Toc31298688"/>
      <w:bookmarkStart w:id="1088" w:name="_Toc31299001"/>
      <w:bookmarkStart w:id="1089" w:name="_Toc31379944"/>
      <w:bookmarkStart w:id="1090" w:name="_Toc31380001"/>
      <w:bookmarkStart w:id="1091" w:name="_Toc31383686"/>
      <w:bookmarkStart w:id="1092" w:name="_Toc32575600"/>
      <w:bookmarkStart w:id="1093" w:name="_Toc32578580"/>
      <w:bookmarkStart w:id="1094" w:name="_Toc32580123"/>
      <w:bookmarkStart w:id="1095" w:name="_Toc33606821"/>
      <w:bookmarkStart w:id="1096" w:name="_Toc33607221"/>
      <w:bookmarkStart w:id="1097" w:name="_Toc33961366"/>
      <w:bookmarkStart w:id="1098" w:name="_Toc34764892"/>
      <w:bookmarkStart w:id="1099" w:name="_Toc42605383"/>
      <w:bookmarkStart w:id="1100" w:name="_Toc42697514"/>
      <w:bookmarkStart w:id="1101" w:name="_Toc42697558"/>
      <w:bookmarkStart w:id="1102" w:name="_Toc42697814"/>
      <w:bookmarkStart w:id="1103" w:name="_Toc42697864"/>
      <w:bookmarkStart w:id="1104" w:name="_Toc42698049"/>
      <w:bookmarkStart w:id="1105" w:name="_Toc42698081"/>
      <w:bookmarkStart w:id="1106" w:name="_Toc42698136"/>
      <w:bookmarkStart w:id="1107" w:name="_Toc42698168"/>
      <w:bookmarkStart w:id="1108" w:name="_Toc42704926"/>
      <w:bookmarkStart w:id="1109" w:name="_Toc42704961"/>
      <w:bookmarkStart w:id="1110" w:name="_Toc42705036"/>
      <w:bookmarkStart w:id="1111" w:name="_Toc42705072"/>
      <w:bookmarkStart w:id="1112" w:name="_Toc42783330"/>
      <w:bookmarkStart w:id="1113" w:name="_Toc42783365"/>
      <w:bookmarkStart w:id="1114" w:name="_Toc44590598"/>
      <w:bookmarkStart w:id="1115" w:name="_Toc44590634"/>
      <w:bookmarkStart w:id="1116" w:name="_Toc44591215"/>
      <w:bookmarkStart w:id="1117" w:name="_Toc44596199"/>
      <w:bookmarkStart w:id="1118" w:name="_Toc27475010"/>
      <w:bookmarkStart w:id="1119" w:name="_Toc27475246"/>
      <w:bookmarkStart w:id="1120" w:name="_Toc27475758"/>
      <w:bookmarkStart w:id="1121" w:name="_Toc27478594"/>
      <w:bookmarkStart w:id="1122" w:name="_Toc27479103"/>
      <w:bookmarkStart w:id="1123" w:name="_Toc27479258"/>
      <w:bookmarkStart w:id="1124" w:name="_Toc27479328"/>
      <w:bookmarkStart w:id="1125" w:name="_Toc27479587"/>
      <w:bookmarkStart w:id="1126" w:name="_Toc27479646"/>
      <w:bookmarkStart w:id="1127" w:name="_Toc27479704"/>
      <w:bookmarkStart w:id="1128" w:name="_Toc27479761"/>
      <w:bookmarkStart w:id="1129" w:name="_Toc31024468"/>
      <w:bookmarkStart w:id="1130" w:name="_Toc31025240"/>
      <w:bookmarkStart w:id="1131" w:name="_Toc31034577"/>
      <w:bookmarkStart w:id="1132" w:name="_Toc31098486"/>
      <w:bookmarkStart w:id="1133" w:name="_Toc31199833"/>
      <w:bookmarkStart w:id="1134" w:name="_Toc31200357"/>
      <w:bookmarkStart w:id="1135" w:name="_Toc31213307"/>
      <w:bookmarkStart w:id="1136" w:name="_Toc31214059"/>
      <w:bookmarkStart w:id="1137" w:name="_Toc31214111"/>
      <w:bookmarkStart w:id="1138" w:name="_Toc31214217"/>
      <w:bookmarkStart w:id="1139" w:name="_Toc31214355"/>
      <w:bookmarkStart w:id="1140" w:name="_Toc31214408"/>
      <w:bookmarkStart w:id="1141" w:name="_Toc31214461"/>
      <w:bookmarkStart w:id="1142" w:name="_Toc31214594"/>
      <w:bookmarkStart w:id="1143" w:name="_Toc31289739"/>
      <w:bookmarkStart w:id="1144" w:name="_Toc31298689"/>
      <w:bookmarkStart w:id="1145" w:name="_Toc31299002"/>
      <w:bookmarkStart w:id="1146" w:name="_Toc31379945"/>
      <w:bookmarkStart w:id="1147" w:name="_Toc31380002"/>
      <w:bookmarkStart w:id="1148" w:name="_Toc31383687"/>
      <w:bookmarkStart w:id="1149" w:name="_Toc32575601"/>
      <w:bookmarkStart w:id="1150" w:name="_Toc32578581"/>
      <w:bookmarkStart w:id="1151" w:name="_Toc32580124"/>
      <w:bookmarkStart w:id="1152" w:name="_Toc33606822"/>
      <w:bookmarkStart w:id="1153" w:name="_Toc33607222"/>
      <w:bookmarkStart w:id="1154" w:name="_Toc33961367"/>
      <w:bookmarkStart w:id="1155" w:name="_Toc34764893"/>
      <w:bookmarkStart w:id="1156" w:name="_Toc42605384"/>
      <w:bookmarkStart w:id="1157" w:name="_Toc42697515"/>
      <w:bookmarkStart w:id="1158" w:name="_Toc42697559"/>
      <w:bookmarkStart w:id="1159" w:name="_Toc42697815"/>
      <w:bookmarkStart w:id="1160" w:name="_Toc42697865"/>
      <w:bookmarkStart w:id="1161" w:name="_Toc42698050"/>
      <w:bookmarkStart w:id="1162" w:name="_Toc42698082"/>
      <w:bookmarkStart w:id="1163" w:name="_Toc42698137"/>
      <w:bookmarkStart w:id="1164" w:name="_Toc42698169"/>
      <w:bookmarkStart w:id="1165" w:name="_Toc42704927"/>
      <w:bookmarkStart w:id="1166" w:name="_Toc42704962"/>
      <w:bookmarkStart w:id="1167" w:name="_Toc42705037"/>
      <w:bookmarkStart w:id="1168" w:name="_Toc42705073"/>
      <w:bookmarkStart w:id="1169" w:name="_Toc42783331"/>
      <w:bookmarkStart w:id="1170" w:name="_Toc42783366"/>
      <w:bookmarkStart w:id="1171" w:name="_Toc44590599"/>
      <w:bookmarkStart w:id="1172" w:name="_Toc44590635"/>
      <w:bookmarkStart w:id="1173" w:name="_Toc44591216"/>
      <w:bookmarkStart w:id="1174" w:name="_Toc44596200"/>
      <w:bookmarkStart w:id="1175" w:name="_Toc27475011"/>
      <w:bookmarkStart w:id="1176" w:name="_Toc27475247"/>
      <w:bookmarkStart w:id="1177" w:name="_Toc27475759"/>
      <w:bookmarkStart w:id="1178" w:name="_Toc27478595"/>
      <w:bookmarkStart w:id="1179" w:name="_Toc27479104"/>
      <w:bookmarkStart w:id="1180" w:name="_Toc27479259"/>
      <w:bookmarkStart w:id="1181" w:name="_Toc27479329"/>
      <w:bookmarkStart w:id="1182" w:name="_Toc27479588"/>
      <w:bookmarkStart w:id="1183" w:name="_Toc27479647"/>
      <w:bookmarkStart w:id="1184" w:name="_Toc27479705"/>
      <w:bookmarkStart w:id="1185" w:name="_Toc27479762"/>
      <w:bookmarkStart w:id="1186" w:name="_Toc31024469"/>
      <w:bookmarkStart w:id="1187" w:name="_Toc31025241"/>
      <w:bookmarkStart w:id="1188" w:name="_Toc31034578"/>
      <w:bookmarkStart w:id="1189" w:name="_Toc31098487"/>
      <w:bookmarkStart w:id="1190" w:name="_Toc31199834"/>
      <w:bookmarkStart w:id="1191" w:name="_Toc31200358"/>
      <w:bookmarkStart w:id="1192" w:name="_Toc31213308"/>
      <w:bookmarkStart w:id="1193" w:name="_Toc31214060"/>
      <w:bookmarkStart w:id="1194" w:name="_Toc31214112"/>
      <w:bookmarkStart w:id="1195" w:name="_Toc31214218"/>
      <w:bookmarkStart w:id="1196" w:name="_Toc31214356"/>
      <w:bookmarkStart w:id="1197" w:name="_Toc31214409"/>
      <w:bookmarkStart w:id="1198" w:name="_Toc31214462"/>
      <w:bookmarkStart w:id="1199" w:name="_Toc31214595"/>
      <w:bookmarkStart w:id="1200" w:name="_Toc31289740"/>
      <w:bookmarkStart w:id="1201" w:name="_Toc31298690"/>
      <w:bookmarkStart w:id="1202" w:name="_Toc31299003"/>
      <w:bookmarkStart w:id="1203" w:name="_Toc31379946"/>
      <w:bookmarkStart w:id="1204" w:name="_Toc31380003"/>
      <w:bookmarkStart w:id="1205" w:name="_Toc31383688"/>
      <w:bookmarkStart w:id="1206" w:name="_Toc32575602"/>
      <w:bookmarkStart w:id="1207" w:name="_Toc32578582"/>
      <w:bookmarkStart w:id="1208" w:name="_Toc32580125"/>
      <w:bookmarkStart w:id="1209" w:name="_Toc33606823"/>
      <w:bookmarkStart w:id="1210" w:name="_Toc33607223"/>
      <w:bookmarkStart w:id="1211" w:name="_Toc33961368"/>
      <w:bookmarkStart w:id="1212" w:name="_Toc34764894"/>
      <w:bookmarkStart w:id="1213" w:name="_Toc42605385"/>
      <w:bookmarkStart w:id="1214" w:name="_Toc42697516"/>
      <w:bookmarkStart w:id="1215" w:name="_Toc42697560"/>
      <w:bookmarkStart w:id="1216" w:name="_Toc42697816"/>
      <w:bookmarkStart w:id="1217" w:name="_Toc42697866"/>
      <w:bookmarkStart w:id="1218" w:name="_Toc42698051"/>
      <w:bookmarkStart w:id="1219" w:name="_Toc42698083"/>
      <w:bookmarkStart w:id="1220" w:name="_Toc42698138"/>
      <w:bookmarkStart w:id="1221" w:name="_Toc42698170"/>
      <w:bookmarkStart w:id="1222" w:name="_Toc42704928"/>
      <w:bookmarkStart w:id="1223" w:name="_Toc42704963"/>
      <w:bookmarkStart w:id="1224" w:name="_Toc42705038"/>
      <w:bookmarkStart w:id="1225" w:name="_Toc42705074"/>
      <w:bookmarkStart w:id="1226" w:name="_Toc42783332"/>
      <w:bookmarkStart w:id="1227" w:name="_Toc42783367"/>
      <w:bookmarkStart w:id="1228" w:name="_Toc44590600"/>
      <w:bookmarkStart w:id="1229" w:name="_Toc44590636"/>
      <w:bookmarkStart w:id="1230" w:name="_Toc44591217"/>
      <w:bookmarkStart w:id="1231" w:name="_Toc44596201"/>
      <w:bookmarkStart w:id="1232" w:name="_Toc27475012"/>
      <w:bookmarkStart w:id="1233" w:name="_Toc27475248"/>
      <w:bookmarkStart w:id="1234" w:name="_Toc27475760"/>
      <w:bookmarkStart w:id="1235" w:name="_Toc27478596"/>
      <w:bookmarkStart w:id="1236" w:name="_Toc27479105"/>
      <w:bookmarkStart w:id="1237" w:name="_Toc27479260"/>
      <w:bookmarkStart w:id="1238" w:name="_Toc27479330"/>
      <w:bookmarkStart w:id="1239" w:name="_Toc27479589"/>
      <w:bookmarkStart w:id="1240" w:name="_Toc27479648"/>
      <w:bookmarkStart w:id="1241" w:name="_Toc27479706"/>
      <w:bookmarkStart w:id="1242" w:name="_Toc27479763"/>
      <w:bookmarkStart w:id="1243" w:name="_Toc31024470"/>
      <w:bookmarkStart w:id="1244" w:name="_Toc31025242"/>
      <w:bookmarkStart w:id="1245" w:name="_Toc31034579"/>
      <w:bookmarkStart w:id="1246" w:name="_Toc31098488"/>
      <w:bookmarkStart w:id="1247" w:name="_Toc31199835"/>
      <w:bookmarkStart w:id="1248" w:name="_Toc31200359"/>
      <w:bookmarkStart w:id="1249" w:name="_Toc31213309"/>
      <w:bookmarkStart w:id="1250" w:name="_Toc31214061"/>
      <w:bookmarkStart w:id="1251" w:name="_Toc31214113"/>
      <w:bookmarkStart w:id="1252" w:name="_Toc31214219"/>
      <w:bookmarkStart w:id="1253" w:name="_Toc31214357"/>
      <w:bookmarkStart w:id="1254" w:name="_Toc31214410"/>
      <w:bookmarkStart w:id="1255" w:name="_Toc31214463"/>
      <w:bookmarkStart w:id="1256" w:name="_Toc31214596"/>
      <w:bookmarkStart w:id="1257" w:name="_Toc31289741"/>
      <w:bookmarkStart w:id="1258" w:name="_Toc31298691"/>
      <w:bookmarkStart w:id="1259" w:name="_Toc31299004"/>
      <w:bookmarkStart w:id="1260" w:name="_Toc31379947"/>
      <w:bookmarkStart w:id="1261" w:name="_Toc31380004"/>
      <w:bookmarkStart w:id="1262" w:name="_Toc31383689"/>
      <w:bookmarkStart w:id="1263" w:name="_Toc32575603"/>
      <w:bookmarkStart w:id="1264" w:name="_Toc32578583"/>
      <w:bookmarkStart w:id="1265" w:name="_Toc32580126"/>
      <w:bookmarkStart w:id="1266" w:name="_Toc33606824"/>
      <w:bookmarkStart w:id="1267" w:name="_Toc33607224"/>
      <w:bookmarkStart w:id="1268" w:name="_Toc33961369"/>
      <w:bookmarkStart w:id="1269" w:name="_Toc34764895"/>
      <w:bookmarkStart w:id="1270" w:name="_Toc42605386"/>
      <w:bookmarkStart w:id="1271" w:name="_Toc42697517"/>
      <w:bookmarkStart w:id="1272" w:name="_Toc42697561"/>
      <w:bookmarkStart w:id="1273" w:name="_Toc42697817"/>
      <w:bookmarkStart w:id="1274" w:name="_Toc42697867"/>
      <w:bookmarkStart w:id="1275" w:name="_Toc42698052"/>
      <w:bookmarkStart w:id="1276" w:name="_Toc42698084"/>
      <w:bookmarkStart w:id="1277" w:name="_Toc42698139"/>
      <w:bookmarkStart w:id="1278" w:name="_Toc42698171"/>
      <w:bookmarkStart w:id="1279" w:name="_Toc42704929"/>
      <w:bookmarkStart w:id="1280" w:name="_Toc42704964"/>
      <w:bookmarkStart w:id="1281" w:name="_Toc42705039"/>
      <w:bookmarkStart w:id="1282" w:name="_Toc42705075"/>
      <w:bookmarkStart w:id="1283" w:name="_Toc42783333"/>
      <w:bookmarkStart w:id="1284" w:name="_Toc42783368"/>
      <w:bookmarkStart w:id="1285" w:name="_Toc44590601"/>
      <w:bookmarkStart w:id="1286" w:name="_Toc44590637"/>
      <w:bookmarkStart w:id="1287" w:name="_Toc44591218"/>
      <w:bookmarkStart w:id="1288" w:name="_Toc44596202"/>
      <w:bookmarkStart w:id="1289" w:name="_Toc27475013"/>
      <w:bookmarkStart w:id="1290" w:name="_Toc27475249"/>
      <w:bookmarkStart w:id="1291" w:name="_Toc27475761"/>
      <w:bookmarkStart w:id="1292" w:name="_Toc27478597"/>
      <w:bookmarkStart w:id="1293" w:name="_Toc27479106"/>
      <w:bookmarkStart w:id="1294" w:name="_Toc27479261"/>
      <w:bookmarkStart w:id="1295" w:name="_Toc27479331"/>
      <w:bookmarkStart w:id="1296" w:name="_Toc27479590"/>
      <w:bookmarkStart w:id="1297" w:name="_Toc27479649"/>
      <w:bookmarkStart w:id="1298" w:name="_Toc27479707"/>
      <w:bookmarkStart w:id="1299" w:name="_Toc27479764"/>
      <w:bookmarkStart w:id="1300" w:name="_Toc31024471"/>
      <w:bookmarkStart w:id="1301" w:name="_Toc31025243"/>
      <w:bookmarkStart w:id="1302" w:name="_Toc31034580"/>
      <w:bookmarkStart w:id="1303" w:name="_Toc31098489"/>
      <w:bookmarkStart w:id="1304" w:name="_Toc31199836"/>
      <w:bookmarkStart w:id="1305" w:name="_Toc31200360"/>
      <w:bookmarkStart w:id="1306" w:name="_Toc31213310"/>
      <w:bookmarkStart w:id="1307" w:name="_Toc31214062"/>
      <w:bookmarkStart w:id="1308" w:name="_Toc31214114"/>
      <w:bookmarkStart w:id="1309" w:name="_Toc31214220"/>
      <w:bookmarkStart w:id="1310" w:name="_Toc31214358"/>
      <w:bookmarkStart w:id="1311" w:name="_Toc31214411"/>
      <w:bookmarkStart w:id="1312" w:name="_Toc31214464"/>
      <w:bookmarkStart w:id="1313" w:name="_Toc31214597"/>
      <w:bookmarkStart w:id="1314" w:name="_Toc31289742"/>
      <w:bookmarkStart w:id="1315" w:name="_Toc31298692"/>
      <w:bookmarkStart w:id="1316" w:name="_Toc31299005"/>
      <w:bookmarkStart w:id="1317" w:name="_Toc31379948"/>
      <w:bookmarkStart w:id="1318" w:name="_Toc31380005"/>
      <w:bookmarkStart w:id="1319" w:name="_Toc31383690"/>
      <w:bookmarkStart w:id="1320" w:name="_Toc32575604"/>
      <w:bookmarkStart w:id="1321" w:name="_Toc32578584"/>
      <w:bookmarkStart w:id="1322" w:name="_Toc32580127"/>
      <w:bookmarkStart w:id="1323" w:name="_Toc33606825"/>
      <w:bookmarkStart w:id="1324" w:name="_Toc33607225"/>
      <w:bookmarkStart w:id="1325" w:name="_Toc33961370"/>
      <w:bookmarkStart w:id="1326" w:name="_Toc34764896"/>
      <w:bookmarkStart w:id="1327" w:name="_Toc42605387"/>
      <w:bookmarkStart w:id="1328" w:name="_Toc42697518"/>
      <w:bookmarkStart w:id="1329" w:name="_Toc42697562"/>
      <w:bookmarkStart w:id="1330" w:name="_Toc42697818"/>
      <w:bookmarkStart w:id="1331" w:name="_Toc42697868"/>
      <w:bookmarkStart w:id="1332" w:name="_Toc42698053"/>
      <w:bookmarkStart w:id="1333" w:name="_Toc42698085"/>
      <w:bookmarkStart w:id="1334" w:name="_Toc42698140"/>
      <w:bookmarkStart w:id="1335" w:name="_Toc42698172"/>
      <w:bookmarkStart w:id="1336" w:name="_Toc42704930"/>
      <w:bookmarkStart w:id="1337" w:name="_Toc42704965"/>
      <w:bookmarkStart w:id="1338" w:name="_Toc42705040"/>
      <w:bookmarkStart w:id="1339" w:name="_Toc42705076"/>
      <w:bookmarkStart w:id="1340" w:name="_Toc42783334"/>
      <w:bookmarkStart w:id="1341" w:name="_Toc42783369"/>
      <w:bookmarkStart w:id="1342" w:name="_Toc44590602"/>
      <w:bookmarkStart w:id="1343" w:name="_Toc44590638"/>
      <w:bookmarkStart w:id="1344" w:name="_Toc44591219"/>
      <w:bookmarkStart w:id="1345" w:name="_Toc44596203"/>
      <w:bookmarkStart w:id="1346" w:name="_Toc63428141"/>
      <w:bookmarkStart w:id="1347" w:name="_Toc118205602"/>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r w:rsidRPr="00517F7A">
        <w:t>Equipment Testing and Technology Evaluation</w:t>
      </w:r>
      <w:bookmarkEnd w:id="1346"/>
      <w:bookmarkEnd w:id="1347"/>
      <w:r w:rsidRPr="00517F7A">
        <w:t xml:space="preserve"> </w:t>
      </w:r>
    </w:p>
    <w:p w14:paraId="7B694F80" w14:textId="33DC28AC" w:rsidR="008822A4" w:rsidRPr="00855E7E" w:rsidRDefault="008822A4" w:rsidP="00A35EAF">
      <w:pPr>
        <w:pStyle w:val="BodyText"/>
      </w:pPr>
      <w:r w:rsidRPr="00855E7E">
        <w:t>Traffic monitoring technology is evolving quickly due to a combination of the availability of modern, low</w:t>
      </w:r>
      <w:r w:rsidR="00D15115">
        <w:t>-</w:t>
      </w:r>
      <w:r w:rsidRPr="00855E7E">
        <w:t xml:space="preserve">cost computing and communications technology, but is also driven by the need for more timely information. Not all equipment vendors produce equipment of equal quality. Some equipment has been heavily tested and operates very robustly. Even within a single technology, equipment performance varies widely from vendor to vendor based on each vendor’s internal software algorithms and the components that make up their equipment. </w:t>
      </w:r>
    </w:p>
    <w:p w14:paraId="121BCDB3" w14:textId="77777777" w:rsidR="008822A4" w:rsidRPr="00855E7E" w:rsidRDefault="008822A4" w:rsidP="00A35EAF">
      <w:pPr>
        <w:pStyle w:val="BodyText"/>
      </w:pPr>
      <w:r w:rsidRPr="00855E7E">
        <w:t xml:space="preserve">The reason different vendor’s equipment produces different results for any given sensor technology is that the data collection electronics and the software that resides in those electronics perform in different ways. (For example, two different video image-counting devices may produce vastly different results if one uses a robust image-processing algorithm, while the other does not.) </w:t>
      </w:r>
    </w:p>
    <w:p w14:paraId="2115C803" w14:textId="201113A5" w:rsidR="00080D85" w:rsidRPr="00855E7E" w:rsidRDefault="008822A4" w:rsidP="00A35EAF">
      <w:pPr>
        <w:pStyle w:val="BodyText"/>
      </w:pPr>
      <w:r w:rsidRPr="00855E7E">
        <w:t xml:space="preserve">Consequently, as agencies make decisions on what type of hardware and supporting software to purchase, they should continue to consult the available and more detailed literature (such as from pooled funds, </w:t>
      </w:r>
      <w:bookmarkStart w:id="1348" w:name="_Hlk76053030"/>
      <w:r w:rsidRPr="00855E7E">
        <w:t xml:space="preserve">FHWA Highway Community Exchange [HCX], and FHWA Long-Term Infrastructure Performance [LTIP]) </w:t>
      </w:r>
      <w:bookmarkEnd w:id="1348"/>
      <w:r w:rsidRPr="00855E7E">
        <w:t xml:space="preserve">that describes the performance of specific technologies. They should work cooperatively with their peers to share </w:t>
      </w:r>
      <w:r w:rsidR="00080D85" w:rsidRPr="00855E7E">
        <w:t xml:space="preserve">their working experience with specific equipment. Using these resources effectively is a key to selecting the best data monitoring equipment for each agency’s needs. A very good source of additional information on traffic data collection technologies is available on the </w:t>
      </w:r>
      <w:bookmarkStart w:id="1349" w:name="_Hlk76053118"/>
      <w:r w:rsidR="00080D85" w:rsidRPr="00855E7E">
        <w:t xml:space="preserve">FHWA’s </w:t>
      </w:r>
      <w:r w:rsidR="00080D85" w:rsidRPr="00564B15">
        <w:rPr>
          <w:i/>
          <w:iCs/>
        </w:rPr>
        <w:t>Travel Monitoring Policy</w:t>
      </w:r>
      <w:r w:rsidR="00080D85" w:rsidRPr="00855E7E">
        <w:t xml:space="preserve"> website</w:t>
      </w:r>
      <w:bookmarkEnd w:id="1349"/>
      <w:r w:rsidR="00080D85" w:rsidRPr="00855E7E">
        <w:t xml:space="preserve">. A variety of other excellent technical resources are included </w:t>
      </w:r>
      <w:r w:rsidR="00080D85" w:rsidRPr="007A1B15">
        <w:t xml:space="preserve">in </w:t>
      </w:r>
      <w:r w:rsidR="00080D85" w:rsidRPr="00F52C82">
        <w:t xml:space="preserve">Appendix </w:t>
      </w:r>
      <w:r w:rsidR="00011D30">
        <w:t>D</w:t>
      </w:r>
      <w:r w:rsidR="00080D85" w:rsidRPr="007A1B15">
        <w:t>.</w:t>
      </w:r>
      <w:r w:rsidR="00080D85" w:rsidRPr="00855E7E">
        <w:t xml:space="preserve"> </w:t>
      </w:r>
    </w:p>
    <w:p w14:paraId="3745E114" w14:textId="749902F3" w:rsidR="00080D85" w:rsidRPr="00855E7E" w:rsidRDefault="00080D85" w:rsidP="00A35EAF">
      <w:pPr>
        <w:pStyle w:val="BodyText"/>
      </w:pPr>
      <w:r w:rsidRPr="00855E7E">
        <w:t xml:space="preserve">It is also important that agencies carefully test equipment before they purchase specific devices from a vendor, and once they have purchased devices that meet their needs, they should routinely calibrate and continue to test the performance of their equipment in the field. The first of these steps ensures that the equipment they purchase </w:t>
      </w:r>
      <w:r w:rsidRPr="00855E7E">
        <w:lastRenderedPageBreak/>
        <w:t xml:space="preserve">performs as advertised. The second step ensures that the equipment they are using is being correctly installed in the field, and that the performance of the sensors and electronics has not degraded over time due to use and changing environmental conditions. Careful site selection, use of high-quality materials, and rigorous attention to detail during the installation process will facilitate the reliable collection of </w:t>
      </w:r>
      <w:r w:rsidR="00AE0EC4" w:rsidRPr="00855E7E">
        <w:t>high</w:t>
      </w:r>
      <w:r w:rsidR="00AE0EC4">
        <w:t>-quality</w:t>
      </w:r>
      <w:r w:rsidRPr="00855E7E">
        <w:t xml:space="preserve"> traffic data on a continuous basis.</w:t>
      </w:r>
    </w:p>
    <w:p w14:paraId="0ED87E35" w14:textId="125D4292" w:rsidR="00080D85" w:rsidRPr="00517F7A" w:rsidRDefault="00080D85">
      <w:pPr>
        <w:pStyle w:val="Heading3"/>
      </w:pPr>
      <w:bookmarkStart w:id="1350" w:name="_Toc52785426"/>
      <w:bookmarkStart w:id="1351" w:name="_Toc63428142"/>
      <w:bookmarkStart w:id="1352" w:name="_Toc118205603"/>
      <w:r w:rsidRPr="00517F7A">
        <w:t>Equipment Installation, Maintenance, and Operation</w:t>
      </w:r>
      <w:bookmarkEnd w:id="1350"/>
      <w:bookmarkEnd w:id="1351"/>
      <w:bookmarkEnd w:id="1352"/>
    </w:p>
    <w:p w14:paraId="226E64BD" w14:textId="77777777" w:rsidR="00080D85" w:rsidRPr="00855E7E" w:rsidRDefault="00080D85" w:rsidP="003B0722">
      <w:pPr>
        <w:pStyle w:val="BodyText"/>
      </w:pPr>
      <w:r w:rsidRPr="00855E7E">
        <w:t xml:space="preserve">Every agency that owns and/or maintains traffic </w:t>
      </w:r>
      <w:r w:rsidRPr="003B0722">
        <w:t>monitoring</w:t>
      </w:r>
      <w:r w:rsidRPr="00855E7E">
        <w:t xml:space="preserve"> sites should perform the following tasks to ensure that the equipment they purchase works to the best of its capability:</w:t>
      </w:r>
    </w:p>
    <w:p w14:paraId="001B63F5" w14:textId="2D1329E0" w:rsidR="00080D85" w:rsidRPr="00855E7E" w:rsidRDefault="00080D85">
      <w:pPr>
        <w:pStyle w:val="TMGBullet"/>
      </w:pPr>
      <w:r w:rsidRPr="00855E7E">
        <w:t>The equipment should be tested to assure that it meets the users’ data accuracy needs before being placed into service</w:t>
      </w:r>
      <w:r w:rsidR="00AE0EC4">
        <w:t>.</w:t>
      </w:r>
    </w:p>
    <w:p w14:paraId="35D65172" w14:textId="77777777" w:rsidR="00080D85" w:rsidRPr="00855E7E" w:rsidRDefault="00080D85">
      <w:pPr>
        <w:pStyle w:val="TMGBullet"/>
      </w:pPr>
      <w:bookmarkStart w:id="1353" w:name="_Toc52785427"/>
      <w:r w:rsidRPr="00855E7E">
        <w:t>The equipment installation should be inspected by a certified agency’s agent to ensure that the equipment is being correctly installed in the field.</w:t>
      </w:r>
      <w:bookmarkEnd w:id="1353"/>
    </w:p>
    <w:p w14:paraId="79FF5908" w14:textId="77777777" w:rsidR="00080D85" w:rsidRPr="00855E7E" w:rsidRDefault="00080D85">
      <w:pPr>
        <w:pStyle w:val="TMGBullet"/>
      </w:pPr>
      <w:r w:rsidRPr="00855E7E">
        <w:t>The equipment should be periodically calibrated (annually or per manufacturer’s specification).</w:t>
      </w:r>
    </w:p>
    <w:p w14:paraId="54076F3B" w14:textId="77777777" w:rsidR="00080D85" w:rsidRPr="00855E7E" w:rsidRDefault="00080D85">
      <w:pPr>
        <w:pStyle w:val="TMGBullet"/>
      </w:pPr>
      <w:r w:rsidRPr="00855E7E">
        <w:t>The equipment performance should be validated periodically (semiannually or annually) to ensure that it continues to perform as intended and that the performance of the sensors and electronics has not degraded over time due to use and changing environmental conditions.</w:t>
      </w:r>
    </w:p>
    <w:p w14:paraId="3C4316DB" w14:textId="77777777" w:rsidR="00080D85" w:rsidRPr="00855E7E" w:rsidRDefault="00080D85">
      <w:pPr>
        <w:pStyle w:val="TMGBullet"/>
      </w:pPr>
      <w:r w:rsidRPr="00855E7E">
        <w:t>The collected data should be routinely subjected to quality assurance tests to identify potential equipment malfunction or degradation.</w:t>
      </w:r>
    </w:p>
    <w:p w14:paraId="74D0A307" w14:textId="77777777" w:rsidR="00080D85" w:rsidRPr="00855E7E" w:rsidRDefault="00080D85">
      <w:pPr>
        <w:pStyle w:val="TMGBullet"/>
      </w:pPr>
      <w:r w:rsidRPr="00855E7E">
        <w:t>The data should be analyzed and then quickly and routinely supplied to users so that data quality concerns not caught by the primary data quality process are quickly identified by users.</w:t>
      </w:r>
    </w:p>
    <w:p w14:paraId="030B2AB9" w14:textId="77777777" w:rsidR="00080D85" w:rsidRPr="00855E7E" w:rsidRDefault="00080D85">
      <w:pPr>
        <w:pStyle w:val="TMGBullet"/>
      </w:pPr>
      <w:r w:rsidRPr="00855E7E">
        <w:t>A feedback process should be in place so that the traffic monitoring group obtains this feedback from users, and effectively responds to improve the quality of the data.</w:t>
      </w:r>
    </w:p>
    <w:p w14:paraId="5E72B354" w14:textId="77777777" w:rsidR="00080D85" w:rsidRPr="00517F7A" w:rsidRDefault="00080D85">
      <w:pPr>
        <w:pStyle w:val="Heading3"/>
      </w:pPr>
      <w:bookmarkStart w:id="1354" w:name="_Toc52785428"/>
      <w:bookmarkStart w:id="1355" w:name="_Toc63428143"/>
      <w:bookmarkStart w:id="1356" w:name="_Toc118205604"/>
      <w:r w:rsidRPr="00517F7A">
        <w:t>Equipment Calibration and Data Monitoring</w:t>
      </w:r>
      <w:bookmarkEnd w:id="1354"/>
      <w:bookmarkEnd w:id="1355"/>
      <w:bookmarkEnd w:id="1356"/>
    </w:p>
    <w:p w14:paraId="1D75A381" w14:textId="77777777" w:rsidR="00080D85" w:rsidRPr="00855E7E" w:rsidRDefault="00080D85" w:rsidP="00A119E0">
      <w:pPr>
        <w:pStyle w:val="CallOut"/>
      </w:pPr>
      <w:r w:rsidRPr="00855E7E">
        <w:t>FHWA recommends annual calibration of all traffic counting equipment for volume counts, classification, weigh-in-motion, volume, speed, and portable hardware.</w:t>
      </w:r>
    </w:p>
    <w:p w14:paraId="450E4209" w14:textId="35CD052D" w:rsidR="00080D85" w:rsidRPr="00855E7E" w:rsidRDefault="00080D85" w:rsidP="00A35EAF">
      <w:pPr>
        <w:pStyle w:val="BodyText"/>
      </w:pPr>
      <w:r w:rsidRPr="00855E7E">
        <w:t>Calibration ensures that the purchased equipment performs as advertised. Validation checks when equipment is initially installed are an essential first step in that process. After the initial calibration, the equipment should be actively monitored for quality performance, regardless of a vendor’s assurances of self-calibration capabilities. The</w:t>
      </w:r>
      <w:r w:rsidR="00533AE2">
        <w:t> </w:t>
      </w:r>
      <w:r w:rsidRPr="00855E7E">
        <w:t xml:space="preserve">equipment should be periodically calibrated on-site. The FHWA recommends annual calibration of all traffic counting equipment. In addition to on-site calibration, in-office tracking of site information and data comparison and reasonableness checks should occur regularly (daily, monthly, and annually, as needed). </w:t>
      </w:r>
    </w:p>
    <w:p w14:paraId="4F08399F" w14:textId="77777777" w:rsidR="00080D85" w:rsidRPr="00855E7E" w:rsidRDefault="00080D85" w:rsidP="003B0722">
      <w:pPr>
        <w:pStyle w:val="BodyText"/>
      </w:pPr>
      <w:r w:rsidRPr="00855E7E">
        <w:t>A robust traffic monitoring equipment calibration program should include:</w:t>
      </w:r>
    </w:p>
    <w:p w14:paraId="09976740" w14:textId="0C076D9F" w:rsidR="00080D85" w:rsidRPr="00220AFE" w:rsidRDefault="00080D85">
      <w:pPr>
        <w:pStyle w:val="TMGBullet"/>
      </w:pPr>
      <w:r w:rsidRPr="00220AFE">
        <w:t>Implementing software tools that help automate the process</w:t>
      </w:r>
      <w:r w:rsidR="001B0532">
        <w:t>.</w:t>
      </w:r>
    </w:p>
    <w:p w14:paraId="1060B79A" w14:textId="541178EA" w:rsidR="00080D85" w:rsidRPr="00220AFE" w:rsidRDefault="00080D85">
      <w:pPr>
        <w:pStyle w:val="TMGBullet"/>
      </w:pPr>
      <w:r w:rsidRPr="00220AFE">
        <w:t>Performing daily diligence activities that ensure checking the quality of data as they are collected/processed/stored in the master (centralized or distributed) traffic database</w:t>
      </w:r>
      <w:r w:rsidR="001B0532">
        <w:t>.</w:t>
      </w:r>
    </w:p>
    <w:p w14:paraId="69704F02" w14:textId="23061D98" w:rsidR="00080D85" w:rsidRPr="00220AFE" w:rsidRDefault="00080D85">
      <w:pPr>
        <w:pStyle w:val="TMGBullet"/>
      </w:pPr>
      <w:r w:rsidRPr="00220AFE">
        <w:t>Evaluating data using weekly, bi-weekly, monthly, and yearly trends to determine validity and reasonableness (e.g., checking of a specific day like Wednesday each week for trending and issues, making sure the checking is done at the lane level or sensor level)</w:t>
      </w:r>
      <w:r w:rsidR="001B0532">
        <w:t>.</w:t>
      </w:r>
    </w:p>
    <w:p w14:paraId="1493E52F" w14:textId="3CAA1454" w:rsidR="00080D85" w:rsidRPr="00220AFE" w:rsidRDefault="00080D85">
      <w:pPr>
        <w:pStyle w:val="TMGBullet"/>
      </w:pPr>
      <w:r w:rsidRPr="00220AFE">
        <w:t>Collecting manual counts and comparing counts against portable equipment collected counts</w:t>
      </w:r>
      <w:r w:rsidR="001B0532">
        <w:t>.</w:t>
      </w:r>
    </w:p>
    <w:p w14:paraId="08CBED4E" w14:textId="77777777" w:rsidR="00080D85" w:rsidRPr="00220AFE" w:rsidRDefault="00080D85">
      <w:pPr>
        <w:pStyle w:val="TMGBullet"/>
      </w:pPr>
      <w:r w:rsidRPr="00220AFE">
        <w:t xml:space="preserve">Performing field and electronic calibration of classification, weigh-in-motion, volume, speed, and portable hardware annually. </w:t>
      </w:r>
    </w:p>
    <w:p w14:paraId="125B89C7" w14:textId="041C978B" w:rsidR="00080D85" w:rsidRPr="00855E7E" w:rsidRDefault="00080D85" w:rsidP="00A35EAF">
      <w:pPr>
        <w:pStyle w:val="BodyText"/>
      </w:pPr>
      <w:r w:rsidRPr="00855E7E">
        <w:t xml:space="preserve">On-site equipment performance validation and calibration includes performing a variety of tests on equipment to ensure that it functions as intended and correctly collects, processes, and reports the traffic data. The calibration process identifies both major errors (such as failed sensors) and minor errors (such as errors in site set-up, or the wrong classification algorithm installed on a shipment of devices) that result in the collecting, processing, storing, and disseminating of inaccurate traffic statistics. The entire traffic monitoring program credibility is at stake when </w:t>
      </w:r>
      <w:r w:rsidRPr="00855E7E">
        <w:lastRenderedPageBreak/>
        <w:t>erroneous data are collected, processed, stored</w:t>
      </w:r>
      <w:r w:rsidR="001B0532">
        <w:t>,</w:t>
      </w:r>
      <w:r w:rsidRPr="00855E7E">
        <w:t xml:space="preserve"> and disseminated. To avoid the risk of producing and disseminating erroneous data, traffic data programs should calibrate often.</w:t>
      </w:r>
    </w:p>
    <w:p w14:paraId="5CC152DC" w14:textId="3D5882FF" w:rsidR="00080D85" w:rsidRPr="00855E7E" w:rsidRDefault="00080D85" w:rsidP="00A35EAF">
      <w:pPr>
        <w:pStyle w:val="BodyText"/>
      </w:pPr>
      <w:r w:rsidRPr="00855E7E">
        <w:t>Errors associated with calibration inaccuracies significantly increase the cost and decrease the usability of data from the entire traffic monitoring program. FHWA</w:t>
      </w:r>
      <w:r w:rsidR="001B0532">
        <w:t>’s</w:t>
      </w:r>
      <w:r w:rsidRPr="00855E7E">
        <w:t xml:space="preserve"> </w:t>
      </w:r>
      <w:r w:rsidRPr="005E416B">
        <w:rPr>
          <w:i/>
          <w:iCs/>
        </w:rPr>
        <w:t>WIM Pocket Guide</w:t>
      </w:r>
      <w:r w:rsidRPr="00855E7E">
        <w:t xml:space="preserve"> and its </w:t>
      </w:r>
      <w:r w:rsidRPr="00856B6C">
        <w:t>Appendix E</w:t>
      </w:r>
      <w:r w:rsidRPr="00EA78FE">
        <w:t xml:space="preserve"> contain detailed information about WIM equipment calibration. In addition, </w:t>
      </w:r>
      <w:r w:rsidR="0057441C">
        <w:t xml:space="preserve">the </w:t>
      </w:r>
      <w:r w:rsidRPr="005E416B">
        <w:rPr>
          <w:i/>
          <w:iCs/>
        </w:rPr>
        <w:t>TMG</w:t>
      </w:r>
      <w:r w:rsidRPr="00EA78FE">
        <w:t xml:space="preserve"> </w:t>
      </w:r>
      <w:r w:rsidRPr="00856B6C">
        <w:t xml:space="preserve">Appendix </w:t>
      </w:r>
      <w:r w:rsidR="00856B6C" w:rsidRPr="00856B6C">
        <w:t>D</w:t>
      </w:r>
      <w:r w:rsidRPr="00EA78FE">
        <w:t xml:space="preserve"> contains compilation of </w:t>
      </w:r>
      <w:r w:rsidR="0057441C">
        <w:t>S</w:t>
      </w:r>
      <w:r w:rsidRPr="00EA78FE">
        <w:t>tate practices for equipment calibration.</w:t>
      </w:r>
      <w:r w:rsidRPr="00855E7E">
        <w:t xml:space="preserve"> </w:t>
      </w:r>
    </w:p>
    <w:p w14:paraId="7F94AB44" w14:textId="77777777" w:rsidR="00080D85" w:rsidRPr="00517F7A" w:rsidRDefault="00080D85">
      <w:pPr>
        <w:pStyle w:val="Heading3"/>
      </w:pPr>
      <w:bookmarkStart w:id="1357" w:name="_Toc118205605"/>
      <w:r w:rsidRPr="00517F7A">
        <w:t>Quality Assurance Considerations</w:t>
      </w:r>
      <w:bookmarkEnd w:id="1357"/>
    </w:p>
    <w:p w14:paraId="057B5EBF" w14:textId="0C5191DB" w:rsidR="00080D85" w:rsidRPr="00855E7E" w:rsidRDefault="00080D85" w:rsidP="00A35EAF">
      <w:pPr>
        <w:pStyle w:val="BodyText"/>
      </w:pPr>
      <w:r w:rsidRPr="00855E7E">
        <w:t>Data collection quality assurance process</w:t>
      </w:r>
      <w:r w:rsidR="0057441C">
        <w:t>es</w:t>
      </w:r>
      <w:r w:rsidRPr="00855E7E">
        <w:t xml:space="preserve"> should be established and documented to ensure active management from those collecting and using the data so that the technology performs well. Equipment that is not actively monitored for quality performance eventually goes out of calibration, regardless of a vendor’s assurances of self-calibration capabilities. Validation checks when equipment is initially installed are an essential first step in that process. Following a formal quality assurance and field maintenance program and providing resources to fix problems that are identified by that process ensures that funding available for collecting data is spent on collecting valid, useful information. </w:t>
      </w:r>
    </w:p>
    <w:p w14:paraId="4E39062D" w14:textId="07A65040" w:rsidR="003F7B9F" w:rsidRPr="0094693C" w:rsidRDefault="00080D85" w:rsidP="00A35EAF">
      <w:pPr>
        <w:pStyle w:val="BodyText"/>
      </w:pPr>
      <w:r w:rsidRPr="00855E7E">
        <w:t xml:space="preserve">Once the data have been physically collected, an agency must process (integrate, convert, calculate, QA/QC, store, manage, and provide access, etc.) the data consistently and correctly to convert data into published statistical information. Review of data consistency and data reasonableness should be part of this process, including tests to proactively check for potential equipment issues. Correct and consistent data processing </w:t>
      </w:r>
      <w:r w:rsidR="0057441C">
        <w:t>is</w:t>
      </w:r>
      <w:r w:rsidR="0057441C" w:rsidRPr="00855E7E">
        <w:t xml:space="preserve"> </w:t>
      </w:r>
      <w:r w:rsidRPr="00855E7E">
        <w:t>important for ensuring quality and reliability of AADT estimates. Consistent processes also ensure agency credibility</w:t>
      </w:r>
      <w:r w:rsidR="00C910B0">
        <w:t>,</w:t>
      </w:r>
      <w:r w:rsidRPr="00855E7E">
        <w:t xml:space="preserve"> which allows an agency to easily defend their reported statistics and show through transparent audit processes that their data accurately reflect current traffic conditions. This allows States to pass Federal compliance reviews used to ensure that reported statistics are being accurately reported and assures decision-makers the data deliverables are appropriate for critical decisions. </w:t>
      </w:r>
      <w:r w:rsidR="00856B6C">
        <w:t xml:space="preserve">A compendium of data quality control criteria </w:t>
      </w:r>
      <w:r w:rsidRPr="00855E7E">
        <w:t xml:space="preserve">implemented by State highway agencies </w:t>
      </w:r>
      <w:r w:rsidR="00C910B0">
        <w:t>is</w:t>
      </w:r>
      <w:r w:rsidRPr="00855E7E">
        <w:t xml:space="preserve"> provided </w:t>
      </w:r>
      <w:r w:rsidRPr="00911AE2">
        <w:t xml:space="preserve">in </w:t>
      </w:r>
      <w:r w:rsidRPr="00856B6C">
        <w:t xml:space="preserve">Appendix </w:t>
      </w:r>
      <w:r w:rsidR="00856B6C">
        <w:t>C</w:t>
      </w:r>
      <w:r w:rsidRPr="00911AE2">
        <w:t>.</w:t>
      </w:r>
    </w:p>
    <w:p w14:paraId="0DB92020" w14:textId="77777777" w:rsidR="00CF3A35" w:rsidRDefault="00CF3A35" w:rsidP="007C37F7">
      <w:pPr>
        <w:pStyle w:val="Title"/>
        <w:rPr>
          <w:rFonts w:eastAsiaTheme="majorEastAsia"/>
          <w:color w:val="000000" w:themeColor="text1"/>
        </w:rPr>
        <w:sectPr w:rsidR="00CF3A35" w:rsidSect="00BB182A">
          <w:headerReference w:type="even" r:id="rId101"/>
          <w:headerReference w:type="default" r:id="rId102"/>
          <w:footerReference w:type="even" r:id="rId103"/>
          <w:footerReference w:type="default" r:id="rId104"/>
          <w:footerReference w:type="first" r:id="rId105"/>
          <w:pgSz w:w="12240" w:h="15840" w:code="1"/>
          <w:pgMar w:top="1440" w:right="1440" w:bottom="1152" w:left="1440" w:header="720" w:footer="576" w:gutter="0"/>
          <w:pgNumType w:chapStyle="1"/>
          <w:cols w:space="720"/>
          <w:noEndnote/>
        </w:sectPr>
      </w:pPr>
      <w:bookmarkStart w:id="1358" w:name="_Toc284173291"/>
      <w:bookmarkStart w:id="1359" w:name="_Toc284234666"/>
      <w:bookmarkStart w:id="1360" w:name="_Toc321044555"/>
      <w:bookmarkStart w:id="1361" w:name="_Toc322003636"/>
      <w:bookmarkStart w:id="1362" w:name="_Toc322003738"/>
      <w:bookmarkStart w:id="1363" w:name="_Toc322003846"/>
      <w:bookmarkStart w:id="1364" w:name="_Toc323973312"/>
      <w:bookmarkStart w:id="1365" w:name="_Toc324068473"/>
      <w:bookmarkStart w:id="1366" w:name="_Toc450827107"/>
      <w:bookmarkStart w:id="1367" w:name="_Toc450829748"/>
      <w:bookmarkStart w:id="1368" w:name="_Toc450852961"/>
      <w:bookmarkStart w:id="1369" w:name="_Toc450853116"/>
      <w:bookmarkStart w:id="1370" w:name="_Toc451111814"/>
      <w:bookmarkStart w:id="1371" w:name="_Toc327520902"/>
      <w:bookmarkStart w:id="1372" w:name="_Toc327605839"/>
      <w:bookmarkStart w:id="1373" w:name="_Toc328315179"/>
      <w:bookmarkStart w:id="1374" w:name="_Toc328318707"/>
      <w:bookmarkStart w:id="1375" w:name="_Toc456699106"/>
      <w:bookmarkStart w:id="1376" w:name="_Toc459380300"/>
      <w:bookmarkStart w:id="1377" w:name="_Toc475524971"/>
      <w:bookmarkStart w:id="1378" w:name="_Toc476636934"/>
      <w:bookmarkStart w:id="1379" w:name="_Toc481140211"/>
      <w:bookmarkStart w:id="1380" w:name="_Toc484673446"/>
      <w:bookmarkStart w:id="1381" w:name="_Toc484679833"/>
      <w:bookmarkStart w:id="1382" w:name="_Toc484708884"/>
      <w:bookmarkStart w:id="1383" w:name="_Toc508715368"/>
      <w:bookmarkStart w:id="1384" w:name="_Toc509979206"/>
      <w:bookmarkStart w:id="1385" w:name="_Toc510709519"/>
      <w:bookmarkStart w:id="1386" w:name="_Toc510774326"/>
      <w:bookmarkStart w:id="1387" w:name="_Toc511027648"/>
      <w:bookmarkStart w:id="1388" w:name="_Toc511122432"/>
      <w:bookmarkStart w:id="1389" w:name="_Toc14342600"/>
      <w:bookmarkStart w:id="1390" w:name="_Toc14343065"/>
      <w:bookmarkStart w:id="1391" w:name="_Toc19360866"/>
      <w:bookmarkStart w:id="1392" w:name="_Toc21698136"/>
      <w:bookmarkStart w:id="1393" w:name="_Toc27588802"/>
      <w:bookmarkStart w:id="1394" w:name="_Toc27588891"/>
    </w:p>
    <w:p w14:paraId="401BA49C" w14:textId="66E2A73B" w:rsidR="003F7B9F" w:rsidRPr="00AA759F" w:rsidRDefault="003F7B9F">
      <w:pPr>
        <w:pStyle w:val="Heading1"/>
      </w:pPr>
      <w:bookmarkStart w:id="1395" w:name="_Toc68190172"/>
      <w:bookmarkStart w:id="1396" w:name="_Toc68864938"/>
      <w:bookmarkStart w:id="1397" w:name="_Toc114474723"/>
      <w:bookmarkStart w:id="1398" w:name="_Toc114485833"/>
      <w:bookmarkStart w:id="1399" w:name="_Toc114488084"/>
      <w:bookmarkStart w:id="1400" w:name="_Toc118205606"/>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r w:rsidRPr="00AA759F">
        <w:lastRenderedPageBreak/>
        <w:t>Methodologies</w:t>
      </w:r>
      <w:bookmarkEnd w:id="1395"/>
      <w:bookmarkEnd w:id="1396"/>
      <w:r w:rsidR="00E01E8C" w:rsidRPr="00AA759F">
        <w:t xml:space="preserve"> for Traffic Data Collection and Processing</w:t>
      </w:r>
      <w:bookmarkEnd w:id="1397"/>
      <w:bookmarkEnd w:id="1398"/>
      <w:bookmarkEnd w:id="1399"/>
      <w:bookmarkEnd w:id="1400"/>
    </w:p>
    <w:p w14:paraId="306A3BAC" w14:textId="60AD79BB" w:rsidR="00564B15" w:rsidRPr="00517F7A" w:rsidRDefault="00564B15">
      <w:pPr>
        <w:pStyle w:val="Heading2"/>
      </w:pPr>
      <w:bookmarkStart w:id="1401" w:name="_Toc55820990"/>
      <w:bookmarkStart w:id="1402" w:name="_Toc63977855"/>
      <w:bookmarkStart w:id="1403" w:name="_Toc63979971"/>
      <w:bookmarkStart w:id="1404" w:name="_Toc63980477"/>
      <w:bookmarkStart w:id="1405" w:name="_Toc63981197"/>
      <w:bookmarkStart w:id="1406" w:name="_Toc63981696"/>
      <w:bookmarkStart w:id="1407" w:name="_Toc63982186"/>
      <w:bookmarkStart w:id="1408" w:name="_Toc63982467"/>
      <w:bookmarkStart w:id="1409" w:name="_Toc63982606"/>
      <w:bookmarkStart w:id="1410" w:name="_Toc68190173"/>
      <w:bookmarkStart w:id="1411" w:name="_Toc68700125"/>
      <w:bookmarkStart w:id="1412" w:name="_Toc68700462"/>
      <w:bookmarkStart w:id="1413" w:name="_Toc68700841"/>
      <w:bookmarkStart w:id="1414" w:name="_Toc68798758"/>
      <w:bookmarkStart w:id="1415" w:name="_Toc68798982"/>
      <w:bookmarkStart w:id="1416" w:name="_Toc68800895"/>
      <w:bookmarkStart w:id="1417" w:name="_Toc68801966"/>
      <w:bookmarkStart w:id="1418" w:name="_Toc68806354"/>
      <w:bookmarkStart w:id="1419" w:name="_Toc68806577"/>
      <w:bookmarkStart w:id="1420" w:name="_Toc68806799"/>
      <w:bookmarkStart w:id="1421" w:name="_Toc68862821"/>
      <w:bookmarkStart w:id="1422" w:name="_Toc68864591"/>
      <w:bookmarkStart w:id="1423" w:name="_Toc68864939"/>
      <w:bookmarkStart w:id="1424" w:name="_Toc68866441"/>
      <w:bookmarkStart w:id="1425" w:name="_Toc68888487"/>
      <w:bookmarkStart w:id="1426" w:name="_Toc68951020"/>
      <w:bookmarkStart w:id="1427" w:name="_Toc68951675"/>
      <w:bookmarkStart w:id="1428" w:name="_Toc68951751"/>
      <w:bookmarkStart w:id="1429" w:name="_Toc68951827"/>
      <w:bookmarkStart w:id="1430" w:name="_Toc68951903"/>
      <w:bookmarkStart w:id="1431" w:name="_Toc68951979"/>
      <w:bookmarkStart w:id="1432" w:name="_Toc69387132"/>
      <w:bookmarkStart w:id="1433" w:name="_Toc75706451"/>
      <w:bookmarkStart w:id="1434" w:name="_Toc76042201"/>
      <w:bookmarkStart w:id="1435" w:name="_Toc76042276"/>
      <w:bookmarkStart w:id="1436" w:name="_Toc76047626"/>
      <w:bookmarkStart w:id="1437" w:name="_Toc76049082"/>
      <w:bookmarkStart w:id="1438" w:name="_Toc114474724"/>
      <w:bookmarkStart w:id="1439" w:name="_Toc55820991"/>
      <w:bookmarkStart w:id="1440" w:name="_Toc63977856"/>
      <w:bookmarkStart w:id="1441" w:name="_Toc63979972"/>
      <w:bookmarkStart w:id="1442" w:name="_Toc63980478"/>
      <w:bookmarkStart w:id="1443" w:name="_Toc63981198"/>
      <w:bookmarkStart w:id="1444" w:name="_Toc63981697"/>
      <w:bookmarkStart w:id="1445" w:name="_Toc63982187"/>
      <w:bookmarkStart w:id="1446" w:name="_Toc63982468"/>
      <w:bookmarkStart w:id="1447" w:name="_Toc63982607"/>
      <w:bookmarkStart w:id="1448" w:name="_Toc68190174"/>
      <w:bookmarkStart w:id="1449" w:name="_Toc68700126"/>
      <w:bookmarkStart w:id="1450" w:name="_Toc68700463"/>
      <w:bookmarkStart w:id="1451" w:name="_Toc68700842"/>
      <w:bookmarkStart w:id="1452" w:name="_Toc68798759"/>
      <w:bookmarkStart w:id="1453" w:name="_Toc68798983"/>
      <w:bookmarkStart w:id="1454" w:name="_Toc68800896"/>
      <w:bookmarkStart w:id="1455" w:name="_Toc68801967"/>
      <w:bookmarkStart w:id="1456" w:name="_Toc68806355"/>
      <w:bookmarkStart w:id="1457" w:name="_Toc68806578"/>
      <w:bookmarkStart w:id="1458" w:name="_Toc68806800"/>
      <w:bookmarkStart w:id="1459" w:name="_Toc68862822"/>
      <w:bookmarkStart w:id="1460" w:name="_Toc68864592"/>
      <w:bookmarkStart w:id="1461" w:name="_Toc68864940"/>
      <w:bookmarkStart w:id="1462" w:name="_Toc68866442"/>
      <w:bookmarkStart w:id="1463" w:name="_Toc68888488"/>
      <w:bookmarkStart w:id="1464" w:name="_Toc68951021"/>
      <w:bookmarkStart w:id="1465" w:name="_Toc68951676"/>
      <w:bookmarkStart w:id="1466" w:name="_Toc68951752"/>
      <w:bookmarkStart w:id="1467" w:name="_Toc68951828"/>
      <w:bookmarkStart w:id="1468" w:name="_Toc68951904"/>
      <w:bookmarkStart w:id="1469" w:name="_Toc68951980"/>
      <w:bookmarkStart w:id="1470" w:name="_Toc69387133"/>
      <w:bookmarkStart w:id="1471" w:name="_Toc75706452"/>
      <w:bookmarkStart w:id="1472" w:name="_Toc76042202"/>
      <w:bookmarkStart w:id="1473" w:name="_Toc76042277"/>
      <w:bookmarkStart w:id="1474" w:name="_Toc76047627"/>
      <w:bookmarkStart w:id="1475" w:name="_Toc76049083"/>
      <w:bookmarkStart w:id="1476" w:name="_Toc114474725"/>
      <w:bookmarkStart w:id="1477" w:name="_Toc55820992"/>
      <w:bookmarkStart w:id="1478" w:name="_Toc63977857"/>
      <w:bookmarkStart w:id="1479" w:name="_Toc63979973"/>
      <w:bookmarkStart w:id="1480" w:name="_Toc63980479"/>
      <w:bookmarkStart w:id="1481" w:name="_Toc63981199"/>
      <w:bookmarkStart w:id="1482" w:name="_Toc63981698"/>
      <w:bookmarkStart w:id="1483" w:name="_Toc63982188"/>
      <w:bookmarkStart w:id="1484" w:name="_Toc63982469"/>
      <w:bookmarkStart w:id="1485" w:name="_Toc63982608"/>
      <w:bookmarkStart w:id="1486" w:name="_Toc68190175"/>
      <w:bookmarkStart w:id="1487" w:name="_Toc68700127"/>
      <w:bookmarkStart w:id="1488" w:name="_Toc68700464"/>
      <w:bookmarkStart w:id="1489" w:name="_Toc68700843"/>
      <w:bookmarkStart w:id="1490" w:name="_Toc68798760"/>
      <w:bookmarkStart w:id="1491" w:name="_Toc68798984"/>
      <w:bookmarkStart w:id="1492" w:name="_Toc68800897"/>
      <w:bookmarkStart w:id="1493" w:name="_Toc68801968"/>
      <w:bookmarkStart w:id="1494" w:name="_Toc68806356"/>
      <w:bookmarkStart w:id="1495" w:name="_Toc68806579"/>
      <w:bookmarkStart w:id="1496" w:name="_Toc68806801"/>
      <w:bookmarkStart w:id="1497" w:name="_Toc68862823"/>
      <w:bookmarkStart w:id="1498" w:name="_Toc68864593"/>
      <w:bookmarkStart w:id="1499" w:name="_Toc68864941"/>
      <w:bookmarkStart w:id="1500" w:name="_Toc68866443"/>
      <w:bookmarkStart w:id="1501" w:name="_Toc68888489"/>
      <w:bookmarkStart w:id="1502" w:name="_Toc68951022"/>
      <w:bookmarkStart w:id="1503" w:name="_Toc68951677"/>
      <w:bookmarkStart w:id="1504" w:name="_Toc68951753"/>
      <w:bookmarkStart w:id="1505" w:name="_Toc68951829"/>
      <w:bookmarkStart w:id="1506" w:name="_Toc68951905"/>
      <w:bookmarkStart w:id="1507" w:name="_Toc68951981"/>
      <w:bookmarkStart w:id="1508" w:name="_Toc69387134"/>
      <w:bookmarkStart w:id="1509" w:name="_Toc75706453"/>
      <w:bookmarkStart w:id="1510" w:name="_Toc76042203"/>
      <w:bookmarkStart w:id="1511" w:name="_Toc76042278"/>
      <w:bookmarkStart w:id="1512" w:name="_Toc76047628"/>
      <w:bookmarkStart w:id="1513" w:name="_Toc76049084"/>
      <w:bookmarkStart w:id="1514" w:name="_Toc114474726"/>
      <w:bookmarkStart w:id="1515" w:name="_Toc45604626"/>
      <w:bookmarkStart w:id="1516" w:name="_Toc68190176"/>
      <w:bookmarkStart w:id="1517" w:name="_Toc68864942"/>
      <w:bookmarkStart w:id="1518" w:name="_Toc114474727"/>
      <w:bookmarkStart w:id="1519" w:name="_Toc114485834"/>
      <w:bookmarkStart w:id="1520" w:name="_Toc114488085"/>
      <w:bookmarkStart w:id="1521" w:name="_Toc118205607"/>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r w:rsidRPr="00517F7A">
        <w:t>How To Design A Continuous Count Traffic Volume Data Collection Program</w:t>
      </w:r>
      <w:bookmarkEnd w:id="1515"/>
      <w:bookmarkEnd w:id="1516"/>
      <w:bookmarkEnd w:id="1517"/>
      <w:bookmarkEnd w:id="1518"/>
      <w:bookmarkEnd w:id="1519"/>
      <w:bookmarkEnd w:id="1520"/>
      <w:bookmarkEnd w:id="1521"/>
    </w:p>
    <w:p w14:paraId="7DD9AD53" w14:textId="5BCE22FE" w:rsidR="003F7B9F" w:rsidRPr="00517F7A" w:rsidRDefault="003F7B9F">
      <w:pPr>
        <w:pStyle w:val="Heading3"/>
      </w:pPr>
      <w:bookmarkStart w:id="1522" w:name="_Toc45604627"/>
      <w:bookmarkStart w:id="1523" w:name="_Toc68190177"/>
      <w:bookmarkStart w:id="1524" w:name="_Toc118205608"/>
      <w:r w:rsidRPr="00517F7A">
        <w:t>Purpose</w:t>
      </w:r>
      <w:bookmarkEnd w:id="1522"/>
      <w:bookmarkEnd w:id="1523"/>
      <w:bookmarkEnd w:id="1524"/>
    </w:p>
    <w:p w14:paraId="22DB43F6" w14:textId="7F868E7C" w:rsidR="003F7B9F" w:rsidRPr="00EE7D22" w:rsidRDefault="003F7B9F" w:rsidP="00A35EAF">
      <w:pPr>
        <w:pStyle w:val="BodyText"/>
      </w:pPr>
      <w:r w:rsidRPr="00EE7D22">
        <w:t xml:space="preserve">The purpose of a continuous </w:t>
      </w:r>
      <w:r>
        <w:t>traffic</w:t>
      </w:r>
      <w:r w:rsidRPr="00EE7D22">
        <w:t xml:space="preserve"> volume count program is to collect highly accurate continuous volume data to serve as the foundational </w:t>
      </w:r>
      <w:r>
        <w:t xml:space="preserve">temporal </w:t>
      </w:r>
      <w:r w:rsidRPr="00EE7D22">
        <w:t xml:space="preserve">dataset for the entire </w:t>
      </w:r>
      <w:r>
        <w:t xml:space="preserve">traffic </w:t>
      </w:r>
      <w:r w:rsidRPr="00EE7D22">
        <w:t>volume data collection program. This program forms the basis for the overall traffic monitoring program</w:t>
      </w:r>
      <w:r>
        <w:t xml:space="preserve"> and i</w:t>
      </w:r>
      <w:r w:rsidRPr="00EE7D22">
        <w:t xml:space="preserve">n some </w:t>
      </w:r>
      <w:r w:rsidR="006D66F6">
        <w:t>S</w:t>
      </w:r>
      <w:r w:rsidRPr="00EE7D22">
        <w:t xml:space="preserve">tates is referred to as the permanent count program. In the </w:t>
      </w:r>
      <w:r w:rsidRPr="00EE7D22">
        <w:rPr>
          <w:rStyle w:val="Italic"/>
          <w:iCs/>
        </w:rPr>
        <w:t>TMG</w:t>
      </w:r>
      <w:r w:rsidRPr="00EE7D22">
        <w:t>, the program will be referred to as the</w:t>
      </w:r>
      <w:r>
        <w:t xml:space="preserve"> continuous count station (CCS)</w:t>
      </w:r>
      <w:r w:rsidRPr="00EE7D22">
        <w:t xml:space="preserve"> program. </w:t>
      </w:r>
    </w:p>
    <w:p w14:paraId="50CB031E" w14:textId="77777777" w:rsidR="003F7B9F" w:rsidRPr="00C16C8B" w:rsidRDefault="003F7B9F">
      <w:pPr>
        <w:pStyle w:val="Heading3"/>
      </w:pPr>
      <w:bookmarkStart w:id="1525" w:name="_Toc68190178"/>
      <w:bookmarkStart w:id="1526" w:name="_Toc118205609"/>
      <w:r w:rsidRPr="00C16C8B">
        <w:t>Continuous Count Station Program Objectives (Volume)</w:t>
      </w:r>
      <w:bookmarkEnd w:id="1525"/>
      <w:bookmarkEnd w:id="1526"/>
    </w:p>
    <w:p w14:paraId="17436C12" w14:textId="14A53955" w:rsidR="003F7B9F" w:rsidRPr="00EE7D22" w:rsidRDefault="003F7B9F" w:rsidP="003B0722">
      <w:pPr>
        <w:pStyle w:val="BodyText"/>
      </w:pPr>
      <w:r w:rsidRPr="00EE7D22">
        <w:t xml:space="preserve">The objective of the continuous </w:t>
      </w:r>
      <w:r>
        <w:t xml:space="preserve">count </w:t>
      </w:r>
      <w:r w:rsidRPr="00EE7D22">
        <w:t>traffic volume data collection program is to provide tra</w:t>
      </w:r>
      <w:r>
        <w:t xml:space="preserve">vel </w:t>
      </w:r>
      <w:r w:rsidRPr="00EE7D22">
        <w:t xml:space="preserve">volume </w:t>
      </w:r>
      <w:r>
        <w:t xml:space="preserve">information, </w:t>
      </w:r>
      <w:r w:rsidRPr="00EE7D22">
        <w:t xml:space="preserve">including the following </w:t>
      </w:r>
      <w:r>
        <w:t xml:space="preserve">traffic </w:t>
      </w:r>
      <w:r w:rsidRPr="00EE7D22">
        <w:t xml:space="preserve">data: total </w:t>
      </w:r>
      <w:r w:rsidRPr="00851D60">
        <w:t>volume</w:t>
      </w:r>
      <w:r w:rsidRPr="00EE7D22">
        <w:t>, volume by direction,</w:t>
      </w:r>
      <w:r>
        <w:t xml:space="preserve"> lane distribution </w:t>
      </w:r>
      <w:r w:rsidRPr="00C1329C">
        <w:t>factors and lane flow rates for lane closure policies, volume by lane by hour, day, month, or year as well as to develop time of day (TOD), day of week (DOW), month of year (MOY) and yearly (YTY) factors to expand short</w:t>
      </w:r>
      <w:r w:rsidR="006D66F6">
        <w:t>-</w:t>
      </w:r>
      <w:r w:rsidRPr="00C1329C">
        <w:t xml:space="preserve">term </w:t>
      </w:r>
      <w:r>
        <w:t xml:space="preserve">traffic volume </w:t>
      </w:r>
      <w:r w:rsidRPr="00C1329C">
        <w:t>counts to annual average daily traffic (AADT) volume statistics. This objective is the basis for establishing the number and location of CCS</w:t>
      </w:r>
      <w:r w:rsidR="006D66F6">
        <w:t>s</w:t>
      </w:r>
      <w:r w:rsidRPr="00C1329C">
        <w:t xml:space="preserve"> operated by the </w:t>
      </w:r>
      <w:r w:rsidR="006D66F6">
        <w:t>S</w:t>
      </w:r>
      <w:r w:rsidRPr="00C1329C">
        <w:t xml:space="preserve">tate highway agency. Objectives </w:t>
      </w:r>
      <w:r w:rsidRPr="00EE7D22">
        <w:t xml:space="preserve">of the continuous count program include the </w:t>
      </w:r>
      <w:r w:rsidRPr="003B0722">
        <w:t>following</w:t>
      </w:r>
      <w:r w:rsidRPr="00EE7D22">
        <w:t>:</w:t>
      </w:r>
    </w:p>
    <w:p w14:paraId="10959DAC" w14:textId="77777777" w:rsidR="003F7B9F" w:rsidRPr="006C58AE" w:rsidRDefault="003F7B9F">
      <w:pPr>
        <w:pStyle w:val="TMGBullet"/>
      </w:pPr>
      <w:r w:rsidRPr="006C58AE">
        <w:t>Provide peak hour, 30</w:t>
      </w:r>
      <w:r w:rsidRPr="006C58AE">
        <w:rPr>
          <w:rStyle w:val="superscript"/>
          <w:vertAlign w:val="baseline"/>
        </w:rPr>
        <w:t>th</w:t>
      </w:r>
      <w:r w:rsidRPr="006C58AE">
        <w:t xml:space="preserve"> highest hour, and directional distribution data used by travel forecasters and roadway designers</w:t>
      </w:r>
    </w:p>
    <w:p w14:paraId="56CE8CA0" w14:textId="77777777" w:rsidR="003F7B9F" w:rsidRPr="006C58AE" w:rsidRDefault="003F7B9F">
      <w:pPr>
        <w:pStyle w:val="TMGBullet"/>
      </w:pPr>
      <w:r w:rsidRPr="006C58AE">
        <w:t>Track traffic volume trends on specific roadway sections on the State highway system</w:t>
      </w:r>
    </w:p>
    <w:p w14:paraId="4CF5B85B" w14:textId="77777777" w:rsidR="003F7B9F" w:rsidRPr="006C58AE" w:rsidRDefault="003F7B9F">
      <w:pPr>
        <w:pStyle w:val="TMGBullet"/>
      </w:pPr>
      <w:r w:rsidRPr="006C58AE">
        <w:t>Provide an anchor point for using ramp-balancing methods</w:t>
      </w:r>
    </w:p>
    <w:p w14:paraId="09AE59EC" w14:textId="77777777" w:rsidR="003F7B9F" w:rsidRPr="006C58AE" w:rsidRDefault="003F7B9F">
      <w:pPr>
        <w:pStyle w:val="TMGBullet"/>
      </w:pPr>
      <w:r w:rsidRPr="006C58AE">
        <w:t>Understand geographic differences in travel trends</w:t>
      </w:r>
    </w:p>
    <w:p w14:paraId="00BC6491" w14:textId="77777777" w:rsidR="003F7B9F" w:rsidRPr="006C58AE" w:rsidRDefault="003F7B9F">
      <w:pPr>
        <w:pStyle w:val="TMGBullet"/>
      </w:pPr>
      <w:r w:rsidRPr="006C58AE">
        <w:t>Integrate with the HPMS traffic volume sample</w:t>
      </w:r>
    </w:p>
    <w:p w14:paraId="566ABA22" w14:textId="77777777" w:rsidR="003F7B9F" w:rsidRPr="006C58AE" w:rsidRDefault="003F7B9F">
      <w:pPr>
        <w:pStyle w:val="TMGBullet"/>
      </w:pPr>
      <w:r w:rsidRPr="006C58AE">
        <w:t>Collect data on roadway sections where it is not possible or prohibitively expensive to collect data with portable counters</w:t>
      </w:r>
    </w:p>
    <w:p w14:paraId="577391AE" w14:textId="7BB6B57E" w:rsidR="003F7B9F" w:rsidRPr="006C58AE" w:rsidRDefault="003F7B9F">
      <w:pPr>
        <w:pStyle w:val="TMGBullet"/>
      </w:pPr>
      <w:r w:rsidRPr="006C58AE">
        <w:t>Provide travel statistics for determining historical and current facility usage by travelers, such as the AADT volumes, peak TOD traffic volumes</w:t>
      </w:r>
      <w:r w:rsidR="006D66F6">
        <w:t>,</w:t>
      </w:r>
      <w:r w:rsidRPr="006C58AE">
        <w:t xml:space="preserve"> and traffic volume factors</w:t>
      </w:r>
    </w:p>
    <w:p w14:paraId="07A891A9" w14:textId="77777777" w:rsidR="003F7B9F" w:rsidRPr="00517F7A" w:rsidRDefault="003F7B9F">
      <w:pPr>
        <w:pStyle w:val="Heading3"/>
      </w:pPr>
      <w:bookmarkStart w:id="1527" w:name="_Toc45604628"/>
      <w:bookmarkStart w:id="1528" w:name="_Toc68190179"/>
      <w:bookmarkStart w:id="1529" w:name="_Toc118205610"/>
      <w:r w:rsidRPr="00517F7A">
        <w:t xml:space="preserve">Continuous Count Program Design Process </w:t>
      </w:r>
      <w:bookmarkEnd w:id="1527"/>
      <w:r w:rsidRPr="00517F7A">
        <w:t>(Volume)</w:t>
      </w:r>
      <w:bookmarkEnd w:id="1528"/>
      <w:bookmarkEnd w:id="1529"/>
    </w:p>
    <w:p w14:paraId="68E8C4E0" w14:textId="76A7A935" w:rsidR="003F7B9F" w:rsidRDefault="003F7B9F" w:rsidP="00A35EAF">
      <w:pPr>
        <w:pStyle w:val="BodyText"/>
      </w:pPr>
      <w:bookmarkStart w:id="1530" w:name="_Hlk45695340"/>
      <w:r w:rsidRPr="00EE7D22">
        <w:t xml:space="preserve">Each agency develops its own balance between having larger numbers of </w:t>
      </w:r>
      <w:r>
        <w:t>CCS</w:t>
      </w:r>
      <w:r w:rsidR="006D66F6">
        <w:t>s</w:t>
      </w:r>
      <w:r w:rsidRPr="00EE7D22">
        <w:t xml:space="preserve"> (</w:t>
      </w:r>
      <w:r>
        <w:t xml:space="preserve">thus, </w:t>
      </w:r>
      <w:r w:rsidRPr="00EE7D22">
        <w:t xml:space="preserve">increasing the accuracy and reliability of analyses that depend on data supplied by those counters) and reducing the expenditures required to operate and maintain those counters. The </w:t>
      </w:r>
      <w:r w:rsidRPr="005E416B">
        <w:rPr>
          <w:i/>
          <w:iCs/>
        </w:rPr>
        <w:t>TMG</w:t>
      </w:r>
      <w:r w:rsidRPr="00EE7D22">
        <w:t xml:space="preserve"> recommendations provide sufficient flexibility for each agency to find an appropriate compromise among objectives.</w:t>
      </w:r>
      <w:r>
        <w:t xml:space="preserve"> </w:t>
      </w:r>
    </w:p>
    <w:p w14:paraId="44D5C654" w14:textId="77777777" w:rsidR="003F7B9F" w:rsidRPr="009E21E4" w:rsidRDefault="003F7B9F" w:rsidP="00A119E0">
      <w:pPr>
        <w:pStyle w:val="CallOut"/>
        <w:rPr>
          <w:color w:val="0066FF"/>
        </w:rPr>
      </w:pPr>
      <w:r>
        <w:t xml:space="preserve">The </w:t>
      </w:r>
      <w:r w:rsidRPr="005E416B">
        <w:rPr>
          <w:i/>
          <w:iCs/>
        </w:rPr>
        <w:t>TMG</w:t>
      </w:r>
      <w:r>
        <w:t xml:space="preserve"> recommends that the division responsible for traffic adjustment factor development operates at least the minimum number of continuous count locations needed to meet the accuracy and reliability requirement of the factoring program.</w:t>
      </w:r>
    </w:p>
    <w:p w14:paraId="50B714FC" w14:textId="1F8B3799" w:rsidR="003F7B9F" w:rsidRPr="00241DB9" w:rsidRDefault="003F7B9F" w:rsidP="00A35EAF">
      <w:pPr>
        <w:pStyle w:val="BodyText"/>
      </w:pPr>
      <w:r w:rsidRPr="00241DB9">
        <w:t>Additional travel and traffic</w:t>
      </w:r>
      <w:r>
        <w:t xml:space="preserve"> volume </w:t>
      </w:r>
      <w:r w:rsidRPr="00241DB9">
        <w:t>data available through other count programs such as intelligent transportation systems (ITS), MPOs, cities, counties, and WIM programs (if separate), where the funding for the installation and operation of the counters comes from other sources, should be considered to supplement and expand the continuous count database (</w:t>
      </w:r>
      <w:r w:rsidR="004A6DE0" w:rsidRPr="004A6DE0">
        <w:t>See</w:t>
      </w:r>
      <w:r w:rsidRPr="004A6DE0">
        <w:t xml:space="preserve"> </w:t>
      </w:r>
      <w:r w:rsidR="00A85E3B" w:rsidRPr="004A6DE0">
        <w:t xml:space="preserve">Appendix </w:t>
      </w:r>
      <w:r w:rsidR="004A6DE0">
        <w:t>B</w:t>
      </w:r>
      <w:r w:rsidRPr="00241DB9">
        <w:t xml:space="preserve">). However, while the cost of equipment installation and operation of these supplemental continuous count programs is the responsibility of those other programs, the statewide traffic monitoring division should be responsible for ensuring its accuracy and making these data available to users. Determining how best to obtain, summarize, and report these data is an issue best addressed at the </w:t>
      </w:r>
      <w:r w:rsidR="002F5663">
        <w:t>S</w:t>
      </w:r>
      <w:r w:rsidRPr="00241DB9">
        <w:t xml:space="preserve">tate level. Data management best practices can be learned from advanced travel monitoring programs. </w:t>
      </w:r>
      <w:r w:rsidRPr="004A6DE0">
        <w:t xml:space="preserve">These examples are provided in Appendices </w:t>
      </w:r>
      <w:r w:rsidR="004A6DE0">
        <w:t>B</w:t>
      </w:r>
      <w:r w:rsidRPr="004A6DE0">
        <w:t xml:space="preserve">, E, and </w:t>
      </w:r>
      <w:r w:rsidR="004A6DE0">
        <w:t>J</w:t>
      </w:r>
      <w:r w:rsidRPr="004A6DE0">
        <w:t>.</w:t>
      </w:r>
    </w:p>
    <w:p w14:paraId="1AACD985" w14:textId="77777777" w:rsidR="003F7B9F" w:rsidRPr="00517F7A" w:rsidRDefault="003F7B9F">
      <w:pPr>
        <w:pStyle w:val="Heading3"/>
      </w:pPr>
      <w:bookmarkStart w:id="1531" w:name="_Toc68190180"/>
      <w:bookmarkStart w:id="1532" w:name="_Toc118205611"/>
      <w:r w:rsidRPr="00517F7A">
        <w:lastRenderedPageBreak/>
        <w:t>Establishing And Evaluating A Continuous Count Program (VOLUME)</w:t>
      </w:r>
      <w:bookmarkEnd w:id="1531"/>
      <w:bookmarkEnd w:id="1532"/>
    </w:p>
    <w:p w14:paraId="640ECFC7" w14:textId="77777777" w:rsidR="003F7B9F" w:rsidRPr="00C1329C" w:rsidRDefault="003F7B9F" w:rsidP="00A35EAF">
      <w:pPr>
        <w:pStyle w:val="BodyText"/>
      </w:pPr>
      <w:bookmarkStart w:id="1533" w:name="_Toc54277118"/>
      <w:bookmarkStart w:id="1534" w:name="_Toc54277232"/>
      <w:bookmarkStart w:id="1535" w:name="_Toc54278976"/>
      <w:bookmarkStart w:id="1536" w:name="_Toc54279086"/>
      <w:bookmarkStart w:id="1537" w:name="_Toc54527094"/>
      <w:bookmarkStart w:id="1538" w:name="_Toc54543262"/>
      <w:bookmarkStart w:id="1539" w:name="_Toc54543394"/>
      <w:bookmarkStart w:id="1540" w:name="_Toc54773742"/>
      <w:bookmarkStart w:id="1541" w:name="_Toc54776464"/>
      <w:bookmarkStart w:id="1542" w:name="_Toc54784361"/>
      <w:bookmarkStart w:id="1543" w:name="_Toc54784455"/>
      <w:bookmarkStart w:id="1544" w:name="_Toc54784597"/>
      <w:bookmarkStart w:id="1545" w:name="_Toc55820999"/>
      <w:bookmarkStart w:id="1546" w:name="_Toc63977863"/>
      <w:bookmarkStart w:id="1547" w:name="_Toc63979979"/>
      <w:bookmarkStart w:id="1548" w:name="_Toc63980485"/>
      <w:bookmarkStart w:id="1549" w:name="_Toc63981205"/>
      <w:bookmarkStart w:id="1550" w:name="_Toc63981704"/>
      <w:bookmarkStart w:id="1551" w:name="_Toc63982194"/>
      <w:bookmarkStart w:id="1552" w:name="_Toc63982475"/>
      <w:bookmarkStart w:id="1553" w:name="_Toc63982614"/>
      <w:bookmarkStart w:id="1554" w:name="_Toc68190181"/>
      <w:bookmarkStart w:id="1555" w:name="_Toc54277119"/>
      <w:bookmarkStart w:id="1556" w:name="_Toc54277233"/>
      <w:bookmarkStart w:id="1557" w:name="_Toc54278977"/>
      <w:bookmarkStart w:id="1558" w:name="_Toc54279087"/>
      <w:bookmarkStart w:id="1559" w:name="_Toc54527095"/>
      <w:bookmarkStart w:id="1560" w:name="_Toc54543263"/>
      <w:bookmarkStart w:id="1561" w:name="_Toc54543395"/>
      <w:bookmarkStart w:id="1562" w:name="_Toc54773743"/>
      <w:bookmarkStart w:id="1563" w:name="_Toc54776465"/>
      <w:bookmarkStart w:id="1564" w:name="_Toc54784362"/>
      <w:bookmarkStart w:id="1565" w:name="_Toc54784456"/>
      <w:bookmarkStart w:id="1566" w:name="_Toc54784598"/>
      <w:bookmarkStart w:id="1567" w:name="_Toc55821000"/>
      <w:bookmarkStart w:id="1568" w:name="_Toc63977864"/>
      <w:bookmarkStart w:id="1569" w:name="_Toc63979980"/>
      <w:bookmarkStart w:id="1570" w:name="_Toc63980486"/>
      <w:bookmarkStart w:id="1571" w:name="_Toc63981206"/>
      <w:bookmarkStart w:id="1572" w:name="_Toc63981705"/>
      <w:bookmarkStart w:id="1573" w:name="_Toc63982195"/>
      <w:bookmarkStart w:id="1574" w:name="_Toc63982476"/>
      <w:bookmarkStart w:id="1575" w:name="_Toc63982615"/>
      <w:bookmarkStart w:id="1576" w:name="_Toc68190182"/>
      <w:bookmarkStart w:id="1577" w:name="_Toc54277120"/>
      <w:bookmarkStart w:id="1578" w:name="_Toc54277234"/>
      <w:bookmarkStart w:id="1579" w:name="_Toc54278978"/>
      <w:bookmarkStart w:id="1580" w:name="_Toc54279088"/>
      <w:bookmarkStart w:id="1581" w:name="_Toc54527096"/>
      <w:bookmarkStart w:id="1582" w:name="_Toc54543264"/>
      <w:bookmarkStart w:id="1583" w:name="_Toc54543396"/>
      <w:bookmarkStart w:id="1584" w:name="_Toc54773744"/>
      <w:bookmarkStart w:id="1585" w:name="_Toc54776466"/>
      <w:bookmarkStart w:id="1586" w:name="_Toc54784363"/>
      <w:bookmarkStart w:id="1587" w:name="_Toc54784457"/>
      <w:bookmarkStart w:id="1588" w:name="_Toc54784599"/>
      <w:bookmarkStart w:id="1589" w:name="_Toc55821001"/>
      <w:bookmarkStart w:id="1590" w:name="_Toc63977865"/>
      <w:bookmarkStart w:id="1591" w:name="_Toc63979981"/>
      <w:bookmarkStart w:id="1592" w:name="_Toc63980487"/>
      <w:bookmarkStart w:id="1593" w:name="_Toc63981207"/>
      <w:bookmarkStart w:id="1594" w:name="_Toc63981706"/>
      <w:bookmarkStart w:id="1595" w:name="_Toc63982196"/>
      <w:bookmarkStart w:id="1596" w:name="_Toc63982477"/>
      <w:bookmarkStart w:id="1597" w:name="_Toc63982616"/>
      <w:bookmarkStart w:id="1598" w:name="_Toc68190183"/>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r w:rsidRPr="00C1329C">
        <w:t>Below is a list of steps that should be followed in establishing and evaluating a continuous count program for statewide traffic monitoring. These steps were designed for (1) developing a new program, and (2) checking and evaluating the existing program to ensure compatibility with the guidance. The results of these steps should be documented to allow for future benchmarking and improvement in the travel monitoring program.</w:t>
      </w:r>
    </w:p>
    <w:bookmarkEnd w:id="1530"/>
    <w:p w14:paraId="2745E0A2" w14:textId="03A6792F" w:rsidR="003F7B9F" w:rsidRPr="00C1329C" w:rsidRDefault="003F7B9F" w:rsidP="00A35EAF">
      <w:pPr>
        <w:pStyle w:val="BodyText"/>
      </w:pPr>
      <w:r w:rsidRPr="00C1329C">
        <w:t>The</w:t>
      </w:r>
      <w:r>
        <w:t xml:space="preserve"> following</w:t>
      </w:r>
      <w:r w:rsidRPr="00C1329C">
        <w:t xml:space="preserve"> steps are primarily focused on the traffic volume program component. Each step is described in detail in the sections following this list.</w:t>
      </w:r>
    </w:p>
    <w:p w14:paraId="3EC76A70" w14:textId="77777777" w:rsidR="003F7B9F" w:rsidRPr="00A85E3B" w:rsidRDefault="003F7B9F" w:rsidP="00A35EAF">
      <w:pPr>
        <w:pStyle w:val="BodyText"/>
        <w:rPr>
          <w:iCs/>
        </w:rPr>
      </w:pPr>
      <w:r w:rsidRPr="00A85E3B">
        <w:t>Continuous Volume Data Program Steps</w:t>
      </w:r>
    </w:p>
    <w:p w14:paraId="034B1E63" w14:textId="77777777" w:rsidR="003F7B9F" w:rsidRPr="00C1329C" w:rsidRDefault="003F7B9F" w:rsidP="00006E36">
      <w:pPr>
        <w:pStyle w:val="IndexText"/>
        <w:widowControl/>
        <w:numPr>
          <w:ilvl w:val="0"/>
          <w:numId w:val="37"/>
        </w:numPr>
        <w:adjustRightInd/>
        <w:spacing w:after="0" w:line="240" w:lineRule="auto"/>
        <w:ind w:left="648"/>
        <w:jc w:val="left"/>
        <w:textAlignment w:val="auto"/>
        <w:rPr>
          <w:rFonts w:cs="Calibri"/>
          <w:iCs w:val="0"/>
          <w:color w:val="auto"/>
        </w:rPr>
      </w:pPr>
      <w:r w:rsidRPr="00C1329C">
        <w:rPr>
          <w:rFonts w:cs="Calibri"/>
          <w:iCs w:val="0"/>
          <w:color w:val="auto"/>
        </w:rPr>
        <w:t>Review Existing Continuous Count Program</w:t>
      </w:r>
    </w:p>
    <w:p w14:paraId="73D96B51" w14:textId="77777777" w:rsidR="003F7B9F" w:rsidRPr="00C1329C" w:rsidRDefault="003F7B9F" w:rsidP="00006E36">
      <w:pPr>
        <w:pStyle w:val="IndexText"/>
        <w:widowControl/>
        <w:numPr>
          <w:ilvl w:val="1"/>
          <w:numId w:val="37"/>
        </w:numPr>
        <w:adjustRightInd/>
        <w:spacing w:after="0" w:line="240" w:lineRule="auto"/>
        <w:ind w:left="1224"/>
        <w:jc w:val="left"/>
        <w:textAlignment w:val="auto"/>
        <w:rPr>
          <w:rFonts w:cs="Calibri"/>
          <w:iCs w:val="0"/>
          <w:color w:val="auto"/>
        </w:rPr>
      </w:pPr>
      <w:r w:rsidRPr="00C1329C">
        <w:rPr>
          <w:rFonts w:cs="Calibri"/>
          <w:iCs w:val="0"/>
          <w:color w:val="auto"/>
        </w:rPr>
        <w:t>Current Program</w:t>
      </w:r>
    </w:p>
    <w:p w14:paraId="76F6FAD6" w14:textId="77777777" w:rsidR="003F7B9F" w:rsidRPr="00C1329C" w:rsidRDefault="003F7B9F" w:rsidP="00006E36">
      <w:pPr>
        <w:pStyle w:val="IndexText"/>
        <w:widowControl/>
        <w:numPr>
          <w:ilvl w:val="1"/>
          <w:numId w:val="37"/>
        </w:numPr>
        <w:adjustRightInd/>
        <w:spacing w:after="0" w:line="240" w:lineRule="auto"/>
        <w:ind w:left="1224"/>
        <w:jc w:val="left"/>
        <w:textAlignment w:val="auto"/>
        <w:rPr>
          <w:rFonts w:cs="Calibri"/>
          <w:iCs w:val="0"/>
          <w:color w:val="auto"/>
        </w:rPr>
      </w:pPr>
      <w:r w:rsidRPr="00C1329C">
        <w:rPr>
          <w:rFonts w:cs="Calibri"/>
          <w:iCs w:val="0"/>
          <w:color w:val="auto"/>
        </w:rPr>
        <w:t>Traffic Patterns</w:t>
      </w:r>
    </w:p>
    <w:p w14:paraId="7C01D09C" w14:textId="77777777" w:rsidR="003F7B9F" w:rsidRPr="00C1329C" w:rsidRDefault="003F7B9F" w:rsidP="00006E36">
      <w:pPr>
        <w:pStyle w:val="IndexText"/>
        <w:widowControl/>
        <w:numPr>
          <w:ilvl w:val="1"/>
          <w:numId w:val="37"/>
        </w:numPr>
        <w:adjustRightInd/>
        <w:spacing w:after="0" w:line="240" w:lineRule="auto"/>
        <w:ind w:left="1224"/>
        <w:jc w:val="left"/>
        <w:textAlignment w:val="auto"/>
        <w:rPr>
          <w:rFonts w:cs="Calibri"/>
          <w:iCs w:val="0"/>
          <w:color w:val="auto"/>
        </w:rPr>
      </w:pPr>
      <w:r w:rsidRPr="00C1329C">
        <w:rPr>
          <w:rFonts w:cs="Calibri"/>
          <w:iCs w:val="0"/>
          <w:color w:val="auto"/>
        </w:rPr>
        <w:t>Data Adjustment</w:t>
      </w:r>
    </w:p>
    <w:p w14:paraId="6CACEE06" w14:textId="77777777" w:rsidR="003F7B9F" w:rsidRPr="00C1329C" w:rsidRDefault="003F7B9F" w:rsidP="00006E36">
      <w:pPr>
        <w:pStyle w:val="IndexText"/>
        <w:widowControl/>
        <w:numPr>
          <w:ilvl w:val="1"/>
          <w:numId w:val="37"/>
        </w:numPr>
        <w:adjustRightInd/>
        <w:spacing w:after="0" w:line="240" w:lineRule="auto"/>
        <w:ind w:left="1224"/>
        <w:jc w:val="left"/>
        <w:textAlignment w:val="auto"/>
        <w:rPr>
          <w:rFonts w:cs="Calibri"/>
          <w:iCs w:val="0"/>
          <w:color w:val="auto"/>
        </w:rPr>
      </w:pPr>
      <w:r w:rsidRPr="00C1329C">
        <w:rPr>
          <w:rFonts w:cs="Calibri"/>
          <w:iCs w:val="0"/>
          <w:color w:val="auto"/>
        </w:rPr>
        <w:t>Quality Control</w:t>
      </w:r>
    </w:p>
    <w:p w14:paraId="41345809" w14:textId="77777777" w:rsidR="003F7B9F" w:rsidRPr="00C1329C" w:rsidRDefault="003F7B9F" w:rsidP="00006E36">
      <w:pPr>
        <w:pStyle w:val="IndexText"/>
        <w:widowControl/>
        <w:numPr>
          <w:ilvl w:val="1"/>
          <w:numId w:val="37"/>
        </w:numPr>
        <w:adjustRightInd/>
        <w:spacing w:after="0" w:line="240" w:lineRule="auto"/>
        <w:ind w:left="1224"/>
        <w:jc w:val="left"/>
        <w:textAlignment w:val="auto"/>
        <w:rPr>
          <w:rFonts w:cs="Calibri"/>
          <w:iCs w:val="0"/>
          <w:color w:val="auto"/>
        </w:rPr>
      </w:pPr>
      <w:r w:rsidRPr="00C1329C">
        <w:rPr>
          <w:rFonts w:cs="Calibri"/>
          <w:iCs w:val="0"/>
          <w:color w:val="auto"/>
        </w:rPr>
        <w:t>Periodically Review</w:t>
      </w:r>
    </w:p>
    <w:p w14:paraId="102234DA" w14:textId="77777777" w:rsidR="003F7B9F" w:rsidRPr="00C1329C" w:rsidRDefault="003F7B9F" w:rsidP="00006E36">
      <w:pPr>
        <w:pStyle w:val="IndexText"/>
        <w:widowControl/>
        <w:numPr>
          <w:ilvl w:val="1"/>
          <w:numId w:val="37"/>
        </w:numPr>
        <w:adjustRightInd/>
        <w:spacing w:after="0" w:line="240" w:lineRule="auto"/>
        <w:ind w:left="1224"/>
        <w:jc w:val="left"/>
        <w:textAlignment w:val="auto"/>
        <w:rPr>
          <w:rFonts w:cs="Calibri"/>
          <w:iCs w:val="0"/>
          <w:color w:val="auto"/>
        </w:rPr>
      </w:pPr>
      <w:r w:rsidRPr="00C1329C">
        <w:rPr>
          <w:rFonts w:cs="Calibri"/>
          <w:iCs w:val="0"/>
          <w:color w:val="auto"/>
        </w:rPr>
        <w:t>Summary Statistics</w:t>
      </w:r>
    </w:p>
    <w:p w14:paraId="0B525209" w14:textId="77777777" w:rsidR="003F7B9F" w:rsidRPr="00C1329C" w:rsidRDefault="003F7B9F" w:rsidP="00006E36">
      <w:pPr>
        <w:pStyle w:val="IndexText"/>
        <w:widowControl/>
        <w:numPr>
          <w:ilvl w:val="0"/>
          <w:numId w:val="37"/>
        </w:numPr>
        <w:adjustRightInd/>
        <w:spacing w:before="60" w:after="0" w:line="240" w:lineRule="auto"/>
        <w:ind w:left="648"/>
        <w:jc w:val="left"/>
        <w:textAlignment w:val="auto"/>
        <w:rPr>
          <w:rFonts w:cs="Calibri"/>
          <w:iCs w:val="0"/>
          <w:color w:val="auto"/>
        </w:rPr>
      </w:pPr>
      <w:r w:rsidRPr="00C1329C">
        <w:rPr>
          <w:rFonts w:cs="Calibri"/>
          <w:iCs w:val="0"/>
          <w:color w:val="auto"/>
        </w:rPr>
        <w:t>Develop Inventory of Available Continuous Count Locations and Equipment</w:t>
      </w:r>
    </w:p>
    <w:p w14:paraId="7021D7A4" w14:textId="77777777" w:rsidR="003F7B9F" w:rsidRPr="00C1329C" w:rsidRDefault="003F7B9F" w:rsidP="00006E36">
      <w:pPr>
        <w:pStyle w:val="IndexText"/>
        <w:widowControl/>
        <w:numPr>
          <w:ilvl w:val="1"/>
          <w:numId w:val="37"/>
        </w:numPr>
        <w:adjustRightInd/>
        <w:spacing w:after="0" w:line="240" w:lineRule="auto"/>
        <w:ind w:left="1224"/>
        <w:jc w:val="left"/>
        <w:textAlignment w:val="auto"/>
        <w:rPr>
          <w:rFonts w:cs="Calibri"/>
          <w:iCs w:val="0"/>
          <w:color w:val="auto"/>
        </w:rPr>
      </w:pPr>
      <w:r w:rsidRPr="00C1329C">
        <w:rPr>
          <w:rFonts w:cs="Calibri"/>
          <w:iCs w:val="0"/>
          <w:color w:val="auto"/>
        </w:rPr>
        <w:t>Existing Data Sources for each data type</w:t>
      </w:r>
    </w:p>
    <w:p w14:paraId="5D5AAD81" w14:textId="77777777" w:rsidR="003F7B9F" w:rsidRPr="00C1329C" w:rsidRDefault="003F7B9F" w:rsidP="00006E36">
      <w:pPr>
        <w:pStyle w:val="IndexText"/>
        <w:widowControl/>
        <w:numPr>
          <w:ilvl w:val="1"/>
          <w:numId w:val="37"/>
        </w:numPr>
        <w:adjustRightInd/>
        <w:spacing w:after="0" w:line="240" w:lineRule="auto"/>
        <w:ind w:left="1224"/>
        <w:jc w:val="left"/>
        <w:textAlignment w:val="auto"/>
        <w:rPr>
          <w:rFonts w:cs="Calibri"/>
          <w:iCs w:val="0"/>
          <w:color w:val="auto"/>
        </w:rPr>
      </w:pPr>
      <w:r w:rsidRPr="00C1329C">
        <w:rPr>
          <w:rFonts w:cs="Calibri"/>
          <w:iCs w:val="0"/>
          <w:color w:val="auto"/>
        </w:rPr>
        <w:t>Other Sources</w:t>
      </w:r>
    </w:p>
    <w:p w14:paraId="7ABF22AC" w14:textId="77777777" w:rsidR="003F7B9F" w:rsidRPr="00C1329C" w:rsidRDefault="003F7B9F" w:rsidP="00006E36">
      <w:pPr>
        <w:pStyle w:val="IndexText"/>
        <w:widowControl/>
        <w:numPr>
          <w:ilvl w:val="1"/>
          <w:numId w:val="37"/>
        </w:numPr>
        <w:adjustRightInd/>
        <w:spacing w:after="0" w:line="240" w:lineRule="auto"/>
        <w:ind w:left="1224"/>
        <w:jc w:val="left"/>
        <w:textAlignment w:val="auto"/>
        <w:rPr>
          <w:rFonts w:cs="Calibri"/>
          <w:iCs w:val="0"/>
          <w:color w:val="auto"/>
        </w:rPr>
      </w:pPr>
      <w:r w:rsidRPr="00C1329C">
        <w:rPr>
          <w:rFonts w:cs="Calibri"/>
          <w:iCs w:val="0"/>
          <w:color w:val="auto"/>
        </w:rPr>
        <w:t>Data Use</w:t>
      </w:r>
    </w:p>
    <w:p w14:paraId="11A22782" w14:textId="77777777" w:rsidR="003F7B9F" w:rsidRPr="00C1329C" w:rsidRDefault="003F7B9F" w:rsidP="00006E36">
      <w:pPr>
        <w:pStyle w:val="IndexText"/>
        <w:widowControl/>
        <w:numPr>
          <w:ilvl w:val="0"/>
          <w:numId w:val="37"/>
        </w:numPr>
        <w:adjustRightInd/>
        <w:spacing w:before="60" w:after="0" w:line="240" w:lineRule="auto"/>
        <w:ind w:left="648"/>
        <w:jc w:val="left"/>
        <w:textAlignment w:val="auto"/>
        <w:rPr>
          <w:rFonts w:cs="Calibri"/>
          <w:iCs w:val="0"/>
          <w:color w:val="auto"/>
        </w:rPr>
      </w:pPr>
      <w:r w:rsidRPr="00C1329C">
        <w:rPr>
          <w:rFonts w:cs="Calibri"/>
          <w:iCs w:val="0"/>
          <w:color w:val="auto"/>
        </w:rPr>
        <w:t>Determine the Traffic Time Patterns to be Monitored</w:t>
      </w:r>
    </w:p>
    <w:p w14:paraId="14D265FE" w14:textId="77777777" w:rsidR="003F7B9F" w:rsidRPr="00C1329C" w:rsidRDefault="003F7B9F" w:rsidP="00006E36">
      <w:pPr>
        <w:pStyle w:val="IndexText"/>
        <w:widowControl/>
        <w:numPr>
          <w:ilvl w:val="1"/>
          <w:numId w:val="37"/>
        </w:numPr>
        <w:adjustRightInd/>
        <w:spacing w:after="0" w:line="240" w:lineRule="auto"/>
        <w:ind w:left="1224"/>
        <w:jc w:val="left"/>
        <w:textAlignment w:val="auto"/>
        <w:rPr>
          <w:color w:val="auto"/>
        </w:rPr>
      </w:pPr>
      <w:r w:rsidRPr="00C1329C">
        <w:rPr>
          <w:color w:val="auto"/>
        </w:rPr>
        <w:t>Time Patterns</w:t>
      </w:r>
    </w:p>
    <w:p w14:paraId="669F8ADA" w14:textId="1F32869C" w:rsidR="003F7B9F" w:rsidRPr="00C1329C" w:rsidRDefault="003F7B9F" w:rsidP="00006E36">
      <w:pPr>
        <w:pStyle w:val="IndexText"/>
        <w:widowControl/>
        <w:numPr>
          <w:ilvl w:val="1"/>
          <w:numId w:val="37"/>
        </w:numPr>
        <w:adjustRightInd/>
        <w:spacing w:after="0" w:line="240" w:lineRule="auto"/>
        <w:ind w:left="1224"/>
        <w:jc w:val="left"/>
        <w:textAlignment w:val="auto"/>
        <w:rPr>
          <w:rFonts w:cs="Calibri"/>
          <w:iCs w:val="0"/>
          <w:color w:val="auto"/>
        </w:rPr>
      </w:pPr>
      <w:r w:rsidRPr="00C1329C">
        <w:rPr>
          <w:rFonts w:cs="Calibri"/>
          <w:iCs w:val="0"/>
          <w:color w:val="auto"/>
        </w:rPr>
        <w:t>Time of Day (TOD)</w:t>
      </w:r>
      <w:r w:rsidR="004D4172">
        <w:rPr>
          <w:rFonts w:cs="Calibri"/>
          <w:iCs w:val="0"/>
          <w:color w:val="auto"/>
        </w:rPr>
        <w:t xml:space="preserve"> </w:t>
      </w:r>
    </w:p>
    <w:p w14:paraId="119EB546" w14:textId="1C622811" w:rsidR="003F7B9F" w:rsidRPr="00C1329C" w:rsidRDefault="003F7B9F" w:rsidP="00006E36">
      <w:pPr>
        <w:pStyle w:val="IndexText"/>
        <w:widowControl/>
        <w:numPr>
          <w:ilvl w:val="1"/>
          <w:numId w:val="37"/>
        </w:numPr>
        <w:adjustRightInd/>
        <w:spacing w:after="0" w:line="240" w:lineRule="auto"/>
        <w:ind w:left="1224"/>
        <w:jc w:val="left"/>
        <w:textAlignment w:val="auto"/>
        <w:rPr>
          <w:rFonts w:cs="Calibri"/>
          <w:iCs w:val="0"/>
          <w:color w:val="auto"/>
        </w:rPr>
      </w:pPr>
      <w:r w:rsidRPr="00C1329C">
        <w:rPr>
          <w:rFonts w:cs="Calibri"/>
          <w:iCs w:val="0"/>
          <w:color w:val="auto"/>
        </w:rPr>
        <w:t>Day of Week (DOW)</w:t>
      </w:r>
      <w:r w:rsidR="004D4172">
        <w:rPr>
          <w:rFonts w:cs="Calibri"/>
          <w:iCs w:val="0"/>
          <w:color w:val="auto"/>
        </w:rPr>
        <w:t xml:space="preserve"> </w:t>
      </w:r>
    </w:p>
    <w:p w14:paraId="109CFD5F" w14:textId="4F3AF9F4" w:rsidR="003F7B9F" w:rsidRPr="00C1329C" w:rsidRDefault="003F7B9F" w:rsidP="00006E36">
      <w:pPr>
        <w:pStyle w:val="IndexText"/>
        <w:widowControl/>
        <w:numPr>
          <w:ilvl w:val="1"/>
          <w:numId w:val="37"/>
        </w:numPr>
        <w:adjustRightInd/>
        <w:spacing w:after="0" w:line="240" w:lineRule="auto"/>
        <w:ind w:left="1224"/>
        <w:jc w:val="left"/>
        <w:textAlignment w:val="auto"/>
        <w:rPr>
          <w:rFonts w:cs="Calibri"/>
          <w:iCs w:val="0"/>
          <w:color w:val="auto"/>
        </w:rPr>
      </w:pPr>
      <w:r w:rsidRPr="00C1329C">
        <w:rPr>
          <w:rFonts w:cs="Calibri"/>
          <w:iCs w:val="0"/>
          <w:color w:val="auto"/>
        </w:rPr>
        <w:t>Month of the Year (MOY)</w:t>
      </w:r>
      <w:r w:rsidR="004D4172">
        <w:rPr>
          <w:rFonts w:cs="Calibri"/>
          <w:iCs w:val="0"/>
          <w:color w:val="auto"/>
        </w:rPr>
        <w:t xml:space="preserve"> </w:t>
      </w:r>
    </w:p>
    <w:p w14:paraId="71B0EF2A" w14:textId="5B7D9A7D" w:rsidR="003F7B9F" w:rsidRPr="00C1329C" w:rsidRDefault="003F7B9F" w:rsidP="00006E36">
      <w:pPr>
        <w:pStyle w:val="IndexText"/>
        <w:widowControl/>
        <w:numPr>
          <w:ilvl w:val="1"/>
          <w:numId w:val="37"/>
        </w:numPr>
        <w:adjustRightInd/>
        <w:spacing w:after="0" w:line="240" w:lineRule="auto"/>
        <w:ind w:left="1224"/>
        <w:jc w:val="left"/>
        <w:textAlignment w:val="auto"/>
        <w:rPr>
          <w:rFonts w:cs="Calibri"/>
          <w:iCs w:val="0"/>
          <w:color w:val="auto"/>
        </w:rPr>
      </w:pPr>
      <w:r w:rsidRPr="00C1329C">
        <w:rPr>
          <w:rFonts w:cs="Calibri"/>
          <w:iCs w:val="0"/>
          <w:color w:val="auto"/>
        </w:rPr>
        <w:t>Year to Year (YTY)</w:t>
      </w:r>
      <w:r w:rsidR="004D4172">
        <w:rPr>
          <w:rFonts w:cs="Calibri"/>
          <w:iCs w:val="0"/>
          <w:color w:val="auto"/>
        </w:rPr>
        <w:t xml:space="preserve"> </w:t>
      </w:r>
    </w:p>
    <w:p w14:paraId="2BD40D4E" w14:textId="77777777" w:rsidR="003F7B9F" w:rsidRPr="00C1329C" w:rsidRDefault="003F7B9F" w:rsidP="00006E36">
      <w:pPr>
        <w:pStyle w:val="IndexText"/>
        <w:widowControl/>
        <w:numPr>
          <w:ilvl w:val="1"/>
          <w:numId w:val="37"/>
        </w:numPr>
        <w:adjustRightInd/>
        <w:spacing w:after="0" w:line="240" w:lineRule="auto"/>
        <w:ind w:left="1224"/>
        <w:jc w:val="left"/>
        <w:textAlignment w:val="auto"/>
        <w:rPr>
          <w:rFonts w:cs="Calibri"/>
          <w:iCs w:val="0"/>
          <w:color w:val="auto"/>
        </w:rPr>
      </w:pPr>
      <w:r w:rsidRPr="00C1329C">
        <w:rPr>
          <w:rFonts w:cs="Calibri"/>
          <w:iCs w:val="0"/>
          <w:color w:val="auto"/>
        </w:rPr>
        <w:t xml:space="preserve">Factor Group Assignment </w:t>
      </w:r>
    </w:p>
    <w:p w14:paraId="010F244F" w14:textId="77777777" w:rsidR="003F7B9F" w:rsidRPr="00C1329C" w:rsidRDefault="003F7B9F" w:rsidP="00006E36">
      <w:pPr>
        <w:pStyle w:val="IndexText"/>
        <w:widowControl/>
        <w:numPr>
          <w:ilvl w:val="0"/>
          <w:numId w:val="37"/>
        </w:numPr>
        <w:adjustRightInd/>
        <w:spacing w:before="60" w:after="0" w:line="240" w:lineRule="auto"/>
        <w:ind w:left="648"/>
        <w:jc w:val="left"/>
        <w:textAlignment w:val="auto"/>
        <w:rPr>
          <w:rFonts w:cs="Calibri"/>
          <w:iCs w:val="0"/>
          <w:color w:val="auto"/>
        </w:rPr>
      </w:pPr>
      <w:r w:rsidRPr="00C1329C">
        <w:rPr>
          <w:rFonts w:cs="Calibri"/>
          <w:iCs w:val="0"/>
          <w:color w:val="auto"/>
        </w:rPr>
        <w:t>Establish Monthly Pattern Group</w:t>
      </w:r>
    </w:p>
    <w:p w14:paraId="3CF09C4D" w14:textId="77777777" w:rsidR="003F7B9F" w:rsidRPr="00C1329C" w:rsidRDefault="003F7B9F" w:rsidP="00006E36">
      <w:pPr>
        <w:pStyle w:val="IndexText"/>
        <w:widowControl/>
        <w:numPr>
          <w:ilvl w:val="1"/>
          <w:numId w:val="37"/>
        </w:numPr>
        <w:adjustRightInd/>
        <w:spacing w:after="0" w:line="240" w:lineRule="auto"/>
        <w:ind w:left="1224"/>
        <w:jc w:val="left"/>
        <w:textAlignment w:val="auto"/>
        <w:rPr>
          <w:rFonts w:cs="Calibri"/>
          <w:iCs w:val="0"/>
          <w:color w:val="auto"/>
        </w:rPr>
      </w:pPr>
      <w:r w:rsidRPr="00C1329C">
        <w:rPr>
          <w:rFonts w:cs="Calibri"/>
          <w:iCs w:val="0"/>
          <w:color w:val="auto"/>
        </w:rPr>
        <w:t>Traditional Approach</w:t>
      </w:r>
    </w:p>
    <w:p w14:paraId="75A91940" w14:textId="77777777" w:rsidR="003F7B9F" w:rsidRPr="00C1329C" w:rsidRDefault="003F7B9F" w:rsidP="00006E36">
      <w:pPr>
        <w:pStyle w:val="IndexText"/>
        <w:widowControl/>
        <w:numPr>
          <w:ilvl w:val="1"/>
          <w:numId w:val="37"/>
        </w:numPr>
        <w:adjustRightInd/>
        <w:spacing w:after="0" w:line="240" w:lineRule="auto"/>
        <w:ind w:left="1224"/>
        <w:jc w:val="left"/>
        <w:textAlignment w:val="auto"/>
        <w:rPr>
          <w:rFonts w:cs="Calibri"/>
          <w:iCs w:val="0"/>
          <w:color w:val="auto"/>
        </w:rPr>
      </w:pPr>
      <w:r w:rsidRPr="00C1329C">
        <w:rPr>
          <w:rFonts w:cs="Calibri"/>
          <w:iCs w:val="0"/>
          <w:color w:val="auto"/>
        </w:rPr>
        <w:t>Cluster Analysis</w:t>
      </w:r>
    </w:p>
    <w:p w14:paraId="733AAB67" w14:textId="77777777" w:rsidR="003F7B9F" w:rsidRPr="00C1329C" w:rsidRDefault="003F7B9F" w:rsidP="00006E36">
      <w:pPr>
        <w:pStyle w:val="IndexText"/>
        <w:widowControl/>
        <w:numPr>
          <w:ilvl w:val="1"/>
          <w:numId w:val="37"/>
        </w:numPr>
        <w:adjustRightInd/>
        <w:spacing w:after="0" w:line="240" w:lineRule="auto"/>
        <w:ind w:left="1224"/>
        <w:jc w:val="left"/>
        <w:textAlignment w:val="auto"/>
        <w:rPr>
          <w:rFonts w:cs="Calibri"/>
          <w:iCs w:val="0"/>
          <w:color w:val="auto"/>
        </w:rPr>
      </w:pPr>
      <w:r w:rsidRPr="00C1329C">
        <w:rPr>
          <w:rFonts w:cs="Calibri"/>
          <w:iCs w:val="0"/>
          <w:color w:val="auto"/>
        </w:rPr>
        <w:t>Volume Factor Groups or other agency specific factor patterns</w:t>
      </w:r>
    </w:p>
    <w:p w14:paraId="2CCE71B3" w14:textId="77777777" w:rsidR="003F7B9F" w:rsidRPr="00C1329C" w:rsidRDefault="003F7B9F" w:rsidP="00006E36">
      <w:pPr>
        <w:pStyle w:val="IndexText"/>
        <w:widowControl/>
        <w:numPr>
          <w:ilvl w:val="1"/>
          <w:numId w:val="37"/>
        </w:numPr>
        <w:adjustRightInd/>
        <w:spacing w:after="0" w:line="240" w:lineRule="auto"/>
        <w:ind w:left="1224"/>
        <w:jc w:val="left"/>
        <w:textAlignment w:val="auto"/>
        <w:rPr>
          <w:rFonts w:cs="Calibri"/>
          <w:iCs w:val="0"/>
          <w:color w:val="auto"/>
        </w:rPr>
      </w:pPr>
      <w:r w:rsidRPr="00C1329C">
        <w:rPr>
          <w:rFonts w:cs="Calibri"/>
          <w:iCs w:val="0"/>
          <w:color w:val="auto"/>
        </w:rPr>
        <w:t xml:space="preserve">Recreation Factor Groups </w:t>
      </w:r>
    </w:p>
    <w:p w14:paraId="06ECAD6F" w14:textId="77777777" w:rsidR="003F7B9F" w:rsidRPr="00C1329C" w:rsidRDefault="003F7B9F" w:rsidP="00006E36">
      <w:pPr>
        <w:pStyle w:val="IndexText"/>
        <w:widowControl/>
        <w:numPr>
          <w:ilvl w:val="0"/>
          <w:numId w:val="37"/>
        </w:numPr>
        <w:adjustRightInd/>
        <w:spacing w:before="60" w:after="0" w:line="240" w:lineRule="auto"/>
        <w:ind w:left="648"/>
        <w:jc w:val="left"/>
        <w:textAlignment w:val="auto"/>
        <w:rPr>
          <w:rFonts w:cs="Calibri"/>
          <w:iCs w:val="0"/>
          <w:color w:val="auto"/>
        </w:rPr>
      </w:pPr>
      <w:r w:rsidRPr="00C1329C">
        <w:rPr>
          <w:rFonts w:cs="Calibri"/>
          <w:iCs w:val="0"/>
          <w:color w:val="auto"/>
        </w:rPr>
        <w:t>Determine the Appropriate Number of Continuous Count Locations</w:t>
      </w:r>
    </w:p>
    <w:p w14:paraId="40C620CA" w14:textId="77777777" w:rsidR="003F7B9F" w:rsidRPr="00C1329C" w:rsidRDefault="003F7B9F" w:rsidP="00006E36">
      <w:pPr>
        <w:pStyle w:val="IndexText"/>
        <w:widowControl/>
        <w:numPr>
          <w:ilvl w:val="0"/>
          <w:numId w:val="37"/>
        </w:numPr>
        <w:adjustRightInd/>
        <w:spacing w:before="60" w:after="0" w:line="240" w:lineRule="auto"/>
        <w:ind w:left="648"/>
        <w:jc w:val="left"/>
        <w:textAlignment w:val="auto"/>
        <w:rPr>
          <w:rFonts w:cs="Calibri"/>
          <w:iCs w:val="0"/>
          <w:color w:val="auto"/>
        </w:rPr>
      </w:pPr>
      <w:r w:rsidRPr="00C1329C">
        <w:rPr>
          <w:rFonts w:cs="Calibri"/>
          <w:iCs w:val="0"/>
          <w:color w:val="auto"/>
        </w:rPr>
        <w:t>Select Specific Count Locations</w:t>
      </w:r>
      <w:r>
        <w:rPr>
          <w:rFonts w:cs="Calibri"/>
          <w:iCs w:val="0"/>
          <w:color w:val="auto"/>
        </w:rPr>
        <w:t xml:space="preserve"> (refer to Chapter 2 to assure that the selected technology or equipment would work in selected locations)</w:t>
      </w:r>
    </w:p>
    <w:p w14:paraId="0BE4B855" w14:textId="77777777" w:rsidR="003F7B9F" w:rsidRPr="00C1329C" w:rsidRDefault="003F7B9F" w:rsidP="00006E36">
      <w:pPr>
        <w:pStyle w:val="IndexText"/>
        <w:widowControl/>
        <w:numPr>
          <w:ilvl w:val="0"/>
          <w:numId w:val="37"/>
        </w:numPr>
        <w:adjustRightInd/>
        <w:spacing w:before="60" w:line="240" w:lineRule="auto"/>
        <w:ind w:left="648"/>
        <w:jc w:val="left"/>
        <w:textAlignment w:val="auto"/>
        <w:rPr>
          <w:rFonts w:cs="Calibri"/>
          <w:iCs w:val="0"/>
          <w:color w:val="auto"/>
        </w:rPr>
      </w:pPr>
      <w:r w:rsidRPr="00C1329C">
        <w:rPr>
          <w:rFonts w:cs="Calibri"/>
          <w:iCs w:val="0"/>
          <w:color w:val="auto"/>
        </w:rPr>
        <w:t>Compute Temporal and Axle Correction Factors</w:t>
      </w:r>
    </w:p>
    <w:p w14:paraId="34D4B7B0" w14:textId="3AE0AAF8" w:rsidR="003F7B9F" w:rsidRPr="00517F7A" w:rsidRDefault="003F7B9F">
      <w:pPr>
        <w:pStyle w:val="Heading4"/>
      </w:pPr>
      <w:bookmarkStart w:id="1599" w:name="_Toc45604629"/>
      <w:bookmarkStart w:id="1600" w:name="_Toc63977866"/>
      <w:bookmarkStart w:id="1601" w:name="_Toc63982617"/>
      <w:bookmarkStart w:id="1602" w:name="_Toc68190184"/>
      <w:bookmarkStart w:id="1603" w:name="_Toc118205612"/>
      <w:r w:rsidRPr="00517F7A">
        <w:t>Step 1: Review the Existing Continuous Count Program</w:t>
      </w:r>
      <w:bookmarkEnd w:id="1599"/>
      <w:bookmarkEnd w:id="1600"/>
      <w:bookmarkEnd w:id="1601"/>
      <w:bookmarkEnd w:id="1602"/>
      <w:bookmarkEnd w:id="1603"/>
    </w:p>
    <w:p w14:paraId="5F97AD0F" w14:textId="3A8E0DE8" w:rsidR="003F7B9F" w:rsidRPr="00EE7D22" w:rsidRDefault="003F7B9F" w:rsidP="00A35EAF">
      <w:pPr>
        <w:pStyle w:val="BodyText"/>
      </w:pPr>
      <w:r>
        <w:t xml:space="preserve">a. </w:t>
      </w:r>
      <w:r w:rsidRPr="00EE7D22">
        <w:t>Current Program – The first step is to define, analyze, and document the current continuous count program. A</w:t>
      </w:r>
      <w:r w:rsidR="00201910">
        <w:t> </w:t>
      </w:r>
      <w:r w:rsidRPr="00EE7D22">
        <w:t>clear understanding of the current program</w:t>
      </w:r>
      <w:r>
        <w:t>,</w:t>
      </w:r>
      <w:r w:rsidRPr="00EE7D22">
        <w:t xml:space="preserve"> </w:t>
      </w:r>
      <w:r>
        <w:t xml:space="preserve">its purpose, and customers </w:t>
      </w:r>
      <w:r w:rsidRPr="00EE7D22">
        <w:t xml:space="preserve">will increase confidence in later decisions to modify the program. The review should explore the historical design, procedures, equipment, personnel, objectives, and uses of the information. This review should start with an inventory of the continuously operating traffic data collection equipment available (this would include features, limitations, age, and repair/failure rates). It should then progress to determining how the data are being used, who is using </w:t>
      </w:r>
      <w:r w:rsidR="002F5663">
        <w:t>the data</w:t>
      </w:r>
      <w:r>
        <w:t xml:space="preserve">. </w:t>
      </w:r>
    </w:p>
    <w:p w14:paraId="58D6F549" w14:textId="580BC362" w:rsidR="003F7B9F" w:rsidRPr="00EE7D22" w:rsidRDefault="003F7B9F" w:rsidP="00A35EAF">
      <w:pPr>
        <w:pStyle w:val="BodyText"/>
      </w:pPr>
      <w:r>
        <w:t xml:space="preserve">b. </w:t>
      </w:r>
      <w:r w:rsidRPr="00EE7D22">
        <w:t xml:space="preserve">Traffic Patterns – Next, </w:t>
      </w:r>
      <w:r w:rsidRPr="00C1329C">
        <w:t xml:space="preserve">the available data </w:t>
      </w:r>
      <w:r w:rsidRPr="00EE7D22">
        <w:t>should be reviewed to determine</w:t>
      </w:r>
      <w:r>
        <w:t xml:space="preserve"> the different temporal</w:t>
      </w:r>
      <w:r w:rsidRPr="00EE7D22">
        <w:t xml:space="preserve"> traffic patterns that exist in the State and whether previous patterns have changed to establish whether the monitoring process should also change.</w:t>
      </w:r>
    </w:p>
    <w:p w14:paraId="498CCD62" w14:textId="50EB2217" w:rsidR="003F7B9F" w:rsidRPr="00EE7D22" w:rsidRDefault="003F7B9F" w:rsidP="00A35EAF">
      <w:pPr>
        <w:pStyle w:val="BodyText"/>
      </w:pPr>
      <w:r>
        <w:t xml:space="preserve">c. </w:t>
      </w:r>
      <w:r w:rsidRPr="00EE7D22">
        <w:t xml:space="preserve">Data Adjustment – The next step is to review how the data are being </w:t>
      </w:r>
      <w:r w:rsidRPr="00C1329C">
        <w:t xml:space="preserve">adjusted for data discontinuities, and </w:t>
      </w:r>
      <w:r w:rsidRPr="00EE7D22">
        <w:t xml:space="preserve">whether those data adjustment steps can be improved or made more efficient. Continuous traffic data are subject </w:t>
      </w:r>
      <w:r w:rsidRPr="00EE7D22">
        <w:lastRenderedPageBreak/>
        <w:t xml:space="preserve">to discontinuities because of </w:t>
      </w:r>
      <w:r>
        <w:t xml:space="preserve">various reason such </w:t>
      </w:r>
      <w:r w:rsidRPr="00EE7D22">
        <w:t xml:space="preserve">equipment malfunctions and </w:t>
      </w:r>
      <w:r>
        <w:t xml:space="preserve">sensor recording </w:t>
      </w:r>
      <w:r w:rsidRPr="00EE7D22">
        <w:t>errors. The way a State identifies and handles errors or anomalies (e.</w:t>
      </w:r>
      <w:r w:rsidR="002F5663">
        <w:t>g.</w:t>
      </w:r>
      <w:r w:rsidRPr="00EE7D22">
        <w:t xml:space="preserve">, due to weather, construction, special events) in the data stream is a key component of the program. Data adjustment should be made according to ASTM E27-59 Standard Practice for Highway Traffic Monitoring Truth-In-Data. Truth-in-data implies that agencies maintain a record of how data are </w:t>
      </w:r>
      <w:r>
        <w:t>collected</w:t>
      </w:r>
      <w:r w:rsidR="002F5663">
        <w:t xml:space="preserve"> and</w:t>
      </w:r>
      <w:r>
        <w:t xml:space="preserve"> </w:t>
      </w:r>
      <w:r w:rsidRPr="00EE7D22">
        <w:t xml:space="preserve">adjusted, and that each adjustment has </w:t>
      </w:r>
      <w:r>
        <w:t xml:space="preserve">undergone </w:t>
      </w:r>
      <w:r w:rsidRPr="00EE7D22">
        <w:t>a strong statistically rigorous analysis. The emphasis is on documenting the process and implementing the documented process.</w:t>
      </w:r>
    </w:p>
    <w:p w14:paraId="39AFF69A" w14:textId="565377E4" w:rsidR="003F7B9F" w:rsidRPr="00EE7D22" w:rsidRDefault="003F7B9F" w:rsidP="00A35EAF">
      <w:pPr>
        <w:pStyle w:val="BodyText"/>
      </w:pPr>
      <w:r>
        <w:t xml:space="preserve">d. </w:t>
      </w:r>
      <w:r w:rsidRPr="00EE7D22">
        <w:t xml:space="preserve">Quality Control – Of considerable interest in this review is how the quality of the data being collected and reported is maintained. Establishing the quality of the traffic data reported by the system and the outputs of the analysis process is a prerequisite for future improvements. Each State highway agency should have formal rules and </w:t>
      </w:r>
      <w:r>
        <w:t xml:space="preserve">documented </w:t>
      </w:r>
      <w:r w:rsidRPr="00EE7D22">
        <w:t>procedures for these important quality control efforts. Data should not be discarded or replaced simply because they appear atypical. Instead, each State should establish systematic procedures that provide the checks and balances needed to identify invalid data, control how those invalid data are handled in the analysis process</w:t>
      </w:r>
      <w:r w:rsidR="002F5663">
        <w:t>,</w:t>
      </w:r>
      <w:r w:rsidRPr="00EE7D22">
        <w:t xml:space="preserve"> and identify when those quality control steps have been performed. </w:t>
      </w:r>
    </w:p>
    <w:p w14:paraId="350F198C" w14:textId="4F32FB5B" w:rsidR="004D4D2F" w:rsidRDefault="003F7B9F" w:rsidP="00A35EAF">
      <w:pPr>
        <w:pStyle w:val="BodyText"/>
      </w:pPr>
      <w:r>
        <w:t xml:space="preserve">e. </w:t>
      </w:r>
      <w:bookmarkStart w:id="1604" w:name="_Hlk58501684"/>
      <w:r>
        <w:t>Periodically R</w:t>
      </w:r>
      <w:r w:rsidRPr="00EE7D22">
        <w:t xml:space="preserve">eview </w:t>
      </w:r>
      <w:bookmarkEnd w:id="1604"/>
      <w:r>
        <w:t>– T</w:t>
      </w:r>
      <w:r w:rsidRPr="00EE7D22">
        <w:t>he State highway agency should periodically review whether the</w:t>
      </w:r>
      <w:r>
        <w:t xml:space="preserve"> quality review and data summarization</w:t>
      </w:r>
      <w:r w:rsidRPr="00EE7D22">
        <w:t xml:space="preserve"> procedures are performed as intended or need to be revised. For States that currently do not have formal quality control procedures</w:t>
      </w:r>
      <w:r w:rsidRPr="00C70351">
        <w:t xml:space="preserve">, </w:t>
      </w:r>
      <w:r w:rsidRPr="004A6DE0">
        <w:t xml:space="preserve">Appendix </w:t>
      </w:r>
      <w:r w:rsidR="004A6DE0">
        <w:t>C</w:t>
      </w:r>
      <w:r w:rsidRPr="00C70351">
        <w:t xml:space="preserve"> provides</w:t>
      </w:r>
      <w:r w:rsidRPr="00EE7D22">
        <w:t xml:space="preserve"> several examples of how States use data quality control procedures.</w:t>
      </w:r>
    </w:p>
    <w:p w14:paraId="7F859C9A" w14:textId="5B2B583E" w:rsidR="004D4D2F" w:rsidRDefault="004D4D2F" w:rsidP="00A35EAF">
      <w:pPr>
        <w:pStyle w:val="BodyText"/>
      </w:pPr>
      <w:r>
        <w:t>f.</w:t>
      </w:r>
      <w:r w:rsidR="004D4172">
        <w:t xml:space="preserve"> </w:t>
      </w:r>
      <w:r w:rsidR="003F7B9F">
        <w:t xml:space="preserve">Summary Statistics – The last portion of the review process should entail the steps for creating summary statistics from the raw data collected by continuous counters. These procedures should be consistent from year to year, be replicable, and should accurately account for the limitations (such as gaps in data) that are often present in continuous count data. </w:t>
      </w:r>
    </w:p>
    <w:p w14:paraId="3E8F0FC5" w14:textId="7A977545" w:rsidR="003F7B9F" w:rsidRDefault="004D4D2F" w:rsidP="00A35EAF">
      <w:pPr>
        <w:pStyle w:val="BodyText"/>
      </w:pPr>
      <w:r>
        <w:t>g.</w:t>
      </w:r>
      <w:r w:rsidR="00892634">
        <w:t xml:space="preserve"> </w:t>
      </w:r>
      <w:r w:rsidR="003F7B9F">
        <w:t xml:space="preserve">Adjustment Factors – </w:t>
      </w:r>
      <w:r w:rsidR="003F7B9F" w:rsidRPr="00EE7D22">
        <w:t xml:space="preserve">The </w:t>
      </w:r>
      <w:r w:rsidR="003F7B9F">
        <w:t>review</w:t>
      </w:r>
      <w:r w:rsidR="003F7B9F" w:rsidRPr="00EE7D22">
        <w:t xml:space="preserve"> process should document how the continuous count program is being used to create and apply adjustment factors to </w:t>
      </w:r>
      <w:r w:rsidR="003F7B9F">
        <w:t>short-term</w:t>
      </w:r>
      <w:r w:rsidR="003F7B9F" w:rsidRPr="00EE7D22">
        <w:t xml:space="preserve"> traffic counts to estimate AADT, as well as which highway locations require continuous counters because of the importance of tracking volume with a high degree of confidence</w:t>
      </w:r>
      <w:r w:rsidR="003F7B9F">
        <w:t xml:space="preserve"> at those locations</w:t>
      </w:r>
      <w:r w:rsidR="003F7B9F" w:rsidRPr="00EE7D22">
        <w:t>.</w:t>
      </w:r>
      <w:r w:rsidR="003F7B9F">
        <w:t xml:space="preserve"> </w:t>
      </w:r>
      <w:r w:rsidR="003F7B9F" w:rsidRPr="00EE7D22">
        <w:t>The collection of continuous data to determine AADT should only be necessary at a limited number of locations.</w:t>
      </w:r>
    </w:p>
    <w:p w14:paraId="31C9E867" w14:textId="28E52A60" w:rsidR="003F7B9F" w:rsidRPr="00517F7A" w:rsidRDefault="003F7B9F">
      <w:pPr>
        <w:pStyle w:val="Heading4"/>
      </w:pPr>
      <w:bookmarkStart w:id="1605" w:name="_Toc45604630"/>
      <w:bookmarkStart w:id="1606" w:name="_Toc63977867"/>
      <w:bookmarkStart w:id="1607" w:name="_Toc63982618"/>
      <w:bookmarkStart w:id="1608" w:name="_Toc68190185"/>
      <w:bookmarkStart w:id="1609" w:name="_Toc118205613"/>
      <w:r w:rsidRPr="00517F7A">
        <w:t>Step 2: Develop an Inventory of the Available and Needed Continuous Count Locations and Equipment</w:t>
      </w:r>
      <w:bookmarkEnd w:id="1605"/>
      <w:bookmarkEnd w:id="1606"/>
      <w:bookmarkEnd w:id="1607"/>
      <w:bookmarkEnd w:id="1608"/>
      <w:bookmarkEnd w:id="1609"/>
    </w:p>
    <w:p w14:paraId="29E57CE1" w14:textId="5C07E66D" w:rsidR="003F7B9F" w:rsidRPr="00EE7D22" w:rsidRDefault="003F7B9F" w:rsidP="003B0722">
      <w:pPr>
        <w:pStyle w:val="BodyText"/>
      </w:pPr>
      <w:r>
        <w:t xml:space="preserve">a. </w:t>
      </w:r>
      <w:r w:rsidRPr="00EE7D22">
        <w:t xml:space="preserve">Existing Data Sources – The inventory of existing (and planned) continuous count sites ensures that the State’s traffic monitoring effort obtains all the continuous count data that </w:t>
      </w:r>
      <w:r w:rsidR="00DA4121">
        <w:t>are</w:t>
      </w:r>
      <w:r w:rsidR="00DA4121" w:rsidRPr="00EE7D22">
        <w:t xml:space="preserve"> </w:t>
      </w:r>
      <w:r w:rsidRPr="00EE7D22">
        <w:t xml:space="preserve">available. The key to the inventory process is for the agency to </w:t>
      </w:r>
      <w:r w:rsidRPr="003B0722">
        <w:t>identify</w:t>
      </w:r>
      <w:r w:rsidRPr="00EE7D22">
        <w:t xml:space="preserve"> not just the traditional continuous count sites but also other data collection devices that can supply continuous volume data. These secondary sites include, but are not limited to, the following:</w:t>
      </w:r>
    </w:p>
    <w:p w14:paraId="63F485D3" w14:textId="77777777" w:rsidR="003F7B9F" w:rsidRPr="00244862" w:rsidRDefault="003F7B9F">
      <w:pPr>
        <w:pStyle w:val="TMGBullet"/>
      </w:pPr>
      <w:r w:rsidRPr="00244862">
        <w:t>Continuous classification counters.</w:t>
      </w:r>
    </w:p>
    <w:p w14:paraId="36BED16F" w14:textId="77777777" w:rsidR="003F7B9F" w:rsidRPr="00244862" w:rsidRDefault="003F7B9F">
      <w:pPr>
        <w:pStyle w:val="TMGBullet"/>
      </w:pPr>
      <w:r w:rsidRPr="00244862">
        <w:t>Continuous weigh-in-motion sites.</w:t>
      </w:r>
    </w:p>
    <w:p w14:paraId="51756ABC" w14:textId="77777777" w:rsidR="003F7B9F" w:rsidRPr="00244862" w:rsidRDefault="003F7B9F">
      <w:pPr>
        <w:pStyle w:val="TMGBullet"/>
      </w:pPr>
      <w:r w:rsidRPr="00244862">
        <w:t>Travel and Traffic management systems sites such as ITS Ramp Metering</w:t>
      </w:r>
    </w:p>
    <w:p w14:paraId="208C9F37" w14:textId="77777777" w:rsidR="003F7B9F" w:rsidRPr="00244862" w:rsidRDefault="003F7B9F">
      <w:pPr>
        <w:pStyle w:val="TMGBullet"/>
      </w:pPr>
      <w:r w:rsidRPr="00244862">
        <w:t>Regulatory monitoring sites such as international border crossings and toll plazas.</w:t>
      </w:r>
    </w:p>
    <w:p w14:paraId="4DC4D08E" w14:textId="78E9614E" w:rsidR="003F7B9F" w:rsidRPr="00244862" w:rsidRDefault="003F7B9F">
      <w:pPr>
        <w:pStyle w:val="TMGBullet"/>
      </w:pPr>
      <w:r w:rsidRPr="00244862">
        <w:t xml:space="preserve">National Park Service </w:t>
      </w:r>
      <w:r w:rsidR="00DA4121">
        <w:t>c</w:t>
      </w:r>
      <w:r w:rsidRPr="00244862">
        <w:t>ounters.</w:t>
      </w:r>
    </w:p>
    <w:p w14:paraId="1281ADAF" w14:textId="2C46D75C" w:rsidR="003F7B9F" w:rsidRPr="00244862" w:rsidRDefault="003F7B9F">
      <w:pPr>
        <w:pStyle w:val="TMGBullet"/>
      </w:pPr>
      <w:r w:rsidRPr="00244862">
        <w:t>MPO, City, and Town count sites</w:t>
      </w:r>
      <w:r w:rsidR="00DA4121">
        <w:t>.</w:t>
      </w:r>
    </w:p>
    <w:p w14:paraId="13F0BABD" w14:textId="77777777" w:rsidR="003F7B9F" w:rsidRPr="00244862" w:rsidRDefault="003F7B9F">
      <w:pPr>
        <w:pStyle w:val="TMGBullet"/>
      </w:pPr>
      <w:r w:rsidRPr="00244862">
        <w:t>Signalized intersections and ramp metering sites.</w:t>
      </w:r>
    </w:p>
    <w:p w14:paraId="1538A5ED" w14:textId="77777777" w:rsidR="003F7B9F" w:rsidRPr="00EE7D22" w:rsidRDefault="003F7B9F" w:rsidP="00A35EAF">
      <w:pPr>
        <w:pStyle w:val="BodyText"/>
      </w:pPr>
      <w:r>
        <w:t xml:space="preserve">b. </w:t>
      </w:r>
      <w:r w:rsidRPr="00EE7D22">
        <w:t xml:space="preserve">Other Sources – Posing more challenges are devices operated by other divisions within the State highway agency. Obtaining these data </w:t>
      </w:r>
      <w:r>
        <w:t>requires</w:t>
      </w:r>
      <w:r w:rsidRPr="00EE7D22">
        <w:t xml:space="preserve"> internal cooperation within the agency. </w:t>
      </w:r>
      <w:r>
        <w:t>T</w:t>
      </w:r>
      <w:r w:rsidRPr="00EE7D22">
        <w:t>he current emphasis on improved cost-efficiency in government means that in most States there is strong upper management support for full utilization of data resources, wherever they exist. The key to taking advantage of this support is to make the transfer of the data as automated as possible, so that little or no staff time need be expended outside of the continuous count data collection group to obtain the data.</w:t>
      </w:r>
    </w:p>
    <w:p w14:paraId="39423097" w14:textId="1CEF91AB" w:rsidR="003F7B9F" w:rsidRPr="00C1329C" w:rsidRDefault="003F7B9F" w:rsidP="00A35EAF">
      <w:pPr>
        <w:pStyle w:val="BodyText"/>
      </w:pPr>
      <w:r w:rsidRPr="00EE7D22">
        <w:t>The State highway agency should also look for data outside of its own agency</w:t>
      </w:r>
      <w:r>
        <w:t xml:space="preserve"> (such examples are speed signs, toll facilities, ITS data sources, and other</w:t>
      </w:r>
      <w:r w:rsidR="009678FB">
        <w:t>s</w:t>
      </w:r>
      <w:r>
        <w:t>)</w:t>
      </w:r>
      <w:r w:rsidRPr="00EE7D22">
        <w:t>. While it may not be possible to obtain th</w:t>
      </w:r>
      <w:r>
        <w:t>is</w:t>
      </w:r>
      <w:r w:rsidRPr="00EE7D22">
        <w:t xml:space="preserve"> data at the level provided by standard continuous count devices </w:t>
      </w:r>
      <w:r w:rsidR="00DA4121">
        <w:t>(</w:t>
      </w:r>
      <w:r w:rsidRPr="00EE7D22">
        <w:t>i.e., hourly</w:t>
      </w:r>
      <w:r>
        <w:t xml:space="preserve"> or other time increment such as 5, 10, or 15 minute, etc.</w:t>
      </w:r>
      <w:r w:rsidR="009678FB">
        <w:t xml:space="preserve"> or</w:t>
      </w:r>
      <w:r w:rsidRPr="00EE7D22">
        <w:t xml:space="preserve"> records by lane for all days of the year), it is often possible to obtain useful summary statistics such as ADT and</w:t>
      </w:r>
      <w:r>
        <w:t xml:space="preserve"> </w:t>
      </w:r>
      <w:r w:rsidRPr="00C1329C">
        <w:t xml:space="preserve">weekly, </w:t>
      </w:r>
      <w:r w:rsidRPr="00C1329C">
        <w:lastRenderedPageBreak/>
        <w:t xml:space="preserve">monthly (seasonal) volume patterns from these locations. This summary data can be used to supplement the State's data at those locations and geographic areas. The accessibility of data from supplemental locations reduces the cost of collecting and increases access to useful data. Local data can also be provided to FHWA. To obtain this data, the State highway agency may have to acquire software that automatically collects and reports the data. The intent is to reduce the operating agency's staff time needed to collect and transmit the data. The easier this task is for the agency collecting the data, the more likely that the data can be obtained and integrated. </w:t>
      </w:r>
    </w:p>
    <w:p w14:paraId="3B4EF33D" w14:textId="77777777" w:rsidR="003F7B9F" w:rsidRPr="00615DC5" w:rsidRDefault="003F7B9F" w:rsidP="00A35EAF">
      <w:pPr>
        <w:pStyle w:val="BodyText"/>
      </w:pPr>
      <w:r w:rsidRPr="00C1329C">
        <w:t xml:space="preserve">c. Data Use – Several State DOTs find a data business plan to be a useful tool for documenting </w:t>
      </w:r>
      <w:r w:rsidRPr="00EE7D22">
        <w:t xml:space="preserve">the business needs for data and information. Data business plans help to document how data systems support current business operations, identify data gaps (i.e., where new data and information are needed to support current needs), and provide a structured plan for the development of enhanced data systems to meet future </w:t>
      </w:r>
      <w:r w:rsidRPr="00994F46">
        <w:t>needs and include life cycle costs to make best use of limited resources</w:t>
      </w:r>
      <w:r w:rsidRPr="00615DC5">
        <w:t xml:space="preserve">. </w:t>
      </w:r>
    </w:p>
    <w:p w14:paraId="5ED63197" w14:textId="1F7AD473" w:rsidR="003F7B9F" w:rsidRPr="00517F7A" w:rsidRDefault="003F7B9F">
      <w:pPr>
        <w:pStyle w:val="Heading4"/>
      </w:pPr>
      <w:bookmarkStart w:id="1610" w:name="_Toc45604631"/>
      <w:bookmarkStart w:id="1611" w:name="_Toc63977868"/>
      <w:bookmarkStart w:id="1612" w:name="_Toc63982619"/>
      <w:bookmarkStart w:id="1613" w:name="_Toc68190186"/>
      <w:bookmarkStart w:id="1614" w:name="_Toc118205614"/>
      <w:r w:rsidRPr="00517F7A">
        <w:t>Step 3: Determine the Traffic Patterns to Be Monitored</w:t>
      </w:r>
      <w:bookmarkEnd w:id="1610"/>
      <w:bookmarkEnd w:id="1611"/>
      <w:bookmarkEnd w:id="1612"/>
      <w:bookmarkEnd w:id="1613"/>
      <w:bookmarkEnd w:id="1614"/>
      <w:r w:rsidRPr="00517F7A">
        <w:t xml:space="preserve"> </w:t>
      </w:r>
    </w:p>
    <w:p w14:paraId="5A39642A" w14:textId="2D5B3FE8" w:rsidR="003F7B9F" w:rsidRPr="00EE7D22" w:rsidRDefault="003F7B9F" w:rsidP="00A35EAF">
      <w:pPr>
        <w:pStyle w:val="BodyText"/>
      </w:pPr>
      <w:r w:rsidRPr="00EE7D22">
        <w:t xml:space="preserve">One of the </w:t>
      </w:r>
      <w:r>
        <w:t xml:space="preserve">most important </w:t>
      </w:r>
      <w:r w:rsidRPr="00EE7D22">
        <w:t>tasks of the continuous count program is the monitoring of traffic volume trends</w:t>
      </w:r>
      <w:r w:rsidRPr="00C423E9">
        <w:t xml:space="preserve"> </w:t>
      </w:r>
      <w:r w:rsidRPr="00EE7D22">
        <w:t xml:space="preserve">and the tracking of </w:t>
      </w:r>
      <w:r>
        <w:t>temporal</w:t>
      </w:r>
      <w:r w:rsidRPr="00EE7D22">
        <w:t xml:space="preserve"> patterns around the State. </w:t>
      </w:r>
      <w:r>
        <w:t xml:space="preserve">Temporal patterns are used by the agencies to </w:t>
      </w:r>
      <w:r w:rsidRPr="00C1329C">
        <w:t xml:space="preserve">group </w:t>
      </w:r>
      <w:r>
        <w:t>continuous count sites</w:t>
      </w:r>
      <w:r w:rsidRPr="00C1329C">
        <w:t xml:space="preserve"> together for </w:t>
      </w:r>
      <w:r>
        <w:t>development of traffic volume adjustment factors</w:t>
      </w:r>
      <w:r w:rsidRPr="00C423E9">
        <w:t xml:space="preserve"> </w:t>
      </w:r>
      <w:r>
        <w:t>for</w:t>
      </w:r>
      <w:r w:rsidRPr="00C1329C">
        <w:t xml:space="preserve"> factor</w:t>
      </w:r>
      <w:r>
        <w:t>ing data from</w:t>
      </w:r>
      <w:r w:rsidRPr="00C1329C">
        <w:t xml:space="preserve"> short-term count sites</w:t>
      </w:r>
      <w:r>
        <w:t>.</w:t>
      </w:r>
      <w:r w:rsidRPr="00C1329C">
        <w:t xml:space="preserve"> </w:t>
      </w:r>
      <w:r w:rsidRPr="00EE7D22">
        <w:t>Foremost among these trends is the monitoring of AADT at specific highway locations</w:t>
      </w:r>
      <w:r>
        <w:t>.</w:t>
      </w:r>
      <w:r w:rsidRPr="00EE7D22">
        <w:t xml:space="preserve"> The</w:t>
      </w:r>
      <w:r w:rsidR="00533AE2">
        <w:t> </w:t>
      </w:r>
      <w:r>
        <w:t>FHWA</w:t>
      </w:r>
      <w:r w:rsidRPr="00EE7D22">
        <w:t xml:space="preserve"> Traffic Monitoring Analysis System (TMAS) is a good </w:t>
      </w:r>
      <w:r>
        <w:t>source of data</w:t>
      </w:r>
      <w:r w:rsidRPr="00EE7D22">
        <w:t xml:space="preserve"> to evaluate </w:t>
      </w:r>
      <w:r>
        <w:t xml:space="preserve">traffic </w:t>
      </w:r>
      <w:r w:rsidRPr="00EE7D22">
        <w:t xml:space="preserve">volume </w:t>
      </w:r>
      <w:r>
        <w:t>patterns</w:t>
      </w:r>
      <w:r w:rsidRPr="00EE7D22">
        <w:t xml:space="preserve"> over time</w:t>
      </w:r>
      <w:r>
        <w:t>, including the following patterns</w:t>
      </w:r>
      <w:r w:rsidRPr="00EE7D22">
        <w:t xml:space="preserve">. </w:t>
      </w:r>
    </w:p>
    <w:p w14:paraId="66C49831" w14:textId="17B44287" w:rsidR="003F7B9F" w:rsidRDefault="003F7B9F" w:rsidP="00533AE2">
      <w:pPr>
        <w:pStyle w:val="BodyText"/>
        <w:numPr>
          <w:ilvl w:val="1"/>
          <w:numId w:val="37"/>
        </w:numPr>
        <w:ind w:left="288" w:hanging="288"/>
      </w:pPr>
      <w:r w:rsidRPr="00A6031B">
        <w:t xml:space="preserve">Time Patterns – </w:t>
      </w:r>
      <w:r>
        <w:t>Time of Day (TOD), Day of Week</w:t>
      </w:r>
      <w:r w:rsidR="009678FB">
        <w:t xml:space="preserve"> </w:t>
      </w:r>
      <w:r>
        <w:t>(DOW),</w:t>
      </w:r>
      <w:r w:rsidRPr="00A6031B">
        <w:t xml:space="preserve"> Month</w:t>
      </w:r>
      <w:r>
        <w:t xml:space="preserve"> of Year (MOY),</w:t>
      </w:r>
      <w:r w:rsidRPr="00A6031B">
        <w:t xml:space="preserve"> </w:t>
      </w:r>
      <w:r>
        <w:t xml:space="preserve">and Year to Year (YTY) </w:t>
      </w:r>
      <w:r w:rsidRPr="00A6031B">
        <w:t xml:space="preserve">temporal and recurring event patterns are of great </w:t>
      </w:r>
      <w:r>
        <w:t>importance</w:t>
      </w:r>
      <w:r w:rsidRPr="00A6031B">
        <w:t xml:space="preserve"> in the refinement of the continuous count program, since the effectiveness of the factoring process (and consequently the accuracy of most AADT counts) is a function of the temporal patterns observed around the State. Understanding what patterns exist, how those patterns are distributed, and how they can be cost-effectively monitored is a major </w:t>
      </w:r>
      <w:r>
        <w:t>component</w:t>
      </w:r>
      <w:r w:rsidRPr="00A6031B">
        <w:t xml:space="preserve"> of the factor review process. Obtaining data from other sources (both volumes and speeds) and integrating the data with existing sources </w:t>
      </w:r>
      <w:r>
        <w:t>is</w:t>
      </w:r>
      <w:r w:rsidRPr="00A6031B">
        <w:t xml:space="preserve"> beneficial for monitoring traffic and congestion patterns for factoring.</w:t>
      </w:r>
    </w:p>
    <w:p w14:paraId="1F0F7016" w14:textId="7751A6D3" w:rsidR="003F7B9F" w:rsidRPr="00C70351" w:rsidRDefault="003F7B9F" w:rsidP="00533AE2">
      <w:pPr>
        <w:pStyle w:val="BodyText"/>
        <w:numPr>
          <w:ilvl w:val="1"/>
          <w:numId w:val="37"/>
        </w:numPr>
        <w:ind w:left="288" w:hanging="288"/>
      </w:pPr>
      <w:bookmarkStart w:id="1615" w:name="_Hlk45530279"/>
      <w:r w:rsidRPr="00C70351">
        <w:t>Time of Day Adjustments – Traffic volume variability by TOD is of great importance. TOD adjustment factors are needed to convert partial day counts to estimates of daily traffic, as well as for studies concerning roadway operations and to compute estimates of delay. FHWA research has shown that including partial day counts (for example more than 48 but less than 72) in the AADT process improves the AADT results.</w:t>
      </w:r>
      <w:r w:rsidR="004D4172">
        <w:t xml:space="preserve"> </w:t>
      </w:r>
    </w:p>
    <w:p w14:paraId="2E4BBF21" w14:textId="3F4472B3" w:rsidR="003F7B9F" w:rsidRDefault="003F7B9F" w:rsidP="00533AE2">
      <w:pPr>
        <w:pStyle w:val="BodyText"/>
        <w:numPr>
          <w:ilvl w:val="1"/>
          <w:numId w:val="37"/>
        </w:numPr>
        <w:ind w:left="288" w:hanging="288"/>
      </w:pPr>
      <w:r w:rsidRPr="00C70351">
        <w:t xml:space="preserve">Day of the Week distribution – Volume variation by DOW is related to site location (urban or rural) and the type of travel facility on which observations are made. </w:t>
      </w:r>
      <w:r>
        <w:t>Agencies would benefit from reviewing DOW traffic patterns to ensure homogenous traffic patterns exist for sites within the same factor group.</w:t>
      </w:r>
      <w:r w:rsidR="004D4172">
        <w:t xml:space="preserve"> </w:t>
      </w:r>
      <w:r w:rsidRPr="00C70351">
        <w:t xml:space="preserve">For more information, </w:t>
      </w:r>
      <w:bookmarkStart w:id="1616" w:name="_Hlk75951343"/>
      <w:r w:rsidRPr="004A6DE0">
        <w:t xml:space="preserve">see Appendix </w:t>
      </w:r>
      <w:r w:rsidR="004A6DE0" w:rsidRPr="004A6DE0">
        <w:t>J</w:t>
      </w:r>
      <w:r w:rsidR="00AE0EC4" w:rsidRPr="004A6DE0">
        <w:t xml:space="preserve"> </w:t>
      </w:r>
      <w:r w:rsidRPr="004A6DE0">
        <w:t>that</w:t>
      </w:r>
      <w:r w:rsidRPr="00C70351">
        <w:t xml:space="preserve"> provides typical DOW variation in travel volumes</w:t>
      </w:r>
      <w:r>
        <w:t xml:space="preserve">. </w:t>
      </w:r>
    </w:p>
    <w:bookmarkEnd w:id="1616"/>
    <w:p w14:paraId="2AF0253D" w14:textId="3FF10BA1" w:rsidR="003F7B9F" w:rsidRPr="00A6031B" w:rsidRDefault="003F7B9F" w:rsidP="00533AE2">
      <w:pPr>
        <w:pStyle w:val="BodyText"/>
        <w:numPr>
          <w:ilvl w:val="1"/>
          <w:numId w:val="37"/>
        </w:numPr>
        <w:ind w:left="288" w:hanging="288"/>
      </w:pPr>
      <w:r w:rsidRPr="00A6031B">
        <w:t xml:space="preserve">Monthly Factors – The goal of this review is to assess the degree of monthly variation </w:t>
      </w:r>
      <w:r>
        <w:t xml:space="preserve">in traffic volume </w:t>
      </w:r>
      <w:r w:rsidRPr="00A6031B">
        <w:t xml:space="preserve">that exists in the State, as measured by the existing continuous count data, and to examine the validity of the existing factor grouping procedures that produces the </w:t>
      </w:r>
      <w:r w:rsidRPr="00C1329C">
        <w:t xml:space="preserve">monthly factors. </w:t>
      </w:r>
      <w:r w:rsidRPr="009773FE">
        <w:t xml:space="preserve">The review consists of examining the monthly variation (attributed </w:t>
      </w:r>
      <w:r w:rsidRPr="00C1329C">
        <w:t>to month of the year or seasonality) in traffic volume at the existing continuous count locations, followed by a review of how roads are grouped into common patterns of variation. The goal of this review is to determine whether the State’s procedures successfully group roads with similar monthly patterns, and whether individual road segments can be correctly assigned to those groups.</w:t>
      </w:r>
      <w:r>
        <w:t xml:space="preserve"> </w:t>
      </w:r>
      <w:r w:rsidRPr="00A6031B">
        <w:t xml:space="preserve">The review of monthly patterns can be undertaken using one of </w:t>
      </w:r>
      <w:r w:rsidRPr="003B0722">
        <w:t>several</w:t>
      </w:r>
      <w:r w:rsidRPr="00A6031B">
        <w:t xml:space="preserve"> analytical tools:</w:t>
      </w:r>
    </w:p>
    <w:p w14:paraId="59D15D3D" w14:textId="77777777" w:rsidR="003F7B9F" w:rsidRPr="00A6031B" w:rsidRDefault="003F7B9F" w:rsidP="00533AE2">
      <w:pPr>
        <w:pStyle w:val="TMGBullet"/>
        <w:ind w:left="576"/>
      </w:pPr>
      <w:r w:rsidRPr="00A6031B">
        <w:t xml:space="preserve">Statistical cluster analysis (that can be performed using any one of several major statistical software packages such as SAS or SPSS) </w:t>
      </w:r>
    </w:p>
    <w:p w14:paraId="4FF2E352" w14:textId="77777777" w:rsidR="003F7B9F" w:rsidRDefault="003F7B9F" w:rsidP="00533AE2">
      <w:pPr>
        <w:pStyle w:val="TMGBullet"/>
        <w:ind w:left="576"/>
      </w:pPr>
      <w:r w:rsidRPr="00A6031B">
        <w:t>Graphical and spatial examination (that uses GIS tools) of seasonal</w:t>
      </w:r>
      <w:r>
        <w:t xml:space="preserve"> /</w:t>
      </w:r>
      <w:r w:rsidRPr="00A6031B">
        <w:t xml:space="preserve"> </w:t>
      </w:r>
      <w:r>
        <w:t>monthly</w:t>
      </w:r>
      <w:r w:rsidRPr="00A6031B">
        <w:t xml:space="preserve"> pattern data from individual sites.</w:t>
      </w:r>
    </w:p>
    <w:p w14:paraId="6EB09C01" w14:textId="33DCE1F7" w:rsidR="004D4D2F" w:rsidRDefault="003F7B9F" w:rsidP="00533AE2">
      <w:pPr>
        <w:pStyle w:val="BodyText"/>
        <w:ind w:left="288"/>
      </w:pPr>
      <w:bookmarkStart w:id="1617" w:name="_Hlk75951491"/>
      <w:r w:rsidRPr="00C1329C">
        <w:t xml:space="preserve">States use different methods and analytical tools when grouping sites. </w:t>
      </w:r>
      <w:r w:rsidRPr="004A6DE0">
        <w:t xml:space="preserve">Appendix </w:t>
      </w:r>
      <w:r w:rsidR="004A6DE0">
        <w:t>J</w:t>
      </w:r>
      <w:r w:rsidRPr="00911AE2">
        <w:t xml:space="preserve"> shows several different </w:t>
      </w:r>
      <w:r w:rsidR="001364EF">
        <w:t>S</w:t>
      </w:r>
      <w:r w:rsidRPr="00911AE2">
        <w:t>tate practices and their current methods for grouping sites. Another method of reviewing MOY patterns is to visually review data from plotted graphs</w:t>
      </w:r>
      <w:r w:rsidR="001364EF">
        <w:t>,</w:t>
      </w:r>
      <w:r w:rsidRPr="00911AE2">
        <w:t xml:space="preserve"> making it a simple and easy method to follow</w:t>
      </w:r>
      <w:r w:rsidRPr="00E01E8C">
        <w:t>.</w:t>
      </w:r>
      <w:r w:rsidR="004D4172">
        <w:t xml:space="preserve"> </w:t>
      </w:r>
      <w:r w:rsidR="004D4D2F" w:rsidRPr="00E01E8C">
        <w:t xml:space="preserve">An example of MOY Pattern by the DOW graphs is provided in Figure 3-1. </w:t>
      </w:r>
      <w:r w:rsidRPr="00E01E8C">
        <w:t>See</w:t>
      </w:r>
      <w:r w:rsidRPr="00911AE2">
        <w:t xml:space="preserve"> </w:t>
      </w:r>
      <w:r w:rsidRPr="004A6DE0">
        <w:t xml:space="preserve">Appendix </w:t>
      </w:r>
      <w:r w:rsidR="004A6DE0">
        <w:t>J</w:t>
      </w:r>
      <w:r w:rsidRPr="00911AE2">
        <w:t xml:space="preserve"> for graphing examples.</w:t>
      </w:r>
    </w:p>
    <w:p w14:paraId="6263C2C1" w14:textId="0878B8CE" w:rsidR="004D4D2F" w:rsidRDefault="004D4D2F" w:rsidP="00006E36">
      <w:pPr>
        <w:pStyle w:val="BodyText"/>
        <w:spacing w:after="0"/>
        <w:jc w:val="center"/>
      </w:pPr>
      <w:r>
        <w:rPr>
          <w:noProof/>
        </w:rPr>
        <w:lastRenderedPageBreak/>
        <w:drawing>
          <wp:inline distT="0" distB="0" distL="0" distR="0" wp14:anchorId="1A56696A" wp14:editId="4A9EB784">
            <wp:extent cx="4660265" cy="3730207"/>
            <wp:effectExtent l="0" t="0" r="6985" b="3810"/>
            <wp:docPr id="35841" name="Chart 35841" descr="Montana site 73 2019 month of year factors by day of week based on 1 for the average.  Each day of week is shown for every month of the year with the higher values for January thru April and also higher values for November and December.  Lower value factors are for the summer months of June through September.  Sunday is a circle symbol with a dashed line.  Monday is a solid line with triangle symbols.  Tuesday is a solid line with circle symbols.  Wednesday is a solid line with plus symbols.  Thursday is a solid line with square symbols.  Friday is solid line with X symbols.  Saturday is solid black line with square with white symbols.  ">
              <a:extLst xmlns:a="http://schemas.openxmlformats.org/drawingml/2006/main">
                <a:ext uri="{FF2B5EF4-FFF2-40B4-BE49-F238E27FC236}">
                  <a16:creationId xmlns:a16="http://schemas.microsoft.com/office/drawing/2014/main" id="{3D4FA886-FC3E-4B7A-A6CB-E40FAADBC4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14F40F49" w14:textId="55D9AACF" w:rsidR="00006E36" w:rsidRPr="00CD4266" w:rsidRDefault="00006E36" w:rsidP="00006E36">
      <w:pPr>
        <w:pStyle w:val="TMGFigureCaption"/>
      </w:pPr>
      <w:bookmarkStart w:id="1618" w:name="_Toc114474796"/>
      <w:bookmarkStart w:id="1619" w:name="_Toc120626571"/>
      <w:bookmarkEnd w:id="1617"/>
      <w:r w:rsidRPr="00CD4266">
        <w:t xml:space="preserve">Figure </w:t>
      </w:r>
      <w:r>
        <w:rPr>
          <w:noProof/>
        </w:rPr>
        <w:fldChar w:fldCharType="begin"/>
      </w:r>
      <w:r>
        <w:rPr>
          <w:noProof/>
        </w:rPr>
        <w:instrText xml:space="preserve"> STYLEREF 1 \s </w:instrText>
      </w:r>
      <w:r>
        <w:rPr>
          <w:noProof/>
        </w:rPr>
        <w:fldChar w:fldCharType="separate"/>
      </w:r>
      <w:r w:rsidR="00C07DF9">
        <w:rPr>
          <w:noProof/>
        </w:rPr>
        <w:t>3</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C07DF9">
        <w:rPr>
          <w:noProof/>
        </w:rPr>
        <w:t>1</w:t>
      </w:r>
      <w:r>
        <w:rPr>
          <w:noProof/>
        </w:rPr>
        <w:fldChar w:fldCharType="end"/>
      </w:r>
      <w:r w:rsidR="007F2D82">
        <w:rPr>
          <w:noProof/>
        </w:rPr>
        <w:t>.</w:t>
      </w:r>
      <w:r w:rsidRPr="00CD4266">
        <w:t xml:space="preserve"> Example </w:t>
      </w:r>
      <w:r w:rsidR="00AA759F">
        <w:t>o</w:t>
      </w:r>
      <w:r w:rsidRPr="00CD4266">
        <w:t xml:space="preserve">f Differences </w:t>
      </w:r>
      <w:r w:rsidR="007F2D82">
        <w:t>i</w:t>
      </w:r>
      <w:r w:rsidRPr="00CD4266">
        <w:t>n Monthly Travel Patterns</w:t>
      </w:r>
      <w:r w:rsidR="00AA759F">
        <w:br/>
        <w:t>B</w:t>
      </w:r>
      <w:r w:rsidRPr="00CD4266">
        <w:t xml:space="preserve">y </w:t>
      </w:r>
      <w:r w:rsidR="00593EA3">
        <w:t>Day of Week</w:t>
      </w:r>
      <w:r w:rsidRPr="00CD4266">
        <w:t xml:space="preserve"> </w:t>
      </w:r>
      <w:r w:rsidR="00E34EB1">
        <w:t>i</w:t>
      </w:r>
      <w:r w:rsidRPr="00CD4266">
        <w:t>n Montana</w:t>
      </w:r>
      <w:bookmarkEnd w:id="1618"/>
      <w:bookmarkEnd w:id="1619"/>
    </w:p>
    <w:p w14:paraId="2556268C" w14:textId="7C5DE55C" w:rsidR="003F7B9F" w:rsidRPr="00C70351" w:rsidRDefault="003F7B9F" w:rsidP="00533AE2">
      <w:pPr>
        <w:pStyle w:val="BodyText"/>
        <w:ind w:left="288"/>
      </w:pPr>
      <w:r w:rsidRPr="00C70351">
        <w:t>The review process begins by computing the monthly average daily traffic (MADT) (</w:t>
      </w:r>
      <w:r w:rsidRPr="009678FB">
        <w:t xml:space="preserve">see </w:t>
      </w:r>
      <w:r w:rsidR="009F6DFA">
        <w:t>S</w:t>
      </w:r>
      <w:r w:rsidRPr="009678FB">
        <w:t>ection 3.</w:t>
      </w:r>
      <w:r w:rsidR="003111E8" w:rsidRPr="009678FB">
        <w:t>1</w:t>
      </w:r>
      <w:r w:rsidRPr="009678FB">
        <w:t>.4.7</w:t>
      </w:r>
      <w:r w:rsidRPr="00C70351">
        <w:t xml:space="preserve">) and the monthly factors at each continuous count location. The monthly factors are then used as input to a computerized cluster analysis procedure. The patterns for individual sites can also be plotted electronically </w:t>
      </w:r>
      <w:r>
        <w:t xml:space="preserve">and printed </w:t>
      </w:r>
      <w:r w:rsidRPr="00C70351">
        <w:t xml:space="preserve">so that patterns from different sites can be overlaid to visually test for similarities and/or differences. If the groups of roads reported by the cluster analysis are similar to the groups of roads already in use, or if the visual patterns of all continuous counts in each factor group are similar, then it can be concluded that the factor groups are reasonably homogeneous. Specifically, all the continuous count sites that make up each factor group have the same or reasonably similar MOY pattern. </w:t>
      </w:r>
    </w:p>
    <w:p w14:paraId="75118B3E" w14:textId="18F941B2" w:rsidR="003F7B9F" w:rsidRDefault="003F7B9F" w:rsidP="00533AE2">
      <w:pPr>
        <w:pStyle w:val="BodyText"/>
        <w:ind w:left="288"/>
      </w:pPr>
      <w:r w:rsidRPr="00C70351">
        <w:t>The final factor groups are not necessary to be identical to the cluster analysis output for two reasons. For any given year, the cluster output is likely to be slightly different, as minor variations in travel</w:t>
      </w:r>
      <w:r w:rsidR="001364EF">
        <w:t>,</w:t>
      </w:r>
      <w:r w:rsidRPr="00C70351">
        <w:t xml:space="preserve"> and traffic patterns are likely to be reflected in minor changes in the cluster analysis output. </w:t>
      </w:r>
    </w:p>
    <w:p w14:paraId="3D17C72E" w14:textId="6F1C6C65" w:rsidR="003F7B9F" w:rsidRDefault="003F7B9F" w:rsidP="00533AE2">
      <w:pPr>
        <w:pStyle w:val="BodyText"/>
        <w:numPr>
          <w:ilvl w:val="1"/>
          <w:numId w:val="37"/>
        </w:numPr>
        <w:ind w:left="288" w:hanging="288"/>
      </w:pPr>
      <w:r>
        <w:t>Year to Year – Year</w:t>
      </w:r>
      <w:r w:rsidR="001364EF">
        <w:t>-</w:t>
      </w:r>
      <w:r>
        <w:t>to</w:t>
      </w:r>
      <w:r w:rsidR="001364EF">
        <w:t>-</w:t>
      </w:r>
      <w:r>
        <w:t>year comparisons of traffic volumes are also helpful to determine the traffic patterns to be monitored.</w:t>
      </w:r>
      <w:r w:rsidR="004D4172">
        <w:t xml:space="preserve"> </w:t>
      </w:r>
    </w:p>
    <w:bookmarkEnd w:id="1615"/>
    <w:p w14:paraId="23FE42C1" w14:textId="5293043A" w:rsidR="003F7B9F" w:rsidRDefault="003F7B9F" w:rsidP="00533AE2">
      <w:pPr>
        <w:pStyle w:val="BodyText"/>
        <w:numPr>
          <w:ilvl w:val="1"/>
          <w:numId w:val="37"/>
        </w:numPr>
        <w:ind w:left="288" w:hanging="288"/>
      </w:pPr>
      <w:r>
        <w:t xml:space="preserve">Factor Group Definition and </w:t>
      </w:r>
      <w:r w:rsidRPr="00A6031B">
        <w:t xml:space="preserve">Assignment </w:t>
      </w:r>
      <w:r>
        <w:t>–</w:t>
      </w:r>
      <w:r w:rsidRPr="00A6031B">
        <w:t xml:space="preserve"> The remaining review step is to make sure that the groups are defined by an easily identifiable characteristic </w:t>
      </w:r>
      <w:r>
        <w:t>(e.</w:t>
      </w:r>
      <w:r w:rsidR="009F6DFA">
        <w:t>g.</w:t>
      </w:r>
      <w:r>
        <w:t xml:space="preserve">, site attributes) </w:t>
      </w:r>
      <w:r w:rsidRPr="00A6031B">
        <w:t xml:space="preserve">that allows assignment of </w:t>
      </w:r>
      <w:r>
        <w:t>each</w:t>
      </w:r>
      <w:r w:rsidRPr="00A6031B">
        <w:t xml:space="preserve"> </w:t>
      </w:r>
      <w:r>
        <w:t>short-term</w:t>
      </w:r>
      <w:r w:rsidRPr="00A6031B">
        <w:t xml:space="preserve"> count</w:t>
      </w:r>
      <w:r>
        <w:t xml:space="preserve"> location</w:t>
      </w:r>
      <w:r w:rsidRPr="00A6031B">
        <w:t xml:space="preserve"> to a factor group. The definition of each group must be </w:t>
      </w:r>
      <w:r>
        <w:t xml:space="preserve">specific and unambiguous </w:t>
      </w:r>
      <w:r w:rsidRPr="00A6031B">
        <w:t>so that analysts can correctly select the appropriate factor for every applicable roadway section.</w:t>
      </w:r>
      <w:r>
        <w:t xml:space="preserve"> The groups should be defined is such a way that each </w:t>
      </w:r>
      <w:r w:rsidRPr="00A6031B">
        <w:t>roadway section</w:t>
      </w:r>
      <w:r>
        <w:t xml:space="preserve"> can be uniquely assigned to a factor group.</w:t>
      </w:r>
    </w:p>
    <w:p w14:paraId="4674551B" w14:textId="3934EC77" w:rsidR="00AA759F" w:rsidRDefault="00CE7A9F" w:rsidP="00A35EAF">
      <w:pPr>
        <w:pStyle w:val="BodyText"/>
      </w:pPr>
      <w:r>
        <w:t xml:space="preserve">For </w:t>
      </w:r>
      <w:r w:rsidR="009F6DFA">
        <w:t>m</w:t>
      </w:r>
      <w:r>
        <w:t xml:space="preserve">ore details about temporal patterns, see details provided in </w:t>
      </w:r>
      <w:r w:rsidRPr="009678FB">
        <w:t>Section 3.7.1</w:t>
      </w:r>
      <w:r>
        <w:t>.</w:t>
      </w:r>
    </w:p>
    <w:p w14:paraId="7F760A20" w14:textId="77777777" w:rsidR="00AA759F" w:rsidRDefault="00AA759F">
      <w:pPr>
        <w:widowControl/>
        <w:suppressAutoHyphens w:val="0"/>
        <w:autoSpaceDE/>
        <w:autoSpaceDN/>
        <w:adjustRightInd/>
        <w:spacing w:line="259" w:lineRule="auto"/>
        <w:jc w:val="left"/>
        <w:textAlignment w:val="auto"/>
        <w:rPr>
          <w:color w:val="auto"/>
        </w:rPr>
      </w:pPr>
      <w:r>
        <w:br w:type="page"/>
      </w:r>
    </w:p>
    <w:p w14:paraId="6C539910" w14:textId="4317FA05" w:rsidR="003F7B9F" w:rsidRPr="00006E36" w:rsidRDefault="003F7B9F" w:rsidP="00A35EAF">
      <w:pPr>
        <w:pStyle w:val="BodyText"/>
        <w:rPr>
          <w:rStyle w:val="Strong"/>
          <w:rFonts w:ascii="Cambria" w:hAnsi="Cambria"/>
        </w:rPr>
      </w:pPr>
      <w:bookmarkStart w:id="1620" w:name="_Hlk45872100"/>
      <w:r w:rsidRPr="00006E36">
        <w:rPr>
          <w:rStyle w:val="Strong"/>
          <w:rFonts w:ascii="Cambria" w:hAnsi="Cambria"/>
        </w:rPr>
        <w:lastRenderedPageBreak/>
        <w:t>Micromobility Traffic Pattern Identification</w:t>
      </w:r>
    </w:p>
    <w:p w14:paraId="5E23E86E" w14:textId="5D3A9C94" w:rsidR="003F7B9F" w:rsidRDefault="003F7B9F" w:rsidP="00A35EAF">
      <w:pPr>
        <w:pStyle w:val="BodyText"/>
      </w:pPr>
      <w:r w:rsidRPr="00C1329C">
        <w:t>Like motorized traffic patterns</w:t>
      </w:r>
      <w:r w:rsidR="00F75BE9">
        <w:t xml:space="preserve"> </w:t>
      </w:r>
      <w:r w:rsidRPr="00C1329C">
        <w:t xml:space="preserve">and micromobility data traffic patterns are observed and identified. </w:t>
      </w:r>
      <w:r>
        <w:t>Traffic data provide patterns that indicate what type of facility usage is currently used such as a facility that has mostly commuters versus recreational traffic.</w:t>
      </w:r>
      <w:r w:rsidR="004D4172">
        <w:t xml:space="preserve"> </w:t>
      </w:r>
      <w:r>
        <w:t xml:space="preserve">For more information, </w:t>
      </w:r>
      <w:r w:rsidRPr="00C70351">
        <w:t xml:space="preserve">see </w:t>
      </w:r>
      <w:r w:rsidRPr="004A6DE0">
        <w:t xml:space="preserve">Appendix </w:t>
      </w:r>
      <w:r w:rsidR="004A6DE0">
        <w:t>J</w:t>
      </w:r>
      <w:r w:rsidRPr="00C70351">
        <w:t xml:space="preserve"> that provides research findings, example traffic pattern identification graphs, and summarized analyses examples.</w:t>
      </w:r>
      <w:r>
        <w:t xml:space="preserve"> </w:t>
      </w:r>
    </w:p>
    <w:p w14:paraId="2298BA46" w14:textId="77777777" w:rsidR="003F7B9F" w:rsidRPr="009E21E4" w:rsidRDefault="003F7B9F" w:rsidP="00A119E0">
      <w:pPr>
        <w:pStyle w:val="CallOut"/>
        <w:rPr>
          <w:color w:val="0066FF"/>
        </w:rPr>
      </w:pPr>
      <w:bookmarkStart w:id="1621" w:name="_Hlk61955949"/>
      <w:r>
        <w:t xml:space="preserve">The </w:t>
      </w:r>
      <w:r w:rsidRPr="005E416B">
        <w:rPr>
          <w:i/>
          <w:iCs/>
        </w:rPr>
        <w:t>TMG</w:t>
      </w:r>
      <w:r>
        <w:t xml:space="preserve"> recommends that the division responsible for data collection help data users to track trends and prioritize investments in trail development, safety, and maintenance.</w:t>
      </w:r>
    </w:p>
    <w:p w14:paraId="19A0FA49" w14:textId="77777777" w:rsidR="003F7B9F" w:rsidRPr="00517F7A" w:rsidRDefault="003F7B9F">
      <w:pPr>
        <w:pStyle w:val="Heading4"/>
      </w:pPr>
      <w:bookmarkStart w:id="1622" w:name="_Toc45604632"/>
      <w:bookmarkStart w:id="1623" w:name="_Toc63977869"/>
      <w:bookmarkStart w:id="1624" w:name="_Toc63982620"/>
      <w:bookmarkStart w:id="1625" w:name="_Toc68190187"/>
      <w:bookmarkStart w:id="1626" w:name="_Toc118205615"/>
      <w:bookmarkEnd w:id="1620"/>
      <w:bookmarkEnd w:id="1621"/>
      <w:r w:rsidRPr="00517F7A">
        <w:t>Step 4: Establish Temporal Pattern Groups</w:t>
      </w:r>
      <w:bookmarkEnd w:id="1622"/>
      <w:bookmarkEnd w:id="1623"/>
      <w:bookmarkEnd w:id="1624"/>
      <w:bookmarkEnd w:id="1625"/>
      <w:bookmarkEnd w:id="1626"/>
    </w:p>
    <w:p w14:paraId="4FAE85A8" w14:textId="77777777" w:rsidR="003F7B9F" w:rsidRPr="00C1329C" w:rsidRDefault="003F7B9F" w:rsidP="00A35EAF">
      <w:pPr>
        <w:pStyle w:val="BodyText"/>
      </w:pPr>
      <w:r w:rsidRPr="00A6031B">
        <w:t xml:space="preserve">If the review of factor groups is not reasonably homogeneous, the definition of the groups is not clear, or new traffic patterns are emerging, it </w:t>
      </w:r>
      <w:r w:rsidRPr="00C1329C">
        <w:t xml:space="preserve">may be necessary to re-form the monthly factor groups. </w:t>
      </w:r>
    </w:p>
    <w:p w14:paraId="754A4E47" w14:textId="11B7BA4A" w:rsidR="003F7B9F" w:rsidRPr="00C1329C" w:rsidRDefault="003F7B9F" w:rsidP="00A35EAF">
      <w:pPr>
        <w:pStyle w:val="BodyText"/>
      </w:pPr>
      <w:r w:rsidRPr="00C1329C">
        <w:t xml:space="preserve">The basic statistic used to create </w:t>
      </w:r>
      <w:r>
        <w:t>t</w:t>
      </w:r>
      <w:r w:rsidRPr="00C1329C">
        <w:t>emporal traffic volume adjustment factor groups can be either the ratio of AADT to MADT, or the ratio of AADT to</w:t>
      </w:r>
      <w:r w:rsidR="00AE2B4F" w:rsidRPr="00AE2B4F">
        <w:t xml:space="preserve"> </w:t>
      </w:r>
      <w:r w:rsidR="00AE2B4F" w:rsidRPr="000D7942">
        <w:t>monthly average weekday traffic</w:t>
      </w:r>
      <w:r w:rsidRPr="00C1329C">
        <w:t xml:space="preserve"> </w:t>
      </w:r>
      <w:r w:rsidR="00AE2B4F">
        <w:t>(</w:t>
      </w:r>
      <w:r w:rsidRPr="00C1329C">
        <w:t>MAWDT</w:t>
      </w:r>
      <w:r w:rsidR="00AE2B4F">
        <w:t>)</w:t>
      </w:r>
      <w:r w:rsidRPr="00C1329C">
        <w:t xml:space="preserve">. In many States, there are </w:t>
      </w:r>
      <w:r>
        <w:t xml:space="preserve">unique </w:t>
      </w:r>
      <w:r w:rsidRPr="00C1329C">
        <w:t xml:space="preserve">patterns related to rural roads, urban roads, and recreational areas. However, in some States, significant geographic differences in travel need to be accounted for in the seasonal factoring process. For example, rural roads in the northern half of the State may have different travel patterns than rural roads in the southern half of the State due to the differences in land use, climate, or major industries located in these regions. In addition, for some States clear patterns have failed to emerge. </w:t>
      </w:r>
    </w:p>
    <w:p w14:paraId="3EA9E83D" w14:textId="64FB2817" w:rsidR="003F7B9F" w:rsidRPr="00C1329C" w:rsidRDefault="003F7B9F" w:rsidP="00A35EAF">
      <w:pPr>
        <w:pStyle w:val="BodyText"/>
      </w:pPr>
      <w:bookmarkStart w:id="1627" w:name="_Hlk78794269"/>
      <w:r w:rsidRPr="00C1329C">
        <w:t>The three prominent types of analysis to identify factor groups are described as follows.</w:t>
      </w:r>
      <w:r w:rsidR="004D4172">
        <w:t xml:space="preserve"> </w:t>
      </w:r>
      <w:bookmarkStart w:id="1628" w:name="_Hlk76053952"/>
      <w:r w:rsidRPr="00E01E8C">
        <w:t xml:space="preserve">FHWA research </w:t>
      </w:r>
      <w:r w:rsidR="00351122" w:rsidRPr="00E01E8C">
        <w:t>“AAD</w:t>
      </w:r>
      <w:r w:rsidR="009A69E5">
        <w:t>T</w:t>
      </w:r>
      <w:r w:rsidR="00351122" w:rsidRPr="00E01E8C">
        <w:t xml:space="preserve"> from ADT Duration and Frequency” </w:t>
      </w:r>
      <w:r w:rsidRPr="00E01E8C">
        <w:t>(</w:t>
      </w:r>
      <w:r w:rsidR="00351122" w:rsidRPr="00E01E8C">
        <w:t xml:space="preserve">FHWA </w:t>
      </w:r>
      <w:r w:rsidRPr="00E01E8C">
        <w:t>2014)</w:t>
      </w:r>
      <w:bookmarkEnd w:id="1628"/>
      <w:r w:rsidRPr="00C1329C">
        <w:t xml:space="preserve"> has found the clustering method to be the most accurate method of the three </w:t>
      </w:r>
      <w:r>
        <w:t>approaches</w:t>
      </w:r>
      <w:r w:rsidRPr="00C1329C">
        <w:t>.</w:t>
      </w:r>
    </w:p>
    <w:bookmarkEnd w:id="1627"/>
    <w:p w14:paraId="173F3C1D" w14:textId="3C4DD95B" w:rsidR="003F7B9F" w:rsidRPr="00A6031B" w:rsidRDefault="003F7B9F" w:rsidP="00533AE2">
      <w:pPr>
        <w:pStyle w:val="BodyText"/>
        <w:numPr>
          <w:ilvl w:val="1"/>
          <w:numId w:val="26"/>
        </w:numPr>
        <w:ind w:left="288" w:hanging="288"/>
      </w:pPr>
      <w:r w:rsidRPr="00A6031B">
        <w:t xml:space="preserve">Traditional Approach – The more subjective traditional approach to grouping roads and identifying like patterns is based on a general knowledge of the travel patterns for a given road system combined with visual interpretation of the monthly pattern graphs. The advantage of the traditional approach is that it allows the creation of groups that are easier for agency staff to identify and explain to users. This happens because the grouping process starts by defining road groups that </w:t>
      </w:r>
      <w:r w:rsidRPr="005906C8">
        <w:rPr>
          <w:i/>
        </w:rPr>
        <w:t>are expected</w:t>
      </w:r>
      <w:r w:rsidRPr="00A6031B">
        <w:t xml:space="preserve"> to behave similarly</w:t>
      </w:r>
      <w:r>
        <w:t xml:space="preserve"> based on some logic/rules defined by the analyst and utilizes known road descriptors.</w:t>
      </w:r>
      <w:r w:rsidRPr="00A6031B">
        <w:t xml:space="preserve"> The hypothesis is then tested by examining the variation of the seasonal patterns that occur within these expected groups. </w:t>
      </w:r>
    </w:p>
    <w:p w14:paraId="6FF1D0BE" w14:textId="77777777" w:rsidR="003F7B9F" w:rsidRPr="00AC3D40" w:rsidRDefault="003F7B9F" w:rsidP="00533AE2">
      <w:pPr>
        <w:pStyle w:val="BodyText"/>
        <w:ind w:left="288"/>
      </w:pPr>
      <w:r w:rsidRPr="00AC3D40">
        <w:t xml:space="preserve">For example, the initial groups of roads that behave similarly could consist of roads of the same functional classification, or a combination of functional classifications. The groups should be further modified by the State highway agency to account for the specific </w:t>
      </w:r>
      <w:r>
        <w:t xml:space="preserve">travel </w:t>
      </w:r>
      <w:r w:rsidRPr="00AC3D40">
        <w:t xml:space="preserve">characteristics </w:t>
      </w:r>
      <w:r>
        <w:t>within</w:t>
      </w:r>
      <w:r w:rsidRPr="00AC3D40">
        <w:t xml:space="preserve"> the State. Expected revisions include the creation of specific groups of roads that have travel patterns driven by large recreational activities, dominant business activities, or that exhibit strong regional differences. </w:t>
      </w:r>
    </w:p>
    <w:p w14:paraId="2AE1E94F" w14:textId="539F297A" w:rsidR="003F7B9F" w:rsidRPr="00A6031B" w:rsidRDefault="003F7B9F" w:rsidP="00533AE2">
      <w:pPr>
        <w:pStyle w:val="BodyText"/>
        <w:ind w:left="288"/>
      </w:pPr>
      <w:r w:rsidRPr="00AC3D40">
        <w:t>Deciding on the appropriate number of factor groups should be based on the actual data analysis results</w:t>
      </w:r>
      <w:r w:rsidR="00FF2ACF">
        <w:t>;</w:t>
      </w:r>
      <w:r w:rsidRPr="00AC3D40">
        <w:t xml:space="preserve"> the analyst’s knowledge of specific, relevant conditions</w:t>
      </w:r>
      <w:r w:rsidR="00FF2ACF">
        <w:t>;</w:t>
      </w:r>
      <w:r w:rsidRPr="00AC3D40">
        <w:t xml:space="preserve"> and the desired precision of the traffic estimates. As </w:t>
      </w:r>
      <w:r w:rsidRPr="00A6031B">
        <w:t xml:space="preserve">a general guideline, a minimum of </w:t>
      </w:r>
      <w:r>
        <w:t>five</w:t>
      </w:r>
      <w:r w:rsidRPr="00A6031B">
        <w:t xml:space="preserve"> to six groups is usually needed. More groups may be appropriate if </w:t>
      </w:r>
      <w:r>
        <w:t>multiple</w:t>
      </w:r>
      <w:r w:rsidRPr="00A6031B">
        <w:t xml:space="preserve"> recreational patterns need to be monitored or if significant regional differences exist.</w:t>
      </w:r>
    </w:p>
    <w:p w14:paraId="37C03EE9" w14:textId="2AB19FAF" w:rsidR="003F7B9F" w:rsidRPr="00A6031B" w:rsidRDefault="003F7B9F" w:rsidP="00533AE2">
      <w:pPr>
        <w:pStyle w:val="BodyText"/>
        <w:numPr>
          <w:ilvl w:val="1"/>
          <w:numId w:val="26"/>
        </w:numPr>
        <w:ind w:left="288" w:hanging="288"/>
      </w:pPr>
      <w:r w:rsidRPr="00A6031B">
        <w:t xml:space="preserve">Cluster Analysis – The cluster procedure is illustrated by an example </w:t>
      </w:r>
      <w:r w:rsidRPr="00C70351">
        <w:t xml:space="preserve">in </w:t>
      </w:r>
      <w:r w:rsidRPr="004A6DE0">
        <w:t xml:space="preserve">Appendix </w:t>
      </w:r>
      <w:r w:rsidR="004A6DE0" w:rsidRPr="004A6DE0">
        <w:t>E</w:t>
      </w:r>
      <w:r w:rsidRPr="004A6DE0">
        <w:t xml:space="preserve"> where</w:t>
      </w:r>
      <w:r w:rsidRPr="00A6031B">
        <w:t xml:space="preserve"> the monthly factors (ratio of AADT to MADT) at the continuous count stations are used as the basic input to the statistical procedure. An understanding of the computer software used for statistical clustering procedures is helpful but not required to interpret the software results. Two advantages of cluster analysis are that it allows for independent determination of similarity between groups, therefore making the groups less subject to bias, and identif</w:t>
      </w:r>
      <w:r>
        <w:t>ies</w:t>
      </w:r>
      <w:r w:rsidRPr="00A6031B">
        <w:t xml:space="preserve"> travel patterns that may not be intuitively obvious to the analyst. Accordingly, it helps agency staff investigate road groupings that might not otherwise be examined, which can lead to more efficient and accurate factor groups and provide new insights into the State’s travel patterns. </w:t>
      </w:r>
    </w:p>
    <w:p w14:paraId="653A47DC" w14:textId="1B7B857B" w:rsidR="003F7B9F" w:rsidRPr="003738C5" w:rsidRDefault="003F7B9F" w:rsidP="00533AE2">
      <w:pPr>
        <w:pStyle w:val="BodyText"/>
        <w:ind w:left="288"/>
      </w:pPr>
      <w:bookmarkStart w:id="1629" w:name="_Hlk58925246"/>
      <w:r w:rsidRPr="00A6031B">
        <w:t xml:space="preserve">The cluster analysis procedures have two weaknesses. One is the lack of </w:t>
      </w:r>
      <w:r>
        <w:t xml:space="preserve">uniformly agreed upon </w:t>
      </w:r>
      <w:r w:rsidRPr="00A6031B">
        <w:t>theoretical guidelines for establishing the optimal number of groups</w:t>
      </w:r>
      <w:r>
        <w:t xml:space="preserve">. While </w:t>
      </w:r>
      <w:r w:rsidR="00FF2ACF">
        <w:t xml:space="preserve">a </w:t>
      </w:r>
      <w:r>
        <w:t>mathematically calculated number of groups can be determined,</w:t>
      </w:r>
      <w:r w:rsidRPr="003738C5">
        <w:t xml:space="preserve"> the optimal number of groups required is hard to quantify</w:t>
      </w:r>
      <w:r>
        <w:t xml:space="preserve"> and optimi</w:t>
      </w:r>
      <w:r w:rsidR="009678FB">
        <w:t>z</w:t>
      </w:r>
      <w:r>
        <w:t xml:space="preserve">ation criteria are not </w:t>
      </w:r>
      <w:r>
        <w:lastRenderedPageBreak/>
        <w:t>well defined</w:t>
      </w:r>
      <w:r w:rsidRPr="003738C5">
        <w:t>.</w:t>
      </w:r>
      <w:r w:rsidRPr="00A6031B">
        <w:t xml:space="preserve"> The second weakness in the cluster analysis approach is that the groups that are formed often cannot be adequately defined in terms of common road attributes/characteristics that </w:t>
      </w:r>
      <w:r>
        <w:t xml:space="preserve">are </w:t>
      </w:r>
      <w:r w:rsidRPr="003738C5">
        <w:t xml:space="preserve">readily </w:t>
      </w:r>
      <w:r>
        <w:t xml:space="preserve">available to </w:t>
      </w:r>
      <w:r w:rsidRPr="003738C5">
        <w:t>identify the road segments and short</w:t>
      </w:r>
      <w:r w:rsidR="00D334AD">
        <w:t xml:space="preserve">-term </w:t>
      </w:r>
      <w:r w:rsidRPr="003738C5">
        <w:t xml:space="preserve">count locations that should be included in each of the resulting </w:t>
      </w:r>
      <w:r w:rsidR="00533AE2">
        <w:rPr>
          <w:noProof/>
        </w:rPr>
        <mc:AlternateContent>
          <mc:Choice Requires="wps">
            <w:drawing>
              <wp:anchor distT="45720" distB="45720" distL="114300" distR="114300" simplePos="0" relativeHeight="251703296" behindDoc="0" locked="0" layoutInCell="1" allowOverlap="1" wp14:anchorId="2AD2E011" wp14:editId="1635CB13">
                <wp:simplePos x="0" y="0"/>
                <wp:positionH relativeFrom="margin">
                  <wp:posOffset>3853180</wp:posOffset>
                </wp:positionH>
                <wp:positionV relativeFrom="paragraph">
                  <wp:posOffset>693420</wp:posOffset>
                </wp:positionV>
                <wp:extent cx="2101215" cy="1588770"/>
                <wp:effectExtent l="0" t="0" r="0" b="0"/>
                <wp:wrapSquare wrapText="bothSides"/>
                <wp:docPr id="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215" cy="1588770"/>
                        </a:xfrm>
                        <a:prstGeom prst="rect">
                          <a:avLst/>
                        </a:prstGeom>
                        <a:solidFill>
                          <a:srgbClr val="FFFFFF"/>
                        </a:solidFill>
                        <a:ln w="9525">
                          <a:noFill/>
                          <a:miter lim="800000"/>
                          <a:headEnd/>
                          <a:tailEnd/>
                        </a:ln>
                      </wps:spPr>
                      <wps:txbx>
                        <w:txbxContent>
                          <w:p w14:paraId="55B33188" w14:textId="58601225" w:rsidR="00843628" w:rsidRDefault="00843628" w:rsidP="00843628">
                            <w:pPr>
                              <w:pStyle w:val="TMGTableCaption"/>
                              <w:spacing w:before="0"/>
                            </w:pPr>
                            <w:bookmarkStart w:id="1630" w:name="_Ref114560190"/>
                            <w:bookmarkStart w:id="1631" w:name="_Toc68874109"/>
                            <w:bookmarkStart w:id="1632" w:name="_Toc114474821"/>
                            <w:bookmarkStart w:id="1633" w:name="_Toc120631127"/>
                            <w:bookmarkStart w:id="1634" w:name="_Hlk114560046"/>
                            <w:r>
                              <w:t xml:space="preserve">Table </w:t>
                            </w:r>
                            <w:fldSimple w:instr=" STYLEREF 1 \s ">
                              <w:r w:rsidR="00FC0E95">
                                <w:rPr>
                                  <w:noProof/>
                                </w:rPr>
                                <w:t>3</w:t>
                              </w:r>
                            </w:fldSimple>
                            <w:r>
                              <w:noBreakHyphen/>
                            </w:r>
                            <w:fldSimple w:instr=" SEQ Table \* ARABIC \s 1 ">
                              <w:r w:rsidR="00FC0E95">
                                <w:rPr>
                                  <w:noProof/>
                                </w:rPr>
                                <w:t>1</w:t>
                              </w:r>
                            </w:fldSimple>
                            <w:bookmarkEnd w:id="1630"/>
                            <w:r w:rsidR="00352273">
                              <w:rPr>
                                <w:noProof/>
                              </w:rPr>
                              <w:t>.</w:t>
                            </w:r>
                            <w:r>
                              <w:t xml:space="preserve"> </w:t>
                            </w:r>
                            <w:r w:rsidRPr="00025D33">
                              <w:t>Minimum Recommended Volume Factor</w:t>
                            </w:r>
                            <w:r>
                              <w:t> </w:t>
                            </w:r>
                            <w:r w:rsidRPr="00025D33">
                              <w:t>Groups</w:t>
                            </w:r>
                            <w:bookmarkEnd w:id="1631"/>
                            <w:bookmarkEnd w:id="1632"/>
                            <w:bookmarkEnd w:id="1633"/>
                          </w:p>
                          <w:tbl>
                            <w:tblPr>
                              <w:tblStyle w:val="TableGrid"/>
                              <w:tblW w:w="0" w:type="auto"/>
                              <w:tblCellMar>
                                <w:left w:w="86" w:type="dxa"/>
                                <w:right w:w="86" w:type="dxa"/>
                              </w:tblCellMar>
                              <w:tblLook w:val="04A0" w:firstRow="1" w:lastRow="0" w:firstColumn="1" w:lastColumn="0" w:noHBand="0" w:noVBand="1"/>
                            </w:tblPr>
                            <w:tblGrid>
                              <w:gridCol w:w="1620"/>
                              <w:gridCol w:w="1620"/>
                            </w:tblGrid>
                            <w:tr w:rsidR="00843628" w:rsidRPr="00843628" w14:paraId="72E86FB0" w14:textId="77777777" w:rsidTr="00AA759F">
                              <w:tc>
                                <w:tcPr>
                                  <w:tcW w:w="1620" w:type="dxa"/>
                                  <w:tcBorders>
                                    <w:right w:val="single" w:sz="4" w:space="0" w:color="FFFFFF" w:themeColor="background1"/>
                                  </w:tcBorders>
                                  <w:shd w:val="clear" w:color="auto" w:fill="1F3864"/>
                                  <w:vAlign w:val="center"/>
                                </w:tcPr>
                                <w:p w14:paraId="56801714" w14:textId="77777777" w:rsidR="00843628" w:rsidRPr="0017389B" w:rsidRDefault="00843628" w:rsidP="0017389B">
                                  <w:pPr>
                                    <w:pStyle w:val="TMGTableTextHeader"/>
                                  </w:pPr>
                                  <w:r w:rsidRPr="0017389B">
                                    <w:t>Recommended Group</w:t>
                                  </w:r>
                                </w:p>
                              </w:tc>
                              <w:tc>
                                <w:tcPr>
                                  <w:tcW w:w="1620" w:type="dxa"/>
                                  <w:tcBorders>
                                    <w:left w:val="single" w:sz="4" w:space="0" w:color="FFFFFF" w:themeColor="background1"/>
                                  </w:tcBorders>
                                  <w:shd w:val="clear" w:color="auto" w:fill="1F3864"/>
                                  <w:vAlign w:val="center"/>
                                </w:tcPr>
                                <w:p w14:paraId="0B0250F5" w14:textId="77777777" w:rsidR="00843628" w:rsidRPr="00843628" w:rsidRDefault="00843628" w:rsidP="0017389B">
                                  <w:pPr>
                                    <w:pStyle w:val="TMGTableTextHeader"/>
                                  </w:pPr>
                                  <w:r w:rsidRPr="00843628">
                                    <w:t>HPMS Functional Code</w:t>
                                  </w:r>
                                </w:p>
                              </w:tc>
                            </w:tr>
                            <w:tr w:rsidR="00843628" w:rsidRPr="00843628" w14:paraId="10E15A8C" w14:textId="77777777" w:rsidTr="00AA759F">
                              <w:tc>
                                <w:tcPr>
                                  <w:tcW w:w="1620" w:type="dxa"/>
                                  <w:vAlign w:val="center"/>
                                </w:tcPr>
                                <w:p w14:paraId="5A11A4FA" w14:textId="77777777" w:rsidR="00843628" w:rsidRPr="00DA464F" w:rsidRDefault="00843628" w:rsidP="00DA464F">
                                  <w:pPr>
                                    <w:ind w:left="0"/>
                                  </w:pPr>
                                  <w:r w:rsidRPr="00DA464F">
                                    <w:t>Interstate Rural</w:t>
                                  </w:r>
                                </w:p>
                              </w:tc>
                              <w:tc>
                                <w:tcPr>
                                  <w:tcW w:w="1620" w:type="dxa"/>
                                  <w:vAlign w:val="center"/>
                                </w:tcPr>
                                <w:p w14:paraId="71F2F657" w14:textId="77777777" w:rsidR="00843628" w:rsidRPr="00843628" w:rsidRDefault="00843628" w:rsidP="00DA464F">
                                  <w:pPr>
                                    <w:ind w:left="0"/>
                                  </w:pPr>
                                  <w:r w:rsidRPr="00843628">
                                    <w:t>1</w:t>
                                  </w:r>
                                </w:p>
                              </w:tc>
                            </w:tr>
                            <w:tr w:rsidR="00843628" w:rsidRPr="00843628" w14:paraId="1C145A8A" w14:textId="77777777" w:rsidTr="00DA464F">
                              <w:trPr>
                                <w:trHeight w:val="56"/>
                              </w:trPr>
                              <w:tc>
                                <w:tcPr>
                                  <w:tcW w:w="1620" w:type="dxa"/>
                                  <w:vAlign w:val="center"/>
                                </w:tcPr>
                                <w:p w14:paraId="305B78EA" w14:textId="77777777" w:rsidR="00843628" w:rsidRPr="00DA464F" w:rsidRDefault="00843628" w:rsidP="00DA464F">
                                  <w:pPr>
                                    <w:ind w:left="0"/>
                                  </w:pPr>
                                  <w:r w:rsidRPr="00DA464F">
                                    <w:t>Other Rural</w:t>
                                  </w:r>
                                </w:p>
                              </w:tc>
                              <w:tc>
                                <w:tcPr>
                                  <w:tcW w:w="1620" w:type="dxa"/>
                                  <w:vAlign w:val="center"/>
                                </w:tcPr>
                                <w:p w14:paraId="403A6A7F" w14:textId="77777777" w:rsidR="00843628" w:rsidRPr="00843628" w:rsidRDefault="00843628" w:rsidP="00DA464F">
                                  <w:pPr>
                                    <w:ind w:left="0"/>
                                  </w:pPr>
                                  <w:r w:rsidRPr="00843628">
                                    <w:t>2, 3, 4, 5, 6, 7</w:t>
                                  </w:r>
                                </w:p>
                              </w:tc>
                            </w:tr>
                            <w:tr w:rsidR="00843628" w:rsidRPr="00843628" w14:paraId="502D05EF" w14:textId="77777777" w:rsidTr="00AA759F">
                              <w:tc>
                                <w:tcPr>
                                  <w:tcW w:w="1620" w:type="dxa"/>
                                  <w:vAlign w:val="center"/>
                                </w:tcPr>
                                <w:p w14:paraId="53E20FC9" w14:textId="77777777" w:rsidR="00843628" w:rsidRPr="00DA464F" w:rsidRDefault="00843628" w:rsidP="00DA464F">
                                  <w:pPr>
                                    <w:ind w:left="0"/>
                                  </w:pPr>
                                  <w:r w:rsidRPr="00DA464F">
                                    <w:t>Interstate Urban</w:t>
                                  </w:r>
                                </w:p>
                              </w:tc>
                              <w:tc>
                                <w:tcPr>
                                  <w:tcW w:w="1620" w:type="dxa"/>
                                  <w:vAlign w:val="center"/>
                                </w:tcPr>
                                <w:p w14:paraId="22847FF1" w14:textId="77777777" w:rsidR="00843628" w:rsidRPr="00843628" w:rsidRDefault="00843628" w:rsidP="00DA464F">
                                  <w:pPr>
                                    <w:ind w:left="0"/>
                                  </w:pPr>
                                  <w:r w:rsidRPr="00843628">
                                    <w:t>1</w:t>
                                  </w:r>
                                </w:p>
                              </w:tc>
                            </w:tr>
                            <w:tr w:rsidR="00843628" w:rsidRPr="00843628" w14:paraId="0FB75834" w14:textId="77777777" w:rsidTr="00AA759F">
                              <w:tc>
                                <w:tcPr>
                                  <w:tcW w:w="1620" w:type="dxa"/>
                                  <w:vAlign w:val="center"/>
                                </w:tcPr>
                                <w:p w14:paraId="6A49834E" w14:textId="77777777" w:rsidR="00843628" w:rsidRPr="00843628" w:rsidRDefault="00843628" w:rsidP="00DA464F">
                                  <w:pPr>
                                    <w:ind w:left="0"/>
                                  </w:pPr>
                                  <w:r w:rsidRPr="00843628">
                                    <w:t>Other Urban</w:t>
                                  </w:r>
                                </w:p>
                              </w:tc>
                              <w:tc>
                                <w:tcPr>
                                  <w:tcW w:w="1620" w:type="dxa"/>
                                  <w:vAlign w:val="center"/>
                                </w:tcPr>
                                <w:p w14:paraId="213F2D3E" w14:textId="77777777" w:rsidR="00843628" w:rsidRPr="00843628" w:rsidRDefault="00843628" w:rsidP="00DA464F">
                                  <w:pPr>
                                    <w:ind w:left="0"/>
                                  </w:pPr>
                                  <w:r w:rsidRPr="00843628">
                                    <w:t>2, 3, 4, 5, 6, 7</w:t>
                                  </w:r>
                                </w:p>
                              </w:tc>
                            </w:tr>
                            <w:tr w:rsidR="00843628" w:rsidRPr="00843628" w14:paraId="4A7EF1D8" w14:textId="77777777" w:rsidTr="00AA759F">
                              <w:tc>
                                <w:tcPr>
                                  <w:tcW w:w="1620" w:type="dxa"/>
                                  <w:vAlign w:val="center"/>
                                </w:tcPr>
                                <w:p w14:paraId="07BF6A9B" w14:textId="77777777" w:rsidR="00843628" w:rsidRPr="00843628" w:rsidRDefault="00843628" w:rsidP="00DA464F">
                                  <w:pPr>
                                    <w:ind w:left="0"/>
                                  </w:pPr>
                                  <w:r w:rsidRPr="00843628">
                                    <w:t>Recreational</w:t>
                                  </w:r>
                                </w:p>
                              </w:tc>
                              <w:tc>
                                <w:tcPr>
                                  <w:tcW w:w="1620" w:type="dxa"/>
                                  <w:vAlign w:val="center"/>
                                </w:tcPr>
                                <w:p w14:paraId="55697A20" w14:textId="77777777" w:rsidR="00843628" w:rsidRPr="00843628" w:rsidRDefault="00843628" w:rsidP="00DA464F">
                                  <w:pPr>
                                    <w:ind w:left="0"/>
                                  </w:pPr>
                                  <w:r w:rsidRPr="00843628">
                                    <w:t>Any</w:t>
                                  </w:r>
                                </w:p>
                              </w:tc>
                            </w:tr>
                            <w:bookmarkEnd w:id="1634"/>
                          </w:tbl>
                          <w:p w14:paraId="11F5AC51" w14:textId="77777777" w:rsidR="00843628" w:rsidRDefault="00843628" w:rsidP="00843628"/>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AD2E011" id="_x0000_s1097" type="#_x0000_t202" style="position:absolute;left:0;text-align:left;margin-left:303.4pt;margin-top:54.6pt;width:165.45pt;height:125.1pt;z-index:251703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" stroked="f">
                <v:textbox inset="0,0,0,0">
                  <w:txbxContent>
                    <w:p w14:paraId="55B33188" w14:textId="58601225" w:rsidR="00843628" w:rsidRDefault="00843628" w:rsidP="00843628">
                      <w:pPr>
                        <w:pStyle w:val="TMGTableCaption"/>
                        <w:spacing w:before="0"/>
                      </w:pPr>
                      <w:bookmarkStart w:id="1635" w:name="_Ref114560190"/>
                      <w:bookmarkStart w:id="1636" w:name="_Toc68874109"/>
                      <w:bookmarkStart w:id="1637" w:name="_Toc114474821"/>
                      <w:bookmarkStart w:id="1638" w:name="_Toc120631127"/>
                      <w:bookmarkStart w:id="1639" w:name="_Hlk114560046"/>
                      <w:r>
                        <w:t xml:space="preserve">Table </w:t>
                      </w:r>
                      <w:fldSimple w:instr=" STYLEREF 1 \s ">
                        <w:r w:rsidR="00FC0E95">
                          <w:rPr>
                            <w:noProof/>
                          </w:rPr>
                          <w:t>3</w:t>
                        </w:r>
                      </w:fldSimple>
                      <w:r>
                        <w:noBreakHyphen/>
                      </w:r>
                      <w:fldSimple w:instr=" SEQ Table \* ARABIC \s 1 ">
                        <w:r w:rsidR="00FC0E95">
                          <w:rPr>
                            <w:noProof/>
                          </w:rPr>
                          <w:t>1</w:t>
                        </w:r>
                      </w:fldSimple>
                      <w:bookmarkEnd w:id="1635"/>
                      <w:r w:rsidR="00352273">
                        <w:rPr>
                          <w:noProof/>
                        </w:rPr>
                        <w:t>.</w:t>
                      </w:r>
                      <w:r>
                        <w:t xml:space="preserve"> </w:t>
                      </w:r>
                      <w:r w:rsidRPr="00025D33">
                        <w:t>Minimum Recommended Volume Factor</w:t>
                      </w:r>
                      <w:r>
                        <w:t> </w:t>
                      </w:r>
                      <w:r w:rsidRPr="00025D33">
                        <w:t>Groups</w:t>
                      </w:r>
                      <w:bookmarkEnd w:id="1636"/>
                      <w:bookmarkEnd w:id="1637"/>
                      <w:bookmarkEnd w:id="1638"/>
                    </w:p>
                    <w:tbl>
                      <w:tblPr>
                        <w:tblStyle w:val="TableGrid"/>
                        <w:tblW w:w="0" w:type="auto"/>
                        <w:tblCellMar>
                          <w:left w:w="86" w:type="dxa"/>
                          <w:right w:w="86" w:type="dxa"/>
                        </w:tblCellMar>
                        <w:tblLook w:val="04A0" w:firstRow="1" w:lastRow="0" w:firstColumn="1" w:lastColumn="0" w:noHBand="0" w:noVBand="1"/>
                      </w:tblPr>
                      <w:tblGrid>
                        <w:gridCol w:w="1620"/>
                        <w:gridCol w:w="1620"/>
                      </w:tblGrid>
                      <w:tr w:rsidR="00843628" w:rsidRPr="00843628" w14:paraId="72E86FB0" w14:textId="77777777" w:rsidTr="00AA759F">
                        <w:tc>
                          <w:tcPr>
                            <w:tcW w:w="1620" w:type="dxa"/>
                            <w:tcBorders>
                              <w:right w:val="single" w:sz="4" w:space="0" w:color="FFFFFF" w:themeColor="background1"/>
                            </w:tcBorders>
                            <w:shd w:val="clear" w:color="auto" w:fill="1F3864"/>
                            <w:vAlign w:val="center"/>
                          </w:tcPr>
                          <w:p w14:paraId="56801714" w14:textId="77777777" w:rsidR="00843628" w:rsidRPr="0017389B" w:rsidRDefault="00843628" w:rsidP="0017389B">
                            <w:pPr>
                              <w:pStyle w:val="TMGTableTextHeader"/>
                            </w:pPr>
                            <w:r w:rsidRPr="0017389B">
                              <w:t>Recommended Group</w:t>
                            </w:r>
                          </w:p>
                        </w:tc>
                        <w:tc>
                          <w:tcPr>
                            <w:tcW w:w="1620" w:type="dxa"/>
                            <w:tcBorders>
                              <w:left w:val="single" w:sz="4" w:space="0" w:color="FFFFFF" w:themeColor="background1"/>
                            </w:tcBorders>
                            <w:shd w:val="clear" w:color="auto" w:fill="1F3864"/>
                            <w:vAlign w:val="center"/>
                          </w:tcPr>
                          <w:p w14:paraId="0B0250F5" w14:textId="77777777" w:rsidR="00843628" w:rsidRPr="00843628" w:rsidRDefault="00843628" w:rsidP="0017389B">
                            <w:pPr>
                              <w:pStyle w:val="TMGTableTextHeader"/>
                            </w:pPr>
                            <w:r w:rsidRPr="00843628">
                              <w:t>HPMS Functional Code</w:t>
                            </w:r>
                          </w:p>
                        </w:tc>
                      </w:tr>
                      <w:tr w:rsidR="00843628" w:rsidRPr="00843628" w14:paraId="10E15A8C" w14:textId="77777777" w:rsidTr="00AA759F">
                        <w:tc>
                          <w:tcPr>
                            <w:tcW w:w="1620" w:type="dxa"/>
                            <w:vAlign w:val="center"/>
                          </w:tcPr>
                          <w:p w14:paraId="5A11A4FA" w14:textId="77777777" w:rsidR="00843628" w:rsidRPr="00DA464F" w:rsidRDefault="00843628" w:rsidP="00DA464F">
                            <w:pPr>
                              <w:ind w:left="0"/>
                            </w:pPr>
                            <w:r w:rsidRPr="00DA464F">
                              <w:t>Interstate Rural</w:t>
                            </w:r>
                          </w:p>
                        </w:tc>
                        <w:tc>
                          <w:tcPr>
                            <w:tcW w:w="1620" w:type="dxa"/>
                            <w:vAlign w:val="center"/>
                          </w:tcPr>
                          <w:p w14:paraId="71F2F657" w14:textId="77777777" w:rsidR="00843628" w:rsidRPr="00843628" w:rsidRDefault="00843628" w:rsidP="00DA464F">
                            <w:pPr>
                              <w:ind w:left="0"/>
                            </w:pPr>
                            <w:r w:rsidRPr="00843628">
                              <w:t>1</w:t>
                            </w:r>
                          </w:p>
                        </w:tc>
                      </w:tr>
                      <w:tr w:rsidR="00843628" w:rsidRPr="00843628" w14:paraId="1C145A8A" w14:textId="77777777" w:rsidTr="00DA464F">
                        <w:trPr>
                          <w:trHeight w:val="56"/>
                        </w:trPr>
                        <w:tc>
                          <w:tcPr>
                            <w:tcW w:w="1620" w:type="dxa"/>
                            <w:vAlign w:val="center"/>
                          </w:tcPr>
                          <w:p w14:paraId="305B78EA" w14:textId="77777777" w:rsidR="00843628" w:rsidRPr="00DA464F" w:rsidRDefault="00843628" w:rsidP="00DA464F">
                            <w:pPr>
                              <w:ind w:left="0"/>
                            </w:pPr>
                            <w:r w:rsidRPr="00DA464F">
                              <w:t>Other Rural</w:t>
                            </w:r>
                          </w:p>
                        </w:tc>
                        <w:tc>
                          <w:tcPr>
                            <w:tcW w:w="1620" w:type="dxa"/>
                            <w:vAlign w:val="center"/>
                          </w:tcPr>
                          <w:p w14:paraId="403A6A7F" w14:textId="77777777" w:rsidR="00843628" w:rsidRPr="00843628" w:rsidRDefault="00843628" w:rsidP="00DA464F">
                            <w:pPr>
                              <w:ind w:left="0"/>
                            </w:pPr>
                            <w:r w:rsidRPr="00843628">
                              <w:t>2, 3, 4, 5, 6, 7</w:t>
                            </w:r>
                          </w:p>
                        </w:tc>
                      </w:tr>
                      <w:tr w:rsidR="00843628" w:rsidRPr="00843628" w14:paraId="502D05EF" w14:textId="77777777" w:rsidTr="00AA759F">
                        <w:tc>
                          <w:tcPr>
                            <w:tcW w:w="1620" w:type="dxa"/>
                            <w:vAlign w:val="center"/>
                          </w:tcPr>
                          <w:p w14:paraId="53E20FC9" w14:textId="77777777" w:rsidR="00843628" w:rsidRPr="00DA464F" w:rsidRDefault="00843628" w:rsidP="00DA464F">
                            <w:pPr>
                              <w:ind w:left="0"/>
                            </w:pPr>
                            <w:r w:rsidRPr="00DA464F">
                              <w:t>Interstate Urban</w:t>
                            </w:r>
                          </w:p>
                        </w:tc>
                        <w:tc>
                          <w:tcPr>
                            <w:tcW w:w="1620" w:type="dxa"/>
                            <w:vAlign w:val="center"/>
                          </w:tcPr>
                          <w:p w14:paraId="22847FF1" w14:textId="77777777" w:rsidR="00843628" w:rsidRPr="00843628" w:rsidRDefault="00843628" w:rsidP="00DA464F">
                            <w:pPr>
                              <w:ind w:left="0"/>
                            </w:pPr>
                            <w:r w:rsidRPr="00843628">
                              <w:t>1</w:t>
                            </w:r>
                          </w:p>
                        </w:tc>
                      </w:tr>
                      <w:tr w:rsidR="00843628" w:rsidRPr="00843628" w14:paraId="0FB75834" w14:textId="77777777" w:rsidTr="00AA759F">
                        <w:tc>
                          <w:tcPr>
                            <w:tcW w:w="1620" w:type="dxa"/>
                            <w:vAlign w:val="center"/>
                          </w:tcPr>
                          <w:p w14:paraId="6A49834E" w14:textId="77777777" w:rsidR="00843628" w:rsidRPr="00843628" w:rsidRDefault="00843628" w:rsidP="00DA464F">
                            <w:pPr>
                              <w:ind w:left="0"/>
                            </w:pPr>
                            <w:r w:rsidRPr="00843628">
                              <w:t>Other Urban</w:t>
                            </w:r>
                          </w:p>
                        </w:tc>
                        <w:tc>
                          <w:tcPr>
                            <w:tcW w:w="1620" w:type="dxa"/>
                            <w:vAlign w:val="center"/>
                          </w:tcPr>
                          <w:p w14:paraId="213F2D3E" w14:textId="77777777" w:rsidR="00843628" w:rsidRPr="00843628" w:rsidRDefault="00843628" w:rsidP="00DA464F">
                            <w:pPr>
                              <w:ind w:left="0"/>
                            </w:pPr>
                            <w:r w:rsidRPr="00843628">
                              <w:t>2, 3, 4, 5, 6, 7</w:t>
                            </w:r>
                          </w:p>
                        </w:tc>
                      </w:tr>
                      <w:tr w:rsidR="00843628" w:rsidRPr="00843628" w14:paraId="4A7EF1D8" w14:textId="77777777" w:rsidTr="00AA759F">
                        <w:tc>
                          <w:tcPr>
                            <w:tcW w:w="1620" w:type="dxa"/>
                            <w:vAlign w:val="center"/>
                          </w:tcPr>
                          <w:p w14:paraId="07BF6A9B" w14:textId="77777777" w:rsidR="00843628" w:rsidRPr="00843628" w:rsidRDefault="00843628" w:rsidP="00DA464F">
                            <w:pPr>
                              <w:ind w:left="0"/>
                            </w:pPr>
                            <w:r w:rsidRPr="00843628">
                              <w:t>Recreational</w:t>
                            </w:r>
                          </w:p>
                        </w:tc>
                        <w:tc>
                          <w:tcPr>
                            <w:tcW w:w="1620" w:type="dxa"/>
                            <w:vAlign w:val="center"/>
                          </w:tcPr>
                          <w:p w14:paraId="55697A20" w14:textId="77777777" w:rsidR="00843628" w:rsidRPr="00843628" w:rsidRDefault="00843628" w:rsidP="00DA464F">
                            <w:pPr>
                              <w:ind w:left="0"/>
                            </w:pPr>
                            <w:r w:rsidRPr="00843628">
                              <w:t>Any</w:t>
                            </w:r>
                          </w:p>
                        </w:tc>
                      </w:tr>
                      <w:bookmarkEnd w:id="1639"/>
                    </w:tbl>
                    <w:p w14:paraId="11F5AC51" w14:textId="77777777" w:rsidR="00843628" w:rsidRDefault="00843628" w:rsidP="00843628"/>
                  </w:txbxContent>
                </v:textbox>
                <w10:wrap type="square" anchorx="margin"/>
              </v:shape>
            </w:pict>
          </mc:Fallback>
        </mc:AlternateContent>
      </w:r>
      <w:r w:rsidRPr="003738C5">
        <w:t xml:space="preserve">cluster groups. </w:t>
      </w:r>
    </w:p>
    <w:p w14:paraId="07E3AD40" w14:textId="2EF8D75B" w:rsidR="003F7B9F" w:rsidRDefault="003F7B9F" w:rsidP="00533AE2">
      <w:pPr>
        <w:pStyle w:val="BodyText"/>
        <w:numPr>
          <w:ilvl w:val="1"/>
          <w:numId w:val="26"/>
        </w:numPr>
        <w:ind w:left="288" w:hanging="288"/>
      </w:pPr>
      <w:bookmarkStart w:id="1640" w:name="_Hlk58502892"/>
      <w:bookmarkEnd w:id="1629"/>
      <w:r w:rsidRPr="00A6031B">
        <w:t>Volume Factor Groups</w:t>
      </w:r>
      <w:bookmarkEnd w:id="1640"/>
      <w:r>
        <w:t xml:space="preserve"> </w:t>
      </w:r>
      <w:r w:rsidRPr="00A6031B">
        <w:t xml:space="preserve">– </w:t>
      </w:r>
      <w:r>
        <w:t>B</w:t>
      </w:r>
      <w:r w:rsidRPr="00A6031B">
        <w:t xml:space="preserve">ecause of the importance and unique inter-regional nature of travel on the </w:t>
      </w:r>
      <w:r w:rsidRPr="00AC3D40">
        <w:t xml:space="preserve">interstate system, States should consider maintaining separate volume factor groups for the interstate functional </w:t>
      </w:r>
      <w:r>
        <w:t xml:space="preserve">road </w:t>
      </w:r>
      <w:r w:rsidRPr="00AC3D40">
        <w:t xml:space="preserve">categories. The interstate system will always be subject to higher data accuracy constraints because of its national emphasis and high usage levels. Most States maintain many continuous counts on the interstate system; therefore, separate interstate groups are easily created. </w:t>
      </w:r>
      <w:r>
        <w:t xml:space="preserve">An example of volume factor groups by aggregated interstate and non-interstate road categories is shown in </w:t>
      </w:r>
      <w:r w:rsidR="00843628">
        <w:fldChar w:fldCharType="begin"/>
      </w:r>
      <w:r w:rsidR="00843628">
        <w:instrText xml:space="preserve"> REF _Ref114560190 \h </w:instrText>
      </w:r>
      <w:r w:rsidR="00843628">
        <w:fldChar w:fldCharType="separate"/>
      </w:r>
      <w:r w:rsidR="00C07DF9">
        <w:t xml:space="preserve">Table </w:t>
      </w:r>
      <w:r w:rsidR="00C07DF9">
        <w:rPr>
          <w:noProof/>
        </w:rPr>
        <w:t>3</w:t>
      </w:r>
      <w:r w:rsidR="00C07DF9">
        <w:noBreakHyphen/>
      </w:r>
      <w:r w:rsidR="00C07DF9">
        <w:rPr>
          <w:noProof/>
        </w:rPr>
        <w:t>1</w:t>
      </w:r>
      <w:r w:rsidR="00843628">
        <w:fldChar w:fldCharType="end"/>
      </w:r>
      <w:r>
        <w:t xml:space="preserve">. </w:t>
      </w:r>
      <w:r w:rsidRPr="00F405C0">
        <w:t xml:space="preserve">The </w:t>
      </w:r>
      <w:r w:rsidRPr="009678FB">
        <w:rPr>
          <w:i/>
          <w:iCs/>
        </w:rPr>
        <w:t>TMG</w:t>
      </w:r>
      <w:r w:rsidRPr="00F405C0">
        <w:t xml:space="preserve"> recommends the</w:t>
      </w:r>
      <w:r>
        <w:t>se</w:t>
      </w:r>
      <w:r w:rsidRPr="00F405C0">
        <w:t xml:space="preserve"> groups </w:t>
      </w:r>
      <w:r>
        <w:t>to be used</w:t>
      </w:r>
      <w:r w:rsidRPr="00F405C0">
        <w:t xml:space="preserve"> as a minimum.</w:t>
      </w:r>
    </w:p>
    <w:p w14:paraId="45DECF98" w14:textId="166E1331" w:rsidR="003F7B9F" w:rsidRPr="00A6031B" w:rsidRDefault="003F7B9F" w:rsidP="00533AE2">
      <w:pPr>
        <w:pStyle w:val="BodyText"/>
        <w:ind w:left="288"/>
      </w:pPr>
      <w:r w:rsidRPr="00A6031B">
        <w:t>The first four groups are self-explanatory. The recreational group relies on subjective judgment and knowledge of the travel characteristics of the State. Usually, recreational patterns are identifiable from an examination of the continuous count data. The existence of a recreational pattern should be verified by knowledge of the specific locations and the presence of recreational travel generator</w:t>
      </w:r>
      <w:r>
        <w:t>(s)</w:t>
      </w:r>
      <w:r w:rsidRPr="00A6031B">
        <w:t>. A roadway is likely a recreational road when the difference between the ratio of the highest hourly volume to AADT and the ratio of the thirtieth highest hourly volume to AADT is greater than one</w:t>
      </w:r>
      <w:r w:rsidRPr="00FB396F">
        <w:t>. No single method exists for determining recreational patterns. A typical commuter pattern roadway can operate as a recreational pattern on weekends or a weekday depending on events, etc. The best way to determine trip purpose is to conduct intercept surveys.</w:t>
      </w:r>
      <w:r w:rsidRPr="00AC3D40">
        <w:t xml:space="preserve"> </w:t>
      </w:r>
      <w:r w:rsidRPr="00A6031B">
        <w:t>The minimum group specification can be expanded as desired by each State to account for regional variation or other concerns. However, more groups result in the need for more continuous count stations, with a corresponding increase in program cost and complexity. Each State highway agency will have to examine the trade-offs carefully between the need for more factor groups and the cost of operating additional continuous count stations.</w:t>
      </w:r>
    </w:p>
    <w:p w14:paraId="0FCED6C2" w14:textId="4A5CCE88" w:rsidR="003F7B9F" w:rsidRPr="00A6031B" w:rsidRDefault="003F7B9F" w:rsidP="00533AE2">
      <w:pPr>
        <w:pStyle w:val="BodyText"/>
        <w:numPr>
          <w:ilvl w:val="1"/>
          <w:numId w:val="26"/>
        </w:numPr>
        <w:ind w:left="288" w:hanging="288"/>
      </w:pPr>
      <w:r w:rsidRPr="00AC3D40">
        <w:t>Special Considerations for Recreational Roads – Distinct recreational patterns cannot be defined based only on functional class or area boundaries. Recreational patterns are obvious for roads at some locations but nonexistent for other, almost adjacent, road locations. The boundaries of the recreational groups should be defined based on subjective knowledge</w:t>
      </w:r>
      <w:r w:rsidRPr="00A6031B">
        <w:t>.</w:t>
      </w:r>
      <w:r w:rsidR="009678FB">
        <w:t xml:space="preserve"> </w:t>
      </w:r>
      <w:r w:rsidRPr="00A6031B">
        <w:t xml:space="preserve">The existence of different patterns, such as for summer and winter, further complicates </w:t>
      </w:r>
      <w:r>
        <w:t>the recreational factor group</w:t>
      </w:r>
      <w:r w:rsidRPr="00A6031B">
        <w:t>. Therefore, the recommendation is to use a strategic approach to determine subjectively the routes or general areas where a given recreational pattern is clearly identifiable, establish a set of locations, and subjectively allocate factors to short</w:t>
      </w:r>
      <w:r w:rsidR="00D334AD">
        <w:t>-term</w:t>
      </w:r>
      <w:r w:rsidRPr="00A6031B">
        <w:t xml:space="preserve"> counts based on the judgment and </w:t>
      </w:r>
      <w:r>
        <w:t xml:space="preserve">area </w:t>
      </w:r>
      <w:r w:rsidRPr="00A6031B">
        <w:t>knowledge of the analyst. The road segments where these recreational patterns have been assigned should be carefully documented so that these recreational factors can be accurately applied and periodically reviewed.</w:t>
      </w:r>
    </w:p>
    <w:p w14:paraId="0D119078" w14:textId="77777777" w:rsidR="003F7B9F" w:rsidRPr="00A6031B" w:rsidRDefault="003F7B9F" w:rsidP="00533AE2">
      <w:pPr>
        <w:pStyle w:val="BodyText"/>
        <w:ind w:left="288"/>
      </w:pPr>
      <w:r w:rsidRPr="00A6031B">
        <w:t>While this may appear to be a capitulation to ad hoc procedures, it is a realistic acknowledgement that statistical procedures are not directly applicable in all cases. However, recreational areas or patterns are usually confined to limited areas of the State and, in terms of total vehicle distance traveled (VDT), are small in most cases. The direct statistical approach will suffice for most cases.</w:t>
      </w:r>
    </w:p>
    <w:p w14:paraId="75E003B6" w14:textId="1FFD98D7" w:rsidR="003F7B9F" w:rsidRPr="00A6031B" w:rsidRDefault="003F7B9F" w:rsidP="00533AE2">
      <w:pPr>
        <w:pStyle w:val="BodyText"/>
        <w:ind w:left="288"/>
      </w:pPr>
      <w:r w:rsidRPr="00A6031B">
        <w:t>The procedure for recreational areas is then to define the areas or routes based on available data (as shown by the analysis of continuous and control data) and knowledge of the highway systems to subjectively determine which short</w:t>
      </w:r>
      <w:r w:rsidR="00D334AD">
        <w:t>-</w:t>
      </w:r>
      <w:r>
        <w:t xml:space="preserve">term </w:t>
      </w:r>
      <w:r w:rsidRPr="00A6031B">
        <w:t>counts will be factored by which continuous count (recreational) location</w:t>
      </w:r>
      <w:r>
        <w:t>(s)</w:t>
      </w:r>
      <w:r w:rsidRPr="00A6031B">
        <w:t>. The remaining short</w:t>
      </w:r>
      <w:r w:rsidR="00D334AD">
        <w:t>-term</w:t>
      </w:r>
      <w:r w:rsidRPr="00A6031B">
        <w:t xml:space="preserve"> counts should be assigned based on the groups defined by the State. </w:t>
      </w:r>
    </w:p>
    <w:p w14:paraId="2DFB5F32" w14:textId="0D5DFC82" w:rsidR="003F7B9F" w:rsidRPr="00AC3D40" w:rsidRDefault="003F7B9F" w:rsidP="00765EA0">
      <w:pPr>
        <w:pStyle w:val="BodyText"/>
      </w:pPr>
      <w:r w:rsidRPr="00AC3D40">
        <w:t xml:space="preserve">FHWA pooled fund study document </w:t>
      </w:r>
      <w:bookmarkStart w:id="1641" w:name="_Hlk76054057"/>
      <w:r w:rsidRPr="00E01E8C">
        <w:t>“</w:t>
      </w:r>
      <w:r w:rsidR="007E7F29" w:rsidRPr="007E7F29">
        <w:rPr>
          <w:i/>
          <w:iCs/>
        </w:rPr>
        <w:t>Assessing AADT Accuracy Issues Related to Short-Term Count Durations</w:t>
      </w:r>
      <w:bookmarkEnd w:id="1641"/>
      <w:r w:rsidRPr="00E01E8C">
        <w:t>”</w:t>
      </w:r>
      <w:r w:rsidR="00351122">
        <w:t xml:space="preserve"> (Krile 2015</w:t>
      </w:r>
      <w:r w:rsidR="000803B7">
        <w:t>b</w:t>
      </w:r>
      <w:r w:rsidR="00351122">
        <w:t>)</w:t>
      </w:r>
      <w:r w:rsidRPr="00AC3D40">
        <w:t xml:space="preserve"> provides the relative accuracy and precision associated with different durations of data collected (example 24 hours versus </w:t>
      </w:r>
      <w:r w:rsidR="000803B7">
        <w:t>48</w:t>
      </w:r>
      <w:r w:rsidRPr="00AC3D40">
        <w:t xml:space="preserve"> hours of data). This document also evaluates the impact of day of the week and month of the year for AADT estimation where evaluation results are presented for different factoring methods and different factor grouping methods.</w:t>
      </w:r>
    </w:p>
    <w:p w14:paraId="1F7FC13B" w14:textId="2E3BCC78" w:rsidR="00225223" w:rsidRDefault="006827F7" w:rsidP="00533AE2">
      <w:pPr>
        <w:pStyle w:val="BodyText"/>
      </w:pPr>
      <w:r>
        <w:lastRenderedPageBreak/>
        <w:fldChar w:fldCharType="begin"/>
      </w:r>
      <w:r>
        <w:instrText xml:space="preserve"> REF _Ref114749894 \h </w:instrText>
      </w:r>
      <w:r>
        <w:fldChar w:fldCharType="separate"/>
      </w:r>
      <w:r w:rsidR="00C07DF9" w:rsidRPr="00244862">
        <w:t xml:space="preserve">Table </w:t>
      </w:r>
      <w:r w:rsidR="00C07DF9">
        <w:rPr>
          <w:noProof/>
        </w:rPr>
        <w:t>3</w:t>
      </w:r>
      <w:r w:rsidR="00C07DF9">
        <w:noBreakHyphen/>
      </w:r>
      <w:r w:rsidR="00C07DF9">
        <w:rPr>
          <w:noProof/>
        </w:rPr>
        <w:t>2</w:t>
      </w:r>
      <w:r>
        <w:fldChar w:fldCharType="end"/>
      </w:r>
      <w:r w:rsidR="003F7B9F" w:rsidRPr="00AC3D40">
        <w:t> shows the advantages and disadvantages of different methodologies for development of monthly factor groups.</w:t>
      </w:r>
    </w:p>
    <w:p w14:paraId="7C9659CE" w14:textId="7F5E3A68" w:rsidR="00244862" w:rsidRDefault="00244862" w:rsidP="00843628">
      <w:pPr>
        <w:pStyle w:val="TMGTableCaption"/>
      </w:pPr>
      <w:bookmarkStart w:id="1642" w:name="_Ref114749894"/>
      <w:bookmarkStart w:id="1643" w:name="_Toc114474822"/>
      <w:bookmarkStart w:id="1644" w:name="_Toc120631128"/>
      <w:r w:rsidRPr="00244862">
        <w:t xml:space="preserve">Table </w:t>
      </w:r>
      <w:fldSimple w:instr=" STYLEREF 1 \s ">
        <w:r w:rsidR="00C07DF9">
          <w:rPr>
            <w:noProof/>
          </w:rPr>
          <w:t>3</w:t>
        </w:r>
      </w:fldSimple>
      <w:r w:rsidR="00FE5355">
        <w:noBreakHyphen/>
      </w:r>
      <w:fldSimple w:instr=" SEQ Table \* ARABIC \s 1 ">
        <w:r w:rsidR="00C07DF9">
          <w:rPr>
            <w:noProof/>
          </w:rPr>
          <w:t>2</w:t>
        </w:r>
      </w:fldSimple>
      <w:bookmarkEnd w:id="1642"/>
      <w:r w:rsidR="00E34EB1">
        <w:t>.</w:t>
      </w:r>
      <w:r w:rsidRPr="00244862">
        <w:t xml:space="preserve"> </w:t>
      </w:r>
      <w:r w:rsidR="00B70AF4" w:rsidRPr="00244862">
        <w:t xml:space="preserve">Advantages </w:t>
      </w:r>
      <w:r w:rsidR="00A82460">
        <w:t>a</w:t>
      </w:r>
      <w:r w:rsidR="00B70AF4" w:rsidRPr="00244862">
        <w:t xml:space="preserve">nd Disadvantages </w:t>
      </w:r>
      <w:r w:rsidR="00027185">
        <w:t>o</w:t>
      </w:r>
      <w:r w:rsidR="00B70AF4" w:rsidRPr="00244862">
        <w:t>f Monthly Pattern Group Types</w:t>
      </w:r>
      <w:bookmarkEnd w:id="1643"/>
      <w:bookmarkEnd w:id="1644"/>
    </w:p>
    <w:tbl>
      <w:tblPr>
        <w:tblStyle w:val="TableGrid"/>
        <w:tblW w:w="9360" w:type="dxa"/>
        <w:jc w:val="center"/>
        <w:tblCellMar>
          <w:left w:w="86" w:type="dxa"/>
          <w:right w:w="86" w:type="dxa"/>
        </w:tblCellMar>
        <w:tblLook w:val="04A0" w:firstRow="1" w:lastRow="0" w:firstColumn="1" w:lastColumn="0" w:noHBand="0" w:noVBand="1"/>
      </w:tblPr>
      <w:tblGrid>
        <w:gridCol w:w="1426"/>
        <w:gridCol w:w="4239"/>
        <w:gridCol w:w="3695"/>
      </w:tblGrid>
      <w:tr w:rsidR="00AA759F" w14:paraId="7EE04698" w14:textId="77777777" w:rsidTr="003B0722">
        <w:trPr>
          <w:jc w:val="center"/>
        </w:trPr>
        <w:tc>
          <w:tcPr>
            <w:tcW w:w="1426" w:type="dxa"/>
            <w:tcBorders>
              <w:right w:val="single" w:sz="4" w:space="0" w:color="FFFFFF" w:themeColor="background1"/>
            </w:tcBorders>
            <w:shd w:val="clear" w:color="auto" w:fill="1F3864"/>
            <w:vAlign w:val="center"/>
          </w:tcPr>
          <w:p w14:paraId="3CA77401" w14:textId="02F79C1B" w:rsidR="00225223" w:rsidRDefault="00225223" w:rsidP="0017389B">
            <w:pPr>
              <w:pStyle w:val="TMGTableTextHeader"/>
            </w:pPr>
            <w:r w:rsidRPr="00207990">
              <w:t>Type</w:t>
            </w:r>
          </w:p>
        </w:tc>
        <w:tc>
          <w:tcPr>
            <w:tcW w:w="4239" w:type="dxa"/>
            <w:tcBorders>
              <w:left w:val="single" w:sz="4" w:space="0" w:color="FFFFFF" w:themeColor="background1"/>
              <w:right w:val="single" w:sz="4" w:space="0" w:color="FFFFFF" w:themeColor="background1"/>
            </w:tcBorders>
            <w:shd w:val="clear" w:color="auto" w:fill="1F3864"/>
            <w:vAlign w:val="center"/>
          </w:tcPr>
          <w:p w14:paraId="7F1A1E34" w14:textId="702C6763" w:rsidR="00225223" w:rsidRDefault="00225223" w:rsidP="0017389B">
            <w:pPr>
              <w:pStyle w:val="TMGTableTextHeader"/>
            </w:pPr>
            <w:r w:rsidRPr="00207990">
              <w:t>Advantages</w:t>
            </w:r>
          </w:p>
        </w:tc>
        <w:tc>
          <w:tcPr>
            <w:tcW w:w="3695" w:type="dxa"/>
            <w:tcBorders>
              <w:left w:val="single" w:sz="4" w:space="0" w:color="FFFFFF" w:themeColor="background1"/>
            </w:tcBorders>
            <w:shd w:val="clear" w:color="auto" w:fill="1F3864"/>
            <w:vAlign w:val="center"/>
          </w:tcPr>
          <w:p w14:paraId="2805BAE9" w14:textId="728727EA" w:rsidR="00225223" w:rsidRDefault="00225223" w:rsidP="0017389B">
            <w:pPr>
              <w:pStyle w:val="TMGTableTextHeader"/>
            </w:pPr>
            <w:r w:rsidRPr="00207990">
              <w:t>Disadvantages</w:t>
            </w:r>
          </w:p>
        </w:tc>
      </w:tr>
      <w:tr w:rsidR="00225223" w14:paraId="0524275C" w14:textId="77777777" w:rsidTr="003B0722">
        <w:trPr>
          <w:jc w:val="center"/>
        </w:trPr>
        <w:tc>
          <w:tcPr>
            <w:tcW w:w="1426" w:type="dxa"/>
            <w:vAlign w:val="center"/>
          </w:tcPr>
          <w:p w14:paraId="7D014022" w14:textId="08AEA5ED" w:rsidR="00225223" w:rsidRPr="00917D58" w:rsidRDefault="00225223" w:rsidP="003B0722">
            <w:pPr>
              <w:pStyle w:val="TMGTableText"/>
            </w:pPr>
            <w:r w:rsidRPr="00917D58">
              <w:t>Traditional</w:t>
            </w:r>
          </w:p>
        </w:tc>
        <w:tc>
          <w:tcPr>
            <w:tcW w:w="4239" w:type="dxa"/>
            <w:vAlign w:val="center"/>
          </w:tcPr>
          <w:p w14:paraId="2F202C05" w14:textId="4F09BAB7" w:rsidR="00225223" w:rsidRPr="00B67204" w:rsidRDefault="00225223" w:rsidP="003B0722">
            <w:pPr>
              <w:pStyle w:val="TableBodyText"/>
              <w:numPr>
                <w:ilvl w:val="3"/>
                <w:numId w:val="26"/>
              </w:numPr>
              <w:spacing w:line="240" w:lineRule="auto"/>
              <w:ind w:left="216" w:hanging="216"/>
            </w:pPr>
            <w:r w:rsidRPr="00B67204">
              <w:t>Creation of groups is easier</w:t>
            </w:r>
          </w:p>
          <w:p w14:paraId="00459B21" w14:textId="77777777" w:rsidR="00225223" w:rsidRPr="00B67204" w:rsidRDefault="00225223" w:rsidP="003B0722">
            <w:pPr>
              <w:pStyle w:val="TableBodyText"/>
              <w:numPr>
                <w:ilvl w:val="3"/>
                <w:numId w:val="26"/>
              </w:numPr>
              <w:spacing w:line="240" w:lineRule="auto"/>
              <w:ind w:left="216" w:hanging="216"/>
            </w:pPr>
            <w:r w:rsidRPr="00B67204">
              <w:t>Application for factoring can be explained</w:t>
            </w:r>
          </w:p>
          <w:p w14:paraId="34064F90" w14:textId="095CF644" w:rsidR="00225223" w:rsidRDefault="00225223" w:rsidP="003B0722">
            <w:pPr>
              <w:pStyle w:val="TableBodyText"/>
              <w:numPr>
                <w:ilvl w:val="3"/>
                <w:numId w:val="26"/>
              </w:numPr>
              <w:spacing w:line="240" w:lineRule="auto"/>
              <w:ind w:left="216" w:hanging="216"/>
            </w:pPr>
            <w:r w:rsidRPr="00B67204">
              <w:t>Easier to assign short-term count to a group</w:t>
            </w:r>
          </w:p>
        </w:tc>
        <w:tc>
          <w:tcPr>
            <w:tcW w:w="3695" w:type="dxa"/>
            <w:vAlign w:val="center"/>
          </w:tcPr>
          <w:p w14:paraId="4E6047CD" w14:textId="3A23AE47" w:rsidR="00225223" w:rsidRDefault="00225223">
            <w:pPr>
              <w:pStyle w:val="TableBodyText"/>
              <w:numPr>
                <w:ilvl w:val="0"/>
                <w:numId w:val="101"/>
              </w:numPr>
              <w:spacing w:line="240" w:lineRule="auto"/>
              <w:ind w:left="216" w:hanging="216"/>
            </w:pPr>
            <w:r>
              <w:t>May not stand statistical scrutiny</w:t>
            </w:r>
          </w:p>
          <w:p w14:paraId="712720D9" w14:textId="71737371" w:rsidR="00225223" w:rsidRDefault="00225223">
            <w:pPr>
              <w:pStyle w:val="TableBodyText"/>
              <w:numPr>
                <w:ilvl w:val="0"/>
                <w:numId w:val="101"/>
              </w:numPr>
              <w:spacing w:line="240" w:lineRule="auto"/>
              <w:ind w:left="216" w:hanging="216"/>
            </w:pPr>
            <w:r>
              <w:t>Relies on local knowledge and analyst judgment, may be biased</w:t>
            </w:r>
          </w:p>
        </w:tc>
      </w:tr>
      <w:tr w:rsidR="00225223" w14:paraId="2F6FDEE4" w14:textId="77777777" w:rsidTr="003B0722">
        <w:trPr>
          <w:jc w:val="center"/>
        </w:trPr>
        <w:tc>
          <w:tcPr>
            <w:tcW w:w="1426" w:type="dxa"/>
            <w:vAlign w:val="center"/>
          </w:tcPr>
          <w:p w14:paraId="5706B815" w14:textId="3F0870C9" w:rsidR="00225223" w:rsidRPr="00917D58" w:rsidRDefault="00225223" w:rsidP="003B0722">
            <w:pPr>
              <w:pStyle w:val="TMGTableText"/>
            </w:pPr>
            <w:r w:rsidRPr="00917D58">
              <w:t>Cluster Analysis* (*FHWA Recommended Method)</w:t>
            </w:r>
          </w:p>
        </w:tc>
        <w:tc>
          <w:tcPr>
            <w:tcW w:w="4239" w:type="dxa"/>
            <w:vAlign w:val="center"/>
          </w:tcPr>
          <w:p w14:paraId="74E2261F" w14:textId="77777777" w:rsidR="00225223" w:rsidRDefault="00225223">
            <w:pPr>
              <w:pStyle w:val="TableBodyText"/>
              <w:numPr>
                <w:ilvl w:val="0"/>
                <w:numId w:val="102"/>
              </w:numPr>
              <w:spacing w:line="240" w:lineRule="auto"/>
              <w:ind w:left="216" w:hanging="216"/>
            </w:pPr>
            <w:r w:rsidRPr="00B67204">
              <w:t>Independent determination of similarity of groups without bias</w:t>
            </w:r>
          </w:p>
          <w:p w14:paraId="22DD696D" w14:textId="77777777" w:rsidR="00225223" w:rsidRPr="00B67204" w:rsidRDefault="00225223">
            <w:pPr>
              <w:pStyle w:val="TableBodyText"/>
              <w:numPr>
                <w:ilvl w:val="0"/>
                <w:numId w:val="102"/>
              </w:numPr>
              <w:spacing w:line="240" w:lineRule="auto"/>
              <w:ind w:left="216" w:hanging="216"/>
            </w:pPr>
            <w:r>
              <w:t xml:space="preserve">Traffic pattern can be found which may not be intuitively obvious </w:t>
            </w:r>
          </w:p>
          <w:p w14:paraId="37D0D84B" w14:textId="23223F4F" w:rsidR="00225223" w:rsidRDefault="00225223">
            <w:pPr>
              <w:pStyle w:val="TableBodyText"/>
              <w:numPr>
                <w:ilvl w:val="0"/>
                <w:numId w:val="102"/>
              </w:numPr>
              <w:spacing w:line="240" w:lineRule="auto"/>
              <w:ind w:left="216" w:hanging="216"/>
            </w:pPr>
            <w:r>
              <w:t>Efficient and accurate factor groups</w:t>
            </w:r>
          </w:p>
        </w:tc>
        <w:tc>
          <w:tcPr>
            <w:tcW w:w="3695" w:type="dxa"/>
            <w:vAlign w:val="center"/>
          </w:tcPr>
          <w:p w14:paraId="73E382D4" w14:textId="77777777" w:rsidR="00225223" w:rsidRPr="00B67204" w:rsidRDefault="00225223">
            <w:pPr>
              <w:pStyle w:val="TableBodyText"/>
              <w:numPr>
                <w:ilvl w:val="0"/>
                <w:numId w:val="103"/>
              </w:numPr>
              <w:spacing w:line="240" w:lineRule="auto"/>
              <w:ind w:left="216" w:hanging="216"/>
            </w:pPr>
            <w:r w:rsidRPr="00B67204">
              <w:t>Lack of guidelines for establishing optimal number of groups</w:t>
            </w:r>
          </w:p>
          <w:p w14:paraId="7A1EE3A4" w14:textId="77777777" w:rsidR="00225223" w:rsidRPr="00B67204" w:rsidRDefault="00225223">
            <w:pPr>
              <w:pStyle w:val="TableBodyText"/>
              <w:numPr>
                <w:ilvl w:val="0"/>
                <w:numId w:val="103"/>
              </w:numPr>
              <w:spacing w:line="240" w:lineRule="auto"/>
              <w:ind w:left="216" w:hanging="216"/>
            </w:pPr>
            <w:r w:rsidRPr="00B67204">
              <w:t>Groups that are formed often cannot be adequately defined</w:t>
            </w:r>
          </w:p>
          <w:p w14:paraId="620686D7" w14:textId="0E1008B0" w:rsidR="00225223" w:rsidRDefault="00225223">
            <w:pPr>
              <w:pStyle w:val="TableBodyText"/>
              <w:numPr>
                <w:ilvl w:val="0"/>
                <w:numId w:val="103"/>
              </w:numPr>
              <w:spacing w:line="240" w:lineRule="auto"/>
              <w:ind w:left="216" w:hanging="216"/>
            </w:pPr>
            <w:r w:rsidRPr="00B67204">
              <w:t>Difficult to assign short-term count to a group</w:t>
            </w:r>
          </w:p>
        </w:tc>
      </w:tr>
      <w:tr w:rsidR="00225223" w14:paraId="298B947B" w14:textId="77777777" w:rsidTr="003B0722">
        <w:trPr>
          <w:jc w:val="center"/>
        </w:trPr>
        <w:tc>
          <w:tcPr>
            <w:tcW w:w="1426" w:type="dxa"/>
            <w:vAlign w:val="center"/>
          </w:tcPr>
          <w:p w14:paraId="71C6A32C" w14:textId="1829F007" w:rsidR="00225223" w:rsidRPr="00917D58" w:rsidRDefault="00225223" w:rsidP="003B0722">
            <w:pPr>
              <w:pStyle w:val="TMGTableText"/>
            </w:pPr>
            <w:r w:rsidRPr="00917D58">
              <w:t xml:space="preserve">Volume Factor Group </w:t>
            </w:r>
          </w:p>
        </w:tc>
        <w:tc>
          <w:tcPr>
            <w:tcW w:w="4239" w:type="dxa"/>
            <w:vAlign w:val="center"/>
          </w:tcPr>
          <w:p w14:paraId="1BE9F6D7" w14:textId="77777777" w:rsidR="00225223" w:rsidRPr="00B67204" w:rsidRDefault="00225223">
            <w:pPr>
              <w:pStyle w:val="TableBodyText"/>
              <w:numPr>
                <w:ilvl w:val="0"/>
                <w:numId w:val="104"/>
              </w:numPr>
              <w:spacing w:line="240" w:lineRule="auto"/>
              <w:ind w:left="216" w:hanging="216"/>
            </w:pPr>
            <w:r w:rsidRPr="00B67204">
              <w:t>Consistent national framework for comparison among the State</w:t>
            </w:r>
            <w:r>
              <w:t>s</w:t>
            </w:r>
          </w:p>
          <w:p w14:paraId="79AF55B7" w14:textId="77777777" w:rsidR="00225223" w:rsidRPr="00B67204" w:rsidRDefault="00225223">
            <w:pPr>
              <w:pStyle w:val="TableBodyText"/>
              <w:numPr>
                <w:ilvl w:val="0"/>
                <w:numId w:val="104"/>
              </w:numPr>
              <w:spacing w:line="240" w:lineRule="auto"/>
              <w:ind w:left="216" w:hanging="216"/>
            </w:pPr>
            <w:r w:rsidRPr="00B67204">
              <w:t>The precision of the seasonal factors can be calculated</w:t>
            </w:r>
          </w:p>
          <w:p w14:paraId="6C6EC0B9" w14:textId="567855D9" w:rsidR="00225223" w:rsidRDefault="00225223">
            <w:pPr>
              <w:pStyle w:val="TableBodyText"/>
              <w:numPr>
                <w:ilvl w:val="0"/>
                <w:numId w:val="104"/>
              </w:numPr>
              <w:spacing w:line="240" w:lineRule="auto"/>
              <w:ind w:left="216" w:hanging="216"/>
            </w:pPr>
            <w:r w:rsidRPr="00B67204">
              <w:t>Easier to assign short-term count to a group</w:t>
            </w:r>
          </w:p>
        </w:tc>
        <w:tc>
          <w:tcPr>
            <w:tcW w:w="3695" w:type="dxa"/>
            <w:vAlign w:val="center"/>
          </w:tcPr>
          <w:p w14:paraId="61825626" w14:textId="77777777" w:rsidR="00225223" w:rsidRPr="00B67204" w:rsidRDefault="00225223">
            <w:pPr>
              <w:pStyle w:val="TableBodyText"/>
              <w:numPr>
                <w:ilvl w:val="0"/>
                <w:numId w:val="105"/>
              </w:numPr>
              <w:spacing w:line="240" w:lineRule="auto"/>
              <w:ind w:left="216" w:hanging="216"/>
            </w:pPr>
            <w:r w:rsidRPr="00B67204">
              <w:t>Functional or road classification may not be based on travel characteristics</w:t>
            </w:r>
          </w:p>
          <w:p w14:paraId="6FE46F37" w14:textId="602FD45B" w:rsidR="00225223" w:rsidRDefault="00225223">
            <w:pPr>
              <w:pStyle w:val="TableBodyText"/>
              <w:numPr>
                <w:ilvl w:val="0"/>
                <w:numId w:val="105"/>
              </w:numPr>
              <w:spacing w:line="240" w:lineRule="auto"/>
              <w:ind w:left="216" w:hanging="216"/>
            </w:pPr>
            <w:r w:rsidRPr="00B67204">
              <w:t xml:space="preserve">May not stand statistical scrutiny </w:t>
            </w:r>
          </w:p>
        </w:tc>
      </w:tr>
    </w:tbl>
    <w:p w14:paraId="0A81E1A3" w14:textId="7CD66D06" w:rsidR="003F7B9F" w:rsidRPr="00517F7A" w:rsidRDefault="003F7B9F">
      <w:pPr>
        <w:pStyle w:val="Heading4"/>
      </w:pPr>
      <w:bookmarkStart w:id="1645" w:name="_Toc45604633"/>
      <w:bookmarkStart w:id="1646" w:name="_Toc63977870"/>
      <w:bookmarkStart w:id="1647" w:name="_Toc63982621"/>
      <w:bookmarkStart w:id="1648" w:name="_Toc68190188"/>
      <w:bookmarkStart w:id="1649" w:name="_Toc118205616"/>
      <w:r w:rsidRPr="00517F7A">
        <w:t>Step 5: Determine Appropriate Number of Continuous Count Locations</w:t>
      </w:r>
      <w:bookmarkEnd w:id="1645"/>
      <w:bookmarkEnd w:id="1646"/>
      <w:bookmarkEnd w:id="1647"/>
      <w:bookmarkEnd w:id="1648"/>
      <w:bookmarkEnd w:id="1649"/>
    </w:p>
    <w:p w14:paraId="33B9CEA2" w14:textId="77777777" w:rsidR="003F7B9F" w:rsidRPr="007B0794" w:rsidRDefault="003F7B9F" w:rsidP="00A35EAF">
      <w:pPr>
        <w:pStyle w:val="BodyText"/>
        <w:rPr>
          <w:rFonts w:ascii="Cambria" w:hAnsi="Cambria"/>
          <w:i/>
          <w:iCs/>
          <w:sz w:val="22"/>
          <w:szCs w:val="22"/>
        </w:rPr>
      </w:pPr>
      <w:bookmarkStart w:id="1650" w:name="_Toc63977871"/>
      <w:r w:rsidRPr="007B0794">
        <w:rPr>
          <w:rFonts w:ascii="Cambria" w:hAnsi="Cambria"/>
          <w:i/>
          <w:iCs/>
          <w:sz w:val="22"/>
          <w:szCs w:val="22"/>
        </w:rPr>
        <w:t>Compute the Statistical Precision of the Factors</w:t>
      </w:r>
      <w:bookmarkEnd w:id="1650"/>
    </w:p>
    <w:p w14:paraId="7A38DAF7" w14:textId="77777777" w:rsidR="003F7B9F" w:rsidRDefault="003F7B9F" w:rsidP="00A35EAF">
      <w:pPr>
        <w:pStyle w:val="BodyText"/>
      </w:pPr>
      <w:r w:rsidRPr="00A6031B">
        <w:t xml:space="preserve">The precision of </w:t>
      </w:r>
      <w:r w:rsidRPr="00AC3D40">
        <w:t xml:space="preserve">the temporal factors </w:t>
      </w:r>
      <w:r w:rsidRPr="00A6031B">
        <w:t xml:space="preserve">can be computed by calculating the mean, standard deviation, and coefficient of variation of each adjustment factor for all continuous count locations within a group. </w:t>
      </w:r>
    </w:p>
    <w:p w14:paraId="723525D2" w14:textId="20FE57EF" w:rsidR="003F7B9F" w:rsidRDefault="003F7B9F" w:rsidP="00A35EAF">
      <w:pPr>
        <w:pStyle w:val="BodyText"/>
      </w:pPr>
      <w:r>
        <w:t xml:space="preserve">In some cases, the mean, standard deviation, and coefficient of variation do not work for the typical factor group listing because </w:t>
      </w:r>
      <w:r w:rsidR="00242F69">
        <w:t xml:space="preserve">the </w:t>
      </w:r>
      <w:r>
        <w:t xml:space="preserve">data do not fall within a normal statistical bell-shaped distribution and therefore other methods of computing the statistical precision need to be used to compute the factors. </w:t>
      </w:r>
    </w:p>
    <w:p w14:paraId="7BF8DF4C" w14:textId="0EE0154D" w:rsidR="003F7B9F" w:rsidRDefault="003F7B9F" w:rsidP="00A35EAF">
      <w:pPr>
        <w:pStyle w:val="BodyText"/>
      </w:pPr>
      <w:r w:rsidRPr="00A6031B">
        <w:t>The mean value for the group is the adjustment factor that should be applied to any short</w:t>
      </w:r>
      <w:r w:rsidR="00242F69">
        <w:t>-term</w:t>
      </w:r>
      <w:r w:rsidRPr="00A6031B">
        <w:t xml:space="preserve"> count taken on a road section in the group. The standard deviation and coefficient of variation of the factor describe its reliability. </w:t>
      </w:r>
      <w:r>
        <w:t>The c</w:t>
      </w:r>
      <w:r w:rsidRPr="00F04DF2">
        <w:t xml:space="preserve">oefficient of variation is a ratio of </w:t>
      </w:r>
      <w:r>
        <w:t xml:space="preserve">the </w:t>
      </w:r>
      <w:r w:rsidRPr="00F04DF2">
        <w:t>standard deviation to the mean value expressed in a percentile form.</w:t>
      </w:r>
      <w:r>
        <w:t xml:space="preserve"> </w:t>
      </w:r>
      <w:r w:rsidRPr="00A6031B">
        <w:t xml:space="preserve">The </w:t>
      </w:r>
      <w:r>
        <w:t xml:space="preserve">precision </w:t>
      </w:r>
      <w:r w:rsidRPr="00A6031B">
        <w:t xml:space="preserve">boundaries </w:t>
      </w:r>
      <w:r>
        <w:t xml:space="preserve">with respect to the </w:t>
      </w:r>
      <w:r w:rsidRPr="00A6031B">
        <w:t>error</w:t>
      </w:r>
      <w:r>
        <w:t xml:space="preserve"> in the mean value of the estimate </w:t>
      </w:r>
      <w:r w:rsidRPr="00A6031B">
        <w:t xml:space="preserve">can be expressed in percentage terms using the coefficient of variation, where the error boundaries for 95 percent of all locations are roughly twice the coefficient of variation. </w:t>
      </w:r>
    </w:p>
    <w:p w14:paraId="159B6A1D" w14:textId="3829824C" w:rsidR="003F7B9F" w:rsidRPr="00552891" w:rsidRDefault="00552891" w:rsidP="007B0794">
      <w:pPr>
        <w:rPr>
          <w:bCs/>
          <w:color w:val="auto"/>
        </w:rPr>
      </w:pPr>
      <m:oMathPara>
        <m:oMath>
          <m:r>
            <w:rPr>
              <w:rFonts w:ascii="Cambria Math" w:hAnsi="Cambria Math"/>
              <w:color w:val="auto"/>
            </w:rPr>
            <m:t>COV= 100</m:t>
          </m:r>
          <m:f>
            <m:fPr>
              <m:ctrlPr>
                <w:rPr>
                  <w:rFonts w:ascii="Cambria Math" w:hAnsi="Cambria Math"/>
                  <w:bCs/>
                  <w:i/>
                  <w:smallCaps/>
                  <w:color w:val="auto"/>
                </w:rPr>
              </m:ctrlPr>
            </m:fPr>
            <m:num>
              <m:r>
                <w:rPr>
                  <w:rFonts w:ascii="Cambria Math" w:hAnsi="Cambria Math"/>
                  <w:color w:val="auto"/>
                </w:rPr>
                <m:t>s</m:t>
              </m:r>
            </m:num>
            <m:den>
              <m:acc>
                <m:accPr>
                  <m:chr m:val="̅"/>
                  <m:ctrlPr>
                    <w:rPr>
                      <w:rFonts w:ascii="Cambria Math" w:hAnsi="Cambria Math"/>
                      <w:bCs/>
                      <w:i/>
                      <w:color w:val="auto"/>
                    </w:rPr>
                  </m:ctrlPr>
                </m:accPr>
                <m:e>
                  <m:r>
                    <w:rPr>
                      <w:rFonts w:ascii="Cambria Math" w:hAnsi="Cambria Math"/>
                      <w:color w:val="auto"/>
                    </w:rPr>
                    <m:t>X</m:t>
                  </m:r>
                </m:e>
              </m:acc>
            </m:den>
          </m:f>
        </m:oMath>
      </m:oMathPara>
    </w:p>
    <w:p w14:paraId="0642859F" w14:textId="77777777" w:rsidR="003F7B9F" w:rsidRPr="00AC3D40" w:rsidRDefault="003F7B9F" w:rsidP="007B0794">
      <w:pPr>
        <w:pStyle w:val="BodyText"/>
        <w:ind w:left="720"/>
      </w:pPr>
      <w:r w:rsidRPr="00AC3D40">
        <w:t>Where:</w:t>
      </w:r>
    </w:p>
    <w:tbl>
      <w:tblPr>
        <w:tblStyle w:val="TableGrid"/>
        <w:tblW w:w="8352"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580"/>
        <w:gridCol w:w="291"/>
        <w:gridCol w:w="294"/>
        <w:gridCol w:w="7187"/>
      </w:tblGrid>
      <w:tr w:rsidR="003F7B9F" w14:paraId="25905C43" w14:textId="77777777" w:rsidTr="002E21E5">
        <w:trPr>
          <w:trHeight w:val="73"/>
          <w:jc w:val="right"/>
        </w:trPr>
        <w:tc>
          <w:tcPr>
            <w:tcW w:w="624" w:type="dxa"/>
          </w:tcPr>
          <w:p w14:paraId="410CE93F" w14:textId="77777777" w:rsidR="003F7B9F" w:rsidRDefault="003F7B9F" w:rsidP="007B0794">
            <w:pPr>
              <w:tabs>
                <w:tab w:val="left" w:pos="0"/>
                <w:tab w:val="left" w:pos="1700"/>
              </w:tabs>
              <w:spacing w:before="60" w:after="60"/>
              <w:ind w:left="0"/>
              <w:rPr>
                <w:i/>
                <w:iCs/>
                <w:color w:val="auto"/>
              </w:rPr>
            </w:pPr>
            <w:r>
              <w:rPr>
                <w:i/>
                <w:iCs/>
                <w:color w:val="auto"/>
              </w:rPr>
              <w:t>COV</w:t>
            </w:r>
          </w:p>
        </w:tc>
        <w:tc>
          <w:tcPr>
            <w:tcW w:w="312" w:type="dxa"/>
          </w:tcPr>
          <w:p w14:paraId="275CF07A" w14:textId="77777777" w:rsidR="003F7B9F" w:rsidRDefault="003F7B9F" w:rsidP="007B0794">
            <w:pPr>
              <w:tabs>
                <w:tab w:val="left" w:pos="0"/>
                <w:tab w:val="left" w:pos="1700"/>
              </w:tabs>
              <w:spacing w:before="60" w:after="60"/>
              <w:ind w:left="0"/>
              <w:rPr>
                <w:i/>
                <w:iCs/>
              </w:rPr>
            </w:pPr>
          </w:p>
        </w:tc>
        <w:tc>
          <w:tcPr>
            <w:tcW w:w="316" w:type="dxa"/>
          </w:tcPr>
          <w:p w14:paraId="338242F3" w14:textId="77777777" w:rsidR="003F7B9F" w:rsidRDefault="003F7B9F" w:rsidP="007B0794">
            <w:pPr>
              <w:tabs>
                <w:tab w:val="left" w:pos="0"/>
                <w:tab w:val="left" w:pos="1700"/>
              </w:tabs>
              <w:spacing w:before="60" w:after="60"/>
              <w:ind w:left="0"/>
              <w:rPr>
                <w:i/>
                <w:iCs/>
              </w:rPr>
            </w:pPr>
            <w:r>
              <w:rPr>
                <w:i/>
                <w:iCs/>
              </w:rPr>
              <w:t>=</w:t>
            </w:r>
          </w:p>
        </w:tc>
        <w:tc>
          <w:tcPr>
            <w:tcW w:w="7748" w:type="dxa"/>
          </w:tcPr>
          <w:p w14:paraId="274F3AD2" w14:textId="474A5293" w:rsidR="003F7B9F" w:rsidRPr="00AC3D40" w:rsidRDefault="003F7B9F" w:rsidP="007B0794">
            <w:pPr>
              <w:tabs>
                <w:tab w:val="left" w:pos="0"/>
                <w:tab w:val="left" w:pos="1700"/>
              </w:tabs>
              <w:spacing w:before="60" w:after="60"/>
              <w:ind w:left="0"/>
              <w:rPr>
                <w:color w:val="auto"/>
              </w:rPr>
            </w:pPr>
            <w:r>
              <w:rPr>
                <w:color w:val="auto"/>
              </w:rPr>
              <w:t>coefficient of variatio</w:t>
            </w:r>
            <w:r w:rsidR="00AE1A3A">
              <w:rPr>
                <w:color w:val="auto"/>
              </w:rPr>
              <w:t>n</w:t>
            </w:r>
          </w:p>
        </w:tc>
      </w:tr>
      <w:tr w:rsidR="003F7B9F" w14:paraId="6B0D7260" w14:textId="77777777" w:rsidTr="002E21E5">
        <w:trPr>
          <w:trHeight w:val="287"/>
          <w:jc w:val="right"/>
        </w:trPr>
        <w:tc>
          <w:tcPr>
            <w:tcW w:w="624" w:type="dxa"/>
          </w:tcPr>
          <w:p w14:paraId="2E30453E" w14:textId="77777777" w:rsidR="003F7B9F" w:rsidRDefault="003F7B9F" w:rsidP="007B0794">
            <w:pPr>
              <w:tabs>
                <w:tab w:val="left" w:pos="0"/>
                <w:tab w:val="left" w:pos="1700"/>
              </w:tabs>
              <w:spacing w:before="60" w:after="60"/>
              <w:ind w:left="0"/>
              <w:rPr>
                <w:i/>
                <w:iCs/>
              </w:rPr>
            </w:pPr>
            <w:r>
              <w:rPr>
                <w:i/>
                <w:iCs/>
                <w:color w:val="auto"/>
              </w:rPr>
              <w:t xml:space="preserve">   </w:t>
            </w:r>
            <w:r w:rsidRPr="00AC3D40">
              <w:rPr>
                <w:i/>
                <w:iCs/>
                <w:color w:val="auto"/>
              </w:rPr>
              <w:t>s</w:t>
            </w:r>
          </w:p>
        </w:tc>
        <w:tc>
          <w:tcPr>
            <w:tcW w:w="312" w:type="dxa"/>
          </w:tcPr>
          <w:p w14:paraId="0CDD1945" w14:textId="77777777" w:rsidR="003F7B9F" w:rsidRDefault="003F7B9F" w:rsidP="007B0794">
            <w:pPr>
              <w:tabs>
                <w:tab w:val="left" w:pos="0"/>
                <w:tab w:val="left" w:pos="1700"/>
              </w:tabs>
              <w:spacing w:before="60" w:after="60"/>
              <w:ind w:left="0"/>
              <w:rPr>
                <w:i/>
                <w:iCs/>
              </w:rPr>
            </w:pPr>
          </w:p>
        </w:tc>
        <w:tc>
          <w:tcPr>
            <w:tcW w:w="316" w:type="dxa"/>
          </w:tcPr>
          <w:p w14:paraId="191F12F5" w14:textId="77777777" w:rsidR="003F7B9F" w:rsidRDefault="003F7B9F" w:rsidP="007B0794">
            <w:pPr>
              <w:tabs>
                <w:tab w:val="left" w:pos="0"/>
                <w:tab w:val="left" w:pos="1700"/>
              </w:tabs>
              <w:spacing w:before="60" w:after="60"/>
              <w:ind w:left="0"/>
              <w:rPr>
                <w:i/>
                <w:iCs/>
              </w:rPr>
            </w:pPr>
            <w:r>
              <w:rPr>
                <w:i/>
                <w:iCs/>
              </w:rPr>
              <w:t>=</w:t>
            </w:r>
          </w:p>
        </w:tc>
        <w:tc>
          <w:tcPr>
            <w:tcW w:w="7748" w:type="dxa"/>
          </w:tcPr>
          <w:p w14:paraId="5826FEE5" w14:textId="77777777" w:rsidR="003F7B9F" w:rsidRDefault="003F7B9F" w:rsidP="007B0794">
            <w:pPr>
              <w:tabs>
                <w:tab w:val="left" w:pos="0"/>
                <w:tab w:val="left" w:pos="1700"/>
              </w:tabs>
              <w:spacing w:before="60" w:after="60"/>
              <w:ind w:left="0"/>
              <w:rPr>
                <w:i/>
                <w:iCs/>
              </w:rPr>
            </w:pPr>
            <w:r w:rsidRPr="00AC3D40">
              <w:rPr>
                <w:color w:val="auto"/>
              </w:rPr>
              <w:t>standard deviation of the factor</w:t>
            </w:r>
          </w:p>
        </w:tc>
      </w:tr>
      <w:tr w:rsidR="003F7B9F" w14:paraId="38B6979E" w14:textId="77777777" w:rsidTr="002E21E5">
        <w:trPr>
          <w:trHeight w:val="144"/>
          <w:jc w:val="right"/>
        </w:trPr>
        <w:tc>
          <w:tcPr>
            <w:tcW w:w="624" w:type="dxa"/>
          </w:tcPr>
          <w:p w14:paraId="7DE9CF3F" w14:textId="77777777" w:rsidR="003F7B9F" w:rsidRDefault="003F7B9F" w:rsidP="007B0794">
            <w:pPr>
              <w:tabs>
                <w:tab w:val="left" w:pos="0"/>
                <w:tab w:val="left" w:pos="1700"/>
              </w:tabs>
              <w:spacing w:before="60" w:after="60"/>
              <w:ind w:left="0"/>
              <w:rPr>
                <w:i/>
                <w:iCs/>
              </w:rPr>
            </w:pPr>
            <w:r w:rsidRPr="00A6031B">
              <w:rPr>
                <w:noProof/>
              </w:rPr>
              <w:drawing>
                <wp:inline distT="0" distB="0" distL="0" distR="0" wp14:anchorId="038B6B1B" wp14:editId="746FF0A9">
                  <wp:extent cx="225425" cy="225425"/>
                  <wp:effectExtent l="19050" t="0" r="3175" b="0"/>
                  <wp:docPr id="82" name="Picture 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a:extLst>
                              <a:ext uri="{C183D7F6-B498-43B3-948B-1728B52AA6E4}">
                                <adec:decorative xmlns:adec="http://schemas.microsoft.com/office/drawing/2017/decorative" val="1"/>
                              </a:ext>
                            </a:extLst>
                          </pic:cNvPr>
                          <pic:cNvPicPr>
                            <a:picLocks noChangeAspect="1" noChangeArrowheads="1"/>
                          </pic:cNvPicPr>
                        </pic:nvPicPr>
                        <pic:blipFill>
                          <a:blip r:embed="rId107"/>
                          <a:srcRect/>
                          <a:stretch>
                            <a:fillRect/>
                          </a:stretch>
                        </pic:blipFill>
                        <pic:spPr bwMode="auto">
                          <a:xfrm>
                            <a:off x="0" y="0"/>
                            <a:ext cx="225425" cy="225425"/>
                          </a:xfrm>
                          <a:prstGeom prst="rect">
                            <a:avLst/>
                          </a:prstGeom>
                          <a:noFill/>
                          <a:ln w="9525">
                            <a:noFill/>
                            <a:miter lim="800000"/>
                            <a:headEnd/>
                            <a:tailEnd/>
                          </a:ln>
                        </pic:spPr>
                      </pic:pic>
                    </a:graphicData>
                  </a:graphic>
                </wp:inline>
              </w:drawing>
            </w:r>
          </w:p>
        </w:tc>
        <w:tc>
          <w:tcPr>
            <w:tcW w:w="312" w:type="dxa"/>
          </w:tcPr>
          <w:p w14:paraId="0DC0A631" w14:textId="77777777" w:rsidR="003F7B9F" w:rsidRDefault="003F7B9F" w:rsidP="007B0794">
            <w:pPr>
              <w:tabs>
                <w:tab w:val="left" w:pos="0"/>
                <w:tab w:val="left" w:pos="1700"/>
              </w:tabs>
              <w:spacing w:before="60" w:after="60"/>
              <w:ind w:left="0"/>
              <w:rPr>
                <w:i/>
                <w:iCs/>
              </w:rPr>
            </w:pPr>
          </w:p>
        </w:tc>
        <w:tc>
          <w:tcPr>
            <w:tcW w:w="316" w:type="dxa"/>
          </w:tcPr>
          <w:p w14:paraId="32B4547B" w14:textId="77777777" w:rsidR="003F7B9F" w:rsidRDefault="003F7B9F" w:rsidP="007B0794">
            <w:pPr>
              <w:tabs>
                <w:tab w:val="left" w:pos="0"/>
                <w:tab w:val="left" w:pos="1700"/>
              </w:tabs>
              <w:spacing w:before="60" w:after="60"/>
              <w:ind w:left="0"/>
              <w:rPr>
                <w:i/>
                <w:iCs/>
              </w:rPr>
            </w:pPr>
            <w:r>
              <w:rPr>
                <w:i/>
                <w:iCs/>
              </w:rPr>
              <w:t>=</w:t>
            </w:r>
          </w:p>
        </w:tc>
        <w:tc>
          <w:tcPr>
            <w:tcW w:w="7748" w:type="dxa"/>
          </w:tcPr>
          <w:p w14:paraId="4B19D2BE" w14:textId="77777777" w:rsidR="003F7B9F" w:rsidRPr="002841BC" w:rsidRDefault="003F7B9F" w:rsidP="007B0794">
            <w:pPr>
              <w:tabs>
                <w:tab w:val="left" w:pos="0"/>
                <w:tab w:val="left" w:pos="1700"/>
              </w:tabs>
              <w:spacing w:before="60" w:after="60"/>
              <w:ind w:left="0"/>
              <w:rPr>
                <w:color w:val="auto"/>
              </w:rPr>
            </w:pPr>
            <w:r w:rsidRPr="00A6031B">
              <w:t xml:space="preserve">mean </w:t>
            </w:r>
            <w:r>
              <w:t xml:space="preserve">value of a </w:t>
            </w:r>
            <w:r w:rsidRPr="00AC3D40">
              <w:rPr>
                <w:color w:val="auto"/>
              </w:rPr>
              <w:t>factor</w:t>
            </w:r>
          </w:p>
        </w:tc>
      </w:tr>
    </w:tbl>
    <w:p w14:paraId="61A6EB0C" w14:textId="77777777" w:rsidR="003F7B9F" w:rsidRDefault="003F7B9F" w:rsidP="007B0794">
      <w:pPr>
        <w:pStyle w:val="BodyText"/>
        <w:spacing w:before="120"/>
      </w:pPr>
      <w:r w:rsidRPr="00A6031B">
        <w:t>Typical monthly variation patterns for urban areas have a coefficient of variation under 10 percent, while those of rural areas range between 10 and 25 percent. Values higher than 25 percent are indicative of highly variable travel patterns, which reflect recreational patterns, but which may be due to reasons other than recreational travel.</w:t>
      </w:r>
      <w:r>
        <w:t xml:space="preserve"> </w:t>
      </w:r>
    </w:p>
    <w:p w14:paraId="5B9405B9" w14:textId="77777777" w:rsidR="003F7B9F" w:rsidRPr="007B0794" w:rsidRDefault="003F7B9F" w:rsidP="00A35EAF">
      <w:pPr>
        <w:pStyle w:val="BodyText"/>
        <w:rPr>
          <w:rFonts w:ascii="Cambria" w:hAnsi="Cambria"/>
          <w:i/>
          <w:iCs/>
          <w:sz w:val="22"/>
          <w:szCs w:val="22"/>
        </w:rPr>
      </w:pPr>
      <w:bookmarkStart w:id="1651" w:name="_Toc63977872"/>
      <w:r w:rsidRPr="007B0794">
        <w:rPr>
          <w:rFonts w:ascii="Cambria" w:hAnsi="Cambria"/>
          <w:i/>
          <w:iCs/>
          <w:sz w:val="22"/>
          <w:szCs w:val="22"/>
        </w:rPr>
        <w:t>Compute the Number of Sites</w:t>
      </w:r>
      <w:bookmarkEnd w:id="1651"/>
      <w:r w:rsidRPr="007B0794">
        <w:rPr>
          <w:rFonts w:ascii="Cambria" w:hAnsi="Cambria"/>
          <w:i/>
          <w:iCs/>
          <w:sz w:val="22"/>
          <w:szCs w:val="22"/>
        </w:rPr>
        <w:t xml:space="preserve"> </w:t>
      </w:r>
    </w:p>
    <w:p w14:paraId="58AC664B" w14:textId="4A87AD3E" w:rsidR="003F7B9F" w:rsidRPr="00AC3D40" w:rsidRDefault="003F7B9F" w:rsidP="00A35EAF">
      <w:pPr>
        <w:pStyle w:val="BodyText"/>
      </w:pPr>
      <w:r w:rsidRPr="00AC3D40">
        <w:t xml:space="preserve">After establishing the appropriate temporal factoring groups and allocating the existing continuous count locations to those groups, the next step is to determine the total number of locations needed in each factor group to achieve the desired precision level for the composite group factors. Since the existing locations are equivalent to a </w:t>
      </w:r>
      <w:r w:rsidRPr="00AC3D40">
        <w:lastRenderedPageBreak/>
        <w:t>simple random sample selection</w:t>
      </w:r>
      <w:r>
        <w:t xml:space="preserve">, the </w:t>
      </w:r>
      <w:r w:rsidRPr="00AC3D40">
        <w:t>standard equation for estimating the confidence intervals (i.e., the precision boundaries)</w:t>
      </w:r>
      <w:r w:rsidR="00F62349">
        <w:t xml:space="preserve"> can be used</w:t>
      </w:r>
      <w:r>
        <w:t>.</w:t>
      </w:r>
    </w:p>
    <w:p w14:paraId="68DD2E26" w14:textId="7174E8B8" w:rsidR="003F7B9F" w:rsidRPr="00552891" w:rsidRDefault="00464453" w:rsidP="00533AE2">
      <w:pPr>
        <w:spacing w:beforeLines="80" w:before="192"/>
        <w:rPr>
          <w:color w:val="auto"/>
        </w:rPr>
      </w:pPr>
      <m:oMathPara>
        <m:oMath>
          <m:sSub>
            <m:sSubPr>
              <m:ctrlPr>
                <w:rPr>
                  <w:rFonts w:ascii="Cambria Math" w:hAnsi="Cambria Math"/>
                  <w:i/>
                  <w:color w:val="auto"/>
                </w:rPr>
              </m:ctrlPr>
            </m:sSubPr>
            <m:e>
              <m:r>
                <w:rPr>
                  <w:rFonts w:ascii="Cambria Math" w:hAnsi="Cambria Math"/>
                  <w:color w:val="auto"/>
                </w:rPr>
                <m:t>B=</m:t>
              </m:r>
              <m:acc>
                <m:accPr>
                  <m:chr m:val="̅"/>
                  <m:ctrlPr>
                    <w:rPr>
                      <w:rFonts w:ascii="Cambria Math" w:hAnsi="Cambria Math"/>
                      <w:i/>
                      <w:color w:val="auto"/>
                    </w:rPr>
                  </m:ctrlPr>
                </m:accPr>
                <m:e>
                  <m:r>
                    <w:rPr>
                      <w:rFonts w:ascii="Cambria Math" w:hAnsi="Cambria Math"/>
                      <w:color w:val="auto"/>
                    </w:rPr>
                    <m:t>X</m:t>
                  </m:r>
                </m:e>
              </m:acc>
              <m:r>
                <w:rPr>
                  <w:rFonts w:ascii="Cambria Math" w:hAnsi="Cambria Math"/>
                  <w:color w:val="auto"/>
                </w:rPr>
                <m:t>±t</m:t>
              </m:r>
            </m:e>
            <m:sub>
              <m:r>
                <w:rPr>
                  <w:rFonts w:ascii="Cambria Math" w:hAnsi="Cambria Math"/>
                  <w:color w:val="auto"/>
                </w:rPr>
                <m:t>1-</m:t>
              </m:r>
              <m:f>
                <m:fPr>
                  <m:ctrlPr>
                    <w:rPr>
                      <w:rFonts w:ascii="Cambria Math" w:hAnsi="Cambria Math"/>
                      <w:i/>
                      <w:smallCaps/>
                      <w:color w:val="auto"/>
                    </w:rPr>
                  </m:ctrlPr>
                </m:fPr>
                <m:num>
                  <m:r>
                    <w:rPr>
                      <w:rFonts w:ascii="Cambria Math" w:hAnsi="Cambria Math"/>
                      <w:color w:val="auto"/>
                    </w:rPr>
                    <m:t>∝</m:t>
                  </m:r>
                </m:num>
                <m:den>
                  <m:r>
                    <w:rPr>
                      <w:rFonts w:ascii="Cambria Math" w:hAnsi="Cambria Math"/>
                      <w:color w:val="auto"/>
                    </w:rPr>
                    <m:t>2</m:t>
                  </m:r>
                </m:den>
              </m:f>
              <m:r>
                <w:rPr>
                  <w:rFonts w:ascii="Cambria Math" w:hAnsi="Cambria Math"/>
                  <w:color w:val="auto"/>
                </w:rPr>
                <m:t>, n-1</m:t>
              </m:r>
            </m:sub>
          </m:sSub>
          <m:r>
            <w:rPr>
              <w:rFonts w:ascii="Cambria Math" w:hAnsi="Cambria Math"/>
              <w:color w:val="auto"/>
            </w:rPr>
            <m:t xml:space="preserve"> </m:t>
          </m:r>
          <m:f>
            <m:fPr>
              <m:ctrlPr>
                <w:rPr>
                  <w:rFonts w:ascii="Cambria Math" w:hAnsi="Cambria Math"/>
                  <w:i/>
                  <w:smallCaps/>
                  <w:color w:val="auto"/>
                </w:rPr>
              </m:ctrlPr>
            </m:fPr>
            <m:num>
              <m:r>
                <w:rPr>
                  <w:rFonts w:ascii="Cambria Math" w:hAnsi="Cambria Math"/>
                  <w:color w:val="auto"/>
                </w:rPr>
                <m:t>s</m:t>
              </m:r>
            </m:num>
            <m:den>
              <m:rad>
                <m:radPr>
                  <m:degHide m:val="1"/>
                  <m:ctrlPr>
                    <w:rPr>
                      <w:rFonts w:ascii="Cambria Math" w:hAnsi="Cambria Math"/>
                      <w:i/>
                      <w:color w:val="auto"/>
                    </w:rPr>
                  </m:ctrlPr>
                </m:radPr>
                <m:deg/>
                <m:e>
                  <m:r>
                    <w:rPr>
                      <w:rFonts w:ascii="Cambria Math" w:hAnsi="Cambria Math"/>
                      <w:color w:val="auto"/>
                    </w:rPr>
                    <m:t>n</m:t>
                  </m:r>
                </m:e>
              </m:rad>
            </m:den>
          </m:f>
        </m:oMath>
      </m:oMathPara>
    </w:p>
    <w:p w14:paraId="08405F05" w14:textId="77777777" w:rsidR="003F7B9F" w:rsidRPr="00AC3D40" w:rsidRDefault="003F7B9F" w:rsidP="002E21E5">
      <w:pPr>
        <w:pStyle w:val="BodyText"/>
        <w:ind w:left="720"/>
      </w:pPr>
      <w:r w:rsidRPr="00AC3D40">
        <w:t>Where:</w:t>
      </w:r>
    </w:p>
    <w:tbl>
      <w:tblPr>
        <w:tblStyle w:val="TableGrid"/>
        <w:tblW w:w="8352"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4"/>
        <w:gridCol w:w="316"/>
        <w:gridCol w:w="7412"/>
      </w:tblGrid>
      <w:tr w:rsidR="003F7B9F" w14:paraId="5C9D120D" w14:textId="77777777" w:rsidTr="002E21E5">
        <w:trPr>
          <w:trHeight w:val="287"/>
          <w:jc w:val="right"/>
        </w:trPr>
        <w:tc>
          <w:tcPr>
            <w:tcW w:w="625" w:type="dxa"/>
          </w:tcPr>
          <w:p w14:paraId="2889F5EB" w14:textId="77777777" w:rsidR="003F7B9F" w:rsidRDefault="003F7B9F" w:rsidP="002E21E5">
            <w:pPr>
              <w:tabs>
                <w:tab w:val="left" w:pos="0"/>
                <w:tab w:val="left" w:pos="1700"/>
              </w:tabs>
              <w:spacing w:before="120" w:after="120"/>
              <w:ind w:left="0"/>
              <w:rPr>
                <w:i/>
                <w:iCs/>
              </w:rPr>
            </w:pPr>
            <w:r>
              <w:rPr>
                <w:i/>
                <w:iCs/>
              </w:rPr>
              <w:t xml:space="preserve">   </w:t>
            </w:r>
            <w:r w:rsidRPr="00A6031B">
              <w:rPr>
                <w:i/>
                <w:iCs/>
              </w:rPr>
              <w:t>B</w:t>
            </w:r>
          </w:p>
        </w:tc>
        <w:tc>
          <w:tcPr>
            <w:tcW w:w="316" w:type="dxa"/>
          </w:tcPr>
          <w:p w14:paraId="4FAC0D90" w14:textId="77777777" w:rsidR="003F7B9F" w:rsidRDefault="003F7B9F" w:rsidP="002E21E5">
            <w:pPr>
              <w:tabs>
                <w:tab w:val="left" w:pos="0"/>
                <w:tab w:val="left" w:pos="1700"/>
              </w:tabs>
              <w:spacing w:before="120" w:after="120"/>
              <w:ind w:left="0"/>
              <w:rPr>
                <w:i/>
                <w:iCs/>
              </w:rPr>
            </w:pPr>
            <w:r>
              <w:rPr>
                <w:i/>
                <w:iCs/>
              </w:rPr>
              <w:t>=</w:t>
            </w:r>
          </w:p>
        </w:tc>
        <w:tc>
          <w:tcPr>
            <w:tcW w:w="7789" w:type="dxa"/>
          </w:tcPr>
          <w:p w14:paraId="16913B4F" w14:textId="77777777" w:rsidR="003F7B9F" w:rsidRDefault="003F7B9F" w:rsidP="002E21E5">
            <w:pPr>
              <w:tabs>
                <w:tab w:val="left" w:pos="0"/>
                <w:tab w:val="left" w:pos="1700"/>
              </w:tabs>
              <w:spacing w:before="120" w:after="120"/>
              <w:ind w:left="0"/>
              <w:rPr>
                <w:i/>
                <w:iCs/>
              </w:rPr>
            </w:pPr>
            <w:r w:rsidRPr="00A6031B">
              <w:t>upper and lower boundaries of the confidence interval</w:t>
            </w:r>
            <w:r w:rsidRPr="00783B2F">
              <w:t xml:space="preserve"> </w:t>
            </w:r>
            <w:r>
              <w:t xml:space="preserve">for a </w:t>
            </w:r>
            <w:r w:rsidRPr="00D1694E">
              <w:t xml:space="preserve">composite group </w:t>
            </w:r>
            <w:r w:rsidRPr="00A6031B">
              <w:t>factor</w:t>
            </w:r>
          </w:p>
        </w:tc>
      </w:tr>
      <w:tr w:rsidR="003F7B9F" w14:paraId="717425F1" w14:textId="77777777" w:rsidTr="002E21E5">
        <w:trPr>
          <w:trHeight w:val="144"/>
          <w:jc w:val="right"/>
        </w:trPr>
        <w:tc>
          <w:tcPr>
            <w:tcW w:w="625" w:type="dxa"/>
          </w:tcPr>
          <w:p w14:paraId="10CA5A16" w14:textId="77777777" w:rsidR="003F7B9F" w:rsidRDefault="003F7B9F" w:rsidP="002E21E5">
            <w:pPr>
              <w:tabs>
                <w:tab w:val="left" w:pos="0"/>
                <w:tab w:val="left" w:pos="1700"/>
              </w:tabs>
              <w:spacing w:before="120" w:after="120"/>
              <w:ind w:left="0"/>
              <w:rPr>
                <w:i/>
                <w:iCs/>
              </w:rPr>
            </w:pPr>
            <w:r w:rsidRPr="00A6031B">
              <w:rPr>
                <w:noProof/>
              </w:rPr>
              <w:drawing>
                <wp:inline distT="0" distB="0" distL="0" distR="0" wp14:anchorId="78A3E0B0" wp14:editId="05708ADE">
                  <wp:extent cx="225425" cy="225425"/>
                  <wp:effectExtent l="19050" t="0" r="3175" b="0"/>
                  <wp:docPr id="83" name="Picture 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a:extLst>
                              <a:ext uri="{C183D7F6-B498-43B3-948B-1728B52AA6E4}">
                                <adec:decorative xmlns:adec="http://schemas.microsoft.com/office/drawing/2017/decorative" val="1"/>
                              </a:ext>
                            </a:extLst>
                          </pic:cNvPr>
                          <pic:cNvPicPr>
                            <a:picLocks noChangeAspect="1" noChangeArrowheads="1"/>
                          </pic:cNvPicPr>
                        </pic:nvPicPr>
                        <pic:blipFill>
                          <a:blip r:embed="rId107"/>
                          <a:srcRect/>
                          <a:stretch>
                            <a:fillRect/>
                          </a:stretch>
                        </pic:blipFill>
                        <pic:spPr bwMode="auto">
                          <a:xfrm>
                            <a:off x="0" y="0"/>
                            <a:ext cx="225425" cy="225425"/>
                          </a:xfrm>
                          <a:prstGeom prst="rect">
                            <a:avLst/>
                          </a:prstGeom>
                          <a:noFill/>
                          <a:ln w="9525">
                            <a:noFill/>
                            <a:miter lim="800000"/>
                            <a:headEnd/>
                            <a:tailEnd/>
                          </a:ln>
                        </pic:spPr>
                      </pic:pic>
                    </a:graphicData>
                  </a:graphic>
                </wp:inline>
              </w:drawing>
            </w:r>
          </w:p>
        </w:tc>
        <w:tc>
          <w:tcPr>
            <w:tcW w:w="316" w:type="dxa"/>
          </w:tcPr>
          <w:p w14:paraId="3DEEBDE8" w14:textId="77777777" w:rsidR="003F7B9F" w:rsidRDefault="003F7B9F" w:rsidP="002E21E5">
            <w:pPr>
              <w:tabs>
                <w:tab w:val="left" w:pos="0"/>
                <w:tab w:val="left" w:pos="1700"/>
              </w:tabs>
              <w:spacing w:before="120" w:after="120"/>
              <w:ind w:left="0"/>
              <w:rPr>
                <w:i/>
                <w:iCs/>
              </w:rPr>
            </w:pPr>
            <w:r>
              <w:rPr>
                <w:i/>
                <w:iCs/>
              </w:rPr>
              <w:t>=</w:t>
            </w:r>
          </w:p>
        </w:tc>
        <w:tc>
          <w:tcPr>
            <w:tcW w:w="7789" w:type="dxa"/>
          </w:tcPr>
          <w:p w14:paraId="0AF844CD" w14:textId="77777777" w:rsidR="003F7B9F" w:rsidRDefault="003F7B9F" w:rsidP="002E21E5">
            <w:pPr>
              <w:tabs>
                <w:tab w:val="left" w:pos="0"/>
                <w:tab w:val="left" w:pos="1700"/>
              </w:tabs>
              <w:spacing w:before="120" w:after="120"/>
              <w:ind w:left="0"/>
              <w:rPr>
                <w:i/>
                <w:iCs/>
              </w:rPr>
            </w:pPr>
            <w:r w:rsidRPr="00A6031B">
              <w:t xml:space="preserve">mean </w:t>
            </w:r>
            <w:r>
              <w:t xml:space="preserve">value of a </w:t>
            </w:r>
            <w:r w:rsidRPr="00AC3D40">
              <w:rPr>
                <w:color w:val="auto"/>
              </w:rPr>
              <w:t>factor</w:t>
            </w:r>
          </w:p>
        </w:tc>
      </w:tr>
      <w:tr w:rsidR="003F7B9F" w14:paraId="27AD4A63" w14:textId="77777777" w:rsidTr="002E21E5">
        <w:trPr>
          <w:trHeight w:val="144"/>
          <w:jc w:val="right"/>
        </w:trPr>
        <w:tc>
          <w:tcPr>
            <w:tcW w:w="625" w:type="dxa"/>
          </w:tcPr>
          <w:p w14:paraId="0FE0749B" w14:textId="77777777" w:rsidR="003F7B9F" w:rsidRDefault="003F7B9F" w:rsidP="002E21E5">
            <w:pPr>
              <w:tabs>
                <w:tab w:val="left" w:pos="0"/>
                <w:tab w:val="left" w:pos="1700"/>
              </w:tabs>
              <w:spacing w:before="120" w:after="120"/>
              <w:ind w:left="0"/>
              <w:rPr>
                <w:i/>
                <w:iCs/>
              </w:rPr>
            </w:pPr>
            <w:r>
              <w:rPr>
                <w:i/>
                <w:iCs/>
                <w:color w:val="auto"/>
              </w:rPr>
              <w:t xml:space="preserve">    </w:t>
            </w:r>
            <w:r w:rsidRPr="00AC3D40">
              <w:rPr>
                <w:i/>
                <w:iCs/>
                <w:color w:val="auto"/>
              </w:rPr>
              <w:t>t</w:t>
            </w:r>
          </w:p>
        </w:tc>
        <w:tc>
          <w:tcPr>
            <w:tcW w:w="316" w:type="dxa"/>
          </w:tcPr>
          <w:p w14:paraId="30E62112" w14:textId="77777777" w:rsidR="003F7B9F" w:rsidRDefault="003F7B9F" w:rsidP="002E21E5">
            <w:pPr>
              <w:tabs>
                <w:tab w:val="left" w:pos="0"/>
                <w:tab w:val="left" w:pos="1700"/>
              </w:tabs>
              <w:spacing w:before="120" w:after="120"/>
              <w:ind w:left="0"/>
              <w:rPr>
                <w:i/>
                <w:iCs/>
              </w:rPr>
            </w:pPr>
            <w:r>
              <w:rPr>
                <w:i/>
                <w:iCs/>
              </w:rPr>
              <w:t>=</w:t>
            </w:r>
          </w:p>
        </w:tc>
        <w:tc>
          <w:tcPr>
            <w:tcW w:w="7789" w:type="dxa"/>
          </w:tcPr>
          <w:p w14:paraId="078F8350" w14:textId="520DFB90" w:rsidR="003F7B9F" w:rsidRDefault="003F7B9F" w:rsidP="002E21E5">
            <w:pPr>
              <w:tabs>
                <w:tab w:val="left" w:pos="0"/>
                <w:tab w:val="left" w:pos="1700"/>
              </w:tabs>
              <w:spacing w:before="120" w:after="120"/>
              <w:ind w:left="0"/>
              <w:rPr>
                <w:i/>
                <w:iCs/>
              </w:rPr>
            </w:pPr>
            <w:r w:rsidRPr="00AC3D40">
              <w:rPr>
                <w:color w:val="auto"/>
              </w:rPr>
              <w:t xml:space="preserve">value of </w:t>
            </w:r>
            <w:r w:rsidR="00457707">
              <w:rPr>
                <w:color w:val="auto"/>
              </w:rPr>
              <w:t>S</w:t>
            </w:r>
            <w:r w:rsidRPr="00AC3D40">
              <w:rPr>
                <w:color w:val="auto"/>
              </w:rPr>
              <w:t xml:space="preserve">tudent’s </w:t>
            </w:r>
            <w:r w:rsidRPr="00AC3D40">
              <w:rPr>
                <w:i/>
                <w:iCs/>
                <w:color w:val="auto"/>
              </w:rPr>
              <w:t>T</w:t>
            </w:r>
            <w:r w:rsidRPr="00AC3D40">
              <w:rPr>
                <w:color w:val="auto"/>
              </w:rPr>
              <w:t xml:space="preserve"> distribution with </w:t>
            </w:r>
            <m:oMath>
              <m:r>
                <w:rPr>
                  <w:rFonts w:ascii="Cambria Math" w:hAnsi="Cambria Math"/>
                  <w:color w:val="auto"/>
                </w:rPr>
                <m:t>1-</m:t>
              </m:r>
              <m:f>
                <m:fPr>
                  <m:ctrlPr>
                    <w:rPr>
                      <w:rFonts w:ascii="Cambria Math" w:hAnsi="Cambria Math"/>
                      <w:i/>
                      <w:color w:val="auto"/>
                    </w:rPr>
                  </m:ctrlPr>
                </m:fPr>
                <m:num>
                  <m:r>
                    <m:rPr>
                      <m:sty m:val="bi"/>
                    </m:rPr>
                    <w:rPr>
                      <w:rFonts w:ascii="Cambria Math" w:hAnsi="Cambria Math"/>
                      <w:color w:val="auto"/>
                    </w:rPr>
                    <m:t>α</m:t>
                  </m:r>
                </m:num>
                <m:den>
                  <m:r>
                    <w:rPr>
                      <w:rFonts w:ascii="Cambria Math" w:hAnsi="Cambria Math"/>
                      <w:color w:val="auto"/>
                    </w:rPr>
                    <m:t>2</m:t>
                  </m:r>
                </m:den>
              </m:f>
            </m:oMath>
            <w:r w:rsidRPr="00AC3D40">
              <w:rPr>
                <w:color w:val="auto"/>
              </w:rPr>
              <w:t xml:space="preserve"> level of confidence and n-1 degrees of freedom</w:t>
            </w:r>
          </w:p>
        </w:tc>
      </w:tr>
      <w:tr w:rsidR="003F7B9F" w14:paraId="5EB43462" w14:textId="77777777" w:rsidTr="002E21E5">
        <w:trPr>
          <w:trHeight w:val="144"/>
          <w:jc w:val="right"/>
        </w:trPr>
        <w:tc>
          <w:tcPr>
            <w:tcW w:w="625" w:type="dxa"/>
          </w:tcPr>
          <w:p w14:paraId="3E0B85E4" w14:textId="77777777" w:rsidR="003F7B9F" w:rsidRDefault="003F7B9F" w:rsidP="002E21E5">
            <w:pPr>
              <w:tabs>
                <w:tab w:val="left" w:pos="0"/>
                <w:tab w:val="left" w:pos="1700"/>
              </w:tabs>
              <w:spacing w:before="120" w:after="120"/>
              <w:ind w:left="0"/>
              <w:rPr>
                <w:i/>
                <w:iCs/>
              </w:rPr>
            </w:pPr>
            <w:r>
              <w:rPr>
                <w:i/>
                <w:iCs/>
                <w:color w:val="auto"/>
              </w:rPr>
              <w:t xml:space="preserve">   </w:t>
            </w:r>
            <w:r w:rsidRPr="00AC3D40">
              <w:rPr>
                <w:i/>
                <w:iCs/>
                <w:color w:val="auto"/>
              </w:rPr>
              <w:t>n</w:t>
            </w:r>
          </w:p>
        </w:tc>
        <w:tc>
          <w:tcPr>
            <w:tcW w:w="316" w:type="dxa"/>
          </w:tcPr>
          <w:p w14:paraId="5B1C5212" w14:textId="77777777" w:rsidR="003F7B9F" w:rsidRDefault="003F7B9F" w:rsidP="002E21E5">
            <w:pPr>
              <w:tabs>
                <w:tab w:val="left" w:pos="0"/>
                <w:tab w:val="left" w:pos="1700"/>
              </w:tabs>
              <w:spacing w:before="120" w:after="120"/>
              <w:ind w:left="0"/>
              <w:rPr>
                <w:i/>
                <w:iCs/>
              </w:rPr>
            </w:pPr>
            <w:r>
              <w:rPr>
                <w:i/>
                <w:iCs/>
              </w:rPr>
              <w:t>=</w:t>
            </w:r>
          </w:p>
        </w:tc>
        <w:tc>
          <w:tcPr>
            <w:tcW w:w="7789" w:type="dxa"/>
          </w:tcPr>
          <w:p w14:paraId="68855900" w14:textId="77777777" w:rsidR="003F7B9F" w:rsidRDefault="003F7B9F" w:rsidP="002E21E5">
            <w:pPr>
              <w:tabs>
                <w:tab w:val="left" w:pos="0"/>
                <w:tab w:val="left" w:pos="1700"/>
              </w:tabs>
              <w:spacing w:before="120" w:after="120"/>
              <w:ind w:left="0"/>
              <w:rPr>
                <w:i/>
                <w:iCs/>
              </w:rPr>
            </w:pPr>
            <w:r w:rsidRPr="00AC3D40">
              <w:rPr>
                <w:color w:val="auto"/>
              </w:rPr>
              <w:t>number of continuous count locations used to compute the monthly factor</w:t>
            </w:r>
          </w:p>
        </w:tc>
      </w:tr>
      <w:tr w:rsidR="003F7B9F" w14:paraId="49254E88" w14:textId="77777777" w:rsidTr="002E21E5">
        <w:trPr>
          <w:trHeight w:val="144"/>
          <w:jc w:val="right"/>
        </w:trPr>
        <w:tc>
          <w:tcPr>
            <w:tcW w:w="625" w:type="dxa"/>
          </w:tcPr>
          <w:p w14:paraId="424A7635" w14:textId="77777777" w:rsidR="003F7B9F" w:rsidRDefault="003F7B9F" w:rsidP="002E21E5">
            <w:pPr>
              <w:tabs>
                <w:tab w:val="left" w:pos="0"/>
                <w:tab w:val="left" w:pos="1700"/>
              </w:tabs>
              <w:spacing w:before="120" w:after="120"/>
              <w:ind w:left="0"/>
              <w:rPr>
                <w:i/>
                <w:iCs/>
              </w:rPr>
            </w:pPr>
            <w:r>
              <w:rPr>
                <w:i/>
                <w:iCs/>
                <w:color w:val="auto"/>
              </w:rPr>
              <w:t xml:space="preserve">   </w:t>
            </w:r>
            <w:r w:rsidRPr="00AC3D40">
              <w:rPr>
                <w:i/>
                <w:iCs/>
                <w:color w:val="auto"/>
              </w:rPr>
              <w:t>α</w:t>
            </w:r>
          </w:p>
        </w:tc>
        <w:tc>
          <w:tcPr>
            <w:tcW w:w="316" w:type="dxa"/>
          </w:tcPr>
          <w:p w14:paraId="3DA5AA98" w14:textId="77777777" w:rsidR="003F7B9F" w:rsidRDefault="003F7B9F" w:rsidP="002E21E5">
            <w:pPr>
              <w:tabs>
                <w:tab w:val="left" w:pos="0"/>
                <w:tab w:val="left" w:pos="1700"/>
              </w:tabs>
              <w:spacing w:before="120" w:after="120"/>
              <w:ind w:left="0"/>
              <w:rPr>
                <w:i/>
                <w:iCs/>
              </w:rPr>
            </w:pPr>
            <w:r>
              <w:rPr>
                <w:i/>
                <w:iCs/>
              </w:rPr>
              <w:t>=</w:t>
            </w:r>
          </w:p>
        </w:tc>
        <w:tc>
          <w:tcPr>
            <w:tcW w:w="7789" w:type="dxa"/>
          </w:tcPr>
          <w:p w14:paraId="178E4CCF" w14:textId="77777777" w:rsidR="003F7B9F" w:rsidRDefault="003F7B9F" w:rsidP="002E21E5">
            <w:pPr>
              <w:tabs>
                <w:tab w:val="left" w:pos="0"/>
                <w:tab w:val="left" w:pos="1700"/>
              </w:tabs>
              <w:spacing w:before="120" w:after="120"/>
              <w:ind w:left="0"/>
              <w:rPr>
                <w:i/>
                <w:iCs/>
              </w:rPr>
            </w:pPr>
            <w:r w:rsidRPr="00AC3D40">
              <w:rPr>
                <w:color w:val="auto"/>
              </w:rPr>
              <w:t xml:space="preserve">alpha level for the selected level of confidence (for 95 percent confidence </w:t>
            </w:r>
            <w:r w:rsidRPr="00AC3D40">
              <w:rPr>
                <w:i/>
                <w:iCs/>
                <w:color w:val="auto"/>
              </w:rPr>
              <w:t>α =1-0.95)</w:t>
            </w:r>
          </w:p>
        </w:tc>
      </w:tr>
      <w:tr w:rsidR="003F7B9F" w14:paraId="617B0EAD" w14:textId="77777777" w:rsidTr="002E21E5">
        <w:trPr>
          <w:trHeight w:val="144"/>
          <w:jc w:val="right"/>
        </w:trPr>
        <w:tc>
          <w:tcPr>
            <w:tcW w:w="625" w:type="dxa"/>
          </w:tcPr>
          <w:p w14:paraId="37428D20" w14:textId="77777777" w:rsidR="003F7B9F" w:rsidRDefault="003F7B9F" w:rsidP="002E21E5">
            <w:pPr>
              <w:tabs>
                <w:tab w:val="left" w:pos="0"/>
                <w:tab w:val="left" w:pos="1700"/>
              </w:tabs>
              <w:spacing w:before="120" w:after="120"/>
              <w:ind w:left="0"/>
              <w:rPr>
                <w:i/>
                <w:iCs/>
              </w:rPr>
            </w:pPr>
            <w:r>
              <w:rPr>
                <w:i/>
                <w:iCs/>
                <w:color w:val="auto"/>
              </w:rPr>
              <w:t xml:space="preserve">   </w:t>
            </w:r>
            <w:r w:rsidRPr="00AC3D40">
              <w:rPr>
                <w:i/>
                <w:iCs/>
                <w:color w:val="auto"/>
              </w:rPr>
              <w:t>s</w:t>
            </w:r>
          </w:p>
        </w:tc>
        <w:tc>
          <w:tcPr>
            <w:tcW w:w="316" w:type="dxa"/>
          </w:tcPr>
          <w:p w14:paraId="0F2CD6AD" w14:textId="77777777" w:rsidR="003F7B9F" w:rsidRDefault="003F7B9F" w:rsidP="002E21E5">
            <w:pPr>
              <w:tabs>
                <w:tab w:val="left" w:pos="0"/>
                <w:tab w:val="left" w:pos="1700"/>
              </w:tabs>
              <w:spacing w:before="120" w:after="120"/>
              <w:ind w:left="0"/>
              <w:rPr>
                <w:i/>
                <w:iCs/>
              </w:rPr>
            </w:pPr>
            <w:r>
              <w:rPr>
                <w:i/>
                <w:iCs/>
              </w:rPr>
              <w:t>=</w:t>
            </w:r>
          </w:p>
        </w:tc>
        <w:tc>
          <w:tcPr>
            <w:tcW w:w="7789" w:type="dxa"/>
          </w:tcPr>
          <w:p w14:paraId="46345A5A" w14:textId="77777777" w:rsidR="003F7B9F" w:rsidRDefault="003F7B9F" w:rsidP="002E21E5">
            <w:pPr>
              <w:tabs>
                <w:tab w:val="left" w:pos="0"/>
                <w:tab w:val="left" w:pos="1700"/>
              </w:tabs>
              <w:spacing w:before="120" w:after="120"/>
              <w:ind w:left="0"/>
              <w:rPr>
                <w:i/>
                <w:iCs/>
              </w:rPr>
            </w:pPr>
            <w:r w:rsidRPr="00AC3D40">
              <w:rPr>
                <w:color w:val="auto"/>
              </w:rPr>
              <w:t>standard deviation of the factor</w:t>
            </w:r>
          </w:p>
        </w:tc>
      </w:tr>
    </w:tbl>
    <w:p w14:paraId="48EEF6D6" w14:textId="77777777" w:rsidR="003F7B9F" w:rsidRDefault="003F7B9F" w:rsidP="00A35EAF">
      <w:pPr>
        <w:pStyle w:val="BodyText"/>
      </w:pPr>
      <w:r>
        <w:t>This formula could be applied to compute factor precision for each month. The formula provides the results in the same units of measure as the factors used to compute mean and standard deviation values.</w:t>
      </w:r>
    </w:p>
    <w:p w14:paraId="1280507A" w14:textId="492182FA" w:rsidR="003F7B9F" w:rsidRPr="00A6031B" w:rsidRDefault="003F7B9F" w:rsidP="00A35EAF">
      <w:pPr>
        <w:pStyle w:val="BodyText"/>
      </w:pPr>
      <w:r>
        <w:t xml:space="preserve">The results could be used to identify what short-term count months could potentially lead to the highest errors in AADT estimation and eliminate these months from the short-term count schedule. The precision estimation results could also be used to identify months where high variability within the group is observed and to change the grouping of the sites to reduce high variability and improve the precision for certain months. </w:t>
      </w:r>
    </w:p>
    <w:p w14:paraId="5F9C1EE7" w14:textId="7D78AD8F" w:rsidR="003F7B9F" w:rsidRPr="00A6031B" w:rsidRDefault="003F7B9F" w:rsidP="00A35EAF">
      <w:pPr>
        <w:pStyle w:val="BodyText"/>
      </w:pPr>
      <w:r>
        <w:t>The above formula can be used to e</w:t>
      </w:r>
      <w:r w:rsidRPr="00A6031B">
        <w:t>stimat</w:t>
      </w:r>
      <w:r>
        <w:t>e</w:t>
      </w:r>
      <w:r w:rsidRPr="00A6031B">
        <w:t xml:space="preserve"> the sample size needed to achieve any desired precision intervals or confidence levels. Specifying the level of precision desired </w:t>
      </w:r>
      <w:r>
        <w:t>is a trade-off process</w:t>
      </w:r>
      <w:r w:rsidRPr="00A6031B">
        <w:t xml:space="preserve">. Very tight precision requires large sample sizes, which translate to expensive programs. Very loose precision reduces the usefulness of the data for decision-making purposes. Traditionally, </w:t>
      </w:r>
      <w:r>
        <w:t xml:space="preserve">the target precision for </w:t>
      </w:r>
      <w:r w:rsidRPr="00A6031B">
        <w:t xml:space="preserve">traffic </w:t>
      </w:r>
      <w:r>
        <w:t>factors</w:t>
      </w:r>
      <w:r w:rsidRPr="00A6031B">
        <w:t xml:space="preserve"> ha</w:t>
      </w:r>
      <w:r w:rsidR="00A6699A">
        <w:t>s</w:t>
      </w:r>
      <w:r w:rsidRPr="00A6031B">
        <w:t xml:space="preserve"> been plus or minus 10 percent</w:t>
      </w:r>
      <w:r>
        <w:t xml:space="preserve"> of the mean value</w:t>
      </w:r>
      <w:r w:rsidRPr="00A6031B">
        <w:t>. A precision of 10 percent can be established with a high confidence level or a low confidence level. The higher the confidence level desired, the higher the sample size required. Furthermore, the precision requirement could be applied individually to each seasonal group or to an aggregate statewide estimate based on more complex, stratified random sampling procedures.</w:t>
      </w:r>
    </w:p>
    <w:p w14:paraId="035A61CF" w14:textId="1D81A572" w:rsidR="003F7B9F" w:rsidRPr="00AC3D40" w:rsidRDefault="003F7B9F" w:rsidP="00A35EAF">
      <w:pPr>
        <w:pStyle w:val="BodyText"/>
      </w:pPr>
      <w:r w:rsidRPr="00AC3D40">
        <w:t>The recommended precision (i.e., reliability) levels for the adjustment factors are +/- 10 percent precision with 95</w:t>
      </w:r>
      <w:r w:rsidR="00851D60">
        <w:t> </w:t>
      </w:r>
      <w:r w:rsidRPr="00AC3D40">
        <w:t xml:space="preserve">percent confidence for each monthly adjustment factor group, excluding recreational groups where no target precision requirement is specified (under +/-25% is desired). </w:t>
      </w:r>
    </w:p>
    <w:p w14:paraId="3D66E62A" w14:textId="28FB35D5" w:rsidR="003F7B9F" w:rsidRPr="00AC3D40" w:rsidRDefault="003F7B9F" w:rsidP="00A119E0">
      <w:pPr>
        <w:pStyle w:val="CallOut"/>
        <w:rPr>
          <w:color w:val="auto"/>
        </w:rPr>
      </w:pPr>
      <w:r>
        <w:t>For non-recreational roads with moderately stable seasonal traffic volume pattern</w:t>
      </w:r>
      <w:r w:rsidRPr="00A6031B">
        <w:t xml:space="preserve">, </w:t>
      </w:r>
      <w:r>
        <w:t xml:space="preserve">typically, </w:t>
      </w:r>
      <w:r w:rsidRPr="00A6031B">
        <w:rPr>
          <w:b/>
          <w:bCs/>
        </w:rPr>
        <w:t xml:space="preserve">the number of continuous count locations </w:t>
      </w:r>
      <w:r>
        <w:rPr>
          <w:b/>
          <w:bCs/>
        </w:rPr>
        <w:t xml:space="preserve">recommended </w:t>
      </w:r>
      <w:r w:rsidRPr="00A6031B">
        <w:rPr>
          <w:b/>
          <w:bCs/>
        </w:rPr>
        <w:t xml:space="preserve">is </w:t>
      </w:r>
      <w:r>
        <w:rPr>
          <w:b/>
          <w:bCs/>
        </w:rPr>
        <w:t>a minimum of 6</w:t>
      </w:r>
      <w:r w:rsidRPr="00A6031B">
        <w:rPr>
          <w:b/>
          <w:bCs/>
        </w:rPr>
        <w:t xml:space="preserve"> per </w:t>
      </w:r>
      <w:r w:rsidRPr="00AC3D40">
        <w:rPr>
          <w:b/>
          <w:bCs/>
          <w:color w:val="auto"/>
        </w:rPr>
        <w:t>factor group</w:t>
      </w:r>
      <w:r w:rsidRPr="00AC3D40">
        <w:rPr>
          <w:color w:val="auto"/>
        </w:rPr>
        <w:t>, although cases exist where more locations are needed if high traffic variability exist</w:t>
      </w:r>
      <w:r w:rsidR="00A6699A">
        <w:rPr>
          <w:color w:val="auto"/>
        </w:rPr>
        <w:t>s</w:t>
      </w:r>
      <w:r w:rsidRPr="00AC3D40">
        <w:rPr>
          <w:color w:val="auto"/>
        </w:rPr>
        <w:t xml:space="preserve"> within the factor group. </w:t>
      </w:r>
    </w:p>
    <w:p w14:paraId="2F98BA4B" w14:textId="77777777" w:rsidR="003F7B9F" w:rsidRPr="00A6031B" w:rsidDel="00783B2F" w:rsidRDefault="003F7B9F" w:rsidP="00A35EAF">
      <w:pPr>
        <w:pStyle w:val="BodyText"/>
      </w:pPr>
      <w:r w:rsidRPr="00A6031B" w:rsidDel="00783B2F">
        <w:t xml:space="preserve">The actual number of locations needed is a function of the variability of traffic patterns within that group and the precision desired; therefore, the required sample size may change from group to group. </w:t>
      </w:r>
    </w:p>
    <w:p w14:paraId="112F8B57" w14:textId="60285CE8" w:rsidR="002E21E5" w:rsidRDefault="003F7B9F" w:rsidP="00A35EAF">
      <w:pPr>
        <w:pStyle w:val="BodyText"/>
      </w:pPr>
      <w:r w:rsidRPr="00A6031B" w:rsidDel="00783B2F">
        <w:t xml:space="preserve">Recreational factor groups usually are monitored with a smaller number of continuous counters, simply because recreational patterns tend to cover a small number of roads; it is not economically justifiable to maintain five to eight stations to track a small number of roads. The number of stations assigned to the recreational groups depends on the importance assigned by the planning agency to the monitoring of recreational travel, the importance of recreational travel in the State, and the different recreational patterns identified. </w:t>
      </w:r>
    </w:p>
    <w:p w14:paraId="0781143D" w14:textId="77777777" w:rsidR="002E21E5" w:rsidRDefault="002E21E5">
      <w:pPr>
        <w:widowControl/>
        <w:suppressAutoHyphens w:val="0"/>
        <w:autoSpaceDE/>
        <w:autoSpaceDN/>
        <w:adjustRightInd/>
        <w:spacing w:line="259" w:lineRule="auto"/>
        <w:jc w:val="left"/>
        <w:textAlignment w:val="auto"/>
        <w:rPr>
          <w:color w:val="auto"/>
        </w:rPr>
      </w:pPr>
      <w:r>
        <w:br w:type="page"/>
      </w:r>
    </w:p>
    <w:p w14:paraId="68015601" w14:textId="77777777" w:rsidR="003F7B9F" w:rsidRPr="002E21E5" w:rsidRDefault="003F7B9F" w:rsidP="00A35EAF">
      <w:pPr>
        <w:pStyle w:val="BodyText"/>
        <w:rPr>
          <w:rFonts w:ascii="Cambria" w:hAnsi="Cambria"/>
          <w:i/>
          <w:iCs/>
          <w:sz w:val="22"/>
          <w:szCs w:val="22"/>
        </w:rPr>
      </w:pPr>
      <w:bookmarkStart w:id="1652" w:name="_Toc63977873"/>
      <w:r w:rsidRPr="002E21E5">
        <w:rPr>
          <w:rFonts w:ascii="Cambria" w:hAnsi="Cambria"/>
          <w:i/>
          <w:iCs/>
          <w:sz w:val="22"/>
          <w:szCs w:val="22"/>
        </w:rPr>
        <w:lastRenderedPageBreak/>
        <w:t>Select Number of Continuously Counting Sites for Pedestrian and Micromobility Monitoring Program</w:t>
      </w:r>
      <w:bookmarkEnd w:id="1652"/>
    </w:p>
    <w:p w14:paraId="164D568F" w14:textId="19A73685" w:rsidR="003F7B9F" w:rsidRPr="00A6031B" w:rsidRDefault="003F7B9F" w:rsidP="00A35EAF">
      <w:pPr>
        <w:pStyle w:val="BodyText"/>
      </w:pPr>
      <w:r>
        <w:t>T</w:t>
      </w:r>
      <w:r w:rsidRPr="00A6031B">
        <w:t xml:space="preserve">he </w:t>
      </w:r>
      <w:bookmarkStart w:id="1653" w:name="_Hlk50470022"/>
      <w:r>
        <w:t>micromobility</w:t>
      </w:r>
      <w:r w:rsidRPr="00A6031B">
        <w:t xml:space="preserve"> </w:t>
      </w:r>
      <w:r>
        <w:t xml:space="preserve">monitoring </w:t>
      </w:r>
      <w:r w:rsidRPr="00A6031B">
        <w:t xml:space="preserve">program </w:t>
      </w:r>
      <w:bookmarkEnd w:id="1653"/>
      <w:r w:rsidRPr="00A6031B">
        <w:t>is modeled after the motorized traffic monitoring program</w:t>
      </w:r>
      <w:r>
        <w:t>.</w:t>
      </w:r>
      <w:r w:rsidRPr="00A6031B">
        <w:t xml:space="preserve"> </w:t>
      </w:r>
    </w:p>
    <w:p w14:paraId="2FFE5888" w14:textId="6CAA4C2A" w:rsidR="003F7B9F" w:rsidRPr="00AC3D40" w:rsidRDefault="003F7B9F" w:rsidP="00A35EAF">
      <w:pPr>
        <w:pStyle w:val="BodyText"/>
      </w:pPr>
      <w:r w:rsidRPr="00A6031B">
        <w:t xml:space="preserve">The number of continuous counting sites an agency chooses </w:t>
      </w:r>
      <w:r w:rsidRPr="00AC3D40">
        <w:t>to invest in is a factor of cost, geographic region, weather, traffic variability, and data sharing opportunities. In general, the number of continuous counting sites required to provide a statistically valid adjustment factors for micromobility monitoring program should follow the best practices and recommendations for the motorized program described in the previous section. It is further recommended that the micromobility program should have at least 5 total continuous counting sites per factor group.</w:t>
      </w:r>
    </w:p>
    <w:p w14:paraId="0305E485" w14:textId="53AA496C" w:rsidR="003F7B9F" w:rsidRPr="00AC3D40" w:rsidRDefault="003F7B9F" w:rsidP="00A35EAF">
      <w:pPr>
        <w:pStyle w:val="BodyText"/>
      </w:pPr>
      <w:bookmarkStart w:id="1654" w:name="_Hlk76054165"/>
      <w:r w:rsidRPr="00351122">
        <w:t>According to the Transportation Research Record</w:t>
      </w:r>
      <w:r w:rsidR="009678FB" w:rsidRPr="00351122">
        <w:t xml:space="preserve"> paper </w:t>
      </w:r>
      <w:r w:rsidR="00351122" w:rsidRPr="00351122">
        <w:t>“</w:t>
      </w:r>
      <w:r w:rsidR="009678FB" w:rsidRPr="00351122">
        <w:rPr>
          <w:i/>
          <w:iCs/>
        </w:rPr>
        <w:t>Minimizing Annual Average Daily Nonmotorized Traffic Estimation Errors: How Many Counters Are Needed per Factor Group?”</w:t>
      </w:r>
      <w:r w:rsidR="009678FB" w:rsidRPr="00351122">
        <w:t xml:space="preserve"> (NASEM 2019)</w:t>
      </w:r>
      <w:r w:rsidR="000B7214">
        <w:t>,</w:t>
      </w:r>
      <w:r w:rsidRPr="00351122">
        <w:t xml:space="preserve"> </w:t>
      </w:r>
      <w:bookmarkEnd w:id="1654"/>
      <w:r w:rsidRPr="00351122">
        <w:t>four or more</w:t>
      </w:r>
      <w:r w:rsidRPr="00AC3D40">
        <w:t xml:space="preserve"> counters per factor group for bicycle and five or more for pedestrian traffic monitoring are recommended.</w:t>
      </w:r>
    </w:p>
    <w:p w14:paraId="141C6E14" w14:textId="232916AE" w:rsidR="003F7B9F" w:rsidRPr="00AC3D40" w:rsidRDefault="003F7B9F" w:rsidP="00A35EAF">
      <w:pPr>
        <w:pStyle w:val="BodyText"/>
      </w:pPr>
      <w:r w:rsidRPr="00AC3D40">
        <w:t xml:space="preserve">The number of sites is driven by: (1) expected standard deviation (or variability) within the group and (2) statistical sampling rules to achieve confidence in computed statistic. </w:t>
      </w:r>
      <w:r w:rsidR="000B7214">
        <w:t>A d</w:t>
      </w:r>
      <w:r w:rsidRPr="00AC3D40">
        <w:t xml:space="preserve">ecrease from 6 to 4 sites will result in 50% decrease in statistical measure of precision (or 50% increase in computed expected mean error range) </w:t>
      </w:r>
      <w:r w:rsidR="000B7214">
        <w:t>(</w:t>
      </w:r>
      <w:r w:rsidRPr="00AC3D40">
        <w:t xml:space="preserve">see values of t-statistic in </w:t>
      </w:r>
      <w:fldSimple w:instr=" REF _Ref113787647 ">
        <w:r w:rsidR="00C07DF9" w:rsidRPr="009D3502">
          <w:t xml:space="preserve">Figure </w:t>
        </w:r>
        <w:r w:rsidR="00C07DF9">
          <w:rPr>
            <w:noProof/>
          </w:rPr>
          <w:t>3</w:t>
        </w:r>
        <w:r w:rsidR="00C07DF9">
          <w:noBreakHyphen/>
        </w:r>
        <w:r w:rsidR="00C07DF9">
          <w:rPr>
            <w:noProof/>
          </w:rPr>
          <w:t>2</w:t>
        </w:r>
      </w:fldSimple>
      <w:r w:rsidR="00445606">
        <w:t xml:space="preserve"> in Section 3.2.6</w:t>
      </w:r>
      <w:r w:rsidR="007B0794">
        <w:t xml:space="preserve"> </w:t>
      </w:r>
      <w:r w:rsidRPr="00AC3D40">
        <w:t>for 4 and 6 sites</w:t>
      </w:r>
      <w:r w:rsidR="000B7214">
        <w:t>)</w:t>
      </w:r>
      <w:r w:rsidRPr="00AC3D40">
        <w:t>.</w:t>
      </w:r>
    </w:p>
    <w:p w14:paraId="21B7ABBE" w14:textId="0179137B" w:rsidR="003F7B9F" w:rsidRPr="00A6031B" w:rsidRDefault="003F7B9F" w:rsidP="00A35EAF">
      <w:pPr>
        <w:pStyle w:val="BodyText"/>
      </w:pPr>
      <w:r w:rsidRPr="00AC3D40">
        <w:t>There are significant differences between micromobility and motorized traffic monitoring.</w:t>
      </w:r>
      <w:r w:rsidR="004D4172">
        <w:t xml:space="preserve"> </w:t>
      </w:r>
      <w:r w:rsidRPr="00AC3D40">
        <w:t xml:space="preserve">These differences include the number of monitoring sites, the amount of staff to manage the data, and how the data </w:t>
      </w:r>
      <w:r w:rsidR="000B7214">
        <w:t>are</w:t>
      </w:r>
      <w:r w:rsidR="000B7214" w:rsidRPr="00AC3D40">
        <w:t xml:space="preserve"> </w:t>
      </w:r>
      <w:r w:rsidRPr="00AC3D40">
        <w:t>managed (annual statistics creation and publication). Currently, most micromobility data collection programs have a much smaller number of monitoring locations than motorized vehicle count programs. Because of the smaller number of count stations and the relatively short length of</w:t>
      </w:r>
      <w:r w:rsidR="004D4172">
        <w:t xml:space="preserve"> </w:t>
      </w:r>
      <w:r w:rsidRPr="00AC3D40">
        <w:t>micromobility traveler trips, the potential for determining overall system or network micromobility usage is limited.</w:t>
      </w:r>
      <w:r w:rsidR="004D4172">
        <w:t xml:space="preserve"> </w:t>
      </w:r>
      <w:r w:rsidRPr="00AC3D40">
        <w:t xml:space="preserve">Without a formal micromobility data collection program, micromobility count locations are often chosen based on highest usage levels and/or a specific project or site need for information such as a strategic area of facility improvement. Establishing a formal micromobility data collection program includes developing standard methods for capturing data that contributes to the entire network or system. This includes following the motorized standard methodologies for selecting sites, purchasing equipment, and analyzing data. For example, one site selection criteria that is established for selecting monitoring sites is a “representative coverage sample” where micromobility sites are selected based on a need for representation of the entire network or system. Without a formal data collection program, limited data </w:t>
      </w:r>
      <w:r w:rsidR="004B4530">
        <w:t>are</w:t>
      </w:r>
      <w:r w:rsidR="004B4530" w:rsidRPr="00AC3D40">
        <w:t xml:space="preserve"> </w:t>
      </w:r>
      <w:r w:rsidRPr="00AC3D40">
        <w:t xml:space="preserve">collected with limited resources for specific data or project uses. These limited data collection activities and location samples represent </w:t>
      </w:r>
      <w:r w:rsidRPr="00A6031B">
        <w:t>a biased estimate of overall usage and trends for a city or State and are not recommended to be used for network or overall system usage conclusions.</w:t>
      </w:r>
    </w:p>
    <w:p w14:paraId="1E446487" w14:textId="7DF22779" w:rsidR="003F7B9F" w:rsidRPr="00517F7A" w:rsidRDefault="003F7B9F">
      <w:pPr>
        <w:pStyle w:val="Heading4"/>
      </w:pPr>
      <w:bookmarkStart w:id="1655" w:name="_Toc45604634"/>
      <w:bookmarkStart w:id="1656" w:name="_Toc63977874"/>
      <w:bookmarkStart w:id="1657" w:name="_Toc63982622"/>
      <w:bookmarkStart w:id="1658" w:name="_Toc68190189"/>
      <w:bookmarkStart w:id="1659" w:name="_Toc118205617"/>
      <w:r w:rsidRPr="00517F7A">
        <w:t>Step 6: Select Specific Count Locations</w:t>
      </w:r>
      <w:bookmarkEnd w:id="1655"/>
      <w:bookmarkEnd w:id="1656"/>
      <w:bookmarkEnd w:id="1657"/>
      <w:bookmarkEnd w:id="1658"/>
      <w:bookmarkEnd w:id="1659"/>
    </w:p>
    <w:p w14:paraId="40D153FA" w14:textId="77777777" w:rsidR="003F7B9F" w:rsidRPr="00A6031B" w:rsidRDefault="003F7B9F" w:rsidP="00A35EAF">
      <w:pPr>
        <w:pStyle w:val="BodyText"/>
      </w:pPr>
      <w:r w:rsidRPr="00A6031B">
        <w:t xml:space="preserve">Once the number of groups and the number of continuous count locations for each group have been established, the existing locations can be modified if revision is </w:t>
      </w:r>
      <w:r w:rsidRPr="00AC3D40">
        <w:t>necessary. The first step is to examine how many continuous counters are located within each of the defined groups. This number is then compared to the number of locations necessary for that group to meet the required levels of factor precision (i.e., reliability). If the examination reveals a shortage of current continuous count locations, the agency should select new locations to place continuous counters within that defined group. Since the number of additional locations may be small, the recommendation is to select and includ</w:t>
      </w:r>
      <w:r w:rsidRPr="00A6031B">
        <w:t>e them as soon as possible. Additional issues that should be considered when selecting locations to expand the sample size are reviewed in the following paragraphs.</w:t>
      </w:r>
    </w:p>
    <w:p w14:paraId="398F7BDB" w14:textId="49E1B9F5" w:rsidR="003F7B9F" w:rsidRPr="00AC3D40" w:rsidRDefault="003F7B9F" w:rsidP="00A35EAF">
      <w:pPr>
        <w:pStyle w:val="BodyText"/>
      </w:pPr>
      <w:r w:rsidRPr="00A6031B">
        <w:t>If a surplus of continuous counters within a group exists, then redundant locations may be eliminated. Also, some locations in a given factor group may fall out of the group (change in travel pattern or lack of complete data) for the given year</w:t>
      </w:r>
      <w:r w:rsidR="004B4530">
        <w:t>,</w:t>
      </w:r>
      <w:r w:rsidRPr="00A6031B">
        <w:t xml:space="preserve"> hence having extra</w:t>
      </w:r>
      <w:r w:rsidR="004B4530">
        <w:t>s</w:t>
      </w:r>
      <w:r w:rsidRPr="00A6031B">
        <w:t xml:space="preserve"> in a group permits th</w:t>
      </w:r>
      <w:r>
        <w:t>ese types of small changes</w:t>
      </w:r>
      <w:r w:rsidRPr="00A6031B">
        <w:t>.</w:t>
      </w:r>
      <w:r w:rsidR="004D4172">
        <w:t xml:space="preserve"> </w:t>
      </w:r>
      <w:r w:rsidRPr="00A6031B">
        <w:t xml:space="preserve">However, it should be noted that additional locations </w:t>
      </w:r>
      <w:r w:rsidRPr="00AC3D40">
        <w:t xml:space="preserve">increase the statistical reliability of the data and keeping them for that purpose is recommended. If the surplus is large and the reduction is desired, it should be planned in stages to ensure that the cuts do not affect reliability in unexpected ways. For example, if 12 locations are available and six are needed, then the reduction </w:t>
      </w:r>
      <w:r w:rsidR="004B4530">
        <w:t xml:space="preserve">should </w:t>
      </w:r>
      <w:r w:rsidRPr="00AC3D40">
        <w:t xml:space="preserve">be carried out by discontinuing locations annually over a period of </w:t>
      </w:r>
      <w:r w:rsidR="004B4530">
        <w:t>3</w:t>
      </w:r>
      <w:r w:rsidR="004B4530" w:rsidRPr="00AC3D40">
        <w:t xml:space="preserve"> </w:t>
      </w:r>
      <w:r w:rsidRPr="00AC3D40">
        <w:t xml:space="preserve">years. The sample size and precision analysis should be repeated each time prior to the sites being dropped from the group to ensure that the desired precision has been maintained without the data from the sites identified for deletion. Maintaining a </w:t>
      </w:r>
      <w:r w:rsidRPr="00AC3D40">
        <w:lastRenderedPageBreak/>
        <w:t>few (two to three) additional surplus locations helps supplement the groups and compensate for equipment downtime or missing permanent site data.</w:t>
      </w:r>
    </w:p>
    <w:p w14:paraId="508F58D3" w14:textId="77777777" w:rsidR="003F7B9F" w:rsidRPr="00AC3D40" w:rsidRDefault="003F7B9F" w:rsidP="00E229BE">
      <w:pPr>
        <w:pStyle w:val="BodyText"/>
      </w:pPr>
      <w:r w:rsidRPr="00AC3D40">
        <w:t xml:space="preserve">Site and location </w:t>
      </w:r>
      <w:r w:rsidRPr="00E229BE">
        <w:t>reductions</w:t>
      </w:r>
      <w:r w:rsidRPr="00AC3D40">
        <w:t xml:space="preserve"> should be carefully considered, including the following:</w:t>
      </w:r>
    </w:p>
    <w:p w14:paraId="264F6F72" w14:textId="77777777" w:rsidR="003F7B9F" w:rsidRPr="00244862" w:rsidRDefault="003F7B9F">
      <w:pPr>
        <w:pStyle w:val="TMGBullet"/>
      </w:pPr>
      <w:r w:rsidRPr="00244862">
        <w:t xml:space="preserve">Other uses of existing information or other reasons the sites are important – as mentioned previously, seasonality is not the only objective for use of continuous count data. Each State should ensure that these other criteria are met before discontinuation. Additional locations increase the reliability of the factored data. </w:t>
      </w:r>
    </w:p>
    <w:p w14:paraId="50732541" w14:textId="77777777" w:rsidR="003F7B9F" w:rsidRPr="00244862" w:rsidRDefault="003F7B9F">
      <w:pPr>
        <w:pStyle w:val="TMGBullet"/>
      </w:pPr>
      <w:r w:rsidRPr="00244862">
        <w:t xml:space="preserve">Quality of the traffic data – continuous counter data are subject to many discontinuities due to downtime, which results in missing data, and to the issues of data adjustment and sensor issues. </w:t>
      </w:r>
    </w:p>
    <w:p w14:paraId="6C691B55" w14:textId="77777777" w:rsidR="003F7B9F" w:rsidRPr="00244862" w:rsidRDefault="003F7B9F">
      <w:pPr>
        <w:pStyle w:val="TMGBullet"/>
      </w:pPr>
      <w:r w:rsidRPr="00244862">
        <w:t xml:space="preserve">Existing locations – available locations from traffic control or other programs may be candidates for upgrading to continuous status. </w:t>
      </w:r>
    </w:p>
    <w:p w14:paraId="174A7B3A" w14:textId="77777777" w:rsidR="003F7B9F" w:rsidRPr="00244862" w:rsidRDefault="003F7B9F">
      <w:pPr>
        <w:pStyle w:val="TMGBullet"/>
      </w:pPr>
      <w:r w:rsidRPr="00244862">
        <w:t xml:space="preserve">Location on or near HPMS sites – because of the direct linkage to the HPMS sample sections, these locations should be given priority. </w:t>
      </w:r>
    </w:p>
    <w:p w14:paraId="1F66108D" w14:textId="77777777" w:rsidR="003F7B9F" w:rsidRPr="00244862" w:rsidRDefault="003F7B9F">
      <w:pPr>
        <w:pStyle w:val="TMGBullet"/>
      </w:pPr>
      <w:r w:rsidRPr="00244862">
        <w:t xml:space="preserve">Tie-in to the classification, speed, or weight programs – coordination with other programs is essential. </w:t>
      </w:r>
    </w:p>
    <w:p w14:paraId="2995B8B5" w14:textId="77777777" w:rsidR="003F7B9F" w:rsidRPr="00244862" w:rsidRDefault="003F7B9F">
      <w:pPr>
        <w:pStyle w:val="TMGBullet"/>
      </w:pPr>
      <w:r w:rsidRPr="00244862">
        <w:t>Distribution over geographical areas of the State.</w:t>
      </w:r>
    </w:p>
    <w:p w14:paraId="6FDBB62B" w14:textId="77777777" w:rsidR="003F7B9F" w:rsidRPr="00244862" w:rsidRDefault="003F7B9F">
      <w:pPr>
        <w:pStyle w:val="TMGBullet"/>
      </w:pPr>
      <w:r w:rsidRPr="00244862">
        <w:t>Distribution by functional class system.</w:t>
      </w:r>
    </w:p>
    <w:p w14:paraId="5AE87539" w14:textId="77777777" w:rsidR="003F7B9F" w:rsidRPr="00A6031B" w:rsidRDefault="003F7B9F">
      <w:pPr>
        <w:pStyle w:val="TMGBullet"/>
      </w:pPr>
      <w:r w:rsidRPr="00244862">
        <w:t>Random selection to reduce bias – new locations should be randomly selected.</w:t>
      </w:r>
    </w:p>
    <w:p w14:paraId="22E5F13D" w14:textId="324C678E" w:rsidR="003F7B9F" w:rsidRPr="006A2678" w:rsidRDefault="003F7B9F" w:rsidP="00A35EAF">
      <w:pPr>
        <w:pStyle w:val="BodyText"/>
        <w:rPr>
          <w:rStyle w:val="Strong"/>
          <w:rFonts w:ascii="Cambria" w:hAnsi="Cambria"/>
          <w:sz w:val="22"/>
          <w:szCs w:val="22"/>
        </w:rPr>
      </w:pPr>
      <w:r w:rsidRPr="006A2678">
        <w:rPr>
          <w:rStyle w:val="Strong"/>
          <w:rFonts w:ascii="Cambria" w:hAnsi="Cambria"/>
          <w:sz w:val="22"/>
          <w:szCs w:val="22"/>
        </w:rPr>
        <w:t>Micromobility Program Site Distribution</w:t>
      </w:r>
    </w:p>
    <w:p w14:paraId="6A64695B" w14:textId="443AA01B" w:rsidR="003F7B9F" w:rsidRPr="00AC3D40" w:rsidRDefault="003F7B9F" w:rsidP="00A35EAF">
      <w:pPr>
        <w:pStyle w:val="BodyText"/>
      </w:pPr>
      <w:r w:rsidRPr="00A6031B">
        <w:t xml:space="preserve">It is critical to understand the travel behaviors and </w:t>
      </w:r>
      <w:r w:rsidRPr="00AC3D40">
        <w:t>patterns of micromobility travelers to accurately determine where to count. Agencies that are new to micromobility traffic monitoring should follow the method of counting in locations that are most representative of a facility network such as locations that have high, medium, and low volumes and selecting sites that have geographical coverage of the entire network.</w:t>
      </w:r>
    </w:p>
    <w:p w14:paraId="292AAABE" w14:textId="2E8AEAAA" w:rsidR="003F7B9F" w:rsidRPr="00AC3D40" w:rsidRDefault="003F7B9F" w:rsidP="00A35EAF">
      <w:pPr>
        <w:pStyle w:val="BodyText"/>
      </w:pPr>
      <w:r w:rsidRPr="00AC3D40">
        <w:t>For motorized traffic, State DOTs have a short</w:t>
      </w:r>
      <w:r w:rsidR="006F079D">
        <w:t>-</w:t>
      </w:r>
      <w:r w:rsidRPr="00AC3D40">
        <w:t xml:space="preserve">term data program that provides traffic data for </w:t>
      </w:r>
      <w:r w:rsidRPr="00AC3D40">
        <w:rPr>
          <w:i/>
        </w:rPr>
        <w:t>all</w:t>
      </w:r>
      <w:r w:rsidRPr="00AC3D40">
        <w:t xml:space="preserve"> </w:t>
      </w:r>
      <w:r w:rsidR="006F079D">
        <w:t>F</w:t>
      </w:r>
      <w:r w:rsidRPr="00AC3D40">
        <w:t xml:space="preserve">ederal aid roads (spatial coverage) on their State highway system. </w:t>
      </w:r>
    </w:p>
    <w:p w14:paraId="64E4F6F7" w14:textId="668AF798" w:rsidR="003F7B9F" w:rsidRPr="00A6031B" w:rsidRDefault="003F7B9F" w:rsidP="00A35EAF">
      <w:pPr>
        <w:pStyle w:val="BodyText"/>
      </w:pPr>
      <w:r w:rsidRPr="00AC3D40">
        <w:t>The number of short</w:t>
      </w:r>
      <w:r w:rsidR="006F079D">
        <w:t>-</w:t>
      </w:r>
      <w:r w:rsidRPr="00AC3D40">
        <w:t xml:space="preserve">term count locations for a micromobility program will depend on the available budget and the planned uses of the count data. For most regions getting started with counting micromobility travel, the short-term count program </w:t>
      </w:r>
      <w:r w:rsidRPr="00A6031B">
        <w:t>is best developed by working with other key stakeholders interested in collecting and using these data. By discussing needs and budgets, this group can identify and prioritize the special</w:t>
      </w:r>
      <w:r w:rsidR="006F079D">
        <w:t>-</w:t>
      </w:r>
      <w:r w:rsidRPr="00A6031B">
        <w:t>needs short</w:t>
      </w:r>
      <w:r w:rsidR="006F079D">
        <w:t>-term</w:t>
      </w:r>
      <w:r w:rsidRPr="00A6031B">
        <w:t xml:space="preserve"> count locations </w:t>
      </w:r>
      <w:r w:rsidR="006F079D">
        <w:t>that</w:t>
      </w:r>
      <w:r w:rsidR="006F079D" w:rsidRPr="00A6031B">
        <w:t xml:space="preserve"> </w:t>
      </w:r>
      <w:r w:rsidRPr="00A6031B">
        <w:t>the available data collection budget can afford to collect. (These same discussions should also identify those key regional facilities that should be used for early deployment of permanent counters that will then be used to expand the short</w:t>
      </w:r>
      <w:r w:rsidR="006F079D">
        <w:t>-term</w:t>
      </w:r>
      <w:r w:rsidRPr="00A6031B">
        <w:t xml:space="preserve"> count data into estimates of annual and peak use.) The special needs counts will then provide the data needed to guide the development of a more statistically valid sample of short</w:t>
      </w:r>
      <w:r w:rsidR="006F079D">
        <w:t>-term</w:t>
      </w:r>
      <w:r w:rsidRPr="00A6031B">
        <w:t xml:space="preserve"> count locations.</w:t>
      </w:r>
    </w:p>
    <w:p w14:paraId="3EE3478F" w14:textId="096D0DDE" w:rsidR="003F7B9F" w:rsidRPr="00A6031B" w:rsidRDefault="003F7B9F" w:rsidP="00A35EAF">
      <w:pPr>
        <w:pStyle w:val="BodyText"/>
      </w:pPr>
      <w:r w:rsidRPr="00A6031B">
        <w:t xml:space="preserve">The distribution of where to locate continuous counters should include a site selection methodology that is established to determine where an investment in continuous counting equipment is best utilized. </w:t>
      </w:r>
      <w:r w:rsidR="006F079D">
        <w:t>Noteworthy</w:t>
      </w:r>
      <w:r w:rsidR="006F079D" w:rsidRPr="00A6031B">
        <w:t xml:space="preserve"> </w:t>
      </w:r>
      <w:r w:rsidRPr="00A6031B">
        <w:t xml:space="preserve">practices for selecting sites have been documented and </w:t>
      </w:r>
      <w:r w:rsidR="006F079D">
        <w:t>are</w:t>
      </w:r>
      <w:r w:rsidR="006F079D" w:rsidRPr="00A6031B">
        <w:t xml:space="preserve"> </w:t>
      </w:r>
      <w:r w:rsidRPr="00A6031B">
        <w:t xml:space="preserve">provided in </w:t>
      </w:r>
      <w:r w:rsidRPr="00295E77">
        <w:t>Appendix</w:t>
      </w:r>
      <w:r w:rsidR="004A6DE0" w:rsidRPr="00295E77">
        <w:t xml:space="preserve"> </w:t>
      </w:r>
      <w:r w:rsidR="00295E77" w:rsidRPr="00295E77">
        <w:t>H</w:t>
      </w:r>
      <w:r w:rsidRPr="00295E77">
        <w:t xml:space="preserve"> for</w:t>
      </w:r>
      <w:r w:rsidRPr="00A6031B">
        <w:t xml:space="preserve"> Nonmotorized Site Selection Methods for Continuous and Short-</w:t>
      </w:r>
      <w:r>
        <w:t>Term</w:t>
      </w:r>
      <w:r w:rsidRPr="00A6031B">
        <w:t xml:space="preserve"> Volume Counting. </w:t>
      </w:r>
      <w:r>
        <w:t>A</w:t>
      </w:r>
      <w:r w:rsidRPr="00A6031B">
        <w:t>gencies</w:t>
      </w:r>
      <w:r>
        <w:t xml:space="preserve"> should</w:t>
      </w:r>
      <w:r w:rsidRPr="00A6031B">
        <w:t xml:space="preserve"> follow these guidelines when determining how many and where to install continuous counting sites.</w:t>
      </w:r>
      <w:r w:rsidR="004D4172">
        <w:t xml:space="preserve"> </w:t>
      </w:r>
    </w:p>
    <w:p w14:paraId="303D0D05" w14:textId="67A50320" w:rsidR="003F7B9F" w:rsidRPr="003C4B23" w:rsidRDefault="003F7B9F" w:rsidP="00A119E0">
      <w:pPr>
        <w:pStyle w:val="CallOut"/>
      </w:pPr>
      <w:r w:rsidRPr="003C4B23">
        <w:t>As stated in these guidelines, it is recommended that agencies p</w:t>
      </w:r>
      <w:r w:rsidR="006F079D">
        <w:t>r</w:t>
      </w:r>
      <w:r w:rsidRPr="003C4B23">
        <w:t>eform a short-term count for at least 2 weeks prior to installing continuous counting equipment to ensure travelers are present on the facility being considered for continuous counting instrumentation.</w:t>
      </w:r>
      <w:r w:rsidR="004D4172">
        <w:t xml:space="preserve"> </w:t>
      </w:r>
    </w:p>
    <w:p w14:paraId="31294B04" w14:textId="4BF8AA87" w:rsidR="003F7B9F" w:rsidRPr="00A6031B" w:rsidRDefault="003F7B9F" w:rsidP="00A35EAF">
      <w:pPr>
        <w:pStyle w:val="BodyText"/>
      </w:pPr>
      <w:r w:rsidRPr="00A6031B">
        <w:t xml:space="preserve">The </w:t>
      </w:r>
      <w:r>
        <w:t>reason for</w:t>
      </w:r>
      <w:r w:rsidRPr="00A6031B">
        <w:t xml:space="preserve"> collecting a </w:t>
      </w:r>
      <w:r w:rsidR="006F079D">
        <w:t>2</w:t>
      </w:r>
      <w:r w:rsidRPr="00A6031B">
        <w:t xml:space="preserve">-week </w:t>
      </w:r>
      <w:r>
        <w:t>short-term</w:t>
      </w:r>
      <w:r w:rsidRPr="00A6031B">
        <w:t xml:space="preserve"> count prior to installing continuous counting equipment </w:t>
      </w:r>
      <w:r w:rsidR="006F079D">
        <w:t xml:space="preserve">is to </w:t>
      </w:r>
      <w:r w:rsidRPr="00A6031B">
        <w:t>ensure travelers are using the facility</w:t>
      </w:r>
      <w:r w:rsidR="006F079D">
        <w:t>.</w:t>
      </w:r>
      <w:r w:rsidRPr="00A6031B">
        <w:t xml:space="preserve"> </w:t>
      </w:r>
      <w:r w:rsidR="006F079D">
        <w:t>I</w:t>
      </w:r>
      <w:r w:rsidRPr="00A6031B">
        <w:t xml:space="preserve">t </w:t>
      </w:r>
      <w:r>
        <w:t>then</w:t>
      </w:r>
      <w:r w:rsidRPr="00A6031B">
        <w:t xml:space="preserve"> provides a baseline dataset in which traffic patterns can be evaluated. Evaluating traffic patterns can help to determine if a continuous counter is needed for representation of a traffic volume group such as high, medium, or low volume. </w:t>
      </w:r>
    </w:p>
    <w:p w14:paraId="182F95E6" w14:textId="0653B91E" w:rsidR="003F7B9F" w:rsidRPr="00A6031B" w:rsidRDefault="003F7B9F" w:rsidP="00A35EAF">
      <w:pPr>
        <w:pStyle w:val="BodyText"/>
      </w:pPr>
      <w:r w:rsidRPr="00A6031B">
        <w:t>Once general monitoring locations have been identified, the most suitable counter positioning should be determined. It is critical to invest time in the site selection process</w:t>
      </w:r>
      <w:r w:rsidR="002126BC">
        <w:t>,</w:t>
      </w:r>
      <w:r w:rsidRPr="00A6031B">
        <w:t xml:space="preserve"> as determining where to count is the foundation of a statistically valid</w:t>
      </w:r>
      <w:r>
        <w:t xml:space="preserve"> micromobility</w:t>
      </w:r>
      <w:r w:rsidRPr="00A6031B">
        <w:t xml:space="preserve"> count program. The method for implementing site selection </w:t>
      </w:r>
      <w:r w:rsidRPr="00A6031B">
        <w:lastRenderedPageBreak/>
        <w:t xml:space="preserve">methods can be found </w:t>
      </w:r>
      <w:r w:rsidRPr="00295E77">
        <w:t xml:space="preserve">in </w:t>
      </w:r>
      <w:r w:rsidR="002126BC" w:rsidRPr="002050F3">
        <w:t>Appendix</w:t>
      </w:r>
      <w:r w:rsidR="002126BC" w:rsidRPr="00295E77">
        <w:t xml:space="preserve"> </w:t>
      </w:r>
      <w:r w:rsidR="00295E77">
        <w:t>H</w:t>
      </w:r>
      <w:r w:rsidR="002126BC">
        <w:t xml:space="preserve"> </w:t>
      </w:r>
      <w:r w:rsidRPr="00911AE2">
        <w:t xml:space="preserve">– </w:t>
      </w:r>
      <w:bookmarkStart w:id="1660" w:name="_Hlk31256795"/>
      <w:r w:rsidRPr="00911AE2">
        <w:t>Nonmotorized Site Selection Methods for Continuous and Short-Term Volume Counting</w:t>
      </w:r>
    </w:p>
    <w:bookmarkEnd w:id="1660"/>
    <w:p w14:paraId="749649EE" w14:textId="03528A4C" w:rsidR="003F7B9F" w:rsidRPr="003C4B23" w:rsidRDefault="003F7B9F" w:rsidP="00A119E0">
      <w:pPr>
        <w:pStyle w:val="CallOut"/>
      </w:pPr>
      <w:r w:rsidRPr="003C4B23">
        <w:t>The continuous count locations should provide geographical and volume density representative samples of high, low, and medium volume locations to achieve an overall statistically valid and un-biased estimate of facility usage in a city or statewide geographic region. This also applies to motorized traffic volume data programs.</w:t>
      </w:r>
      <w:r w:rsidR="004D4172">
        <w:t xml:space="preserve"> </w:t>
      </w:r>
    </w:p>
    <w:p w14:paraId="449F2433" w14:textId="41561B91" w:rsidR="003F7B9F" w:rsidRPr="00330E4F" w:rsidRDefault="003F7B9F" w:rsidP="00533AE2">
      <w:pPr>
        <w:pStyle w:val="BodyText"/>
        <w:spacing w:before="240"/>
        <w:rPr>
          <w:rStyle w:val="Strong"/>
          <w:rFonts w:ascii="Cambria" w:hAnsi="Cambria"/>
          <w:sz w:val="22"/>
          <w:szCs w:val="22"/>
        </w:rPr>
      </w:pPr>
      <w:bookmarkStart w:id="1661" w:name="_Toc45604635"/>
      <w:r w:rsidRPr="00330E4F">
        <w:rPr>
          <w:rStyle w:val="Strong"/>
          <w:rFonts w:ascii="Cambria" w:hAnsi="Cambria"/>
          <w:sz w:val="22"/>
          <w:szCs w:val="22"/>
        </w:rPr>
        <w:t xml:space="preserve">Micromobility Screen </w:t>
      </w:r>
      <w:r w:rsidR="00330E4F">
        <w:rPr>
          <w:rStyle w:val="Strong"/>
          <w:rFonts w:ascii="Cambria" w:hAnsi="Cambria"/>
          <w:sz w:val="22"/>
          <w:szCs w:val="22"/>
        </w:rPr>
        <w:t>L</w:t>
      </w:r>
      <w:r w:rsidRPr="00330E4F">
        <w:rPr>
          <w:rStyle w:val="Strong"/>
          <w:rFonts w:ascii="Cambria" w:hAnsi="Cambria"/>
          <w:sz w:val="22"/>
          <w:szCs w:val="22"/>
        </w:rPr>
        <w:t>ine (</w:t>
      </w:r>
      <w:r w:rsidR="00330E4F">
        <w:rPr>
          <w:rStyle w:val="Strong"/>
          <w:rFonts w:ascii="Cambria" w:hAnsi="Cambria"/>
          <w:sz w:val="22"/>
          <w:szCs w:val="22"/>
        </w:rPr>
        <w:t>M</w:t>
      </w:r>
      <w:r w:rsidRPr="00330E4F">
        <w:rPr>
          <w:rStyle w:val="Strong"/>
          <w:rFonts w:ascii="Cambria" w:hAnsi="Cambria"/>
          <w:sz w:val="22"/>
          <w:szCs w:val="22"/>
        </w:rPr>
        <w:t>id-block) versus Intersection Counts</w:t>
      </w:r>
    </w:p>
    <w:p w14:paraId="283C925E" w14:textId="77777777" w:rsidR="003F7B9F" w:rsidRPr="00AC3D40" w:rsidRDefault="003F7B9F" w:rsidP="00E229BE">
      <w:pPr>
        <w:pStyle w:val="BodyText"/>
      </w:pPr>
      <w:r w:rsidRPr="00AF011A">
        <w:t xml:space="preserve">The two basic location </w:t>
      </w:r>
      <w:r w:rsidRPr="00E229BE">
        <w:t>types</w:t>
      </w:r>
      <w:r w:rsidRPr="00AF011A">
        <w:t xml:space="preserve"> for </w:t>
      </w:r>
      <w:r w:rsidRPr="00AC3D40">
        <w:t>nonmotorized traffic monitoring are:</w:t>
      </w:r>
    </w:p>
    <w:p w14:paraId="36C7F1D2" w14:textId="4EC183F1" w:rsidR="003F7B9F" w:rsidRPr="00AC3D40" w:rsidRDefault="003F7B9F">
      <w:pPr>
        <w:pStyle w:val="TMGBullet"/>
        <w:rPr>
          <w:rFonts w:eastAsiaTheme="minorEastAsia"/>
        </w:rPr>
      </w:pPr>
      <w:r w:rsidRPr="00AC3D40">
        <w:rPr>
          <w:rFonts w:eastAsiaTheme="minorEastAsia"/>
        </w:rPr>
        <w:t xml:space="preserve">Screen line counts that are taken at a mid-segment location along a </w:t>
      </w:r>
      <w:r w:rsidRPr="00AC3D40">
        <w:t>micromobility</w:t>
      </w:r>
      <w:r w:rsidRPr="00AC3D40">
        <w:rPr>
          <w:rFonts w:eastAsiaTheme="minorEastAsia"/>
        </w:rPr>
        <w:t xml:space="preserve"> facility (e.g., sidewalk, bike lane, cycle track, shared</w:t>
      </w:r>
      <w:r w:rsidR="00126B03">
        <w:rPr>
          <w:rFonts w:eastAsiaTheme="minorEastAsia"/>
        </w:rPr>
        <w:t>-</w:t>
      </w:r>
      <w:r w:rsidRPr="00AC3D40">
        <w:rPr>
          <w:rFonts w:eastAsiaTheme="minorEastAsia"/>
        </w:rPr>
        <w:t>use path)</w:t>
      </w:r>
      <w:r w:rsidR="002126BC">
        <w:rPr>
          <w:rFonts w:eastAsiaTheme="minorEastAsia"/>
        </w:rPr>
        <w:t>.</w:t>
      </w:r>
    </w:p>
    <w:p w14:paraId="2F94DEAE" w14:textId="70EF9235" w:rsidR="003F7B9F" w:rsidRPr="00AC3D40" w:rsidRDefault="003F7B9F">
      <w:pPr>
        <w:pStyle w:val="TMGBullet"/>
        <w:rPr>
          <w:rFonts w:eastAsiaTheme="minorEastAsia"/>
        </w:rPr>
      </w:pPr>
      <w:r w:rsidRPr="00AC3D40">
        <w:rPr>
          <w:rFonts w:eastAsiaTheme="minorEastAsia"/>
        </w:rPr>
        <w:t xml:space="preserve">Intersection crossing counts that are taken where a </w:t>
      </w:r>
      <w:r w:rsidRPr="00AC3D40">
        <w:t>micromobility</w:t>
      </w:r>
      <w:r w:rsidRPr="00AC3D40">
        <w:rPr>
          <w:rFonts w:eastAsiaTheme="minorEastAsia"/>
        </w:rPr>
        <w:t xml:space="preserve"> facility crosses another facility of interest.</w:t>
      </w:r>
    </w:p>
    <w:p w14:paraId="7D2F876F" w14:textId="31C8FD68" w:rsidR="003F7B9F" w:rsidRPr="00AF011A" w:rsidRDefault="003F7B9F" w:rsidP="00A35EAF">
      <w:pPr>
        <w:pStyle w:val="BodyText"/>
      </w:pPr>
      <w:r w:rsidRPr="00AC3D40">
        <w:t>Screen line (also known as mid-block) counts are typically used to identify general use trends along a facility and are analogous to most short</w:t>
      </w:r>
      <w:r w:rsidR="002126BC">
        <w:t>-</w:t>
      </w:r>
      <w:r w:rsidRPr="00AC3D40">
        <w:t xml:space="preserve">term motorized traffic counts. Although taken at a specific location, screen line counts are sometimes applied to the full segment length to calculate vehicle-miles of travel, pedestrian-miles of travel, and bicyclist-miles of </w:t>
      </w:r>
      <w:r w:rsidRPr="00AF011A">
        <w:t>travel.</w:t>
      </w:r>
    </w:p>
    <w:p w14:paraId="236B9F71" w14:textId="77777777" w:rsidR="003F7B9F" w:rsidRPr="00AF011A" w:rsidRDefault="003F7B9F" w:rsidP="00A35EAF">
      <w:pPr>
        <w:pStyle w:val="BodyText"/>
      </w:pPr>
      <w:r w:rsidRPr="00AF011A">
        <w:t>Intersection crossing counts are typically used for safety and/or operational purposes and are most analogous to motorized intersection turning movement counts. Example applications include using intersection counts to determine exposure rates at high collision crossings, as well as to retime or reconfigure traffic signal phasing. Intersection counts are typically more complicated than screen line counts and may require additional counters, primarily because multiple intersection approaches are being counted at once.</w:t>
      </w:r>
    </w:p>
    <w:p w14:paraId="72D07E1A" w14:textId="4EB27FA0" w:rsidR="003F7B9F" w:rsidRPr="00517F7A" w:rsidRDefault="003F7B9F">
      <w:pPr>
        <w:pStyle w:val="Heading4"/>
      </w:pPr>
      <w:bookmarkStart w:id="1662" w:name="_Toc63977875"/>
      <w:bookmarkStart w:id="1663" w:name="_Toc63982623"/>
      <w:bookmarkStart w:id="1664" w:name="_Toc68190190"/>
      <w:bookmarkStart w:id="1665" w:name="_Toc118205618"/>
      <w:bookmarkStart w:id="1666" w:name="_Hlk48288248"/>
      <w:r w:rsidRPr="00517F7A">
        <w:t>Step 7: Compute Temporal Factors</w:t>
      </w:r>
      <w:bookmarkEnd w:id="1661"/>
      <w:bookmarkEnd w:id="1662"/>
      <w:bookmarkEnd w:id="1663"/>
      <w:bookmarkEnd w:id="1664"/>
      <w:bookmarkEnd w:id="1665"/>
    </w:p>
    <w:p w14:paraId="4382934C" w14:textId="24F093B7" w:rsidR="003F7B9F" w:rsidRDefault="003F7B9F" w:rsidP="00A35EAF">
      <w:pPr>
        <w:pStyle w:val="BodyText"/>
      </w:pPr>
      <w:r w:rsidRPr="00AC3D40">
        <w:t>It is critically important to remember AADT statistics represent an estimate of volume. The AADT statistic represents a volume number for any “average” day of a calendar year and is not meant to be a precise number representing the exact number of vehicles on an exact day of the year. Rather, the AADT is an estimate that is significantly influenced by many factors such as (1) duration of count, (2) how well the selected factor represents the monthly and DOW patterns, and (3) traffic volume variability at the site, etc. </w:t>
      </w:r>
      <w:r w:rsidR="00244862" w:rsidRPr="00AC3D40">
        <w:t>Generally,</w:t>
      </w:r>
      <w:r w:rsidRPr="00AC3D40">
        <w:t xml:space="preserve"> for high</w:t>
      </w:r>
      <w:r w:rsidR="002126BC">
        <w:t>-</w:t>
      </w:r>
      <w:r w:rsidRPr="00AC3D40">
        <w:t xml:space="preserve">quality installation and optimal counting </w:t>
      </w:r>
      <w:r w:rsidR="002126BC">
        <w:t xml:space="preserve">of </w:t>
      </w:r>
      <w:r w:rsidRPr="00AC3D40">
        <w:t xml:space="preserve">selected sites, AADT is known to be accurate within count tolerances and bias for traffic volumes on any given day in the published AADT calendar year. AADTs </w:t>
      </w:r>
      <w:r>
        <w:t xml:space="preserve">based on short-term counts </w:t>
      </w:r>
      <w:r w:rsidRPr="00AC3D40">
        <w:t xml:space="preserve">are calculated by applying adjustment factors to further advance the accuracy of the AADT statistic. FHWA provides </w:t>
      </w:r>
      <w:r w:rsidR="00FF08B7">
        <w:t>a</w:t>
      </w:r>
      <w:r w:rsidRPr="00AC3D40">
        <w:t xml:space="preserve"> Reference Accuracy table as guidance on calculating </w:t>
      </w:r>
      <w:r w:rsidRPr="00FF08B7">
        <w:t>AADTs</w:t>
      </w:r>
      <w:r w:rsidR="00E2730D" w:rsidRPr="00FF08B7">
        <w:t xml:space="preserve"> </w:t>
      </w:r>
      <w:r w:rsidR="00FF08B7" w:rsidRPr="00FF08B7">
        <w:t>(</w:t>
      </w:r>
      <w:r w:rsidR="006827F7">
        <w:fldChar w:fldCharType="begin"/>
      </w:r>
      <w:r w:rsidR="006827F7">
        <w:instrText xml:space="preserve"> REF _Ref114749907 \h </w:instrText>
      </w:r>
      <w:r w:rsidR="006827F7">
        <w:fldChar w:fldCharType="separate"/>
      </w:r>
      <w:r w:rsidR="00C07DF9">
        <w:t xml:space="preserve">Table </w:t>
      </w:r>
      <w:r w:rsidR="00C07DF9">
        <w:rPr>
          <w:noProof/>
        </w:rPr>
        <w:t>3</w:t>
      </w:r>
      <w:r w:rsidR="00C07DF9">
        <w:noBreakHyphen/>
      </w:r>
      <w:r w:rsidR="00C07DF9">
        <w:rPr>
          <w:noProof/>
        </w:rPr>
        <w:t>3</w:t>
      </w:r>
      <w:r w:rsidR="006827F7">
        <w:fldChar w:fldCharType="end"/>
      </w:r>
      <w:r w:rsidR="00FF08B7" w:rsidRPr="00FF08B7">
        <w:t>)</w:t>
      </w:r>
      <w:r w:rsidR="003643E1">
        <w:t xml:space="preserve">, which </w:t>
      </w:r>
      <w:r w:rsidR="005C2591">
        <w:t>i</w:t>
      </w:r>
      <w:r w:rsidR="003643E1">
        <w:t xml:space="preserve">s based on the </w:t>
      </w:r>
      <w:r w:rsidR="005C2591">
        <w:t>work performed in the “</w:t>
      </w:r>
      <w:r w:rsidR="003643E1">
        <w:t xml:space="preserve">AADT from ADT </w:t>
      </w:r>
      <w:r w:rsidR="005C2591">
        <w:t xml:space="preserve">Duration and Frequency” </w:t>
      </w:r>
      <w:r w:rsidR="003643E1">
        <w:t>pooled fund study</w:t>
      </w:r>
      <w:r w:rsidR="005C2591">
        <w:t xml:space="preserve"> (FHWA 2014).</w:t>
      </w:r>
    </w:p>
    <w:p w14:paraId="2ADA2107" w14:textId="3E4CA5A9" w:rsidR="00E211D7" w:rsidRDefault="00E211D7" w:rsidP="00330E4F">
      <w:pPr>
        <w:pStyle w:val="TMGTableCaption"/>
      </w:pPr>
      <w:bookmarkStart w:id="1667" w:name="_Ref114749907"/>
      <w:bookmarkStart w:id="1668" w:name="_Toc68874110"/>
      <w:bookmarkStart w:id="1669" w:name="_Toc114474823"/>
      <w:bookmarkStart w:id="1670" w:name="_Toc120631129"/>
      <w:r>
        <w:t xml:space="preserve">Table </w:t>
      </w:r>
      <w:fldSimple w:instr=" STYLEREF 1 \s ">
        <w:r w:rsidR="00C07DF9">
          <w:rPr>
            <w:noProof/>
          </w:rPr>
          <w:t>3</w:t>
        </w:r>
      </w:fldSimple>
      <w:r w:rsidR="00FE5355">
        <w:noBreakHyphen/>
      </w:r>
      <w:fldSimple w:instr=" SEQ Table \* ARABIC \s 1 ">
        <w:r w:rsidR="00C07DF9">
          <w:rPr>
            <w:noProof/>
          </w:rPr>
          <w:t>3</w:t>
        </w:r>
      </w:fldSimple>
      <w:bookmarkEnd w:id="1667"/>
      <w:r w:rsidR="00E34EB1">
        <w:t>.</w:t>
      </w:r>
      <w:r>
        <w:t xml:space="preserve"> Reference Accuracy and Precision for AADT Estimates</w:t>
      </w:r>
      <w:bookmarkEnd w:id="1668"/>
      <w:bookmarkEnd w:id="1669"/>
      <w:bookmarkEnd w:id="1670"/>
    </w:p>
    <w:tbl>
      <w:tblPr>
        <w:tblStyle w:val="LightList-Accent11"/>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6" w:type="dxa"/>
          <w:right w:w="86" w:type="dxa"/>
        </w:tblCellMar>
        <w:tblLook w:val="0620" w:firstRow="1" w:lastRow="0" w:firstColumn="0" w:lastColumn="0" w:noHBand="1" w:noVBand="1"/>
      </w:tblPr>
      <w:tblGrid>
        <w:gridCol w:w="3120"/>
        <w:gridCol w:w="3120"/>
        <w:gridCol w:w="3120"/>
      </w:tblGrid>
      <w:tr w:rsidR="00E211D7" w:rsidRPr="00397606" w14:paraId="5F42F1B4" w14:textId="77777777" w:rsidTr="00604906">
        <w:trPr>
          <w:cnfStyle w:val="100000000000" w:firstRow="1" w:lastRow="0" w:firstColumn="0" w:lastColumn="0" w:oddVBand="0" w:evenVBand="0" w:oddHBand="0" w:evenHBand="0" w:firstRowFirstColumn="0" w:firstRowLastColumn="0" w:lastRowFirstColumn="0" w:lastRowLastColumn="0"/>
          <w:jc w:val="center"/>
        </w:trPr>
        <w:tc>
          <w:tcPr>
            <w:tcW w:w="2852" w:type="dxa"/>
            <w:tcBorders>
              <w:right w:val="single" w:sz="4" w:space="0" w:color="FFFFFF" w:themeColor="background1"/>
            </w:tcBorders>
            <w:shd w:val="clear" w:color="auto" w:fill="1F3864"/>
            <w:vAlign w:val="center"/>
          </w:tcPr>
          <w:p w14:paraId="184387A4" w14:textId="40128752" w:rsidR="00E211D7" w:rsidRPr="00397606" w:rsidRDefault="00244862" w:rsidP="0017389B">
            <w:pPr>
              <w:pStyle w:val="TMGTableTextHeader"/>
              <w:rPr>
                <w:b/>
                <w:bCs/>
              </w:rPr>
            </w:pPr>
            <w:r w:rsidRPr="00397606">
              <w:rPr>
                <w:b/>
                <w:bCs/>
              </w:rPr>
              <w:t>AADT Volume Range</w:t>
            </w:r>
          </w:p>
        </w:tc>
        <w:tc>
          <w:tcPr>
            <w:tcW w:w="2853" w:type="dxa"/>
            <w:tcBorders>
              <w:left w:val="single" w:sz="4" w:space="0" w:color="FFFFFF" w:themeColor="background1"/>
              <w:right w:val="single" w:sz="4" w:space="0" w:color="FFFFFF" w:themeColor="background1"/>
            </w:tcBorders>
            <w:shd w:val="clear" w:color="auto" w:fill="1F3864"/>
            <w:vAlign w:val="center"/>
          </w:tcPr>
          <w:p w14:paraId="71B74CBB" w14:textId="416969B9" w:rsidR="00E211D7" w:rsidRPr="00397606" w:rsidRDefault="00244862" w:rsidP="0017389B">
            <w:pPr>
              <w:pStyle w:val="TMGTableTextHeader"/>
              <w:rPr>
                <w:b/>
                <w:bCs/>
              </w:rPr>
            </w:pPr>
            <w:r w:rsidRPr="00397606">
              <w:rPr>
                <w:b/>
                <w:bCs/>
              </w:rPr>
              <w:t>Minimally 95% Probability, TCE</w:t>
            </w:r>
            <w:r w:rsidR="00397606">
              <w:rPr>
                <w:b/>
                <w:bCs/>
              </w:rPr>
              <w:t> </w:t>
            </w:r>
            <w:r w:rsidRPr="00397606">
              <w:rPr>
                <w:b/>
                <w:bCs/>
              </w:rPr>
              <w:t>Median Error (Bias) (%)</w:t>
            </w:r>
          </w:p>
        </w:tc>
        <w:tc>
          <w:tcPr>
            <w:tcW w:w="2853" w:type="dxa"/>
            <w:tcBorders>
              <w:left w:val="single" w:sz="4" w:space="0" w:color="FFFFFF" w:themeColor="background1"/>
            </w:tcBorders>
            <w:shd w:val="clear" w:color="auto" w:fill="1F3864"/>
            <w:vAlign w:val="center"/>
          </w:tcPr>
          <w:p w14:paraId="20079DF1" w14:textId="0495CE25" w:rsidR="00E211D7" w:rsidRPr="00397606" w:rsidRDefault="00244862" w:rsidP="0017389B">
            <w:pPr>
              <w:pStyle w:val="TMGTableTextHeader"/>
              <w:rPr>
                <w:b/>
                <w:bCs/>
              </w:rPr>
            </w:pPr>
            <w:r w:rsidRPr="00397606">
              <w:rPr>
                <w:b/>
                <w:bCs/>
              </w:rPr>
              <w:t>Minimally 95% Probability, 95%</w:t>
            </w:r>
            <w:r w:rsidR="00397606">
              <w:rPr>
                <w:b/>
                <w:bCs/>
              </w:rPr>
              <w:t> </w:t>
            </w:r>
            <w:r w:rsidRPr="00397606">
              <w:rPr>
                <w:b/>
                <w:bCs/>
              </w:rPr>
              <w:t>TCE Median Error Range (%)</w:t>
            </w:r>
          </w:p>
        </w:tc>
      </w:tr>
      <w:tr w:rsidR="00E211D7" w:rsidRPr="004859C8" w14:paraId="668AF803" w14:textId="77777777" w:rsidTr="00604906">
        <w:trPr>
          <w:jc w:val="center"/>
        </w:trPr>
        <w:tc>
          <w:tcPr>
            <w:tcW w:w="2852" w:type="dxa"/>
          </w:tcPr>
          <w:p w14:paraId="263F675A" w14:textId="70C2C98C" w:rsidR="00E211D7" w:rsidRPr="004859C8" w:rsidRDefault="0058491C" w:rsidP="00917D58">
            <w:pPr>
              <w:pStyle w:val="TMGTableText"/>
            </w:pPr>
            <w:r w:rsidRPr="004859C8">
              <w:t>500 - 4,999 (low)</w:t>
            </w:r>
          </w:p>
        </w:tc>
        <w:tc>
          <w:tcPr>
            <w:tcW w:w="2853" w:type="dxa"/>
            <w:vAlign w:val="center"/>
          </w:tcPr>
          <w:p w14:paraId="696C9CD1" w14:textId="79AA490D" w:rsidR="00E211D7" w:rsidRPr="004859C8" w:rsidRDefault="0058491C" w:rsidP="00917D58">
            <w:pPr>
              <w:pStyle w:val="TMGTableText"/>
              <w:jc w:val="center"/>
            </w:pPr>
            <w:r w:rsidRPr="004859C8">
              <w:t>+/- 2.0</w:t>
            </w:r>
          </w:p>
        </w:tc>
        <w:tc>
          <w:tcPr>
            <w:tcW w:w="2853" w:type="dxa"/>
            <w:vAlign w:val="center"/>
          </w:tcPr>
          <w:p w14:paraId="06C8F5D1" w14:textId="32A50534" w:rsidR="00E211D7" w:rsidRPr="004859C8" w:rsidRDefault="0058491C" w:rsidP="00917D58">
            <w:pPr>
              <w:pStyle w:val="TMGTableText"/>
              <w:jc w:val="center"/>
            </w:pPr>
            <w:r w:rsidRPr="004859C8">
              <w:t>+/- 34.0</w:t>
            </w:r>
          </w:p>
        </w:tc>
      </w:tr>
      <w:tr w:rsidR="00E211D7" w:rsidRPr="004859C8" w14:paraId="772952CF" w14:textId="77777777" w:rsidTr="00604906">
        <w:trPr>
          <w:jc w:val="center"/>
        </w:trPr>
        <w:tc>
          <w:tcPr>
            <w:tcW w:w="2852" w:type="dxa"/>
          </w:tcPr>
          <w:p w14:paraId="7C5987EB" w14:textId="2E3939B4" w:rsidR="00E211D7" w:rsidRPr="004859C8" w:rsidRDefault="0058491C" w:rsidP="00917D58">
            <w:pPr>
              <w:pStyle w:val="TMGTableText"/>
            </w:pPr>
            <w:r w:rsidRPr="004859C8">
              <w:t>5,000 – 54,999 (medium)</w:t>
            </w:r>
          </w:p>
        </w:tc>
        <w:tc>
          <w:tcPr>
            <w:tcW w:w="2853" w:type="dxa"/>
            <w:vAlign w:val="center"/>
          </w:tcPr>
          <w:p w14:paraId="11C033BE" w14:textId="70BEF249" w:rsidR="00E211D7" w:rsidRPr="004859C8" w:rsidRDefault="0058491C" w:rsidP="00917D58">
            <w:pPr>
              <w:pStyle w:val="TMGTableText"/>
              <w:jc w:val="center"/>
            </w:pPr>
            <w:r w:rsidRPr="004859C8">
              <w:t>+/- 1.5</w:t>
            </w:r>
          </w:p>
        </w:tc>
        <w:tc>
          <w:tcPr>
            <w:tcW w:w="2853" w:type="dxa"/>
            <w:vAlign w:val="center"/>
          </w:tcPr>
          <w:p w14:paraId="158DACC2" w14:textId="7FC56E88" w:rsidR="00E211D7" w:rsidRPr="004859C8" w:rsidRDefault="0058491C" w:rsidP="00917D58">
            <w:pPr>
              <w:pStyle w:val="TMGTableText"/>
              <w:jc w:val="center"/>
            </w:pPr>
            <w:r w:rsidRPr="004859C8">
              <w:t>+/- 28.0</w:t>
            </w:r>
          </w:p>
        </w:tc>
      </w:tr>
      <w:tr w:rsidR="00E211D7" w:rsidRPr="004859C8" w14:paraId="5CB006D0" w14:textId="77777777" w:rsidTr="00604906">
        <w:trPr>
          <w:jc w:val="center"/>
        </w:trPr>
        <w:tc>
          <w:tcPr>
            <w:tcW w:w="2852" w:type="dxa"/>
          </w:tcPr>
          <w:p w14:paraId="075AC238" w14:textId="6CE474A1" w:rsidR="00E211D7" w:rsidRPr="004859C8" w:rsidRDefault="0058491C" w:rsidP="00917D58">
            <w:pPr>
              <w:pStyle w:val="TMGTableText"/>
            </w:pPr>
            <w:r w:rsidRPr="004859C8">
              <w:t>55,000+ (high)</w:t>
            </w:r>
          </w:p>
        </w:tc>
        <w:tc>
          <w:tcPr>
            <w:tcW w:w="2853" w:type="dxa"/>
            <w:vAlign w:val="center"/>
          </w:tcPr>
          <w:p w14:paraId="3FD98AED" w14:textId="0BF429B0" w:rsidR="00E211D7" w:rsidRPr="004859C8" w:rsidRDefault="0058491C" w:rsidP="00917D58">
            <w:pPr>
              <w:pStyle w:val="TMGTableText"/>
              <w:jc w:val="center"/>
            </w:pPr>
            <w:r w:rsidRPr="004859C8">
              <w:t>+/- 2.5</w:t>
            </w:r>
          </w:p>
        </w:tc>
        <w:tc>
          <w:tcPr>
            <w:tcW w:w="2853" w:type="dxa"/>
            <w:vAlign w:val="center"/>
          </w:tcPr>
          <w:p w14:paraId="17B382DD" w14:textId="542E6505" w:rsidR="00E211D7" w:rsidRPr="004859C8" w:rsidRDefault="0058491C" w:rsidP="00917D58">
            <w:pPr>
              <w:pStyle w:val="TMGTableText"/>
              <w:jc w:val="center"/>
            </w:pPr>
            <w:r w:rsidRPr="004859C8">
              <w:t>+/- 28.0</w:t>
            </w:r>
          </w:p>
        </w:tc>
      </w:tr>
    </w:tbl>
    <w:bookmarkEnd w:id="1666"/>
    <w:p w14:paraId="1FA2317D" w14:textId="77777777" w:rsidR="003F7B9F" w:rsidRDefault="003F7B9F" w:rsidP="003579A1">
      <w:pPr>
        <w:pStyle w:val="BodyText"/>
        <w:spacing w:after="240"/>
      </w:pPr>
      <w:r>
        <w:t>*TCE – Traffic Count Estimate</w:t>
      </w:r>
    </w:p>
    <w:p w14:paraId="0E6D4009" w14:textId="103E59F0" w:rsidR="00533AE2" w:rsidRPr="00B517B1" w:rsidRDefault="003F7B9F" w:rsidP="00533AE2">
      <w:pPr>
        <w:pStyle w:val="BodyText"/>
        <w:ind w:left="288" w:hanging="288"/>
      </w:pPr>
      <w:r>
        <w:t>a.</w:t>
      </w:r>
      <w:r w:rsidR="00533AE2">
        <w:tab/>
      </w:r>
      <w:r>
        <w:t xml:space="preserve">Select </w:t>
      </w:r>
      <w:r w:rsidRPr="00E229BE">
        <w:t>computational</w:t>
      </w:r>
      <w:r>
        <w:t xml:space="preserve"> approach and temporal dataset. </w:t>
      </w:r>
      <w:r w:rsidRPr="00B517B1">
        <w:t>Temporary factors can be developed in one of three ways:</w:t>
      </w:r>
    </w:p>
    <w:p w14:paraId="453970B4" w14:textId="2646D2D6" w:rsidR="003F7B9F" w:rsidRPr="0058491C" w:rsidRDefault="003F7B9F" w:rsidP="00B60E99">
      <w:pPr>
        <w:pStyle w:val="TMGBullet"/>
        <w:ind w:left="576"/>
      </w:pPr>
      <w:r w:rsidRPr="0058491C">
        <w:t>Computing using this year</w:t>
      </w:r>
      <w:r w:rsidR="00851D60">
        <w:t>’</w:t>
      </w:r>
      <w:r w:rsidRPr="0058491C">
        <w:t>s factors</w:t>
      </w:r>
      <w:r w:rsidR="0036083F">
        <w:t>.</w:t>
      </w:r>
    </w:p>
    <w:p w14:paraId="47A583D4" w14:textId="77777777" w:rsidR="003F7B9F" w:rsidRPr="0058491C" w:rsidRDefault="003F7B9F" w:rsidP="00B60E99">
      <w:pPr>
        <w:pStyle w:val="TMGBullet"/>
        <w:ind w:left="576"/>
      </w:pPr>
      <w:r w:rsidRPr="0058491C">
        <w:t>Computing a monthly rolling average (for example, the temporary July 2021 factor would be computed as the factor for the 12 consecutive months from August 2020 through July 2021).</w:t>
      </w:r>
    </w:p>
    <w:p w14:paraId="4AE37453" w14:textId="7C861175" w:rsidR="003F7B9F" w:rsidRPr="00B517B1" w:rsidRDefault="003F7B9F" w:rsidP="00B60E99">
      <w:pPr>
        <w:pStyle w:val="TMGBullet"/>
        <w:ind w:left="576"/>
      </w:pPr>
      <w:r w:rsidRPr="0058491C">
        <w:t>Applying last year</w:t>
      </w:r>
      <w:r w:rsidR="003579A1">
        <w:t>’</w:t>
      </w:r>
      <w:r w:rsidRPr="0058491C">
        <w:t>s factors (if no other options are available)</w:t>
      </w:r>
      <w:r w:rsidR="0036083F">
        <w:t>.</w:t>
      </w:r>
    </w:p>
    <w:p w14:paraId="12F26561" w14:textId="642F3932" w:rsidR="003F7B9F" w:rsidRPr="000D7942" w:rsidRDefault="003F7B9F" w:rsidP="00B60E99">
      <w:pPr>
        <w:pStyle w:val="BodyText"/>
        <w:ind w:left="288"/>
      </w:pPr>
      <w:r w:rsidRPr="00B517B1">
        <w:lastRenderedPageBreak/>
        <w:t xml:space="preserve">The first of </w:t>
      </w:r>
      <w:r>
        <w:t>these</w:t>
      </w:r>
      <w:r w:rsidRPr="00B517B1">
        <w:t xml:space="preserve"> approach</w:t>
      </w:r>
      <w:r>
        <w:t>es</w:t>
      </w:r>
      <w:r w:rsidRPr="00B517B1">
        <w:t xml:space="preserve"> </w:t>
      </w:r>
      <w:r>
        <w:t xml:space="preserve">is best because it utilizes those values for factoring most closely related to </w:t>
      </w:r>
      <w:r w:rsidRPr="000D7942">
        <w:t>the calendar year the count was taken. The second approach produces the most timely adjustment factor but also requires the most labor-intensive data handling and processing effort (</w:t>
      </w:r>
      <w:r w:rsidR="0036083F">
        <w:t>s</w:t>
      </w:r>
      <w:r w:rsidRPr="000D7942">
        <w:t xml:space="preserve">ee </w:t>
      </w:r>
      <w:r w:rsidRPr="00295E77">
        <w:t>Appendix D for an example of computing monthly rolling average)</w:t>
      </w:r>
      <w:r w:rsidR="0036083F">
        <w:t>.</w:t>
      </w:r>
      <w:r w:rsidRPr="00295E77">
        <w:t xml:space="preserve"> The last of these approaches is t</w:t>
      </w:r>
      <w:r w:rsidRPr="000D7942">
        <w:t>he easiest but also the least accurate, because the effects of this and last years’ economic/environmental conditions are likely to be different.</w:t>
      </w:r>
    </w:p>
    <w:p w14:paraId="7827E9D1" w14:textId="18BDB3F2" w:rsidR="003F7B9F" w:rsidRPr="000D7942" w:rsidRDefault="003F7B9F" w:rsidP="00B60E99">
      <w:pPr>
        <w:pStyle w:val="BodyText"/>
        <w:ind w:left="288"/>
      </w:pPr>
      <w:r w:rsidRPr="000D7942">
        <w:t>The procedures for developing and using monthly factors to adjust short</w:t>
      </w:r>
      <w:r w:rsidR="0036083F">
        <w:t>-term</w:t>
      </w:r>
      <w:r w:rsidRPr="000D7942">
        <w:t xml:space="preserve"> volume counts to produce AADT estimates are based on the structure of the traffic monitoring program. The method used should be detailed in the Traffic Monitoring System (TMS) documentation that States keep on record with the local FHWA </w:t>
      </w:r>
      <w:r w:rsidR="0036083F">
        <w:t>D</w:t>
      </w:r>
      <w:r w:rsidRPr="000D7942">
        <w:t>ivision office and update every 3</w:t>
      </w:r>
      <w:r w:rsidR="0036083F">
        <w:t xml:space="preserve"> to </w:t>
      </w:r>
      <w:r w:rsidRPr="000D7942">
        <w:t>5 years.</w:t>
      </w:r>
    </w:p>
    <w:p w14:paraId="2E41DDE1" w14:textId="11E18ADD" w:rsidR="003F7B9F" w:rsidRPr="00B517B1" w:rsidRDefault="003F7B9F" w:rsidP="00B60E99">
      <w:pPr>
        <w:pStyle w:val="BodyText"/>
        <w:ind w:left="288"/>
      </w:pPr>
      <w:r w:rsidRPr="00B517B1">
        <w:t xml:space="preserve">MOY </w:t>
      </w:r>
      <w:r>
        <w:t xml:space="preserve">and DOW </w:t>
      </w:r>
      <w:r w:rsidRPr="00B517B1">
        <w:t>factors are most accurately developed and applied on a year-by-year basis. That is, a short</w:t>
      </w:r>
      <w:r w:rsidR="0036083F">
        <w:t>-term</w:t>
      </w:r>
      <w:r w:rsidRPr="00B517B1">
        <w:t xml:space="preserve"> count taken in 20</w:t>
      </w:r>
      <w:r>
        <w:t>1</w:t>
      </w:r>
      <w:r w:rsidRPr="00B517B1">
        <w:t>9 should be adjusted with factors developed exclusively from continuous count data collected in 20</w:t>
      </w:r>
      <w:r>
        <w:t>1</w:t>
      </w:r>
      <w:r w:rsidRPr="00B517B1">
        <w:t>9. This allows the adjustment process to account for economic and environmental conditions that occurred in the same year the short</w:t>
      </w:r>
      <w:r w:rsidR="0036083F">
        <w:t>-term</w:t>
      </w:r>
      <w:r w:rsidRPr="00B517B1">
        <w:t xml:space="preserve"> count was taken. </w:t>
      </w:r>
    </w:p>
    <w:p w14:paraId="2FE9CA65" w14:textId="06132B9F" w:rsidR="003F7B9F" w:rsidRPr="00B517B1" w:rsidRDefault="003F7B9F" w:rsidP="00B60E99">
      <w:pPr>
        <w:pStyle w:val="BodyText"/>
        <w:ind w:left="288"/>
      </w:pPr>
      <w:r w:rsidRPr="00B517B1">
        <w:t xml:space="preserve">This recommendation creates </w:t>
      </w:r>
      <w:r>
        <w:t>challenges</w:t>
      </w:r>
      <w:r w:rsidRPr="00B517B1">
        <w:t xml:space="preserve"> for the timing of factor computation and application. That is, if a short</w:t>
      </w:r>
      <w:r w:rsidR="0036083F">
        <w:t>-</w:t>
      </w:r>
      <w:r>
        <w:t xml:space="preserve">term </w:t>
      </w:r>
      <w:r w:rsidRPr="00B517B1">
        <w:t xml:space="preserve">count is taken in the summer of this year, the true adjustment factor for this year cannot be computed until January of next year at the earliest, which may not be timely enough for many users. The recommendation is to compute temporary adjustment factors for estimating AADT before the end of the year, and then to revise that preliminary estimate once the year's true adjustment factors can be computed in January. </w:t>
      </w:r>
    </w:p>
    <w:p w14:paraId="37064D5F" w14:textId="471C39EA" w:rsidR="003F7B9F" w:rsidRPr="000D7942" w:rsidRDefault="003F7B9F" w:rsidP="00533AE2">
      <w:pPr>
        <w:pStyle w:val="BodyText"/>
        <w:ind w:left="288" w:hanging="288"/>
      </w:pPr>
      <w:r>
        <w:t>b.</w:t>
      </w:r>
      <w:r w:rsidR="00533AE2">
        <w:tab/>
      </w:r>
      <w:r>
        <w:t xml:space="preserve">Identify statistical parameters necessary for factor computation. </w:t>
      </w:r>
      <w:r w:rsidRPr="000D7942">
        <w:t>The individual monthly factors for each continuous count station are the ratio of the AADT to MADT. Alternatively, the State can combine the DOW adjustment and monthly adjustment into a single factor, for example the ratio of annual average daily traffic to monthly average weekday traffic (AADT / MAWDT). This term, or a similar monthly or time of day adjustment, can be substituted directly for the ratio of AADT / MADT in the factor grouping and application process if desired.</w:t>
      </w:r>
    </w:p>
    <w:p w14:paraId="07D316B3" w14:textId="487B516E" w:rsidR="003F7B9F" w:rsidRPr="000D7942" w:rsidRDefault="003F7B9F" w:rsidP="00533AE2">
      <w:pPr>
        <w:pStyle w:val="BodyText"/>
        <w:ind w:left="288" w:hanging="288"/>
      </w:pPr>
      <w:r>
        <w:t>c.</w:t>
      </w:r>
      <w:r w:rsidR="00533AE2">
        <w:tab/>
      </w:r>
      <w:r>
        <w:t>Compute AADT</w:t>
      </w:r>
      <w:r w:rsidR="00AE2B4F">
        <w:t>,</w:t>
      </w:r>
      <w:r>
        <w:t xml:space="preserve"> MADT, and MAWDT for CCSs included in the factor group.</w:t>
      </w:r>
      <w:r w:rsidRPr="000D7942">
        <w:t xml:space="preserve"> For a counter site that operates 365</w:t>
      </w:r>
      <w:r w:rsidR="00851D60">
        <w:t> </w:t>
      </w:r>
      <w:r w:rsidRPr="000D7942">
        <w:t>days per year without failure, the AADT can be computed by adding all the daily volumes and dividing by 365. Similarly, the MADT can be computed by adding the daily volumes during any given month and dividing by the number of days in the month.</w:t>
      </w:r>
    </w:p>
    <w:p w14:paraId="481A74B1" w14:textId="40376ACA" w:rsidR="003F7B9F" w:rsidRPr="000D7942" w:rsidRDefault="003F7B9F" w:rsidP="00B60E99">
      <w:pPr>
        <w:pStyle w:val="BodyText"/>
        <w:ind w:left="288"/>
      </w:pPr>
      <w:r w:rsidRPr="000D7942">
        <w:t>Challenges with this approach are that few continuous count stations operate reliably during any given year. Most</w:t>
      </w:r>
      <w:r w:rsidR="00E229BE">
        <w:t> </w:t>
      </w:r>
      <w:r w:rsidRPr="000D7942">
        <w:t xml:space="preserve">suffer at least small amounts of downtime because of power failures, communications failures, and other equipment or data handling problems. These missing hours or days of data can cause biases and other errors in the calculations, particularly when a moderate amount of data is lost in a block. As a result, a modified formula for computing these types of statistics that directly accounts for missing data has been adopted. </w:t>
      </w:r>
    </w:p>
    <w:p w14:paraId="39FB95D3" w14:textId="3BA33964" w:rsidR="003F7B9F" w:rsidRPr="000D7942" w:rsidRDefault="003F7B9F" w:rsidP="00B60E99">
      <w:pPr>
        <w:pStyle w:val="BodyText"/>
        <w:ind w:left="288"/>
      </w:pPr>
      <w:r w:rsidRPr="000D7942">
        <w:t xml:space="preserve">The AASHTO AADT formula was first developed over 30 years ago and computes an average daily traffic volume for each of seven DOW for each month, and then computes an annual average value from those monthly averages, before finally computing a single annual average daily </w:t>
      </w:r>
      <w:r w:rsidRPr="00E348D3">
        <w:t>value</w:t>
      </w:r>
      <w:r w:rsidR="00601A40" w:rsidRPr="00E348D3">
        <w:t xml:space="preserve"> (</w:t>
      </w:r>
      <w:bookmarkStart w:id="1671" w:name="_Hlk76054352"/>
      <w:r w:rsidRPr="00E348D3">
        <w:rPr>
          <w:i/>
          <w:iCs/>
        </w:rPr>
        <w:t>AASHTO Traffic Data Programs Guidance Book</w:t>
      </w:r>
      <w:bookmarkEnd w:id="1671"/>
      <w:r w:rsidR="00E348D3" w:rsidRPr="00E348D3">
        <w:rPr>
          <w:i/>
          <w:iCs/>
        </w:rPr>
        <w:t>, 2009</w:t>
      </w:r>
      <w:r w:rsidR="00601A40" w:rsidRPr="00E348D3">
        <w:t>).</w:t>
      </w:r>
      <w:r w:rsidRPr="00E348D3">
        <w:t xml:space="preserve"> This process effectively removes most biases that result from missing days of data, especially when those missing days are unequally distributed across months or days of the week.</w:t>
      </w:r>
      <w:r w:rsidR="004D4172">
        <w:t xml:space="preserve"> </w:t>
      </w:r>
    </w:p>
    <w:p w14:paraId="03AF8C3C" w14:textId="7FDD7F40" w:rsidR="003F7B9F" w:rsidRPr="000D7942" w:rsidRDefault="003F7B9F" w:rsidP="00B60E99">
      <w:pPr>
        <w:pStyle w:val="BodyText"/>
        <w:ind w:left="288"/>
      </w:pPr>
      <w:r w:rsidRPr="000D7942">
        <w:t>The calculation of MADT</w:t>
      </w:r>
      <w:r>
        <w:t xml:space="preserve"> using AASHTO method</w:t>
      </w:r>
      <w:r w:rsidRPr="000D7942">
        <w:t xml:space="preserve"> is similar to that of AADT. An average DOW</w:t>
      </w:r>
      <w:r>
        <w:t xml:space="preserve"> traffic volume</w:t>
      </w:r>
      <w:r w:rsidRPr="000D7942">
        <w:t xml:space="preserve"> is first computed for a given month, and then all seven-day values are averaged</w:t>
      </w:r>
      <w:r>
        <w:t xml:space="preserve"> to obtain MADT value</w:t>
      </w:r>
      <w:r w:rsidRPr="000D7942">
        <w:t>. MAWDT is similarly computed</w:t>
      </w:r>
      <w:r>
        <w:t xml:space="preserve"> using </w:t>
      </w:r>
      <w:r w:rsidRPr="000D7942">
        <w:t>average weekday</w:t>
      </w:r>
      <w:r>
        <w:t xml:space="preserve"> (i.e., working day) values</w:t>
      </w:r>
      <w:r w:rsidRPr="000D7942">
        <w:t>. However, each State can define the specific days present in the MAWDT calculation. For example, some States do not count Fridays for routine short-term traffic counts and therefore, choose not to include Fridays in the computation of MAWDT.</w:t>
      </w:r>
    </w:p>
    <w:p w14:paraId="5C65F2D5" w14:textId="6F67B6DA" w:rsidR="00CE7B8F" w:rsidRPr="00A6031B" w:rsidRDefault="00CE7B8F" w:rsidP="00B60E99">
      <w:pPr>
        <w:pStyle w:val="CallOut"/>
        <w:ind w:left="1008"/>
      </w:pPr>
      <w:r>
        <w:t>Since 2016</w:t>
      </w:r>
      <w:r w:rsidR="00AE2B4F">
        <w:t>,</w:t>
      </w:r>
      <w:r>
        <w:t xml:space="preserve"> FHWA has recommended the use of this new AADT procedure.</w:t>
      </w:r>
    </w:p>
    <w:p w14:paraId="00A37F57" w14:textId="69702E7B" w:rsidR="003F7B9F" w:rsidRDefault="003F7B9F" w:rsidP="00B60E99">
      <w:pPr>
        <w:pStyle w:val="BodyText"/>
        <w:ind w:left="288"/>
      </w:pPr>
      <w:r>
        <w:t xml:space="preserve">FHWA </w:t>
      </w:r>
      <w:r w:rsidR="008C15A3">
        <w:t>r</w:t>
      </w:r>
      <w:r>
        <w:t>ecommended procedures for AADT and MADT computation</w:t>
      </w:r>
      <w:r w:rsidR="00CE7B8F">
        <w:t xml:space="preserve"> are documented in </w:t>
      </w:r>
      <w:bookmarkStart w:id="1672" w:name="_Hlk76054396"/>
      <w:r w:rsidR="007E7F29" w:rsidRPr="007E7F29">
        <w:rPr>
          <w:i/>
          <w:iCs/>
        </w:rPr>
        <w:t>Assessing Accuracy Issues with Current Known Methods in AADT Estimation from Continuous Traffic Monitoring Data</w:t>
      </w:r>
      <w:r w:rsidR="007E7F29" w:rsidRPr="007E7F29" w:rsidDel="007E7F29">
        <w:rPr>
          <w:i/>
          <w:iCs/>
        </w:rPr>
        <w:t xml:space="preserve"> </w:t>
      </w:r>
      <w:r w:rsidR="00E348D3" w:rsidRPr="00A6641B">
        <w:t>(</w:t>
      </w:r>
      <w:bookmarkEnd w:id="1672"/>
      <w:r w:rsidR="00E348D3" w:rsidRPr="00A6641B">
        <w:t>Krile 2015</w:t>
      </w:r>
      <w:r w:rsidR="000803B7" w:rsidRPr="00A6641B">
        <w:t>a</w:t>
      </w:r>
      <w:r w:rsidR="00E348D3" w:rsidRPr="00A6641B">
        <w:t>)</w:t>
      </w:r>
      <w:r w:rsidR="00CE7B8F">
        <w:rPr>
          <w:i/>
          <w:iCs/>
        </w:rPr>
        <w:t xml:space="preserve">. </w:t>
      </w:r>
      <w:r w:rsidR="00CE7B8F" w:rsidRPr="00CE7B8F">
        <w:t>The FHWA method</w:t>
      </w:r>
      <w:r w:rsidR="00CE7B8F">
        <w:t xml:space="preserve"> </w:t>
      </w:r>
      <w:r w:rsidRPr="000D7942">
        <w:t xml:space="preserve">produces statistically significant better results and improved AADT estimates. The new </w:t>
      </w:r>
      <w:r w:rsidR="00CE7B8F">
        <w:lastRenderedPageBreak/>
        <w:t xml:space="preserve">FHWA </w:t>
      </w:r>
      <w:r w:rsidRPr="000D7942">
        <w:t>procedure has several improvements over the above AASHTO procedure</w:t>
      </w:r>
      <w:r w:rsidR="00AE2B4F">
        <w:t>,</w:t>
      </w:r>
      <w:r w:rsidRPr="000D7942">
        <w:t xml:space="preserve"> including</w:t>
      </w:r>
      <w:r w:rsidR="00AE2B4F">
        <w:t xml:space="preserve"> that</w:t>
      </w:r>
      <w:r w:rsidRPr="000D7942">
        <w:t xml:space="preserve"> it specifically incorporates all valid temporal data records (i.</w:t>
      </w:r>
      <w:r w:rsidRPr="0072106E">
        <w:t>e., volume records for time periods of less than one full day, such as hourly</w:t>
      </w:r>
      <w:r>
        <w:t>,</w:t>
      </w:r>
      <w:r w:rsidRPr="0072106E">
        <w:t xml:space="preserve"> 5-minute </w:t>
      </w:r>
      <w:r>
        <w:t xml:space="preserve">or any time increment </w:t>
      </w:r>
      <w:r w:rsidRPr="0072106E">
        <w:t>count records)</w:t>
      </w:r>
      <w:r>
        <w:t xml:space="preserve">. </w:t>
      </w:r>
      <w:r w:rsidR="00CE7B8F">
        <w:t>This</w:t>
      </w:r>
      <w:r>
        <w:t xml:space="preserve"> procedure </w:t>
      </w:r>
      <w:r w:rsidRPr="0072106E">
        <w:t xml:space="preserve">corrects mathematical flaws </w:t>
      </w:r>
      <w:r>
        <w:t xml:space="preserve">that exist </w:t>
      </w:r>
      <w:r w:rsidRPr="0072106E">
        <w:t xml:space="preserve">in the AASHTO AADT computation that slightly under-value both weekday volumes over the course of a year and the traffic occurring in months of the year with </w:t>
      </w:r>
      <w:r>
        <w:t xml:space="preserve">30 or </w:t>
      </w:r>
      <w:r w:rsidRPr="0072106E">
        <w:t>31 days.</w:t>
      </w:r>
      <w:r>
        <w:t xml:space="preserve"> Finally, this method allows for datasets like ITS data that may be valid data but contains missing time increments to be utilized to obtain valid MADT and AADT values from such sources as signalized intersection and ITS archives.</w:t>
      </w:r>
      <w:r w:rsidRPr="0072106E">
        <w:t xml:space="preserve"> </w:t>
      </w:r>
    </w:p>
    <w:p w14:paraId="3B9C372C" w14:textId="21855C18" w:rsidR="003F7B9F" w:rsidRPr="00096D0F" w:rsidRDefault="003F7B9F" w:rsidP="00B60E99">
      <w:pPr>
        <w:pStyle w:val="BodyText"/>
        <w:ind w:left="288"/>
      </w:pPr>
      <w:r w:rsidRPr="00096D0F">
        <w:t xml:space="preserve">The FHWA procedure first computes monthly average daily traffic, while retaining all valid temporal traffic records </w:t>
      </w:r>
      <w:r>
        <w:t xml:space="preserve">(even valid partial day counts) </w:t>
      </w:r>
      <w:r w:rsidRPr="00096D0F">
        <w:t>and accounting for the actual number of each day of the week in that month for that year. (That is, in some years, January has five Mondays, and in other years it has four Mondays. This approach specifically takes the number of Mondays into account when computing MADT.)</w:t>
      </w:r>
      <w:r w:rsidR="004D4172">
        <w:t xml:space="preserve"> </w:t>
      </w:r>
      <w:r w:rsidRPr="00096D0F">
        <w:t>The procedure then averages the 12 monthly values, while accounting for the number of days in each month. The recommended procedure is expressed mathematically below:</w:t>
      </w:r>
    </w:p>
    <w:p w14:paraId="72FD73C0" w14:textId="4002E932" w:rsidR="003F7B9F" w:rsidRPr="00552891" w:rsidRDefault="00464453" w:rsidP="003579A1">
      <w:pPr>
        <w:rPr>
          <w:sz w:val="24"/>
        </w:rPr>
      </w:pPr>
      <m:oMathPara>
        <m:oMath>
          <m:sSub>
            <m:sSubPr>
              <m:ctrlPr>
                <w:rPr>
                  <w:rFonts w:ascii="Cambria Math" w:hAnsi="Cambria Math"/>
                  <w:i/>
                  <w:sz w:val="24"/>
                </w:rPr>
              </m:ctrlPr>
            </m:sSubPr>
            <m:e>
              <m:r>
                <w:rPr>
                  <w:rFonts w:ascii="Cambria Math" w:hAnsi="Cambria Math"/>
                  <w:sz w:val="24"/>
                </w:rPr>
                <m:t>MADT</m:t>
              </m:r>
            </m:e>
            <m:sub>
              <m:r>
                <w:rPr>
                  <w:rFonts w:ascii="Cambria Math" w:hAnsi="Cambria Math"/>
                  <w:sz w:val="24"/>
                </w:rPr>
                <m:t>m</m:t>
              </m:r>
            </m:sub>
          </m:sSub>
          <m:r>
            <w:rPr>
              <w:rFonts w:ascii="Cambria Math" w:hAnsi="Cambria Math"/>
              <w:sz w:val="24"/>
            </w:rPr>
            <m:t>=</m:t>
          </m:r>
          <m:f>
            <m:fPr>
              <m:ctrlPr>
                <w:rPr>
                  <w:rFonts w:ascii="Cambria Math" w:hAnsi="Cambria Math"/>
                  <w:i/>
                  <w:sz w:val="24"/>
                </w:rPr>
              </m:ctrlPr>
            </m:fPr>
            <m:num>
              <m:nary>
                <m:naryPr>
                  <m:chr m:val="∑"/>
                  <m:limLoc m:val="undOvr"/>
                  <m:ctrlPr>
                    <w:rPr>
                      <w:rFonts w:ascii="Cambria Math" w:hAnsi="Cambria Math"/>
                      <w:i/>
                      <w:sz w:val="24"/>
                    </w:rPr>
                  </m:ctrlPr>
                </m:naryPr>
                <m:sub>
                  <m:r>
                    <w:rPr>
                      <w:rFonts w:ascii="Cambria Math" w:hAnsi="Cambria Math"/>
                      <w:sz w:val="24"/>
                    </w:rPr>
                    <m:t>j=1</m:t>
                  </m:r>
                </m:sub>
                <m:sup>
                  <m:r>
                    <w:rPr>
                      <w:rFonts w:ascii="Cambria Math" w:hAnsi="Cambria Math"/>
                      <w:sz w:val="24"/>
                    </w:rPr>
                    <m:t>7</m:t>
                  </m:r>
                </m:sup>
                <m:e>
                  <m:sSub>
                    <m:sSubPr>
                      <m:ctrlPr>
                        <w:rPr>
                          <w:rFonts w:ascii="Cambria Math" w:hAnsi="Cambria Math"/>
                          <w:i/>
                          <w:sz w:val="24"/>
                        </w:rPr>
                      </m:ctrlPr>
                    </m:sSubPr>
                    <m:e>
                      <m:r>
                        <w:rPr>
                          <w:rFonts w:ascii="Cambria Math" w:hAnsi="Cambria Math"/>
                          <w:sz w:val="24"/>
                        </w:rPr>
                        <m:t>w</m:t>
                      </m:r>
                    </m:e>
                    <m:sub>
                      <m:r>
                        <w:rPr>
                          <w:rFonts w:ascii="Cambria Math" w:hAnsi="Cambria Math"/>
                          <w:sz w:val="24"/>
                        </w:rPr>
                        <m:t>jm</m:t>
                      </m:r>
                    </m:sub>
                  </m:sSub>
                  <m:nary>
                    <m:naryPr>
                      <m:chr m:val="∑"/>
                      <m:limLoc m:val="undOvr"/>
                      <m:ctrlPr>
                        <w:rPr>
                          <w:rFonts w:ascii="Cambria Math" w:hAnsi="Cambria Math"/>
                          <w:i/>
                          <w:sz w:val="24"/>
                        </w:rPr>
                      </m:ctrlPr>
                    </m:naryPr>
                    <m:sub>
                      <m:r>
                        <w:rPr>
                          <w:rFonts w:ascii="Cambria Math" w:hAnsi="Cambria Math"/>
                          <w:sz w:val="24"/>
                        </w:rPr>
                        <m:t>h=</m:t>
                      </m:r>
                      <m:r>
                        <w:rPr>
                          <w:rFonts w:ascii="Cambria Math" w:hAnsi="Cambria Math"/>
                          <w:sz w:val="24"/>
                        </w:rPr>
                        <m:t>1</m:t>
                      </m:r>
                    </m:sub>
                    <m:sup>
                      <m:r>
                        <w:rPr>
                          <w:rFonts w:ascii="Cambria Math" w:hAnsi="Cambria Math"/>
                          <w:sz w:val="24"/>
                        </w:rPr>
                        <m:t>24</m:t>
                      </m:r>
                    </m:sup>
                    <m:e>
                      <m:d>
                        <m:dPr>
                          <m:begChr m:val="["/>
                          <m:endChr m:val="]"/>
                          <m:ctrlPr>
                            <w:rPr>
                              <w:rFonts w:ascii="Cambria Math" w:hAnsi="Cambria Math"/>
                              <w:i/>
                              <w:sz w:val="24"/>
                            </w:rPr>
                          </m:ctrlPr>
                        </m:dPr>
                        <m:e>
                          <m:f>
                            <m:fPr>
                              <m:ctrlPr>
                                <w:rPr>
                                  <w:rFonts w:ascii="Cambria Math" w:hAnsi="Cambria Math"/>
                                  <w:i/>
                                  <w:sz w:val="24"/>
                                </w:rPr>
                              </m:ctrlPr>
                            </m:fPr>
                            <m:num>
                              <m:r>
                                <w:rPr>
                                  <w:rFonts w:ascii="Cambria Math" w:hAnsi="Cambria Math"/>
                                  <w:sz w:val="24"/>
                                </w:rPr>
                                <m:t>1</m:t>
                              </m:r>
                            </m:num>
                            <m:den>
                              <m:sSub>
                                <m:sSubPr>
                                  <m:ctrlPr>
                                    <w:rPr>
                                      <w:rFonts w:ascii="Cambria Math" w:hAnsi="Cambria Math"/>
                                      <w:i/>
                                      <w:sz w:val="24"/>
                                    </w:rPr>
                                  </m:ctrlPr>
                                </m:sSubPr>
                                <m:e>
                                  <m:r>
                                    <w:rPr>
                                      <w:rFonts w:ascii="Cambria Math" w:hAnsi="Cambria Math"/>
                                      <w:sz w:val="24"/>
                                    </w:rPr>
                                    <m:t>n</m:t>
                                  </m:r>
                                </m:e>
                                <m:sub>
                                  <m:r>
                                    <w:rPr>
                                      <w:rFonts w:ascii="Cambria Math" w:hAnsi="Cambria Math"/>
                                      <w:sz w:val="24"/>
                                    </w:rPr>
                                    <m:t>hjm</m:t>
                                  </m:r>
                                </m:sub>
                              </m:sSub>
                            </m:den>
                          </m:f>
                          <m:nary>
                            <m:naryPr>
                              <m:chr m:val="∑"/>
                              <m:limLoc m:val="undOvr"/>
                              <m:ctrlPr>
                                <w:rPr>
                                  <w:rFonts w:ascii="Cambria Math" w:hAnsi="Cambria Math"/>
                                  <w:i/>
                                  <w:sz w:val="24"/>
                                </w:rPr>
                              </m:ctrlPr>
                            </m:naryPr>
                            <m:sub>
                              <m:r>
                                <w:rPr>
                                  <w:rFonts w:ascii="Cambria Math" w:hAnsi="Cambria Math"/>
                                  <w:sz w:val="24"/>
                                </w:rPr>
                                <m:t>i=1</m:t>
                              </m:r>
                            </m:sub>
                            <m:sup>
                              <m:sSub>
                                <m:sSubPr>
                                  <m:ctrlPr>
                                    <w:rPr>
                                      <w:rFonts w:ascii="Cambria Math" w:hAnsi="Cambria Math"/>
                                      <w:i/>
                                      <w:sz w:val="24"/>
                                    </w:rPr>
                                  </m:ctrlPr>
                                </m:sSubPr>
                                <m:e>
                                  <m:r>
                                    <w:rPr>
                                      <w:rFonts w:ascii="Cambria Math" w:hAnsi="Cambria Math"/>
                                      <w:sz w:val="24"/>
                                    </w:rPr>
                                    <m:t>n</m:t>
                                  </m:r>
                                </m:e>
                                <m:sub>
                                  <m:r>
                                    <w:rPr>
                                      <w:rFonts w:ascii="Cambria Math" w:hAnsi="Cambria Math"/>
                                      <w:sz w:val="24"/>
                                    </w:rPr>
                                    <m:t>hjm</m:t>
                                  </m:r>
                                </m:sub>
                              </m:sSub>
                            </m:sup>
                            <m:e>
                              <m:sSub>
                                <m:sSubPr>
                                  <m:ctrlPr>
                                    <w:rPr>
                                      <w:rFonts w:ascii="Cambria Math" w:hAnsi="Cambria Math"/>
                                      <w:i/>
                                      <w:sz w:val="24"/>
                                    </w:rPr>
                                  </m:ctrlPr>
                                </m:sSubPr>
                                <m:e>
                                  <m:r>
                                    <w:rPr>
                                      <w:rFonts w:ascii="Cambria Math" w:hAnsi="Cambria Math"/>
                                      <w:sz w:val="24"/>
                                    </w:rPr>
                                    <m:t>VOL</m:t>
                                  </m:r>
                                </m:e>
                                <m:sub>
                                  <m:r>
                                    <w:rPr>
                                      <w:rFonts w:ascii="Cambria Math" w:hAnsi="Cambria Math"/>
                                      <w:sz w:val="24"/>
                                    </w:rPr>
                                    <m:t>ihjm</m:t>
                                  </m:r>
                                </m:sub>
                              </m:sSub>
                            </m:e>
                          </m:nary>
                        </m:e>
                      </m:d>
                    </m:e>
                  </m:nary>
                </m:e>
              </m:nary>
            </m:num>
            <m:den>
              <m:nary>
                <m:naryPr>
                  <m:chr m:val="∑"/>
                  <m:limLoc m:val="undOvr"/>
                  <m:ctrlPr>
                    <w:rPr>
                      <w:rFonts w:ascii="Cambria Math" w:hAnsi="Cambria Math"/>
                      <w:i/>
                      <w:sz w:val="24"/>
                    </w:rPr>
                  </m:ctrlPr>
                </m:naryPr>
                <m:sub>
                  <m:r>
                    <w:rPr>
                      <w:rFonts w:ascii="Cambria Math" w:hAnsi="Cambria Math"/>
                      <w:sz w:val="24"/>
                    </w:rPr>
                    <m:t>j=1</m:t>
                  </m:r>
                </m:sub>
                <m:sup>
                  <m:r>
                    <w:rPr>
                      <w:rFonts w:ascii="Cambria Math" w:hAnsi="Cambria Math"/>
                      <w:sz w:val="24"/>
                    </w:rPr>
                    <m:t>7</m:t>
                  </m:r>
                </m:sup>
                <m:e>
                  <m:sSub>
                    <m:sSubPr>
                      <m:ctrlPr>
                        <w:rPr>
                          <w:rFonts w:ascii="Cambria Math" w:hAnsi="Cambria Math"/>
                          <w:i/>
                          <w:sz w:val="24"/>
                        </w:rPr>
                      </m:ctrlPr>
                    </m:sSubPr>
                    <m:e>
                      <m:r>
                        <w:rPr>
                          <w:rFonts w:ascii="Cambria Math" w:hAnsi="Cambria Math"/>
                          <w:sz w:val="24"/>
                        </w:rPr>
                        <m:t>w</m:t>
                      </m:r>
                    </m:e>
                    <m:sub>
                      <m:r>
                        <w:rPr>
                          <w:rFonts w:ascii="Cambria Math" w:hAnsi="Cambria Math"/>
                          <w:sz w:val="24"/>
                        </w:rPr>
                        <m:t>jm</m:t>
                      </m:r>
                    </m:sub>
                  </m:sSub>
                </m:e>
              </m:nary>
            </m:den>
          </m:f>
        </m:oMath>
      </m:oMathPara>
    </w:p>
    <w:p w14:paraId="004E9054" w14:textId="77777777" w:rsidR="003F7B9F" w:rsidRPr="00096D0F" w:rsidRDefault="003F7B9F" w:rsidP="00857FB3">
      <w:pPr>
        <w:spacing w:before="120" w:after="120"/>
        <w:rPr>
          <w:rFonts w:ascii="Arial" w:hAnsi="Arial" w:cs="Arial"/>
        </w:rPr>
      </w:pPr>
      <w:bookmarkStart w:id="1673" w:name="_Hlk51051974"/>
    </w:p>
    <w:p w14:paraId="6103987E" w14:textId="77777777" w:rsidR="003F7B9F" w:rsidRPr="00096D0F" w:rsidRDefault="003F7B9F" w:rsidP="003579A1">
      <w:pPr>
        <w:rPr>
          <w:sz w:val="24"/>
        </w:rPr>
      </w:pPr>
      <m:oMathPara>
        <m:oMath>
          <m:r>
            <w:rPr>
              <w:rFonts w:ascii="Cambria Math" w:hAnsi="Cambria Math"/>
              <w:sz w:val="24"/>
            </w:rPr>
            <m:t>AADT=</m:t>
          </m:r>
          <m:f>
            <m:fPr>
              <m:ctrlPr>
                <w:rPr>
                  <w:rFonts w:ascii="Cambria Math" w:hAnsi="Cambria Math"/>
                  <w:i/>
                  <w:sz w:val="24"/>
                </w:rPr>
              </m:ctrlPr>
            </m:fPr>
            <m:num>
              <m:nary>
                <m:naryPr>
                  <m:chr m:val="∑"/>
                  <m:limLoc m:val="undOvr"/>
                  <m:ctrlPr>
                    <w:rPr>
                      <w:rFonts w:ascii="Cambria Math" w:hAnsi="Cambria Math"/>
                      <w:i/>
                      <w:sz w:val="24"/>
                    </w:rPr>
                  </m:ctrlPr>
                </m:naryPr>
                <m:sub>
                  <m:r>
                    <w:rPr>
                      <w:rFonts w:ascii="Cambria Math" w:hAnsi="Cambria Math"/>
                      <w:sz w:val="24"/>
                    </w:rPr>
                    <m:t>m=1</m:t>
                  </m:r>
                </m:sub>
                <m:sup>
                  <m:r>
                    <w:rPr>
                      <w:rFonts w:ascii="Cambria Math" w:hAnsi="Cambria Math"/>
                      <w:sz w:val="24"/>
                    </w:rPr>
                    <m:t>12</m:t>
                  </m:r>
                </m:sup>
                <m:e>
                  <m:sSub>
                    <m:sSubPr>
                      <m:ctrlPr>
                        <w:rPr>
                          <w:rFonts w:ascii="Cambria Math" w:hAnsi="Cambria Math"/>
                          <w:i/>
                          <w:sz w:val="24"/>
                        </w:rPr>
                      </m:ctrlPr>
                    </m:sSubPr>
                    <m:e>
                      <m:sSub>
                        <m:sSubPr>
                          <m:ctrlPr>
                            <w:rPr>
                              <w:rFonts w:ascii="Cambria Math" w:hAnsi="Cambria Math"/>
                              <w:i/>
                              <w:sz w:val="24"/>
                            </w:rPr>
                          </m:ctrlPr>
                        </m:sSubPr>
                        <m:e>
                          <m:r>
                            <w:rPr>
                              <w:rFonts w:ascii="Cambria Math" w:hAnsi="Cambria Math"/>
                              <w:sz w:val="24"/>
                            </w:rPr>
                            <m:t>d</m:t>
                          </m:r>
                        </m:e>
                        <m:sub>
                          <m:r>
                            <w:rPr>
                              <w:rFonts w:ascii="Cambria Math" w:hAnsi="Cambria Math"/>
                              <w:sz w:val="24"/>
                            </w:rPr>
                            <m:t>m</m:t>
                          </m:r>
                        </m:sub>
                      </m:sSub>
                      <m:r>
                        <w:rPr>
                          <w:rFonts w:ascii="Cambria Math" w:hAnsi="Cambria Math"/>
                          <w:sz w:val="24"/>
                        </w:rPr>
                        <m:t>*MADT</m:t>
                      </m:r>
                    </m:e>
                    <m:sub>
                      <m:sSub>
                        <m:sSubPr>
                          <m:ctrlPr>
                            <w:rPr>
                              <w:rFonts w:ascii="Cambria Math" w:hAnsi="Cambria Math"/>
                              <w:i/>
                              <w:sz w:val="24"/>
                            </w:rPr>
                          </m:ctrlPr>
                        </m:sSubPr>
                        <m:e>
                          <m:r>
                            <w:rPr>
                              <w:rFonts w:ascii="Cambria Math" w:hAnsi="Cambria Math"/>
                              <w:sz w:val="24"/>
                            </w:rPr>
                            <m:t>HP</m:t>
                          </m:r>
                        </m:e>
                        <m:sub>
                          <m:r>
                            <w:rPr>
                              <w:rFonts w:ascii="Cambria Math" w:hAnsi="Cambria Math"/>
                              <w:sz w:val="24"/>
                            </w:rPr>
                            <m:t>m</m:t>
                          </m:r>
                        </m:sub>
                      </m:sSub>
                    </m:sub>
                  </m:sSub>
                </m:e>
              </m:nary>
            </m:num>
            <m:den>
              <m:nary>
                <m:naryPr>
                  <m:chr m:val="∑"/>
                  <m:limLoc m:val="subSup"/>
                  <m:ctrlPr>
                    <w:rPr>
                      <w:rFonts w:ascii="Cambria Math" w:hAnsi="Cambria Math"/>
                      <w:i/>
                      <w:sz w:val="24"/>
                    </w:rPr>
                  </m:ctrlPr>
                </m:naryPr>
                <m:sub>
                  <m:r>
                    <w:rPr>
                      <w:rFonts w:ascii="Cambria Math" w:hAnsi="Cambria Math"/>
                      <w:sz w:val="24"/>
                    </w:rPr>
                    <m:t>m=1</m:t>
                  </m:r>
                </m:sub>
                <m:sup>
                  <m:r>
                    <w:rPr>
                      <w:rFonts w:ascii="Cambria Math" w:hAnsi="Cambria Math"/>
                      <w:sz w:val="24"/>
                    </w:rPr>
                    <m:t>12</m:t>
                  </m:r>
                </m:sup>
                <m:e>
                  <m:sSub>
                    <m:sSubPr>
                      <m:ctrlPr>
                        <w:rPr>
                          <w:rFonts w:ascii="Cambria Math" w:hAnsi="Cambria Math"/>
                          <w:i/>
                          <w:sz w:val="24"/>
                        </w:rPr>
                      </m:ctrlPr>
                    </m:sSubPr>
                    <m:e>
                      <m:r>
                        <w:rPr>
                          <w:rFonts w:ascii="Cambria Math" w:hAnsi="Cambria Math"/>
                          <w:sz w:val="24"/>
                        </w:rPr>
                        <m:t>d</m:t>
                      </m:r>
                    </m:e>
                    <m:sub>
                      <m:r>
                        <w:rPr>
                          <w:rFonts w:ascii="Cambria Math" w:hAnsi="Cambria Math"/>
                          <w:sz w:val="24"/>
                        </w:rPr>
                        <m:t>m</m:t>
                      </m:r>
                    </m:sub>
                  </m:sSub>
                </m:e>
              </m:nary>
            </m:den>
          </m:f>
        </m:oMath>
      </m:oMathPara>
    </w:p>
    <w:p w14:paraId="675AC3E0" w14:textId="77777777" w:rsidR="003F7B9F" w:rsidRPr="00096D0F" w:rsidRDefault="003F7B9F" w:rsidP="00B60E99">
      <w:pPr>
        <w:pStyle w:val="BodyText"/>
        <w:ind w:left="288"/>
      </w:pPr>
      <w:r w:rsidRPr="00096D0F">
        <w:t xml:space="preserve">Where: </w:t>
      </w:r>
    </w:p>
    <w:p w14:paraId="201950AD" w14:textId="192E7761" w:rsidR="003F7B9F" w:rsidRPr="00096D0F" w:rsidRDefault="003F7B9F" w:rsidP="00B60E99">
      <w:pPr>
        <w:pStyle w:val="BodyText"/>
        <w:tabs>
          <w:tab w:val="left" w:pos="1170"/>
        </w:tabs>
        <w:ind w:left="1440" w:hanging="1152"/>
      </w:pPr>
      <w:r w:rsidRPr="00096D0F">
        <w:t>AADT</w:t>
      </w:r>
      <w:r w:rsidR="003579A1">
        <w:tab/>
      </w:r>
      <w:r w:rsidRPr="00096D0F">
        <w:t>=</w:t>
      </w:r>
      <w:r w:rsidRPr="00096D0F">
        <w:tab/>
      </w:r>
      <w:r w:rsidR="00E27E9A">
        <w:t>annual average</w:t>
      </w:r>
      <w:r w:rsidRPr="00096D0F">
        <w:t xml:space="preserve"> daily traffic</w:t>
      </w:r>
    </w:p>
    <w:p w14:paraId="0638D0B2" w14:textId="4B7C9469" w:rsidR="003F7B9F" w:rsidRPr="00096D0F" w:rsidRDefault="003F7B9F" w:rsidP="00B60E99">
      <w:pPr>
        <w:pStyle w:val="BodyText"/>
        <w:tabs>
          <w:tab w:val="left" w:pos="1170"/>
        </w:tabs>
        <w:ind w:left="1440" w:hanging="1152"/>
      </w:pPr>
      <w:r w:rsidRPr="00096D0F">
        <w:t>MADT</w:t>
      </w:r>
      <w:r w:rsidRPr="00B467DC">
        <w:rPr>
          <w:vertAlign w:val="subscript"/>
        </w:rPr>
        <w:t>HP</w:t>
      </w:r>
      <w:r w:rsidRPr="00096D0F">
        <w:rPr>
          <w:vertAlign w:val="subscript"/>
        </w:rPr>
        <w:t>m</w:t>
      </w:r>
      <w:r w:rsidRPr="00096D0F">
        <w:t xml:space="preserve"> </w:t>
      </w:r>
      <w:r w:rsidR="003579A1">
        <w:tab/>
      </w:r>
      <w:r w:rsidRPr="00096D0F">
        <w:t>=</w:t>
      </w:r>
      <w:r w:rsidRPr="00096D0F">
        <w:tab/>
        <w:t>monthly average daily traffic for month m</w:t>
      </w:r>
    </w:p>
    <w:bookmarkEnd w:id="1673"/>
    <w:p w14:paraId="4CAAF9F4" w14:textId="2A7D752B" w:rsidR="003F7B9F" w:rsidRPr="00096D0F" w:rsidRDefault="003F7B9F" w:rsidP="00B60E99">
      <w:pPr>
        <w:pStyle w:val="BodyText"/>
        <w:tabs>
          <w:tab w:val="left" w:pos="1170"/>
        </w:tabs>
        <w:ind w:left="1440" w:hanging="1152"/>
      </w:pPr>
      <w:r w:rsidRPr="00096D0F">
        <w:rPr>
          <w:i/>
          <w:iCs/>
        </w:rPr>
        <w:t>VOL</w:t>
      </w:r>
      <w:r w:rsidRPr="00096D0F">
        <w:rPr>
          <w:i/>
          <w:iCs/>
          <w:vertAlign w:val="subscript"/>
        </w:rPr>
        <w:t>ihjm</w:t>
      </w:r>
      <w:r w:rsidR="003579A1">
        <w:rPr>
          <w:i/>
          <w:iCs/>
          <w:vertAlign w:val="subscript"/>
        </w:rPr>
        <w:t xml:space="preserve"> </w:t>
      </w:r>
      <w:r w:rsidR="003579A1">
        <w:rPr>
          <w:i/>
          <w:iCs/>
          <w:vertAlign w:val="subscript"/>
        </w:rPr>
        <w:tab/>
      </w:r>
      <w:r w:rsidRPr="00096D0F">
        <w:t>=</w:t>
      </w:r>
      <w:r w:rsidRPr="00096D0F">
        <w:tab/>
        <w:t xml:space="preserve">total traffic volume for </w:t>
      </w:r>
      <w:r w:rsidRPr="00096D0F">
        <w:rPr>
          <w:i/>
        </w:rPr>
        <w:t>i</w:t>
      </w:r>
      <w:r w:rsidRPr="00096D0F">
        <w:t xml:space="preserve">th occurrence of the </w:t>
      </w:r>
      <w:r w:rsidRPr="00096D0F">
        <w:rPr>
          <w:i/>
        </w:rPr>
        <w:t>h</w:t>
      </w:r>
      <w:r w:rsidRPr="00096D0F">
        <w:t xml:space="preserve">th hour of day within </w:t>
      </w:r>
      <w:r w:rsidRPr="00096D0F">
        <w:rPr>
          <w:i/>
        </w:rPr>
        <w:t>j</w:t>
      </w:r>
      <w:r w:rsidRPr="00096D0F">
        <w:t xml:space="preserve">th day of week during the </w:t>
      </w:r>
      <w:r w:rsidRPr="00096D0F">
        <w:rPr>
          <w:i/>
        </w:rPr>
        <w:t>m</w:t>
      </w:r>
      <w:r w:rsidRPr="00096D0F">
        <w:t>th month</w:t>
      </w:r>
    </w:p>
    <w:p w14:paraId="5643F5CF" w14:textId="2A04C113" w:rsidR="003F7B9F" w:rsidRPr="00096D0F" w:rsidRDefault="003F7B9F" w:rsidP="00B60E99">
      <w:pPr>
        <w:pStyle w:val="BodyText"/>
        <w:tabs>
          <w:tab w:val="left" w:pos="1170"/>
        </w:tabs>
        <w:ind w:left="1440" w:hanging="1152"/>
      </w:pPr>
      <w:r w:rsidRPr="00096D0F">
        <w:rPr>
          <w:i/>
        </w:rPr>
        <w:t>i</w:t>
      </w:r>
      <w:r w:rsidRPr="00096D0F">
        <w:tab/>
        <w:t>=</w:t>
      </w:r>
      <w:r w:rsidRPr="00096D0F">
        <w:tab/>
        <w:t>occurrence of a particular hour of day within a particular day of the week in a particular month (</w:t>
      </w:r>
      <w:r w:rsidRPr="00096D0F">
        <w:rPr>
          <w:i/>
        </w:rPr>
        <w:t>i</w:t>
      </w:r>
      <w:r w:rsidRPr="00096D0F">
        <w:t>=1,…</w:t>
      </w:r>
      <w:r w:rsidRPr="00096D0F">
        <w:rPr>
          <w:i/>
        </w:rPr>
        <w:t>n</w:t>
      </w:r>
      <w:r w:rsidRPr="00096D0F">
        <w:rPr>
          <w:i/>
          <w:vertAlign w:val="subscript"/>
        </w:rPr>
        <w:t>hjm</w:t>
      </w:r>
      <w:r w:rsidRPr="00096D0F">
        <w:t>) for which traffic volume is available</w:t>
      </w:r>
    </w:p>
    <w:p w14:paraId="0839DCD2" w14:textId="136FB033" w:rsidR="003F7B9F" w:rsidRPr="00096D0F" w:rsidRDefault="003F7B9F" w:rsidP="00B60E99">
      <w:pPr>
        <w:pStyle w:val="BodyText"/>
        <w:tabs>
          <w:tab w:val="left" w:pos="1170"/>
        </w:tabs>
        <w:ind w:left="1440" w:hanging="1152"/>
      </w:pPr>
      <w:r w:rsidRPr="00096D0F">
        <w:rPr>
          <w:i/>
        </w:rPr>
        <w:t>h</w:t>
      </w:r>
      <w:r w:rsidRPr="00096D0F">
        <w:rPr>
          <w:i/>
        </w:rPr>
        <w:tab/>
      </w:r>
      <w:r w:rsidRPr="00096D0F">
        <w:t>=</w:t>
      </w:r>
      <w:r w:rsidRPr="00096D0F">
        <w:tab/>
        <w:t>hour of the day (</w:t>
      </w:r>
      <w:r w:rsidRPr="00096D0F">
        <w:rPr>
          <w:i/>
        </w:rPr>
        <w:t>h</w:t>
      </w:r>
      <w:r w:rsidRPr="00096D0F">
        <w:t>=1,2,…24) – or other temporal interval</w:t>
      </w:r>
    </w:p>
    <w:p w14:paraId="2ED916DE" w14:textId="3EC75424" w:rsidR="003F7B9F" w:rsidRPr="00096D0F" w:rsidRDefault="003F7B9F" w:rsidP="00B60E99">
      <w:pPr>
        <w:pStyle w:val="BodyText"/>
        <w:tabs>
          <w:tab w:val="left" w:pos="1170"/>
        </w:tabs>
        <w:ind w:left="1440" w:hanging="1152"/>
      </w:pPr>
      <w:r w:rsidRPr="00096D0F">
        <w:rPr>
          <w:i/>
          <w:iCs/>
        </w:rPr>
        <w:t>j</w:t>
      </w:r>
      <w:r w:rsidRPr="00096D0F">
        <w:tab/>
        <w:t>=</w:t>
      </w:r>
      <w:r w:rsidRPr="00096D0F">
        <w:tab/>
        <w:t>day of the week (</w:t>
      </w:r>
      <w:r w:rsidRPr="00096D0F">
        <w:rPr>
          <w:i/>
        </w:rPr>
        <w:t>j</w:t>
      </w:r>
      <w:r w:rsidRPr="00096D0F">
        <w:t>=1,2,…7)</w:t>
      </w:r>
    </w:p>
    <w:p w14:paraId="594F0D6D" w14:textId="7FF3CB15" w:rsidR="003F7B9F" w:rsidRPr="00096D0F" w:rsidRDefault="003F7B9F" w:rsidP="00B60E99">
      <w:pPr>
        <w:pStyle w:val="BodyText"/>
        <w:tabs>
          <w:tab w:val="left" w:pos="1170"/>
        </w:tabs>
        <w:ind w:left="1440" w:hanging="1152"/>
      </w:pPr>
      <w:r w:rsidRPr="00096D0F">
        <w:rPr>
          <w:i/>
        </w:rPr>
        <w:t>m</w:t>
      </w:r>
      <w:r w:rsidRPr="00096D0F">
        <w:tab/>
        <w:t>=</w:t>
      </w:r>
      <w:r w:rsidRPr="00096D0F">
        <w:tab/>
        <w:t>month (</w:t>
      </w:r>
      <w:r w:rsidRPr="00096D0F">
        <w:rPr>
          <w:i/>
        </w:rPr>
        <w:t>m</w:t>
      </w:r>
      <w:r w:rsidRPr="00096D0F">
        <w:t>=1,…12)</w:t>
      </w:r>
    </w:p>
    <w:p w14:paraId="48C2F314" w14:textId="46C2D4F2" w:rsidR="003F7B9F" w:rsidRPr="00096D0F" w:rsidRDefault="003F7B9F" w:rsidP="00B60E99">
      <w:pPr>
        <w:pStyle w:val="BodyText"/>
        <w:tabs>
          <w:tab w:val="left" w:pos="1170"/>
        </w:tabs>
        <w:ind w:left="1440" w:hanging="1152"/>
      </w:pPr>
      <w:r w:rsidRPr="00096D0F">
        <w:rPr>
          <w:i/>
          <w:iCs/>
        </w:rPr>
        <w:t>n</w:t>
      </w:r>
      <w:r w:rsidRPr="00096D0F">
        <w:rPr>
          <w:i/>
          <w:iCs/>
          <w:vertAlign w:val="subscript"/>
        </w:rPr>
        <w:t>hjm</w:t>
      </w:r>
      <w:r w:rsidRPr="00096D0F">
        <w:tab/>
        <w:t>=</w:t>
      </w:r>
      <w:r w:rsidRPr="00096D0F">
        <w:tab/>
        <w:t xml:space="preserve">the number of times the </w:t>
      </w:r>
      <w:r w:rsidRPr="00096D0F">
        <w:rPr>
          <w:i/>
        </w:rPr>
        <w:t>h</w:t>
      </w:r>
      <w:r w:rsidRPr="00096D0F">
        <w:t xml:space="preserve">th hour of day within the </w:t>
      </w:r>
      <w:r w:rsidRPr="00096D0F">
        <w:rPr>
          <w:i/>
        </w:rPr>
        <w:t>j</w:t>
      </w:r>
      <w:r w:rsidRPr="00B467DC">
        <w:t>th</w:t>
      </w:r>
      <w:r w:rsidRPr="00096D0F">
        <w:t xml:space="preserve"> day of week during the </w:t>
      </w:r>
      <w:r w:rsidRPr="00096D0F">
        <w:rPr>
          <w:i/>
        </w:rPr>
        <w:t>m</w:t>
      </w:r>
      <w:r w:rsidRPr="00B467DC">
        <w:t>th</w:t>
      </w:r>
      <w:r w:rsidRPr="00096D0F">
        <w:t xml:space="preserve"> month has available traffic volume (</w:t>
      </w:r>
      <w:r w:rsidRPr="00096D0F">
        <w:rPr>
          <w:i/>
        </w:rPr>
        <w:t>n</w:t>
      </w:r>
      <w:r w:rsidRPr="00096D0F">
        <w:rPr>
          <w:i/>
          <w:vertAlign w:val="subscript"/>
        </w:rPr>
        <w:t>hjm</w:t>
      </w:r>
      <w:r w:rsidRPr="00096D0F">
        <w:t xml:space="preserve"> ranges from 1 to 5 depending on hour of day, day of week, month, and data availability)</w:t>
      </w:r>
    </w:p>
    <w:p w14:paraId="79F40FFE" w14:textId="3B702C8B" w:rsidR="003F7B9F" w:rsidRPr="00096D0F" w:rsidRDefault="003F7B9F" w:rsidP="00B60E99">
      <w:pPr>
        <w:pStyle w:val="BodyText"/>
        <w:tabs>
          <w:tab w:val="left" w:pos="1170"/>
        </w:tabs>
        <w:ind w:left="1440" w:hanging="1152"/>
      </w:pPr>
      <w:r w:rsidRPr="00096D0F">
        <w:rPr>
          <w:i/>
          <w:iCs/>
        </w:rPr>
        <w:t>w</w:t>
      </w:r>
      <w:r w:rsidRPr="00096D0F">
        <w:rPr>
          <w:i/>
          <w:iCs/>
          <w:vertAlign w:val="subscript"/>
        </w:rPr>
        <w:t>jm</w:t>
      </w:r>
      <w:r w:rsidRPr="00096D0F">
        <w:tab/>
        <w:t>=</w:t>
      </w:r>
      <w:r w:rsidRPr="00096D0F">
        <w:tab/>
        <w:t xml:space="preserve">the weighting for the number of times the </w:t>
      </w:r>
      <w:r w:rsidRPr="00096D0F">
        <w:rPr>
          <w:i/>
        </w:rPr>
        <w:t>j</w:t>
      </w:r>
      <w:r w:rsidRPr="00B467DC">
        <w:t>th</w:t>
      </w:r>
      <w:r w:rsidRPr="00096D0F">
        <w:t xml:space="preserve"> day of week occurs during the </w:t>
      </w:r>
      <w:r w:rsidRPr="00096D0F">
        <w:rPr>
          <w:i/>
        </w:rPr>
        <w:t>m</w:t>
      </w:r>
      <w:r w:rsidRPr="00B467DC">
        <w:t>th</w:t>
      </w:r>
      <w:r w:rsidRPr="00096D0F">
        <w:t xml:space="preserve"> month (either 4 of 5); the sum of the weights in the denominator is the number of calendar days in the month (i.e., 28, 29, 30, or 31)</w:t>
      </w:r>
    </w:p>
    <w:p w14:paraId="2316794A" w14:textId="5969A829" w:rsidR="003F7B9F" w:rsidRPr="00043609" w:rsidRDefault="003F7B9F" w:rsidP="00B60E99">
      <w:pPr>
        <w:pStyle w:val="BodyText"/>
        <w:tabs>
          <w:tab w:val="left" w:pos="1170"/>
        </w:tabs>
        <w:ind w:left="1440" w:hanging="1152"/>
      </w:pPr>
      <w:r w:rsidRPr="00096D0F">
        <w:rPr>
          <w:i/>
          <w:iCs/>
        </w:rPr>
        <w:t>d</w:t>
      </w:r>
      <w:r w:rsidRPr="00096D0F">
        <w:rPr>
          <w:i/>
          <w:iCs/>
          <w:vertAlign w:val="subscript"/>
        </w:rPr>
        <w:t>m</w:t>
      </w:r>
      <w:r w:rsidRPr="00096D0F">
        <w:tab/>
        <w:t>=</w:t>
      </w:r>
      <w:r w:rsidRPr="00096D0F">
        <w:tab/>
        <w:t xml:space="preserve">the weighting for the number of days (i.e., 28, 29, 30, or 31) for the </w:t>
      </w:r>
      <w:r w:rsidRPr="00096D0F">
        <w:rPr>
          <w:i/>
        </w:rPr>
        <w:t>m</w:t>
      </w:r>
      <w:r w:rsidRPr="00096D0F">
        <w:t>th month in the particular year</w:t>
      </w:r>
    </w:p>
    <w:p w14:paraId="66337867" w14:textId="3144ED54" w:rsidR="003F7B9F" w:rsidRDefault="00CE7B8F" w:rsidP="00533AE2">
      <w:pPr>
        <w:pStyle w:val="BodyText"/>
        <w:ind w:left="288" w:hanging="288"/>
      </w:pPr>
      <w:r>
        <w:t>d</w:t>
      </w:r>
      <w:r w:rsidR="003F7B9F">
        <w:t>.</w:t>
      </w:r>
      <w:r w:rsidR="00533AE2">
        <w:tab/>
      </w:r>
      <w:r w:rsidR="003F7B9F">
        <w:t>Compute monthly factors for CCSs included in the factor group.</w:t>
      </w:r>
      <w:r w:rsidR="003F7B9F" w:rsidRPr="000D7942">
        <w:t xml:space="preserve"> Monthly factors for each </w:t>
      </w:r>
      <w:r w:rsidR="00DB34ED">
        <w:t>CCS</w:t>
      </w:r>
      <w:r w:rsidR="003F7B9F">
        <w:t xml:space="preserve"> </w:t>
      </w:r>
      <w:r w:rsidR="003F7B9F" w:rsidRPr="000D7942">
        <w:t xml:space="preserve">are computed by the ratio of AADT to MADT or AADT to MAWDT. </w:t>
      </w:r>
      <w:r w:rsidR="003F7B9F">
        <w:t>These computations are done for each of the 12 calendar months.</w:t>
      </w:r>
    </w:p>
    <w:p w14:paraId="6EB5A151" w14:textId="1CD8F336" w:rsidR="003F7B9F" w:rsidRPr="0058491C" w:rsidRDefault="00CE7B8F" w:rsidP="00533AE2">
      <w:pPr>
        <w:pStyle w:val="BodyText"/>
        <w:ind w:left="288" w:hanging="288"/>
      </w:pPr>
      <w:r>
        <w:t>e</w:t>
      </w:r>
      <w:r w:rsidR="003F7B9F">
        <w:t>.</w:t>
      </w:r>
      <w:r w:rsidR="00533AE2">
        <w:tab/>
      </w:r>
      <w:r w:rsidR="003F7B9F">
        <w:t>Compute monthly factors for the factor group.</w:t>
      </w:r>
      <w:r w:rsidR="003F7B9F" w:rsidRPr="000D7942">
        <w:t xml:space="preserve"> Group monthly factors are computed as the average of the factors for all continuous count</w:t>
      </w:r>
      <w:r w:rsidR="003F7B9F">
        <w:t xml:space="preserve"> sites</w:t>
      </w:r>
      <w:r w:rsidR="003F7B9F" w:rsidRPr="000D7942">
        <w:t xml:space="preserve"> within the group. </w:t>
      </w:r>
      <w:r w:rsidR="003F7B9F">
        <w:t>These computations are done separately for each of the 12</w:t>
      </w:r>
      <w:r w:rsidR="00A119E0">
        <w:t> </w:t>
      </w:r>
      <w:r w:rsidR="003F7B9F">
        <w:t xml:space="preserve">calendar months. </w:t>
      </w:r>
      <w:r w:rsidR="003F7B9F" w:rsidRPr="000D7942">
        <w:t>Both the individual continuous count and the group factors should be made available to users in tabular and computer</w:t>
      </w:r>
      <w:r w:rsidR="00DB34ED">
        <w:t>-</w:t>
      </w:r>
      <w:r w:rsidR="003F7B9F" w:rsidRPr="000D7942">
        <w:t xml:space="preserve">accessible form. </w:t>
      </w:r>
    </w:p>
    <w:p w14:paraId="4F9B2D22" w14:textId="65103E07" w:rsidR="003F7B9F" w:rsidRPr="00517F7A" w:rsidRDefault="003F7B9F">
      <w:pPr>
        <w:pStyle w:val="Heading2"/>
      </w:pPr>
      <w:bookmarkStart w:id="1674" w:name="_Toc68190191"/>
      <w:bookmarkStart w:id="1675" w:name="_Toc68864943"/>
      <w:bookmarkStart w:id="1676" w:name="_Toc114474728"/>
      <w:bookmarkStart w:id="1677" w:name="_Toc324246135"/>
      <w:bookmarkStart w:id="1678" w:name="_Ref324412659"/>
      <w:bookmarkStart w:id="1679" w:name="_Toc324780159"/>
      <w:bookmarkStart w:id="1680" w:name="_Toc335302443"/>
      <w:bookmarkStart w:id="1681" w:name="_Toc45604636"/>
      <w:bookmarkStart w:id="1682" w:name="_Toc118205619"/>
      <w:r w:rsidRPr="00517F7A">
        <w:lastRenderedPageBreak/>
        <w:t>How To Design a Vehicle Classification Count (Axle and Length) Data Program</w:t>
      </w:r>
      <w:bookmarkStart w:id="1683" w:name="_Toc45604637"/>
      <w:bookmarkEnd w:id="1674"/>
      <w:bookmarkEnd w:id="1675"/>
      <w:bookmarkEnd w:id="1676"/>
      <w:bookmarkEnd w:id="1677"/>
      <w:bookmarkEnd w:id="1678"/>
      <w:bookmarkEnd w:id="1679"/>
      <w:bookmarkEnd w:id="1680"/>
      <w:bookmarkEnd w:id="1681"/>
      <w:bookmarkEnd w:id="1682"/>
    </w:p>
    <w:p w14:paraId="0F1F5EE6" w14:textId="77777777" w:rsidR="003F7B9F" w:rsidRPr="00517F7A" w:rsidRDefault="003F7B9F">
      <w:pPr>
        <w:pStyle w:val="Heading3"/>
      </w:pPr>
      <w:bookmarkStart w:id="1684" w:name="_Toc68190192"/>
      <w:bookmarkStart w:id="1685" w:name="_Toc118205620"/>
      <w:r w:rsidRPr="00517F7A">
        <w:t>Program Design Process Overview</w:t>
      </w:r>
      <w:bookmarkEnd w:id="1683"/>
      <w:bookmarkEnd w:id="1684"/>
      <w:bookmarkEnd w:id="1685"/>
      <w:r w:rsidRPr="00517F7A">
        <w:t xml:space="preserve"> </w:t>
      </w:r>
    </w:p>
    <w:p w14:paraId="41886676" w14:textId="77777777" w:rsidR="003F7B9F" w:rsidRDefault="003F7B9F" w:rsidP="00A35EAF">
      <w:pPr>
        <w:pStyle w:val="BodyText"/>
      </w:pPr>
      <w:r w:rsidRPr="00096D0F">
        <w:t xml:space="preserve">This section discusses the process for establishing a continuous vehicle classification count program and presents two alternative methods for the development of factor groups for classification. </w:t>
      </w:r>
    </w:p>
    <w:p w14:paraId="28CF8C98" w14:textId="77777777" w:rsidR="003F7B9F" w:rsidRPr="00AC3D40" w:rsidRDefault="003F7B9F" w:rsidP="00A35EAF">
      <w:pPr>
        <w:pStyle w:val="BodyText"/>
      </w:pPr>
      <w:r w:rsidRPr="00150906">
        <w:t xml:space="preserve">The continuous vehicle </w:t>
      </w:r>
      <w:r w:rsidRPr="00AC3D40">
        <w:t xml:space="preserve">classification data collection program is related to, but can be distinct from, the traditional continuous traffic volume count program. </w:t>
      </w:r>
    </w:p>
    <w:p w14:paraId="3D5160E3" w14:textId="3B2879DF" w:rsidR="003F7B9F" w:rsidRDefault="003F7B9F" w:rsidP="00A35EAF">
      <w:pPr>
        <w:pStyle w:val="BodyText"/>
      </w:pPr>
      <w:r w:rsidRPr="00AC3D40">
        <w:t xml:space="preserve">In addition, factoring of vehicle classification counts (i.e., </w:t>
      </w:r>
      <w:r>
        <w:t xml:space="preserve">motorcycle and </w:t>
      </w:r>
      <w:r w:rsidRPr="00AC3D40">
        <w:t xml:space="preserve">heavy vehicle volume counts) should be performed independently from the process used to compute AADT from short-term volume counts. </w:t>
      </w:r>
    </w:p>
    <w:p w14:paraId="75FEAABF" w14:textId="77777777" w:rsidR="003F7B9F" w:rsidRPr="00AC3D40" w:rsidRDefault="003F7B9F" w:rsidP="00A35EAF">
      <w:pPr>
        <w:pStyle w:val="BodyText"/>
      </w:pPr>
      <w:r w:rsidRPr="00AC3D40">
        <w:t xml:space="preserve">Highway agencies should collect classification data (which also supply total volume information) in place of simple volume counts whenever possible. </w:t>
      </w:r>
    </w:p>
    <w:p w14:paraId="45E949C3" w14:textId="46260A22" w:rsidR="003F7B9F" w:rsidRPr="00AC3D40" w:rsidRDefault="003F7B9F" w:rsidP="00A35EAF">
      <w:pPr>
        <w:pStyle w:val="BodyText"/>
      </w:pPr>
      <w:r w:rsidRPr="00AC3D40">
        <w:t xml:space="preserve">The general steps required to develop a statewide vehicle classification count program are similar to the volume count program steps presented in </w:t>
      </w:r>
      <w:r w:rsidR="00954913">
        <w:t>S</w:t>
      </w:r>
      <w:r w:rsidRPr="00AC3D40">
        <w:t>ection 3.</w:t>
      </w:r>
      <w:r w:rsidR="00954913">
        <w:t>1</w:t>
      </w:r>
      <w:r w:rsidRPr="00AC3D40">
        <w:t>. The general continuous count program design guidelines outlined in Section 3.</w:t>
      </w:r>
      <w:r w:rsidR="00954913">
        <w:t>1</w:t>
      </w:r>
      <w:r w:rsidRPr="00AC3D40">
        <w:t xml:space="preserve"> also apply to</w:t>
      </w:r>
      <w:r>
        <w:t xml:space="preserve"> vehicle classification</w:t>
      </w:r>
      <w:r w:rsidRPr="00AC3D40">
        <w:t xml:space="preserve"> </w:t>
      </w:r>
      <w:r w:rsidR="00954913">
        <w:t>c</w:t>
      </w:r>
      <w:r w:rsidRPr="00AC3D40">
        <w:t xml:space="preserve">ontinuous </w:t>
      </w:r>
      <w:r w:rsidR="00954913">
        <w:t>c</w:t>
      </w:r>
      <w:r w:rsidRPr="00AC3D40">
        <w:t xml:space="preserve">ount </w:t>
      </w:r>
      <w:r w:rsidR="00954913">
        <w:t>s</w:t>
      </w:r>
      <w:r w:rsidRPr="00AC3D40">
        <w:t xml:space="preserve">tation </w:t>
      </w:r>
      <w:r w:rsidR="00954913">
        <w:t>p</w:t>
      </w:r>
      <w:r w:rsidRPr="00AC3D40">
        <w:t xml:space="preserve">rogram. In addition to these guidelines, the vehicle classification count program design also includes traffic volume patterns by vehicle class review process focused on (1) identifying unique traffic patterns for each major class of vehicle in the State, (2) evaluating if the previously identified patterns have changed, and (3) determining whether the monitoring process should be adjusted. </w:t>
      </w:r>
      <w:r>
        <w:t>D</w:t>
      </w:r>
      <w:r w:rsidRPr="00AC3D40">
        <w:t xml:space="preserve">istributions </w:t>
      </w:r>
      <w:r>
        <w:t>of v</w:t>
      </w:r>
      <w:r w:rsidRPr="00AC3D40">
        <w:t>ehicle volume by vehicle class should be analyzed and distribution patterns identified for different road types.</w:t>
      </w:r>
    </w:p>
    <w:p w14:paraId="21BF98BB" w14:textId="77777777" w:rsidR="003F7B9F" w:rsidRPr="00AC3D40" w:rsidRDefault="003F7B9F" w:rsidP="00A35EAF">
      <w:pPr>
        <w:pStyle w:val="BodyText"/>
      </w:pPr>
      <w:r w:rsidRPr="00AC3D40">
        <w:t>The specific guidance for executing vehicle classification count program design steps is provided in the ensuing sections.</w:t>
      </w:r>
    </w:p>
    <w:p w14:paraId="4E52FE12" w14:textId="1AD825FF" w:rsidR="003F7B9F" w:rsidRPr="00971CD5" w:rsidRDefault="003F7B9F" w:rsidP="00A35EAF">
      <w:pPr>
        <w:pStyle w:val="BodyText"/>
        <w:rPr>
          <w:rStyle w:val="Strong"/>
          <w:rFonts w:ascii="Cambria" w:hAnsi="Cambria"/>
          <w:sz w:val="22"/>
          <w:szCs w:val="22"/>
        </w:rPr>
      </w:pPr>
      <w:r w:rsidRPr="00971CD5">
        <w:rPr>
          <w:rStyle w:val="Strong"/>
          <w:rFonts w:ascii="Cambria" w:hAnsi="Cambria"/>
          <w:sz w:val="22"/>
          <w:szCs w:val="22"/>
        </w:rPr>
        <w:t>Duration of Short Counts</w:t>
      </w:r>
    </w:p>
    <w:p w14:paraId="60E9E4F5" w14:textId="45E34EE4" w:rsidR="003F7B9F" w:rsidRDefault="003F7B9F" w:rsidP="00A35EAF">
      <w:pPr>
        <w:pStyle w:val="BodyText"/>
        <w:rPr>
          <w:rFonts w:eastAsia="MS Mincho"/>
        </w:rPr>
      </w:pPr>
      <w:r w:rsidRPr="00AC3D40">
        <w:rPr>
          <w:rFonts w:eastAsia="MS Mincho"/>
        </w:rPr>
        <w:t xml:space="preserve">Vehicle classification counts </w:t>
      </w:r>
      <w:r w:rsidRPr="00AC3D40">
        <w:t xml:space="preserve">should be a minimum of 48 hours of continuous data. Vehicle </w:t>
      </w:r>
      <w:r w:rsidRPr="00AC3D40">
        <w:rPr>
          <w:rFonts w:eastAsia="MS Mincho"/>
        </w:rPr>
        <w:t>counts longer than 48</w:t>
      </w:r>
      <w:r w:rsidR="00A119E0">
        <w:rPr>
          <w:rFonts w:eastAsia="MS Mincho"/>
        </w:rPr>
        <w:t> </w:t>
      </w:r>
      <w:r w:rsidRPr="00AC3D40">
        <w:rPr>
          <w:rFonts w:eastAsia="MS Mincho"/>
        </w:rPr>
        <w:t xml:space="preserve">hours are useful, particularly when those counts extend over the weekend, since they provide more comprehensive volume by vehicle class information by DOW. However, in some locations it is difficult to keep portable axle sensors in place for periods that significantly exceed 48 hours. </w:t>
      </w:r>
    </w:p>
    <w:p w14:paraId="080184D7" w14:textId="51124E03" w:rsidR="003F7B9F" w:rsidRPr="00150906" w:rsidRDefault="003F7B9F" w:rsidP="00A119E0">
      <w:pPr>
        <w:pStyle w:val="CallOut"/>
        <w:rPr>
          <w:b/>
        </w:rPr>
      </w:pPr>
      <w:r w:rsidRPr="006701AC">
        <w:t>Longer duration counts from 72 hours to 7 days are encouraged</w:t>
      </w:r>
      <w:r>
        <w:t xml:space="preserve"> and recommended whenever possible</w:t>
      </w:r>
      <w:r w:rsidRPr="006701AC">
        <w:t>.</w:t>
      </w:r>
      <w:r w:rsidR="004D4172">
        <w:t xml:space="preserve"> </w:t>
      </w:r>
      <w:r>
        <w:t>One advantage to a 7</w:t>
      </w:r>
      <w:r w:rsidR="00954913">
        <w:t>-</w:t>
      </w:r>
      <w:r>
        <w:t>day duration of a short</w:t>
      </w:r>
      <w:r w:rsidR="00954913">
        <w:t>-</w:t>
      </w:r>
      <w:r>
        <w:t>term count is no DOW factor needs to be applied to annualize the short</w:t>
      </w:r>
      <w:r w:rsidR="0064041C">
        <w:t>-</w:t>
      </w:r>
      <w:r>
        <w:t>term count to a</w:t>
      </w:r>
      <w:r w:rsidR="0064041C">
        <w:t>n</w:t>
      </w:r>
      <w:r>
        <w:t xml:space="preserve"> AADT </w:t>
      </w:r>
      <w:r w:rsidRPr="005A18C5">
        <w:rPr>
          <w:bCs/>
        </w:rPr>
        <w:t>count program.</w:t>
      </w:r>
      <w:r w:rsidRPr="00150906">
        <w:rPr>
          <w:b/>
        </w:rPr>
        <w:t xml:space="preserve"> </w:t>
      </w:r>
    </w:p>
    <w:p w14:paraId="3D51ECEB" w14:textId="77777777" w:rsidR="003F7B9F" w:rsidRPr="006701AC" w:rsidRDefault="003F7B9F" w:rsidP="00E229BE">
      <w:pPr>
        <w:pStyle w:val="BodyText"/>
      </w:pPr>
      <w:r w:rsidRPr="006701AC">
        <w:t xml:space="preserve">Other count durations can produce reasonable results in some cases but are not recommended for general use. Equipment that can collect data in </w:t>
      </w:r>
      <w:r>
        <w:t xml:space="preserve">time increment (such as 15-minute, </w:t>
      </w:r>
      <w:r w:rsidRPr="006701AC">
        <w:t>hourly</w:t>
      </w:r>
      <w:r>
        <w:t>, etc.)</w:t>
      </w:r>
      <w:r w:rsidRPr="006701AC">
        <w:t xml:space="preserve"> traffic bins should be used for the general program. In urban areas or for </w:t>
      </w:r>
      <w:r w:rsidRPr="00E229BE">
        <w:t>special</w:t>
      </w:r>
      <w:r w:rsidRPr="006701AC">
        <w:t xml:space="preserve"> studies, the use of shorter intervals, such as 15 minutes, may be appropriate. The use of 48-hour periods is recommended because:</w:t>
      </w:r>
    </w:p>
    <w:p w14:paraId="0AFAD1C9" w14:textId="77777777" w:rsidR="003F7B9F" w:rsidRPr="0058491C" w:rsidRDefault="003F7B9F">
      <w:pPr>
        <w:pStyle w:val="TMGBullet"/>
      </w:pPr>
      <w:r w:rsidRPr="0058491C">
        <w:t xml:space="preserve">The accuracy of the annual load estimates of 48-hour counts is better than that of 24-hour counts. </w:t>
      </w:r>
    </w:p>
    <w:p w14:paraId="534EBA66" w14:textId="74071B4E" w:rsidR="003F7B9F" w:rsidRPr="0058491C" w:rsidRDefault="003F7B9F">
      <w:pPr>
        <w:pStyle w:val="TMGBullet"/>
      </w:pPr>
      <w:r w:rsidRPr="0058491C">
        <w:t>Significant improvement in quality control capabilities become possible with the comparison of one day</w:t>
      </w:r>
      <w:r w:rsidR="009C10C6">
        <w:t>’</w:t>
      </w:r>
      <w:r w:rsidRPr="0058491C">
        <w:t>s hourly traffic counts against the second day's counts</w:t>
      </w:r>
      <w:r w:rsidR="0064041C">
        <w:t>.</w:t>
      </w:r>
    </w:p>
    <w:p w14:paraId="0E51C59B" w14:textId="69AC5067" w:rsidR="003F7B9F" w:rsidRPr="00B630A0" w:rsidRDefault="003F7B9F">
      <w:pPr>
        <w:pStyle w:val="TMGBullet"/>
      </w:pPr>
      <w:r w:rsidRPr="0058491C">
        <w:t>Longevity of the sensors/road tube and equipment has improved to provide longer</w:t>
      </w:r>
      <w:r w:rsidR="0064041C">
        <w:t>-</w:t>
      </w:r>
      <w:r w:rsidRPr="0058491C">
        <w:t>duration counts</w:t>
      </w:r>
      <w:r w:rsidRPr="00B630A0">
        <w:t>.</w:t>
      </w:r>
    </w:p>
    <w:p w14:paraId="72168A05" w14:textId="537547EA" w:rsidR="003F7B9F" w:rsidRDefault="003F7B9F" w:rsidP="00A35EAF">
      <w:pPr>
        <w:pStyle w:val="BodyText"/>
      </w:pPr>
      <w:bookmarkStart w:id="1686" w:name="_Hlk58999944"/>
      <w:r>
        <w:rPr>
          <w:shd w:val="clear" w:color="auto" w:fill="FFFFFF"/>
        </w:rPr>
        <w:t xml:space="preserve">According to </w:t>
      </w:r>
      <w:r w:rsidRPr="00E348D3">
        <w:rPr>
          <w:shd w:val="clear" w:color="auto" w:fill="FFFFFF"/>
        </w:rPr>
        <w:t xml:space="preserve">the </w:t>
      </w:r>
      <w:bookmarkStart w:id="1687" w:name="_Hlk76054458"/>
      <w:r w:rsidRPr="00E348D3">
        <w:rPr>
          <w:i/>
          <w:iCs/>
          <w:shd w:val="clear" w:color="auto" w:fill="FFFFFF"/>
        </w:rPr>
        <w:t>HPMS Manual</w:t>
      </w:r>
      <w:bookmarkEnd w:id="1687"/>
      <w:r w:rsidR="00E348D3" w:rsidRPr="00E348D3">
        <w:rPr>
          <w:i/>
          <w:iCs/>
          <w:shd w:val="clear" w:color="auto" w:fill="FFFFFF"/>
        </w:rPr>
        <w:t xml:space="preserve"> (FHWA 2016)</w:t>
      </w:r>
      <w:r w:rsidRPr="00E348D3">
        <w:rPr>
          <w:shd w:val="clear" w:color="auto" w:fill="FFFFFF"/>
        </w:rPr>
        <w:t>, "For HPMS reporting, States are permitted to perform counting using durations shorter than 48 hours for roadway functional</w:t>
      </w:r>
      <w:r>
        <w:rPr>
          <w:shd w:val="clear" w:color="auto" w:fill="FFFFFF"/>
        </w:rPr>
        <w:t xml:space="preserve"> classes arterial and interstate. For functional classes of collector and local roadways, if a State has a monitoring duration that is less than 48 hours, they must be able to demonstrate no loss in data quality based on documented statistical analysis provided to FHWA’s Office of Highway Policy Information via FHWA’s Division Office located in their respective States.</w:t>
      </w:r>
    </w:p>
    <w:p w14:paraId="2751894B" w14:textId="3C56599E" w:rsidR="003F7B9F" w:rsidRPr="004859C8" w:rsidRDefault="003F7B9F" w:rsidP="00A35EAF">
      <w:pPr>
        <w:pStyle w:val="BodyText"/>
        <w:rPr>
          <w:rFonts w:eastAsiaTheme="minorHAnsi"/>
        </w:rPr>
      </w:pPr>
      <w:r>
        <w:rPr>
          <w:shd w:val="clear" w:color="auto" w:fill="FFFFFF"/>
        </w:rPr>
        <w:t>Also</w:t>
      </w:r>
      <w:r w:rsidR="0064041C">
        <w:rPr>
          <w:shd w:val="clear" w:color="auto" w:fill="FFFFFF"/>
        </w:rPr>
        <w:t>,</w:t>
      </w:r>
      <w:r>
        <w:rPr>
          <w:shd w:val="clear" w:color="auto" w:fill="FFFFFF"/>
        </w:rPr>
        <w:t xml:space="preserve"> for 48-hour counts (two full 24-hour days) are required for all HPMS full extent and sample data including those off the State highway system except where otherwise noted. Where axle correction factors are needed to adjust raw counts, they should be derived from facility-specific vehicle classification or weigh-in</w:t>
      </w:r>
      <w:r w:rsidR="0064041C">
        <w:rPr>
          <w:shd w:val="clear" w:color="auto" w:fill="FFFFFF"/>
        </w:rPr>
        <w:t>-</w:t>
      </w:r>
      <w:r>
        <w:rPr>
          <w:shd w:val="clear" w:color="auto" w:fill="FFFFFF"/>
        </w:rPr>
        <w:t xml:space="preserve">motion (WIM) </w:t>
      </w:r>
      <w:r>
        <w:rPr>
          <w:shd w:val="clear" w:color="auto" w:fill="FFFFFF"/>
        </w:rPr>
        <w:lastRenderedPageBreak/>
        <w:t xml:space="preserve">data obtained on the same route or on a similar route with similar traffic in the same area. Factors that purport to account for suspected machine error in high traffic volume situations shall not be applied to traffic counts used for HPMS purposes, including volume group assignment. In high volume situations and on controlled access facilities, it may be more appropriate to use continuous or short-term ramp counts in conjunction with </w:t>
      </w:r>
      <w:r w:rsidRPr="00AC3D40">
        <w:rPr>
          <w:shd w:val="clear" w:color="auto" w:fill="FFFFFF"/>
        </w:rPr>
        <w:t>strategic mainline monitoring than to use short</w:t>
      </w:r>
      <w:r w:rsidR="00837C2B">
        <w:rPr>
          <w:shd w:val="clear" w:color="auto" w:fill="FFFFFF"/>
        </w:rPr>
        <w:t>-</w:t>
      </w:r>
      <w:r w:rsidRPr="00AC3D40">
        <w:rPr>
          <w:shd w:val="clear" w:color="auto" w:fill="FFFFFF"/>
        </w:rPr>
        <w:t>term counts on all mainline locations (see “ramp balancing” for details).</w:t>
      </w:r>
      <w:bookmarkEnd w:id="1686"/>
      <w:r w:rsidR="00837C2B">
        <w:rPr>
          <w:shd w:val="clear" w:color="auto" w:fill="FFFFFF"/>
        </w:rPr>
        <w:t>”</w:t>
      </w:r>
    </w:p>
    <w:p w14:paraId="7E0CBBF0" w14:textId="57B8E59A" w:rsidR="003F7B9F" w:rsidRPr="00517F7A" w:rsidRDefault="003F7B9F">
      <w:pPr>
        <w:pStyle w:val="Heading3"/>
      </w:pPr>
      <w:bookmarkStart w:id="1688" w:name="_Toc324246136"/>
      <w:bookmarkStart w:id="1689" w:name="_Toc324780160"/>
      <w:bookmarkStart w:id="1690" w:name="_Toc335302444"/>
      <w:bookmarkStart w:id="1691" w:name="_Toc45604638"/>
      <w:bookmarkStart w:id="1692" w:name="_Toc68190193"/>
      <w:bookmarkStart w:id="1693" w:name="_Toc118205621"/>
      <w:r w:rsidRPr="00517F7A">
        <w:t>Step 1: Review the Existing Continuous Vehicle Classification Count Program</w:t>
      </w:r>
      <w:bookmarkEnd w:id="1688"/>
      <w:bookmarkEnd w:id="1689"/>
      <w:bookmarkEnd w:id="1690"/>
      <w:bookmarkEnd w:id="1691"/>
      <w:bookmarkEnd w:id="1692"/>
      <w:bookmarkEnd w:id="1693"/>
    </w:p>
    <w:p w14:paraId="4992E125" w14:textId="76EE89DE" w:rsidR="003F7B9F" w:rsidRPr="00BB5F6E" w:rsidRDefault="003F7B9F" w:rsidP="00A35EAF">
      <w:pPr>
        <w:pStyle w:val="BodyText"/>
      </w:pPr>
      <w:r>
        <w:t xml:space="preserve">Reviewing existing vehicle classification count programs </w:t>
      </w:r>
      <w:r w:rsidRPr="00BB5F6E">
        <w:t xml:space="preserve">should determine which highway locations require continuous vehicle classification equipment to </w:t>
      </w:r>
      <w:r w:rsidR="004C02F9">
        <w:t xml:space="preserve">effectively </w:t>
      </w:r>
      <w:r w:rsidRPr="00BB5F6E">
        <w:t xml:space="preserve">capture the travel patterns of all vehicle classes with a high degree of confidence. The review process should also document whether and how the continuous vehicle classification </w:t>
      </w:r>
      <w:r>
        <w:t xml:space="preserve">(CVC) </w:t>
      </w:r>
      <w:r w:rsidRPr="00BB5F6E">
        <w:t>program is being used to create and apply adjustment factors to short-term vehicle classification traffic counts to estimate annual average volumes by type of vehicle.</w:t>
      </w:r>
    </w:p>
    <w:p w14:paraId="22D42521" w14:textId="77777777" w:rsidR="003F7B9F" w:rsidRPr="006701AC" w:rsidRDefault="003F7B9F" w:rsidP="00E229BE">
      <w:pPr>
        <w:pStyle w:val="BodyText"/>
        <w:rPr>
          <w:rFonts w:eastAsia="MS Mincho"/>
        </w:rPr>
      </w:pPr>
      <w:r w:rsidRPr="006701AC">
        <w:rPr>
          <w:rFonts w:eastAsia="MS Mincho"/>
        </w:rPr>
        <w:t xml:space="preserve">Four primary reasons for installing and operating permanent vehicle classifiers for continuous traffic monitoring purposes include the </w:t>
      </w:r>
      <w:r w:rsidRPr="00E229BE">
        <w:rPr>
          <w:rFonts w:eastAsia="MS Mincho"/>
        </w:rPr>
        <w:t>ability</w:t>
      </w:r>
      <w:r w:rsidRPr="006701AC">
        <w:rPr>
          <w:rFonts w:eastAsia="MS Mincho"/>
        </w:rPr>
        <w:t xml:space="preserve"> to:</w:t>
      </w:r>
    </w:p>
    <w:p w14:paraId="3FA130EA" w14:textId="77777777" w:rsidR="003F7B9F" w:rsidRPr="006701AC" w:rsidRDefault="003F7B9F" w:rsidP="00971CD5">
      <w:pPr>
        <w:widowControl/>
        <w:numPr>
          <w:ilvl w:val="0"/>
          <w:numId w:val="35"/>
        </w:numPr>
        <w:tabs>
          <w:tab w:val="left" w:pos="180"/>
        </w:tabs>
        <w:autoSpaceDE/>
        <w:autoSpaceDN/>
        <w:adjustRightInd/>
        <w:spacing w:after="120"/>
        <w:ind w:left="648"/>
        <w:jc w:val="left"/>
        <w:textAlignment w:val="auto"/>
      </w:pPr>
      <w:r w:rsidRPr="006701AC">
        <w:t xml:space="preserve">Provide a highly accurate measure of traffic volume by vehicle class at a limited number of specific sites around the State. </w:t>
      </w:r>
    </w:p>
    <w:p w14:paraId="25DE5741" w14:textId="77777777" w:rsidR="003F7B9F" w:rsidRPr="006701AC" w:rsidRDefault="003F7B9F" w:rsidP="00971CD5">
      <w:pPr>
        <w:widowControl/>
        <w:numPr>
          <w:ilvl w:val="0"/>
          <w:numId w:val="35"/>
        </w:numPr>
        <w:tabs>
          <w:tab w:val="left" w:pos="180"/>
        </w:tabs>
        <w:autoSpaceDE/>
        <w:autoSpaceDN/>
        <w:adjustRightInd/>
        <w:spacing w:after="120"/>
        <w:ind w:left="648"/>
        <w:jc w:val="left"/>
        <w:textAlignment w:val="auto"/>
      </w:pPr>
      <w:r w:rsidRPr="006701AC">
        <w:t xml:space="preserve">Track the changes in those volumes over time with a high degree of accuracy. </w:t>
      </w:r>
    </w:p>
    <w:p w14:paraId="5DC60EB6" w14:textId="4AB97268" w:rsidR="003F7B9F" w:rsidRPr="006701AC" w:rsidRDefault="003F7B9F" w:rsidP="00971CD5">
      <w:pPr>
        <w:widowControl/>
        <w:numPr>
          <w:ilvl w:val="0"/>
          <w:numId w:val="35"/>
        </w:numPr>
        <w:tabs>
          <w:tab w:val="left" w:pos="180"/>
        </w:tabs>
        <w:autoSpaceDE/>
        <w:autoSpaceDN/>
        <w:adjustRightInd/>
        <w:spacing w:after="120"/>
        <w:ind w:left="648"/>
        <w:jc w:val="left"/>
        <w:textAlignment w:val="auto"/>
      </w:pPr>
      <w:r w:rsidRPr="004A1285">
        <w:rPr>
          <w:color w:val="auto"/>
        </w:rPr>
        <w:t xml:space="preserve">Determine the temporal patterns (TOD, DOW, MOY) of different vehicle </w:t>
      </w:r>
      <w:r w:rsidRPr="006701AC">
        <w:t>types on different roadways across the State;</w:t>
      </w:r>
      <w:r>
        <w:t xml:space="preserve"> (if per vehicle data is stored, CVCs can provide axle correction factor </w:t>
      </w:r>
      <w:r w:rsidR="00CE58C8">
        <w:t xml:space="preserve">data) </w:t>
      </w:r>
      <w:r>
        <w:t xml:space="preserve">(see </w:t>
      </w:r>
      <w:r w:rsidR="004C02F9">
        <w:t>S</w:t>
      </w:r>
      <w:r>
        <w:t>ection 3.7.1 for more detail)</w:t>
      </w:r>
      <w:r w:rsidR="004C02F9">
        <w:t>.</w:t>
      </w:r>
    </w:p>
    <w:p w14:paraId="390A801B" w14:textId="7515D253" w:rsidR="003F7B9F" w:rsidRPr="006701AC" w:rsidRDefault="003F7B9F" w:rsidP="00971CD5">
      <w:pPr>
        <w:widowControl/>
        <w:numPr>
          <w:ilvl w:val="0"/>
          <w:numId w:val="35"/>
        </w:numPr>
        <w:tabs>
          <w:tab w:val="left" w:pos="180"/>
        </w:tabs>
        <w:autoSpaceDE/>
        <w:autoSpaceDN/>
        <w:adjustRightInd/>
        <w:spacing w:after="120"/>
        <w:ind w:left="648"/>
        <w:jc w:val="left"/>
        <w:textAlignment w:val="auto"/>
      </w:pPr>
      <w:r w:rsidRPr="006701AC">
        <w:t>Create adjustment factors and factor groups that allow application of the factors for converting short-term classification counts into annual average estimates of vehicle volume by vehicle type.</w:t>
      </w:r>
    </w:p>
    <w:p w14:paraId="62E16725" w14:textId="77635A49" w:rsidR="003F7B9F" w:rsidRPr="0058491C" w:rsidRDefault="003F7B9F">
      <w:pPr>
        <w:pStyle w:val="Heading3"/>
      </w:pPr>
      <w:bookmarkStart w:id="1694" w:name="_Toc324246137"/>
      <w:bookmarkStart w:id="1695" w:name="_Toc324780161"/>
      <w:bookmarkStart w:id="1696" w:name="_Toc335302445"/>
      <w:bookmarkStart w:id="1697" w:name="_Toc45604639"/>
      <w:bookmarkStart w:id="1698" w:name="_Toc68190194"/>
      <w:bookmarkStart w:id="1699" w:name="_Toc118205622"/>
      <w:r w:rsidRPr="0058491C">
        <w:t>Step 2: Develop an Inventory of Available Vehicle Classification Count Locations and Equipment</w:t>
      </w:r>
      <w:bookmarkEnd w:id="1694"/>
      <w:bookmarkEnd w:id="1695"/>
      <w:bookmarkEnd w:id="1696"/>
      <w:bookmarkEnd w:id="1697"/>
      <w:bookmarkEnd w:id="1698"/>
      <w:bookmarkEnd w:id="1699"/>
    </w:p>
    <w:p w14:paraId="7C3EE063" w14:textId="57390310" w:rsidR="003F7B9F" w:rsidRPr="006701AC" w:rsidRDefault="003F7B9F" w:rsidP="00A35EAF">
      <w:pPr>
        <w:pStyle w:val="BodyText"/>
      </w:pPr>
      <w:r>
        <w:t>H</w:t>
      </w:r>
      <w:r w:rsidRPr="006701AC">
        <w:t xml:space="preserve">ighway agencies should check the accuracy of their vehicle classification data collection and take appropriate actions to assure that their vendor-specific classification algorithms correctly classify all vehicle types on their roadways (within 10% </w:t>
      </w:r>
      <w:r>
        <w:t xml:space="preserve">of the counting tolerances, bias, and </w:t>
      </w:r>
      <w:r w:rsidRPr="006701AC">
        <w:t xml:space="preserve">error by class). </w:t>
      </w:r>
    </w:p>
    <w:p w14:paraId="13333007" w14:textId="12031291" w:rsidR="003F7B9F" w:rsidRDefault="003F7B9F" w:rsidP="00A35EAF">
      <w:pPr>
        <w:pStyle w:val="BodyText"/>
      </w:pPr>
      <w:r w:rsidRPr="006701AC">
        <w:t>The inventory process should document whether and how the continuous vehicle classification program is being used to create and apply adjustment factors to short-term vehicle classification traffic counts to estimate annual average volumes by type of vehicle. The inventory review process should also determine which highway locations require continuous vehicle classification equipment to capture the travel patterns effectively of all vehicle classes with a high degree of confidence.</w:t>
      </w:r>
      <w:r w:rsidR="004D4172">
        <w:t xml:space="preserve"> </w:t>
      </w:r>
      <w:r>
        <w:t>Another item to check: are the CVC classification methods the same as the ones implemented in short-term counting equipment?</w:t>
      </w:r>
      <w:r w:rsidR="004D4172">
        <w:t xml:space="preserve"> </w:t>
      </w:r>
    </w:p>
    <w:p w14:paraId="2DC62BF9" w14:textId="398B905D" w:rsidR="003F7B9F" w:rsidRPr="00517F7A" w:rsidRDefault="003F7B9F">
      <w:pPr>
        <w:pStyle w:val="Heading3"/>
      </w:pPr>
      <w:bookmarkStart w:id="1700" w:name="_Toc335302446"/>
      <w:bookmarkStart w:id="1701" w:name="_Toc45604640"/>
      <w:bookmarkStart w:id="1702" w:name="_Toc68190195"/>
      <w:bookmarkStart w:id="1703" w:name="_Toc118205623"/>
      <w:bookmarkStart w:id="1704" w:name="_Toc324246138"/>
      <w:bookmarkStart w:id="1705" w:name="_Toc324780162"/>
      <w:r w:rsidRPr="00517F7A">
        <w:t>Step 3: Determine the Traffic Patterns to Be Monitored</w:t>
      </w:r>
      <w:bookmarkEnd w:id="1700"/>
      <w:bookmarkEnd w:id="1701"/>
      <w:bookmarkEnd w:id="1702"/>
      <w:bookmarkEnd w:id="1703"/>
      <w:r w:rsidRPr="00517F7A">
        <w:t xml:space="preserve"> </w:t>
      </w:r>
      <w:bookmarkEnd w:id="1704"/>
      <w:bookmarkEnd w:id="1705"/>
    </w:p>
    <w:p w14:paraId="2691C879" w14:textId="4808AE09" w:rsidR="003F7B9F" w:rsidRPr="00AC3D40" w:rsidRDefault="003F7B9F" w:rsidP="00A35EAF">
      <w:pPr>
        <w:pStyle w:val="BodyText"/>
      </w:pPr>
      <w:r w:rsidRPr="006701AC">
        <w:t xml:space="preserve">If sufficient data </w:t>
      </w:r>
      <w:r w:rsidR="004C02F9">
        <w:t>are</w:t>
      </w:r>
      <w:r w:rsidR="004C02F9" w:rsidRPr="006701AC">
        <w:t xml:space="preserve"> </w:t>
      </w:r>
      <w:r w:rsidRPr="006701AC">
        <w:t xml:space="preserve">available, </w:t>
      </w:r>
      <w:r w:rsidR="004C02F9">
        <w:t>they</w:t>
      </w:r>
      <w:r w:rsidR="004C02F9" w:rsidRPr="006701AC">
        <w:t xml:space="preserve"> </w:t>
      </w:r>
      <w:r w:rsidRPr="006701AC">
        <w:t xml:space="preserve">should be evaluated to determine what unique traffic </w:t>
      </w:r>
      <w:r>
        <w:t xml:space="preserve">volume </w:t>
      </w:r>
      <w:r w:rsidRPr="006701AC">
        <w:t>patterns exist for each different class of vehicles. For example, motorcycles have different DOW and monthly travel patterns than single</w:t>
      </w:r>
      <w:r w:rsidR="004C02F9">
        <w:t>-</w:t>
      </w:r>
      <w:r w:rsidRPr="006701AC">
        <w:t xml:space="preserve">unit trucks. The development of factor groups and factor procedures for different classes of vehicles </w:t>
      </w:r>
      <w:r w:rsidRPr="00AC3D40">
        <w:t xml:space="preserve">should be undertaken. </w:t>
      </w:r>
    </w:p>
    <w:p w14:paraId="41C49BB4" w14:textId="527CDB14" w:rsidR="003F7B9F" w:rsidRPr="00AC3D40" w:rsidRDefault="003F7B9F" w:rsidP="00A119E0">
      <w:pPr>
        <w:pStyle w:val="CallOut"/>
        <w:rPr>
          <w:b/>
        </w:rPr>
      </w:pPr>
      <w:r w:rsidRPr="00AC3D40">
        <w:t>At a minimum, States should investigate whether they need different factor groups and processes for six aggregate classes of vehicles: motorcycles (MC), passenger cars (PV), light</w:t>
      </w:r>
      <w:r w:rsidR="004C02F9">
        <w:t>-</w:t>
      </w:r>
      <w:r w:rsidRPr="00AC3D40">
        <w:t>duty trucks (LT), buses (BS), single</w:t>
      </w:r>
      <w:r w:rsidR="004C02F9">
        <w:t>-</w:t>
      </w:r>
      <w:r w:rsidRPr="00AC3D40">
        <w:t>unit trucks (SU), and multi-unit combination trucks (CU)</w:t>
      </w:r>
    </w:p>
    <w:p w14:paraId="2E9628C0" w14:textId="77777777" w:rsidR="003F7B9F" w:rsidRPr="006701AC" w:rsidRDefault="003F7B9F" w:rsidP="00A35EAF">
      <w:pPr>
        <w:pStyle w:val="BodyText"/>
      </w:pPr>
      <w:r w:rsidRPr="00AC3D40">
        <w:t>In some cases, two or more of the above classes of vehicles may be included in one set of factors when these vehicles can be shown to have simila</w:t>
      </w:r>
      <w:r w:rsidRPr="006701AC">
        <w:t>r travel patterns.</w:t>
      </w:r>
    </w:p>
    <w:p w14:paraId="51A617DA" w14:textId="77F2A285" w:rsidR="003F7B9F" w:rsidRPr="00AC3D40" w:rsidRDefault="003F7B9F" w:rsidP="00A35EAF">
      <w:pPr>
        <w:pStyle w:val="BodyText"/>
      </w:pPr>
      <w:r w:rsidRPr="006701AC">
        <w:t xml:space="preserve">The </w:t>
      </w:r>
      <w:r w:rsidRPr="00AC3D40">
        <w:t xml:space="preserve">review of temporal patterns can be undertaken using one of several analytical </w:t>
      </w:r>
      <w:r>
        <w:t xml:space="preserve">methods described in </w:t>
      </w:r>
      <w:r w:rsidR="004C02F9">
        <w:t>S</w:t>
      </w:r>
      <w:r>
        <w:t>ection</w:t>
      </w:r>
      <w:r w:rsidR="007D4A7A">
        <w:t> </w:t>
      </w:r>
      <w:r>
        <w:t>3.2.5</w:t>
      </w:r>
      <w:r w:rsidRPr="00AC3D40">
        <w:t xml:space="preserve">. </w:t>
      </w:r>
    </w:p>
    <w:p w14:paraId="6BEDF8AF" w14:textId="03433635" w:rsidR="003F7B9F" w:rsidRPr="00AC3D40" w:rsidRDefault="003F7B9F" w:rsidP="00A35EAF">
      <w:pPr>
        <w:pStyle w:val="BodyText"/>
      </w:pPr>
      <w:r w:rsidRPr="00AC3D40">
        <w:lastRenderedPageBreak/>
        <w:t xml:space="preserve">The intent of the temporal pattern review is to assess the degree of temporal variation that exists in the State as measured by the existing vehicle classification data program and to examine the validity of the existing factor grouping procedures that produce the appropriate temporal factors. If sufficient data </w:t>
      </w:r>
      <w:r w:rsidR="0023726B">
        <w:t>are</w:t>
      </w:r>
      <w:r w:rsidR="0023726B" w:rsidRPr="00AC3D40">
        <w:t xml:space="preserve"> </w:t>
      </w:r>
      <w:r w:rsidRPr="00AC3D40">
        <w:t xml:space="preserve">available, </w:t>
      </w:r>
      <w:r w:rsidR="0023726B">
        <w:t>they</w:t>
      </w:r>
      <w:r w:rsidR="0023726B" w:rsidRPr="00AC3D40">
        <w:t xml:space="preserve"> </w:t>
      </w:r>
      <w:r w:rsidRPr="00AC3D40">
        <w:t xml:space="preserve">should be evaluated to determine what unique </w:t>
      </w:r>
      <w:r>
        <w:t xml:space="preserve">travel and </w:t>
      </w:r>
      <w:r w:rsidRPr="00AC3D40">
        <w:t>traffic patterns exist for each of the different classes of vehicles.</w:t>
      </w:r>
    </w:p>
    <w:p w14:paraId="236A4065" w14:textId="27FD6E90" w:rsidR="003F7B9F" w:rsidRPr="00AC3D40" w:rsidRDefault="003F7B9F" w:rsidP="00A35EAF">
      <w:pPr>
        <w:pStyle w:val="BodyText"/>
      </w:pPr>
      <w:r w:rsidRPr="00AC3D40">
        <w:t>The review consists of examining the monthly, DOW</w:t>
      </w:r>
      <w:r w:rsidR="0023726B">
        <w:t>,</w:t>
      </w:r>
      <w:r w:rsidRPr="00AC3D40">
        <w:t xml:space="preserve"> and TOD variation in vehicle traffic volume for each class of vehicles (at a minimum for MC, PV, BS, LT, SU</w:t>
      </w:r>
      <w:r w:rsidR="00DD4E72">
        <w:t>,</w:t>
      </w:r>
      <w:r w:rsidRPr="00AC3D40">
        <w:t xml:space="preserve"> and CU) at the existing vehicle classification locations, followed by a review of how roads are grouped based on common patterns of DOW and monthly variation. </w:t>
      </w:r>
    </w:p>
    <w:p w14:paraId="3E352F0B" w14:textId="77777777" w:rsidR="003F7B9F" w:rsidRPr="00517F7A" w:rsidRDefault="003F7B9F">
      <w:pPr>
        <w:pStyle w:val="Heading3"/>
      </w:pPr>
      <w:bookmarkStart w:id="1706" w:name="_Toc68190196"/>
      <w:bookmarkStart w:id="1707" w:name="_Toc118205624"/>
      <w:bookmarkStart w:id="1708" w:name="_Toc324246139"/>
      <w:bookmarkStart w:id="1709" w:name="_Toc324780163"/>
      <w:bookmarkStart w:id="1710" w:name="_Toc335302447"/>
      <w:bookmarkStart w:id="1711" w:name="_Toc45604641"/>
      <w:r w:rsidRPr="00517F7A">
        <w:t>Step 4: Establish Monthly Pattern Groups</w:t>
      </w:r>
      <w:bookmarkEnd w:id="1706"/>
      <w:bookmarkEnd w:id="1707"/>
    </w:p>
    <w:p w14:paraId="195A965C" w14:textId="77777777" w:rsidR="003F7B9F" w:rsidRPr="00517F7A" w:rsidRDefault="003F7B9F">
      <w:pPr>
        <w:pStyle w:val="Heading4"/>
      </w:pPr>
      <w:bookmarkStart w:id="1712" w:name="_Toc45604642"/>
      <w:bookmarkStart w:id="1713" w:name="_Toc63977882"/>
      <w:bookmarkStart w:id="1714" w:name="_Toc63982630"/>
      <w:bookmarkStart w:id="1715" w:name="_Toc68190197"/>
      <w:bookmarkStart w:id="1716" w:name="_Toc118205625"/>
      <w:bookmarkEnd w:id="1708"/>
      <w:bookmarkEnd w:id="1709"/>
      <w:bookmarkEnd w:id="1710"/>
      <w:bookmarkEnd w:id="1711"/>
      <w:r w:rsidRPr="00517F7A">
        <w:t>Understand Differences in Travel Patterns for Different Vehicle Classes</w:t>
      </w:r>
      <w:bookmarkEnd w:id="1712"/>
      <w:bookmarkEnd w:id="1713"/>
      <w:bookmarkEnd w:id="1714"/>
      <w:bookmarkEnd w:id="1715"/>
      <w:bookmarkEnd w:id="1716"/>
    </w:p>
    <w:p w14:paraId="16F145C3" w14:textId="45341084" w:rsidR="003F7B9F" w:rsidRPr="00AD1FF9" w:rsidRDefault="003F7B9F" w:rsidP="00A35EAF">
      <w:pPr>
        <w:pStyle w:val="BodyText"/>
      </w:pPr>
      <w:r w:rsidRPr="006701AC">
        <w:t xml:space="preserve">Previous </w:t>
      </w:r>
      <w:r w:rsidRPr="00AC3D40">
        <w:t>studies have shown that the 6 vehicle types list</w:t>
      </w:r>
      <w:r w:rsidR="0023726B">
        <w:t>ed</w:t>
      </w:r>
      <w:r w:rsidRPr="00AC3D40">
        <w:t xml:space="preserve"> above </w:t>
      </w:r>
      <w:r>
        <w:t>(</w:t>
      </w:r>
      <w:r w:rsidRPr="00AC3D40">
        <w:t xml:space="preserve">MC, PV, BS, LT, SU and CU) </w:t>
      </w:r>
      <w:r>
        <w:t xml:space="preserve">are likely to </w:t>
      </w:r>
      <w:r w:rsidRPr="00AC3D40">
        <w:t>have unique TOD, DOW, and monthly (seasonal) patterns</w:t>
      </w:r>
      <w:r w:rsidR="00CE7B8F">
        <w:t xml:space="preserve"> (and the corresponding adjustment factors)</w:t>
      </w:r>
      <w:r w:rsidRPr="00AC3D40">
        <w:t xml:space="preserve">. </w:t>
      </w:r>
    </w:p>
    <w:p w14:paraId="51A1D3C0" w14:textId="25A4188B" w:rsidR="003F7B9F" w:rsidRPr="006701AC" w:rsidRDefault="003F7B9F" w:rsidP="007D4A7A">
      <w:pPr>
        <w:pStyle w:val="BodyText"/>
        <w:spacing w:after="240"/>
      </w:pPr>
      <w:r w:rsidRPr="006701AC">
        <w:t xml:space="preserve">Continuously operating classification counters are needed to monitor these travel patterns so that these patterns can be detected and accounted for in </w:t>
      </w:r>
      <w:r>
        <w:t xml:space="preserve">the monthly adjustment factors and to support </w:t>
      </w:r>
      <w:r w:rsidRPr="006701AC">
        <w:t>engineering and planning analyses. For example, if the large increases in weekend motorcycle travel are not accounted for, short-term classification counts will significantly underestimate the number of miles traveled annually on motorcycles, thus biasing national and State safety analyses.</w:t>
      </w:r>
      <w:r>
        <w:t xml:space="preserve"> This effect is even more important due to most short</w:t>
      </w:r>
      <w:r w:rsidR="0023726B">
        <w:t>-</w:t>
      </w:r>
      <w:r>
        <w:t xml:space="preserve">term class counts taking place on a Monday thru Thursday days of the week and most </w:t>
      </w:r>
      <w:r w:rsidR="0023726B">
        <w:t xml:space="preserve">motorcycle </w:t>
      </w:r>
      <w:r>
        <w:t>travel takes place on a Friday thru Sunday days of the week.</w:t>
      </w:r>
    </w:p>
    <w:p w14:paraId="5D460EC2" w14:textId="57ECE8ED" w:rsidR="003F7B9F" w:rsidRPr="00517F7A" w:rsidRDefault="003F7B9F">
      <w:pPr>
        <w:pStyle w:val="Heading4"/>
      </w:pPr>
      <w:bookmarkStart w:id="1717" w:name="Vehicle_Classes_Used_for_Factoring"/>
      <w:bookmarkStart w:id="1718" w:name="_Toc324246140"/>
      <w:bookmarkStart w:id="1719" w:name="_Toc324780164"/>
      <w:bookmarkStart w:id="1720" w:name="_Toc335302448"/>
      <w:bookmarkStart w:id="1721" w:name="_Toc45604643"/>
      <w:bookmarkStart w:id="1722" w:name="_Toc63977883"/>
      <w:bookmarkStart w:id="1723" w:name="_Toc63982631"/>
      <w:bookmarkStart w:id="1724" w:name="_Toc68190198"/>
      <w:bookmarkStart w:id="1725" w:name="_Toc118205626"/>
      <w:r w:rsidRPr="00517F7A">
        <w:t>Vehicle Classes Used for Factoring</w:t>
      </w:r>
      <w:bookmarkEnd w:id="1717"/>
      <w:bookmarkEnd w:id="1718"/>
      <w:bookmarkEnd w:id="1719"/>
      <w:bookmarkEnd w:id="1720"/>
      <w:bookmarkEnd w:id="1721"/>
      <w:bookmarkEnd w:id="1722"/>
      <w:bookmarkEnd w:id="1723"/>
      <w:bookmarkEnd w:id="1724"/>
      <w:bookmarkEnd w:id="1725"/>
    </w:p>
    <w:p w14:paraId="63B120B2" w14:textId="163D6CC4" w:rsidR="003F7B9F" w:rsidRPr="00601A40" w:rsidRDefault="003F7B9F" w:rsidP="00A119E0">
      <w:pPr>
        <w:pStyle w:val="CallOut"/>
      </w:pPr>
      <w:r w:rsidRPr="006701AC">
        <w:t xml:space="preserve">Regardless of the approach taken for the computation and application of truck volume by class seasonal adjustment factors, </w:t>
      </w:r>
      <w:r w:rsidRPr="006701AC">
        <w:rPr>
          <w:b/>
          <w:bCs/>
        </w:rPr>
        <w:t xml:space="preserve">it is recommended that adjustment factors be computed for six generalized </w:t>
      </w:r>
      <w:r>
        <w:rPr>
          <w:b/>
          <w:bCs/>
        </w:rPr>
        <w:t xml:space="preserve">HPMS </w:t>
      </w:r>
      <w:r w:rsidRPr="006701AC">
        <w:rPr>
          <w:b/>
          <w:bCs/>
        </w:rPr>
        <w:t>vehicle classes</w:t>
      </w:r>
      <w:r w:rsidRPr="006701AC">
        <w:t xml:space="preserve"> (see VM-1 and HPMS Summary types</w:t>
      </w:r>
      <w:r w:rsidRPr="00E266F9">
        <w:t xml:space="preserve"> </w:t>
      </w:r>
      <w:r w:rsidRPr="006701AC">
        <w:t xml:space="preserve">listed </w:t>
      </w:r>
      <w:r>
        <w:t xml:space="preserve">in </w:t>
      </w:r>
      <w:r w:rsidR="006827F7">
        <w:fldChar w:fldCharType="begin"/>
      </w:r>
      <w:r w:rsidR="006827F7">
        <w:instrText xml:space="preserve"> REF _Ref114749918 \h </w:instrText>
      </w:r>
      <w:r w:rsidR="006827F7">
        <w:fldChar w:fldCharType="separate"/>
      </w:r>
      <w:r w:rsidR="00C07DF9">
        <w:t xml:space="preserve">Table </w:t>
      </w:r>
      <w:r w:rsidR="00C07DF9">
        <w:rPr>
          <w:noProof/>
        </w:rPr>
        <w:t>3</w:t>
      </w:r>
      <w:r w:rsidR="00C07DF9">
        <w:noBreakHyphen/>
      </w:r>
      <w:r w:rsidR="00C07DF9">
        <w:rPr>
          <w:noProof/>
        </w:rPr>
        <w:t>4</w:t>
      </w:r>
      <w:r w:rsidR="006827F7">
        <w:fldChar w:fldCharType="end"/>
      </w:r>
      <w:r w:rsidRPr="00601A40">
        <w:t>)</w:t>
      </w:r>
      <w:r w:rsidR="006827F7">
        <w:t>.</w:t>
      </w:r>
      <w:r w:rsidRPr="00601A40">
        <w:t xml:space="preserve"> </w:t>
      </w:r>
    </w:p>
    <w:p w14:paraId="1D404AB2" w14:textId="43AED138" w:rsidR="003F7B9F" w:rsidRPr="006701AC" w:rsidRDefault="006827F7" w:rsidP="00A35EAF">
      <w:pPr>
        <w:pStyle w:val="BodyText"/>
      </w:pPr>
      <w:r>
        <w:fldChar w:fldCharType="begin"/>
      </w:r>
      <w:r>
        <w:instrText xml:space="preserve"> REF _Ref114749918 \h </w:instrText>
      </w:r>
      <w:r>
        <w:fldChar w:fldCharType="separate"/>
      </w:r>
      <w:r w:rsidR="00C07DF9">
        <w:t xml:space="preserve">Table </w:t>
      </w:r>
      <w:r w:rsidR="00C07DF9">
        <w:rPr>
          <w:noProof/>
        </w:rPr>
        <w:t>3</w:t>
      </w:r>
      <w:r w:rsidR="00C07DF9">
        <w:noBreakHyphen/>
      </w:r>
      <w:r w:rsidR="00C07DF9">
        <w:rPr>
          <w:noProof/>
        </w:rPr>
        <w:t>4</w:t>
      </w:r>
      <w:r>
        <w:fldChar w:fldCharType="end"/>
      </w:r>
      <w:r w:rsidR="008836F1" w:rsidRPr="00601A40">
        <w:t xml:space="preserve"> </w:t>
      </w:r>
      <w:r w:rsidR="003F7B9F" w:rsidRPr="00601A40">
        <w:t>maps th</w:t>
      </w:r>
      <w:r w:rsidR="003F7B9F" w:rsidRPr="006701AC">
        <w:t>e six-vehicle class groupings used in one of the HPMS data sets to the FHWA 13 vehicle category classes</w:t>
      </w:r>
      <w:r w:rsidR="003F7B9F">
        <w:t>:</w:t>
      </w:r>
      <w:r w:rsidR="003F7B9F" w:rsidRPr="006701AC" w:rsidDel="001F0473">
        <w:t xml:space="preserve"> </w:t>
      </w:r>
    </w:p>
    <w:p w14:paraId="467E5612" w14:textId="2B842E5D" w:rsidR="003F7B9F" w:rsidRDefault="003F7B9F" w:rsidP="007D4A7A">
      <w:pPr>
        <w:pStyle w:val="TMGTableCaption"/>
      </w:pPr>
      <w:bookmarkStart w:id="1726" w:name="_Ref114749918"/>
      <w:bookmarkStart w:id="1727" w:name="_Toc54784711"/>
      <w:bookmarkStart w:id="1728" w:name="_Toc68874111"/>
      <w:bookmarkStart w:id="1729" w:name="_Toc114474824"/>
      <w:bookmarkStart w:id="1730" w:name="_Toc120631130"/>
      <w:r>
        <w:t xml:space="preserve">Table </w:t>
      </w:r>
      <w:fldSimple w:instr=" STYLEREF 1 \s ">
        <w:r w:rsidR="00C07DF9">
          <w:rPr>
            <w:noProof/>
          </w:rPr>
          <w:t>3</w:t>
        </w:r>
      </w:fldSimple>
      <w:r w:rsidR="00FE5355">
        <w:noBreakHyphen/>
      </w:r>
      <w:fldSimple w:instr=" SEQ Table \* ARABIC \s 1 ">
        <w:r w:rsidR="00C07DF9">
          <w:rPr>
            <w:noProof/>
          </w:rPr>
          <w:t>4</w:t>
        </w:r>
      </w:fldSimple>
      <w:bookmarkEnd w:id="1726"/>
      <w:r w:rsidR="00E34EB1">
        <w:t>.</w:t>
      </w:r>
      <w:r>
        <w:t xml:space="preserve"> </w:t>
      </w:r>
      <w:r w:rsidRPr="00127B4F">
        <w:t>H</w:t>
      </w:r>
      <w:r w:rsidR="00E34EB1">
        <w:t>PMS</w:t>
      </w:r>
      <w:r w:rsidRPr="00127B4F">
        <w:t xml:space="preserve"> Vehicle Class Groups/F</w:t>
      </w:r>
      <w:r w:rsidR="00736AF3">
        <w:t>HWA</w:t>
      </w:r>
      <w:r w:rsidRPr="00127B4F">
        <w:t xml:space="preserve"> Vehicle Classes</w:t>
      </w:r>
      <w:bookmarkEnd w:id="1727"/>
      <w:bookmarkEnd w:id="1728"/>
      <w:bookmarkEnd w:id="1729"/>
      <w:bookmarkEnd w:id="1730"/>
    </w:p>
    <w:tbl>
      <w:tblPr>
        <w:tblStyle w:val="TableGrid"/>
        <w:tblW w:w="0" w:type="auto"/>
        <w:jc w:val="center"/>
        <w:tblCellMar>
          <w:left w:w="86" w:type="dxa"/>
          <w:right w:w="86" w:type="dxa"/>
        </w:tblCellMar>
        <w:tblLook w:val="04A0" w:firstRow="1" w:lastRow="0" w:firstColumn="1" w:lastColumn="0" w:noHBand="0" w:noVBand="1"/>
      </w:tblPr>
      <w:tblGrid>
        <w:gridCol w:w="4950"/>
        <w:gridCol w:w="2515"/>
      </w:tblGrid>
      <w:tr w:rsidR="00C251E9" w14:paraId="5465F194" w14:textId="77777777" w:rsidTr="00604906">
        <w:trPr>
          <w:jc w:val="center"/>
        </w:trPr>
        <w:tc>
          <w:tcPr>
            <w:tcW w:w="4950" w:type="dxa"/>
            <w:tcBorders>
              <w:right w:val="single" w:sz="4" w:space="0" w:color="FFFFFF" w:themeColor="background1"/>
            </w:tcBorders>
            <w:shd w:val="clear" w:color="auto" w:fill="1F3864"/>
            <w:vAlign w:val="center"/>
          </w:tcPr>
          <w:p w14:paraId="7DF22779" w14:textId="76B71909" w:rsidR="00C251E9" w:rsidRDefault="00C251E9" w:rsidP="0017389B">
            <w:pPr>
              <w:pStyle w:val="TMGTableTextHeader"/>
            </w:pPr>
            <w:r w:rsidRPr="00207990">
              <w:t>HPMS Summary Table Vehicle Class Group*</w:t>
            </w:r>
          </w:p>
        </w:tc>
        <w:tc>
          <w:tcPr>
            <w:tcW w:w="2515" w:type="dxa"/>
            <w:tcBorders>
              <w:left w:val="single" w:sz="4" w:space="0" w:color="FFFFFF" w:themeColor="background1"/>
            </w:tcBorders>
            <w:shd w:val="clear" w:color="auto" w:fill="1F3864"/>
            <w:vAlign w:val="center"/>
          </w:tcPr>
          <w:p w14:paraId="4DE13974" w14:textId="69487177" w:rsidR="00C251E9" w:rsidRDefault="00C251E9" w:rsidP="0017389B">
            <w:pPr>
              <w:pStyle w:val="TMGTableTextHeader"/>
            </w:pPr>
            <w:r w:rsidRPr="00207990">
              <w:t>FHWA 13 Vehicle Category Classification Number</w:t>
            </w:r>
          </w:p>
        </w:tc>
      </w:tr>
      <w:tr w:rsidR="00C251E9" w14:paraId="1DB28A21" w14:textId="77777777" w:rsidTr="00604906">
        <w:trPr>
          <w:jc w:val="center"/>
        </w:trPr>
        <w:tc>
          <w:tcPr>
            <w:tcW w:w="4950" w:type="dxa"/>
            <w:vAlign w:val="center"/>
          </w:tcPr>
          <w:p w14:paraId="65F19DD2" w14:textId="3A86A9B8" w:rsidR="00C251E9" w:rsidRPr="00C251E9" w:rsidRDefault="00C251E9" w:rsidP="00917D58">
            <w:pPr>
              <w:pStyle w:val="TMGTableText"/>
            </w:pPr>
            <w:r w:rsidRPr="00C251E9">
              <w:t>Group 1: Motorcycles (MC)</w:t>
            </w:r>
          </w:p>
        </w:tc>
        <w:tc>
          <w:tcPr>
            <w:tcW w:w="2515" w:type="dxa"/>
            <w:vAlign w:val="center"/>
          </w:tcPr>
          <w:p w14:paraId="01406014" w14:textId="5B29D7C0" w:rsidR="00C251E9" w:rsidRPr="00027185" w:rsidRDefault="00C251E9" w:rsidP="00917D58">
            <w:pPr>
              <w:pStyle w:val="TMGTableText"/>
            </w:pPr>
            <w:r w:rsidRPr="00C251E9">
              <w:t>1</w:t>
            </w:r>
          </w:p>
        </w:tc>
      </w:tr>
      <w:tr w:rsidR="00C251E9" w14:paraId="4E59BE1A" w14:textId="77777777" w:rsidTr="00604906">
        <w:trPr>
          <w:jc w:val="center"/>
        </w:trPr>
        <w:tc>
          <w:tcPr>
            <w:tcW w:w="4950" w:type="dxa"/>
            <w:vAlign w:val="center"/>
          </w:tcPr>
          <w:p w14:paraId="6569C391" w14:textId="6F46CDC5" w:rsidR="00C251E9" w:rsidRPr="00C251E9" w:rsidRDefault="00C251E9" w:rsidP="00917D58">
            <w:pPr>
              <w:pStyle w:val="TMGTableText"/>
            </w:pPr>
            <w:r w:rsidRPr="00C251E9">
              <w:t>Group 2: Passenger Vehicles equal to or under 121” (PV)</w:t>
            </w:r>
          </w:p>
        </w:tc>
        <w:tc>
          <w:tcPr>
            <w:tcW w:w="2515" w:type="dxa"/>
            <w:vAlign w:val="center"/>
          </w:tcPr>
          <w:p w14:paraId="25808421" w14:textId="0A50E36C" w:rsidR="00C251E9" w:rsidRPr="00027185" w:rsidRDefault="00C251E9" w:rsidP="00917D58">
            <w:pPr>
              <w:pStyle w:val="TMGTableText"/>
            </w:pPr>
            <w:r w:rsidRPr="00C251E9">
              <w:t>2</w:t>
            </w:r>
          </w:p>
        </w:tc>
      </w:tr>
      <w:tr w:rsidR="00C251E9" w14:paraId="2C674286" w14:textId="77777777" w:rsidTr="00604906">
        <w:trPr>
          <w:jc w:val="center"/>
        </w:trPr>
        <w:tc>
          <w:tcPr>
            <w:tcW w:w="4950" w:type="dxa"/>
            <w:vAlign w:val="center"/>
          </w:tcPr>
          <w:p w14:paraId="26D3DDF7" w14:textId="5C316C97" w:rsidR="00C251E9" w:rsidRPr="00C251E9" w:rsidRDefault="00C251E9" w:rsidP="00917D58">
            <w:pPr>
              <w:pStyle w:val="TMGTableText"/>
            </w:pPr>
            <w:r w:rsidRPr="00C251E9">
              <w:t>Group 3: Light trucks over 121” (LT)</w:t>
            </w:r>
          </w:p>
        </w:tc>
        <w:tc>
          <w:tcPr>
            <w:tcW w:w="2515" w:type="dxa"/>
            <w:vAlign w:val="center"/>
          </w:tcPr>
          <w:p w14:paraId="28F72586" w14:textId="6F1FCC32" w:rsidR="00C251E9" w:rsidRPr="00027185" w:rsidRDefault="00C251E9" w:rsidP="00917D58">
            <w:pPr>
              <w:pStyle w:val="TMGTableText"/>
            </w:pPr>
            <w:r w:rsidRPr="00C251E9">
              <w:t>3</w:t>
            </w:r>
          </w:p>
        </w:tc>
      </w:tr>
      <w:tr w:rsidR="00C251E9" w14:paraId="3BAC6614" w14:textId="77777777" w:rsidTr="00604906">
        <w:trPr>
          <w:jc w:val="center"/>
        </w:trPr>
        <w:tc>
          <w:tcPr>
            <w:tcW w:w="4950" w:type="dxa"/>
            <w:vAlign w:val="center"/>
          </w:tcPr>
          <w:p w14:paraId="63DEDCA9" w14:textId="31E99738" w:rsidR="00C251E9" w:rsidRPr="00C251E9" w:rsidRDefault="00C251E9" w:rsidP="00917D58">
            <w:pPr>
              <w:pStyle w:val="TMGTableText"/>
            </w:pPr>
            <w:r w:rsidRPr="00C251E9">
              <w:t>Group 4: Buses (BS)</w:t>
            </w:r>
          </w:p>
        </w:tc>
        <w:tc>
          <w:tcPr>
            <w:tcW w:w="2515" w:type="dxa"/>
            <w:vAlign w:val="center"/>
          </w:tcPr>
          <w:p w14:paraId="77C42AD7" w14:textId="695B1F53" w:rsidR="00C251E9" w:rsidRPr="00027185" w:rsidRDefault="00C251E9" w:rsidP="00917D58">
            <w:pPr>
              <w:pStyle w:val="TMGTableText"/>
            </w:pPr>
            <w:r w:rsidRPr="00C251E9">
              <w:t>4</w:t>
            </w:r>
          </w:p>
        </w:tc>
      </w:tr>
      <w:tr w:rsidR="00C251E9" w14:paraId="37002A4A" w14:textId="77777777" w:rsidTr="00604906">
        <w:trPr>
          <w:jc w:val="center"/>
        </w:trPr>
        <w:tc>
          <w:tcPr>
            <w:tcW w:w="4950" w:type="dxa"/>
            <w:vAlign w:val="center"/>
          </w:tcPr>
          <w:p w14:paraId="5FD4DD5D" w14:textId="67CDA724" w:rsidR="00C251E9" w:rsidRPr="00C251E9" w:rsidRDefault="00C251E9" w:rsidP="00917D58">
            <w:pPr>
              <w:pStyle w:val="TMGTableText"/>
            </w:pPr>
            <w:r w:rsidRPr="00C251E9">
              <w:t>Group 5: Single-unit vehicles (SU)</w:t>
            </w:r>
          </w:p>
        </w:tc>
        <w:tc>
          <w:tcPr>
            <w:tcW w:w="2515" w:type="dxa"/>
            <w:vAlign w:val="center"/>
          </w:tcPr>
          <w:p w14:paraId="043D194C" w14:textId="5791F0CF" w:rsidR="00C251E9" w:rsidRPr="00027185" w:rsidRDefault="00C251E9" w:rsidP="00917D58">
            <w:pPr>
              <w:pStyle w:val="TMGTableText"/>
            </w:pPr>
            <w:r w:rsidRPr="00C251E9">
              <w:t>5,6,7</w:t>
            </w:r>
          </w:p>
        </w:tc>
      </w:tr>
      <w:tr w:rsidR="00C251E9" w14:paraId="1A99C32B" w14:textId="77777777" w:rsidTr="00604906">
        <w:trPr>
          <w:jc w:val="center"/>
        </w:trPr>
        <w:tc>
          <w:tcPr>
            <w:tcW w:w="4950" w:type="dxa"/>
            <w:vAlign w:val="center"/>
          </w:tcPr>
          <w:p w14:paraId="1C631CC5" w14:textId="14D02226" w:rsidR="00C251E9" w:rsidRPr="00C251E9" w:rsidRDefault="00C251E9" w:rsidP="00917D58">
            <w:pPr>
              <w:pStyle w:val="TMGTableText"/>
            </w:pPr>
            <w:r w:rsidRPr="00C251E9">
              <w:t>Group 6: Combination-unit vehicles (CU)</w:t>
            </w:r>
          </w:p>
        </w:tc>
        <w:tc>
          <w:tcPr>
            <w:tcW w:w="2515" w:type="dxa"/>
            <w:vAlign w:val="center"/>
          </w:tcPr>
          <w:p w14:paraId="21537AC6" w14:textId="0FBAC354" w:rsidR="00C251E9" w:rsidRPr="00027185" w:rsidRDefault="00C251E9" w:rsidP="00917D58">
            <w:pPr>
              <w:pStyle w:val="TMGTableText"/>
            </w:pPr>
            <w:r w:rsidRPr="00C251E9">
              <w:t>8,9,10,11,12,13</w:t>
            </w:r>
          </w:p>
        </w:tc>
      </w:tr>
    </w:tbl>
    <w:p w14:paraId="3A40D870" w14:textId="7AB9DC48" w:rsidR="003F7B9F" w:rsidRPr="006701AC" w:rsidRDefault="003F7B9F" w:rsidP="00C251E9">
      <w:pPr>
        <w:pStyle w:val="Source"/>
        <w:spacing w:after="360"/>
        <w:ind w:left="936" w:right="994"/>
        <w:rPr>
          <w:rFonts w:eastAsia="MS Mincho"/>
        </w:rPr>
      </w:pPr>
      <w:r w:rsidRPr="006701AC">
        <w:rPr>
          <w:rFonts w:eastAsia="MS Mincho"/>
        </w:rPr>
        <w:t>* These groupings are used to report travel activity by vehicle type in the Vehicle Summaries dataset for HPMS.</w:t>
      </w:r>
    </w:p>
    <w:p w14:paraId="64BC0731" w14:textId="77777777" w:rsidR="003F7B9F" w:rsidRPr="006701AC" w:rsidRDefault="003F7B9F" w:rsidP="00A35EAF">
      <w:pPr>
        <w:pStyle w:val="BodyText"/>
      </w:pPr>
      <w:r w:rsidRPr="006701AC">
        <w:t>Highway agencies may adjust these categories to reflect their vehicle fleets and travel patterns best, as well as the capabilities of the classification equipment in their programs. (Note that where data show similar patterns, the passenger car and light truck categories can be combined into one set of factor groups.)</w:t>
      </w:r>
    </w:p>
    <w:p w14:paraId="1C6CE015" w14:textId="4560CA20" w:rsidR="003F7B9F" w:rsidRPr="000D7942" w:rsidRDefault="003F7B9F" w:rsidP="00A35EAF">
      <w:pPr>
        <w:pStyle w:val="BodyText"/>
      </w:pPr>
      <w:r w:rsidRPr="006701AC">
        <w:t>Several reasons support these recommendations</w:t>
      </w:r>
      <w:r>
        <w:t>.</w:t>
      </w:r>
      <w:r w:rsidRPr="00D1703C">
        <w:t xml:space="preserve"> </w:t>
      </w:r>
      <w:r>
        <w:t>There is known to be more variability in the data for lower</w:t>
      </w:r>
      <w:r w:rsidR="00E80E9D">
        <w:t>-</w:t>
      </w:r>
      <w:r>
        <w:t xml:space="preserve">volume roadways. </w:t>
      </w:r>
      <w:r w:rsidRPr="006701AC">
        <w:t xml:space="preserve">With low volumes, even small changes result in high-percentage changes that make the computed factors highly unstable and unreliable. Even on moderately busy roads, many of FHWA’s 13 vehicle </w:t>
      </w:r>
      <w:r w:rsidRPr="000D7942">
        <w:lastRenderedPageBreak/>
        <w:t xml:space="preserve">classes (illustrated in </w:t>
      </w:r>
      <w:r w:rsidRPr="00295E77">
        <w:t xml:space="preserve">Appendix </w:t>
      </w:r>
      <w:r w:rsidR="00295E77">
        <w:t>A</w:t>
      </w:r>
      <w:r w:rsidRPr="000D7942">
        <w:t>) will have mathematically unstable patterns simply because their volumes are low.</w:t>
      </w:r>
      <w:r w:rsidR="004D4172">
        <w:t xml:space="preserve"> </w:t>
      </w:r>
    </w:p>
    <w:p w14:paraId="17DD5415" w14:textId="77777777" w:rsidR="003F7B9F" w:rsidRDefault="003F7B9F" w:rsidP="00A35EAF">
      <w:pPr>
        <w:pStyle w:val="BodyText"/>
      </w:pPr>
      <w:r w:rsidRPr="000D7942">
        <w:t>A second reason is that computing factors for the individual 13 vehicle classes may introduce too much complexity. There is no gain in separately annualizing extremely variable and rare vehicle classification categories.</w:t>
      </w:r>
      <w:r w:rsidRPr="00B15B97">
        <w:t xml:space="preserve"> </w:t>
      </w:r>
    </w:p>
    <w:p w14:paraId="20EF63ED" w14:textId="77777777" w:rsidR="003F7B9F" w:rsidRPr="000D7942" w:rsidRDefault="003F7B9F" w:rsidP="00A35EAF">
      <w:pPr>
        <w:pStyle w:val="BodyText"/>
      </w:pPr>
      <w:r>
        <w:t xml:space="preserve">The </w:t>
      </w:r>
      <w:r w:rsidRPr="00601A40">
        <w:rPr>
          <w:i/>
          <w:iCs/>
        </w:rPr>
        <w:t>HPMS</w:t>
      </w:r>
      <w:r>
        <w:t xml:space="preserve"> reports data for six aggregated vehicle classes. This aggregated vehicle classification reporting eliminates the issue with underrepresented and unstable low volume vehicle classes. Therefore,</w:t>
      </w:r>
      <w:r w:rsidRPr="000D7942">
        <w:t xml:space="preserve"> the </w:t>
      </w:r>
      <w:r w:rsidRPr="00601A40">
        <w:rPr>
          <w:i/>
          <w:iCs/>
        </w:rPr>
        <w:t>HPMS</w:t>
      </w:r>
      <w:r w:rsidRPr="000D7942">
        <w:t xml:space="preserve"> 6 vehicle classification groups</w:t>
      </w:r>
      <w:r>
        <w:t xml:space="preserve"> are recommended for factor development, unless some of the vehicle types included in the </w:t>
      </w:r>
      <w:r w:rsidRPr="00601A40">
        <w:rPr>
          <w:i/>
          <w:iCs/>
        </w:rPr>
        <w:t>HPMS</w:t>
      </w:r>
      <w:r>
        <w:t xml:space="preserve"> aggregated classes have large volumes and different travel patterns than other vehicles included in that aggregated vehicle class</w:t>
      </w:r>
      <w:r w:rsidRPr="000D7942">
        <w:t>.</w:t>
      </w:r>
    </w:p>
    <w:p w14:paraId="1AD93AB7" w14:textId="4587E81A" w:rsidR="003F7B9F" w:rsidRPr="007D4A7A" w:rsidRDefault="003F7B9F" w:rsidP="00A35EAF">
      <w:pPr>
        <w:pStyle w:val="BodyText"/>
        <w:rPr>
          <w:rStyle w:val="Strong"/>
          <w:rFonts w:ascii="Cambria" w:hAnsi="Cambria"/>
          <w:sz w:val="22"/>
          <w:szCs w:val="22"/>
        </w:rPr>
      </w:pPr>
      <w:r w:rsidRPr="007D4A7A">
        <w:rPr>
          <w:rStyle w:val="Strong"/>
          <w:rFonts w:ascii="Cambria" w:hAnsi="Cambria"/>
          <w:sz w:val="22"/>
          <w:szCs w:val="22"/>
        </w:rPr>
        <w:t>Micromobility Classes for Factoring</w:t>
      </w:r>
    </w:p>
    <w:p w14:paraId="1AAE3A20" w14:textId="034BC71A" w:rsidR="003F7B9F" w:rsidRPr="00AC3D40" w:rsidRDefault="003F7B9F" w:rsidP="00A35EAF">
      <w:pPr>
        <w:pStyle w:val="BodyText"/>
      </w:pPr>
      <w:r w:rsidRPr="000D7942">
        <w:t>Classifying micromobility travelers is a relatively new and emerging process, as monitoring and detection equipment continues to be improved and adapted to capturing total volumes of these travelers. Two clearly defined classes are micromobility device users. Future classifications of micromobility devices are likely to include bicycle, pedestrian, hoverboards, e-scooters, and other electronically powered vehicles</w:t>
      </w:r>
      <w:r w:rsidR="00F30E13">
        <w:t xml:space="preserve">. </w:t>
      </w:r>
      <w:r w:rsidRPr="000D7942">
        <w:t xml:space="preserve">See Chapter 2 for more details on equipment and Chapter 6 for more information on future </w:t>
      </w:r>
      <w:r w:rsidR="00F30E13">
        <w:t>third-</w:t>
      </w:r>
      <w:r w:rsidRPr="000D7942">
        <w:t>party data sources that might</w:t>
      </w:r>
      <w:r w:rsidRPr="00AC3D40">
        <w:t xml:space="preserve"> provide micromobility use datasets.</w:t>
      </w:r>
    </w:p>
    <w:p w14:paraId="28F8A795" w14:textId="77777777" w:rsidR="003F7B9F" w:rsidRPr="00517F7A" w:rsidRDefault="003F7B9F">
      <w:pPr>
        <w:pStyle w:val="Heading4"/>
      </w:pPr>
      <w:bookmarkStart w:id="1731" w:name="_Toc63977884"/>
      <w:bookmarkStart w:id="1732" w:name="_Toc63982632"/>
      <w:bookmarkStart w:id="1733" w:name="_Toc45604644"/>
      <w:bookmarkStart w:id="1734" w:name="_Toc68190199"/>
      <w:bookmarkStart w:id="1735" w:name="_Toc118205627"/>
      <w:bookmarkStart w:id="1736" w:name="Alternative_Factor_Procedures"/>
      <w:bookmarkStart w:id="1737" w:name="_Toc324246141"/>
      <w:bookmarkStart w:id="1738" w:name="_Toc324780165"/>
      <w:bookmarkStart w:id="1739" w:name="_Toc335302449"/>
      <w:r w:rsidRPr="00517F7A">
        <w:t xml:space="preserve">Select Factoring </w:t>
      </w:r>
      <w:bookmarkEnd w:id="1731"/>
      <w:bookmarkEnd w:id="1732"/>
      <w:bookmarkEnd w:id="1733"/>
      <w:r w:rsidRPr="00517F7A">
        <w:t>Methodology</w:t>
      </w:r>
      <w:bookmarkEnd w:id="1734"/>
      <w:bookmarkEnd w:id="1735"/>
      <w:r w:rsidRPr="00517F7A">
        <w:t xml:space="preserve"> </w:t>
      </w:r>
    </w:p>
    <w:bookmarkEnd w:id="1736"/>
    <w:bookmarkEnd w:id="1737"/>
    <w:bookmarkEnd w:id="1738"/>
    <w:bookmarkEnd w:id="1739"/>
    <w:p w14:paraId="6641BD51" w14:textId="0D21ED11" w:rsidR="003F7B9F" w:rsidRPr="006701AC" w:rsidRDefault="003F7B9F" w:rsidP="00A35EAF">
      <w:pPr>
        <w:pStyle w:val="BodyText"/>
      </w:pPr>
      <w:r w:rsidRPr="006701AC">
        <w:t xml:space="preserve">The following two recommended factoring procedures both have advantages and disadvantages. Both are complementary and can be combined as appropriate. The first procedure involves the use of roadway-specific factors. The </w:t>
      </w:r>
      <w:r w:rsidRPr="00AC3D40">
        <w:t xml:space="preserve">second is an extension of the traditional traffic volume factoring process involving the creation of groups and the development of average adjustment factors for each of the groups. There are multiple approaches that can be used for road grouping that are </w:t>
      </w:r>
      <w:r w:rsidR="00F30E13">
        <w:t>discussed</w:t>
      </w:r>
      <w:r w:rsidR="00F30E13" w:rsidRPr="00AC3D40">
        <w:t xml:space="preserve"> </w:t>
      </w:r>
      <w:r w:rsidRPr="00AC3D40">
        <w:t>in more details later in this section.</w:t>
      </w:r>
      <w:r w:rsidRPr="00AC3D40">
        <w:rPr>
          <w:sz w:val="18"/>
          <w:szCs w:val="18"/>
        </w:rPr>
        <w:t xml:space="preserve"> </w:t>
      </w:r>
      <w:r w:rsidRPr="00AC3D40">
        <w:t xml:space="preserve">States are encouraged to use </w:t>
      </w:r>
      <w:r w:rsidRPr="006701AC">
        <w:t>the presented alternative factor procedures or develop other alternatives that effectively remove temporal bias.</w:t>
      </w:r>
    </w:p>
    <w:p w14:paraId="0308C37E" w14:textId="699056A1" w:rsidR="003F7B9F" w:rsidRPr="006701AC" w:rsidRDefault="003F7B9F" w:rsidP="00A35EAF">
      <w:pPr>
        <w:pStyle w:val="BodyText"/>
      </w:pPr>
      <w:r w:rsidRPr="006701AC">
        <w:t xml:space="preserve">Either applying factors to a road or assigning road segments into groups involves making decisions to resolve </w:t>
      </w:r>
      <w:r>
        <w:t>issues.</w:t>
      </w:r>
      <w:r w:rsidRPr="006701AC">
        <w:t xml:space="preserve"> A factor process may result in one set of factors for cars, another set of factors for trucks, and the combination of both to arrive at a total volume. A factor process may also require more than one set of factors for trucks where different truck types are factored separately. Some roads could conceivably fit in one factor group for cars, a second factor group for single</w:t>
      </w:r>
      <w:r w:rsidR="005B6BAC">
        <w:t>-</w:t>
      </w:r>
      <w:r w:rsidRPr="006701AC">
        <w:t>unit trucks, and a third factor group for combination trucks. Resolutions should be made by each State between the need for accuracy and reductions in complexity in the approach to remov</w:t>
      </w:r>
      <w:r>
        <w:t>e</w:t>
      </w:r>
      <w:r w:rsidRPr="006701AC">
        <w:t xml:space="preserve"> temporal bias. </w:t>
      </w:r>
    </w:p>
    <w:p w14:paraId="02405DF1" w14:textId="694062FB" w:rsidR="003F7B9F" w:rsidRPr="006701AC" w:rsidRDefault="003F7B9F" w:rsidP="00A35EAF">
      <w:pPr>
        <w:pStyle w:val="BodyText"/>
      </w:pPr>
      <w:r w:rsidRPr="006701AC">
        <w:t>Two basic elements to the factor development process are the computation of the factors to apply to the short</w:t>
      </w:r>
      <w:r w:rsidR="005B6BAC">
        <w:t>-term</w:t>
      </w:r>
      <w:r w:rsidRPr="006701AC">
        <w:t xml:space="preserve"> counts and the development of a process that assigns these factors to specific counts taken on specific roadways. The roadway-specific and the traditional procedures approach these two aspects of the factoring process differently. The result is two different mechanisms for creating and applying factors, each with its own strengths and weaknesses.</w:t>
      </w:r>
    </w:p>
    <w:p w14:paraId="7A609D9F" w14:textId="2EB0A03A" w:rsidR="003F7B9F" w:rsidRPr="00604906" w:rsidRDefault="003F7B9F" w:rsidP="00A35EAF">
      <w:pPr>
        <w:pStyle w:val="BodyText"/>
        <w:rPr>
          <w:rFonts w:ascii="Cambria" w:hAnsi="Cambria"/>
          <w:i/>
          <w:iCs/>
          <w:sz w:val="22"/>
          <w:szCs w:val="22"/>
        </w:rPr>
      </w:pPr>
      <w:bookmarkStart w:id="1740" w:name="_Toc324246142"/>
      <w:r w:rsidRPr="00604906">
        <w:rPr>
          <w:rFonts w:ascii="Cambria" w:hAnsi="Cambria"/>
          <w:i/>
          <w:iCs/>
          <w:sz w:val="22"/>
          <w:szCs w:val="22"/>
        </w:rPr>
        <w:t xml:space="preserve">Alternative #1: Roadway-Specific </w:t>
      </w:r>
      <w:bookmarkEnd w:id="1740"/>
      <w:r w:rsidRPr="00604906">
        <w:rPr>
          <w:rFonts w:ascii="Cambria" w:hAnsi="Cambria"/>
          <w:i/>
          <w:iCs/>
          <w:sz w:val="22"/>
          <w:szCs w:val="22"/>
        </w:rPr>
        <w:t>Factor Approach</w:t>
      </w:r>
    </w:p>
    <w:p w14:paraId="678BE101" w14:textId="61584AD3" w:rsidR="003F7B9F" w:rsidRPr="006701AC" w:rsidRDefault="003F7B9F" w:rsidP="00A35EAF">
      <w:pPr>
        <w:pStyle w:val="BodyText"/>
      </w:pPr>
      <w:r w:rsidRPr="006701AC">
        <w:t>One option is the process implemented by the Virginia Department of Transportation (VDOT). VDOT operates continuous counters on all major roads</w:t>
      </w:r>
      <w:r w:rsidR="005B6BAC">
        <w:t>,</w:t>
      </w:r>
      <w:r w:rsidRPr="006701AC">
        <w:t xml:space="preserve"> and the counters are used to develop road-specific factors. A short</w:t>
      </w:r>
      <w:r w:rsidR="005B6BAC">
        <w:t>-term</w:t>
      </w:r>
      <w:r w:rsidRPr="006701AC">
        <w:t xml:space="preserve"> classification count taken on a specific road is adjusted using factors taken from the nearest continuous classification counter on that road. A factor computed for a specific road is not applicable to any other road. </w:t>
      </w:r>
    </w:p>
    <w:p w14:paraId="7C43CC7C" w14:textId="3B73E097" w:rsidR="003F7B9F" w:rsidRPr="006701AC" w:rsidRDefault="003F7B9F" w:rsidP="00A35EAF">
      <w:pPr>
        <w:pStyle w:val="BodyText"/>
      </w:pPr>
      <w:r w:rsidRPr="006701AC">
        <w:t>As a result, a continuous classification counter should be placed on every road for which an adjustment factor is needed. This requires many continuous vehicle classification counters and substantial resources. However, it ensures that a road can be directly identified with an appropriate factor and provide considerable insight into the movement of freight and goods within the State. The rule for assigning factors to short</w:t>
      </w:r>
      <w:r w:rsidR="005B6BAC">
        <w:t>-term</w:t>
      </w:r>
      <w:r w:rsidRPr="006701AC">
        <w:t xml:space="preserve"> counts is simple and objective.</w:t>
      </w:r>
    </w:p>
    <w:p w14:paraId="5008AB2E" w14:textId="77777777" w:rsidR="003F7B9F" w:rsidRPr="006701AC" w:rsidRDefault="003F7B9F" w:rsidP="00A35EAF">
      <w:pPr>
        <w:pStyle w:val="BodyText"/>
      </w:pPr>
      <w:r w:rsidRPr="006701AC">
        <w:lastRenderedPageBreak/>
        <w:t>Identifying a specific road with a specific factor removes a major source of error in the computation of annual traffic volumes by removing the spatial error associated with applying an adjustment factor. Further, it produces factors that are applicable to all trucks using that road. The fact that different truck classes (single-unit versus combination trucks) exhibit different travel patterns is irrelevant, since all patterns are computed for that road. Having road-specific continuous classification counters also greatly reduces the number of short-duration counts that are needed, since the continuous counters provide classification data for road sections near the count locations. The quality of data from continuous classification counters is superior to that of short counts.</w:t>
      </w:r>
    </w:p>
    <w:p w14:paraId="779BE08B" w14:textId="0A8E09F7" w:rsidR="003F7B9F" w:rsidRPr="006701AC" w:rsidRDefault="003F7B9F" w:rsidP="00A35EAF">
      <w:pPr>
        <w:pStyle w:val="BodyText"/>
      </w:pPr>
      <w:r w:rsidRPr="006701AC">
        <w:t>Finally, this approach has the advantage of simplifying the calculation of adjustment factors, the application of those factors, and the maintenance of the program. For example, there is no need to develop groups</w:t>
      </w:r>
      <w:r w:rsidR="005B6BAC">
        <w:t>,</w:t>
      </w:r>
      <w:r w:rsidRPr="006701AC">
        <w:t xml:space="preserve"> and the application is performed one road at a time. Problems with continuous counters only apply to the affected roads and prioritization of counter problem correction can be based on road priority.</w:t>
      </w:r>
    </w:p>
    <w:p w14:paraId="320236B9" w14:textId="77777777" w:rsidR="003F7B9F" w:rsidRPr="006701AC" w:rsidRDefault="003F7B9F" w:rsidP="00A35EAF">
      <w:pPr>
        <w:pStyle w:val="BodyText"/>
      </w:pPr>
      <w:r w:rsidRPr="006701AC">
        <w:t xml:space="preserve">The most important disadvantage with this approach is cost. It is expensive to install, operate, and maintain large numbers of continuous traffic counters. The larger the system to be covered, the larger the cost. However, this approach may apply effectively to the interstate, where sufficient continuous counters may be available. It can also be applied to roads where current </w:t>
      </w:r>
      <w:r>
        <w:t>CV</w:t>
      </w:r>
      <w:r w:rsidRPr="006701AC">
        <w:t>C counters are installed.</w:t>
      </w:r>
    </w:p>
    <w:p w14:paraId="19FA255C" w14:textId="133B643C" w:rsidR="003F7B9F" w:rsidRPr="004A1285" w:rsidRDefault="003F7B9F" w:rsidP="00A35EAF">
      <w:pPr>
        <w:pStyle w:val="BodyText"/>
      </w:pPr>
      <w:r w:rsidRPr="006701AC">
        <w:t xml:space="preserve">A second disadvantage is that many roads are quite long and the </w:t>
      </w:r>
      <w:r>
        <w:t xml:space="preserve">travel </w:t>
      </w:r>
      <w:r w:rsidRPr="006701AC">
        <w:t>character</w:t>
      </w:r>
      <w:r>
        <w:t>istics</w:t>
      </w:r>
      <w:r w:rsidRPr="006701AC">
        <w:t xml:space="preserve"> of any given type of vehicle traffic over their length can change </w:t>
      </w:r>
      <w:r>
        <w:t>significantly</w:t>
      </w:r>
      <w:r w:rsidRPr="006701AC">
        <w:t xml:space="preserve">. An adjustment factor taken on a road segment may not be applicable to another segment a few (two to three) miles down the road if a significant vehicle generation activity takes place along that stretch of roadway. When these factors are applied to count locations that are </w:t>
      </w:r>
      <w:r>
        <w:t>further away from</w:t>
      </w:r>
      <w:r w:rsidRPr="006701AC">
        <w:t xml:space="preserve"> the continuous counter, the potential for error </w:t>
      </w:r>
      <w:r>
        <w:t>increases and the precision of the estimate diminishes</w:t>
      </w:r>
      <w:r w:rsidRPr="006701AC">
        <w:t xml:space="preserve">. Traffic patterns change because of economic activity, traffic generators, </w:t>
      </w:r>
      <w:r w:rsidRPr="004A1285">
        <w:t xml:space="preserve">or road junctions. </w:t>
      </w:r>
      <w:r w:rsidRPr="006701AC">
        <w:t>Caution is recommended when significant traffic generators in the intervening space between the count and the continuous counter exist.</w:t>
      </w:r>
      <w:r>
        <w:t xml:space="preserve"> </w:t>
      </w:r>
      <w:r w:rsidRPr="004A1285">
        <w:t xml:space="preserve">Not only does this further increase the number of continuous counters required, </w:t>
      </w:r>
      <w:r w:rsidR="005B6BAC">
        <w:t xml:space="preserve">but </w:t>
      </w:r>
      <w:r w:rsidRPr="004A1285">
        <w:t>it also creates difficulty in selecting between the two continuous classification counters when a short-term count falls in between.</w:t>
      </w:r>
    </w:p>
    <w:p w14:paraId="1286645B" w14:textId="72365C75" w:rsidR="003F7B9F" w:rsidRPr="006701AC" w:rsidRDefault="003F7B9F" w:rsidP="00A35EAF">
      <w:pPr>
        <w:pStyle w:val="BodyText"/>
      </w:pPr>
      <w:r w:rsidRPr="004A1285">
        <w:t xml:space="preserve">The high cost may be mitigated by using road-specific factors for the most important truck roads and the traditional factor </w:t>
      </w:r>
      <w:r w:rsidRPr="006701AC">
        <w:t>groups for routes without continuous classification counters. When continuous counters fail, traditional factoring techniques can then be used to provide adjustment factors on those roads. This combination of the traditional and roadway-specific factors may be an effective compromise between these two techniques.</w:t>
      </w:r>
    </w:p>
    <w:p w14:paraId="48C4B134" w14:textId="48FF9C00" w:rsidR="003F7B9F" w:rsidRPr="00604906" w:rsidRDefault="003F7B9F" w:rsidP="00A35EAF">
      <w:pPr>
        <w:pStyle w:val="BodyText"/>
        <w:rPr>
          <w:rFonts w:ascii="Cambria" w:hAnsi="Cambria"/>
          <w:i/>
          <w:iCs/>
          <w:sz w:val="22"/>
          <w:szCs w:val="22"/>
        </w:rPr>
      </w:pPr>
      <w:bookmarkStart w:id="1741" w:name="The_Traditional_Factor_Approach"/>
      <w:bookmarkStart w:id="1742" w:name="_Toc324246143"/>
      <w:r w:rsidRPr="00604906">
        <w:rPr>
          <w:rFonts w:ascii="Cambria" w:hAnsi="Cambria"/>
          <w:i/>
          <w:iCs/>
          <w:sz w:val="22"/>
          <w:szCs w:val="22"/>
        </w:rPr>
        <w:t>Alternative #2: The Traditional Factor Approach</w:t>
      </w:r>
      <w:bookmarkEnd w:id="1741"/>
      <w:bookmarkEnd w:id="1742"/>
    </w:p>
    <w:p w14:paraId="3CCEEFEF" w14:textId="77777777" w:rsidR="003F7B9F" w:rsidRPr="006701AC" w:rsidRDefault="003F7B9F" w:rsidP="00A35EAF">
      <w:pPr>
        <w:pStyle w:val="BodyText"/>
        <w:rPr>
          <w:rFonts w:eastAsia="MS Mincho"/>
        </w:rPr>
      </w:pPr>
      <w:r w:rsidRPr="006701AC">
        <w:rPr>
          <w:rFonts w:eastAsia="MS Mincho"/>
        </w:rPr>
        <w:t>The traditional factor process involves categorizing roads that have similar traffic patterns for</w:t>
      </w:r>
      <w:r>
        <w:rPr>
          <w:rFonts w:eastAsia="MS Mincho"/>
        </w:rPr>
        <w:t xml:space="preserve"> all six</w:t>
      </w:r>
      <w:r w:rsidRPr="006701AC">
        <w:rPr>
          <w:rFonts w:eastAsia="MS Mincho"/>
        </w:rPr>
        <w:t xml:space="preserve"> </w:t>
      </w:r>
      <w:r>
        <w:rPr>
          <w:rFonts w:eastAsia="MS Mincho"/>
        </w:rPr>
        <w:t>HPMS</w:t>
      </w:r>
      <w:r w:rsidRPr="006701AC">
        <w:rPr>
          <w:rFonts w:eastAsia="MS Mincho"/>
        </w:rPr>
        <w:t xml:space="preserve"> vehicle classes. A sample of data collection sites is then selected from within each group of roads, and factors are computed for each of the </w:t>
      </w:r>
      <w:r>
        <w:rPr>
          <w:rFonts w:eastAsia="MS Mincho"/>
        </w:rPr>
        <w:t>CVC</w:t>
      </w:r>
      <w:r w:rsidRPr="006701AC">
        <w:rPr>
          <w:rFonts w:eastAsia="MS Mincho"/>
        </w:rPr>
        <w:t xml:space="preserve"> data collection sites within a group and then averaged for the group. A definition is provided for each group to describe characteristics that explain the observed pattern, which is used to allow the objective assignment of short counts to the groups. For example, a group might be defined as all roads in counties that experience heavy beach traffic, as these roads have unique seasonal and DOW recreational traffic. Similarly, for truck factors a logical grouping might be all roads serving heavy north/south or east/west through trucking movements, versus those roads that serve primarily local delivery movements.</w:t>
      </w:r>
    </w:p>
    <w:p w14:paraId="69D767B5" w14:textId="3B016597" w:rsidR="003F7B9F" w:rsidRPr="006701AC" w:rsidRDefault="003F7B9F" w:rsidP="00A35EAF">
      <w:pPr>
        <w:pStyle w:val="BodyText"/>
        <w:rPr>
          <w:rFonts w:eastAsia="MS Mincho"/>
        </w:rPr>
      </w:pPr>
      <w:r w:rsidRPr="006701AC">
        <w:rPr>
          <w:rFonts w:eastAsia="MS Mincho"/>
        </w:rPr>
        <w:t>The truck travel patterns appear to be governed by the amount of long</w:t>
      </w:r>
      <w:r w:rsidR="00F30C08">
        <w:rPr>
          <w:rFonts w:eastAsia="MS Mincho"/>
        </w:rPr>
        <w:t>-</w:t>
      </w:r>
      <w:r w:rsidRPr="006701AC">
        <w:rPr>
          <w:rFonts w:eastAsia="MS Mincho"/>
        </w:rPr>
        <w:t>distance through</w:t>
      </w:r>
      <w:r>
        <w:rPr>
          <w:rFonts w:eastAsia="MS Mincho"/>
        </w:rPr>
        <w:t xml:space="preserve">-truck </w:t>
      </w:r>
      <w:r w:rsidRPr="006701AC">
        <w:rPr>
          <w:rFonts w:eastAsia="MS Mincho"/>
        </w:rPr>
        <w:t>traffic versus the amount of locally oriented truck traffic, the existence of large truck traffic generators along a road (e.g., agricultural or major industrial activity), and the presence or absence of large populations that require the delivery of freight and goods. Understanding how these and other factors affect truck traffic is the first step toward developing truck volume factor</w:t>
      </w:r>
      <w:r>
        <w:rPr>
          <w:rFonts w:eastAsia="MS Mincho"/>
        </w:rPr>
        <w:t xml:space="preserve"> group</w:t>
      </w:r>
      <w:r w:rsidRPr="006701AC">
        <w:rPr>
          <w:rFonts w:eastAsia="MS Mincho"/>
        </w:rPr>
        <w:t xml:space="preserve">s. Developing this understanding requires analysis of the existing continuous vehicle classification data already being collected by the State within the context of the commodity movements and economic activity happening in the State. The steps required to gain this understanding are described below. </w:t>
      </w:r>
    </w:p>
    <w:p w14:paraId="07B27A53" w14:textId="77777777" w:rsidR="003F7B9F" w:rsidRPr="006701AC" w:rsidRDefault="003F7B9F" w:rsidP="00A35EAF">
      <w:pPr>
        <w:pStyle w:val="BodyText"/>
        <w:rPr>
          <w:rFonts w:eastAsia="MS Mincho"/>
        </w:rPr>
      </w:pPr>
      <w:r w:rsidRPr="006701AC">
        <w:rPr>
          <w:rFonts w:eastAsia="MS Mincho"/>
        </w:rPr>
        <w:t xml:space="preserve">Several methods can be used to determine whether various sites belong together. </w:t>
      </w:r>
      <w:bookmarkStart w:id="1743" w:name="_Hlk50714493"/>
      <w:r w:rsidRPr="006701AC">
        <w:rPr>
          <w:rFonts w:eastAsia="MS Mincho"/>
        </w:rPr>
        <w:t xml:space="preserve">A statistically rigorous approach to testing the precision of the selected groups requires the use of </w:t>
      </w:r>
      <w:r>
        <w:rPr>
          <w:rFonts w:eastAsia="MS Mincho"/>
        </w:rPr>
        <w:t xml:space="preserve">analytical </w:t>
      </w:r>
      <w:r w:rsidRPr="006701AC">
        <w:rPr>
          <w:rFonts w:eastAsia="MS Mincho"/>
        </w:rPr>
        <w:t>statistic</w:t>
      </w:r>
      <w:r>
        <w:rPr>
          <w:rFonts w:eastAsia="MS Mincho"/>
        </w:rPr>
        <w:t>al tools</w:t>
      </w:r>
      <w:r w:rsidRPr="006701AC">
        <w:rPr>
          <w:rFonts w:eastAsia="MS Mincho"/>
        </w:rPr>
        <w:t>, an examination of all the truck classes used, and the comparison of statistical reliability for the different types of statistics produced, with the users</w:t>
      </w:r>
      <w:r>
        <w:rPr>
          <w:rFonts w:eastAsia="MS Mincho"/>
        </w:rPr>
        <w:t>’</w:t>
      </w:r>
      <w:r w:rsidRPr="006701AC">
        <w:rPr>
          <w:rFonts w:eastAsia="MS Mincho"/>
        </w:rPr>
        <w:t xml:space="preserve"> need for those reliability statistics. This is a complex and difficult analysis. </w:t>
      </w:r>
      <w:bookmarkEnd w:id="1743"/>
      <w:r w:rsidRPr="006701AC">
        <w:rPr>
          <w:rFonts w:eastAsia="MS Mincho"/>
        </w:rPr>
        <w:t>The analysis can be simplified by concentrating on the most important vehicle classes and statistics produced. However, even with the</w:t>
      </w:r>
      <w:r>
        <w:rPr>
          <w:rFonts w:eastAsia="MS Mincho"/>
        </w:rPr>
        <w:t>se</w:t>
      </w:r>
      <w:r w:rsidRPr="006701AC">
        <w:rPr>
          <w:rFonts w:eastAsia="MS Mincho"/>
        </w:rPr>
        <w:t xml:space="preserve"> simplifications, trade-offs are necessary. No design</w:t>
      </w:r>
      <w:r>
        <w:rPr>
          <w:rFonts w:eastAsia="MS Mincho"/>
        </w:rPr>
        <w:t>at</w:t>
      </w:r>
      <w:r w:rsidRPr="006701AC">
        <w:rPr>
          <w:rFonts w:eastAsia="MS Mincho"/>
        </w:rPr>
        <w:t xml:space="preserve">ed group will be optimal for all purposes or apply </w:t>
      </w:r>
      <w:r w:rsidRPr="006701AC">
        <w:rPr>
          <w:rFonts w:eastAsia="MS Mincho"/>
        </w:rPr>
        <w:lastRenderedPageBreak/>
        <w:t xml:space="preserve">perfectly to all sites. For example, in one group of roads, the single tractor-trailer volumes on roads within each group may have similar travel characteristics, but the single-unit truck volume patterns are quite different from each other. </w:t>
      </w:r>
    </w:p>
    <w:p w14:paraId="650B8762" w14:textId="77777777" w:rsidR="003F7B9F" w:rsidRPr="006701AC" w:rsidRDefault="003F7B9F" w:rsidP="00A35EAF">
      <w:pPr>
        <w:pStyle w:val="BodyText"/>
        <w:rPr>
          <w:rFonts w:eastAsia="MS Mincho"/>
        </w:rPr>
      </w:pPr>
      <w:r w:rsidRPr="006701AC">
        <w:rPr>
          <w:rFonts w:eastAsia="MS Mincho"/>
        </w:rPr>
        <w:t>At some point, the analyst will need to determine the proper balance between the precision of the group factors developed for these two classes of trucks, or they will have to accept different factor groups for different vehicle classes. Each road may end up in multiple factor groups depending on what vehicle classification volume is being factored. Use of multiple groups may result in a more accurate factor process but will result in a more complicated and confusing procedure.</w:t>
      </w:r>
    </w:p>
    <w:p w14:paraId="0655B484" w14:textId="567BB39F" w:rsidR="003F7B9F" w:rsidRPr="000111DF" w:rsidRDefault="003F7B9F" w:rsidP="00A35EAF">
      <w:pPr>
        <w:pStyle w:val="BodyText"/>
      </w:pPr>
      <w:r w:rsidRPr="006701AC">
        <w:t xml:space="preserve">The trade-offs between alternative factor groups can only be compared by understanding the value of the precision of each statistic to the data user. In most cases, this is simply a function of determining the relative importance of different statistics. For example, if 95 percent of all trucks are single tractor-trailer trucks, then having road groups that accurately describe tractor-trailer vehicle patterns is more important than having road groups that accurately describe single-unit truck patterns. Similarly, if single-unit trucks carry the predominant amount of freight (this occurs in mineral extraction areas), then the emphasis should be on forming road groups that accurately measure single-unit truck volume patterns. </w:t>
      </w:r>
      <w:bookmarkStart w:id="1744" w:name="Create_Initial_Factor_Groups"/>
      <w:bookmarkStart w:id="1745" w:name="_Toc324246144"/>
      <w:bookmarkStart w:id="1746" w:name="_Toc324780166"/>
      <w:bookmarkStart w:id="1747" w:name="_Toc335302450"/>
      <w:bookmarkStart w:id="1748" w:name="_Toc45604645"/>
      <w:r>
        <w:t xml:space="preserve">If a road group has a significant presence of motorcycles, buses, and/or recreational vehicles (typically recreational roads), </w:t>
      </w:r>
      <w:r w:rsidR="00E80896">
        <w:t xml:space="preserve">the </w:t>
      </w:r>
      <w:r>
        <w:t>road grouping process should focus on temporal similarities in travel for these vehicle types.</w:t>
      </w:r>
    </w:p>
    <w:p w14:paraId="20FACD60" w14:textId="77777777" w:rsidR="003F7B9F" w:rsidRPr="00517F7A" w:rsidRDefault="003F7B9F">
      <w:pPr>
        <w:pStyle w:val="Heading4"/>
      </w:pPr>
      <w:bookmarkStart w:id="1749" w:name="_Toc63977885"/>
      <w:bookmarkStart w:id="1750" w:name="_Toc63982633"/>
      <w:bookmarkStart w:id="1751" w:name="_Toc68190200"/>
      <w:bookmarkStart w:id="1752" w:name="_Toc118205628"/>
      <w:r w:rsidRPr="00517F7A">
        <w:t>Create Initial Factor Groups</w:t>
      </w:r>
      <w:bookmarkEnd w:id="1744"/>
      <w:bookmarkEnd w:id="1745"/>
      <w:bookmarkEnd w:id="1746"/>
      <w:bookmarkEnd w:id="1747"/>
      <w:r w:rsidRPr="00517F7A">
        <w:t xml:space="preserve"> (Traditional Approach)</w:t>
      </w:r>
      <w:bookmarkEnd w:id="1748"/>
      <w:bookmarkEnd w:id="1749"/>
      <w:bookmarkEnd w:id="1750"/>
      <w:bookmarkEnd w:id="1751"/>
      <w:bookmarkEnd w:id="1752"/>
    </w:p>
    <w:p w14:paraId="50A58FCD" w14:textId="2547F412" w:rsidR="003F7B9F" w:rsidRPr="006701AC" w:rsidRDefault="003F7B9F" w:rsidP="00A35EAF">
      <w:pPr>
        <w:pStyle w:val="BodyText"/>
      </w:pPr>
      <w:r w:rsidRPr="006701AC">
        <w:t xml:space="preserve">The creation and application of adjustment factor </w:t>
      </w:r>
      <w:r w:rsidRPr="00961F4C">
        <w:t xml:space="preserve">groups (TOD, DOW, </w:t>
      </w:r>
      <w:r w:rsidRPr="006701AC">
        <w:t xml:space="preserve">and </w:t>
      </w:r>
      <w:r>
        <w:t>MOY</w:t>
      </w:r>
      <w:r w:rsidRPr="006701AC">
        <w:t xml:space="preserve">) by class of vehicle is a topic that is still new. </w:t>
      </w:r>
      <w:r>
        <w:t>Some</w:t>
      </w:r>
      <w:r w:rsidRPr="006701AC">
        <w:t xml:space="preserve"> State DOTs have yet to develop these factoring procedures, and considerable research still needs to be accomplished. Several methods can be used to create factor groups</w:t>
      </w:r>
      <w:r>
        <w:t xml:space="preserve"> using the traditional approach</w:t>
      </w:r>
      <w:r w:rsidRPr="006701AC">
        <w:t xml:space="preserve">, including knowledge-based grouping, statistical clustering, </w:t>
      </w:r>
      <w:r>
        <w:t>area of influence</w:t>
      </w:r>
      <w:r w:rsidR="00E80896">
        <w:t>,</w:t>
      </w:r>
      <w:r>
        <w:t xml:space="preserve"> </w:t>
      </w:r>
      <w:r w:rsidRPr="006701AC">
        <w:t>and a hybrid approach that combines methods.</w:t>
      </w:r>
    </w:p>
    <w:p w14:paraId="7A8A8097" w14:textId="77777777" w:rsidR="003F7B9F" w:rsidRPr="00604906" w:rsidRDefault="003F7B9F" w:rsidP="00A35EAF">
      <w:pPr>
        <w:pStyle w:val="BodyText"/>
        <w:rPr>
          <w:rStyle w:val="Strong"/>
          <w:rFonts w:ascii="Cambria" w:hAnsi="Cambria"/>
          <w:sz w:val="22"/>
          <w:szCs w:val="22"/>
        </w:rPr>
      </w:pPr>
      <w:r w:rsidRPr="00604906">
        <w:rPr>
          <w:rStyle w:val="Strong"/>
          <w:rFonts w:ascii="Cambria" w:hAnsi="Cambria"/>
          <w:sz w:val="22"/>
          <w:szCs w:val="22"/>
        </w:rPr>
        <w:t>Knowledge-Based Grouping</w:t>
      </w:r>
    </w:p>
    <w:p w14:paraId="2E7407E2" w14:textId="77777777" w:rsidR="003F7B9F" w:rsidRPr="006701AC" w:rsidRDefault="003F7B9F" w:rsidP="00A35EAF">
      <w:pPr>
        <w:pStyle w:val="BodyText"/>
      </w:pPr>
      <w:r w:rsidRPr="006701AC">
        <w:t xml:space="preserve">States should use the available classification data and knowledge to begin the development of traffic patterns. </w:t>
      </w:r>
      <w:r w:rsidRPr="00961F4C">
        <w:t xml:space="preserve">Traffic patterns are governed by a combination of local service activity, local economic activity, local freight movements, and through-truck movements. Extensive passenger vehicle and truck through-traffic movements are likely to result in higher night passenger vehicles and truck travel and higher weekend passenger vehicles and truck travel. Through-traffic can flatten the monthly fluctuations present on some roads and create monthly patterns on other roads not associated with the economic activity occurring in the land abutting that roadway section. Similarly, a road primarily serving local freight movements will be highly affected by the timing of </w:t>
      </w:r>
      <w:r w:rsidRPr="006701AC">
        <w:t xml:space="preserve">those local freight movements. For example, if the factory located along a given </w:t>
      </w:r>
      <w:bookmarkStart w:id="1753" w:name="_ftnref6"/>
      <w:r w:rsidRPr="006701AC">
        <w:t>road</w:t>
      </w:r>
      <w:bookmarkEnd w:id="1753"/>
      <w:r w:rsidRPr="006701AC">
        <w:t xml:space="preserve"> (not subject to significant amounts of through-traffic) does not operate at night, there may be little freight movement on that road at night.</w:t>
      </w:r>
    </w:p>
    <w:p w14:paraId="345F39A7" w14:textId="7FDE333A" w:rsidR="00EC03C5" w:rsidRDefault="003F7B9F" w:rsidP="00A35EAF">
      <w:pPr>
        <w:pStyle w:val="BodyText"/>
      </w:pPr>
      <w:r w:rsidRPr="006701AC">
        <w:t>Functional road classification can be used to a limited extent to help differentiate between roads with heavy through-traffic and those with only local traffic. Interstates and principal arterials tend to have higher through-truck traffic volumes than lower functional classes. However, there are urban interstates and principal arterial highways with little or no through-truck traffic, just as some roads with lower functional classifications can carry considerable through-truck volumes. Therefore, functional classification of a road by itself is an insufficient identifier of truck usage patterns. To identify road-usage characteristics, additional information should be obtained from either truck volume data collection efforts or the knowledge of staff familiar with the trucking usage of specific roads or the transportation planning and land development offices. The truck volume data patterns, especially TOD patterns from short</w:t>
      </w:r>
      <w:r w:rsidR="00661722">
        <w:t>-term</w:t>
      </w:r>
      <w:r w:rsidRPr="006701AC">
        <w:t xml:space="preserve"> counts and DOW and monthly patterns from continuous classifiers, identify travel patterns for different types of vehicles. These patterns should then be discussed with staff working on freight planning activities to understand and help identify trucking patterns in ways that allow both grouping of continuous counters and assignment of short</w:t>
      </w:r>
      <w:r w:rsidR="00661722">
        <w:t>-term</w:t>
      </w:r>
      <w:r w:rsidRPr="006701AC">
        <w:t xml:space="preserve"> count location to those groups. </w:t>
      </w:r>
    </w:p>
    <w:p w14:paraId="0A604251" w14:textId="77777777" w:rsidR="00EC03C5" w:rsidRDefault="00EC03C5">
      <w:pPr>
        <w:widowControl/>
        <w:suppressAutoHyphens w:val="0"/>
        <w:autoSpaceDE/>
        <w:autoSpaceDN/>
        <w:adjustRightInd/>
        <w:spacing w:after="160" w:line="259" w:lineRule="auto"/>
        <w:jc w:val="left"/>
        <w:textAlignment w:val="auto"/>
        <w:rPr>
          <w:color w:val="auto"/>
        </w:rPr>
      </w:pPr>
      <w:r>
        <w:br w:type="page"/>
      </w:r>
    </w:p>
    <w:p w14:paraId="44337942" w14:textId="4BC43550" w:rsidR="003F7B9F" w:rsidRPr="006701AC" w:rsidRDefault="003F7B9F" w:rsidP="00A35EAF">
      <w:pPr>
        <w:pStyle w:val="BodyText"/>
      </w:pPr>
      <w:r w:rsidRPr="006701AC">
        <w:lastRenderedPageBreak/>
        <w:t>Among the types of patterns that can be identified through this combination of data and communication with staff are various local, regional, and through</w:t>
      </w:r>
      <w:r w:rsidR="004A500A">
        <w:t>-</w:t>
      </w:r>
      <w:r w:rsidRPr="006701AC">
        <w:t xml:space="preserve">travel patterns. For example, local truck traffic can be generated by a single facility such as a factory, or by wider activity such as agriculture or commercial and industrial centers. These point or area truck-trip generators create specific seasonal and DOW patterns, much as recreational activity creates specific passenger car patterns. Truck trips produced by these generators can </w:t>
      </w:r>
      <w:r>
        <w:t xml:space="preserve">show large monthly changes </w:t>
      </w:r>
      <w:r w:rsidRPr="006701AC">
        <w:t>(such as from agricultural areas) or constant (such as flow patterns produced by many types of major industrial plants). Where these trips predominate on a road, truck travel patterns tend to match the activity of the geographic point or area that produces those trips. In addition, changes in the output of these facilities can have dramatic changes in the level of trucking activity. For example, a labor problem at a West coast container port may produce dramatic shifts in container truck traffic to other ports. This results in significant changes in truck traffic on major routes serving those ports. Expansion or contraction of factory production at a major automobile plant in the Midwest can cause similar dramatic changes on roads that serve those facilities.</w:t>
      </w:r>
    </w:p>
    <w:p w14:paraId="05BFBEA8" w14:textId="0949C683" w:rsidR="003F7B9F" w:rsidRDefault="003F7B9F" w:rsidP="00A35EAF">
      <w:pPr>
        <w:pStyle w:val="BodyText"/>
      </w:pPr>
      <w:bookmarkStart w:id="1754" w:name="_Hlk59014377"/>
      <w:r>
        <w:t xml:space="preserve">An understanding of the commodity flow within the </w:t>
      </w:r>
      <w:r w:rsidR="004A500A">
        <w:t>S</w:t>
      </w:r>
      <w:r>
        <w:t xml:space="preserve">tate is important for road grouping process. Specific commodities tend to be carried by specific types of heavy vehicles (trucks). Understanding the types of heavy vehicles typically used to carry specific commodities is critical to understanding the trucking patterns on a road and how those patterns are likely to change (e.g., coal trucks in Kentucky and Pennsylvania) within the </w:t>
      </w:r>
      <w:r w:rsidR="004A500A">
        <w:t>S</w:t>
      </w:r>
      <w:r>
        <w:t xml:space="preserve">tate. </w:t>
      </w:r>
    </w:p>
    <w:bookmarkEnd w:id="1754"/>
    <w:p w14:paraId="2801F92A" w14:textId="6A587885" w:rsidR="003F7B9F" w:rsidRPr="006701AC" w:rsidRDefault="003F7B9F" w:rsidP="00A35EAF">
      <w:pPr>
        <w:pStyle w:val="BodyText"/>
        <w:rPr>
          <w:rFonts w:eastAsia="MS Mincho"/>
        </w:rPr>
      </w:pPr>
      <w:r w:rsidRPr="006701AC">
        <w:rPr>
          <w:rFonts w:eastAsia="MS Mincho"/>
        </w:rPr>
        <w:t xml:space="preserve">Geographic stratification and functional classification can be used to create truck factor groups that capture the temporal patterns and are reasonably easy to apply. An initial set of factor groups might look something like that shown in </w:t>
      </w:r>
      <w:r w:rsidR="006827F7">
        <w:rPr>
          <w:rFonts w:eastAsia="MS Mincho"/>
        </w:rPr>
        <w:fldChar w:fldCharType="begin"/>
      </w:r>
      <w:r w:rsidR="006827F7">
        <w:rPr>
          <w:rFonts w:eastAsia="MS Mincho"/>
        </w:rPr>
        <w:instrText xml:space="preserve"> REF _Ref114749955 \h </w:instrText>
      </w:r>
      <w:r w:rsidR="006827F7">
        <w:rPr>
          <w:rFonts w:eastAsia="MS Mincho"/>
        </w:rPr>
      </w:r>
      <w:r w:rsidR="006827F7">
        <w:rPr>
          <w:rFonts w:eastAsia="MS Mincho"/>
        </w:rPr>
        <w:fldChar w:fldCharType="separate"/>
      </w:r>
      <w:r w:rsidR="00C07DF9">
        <w:t xml:space="preserve">Table </w:t>
      </w:r>
      <w:r w:rsidR="00C07DF9">
        <w:rPr>
          <w:noProof/>
        </w:rPr>
        <w:t>3</w:t>
      </w:r>
      <w:r w:rsidR="00C07DF9">
        <w:noBreakHyphen/>
      </w:r>
      <w:r w:rsidR="00C07DF9">
        <w:rPr>
          <w:noProof/>
        </w:rPr>
        <w:t>5</w:t>
      </w:r>
      <w:r w:rsidR="006827F7">
        <w:rPr>
          <w:rFonts w:eastAsia="MS Mincho"/>
        </w:rPr>
        <w:fldChar w:fldCharType="end"/>
      </w:r>
      <w:r w:rsidRPr="00601A40">
        <w:rPr>
          <w:rFonts w:eastAsia="MS Mincho"/>
        </w:rPr>
        <w:t>.</w:t>
      </w:r>
      <w:r w:rsidRPr="006701AC">
        <w:rPr>
          <w:rFonts w:eastAsia="MS Mincho"/>
        </w:rPr>
        <w:t xml:space="preserve"> However, the two keys to the creation of groups </w:t>
      </w:r>
      <w:r w:rsidR="004A500A">
        <w:rPr>
          <w:rFonts w:eastAsia="MS Mincho"/>
        </w:rPr>
        <w:t>are</w:t>
      </w:r>
      <w:r w:rsidR="004A500A" w:rsidRPr="006701AC">
        <w:rPr>
          <w:rFonts w:eastAsia="MS Mincho"/>
        </w:rPr>
        <w:t xml:space="preserve"> </w:t>
      </w:r>
      <w:r w:rsidRPr="006701AC">
        <w:rPr>
          <w:rFonts w:eastAsia="MS Mincho"/>
        </w:rPr>
        <w:t>that (1) the data should show that traffic patterns within grouped sites are in fact similar, and (2)</w:t>
      </w:r>
      <w:r w:rsidR="004A500A">
        <w:rPr>
          <w:rFonts w:eastAsia="MS Mincho"/>
        </w:rPr>
        <w:t> </w:t>
      </w:r>
      <w:r w:rsidRPr="006701AC">
        <w:rPr>
          <w:rFonts w:eastAsia="MS Mincho"/>
        </w:rPr>
        <w:t>those groups should be designed in such a manner that short</w:t>
      </w:r>
      <w:r w:rsidR="004A500A">
        <w:rPr>
          <w:rFonts w:eastAsia="MS Mincho"/>
        </w:rPr>
        <w:t>-term</w:t>
      </w:r>
      <w:r w:rsidRPr="006701AC">
        <w:rPr>
          <w:rFonts w:eastAsia="MS Mincho"/>
        </w:rPr>
        <w:t xml:space="preserve"> counts can be easily and accurately assigned to the correct factor groups. Therefore, as groups are formed, specific roads may need to move from one group to another to ensure that both constraints remain true. </w:t>
      </w:r>
      <w:bookmarkStart w:id="1755" w:name="Determine_the_Variability"/>
      <w:bookmarkStart w:id="1756" w:name="_Toc324246145"/>
      <w:bookmarkStart w:id="1757" w:name="_Toc324780167"/>
      <w:bookmarkStart w:id="1758" w:name="_Toc335302451"/>
    </w:p>
    <w:p w14:paraId="6EC09AB2" w14:textId="77777777" w:rsidR="003F7B9F" w:rsidRPr="006701AC" w:rsidRDefault="003F7B9F" w:rsidP="00A35EAF">
      <w:pPr>
        <w:pStyle w:val="BodyText"/>
        <w:rPr>
          <w:rFonts w:eastAsia="MS Mincho"/>
        </w:rPr>
      </w:pPr>
      <w:r w:rsidRPr="006701AC">
        <w:rPr>
          <w:rFonts w:eastAsia="MS Mincho"/>
        </w:rPr>
        <w:t>Definitions like those above group roads with as homogenous truck travel patterns as possible and provide easy identification of the groups for application purposes. They present a starting point to begin the identification process necessary to form adequate groups.</w:t>
      </w:r>
    </w:p>
    <w:p w14:paraId="6DFB81B8" w14:textId="4608229B" w:rsidR="003F7B9F" w:rsidRDefault="003F7B9F" w:rsidP="00604906">
      <w:pPr>
        <w:pStyle w:val="TMGTableCaption"/>
      </w:pPr>
      <w:bookmarkStart w:id="1759" w:name="_Ref114749955"/>
      <w:bookmarkStart w:id="1760" w:name="_Toc54784712"/>
      <w:bookmarkStart w:id="1761" w:name="_Toc68874112"/>
      <w:bookmarkStart w:id="1762" w:name="_Toc114474825"/>
      <w:bookmarkStart w:id="1763" w:name="_Toc120631131"/>
      <w:r>
        <w:t xml:space="preserve">Table </w:t>
      </w:r>
      <w:fldSimple w:instr=" STYLEREF 1 \s ">
        <w:r w:rsidR="00C07DF9">
          <w:rPr>
            <w:noProof/>
          </w:rPr>
          <w:t>3</w:t>
        </w:r>
      </w:fldSimple>
      <w:r w:rsidR="00FE5355">
        <w:noBreakHyphen/>
      </w:r>
      <w:fldSimple w:instr=" SEQ Table \* ARABIC \s 1 ">
        <w:r w:rsidR="00C07DF9">
          <w:rPr>
            <w:noProof/>
          </w:rPr>
          <w:t>5</w:t>
        </w:r>
      </w:fldSimple>
      <w:bookmarkEnd w:id="1759"/>
      <w:r w:rsidR="00E34EB1">
        <w:t>.</w:t>
      </w:r>
      <w:r>
        <w:t xml:space="preserve"> </w:t>
      </w:r>
      <w:r w:rsidRPr="00F168A2">
        <w:t xml:space="preserve">Example </w:t>
      </w:r>
      <w:r>
        <w:t xml:space="preserve">Classification </w:t>
      </w:r>
      <w:r w:rsidRPr="00F168A2">
        <w:t>Factor Groups</w:t>
      </w:r>
      <w:bookmarkEnd w:id="1760"/>
      <w:bookmarkEnd w:id="1761"/>
      <w:bookmarkEnd w:id="1762"/>
      <w:bookmarkEnd w:id="1763"/>
    </w:p>
    <w:tbl>
      <w:tblPr>
        <w:tblStyle w:val="TableGrid"/>
        <w:tblW w:w="9360" w:type="dxa"/>
        <w:jc w:val="center"/>
        <w:tblCellMar>
          <w:left w:w="86" w:type="dxa"/>
          <w:right w:w="86" w:type="dxa"/>
        </w:tblCellMar>
        <w:tblLook w:val="04A0" w:firstRow="1" w:lastRow="0" w:firstColumn="1" w:lastColumn="0" w:noHBand="0" w:noVBand="1"/>
      </w:tblPr>
      <w:tblGrid>
        <w:gridCol w:w="4680"/>
        <w:gridCol w:w="4680"/>
      </w:tblGrid>
      <w:tr w:rsidR="00604906" w14:paraId="2D8D9A39" w14:textId="77777777" w:rsidTr="00604906">
        <w:trPr>
          <w:jc w:val="center"/>
        </w:trPr>
        <w:tc>
          <w:tcPr>
            <w:tcW w:w="4680" w:type="dxa"/>
            <w:tcBorders>
              <w:right w:val="single" w:sz="4" w:space="0" w:color="FFFFFF" w:themeColor="background1"/>
            </w:tcBorders>
            <w:shd w:val="clear" w:color="auto" w:fill="1F3864"/>
            <w:vAlign w:val="center"/>
          </w:tcPr>
          <w:p w14:paraId="5FFAC310" w14:textId="1314FDF0" w:rsidR="00604906" w:rsidRDefault="00604906" w:rsidP="0017389B">
            <w:pPr>
              <w:pStyle w:val="TMGTableTextHeader"/>
            </w:pPr>
            <w:r w:rsidRPr="00027185">
              <w:t>Rural</w:t>
            </w:r>
          </w:p>
        </w:tc>
        <w:tc>
          <w:tcPr>
            <w:tcW w:w="4680" w:type="dxa"/>
            <w:tcBorders>
              <w:left w:val="single" w:sz="4" w:space="0" w:color="FFFFFF" w:themeColor="background1"/>
            </w:tcBorders>
            <w:shd w:val="clear" w:color="auto" w:fill="1F3864"/>
            <w:vAlign w:val="center"/>
          </w:tcPr>
          <w:p w14:paraId="321A1468" w14:textId="6F3674F6" w:rsidR="00604906" w:rsidRDefault="00604906" w:rsidP="0017389B">
            <w:pPr>
              <w:pStyle w:val="TMGTableTextHeader"/>
            </w:pPr>
            <w:r w:rsidRPr="00027185">
              <w:t>Urban</w:t>
            </w:r>
          </w:p>
        </w:tc>
      </w:tr>
      <w:tr w:rsidR="00604906" w14:paraId="1044C0F9" w14:textId="77777777" w:rsidTr="00604906">
        <w:trPr>
          <w:jc w:val="center"/>
        </w:trPr>
        <w:tc>
          <w:tcPr>
            <w:tcW w:w="4680" w:type="dxa"/>
            <w:vAlign w:val="center"/>
          </w:tcPr>
          <w:p w14:paraId="2C623847" w14:textId="0A97AA16" w:rsidR="00604906" w:rsidRPr="00027185" w:rsidRDefault="00604906" w:rsidP="00917D58">
            <w:pPr>
              <w:pStyle w:val="TMGTableText"/>
            </w:pPr>
            <w:r w:rsidRPr="00027185">
              <w:t>Interstate and arterial major through-truck routes</w:t>
            </w:r>
          </w:p>
        </w:tc>
        <w:tc>
          <w:tcPr>
            <w:tcW w:w="4680" w:type="dxa"/>
            <w:vAlign w:val="center"/>
          </w:tcPr>
          <w:p w14:paraId="4F15BEC7" w14:textId="6F5C0A64" w:rsidR="00604906" w:rsidRPr="00027185" w:rsidRDefault="00604906" w:rsidP="00917D58">
            <w:pPr>
              <w:pStyle w:val="TMGTableText"/>
            </w:pPr>
            <w:r w:rsidRPr="00027185">
              <w:t>Interstate and arterial major truck routes</w:t>
            </w:r>
          </w:p>
        </w:tc>
      </w:tr>
      <w:tr w:rsidR="00604906" w14:paraId="49BB4E69" w14:textId="77777777" w:rsidTr="00604906">
        <w:trPr>
          <w:jc w:val="center"/>
        </w:trPr>
        <w:tc>
          <w:tcPr>
            <w:tcW w:w="4680" w:type="dxa"/>
            <w:vAlign w:val="center"/>
          </w:tcPr>
          <w:p w14:paraId="38ABBA6B" w14:textId="5009F40C" w:rsidR="00604906" w:rsidRPr="00027185" w:rsidRDefault="00604906" w:rsidP="00917D58">
            <w:pPr>
              <w:pStyle w:val="TMGTableText"/>
            </w:pPr>
            <w:r w:rsidRPr="00027185">
              <w:t>Other roads (e.g., regional agricultural roads) with little through traffic</w:t>
            </w:r>
          </w:p>
        </w:tc>
        <w:tc>
          <w:tcPr>
            <w:tcW w:w="4680" w:type="dxa"/>
            <w:vAlign w:val="center"/>
          </w:tcPr>
          <w:p w14:paraId="2F1B69EC" w14:textId="45D679C2" w:rsidR="00604906" w:rsidRPr="00027185" w:rsidRDefault="00604906" w:rsidP="00917D58">
            <w:pPr>
              <w:pStyle w:val="TMGTableText"/>
            </w:pPr>
            <w:r w:rsidRPr="00027185">
              <w:t>Interstate and other freeways serving primarily local truck traffic</w:t>
            </w:r>
          </w:p>
        </w:tc>
      </w:tr>
      <w:tr w:rsidR="00604906" w14:paraId="68FAAC25" w14:textId="77777777" w:rsidTr="00604906">
        <w:trPr>
          <w:jc w:val="center"/>
        </w:trPr>
        <w:tc>
          <w:tcPr>
            <w:tcW w:w="4680" w:type="dxa"/>
            <w:vAlign w:val="center"/>
          </w:tcPr>
          <w:p w14:paraId="31BBFD85" w14:textId="34DF819A" w:rsidR="00604906" w:rsidRPr="00027185" w:rsidRDefault="00604906" w:rsidP="00917D58">
            <w:pPr>
              <w:pStyle w:val="TMGTableText"/>
            </w:pPr>
            <w:r w:rsidRPr="00027185">
              <w:t>Other unrestricted truck routes</w:t>
            </w:r>
          </w:p>
        </w:tc>
        <w:tc>
          <w:tcPr>
            <w:tcW w:w="4680" w:type="dxa"/>
            <w:vAlign w:val="center"/>
          </w:tcPr>
          <w:p w14:paraId="13F995F6" w14:textId="11A0ACE0" w:rsidR="00604906" w:rsidRPr="00027185" w:rsidRDefault="00604906" w:rsidP="00917D58">
            <w:pPr>
              <w:pStyle w:val="TMGTableText"/>
            </w:pPr>
            <w:r w:rsidRPr="00027185">
              <w:t>Other unrestricted truck routes</w:t>
            </w:r>
          </w:p>
        </w:tc>
      </w:tr>
      <w:tr w:rsidR="00604906" w14:paraId="7863A57B" w14:textId="77777777" w:rsidTr="00604906">
        <w:trPr>
          <w:jc w:val="center"/>
        </w:trPr>
        <w:tc>
          <w:tcPr>
            <w:tcW w:w="4680" w:type="dxa"/>
            <w:vAlign w:val="center"/>
          </w:tcPr>
          <w:p w14:paraId="73AB06F7" w14:textId="241D3286" w:rsidR="00604906" w:rsidRPr="00027185" w:rsidRDefault="00604906" w:rsidP="00917D58">
            <w:pPr>
              <w:pStyle w:val="TMGTableText"/>
            </w:pPr>
            <w:r w:rsidRPr="00027185">
              <w:t>Other rural roads (e.g., mining areas, agricultural, weather, mountain/coastal, geographic area)</w:t>
            </w:r>
          </w:p>
        </w:tc>
        <w:tc>
          <w:tcPr>
            <w:tcW w:w="4680" w:type="dxa"/>
            <w:vAlign w:val="center"/>
          </w:tcPr>
          <w:p w14:paraId="033737C8" w14:textId="0CC66015" w:rsidR="00604906" w:rsidRPr="00027185" w:rsidRDefault="00604906" w:rsidP="00917D58">
            <w:pPr>
              <w:pStyle w:val="TMGTableText"/>
            </w:pPr>
            <w:r w:rsidRPr="00027185">
              <w:t>Other roads (non-truck routes)</w:t>
            </w:r>
          </w:p>
        </w:tc>
      </w:tr>
      <w:tr w:rsidR="00604906" w14:paraId="37BE94D2" w14:textId="77777777" w:rsidTr="00604906">
        <w:trPr>
          <w:jc w:val="center"/>
        </w:trPr>
        <w:tc>
          <w:tcPr>
            <w:tcW w:w="9360" w:type="dxa"/>
            <w:gridSpan w:val="2"/>
            <w:vAlign w:val="center"/>
          </w:tcPr>
          <w:p w14:paraId="7A7D65FD" w14:textId="7B97C8BA" w:rsidR="00604906" w:rsidRPr="00027185" w:rsidRDefault="00604906" w:rsidP="00917D58">
            <w:pPr>
              <w:pStyle w:val="TMGTableText"/>
            </w:pPr>
            <w:r w:rsidRPr="00027185">
              <w:t>Special cases (e.g., roads primarily used for recreational travel, roads serving ports, etc.)</w:t>
            </w:r>
          </w:p>
        </w:tc>
      </w:tr>
    </w:tbl>
    <w:p w14:paraId="1CE662E0" w14:textId="77777777" w:rsidR="003F7B9F" w:rsidRPr="00604906" w:rsidRDefault="003F7B9F" w:rsidP="00604906">
      <w:pPr>
        <w:pStyle w:val="BodyText"/>
        <w:spacing w:before="360"/>
        <w:rPr>
          <w:rStyle w:val="Strong"/>
          <w:rFonts w:ascii="Cambria" w:hAnsi="Cambria"/>
          <w:sz w:val="22"/>
          <w:szCs w:val="22"/>
        </w:rPr>
      </w:pPr>
      <w:bookmarkStart w:id="1764" w:name="_Hlk115085787"/>
      <w:r w:rsidRPr="00604906">
        <w:rPr>
          <w:rStyle w:val="Strong"/>
          <w:rFonts w:ascii="Cambria" w:hAnsi="Cambria"/>
          <w:sz w:val="22"/>
          <w:szCs w:val="22"/>
        </w:rPr>
        <w:t>Grouping Using Cluster Analysis</w:t>
      </w:r>
    </w:p>
    <w:p w14:paraId="4D6BFCF9" w14:textId="73648A93" w:rsidR="003F7B9F" w:rsidRPr="000D7942" w:rsidRDefault="003F7B9F" w:rsidP="00A35EAF">
      <w:pPr>
        <w:pStyle w:val="BodyText"/>
      </w:pPr>
      <w:r w:rsidRPr="006701AC">
        <w:t xml:space="preserve">Performing a statistical cluster analysis using truck volumes by vehicle class (as illustrated </w:t>
      </w:r>
      <w:r w:rsidRPr="000D7942">
        <w:t xml:space="preserve">in </w:t>
      </w:r>
      <w:r w:rsidRPr="00601A40">
        <w:t>Section 3.</w:t>
      </w:r>
      <w:r w:rsidR="005A18C5">
        <w:t>1.4</w:t>
      </w:r>
      <w:r w:rsidRPr="000D7942">
        <w:t xml:space="preserve"> for total volume) will help to identify the natural patterns of variation and to place the continuous counters in variation groups. This will help in identifying which groups may be appropriate and in determining how many groups are needed. </w:t>
      </w:r>
    </w:p>
    <w:bookmarkEnd w:id="1764"/>
    <w:p w14:paraId="42D4AEE1" w14:textId="77777777" w:rsidR="003F7B9F" w:rsidRPr="00604906" w:rsidRDefault="003F7B9F" w:rsidP="00604906">
      <w:pPr>
        <w:pStyle w:val="BodyText"/>
        <w:rPr>
          <w:rStyle w:val="Strong"/>
          <w:rFonts w:ascii="Cambria" w:hAnsi="Cambria"/>
          <w:sz w:val="22"/>
          <w:szCs w:val="22"/>
        </w:rPr>
      </w:pPr>
      <w:r w:rsidRPr="00604906">
        <w:rPr>
          <w:rStyle w:val="Strong"/>
          <w:rFonts w:ascii="Cambria" w:hAnsi="Cambria"/>
          <w:sz w:val="22"/>
          <w:szCs w:val="22"/>
        </w:rPr>
        <w:t>Grouping Using Hybrid Approach</w:t>
      </w:r>
    </w:p>
    <w:p w14:paraId="7445C015" w14:textId="43ED86B7" w:rsidR="003F7B9F" w:rsidRPr="000D7942" w:rsidRDefault="003F7B9F" w:rsidP="00A35EAF">
      <w:pPr>
        <w:pStyle w:val="BodyText"/>
      </w:pPr>
      <w:r w:rsidRPr="000D7942">
        <w:t xml:space="preserve">One of strengths of the cluster analysis is that it identifies groups only by variation. The weakness is that it does not describe the characteristics of the group that allow application of the resulting factors to other short counts. The example definition </w:t>
      </w:r>
      <w:r w:rsidRPr="00601A40">
        <w:t xml:space="preserve">in </w:t>
      </w:r>
      <w:r w:rsidR="005A18C5">
        <w:fldChar w:fldCharType="begin"/>
      </w:r>
      <w:r w:rsidR="005A18C5">
        <w:instrText xml:space="preserve"> REF _Ref114749955 \h </w:instrText>
      </w:r>
      <w:r w:rsidR="005A18C5">
        <w:fldChar w:fldCharType="separate"/>
      </w:r>
      <w:r w:rsidR="00C07DF9">
        <w:t xml:space="preserve">Table </w:t>
      </w:r>
      <w:r w:rsidR="00C07DF9">
        <w:rPr>
          <w:noProof/>
        </w:rPr>
        <w:t>3</w:t>
      </w:r>
      <w:r w:rsidR="00C07DF9">
        <w:noBreakHyphen/>
      </w:r>
      <w:r w:rsidR="00C07DF9">
        <w:rPr>
          <w:noProof/>
        </w:rPr>
        <w:t>5</w:t>
      </w:r>
      <w:r w:rsidR="005A18C5">
        <w:fldChar w:fldCharType="end"/>
      </w:r>
      <w:r w:rsidR="005A18C5">
        <w:t xml:space="preserve"> </w:t>
      </w:r>
      <w:r w:rsidRPr="00601A40">
        <w:t>does</w:t>
      </w:r>
      <w:r w:rsidRPr="000D7942">
        <w:t xml:space="preserve"> exactly the opposite. It clearly establishes group characteristics but cannot indicate whether the temporal variation is worth creating separate groups or not. As is the case for AADT group procedures, a </w:t>
      </w:r>
      <w:r>
        <w:t xml:space="preserve">hybrid approach that </w:t>
      </w:r>
      <w:r w:rsidRPr="000D7942">
        <w:t>combin</w:t>
      </w:r>
      <w:r>
        <w:t xml:space="preserve">es the </w:t>
      </w:r>
      <w:r w:rsidRPr="000D7942">
        <w:t>statistical methods and knowledge</w:t>
      </w:r>
      <w:r>
        <w:t>-based assignments</w:t>
      </w:r>
      <w:r w:rsidRPr="000D7942">
        <w:t xml:space="preserve"> </w:t>
      </w:r>
      <w:r>
        <w:t>provides a good way</w:t>
      </w:r>
      <w:r w:rsidRPr="000D7942">
        <w:t xml:space="preserve"> to establish the appropriate groups.</w:t>
      </w:r>
      <w:r w:rsidRPr="000D7942" w:rsidDel="00455DDF">
        <w:t xml:space="preserve"> </w:t>
      </w:r>
      <w:bookmarkStart w:id="1765" w:name="_Toc45604646"/>
    </w:p>
    <w:p w14:paraId="32E6D75F" w14:textId="77777777" w:rsidR="003F7B9F" w:rsidRPr="00C16C8B" w:rsidRDefault="003F7B9F">
      <w:pPr>
        <w:pStyle w:val="Heading3"/>
      </w:pPr>
      <w:bookmarkStart w:id="1766" w:name="_Toc68190201"/>
      <w:bookmarkStart w:id="1767" w:name="_Toc118205629"/>
      <w:bookmarkEnd w:id="1755"/>
      <w:bookmarkEnd w:id="1756"/>
      <w:bookmarkEnd w:id="1757"/>
      <w:bookmarkEnd w:id="1758"/>
      <w:bookmarkEnd w:id="1765"/>
      <w:r w:rsidRPr="00C16C8B">
        <w:lastRenderedPageBreak/>
        <w:t>Step 5. Develop Monthly Factors</w:t>
      </w:r>
      <w:bookmarkEnd w:id="1766"/>
      <w:bookmarkEnd w:id="1767"/>
    </w:p>
    <w:p w14:paraId="5CE12729" w14:textId="010A92E1" w:rsidR="003F7B9F" w:rsidRPr="000D7942" w:rsidRDefault="003F7B9F" w:rsidP="00A35EAF">
      <w:pPr>
        <w:pStyle w:val="BodyText"/>
      </w:pPr>
      <w:bookmarkStart w:id="1768" w:name="_Hlk50714900"/>
      <w:r w:rsidRPr="000D7942">
        <w:t>All roads within the defined factor group should have similar types of vehicle volume by class patterns</w:t>
      </w:r>
      <w:bookmarkEnd w:id="1768"/>
      <w:r w:rsidRPr="000D7942">
        <w:t xml:space="preserve">. To verify this condition, the continuous counter data available within the group should be used to compute the temporal adjustment factors of interest (TOD, DOW, MOY, or combined) for each of the vehicle types desired, and then compute the mean and standard deviation for the group as a whole. </w:t>
      </w:r>
      <w:r>
        <w:t xml:space="preserve">Visual assessment of </w:t>
      </w:r>
      <w:r w:rsidRPr="000D7942">
        <w:t xml:space="preserve">the </w:t>
      </w:r>
      <w:r>
        <w:t>TOD, D</w:t>
      </w:r>
      <w:r w:rsidR="006D5CEC">
        <w:t>OW</w:t>
      </w:r>
      <w:r>
        <w:t xml:space="preserve">, and MOY </w:t>
      </w:r>
      <w:r w:rsidRPr="000D7942">
        <w:t>factor</w:t>
      </w:r>
      <w:r>
        <w:t xml:space="preserve"> plot</w:t>
      </w:r>
      <w:r w:rsidRPr="000D7942">
        <w:t>s can also help to determine whether the travel patterns at the continuous sites are reasonably similar.</w:t>
      </w:r>
    </w:p>
    <w:p w14:paraId="44A82CF5" w14:textId="3FDA7293" w:rsidR="003F7B9F" w:rsidRPr="006701AC" w:rsidRDefault="003F7B9F" w:rsidP="00A35EAF">
      <w:pPr>
        <w:pStyle w:val="BodyText"/>
      </w:pPr>
      <w:r w:rsidRPr="000D7942">
        <w:t xml:space="preserve">The </w:t>
      </w:r>
      <w:r>
        <w:t>assumptions and computation of the adjustment factors by vehicle class is similar to</w:t>
      </w:r>
      <w:r w:rsidRPr="000D7942">
        <w:t xml:space="preserve"> AADT factors. A</w:t>
      </w:r>
      <w:r>
        <w:t>n example of a</w:t>
      </w:r>
      <w:r w:rsidRPr="000D7942">
        <w:t xml:space="preserve"> combined monthly and weekday factor </w:t>
      </w:r>
      <w:r>
        <w:t xml:space="preserve">computation for a vehicle classification site is shown </w:t>
      </w:r>
      <w:r w:rsidR="006D5CEC">
        <w:t>below</w:t>
      </w:r>
      <w:r>
        <w:t>.</w:t>
      </w:r>
      <w:r w:rsidRPr="000D7942">
        <w:t xml:space="preserve"> </w:t>
      </w:r>
    </w:p>
    <w:p w14:paraId="02D17D69" w14:textId="5074109C" w:rsidR="003F7B9F" w:rsidRPr="006701AC" w:rsidRDefault="003F7B9F" w:rsidP="00857FB3">
      <w:pPr>
        <w:tabs>
          <w:tab w:val="left" w:pos="2160"/>
          <w:tab w:val="left" w:pos="3120"/>
        </w:tabs>
        <w:spacing w:before="120" w:after="120"/>
        <w:jc w:val="center"/>
        <w:rPr>
          <w:i/>
          <w:iCs/>
        </w:rPr>
      </w:pPr>
      <w:r w:rsidRPr="006701AC">
        <w:rPr>
          <w:i/>
          <w:iCs/>
        </w:rPr>
        <w:t>Adjustment Factor</w:t>
      </w:r>
      <w:r w:rsidRPr="006701AC">
        <w:rPr>
          <w:rFonts w:cs="Times New Roman"/>
          <w:i/>
          <w:iCs/>
          <w:vertAlign w:val="subscript"/>
        </w:rPr>
        <w:t>C, June</w:t>
      </w:r>
      <w:r w:rsidRPr="006701AC">
        <w:rPr>
          <w:i/>
          <w:iCs/>
        </w:rPr>
        <w:t xml:space="preserve"> = AADTT</w:t>
      </w:r>
      <w:r w:rsidRPr="006701AC">
        <w:rPr>
          <w:rFonts w:cs="Times New Roman"/>
          <w:i/>
          <w:iCs/>
          <w:vertAlign w:val="subscript"/>
        </w:rPr>
        <w:t xml:space="preserve">C </w:t>
      </w:r>
      <w:r w:rsidRPr="006701AC">
        <w:rPr>
          <w:i/>
          <w:iCs/>
        </w:rPr>
        <w:t>/ MAWDTT</w:t>
      </w:r>
      <w:r w:rsidRPr="006701AC">
        <w:rPr>
          <w:rFonts w:cs="Times New Roman"/>
          <w:i/>
          <w:iCs/>
          <w:vertAlign w:val="subscript"/>
        </w:rPr>
        <w:t>C, June</w:t>
      </w:r>
    </w:p>
    <w:p w14:paraId="39C4E6C8" w14:textId="77777777" w:rsidR="003F7B9F" w:rsidRPr="006701AC" w:rsidRDefault="003F7B9F" w:rsidP="00A35EAF">
      <w:pPr>
        <w:pStyle w:val="BodyText"/>
        <w:rPr>
          <w:rFonts w:ascii="Cambria Math" w:hAnsi="Cambria Math" w:cs="Cambria Math"/>
        </w:rPr>
      </w:pPr>
      <w:r w:rsidRPr="006701AC">
        <w:t xml:space="preserve">Where: </w:t>
      </w:r>
    </w:p>
    <w:p w14:paraId="51D664FE" w14:textId="77777777" w:rsidR="003F7B9F" w:rsidRPr="006701AC" w:rsidRDefault="003F7B9F" w:rsidP="00A35EAF">
      <w:pPr>
        <w:pStyle w:val="BodyText"/>
      </w:pPr>
      <w:r w:rsidRPr="006701AC">
        <w:rPr>
          <w:i/>
          <w:iCs/>
        </w:rPr>
        <w:t>Adjustment Factor</w:t>
      </w:r>
      <w:r w:rsidRPr="006701AC">
        <w:rPr>
          <w:rFonts w:cs="Times New Roman"/>
          <w:i/>
          <w:iCs/>
          <w:vertAlign w:val="subscript"/>
        </w:rPr>
        <w:t xml:space="preserve">C, June </w:t>
      </w:r>
      <w:r w:rsidRPr="006701AC">
        <w:t>= a multiplicative factor for a specific vehicle type C used to convert a 24-hour count taken on any weekday in June to an estimate of annual average daily traffic for a vehicle type C</w:t>
      </w:r>
    </w:p>
    <w:p w14:paraId="28ED490E" w14:textId="77777777" w:rsidR="003F7B9F" w:rsidRPr="006701AC" w:rsidRDefault="003F7B9F" w:rsidP="00A35EAF">
      <w:pPr>
        <w:pStyle w:val="BodyText"/>
      </w:pPr>
      <w:r w:rsidRPr="006701AC">
        <w:rPr>
          <w:i/>
          <w:iCs/>
        </w:rPr>
        <w:t>AADTT</w:t>
      </w:r>
      <w:r w:rsidRPr="006701AC">
        <w:rPr>
          <w:rFonts w:cs="Times New Roman"/>
          <w:i/>
          <w:iCs/>
          <w:vertAlign w:val="subscript"/>
        </w:rPr>
        <w:t>C</w:t>
      </w:r>
      <w:r>
        <w:t xml:space="preserve"> </w:t>
      </w:r>
      <w:r w:rsidRPr="006701AC">
        <w:t>= annual average daily (truck) traffic volume for a specific vehicle type C</w:t>
      </w:r>
    </w:p>
    <w:p w14:paraId="32185D54" w14:textId="14633118" w:rsidR="003F7B9F" w:rsidRPr="006701AC" w:rsidRDefault="003F7B9F" w:rsidP="00A35EAF">
      <w:pPr>
        <w:pStyle w:val="BodyText"/>
      </w:pPr>
      <w:r w:rsidRPr="006701AC">
        <w:rPr>
          <w:i/>
          <w:iCs/>
        </w:rPr>
        <w:t>MAWDTT</w:t>
      </w:r>
      <w:r w:rsidRPr="006701AC">
        <w:rPr>
          <w:rFonts w:cs="Times New Roman"/>
          <w:i/>
          <w:iCs/>
          <w:vertAlign w:val="subscript"/>
        </w:rPr>
        <w:t>C, June</w:t>
      </w:r>
      <w:r w:rsidRPr="00124974">
        <w:t xml:space="preserve"> </w:t>
      </w:r>
      <w:r w:rsidRPr="006701AC">
        <w:t xml:space="preserve">= monthly average weekday (truck) traffic volume for the month of June for a specific vehicle type C </w:t>
      </w:r>
    </w:p>
    <w:p w14:paraId="6BC11EAE" w14:textId="3FE92702" w:rsidR="003F7B9F" w:rsidRPr="000D7942" w:rsidRDefault="003F7B9F" w:rsidP="00A35EAF">
      <w:pPr>
        <w:pStyle w:val="BodyText"/>
      </w:pPr>
      <w:r w:rsidRPr="000D7942">
        <w:t>This formulation assumes a multiplicative application</w:t>
      </w:r>
      <w:r>
        <w:t xml:space="preserve"> of the computed adjustment factor</w:t>
      </w:r>
      <w:r w:rsidRPr="000D7942">
        <w:t xml:space="preserve">. </w:t>
      </w:r>
      <w:r w:rsidRPr="00EF3C8C">
        <w:rPr>
          <w:i/>
          <w:iCs/>
        </w:rPr>
        <w:t>AADTT</w:t>
      </w:r>
      <w:r w:rsidRPr="00EF3C8C">
        <w:rPr>
          <w:i/>
          <w:iCs/>
          <w:vertAlign w:val="subscript"/>
        </w:rPr>
        <w:t>c</w:t>
      </w:r>
      <w:r w:rsidRPr="000D7942">
        <w:t xml:space="preserve"> is equal to the average 24-hour count </w:t>
      </w:r>
      <w:r>
        <w:t xml:space="preserve">for vehicle class </w:t>
      </w:r>
      <w:r w:rsidRPr="00EF3C8C">
        <w:rPr>
          <w:i/>
          <w:iCs/>
        </w:rPr>
        <w:t>c</w:t>
      </w:r>
      <w:r>
        <w:t xml:space="preserve"> </w:t>
      </w:r>
      <w:r w:rsidRPr="000D7942">
        <w:t>times the adjustment factor.</w:t>
      </w:r>
      <w:r>
        <w:t xml:space="preserve"> </w:t>
      </w:r>
      <w:r w:rsidRPr="000D7942">
        <w:t>Many States use the inverse of th</w:t>
      </w:r>
      <w:r>
        <w:t>e above</w:t>
      </w:r>
      <w:r w:rsidRPr="000D7942">
        <w:t xml:space="preserve"> formula and apply the resulting factor by dividing the average 24-hour volume obtained from their short</w:t>
      </w:r>
      <w:r w:rsidR="006D5CEC">
        <w:t>-term</w:t>
      </w:r>
      <w:r w:rsidRPr="000D7942">
        <w:t xml:space="preserve"> count by the adjustment factor</w:t>
      </w:r>
      <w:r>
        <w:t>.</w:t>
      </w:r>
      <w:r w:rsidRPr="000D7942">
        <w:t xml:space="preserve"> Th</w:t>
      </w:r>
      <w:r>
        <w:t xml:space="preserve">e example </w:t>
      </w:r>
      <w:r w:rsidRPr="00601A40">
        <w:t xml:space="preserve">in </w:t>
      </w:r>
      <w:r w:rsidR="006827F7">
        <w:fldChar w:fldCharType="begin"/>
      </w:r>
      <w:r w:rsidR="006827F7">
        <w:instrText xml:space="preserve"> REF _Ref114749795 \h </w:instrText>
      </w:r>
      <w:r w:rsidR="006827F7">
        <w:fldChar w:fldCharType="separate"/>
      </w:r>
      <w:r w:rsidR="00C07DF9" w:rsidRPr="000D7942">
        <w:t xml:space="preserve">Table </w:t>
      </w:r>
      <w:r w:rsidR="00C07DF9">
        <w:rPr>
          <w:noProof/>
        </w:rPr>
        <w:t>3</w:t>
      </w:r>
      <w:r w:rsidR="00C07DF9">
        <w:noBreakHyphen/>
      </w:r>
      <w:r w:rsidR="00C07DF9">
        <w:rPr>
          <w:noProof/>
        </w:rPr>
        <w:t>6</w:t>
      </w:r>
      <w:r w:rsidR="006827F7">
        <w:fldChar w:fldCharType="end"/>
      </w:r>
      <w:r w:rsidR="004859C8">
        <w:t xml:space="preserve"> </w:t>
      </w:r>
      <w:r w:rsidRPr="000D7942">
        <w:t>demonstrates factors computed for a single month</w:t>
      </w:r>
      <w:bookmarkStart w:id="1769" w:name="_Toc364071167"/>
      <w:r>
        <w:t xml:space="preserve"> and shows</w:t>
      </w:r>
      <w:r w:rsidRPr="006701AC">
        <w:t xml:space="preserve"> how these monthly adjustment factors differ by vehicle class</w:t>
      </w:r>
      <w:r>
        <w:t>.</w:t>
      </w:r>
    </w:p>
    <w:p w14:paraId="6AC2D7C5" w14:textId="78DB9C9E" w:rsidR="003F7B9F" w:rsidRDefault="003F7B9F" w:rsidP="000F2A7A">
      <w:pPr>
        <w:pStyle w:val="TMGTableCaption"/>
      </w:pPr>
      <w:bookmarkStart w:id="1770" w:name="_Ref114749795"/>
      <w:bookmarkStart w:id="1771" w:name="_Toc54784713"/>
      <w:bookmarkStart w:id="1772" w:name="_Toc68874113"/>
      <w:bookmarkStart w:id="1773" w:name="_Toc114474826"/>
      <w:bookmarkStart w:id="1774" w:name="_Toc120631132"/>
      <w:bookmarkEnd w:id="1769"/>
      <w:r w:rsidRPr="000D7942">
        <w:t xml:space="preserve">Table </w:t>
      </w:r>
      <w:fldSimple w:instr=" STYLEREF 1 \s ">
        <w:r w:rsidR="00C07DF9">
          <w:rPr>
            <w:noProof/>
          </w:rPr>
          <w:t>3</w:t>
        </w:r>
      </w:fldSimple>
      <w:r w:rsidR="00FE5355">
        <w:noBreakHyphen/>
      </w:r>
      <w:fldSimple w:instr=" SEQ Table \* ARABIC \s 1 ">
        <w:r w:rsidR="00C07DF9">
          <w:rPr>
            <w:noProof/>
          </w:rPr>
          <w:t>6</w:t>
        </w:r>
      </w:fldSimple>
      <w:bookmarkEnd w:id="1770"/>
      <w:r w:rsidR="00E34EB1">
        <w:t>.</w:t>
      </w:r>
      <w:r w:rsidRPr="000D7942">
        <w:t xml:space="preserve"> Example </w:t>
      </w:r>
      <w:r w:rsidR="000F2A7A">
        <w:t>o</w:t>
      </w:r>
      <w:r w:rsidRPr="000D7942">
        <w:t xml:space="preserve">f Monthly Factors </w:t>
      </w:r>
      <w:r w:rsidR="00857FB3">
        <w:t>b</w:t>
      </w:r>
      <w:r w:rsidRPr="000D7942">
        <w:t xml:space="preserve">y Vehicle Class </w:t>
      </w:r>
      <w:r w:rsidR="006827F7">
        <w:t>a</w:t>
      </w:r>
      <w:r w:rsidRPr="000D7942">
        <w:t xml:space="preserve">t </w:t>
      </w:r>
      <w:r w:rsidR="006827F7">
        <w:t>a</w:t>
      </w:r>
      <w:r w:rsidRPr="000D7942">
        <w:t xml:space="preserve"> Single Site</w:t>
      </w:r>
      <w:bookmarkEnd w:id="1771"/>
      <w:bookmarkEnd w:id="1772"/>
      <w:bookmarkEnd w:id="1773"/>
      <w:bookmarkEnd w:id="1774"/>
    </w:p>
    <w:tbl>
      <w:tblPr>
        <w:tblStyle w:val="TableGrid"/>
        <w:tblW w:w="9360" w:type="dxa"/>
        <w:jc w:val="center"/>
        <w:tblCellMar>
          <w:left w:w="86" w:type="dxa"/>
          <w:right w:w="86" w:type="dxa"/>
        </w:tblCellMar>
        <w:tblLook w:val="04A0" w:firstRow="1" w:lastRow="0" w:firstColumn="1" w:lastColumn="0" w:noHBand="0" w:noVBand="1"/>
      </w:tblPr>
      <w:tblGrid>
        <w:gridCol w:w="1499"/>
        <w:gridCol w:w="1328"/>
        <w:gridCol w:w="1300"/>
        <w:gridCol w:w="1296"/>
        <w:gridCol w:w="1300"/>
        <w:gridCol w:w="1332"/>
        <w:gridCol w:w="1305"/>
      </w:tblGrid>
      <w:tr w:rsidR="000F2A7A" w14:paraId="4C9D30FC" w14:textId="77777777" w:rsidTr="000F2A7A">
        <w:trPr>
          <w:jc w:val="center"/>
        </w:trPr>
        <w:tc>
          <w:tcPr>
            <w:tcW w:w="1499" w:type="dxa"/>
            <w:tcBorders>
              <w:right w:val="single" w:sz="4" w:space="0" w:color="FFFFFF" w:themeColor="background1"/>
            </w:tcBorders>
            <w:shd w:val="clear" w:color="auto" w:fill="1F3864"/>
            <w:vAlign w:val="center"/>
          </w:tcPr>
          <w:p w14:paraId="68769AC7" w14:textId="19A2F0B6" w:rsidR="000F2A7A" w:rsidRDefault="000F2A7A" w:rsidP="0017389B">
            <w:pPr>
              <w:pStyle w:val="TMGTableTextHeader"/>
            </w:pPr>
            <w:r w:rsidRPr="00207990">
              <w:t>Measurement</w:t>
            </w:r>
          </w:p>
        </w:tc>
        <w:tc>
          <w:tcPr>
            <w:tcW w:w="1328" w:type="dxa"/>
            <w:tcBorders>
              <w:left w:val="single" w:sz="4" w:space="0" w:color="FFFFFF" w:themeColor="background1"/>
              <w:right w:val="single" w:sz="4" w:space="0" w:color="FFFFFF" w:themeColor="background1"/>
            </w:tcBorders>
            <w:shd w:val="clear" w:color="auto" w:fill="1F3864"/>
            <w:vAlign w:val="center"/>
          </w:tcPr>
          <w:p w14:paraId="0F75524B" w14:textId="1AF93E5A" w:rsidR="000F2A7A" w:rsidRDefault="000F2A7A" w:rsidP="0017389B">
            <w:pPr>
              <w:pStyle w:val="TMGTableTextHeader"/>
            </w:pPr>
            <w:r w:rsidRPr="00207990">
              <w:t>Motorcycles</w:t>
            </w:r>
          </w:p>
        </w:tc>
        <w:tc>
          <w:tcPr>
            <w:tcW w:w="1300" w:type="dxa"/>
            <w:tcBorders>
              <w:left w:val="single" w:sz="4" w:space="0" w:color="FFFFFF" w:themeColor="background1"/>
              <w:right w:val="single" w:sz="4" w:space="0" w:color="FFFFFF" w:themeColor="background1"/>
            </w:tcBorders>
            <w:shd w:val="clear" w:color="auto" w:fill="1F3864"/>
            <w:vAlign w:val="center"/>
          </w:tcPr>
          <w:p w14:paraId="085BF42D" w14:textId="66D9BA11" w:rsidR="000F2A7A" w:rsidRDefault="000F2A7A" w:rsidP="0017389B">
            <w:pPr>
              <w:pStyle w:val="TMGTableTextHeader"/>
            </w:pPr>
            <w:r w:rsidRPr="00207990">
              <w:t xml:space="preserve">Car and </w:t>
            </w:r>
            <w:r w:rsidRPr="00207990">
              <w:br/>
              <w:t>Light Trucks</w:t>
            </w:r>
          </w:p>
        </w:tc>
        <w:tc>
          <w:tcPr>
            <w:tcW w:w="1296" w:type="dxa"/>
            <w:tcBorders>
              <w:left w:val="single" w:sz="4" w:space="0" w:color="FFFFFF" w:themeColor="background1"/>
              <w:right w:val="single" w:sz="4" w:space="0" w:color="FFFFFF" w:themeColor="background1"/>
            </w:tcBorders>
            <w:shd w:val="clear" w:color="auto" w:fill="1F3864"/>
            <w:vAlign w:val="center"/>
          </w:tcPr>
          <w:p w14:paraId="17485668" w14:textId="49C400EE" w:rsidR="000F2A7A" w:rsidRDefault="000F2A7A" w:rsidP="0017389B">
            <w:pPr>
              <w:pStyle w:val="TMGTableTextHeader"/>
            </w:pPr>
            <w:r w:rsidRPr="00207990">
              <w:t>Buses</w:t>
            </w:r>
          </w:p>
        </w:tc>
        <w:tc>
          <w:tcPr>
            <w:tcW w:w="1300" w:type="dxa"/>
            <w:tcBorders>
              <w:left w:val="single" w:sz="4" w:space="0" w:color="FFFFFF" w:themeColor="background1"/>
              <w:right w:val="single" w:sz="4" w:space="0" w:color="FFFFFF" w:themeColor="background1"/>
            </w:tcBorders>
            <w:shd w:val="clear" w:color="auto" w:fill="1F3864"/>
            <w:vAlign w:val="center"/>
          </w:tcPr>
          <w:p w14:paraId="17B1F278" w14:textId="7F6493BB" w:rsidR="000F2A7A" w:rsidRDefault="000F2A7A" w:rsidP="0017389B">
            <w:pPr>
              <w:pStyle w:val="TMGTableTextHeader"/>
            </w:pPr>
            <w:r w:rsidRPr="00207990">
              <w:t>Single-Unit Trucks</w:t>
            </w:r>
          </w:p>
        </w:tc>
        <w:tc>
          <w:tcPr>
            <w:tcW w:w="1332" w:type="dxa"/>
            <w:tcBorders>
              <w:left w:val="single" w:sz="4" w:space="0" w:color="FFFFFF" w:themeColor="background1"/>
              <w:right w:val="single" w:sz="4" w:space="0" w:color="FFFFFF" w:themeColor="background1"/>
            </w:tcBorders>
            <w:shd w:val="clear" w:color="auto" w:fill="1F3864"/>
            <w:vAlign w:val="center"/>
          </w:tcPr>
          <w:p w14:paraId="4ED3BD74" w14:textId="50847501" w:rsidR="000F2A7A" w:rsidRDefault="000F2A7A" w:rsidP="0017389B">
            <w:pPr>
              <w:pStyle w:val="TMGTableTextHeader"/>
            </w:pPr>
            <w:r w:rsidRPr="00207990">
              <w:t>Combination Trucks</w:t>
            </w:r>
          </w:p>
        </w:tc>
        <w:tc>
          <w:tcPr>
            <w:tcW w:w="1305" w:type="dxa"/>
            <w:tcBorders>
              <w:left w:val="single" w:sz="4" w:space="0" w:color="FFFFFF" w:themeColor="background1"/>
            </w:tcBorders>
            <w:shd w:val="clear" w:color="auto" w:fill="1F3864"/>
            <w:vAlign w:val="center"/>
          </w:tcPr>
          <w:p w14:paraId="291CB01E" w14:textId="04897BD0" w:rsidR="000F2A7A" w:rsidRDefault="000F2A7A" w:rsidP="0017389B">
            <w:pPr>
              <w:pStyle w:val="TMGTableTextHeader"/>
            </w:pPr>
            <w:r w:rsidRPr="00207990">
              <w:t>Total Volume</w:t>
            </w:r>
          </w:p>
        </w:tc>
      </w:tr>
      <w:tr w:rsidR="000F2A7A" w14:paraId="226FE008" w14:textId="77777777" w:rsidTr="00E229BE">
        <w:trPr>
          <w:jc w:val="center"/>
        </w:trPr>
        <w:tc>
          <w:tcPr>
            <w:tcW w:w="1499" w:type="dxa"/>
          </w:tcPr>
          <w:p w14:paraId="49CE815F" w14:textId="03E246B8" w:rsidR="000F2A7A" w:rsidRPr="00C251E9" w:rsidRDefault="000F2A7A" w:rsidP="00917D58">
            <w:pPr>
              <w:pStyle w:val="TMGTableText"/>
              <w:rPr>
                <w:b/>
                <w:bCs/>
              </w:rPr>
            </w:pPr>
            <w:r w:rsidRPr="004859C8">
              <w:t>MADTc</w:t>
            </w:r>
          </w:p>
        </w:tc>
        <w:tc>
          <w:tcPr>
            <w:tcW w:w="1328" w:type="dxa"/>
            <w:vAlign w:val="center"/>
          </w:tcPr>
          <w:p w14:paraId="045466CF" w14:textId="1ABFBAD7" w:rsidR="000F2A7A" w:rsidRPr="00C251E9" w:rsidRDefault="000F2A7A" w:rsidP="00E229BE">
            <w:pPr>
              <w:pStyle w:val="TMGTableText"/>
              <w:jc w:val="center"/>
            </w:pPr>
            <w:r w:rsidRPr="004859C8">
              <w:t>35</w:t>
            </w:r>
          </w:p>
        </w:tc>
        <w:tc>
          <w:tcPr>
            <w:tcW w:w="1300" w:type="dxa"/>
            <w:vAlign w:val="center"/>
          </w:tcPr>
          <w:p w14:paraId="75A11873" w14:textId="486F9436" w:rsidR="000F2A7A" w:rsidRPr="00C251E9" w:rsidRDefault="000F2A7A" w:rsidP="00E229BE">
            <w:pPr>
              <w:pStyle w:val="TMGTableText"/>
              <w:jc w:val="center"/>
            </w:pPr>
            <w:r w:rsidRPr="004859C8">
              <w:t>4,874</w:t>
            </w:r>
          </w:p>
        </w:tc>
        <w:tc>
          <w:tcPr>
            <w:tcW w:w="1296" w:type="dxa"/>
            <w:vAlign w:val="center"/>
          </w:tcPr>
          <w:p w14:paraId="0DDDF18A" w14:textId="7B95A7BE" w:rsidR="000F2A7A" w:rsidRPr="00C251E9" w:rsidRDefault="000F2A7A" w:rsidP="00E229BE">
            <w:pPr>
              <w:pStyle w:val="TMGTableText"/>
              <w:jc w:val="center"/>
            </w:pPr>
            <w:r w:rsidRPr="004859C8">
              <w:t>52</w:t>
            </w:r>
          </w:p>
        </w:tc>
        <w:tc>
          <w:tcPr>
            <w:tcW w:w="1300" w:type="dxa"/>
            <w:vAlign w:val="center"/>
          </w:tcPr>
          <w:p w14:paraId="49752280" w14:textId="375112D8" w:rsidR="000F2A7A" w:rsidRPr="00C251E9" w:rsidRDefault="000F2A7A" w:rsidP="00E229BE">
            <w:pPr>
              <w:pStyle w:val="TMGTableText"/>
              <w:jc w:val="center"/>
            </w:pPr>
            <w:r w:rsidRPr="004859C8">
              <w:t>227</w:t>
            </w:r>
          </w:p>
        </w:tc>
        <w:tc>
          <w:tcPr>
            <w:tcW w:w="1332" w:type="dxa"/>
            <w:vAlign w:val="center"/>
          </w:tcPr>
          <w:p w14:paraId="2C631613" w14:textId="3C4CB4D2" w:rsidR="000F2A7A" w:rsidRPr="00C251E9" w:rsidRDefault="000F2A7A" w:rsidP="00E229BE">
            <w:pPr>
              <w:pStyle w:val="TMGTableText"/>
              <w:jc w:val="center"/>
            </w:pPr>
            <w:r w:rsidRPr="004859C8">
              <w:t>1,639</w:t>
            </w:r>
          </w:p>
        </w:tc>
        <w:tc>
          <w:tcPr>
            <w:tcW w:w="1305" w:type="dxa"/>
            <w:vAlign w:val="center"/>
          </w:tcPr>
          <w:p w14:paraId="1245FFB8" w14:textId="65C1B9A6" w:rsidR="000F2A7A" w:rsidRPr="00C251E9" w:rsidRDefault="000F2A7A" w:rsidP="00E229BE">
            <w:pPr>
              <w:pStyle w:val="TMGTableText"/>
              <w:jc w:val="center"/>
            </w:pPr>
            <w:r w:rsidRPr="004859C8">
              <w:t>6,826</w:t>
            </w:r>
          </w:p>
        </w:tc>
      </w:tr>
      <w:tr w:rsidR="000F2A7A" w14:paraId="7E44010E" w14:textId="77777777" w:rsidTr="00E229BE">
        <w:trPr>
          <w:jc w:val="center"/>
        </w:trPr>
        <w:tc>
          <w:tcPr>
            <w:tcW w:w="1499" w:type="dxa"/>
          </w:tcPr>
          <w:p w14:paraId="38F25080" w14:textId="53FBFB95" w:rsidR="000F2A7A" w:rsidRPr="00C251E9" w:rsidRDefault="000F2A7A" w:rsidP="00917D58">
            <w:pPr>
              <w:pStyle w:val="TMGTableText"/>
              <w:rPr>
                <w:b/>
                <w:bCs/>
              </w:rPr>
            </w:pPr>
            <w:r w:rsidRPr="004859C8">
              <w:t>AADTc</w:t>
            </w:r>
          </w:p>
        </w:tc>
        <w:tc>
          <w:tcPr>
            <w:tcW w:w="1328" w:type="dxa"/>
            <w:vAlign w:val="center"/>
          </w:tcPr>
          <w:p w14:paraId="456C5DB8" w14:textId="04EF5AA6" w:rsidR="000F2A7A" w:rsidRPr="00C251E9" w:rsidRDefault="000F2A7A" w:rsidP="00E229BE">
            <w:pPr>
              <w:pStyle w:val="TMGTableText"/>
              <w:jc w:val="center"/>
            </w:pPr>
            <w:r w:rsidRPr="004859C8">
              <w:t>33</w:t>
            </w:r>
          </w:p>
        </w:tc>
        <w:tc>
          <w:tcPr>
            <w:tcW w:w="1300" w:type="dxa"/>
            <w:vAlign w:val="center"/>
          </w:tcPr>
          <w:p w14:paraId="2579C69E" w14:textId="6D754BC6" w:rsidR="000F2A7A" w:rsidRPr="00C251E9" w:rsidRDefault="000F2A7A" w:rsidP="00E229BE">
            <w:pPr>
              <w:pStyle w:val="TMGTableText"/>
              <w:jc w:val="center"/>
            </w:pPr>
            <w:r w:rsidRPr="004859C8">
              <w:t>5,499</w:t>
            </w:r>
          </w:p>
        </w:tc>
        <w:tc>
          <w:tcPr>
            <w:tcW w:w="1296" w:type="dxa"/>
            <w:vAlign w:val="center"/>
          </w:tcPr>
          <w:p w14:paraId="76445A93" w14:textId="47E8D0FB" w:rsidR="000F2A7A" w:rsidRPr="00C251E9" w:rsidRDefault="000F2A7A" w:rsidP="00E229BE">
            <w:pPr>
              <w:pStyle w:val="TMGTableText"/>
              <w:jc w:val="center"/>
            </w:pPr>
            <w:r w:rsidRPr="004859C8">
              <w:t>57</w:t>
            </w:r>
          </w:p>
        </w:tc>
        <w:tc>
          <w:tcPr>
            <w:tcW w:w="1300" w:type="dxa"/>
            <w:vAlign w:val="center"/>
          </w:tcPr>
          <w:p w14:paraId="3C71701B" w14:textId="49A6164F" w:rsidR="000F2A7A" w:rsidRPr="00C251E9" w:rsidRDefault="000F2A7A" w:rsidP="00E229BE">
            <w:pPr>
              <w:pStyle w:val="TMGTableText"/>
              <w:jc w:val="center"/>
            </w:pPr>
            <w:r w:rsidRPr="004859C8">
              <w:t>288</w:t>
            </w:r>
          </w:p>
        </w:tc>
        <w:tc>
          <w:tcPr>
            <w:tcW w:w="1332" w:type="dxa"/>
            <w:vAlign w:val="center"/>
          </w:tcPr>
          <w:p w14:paraId="2E67854D" w14:textId="03B2A879" w:rsidR="000F2A7A" w:rsidRPr="00C251E9" w:rsidRDefault="000F2A7A" w:rsidP="00E229BE">
            <w:pPr>
              <w:pStyle w:val="TMGTableText"/>
              <w:jc w:val="center"/>
            </w:pPr>
            <w:r w:rsidRPr="004859C8">
              <w:t>1,653</w:t>
            </w:r>
          </w:p>
        </w:tc>
        <w:tc>
          <w:tcPr>
            <w:tcW w:w="1305" w:type="dxa"/>
            <w:vAlign w:val="center"/>
          </w:tcPr>
          <w:p w14:paraId="4306FDD1" w14:textId="77F5E047" w:rsidR="000F2A7A" w:rsidRPr="00C251E9" w:rsidRDefault="000F2A7A" w:rsidP="00E229BE">
            <w:pPr>
              <w:pStyle w:val="TMGTableText"/>
              <w:jc w:val="center"/>
            </w:pPr>
            <w:r w:rsidRPr="004859C8">
              <w:t>7,530</w:t>
            </w:r>
          </w:p>
        </w:tc>
      </w:tr>
      <w:tr w:rsidR="000F2A7A" w14:paraId="67E33DF8" w14:textId="77777777" w:rsidTr="00E229BE">
        <w:trPr>
          <w:jc w:val="center"/>
        </w:trPr>
        <w:tc>
          <w:tcPr>
            <w:tcW w:w="1499" w:type="dxa"/>
          </w:tcPr>
          <w:p w14:paraId="11E976E4" w14:textId="2EA9F815" w:rsidR="000F2A7A" w:rsidRPr="00C251E9" w:rsidRDefault="000F2A7A" w:rsidP="00917D58">
            <w:pPr>
              <w:pStyle w:val="TMGTableText"/>
              <w:rPr>
                <w:b/>
                <w:bCs/>
              </w:rPr>
            </w:pPr>
            <w:r w:rsidRPr="004859C8">
              <w:t xml:space="preserve">Monthly Factor </w:t>
            </w:r>
            <w:r w:rsidRPr="004859C8">
              <w:br/>
              <w:t>(AADTc/MADTc)</w:t>
            </w:r>
          </w:p>
        </w:tc>
        <w:tc>
          <w:tcPr>
            <w:tcW w:w="1328" w:type="dxa"/>
            <w:vAlign w:val="center"/>
          </w:tcPr>
          <w:p w14:paraId="60319A02" w14:textId="499F13DF" w:rsidR="000F2A7A" w:rsidRPr="00C251E9" w:rsidRDefault="000F2A7A" w:rsidP="00E229BE">
            <w:pPr>
              <w:pStyle w:val="TMGTableText"/>
              <w:jc w:val="center"/>
            </w:pPr>
            <w:r w:rsidRPr="004859C8">
              <w:t>0.95</w:t>
            </w:r>
          </w:p>
        </w:tc>
        <w:tc>
          <w:tcPr>
            <w:tcW w:w="1300" w:type="dxa"/>
            <w:vAlign w:val="center"/>
          </w:tcPr>
          <w:p w14:paraId="6EB43369" w14:textId="76CA2E78" w:rsidR="000F2A7A" w:rsidRPr="00C251E9" w:rsidRDefault="000F2A7A" w:rsidP="00E229BE">
            <w:pPr>
              <w:pStyle w:val="TMGTableText"/>
              <w:jc w:val="center"/>
            </w:pPr>
            <w:r w:rsidRPr="004859C8">
              <w:t>1.13</w:t>
            </w:r>
          </w:p>
        </w:tc>
        <w:tc>
          <w:tcPr>
            <w:tcW w:w="1296" w:type="dxa"/>
            <w:vAlign w:val="center"/>
          </w:tcPr>
          <w:p w14:paraId="22CA980F" w14:textId="4565B757" w:rsidR="000F2A7A" w:rsidRPr="00C251E9" w:rsidRDefault="000F2A7A" w:rsidP="00E229BE">
            <w:pPr>
              <w:pStyle w:val="TMGTableText"/>
              <w:jc w:val="center"/>
            </w:pPr>
            <w:r w:rsidRPr="004859C8">
              <w:t>1.10</w:t>
            </w:r>
          </w:p>
        </w:tc>
        <w:tc>
          <w:tcPr>
            <w:tcW w:w="1300" w:type="dxa"/>
            <w:vAlign w:val="center"/>
          </w:tcPr>
          <w:p w14:paraId="3541A769" w14:textId="6A376749" w:rsidR="000F2A7A" w:rsidRPr="00C251E9" w:rsidRDefault="000F2A7A" w:rsidP="00E229BE">
            <w:pPr>
              <w:pStyle w:val="TMGTableText"/>
              <w:jc w:val="center"/>
            </w:pPr>
            <w:r w:rsidRPr="004859C8">
              <w:t>1.27</w:t>
            </w:r>
          </w:p>
        </w:tc>
        <w:tc>
          <w:tcPr>
            <w:tcW w:w="1332" w:type="dxa"/>
            <w:vAlign w:val="center"/>
          </w:tcPr>
          <w:p w14:paraId="28076EB0" w14:textId="6A823DD3" w:rsidR="000F2A7A" w:rsidRPr="00C251E9" w:rsidRDefault="000F2A7A" w:rsidP="00E229BE">
            <w:pPr>
              <w:pStyle w:val="TMGTableText"/>
              <w:jc w:val="center"/>
            </w:pPr>
            <w:r w:rsidRPr="004859C8">
              <w:t>1.01</w:t>
            </w:r>
          </w:p>
        </w:tc>
        <w:tc>
          <w:tcPr>
            <w:tcW w:w="1305" w:type="dxa"/>
            <w:vAlign w:val="center"/>
          </w:tcPr>
          <w:p w14:paraId="4482C598" w14:textId="218AAD7B" w:rsidR="000F2A7A" w:rsidRPr="00C251E9" w:rsidRDefault="000F2A7A" w:rsidP="00E229BE">
            <w:pPr>
              <w:pStyle w:val="TMGTableText"/>
              <w:jc w:val="center"/>
            </w:pPr>
            <w:r w:rsidRPr="004859C8">
              <w:t>1.10</w:t>
            </w:r>
          </w:p>
        </w:tc>
      </w:tr>
    </w:tbl>
    <w:p w14:paraId="3CEBE5E0" w14:textId="3BCFC6E9" w:rsidR="003F7B9F" w:rsidRPr="000D7942" w:rsidRDefault="003F7B9F" w:rsidP="000F2A7A">
      <w:pPr>
        <w:pStyle w:val="BodyText"/>
        <w:spacing w:before="240"/>
      </w:pPr>
      <w:r w:rsidRPr="000D7942">
        <w:t>Computing the mean (or average) for the</w:t>
      </w:r>
      <w:r>
        <w:t xml:space="preserve"> monthly (e.g., </w:t>
      </w:r>
      <w:r w:rsidRPr="000D7942">
        <w:t>June</w:t>
      </w:r>
      <w:r>
        <w:t>)</w:t>
      </w:r>
      <w:r w:rsidRPr="000D7942">
        <w:t xml:space="preserve"> factor using data from all sites within the factor group yields the group factor for application to all short</w:t>
      </w:r>
      <w:r w:rsidR="006D5CEC">
        <w:t>-term</w:t>
      </w:r>
      <w:r w:rsidRPr="000D7942">
        <w:t xml:space="preserve"> counts (</w:t>
      </w:r>
      <w:r>
        <w:t xml:space="preserve">e.g., </w:t>
      </w:r>
      <w:r w:rsidRPr="000D7942">
        <w:t xml:space="preserve">weekdays in June) taken on road segments within the group. The standard deviation of the factors within the group describes the variability of the group factor. The variability can be used to compute the precision of the group factor and to estimate the number of continuous classification counter locations needed. </w:t>
      </w:r>
    </w:p>
    <w:p w14:paraId="40DE85F6" w14:textId="77777777" w:rsidR="003F7B9F" w:rsidRPr="000D7942" w:rsidRDefault="003F7B9F" w:rsidP="00A35EAF">
      <w:pPr>
        <w:pStyle w:val="BodyText"/>
        <w:rPr>
          <w:b/>
          <w:bCs/>
          <w:smallCaps/>
          <w:sz w:val="24"/>
          <w:szCs w:val="22"/>
        </w:rPr>
      </w:pPr>
      <w:r w:rsidRPr="000D7942">
        <w:t>The variability of each statistic computed for the factor group will have a different level of precision. For example, the June factor will have different precision than the July factor. The precision will also vary for each of the vehicle types analyzed.</w:t>
      </w:r>
    </w:p>
    <w:p w14:paraId="33C60210" w14:textId="77777777" w:rsidR="003F7B9F" w:rsidRPr="000F2A7A" w:rsidRDefault="003F7B9F">
      <w:pPr>
        <w:pStyle w:val="Heading4"/>
      </w:pPr>
      <w:bookmarkStart w:id="1775" w:name="Test_the_Quality_of_the_Selected_Groups"/>
      <w:bookmarkStart w:id="1776" w:name="_Toc324246146"/>
      <w:bookmarkStart w:id="1777" w:name="_Toc324780168"/>
      <w:bookmarkStart w:id="1778" w:name="_Toc335302452"/>
      <w:bookmarkStart w:id="1779" w:name="_Toc45604647"/>
      <w:bookmarkStart w:id="1780" w:name="_Toc63977887"/>
      <w:bookmarkStart w:id="1781" w:name="_Toc63982635"/>
      <w:bookmarkStart w:id="1782" w:name="_Toc68190202"/>
      <w:bookmarkStart w:id="1783" w:name="_Toc118205630"/>
      <w:bookmarkStart w:id="1784" w:name="_Hlk50715014"/>
      <w:r w:rsidRPr="000F2A7A">
        <w:t>Test the Quality of the Selected Groups</w:t>
      </w:r>
      <w:bookmarkStart w:id="1785" w:name="_Ref306865254"/>
      <w:bookmarkStart w:id="1786" w:name="_Toc349902106"/>
      <w:bookmarkStart w:id="1787" w:name="_Toc291242892"/>
      <w:bookmarkStart w:id="1788" w:name="_Toc304560452"/>
      <w:bookmarkStart w:id="1789" w:name="_Toc335302506"/>
      <w:bookmarkStart w:id="1790" w:name="_Toc363655914"/>
      <w:bookmarkStart w:id="1791" w:name="_Toc450646668"/>
      <w:bookmarkEnd w:id="1775"/>
      <w:bookmarkEnd w:id="1776"/>
      <w:bookmarkEnd w:id="1777"/>
      <w:bookmarkEnd w:id="1778"/>
      <w:bookmarkEnd w:id="1779"/>
      <w:bookmarkEnd w:id="1780"/>
      <w:bookmarkEnd w:id="1781"/>
      <w:bookmarkEnd w:id="1782"/>
      <w:bookmarkEnd w:id="1783"/>
    </w:p>
    <w:p w14:paraId="4E49F588" w14:textId="77777777" w:rsidR="003F7B9F" w:rsidRPr="006701AC" w:rsidRDefault="003F7B9F" w:rsidP="00A35EAF">
      <w:pPr>
        <w:pStyle w:val="BodyText"/>
      </w:pPr>
      <w:r w:rsidRPr="006701AC">
        <w:t xml:space="preserve">The information on </w:t>
      </w:r>
      <w:r>
        <w:t xml:space="preserve">estimated precision of group factors </w:t>
      </w:r>
      <w:r w:rsidRPr="006701AC">
        <w:t xml:space="preserve">must be reviewed to determine whether the roads grouped together have similar individual vehicle travel patterns. </w:t>
      </w:r>
    </w:p>
    <w:p w14:paraId="065D3475" w14:textId="77777777" w:rsidR="003F7B9F" w:rsidRPr="006701AC" w:rsidRDefault="003F7B9F" w:rsidP="00A35EAF">
      <w:pPr>
        <w:pStyle w:val="BodyText"/>
      </w:pPr>
      <w:r w:rsidRPr="006701AC">
        <w:t xml:space="preserve">The trade-offs between alternative factor groups </w:t>
      </w:r>
      <w:r>
        <w:t>should</w:t>
      </w:r>
      <w:r w:rsidRPr="006701AC">
        <w:t xml:space="preserve"> be </w:t>
      </w:r>
      <w:r>
        <w:t>evaluated considering</w:t>
      </w:r>
      <w:r w:rsidRPr="006701AC">
        <w:t xml:space="preserve"> the value of the precision of each statistic to the data user. For example, if 95 percent of all trucks are single tractor-trailer trucks, then having road groups that accurately describe tractor-trailer vehicle patterns is more important than having road groups that accurately describe single-unit truck patterns. Similarly, if single-unit trucks carry the predominant amount of freight (this occurs in mineral extraction areas), then the emphasis should be on forming road groups that accurately measure single-unit truck volume patterns. </w:t>
      </w:r>
    </w:p>
    <w:p w14:paraId="40B21C02" w14:textId="2CA47D6F" w:rsidR="003F7B9F" w:rsidRPr="006701AC" w:rsidRDefault="003F7B9F" w:rsidP="00A35EAF">
      <w:pPr>
        <w:pStyle w:val="BodyText"/>
      </w:pPr>
      <w:r w:rsidRPr="006701AC">
        <w:lastRenderedPageBreak/>
        <w:t xml:space="preserve">The quality of a given factor group can be examined in two ways. </w:t>
      </w:r>
      <w:r w:rsidRPr="000D7942">
        <w:t>The first is to examine graphically the traffic patterns present at each site in the group</w:t>
      </w:r>
      <w:r w:rsidRPr="00A272BF">
        <w:t xml:space="preserve">. </w:t>
      </w:r>
      <w:r w:rsidRPr="006701AC">
        <w:t>The second method is to compute the mean and standard deviation for various factors that the factor group is designed to provide. If these factors have small amounts of deviation (for example, the 95% confidence interval is within +/- 10% of the mean value of each monthly factor), the roads can be considered to have similar characteristics. If the standard deviations are large, the road groupings may need to be revised.</w:t>
      </w:r>
    </w:p>
    <w:bookmarkEnd w:id="1784"/>
    <w:bookmarkEnd w:id="1785"/>
    <w:bookmarkEnd w:id="1786"/>
    <w:bookmarkEnd w:id="1787"/>
    <w:bookmarkEnd w:id="1788"/>
    <w:bookmarkEnd w:id="1789"/>
    <w:bookmarkEnd w:id="1790"/>
    <w:bookmarkEnd w:id="1791"/>
    <w:p w14:paraId="4231D10F" w14:textId="77777777" w:rsidR="003F7B9F" w:rsidRPr="005576C5" w:rsidRDefault="003F7B9F" w:rsidP="00A35EAF">
      <w:pPr>
        <w:pStyle w:val="BodyText"/>
      </w:pPr>
      <w:r w:rsidRPr="005576C5">
        <w:t>There can be cases where the factors will not improve the annual volume estimates, particularly in high vehicle volume variability situations. An alternative is to take multiple site-specific classification counts at different times during the year to measure monthly changes and develop annual estimate. This can be an effective way to estimate annual traffic volume for individual vehicle classes more accurately for high profile projects, if an agency can afford this additional data collection effort. This alternative can also be used to test the accuracy of the annual estimates derived from the group factors.</w:t>
      </w:r>
    </w:p>
    <w:p w14:paraId="0C2E0A56" w14:textId="77777777" w:rsidR="003F7B9F" w:rsidRPr="00517F7A" w:rsidRDefault="003F7B9F">
      <w:pPr>
        <w:pStyle w:val="Heading4"/>
      </w:pPr>
      <w:bookmarkStart w:id="1792" w:name="Determine_the_Precision_of_Factors"/>
      <w:bookmarkStart w:id="1793" w:name="_Toc324246147"/>
      <w:bookmarkStart w:id="1794" w:name="_Toc324780169"/>
      <w:bookmarkStart w:id="1795" w:name="_Toc335302453"/>
      <w:bookmarkStart w:id="1796" w:name="_Toc45604648"/>
      <w:bookmarkStart w:id="1797" w:name="_Toc63977888"/>
      <w:bookmarkStart w:id="1798" w:name="_Toc63982636"/>
      <w:bookmarkStart w:id="1799" w:name="_Toc68190203"/>
      <w:bookmarkStart w:id="1800" w:name="_Toc118205631"/>
      <w:bookmarkStart w:id="1801" w:name="_Hlk50715099"/>
      <w:r w:rsidRPr="00517F7A">
        <w:t>Determine the Precision of the Factor</w:t>
      </w:r>
      <w:bookmarkEnd w:id="1792"/>
      <w:bookmarkEnd w:id="1793"/>
      <w:bookmarkEnd w:id="1794"/>
      <w:bookmarkEnd w:id="1795"/>
      <w:r w:rsidRPr="00517F7A">
        <w:t>s</w:t>
      </w:r>
      <w:bookmarkEnd w:id="1796"/>
      <w:bookmarkEnd w:id="1797"/>
      <w:bookmarkEnd w:id="1798"/>
      <w:bookmarkEnd w:id="1799"/>
      <w:bookmarkEnd w:id="1800"/>
    </w:p>
    <w:p w14:paraId="5D4F4F92" w14:textId="77777777" w:rsidR="003F7B9F" w:rsidRPr="005576C5" w:rsidRDefault="003F7B9F" w:rsidP="00A35EAF">
      <w:pPr>
        <w:pStyle w:val="BodyText"/>
      </w:pPr>
      <w:r w:rsidRPr="005576C5">
        <w:t>Use this formula to compute the precision of the adjustment factor for a selected month for a group of n sites for each vehicle class:</w:t>
      </w:r>
    </w:p>
    <w:p w14:paraId="46AC7512" w14:textId="246D3842" w:rsidR="003F7B9F" w:rsidRPr="005576C5" w:rsidRDefault="003F7B9F" w:rsidP="00A35EAF">
      <w:pPr>
        <w:pStyle w:val="BodyText"/>
      </w:pPr>
      <w:r w:rsidRPr="005576C5">
        <w:tab/>
      </w:r>
      <m:oMath>
        <m:r>
          <w:rPr>
            <w:rFonts w:ascii="Cambria Math" w:hAnsi="Cambria Math"/>
          </w:rPr>
          <m:t>D</m:t>
        </m:r>
        <m:r>
          <m:rPr>
            <m:sty m:val="p"/>
          </m:rPr>
          <w:rPr>
            <w:rFonts w:ascii="Cambria Math" w:hAnsi="Cambria Math"/>
          </w:rPr>
          <m:t>=±</m:t>
        </m:r>
        <m:sSub>
          <m:sSubPr>
            <m:ctrlPr>
              <w:rPr>
                <w:rFonts w:ascii="Cambria Math" w:hAnsi="Cambria Math"/>
              </w:rPr>
            </m:ctrlPr>
          </m:sSubPr>
          <m:e>
            <m:r>
              <w:rPr>
                <w:rFonts w:ascii="Cambria Math" w:hAnsi="Cambria Math"/>
              </w:rPr>
              <m:t>t</m:t>
            </m:r>
          </m:e>
          <m:sub>
            <m:r>
              <w:rPr>
                <w:rFonts w:ascii="Cambria Math" w:hAnsi="Cambria Math"/>
              </w:rPr>
              <m:t>∝</m:t>
            </m:r>
            <m:r>
              <m:rPr>
                <m:sty m:val="p"/>
              </m:rPr>
              <w:rPr>
                <w:rFonts w:ascii="Cambria Math" w:hAnsi="Cambria Math"/>
              </w:rPr>
              <m:t xml:space="preserve">/2, </m:t>
            </m:r>
            <m:r>
              <w:rPr>
                <w:rFonts w:ascii="Cambria Math" w:hAnsi="Cambria Math"/>
              </w:rPr>
              <m:t>n</m:t>
            </m:r>
            <m:r>
              <m:rPr>
                <m:sty m:val="p"/>
              </m:rPr>
              <w:rPr>
                <w:rFonts w:ascii="Cambria Math" w:hAnsi="Cambria Math"/>
              </w:rPr>
              <m:t>-1</m:t>
            </m:r>
          </m:sub>
        </m:sSub>
        <m:f>
          <m:fPr>
            <m:ctrlPr>
              <w:rPr>
                <w:rFonts w:ascii="Cambria Math" w:hAnsi="Cambria Math"/>
              </w:rPr>
            </m:ctrlPr>
          </m:fPr>
          <m:num>
            <m:r>
              <w:rPr>
                <w:rFonts w:ascii="Cambria Math" w:hAnsi="Cambria Math"/>
              </w:rPr>
              <m:t>s</m:t>
            </m:r>
          </m:num>
          <m:den>
            <m:rad>
              <m:radPr>
                <m:degHide m:val="1"/>
                <m:ctrlPr>
                  <w:rPr>
                    <w:rFonts w:ascii="Cambria Math" w:hAnsi="Cambria Math"/>
                  </w:rPr>
                </m:ctrlPr>
              </m:radPr>
              <m:deg/>
              <m:e>
                <m:r>
                  <w:rPr>
                    <w:rFonts w:ascii="Cambria Math" w:hAnsi="Cambria Math"/>
                  </w:rPr>
                  <m:t>n</m:t>
                </m:r>
              </m:e>
            </m:rad>
          </m:den>
        </m:f>
      </m:oMath>
      <w:r w:rsidRPr="005576C5">
        <w:t xml:space="preserve"> </w:t>
      </w:r>
    </w:p>
    <w:p w14:paraId="611415FE" w14:textId="77777777" w:rsidR="003F7B9F" w:rsidRPr="005576C5" w:rsidRDefault="003F7B9F" w:rsidP="00A35EAF">
      <w:pPr>
        <w:pStyle w:val="BodyText"/>
      </w:pPr>
      <w:r w:rsidRPr="005576C5">
        <w:t>Where:</w:t>
      </w:r>
    </w:p>
    <w:p w14:paraId="5A9CA509" w14:textId="77777777" w:rsidR="003F7B9F" w:rsidRPr="005576C5" w:rsidRDefault="003F7B9F" w:rsidP="00A35EAF">
      <w:pPr>
        <w:pStyle w:val="BodyText"/>
      </w:pPr>
      <w:r w:rsidRPr="005576C5">
        <w:rPr>
          <w:i/>
        </w:rPr>
        <w:t>D</w:t>
      </w:r>
      <w:r w:rsidRPr="005576C5">
        <w:t xml:space="preserve"> = precision of the group factor (95% confidence interval)</w:t>
      </w:r>
    </w:p>
    <w:p w14:paraId="46743C76" w14:textId="77777777" w:rsidR="003F7B9F" w:rsidRPr="005576C5" w:rsidRDefault="003F7B9F" w:rsidP="00A35EAF">
      <w:pPr>
        <w:pStyle w:val="BodyText"/>
      </w:pPr>
      <w:r w:rsidRPr="000077D4">
        <w:rPr>
          <w:i/>
          <w:iCs/>
        </w:rPr>
        <w:t>α</w:t>
      </w:r>
      <w:r>
        <w:t xml:space="preserve"> </w:t>
      </w:r>
      <w:r w:rsidRPr="000077D4">
        <w:t>=</w:t>
      </w:r>
      <w:r>
        <w:t xml:space="preserve"> </w:t>
      </w:r>
      <w:r w:rsidRPr="000077D4">
        <w:t xml:space="preserve">level </w:t>
      </w:r>
      <w:r>
        <w:t>of significance, the probability of rejecting the Null Hypothesis when in it is true,</w:t>
      </w:r>
      <w:r w:rsidRPr="000077D4">
        <w:t xml:space="preserve"> for the selected level of </w:t>
      </w:r>
      <w:r w:rsidRPr="005576C5">
        <w:t xml:space="preserve">confidence (for 95 percent confidence </w:t>
      </w:r>
      <w:r w:rsidRPr="005576C5">
        <w:rPr>
          <w:i/>
          <w:iCs/>
        </w:rPr>
        <w:t>α = 1 - 0.95 = 0.05)</w:t>
      </w:r>
    </w:p>
    <w:p w14:paraId="74404DCF" w14:textId="77777777" w:rsidR="003F7B9F" w:rsidRPr="005576C5" w:rsidRDefault="003F7B9F" w:rsidP="00A35EAF">
      <w:pPr>
        <w:pStyle w:val="BodyText"/>
      </w:pPr>
      <w:r w:rsidRPr="005576C5">
        <w:rPr>
          <w:i/>
        </w:rPr>
        <w:t>s</w:t>
      </w:r>
      <w:r w:rsidRPr="005576C5">
        <w:t xml:space="preserve"> = standard deviation of the group factors for the selected month</w:t>
      </w:r>
    </w:p>
    <w:p w14:paraId="61F60152" w14:textId="77777777" w:rsidR="003F7B9F" w:rsidRPr="005576C5" w:rsidRDefault="003F7B9F" w:rsidP="00A35EAF">
      <w:pPr>
        <w:pStyle w:val="BodyText"/>
      </w:pPr>
      <w:r w:rsidRPr="005576C5">
        <w:rPr>
          <w:i/>
        </w:rPr>
        <w:t>n</w:t>
      </w:r>
      <w:r w:rsidRPr="005576C5">
        <w:t xml:space="preserve"> = number of sites in factor group</w:t>
      </w:r>
    </w:p>
    <w:p w14:paraId="359DA232" w14:textId="7C07B0E9" w:rsidR="003F7B9F" w:rsidRPr="005576C5" w:rsidRDefault="003F7B9F" w:rsidP="00A35EAF">
      <w:pPr>
        <w:pStyle w:val="BodyText"/>
      </w:pPr>
      <w:r w:rsidRPr="005576C5">
        <w:t xml:space="preserve">The ratio </w:t>
      </w:r>
      <m:oMath>
        <m:f>
          <m:fPr>
            <m:ctrlPr>
              <w:rPr>
                <w:rFonts w:ascii="Cambria Math" w:hAnsi="Cambria Math"/>
              </w:rPr>
            </m:ctrlPr>
          </m:fPr>
          <m:num>
            <m:r>
              <w:rPr>
                <w:rFonts w:ascii="Cambria Math" w:hAnsi="Cambria Math"/>
              </w:rPr>
              <m:t>s</m:t>
            </m:r>
          </m:num>
          <m:den>
            <m:rad>
              <m:radPr>
                <m:degHide m:val="1"/>
                <m:ctrlPr>
                  <w:rPr>
                    <w:rFonts w:ascii="Cambria Math" w:hAnsi="Cambria Math"/>
                  </w:rPr>
                </m:ctrlPr>
              </m:radPr>
              <m:deg/>
              <m:e>
                <m:r>
                  <w:rPr>
                    <w:rFonts w:ascii="Cambria Math" w:hAnsi="Cambria Math"/>
                  </w:rPr>
                  <m:t>n</m:t>
                </m:r>
              </m:e>
            </m:rad>
          </m:den>
        </m:f>
      </m:oMath>
      <w:r w:rsidRPr="005576C5">
        <w:t xml:space="preserve"> is called standard error</w:t>
      </w:r>
    </w:p>
    <w:p w14:paraId="22636308" w14:textId="7100E6AF" w:rsidR="009D3502" w:rsidRDefault="003F7B9F" w:rsidP="00A35EAF">
      <w:pPr>
        <w:pStyle w:val="BodyText"/>
      </w:pPr>
      <w:r w:rsidRPr="005576C5">
        <w:t xml:space="preserve">Note that the precision of the group is affected by the standard deviation (as a measure of homogeneity or diversity) of group factors and by the sample size. Increasing the number of continuous counter locations within a group will </w:t>
      </w:r>
      <w:r>
        <w:t xml:space="preserve">also </w:t>
      </w:r>
      <w:r w:rsidRPr="005576C5">
        <w:t>improve the precision of the group factor</w:t>
      </w:r>
      <w:r>
        <w:t xml:space="preserve"> for groups made of small number of sites</w:t>
      </w:r>
      <w:r w:rsidRPr="005576C5">
        <w:t xml:space="preserve">. However, for fairly homogeneous groups increasing the number of continuous classification counter locations beyond 6 only marginally improves the precision of the group factor application at specific roadway sections, as demonstrated in </w:t>
      </w:r>
      <w:r w:rsidRPr="00601A40">
        <w:t>Figure 3-</w:t>
      </w:r>
      <w:r w:rsidR="00C07DF9">
        <w:t>2</w:t>
      </w:r>
      <w:r w:rsidRPr="00601A40">
        <w:t>.</w:t>
      </w:r>
    </w:p>
    <w:p w14:paraId="44FDE1A9" w14:textId="683A7CED" w:rsidR="003F7B9F" w:rsidRDefault="003F7B9F" w:rsidP="000F2A7A">
      <w:pPr>
        <w:jc w:val="center"/>
        <w:rPr>
          <w:rFonts w:eastAsia="MS Mincho"/>
          <w:color w:val="FF0000"/>
          <w:szCs w:val="22"/>
        </w:rPr>
      </w:pPr>
      <w:r w:rsidRPr="006701AC">
        <w:rPr>
          <w:rFonts w:eastAsia="MS Mincho"/>
          <w:noProof/>
          <w:color w:val="FF0000"/>
          <w:szCs w:val="22"/>
        </w:rPr>
        <w:lastRenderedPageBreak/>
        <w:drawing>
          <wp:inline distT="0" distB="0" distL="0" distR="0" wp14:anchorId="54B6611A" wp14:editId="45F32B2E">
            <wp:extent cx="4305886" cy="2852811"/>
            <wp:effectExtent l="0" t="0" r="0" b="5080"/>
            <wp:docPr id="35844" name="Chart 35844" descr="Graph of the precision (D=±t_(∝/2,n-1)  s/√n ) of the group factor based on the number of sites in the factor group. ">
              <a:extLst xmlns:a="http://schemas.openxmlformats.org/drawingml/2006/main">
                <a:ext uri="{FF2B5EF4-FFF2-40B4-BE49-F238E27FC236}">
                  <a16:creationId xmlns:a16="http://schemas.microsoft.com/office/drawing/2014/main" id="{461886AD-7967-4576-92F2-EB6FD31BF5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21162CEE" w14:textId="790E865B" w:rsidR="000F2A7A" w:rsidRPr="009D3502" w:rsidRDefault="000F2A7A" w:rsidP="00736AF3">
      <w:pPr>
        <w:pStyle w:val="TMGFigureCaption"/>
        <w:spacing w:after="360"/>
      </w:pPr>
      <w:bookmarkStart w:id="1802" w:name="_Ref113787647"/>
      <w:bookmarkStart w:id="1803" w:name="_Toc114474799"/>
      <w:bookmarkStart w:id="1804" w:name="_Toc120626572"/>
      <w:r w:rsidRPr="009D3502">
        <w:t xml:space="preserve">Figure </w:t>
      </w:r>
      <w:r>
        <w:rPr>
          <w:noProof/>
        </w:rPr>
        <w:fldChar w:fldCharType="begin"/>
      </w:r>
      <w:r>
        <w:rPr>
          <w:noProof/>
        </w:rPr>
        <w:instrText xml:space="preserve"> STYLEREF 1 \s </w:instrText>
      </w:r>
      <w:r>
        <w:rPr>
          <w:noProof/>
        </w:rPr>
        <w:fldChar w:fldCharType="separate"/>
      </w:r>
      <w:r w:rsidR="00C07DF9">
        <w:rPr>
          <w:noProof/>
        </w:rPr>
        <w:t>3</w:t>
      </w:r>
      <w:r>
        <w:rPr>
          <w:noProof/>
        </w:rPr>
        <w:fldChar w:fldCharType="end"/>
      </w:r>
      <w:r>
        <w:noBreakHyphen/>
      </w:r>
      <w:r>
        <w:rPr>
          <w:noProof/>
        </w:rPr>
        <w:fldChar w:fldCharType="begin"/>
      </w:r>
      <w:r>
        <w:rPr>
          <w:noProof/>
        </w:rPr>
        <w:instrText xml:space="preserve"> SEQ Figure \* ARABIC \s 1 </w:instrText>
      </w:r>
      <w:r>
        <w:rPr>
          <w:noProof/>
        </w:rPr>
        <w:fldChar w:fldCharType="separate"/>
      </w:r>
      <w:r w:rsidR="00C07DF9">
        <w:rPr>
          <w:noProof/>
        </w:rPr>
        <w:t>2</w:t>
      </w:r>
      <w:r>
        <w:rPr>
          <w:noProof/>
        </w:rPr>
        <w:fldChar w:fldCharType="end"/>
      </w:r>
      <w:bookmarkEnd w:id="1802"/>
      <w:r w:rsidR="00E34EB1">
        <w:t>.</w:t>
      </w:r>
      <w:r w:rsidRPr="009D3502">
        <w:t xml:space="preserve"> Relationship between </w:t>
      </w:r>
      <m:oMath>
        <m:sSub>
          <m:sSubPr>
            <m:ctrlPr>
              <w:rPr>
                <w:rFonts w:ascii="Cambria Math" w:hAnsi="Cambria Math"/>
              </w:rPr>
            </m:ctrlPr>
          </m:sSubPr>
          <m:e>
            <m:r>
              <m:rPr>
                <m:sty m:val="bi"/>
              </m:rPr>
              <w:rPr>
                <w:rFonts w:ascii="Cambria Math" w:hAnsi="Cambria Math"/>
              </w:rPr>
              <m:t>t</m:t>
            </m:r>
          </m:e>
          <m:sub>
            <m:r>
              <m:rPr>
                <m:sty m:val="b"/>
              </m:rPr>
              <w:rPr>
                <w:rFonts w:ascii="Cambria Math" w:hAnsi="Cambria Math"/>
              </w:rPr>
              <m:t xml:space="preserve">0.025, </m:t>
            </m:r>
            <m:r>
              <m:rPr>
                <m:sty m:val="bi"/>
              </m:rPr>
              <w:rPr>
                <w:rFonts w:ascii="Cambria Math" w:hAnsi="Cambria Math"/>
              </w:rPr>
              <m:t>n</m:t>
            </m:r>
            <m:r>
              <m:rPr>
                <m:sty m:val="b"/>
              </m:rPr>
              <w:rPr>
                <w:rFonts w:ascii="Cambria Math" w:hAnsi="Cambria Math"/>
              </w:rPr>
              <m:t>-1</m:t>
            </m:r>
          </m:sub>
        </m:sSub>
        <m:f>
          <m:fPr>
            <m:ctrlPr>
              <w:rPr>
                <w:rFonts w:ascii="Cambria Math" w:hAnsi="Cambria Math"/>
              </w:rPr>
            </m:ctrlPr>
          </m:fPr>
          <m:num>
            <m:r>
              <m:rPr>
                <m:sty m:val="b"/>
              </m:rPr>
              <w:rPr>
                <w:rFonts w:ascii="Cambria Math" w:hAnsi="Cambria Math"/>
              </w:rPr>
              <m:t>1</m:t>
            </m:r>
          </m:num>
          <m:den>
            <m:rad>
              <m:radPr>
                <m:degHide m:val="1"/>
                <m:ctrlPr>
                  <w:rPr>
                    <w:rFonts w:ascii="Cambria Math" w:hAnsi="Cambria Math"/>
                  </w:rPr>
                </m:ctrlPr>
              </m:radPr>
              <m:deg/>
              <m:e>
                <m:r>
                  <m:rPr>
                    <m:sty m:val="bi"/>
                  </m:rPr>
                  <w:rPr>
                    <w:rFonts w:ascii="Cambria Math" w:hAnsi="Cambria Math"/>
                  </w:rPr>
                  <m:t>n</m:t>
                </m:r>
              </m:e>
            </m:rad>
          </m:den>
        </m:f>
      </m:oMath>
      <w:r w:rsidRPr="009D3502">
        <w:t xml:space="preserve"> Statistic and Number of Sites</w:t>
      </w:r>
      <w:bookmarkEnd w:id="1803"/>
      <w:bookmarkEnd w:id="1804"/>
    </w:p>
    <w:p w14:paraId="5AC6DE52" w14:textId="77777777" w:rsidR="003F7B9F" w:rsidRPr="00517F7A" w:rsidRDefault="003F7B9F">
      <w:pPr>
        <w:pStyle w:val="Heading4"/>
      </w:pPr>
      <w:bookmarkStart w:id="1805" w:name="Refine_the_Factor_Groups"/>
      <w:bookmarkStart w:id="1806" w:name="_Toc324246148"/>
      <w:bookmarkStart w:id="1807" w:name="_Toc324780170"/>
      <w:bookmarkStart w:id="1808" w:name="_Toc335302454"/>
      <w:bookmarkStart w:id="1809" w:name="_Toc45604649"/>
      <w:bookmarkStart w:id="1810" w:name="_Toc63977889"/>
      <w:bookmarkStart w:id="1811" w:name="_Toc63982637"/>
      <w:bookmarkStart w:id="1812" w:name="_Toc68190204"/>
      <w:bookmarkStart w:id="1813" w:name="_Toc118205632"/>
      <w:bookmarkEnd w:id="1801"/>
      <w:r w:rsidRPr="00517F7A">
        <w:t>Refine the Factor Groups</w:t>
      </w:r>
      <w:bookmarkEnd w:id="1805"/>
      <w:bookmarkEnd w:id="1806"/>
      <w:bookmarkEnd w:id="1807"/>
      <w:bookmarkEnd w:id="1808"/>
      <w:bookmarkEnd w:id="1809"/>
      <w:bookmarkEnd w:id="1810"/>
      <w:bookmarkEnd w:id="1811"/>
      <w:bookmarkEnd w:id="1812"/>
      <w:bookmarkEnd w:id="1813"/>
    </w:p>
    <w:p w14:paraId="1A4BC609" w14:textId="77777777" w:rsidR="003F7B9F" w:rsidRPr="006701AC" w:rsidRDefault="003F7B9F" w:rsidP="00A35EAF">
      <w:pPr>
        <w:pStyle w:val="BodyText"/>
      </w:pPr>
      <w:r w:rsidRPr="006701AC">
        <w:t>If the factor groups selected have reasonably homogenous travel patterns (i.e., the variability of the factors is low), then the groups can be used for factor development and application. If the factors for the group are too variable, then the groups may need to be modified. These modifications can include the creation of new groups (by removing the roads represented by some continuous classification counters from one group and placing them in a new group), and the realignment of counters within existing groups (by shifting some classification counters and the roads they represent from one existing factor group to another). This process continues until a judgment is made that the groups are adequate.</w:t>
      </w:r>
    </w:p>
    <w:p w14:paraId="67F8FD5E" w14:textId="3F704855" w:rsidR="003F7B9F" w:rsidRPr="006701AC" w:rsidRDefault="003F7B9F" w:rsidP="00A35EAF">
      <w:pPr>
        <w:pStyle w:val="BodyText"/>
      </w:pPr>
      <w:r w:rsidRPr="006701AC">
        <w:t>Be aware, as noted earlier, that if precise adjustment factors are desired, it is possible that the factor process will require different factor groups for each vehicle class. That is, traffic patterns for combination trucks may be significantly different (and affected by different factors) than the traffic patterns found for smaller, short-haul trucks. These patterns may in turn be sufficiently different from passenger vehicle patterns that three different factor groupings may need to be developed. In such a case, passenger car volumes may need to be adjusted using the State's existing factor process since total volume tends to be determined by passenger car volumes in most locations, while single unit trucks are factored with data obtained from different groups of counters. Combination trucks are factored with counts obtained from those same counters but aggregated in a different fashion. Then the three independent volume estimates will need to be added to produce the total AADT estimate.</w:t>
      </w:r>
    </w:p>
    <w:p w14:paraId="561CDE88" w14:textId="40D43731" w:rsidR="003F7B9F" w:rsidRPr="00517F7A" w:rsidRDefault="003F7B9F">
      <w:pPr>
        <w:pStyle w:val="Heading3"/>
      </w:pPr>
      <w:bookmarkStart w:id="1814" w:name="_Toc324246149"/>
      <w:bookmarkStart w:id="1815" w:name="_Toc324780171"/>
      <w:bookmarkStart w:id="1816" w:name="_Toc335302455"/>
      <w:bookmarkStart w:id="1817" w:name="_Toc45604650"/>
      <w:bookmarkStart w:id="1818" w:name="_Toc68190205"/>
      <w:bookmarkStart w:id="1819" w:name="_Toc118205633"/>
      <w:r w:rsidRPr="00517F7A">
        <w:t>Step 6 Determine the Appropriate Number of Continuous Vehicle Classification Locations</w:t>
      </w:r>
      <w:bookmarkEnd w:id="1814"/>
      <w:bookmarkEnd w:id="1815"/>
      <w:bookmarkEnd w:id="1816"/>
      <w:bookmarkEnd w:id="1817"/>
      <w:bookmarkEnd w:id="1818"/>
      <w:bookmarkEnd w:id="1819"/>
    </w:p>
    <w:p w14:paraId="2C91EA03" w14:textId="6AC1F7BD" w:rsidR="003F7B9F" w:rsidRPr="006701AC" w:rsidRDefault="003F7B9F" w:rsidP="00A35EAF">
      <w:pPr>
        <w:pStyle w:val="BodyText"/>
      </w:pPr>
      <w:r w:rsidRPr="006701AC">
        <w:t>Once groups have been established and the variability of the group factors computed, it is possible to determine the number of count locations needed to create and apply factors for a selected level of precision. Note that because each statistic (i.e.</w:t>
      </w:r>
      <w:r w:rsidR="00F2156B">
        <w:t>,</w:t>
      </w:r>
      <w:r w:rsidRPr="006701AC">
        <w:t xml:space="preserve"> factors computed for different months) computed for a group has a different level of variability, each statistic computed will have a different level of precision. </w:t>
      </w:r>
    </w:p>
    <w:p w14:paraId="74CB506D" w14:textId="77777777" w:rsidR="003F7B9F" w:rsidRPr="006701AC" w:rsidRDefault="003F7B9F" w:rsidP="00A35EAF">
      <w:pPr>
        <w:pStyle w:val="BodyText"/>
      </w:pPr>
      <w:r w:rsidRPr="006701AC">
        <w:t>The first step in determining the number of sites per group is to determine which statistics will guide the decision. In general, the key statistics are those that define the objective of the formation of groups, that is</w:t>
      </w:r>
      <w:r>
        <w:t xml:space="preserve"> typically</w:t>
      </w:r>
      <w:r w:rsidRPr="006701AC">
        <w:t xml:space="preserve">, the correction for temporal bias in truck volumes. The combined DOW and monthly factor, computed for the truck-trailer combination vehicles during the months when short-term counts are taken, may well be the most </w:t>
      </w:r>
      <w:r w:rsidRPr="006701AC">
        <w:lastRenderedPageBreak/>
        <w:t>appropriate statistic to guide the group size for the interstate/arterial groups. For other groups, the single-unit truck</w:t>
      </w:r>
      <w:r>
        <w:t>s</w:t>
      </w:r>
      <w:r w:rsidRPr="006701AC">
        <w:t xml:space="preserve"> may be more appropriate.</w:t>
      </w:r>
    </w:p>
    <w:p w14:paraId="36D94F8C" w14:textId="77BAC54E" w:rsidR="003F7B9F" w:rsidRPr="006701AC" w:rsidRDefault="003F7B9F" w:rsidP="00A35EAF">
      <w:pPr>
        <w:pStyle w:val="BodyText"/>
      </w:pPr>
      <w:r w:rsidRPr="006701AC">
        <w:t>If counts are routinely taken over a nine-month period, the one month with the most variable monthly adjustment factor (among those nine months) should be used to determine the variability of the adjustment factors and should thus be used to determine the total sample size desired. In that way, factors computed for any other month have higher precision.</w:t>
      </w:r>
      <w:r w:rsidRPr="001C0B6D">
        <w:rPr>
          <w:rFonts w:eastAsia="MS Mincho"/>
        </w:rPr>
        <w:t xml:space="preserve"> </w:t>
      </w:r>
    </w:p>
    <w:p w14:paraId="49CD81B4" w14:textId="77777777" w:rsidR="003F7B9F" w:rsidRPr="00A119E0" w:rsidRDefault="003F7B9F" w:rsidP="00A119E0">
      <w:pPr>
        <w:pStyle w:val="CallOut"/>
      </w:pPr>
      <w:r w:rsidRPr="00A119E0">
        <w:t>For most factor groups, at least six continuous counters should be included within each factor group.</w:t>
      </w:r>
    </w:p>
    <w:p w14:paraId="6BF5BA0B" w14:textId="77777777" w:rsidR="003F7B9F" w:rsidRPr="006701AC" w:rsidRDefault="003F7B9F" w:rsidP="00A35EAF">
      <w:pPr>
        <w:pStyle w:val="BodyText"/>
      </w:pPr>
      <w:r w:rsidRPr="006701AC">
        <w:t>If it is assumed that some counters will fail each year because of equipment, communications, or other problems, a margin of safety may be achieved by adding additional counters.</w:t>
      </w:r>
    </w:p>
    <w:p w14:paraId="4CEF282A" w14:textId="77777777" w:rsidR="003F7B9F" w:rsidRPr="00517F7A" w:rsidRDefault="003F7B9F">
      <w:pPr>
        <w:pStyle w:val="Heading4"/>
      </w:pPr>
      <w:bookmarkStart w:id="1820" w:name="Collect_Additional_Data_and_Refine_the_E"/>
      <w:bookmarkStart w:id="1821" w:name="_Toc324246150"/>
      <w:bookmarkStart w:id="1822" w:name="_Toc324780172"/>
      <w:bookmarkStart w:id="1823" w:name="_Toc335302456"/>
      <w:bookmarkStart w:id="1824" w:name="_Toc45604651"/>
      <w:bookmarkStart w:id="1825" w:name="_Toc63977891"/>
      <w:bookmarkStart w:id="1826" w:name="_Toc63982639"/>
      <w:bookmarkStart w:id="1827" w:name="_Toc68190206"/>
      <w:bookmarkStart w:id="1828" w:name="_Toc118205634"/>
      <w:r w:rsidRPr="00517F7A">
        <w:t>Collect Additional Data and Refine the Established Process</w:t>
      </w:r>
      <w:bookmarkEnd w:id="1820"/>
      <w:bookmarkEnd w:id="1821"/>
      <w:bookmarkEnd w:id="1822"/>
      <w:bookmarkEnd w:id="1823"/>
      <w:bookmarkEnd w:id="1824"/>
      <w:bookmarkEnd w:id="1825"/>
      <w:bookmarkEnd w:id="1826"/>
      <w:bookmarkEnd w:id="1827"/>
      <w:bookmarkEnd w:id="1828"/>
    </w:p>
    <w:p w14:paraId="0DE4A9F4" w14:textId="77777777" w:rsidR="003F7B9F" w:rsidRPr="006701AC" w:rsidRDefault="003F7B9F" w:rsidP="00A35EAF">
      <w:pPr>
        <w:pStyle w:val="BodyText"/>
      </w:pPr>
      <w:r w:rsidRPr="006701AC">
        <w:t xml:space="preserve">States are encouraged to convert as many of their continuous counters to classification as possible and to analyze the available data to understand individual vehicle travel patterns and variation. A substantial continuous vehicle classification program allows States to refine the classification count factoring process as needed. The addition of new continuous count locations allows the comparison of newly measured truck travel patterns with previously known patterns. This is true even for the road-specific factoring procedure since traffic patterns along a road can change dramatically from one section to another. One way of adding new count locations is to move counter locations when equipment or sensors fail and need replacement at an existing continuous site. </w:t>
      </w:r>
    </w:p>
    <w:p w14:paraId="1858AF30" w14:textId="77777777" w:rsidR="003F7B9F" w:rsidRPr="006701AC" w:rsidRDefault="003F7B9F" w:rsidP="00A35EAF">
      <w:pPr>
        <w:pStyle w:val="BodyText"/>
      </w:pPr>
      <w:r w:rsidRPr="006701AC">
        <w:t>If a new data collection site fits well within the expected group pattern, that site can be incorporated into the factor group. However, if a new site shows a truck travel pattern that does not fit within the expected group pattern, a reassessment of the truck volume factoring procedures may be appropriate. Modifications include moving specific roads or road sections from one factor group to another, creating new factor groups, and even revising the entire classification factoring process.</w:t>
      </w:r>
    </w:p>
    <w:p w14:paraId="1D458B19" w14:textId="2E16051D" w:rsidR="003F7B9F" w:rsidRPr="006701AC" w:rsidRDefault="003F7B9F" w:rsidP="00A35EAF">
      <w:pPr>
        <w:pStyle w:val="BodyText"/>
      </w:pPr>
      <w:r w:rsidRPr="006701AC">
        <w:t xml:space="preserve">The factoring process should be reviewed periodically to ensure that it is performing as intended. For the first few years after initial development or until the process has matured, these evaluations should be conducted every year. After that, the classification process should be reviewed every </w:t>
      </w:r>
      <w:r w:rsidR="00B0728A">
        <w:t>3</w:t>
      </w:r>
      <w:r w:rsidRPr="006701AC">
        <w:t xml:space="preserve"> years (or the same review cycle used for the AADT group factor process).</w:t>
      </w:r>
    </w:p>
    <w:p w14:paraId="0FF5FC93" w14:textId="6A53839F" w:rsidR="003F7B9F" w:rsidRPr="00517F7A" w:rsidRDefault="003F7B9F">
      <w:pPr>
        <w:pStyle w:val="Heading3"/>
      </w:pPr>
      <w:bookmarkStart w:id="1829" w:name="_Toc68190207"/>
      <w:bookmarkStart w:id="1830" w:name="_Toc118205635"/>
      <w:bookmarkStart w:id="1831" w:name="_Hlk50715167"/>
      <w:r w:rsidRPr="00517F7A">
        <w:t>Step 7 Compute Final Group Temporal Adjustment Factors</w:t>
      </w:r>
      <w:bookmarkEnd w:id="1829"/>
      <w:bookmarkEnd w:id="1830"/>
    </w:p>
    <w:p w14:paraId="6AE7599C" w14:textId="77777777" w:rsidR="003F7B9F" w:rsidRPr="006701AC" w:rsidRDefault="003F7B9F" w:rsidP="00A35EAF">
      <w:pPr>
        <w:pStyle w:val="BodyText"/>
      </w:pPr>
      <w:r w:rsidRPr="006701AC">
        <w:t xml:space="preserve">Current practice </w:t>
      </w:r>
      <w:r w:rsidRPr="005576C5">
        <w:t xml:space="preserve">applies temporal adjustments </w:t>
      </w:r>
      <w:r w:rsidRPr="006701AC">
        <w:t xml:space="preserve">to the total volume and then estimates volumes for vehicle types using the observed classification proportions. This </w:t>
      </w:r>
      <w:r>
        <w:t>approach works</w:t>
      </w:r>
      <w:r w:rsidRPr="006701AC">
        <w:t xml:space="preserve"> if the seasonal traffic volume patterns of individual vehicle types </w:t>
      </w:r>
      <w:r>
        <w:t>are</w:t>
      </w:r>
      <w:r w:rsidRPr="006701AC">
        <w:t xml:space="preserve"> the same as the total volume profile. Otherwise, traffic volume for some vehicle types will be under-estimated or over-estimated.</w:t>
      </w:r>
    </w:p>
    <w:p w14:paraId="48659714" w14:textId="6D780246" w:rsidR="003F7B9F" w:rsidRPr="006701AC" w:rsidRDefault="003F7B9F" w:rsidP="00A35EAF">
      <w:pPr>
        <w:pStyle w:val="BodyText"/>
      </w:pPr>
      <w:r w:rsidRPr="006701AC">
        <w:t>A more accurate and appropriate approach is to apply monthly adjustment factors individually to six aggregated FHWA vehicle classes (MC, PV, LT, BU, SU, CU). The following example shows application of adjustment factors to short-term motorcycle count sample. All other vehicle classes will follow the same procedure.</w:t>
      </w:r>
      <w:r w:rsidR="004D4172">
        <w:t xml:space="preserve"> </w:t>
      </w:r>
      <w:bookmarkStart w:id="1832" w:name="_Hlk68174716"/>
      <w:r>
        <w:t xml:space="preserve">For more information on computing temporal adjustment factors, see </w:t>
      </w:r>
      <w:r w:rsidR="00E54BD3">
        <w:t>S</w:t>
      </w:r>
      <w:r>
        <w:t>ection 3.</w:t>
      </w:r>
      <w:r w:rsidR="005A18C5">
        <w:t>1.4</w:t>
      </w:r>
      <w:r>
        <w:t>.</w:t>
      </w:r>
    </w:p>
    <w:bookmarkEnd w:id="1831"/>
    <w:bookmarkEnd w:id="1832"/>
    <w:p w14:paraId="7C61B932" w14:textId="3A307467" w:rsidR="003F7B9F" w:rsidRPr="000F2A7A" w:rsidRDefault="003F7B9F" w:rsidP="00A35EAF">
      <w:pPr>
        <w:pStyle w:val="BodyText"/>
        <w:rPr>
          <w:rStyle w:val="SubtleEmphasis"/>
          <w:rFonts w:ascii="Cambria" w:hAnsi="Cambria"/>
          <w:color w:val="auto"/>
          <w:sz w:val="22"/>
          <w:szCs w:val="22"/>
        </w:rPr>
      </w:pPr>
      <w:r w:rsidRPr="000F2A7A">
        <w:rPr>
          <w:rStyle w:val="SubtleEmphasis"/>
          <w:rFonts w:ascii="Cambria" w:hAnsi="Cambria"/>
          <w:color w:val="auto"/>
          <w:sz w:val="22"/>
          <w:szCs w:val="22"/>
        </w:rPr>
        <w:t>Example of Applying Adjustment Factors to Motorcycles</w:t>
      </w:r>
    </w:p>
    <w:p w14:paraId="4C0AB8B0" w14:textId="61A9FB36" w:rsidR="003F7B9F" w:rsidRPr="006701AC" w:rsidRDefault="003F7B9F" w:rsidP="00A35EAF">
      <w:pPr>
        <w:pStyle w:val="BodyText"/>
      </w:pPr>
      <w:r w:rsidRPr="006701AC">
        <w:t xml:space="preserve">The </w:t>
      </w:r>
      <w:r w:rsidR="00E54BD3">
        <w:t>DOW</w:t>
      </w:r>
      <w:r w:rsidRPr="006701AC">
        <w:t xml:space="preserve"> traffic pattern for motorcycles differs from that of other vehicle types, so short-term counts for motorcycles should be factored</w:t>
      </w:r>
      <w:r>
        <w:t xml:space="preserve"> separately</w:t>
      </w:r>
      <w:r w:rsidRPr="006701AC">
        <w:t xml:space="preserve">. The </w:t>
      </w:r>
      <w:r w:rsidRPr="006701AC">
        <w:rPr>
          <w:i/>
        </w:rPr>
        <w:t>TMG</w:t>
      </w:r>
      <w:r w:rsidRPr="006701AC">
        <w:t xml:space="preserve"> allows flexibility in the creation of DOW factors. It suggests that factors may be computed on an individual basis (seven daily factors) or as combined weekday and weekend factors. The definition of “weekday” and “weekend” is a function of traffic patterns. In urban areas, Fridays are more similar to weekdays than weekends. In some rural areas, they are closer to weekends. It is also permissible to treat weekdays as Monday – Thursday; treat weekends as Saturday and Sunday and treat Fridays as a third factor adjustment group. </w:t>
      </w:r>
    </w:p>
    <w:p w14:paraId="525C05CA" w14:textId="700B9208" w:rsidR="003F7B9F" w:rsidRPr="006701AC" w:rsidRDefault="003F7B9F" w:rsidP="00A35EAF">
      <w:pPr>
        <w:pStyle w:val="BodyText"/>
      </w:pPr>
      <w:r w:rsidRPr="006701AC">
        <w:t xml:space="preserve">In practice, few short-term counts are taken on weekends, unless the State performs seven-day short-term counts, so the only data available for weekends are from continuous traffic counters and classifiers. This is a problem for </w:t>
      </w:r>
      <w:r w:rsidR="00472990">
        <w:rPr>
          <w:noProof/>
        </w:rPr>
        <w:lastRenderedPageBreak/>
        <mc:AlternateContent>
          <mc:Choice Requires="wps">
            <w:drawing>
              <wp:anchor distT="45720" distB="45720" distL="114300" distR="114300" simplePos="0" relativeHeight="251705344" behindDoc="0" locked="0" layoutInCell="1" allowOverlap="1" wp14:anchorId="63A58632" wp14:editId="1E824C66">
                <wp:simplePos x="0" y="0"/>
                <wp:positionH relativeFrom="margin">
                  <wp:posOffset>3970655</wp:posOffset>
                </wp:positionH>
                <wp:positionV relativeFrom="paragraph">
                  <wp:posOffset>16510</wp:posOffset>
                </wp:positionV>
                <wp:extent cx="1997710" cy="3017520"/>
                <wp:effectExtent l="0" t="0" r="2540" b="0"/>
                <wp:wrapSquare wrapText="bothSides"/>
                <wp:docPr id="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7710" cy="3017520"/>
                        </a:xfrm>
                        <a:prstGeom prst="rect">
                          <a:avLst/>
                        </a:prstGeom>
                        <a:solidFill>
                          <a:srgbClr val="FFFFFF"/>
                        </a:solidFill>
                        <a:ln w="9525">
                          <a:noFill/>
                          <a:miter lim="800000"/>
                          <a:headEnd/>
                          <a:tailEnd/>
                        </a:ln>
                      </wps:spPr>
                      <wps:txbx>
                        <w:txbxContent>
                          <w:p w14:paraId="6EB816C4" w14:textId="303466F9" w:rsidR="00472990" w:rsidRDefault="00472990" w:rsidP="00472990">
                            <w:pPr>
                              <w:pStyle w:val="TMGTableCaption"/>
                              <w:spacing w:before="0"/>
                            </w:pPr>
                            <w:bookmarkStart w:id="1833" w:name="_Ref114750000"/>
                            <w:bookmarkStart w:id="1834" w:name="_Toc120631133"/>
                            <w:r>
                              <w:t xml:space="preserve">Table </w:t>
                            </w:r>
                            <w:fldSimple w:instr=" STYLEREF 1 \s ">
                              <w:r w:rsidR="00FC0E95">
                                <w:rPr>
                                  <w:noProof/>
                                </w:rPr>
                                <w:t>3</w:t>
                              </w:r>
                            </w:fldSimple>
                            <w:r>
                              <w:noBreakHyphen/>
                            </w:r>
                            <w:fldSimple w:instr=" SEQ Table \* ARABIC \s 1 ">
                              <w:r w:rsidR="00FC0E95">
                                <w:rPr>
                                  <w:noProof/>
                                </w:rPr>
                                <w:t>7</w:t>
                              </w:r>
                            </w:fldSimple>
                            <w:bookmarkEnd w:id="1833"/>
                            <w:r w:rsidR="00E34EB1">
                              <w:rPr>
                                <w:noProof/>
                              </w:rPr>
                              <w:t>.</w:t>
                            </w:r>
                            <w:r>
                              <w:t xml:space="preserve"> </w:t>
                            </w:r>
                            <w:r w:rsidRPr="00900CD7">
                              <w:t>Motorcycle Traffic Volume Estimation</w:t>
                            </w:r>
                            <w:bookmarkEnd w:id="1834"/>
                          </w:p>
                          <w:tbl>
                            <w:tblPr>
                              <w:tblStyle w:val="TableGrid"/>
                              <w:tblW w:w="0" w:type="auto"/>
                              <w:tblCellMar>
                                <w:left w:w="86" w:type="dxa"/>
                                <w:right w:w="86" w:type="dxa"/>
                              </w:tblCellMar>
                              <w:tblLook w:val="04A0" w:firstRow="1" w:lastRow="0" w:firstColumn="1" w:lastColumn="0" w:noHBand="0" w:noVBand="1"/>
                            </w:tblPr>
                            <w:tblGrid>
                              <w:gridCol w:w="1260"/>
                              <w:gridCol w:w="928"/>
                              <w:gridCol w:w="883"/>
                            </w:tblGrid>
                            <w:tr w:rsidR="00472990" w14:paraId="04AD884A" w14:textId="77777777" w:rsidTr="00472990">
                              <w:tc>
                                <w:tcPr>
                                  <w:tcW w:w="1260" w:type="dxa"/>
                                  <w:tcBorders>
                                    <w:right w:val="single" w:sz="4" w:space="0" w:color="FFFFFF" w:themeColor="background1"/>
                                  </w:tcBorders>
                                  <w:shd w:val="clear" w:color="auto" w:fill="1F3864"/>
                                  <w:vAlign w:val="center"/>
                                </w:tcPr>
                                <w:p w14:paraId="46CF171B" w14:textId="77777777" w:rsidR="00472990" w:rsidRDefault="00472990" w:rsidP="0017389B">
                                  <w:pPr>
                                    <w:pStyle w:val="TMGTableTextHeader"/>
                                  </w:pPr>
                                  <w:r w:rsidRPr="004859C8">
                                    <w:rPr>
                                      <w:rFonts w:eastAsia="MS Mincho"/>
                                    </w:rPr>
                                    <w:t>Month</w:t>
                                  </w:r>
                                </w:p>
                              </w:tc>
                              <w:tc>
                                <w:tcPr>
                                  <w:tcW w:w="928" w:type="dxa"/>
                                  <w:tcBorders>
                                    <w:left w:val="single" w:sz="4" w:space="0" w:color="FFFFFF" w:themeColor="background1"/>
                                    <w:right w:val="single" w:sz="4" w:space="0" w:color="FFFFFF" w:themeColor="background1"/>
                                  </w:tcBorders>
                                  <w:shd w:val="clear" w:color="auto" w:fill="1F3864"/>
                                  <w:vAlign w:val="center"/>
                                </w:tcPr>
                                <w:p w14:paraId="11B63A6F" w14:textId="77777777" w:rsidR="00472990" w:rsidRDefault="00472990" w:rsidP="0017389B">
                                  <w:pPr>
                                    <w:pStyle w:val="TMGTableTextHeader"/>
                                  </w:pPr>
                                  <w:r w:rsidRPr="004859C8">
                                    <w:rPr>
                                      <w:rFonts w:eastAsia="MS Mincho"/>
                                    </w:rPr>
                                    <w:t>MADT</w:t>
                                  </w:r>
                                </w:p>
                              </w:tc>
                              <w:tc>
                                <w:tcPr>
                                  <w:tcW w:w="883" w:type="dxa"/>
                                  <w:tcBorders>
                                    <w:left w:val="single" w:sz="4" w:space="0" w:color="FFFFFF" w:themeColor="background1"/>
                                  </w:tcBorders>
                                  <w:shd w:val="clear" w:color="auto" w:fill="1F3864"/>
                                  <w:vAlign w:val="center"/>
                                </w:tcPr>
                                <w:p w14:paraId="16EC5CB7" w14:textId="77777777" w:rsidR="00472990" w:rsidRDefault="00472990" w:rsidP="0017389B">
                                  <w:pPr>
                                    <w:pStyle w:val="TMGTableTextHeader"/>
                                  </w:pPr>
                                  <w:r w:rsidRPr="004859C8">
                                    <w:rPr>
                                      <w:rFonts w:eastAsia="MS Mincho"/>
                                    </w:rPr>
                                    <w:t>Monthly Factor</w:t>
                                  </w:r>
                                </w:p>
                              </w:tc>
                            </w:tr>
                            <w:tr w:rsidR="00472990" w14:paraId="71A9EBA2" w14:textId="77777777" w:rsidTr="00472990">
                              <w:tc>
                                <w:tcPr>
                                  <w:tcW w:w="1260" w:type="dxa"/>
                                </w:tcPr>
                                <w:p w14:paraId="10522E04" w14:textId="77777777" w:rsidR="00472990" w:rsidRDefault="00472990" w:rsidP="00917D58">
                                  <w:pPr>
                                    <w:pStyle w:val="TMGTableText"/>
                                    <w:spacing w:before="10" w:after="10"/>
                                    <w:ind w:left="0"/>
                                  </w:pPr>
                                  <w:r w:rsidRPr="004859C8">
                                    <w:t>January</w:t>
                                  </w:r>
                                </w:p>
                              </w:tc>
                              <w:tc>
                                <w:tcPr>
                                  <w:tcW w:w="928" w:type="dxa"/>
                                  <w:vAlign w:val="center"/>
                                </w:tcPr>
                                <w:p w14:paraId="3BBC0C98" w14:textId="77777777" w:rsidR="00472990" w:rsidRDefault="00472990" w:rsidP="00EC03C5">
                                  <w:pPr>
                                    <w:pStyle w:val="TMGTableText"/>
                                    <w:spacing w:before="10" w:after="10"/>
                                    <w:ind w:left="0"/>
                                    <w:jc w:val="center"/>
                                  </w:pPr>
                                  <w:r w:rsidRPr="006701AC">
                                    <w:t>47,376</w:t>
                                  </w:r>
                                </w:p>
                              </w:tc>
                              <w:tc>
                                <w:tcPr>
                                  <w:tcW w:w="883" w:type="dxa"/>
                                  <w:vAlign w:val="center"/>
                                </w:tcPr>
                                <w:p w14:paraId="383C0573" w14:textId="77777777" w:rsidR="00472990" w:rsidRDefault="00472990" w:rsidP="00EC03C5">
                                  <w:pPr>
                                    <w:pStyle w:val="TMGTableText"/>
                                    <w:spacing w:before="10" w:after="10"/>
                                    <w:ind w:left="0"/>
                                    <w:jc w:val="center"/>
                                  </w:pPr>
                                  <w:r w:rsidRPr="006701AC">
                                    <w:t>1.05</w:t>
                                  </w:r>
                                </w:p>
                              </w:tc>
                            </w:tr>
                            <w:tr w:rsidR="00472990" w14:paraId="64F1EF4D" w14:textId="77777777" w:rsidTr="00472990">
                              <w:tc>
                                <w:tcPr>
                                  <w:tcW w:w="1260" w:type="dxa"/>
                                </w:tcPr>
                                <w:p w14:paraId="1EC1A468" w14:textId="77777777" w:rsidR="00472990" w:rsidRDefault="00472990" w:rsidP="00917D58">
                                  <w:pPr>
                                    <w:pStyle w:val="TMGTableText"/>
                                    <w:spacing w:before="10" w:after="10"/>
                                    <w:ind w:left="0"/>
                                  </w:pPr>
                                  <w:r w:rsidRPr="004859C8">
                                    <w:t>February</w:t>
                                  </w:r>
                                </w:p>
                              </w:tc>
                              <w:tc>
                                <w:tcPr>
                                  <w:tcW w:w="928" w:type="dxa"/>
                                  <w:vAlign w:val="center"/>
                                </w:tcPr>
                                <w:p w14:paraId="05CCFBAF" w14:textId="77777777" w:rsidR="00472990" w:rsidRDefault="00472990" w:rsidP="00EC03C5">
                                  <w:pPr>
                                    <w:pStyle w:val="TMGTableText"/>
                                    <w:spacing w:before="10" w:after="10"/>
                                    <w:ind w:left="0"/>
                                    <w:jc w:val="center"/>
                                  </w:pPr>
                                  <w:r w:rsidRPr="006701AC">
                                    <w:t>45,285</w:t>
                                  </w:r>
                                </w:p>
                              </w:tc>
                              <w:tc>
                                <w:tcPr>
                                  <w:tcW w:w="883" w:type="dxa"/>
                                  <w:vAlign w:val="center"/>
                                </w:tcPr>
                                <w:p w14:paraId="23E00A25" w14:textId="77777777" w:rsidR="00472990" w:rsidRDefault="00472990" w:rsidP="00EC03C5">
                                  <w:pPr>
                                    <w:pStyle w:val="TMGTableText"/>
                                    <w:spacing w:before="10" w:after="10"/>
                                    <w:ind w:left="0"/>
                                    <w:jc w:val="center"/>
                                  </w:pPr>
                                  <w:r w:rsidRPr="006701AC">
                                    <w:t>1.10</w:t>
                                  </w:r>
                                </w:p>
                              </w:tc>
                            </w:tr>
                            <w:tr w:rsidR="00472990" w14:paraId="6ECD0266" w14:textId="77777777" w:rsidTr="00472990">
                              <w:tc>
                                <w:tcPr>
                                  <w:tcW w:w="1260" w:type="dxa"/>
                                </w:tcPr>
                                <w:p w14:paraId="30765037" w14:textId="77777777" w:rsidR="00472990" w:rsidRDefault="00472990" w:rsidP="00917D58">
                                  <w:pPr>
                                    <w:pStyle w:val="TMGTableText"/>
                                    <w:spacing w:before="10" w:after="10"/>
                                    <w:ind w:left="0"/>
                                  </w:pPr>
                                  <w:r w:rsidRPr="004859C8">
                                    <w:t>March</w:t>
                                  </w:r>
                                </w:p>
                              </w:tc>
                              <w:tc>
                                <w:tcPr>
                                  <w:tcW w:w="928" w:type="dxa"/>
                                  <w:vAlign w:val="center"/>
                                </w:tcPr>
                                <w:p w14:paraId="45F00F65" w14:textId="77777777" w:rsidR="00472990" w:rsidRDefault="00472990" w:rsidP="00EC03C5">
                                  <w:pPr>
                                    <w:pStyle w:val="TMGTableText"/>
                                    <w:spacing w:before="10" w:after="10"/>
                                    <w:ind w:left="0"/>
                                    <w:jc w:val="center"/>
                                  </w:pPr>
                                  <w:r w:rsidRPr="006701AC">
                                    <w:t>50,574</w:t>
                                  </w:r>
                                </w:p>
                              </w:tc>
                              <w:tc>
                                <w:tcPr>
                                  <w:tcW w:w="883" w:type="dxa"/>
                                  <w:vAlign w:val="center"/>
                                </w:tcPr>
                                <w:p w14:paraId="258B5F20" w14:textId="77777777" w:rsidR="00472990" w:rsidRDefault="00472990" w:rsidP="00EC03C5">
                                  <w:pPr>
                                    <w:pStyle w:val="TMGTableText"/>
                                    <w:spacing w:before="10" w:after="10"/>
                                    <w:ind w:left="0"/>
                                    <w:jc w:val="center"/>
                                  </w:pPr>
                                  <w:r w:rsidRPr="006701AC">
                                    <w:t>0.99</w:t>
                                  </w:r>
                                </w:p>
                              </w:tc>
                            </w:tr>
                            <w:tr w:rsidR="00472990" w14:paraId="48DBAD55" w14:textId="77777777" w:rsidTr="00472990">
                              <w:tc>
                                <w:tcPr>
                                  <w:tcW w:w="1260" w:type="dxa"/>
                                </w:tcPr>
                                <w:p w14:paraId="49E1F099" w14:textId="77777777" w:rsidR="00472990" w:rsidRDefault="00472990" w:rsidP="00917D58">
                                  <w:pPr>
                                    <w:pStyle w:val="TMGTableText"/>
                                    <w:spacing w:before="10" w:after="10"/>
                                    <w:ind w:left="0"/>
                                  </w:pPr>
                                  <w:r w:rsidRPr="004859C8">
                                    <w:t>April</w:t>
                                  </w:r>
                                </w:p>
                              </w:tc>
                              <w:tc>
                                <w:tcPr>
                                  <w:tcW w:w="928" w:type="dxa"/>
                                  <w:vAlign w:val="center"/>
                                </w:tcPr>
                                <w:p w14:paraId="7BD80CFF" w14:textId="77777777" w:rsidR="00472990" w:rsidRDefault="00472990" w:rsidP="00EC03C5">
                                  <w:pPr>
                                    <w:pStyle w:val="TMGTableText"/>
                                    <w:spacing w:before="10" w:after="10"/>
                                    <w:ind w:left="0"/>
                                    <w:jc w:val="center"/>
                                  </w:pPr>
                                  <w:r w:rsidRPr="006701AC">
                                    <w:t>51,040</w:t>
                                  </w:r>
                                </w:p>
                              </w:tc>
                              <w:tc>
                                <w:tcPr>
                                  <w:tcW w:w="883" w:type="dxa"/>
                                  <w:vAlign w:val="center"/>
                                </w:tcPr>
                                <w:p w14:paraId="2A7796A9" w14:textId="77777777" w:rsidR="00472990" w:rsidRDefault="00472990" w:rsidP="00EC03C5">
                                  <w:pPr>
                                    <w:pStyle w:val="TMGTableText"/>
                                    <w:spacing w:before="10" w:after="10"/>
                                    <w:ind w:left="0"/>
                                    <w:jc w:val="center"/>
                                  </w:pPr>
                                  <w:r w:rsidRPr="006701AC">
                                    <w:t>0.98</w:t>
                                  </w:r>
                                </w:p>
                              </w:tc>
                            </w:tr>
                            <w:tr w:rsidR="00472990" w14:paraId="5CA7CD03" w14:textId="77777777" w:rsidTr="00472990">
                              <w:tc>
                                <w:tcPr>
                                  <w:tcW w:w="1260" w:type="dxa"/>
                                </w:tcPr>
                                <w:p w14:paraId="2E956AD9" w14:textId="77777777" w:rsidR="00472990" w:rsidRDefault="00472990" w:rsidP="00917D58">
                                  <w:pPr>
                                    <w:pStyle w:val="TMGTableText"/>
                                    <w:spacing w:before="10" w:after="10"/>
                                    <w:ind w:left="0"/>
                                  </w:pPr>
                                  <w:r w:rsidRPr="004859C8">
                                    <w:t>May</w:t>
                                  </w:r>
                                </w:p>
                              </w:tc>
                              <w:tc>
                                <w:tcPr>
                                  <w:tcW w:w="928" w:type="dxa"/>
                                  <w:vAlign w:val="center"/>
                                </w:tcPr>
                                <w:p w14:paraId="3530DFEC" w14:textId="77777777" w:rsidR="00472990" w:rsidRDefault="00472990" w:rsidP="00EC03C5">
                                  <w:pPr>
                                    <w:pStyle w:val="TMGTableText"/>
                                    <w:spacing w:before="10" w:after="10"/>
                                    <w:ind w:left="0"/>
                                    <w:jc w:val="center"/>
                                  </w:pPr>
                                  <w:r w:rsidRPr="006701AC">
                                    <w:t>51,662</w:t>
                                  </w:r>
                                </w:p>
                              </w:tc>
                              <w:tc>
                                <w:tcPr>
                                  <w:tcW w:w="883" w:type="dxa"/>
                                  <w:vAlign w:val="center"/>
                                </w:tcPr>
                                <w:p w14:paraId="2F0B3973" w14:textId="77777777" w:rsidR="00472990" w:rsidRDefault="00472990" w:rsidP="00EC03C5">
                                  <w:pPr>
                                    <w:pStyle w:val="TMGTableText"/>
                                    <w:spacing w:before="10" w:after="10"/>
                                    <w:ind w:left="0"/>
                                    <w:jc w:val="center"/>
                                  </w:pPr>
                                  <w:r w:rsidRPr="006701AC">
                                    <w:t>0.97</w:t>
                                  </w:r>
                                </w:p>
                              </w:tc>
                            </w:tr>
                            <w:tr w:rsidR="00472990" w14:paraId="0EB13781" w14:textId="77777777" w:rsidTr="00472990">
                              <w:tc>
                                <w:tcPr>
                                  <w:tcW w:w="1260" w:type="dxa"/>
                                </w:tcPr>
                                <w:p w14:paraId="2C70DCEF" w14:textId="77777777" w:rsidR="00472990" w:rsidRDefault="00472990" w:rsidP="00917D58">
                                  <w:pPr>
                                    <w:pStyle w:val="TMGTableText"/>
                                    <w:spacing w:before="10" w:after="10"/>
                                    <w:ind w:left="0"/>
                                  </w:pPr>
                                  <w:r w:rsidRPr="004859C8">
                                    <w:t>June</w:t>
                                  </w:r>
                                </w:p>
                              </w:tc>
                              <w:tc>
                                <w:tcPr>
                                  <w:tcW w:w="928" w:type="dxa"/>
                                  <w:vAlign w:val="center"/>
                                </w:tcPr>
                                <w:p w14:paraId="00D8856F" w14:textId="77777777" w:rsidR="00472990" w:rsidRDefault="00472990" w:rsidP="00EC03C5">
                                  <w:pPr>
                                    <w:pStyle w:val="TMGTableText"/>
                                    <w:spacing w:before="10" w:after="10"/>
                                    <w:ind w:left="0"/>
                                    <w:jc w:val="center"/>
                                  </w:pPr>
                                  <w:r w:rsidRPr="006701AC">
                                    <w:t>52,320</w:t>
                                  </w:r>
                                </w:p>
                              </w:tc>
                              <w:tc>
                                <w:tcPr>
                                  <w:tcW w:w="883" w:type="dxa"/>
                                  <w:vAlign w:val="center"/>
                                </w:tcPr>
                                <w:p w14:paraId="0D83A72E" w14:textId="77777777" w:rsidR="00472990" w:rsidRDefault="00472990" w:rsidP="00EC03C5">
                                  <w:pPr>
                                    <w:pStyle w:val="TMGTableText"/>
                                    <w:spacing w:before="10" w:after="10"/>
                                    <w:ind w:left="0"/>
                                    <w:jc w:val="center"/>
                                  </w:pPr>
                                  <w:r w:rsidRPr="006701AC">
                                    <w:t>0.95</w:t>
                                  </w:r>
                                </w:p>
                              </w:tc>
                            </w:tr>
                            <w:tr w:rsidR="00472990" w14:paraId="1F54C262" w14:textId="77777777" w:rsidTr="00472990">
                              <w:tc>
                                <w:tcPr>
                                  <w:tcW w:w="1260" w:type="dxa"/>
                                </w:tcPr>
                                <w:p w14:paraId="3FAAF9C9" w14:textId="77777777" w:rsidR="00472990" w:rsidRDefault="00472990" w:rsidP="00917D58">
                                  <w:pPr>
                                    <w:pStyle w:val="TMGTableText"/>
                                    <w:spacing w:before="10" w:after="10"/>
                                    <w:ind w:left="0"/>
                                  </w:pPr>
                                  <w:r w:rsidRPr="004859C8">
                                    <w:t>July</w:t>
                                  </w:r>
                                </w:p>
                              </w:tc>
                              <w:tc>
                                <w:tcPr>
                                  <w:tcW w:w="928" w:type="dxa"/>
                                  <w:vAlign w:val="center"/>
                                </w:tcPr>
                                <w:p w14:paraId="1D3D72C5" w14:textId="77777777" w:rsidR="00472990" w:rsidRDefault="00472990" w:rsidP="00EC03C5">
                                  <w:pPr>
                                    <w:pStyle w:val="TMGTableText"/>
                                    <w:spacing w:before="10" w:after="10"/>
                                    <w:ind w:left="0"/>
                                    <w:jc w:val="center"/>
                                  </w:pPr>
                                  <w:r w:rsidRPr="006701AC">
                                    <w:t>51,320</w:t>
                                  </w:r>
                                </w:p>
                              </w:tc>
                              <w:tc>
                                <w:tcPr>
                                  <w:tcW w:w="883" w:type="dxa"/>
                                  <w:vAlign w:val="center"/>
                                </w:tcPr>
                                <w:p w14:paraId="5968AA29" w14:textId="77777777" w:rsidR="00472990" w:rsidRDefault="00472990" w:rsidP="00EC03C5">
                                  <w:pPr>
                                    <w:pStyle w:val="TMGTableText"/>
                                    <w:spacing w:before="10" w:after="10"/>
                                    <w:ind w:left="0"/>
                                    <w:jc w:val="center"/>
                                  </w:pPr>
                                  <w:r w:rsidRPr="006701AC">
                                    <w:t>0.97</w:t>
                                  </w:r>
                                </w:p>
                              </w:tc>
                            </w:tr>
                            <w:tr w:rsidR="00472990" w14:paraId="7563CE72" w14:textId="77777777" w:rsidTr="00472990">
                              <w:tc>
                                <w:tcPr>
                                  <w:tcW w:w="1260" w:type="dxa"/>
                                </w:tcPr>
                                <w:p w14:paraId="11B1FB20" w14:textId="77777777" w:rsidR="00472990" w:rsidRDefault="00472990" w:rsidP="00917D58">
                                  <w:pPr>
                                    <w:pStyle w:val="TMGTableText"/>
                                    <w:spacing w:before="10" w:after="10"/>
                                    <w:ind w:left="0"/>
                                  </w:pPr>
                                  <w:r w:rsidRPr="004859C8">
                                    <w:t>August</w:t>
                                  </w:r>
                                </w:p>
                              </w:tc>
                              <w:tc>
                                <w:tcPr>
                                  <w:tcW w:w="928" w:type="dxa"/>
                                  <w:vAlign w:val="center"/>
                                </w:tcPr>
                                <w:p w14:paraId="73FBC613" w14:textId="77777777" w:rsidR="00472990" w:rsidRDefault="00472990" w:rsidP="00EC03C5">
                                  <w:pPr>
                                    <w:pStyle w:val="TMGTableText"/>
                                    <w:spacing w:before="10" w:after="10"/>
                                    <w:ind w:left="0"/>
                                    <w:jc w:val="center"/>
                                  </w:pPr>
                                  <w:r w:rsidRPr="006701AC">
                                    <w:t>52,416</w:t>
                                  </w:r>
                                </w:p>
                              </w:tc>
                              <w:tc>
                                <w:tcPr>
                                  <w:tcW w:w="883" w:type="dxa"/>
                                  <w:vAlign w:val="center"/>
                                </w:tcPr>
                                <w:p w14:paraId="1CEAC3BC" w14:textId="77777777" w:rsidR="00472990" w:rsidRDefault="00472990" w:rsidP="00EC03C5">
                                  <w:pPr>
                                    <w:pStyle w:val="TMGTableText"/>
                                    <w:spacing w:before="10" w:after="10"/>
                                    <w:ind w:left="0"/>
                                    <w:jc w:val="center"/>
                                  </w:pPr>
                                  <w:r w:rsidRPr="006701AC">
                                    <w:t>0.95</w:t>
                                  </w:r>
                                </w:p>
                              </w:tc>
                            </w:tr>
                            <w:tr w:rsidR="00472990" w14:paraId="6C1CDCE1" w14:textId="77777777" w:rsidTr="00472990">
                              <w:tc>
                                <w:tcPr>
                                  <w:tcW w:w="1260" w:type="dxa"/>
                                </w:tcPr>
                                <w:p w14:paraId="10F3F2BD" w14:textId="77777777" w:rsidR="00472990" w:rsidRDefault="00472990" w:rsidP="00917D58">
                                  <w:pPr>
                                    <w:pStyle w:val="TMGTableText"/>
                                    <w:spacing w:before="10" w:after="10"/>
                                    <w:ind w:left="0"/>
                                  </w:pPr>
                                  <w:r w:rsidRPr="004859C8">
                                    <w:t>September</w:t>
                                  </w:r>
                                </w:p>
                              </w:tc>
                              <w:tc>
                                <w:tcPr>
                                  <w:tcW w:w="928" w:type="dxa"/>
                                  <w:vAlign w:val="center"/>
                                </w:tcPr>
                                <w:p w14:paraId="79B3F1EE" w14:textId="77777777" w:rsidR="00472990" w:rsidRDefault="00472990" w:rsidP="00EC03C5">
                                  <w:pPr>
                                    <w:pStyle w:val="TMGTableText"/>
                                    <w:spacing w:before="10" w:after="10"/>
                                    <w:ind w:left="0"/>
                                    <w:jc w:val="center"/>
                                  </w:pPr>
                                  <w:r w:rsidRPr="006701AC">
                                    <w:t>50,824</w:t>
                                  </w:r>
                                </w:p>
                              </w:tc>
                              <w:tc>
                                <w:tcPr>
                                  <w:tcW w:w="883" w:type="dxa"/>
                                  <w:vAlign w:val="center"/>
                                </w:tcPr>
                                <w:p w14:paraId="07553D49" w14:textId="77777777" w:rsidR="00472990" w:rsidRDefault="00472990" w:rsidP="00EC03C5">
                                  <w:pPr>
                                    <w:pStyle w:val="TMGTableText"/>
                                    <w:spacing w:before="10" w:after="10"/>
                                    <w:ind w:left="0"/>
                                    <w:jc w:val="center"/>
                                  </w:pPr>
                                  <w:r w:rsidRPr="006701AC">
                                    <w:t>0.98</w:t>
                                  </w:r>
                                </w:p>
                              </w:tc>
                            </w:tr>
                            <w:tr w:rsidR="00472990" w14:paraId="5B7171E3" w14:textId="77777777" w:rsidTr="00472990">
                              <w:tc>
                                <w:tcPr>
                                  <w:tcW w:w="1260" w:type="dxa"/>
                                </w:tcPr>
                                <w:p w14:paraId="2A5288E5" w14:textId="77777777" w:rsidR="00472990" w:rsidRDefault="00472990" w:rsidP="00917D58">
                                  <w:pPr>
                                    <w:pStyle w:val="TMGTableText"/>
                                    <w:spacing w:before="10" w:after="10"/>
                                    <w:ind w:left="0"/>
                                  </w:pPr>
                                  <w:r w:rsidRPr="004859C8">
                                    <w:t>October</w:t>
                                  </w:r>
                                </w:p>
                              </w:tc>
                              <w:tc>
                                <w:tcPr>
                                  <w:tcW w:w="928" w:type="dxa"/>
                                  <w:vAlign w:val="center"/>
                                </w:tcPr>
                                <w:p w14:paraId="3B5A750F" w14:textId="77777777" w:rsidR="00472990" w:rsidRDefault="00472990" w:rsidP="00EC03C5">
                                  <w:pPr>
                                    <w:pStyle w:val="TMGTableText"/>
                                    <w:spacing w:before="10" w:after="10"/>
                                    <w:ind w:left="0"/>
                                    <w:jc w:val="center"/>
                                  </w:pPr>
                                  <w:r w:rsidRPr="006701AC">
                                    <w:t>51,564</w:t>
                                  </w:r>
                                </w:p>
                              </w:tc>
                              <w:tc>
                                <w:tcPr>
                                  <w:tcW w:w="883" w:type="dxa"/>
                                  <w:vAlign w:val="center"/>
                                </w:tcPr>
                                <w:p w14:paraId="18499F50" w14:textId="77777777" w:rsidR="00472990" w:rsidRDefault="00472990" w:rsidP="00EC03C5">
                                  <w:pPr>
                                    <w:pStyle w:val="TMGTableText"/>
                                    <w:spacing w:before="10" w:after="10"/>
                                    <w:ind w:left="0"/>
                                    <w:jc w:val="center"/>
                                  </w:pPr>
                                  <w:r w:rsidRPr="006701AC">
                                    <w:t>0.97</w:t>
                                  </w:r>
                                </w:p>
                              </w:tc>
                            </w:tr>
                            <w:tr w:rsidR="00472990" w14:paraId="01DDA640" w14:textId="77777777" w:rsidTr="00472990">
                              <w:tc>
                                <w:tcPr>
                                  <w:tcW w:w="1260" w:type="dxa"/>
                                </w:tcPr>
                                <w:p w14:paraId="2A2B09A7" w14:textId="77777777" w:rsidR="00472990" w:rsidRDefault="00472990" w:rsidP="00917D58">
                                  <w:pPr>
                                    <w:pStyle w:val="TMGTableText"/>
                                    <w:spacing w:before="10" w:after="10"/>
                                    <w:ind w:left="0"/>
                                  </w:pPr>
                                  <w:r w:rsidRPr="004859C8">
                                    <w:t>November</w:t>
                                  </w:r>
                                </w:p>
                              </w:tc>
                              <w:tc>
                                <w:tcPr>
                                  <w:tcW w:w="928" w:type="dxa"/>
                                  <w:vAlign w:val="center"/>
                                </w:tcPr>
                                <w:p w14:paraId="501E0CA1" w14:textId="77777777" w:rsidR="00472990" w:rsidRDefault="00472990" w:rsidP="00EC03C5">
                                  <w:pPr>
                                    <w:pStyle w:val="TMGTableText"/>
                                    <w:spacing w:before="10" w:after="10"/>
                                    <w:ind w:left="0"/>
                                    <w:jc w:val="center"/>
                                  </w:pPr>
                                  <w:r w:rsidRPr="006701AC">
                                    <w:t>49,188</w:t>
                                  </w:r>
                                </w:p>
                              </w:tc>
                              <w:tc>
                                <w:tcPr>
                                  <w:tcW w:w="883" w:type="dxa"/>
                                  <w:vAlign w:val="center"/>
                                </w:tcPr>
                                <w:p w14:paraId="2BD768D6" w14:textId="77777777" w:rsidR="00472990" w:rsidRDefault="00472990" w:rsidP="00EC03C5">
                                  <w:pPr>
                                    <w:pStyle w:val="TMGTableText"/>
                                    <w:spacing w:before="10" w:after="10"/>
                                    <w:ind w:left="0"/>
                                    <w:jc w:val="center"/>
                                  </w:pPr>
                                  <w:r w:rsidRPr="006701AC">
                                    <w:t>1.02</w:t>
                                  </w:r>
                                </w:p>
                              </w:tc>
                            </w:tr>
                            <w:tr w:rsidR="00472990" w14:paraId="765196F5" w14:textId="77777777" w:rsidTr="00472990">
                              <w:tc>
                                <w:tcPr>
                                  <w:tcW w:w="1260" w:type="dxa"/>
                                </w:tcPr>
                                <w:p w14:paraId="2F3F83D2" w14:textId="77777777" w:rsidR="00472990" w:rsidRDefault="00472990" w:rsidP="00917D58">
                                  <w:pPr>
                                    <w:pStyle w:val="TMGTableText"/>
                                    <w:spacing w:before="10" w:after="10"/>
                                    <w:ind w:left="0"/>
                                  </w:pPr>
                                  <w:r w:rsidRPr="004859C8">
                                    <w:t>December</w:t>
                                  </w:r>
                                </w:p>
                              </w:tc>
                              <w:tc>
                                <w:tcPr>
                                  <w:tcW w:w="928" w:type="dxa"/>
                                  <w:vAlign w:val="center"/>
                                </w:tcPr>
                                <w:p w14:paraId="32B0ED54" w14:textId="77777777" w:rsidR="00472990" w:rsidRDefault="00472990" w:rsidP="00EC03C5">
                                  <w:pPr>
                                    <w:pStyle w:val="TMGTableText"/>
                                    <w:spacing w:before="10" w:after="10"/>
                                    <w:ind w:left="0"/>
                                    <w:jc w:val="center"/>
                                  </w:pPr>
                                  <w:r w:rsidRPr="006701AC">
                                    <w:t>45,806</w:t>
                                  </w:r>
                                </w:p>
                              </w:tc>
                              <w:tc>
                                <w:tcPr>
                                  <w:tcW w:w="883" w:type="dxa"/>
                                  <w:vAlign w:val="center"/>
                                </w:tcPr>
                                <w:p w14:paraId="488D786C" w14:textId="77777777" w:rsidR="00472990" w:rsidRDefault="00472990" w:rsidP="00EC03C5">
                                  <w:pPr>
                                    <w:pStyle w:val="TMGTableText"/>
                                    <w:spacing w:before="10" w:after="10"/>
                                    <w:ind w:left="0"/>
                                    <w:jc w:val="center"/>
                                  </w:pPr>
                                  <w:r w:rsidRPr="006701AC">
                                    <w:t>1.09</w:t>
                                  </w:r>
                                </w:p>
                              </w:tc>
                            </w:tr>
                            <w:tr w:rsidR="00472990" w14:paraId="741C4B48" w14:textId="77777777" w:rsidTr="00472990">
                              <w:tc>
                                <w:tcPr>
                                  <w:tcW w:w="1260" w:type="dxa"/>
                                </w:tcPr>
                                <w:p w14:paraId="33191909" w14:textId="77777777" w:rsidR="00472990" w:rsidRDefault="00472990" w:rsidP="00917D58">
                                  <w:pPr>
                                    <w:pStyle w:val="TMGTableText"/>
                                    <w:spacing w:before="10" w:after="10"/>
                                    <w:ind w:left="0"/>
                                  </w:pPr>
                                  <w:r w:rsidRPr="004859C8">
                                    <w:t>AADT</w:t>
                                  </w:r>
                                </w:p>
                              </w:tc>
                              <w:tc>
                                <w:tcPr>
                                  <w:tcW w:w="928" w:type="dxa"/>
                                  <w:vAlign w:val="center"/>
                                </w:tcPr>
                                <w:p w14:paraId="64E234A0" w14:textId="77777777" w:rsidR="00472990" w:rsidRDefault="00472990" w:rsidP="00EC03C5">
                                  <w:pPr>
                                    <w:pStyle w:val="TMGTableText"/>
                                    <w:spacing w:before="10" w:after="10"/>
                                    <w:ind w:left="0"/>
                                    <w:jc w:val="center"/>
                                  </w:pPr>
                                  <w:r w:rsidRPr="006701AC">
                                    <w:t>49,948</w:t>
                                  </w:r>
                                </w:p>
                              </w:tc>
                              <w:tc>
                                <w:tcPr>
                                  <w:tcW w:w="883" w:type="dxa"/>
                                  <w:vAlign w:val="center"/>
                                </w:tcPr>
                                <w:p w14:paraId="5509CD78" w14:textId="77777777" w:rsidR="00472990" w:rsidRDefault="00472990" w:rsidP="00EC03C5">
                                  <w:pPr>
                                    <w:pStyle w:val="TMGTableText"/>
                                    <w:spacing w:before="10" w:after="10"/>
                                    <w:ind w:left="0"/>
                                    <w:jc w:val="center"/>
                                  </w:pPr>
                                  <w:r w:rsidRPr="006701AC">
                                    <w:t>1.00</w:t>
                                  </w:r>
                                </w:p>
                              </w:tc>
                            </w:tr>
                          </w:tbl>
                          <w:p w14:paraId="274E3EFD" w14:textId="77777777" w:rsidR="00472990" w:rsidRDefault="00472990" w:rsidP="00472990"/>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3A58632" id="_x0000_s1098" type="#_x0000_t202" style="position:absolute;margin-left:312.65pt;margin-top:1.3pt;width:157.3pt;height:237.6pt;z-index:251705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" stroked="f">
                <v:textbox inset="0,0,0,0">
                  <w:txbxContent>
                    <w:p w14:paraId="6EB816C4" w14:textId="303466F9" w:rsidR="00472990" w:rsidRDefault="00472990" w:rsidP="00472990">
                      <w:pPr>
                        <w:pStyle w:val="TMGTableCaption"/>
                        <w:spacing w:before="0"/>
                      </w:pPr>
                      <w:bookmarkStart w:id="1835" w:name="_Ref114750000"/>
                      <w:bookmarkStart w:id="1836" w:name="_Toc120631133"/>
                      <w:r>
                        <w:t xml:space="preserve">Table </w:t>
                      </w:r>
                      <w:fldSimple w:instr=" STYLEREF 1 \s ">
                        <w:r w:rsidR="00FC0E95">
                          <w:rPr>
                            <w:noProof/>
                          </w:rPr>
                          <w:t>3</w:t>
                        </w:r>
                      </w:fldSimple>
                      <w:r>
                        <w:noBreakHyphen/>
                      </w:r>
                      <w:fldSimple w:instr=" SEQ Table \* ARABIC \s 1 ">
                        <w:r w:rsidR="00FC0E95">
                          <w:rPr>
                            <w:noProof/>
                          </w:rPr>
                          <w:t>7</w:t>
                        </w:r>
                      </w:fldSimple>
                      <w:bookmarkEnd w:id="1835"/>
                      <w:r w:rsidR="00E34EB1">
                        <w:rPr>
                          <w:noProof/>
                        </w:rPr>
                        <w:t>.</w:t>
                      </w:r>
                      <w:r>
                        <w:t xml:space="preserve"> </w:t>
                      </w:r>
                      <w:r w:rsidRPr="00900CD7">
                        <w:t>Motorcycle Traffic Volume Estimation</w:t>
                      </w:r>
                      <w:bookmarkEnd w:id="1836"/>
                    </w:p>
                    <w:tbl>
                      <w:tblPr>
                        <w:tblStyle w:val="TableGrid"/>
                        <w:tblW w:w="0" w:type="auto"/>
                        <w:tblCellMar>
                          <w:left w:w="86" w:type="dxa"/>
                          <w:right w:w="86" w:type="dxa"/>
                        </w:tblCellMar>
                        <w:tblLook w:val="04A0" w:firstRow="1" w:lastRow="0" w:firstColumn="1" w:lastColumn="0" w:noHBand="0" w:noVBand="1"/>
                      </w:tblPr>
                      <w:tblGrid>
                        <w:gridCol w:w="1260"/>
                        <w:gridCol w:w="928"/>
                        <w:gridCol w:w="883"/>
                      </w:tblGrid>
                      <w:tr w:rsidR="00472990" w14:paraId="04AD884A" w14:textId="77777777" w:rsidTr="00472990">
                        <w:tc>
                          <w:tcPr>
                            <w:tcW w:w="1260" w:type="dxa"/>
                            <w:tcBorders>
                              <w:right w:val="single" w:sz="4" w:space="0" w:color="FFFFFF" w:themeColor="background1"/>
                            </w:tcBorders>
                            <w:shd w:val="clear" w:color="auto" w:fill="1F3864"/>
                            <w:vAlign w:val="center"/>
                          </w:tcPr>
                          <w:p w14:paraId="46CF171B" w14:textId="77777777" w:rsidR="00472990" w:rsidRDefault="00472990" w:rsidP="0017389B">
                            <w:pPr>
                              <w:pStyle w:val="TMGTableTextHeader"/>
                            </w:pPr>
                            <w:r w:rsidRPr="004859C8">
                              <w:rPr>
                                <w:rFonts w:eastAsia="MS Mincho"/>
                              </w:rPr>
                              <w:t>Month</w:t>
                            </w:r>
                          </w:p>
                        </w:tc>
                        <w:tc>
                          <w:tcPr>
                            <w:tcW w:w="928" w:type="dxa"/>
                            <w:tcBorders>
                              <w:left w:val="single" w:sz="4" w:space="0" w:color="FFFFFF" w:themeColor="background1"/>
                              <w:right w:val="single" w:sz="4" w:space="0" w:color="FFFFFF" w:themeColor="background1"/>
                            </w:tcBorders>
                            <w:shd w:val="clear" w:color="auto" w:fill="1F3864"/>
                            <w:vAlign w:val="center"/>
                          </w:tcPr>
                          <w:p w14:paraId="11B63A6F" w14:textId="77777777" w:rsidR="00472990" w:rsidRDefault="00472990" w:rsidP="0017389B">
                            <w:pPr>
                              <w:pStyle w:val="TMGTableTextHeader"/>
                            </w:pPr>
                            <w:r w:rsidRPr="004859C8">
                              <w:rPr>
                                <w:rFonts w:eastAsia="MS Mincho"/>
                              </w:rPr>
                              <w:t>MADT</w:t>
                            </w:r>
                          </w:p>
                        </w:tc>
                        <w:tc>
                          <w:tcPr>
                            <w:tcW w:w="883" w:type="dxa"/>
                            <w:tcBorders>
                              <w:left w:val="single" w:sz="4" w:space="0" w:color="FFFFFF" w:themeColor="background1"/>
                            </w:tcBorders>
                            <w:shd w:val="clear" w:color="auto" w:fill="1F3864"/>
                            <w:vAlign w:val="center"/>
                          </w:tcPr>
                          <w:p w14:paraId="16EC5CB7" w14:textId="77777777" w:rsidR="00472990" w:rsidRDefault="00472990" w:rsidP="0017389B">
                            <w:pPr>
                              <w:pStyle w:val="TMGTableTextHeader"/>
                            </w:pPr>
                            <w:r w:rsidRPr="004859C8">
                              <w:rPr>
                                <w:rFonts w:eastAsia="MS Mincho"/>
                              </w:rPr>
                              <w:t>Monthly Factor</w:t>
                            </w:r>
                          </w:p>
                        </w:tc>
                      </w:tr>
                      <w:tr w:rsidR="00472990" w14:paraId="71A9EBA2" w14:textId="77777777" w:rsidTr="00472990">
                        <w:tc>
                          <w:tcPr>
                            <w:tcW w:w="1260" w:type="dxa"/>
                          </w:tcPr>
                          <w:p w14:paraId="10522E04" w14:textId="77777777" w:rsidR="00472990" w:rsidRDefault="00472990" w:rsidP="00917D58">
                            <w:pPr>
                              <w:pStyle w:val="TMGTableText"/>
                              <w:spacing w:before="10" w:after="10"/>
                              <w:ind w:left="0"/>
                            </w:pPr>
                            <w:r w:rsidRPr="004859C8">
                              <w:t>January</w:t>
                            </w:r>
                          </w:p>
                        </w:tc>
                        <w:tc>
                          <w:tcPr>
                            <w:tcW w:w="928" w:type="dxa"/>
                            <w:vAlign w:val="center"/>
                          </w:tcPr>
                          <w:p w14:paraId="3BBC0C98" w14:textId="77777777" w:rsidR="00472990" w:rsidRDefault="00472990" w:rsidP="00EC03C5">
                            <w:pPr>
                              <w:pStyle w:val="TMGTableText"/>
                              <w:spacing w:before="10" w:after="10"/>
                              <w:ind w:left="0"/>
                              <w:jc w:val="center"/>
                            </w:pPr>
                            <w:r w:rsidRPr="006701AC">
                              <w:t>47,376</w:t>
                            </w:r>
                          </w:p>
                        </w:tc>
                        <w:tc>
                          <w:tcPr>
                            <w:tcW w:w="883" w:type="dxa"/>
                            <w:vAlign w:val="center"/>
                          </w:tcPr>
                          <w:p w14:paraId="383C0573" w14:textId="77777777" w:rsidR="00472990" w:rsidRDefault="00472990" w:rsidP="00EC03C5">
                            <w:pPr>
                              <w:pStyle w:val="TMGTableText"/>
                              <w:spacing w:before="10" w:after="10"/>
                              <w:ind w:left="0"/>
                              <w:jc w:val="center"/>
                            </w:pPr>
                            <w:r w:rsidRPr="006701AC">
                              <w:t>1.05</w:t>
                            </w:r>
                          </w:p>
                        </w:tc>
                      </w:tr>
                      <w:tr w:rsidR="00472990" w14:paraId="64F1EF4D" w14:textId="77777777" w:rsidTr="00472990">
                        <w:tc>
                          <w:tcPr>
                            <w:tcW w:w="1260" w:type="dxa"/>
                          </w:tcPr>
                          <w:p w14:paraId="1EC1A468" w14:textId="77777777" w:rsidR="00472990" w:rsidRDefault="00472990" w:rsidP="00917D58">
                            <w:pPr>
                              <w:pStyle w:val="TMGTableText"/>
                              <w:spacing w:before="10" w:after="10"/>
                              <w:ind w:left="0"/>
                            </w:pPr>
                            <w:r w:rsidRPr="004859C8">
                              <w:t>February</w:t>
                            </w:r>
                          </w:p>
                        </w:tc>
                        <w:tc>
                          <w:tcPr>
                            <w:tcW w:w="928" w:type="dxa"/>
                            <w:vAlign w:val="center"/>
                          </w:tcPr>
                          <w:p w14:paraId="05CCFBAF" w14:textId="77777777" w:rsidR="00472990" w:rsidRDefault="00472990" w:rsidP="00EC03C5">
                            <w:pPr>
                              <w:pStyle w:val="TMGTableText"/>
                              <w:spacing w:before="10" w:after="10"/>
                              <w:ind w:left="0"/>
                              <w:jc w:val="center"/>
                            </w:pPr>
                            <w:r w:rsidRPr="006701AC">
                              <w:t>45,285</w:t>
                            </w:r>
                          </w:p>
                        </w:tc>
                        <w:tc>
                          <w:tcPr>
                            <w:tcW w:w="883" w:type="dxa"/>
                            <w:vAlign w:val="center"/>
                          </w:tcPr>
                          <w:p w14:paraId="23E00A25" w14:textId="77777777" w:rsidR="00472990" w:rsidRDefault="00472990" w:rsidP="00EC03C5">
                            <w:pPr>
                              <w:pStyle w:val="TMGTableText"/>
                              <w:spacing w:before="10" w:after="10"/>
                              <w:ind w:left="0"/>
                              <w:jc w:val="center"/>
                            </w:pPr>
                            <w:r w:rsidRPr="006701AC">
                              <w:t>1.10</w:t>
                            </w:r>
                          </w:p>
                        </w:tc>
                      </w:tr>
                      <w:tr w:rsidR="00472990" w14:paraId="6ECD0266" w14:textId="77777777" w:rsidTr="00472990">
                        <w:tc>
                          <w:tcPr>
                            <w:tcW w:w="1260" w:type="dxa"/>
                          </w:tcPr>
                          <w:p w14:paraId="30765037" w14:textId="77777777" w:rsidR="00472990" w:rsidRDefault="00472990" w:rsidP="00917D58">
                            <w:pPr>
                              <w:pStyle w:val="TMGTableText"/>
                              <w:spacing w:before="10" w:after="10"/>
                              <w:ind w:left="0"/>
                            </w:pPr>
                            <w:r w:rsidRPr="004859C8">
                              <w:t>March</w:t>
                            </w:r>
                          </w:p>
                        </w:tc>
                        <w:tc>
                          <w:tcPr>
                            <w:tcW w:w="928" w:type="dxa"/>
                            <w:vAlign w:val="center"/>
                          </w:tcPr>
                          <w:p w14:paraId="45F00F65" w14:textId="77777777" w:rsidR="00472990" w:rsidRDefault="00472990" w:rsidP="00EC03C5">
                            <w:pPr>
                              <w:pStyle w:val="TMGTableText"/>
                              <w:spacing w:before="10" w:after="10"/>
                              <w:ind w:left="0"/>
                              <w:jc w:val="center"/>
                            </w:pPr>
                            <w:r w:rsidRPr="006701AC">
                              <w:t>50,574</w:t>
                            </w:r>
                          </w:p>
                        </w:tc>
                        <w:tc>
                          <w:tcPr>
                            <w:tcW w:w="883" w:type="dxa"/>
                            <w:vAlign w:val="center"/>
                          </w:tcPr>
                          <w:p w14:paraId="258B5F20" w14:textId="77777777" w:rsidR="00472990" w:rsidRDefault="00472990" w:rsidP="00EC03C5">
                            <w:pPr>
                              <w:pStyle w:val="TMGTableText"/>
                              <w:spacing w:before="10" w:after="10"/>
                              <w:ind w:left="0"/>
                              <w:jc w:val="center"/>
                            </w:pPr>
                            <w:r w:rsidRPr="006701AC">
                              <w:t>0.99</w:t>
                            </w:r>
                          </w:p>
                        </w:tc>
                      </w:tr>
                      <w:tr w:rsidR="00472990" w14:paraId="48DBAD55" w14:textId="77777777" w:rsidTr="00472990">
                        <w:tc>
                          <w:tcPr>
                            <w:tcW w:w="1260" w:type="dxa"/>
                          </w:tcPr>
                          <w:p w14:paraId="49E1F099" w14:textId="77777777" w:rsidR="00472990" w:rsidRDefault="00472990" w:rsidP="00917D58">
                            <w:pPr>
                              <w:pStyle w:val="TMGTableText"/>
                              <w:spacing w:before="10" w:after="10"/>
                              <w:ind w:left="0"/>
                            </w:pPr>
                            <w:r w:rsidRPr="004859C8">
                              <w:t>April</w:t>
                            </w:r>
                          </w:p>
                        </w:tc>
                        <w:tc>
                          <w:tcPr>
                            <w:tcW w:w="928" w:type="dxa"/>
                            <w:vAlign w:val="center"/>
                          </w:tcPr>
                          <w:p w14:paraId="7BD80CFF" w14:textId="77777777" w:rsidR="00472990" w:rsidRDefault="00472990" w:rsidP="00EC03C5">
                            <w:pPr>
                              <w:pStyle w:val="TMGTableText"/>
                              <w:spacing w:before="10" w:after="10"/>
                              <w:ind w:left="0"/>
                              <w:jc w:val="center"/>
                            </w:pPr>
                            <w:r w:rsidRPr="006701AC">
                              <w:t>51,040</w:t>
                            </w:r>
                          </w:p>
                        </w:tc>
                        <w:tc>
                          <w:tcPr>
                            <w:tcW w:w="883" w:type="dxa"/>
                            <w:vAlign w:val="center"/>
                          </w:tcPr>
                          <w:p w14:paraId="2A7796A9" w14:textId="77777777" w:rsidR="00472990" w:rsidRDefault="00472990" w:rsidP="00EC03C5">
                            <w:pPr>
                              <w:pStyle w:val="TMGTableText"/>
                              <w:spacing w:before="10" w:after="10"/>
                              <w:ind w:left="0"/>
                              <w:jc w:val="center"/>
                            </w:pPr>
                            <w:r w:rsidRPr="006701AC">
                              <w:t>0.98</w:t>
                            </w:r>
                          </w:p>
                        </w:tc>
                      </w:tr>
                      <w:tr w:rsidR="00472990" w14:paraId="5CA7CD03" w14:textId="77777777" w:rsidTr="00472990">
                        <w:tc>
                          <w:tcPr>
                            <w:tcW w:w="1260" w:type="dxa"/>
                          </w:tcPr>
                          <w:p w14:paraId="2E956AD9" w14:textId="77777777" w:rsidR="00472990" w:rsidRDefault="00472990" w:rsidP="00917D58">
                            <w:pPr>
                              <w:pStyle w:val="TMGTableText"/>
                              <w:spacing w:before="10" w:after="10"/>
                              <w:ind w:left="0"/>
                            </w:pPr>
                            <w:r w:rsidRPr="004859C8">
                              <w:t>May</w:t>
                            </w:r>
                          </w:p>
                        </w:tc>
                        <w:tc>
                          <w:tcPr>
                            <w:tcW w:w="928" w:type="dxa"/>
                            <w:vAlign w:val="center"/>
                          </w:tcPr>
                          <w:p w14:paraId="3530DFEC" w14:textId="77777777" w:rsidR="00472990" w:rsidRDefault="00472990" w:rsidP="00EC03C5">
                            <w:pPr>
                              <w:pStyle w:val="TMGTableText"/>
                              <w:spacing w:before="10" w:after="10"/>
                              <w:ind w:left="0"/>
                              <w:jc w:val="center"/>
                            </w:pPr>
                            <w:r w:rsidRPr="006701AC">
                              <w:t>51,662</w:t>
                            </w:r>
                          </w:p>
                        </w:tc>
                        <w:tc>
                          <w:tcPr>
                            <w:tcW w:w="883" w:type="dxa"/>
                            <w:vAlign w:val="center"/>
                          </w:tcPr>
                          <w:p w14:paraId="2F0B3973" w14:textId="77777777" w:rsidR="00472990" w:rsidRDefault="00472990" w:rsidP="00EC03C5">
                            <w:pPr>
                              <w:pStyle w:val="TMGTableText"/>
                              <w:spacing w:before="10" w:after="10"/>
                              <w:ind w:left="0"/>
                              <w:jc w:val="center"/>
                            </w:pPr>
                            <w:r w:rsidRPr="006701AC">
                              <w:t>0.97</w:t>
                            </w:r>
                          </w:p>
                        </w:tc>
                      </w:tr>
                      <w:tr w:rsidR="00472990" w14:paraId="0EB13781" w14:textId="77777777" w:rsidTr="00472990">
                        <w:tc>
                          <w:tcPr>
                            <w:tcW w:w="1260" w:type="dxa"/>
                          </w:tcPr>
                          <w:p w14:paraId="2C70DCEF" w14:textId="77777777" w:rsidR="00472990" w:rsidRDefault="00472990" w:rsidP="00917D58">
                            <w:pPr>
                              <w:pStyle w:val="TMGTableText"/>
                              <w:spacing w:before="10" w:after="10"/>
                              <w:ind w:left="0"/>
                            </w:pPr>
                            <w:r w:rsidRPr="004859C8">
                              <w:t>June</w:t>
                            </w:r>
                          </w:p>
                        </w:tc>
                        <w:tc>
                          <w:tcPr>
                            <w:tcW w:w="928" w:type="dxa"/>
                            <w:vAlign w:val="center"/>
                          </w:tcPr>
                          <w:p w14:paraId="00D8856F" w14:textId="77777777" w:rsidR="00472990" w:rsidRDefault="00472990" w:rsidP="00EC03C5">
                            <w:pPr>
                              <w:pStyle w:val="TMGTableText"/>
                              <w:spacing w:before="10" w:after="10"/>
                              <w:ind w:left="0"/>
                              <w:jc w:val="center"/>
                            </w:pPr>
                            <w:r w:rsidRPr="006701AC">
                              <w:t>52,320</w:t>
                            </w:r>
                          </w:p>
                        </w:tc>
                        <w:tc>
                          <w:tcPr>
                            <w:tcW w:w="883" w:type="dxa"/>
                            <w:vAlign w:val="center"/>
                          </w:tcPr>
                          <w:p w14:paraId="0D83A72E" w14:textId="77777777" w:rsidR="00472990" w:rsidRDefault="00472990" w:rsidP="00EC03C5">
                            <w:pPr>
                              <w:pStyle w:val="TMGTableText"/>
                              <w:spacing w:before="10" w:after="10"/>
                              <w:ind w:left="0"/>
                              <w:jc w:val="center"/>
                            </w:pPr>
                            <w:r w:rsidRPr="006701AC">
                              <w:t>0.95</w:t>
                            </w:r>
                          </w:p>
                        </w:tc>
                      </w:tr>
                      <w:tr w:rsidR="00472990" w14:paraId="1F54C262" w14:textId="77777777" w:rsidTr="00472990">
                        <w:tc>
                          <w:tcPr>
                            <w:tcW w:w="1260" w:type="dxa"/>
                          </w:tcPr>
                          <w:p w14:paraId="3FAAF9C9" w14:textId="77777777" w:rsidR="00472990" w:rsidRDefault="00472990" w:rsidP="00917D58">
                            <w:pPr>
                              <w:pStyle w:val="TMGTableText"/>
                              <w:spacing w:before="10" w:after="10"/>
                              <w:ind w:left="0"/>
                            </w:pPr>
                            <w:r w:rsidRPr="004859C8">
                              <w:t>July</w:t>
                            </w:r>
                          </w:p>
                        </w:tc>
                        <w:tc>
                          <w:tcPr>
                            <w:tcW w:w="928" w:type="dxa"/>
                            <w:vAlign w:val="center"/>
                          </w:tcPr>
                          <w:p w14:paraId="1D3D72C5" w14:textId="77777777" w:rsidR="00472990" w:rsidRDefault="00472990" w:rsidP="00EC03C5">
                            <w:pPr>
                              <w:pStyle w:val="TMGTableText"/>
                              <w:spacing w:before="10" w:after="10"/>
                              <w:ind w:left="0"/>
                              <w:jc w:val="center"/>
                            </w:pPr>
                            <w:r w:rsidRPr="006701AC">
                              <w:t>51,320</w:t>
                            </w:r>
                          </w:p>
                        </w:tc>
                        <w:tc>
                          <w:tcPr>
                            <w:tcW w:w="883" w:type="dxa"/>
                            <w:vAlign w:val="center"/>
                          </w:tcPr>
                          <w:p w14:paraId="5968AA29" w14:textId="77777777" w:rsidR="00472990" w:rsidRDefault="00472990" w:rsidP="00EC03C5">
                            <w:pPr>
                              <w:pStyle w:val="TMGTableText"/>
                              <w:spacing w:before="10" w:after="10"/>
                              <w:ind w:left="0"/>
                              <w:jc w:val="center"/>
                            </w:pPr>
                            <w:r w:rsidRPr="006701AC">
                              <w:t>0.97</w:t>
                            </w:r>
                          </w:p>
                        </w:tc>
                      </w:tr>
                      <w:tr w:rsidR="00472990" w14:paraId="7563CE72" w14:textId="77777777" w:rsidTr="00472990">
                        <w:tc>
                          <w:tcPr>
                            <w:tcW w:w="1260" w:type="dxa"/>
                          </w:tcPr>
                          <w:p w14:paraId="11B1FB20" w14:textId="77777777" w:rsidR="00472990" w:rsidRDefault="00472990" w:rsidP="00917D58">
                            <w:pPr>
                              <w:pStyle w:val="TMGTableText"/>
                              <w:spacing w:before="10" w:after="10"/>
                              <w:ind w:left="0"/>
                            </w:pPr>
                            <w:r w:rsidRPr="004859C8">
                              <w:t>August</w:t>
                            </w:r>
                          </w:p>
                        </w:tc>
                        <w:tc>
                          <w:tcPr>
                            <w:tcW w:w="928" w:type="dxa"/>
                            <w:vAlign w:val="center"/>
                          </w:tcPr>
                          <w:p w14:paraId="73FBC613" w14:textId="77777777" w:rsidR="00472990" w:rsidRDefault="00472990" w:rsidP="00EC03C5">
                            <w:pPr>
                              <w:pStyle w:val="TMGTableText"/>
                              <w:spacing w:before="10" w:after="10"/>
                              <w:ind w:left="0"/>
                              <w:jc w:val="center"/>
                            </w:pPr>
                            <w:r w:rsidRPr="006701AC">
                              <w:t>52,416</w:t>
                            </w:r>
                          </w:p>
                        </w:tc>
                        <w:tc>
                          <w:tcPr>
                            <w:tcW w:w="883" w:type="dxa"/>
                            <w:vAlign w:val="center"/>
                          </w:tcPr>
                          <w:p w14:paraId="1CEAC3BC" w14:textId="77777777" w:rsidR="00472990" w:rsidRDefault="00472990" w:rsidP="00EC03C5">
                            <w:pPr>
                              <w:pStyle w:val="TMGTableText"/>
                              <w:spacing w:before="10" w:after="10"/>
                              <w:ind w:left="0"/>
                              <w:jc w:val="center"/>
                            </w:pPr>
                            <w:r w:rsidRPr="006701AC">
                              <w:t>0.95</w:t>
                            </w:r>
                          </w:p>
                        </w:tc>
                      </w:tr>
                      <w:tr w:rsidR="00472990" w14:paraId="6C1CDCE1" w14:textId="77777777" w:rsidTr="00472990">
                        <w:tc>
                          <w:tcPr>
                            <w:tcW w:w="1260" w:type="dxa"/>
                          </w:tcPr>
                          <w:p w14:paraId="10F3F2BD" w14:textId="77777777" w:rsidR="00472990" w:rsidRDefault="00472990" w:rsidP="00917D58">
                            <w:pPr>
                              <w:pStyle w:val="TMGTableText"/>
                              <w:spacing w:before="10" w:after="10"/>
                              <w:ind w:left="0"/>
                            </w:pPr>
                            <w:r w:rsidRPr="004859C8">
                              <w:t>September</w:t>
                            </w:r>
                          </w:p>
                        </w:tc>
                        <w:tc>
                          <w:tcPr>
                            <w:tcW w:w="928" w:type="dxa"/>
                            <w:vAlign w:val="center"/>
                          </w:tcPr>
                          <w:p w14:paraId="79B3F1EE" w14:textId="77777777" w:rsidR="00472990" w:rsidRDefault="00472990" w:rsidP="00EC03C5">
                            <w:pPr>
                              <w:pStyle w:val="TMGTableText"/>
                              <w:spacing w:before="10" w:after="10"/>
                              <w:ind w:left="0"/>
                              <w:jc w:val="center"/>
                            </w:pPr>
                            <w:r w:rsidRPr="006701AC">
                              <w:t>50,824</w:t>
                            </w:r>
                          </w:p>
                        </w:tc>
                        <w:tc>
                          <w:tcPr>
                            <w:tcW w:w="883" w:type="dxa"/>
                            <w:vAlign w:val="center"/>
                          </w:tcPr>
                          <w:p w14:paraId="07553D49" w14:textId="77777777" w:rsidR="00472990" w:rsidRDefault="00472990" w:rsidP="00EC03C5">
                            <w:pPr>
                              <w:pStyle w:val="TMGTableText"/>
                              <w:spacing w:before="10" w:after="10"/>
                              <w:ind w:left="0"/>
                              <w:jc w:val="center"/>
                            </w:pPr>
                            <w:r w:rsidRPr="006701AC">
                              <w:t>0.98</w:t>
                            </w:r>
                          </w:p>
                        </w:tc>
                      </w:tr>
                      <w:tr w:rsidR="00472990" w14:paraId="5B7171E3" w14:textId="77777777" w:rsidTr="00472990">
                        <w:tc>
                          <w:tcPr>
                            <w:tcW w:w="1260" w:type="dxa"/>
                          </w:tcPr>
                          <w:p w14:paraId="2A5288E5" w14:textId="77777777" w:rsidR="00472990" w:rsidRDefault="00472990" w:rsidP="00917D58">
                            <w:pPr>
                              <w:pStyle w:val="TMGTableText"/>
                              <w:spacing w:before="10" w:after="10"/>
                              <w:ind w:left="0"/>
                            </w:pPr>
                            <w:r w:rsidRPr="004859C8">
                              <w:t>October</w:t>
                            </w:r>
                          </w:p>
                        </w:tc>
                        <w:tc>
                          <w:tcPr>
                            <w:tcW w:w="928" w:type="dxa"/>
                            <w:vAlign w:val="center"/>
                          </w:tcPr>
                          <w:p w14:paraId="3B5A750F" w14:textId="77777777" w:rsidR="00472990" w:rsidRDefault="00472990" w:rsidP="00EC03C5">
                            <w:pPr>
                              <w:pStyle w:val="TMGTableText"/>
                              <w:spacing w:before="10" w:after="10"/>
                              <w:ind w:left="0"/>
                              <w:jc w:val="center"/>
                            </w:pPr>
                            <w:r w:rsidRPr="006701AC">
                              <w:t>51,564</w:t>
                            </w:r>
                          </w:p>
                        </w:tc>
                        <w:tc>
                          <w:tcPr>
                            <w:tcW w:w="883" w:type="dxa"/>
                            <w:vAlign w:val="center"/>
                          </w:tcPr>
                          <w:p w14:paraId="18499F50" w14:textId="77777777" w:rsidR="00472990" w:rsidRDefault="00472990" w:rsidP="00EC03C5">
                            <w:pPr>
                              <w:pStyle w:val="TMGTableText"/>
                              <w:spacing w:before="10" w:after="10"/>
                              <w:ind w:left="0"/>
                              <w:jc w:val="center"/>
                            </w:pPr>
                            <w:r w:rsidRPr="006701AC">
                              <w:t>0.97</w:t>
                            </w:r>
                          </w:p>
                        </w:tc>
                      </w:tr>
                      <w:tr w:rsidR="00472990" w14:paraId="01DDA640" w14:textId="77777777" w:rsidTr="00472990">
                        <w:tc>
                          <w:tcPr>
                            <w:tcW w:w="1260" w:type="dxa"/>
                          </w:tcPr>
                          <w:p w14:paraId="2A2B09A7" w14:textId="77777777" w:rsidR="00472990" w:rsidRDefault="00472990" w:rsidP="00917D58">
                            <w:pPr>
                              <w:pStyle w:val="TMGTableText"/>
                              <w:spacing w:before="10" w:after="10"/>
                              <w:ind w:left="0"/>
                            </w:pPr>
                            <w:r w:rsidRPr="004859C8">
                              <w:t>November</w:t>
                            </w:r>
                          </w:p>
                        </w:tc>
                        <w:tc>
                          <w:tcPr>
                            <w:tcW w:w="928" w:type="dxa"/>
                            <w:vAlign w:val="center"/>
                          </w:tcPr>
                          <w:p w14:paraId="501E0CA1" w14:textId="77777777" w:rsidR="00472990" w:rsidRDefault="00472990" w:rsidP="00EC03C5">
                            <w:pPr>
                              <w:pStyle w:val="TMGTableText"/>
                              <w:spacing w:before="10" w:after="10"/>
                              <w:ind w:left="0"/>
                              <w:jc w:val="center"/>
                            </w:pPr>
                            <w:r w:rsidRPr="006701AC">
                              <w:t>49,188</w:t>
                            </w:r>
                          </w:p>
                        </w:tc>
                        <w:tc>
                          <w:tcPr>
                            <w:tcW w:w="883" w:type="dxa"/>
                            <w:vAlign w:val="center"/>
                          </w:tcPr>
                          <w:p w14:paraId="2BD768D6" w14:textId="77777777" w:rsidR="00472990" w:rsidRDefault="00472990" w:rsidP="00EC03C5">
                            <w:pPr>
                              <w:pStyle w:val="TMGTableText"/>
                              <w:spacing w:before="10" w:after="10"/>
                              <w:ind w:left="0"/>
                              <w:jc w:val="center"/>
                            </w:pPr>
                            <w:r w:rsidRPr="006701AC">
                              <w:t>1.02</w:t>
                            </w:r>
                          </w:p>
                        </w:tc>
                      </w:tr>
                      <w:tr w:rsidR="00472990" w14:paraId="765196F5" w14:textId="77777777" w:rsidTr="00472990">
                        <w:tc>
                          <w:tcPr>
                            <w:tcW w:w="1260" w:type="dxa"/>
                          </w:tcPr>
                          <w:p w14:paraId="2F3F83D2" w14:textId="77777777" w:rsidR="00472990" w:rsidRDefault="00472990" w:rsidP="00917D58">
                            <w:pPr>
                              <w:pStyle w:val="TMGTableText"/>
                              <w:spacing w:before="10" w:after="10"/>
                              <w:ind w:left="0"/>
                            </w:pPr>
                            <w:r w:rsidRPr="004859C8">
                              <w:t>December</w:t>
                            </w:r>
                          </w:p>
                        </w:tc>
                        <w:tc>
                          <w:tcPr>
                            <w:tcW w:w="928" w:type="dxa"/>
                            <w:vAlign w:val="center"/>
                          </w:tcPr>
                          <w:p w14:paraId="32B0ED54" w14:textId="77777777" w:rsidR="00472990" w:rsidRDefault="00472990" w:rsidP="00EC03C5">
                            <w:pPr>
                              <w:pStyle w:val="TMGTableText"/>
                              <w:spacing w:before="10" w:after="10"/>
                              <w:ind w:left="0"/>
                              <w:jc w:val="center"/>
                            </w:pPr>
                            <w:r w:rsidRPr="006701AC">
                              <w:t>45,806</w:t>
                            </w:r>
                          </w:p>
                        </w:tc>
                        <w:tc>
                          <w:tcPr>
                            <w:tcW w:w="883" w:type="dxa"/>
                            <w:vAlign w:val="center"/>
                          </w:tcPr>
                          <w:p w14:paraId="488D786C" w14:textId="77777777" w:rsidR="00472990" w:rsidRDefault="00472990" w:rsidP="00EC03C5">
                            <w:pPr>
                              <w:pStyle w:val="TMGTableText"/>
                              <w:spacing w:before="10" w:after="10"/>
                              <w:ind w:left="0"/>
                              <w:jc w:val="center"/>
                            </w:pPr>
                            <w:r w:rsidRPr="006701AC">
                              <w:t>1.09</w:t>
                            </w:r>
                          </w:p>
                        </w:tc>
                      </w:tr>
                      <w:tr w:rsidR="00472990" w14:paraId="741C4B48" w14:textId="77777777" w:rsidTr="00472990">
                        <w:tc>
                          <w:tcPr>
                            <w:tcW w:w="1260" w:type="dxa"/>
                          </w:tcPr>
                          <w:p w14:paraId="33191909" w14:textId="77777777" w:rsidR="00472990" w:rsidRDefault="00472990" w:rsidP="00917D58">
                            <w:pPr>
                              <w:pStyle w:val="TMGTableText"/>
                              <w:spacing w:before="10" w:after="10"/>
                              <w:ind w:left="0"/>
                            </w:pPr>
                            <w:r w:rsidRPr="004859C8">
                              <w:t>AADT</w:t>
                            </w:r>
                          </w:p>
                        </w:tc>
                        <w:tc>
                          <w:tcPr>
                            <w:tcW w:w="928" w:type="dxa"/>
                            <w:vAlign w:val="center"/>
                          </w:tcPr>
                          <w:p w14:paraId="64E234A0" w14:textId="77777777" w:rsidR="00472990" w:rsidRDefault="00472990" w:rsidP="00EC03C5">
                            <w:pPr>
                              <w:pStyle w:val="TMGTableText"/>
                              <w:spacing w:before="10" w:after="10"/>
                              <w:ind w:left="0"/>
                              <w:jc w:val="center"/>
                            </w:pPr>
                            <w:r w:rsidRPr="006701AC">
                              <w:t>49,948</w:t>
                            </w:r>
                          </w:p>
                        </w:tc>
                        <w:tc>
                          <w:tcPr>
                            <w:tcW w:w="883" w:type="dxa"/>
                            <w:vAlign w:val="center"/>
                          </w:tcPr>
                          <w:p w14:paraId="5509CD78" w14:textId="77777777" w:rsidR="00472990" w:rsidRDefault="00472990" w:rsidP="00EC03C5">
                            <w:pPr>
                              <w:pStyle w:val="TMGTableText"/>
                              <w:spacing w:before="10" w:after="10"/>
                              <w:ind w:left="0"/>
                              <w:jc w:val="center"/>
                            </w:pPr>
                            <w:r w:rsidRPr="006701AC">
                              <w:t>1.00</w:t>
                            </w:r>
                          </w:p>
                        </w:tc>
                      </w:tr>
                    </w:tbl>
                    <w:p w14:paraId="274E3EFD" w14:textId="77777777" w:rsidR="00472990" w:rsidRDefault="00472990" w:rsidP="00472990"/>
                  </w:txbxContent>
                </v:textbox>
                <w10:wrap type="square" anchorx="margin"/>
              </v:shape>
            </w:pict>
          </mc:Fallback>
        </mc:AlternateContent>
      </w:r>
      <w:r w:rsidRPr="006701AC">
        <w:t>correctly estimating motorcycle V</w:t>
      </w:r>
      <w:r>
        <w:t>D</w:t>
      </w:r>
      <w:r w:rsidRPr="006701AC">
        <w:t>T, as motorcycles may have significant weekend travel on routes or areas that are not near a continuous classifier, therefore underestimating annual motorcycle VMT, which is an important statistic for evaluating the safety of motorcycle travel. The solution is to: 1) install additional continuous vehicle classifiers; 2) make sure that at least some of the available permanent classifiers are placed on roads that are used for recreational motorcycle travel; or 3) take classification counts that include some weekdays and extend over weekends where recreational motorcycle travel is expected to occur in order to account for differences in DOW motorcycle travel on those roads.</w:t>
      </w:r>
    </w:p>
    <w:p w14:paraId="2F56E5A9" w14:textId="2D2ACD2D" w:rsidR="003F7B9F" w:rsidRPr="005576C5" w:rsidRDefault="003F7B9F" w:rsidP="00A35EAF">
      <w:pPr>
        <w:pStyle w:val="BodyText"/>
      </w:pPr>
      <w:bookmarkStart w:id="1837" w:name="_Hlk68161920"/>
      <w:r w:rsidRPr="006701AC">
        <w:t xml:space="preserve">The following example shows how to correctly estimate the </w:t>
      </w:r>
      <w:r w:rsidRPr="005576C5">
        <w:t>motorcycle AADT). First, take the data from a continuous automatic vehicle classifier and determine the monthly average daily motorcycle traffic (MADT</w:t>
      </w:r>
      <w:r w:rsidRPr="005576C5">
        <w:rPr>
          <w:vertAlign w:val="subscript"/>
        </w:rPr>
        <w:t>m</w:t>
      </w:r>
      <w:r w:rsidRPr="005576C5">
        <w:t>)</w:t>
      </w:r>
      <w:r>
        <w:t xml:space="preserve"> for each month</w:t>
      </w:r>
      <w:r w:rsidRPr="005576C5">
        <w:t>. Next, determine the factor group that the short-term count location belongs to and extract the monthly factors</w:t>
      </w:r>
      <w:r>
        <w:t xml:space="preserve"> computed for motorcycles</w:t>
      </w:r>
      <w:r w:rsidRPr="005576C5">
        <w:t>. These factors are computed as the ratios of the MADT</w:t>
      </w:r>
      <w:r w:rsidRPr="005576C5">
        <w:rPr>
          <w:vertAlign w:val="subscript"/>
        </w:rPr>
        <w:t>m</w:t>
      </w:r>
      <w:r w:rsidRPr="005576C5">
        <w:t xml:space="preserve"> to the AADT</w:t>
      </w:r>
      <w:r w:rsidRPr="005576C5">
        <w:rPr>
          <w:vertAlign w:val="subscript"/>
        </w:rPr>
        <w:t>m</w:t>
      </w:r>
      <w:r>
        <w:t xml:space="preserve"> for each month</w:t>
      </w:r>
      <w:r w:rsidR="00BC2063">
        <w:t xml:space="preserve">, see </w:t>
      </w:r>
      <w:r w:rsidR="006827F7">
        <w:fldChar w:fldCharType="begin"/>
      </w:r>
      <w:r w:rsidR="006827F7">
        <w:instrText xml:space="preserve"> REF _Ref114750000 \h </w:instrText>
      </w:r>
      <w:r w:rsidR="006827F7">
        <w:fldChar w:fldCharType="separate"/>
      </w:r>
      <w:r w:rsidR="00C07DF9">
        <w:t xml:space="preserve">Table </w:t>
      </w:r>
      <w:r w:rsidR="00C07DF9">
        <w:rPr>
          <w:noProof/>
        </w:rPr>
        <w:t>3</w:t>
      </w:r>
      <w:r w:rsidR="00C07DF9">
        <w:noBreakHyphen/>
      </w:r>
      <w:r w:rsidR="00C07DF9">
        <w:rPr>
          <w:noProof/>
        </w:rPr>
        <w:t>7</w:t>
      </w:r>
      <w:r w:rsidR="006827F7">
        <w:fldChar w:fldCharType="end"/>
      </w:r>
      <w:r w:rsidRPr="00601A40">
        <w:t>.</w:t>
      </w:r>
    </w:p>
    <w:p w14:paraId="150C4D0F" w14:textId="6BB3947E" w:rsidR="003F7B9F" w:rsidRPr="006701AC" w:rsidRDefault="00472990" w:rsidP="000F2A7A">
      <w:pPr>
        <w:pStyle w:val="BodyText"/>
        <w:spacing w:before="240"/>
      </w:pPr>
      <w:r>
        <w:rPr>
          <w:noProof/>
        </w:rPr>
        <mc:AlternateContent>
          <mc:Choice Requires="wps">
            <w:drawing>
              <wp:anchor distT="45720" distB="45720" distL="114300" distR="114300" simplePos="0" relativeHeight="251707392" behindDoc="0" locked="0" layoutInCell="1" allowOverlap="1" wp14:anchorId="33514EBA" wp14:editId="07B9A20D">
                <wp:simplePos x="0" y="0"/>
                <wp:positionH relativeFrom="margin">
                  <wp:posOffset>3945255</wp:posOffset>
                </wp:positionH>
                <wp:positionV relativeFrom="paragraph">
                  <wp:posOffset>537210</wp:posOffset>
                </wp:positionV>
                <wp:extent cx="2057400" cy="2121408"/>
                <wp:effectExtent l="0" t="0" r="0" b="0"/>
                <wp:wrapSquare wrapText="bothSides"/>
                <wp:docPr id="2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2121408"/>
                        </a:xfrm>
                        <a:prstGeom prst="rect">
                          <a:avLst/>
                        </a:prstGeom>
                        <a:solidFill>
                          <a:srgbClr val="FFFFFF"/>
                        </a:solidFill>
                        <a:ln w="9525">
                          <a:noFill/>
                          <a:miter lim="800000"/>
                          <a:headEnd/>
                          <a:tailEnd/>
                        </a:ln>
                      </wps:spPr>
                      <wps:txbx>
                        <w:txbxContent>
                          <w:p w14:paraId="297C4E5E" w14:textId="2F6AF689" w:rsidR="00472990" w:rsidRDefault="00472990" w:rsidP="00472990">
                            <w:pPr>
                              <w:pStyle w:val="TMGTableCaption"/>
                              <w:spacing w:before="0"/>
                            </w:pPr>
                            <w:bookmarkStart w:id="1838" w:name="_Ref114750008"/>
                            <w:bookmarkStart w:id="1839" w:name="_Toc120631134"/>
                            <w:r>
                              <w:t xml:space="preserve">Table </w:t>
                            </w:r>
                            <w:fldSimple w:instr=" STYLEREF 1 \s ">
                              <w:r w:rsidR="00FC0E95">
                                <w:rPr>
                                  <w:noProof/>
                                </w:rPr>
                                <w:t>3</w:t>
                              </w:r>
                            </w:fldSimple>
                            <w:r>
                              <w:noBreakHyphen/>
                            </w:r>
                            <w:fldSimple w:instr=" SEQ Table \* ARABIC \s 1 ">
                              <w:r w:rsidR="00FC0E95">
                                <w:rPr>
                                  <w:noProof/>
                                </w:rPr>
                                <w:t>8</w:t>
                              </w:r>
                            </w:fldSimple>
                            <w:bookmarkEnd w:id="1838"/>
                            <w:r w:rsidR="00E34EB1">
                              <w:rPr>
                                <w:noProof/>
                              </w:rPr>
                              <w:t>.</w:t>
                            </w:r>
                            <w:r>
                              <w:t xml:space="preserve"> </w:t>
                            </w:r>
                            <w:r w:rsidRPr="00E347FD">
                              <w:t>ADT</w:t>
                            </w:r>
                            <w:r>
                              <w:rPr>
                                <w:vertAlign w:val="subscript"/>
                              </w:rPr>
                              <w:t>m</w:t>
                            </w:r>
                            <w:r w:rsidRPr="00E347FD">
                              <w:t xml:space="preserve"> by </w:t>
                            </w:r>
                            <w:r>
                              <w:t>D</w:t>
                            </w:r>
                            <w:r w:rsidRPr="00E347FD">
                              <w:t xml:space="preserve">ay of </w:t>
                            </w:r>
                            <w:r>
                              <w:t>W</w:t>
                            </w:r>
                            <w:r w:rsidRPr="00E347FD">
                              <w:t>eek</w:t>
                            </w:r>
                            <w:bookmarkEnd w:id="1839"/>
                          </w:p>
                          <w:tbl>
                            <w:tblPr>
                              <w:tblStyle w:val="TableGrid"/>
                              <w:tblW w:w="0" w:type="auto"/>
                              <w:tblCellMar>
                                <w:left w:w="86" w:type="dxa"/>
                                <w:right w:w="86" w:type="dxa"/>
                              </w:tblCellMar>
                              <w:tblLook w:val="04A0" w:firstRow="1" w:lastRow="0" w:firstColumn="1" w:lastColumn="0" w:noHBand="0" w:noVBand="1"/>
                            </w:tblPr>
                            <w:tblGrid>
                              <w:gridCol w:w="1260"/>
                              <w:gridCol w:w="928"/>
                              <w:gridCol w:w="943"/>
                            </w:tblGrid>
                            <w:tr w:rsidR="00472990" w14:paraId="55AFFED9" w14:textId="77777777" w:rsidTr="00472990">
                              <w:tc>
                                <w:tcPr>
                                  <w:tcW w:w="1260" w:type="dxa"/>
                                  <w:tcBorders>
                                    <w:right w:val="single" w:sz="4" w:space="0" w:color="FFFFFF" w:themeColor="background1"/>
                                  </w:tcBorders>
                                  <w:shd w:val="clear" w:color="auto" w:fill="1F3864"/>
                                  <w:vAlign w:val="center"/>
                                </w:tcPr>
                                <w:p w14:paraId="0A90B660" w14:textId="0FBEB420" w:rsidR="00472990" w:rsidRDefault="00472990" w:rsidP="0017389B">
                                  <w:pPr>
                                    <w:pStyle w:val="TMGTableTextHeader"/>
                                  </w:pPr>
                                  <w:r w:rsidRPr="004859C8">
                                    <w:rPr>
                                      <w:rFonts w:eastAsia="MS Mincho"/>
                                    </w:rPr>
                                    <w:t>Day</w:t>
                                  </w:r>
                                </w:p>
                              </w:tc>
                              <w:tc>
                                <w:tcPr>
                                  <w:tcW w:w="928" w:type="dxa"/>
                                  <w:tcBorders>
                                    <w:left w:val="single" w:sz="4" w:space="0" w:color="FFFFFF" w:themeColor="background1"/>
                                    <w:right w:val="single" w:sz="4" w:space="0" w:color="FFFFFF" w:themeColor="background1"/>
                                  </w:tcBorders>
                                  <w:shd w:val="clear" w:color="auto" w:fill="1F3864"/>
                                  <w:vAlign w:val="center"/>
                                </w:tcPr>
                                <w:p w14:paraId="6CB134DF" w14:textId="7C07D812" w:rsidR="00472990" w:rsidRDefault="00472990" w:rsidP="0017389B">
                                  <w:pPr>
                                    <w:pStyle w:val="TMGTableTextHeader"/>
                                  </w:pPr>
                                  <w:r w:rsidRPr="004859C8">
                                    <w:rPr>
                                      <w:rFonts w:eastAsia="MS Mincho"/>
                                    </w:rPr>
                                    <w:t>ADT</w:t>
                                  </w:r>
                                  <w:r w:rsidRPr="000136EE">
                                    <w:rPr>
                                      <w:rFonts w:eastAsia="MS Mincho"/>
                                      <w:vertAlign w:val="subscript"/>
                                    </w:rPr>
                                    <w:t>m</w:t>
                                  </w:r>
                                  <w:r w:rsidRPr="004859C8">
                                    <w:rPr>
                                      <w:rFonts w:eastAsia="MS Mincho"/>
                                    </w:rPr>
                                    <w:t xml:space="preserve"> by DOW</w:t>
                                  </w:r>
                                </w:p>
                              </w:tc>
                              <w:tc>
                                <w:tcPr>
                                  <w:tcW w:w="943" w:type="dxa"/>
                                  <w:tcBorders>
                                    <w:left w:val="single" w:sz="4" w:space="0" w:color="FFFFFF" w:themeColor="background1"/>
                                  </w:tcBorders>
                                  <w:shd w:val="clear" w:color="auto" w:fill="1F3864"/>
                                  <w:vAlign w:val="center"/>
                                </w:tcPr>
                                <w:p w14:paraId="65465176" w14:textId="1A67DB7F" w:rsidR="00472990" w:rsidRDefault="00472990" w:rsidP="0017389B">
                                  <w:pPr>
                                    <w:pStyle w:val="TMGTableTextHeader"/>
                                  </w:pPr>
                                  <w:r w:rsidRPr="004859C8">
                                    <w:rPr>
                                      <w:rFonts w:eastAsia="MS Mincho"/>
                                    </w:rPr>
                                    <w:t xml:space="preserve">Resulting </w:t>
                                  </w:r>
                                  <w:r w:rsidRPr="004859C8">
                                    <w:t>DOW</w:t>
                                  </w:r>
                                  <w:r w:rsidRPr="004859C8">
                                    <w:rPr>
                                      <w:rFonts w:eastAsia="MS Mincho"/>
                                    </w:rPr>
                                    <w:t xml:space="preserve"> MCF</w:t>
                                  </w:r>
                                </w:p>
                              </w:tc>
                            </w:tr>
                            <w:tr w:rsidR="00472990" w14:paraId="129E5DA3" w14:textId="77777777" w:rsidTr="00E229BE">
                              <w:tc>
                                <w:tcPr>
                                  <w:tcW w:w="1260" w:type="dxa"/>
                                </w:tcPr>
                                <w:p w14:paraId="5BD0A2A6" w14:textId="6A4E2CC7" w:rsidR="00472990" w:rsidRDefault="00472990" w:rsidP="00917D58">
                                  <w:pPr>
                                    <w:pStyle w:val="TMGTableText"/>
                                    <w:spacing w:before="10" w:after="10"/>
                                    <w:ind w:left="0"/>
                                  </w:pPr>
                                  <w:r w:rsidRPr="004859C8">
                                    <w:t>Monday</w:t>
                                  </w:r>
                                </w:p>
                              </w:tc>
                              <w:tc>
                                <w:tcPr>
                                  <w:tcW w:w="928" w:type="dxa"/>
                                  <w:vAlign w:val="center"/>
                                </w:tcPr>
                                <w:p w14:paraId="6DFC8FA5" w14:textId="5418C9A0" w:rsidR="00472990" w:rsidRDefault="00472990" w:rsidP="00E229BE">
                                  <w:pPr>
                                    <w:pStyle w:val="TMGTableText"/>
                                    <w:spacing w:before="10" w:after="10"/>
                                    <w:ind w:left="0"/>
                                    <w:jc w:val="center"/>
                                  </w:pPr>
                                  <w:r w:rsidRPr="004859C8">
                                    <w:t>396</w:t>
                                  </w:r>
                                </w:p>
                              </w:tc>
                              <w:tc>
                                <w:tcPr>
                                  <w:tcW w:w="943" w:type="dxa"/>
                                  <w:vAlign w:val="center"/>
                                </w:tcPr>
                                <w:p w14:paraId="0D1FA8E0" w14:textId="55FBD837" w:rsidR="00472990" w:rsidRDefault="00472990" w:rsidP="00E229BE">
                                  <w:pPr>
                                    <w:pStyle w:val="TMGTableText"/>
                                    <w:spacing w:before="10" w:after="10"/>
                                    <w:ind w:left="0"/>
                                    <w:jc w:val="center"/>
                                  </w:pPr>
                                  <w:r w:rsidRPr="004859C8">
                                    <w:t>1.26</w:t>
                                  </w:r>
                                </w:p>
                              </w:tc>
                            </w:tr>
                            <w:tr w:rsidR="00472990" w14:paraId="49793554" w14:textId="77777777" w:rsidTr="00E229BE">
                              <w:tc>
                                <w:tcPr>
                                  <w:tcW w:w="1260" w:type="dxa"/>
                                </w:tcPr>
                                <w:p w14:paraId="607AFBE6" w14:textId="39A28EB2" w:rsidR="00472990" w:rsidRDefault="00472990" w:rsidP="00917D58">
                                  <w:pPr>
                                    <w:pStyle w:val="TMGTableText"/>
                                    <w:spacing w:before="10" w:after="10"/>
                                    <w:ind w:left="0"/>
                                  </w:pPr>
                                  <w:r w:rsidRPr="004859C8">
                                    <w:t>Tuesday</w:t>
                                  </w:r>
                                </w:p>
                              </w:tc>
                              <w:tc>
                                <w:tcPr>
                                  <w:tcW w:w="928" w:type="dxa"/>
                                  <w:vAlign w:val="center"/>
                                </w:tcPr>
                                <w:p w14:paraId="691E7D8B" w14:textId="2C491EE7" w:rsidR="00472990" w:rsidRDefault="00472990" w:rsidP="00E229BE">
                                  <w:pPr>
                                    <w:pStyle w:val="TMGTableText"/>
                                    <w:spacing w:before="10" w:after="10"/>
                                    <w:ind w:left="0"/>
                                    <w:jc w:val="center"/>
                                  </w:pPr>
                                  <w:r w:rsidRPr="004859C8">
                                    <w:t>403</w:t>
                                  </w:r>
                                </w:p>
                              </w:tc>
                              <w:tc>
                                <w:tcPr>
                                  <w:tcW w:w="943" w:type="dxa"/>
                                  <w:vAlign w:val="center"/>
                                </w:tcPr>
                                <w:p w14:paraId="51C33947" w14:textId="0C334E66" w:rsidR="00472990" w:rsidRDefault="00472990" w:rsidP="00E229BE">
                                  <w:pPr>
                                    <w:pStyle w:val="TMGTableText"/>
                                    <w:spacing w:before="10" w:after="10"/>
                                    <w:ind w:left="0"/>
                                    <w:jc w:val="center"/>
                                  </w:pPr>
                                  <w:r w:rsidRPr="004859C8">
                                    <w:t>1.24</w:t>
                                  </w:r>
                                </w:p>
                              </w:tc>
                            </w:tr>
                            <w:tr w:rsidR="00472990" w14:paraId="23841C3E" w14:textId="77777777" w:rsidTr="00E229BE">
                              <w:tc>
                                <w:tcPr>
                                  <w:tcW w:w="1260" w:type="dxa"/>
                                </w:tcPr>
                                <w:p w14:paraId="49FFBDDE" w14:textId="275367A9" w:rsidR="00472990" w:rsidRDefault="00472990" w:rsidP="00917D58">
                                  <w:pPr>
                                    <w:pStyle w:val="TMGTableText"/>
                                    <w:spacing w:before="10" w:after="10"/>
                                    <w:ind w:left="0"/>
                                  </w:pPr>
                                  <w:r w:rsidRPr="004859C8">
                                    <w:t>Wednesday</w:t>
                                  </w:r>
                                </w:p>
                              </w:tc>
                              <w:tc>
                                <w:tcPr>
                                  <w:tcW w:w="928" w:type="dxa"/>
                                  <w:vAlign w:val="center"/>
                                </w:tcPr>
                                <w:p w14:paraId="7323CC21" w14:textId="45BC989C" w:rsidR="00472990" w:rsidRDefault="00472990" w:rsidP="00E229BE">
                                  <w:pPr>
                                    <w:pStyle w:val="TMGTableText"/>
                                    <w:spacing w:before="10" w:after="10"/>
                                    <w:ind w:left="0"/>
                                    <w:jc w:val="center"/>
                                  </w:pPr>
                                  <w:r w:rsidRPr="004859C8">
                                    <w:t>405</w:t>
                                  </w:r>
                                </w:p>
                              </w:tc>
                              <w:tc>
                                <w:tcPr>
                                  <w:tcW w:w="943" w:type="dxa"/>
                                  <w:vAlign w:val="center"/>
                                </w:tcPr>
                                <w:p w14:paraId="3F5B1010" w14:textId="6F3766D2" w:rsidR="00472990" w:rsidRDefault="00472990" w:rsidP="00E229BE">
                                  <w:pPr>
                                    <w:pStyle w:val="TMGTableText"/>
                                    <w:spacing w:before="10" w:after="10"/>
                                    <w:ind w:left="0"/>
                                    <w:jc w:val="center"/>
                                  </w:pPr>
                                  <w:r w:rsidRPr="004859C8">
                                    <w:t>1.23</w:t>
                                  </w:r>
                                </w:p>
                              </w:tc>
                            </w:tr>
                            <w:tr w:rsidR="00472990" w14:paraId="0B5E9D08" w14:textId="77777777" w:rsidTr="00E229BE">
                              <w:tc>
                                <w:tcPr>
                                  <w:tcW w:w="1260" w:type="dxa"/>
                                </w:tcPr>
                                <w:p w14:paraId="1E3C359E" w14:textId="3B707170" w:rsidR="00472990" w:rsidRDefault="00472990" w:rsidP="00917D58">
                                  <w:pPr>
                                    <w:pStyle w:val="TMGTableText"/>
                                    <w:spacing w:before="10" w:after="10"/>
                                    <w:ind w:left="0"/>
                                  </w:pPr>
                                  <w:r w:rsidRPr="004859C8">
                                    <w:t>Thursday</w:t>
                                  </w:r>
                                </w:p>
                              </w:tc>
                              <w:tc>
                                <w:tcPr>
                                  <w:tcW w:w="928" w:type="dxa"/>
                                  <w:vAlign w:val="center"/>
                                </w:tcPr>
                                <w:p w14:paraId="06E19FA1" w14:textId="63BCA5EF" w:rsidR="00472990" w:rsidRDefault="00472990" w:rsidP="00E229BE">
                                  <w:pPr>
                                    <w:pStyle w:val="TMGTableText"/>
                                    <w:spacing w:before="10" w:after="10"/>
                                    <w:ind w:left="0"/>
                                    <w:jc w:val="center"/>
                                  </w:pPr>
                                  <w:r w:rsidRPr="004859C8">
                                    <w:t>428</w:t>
                                  </w:r>
                                </w:p>
                              </w:tc>
                              <w:tc>
                                <w:tcPr>
                                  <w:tcW w:w="943" w:type="dxa"/>
                                  <w:vAlign w:val="center"/>
                                </w:tcPr>
                                <w:p w14:paraId="18B5A3EE" w14:textId="5736B044" w:rsidR="00472990" w:rsidRDefault="00472990" w:rsidP="00E229BE">
                                  <w:pPr>
                                    <w:pStyle w:val="TMGTableText"/>
                                    <w:spacing w:before="10" w:after="10"/>
                                    <w:ind w:left="0"/>
                                    <w:jc w:val="center"/>
                                  </w:pPr>
                                  <w:r w:rsidRPr="004859C8">
                                    <w:t>1.17</w:t>
                                  </w:r>
                                </w:p>
                              </w:tc>
                            </w:tr>
                            <w:tr w:rsidR="00472990" w14:paraId="5853527C" w14:textId="77777777" w:rsidTr="00E229BE">
                              <w:tc>
                                <w:tcPr>
                                  <w:tcW w:w="1260" w:type="dxa"/>
                                </w:tcPr>
                                <w:p w14:paraId="47BAFEE4" w14:textId="681516DD" w:rsidR="00472990" w:rsidRDefault="00472990" w:rsidP="00917D58">
                                  <w:pPr>
                                    <w:pStyle w:val="TMGTableText"/>
                                    <w:spacing w:before="10" w:after="10"/>
                                    <w:ind w:left="0"/>
                                  </w:pPr>
                                  <w:r w:rsidRPr="004859C8">
                                    <w:t>Friday</w:t>
                                  </w:r>
                                </w:p>
                              </w:tc>
                              <w:tc>
                                <w:tcPr>
                                  <w:tcW w:w="928" w:type="dxa"/>
                                  <w:vAlign w:val="center"/>
                                </w:tcPr>
                                <w:p w14:paraId="6BD15980" w14:textId="0C1B0749" w:rsidR="00472990" w:rsidRDefault="00472990" w:rsidP="00E229BE">
                                  <w:pPr>
                                    <w:pStyle w:val="TMGTableText"/>
                                    <w:spacing w:before="10" w:after="10"/>
                                    <w:ind w:left="0"/>
                                    <w:jc w:val="center"/>
                                  </w:pPr>
                                  <w:r w:rsidRPr="004859C8">
                                    <w:t>655</w:t>
                                  </w:r>
                                </w:p>
                              </w:tc>
                              <w:tc>
                                <w:tcPr>
                                  <w:tcW w:w="943" w:type="dxa"/>
                                  <w:vAlign w:val="center"/>
                                </w:tcPr>
                                <w:p w14:paraId="59637A2F" w14:textId="03F33DAF" w:rsidR="00472990" w:rsidRDefault="00472990" w:rsidP="00E229BE">
                                  <w:pPr>
                                    <w:pStyle w:val="TMGTableText"/>
                                    <w:spacing w:before="10" w:after="10"/>
                                    <w:ind w:left="0"/>
                                    <w:jc w:val="center"/>
                                  </w:pPr>
                                  <w:r w:rsidRPr="004859C8">
                                    <w:t>0.76</w:t>
                                  </w:r>
                                </w:p>
                              </w:tc>
                            </w:tr>
                            <w:tr w:rsidR="00472990" w14:paraId="00D1E188" w14:textId="77777777" w:rsidTr="00E229BE">
                              <w:tc>
                                <w:tcPr>
                                  <w:tcW w:w="1260" w:type="dxa"/>
                                </w:tcPr>
                                <w:p w14:paraId="0F905117" w14:textId="259224F6" w:rsidR="00472990" w:rsidRDefault="00472990" w:rsidP="00917D58">
                                  <w:pPr>
                                    <w:pStyle w:val="TMGTableText"/>
                                    <w:spacing w:before="10" w:after="10"/>
                                    <w:ind w:left="0"/>
                                  </w:pPr>
                                  <w:r w:rsidRPr="004859C8">
                                    <w:t>Saturday</w:t>
                                  </w:r>
                                </w:p>
                              </w:tc>
                              <w:tc>
                                <w:tcPr>
                                  <w:tcW w:w="928" w:type="dxa"/>
                                  <w:vAlign w:val="center"/>
                                </w:tcPr>
                                <w:p w14:paraId="2E83A45E" w14:textId="72A0C8A8" w:rsidR="00472990" w:rsidRDefault="00472990" w:rsidP="00E229BE">
                                  <w:pPr>
                                    <w:pStyle w:val="TMGTableText"/>
                                    <w:spacing w:before="10" w:after="10"/>
                                    <w:ind w:left="0"/>
                                    <w:jc w:val="center"/>
                                  </w:pPr>
                                  <w:r w:rsidRPr="004859C8">
                                    <w:t>725</w:t>
                                  </w:r>
                                </w:p>
                              </w:tc>
                              <w:tc>
                                <w:tcPr>
                                  <w:tcW w:w="943" w:type="dxa"/>
                                  <w:vAlign w:val="center"/>
                                </w:tcPr>
                                <w:p w14:paraId="0B4568CB" w14:textId="1D3EC653" w:rsidR="00472990" w:rsidRDefault="00472990" w:rsidP="00E229BE">
                                  <w:pPr>
                                    <w:pStyle w:val="TMGTableText"/>
                                    <w:spacing w:before="10" w:after="10"/>
                                    <w:ind w:left="0"/>
                                    <w:jc w:val="center"/>
                                  </w:pPr>
                                  <w:r w:rsidRPr="004859C8">
                                    <w:t>0.69</w:t>
                                  </w:r>
                                </w:p>
                              </w:tc>
                            </w:tr>
                            <w:tr w:rsidR="00472990" w14:paraId="25534F4D" w14:textId="77777777" w:rsidTr="00E229BE">
                              <w:tc>
                                <w:tcPr>
                                  <w:tcW w:w="1260" w:type="dxa"/>
                                </w:tcPr>
                                <w:p w14:paraId="0EC5D136" w14:textId="0C4B2A35" w:rsidR="00472990" w:rsidRDefault="00472990" w:rsidP="00917D58">
                                  <w:pPr>
                                    <w:pStyle w:val="TMGTableText"/>
                                    <w:spacing w:before="10" w:after="10"/>
                                    <w:ind w:left="0"/>
                                  </w:pPr>
                                  <w:r w:rsidRPr="004859C8">
                                    <w:t>Sunday</w:t>
                                  </w:r>
                                </w:p>
                              </w:tc>
                              <w:tc>
                                <w:tcPr>
                                  <w:tcW w:w="928" w:type="dxa"/>
                                  <w:vAlign w:val="center"/>
                                </w:tcPr>
                                <w:p w14:paraId="55F7BDF0" w14:textId="3A9EF4BE" w:rsidR="00472990" w:rsidRDefault="00472990" w:rsidP="00E229BE">
                                  <w:pPr>
                                    <w:pStyle w:val="TMGTableText"/>
                                    <w:spacing w:before="10" w:after="10"/>
                                    <w:ind w:left="0"/>
                                    <w:jc w:val="center"/>
                                  </w:pPr>
                                  <w:r w:rsidRPr="004859C8">
                                    <w:t>483</w:t>
                                  </w:r>
                                </w:p>
                              </w:tc>
                              <w:tc>
                                <w:tcPr>
                                  <w:tcW w:w="943" w:type="dxa"/>
                                  <w:vAlign w:val="center"/>
                                </w:tcPr>
                                <w:p w14:paraId="1C3E83CF" w14:textId="7F1FED6B" w:rsidR="00472990" w:rsidRDefault="00472990" w:rsidP="00E229BE">
                                  <w:pPr>
                                    <w:pStyle w:val="TMGTableText"/>
                                    <w:spacing w:before="10" w:after="10"/>
                                    <w:ind w:left="0"/>
                                    <w:jc w:val="center"/>
                                  </w:pPr>
                                  <w:r w:rsidRPr="004859C8">
                                    <w:t>1.03</w:t>
                                  </w:r>
                                </w:p>
                              </w:tc>
                            </w:tr>
                            <w:tr w:rsidR="00472990" w14:paraId="43DA524C" w14:textId="77777777" w:rsidTr="00E229BE">
                              <w:tc>
                                <w:tcPr>
                                  <w:tcW w:w="1260" w:type="dxa"/>
                                </w:tcPr>
                                <w:p w14:paraId="53075472" w14:textId="6D27F6BB" w:rsidR="00472990" w:rsidRDefault="00472990" w:rsidP="00917D58">
                                  <w:pPr>
                                    <w:pStyle w:val="TMGTableText"/>
                                    <w:spacing w:before="10" w:after="10"/>
                                    <w:ind w:left="0"/>
                                  </w:pPr>
                                  <w:r w:rsidRPr="004859C8">
                                    <w:t>ADT</w:t>
                                  </w:r>
                                  <w:r w:rsidRPr="000136EE">
                                    <w:rPr>
                                      <w:vertAlign w:val="subscript"/>
                                    </w:rPr>
                                    <w:t>m</w:t>
                                  </w:r>
                                </w:p>
                              </w:tc>
                              <w:tc>
                                <w:tcPr>
                                  <w:tcW w:w="928" w:type="dxa"/>
                                  <w:vAlign w:val="center"/>
                                </w:tcPr>
                                <w:p w14:paraId="5B3F8D07" w14:textId="31314AE3" w:rsidR="00472990" w:rsidRDefault="00472990" w:rsidP="00E229BE">
                                  <w:pPr>
                                    <w:pStyle w:val="TMGTableText"/>
                                    <w:spacing w:before="10" w:after="10"/>
                                    <w:ind w:left="0"/>
                                    <w:jc w:val="center"/>
                                  </w:pPr>
                                  <w:r w:rsidRPr="004859C8">
                                    <w:t>499</w:t>
                                  </w:r>
                                </w:p>
                              </w:tc>
                              <w:tc>
                                <w:tcPr>
                                  <w:tcW w:w="943" w:type="dxa"/>
                                  <w:vAlign w:val="center"/>
                                </w:tcPr>
                                <w:p w14:paraId="301229CC" w14:textId="60FE968A" w:rsidR="00472990" w:rsidRDefault="00472990" w:rsidP="00E229BE">
                                  <w:pPr>
                                    <w:pStyle w:val="TMGTableText"/>
                                    <w:spacing w:before="10" w:after="10"/>
                                    <w:ind w:left="0"/>
                                    <w:jc w:val="center"/>
                                  </w:pPr>
                                </w:p>
                              </w:tc>
                            </w:tr>
                          </w:tbl>
                          <w:p w14:paraId="2994099F" w14:textId="77777777" w:rsidR="00472990" w:rsidRDefault="00472990" w:rsidP="00472990"/>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3514EBA" id="_x0000_s1099" type="#_x0000_t202" style="position:absolute;margin-left:310.65pt;margin-top:42.3pt;width:162pt;height:167.05pt;z-index:251707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" stroked="f">
                <v:textbox inset="0,0,0,0">
                  <w:txbxContent>
                    <w:p w14:paraId="297C4E5E" w14:textId="2F6AF689" w:rsidR="00472990" w:rsidRDefault="00472990" w:rsidP="00472990">
                      <w:pPr>
                        <w:pStyle w:val="TMGTableCaption"/>
                        <w:spacing w:before="0"/>
                      </w:pPr>
                      <w:bookmarkStart w:id="1840" w:name="_Ref114750008"/>
                      <w:bookmarkStart w:id="1841" w:name="_Toc120631134"/>
                      <w:r>
                        <w:t xml:space="preserve">Table </w:t>
                      </w:r>
                      <w:fldSimple w:instr=" STYLEREF 1 \s ">
                        <w:r w:rsidR="00FC0E95">
                          <w:rPr>
                            <w:noProof/>
                          </w:rPr>
                          <w:t>3</w:t>
                        </w:r>
                      </w:fldSimple>
                      <w:r>
                        <w:noBreakHyphen/>
                      </w:r>
                      <w:fldSimple w:instr=" SEQ Table \* ARABIC \s 1 ">
                        <w:r w:rsidR="00FC0E95">
                          <w:rPr>
                            <w:noProof/>
                          </w:rPr>
                          <w:t>8</w:t>
                        </w:r>
                      </w:fldSimple>
                      <w:bookmarkEnd w:id="1840"/>
                      <w:r w:rsidR="00E34EB1">
                        <w:rPr>
                          <w:noProof/>
                        </w:rPr>
                        <w:t>.</w:t>
                      </w:r>
                      <w:r>
                        <w:t xml:space="preserve"> </w:t>
                      </w:r>
                      <w:r w:rsidRPr="00E347FD">
                        <w:t>ADT</w:t>
                      </w:r>
                      <w:r>
                        <w:rPr>
                          <w:vertAlign w:val="subscript"/>
                        </w:rPr>
                        <w:t>m</w:t>
                      </w:r>
                      <w:r w:rsidRPr="00E347FD">
                        <w:t xml:space="preserve"> by </w:t>
                      </w:r>
                      <w:r>
                        <w:t>D</w:t>
                      </w:r>
                      <w:r w:rsidRPr="00E347FD">
                        <w:t xml:space="preserve">ay of </w:t>
                      </w:r>
                      <w:r>
                        <w:t>W</w:t>
                      </w:r>
                      <w:r w:rsidRPr="00E347FD">
                        <w:t>eek</w:t>
                      </w:r>
                      <w:bookmarkEnd w:id="1841"/>
                    </w:p>
                    <w:tbl>
                      <w:tblPr>
                        <w:tblStyle w:val="TableGrid"/>
                        <w:tblW w:w="0" w:type="auto"/>
                        <w:tblCellMar>
                          <w:left w:w="86" w:type="dxa"/>
                          <w:right w:w="86" w:type="dxa"/>
                        </w:tblCellMar>
                        <w:tblLook w:val="04A0" w:firstRow="1" w:lastRow="0" w:firstColumn="1" w:lastColumn="0" w:noHBand="0" w:noVBand="1"/>
                      </w:tblPr>
                      <w:tblGrid>
                        <w:gridCol w:w="1260"/>
                        <w:gridCol w:w="928"/>
                        <w:gridCol w:w="943"/>
                      </w:tblGrid>
                      <w:tr w:rsidR="00472990" w14:paraId="55AFFED9" w14:textId="77777777" w:rsidTr="00472990">
                        <w:tc>
                          <w:tcPr>
                            <w:tcW w:w="1260" w:type="dxa"/>
                            <w:tcBorders>
                              <w:right w:val="single" w:sz="4" w:space="0" w:color="FFFFFF" w:themeColor="background1"/>
                            </w:tcBorders>
                            <w:shd w:val="clear" w:color="auto" w:fill="1F3864"/>
                            <w:vAlign w:val="center"/>
                          </w:tcPr>
                          <w:p w14:paraId="0A90B660" w14:textId="0FBEB420" w:rsidR="00472990" w:rsidRDefault="00472990" w:rsidP="0017389B">
                            <w:pPr>
                              <w:pStyle w:val="TMGTableTextHeader"/>
                            </w:pPr>
                            <w:r w:rsidRPr="004859C8">
                              <w:rPr>
                                <w:rFonts w:eastAsia="MS Mincho"/>
                              </w:rPr>
                              <w:t>Day</w:t>
                            </w:r>
                          </w:p>
                        </w:tc>
                        <w:tc>
                          <w:tcPr>
                            <w:tcW w:w="928" w:type="dxa"/>
                            <w:tcBorders>
                              <w:left w:val="single" w:sz="4" w:space="0" w:color="FFFFFF" w:themeColor="background1"/>
                              <w:right w:val="single" w:sz="4" w:space="0" w:color="FFFFFF" w:themeColor="background1"/>
                            </w:tcBorders>
                            <w:shd w:val="clear" w:color="auto" w:fill="1F3864"/>
                            <w:vAlign w:val="center"/>
                          </w:tcPr>
                          <w:p w14:paraId="6CB134DF" w14:textId="7C07D812" w:rsidR="00472990" w:rsidRDefault="00472990" w:rsidP="0017389B">
                            <w:pPr>
                              <w:pStyle w:val="TMGTableTextHeader"/>
                            </w:pPr>
                            <w:r w:rsidRPr="004859C8">
                              <w:rPr>
                                <w:rFonts w:eastAsia="MS Mincho"/>
                              </w:rPr>
                              <w:t>ADT</w:t>
                            </w:r>
                            <w:r w:rsidRPr="000136EE">
                              <w:rPr>
                                <w:rFonts w:eastAsia="MS Mincho"/>
                                <w:vertAlign w:val="subscript"/>
                              </w:rPr>
                              <w:t>m</w:t>
                            </w:r>
                            <w:r w:rsidRPr="004859C8">
                              <w:rPr>
                                <w:rFonts w:eastAsia="MS Mincho"/>
                              </w:rPr>
                              <w:t xml:space="preserve"> by DOW</w:t>
                            </w:r>
                          </w:p>
                        </w:tc>
                        <w:tc>
                          <w:tcPr>
                            <w:tcW w:w="943" w:type="dxa"/>
                            <w:tcBorders>
                              <w:left w:val="single" w:sz="4" w:space="0" w:color="FFFFFF" w:themeColor="background1"/>
                            </w:tcBorders>
                            <w:shd w:val="clear" w:color="auto" w:fill="1F3864"/>
                            <w:vAlign w:val="center"/>
                          </w:tcPr>
                          <w:p w14:paraId="65465176" w14:textId="1A67DB7F" w:rsidR="00472990" w:rsidRDefault="00472990" w:rsidP="0017389B">
                            <w:pPr>
                              <w:pStyle w:val="TMGTableTextHeader"/>
                            </w:pPr>
                            <w:r w:rsidRPr="004859C8">
                              <w:rPr>
                                <w:rFonts w:eastAsia="MS Mincho"/>
                              </w:rPr>
                              <w:t xml:space="preserve">Resulting </w:t>
                            </w:r>
                            <w:r w:rsidRPr="004859C8">
                              <w:t>DOW</w:t>
                            </w:r>
                            <w:r w:rsidRPr="004859C8">
                              <w:rPr>
                                <w:rFonts w:eastAsia="MS Mincho"/>
                              </w:rPr>
                              <w:t xml:space="preserve"> MCF</w:t>
                            </w:r>
                          </w:p>
                        </w:tc>
                      </w:tr>
                      <w:tr w:rsidR="00472990" w14:paraId="129E5DA3" w14:textId="77777777" w:rsidTr="00E229BE">
                        <w:tc>
                          <w:tcPr>
                            <w:tcW w:w="1260" w:type="dxa"/>
                          </w:tcPr>
                          <w:p w14:paraId="5BD0A2A6" w14:textId="6A4E2CC7" w:rsidR="00472990" w:rsidRDefault="00472990" w:rsidP="00917D58">
                            <w:pPr>
                              <w:pStyle w:val="TMGTableText"/>
                              <w:spacing w:before="10" w:after="10"/>
                              <w:ind w:left="0"/>
                            </w:pPr>
                            <w:r w:rsidRPr="004859C8">
                              <w:t>Monday</w:t>
                            </w:r>
                          </w:p>
                        </w:tc>
                        <w:tc>
                          <w:tcPr>
                            <w:tcW w:w="928" w:type="dxa"/>
                            <w:vAlign w:val="center"/>
                          </w:tcPr>
                          <w:p w14:paraId="6DFC8FA5" w14:textId="5418C9A0" w:rsidR="00472990" w:rsidRDefault="00472990" w:rsidP="00E229BE">
                            <w:pPr>
                              <w:pStyle w:val="TMGTableText"/>
                              <w:spacing w:before="10" w:after="10"/>
                              <w:ind w:left="0"/>
                              <w:jc w:val="center"/>
                            </w:pPr>
                            <w:r w:rsidRPr="004859C8">
                              <w:t>396</w:t>
                            </w:r>
                          </w:p>
                        </w:tc>
                        <w:tc>
                          <w:tcPr>
                            <w:tcW w:w="943" w:type="dxa"/>
                            <w:vAlign w:val="center"/>
                          </w:tcPr>
                          <w:p w14:paraId="0D1FA8E0" w14:textId="55FBD837" w:rsidR="00472990" w:rsidRDefault="00472990" w:rsidP="00E229BE">
                            <w:pPr>
                              <w:pStyle w:val="TMGTableText"/>
                              <w:spacing w:before="10" w:after="10"/>
                              <w:ind w:left="0"/>
                              <w:jc w:val="center"/>
                            </w:pPr>
                            <w:r w:rsidRPr="004859C8">
                              <w:t>1.26</w:t>
                            </w:r>
                          </w:p>
                        </w:tc>
                      </w:tr>
                      <w:tr w:rsidR="00472990" w14:paraId="49793554" w14:textId="77777777" w:rsidTr="00E229BE">
                        <w:tc>
                          <w:tcPr>
                            <w:tcW w:w="1260" w:type="dxa"/>
                          </w:tcPr>
                          <w:p w14:paraId="607AFBE6" w14:textId="39A28EB2" w:rsidR="00472990" w:rsidRDefault="00472990" w:rsidP="00917D58">
                            <w:pPr>
                              <w:pStyle w:val="TMGTableText"/>
                              <w:spacing w:before="10" w:after="10"/>
                              <w:ind w:left="0"/>
                            </w:pPr>
                            <w:r w:rsidRPr="004859C8">
                              <w:t>Tuesday</w:t>
                            </w:r>
                          </w:p>
                        </w:tc>
                        <w:tc>
                          <w:tcPr>
                            <w:tcW w:w="928" w:type="dxa"/>
                            <w:vAlign w:val="center"/>
                          </w:tcPr>
                          <w:p w14:paraId="691E7D8B" w14:textId="2C491EE7" w:rsidR="00472990" w:rsidRDefault="00472990" w:rsidP="00E229BE">
                            <w:pPr>
                              <w:pStyle w:val="TMGTableText"/>
                              <w:spacing w:before="10" w:after="10"/>
                              <w:ind w:left="0"/>
                              <w:jc w:val="center"/>
                            </w:pPr>
                            <w:r w:rsidRPr="004859C8">
                              <w:t>403</w:t>
                            </w:r>
                          </w:p>
                        </w:tc>
                        <w:tc>
                          <w:tcPr>
                            <w:tcW w:w="943" w:type="dxa"/>
                            <w:vAlign w:val="center"/>
                          </w:tcPr>
                          <w:p w14:paraId="51C33947" w14:textId="0C334E66" w:rsidR="00472990" w:rsidRDefault="00472990" w:rsidP="00E229BE">
                            <w:pPr>
                              <w:pStyle w:val="TMGTableText"/>
                              <w:spacing w:before="10" w:after="10"/>
                              <w:ind w:left="0"/>
                              <w:jc w:val="center"/>
                            </w:pPr>
                            <w:r w:rsidRPr="004859C8">
                              <w:t>1.24</w:t>
                            </w:r>
                          </w:p>
                        </w:tc>
                      </w:tr>
                      <w:tr w:rsidR="00472990" w14:paraId="23841C3E" w14:textId="77777777" w:rsidTr="00E229BE">
                        <w:tc>
                          <w:tcPr>
                            <w:tcW w:w="1260" w:type="dxa"/>
                          </w:tcPr>
                          <w:p w14:paraId="49FFBDDE" w14:textId="275367A9" w:rsidR="00472990" w:rsidRDefault="00472990" w:rsidP="00917D58">
                            <w:pPr>
                              <w:pStyle w:val="TMGTableText"/>
                              <w:spacing w:before="10" w:after="10"/>
                              <w:ind w:left="0"/>
                            </w:pPr>
                            <w:r w:rsidRPr="004859C8">
                              <w:t>Wednesday</w:t>
                            </w:r>
                          </w:p>
                        </w:tc>
                        <w:tc>
                          <w:tcPr>
                            <w:tcW w:w="928" w:type="dxa"/>
                            <w:vAlign w:val="center"/>
                          </w:tcPr>
                          <w:p w14:paraId="7323CC21" w14:textId="45BC989C" w:rsidR="00472990" w:rsidRDefault="00472990" w:rsidP="00E229BE">
                            <w:pPr>
                              <w:pStyle w:val="TMGTableText"/>
                              <w:spacing w:before="10" w:after="10"/>
                              <w:ind w:left="0"/>
                              <w:jc w:val="center"/>
                            </w:pPr>
                            <w:r w:rsidRPr="004859C8">
                              <w:t>405</w:t>
                            </w:r>
                          </w:p>
                        </w:tc>
                        <w:tc>
                          <w:tcPr>
                            <w:tcW w:w="943" w:type="dxa"/>
                            <w:vAlign w:val="center"/>
                          </w:tcPr>
                          <w:p w14:paraId="3F5B1010" w14:textId="6F3766D2" w:rsidR="00472990" w:rsidRDefault="00472990" w:rsidP="00E229BE">
                            <w:pPr>
                              <w:pStyle w:val="TMGTableText"/>
                              <w:spacing w:before="10" w:after="10"/>
                              <w:ind w:left="0"/>
                              <w:jc w:val="center"/>
                            </w:pPr>
                            <w:r w:rsidRPr="004859C8">
                              <w:t>1.23</w:t>
                            </w:r>
                          </w:p>
                        </w:tc>
                      </w:tr>
                      <w:tr w:rsidR="00472990" w14:paraId="0B5E9D08" w14:textId="77777777" w:rsidTr="00E229BE">
                        <w:tc>
                          <w:tcPr>
                            <w:tcW w:w="1260" w:type="dxa"/>
                          </w:tcPr>
                          <w:p w14:paraId="1E3C359E" w14:textId="3B707170" w:rsidR="00472990" w:rsidRDefault="00472990" w:rsidP="00917D58">
                            <w:pPr>
                              <w:pStyle w:val="TMGTableText"/>
                              <w:spacing w:before="10" w:after="10"/>
                              <w:ind w:left="0"/>
                            </w:pPr>
                            <w:r w:rsidRPr="004859C8">
                              <w:t>Thursday</w:t>
                            </w:r>
                          </w:p>
                        </w:tc>
                        <w:tc>
                          <w:tcPr>
                            <w:tcW w:w="928" w:type="dxa"/>
                            <w:vAlign w:val="center"/>
                          </w:tcPr>
                          <w:p w14:paraId="06E19FA1" w14:textId="63BCA5EF" w:rsidR="00472990" w:rsidRDefault="00472990" w:rsidP="00E229BE">
                            <w:pPr>
                              <w:pStyle w:val="TMGTableText"/>
                              <w:spacing w:before="10" w:after="10"/>
                              <w:ind w:left="0"/>
                              <w:jc w:val="center"/>
                            </w:pPr>
                            <w:r w:rsidRPr="004859C8">
                              <w:t>428</w:t>
                            </w:r>
                          </w:p>
                        </w:tc>
                        <w:tc>
                          <w:tcPr>
                            <w:tcW w:w="943" w:type="dxa"/>
                            <w:vAlign w:val="center"/>
                          </w:tcPr>
                          <w:p w14:paraId="18B5A3EE" w14:textId="5736B044" w:rsidR="00472990" w:rsidRDefault="00472990" w:rsidP="00E229BE">
                            <w:pPr>
                              <w:pStyle w:val="TMGTableText"/>
                              <w:spacing w:before="10" w:after="10"/>
                              <w:ind w:left="0"/>
                              <w:jc w:val="center"/>
                            </w:pPr>
                            <w:r w:rsidRPr="004859C8">
                              <w:t>1.17</w:t>
                            </w:r>
                          </w:p>
                        </w:tc>
                      </w:tr>
                      <w:tr w:rsidR="00472990" w14:paraId="5853527C" w14:textId="77777777" w:rsidTr="00E229BE">
                        <w:tc>
                          <w:tcPr>
                            <w:tcW w:w="1260" w:type="dxa"/>
                          </w:tcPr>
                          <w:p w14:paraId="47BAFEE4" w14:textId="681516DD" w:rsidR="00472990" w:rsidRDefault="00472990" w:rsidP="00917D58">
                            <w:pPr>
                              <w:pStyle w:val="TMGTableText"/>
                              <w:spacing w:before="10" w:after="10"/>
                              <w:ind w:left="0"/>
                            </w:pPr>
                            <w:r w:rsidRPr="004859C8">
                              <w:t>Friday</w:t>
                            </w:r>
                          </w:p>
                        </w:tc>
                        <w:tc>
                          <w:tcPr>
                            <w:tcW w:w="928" w:type="dxa"/>
                            <w:vAlign w:val="center"/>
                          </w:tcPr>
                          <w:p w14:paraId="6BD15980" w14:textId="0C1B0749" w:rsidR="00472990" w:rsidRDefault="00472990" w:rsidP="00E229BE">
                            <w:pPr>
                              <w:pStyle w:val="TMGTableText"/>
                              <w:spacing w:before="10" w:after="10"/>
                              <w:ind w:left="0"/>
                              <w:jc w:val="center"/>
                            </w:pPr>
                            <w:r w:rsidRPr="004859C8">
                              <w:t>655</w:t>
                            </w:r>
                          </w:p>
                        </w:tc>
                        <w:tc>
                          <w:tcPr>
                            <w:tcW w:w="943" w:type="dxa"/>
                            <w:vAlign w:val="center"/>
                          </w:tcPr>
                          <w:p w14:paraId="59637A2F" w14:textId="03F33DAF" w:rsidR="00472990" w:rsidRDefault="00472990" w:rsidP="00E229BE">
                            <w:pPr>
                              <w:pStyle w:val="TMGTableText"/>
                              <w:spacing w:before="10" w:after="10"/>
                              <w:ind w:left="0"/>
                              <w:jc w:val="center"/>
                            </w:pPr>
                            <w:r w:rsidRPr="004859C8">
                              <w:t>0.76</w:t>
                            </w:r>
                          </w:p>
                        </w:tc>
                      </w:tr>
                      <w:tr w:rsidR="00472990" w14:paraId="00D1E188" w14:textId="77777777" w:rsidTr="00E229BE">
                        <w:tc>
                          <w:tcPr>
                            <w:tcW w:w="1260" w:type="dxa"/>
                          </w:tcPr>
                          <w:p w14:paraId="0F905117" w14:textId="259224F6" w:rsidR="00472990" w:rsidRDefault="00472990" w:rsidP="00917D58">
                            <w:pPr>
                              <w:pStyle w:val="TMGTableText"/>
                              <w:spacing w:before="10" w:after="10"/>
                              <w:ind w:left="0"/>
                            </w:pPr>
                            <w:r w:rsidRPr="004859C8">
                              <w:t>Saturday</w:t>
                            </w:r>
                          </w:p>
                        </w:tc>
                        <w:tc>
                          <w:tcPr>
                            <w:tcW w:w="928" w:type="dxa"/>
                            <w:vAlign w:val="center"/>
                          </w:tcPr>
                          <w:p w14:paraId="2E83A45E" w14:textId="72A0C8A8" w:rsidR="00472990" w:rsidRDefault="00472990" w:rsidP="00E229BE">
                            <w:pPr>
                              <w:pStyle w:val="TMGTableText"/>
                              <w:spacing w:before="10" w:after="10"/>
                              <w:ind w:left="0"/>
                              <w:jc w:val="center"/>
                            </w:pPr>
                            <w:r w:rsidRPr="004859C8">
                              <w:t>725</w:t>
                            </w:r>
                          </w:p>
                        </w:tc>
                        <w:tc>
                          <w:tcPr>
                            <w:tcW w:w="943" w:type="dxa"/>
                            <w:vAlign w:val="center"/>
                          </w:tcPr>
                          <w:p w14:paraId="0B4568CB" w14:textId="1D3EC653" w:rsidR="00472990" w:rsidRDefault="00472990" w:rsidP="00E229BE">
                            <w:pPr>
                              <w:pStyle w:val="TMGTableText"/>
                              <w:spacing w:before="10" w:after="10"/>
                              <w:ind w:left="0"/>
                              <w:jc w:val="center"/>
                            </w:pPr>
                            <w:r w:rsidRPr="004859C8">
                              <w:t>0.69</w:t>
                            </w:r>
                          </w:p>
                        </w:tc>
                      </w:tr>
                      <w:tr w:rsidR="00472990" w14:paraId="25534F4D" w14:textId="77777777" w:rsidTr="00E229BE">
                        <w:tc>
                          <w:tcPr>
                            <w:tcW w:w="1260" w:type="dxa"/>
                          </w:tcPr>
                          <w:p w14:paraId="0EC5D136" w14:textId="0C4B2A35" w:rsidR="00472990" w:rsidRDefault="00472990" w:rsidP="00917D58">
                            <w:pPr>
                              <w:pStyle w:val="TMGTableText"/>
                              <w:spacing w:before="10" w:after="10"/>
                              <w:ind w:left="0"/>
                            </w:pPr>
                            <w:r w:rsidRPr="004859C8">
                              <w:t>Sunday</w:t>
                            </w:r>
                          </w:p>
                        </w:tc>
                        <w:tc>
                          <w:tcPr>
                            <w:tcW w:w="928" w:type="dxa"/>
                            <w:vAlign w:val="center"/>
                          </w:tcPr>
                          <w:p w14:paraId="55F7BDF0" w14:textId="3A9EF4BE" w:rsidR="00472990" w:rsidRDefault="00472990" w:rsidP="00E229BE">
                            <w:pPr>
                              <w:pStyle w:val="TMGTableText"/>
                              <w:spacing w:before="10" w:after="10"/>
                              <w:ind w:left="0"/>
                              <w:jc w:val="center"/>
                            </w:pPr>
                            <w:r w:rsidRPr="004859C8">
                              <w:t>483</w:t>
                            </w:r>
                          </w:p>
                        </w:tc>
                        <w:tc>
                          <w:tcPr>
                            <w:tcW w:w="943" w:type="dxa"/>
                            <w:vAlign w:val="center"/>
                          </w:tcPr>
                          <w:p w14:paraId="1C3E83CF" w14:textId="7F1FED6B" w:rsidR="00472990" w:rsidRDefault="00472990" w:rsidP="00E229BE">
                            <w:pPr>
                              <w:pStyle w:val="TMGTableText"/>
                              <w:spacing w:before="10" w:after="10"/>
                              <w:ind w:left="0"/>
                              <w:jc w:val="center"/>
                            </w:pPr>
                            <w:r w:rsidRPr="004859C8">
                              <w:t>1.03</w:t>
                            </w:r>
                          </w:p>
                        </w:tc>
                      </w:tr>
                      <w:tr w:rsidR="00472990" w14:paraId="43DA524C" w14:textId="77777777" w:rsidTr="00E229BE">
                        <w:tc>
                          <w:tcPr>
                            <w:tcW w:w="1260" w:type="dxa"/>
                          </w:tcPr>
                          <w:p w14:paraId="53075472" w14:textId="6D27F6BB" w:rsidR="00472990" w:rsidRDefault="00472990" w:rsidP="00917D58">
                            <w:pPr>
                              <w:pStyle w:val="TMGTableText"/>
                              <w:spacing w:before="10" w:after="10"/>
                              <w:ind w:left="0"/>
                            </w:pPr>
                            <w:r w:rsidRPr="004859C8">
                              <w:t>ADT</w:t>
                            </w:r>
                            <w:r w:rsidRPr="000136EE">
                              <w:rPr>
                                <w:vertAlign w:val="subscript"/>
                              </w:rPr>
                              <w:t>m</w:t>
                            </w:r>
                          </w:p>
                        </w:tc>
                        <w:tc>
                          <w:tcPr>
                            <w:tcW w:w="928" w:type="dxa"/>
                            <w:vAlign w:val="center"/>
                          </w:tcPr>
                          <w:p w14:paraId="5B3F8D07" w14:textId="31314AE3" w:rsidR="00472990" w:rsidRDefault="00472990" w:rsidP="00E229BE">
                            <w:pPr>
                              <w:pStyle w:val="TMGTableText"/>
                              <w:spacing w:before="10" w:after="10"/>
                              <w:ind w:left="0"/>
                              <w:jc w:val="center"/>
                            </w:pPr>
                            <w:r w:rsidRPr="004859C8">
                              <w:t>499</w:t>
                            </w:r>
                          </w:p>
                        </w:tc>
                        <w:tc>
                          <w:tcPr>
                            <w:tcW w:w="943" w:type="dxa"/>
                            <w:vAlign w:val="center"/>
                          </w:tcPr>
                          <w:p w14:paraId="301229CC" w14:textId="60FE968A" w:rsidR="00472990" w:rsidRDefault="00472990" w:rsidP="00E229BE">
                            <w:pPr>
                              <w:pStyle w:val="TMGTableText"/>
                              <w:spacing w:before="10" w:after="10"/>
                              <w:ind w:left="0"/>
                              <w:jc w:val="center"/>
                            </w:pPr>
                          </w:p>
                        </w:tc>
                      </w:tr>
                    </w:tbl>
                    <w:p w14:paraId="2994099F" w14:textId="77777777" w:rsidR="00472990" w:rsidRDefault="00472990" w:rsidP="00472990"/>
                  </w:txbxContent>
                </v:textbox>
                <w10:wrap type="square" anchorx="margin"/>
              </v:shape>
            </w:pict>
          </mc:Fallback>
        </mc:AlternateContent>
      </w:r>
      <w:r w:rsidR="003F7B9F" w:rsidRPr="006701AC">
        <w:t xml:space="preserve">Next, use continuous count data to </w:t>
      </w:r>
      <w:r w:rsidR="003F7B9F" w:rsidRPr="005576C5">
        <w:t>calculate the average daily traffic by vehicle type for each day of the week for the year. For motorcycles, the computed parameter will be ADT</w:t>
      </w:r>
      <w:r w:rsidR="003F7B9F" w:rsidRPr="002F6ADF">
        <w:rPr>
          <w:vertAlign w:val="subscript"/>
        </w:rPr>
        <w:t>m</w:t>
      </w:r>
      <w:r w:rsidR="003F7B9F" w:rsidRPr="005576C5">
        <w:t xml:space="preserve"> by DOW. Then compute DOW motorcycle correction factors (MCF) as the ratio of the annual AADT</w:t>
      </w:r>
      <w:r w:rsidR="003F7B9F" w:rsidRPr="002F6ADF">
        <w:rPr>
          <w:vertAlign w:val="subscript"/>
        </w:rPr>
        <w:t>m</w:t>
      </w:r>
      <w:r w:rsidR="003F7B9F" w:rsidRPr="005576C5">
        <w:t xml:space="preserve"> and the DOW ADT</w:t>
      </w:r>
      <w:r w:rsidR="003F7B9F" w:rsidRPr="002F6ADF">
        <w:rPr>
          <w:vertAlign w:val="subscript"/>
        </w:rPr>
        <w:t>m</w:t>
      </w:r>
      <w:r w:rsidR="003F7B9F" w:rsidRPr="005576C5">
        <w:t xml:space="preserve">. </w:t>
      </w:r>
      <w:r w:rsidR="006827F7">
        <w:fldChar w:fldCharType="begin"/>
      </w:r>
      <w:r w:rsidR="006827F7">
        <w:instrText xml:space="preserve"> REF _Ref114750008 \h </w:instrText>
      </w:r>
      <w:r w:rsidR="006827F7">
        <w:fldChar w:fldCharType="separate"/>
      </w:r>
      <w:r w:rsidR="00C07DF9">
        <w:t xml:space="preserve">Table </w:t>
      </w:r>
      <w:r w:rsidR="00C07DF9">
        <w:rPr>
          <w:noProof/>
        </w:rPr>
        <w:t>3</w:t>
      </w:r>
      <w:r w:rsidR="00C07DF9">
        <w:noBreakHyphen/>
      </w:r>
      <w:r w:rsidR="00C07DF9">
        <w:rPr>
          <w:noProof/>
        </w:rPr>
        <w:t>8</w:t>
      </w:r>
      <w:r w:rsidR="006827F7">
        <w:fldChar w:fldCharType="end"/>
      </w:r>
      <w:r w:rsidR="003F7B9F" w:rsidRPr="00601A40">
        <w:t xml:space="preserve"> shows</w:t>
      </w:r>
      <w:r w:rsidR="003F7B9F" w:rsidRPr="005576C5">
        <w:t xml:space="preserve"> an example of the annual ADT</w:t>
      </w:r>
      <w:r w:rsidR="003F7B9F" w:rsidRPr="002F6ADF">
        <w:rPr>
          <w:vertAlign w:val="subscript"/>
        </w:rPr>
        <w:t>m</w:t>
      </w:r>
      <w:r w:rsidR="003F7B9F" w:rsidRPr="005576C5">
        <w:t xml:space="preserve"> by day </w:t>
      </w:r>
      <w:r w:rsidR="003F7B9F" w:rsidRPr="006701AC">
        <w:t>of week.</w:t>
      </w:r>
    </w:p>
    <w:p w14:paraId="5AAD02FD" w14:textId="015F6670" w:rsidR="003F7B9F" w:rsidRPr="006701AC" w:rsidRDefault="003F7B9F" w:rsidP="00E229BE">
      <w:pPr>
        <w:pStyle w:val="BodyText"/>
      </w:pPr>
      <w:r w:rsidRPr="006701AC">
        <w:t xml:space="preserve">Compute the MCF </w:t>
      </w:r>
      <w:r w:rsidRPr="00E229BE">
        <w:t>for</w:t>
      </w:r>
      <w:r w:rsidRPr="006701AC">
        <w:t xml:space="preserve"> each DOW:</w:t>
      </w:r>
    </w:p>
    <w:p w14:paraId="3A589294" w14:textId="77777777" w:rsidR="003F7B9F" w:rsidRPr="00C40D5F" w:rsidRDefault="003F7B9F">
      <w:pPr>
        <w:pStyle w:val="TMGBullet"/>
      </w:pPr>
      <w:r w:rsidRPr="00C40D5F">
        <w:t xml:space="preserve">Monday MCF = </w:t>
      </w:r>
      <w:r w:rsidRPr="00C40D5F">
        <w:rPr>
          <w:rFonts w:eastAsia="MS Mincho"/>
        </w:rPr>
        <w:t xml:space="preserve">ADTm </w:t>
      </w:r>
      <w:r w:rsidRPr="00C40D5F">
        <w:t>Mon/Monday A</w:t>
      </w:r>
      <w:r w:rsidRPr="00C40D5F">
        <w:rPr>
          <w:rFonts w:eastAsia="MS Mincho"/>
        </w:rPr>
        <w:t>ADTm</w:t>
      </w:r>
      <w:r w:rsidRPr="00C40D5F">
        <w:br/>
        <w:t>in this case 499/396 = 1.26</w:t>
      </w:r>
    </w:p>
    <w:p w14:paraId="72FC1C77" w14:textId="77777777" w:rsidR="003F7B9F" w:rsidRPr="00C40D5F" w:rsidRDefault="003F7B9F">
      <w:pPr>
        <w:pStyle w:val="TMGBullet"/>
      </w:pPr>
      <w:r w:rsidRPr="00C40D5F">
        <w:t xml:space="preserve">Tuesday MCF = </w:t>
      </w:r>
      <w:r w:rsidRPr="00C40D5F">
        <w:rPr>
          <w:rFonts w:eastAsia="MS Mincho"/>
        </w:rPr>
        <w:t xml:space="preserve">ADTm </w:t>
      </w:r>
      <w:r w:rsidRPr="00C40D5F">
        <w:t>Tue/Tuesday A</w:t>
      </w:r>
      <w:r w:rsidRPr="00C40D5F">
        <w:rPr>
          <w:rFonts w:eastAsia="MS Mincho"/>
        </w:rPr>
        <w:t>ADTm</w:t>
      </w:r>
      <w:r w:rsidRPr="00C40D5F">
        <w:br/>
        <w:t>in this case 499/403 = 1.24</w:t>
      </w:r>
    </w:p>
    <w:p w14:paraId="4CDD063A" w14:textId="77777777" w:rsidR="003F7B9F" w:rsidRPr="00C40D5F" w:rsidRDefault="003F7B9F">
      <w:pPr>
        <w:pStyle w:val="TMGBullet"/>
      </w:pPr>
      <w:r w:rsidRPr="00C40D5F">
        <w:t xml:space="preserve">Wednesday MCF = </w:t>
      </w:r>
      <w:r w:rsidRPr="00C40D5F">
        <w:rPr>
          <w:rFonts w:eastAsia="MS Mincho"/>
        </w:rPr>
        <w:t xml:space="preserve">ADTm </w:t>
      </w:r>
      <w:r w:rsidRPr="00C40D5F">
        <w:t>Wed/Wednesday A</w:t>
      </w:r>
      <w:r w:rsidRPr="00C40D5F">
        <w:rPr>
          <w:rFonts w:eastAsia="MS Mincho"/>
        </w:rPr>
        <w:t>ADTm</w:t>
      </w:r>
      <w:r w:rsidRPr="00C40D5F">
        <w:br/>
        <w:t>in this case 499/405 = 1.23</w:t>
      </w:r>
    </w:p>
    <w:p w14:paraId="5644C8CB" w14:textId="77777777" w:rsidR="003F7B9F" w:rsidRPr="00C40D5F" w:rsidRDefault="003F7B9F">
      <w:pPr>
        <w:pStyle w:val="TMGBullet"/>
      </w:pPr>
      <w:r w:rsidRPr="00C40D5F">
        <w:t xml:space="preserve">Thursday MCF = </w:t>
      </w:r>
      <w:r w:rsidRPr="00C40D5F">
        <w:rPr>
          <w:rFonts w:eastAsia="MS Mincho"/>
        </w:rPr>
        <w:t xml:space="preserve">ADTm </w:t>
      </w:r>
      <w:r w:rsidRPr="00C40D5F">
        <w:t>Thu/Thursday A</w:t>
      </w:r>
      <w:r w:rsidRPr="00C40D5F">
        <w:rPr>
          <w:rFonts w:eastAsia="MS Mincho"/>
        </w:rPr>
        <w:t>ADTm</w:t>
      </w:r>
      <w:r w:rsidRPr="00C40D5F">
        <w:br/>
        <w:t>in this case 499/428 = 1.17</w:t>
      </w:r>
    </w:p>
    <w:p w14:paraId="27D7F8E7" w14:textId="0EED16F0" w:rsidR="003F7B9F" w:rsidRPr="00C40D5F" w:rsidRDefault="003F7B9F">
      <w:pPr>
        <w:pStyle w:val="TMGBullet"/>
      </w:pPr>
      <w:r w:rsidRPr="00C40D5F">
        <w:t xml:space="preserve">Friday MCF = </w:t>
      </w:r>
      <w:r w:rsidRPr="00C40D5F">
        <w:rPr>
          <w:rFonts w:eastAsia="MS Mincho"/>
        </w:rPr>
        <w:t xml:space="preserve">ADTm </w:t>
      </w:r>
      <w:r w:rsidRPr="00C40D5F">
        <w:t>Fri/Friday A</w:t>
      </w:r>
      <w:r w:rsidRPr="00C40D5F">
        <w:rPr>
          <w:rFonts w:eastAsia="MS Mincho"/>
        </w:rPr>
        <w:t>ADTm</w:t>
      </w:r>
      <w:r w:rsidRPr="00C40D5F">
        <w:br/>
        <w:t>in this case 499/655 = 0.76</w:t>
      </w:r>
    </w:p>
    <w:p w14:paraId="237471A3" w14:textId="387274B0" w:rsidR="003F7B9F" w:rsidRPr="00C40D5F" w:rsidRDefault="003F7B9F">
      <w:pPr>
        <w:pStyle w:val="TMGBullet"/>
      </w:pPr>
      <w:r w:rsidRPr="00C40D5F">
        <w:t xml:space="preserve">Saturday MCF = </w:t>
      </w:r>
      <w:r w:rsidRPr="00C40D5F">
        <w:rPr>
          <w:rFonts w:eastAsia="MS Mincho"/>
        </w:rPr>
        <w:t xml:space="preserve">ADTm </w:t>
      </w:r>
      <w:r w:rsidRPr="00C40D5F">
        <w:t>Sat/Saturday A</w:t>
      </w:r>
      <w:r w:rsidRPr="00C40D5F">
        <w:rPr>
          <w:rFonts w:eastAsia="MS Mincho"/>
        </w:rPr>
        <w:t>ADTm</w:t>
      </w:r>
      <w:r w:rsidRPr="00C40D5F">
        <w:br/>
        <w:t>in this case 499/725 = 0.69</w:t>
      </w:r>
    </w:p>
    <w:p w14:paraId="45384B23" w14:textId="182CD9A0" w:rsidR="003F7B9F" w:rsidRPr="00C40D5F" w:rsidRDefault="003F7B9F">
      <w:pPr>
        <w:pStyle w:val="TMGBullet"/>
      </w:pPr>
      <w:r w:rsidRPr="00C40D5F">
        <w:t xml:space="preserve">Sunday MCF = </w:t>
      </w:r>
      <w:r w:rsidRPr="00C40D5F">
        <w:rPr>
          <w:rFonts w:eastAsia="MS Mincho"/>
        </w:rPr>
        <w:t xml:space="preserve">ADTm </w:t>
      </w:r>
      <w:r w:rsidRPr="00C40D5F">
        <w:t>Sun/Sunday A</w:t>
      </w:r>
      <w:r w:rsidRPr="00C40D5F">
        <w:rPr>
          <w:rFonts w:eastAsia="MS Mincho"/>
        </w:rPr>
        <w:t>ADTm</w:t>
      </w:r>
      <w:r w:rsidRPr="00C40D5F">
        <w:br/>
        <w:t>in this case 499/483 = 1.03</w:t>
      </w:r>
    </w:p>
    <w:p w14:paraId="1BA75E26" w14:textId="738AF1D9" w:rsidR="003F7B9F" w:rsidRPr="006701AC" w:rsidRDefault="003E79E9" w:rsidP="00A35EAF">
      <w:pPr>
        <w:pStyle w:val="BodyText"/>
      </w:pPr>
      <w:r>
        <w:rPr>
          <w:noProof/>
        </w:rPr>
        <mc:AlternateContent>
          <mc:Choice Requires="wps">
            <w:drawing>
              <wp:anchor distT="45720" distB="45720" distL="114300" distR="114300" simplePos="0" relativeHeight="251709440" behindDoc="0" locked="0" layoutInCell="1" allowOverlap="1" wp14:anchorId="03FE9D53" wp14:editId="55A8A951">
                <wp:simplePos x="0" y="0"/>
                <wp:positionH relativeFrom="margin">
                  <wp:posOffset>3947160</wp:posOffset>
                </wp:positionH>
                <wp:positionV relativeFrom="paragraph">
                  <wp:posOffset>211271</wp:posOffset>
                </wp:positionV>
                <wp:extent cx="2057400" cy="1130935"/>
                <wp:effectExtent l="0" t="0" r="0" b="0"/>
                <wp:wrapSquare wrapText="bothSides"/>
                <wp:docPr id="2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130935"/>
                        </a:xfrm>
                        <a:prstGeom prst="rect">
                          <a:avLst/>
                        </a:prstGeom>
                        <a:solidFill>
                          <a:srgbClr val="FFFFFF"/>
                        </a:solidFill>
                        <a:ln w="9525">
                          <a:noFill/>
                          <a:miter lim="800000"/>
                          <a:headEnd/>
                          <a:tailEnd/>
                        </a:ln>
                      </wps:spPr>
                      <wps:txbx>
                        <w:txbxContent>
                          <w:p w14:paraId="324C58CD" w14:textId="163BA8C5" w:rsidR="00A90A60" w:rsidRDefault="00A90A60" w:rsidP="00A90A60">
                            <w:pPr>
                              <w:pStyle w:val="TMGTableCaption"/>
                              <w:spacing w:before="0"/>
                            </w:pPr>
                            <w:bookmarkStart w:id="1842" w:name="_Ref116025238"/>
                            <w:bookmarkStart w:id="1843" w:name="_Toc120631135"/>
                            <w:r>
                              <w:t xml:space="preserve">Table </w:t>
                            </w:r>
                            <w:fldSimple w:instr=" STYLEREF 1 \s ">
                              <w:r w:rsidR="00FC0E95">
                                <w:rPr>
                                  <w:noProof/>
                                </w:rPr>
                                <w:t>3</w:t>
                              </w:r>
                            </w:fldSimple>
                            <w:r>
                              <w:noBreakHyphen/>
                            </w:r>
                            <w:fldSimple w:instr=" SEQ Table \* ARABIC \s 1 ">
                              <w:r w:rsidR="00FC0E95">
                                <w:rPr>
                                  <w:noProof/>
                                </w:rPr>
                                <w:t>9</w:t>
                              </w:r>
                            </w:fldSimple>
                            <w:bookmarkEnd w:id="1842"/>
                            <w:r w:rsidR="00352273">
                              <w:rPr>
                                <w:noProof/>
                              </w:rPr>
                              <w:t>.</w:t>
                            </w:r>
                            <w:r>
                              <w:t xml:space="preserve"> </w:t>
                            </w:r>
                            <w:r w:rsidRPr="00F159D9">
                              <w:t>ADT Calculation Example</w:t>
                            </w:r>
                            <w:bookmarkEnd w:id="1843"/>
                          </w:p>
                          <w:tbl>
                            <w:tblPr>
                              <w:tblStyle w:val="TableGrid"/>
                              <w:tblW w:w="0" w:type="auto"/>
                              <w:tblCellMar>
                                <w:left w:w="86" w:type="dxa"/>
                                <w:right w:w="86" w:type="dxa"/>
                              </w:tblCellMar>
                              <w:tblLook w:val="04A0" w:firstRow="1" w:lastRow="0" w:firstColumn="1" w:lastColumn="0" w:noHBand="0" w:noVBand="1"/>
                            </w:tblPr>
                            <w:tblGrid>
                              <w:gridCol w:w="1345"/>
                              <w:gridCol w:w="990"/>
                              <w:gridCol w:w="796"/>
                            </w:tblGrid>
                            <w:tr w:rsidR="004E5E11" w14:paraId="627002E4" w14:textId="77777777" w:rsidTr="00E229BE">
                              <w:tc>
                                <w:tcPr>
                                  <w:tcW w:w="1345" w:type="dxa"/>
                                  <w:tcBorders>
                                    <w:right w:val="single" w:sz="4" w:space="0" w:color="FFFFFF" w:themeColor="background1"/>
                                  </w:tcBorders>
                                  <w:shd w:val="clear" w:color="auto" w:fill="1F3864"/>
                                  <w:vAlign w:val="center"/>
                                </w:tcPr>
                                <w:p w14:paraId="028590B3" w14:textId="0061B011" w:rsidR="004E5E11" w:rsidRDefault="004E5E11" w:rsidP="0017389B">
                                  <w:pPr>
                                    <w:pStyle w:val="TMGTableTextHeader"/>
                                  </w:pPr>
                                  <w:r>
                                    <w:t>Date</w:t>
                                  </w:r>
                                </w:p>
                              </w:tc>
                              <w:tc>
                                <w:tcPr>
                                  <w:tcW w:w="990" w:type="dxa"/>
                                  <w:tcBorders>
                                    <w:left w:val="single" w:sz="4" w:space="0" w:color="FFFFFF" w:themeColor="background1"/>
                                    <w:right w:val="single" w:sz="4" w:space="0" w:color="FFFFFF" w:themeColor="background1"/>
                                  </w:tcBorders>
                                  <w:shd w:val="clear" w:color="auto" w:fill="1F3864"/>
                                  <w:vAlign w:val="center"/>
                                </w:tcPr>
                                <w:p w14:paraId="590CCB0A" w14:textId="31A2BC8F" w:rsidR="004E5E11" w:rsidRDefault="004E5E11" w:rsidP="0017389B">
                                  <w:pPr>
                                    <w:pStyle w:val="TMGTableTextHeader"/>
                                  </w:pPr>
                                  <w:r>
                                    <w:t>ADT</w:t>
                                  </w:r>
                                </w:p>
                              </w:tc>
                              <w:tc>
                                <w:tcPr>
                                  <w:tcW w:w="796" w:type="dxa"/>
                                  <w:tcBorders>
                                    <w:left w:val="single" w:sz="4" w:space="0" w:color="FFFFFF" w:themeColor="background1"/>
                                  </w:tcBorders>
                                  <w:shd w:val="clear" w:color="auto" w:fill="1F3864"/>
                                  <w:vAlign w:val="center"/>
                                </w:tcPr>
                                <w:p w14:paraId="5AD61853" w14:textId="329D774B" w:rsidR="004E5E11" w:rsidRDefault="004E5E11" w:rsidP="0017389B">
                                  <w:pPr>
                                    <w:pStyle w:val="TMGTableTextHeader"/>
                                  </w:pPr>
                                  <w:r>
                                    <w:t>ADT</w:t>
                                  </w:r>
                                </w:p>
                              </w:tc>
                            </w:tr>
                            <w:tr w:rsidR="004E5E11" w14:paraId="3F5CB7BB" w14:textId="77777777" w:rsidTr="00E229BE">
                              <w:tc>
                                <w:tcPr>
                                  <w:tcW w:w="1345" w:type="dxa"/>
                                </w:tcPr>
                                <w:p w14:paraId="6F98DAC5" w14:textId="465A2245" w:rsidR="004E5E11" w:rsidRDefault="004E5E11" w:rsidP="00917D58">
                                  <w:pPr>
                                    <w:pStyle w:val="TMGTableText"/>
                                    <w:spacing w:before="10" w:after="10"/>
                                    <w:ind w:left="0"/>
                                  </w:pPr>
                                  <w:r w:rsidRPr="006701AC">
                                    <w:t>Aug. 14 (Tues)</w:t>
                                  </w:r>
                                </w:p>
                              </w:tc>
                              <w:tc>
                                <w:tcPr>
                                  <w:tcW w:w="990" w:type="dxa"/>
                                  <w:vAlign w:val="center"/>
                                </w:tcPr>
                                <w:p w14:paraId="560DB213" w14:textId="0AE18165" w:rsidR="004E5E11" w:rsidRDefault="004E5E11" w:rsidP="00E229BE">
                                  <w:pPr>
                                    <w:pStyle w:val="TMGTableText"/>
                                    <w:spacing w:before="10" w:after="10"/>
                                    <w:ind w:left="0" w:right="41"/>
                                    <w:jc w:val="center"/>
                                  </w:pPr>
                                  <w:r w:rsidRPr="006701AC">
                                    <w:t>518</w:t>
                                  </w:r>
                                </w:p>
                              </w:tc>
                              <w:tc>
                                <w:tcPr>
                                  <w:tcW w:w="796" w:type="dxa"/>
                                  <w:vAlign w:val="center"/>
                                </w:tcPr>
                                <w:p w14:paraId="66755C24" w14:textId="082DBF62" w:rsidR="004E5E11" w:rsidRDefault="004E5E11" w:rsidP="00E229BE">
                                  <w:pPr>
                                    <w:pStyle w:val="TMGTableText"/>
                                    <w:spacing w:before="10" w:after="10"/>
                                    <w:ind w:left="0"/>
                                    <w:jc w:val="center"/>
                                  </w:pPr>
                                  <w:r w:rsidRPr="006701AC">
                                    <w:t>50,761</w:t>
                                  </w:r>
                                </w:p>
                              </w:tc>
                            </w:tr>
                            <w:tr w:rsidR="004E5E11" w14:paraId="6C1041A6" w14:textId="77777777" w:rsidTr="00E229BE">
                              <w:tc>
                                <w:tcPr>
                                  <w:tcW w:w="1345" w:type="dxa"/>
                                </w:tcPr>
                                <w:p w14:paraId="630154ED" w14:textId="5E13D536" w:rsidR="004E5E11" w:rsidRDefault="004E5E11" w:rsidP="00917D58">
                                  <w:pPr>
                                    <w:pStyle w:val="TMGTableText"/>
                                    <w:spacing w:before="10" w:after="10"/>
                                    <w:ind w:left="0"/>
                                  </w:pPr>
                                  <w:r w:rsidRPr="006701AC">
                                    <w:t>Aug. 15 (Wed)</w:t>
                                  </w:r>
                                </w:p>
                              </w:tc>
                              <w:tc>
                                <w:tcPr>
                                  <w:tcW w:w="990" w:type="dxa"/>
                                  <w:vAlign w:val="center"/>
                                </w:tcPr>
                                <w:p w14:paraId="4523F9B0" w14:textId="39E764D0" w:rsidR="004E5E11" w:rsidRDefault="004E5E11" w:rsidP="00E229BE">
                                  <w:pPr>
                                    <w:pStyle w:val="TMGTableText"/>
                                    <w:spacing w:before="10" w:after="10"/>
                                    <w:ind w:left="0" w:right="41"/>
                                    <w:jc w:val="center"/>
                                  </w:pPr>
                                  <w:r w:rsidRPr="006701AC">
                                    <w:t>494</w:t>
                                  </w:r>
                                </w:p>
                              </w:tc>
                              <w:tc>
                                <w:tcPr>
                                  <w:tcW w:w="796" w:type="dxa"/>
                                  <w:vAlign w:val="center"/>
                                </w:tcPr>
                                <w:p w14:paraId="102EBCDE" w14:textId="7D13647D" w:rsidR="004E5E11" w:rsidRDefault="004E5E11" w:rsidP="00E229BE">
                                  <w:pPr>
                                    <w:pStyle w:val="TMGTableText"/>
                                    <w:spacing w:before="10" w:after="10"/>
                                    <w:ind w:left="0"/>
                                    <w:jc w:val="center"/>
                                  </w:pPr>
                                  <w:r w:rsidRPr="006701AC">
                                    <w:t>51,231</w:t>
                                  </w:r>
                                </w:p>
                              </w:tc>
                            </w:tr>
                            <w:tr w:rsidR="004E5E11" w14:paraId="0C8F738A" w14:textId="77777777" w:rsidTr="00E229BE">
                              <w:tc>
                                <w:tcPr>
                                  <w:tcW w:w="1345" w:type="dxa"/>
                                </w:tcPr>
                                <w:p w14:paraId="46B37591" w14:textId="6C0302F2" w:rsidR="004E5E11" w:rsidRDefault="004E5E11" w:rsidP="00917D58">
                                  <w:pPr>
                                    <w:pStyle w:val="TMGTableText"/>
                                    <w:spacing w:before="10" w:after="10"/>
                                    <w:ind w:left="0"/>
                                  </w:pPr>
                                  <w:r w:rsidRPr="004859C8">
                                    <w:t>Average</w:t>
                                  </w:r>
                                </w:p>
                              </w:tc>
                              <w:tc>
                                <w:tcPr>
                                  <w:tcW w:w="990" w:type="dxa"/>
                                  <w:vAlign w:val="center"/>
                                </w:tcPr>
                                <w:p w14:paraId="6DB203AE" w14:textId="4A9501B6" w:rsidR="004E5E11" w:rsidRDefault="004E5E11" w:rsidP="00E229BE">
                                  <w:pPr>
                                    <w:pStyle w:val="TMGTableText"/>
                                    <w:spacing w:before="10" w:after="10"/>
                                    <w:ind w:left="0" w:right="41"/>
                                    <w:jc w:val="center"/>
                                  </w:pPr>
                                  <w:r w:rsidRPr="004859C8">
                                    <w:t>506</w:t>
                                  </w:r>
                                </w:p>
                              </w:tc>
                              <w:tc>
                                <w:tcPr>
                                  <w:tcW w:w="796" w:type="dxa"/>
                                  <w:vAlign w:val="center"/>
                                </w:tcPr>
                                <w:p w14:paraId="61441967" w14:textId="516F9070" w:rsidR="004E5E11" w:rsidRDefault="004E5E11" w:rsidP="00E229BE">
                                  <w:pPr>
                                    <w:pStyle w:val="TMGTableText"/>
                                    <w:spacing w:before="10" w:after="10"/>
                                    <w:ind w:left="0"/>
                                    <w:jc w:val="center"/>
                                  </w:pPr>
                                  <w:r w:rsidRPr="004859C8">
                                    <w:t>50,996</w:t>
                                  </w:r>
                                </w:p>
                              </w:tc>
                            </w:tr>
                          </w:tbl>
                          <w:p w14:paraId="765036EB" w14:textId="77777777" w:rsidR="004E5E11" w:rsidRDefault="004E5E11" w:rsidP="004E5E11"/>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3FE9D53" id="_x0000_s1100" type="#_x0000_t202" style="position:absolute;margin-left:310.8pt;margin-top:16.65pt;width:162pt;height:89.05pt;z-index:251709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" stroked="f">
                <v:textbox inset="0,0,0,0">
                  <w:txbxContent>
                    <w:p w14:paraId="324C58CD" w14:textId="163BA8C5" w:rsidR="00A90A60" w:rsidRDefault="00A90A60" w:rsidP="00A90A60">
                      <w:pPr>
                        <w:pStyle w:val="TMGTableCaption"/>
                        <w:spacing w:before="0"/>
                      </w:pPr>
                      <w:bookmarkStart w:id="1844" w:name="_Ref116025238"/>
                      <w:bookmarkStart w:id="1845" w:name="_Toc120631135"/>
                      <w:r>
                        <w:t xml:space="preserve">Table </w:t>
                      </w:r>
                      <w:fldSimple w:instr=" STYLEREF 1 \s ">
                        <w:r w:rsidR="00FC0E95">
                          <w:rPr>
                            <w:noProof/>
                          </w:rPr>
                          <w:t>3</w:t>
                        </w:r>
                      </w:fldSimple>
                      <w:r>
                        <w:noBreakHyphen/>
                      </w:r>
                      <w:fldSimple w:instr=" SEQ Table \* ARABIC \s 1 ">
                        <w:r w:rsidR="00FC0E95">
                          <w:rPr>
                            <w:noProof/>
                          </w:rPr>
                          <w:t>9</w:t>
                        </w:r>
                      </w:fldSimple>
                      <w:bookmarkEnd w:id="1844"/>
                      <w:r w:rsidR="00352273">
                        <w:rPr>
                          <w:noProof/>
                        </w:rPr>
                        <w:t>.</w:t>
                      </w:r>
                      <w:r>
                        <w:t xml:space="preserve"> </w:t>
                      </w:r>
                      <w:r w:rsidRPr="00F159D9">
                        <w:t>ADT Calculation Example</w:t>
                      </w:r>
                      <w:bookmarkEnd w:id="1845"/>
                    </w:p>
                    <w:tbl>
                      <w:tblPr>
                        <w:tblStyle w:val="TableGrid"/>
                        <w:tblW w:w="0" w:type="auto"/>
                        <w:tblCellMar>
                          <w:left w:w="86" w:type="dxa"/>
                          <w:right w:w="86" w:type="dxa"/>
                        </w:tblCellMar>
                        <w:tblLook w:val="04A0" w:firstRow="1" w:lastRow="0" w:firstColumn="1" w:lastColumn="0" w:noHBand="0" w:noVBand="1"/>
                      </w:tblPr>
                      <w:tblGrid>
                        <w:gridCol w:w="1345"/>
                        <w:gridCol w:w="990"/>
                        <w:gridCol w:w="796"/>
                      </w:tblGrid>
                      <w:tr w:rsidR="004E5E11" w14:paraId="627002E4" w14:textId="77777777" w:rsidTr="00E229BE">
                        <w:tc>
                          <w:tcPr>
                            <w:tcW w:w="1345" w:type="dxa"/>
                            <w:tcBorders>
                              <w:right w:val="single" w:sz="4" w:space="0" w:color="FFFFFF" w:themeColor="background1"/>
                            </w:tcBorders>
                            <w:shd w:val="clear" w:color="auto" w:fill="1F3864"/>
                            <w:vAlign w:val="center"/>
                          </w:tcPr>
                          <w:p w14:paraId="028590B3" w14:textId="0061B011" w:rsidR="004E5E11" w:rsidRDefault="004E5E11" w:rsidP="0017389B">
                            <w:pPr>
                              <w:pStyle w:val="TMGTableTextHeader"/>
                            </w:pPr>
                            <w:r>
                              <w:t>Date</w:t>
                            </w:r>
                          </w:p>
                        </w:tc>
                        <w:tc>
                          <w:tcPr>
                            <w:tcW w:w="990" w:type="dxa"/>
                            <w:tcBorders>
                              <w:left w:val="single" w:sz="4" w:space="0" w:color="FFFFFF" w:themeColor="background1"/>
                              <w:right w:val="single" w:sz="4" w:space="0" w:color="FFFFFF" w:themeColor="background1"/>
                            </w:tcBorders>
                            <w:shd w:val="clear" w:color="auto" w:fill="1F3864"/>
                            <w:vAlign w:val="center"/>
                          </w:tcPr>
                          <w:p w14:paraId="590CCB0A" w14:textId="31A2BC8F" w:rsidR="004E5E11" w:rsidRDefault="004E5E11" w:rsidP="0017389B">
                            <w:pPr>
                              <w:pStyle w:val="TMGTableTextHeader"/>
                            </w:pPr>
                            <w:r>
                              <w:t>ADT</w:t>
                            </w:r>
                          </w:p>
                        </w:tc>
                        <w:tc>
                          <w:tcPr>
                            <w:tcW w:w="796" w:type="dxa"/>
                            <w:tcBorders>
                              <w:left w:val="single" w:sz="4" w:space="0" w:color="FFFFFF" w:themeColor="background1"/>
                            </w:tcBorders>
                            <w:shd w:val="clear" w:color="auto" w:fill="1F3864"/>
                            <w:vAlign w:val="center"/>
                          </w:tcPr>
                          <w:p w14:paraId="5AD61853" w14:textId="329D774B" w:rsidR="004E5E11" w:rsidRDefault="004E5E11" w:rsidP="0017389B">
                            <w:pPr>
                              <w:pStyle w:val="TMGTableTextHeader"/>
                            </w:pPr>
                            <w:r>
                              <w:t>ADT</w:t>
                            </w:r>
                          </w:p>
                        </w:tc>
                      </w:tr>
                      <w:tr w:rsidR="004E5E11" w14:paraId="3F5CB7BB" w14:textId="77777777" w:rsidTr="00E229BE">
                        <w:tc>
                          <w:tcPr>
                            <w:tcW w:w="1345" w:type="dxa"/>
                          </w:tcPr>
                          <w:p w14:paraId="6F98DAC5" w14:textId="465A2245" w:rsidR="004E5E11" w:rsidRDefault="004E5E11" w:rsidP="00917D58">
                            <w:pPr>
                              <w:pStyle w:val="TMGTableText"/>
                              <w:spacing w:before="10" w:after="10"/>
                              <w:ind w:left="0"/>
                            </w:pPr>
                            <w:r w:rsidRPr="006701AC">
                              <w:t>Aug. 14 (Tues)</w:t>
                            </w:r>
                          </w:p>
                        </w:tc>
                        <w:tc>
                          <w:tcPr>
                            <w:tcW w:w="990" w:type="dxa"/>
                            <w:vAlign w:val="center"/>
                          </w:tcPr>
                          <w:p w14:paraId="560DB213" w14:textId="0AE18165" w:rsidR="004E5E11" w:rsidRDefault="004E5E11" w:rsidP="00E229BE">
                            <w:pPr>
                              <w:pStyle w:val="TMGTableText"/>
                              <w:spacing w:before="10" w:after="10"/>
                              <w:ind w:left="0" w:right="41"/>
                              <w:jc w:val="center"/>
                            </w:pPr>
                            <w:r w:rsidRPr="006701AC">
                              <w:t>518</w:t>
                            </w:r>
                          </w:p>
                        </w:tc>
                        <w:tc>
                          <w:tcPr>
                            <w:tcW w:w="796" w:type="dxa"/>
                            <w:vAlign w:val="center"/>
                          </w:tcPr>
                          <w:p w14:paraId="66755C24" w14:textId="082DBF62" w:rsidR="004E5E11" w:rsidRDefault="004E5E11" w:rsidP="00E229BE">
                            <w:pPr>
                              <w:pStyle w:val="TMGTableText"/>
                              <w:spacing w:before="10" w:after="10"/>
                              <w:ind w:left="0"/>
                              <w:jc w:val="center"/>
                            </w:pPr>
                            <w:r w:rsidRPr="006701AC">
                              <w:t>50,761</w:t>
                            </w:r>
                          </w:p>
                        </w:tc>
                      </w:tr>
                      <w:tr w:rsidR="004E5E11" w14:paraId="6C1041A6" w14:textId="77777777" w:rsidTr="00E229BE">
                        <w:tc>
                          <w:tcPr>
                            <w:tcW w:w="1345" w:type="dxa"/>
                          </w:tcPr>
                          <w:p w14:paraId="630154ED" w14:textId="5E13D536" w:rsidR="004E5E11" w:rsidRDefault="004E5E11" w:rsidP="00917D58">
                            <w:pPr>
                              <w:pStyle w:val="TMGTableText"/>
                              <w:spacing w:before="10" w:after="10"/>
                              <w:ind w:left="0"/>
                            </w:pPr>
                            <w:r w:rsidRPr="006701AC">
                              <w:t>Aug. 15 (Wed)</w:t>
                            </w:r>
                          </w:p>
                        </w:tc>
                        <w:tc>
                          <w:tcPr>
                            <w:tcW w:w="990" w:type="dxa"/>
                            <w:vAlign w:val="center"/>
                          </w:tcPr>
                          <w:p w14:paraId="4523F9B0" w14:textId="39E764D0" w:rsidR="004E5E11" w:rsidRDefault="004E5E11" w:rsidP="00E229BE">
                            <w:pPr>
                              <w:pStyle w:val="TMGTableText"/>
                              <w:spacing w:before="10" w:after="10"/>
                              <w:ind w:left="0" w:right="41"/>
                              <w:jc w:val="center"/>
                            </w:pPr>
                            <w:r w:rsidRPr="006701AC">
                              <w:t>494</w:t>
                            </w:r>
                          </w:p>
                        </w:tc>
                        <w:tc>
                          <w:tcPr>
                            <w:tcW w:w="796" w:type="dxa"/>
                            <w:vAlign w:val="center"/>
                          </w:tcPr>
                          <w:p w14:paraId="102EBCDE" w14:textId="7D13647D" w:rsidR="004E5E11" w:rsidRDefault="004E5E11" w:rsidP="00E229BE">
                            <w:pPr>
                              <w:pStyle w:val="TMGTableText"/>
                              <w:spacing w:before="10" w:after="10"/>
                              <w:ind w:left="0"/>
                              <w:jc w:val="center"/>
                            </w:pPr>
                            <w:r w:rsidRPr="006701AC">
                              <w:t>51,231</w:t>
                            </w:r>
                          </w:p>
                        </w:tc>
                      </w:tr>
                      <w:tr w:rsidR="004E5E11" w14:paraId="0C8F738A" w14:textId="77777777" w:rsidTr="00E229BE">
                        <w:tc>
                          <w:tcPr>
                            <w:tcW w:w="1345" w:type="dxa"/>
                          </w:tcPr>
                          <w:p w14:paraId="46B37591" w14:textId="6C0302F2" w:rsidR="004E5E11" w:rsidRDefault="004E5E11" w:rsidP="00917D58">
                            <w:pPr>
                              <w:pStyle w:val="TMGTableText"/>
                              <w:spacing w:before="10" w:after="10"/>
                              <w:ind w:left="0"/>
                            </w:pPr>
                            <w:r w:rsidRPr="004859C8">
                              <w:t>Average</w:t>
                            </w:r>
                          </w:p>
                        </w:tc>
                        <w:tc>
                          <w:tcPr>
                            <w:tcW w:w="990" w:type="dxa"/>
                            <w:vAlign w:val="center"/>
                          </w:tcPr>
                          <w:p w14:paraId="6DB203AE" w14:textId="4A9501B6" w:rsidR="004E5E11" w:rsidRDefault="004E5E11" w:rsidP="00E229BE">
                            <w:pPr>
                              <w:pStyle w:val="TMGTableText"/>
                              <w:spacing w:before="10" w:after="10"/>
                              <w:ind w:left="0" w:right="41"/>
                              <w:jc w:val="center"/>
                            </w:pPr>
                            <w:r w:rsidRPr="004859C8">
                              <w:t>506</w:t>
                            </w:r>
                          </w:p>
                        </w:tc>
                        <w:tc>
                          <w:tcPr>
                            <w:tcW w:w="796" w:type="dxa"/>
                            <w:vAlign w:val="center"/>
                          </w:tcPr>
                          <w:p w14:paraId="61441967" w14:textId="516F9070" w:rsidR="004E5E11" w:rsidRDefault="004E5E11" w:rsidP="00E229BE">
                            <w:pPr>
                              <w:pStyle w:val="TMGTableText"/>
                              <w:spacing w:before="10" w:after="10"/>
                              <w:ind w:left="0"/>
                              <w:jc w:val="center"/>
                            </w:pPr>
                            <w:r w:rsidRPr="004859C8">
                              <w:t>50,996</w:t>
                            </w:r>
                          </w:p>
                        </w:tc>
                      </w:tr>
                    </w:tbl>
                    <w:p w14:paraId="765036EB" w14:textId="77777777" w:rsidR="004E5E11" w:rsidRDefault="004E5E11" w:rsidP="004E5E11"/>
                  </w:txbxContent>
                </v:textbox>
                <w10:wrap type="square" anchorx="margin"/>
              </v:shape>
            </w:pict>
          </mc:Fallback>
        </mc:AlternateContent>
      </w:r>
      <w:r w:rsidR="003F7B9F" w:rsidRPr="006701AC">
        <w:t xml:space="preserve">Therefore, a short-term class count is first factored for seasonality and then for the day of week. </w:t>
      </w:r>
    </w:p>
    <w:p w14:paraId="7ED3A8E0" w14:textId="0A2E2E25" w:rsidR="003F7B9F" w:rsidRPr="006701AC" w:rsidRDefault="003F7B9F" w:rsidP="00A35EAF">
      <w:pPr>
        <w:pStyle w:val="BodyText"/>
      </w:pPr>
      <w:r w:rsidRPr="006701AC">
        <w:t>For the motorcycle example, a short-term vehicle classi</w:t>
      </w:r>
      <w:r>
        <w:t>fi</w:t>
      </w:r>
      <w:r w:rsidRPr="006701AC">
        <w:t>cation count was taken on the same route as the continuous site analyzed above, about 10</w:t>
      </w:r>
      <w:r w:rsidR="00BB3F27">
        <w:t> </w:t>
      </w:r>
      <w:r w:rsidRPr="006701AC">
        <w:t>miles to the south.</w:t>
      </w:r>
      <w:r w:rsidR="004D4172">
        <w:t xml:space="preserve"> </w:t>
      </w:r>
      <w:r w:rsidRPr="006701AC">
        <w:t xml:space="preserve">Vehicle counts by classification were taken on two weekdays in August, with </w:t>
      </w:r>
      <w:r w:rsidR="008815FB">
        <w:fldChar w:fldCharType="begin"/>
      </w:r>
      <w:r w:rsidR="008815FB">
        <w:instrText xml:space="preserve"> REF _Ref116025238 \h </w:instrText>
      </w:r>
      <w:r w:rsidR="008815FB">
        <w:fldChar w:fldCharType="separate"/>
      </w:r>
      <w:r w:rsidR="00C07DF9">
        <w:t xml:space="preserve">Table </w:t>
      </w:r>
      <w:r w:rsidR="00C07DF9">
        <w:rPr>
          <w:noProof/>
        </w:rPr>
        <w:t>3</w:t>
      </w:r>
      <w:r w:rsidR="00C07DF9">
        <w:noBreakHyphen/>
      </w:r>
      <w:r w:rsidR="00C07DF9">
        <w:rPr>
          <w:noProof/>
        </w:rPr>
        <w:t>9</w:t>
      </w:r>
      <w:r w:rsidR="008815FB">
        <w:fldChar w:fldCharType="end"/>
      </w:r>
      <w:r w:rsidR="00981950">
        <w:t xml:space="preserve"> </w:t>
      </w:r>
      <w:r w:rsidR="00763021">
        <w:t>showing</w:t>
      </w:r>
      <w:r w:rsidR="00981950">
        <w:t xml:space="preserve"> </w:t>
      </w:r>
      <w:r w:rsidRPr="006701AC">
        <w:t>the results for motorcycles.</w:t>
      </w:r>
    </w:p>
    <w:p w14:paraId="2D3FE5B5" w14:textId="77777777" w:rsidR="003F7B9F" w:rsidRPr="006701AC" w:rsidRDefault="003F7B9F" w:rsidP="00E229BE">
      <w:pPr>
        <w:pStyle w:val="BodyText"/>
      </w:pPr>
      <w:r w:rsidRPr="006701AC">
        <w:t xml:space="preserve">Since we are using separate DOW factors, we will do the adjustments for each DOW first and then average the adjusted </w:t>
      </w:r>
      <w:r>
        <w:t xml:space="preserve">daily </w:t>
      </w:r>
      <w:r w:rsidRPr="006701AC">
        <w:t xml:space="preserve">values. The two counts are adjusted using both the seasonal (monthly) factor for August, which is 0.95, and the </w:t>
      </w:r>
      <w:r w:rsidRPr="00E229BE">
        <w:t>appropriate</w:t>
      </w:r>
      <w:r w:rsidRPr="006701AC">
        <w:t xml:space="preserve"> DOW factors (1.24 and 1.23 respectively).</w:t>
      </w:r>
    </w:p>
    <w:p w14:paraId="075C1CE3" w14:textId="77777777" w:rsidR="003F7B9F" w:rsidRPr="006701AC" w:rsidRDefault="003F7B9F" w:rsidP="009D2910">
      <w:pPr>
        <w:pStyle w:val="BodyText"/>
        <w:spacing w:after="0"/>
      </w:pPr>
      <w:r w:rsidRPr="006701AC">
        <w:tab/>
        <w:t xml:space="preserve">518 </w:t>
      </w:r>
      <w:r w:rsidRPr="006701AC">
        <w:sym w:font="Symbol" w:char="F0B4"/>
      </w:r>
      <w:r w:rsidRPr="006701AC">
        <w:t xml:space="preserve"> 0.95 </w:t>
      </w:r>
      <w:r w:rsidRPr="006701AC">
        <w:sym w:font="Symbol" w:char="F0B4"/>
      </w:r>
      <w:r w:rsidRPr="006701AC">
        <w:t xml:space="preserve"> 1.24 = 610</w:t>
      </w:r>
    </w:p>
    <w:p w14:paraId="73CCD28E" w14:textId="77777777" w:rsidR="003F7B9F" w:rsidRPr="006701AC" w:rsidRDefault="003F7B9F" w:rsidP="00A35EAF">
      <w:pPr>
        <w:pStyle w:val="BodyText"/>
      </w:pPr>
      <w:r w:rsidRPr="006701AC">
        <w:tab/>
        <w:t xml:space="preserve">494 </w:t>
      </w:r>
      <w:r w:rsidRPr="006701AC">
        <w:sym w:font="Symbol" w:char="F0B4"/>
      </w:r>
      <w:r w:rsidRPr="006701AC">
        <w:t xml:space="preserve"> 0.95 </w:t>
      </w:r>
      <w:r w:rsidRPr="006701AC">
        <w:sym w:font="Symbol" w:char="F0B4"/>
      </w:r>
      <w:r w:rsidRPr="006701AC">
        <w:t xml:space="preserve"> 1.23 = 577</w:t>
      </w:r>
    </w:p>
    <w:p w14:paraId="13B6843B" w14:textId="77777777" w:rsidR="003F7B9F" w:rsidRPr="006701AC" w:rsidRDefault="003F7B9F" w:rsidP="009D2910">
      <w:pPr>
        <w:pStyle w:val="BodyText"/>
      </w:pPr>
      <w:r w:rsidRPr="006701AC">
        <w:lastRenderedPageBreak/>
        <w:t>These two ADT</w:t>
      </w:r>
      <w:r w:rsidRPr="002F6ADF">
        <w:rPr>
          <w:vertAlign w:val="subscript"/>
        </w:rPr>
        <w:t>m</w:t>
      </w:r>
      <w:r>
        <w:t xml:space="preserve"> </w:t>
      </w:r>
      <w:r w:rsidRPr="006701AC">
        <w:t>estimates are then averaged to provide the estimate of AADT</w:t>
      </w:r>
      <w:r w:rsidRPr="002F6ADF">
        <w:rPr>
          <w:vertAlign w:val="subscript"/>
        </w:rPr>
        <w:t>m</w:t>
      </w:r>
      <w:r w:rsidRPr="006701AC">
        <w:t>.</w:t>
      </w:r>
    </w:p>
    <w:p w14:paraId="5BFB7B9C" w14:textId="77777777" w:rsidR="003F7B9F" w:rsidRPr="006701AC" w:rsidRDefault="003F7B9F" w:rsidP="00A35EAF">
      <w:pPr>
        <w:pStyle w:val="BodyText"/>
      </w:pPr>
      <w:r w:rsidRPr="006701AC">
        <w:tab/>
        <w:t>(610 + 577) / 2 = 594</w:t>
      </w:r>
    </w:p>
    <w:bookmarkEnd w:id="1837"/>
    <w:p w14:paraId="59C20801" w14:textId="1DD37C2C" w:rsidR="003F7B9F" w:rsidRPr="006701AC" w:rsidRDefault="003F7B9F" w:rsidP="00A35EAF">
      <w:pPr>
        <w:pStyle w:val="BodyText"/>
      </w:pPr>
      <w:r w:rsidRPr="006701AC">
        <w:t xml:space="preserve">Because of the special DOW motorcycle factors, weekday motorcycle counts are increased to more accurately estimate the </w:t>
      </w:r>
      <w:r w:rsidR="00E27E9A">
        <w:t>annual average</w:t>
      </w:r>
      <w:r w:rsidRPr="006701AC">
        <w:t xml:space="preserve"> daily motorcycle travel. This considers the likelihood of higher weekend motorcycle travel. The other vehicle classes would need to be adjusted for the day of week, too, so that the total volume is correct.</w:t>
      </w:r>
    </w:p>
    <w:p w14:paraId="03BA03A1" w14:textId="27647859" w:rsidR="003F7B9F" w:rsidRPr="000F2A7A" w:rsidRDefault="003F7B9F" w:rsidP="00A35EAF">
      <w:pPr>
        <w:pStyle w:val="BodyText"/>
        <w:rPr>
          <w:rStyle w:val="SubtleEmphasis"/>
          <w:rFonts w:ascii="Cambria" w:hAnsi="Cambria"/>
          <w:color w:val="auto"/>
          <w:sz w:val="22"/>
          <w:szCs w:val="22"/>
        </w:rPr>
      </w:pPr>
      <w:r w:rsidRPr="000F2A7A">
        <w:rPr>
          <w:rStyle w:val="SubtleEmphasis"/>
          <w:rFonts w:ascii="Cambria" w:hAnsi="Cambria"/>
          <w:color w:val="auto"/>
          <w:sz w:val="22"/>
          <w:szCs w:val="22"/>
        </w:rPr>
        <w:t>Example of Applying Adjustment Factors to Other Vehicle Classes</w:t>
      </w:r>
    </w:p>
    <w:p w14:paraId="1229F53B" w14:textId="1443E83D" w:rsidR="003F7B9F" w:rsidRPr="006701AC" w:rsidRDefault="003F7B9F" w:rsidP="00A35EAF">
      <w:pPr>
        <w:pStyle w:val="BodyText"/>
      </w:pPr>
      <w:r w:rsidRPr="006701AC">
        <w:t>The same process should be performed with each of the vehicle classes. At the end of the process, the total of the different vehicle classes should then be compared against the AADT computed for the volume only factor and the various volumes adjusted proportionately to account for any differences in those two AADT estimates. (The AADT computed from volume only will be the more accurate estimate of total volume and should serve as the control total.)</w:t>
      </w:r>
    </w:p>
    <w:p w14:paraId="6EB1A5AF" w14:textId="3857DE4D" w:rsidR="003F7B9F" w:rsidRPr="005576C5" w:rsidRDefault="003F7B9F" w:rsidP="00A35EAF">
      <w:pPr>
        <w:pStyle w:val="BodyText"/>
      </w:pPr>
      <w:r w:rsidRPr="006701AC">
        <w:t xml:space="preserve">A simplified example is shown in </w:t>
      </w:r>
      <w:r w:rsidR="006827F7">
        <w:fldChar w:fldCharType="begin"/>
      </w:r>
      <w:r w:rsidR="006827F7">
        <w:instrText xml:space="preserve"> REF _Ref114750021 \h </w:instrText>
      </w:r>
      <w:r w:rsidR="006827F7">
        <w:fldChar w:fldCharType="separate"/>
      </w:r>
      <w:r w:rsidR="00C07DF9" w:rsidRPr="00256870">
        <w:t xml:space="preserve">Table </w:t>
      </w:r>
      <w:r w:rsidR="00C07DF9">
        <w:rPr>
          <w:noProof/>
        </w:rPr>
        <w:t>3</w:t>
      </w:r>
      <w:r w:rsidR="00C07DF9">
        <w:noBreakHyphen/>
      </w:r>
      <w:r w:rsidR="00C07DF9">
        <w:rPr>
          <w:noProof/>
        </w:rPr>
        <w:t>10</w:t>
      </w:r>
      <w:r w:rsidR="006827F7">
        <w:fldChar w:fldCharType="end"/>
      </w:r>
      <w:r w:rsidRPr="006701AC">
        <w:t xml:space="preserve">. (Note that this table shows the different day of week and monthly </w:t>
      </w:r>
      <w:r w:rsidRPr="005576C5">
        <w:t xml:space="preserve">adjustments for each class. This example illustrates the need for adjusting vehicle classification volumes if applicable. Although this example </w:t>
      </w:r>
      <w:r>
        <w:t>uses</w:t>
      </w:r>
      <w:r w:rsidRPr="005576C5">
        <w:t xml:space="preserve"> a daily total volume</w:t>
      </w:r>
      <w:r>
        <w:t xml:space="preserve"> count</w:t>
      </w:r>
      <w:r w:rsidRPr="005576C5">
        <w:t>, additional time increments can be used for adjusting vehicle classification volumes such as hour of the day or 15-minute data.</w:t>
      </w:r>
      <w:r w:rsidRPr="005576C5" w:rsidDel="00F07E57">
        <w:t xml:space="preserve"> </w:t>
      </w:r>
    </w:p>
    <w:p w14:paraId="302E0ED4" w14:textId="197FF716" w:rsidR="003F7B9F" w:rsidRPr="005576C5" w:rsidRDefault="003F7B9F" w:rsidP="00A119E0">
      <w:pPr>
        <w:pStyle w:val="CallOut"/>
      </w:pPr>
      <w:r w:rsidRPr="005576C5">
        <w:t xml:space="preserve">FHWA recommends using all hours if data is collected beyond 24 or 48 hours. FHWA also recommends collecting and storing data in </w:t>
      </w:r>
      <w:r>
        <w:t>individual vehicle record (IVR)</w:t>
      </w:r>
      <w:r w:rsidRPr="005576C5">
        <w:t xml:space="preserve"> format so all vehicles are captured when collecting </w:t>
      </w:r>
      <w:r>
        <w:t xml:space="preserve">and reporting </w:t>
      </w:r>
      <w:r w:rsidRPr="005576C5">
        <w:t>data.</w:t>
      </w:r>
    </w:p>
    <w:p w14:paraId="71FBB65A" w14:textId="7F3757E6" w:rsidR="003F7B9F" w:rsidRDefault="003F7B9F" w:rsidP="00A35EAF">
      <w:pPr>
        <w:pStyle w:val="BodyText"/>
      </w:pPr>
      <w:r w:rsidRPr="005576C5">
        <w:t>If necessary, deleting the first and last hour is done because the time it takes to set the counter up might not represent the entire hour (or 15</w:t>
      </w:r>
      <w:r>
        <w:t>-minute</w:t>
      </w:r>
      <w:r w:rsidRPr="005576C5">
        <w:t xml:space="preserve"> time increments) and per</w:t>
      </w:r>
      <w:r w:rsidR="0029556D">
        <w:t>-</w:t>
      </w:r>
      <w:r w:rsidRPr="005576C5">
        <w:t>vehicle records need to be represented according the defined time increment.</w:t>
      </w:r>
      <w:r w:rsidR="004D4172">
        <w:t xml:space="preserve"> </w:t>
      </w:r>
    </w:p>
    <w:p w14:paraId="608F84A4" w14:textId="5FA6DADA" w:rsidR="003F7B9F" w:rsidRDefault="003F7B9F" w:rsidP="000F2A7A">
      <w:pPr>
        <w:pStyle w:val="TMGTableCaption"/>
      </w:pPr>
      <w:bookmarkStart w:id="1846" w:name="_Ref114750021"/>
      <w:bookmarkStart w:id="1847" w:name="_Toc54784718"/>
      <w:bookmarkStart w:id="1848" w:name="_Toc68874117"/>
      <w:bookmarkStart w:id="1849" w:name="_Toc114474830"/>
      <w:bookmarkStart w:id="1850" w:name="_Toc120631136"/>
      <w:bookmarkStart w:id="1851" w:name="_Hlk66864503"/>
      <w:r w:rsidRPr="00256870">
        <w:t xml:space="preserve">Table </w:t>
      </w:r>
      <w:fldSimple w:instr=" STYLEREF 1 \s ">
        <w:r w:rsidR="00C07DF9">
          <w:rPr>
            <w:noProof/>
          </w:rPr>
          <w:t>3</w:t>
        </w:r>
      </w:fldSimple>
      <w:r w:rsidR="00FE5355">
        <w:noBreakHyphen/>
      </w:r>
      <w:fldSimple w:instr=" SEQ Table \* ARABIC \s 1 ">
        <w:r w:rsidR="00C07DF9">
          <w:rPr>
            <w:noProof/>
          </w:rPr>
          <w:t>10</w:t>
        </w:r>
      </w:fldSimple>
      <w:bookmarkEnd w:id="1846"/>
      <w:r w:rsidR="00E34EB1">
        <w:t>.</w:t>
      </w:r>
      <w:r w:rsidRPr="00256870">
        <w:t xml:space="preserve"> ADT Vehicle Type Computation Example</w:t>
      </w:r>
      <w:bookmarkEnd w:id="1847"/>
      <w:bookmarkEnd w:id="1848"/>
      <w:bookmarkEnd w:id="1849"/>
      <w:bookmarkEnd w:id="1850"/>
    </w:p>
    <w:tbl>
      <w:tblPr>
        <w:tblStyle w:val="TableGrid"/>
        <w:tblW w:w="9360" w:type="dxa"/>
        <w:jc w:val="center"/>
        <w:tblCellMar>
          <w:left w:w="86" w:type="dxa"/>
          <w:right w:w="86" w:type="dxa"/>
        </w:tblCellMar>
        <w:tblLook w:val="04A0" w:firstRow="1" w:lastRow="0" w:firstColumn="1" w:lastColumn="0" w:noHBand="0" w:noVBand="1"/>
      </w:tblPr>
      <w:tblGrid>
        <w:gridCol w:w="1700"/>
        <w:gridCol w:w="1094"/>
        <w:gridCol w:w="1094"/>
        <w:gridCol w:w="1094"/>
        <w:gridCol w:w="1095"/>
        <w:gridCol w:w="1094"/>
        <w:gridCol w:w="1094"/>
        <w:gridCol w:w="1095"/>
      </w:tblGrid>
      <w:tr w:rsidR="00B549EB" w14:paraId="56CA4129" w14:textId="77777777" w:rsidTr="00B549EB">
        <w:trPr>
          <w:jc w:val="center"/>
        </w:trPr>
        <w:tc>
          <w:tcPr>
            <w:tcW w:w="1700" w:type="dxa"/>
            <w:tcBorders>
              <w:right w:val="single" w:sz="4" w:space="0" w:color="FFFFFF" w:themeColor="background1"/>
            </w:tcBorders>
            <w:shd w:val="clear" w:color="auto" w:fill="1F3864"/>
            <w:vAlign w:val="center"/>
          </w:tcPr>
          <w:p w14:paraId="3C22BBB2" w14:textId="06C3EBF1" w:rsidR="00B549EB" w:rsidRDefault="00B549EB" w:rsidP="00043458">
            <w:pPr>
              <w:pStyle w:val="TMGTableTextHeader"/>
              <w:ind w:left="0"/>
            </w:pPr>
            <w:r w:rsidRPr="004859C8">
              <w:rPr>
                <w:rFonts w:eastAsia="MS Mincho"/>
              </w:rPr>
              <w:t>Date</w:t>
            </w:r>
          </w:p>
        </w:tc>
        <w:tc>
          <w:tcPr>
            <w:tcW w:w="1094" w:type="dxa"/>
            <w:tcBorders>
              <w:left w:val="single" w:sz="4" w:space="0" w:color="FFFFFF" w:themeColor="background1"/>
              <w:right w:val="single" w:sz="4" w:space="0" w:color="FFFFFF" w:themeColor="background1"/>
            </w:tcBorders>
            <w:shd w:val="clear" w:color="auto" w:fill="1F3864"/>
            <w:vAlign w:val="center"/>
          </w:tcPr>
          <w:p w14:paraId="1B876D6A" w14:textId="2B4F42F0" w:rsidR="00B549EB" w:rsidRDefault="00B549EB" w:rsidP="00043458">
            <w:pPr>
              <w:pStyle w:val="TMGTableTextHeader"/>
              <w:ind w:left="0"/>
            </w:pPr>
            <w:r w:rsidRPr="004859C8">
              <w:rPr>
                <w:rFonts w:eastAsia="MS Mincho"/>
              </w:rPr>
              <w:t>MC Volume</w:t>
            </w:r>
          </w:p>
        </w:tc>
        <w:tc>
          <w:tcPr>
            <w:tcW w:w="1094" w:type="dxa"/>
            <w:tcBorders>
              <w:left w:val="single" w:sz="4" w:space="0" w:color="FFFFFF" w:themeColor="background1"/>
              <w:right w:val="single" w:sz="4" w:space="0" w:color="FFFFFF" w:themeColor="background1"/>
            </w:tcBorders>
            <w:shd w:val="clear" w:color="auto" w:fill="1F3864"/>
            <w:vAlign w:val="center"/>
          </w:tcPr>
          <w:p w14:paraId="357D3581" w14:textId="7A1E673E" w:rsidR="00B549EB" w:rsidRDefault="00B549EB" w:rsidP="00043458">
            <w:pPr>
              <w:pStyle w:val="TMGTableTextHeader"/>
              <w:ind w:left="0"/>
            </w:pPr>
            <w:r w:rsidRPr="004859C8">
              <w:rPr>
                <w:rFonts w:eastAsia="MS Mincho"/>
              </w:rPr>
              <w:t>PV Volume</w:t>
            </w:r>
          </w:p>
        </w:tc>
        <w:tc>
          <w:tcPr>
            <w:tcW w:w="1094" w:type="dxa"/>
            <w:tcBorders>
              <w:left w:val="single" w:sz="4" w:space="0" w:color="FFFFFF" w:themeColor="background1"/>
              <w:right w:val="single" w:sz="4" w:space="0" w:color="FFFFFF" w:themeColor="background1"/>
            </w:tcBorders>
            <w:shd w:val="clear" w:color="auto" w:fill="1F3864"/>
            <w:vAlign w:val="center"/>
          </w:tcPr>
          <w:p w14:paraId="1F7A5FF8" w14:textId="6D94D8D6" w:rsidR="00B549EB" w:rsidRDefault="00B549EB" w:rsidP="00043458">
            <w:pPr>
              <w:pStyle w:val="TMGTableTextHeader"/>
              <w:ind w:left="0"/>
            </w:pPr>
            <w:r w:rsidRPr="004859C8">
              <w:rPr>
                <w:rFonts w:eastAsia="MS Mincho"/>
              </w:rPr>
              <w:t>LT Volume</w:t>
            </w:r>
          </w:p>
        </w:tc>
        <w:tc>
          <w:tcPr>
            <w:tcW w:w="1095" w:type="dxa"/>
            <w:tcBorders>
              <w:left w:val="single" w:sz="4" w:space="0" w:color="FFFFFF" w:themeColor="background1"/>
              <w:right w:val="single" w:sz="4" w:space="0" w:color="FFFFFF" w:themeColor="background1"/>
            </w:tcBorders>
            <w:shd w:val="clear" w:color="auto" w:fill="1F3864"/>
            <w:vAlign w:val="center"/>
          </w:tcPr>
          <w:p w14:paraId="7D66E8E8" w14:textId="024F7591" w:rsidR="00B549EB" w:rsidRPr="004859C8" w:rsidRDefault="00B549EB" w:rsidP="00043458">
            <w:pPr>
              <w:pStyle w:val="TMGTableTextHeader"/>
              <w:ind w:left="0"/>
              <w:rPr>
                <w:rFonts w:eastAsia="MS Mincho"/>
              </w:rPr>
            </w:pPr>
            <w:r w:rsidRPr="004859C8">
              <w:rPr>
                <w:rFonts w:eastAsia="MS Mincho"/>
              </w:rPr>
              <w:t>Bus Volume</w:t>
            </w:r>
          </w:p>
        </w:tc>
        <w:tc>
          <w:tcPr>
            <w:tcW w:w="1094" w:type="dxa"/>
            <w:tcBorders>
              <w:left w:val="single" w:sz="4" w:space="0" w:color="FFFFFF" w:themeColor="background1"/>
              <w:right w:val="single" w:sz="4" w:space="0" w:color="FFFFFF" w:themeColor="background1"/>
            </w:tcBorders>
            <w:shd w:val="clear" w:color="auto" w:fill="1F3864"/>
            <w:vAlign w:val="center"/>
          </w:tcPr>
          <w:p w14:paraId="34C07939" w14:textId="59DFE37E" w:rsidR="00B549EB" w:rsidRDefault="00B549EB" w:rsidP="00043458">
            <w:pPr>
              <w:pStyle w:val="TMGTableTextHeader"/>
              <w:ind w:left="0"/>
            </w:pPr>
            <w:r w:rsidRPr="004859C8">
              <w:rPr>
                <w:rFonts w:eastAsia="MS Mincho"/>
              </w:rPr>
              <w:t>SU Volume</w:t>
            </w:r>
          </w:p>
        </w:tc>
        <w:tc>
          <w:tcPr>
            <w:tcW w:w="1094" w:type="dxa"/>
            <w:tcBorders>
              <w:left w:val="single" w:sz="4" w:space="0" w:color="FFFFFF" w:themeColor="background1"/>
              <w:right w:val="single" w:sz="4" w:space="0" w:color="FFFFFF" w:themeColor="background1"/>
            </w:tcBorders>
            <w:shd w:val="clear" w:color="auto" w:fill="1F3864"/>
            <w:vAlign w:val="center"/>
          </w:tcPr>
          <w:p w14:paraId="56F74829" w14:textId="66DE3F66" w:rsidR="00B549EB" w:rsidRDefault="00B549EB" w:rsidP="00043458">
            <w:pPr>
              <w:pStyle w:val="TMGTableTextHeader"/>
              <w:ind w:left="0"/>
            </w:pPr>
            <w:r w:rsidRPr="004859C8">
              <w:rPr>
                <w:rFonts w:eastAsia="MS Mincho"/>
              </w:rPr>
              <w:t>CU Volume</w:t>
            </w:r>
          </w:p>
        </w:tc>
        <w:tc>
          <w:tcPr>
            <w:tcW w:w="1095" w:type="dxa"/>
            <w:tcBorders>
              <w:left w:val="single" w:sz="4" w:space="0" w:color="FFFFFF" w:themeColor="background1"/>
            </w:tcBorders>
            <w:shd w:val="clear" w:color="auto" w:fill="1F3864"/>
            <w:vAlign w:val="center"/>
          </w:tcPr>
          <w:p w14:paraId="67983F88" w14:textId="7F4747E4" w:rsidR="00B549EB" w:rsidRDefault="00B549EB" w:rsidP="00043458">
            <w:pPr>
              <w:pStyle w:val="TMGTableTextHeader"/>
              <w:ind w:left="0"/>
            </w:pPr>
            <w:r w:rsidRPr="004859C8">
              <w:rPr>
                <w:rFonts w:eastAsia="MS Mincho"/>
              </w:rPr>
              <w:t>Total Volume</w:t>
            </w:r>
          </w:p>
        </w:tc>
      </w:tr>
      <w:tr w:rsidR="00B549EB" w14:paraId="0AB11FB5" w14:textId="77777777" w:rsidTr="00043458">
        <w:trPr>
          <w:jc w:val="center"/>
        </w:trPr>
        <w:tc>
          <w:tcPr>
            <w:tcW w:w="1700" w:type="dxa"/>
          </w:tcPr>
          <w:p w14:paraId="2832AC4B" w14:textId="5500AEC1" w:rsidR="00B549EB" w:rsidRPr="00C251E9" w:rsidRDefault="00B549EB" w:rsidP="00043458">
            <w:pPr>
              <w:pStyle w:val="TMGTableText"/>
              <w:spacing w:before="10" w:after="10"/>
            </w:pPr>
            <w:r w:rsidRPr="004859C8">
              <w:t>Aug. 14 (Tues)</w:t>
            </w:r>
          </w:p>
        </w:tc>
        <w:tc>
          <w:tcPr>
            <w:tcW w:w="1094" w:type="dxa"/>
            <w:vAlign w:val="center"/>
          </w:tcPr>
          <w:p w14:paraId="3B089063" w14:textId="3D720D9E" w:rsidR="00B549EB" w:rsidRPr="00C251E9" w:rsidRDefault="00B549EB" w:rsidP="00043458">
            <w:pPr>
              <w:pStyle w:val="TMGTableText"/>
              <w:spacing w:before="10" w:after="10"/>
              <w:jc w:val="center"/>
            </w:pPr>
            <w:r w:rsidRPr="006701AC">
              <w:t>518</w:t>
            </w:r>
          </w:p>
        </w:tc>
        <w:tc>
          <w:tcPr>
            <w:tcW w:w="1094" w:type="dxa"/>
            <w:vAlign w:val="center"/>
          </w:tcPr>
          <w:p w14:paraId="52980952" w14:textId="0779221F" w:rsidR="00B549EB" w:rsidRPr="00C251E9" w:rsidRDefault="00B549EB" w:rsidP="00043458">
            <w:pPr>
              <w:pStyle w:val="TMGTableText"/>
              <w:spacing w:before="10" w:after="10"/>
              <w:jc w:val="center"/>
            </w:pPr>
            <w:r w:rsidRPr="006701AC">
              <w:t>30,705</w:t>
            </w:r>
          </w:p>
        </w:tc>
        <w:tc>
          <w:tcPr>
            <w:tcW w:w="1094" w:type="dxa"/>
            <w:vAlign w:val="center"/>
          </w:tcPr>
          <w:p w14:paraId="2DAA6316" w14:textId="2ED86188" w:rsidR="00B549EB" w:rsidRPr="00C251E9" w:rsidRDefault="00B549EB" w:rsidP="00043458">
            <w:pPr>
              <w:pStyle w:val="TMGTableText"/>
              <w:spacing w:before="10" w:after="10"/>
              <w:jc w:val="center"/>
            </w:pPr>
            <w:r w:rsidRPr="006701AC">
              <w:t>11,215</w:t>
            </w:r>
          </w:p>
        </w:tc>
        <w:tc>
          <w:tcPr>
            <w:tcW w:w="1095" w:type="dxa"/>
            <w:vAlign w:val="center"/>
          </w:tcPr>
          <w:p w14:paraId="18A8CE2D" w14:textId="3E225F72" w:rsidR="00B549EB" w:rsidRPr="006701AC" w:rsidRDefault="00B549EB" w:rsidP="00043458">
            <w:pPr>
              <w:pStyle w:val="TMGTableText"/>
              <w:spacing w:before="10" w:after="10"/>
              <w:jc w:val="center"/>
            </w:pPr>
            <w:r w:rsidRPr="006701AC">
              <w:t>58</w:t>
            </w:r>
          </w:p>
        </w:tc>
        <w:tc>
          <w:tcPr>
            <w:tcW w:w="1094" w:type="dxa"/>
            <w:vAlign w:val="center"/>
          </w:tcPr>
          <w:p w14:paraId="7CA803BA" w14:textId="6EA18F87" w:rsidR="00B549EB" w:rsidRPr="00C251E9" w:rsidRDefault="00B549EB" w:rsidP="00043458">
            <w:pPr>
              <w:pStyle w:val="TMGTableText"/>
              <w:spacing w:before="10" w:after="10"/>
              <w:jc w:val="center"/>
            </w:pPr>
            <w:r w:rsidRPr="006701AC">
              <w:t>4,103</w:t>
            </w:r>
          </w:p>
        </w:tc>
        <w:tc>
          <w:tcPr>
            <w:tcW w:w="1094" w:type="dxa"/>
            <w:vAlign w:val="center"/>
          </w:tcPr>
          <w:p w14:paraId="54A3F460" w14:textId="36435C12" w:rsidR="00B549EB" w:rsidRPr="00C251E9" w:rsidRDefault="00B549EB" w:rsidP="00043458">
            <w:pPr>
              <w:pStyle w:val="TMGTableText"/>
              <w:spacing w:before="10" w:after="10"/>
              <w:jc w:val="center"/>
            </w:pPr>
            <w:r w:rsidRPr="006701AC">
              <w:t>4,162</w:t>
            </w:r>
          </w:p>
        </w:tc>
        <w:tc>
          <w:tcPr>
            <w:tcW w:w="1095" w:type="dxa"/>
            <w:vAlign w:val="center"/>
          </w:tcPr>
          <w:p w14:paraId="30E2DFD1" w14:textId="3610ED2A" w:rsidR="00B549EB" w:rsidRPr="00C251E9" w:rsidRDefault="00B549EB" w:rsidP="00043458">
            <w:pPr>
              <w:pStyle w:val="TMGTableText"/>
              <w:spacing w:before="10" w:after="10"/>
              <w:jc w:val="center"/>
            </w:pPr>
            <w:r w:rsidRPr="006701AC">
              <w:t>50,761</w:t>
            </w:r>
          </w:p>
        </w:tc>
      </w:tr>
      <w:tr w:rsidR="00B549EB" w14:paraId="0A01C7CB" w14:textId="77777777" w:rsidTr="00043458">
        <w:trPr>
          <w:jc w:val="center"/>
        </w:trPr>
        <w:tc>
          <w:tcPr>
            <w:tcW w:w="1700" w:type="dxa"/>
          </w:tcPr>
          <w:p w14:paraId="1BCC114E" w14:textId="2BE16A72" w:rsidR="00B549EB" w:rsidRPr="00C251E9" w:rsidRDefault="00B549EB" w:rsidP="00043458">
            <w:pPr>
              <w:pStyle w:val="TMGTableText"/>
              <w:spacing w:before="10" w:after="10"/>
            </w:pPr>
            <w:r w:rsidRPr="004859C8">
              <w:t>Aug. 15 (Wed)</w:t>
            </w:r>
          </w:p>
        </w:tc>
        <w:tc>
          <w:tcPr>
            <w:tcW w:w="1094" w:type="dxa"/>
            <w:vAlign w:val="center"/>
          </w:tcPr>
          <w:p w14:paraId="7EC092AE" w14:textId="0C984456" w:rsidR="00B549EB" w:rsidRPr="00C251E9" w:rsidRDefault="00B549EB" w:rsidP="00043458">
            <w:pPr>
              <w:pStyle w:val="TMGTableText"/>
              <w:spacing w:before="10" w:after="10"/>
              <w:jc w:val="center"/>
            </w:pPr>
            <w:r w:rsidRPr="006701AC">
              <w:t>494</w:t>
            </w:r>
          </w:p>
        </w:tc>
        <w:tc>
          <w:tcPr>
            <w:tcW w:w="1094" w:type="dxa"/>
            <w:vAlign w:val="center"/>
          </w:tcPr>
          <w:p w14:paraId="3CC82A00" w14:textId="4B0314CC" w:rsidR="00B549EB" w:rsidRPr="00C251E9" w:rsidRDefault="00B549EB" w:rsidP="00043458">
            <w:pPr>
              <w:pStyle w:val="TMGTableText"/>
              <w:spacing w:before="10" w:after="10"/>
              <w:jc w:val="center"/>
            </w:pPr>
            <w:r w:rsidRPr="006701AC">
              <w:t>31,689</w:t>
            </w:r>
          </w:p>
        </w:tc>
        <w:tc>
          <w:tcPr>
            <w:tcW w:w="1094" w:type="dxa"/>
            <w:vAlign w:val="center"/>
          </w:tcPr>
          <w:p w14:paraId="66002787" w14:textId="04975CFA" w:rsidR="00B549EB" w:rsidRPr="00C251E9" w:rsidRDefault="00B549EB" w:rsidP="00043458">
            <w:pPr>
              <w:pStyle w:val="TMGTableText"/>
              <w:spacing w:before="10" w:after="10"/>
              <w:jc w:val="center"/>
            </w:pPr>
            <w:r w:rsidRPr="006701AC">
              <w:t>11,834</w:t>
            </w:r>
          </w:p>
        </w:tc>
        <w:tc>
          <w:tcPr>
            <w:tcW w:w="1095" w:type="dxa"/>
            <w:vAlign w:val="center"/>
          </w:tcPr>
          <w:p w14:paraId="063A11F2" w14:textId="3DD69878" w:rsidR="00B549EB" w:rsidRPr="006701AC" w:rsidRDefault="00B549EB" w:rsidP="00043458">
            <w:pPr>
              <w:pStyle w:val="TMGTableText"/>
              <w:spacing w:before="10" w:after="10"/>
              <w:jc w:val="center"/>
            </w:pPr>
            <w:r w:rsidRPr="006701AC">
              <w:t>48</w:t>
            </w:r>
          </w:p>
        </w:tc>
        <w:tc>
          <w:tcPr>
            <w:tcW w:w="1094" w:type="dxa"/>
            <w:vAlign w:val="center"/>
          </w:tcPr>
          <w:p w14:paraId="2EF9449B" w14:textId="6CF4A95F" w:rsidR="00B549EB" w:rsidRPr="00C251E9" w:rsidRDefault="00B549EB" w:rsidP="00043458">
            <w:pPr>
              <w:pStyle w:val="TMGTableText"/>
              <w:spacing w:before="10" w:after="10"/>
              <w:jc w:val="center"/>
            </w:pPr>
            <w:r w:rsidRPr="006701AC">
              <w:t>3,697</w:t>
            </w:r>
          </w:p>
        </w:tc>
        <w:tc>
          <w:tcPr>
            <w:tcW w:w="1094" w:type="dxa"/>
            <w:vAlign w:val="center"/>
          </w:tcPr>
          <w:p w14:paraId="2BC9AAA1" w14:textId="42BBBC43" w:rsidR="00B549EB" w:rsidRPr="00C251E9" w:rsidRDefault="00B549EB" w:rsidP="00043458">
            <w:pPr>
              <w:pStyle w:val="TMGTableText"/>
              <w:spacing w:before="10" w:after="10"/>
              <w:jc w:val="center"/>
            </w:pPr>
            <w:r w:rsidRPr="006701AC">
              <w:t>3,469</w:t>
            </w:r>
          </w:p>
        </w:tc>
        <w:tc>
          <w:tcPr>
            <w:tcW w:w="1095" w:type="dxa"/>
            <w:vAlign w:val="center"/>
          </w:tcPr>
          <w:p w14:paraId="72A39E6E" w14:textId="1B9A4FE9" w:rsidR="00B549EB" w:rsidRPr="00C251E9" w:rsidRDefault="00B549EB" w:rsidP="00043458">
            <w:pPr>
              <w:pStyle w:val="TMGTableText"/>
              <w:spacing w:before="10" w:after="10"/>
              <w:jc w:val="center"/>
            </w:pPr>
            <w:r w:rsidRPr="006701AC">
              <w:t>51,231</w:t>
            </w:r>
          </w:p>
        </w:tc>
      </w:tr>
      <w:tr w:rsidR="00B549EB" w14:paraId="47460B62" w14:textId="77777777" w:rsidTr="00043458">
        <w:trPr>
          <w:trHeight w:val="63"/>
          <w:jc w:val="center"/>
        </w:trPr>
        <w:tc>
          <w:tcPr>
            <w:tcW w:w="1700" w:type="dxa"/>
          </w:tcPr>
          <w:p w14:paraId="2D5D9B7E" w14:textId="7C369480" w:rsidR="00B549EB" w:rsidRPr="00C251E9" w:rsidRDefault="00B549EB" w:rsidP="00043458">
            <w:pPr>
              <w:pStyle w:val="TMGTableText"/>
              <w:spacing w:before="10" w:after="10"/>
            </w:pPr>
            <w:r w:rsidRPr="004859C8">
              <w:t>Tuesday Factor</w:t>
            </w:r>
          </w:p>
        </w:tc>
        <w:tc>
          <w:tcPr>
            <w:tcW w:w="1094" w:type="dxa"/>
            <w:vAlign w:val="center"/>
          </w:tcPr>
          <w:p w14:paraId="7B22FE9F" w14:textId="174418D0" w:rsidR="00B549EB" w:rsidRPr="00C251E9" w:rsidRDefault="00B549EB" w:rsidP="00043458">
            <w:pPr>
              <w:pStyle w:val="TMGTableText"/>
              <w:spacing w:before="10" w:after="10"/>
              <w:jc w:val="center"/>
            </w:pPr>
            <w:r w:rsidRPr="006701AC">
              <w:t>1.24</w:t>
            </w:r>
          </w:p>
        </w:tc>
        <w:tc>
          <w:tcPr>
            <w:tcW w:w="1094" w:type="dxa"/>
            <w:vAlign w:val="center"/>
          </w:tcPr>
          <w:p w14:paraId="088F0F67" w14:textId="7396FAA4" w:rsidR="00B549EB" w:rsidRPr="00C251E9" w:rsidRDefault="00B549EB" w:rsidP="00043458">
            <w:pPr>
              <w:pStyle w:val="TMGTableText"/>
              <w:spacing w:before="10" w:after="10"/>
              <w:jc w:val="center"/>
            </w:pPr>
            <w:r w:rsidRPr="006701AC">
              <w:t>1.02</w:t>
            </w:r>
          </w:p>
        </w:tc>
        <w:tc>
          <w:tcPr>
            <w:tcW w:w="1094" w:type="dxa"/>
            <w:vAlign w:val="center"/>
          </w:tcPr>
          <w:p w14:paraId="734E9CC9" w14:textId="483E4CBC" w:rsidR="00B549EB" w:rsidRPr="00C251E9" w:rsidRDefault="00B549EB" w:rsidP="00043458">
            <w:pPr>
              <w:pStyle w:val="TMGTableText"/>
              <w:spacing w:before="10" w:after="10"/>
              <w:jc w:val="center"/>
            </w:pPr>
            <w:r w:rsidRPr="006701AC">
              <w:t>1.02</w:t>
            </w:r>
          </w:p>
        </w:tc>
        <w:tc>
          <w:tcPr>
            <w:tcW w:w="1095" w:type="dxa"/>
            <w:vAlign w:val="center"/>
          </w:tcPr>
          <w:p w14:paraId="2F7ABB9C" w14:textId="1912916F" w:rsidR="00B549EB" w:rsidRPr="006701AC" w:rsidRDefault="00B549EB" w:rsidP="00043458">
            <w:pPr>
              <w:pStyle w:val="TMGTableText"/>
              <w:spacing w:before="10" w:after="10"/>
              <w:jc w:val="center"/>
            </w:pPr>
            <w:r w:rsidRPr="006701AC">
              <w:t>1.06</w:t>
            </w:r>
          </w:p>
        </w:tc>
        <w:tc>
          <w:tcPr>
            <w:tcW w:w="1094" w:type="dxa"/>
            <w:vAlign w:val="center"/>
          </w:tcPr>
          <w:p w14:paraId="29E1B7F8" w14:textId="6262EC08" w:rsidR="00B549EB" w:rsidRPr="00C251E9" w:rsidRDefault="00B549EB" w:rsidP="00043458">
            <w:pPr>
              <w:pStyle w:val="TMGTableText"/>
              <w:spacing w:before="10" w:after="10"/>
              <w:jc w:val="center"/>
            </w:pPr>
            <w:r w:rsidRPr="006701AC">
              <w:t>0.88</w:t>
            </w:r>
          </w:p>
        </w:tc>
        <w:tc>
          <w:tcPr>
            <w:tcW w:w="1094" w:type="dxa"/>
            <w:vAlign w:val="center"/>
          </w:tcPr>
          <w:p w14:paraId="535B5CC4" w14:textId="6412351B" w:rsidR="00B549EB" w:rsidRPr="00C251E9" w:rsidRDefault="00B549EB" w:rsidP="00043458">
            <w:pPr>
              <w:pStyle w:val="TMGTableText"/>
              <w:spacing w:before="10" w:after="10"/>
              <w:jc w:val="center"/>
            </w:pPr>
            <w:r w:rsidRPr="006701AC">
              <w:t>0.8</w:t>
            </w:r>
          </w:p>
        </w:tc>
        <w:tc>
          <w:tcPr>
            <w:tcW w:w="1095" w:type="dxa"/>
            <w:vAlign w:val="center"/>
          </w:tcPr>
          <w:p w14:paraId="7302A377" w14:textId="298C2B72" w:rsidR="00B549EB" w:rsidRPr="00C251E9" w:rsidRDefault="00B549EB" w:rsidP="00043458">
            <w:pPr>
              <w:pStyle w:val="TMGTableText"/>
              <w:spacing w:before="10" w:after="10"/>
              <w:jc w:val="center"/>
            </w:pPr>
          </w:p>
        </w:tc>
      </w:tr>
      <w:tr w:rsidR="00B549EB" w14:paraId="1D8CD844" w14:textId="77777777" w:rsidTr="00043458">
        <w:trPr>
          <w:trHeight w:val="63"/>
          <w:jc w:val="center"/>
        </w:trPr>
        <w:tc>
          <w:tcPr>
            <w:tcW w:w="1700" w:type="dxa"/>
          </w:tcPr>
          <w:p w14:paraId="34621588" w14:textId="7C83D2CE" w:rsidR="00B549EB" w:rsidRPr="00C251E9" w:rsidRDefault="00B549EB" w:rsidP="00043458">
            <w:pPr>
              <w:pStyle w:val="TMGTableText"/>
              <w:spacing w:before="10" w:after="10"/>
            </w:pPr>
            <w:r w:rsidRPr="004859C8">
              <w:t>Wednesday Factor</w:t>
            </w:r>
          </w:p>
        </w:tc>
        <w:tc>
          <w:tcPr>
            <w:tcW w:w="1094" w:type="dxa"/>
            <w:vAlign w:val="center"/>
          </w:tcPr>
          <w:p w14:paraId="31E0CBB0" w14:textId="12DBEC37" w:rsidR="00B549EB" w:rsidRPr="00C251E9" w:rsidRDefault="00B549EB" w:rsidP="00043458">
            <w:pPr>
              <w:pStyle w:val="TMGTableText"/>
              <w:spacing w:before="10" w:after="10"/>
              <w:jc w:val="center"/>
            </w:pPr>
            <w:r w:rsidRPr="006701AC">
              <w:t>1.23</w:t>
            </w:r>
          </w:p>
        </w:tc>
        <w:tc>
          <w:tcPr>
            <w:tcW w:w="1094" w:type="dxa"/>
            <w:vAlign w:val="center"/>
          </w:tcPr>
          <w:p w14:paraId="17F2EB24" w14:textId="4F428956" w:rsidR="00B549EB" w:rsidRPr="00C251E9" w:rsidRDefault="00B549EB" w:rsidP="00043458">
            <w:pPr>
              <w:pStyle w:val="TMGTableText"/>
              <w:spacing w:before="10" w:after="10"/>
              <w:jc w:val="center"/>
            </w:pPr>
            <w:r w:rsidRPr="006701AC">
              <w:t>1.00</w:t>
            </w:r>
          </w:p>
        </w:tc>
        <w:tc>
          <w:tcPr>
            <w:tcW w:w="1094" w:type="dxa"/>
            <w:vAlign w:val="center"/>
          </w:tcPr>
          <w:p w14:paraId="5D339380" w14:textId="5A903685" w:rsidR="00B549EB" w:rsidRPr="00C251E9" w:rsidRDefault="00B549EB" w:rsidP="00043458">
            <w:pPr>
              <w:pStyle w:val="TMGTableText"/>
              <w:spacing w:before="10" w:after="10"/>
              <w:jc w:val="center"/>
            </w:pPr>
            <w:r w:rsidRPr="006701AC">
              <w:t>1.00</w:t>
            </w:r>
          </w:p>
        </w:tc>
        <w:tc>
          <w:tcPr>
            <w:tcW w:w="1095" w:type="dxa"/>
            <w:vAlign w:val="center"/>
          </w:tcPr>
          <w:p w14:paraId="3C0D0968" w14:textId="6988754A" w:rsidR="00B549EB" w:rsidRPr="006701AC" w:rsidRDefault="00B549EB" w:rsidP="00043458">
            <w:pPr>
              <w:pStyle w:val="TMGTableText"/>
              <w:spacing w:before="10" w:after="10"/>
              <w:jc w:val="center"/>
            </w:pPr>
            <w:r w:rsidRPr="006701AC">
              <w:t>1.03</w:t>
            </w:r>
          </w:p>
        </w:tc>
        <w:tc>
          <w:tcPr>
            <w:tcW w:w="1094" w:type="dxa"/>
            <w:vAlign w:val="center"/>
          </w:tcPr>
          <w:p w14:paraId="1EAE8406" w14:textId="68BFD831" w:rsidR="00B549EB" w:rsidRPr="00C251E9" w:rsidRDefault="00B549EB" w:rsidP="00043458">
            <w:pPr>
              <w:pStyle w:val="TMGTableText"/>
              <w:spacing w:before="10" w:after="10"/>
              <w:jc w:val="center"/>
            </w:pPr>
            <w:r w:rsidRPr="006701AC">
              <w:t>0.89</w:t>
            </w:r>
          </w:p>
        </w:tc>
        <w:tc>
          <w:tcPr>
            <w:tcW w:w="1094" w:type="dxa"/>
            <w:vAlign w:val="center"/>
          </w:tcPr>
          <w:p w14:paraId="280B8A96" w14:textId="7DB3BDE3" w:rsidR="00B549EB" w:rsidRPr="00C251E9" w:rsidRDefault="00B549EB" w:rsidP="00043458">
            <w:pPr>
              <w:pStyle w:val="TMGTableText"/>
              <w:spacing w:before="10" w:after="10"/>
              <w:jc w:val="center"/>
            </w:pPr>
            <w:r w:rsidRPr="006701AC">
              <w:t>0.79</w:t>
            </w:r>
          </w:p>
        </w:tc>
        <w:tc>
          <w:tcPr>
            <w:tcW w:w="1095" w:type="dxa"/>
            <w:vAlign w:val="center"/>
          </w:tcPr>
          <w:p w14:paraId="5DD05D01" w14:textId="7388B322" w:rsidR="00B549EB" w:rsidRPr="00C251E9" w:rsidRDefault="00B549EB" w:rsidP="00043458">
            <w:pPr>
              <w:pStyle w:val="TMGTableText"/>
              <w:spacing w:before="10" w:after="10"/>
              <w:jc w:val="center"/>
            </w:pPr>
          </w:p>
        </w:tc>
      </w:tr>
      <w:tr w:rsidR="00B549EB" w14:paraId="061581B2" w14:textId="77777777" w:rsidTr="00043458">
        <w:trPr>
          <w:jc w:val="center"/>
        </w:trPr>
        <w:tc>
          <w:tcPr>
            <w:tcW w:w="1700" w:type="dxa"/>
          </w:tcPr>
          <w:p w14:paraId="7EB77FB9" w14:textId="062AAE83" w:rsidR="00B549EB" w:rsidRPr="00C251E9" w:rsidRDefault="00B549EB" w:rsidP="00043458">
            <w:pPr>
              <w:pStyle w:val="TMGTableText"/>
              <w:spacing w:before="10" w:after="10"/>
            </w:pPr>
            <w:r w:rsidRPr="004859C8">
              <w:t>August Factor by Class</w:t>
            </w:r>
          </w:p>
        </w:tc>
        <w:tc>
          <w:tcPr>
            <w:tcW w:w="1094" w:type="dxa"/>
            <w:vAlign w:val="center"/>
          </w:tcPr>
          <w:p w14:paraId="60ABCE65" w14:textId="5005593A" w:rsidR="00B549EB" w:rsidRPr="00C251E9" w:rsidRDefault="00B549EB" w:rsidP="00043458">
            <w:pPr>
              <w:pStyle w:val="TMGTableText"/>
              <w:spacing w:before="10" w:after="10"/>
              <w:jc w:val="center"/>
            </w:pPr>
            <w:r w:rsidRPr="006701AC">
              <w:t>0.95</w:t>
            </w:r>
          </w:p>
        </w:tc>
        <w:tc>
          <w:tcPr>
            <w:tcW w:w="1094" w:type="dxa"/>
            <w:vAlign w:val="center"/>
          </w:tcPr>
          <w:p w14:paraId="3A19F200" w14:textId="55CDB821" w:rsidR="00B549EB" w:rsidRPr="00C251E9" w:rsidRDefault="00B549EB" w:rsidP="00043458">
            <w:pPr>
              <w:pStyle w:val="TMGTableText"/>
              <w:spacing w:before="10" w:after="10"/>
              <w:jc w:val="center"/>
            </w:pPr>
            <w:r w:rsidRPr="006701AC">
              <w:t>0.97</w:t>
            </w:r>
          </w:p>
        </w:tc>
        <w:tc>
          <w:tcPr>
            <w:tcW w:w="1094" w:type="dxa"/>
            <w:vAlign w:val="center"/>
          </w:tcPr>
          <w:p w14:paraId="1065C6C4" w14:textId="1EAC7076" w:rsidR="00B549EB" w:rsidRPr="00C251E9" w:rsidRDefault="00B549EB" w:rsidP="00043458">
            <w:pPr>
              <w:pStyle w:val="TMGTableText"/>
              <w:spacing w:before="10" w:after="10"/>
              <w:jc w:val="center"/>
            </w:pPr>
            <w:r w:rsidRPr="006701AC">
              <w:t>0.97</w:t>
            </w:r>
          </w:p>
        </w:tc>
        <w:tc>
          <w:tcPr>
            <w:tcW w:w="1095" w:type="dxa"/>
            <w:vAlign w:val="center"/>
          </w:tcPr>
          <w:p w14:paraId="28BA561C" w14:textId="58632D9E" w:rsidR="00B549EB" w:rsidRPr="006701AC" w:rsidRDefault="00B549EB" w:rsidP="00043458">
            <w:pPr>
              <w:pStyle w:val="TMGTableText"/>
              <w:spacing w:before="10" w:after="10"/>
              <w:jc w:val="center"/>
            </w:pPr>
            <w:r w:rsidRPr="006701AC">
              <w:t>0.81</w:t>
            </w:r>
          </w:p>
        </w:tc>
        <w:tc>
          <w:tcPr>
            <w:tcW w:w="1094" w:type="dxa"/>
            <w:vAlign w:val="center"/>
          </w:tcPr>
          <w:p w14:paraId="2B86FBBC" w14:textId="13EF7C2C" w:rsidR="00B549EB" w:rsidRPr="00C251E9" w:rsidRDefault="00B549EB" w:rsidP="00043458">
            <w:pPr>
              <w:pStyle w:val="TMGTableText"/>
              <w:spacing w:before="10" w:after="10"/>
              <w:jc w:val="center"/>
            </w:pPr>
            <w:r w:rsidRPr="006701AC">
              <w:t>0.84</w:t>
            </w:r>
          </w:p>
        </w:tc>
        <w:tc>
          <w:tcPr>
            <w:tcW w:w="1094" w:type="dxa"/>
            <w:vAlign w:val="center"/>
          </w:tcPr>
          <w:p w14:paraId="74742D6A" w14:textId="494CCABA" w:rsidR="00B549EB" w:rsidRPr="00C251E9" w:rsidRDefault="00B549EB" w:rsidP="00043458">
            <w:pPr>
              <w:pStyle w:val="TMGTableText"/>
              <w:spacing w:before="10" w:after="10"/>
              <w:jc w:val="center"/>
            </w:pPr>
            <w:r w:rsidRPr="006701AC">
              <w:t>0.91</w:t>
            </w:r>
          </w:p>
        </w:tc>
        <w:tc>
          <w:tcPr>
            <w:tcW w:w="1095" w:type="dxa"/>
            <w:vAlign w:val="center"/>
          </w:tcPr>
          <w:p w14:paraId="27FF3EB6" w14:textId="220A1C50" w:rsidR="00B549EB" w:rsidRPr="00C251E9" w:rsidRDefault="00B549EB" w:rsidP="00043458">
            <w:pPr>
              <w:pStyle w:val="TMGTableText"/>
              <w:spacing w:before="10" w:after="10"/>
              <w:jc w:val="center"/>
            </w:pPr>
          </w:p>
        </w:tc>
      </w:tr>
      <w:tr w:rsidR="00B549EB" w14:paraId="29C893E8" w14:textId="77777777" w:rsidTr="00043458">
        <w:trPr>
          <w:jc w:val="center"/>
        </w:trPr>
        <w:tc>
          <w:tcPr>
            <w:tcW w:w="1700" w:type="dxa"/>
          </w:tcPr>
          <w:p w14:paraId="6D32F5EE" w14:textId="6935A1B4" w:rsidR="00B549EB" w:rsidRPr="00C251E9" w:rsidRDefault="00B549EB" w:rsidP="00043458">
            <w:pPr>
              <w:pStyle w:val="TMGTableText"/>
              <w:spacing w:before="10" w:after="10"/>
            </w:pPr>
            <w:r w:rsidRPr="004859C8">
              <w:t>AADT Based on Tuesday</w:t>
            </w:r>
          </w:p>
        </w:tc>
        <w:tc>
          <w:tcPr>
            <w:tcW w:w="1094" w:type="dxa"/>
            <w:vAlign w:val="center"/>
          </w:tcPr>
          <w:p w14:paraId="5711A00C" w14:textId="31A48E01" w:rsidR="00B549EB" w:rsidRPr="00C251E9" w:rsidRDefault="00B549EB" w:rsidP="00043458">
            <w:pPr>
              <w:pStyle w:val="TMGTableText"/>
              <w:spacing w:before="10" w:after="10"/>
              <w:jc w:val="center"/>
            </w:pPr>
            <w:r w:rsidRPr="006701AC">
              <w:t>610</w:t>
            </w:r>
          </w:p>
        </w:tc>
        <w:tc>
          <w:tcPr>
            <w:tcW w:w="1094" w:type="dxa"/>
            <w:vAlign w:val="center"/>
          </w:tcPr>
          <w:p w14:paraId="5A35DE79" w14:textId="44C8E6B8" w:rsidR="00B549EB" w:rsidRPr="00C251E9" w:rsidRDefault="00B549EB" w:rsidP="00043458">
            <w:pPr>
              <w:pStyle w:val="TMGTableText"/>
              <w:spacing w:before="10" w:after="10"/>
              <w:jc w:val="center"/>
            </w:pPr>
            <w:r w:rsidRPr="006701AC">
              <w:t>30,380</w:t>
            </w:r>
          </w:p>
        </w:tc>
        <w:tc>
          <w:tcPr>
            <w:tcW w:w="1094" w:type="dxa"/>
            <w:vAlign w:val="center"/>
          </w:tcPr>
          <w:p w14:paraId="5FA4BA4C" w14:textId="66E7578E" w:rsidR="00B549EB" w:rsidRPr="00C251E9" w:rsidRDefault="00B549EB" w:rsidP="00043458">
            <w:pPr>
              <w:pStyle w:val="TMGTableText"/>
              <w:spacing w:before="10" w:after="10"/>
              <w:jc w:val="center"/>
            </w:pPr>
            <w:r w:rsidRPr="006701AC">
              <w:t>11,096</w:t>
            </w:r>
          </w:p>
        </w:tc>
        <w:tc>
          <w:tcPr>
            <w:tcW w:w="1095" w:type="dxa"/>
            <w:vAlign w:val="center"/>
          </w:tcPr>
          <w:p w14:paraId="2B0946D6" w14:textId="5416C677" w:rsidR="00B549EB" w:rsidRPr="006701AC" w:rsidRDefault="00B549EB" w:rsidP="00043458">
            <w:pPr>
              <w:pStyle w:val="TMGTableText"/>
              <w:spacing w:before="10" w:after="10"/>
              <w:jc w:val="center"/>
            </w:pPr>
            <w:r w:rsidRPr="006701AC">
              <w:t>50</w:t>
            </w:r>
          </w:p>
        </w:tc>
        <w:tc>
          <w:tcPr>
            <w:tcW w:w="1094" w:type="dxa"/>
            <w:vAlign w:val="center"/>
          </w:tcPr>
          <w:p w14:paraId="4D8BD67E" w14:textId="13F964CF" w:rsidR="00B549EB" w:rsidRPr="00C251E9" w:rsidRDefault="00B549EB" w:rsidP="00043458">
            <w:pPr>
              <w:pStyle w:val="TMGTableText"/>
              <w:spacing w:before="10" w:after="10"/>
              <w:jc w:val="center"/>
            </w:pPr>
            <w:r w:rsidRPr="006701AC">
              <w:t>3033</w:t>
            </w:r>
          </w:p>
        </w:tc>
        <w:tc>
          <w:tcPr>
            <w:tcW w:w="1094" w:type="dxa"/>
            <w:vAlign w:val="center"/>
          </w:tcPr>
          <w:p w14:paraId="08B0744C" w14:textId="6104BA21" w:rsidR="00B549EB" w:rsidRPr="00C251E9" w:rsidRDefault="00B549EB" w:rsidP="00043458">
            <w:pPr>
              <w:pStyle w:val="TMGTableText"/>
              <w:spacing w:before="10" w:after="10"/>
              <w:jc w:val="center"/>
            </w:pPr>
            <w:r w:rsidRPr="006701AC">
              <w:t>3030</w:t>
            </w:r>
          </w:p>
        </w:tc>
        <w:tc>
          <w:tcPr>
            <w:tcW w:w="1095" w:type="dxa"/>
            <w:vAlign w:val="center"/>
          </w:tcPr>
          <w:p w14:paraId="746A36E3" w14:textId="08A19397" w:rsidR="00B549EB" w:rsidRPr="00C251E9" w:rsidRDefault="00B549EB" w:rsidP="00043458">
            <w:pPr>
              <w:pStyle w:val="TMGTableText"/>
              <w:spacing w:before="10" w:after="10"/>
              <w:jc w:val="center"/>
            </w:pPr>
            <w:r w:rsidRPr="006701AC">
              <w:t>48,199</w:t>
            </w:r>
          </w:p>
        </w:tc>
      </w:tr>
      <w:tr w:rsidR="00B549EB" w14:paraId="04222055" w14:textId="77777777" w:rsidTr="00043458">
        <w:trPr>
          <w:jc w:val="center"/>
        </w:trPr>
        <w:tc>
          <w:tcPr>
            <w:tcW w:w="1700" w:type="dxa"/>
          </w:tcPr>
          <w:p w14:paraId="481A20DF" w14:textId="3992F599" w:rsidR="00B549EB" w:rsidRPr="00C251E9" w:rsidRDefault="00B549EB" w:rsidP="00043458">
            <w:pPr>
              <w:pStyle w:val="TMGTableText"/>
              <w:spacing w:before="10" w:after="10"/>
            </w:pPr>
            <w:r w:rsidRPr="004859C8">
              <w:t>AADT Based on Wednesday</w:t>
            </w:r>
          </w:p>
        </w:tc>
        <w:tc>
          <w:tcPr>
            <w:tcW w:w="1094" w:type="dxa"/>
            <w:vAlign w:val="center"/>
          </w:tcPr>
          <w:p w14:paraId="2D6BD4BE" w14:textId="74D885E2" w:rsidR="00B549EB" w:rsidRPr="00C251E9" w:rsidRDefault="00B549EB" w:rsidP="00043458">
            <w:pPr>
              <w:pStyle w:val="TMGTableText"/>
              <w:spacing w:before="10" w:after="10"/>
              <w:jc w:val="center"/>
            </w:pPr>
            <w:r w:rsidRPr="006701AC">
              <w:t>518</w:t>
            </w:r>
          </w:p>
        </w:tc>
        <w:tc>
          <w:tcPr>
            <w:tcW w:w="1094" w:type="dxa"/>
            <w:vAlign w:val="center"/>
          </w:tcPr>
          <w:p w14:paraId="1CCD4CAD" w14:textId="3F6AA15E" w:rsidR="00B549EB" w:rsidRPr="00C251E9" w:rsidRDefault="00B549EB" w:rsidP="00043458">
            <w:pPr>
              <w:pStyle w:val="TMGTableText"/>
              <w:spacing w:before="10" w:after="10"/>
              <w:jc w:val="center"/>
            </w:pPr>
            <w:r w:rsidRPr="006701AC">
              <w:t>30,705</w:t>
            </w:r>
          </w:p>
        </w:tc>
        <w:tc>
          <w:tcPr>
            <w:tcW w:w="1094" w:type="dxa"/>
            <w:vAlign w:val="center"/>
          </w:tcPr>
          <w:p w14:paraId="0B033F8D" w14:textId="1516A294" w:rsidR="00B549EB" w:rsidRPr="00C251E9" w:rsidRDefault="00B549EB" w:rsidP="00043458">
            <w:pPr>
              <w:pStyle w:val="TMGTableText"/>
              <w:spacing w:before="10" w:after="10"/>
              <w:jc w:val="center"/>
            </w:pPr>
            <w:r w:rsidRPr="006701AC">
              <w:t>11,215</w:t>
            </w:r>
          </w:p>
        </w:tc>
        <w:tc>
          <w:tcPr>
            <w:tcW w:w="1095" w:type="dxa"/>
            <w:vAlign w:val="center"/>
          </w:tcPr>
          <w:p w14:paraId="002A5360" w14:textId="2067BFE4" w:rsidR="00B549EB" w:rsidRPr="006701AC" w:rsidRDefault="00B549EB" w:rsidP="00043458">
            <w:pPr>
              <w:pStyle w:val="TMGTableText"/>
              <w:spacing w:before="10" w:after="10"/>
              <w:jc w:val="center"/>
            </w:pPr>
            <w:r w:rsidRPr="006701AC">
              <w:t>58</w:t>
            </w:r>
          </w:p>
        </w:tc>
        <w:tc>
          <w:tcPr>
            <w:tcW w:w="1094" w:type="dxa"/>
            <w:vAlign w:val="center"/>
          </w:tcPr>
          <w:p w14:paraId="16A9A844" w14:textId="7AD2FBC5" w:rsidR="00B549EB" w:rsidRPr="00C251E9" w:rsidRDefault="00B549EB" w:rsidP="00043458">
            <w:pPr>
              <w:pStyle w:val="TMGTableText"/>
              <w:spacing w:before="10" w:after="10"/>
              <w:jc w:val="center"/>
            </w:pPr>
            <w:r w:rsidRPr="006701AC">
              <w:t>4,103</w:t>
            </w:r>
          </w:p>
        </w:tc>
        <w:tc>
          <w:tcPr>
            <w:tcW w:w="1094" w:type="dxa"/>
            <w:vAlign w:val="center"/>
          </w:tcPr>
          <w:p w14:paraId="05A8FA58" w14:textId="430E4758" w:rsidR="00B549EB" w:rsidRPr="00C251E9" w:rsidRDefault="00B549EB" w:rsidP="00043458">
            <w:pPr>
              <w:pStyle w:val="TMGTableText"/>
              <w:spacing w:before="10" w:after="10"/>
              <w:jc w:val="center"/>
            </w:pPr>
            <w:r w:rsidRPr="006701AC">
              <w:t>4,162</w:t>
            </w:r>
          </w:p>
        </w:tc>
        <w:tc>
          <w:tcPr>
            <w:tcW w:w="1095" w:type="dxa"/>
            <w:vAlign w:val="center"/>
          </w:tcPr>
          <w:p w14:paraId="3E98B9F1" w14:textId="78E00EA8" w:rsidR="00B549EB" w:rsidRPr="00C251E9" w:rsidRDefault="00B549EB" w:rsidP="00043458">
            <w:pPr>
              <w:pStyle w:val="TMGTableText"/>
              <w:spacing w:before="10" w:after="10"/>
              <w:jc w:val="center"/>
            </w:pPr>
            <w:r w:rsidRPr="006701AC">
              <w:t>50,761</w:t>
            </w:r>
          </w:p>
        </w:tc>
      </w:tr>
      <w:tr w:rsidR="00B549EB" w14:paraId="155489DE" w14:textId="77777777" w:rsidTr="00043458">
        <w:trPr>
          <w:jc w:val="center"/>
        </w:trPr>
        <w:tc>
          <w:tcPr>
            <w:tcW w:w="1700" w:type="dxa"/>
          </w:tcPr>
          <w:p w14:paraId="2C3EFED3" w14:textId="076E861C" w:rsidR="00B549EB" w:rsidRPr="00C251E9" w:rsidRDefault="00B549EB" w:rsidP="00043458">
            <w:pPr>
              <w:pStyle w:val="TMGTableText"/>
              <w:spacing w:before="10" w:after="10"/>
            </w:pPr>
            <w:r w:rsidRPr="004859C8">
              <w:t>Average</w:t>
            </w:r>
          </w:p>
        </w:tc>
        <w:tc>
          <w:tcPr>
            <w:tcW w:w="1094" w:type="dxa"/>
            <w:vAlign w:val="center"/>
          </w:tcPr>
          <w:p w14:paraId="07C2A2FF" w14:textId="63932C9E" w:rsidR="00B549EB" w:rsidRPr="00C251E9" w:rsidRDefault="00B549EB" w:rsidP="00043458">
            <w:pPr>
              <w:pStyle w:val="TMGTableText"/>
              <w:spacing w:before="10" w:after="10"/>
              <w:jc w:val="center"/>
            </w:pPr>
            <w:r w:rsidRPr="006701AC">
              <w:t>494</w:t>
            </w:r>
          </w:p>
        </w:tc>
        <w:tc>
          <w:tcPr>
            <w:tcW w:w="1094" w:type="dxa"/>
            <w:vAlign w:val="center"/>
          </w:tcPr>
          <w:p w14:paraId="50F3C8E8" w14:textId="1153FFF6" w:rsidR="00B549EB" w:rsidRPr="00C251E9" w:rsidRDefault="00B549EB" w:rsidP="00043458">
            <w:pPr>
              <w:pStyle w:val="TMGTableText"/>
              <w:spacing w:before="10" w:after="10"/>
              <w:jc w:val="center"/>
            </w:pPr>
            <w:r w:rsidRPr="006701AC">
              <w:t>31,689</w:t>
            </w:r>
          </w:p>
        </w:tc>
        <w:tc>
          <w:tcPr>
            <w:tcW w:w="1094" w:type="dxa"/>
            <w:vAlign w:val="center"/>
          </w:tcPr>
          <w:p w14:paraId="336F55EE" w14:textId="351E2A27" w:rsidR="00B549EB" w:rsidRPr="00C251E9" w:rsidRDefault="00B549EB" w:rsidP="00043458">
            <w:pPr>
              <w:pStyle w:val="TMGTableText"/>
              <w:spacing w:before="10" w:after="10"/>
              <w:jc w:val="center"/>
            </w:pPr>
            <w:r w:rsidRPr="006701AC">
              <w:t>11,834</w:t>
            </w:r>
          </w:p>
        </w:tc>
        <w:tc>
          <w:tcPr>
            <w:tcW w:w="1095" w:type="dxa"/>
            <w:vAlign w:val="center"/>
          </w:tcPr>
          <w:p w14:paraId="4901DCFC" w14:textId="6143EB8A" w:rsidR="00B549EB" w:rsidRPr="006701AC" w:rsidRDefault="00B549EB" w:rsidP="00043458">
            <w:pPr>
              <w:pStyle w:val="TMGTableText"/>
              <w:spacing w:before="10" w:after="10"/>
              <w:jc w:val="center"/>
            </w:pPr>
            <w:r w:rsidRPr="006701AC">
              <w:t>48</w:t>
            </w:r>
          </w:p>
        </w:tc>
        <w:tc>
          <w:tcPr>
            <w:tcW w:w="1094" w:type="dxa"/>
            <w:vAlign w:val="center"/>
          </w:tcPr>
          <w:p w14:paraId="514069A5" w14:textId="49BDDECD" w:rsidR="00B549EB" w:rsidRPr="00C251E9" w:rsidRDefault="00B549EB" w:rsidP="00043458">
            <w:pPr>
              <w:pStyle w:val="TMGTableText"/>
              <w:spacing w:before="10" w:after="10"/>
              <w:jc w:val="center"/>
            </w:pPr>
            <w:r w:rsidRPr="006701AC">
              <w:t>3,697</w:t>
            </w:r>
          </w:p>
        </w:tc>
        <w:tc>
          <w:tcPr>
            <w:tcW w:w="1094" w:type="dxa"/>
            <w:vAlign w:val="center"/>
          </w:tcPr>
          <w:p w14:paraId="2F21C525" w14:textId="243C41A3" w:rsidR="00B549EB" w:rsidRPr="00C251E9" w:rsidRDefault="00B549EB" w:rsidP="00043458">
            <w:pPr>
              <w:pStyle w:val="TMGTableText"/>
              <w:spacing w:before="10" w:after="10"/>
              <w:jc w:val="center"/>
            </w:pPr>
            <w:r w:rsidRPr="006701AC">
              <w:t>3,469</w:t>
            </w:r>
          </w:p>
        </w:tc>
        <w:tc>
          <w:tcPr>
            <w:tcW w:w="1095" w:type="dxa"/>
            <w:vAlign w:val="center"/>
          </w:tcPr>
          <w:p w14:paraId="3D94ECFD" w14:textId="6A98AAFC" w:rsidR="00B549EB" w:rsidRPr="00C251E9" w:rsidRDefault="00B549EB" w:rsidP="00043458">
            <w:pPr>
              <w:pStyle w:val="TMGTableText"/>
              <w:spacing w:before="10" w:after="10"/>
              <w:jc w:val="center"/>
            </w:pPr>
            <w:r w:rsidRPr="006701AC">
              <w:t>51,231</w:t>
            </w:r>
          </w:p>
        </w:tc>
      </w:tr>
    </w:tbl>
    <w:p w14:paraId="6FC85928" w14:textId="6898A21C" w:rsidR="007457D5" w:rsidRPr="007457D5" w:rsidRDefault="007457D5" w:rsidP="009D2910">
      <w:pPr>
        <w:pStyle w:val="BodyText"/>
        <w:spacing w:before="60" w:after="60"/>
        <w:rPr>
          <w:rFonts w:eastAsia="MS Mincho"/>
        </w:rPr>
      </w:pPr>
      <w:bookmarkStart w:id="1852" w:name="_Toc68190208"/>
      <w:bookmarkStart w:id="1853" w:name="_Toc68864944"/>
      <w:bookmarkEnd w:id="1851"/>
      <w:r w:rsidRPr="007457D5">
        <w:rPr>
          <w:rFonts w:eastAsia="MS Mincho"/>
        </w:rPr>
        <w:t>ADT computed from total volume = (50,761 + 51,231) × 0.95 × 0.98 DOW factor) = 47,477</w:t>
      </w:r>
    </w:p>
    <w:p w14:paraId="428FE928" w14:textId="1CB8204A" w:rsidR="007457D5" w:rsidRDefault="007457D5" w:rsidP="009D2910">
      <w:pPr>
        <w:pStyle w:val="BodyText"/>
        <w:spacing w:before="60"/>
        <w:rPr>
          <w:rFonts w:eastAsia="MS Mincho"/>
        </w:rPr>
      </w:pPr>
      <w:r w:rsidRPr="007457D5">
        <w:rPr>
          <w:rFonts w:eastAsia="MS Mincho"/>
        </w:rPr>
        <w:t>Difference of average computed from total volume minus average computed by class specific factors and then summed = -668</w:t>
      </w:r>
    </w:p>
    <w:tbl>
      <w:tblPr>
        <w:tblStyle w:val="TableGrid"/>
        <w:tblW w:w="9360" w:type="dxa"/>
        <w:jc w:val="center"/>
        <w:tblLayout w:type="fixed"/>
        <w:tblCellMar>
          <w:left w:w="86" w:type="dxa"/>
          <w:right w:w="86" w:type="dxa"/>
        </w:tblCellMar>
        <w:tblLook w:val="04A0" w:firstRow="1" w:lastRow="0" w:firstColumn="1" w:lastColumn="0" w:noHBand="0" w:noVBand="1"/>
      </w:tblPr>
      <w:tblGrid>
        <w:gridCol w:w="2695"/>
        <w:gridCol w:w="952"/>
        <w:gridCol w:w="952"/>
        <w:gridCol w:w="952"/>
        <w:gridCol w:w="952"/>
        <w:gridCol w:w="952"/>
        <w:gridCol w:w="952"/>
        <w:gridCol w:w="953"/>
      </w:tblGrid>
      <w:tr w:rsidR="00093804" w14:paraId="3AE6B096" w14:textId="77777777" w:rsidTr="00043458">
        <w:trPr>
          <w:jc w:val="center"/>
        </w:trPr>
        <w:tc>
          <w:tcPr>
            <w:tcW w:w="2695" w:type="dxa"/>
            <w:tcBorders>
              <w:right w:val="single" w:sz="4" w:space="0" w:color="FFFFFF" w:themeColor="background1"/>
            </w:tcBorders>
            <w:shd w:val="clear" w:color="auto" w:fill="1F3864"/>
            <w:vAlign w:val="center"/>
          </w:tcPr>
          <w:p w14:paraId="1E57368A" w14:textId="5D679446" w:rsidR="00093804" w:rsidRDefault="00093804" w:rsidP="00043458">
            <w:pPr>
              <w:pStyle w:val="TMGTableTextHeader"/>
              <w:ind w:left="0"/>
            </w:pPr>
            <w:r w:rsidRPr="004859C8">
              <w:rPr>
                <w:rFonts w:eastAsia="MS Mincho"/>
              </w:rPr>
              <w:t>Date</w:t>
            </w:r>
          </w:p>
        </w:tc>
        <w:tc>
          <w:tcPr>
            <w:tcW w:w="952" w:type="dxa"/>
            <w:tcBorders>
              <w:left w:val="single" w:sz="4" w:space="0" w:color="FFFFFF" w:themeColor="background1"/>
              <w:right w:val="single" w:sz="4" w:space="0" w:color="FFFFFF" w:themeColor="background1"/>
            </w:tcBorders>
            <w:shd w:val="clear" w:color="auto" w:fill="1F3864"/>
            <w:vAlign w:val="center"/>
          </w:tcPr>
          <w:p w14:paraId="12D420BB" w14:textId="69B026F5" w:rsidR="00093804" w:rsidRDefault="00093804" w:rsidP="00043458">
            <w:pPr>
              <w:pStyle w:val="TMGTableTextHeader"/>
              <w:ind w:left="0"/>
            </w:pPr>
            <w:r w:rsidRPr="004859C8">
              <w:rPr>
                <w:rFonts w:eastAsia="MS Mincho"/>
              </w:rPr>
              <w:t>MC Volume</w:t>
            </w:r>
          </w:p>
        </w:tc>
        <w:tc>
          <w:tcPr>
            <w:tcW w:w="952" w:type="dxa"/>
            <w:tcBorders>
              <w:left w:val="single" w:sz="4" w:space="0" w:color="FFFFFF" w:themeColor="background1"/>
              <w:right w:val="single" w:sz="4" w:space="0" w:color="FFFFFF" w:themeColor="background1"/>
            </w:tcBorders>
            <w:shd w:val="clear" w:color="auto" w:fill="1F3864"/>
            <w:vAlign w:val="center"/>
          </w:tcPr>
          <w:p w14:paraId="6EF85C2E" w14:textId="25D36391" w:rsidR="00093804" w:rsidRDefault="00093804" w:rsidP="00043458">
            <w:pPr>
              <w:pStyle w:val="TMGTableTextHeader"/>
              <w:ind w:left="0"/>
            </w:pPr>
            <w:r w:rsidRPr="004859C8">
              <w:rPr>
                <w:rFonts w:eastAsia="MS Mincho"/>
              </w:rPr>
              <w:t>PV Volume</w:t>
            </w:r>
          </w:p>
        </w:tc>
        <w:tc>
          <w:tcPr>
            <w:tcW w:w="952" w:type="dxa"/>
            <w:tcBorders>
              <w:left w:val="single" w:sz="4" w:space="0" w:color="FFFFFF" w:themeColor="background1"/>
              <w:right w:val="single" w:sz="4" w:space="0" w:color="FFFFFF" w:themeColor="background1"/>
            </w:tcBorders>
            <w:shd w:val="clear" w:color="auto" w:fill="1F3864"/>
            <w:vAlign w:val="center"/>
          </w:tcPr>
          <w:p w14:paraId="48F53E08" w14:textId="399F6DFE" w:rsidR="00093804" w:rsidRDefault="00093804" w:rsidP="00043458">
            <w:pPr>
              <w:pStyle w:val="TMGTableTextHeader"/>
              <w:ind w:left="0"/>
            </w:pPr>
            <w:r w:rsidRPr="004859C8">
              <w:rPr>
                <w:rFonts w:eastAsia="MS Mincho"/>
              </w:rPr>
              <w:t>LT Volume</w:t>
            </w:r>
          </w:p>
        </w:tc>
        <w:tc>
          <w:tcPr>
            <w:tcW w:w="952" w:type="dxa"/>
            <w:tcBorders>
              <w:left w:val="single" w:sz="4" w:space="0" w:color="FFFFFF" w:themeColor="background1"/>
              <w:right w:val="single" w:sz="4" w:space="0" w:color="FFFFFF" w:themeColor="background1"/>
            </w:tcBorders>
            <w:shd w:val="clear" w:color="auto" w:fill="1F3864"/>
            <w:vAlign w:val="center"/>
          </w:tcPr>
          <w:p w14:paraId="03599359" w14:textId="344B8B95" w:rsidR="00093804" w:rsidRPr="004859C8" w:rsidRDefault="00093804" w:rsidP="00043458">
            <w:pPr>
              <w:pStyle w:val="TMGTableTextHeader"/>
              <w:ind w:left="0"/>
              <w:rPr>
                <w:rFonts w:eastAsia="MS Mincho"/>
              </w:rPr>
            </w:pPr>
            <w:r w:rsidRPr="004859C8">
              <w:rPr>
                <w:rFonts w:eastAsia="MS Mincho"/>
              </w:rPr>
              <w:t>Bus Volume</w:t>
            </w:r>
          </w:p>
        </w:tc>
        <w:tc>
          <w:tcPr>
            <w:tcW w:w="952" w:type="dxa"/>
            <w:tcBorders>
              <w:left w:val="single" w:sz="4" w:space="0" w:color="FFFFFF" w:themeColor="background1"/>
              <w:right w:val="single" w:sz="4" w:space="0" w:color="FFFFFF" w:themeColor="background1"/>
            </w:tcBorders>
            <w:shd w:val="clear" w:color="auto" w:fill="1F3864"/>
            <w:vAlign w:val="center"/>
          </w:tcPr>
          <w:p w14:paraId="1E767A07" w14:textId="51369298" w:rsidR="00093804" w:rsidRDefault="00093804" w:rsidP="00043458">
            <w:pPr>
              <w:pStyle w:val="TMGTableTextHeader"/>
              <w:ind w:left="0"/>
            </w:pPr>
            <w:r w:rsidRPr="004859C8">
              <w:rPr>
                <w:rFonts w:eastAsia="MS Mincho"/>
              </w:rPr>
              <w:t>SU Volume</w:t>
            </w:r>
          </w:p>
        </w:tc>
        <w:tc>
          <w:tcPr>
            <w:tcW w:w="952" w:type="dxa"/>
            <w:tcBorders>
              <w:left w:val="single" w:sz="4" w:space="0" w:color="FFFFFF" w:themeColor="background1"/>
              <w:right w:val="single" w:sz="4" w:space="0" w:color="FFFFFF" w:themeColor="background1"/>
            </w:tcBorders>
            <w:shd w:val="clear" w:color="auto" w:fill="1F3864"/>
            <w:vAlign w:val="center"/>
          </w:tcPr>
          <w:p w14:paraId="423416F7" w14:textId="35A2A54A" w:rsidR="00093804" w:rsidRDefault="00093804" w:rsidP="00043458">
            <w:pPr>
              <w:pStyle w:val="TMGTableTextHeader"/>
              <w:ind w:left="0"/>
            </w:pPr>
            <w:r w:rsidRPr="004859C8">
              <w:rPr>
                <w:rFonts w:eastAsia="MS Mincho"/>
              </w:rPr>
              <w:t>CU Volume</w:t>
            </w:r>
          </w:p>
        </w:tc>
        <w:tc>
          <w:tcPr>
            <w:tcW w:w="953" w:type="dxa"/>
            <w:tcBorders>
              <w:left w:val="single" w:sz="4" w:space="0" w:color="FFFFFF" w:themeColor="background1"/>
            </w:tcBorders>
            <w:shd w:val="clear" w:color="auto" w:fill="1F3864"/>
            <w:vAlign w:val="center"/>
          </w:tcPr>
          <w:p w14:paraId="6361D2F3" w14:textId="3BABDA14" w:rsidR="00093804" w:rsidRDefault="00093804" w:rsidP="00043458">
            <w:pPr>
              <w:pStyle w:val="TMGTableTextHeader"/>
              <w:ind w:left="0"/>
            </w:pPr>
            <w:r w:rsidRPr="004859C8">
              <w:rPr>
                <w:rFonts w:eastAsia="MS Mincho"/>
              </w:rPr>
              <w:t>Total Volume</w:t>
            </w:r>
          </w:p>
        </w:tc>
      </w:tr>
      <w:tr w:rsidR="00093804" w14:paraId="0C9FD2A4" w14:textId="77777777" w:rsidTr="008645A4">
        <w:trPr>
          <w:jc w:val="center"/>
        </w:trPr>
        <w:tc>
          <w:tcPr>
            <w:tcW w:w="2695" w:type="dxa"/>
          </w:tcPr>
          <w:p w14:paraId="4B5FA001" w14:textId="22A4BD96" w:rsidR="00093804" w:rsidRPr="00C251E9" w:rsidRDefault="00093804" w:rsidP="00043458">
            <w:pPr>
              <w:pStyle w:val="TMGTableText"/>
              <w:spacing w:before="10" w:after="10"/>
              <w:ind w:left="0"/>
            </w:pPr>
            <w:r w:rsidRPr="004859C8">
              <w:t>Fraction of Traffic</w:t>
            </w:r>
          </w:p>
        </w:tc>
        <w:tc>
          <w:tcPr>
            <w:tcW w:w="952" w:type="dxa"/>
            <w:vAlign w:val="center"/>
          </w:tcPr>
          <w:p w14:paraId="2E8A1F28" w14:textId="2509DA44" w:rsidR="00093804" w:rsidRPr="00C251E9" w:rsidRDefault="00093804" w:rsidP="008645A4">
            <w:pPr>
              <w:pStyle w:val="TMGTableText"/>
              <w:spacing w:before="10" w:after="10"/>
              <w:ind w:left="0"/>
              <w:jc w:val="center"/>
            </w:pPr>
            <w:r w:rsidRPr="006701AC">
              <w:t>0.012</w:t>
            </w:r>
          </w:p>
        </w:tc>
        <w:tc>
          <w:tcPr>
            <w:tcW w:w="952" w:type="dxa"/>
            <w:vAlign w:val="center"/>
          </w:tcPr>
          <w:p w14:paraId="03D9FE61" w14:textId="06073414" w:rsidR="00093804" w:rsidRPr="00C251E9" w:rsidRDefault="00093804" w:rsidP="008645A4">
            <w:pPr>
              <w:pStyle w:val="TMGTableText"/>
              <w:spacing w:before="10" w:after="10"/>
              <w:ind w:left="0"/>
              <w:jc w:val="center"/>
            </w:pPr>
            <w:r w:rsidRPr="006701AC">
              <w:t>0.635</w:t>
            </w:r>
          </w:p>
        </w:tc>
        <w:tc>
          <w:tcPr>
            <w:tcW w:w="952" w:type="dxa"/>
            <w:vAlign w:val="center"/>
          </w:tcPr>
          <w:p w14:paraId="5D006F3B" w14:textId="5D65A0C8" w:rsidR="00093804" w:rsidRPr="00C251E9" w:rsidRDefault="00093804" w:rsidP="008645A4">
            <w:pPr>
              <w:pStyle w:val="TMGTableText"/>
              <w:spacing w:before="10" w:after="10"/>
              <w:ind w:left="0"/>
              <w:jc w:val="center"/>
            </w:pPr>
            <w:r w:rsidRPr="006701AC">
              <w:t>0.234</w:t>
            </w:r>
          </w:p>
        </w:tc>
        <w:tc>
          <w:tcPr>
            <w:tcW w:w="952" w:type="dxa"/>
            <w:vAlign w:val="center"/>
          </w:tcPr>
          <w:p w14:paraId="74B819C6" w14:textId="1ED5F75E" w:rsidR="00093804" w:rsidRPr="006701AC" w:rsidRDefault="00093804" w:rsidP="008645A4">
            <w:pPr>
              <w:pStyle w:val="TMGTableText"/>
              <w:spacing w:before="10" w:after="10"/>
              <w:ind w:left="0"/>
              <w:jc w:val="center"/>
            </w:pPr>
            <w:r w:rsidRPr="006701AC">
              <w:t>0.001</w:t>
            </w:r>
          </w:p>
        </w:tc>
        <w:tc>
          <w:tcPr>
            <w:tcW w:w="952" w:type="dxa"/>
            <w:vAlign w:val="center"/>
          </w:tcPr>
          <w:p w14:paraId="55C1BDFC" w14:textId="117F9B68" w:rsidR="00093804" w:rsidRPr="00C251E9" w:rsidRDefault="00093804" w:rsidP="008645A4">
            <w:pPr>
              <w:pStyle w:val="TMGTableText"/>
              <w:spacing w:before="10" w:after="10"/>
              <w:ind w:left="0"/>
              <w:jc w:val="center"/>
            </w:pPr>
            <w:r w:rsidRPr="006701AC">
              <w:t>0.060</w:t>
            </w:r>
          </w:p>
        </w:tc>
        <w:tc>
          <w:tcPr>
            <w:tcW w:w="952" w:type="dxa"/>
            <w:vAlign w:val="center"/>
          </w:tcPr>
          <w:p w14:paraId="04A24C89" w14:textId="6779987B" w:rsidR="00093804" w:rsidRPr="00C251E9" w:rsidRDefault="00093804" w:rsidP="008645A4">
            <w:pPr>
              <w:pStyle w:val="TMGTableText"/>
              <w:spacing w:before="10" w:after="10"/>
              <w:ind w:left="0"/>
              <w:jc w:val="center"/>
            </w:pPr>
            <w:r w:rsidRPr="006701AC">
              <w:t>0.058</w:t>
            </w:r>
          </w:p>
        </w:tc>
        <w:tc>
          <w:tcPr>
            <w:tcW w:w="953" w:type="dxa"/>
            <w:vAlign w:val="center"/>
          </w:tcPr>
          <w:p w14:paraId="615ECB08" w14:textId="4EE8AF10" w:rsidR="00093804" w:rsidRPr="00C251E9" w:rsidRDefault="00093804" w:rsidP="008645A4">
            <w:pPr>
              <w:pStyle w:val="TMGTableText"/>
              <w:spacing w:before="10" w:after="10"/>
              <w:ind w:left="0"/>
              <w:jc w:val="center"/>
            </w:pPr>
          </w:p>
        </w:tc>
      </w:tr>
      <w:tr w:rsidR="00093804" w14:paraId="3A318C0C" w14:textId="77777777" w:rsidTr="008645A4">
        <w:trPr>
          <w:jc w:val="center"/>
        </w:trPr>
        <w:tc>
          <w:tcPr>
            <w:tcW w:w="2695" w:type="dxa"/>
          </w:tcPr>
          <w:p w14:paraId="6A60A429" w14:textId="3EDB8D43" w:rsidR="00093804" w:rsidRPr="00C251E9" w:rsidRDefault="00093804" w:rsidP="00043458">
            <w:pPr>
              <w:pStyle w:val="TMGTableText"/>
              <w:spacing w:before="10" w:after="10"/>
              <w:ind w:left="0"/>
            </w:pPr>
            <w:r w:rsidRPr="004859C8">
              <w:t>Proportional Adjustment (Fraction of Vehicles × Error)</w:t>
            </w:r>
          </w:p>
        </w:tc>
        <w:tc>
          <w:tcPr>
            <w:tcW w:w="952" w:type="dxa"/>
            <w:vAlign w:val="center"/>
          </w:tcPr>
          <w:p w14:paraId="188696C8" w14:textId="07C7105F" w:rsidR="00093804" w:rsidRPr="00C251E9" w:rsidRDefault="00093804" w:rsidP="008645A4">
            <w:pPr>
              <w:pStyle w:val="TMGTableText"/>
              <w:spacing w:before="10" w:after="10"/>
              <w:ind w:left="0"/>
              <w:jc w:val="center"/>
            </w:pPr>
            <w:r w:rsidRPr="006701AC">
              <w:t>-8</w:t>
            </w:r>
          </w:p>
        </w:tc>
        <w:tc>
          <w:tcPr>
            <w:tcW w:w="952" w:type="dxa"/>
            <w:vAlign w:val="center"/>
          </w:tcPr>
          <w:p w14:paraId="7E5340FB" w14:textId="7ACBB57F" w:rsidR="00093804" w:rsidRPr="00C251E9" w:rsidRDefault="00093804" w:rsidP="008645A4">
            <w:pPr>
              <w:pStyle w:val="TMGTableText"/>
              <w:spacing w:before="10" w:after="10"/>
              <w:ind w:left="0"/>
              <w:jc w:val="center"/>
            </w:pPr>
            <w:r w:rsidRPr="006701AC">
              <w:t>-424</w:t>
            </w:r>
          </w:p>
        </w:tc>
        <w:tc>
          <w:tcPr>
            <w:tcW w:w="952" w:type="dxa"/>
            <w:vAlign w:val="center"/>
          </w:tcPr>
          <w:p w14:paraId="5AF0E494" w14:textId="73FEB0AF" w:rsidR="00093804" w:rsidRPr="00C251E9" w:rsidRDefault="00093804" w:rsidP="008645A4">
            <w:pPr>
              <w:pStyle w:val="TMGTableText"/>
              <w:spacing w:before="10" w:after="10"/>
              <w:ind w:left="0"/>
              <w:jc w:val="center"/>
            </w:pPr>
            <w:r w:rsidRPr="006701AC">
              <w:t>-157</w:t>
            </w:r>
          </w:p>
        </w:tc>
        <w:tc>
          <w:tcPr>
            <w:tcW w:w="952" w:type="dxa"/>
            <w:vAlign w:val="center"/>
          </w:tcPr>
          <w:p w14:paraId="667DE44B" w14:textId="0CCD2AFB" w:rsidR="00093804" w:rsidRPr="006701AC" w:rsidRDefault="00093804" w:rsidP="008645A4">
            <w:pPr>
              <w:pStyle w:val="TMGTableText"/>
              <w:spacing w:before="10" w:after="10"/>
              <w:ind w:left="0"/>
              <w:jc w:val="center"/>
            </w:pPr>
            <w:r w:rsidRPr="006701AC">
              <w:t>-1</w:t>
            </w:r>
          </w:p>
        </w:tc>
        <w:tc>
          <w:tcPr>
            <w:tcW w:w="952" w:type="dxa"/>
            <w:vAlign w:val="center"/>
          </w:tcPr>
          <w:p w14:paraId="06AC0BFC" w14:textId="35F686F9" w:rsidR="00093804" w:rsidRPr="00C251E9" w:rsidRDefault="00093804" w:rsidP="008645A4">
            <w:pPr>
              <w:pStyle w:val="TMGTableText"/>
              <w:spacing w:before="10" w:after="10"/>
              <w:ind w:left="0"/>
              <w:jc w:val="center"/>
            </w:pPr>
            <w:r w:rsidRPr="006701AC">
              <w:t>-40</w:t>
            </w:r>
          </w:p>
        </w:tc>
        <w:tc>
          <w:tcPr>
            <w:tcW w:w="952" w:type="dxa"/>
            <w:vAlign w:val="center"/>
          </w:tcPr>
          <w:p w14:paraId="115463E5" w14:textId="4DA4C33E" w:rsidR="00093804" w:rsidRPr="00C251E9" w:rsidRDefault="00093804" w:rsidP="008645A4">
            <w:pPr>
              <w:pStyle w:val="TMGTableText"/>
              <w:spacing w:before="10" w:after="10"/>
              <w:ind w:left="0"/>
              <w:jc w:val="center"/>
            </w:pPr>
            <w:r w:rsidRPr="006701AC">
              <w:t>-38</w:t>
            </w:r>
          </w:p>
        </w:tc>
        <w:tc>
          <w:tcPr>
            <w:tcW w:w="953" w:type="dxa"/>
            <w:vAlign w:val="center"/>
          </w:tcPr>
          <w:p w14:paraId="6D88F525" w14:textId="16EF8A7D" w:rsidR="00093804" w:rsidRPr="00C251E9" w:rsidRDefault="00093804" w:rsidP="008645A4">
            <w:pPr>
              <w:pStyle w:val="TMGTableText"/>
              <w:spacing w:before="10" w:after="10"/>
              <w:ind w:left="0"/>
              <w:jc w:val="center"/>
            </w:pPr>
          </w:p>
        </w:tc>
      </w:tr>
      <w:tr w:rsidR="00093804" w14:paraId="41277B3D" w14:textId="77777777" w:rsidTr="008645A4">
        <w:trPr>
          <w:jc w:val="center"/>
        </w:trPr>
        <w:tc>
          <w:tcPr>
            <w:tcW w:w="2695" w:type="dxa"/>
          </w:tcPr>
          <w:p w14:paraId="19D668BA" w14:textId="44E2F19F" w:rsidR="00093804" w:rsidRPr="00C251E9" w:rsidRDefault="00093804" w:rsidP="00043458">
            <w:pPr>
              <w:pStyle w:val="TMGTableText"/>
              <w:spacing w:before="10" w:after="10"/>
              <w:ind w:left="0"/>
            </w:pPr>
            <w:r w:rsidRPr="004859C8">
              <w:t>Final AADT by Class (Volume + Proportional Adjustment)</w:t>
            </w:r>
          </w:p>
        </w:tc>
        <w:tc>
          <w:tcPr>
            <w:tcW w:w="952" w:type="dxa"/>
            <w:vAlign w:val="center"/>
          </w:tcPr>
          <w:p w14:paraId="517C5C2B" w14:textId="515C4145" w:rsidR="00093804" w:rsidRPr="00C251E9" w:rsidRDefault="00093804" w:rsidP="008645A4">
            <w:pPr>
              <w:pStyle w:val="TMGTableText"/>
              <w:spacing w:before="10" w:after="10"/>
              <w:ind w:left="0"/>
              <w:jc w:val="center"/>
            </w:pPr>
            <w:r w:rsidRPr="004859C8">
              <w:t>585</w:t>
            </w:r>
          </w:p>
        </w:tc>
        <w:tc>
          <w:tcPr>
            <w:tcW w:w="952" w:type="dxa"/>
            <w:vAlign w:val="center"/>
          </w:tcPr>
          <w:p w14:paraId="2AE8CB18" w14:textId="5B40CC1B" w:rsidR="00093804" w:rsidRPr="00C251E9" w:rsidRDefault="00093804" w:rsidP="008645A4">
            <w:pPr>
              <w:pStyle w:val="TMGTableText"/>
              <w:spacing w:before="10" w:after="10"/>
              <w:ind w:left="0"/>
              <w:jc w:val="center"/>
            </w:pPr>
            <w:r w:rsidRPr="004859C8">
              <w:t>30,135</w:t>
            </w:r>
          </w:p>
        </w:tc>
        <w:tc>
          <w:tcPr>
            <w:tcW w:w="952" w:type="dxa"/>
            <w:vAlign w:val="center"/>
          </w:tcPr>
          <w:p w14:paraId="3FC419A8" w14:textId="5FE3120E" w:rsidR="00093804" w:rsidRPr="00C251E9" w:rsidRDefault="00093804" w:rsidP="008645A4">
            <w:pPr>
              <w:pStyle w:val="TMGTableText"/>
              <w:spacing w:before="10" w:after="10"/>
              <w:ind w:left="0"/>
              <w:jc w:val="center"/>
            </w:pPr>
            <w:r w:rsidRPr="004859C8">
              <w:t>11,131</w:t>
            </w:r>
          </w:p>
        </w:tc>
        <w:tc>
          <w:tcPr>
            <w:tcW w:w="952" w:type="dxa"/>
            <w:vAlign w:val="center"/>
          </w:tcPr>
          <w:p w14:paraId="611915E0" w14:textId="253892A8" w:rsidR="00093804" w:rsidRPr="006701AC" w:rsidRDefault="00093804" w:rsidP="008645A4">
            <w:pPr>
              <w:pStyle w:val="TMGTableText"/>
              <w:spacing w:before="10" w:after="10"/>
              <w:ind w:left="0"/>
              <w:jc w:val="center"/>
            </w:pPr>
            <w:r w:rsidRPr="004859C8">
              <w:t>44</w:t>
            </w:r>
          </w:p>
        </w:tc>
        <w:tc>
          <w:tcPr>
            <w:tcW w:w="952" w:type="dxa"/>
            <w:vAlign w:val="center"/>
          </w:tcPr>
          <w:p w14:paraId="1A691608" w14:textId="065EFC45" w:rsidR="00093804" w:rsidRPr="00C251E9" w:rsidRDefault="00093804" w:rsidP="008645A4">
            <w:pPr>
              <w:pStyle w:val="TMGTableText"/>
              <w:spacing w:before="10" w:after="10"/>
              <w:ind w:left="0"/>
              <w:jc w:val="center"/>
            </w:pPr>
            <w:r w:rsidRPr="004859C8">
              <w:t>2,858</w:t>
            </w:r>
          </w:p>
        </w:tc>
        <w:tc>
          <w:tcPr>
            <w:tcW w:w="952" w:type="dxa"/>
            <w:vAlign w:val="center"/>
          </w:tcPr>
          <w:p w14:paraId="4C7EFAB6" w14:textId="05009041" w:rsidR="00093804" w:rsidRPr="00C251E9" w:rsidRDefault="00093804" w:rsidP="008645A4">
            <w:pPr>
              <w:pStyle w:val="TMGTableText"/>
              <w:spacing w:before="10" w:after="10"/>
              <w:ind w:left="0"/>
              <w:jc w:val="center"/>
            </w:pPr>
            <w:r w:rsidRPr="004859C8">
              <w:t>2,724</w:t>
            </w:r>
          </w:p>
        </w:tc>
        <w:tc>
          <w:tcPr>
            <w:tcW w:w="953" w:type="dxa"/>
            <w:vAlign w:val="center"/>
          </w:tcPr>
          <w:p w14:paraId="3E64EEBC" w14:textId="01AAAF09" w:rsidR="00093804" w:rsidRPr="00C251E9" w:rsidRDefault="00093804" w:rsidP="008645A4">
            <w:pPr>
              <w:pStyle w:val="TMGTableText"/>
              <w:spacing w:before="10" w:after="10"/>
              <w:ind w:left="0"/>
              <w:jc w:val="center"/>
            </w:pPr>
            <w:r w:rsidRPr="004859C8">
              <w:t>47,477</w:t>
            </w:r>
          </w:p>
        </w:tc>
      </w:tr>
    </w:tbl>
    <w:p w14:paraId="312ED39B" w14:textId="50D9B211" w:rsidR="003F7B9F" w:rsidRPr="00517F7A" w:rsidRDefault="003F7B9F">
      <w:pPr>
        <w:pStyle w:val="Heading2"/>
      </w:pPr>
      <w:bookmarkStart w:id="1854" w:name="_Toc114474729"/>
      <w:bookmarkStart w:id="1855" w:name="_Toc118205636"/>
      <w:r w:rsidRPr="00517F7A">
        <w:lastRenderedPageBreak/>
        <w:t>How To Design A Continuous Vehicle Weight Data Monitoring Program (Weight)</w:t>
      </w:r>
      <w:bookmarkEnd w:id="1852"/>
      <w:bookmarkEnd w:id="1853"/>
      <w:bookmarkEnd w:id="1854"/>
      <w:bookmarkEnd w:id="1855"/>
    </w:p>
    <w:p w14:paraId="6C78BAC5" w14:textId="1ABEBE24" w:rsidR="003F7B9F" w:rsidRPr="00517F7A" w:rsidRDefault="003F7B9F">
      <w:pPr>
        <w:pStyle w:val="Heading3"/>
      </w:pPr>
      <w:bookmarkStart w:id="1856" w:name="_Toc68190209"/>
      <w:bookmarkStart w:id="1857" w:name="_Toc118205637"/>
      <w:r w:rsidRPr="00517F7A">
        <w:t>Statewide WIM Program</w:t>
      </w:r>
      <w:bookmarkEnd w:id="1856"/>
      <w:bookmarkEnd w:id="1857"/>
    </w:p>
    <w:p w14:paraId="6EA2131F" w14:textId="22912201" w:rsidR="003F7B9F" w:rsidRPr="000077D4" w:rsidRDefault="003F7B9F" w:rsidP="00A35EAF">
      <w:pPr>
        <w:pStyle w:val="BodyText"/>
      </w:pPr>
      <w:r w:rsidRPr="000077D4">
        <w:t xml:space="preserve">Truck and axle weight data </w:t>
      </w:r>
      <w:r w:rsidR="00171388">
        <w:t>are</w:t>
      </w:r>
      <w:r w:rsidR="00171388" w:rsidRPr="000077D4">
        <w:t xml:space="preserve"> </w:t>
      </w:r>
      <w:r w:rsidRPr="000077D4">
        <w:t xml:space="preserve">used as a primary input to a number of a State highway agency’s most significant tasks. For example, traffic loading is a primary factor in determining the depth of pavement sections. It is used as a primary determinant in the selection of pavement maintenance and rehabilitation treatments. The total tonnage moved on roads is used to estimate the value of freight traveling on the roadway system and is a major input into calculations for determining the costs of congestion and benefits to be gained from new construction and operating strategies. Vehicle classification and weight information are also key components in studies that determine the relative cost responsibility of different road users. The number, weight, and configuration of trucks are also major factors in bridge design and the analysis of expected remaining bridge life. </w:t>
      </w:r>
    </w:p>
    <w:p w14:paraId="5AC47A54" w14:textId="34D2394F" w:rsidR="003F7B9F" w:rsidRPr="005576C5" w:rsidRDefault="003F7B9F" w:rsidP="00A35EAF">
      <w:pPr>
        <w:pStyle w:val="BodyText"/>
      </w:pPr>
      <w:r w:rsidRPr="005576C5">
        <w:t>The Steps required to develop a statewide WIM program are generally similar to volume and class count program steps but also have some differences due to the extent of the program, the intended data uses, and WIM equipment cost and capabilities. The steps to create and maintain the weight portion of the continuous traffic monitoring data program include:</w:t>
      </w:r>
    </w:p>
    <w:p w14:paraId="3E95E246" w14:textId="77777777" w:rsidR="003F7B9F" w:rsidRPr="005576C5" w:rsidRDefault="003F7B9F" w:rsidP="00A35EAF">
      <w:pPr>
        <w:pStyle w:val="BodyText"/>
      </w:pPr>
      <w:r w:rsidRPr="005576C5">
        <w:t>STEP 1 - Review Existing Weight Data Collection Program</w:t>
      </w:r>
    </w:p>
    <w:p w14:paraId="171677A4" w14:textId="7FED6755" w:rsidR="003F7B9F" w:rsidRPr="005576C5" w:rsidRDefault="003F7B9F" w:rsidP="00A35EAF">
      <w:pPr>
        <w:pStyle w:val="BodyText"/>
      </w:pPr>
      <w:r w:rsidRPr="005576C5">
        <w:t>STEP 2 - Develop an Inventory of Existing WIM Sites and Assess WIM Site Locations</w:t>
      </w:r>
    </w:p>
    <w:p w14:paraId="53F88ABF" w14:textId="51A22DB3" w:rsidR="003F7B9F" w:rsidRPr="005576C5" w:rsidRDefault="003F7B9F" w:rsidP="00A35EAF">
      <w:pPr>
        <w:pStyle w:val="BodyText"/>
      </w:pPr>
      <w:r w:rsidRPr="005576C5">
        <w:t>STEP 3 - Determine the Roadway Groups to Be Monitored by WIM</w:t>
      </w:r>
    </w:p>
    <w:p w14:paraId="00EF95C3" w14:textId="77777777" w:rsidR="003F7B9F" w:rsidRPr="005576C5" w:rsidRDefault="003F7B9F" w:rsidP="00A35EAF">
      <w:pPr>
        <w:pStyle w:val="BodyText"/>
      </w:pPr>
      <w:r w:rsidRPr="005576C5">
        <w:t>STEP 4 - Establish Load Factor Groups</w:t>
      </w:r>
    </w:p>
    <w:p w14:paraId="0250FB30" w14:textId="77777777" w:rsidR="003F7B9F" w:rsidRPr="005576C5" w:rsidRDefault="003F7B9F" w:rsidP="00A35EAF">
      <w:pPr>
        <w:pStyle w:val="BodyText"/>
      </w:pPr>
      <w:r w:rsidRPr="005576C5">
        <w:t>STEP 5 - Determine Number of Weight Data Collection Locations</w:t>
      </w:r>
    </w:p>
    <w:p w14:paraId="77C10D64" w14:textId="55C015C0" w:rsidR="003F7B9F" w:rsidRPr="005576C5" w:rsidRDefault="003F7B9F" w:rsidP="00A35EAF">
      <w:pPr>
        <w:pStyle w:val="BodyText"/>
      </w:pPr>
      <w:r w:rsidRPr="005576C5">
        <w:t>STEP 6 - Select New Sites to Meet WIM Program Needs</w:t>
      </w:r>
    </w:p>
    <w:p w14:paraId="442BC06E" w14:textId="450F4BE7" w:rsidR="003F7B9F" w:rsidRPr="005576C5" w:rsidRDefault="003F7B9F" w:rsidP="00A35EAF">
      <w:pPr>
        <w:pStyle w:val="BodyText"/>
      </w:pPr>
      <w:r w:rsidRPr="005576C5">
        <w:t>STEP 7 -</w:t>
      </w:r>
      <w:r w:rsidRPr="005576C5">
        <w:rPr>
          <w:rFonts w:cs="Cambria"/>
          <w:iCs/>
        </w:rPr>
        <w:t xml:space="preserve"> </w:t>
      </w:r>
      <w:r w:rsidRPr="005576C5">
        <w:t>Integrate the WIM Sites with the Remaining Count Program</w:t>
      </w:r>
    </w:p>
    <w:p w14:paraId="5D821A4B" w14:textId="16903FC6" w:rsidR="003F7B9F" w:rsidRPr="00517F7A" w:rsidRDefault="003F7B9F">
      <w:pPr>
        <w:pStyle w:val="Heading3"/>
      </w:pPr>
      <w:bookmarkStart w:id="1858" w:name="_Toc68190210"/>
      <w:bookmarkStart w:id="1859" w:name="_Toc118205638"/>
      <w:r w:rsidRPr="00517F7A">
        <w:t>Step 1.</w:t>
      </w:r>
      <w:r w:rsidR="004D4172">
        <w:t xml:space="preserve"> </w:t>
      </w:r>
      <w:r w:rsidRPr="00517F7A">
        <w:t>Review the Existing Weight Data Collection Program</w:t>
      </w:r>
      <w:bookmarkEnd w:id="1858"/>
      <w:bookmarkEnd w:id="1859"/>
    </w:p>
    <w:p w14:paraId="0A417D6F" w14:textId="36EB4002" w:rsidR="00656063" w:rsidRPr="005576C5" w:rsidRDefault="003F7B9F" w:rsidP="00A35EAF">
      <w:pPr>
        <w:pStyle w:val="BodyText"/>
      </w:pPr>
      <w:r w:rsidRPr="000077D4">
        <w:t xml:space="preserve">Of all the traffic monitoring activities, WIM requires the most sophisticated data collection sensors, the most controlled operating environment (strong, smooth, level pavement, even traffic flow at constant highway speed), and the </w:t>
      </w:r>
      <w:r w:rsidRPr="005576C5">
        <w:t xml:space="preserve">costliest equipment set up and calibration. It is important to consider these complex requirements during weight data program review. </w:t>
      </w:r>
    </w:p>
    <w:p w14:paraId="6883D545" w14:textId="5C67C52A" w:rsidR="003F7B9F" w:rsidRPr="00686DCB" w:rsidRDefault="003F7B9F" w:rsidP="00A119E0">
      <w:pPr>
        <w:pStyle w:val="CallOut"/>
      </w:pPr>
      <w:r w:rsidRPr="00686DCB">
        <w:t xml:space="preserve">An excellent introduction to WIM is provided in the </w:t>
      </w:r>
      <w:bookmarkStart w:id="1860" w:name="_Hlk76054790"/>
      <w:r w:rsidRPr="00601A40">
        <w:rPr>
          <w:i/>
          <w:iCs/>
        </w:rPr>
        <w:t>WIM Pocket Guide</w:t>
      </w:r>
      <w:r w:rsidR="00601A40">
        <w:t xml:space="preserve"> (</w:t>
      </w:r>
      <w:r w:rsidRPr="00686DCB">
        <w:t>FHWA 2018</w:t>
      </w:r>
      <w:r w:rsidR="00601A40">
        <w:t>)</w:t>
      </w:r>
      <w:r w:rsidRPr="00686DCB">
        <w:t xml:space="preserve">. </w:t>
      </w:r>
      <w:bookmarkEnd w:id="1860"/>
      <w:r w:rsidRPr="00686DCB">
        <w:t xml:space="preserve">The Guide consists of three main text documents, four instructional video supplements, and six appendices showcasing </w:t>
      </w:r>
      <w:r w:rsidR="00171388">
        <w:t>noteworthy</w:t>
      </w:r>
      <w:r w:rsidR="00171388" w:rsidRPr="00686DCB">
        <w:t xml:space="preserve"> </w:t>
      </w:r>
      <w:r w:rsidRPr="00686DCB">
        <w:t xml:space="preserve">practices. The video supplements and appendices are only available on the FHWA website: </w:t>
      </w:r>
    </w:p>
    <w:p w14:paraId="78147C6D" w14:textId="4F6F444E" w:rsidR="00656063" w:rsidRPr="00686DCB" w:rsidRDefault="00464453" w:rsidP="00A119E0">
      <w:pPr>
        <w:pStyle w:val="CallOut"/>
      </w:pPr>
      <w:hyperlink r:id="rId109" w:history="1">
        <w:r w:rsidR="00656063" w:rsidRPr="00F53C2E">
          <w:rPr>
            <w:rStyle w:val="Hyperlink"/>
          </w:rPr>
          <w:t>https://www.fhwa.dot.gov/policyinformation/knowledgecenter</w:t>
        </w:r>
      </w:hyperlink>
    </w:p>
    <w:p w14:paraId="4D1A5E2D" w14:textId="1403D3B3" w:rsidR="003F7B9F" w:rsidRPr="00517F7A" w:rsidRDefault="003F7B9F">
      <w:pPr>
        <w:pStyle w:val="Heading4"/>
      </w:pPr>
      <w:bookmarkStart w:id="1861" w:name="_Toc63977896"/>
      <w:bookmarkStart w:id="1862" w:name="_Toc63982644"/>
      <w:bookmarkStart w:id="1863" w:name="_Toc68190211"/>
      <w:bookmarkStart w:id="1864" w:name="_Toc118205639"/>
      <w:r w:rsidRPr="00517F7A">
        <w:t>Heavy Vehicle Weight User Needs</w:t>
      </w:r>
      <w:bookmarkEnd w:id="1861"/>
      <w:bookmarkEnd w:id="1862"/>
      <w:bookmarkEnd w:id="1863"/>
      <w:bookmarkEnd w:id="1864"/>
    </w:p>
    <w:p w14:paraId="079BC289" w14:textId="71DD2722" w:rsidR="003F7B9F" w:rsidRPr="000077D4" w:rsidRDefault="003F7B9F" w:rsidP="00A35EAF">
      <w:pPr>
        <w:pStyle w:val="BodyText"/>
      </w:pPr>
      <w:r w:rsidRPr="005576C5">
        <w:t xml:space="preserve">In addition to reviewing the physical requirements </w:t>
      </w:r>
      <w:r w:rsidRPr="000077D4">
        <w:t xml:space="preserve">for WIM systems, the needs of the end users (customer of the WIM data) should be considered. </w:t>
      </w:r>
    </w:p>
    <w:p w14:paraId="7D82C19B" w14:textId="2AEDD282" w:rsidR="003F7B9F" w:rsidRPr="000077D4" w:rsidRDefault="003F7B9F" w:rsidP="008645A4">
      <w:pPr>
        <w:pStyle w:val="BodyText"/>
      </w:pPr>
      <w:r w:rsidRPr="000077D4">
        <w:t xml:space="preserve">Heavy vehicle weight data </w:t>
      </w:r>
      <w:r w:rsidR="00171388">
        <w:t>are</w:t>
      </w:r>
      <w:r w:rsidR="00171388" w:rsidRPr="000077D4">
        <w:t xml:space="preserve"> </w:t>
      </w:r>
      <w:r w:rsidRPr="000077D4">
        <w:t xml:space="preserve">used for a wide variety of tasks. In the </w:t>
      </w:r>
      <w:r w:rsidRPr="000077D4">
        <w:rPr>
          <w:i/>
        </w:rPr>
        <w:t>TMG</w:t>
      </w:r>
      <w:r w:rsidRPr="000077D4">
        <w:t>, heavy vehicle refers to buses and heavy trucks, not light trucks such as pick-ups.</w:t>
      </w:r>
      <w:r w:rsidR="004D4172">
        <w:t xml:space="preserve"> </w:t>
      </w:r>
      <w:r w:rsidRPr="000077D4">
        <w:t>These tasks include, but are not limited to, the following:</w:t>
      </w:r>
    </w:p>
    <w:p w14:paraId="1C4A4E39" w14:textId="77777777" w:rsidR="003F7B9F" w:rsidRPr="00DC3036" w:rsidRDefault="003F7B9F">
      <w:pPr>
        <w:pStyle w:val="TMGBullet"/>
      </w:pPr>
      <w:r w:rsidRPr="00DC3036">
        <w:t>Pavement design</w:t>
      </w:r>
    </w:p>
    <w:p w14:paraId="69A79E5F" w14:textId="77777777" w:rsidR="003F7B9F" w:rsidRPr="00DC3036" w:rsidRDefault="003F7B9F">
      <w:pPr>
        <w:pStyle w:val="TMGBullet"/>
      </w:pPr>
      <w:r w:rsidRPr="00DC3036">
        <w:t>Pavement maintenance</w:t>
      </w:r>
    </w:p>
    <w:p w14:paraId="5E738F28" w14:textId="77777777" w:rsidR="003F7B9F" w:rsidRPr="00DC3036" w:rsidRDefault="003F7B9F">
      <w:pPr>
        <w:pStyle w:val="TMGBullet"/>
      </w:pPr>
      <w:r w:rsidRPr="00DC3036">
        <w:t>Bridge design</w:t>
      </w:r>
    </w:p>
    <w:p w14:paraId="1247D9E9" w14:textId="77777777" w:rsidR="003F7B9F" w:rsidRPr="00DC3036" w:rsidRDefault="003F7B9F">
      <w:pPr>
        <w:pStyle w:val="TMGBullet"/>
      </w:pPr>
      <w:r w:rsidRPr="00DC3036">
        <w:t>Geometric design</w:t>
      </w:r>
    </w:p>
    <w:p w14:paraId="697F7418" w14:textId="77777777" w:rsidR="003F7B9F" w:rsidRPr="00DC3036" w:rsidRDefault="003F7B9F">
      <w:pPr>
        <w:pStyle w:val="TMGBullet"/>
      </w:pPr>
      <w:r w:rsidRPr="00DC3036">
        <w:t>Environmental analysis, such as air quality and noise</w:t>
      </w:r>
    </w:p>
    <w:p w14:paraId="59959C40" w14:textId="77777777" w:rsidR="003F7B9F" w:rsidRPr="00DC3036" w:rsidRDefault="003F7B9F">
      <w:pPr>
        <w:pStyle w:val="TMGBullet"/>
      </w:pPr>
      <w:r w:rsidRPr="00DC3036">
        <w:lastRenderedPageBreak/>
        <w:t>Pavement and bridge loading restrictions</w:t>
      </w:r>
    </w:p>
    <w:p w14:paraId="5B9833CA" w14:textId="77777777" w:rsidR="003F7B9F" w:rsidRPr="00DC3036" w:rsidRDefault="003F7B9F">
      <w:pPr>
        <w:pStyle w:val="TMGBullet"/>
      </w:pPr>
      <w:r w:rsidRPr="00DC3036">
        <w:t>Development and application of equitable tax structures</w:t>
      </w:r>
    </w:p>
    <w:p w14:paraId="7907C5D7" w14:textId="77777777" w:rsidR="003F7B9F" w:rsidRPr="00DC3036" w:rsidRDefault="003F7B9F">
      <w:pPr>
        <w:pStyle w:val="TMGBullet"/>
      </w:pPr>
      <w:r w:rsidRPr="00DC3036">
        <w:t>Determination of the need for and success of weight law enforcement actions</w:t>
      </w:r>
    </w:p>
    <w:p w14:paraId="3A3DB3CE" w14:textId="77777777" w:rsidR="003F7B9F" w:rsidRPr="00DC3036" w:rsidRDefault="003F7B9F">
      <w:pPr>
        <w:pStyle w:val="TMGBullet"/>
      </w:pPr>
      <w:r w:rsidRPr="00DC3036">
        <w:t>Determination of the need for geometric improvements related to vehicle size, weight, and speed</w:t>
      </w:r>
    </w:p>
    <w:p w14:paraId="6C27B27C" w14:textId="77777777" w:rsidR="003F7B9F" w:rsidRPr="00DC3036" w:rsidRDefault="003F7B9F">
      <w:pPr>
        <w:pStyle w:val="TMGBullet"/>
      </w:pPr>
      <w:r w:rsidRPr="00DC3036">
        <w:t>Determination of the economic value of freight being moved on roadways</w:t>
      </w:r>
    </w:p>
    <w:p w14:paraId="49F73848" w14:textId="77777777" w:rsidR="003F7B9F" w:rsidRPr="00DC3036" w:rsidRDefault="003F7B9F">
      <w:pPr>
        <w:pStyle w:val="TMGBullet"/>
      </w:pPr>
      <w:r w:rsidRPr="00DC3036">
        <w:t>Determination of the need for and effect of appropriate safety improvements</w:t>
      </w:r>
    </w:p>
    <w:p w14:paraId="2C36F81A" w14:textId="77777777" w:rsidR="003F7B9F" w:rsidRPr="00DC3036" w:rsidRDefault="003F7B9F">
      <w:pPr>
        <w:pStyle w:val="TMGBullet"/>
      </w:pPr>
      <w:r w:rsidRPr="00DC3036">
        <w:t xml:space="preserve">Noise abatement </w:t>
      </w:r>
    </w:p>
    <w:p w14:paraId="53D8BE08" w14:textId="77777777" w:rsidR="003F7B9F" w:rsidRPr="00DC3036" w:rsidRDefault="003F7B9F">
      <w:pPr>
        <w:pStyle w:val="TMGBullet"/>
      </w:pPr>
      <w:r w:rsidRPr="00DC3036">
        <w:t>Highway cost allocation studies</w:t>
      </w:r>
    </w:p>
    <w:p w14:paraId="3CFF28C6" w14:textId="77777777" w:rsidR="003F7B9F" w:rsidRPr="00DC3036" w:rsidRDefault="003F7B9F">
      <w:pPr>
        <w:pStyle w:val="TMGBullet"/>
      </w:pPr>
      <w:r w:rsidRPr="00DC3036">
        <w:t>Axle Correction Factors</w:t>
      </w:r>
    </w:p>
    <w:p w14:paraId="23CC150A" w14:textId="4C332A87" w:rsidR="003F7B9F" w:rsidRPr="00517F7A" w:rsidRDefault="003F7B9F">
      <w:pPr>
        <w:pStyle w:val="Heading4"/>
      </w:pPr>
      <w:bookmarkStart w:id="1865" w:name="_Toc63977897"/>
      <w:bookmarkStart w:id="1866" w:name="_Toc63982645"/>
      <w:bookmarkStart w:id="1867" w:name="_Toc68190212"/>
      <w:bookmarkStart w:id="1868" w:name="_Toc118205640"/>
      <w:r w:rsidRPr="00517F7A">
        <w:t>Truck Weight Data Summaries</w:t>
      </w:r>
      <w:bookmarkEnd w:id="1865"/>
      <w:bookmarkEnd w:id="1866"/>
      <w:bookmarkEnd w:id="1867"/>
      <w:bookmarkEnd w:id="1868"/>
    </w:p>
    <w:p w14:paraId="674FE3B1" w14:textId="77777777" w:rsidR="003F7B9F" w:rsidRPr="000077D4" w:rsidRDefault="003F7B9F" w:rsidP="008645A4">
      <w:pPr>
        <w:pStyle w:val="BodyText"/>
      </w:pPr>
      <w:r w:rsidRPr="005576C5">
        <w:t xml:space="preserve">State highway agencies summarize and report </w:t>
      </w:r>
      <w:r w:rsidRPr="000077D4">
        <w:t>truck weight data in many ways. Three types of summaries are commonly used including:</w:t>
      </w:r>
    </w:p>
    <w:p w14:paraId="7EDEECF1" w14:textId="1CD8715A" w:rsidR="003F7B9F" w:rsidRPr="00DC3036" w:rsidRDefault="003F7B9F">
      <w:pPr>
        <w:pStyle w:val="TMGBullet"/>
        <w:contextualSpacing w:val="0"/>
      </w:pPr>
      <w:r w:rsidRPr="00DC3036">
        <w:t>Gross vehicle weight (GVW) (usually by vehicle class), including average GVW and frequency distribution by weight bins</w:t>
      </w:r>
      <w:r w:rsidR="00EF22C3">
        <w:t>.</w:t>
      </w:r>
    </w:p>
    <w:p w14:paraId="4934CC1E" w14:textId="61F35B87" w:rsidR="003F7B9F" w:rsidRPr="00DC3036" w:rsidRDefault="003F7B9F">
      <w:pPr>
        <w:pStyle w:val="TMGBullet"/>
        <w:contextualSpacing w:val="0"/>
      </w:pPr>
      <w:r w:rsidRPr="00DC3036">
        <w:t>Axle load spectra, which are axle load frequency distributions by load bins. The AASHTOWare Pavement ME Design (PMED) software that follows AASHTO Mechanistic-Empirical Pavement Design Guide (MEPDG) Manual of Practice (MOP) requires the normalized (i.e., percentile) axle load spectra by axle group (singles, tandems, tridems, and quads) and vehicle class representing a typical day of each calendar month, other applications also require information about axle load spectra for pentads and other axle groupings</w:t>
      </w:r>
      <w:r w:rsidR="00EF22C3">
        <w:t>.</w:t>
      </w:r>
    </w:p>
    <w:p w14:paraId="09876A67" w14:textId="5A107D3F" w:rsidR="003F7B9F" w:rsidRPr="00DC3036" w:rsidRDefault="003F7B9F">
      <w:pPr>
        <w:pStyle w:val="TMGBullet"/>
      </w:pPr>
      <w:r w:rsidRPr="00DC3036">
        <w:t xml:space="preserve">Equivalent single axle load (ESAL) values, which are used as key inputs to the traditional AASHTO 93 pavement design procedures. ESAL value of 1 corresponds to 18,000 lb single axle load. In </w:t>
      </w:r>
      <w:r w:rsidR="00EF22C3">
        <w:t xml:space="preserve">the </w:t>
      </w:r>
      <w:r w:rsidRPr="00DC3036">
        <w:t xml:space="preserve">ESAL method, each axle load is assigned a </w:t>
      </w:r>
      <w:r w:rsidR="00033815">
        <w:t>l</w:t>
      </w:r>
      <w:r w:rsidR="00033815" w:rsidRPr="00DC3036">
        <w:t xml:space="preserve">oad </w:t>
      </w:r>
      <w:r w:rsidR="00033815">
        <w:t>e</w:t>
      </w:r>
      <w:r w:rsidR="00033815" w:rsidRPr="00DC3036">
        <w:t xml:space="preserve">quivalency </w:t>
      </w:r>
      <w:r w:rsidRPr="00DC3036">
        <w:t>factor (LEF) representing an equivalent number of 18,000 lb loads with respect to pavement damaging potential. The LEFs are multipliers that are applied to the reported axle loads to convert them to ESAL values. LEFs are dependent on axle group, pavement type, and pavement serviceability index. LEF factors are also called ESAL per</w:t>
      </w:r>
      <w:r w:rsidR="00EF22C3">
        <w:t>-</w:t>
      </w:r>
      <w:r w:rsidRPr="00DC3036">
        <w:t xml:space="preserve">axle factors. </w:t>
      </w:r>
      <w:r w:rsidR="00EF22C3">
        <w:t>The c</w:t>
      </w:r>
      <w:r w:rsidRPr="00DC3036">
        <w:t xml:space="preserve">umulative ESAL value estimated for the entire pavement service life is used as input for traditional AASHTO 93 pavement design. ESAL per truck values are used to characterize and compare the pavement damaging potential of different vehicles. </w:t>
      </w:r>
    </w:p>
    <w:p w14:paraId="2B099A2E" w14:textId="77777777" w:rsidR="003F7B9F" w:rsidRPr="000077D4" w:rsidRDefault="003F7B9F" w:rsidP="00A35EAF">
      <w:pPr>
        <w:pStyle w:val="BodyText"/>
      </w:pPr>
      <w:r w:rsidRPr="000077D4">
        <w:t xml:space="preserve">Each of these summary statistics can be developed for a specific vehicle class, specific site, a group of sites, geographic region, or an entire State or, depending on the needs of the analysis and the data collection and reporting procedure. </w:t>
      </w:r>
      <w:r>
        <w:t>In addition to the summary loading statistics, FHWA requires submission of axle and truck loading data in the IVR format.</w:t>
      </w:r>
    </w:p>
    <w:p w14:paraId="2A6CA95C" w14:textId="7210EE85" w:rsidR="003F7B9F" w:rsidRPr="000077D4" w:rsidRDefault="003F7B9F" w:rsidP="00A35EAF">
      <w:pPr>
        <w:pStyle w:val="BodyText"/>
      </w:pPr>
      <w:r w:rsidRPr="000077D4">
        <w:t>The role of the traffic-monitoring program is to provide the user with the data summaries needed. The summaries can be required for any one of several levels of summarization. For example, it may be appropriate to maintain axle-loading distributions for each of the FHWA heavy vehicle classes (classes four through thirteen, see</w:t>
      </w:r>
      <w:r w:rsidR="00EC03C5">
        <w:t xml:space="preserve"> </w:t>
      </w:r>
      <w:r w:rsidR="00EC03C5">
        <w:fldChar w:fldCharType="begin"/>
      </w:r>
      <w:r w:rsidR="00EC03C5">
        <w:instrText xml:space="preserve"> REF _Ref114752355 \h </w:instrText>
      </w:r>
      <w:r w:rsidR="00EC03C5">
        <w:fldChar w:fldCharType="separate"/>
      </w:r>
      <w:r w:rsidR="00C07DF9" w:rsidRPr="007B58D8">
        <w:t xml:space="preserve">Figure </w:t>
      </w:r>
      <w:r w:rsidR="00C07DF9">
        <w:rPr>
          <w:noProof/>
        </w:rPr>
        <w:t>3</w:t>
      </w:r>
      <w:r w:rsidR="00C07DF9" w:rsidRPr="007B58D8">
        <w:noBreakHyphen/>
      </w:r>
      <w:r w:rsidR="00C07DF9">
        <w:rPr>
          <w:noProof/>
        </w:rPr>
        <w:t>5</w:t>
      </w:r>
      <w:r w:rsidR="00EC03C5">
        <w:fldChar w:fldCharType="end"/>
      </w:r>
      <w:r w:rsidRPr="000077D4">
        <w:t>) so that these statistics are available when needed for pavement design</w:t>
      </w:r>
      <w:r w:rsidR="00EF22C3">
        <w:t>—</w:t>
      </w:r>
      <w:r w:rsidRPr="000077D4">
        <w:t>such as with the AASHTO MEPDG MOP. It is recommended that axle loading (all vehicle classes or classes 4</w:t>
      </w:r>
      <w:r w:rsidR="00EC7CE4">
        <w:t xml:space="preserve"> to </w:t>
      </w:r>
      <w:r w:rsidRPr="000077D4">
        <w:t xml:space="preserve">13) be stored in the </w:t>
      </w:r>
      <w:r>
        <w:t>IVR</w:t>
      </w:r>
      <w:r w:rsidRPr="000077D4">
        <w:t xml:space="preserve"> format, since it offers the most detail for later reporting. </w:t>
      </w:r>
      <w:r>
        <w:t>E</w:t>
      </w:r>
      <w:r w:rsidRPr="000077D4">
        <w:t>ven if a more aggregated classification system is used for most analyses by an agency, the more detailed data collected by WIM systems should be retained for later use, as these raw per vehicle data are the only source of other key statistics</w:t>
      </w:r>
      <w:r w:rsidR="00CC5D10">
        <w:t>—</w:t>
      </w:r>
      <w:r w:rsidRPr="000077D4">
        <w:t>such as the headway between trucks, or studies looking at changes in the truck characteristics like average tandem axle spacing</w:t>
      </w:r>
      <w:r w:rsidR="00CC5D10">
        <w:t>—</w:t>
      </w:r>
      <w:r w:rsidRPr="000077D4">
        <w:t>which are used as engineering design assumptions. For AASHTO MEPDG MOP design of jointed plain concrete pavements, axle-to-axle spacing of 12 to 15 feet is an important input parameter for predicting mid-slab cracking.</w:t>
      </w:r>
    </w:p>
    <w:p w14:paraId="25A9EF50" w14:textId="5CE397FE" w:rsidR="009D2910" w:rsidRDefault="003F7B9F" w:rsidP="00A35EAF">
      <w:pPr>
        <w:pStyle w:val="BodyText"/>
      </w:pPr>
      <w:r w:rsidRPr="000077D4">
        <w:t xml:space="preserve">The truck weight summary statistics can be computed with FHWA’s TMAS software, with software supplied by the WIM </w:t>
      </w:r>
      <w:r w:rsidRPr="005576C5">
        <w:t xml:space="preserve">system vendor, or with software developed specifically for use by the State highway agency as part of its traffic database. </w:t>
      </w:r>
    </w:p>
    <w:p w14:paraId="224ADA18" w14:textId="77777777" w:rsidR="009D2910" w:rsidRDefault="009D2910">
      <w:pPr>
        <w:widowControl/>
        <w:suppressAutoHyphens w:val="0"/>
        <w:autoSpaceDE/>
        <w:autoSpaceDN/>
        <w:adjustRightInd/>
        <w:spacing w:line="259" w:lineRule="auto"/>
        <w:jc w:val="left"/>
        <w:textAlignment w:val="auto"/>
        <w:rPr>
          <w:color w:val="auto"/>
        </w:rPr>
      </w:pPr>
      <w:r>
        <w:br w:type="page"/>
      </w:r>
    </w:p>
    <w:p w14:paraId="034E8F15" w14:textId="76010960" w:rsidR="003F7B9F" w:rsidRPr="009D2910" w:rsidRDefault="008645A4" w:rsidP="00A35EAF">
      <w:pPr>
        <w:pStyle w:val="BodyText"/>
        <w:rPr>
          <w:rStyle w:val="Strong"/>
          <w:rFonts w:ascii="Cambria" w:hAnsi="Cambria"/>
          <w:sz w:val="22"/>
          <w:szCs w:val="22"/>
        </w:rPr>
      </w:pPr>
      <w:r>
        <w:rPr>
          <w:noProof/>
        </w:rPr>
        <w:lastRenderedPageBreak/>
        <mc:AlternateContent>
          <mc:Choice Requires="wps">
            <w:drawing>
              <wp:anchor distT="45720" distB="45720" distL="114300" distR="114300" simplePos="0" relativeHeight="251711488" behindDoc="0" locked="0" layoutInCell="1" allowOverlap="1" wp14:anchorId="4F73AEB5" wp14:editId="720442F4">
                <wp:simplePos x="0" y="0"/>
                <wp:positionH relativeFrom="margin">
                  <wp:posOffset>3196590</wp:posOffset>
                </wp:positionH>
                <wp:positionV relativeFrom="paragraph">
                  <wp:posOffset>234821</wp:posOffset>
                </wp:positionV>
                <wp:extent cx="2785110" cy="4617720"/>
                <wp:effectExtent l="0" t="0" r="0" b="0"/>
                <wp:wrapSquare wrapText="bothSides"/>
                <wp:docPr id="358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5110" cy="4617720"/>
                        </a:xfrm>
                        <a:prstGeom prst="rect">
                          <a:avLst/>
                        </a:prstGeom>
                        <a:solidFill>
                          <a:srgbClr val="FFFFFF"/>
                        </a:solidFill>
                        <a:ln w="9525">
                          <a:noFill/>
                          <a:miter lim="800000"/>
                          <a:headEnd/>
                          <a:tailEnd/>
                        </a:ln>
                      </wps:spPr>
                      <wps:txbx>
                        <w:txbxContent>
                          <w:p w14:paraId="0560A5C2" w14:textId="266C0181" w:rsidR="008B6335" w:rsidRDefault="008B6335" w:rsidP="008B6335">
                            <w:pPr>
                              <w:pStyle w:val="TMGTableCaption"/>
                              <w:spacing w:before="0"/>
                            </w:pPr>
                            <w:bookmarkStart w:id="1869" w:name="_Ref114750040"/>
                            <w:bookmarkStart w:id="1870" w:name="_Toc54784719"/>
                            <w:bookmarkStart w:id="1871" w:name="_Toc68874118"/>
                            <w:bookmarkStart w:id="1872" w:name="_Toc114474831"/>
                            <w:bookmarkStart w:id="1873" w:name="_Toc120631137"/>
                            <w:r>
                              <w:t xml:space="preserve">Table </w:t>
                            </w:r>
                            <w:fldSimple w:instr=" STYLEREF 1 \s ">
                              <w:r w:rsidR="00FC0E95">
                                <w:rPr>
                                  <w:noProof/>
                                </w:rPr>
                                <w:t>3</w:t>
                              </w:r>
                            </w:fldSimple>
                            <w:r>
                              <w:noBreakHyphen/>
                            </w:r>
                            <w:fldSimple w:instr=" SEQ Table \* ARABIC \s 1 ">
                              <w:r w:rsidR="00FC0E95">
                                <w:rPr>
                                  <w:noProof/>
                                </w:rPr>
                                <w:t>11</w:t>
                              </w:r>
                            </w:fldSimple>
                            <w:bookmarkEnd w:id="1869"/>
                            <w:r w:rsidR="00352273">
                              <w:t>.</w:t>
                            </w:r>
                            <w:r>
                              <w:t xml:space="preserve"> </w:t>
                            </w:r>
                            <w:r w:rsidRPr="003279D3">
                              <w:t xml:space="preserve">Example </w:t>
                            </w:r>
                            <w:r>
                              <w:t>o</w:t>
                            </w:r>
                            <w:r w:rsidRPr="003279D3">
                              <w:t xml:space="preserve">f </w:t>
                            </w:r>
                            <w:r w:rsidR="006C17FD">
                              <w:t>a</w:t>
                            </w:r>
                            <w:r w:rsidRPr="003279D3">
                              <w:t xml:space="preserve"> Normalized Load Spectrum </w:t>
                            </w:r>
                            <w:r>
                              <w:t>f</w:t>
                            </w:r>
                            <w:r w:rsidRPr="003279D3">
                              <w:t xml:space="preserve">or Vehicle Class 9 Single </w:t>
                            </w:r>
                            <w:r>
                              <w:t>a</w:t>
                            </w:r>
                            <w:r w:rsidRPr="003279D3">
                              <w:t>nd Tandem</w:t>
                            </w:r>
                            <w:r w:rsidR="0085404A">
                              <w:t> </w:t>
                            </w:r>
                            <w:r w:rsidRPr="003279D3">
                              <w:t xml:space="preserve">Axles </w:t>
                            </w:r>
                            <w:r w:rsidR="00352273">
                              <w:t>f</w:t>
                            </w:r>
                            <w:r w:rsidRPr="003279D3">
                              <w:t>rom FDOT</w:t>
                            </w:r>
                            <w:bookmarkEnd w:id="1870"/>
                            <w:bookmarkEnd w:id="1871"/>
                            <w:bookmarkEnd w:id="1872"/>
                            <w:bookmarkEnd w:id="1873"/>
                          </w:p>
                          <w:tbl>
                            <w:tblPr>
                              <w:tblStyle w:val="DataFormatTable"/>
                              <w:tblW w:w="0" w:type="auto"/>
                              <w:tblLayout w:type="fixed"/>
                              <w:tblCellMar>
                                <w:left w:w="86" w:type="dxa"/>
                                <w:right w:w="86" w:type="dxa"/>
                              </w:tblCellMar>
                              <w:tblLook w:val="04A0" w:firstRow="1" w:lastRow="0" w:firstColumn="1" w:lastColumn="0" w:noHBand="0" w:noVBand="1"/>
                            </w:tblPr>
                            <w:tblGrid>
                              <w:gridCol w:w="1525"/>
                              <w:gridCol w:w="630"/>
                              <w:gridCol w:w="1530"/>
                              <w:gridCol w:w="630"/>
                            </w:tblGrid>
                            <w:tr w:rsidR="008B6335" w:rsidRPr="000077D4" w14:paraId="33D24875" w14:textId="77777777" w:rsidTr="009309D7">
                              <w:trPr>
                                <w:trHeight w:val="80"/>
                              </w:trPr>
                              <w:tc>
                                <w:tcPr>
                                  <w:tcW w:w="2155" w:type="dxa"/>
                                  <w:gridSpan w:val="2"/>
                                  <w:tcBorders>
                                    <w:bottom w:val="single" w:sz="4" w:space="0" w:color="FFFFFF" w:themeColor="background1"/>
                                    <w:right w:val="single" w:sz="4" w:space="0" w:color="FFFFFF" w:themeColor="background1"/>
                                  </w:tcBorders>
                                  <w:shd w:val="clear" w:color="auto" w:fill="1F3864"/>
                                </w:tcPr>
                                <w:p w14:paraId="67C3C08B" w14:textId="77777777" w:rsidR="008B6335" w:rsidRPr="004859C8" w:rsidRDefault="008B6335" w:rsidP="00431669">
                                  <w:pPr>
                                    <w:pStyle w:val="TableBodyText"/>
                                    <w:jc w:val="center"/>
                                    <w:rPr>
                                      <w:b/>
                                      <w:bCs/>
                                      <w:color w:val="FFFFFF" w:themeColor="background1"/>
                                    </w:rPr>
                                  </w:pPr>
                                  <w:r w:rsidRPr="004859C8">
                                    <w:rPr>
                                      <w:b/>
                                      <w:bCs/>
                                      <w:color w:val="FFFFFF" w:themeColor="background1"/>
                                    </w:rPr>
                                    <w:t>Steering Axle Distribution</w:t>
                                  </w:r>
                                </w:p>
                              </w:tc>
                              <w:tc>
                                <w:tcPr>
                                  <w:tcW w:w="2160" w:type="dxa"/>
                                  <w:gridSpan w:val="2"/>
                                  <w:tcBorders>
                                    <w:left w:val="single" w:sz="4" w:space="0" w:color="FFFFFF" w:themeColor="background1"/>
                                    <w:bottom w:val="single" w:sz="4" w:space="0" w:color="FFFFFF" w:themeColor="background1"/>
                                  </w:tcBorders>
                                  <w:shd w:val="clear" w:color="auto" w:fill="1F3864"/>
                                </w:tcPr>
                                <w:p w14:paraId="5BBE6FC2" w14:textId="77777777" w:rsidR="008B6335" w:rsidRPr="004859C8" w:rsidRDefault="008B6335" w:rsidP="00431669">
                                  <w:pPr>
                                    <w:pStyle w:val="TableBodyText"/>
                                    <w:jc w:val="center"/>
                                    <w:rPr>
                                      <w:b/>
                                      <w:bCs/>
                                      <w:color w:val="FFFFFF" w:themeColor="background1"/>
                                    </w:rPr>
                                  </w:pPr>
                                  <w:r w:rsidRPr="004859C8">
                                    <w:rPr>
                                      <w:b/>
                                      <w:bCs/>
                                      <w:color w:val="FFFFFF" w:themeColor="background1"/>
                                    </w:rPr>
                                    <w:t>Tandem Axle Distribution</w:t>
                                  </w:r>
                                </w:p>
                              </w:tc>
                            </w:tr>
                            <w:tr w:rsidR="008B6335" w:rsidRPr="000077D4" w14:paraId="5849F194" w14:textId="77777777" w:rsidTr="009309D7">
                              <w:trPr>
                                <w:trHeight w:val="80"/>
                              </w:trPr>
                              <w:tc>
                                <w:tcPr>
                                  <w:tcW w:w="1525" w:type="dxa"/>
                                  <w:tcBorders>
                                    <w:top w:val="single" w:sz="4" w:space="0" w:color="FFFFFF" w:themeColor="background1"/>
                                    <w:right w:val="single" w:sz="4" w:space="0" w:color="FFFFFF" w:themeColor="background1"/>
                                  </w:tcBorders>
                                  <w:shd w:val="clear" w:color="auto" w:fill="1F3864"/>
                                </w:tcPr>
                                <w:p w14:paraId="25328852" w14:textId="77777777" w:rsidR="008B6335" w:rsidRPr="004859C8" w:rsidRDefault="008B6335" w:rsidP="00431669">
                                  <w:pPr>
                                    <w:pStyle w:val="TableBodyText"/>
                                    <w:jc w:val="center"/>
                                    <w:rPr>
                                      <w:b/>
                                      <w:bCs/>
                                      <w:color w:val="FFFFFF" w:themeColor="background1"/>
                                    </w:rPr>
                                  </w:pPr>
                                  <w:r w:rsidRPr="004859C8">
                                    <w:rPr>
                                      <w:b/>
                                      <w:bCs/>
                                      <w:color w:val="FFFFFF" w:themeColor="background1"/>
                                    </w:rPr>
                                    <w:t>Load Bin, lb</w:t>
                                  </w:r>
                                </w:p>
                              </w:tc>
                              <w:tc>
                                <w:tcPr>
                                  <w:tcW w:w="630" w:type="dxa"/>
                                  <w:tcBorders>
                                    <w:top w:val="single" w:sz="4" w:space="0" w:color="FFFFFF" w:themeColor="background1"/>
                                    <w:left w:val="single" w:sz="4" w:space="0" w:color="FFFFFF" w:themeColor="background1"/>
                                    <w:right w:val="single" w:sz="4" w:space="0" w:color="FFFFFF" w:themeColor="background1"/>
                                  </w:tcBorders>
                                  <w:shd w:val="clear" w:color="auto" w:fill="1F3864"/>
                                </w:tcPr>
                                <w:p w14:paraId="1EA48722" w14:textId="77777777" w:rsidR="008B6335" w:rsidRPr="004859C8" w:rsidRDefault="008B6335" w:rsidP="00431669">
                                  <w:pPr>
                                    <w:pStyle w:val="TableBodyText"/>
                                    <w:jc w:val="center"/>
                                    <w:rPr>
                                      <w:b/>
                                      <w:bCs/>
                                      <w:color w:val="FFFFFF" w:themeColor="background1"/>
                                    </w:rPr>
                                  </w:pPr>
                                  <w:r w:rsidRPr="004859C8">
                                    <w:rPr>
                                      <w:b/>
                                      <w:bCs/>
                                      <w:color w:val="FFFFFF" w:themeColor="background1"/>
                                    </w:rPr>
                                    <w:t>%</w:t>
                                  </w:r>
                                </w:p>
                              </w:tc>
                              <w:tc>
                                <w:tcPr>
                                  <w:tcW w:w="1530" w:type="dxa"/>
                                  <w:tcBorders>
                                    <w:top w:val="single" w:sz="4" w:space="0" w:color="FFFFFF" w:themeColor="background1"/>
                                    <w:left w:val="single" w:sz="4" w:space="0" w:color="FFFFFF" w:themeColor="background1"/>
                                    <w:right w:val="single" w:sz="4" w:space="0" w:color="FFFFFF" w:themeColor="background1"/>
                                  </w:tcBorders>
                                  <w:shd w:val="clear" w:color="auto" w:fill="1F3864"/>
                                </w:tcPr>
                                <w:p w14:paraId="28E0F8EC" w14:textId="77777777" w:rsidR="008B6335" w:rsidRPr="004859C8" w:rsidRDefault="008B6335" w:rsidP="00431669">
                                  <w:pPr>
                                    <w:pStyle w:val="TableBodyText"/>
                                    <w:jc w:val="center"/>
                                    <w:rPr>
                                      <w:b/>
                                      <w:bCs/>
                                      <w:color w:val="FFFFFF" w:themeColor="background1"/>
                                    </w:rPr>
                                  </w:pPr>
                                  <w:r w:rsidRPr="004859C8">
                                    <w:rPr>
                                      <w:b/>
                                      <w:bCs/>
                                      <w:color w:val="FFFFFF" w:themeColor="background1"/>
                                    </w:rPr>
                                    <w:t>Load Bin, lb</w:t>
                                  </w:r>
                                </w:p>
                              </w:tc>
                              <w:tc>
                                <w:tcPr>
                                  <w:tcW w:w="630" w:type="dxa"/>
                                  <w:tcBorders>
                                    <w:top w:val="single" w:sz="4" w:space="0" w:color="FFFFFF" w:themeColor="background1"/>
                                    <w:left w:val="single" w:sz="4" w:space="0" w:color="FFFFFF" w:themeColor="background1"/>
                                  </w:tcBorders>
                                  <w:shd w:val="clear" w:color="auto" w:fill="1F3864"/>
                                </w:tcPr>
                                <w:p w14:paraId="59BA39D8" w14:textId="77777777" w:rsidR="008B6335" w:rsidRPr="004859C8" w:rsidRDefault="008B6335" w:rsidP="00431669">
                                  <w:pPr>
                                    <w:pStyle w:val="TableBodyText"/>
                                    <w:jc w:val="center"/>
                                    <w:rPr>
                                      <w:b/>
                                      <w:bCs/>
                                      <w:color w:val="FFFFFF" w:themeColor="background1"/>
                                    </w:rPr>
                                  </w:pPr>
                                  <w:r w:rsidRPr="004859C8">
                                    <w:rPr>
                                      <w:b/>
                                      <w:bCs/>
                                      <w:color w:val="FFFFFF" w:themeColor="background1"/>
                                    </w:rPr>
                                    <w:t>%</w:t>
                                  </w:r>
                                </w:p>
                              </w:tc>
                            </w:tr>
                            <w:tr w:rsidR="008B6335" w:rsidRPr="000077D4" w14:paraId="5D8990CF" w14:textId="77777777" w:rsidTr="008645A4">
                              <w:tc>
                                <w:tcPr>
                                  <w:tcW w:w="1525" w:type="dxa"/>
                                </w:tcPr>
                                <w:p w14:paraId="27C59A00" w14:textId="2A710483" w:rsidR="008B6335" w:rsidRPr="000077D4" w:rsidRDefault="008B6335" w:rsidP="00431669">
                                  <w:pPr>
                                    <w:pStyle w:val="TableBodyText"/>
                                  </w:pPr>
                                  <w:r w:rsidRPr="000077D4">
                                    <w:rPr>
                                      <w:rFonts w:cs="Times New Roman"/>
                                    </w:rPr>
                                    <w:t xml:space="preserve">0 to </w:t>
                                  </w:r>
                                  <w:r w:rsidR="006C17FD">
                                    <w:rPr>
                                      <w:rFonts w:cs="Times New Roman"/>
                                    </w:rPr>
                                    <w:t>999</w:t>
                                  </w:r>
                                </w:p>
                              </w:tc>
                              <w:tc>
                                <w:tcPr>
                                  <w:tcW w:w="630" w:type="dxa"/>
                                </w:tcPr>
                                <w:p w14:paraId="62B1C6AB" w14:textId="77777777" w:rsidR="008B6335" w:rsidRPr="000077D4" w:rsidRDefault="008B6335" w:rsidP="008645A4">
                                  <w:pPr>
                                    <w:pStyle w:val="TableBodyText"/>
                                    <w:jc w:val="center"/>
                                  </w:pPr>
                                  <w:r w:rsidRPr="000077D4">
                                    <w:rPr>
                                      <w:rFonts w:cs="Times New Roman"/>
                                    </w:rPr>
                                    <w:t>0.00</w:t>
                                  </w:r>
                                </w:p>
                              </w:tc>
                              <w:tc>
                                <w:tcPr>
                                  <w:tcW w:w="1530" w:type="dxa"/>
                                </w:tcPr>
                                <w:p w14:paraId="591F71B3" w14:textId="77777777" w:rsidR="008B6335" w:rsidRPr="000077D4" w:rsidRDefault="008B6335" w:rsidP="00431669">
                                  <w:pPr>
                                    <w:pStyle w:val="TableBodyText"/>
                                    <w:rPr>
                                      <w:rFonts w:cs="Times New Roman"/>
                                    </w:rPr>
                                  </w:pPr>
                                  <w:r w:rsidRPr="000077D4">
                                    <w:rPr>
                                      <w:rFonts w:cs="Times New Roman"/>
                                    </w:rPr>
                                    <w:t>0 to 1999</w:t>
                                  </w:r>
                                </w:p>
                              </w:tc>
                              <w:tc>
                                <w:tcPr>
                                  <w:tcW w:w="630" w:type="dxa"/>
                                </w:tcPr>
                                <w:p w14:paraId="2659C93B" w14:textId="77777777" w:rsidR="008B6335" w:rsidRPr="000077D4" w:rsidRDefault="008B6335" w:rsidP="008645A4">
                                  <w:pPr>
                                    <w:pStyle w:val="TableBodyText"/>
                                    <w:jc w:val="center"/>
                                    <w:rPr>
                                      <w:rFonts w:cs="Times New Roman"/>
                                    </w:rPr>
                                  </w:pPr>
                                  <w:r w:rsidRPr="000077D4">
                                    <w:t>0.00</w:t>
                                  </w:r>
                                </w:p>
                              </w:tc>
                            </w:tr>
                            <w:tr w:rsidR="008B6335" w:rsidRPr="000077D4" w14:paraId="5B491AAC" w14:textId="77777777" w:rsidTr="008645A4">
                              <w:tc>
                                <w:tcPr>
                                  <w:tcW w:w="1525" w:type="dxa"/>
                                </w:tcPr>
                                <w:p w14:paraId="01852DC5" w14:textId="77777777" w:rsidR="008B6335" w:rsidRPr="000077D4" w:rsidRDefault="008B6335" w:rsidP="00431669">
                                  <w:pPr>
                                    <w:pStyle w:val="TableBodyText"/>
                                  </w:pPr>
                                  <w:r w:rsidRPr="000077D4">
                                    <w:rPr>
                                      <w:rFonts w:cs="Times New Roman"/>
                                    </w:rPr>
                                    <w:t>1000 to 1999</w:t>
                                  </w:r>
                                </w:p>
                              </w:tc>
                              <w:tc>
                                <w:tcPr>
                                  <w:tcW w:w="630" w:type="dxa"/>
                                </w:tcPr>
                                <w:p w14:paraId="6D398680" w14:textId="77777777" w:rsidR="008B6335" w:rsidRPr="000077D4" w:rsidRDefault="008B6335" w:rsidP="008645A4">
                                  <w:pPr>
                                    <w:pStyle w:val="TableBodyText"/>
                                    <w:jc w:val="center"/>
                                  </w:pPr>
                                  <w:r w:rsidRPr="000077D4">
                                    <w:rPr>
                                      <w:rFonts w:cs="Times New Roman"/>
                                    </w:rPr>
                                    <w:t>0.06</w:t>
                                  </w:r>
                                </w:p>
                              </w:tc>
                              <w:tc>
                                <w:tcPr>
                                  <w:tcW w:w="1530" w:type="dxa"/>
                                </w:tcPr>
                                <w:p w14:paraId="52E9D596" w14:textId="77777777" w:rsidR="008B6335" w:rsidRPr="000077D4" w:rsidRDefault="008B6335" w:rsidP="00431669">
                                  <w:pPr>
                                    <w:pStyle w:val="TableBodyText"/>
                                    <w:rPr>
                                      <w:rFonts w:cs="Times New Roman"/>
                                    </w:rPr>
                                  </w:pPr>
                                  <w:r w:rsidRPr="000077D4">
                                    <w:rPr>
                                      <w:rFonts w:cs="Times New Roman"/>
                                    </w:rPr>
                                    <w:t>2000 to 3999</w:t>
                                  </w:r>
                                </w:p>
                              </w:tc>
                              <w:tc>
                                <w:tcPr>
                                  <w:tcW w:w="630" w:type="dxa"/>
                                </w:tcPr>
                                <w:p w14:paraId="6FB3AEE3" w14:textId="77777777" w:rsidR="008B6335" w:rsidRPr="000077D4" w:rsidRDefault="008B6335" w:rsidP="008645A4">
                                  <w:pPr>
                                    <w:pStyle w:val="TableBodyText"/>
                                    <w:jc w:val="center"/>
                                    <w:rPr>
                                      <w:rFonts w:cs="Times New Roman"/>
                                    </w:rPr>
                                  </w:pPr>
                                  <w:r w:rsidRPr="000077D4">
                                    <w:t>0.00</w:t>
                                  </w:r>
                                </w:p>
                              </w:tc>
                            </w:tr>
                            <w:tr w:rsidR="008B6335" w:rsidRPr="000077D4" w14:paraId="2FE54044" w14:textId="77777777" w:rsidTr="008645A4">
                              <w:tc>
                                <w:tcPr>
                                  <w:tcW w:w="1525" w:type="dxa"/>
                                </w:tcPr>
                                <w:p w14:paraId="1E911B04" w14:textId="77777777" w:rsidR="008B6335" w:rsidRPr="000077D4" w:rsidRDefault="008B6335" w:rsidP="00431669">
                                  <w:pPr>
                                    <w:pStyle w:val="TableBodyText"/>
                                  </w:pPr>
                                  <w:r w:rsidRPr="000077D4">
                                    <w:rPr>
                                      <w:rFonts w:cs="Times New Roman"/>
                                    </w:rPr>
                                    <w:t>2000 to 2999</w:t>
                                  </w:r>
                                </w:p>
                              </w:tc>
                              <w:tc>
                                <w:tcPr>
                                  <w:tcW w:w="630" w:type="dxa"/>
                                </w:tcPr>
                                <w:p w14:paraId="3FC63CD3" w14:textId="77777777" w:rsidR="008B6335" w:rsidRPr="000077D4" w:rsidRDefault="008B6335" w:rsidP="008645A4">
                                  <w:pPr>
                                    <w:pStyle w:val="TableBodyText"/>
                                    <w:jc w:val="center"/>
                                  </w:pPr>
                                  <w:r w:rsidRPr="000077D4">
                                    <w:rPr>
                                      <w:rFonts w:cs="Times New Roman"/>
                                    </w:rPr>
                                    <w:t>0.06</w:t>
                                  </w:r>
                                </w:p>
                              </w:tc>
                              <w:tc>
                                <w:tcPr>
                                  <w:tcW w:w="1530" w:type="dxa"/>
                                </w:tcPr>
                                <w:p w14:paraId="3318325C" w14:textId="77777777" w:rsidR="008B6335" w:rsidRPr="000077D4" w:rsidRDefault="008B6335" w:rsidP="00431669">
                                  <w:pPr>
                                    <w:pStyle w:val="TableBodyText"/>
                                    <w:rPr>
                                      <w:rFonts w:cs="Times New Roman"/>
                                    </w:rPr>
                                  </w:pPr>
                                  <w:r w:rsidRPr="000077D4">
                                    <w:rPr>
                                      <w:rFonts w:cs="Times New Roman"/>
                                    </w:rPr>
                                    <w:t>4000 to 5999</w:t>
                                  </w:r>
                                </w:p>
                              </w:tc>
                              <w:tc>
                                <w:tcPr>
                                  <w:tcW w:w="630" w:type="dxa"/>
                                </w:tcPr>
                                <w:p w14:paraId="4250C6BE" w14:textId="77777777" w:rsidR="008B6335" w:rsidRPr="000077D4" w:rsidRDefault="008B6335" w:rsidP="008645A4">
                                  <w:pPr>
                                    <w:pStyle w:val="TableBodyText"/>
                                    <w:jc w:val="center"/>
                                    <w:rPr>
                                      <w:rFonts w:cs="Times New Roman"/>
                                    </w:rPr>
                                  </w:pPr>
                                  <w:r w:rsidRPr="000077D4">
                                    <w:t>0.13</w:t>
                                  </w:r>
                                </w:p>
                              </w:tc>
                            </w:tr>
                            <w:tr w:rsidR="008B6335" w:rsidRPr="000077D4" w14:paraId="003F365B" w14:textId="77777777" w:rsidTr="008645A4">
                              <w:tc>
                                <w:tcPr>
                                  <w:tcW w:w="1525" w:type="dxa"/>
                                </w:tcPr>
                                <w:p w14:paraId="08DF30FF" w14:textId="77777777" w:rsidR="008B6335" w:rsidRPr="000077D4" w:rsidRDefault="008B6335" w:rsidP="00431669">
                                  <w:pPr>
                                    <w:pStyle w:val="TableBodyText"/>
                                    <w:rPr>
                                      <w:highlight w:val="yellow"/>
                                    </w:rPr>
                                  </w:pPr>
                                  <w:r w:rsidRPr="000077D4">
                                    <w:rPr>
                                      <w:rFonts w:cs="Times New Roman"/>
                                    </w:rPr>
                                    <w:t>3000 to 3999</w:t>
                                  </w:r>
                                </w:p>
                              </w:tc>
                              <w:tc>
                                <w:tcPr>
                                  <w:tcW w:w="630" w:type="dxa"/>
                                </w:tcPr>
                                <w:p w14:paraId="75675444" w14:textId="77777777" w:rsidR="008B6335" w:rsidRPr="000077D4" w:rsidRDefault="008B6335" w:rsidP="008645A4">
                                  <w:pPr>
                                    <w:pStyle w:val="TableBodyText"/>
                                    <w:jc w:val="center"/>
                                    <w:rPr>
                                      <w:highlight w:val="yellow"/>
                                    </w:rPr>
                                  </w:pPr>
                                  <w:r w:rsidRPr="000077D4">
                                    <w:rPr>
                                      <w:rFonts w:cs="Times New Roman"/>
                                    </w:rPr>
                                    <w:t>0.19</w:t>
                                  </w:r>
                                </w:p>
                              </w:tc>
                              <w:tc>
                                <w:tcPr>
                                  <w:tcW w:w="1530" w:type="dxa"/>
                                </w:tcPr>
                                <w:p w14:paraId="1818A64C" w14:textId="77777777" w:rsidR="008B6335" w:rsidRPr="000077D4" w:rsidRDefault="008B6335" w:rsidP="00431669">
                                  <w:pPr>
                                    <w:pStyle w:val="TableBodyText"/>
                                    <w:rPr>
                                      <w:rFonts w:cs="Times New Roman"/>
                                    </w:rPr>
                                  </w:pPr>
                                  <w:r w:rsidRPr="000077D4">
                                    <w:rPr>
                                      <w:rFonts w:cs="Times New Roman"/>
                                    </w:rPr>
                                    <w:t>6000 to 7999</w:t>
                                  </w:r>
                                </w:p>
                              </w:tc>
                              <w:tc>
                                <w:tcPr>
                                  <w:tcW w:w="630" w:type="dxa"/>
                                </w:tcPr>
                                <w:p w14:paraId="04B0732D" w14:textId="77777777" w:rsidR="008B6335" w:rsidRPr="000077D4" w:rsidRDefault="008B6335" w:rsidP="008645A4">
                                  <w:pPr>
                                    <w:pStyle w:val="TableBodyText"/>
                                    <w:jc w:val="center"/>
                                    <w:rPr>
                                      <w:rFonts w:cs="Times New Roman"/>
                                    </w:rPr>
                                  </w:pPr>
                                  <w:r w:rsidRPr="000077D4">
                                    <w:t>0.26</w:t>
                                  </w:r>
                                </w:p>
                              </w:tc>
                            </w:tr>
                            <w:tr w:rsidR="008B6335" w:rsidRPr="000077D4" w14:paraId="7C17CBF5" w14:textId="77777777" w:rsidTr="008645A4">
                              <w:tc>
                                <w:tcPr>
                                  <w:tcW w:w="1525" w:type="dxa"/>
                                </w:tcPr>
                                <w:p w14:paraId="1414EC98" w14:textId="77777777" w:rsidR="008B6335" w:rsidRPr="000077D4" w:rsidRDefault="008B6335" w:rsidP="00431669">
                                  <w:pPr>
                                    <w:pStyle w:val="TableBodyText"/>
                                    <w:rPr>
                                      <w:highlight w:val="yellow"/>
                                    </w:rPr>
                                  </w:pPr>
                                  <w:r w:rsidRPr="000077D4">
                                    <w:rPr>
                                      <w:rFonts w:cs="Times New Roman"/>
                                    </w:rPr>
                                    <w:t>4000 to 4999</w:t>
                                  </w:r>
                                </w:p>
                              </w:tc>
                              <w:tc>
                                <w:tcPr>
                                  <w:tcW w:w="630" w:type="dxa"/>
                                </w:tcPr>
                                <w:p w14:paraId="01C54B28" w14:textId="77777777" w:rsidR="008B6335" w:rsidRPr="000077D4" w:rsidRDefault="008B6335" w:rsidP="008645A4">
                                  <w:pPr>
                                    <w:pStyle w:val="TableBodyText"/>
                                    <w:jc w:val="center"/>
                                    <w:rPr>
                                      <w:highlight w:val="yellow"/>
                                    </w:rPr>
                                  </w:pPr>
                                  <w:r w:rsidRPr="000077D4">
                                    <w:rPr>
                                      <w:rFonts w:cs="Times New Roman"/>
                                    </w:rPr>
                                    <w:t>0.45</w:t>
                                  </w:r>
                                </w:p>
                              </w:tc>
                              <w:tc>
                                <w:tcPr>
                                  <w:tcW w:w="1530" w:type="dxa"/>
                                </w:tcPr>
                                <w:p w14:paraId="08E0E767" w14:textId="77777777" w:rsidR="008B6335" w:rsidRPr="000077D4" w:rsidRDefault="008B6335" w:rsidP="00431669">
                                  <w:pPr>
                                    <w:pStyle w:val="TableBodyText"/>
                                    <w:rPr>
                                      <w:rFonts w:cs="Times New Roman"/>
                                    </w:rPr>
                                  </w:pPr>
                                  <w:r w:rsidRPr="000077D4">
                                    <w:rPr>
                                      <w:rFonts w:cs="Times New Roman"/>
                                    </w:rPr>
                                    <w:t>8000 to 9999</w:t>
                                  </w:r>
                                </w:p>
                              </w:tc>
                              <w:tc>
                                <w:tcPr>
                                  <w:tcW w:w="630" w:type="dxa"/>
                                </w:tcPr>
                                <w:p w14:paraId="371A03FD" w14:textId="77777777" w:rsidR="008B6335" w:rsidRPr="000077D4" w:rsidRDefault="008B6335" w:rsidP="008645A4">
                                  <w:pPr>
                                    <w:pStyle w:val="TableBodyText"/>
                                    <w:jc w:val="center"/>
                                    <w:rPr>
                                      <w:rFonts w:cs="Times New Roman"/>
                                    </w:rPr>
                                  </w:pPr>
                                  <w:r w:rsidRPr="000077D4">
                                    <w:t>10.27</w:t>
                                  </w:r>
                                </w:p>
                              </w:tc>
                            </w:tr>
                            <w:tr w:rsidR="008B6335" w:rsidRPr="000077D4" w14:paraId="26832895" w14:textId="77777777" w:rsidTr="008645A4">
                              <w:tc>
                                <w:tcPr>
                                  <w:tcW w:w="1525" w:type="dxa"/>
                                </w:tcPr>
                                <w:p w14:paraId="37F86EF0" w14:textId="77777777" w:rsidR="008B6335" w:rsidRPr="000077D4" w:rsidRDefault="008B6335" w:rsidP="00431669">
                                  <w:pPr>
                                    <w:pStyle w:val="TableBodyText"/>
                                    <w:rPr>
                                      <w:highlight w:val="yellow"/>
                                    </w:rPr>
                                  </w:pPr>
                                  <w:r w:rsidRPr="000077D4">
                                    <w:rPr>
                                      <w:rFonts w:cs="Times New Roman"/>
                                    </w:rPr>
                                    <w:t>5000 to 5999</w:t>
                                  </w:r>
                                </w:p>
                              </w:tc>
                              <w:tc>
                                <w:tcPr>
                                  <w:tcW w:w="630" w:type="dxa"/>
                                </w:tcPr>
                                <w:p w14:paraId="50C4CD9F" w14:textId="77777777" w:rsidR="008B6335" w:rsidRPr="000077D4" w:rsidRDefault="008B6335" w:rsidP="008645A4">
                                  <w:pPr>
                                    <w:pStyle w:val="TableBodyText"/>
                                    <w:jc w:val="center"/>
                                    <w:rPr>
                                      <w:highlight w:val="yellow"/>
                                    </w:rPr>
                                  </w:pPr>
                                  <w:r w:rsidRPr="000077D4">
                                    <w:rPr>
                                      <w:rFonts w:cs="Times New Roman"/>
                                    </w:rPr>
                                    <w:t>1.85</w:t>
                                  </w:r>
                                </w:p>
                              </w:tc>
                              <w:tc>
                                <w:tcPr>
                                  <w:tcW w:w="1530" w:type="dxa"/>
                                </w:tcPr>
                                <w:p w14:paraId="29111DD6" w14:textId="77777777" w:rsidR="008B6335" w:rsidRPr="000077D4" w:rsidRDefault="008B6335" w:rsidP="00431669">
                                  <w:pPr>
                                    <w:pStyle w:val="TableBodyText"/>
                                    <w:rPr>
                                      <w:rFonts w:cs="Times New Roman"/>
                                    </w:rPr>
                                  </w:pPr>
                                  <w:r w:rsidRPr="000077D4">
                                    <w:rPr>
                                      <w:rFonts w:cs="Times New Roman"/>
                                    </w:rPr>
                                    <w:t>10000 to 11999</w:t>
                                  </w:r>
                                </w:p>
                              </w:tc>
                              <w:tc>
                                <w:tcPr>
                                  <w:tcW w:w="630" w:type="dxa"/>
                                </w:tcPr>
                                <w:p w14:paraId="10B262C0" w14:textId="77777777" w:rsidR="008B6335" w:rsidRPr="000077D4" w:rsidRDefault="008B6335" w:rsidP="008645A4">
                                  <w:pPr>
                                    <w:pStyle w:val="TableBodyText"/>
                                    <w:jc w:val="center"/>
                                    <w:rPr>
                                      <w:rFonts w:cs="Times New Roman"/>
                                    </w:rPr>
                                  </w:pPr>
                                  <w:r w:rsidRPr="000077D4">
                                    <w:t>17.49</w:t>
                                  </w:r>
                                </w:p>
                              </w:tc>
                            </w:tr>
                            <w:tr w:rsidR="008B6335" w:rsidRPr="000077D4" w14:paraId="2C17D609" w14:textId="77777777" w:rsidTr="008645A4">
                              <w:tc>
                                <w:tcPr>
                                  <w:tcW w:w="1525" w:type="dxa"/>
                                </w:tcPr>
                                <w:p w14:paraId="10B8A4E3" w14:textId="77777777" w:rsidR="008B6335" w:rsidRPr="000077D4" w:rsidRDefault="008B6335" w:rsidP="00431669">
                                  <w:pPr>
                                    <w:pStyle w:val="TableBodyText"/>
                                    <w:rPr>
                                      <w:highlight w:val="yellow"/>
                                    </w:rPr>
                                  </w:pPr>
                                  <w:r w:rsidRPr="000077D4">
                                    <w:rPr>
                                      <w:rFonts w:cs="Times New Roman"/>
                                    </w:rPr>
                                    <w:t>6000 to 6999</w:t>
                                  </w:r>
                                </w:p>
                              </w:tc>
                              <w:tc>
                                <w:tcPr>
                                  <w:tcW w:w="630" w:type="dxa"/>
                                </w:tcPr>
                                <w:p w14:paraId="169A5A41" w14:textId="77777777" w:rsidR="008B6335" w:rsidRPr="000077D4" w:rsidRDefault="008B6335" w:rsidP="008645A4">
                                  <w:pPr>
                                    <w:pStyle w:val="TableBodyText"/>
                                    <w:jc w:val="center"/>
                                    <w:rPr>
                                      <w:highlight w:val="yellow"/>
                                    </w:rPr>
                                  </w:pPr>
                                  <w:r w:rsidRPr="000077D4">
                                    <w:rPr>
                                      <w:rFonts w:cs="Times New Roman"/>
                                    </w:rPr>
                                    <w:t>6.96</w:t>
                                  </w:r>
                                </w:p>
                              </w:tc>
                              <w:tc>
                                <w:tcPr>
                                  <w:tcW w:w="1530" w:type="dxa"/>
                                </w:tcPr>
                                <w:p w14:paraId="3A853586" w14:textId="77777777" w:rsidR="008B6335" w:rsidRPr="000077D4" w:rsidRDefault="008B6335" w:rsidP="00431669">
                                  <w:pPr>
                                    <w:pStyle w:val="TableBodyText"/>
                                    <w:rPr>
                                      <w:rFonts w:cs="Times New Roman"/>
                                    </w:rPr>
                                  </w:pPr>
                                  <w:r w:rsidRPr="000077D4">
                                    <w:rPr>
                                      <w:rFonts w:cs="Times New Roman"/>
                                    </w:rPr>
                                    <w:t>12000 to 13999</w:t>
                                  </w:r>
                                </w:p>
                              </w:tc>
                              <w:tc>
                                <w:tcPr>
                                  <w:tcW w:w="630" w:type="dxa"/>
                                </w:tcPr>
                                <w:p w14:paraId="23631B37" w14:textId="77777777" w:rsidR="008B6335" w:rsidRPr="000077D4" w:rsidRDefault="008B6335" w:rsidP="008645A4">
                                  <w:pPr>
                                    <w:pStyle w:val="TableBodyText"/>
                                    <w:jc w:val="center"/>
                                    <w:rPr>
                                      <w:rFonts w:cs="Times New Roman"/>
                                    </w:rPr>
                                  </w:pPr>
                                  <w:r w:rsidRPr="000077D4">
                                    <w:t>10.27</w:t>
                                  </w:r>
                                </w:p>
                              </w:tc>
                            </w:tr>
                            <w:tr w:rsidR="008B6335" w:rsidRPr="000077D4" w14:paraId="18405261" w14:textId="77777777" w:rsidTr="008645A4">
                              <w:tc>
                                <w:tcPr>
                                  <w:tcW w:w="1525" w:type="dxa"/>
                                </w:tcPr>
                                <w:p w14:paraId="297AF4EE" w14:textId="77777777" w:rsidR="008B6335" w:rsidRPr="000077D4" w:rsidRDefault="008B6335" w:rsidP="00431669">
                                  <w:pPr>
                                    <w:pStyle w:val="TableBodyText"/>
                                    <w:rPr>
                                      <w:highlight w:val="yellow"/>
                                    </w:rPr>
                                  </w:pPr>
                                  <w:r w:rsidRPr="000077D4">
                                    <w:rPr>
                                      <w:rFonts w:cs="Times New Roman"/>
                                    </w:rPr>
                                    <w:t>7000 to 7999</w:t>
                                  </w:r>
                                </w:p>
                              </w:tc>
                              <w:tc>
                                <w:tcPr>
                                  <w:tcW w:w="630" w:type="dxa"/>
                                </w:tcPr>
                                <w:p w14:paraId="6D132A3F" w14:textId="77777777" w:rsidR="008B6335" w:rsidRPr="000077D4" w:rsidRDefault="008B6335" w:rsidP="008645A4">
                                  <w:pPr>
                                    <w:pStyle w:val="TableBodyText"/>
                                    <w:jc w:val="center"/>
                                    <w:rPr>
                                      <w:highlight w:val="yellow"/>
                                    </w:rPr>
                                  </w:pPr>
                                  <w:r w:rsidRPr="000077D4">
                                    <w:rPr>
                                      <w:rFonts w:cs="Times New Roman"/>
                                    </w:rPr>
                                    <w:t>24.25</w:t>
                                  </w:r>
                                </w:p>
                              </w:tc>
                              <w:tc>
                                <w:tcPr>
                                  <w:tcW w:w="1530" w:type="dxa"/>
                                </w:tcPr>
                                <w:p w14:paraId="1348A049" w14:textId="77777777" w:rsidR="008B6335" w:rsidRPr="000077D4" w:rsidRDefault="008B6335" w:rsidP="00431669">
                                  <w:pPr>
                                    <w:pStyle w:val="TableBodyText"/>
                                    <w:rPr>
                                      <w:rFonts w:cs="Times New Roman"/>
                                    </w:rPr>
                                  </w:pPr>
                                  <w:r w:rsidRPr="000077D4">
                                    <w:rPr>
                                      <w:rFonts w:cs="Times New Roman"/>
                                    </w:rPr>
                                    <w:t>14000 to 15999</w:t>
                                  </w:r>
                                </w:p>
                              </w:tc>
                              <w:tc>
                                <w:tcPr>
                                  <w:tcW w:w="630" w:type="dxa"/>
                                </w:tcPr>
                                <w:p w14:paraId="6439CB7C" w14:textId="77777777" w:rsidR="008B6335" w:rsidRPr="000077D4" w:rsidRDefault="008B6335" w:rsidP="008645A4">
                                  <w:pPr>
                                    <w:pStyle w:val="TableBodyText"/>
                                    <w:jc w:val="center"/>
                                    <w:rPr>
                                      <w:rFonts w:cs="Times New Roman"/>
                                    </w:rPr>
                                  </w:pPr>
                                  <w:r w:rsidRPr="000077D4">
                                    <w:t>7.47</w:t>
                                  </w:r>
                                </w:p>
                              </w:tc>
                            </w:tr>
                            <w:tr w:rsidR="008B6335" w:rsidRPr="000077D4" w14:paraId="004C6B99" w14:textId="77777777" w:rsidTr="008645A4">
                              <w:tc>
                                <w:tcPr>
                                  <w:tcW w:w="1525" w:type="dxa"/>
                                </w:tcPr>
                                <w:p w14:paraId="76A51027" w14:textId="77777777" w:rsidR="008B6335" w:rsidRPr="000077D4" w:rsidRDefault="008B6335" w:rsidP="00431669">
                                  <w:pPr>
                                    <w:pStyle w:val="TableBodyText"/>
                                    <w:rPr>
                                      <w:highlight w:val="yellow"/>
                                    </w:rPr>
                                  </w:pPr>
                                  <w:r w:rsidRPr="000077D4">
                                    <w:rPr>
                                      <w:rFonts w:cs="Times New Roman"/>
                                    </w:rPr>
                                    <w:t>8000 to 8999</w:t>
                                  </w:r>
                                </w:p>
                              </w:tc>
                              <w:tc>
                                <w:tcPr>
                                  <w:tcW w:w="630" w:type="dxa"/>
                                </w:tcPr>
                                <w:p w14:paraId="35699BDC" w14:textId="77777777" w:rsidR="008B6335" w:rsidRPr="000077D4" w:rsidRDefault="008B6335" w:rsidP="008645A4">
                                  <w:pPr>
                                    <w:pStyle w:val="TableBodyText"/>
                                    <w:jc w:val="center"/>
                                    <w:rPr>
                                      <w:highlight w:val="yellow"/>
                                    </w:rPr>
                                  </w:pPr>
                                  <w:r w:rsidRPr="000077D4">
                                    <w:rPr>
                                      <w:rFonts w:cs="Times New Roman"/>
                                    </w:rPr>
                                    <w:t>36.50</w:t>
                                  </w:r>
                                </w:p>
                              </w:tc>
                              <w:tc>
                                <w:tcPr>
                                  <w:tcW w:w="1530" w:type="dxa"/>
                                </w:tcPr>
                                <w:p w14:paraId="2F8D0BC8" w14:textId="77777777" w:rsidR="008B6335" w:rsidRPr="000077D4" w:rsidRDefault="008B6335" w:rsidP="00431669">
                                  <w:pPr>
                                    <w:pStyle w:val="TableBodyText"/>
                                    <w:rPr>
                                      <w:rFonts w:cs="Times New Roman"/>
                                    </w:rPr>
                                  </w:pPr>
                                  <w:r w:rsidRPr="000077D4">
                                    <w:rPr>
                                      <w:rFonts w:cs="Times New Roman"/>
                                    </w:rPr>
                                    <w:t>16000 to 17999</w:t>
                                  </w:r>
                                </w:p>
                              </w:tc>
                              <w:tc>
                                <w:tcPr>
                                  <w:tcW w:w="630" w:type="dxa"/>
                                </w:tcPr>
                                <w:p w14:paraId="5109CEB9" w14:textId="77777777" w:rsidR="008B6335" w:rsidRPr="000077D4" w:rsidRDefault="008B6335" w:rsidP="008645A4">
                                  <w:pPr>
                                    <w:pStyle w:val="TableBodyText"/>
                                    <w:jc w:val="center"/>
                                    <w:rPr>
                                      <w:rFonts w:cs="Times New Roman"/>
                                    </w:rPr>
                                  </w:pPr>
                                  <w:r w:rsidRPr="000077D4">
                                    <w:t>6.00</w:t>
                                  </w:r>
                                </w:p>
                              </w:tc>
                            </w:tr>
                            <w:tr w:rsidR="008B6335" w:rsidRPr="000077D4" w14:paraId="6A39706F" w14:textId="77777777" w:rsidTr="008645A4">
                              <w:tc>
                                <w:tcPr>
                                  <w:tcW w:w="1525" w:type="dxa"/>
                                </w:tcPr>
                                <w:p w14:paraId="0EC87EA3" w14:textId="77777777" w:rsidR="008B6335" w:rsidRPr="000077D4" w:rsidRDefault="008B6335" w:rsidP="00431669">
                                  <w:pPr>
                                    <w:pStyle w:val="TableBodyText"/>
                                    <w:rPr>
                                      <w:highlight w:val="yellow"/>
                                    </w:rPr>
                                  </w:pPr>
                                  <w:r w:rsidRPr="000077D4">
                                    <w:rPr>
                                      <w:rFonts w:cs="Times New Roman"/>
                                    </w:rPr>
                                    <w:t>9000 to 9999</w:t>
                                  </w:r>
                                </w:p>
                              </w:tc>
                              <w:tc>
                                <w:tcPr>
                                  <w:tcW w:w="630" w:type="dxa"/>
                                </w:tcPr>
                                <w:p w14:paraId="3CAEF395" w14:textId="77777777" w:rsidR="008B6335" w:rsidRPr="000077D4" w:rsidRDefault="008B6335" w:rsidP="008645A4">
                                  <w:pPr>
                                    <w:pStyle w:val="TableBodyText"/>
                                    <w:jc w:val="center"/>
                                    <w:rPr>
                                      <w:highlight w:val="yellow"/>
                                    </w:rPr>
                                  </w:pPr>
                                  <w:r w:rsidRPr="000077D4">
                                    <w:rPr>
                                      <w:rFonts w:cs="Times New Roman"/>
                                    </w:rPr>
                                    <w:t>23.10</w:t>
                                  </w:r>
                                </w:p>
                              </w:tc>
                              <w:tc>
                                <w:tcPr>
                                  <w:tcW w:w="1530" w:type="dxa"/>
                                </w:tcPr>
                                <w:p w14:paraId="1EC35E19" w14:textId="77777777" w:rsidR="008B6335" w:rsidRPr="000077D4" w:rsidRDefault="008B6335" w:rsidP="00431669">
                                  <w:pPr>
                                    <w:pStyle w:val="TableBodyText"/>
                                    <w:rPr>
                                      <w:rFonts w:cs="Times New Roman"/>
                                    </w:rPr>
                                  </w:pPr>
                                  <w:r w:rsidRPr="000077D4">
                                    <w:rPr>
                                      <w:rFonts w:cs="Times New Roman"/>
                                    </w:rPr>
                                    <w:t>18000 to 19999</w:t>
                                  </w:r>
                                </w:p>
                              </w:tc>
                              <w:tc>
                                <w:tcPr>
                                  <w:tcW w:w="630" w:type="dxa"/>
                                </w:tcPr>
                                <w:p w14:paraId="47FDAF43" w14:textId="77777777" w:rsidR="008B6335" w:rsidRPr="000077D4" w:rsidRDefault="008B6335" w:rsidP="008645A4">
                                  <w:pPr>
                                    <w:pStyle w:val="TableBodyText"/>
                                    <w:jc w:val="center"/>
                                    <w:rPr>
                                      <w:rFonts w:cs="Times New Roman"/>
                                    </w:rPr>
                                  </w:pPr>
                                  <w:r w:rsidRPr="000077D4">
                                    <w:t>6.00</w:t>
                                  </w:r>
                                </w:p>
                              </w:tc>
                            </w:tr>
                            <w:tr w:rsidR="008B6335" w:rsidRPr="000077D4" w14:paraId="23658D03" w14:textId="77777777" w:rsidTr="008645A4">
                              <w:tc>
                                <w:tcPr>
                                  <w:tcW w:w="1525" w:type="dxa"/>
                                </w:tcPr>
                                <w:p w14:paraId="389B3D06" w14:textId="77777777" w:rsidR="008B6335" w:rsidRPr="000077D4" w:rsidRDefault="008B6335" w:rsidP="00431669">
                                  <w:pPr>
                                    <w:pStyle w:val="TableBodyText"/>
                                    <w:rPr>
                                      <w:highlight w:val="yellow"/>
                                    </w:rPr>
                                  </w:pPr>
                                  <w:r w:rsidRPr="000077D4">
                                    <w:rPr>
                                      <w:rFonts w:cs="Times New Roman"/>
                                    </w:rPr>
                                    <w:t>10000 to 10999</w:t>
                                  </w:r>
                                </w:p>
                              </w:tc>
                              <w:tc>
                                <w:tcPr>
                                  <w:tcW w:w="630" w:type="dxa"/>
                                </w:tcPr>
                                <w:p w14:paraId="3680DBD5" w14:textId="77777777" w:rsidR="008B6335" w:rsidRPr="000077D4" w:rsidRDefault="008B6335" w:rsidP="008645A4">
                                  <w:pPr>
                                    <w:pStyle w:val="TableBodyText"/>
                                    <w:jc w:val="center"/>
                                    <w:rPr>
                                      <w:highlight w:val="yellow"/>
                                    </w:rPr>
                                  </w:pPr>
                                  <w:r w:rsidRPr="000077D4">
                                    <w:rPr>
                                      <w:rFonts w:cs="Times New Roman"/>
                                    </w:rPr>
                                    <w:t>5.36</w:t>
                                  </w:r>
                                </w:p>
                              </w:tc>
                              <w:tc>
                                <w:tcPr>
                                  <w:tcW w:w="1530" w:type="dxa"/>
                                </w:tcPr>
                                <w:p w14:paraId="087E4D41" w14:textId="77777777" w:rsidR="008B6335" w:rsidRPr="000077D4" w:rsidRDefault="008B6335" w:rsidP="00431669">
                                  <w:pPr>
                                    <w:pStyle w:val="TableBodyText"/>
                                    <w:rPr>
                                      <w:rFonts w:cs="Times New Roman"/>
                                    </w:rPr>
                                  </w:pPr>
                                  <w:r w:rsidRPr="000077D4">
                                    <w:rPr>
                                      <w:rFonts w:cs="Times New Roman"/>
                                    </w:rPr>
                                    <w:t>20000 to 21999</w:t>
                                  </w:r>
                                </w:p>
                              </w:tc>
                              <w:tc>
                                <w:tcPr>
                                  <w:tcW w:w="630" w:type="dxa"/>
                                </w:tcPr>
                                <w:p w14:paraId="7066660A" w14:textId="77777777" w:rsidR="008B6335" w:rsidRPr="000077D4" w:rsidRDefault="008B6335" w:rsidP="008645A4">
                                  <w:pPr>
                                    <w:pStyle w:val="TableBodyText"/>
                                    <w:jc w:val="center"/>
                                    <w:rPr>
                                      <w:rFonts w:cs="Times New Roman"/>
                                    </w:rPr>
                                  </w:pPr>
                                  <w:r w:rsidRPr="000077D4">
                                    <w:t>5.68</w:t>
                                  </w:r>
                                </w:p>
                              </w:tc>
                            </w:tr>
                            <w:tr w:rsidR="008B6335" w:rsidRPr="000077D4" w14:paraId="57988C26" w14:textId="77777777" w:rsidTr="008645A4">
                              <w:tc>
                                <w:tcPr>
                                  <w:tcW w:w="1525" w:type="dxa"/>
                                </w:tcPr>
                                <w:p w14:paraId="09DF7DD7" w14:textId="77777777" w:rsidR="008B6335" w:rsidRPr="000077D4" w:rsidRDefault="008B6335" w:rsidP="00431669">
                                  <w:pPr>
                                    <w:pStyle w:val="TableBodyText"/>
                                    <w:rPr>
                                      <w:highlight w:val="yellow"/>
                                    </w:rPr>
                                  </w:pPr>
                                  <w:r w:rsidRPr="000077D4">
                                    <w:rPr>
                                      <w:rFonts w:cs="Times New Roman"/>
                                    </w:rPr>
                                    <w:t>11000 to 11999</w:t>
                                  </w:r>
                                </w:p>
                              </w:tc>
                              <w:tc>
                                <w:tcPr>
                                  <w:tcW w:w="630" w:type="dxa"/>
                                </w:tcPr>
                                <w:p w14:paraId="5DEB5B19" w14:textId="77777777" w:rsidR="008B6335" w:rsidRPr="000077D4" w:rsidRDefault="008B6335" w:rsidP="008645A4">
                                  <w:pPr>
                                    <w:pStyle w:val="TableBodyText"/>
                                    <w:jc w:val="center"/>
                                    <w:rPr>
                                      <w:highlight w:val="yellow"/>
                                    </w:rPr>
                                  </w:pPr>
                                  <w:r w:rsidRPr="000077D4">
                                    <w:rPr>
                                      <w:rFonts w:cs="Times New Roman"/>
                                    </w:rPr>
                                    <w:t>0.89</w:t>
                                  </w:r>
                                </w:p>
                              </w:tc>
                              <w:tc>
                                <w:tcPr>
                                  <w:tcW w:w="1530" w:type="dxa"/>
                                </w:tcPr>
                                <w:p w14:paraId="2912BE8D" w14:textId="77777777" w:rsidR="008B6335" w:rsidRPr="000077D4" w:rsidRDefault="008B6335" w:rsidP="00431669">
                                  <w:pPr>
                                    <w:pStyle w:val="TableBodyText"/>
                                    <w:rPr>
                                      <w:rFonts w:cs="Times New Roman"/>
                                    </w:rPr>
                                  </w:pPr>
                                  <w:r w:rsidRPr="000077D4">
                                    <w:rPr>
                                      <w:rFonts w:cs="Times New Roman"/>
                                    </w:rPr>
                                    <w:t>22000 to 23999</w:t>
                                  </w:r>
                                </w:p>
                              </w:tc>
                              <w:tc>
                                <w:tcPr>
                                  <w:tcW w:w="630" w:type="dxa"/>
                                </w:tcPr>
                                <w:p w14:paraId="4F24F359" w14:textId="77777777" w:rsidR="008B6335" w:rsidRPr="000077D4" w:rsidRDefault="008B6335" w:rsidP="008645A4">
                                  <w:pPr>
                                    <w:pStyle w:val="TableBodyText"/>
                                    <w:jc w:val="center"/>
                                    <w:rPr>
                                      <w:rFonts w:cs="Times New Roman"/>
                                    </w:rPr>
                                  </w:pPr>
                                  <w:r w:rsidRPr="000077D4">
                                    <w:t>5.23</w:t>
                                  </w:r>
                                </w:p>
                              </w:tc>
                            </w:tr>
                            <w:tr w:rsidR="008B6335" w:rsidRPr="000077D4" w14:paraId="48C7C68B" w14:textId="77777777" w:rsidTr="008645A4">
                              <w:tc>
                                <w:tcPr>
                                  <w:tcW w:w="1525" w:type="dxa"/>
                                </w:tcPr>
                                <w:p w14:paraId="12458073" w14:textId="77777777" w:rsidR="008B6335" w:rsidRPr="000077D4" w:rsidRDefault="008B6335" w:rsidP="00431669">
                                  <w:pPr>
                                    <w:pStyle w:val="TableBodyText"/>
                                    <w:rPr>
                                      <w:highlight w:val="yellow"/>
                                    </w:rPr>
                                  </w:pPr>
                                  <w:r w:rsidRPr="000077D4">
                                    <w:rPr>
                                      <w:rFonts w:cs="Times New Roman"/>
                                    </w:rPr>
                                    <w:t>12000 to 12999</w:t>
                                  </w:r>
                                </w:p>
                              </w:tc>
                              <w:tc>
                                <w:tcPr>
                                  <w:tcW w:w="630" w:type="dxa"/>
                                </w:tcPr>
                                <w:p w14:paraId="0F5D6BCF" w14:textId="77777777" w:rsidR="008B6335" w:rsidRPr="000077D4" w:rsidRDefault="008B6335" w:rsidP="008645A4">
                                  <w:pPr>
                                    <w:pStyle w:val="TableBodyText"/>
                                    <w:jc w:val="center"/>
                                    <w:rPr>
                                      <w:highlight w:val="yellow"/>
                                    </w:rPr>
                                  </w:pPr>
                                  <w:r w:rsidRPr="000077D4">
                                    <w:rPr>
                                      <w:rFonts w:cs="Times New Roman"/>
                                    </w:rPr>
                                    <w:t>0.26</w:t>
                                  </w:r>
                                </w:p>
                              </w:tc>
                              <w:tc>
                                <w:tcPr>
                                  <w:tcW w:w="1530" w:type="dxa"/>
                                </w:tcPr>
                                <w:p w14:paraId="0DFDA83D" w14:textId="77777777" w:rsidR="008B6335" w:rsidRPr="000077D4" w:rsidRDefault="008B6335" w:rsidP="00431669">
                                  <w:pPr>
                                    <w:pStyle w:val="TableBodyText"/>
                                    <w:rPr>
                                      <w:rFonts w:cs="Times New Roman"/>
                                    </w:rPr>
                                  </w:pPr>
                                  <w:r w:rsidRPr="000077D4">
                                    <w:rPr>
                                      <w:rFonts w:cs="Times New Roman"/>
                                    </w:rPr>
                                    <w:t>24000 to 25999</w:t>
                                  </w:r>
                                </w:p>
                              </w:tc>
                              <w:tc>
                                <w:tcPr>
                                  <w:tcW w:w="630" w:type="dxa"/>
                                </w:tcPr>
                                <w:p w14:paraId="572BDCF0" w14:textId="77777777" w:rsidR="008B6335" w:rsidRPr="000077D4" w:rsidRDefault="008B6335" w:rsidP="008645A4">
                                  <w:pPr>
                                    <w:pStyle w:val="TableBodyText"/>
                                    <w:jc w:val="center"/>
                                    <w:rPr>
                                      <w:rFonts w:cs="Times New Roman"/>
                                    </w:rPr>
                                  </w:pPr>
                                  <w:r w:rsidRPr="000077D4">
                                    <w:t>3.25</w:t>
                                  </w:r>
                                </w:p>
                              </w:tc>
                            </w:tr>
                            <w:tr w:rsidR="008B6335" w:rsidRPr="000077D4" w14:paraId="1994499B" w14:textId="77777777" w:rsidTr="008645A4">
                              <w:tc>
                                <w:tcPr>
                                  <w:tcW w:w="1525" w:type="dxa"/>
                                </w:tcPr>
                                <w:p w14:paraId="331896CB" w14:textId="77777777" w:rsidR="008B6335" w:rsidRPr="000077D4" w:rsidRDefault="008B6335" w:rsidP="00431669">
                                  <w:pPr>
                                    <w:pStyle w:val="TableBodyText"/>
                                    <w:rPr>
                                      <w:highlight w:val="yellow"/>
                                    </w:rPr>
                                  </w:pPr>
                                  <w:r w:rsidRPr="000077D4">
                                    <w:rPr>
                                      <w:rFonts w:cs="Times New Roman"/>
                                    </w:rPr>
                                    <w:t>13000 to 13999</w:t>
                                  </w:r>
                                </w:p>
                              </w:tc>
                              <w:tc>
                                <w:tcPr>
                                  <w:tcW w:w="630" w:type="dxa"/>
                                </w:tcPr>
                                <w:p w14:paraId="515DAA7C" w14:textId="77777777" w:rsidR="008B6335" w:rsidRPr="000077D4" w:rsidRDefault="008B6335" w:rsidP="008645A4">
                                  <w:pPr>
                                    <w:pStyle w:val="TableBodyText"/>
                                    <w:jc w:val="center"/>
                                    <w:rPr>
                                      <w:highlight w:val="yellow"/>
                                    </w:rPr>
                                  </w:pPr>
                                  <w:r w:rsidRPr="000077D4">
                                    <w:rPr>
                                      <w:rFonts w:cs="Times New Roman"/>
                                    </w:rPr>
                                    <w:t>0.06</w:t>
                                  </w:r>
                                </w:p>
                              </w:tc>
                              <w:tc>
                                <w:tcPr>
                                  <w:tcW w:w="1530" w:type="dxa"/>
                                </w:tcPr>
                                <w:p w14:paraId="11622E7E" w14:textId="77777777" w:rsidR="008B6335" w:rsidRPr="000077D4" w:rsidRDefault="008B6335" w:rsidP="00431669">
                                  <w:pPr>
                                    <w:pStyle w:val="TableBodyText"/>
                                    <w:rPr>
                                      <w:rFonts w:cs="Times New Roman"/>
                                    </w:rPr>
                                  </w:pPr>
                                  <w:r w:rsidRPr="000077D4">
                                    <w:rPr>
                                      <w:rFonts w:cs="Times New Roman"/>
                                    </w:rPr>
                                    <w:t>26000 to 27999</w:t>
                                  </w:r>
                                </w:p>
                              </w:tc>
                              <w:tc>
                                <w:tcPr>
                                  <w:tcW w:w="630" w:type="dxa"/>
                                </w:tcPr>
                                <w:p w14:paraId="7E9E4A46" w14:textId="77777777" w:rsidR="008B6335" w:rsidRPr="000077D4" w:rsidRDefault="008B6335" w:rsidP="008645A4">
                                  <w:pPr>
                                    <w:pStyle w:val="TableBodyText"/>
                                    <w:jc w:val="center"/>
                                    <w:rPr>
                                      <w:rFonts w:cs="Times New Roman"/>
                                    </w:rPr>
                                  </w:pPr>
                                  <w:r w:rsidRPr="000077D4">
                                    <w:t>3.57</w:t>
                                  </w:r>
                                </w:p>
                              </w:tc>
                            </w:tr>
                            <w:tr w:rsidR="008B6335" w:rsidRPr="000077D4" w14:paraId="053F76DC" w14:textId="77777777" w:rsidTr="008645A4">
                              <w:tc>
                                <w:tcPr>
                                  <w:tcW w:w="1525" w:type="dxa"/>
                                </w:tcPr>
                                <w:p w14:paraId="68D8819E" w14:textId="77777777" w:rsidR="008B6335" w:rsidRPr="000077D4" w:rsidRDefault="008B6335" w:rsidP="00431669">
                                  <w:pPr>
                                    <w:pStyle w:val="TableBodyText"/>
                                    <w:rPr>
                                      <w:highlight w:val="yellow"/>
                                    </w:rPr>
                                  </w:pPr>
                                  <w:r w:rsidRPr="000077D4">
                                    <w:rPr>
                                      <w:rFonts w:cs="Times New Roman"/>
                                    </w:rPr>
                                    <w:t>14000 to 14999</w:t>
                                  </w:r>
                                </w:p>
                              </w:tc>
                              <w:tc>
                                <w:tcPr>
                                  <w:tcW w:w="630" w:type="dxa"/>
                                </w:tcPr>
                                <w:p w14:paraId="54F18115" w14:textId="77777777" w:rsidR="008B6335" w:rsidRPr="000077D4" w:rsidRDefault="008B6335" w:rsidP="008645A4">
                                  <w:pPr>
                                    <w:pStyle w:val="TableBodyText"/>
                                    <w:jc w:val="center"/>
                                    <w:rPr>
                                      <w:highlight w:val="yellow"/>
                                    </w:rPr>
                                  </w:pPr>
                                  <w:r w:rsidRPr="000077D4">
                                    <w:rPr>
                                      <w:rFonts w:cs="Times New Roman"/>
                                    </w:rPr>
                                    <w:t>0.00</w:t>
                                  </w:r>
                                </w:p>
                              </w:tc>
                              <w:tc>
                                <w:tcPr>
                                  <w:tcW w:w="1530" w:type="dxa"/>
                                </w:tcPr>
                                <w:p w14:paraId="4FF1F80A" w14:textId="77777777" w:rsidR="008B6335" w:rsidRPr="000077D4" w:rsidRDefault="008B6335" w:rsidP="00431669">
                                  <w:pPr>
                                    <w:pStyle w:val="TableBodyText"/>
                                    <w:rPr>
                                      <w:rFonts w:cs="Times New Roman"/>
                                    </w:rPr>
                                  </w:pPr>
                                  <w:r w:rsidRPr="000077D4">
                                    <w:rPr>
                                      <w:rFonts w:cs="Times New Roman"/>
                                    </w:rPr>
                                    <w:t>28000 to 29999</w:t>
                                  </w:r>
                                </w:p>
                              </w:tc>
                              <w:tc>
                                <w:tcPr>
                                  <w:tcW w:w="630" w:type="dxa"/>
                                </w:tcPr>
                                <w:p w14:paraId="10C589AD" w14:textId="77777777" w:rsidR="008B6335" w:rsidRPr="000077D4" w:rsidRDefault="008B6335" w:rsidP="008645A4">
                                  <w:pPr>
                                    <w:pStyle w:val="TableBodyText"/>
                                    <w:jc w:val="center"/>
                                    <w:rPr>
                                      <w:rFonts w:cs="Times New Roman"/>
                                    </w:rPr>
                                  </w:pPr>
                                  <w:r w:rsidRPr="000077D4">
                                    <w:t>4.53</w:t>
                                  </w:r>
                                </w:p>
                              </w:tc>
                            </w:tr>
                            <w:tr w:rsidR="008B6335" w:rsidRPr="000077D4" w14:paraId="549F48D7" w14:textId="77777777" w:rsidTr="008645A4">
                              <w:tc>
                                <w:tcPr>
                                  <w:tcW w:w="1525" w:type="dxa"/>
                                </w:tcPr>
                                <w:p w14:paraId="6EBF948F" w14:textId="77777777" w:rsidR="008B6335" w:rsidRPr="000077D4" w:rsidRDefault="008B6335" w:rsidP="00431669">
                                  <w:pPr>
                                    <w:pStyle w:val="TableBodyText"/>
                                    <w:rPr>
                                      <w:rFonts w:cs="Times New Roman"/>
                                    </w:rPr>
                                  </w:pPr>
                                  <w:r w:rsidRPr="000077D4">
                                    <w:rPr>
                                      <w:rFonts w:cs="Times New Roman"/>
                                    </w:rPr>
                                    <w:t>15000 to 15999</w:t>
                                  </w:r>
                                </w:p>
                              </w:tc>
                              <w:tc>
                                <w:tcPr>
                                  <w:tcW w:w="630" w:type="dxa"/>
                                </w:tcPr>
                                <w:p w14:paraId="46B32C75" w14:textId="77777777" w:rsidR="008B6335" w:rsidRPr="000077D4" w:rsidRDefault="008B6335" w:rsidP="008645A4">
                                  <w:pPr>
                                    <w:pStyle w:val="TableBodyText"/>
                                    <w:jc w:val="center"/>
                                    <w:rPr>
                                      <w:rFonts w:cs="Times New Roman"/>
                                    </w:rPr>
                                  </w:pPr>
                                  <w:r w:rsidRPr="000077D4">
                                    <w:rPr>
                                      <w:rFonts w:cs="Times New Roman"/>
                                    </w:rPr>
                                    <w:t>0.00</w:t>
                                  </w:r>
                                </w:p>
                              </w:tc>
                              <w:tc>
                                <w:tcPr>
                                  <w:tcW w:w="1530" w:type="dxa"/>
                                </w:tcPr>
                                <w:p w14:paraId="62BD5DBE" w14:textId="77777777" w:rsidR="008B6335" w:rsidRPr="000077D4" w:rsidRDefault="008B6335" w:rsidP="00431669">
                                  <w:pPr>
                                    <w:pStyle w:val="TableBodyText"/>
                                    <w:rPr>
                                      <w:rFonts w:cs="Times New Roman"/>
                                    </w:rPr>
                                  </w:pPr>
                                  <w:r w:rsidRPr="000077D4">
                                    <w:rPr>
                                      <w:rFonts w:cs="Times New Roman"/>
                                    </w:rPr>
                                    <w:t>30000 to 31999</w:t>
                                  </w:r>
                                </w:p>
                              </w:tc>
                              <w:tc>
                                <w:tcPr>
                                  <w:tcW w:w="630" w:type="dxa"/>
                                </w:tcPr>
                                <w:p w14:paraId="15C228AE" w14:textId="77777777" w:rsidR="008B6335" w:rsidRPr="000077D4" w:rsidRDefault="008B6335" w:rsidP="008645A4">
                                  <w:pPr>
                                    <w:pStyle w:val="TableBodyText"/>
                                    <w:jc w:val="center"/>
                                  </w:pPr>
                                  <w:r w:rsidRPr="000077D4">
                                    <w:t>8.36</w:t>
                                  </w:r>
                                </w:p>
                              </w:tc>
                            </w:tr>
                            <w:tr w:rsidR="008B6335" w:rsidRPr="000077D4" w14:paraId="3D61F500" w14:textId="77777777" w:rsidTr="008645A4">
                              <w:tc>
                                <w:tcPr>
                                  <w:tcW w:w="1525" w:type="dxa"/>
                                </w:tcPr>
                                <w:p w14:paraId="7DBA51B1" w14:textId="77777777" w:rsidR="008B6335" w:rsidRPr="000077D4" w:rsidRDefault="008B6335" w:rsidP="00431669">
                                  <w:pPr>
                                    <w:pStyle w:val="TableBodyText"/>
                                    <w:rPr>
                                      <w:rFonts w:cs="Times New Roman"/>
                                    </w:rPr>
                                  </w:pPr>
                                  <w:r w:rsidRPr="000077D4">
                                    <w:rPr>
                                      <w:rFonts w:cs="Times New Roman"/>
                                    </w:rPr>
                                    <w:t>16000 to 16999</w:t>
                                  </w:r>
                                </w:p>
                              </w:tc>
                              <w:tc>
                                <w:tcPr>
                                  <w:tcW w:w="630" w:type="dxa"/>
                                </w:tcPr>
                                <w:p w14:paraId="6FDD0196" w14:textId="77777777" w:rsidR="008B6335" w:rsidRPr="000077D4" w:rsidRDefault="008B6335" w:rsidP="008645A4">
                                  <w:pPr>
                                    <w:pStyle w:val="TableBodyText"/>
                                    <w:jc w:val="center"/>
                                    <w:rPr>
                                      <w:rFonts w:cs="Times New Roman"/>
                                    </w:rPr>
                                  </w:pPr>
                                  <w:r w:rsidRPr="000077D4">
                                    <w:rPr>
                                      <w:rFonts w:cs="Times New Roman"/>
                                    </w:rPr>
                                    <w:t>0.00</w:t>
                                  </w:r>
                                </w:p>
                              </w:tc>
                              <w:tc>
                                <w:tcPr>
                                  <w:tcW w:w="1530" w:type="dxa"/>
                                </w:tcPr>
                                <w:p w14:paraId="0C92D54D" w14:textId="77777777" w:rsidR="008B6335" w:rsidRPr="000077D4" w:rsidRDefault="008B6335" w:rsidP="00431669">
                                  <w:pPr>
                                    <w:pStyle w:val="TableBodyText"/>
                                    <w:rPr>
                                      <w:rFonts w:cs="Times New Roman"/>
                                    </w:rPr>
                                  </w:pPr>
                                  <w:r w:rsidRPr="000077D4">
                                    <w:rPr>
                                      <w:rFonts w:cs="Times New Roman"/>
                                    </w:rPr>
                                    <w:t>32000 to 33999</w:t>
                                  </w:r>
                                </w:p>
                              </w:tc>
                              <w:tc>
                                <w:tcPr>
                                  <w:tcW w:w="630" w:type="dxa"/>
                                </w:tcPr>
                                <w:p w14:paraId="780D9D8C" w14:textId="77777777" w:rsidR="008B6335" w:rsidRPr="000077D4" w:rsidRDefault="008B6335" w:rsidP="008645A4">
                                  <w:pPr>
                                    <w:pStyle w:val="TableBodyText"/>
                                    <w:jc w:val="center"/>
                                  </w:pPr>
                                  <w:r w:rsidRPr="000077D4">
                                    <w:t>7.28</w:t>
                                  </w:r>
                                </w:p>
                              </w:tc>
                            </w:tr>
                            <w:tr w:rsidR="008B6335" w:rsidRPr="000077D4" w14:paraId="1079724C" w14:textId="77777777" w:rsidTr="008645A4">
                              <w:tc>
                                <w:tcPr>
                                  <w:tcW w:w="1525" w:type="dxa"/>
                                </w:tcPr>
                                <w:p w14:paraId="7200E5A0" w14:textId="77777777" w:rsidR="008B6335" w:rsidRPr="000077D4" w:rsidRDefault="008B6335" w:rsidP="00431669">
                                  <w:pPr>
                                    <w:pStyle w:val="TableBodyText"/>
                                    <w:rPr>
                                      <w:rFonts w:cs="Times New Roman"/>
                                    </w:rPr>
                                  </w:pPr>
                                  <w:r w:rsidRPr="000077D4">
                                    <w:rPr>
                                      <w:rFonts w:cs="Times New Roman"/>
                                    </w:rPr>
                                    <w:t>17000 to 17999</w:t>
                                  </w:r>
                                </w:p>
                              </w:tc>
                              <w:tc>
                                <w:tcPr>
                                  <w:tcW w:w="630" w:type="dxa"/>
                                </w:tcPr>
                                <w:p w14:paraId="27762928" w14:textId="77777777" w:rsidR="008B6335" w:rsidRPr="000077D4" w:rsidRDefault="008B6335" w:rsidP="008645A4">
                                  <w:pPr>
                                    <w:pStyle w:val="TableBodyText"/>
                                    <w:jc w:val="center"/>
                                    <w:rPr>
                                      <w:rFonts w:cs="Times New Roman"/>
                                    </w:rPr>
                                  </w:pPr>
                                  <w:r w:rsidRPr="000077D4">
                                    <w:rPr>
                                      <w:rFonts w:cs="Times New Roman"/>
                                    </w:rPr>
                                    <w:t>0.00</w:t>
                                  </w:r>
                                </w:p>
                              </w:tc>
                              <w:tc>
                                <w:tcPr>
                                  <w:tcW w:w="1530" w:type="dxa"/>
                                </w:tcPr>
                                <w:p w14:paraId="7B15AB16" w14:textId="77777777" w:rsidR="008B6335" w:rsidRPr="000077D4" w:rsidRDefault="008B6335" w:rsidP="00431669">
                                  <w:pPr>
                                    <w:pStyle w:val="TableBodyText"/>
                                    <w:rPr>
                                      <w:rFonts w:cs="Times New Roman"/>
                                    </w:rPr>
                                  </w:pPr>
                                  <w:r w:rsidRPr="000077D4">
                                    <w:rPr>
                                      <w:rFonts w:cs="Times New Roman"/>
                                    </w:rPr>
                                    <w:t>34000 to 35999</w:t>
                                  </w:r>
                                </w:p>
                              </w:tc>
                              <w:tc>
                                <w:tcPr>
                                  <w:tcW w:w="630" w:type="dxa"/>
                                </w:tcPr>
                                <w:p w14:paraId="095156BE" w14:textId="77777777" w:rsidR="008B6335" w:rsidRPr="000077D4" w:rsidRDefault="008B6335" w:rsidP="008645A4">
                                  <w:pPr>
                                    <w:pStyle w:val="TableBodyText"/>
                                    <w:jc w:val="center"/>
                                  </w:pPr>
                                  <w:r w:rsidRPr="000077D4">
                                    <w:t>2.43</w:t>
                                  </w:r>
                                </w:p>
                              </w:tc>
                            </w:tr>
                            <w:tr w:rsidR="008B6335" w:rsidRPr="000077D4" w14:paraId="1484BBC7" w14:textId="77777777" w:rsidTr="008645A4">
                              <w:tc>
                                <w:tcPr>
                                  <w:tcW w:w="1525" w:type="dxa"/>
                                </w:tcPr>
                                <w:p w14:paraId="1E2274B9" w14:textId="77777777" w:rsidR="008B6335" w:rsidRPr="000077D4" w:rsidRDefault="008B6335" w:rsidP="00431669">
                                  <w:pPr>
                                    <w:pStyle w:val="TableBodyText"/>
                                    <w:rPr>
                                      <w:rFonts w:cs="Times New Roman"/>
                                    </w:rPr>
                                  </w:pPr>
                                  <w:r w:rsidRPr="000077D4">
                                    <w:rPr>
                                      <w:rFonts w:cs="Times New Roman"/>
                                    </w:rPr>
                                    <w:t>18000 to 18999</w:t>
                                  </w:r>
                                </w:p>
                              </w:tc>
                              <w:tc>
                                <w:tcPr>
                                  <w:tcW w:w="630" w:type="dxa"/>
                                </w:tcPr>
                                <w:p w14:paraId="2AE4B001" w14:textId="77777777" w:rsidR="008B6335" w:rsidRPr="000077D4" w:rsidRDefault="008B6335" w:rsidP="008645A4">
                                  <w:pPr>
                                    <w:pStyle w:val="TableBodyText"/>
                                    <w:jc w:val="center"/>
                                    <w:rPr>
                                      <w:rFonts w:cs="Times New Roman"/>
                                    </w:rPr>
                                  </w:pPr>
                                  <w:r w:rsidRPr="000077D4">
                                    <w:rPr>
                                      <w:rFonts w:cs="Times New Roman"/>
                                    </w:rPr>
                                    <w:t>0.00</w:t>
                                  </w:r>
                                </w:p>
                              </w:tc>
                              <w:tc>
                                <w:tcPr>
                                  <w:tcW w:w="1530" w:type="dxa"/>
                                </w:tcPr>
                                <w:p w14:paraId="2240E531" w14:textId="77777777" w:rsidR="008B6335" w:rsidRPr="000077D4" w:rsidRDefault="008B6335" w:rsidP="00431669">
                                  <w:pPr>
                                    <w:pStyle w:val="TableBodyText"/>
                                    <w:rPr>
                                      <w:rFonts w:cs="Times New Roman"/>
                                    </w:rPr>
                                  </w:pPr>
                                  <w:r w:rsidRPr="000077D4">
                                    <w:rPr>
                                      <w:rFonts w:cs="Times New Roman"/>
                                    </w:rPr>
                                    <w:t>36000 to 37999</w:t>
                                  </w:r>
                                </w:p>
                              </w:tc>
                              <w:tc>
                                <w:tcPr>
                                  <w:tcW w:w="630" w:type="dxa"/>
                                </w:tcPr>
                                <w:p w14:paraId="2EA53F93" w14:textId="77777777" w:rsidR="008B6335" w:rsidRPr="000077D4" w:rsidRDefault="008B6335" w:rsidP="008645A4">
                                  <w:pPr>
                                    <w:pStyle w:val="TableBodyText"/>
                                    <w:jc w:val="center"/>
                                  </w:pPr>
                                  <w:r w:rsidRPr="000077D4">
                                    <w:t>1.40</w:t>
                                  </w:r>
                                </w:p>
                              </w:tc>
                            </w:tr>
                            <w:tr w:rsidR="008B6335" w:rsidRPr="000077D4" w14:paraId="0763A1FB" w14:textId="77777777" w:rsidTr="008645A4">
                              <w:tc>
                                <w:tcPr>
                                  <w:tcW w:w="1525" w:type="dxa"/>
                                </w:tcPr>
                                <w:p w14:paraId="43247ECF" w14:textId="77777777" w:rsidR="008B6335" w:rsidRPr="000077D4" w:rsidRDefault="008B6335" w:rsidP="00431669">
                                  <w:pPr>
                                    <w:pStyle w:val="TableBodyText"/>
                                    <w:rPr>
                                      <w:rFonts w:cs="Times New Roman"/>
                                    </w:rPr>
                                  </w:pPr>
                                  <w:r w:rsidRPr="000077D4">
                                    <w:rPr>
                                      <w:rFonts w:cs="Times New Roman"/>
                                    </w:rPr>
                                    <w:t>19000 to 19999</w:t>
                                  </w:r>
                                </w:p>
                              </w:tc>
                              <w:tc>
                                <w:tcPr>
                                  <w:tcW w:w="630" w:type="dxa"/>
                                </w:tcPr>
                                <w:p w14:paraId="6A21A9E8" w14:textId="77777777" w:rsidR="008B6335" w:rsidRPr="000077D4" w:rsidRDefault="008B6335" w:rsidP="008645A4">
                                  <w:pPr>
                                    <w:pStyle w:val="TableBodyText"/>
                                    <w:jc w:val="center"/>
                                    <w:rPr>
                                      <w:rFonts w:cs="Times New Roman"/>
                                    </w:rPr>
                                  </w:pPr>
                                  <w:r w:rsidRPr="000077D4">
                                    <w:rPr>
                                      <w:rFonts w:cs="Times New Roman"/>
                                    </w:rPr>
                                    <w:t>0.00</w:t>
                                  </w:r>
                                </w:p>
                              </w:tc>
                              <w:tc>
                                <w:tcPr>
                                  <w:tcW w:w="1530" w:type="dxa"/>
                                </w:tcPr>
                                <w:p w14:paraId="288019E6" w14:textId="77777777" w:rsidR="008B6335" w:rsidRPr="000077D4" w:rsidRDefault="008B6335" w:rsidP="00431669">
                                  <w:pPr>
                                    <w:pStyle w:val="TableBodyText"/>
                                    <w:rPr>
                                      <w:rFonts w:cs="Times New Roman"/>
                                    </w:rPr>
                                  </w:pPr>
                                  <w:r w:rsidRPr="000077D4">
                                    <w:rPr>
                                      <w:rFonts w:cs="Times New Roman"/>
                                    </w:rPr>
                                    <w:t>38000 to 39999</w:t>
                                  </w:r>
                                </w:p>
                              </w:tc>
                              <w:tc>
                                <w:tcPr>
                                  <w:tcW w:w="630" w:type="dxa"/>
                                </w:tcPr>
                                <w:p w14:paraId="556E669E" w14:textId="77777777" w:rsidR="008B6335" w:rsidRPr="000077D4" w:rsidRDefault="008B6335" w:rsidP="008645A4">
                                  <w:pPr>
                                    <w:pStyle w:val="TableBodyText"/>
                                    <w:jc w:val="center"/>
                                  </w:pPr>
                                  <w:r w:rsidRPr="000077D4">
                                    <w:t>0.26</w:t>
                                  </w:r>
                                </w:p>
                              </w:tc>
                            </w:tr>
                            <w:tr w:rsidR="008B6335" w:rsidRPr="000077D4" w14:paraId="568A1850" w14:textId="77777777" w:rsidTr="008645A4">
                              <w:tc>
                                <w:tcPr>
                                  <w:tcW w:w="1525" w:type="dxa"/>
                                </w:tcPr>
                                <w:p w14:paraId="1449C0D9" w14:textId="77777777" w:rsidR="008B6335" w:rsidRPr="000077D4" w:rsidRDefault="008B6335" w:rsidP="00431669">
                                  <w:pPr>
                                    <w:pStyle w:val="TableBodyText"/>
                                    <w:rPr>
                                      <w:rFonts w:cs="Times New Roman"/>
                                    </w:rPr>
                                  </w:pPr>
                                  <w:r w:rsidRPr="000077D4">
                                    <w:rPr>
                                      <w:rFonts w:cs="Times New Roman"/>
                                    </w:rPr>
                                    <w:t>20000 to 20999</w:t>
                                  </w:r>
                                </w:p>
                              </w:tc>
                              <w:tc>
                                <w:tcPr>
                                  <w:tcW w:w="630" w:type="dxa"/>
                                </w:tcPr>
                                <w:p w14:paraId="6C78142E" w14:textId="77777777" w:rsidR="008B6335" w:rsidRPr="000077D4" w:rsidRDefault="008B6335" w:rsidP="008645A4">
                                  <w:pPr>
                                    <w:pStyle w:val="TableBodyText"/>
                                    <w:jc w:val="center"/>
                                    <w:rPr>
                                      <w:rFonts w:cs="Times New Roman"/>
                                    </w:rPr>
                                  </w:pPr>
                                  <w:r w:rsidRPr="000077D4">
                                    <w:rPr>
                                      <w:rFonts w:cs="Times New Roman"/>
                                    </w:rPr>
                                    <w:t>0.00</w:t>
                                  </w:r>
                                </w:p>
                              </w:tc>
                              <w:tc>
                                <w:tcPr>
                                  <w:tcW w:w="1530" w:type="dxa"/>
                                </w:tcPr>
                                <w:p w14:paraId="55AB1043" w14:textId="77777777" w:rsidR="008B6335" w:rsidRPr="000077D4" w:rsidRDefault="008B6335" w:rsidP="00431669">
                                  <w:pPr>
                                    <w:pStyle w:val="TableBodyText"/>
                                    <w:rPr>
                                      <w:rFonts w:cs="Times New Roman"/>
                                    </w:rPr>
                                  </w:pPr>
                                  <w:r w:rsidRPr="000077D4">
                                    <w:rPr>
                                      <w:rFonts w:cs="Times New Roman"/>
                                    </w:rPr>
                                    <w:t>40000 to 41999</w:t>
                                  </w:r>
                                </w:p>
                              </w:tc>
                              <w:tc>
                                <w:tcPr>
                                  <w:tcW w:w="630" w:type="dxa"/>
                                </w:tcPr>
                                <w:p w14:paraId="1E9BB561" w14:textId="77777777" w:rsidR="008B6335" w:rsidRPr="000077D4" w:rsidRDefault="008B6335" w:rsidP="008645A4">
                                  <w:pPr>
                                    <w:pStyle w:val="TableBodyText"/>
                                    <w:jc w:val="center"/>
                                  </w:pPr>
                                  <w:r w:rsidRPr="000077D4">
                                    <w:t>0.13</w:t>
                                  </w:r>
                                </w:p>
                              </w:tc>
                            </w:tr>
                            <w:tr w:rsidR="008B6335" w:rsidRPr="000077D4" w14:paraId="20A1E315" w14:textId="77777777" w:rsidTr="008645A4">
                              <w:tc>
                                <w:tcPr>
                                  <w:tcW w:w="1525" w:type="dxa"/>
                                </w:tcPr>
                                <w:p w14:paraId="0AD3993F" w14:textId="77777777" w:rsidR="008B6335" w:rsidRPr="000077D4" w:rsidRDefault="008B6335" w:rsidP="00431669">
                                  <w:pPr>
                                    <w:pStyle w:val="TableBodyText"/>
                                    <w:rPr>
                                      <w:rFonts w:cs="Times New Roman"/>
                                    </w:rPr>
                                  </w:pPr>
                                  <w:r w:rsidRPr="000077D4">
                                    <w:rPr>
                                      <w:rFonts w:cs="Times New Roman"/>
                                    </w:rPr>
                                    <w:t>21000 or more</w:t>
                                  </w:r>
                                </w:p>
                              </w:tc>
                              <w:tc>
                                <w:tcPr>
                                  <w:tcW w:w="630" w:type="dxa"/>
                                </w:tcPr>
                                <w:p w14:paraId="72AAB3BD" w14:textId="77777777" w:rsidR="008B6335" w:rsidRPr="000077D4" w:rsidRDefault="008B6335" w:rsidP="008645A4">
                                  <w:pPr>
                                    <w:pStyle w:val="TableBodyText"/>
                                    <w:jc w:val="center"/>
                                    <w:rPr>
                                      <w:rFonts w:cs="Times New Roman"/>
                                    </w:rPr>
                                  </w:pPr>
                                  <w:r w:rsidRPr="000077D4">
                                    <w:rPr>
                                      <w:rFonts w:cs="Times New Roman"/>
                                    </w:rPr>
                                    <w:t>0.00</w:t>
                                  </w:r>
                                </w:p>
                              </w:tc>
                              <w:tc>
                                <w:tcPr>
                                  <w:tcW w:w="1530" w:type="dxa"/>
                                </w:tcPr>
                                <w:p w14:paraId="19BE6029" w14:textId="77777777" w:rsidR="008B6335" w:rsidRPr="000077D4" w:rsidRDefault="008B6335" w:rsidP="00431669">
                                  <w:pPr>
                                    <w:pStyle w:val="TableBodyText"/>
                                    <w:rPr>
                                      <w:rFonts w:cs="Times New Roman"/>
                                    </w:rPr>
                                  </w:pPr>
                                  <w:r w:rsidRPr="000077D4">
                                    <w:rPr>
                                      <w:rFonts w:cs="Times New Roman"/>
                                    </w:rPr>
                                    <w:t>42000 or more</w:t>
                                  </w:r>
                                </w:p>
                              </w:tc>
                              <w:tc>
                                <w:tcPr>
                                  <w:tcW w:w="630" w:type="dxa"/>
                                </w:tcPr>
                                <w:p w14:paraId="377BBA2B" w14:textId="77777777" w:rsidR="008B6335" w:rsidRPr="000077D4" w:rsidRDefault="008B6335" w:rsidP="008645A4">
                                  <w:pPr>
                                    <w:pStyle w:val="TableBodyText"/>
                                    <w:jc w:val="center"/>
                                  </w:pPr>
                                  <w:r w:rsidRPr="000077D4">
                                    <w:t>0.00</w:t>
                                  </w:r>
                                </w:p>
                              </w:tc>
                            </w:tr>
                          </w:tbl>
                          <w:p w14:paraId="7D915FD6" w14:textId="77777777" w:rsidR="008B6335" w:rsidRDefault="008B6335" w:rsidP="008B6335"/>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F73AEB5" id="_x0000_s1101" type="#_x0000_t202" style="position:absolute;margin-left:251.7pt;margin-top:18.5pt;width:219.3pt;height:363.6pt;z-index:251711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" stroked="f">
                <v:textbox inset="0,0,0,0">
                  <w:txbxContent>
                    <w:p w14:paraId="0560A5C2" w14:textId="266C0181" w:rsidR="008B6335" w:rsidRDefault="008B6335" w:rsidP="008B6335">
                      <w:pPr>
                        <w:pStyle w:val="TMGTableCaption"/>
                        <w:spacing w:before="0"/>
                      </w:pPr>
                      <w:bookmarkStart w:id="1874" w:name="_Ref114750040"/>
                      <w:bookmarkStart w:id="1875" w:name="_Toc54784719"/>
                      <w:bookmarkStart w:id="1876" w:name="_Toc68874118"/>
                      <w:bookmarkStart w:id="1877" w:name="_Toc114474831"/>
                      <w:bookmarkStart w:id="1878" w:name="_Toc120631137"/>
                      <w:r>
                        <w:t xml:space="preserve">Table </w:t>
                      </w:r>
                      <w:fldSimple w:instr=" STYLEREF 1 \s ">
                        <w:r w:rsidR="00FC0E95">
                          <w:rPr>
                            <w:noProof/>
                          </w:rPr>
                          <w:t>3</w:t>
                        </w:r>
                      </w:fldSimple>
                      <w:r>
                        <w:noBreakHyphen/>
                      </w:r>
                      <w:fldSimple w:instr=" SEQ Table \* ARABIC \s 1 ">
                        <w:r w:rsidR="00FC0E95">
                          <w:rPr>
                            <w:noProof/>
                          </w:rPr>
                          <w:t>11</w:t>
                        </w:r>
                      </w:fldSimple>
                      <w:bookmarkEnd w:id="1874"/>
                      <w:r w:rsidR="00352273">
                        <w:t>.</w:t>
                      </w:r>
                      <w:r>
                        <w:t xml:space="preserve"> </w:t>
                      </w:r>
                      <w:r w:rsidRPr="003279D3">
                        <w:t xml:space="preserve">Example </w:t>
                      </w:r>
                      <w:r>
                        <w:t>o</w:t>
                      </w:r>
                      <w:r w:rsidRPr="003279D3">
                        <w:t xml:space="preserve">f </w:t>
                      </w:r>
                      <w:r w:rsidR="006C17FD">
                        <w:t>a</w:t>
                      </w:r>
                      <w:r w:rsidRPr="003279D3">
                        <w:t xml:space="preserve"> Normalized Load Spectrum </w:t>
                      </w:r>
                      <w:r>
                        <w:t>f</w:t>
                      </w:r>
                      <w:r w:rsidRPr="003279D3">
                        <w:t xml:space="preserve">or Vehicle Class 9 Single </w:t>
                      </w:r>
                      <w:r>
                        <w:t>a</w:t>
                      </w:r>
                      <w:r w:rsidRPr="003279D3">
                        <w:t>nd Tandem</w:t>
                      </w:r>
                      <w:r w:rsidR="0085404A">
                        <w:t> </w:t>
                      </w:r>
                      <w:r w:rsidRPr="003279D3">
                        <w:t xml:space="preserve">Axles </w:t>
                      </w:r>
                      <w:r w:rsidR="00352273">
                        <w:t>f</w:t>
                      </w:r>
                      <w:r w:rsidRPr="003279D3">
                        <w:t>rom FDOT</w:t>
                      </w:r>
                      <w:bookmarkEnd w:id="1875"/>
                      <w:bookmarkEnd w:id="1876"/>
                      <w:bookmarkEnd w:id="1877"/>
                      <w:bookmarkEnd w:id="1878"/>
                    </w:p>
                    <w:tbl>
                      <w:tblPr>
                        <w:tblStyle w:val="DataFormatTable"/>
                        <w:tblW w:w="0" w:type="auto"/>
                        <w:tblLayout w:type="fixed"/>
                        <w:tblCellMar>
                          <w:left w:w="86" w:type="dxa"/>
                          <w:right w:w="86" w:type="dxa"/>
                        </w:tblCellMar>
                        <w:tblLook w:val="04A0" w:firstRow="1" w:lastRow="0" w:firstColumn="1" w:lastColumn="0" w:noHBand="0" w:noVBand="1"/>
                      </w:tblPr>
                      <w:tblGrid>
                        <w:gridCol w:w="1525"/>
                        <w:gridCol w:w="630"/>
                        <w:gridCol w:w="1530"/>
                        <w:gridCol w:w="630"/>
                      </w:tblGrid>
                      <w:tr w:rsidR="008B6335" w:rsidRPr="000077D4" w14:paraId="33D24875" w14:textId="77777777" w:rsidTr="009309D7">
                        <w:trPr>
                          <w:trHeight w:val="80"/>
                        </w:trPr>
                        <w:tc>
                          <w:tcPr>
                            <w:tcW w:w="2155" w:type="dxa"/>
                            <w:gridSpan w:val="2"/>
                            <w:tcBorders>
                              <w:bottom w:val="single" w:sz="4" w:space="0" w:color="FFFFFF" w:themeColor="background1"/>
                              <w:right w:val="single" w:sz="4" w:space="0" w:color="FFFFFF" w:themeColor="background1"/>
                            </w:tcBorders>
                            <w:shd w:val="clear" w:color="auto" w:fill="1F3864"/>
                          </w:tcPr>
                          <w:p w14:paraId="67C3C08B" w14:textId="77777777" w:rsidR="008B6335" w:rsidRPr="004859C8" w:rsidRDefault="008B6335" w:rsidP="00431669">
                            <w:pPr>
                              <w:pStyle w:val="TableBodyText"/>
                              <w:jc w:val="center"/>
                              <w:rPr>
                                <w:b/>
                                <w:bCs/>
                                <w:color w:val="FFFFFF" w:themeColor="background1"/>
                              </w:rPr>
                            </w:pPr>
                            <w:r w:rsidRPr="004859C8">
                              <w:rPr>
                                <w:b/>
                                <w:bCs/>
                                <w:color w:val="FFFFFF" w:themeColor="background1"/>
                              </w:rPr>
                              <w:t>Steering Axle Distribution</w:t>
                            </w:r>
                          </w:p>
                        </w:tc>
                        <w:tc>
                          <w:tcPr>
                            <w:tcW w:w="2160" w:type="dxa"/>
                            <w:gridSpan w:val="2"/>
                            <w:tcBorders>
                              <w:left w:val="single" w:sz="4" w:space="0" w:color="FFFFFF" w:themeColor="background1"/>
                              <w:bottom w:val="single" w:sz="4" w:space="0" w:color="FFFFFF" w:themeColor="background1"/>
                            </w:tcBorders>
                            <w:shd w:val="clear" w:color="auto" w:fill="1F3864"/>
                          </w:tcPr>
                          <w:p w14:paraId="5BBE6FC2" w14:textId="77777777" w:rsidR="008B6335" w:rsidRPr="004859C8" w:rsidRDefault="008B6335" w:rsidP="00431669">
                            <w:pPr>
                              <w:pStyle w:val="TableBodyText"/>
                              <w:jc w:val="center"/>
                              <w:rPr>
                                <w:b/>
                                <w:bCs/>
                                <w:color w:val="FFFFFF" w:themeColor="background1"/>
                              </w:rPr>
                            </w:pPr>
                            <w:r w:rsidRPr="004859C8">
                              <w:rPr>
                                <w:b/>
                                <w:bCs/>
                                <w:color w:val="FFFFFF" w:themeColor="background1"/>
                              </w:rPr>
                              <w:t>Tandem Axle Distribution</w:t>
                            </w:r>
                          </w:p>
                        </w:tc>
                      </w:tr>
                      <w:tr w:rsidR="008B6335" w:rsidRPr="000077D4" w14:paraId="5849F194" w14:textId="77777777" w:rsidTr="009309D7">
                        <w:trPr>
                          <w:trHeight w:val="80"/>
                        </w:trPr>
                        <w:tc>
                          <w:tcPr>
                            <w:tcW w:w="1525" w:type="dxa"/>
                            <w:tcBorders>
                              <w:top w:val="single" w:sz="4" w:space="0" w:color="FFFFFF" w:themeColor="background1"/>
                              <w:right w:val="single" w:sz="4" w:space="0" w:color="FFFFFF" w:themeColor="background1"/>
                            </w:tcBorders>
                            <w:shd w:val="clear" w:color="auto" w:fill="1F3864"/>
                          </w:tcPr>
                          <w:p w14:paraId="25328852" w14:textId="77777777" w:rsidR="008B6335" w:rsidRPr="004859C8" w:rsidRDefault="008B6335" w:rsidP="00431669">
                            <w:pPr>
                              <w:pStyle w:val="TableBodyText"/>
                              <w:jc w:val="center"/>
                              <w:rPr>
                                <w:b/>
                                <w:bCs/>
                                <w:color w:val="FFFFFF" w:themeColor="background1"/>
                              </w:rPr>
                            </w:pPr>
                            <w:r w:rsidRPr="004859C8">
                              <w:rPr>
                                <w:b/>
                                <w:bCs/>
                                <w:color w:val="FFFFFF" w:themeColor="background1"/>
                              </w:rPr>
                              <w:t>Load Bin, lb</w:t>
                            </w:r>
                          </w:p>
                        </w:tc>
                        <w:tc>
                          <w:tcPr>
                            <w:tcW w:w="630" w:type="dxa"/>
                            <w:tcBorders>
                              <w:top w:val="single" w:sz="4" w:space="0" w:color="FFFFFF" w:themeColor="background1"/>
                              <w:left w:val="single" w:sz="4" w:space="0" w:color="FFFFFF" w:themeColor="background1"/>
                              <w:right w:val="single" w:sz="4" w:space="0" w:color="FFFFFF" w:themeColor="background1"/>
                            </w:tcBorders>
                            <w:shd w:val="clear" w:color="auto" w:fill="1F3864"/>
                          </w:tcPr>
                          <w:p w14:paraId="1EA48722" w14:textId="77777777" w:rsidR="008B6335" w:rsidRPr="004859C8" w:rsidRDefault="008B6335" w:rsidP="00431669">
                            <w:pPr>
                              <w:pStyle w:val="TableBodyText"/>
                              <w:jc w:val="center"/>
                              <w:rPr>
                                <w:b/>
                                <w:bCs/>
                                <w:color w:val="FFFFFF" w:themeColor="background1"/>
                              </w:rPr>
                            </w:pPr>
                            <w:r w:rsidRPr="004859C8">
                              <w:rPr>
                                <w:b/>
                                <w:bCs/>
                                <w:color w:val="FFFFFF" w:themeColor="background1"/>
                              </w:rPr>
                              <w:t>%</w:t>
                            </w:r>
                          </w:p>
                        </w:tc>
                        <w:tc>
                          <w:tcPr>
                            <w:tcW w:w="1530" w:type="dxa"/>
                            <w:tcBorders>
                              <w:top w:val="single" w:sz="4" w:space="0" w:color="FFFFFF" w:themeColor="background1"/>
                              <w:left w:val="single" w:sz="4" w:space="0" w:color="FFFFFF" w:themeColor="background1"/>
                              <w:right w:val="single" w:sz="4" w:space="0" w:color="FFFFFF" w:themeColor="background1"/>
                            </w:tcBorders>
                            <w:shd w:val="clear" w:color="auto" w:fill="1F3864"/>
                          </w:tcPr>
                          <w:p w14:paraId="28E0F8EC" w14:textId="77777777" w:rsidR="008B6335" w:rsidRPr="004859C8" w:rsidRDefault="008B6335" w:rsidP="00431669">
                            <w:pPr>
                              <w:pStyle w:val="TableBodyText"/>
                              <w:jc w:val="center"/>
                              <w:rPr>
                                <w:b/>
                                <w:bCs/>
                                <w:color w:val="FFFFFF" w:themeColor="background1"/>
                              </w:rPr>
                            </w:pPr>
                            <w:r w:rsidRPr="004859C8">
                              <w:rPr>
                                <w:b/>
                                <w:bCs/>
                                <w:color w:val="FFFFFF" w:themeColor="background1"/>
                              </w:rPr>
                              <w:t>Load Bin, lb</w:t>
                            </w:r>
                          </w:p>
                        </w:tc>
                        <w:tc>
                          <w:tcPr>
                            <w:tcW w:w="630" w:type="dxa"/>
                            <w:tcBorders>
                              <w:top w:val="single" w:sz="4" w:space="0" w:color="FFFFFF" w:themeColor="background1"/>
                              <w:left w:val="single" w:sz="4" w:space="0" w:color="FFFFFF" w:themeColor="background1"/>
                            </w:tcBorders>
                            <w:shd w:val="clear" w:color="auto" w:fill="1F3864"/>
                          </w:tcPr>
                          <w:p w14:paraId="59BA39D8" w14:textId="77777777" w:rsidR="008B6335" w:rsidRPr="004859C8" w:rsidRDefault="008B6335" w:rsidP="00431669">
                            <w:pPr>
                              <w:pStyle w:val="TableBodyText"/>
                              <w:jc w:val="center"/>
                              <w:rPr>
                                <w:b/>
                                <w:bCs/>
                                <w:color w:val="FFFFFF" w:themeColor="background1"/>
                              </w:rPr>
                            </w:pPr>
                            <w:r w:rsidRPr="004859C8">
                              <w:rPr>
                                <w:b/>
                                <w:bCs/>
                                <w:color w:val="FFFFFF" w:themeColor="background1"/>
                              </w:rPr>
                              <w:t>%</w:t>
                            </w:r>
                          </w:p>
                        </w:tc>
                      </w:tr>
                      <w:tr w:rsidR="008B6335" w:rsidRPr="000077D4" w14:paraId="5D8990CF" w14:textId="77777777" w:rsidTr="008645A4">
                        <w:tc>
                          <w:tcPr>
                            <w:tcW w:w="1525" w:type="dxa"/>
                          </w:tcPr>
                          <w:p w14:paraId="27C59A00" w14:textId="2A710483" w:rsidR="008B6335" w:rsidRPr="000077D4" w:rsidRDefault="008B6335" w:rsidP="00431669">
                            <w:pPr>
                              <w:pStyle w:val="TableBodyText"/>
                            </w:pPr>
                            <w:r w:rsidRPr="000077D4">
                              <w:rPr>
                                <w:rFonts w:cs="Times New Roman"/>
                              </w:rPr>
                              <w:t xml:space="preserve">0 to </w:t>
                            </w:r>
                            <w:r w:rsidR="006C17FD">
                              <w:rPr>
                                <w:rFonts w:cs="Times New Roman"/>
                              </w:rPr>
                              <w:t>999</w:t>
                            </w:r>
                          </w:p>
                        </w:tc>
                        <w:tc>
                          <w:tcPr>
                            <w:tcW w:w="630" w:type="dxa"/>
                          </w:tcPr>
                          <w:p w14:paraId="62B1C6AB" w14:textId="77777777" w:rsidR="008B6335" w:rsidRPr="000077D4" w:rsidRDefault="008B6335" w:rsidP="008645A4">
                            <w:pPr>
                              <w:pStyle w:val="TableBodyText"/>
                              <w:jc w:val="center"/>
                            </w:pPr>
                            <w:r w:rsidRPr="000077D4">
                              <w:rPr>
                                <w:rFonts w:cs="Times New Roman"/>
                              </w:rPr>
                              <w:t>0.00</w:t>
                            </w:r>
                          </w:p>
                        </w:tc>
                        <w:tc>
                          <w:tcPr>
                            <w:tcW w:w="1530" w:type="dxa"/>
                          </w:tcPr>
                          <w:p w14:paraId="591F71B3" w14:textId="77777777" w:rsidR="008B6335" w:rsidRPr="000077D4" w:rsidRDefault="008B6335" w:rsidP="00431669">
                            <w:pPr>
                              <w:pStyle w:val="TableBodyText"/>
                              <w:rPr>
                                <w:rFonts w:cs="Times New Roman"/>
                              </w:rPr>
                            </w:pPr>
                            <w:r w:rsidRPr="000077D4">
                              <w:rPr>
                                <w:rFonts w:cs="Times New Roman"/>
                              </w:rPr>
                              <w:t>0 to 1999</w:t>
                            </w:r>
                          </w:p>
                        </w:tc>
                        <w:tc>
                          <w:tcPr>
                            <w:tcW w:w="630" w:type="dxa"/>
                          </w:tcPr>
                          <w:p w14:paraId="2659C93B" w14:textId="77777777" w:rsidR="008B6335" w:rsidRPr="000077D4" w:rsidRDefault="008B6335" w:rsidP="008645A4">
                            <w:pPr>
                              <w:pStyle w:val="TableBodyText"/>
                              <w:jc w:val="center"/>
                              <w:rPr>
                                <w:rFonts w:cs="Times New Roman"/>
                              </w:rPr>
                            </w:pPr>
                            <w:r w:rsidRPr="000077D4">
                              <w:t>0.00</w:t>
                            </w:r>
                          </w:p>
                        </w:tc>
                      </w:tr>
                      <w:tr w:rsidR="008B6335" w:rsidRPr="000077D4" w14:paraId="5B491AAC" w14:textId="77777777" w:rsidTr="008645A4">
                        <w:tc>
                          <w:tcPr>
                            <w:tcW w:w="1525" w:type="dxa"/>
                          </w:tcPr>
                          <w:p w14:paraId="01852DC5" w14:textId="77777777" w:rsidR="008B6335" w:rsidRPr="000077D4" w:rsidRDefault="008B6335" w:rsidP="00431669">
                            <w:pPr>
                              <w:pStyle w:val="TableBodyText"/>
                            </w:pPr>
                            <w:r w:rsidRPr="000077D4">
                              <w:rPr>
                                <w:rFonts w:cs="Times New Roman"/>
                              </w:rPr>
                              <w:t>1000 to 1999</w:t>
                            </w:r>
                          </w:p>
                        </w:tc>
                        <w:tc>
                          <w:tcPr>
                            <w:tcW w:w="630" w:type="dxa"/>
                          </w:tcPr>
                          <w:p w14:paraId="6D398680" w14:textId="77777777" w:rsidR="008B6335" w:rsidRPr="000077D4" w:rsidRDefault="008B6335" w:rsidP="008645A4">
                            <w:pPr>
                              <w:pStyle w:val="TableBodyText"/>
                              <w:jc w:val="center"/>
                            </w:pPr>
                            <w:r w:rsidRPr="000077D4">
                              <w:rPr>
                                <w:rFonts w:cs="Times New Roman"/>
                              </w:rPr>
                              <w:t>0.06</w:t>
                            </w:r>
                          </w:p>
                        </w:tc>
                        <w:tc>
                          <w:tcPr>
                            <w:tcW w:w="1530" w:type="dxa"/>
                          </w:tcPr>
                          <w:p w14:paraId="52E9D596" w14:textId="77777777" w:rsidR="008B6335" w:rsidRPr="000077D4" w:rsidRDefault="008B6335" w:rsidP="00431669">
                            <w:pPr>
                              <w:pStyle w:val="TableBodyText"/>
                              <w:rPr>
                                <w:rFonts w:cs="Times New Roman"/>
                              </w:rPr>
                            </w:pPr>
                            <w:r w:rsidRPr="000077D4">
                              <w:rPr>
                                <w:rFonts w:cs="Times New Roman"/>
                              </w:rPr>
                              <w:t>2000 to 3999</w:t>
                            </w:r>
                          </w:p>
                        </w:tc>
                        <w:tc>
                          <w:tcPr>
                            <w:tcW w:w="630" w:type="dxa"/>
                          </w:tcPr>
                          <w:p w14:paraId="6FB3AEE3" w14:textId="77777777" w:rsidR="008B6335" w:rsidRPr="000077D4" w:rsidRDefault="008B6335" w:rsidP="008645A4">
                            <w:pPr>
                              <w:pStyle w:val="TableBodyText"/>
                              <w:jc w:val="center"/>
                              <w:rPr>
                                <w:rFonts w:cs="Times New Roman"/>
                              </w:rPr>
                            </w:pPr>
                            <w:r w:rsidRPr="000077D4">
                              <w:t>0.00</w:t>
                            </w:r>
                          </w:p>
                        </w:tc>
                      </w:tr>
                      <w:tr w:rsidR="008B6335" w:rsidRPr="000077D4" w14:paraId="2FE54044" w14:textId="77777777" w:rsidTr="008645A4">
                        <w:tc>
                          <w:tcPr>
                            <w:tcW w:w="1525" w:type="dxa"/>
                          </w:tcPr>
                          <w:p w14:paraId="1E911B04" w14:textId="77777777" w:rsidR="008B6335" w:rsidRPr="000077D4" w:rsidRDefault="008B6335" w:rsidP="00431669">
                            <w:pPr>
                              <w:pStyle w:val="TableBodyText"/>
                            </w:pPr>
                            <w:r w:rsidRPr="000077D4">
                              <w:rPr>
                                <w:rFonts w:cs="Times New Roman"/>
                              </w:rPr>
                              <w:t>2000 to 2999</w:t>
                            </w:r>
                          </w:p>
                        </w:tc>
                        <w:tc>
                          <w:tcPr>
                            <w:tcW w:w="630" w:type="dxa"/>
                          </w:tcPr>
                          <w:p w14:paraId="3FC63CD3" w14:textId="77777777" w:rsidR="008B6335" w:rsidRPr="000077D4" w:rsidRDefault="008B6335" w:rsidP="008645A4">
                            <w:pPr>
                              <w:pStyle w:val="TableBodyText"/>
                              <w:jc w:val="center"/>
                            </w:pPr>
                            <w:r w:rsidRPr="000077D4">
                              <w:rPr>
                                <w:rFonts w:cs="Times New Roman"/>
                              </w:rPr>
                              <w:t>0.06</w:t>
                            </w:r>
                          </w:p>
                        </w:tc>
                        <w:tc>
                          <w:tcPr>
                            <w:tcW w:w="1530" w:type="dxa"/>
                          </w:tcPr>
                          <w:p w14:paraId="3318325C" w14:textId="77777777" w:rsidR="008B6335" w:rsidRPr="000077D4" w:rsidRDefault="008B6335" w:rsidP="00431669">
                            <w:pPr>
                              <w:pStyle w:val="TableBodyText"/>
                              <w:rPr>
                                <w:rFonts w:cs="Times New Roman"/>
                              </w:rPr>
                            </w:pPr>
                            <w:r w:rsidRPr="000077D4">
                              <w:rPr>
                                <w:rFonts w:cs="Times New Roman"/>
                              </w:rPr>
                              <w:t>4000 to 5999</w:t>
                            </w:r>
                          </w:p>
                        </w:tc>
                        <w:tc>
                          <w:tcPr>
                            <w:tcW w:w="630" w:type="dxa"/>
                          </w:tcPr>
                          <w:p w14:paraId="4250C6BE" w14:textId="77777777" w:rsidR="008B6335" w:rsidRPr="000077D4" w:rsidRDefault="008B6335" w:rsidP="008645A4">
                            <w:pPr>
                              <w:pStyle w:val="TableBodyText"/>
                              <w:jc w:val="center"/>
                              <w:rPr>
                                <w:rFonts w:cs="Times New Roman"/>
                              </w:rPr>
                            </w:pPr>
                            <w:r w:rsidRPr="000077D4">
                              <w:t>0.13</w:t>
                            </w:r>
                          </w:p>
                        </w:tc>
                      </w:tr>
                      <w:tr w:rsidR="008B6335" w:rsidRPr="000077D4" w14:paraId="003F365B" w14:textId="77777777" w:rsidTr="008645A4">
                        <w:tc>
                          <w:tcPr>
                            <w:tcW w:w="1525" w:type="dxa"/>
                          </w:tcPr>
                          <w:p w14:paraId="08DF30FF" w14:textId="77777777" w:rsidR="008B6335" w:rsidRPr="000077D4" w:rsidRDefault="008B6335" w:rsidP="00431669">
                            <w:pPr>
                              <w:pStyle w:val="TableBodyText"/>
                              <w:rPr>
                                <w:highlight w:val="yellow"/>
                              </w:rPr>
                            </w:pPr>
                            <w:r w:rsidRPr="000077D4">
                              <w:rPr>
                                <w:rFonts w:cs="Times New Roman"/>
                              </w:rPr>
                              <w:t>3000 to 3999</w:t>
                            </w:r>
                          </w:p>
                        </w:tc>
                        <w:tc>
                          <w:tcPr>
                            <w:tcW w:w="630" w:type="dxa"/>
                          </w:tcPr>
                          <w:p w14:paraId="75675444" w14:textId="77777777" w:rsidR="008B6335" w:rsidRPr="000077D4" w:rsidRDefault="008B6335" w:rsidP="008645A4">
                            <w:pPr>
                              <w:pStyle w:val="TableBodyText"/>
                              <w:jc w:val="center"/>
                              <w:rPr>
                                <w:highlight w:val="yellow"/>
                              </w:rPr>
                            </w:pPr>
                            <w:r w:rsidRPr="000077D4">
                              <w:rPr>
                                <w:rFonts w:cs="Times New Roman"/>
                              </w:rPr>
                              <w:t>0.19</w:t>
                            </w:r>
                          </w:p>
                        </w:tc>
                        <w:tc>
                          <w:tcPr>
                            <w:tcW w:w="1530" w:type="dxa"/>
                          </w:tcPr>
                          <w:p w14:paraId="1818A64C" w14:textId="77777777" w:rsidR="008B6335" w:rsidRPr="000077D4" w:rsidRDefault="008B6335" w:rsidP="00431669">
                            <w:pPr>
                              <w:pStyle w:val="TableBodyText"/>
                              <w:rPr>
                                <w:rFonts w:cs="Times New Roman"/>
                              </w:rPr>
                            </w:pPr>
                            <w:r w:rsidRPr="000077D4">
                              <w:rPr>
                                <w:rFonts w:cs="Times New Roman"/>
                              </w:rPr>
                              <w:t>6000 to 7999</w:t>
                            </w:r>
                          </w:p>
                        </w:tc>
                        <w:tc>
                          <w:tcPr>
                            <w:tcW w:w="630" w:type="dxa"/>
                          </w:tcPr>
                          <w:p w14:paraId="04B0732D" w14:textId="77777777" w:rsidR="008B6335" w:rsidRPr="000077D4" w:rsidRDefault="008B6335" w:rsidP="008645A4">
                            <w:pPr>
                              <w:pStyle w:val="TableBodyText"/>
                              <w:jc w:val="center"/>
                              <w:rPr>
                                <w:rFonts w:cs="Times New Roman"/>
                              </w:rPr>
                            </w:pPr>
                            <w:r w:rsidRPr="000077D4">
                              <w:t>0.26</w:t>
                            </w:r>
                          </w:p>
                        </w:tc>
                      </w:tr>
                      <w:tr w:rsidR="008B6335" w:rsidRPr="000077D4" w14:paraId="7C17CBF5" w14:textId="77777777" w:rsidTr="008645A4">
                        <w:tc>
                          <w:tcPr>
                            <w:tcW w:w="1525" w:type="dxa"/>
                          </w:tcPr>
                          <w:p w14:paraId="1414EC98" w14:textId="77777777" w:rsidR="008B6335" w:rsidRPr="000077D4" w:rsidRDefault="008B6335" w:rsidP="00431669">
                            <w:pPr>
                              <w:pStyle w:val="TableBodyText"/>
                              <w:rPr>
                                <w:highlight w:val="yellow"/>
                              </w:rPr>
                            </w:pPr>
                            <w:r w:rsidRPr="000077D4">
                              <w:rPr>
                                <w:rFonts w:cs="Times New Roman"/>
                              </w:rPr>
                              <w:t>4000 to 4999</w:t>
                            </w:r>
                          </w:p>
                        </w:tc>
                        <w:tc>
                          <w:tcPr>
                            <w:tcW w:w="630" w:type="dxa"/>
                          </w:tcPr>
                          <w:p w14:paraId="01C54B28" w14:textId="77777777" w:rsidR="008B6335" w:rsidRPr="000077D4" w:rsidRDefault="008B6335" w:rsidP="008645A4">
                            <w:pPr>
                              <w:pStyle w:val="TableBodyText"/>
                              <w:jc w:val="center"/>
                              <w:rPr>
                                <w:highlight w:val="yellow"/>
                              </w:rPr>
                            </w:pPr>
                            <w:r w:rsidRPr="000077D4">
                              <w:rPr>
                                <w:rFonts w:cs="Times New Roman"/>
                              </w:rPr>
                              <w:t>0.45</w:t>
                            </w:r>
                          </w:p>
                        </w:tc>
                        <w:tc>
                          <w:tcPr>
                            <w:tcW w:w="1530" w:type="dxa"/>
                          </w:tcPr>
                          <w:p w14:paraId="08E0E767" w14:textId="77777777" w:rsidR="008B6335" w:rsidRPr="000077D4" w:rsidRDefault="008B6335" w:rsidP="00431669">
                            <w:pPr>
                              <w:pStyle w:val="TableBodyText"/>
                              <w:rPr>
                                <w:rFonts w:cs="Times New Roman"/>
                              </w:rPr>
                            </w:pPr>
                            <w:r w:rsidRPr="000077D4">
                              <w:rPr>
                                <w:rFonts w:cs="Times New Roman"/>
                              </w:rPr>
                              <w:t>8000 to 9999</w:t>
                            </w:r>
                          </w:p>
                        </w:tc>
                        <w:tc>
                          <w:tcPr>
                            <w:tcW w:w="630" w:type="dxa"/>
                          </w:tcPr>
                          <w:p w14:paraId="371A03FD" w14:textId="77777777" w:rsidR="008B6335" w:rsidRPr="000077D4" w:rsidRDefault="008B6335" w:rsidP="008645A4">
                            <w:pPr>
                              <w:pStyle w:val="TableBodyText"/>
                              <w:jc w:val="center"/>
                              <w:rPr>
                                <w:rFonts w:cs="Times New Roman"/>
                              </w:rPr>
                            </w:pPr>
                            <w:r w:rsidRPr="000077D4">
                              <w:t>10.27</w:t>
                            </w:r>
                          </w:p>
                        </w:tc>
                      </w:tr>
                      <w:tr w:rsidR="008B6335" w:rsidRPr="000077D4" w14:paraId="26832895" w14:textId="77777777" w:rsidTr="008645A4">
                        <w:tc>
                          <w:tcPr>
                            <w:tcW w:w="1525" w:type="dxa"/>
                          </w:tcPr>
                          <w:p w14:paraId="37F86EF0" w14:textId="77777777" w:rsidR="008B6335" w:rsidRPr="000077D4" w:rsidRDefault="008B6335" w:rsidP="00431669">
                            <w:pPr>
                              <w:pStyle w:val="TableBodyText"/>
                              <w:rPr>
                                <w:highlight w:val="yellow"/>
                              </w:rPr>
                            </w:pPr>
                            <w:r w:rsidRPr="000077D4">
                              <w:rPr>
                                <w:rFonts w:cs="Times New Roman"/>
                              </w:rPr>
                              <w:t>5000 to 5999</w:t>
                            </w:r>
                          </w:p>
                        </w:tc>
                        <w:tc>
                          <w:tcPr>
                            <w:tcW w:w="630" w:type="dxa"/>
                          </w:tcPr>
                          <w:p w14:paraId="50C4CD9F" w14:textId="77777777" w:rsidR="008B6335" w:rsidRPr="000077D4" w:rsidRDefault="008B6335" w:rsidP="008645A4">
                            <w:pPr>
                              <w:pStyle w:val="TableBodyText"/>
                              <w:jc w:val="center"/>
                              <w:rPr>
                                <w:highlight w:val="yellow"/>
                              </w:rPr>
                            </w:pPr>
                            <w:r w:rsidRPr="000077D4">
                              <w:rPr>
                                <w:rFonts w:cs="Times New Roman"/>
                              </w:rPr>
                              <w:t>1.85</w:t>
                            </w:r>
                          </w:p>
                        </w:tc>
                        <w:tc>
                          <w:tcPr>
                            <w:tcW w:w="1530" w:type="dxa"/>
                          </w:tcPr>
                          <w:p w14:paraId="29111DD6" w14:textId="77777777" w:rsidR="008B6335" w:rsidRPr="000077D4" w:rsidRDefault="008B6335" w:rsidP="00431669">
                            <w:pPr>
                              <w:pStyle w:val="TableBodyText"/>
                              <w:rPr>
                                <w:rFonts w:cs="Times New Roman"/>
                              </w:rPr>
                            </w:pPr>
                            <w:r w:rsidRPr="000077D4">
                              <w:rPr>
                                <w:rFonts w:cs="Times New Roman"/>
                              </w:rPr>
                              <w:t>10000 to 11999</w:t>
                            </w:r>
                          </w:p>
                        </w:tc>
                        <w:tc>
                          <w:tcPr>
                            <w:tcW w:w="630" w:type="dxa"/>
                          </w:tcPr>
                          <w:p w14:paraId="10B262C0" w14:textId="77777777" w:rsidR="008B6335" w:rsidRPr="000077D4" w:rsidRDefault="008B6335" w:rsidP="008645A4">
                            <w:pPr>
                              <w:pStyle w:val="TableBodyText"/>
                              <w:jc w:val="center"/>
                              <w:rPr>
                                <w:rFonts w:cs="Times New Roman"/>
                              </w:rPr>
                            </w:pPr>
                            <w:r w:rsidRPr="000077D4">
                              <w:t>17.49</w:t>
                            </w:r>
                          </w:p>
                        </w:tc>
                      </w:tr>
                      <w:tr w:rsidR="008B6335" w:rsidRPr="000077D4" w14:paraId="2C17D609" w14:textId="77777777" w:rsidTr="008645A4">
                        <w:tc>
                          <w:tcPr>
                            <w:tcW w:w="1525" w:type="dxa"/>
                          </w:tcPr>
                          <w:p w14:paraId="10B8A4E3" w14:textId="77777777" w:rsidR="008B6335" w:rsidRPr="000077D4" w:rsidRDefault="008B6335" w:rsidP="00431669">
                            <w:pPr>
                              <w:pStyle w:val="TableBodyText"/>
                              <w:rPr>
                                <w:highlight w:val="yellow"/>
                              </w:rPr>
                            </w:pPr>
                            <w:r w:rsidRPr="000077D4">
                              <w:rPr>
                                <w:rFonts w:cs="Times New Roman"/>
                              </w:rPr>
                              <w:t>6000 to 6999</w:t>
                            </w:r>
                          </w:p>
                        </w:tc>
                        <w:tc>
                          <w:tcPr>
                            <w:tcW w:w="630" w:type="dxa"/>
                          </w:tcPr>
                          <w:p w14:paraId="169A5A41" w14:textId="77777777" w:rsidR="008B6335" w:rsidRPr="000077D4" w:rsidRDefault="008B6335" w:rsidP="008645A4">
                            <w:pPr>
                              <w:pStyle w:val="TableBodyText"/>
                              <w:jc w:val="center"/>
                              <w:rPr>
                                <w:highlight w:val="yellow"/>
                              </w:rPr>
                            </w:pPr>
                            <w:r w:rsidRPr="000077D4">
                              <w:rPr>
                                <w:rFonts w:cs="Times New Roman"/>
                              </w:rPr>
                              <w:t>6.96</w:t>
                            </w:r>
                          </w:p>
                        </w:tc>
                        <w:tc>
                          <w:tcPr>
                            <w:tcW w:w="1530" w:type="dxa"/>
                          </w:tcPr>
                          <w:p w14:paraId="3A853586" w14:textId="77777777" w:rsidR="008B6335" w:rsidRPr="000077D4" w:rsidRDefault="008B6335" w:rsidP="00431669">
                            <w:pPr>
                              <w:pStyle w:val="TableBodyText"/>
                              <w:rPr>
                                <w:rFonts w:cs="Times New Roman"/>
                              </w:rPr>
                            </w:pPr>
                            <w:r w:rsidRPr="000077D4">
                              <w:rPr>
                                <w:rFonts w:cs="Times New Roman"/>
                              </w:rPr>
                              <w:t>12000 to 13999</w:t>
                            </w:r>
                          </w:p>
                        </w:tc>
                        <w:tc>
                          <w:tcPr>
                            <w:tcW w:w="630" w:type="dxa"/>
                          </w:tcPr>
                          <w:p w14:paraId="23631B37" w14:textId="77777777" w:rsidR="008B6335" w:rsidRPr="000077D4" w:rsidRDefault="008B6335" w:rsidP="008645A4">
                            <w:pPr>
                              <w:pStyle w:val="TableBodyText"/>
                              <w:jc w:val="center"/>
                              <w:rPr>
                                <w:rFonts w:cs="Times New Roman"/>
                              </w:rPr>
                            </w:pPr>
                            <w:r w:rsidRPr="000077D4">
                              <w:t>10.27</w:t>
                            </w:r>
                          </w:p>
                        </w:tc>
                      </w:tr>
                      <w:tr w:rsidR="008B6335" w:rsidRPr="000077D4" w14:paraId="18405261" w14:textId="77777777" w:rsidTr="008645A4">
                        <w:tc>
                          <w:tcPr>
                            <w:tcW w:w="1525" w:type="dxa"/>
                          </w:tcPr>
                          <w:p w14:paraId="297AF4EE" w14:textId="77777777" w:rsidR="008B6335" w:rsidRPr="000077D4" w:rsidRDefault="008B6335" w:rsidP="00431669">
                            <w:pPr>
                              <w:pStyle w:val="TableBodyText"/>
                              <w:rPr>
                                <w:highlight w:val="yellow"/>
                              </w:rPr>
                            </w:pPr>
                            <w:r w:rsidRPr="000077D4">
                              <w:rPr>
                                <w:rFonts w:cs="Times New Roman"/>
                              </w:rPr>
                              <w:t>7000 to 7999</w:t>
                            </w:r>
                          </w:p>
                        </w:tc>
                        <w:tc>
                          <w:tcPr>
                            <w:tcW w:w="630" w:type="dxa"/>
                          </w:tcPr>
                          <w:p w14:paraId="6D132A3F" w14:textId="77777777" w:rsidR="008B6335" w:rsidRPr="000077D4" w:rsidRDefault="008B6335" w:rsidP="008645A4">
                            <w:pPr>
                              <w:pStyle w:val="TableBodyText"/>
                              <w:jc w:val="center"/>
                              <w:rPr>
                                <w:highlight w:val="yellow"/>
                              </w:rPr>
                            </w:pPr>
                            <w:r w:rsidRPr="000077D4">
                              <w:rPr>
                                <w:rFonts w:cs="Times New Roman"/>
                              </w:rPr>
                              <w:t>24.25</w:t>
                            </w:r>
                          </w:p>
                        </w:tc>
                        <w:tc>
                          <w:tcPr>
                            <w:tcW w:w="1530" w:type="dxa"/>
                          </w:tcPr>
                          <w:p w14:paraId="1348A049" w14:textId="77777777" w:rsidR="008B6335" w:rsidRPr="000077D4" w:rsidRDefault="008B6335" w:rsidP="00431669">
                            <w:pPr>
                              <w:pStyle w:val="TableBodyText"/>
                              <w:rPr>
                                <w:rFonts w:cs="Times New Roman"/>
                              </w:rPr>
                            </w:pPr>
                            <w:r w:rsidRPr="000077D4">
                              <w:rPr>
                                <w:rFonts w:cs="Times New Roman"/>
                              </w:rPr>
                              <w:t>14000 to 15999</w:t>
                            </w:r>
                          </w:p>
                        </w:tc>
                        <w:tc>
                          <w:tcPr>
                            <w:tcW w:w="630" w:type="dxa"/>
                          </w:tcPr>
                          <w:p w14:paraId="6439CB7C" w14:textId="77777777" w:rsidR="008B6335" w:rsidRPr="000077D4" w:rsidRDefault="008B6335" w:rsidP="008645A4">
                            <w:pPr>
                              <w:pStyle w:val="TableBodyText"/>
                              <w:jc w:val="center"/>
                              <w:rPr>
                                <w:rFonts w:cs="Times New Roman"/>
                              </w:rPr>
                            </w:pPr>
                            <w:r w:rsidRPr="000077D4">
                              <w:t>7.47</w:t>
                            </w:r>
                          </w:p>
                        </w:tc>
                      </w:tr>
                      <w:tr w:rsidR="008B6335" w:rsidRPr="000077D4" w14:paraId="004C6B99" w14:textId="77777777" w:rsidTr="008645A4">
                        <w:tc>
                          <w:tcPr>
                            <w:tcW w:w="1525" w:type="dxa"/>
                          </w:tcPr>
                          <w:p w14:paraId="76A51027" w14:textId="77777777" w:rsidR="008B6335" w:rsidRPr="000077D4" w:rsidRDefault="008B6335" w:rsidP="00431669">
                            <w:pPr>
                              <w:pStyle w:val="TableBodyText"/>
                              <w:rPr>
                                <w:highlight w:val="yellow"/>
                              </w:rPr>
                            </w:pPr>
                            <w:r w:rsidRPr="000077D4">
                              <w:rPr>
                                <w:rFonts w:cs="Times New Roman"/>
                              </w:rPr>
                              <w:t>8000 to 8999</w:t>
                            </w:r>
                          </w:p>
                        </w:tc>
                        <w:tc>
                          <w:tcPr>
                            <w:tcW w:w="630" w:type="dxa"/>
                          </w:tcPr>
                          <w:p w14:paraId="35699BDC" w14:textId="77777777" w:rsidR="008B6335" w:rsidRPr="000077D4" w:rsidRDefault="008B6335" w:rsidP="008645A4">
                            <w:pPr>
                              <w:pStyle w:val="TableBodyText"/>
                              <w:jc w:val="center"/>
                              <w:rPr>
                                <w:highlight w:val="yellow"/>
                              </w:rPr>
                            </w:pPr>
                            <w:r w:rsidRPr="000077D4">
                              <w:rPr>
                                <w:rFonts w:cs="Times New Roman"/>
                              </w:rPr>
                              <w:t>36.50</w:t>
                            </w:r>
                          </w:p>
                        </w:tc>
                        <w:tc>
                          <w:tcPr>
                            <w:tcW w:w="1530" w:type="dxa"/>
                          </w:tcPr>
                          <w:p w14:paraId="2F8D0BC8" w14:textId="77777777" w:rsidR="008B6335" w:rsidRPr="000077D4" w:rsidRDefault="008B6335" w:rsidP="00431669">
                            <w:pPr>
                              <w:pStyle w:val="TableBodyText"/>
                              <w:rPr>
                                <w:rFonts w:cs="Times New Roman"/>
                              </w:rPr>
                            </w:pPr>
                            <w:r w:rsidRPr="000077D4">
                              <w:rPr>
                                <w:rFonts w:cs="Times New Roman"/>
                              </w:rPr>
                              <w:t>16000 to 17999</w:t>
                            </w:r>
                          </w:p>
                        </w:tc>
                        <w:tc>
                          <w:tcPr>
                            <w:tcW w:w="630" w:type="dxa"/>
                          </w:tcPr>
                          <w:p w14:paraId="5109CEB9" w14:textId="77777777" w:rsidR="008B6335" w:rsidRPr="000077D4" w:rsidRDefault="008B6335" w:rsidP="008645A4">
                            <w:pPr>
                              <w:pStyle w:val="TableBodyText"/>
                              <w:jc w:val="center"/>
                              <w:rPr>
                                <w:rFonts w:cs="Times New Roman"/>
                              </w:rPr>
                            </w:pPr>
                            <w:r w:rsidRPr="000077D4">
                              <w:t>6.00</w:t>
                            </w:r>
                          </w:p>
                        </w:tc>
                      </w:tr>
                      <w:tr w:rsidR="008B6335" w:rsidRPr="000077D4" w14:paraId="6A39706F" w14:textId="77777777" w:rsidTr="008645A4">
                        <w:tc>
                          <w:tcPr>
                            <w:tcW w:w="1525" w:type="dxa"/>
                          </w:tcPr>
                          <w:p w14:paraId="0EC87EA3" w14:textId="77777777" w:rsidR="008B6335" w:rsidRPr="000077D4" w:rsidRDefault="008B6335" w:rsidP="00431669">
                            <w:pPr>
                              <w:pStyle w:val="TableBodyText"/>
                              <w:rPr>
                                <w:highlight w:val="yellow"/>
                              </w:rPr>
                            </w:pPr>
                            <w:r w:rsidRPr="000077D4">
                              <w:rPr>
                                <w:rFonts w:cs="Times New Roman"/>
                              </w:rPr>
                              <w:t>9000 to 9999</w:t>
                            </w:r>
                          </w:p>
                        </w:tc>
                        <w:tc>
                          <w:tcPr>
                            <w:tcW w:w="630" w:type="dxa"/>
                          </w:tcPr>
                          <w:p w14:paraId="3CAEF395" w14:textId="77777777" w:rsidR="008B6335" w:rsidRPr="000077D4" w:rsidRDefault="008B6335" w:rsidP="008645A4">
                            <w:pPr>
                              <w:pStyle w:val="TableBodyText"/>
                              <w:jc w:val="center"/>
                              <w:rPr>
                                <w:highlight w:val="yellow"/>
                              </w:rPr>
                            </w:pPr>
                            <w:r w:rsidRPr="000077D4">
                              <w:rPr>
                                <w:rFonts w:cs="Times New Roman"/>
                              </w:rPr>
                              <w:t>23.10</w:t>
                            </w:r>
                          </w:p>
                        </w:tc>
                        <w:tc>
                          <w:tcPr>
                            <w:tcW w:w="1530" w:type="dxa"/>
                          </w:tcPr>
                          <w:p w14:paraId="1EC35E19" w14:textId="77777777" w:rsidR="008B6335" w:rsidRPr="000077D4" w:rsidRDefault="008B6335" w:rsidP="00431669">
                            <w:pPr>
                              <w:pStyle w:val="TableBodyText"/>
                              <w:rPr>
                                <w:rFonts w:cs="Times New Roman"/>
                              </w:rPr>
                            </w:pPr>
                            <w:r w:rsidRPr="000077D4">
                              <w:rPr>
                                <w:rFonts w:cs="Times New Roman"/>
                              </w:rPr>
                              <w:t>18000 to 19999</w:t>
                            </w:r>
                          </w:p>
                        </w:tc>
                        <w:tc>
                          <w:tcPr>
                            <w:tcW w:w="630" w:type="dxa"/>
                          </w:tcPr>
                          <w:p w14:paraId="47FDAF43" w14:textId="77777777" w:rsidR="008B6335" w:rsidRPr="000077D4" w:rsidRDefault="008B6335" w:rsidP="008645A4">
                            <w:pPr>
                              <w:pStyle w:val="TableBodyText"/>
                              <w:jc w:val="center"/>
                              <w:rPr>
                                <w:rFonts w:cs="Times New Roman"/>
                              </w:rPr>
                            </w:pPr>
                            <w:r w:rsidRPr="000077D4">
                              <w:t>6.00</w:t>
                            </w:r>
                          </w:p>
                        </w:tc>
                      </w:tr>
                      <w:tr w:rsidR="008B6335" w:rsidRPr="000077D4" w14:paraId="23658D03" w14:textId="77777777" w:rsidTr="008645A4">
                        <w:tc>
                          <w:tcPr>
                            <w:tcW w:w="1525" w:type="dxa"/>
                          </w:tcPr>
                          <w:p w14:paraId="389B3D06" w14:textId="77777777" w:rsidR="008B6335" w:rsidRPr="000077D4" w:rsidRDefault="008B6335" w:rsidP="00431669">
                            <w:pPr>
                              <w:pStyle w:val="TableBodyText"/>
                              <w:rPr>
                                <w:highlight w:val="yellow"/>
                              </w:rPr>
                            </w:pPr>
                            <w:r w:rsidRPr="000077D4">
                              <w:rPr>
                                <w:rFonts w:cs="Times New Roman"/>
                              </w:rPr>
                              <w:t>10000 to 10999</w:t>
                            </w:r>
                          </w:p>
                        </w:tc>
                        <w:tc>
                          <w:tcPr>
                            <w:tcW w:w="630" w:type="dxa"/>
                          </w:tcPr>
                          <w:p w14:paraId="3680DBD5" w14:textId="77777777" w:rsidR="008B6335" w:rsidRPr="000077D4" w:rsidRDefault="008B6335" w:rsidP="008645A4">
                            <w:pPr>
                              <w:pStyle w:val="TableBodyText"/>
                              <w:jc w:val="center"/>
                              <w:rPr>
                                <w:highlight w:val="yellow"/>
                              </w:rPr>
                            </w:pPr>
                            <w:r w:rsidRPr="000077D4">
                              <w:rPr>
                                <w:rFonts w:cs="Times New Roman"/>
                              </w:rPr>
                              <w:t>5.36</w:t>
                            </w:r>
                          </w:p>
                        </w:tc>
                        <w:tc>
                          <w:tcPr>
                            <w:tcW w:w="1530" w:type="dxa"/>
                          </w:tcPr>
                          <w:p w14:paraId="087E4D41" w14:textId="77777777" w:rsidR="008B6335" w:rsidRPr="000077D4" w:rsidRDefault="008B6335" w:rsidP="00431669">
                            <w:pPr>
                              <w:pStyle w:val="TableBodyText"/>
                              <w:rPr>
                                <w:rFonts w:cs="Times New Roman"/>
                              </w:rPr>
                            </w:pPr>
                            <w:r w:rsidRPr="000077D4">
                              <w:rPr>
                                <w:rFonts w:cs="Times New Roman"/>
                              </w:rPr>
                              <w:t>20000 to 21999</w:t>
                            </w:r>
                          </w:p>
                        </w:tc>
                        <w:tc>
                          <w:tcPr>
                            <w:tcW w:w="630" w:type="dxa"/>
                          </w:tcPr>
                          <w:p w14:paraId="7066660A" w14:textId="77777777" w:rsidR="008B6335" w:rsidRPr="000077D4" w:rsidRDefault="008B6335" w:rsidP="008645A4">
                            <w:pPr>
                              <w:pStyle w:val="TableBodyText"/>
                              <w:jc w:val="center"/>
                              <w:rPr>
                                <w:rFonts w:cs="Times New Roman"/>
                              </w:rPr>
                            </w:pPr>
                            <w:r w:rsidRPr="000077D4">
                              <w:t>5.68</w:t>
                            </w:r>
                          </w:p>
                        </w:tc>
                      </w:tr>
                      <w:tr w:rsidR="008B6335" w:rsidRPr="000077D4" w14:paraId="57988C26" w14:textId="77777777" w:rsidTr="008645A4">
                        <w:tc>
                          <w:tcPr>
                            <w:tcW w:w="1525" w:type="dxa"/>
                          </w:tcPr>
                          <w:p w14:paraId="09DF7DD7" w14:textId="77777777" w:rsidR="008B6335" w:rsidRPr="000077D4" w:rsidRDefault="008B6335" w:rsidP="00431669">
                            <w:pPr>
                              <w:pStyle w:val="TableBodyText"/>
                              <w:rPr>
                                <w:highlight w:val="yellow"/>
                              </w:rPr>
                            </w:pPr>
                            <w:r w:rsidRPr="000077D4">
                              <w:rPr>
                                <w:rFonts w:cs="Times New Roman"/>
                              </w:rPr>
                              <w:t>11000 to 11999</w:t>
                            </w:r>
                          </w:p>
                        </w:tc>
                        <w:tc>
                          <w:tcPr>
                            <w:tcW w:w="630" w:type="dxa"/>
                          </w:tcPr>
                          <w:p w14:paraId="5DEB5B19" w14:textId="77777777" w:rsidR="008B6335" w:rsidRPr="000077D4" w:rsidRDefault="008B6335" w:rsidP="008645A4">
                            <w:pPr>
                              <w:pStyle w:val="TableBodyText"/>
                              <w:jc w:val="center"/>
                              <w:rPr>
                                <w:highlight w:val="yellow"/>
                              </w:rPr>
                            </w:pPr>
                            <w:r w:rsidRPr="000077D4">
                              <w:rPr>
                                <w:rFonts w:cs="Times New Roman"/>
                              </w:rPr>
                              <w:t>0.89</w:t>
                            </w:r>
                          </w:p>
                        </w:tc>
                        <w:tc>
                          <w:tcPr>
                            <w:tcW w:w="1530" w:type="dxa"/>
                          </w:tcPr>
                          <w:p w14:paraId="2912BE8D" w14:textId="77777777" w:rsidR="008B6335" w:rsidRPr="000077D4" w:rsidRDefault="008B6335" w:rsidP="00431669">
                            <w:pPr>
                              <w:pStyle w:val="TableBodyText"/>
                              <w:rPr>
                                <w:rFonts w:cs="Times New Roman"/>
                              </w:rPr>
                            </w:pPr>
                            <w:r w:rsidRPr="000077D4">
                              <w:rPr>
                                <w:rFonts w:cs="Times New Roman"/>
                              </w:rPr>
                              <w:t>22000 to 23999</w:t>
                            </w:r>
                          </w:p>
                        </w:tc>
                        <w:tc>
                          <w:tcPr>
                            <w:tcW w:w="630" w:type="dxa"/>
                          </w:tcPr>
                          <w:p w14:paraId="4F24F359" w14:textId="77777777" w:rsidR="008B6335" w:rsidRPr="000077D4" w:rsidRDefault="008B6335" w:rsidP="008645A4">
                            <w:pPr>
                              <w:pStyle w:val="TableBodyText"/>
                              <w:jc w:val="center"/>
                              <w:rPr>
                                <w:rFonts w:cs="Times New Roman"/>
                              </w:rPr>
                            </w:pPr>
                            <w:r w:rsidRPr="000077D4">
                              <w:t>5.23</w:t>
                            </w:r>
                          </w:p>
                        </w:tc>
                      </w:tr>
                      <w:tr w:rsidR="008B6335" w:rsidRPr="000077D4" w14:paraId="48C7C68B" w14:textId="77777777" w:rsidTr="008645A4">
                        <w:tc>
                          <w:tcPr>
                            <w:tcW w:w="1525" w:type="dxa"/>
                          </w:tcPr>
                          <w:p w14:paraId="12458073" w14:textId="77777777" w:rsidR="008B6335" w:rsidRPr="000077D4" w:rsidRDefault="008B6335" w:rsidP="00431669">
                            <w:pPr>
                              <w:pStyle w:val="TableBodyText"/>
                              <w:rPr>
                                <w:highlight w:val="yellow"/>
                              </w:rPr>
                            </w:pPr>
                            <w:r w:rsidRPr="000077D4">
                              <w:rPr>
                                <w:rFonts w:cs="Times New Roman"/>
                              </w:rPr>
                              <w:t>12000 to 12999</w:t>
                            </w:r>
                          </w:p>
                        </w:tc>
                        <w:tc>
                          <w:tcPr>
                            <w:tcW w:w="630" w:type="dxa"/>
                          </w:tcPr>
                          <w:p w14:paraId="0F5D6BCF" w14:textId="77777777" w:rsidR="008B6335" w:rsidRPr="000077D4" w:rsidRDefault="008B6335" w:rsidP="008645A4">
                            <w:pPr>
                              <w:pStyle w:val="TableBodyText"/>
                              <w:jc w:val="center"/>
                              <w:rPr>
                                <w:highlight w:val="yellow"/>
                              </w:rPr>
                            </w:pPr>
                            <w:r w:rsidRPr="000077D4">
                              <w:rPr>
                                <w:rFonts w:cs="Times New Roman"/>
                              </w:rPr>
                              <w:t>0.26</w:t>
                            </w:r>
                          </w:p>
                        </w:tc>
                        <w:tc>
                          <w:tcPr>
                            <w:tcW w:w="1530" w:type="dxa"/>
                          </w:tcPr>
                          <w:p w14:paraId="0DFDA83D" w14:textId="77777777" w:rsidR="008B6335" w:rsidRPr="000077D4" w:rsidRDefault="008B6335" w:rsidP="00431669">
                            <w:pPr>
                              <w:pStyle w:val="TableBodyText"/>
                              <w:rPr>
                                <w:rFonts w:cs="Times New Roman"/>
                              </w:rPr>
                            </w:pPr>
                            <w:r w:rsidRPr="000077D4">
                              <w:rPr>
                                <w:rFonts w:cs="Times New Roman"/>
                              </w:rPr>
                              <w:t>24000 to 25999</w:t>
                            </w:r>
                          </w:p>
                        </w:tc>
                        <w:tc>
                          <w:tcPr>
                            <w:tcW w:w="630" w:type="dxa"/>
                          </w:tcPr>
                          <w:p w14:paraId="572BDCF0" w14:textId="77777777" w:rsidR="008B6335" w:rsidRPr="000077D4" w:rsidRDefault="008B6335" w:rsidP="008645A4">
                            <w:pPr>
                              <w:pStyle w:val="TableBodyText"/>
                              <w:jc w:val="center"/>
                              <w:rPr>
                                <w:rFonts w:cs="Times New Roman"/>
                              </w:rPr>
                            </w:pPr>
                            <w:r w:rsidRPr="000077D4">
                              <w:t>3.25</w:t>
                            </w:r>
                          </w:p>
                        </w:tc>
                      </w:tr>
                      <w:tr w:rsidR="008B6335" w:rsidRPr="000077D4" w14:paraId="1994499B" w14:textId="77777777" w:rsidTr="008645A4">
                        <w:tc>
                          <w:tcPr>
                            <w:tcW w:w="1525" w:type="dxa"/>
                          </w:tcPr>
                          <w:p w14:paraId="331896CB" w14:textId="77777777" w:rsidR="008B6335" w:rsidRPr="000077D4" w:rsidRDefault="008B6335" w:rsidP="00431669">
                            <w:pPr>
                              <w:pStyle w:val="TableBodyText"/>
                              <w:rPr>
                                <w:highlight w:val="yellow"/>
                              </w:rPr>
                            </w:pPr>
                            <w:r w:rsidRPr="000077D4">
                              <w:rPr>
                                <w:rFonts w:cs="Times New Roman"/>
                              </w:rPr>
                              <w:t>13000 to 13999</w:t>
                            </w:r>
                          </w:p>
                        </w:tc>
                        <w:tc>
                          <w:tcPr>
                            <w:tcW w:w="630" w:type="dxa"/>
                          </w:tcPr>
                          <w:p w14:paraId="515DAA7C" w14:textId="77777777" w:rsidR="008B6335" w:rsidRPr="000077D4" w:rsidRDefault="008B6335" w:rsidP="008645A4">
                            <w:pPr>
                              <w:pStyle w:val="TableBodyText"/>
                              <w:jc w:val="center"/>
                              <w:rPr>
                                <w:highlight w:val="yellow"/>
                              </w:rPr>
                            </w:pPr>
                            <w:r w:rsidRPr="000077D4">
                              <w:rPr>
                                <w:rFonts w:cs="Times New Roman"/>
                              </w:rPr>
                              <w:t>0.06</w:t>
                            </w:r>
                          </w:p>
                        </w:tc>
                        <w:tc>
                          <w:tcPr>
                            <w:tcW w:w="1530" w:type="dxa"/>
                          </w:tcPr>
                          <w:p w14:paraId="11622E7E" w14:textId="77777777" w:rsidR="008B6335" w:rsidRPr="000077D4" w:rsidRDefault="008B6335" w:rsidP="00431669">
                            <w:pPr>
                              <w:pStyle w:val="TableBodyText"/>
                              <w:rPr>
                                <w:rFonts w:cs="Times New Roman"/>
                              </w:rPr>
                            </w:pPr>
                            <w:r w:rsidRPr="000077D4">
                              <w:rPr>
                                <w:rFonts w:cs="Times New Roman"/>
                              </w:rPr>
                              <w:t>26000 to 27999</w:t>
                            </w:r>
                          </w:p>
                        </w:tc>
                        <w:tc>
                          <w:tcPr>
                            <w:tcW w:w="630" w:type="dxa"/>
                          </w:tcPr>
                          <w:p w14:paraId="7E9E4A46" w14:textId="77777777" w:rsidR="008B6335" w:rsidRPr="000077D4" w:rsidRDefault="008B6335" w:rsidP="008645A4">
                            <w:pPr>
                              <w:pStyle w:val="TableBodyText"/>
                              <w:jc w:val="center"/>
                              <w:rPr>
                                <w:rFonts w:cs="Times New Roman"/>
                              </w:rPr>
                            </w:pPr>
                            <w:r w:rsidRPr="000077D4">
                              <w:t>3.57</w:t>
                            </w:r>
                          </w:p>
                        </w:tc>
                      </w:tr>
                      <w:tr w:rsidR="008B6335" w:rsidRPr="000077D4" w14:paraId="053F76DC" w14:textId="77777777" w:rsidTr="008645A4">
                        <w:tc>
                          <w:tcPr>
                            <w:tcW w:w="1525" w:type="dxa"/>
                          </w:tcPr>
                          <w:p w14:paraId="68D8819E" w14:textId="77777777" w:rsidR="008B6335" w:rsidRPr="000077D4" w:rsidRDefault="008B6335" w:rsidP="00431669">
                            <w:pPr>
                              <w:pStyle w:val="TableBodyText"/>
                              <w:rPr>
                                <w:highlight w:val="yellow"/>
                              </w:rPr>
                            </w:pPr>
                            <w:r w:rsidRPr="000077D4">
                              <w:rPr>
                                <w:rFonts w:cs="Times New Roman"/>
                              </w:rPr>
                              <w:t>14000 to 14999</w:t>
                            </w:r>
                          </w:p>
                        </w:tc>
                        <w:tc>
                          <w:tcPr>
                            <w:tcW w:w="630" w:type="dxa"/>
                          </w:tcPr>
                          <w:p w14:paraId="54F18115" w14:textId="77777777" w:rsidR="008B6335" w:rsidRPr="000077D4" w:rsidRDefault="008B6335" w:rsidP="008645A4">
                            <w:pPr>
                              <w:pStyle w:val="TableBodyText"/>
                              <w:jc w:val="center"/>
                              <w:rPr>
                                <w:highlight w:val="yellow"/>
                              </w:rPr>
                            </w:pPr>
                            <w:r w:rsidRPr="000077D4">
                              <w:rPr>
                                <w:rFonts w:cs="Times New Roman"/>
                              </w:rPr>
                              <w:t>0.00</w:t>
                            </w:r>
                          </w:p>
                        </w:tc>
                        <w:tc>
                          <w:tcPr>
                            <w:tcW w:w="1530" w:type="dxa"/>
                          </w:tcPr>
                          <w:p w14:paraId="4FF1F80A" w14:textId="77777777" w:rsidR="008B6335" w:rsidRPr="000077D4" w:rsidRDefault="008B6335" w:rsidP="00431669">
                            <w:pPr>
                              <w:pStyle w:val="TableBodyText"/>
                              <w:rPr>
                                <w:rFonts w:cs="Times New Roman"/>
                              </w:rPr>
                            </w:pPr>
                            <w:r w:rsidRPr="000077D4">
                              <w:rPr>
                                <w:rFonts w:cs="Times New Roman"/>
                              </w:rPr>
                              <w:t>28000 to 29999</w:t>
                            </w:r>
                          </w:p>
                        </w:tc>
                        <w:tc>
                          <w:tcPr>
                            <w:tcW w:w="630" w:type="dxa"/>
                          </w:tcPr>
                          <w:p w14:paraId="10C589AD" w14:textId="77777777" w:rsidR="008B6335" w:rsidRPr="000077D4" w:rsidRDefault="008B6335" w:rsidP="008645A4">
                            <w:pPr>
                              <w:pStyle w:val="TableBodyText"/>
                              <w:jc w:val="center"/>
                              <w:rPr>
                                <w:rFonts w:cs="Times New Roman"/>
                              </w:rPr>
                            </w:pPr>
                            <w:r w:rsidRPr="000077D4">
                              <w:t>4.53</w:t>
                            </w:r>
                          </w:p>
                        </w:tc>
                      </w:tr>
                      <w:tr w:rsidR="008B6335" w:rsidRPr="000077D4" w14:paraId="549F48D7" w14:textId="77777777" w:rsidTr="008645A4">
                        <w:tc>
                          <w:tcPr>
                            <w:tcW w:w="1525" w:type="dxa"/>
                          </w:tcPr>
                          <w:p w14:paraId="6EBF948F" w14:textId="77777777" w:rsidR="008B6335" w:rsidRPr="000077D4" w:rsidRDefault="008B6335" w:rsidP="00431669">
                            <w:pPr>
                              <w:pStyle w:val="TableBodyText"/>
                              <w:rPr>
                                <w:rFonts w:cs="Times New Roman"/>
                              </w:rPr>
                            </w:pPr>
                            <w:r w:rsidRPr="000077D4">
                              <w:rPr>
                                <w:rFonts w:cs="Times New Roman"/>
                              </w:rPr>
                              <w:t>15000 to 15999</w:t>
                            </w:r>
                          </w:p>
                        </w:tc>
                        <w:tc>
                          <w:tcPr>
                            <w:tcW w:w="630" w:type="dxa"/>
                          </w:tcPr>
                          <w:p w14:paraId="46B32C75" w14:textId="77777777" w:rsidR="008B6335" w:rsidRPr="000077D4" w:rsidRDefault="008B6335" w:rsidP="008645A4">
                            <w:pPr>
                              <w:pStyle w:val="TableBodyText"/>
                              <w:jc w:val="center"/>
                              <w:rPr>
                                <w:rFonts w:cs="Times New Roman"/>
                              </w:rPr>
                            </w:pPr>
                            <w:r w:rsidRPr="000077D4">
                              <w:rPr>
                                <w:rFonts w:cs="Times New Roman"/>
                              </w:rPr>
                              <w:t>0.00</w:t>
                            </w:r>
                          </w:p>
                        </w:tc>
                        <w:tc>
                          <w:tcPr>
                            <w:tcW w:w="1530" w:type="dxa"/>
                          </w:tcPr>
                          <w:p w14:paraId="62BD5DBE" w14:textId="77777777" w:rsidR="008B6335" w:rsidRPr="000077D4" w:rsidRDefault="008B6335" w:rsidP="00431669">
                            <w:pPr>
                              <w:pStyle w:val="TableBodyText"/>
                              <w:rPr>
                                <w:rFonts w:cs="Times New Roman"/>
                              </w:rPr>
                            </w:pPr>
                            <w:r w:rsidRPr="000077D4">
                              <w:rPr>
                                <w:rFonts w:cs="Times New Roman"/>
                              </w:rPr>
                              <w:t>30000 to 31999</w:t>
                            </w:r>
                          </w:p>
                        </w:tc>
                        <w:tc>
                          <w:tcPr>
                            <w:tcW w:w="630" w:type="dxa"/>
                          </w:tcPr>
                          <w:p w14:paraId="15C228AE" w14:textId="77777777" w:rsidR="008B6335" w:rsidRPr="000077D4" w:rsidRDefault="008B6335" w:rsidP="008645A4">
                            <w:pPr>
                              <w:pStyle w:val="TableBodyText"/>
                              <w:jc w:val="center"/>
                            </w:pPr>
                            <w:r w:rsidRPr="000077D4">
                              <w:t>8.36</w:t>
                            </w:r>
                          </w:p>
                        </w:tc>
                      </w:tr>
                      <w:tr w:rsidR="008B6335" w:rsidRPr="000077D4" w14:paraId="3D61F500" w14:textId="77777777" w:rsidTr="008645A4">
                        <w:tc>
                          <w:tcPr>
                            <w:tcW w:w="1525" w:type="dxa"/>
                          </w:tcPr>
                          <w:p w14:paraId="7DBA51B1" w14:textId="77777777" w:rsidR="008B6335" w:rsidRPr="000077D4" w:rsidRDefault="008B6335" w:rsidP="00431669">
                            <w:pPr>
                              <w:pStyle w:val="TableBodyText"/>
                              <w:rPr>
                                <w:rFonts w:cs="Times New Roman"/>
                              </w:rPr>
                            </w:pPr>
                            <w:r w:rsidRPr="000077D4">
                              <w:rPr>
                                <w:rFonts w:cs="Times New Roman"/>
                              </w:rPr>
                              <w:t>16000 to 16999</w:t>
                            </w:r>
                          </w:p>
                        </w:tc>
                        <w:tc>
                          <w:tcPr>
                            <w:tcW w:w="630" w:type="dxa"/>
                          </w:tcPr>
                          <w:p w14:paraId="6FDD0196" w14:textId="77777777" w:rsidR="008B6335" w:rsidRPr="000077D4" w:rsidRDefault="008B6335" w:rsidP="008645A4">
                            <w:pPr>
                              <w:pStyle w:val="TableBodyText"/>
                              <w:jc w:val="center"/>
                              <w:rPr>
                                <w:rFonts w:cs="Times New Roman"/>
                              </w:rPr>
                            </w:pPr>
                            <w:r w:rsidRPr="000077D4">
                              <w:rPr>
                                <w:rFonts w:cs="Times New Roman"/>
                              </w:rPr>
                              <w:t>0.00</w:t>
                            </w:r>
                          </w:p>
                        </w:tc>
                        <w:tc>
                          <w:tcPr>
                            <w:tcW w:w="1530" w:type="dxa"/>
                          </w:tcPr>
                          <w:p w14:paraId="0C92D54D" w14:textId="77777777" w:rsidR="008B6335" w:rsidRPr="000077D4" w:rsidRDefault="008B6335" w:rsidP="00431669">
                            <w:pPr>
                              <w:pStyle w:val="TableBodyText"/>
                              <w:rPr>
                                <w:rFonts w:cs="Times New Roman"/>
                              </w:rPr>
                            </w:pPr>
                            <w:r w:rsidRPr="000077D4">
                              <w:rPr>
                                <w:rFonts w:cs="Times New Roman"/>
                              </w:rPr>
                              <w:t>32000 to 33999</w:t>
                            </w:r>
                          </w:p>
                        </w:tc>
                        <w:tc>
                          <w:tcPr>
                            <w:tcW w:w="630" w:type="dxa"/>
                          </w:tcPr>
                          <w:p w14:paraId="780D9D8C" w14:textId="77777777" w:rsidR="008B6335" w:rsidRPr="000077D4" w:rsidRDefault="008B6335" w:rsidP="008645A4">
                            <w:pPr>
                              <w:pStyle w:val="TableBodyText"/>
                              <w:jc w:val="center"/>
                            </w:pPr>
                            <w:r w:rsidRPr="000077D4">
                              <w:t>7.28</w:t>
                            </w:r>
                          </w:p>
                        </w:tc>
                      </w:tr>
                      <w:tr w:rsidR="008B6335" w:rsidRPr="000077D4" w14:paraId="1079724C" w14:textId="77777777" w:rsidTr="008645A4">
                        <w:tc>
                          <w:tcPr>
                            <w:tcW w:w="1525" w:type="dxa"/>
                          </w:tcPr>
                          <w:p w14:paraId="7200E5A0" w14:textId="77777777" w:rsidR="008B6335" w:rsidRPr="000077D4" w:rsidRDefault="008B6335" w:rsidP="00431669">
                            <w:pPr>
                              <w:pStyle w:val="TableBodyText"/>
                              <w:rPr>
                                <w:rFonts w:cs="Times New Roman"/>
                              </w:rPr>
                            </w:pPr>
                            <w:r w:rsidRPr="000077D4">
                              <w:rPr>
                                <w:rFonts w:cs="Times New Roman"/>
                              </w:rPr>
                              <w:t>17000 to 17999</w:t>
                            </w:r>
                          </w:p>
                        </w:tc>
                        <w:tc>
                          <w:tcPr>
                            <w:tcW w:w="630" w:type="dxa"/>
                          </w:tcPr>
                          <w:p w14:paraId="27762928" w14:textId="77777777" w:rsidR="008B6335" w:rsidRPr="000077D4" w:rsidRDefault="008B6335" w:rsidP="008645A4">
                            <w:pPr>
                              <w:pStyle w:val="TableBodyText"/>
                              <w:jc w:val="center"/>
                              <w:rPr>
                                <w:rFonts w:cs="Times New Roman"/>
                              </w:rPr>
                            </w:pPr>
                            <w:r w:rsidRPr="000077D4">
                              <w:rPr>
                                <w:rFonts w:cs="Times New Roman"/>
                              </w:rPr>
                              <w:t>0.00</w:t>
                            </w:r>
                          </w:p>
                        </w:tc>
                        <w:tc>
                          <w:tcPr>
                            <w:tcW w:w="1530" w:type="dxa"/>
                          </w:tcPr>
                          <w:p w14:paraId="7B15AB16" w14:textId="77777777" w:rsidR="008B6335" w:rsidRPr="000077D4" w:rsidRDefault="008B6335" w:rsidP="00431669">
                            <w:pPr>
                              <w:pStyle w:val="TableBodyText"/>
                              <w:rPr>
                                <w:rFonts w:cs="Times New Roman"/>
                              </w:rPr>
                            </w:pPr>
                            <w:r w:rsidRPr="000077D4">
                              <w:rPr>
                                <w:rFonts w:cs="Times New Roman"/>
                              </w:rPr>
                              <w:t>34000 to 35999</w:t>
                            </w:r>
                          </w:p>
                        </w:tc>
                        <w:tc>
                          <w:tcPr>
                            <w:tcW w:w="630" w:type="dxa"/>
                          </w:tcPr>
                          <w:p w14:paraId="095156BE" w14:textId="77777777" w:rsidR="008B6335" w:rsidRPr="000077D4" w:rsidRDefault="008B6335" w:rsidP="008645A4">
                            <w:pPr>
                              <w:pStyle w:val="TableBodyText"/>
                              <w:jc w:val="center"/>
                            </w:pPr>
                            <w:r w:rsidRPr="000077D4">
                              <w:t>2.43</w:t>
                            </w:r>
                          </w:p>
                        </w:tc>
                      </w:tr>
                      <w:tr w:rsidR="008B6335" w:rsidRPr="000077D4" w14:paraId="1484BBC7" w14:textId="77777777" w:rsidTr="008645A4">
                        <w:tc>
                          <w:tcPr>
                            <w:tcW w:w="1525" w:type="dxa"/>
                          </w:tcPr>
                          <w:p w14:paraId="1E2274B9" w14:textId="77777777" w:rsidR="008B6335" w:rsidRPr="000077D4" w:rsidRDefault="008B6335" w:rsidP="00431669">
                            <w:pPr>
                              <w:pStyle w:val="TableBodyText"/>
                              <w:rPr>
                                <w:rFonts w:cs="Times New Roman"/>
                              </w:rPr>
                            </w:pPr>
                            <w:r w:rsidRPr="000077D4">
                              <w:rPr>
                                <w:rFonts w:cs="Times New Roman"/>
                              </w:rPr>
                              <w:t>18000 to 18999</w:t>
                            </w:r>
                          </w:p>
                        </w:tc>
                        <w:tc>
                          <w:tcPr>
                            <w:tcW w:w="630" w:type="dxa"/>
                          </w:tcPr>
                          <w:p w14:paraId="2AE4B001" w14:textId="77777777" w:rsidR="008B6335" w:rsidRPr="000077D4" w:rsidRDefault="008B6335" w:rsidP="008645A4">
                            <w:pPr>
                              <w:pStyle w:val="TableBodyText"/>
                              <w:jc w:val="center"/>
                              <w:rPr>
                                <w:rFonts w:cs="Times New Roman"/>
                              </w:rPr>
                            </w:pPr>
                            <w:r w:rsidRPr="000077D4">
                              <w:rPr>
                                <w:rFonts w:cs="Times New Roman"/>
                              </w:rPr>
                              <w:t>0.00</w:t>
                            </w:r>
                          </w:p>
                        </w:tc>
                        <w:tc>
                          <w:tcPr>
                            <w:tcW w:w="1530" w:type="dxa"/>
                          </w:tcPr>
                          <w:p w14:paraId="2240E531" w14:textId="77777777" w:rsidR="008B6335" w:rsidRPr="000077D4" w:rsidRDefault="008B6335" w:rsidP="00431669">
                            <w:pPr>
                              <w:pStyle w:val="TableBodyText"/>
                              <w:rPr>
                                <w:rFonts w:cs="Times New Roman"/>
                              </w:rPr>
                            </w:pPr>
                            <w:r w:rsidRPr="000077D4">
                              <w:rPr>
                                <w:rFonts w:cs="Times New Roman"/>
                              </w:rPr>
                              <w:t>36000 to 37999</w:t>
                            </w:r>
                          </w:p>
                        </w:tc>
                        <w:tc>
                          <w:tcPr>
                            <w:tcW w:w="630" w:type="dxa"/>
                          </w:tcPr>
                          <w:p w14:paraId="2EA53F93" w14:textId="77777777" w:rsidR="008B6335" w:rsidRPr="000077D4" w:rsidRDefault="008B6335" w:rsidP="008645A4">
                            <w:pPr>
                              <w:pStyle w:val="TableBodyText"/>
                              <w:jc w:val="center"/>
                            </w:pPr>
                            <w:r w:rsidRPr="000077D4">
                              <w:t>1.40</w:t>
                            </w:r>
                          </w:p>
                        </w:tc>
                      </w:tr>
                      <w:tr w:rsidR="008B6335" w:rsidRPr="000077D4" w14:paraId="0763A1FB" w14:textId="77777777" w:rsidTr="008645A4">
                        <w:tc>
                          <w:tcPr>
                            <w:tcW w:w="1525" w:type="dxa"/>
                          </w:tcPr>
                          <w:p w14:paraId="43247ECF" w14:textId="77777777" w:rsidR="008B6335" w:rsidRPr="000077D4" w:rsidRDefault="008B6335" w:rsidP="00431669">
                            <w:pPr>
                              <w:pStyle w:val="TableBodyText"/>
                              <w:rPr>
                                <w:rFonts w:cs="Times New Roman"/>
                              </w:rPr>
                            </w:pPr>
                            <w:r w:rsidRPr="000077D4">
                              <w:rPr>
                                <w:rFonts w:cs="Times New Roman"/>
                              </w:rPr>
                              <w:t>19000 to 19999</w:t>
                            </w:r>
                          </w:p>
                        </w:tc>
                        <w:tc>
                          <w:tcPr>
                            <w:tcW w:w="630" w:type="dxa"/>
                          </w:tcPr>
                          <w:p w14:paraId="6A21A9E8" w14:textId="77777777" w:rsidR="008B6335" w:rsidRPr="000077D4" w:rsidRDefault="008B6335" w:rsidP="008645A4">
                            <w:pPr>
                              <w:pStyle w:val="TableBodyText"/>
                              <w:jc w:val="center"/>
                              <w:rPr>
                                <w:rFonts w:cs="Times New Roman"/>
                              </w:rPr>
                            </w:pPr>
                            <w:r w:rsidRPr="000077D4">
                              <w:rPr>
                                <w:rFonts w:cs="Times New Roman"/>
                              </w:rPr>
                              <w:t>0.00</w:t>
                            </w:r>
                          </w:p>
                        </w:tc>
                        <w:tc>
                          <w:tcPr>
                            <w:tcW w:w="1530" w:type="dxa"/>
                          </w:tcPr>
                          <w:p w14:paraId="288019E6" w14:textId="77777777" w:rsidR="008B6335" w:rsidRPr="000077D4" w:rsidRDefault="008B6335" w:rsidP="00431669">
                            <w:pPr>
                              <w:pStyle w:val="TableBodyText"/>
                              <w:rPr>
                                <w:rFonts w:cs="Times New Roman"/>
                              </w:rPr>
                            </w:pPr>
                            <w:r w:rsidRPr="000077D4">
                              <w:rPr>
                                <w:rFonts w:cs="Times New Roman"/>
                              </w:rPr>
                              <w:t>38000 to 39999</w:t>
                            </w:r>
                          </w:p>
                        </w:tc>
                        <w:tc>
                          <w:tcPr>
                            <w:tcW w:w="630" w:type="dxa"/>
                          </w:tcPr>
                          <w:p w14:paraId="556E669E" w14:textId="77777777" w:rsidR="008B6335" w:rsidRPr="000077D4" w:rsidRDefault="008B6335" w:rsidP="008645A4">
                            <w:pPr>
                              <w:pStyle w:val="TableBodyText"/>
                              <w:jc w:val="center"/>
                            </w:pPr>
                            <w:r w:rsidRPr="000077D4">
                              <w:t>0.26</w:t>
                            </w:r>
                          </w:p>
                        </w:tc>
                      </w:tr>
                      <w:tr w:rsidR="008B6335" w:rsidRPr="000077D4" w14:paraId="568A1850" w14:textId="77777777" w:rsidTr="008645A4">
                        <w:tc>
                          <w:tcPr>
                            <w:tcW w:w="1525" w:type="dxa"/>
                          </w:tcPr>
                          <w:p w14:paraId="1449C0D9" w14:textId="77777777" w:rsidR="008B6335" w:rsidRPr="000077D4" w:rsidRDefault="008B6335" w:rsidP="00431669">
                            <w:pPr>
                              <w:pStyle w:val="TableBodyText"/>
                              <w:rPr>
                                <w:rFonts w:cs="Times New Roman"/>
                              </w:rPr>
                            </w:pPr>
                            <w:r w:rsidRPr="000077D4">
                              <w:rPr>
                                <w:rFonts w:cs="Times New Roman"/>
                              </w:rPr>
                              <w:t>20000 to 20999</w:t>
                            </w:r>
                          </w:p>
                        </w:tc>
                        <w:tc>
                          <w:tcPr>
                            <w:tcW w:w="630" w:type="dxa"/>
                          </w:tcPr>
                          <w:p w14:paraId="6C78142E" w14:textId="77777777" w:rsidR="008B6335" w:rsidRPr="000077D4" w:rsidRDefault="008B6335" w:rsidP="008645A4">
                            <w:pPr>
                              <w:pStyle w:val="TableBodyText"/>
                              <w:jc w:val="center"/>
                              <w:rPr>
                                <w:rFonts w:cs="Times New Roman"/>
                              </w:rPr>
                            </w:pPr>
                            <w:r w:rsidRPr="000077D4">
                              <w:rPr>
                                <w:rFonts w:cs="Times New Roman"/>
                              </w:rPr>
                              <w:t>0.00</w:t>
                            </w:r>
                          </w:p>
                        </w:tc>
                        <w:tc>
                          <w:tcPr>
                            <w:tcW w:w="1530" w:type="dxa"/>
                          </w:tcPr>
                          <w:p w14:paraId="55AB1043" w14:textId="77777777" w:rsidR="008B6335" w:rsidRPr="000077D4" w:rsidRDefault="008B6335" w:rsidP="00431669">
                            <w:pPr>
                              <w:pStyle w:val="TableBodyText"/>
                              <w:rPr>
                                <w:rFonts w:cs="Times New Roman"/>
                              </w:rPr>
                            </w:pPr>
                            <w:r w:rsidRPr="000077D4">
                              <w:rPr>
                                <w:rFonts w:cs="Times New Roman"/>
                              </w:rPr>
                              <w:t>40000 to 41999</w:t>
                            </w:r>
                          </w:p>
                        </w:tc>
                        <w:tc>
                          <w:tcPr>
                            <w:tcW w:w="630" w:type="dxa"/>
                          </w:tcPr>
                          <w:p w14:paraId="1E9BB561" w14:textId="77777777" w:rsidR="008B6335" w:rsidRPr="000077D4" w:rsidRDefault="008B6335" w:rsidP="008645A4">
                            <w:pPr>
                              <w:pStyle w:val="TableBodyText"/>
                              <w:jc w:val="center"/>
                            </w:pPr>
                            <w:r w:rsidRPr="000077D4">
                              <w:t>0.13</w:t>
                            </w:r>
                          </w:p>
                        </w:tc>
                      </w:tr>
                      <w:tr w:rsidR="008B6335" w:rsidRPr="000077D4" w14:paraId="20A1E315" w14:textId="77777777" w:rsidTr="008645A4">
                        <w:tc>
                          <w:tcPr>
                            <w:tcW w:w="1525" w:type="dxa"/>
                          </w:tcPr>
                          <w:p w14:paraId="0AD3993F" w14:textId="77777777" w:rsidR="008B6335" w:rsidRPr="000077D4" w:rsidRDefault="008B6335" w:rsidP="00431669">
                            <w:pPr>
                              <w:pStyle w:val="TableBodyText"/>
                              <w:rPr>
                                <w:rFonts w:cs="Times New Roman"/>
                              </w:rPr>
                            </w:pPr>
                            <w:r w:rsidRPr="000077D4">
                              <w:rPr>
                                <w:rFonts w:cs="Times New Roman"/>
                              </w:rPr>
                              <w:t>21000 or more</w:t>
                            </w:r>
                          </w:p>
                        </w:tc>
                        <w:tc>
                          <w:tcPr>
                            <w:tcW w:w="630" w:type="dxa"/>
                          </w:tcPr>
                          <w:p w14:paraId="72AAB3BD" w14:textId="77777777" w:rsidR="008B6335" w:rsidRPr="000077D4" w:rsidRDefault="008B6335" w:rsidP="008645A4">
                            <w:pPr>
                              <w:pStyle w:val="TableBodyText"/>
                              <w:jc w:val="center"/>
                              <w:rPr>
                                <w:rFonts w:cs="Times New Roman"/>
                              </w:rPr>
                            </w:pPr>
                            <w:r w:rsidRPr="000077D4">
                              <w:rPr>
                                <w:rFonts w:cs="Times New Roman"/>
                              </w:rPr>
                              <w:t>0.00</w:t>
                            </w:r>
                          </w:p>
                        </w:tc>
                        <w:tc>
                          <w:tcPr>
                            <w:tcW w:w="1530" w:type="dxa"/>
                          </w:tcPr>
                          <w:p w14:paraId="19BE6029" w14:textId="77777777" w:rsidR="008B6335" w:rsidRPr="000077D4" w:rsidRDefault="008B6335" w:rsidP="00431669">
                            <w:pPr>
                              <w:pStyle w:val="TableBodyText"/>
                              <w:rPr>
                                <w:rFonts w:cs="Times New Roman"/>
                              </w:rPr>
                            </w:pPr>
                            <w:r w:rsidRPr="000077D4">
                              <w:rPr>
                                <w:rFonts w:cs="Times New Roman"/>
                              </w:rPr>
                              <w:t>42000 or more</w:t>
                            </w:r>
                          </w:p>
                        </w:tc>
                        <w:tc>
                          <w:tcPr>
                            <w:tcW w:w="630" w:type="dxa"/>
                          </w:tcPr>
                          <w:p w14:paraId="377BBA2B" w14:textId="77777777" w:rsidR="008B6335" w:rsidRPr="000077D4" w:rsidRDefault="008B6335" w:rsidP="008645A4">
                            <w:pPr>
                              <w:pStyle w:val="TableBodyText"/>
                              <w:jc w:val="center"/>
                            </w:pPr>
                            <w:r w:rsidRPr="000077D4">
                              <w:t>0.00</w:t>
                            </w:r>
                          </w:p>
                        </w:tc>
                      </w:tr>
                    </w:tbl>
                    <w:p w14:paraId="7D915FD6" w14:textId="77777777" w:rsidR="008B6335" w:rsidRDefault="008B6335" w:rsidP="008B6335"/>
                  </w:txbxContent>
                </v:textbox>
                <w10:wrap type="square" anchorx="margin"/>
              </v:shape>
            </w:pict>
          </mc:Fallback>
        </mc:AlternateContent>
      </w:r>
      <w:r w:rsidR="003F7B9F" w:rsidRPr="009D2910">
        <w:rPr>
          <w:rStyle w:val="Strong"/>
          <w:rFonts w:ascii="Cambria" w:hAnsi="Cambria"/>
          <w:sz w:val="22"/>
          <w:szCs w:val="22"/>
        </w:rPr>
        <w:t>Ax</w:t>
      </w:r>
      <w:r w:rsidR="006C17FD">
        <w:rPr>
          <w:rStyle w:val="Strong"/>
          <w:rFonts w:ascii="Cambria" w:hAnsi="Cambria"/>
          <w:sz w:val="22"/>
          <w:szCs w:val="22"/>
        </w:rPr>
        <w:t>l</w:t>
      </w:r>
      <w:r w:rsidR="003F7B9F" w:rsidRPr="009D2910">
        <w:rPr>
          <w:rStyle w:val="Strong"/>
          <w:rFonts w:ascii="Cambria" w:hAnsi="Cambria"/>
          <w:sz w:val="22"/>
          <w:szCs w:val="22"/>
        </w:rPr>
        <w:t>e Load Spectra</w:t>
      </w:r>
    </w:p>
    <w:p w14:paraId="77D3C2E3" w14:textId="3C5898B3" w:rsidR="003F7B9F" w:rsidRPr="000077D4" w:rsidRDefault="003F7B9F" w:rsidP="00A35EAF">
      <w:pPr>
        <w:pStyle w:val="BodyText"/>
      </w:pPr>
      <w:r w:rsidRPr="005576C5">
        <w:t xml:space="preserve">The basis for all truck </w:t>
      </w:r>
      <w:r w:rsidRPr="000077D4">
        <w:t xml:space="preserve">loading estimates </w:t>
      </w:r>
      <w:r w:rsidRPr="005576C5">
        <w:t xml:space="preserve">is the axle load distribution table, also called an axle load spectrum (or the plural form called spectra). An axle load spectrum is computed using </w:t>
      </w:r>
      <w:r>
        <w:t>IVR</w:t>
      </w:r>
      <w:r w:rsidRPr="005576C5">
        <w:t xml:space="preserve"> data collected by WIM systems for individual vehicle passes over the WIM sensors. It describes the distribution of axle weights for each axle group (single, tandem, tridem, quad</w:t>
      </w:r>
      <w:r w:rsidR="00CC0D95">
        <w:t>,</w:t>
      </w:r>
      <w:r w:rsidRPr="005576C5">
        <w:t xml:space="preserve"> and penta+) and for each class of</w:t>
      </w:r>
      <w:r w:rsidR="00EC03C5">
        <w:t> </w:t>
      </w:r>
      <w:r w:rsidRPr="005576C5">
        <w:t>vehicles. Load spectra are frequently normalized (i.e.,</w:t>
      </w:r>
      <w:r w:rsidR="00EC03C5">
        <w:t> </w:t>
      </w:r>
      <w:r w:rsidRPr="005576C5">
        <w:t xml:space="preserve">expressed as percentile distribution) so that the table shows the fraction </w:t>
      </w:r>
      <w:r w:rsidRPr="000077D4">
        <w:t xml:space="preserve">of axles within specific load ranges for a given class of vehicles. </w:t>
      </w:r>
      <w:r w:rsidR="006827F7">
        <w:fldChar w:fldCharType="begin"/>
      </w:r>
      <w:r w:rsidR="006827F7">
        <w:instrText xml:space="preserve"> REF _Ref114750040 \h </w:instrText>
      </w:r>
      <w:r w:rsidR="006827F7">
        <w:fldChar w:fldCharType="separate"/>
      </w:r>
      <w:r w:rsidR="00C07DF9">
        <w:t xml:space="preserve">Table </w:t>
      </w:r>
      <w:r w:rsidR="00C07DF9">
        <w:rPr>
          <w:noProof/>
        </w:rPr>
        <w:t>3</w:t>
      </w:r>
      <w:r w:rsidR="00C07DF9">
        <w:noBreakHyphen/>
      </w:r>
      <w:r w:rsidR="00C07DF9">
        <w:rPr>
          <w:noProof/>
        </w:rPr>
        <w:t>11</w:t>
      </w:r>
      <w:r w:rsidR="006827F7">
        <w:fldChar w:fldCharType="end"/>
      </w:r>
      <w:r w:rsidRPr="000077D4">
        <w:t xml:space="preserve"> shows an example of normalized (i.e.</w:t>
      </w:r>
      <w:r w:rsidR="00CC0D95">
        <w:t>,</w:t>
      </w:r>
      <w:r w:rsidRPr="000077D4">
        <w:t xml:space="preserve"> expressed as a percentile frequency distribution) load spectra for single and tandem axles for class 9 trucks obtained from one of Florida DOT WIM </w:t>
      </w:r>
      <w:r w:rsidRPr="00911AE2">
        <w:t>sites.</w:t>
      </w:r>
    </w:p>
    <w:p w14:paraId="44E6FD5D" w14:textId="1A4562D2" w:rsidR="003F7B9F" w:rsidRPr="000077D4" w:rsidRDefault="003F7B9F" w:rsidP="00A35EAF">
      <w:pPr>
        <w:pStyle w:val="BodyText"/>
      </w:pPr>
      <w:r w:rsidRPr="000077D4">
        <w:t xml:space="preserve">Understanding and accounting for monthly variations in vehicle weights is becoming increasingly important for both economic analyses and pavement design procedures. The AASHTO MEPDG MOP pavement design procedures require input of a normalized axle loading distribution representing a typical day of each calendar month. Therefore, the traffic data collection process should be able to detect and report differences in loads </w:t>
      </w:r>
      <w:r w:rsidRPr="000D7942">
        <w:t xml:space="preserve">by month (because the number of trucks or the weights of individual trucks vary) during the </w:t>
      </w:r>
      <w:r w:rsidRPr="00295E77">
        <w:t>year. Appendix</w:t>
      </w:r>
      <w:r w:rsidR="00601A40">
        <w:t xml:space="preserve"> </w:t>
      </w:r>
      <w:r w:rsidR="00295E77">
        <w:t>F</w:t>
      </w:r>
      <w:r w:rsidR="00AE0EC4">
        <w:t xml:space="preserve"> </w:t>
      </w:r>
      <w:r w:rsidRPr="000077D4">
        <w:t>contains AASHTOWare Pavement ME Design (PMED) software requirements for axle loading distribution factor reporting.</w:t>
      </w:r>
    </w:p>
    <w:p w14:paraId="6C92BF36" w14:textId="77777777" w:rsidR="003F7B9F" w:rsidRPr="004F4346" w:rsidRDefault="003F7B9F" w:rsidP="00A35EAF">
      <w:pPr>
        <w:pStyle w:val="BodyText"/>
        <w:rPr>
          <w:rStyle w:val="Strong"/>
          <w:rFonts w:ascii="Cambria" w:hAnsi="Cambria"/>
          <w:sz w:val="22"/>
          <w:szCs w:val="22"/>
        </w:rPr>
      </w:pPr>
      <w:r w:rsidRPr="004F4346">
        <w:rPr>
          <w:rStyle w:val="Strong"/>
          <w:rFonts w:ascii="Cambria" w:hAnsi="Cambria"/>
          <w:sz w:val="22"/>
          <w:szCs w:val="22"/>
        </w:rPr>
        <w:t>Traffic Loading Estimates Derived from Axle Load Spectra</w:t>
      </w:r>
    </w:p>
    <w:p w14:paraId="54BE6012" w14:textId="37D1906E" w:rsidR="003F7B9F" w:rsidRPr="000077D4" w:rsidRDefault="003F7B9F" w:rsidP="00A35EAF">
      <w:pPr>
        <w:pStyle w:val="BodyText"/>
      </w:pPr>
      <w:r w:rsidRPr="000077D4">
        <w:t xml:space="preserve">Once developed, axle load spectra are often converted into other statistics, such as ESAL, GVW, or total traffic loading statistics. Thus, agencies should have means to develop the normalized axle loading distributions using their WIM data. </w:t>
      </w:r>
    </w:p>
    <w:p w14:paraId="26786A48" w14:textId="7D9EADE4" w:rsidR="003F7B9F" w:rsidRPr="000077D4" w:rsidRDefault="003F7B9F" w:rsidP="00A35EAF">
      <w:pPr>
        <w:pStyle w:val="BodyText"/>
      </w:pPr>
      <w:r w:rsidRPr="000077D4">
        <w:t xml:space="preserve">Axle load spectra and the resulting ESAL and GVW statistics can be derived directly only from WIM sites or static weight scales. Because WIM equipment is expensive to install and maintain, WIM data are available at only a few locations in </w:t>
      </w:r>
      <w:r w:rsidR="00CC0D95">
        <w:t>a</w:t>
      </w:r>
      <w:r w:rsidR="00CC0D95" w:rsidRPr="000077D4">
        <w:t xml:space="preserve"> </w:t>
      </w:r>
      <w:r w:rsidRPr="000077D4">
        <w:t xml:space="preserve">State. Thus, at most road sites, truck weight data items cannot be measured directly. Instead, the traffic loading </w:t>
      </w:r>
      <w:r>
        <w:t>estimates</w:t>
      </w:r>
      <w:r w:rsidRPr="000077D4">
        <w:t xml:space="preserve"> are obtained by combining a representative, normalized axle load spectra collected elsewhere in the State and a site-specific count of volume by vehicle classification. </w:t>
      </w:r>
    </w:p>
    <w:p w14:paraId="74921A87" w14:textId="77777777" w:rsidR="003F7B9F" w:rsidRPr="00686DCB" w:rsidRDefault="003F7B9F" w:rsidP="00A119E0">
      <w:pPr>
        <w:pStyle w:val="CallOut"/>
      </w:pPr>
      <w:r w:rsidRPr="00686DCB">
        <w:t xml:space="preserve">Multiplying the </w:t>
      </w:r>
      <w:r>
        <w:t xml:space="preserve">site-specific </w:t>
      </w:r>
      <w:r w:rsidRPr="00686DCB">
        <w:t>truck volume</w:t>
      </w:r>
      <w:r>
        <w:t xml:space="preserve"> statistics</w:t>
      </w:r>
      <w:r w:rsidRPr="00686DCB">
        <w:t xml:space="preserve"> (AADTT or MADT by vehicle class) by the normalized axle load spectra and by the number of axles per truck yields site-specific estimate of the annual or monthly average daily traffic loading by vehicle class and axle group for that site. Summing the products across axle groups provides an estimate of the traffic load by vehicle class. Further summation across all vehicle classes provides an estimate of the average daily total traffic load.</w:t>
      </w:r>
    </w:p>
    <w:p w14:paraId="2410AD19" w14:textId="4B81ED2D" w:rsidR="003F7B9F" w:rsidRPr="000077D4" w:rsidRDefault="003F7B9F" w:rsidP="00A35EAF">
      <w:pPr>
        <w:pStyle w:val="BodyText"/>
        <w:rPr>
          <w:highlight w:val="green"/>
        </w:rPr>
      </w:pPr>
      <w:r w:rsidRPr="000077D4">
        <w:t xml:space="preserve">That is, the site-specific classification count is used to determine how many trucks of a particular type travel on the road. The WIM data determine how many axles of each type are present for each class of trucks and </w:t>
      </w:r>
      <w:r>
        <w:t>the weight of</w:t>
      </w:r>
      <w:r w:rsidRPr="000077D4">
        <w:t xml:space="preserve"> each of those axles</w:t>
      </w:r>
      <w:r>
        <w:t>.</w:t>
      </w:r>
      <w:r w:rsidRPr="000077D4">
        <w:t xml:space="preserve"> For example, if a road section carries 100 Class 9 trucks in a day, it </w:t>
      </w:r>
      <w:r>
        <w:t xml:space="preserve">likely </w:t>
      </w:r>
      <w:r w:rsidRPr="000077D4">
        <w:t>experiences approximately 100 single axles and 200 sets of tandem axles. (Directions for developing and applying representative axle load spectra for load factor group are given later in this chapter.)</w:t>
      </w:r>
    </w:p>
    <w:p w14:paraId="2ECD5BE5" w14:textId="5274C02C" w:rsidR="003F7B9F" w:rsidRPr="005576C5" w:rsidRDefault="003F7B9F" w:rsidP="00A35EAF">
      <w:pPr>
        <w:pStyle w:val="BodyText"/>
      </w:pPr>
      <w:r w:rsidRPr="000077D4">
        <w:lastRenderedPageBreak/>
        <w:t xml:space="preserve">Alternatively, if the average GVW for each vehicle class is known or computed based on WIM data, multiplying the number of trucks within a given class by the average GVW for vehicles of that class yields the total number of pounds or </w:t>
      </w:r>
      <w:r w:rsidRPr="005576C5">
        <w:t xml:space="preserve">total traffic load applied by that class on that roadway. Adding these values across all vehicle classes yields the total load carried by that road. </w:t>
      </w:r>
    </w:p>
    <w:p w14:paraId="174B226E" w14:textId="77777777" w:rsidR="003F7B9F" w:rsidRPr="004F4346" w:rsidRDefault="003F7B9F" w:rsidP="00A35EAF">
      <w:pPr>
        <w:pStyle w:val="BodyText"/>
        <w:rPr>
          <w:rStyle w:val="Strong"/>
          <w:rFonts w:ascii="Cambria" w:hAnsi="Cambria"/>
          <w:sz w:val="22"/>
          <w:szCs w:val="22"/>
        </w:rPr>
      </w:pPr>
      <w:r w:rsidRPr="004F4346">
        <w:rPr>
          <w:rStyle w:val="Strong"/>
          <w:rFonts w:ascii="Cambria" w:hAnsi="Cambria"/>
          <w:sz w:val="22"/>
          <w:szCs w:val="22"/>
        </w:rPr>
        <w:t>ESAL Computation</w:t>
      </w:r>
    </w:p>
    <w:p w14:paraId="28C551AF" w14:textId="63FD363E" w:rsidR="00B45D3A" w:rsidRPr="00B45D3A" w:rsidRDefault="003F7B9F" w:rsidP="00A35EAF">
      <w:pPr>
        <w:pStyle w:val="BodyText"/>
      </w:pPr>
      <w:r w:rsidRPr="005576C5">
        <w:t xml:space="preserve">The axle load distribution by axle load range can be converted into an ESAL. To make this conversion, an ESAL per axle factor, also called AASHTO </w:t>
      </w:r>
      <w:r w:rsidR="00B45D3A">
        <w:t xml:space="preserve">axle </w:t>
      </w:r>
      <w:r w:rsidR="00B45D3A" w:rsidRPr="005576C5">
        <w:t xml:space="preserve">load equivalency factor </w:t>
      </w:r>
      <w:r w:rsidRPr="005576C5">
        <w:t xml:space="preserve">(LEF), is assigned to each axle load measured at the WIM location. </w:t>
      </w:r>
      <w:r w:rsidR="00B45D3A" w:rsidRPr="00B45D3A">
        <w:t xml:space="preserve">ESAL per axle factors can be obtained from </w:t>
      </w:r>
      <w:r w:rsidR="0080604E">
        <w:t xml:space="preserve">the </w:t>
      </w:r>
      <w:r w:rsidR="00B45D3A" w:rsidRPr="00B45D3A">
        <w:t xml:space="preserve">1993 edition of </w:t>
      </w:r>
      <w:r w:rsidR="00024524">
        <w:t xml:space="preserve">the </w:t>
      </w:r>
      <w:r w:rsidR="00B45D3A" w:rsidRPr="00B45D3A">
        <w:t xml:space="preserve">AASHTO Guide for Design of Pavement Structures Appendix </w:t>
      </w:r>
      <w:r w:rsidR="003907E4">
        <w:t>F</w:t>
      </w:r>
      <w:r w:rsidR="00B45D3A" w:rsidRPr="00B45D3A">
        <w:t xml:space="preserve"> Tables D.1 to D.18 Axle Load Equivalency factors. These values vary by pavement</w:t>
      </w:r>
      <w:r w:rsidR="00B45D3A">
        <w:t xml:space="preserve"> </w:t>
      </w:r>
      <w:r w:rsidR="00B45D3A" w:rsidRPr="00B45D3A">
        <w:t>type, slab thickness (for rigid pavements)</w:t>
      </w:r>
      <w:r w:rsidR="001B7382">
        <w:t>,</w:t>
      </w:r>
      <w:r w:rsidR="00B45D3A" w:rsidRPr="00B45D3A">
        <w:t xml:space="preserve"> or pavement structural number (for flexible pavements), and pavement terminal serviceability index.</w:t>
      </w:r>
    </w:p>
    <w:p w14:paraId="38749F51" w14:textId="2C1D2ABA" w:rsidR="003F7B9F" w:rsidRPr="005576C5" w:rsidRDefault="003F7B9F" w:rsidP="00A35EAF">
      <w:pPr>
        <w:pStyle w:val="BodyText"/>
      </w:pPr>
      <w:r>
        <w:t xml:space="preserve">LEF values depend on axle load magnitude, axle group, pavement type, </w:t>
      </w:r>
      <w:r w:rsidRPr="005E784B">
        <w:t>pavement structure (structural number for flexible and slab depth for rigid)</w:t>
      </w:r>
      <w:r>
        <w:t>,</w:t>
      </w:r>
      <w:r w:rsidRPr="005E784B">
        <w:t xml:space="preserve"> </w:t>
      </w:r>
      <w:r>
        <w:t xml:space="preserve">and pavement terminal serviceability index. </w:t>
      </w:r>
      <w:r w:rsidRPr="005576C5">
        <w:t>Th</w:t>
      </w:r>
      <w:r>
        <w:t>e LEF</w:t>
      </w:r>
      <w:r w:rsidRPr="005576C5">
        <w:t xml:space="preserve"> value times the number of axles within that axle load range yields the number of ESALs for that axle </w:t>
      </w:r>
      <w:r w:rsidR="00B45D3A">
        <w:t>group</w:t>
      </w:r>
      <w:r w:rsidR="00B45D3A" w:rsidRPr="005576C5">
        <w:t xml:space="preserve"> </w:t>
      </w:r>
      <w:r w:rsidRPr="005576C5">
        <w:t>and load range. Summing these values across all load ranges</w:t>
      </w:r>
      <w:r w:rsidR="00B45D3A">
        <w:t>,</w:t>
      </w:r>
      <w:r w:rsidRPr="005576C5">
        <w:t xml:space="preserve"> all axle groups</w:t>
      </w:r>
      <w:r w:rsidR="00B45D3A">
        <w:t>,</w:t>
      </w:r>
      <w:r w:rsidRPr="005576C5">
        <w:t xml:space="preserve"> </w:t>
      </w:r>
      <w:r w:rsidR="00B45D3A">
        <w:t xml:space="preserve">and all vehicle classes </w:t>
      </w:r>
      <w:r w:rsidRPr="005576C5">
        <w:t>yields the total number of ESALs applied to th</w:t>
      </w:r>
      <w:r>
        <w:t>e</w:t>
      </w:r>
      <w:r w:rsidRPr="005576C5">
        <w:t xml:space="preserve"> roadway</w:t>
      </w:r>
      <w:r w:rsidR="00295E77">
        <w:t>.</w:t>
      </w:r>
      <w:r w:rsidR="00B45D3A" w:rsidRPr="00B45D3A">
        <w:t xml:space="preserve"> </w:t>
      </w:r>
      <w:r w:rsidR="001B7382">
        <w:t>The n</w:t>
      </w:r>
      <w:r w:rsidR="00B45D3A" w:rsidRPr="00B45D3A">
        <w:t xml:space="preserve">umber of </w:t>
      </w:r>
      <w:r w:rsidR="00B45D3A">
        <w:t>a</w:t>
      </w:r>
      <w:r w:rsidR="00B45D3A" w:rsidRPr="00B45D3A">
        <w:t xml:space="preserve">xles by load range </w:t>
      </w:r>
      <w:r w:rsidR="001B7382">
        <w:t>is</w:t>
      </w:r>
      <w:r w:rsidR="001B7382" w:rsidRPr="00B45D3A">
        <w:t xml:space="preserve"> </w:t>
      </w:r>
      <w:r w:rsidR="00B45D3A" w:rsidRPr="00B45D3A">
        <w:t>computed from IVRs collected by WIM equipment.</w:t>
      </w:r>
    </w:p>
    <w:p w14:paraId="6D10B998" w14:textId="0416D5B3" w:rsidR="003F7B9F" w:rsidRPr="00517F7A" w:rsidRDefault="003F7B9F">
      <w:pPr>
        <w:pStyle w:val="Heading3"/>
      </w:pPr>
      <w:bookmarkStart w:id="1879" w:name="_Toc68190213"/>
      <w:bookmarkStart w:id="1880" w:name="_Toc118205641"/>
      <w:r w:rsidRPr="00517F7A">
        <w:t>Step 2.</w:t>
      </w:r>
      <w:r w:rsidR="004D4172">
        <w:t xml:space="preserve"> </w:t>
      </w:r>
      <w:r w:rsidRPr="00517F7A">
        <w:t>Inventory Existing WIM Sites and Assess WIM Site Locations</w:t>
      </w:r>
      <w:bookmarkEnd w:id="1879"/>
      <w:bookmarkEnd w:id="1880"/>
    </w:p>
    <w:p w14:paraId="35ACEDE3" w14:textId="7B10DA16" w:rsidR="003F7B9F" w:rsidRPr="00686DCB" w:rsidRDefault="003F7B9F" w:rsidP="00A35EAF">
      <w:pPr>
        <w:pStyle w:val="BodyText"/>
      </w:pPr>
      <w:r w:rsidRPr="000077D4">
        <w:t xml:space="preserve">The State should conduct a detailed inventory of its WIM assets and assess its existing WIM data collection sites against WIM program goals and objectives. An existing WIM site may require relocation </w:t>
      </w:r>
      <w:r>
        <w:t xml:space="preserve">or pavement </w:t>
      </w:r>
      <w:r w:rsidRPr="000077D4">
        <w:t>remediat</w:t>
      </w:r>
      <w:r>
        <w:t>ion</w:t>
      </w:r>
      <w:r w:rsidDel="001E6A9B">
        <w:t xml:space="preserve"> </w:t>
      </w:r>
      <w:r w:rsidRPr="000077D4">
        <w:t>because of failure of the pavement surrounding the WIM sensors or failure of the WIM equipment. To make this determination, the need for that WIM site should be evaluated. Sites that are still needed should be reinstalled and/or pavement remediated. If that site is no longer needed or if other higher priority locations exist, the WIM equipment should be moved to another site. Based on users’ needs, the additional sites may become necessary.</w:t>
      </w:r>
      <w:r w:rsidRPr="000077D4" w:rsidDel="00480E64">
        <w:t xml:space="preserve"> </w:t>
      </w:r>
    </w:p>
    <w:p w14:paraId="462EE612" w14:textId="508B88AF" w:rsidR="003F7B9F" w:rsidRPr="000077D4" w:rsidRDefault="003F7B9F" w:rsidP="008645A4">
      <w:pPr>
        <w:pStyle w:val="BodyText"/>
      </w:pPr>
      <w:r w:rsidRPr="000077D4">
        <w:t>The State should assess if WIM sensor locations are conducive to accurate measurement of the vertical forces applied by vehicle wheels to sensors in the roadway while the truck travels over the sensors</w:t>
      </w:r>
      <w:r w:rsidR="001B7382">
        <w:t>.</w:t>
      </w:r>
      <w:r w:rsidRPr="000077D4">
        <w:t xml:space="preserve"> </w:t>
      </w:r>
      <w:r w:rsidR="001B7382">
        <w:t>T</w:t>
      </w:r>
      <w:r w:rsidRPr="000077D4">
        <w:t>hese forces are used for estimating axle and truck weights as if the truck was stationary. The task is complicated by a variety of factors, including the following:</w:t>
      </w:r>
    </w:p>
    <w:p w14:paraId="103D1AC2" w14:textId="77777777" w:rsidR="003F7B9F" w:rsidRPr="00DC3036" w:rsidRDefault="003F7B9F">
      <w:pPr>
        <w:pStyle w:val="TMGBullet"/>
        <w:contextualSpacing w:val="0"/>
      </w:pPr>
      <w:r w:rsidRPr="00DC3036">
        <w:t xml:space="preserve">Each sensor registers the vertical force of each axle for only a brief time. </w:t>
      </w:r>
    </w:p>
    <w:p w14:paraId="13382C44" w14:textId="63C87CB5" w:rsidR="003F7B9F" w:rsidRPr="00DC3036" w:rsidRDefault="003F7B9F">
      <w:pPr>
        <w:pStyle w:val="TMGBullet"/>
        <w:contextualSpacing w:val="0"/>
      </w:pPr>
      <w:r w:rsidRPr="00DC3036">
        <w:t>The weight estimated by the WIM system based on that measurement varies because while the vehicle is in motion, the truck and its components may experience up and down motion, generating dynamic forces. If the truck mass is moving upward when an axle crosses the WIM sensor, the weight applied by that axle is lower</w:t>
      </w:r>
      <w:r w:rsidR="00FE0E99">
        <w:t> </w:t>
      </w:r>
      <w:r w:rsidRPr="00DC3036">
        <w:t>than the static value. If the truck mass is landing, the weight applied is greater than the static value. (In</w:t>
      </w:r>
      <w:r w:rsidR="00FE0E99">
        <w:t> </w:t>
      </w:r>
      <w:r w:rsidRPr="00DC3036">
        <w:t>addition, truck components such as shock absorbers or the type of load being carried are also in motion, affecting the axle weight at any given instant in time.) The WIM systems are designed to account for this variation but can only account for modest vertical truck movements. Removal or the reduction of vehicle dynamics is an important part of a successful WIM site.</w:t>
      </w:r>
    </w:p>
    <w:p w14:paraId="6D06F17C" w14:textId="77777777" w:rsidR="003F7B9F" w:rsidRPr="00DC3036" w:rsidRDefault="003F7B9F">
      <w:pPr>
        <w:pStyle w:val="TMGBullet"/>
        <w:contextualSpacing w:val="0"/>
      </w:pPr>
      <w:r w:rsidRPr="00DC3036">
        <w:t>Some sensors (strip or line sensors) register only a portion of the tire weight at any given time. Because the sensor is smaller than the footprint of the tire, the pavement surrounding the sensor physically supports some portion of the axle weight throughout the axle weight measurement.</w:t>
      </w:r>
    </w:p>
    <w:p w14:paraId="3E6B1882" w14:textId="7F5854B1" w:rsidR="003F7B9F" w:rsidRPr="00DC3036" w:rsidRDefault="003F7B9F">
      <w:pPr>
        <w:pStyle w:val="TMGBullet"/>
        <w:contextualSpacing w:val="0"/>
      </w:pPr>
      <w:r w:rsidRPr="00DC3036">
        <w:t>Sensors should be capable of weighing more than one axle in quick succession. That is, the sensor should be able to recover quickly enough so that one axle weight does not affect the measurement of the following axle. At a minimum each WIM lane should measure both the left and right axle weight at least once.</w:t>
      </w:r>
    </w:p>
    <w:p w14:paraId="2D9813D0" w14:textId="0905ED64" w:rsidR="003F7B9F" w:rsidRPr="00DC3036" w:rsidRDefault="003F7B9F">
      <w:pPr>
        <w:pStyle w:val="TMGBullet"/>
        <w:contextualSpacing w:val="0"/>
      </w:pPr>
      <w:r w:rsidRPr="00DC3036">
        <w:t xml:space="preserve">Roadway geometries such as grade, slope, </w:t>
      </w:r>
      <w:r w:rsidR="00F316B7">
        <w:t xml:space="preserve">and </w:t>
      </w:r>
      <w:r w:rsidRPr="00DC3036">
        <w:t>horizontal and vertical curves can cause shifts in vehicle weight from one axle to another or from one side to another, which would not be present if the truck was at rest on a flat scale platform.</w:t>
      </w:r>
    </w:p>
    <w:p w14:paraId="3E3CCB35" w14:textId="7AB608DA" w:rsidR="003F7B9F" w:rsidRPr="00DC3036" w:rsidRDefault="003F7B9F">
      <w:pPr>
        <w:pStyle w:val="TMGBullet"/>
        <w:contextualSpacing w:val="0"/>
      </w:pPr>
      <w:r w:rsidRPr="00DC3036">
        <w:lastRenderedPageBreak/>
        <w:t>Vehicle acceleration or braking, torque from the drive axles, wind (head or cross), the style and condition of vehicle’s suspension system, and a variety of other factors can also cause shifts of weight from left to right and one axle to another.</w:t>
      </w:r>
    </w:p>
    <w:p w14:paraId="3D4C9662" w14:textId="347E8B75" w:rsidR="003F7B9F" w:rsidRPr="00DC3036" w:rsidRDefault="003F7B9F">
      <w:pPr>
        <w:pStyle w:val="TMGBullet"/>
      </w:pPr>
      <w:r w:rsidRPr="00DC3036">
        <w:t>To provide the ability for accurate weight data collection, all WIM sites should have sensors installed flush with the road (i.e., permanently installed sensors).</w:t>
      </w:r>
      <w:r w:rsidR="004D4172">
        <w:t xml:space="preserve"> </w:t>
      </w:r>
    </w:p>
    <w:p w14:paraId="3E31F72E" w14:textId="75B8CF82" w:rsidR="003F7B9F" w:rsidRPr="00686DCB" w:rsidRDefault="003F7B9F" w:rsidP="00A119E0">
      <w:pPr>
        <w:pStyle w:val="CallOut"/>
      </w:pPr>
      <w:r w:rsidRPr="00686DCB">
        <w:t xml:space="preserve">Strip or line </w:t>
      </w:r>
      <w:r>
        <w:t xml:space="preserve">WIM </w:t>
      </w:r>
      <w:r w:rsidRPr="00686DCB">
        <w:t xml:space="preserve">sensors register only a portion of the tire weight at any given time. Because the sensor is </w:t>
      </w:r>
      <w:r>
        <w:t>more</w:t>
      </w:r>
      <w:r w:rsidR="00DC3036">
        <w:t xml:space="preserve"> </w:t>
      </w:r>
      <w:r>
        <w:t>narrow</w:t>
      </w:r>
      <w:r w:rsidRPr="00686DCB">
        <w:t xml:space="preserve"> than the footprint of the tire, the pavement surrounding the sensor physically supports some portion of the axle weight throughout the axle weight measurement.</w:t>
      </w:r>
    </w:p>
    <w:p w14:paraId="1DE487CA" w14:textId="4DFD9D6B" w:rsidR="003F7B9F" w:rsidRPr="000077D4" w:rsidRDefault="003F7B9F" w:rsidP="00A35EAF">
      <w:pPr>
        <w:pStyle w:val="BodyText"/>
      </w:pPr>
      <w:r w:rsidRPr="000077D4">
        <w:t xml:space="preserve">The effects of many of these factors can be minimized through careful WIM site selection and design of the WIM site. The </w:t>
      </w:r>
      <w:r w:rsidRPr="00601A40">
        <w:rPr>
          <w:i/>
          <w:iCs/>
        </w:rPr>
        <w:t>WIM Pocket Guide</w:t>
      </w:r>
      <w:r w:rsidRPr="000077D4">
        <w:t xml:space="preserve"> </w:t>
      </w:r>
      <w:r w:rsidR="00601A40">
        <w:t xml:space="preserve">(FHWA, 2018) </w:t>
      </w:r>
      <w:r w:rsidRPr="000077D4">
        <w:t xml:space="preserve">provides detailed information about the desired WIM site features, the recommended WIM sensor configurations, strengths, and weaknesses of different WIM sensor technologies. </w:t>
      </w:r>
    </w:p>
    <w:p w14:paraId="633A0F52" w14:textId="158D00FE" w:rsidR="003F7B9F" w:rsidRPr="000077D4" w:rsidRDefault="003F7B9F" w:rsidP="00A35EAF">
      <w:pPr>
        <w:pStyle w:val="BodyText"/>
      </w:pPr>
      <w:r w:rsidRPr="000077D4">
        <w:t xml:space="preserve">The site should be selected and designed to reduce the dynamic motion of passing vehicles. However, achieving these design controls requires restrictions on site selection, which means that WIM systems cannot be placed as easily or as universally as other traffic monitoring equipment. They should not be placed in rough pavement or pavement that is in poor condition. To help States identify those locations where pavement conditions are conducive to the placement and operation of WIM equipment, the FHWA-LTPP program has developed a software module called the Optimal WIM Locator (OWL) that is part of the Profile Viewing and Analysis (ProVAL) software system. The OWL software uses pavement profile information to identify optimal WIM sensor locations. Both ProVAL and the OWL module are free. Information on both ProVAL and the OWL module can be obtained through the LTPP Customer Support Service Center. </w:t>
      </w:r>
    </w:p>
    <w:p w14:paraId="456AACCF" w14:textId="5D6BD20F" w:rsidR="003F7B9F" w:rsidRPr="000077D4" w:rsidRDefault="003F7B9F" w:rsidP="00A35EAF">
      <w:pPr>
        <w:pStyle w:val="BodyText"/>
      </w:pPr>
      <w:r w:rsidRPr="000077D4">
        <w:t>WIM sensors work most accurately when they are placed flush with the roadway. Sensors that sit on top of the roadway cause two problems with WIM system accuracy: 1) They induce additional short-wave</w:t>
      </w:r>
      <w:r w:rsidR="00F316B7">
        <w:t>-</w:t>
      </w:r>
      <w:r w:rsidRPr="000077D4">
        <w:t>length dynamic motion in the vehicle</w:t>
      </w:r>
      <w:r>
        <w:t xml:space="preserve"> axles</w:t>
      </w:r>
      <w:r w:rsidRPr="000077D4">
        <w:t xml:space="preserve">; and 2) They can cause the sensor to measure the force of tire deformation (which includes a horizontal component not related to the weight of the axle) in addition to the axle weight. This means that permanent installation of the sensors and/or frames that hold the sensors is normally better for consistent, accurate weighing results. The use of permanent WIM sensors installed flush with the road surface is recommended as a means of improving the quality of the data. </w:t>
      </w:r>
    </w:p>
    <w:p w14:paraId="287449E2" w14:textId="77777777" w:rsidR="003F7B9F" w:rsidRPr="00517F7A" w:rsidRDefault="003F7B9F">
      <w:pPr>
        <w:pStyle w:val="Heading3"/>
      </w:pPr>
      <w:bookmarkStart w:id="1881" w:name="_Toc68190214"/>
      <w:bookmarkStart w:id="1882" w:name="_Toc118205642"/>
      <w:r w:rsidRPr="00517F7A">
        <w:t>Step 3. Determine the Roadway Groups to Be Monitored</w:t>
      </w:r>
      <w:bookmarkEnd w:id="1881"/>
      <w:bookmarkEnd w:id="1882"/>
    </w:p>
    <w:p w14:paraId="10431DEC" w14:textId="607862C2" w:rsidR="003F7B9F" w:rsidRPr="000077D4" w:rsidRDefault="003F7B9F" w:rsidP="00A35EAF">
      <w:pPr>
        <w:pStyle w:val="BodyText"/>
      </w:pPr>
      <w:r w:rsidRPr="000077D4">
        <w:t xml:space="preserve">The </w:t>
      </w:r>
      <w:r w:rsidRPr="005576C5">
        <w:t xml:space="preserve">primary objective of the weight </w:t>
      </w:r>
      <w:r w:rsidRPr="000077D4">
        <w:t xml:space="preserve">data collection program is to obtain a reliable measure of the axle weights and axle-to-axle spacings </w:t>
      </w:r>
      <w:r>
        <w:t xml:space="preserve">and </w:t>
      </w:r>
      <w:r w:rsidRPr="000077D4">
        <w:t>GVW</w:t>
      </w:r>
      <w:r>
        <w:t xml:space="preserve"> </w:t>
      </w:r>
      <w:r w:rsidRPr="000077D4">
        <w:t xml:space="preserve">per vehicle for different heavy vehicle classes (primarily for FHWA classes </w:t>
      </w:r>
      <w:r>
        <w:t>4</w:t>
      </w:r>
      <w:r w:rsidRPr="000077D4">
        <w:t xml:space="preserve"> to 13). </w:t>
      </w:r>
    </w:p>
    <w:p w14:paraId="79DFB0C3" w14:textId="77777777" w:rsidR="003F7B9F" w:rsidRPr="000077D4" w:rsidRDefault="003F7B9F" w:rsidP="008645A4">
      <w:pPr>
        <w:pStyle w:val="BodyText"/>
      </w:pPr>
      <w:r w:rsidRPr="000077D4">
        <w:t>The data collection plan for truck weight accounts for the following:</w:t>
      </w:r>
    </w:p>
    <w:p w14:paraId="158D145D" w14:textId="1B1A6292" w:rsidR="003F7B9F" w:rsidRPr="00DC3036" w:rsidRDefault="003F7B9F">
      <w:pPr>
        <w:pStyle w:val="TMGBullet"/>
      </w:pPr>
      <w:r w:rsidRPr="00DC3036">
        <w:t>The needs of State and Federal agencies for truck weight data</w:t>
      </w:r>
      <w:r w:rsidR="00794CDE">
        <w:t>.</w:t>
      </w:r>
    </w:p>
    <w:p w14:paraId="6053006F" w14:textId="0C6675B9" w:rsidR="003F7B9F" w:rsidRPr="00DC3036" w:rsidRDefault="003F7B9F">
      <w:pPr>
        <w:pStyle w:val="TMGBullet"/>
      </w:pPr>
      <w:r w:rsidRPr="00DC3036">
        <w:t>The capabilities and limitations of WIM equipment</w:t>
      </w:r>
      <w:r w:rsidR="00794CDE">
        <w:t>.</w:t>
      </w:r>
    </w:p>
    <w:p w14:paraId="6B449B8E" w14:textId="1EEECE90" w:rsidR="003F7B9F" w:rsidRPr="00DC3036" w:rsidRDefault="003F7B9F">
      <w:pPr>
        <w:pStyle w:val="TMGBullet"/>
      </w:pPr>
      <w:r w:rsidRPr="00DC3036">
        <w:t>The resource constraints found at many State highway agencies</w:t>
      </w:r>
      <w:r w:rsidR="00794CDE">
        <w:t>.</w:t>
      </w:r>
    </w:p>
    <w:p w14:paraId="421092BE" w14:textId="2971CDF9" w:rsidR="003F7B9F" w:rsidRPr="00DC3036" w:rsidRDefault="003F7B9F">
      <w:pPr>
        <w:pStyle w:val="TMGBullet"/>
      </w:pPr>
      <w:r w:rsidRPr="00DC3036">
        <w:t>The variability of truck weight data</w:t>
      </w:r>
      <w:r w:rsidR="00794CDE">
        <w:t>.</w:t>
      </w:r>
    </w:p>
    <w:p w14:paraId="10DA5C1E" w14:textId="77777777" w:rsidR="003F7B9F" w:rsidRPr="000077D4" w:rsidRDefault="003F7B9F" w:rsidP="00A35EAF">
      <w:pPr>
        <w:pStyle w:val="BodyText"/>
      </w:pPr>
      <w:r w:rsidRPr="000077D4">
        <w:t xml:space="preserve">The weight data collection program is based on collecting accurate axle weights for at least all heavy trucks that can be applied with confidence and statistical precision to all roads in a State. </w:t>
      </w:r>
    </w:p>
    <w:p w14:paraId="240C9D41" w14:textId="77777777" w:rsidR="003F7B9F" w:rsidRPr="000077D4" w:rsidRDefault="003F7B9F" w:rsidP="00A35EAF">
      <w:pPr>
        <w:pStyle w:val="BodyText"/>
      </w:pPr>
      <w:r w:rsidRPr="000077D4">
        <w:t xml:space="preserve">A single statewide average statistic such as GVW or ESAL per truck is not applicable to all parts of the State or all road types. Trucking characteristics can vary significantly by type of road or by geographic area within a State. </w:t>
      </w:r>
      <w:r>
        <w:t>Therefore</w:t>
      </w:r>
      <w:r w:rsidRPr="000077D4">
        <w:t xml:space="preserve">, it is important to collect data and maintain summary statistics for different regions or roads in the State. For example, the truck traffic in urban areas often has different truck weight characteristics than those in rural areas. Roads that serve major agricultural regions often have different loading characteristics than roads that serve resource extraction industries. Roads that serve major industrial areas within an urban area tend to carry much heavier trucks than roads that serve general urban and suburban areas. Roads that serve major through-truck movements often experience different truck weights than roads that serve primarily local truck traffic. </w:t>
      </w:r>
    </w:p>
    <w:p w14:paraId="12F97C7D" w14:textId="77777777" w:rsidR="003F7B9F" w:rsidRPr="000077D4" w:rsidRDefault="003F7B9F" w:rsidP="00A35EAF">
      <w:pPr>
        <w:pStyle w:val="BodyText"/>
      </w:pPr>
      <w:r w:rsidRPr="000077D4">
        <w:t xml:space="preserve">An effective truck weight program should identify these differences and include a data reporting mechanism to provide users with data summaries that correctly describe specific truck loading characteristics. </w:t>
      </w:r>
    </w:p>
    <w:p w14:paraId="082991E5" w14:textId="10271B67" w:rsidR="003F7B9F" w:rsidRPr="00E86A4D" w:rsidRDefault="003F7B9F" w:rsidP="00A119E0">
      <w:pPr>
        <w:pStyle w:val="CallOut"/>
      </w:pPr>
      <w:r w:rsidRPr="00E86A4D">
        <w:lastRenderedPageBreak/>
        <w:t>The procedure is to group the State’s roads into load factor categories, so that each of those groups experiences similar per</w:t>
      </w:r>
      <w:r w:rsidR="00794CDE">
        <w:t>-</w:t>
      </w:r>
      <w:r w:rsidRPr="00E86A4D">
        <w:t>truck loads, at least for the heavy vehicle classes (including busses and trucks) that are dominant on the roadway. All roads within the same load factor group should have freight traffic with similar characteristics and are subject to similar axle weight and GVW limits, including the monthly variations of these limits.</w:t>
      </w:r>
    </w:p>
    <w:p w14:paraId="3DCEA06F" w14:textId="77777777" w:rsidR="003F7B9F" w:rsidRPr="000077D4" w:rsidRDefault="003F7B9F" w:rsidP="00A35EAF">
      <w:pPr>
        <w:pStyle w:val="BodyText"/>
      </w:pPr>
      <w:r w:rsidRPr="000077D4">
        <w:t xml:space="preserve">For example, roads that experience trucks carrying predominantly heavy natural resources should be grouped separately from roads carrying only light, urban delivery loads. </w:t>
      </w:r>
    </w:p>
    <w:p w14:paraId="3AED9C8A" w14:textId="51BEFFBD" w:rsidR="003F7B9F" w:rsidRPr="000077D4" w:rsidRDefault="003F7B9F" w:rsidP="00A35EAF">
      <w:pPr>
        <w:pStyle w:val="BodyText"/>
      </w:pPr>
      <w:r w:rsidRPr="000077D4">
        <w:t xml:space="preserve">The weight data collection program is analogous to </w:t>
      </w:r>
      <w:r>
        <w:t xml:space="preserve">both </w:t>
      </w:r>
      <w:r w:rsidRPr="000077D4">
        <w:t xml:space="preserve">the </w:t>
      </w:r>
      <w:r>
        <w:t xml:space="preserve">CCS and CVC </w:t>
      </w:r>
      <w:r w:rsidRPr="000077D4">
        <w:t xml:space="preserve">programs for collecting </w:t>
      </w:r>
      <w:r>
        <w:t>temporal</w:t>
      </w:r>
      <w:r w:rsidRPr="000077D4">
        <w:t xml:space="preserve"> pattern information for volume and vehicle classification data. </w:t>
      </w:r>
      <w:r>
        <w:t>For t</w:t>
      </w:r>
      <w:r w:rsidRPr="000077D4">
        <w:t xml:space="preserve">he WIM sites </w:t>
      </w:r>
      <w:r w:rsidR="00794CDE">
        <w:t xml:space="preserve">that </w:t>
      </w:r>
      <w:r w:rsidRPr="000077D4">
        <w:t>provide data for pavement designs based on AASHTO MEPDG MOP,</w:t>
      </w:r>
      <w:r>
        <w:t xml:space="preserve"> a minimum of</w:t>
      </w:r>
      <w:r w:rsidRPr="000077D4">
        <w:t xml:space="preserve"> 12 calendar months of WIM data </w:t>
      </w:r>
      <w:r>
        <w:t xml:space="preserve">(January to December) </w:t>
      </w:r>
      <w:r w:rsidRPr="000077D4">
        <w:t>are needed to develop</w:t>
      </w:r>
      <w:r>
        <w:t xml:space="preserve"> monthly axle load distribution</w:t>
      </w:r>
      <w:r w:rsidRPr="000077D4">
        <w:t xml:space="preserve"> inputs for pavement design. </w:t>
      </w:r>
    </w:p>
    <w:p w14:paraId="489B2848" w14:textId="2765E515" w:rsidR="003F7B9F" w:rsidRPr="000077D4" w:rsidRDefault="003F7B9F" w:rsidP="008645A4">
      <w:pPr>
        <w:pStyle w:val="BodyText"/>
      </w:pPr>
      <w:r w:rsidRPr="000077D4">
        <w:t>Within each load factor groups, the State should operate several WIM sites (see ensuing sections how to determine the number of sites based on weight data variability and the desired precision of the estimate) with permanently install</w:t>
      </w:r>
      <w:r w:rsidR="008C6401">
        <w:t>ed</w:t>
      </w:r>
      <w:r w:rsidRPr="000077D4">
        <w:t xml:space="preserve"> in-road sensors. These sites should be used to identify </w:t>
      </w:r>
      <w:r>
        <w:t>monthly</w:t>
      </w:r>
      <w:r w:rsidRPr="000077D4">
        <w:t xml:space="preserve"> weight patterns, as well as per</w:t>
      </w:r>
      <w:r w:rsidR="008C6401">
        <w:t>-</w:t>
      </w:r>
      <w:r w:rsidRPr="000077D4">
        <w:t>truck loads that apply to all roads in the group. Where possible (given budget and staffing limitations), WIM sites within each load factor group should be monitoring truck and axle weights continuously to provide more reliable measures of seasonal changes in traffic loading. The number of continuous sites that a State should operate is primarily a function of:</w:t>
      </w:r>
    </w:p>
    <w:p w14:paraId="03653D4F" w14:textId="77777777" w:rsidR="003F7B9F" w:rsidRPr="00DC3036" w:rsidRDefault="003F7B9F">
      <w:pPr>
        <w:pStyle w:val="TMGBullet"/>
        <w:contextualSpacing w:val="0"/>
      </w:pPr>
      <w:r w:rsidRPr="00DC3036">
        <w:t>Each State’s ability to supply the resources needed to monitor the sites to ensure the provision of accurate data throughout the year.</w:t>
      </w:r>
    </w:p>
    <w:p w14:paraId="5DEDA96F" w14:textId="0B120DEE" w:rsidR="003F7B9F" w:rsidRPr="00DC3036" w:rsidRDefault="003F7B9F">
      <w:pPr>
        <w:pStyle w:val="TMGBullet"/>
        <w:contextualSpacing w:val="0"/>
      </w:pPr>
      <w:r w:rsidRPr="00DC3036">
        <w:t>User needs and requirements for weight data, including roads and/or bridges that are high priority for WIM data users or WIM program sponsors.</w:t>
      </w:r>
    </w:p>
    <w:p w14:paraId="0189E7D6" w14:textId="02E31515" w:rsidR="003F7B9F" w:rsidRPr="00DC3036" w:rsidRDefault="003F7B9F">
      <w:pPr>
        <w:pStyle w:val="TMGBullet"/>
      </w:pPr>
      <w:r w:rsidRPr="00DC3036">
        <w:t>Monthly truck loading patterns observed for each load factor group (lesser number of continuous sites if monthly variation in per</w:t>
      </w:r>
      <w:r w:rsidR="008C6401">
        <w:t>-</w:t>
      </w:r>
      <w:r w:rsidRPr="00DC3036">
        <w:t>truck loads is insignificant or very stable and well understood and accounted for in sampling plan).</w:t>
      </w:r>
    </w:p>
    <w:p w14:paraId="228FAE6C" w14:textId="4EAD18E2" w:rsidR="003F7B9F" w:rsidRPr="000077D4" w:rsidRDefault="003F7B9F" w:rsidP="00A35EAF">
      <w:pPr>
        <w:pStyle w:val="BodyText"/>
      </w:pPr>
      <w:r w:rsidRPr="000077D4">
        <w:t xml:space="preserve">However, if the State has limited data on </w:t>
      </w:r>
      <w:r>
        <w:t>monthly</w:t>
      </w:r>
      <w:r w:rsidRPr="000077D4">
        <w:t xml:space="preserve"> weight patterns or if prior data collection has shown the pattern to be inconsistent, then a larger number of continuous counters may be needed. Performing additional vehicle weighing, both by operating continuous WIM sensors and by collecting data at more than the minimum number of sensor sites, will allow a State to determine whether the initial groups selected carry similar truck traffic. Where new data collection shows that monitored roads do not carry traffic with loading characteristics similar to those of other roads in the group, the State should either create new road groups (and collect more truck weight information) or revise the existing road groups to create more homogeneous groups. To determine the number of sites per group, see Step 5.</w:t>
      </w:r>
    </w:p>
    <w:p w14:paraId="7D23291E" w14:textId="61A0837F" w:rsidR="003F7B9F" w:rsidRPr="000077D4" w:rsidRDefault="003F7B9F" w:rsidP="00A35EAF">
      <w:pPr>
        <w:pStyle w:val="BodyText"/>
      </w:pPr>
      <w:r w:rsidRPr="000077D4">
        <w:t xml:space="preserve">WIM sites </w:t>
      </w:r>
      <w:r>
        <w:t xml:space="preserve">with permanently installed WIM sensors </w:t>
      </w:r>
      <w:r w:rsidRPr="000077D4">
        <w:t xml:space="preserve">used for seasonal data sampling, in lieu of continuous monitoring, are being phased out by </w:t>
      </w:r>
      <w:r w:rsidR="008C6401">
        <w:t>S</w:t>
      </w:r>
      <w:r w:rsidRPr="000077D4">
        <w:t>tate agencies due to low cost effectiveness, higher qualified personnel requirements, and avai</w:t>
      </w:r>
      <w:r>
        <w:t>la</w:t>
      </w:r>
      <w:r w:rsidRPr="000077D4">
        <w:t>bility of reliable remote data downloading options. However, if seasonal WIM data sampling is used, the seasonal monitoring sites should have permanently installed and regularly calibrated WIM sensors (annually or seasonally, in case of temperature-dependent sensors like piezo-polymer) to assure WIM data accuracy.</w:t>
      </w:r>
    </w:p>
    <w:p w14:paraId="48ED5EF8" w14:textId="77777777" w:rsidR="003F7B9F" w:rsidRPr="00517F7A" w:rsidRDefault="003F7B9F">
      <w:pPr>
        <w:pStyle w:val="Heading3"/>
      </w:pPr>
      <w:bookmarkStart w:id="1883" w:name="_Toc68190215"/>
      <w:bookmarkStart w:id="1884" w:name="_Toc118205643"/>
      <w:r w:rsidRPr="00517F7A">
        <w:t>Step 4. Establish Load Factor Groups</w:t>
      </w:r>
      <w:bookmarkEnd w:id="1883"/>
      <w:bookmarkEnd w:id="1884"/>
      <w:r w:rsidRPr="00517F7A">
        <w:t xml:space="preserve"> </w:t>
      </w:r>
    </w:p>
    <w:p w14:paraId="55612416" w14:textId="14F8892F" w:rsidR="003F7B9F" w:rsidRPr="005576C5" w:rsidRDefault="003F7B9F" w:rsidP="00A35EAF">
      <w:pPr>
        <w:pStyle w:val="BodyText"/>
      </w:pPr>
      <w:r w:rsidRPr="00796129">
        <w:t>Figure 3-</w:t>
      </w:r>
      <w:r w:rsidR="00C07DF9">
        <w:t>3</w:t>
      </w:r>
      <w:r w:rsidRPr="00796129">
        <w:t xml:space="preserve"> illustrates</w:t>
      </w:r>
      <w:r w:rsidRPr="000077D4">
        <w:t xml:space="preserve"> the </w:t>
      </w:r>
      <w:r w:rsidRPr="005576C5">
        <w:t xml:space="preserve">reason why roads should be stratified into load factor groups. It shows distributions of tandem axle weights for Class 9 trucks </w:t>
      </w:r>
      <w:r>
        <w:t>at different sites</w:t>
      </w:r>
      <w:r w:rsidRPr="005576C5">
        <w:t xml:space="preserve">. Each of these distributions exhibits a different set of loading conditions, ranging from very heavily loaded to lightly loaded that would result in different pavement design outcomes. </w:t>
      </w:r>
    </w:p>
    <w:p w14:paraId="0AB25196" w14:textId="77777777" w:rsidR="003F7B9F" w:rsidRPr="000077D4" w:rsidRDefault="003F7B9F" w:rsidP="00A35EAF">
      <w:pPr>
        <w:pStyle w:val="BodyText"/>
      </w:pPr>
      <w:r w:rsidRPr="005576C5">
        <w:t xml:space="preserve">The key to the design of the truck weight data </w:t>
      </w:r>
      <w:r w:rsidRPr="000077D4">
        <w:t>collection effort is for the highway agency to be able to successfully recognize these differences in loading patterns, and to collect sufficient data to be able to estimate the loads that are occurring under these different conditions.</w:t>
      </w:r>
    </w:p>
    <w:p w14:paraId="4E44DBAF" w14:textId="77777777" w:rsidR="0085404A" w:rsidRDefault="003F7B9F" w:rsidP="0085404A">
      <w:pPr>
        <w:pStyle w:val="BodyText"/>
        <w:spacing w:after="0"/>
        <w:jc w:val="center"/>
      </w:pPr>
      <w:r w:rsidRPr="001A1137">
        <w:rPr>
          <w:noProof/>
        </w:rPr>
        <w:lastRenderedPageBreak/>
        <w:drawing>
          <wp:inline distT="0" distB="0" distL="0" distR="0" wp14:anchorId="7F52EE1C" wp14:editId="41EF00F5">
            <wp:extent cx="5298831" cy="3919776"/>
            <wp:effectExtent l="0" t="0" r="0" b="5080"/>
            <wp:docPr id="89" name="Picture 89" descr="A graph of percent tandem axle within axle loading range percentage for tandem axle weight loadings for different types of roadway locations.  The Mechanistic Empirical Pavement Design Guide (MEPDG) curve with a black line and diamond symbols is detailed.  A lightly loaded roadway with a large number of lightly loaded tandem axles at 10,000 lbs. uses a triangle symbol.  A medium loaded tandem curve has a blue solid line with x symbols.  A heavily loaded roadway is detailed with square symbols with a loading peak at 32,000 lb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graph of percent tandem axle within axle loading range percentage for tandem axle weight loadings for different types of roadway locations.  The Mechanistic Empirical Pavement Design Guide (MEPDG) curve with a black line and diamond symbols is detailed.  A lightly loaded roadway with a large number of lightly loaded tandem axles at 10,000 lbs. uses a triangle symbol.  A medium loaded tandem curve has a blue solid line with x symbols.  A heavily loaded roadway is detailed with square symbols with a loading peak at 32,000 lbs. "/>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306423" cy="3925392"/>
                    </a:xfrm>
                    <a:prstGeom prst="rect">
                      <a:avLst/>
                    </a:prstGeom>
                    <a:noFill/>
                    <a:ln>
                      <a:noFill/>
                    </a:ln>
                  </pic:spPr>
                </pic:pic>
              </a:graphicData>
            </a:graphic>
          </wp:inline>
        </w:drawing>
      </w:r>
    </w:p>
    <w:p w14:paraId="04E51531" w14:textId="4D0764A7" w:rsidR="003F7B9F" w:rsidRPr="0085404A" w:rsidRDefault="0085404A" w:rsidP="0085404A">
      <w:pPr>
        <w:pStyle w:val="Source"/>
        <w:ind w:left="540"/>
      </w:pPr>
      <w:r>
        <w:t>Source</w:t>
      </w:r>
      <w:r w:rsidR="003F7B9F" w:rsidRPr="000E5AEA">
        <w:t>:</w:t>
      </w:r>
      <w:r w:rsidR="0061163F">
        <w:t xml:space="preserve"> </w:t>
      </w:r>
      <w:r w:rsidR="003F7B9F" w:rsidRPr="000E5AEA">
        <w:t xml:space="preserve"> </w:t>
      </w:r>
      <w:r w:rsidR="003F7B9F" w:rsidRPr="0085404A">
        <w:t>FHWA Report FHWA-HRT-13-090.</w:t>
      </w:r>
    </w:p>
    <w:p w14:paraId="2E5369BD" w14:textId="0F36D674" w:rsidR="0085404A" w:rsidRPr="009D3502" w:rsidRDefault="0085404A" w:rsidP="0085404A">
      <w:pPr>
        <w:pStyle w:val="TMGFigureCaption"/>
        <w:spacing w:after="360"/>
      </w:pPr>
      <w:bookmarkStart w:id="1885" w:name="_Toc114474800"/>
      <w:bookmarkStart w:id="1886" w:name="_Toc120626573"/>
      <w:r w:rsidRPr="009D3502">
        <w:t xml:space="preserve">Figure </w:t>
      </w:r>
      <w:fldSimple w:instr=" STYLEREF 1 \s ">
        <w:r w:rsidR="00C07DF9">
          <w:rPr>
            <w:noProof/>
          </w:rPr>
          <w:t>3</w:t>
        </w:r>
      </w:fldSimple>
      <w:r>
        <w:noBreakHyphen/>
      </w:r>
      <w:fldSimple w:instr=" SEQ Figure \* ARABIC \s 1 ">
        <w:r w:rsidR="00C07DF9">
          <w:rPr>
            <w:noProof/>
          </w:rPr>
          <w:t>3</w:t>
        </w:r>
      </w:fldSimple>
      <w:r w:rsidR="00E34EB1">
        <w:t>.</w:t>
      </w:r>
      <w:r w:rsidRPr="009D3502">
        <w:t xml:space="preserve"> Tandem Axle Load Distributions </w:t>
      </w:r>
      <w:r>
        <w:t>w</w:t>
      </w:r>
      <w:r w:rsidRPr="009D3502">
        <w:t>ith Different Loading Conditions</w:t>
      </w:r>
      <w:bookmarkEnd w:id="1885"/>
      <w:bookmarkEnd w:id="1886"/>
    </w:p>
    <w:p w14:paraId="636AA84E" w14:textId="65E18077" w:rsidR="003F7B9F" w:rsidRPr="000077D4" w:rsidRDefault="003F7B9F" w:rsidP="00A35EAF">
      <w:pPr>
        <w:pStyle w:val="BodyText"/>
      </w:pPr>
      <w:r w:rsidRPr="000077D4">
        <w:t xml:space="preserve">One important consideration when creating load factor groups is whether different road groups will be created for each class of heavy vehicles or whether each road segment is assigned to only one group that is primarily formed based on the similarities in truck weight of the most common or voluminous heavy vehicles. The most common approach historically has been to assign each roadway to one truck weight road group. However, the FHWA LTPP program has developed MEPDG axle loading defaults by grouping WIM sites independently for each class of </w:t>
      </w:r>
      <w:r w:rsidRPr="00E348D3">
        <w:t>vehicles (</w:t>
      </w:r>
      <w:bookmarkStart w:id="1887" w:name="_Hlk76054970"/>
      <w:r w:rsidR="00E348D3" w:rsidRPr="00E348D3">
        <w:rPr>
          <w:i/>
          <w:iCs/>
        </w:rPr>
        <w:t xml:space="preserve">MEPDG Traffic Loading Defaults Derived from Traffic Pooled Fund Study </w:t>
      </w:r>
      <w:r w:rsidRPr="00E348D3">
        <w:t xml:space="preserve">FHWA </w:t>
      </w:r>
      <w:bookmarkEnd w:id="1887"/>
      <w:r w:rsidR="00E348D3" w:rsidRPr="00E348D3">
        <w:t>2016</w:t>
      </w:r>
      <w:r w:rsidRPr="00E348D3">
        <w:t>). As a</w:t>
      </w:r>
      <w:r w:rsidRPr="000077D4">
        <w:t xml:space="preserve"> result, the LTPP created a </w:t>
      </w:r>
      <w:r>
        <w:t>catalog</w:t>
      </w:r>
      <w:r w:rsidRPr="000077D4">
        <w:t xml:space="preserve"> of axle load spectra for each of FHWA vehicle classes 4 through 13 representing commonly observed, as well as special (such as very heavy or very light) loading conditions and labeled these spectra as light, moderate, heavy, or very heavy loading conditions. The grou</w:t>
      </w:r>
      <w:r>
        <w:t>p</w:t>
      </w:r>
      <w:r w:rsidRPr="000077D4">
        <w:t>i</w:t>
      </w:r>
      <w:r>
        <w:t>ng</w:t>
      </w:r>
      <w:r w:rsidRPr="000077D4">
        <w:t xml:space="preserve"> was performed entirely mathematically using </w:t>
      </w:r>
      <w:r w:rsidR="003966E7">
        <w:t xml:space="preserve">a </w:t>
      </w:r>
      <w:r w:rsidRPr="000077D4">
        <w:t xml:space="preserve">clustering technique. The final groups were subjected to engineering review to confirm </w:t>
      </w:r>
      <w:r>
        <w:t>whether</w:t>
      </w:r>
      <w:r w:rsidRPr="000077D4">
        <w:t xml:space="preserve"> similarities and differences in the identified loading patterns make sense f</w:t>
      </w:r>
      <w:r>
        <w:t>ro</w:t>
      </w:r>
      <w:r w:rsidRPr="000077D4">
        <w:t>m</w:t>
      </w:r>
      <w:r>
        <w:t xml:space="preserve"> a</w:t>
      </w:r>
      <w:r w:rsidRPr="000077D4">
        <w:t xml:space="preserve"> pavement engineering point of view.</w:t>
      </w:r>
    </w:p>
    <w:p w14:paraId="0DC79853" w14:textId="77777777" w:rsidR="003F7B9F" w:rsidRPr="000077D4" w:rsidRDefault="003F7B9F" w:rsidP="008645A4">
      <w:pPr>
        <w:pStyle w:val="BodyText"/>
      </w:pPr>
      <w:r w:rsidRPr="000077D4">
        <w:t xml:space="preserve">Regardless of whether a single </w:t>
      </w:r>
      <w:r w:rsidRPr="008645A4">
        <w:t>road</w:t>
      </w:r>
      <w:r w:rsidRPr="000077D4">
        <w:t xml:space="preserve"> segment is assigned to one or more groups, two key aspects of group formation are:</w:t>
      </w:r>
    </w:p>
    <w:p w14:paraId="3D2B4F6A" w14:textId="77777777" w:rsidR="003F7B9F" w:rsidRPr="009D3502" w:rsidRDefault="003F7B9F">
      <w:pPr>
        <w:pStyle w:val="TMGBullet"/>
      </w:pPr>
      <w:r w:rsidRPr="009D3502">
        <w:t>The truck loading patterns (or typical per truck loads) at sites within each group should be similar.</w:t>
      </w:r>
    </w:p>
    <w:p w14:paraId="4192763E" w14:textId="77777777" w:rsidR="003F7B9F" w:rsidRPr="009D3502" w:rsidRDefault="003F7B9F">
      <w:pPr>
        <w:pStyle w:val="TMGBullet"/>
      </w:pPr>
      <w:r w:rsidRPr="009D3502">
        <w:t>It should be relatively easy to assign each road accurately and consistently in the State to a load factor group so that the group values can be applied as needed.</w:t>
      </w:r>
    </w:p>
    <w:p w14:paraId="2ACEEF1C" w14:textId="77777777" w:rsidR="003F7B9F" w:rsidRPr="0025752B" w:rsidRDefault="003F7B9F" w:rsidP="00A35EAF">
      <w:pPr>
        <w:pStyle w:val="BodyText"/>
      </w:pPr>
      <w:r w:rsidRPr="000077D4">
        <w:t xml:space="preserve">Finally, it is important to note that for roads with separated right-of-way for different directions of travel, the two different directions of travel can be placed in different groups (such as roads serving primarily resource extraction and agricultural to/from sites). For example, the loaded direction might be assigned to a group with a heavy loading pattern, while the other direction of travel (the side carrying primarily empty trucks) might be assigned to a light </w:t>
      </w:r>
      <w:r w:rsidRPr="0025752B">
        <w:t>group. Where the two directions share a single pavement design, the entire road should be assigned to the heavier group for pavement design purposes.</w:t>
      </w:r>
    </w:p>
    <w:p w14:paraId="5FB7BCB1" w14:textId="77777777" w:rsidR="003F7B9F" w:rsidRPr="000C35FB" w:rsidRDefault="003F7B9F" w:rsidP="00A35EAF">
      <w:pPr>
        <w:pStyle w:val="BodyText"/>
        <w:rPr>
          <w:rFonts w:ascii="Cambria" w:hAnsi="Cambria"/>
          <w:i/>
          <w:iCs/>
          <w:sz w:val="22"/>
          <w:szCs w:val="22"/>
        </w:rPr>
      </w:pPr>
      <w:r w:rsidRPr="000C35FB">
        <w:rPr>
          <w:rFonts w:ascii="Cambria" w:hAnsi="Cambria"/>
          <w:i/>
          <w:iCs/>
          <w:sz w:val="22"/>
          <w:szCs w:val="22"/>
        </w:rPr>
        <w:lastRenderedPageBreak/>
        <w:t>Selecting Approach to Form Load Factor Groups</w:t>
      </w:r>
    </w:p>
    <w:p w14:paraId="26CEC2FF" w14:textId="77777777" w:rsidR="003F7B9F" w:rsidRPr="0025752B" w:rsidRDefault="003F7B9F" w:rsidP="00A35EAF">
      <w:pPr>
        <w:pStyle w:val="BodyText"/>
      </w:pPr>
      <w:r w:rsidRPr="0025752B">
        <w:t>As with the factor grouping processes described earlier for both vehicle classification and total volume, the basis for the load factor group formation process can be either intuitive</w:t>
      </w:r>
      <w:r>
        <w:t xml:space="preserve"> knowledge-based</w:t>
      </w:r>
      <w:r w:rsidRPr="0025752B">
        <w:t xml:space="preserve"> or mathematical, or a combination of these two approaches. </w:t>
      </w:r>
    </w:p>
    <w:p w14:paraId="651B6B4E" w14:textId="4AE342A9" w:rsidR="003F7B9F" w:rsidRPr="0025752B" w:rsidRDefault="003F7B9F" w:rsidP="00A35EAF">
      <w:pPr>
        <w:pStyle w:val="BodyText"/>
      </w:pPr>
      <w:r w:rsidRPr="0025752B">
        <w:t xml:space="preserve">The intuitive approach is where descriptive information is used along with professional knowledge to create groups of roads that should have similar truck loading patterns due to the nature of the truck </w:t>
      </w:r>
      <w:r w:rsidR="009D3502">
        <w:t>l</w:t>
      </w:r>
      <w:r>
        <w:t>oads</w:t>
      </w:r>
      <w:r w:rsidRPr="0025752B">
        <w:t xml:space="preserve"> they carry. This</w:t>
      </w:r>
      <w:r w:rsidR="008645A4">
        <w:t> </w:t>
      </w:r>
      <w:r w:rsidRPr="0025752B">
        <w:t xml:space="preserve">approach is the easiest to apply but often produces groups that have higher variability within the group. </w:t>
      </w:r>
    </w:p>
    <w:p w14:paraId="67F071CA" w14:textId="746C1EBC" w:rsidR="003F7B9F" w:rsidRPr="0025752B" w:rsidRDefault="003F7B9F" w:rsidP="00A35EAF">
      <w:pPr>
        <w:pStyle w:val="BodyText"/>
      </w:pPr>
      <w:r w:rsidRPr="0025752B">
        <w:t xml:space="preserve">The mathematical approaches (most commonly based on cluster analysis) generally create more homogeneous groups but tend to result in groups that are harder to define using the available data or attributes, making assignment of roadway sections to groups more difficult. As a result, combination approaches are often </w:t>
      </w:r>
      <w:r>
        <w:t>used</w:t>
      </w:r>
      <w:r w:rsidRPr="0025752B">
        <w:t xml:space="preserve"> that</w:t>
      </w:r>
      <w:r w:rsidR="008645A4">
        <w:t> </w:t>
      </w:r>
      <w:r w:rsidRPr="0025752B">
        <w:t xml:space="preserve">start with basic intuitive groups (e.g., geographic stratifications or descriptive road classifications such as urban/rural or interstate/non-interstate) and then apply cluster analysis </w:t>
      </w:r>
      <w:r>
        <w:t xml:space="preserve">to test the initial assumptions or </w:t>
      </w:r>
      <w:r w:rsidRPr="0025752B">
        <w:t>to determine more uniform sub-groups within the basic geographic/roadway classifications.</w:t>
      </w:r>
    </w:p>
    <w:p w14:paraId="0E4A4626" w14:textId="77777777" w:rsidR="003F7B9F" w:rsidRPr="000C35FB" w:rsidRDefault="003F7B9F" w:rsidP="00A35EAF">
      <w:pPr>
        <w:pStyle w:val="BodyText"/>
        <w:rPr>
          <w:rFonts w:ascii="Cambria" w:hAnsi="Cambria"/>
          <w:i/>
          <w:iCs/>
          <w:sz w:val="22"/>
          <w:szCs w:val="22"/>
        </w:rPr>
      </w:pPr>
      <w:r w:rsidRPr="000C35FB">
        <w:rPr>
          <w:rFonts w:ascii="Cambria" w:hAnsi="Cambria"/>
          <w:i/>
          <w:iCs/>
          <w:sz w:val="22"/>
          <w:szCs w:val="22"/>
        </w:rPr>
        <w:t>Intuitive or Local Traffic Knowledge-Based Grouping</w:t>
      </w:r>
    </w:p>
    <w:p w14:paraId="5271EBA2" w14:textId="170A5390" w:rsidR="003F7B9F" w:rsidRPr="000077D4" w:rsidRDefault="003F7B9F" w:rsidP="00A35EAF">
      <w:pPr>
        <w:pStyle w:val="BodyText"/>
      </w:pPr>
      <w:r w:rsidRPr="0025752B">
        <w:t xml:space="preserve">With this approach, the initial load factor groups should be based on a combination of </w:t>
      </w:r>
      <w:r w:rsidRPr="000077D4">
        <w:t>known geographic, industrial, agricultural, and commercial truck loading patterns, combined with knowledge of the truck routes and legal weight limits that occur on specific roads. These initial concepts should then be tested by examining the actual truck weight data collected at WIM sites operated by the State to determine if roads that are expected to have similar loading patterns indeed have similar patterns. The intent is to identify those roads where large numbers of trucks are heavily loaded versus those routes where large numbers of trucks are not carrying heavy weights.</w:t>
      </w:r>
    </w:p>
    <w:p w14:paraId="776978CB" w14:textId="6B156707" w:rsidR="003F7B9F" w:rsidRPr="000077D4" w:rsidRDefault="003F7B9F" w:rsidP="00A35EAF">
      <w:pPr>
        <w:pStyle w:val="BodyText"/>
      </w:pPr>
      <w:r w:rsidRPr="000077D4">
        <w:t xml:space="preserve">The resulting road groups should be easily identified by users of truck weight data within the State. They </w:t>
      </w:r>
      <w:r>
        <w:t>should</w:t>
      </w:r>
      <w:r w:rsidRPr="000077D4">
        <w:t xml:space="preserve"> provide a logical means for discriminating between roads that are likely to have very high load factors (such as ESAL/truck) and roads that have lower load factors (i.e., between roads where most trucks are fully loaded and roads where a large percentage of trucks are either partially loaded or empty). Unless a road is primarily serving a resource extraction or agricultural facility, it is unlikely that the road (in the direction used by the empty trucks to go to the facility) will have </w:t>
      </w:r>
      <w:r w:rsidR="006F1CB8">
        <w:t xml:space="preserve">the </w:t>
      </w:r>
      <w:r w:rsidRPr="000077D4">
        <w:t>majority of trucks primarily empty.</w:t>
      </w:r>
    </w:p>
    <w:p w14:paraId="244C06DF" w14:textId="3C2FDDAF" w:rsidR="003F7B9F" w:rsidRPr="000077D4" w:rsidRDefault="003F7B9F" w:rsidP="00A35EAF">
      <w:pPr>
        <w:pStyle w:val="BodyText"/>
      </w:pPr>
      <w:r w:rsidRPr="000077D4">
        <w:t>In addition, States should incorporate knowledge about specific types of very heavy vehicles into their weight grouping process so that roads that have significant volume of those very heavy trucks (</w:t>
      </w:r>
      <w:r>
        <w:t xml:space="preserve">at least </w:t>
      </w:r>
      <w:r w:rsidRPr="000077D4">
        <w:t>10 percent or more</w:t>
      </w:r>
      <w:r>
        <w:t xml:space="preserve"> of all trucks with weight exceeding </w:t>
      </w:r>
      <w:r w:rsidR="006F1CB8">
        <w:t>F</w:t>
      </w:r>
      <w:r>
        <w:t>ederal legal limit</w:t>
      </w:r>
      <w:r w:rsidRPr="000077D4">
        <w:t xml:space="preserve">) are grouped together, and roads that are not likely to carry those trucks are treated separately. For example, roads leading to and from major port facilities might be treated separately from other roads in that same geographic area, simply because of the high load factor that is common to roads leading to/from most port facilities. Other examples of roads that are likely to have high percentages of heavy trucks are the roads with </w:t>
      </w:r>
      <w:r w:rsidR="006F1CB8">
        <w:t xml:space="preserve">a </w:t>
      </w:r>
      <w:r w:rsidRPr="000077D4">
        <w:t>high percentage of trucks involved in the following:</w:t>
      </w:r>
      <w:r w:rsidR="004D4172">
        <w:t xml:space="preserve"> </w:t>
      </w:r>
      <w:r w:rsidRPr="000077D4">
        <w:t>agricultural goods movement, natural resource extraction, construction, heavy industries (e.g.</w:t>
      </w:r>
      <w:r w:rsidR="006F1CB8">
        <w:t>,</w:t>
      </w:r>
      <w:r w:rsidRPr="000077D4">
        <w:t xml:space="preserve"> automotive) and debris/garbage removal.</w:t>
      </w:r>
    </w:p>
    <w:p w14:paraId="13B06E0F" w14:textId="77777777" w:rsidR="003F7B9F" w:rsidRPr="000077D4" w:rsidRDefault="003F7B9F" w:rsidP="00A35EAF">
      <w:pPr>
        <w:pStyle w:val="BodyText"/>
      </w:pPr>
      <w:r w:rsidRPr="000077D4">
        <w:t xml:space="preserve">For a State, it is recommended to start with the initial intuitive groups based on a more simplistic approach. For example, insight into geographic differences in truck travel, combined with the knowledge of road use by heavy commercial trucks (i.e., the percentages of through-trucks and local delivery trucks) can be used to define roads where loading patterns are dominated by local industry or long-haul truck traffic. </w:t>
      </w:r>
    </w:p>
    <w:p w14:paraId="727AEF24" w14:textId="77777777" w:rsidR="003F7B9F" w:rsidRPr="000077D4" w:rsidRDefault="003F7B9F" w:rsidP="008645A4">
      <w:pPr>
        <w:pStyle w:val="BodyText"/>
      </w:pPr>
      <w:r w:rsidRPr="000077D4">
        <w:t xml:space="preserve">Other professional knowledge-based criteria that can be used to </w:t>
      </w:r>
      <w:r w:rsidRPr="008645A4">
        <w:t>create</w:t>
      </w:r>
      <w:r w:rsidRPr="000077D4">
        <w:t xml:space="preserve"> truck load groups include: </w:t>
      </w:r>
    </w:p>
    <w:p w14:paraId="71353308" w14:textId="254F1C8C" w:rsidR="003F7B9F" w:rsidRPr="009D3502" w:rsidRDefault="003F7B9F">
      <w:pPr>
        <w:pStyle w:val="TMGBullet"/>
        <w:contextualSpacing w:val="0"/>
      </w:pPr>
      <w:r w:rsidRPr="009D3502">
        <w:t>The presence of agricultural products that create specific loading patterns and are carried in specific types of trucks. For example, wheat</w:t>
      </w:r>
      <w:r w:rsidR="006F1CB8">
        <w:t>-</w:t>
      </w:r>
      <w:r w:rsidRPr="009D3502">
        <w:t>growing areas might need to be grouped separately from those that grow cherries because these two products have different densities, different weights on a truck, and because their harvest and hauling seasons are different.</w:t>
      </w:r>
    </w:p>
    <w:p w14:paraId="20F3BCF5" w14:textId="77777777" w:rsidR="003F7B9F" w:rsidRPr="009D3502" w:rsidRDefault="003F7B9F">
      <w:pPr>
        <w:pStyle w:val="TMGBullet"/>
        <w:contextualSpacing w:val="0"/>
      </w:pPr>
      <w:r w:rsidRPr="009D3502">
        <w:t xml:space="preserve">The types of industrial areas, such as resource extraction operations that ship large amounts of material by truck. For example, roads serving coal truck movements may be grouped separately from roads that experience few coal trucks. </w:t>
      </w:r>
    </w:p>
    <w:p w14:paraId="41A4D101" w14:textId="6706E366" w:rsidR="003F7B9F" w:rsidRPr="009D3502" w:rsidRDefault="003F7B9F">
      <w:pPr>
        <w:pStyle w:val="TMGBullet"/>
        <w:contextualSpacing w:val="0"/>
      </w:pPr>
      <w:r w:rsidRPr="009D3502">
        <w:lastRenderedPageBreak/>
        <w:t>The distance over which the trucks are likely to travel.</w:t>
      </w:r>
      <w:r w:rsidR="006F1CB8">
        <w:t xml:space="preserve"> (e.g.</w:t>
      </w:r>
      <w:r w:rsidRPr="009D3502">
        <w:t>, roads where trucks deliver cargo over long distances across multiple States, or roads with truck travel between cities within a region where drivers can make a round trip in one day, or roads with truck travel within a general urbanized area where drivers make multiple trips in a day</w:t>
      </w:r>
      <w:r w:rsidR="006F1CB8">
        <w:t>)</w:t>
      </w:r>
      <w:r w:rsidRPr="009D3502">
        <w:t>. Trucks traveling longer distances are more likely to be full, and thus heavier, than trucks operating within half a day of their base, which are likely to be full leaving their depot but are often empty when returning.</w:t>
      </w:r>
    </w:p>
    <w:p w14:paraId="6AF2F092" w14:textId="77777777" w:rsidR="003F7B9F" w:rsidRPr="009D3502" w:rsidRDefault="003F7B9F">
      <w:pPr>
        <w:pStyle w:val="TMGBullet"/>
      </w:pPr>
      <w:r w:rsidRPr="009D3502">
        <w:t>Urban or rural roads, because urban areas often have considerably higher numbers of partially loaded trucks and trucks that travel empty after unloading at urban destinations. Note that some roads functionally classified as rural that are located between two large cities (within 200 miles of each other) may experience urban rather than rural trucking patterns because trucks routinely make day-trips between those cities, traveling full in one direction and possibly empty in the other.</w:t>
      </w:r>
    </w:p>
    <w:p w14:paraId="05040FBF" w14:textId="0E4EB745" w:rsidR="003F7B9F" w:rsidRPr="000077D4" w:rsidRDefault="003F7B9F" w:rsidP="008645A4">
      <w:pPr>
        <w:pStyle w:val="BodyText"/>
      </w:pPr>
      <w:r w:rsidRPr="000077D4">
        <w:t xml:space="preserve">This approach </w:t>
      </w:r>
      <w:r>
        <w:t>c</w:t>
      </w:r>
      <w:r w:rsidRPr="000077D4">
        <w:t>ould then be improved (as needed) over time as more weight data are collected and analys</w:t>
      </w:r>
      <w:r w:rsidR="00E0099B">
        <w:t>e</w:t>
      </w:r>
      <w:r w:rsidRPr="000077D4">
        <w:t xml:space="preserve">s </w:t>
      </w:r>
      <w:r w:rsidR="00E0099B">
        <w:t xml:space="preserve">are </w:t>
      </w:r>
      <w:r w:rsidRPr="000077D4">
        <w:t xml:space="preserve">carried out. Information can </w:t>
      </w:r>
      <w:r w:rsidRPr="008645A4">
        <w:t>be</w:t>
      </w:r>
      <w:r w:rsidRPr="000077D4">
        <w:t xml:space="preserve"> extracted from existing truck weight databases to determine logical and statistical differences that can be used in the formation of load factor groups. As an example of a load factor group, Washington State developed five basic truck-loading patterns to determine total freight tonnage carried by all State highways. These five groups were defined as:</w:t>
      </w:r>
    </w:p>
    <w:p w14:paraId="07DCCBDC" w14:textId="7CD9852A" w:rsidR="003F7B9F" w:rsidRPr="009D3502" w:rsidRDefault="003F7B9F">
      <w:pPr>
        <w:pStyle w:val="TMGBullet"/>
      </w:pPr>
      <w:r w:rsidRPr="009D3502">
        <w:t>Group A – Serves major statewide and interstate truck travel. These routes are the major regional haul facilities</w:t>
      </w:r>
      <w:r w:rsidR="00E0099B">
        <w:t>.</w:t>
      </w:r>
    </w:p>
    <w:p w14:paraId="3C85769D" w14:textId="3FD697D1" w:rsidR="003F7B9F" w:rsidRPr="009D3502" w:rsidRDefault="003F7B9F">
      <w:pPr>
        <w:pStyle w:val="TMGBullet"/>
      </w:pPr>
      <w:r w:rsidRPr="009D3502">
        <w:t>Group B – Serves primarily intercity freight movements, with minor amounts of regional hauling. These routes also serve as produce transfer routes, serving rail and barge loading facilities</w:t>
      </w:r>
      <w:r w:rsidR="00E0099B">
        <w:t>.</w:t>
      </w:r>
    </w:p>
    <w:p w14:paraId="672427A5" w14:textId="268AF4A2" w:rsidR="003F7B9F" w:rsidRPr="009D3502" w:rsidRDefault="003F7B9F">
      <w:pPr>
        <w:pStyle w:val="TMGBullet"/>
      </w:pPr>
      <w:r w:rsidRPr="009D3502">
        <w:t>Group C – Serves farm to market routes and regional commerce</w:t>
      </w:r>
      <w:r w:rsidR="00E0099B">
        <w:t>.</w:t>
      </w:r>
    </w:p>
    <w:p w14:paraId="7111D123" w14:textId="3BD7BE2C" w:rsidR="003F7B9F" w:rsidRPr="009D3502" w:rsidRDefault="003F7B9F">
      <w:pPr>
        <w:pStyle w:val="TMGBullet"/>
      </w:pPr>
      <w:r w:rsidRPr="009D3502">
        <w:t>Group D – Serves suburban industrial activity</w:t>
      </w:r>
      <w:r w:rsidR="00E0099B">
        <w:t>.</w:t>
      </w:r>
    </w:p>
    <w:p w14:paraId="539110A4" w14:textId="77777777" w:rsidR="003F7B9F" w:rsidRPr="009D3502" w:rsidRDefault="003F7B9F">
      <w:pPr>
        <w:pStyle w:val="TMGBullet"/>
      </w:pPr>
      <w:r w:rsidRPr="009D3502">
        <w:t>Group E – Serves primarily local goods movement and specialized products.</w:t>
      </w:r>
    </w:p>
    <w:p w14:paraId="2F75D70E" w14:textId="37FEB8F3" w:rsidR="003F7B9F" w:rsidRPr="00256870" w:rsidRDefault="003F7B9F" w:rsidP="00A35EAF">
      <w:pPr>
        <w:pStyle w:val="BodyText"/>
      </w:pPr>
      <w:r w:rsidRPr="000077D4">
        <w:t xml:space="preserve">A starting point for developing load factor groups is shown in </w:t>
      </w:r>
      <w:r w:rsidR="00AA2E73">
        <w:fldChar w:fldCharType="begin"/>
      </w:r>
      <w:r w:rsidR="00AA2E73">
        <w:instrText xml:space="preserve"> REF _Ref114750061 \h </w:instrText>
      </w:r>
      <w:r w:rsidR="00AA2E73">
        <w:fldChar w:fldCharType="separate"/>
      </w:r>
      <w:r w:rsidR="00C07DF9">
        <w:t xml:space="preserve">Table </w:t>
      </w:r>
      <w:r w:rsidR="00C07DF9">
        <w:rPr>
          <w:noProof/>
        </w:rPr>
        <w:t>3</w:t>
      </w:r>
      <w:r w:rsidR="00C07DF9">
        <w:noBreakHyphen/>
      </w:r>
      <w:r w:rsidR="00C07DF9">
        <w:rPr>
          <w:noProof/>
        </w:rPr>
        <w:t>12</w:t>
      </w:r>
      <w:r w:rsidR="00AA2E73">
        <w:fldChar w:fldCharType="end"/>
      </w:r>
      <w:r w:rsidRPr="00331600">
        <w:t>. The example</w:t>
      </w:r>
      <w:r w:rsidRPr="000077D4">
        <w:t xml:space="preserve"> begins with the groups identified in the vehicle classification section. The</w:t>
      </w:r>
      <w:r w:rsidRPr="000077D4">
        <w:rPr>
          <w:spacing w:val="2"/>
        </w:rPr>
        <w:t xml:space="preserve"> </w:t>
      </w:r>
      <w:r w:rsidRPr="000077D4">
        <w:t>truck loading groups defined should be coordinated with the vehicle classification groups identified earlier. Differences in the two sets of groups are likely since the groups are defined to meet different purposes (seasonal differences in truck volume and loading variation). However, they both reflect truck travel characteristics that are directly related. A similar group definition will greatly simplify the understanding and applicability of the patterns. The groups may need further redefinition over time as information is gained.</w:t>
      </w:r>
    </w:p>
    <w:p w14:paraId="56C80F6C" w14:textId="41A11E76" w:rsidR="003F7B9F" w:rsidRDefault="003F7B9F" w:rsidP="000F2A7A">
      <w:pPr>
        <w:pStyle w:val="TMGTableCaption"/>
      </w:pPr>
      <w:bookmarkStart w:id="1888" w:name="_Ref114750061"/>
      <w:bookmarkStart w:id="1889" w:name="_Toc54784720"/>
      <w:bookmarkStart w:id="1890" w:name="_Toc68874119"/>
      <w:bookmarkStart w:id="1891" w:name="_Toc114474832"/>
      <w:bookmarkStart w:id="1892" w:name="_Toc120631138"/>
      <w:r>
        <w:t xml:space="preserve">Table </w:t>
      </w:r>
      <w:fldSimple w:instr=" STYLEREF 1 \s ">
        <w:r w:rsidR="00C07DF9">
          <w:rPr>
            <w:noProof/>
          </w:rPr>
          <w:t>3</w:t>
        </w:r>
      </w:fldSimple>
      <w:r w:rsidR="00FE5355">
        <w:noBreakHyphen/>
      </w:r>
      <w:fldSimple w:instr=" SEQ Table \* ARABIC \s 1 ">
        <w:r w:rsidR="00C07DF9">
          <w:rPr>
            <w:noProof/>
          </w:rPr>
          <w:t>12</w:t>
        </w:r>
      </w:fldSimple>
      <w:bookmarkEnd w:id="1888"/>
      <w:r w:rsidR="00E34EB1">
        <w:t>.</w:t>
      </w:r>
      <w:r>
        <w:t xml:space="preserve"> </w:t>
      </w:r>
      <w:r w:rsidRPr="002D6D8F">
        <w:t>Example Truck Loading Groups</w:t>
      </w:r>
      <w:bookmarkEnd w:id="1889"/>
      <w:bookmarkEnd w:id="1890"/>
      <w:bookmarkEnd w:id="1891"/>
      <w:bookmarkEnd w:id="1892"/>
    </w:p>
    <w:tbl>
      <w:tblPr>
        <w:tblStyle w:val="TableGrid"/>
        <w:tblW w:w="9360" w:type="dxa"/>
        <w:jc w:val="center"/>
        <w:tblCellMar>
          <w:left w:w="86" w:type="dxa"/>
          <w:right w:w="86" w:type="dxa"/>
        </w:tblCellMar>
        <w:tblLook w:val="04A0" w:firstRow="1" w:lastRow="0" w:firstColumn="1" w:lastColumn="0" w:noHBand="0" w:noVBand="1"/>
      </w:tblPr>
      <w:tblGrid>
        <w:gridCol w:w="4680"/>
        <w:gridCol w:w="4680"/>
      </w:tblGrid>
      <w:tr w:rsidR="004F4346" w14:paraId="0194A817" w14:textId="77777777" w:rsidTr="004F4346">
        <w:trPr>
          <w:jc w:val="center"/>
        </w:trPr>
        <w:tc>
          <w:tcPr>
            <w:tcW w:w="4680" w:type="dxa"/>
            <w:tcBorders>
              <w:right w:val="single" w:sz="4" w:space="0" w:color="FFFFFF" w:themeColor="background1"/>
            </w:tcBorders>
            <w:shd w:val="clear" w:color="auto" w:fill="1F3864"/>
            <w:vAlign w:val="center"/>
          </w:tcPr>
          <w:p w14:paraId="33DAAEBF" w14:textId="6848363B" w:rsidR="004F4346" w:rsidRDefault="004F4346" w:rsidP="0017389B">
            <w:pPr>
              <w:pStyle w:val="TMGTableTextHeader"/>
            </w:pPr>
            <w:bookmarkStart w:id="1893" w:name="_Hlk114641136"/>
            <w:r>
              <w:rPr>
                <w:rFonts w:eastAsia="MS Mincho"/>
              </w:rPr>
              <w:t>Rural</w:t>
            </w:r>
          </w:p>
        </w:tc>
        <w:tc>
          <w:tcPr>
            <w:tcW w:w="4680" w:type="dxa"/>
            <w:tcBorders>
              <w:left w:val="single" w:sz="4" w:space="0" w:color="FFFFFF" w:themeColor="background1"/>
            </w:tcBorders>
            <w:shd w:val="clear" w:color="auto" w:fill="1F3864"/>
            <w:vAlign w:val="center"/>
          </w:tcPr>
          <w:p w14:paraId="2FD7B703" w14:textId="1F0FEEA6" w:rsidR="004F4346" w:rsidRDefault="004F4346" w:rsidP="0017389B">
            <w:pPr>
              <w:pStyle w:val="TMGTableTextHeader"/>
            </w:pPr>
            <w:r>
              <w:rPr>
                <w:rFonts w:eastAsia="MS Mincho"/>
              </w:rPr>
              <w:t>Urban</w:t>
            </w:r>
          </w:p>
        </w:tc>
      </w:tr>
      <w:tr w:rsidR="004F4346" w14:paraId="59B3A578" w14:textId="77777777" w:rsidTr="004F4346">
        <w:trPr>
          <w:jc w:val="center"/>
        </w:trPr>
        <w:tc>
          <w:tcPr>
            <w:tcW w:w="4680" w:type="dxa"/>
            <w:vAlign w:val="center"/>
          </w:tcPr>
          <w:p w14:paraId="3F011E19" w14:textId="09369DA9" w:rsidR="004F4346" w:rsidRPr="00C251E9" w:rsidRDefault="004F4346" w:rsidP="00917D58">
            <w:pPr>
              <w:pStyle w:val="TMGTableText"/>
              <w:rPr>
                <w:b/>
                <w:bCs/>
              </w:rPr>
            </w:pPr>
            <w:r w:rsidRPr="004859C8">
              <w:t>Interstate and arterial major through</w:t>
            </w:r>
            <w:r w:rsidRPr="004859C8">
              <w:noBreakHyphen/>
              <w:t>truck routes with high percentage of heavy freight trucks</w:t>
            </w:r>
          </w:p>
        </w:tc>
        <w:tc>
          <w:tcPr>
            <w:tcW w:w="4680" w:type="dxa"/>
            <w:vAlign w:val="center"/>
          </w:tcPr>
          <w:p w14:paraId="1BEFCDB7" w14:textId="0F4B157E" w:rsidR="004F4346" w:rsidRPr="00C251E9" w:rsidRDefault="004F4346" w:rsidP="00917D58">
            <w:pPr>
              <w:pStyle w:val="TMGTableText"/>
            </w:pPr>
            <w:r w:rsidRPr="004859C8">
              <w:t>Interstate and arterial major truck routes with high percentage of heavy freight trucks</w:t>
            </w:r>
          </w:p>
        </w:tc>
      </w:tr>
      <w:tr w:rsidR="004F4346" w14:paraId="17BBDC22" w14:textId="77777777" w:rsidTr="004F4346">
        <w:trPr>
          <w:jc w:val="center"/>
        </w:trPr>
        <w:tc>
          <w:tcPr>
            <w:tcW w:w="4680" w:type="dxa"/>
            <w:vAlign w:val="center"/>
          </w:tcPr>
          <w:p w14:paraId="5BDFCB14" w14:textId="475F334A" w:rsidR="004F4346" w:rsidRPr="00C251E9" w:rsidRDefault="004F4346" w:rsidP="00917D58">
            <w:pPr>
              <w:pStyle w:val="TMGTableText"/>
              <w:rPr>
                <w:b/>
                <w:bCs/>
              </w:rPr>
            </w:pPr>
            <w:r w:rsidRPr="004859C8">
              <w:t>Other roads (e.g., regional agricultural with little through trucks)</w:t>
            </w:r>
          </w:p>
        </w:tc>
        <w:tc>
          <w:tcPr>
            <w:tcW w:w="4680" w:type="dxa"/>
            <w:vAlign w:val="center"/>
          </w:tcPr>
          <w:p w14:paraId="21460F0B" w14:textId="3FACE856" w:rsidR="004F4346" w:rsidRPr="00C251E9" w:rsidRDefault="004F4346" w:rsidP="00917D58">
            <w:pPr>
              <w:pStyle w:val="TMGTableText"/>
            </w:pPr>
            <w:r w:rsidRPr="004859C8">
              <w:t>Interstate and other freeways serving primarily local truck traffic</w:t>
            </w:r>
          </w:p>
        </w:tc>
      </w:tr>
      <w:tr w:rsidR="004F4346" w14:paraId="219DF31F" w14:textId="77777777" w:rsidTr="004F4346">
        <w:trPr>
          <w:jc w:val="center"/>
        </w:trPr>
        <w:tc>
          <w:tcPr>
            <w:tcW w:w="4680" w:type="dxa"/>
            <w:vAlign w:val="center"/>
          </w:tcPr>
          <w:p w14:paraId="1CF8D49A" w14:textId="44090470" w:rsidR="004F4346" w:rsidRPr="00C251E9" w:rsidRDefault="004F4346" w:rsidP="00917D58">
            <w:pPr>
              <w:pStyle w:val="TMGTableText"/>
              <w:rPr>
                <w:b/>
                <w:bCs/>
              </w:rPr>
            </w:pPr>
            <w:r w:rsidRPr="004859C8">
              <w:t>Other unrestricted truck routes</w:t>
            </w:r>
          </w:p>
        </w:tc>
        <w:tc>
          <w:tcPr>
            <w:tcW w:w="4680" w:type="dxa"/>
            <w:vAlign w:val="center"/>
          </w:tcPr>
          <w:p w14:paraId="70951044" w14:textId="6915F4EE" w:rsidR="004F4346" w:rsidRPr="00C251E9" w:rsidRDefault="004F4346" w:rsidP="00917D58">
            <w:pPr>
              <w:pStyle w:val="TMGTableText"/>
            </w:pPr>
            <w:r w:rsidRPr="004859C8">
              <w:t>Other unrestricted truck routes</w:t>
            </w:r>
          </w:p>
        </w:tc>
      </w:tr>
    </w:tbl>
    <w:bookmarkEnd w:id="1893"/>
    <w:p w14:paraId="2CFB0E61" w14:textId="77777777" w:rsidR="003F7B9F" w:rsidRPr="0025752B" w:rsidRDefault="003F7B9F" w:rsidP="004F4346">
      <w:pPr>
        <w:pStyle w:val="BodyText"/>
        <w:spacing w:before="360"/>
        <w:rPr>
          <w:highlight w:val="green"/>
        </w:rPr>
      </w:pPr>
      <w:r w:rsidRPr="000077D4">
        <w:t>These are examples. Each State highway agency should select the appropriate number and definition of truck groups based on its economic and trucking characteristics and the need for heavy vehicle travel patterns in their State</w:t>
      </w:r>
      <w:r w:rsidRPr="0025752B">
        <w:t>.</w:t>
      </w:r>
    </w:p>
    <w:p w14:paraId="366369DE" w14:textId="4BFE9F54" w:rsidR="003F7B9F" w:rsidRPr="000C35FB" w:rsidRDefault="003F7B9F" w:rsidP="00A35EAF">
      <w:pPr>
        <w:pStyle w:val="BodyText"/>
        <w:rPr>
          <w:rFonts w:ascii="Cambria" w:hAnsi="Cambria"/>
          <w:i/>
          <w:iCs/>
          <w:sz w:val="22"/>
          <w:szCs w:val="22"/>
        </w:rPr>
      </w:pPr>
      <w:r w:rsidRPr="000C35FB">
        <w:rPr>
          <w:rFonts w:ascii="Cambria" w:hAnsi="Cambria"/>
          <w:i/>
          <w:iCs/>
          <w:sz w:val="22"/>
          <w:szCs w:val="22"/>
        </w:rPr>
        <w:t>Grouping Based on Cluster Analysis</w:t>
      </w:r>
    </w:p>
    <w:p w14:paraId="1EE14031" w14:textId="058D60E1" w:rsidR="003F7B9F" w:rsidRPr="000077D4" w:rsidRDefault="00D70B70" w:rsidP="00A35EAF">
      <w:pPr>
        <w:pStyle w:val="BodyText"/>
      </w:pPr>
      <w:bookmarkStart w:id="1894" w:name="_Hlk76131037"/>
      <w:r w:rsidRPr="00D70B70">
        <w:rPr>
          <w:i/>
          <w:iCs/>
        </w:rPr>
        <w:t>MEPDG Traffic Loading Defaults Derived from Traffic Pooled Fund Study</w:t>
      </w:r>
      <w:bookmarkEnd w:id="1894"/>
      <w:r w:rsidRPr="0025752B">
        <w:t xml:space="preserve"> </w:t>
      </w:r>
      <w:r>
        <w:t xml:space="preserve">(FHWA 2016) </w:t>
      </w:r>
      <w:r w:rsidR="003F7B9F" w:rsidRPr="0025752B">
        <w:t xml:space="preserve">contains detailed instructions on how to use </w:t>
      </w:r>
      <w:r w:rsidR="00E0099B">
        <w:t xml:space="preserve">a </w:t>
      </w:r>
      <w:r w:rsidR="003F7B9F" w:rsidRPr="0025752B">
        <w:t>cluster analysis to identify and group similar axle load spectra</w:t>
      </w:r>
      <w:r w:rsidR="003F7B9F" w:rsidRPr="000077D4">
        <w:t xml:space="preserve">. This </w:t>
      </w:r>
      <w:r w:rsidR="003F7B9F">
        <w:t>section</w:t>
      </w:r>
      <w:r w:rsidR="003F7B9F" w:rsidRPr="000077D4">
        <w:t xml:space="preserve"> summarizes and generalizes this approach. </w:t>
      </w:r>
    </w:p>
    <w:p w14:paraId="0C0E87CA" w14:textId="77777777" w:rsidR="00A63350" w:rsidRDefault="00A63350">
      <w:pPr>
        <w:widowControl/>
        <w:suppressAutoHyphens w:val="0"/>
        <w:autoSpaceDE/>
        <w:autoSpaceDN/>
        <w:adjustRightInd/>
        <w:spacing w:line="259" w:lineRule="auto"/>
        <w:jc w:val="left"/>
        <w:textAlignment w:val="auto"/>
        <w:rPr>
          <w:color w:val="auto"/>
        </w:rPr>
      </w:pPr>
      <w:r>
        <w:br w:type="page"/>
      </w:r>
    </w:p>
    <w:p w14:paraId="426869C6" w14:textId="5C0A23DC" w:rsidR="003F7B9F" w:rsidRPr="000077D4" w:rsidRDefault="003F7B9F" w:rsidP="008645A4">
      <w:pPr>
        <w:pStyle w:val="BodyText"/>
        <w:rPr>
          <w:i/>
          <w:iCs/>
        </w:rPr>
      </w:pPr>
      <w:r w:rsidRPr="000077D4">
        <w:lastRenderedPageBreak/>
        <w:t xml:space="preserve">The generic cluster process for forming load factor groups consists of the </w:t>
      </w:r>
      <w:r w:rsidRPr="008645A4">
        <w:t>following</w:t>
      </w:r>
      <w:r w:rsidRPr="000077D4">
        <w:t xml:space="preserve"> steps:</w:t>
      </w:r>
    </w:p>
    <w:p w14:paraId="3AAE9FD4" w14:textId="224DDEBB" w:rsidR="003F7B9F" w:rsidRPr="000077D4" w:rsidRDefault="003F7B9F" w:rsidP="000C35FB">
      <w:pPr>
        <w:widowControl/>
        <w:numPr>
          <w:ilvl w:val="0"/>
          <w:numId w:val="36"/>
        </w:numPr>
        <w:autoSpaceDE/>
        <w:autoSpaceDN/>
        <w:adjustRightInd/>
        <w:spacing w:after="120"/>
        <w:ind w:left="648"/>
        <w:jc w:val="left"/>
        <w:textAlignment w:val="auto"/>
      </w:pPr>
      <w:r w:rsidRPr="000077D4">
        <w:t>Develop a normalized annual axle load spectrum for each vehicle class and each WIM site.</w:t>
      </w:r>
    </w:p>
    <w:p w14:paraId="58366C1E" w14:textId="2E6BDDE5" w:rsidR="003F7B9F" w:rsidRPr="000077D4" w:rsidRDefault="003F7B9F" w:rsidP="000C35FB">
      <w:pPr>
        <w:widowControl/>
        <w:numPr>
          <w:ilvl w:val="0"/>
          <w:numId w:val="36"/>
        </w:numPr>
        <w:autoSpaceDE/>
        <w:autoSpaceDN/>
        <w:adjustRightInd/>
        <w:spacing w:after="120"/>
        <w:ind w:left="648"/>
        <w:jc w:val="left"/>
        <w:textAlignment w:val="auto"/>
      </w:pPr>
      <w:r w:rsidRPr="000077D4">
        <w:t xml:space="preserve">Compute a single statistic for each load spectrum that represents the nature of that spectrum. (For example, if the primary reason the group is being created is for pavement design, a statistic should focus on importance of heavy axle loads. A </w:t>
      </w:r>
      <w:r w:rsidR="00B45D3A" w:rsidRPr="000077D4">
        <w:t>gener</w:t>
      </w:r>
      <w:r w:rsidR="00B45D3A">
        <w:t>al</w:t>
      </w:r>
      <w:r w:rsidR="00B45D3A" w:rsidRPr="000077D4">
        <w:t xml:space="preserve"> </w:t>
      </w:r>
      <w:r w:rsidRPr="000077D4">
        <w:t xml:space="preserve">ESAL is this type of statistic. A </w:t>
      </w:r>
      <w:r w:rsidR="00B45D3A" w:rsidRPr="000077D4">
        <w:t>gener</w:t>
      </w:r>
      <w:r w:rsidR="00B45D3A">
        <w:t>al</w:t>
      </w:r>
      <w:r w:rsidR="00B45D3A" w:rsidRPr="000077D4">
        <w:t xml:space="preserve"> </w:t>
      </w:r>
      <w:r w:rsidRPr="000077D4">
        <w:t xml:space="preserve">ESAL is computed by keeping pavement inputs constant </w:t>
      </w:r>
      <w:r w:rsidRPr="0025752B">
        <w:rPr>
          <w:color w:val="auto"/>
        </w:rPr>
        <w:t xml:space="preserve">in the load equivalency factors LEF or ESAL </w:t>
      </w:r>
      <w:r w:rsidRPr="000077D4">
        <w:t>per axle formula to allow comparison of traffic loading between different roads. If the main use of the load factor group is for estimating total tonnage on State routes, then mean GVW per truck class may be used as the best single statistic).</w:t>
      </w:r>
    </w:p>
    <w:p w14:paraId="3ADEAE83" w14:textId="4B5F280C" w:rsidR="003F7B9F" w:rsidRPr="000077D4" w:rsidRDefault="003F7B9F" w:rsidP="000C35FB">
      <w:pPr>
        <w:widowControl/>
        <w:numPr>
          <w:ilvl w:val="0"/>
          <w:numId w:val="36"/>
        </w:numPr>
        <w:autoSpaceDE/>
        <w:autoSpaceDN/>
        <w:adjustRightInd/>
        <w:spacing w:after="120"/>
        <w:ind w:left="648"/>
        <w:jc w:val="left"/>
        <w:textAlignment w:val="auto"/>
      </w:pPr>
      <w:r w:rsidRPr="000077D4">
        <w:t>If the load spectra for all heavy vehicle classes at a WIM site are to be assigned to only one truck weight road group, determine how loading patterns for each class of vehicle will be weighed by importance. (This</w:t>
      </w:r>
      <w:r w:rsidR="008645A4">
        <w:t> </w:t>
      </w:r>
      <w:r w:rsidRPr="000077D4">
        <w:t>step is not necessary if groups will be formed for each type of axle for each class of vehicle.)</w:t>
      </w:r>
    </w:p>
    <w:p w14:paraId="0BD9BBD9" w14:textId="77777777" w:rsidR="003F7B9F" w:rsidRPr="000077D4" w:rsidRDefault="003F7B9F" w:rsidP="000C35FB">
      <w:pPr>
        <w:widowControl/>
        <w:numPr>
          <w:ilvl w:val="0"/>
          <w:numId w:val="36"/>
        </w:numPr>
        <w:autoSpaceDE/>
        <w:autoSpaceDN/>
        <w:adjustRightInd/>
        <w:spacing w:after="120"/>
        <w:ind w:left="648"/>
        <w:jc w:val="left"/>
        <w:textAlignment w:val="auto"/>
      </w:pPr>
      <w:r w:rsidRPr="000077D4">
        <w:t xml:space="preserve">Perform a cluster analysis using traffic loading summary statistic of choice, stopping when clusters reach the point where the difference between clusters becomes large enough that the use of different clusters causes statistically and practically different outcomes when used in planned analyses. </w:t>
      </w:r>
    </w:p>
    <w:p w14:paraId="3B0828A8" w14:textId="1FE01350" w:rsidR="003F7B9F" w:rsidRPr="000077D4" w:rsidRDefault="003F7B9F" w:rsidP="00A35EAF">
      <w:pPr>
        <w:pStyle w:val="BodyText"/>
      </w:pPr>
      <w:r w:rsidRPr="0025752B">
        <w:t xml:space="preserve">Step </w:t>
      </w:r>
      <w:r w:rsidRPr="000077D4">
        <w:t xml:space="preserve">3 is the most challenging task in this process because different classes of trucks are likely to have different loading patterns at any given site. That is, some classes of trucks will be heavier at one site (Site A) than at other sites (e.g., Sites B through G), while a different set of vehicle classes will be lighter at Site A than at the remaining sites. For example, grouping may be heavily weighted towards similarities in class 9 axle load spectra, if class 9 carry large percentage of heavy loads for the load factor group. </w:t>
      </w:r>
    </w:p>
    <w:p w14:paraId="430C910B" w14:textId="725197D6" w:rsidR="003F7B9F" w:rsidRPr="0025752B" w:rsidRDefault="003F7B9F" w:rsidP="00A35EAF">
      <w:pPr>
        <w:pStyle w:val="BodyText"/>
      </w:pPr>
      <w:r w:rsidRPr="000077D4">
        <w:t>In Step 4, the traffic loading summary statistic (ESAL/truck, average GVW, or load spectra) that represent</w:t>
      </w:r>
      <w:r w:rsidR="0040133A">
        <w:t>s</w:t>
      </w:r>
      <w:r w:rsidRPr="000077D4">
        <w:t xml:space="preserve"> the vehicle class loading conditions being used to group </w:t>
      </w:r>
      <w:r w:rsidRPr="0025752B">
        <w:t xml:space="preserve">sites </w:t>
      </w:r>
      <w:r w:rsidR="0040133A">
        <w:t>is</w:t>
      </w:r>
      <w:r w:rsidR="0040133A" w:rsidRPr="0025752B">
        <w:t xml:space="preserve"> </w:t>
      </w:r>
      <w:r w:rsidRPr="0025752B">
        <w:t xml:space="preserve">entered into a statistical clustering program. The output of that process can then be tested to determine the reliability of the groups created. </w:t>
      </w:r>
    </w:p>
    <w:p w14:paraId="54252EEF" w14:textId="77777777" w:rsidR="003F7B9F" w:rsidRPr="00A63350" w:rsidRDefault="003F7B9F" w:rsidP="00A35EAF">
      <w:pPr>
        <w:pStyle w:val="BodyText"/>
        <w:rPr>
          <w:rFonts w:ascii="Cambria" w:hAnsi="Cambria"/>
          <w:i/>
          <w:iCs/>
          <w:sz w:val="22"/>
          <w:szCs w:val="22"/>
        </w:rPr>
      </w:pPr>
      <w:r w:rsidRPr="00A63350">
        <w:rPr>
          <w:rFonts w:ascii="Cambria" w:hAnsi="Cambria"/>
          <w:i/>
          <w:iCs/>
          <w:sz w:val="22"/>
          <w:szCs w:val="22"/>
        </w:rPr>
        <w:t>Hybrid Approach Combining the Intuitive and Clustering Approaches</w:t>
      </w:r>
    </w:p>
    <w:p w14:paraId="31865BCB" w14:textId="1352C637" w:rsidR="003F7B9F" w:rsidRPr="000077D4" w:rsidRDefault="003F7B9F" w:rsidP="00A35EAF">
      <w:pPr>
        <w:pStyle w:val="BodyText"/>
      </w:pPr>
      <w:r w:rsidRPr="0025752B">
        <w:t xml:space="preserve">This approach combines features of the Intuitive and Clustering Approaches. First, professional judgment is used to initially segregate roads into specific categories or groups. For example, based on data from classification and WIM sites, the State may know that specific </w:t>
      </w:r>
      <w:r w:rsidRPr="000077D4">
        <w:t>roads carry large volumes of very heavy Class 7 and Class 10 trucks due to the nature of industry served by those roads (e.g., coal or other heavy natural resources)</w:t>
      </w:r>
      <w:r w:rsidR="0040133A">
        <w:t>.</w:t>
      </w:r>
      <w:r w:rsidRPr="000077D4">
        <w:t xml:space="preserve"> These roads may be segregated from roads that carry more diverse heavy vehicle traffic prior to running cluster analyses. These roads may be used as one group, or a cluster analysis may be performed using only data from WIM sites on these special roads—using Class 7 and Class 10 loading conditions as the key cluster variable. A separate cluster analysis may then be applied—using Class 9 loading conditions as the cluster variable—for all other roads in the State.</w:t>
      </w:r>
    </w:p>
    <w:p w14:paraId="0A7C53D7" w14:textId="77777777" w:rsidR="003F7B9F" w:rsidRPr="000077D4" w:rsidRDefault="003F7B9F" w:rsidP="00A35EAF">
      <w:pPr>
        <w:pStyle w:val="BodyText"/>
      </w:pPr>
      <w:r w:rsidRPr="000077D4">
        <w:t xml:space="preserve">This hybrid approach to truck weight road group creation is intended to improve the group creation process by allowing application of professional knowledge in limited ways, while preserving the statistical integrity of the group creation as much as possible with the clustering approach whenever current knowledge does not provide clear definition of truck load groups. </w:t>
      </w:r>
    </w:p>
    <w:p w14:paraId="5EA91175" w14:textId="698AE659" w:rsidR="003F7B9F" w:rsidRPr="00A63350" w:rsidRDefault="003F7B9F" w:rsidP="00A35EAF">
      <w:pPr>
        <w:pStyle w:val="BodyText"/>
        <w:rPr>
          <w:rFonts w:ascii="Cambria" w:hAnsi="Cambria"/>
          <w:b/>
          <w:bCs/>
          <w:sz w:val="22"/>
          <w:szCs w:val="22"/>
        </w:rPr>
      </w:pPr>
      <w:r w:rsidRPr="00A63350">
        <w:rPr>
          <w:rFonts w:ascii="Cambria" w:hAnsi="Cambria"/>
          <w:b/>
          <w:bCs/>
          <w:sz w:val="22"/>
          <w:szCs w:val="22"/>
        </w:rPr>
        <w:t>Testing the Quality of Selected Load Factor Groups</w:t>
      </w:r>
    </w:p>
    <w:p w14:paraId="170F91BE" w14:textId="10B3D148" w:rsidR="003F7B9F" w:rsidRPr="000077D4" w:rsidRDefault="003F7B9F" w:rsidP="00A35EAF">
      <w:pPr>
        <w:pStyle w:val="BodyText"/>
      </w:pPr>
      <w:r w:rsidRPr="000077D4">
        <w:t xml:space="preserve">The initial formation of load factor groups should be reviewed to determine whether the road segments grouped together have similar truck weight characteristics. More likely it will not be possible to form homogenous groups for different truck classes, and trade-offs will have to be made. Examining available data from the existing WIM sites is the first step. For example, at Site A, the Class 9 truck weight pattern may be dominated by urban delivery trucking patterns where Class 9 trucks are equally split between loaded, unloaded, and partially loaded conditions. At the same site, Class 7 and Class 10 vehicles may all be carrying very heavy loads. At Site B, the majority of Class 9 trucks are fully loaded, while Class 7 and Class 10 are also carrying heavy loads. At Site C, the original Class 9 urban pattern is present, but the Class 7 and 10 vehicles are much lighter than elsewhere. </w:t>
      </w:r>
    </w:p>
    <w:p w14:paraId="4B56F080" w14:textId="77777777" w:rsidR="003F7B9F" w:rsidRPr="000077D4" w:rsidRDefault="003F7B9F" w:rsidP="00A35EAF">
      <w:pPr>
        <w:pStyle w:val="BodyText"/>
      </w:pPr>
      <w:r w:rsidRPr="000077D4">
        <w:t xml:space="preserve">If all vehicle classes have equal importance, a statistically based cluster analysis might group all three of these test sites or it might separate all three sites, depending on the criteria set when applying the clustering approach. However, not all trucks are equally important. Some truck classes are heavier than others and thus, may be more </w:t>
      </w:r>
      <w:r w:rsidRPr="000077D4">
        <w:lastRenderedPageBreak/>
        <w:t xml:space="preserve">important to the users (pavement and bridge engineers). Class 5 is considered a truck but is generally so light that it creates little pavement damage, while Classes 7 and 10 can be extremely heavy. While trucks in Classes 7 and 10 tend to be very heavy, in most States and on most roads, these classes are a very small percentage of </w:t>
      </w:r>
      <w:r>
        <w:t>the</w:t>
      </w:r>
      <w:r w:rsidRPr="000077D4">
        <w:t xml:space="preserve"> traffic</w:t>
      </w:r>
      <w:r>
        <w:t xml:space="preserve"> stream</w:t>
      </w:r>
      <w:r w:rsidRPr="000077D4">
        <w:t xml:space="preserve"> and contribute a relatively modest amount of total pavement damage. On </w:t>
      </w:r>
      <w:r>
        <w:t>a few</w:t>
      </w:r>
      <w:r w:rsidRPr="000077D4">
        <w:t xml:space="preserve"> roads, these trucks are very prevalent and drive the pavement design equation. In most cases, however, Class 9 </w:t>
      </w:r>
      <w:r>
        <w:t>vehicles</w:t>
      </w:r>
      <w:r w:rsidRPr="000077D4">
        <w:t xml:space="preserve"> tend to produce the majority of pavement loading. These trucks tend to be less damaging per vehicle than Classes 7, 10, and 13, but they tend to constitute a very large percentage of truck volumes, thus contributing the most to the cumulative heavy loads (heavy loads are those that exceed ¾ of the legal load limit). Therefore, understanding of loading patterns for Class 9 trucks is very important for weight data users involved in pavement design.</w:t>
      </w:r>
    </w:p>
    <w:p w14:paraId="61554D78" w14:textId="77777777" w:rsidR="003F7B9F" w:rsidRPr="000077D4" w:rsidRDefault="003F7B9F" w:rsidP="00A35EAF">
      <w:pPr>
        <w:pStyle w:val="BodyText"/>
      </w:pPr>
      <w:r w:rsidRPr="000077D4">
        <w:t xml:space="preserve">Determination of the relative importance of different truck classes and selection of truck loading grouping statistics is very important. When deciding how to balance the importance of different truck classes to the grouping process, a combination of how heavy each class is and how frequently they are observed are important considerations. The type of vehicle considered the most important should be given priority (for example, vehicle that contributes 40% or more of the total cumulative traffic load) in the load factor grouping process. This can be computed by multiplying the volume of that class of trucks times their average weight. This simplifies the grouping process, although it downplays the importance of lower volume truck classes in that process. </w:t>
      </w:r>
    </w:p>
    <w:p w14:paraId="2089CECF" w14:textId="3487720C" w:rsidR="003F7B9F" w:rsidRPr="00A63350" w:rsidRDefault="003F7B9F" w:rsidP="00A35EAF">
      <w:pPr>
        <w:pStyle w:val="BodyText"/>
        <w:rPr>
          <w:rFonts w:ascii="Cambria" w:hAnsi="Cambria"/>
          <w:b/>
          <w:bCs/>
          <w:sz w:val="22"/>
          <w:szCs w:val="22"/>
        </w:rPr>
      </w:pPr>
      <w:r w:rsidRPr="00A63350">
        <w:rPr>
          <w:rFonts w:ascii="Cambria" w:hAnsi="Cambria"/>
          <w:b/>
          <w:bCs/>
          <w:sz w:val="22"/>
          <w:szCs w:val="22"/>
        </w:rPr>
        <w:t>Determining the Precision of Estimates from Load Factor Groups</w:t>
      </w:r>
    </w:p>
    <w:p w14:paraId="61CFA959" w14:textId="714D39BF" w:rsidR="003F7B9F" w:rsidRPr="000077D4" w:rsidRDefault="00043458" w:rsidP="00A35EAF">
      <w:pPr>
        <w:pStyle w:val="BodyText"/>
        <w:rPr>
          <w:highlight w:val="green"/>
        </w:rPr>
      </w:pPr>
      <w:r>
        <w:rPr>
          <w:noProof/>
        </w:rPr>
        <mc:AlternateContent>
          <mc:Choice Requires="wps">
            <w:drawing>
              <wp:anchor distT="45720" distB="45720" distL="114300" distR="114300" simplePos="0" relativeHeight="251713536" behindDoc="0" locked="0" layoutInCell="1" allowOverlap="1" wp14:anchorId="70F40A9F" wp14:editId="616EF7F8">
                <wp:simplePos x="0" y="0"/>
                <wp:positionH relativeFrom="margin">
                  <wp:posOffset>2510661</wp:posOffset>
                </wp:positionH>
                <wp:positionV relativeFrom="paragraph">
                  <wp:posOffset>9525</wp:posOffset>
                </wp:positionV>
                <wp:extent cx="3474720" cy="2946400"/>
                <wp:effectExtent l="0" t="0" r="0" b="6350"/>
                <wp:wrapSquare wrapText="bothSides"/>
                <wp:docPr id="358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2946400"/>
                        </a:xfrm>
                        <a:prstGeom prst="rect">
                          <a:avLst/>
                        </a:prstGeom>
                        <a:solidFill>
                          <a:srgbClr val="FFFFFF"/>
                        </a:solidFill>
                        <a:ln w="9525">
                          <a:noFill/>
                          <a:miter lim="800000"/>
                          <a:headEnd/>
                          <a:tailEnd/>
                        </a:ln>
                      </wps:spPr>
                      <wps:txbx>
                        <w:txbxContent>
                          <w:p w14:paraId="07908698" w14:textId="2CB919B9" w:rsidR="00A63350" w:rsidRDefault="00A63350" w:rsidP="00A63350">
                            <w:pPr>
                              <w:pStyle w:val="TMGTableCaption"/>
                              <w:spacing w:before="0"/>
                            </w:pPr>
                            <w:bookmarkStart w:id="1895" w:name="_Ref114577596"/>
                            <w:bookmarkStart w:id="1896" w:name="_Toc54784721"/>
                            <w:bookmarkStart w:id="1897" w:name="_Toc68874120"/>
                            <w:bookmarkStart w:id="1898" w:name="_Toc114474833"/>
                            <w:bookmarkStart w:id="1899" w:name="_Toc120631139"/>
                            <w:r w:rsidRPr="0025752B">
                              <w:t xml:space="preserve">Table </w:t>
                            </w:r>
                            <w:fldSimple w:instr=" STYLEREF 1 \s ">
                              <w:r w:rsidR="00FC0E95">
                                <w:rPr>
                                  <w:noProof/>
                                </w:rPr>
                                <w:t>3</w:t>
                              </w:r>
                            </w:fldSimple>
                            <w:r>
                              <w:noBreakHyphen/>
                            </w:r>
                            <w:fldSimple w:instr=" SEQ Table \* ARABIC \s 1 ">
                              <w:r w:rsidR="00FC0E95">
                                <w:rPr>
                                  <w:noProof/>
                                </w:rPr>
                                <w:t>13</w:t>
                              </w:r>
                            </w:fldSimple>
                            <w:bookmarkEnd w:id="1895"/>
                            <w:r w:rsidR="00352273">
                              <w:t>.</w:t>
                            </w:r>
                            <w:r w:rsidRPr="0025752B">
                              <w:t xml:space="preserve"> Example </w:t>
                            </w:r>
                            <w:r>
                              <w:t>o</w:t>
                            </w:r>
                            <w:r w:rsidRPr="0025752B">
                              <w:t xml:space="preserve">f Statistic Computation </w:t>
                            </w:r>
                            <w:r>
                              <w:t>f</w:t>
                            </w:r>
                            <w:r w:rsidRPr="0025752B">
                              <w:t>or</w:t>
                            </w:r>
                            <w:r w:rsidR="00352273">
                              <w:t xml:space="preserve"> </w:t>
                            </w:r>
                            <w:r w:rsidRPr="0025752B">
                              <w:t>Load</w:t>
                            </w:r>
                            <w:r w:rsidR="00352273">
                              <w:t> </w:t>
                            </w:r>
                            <w:r w:rsidRPr="0025752B">
                              <w:t>Factor Group Precision Estimates</w:t>
                            </w:r>
                            <w:bookmarkEnd w:id="1896"/>
                            <w:bookmarkEnd w:id="1897"/>
                            <w:bookmarkEnd w:id="1898"/>
                            <w:bookmarkEnd w:id="1899"/>
                          </w:p>
                          <w:tbl>
                            <w:tblPr>
                              <w:tblStyle w:val="TableGrid"/>
                              <w:tblW w:w="0" w:type="auto"/>
                              <w:tblCellMar>
                                <w:left w:w="86" w:type="dxa"/>
                                <w:right w:w="86" w:type="dxa"/>
                              </w:tblCellMar>
                              <w:tblLook w:val="04A0" w:firstRow="1" w:lastRow="0" w:firstColumn="1" w:lastColumn="0" w:noHBand="0" w:noVBand="1"/>
                            </w:tblPr>
                            <w:tblGrid>
                              <w:gridCol w:w="2875"/>
                              <w:gridCol w:w="1260"/>
                              <w:gridCol w:w="1260"/>
                            </w:tblGrid>
                            <w:tr w:rsidR="00A63350" w14:paraId="1AFA34DA" w14:textId="77777777" w:rsidTr="00283B5B">
                              <w:trPr>
                                <w:trHeight w:val="382"/>
                              </w:trPr>
                              <w:tc>
                                <w:tcPr>
                                  <w:tcW w:w="2875" w:type="dxa"/>
                                  <w:tcBorders>
                                    <w:right w:val="single" w:sz="4" w:space="0" w:color="FFFFFF" w:themeColor="background1"/>
                                  </w:tcBorders>
                                  <w:shd w:val="clear" w:color="auto" w:fill="1F3864"/>
                                  <w:vAlign w:val="center"/>
                                </w:tcPr>
                                <w:p w14:paraId="1C25C531" w14:textId="53C199CF" w:rsidR="00A63350" w:rsidRDefault="00A63350" w:rsidP="0017389B">
                                  <w:pPr>
                                    <w:pStyle w:val="TMGTableTextHeader"/>
                                  </w:pPr>
                                  <w:r w:rsidRPr="004859C8">
                                    <w:t>Site</w:t>
                                  </w:r>
                                </w:p>
                              </w:tc>
                              <w:tc>
                                <w:tcPr>
                                  <w:tcW w:w="1260" w:type="dxa"/>
                                  <w:tcBorders>
                                    <w:left w:val="single" w:sz="4" w:space="0" w:color="FFFFFF" w:themeColor="background1"/>
                                    <w:right w:val="single" w:sz="4" w:space="0" w:color="FFFFFF" w:themeColor="background1"/>
                                  </w:tcBorders>
                                  <w:shd w:val="clear" w:color="auto" w:fill="1F3864"/>
                                  <w:vAlign w:val="center"/>
                                </w:tcPr>
                                <w:p w14:paraId="700AB41A" w14:textId="54819BA4" w:rsidR="00A63350" w:rsidRDefault="00A63350" w:rsidP="0017389B">
                                  <w:pPr>
                                    <w:pStyle w:val="TMGTableTextHeader"/>
                                  </w:pPr>
                                  <w:r w:rsidRPr="004859C8">
                                    <w:t>Mean Class 9 GVW</w:t>
                                  </w:r>
                                </w:p>
                              </w:tc>
                              <w:tc>
                                <w:tcPr>
                                  <w:tcW w:w="1260" w:type="dxa"/>
                                  <w:tcBorders>
                                    <w:left w:val="single" w:sz="4" w:space="0" w:color="FFFFFF" w:themeColor="background1"/>
                                  </w:tcBorders>
                                  <w:shd w:val="clear" w:color="auto" w:fill="1F3864"/>
                                  <w:vAlign w:val="center"/>
                                </w:tcPr>
                                <w:p w14:paraId="65AC3856" w14:textId="3587F5DC" w:rsidR="00A63350" w:rsidRDefault="00A63350" w:rsidP="0017389B">
                                  <w:pPr>
                                    <w:pStyle w:val="TMGTableTextHeader"/>
                                  </w:pPr>
                                  <w:r w:rsidRPr="004859C8">
                                    <w:t>Mean Class 9 ESAL</w:t>
                                  </w:r>
                                </w:p>
                              </w:tc>
                            </w:tr>
                            <w:tr w:rsidR="00A63350" w14:paraId="647FAC4B" w14:textId="77777777" w:rsidTr="00283B5B">
                              <w:trPr>
                                <w:trHeight w:val="59"/>
                              </w:trPr>
                              <w:tc>
                                <w:tcPr>
                                  <w:tcW w:w="2875" w:type="dxa"/>
                                </w:tcPr>
                                <w:p w14:paraId="0BCA6178" w14:textId="33C09DD8" w:rsidR="00A63350" w:rsidRDefault="00A63350" w:rsidP="008645A4">
                                  <w:pPr>
                                    <w:pStyle w:val="TMGTableText"/>
                                    <w:spacing w:before="0" w:after="0"/>
                                    <w:ind w:left="0"/>
                                    <w:jc w:val="center"/>
                                  </w:pPr>
                                  <w:r w:rsidRPr="004859C8">
                                    <w:t>1</w:t>
                                  </w:r>
                                </w:p>
                              </w:tc>
                              <w:tc>
                                <w:tcPr>
                                  <w:tcW w:w="1260" w:type="dxa"/>
                                  <w:vAlign w:val="center"/>
                                </w:tcPr>
                                <w:p w14:paraId="6E09FD00" w14:textId="7F74316B" w:rsidR="00A63350" w:rsidRDefault="00A63350" w:rsidP="008645A4">
                                  <w:pPr>
                                    <w:pStyle w:val="TMGTableText"/>
                                    <w:spacing w:before="0" w:after="0"/>
                                    <w:ind w:left="0"/>
                                    <w:jc w:val="right"/>
                                  </w:pPr>
                                  <w:r w:rsidRPr="00A45CA5">
                                    <w:t>50,000 lb</w:t>
                                  </w:r>
                                </w:p>
                              </w:tc>
                              <w:tc>
                                <w:tcPr>
                                  <w:tcW w:w="1260" w:type="dxa"/>
                                  <w:vAlign w:val="center"/>
                                </w:tcPr>
                                <w:p w14:paraId="103BE2FD" w14:textId="2798E0CA" w:rsidR="00A63350" w:rsidRDefault="00A63350" w:rsidP="008645A4">
                                  <w:pPr>
                                    <w:pStyle w:val="TMGTableText"/>
                                    <w:spacing w:before="0" w:after="0"/>
                                    <w:ind w:left="0"/>
                                    <w:jc w:val="center"/>
                                  </w:pPr>
                                  <w:r w:rsidRPr="00A45CA5">
                                    <w:t>1.64</w:t>
                                  </w:r>
                                </w:p>
                              </w:tc>
                            </w:tr>
                            <w:tr w:rsidR="00A63350" w14:paraId="204558EA" w14:textId="77777777" w:rsidTr="00283B5B">
                              <w:tc>
                                <w:tcPr>
                                  <w:tcW w:w="2875" w:type="dxa"/>
                                </w:tcPr>
                                <w:p w14:paraId="1101B5C8" w14:textId="2EF4763B" w:rsidR="00A63350" w:rsidRDefault="00A63350" w:rsidP="008645A4">
                                  <w:pPr>
                                    <w:pStyle w:val="TMGTableText"/>
                                    <w:spacing w:before="0" w:after="0"/>
                                    <w:ind w:left="0"/>
                                    <w:jc w:val="center"/>
                                  </w:pPr>
                                  <w:r w:rsidRPr="004859C8">
                                    <w:t>2</w:t>
                                  </w:r>
                                </w:p>
                              </w:tc>
                              <w:tc>
                                <w:tcPr>
                                  <w:tcW w:w="1260" w:type="dxa"/>
                                  <w:vAlign w:val="center"/>
                                </w:tcPr>
                                <w:p w14:paraId="09A768CA" w14:textId="73688EE5" w:rsidR="00A63350" w:rsidRDefault="00A63350" w:rsidP="008645A4">
                                  <w:pPr>
                                    <w:pStyle w:val="TMGTableText"/>
                                    <w:spacing w:before="0" w:after="0"/>
                                    <w:ind w:left="0"/>
                                    <w:jc w:val="right"/>
                                  </w:pPr>
                                  <w:r w:rsidRPr="00A45CA5">
                                    <w:t>57,000 lb</w:t>
                                  </w:r>
                                </w:p>
                              </w:tc>
                              <w:tc>
                                <w:tcPr>
                                  <w:tcW w:w="1260" w:type="dxa"/>
                                  <w:vAlign w:val="center"/>
                                </w:tcPr>
                                <w:p w14:paraId="766BCA85" w14:textId="0D3EE2C0" w:rsidR="00A63350" w:rsidRDefault="00A63350" w:rsidP="008645A4">
                                  <w:pPr>
                                    <w:pStyle w:val="TMGTableText"/>
                                    <w:spacing w:before="0" w:after="0"/>
                                    <w:ind w:left="0"/>
                                    <w:jc w:val="center"/>
                                  </w:pPr>
                                  <w:r w:rsidRPr="00A45CA5">
                                    <w:t>1.72</w:t>
                                  </w:r>
                                </w:p>
                              </w:tc>
                            </w:tr>
                            <w:tr w:rsidR="00A63350" w14:paraId="111B17D0" w14:textId="77777777" w:rsidTr="00283B5B">
                              <w:tc>
                                <w:tcPr>
                                  <w:tcW w:w="2875" w:type="dxa"/>
                                </w:tcPr>
                                <w:p w14:paraId="1F70C195" w14:textId="408DA775" w:rsidR="00A63350" w:rsidRDefault="00A63350" w:rsidP="008645A4">
                                  <w:pPr>
                                    <w:pStyle w:val="TMGTableText"/>
                                    <w:spacing w:before="0" w:after="0"/>
                                    <w:ind w:left="0"/>
                                    <w:jc w:val="center"/>
                                  </w:pPr>
                                  <w:r w:rsidRPr="004859C8">
                                    <w:t>3</w:t>
                                  </w:r>
                                </w:p>
                              </w:tc>
                              <w:tc>
                                <w:tcPr>
                                  <w:tcW w:w="1260" w:type="dxa"/>
                                  <w:vAlign w:val="center"/>
                                </w:tcPr>
                                <w:p w14:paraId="43BF29ED" w14:textId="155E06D4" w:rsidR="00A63350" w:rsidRDefault="00A63350" w:rsidP="008645A4">
                                  <w:pPr>
                                    <w:pStyle w:val="TMGTableText"/>
                                    <w:spacing w:before="0" w:after="0"/>
                                    <w:ind w:left="0"/>
                                    <w:jc w:val="right"/>
                                  </w:pPr>
                                  <w:r w:rsidRPr="00A45CA5">
                                    <w:t>64,000 lb</w:t>
                                  </w:r>
                                </w:p>
                              </w:tc>
                              <w:tc>
                                <w:tcPr>
                                  <w:tcW w:w="1260" w:type="dxa"/>
                                  <w:vAlign w:val="center"/>
                                </w:tcPr>
                                <w:p w14:paraId="17B836CD" w14:textId="5338A5E4" w:rsidR="00A63350" w:rsidRDefault="00A63350" w:rsidP="008645A4">
                                  <w:pPr>
                                    <w:pStyle w:val="TMGTableText"/>
                                    <w:spacing w:before="0" w:after="0"/>
                                    <w:ind w:left="0"/>
                                    <w:jc w:val="center"/>
                                  </w:pPr>
                                  <w:r w:rsidRPr="00A45CA5">
                                    <w:t>1.84</w:t>
                                  </w:r>
                                </w:p>
                              </w:tc>
                            </w:tr>
                            <w:tr w:rsidR="00A63350" w14:paraId="4283D659" w14:textId="77777777" w:rsidTr="00283B5B">
                              <w:tc>
                                <w:tcPr>
                                  <w:tcW w:w="2875" w:type="dxa"/>
                                </w:tcPr>
                                <w:p w14:paraId="576D4906" w14:textId="3F41027B" w:rsidR="00A63350" w:rsidRDefault="00A63350" w:rsidP="008645A4">
                                  <w:pPr>
                                    <w:pStyle w:val="TMGTableText"/>
                                    <w:spacing w:before="0" w:after="0"/>
                                    <w:ind w:left="0"/>
                                    <w:jc w:val="center"/>
                                  </w:pPr>
                                  <w:r w:rsidRPr="004859C8">
                                    <w:t>4</w:t>
                                  </w:r>
                                </w:p>
                              </w:tc>
                              <w:tc>
                                <w:tcPr>
                                  <w:tcW w:w="1260" w:type="dxa"/>
                                  <w:vAlign w:val="center"/>
                                </w:tcPr>
                                <w:p w14:paraId="16974971" w14:textId="3C08FCAE" w:rsidR="00A63350" w:rsidRDefault="00A63350" w:rsidP="008645A4">
                                  <w:pPr>
                                    <w:pStyle w:val="TMGTableText"/>
                                    <w:spacing w:before="0" w:after="0"/>
                                    <w:ind w:left="0"/>
                                    <w:jc w:val="right"/>
                                  </w:pPr>
                                  <w:r w:rsidRPr="00A45CA5">
                                    <w:t>46,000 lb</w:t>
                                  </w:r>
                                </w:p>
                              </w:tc>
                              <w:tc>
                                <w:tcPr>
                                  <w:tcW w:w="1260" w:type="dxa"/>
                                  <w:vAlign w:val="center"/>
                                </w:tcPr>
                                <w:p w14:paraId="44E93ADC" w14:textId="3FD26A70" w:rsidR="00A63350" w:rsidRDefault="00A63350" w:rsidP="008645A4">
                                  <w:pPr>
                                    <w:pStyle w:val="TMGTableText"/>
                                    <w:spacing w:before="0" w:after="0"/>
                                    <w:ind w:left="0"/>
                                    <w:jc w:val="center"/>
                                  </w:pPr>
                                  <w:r w:rsidRPr="00A45CA5">
                                    <w:t>1.45</w:t>
                                  </w:r>
                                </w:p>
                              </w:tc>
                            </w:tr>
                            <w:tr w:rsidR="00A63350" w14:paraId="7E0E1ED8" w14:textId="77777777" w:rsidTr="00283B5B">
                              <w:tc>
                                <w:tcPr>
                                  <w:tcW w:w="2875" w:type="dxa"/>
                                </w:tcPr>
                                <w:p w14:paraId="56C2F8A9" w14:textId="064A329E" w:rsidR="00A63350" w:rsidRDefault="00A63350" w:rsidP="008645A4">
                                  <w:pPr>
                                    <w:pStyle w:val="TMGTableText"/>
                                    <w:spacing w:before="0" w:after="0"/>
                                    <w:ind w:left="0"/>
                                    <w:jc w:val="center"/>
                                  </w:pPr>
                                  <w:r w:rsidRPr="004859C8">
                                    <w:t>5</w:t>
                                  </w:r>
                                </w:p>
                              </w:tc>
                              <w:tc>
                                <w:tcPr>
                                  <w:tcW w:w="1260" w:type="dxa"/>
                                  <w:vAlign w:val="center"/>
                                </w:tcPr>
                                <w:p w14:paraId="10CA4D8E" w14:textId="67848866" w:rsidR="00A63350" w:rsidRDefault="00A63350" w:rsidP="008645A4">
                                  <w:pPr>
                                    <w:pStyle w:val="TMGTableText"/>
                                    <w:spacing w:before="0" w:after="0"/>
                                    <w:ind w:left="0"/>
                                    <w:jc w:val="right"/>
                                  </w:pPr>
                                  <w:r w:rsidRPr="00A45CA5">
                                    <w:t>45,000 lb</w:t>
                                  </w:r>
                                </w:p>
                              </w:tc>
                              <w:tc>
                                <w:tcPr>
                                  <w:tcW w:w="1260" w:type="dxa"/>
                                  <w:vAlign w:val="center"/>
                                </w:tcPr>
                                <w:p w14:paraId="3C0DF21D" w14:textId="6271A950" w:rsidR="00A63350" w:rsidRDefault="00A63350" w:rsidP="008645A4">
                                  <w:pPr>
                                    <w:pStyle w:val="TMGTableText"/>
                                    <w:spacing w:before="0" w:after="0"/>
                                    <w:ind w:left="0"/>
                                    <w:jc w:val="center"/>
                                  </w:pPr>
                                  <w:r w:rsidRPr="00A45CA5">
                                    <w:t>1.34</w:t>
                                  </w:r>
                                </w:p>
                              </w:tc>
                            </w:tr>
                            <w:tr w:rsidR="00A63350" w14:paraId="3C492616" w14:textId="77777777" w:rsidTr="00283B5B">
                              <w:tc>
                                <w:tcPr>
                                  <w:tcW w:w="2875" w:type="dxa"/>
                                </w:tcPr>
                                <w:p w14:paraId="7EC23C47" w14:textId="3D79505C" w:rsidR="00A63350" w:rsidRDefault="00A63350" w:rsidP="008645A4">
                                  <w:pPr>
                                    <w:pStyle w:val="TMGTableText"/>
                                    <w:spacing w:before="0" w:after="0"/>
                                    <w:ind w:left="0"/>
                                    <w:jc w:val="center"/>
                                  </w:pPr>
                                  <w:r w:rsidRPr="004859C8">
                                    <w:t>6</w:t>
                                  </w:r>
                                </w:p>
                              </w:tc>
                              <w:tc>
                                <w:tcPr>
                                  <w:tcW w:w="1260" w:type="dxa"/>
                                  <w:vAlign w:val="center"/>
                                </w:tcPr>
                                <w:p w14:paraId="7C8F5AB6" w14:textId="720C9B48" w:rsidR="00A63350" w:rsidRDefault="00A63350" w:rsidP="008645A4">
                                  <w:pPr>
                                    <w:pStyle w:val="TMGTableText"/>
                                    <w:spacing w:before="0" w:after="0"/>
                                    <w:ind w:left="0"/>
                                    <w:jc w:val="right"/>
                                  </w:pPr>
                                  <w:r w:rsidRPr="00A45CA5">
                                    <w:t>55,000 lb</w:t>
                                  </w:r>
                                </w:p>
                              </w:tc>
                              <w:tc>
                                <w:tcPr>
                                  <w:tcW w:w="1260" w:type="dxa"/>
                                  <w:vAlign w:val="center"/>
                                </w:tcPr>
                                <w:p w14:paraId="2298001D" w14:textId="68AE0C65" w:rsidR="00A63350" w:rsidRDefault="00A63350" w:rsidP="008645A4">
                                  <w:pPr>
                                    <w:pStyle w:val="TMGTableText"/>
                                    <w:spacing w:before="0" w:after="0"/>
                                    <w:ind w:left="0"/>
                                    <w:jc w:val="center"/>
                                  </w:pPr>
                                  <w:r w:rsidRPr="00A45CA5">
                                    <w:t>1.65</w:t>
                                  </w:r>
                                </w:p>
                              </w:tc>
                            </w:tr>
                            <w:tr w:rsidR="00A63350" w14:paraId="08511690" w14:textId="77777777" w:rsidTr="00283B5B">
                              <w:tc>
                                <w:tcPr>
                                  <w:tcW w:w="2875" w:type="dxa"/>
                                </w:tcPr>
                                <w:p w14:paraId="5D46F3C1" w14:textId="781E669D" w:rsidR="00A63350" w:rsidRDefault="00A63350" w:rsidP="008645A4">
                                  <w:pPr>
                                    <w:pStyle w:val="TMGTableText"/>
                                    <w:spacing w:before="0" w:after="0"/>
                                    <w:ind w:left="0"/>
                                    <w:jc w:val="center"/>
                                  </w:pPr>
                                  <w:r w:rsidRPr="004859C8">
                                    <w:t>7</w:t>
                                  </w:r>
                                </w:p>
                              </w:tc>
                              <w:tc>
                                <w:tcPr>
                                  <w:tcW w:w="1260" w:type="dxa"/>
                                  <w:vAlign w:val="center"/>
                                </w:tcPr>
                                <w:p w14:paraId="0602242F" w14:textId="415392C4" w:rsidR="00A63350" w:rsidRDefault="00A63350" w:rsidP="008645A4">
                                  <w:pPr>
                                    <w:pStyle w:val="TMGTableText"/>
                                    <w:spacing w:before="0" w:after="0"/>
                                    <w:ind w:left="0"/>
                                    <w:jc w:val="right"/>
                                  </w:pPr>
                                  <w:r w:rsidRPr="00A45CA5">
                                    <w:t>62,000 lb</w:t>
                                  </w:r>
                                </w:p>
                              </w:tc>
                              <w:tc>
                                <w:tcPr>
                                  <w:tcW w:w="1260" w:type="dxa"/>
                                  <w:vAlign w:val="center"/>
                                </w:tcPr>
                                <w:p w14:paraId="1B32D639" w14:textId="3E323B40" w:rsidR="00A63350" w:rsidRDefault="00A63350" w:rsidP="008645A4">
                                  <w:pPr>
                                    <w:pStyle w:val="TMGTableText"/>
                                    <w:spacing w:before="0" w:after="0"/>
                                    <w:ind w:left="0"/>
                                    <w:jc w:val="center"/>
                                  </w:pPr>
                                  <w:r w:rsidRPr="00A45CA5">
                                    <w:t>1.78</w:t>
                                  </w:r>
                                </w:p>
                              </w:tc>
                            </w:tr>
                            <w:tr w:rsidR="00A63350" w14:paraId="22713BF5" w14:textId="77777777" w:rsidTr="00283B5B">
                              <w:tc>
                                <w:tcPr>
                                  <w:tcW w:w="2875" w:type="dxa"/>
                                </w:tcPr>
                                <w:p w14:paraId="29DB3B3A" w14:textId="58BCA565" w:rsidR="00A63350" w:rsidRDefault="00A63350" w:rsidP="008645A4">
                                  <w:pPr>
                                    <w:pStyle w:val="TMGTableText"/>
                                    <w:spacing w:before="0" w:after="0"/>
                                    <w:ind w:left="0"/>
                                    <w:jc w:val="center"/>
                                  </w:pPr>
                                  <w:r w:rsidRPr="004859C8">
                                    <w:t xml:space="preserve">Group Mean, </w:t>
                                  </w:r>
                                  <w:r w:rsidRPr="004859C8">
                                    <w:rPr>
                                      <w:i/>
                                    </w:rPr>
                                    <w:t>m</w:t>
                                  </w:r>
                                </w:p>
                              </w:tc>
                              <w:tc>
                                <w:tcPr>
                                  <w:tcW w:w="1260" w:type="dxa"/>
                                  <w:vAlign w:val="center"/>
                                </w:tcPr>
                                <w:p w14:paraId="5A7BDA4A" w14:textId="5821F925" w:rsidR="00A63350" w:rsidRDefault="00A63350" w:rsidP="008645A4">
                                  <w:pPr>
                                    <w:pStyle w:val="TMGTableText"/>
                                    <w:spacing w:before="0" w:after="0"/>
                                    <w:ind w:left="0"/>
                                    <w:jc w:val="right"/>
                                  </w:pPr>
                                  <w:r w:rsidRPr="00A45CA5">
                                    <w:t>54,000 lb</w:t>
                                  </w:r>
                                </w:p>
                              </w:tc>
                              <w:tc>
                                <w:tcPr>
                                  <w:tcW w:w="1260" w:type="dxa"/>
                                  <w:vAlign w:val="center"/>
                                </w:tcPr>
                                <w:p w14:paraId="5C7227E4" w14:textId="2A5FE380" w:rsidR="00A63350" w:rsidRDefault="00A63350" w:rsidP="008645A4">
                                  <w:pPr>
                                    <w:pStyle w:val="TMGTableText"/>
                                    <w:spacing w:before="0" w:after="0"/>
                                    <w:ind w:left="0"/>
                                    <w:jc w:val="center"/>
                                  </w:pPr>
                                  <w:r w:rsidRPr="00A45CA5">
                                    <w:t>1.63</w:t>
                                  </w:r>
                                </w:p>
                              </w:tc>
                            </w:tr>
                            <w:tr w:rsidR="00A63350" w14:paraId="5AD6DEC3" w14:textId="77777777" w:rsidTr="00283B5B">
                              <w:tc>
                                <w:tcPr>
                                  <w:tcW w:w="2875" w:type="dxa"/>
                                </w:tcPr>
                                <w:p w14:paraId="6D15EF95" w14:textId="3BA75DEC" w:rsidR="00A63350" w:rsidRDefault="00A63350" w:rsidP="008645A4">
                                  <w:pPr>
                                    <w:pStyle w:val="TMGTableText"/>
                                    <w:spacing w:before="0" w:after="0"/>
                                    <w:ind w:left="0"/>
                                    <w:jc w:val="center"/>
                                  </w:pPr>
                                  <w:r w:rsidRPr="004859C8">
                                    <w:t xml:space="preserve">Group Standard Deviation, </w:t>
                                  </w:r>
                                  <w:r w:rsidRPr="004859C8">
                                    <w:rPr>
                                      <w:i/>
                                    </w:rPr>
                                    <w:t>s</w:t>
                                  </w:r>
                                </w:p>
                              </w:tc>
                              <w:tc>
                                <w:tcPr>
                                  <w:tcW w:w="1260" w:type="dxa"/>
                                  <w:vAlign w:val="center"/>
                                </w:tcPr>
                                <w:p w14:paraId="7D950F33" w14:textId="1ECAF7F6" w:rsidR="00A63350" w:rsidRDefault="00A63350" w:rsidP="008645A4">
                                  <w:pPr>
                                    <w:pStyle w:val="TMGTableText"/>
                                    <w:spacing w:before="0" w:after="0"/>
                                    <w:ind w:left="0"/>
                                    <w:jc w:val="right"/>
                                  </w:pPr>
                                  <w:r w:rsidRPr="00A45CA5">
                                    <w:t>7,500 lb</w:t>
                                  </w:r>
                                </w:p>
                              </w:tc>
                              <w:tc>
                                <w:tcPr>
                                  <w:tcW w:w="1260" w:type="dxa"/>
                                  <w:vAlign w:val="center"/>
                                </w:tcPr>
                                <w:p w14:paraId="5A752344" w14:textId="6B9747F2" w:rsidR="00A63350" w:rsidRDefault="00A63350" w:rsidP="008645A4">
                                  <w:pPr>
                                    <w:pStyle w:val="TMGTableText"/>
                                    <w:spacing w:before="0" w:after="0"/>
                                    <w:ind w:left="0"/>
                                    <w:jc w:val="center"/>
                                  </w:pPr>
                                  <w:r w:rsidRPr="00A45CA5">
                                    <w:t>0.18</w:t>
                                  </w:r>
                                </w:p>
                              </w:tc>
                            </w:tr>
                            <w:tr w:rsidR="00A63350" w14:paraId="7A2EB10B" w14:textId="77777777" w:rsidTr="00283B5B">
                              <w:tc>
                                <w:tcPr>
                                  <w:tcW w:w="2875" w:type="dxa"/>
                                </w:tcPr>
                                <w:p w14:paraId="51BB0B72" w14:textId="25AFF5DE" w:rsidR="00A63350" w:rsidRDefault="00A63350" w:rsidP="008645A4">
                                  <w:pPr>
                                    <w:pStyle w:val="TMGTableText"/>
                                    <w:spacing w:before="0" w:after="0"/>
                                    <w:ind w:left="0"/>
                                    <w:jc w:val="center"/>
                                  </w:pPr>
                                  <w:r w:rsidRPr="004859C8">
                                    <w:t xml:space="preserve">Coefficient of Variation, </w:t>
                                  </w:r>
                                  <m:oMath>
                                    <m:f>
                                      <m:fPr>
                                        <m:ctrlPr>
                                          <w:rPr>
                                            <w:rFonts w:ascii="Cambria Math" w:hAnsi="Cambria Math"/>
                                            <w:i/>
                                            <w:smallCaps/>
                                          </w:rPr>
                                        </m:ctrlPr>
                                      </m:fPr>
                                      <m:num>
                                        <m:r>
                                          <m:rPr>
                                            <m:sty m:val="bi"/>
                                          </m:rPr>
                                          <w:rPr>
                                            <w:rFonts w:ascii="Cambria Math" w:hAnsi="Cambria Math"/>
                                          </w:rPr>
                                          <m:t>s</m:t>
                                        </m:r>
                                      </m:num>
                                      <m:den>
                                        <m:r>
                                          <m:rPr>
                                            <m:sty m:val="bi"/>
                                          </m:rPr>
                                          <w:rPr>
                                            <w:rFonts w:ascii="Cambria Math" w:hAnsi="Cambria Math"/>
                                          </w:rPr>
                                          <m:t>m</m:t>
                                        </m:r>
                                      </m:den>
                                    </m:f>
                                  </m:oMath>
                                </w:p>
                              </w:tc>
                              <w:tc>
                                <w:tcPr>
                                  <w:tcW w:w="1260" w:type="dxa"/>
                                  <w:vAlign w:val="center"/>
                                </w:tcPr>
                                <w:p w14:paraId="0FB2E5F0" w14:textId="6A780F4D" w:rsidR="00A63350" w:rsidRDefault="00A63350" w:rsidP="008645A4">
                                  <w:pPr>
                                    <w:pStyle w:val="TMGTableText"/>
                                    <w:spacing w:before="0" w:after="0"/>
                                    <w:ind w:left="0"/>
                                    <w:jc w:val="right"/>
                                  </w:pPr>
                                  <w:r w:rsidRPr="00A45CA5">
                                    <w:t>0.14</w:t>
                                  </w:r>
                                </w:p>
                              </w:tc>
                              <w:tc>
                                <w:tcPr>
                                  <w:tcW w:w="1260" w:type="dxa"/>
                                  <w:vAlign w:val="center"/>
                                </w:tcPr>
                                <w:p w14:paraId="5D2BF3A4" w14:textId="1AEFEC05" w:rsidR="00A63350" w:rsidRDefault="00A63350" w:rsidP="008645A4">
                                  <w:pPr>
                                    <w:pStyle w:val="TMGTableText"/>
                                    <w:spacing w:before="0" w:after="0"/>
                                    <w:ind w:left="0"/>
                                    <w:jc w:val="center"/>
                                  </w:pPr>
                                  <w:r w:rsidRPr="00A45CA5">
                                    <w:t>0.11</w:t>
                                  </w:r>
                                </w:p>
                              </w:tc>
                            </w:tr>
                            <w:tr w:rsidR="00A63350" w14:paraId="39F01536" w14:textId="77777777" w:rsidTr="00283B5B">
                              <w:tc>
                                <w:tcPr>
                                  <w:tcW w:w="2875" w:type="dxa"/>
                                </w:tcPr>
                                <w:p w14:paraId="6C4AE45C" w14:textId="013E36A4" w:rsidR="00A63350" w:rsidRDefault="00A63350" w:rsidP="008645A4">
                                  <w:pPr>
                                    <w:pStyle w:val="TMGTableText"/>
                                    <w:spacing w:before="0" w:after="0"/>
                                    <w:ind w:left="0"/>
                                    <w:jc w:val="center"/>
                                  </w:pPr>
                                  <w:r w:rsidRPr="004859C8">
                                    <w:t xml:space="preserve">Standard Errors of Mean, </w:t>
                                  </w:r>
                                  <m:oMath>
                                    <m:f>
                                      <m:fPr>
                                        <m:ctrlPr>
                                          <w:rPr>
                                            <w:rFonts w:ascii="Cambria Math" w:hAnsi="Cambria Math"/>
                                            <w:i/>
                                            <w:smallCaps/>
                                          </w:rPr>
                                        </m:ctrlPr>
                                      </m:fPr>
                                      <m:num>
                                        <m:r>
                                          <m:rPr>
                                            <m:sty m:val="bi"/>
                                          </m:rPr>
                                          <w:rPr>
                                            <w:rFonts w:ascii="Cambria Math" w:hAnsi="Cambria Math"/>
                                          </w:rPr>
                                          <m:t>s</m:t>
                                        </m:r>
                                      </m:num>
                                      <m:den>
                                        <m:rad>
                                          <m:radPr>
                                            <m:degHide m:val="1"/>
                                            <m:ctrlPr>
                                              <w:rPr>
                                                <w:rFonts w:ascii="Cambria Math" w:hAnsi="Cambria Math"/>
                                                <w:i/>
                                              </w:rPr>
                                            </m:ctrlPr>
                                          </m:radPr>
                                          <m:deg/>
                                          <m:e>
                                            <m:r>
                                              <m:rPr>
                                                <m:sty m:val="bi"/>
                                              </m:rPr>
                                              <w:rPr>
                                                <w:rFonts w:ascii="Cambria Math" w:hAnsi="Cambria Math"/>
                                              </w:rPr>
                                              <m:t>n</m:t>
                                            </m:r>
                                          </m:e>
                                        </m:rad>
                                      </m:den>
                                    </m:f>
                                  </m:oMath>
                                </w:p>
                              </w:tc>
                              <w:tc>
                                <w:tcPr>
                                  <w:tcW w:w="1260" w:type="dxa"/>
                                  <w:vAlign w:val="center"/>
                                </w:tcPr>
                                <w:p w14:paraId="102796E2" w14:textId="4AC2D53E" w:rsidR="00A63350" w:rsidRDefault="00A63350" w:rsidP="008645A4">
                                  <w:pPr>
                                    <w:pStyle w:val="TMGTableText"/>
                                    <w:spacing w:before="0" w:after="0"/>
                                    <w:ind w:left="0"/>
                                    <w:jc w:val="right"/>
                                  </w:pPr>
                                  <w:r w:rsidRPr="00A45CA5">
                                    <w:t>2,800 lb</w:t>
                                  </w:r>
                                </w:p>
                              </w:tc>
                              <w:tc>
                                <w:tcPr>
                                  <w:tcW w:w="1260" w:type="dxa"/>
                                  <w:vAlign w:val="center"/>
                                </w:tcPr>
                                <w:p w14:paraId="59D42083" w14:textId="2F7B970C" w:rsidR="00A63350" w:rsidRDefault="00A63350" w:rsidP="008645A4">
                                  <w:pPr>
                                    <w:pStyle w:val="TMGTableText"/>
                                    <w:spacing w:before="0" w:after="0"/>
                                    <w:ind w:left="0"/>
                                    <w:jc w:val="center"/>
                                  </w:pPr>
                                  <w:r w:rsidRPr="00A45CA5">
                                    <w:t>0.07</w:t>
                                  </w:r>
                                </w:p>
                              </w:tc>
                            </w:tr>
                            <w:tr w:rsidR="00A63350" w14:paraId="56FE21F3" w14:textId="77777777" w:rsidTr="00283B5B">
                              <w:tc>
                                <w:tcPr>
                                  <w:tcW w:w="2875" w:type="dxa"/>
                                </w:tcPr>
                                <w:p w14:paraId="4A6A875E" w14:textId="335E7F67" w:rsidR="00A63350" w:rsidRDefault="00A63350" w:rsidP="008645A4">
                                  <w:pPr>
                                    <w:pStyle w:val="TMGTableText"/>
                                    <w:spacing w:before="0" w:after="0"/>
                                    <w:jc w:val="center"/>
                                  </w:pPr>
                                  <w:r w:rsidRPr="004859C8">
                                    <w:t xml:space="preserve">Estimated Precision of the Mean with 95 Percent Confidence, </w:t>
                                  </w:r>
                                  <w:r w:rsidRPr="004859C8">
                                    <w:rPr>
                                      <w:i/>
                                    </w:rPr>
                                    <w:t>D</w:t>
                                  </w:r>
                                </w:p>
                              </w:tc>
                              <w:tc>
                                <w:tcPr>
                                  <w:tcW w:w="1260" w:type="dxa"/>
                                  <w:vAlign w:val="center"/>
                                </w:tcPr>
                                <w:p w14:paraId="73D7F750" w14:textId="4B4A564D" w:rsidR="00A63350" w:rsidRDefault="00A63350" w:rsidP="008645A4">
                                  <w:pPr>
                                    <w:pStyle w:val="TMGTableText"/>
                                    <w:spacing w:before="0" w:after="0"/>
                                    <w:jc w:val="right"/>
                                  </w:pPr>
                                  <w:r w:rsidRPr="00A45CA5">
                                    <w:t>+/- 6,900 lb</w:t>
                                  </w:r>
                                </w:p>
                              </w:tc>
                              <w:tc>
                                <w:tcPr>
                                  <w:tcW w:w="1260" w:type="dxa"/>
                                  <w:vAlign w:val="center"/>
                                </w:tcPr>
                                <w:p w14:paraId="3F37B3EB" w14:textId="7DDDB78A" w:rsidR="00A63350" w:rsidRDefault="00A63350" w:rsidP="008645A4">
                                  <w:pPr>
                                    <w:pStyle w:val="TMGTableText"/>
                                    <w:spacing w:before="0" w:after="0"/>
                                    <w:jc w:val="center"/>
                                  </w:pPr>
                                  <w:r w:rsidRPr="00A45CA5">
                                    <w:t>+/- 0.17</w:t>
                                  </w:r>
                                </w:p>
                              </w:tc>
                            </w:tr>
                          </w:tbl>
                          <w:p w14:paraId="6E695079" w14:textId="77777777" w:rsidR="00A63350" w:rsidRDefault="00A63350" w:rsidP="00A63350"/>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0F40A9F" id="_x0000_s1102" type="#_x0000_t202" style="position:absolute;margin-left:197.7pt;margin-top:.75pt;width:273.6pt;height:232pt;z-index:251713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" stroked="f">
                <v:textbox inset="0,0,0,0">
                  <w:txbxContent>
                    <w:p w14:paraId="07908698" w14:textId="2CB919B9" w:rsidR="00A63350" w:rsidRDefault="00A63350" w:rsidP="00A63350">
                      <w:pPr>
                        <w:pStyle w:val="TMGTableCaption"/>
                        <w:spacing w:before="0"/>
                      </w:pPr>
                      <w:bookmarkStart w:id="1900" w:name="_Ref114577596"/>
                      <w:bookmarkStart w:id="1901" w:name="_Toc54784721"/>
                      <w:bookmarkStart w:id="1902" w:name="_Toc68874120"/>
                      <w:bookmarkStart w:id="1903" w:name="_Toc114474833"/>
                      <w:bookmarkStart w:id="1904" w:name="_Toc120631139"/>
                      <w:r w:rsidRPr="0025752B">
                        <w:t xml:space="preserve">Table </w:t>
                      </w:r>
                      <w:fldSimple w:instr=" STYLEREF 1 \s ">
                        <w:r w:rsidR="00FC0E95">
                          <w:rPr>
                            <w:noProof/>
                          </w:rPr>
                          <w:t>3</w:t>
                        </w:r>
                      </w:fldSimple>
                      <w:r>
                        <w:noBreakHyphen/>
                      </w:r>
                      <w:fldSimple w:instr=" SEQ Table \* ARABIC \s 1 ">
                        <w:r w:rsidR="00FC0E95">
                          <w:rPr>
                            <w:noProof/>
                          </w:rPr>
                          <w:t>13</w:t>
                        </w:r>
                      </w:fldSimple>
                      <w:bookmarkEnd w:id="1900"/>
                      <w:r w:rsidR="00352273">
                        <w:t>.</w:t>
                      </w:r>
                      <w:r w:rsidRPr="0025752B">
                        <w:t xml:space="preserve"> Example </w:t>
                      </w:r>
                      <w:r>
                        <w:t>o</w:t>
                      </w:r>
                      <w:r w:rsidRPr="0025752B">
                        <w:t xml:space="preserve">f Statistic Computation </w:t>
                      </w:r>
                      <w:r>
                        <w:t>f</w:t>
                      </w:r>
                      <w:r w:rsidRPr="0025752B">
                        <w:t>or</w:t>
                      </w:r>
                      <w:r w:rsidR="00352273">
                        <w:t xml:space="preserve"> </w:t>
                      </w:r>
                      <w:r w:rsidRPr="0025752B">
                        <w:t>Load</w:t>
                      </w:r>
                      <w:r w:rsidR="00352273">
                        <w:t> </w:t>
                      </w:r>
                      <w:r w:rsidRPr="0025752B">
                        <w:t>Factor Group Precision Estimates</w:t>
                      </w:r>
                      <w:bookmarkEnd w:id="1901"/>
                      <w:bookmarkEnd w:id="1902"/>
                      <w:bookmarkEnd w:id="1903"/>
                      <w:bookmarkEnd w:id="1904"/>
                    </w:p>
                    <w:tbl>
                      <w:tblPr>
                        <w:tblStyle w:val="TableGrid"/>
                        <w:tblW w:w="0" w:type="auto"/>
                        <w:tblCellMar>
                          <w:left w:w="86" w:type="dxa"/>
                          <w:right w:w="86" w:type="dxa"/>
                        </w:tblCellMar>
                        <w:tblLook w:val="04A0" w:firstRow="1" w:lastRow="0" w:firstColumn="1" w:lastColumn="0" w:noHBand="0" w:noVBand="1"/>
                      </w:tblPr>
                      <w:tblGrid>
                        <w:gridCol w:w="2875"/>
                        <w:gridCol w:w="1260"/>
                        <w:gridCol w:w="1260"/>
                      </w:tblGrid>
                      <w:tr w:rsidR="00A63350" w14:paraId="1AFA34DA" w14:textId="77777777" w:rsidTr="00283B5B">
                        <w:trPr>
                          <w:trHeight w:val="382"/>
                        </w:trPr>
                        <w:tc>
                          <w:tcPr>
                            <w:tcW w:w="2875" w:type="dxa"/>
                            <w:tcBorders>
                              <w:right w:val="single" w:sz="4" w:space="0" w:color="FFFFFF" w:themeColor="background1"/>
                            </w:tcBorders>
                            <w:shd w:val="clear" w:color="auto" w:fill="1F3864"/>
                            <w:vAlign w:val="center"/>
                          </w:tcPr>
                          <w:p w14:paraId="1C25C531" w14:textId="53C199CF" w:rsidR="00A63350" w:rsidRDefault="00A63350" w:rsidP="0017389B">
                            <w:pPr>
                              <w:pStyle w:val="TMGTableTextHeader"/>
                            </w:pPr>
                            <w:r w:rsidRPr="004859C8">
                              <w:t>Site</w:t>
                            </w:r>
                          </w:p>
                        </w:tc>
                        <w:tc>
                          <w:tcPr>
                            <w:tcW w:w="1260" w:type="dxa"/>
                            <w:tcBorders>
                              <w:left w:val="single" w:sz="4" w:space="0" w:color="FFFFFF" w:themeColor="background1"/>
                              <w:right w:val="single" w:sz="4" w:space="0" w:color="FFFFFF" w:themeColor="background1"/>
                            </w:tcBorders>
                            <w:shd w:val="clear" w:color="auto" w:fill="1F3864"/>
                            <w:vAlign w:val="center"/>
                          </w:tcPr>
                          <w:p w14:paraId="700AB41A" w14:textId="54819BA4" w:rsidR="00A63350" w:rsidRDefault="00A63350" w:rsidP="0017389B">
                            <w:pPr>
                              <w:pStyle w:val="TMGTableTextHeader"/>
                            </w:pPr>
                            <w:r w:rsidRPr="004859C8">
                              <w:t>Mean Class 9 GVW</w:t>
                            </w:r>
                          </w:p>
                        </w:tc>
                        <w:tc>
                          <w:tcPr>
                            <w:tcW w:w="1260" w:type="dxa"/>
                            <w:tcBorders>
                              <w:left w:val="single" w:sz="4" w:space="0" w:color="FFFFFF" w:themeColor="background1"/>
                            </w:tcBorders>
                            <w:shd w:val="clear" w:color="auto" w:fill="1F3864"/>
                            <w:vAlign w:val="center"/>
                          </w:tcPr>
                          <w:p w14:paraId="65AC3856" w14:textId="3587F5DC" w:rsidR="00A63350" w:rsidRDefault="00A63350" w:rsidP="0017389B">
                            <w:pPr>
                              <w:pStyle w:val="TMGTableTextHeader"/>
                            </w:pPr>
                            <w:r w:rsidRPr="004859C8">
                              <w:t>Mean Class 9 ESAL</w:t>
                            </w:r>
                          </w:p>
                        </w:tc>
                      </w:tr>
                      <w:tr w:rsidR="00A63350" w14:paraId="647FAC4B" w14:textId="77777777" w:rsidTr="00283B5B">
                        <w:trPr>
                          <w:trHeight w:val="59"/>
                        </w:trPr>
                        <w:tc>
                          <w:tcPr>
                            <w:tcW w:w="2875" w:type="dxa"/>
                          </w:tcPr>
                          <w:p w14:paraId="0BCA6178" w14:textId="33C09DD8" w:rsidR="00A63350" w:rsidRDefault="00A63350" w:rsidP="008645A4">
                            <w:pPr>
                              <w:pStyle w:val="TMGTableText"/>
                              <w:spacing w:before="0" w:after="0"/>
                              <w:ind w:left="0"/>
                              <w:jc w:val="center"/>
                            </w:pPr>
                            <w:r w:rsidRPr="004859C8">
                              <w:t>1</w:t>
                            </w:r>
                          </w:p>
                        </w:tc>
                        <w:tc>
                          <w:tcPr>
                            <w:tcW w:w="1260" w:type="dxa"/>
                            <w:vAlign w:val="center"/>
                          </w:tcPr>
                          <w:p w14:paraId="6E09FD00" w14:textId="7F74316B" w:rsidR="00A63350" w:rsidRDefault="00A63350" w:rsidP="008645A4">
                            <w:pPr>
                              <w:pStyle w:val="TMGTableText"/>
                              <w:spacing w:before="0" w:after="0"/>
                              <w:ind w:left="0"/>
                              <w:jc w:val="right"/>
                            </w:pPr>
                            <w:r w:rsidRPr="00A45CA5">
                              <w:t>50,000 lb</w:t>
                            </w:r>
                          </w:p>
                        </w:tc>
                        <w:tc>
                          <w:tcPr>
                            <w:tcW w:w="1260" w:type="dxa"/>
                            <w:vAlign w:val="center"/>
                          </w:tcPr>
                          <w:p w14:paraId="103BE2FD" w14:textId="2798E0CA" w:rsidR="00A63350" w:rsidRDefault="00A63350" w:rsidP="008645A4">
                            <w:pPr>
                              <w:pStyle w:val="TMGTableText"/>
                              <w:spacing w:before="0" w:after="0"/>
                              <w:ind w:left="0"/>
                              <w:jc w:val="center"/>
                            </w:pPr>
                            <w:r w:rsidRPr="00A45CA5">
                              <w:t>1.64</w:t>
                            </w:r>
                          </w:p>
                        </w:tc>
                      </w:tr>
                      <w:tr w:rsidR="00A63350" w14:paraId="204558EA" w14:textId="77777777" w:rsidTr="00283B5B">
                        <w:tc>
                          <w:tcPr>
                            <w:tcW w:w="2875" w:type="dxa"/>
                          </w:tcPr>
                          <w:p w14:paraId="1101B5C8" w14:textId="2EF4763B" w:rsidR="00A63350" w:rsidRDefault="00A63350" w:rsidP="008645A4">
                            <w:pPr>
                              <w:pStyle w:val="TMGTableText"/>
                              <w:spacing w:before="0" w:after="0"/>
                              <w:ind w:left="0"/>
                              <w:jc w:val="center"/>
                            </w:pPr>
                            <w:r w:rsidRPr="004859C8">
                              <w:t>2</w:t>
                            </w:r>
                          </w:p>
                        </w:tc>
                        <w:tc>
                          <w:tcPr>
                            <w:tcW w:w="1260" w:type="dxa"/>
                            <w:vAlign w:val="center"/>
                          </w:tcPr>
                          <w:p w14:paraId="09A768CA" w14:textId="73688EE5" w:rsidR="00A63350" w:rsidRDefault="00A63350" w:rsidP="008645A4">
                            <w:pPr>
                              <w:pStyle w:val="TMGTableText"/>
                              <w:spacing w:before="0" w:after="0"/>
                              <w:ind w:left="0"/>
                              <w:jc w:val="right"/>
                            </w:pPr>
                            <w:r w:rsidRPr="00A45CA5">
                              <w:t>57,000 lb</w:t>
                            </w:r>
                          </w:p>
                        </w:tc>
                        <w:tc>
                          <w:tcPr>
                            <w:tcW w:w="1260" w:type="dxa"/>
                            <w:vAlign w:val="center"/>
                          </w:tcPr>
                          <w:p w14:paraId="766BCA85" w14:textId="0D3EE2C0" w:rsidR="00A63350" w:rsidRDefault="00A63350" w:rsidP="008645A4">
                            <w:pPr>
                              <w:pStyle w:val="TMGTableText"/>
                              <w:spacing w:before="0" w:after="0"/>
                              <w:ind w:left="0"/>
                              <w:jc w:val="center"/>
                            </w:pPr>
                            <w:r w:rsidRPr="00A45CA5">
                              <w:t>1.72</w:t>
                            </w:r>
                          </w:p>
                        </w:tc>
                      </w:tr>
                      <w:tr w:rsidR="00A63350" w14:paraId="111B17D0" w14:textId="77777777" w:rsidTr="00283B5B">
                        <w:tc>
                          <w:tcPr>
                            <w:tcW w:w="2875" w:type="dxa"/>
                          </w:tcPr>
                          <w:p w14:paraId="1F70C195" w14:textId="408DA775" w:rsidR="00A63350" w:rsidRDefault="00A63350" w:rsidP="008645A4">
                            <w:pPr>
                              <w:pStyle w:val="TMGTableText"/>
                              <w:spacing w:before="0" w:after="0"/>
                              <w:ind w:left="0"/>
                              <w:jc w:val="center"/>
                            </w:pPr>
                            <w:r w:rsidRPr="004859C8">
                              <w:t>3</w:t>
                            </w:r>
                          </w:p>
                        </w:tc>
                        <w:tc>
                          <w:tcPr>
                            <w:tcW w:w="1260" w:type="dxa"/>
                            <w:vAlign w:val="center"/>
                          </w:tcPr>
                          <w:p w14:paraId="43BF29ED" w14:textId="155E06D4" w:rsidR="00A63350" w:rsidRDefault="00A63350" w:rsidP="008645A4">
                            <w:pPr>
                              <w:pStyle w:val="TMGTableText"/>
                              <w:spacing w:before="0" w:after="0"/>
                              <w:ind w:left="0"/>
                              <w:jc w:val="right"/>
                            </w:pPr>
                            <w:r w:rsidRPr="00A45CA5">
                              <w:t>64,000 lb</w:t>
                            </w:r>
                          </w:p>
                        </w:tc>
                        <w:tc>
                          <w:tcPr>
                            <w:tcW w:w="1260" w:type="dxa"/>
                            <w:vAlign w:val="center"/>
                          </w:tcPr>
                          <w:p w14:paraId="17B836CD" w14:textId="5338A5E4" w:rsidR="00A63350" w:rsidRDefault="00A63350" w:rsidP="008645A4">
                            <w:pPr>
                              <w:pStyle w:val="TMGTableText"/>
                              <w:spacing w:before="0" w:after="0"/>
                              <w:ind w:left="0"/>
                              <w:jc w:val="center"/>
                            </w:pPr>
                            <w:r w:rsidRPr="00A45CA5">
                              <w:t>1.84</w:t>
                            </w:r>
                          </w:p>
                        </w:tc>
                      </w:tr>
                      <w:tr w:rsidR="00A63350" w14:paraId="4283D659" w14:textId="77777777" w:rsidTr="00283B5B">
                        <w:tc>
                          <w:tcPr>
                            <w:tcW w:w="2875" w:type="dxa"/>
                          </w:tcPr>
                          <w:p w14:paraId="576D4906" w14:textId="3F41027B" w:rsidR="00A63350" w:rsidRDefault="00A63350" w:rsidP="008645A4">
                            <w:pPr>
                              <w:pStyle w:val="TMGTableText"/>
                              <w:spacing w:before="0" w:after="0"/>
                              <w:ind w:left="0"/>
                              <w:jc w:val="center"/>
                            </w:pPr>
                            <w:r w:rsidRPr="004859C8">
                              <w:t>4</w:t>
                            </w:r>
                          </w:p>
                        </w:tc>
                        <w:tc>
                          <w:tcPr>
                            <w:tcW w:w="1260" w:type="dxa"/>
                            <w:vAlign w:val="center"/>
                          </w:tcPr>
                          <w:p w14:paraId="16974971" w14:textId="3C08FCAE" w:rsidR="00A63350" w:rsidRDefault="00A63350" w:rsidP="008645A4">
                            <w:pPr>
                              <w:pStyle w:val="TMGTableText"/>
                              <w:spacing w:before="0" w:after="0"/>
                              <w:ind w:left="0"/>
                              <w:jc w:val="right"/>
                            </w:pPr>
                            <w:r w:rsidRPr="00A45CA5">
                              <w:t>46,000 lb</w:t>
                            </w:r>
                          </w:p>
                        </w:tc>
                        <w:tc>
                          <w:tcPr>
                            <w:tcW w:w="1260" w:type="dxa"/>
                            <w:vAlign w:val="center"/>
                          </w:tcPr>
                          <w:p w14:paraId="44E93ADC" w14:textId="3FD26A70" w:rsidR="00A63350" w:rsidRDefault="00A63350" w:rsidP="008645A4">
                            <w:pPr>
                              <w:pStyle w:val="TMGTableText"/>
                              <w:spacing w:before="0" w:after="0"/>
                              <w:ind w:left="0"/>
                              <w:jc w:val="center"/>
                            </w:pPr>
                            <w:r w:rsidRPr="00A45CA5">
                              <w:t>1.45</w:t>
                            </w:r>
                          </w:p>
                        </w:tc>
                      </w:tr>
                      <w:tr w:rsidR="00A63350" w14:paraId="7E0E1ED8" w14:textId="77777777" w:rsidTr="00283B5B">
                        <w:tc>
                          <w:tcPr>
                            <w:tcW w:w="2875" w:type="dxa"/>
                          </w:tcPr>
                          <w:p w14:paraId="56C2F8A9" w14:textId="064A329E" w:rsidR="00A63350" w:rsidRDefault="00A63350" w:rsidP="008645A4">
                            <w:pPr>
                              <w:pStyle w:val="TMGTableText"/>
                              <w:spacing w:before="0" w:after="0"/>
                              <w:ind w:left="0"/>
                              <w:jc w:val="center"/>
                            </w:pPr>
                            <w:r w:rsidRPr="004859C8">
                              <w:t>5</w:t>
                            </w:r>
                          </w:p>
                        </w:tc>
                        <w:tc>
                          <w:tcPr>
                            <w:tcW w:w="1260" w:type="dxa"/>
                            <w:vAlign w:val="center"/>
                          </w:tcPr>
                          <w:p w14:paraId="10CA4D8E" w14:textId="67848866" w:rsidR="00A63350" w:rsidRDefault="00A63350" w:rsidP="008645A4">
                            <w:pPr>
                              <w:pStyle w:val="TMGTableText"/>
                              <w:spacing w:before="0" w:after="0"/>
                              <w:ind w:left="0"/>
                              <w:jc w:val="right"/>
                            </w:pPr>
                            <w:r w:rsidRPr="00A45CA5">
                              <w:t>45,000 lb</w:t>
                            </w:r>
                          </w:p>
                        </w:tc>
                        <w:tc>
                          <w:tcPr>
                            <w:tcW w:w="1260" w:type="dxa"/>
                            <w:vAlign w:val="center"/>
                          </w:tcPr>
                          <w:p w14:paraId="3C0DF21D" w14:textId="6271A950" w:rsidR="00A63350" w:rsidRDefault="00A63350" w:rsidP="008645A4">
                            <w:pPr>
                              <w:pStyle w:val="TMGTableText"/>
                              <w:spacing w:before="0" w:after="0"/>
                              <w:ind w:left="0"/>
                              <w:jc w:val="center"/>
                            </w:pPr>
                            <w:r w:rsidRPr="00A45CA5">
                              <w:t>1.34</w:t>
                            </w:r>
                          </w:p>
                        </w:tc>
                      </w:tr>
                      <w:tr w:rsidR="00A63350" w14:paraId="3C492616" w14:textId="77777777" w:rsidTr="00283B5B">
                        <w:tc>
                          <w:tcPr>
                            <w:tcW w:w="2875" w:type="dxa"/>
                          </w:tcPr>
                          <w:p w14:paraId="7EC23C47" w14:textId="3D79505C" w:rsidR="00A63350" w:rsidRDefault="00A63350" w:rsidP="008645A4">
                            <w:pPr>
                              <w:pStyle w:val="TMGTableText"/>
                              <w:spacing w:before="0" w:after="0"/>
                              <w:ind w:left="0"/>
                              <w:jc w:val="center"/>
                            </w:pPr>
                            <w:r w:rsidRPr="004859C8">
                              <w:t>6</w:t>
                            </w:r>
                          </w:p>
                        </w:tc>
                        <w:tc>
                          <w:tcPr>
                            <w:tcW w:w="1260" w:type="dxa"/>
                            <w:vAlign w:val="center"/>
                          </w:tcPr>
                          <w:p w14:paraId="7C8F5AB6" w14:textId="720C9B48" w:rsidR="00A63350" w:rsidRDefault="00A63350" w:rsidP="008645A4">
                            <w:pPr>
                              <w:pStyle w:val="TMGTableText"/>
                              <w:spacing w:before="0" w:after="0"/>
                              <w:ind w:left="0"/>
                              <w:jc w:val="right"/>
                            </w:pPr>
                            <w:r w:rsidRPr="00A45CA5">
                              <w:t>55,000 lb</w:t>
                            </w:r>
                          </w:p>
                        </w:tc>
                        <w:tc>
                          <w:tcPr>
                            <w:tcW w:w="1260" w:type="dxa"/>
                            <w:vAlign w:val="center"/>
                          </w:tcPr>
                          <w:p w14:paraId="2298001D" w14:textId="68AE0C65" w:rsidR="00A63350" w:rsidRDefault="00A63350" w:rsidP="008645A4">
                            <w:pPr>
                              <w:pStyle w:val="TMGTableText"/>
                              <w:spacing w:before="0" w:after="0"/>
                              <w:ind w:left="0"/>
                              <w:jc w:val="center"/>
                            </w:pPr>
                            <w:r w:rsidRPr="00A45CA5">
                              <w:t>1.65</w:t>
                            </w:r>
                          </w:p>
                        </w:tc>
                      </w:tr>
                      <w:tr w:rsidR="00A63350" w14:paraId="08511690" w14:textId="77777777" w:rsidTr="00283B5B">
                        <w:tc>
                          <w:tcPr>
                            <w:tcW w:w="2875" w:type="dxa"/>
                          </w:tcPr>
                          <w:p w14:paraId="5D46F3C1" w14:textId="781E669D" w:rsidR="00A63350" w:rsidRDefault="00A63350" w:rsidP="008645A4">
                            <w:pPr>
                              <w:pStyle w:val="TMGTableText"/>
                              <w:spacing w:before="0" w:after="0"/>
                              <w:ind w:left="0"/>
                              <w:jc w:val="center"/>
                            </w:pPr>
                            <w:r w:rsidRPr="004859C8">
                              <w:t>7</w:t>
                            </w:r>
                          </w:p>
                        </w:tc>
                        <w:tc>
                          <w:tcPr>
                            <w:tcW w:w="1260" w:type="dxa"/>
                            <w:vAlign w:val="center"/>
                          </w:tcPr>
                          <w:p w14:paraId="0602242F" w14:textId="415392C4" w:rsidR="00A63350" w:rsidRDefault="00A63350" w:rsidP="008645A4">
                            <w:pPr>
                              <w:pStyle w:val="TMGTableText"/>
                              <w:spacing w:before="0" w:after="0"/>
                              <w:ind w:left="0"/>
                              <w:jc w:val="right"/>
                            </w:pPr>
                            <w:r w:rsidRPr="00A45CA5">
                              <w:t>62,000 lb</w:t>
                            </w:r>
                          </w:p>
                        </w:tc>
                        <w:tc>
                          <w:tcPr>
                            <w:tcW w:w="1260" w:type="dxa"/>
                            <w:vAlign w:val="center"/>
                          </w:tcPr>
                          <w:p w14:paraId="1B32D639" w14:textId="3E323B40" w:rsidR="00A63350" w:rsidRDefault="00A63350" w:rsidP="008645A4">
                            <w:pPr>
                              <w:pStyle w:val="TMGTableText"/>
                              <w:spacing w:before="0" w:after="0"/>
                              <w:ind w:left="0"/>
                              <w:jc w:val="center"/>
                            </w:pPr>
                            <w:r w:rsidRPr="00A45CA5">
                              <w:t>1.78</w:t>
                            </w:r>
                          </w:p>
                        </w:tc>
                      </w:tr>
                      <w:tr w:rsidR="00A63350" w14:paraId="22713BF5" w14:textId="77777777" w:rsidTr="00283B5B">
                        <w:tc>
                          <w:tcPr>
                            <w:tcW w:w="2875" w:type="dxa"/>
                          </w:tcPr>
                          <w:p w14:paraId="29DB3B3A" w14:textId="58BCA565" w:rsidR="00A63350" w:rsidRDefault="00A63350" w:rsidP="008645A4">
                            <w:pPr>
                              <w:pStyle w:val="TMGTableText"/>
                              <w:spacing w:before="0" w:after="0"/>
                              <w:ind w:left="0"/>
                              <w:jc w:val="center"/>
                            </w:pPr>
                            <w:r w:rsidRPr="004859C8">
                              <w:t xml:space="preserve">Group Mean, </w:t>
                            </w:r>
                            <w:r w:rsidRPr="004859C8">
                              <w:rPr>
                                <w:i/>
                              </w:rPr>
                              <w:t>m</w:t>
                            </w:r>
                          </w:p>
                        </w:tc>
                        <w:tc>
                          <w:tcPr>
                            <w:tcW w:w="1260" w:type="dxa"/>
                            <w:vAlign w:val="center"/>
                          </w:tcPr>
                          <w:p w14:paraId="5A7BDA4A" w14:textId="5821F925" w:rsidR="00A63350" w:rsidRDefault="00A63350" w:rsidP="008645A4">
                            <w:pPr>
                              <w:pStyle w:val="TMGTableText"/>
                              <w:spacing w:before="0" w:after="0"/>
                              <w:ind w:left="0"/>
                              <w:jc w:val="right"/>
                            </w:pPr>
                            <w:r w:rsidRPr="00A45CA5">
                              <w:t>54,000 lb</w:t>
                            </w:r>
                          </w:p>
                        </w:tc>
                        <w:tc>
                          <w:tcPr>
                            <w:tcW w:w="1260" w:type="dxa"/>
                            <w:vAlign w:val="center"/>
                          </w:tcPr>
                          <w:p w14:paraId="5C7227E4" w14:textId="2A5FE380" w:rsidR="00A63350" w:rsidRDefault="00A63350" w:rsidP="008645A4">
                            <w:pPr>
                              <w:pStyle w:val="TMGTableText"/>
                              <w:spacing w:before="0" w:after="0"/>
                              <w:ind w:left="0"/>
                              <w:jc w:val="center"/>
                            </w:pPr>
                            <w:r w:rsidRPr="00A45CA5">
                              <w:t>1.63</w:t>
                            </w:r>
                          </w:p>
                        </w:tc>
                      </w:tr>
                      <w:tr w:rsidR="00A63350" w14:paraId="5AD6DEC3" w14:textId="77777777" w:rsidTr="00283B5B">
                        <w:tc>
                          <w:tcPr>
                            <w:tcW w:w="2875" w:type="dxa"/>
                          </w:tcPr>
                          <w:p w14:paraId="6D15EF95" w14:textId="3BA75DEC" w:rsidR="00A63350" w:rsidRDefault="00A63350" w:rsidP="008645A4">
                            <w:pPr>
                              <w:pStyle w:val="TMGTableText"/>
                              <w:spacing w:before="0" w:after="0"/>
                              <w:ind w:left="0"/>
                              <w:jc w:val="center"/>
                            </w:pPr>
                            <w:r w:rsidRPr="004859C8">
                              <w:t xml:space="preserve">Group Standard Deviation, </w:t>
                            </w:r>
                            <w:r w:rsidRPr="004859C8">
                              <w:rPr>
                                <w:i/>
                              </w:rPr>
                              <w:t>s</w:t>
                            </w:r>
                          </w:p>
                        </w:tc>
                        <w:tc>
                          <w:tcPr>
                            <w:tcW w:w="1260" w:type="dxa"/>
                            <w:vAlign w:val="center"/>
                          </w:tcPr>
                          <w:p w14:paraId="7D950F33" w14:textId="1ECAF7F6" w:rsidR="00A63350" w:rsidRDefault="00A63350" w:rsidP="008645A4">
                            <w:pPr>
                              <w:pStyle w:val="TMGTableText"/>
                              <w:spacing w:before="0" w:after="0"/>
                              <w:ind w:left="0"/>
                              <w:jc w:val="right"/>
                            </w:pPr>
                            <w:r w:rsidRPr="00A45CA5">
                              <w:t>7,500 lb</w:t>
                            </w:r>
                          </w:p>
                        </w:tc>
                        <w:tc>
                          <w:tcPr>
                            <w:tcW w:w="1260" w:type="dxa"/>
                            <w:vAlign w:val="center"/>
                          </w:tcPr>
                          <w:p w14:paraId="5A752344" w14:textId="6B9747F2" w:rsidR="00A63350" w:rsidRDefault="00A63350" w:rsidP="008645A4">
                            <w:pPr>
                              <w:pStyle w:val="TMGTableText"/>
                              <w:spacing w:before="0" w:after="0"/>
                              <w:ind w:left="0"/>
                              <w:jc w:val="center"/>
                            </w:pPr>
                            <w:r w:rsidRPr="00A45CA5">
                              <w:t>0.18</w:t>
                            </w:r>
                          </w:p>
                        </w:tc>
                      </w:tr>
                      <w:tr w:rsidR="00A63350" w14:paraId="7A2EB10B" w14:textId="77777777" w:rsidTr="00283B5B">
                        <w:tc>
                          <w:tcPr>
                            <w:tcW w:w="2875" w:type="dxa"/>
                          </w:tcPr>
                          <w:p w14:paraId="51BB0B72" w14:textId="25AFF5DE" w:rsidR="00A63350" w:rsidRDefault="00A63350" w:rsidP="008645A4">
                            <w:pPr>
                              <w:pStyle w:val="TMGTableText"/>
                              <w:spacing w:before="0" w:after="0"/>
                              <w:ind w:left="0"/>
                              <w:jc w:val="center"/>
                            </w:pPr>
                            <w:r w:rsidRPr="004859C8">
                              <w:t xml:space="preserve">Coefficient of Variation, </w:t>
                            </w:r>
                            <m:oMath>
                              <m:f>
                                <m:fPr>
                                  <m:ctrlPr>
                                    <w:rPr>
                                      <w:rFonts w:ascii="Cambria Math" w:hAnsi="Cambria Math"/>
                                      <w:i/>
                                      <w:smallCaps/>
                                    </w:rPr>
                                  </m:ctrlPr>
                                </m:fPr>
                                <m:num>
                                  <m:r>
                                    <m:rPr>
                                      <m:sty m:val="bi"/>
                                    </m:rPr>
                                    <w:rPr>
                                      <w:rFonts w:ascii="Cambria Math" w:hAnsi="Cambria Math"/>
                                    </w:rPr>
                                    <m:t>s</m:t>
                                  </m:r>
                                </m:num>
                                <m:den>
                                  <m:r>
                                    <m:rPr>
                                      <m:sty m:val="bi"/>
                                    </m:rPr>
                                    <w:rPr>
                                      <w:rFonts w:ascii="Cambria Math" w:hAnsi="Cambria Math"/>
                                    </w:rPr>
                                    <m:t>m</m:t>
                                  </m:r>
                                </m:den>
                              </m:f>
                            </m:oMath>
                          </w:p>
                        </w:tc>
                        <w:tc>
                          <w:tcPr>
                            <w:tcW w:w="1260" w:type="dxa"/>
                            <w:vAlign w:val="center"/>
                          </w:tcPr>
                          <w:p w14:paraId="0FB2E5F0" w14:textId="6A780F4D" w:rsidR="00A63350" w:rsidRDefault="00A63350" w:rsidP="008645A4">
                            <w:pPr>
                              <w:pStyle w:val="TMGTableText"/>
                              <w:spacing w:before="0" w:after="0"/>
                              <w:ind w:left="0"/>
                              <w:jc w:val="right"/>
                            </w:pPr>
                            <w:r w:rsidRPr="00A45CA5">
                              <w:t>0.14</w:t>
                            </w:r>
                          </w:p>
                        </w:tc>
                        <w:tc>
                          <w:tcPr>
                            <w:tcW w:w="1260" w:type="dxa"/>
                            <w:vAlign w:val="center"/>
                          </w:tcPr>
                          <w:p w14:paraId="5D2BF3A4" w14:textId="1AEFEC05" w:rsidR="00A63350" w:rsidRDefault="00A63350" w:rsidP="008645A4">
                            <w:pPr>
                              <w:pStyle w:val="TMGTableText"/>
                              <w:spacing w:before="0" w:after="0"/>
                              <w:ind w:left="0"/>
                              <w:jc w:val="center"/>
                            </w:pPr>
                            <w:r w:rsidRPr="00A45CA5">
                              <w:t>0.11</w:t>
                            </w:r>
                          </w:p>
                        </w:tc>
                      </w:tr>
                      <w:tr w:rsidR="00A63350" w14:paraId="39F01536" w14:textId="77777777" w:rsidTr="00283B5B">
                        <w:tc>
                          <w:tcPr>
                            <w:tcW w:w="2875" w:type="dxa"/>
                          </w:tcPr>
                          <w:p w14:paraId="6C4AE45C" w14:textId="013E36A4" w:rsidR="00A63350" w:rsidRDefault="00A63350" w:rsidP="008645A4">
                            <w:pPr>
                              <w:pStyle w:val="TMGTableText"/>
                              <w:spacing w:before="0" w:after="0"/>
                              <w:ind w:left="0"/>
                              <w:jc w:val="center"/>
                            </w:pPr>
                            <w:r w:rsidRPr="004859C8">
                              <w:t xml:space="preserve">Standard Errors of Mean, </w:t>
                            </w:r>
                            <m:oMath>
                              <m:f>
                                <m:fPr>
                                  <m:ctrlPr>
                                    <w:rPr>
                                      <w:rFonts w:ascii="Cambria Math" w:hAnsi="Cambria Math"/>
                                      <w:i/>
                                      <w:smallCaps/>
                                    </w:rPr>
                                  </m:ctrlPr>
                                </m:fPr>
                                <m:num>
                                  <m:r>
                                    <m:rPr>
                                      <m:sty m:val="bi"/>
                                    </m:rPr>
                                    <w:rPr>
                                      <w:rFonts w:ascii="Cambria Math" w:hAnsi="Cambria Math"/>
                                    </w:rPr>
                                    <m:t>s</m:t>
                                  </m:r>
                                </m:num>
                                <m:den>
                                  <m:rad>
                                    <m:radPr>
                                      <m:degHide m:val="1"/>
                                      <m:ctrlPr>
                                        <w:rPr>
                                          <w:rFonts w:ascii="Cambria Math" w:hAnsi="Cambria Math"/>
                                          <w:i/>
                                        </w:rPr>
                                      </m:ctrlPr>
                                    </m:radPr>
                                    <m:deg/>
                                    <m:e>
                                      <m:r>
                                        <m:rPr>
                                          <m:sty m:val="bi"/>
                                        </m:rPr>
                                        <w:rPr>
                                          <w:rFonts w:ascii="Cambria Math" w:hAnsi="Cambria Math"/>
                                        </w:rPr>
                                        <m:t>n</m:t>
                                      </m:r>
                                    </m:e>
                                  </m:rad>
                                </m:den>
                              </m:f>
                            </m:oMath>
                          </w:p>
                        </w:tc>
                        <w:tc>
                          <w:tcPr>
                            <w:tcW w:w="1260" w:type="dxa"/>
                            <w:vAlign w:val="center"/>
                          </w:tcPr>
                          <w:p w14:paraId="102796E2" w14:textId="4AC2D53E" w:rsidR="00A63350" w:rsidRDefault="00A63350" w:rsidP="008645A4">
                            <w:pPr>
                              <w:pStyle w:val="TMGTableText"/>
                              <w:spacing w:before="0" w:after="0"/>
                              <w:ind w:left="0"/>
                              <w:jc w:val="right"/>
                            </w:pPr>
                            <w:r w:rsidRPr="00A45CA5">
                              <w:t>2,800 lb</w:t>
                            </w:r>
                          </w:p>
                        </w:tc>
                        <w:tc>
                          <w:tcPr>
                            <w:tcW w:w="1260" w:type="dxa"/>
                            <w:vAlign w:val="center"/>
                          </w:tcPr>
                          <w:p w14:paraId="59D42083" w14:textId="2F7B970C" w:rsidR="00A63350" w:rsidRDefault="00A63350" w:rsidP="008645A4">
                            <w:pPr>
                              <w:pStyle w:val="TMGTableText"/>
                              <w:spacing w:before="0" w:after="0"/>
                              <w:ind w:left="0"/>
                              <w:jc w:val="center"/>
                            </w:pPr>
                            <w:r w:rsidRPr="00A45CA5">
                              <w:t>0.07</w:t>
                            </w:r>
                          </w:p>
                        </w:tc>
                      </w:tr>
                      <w:tr w:rsidR="00A63350" w14:paraId="56FE21F3" w14:textId="77777777" w:rsidTr="00283B5B">
                        <w:tc>
                          <w:tcPr>
                            <w:tcW w:w="2875" w:type="dxa"/>
                          </w:tcPr>
                          <w:p w14:paraId="4A6A875E" w14:textId="335E7F67" w:rsidR="00A63350" w:rsidRDefault="00A63350" w:rsidP="008645A4">
                            <w:pPr>
                              <w:pStyle w:val="TMGTableText"/>
                              <w:spacing w:before="0" w:after="0"/>
                              <w:jc w:val="center"/>
                            </w:pPr>
                            <w:r w:rsidRPr="004859C8">
                              <w:t xml:space="preserve">Estimated Precision of the Mean with 95 Percent Confidence, </w:t>
                            </w:r>
                            <w:r w:rsidRPr="004859C8">
                              <w:rPr>
                                <w:i/>
                              </w:rPr>
                              <w:t>D</w:t>
                            </w:r>
                          </w:p>
                        </w:tc>
                        <w:tc>
                          <w:tcPr>
                            <w:tcW w:w="1260" w:type="dxa"/>
                            <w:vAlign w:val="center"/>
                          </w:tcPr>
                          <w:p w14:paraId="73D7F750" w14:textId="4B4A564D" w:rsidR="00A63350" w:rsidRDefault="00A63350" w:rsidP="008645A4">
                            <w:pPr>
                              <w:pStyle w:val="TMGTableText"/>
                              <w:spacing w:before="0" w:after="0"/>
                              <w:jc w:val="right"/>
                            </w:pPr>
                            <w:r w:rsidRPr="00A45CA5">
                              <w:t>+/- 6,900 lb</w:t>
                            </w:r>
                          </w:p>
                        </w:tc>
                        <w:tc>
                          <w:tcPr>
                            <w:tcW w:w="1260" w:type="dxa"/>
                            <w:vAlign w:val="center"/>
                          </w:tcPr>
                          <w:p w14:paraId="3F37B3EB" w14:textId="7DDDB78A" w:rsidR="00A63350" w:rsidRDefault="00A63350" w:rsidP="008645A4">
                            <w:pPr>
                              <w:pStyle w:val="TMGTableText"/>
                              <w:spacing w:before="0" w:after="0"/>
                              <w:jc w:val="center"/>
                            </w:pPr>
                            <w:r w:rsidRPr="00A45CA5">
                              <w:t>+/- 0.17</w:t>
                            </w:r>
                          </w:p>
                        </w:tc>
                      </w:tr>
                    </w:tbl>
                    <w:p w14:paraId="6E695079" w14:textId="77777777" w:rsidR="00A63350" w:rsidRDefault="00A63350" w:rsidP="00A63350"/>
                  </w:txbxContent>
                </v:textbox>
                <w10:wrap type="square" anchorx="margin"/>
              </v:shape>
            </w:pict>
          </mc:Fallback>
        </mc:AlternateContent>
      </w:r>
      <w:r w:rsidR="003F7B9F" w:rsidRPr="000077D4">
        <w:t xml:space="preserve">An estimate of the precision </w:t>
      </w:r>
      <w:r w:rsidR="003F7B9F" w:rsidRPr="0025752B">
        <w:t xml:space="preserve">of the mean of a variable for any load factor group can be computed using the standard deviation of the mean estimate (such as mean single axle load, mean tandem axle load for loaded trucks, mean gross vehicle weight, or mean generic ESAL) and the number of sites in the load factor group. An example of this computation is shown in </w:t>
      </w:r>
      <w:r w:rsidR="00E977A4">
        <w:fldChar w:fldCharType="begin"/>
      </w:r>
      <w:r w:rsidR="00E977A4">
        <w:instrText xml:space="preserve"> REF _Ref114577596 \h </w:instrText>
      </w:r>
      <w:r w:rsidR="00E977A4">
        <w:fldChar w:fldCharType="separate"/>
      </w:r>
      <w:r w:rsidR="00C07DF9" w:rsidRPr="0025752B">
        <w:t xml:space="preserve">Table </w:t>
      </w:r>
      <w:r w:rsidR="00C07DF9">
        <w:rPr>
          <w:noProof/>
        </w:rPr>
        <w:t>3</w:t>
      </w:r>
      <w:r w:rsidR="00C07DF9">
        <w:noBreakHyphen/>
      </w:r>
      <w:r w:rsidR="00C07DF9">
        <w:rPr>
          <w:noProof/>
        </w:rPr>
        <w:t>13</w:t>
      </w:r>
      <w:r w:rsidR="00E977A4">
        <w:fldChar w:fldCharType="end"/>
      </w:r>
      <w:r w:rsidR="003F7B9F" w:rsidRPr="00331600">
        <w:t>. In</w:t>
      </w:r>
      <w:r w:rsidR="003F7B9F" w:rsidRPr="0025752B">
        <w:t xml:space="preserve"> the example, assume that a State has determined that all rural interstate roads have similar truck </w:t>
      </w:r>
      <w:r w:rsidR="003F7B9F" w:rsidRPr="000077D4">
        <w:t xml:space="preserve">weight characteristics based on seven WIM sites. Statistics from those WIM sites are shown in </w:t>
      </w:r>
      <w:r w:rsidR="00AA2E73">
        <w:fldChar w:fldCharType="begin"/>
      </w:r>
      <w:r w:rsidR="00AA2E73">
        <w:instrText xml:space="preserve"> REF _Ref114577596 \h </w:instrText>
      </w:r>
      <w:r w:rsidR="00AA2E73">
        <w:fldChar w:fldCharType="separate"/>
      </w:r>
      <w:r w:rsidR="00C07DF9" w:rsidRPr="0025752B">
        <w:t xml:space="preserve">Table </w:t>
      </w:r>
      <w:r w:rsidR="00C07DF9">
        <w:rPr>
          <w:noProof/>
        </w:rPr>
        <w:t>3</w:t>
      </w:r>
      <w:r w:rsidR="00C07DF9">
        <w:noBreakHyphen/>
      </w:r>
      <w:r w:rsidR="00C07DF9">
        <w:rPr>
          <w:noProof/>
        </w:rPr>
        <w:t>13</w:t>
      </w:r>
      <w:r w:rsidR="00AA2E73">
        <w:fldChar w:fldCharType="end"/>
      </w:r>
      <w:r w:rsidR="003F7B9F" w:rsidRPr="000077D4">
        <w:t>. Based on these data, it can be assumed that all rural interstate roads in the group have a mean gross vehicle weight of 54,000 lb for Class 9 trucks</w:t>
      </w:r>
      <w:r w:rsidR="003F7B9F">
        <w:t xml:space="preserve"> and </w:t>
      </w:r>
      <w:r w:rsidR="003F7B9F" w:rsidRPr="001E4BBF">
        <w:t>1.63</w:t>
      </w:r>
      <w:r w:rsidR="003F7B9F">
        <w:t xml:space="preserve"> ESALs per Class 9 truck</w:t>
      </w:r>
      <w:r w:rsidR="003F7B9F" w:rsidRPr="000077D4">
        <w:t xml:space="preserve"> </w:t>
      </w:r>
      <w:r w:rsidR="003F7B9F">
        <w:t>(</w:t>
      </w:r>
      <w:r w:rsidR="003F7B9F" w:rsidRPr="000077D4">
        <w:t xml:space="preserve">the </w:t>
      </w:r>
      <w:r w:rsidR="00B45D3A" w:rsidRPr="000077D4">
        <w:t>gener</w:t>
      </w:r>
      <w:r w:rsidR="00B45D3A">
        <w:t>al</w:t>
      </w:r>
      <w:r w:rsidR="00B45D3A" w:rsidRPr="000077D4">
        <w:t xml:space="preserve"> </w:t>
      </w:r>
      <w:r w:rsidR="003F7B9F" w:rsidRPr="000077D4">
        <w:t xml:space="preserve">ESAL computations assumes </w:t>
      </w:r>
      <w:r w:rsidR="003F7B9F" w:rsidRPr="000077D4">
        <w:rPr>
          <w:rFonts w:cstheme="minorHAnsi"/>
          <w:shd w:val="clear" w:color="auto" w:fill="FFFFFF"/>
        </w:rPr>
        <w:t>SN = 3, p</w:t>
      </w:r>
      <w:r w:rsidR="003F7B9F" w:rsidRPr="000077D4">
        <w:rPr>
          <w:rFonts w:cstheme="minorHAnsi"/>
          <w:shd w:val="clear" w:color="auto" w:fill="FFFFFF"/>
          <w:vertAlign w:val="subscript"/>
        </w:rPr>
        <w:t>t</w:t>
      </w:r>
      <w:r w:rsidR="003F7B9F" w:rsidRPr="000077D4">
        <w:rPr>
          <w:rFonts w:cstheme="minorHAnsi"/>
          <w:shd w:val="clear" w:color="auto" w:fill="FFFFFF"/>
        </w:rPr>
        <w:t> = 2.5)</w:t>
      </w:r>
      <w:r w:rsidR="003F7B9F" w:rsidRPr="000077D4">
        <w:t xml:space="preserve">. </w:t>
      </w:r>
    </w:p>
    <w:p w14:paraId="76A0A67A" w14:textId="19207549" w:rsidR="003F7B9F" w:rsidRPr="0025752B" w:rsidRDefault="003F7B9F" w:rsidP="00A35EAF">
      <w:pPr>
        <w:pStyle w:val="BodyText"/>
      </w:pPr>
      <w:r w:rsidRPr="000077D4">
        <w:t xml:space="preserve">The precision of the </w:t>
      </w:r>
      <w:r w:rsidRPr="0025752B">
        <w:t xml:space="preserve">group mean can be estimated for the selected confidence level as approximately plus or minus </w:t>
      </w:r>
      <w:r w:rsidRPr="0025752B">
        <w:rPr>
          <w:i/>
        </w:rPr>
        <w:t>t</w:t>
      </w:r>
      <w:r w:rsidRPr="0025752B">
        <w:rPr>
          <w:vertAlign w:val="subscript"/>
        </w:rPr>
        <w:t>a/2, n-1</w:t>
      </w:r>
      <w:r w:rsidRPr="0025752B">
        <w:t xml:space="preserve"> times the standard error of the mean (which is the standard deviation of the sample </w:t>
      </w:r>
      <w:r w:rsidRPr="0025752B">
        <w:rPr>
          <w:i/>
        </w:rPr>
        <w:t>s</w:t>
      </w:r>
      <w:r w:rsidRPr="0025752B">
        <w:t xml:space="preserve"> divided by the square root of the number of sites </w:t>
      </w:r>
      <w:r w:rsidRPr="0025752B">
        <w:rPr>
          <w:i/>
        </w:rPr>
        <w:t>n</w:t>
      </w:r>
      <w:r w:rsidRPr="0025752B">
        <w:t>):</w:t>
      </w:r>
    </w:p>
    <w:p w14:paraId="0C1F8CC9" w14:textId="65730825" w:rsidR="003F7B9F" w:rsidRPr="0060053A" w:rsidRDefault="00464453" w:rsidP="00A63350">
      <w:pPr>
        <w:rPr>
          <w:color w:val="auto"/>
        </w:rPr>
      </w:pPr>
      <m:oMathPara>
        <m:oMath>
          <m:sSub>
            <m:sSubPr>
              <m:ctrlPr>
                <w:rPr>
                  <w:rFonts w:ascii="Cambria Math" w:hAnsi="Cambria Math"/>
                  <w:i/>
                  <w:color w:val="auto"/>
                </w:rPr>
              </m:ctrlPr>
            </m:sSubPr>
            <m:e>
              <m:r>
                <w:rPr>
                  <w:rFonts w:ascii="Cambria Math" w:hAnsi="Cambria Math"/>
                  <w:color w:val="auto"/>
                </w:rPr>
                <m:t>D=±t</m:t>
              </m:r>
            </m:e>
            <m:sub>
              <m:r>
                <w:rPr>
                  <w:rFonts w:ascii="Cambria Math" w:hAnsi="Cambria Math"/>
                  <w:color w:val="auto"/>
                </w:rPr>
                <m:t>α/2, n-1</m:t>
              </m:r>
            </m:sub>
          </m:sSub>
          <m:f>
            <m:fPr>
              <m:ctrlPr>
                <w:rPr>
                  <w:rFonts w:ascii="Cambria Math" w:hAnsi="Cambria Math"/>
                  <w:i/>
                  <w:smallCaps/>
                  <w:color w:val="auto"/>
                </w:rPr>
              </m:ctrlPr>
            </m:fPr>
            <m:num>
              <m:r>
                <w:rPr>
                  <w:rFonts w:ascii="Cambria Math" w:hAnsi="Cambria Math"/>
                  <w:color w:val="auto"/>
                </w:rPr>
                <m:t>s</m:t>
              </m:r>
            </m:num>
            <m:den>
              <m:rad>
                <m:radPr>
                  <m:degHide m:val="1"/>
                  <m:ctrlPr>
                    <w:rPr>
                      <w:rFonts w:ascii="Cambria Math" w:hAnsi="Cambria Math"/>
                      <w:i/>
                      <w:color w:val="auto"/>
                    </w:rPr>
                  </m:ctrlPr>
                </m:radPr>
                <m:deg/>
                <m:e>
                  <m:r>
                    <w:rPr>
                      <w:rFonts w:ascii="Cambria Math" w:hAnsi="Cambria Math"/>
                      <w:color w:val="auto"/>
                    </w:rPr>
                    <m:t>n</m:t>
                  </m:r>
                </m:e>
              </m:rad>
            </m:den>
          </m:f>
        </m:oMath>
      </m:oMathPara>
    </w:p>
    <w:p w14:paraId="3168B53D" w14:textId="77777777" w:rsidR="003F7B9F" w:rsidRPr="0025752B" w:rsidRDefault="003F7B9F" w:rsidP="00A35EAF">
      <w:pPr>
        <w:pStyle w:val="BodyText"/>
      </w:pPr>
      <w:r w:rsidRPr="0025752B">
        <w:t>Where</w:t>
      </w:r>
    </w:p>
    <w:p w14:paraId="18FDC42C" w14:textId="6E8D7BA3" w:rsidR="003F7B9F" w:rsidRPr="0025752B" w:rsidRDefault="003F7B9F" w:rsidP="00A35EAF">
      <w:pPr>
        <w:pStyle w:val="BodyText"/>
      </w:pPr>
      <w:r w:rsidRPr="0025752B">
        <w:rPr>
          <w:i/>
          <w:iCs/>
        </w:rPr>
        <w:t>D</w:t>
      </w:r>
      <w:r w:rsidRPr="0025752B">
        <w:t xml:space="preserve"> = the desired precision of the estimate, expressed as a fraction</w:t>
      </w:r>
    </w:p>
    <w:p w14:paraId="5A5B8BBF" w14:textId="7B4F319D" w:rsidR="003F7B9F" w:rsidRPr="0025752B" w:rsidRDefault="003F7B9F" w:rsidP="00A35EAF">
      <w:pPr>
        <w:pStyle w:val="BodyText"/>
      </w:pPr>
      <w:r w:rsidRPr="0025752B">
        <w:rPr>
          <w:i/>
          <w:iCs/>
        </w:rPr>
        <w:t>s</w:t>
      </w:r>
      <w:r w:rsidRPr="0025752B">
        <w:t xml:space="preserve"> = the standard deviation for the group, computed using the selected traffic loading statistic</w:t>
      </w:r>
    </w:p>
    <w:p w14:paraId="050D0E55" w14:textId="73195701" w:rsidR="003F7B9F" w:rsidRPr="0025752B" w:rsidRDefault="003F7B9F" w:rsidP="00A35EAF">
      <w:pPr>
        <w:pStyle w:val="BodyText"/>
      </w:pPr>
      <w:r w:rsidRPr="0025752B">
        <w:rPr>
          <w:i/>
        </w:rPr>
        <w:t>t</w:t>
      </w:r>
      <w:r w:rsidRPr="0025752B">
        <w:rPr>
          <w:vertAlign w:val="subscript"/>
        </w:rPr>
        <w:t>a/2, n-1</w:t>
      </w:r>
      <w:r w:rsidRPr="0025752B">
        <w:t xml:space="preserve"> is a critical value for t-interval that can be found using the </w:t>
      </w:r>
      <w:r w:rsidR="00457707">
        <w:t>S</w:t>
      </w:r>
      <w:r w:rsidRPr="0025752B">
        <w:t xml:space="preserve">tudent’s </w:t>
      </w:r>
      <w:r w:rsidRPr="0025752B">
        <w:rPr>
          <w:i/>
          <w:iCs/>
        </w:rPr>
        <w:t>t</w:t>
      </w:r>
      <w:r w:rsidRPr="0025752B">
        <w:rPr>
          <w:vertAlign w:val="subscript"/>
        </w:rPr>
        <w:t xml:space="preserve"> </w:t>
      </w:r>
      <w:r w:rsidRPr="0025752B">
        <w:t>distribution tables for the selected level of confidence (For example, α/2 = (1-0.95)/2 = 0.025 for 95 percent confidence level) and appropriate degrees of freedom (i.e., one less than the number of samples, which for seven WIM sites is roughly 2.45.)</w:t>
      </w:r>
    </w:p>
    <w:p w14:paraId="60EB9497" w14:textId="4DCE5D4D" w:rsidR="003F7B9F" w:rsidRDefault="003F7B9F" w:rsidP="00A35EAF">
      <w:pPr>
        <w:pStyle w:val="BodyText"/>
      </w:pPr>
      <w:r w:rsidRPr="0025752B">
        <w:rPr>
          <w:i/>
        </w:rPr>
        <w:t>n</w:t>
      </w:r>
      <w:r w:rsidRPr="0025752B">
        <w:t xml:space="preserve"> = the number of sites in the group</w:t>
      </w:r>
    </w:p>
    <w:p w14:paraId="5FF6D82F" w14:textId="77777777" w:rsidR="003F7B9F" w:rsidRPr="000077D4" w:rsidRDefault="003F7B9F" w:rsidP="00A35EAF">
      <w:pPr>
        <w:pStyle w:val="BodyText"/>
      </w:pPr>
      <w:r w:rsidRPr="000077D4">
        <w:lastRenderedPageBreak/>
        <w:t>In the above example, note that the coefficient of variation (computed as standard deviation divided by the mean) for the two statistics (GVW/vehicle and ESAL/vehicle) are different, even though both variables come from the same set of vehicle weights. This is because the ESAL formula applies different ESAL per axle factors to loads of different magnitudes. Therefore, the grouping results are more homogeneous with respect to heavy loads than to average GVW.</w:t>
      </w:r>
    </w:p>
    <w:p w14:paraId="1BD07125" w14:textId="77777777" w:rsidR="003F7B9F" w:rsidRPr="000077D4" w:rsidRDefault="003F7B9F" w:rsidP="00A35EAF">
      <w:pPr>
        <w:pStyle w:val="BodyText"/>
      </w:pPr>
      <w:r w:rsidRPr="000077D4">
        <w:t>The level of precision will be different for each vehicle class due to variability in mean weights and ESALs per truck observed between different sites in the load factor group for each vehicle class. For example, the precision of the mean GVW value for Class 9 trucks will be different from that value for Class 11 trucks.</w:t>
      </w:r>
    </w:p>
    <w:p w14:paraId="26916BC3" w14:textId="6182C79F" w:rsidR="003F7B9F" w:rsidRPr="00517F7A" w:rsidRDefault="003F7B9F">
      <w:pPr>
        <w:pStyle w:val="Heading3"/>
      </w:pPr>
      <w:bookmarkStart w:id="1905" w:name="_Toc68190216"/>
      <w:bookmarkStart w:id="1906" w:name="_Toc118205644"/>
      <w:r w:rsidRPr="00517F7A">
        <w:t>Step 5. Determine the Appropriate Number of Weight Data Collection Locations</w:t>
      </w:r>
      <w:bookmarkEnd w:id="1905"/>
      <w:bookmarkEnd w:id="1906"/>
    </w:p>
    <w:p w14:paraId="33DFF115" w14:textId="7130FDEB" w:rsidR="003F7B9F" w:rsidRPr="000077D4" w:rsidRDefault="003F7B9F" w:rsidP="00A35EAF">
      <w:pPr>
        <w:pStyle w:val="BodyText"/>
      </w:pPr>
      <w:r w:rsidRPr="00FC2889">
        <w:t>The</w:t>
      </w:r>
      <w:r w:rsidRPr="000077D4">
        <w:t xml:space="preserve"> precision formula can be used to determine how many WIM sites should be included within each load factor group. </w:t>
      </w:r>
      <w:r w:rsidR="00FC2889">
        <w:t>Each</w:t>
      </w:r>
      <w:r w:rsidR="00FC2889" w:rsidRPr="000077D4">
        <w:t xml:space="preserve"> </w:t>
      </w:r>
      <w:r w:rsidRPr="000077D4">
        <w:t xml:space="preserve">State highway agency should determine what traffic loading summary statistic it wants to use (such as ESAL per truck or GVW), select how precisely it wishes to estimate that statistic, and compute the number of WIM locations needed to obtain the desired degree of confidence. </w:t>
      </w:r>
    </w:p>
    <w:p w14:paraId="313072EB" w14:textId="77777777" w:rsidR="003F7B9F" w:rsidRPr="000077D4" w:rsidRDefault="003F7B9F" w:rsidP="00A35EAF">
      <w:pPr>
        <w:pStyle w:val="BodyText"/>
      </w:pPr>
      <w:r w:rsidRPr="000077D4">
        <w:t xml:space="preserve">This step involves several decisions: </w:t>
      </w:r>
    </w:p>
    <w:p w14:paraId="2AB5755E" w14:textId="77777777" w:rsidR="003F7B9F" w:rsidRPr="009D3502" w:rsidRDefault="003F7B9F">
      <w:pPr>
        <w:pStyle w:val="TMGBullet"/>
      </w:pPr>
      <w:r w:rsidRPr="009D3502">
        <w:t xml:space="preserve">The first decision is to determine whether the goal of the load factor groups is to report the mean statistics within each group with a given level of precision (e.g., the mean ESAL/Class 9 truck for rural interstates is 1.56 + 0.15 with 95 percent confidence) or the default values or load factors that will be applied to other sites in the group to estimate loading. This decision primarily affects the grouping process. </w:t>
      </w:r>
    </w:p>
    <w:p w14:paraId="0E646261" w14:textId="36E15BE6" w:rsidR="003F7B9F" w:rsidRPr="000077D4" w:rsidRDefault="003F7B9F">
      <w:pPr>
        <w:pStyle w:val="TMGBullet2"/>
      </w:pPr>
      <w:r w:rsidRPr="000077D4">
        <w:t xml:space="preserve">If the intention is to develop precise mean values for the group, the key tends to be the number of WIM sites included in each group. (The precision is low for groups with too few sites based on the statistical formula used to estimate the precision.) </w:t>
      </w:r>
    </w:p>
    <w:p w14:paraId="3C1EE4CD" w14:textId="77777777" w:rsidR="003F7B9F" w:rsidRPr="000077D4" w:rsidRDefault="003F7B9F">
      <w:pPr>
        <w:pStyle w:val="TMGBullet2"/>
      </w:pPr>
      <w:r w:rsidRPr="000077D4">
        <w:t xml:space="preserve">If the intention is to develop good default values or load factors, the key to the grouping process is to have more and very homogenous groups (groups in which truck weights are very similar for all sites within the group, making standard deviations very small). </w:t>
      </w:r>
    </w:p>
    <w:p w14:paraId="083C63D8" w14:textId="77777777" w:rsidR="003F7B9F" w:rsidRPr="000077D4" w:rsidRDefault="003F7B9F" w:rsidP="00283B5B">
      <w:pPr>
        <w:pStyle w:val="BodyText"/>
      </w:pPr>
      <w:r w:rsidRPr="000077D4">
        <w:t xml:space="preserve">States that emphasize predicting mean values for groups will have fewer groups but larger numbers of data collection sites within each group, whereas States that emphasize site-specific estimates will have more load factor groups but fewer sites within </w:t>
      </w:r>
      <w:r w:rsidRPr="00283B5B">
        <w:t>each</w:t>
      </w:r>
      <w:r w:rsidRPr="000077D4">
        <w:t xml:space="preserve"> group.</w:t>
      </w:r>
    </w:p>
    <w:p w14:paraId="0FCF0101" w14:textId="41BB4AB6" w:rsidR="003F7B9F" w:rsidRPr="009D3502" w:rsidRDefault="003F7B9F">
      <w:pPr>
        <w:pStyle w:val="TMGBullet"/>
        <w:contextualSpacing w:val="0"/>
      </w:pPr>
      <w:r w:rsidRPr="009D3502">
        <w:t>The second decision that affects the grouping process is the selection of the statistic to be the basis for the precision estimates. Use of multiple statistical parameters (such as load spectra) for grouping is possible but requires more complex multivariate clustering techniques and informed decisions about what weights (by importance) to assign to different statistical parameters.</w:t>
      </w:r>
      <w:r w:rsidR="004D4172">
        <w:t xml:space="preserve"> </w:t>
      </w:r>
      <w:r w:rsidRPr="009D3502">
        <w:t xml:space="preserve">Because the precision of each statistic will vary, </w:t>
      </w:r>
      <w:r w:rsidR="00FC2889">
        <w:t>a</w:t>
      </w:r>
      <w:r w:rsidR="00FC2889" w:rsidRPr="009D3502">
        <w:t xml:space="preserve"> </w:t>
      </w:r>
      <w:r w:rsidRPr="009D3502">
        <w:t xml:space="preserve">State should select a single statistic that is most meaningful for the analyses that use the truck and axle weight data. Normally, this means selecting a specific vehicle class and a specific weight variable. The recommended statistics for use in selecting sample sizes are either the mean generic ESAL per Class 9 truck or the mean GVW for Class 9 trucks. Class 9 trucks are recommended because they are the most common throughout the country, and they tend to carry a high percentage of the loadings on most major roads. The GVW statistic is easily understood by technical and non-technical people and could be converted to measures of commodity flow. However, the average GVW statistic hides some attributes about vehicle loading, such as proportion of heavy tandem axles, typical weight and percentage of loaded truck or percent of overloaded axles. At the other extreme, use of a full axle load spectrum (such as single and/or tandem axle load spectra) for road grouping puts equal weights by importance to all loads in the distribution, resulting in clusters that may not be as meaningful for the end user (e.g., pavement designer) who may be primarily interested in similarities in heavy loads and not interested in similarities in distribution of light loads. The ESAL per truck statistic puts high importance on heavy loads that are important for pavement designers and thus, provides a better parameter for grouping of roads based on similarity in heavy loads. The </w:t>
      </w:r>
      <w:r w:rsidR="00B45D3A" w:rsidRPr="009D3502">
        <w:t>gener</w:t>
      </w:r>
      <w:r w:rsidR="00B45D3A">
        <w:t>al</w:t>
      </w:r>
      <w:r w:rsidR="00B45D3A" w:rsidRPr="009D3502">
        <w:t xml:space="preserve"> </w:t>
      </w:r>
      <w:r w:rsidRPr="009D3502">
        <w:t>ESAL per truck statistic is a good parameter for road clustering, if pavement design is the primary purpose for creating road groups.</w:t>
      </w:r>
    </w:p>
    <w:p w14:paraId="13664B4C" w14:textId="33BF465E" w:rsidR="003F7B9F" w:rsidRPr="009D3502" w:rsidRDefault="003F7B9F">
      <w:pPr>
        <w:pStyle w:val="TMGBullet"/>
      </w:pPr>
      <w:r w:rsidRPr="009D3502">
        <w:lastRenderedPageBreak/>
        <w:t xml:space="preserve">The third decision is how precise to estimate the target statistic. Precision levels are normally stated in terms of percentage of error within a given level of confidence (e.g., the GVW/vehicle estimate is within plus or minus 15 percent of the mean value with 95 percent confidence). Decreasing the size of the acceptable error or requiring higher levels of confidence both increase the number of WIM sites required. Conversely, accepting lower levels of precision and/or confidence allows </w:t>
      </w:r>
      <w:r w:rsidR="00FC2889">
        <w:t>fewer</w:t>
      </w:r>
      <w:r w:rsidR="00FC2889" w:rsidRPr="009D3502">
        <w:t xml:space="preserve"> </w:t>
      </w:r>
      <w:r w:rsidRPr="009D3502">
        <w:t>WIM sites per load factor group and lower data collection costs. However, the low precision or higher error must be acceptable to the weight data users. For</w:t>
      </w:r>
      <w:r w:rsidR="00C57347">
        <w:t> </w:t>
      </w:r>
      <w:r w:rsidRPr="009D3502">
        <w:t>example, pavement users require high precision of load factors associated with the heavy loads (80 percent or more of the federal legal load limit) but not with the light loads (</w:t>
      </w:r>
      <w:r w:rsidR="00D70B70" w:rsidRPr="00D70B70">
        <w:rPr>
          <w:i/>
          <w:iCs/>
        </w:rPr>
        <w:t>Traffic Loading Defaults Derived from Traffic Pooled Fund Study</w:t>
      </w:r>
      <w:r w:rsidR="00D70B70">
        <w:rPr>
          <w:i/>
          <w:iCs/>
        </w:rPr>
        <w:t xml:space="preserve">, </w:t>
      </w:r>
      <w:r w:rsidR="00D70B70">
        <w:t>FHWA 2016)</w:t>
      </w:r>
      <w:r w:rsidRPr="009D3502">
        <w:t xml:space="preserve">. For users of ESAL-based pavement design approach, changes in average ESAL per truck of 25 percent or less are not significant from the design perspective, assuming typical highway truck mix scenarios (not movers of super heavy loads). </w:t>
      </w:r>
    </w:p>
    <w:p w14:paraId="56636478" w14:textId="1B419670" w:rsidR="003F7B9F" w:rsidRPr="000077D4" w:rsidRDefault="003F7B9F" w:rsidP="00A35EAF">
      <w:pPr>
        <w:pStyle w:val="BodyText"/>
      </w:pPr>
      <w:r w:rsidRPr="000077D4">
        <w:t>The number of WIM sites within a group is estimated as:</w:t>
      </w:r>
    </w:p>
    <w:p w14:paraId="3E1242D5" w14:textId="77777777" w:rsidR="003F7B9F" w:rsidRDefault="003F7B9F" w:rsidP="00C57347">
      <w:pPr>
        <w:tabs>
          <w:tab w:val="left" w:pos="1700"/>
        </w:tabs>
        <w:ind w:hanging="1080"/>
        <w:jc w:val="center"/>
        <w:rPr>
          <w:i/>
          <w:iCs/>
        </w:rPr>
      </w:pPr>
      <w:r w:rsidRPr="000077D4">
        <w:rPr>
          <w:i/>
          <w:iCs/>
        </w:rPr>
        <w:t>n = (t</w:t>
      </w:r>
      <w:r w:rsidRPr="000077D4">
        <w:rPr>
          <w:rFonts w:ascii="Symbol" w:hAnsi="Symbol"/>
          <w:vertAlign w:val="subscript"/>
        </w:rPr>
        <w:t></w:t>
      </w:r>
      <w:r w:rsidRPr="000077D4">
        <w:rPr>
          <w:vertAlign w:val="subscript"/>
          <w:lang w:val="fr-FR"/>
        </w:rPr>
        <w:t>/</w:t>
      </w:r>
      <w:r w:rsidRPr="000077D4">
        <w:rPr>
          <w:vertAlign w:val="subscript"/>
        </w:rPr>
        <w:t>2</w:t>
      </w:r>
      <w:r w:rsidRPr="000077D4">
        <w:rPr>
          <w:i/>
          <w:iCs/>
        </w:rPr>
        <w:t>)</w:t>
      </w:r>
      <w:r w:rsidRPr="000077D4">
        <w:rPr>
          <w:vertAlign w:val="superscript"/>
        </w:rPr>
        <w:t>2</w:t>
      </w:r>
      <w:r w:rsidRPr="000077D4">
        <w:rPr>
          <w:i/>
          <w:iCs/>
        </w:rPr>
        <w:t xml:space="preserve"> (</w:t>
      </w:r>
      <w:r>
        <w:rPr>
          <w:i/>
          <w:iCs/>
        </w:rPr>
        <w:t>s</w:t>
      </w:r>
      <w:r w:rsidRPr="000077D4">
        <w:rPr>
          <w:vertAlign w:val="superscript"/>
        </w:rPr>
        <w:t>2</w:t>
      </w:r>
      <w:r w:rsidRPr="000077D4">
        <w:rPr>
          <w:i/>
          <w:iCs/>
        </w:rPr>
        <w:t>) / (D</w:t>
      </w:r>
      <w:r w:rsidRPr="000077D4">
        <w:rPr>
          <w:vertAlign w:val="superscript"/>
        </w:rPr>
        <w:t>2</w:t>
      </w:r>
      <w:r w:rsidRPr="000077D4">
        <w:rPr>
          <w:i/>
          <w:iCs/>
        </w:rPr>
        <w:t>)</w:t>
      </w:r>
    </w:p>
    <w:p w14:paraId="5D9ACD27" w14:textId="77777777" w:rsidR="003F7B9F" w:rsidRPr="000077D4" w:rsidRDefault="003F7B9F" w:rsidP="00A35EAF">
      <w:pPr>
        <w:pStyle w:val="BodyText"/>
      </w:pPr>
      <w:r w:rsidRPr="000077D4">
        <w:t>Where:</w:t>
      </w:r>
      <w:r w:rsidRPr="000077D4">
        <w:tab/>
      </w:r>
    </w:p>
    <w:p w14:paraId="16BD40F7" w14:textId="3E350939" w:rsidR="003F7B9F" w:rsidRPr="000077D4" w:rsidRDefault="003F7B9F" w:rsidP="00A35EAF">
      <w:pPr>
        <w:pStyle w:val="BodyText"/>
      </w:pPr>
      <w:r w:rsidRPr="000077D4">
        <w:rPr>
          <w:i/>
          <w:iCs/>
        </w:rPr>
        <w:t>n</w:t>
      </w:r>
      <w:r>
        <w:t xml:space="preserve"> </w:t>
      </w:r>
      <w:r w:rsidRPr="000077D4">
        <w:t>=</w:t>
      </w:r>
      <w:r>
        <w:t xml:space="preserve"> </w:t>
      </w:r>
      <w:r w:rsidRPr="000077D4">
        <w:t>the number of samples taken (in this case, the number of WIM sites in the group)</w:t>
      </w:r>
    </w:p>
    <w:p w14:paraId="7571F781" w14:textId="38C48A28" w:rsidR="003F7B9F" w:rsidRPr="000077D4" w:rsidRDefault="003F7B9F" w:rsidP="00A35EAF">
      <w:pPr>
        <w:pStyle w:val="BodyText"/>
      </w:pPr>
      <w:r w:rsidRPr="000077D4">
        <w:rPr>
          <w:i/>
          <w:iCs/>
        </w:rPr>
        <w:t>t</w:t>
      </w:r>
      <w:r>
        <w:t xml:space="preserve"> </w:t>
      </w:r>
      <w:r w:rsidRPr="000077D4">
        <w:t>=</w:t>
      </w:r>
      <w:r>
        <w:t xml:space="preserve"> </w:t>
      </w:r>
      <w:r w:rsidRPr="000077D4">
        <w:t xml:space="preserve">the </w:t>
      </w:r>
      <w:r w:rsidR="00457707">
        <w:t>S</w:t>
      </w:r>
      <w:r w:rsidRPr="000077D4">
        <w:t>tudent</w:t>
      </w:r>
      <w:r w:rsidR="00C6056D">
        <w:t>’</w:t>
      </w:r>
      <w:r w:rsidRPr="000077D4">
        <w:t xml:space="preserve">s </w:t>
      </w:r>
      <w:r w:rsidRPr="000077D4">
        <w:rPr>
          <w:i/>
          <w:iCs/>
        </w:rPr>
        <w:t>t</w:t>
      </w:r>
      <w:r w:rsidRPr="000077D4">
        <w:t xml:space="preserve"> distribution for the selected level of confidence and appropriate degrees of freedom (one less than the number of samples, </w:t>
      </w:r>
      <w:r w:rsidRPr="000077D4">
        <w:rPr>
          <w:i/>
          <w:iCs/>
        </w:rPr>
        <w:t>n</w:t>
      </w:r>
      <w:r w:rsidRPr="000077D4">
        <w:t>)</w:t>
      </w:r>
    </w:p>
    <w:p w14:paraId="3030FD69" w14:textId="77777777" w:rsidR="003F7B9F" w:rsidRPr="000077D4" w:rsidRDefault="003F7B9F" w:rsidP="00A35EAF">
      <w:pPr>
        <w:pStyle w:val="BodyText"/>
      </w:pPr>
      <w:r w:rsidRPr="00D15329">
        <w:rPr>
          <w:i/>
        </w:rPr>
        <w:t xml:space="preserve">α </w:t>
      </w:r>
      <w:r w:rsidRPr="00A826BC">
        <w:t>= level of significance, the probability of rejecting the Null Hypothesis when in it is true, for the selected level of confidence for 95 percent confidence α = 1 - 0.95 = 0.05)</w:t>
      </w:r>
    </w:p>
    <w:p w14:paraId="62766E33" w14:textId="2C4BF29E" w:rsidR="003F7B9F" w:rsidRPr="000077D4" w:rsidRDefault="00D003D1" w:rsidP="00A35EAF">
      <w:pPr>
        <w:pStyle w:val="BodyText"/>
      </w:pPr>
      <w:r>
        <w:rPr>
          <w:noProof/>
        </w:rPr>
        <mc:AlternateContent>
          <mc:Choice Requires="wps">
            <w:drawing>
              <wp:anchor distT="45720" distB="45720" distL="114300" distR="114300" simplePos="0" relativeHeight="251715584" behindDoc="0" locked="0" layoutInCell="1" allowOverlap="1" wp14:anchorId="461C5DDC" wp14:editId="4AFABF78">
                <wp:simplePos x="0" y="0"/>
                <wp:positionH relativeFrom="margin">
                  <wp:posOffset>3128645</wp:posOffset>
                </wp:positionH>
                <wp:positionV relativeFrom="paragraph">
                  <wp:posOffset>227330</wp:posOffset>
                </wp:positionV>
                <wp:extent cx="2816225" cy="4131310"/>
                <wp:effectExtent l="0" t="0" r="3175" b="2540"/>
                <wp:wrapSquare wrapText="bothSides"/>
                <wp:docPr id="358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4131310"/>
                        </a:xfrm>
                        <a:prstGeom prst="rect">
                          <a:avLst/>
                        </a:prstGeom>
                        <a:solidFill>
                          <a:srgbClr val="FFFFFF"/>
                        </a:solidFill>
                        <a:ln w="9525">
                          <a:noFill/>
                          <a:miter lim="800000"/>
                          <a:headEnd/>
                          <a:tailEnd/>
                        </a:ln>
                      </wps:spPr>
                      <wps:txbx>
                        <w:txbxContent>
                          <w:p w14:paraId="1280E60A" w14:textId="6C3B3CC3" w:rsidR="00E977A4" w:rsidRDefault="00E977A4" w:rsidP="00E977A4">
                            <w:pPr>
                              <w:pStyle w:val="TMGTableCaption"/>
                              <w:spacing w:before="0"/>
                            </w:pPr>
                            <w:bookmarkStart w:id="1907" w:name="_Ref114750089"/>
                            <w:bookmarkStart w:id="1908" w:name="_Toc54784722"/>
                            <w:bookmarkStart w:id="1909" w:name="_Toc68874121"/>
                            <w:bookmarkStart w:id="1910" w:name="_Toc114474834"/>
                            <w:bookmarkStart w:id="1911" w:name="_Toc120631140"/>
                            <w:r w:rsidRPr="00824DC3">
                              <w:t xml:space="preserve">Table </w:t>
                            </w:r>
                            <w:fldSimple w:instr=" STYLEREF 1 \s ">
                              <w:r w:rsidR="00FC0E95">
                                <w:rPr>
                                  <w:noProof/>
                                </w:rPr>
                                <w:t>3</w:t>
                              </w:r>
                            </w:fldSimple>
                            <w:r>
                              <w:noBreakHyphen/>
                            </w:r>
                            <w:fldSimple w:instr=" SEQ Table \* ARABIC \s 1 ">
                              <w:r w:rsidR="00FC0E95">
                                <w:rPr>
                                  <w:noProof/>
                                </w:rPr>
                                <w:t>14</w:t>
                              </w:r>
                            </w:fldSimple>
                            <w:bookmarkEnd w:id="1907"/>
                            <w:r w:rsidR="00352273">
                              <w:t>.</w:t>
                            </w:r>
                            <w:r w:rsidRPr="00031DC6">
                              <w:t xml:space="preserve"> Statistics Used </w:t>
                            </w:r>
                            <w:r>
                              <w:t>f</w:t>
                            </w:r>
                            <w:r w:rsidRPr="00031DC6">
                              <w:t>or</w:t>
                            </w:r>
                            <w:r>
                              <w:br/>
                            </w:r>
                            <w:r w:rsidRPr="00031DC6">
                              <w:t>Sample Size Computation</w:t>
                            </w:r>
                            <w:bookmarkEnd w:id="1908"/>
                            <w:bookmarkEnd w:id="1909"/>
                            <w:bookmarkEnd w:id="1910"/>
                            <w:bookmarkEnd w:id="1911"/>
                          </w:p>
                          <w:tbl>
                            <w:tblPr>
                              <w:tblStyle w:val="TableGrid"/>
                              <w:tblW w:w="0" w:type="auto"/>
                              <w:tblCellMar>
                                <w:left w:w="86" w:type="dxa"/>
                                <w:right w:w="86" w:type="dxa"/>
                              </w:tblCellMar>
                              <w:tblLook w:val="04A0" w:firstRow="1" w:lastRow="0" w:firstColumn="1" w:lastColumn="0" w:noHBand="0" w:noVBand="1"/>
                            </w:tblPr>
                            <w:tblGrid>
                              <w:gridCol w:w="2335"/>
                              <w:gridCol w:w="1170"/>
                              <w:gridCol w:w="900"/>
                            </w:tblGrid>
                            <w:tr w:rsidR="00E977A4" w14:paraId="7B060F0B" w14:textId="77777777" w:rsidTr="002B5B49">
                              <w:tc>
                                <w:tcPr>
                                  <w:tcW w:w="2335" w:type="dxa"/>
                                  <w:tcBorders>
                                    <w:right w:val="single" w:sz="4" w:space="0" w:color="FFFFFF" w:themeColor="background1"/>
                                  </w:tcBorders>
                                  <w:shd w:val="clear" w:color="auto" w:fill="1F3864"/>
                                  <w:vAlign w:val="center"/>
                                </w:tcPr>
                                <w:p w14:paraId="7605BA83" w14:textId="77777777" w:rsidR="00E977A4" w:rsidRDefault="00E977A4" w:rsidP="0017389B">
                                  <w:pPr>
                                    <w:pStyle w:val="TMGTableTextHeader"/>
                                  </w:pPr>
                                  <w:r w:rsidRPr="004859C8">
                                    <w:t>Site</w:t>
                                  </w:r>
                                </w:p>
                              </w:tc>
                              <w:tc>
                                <w:tcPr>
                                  <w:tcW w:w="1170" w:type="dxa"/>
                                  <w:tcBorders>
                                    <w:left w:val="single" w:sz="4" w:space="0" w:color="FFFFFF" w:themeColor="background1"/>
                                    <w:right w:val="single" w:sz="4" w:space="0" w:color="FFFFFF" w:themeColor="background1"/>
                                  </w:tcBorders>
                                  <w:shd w:val="clear" w:color="auto" w:fill="1F3864"/>
                                  <w:vAlign w:val="center"/>
                                </w:tcPr>
                                <w:p w14:paraId="54D12C39" w14:textId="5CC7ADE2" w:rsidR="00E977A4" w:rsidRDefault="00E977A4" w:rsidP="0017389B">
                                  <w:pPr>
                                    <w:pStyle w:val="TMGTableTextHeader"/>
                                  </w:pPr>
                                  <w:r w:rsidRPr="00BC10C3">
                                    <w:t>Mean Class 9 GVW</w:t>
                                  </w:r>
                                </w:p>
                              </w:tc>
                              <w:tc>
                                <w:tcPr>
                                  <w:tcW w:w="900" w:type="dxa"/>
                                  <w:tcBorders>
                                    <w:left w:val="single" w:sz="4" w:space="0" w:color="FFFFFF" w:themeColor="background1"/>
                                  </w:tcBorders>
                                  <w:shd w:val="clear" w:color="auto" w:fill="1F3864"/>
                                </w:tcPr>
                                <w:p w14:paraId="779A71A0" w14:textId="40E75E51" w:rsidR="00E977A4" w:rsidRDefault="00E977A4" w:rsidP="0017389B">
                                  <w:pPr>
                                    <w:pStyle w:val="TMGTableTextHeader"/>
                                  </w:pPr>
                                  <w:r w:rsidRPr="00BC10C3">
                                    <w:t>Mean Class 9 ESAL</w:t>
                                  </w:r>
                                </w:p>
                              </w:tc>
                            </w:tr>
                            <w:tr w:rsidR="00E977A4" w14:paraId="1148C795" w14:textId="77777777" w:rsidTr="00283B5B">
                              <w:tc>
                                <w:tcPr>
                                  <w:tcW w:w="2335" w:type="dxa"/>
                                  <w:vAlign w:val="center"/>
                                </w:tcPr>
                                <w:p w14:paraId="327C0605" w14:textId="192F77EE" w:rsidR="00E977A4" w:rsidRPr="00E977A4" w:rsidRDefault="00E977A4" w:rsidP="00283B5B">
                                  <w:pPr>
                                    <w:pStyle w:val="TMGTableText"/>
                                    <w:jc w:val="center"/>
                                  </w:pPr>
                                  <w:r w:rsidRPr="00E977A4">
                                    <w:t>1</w:t>
                                  </w:r>
                                </w:p>
                              </w:tc>
                              <w:tc>
                                <w:tcPr>
                                  <w:tcW w:w="1170" w:type="dxa"/>
                                  <w:vAlign w:val="center"/>
                                </w:tcPr>
                                <w:p w14:paraId="5AFFAC61" w14:textId="4D1895B7" w:rsidR="00E977A4" w:rsidRDefault="00E977A4" w:rsidP="00283B5B">
                                  <w:pPr>
                                    <w:pStyle w:val="TMGTableText"/>
                                    <w:jc w:val="right"/>
                                  </w:pPr>
                                  <w:r w:rsidRPr="000077D4">
                                    <w:t>50,000 lb</w:t>
                                  </w:r>
                                </w:p>
                              </w:tc>
                              <w:tc>
                                <w:tcPr>
                                  <w:tcW w:w="900" w:type="dxa"/>
                                  <w:vAlign w:val="center"/>
                                </w:tcPr>
                                <w:p w14:paraId="1D84F8C8" w14:textId="4334666C" w:rsidR="00E977A4" w:rsidRDefault="00E977A4" w:rsidP="00283B5B">
                                  <w:pPr>
                                    <w:pStyle w:val="TMGTableText"/>
                                    <w:jc w:val="center"/>
                                  </w:pPr>
                                  <w:r w:rsidRPr="000077D4">
                                    <w:t>1.64</w:t>
                                  </w:r>
                                </w:p>
                              </w:tc>
                            </w:tr>
                            <w:tr w:rsidR="00E977A4" w14:paraId="79CCCF93" w14:textId="77777777" w:rsidTr="00283B5B">
                              <w:tc>
                                <w:tcPr>
                                  <w:tcW w:w="2335" w:type="dxa"/>
                                  <w:vAlign w:val="center"/>
                                </w:tcPr>
                                <w:p w14:paraId="301D5813" w14:textId="4C4A0803" w:rsidR="00E977A4" w:rsidRPr="00E977A4" w:rsidRDefault="00E977A4" w:rsidP="00283B5B">
                                  <w:pPr>
                                    <w:pStyle w:val="TMGTableText"/>
                                    <w:jc w:val="center"/>
                                  </w:pPr>
                                  <w:r w:rsidRPr="00E977A4">
                                    <w:t>2</w:t>
                                  </w:r>
                                </w:p>
                              </w:tc>
                              <w:tc>
                                <w:tcPr>
                                  <w:tcW w:w="1170" w:type="dxa"/>
                                  <w:vAlign w:val="center"/>
                                </w:tcPr>
                                <w:p w14:paraId="70C8AC89" w14:textId="4F223F91" w:rsidR="00E977A4" w:rsidRDefault="00E977A4" w:rsidP="00283B5B">
                                  <w:pPr>
                                    <w:pStyle w:val="TMGTableText"/>
                                    <w:jc w:val="right"/>
                                  </w:pPr>
                                  <w:r w:rsidRPr="000077D4">
                                    <w:t>57,000 lb</w:t>
                                  </w:r>
                                </w:p>
                              </w:tc>
                              <w:tc>
                                <w:tcPr>
                                  <w:tcW w:w="900" w:type="dxa"/>
                                  <w:vAlign w:val="center"/>
                                </w:tcPr>
                                <w:p w14:paraId="5D900997" w14:textId="6FED8DC4" w:rsidR="00E977A4" w:rsidRDefault="00E977A4" w:rsidP="00283B5B">
                                  <w:pPr>
                                    <w:pStyle w:val="TMGTableText"/>
                                    <w:jc w:val="center"/>
                                  </w:pPr>
                                  <w:r w:rsidRPr="000077D4">
                                    <w:t>1.72</w:t>
                                  </w:r>
                                </w:p>
                              </w:tc>
                            </w:tr>
                            <w:tr w:rsidR="00E977A4" w14:paraId="4A9C9B2D" w14:textId="77777777" w:rsidTr="00283B5B">
                              <w:tc>
                                <w:tcPr>
                                  <w:tcW w:w="2335" w:type="dxa"/>
                                  <w:vAlign w:val="center"/>
                                </w:tcPr>
                                <w:p w14:paraId="414445EB" w14:textId="07648E38" w:rsidR="00E977A4" w:rsidRPr="00E977A4" w:rsidRDefault="00E977A4" w:rsidP="00283B5B">
                                  <w:pPr>
                                    <w:pStyle w:val="TMGTableText"/>
                                    <w:jc w:val="center"/>
                                  </w:pPr>
                                  <w:r w:rsidRPr="00E977A4">
                                    <w:t>3</w:t>
                                  </w:r>
                                </w:p>
                              </w:tc>
                              <w:tc>
                                <w:tcPr>
                                  <w:tcW w:w="1170" w:type="dxa"/>
                                  <w:vAlign w:val="center"/>
                                </w:tcPr>
                                <w:p w14:paraId="733B2A99" w14:textId="37B0B11E" w:rsidR="00E977A4" w:rsidRDefault="00E977A4" w:rsidP="00283B5B">
                                  <w:pPr>
                                    <w:pStyle w:val="TMGTableText"/>
                                    <w:jc w:val="right"/>
                                  </w:pPr>
                                  <w:r w:rsidRPr="000077D4">
                                    <w:t>64,000 lb</w:t>
                                  </w:r>
                                </w:p>
                              </w:tc>
                              <w:tc>
                                <w:tcPr>
                                  <w:tcW w:w="900" w:type="dxa"/>
                                  <w:vAlign w:val="center"/>
                                </w:tcPr>
                                <w:p w14:paraId="3FDE34CE" w14:textId="10879D46" w:rsidR="00E977A4" w:rsidRDefault="00E977A4" w:rsidP="00283B5B">
                                  <w:pPr>
                                    <w:pStyle w:val="TMGTableText"/>
                                    <w:jc w:val="center"/>
                                  </w:pPr>
                                  <w:r w:rsidRPr="000077D4">
                                    <w:t>1.84</w:t>
                                  </w:r>
                                </w:p>
                              </w:tc>
                            </w:tr>
                            <w:tr w:rsidR="00E977A4" w14:paraId="2CCBDF6E" w14:textId="77777777" w:rsidTr="00283B5B">
                              <w:tc>
                                <w:tcPr>
                                  <w:tcW w:w="2335" w:type="dxa"/>
                                  <w:vAlign w:val="center"/>
                                </w:tcPr>
                                <w:p w14:paraId="74F9ED1A" w14:textId="3DA943F2" w:rsidR="00E977A4" w:rsidRPr="00E977A4" w:rsidRDefault="00E977A4" w:rsidP="00283B5B">
                                  <w:pPr>
                                    <w:pStyle w:val="TMGTableText"/>
                                    <w:jc w:val="center"/>
                                  </w:pPr>
                                  <w:r w:rsidRPr="00E977A4">
                                    <w:t>4</w:t>
                                  </w:r>
                                </w:p>
                              </w:tc>
                              <w:tc>
                                <w:tcPr>
                                  <w:tcW w:w="1170" w:type="dxa"/>
                                  <w:vAlign w:val="center"/>
                                </w:tcPr>
                                <w:p w14:paraId="330A03E5" w14:textId="21A079A0" w:rsidR="00E977A4" w:rsidRDefault="00E977A4" w:rsidP="00283B5B">
                                  <w:pPr>
                                    <w:pStyle w:val="TMGTableText"/>
                                    <w:jc w:val="right"/>
                                  </w:pPr>
                                  <w:r w:rsidRPr="000077D4">
                                    <w:t>46,000 lb</w:t>
                                  </w:r>
                                </w:p>
                              </w:tc>
                              <w:tc>
                                <w:tcPr>
                                  <w:tcW w:w="900" w:type="dxa"/>
                                  <w:vAlign w:val="center"/>
                                </w:tcPr>
                                <w:p w14:paraId="22442F00" w14:textId="2466B962" w:rsidR="00E977A4" w:rsidRDefault="00E977A4" w:rsidP="00283B5B">
                                  <w:pPr>
                                    <w:pStyle w:val="TMGTableText"/>
                                    <w:jc w:val="center"/>
                                  </w:pPr>
                                  <w:r w:rsidRPr="000077D4">
                                    <w:t>1.45</w:t>
                                  </w:r>
                                </w:p>
                              </w:tc>
                            </w:tr>
                            <w:tr w:rsidR="00E977A4" w14:paraId="756E4901" w14:textId="77777777" w:rsidTr="00283B5B">
                              <w:tc>
                                <w:tcPr>
                                  <w:tcW w:w="2335" w:type="dxa"/>
                                  <w:vAlign w:val="center"/>
                                </w:tcPr>
                                <w:p w14:paraId="4AA091FE" w14:textId="13E2984E" w:rsidR="00E977A4" w:rsidRPr="00E977A4" w:rsidRDefault="00E977A4" w:rsidP="00283B5B">
                                  <w:pPr>
                                    <w:pStyle w:val="TMGTableText"/>
                                    <w:jc w:val="center"/>
                                  </w:pPr>
                                  <w:r w:rsidRPr="00E977A4">
                                    <w:t>5</w:t>
                                  </w:r>
                                </w:p>
                              </w:tc>
                              <w:tc>
                                <w:tcPr>
                                  <w:tcW w:w="1170" w:type="dxa"/>
                                  <w:vAlign w:val="center"/>
                                </w:tcPr>
                                <w:p w14:paraId="0D0D9D09" w14:textId="76F9A88C" w:rsidR="00E977A4" w:rsidRDefault="00E977A4" w:rsidP="00283B5B">
                                  <w:pPr>
                                    <w:pStyle w:val="TMGTableText"/>
                                    <w:jc w:val="right"/>
                                  </w:pPr>
                                  <w:r w:rsidRPr="000077D4">
                                    <w:t>45,000 lb</w:t>
                                  </w:r>
                                </w:p>
                              </w:tc>
                              <w:tc>
                                <w:tcPr>
                                  <w:tcW w:w="900" w:type="dxa"/>
                                  <w:vAlign w:val="center"/>
                                </w:tcPr>
                                <w:p w14:paraId="5E4E1AFD" w14:textId="62C3F63F" w:rsidR="00E977A4" w:rsidRDefault="00E977A4" w:rsidP="00283B5B">
                                  <w:pPr>
                                    <w:pStyle w:val="TMGTableText"/>
                                    <w:jc w:val="center"/>
                                  </w:pPr>
                                  <w:r w:rsidRPr="000077D4">
                                    <w:t>1.34</w:t>
                                  </w:r>
                                </w:p>
                              </w:tc>
                            </w:tr>
                            <w:tr w:rsidR="00E977A4" w14:paraId="334A5238" w14:textId="77777777" w:rsidTr="00283B5B">
                              <w:tc>
                                <w:tcPr>
                                  <w:tcW w:w="2335" w:type="dxa"/>
                                  <w:vAlign w:val="center"/>
                                </w:tcPr>
                                <w:p w14:paraId="1EB7B2AA" w14:textId="12CAC49A" w:rsidR="00E977A4" w:rsidRPr="00E977A4" w:rsidRDefault="00E977A4" w:rsidP="00283B5B">
                                  <w:pPr>
                                    <w:pStyle w:val="TMGTableText"/>
                                    <w:jc w:val="center"/>
                                  </w:pPr>
                                  <w:r w:rsidRPr="00E977A4">
                                    <w:t>6</w:t>
                                  </w:r>
                                </w:p>
                              </w:tc>
                              <w:tc>
                                <w:tcPr>
                                  <w:tcW w:w="1170" w:type="dxa"/>
                                  <w:vAlign w:val="center"/>
                                </w:tcPr>
                                <w:p w14:paraId="084DF8A8" w14:textId="07E50923" w:rsidR="00E977A4" w:rsidRDefault="00E977A4" w:rsidP="00283B5B">
                                  <w:pPr>
                                    <w:pStyle w:val="TMGTableText"/>
                                    <w:jc w:val="right"/>
                                  </w:pPr>
                                  <w:r w:rsidRPr="000077D4">
                                    <w:t>55,000 lb</w:t>
                                  </w:r>
                                </w:p>
                              </w:tc>
                              <w:tc>
                                <w:tcPr>
                                  <w:tcW w:w="900" w:type="dxa"/>
                                  <w:vAlign w:val="center"/>
                                </w:tcPr>
                                <w:p w14:paraId="3248F0CA" w14:textId="789C383D" w:rsidR="00E977A4" w:rsidRDefault="00E977A4" w:rsidP="00283B5B">
                                  <w:pPr>
                                    <w:pStyle w:val="TMGTableText"/>
                                    <w:jc w:val="center"/>
                                  </w:pPr>
                                  <w:r w:rsidRPr="000077D4">
                                    <w:t>1.65</w:t>
                                  </w:r>
                                </w:p>
                              </w:tc>
                            </w:tr>
                            <w:tr w:rsidR="00E977A4" w14:paraId="4B04942D" w14:textId="77777777" w:rsidTr="00283B5B">
                              <w:tc>
                                <w:tcPr>
                                  <w:tcW w:w="2335" w:type="dxa"/>
                                  <w:vAlign w:val="center"/>
                                </w:tcPr>
                                <w:p w14:paraId="24473CEE" w14:textId="1C2662AA" w:rsidR="00E977A4" w:rsidRPr="00E977A4" w:rsidRDefault="00E977A4" w:rsidP="00283B5B">
                                  <w:pPr>
                                    <w:pStyle w:val="TMGTableText"/>
                                    <w:jc w:val="center"/>
                                  </w:pPr>
                                  <w:r w:rsidRPr="00E977A4">
                                    <w:t>7</w:t>
                                  </w:r>
                                </w:p>
                              </w:tc>
                              <w:tc>
                                <w:tcPr>
                                  <w:tcW w:w="1170" w:type="dxa"/>
                                  <w:vAlign w:val="center"/>
                                </w:tcPr>
                                <w:p w14:paraId="5BF93241" w14:textId="07A3D9D2" w:rsidR="00E977A4" w:rsidRDefault="00E977A4" w:rsidP="00283B5B">
                                  <w:pPr>
                                    <w:pStyle w:val="TMGTableText"/>
                                    <w:jc w:val="right"/>
                                  </w:pPr>
                                  <w:r w:rsidRPr="000077D4">
                                    <w:t>62,000 lb</w:t>
                                  </w:r>
                                </w:p>
                              </w:tc>
                              <w:tc>
                                <w:tcPr>
                                  <w:tcW w:w="900" w:type="dxa"/>
                                  <w:vAlign w:val="center"/>
                                </w:tcPr>
                                <w:p w14:paraId="0209BF82" w14:textId="33E7FA66" w:rsidR="00E977A4" w:rsidRDefault="00E977A4" w:rsidP="00283B5B">
                                  <w:pPr>
                                    <w:pStyle w:val="TMGTableText"/>
                                    <w:jc w:val="center"/>
                                  </w:pPr>
                                  <w:r w:rsidRPr="000077D4">
                                    <w:t>1.78</w:t>
                                  </w:r>
                                </w:p>
                              </w:tc>
                            </w:tr>
                            <w:tr w:rsidR="00E977A4" w14:paraId="3F5B6E43" w14:textId="77777777" w:rsidTr="00283B5B">
                              <w:tc>
                                <w:tcPr>
                                  <w:tcW w:w="2335" w:type="dxa"/>
                                  <w:vAlign w:val="center"/>
                                </w:tcPr>
                                <w:p w14:paraId="09B553CD" w14:textId="657DDBDE" w:rsidR="00E977A4" w:rsidRPr="00E977A4" w:rsidRDefault="00E977A4" w:rsidP="00283B5B">
                                  <w:pPr>
                                    <w:pStyle w:val="TMGTableText"/>
                                    <w:jc w:val="center"/>
                                  </w:pPr>
                                  <w:r w:rsidRPr="00E977A4">
                                    <w:t>8</w:t>
                                  </w:r>
                                </w:p>
                              </w:tc>
                              <w:tc>
                                <w:tcPr>
                                  <w:tcW w:w="1170" w:type="dxa"/>
                                  <w:vAlign w:val="center"/>
                                </w:tcPr>
                                <w:p w14:paraId="0C5C949A" w14:textId="2868B20F" w:rsidR="00E977A4" w:rsidRDefault="00E977A4" w:rsidP="00283B5B">
                                  <w:pPr>
                                    <w:pStyle w:val="TMGTableText"/>
                                    <w:jc w:val="right"/>
                                  </w:pPr>
                                  <w:r w:rsidRPr="000077D4">
                                    <w:t>77,000 lb</w:t>
                                  </w:r>
                                </w:p>
                              </w:tc>
                              <w:tc>
                                <w:tcPr>
                                  <w:tcW w:w="900" w:type="dxa"/>
                                  <w:vAlign w:val="center"/>
                                </w:tcPr>
                                <w:p w14:paraId="56BD831A" w14:textId="5383BE31" w:rsidR="00E977A4" w:rsidRDefault="00E977A4" w:rsidP="00283B5B">
                                  <w:pPr>
                                    <w:pStyle w:val="TMGTableText"/>
                                    <w:jc w:val="center"/>
                                  </w:pPr>
                                  <w:r w:rsidRPr="000077D4">
                                    <w:t>2.01</w:t>
                                  </w:r>
                                </w:p>
                              </w:tc>
                            </w:tr>
                            <w:tr w:rsidR="00E977A4" w14:paraId="284A5560" w14:textId="77777777" w:rsidTr="00283B5B">
                              <w:tc>
                                <w:tcPr>
                                  <w:tcW w:w="2335" w:type="dxa"/>
                                  <w:vAlign w:val="center"/>
                                </w:tcPr>
                                <w:p w14:paraId="31A1D6CF" w14:textId="0024485A" w:rsidR="00E977A4" w:rsidRPr="00E977A4" w:rsidRDefault="00E977A4" w:rsidP="00283B5B">
                                  <w:pPr>
                                    <w:pStyle w:val="TMGTableText"/>
                                    <w:jc w:val="center"/>
                                  </w:pPr>
                                  <w:r w:rsidRPr="00E977A4">
                                    <w:t>9</w:t>
                                  </w:r>
                                </w:p>
                              </w:tc>
                              <w:tc>
                                <w:tcPr>
                                  <w:tcW w:w="1170" w:type="dxa"/>
                                  <w:vAlign w:val="center"/>
                                </w:tcPr>
                                <w:p w14:paraId="28BA8E34" w14:textId="0AF8636A" w:rsidR="00E977A4" w:rsidRDefault="00E977A4" w:rsidP="00283B5B">
                                  <w:pPr>
                                    <w:pStyle w:val="TMGTableText"/>
                                    <w:jc w:val="right"/>
                                  </w:pPr>
                                  <w:r w:rsidRPr="000077D4">
                                    <w:t>75,000 lb</w:t>
                                  </w:r>
                                </w:p>
                              </w:tc>
                              <w:tc>
                                <w:tcPr>
                                  <w:tcW w:w="900" w:type="dxa"/>
                                  <w:vAlign w:val="center"/>
                                </w:tcPr>
                                <w:p w14:paraId="17EE33EA" w14:textId="760A8E41" w:rsidR="00E977A4" w:rsidRDefault="00E977A4" w:rsidP="00283B5B">
                                  <w:pPr>
                                    <w:pStyle w:val="TMGTableText"/>
                                    <w:jc w:val="center"/>
                                  </w:pPr>
                                  <w:r w:rsidRPr="000077D4">
                                    <w:t>1.95</w:t>
                                  </w:r>
                                </w:p>
                              </w:tc>
                            </w:tr>
                            <w:tr w:rsidR="00E977A4" w14:paraId="21C9DFA4" w14:textId="77777777" w:rsidTr="00283B5B">
                              <w:tc>
                                <w:tcPr>
                                  <w:tcW w:w="2335" w:type="dxa"/>
                                </w:tcPr>
                                <w:p w14:paraId="46BA14A6" w14:textId="24454EC2" w:rsidR="00E977A4" w:rsidRPr="00E977A4" w:rsidRDefault="00E977A4" w:rsidP="00917D58">
                                  <w:pPr>
                                    <w:pStyle w:val="TMGTableText"/>
                                  </w:pPr>
                                  <w:r w:rsidRPr="00E977A4">
                                    <w:t>Group Mean</w:t>
                                  </w:r>
                                </w:p>
                              </w:tc>
                              <w:tc>
                                <w:tcPr>
                                  <w:tcW w:w="1170" w:type="dxa"/>
                                  <w:vAlign w:val="center"/>
                                </w:tcPr>
                                <w:p w14:paraId="6BB6F6CC" w14:textId="11EB258C" w:rsidR="00E977A4" w:rsidRDefault="00E977A4" w:rsidP="00283B5B">
                                  <w:pPr>
                                    <w:pStyle w:val="TMGTableText"/>
                                    <w:jc w:val="right"/>
                                  </w:pPr>
                                  <w:r w:rsidRPr="000077D4">
                                    <w:t>59,000 lb</w:t>
                                  </w:r>
                                </w:p>
                              </w:tc>
                              <w:tc>
                                <w:tcPr>
                                  <w:tcW w:w="900" w:type="dxa"/>
                                  <w:vAlign w:val="center"/>
                                </w:tcPr>
                                <w:p w14:paraId="6526EFC9" w14:textId="050C20C3" w:rsidR="00E977A4" w:rsidRDefault="00E977A4" w:rsidP="00283B5B">
                                  <w:pPr>
                                    <w:pStyle w:val="TMGTableText"/>
                                    <w:jc w:val="center"/>
                                  </w:pPr>
                                  <w:r w:rsidRPr="000077D4">
                                    <w:t>1.71</w:t>
                                  </w:r>
                                </w:p>
                              </w:tc>
                            </w:tr>
                            <w:tr w:rsidR="00E977A4" w14:paraId="46775AB9" w14:textId="77777777" w:rsidTr="00283B5B">
                              <w:tc>
                                <w:tcPr>
                                  <w:tcW w:w="2335" w:type="dxa"/>
                                </w:tcPr>
                                <w:p w14:paraId="58956673" w14:textId="3D519575" w:rsidR="00E977A4" w:rsidRPr="00E977A4" w:rsidRDefault="00E977A4" w:rsidP="00917D58">
                                  <w:pPr>
                                    <w:pStyle w:val="TMGTableText"/>
                                  </w:pPr>
                                  <w:r w:rsidRPr="00E977A4">
                                    <w:t>Group Standard Deviation</w:t>
                                  </w:r>
                                </w:p>
                              </w:tc>
                              <w:tc>
                                <w:tcPr>
                                  <w:tcW w:w="1170" w:type="dxa"/>
                                  <w:vAlign w:val="center"/>
                                </w:tcPr>
                                <w:p w14:paraId="76883BBE" w14:textId="7DDF8151" w:rsidR="00E977A4" w:rsidRDefault="00E977A4" w:rsidP="00283B5B">
                                  <w:pPr>
                                    <w:pStyle w:val="TMGTableText"/>
                                    <w:jc w:val="right"/>
                                  </w:pPr>
                                  <w:r w:rsidRPr="000077D4">
                                    <w:t>11,600 lb</w:t>
                                  </w:r>
                                </w:p>
                              </w:tc>
                              <w:tc>
                                <w:tcPr>
                                  <w:tcW w:w="900" w:type="dxa"/>
                                  <w:vAlign w:val="center"/>
                                </w:tcPr>
                                <w:p w14:paraId="6368CC6D" w14:textId="0270FC23" w:rsidR="00E977A4" w:rsidRDefault="00E977A4" w:rsidP="00283B5B">
                                  <w:pPr>
                                    <w:pStyle w:val="TMGTableText"/>
                                    <w:jc w:val="center"/>
                                  </w:pPr>
                                  <w:r w:rsidRPr="000077D4">
                                    <w:t>0.22</w:t>
                                  </w:r>
                                </w:p>
                              </w:tc>
                            </w:tr>
                            <w:tr w:rsidR="00E977A4" w14:paraId="15417449" w14:textId="77777777" w:rsidTr="00283B5B">
                              <w:tc>
                                <w:tcPr>
                                  <w:tcW w:w="2335" w:type="dxa"/>
                                </w:tcPr>
                                <w:p w14:paraId="6BE03EF9" w14:textId="438579FF" w:rsidR="00E977A4" w:rsidRPr="00E977A4" w:rsidRDefault="00E977A4" w:rsidP="00917D58">
                                  <w:pPr>
                                    <w:pStyle w:val="TMGTableText"/>
                                  </w:pPr>
                                  <w:r w:rsidRPr="00E977A4">
                                    <w:t>Coefficient of Variation</w:t>
                                  </w:r>
                                </w:p>
                              </w:tc>
                              <w:tc>
                                <w:tcPr>
                                  <w:tcW w:w="1170" w:type="dxa"/>
                                  <w:vAlign w:val="center"/>
                                </w:tcPr>
                                <w:p w14:paraId="14DCD982" w14:textId="72A5F6B7" w:rsidR="00E977A4" w:rsidRDefault="00E977A4" w:rsidP="00283B5B">
                                  <w:pPr>
                                    <w:pStyle w:val="TMGTableText"/>
                                    <w:jc w:val="right"/>
                                  </w:pPr>
                                  <w:r w:rsidRPr="000077D4">
                                    <w:t>0.197</w:t>
                                  </w:r>
                                </w:p>
                              </w:tc>
                              <w:tc>
                                <w:tcPr>
                                  <w:tcW w:w="900" w:type="dxa"/>
                                  <w:vAlign w:val="center"/>
                                </w:tcPr>
                                <w:p w14:paraId="77911E39" w14:textId="63F6BB78" w:rsidR="00E977A4" w:rsidRDefault="00E977A4" w:rsidP="00283B5B">
                                  <w:pPr>
                                    <w:pStyle w:val="TMGTableText"/>
                                    <w:jc w:val="center"/>
                                  </w:pPr>
                                  <w:r w:rsidRPr="000077D4">
                                    <w:t>0.13</w:t>
                                  </w:r>
                                </w:p>
                              </w:tc>
                            </w:tr>
                            <w:tr w:rsidR="00E977A4" w14:paraId="63151786" w14:textId="77777777" w:rsidTr="00283B5B">
                              <w:tc>
                                <w:tcPr>
                                  <w:tcW w:w="2335" w:type="dxa"/>
                                </w:tcPr>
                                <w:p w14:paraId="0B16C680" w14:textId="0B82E781" w:rsidR="00E977A4" w:rsidRPr="00E977A4" w:rsidRDefault="00E977A4" w:rsidP="00917D58">
                                  <w:pPr>
                                    <w:pStyle w:val="TMGTableText"/>
                                  </w:pPr>
                                  <w:r w:rsidRPr="00E977A4">
                                    <w:t>Standard Error of Mean</w:t>
                                  </w:r>
                                </w:p>
                              </w:tc>
                              <w:tc>
                                <w:tcPr>
                                  <w:tcW w:w="1170" w:type="dxa"/>
                                  <w:vAlign w:val="center"/>
                                </w:tcPr>
                                <w:p w14:paraId="03C9D5E6" w14:textId="37F7EB79" w:rsidR="00E977A4" w:rsidRDefault="00E977A4" w:rsidP="00283B5B">
                                  <w:pPr>
                                    <w:pStyle w:val="TMGTableText"/>
                                    <w:jc w:val="right"/>
                                  </w:pPr>
                                  <w:r w:rsidRPr="000077D4">
                                    <w:t>3,900 lbs</w:t>
                                  </w:r>
                                </w:p>
                              </w:tc>
                              <w:tc>
                                <w:tcPr>
                                  <w:tcW w:w="900" w:type="dxa"/>
                                  <w:vAlign w:val="center"/>
                                </w:tcPr>
                                <w:p w14:paraId="711F9146" w14:textId="3D114FDB" w:rsidR="00E977A4" w:rsidRDefault="00E977A4" w:rsidP="00283B5B">
                                  <w:pPr>
                                    <w:pStyle w:val="TMGTableText"/>
                                    <w:jc w:val="center"/>
                                  </w:pPr>
                                  <w:r w:rsidRPr="000077D4">
                                    <w:t>0.07</w:t>
                                  </w:r>
                                </w:p>
                              </w:tc>
                            </w:tr>
                            <w:tr w:rsidR="00E977A4" w14:paraId="43CCC3DD" w14:textId="77777777" w:rsidTr="00283B5B">
                              <w:tc>
                                <w:tcPr>
                                  <w:tcW w:w="2335" w:type="dxa"/>
                                </w:tcPr>
                                <w:p w14:paraId="3B345B81" w14:textId="5C3168A9" w:rsidR="00E977A4" w:rsidRPr="00E977A4" w:rsidRDefault="00E977A4" w:rsidP="00917D58">
                                  <w:pPr>
                                    <w:pStyle w:val="TMGTableText"/>
                                  </w:pPr>
                                  <w:r w:rsidRPr="00E977A4">
                                    <w:t>Estimate of Precision for the Mean with 95 Percent Confidence*</w:t>
                                  </w:r>
                                </w:p>
                              </w:tc>
                              <w:tc>
                                <w:tcPr>
                                  <w:tcW w:w="1170" w:type="dxa"/>
                                  <w:vAlign w:val="center"/>
                                </w:tcPr>
                                <w:p w14:paraId="62A725F3" w14:textId="6E890F02" w:rsidR="00E977A4" w:rsidRDefault="00E977A4" w:rsidP="00283B5B">
                                  <w:pPr>
                                    <w:pStyle w:val="TMGTableText"/>
                                    <w:jc w:val="right"/>
                                  </w:pPr>
                                  <w:r w:rsidRPr="000077D4">
                                    <w:t>+/- 8,900 lb</w:t>
                                  </w:r>
                                </w:p>
                              </w:tc>
                              <w:tc>
                                <w:tcPr>
                                  <w:tcW w:w="900" w:type="dxa"/>
                                  <w:vAlign w:val="center"/>
                                </w:tcPr>
                                <w:p w14:paraId="4167BD0F" w14:textId="1B11A3FC" w:rsidR="00E977A4" w:rsidRDefault="00E977A4" w:rsidP="00283B5B">
                                  <w:pPr>
                                    <w:pStyle w:val="TMGTableText"/>
                                    <w:jc w:val="center"/>
                                  </w:pPr>
                                  <w:r w:rsidRPr="000077D4">
                                    <w:t>+/-0.17</w:t>
                                  </w:r>
                                </w:p>
                              </w:tc>
                            </w:tr>
                          </w:tbl>
                          <w:p w14:paraId="2CBA12F3" w14:textId="77777777" w:rsidR="002B5B49" w:rsidRPr="000077D4" w:rsidRDefault="002B5B49" w:rsidP="002B5B49">
                            <w:pPr>
                              <w:pStyle w:val="Source"/>
                              <w:spacing w:before="60" w:after="0"/>
                            </w:pPr>
                            <w:r w:rsidRPr="000077D4">
                              <w:t>* for a critical value for t-interval equal to 2.306 for eight degrees of freedom (9 sites minus 1)</w:t>
                            </w:r>
                          </w:p>
                          <w:p w14:paraId="2182BFD7" w14:textId="77777777" w:rsidR="00E977A4" w:rsidRDefault="00E977A4" w:rsidP="002B5B49"/>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61C5DDC" id="_x0000_s1103" type="#_x0000_t202" style="position:absolute;margin-left:246.35pt;margin-top:17.9pt;width:221.75pt;height:325.3pt;z-index:251715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" stroked="f">
                <v:textbox inset="0,0,0,0">
                  <w:txbxContent>
                    <w:p w14:paraId="1280E60A" w14:textId="6C3B3CC3" w:rsidR="00E977A4" w:rsidRDefault="00E977A4" w:rsidP="00E977A4">
                      <w:pPr>
                        <w:pStyle w:val="TMGTableCaption"/>
                        <w:spacing w:before="0"/>
                      </w:pPr>
                      <w:bookmarkStart w:id="1912" w:name="_Ref114750089"/>
                      <w:bookmarkStart w:id="1913" w:name="_Toc54784722"/>
                      <w:bookmarkStart w:id="1914" w:name="_Toc68874121"/>
                      <w:bookmarkStart w:id="1915" w:name="_Toc114474834"/>
                      <w:bookmarkStart w:id="1916" w:name="_Toc120631140"/>
                      <w:r w:rsidRPr="00824DC3">
                        <w:t xml:space="preserve">Table </w:t>
                      </w:r>
                      <w:fldSimple w:instr=" STYLEREF 1 \s ">
                        <w:r w:rsidR="00FC0E95">
                          <w:rPr>
                            <w:noProof/>
                          </w:rPr>
                          <w:t>3</w:t>
                        </w:r>
                      </w:fldSimple>
                      <w:r>
                        <w:noBreakHyphen/>
                      </w:r>
                      <w:fldSimple w:instr=" SEQ Table \* ARABIC \s 1 ">
                        <w:r w:rsidR="00FC0E95">
                          <w:rPr>
                            <w:noProof/>
                          </w:rPr>
                          <w:t>14</w:t>
                        </w:r>
                      </w:fldSimple>
                      <w:bookmarkEnd w:id="1912"/>
                      <w:r w:rsidR="00352273">
                        <w:t>.</w:t>
                      </w:r>
                      <w:r w:rsidRPr="00031DC6">
                        <w:t xml:space="preserve"> Statistics Used </w:t>
                      </w:r>
                      <w:r>
                        <w:t>f</w:t>
                      </w:r>
                      <w:r w:rsidRPr="00031DC6">
                        <w:t>or</w:t>
                      </w:r>
                      <w:r>
                        <w:br/>
                      </w:r>
                      <w:r w:rsidRPr="00031DC6">
                        <w:t>Sample Size Computation</w:t>
                      </w:r>
                      <w:bookmarkEnd w:id="1913"/>
                      <w:bookmarkEnd w:id="1914"/>
                      <w:bookmarkEnd w:id="1915"/>
                      <w:bookmarkEnd w:id="1916"/>
                    </w:p>
                    <w:tbl>
                      <w:tblPr>
                        <w:tblStyle w:val="TableGrid"/>
                        <w:tblW w:w="0" w:type="auto"/>
                        <w:tblCellMar>
                          <w:left w:w="86" w:type="dxa"/>
                          <w:right w:w="86" w:type="dxa"/>
                        </w:tblCellMar>
                        <w:tblLook w:val="04A0" w:firstRow="1" w:lastRow="0" w:firstColumn="1" w:lastColumn="0" w:noHBand="0" w:noVBand="1"/>
                      </w:tblPr>
                      <w:tblGrid>
                        <w:gridCol w:w="2335"/>
                        <w:gridCol w:w="1170"/>
                        <w:gridCol w:w="900"/>
                      </w:tblGrid>
                      <w:tr w:rsidR="00E977A4" w14:paraId="7B060F0B" w14:textId="77777777" w:rsidTr="002B5B49">
                        <w:tc>
                          <w:tcPr>
                            <w:tcW w:w="2335" w:type="dxa"/>
                            <w:tcBorders>
                              <w:right w:val="single" w:sz="4" w:space="0" w:color="FFFFFF" w:themeColor="background1"/>
                            </w:tcBorders>
                            <w:shd w:val="clear" w:color="auto" w:fill="1F3864"/>
                            <w:vAlign w:val="center"/>
                          </w:tcPr>
                          <w:p w14:paraId="7605BA83" w14:textId="77777777" w:rsidR="00E977A4" w:rsidRDefault="00E977A4" w:rsidP="0017389B">
                            <w:pPr>
                              <w:pStyle w:val="TMGTableTextHeader"/>
                            </w:pPr>
                            <w:r w:rsidRPr="004859C8">
                              <w:t>Site</w:t>
                            </w:r>
                          </w:p>
                        </w:tc>
                        <w:tc>
                          <w:tcPr>
                            <w:tcW w:w="1170" w:type="dxa"/>
                            <w:tcBorders>
                              <w:left w:val="single" w:sz="4" w:space="0" w:color="FFFFFF" w:themeColor="background1"/>
                              <w:right w:val="single" w:sz="4" w:space="0" w:color="FFFFFF" w:themeColor="background1"/>
                            </w:tcBorders>
                            <w:shd w:val="clear" w:color="auto" w:fill="1F3864"/>
                            <w:vAlign w:val="center"/>
                          </w:tcPr>
                          <w:p w14:paraId="54D12C39" w14:textId="5CC7ADE2" w:rsidR="00E977A4" w:rsidRDefault="00E977A4" w:rsidP="0017389B">
                            <w:pPr>
                              <w:pStyle w:val="TMGTableTextHeader"/>
                            </w:pPr>
                            <w:r w:rsidRPr="00BC10C3">
                              <w:t>Mean Class 9 GVW</w:t>
                            </w:r>
                          </w:p>
                        </w:tc>
                        <w:tc>
                          <w:tcPr>
                            <w:tcW w:w="900" w:type="dxa"/>
                            <w:tcBorders>
                              <w:left w:val="single" w:sz="4" w:space="0" w:color="FFFFFF" w:themeColor="background1"/>
                            </w:tcBorders>
                            <w:shd w:val="clear" w:color="auto" w:fill="1F3864"/>
                          </w:tcPr>
                          <w:p w14:paraId="779A71A0" w14:textId="40E75E51" w:rsidR="00E977A4" w:rsidRDefault="00E977A4" w:rsidP="0017389B">
                            <w:pPr>
                              <w:pStyle w:val="TMGTableTextHeader"/>
                            </w:pPr>
                            <w:r w:rsidRPr="00BC10C3">
                              <w:t>Mean Class 9 ESAL</w:t>
                            </w:r>
                          </w:p>
                        </w:tc>
                      </w:tr>
                      <w:tr w:rsidR="00E977A4" w14:paraId="1148C795" w14:textId="77777777" w:rsidTr="00283B5B">
                        <w:tc>
                          <w:tcPr>
                            <w:tcW w:w="2335" w:type="dxa"/>
                            <w:vAlign w:val="center"/>
                          </w:tcPr>
                          <w:p w14:paraId="327C0605" w14:textId="192F77EE" w:rsidR="00E977A4" w:rsidRPr="00E977A4" w:rsidRDefault="00E977A4" w:rsidP="00283B5B">
                            <w:pPr>
                              <w:pStyle w:val="TMGTableText"/>
                              <w:jc w:val="center"/>
                            </w:pPr>
                            <w:r w:rsidRPr="00E977A4">
                              <w:t>1</w:t>
                            </w:r>
                          </w:p>
                        </w:tc>
                        <w:tc>
                          <w:tcPr>
                            <w:tcW w:w="1170" w:type="dxa"/>
                            <w:vAlign w:val="center"/>
                          </w:tcPr>
                          <w:p w14:paraId="5AFFAC61" w14:textId="4D1895B7" w:rsidR="00E977A4" w:rsidRDefault="00E977A4" w:rsidP="00283B5B">
                            <w:pPr>
                              <w:pStyle w:val="TMGTableText"/>
                              <w:jc w:val="right"/>
                            </w:pPr>
                            <w:r w:rsidRPr="000077D4">
                              <w:t>50,000 lb</w:t>
                            </w:r>
                          </w:p>
                        </w:tc>
                        <w:tc>
                          <w:tcPr>
                            <w:tcW w:w="900" w:type="dxa"/>
                            <w:vAlign w:val="center"/>
                          </w:tcPr>
                          <w:p w14:paraId="1D84F8C8" w14:textId="4334666C" w:rsidR="00E977A4" w:rsidRDefault="00E977A4" w:rsidP="00283B5B">
                            <w:pPr>
                              <w:pStyle w:val="TMGTableText"/>
                              <w:jc w:val="center"/>
                            </w:pPr>
                            <w:r w:rsidRPr="000077D4">
                              <w:t>1.64</w:t>
                            </w:r>
                          </w:p>
                        </w:tc>
                      </w:tr>
                      <w:tr w:rsidR="00E977A4" w14:paraId="79CCCF93" w14:textId="77777777" w:rsidTr="00283B5B">
                        <w:tc>
                          <w:tcPr>
                            <w:tcW w:w="2335" w:type="dxa"/>
                            <w:vAlign w:val="center"/>
                          </w:tcPr>
                          <w:p w14:paraId="301D5813" w14:textId="4C4A0803" w:rsidR="00E977A4" w:rsidRPr="00E977A4" w:rsidRDefault="00E977A4" w:rsidP="00283B5B">
                            <w:pPr>
                              <w:pStyle w:val="TMGTableText"/>
                              <w:jc w:val="center"/>
                            </w:pPr>
                            <w:r w:rsidRPr="00E977A4">
                              <w:t>2</w:t>
                            </w:r>
                          </w:p>
                        </w:tc>
                        <w:tc>
                          <w:tcPr>
                            <w:tcW w:w="1170" w:type="dxa"/>
                            <w:vAlign w:val="center"/>
                          </w:tcPr>
                          <w:p w14:paraId="70C8AC89" w14:textId="4F223F91" w:rsidR="00E977A4" w:rsidRDefault="00E977A4" w:rsidP="00283B5B">
                            <w:pPr>
                              <w:pStyle w:val="TMGTableText"/>
                              <w:jc w:val="right"/>
                            </w:pPr>
                            <w:r w:rsidRPr="000077D4">
                              <w:t>57,000 lb</w:t>
                            </w:r>
                          </w:p>
                        </w:tc>
                        <w:tc>
                          <w:tcPr>
                            <w:tcW w:w="900" w:type="dxa"/>
                            <w:vAlign w:val="center"/>
                          </w:tcPr>
                          <w:p w14:paraId="5D900997" w14:textId="6FED8DC4" w:rsidR="00E977A4" w:rsidRDefault="00E977A4" w:rsidP="00283B5B">
                            <w:pPr>
                              <w:pStyle w:val="TMGTableText"/>
                              <w:jc w:val="center"/>
                            </w:pPr>
                            <w:r w:rsidRPr="000077D4">
                              <w:t>1.72</w:t>
                            </w:r>
                          </w:p>
                        </w:tc>
                      </w:tr>
                      <w:tr w:rsidR="00E977A4" w14:paraId="4A9C9B2D" w14:textId="77777777" w:rsidTr="00283B5B">
                        <w:tc>
                          <w:tcPr>
                            <w:tcW w:w="2335" w:type="dxa"/>
                            <w:vAlign w:val="center"/>
                          </w:tcPr>
                          <w:p w14:paraId="414445EB" w14:textId="07648E38" w:rsidR="00E977A4" w:rsidRPr="00E977A4" w:rsidRDefault="00E977A4" w:rsidP="00283B5B">
                            <w:pPr>
                              <w:pStyle w:val="TMGTableText"/>
                              <w:jc w:val="center"/>
                            </w:pPr>
                            <w:r w:rsidRPr="00E977A4">
                              <w:t>3</w:t>
                            </w:r>
                          </w:p>
                        </w:tc>
                        <w:tc>
                          <w:tcPr>
                            <w:tcW w:w="1170" w:type="dxa"/>
                            <w:vAlign w:val="center"/>
                          </w:tcPr>
                          <w:p w14:paraId="733B2A99" w14:textId="37B0B11E" w:rsidR="00E977A4" w:rsidRDefault="00E977A4" w:rsidP="00283B5B">
                            <w:pPr>
                              <w:pStyle w:val="TMGTableText"/>
                              <w:jc w:val="right"/>
                            </w:pPr>
                            <w:r w:rsidRPr="000077D4">
                              <w:t>64,000 lb</w:t>
                            </w:r>
                          </w:p>
                        </w:tc>
                        <w:tc>
                          <w:tcPr>
                            <w:tcW w:w="900" w:type="dxa"/>
                            <w:vAlign w:val="center"/>
                          </w:tcPr>
                          <w:p w14:paraId="3FDE34CE" w14:textId="10879D46" w:rsidR="00E977A4" w:rsidRDefault="00E977A4" w:rsidP="00283B5B">
                            <w:pPr>
                              <w:pStyle w:val="TMGTableText"/>
                              <w:jc w:val="center"/>
                            </w:pPr>
                            <w:r w:rsidRPr="000077D4">
                              <w:t>1.84</w:t>
                            </w:r>
                          </w:p>
                        </w:tc>
                      </w:tr>
                      <w:tr w:rsidR="00E977A4" w14:paraId="2CCBDF6E" w14:textId="77777777" w:rsidTr="00283B5B">
                        <w:tc>
                          <w:tcPr>
                            <w:tcW w:w="2335" w:type="dxa"/>
                            <w:vAlign w:val="center"/>
                          </w:tcPr>
                          <w:p w14:paraId="74F9ED1A" w14:textId="3DA943F2" w:rsidR="00E977A4" w:rsidRPr="00E977A4" w:rsidRDefault="00E977A4" w:rsidP="00283B5B">
                            <w:pPr>
                              <w:pStyle w:val="TMGTableText"/>
                              <w:jc w:val="center"/>
                            </w:pPr>
                            <w:r w:rsidRPr="00E977A4">
                              <w:t>4</w:t>
                            </w:r>
                          </w:p>
                        </w:tc>
                        <w:tc>
                          <w:tcPr>
                            <w:tcW w:w="1170" w:type="dxa"/>
                            <w:vAlign w:val="center"/>
                          </w:tcPr>
                          <w:p w14:paraId="330A03E5" w14:textId="21A079A0" w:rsidR="00E977A4" w:rsidRDefault="00E977A4" w:rsidP="00283B5B">
                            <w:pPr>
                              <w:pStyle w:val="TMGTableText"/>
                              <w:jc w:val="right"/>
                            </w:pPr>
                            <w:r w:rsidRPr="000077D4">
                              <w:t>46,000 lb</w:t>
                            </w:r>
                          </w:p>
                        </w:tc>
                        <w:tc>
                          <w:tcPr>
                            <w:tcW w:w="900" w:type="dxa"/>
                            <w:vAlign w:val="center"/>
                          </w:tcPr>
                          <w:p w14:paraId="22442F00" w14:textId="2466B962" w:rsidR="00E977A4" w:rsidRDefault="00E977A4" w:rsidP="00283B5B">
                            <w:pPr>
                              <w:pStyle w:val="TMGTableText"/>
                              <w:jc w:val="center"/>
                            </w:pPr>
                            <w:r w:rsidRPr="000077D4">
                              <w:t>1.45</w:t>
                            </w:r>
                          </w:p>
                        </w:tc>
                      </w:tr>
                      <w:tr w:rsidR="00E977A4" w14:paraId="756E4901" w14:textId="77777777" w:rsidTr="00283B5B">
                        <w:tc>
                          <w:tcPr>
                            <w:tcW w:w="2335" w:type="dxa"/>
                            <w:vAlign w:val="center"/>
                          </w:tcPr>
                          <w:p w14:paraId="4AA091FE" w14:textId="13E2984E" w:rsidR="00E977A4" w:rsidRPr="00E977A4" w:rsidRDefault="00E977A4" w:rsidP="00283B5B">
                            <w:pPr>
                              <w:pStyle w:val="TMGTableText"/>
                              <w:jc w:val="center"/>
                            </w:pPr>
                            <w:r w:rsidRPr="00E977A4">
                              <w:t>5</w:t>
                            </w:r>
                          </w:p>
                        </w:tc>
                        <w:tc>
                          <w:tcPr>
                            <w:tcW w:w="1170" w:type="dxa"/>
                            <w:vAlign w:val="center"/>
                          </w:tcPr>
                          <w:p w14:paraId="0D0D9D09" w14:textId="76F9A88C" w:rsidR="00E977A4" w:rsidRDefault="00E977A4" w:rsidP="00283B5B">
                            <w:pPr>
                              <w:pStyle w:val="TMGTableText"/>
                              <w:jc w:val="right"/>
                            </w:pPr>
                            <w:r w:rsidRPr="000077D4">
                              <w:t>45,000 lb</w:t>
                            </w:r>
                          </w:p>
                        </w:tc>
                        <w:tc>
                          <w:tcPr>
                            <w:tcW w:w="900" w:type="dxa"/>
                            <w:vAlign w:val="center"/>
                          </w:tcPr>
                          <w:p w14:paraId="5E4E1AFD" w14:textId="62C3F63F" w:rsidR="00E977A4" w:rsidRDefault="00E977A4" w:rsidP="00283B5B">
                            <w:pPr>
                              <w:pStyle w:val="TMGTableText"/>
                              <w:jc w:val="center"/>
                            </w:pPr>
                            <w:r w:rsidRPr="000077D4">
                              <w:t>1.34</w:t>
                            </w:r>
                          </w:p>
                        </w:tc>
                      </w:tr>
                      <w:tr w:rsidR="00E977A4" w14:paraId="334A5238" w14:textId="77777777" w:rsidTr="00283B5B">
                        <w:tc>
                          <w:tcPr>
                            <w:tcW w:w="2335" w:type="dxa"/>
                            <w:vAlign w:val="center"/>
                          </w:tcPr>
                          <w:p w14:paraId="1EB7B2AA" w14:textId="12CAC49A" w:rsidR="00E977A4" w:rsidRPr="00E977A4" w:rsidRDefault="00E977A4" w:rsidP="00283B5B">
                            <w:pPr>
                              <w:pStyle w:val="TMGTableText"/>
                              <w:jc w:val="center"/>
                            </w:pPr>
                            <w:r w:rsidRPr="00E977A4">
                              <w:t>6</w:t>
                            </w:r>
                          </w:p>
                        </w:tc>
                        <w:tc>
                          <w:tcPr>
                            <w:tcW w:w="1170" w:type="dxa"/>
                            <w:vAlign w:val="center"/>
                          </w:tcPr>
                          <w:p w14:paraId="084DF8A8" w14:textId="07E50923" w:rsidR="00E977A4" w:rsidRDefault="00E977A4" w:rsidP="00283B5B">
                            <w:pPr>
                              <w:pStyle w:val="TMGTableText"/>
                              <w:jc w:val="right"/>
                            </w:pPr>
                            <w:r w:rsidRPr="000077D4">
                              <w:t>55,000 lb</w:t>
                            </w:r>
                          </w:p>
                        </w:tc>
                        <w:tc>
                          <w:tcPr>
                            <w:tcW w:w="900" w:type="dxa"/>
                            <w:vAlign w:val="center"/>
                          </w:tcPr>
                          <w:p w14:paraId="3248F0CA" w14:textId="789C383D" w:rsidR="00E977A4" w:rsidRDefault="00E977A4" w:rsidP="00283B5B">
                            <w:pPr>
                              <w:pStyle w:val="TMGTableText"/>
                              <w:jc w:val="center"/>
                            </w:pPr>
                            <w:r w:rsidRPr="000077D4">
                              <w:t>1.65</w:t>
                            </w:r>
                          </w:p>
                        </w:tc>
                      </w:tr>
                      <w:tr w:rsidR="00E977A4" w14:paraId="4B04942D" w14:textId="77777777" w:rsidTr="00283B5B">
                        <w:tc>
                          <w:tcPr>
                            <w:tcW w:w="2335" w:type="dxa"/>
                            <w:vAlign w:val="center"/>
                          </w:tcPr>
                          <w:p w14:paraId="24473CEE" w14:textId="1C2662AA" w:rsidR="00E977A4" w:rsidRPr="00E977A4" w:rsidRDefault="00E977A4" w:rsidP="00283B5B">
                            <w:pPr>
                              <w:pStyle w:val="TMGTableText"/>
                              <w:jc w:val="center"/>
                            </w:pPr>
                            <w:r w:rsidRPr="00E977A4">
                              <w:t>7</w:t>
                            </w:r>
                          </w:p>
                        </w:tc>
                        <w:tc>
                          <w:tcPr>
                            <w:tcW w:w="1170" w:type="dxa"/>
                            <w:vAlign w:val="center"/>
                          </w:tcPr>
                          <w:p w14:paraId="5BF93241" w14:textId="07A3D9D2" w:rsidR="00E977A4" w:rsidRDefault="00E977A4" w:rsidP="00283B5B">
                            <w:pPr>
                              <w:pStyle w:val="TMGTableText"/>
                              <w:jc w:val="right"/>
                            </w:pPr>
                            <w:r w:rsidRPr="000077D4">
                              <w:t>62,000 lb</w:t>
                            </w:r>
                          </w:p>
                        </w:tc>
                        <w:tc>
                          <w:tcPr>
                            <w:tcW w:w="900" w:type="dxa"/>
                            <w:vAlign w:val="center"/>
                          </w:tcPr>
                          <w:p w14:paraId="0209BF82" w14:textId="33E7FA66" w:rsidR="00E977A4" w:rsidRDefault="00E977A4" w:rsidP="00283B5B">
                            <w:pPr>
                              <w:pStyle w:val="TMGTableText"/>
                              <w:jc w:val="center"/>
                            </w:pPr>
                            <w:r w:rsidRPr="000077D4">
                              <w:t>1.78</w:t>
                            </w:r>
                          </w:p>
                        </w:tc>
                      </w:tr>
                      <w:tr w:rsidR="00E977A4" w14:paraId="3F5B6E43" w14:textId="77777777" w:rsidTr="00283B5B">
                        <w:tc>
                          <w:tcPr>
                            <w:tcW w:w="2335" w:type="dxa"/>
                            <w:vAlign w:val="center"/>
                          </w:tcPr>
                          <w:p w14:paraId="09B553CD" w14:textId="657DDBDE" w:rsidR="00E977A4" w:rsidRPr="00E977A4" w:rsidRDefault="00E977A4" w:rsidP="00283B5B">
                            <w:pPr>
                              <w:pStyle w:val="TMGTableText"/>
                              <w:jc w:val="center"/>
                            </w:pPr>
                            <w:r w:rsidRPr="00E977A4">
                              <w:t>8</w:t>
                            </w:r>
                          </w:p>
                        </w:tc>
                        <w:tc>
                          <w:tcPr>
                            <w:tcW w:w="1170" w:type="dxa"/>
                            <w:vAlign w:val="center"/>
                          </w:tcPr>
                          <w:p w14:paraId="0C5C949A" w14:textId="2868B20F" w:rsidR="00E977A4" w:rsidRDefault="00E977A4" w:rsidP="00283B5B">
                            <w:pPr>
                              <w:pStyle w:val="TMGTableText"/>
                              <w:jc w:val="right"/>
                            </w:pPr>
                            <w:r w:rsidRPr="000077D4">
                              <w:t>77,000 lb</w:t>
                            </w:r>
                          </w:p>
                        </w:tc>
                        <w:tc>
                          <w:tcPr>
                            <w:tcW w:w="900" w:type="dxa"/>
                            <w:vAlign w:val="center"/>
                          </w:tcPr>
                          <w:p w14:paraId="56BD831A" w14:textId="5383BE31" w:rsidR="00E977A4" w:rsidRDefault="00E977A4" w:rsidP="00283B5B">
                            <w:pPr>
                              <w:pStyle w:val="TMGTableText"/>
                              <w:jc w:val="center"/>
                            </w:pPr>
                            <w:r w:rsidRPr="000077D4">
                              <w:t>2.01</w:t>
                            </w:r>
                          </w:p>
                        </w:tc>
                      </w:tr>
                      <w:tr w:rsidR="00E977A4" w14:paraId="284A5560" w14:textId="77777777" w:rsidTr="00283B5B">
                        <w:tc>
                          <w:tcPr>
                            <w:tcW w:w="2335" w:type="dxa"/>
                            <w:vAlign w:val="center"/>
                          </w:tcPr>
                          <w:p w14:paraId="31A1D6CF" w14:textId="0024485A" w:rsidR="00E977A4" w:rsidRPr="00E977A4" w:rsidRDefault="00E977A4" w:rsidP="00283B5B">
                            <w:pPr>
                              <w:pStyle w:val="TMGTableText"/>
                              <w:jc w:val="center"/>
                            </w:pPr>
                            <w:r w:rsidRPr="00E977A4">
                              <w:t>9</w:t>
                            </w:r>
                          </w:p>
                        </w:tc>
                        <w:tc>
                          <w:tcPr>
                            <w:tcW w:w="1170" w:type="dxa"/>
                            <w:vAlign w:val="center"/>
                          </w:tcPr>
                          <w:p w14:paraId="28BA8E34" w14:textId="0AF8636A" w:rsidR="00E977A4" w:rsidRDefault="00E977A4" w:rsidP="00283B5B">
                            <w:pPr>
                              <w:pStyle w:val="TMGTableText"/>
                              <w:jc w:val="right"/>
                            </w:pPr>
                            <w:r w:rsidRPr="000077D4">
                              <w:t>75,000 lb</w:t>
                            </w:r>
                          </w:p>
                        </w:tc>
                        <w:tc>
                          <w:tcPr>
                            <w:tcW w:w="900" w:type="dxa"/>
                            <w:vAlign w:val="center"/>
                          </w:tcPr>
                          <w:p w14:paraId="17EE33EA" w14:textId="760A8E41" w:rsidR="00E977A4" w:rsidRDefault="00E977A4" w:rsidP="00283B5B">
                            <w:pPr>
                              <w:pStyle w:val="TMGTableText"/>
                              <w:jc w:val="center"/>
                            </w:pPr>
                            <w:r w:rsidRPr="000077D4">
                              <w:t>1.95</w:t>
                            </w:r>
                          </w:p>
                        </w:tc>
                      </w:tr>
                      <w:tr w:rsidR="00E977A4" w14:paraId="21C9DFA4" w14:textId="77777777" w:rsidTr="00283B5B">
                        <w:tc>
                          <w:tcPr>
                            <w:tcW w:w="2335" w:type="dxa"/>
                          </w:tcPr>
                          <w:p w14:paraId="46BA14A6" w14:textId="24454EC2" w:rsidR="00E977A4" w:rsidRPr="00E977A4" w:rsidRDefault="00E977A4" w:rsidP="00917D58">
                            <w:pPr>
                              <w:pStyle w:val="TMGTableText"/>
                            </w:pPr>
                            <w:r w:rsidRPr="00E977A4">
                              <w:t>Group Mean</w:t>
                            </w:r>
                          </w:p>
                        </w:tc>
                        <w:tc>
                          <w:tcPr>
                            <w:tcW w:w="1170" w:type="dxa"/>
                            <w:vAlign w:val="center"/>
                          </w:tcPr>
                          <w:p w14:paraId="6BB6F6CC" w14:textId="11EB258C" w:rsidR="00E977A4" w:rsidRDefault="00E977A4" w:rsidP="00283B5B">
                            <w:pPr>
                              <w:pStyle w:val="TMGTableText"/>
                              <w:jc w:val="right"/>
                            </w:pPr>
                            <w:r w:rsidRPr="000077D4">
                              <w:t>59,000 lb</w:t>
                            </w:r>
                          </w:p>
                        </w:tc>
                        <w:tc>
                          <w:tcPr>
                            <w:tcW w:w="900" w:type="dxa"/>
                            <w:vAlign w:val="center"/>
                          </w:tcPr>
                          <w:p w14:paraId="6526EFC9" w14:textId="050C20C3" w:rsidR="00E977A4" w:rsidRDefault="00E977A4" w:rsidP="00283B5B">
                            <w:pPr>
                              <w:pStyle w:val="TMGTableText"/>
                              <w:jc w:val="center"/>
                            </w:pPr>
                            <w:r w:rsidRPr="000077D4">
                              <w:t>1.71</w:t>
                            </w:r>
                          </w:p>
                        </w:tc>
                      </w:tr>
                      <w:tr w:rsidR="00E977A4" w14:paraId="46775AB9" w14:textId="77777777" w:rsidTr="00283B5B">
                        <w:tc>
                          <w:tcPr>
                            <w:tcW w:w="2335" w:type="dxa"/>
                          </w:tcPr>
                          <w:p w14:paraId="58956673" w14:textId="3D519575" w:rsidR="00E977A4" w:rsidRPr="00E977A4" w:rsidRDefault="00E977A4" w:rsidP="00917D58">
                            <w:pPr>
                              <w:pStyle w:val="TMGTableText"/>
                            </w:pPr>
                            <w:r w:rsidRPr="00E977A4">
                              <w:t>Group Standard Deviation</w:t>
                            </w:r>
                          </w:p>
                        </w:tc>
                        <w:tc>
                          <w:tcPr>
                            <w:tcW w:w="1170" w:type="dxa"/>
                            <w:vAlign w:val="center"/>
                          </w:tcPr>
                          <w:p w14:paraId="76883BBE" w14:textId="7DDF8151" w:rsidR="00E977A4" w:rsidRDefault="00E977A4" w:rsidP="00283B5B">
                            <w:pPr>
                              <w:pStyle w:val="TMGTableText"/>
                              <w:jc w:val="right"/>
                            </w:pPr>
                            <w:r w:rsidRPr="000077D4">
                              <w:t>11,600 lb</w:t>
                            </w:r>
                          </w:p>
                        </w:tc>
                        <w:tc>
                          <w:tcPr>
                            <w:tcW w:w="900" w:type="dxa"/>
                            <w:vAlign w:val="center"/>
                          </w:tcPr>
                          <w:p w14:paraId="6368CC6D" w14:textId="0270FC23" w:rsidR="00E977A4" w:rsidRDefault="00E977A4" w:rsidP="00283B5B">
                            <w:pPr>
                              <w:pStyle w:val="TMGTableText"/>
                              <w:jc w:val="center"/>
                            </w:pPr>
                            <w:r w:rsidRPr="000077D4">
                              <w:t>0.22</w:t>
                            </w:r>
                          </w:p>
                        </w:tc>
                      </w:tr>
                      <w:tr w:rsidR="00E977A4" w14:paraId="15417449" w14:textId="77777777" w:rsidTr="00283B5B">
                        <w:tc>
                          <w:tcPr>
                            <w:tcW w:w="2335" w:type="dxa"/>
                          </w:tcPr>
                          <w:p w14:paraId="6BE03EF9" w14:textId="438579FF" w:rsidR="00E977A4" w:rsidRPr="00E977A4" w:rsidRDefault="00E977A4" w:rsidP="00917D58">
                            <w:pPr>
                              <w:pStyle w:val="TMGTableText"/>
                            </w:pPr>
                            <w:r w:rsidRPr="00E977A4">
                              <w:t>Coefficient of Variation</w:t>
                            </w:r>
                          </w:p>
                        </w:tc>
                        <w:tc>
                          <w:tcPr>
                            <w:tcW w:w="1170" w:type="dxa"/>
                            <w:vAlign w:val="center"/>
                          </w:tcPr>
                          <w:p w14:paraId="14DCD982" w14:textId="72A5F6B7" w:rsidR="00E977A4" w:rsidRDefault="00E977A4" w:rsidP="00283B5B">
                            <w:pPr>
                              <w:pStyle w:val="TMGTableText"/>
                              <w:jc w:val="right"/>
                            </w:pPr>
                            <w:r w:rsidRPr="000077D4">
                              <w:t>0.197</w:t>
                            </w:r>
                          </w:p>
                        </w:tc>
                        <w:tc>
                          <w:tcPr>
                            <w:tcW w:w="900" w:type="dxa"/>
                            <w:vAlign w:val="center"/>
                          </w:tcPr>
                          <w:p w14:paraId="77911E39" w14:textId="63F6BB78" w:rsidR="00E977A4" w:rsidRDefault="00E977A4" w:rsidP="00283B5B">
                            <w:pPr>
                              <w:pStyle w:val="TMGTableText"/>
                              <w:jc w:val="center"/>
                            </w:pPr>
                            <w:r w:rsidRPr="000077D4">
                              <w:t>0.13</w:t>
                            </w:r>
                          </w:p>
                        </w:tc>
                      </w:tr>
                      <w:tr w:rsidR="00E977A4" w14:paraId="63151786" w14:textId="77777777" w:rsidTr="00283B5B">
                        <w:tc>
                          <w:tcPr>
                            <w:tcW w:w="2335" w:type="dxa"/>
                          </w:tcPr>
                          <w:p w14:paraId="0B16C680" w14:textId="0B82E781" w:rsidR="00E977A4" w:rsidRPr="00E977A4" w:rsidRDefault="00E977A4" w:rsidP="00917D58">
                            <w:pPr>
                              <w:pStyle w:val="TMGTableText"/>
                            </w:pPr>
                            <w:r w:rsidRPr="00E977A4">
                              <w:t>Standard Error of Mean</w:t>
                            </w:r>
                          </w:p>
                        </w:tc>
                        <w:tc>
                          <w:tcPr>
                            <w:tcW w:w="1170" w:type="dxa"/>
                            <w:vAlign w:val="center"/>
                          </w:tcPr>
                          <w:p w14:paraId="03C9D5E6" w14:textId="37F7EB79" w:rsidR="00E977A4" w:rsidRDefault="00E977A4" w:rsidP="00283B5B">
                            <w:pPr>
                              <w:pStyle w:val="TMGTableText"/>
                              <w:jc w:val="right"/>
                            </w:pPr>
                            <w:r w:rsidRPr="000077D4">
                              <w:t>3,900 lbs</w:t>
                            </w:r>
                          </w:p>
                        </w:tc>
                        <w:tc>
                          <w:tcPr>
                            <w:tcW w:w="900" w:type="dxa"/>
                            <w:vAlign w:val="center"/>
                          </w:tcPr>
                          <w:p w14:paraId="711F9146" w14:textId="3D114FDB" w:rsidR="00E977A4" w:rsidRDefault="00E977A4" w:rsidP="00283B5B">
                            <w:pPr>
                              <w:pStyle w:val="TMGTableText"/>
                              <w:jc w:val="center"/>
                            </w:pPr>
                            <w:r w:rsidRPr="000077D4">
                              <w:t>0.07</w:t>
                            </w:r>
                          </w:p>
                        </w:tc>
                      </w:tr>
                      <w:tr w:rsidR="00E977A4" w14:paraId="43CCC3DD" w14:textId="77777777" w:rsidTr="00283B5B">
                        <w:tc>
                          <w:tcPr>
                            <w:tcW w:w="2335" w:type="dxa"/>
                          </w:tcPr>
                          <w:p w14:paraId="3B345B81" w14:textId="5C3168A9" w:rsidR="00E977A4" w:rsidRPr="00E977A4" w:rsidRDefault="00E977A4" w:rsidP="00917D58">
                            <w:pPr>
                              <w:pStyle w:val="TMGTableText"/>
                            </w:pPr>
                            <w:r w:rsidRPr="00E977A4">
                              <w:t>Estimate of Precision for the Mean with 95 Percent Confidence*</w:t>
                            </w:r>
                          </w:p>
                        </w:tc>
                        <w:tc>
                          <w:tcPr>
                            <w:tcW w:w="1170" w:type="dxa"/>
                            <w:vAlign w:val="center"/>
                          </w:tcPr>
                          <w:p w14:paraId="62A725F3" w14:textId="6E890F02" w:rsidR="00E977A4" w:rsidRDefault="00E977A4" w:rsidP="00283B5B">
                            <w:pPr>
                              <w:pStyle w:val="TMGTableText"/>
                              <w:jc w:val="right"/>
                            </w:pPr>
                            <w:r w:rsidRPr="000077D4">
                              <w:t>+/- 8,900 lb</w:t>
                            </w:r>
                          </w:p>
                        </w:tc>
                        <w:tc>
                          <w:tcPr>
                            <w:tcW w:w="900" w:type="dxa"/>
                            <w:vAlign w:val="center"/>
                          </w:tcPr>
                          <w:p w14:paraId="4167BD0F" w14:textId="1B11A3FC" w:rsidR="00E977A4" w:rsidRDefault="00E977A4" w:rsidP="00283B5B">
                            <w:pPr>
                              <w:pStyle w:val="TMGTableText"/>
                              <w:jc w:val="center"/>
                            </w:pPr>
                            <w:r w:rsidRPr="000077D4">
                              <w:t>+/-0.17</w:t>
                            </w:r>
                          </w:p>
                        </w:tc>
                      </w:tr>
                    </w:tbl>
                    <w:p w14:paraId="2CBA12F3" w14:textId="77777777" w:rsidR="002B5B49" w:rsidRPr="000077D4" w:rsidRDefault="002B5B49" w:rsidP="002B5B49">
                      <w:pPr>
                        <w:pStyle w:val="Source"/>
                        <w:spacing w:before="60" w:after="0"/>
                      </w:pPr>
                      <w:r w:rsidRPr="000077D4">
                        <w:t>* for a critical value for t-interval equal to 2.306 for eight degrees of freedom (9 sites minus 1)</w:t>
                      </w:r>
                    </w:p>
                    <w:p w14:paraId="2182BFD7" w14:textId="77777777" w:rsidR="00E977A4" w:rsidRDefault="00E977A4" w:rsidP="002B5B49"/>
                  </w:txbxContent>
                </v:textbox>
                <w10:wrap type="square" anchorx="margin"/>
              </v:shape>
            </w:pict>
          </mc:Fallback>
        </mc:AlternateContent>
      </w:r>
      <w:r w:rsidR="003F7B9F">
        <w:rPr>
          <w:i/>
          <w:iCs/>
        </w:rPr>
        <w:t>s</w:t>
      </w:r>
      <w:r w:rsidR="003F7B9F">
        <w:t xml:space="preserve"> </w:t>
      </w:r>
      <w:r w:rsidR="003F7B9F" w:rsidRPr="000077D4">
        <w:t>=</w:t>
      </w:r>
      <w:r w:rsidR="003F7B9F">
        <w:t xml:space="preserve"> </w:t>
      </w:r>
      <w:r w:rsidR="003F7B9F" w:rsidRPr="000077D4">
        <w:t xml:space="preserve">the </w:t>
      </w:r>
      <w:r w:rsidR="003F7B9F">
        <w:t>standard deviation</w:t>
      </w:r>
      <w:r w:rsidR="003F7B9F" w:rsidRPr="000077D4">
        <w:t xml:space="preserve"> </w:t>
      </w:r>
      <w:r w:rsidR="003F7B9F">
        <w:t>for the group,</w:t>
      </w:r>
      <w:r w:rsidR="003F7B9F" w:rsidRPr="000077D4">
        <w:t xml:space="preserve"> </w:t>
      </w:r>
      <w:r w:rsidR="003F7B9F">
        <w:t xml:space="preserve">using </w:t>
      </w:r>
      <w:r w:rsidR="003F7B9F" w:rsidRPr="000077D4">
        <w:t>the selected traffic loading statistic</w:t>
      </w:r>
    </w:p>
    <w:p w14:paraId="746E782F" w14:textId="50CB8F79" w:rsidR="003F7B9F" w:rsidRPr="000077D4" w:rsidRDefault="003F7B9F" w:rsidP="00A35EAF">
      <w:pPr>
        <w:pStyle w:val="BodyText"/>
      </w:pPr>
      <w:r w:rsidRPr="000077D4">
        <w:rPr>
          <w:i/>
          <w:iCs/>
        </w:rPr>
        <w:t>D</w:t>
      </w:r>
      <w:r>
        <w:t xml:space="preserve"> </w:t>
      </w:r>
      <w:r w:rsidRPr="000077D4">
        <w:t>=</w:t>
      </w:r>
      <w:r>
        <w:t xml:space="preserve"> </w:t>
      </w:r>
      <w:r w:rsidRPr="000077D4">
        <w:t>the desired precision of the estimate, expressed as a fraction</w:t>
      </w:r>
    </w:p>
    <w:p w14:paraId="4D05A539" w14:textId="111D175A" w:rsidR="003F7B9F" w:rsidRPr="000077D4" w:rsidRDefault="003F7B9F" w:rsidP="00A35EAF">
      <w:pPr>
        <w:pStyle w:val="BodyText"/>
      </w:pPr>
      <w:r>
        <w:t>The parameter</w:t>
      </w:r>
      <w:r w:rsidRPr="00DD53AF">
        <w:rPr>
          <w:i/>
          <w:iCs/>
        </w:rPr>
        <w:t>s</w:t>
      </w:r>
      <w:r w:rsidRPr="000077D4">
        <w:t xml:space="preserve"> are computed from available truck weight data. </w:t>
      </w:r>
      <w:r w:rsidRPr="000077D4">
        <w:rPr>
          <w:i/>
          <w:iCs/>
          <w:spacing w:val="-2"/>
        </w:rPr>
        <w:t>D</w:t>
      </w:r>
      <w:r w:rsidRPr="000077D4">
        <w:t xml:space="preserve"> is selected as part of the previously described decision process (see above). The number of sites, </w:t>
      </w:r>
      <w:r w:rsidRPr="000077D4">
        <w:rPr>
          <w:i/>
          <w:iCs/>
          <w:spacing w:val="-2"/>
        </w:rPr>
        <w:t>n</w:t>
      </w:r>
      <w:r w:rsidRPr="000077D4">
        <w:t xml:space="preserve">, can be computed after selecting the value for alpha (α) and looking up the appropriate term for </w:t>
      </w:r>
      <w:r w:rsidRPr="000077D4">
        <w:rPr>
          <w:i/>
          <w:iCs/>
          <w:spacing w:val="-2"/>
        </w:rPr>
        <w:t>t</w:t>
      </w:r>
      <w:r w:rsidRPr="000077D4">
        <w:rPr>
          <w:spacing w:val="-2"/>
          <w:vertAlign w:val="subscript"/>
        </w:rPr>
        <w:t>α/2</w:t>
      </w:r>
      <w:r w:rsidRPr="000077D4">
        <w:t xml:space="preserve"> with </w:t>
      </w:r>
      <w:r w:rsidRPr="000077D4">
        <w:rPr>
          <w:i/>
          <w:iCs/>
          <w:spacing w:val="-2"/>
        </w:rPr>
        <w:t>n-1</w:t>
      </w:r>
      <w:r w:rsidRPr="000077D4">
        <w:t xml:space="preserve"> degrees of freedom. Similarly, if </w:t>
      </w:r>
      <w:r w:rsidRPr="000077D4">
        <w:rPr>
          <w:i/>
          <w:iCs/>
          <w:spacing w:val="-2"/>
        </w:rPr>
        <w:t>n</w:t>
      </w:r>
      <w:r w:rsidRPr="000077D4">
        <w:t xml:space="preserve"> is given, it is possible to solve directly for the value of </w:t>
      </w:r>
      <w:r w:rsidRPr="000077D4">
        <w:rPr>
          <w:i/>
          <w:iCs/>
          <w:spacing w:val="-2"/>
        </w:rPr>
        <w:t>t</w:t>
      </w:r>
      <w:r w:rsidRPr="000077D4">
        <w:rPr>
          <w:spacing w:val="-2"/>
          <w:vertAlign w:val="subscript"/>
        </w:rPr>
        <w:t>α/2</w:t>
      </w:r>
      <w:r w:rsidRPr="000077D4">
        <w:t xml:space="preserve"> and therefore (α). The example given below illustrates the basic process of comparing sample size with the precision levels each sample size achieves.</w:t>
      </w:r>
    </w:p>
    <w:p w14:paraId="60EFCBA5" w14:textId="294002BF" w:rsidR="003F7B9F" w:rsidRDefault="00AA2E73" w:rsidP="00A35EAF">
      <w:pPr>
        <w:pStyle w:val="BodyText"/>
      </w:pPr>
      <w:r>
        <w:fldChar w:fldCharType="begin"/>
      </w:r>
      <w:r>
        <w:instrText xml:space="preserve"> REF _Ref114750089 \h </w:instrText>
      </w:r>
      <w:r>
        <w:fldChar w:fldCharType="separate"/>
      </w:r>
      <w:r w:rsidR="00C07DF9" w:rsidRPr="00824DC3">
        <w:t xml:space="preserve">Table </w:t>
      </w:r>
      <w:r w:rsidR="00C07DF9">
        <w:rPr>
          <w:noProof/>
        </w:rPr>
        <w:t>3</w:t>
      </w:r>
      <w:r w:rsidR="00C07DF9">
        <w:noBreakHyphen/>
      </w:r>
      <w:r w:rsidR="00C07DF9">
        <w:rPr>
          <w:noProof/>
        </w:rPr>
        <w:t>14</w:t>
      </w:r>
      <w:r>
        <w:fldChar w:fldCharType="end"/>
      </w:r>
      <w:r w:rsidR="003F7B9F" w:rsidRPr="00331600">
        <w:t xml:space="preserve"> shows</w:t>
      </w:r>
      <w:r w:rsidR="003F7B9F" w:rsidRPr="000D7942">
        <w:t xml:space="preserve"> the same truck weight statistics used in </w:t>
      </w:r>
      <w:r>
        <w:fldChar w:fldCharType="begin"/>
      </w:r>
      <w:r>
        <w:instrText xml:space="preserve"> REF _Ref114577596 \h </w:instrText>
      </w:r>
      <w:r>
        <w:fldChar w:fldCharType="separate"/>
      </w:r>
      <w:r w:rsidR="00C07DF9" w:rsidRPr="0025752B">
        <w:t xml:space="preserve">Table </w:t>
      </w:r>
      <w:r w:rsidR="00C07DF9">
        <w:rPr>
          <w:noProof/>
        </w:rPr>
        <w:t>3</w:t>
      </w:r>
      <w:r w:rsidR="00C07DF9">
        <w:noBreakHyphen/>
      </w:r>
      <w:r w:rsidR="00C07DF9">
        <w:rPr>
          <w:noProof/>
        </w:rPr>
        <w:t>13</w:t>
      </w:r>
      <w:r>
        <w:fldChar w:fldCharType="end"/>
      </w:r>
      <w:r w:rsidR="003F7B9F" w:rsidRPr="000D7942">
        <w:t>,</w:t>
      </w:r>
      <w:r w:rsidR="003F7B9F" w:rsidRPr="000077D4">
        <w:t xml:space="preserve"> except two additional weight sites have been added. These two sites experience heavier vehicle and consequently have increased the mean values and the standard deviations for GVW/vehicle and ESAL/vehicle for the group. These new WIM sites did not improve group homogeneity. </w:t>
      </w:r>
    </w:p>
    <w:p w14:paraId="180C821D" w14:textId="5D5E7564" w:rsidR="003F7B9F" w:rsidRPr="000077D4" w:rsidRDefault="003F7B9F" w:rsidP="00A35EAF">
      <w:pPr>
        <w:pStyle w:val="BodyText"/>
      </w:pPr>
      <w:r w:rsidRPr="000077D4">
        <w:t xml:space="preserve">Increasing the number of WIM stations included in the sample to 15 sites (and assuming that those new WIM sites would not increase the standard deviation of the sample) would improve the confidence in the mean value of the GVW/vehicle estimate for the load factor group to 59,000 lb +/- 6,400 lb with 95 percent confidence. </w:t>
      </w:r>
    </w:p>
    <w:p w14:paraId="5FAB443B" w14:textId="77777777" w:rsidR="00283B5B" w:rsidRDefault="00283B5B">
      <w:pPr>
        <w:widowControl/>
        <w:suppressAutoHyphens w:val="0"/>
        <w:autoSpaceDE/>
        <w:autoSpaceDN/>
        <w:adjustRightInd/>
        <w:spacing w:after="160" w:line="259" w:lineRule="auto"/>
        <w:jc w:val="left"/>
        <w:textAlignment w:val="auto"/>
        <w:rPr>
          <w:color w:val="auto"/>
        </w:rPr>
      </w:pPr>
      <w:r>
        <w:br w:type="page"/>
      </w:r>
    </w:p>
    <w:p w14:paraId="32E85CF1" w14:textId="2C840472" w:rsidR="003F7B9F" w:rsidRPr="000077D4" w:rsidRDefault="003F7B9F" w:rsidP="00283B5B">
      <w:pPr>
        <w:pStyle w:val="BodyText"/>
      </w:pPr>
      <w:r w:rsidRPr="000077D4">
        <w:lastRenderedPageBreak/>
        <w:t>Changing the number of sites included in a load factor group has four effects:</w:t>
      </w:r>
    </w:p>
    <w:p w14:paraId="17424B31" w14:textId="77777777" w:rsidR="003F7B9F" w:rsidRPr="009D3502" w:rsidRDefault="003F7B9F">
      <w:pPr>
        <w:pStyle w:val="TMGBullet"/>
        <w:contextualSpacing w:val="0"/>
      </w:pPr>
      <w:r w:rsidRPr="009D3502">
        <w:t xml:space="preserve">It changes the computed mean value for the group. </w:t>
      </w:r>
    </w:p>
    <w:p w14:paraId="654B4EC5" w14:textId="77777777" w:rsidR="003F7B9F" w:rsidRPr="009D3502" w:rsidRDefault="003F7B9F">
      <w:pPr>
        <w:pStyle w:val="TMGBullet"/>
        <w:contextualSpacing w:val="0"/>
      </w:pPr>
      <w:r w:rsidRPr="009D3502">
        <w:t>It changes the computed sample standard deviation for the group. New sites may increase or decrease this value.</w:t>
      </w:r>
    </w:p>
    <w:p w14:paraId="1519CFB5" w14:textId="77777777" w:rsidR="003F7B9F" w:rsidRPr="009D3502" w:rsidRDefault="003F7B9F">
      <w:pPr>
        <w:pStyle w:val="TMGBullet"/>
        <w:contextualSpacing w:val="0"/>
      </w:pPr>
      <w:r w:rsidRPr="009D3502">
        <w:t>It changes the denominator used to compute the standard error, which is the statistic used to determine how well the mean value computed from that group of roads estimates the mean value for the population being sampled. Additional sites would increase this value.</w:t>
      </w:r>
    </w:p>
    <w:p w14:paraId="1A421B10" w14:textId="77777777" w:rsidR="003F7B9F" w:rsidRPr="009D3502" w:rsidRDefault="003F7B9F">
      <w:pPr>
        <w:pStyle w:val="TMGBullet"/>
      </w:pPr>
      <w:r w:rsidRPr="009D3502">
        <w:t>It changes the value of t</w:t>
      </w:r>
      <w:r w:rsidRPr="005E416B">
        <w:rPr>
          <w:vertAlign w:val="subscript"/>
        </w:rPr>
        <w:t>a/2</w:t>
      </w:r>
      <w:r w:rsidRPr="009D3502">
        <w:t xml:space="preserve"> used to compute the size of the confidence interval applied to estimates produced for that group. Additional sites would decrease this value.</w:t>
      </w:r>
    </w:p>
    <w:p w14:paraId="7514F326" w14:textId="5E73AC1C" w:rsidR="003F7B9F" w:rsidRPr="000D7942" w:rsidRDefault="003F7B9F" w:rsidP="00A35EAF">
      <w:pPr>
        <w:pStyle w:val="BodyText"/>
      </w:pPr>
      <w:r w:rsidRPr="000077D4">
        <w:t xml:space="preserve">In general, the more sites (with similar values of the selected summary loading statistic) included in a group, the better the estimates produced by that group. However, those improvements could be lost due to an increased standard deviation, if the new sites would have the mean values of the selected summary loading statistic (GVW and/or ESAL/truck values) that are different from the group mean values, as was demonstrated by the example </w:t>
      </w:r>
      <w:r w:rsidRPr="00331600">
        <w:t xml:space="preserve">in </w:t>
      </w:r>
      <w:r w:rsidR="00AA2E73">
        <w:fldChar w:fldCharType="begin"/>
      </w:r>
      <w:r w:rsidR="00AA2E73">
        <w:instrText xml:space="preserve"> REF _Ref114750089 \h </w:instrText>
      </w:r>
      <w:r w:rsidR="00AA2E73">
        <w:fldChar w:fldCharType="separate"/>
      </w:r>
      <w:r w:rsidR="00C07DF9" w:rsidRPr="00824DC3">
        <w:t xml:space="preserve">Table </w:t>
      </w:r>
      <w:r w:rsidR="00C07DF9">
        <w:rPr>
          <w:noProof/>
        </w:rPr>
        <w:t>3</w:t>
      </w:r>
      <w:r w:rsidR="00C07DF9">
        <w:noBreakHyphen/>
      </w:r>
      <w:r w:rsidR="00C07DF9">
        <w:rPr>
          <w:noProof/>
        </w:rPr>
        <w:t>14</w:t>
      </w:r>
      <w:r w:rsidR="00AA2E73">
        <w:fldChar w:fldCharType="end"/>
      </w:r>
      <w:r w:rsidRPr="000D7942">
        <w:t xml:space="preserve">. </w:t>
      </w:r>
    </w:p>
    <w:p w14:paraId="3FC0FDCE" w14:textId="7E25E7D4" w:rsidR="003F7B9F" w:rsidRPr="000077D4" w:rsidRDefault="003F7B9F" w:rsidP="00A35EAF">
      <w:pPr>
        <w:pStyle w:val="BodyText"/>
      </w:pPr>
      <w:r w:rsidRPr="000D7942">
        <w:t xml:space="preserve">The benefit of adding sites is significant for small groups but decreases as the number of sites within a group increases. The effect of using the </w:t>
      </w:r>
      <w:r w:rsidR="00457707">
        <w:t>S</w:t>
      </w:r>
      <w:r w:rsidRPr="000D7942">
        <w:t>tudent</w:t>
      </w:r>
      <w:r w:rsidR="00C6056D">
        <w:t>’</w:t>
      </w:r>
      <w:r w:rsidRPr="000D7942">
        <w:t xml:space="preserve">s </w:t>
      </w:r>
      <w:r w:rsidRPr="000D7942">
        <w:rPr>
          <w:i/>
          <w:iCs/>
        </w:rPr>
        <w:t>t</w:t>
      </w:r>
      <w:r w:rsidRPr="000D7942">
        <w:t xml:space="preserve"> distribution to compute the precision (recall formula </w:t>
      </w:r>
      <m:oMath>
        <m:sSub>
          <m:sSubPr>
            <m:ctrlPr>
              <w:rPr>
                <w:rFonts w:ascii="Cambria Math" w:hAnsi="Cambria Math" w:cstheme="minorHAnsi"/>
                <w:i/>
              </w:rPr>
            </m:ctrlPr>
          </m:sSubPr>
          <m:e>
            <m:r>
              <w:rPr>
                <w:rFonts w:ascii="Cambria Math" w:hAnsi="Cambria Math" w:cstheme="minorHAnsi"/>
              </w:rPr>
              <m:t>D=±t</m:t>
            </m:r>
          </m:e>
          <m:sub>
            <m:r>
              <w:rPr>
                <w:rFonts w:ascii="Cambria Math" w:hAnsi="Cambria Math" w:cstheme="minorHAnsi"/>
              </w:rPr>
              <m:t>α/2, n-1</m:t>
            </m:r>
          </m:sub>
        </m:sSub>
        <m:f>
          <m:fPr>
            <m:ctrlPr>
              <w:rPr>
                <w:rFonts w:ascii="Cambria Math" w:hAnsi="Cambria Math" w:cstheme="minorHAnsi"/>
                <w:i/>
                <w:smallCaps/>
              </w:rPr>
            </m:ctrlPr>
          </m:fPr>
          <m:num>
            <m:r>
              <w:rPr>
                <w:rFonts w:ascii="Cambria Math" w:hAnsi="Cambria Math" w:cstheme="minorHAnsi"/>
              </w:rPr>
              <m:t>s</m:t>
            </m:r>
          </m:num>
          <m:den>
            <m:rad>
              <m:radPr>
                <m:degHide m:val="1"/>
                <m:ctrlPr>
                  <w:rPr>
                    <w:rFonts w:ascii="Cambria Math" w:hAnsi="Cambria Math" w:cstheme="minorHAnsi"/>
                    <w:i/>
                  </w:rPr>
                </m:ctrlPr>
              </m:radPr>
              <m:deg/>
              <m:e>
                <m:r>
                  <w:rPr>
                    <w:rFonts w:ascii="Cambria Math" w:hAnsi="Cambria Math" w:cstheme="minorHAnsi"/>
                  </w:rPr>
                  <m:t>n</m:t>
                </m:r>
              </m:e>
            </m:rad>
          </m:den>
        </m:f>
      </m:oMath>
      <w:r w:rsidRPr="00EC03C5">
        <w:rPr>
          <w:rFonts w:asciiTheme="minorHAnsi" w:hAnsiTheme="minorHAnsi" w:cstheme="minorHAnsi"/>
          <w:smallCaps/>
        </w:rPr>
        <w:t>)</w:t>
      </w:r>
      <w:r w:rsidRPr="00C57347">
        <w:rPr>
          <w:rFonts w:asciiTheme="minorHAnsi" w:hAnsiTheme="minorHAnsi" w:cstheme="minorHAnsi"/>
          <w:b/>
          <w:bCs/>
          <w:smallCaps/>
        </w:rPr>
        <w:t xml:space="preserve"> </w:t>
      </w:r>
      <w:r w:rsidRPr="00C57347">
        <w:rPr>
          <w:rFonts w:asciiTheme="minorHAnsi" w:hAnsiTheme="minorHAnsi" w:cstheme="minorHAnsi"/>
        </w:rPr>
        <w:t>means</w:t>
      </w:r>
      <w:r w:rsidRPr="000D7942">
        <w:t xml:space="preserve"> that a significant decrease in the value of </w:t>
      </w:r>
      <w:r w:rsidRPr="000D7942">
        <w:rPr>
          <w:i/>
          <w:iCs/>
        </w:rPr>
        <w:t>t</w:t>
      </w:r>
      <w:r w:rsidRPr="000D7942">
        <w:t xml:space="preserve"> can be obtained by simply adding locations up to a sample size of six, as demonstrated</w:t>
      </w:r>
      <w:r w:rsidRPr="000077D4">
        <w:t xml:space="preserve"> for 95 percent confidence interval (</w:t>
      </w:r>
      <w:r w:rsidRPr="000077D4">
        <w:rPr>
          <w:i/>
        </w:rPr>
        <w:t>α/</w:t>
      </w:r>
      <w:r w:rsidRPr="000077D4">
        <w:t xml:space="preserve">2=0.025) and the number of sites </w:t>
      </w:r>
      <w:r w:rsidRPr="000077D4">
        <w:rPr>
          <w:i/>
        </w:rPr>
        <w:t>n</w:t>
      </w:r>
      <w:r w:rsidRPr="000077D4">
        <w:t xml:space="preserve">. For example, a sample size of six sites has a 20 percent smaller confidence interval at the 95 percent level of confidence than a sample size of five sites, all other things being equal. A sample size of six sites has a 250 percent smaller confidence interval at the 95 percent level of confidence than a sample size of 3 sites, all other things being equal. Beyond six sites, the benefits gained by adding sites begin to decrease quickly. More than six sites in a group may be appropriate, particularly if the State is unsure of its truck weight patterns or high variability in mean values of a selected weight summary statistic are observed. </w:t>
      </w:r>
    </w:p>
    <w:p w14:paraId="69D58B32" w14:textId="4988A297" w:rsidR="003F7B9F" w:rsidRPr="000077D4" w:rsidRDefault="003F7B9F" w:rsidP="00A35EAF">
      <w:pPr>
        <w:pStyle w:val="BodyText"/>
      </w:pPr>
      <w:r w:rsidRPr="000077D4">
        <w:t xml:space="preserve">Based on this analysis, six WIM sites per load factor group are recommended. The exception to the six-site rule is for truck weight road groups that contain very few roads. These will tend to be specialty roads (e.g., roads leading into and out of </w:t>
      </w:r>
      <w:r>
        <w:t>quarries</w:t>
      </w:r>
      <w:r w:rsidRPr="000077D4">
        <w:t xml:space="preserve">) that have unusual loading conditions but that are not applicable to many other roads in the State. If improvements in precision are needed beyond what affordable increases in sample size will achieve, the primary option is to change the make-up of the load factor groups, i.e., create new subsets of roads that will serve as the load factor groups. If this change produces a significant decrease in the standard deviation that offsets the increase in </w:t>
      </w:r>
      <w:r w:rsidRPr="000077D4">
        <w:rPr>
          <w:i/>
          <w:iCs/>
          <w:spacing w:val="-4"/>
        </w:rPr>
        <w:t>t</w:t>
      </w:r>
      <w:r w:rsidRPr="000077D4">
        <w:rPr>
          <w:spacing w:val="-4"/>
          <w:vertAlign w:val="subscript"/>
        </w:rPr>
        <w:t>α/2</w:t>
      </w:r>
      <w:r w:rsidRPr="000077D4">
        <w:t xml:space="preserve"> caused by the lower sample size, then the State will benefit from an improvement in the precision of its weight estimates along with a smaller data collection sample size. </w:t>
      </w:r>
    </w:p>
    <w:p w14:paraId="4049E251" w14:textId="77777777" w:rsidR="003F7B9F" w:rsidRPr="000077D4" w:rsidRDefault="003F7B9F" w:rsidP="00A35EAF">
      <w:pPr>
        <w:pStyle w:val="BodyText"/>
        <w:rPr>
          <w:szCs w:val="22"/>
        </w:rPr>
      </w:pPr>
      <w:r w:rsidRPr="000077D4">
        <w:t xml:space="preserve">Selecting the acceptable level of error or a precision of load factor group is an iterative process. First, the desired target precision is selected. Next, the variability of data in the load factor group is examined. This examination may result in the need to collect more data or to adjust the assignment of roads within load factor groups. If the State cannot meet the initially selected precision levels (either because it cannot create sufficiently homogenous groups or because it cannot collect data at enough sites), the desired precision levels have to be relaxed to reflect the quality of the estimates that can be obtained and the users of the data should be informed about the reduced precision. </w:t>
      </w:r>
    </w:p>
    <w:p w14:paraId="6D7C1F81" w14:textId="332AD7CE" w:rsidR="003F7B9F" w:rsidRPr="00517F7A" w:rsidRDefault="003F7B9F">
      <w:pPr>
        <w:pStyle w:val="Heading3"/>
      </w:pPr>
      <w:bookmarkStart w:id="1917" w:name="_Toc324246163"/>
      <w:bookmarkStart w:id="1918" w:name="_Toc324780184"/>
      <w:bookmarkStart w:id="1919" w:name="_Toc335302468"/>
      <w:bookmarkStart w:id="1920" w:name="_Toc68190217"/>
      <w:bookmarkStart w:id="1921" w:name="_Toc118205645"/>
      <w:r w:rsidRPr="00517F7A">
        <w:t xml:space="preserve">Step 6. </w:t>
      </w:r>
      <w:bookmarkEnd w:id="1917"/>
      <w:bookmarkEnd w:id="1918"/>
      <w:bookmarkEnd w:id="1919"/>
      <w:r w:rsidRPr="00517F7A">
        <w:t>Select New Sites to Meet WIM Program Needs</w:t>
      </w:r>
      <w:bookmarkEnd w:id="1920"/>
      <w:bookmarkEnd w:id="1921"/>
    </w:p>
    <w:p w14:paraId="4DD18F26" w14:textId="0DA5CCC9" w:rsidR="003F7B9F" w:rsidRPr="000077D4" w:rsidRDefault="003F7B9F" w:rsidP="00283B5B">
      <w:pPr>
        <w:pStyle w:val="BodyText"/>
      </w:pPr>
      <w:r w:rsidRPr="000077D4">
        <w:t>The selection of new WIM sites should be based on the needs of the WIM data collection program and the site characteristics of the roadway sections that meet those needs. The WIM site locations should be selected based on specific users’ needs and program requirements from a list of candidate sites that meet all site requirements. The needs of the data collection program include, but are not limited to, the following:</w:t>
      </w:r>
    </w:p>
    <w:p w14:paraId="7B6D853C" w14:textId="780A6769" w:rsidR="003F7B9F" w:rsidRPr="00740400" w:rsidRDefault="003F7B9F">
      <w:pPr>
        <w:pStyle w:val="TMGBullet"/>
      </w:pPr>
      <w:r w:rsidRPr="00740400">
        <w:t>The need to obtain more vehicle weight data on roads within a given load factor group</w:t>
      </w:r>
      <w:r w:rsidR="004432ED">
        <w:t>.</w:t>
      </w:r>
    </w:p>
    <w:p w14:paraId="339D463C" w14:textId="2CADF16B" w:rsidR="003F7B9F" w:rsidRPr="00740400" w:rsidRDefault="003F7B9F">
      <w:pPr>
        <w:pStyle w:val="TMGBullet"/>
      </w:pPr>
      <w:r w:rsidRPr="00740400">
        <w:t>The need to collect data in geographic regions that are poorly represented in the existing WIM data collection effort</w:t>
      </w:r>
      <w:r w:rsidR="004432ED">
        <w:t>.</w:t>
      </w:r>
    </w:p>
    <w:p w14:paraId="339C33F4" w14:textId="1B6ABB89" w:rsidR="003F7B9F" w:rsidRPr="00740400" w:rsidRDefault="003F7B9F">
      <w:pPr>
        <w:pStyle w:val="TMGBullet"/>
      </w:pPr>
      <w:r w:rsidRPr="00740400">
        <w:lastRenderedPageBreak/>
        <w:t>The need to collect data on specific facilities of high importance (e.g., interstate highways or other national highway system routes)</w:t>
      </w:r>
      <w:r w:rsidR="004432ED">
        <w:t>.</w:t>
      </w:r>
    </w:p>
    <w:p w14:paraId="0A81EE69" w14:textId="5D9E655D" w:rsidR="003F7B9F" w:rsidRPr="00740400" w:rsidRDefault="003F7B9F">
      <w:pPr>
        <w:pStyle w:val="TMGBullet"/>
      </w:pPr>
      <w:r w:rsidRPr="00740400">
        <w:t>The need to collect data for specific research projects or other special needs of the State</w:t>
      </w:r>
      <w:r w:rsidR="004432ED">
        <w:t>.</w:t>
      </w:r>
    </w:p>
    <w:p w14:paraId="35A3F2A9" w14:textId="552076F6" w:rsidR="003F7B9F" w:rsidRPr="00740400" w:rsidRDefault="003F7B9F">
      <w:pPr>
        <w:pStyle w:val="TMGBullet"/>
      </w:pPr>
      <w:r w:rsidRPr="00740400">
        <w:t>The need to collect weight information on specific commodity movements of importance to the State</w:t>
      </w:r>
      <w:r w:rsidR="004432ED">
        <w:t>.</w:t>
      </w:r>
    </w:p>
    <w:p w14:paraId="6DA0FFEE" w14:textId="28136AC4" w:rsidR="003F7B9F" w:rsidRPr="000077D4" w:rsidRDefault="003F7B9F" w:rsidP="00A35EAF">
      <w:pPr>
        <w:pStyle w:val="BodyText"/>
      </w:pPr>
      <w:r w:rsidRPr="000077D4">
        <w:t xml:space="preserve">States should place WIM equipment only in pavements that allow for accurate vehicle weighing. See </w:t>
      </w:r>
      <w:r w:rsidRPr="000D7942">
        <w:t>Chapter 2 for</w:t>
      </w:r>
      <w:r w:rsidRPr="000077D4">
        <w:t xml:space="preserve"> description of physical site characteristics of the roadway sections for installation of WIM systems and the recommended configurations for WIM sensor arrays. Additional information about physical site characteristics could be found in the </w:t>
      </w:r>
      <w:r w:rsidRPr="00A826BC">
        <w:t xml:space="preserve">FHWA </w:t>
      </w:r>
      <w:r w:rsidRPr="005E416B">
        <w:rPr>
          <w:i/>
          <w:iCs/>
        </w:rPr>
        <w:t>WIM Pocket Guide</w:t>
      </w:r>
      <w:r w:rsidRPr="000077D4">
        <w:t xml:space="preserve">. </w:t>
      </w:r>
    </w:p>
    <w:p w14:paraId="548732B0" w14:textId="0BF3B354" w:rsidR="003F7B9F" w:rsidRPr="000167B3" w:rsidRDefault="003F7B9F" w:rsidP="00A35EAF">
      <w:pPr>
        <w:pStyle w:val="BodyText"/>
        <w:rPr>
          <w:rFonts w:ascii="Cambria" w:hAnsi="Cambria"/>
          <w:b/>
          <w:bCs/>
          <w:sz w:val="22"/>
          <w:szCs w:val="22"/>
        </w:rPr>
      </w:pPr>
      <w:r w:rsidRPr="000167B3">
        <w:rPr>
          <w:rFonts w:ascii="Cambria" w:hAnsi="Cambria"/>
          <w:b/>
          <w:bCs/>
          <w:sz w:val="22"/>
          <w:szCs w:val="22"/>
        </w:rPr>
        <w:t>WIM Equipment Selection</w:t>
      </w:r>
    </w:p>
    <w:p w14:paraId="61B0730F" w14:textId="1F3353FE" w:rsidR="003F7B9F" w:rsidRPr="000077D4" w:rsidRDefault="003F7B9F" w:rsidP="00A35EAF">
      <w:pPr>
        <w:pStyle w:val="BodyText"/>
      </w:pPr>
      <w:r w:rsidRPr="00D70B70">
        <w:t xml:space="preserve">The </w:t>
      </w:r>
      <w:r w:rsidRPr="00D70B70">
        <w:rPr>
          <w:i/>
          <w:iCs/>
        </w:rPr>
        <w:t>WIM Pocket Guide</w:t>
      </w:r>
      <w:r w:rsidR="004D4172">
        <w:t xml:space="preserve"> </w:t>
      </w:r>
      <w:r w:rsidR="00331600" w:rsidRPr="00D70B70">
        <w:t>(FHWA, 2018)</w:t>
      </w:r>
      <w:r w:rsidR="00331600">
        <w:t xml:space="preserve"> </w:t>
      </w:r>
      <w:r w:rsidRPr="000077D4">
        <w:t xml:space="preserve">contains an in-depth discussion about WIM equipment selection. The following are the most critical factors that should be considered when making WIM equipment selection: </w:t>
      </w:r>
    </w:p>
    <w:p w14:paraId="493B0095" w14:textId="77777777" w:rsidR="003F7B9F" w:rsidRPr="00740400" w:rsidRDefault="003F7B9F">
      <w:pPr>
        <w:pStyle w:val="TMGBullet"/>
      </w:pPr>
      <w:r w:rsidRPr="00740400">
        <w:t>User needs for data accuracy and consistency and length of data collection</w:t>
      </w:r>
    </w:p>
    <w:p w14:paraId="779230D0" w14:textId="0F29ECC7" w:rsidR="003F7B9F" w:rsidRPr="00740400" w:rsidRDefault="003F7B9F">
      <w:pPr>
        <w:pStyle w:val="TMGBullet"/>
      </w:pPr>
      <w:r w:rsidRPr="00740400">
        <w:t>WIM equipment and sensor reliability and longevity</w:t>
      </w:r>
    </w:p>
    <w:p w14:paraId="3E678FDA" w14:textId="566D35EE" w:rsidR="003F7B9F" w:rsidRPr="00740400" w:rsidRDefault="003F7B9F">
      <w:pPr>
        <w:pStyle w:val="TMGBullet"/>
      </w:pPr>
      <w:r w:rsidRPr="00740400">
        <w:t>Type of WIM equipment already installed and agency’s prior experience with WIM equipment</w:t>
      </w:r>
    </w:p>
    <w:p w14:paraId="26067471" w14:textId="072F098C" w:rsidR="003F7B9F" w:rsidRPr="00740400" w:rsidRDefault="003F7B9F">
      <w:pPr>
        <w:pStyle w:val="TMGBullet"/>
      </w:pPr>
      <w:r w:rsidRPr="00740400">
        <w:t>Type of array installed</w:t>
      </w:r>
    </w:p>
    <w:p w14:paraId="60ADC926" w14:textId="77777777" w:rsidR="003F7B9F" w:rsidRPr="00740400" w:rsidRDefault="003F7B9F">
      <w:pPr>
        <w:pStyle w:val="TMGBullet"/>
      </w:pPr>
      <w:r w:rsidRPr="00740400">
        <w:t>Ease of equipment installation, operation, maintenance, and calibration</w:t>
      </w:r>
    </w:p>
    <w:p w14:paraId="060A9631" w14:textId="36BAC8AC" w:rsidR="003F7B9F" w:rsidRPr="00740400" w:rsidRDefault="003F7B9F">
      <w:pPr>
        <w:pStyle w:val="TMGBullet"/>
      </w:pPr>
      <w:r w:rsidRPr="00740400">
        <w:t>Pavement requirements for different WIM sensors</w:t>
      </w:r>
    </w:p>
    <w:p w14:paraId="5F30920B" w14:textId="36B146D3" w:rsidR="003F7B9F" w:rsidRPr="00740400" w:rsidRDefault="003F7B9F">
      <w:pPr>
        <w:pStyle w:val="TMGBullet"/>
      </w:pPr>
      <w:r w:rsidRPr="00740400">
        <w:t>Number of WIM Lanes</w:t>
      </w:r>
    </w:p>
    <w:p w14:paraId="655F8B55" w14:textId="660649E0" w:rsidR="003F7B9F" w:rsidRPr="00740400" w:rsidRDefault="003F7B9F" w:rsidP="00C6056D">
      <w:pPr>
        <w:pStyle w:val="BodyText"/>
      </w:pPr>
      <w:r w:rsidRPr="00740400">
        <w:t>The following issues should be considered when selecting the number of lanes of WIM to install:</w:t>
      </w:r>
    </w:p>
    <w:p w14:paraId="1D7125D4" w14:textId="77777777" w:rsidR="003F7B9F" w:rsidRPr="00740400" w:rsidRDefault="003F7B9F">
      <w:pPr>
        <w:pStyle w:val="TMGBullet"/>
      </w:pPr>
      <w:r w:rsidRPr="00740400">
        <w:t>Available funding</w:t>
      </w:r>
    </w:p>
    <w:p w14:paraId="18C509B7" w14:textId="328DE52D" w:rsidR="003F7B9F" w:rsidRPr="00740400" w:rsidRDefault="004432ED">
      <w:pPr>
        <w:pStyle w:val="TMGBullet"/>
      </w:pPr>
      <w:r>
        <w:t>C</w:t>
      </w:r>
      <w:r w:rsidR="003F7B9F" w:rsidRPr="00740400">
        <w:t>ost of installation</w:t>
      </w:r>
    </w:p>
    <w:p w14:paraId="5A1260D5" w14:textId="77777777" w:rsidR="003F7B9F" w:rsidRPr="00740400" w:rsidRDefault="003F7B9F">
      <w:pPr>
        <w:pStyle w:val="TMGBullet"/>
      </w:pPr>
      <w:r w:rsidRPr="00740400">
        <w:t>Program objectives to be met</w:t>
      </w:r>
    </w:p>
    <w:p w14:paraId="0E19C3CB" w14:textId="1312343D" w:rsidR="003F7B9F" w:rsidRPr="00740400" w:rsidRDefault="004432ED">
      <w:pPr>
        <w:pStyle w:val="TMGBullet"/>
      </w:pPr>
      <w:r>
        <w:t>D</w:t>
      </w:r>
      <w:r w:rsidR="003F7B9F" w:rsidRPr="00740400">
        <w:t>esign of current WIM installations in the State</w:t>
      </w:r>
    </w:p>
    <w:p w14:paraId="0D78F241" w14:textId="251CEC10" w:rsidR="003F7B9F" w:rsidRPr="00740400" w:rsidRDefault="003F7B9F">
      <w:pPr>
        <w:pStyle w:val="TMGBullet"/>
      </w:pPr>
      <w:r w:rsidRPr="00740400">
        <w:t>Trade-offs between obtaining more complete coverage at each site versus less coverage at each site but getting more sites covered</w:t>
      </w:r>
    </w:p>
    <w:p w14:paraId="73F2613B" w14:textId="3C6ABDF6" w:rsidR="003F7B9F" w:rsidRPr="000077D4" w:rsidRDefault="003F7B9F" w:rsidP="00A35EAF">
      <w:pPr>
        <w:pStyle w:val="BodyText"/>
      </w:pPr>
      <w:r w:rsidRPr="000077D4">
        <w:t>Significant differences in loads by direction of travel may occur. The collection of WIM data in at least one lane in each direction of travel at each site allows a clear assessment of directional differences in weights and loadings. WIM differences by travel lane are difficult to generalize, although the outside lanes (referred as “truck lanes” by pavement engineers) typically carry heavier vehicles. For multi-lane facilities, covering two lanes in each direction provides the most cost-effective alternative.</w:t>
      </w:r>
    </w:p>
    <w:p w14:paraId="3489086C" w14:textId="1A4D0978" w:rsidR="003F7B9F" w:rsidRPr="000077D4" w:rsidRDefault="003F7B9F" w:rsidP="00A35EAF">
      <w:pPr>
        <w:pStyle w:val="BodyText"/>
      </w:pPr>
      <w:r w:rsidRPr="000077D4">
        <w:t xml:space="preserve">A WIM site covering all lanes and direction of travel provides the most complete data collection coverage. If some lanes are not monitored by WIM sensors, each WIM site should have, at a minimum, a portable classification count by direction and travel lane to measure truck travel in the lanes not being monitored by WIM system. Continuous classification in those lanes is preferable. </w:t>
      </w:r>
    </w:p>
    <w:p w14:paraId="0814F7F8" w14:textId="40502836" w:rsidR="003F7B9F" w:rsidRPr="00517F7A" w:rsidRDefault="003F7B9F">
      <w:pPr>
        <w:pStyle w:val="Heading3"/>
      </w:pPr>
      <w:bookmarkStart w:id="1922" w:name="_Toc68190218"/>
      <w:bookmarkStart w:id="1923" w:name="_Toc118205646"/>
      <w:r w:rsidRPr="00517F7A">
        <w:t>Step 7. Integrate the WIM Sites with the Remaining Count Program</w:t>
      </w:r>
      <w:bookmarkEnd w:id="1922"/>
      <w:bookmarkEnd w:id="1923"/>
    </w:p>
    <w:p w14:paraId="2779ABAE" w14:textId="4BD6CCF5" w:rsidR="003F7B9F" w:rsidRPr="000077D4" w:rsidRDefault="003F7B9F" w:rsidP="00A35EAF">
      <w:pPr>
        <w:pStyle w:val="BodyText"/>
      </w:pPr>
      <w:r w:rsidRPr="000077D4">
        <w:t xml:space="preserve">In addition to weight, WIM systems also provide counts of vehicle volume by classification, speed, and total volume. Consequently, WIM sites could also provide volume and vehicle classification count data and take the place of volume and classification counts required to meet the needs described in </w:t>
      </w:r>
      <w:r w:rsidR="004432ED">
        <w:t>S</w:t>
      </w:r>
      <w:r w:rsidRPr="000D7942">
        <w:t>ections 3.</w:t>
      </w:r>
      <w:r w:rsidR="005A18C5">
        <w:t>1</w:t>
      </w:r>
      <w:r w:rsidRPr="000D7942">
        <w:t xml:space="preserve"> and 3.</w:t>
      </w:r>
      <w:r w:rsidR="005A18C5">
        <w:t>2</w:t>
      </w:r>
      <w:r w:rsidRPr="000D7942">
        <w:t>.</w:t>
      </w:r>
      <w:r w:rsidR="004D4172">
        <w:t xml:space="preserve"> </w:t>
      </w:r>
      <w:r w:rsidRPr="000077D4">
        <w:t>However, agencies should note that physical characteristics of many road sections prevent the collection of accurate weight data</w:t>
      </w:r>
      <w:r w:rsidR="004432ED">
        <w:t>,</w:t>
      </w:r>
      <w:r w:rsidRPr="000077D4">
        <w:t xml:space="preserve"> and additional resources are needed to maintain and calibrate WIM equipment and process WIM data.</w:t>
      </w:r>
      <w:r w:rsidR="004D4172">
        <w:t xml:space="preserve"> </w:t>
      </w:r>
    </w:p>
    <w:p w14:paraId="01BBE9BD" w14:textId="11E60FF4" w:rsidR="003F7B9F" w:rsidRPr="000077D4" w:rsidRDefault="003F7B9F" w:rsidP="00A35EAF">
      <w:pPr>
        <w:pStyle w:val="BodyText"/>
      </w:pPr>
      <w:r w:rsidRPr="000077D4">
        <w:t>Sites selected for WIM data collection should be located within HPMS volume sample sections, if possible. If two alternative sites exist to meet a specific need and one is already an HPMS sample site, it should be given priority over the alternative (all other factors being equal). If neither site falls on an HPMS sample section, the selected WIM site should become an HPMS sample section the next time the HPMS sample is revised. The HPMS volume and classification data should be collected at the same time as the WIM data, using the same equipment where practical. This reduces the staffing and resources needed to collect these HPMS data and directly ties the different data items.</w:t>
      </w:r>
    </w:p>
    <w:p w14:paraId="21029BA1" w14:textId="41FECF65" w:rsidR="003F7B9F" w:rsidRPr="00517F7A" w:rsidRDefault="003F7B9F">
      <w:pPr>
        <w:pStyle w:val="Heading4"/>
      </w:pPr>
      <w:bookmarkStart w:id="1924" w:name="_Toc63977904"/>
      <w:bookmarkStart w:id="1925" w:name="_Toc63982652"/>
      <w:bookmarkStart w:id="1926" w:name="_Toc68190219"/>
      <w:bookmarkStart w:id="1927" w:name="_Toc118205647"/>
      <w:r w:rsidRPr="00517F7A">
        <w:lastRenderedPageBreak/>
        <w:t>Total Size of the Weight Data Collection Program</w:t>
      </w:r>
      <w:bookmarkEnd w:id="1924"/>
      <w:bookmarkEnd w:id="1925"/>
      <w:bookmarkEnd w:id="1926"/>
      <w:bookmarkEnd w:id="1927"/>
    </w:p>
    <w:p w14:paraId="7C192A28" w14:textId="676721AB" w:rsidR="003F7B9F" w:rsidRPr="000077D4" w:rsidRDefault="003F7B9F" w:rsidP="00A35EAF">
      <w:pPr>
        <w:pStyle w:val="BodyText"/>
      </w:pPr>
      <w:r w:rsidRPr="000077D4">
        <w:t>The size of the weight data collection program should be a function of the variability of the truck weights, accuracy, and precision desired to monitor and report on those weights. WIM program size and coverage should address specific needs of weight data users.</w:t>
      </w:r>
    </w:p>
    <w:p w14:paraId="6C7339FD" w14:textId="7A837E00" w:rsidR="003F7B9F" w:rsidRPr="000077D4" w:rsidRDefault="003F7B9F" w:rsidP="00A35EAF">
      <w:pPr>
        <w:pStyle w:val="BodyText"/>
      </w:pPr>
      <w:r>
        <w:t>A</w:t>
      </w:r>
      <w:r w:rsidRPr="000077D4">
        <w:t xml:space="preserve"> small State </w:t>
      </w:r>
      <w:r>
        <w:t xml:space="preserve">may start with </w:t>
      </w:r>
      <w:r w:rsidRPr="000077D4">
        <w:t>two basic load factor groups of roads</w:t>
      </w:r>
      <w:r>
        <w:t xml:space="preserve">: </w:t>
      </w:r>
      <w:r w:rsidRPr="000077D4">
        <w:t xml:space="preserve">interstate and non-interstate groups, </w:t>
      </w:r>
      <w:r>
        <w:t xml:space="preserve">or </w:t>
      </w:r>
      <w:r w:rsidRPr="000077D4">
        <w:t xml:space="preserve">one group roads with majority of through-way trucks and another group of roads with majority of local delivery trucks. </w:t>
      </w:r>
      <w:r>
        <w:t>To improve statistical precision, a minimum of 6 WIM sites per load group</w:t>
      </w:r>
      <w:r w:rsidRPr="000F64DE">
        <w:t xml:space="preserve"> </w:t>
      </w:r>
      <w:r>
        <w:t xml:space="preserve">is recommended, leading to </w:t>
      </w:r>
      <w:r w:rsidRPr="000077D4">
        <w:t xml:space="preserve">a minimum of 12 weighing locations </w:t>
      </w:r>
      <w:r>
        <w:t xml:space="preserve">in a </w:t>
      </w:r>
      <w:r w:rsidR="00674B33">
        <w:t>S</w:t>
      </w:r>
      <w:r>
        <w:t>tate to support two</w:t>
      </w:r>
      <w:r w:rsidRPr="000077D4">
        <w:t xml:space="preserve"> load factor group</w:t>
      </w:r>
      <w:r>
        <w:t>s</w:t>
      </w:r>
      <w:r w:rsidRPr="000077D4">
        <w:t xml:space="preserve">. </w:t>
      </w:r>
      <w:r>
        <w:t xml:space="preserve">If more than two loading patterns, meaningful to data users, are identified within a </w:t>
      </w:r>
      <w:r w:rsidR="00674B33">
        <w:t>S</w:t>
      </w:r>
      <w:r>
        <w:t xml:space="preserve">tate but the budget </w:t>
      </w:r>
      <w:r w:rsidR="00674B33">
        <w:t xml:space="preserve">can </w:t>
      </w:r>
      <w:r>
        <w:t xml:space="preserve">support only a limited number of WIM sites, it is recommended to have fewer sites per group but more groups covering different loading patterns then to have fewer groups with larger number of sites. </w:t>
      </w:r>
      <w:r w:rsidRPr="000077D4">
        <w:t xml:space="preserve">The number of locations could be further reduced if the State works with surrounding States to collect joint vehicle weight data representing the same load factor group. </w:t>
      </w:r>
      <w:r>
        <w:t>If the variability in load factors computed for individual sites within a group is too high and leads to significantly different outcomes for the data user (for example, pavement thickness design varies by over 0.5 inches), it is recommended to create an additional load factor group (</w:t>
      </w:r>
      <w:r w:rsidR="00CA4A1E" w:rsidRPr="00D70B70">
        <w:rPr>
          <w:i/>
          <w:iCs/>
        </w:rPr>
        <w:t>MEPDG Traffic Loading Defaults Derived from Traffic Pooled Fund Study</w:t>
      </w:r>
      <w:r w:rsidR="00CA4A1E">
        <w:t>, FHWA 2016</w:t>
      </w:r>
      <w:r>
        <w:t xml:space="preserve">). </w:t>
      </w:r>
    </w:p>
    <w:p w14:paraId="1B8489AF" w14:textId="2185C0E2" w:rsidR="003F7B9F" w:rsidRPr="000077D4" w:rsidRDefault="003F7B9F" w:rsidP="00A35EAF">
      <w:pPr>
        <w:pStyle w:val="BodyText"/>
      </w:pPr>
      <w:r w:rsidRPr="000077D4">
        <w:t xml:space="preserve">A larger State with </w:t>
      </w:r>
      <w:r>
        <w:t xml:space="preserve">highly </w:t>
      </w:r>
      <w:r w:rsidRPr="000077D4">
        <w:t>diverse trucking characteristics might have as many as 10 or 15 distinct load factor groups of roads, and accordingly 60 to 90 WIM sites, with a corresponding increase in the number of continuously operating WIM locations. Most States will be between the two extremes presented, and the number of weighing locations should fall somewhere between 12 and 90 locations.</w:t>
      </w:r>
    </w:p>
    <w:p w14:paraId="46A2D245" w14:textId="234573BF" w:rsidR="003F7B9F" w:rsidRPr="00517F7A" w:rsidRDefault="003F7B9F">
      <w:pPr>
        <w:pStyle w:val="Heading2"/>
      </w:pPr>
      <w:bookmarkStart w:id="1928" w:name="_Toc68190220"/>
      <w:bookmarkStart w:id="1929" w:name="_Toc68864945"/>
      <w:bookmarkStart w:id="1930" w:name="_Toc114474730"/>
      <w:bookmarkStart w:id="1931" w:name="_Toc118205648"/>
      <w:r w:rsidRPr="00517F7A">
        <w:t>How To Design A Short-Term Data Collection Program</w:t>
      </w:r>
      <w:bookmarkEnd w:id="1928"/>
      <w:bookmarkEnd w:id="1929"/>
      <w:bookmarkEnd w:id="1930"/>
      <w:bookmarkEnd w:id="1931"/>
    </w:p>
    <w:p w14:paraId="6F6976C8" w14:textId="5AFE04F3" w:rsidR="003F7B9F" w:rsidRPr="000077D4" w:rsidRDefault="003F7B9F" w:rsidP="00A35EAF">
      <w:pPr>
        <w:pStyle w:val="BodyText"/>
      </w:pPr>
      <w:r w:rsidRPr="000077D4">
        <w:t xml:space="preserve">Short-term traffic volume counts are traditionally the primary focus of most statewide traffic monitoring efforts. They provide the majority of the geographic (spatial) diversity needed to provide traffic volume information on the State roadway system. Short-term traffic data collection typically includes </w:t>
      </w:r>
      <w:r>
        <w:t xml:space="preserve">any of the following: </w:t>
      </w:r>
      <w:r w:rsidRPr="000077D4">
        <w:t xml:space="preserve">total traffic volume, volume by vehicle classification and </w:t>
      </w:r>
      <w:r>
        <w:t>micromobility</w:t>
      </w:r>
      <w:r w:rsidRPr="000077D4">
        <w:t xml:space="preserve"> counts. </w:t>
      </w:r>
    </w:p>
    <w:p w14:paraId="3BFECF11" w14:textId="442B9ADE" w:rsidR="003F7B9F" w:rsidRPr="000077D4" w:rsidRDefault="003F7B9F" w:rsidP="00A35EAF">
      <w:pPr>
        <w:pStyle w:val="BodyText"/>
      </w:pPr>
      <w:r w:rsidRPr="000077D4">
        <w:t xml:space="preserve">The recommended short-term volume-counting program is divided into coverage count and special needs count primary subsets. The coverage count subset covers the roadway system on a periodic basis to meet both point-specific and area needs, including the HPMS reporting requirements. The special needs subset comprises additional counts necessary to meet the needs of other users. This second category of counts can be further subdivided into counts taken to meet State-specific statistical monitoring goals, to provide increased geographic coverage of the roadway system, and to meet the needs of specific project or data collection efforts. </w:t>
      </w:r>
    </w:p>
    <w:p w14:paraId="395A951F" w14:textId="7917491E" w:rsidR="003F7B9F" w:rsidRPr="000077D4" w:rsidRDefault="003F7B9F" w:rsidP="00A35EAF">
      <w:pPr>
        <w:pStyle w:val="BodyText"/>
      </w:pPr>
      <w:r w:rsidRPr="000077D4">
        <w:t xml:space="preserve">Short-term counts ensure that adequate geographic coverage exists for all roads under the jurisdiction of the highway authority. The coverage counts ensure that at least some data exist for all roads maintained by the agency. How much data </w:t>
      </w:r>
      <w:r>
        <w:t>to</w:t>
      </w:r>
      <w:r w:rsidRPr="000077D4">
        <w:t xml:space="preserve"> be collected </w:t>
      </w:r>
      <w:r>
        <w:t>when</w:t>
      </w:r>
      <w:r w:rsidRPr="000077D4">
        <w:t xml:space="preserve"> provid</w:t>
      </w:r>
      <w:r>
        <w:t>ing</w:t>
      </w:r>
      <w:r w:rsidRPr="000077D4">
        <w:t xml:space="preserve"> adequate geographic coverage is a function of each agency's policy perspective. Significant utility can be gained from having at least hourly volume estimates </w:t>
      </w:r>
      <w:r>
        <w:t xml:space="preserve">by lane </w:t>
      </w:r>
      <w:r w:rsidRPr="000077D4">
        <w:t xml:space="preserve">at coverage counts, since those data can be used to obtain a much more accurate understanding of </w:t>
      </w:r>
      <w:r>
        <w:t xml:space="preserve">travel and </w:t>
      </w:r>
      <w:r w:rsidRPr="000077D4">
        <w:t xml:space="preserve">traffic volume peaks during the day. </w:t>
      </w:r>
    </w:p>
    <w:p w14:paraId="5F490E22" w14:textId="62541552" w:rsidR="003F7B9F" w:rsidRPr="00517F7A" w:rsidRDefault="003F7B9F">
      <w:pPr>
        <w:pStyle w:val="Heading3"/>
      </w:pPr>
      <w:bookmarkStart w:id="1932" w:name="_Toc68190221"/>
      <w:bookmarkStart w:id="1933" w:name="_Toc118205649"/>
      <w:r w:rsidRPr="00517F7A">
        <w:t>Steps to Develop Short-Term Count Data Collection Program</w:t>
      </w:r>
      <w:bookmarkEnd w:id="1932"/>
      <w:bookmarkEnd w:id="1933"/>
    </w:p>
    <w:p w14:paraId="10B017C7" w14:textId="57E10360" w:rsidR="003F7B9F" w:rsidRPr="000077D4" w:rsidRDefault="003F7B9F" w:rsidP="00A35EAF">
      <w:pPr>
        <w:pStyle w:val="BodyText"/>
      </w:pPr>
      <w:r w:rsidRPr="000077D4">
        <w:t>The following steps should be used to develop a short-term count data collection program. These same steps are applicable to the development of a short</w:t>
      </w:r>
      <w:r w:rsidR="00F04570">
        <w:t>-term</w:t>
      </w:r>
      <w:r w:rsidRPr="000077D4">
        <w:t xml:space="preserve"> classification count program:</w:t>
      </w:r>
    </w:p>
    <w:p w14:paraId="4E8CF693" w14:textId="77777777" w:rsidR="003F7B9F" w:rsidRPr="000077D4" w:rsidRDefault="003F7B9F" w:rsidP="002B5B49">
      <w:pPr>
        <w:widowControl/>
        <w:numPr>
          <w:ilvl w:val="0"/>
          <w:numId w:val="38"/>
        </w:numPr>
        <w:tabs>
          <w:tab w:val="left" w:pos="180"/>
        </w:tabs>
        <w:autoSpaceDE/>
        <w:autoSpaceDN/>
        <w:adjustRightInd/>
        <w:spacing w:before="120" w:after="120"/>
        <w:ind w:left="648"/>
        <w:contextualSpacing/>
        <w:jc w:val="left"/>
        <w:textAlignment w:val="auto"/>
      </w:pPr>
      <w:r w:rsidRPr="000077D4">
        <w:t xml:space="preserve">Divide the road system into homogeneous traffic volume segments; determine the count locations needed to cover the system over a maximum cycle of six years. </w:t>
      </w:r>
    </w:p>
    <w:p w14:paraId="10DC319C" w14:textId="77777777" w:rsidR="003F7B9F" w:rsidRPr="000077D4" w:rsidRDefault="003F7B9F" w:rsidP="002B5B49">
      <w:pPr>
        <w:widowControl/>
        <w:numPr>
          <w:ilvl w:val="0"/>
          <w:numId w:val="38"/>
        </w:numPr>
        <w:tabs>
          <w:tab w:val="left" w:pos="180"/>
        </w:tabs>
        <w:autoSpaceDE/>
        <w:autoSpaceDN/>
        <w:adjustRightInd/>
        <w:spacing w:before="120" w:after="120"/>
        <w:ind w:left="648"/>
        <w:contextualSpacing/>
        <w:jc w:val="left"/>
        <w:textAlignment w:val="auto"/>
      </w:pPr>
      <w:r w:rsidRPr="000077D4">
        <w:t xml:space="preserve">Determine the count locations required to meet the HPMS and other data needs by reviewing HPMS manuals. </w:t>
      </w:r>
    </w:p>
    <w:p w14:paraId="6A67D6BB" w14:textId="6E4B53B6" w:rsidR="003F7B9F" w:rsidRPr="000077D4" w:rsidRDefault="003F7B9F" w:rsidP="002B5B49">
      <w:pPr>
        <w:widowControl/>
        <w:numPr>
          <w:ilvl w:val="0"/>
          <w:numId w:val="38"/>
        </w:numPr>
        <w:tabs>
          <w:tab w:val="left" w:pos="180"/>
        </w:tabs>
        <w:autoSpaceDE/>
        <w:autoSpaceDN/>
        <w:adjustRightInd/>
        <w:spacing w:before="120" w:after="120"/>
        <w:ind w:left="648"/>
        <w:contextualSpacing/>
        <w:jc w:val="left"/>
        <w:textAlignment w:val="auto"/>
      </w:pPr>
      <w:r w:rsidRPr="000077D4">
        <w:t xml:space="preserve">Determine the count locations and data collection needs of specific projects that will require data in the next year or two. This entails working with the offices that will request </w:t>
      </w:r>
      <w:r w:rsidR="00F04570">
        <w:t>these</w:t>
      </w:r>
      <w:r w:rsidR="00F04570" w:rsidRPr="000077D4">
        <w:t xml:space="preserve"> </w:t>
      </w:r>
      <w:r w:rsidRPr="000077D4">
        <w:t xml:space="preserve">data to determine their data </w:t>
      </w:r>
      <w:r w:rsidRPr="000077D4">
        <w:lastRenderedPageBreak/>
        <w:t>needs. This coordination should occur on a continuous basis to ensure counts for special projects are collected when needed.</w:t>
      </w:r>
    </w:p>
    <w:p w14:paraId="2CA5B274" w14:textId="77777777" w:rsidR="003F7B9F" w:rsidRPr="000077D4" w:rsidRDefault="003F7B9F" w:rsidP="002B5B49">
      <w:pPr>
        <w:widowControl/>
        <w:numPr>
          <w:ilvl w:val="0"/>
          <w:numId w:val="38"/>
        </w:numPr>
        <w:tabs>
          <w:tab w:val="left" w:pos="180"/>
        </w:tabs>
        <w:autoSpaceDE/>
        <w:autoSpaceDN/>
        <w:adjustRightInd/>
        <w:spacing w:before="120" w:after="120"/>
        <w:ind w:left="648"/>
        <w:contextualSpacing/>
        <w:jc w:val="left"/>
        <w:textAlignment w:val="auto"/>
      </w:pPr>
      <w:r w:rsidRPr="000077D4">
        <w:t xml:space="preserve">Overlay the counts on maps of the highway system including the location of functioning continuous counters. </w:t>
      </w:r>
    </w:p>
    <w:p w14:paraId="6BBBE2E8" w14:textId="77777777" w:rsidR="003F7B9F" w:rsidRPr="000077D4" w:rsidRDefault="003F7B9F" w:rsidP="002B5B49">
      <w:pPr>
        <w:widowControl/>
        <w:numPr>
          <w:ilvl w:val="0"/>
          <w:numId w:val="38"/>
        </w:numPr>
        <w:tabs>
          <w:tab w:val="left" w:pos="180"/>
        </w:tabs>
        <w:autoSpaceDE/>
        <w:autoSpaceDN/>
        <w:adjustRightInd/>
        <w:spacing w:before="120" w:after="120"/>
        <w:ind w:left="648"/>
        <w:contextualSpacing/>
        <w:jc w:val="left"/>
        <w:textAlignment w:val="auto"/>
      </w:pPr>
      <w:r w:rsidRPr="000077D4">
        <w:t xml:space="preserve">Determine how counts can be combined to make best use of available counting resources. </w:t>
      </w:r>
    </w:p>
    <w:p w14:paraId="21FCC529" w14:textId="77777777" w:rsidR="003F7B9F" w:rsidRPr="000077D4" w:rsidRDefault="003F7B9F" w:rsidP="002B5B49">
      <w:pPr>
        <w:widowControl/>
        <w:numPr>
          <w:ilvl w:val="0"/>
          <w:numId w:val="38"/>
        </w:numPr>
        <w:tabs>
          <w:tab w:val="left" w:pos="180"/>
        </w:tabs>
        <w:autoSpaceDE/>
        <w:autoSpaceDN/>
        <w:adjustRightInd/>
        <w:spacing w:before="120" w:after="120"/>
        <w:ind w:left="648"/>
        <w:jc w:val="left"/>
        <w:textAlignment w:val="auto"/>
      </w:pPr>
      <w:r w:rsidRPr="000077D4">
        <w:t xml:space="preserve">Schedule the counts to use the available data collection crews and equipment efficiently. </w:t>
      </w:r>
    </w:p>
    <w:p w14:paraId="79247881" w14:textId="77777777" w:rsidR="003F7B9F" w:rsidRPr="000077D4" w:rsidRDefault="003F7B9F" w:rsidP="00A35EAF">
      <w:pPr>
        <w:pStyle w:val="BodyText"/>
      </w:pPr>
      <w:r w:rsidRPr="000077D4">
        <w:t>These steps are intended to reduce count duplication and increase the efficiency of the data collection staff.</w:t>
      </w:r>
    </w:p>
    <w:p w14:paraId="072FD910" w14:textId="1FFC0163" w:rsidR="003F7B9F" w:rsidRPr="00517F7A" w:rsidRDefault="003F7B9F">
      <w:pPr>
        <w:pStyle w:val="Heading3"/>
      </w:pPr>
      <w:bookmarkStart w:id="1934" w:name="_Toc68190222"/>
      <w:bookmarkStart w:id="1935" w:name="_Toc118205650"/>
      <w:r w:rsidRPr="00517F7A">
        <w:t>Duration of Counts</w:t>
      </w:r>
      <w:bookmarkEnd w:id="1934"/>
      <w:bookmarkEnd w:id="1935"/>
      <w:r w:rsidR="004D4172">
        <w:t xml:space="preserve"> </w:t>
      </w:r>
    </w:p>
    <w:p w14:paraId="677F5987" w14:textId="181EA5C5" w:rsidR="00EE2B89" w:rsidRPr="00EE2B89" w:rsidRDefault="00EE2B89" w:rsidP="00A35EAF">
      <w:pPr>
        <w:pStyle w:val="BodyText"/>
      </w:pPr>
      <w:r w:rsidRPr="00EE2B89">
        <w:t xml:space="preserve">Longer duration short-term counts produce modest but statistically significant improvements in accuracy of AADT estimates. Details about accuracy gains can be found </w:t>
      </w:r>
      <w:bookmarkStart w:id="1936" w:name="_Hlk76055620"/>
      <w:r w:rsidR="00383731" w:rsidRPr="00383731">
        <w:t xml:space="preserve">in </w:t>
      </w:r>
      <w:r w:rsidR="007E7F29" w:rsidRPr="007E7F29">
        <w:rPr>
          <w:i/>
          <w:iCs/>
        </w:rPr>
        <w:t>Assessing AADT Accuracy Issues Related to Short-Term Count Durations</w:t>
      </w:r>
      <w:r w:rsidR="007E7F29" w:rsidRPr="007E7F29" w:rsidDel="007E7F29">
        <w:rPr>
          <w:i/>
          <w:iCs/>
        </w:rPr>
        <w:t xml:space="preserve"> </w:t>
      </w:r>
      <w:r w:rsidR="00383731" w:rsidRPr="00A6641B">
        <w:t>(Krile 201</w:t>
      </w:r>
      <w:r w:rsidR="00A6641B">
        <w:t>5b</w:t>
      </w:r>
      <w:r w:rsidR="00383731" w:rsidRPr="00A6641B">
        <w:t>)</w:t>
      </w:r>
      <w:r w:rsidRPr="00A6641B">
        <w:t>.</w:t>
      </w:r>
      <w:bookmarkEnd w:id="1936"/>
      <w:r w:rsidRPr="00383731">
        <w:t xml:space="preserve"> For example, if a 48-hour count serves as the basis for the AADT estimate—as opposed to a 24-hour</w:t>
      </w:r>
      <w:r w:rsidRPr="00EE2B89">
        <w:t xml:space="preserve"> count—there is around a 5 percent increase in the probability that an AADT estimate is within +/- 10 percent of actual AADT.</w:t>
      </w:r>
      <w:r w:rsidR="004D4172">
        <w:t xml:space="preserve"> </w:t>
      </w:r>
      <w:r w:rsidRPr="00EE2B89">
        <w:t>In general, short-term counts on higher</w:t>
      </w:r>
      <w:r w:rsidR="00F04570">
        <w:t>-</w:t>
      </w:r>
      <w:r w:rsidRPr="00EE2B89">
        <w:t>volume roads can be more accurately converted into AADT estimates from shorter duration counts than those from low</w:t>
      </w:r>
      <w:r w:rsidR="00F70711">
        <w:t>er-</w:t>
      </w:r>
      <w:r w:rsidRPr="00EE2B89">
        <w:t>volume roads. Thus, most improvement in accuracy is obtained when counts are conducted for longer periods on lower</w:t>
      </w:r>
      <w:r w:rsidR="00F70711">
        <w:t>-</w:t>
      </w:r>
      <w:r w:rsidRPr="00EE2B89">
        <w:t xml:space="preserve">volume roads. </w:t>
      </w:r>
    </w:p>
    <w:p w14:paraId="13CEABD4" w14:textId="473B6EAD" w:rsidR="003F7B9F" w:rsidRPr="000167B3" w:rsidRDefault="003F7B9F" w:rsidP="00A35EAF">
      <w:pPr>
        <w:pStyle w:val="BodyText"/>
        <w:rPr>
          <w:rFonts w:ascii="Cambria" w:hAnsi="Cambria"/>
          <w:b/>
          <w:bCs/>
          <w:sz w:val="22"/>
          <w:szCs w:val="22"/>
        </w:rPr>
      </w:pPr>
      <w:r w:rsidRPr="000167B3">
        <w:rPr>
          <w:rFonts w:ascii="Cambria" w:hAnsi="Cambria"/>
          <w:b/>
          <w:bCs/>
          <w:sz w:val="22"/>
          <w:szCs w:val="22"/>
        </w:rPr>
        <w:t>Micromobility Duration of Counts</w:t>
      </w:r>
    </w:p>
    <w:p w14:paraId="0D40A0AC" w14:textId="2D5685F0" w:rsidR="00EE2B89" w:rsidRPr="000077D4" w:rsidRDefault="00EE2B89" w:rsidP="00A35EAF">
      <w:pPr>
        <w:pStyle w:val="BodyText"/>
      </w:pPr>
      <w:r w:rsidRPr="000077D4">
        <w:t xml:space="preserve">The use of automatic counter equipment can substantially extend the duration of short-term counts. If automatic counters are used, then the minimum suggested duration is 7 days (such that all weekday and weekend days are represented). The </w:t>
      </w:r>
      <w:r w:rsidRPr="005E416B">
        <w:rPr>
          <w:i/>
          <w:iCs/>
        </w:rPr>
        <w:t>TMG</w:t>
      </w:r>
      <w:r w:rsidRPr="000077D4">
        <w:t xml:space="preserve"> recommends </w:t>
      </w:r>
      <w:r>
        <w:t>micromobility</w:t>
      </w:r>
      <w:r w:rsidRPr="000077D4">
        <w:t xml:space="preserve"> short-term data collection programs collect hourly (or more granular, 15</w:t>
      </w:r>
      <w:r>
        <w:t>-</w:t>
      </w:r>
      <w:r w:rsidRPr="000077D4">
        <w:t>minute, etc.) traffic volumes that include a minimum of seven consecutive days</w:t>
      </w:r>
      <w:r w:rsidRPr="00044004">
        <w:t xml:space="preserve">. </w:t>
      </w:r>
      <w:bookmarkStart w:id="1937" w:name="_Hlk76055656"/>
      <w:r w:rsidRPr="00044004">
        <w:t xml:space="preserve">The </w:t>
      </w:r>
      <w:r w:rsidR="00C864AE" w:rsidRPr="00044004">
        <w:t xml:space="preserve">Transportation Research Record </w:t>
      </w:r>
      <w:r w:rsidRPr="00044004">
        <w:t>publication “</w:t>
      </w:r>
      <w:r w:rsidRPr="00044004">
        <w:rPr>
          <w:i/>
          <w:iCs/>
        </w:rPr>
        <w:t>Minimizing Annual Average Daily micromobility Traffic Estimation Errors: How Many Counters are Needed per Factor Group?</w:t>
      </w:r>
      <w:r w:rsidRPr="00044004">
        <w:t>” (Nordback</w:t>
      </w:r>
      <w:r w:rsidR="00C864AE" w:rsidRPr="00044004">
        <w:t xml:space="preserve"> </w:t>
      </w:r>
      <w:r w:rsidRPr="00044004">
        <w:t xml:space="preserve">2019) </w:t>
      </w:r>
      <w:bookmarkEnd w:id="1937"/>
      <w:r w:rsidRPr="00044004">
        <w:t>states that results from using continuous count data from 102 sites across six cities, findings confirm that</w:t>
      </w:r>
      <w:r w:rsidRPr="000D7942">
        <w:t xml:space="preserve"> mean absolute percent error (MAPE) in estimated AADT is minimized when </w:t>
      </w:r>
      <w:r>
        <w:t xml:space="preserve">at least </w:t>
      </w:r>
      <w:r w:rsidRPr="000D7942">
        <w:t>seven-day short-term counts are collected.</w:t>
      </w:r>
      <w:r w:rsidR="004D4172">
        <w:t xml:space="preserve"> </w:t>
      </w:r>
    </w:p>
    <w:p w14:paraId="4CCDF519" w14:textId="77FFD7E2" w:rsidR="003F7B9F" w:rsidRPr="000077D4" w:rsidRDefault="003F7B9F" w:rsidP="00A119E0">
      <w:pPr>
        <w:pStyle w:val="CallOut"/>
      </w:pPr>
      <w:r w:rsidRPr="000077D4">
        <w:t>Depending on several other factors</w:t>
      </w:r>
      <w:r>
        <w:t xml:space="preserve"> for </w:t>
      </w:r>
      <w:r w:rsidR="00665742">
        <w:t xml:space="preserve">Micromobility </w:t>
      </w:r>
      <w:r w:rsidRPr="000077D4">
        <w:t xml:space="preserve">(e.g., day-to-day count variability, the total number of short-term monitoring sites, and the number of automatic counters), </w:t>
      </w:r>
      <w:r w:rsidRPr="000077D4">
        <w:rPr>
          <w:b/>
          <w:bCs/>
        </w:rPr>
        <w:t>the preferred duration of automatic counts is 14 days at each location</w:t>
      </w:r>
      <w:r w:rsidRPr="000077D4">
        <w:t>.</w:t>
      </w:r>
      <w:r w:rsidR="004D4172">
        <w:t xml:space="preserve"> </w:t>
      </w:r>
    </w:p>
    <w:p w14:paraId="14409787" w14:textId="0F3A5877" w:rsidR="003F7B9F" w:rsidRPr="00CA5338" w:rsidRDefault="003F7B9F" w:rsidP="00A35EAF">
      <w:pPr>
        <w:pStyle w:val="BodyText"/>
      </w:pPr>
      <w:r w:rsidRPr="000077D4">
        <w:t>Having 14 days of hourly count data allows duplicate DOW of data to be collected and provides assurance that for at least on</w:t>
      </w:r>
      <w:r w:rsidR="00F70711">
        <w:t>e</w:t>
      </w:r>
      <w:r w:rsidRPr="000077D4">
        <w:t xml:space="preserve"> of each DOW is available, in case of weather, equipment failure, or other field</w:t>
      </w:r>
      <w:r w:rsidR="00F70711">
        <w:t>-</w:t>
      </w:r>
      <w:r w:rsidRPr="000077D4">
        <w:t xml:space="preserve">related issues </w:t>
      </w:r>
      <w:r w:rsidR="00F70711">
        <w:t>cause</w:t>
      </w:r>
      <w:r w:rsidR="00F70711" w:rsidRPr="000077D4">
        <w:t xml:space="preserve"> </w:t>
      </w:r>
      <w:r w:rsidRPr="000077D4">
        <w:t xml:space="preserve">one day or one hour to be </w:t>
      </w:r>
      <w:r w:rsidRPr="00CA5338">
        <w:t>eliminated due to erroneous data.</w:t>
      </w:r>
    </w:p>
    <w:p w14:paraId="0D01C88C" w14:textId="2E6CE376" w:rsidR="003F7B9F" w:rsidRPr="00CA5338" w:rsidRDefault="003F7B9F" w:rsidP="00A35EAF">
      <w:pPr>
        <w:pStyle w:val="BodyText"/>
      </w:pPr>
      <w:r w:rsidRPr="00CA5338">
        <w:t>Manual counts can be used for validation of the automated equipment and should be used to verify the quality of the data collected from automated equipment. It is recognized that agencies might not have the available resources to purchase automated equipment and may need to partner with other agencies or obtain grant funding for automated portable counters. Partnering with agency traffic operations may allow automated camera technologies to be used</w:t>
      </w:r>
      <w:r w:rsidR="00F70711">
        <w:t>,</w:t>
      </w:r>
      <w:r w:rsidRPr="00CA5338">
        <w:t xml:space="preserve"> but processing of the video data is labor intensive and may be limited to the collection of 12-hour counts.</w:t>
      </w:r>
    </w:p>
    <w:p w14:paraId="187766AC" w14:textId="30D04CCE" w:rsidR="003F7B9F" w:rsidRPr="000077D4" w:rsidRDefault="003F7B9F" w:rsidP="00A35EAF">
      <w:pPr>
        <w:pStyle w:val="BodyText"/>
      </w:pPr>
      <w:r w:rsidRPr="00CA5338">
        <w:t>If micromobility traffic levels have been counted several times showing results that are high and consistent from day</w:t>
      </w:r>
      <w:r w:rsidR="00F70711">
        <w:t xml:space="preserve"> </w:t>
      </w:r>
      <w:r w:rsidRPr="00CA5338">
        <w:t>to</w:t>
      </w:r>
      <w:r w:rsidR="00F70711">
        <w:t xml:space="preserve"> </w:t>
      </w:r>
      <w:r w:rsidRPr="00CA5338">
        <w:t xml:space="preserve">day, then </w:t>
      </w:r>
      <w:r w:rsidRPr="000077D4">
        <w:t xml:space="preserve">future counts at the location may be conducted for shorter periods and/or fewer days. However, a longer-duration count period (14 days) will be needed to determine how variable the </w:t>
      </w:r>
      <w:r>
        <w:t>micromobility</w:t>
      </w:r>
      <w:r w:rsidRPr="000077D4">
        <w:t xml:space="preserve"> traffic is</w:t>
      </w:r>
      <w:r>
        <w:t xml:space="preserve"> for</w:t>
      </w:r>
      <w:r w:rsidRPr="000077D4">
        <w:t xml:space="preserve"> </w:t>
      </w:r>
      <w:r>
        <w:t xml:space="preserve">both </w:t>
      </w:r>
      <w:r w:rsidR="00F70711">
        <w:t>TOD</w:t>
      </w:r>
      <w:r w:rsidRPr="000077D4">
        <w:t xml:space="preserve"> and DOW.</w:t>
      </w:r>
      <w:r w:rsidR="004D4172">
        <w:t xml:space="preserve"> </w:t>
      </w:r>
    </w:p>
    <w:p w14:paraId="37AA96B9" w14:textId="77777777" w:rsidR="003F7B9F" w:rsidRPr="00517F7A" w:rsidRDefault="003F7B9F">
      <w:pPr>
        <w:pStyle w:val="Heading3"/>
      </w:pPr>
      <w:bookmarkStart w:id="1938" w:name="_Toc68190223"/>
      <w:bookmarkStart w:id="1939" w:name="_Toc118205651"/>
      <w:r w:rsidRPr="00517F7A">
        <w:t>Spacing and Geographical Coverage Methods for Grouping Count Locations (for Factoring)</w:t>
      </w:r>
      <w:bookmarkEnd w:id="1938"/>
      <w:bookmarkEnd w:id="1939"/>
    </w:p>
    <w:p w14:paraId="26650090" w14:textId="16F7D51F" w:rsidR="003F7B9F" w:rsidRDefault="003F7B9F" w:rsidP="00A35EAF">
      <w:pPr>
        <w:pStyle w:val="BodyText"/>
      </w:pPr>
      <w:r w:rsidRPr="000077D4">
        <w:t xml:space="preserve">The spacing between short-term counts in a roadway is subject to agency discretion. The method for section length determination should be detailed in the State TMS plan. The primary objective is to count enough locations on a roadway so that the traffic volume estimates available for a given highway segment accurately portray the </w:t>
      </w:r>
      <w:r w:rsidRPr="000077D4">
        <w:lastRenderedPageBreak/>
        <w:t>traffic volume on that segment. Generally, roadway segments are treated as homogenous traffic sections</w:t>
      </w:r>
      <w:r w:rsidR="000B4B56">
        <w:t>,</w:t>
      </w:r>
      <w:r w:rsidRPr="000077D4">
        <w:t xml:space="preserve"> meaning traffic volumes are the same for the entire segment. For a limited access highway, this is true between interchanges. However, it is also true for all practical engineering purposes for a rural road where access and </w:t>
      </w:r>
      <w:r w:rsidR="00214921">
        <w:rPr>
          <w:noProof/>
        </w:rPr>
        <mc:AlternateContent>
          <mc:Choice Requires="wps">
            <w:drawing>
              <wp:anchor distT="45720" distB="45720" distL="114300" distR="114300" simplePos="0" relativeHeight="251717632" behindDoc="0" locked="0" layoutInCell="1" allowOverlap="1" wp14:anchorId="6140C7C1" wp14:editId="78CC61AA">
                <wp:simplePos x="0" y="0"/>
                <wp:positionH relativeFrom="margin">
                  <wp:posOffset>3481705</wp:posOffset>
                </wp:positionH>
                <wp:positionV relativeFrom="paragraph">
                  <wp:posOffset>566148</wp:posOffset>
                </wp:positionV>
                <wp:extent cx="2472055" cy="2286000"/>
                <wp:effectExtent l="0" t="0" r="4445" b="0"/>
                <wp:wrapSquare wrapText="bothSides"/>
                <wp:docPr id="358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2055" cy="2286000"/>
                        </a:xfrm>
                        <a:prstGeom prst="rect">
                          <a:avLst/>
                        </a:prstGeom>
                        <a:solidFill>
                          <a:srgbClr val="FFFFFF"/>
                        </a:solidFill>
                        <a:ln w="9525">
                          <a:noFill/>
                          <a:miter lim="800000"/>
                          <a:headEnd/>
                          <a:tailEnd/>
                        </a:ln>
                      </wps:spPr>
                      <wps:txbx>
                        <w:txbxContent>
                          <w:p w14:paraId="6BB58240" w14:textId="7489CB78" w:rsidR="000167B3" w:rsidRDefault="000167B3" w:rsidP="000167B3">
                            <w:pPr>
                              <w:pStyle w:val="TMGTableCaption"/>
                              <w:spacing w:before="0"/>
                            </w:pPr>
                            <w:bookmarkStart w:id="1940" w:name="_Ref114750118"/>
                            <w:bookmarkStart w:id="1941" w:name="_Toc120631141"/>
                            <w:r>
                              <w:t xml:space="preserve">Table </w:t>
                            </w:r>
                            <w:fldSimple w:instr=" STYLEREF 1 \s ">
                              <w:r w:rsidR="00FC0E95">
                                <w:rPr>
                                  <w:noProof/>
                                </w:rPr>
                                <w:t>3</w:t>
                              </w:r>
                            </w:fldSimple>
                            <w:r>
                              <w:noBreakHyphen/>
                            </w:r>
                            <w:fldSimple w:instr=" SEQ Table \* ARABIC \s 1 ">
                              <w:r w:rsidR="00FC0E95">
                                <w:rPr>
                                  <w:noProof/>
                                </w:rPr>
                                <w:t>15</w:t>
                              </w:r>
                            </w:fldSimple>
                            <w:bookmarkEnd w:id="1940"/>
                            <w:r w:rsidR="00352273">
                              <w:t>.</w:t>
                            </w:r>
                            <w:r>
                              <w:t xml:space="preserve"> </w:t>
                            </w:r>
                            <w:r w:rsidRPr="00562EF8">
                              <w:t xml:space="preserve">Estimating Spacing </w:t>
                            </w:r>
                            <w:r>
                              <w:t>o</w:t>
                            </w:r>
                            <w:r w:rsidRPr="00562EF8">
                              <w:t>f</w:t>
                            </w:r>
                            <w:r>
                              <w:br/>
                            </w:r>
                            <w:r w:rsidRPr="00562EF8">
                              <w:t>Short-Duration Counts</w:t>
                            </w:r>
                            <w:bookmarkEnd w:id="1941"/>
                          </w:p>
                          <w:tbl>
                            <w:tblPr>
                              <w:tblStyle w:val="TableGrid"/>
                              <w:tblW w:w="0" w:type="auto"/>
                              <w:tblCellMar>
                                <w:left w:w="86" w:type="dxa"/>
                                <w:right w:w="86" w:type="dxa"/>
                              </w:tblCellMar>
                              <w:tblLook w:val="04A0" w:firstRow="1" w:lastRow="0" w:firstColumn="1" w:lastColumn="0" w:noHBand="0" w:noVBand="1"/>
                            </w:tblPr>
                            <w:tblGrid>
                              <w:gridCol w:w="1615"/>
                              <w:gridCol w:w="2250"/>
                            </w:tblGrid>
                            <w:tr w:rsidR="000167B3" w14:paraId="2303A09A" w14:textId="77777777" w:rsidTr="000167B3">
                              <w:tc>
                                <w:tcPr>
                                  <w:tcW w:w="1615" w:type="dxa"/>
                                  <w:tcBorders>
                                    <w:right w:val="single" w:sz="4" w:space="0" w:color="FFFFFF" w:themeColor="background1"/>
                                  </w:tcBorders>
                                  <w:shd w:val="clear" w:color="auto" w:fill="1F3864"/>
                                  <w:vAlign w:val="center"/>
                                </w:tcPr>
                                <w:p w14:paraId="6C7D843A" w14:textId="1A83E8FB" w:rsidR="000167B3" w:rsidRDefault="000167B3" w:rsidP="0017389B">
                                  <w:pPr>
                                    <w:pStyle w:val="TMGTableTextHeader"/>
                                  </w:pPr>
                                  <w:r w:rsidRPr="00D170BD">
                                    <w:t>Beginning Segment AADT</w:t>
                                  </w:r>
                                </w:p>
                              </w:tc>
                              <w:tc>
                                <w:tcPr>
                                  <w:tcW w:w="2250" w:type="dxa"/>
                                  <w:tcBorders>
                                    <w:left w:val="single" w:sz="4" w:space="0" w:color="FFFFFF" w:themeColor="background1"/>
                                  </w:tcBorders>
                                  <w:shd w:val="clear" w:color="auto" w:fill="1F3864"/>
                                  <w:vAlign w:val="center"/>
                                </w:tcPr>
                                <w:p w14:paraId="7E732948" w14:textId="44DDA6C0" w:rsidR="000167B3" w:rsidRDefault="000167B3" w:rsidP="0017389B">
                                  <w:pPr>
                                    <w:pStyle w:val="TMGTableTextHeader"/>
                                  </w:pPr>
                                  <w:r w:rsidRPr="00D170BD">
                                    <w:t>Adjoining Segment AADT Within</w:t>
                                  </w:r>
                                </w:p>
                              </w:tc>
                            </w:tr>
                            <w:tr w:rsidR="000167B3" w14:paraId="1957CD37" w14:textId="77777777" w:rsidTr="000167B3">
                              <w:tc>
                                <w:tcPr>
                                  <w:tcW w:w="1615" w:type="dxa"/>
                                  <w:vAlign w:val="center"/>
                                </w:tcPr>
                                <w:p w14:paraId="285BF300" w14:textId="709A0F20" w:rsidR="000167B3" w:rsidRPr="00E977A4" w:rsidRDefault="000167B3" w:rsidP="00283B5B">
                                  <w:pPr>
                                    <w:pStyle w:val="TMGTableText"/>
                                    <w:spacing w:before="10" w:after="10"/>
                                    <w:ind w:left="0"/>
                                    <w:jc w:val="right"/>
                                    <w:rPr>
                                      <w:b/>
                                      <w:bCs/>
                                    </w:rPr>
                                  </w:pPr>
                                  <w:r w:rsidRPr="00D170BD">
                                    <w:t>100,000 or more</w:t>
                                  </w:r>
                                </w:p>
                              </w:tc>
                              <w:tc>
                                <w:tcPr>
                                  <w:tcW w:w="2250" w:type="dxa"/>
                                  <w:vAlign w:val="center"/>
                                </w:tcPr>
                                <w:p w14:paraId="35C673DE" w14:textId="68308667" w:rsidR="000167B3" w:rsidRDefault="000167B3" w:rsidP="00283B5B">
                                  <w:pPr>
                                    <w:pStyle w:val="TMGTableText"/>
                                    <w:spacing w:before="10" w:after="10"/>
                                    <w:ind w:left="0"/>
                                    <w:jc w:val="center"/>
                                  </w:pPr>
                                  <w:r w:rsidRPr="00D170BD">
                                    <w:t>+/- 10%</w:t>
                                  </w:r>
                                </w:p>
                              </w:tc>
                            </w:tr>
                            <w:tr w:rsidR="000167B3" w14:paraId="70FB6131" w14:textId="77777777" w:rsidTr="000167B3">
                              <w:tc>
                                <w:tcPr>
                                  <w:tcW w:w="1615" w:type="dxa"/>
                                  <w:vAlign w:val="center"/>
                                </w:tcPr>
                                <w:p w14:paraId="586867FB" w14:textId="46989E57" w:rsidR="000167B3" w:rsidRPr="00E977A4" w:rsidRDefault="000167B3" w:rsidP="00283B5B">
                                  <w:pPr>
                                    <w:pStyle w:val="TMGTableText"/>
                                    <w:spacing w:before="10" w:after="10"/>
                                    <w:ind w:left="0"/>
                                    <w:jc w:val="right"/>
                                    <w:rPr>
                                      <w:b/>
                                      <w:bCs/>
                                    </w:rPr>
                                  </w:pPr>
                                  <w:r w:rsidRPr="00D170BD">
                                    <w:t>50,000 – 99,999</w:t>
                                  </w:r>
                                </w:p>
                              </w:tc>
                              <w:tc>
                                <w:tcPr>
                                  <w:tcW w:w="2250" w:type="dxa"/>
                                  <w:vAlign w:val="center"/>
                                </w:tcPr>
                                <w:p w14:paraId="559FDD58" w14:textId="48D97EC4" w:rsidR="000167B3" w:rsidRDefault="000167B3" w:rsidP="00283B5B">
                                  <w:pPr>
                                    <w:pStyle w:val="TMGTableText"/>
                                    <w:spacing w:before="10" w:after="10"/>
                                    <w:ind w:left="0"/>
                                    <w:jc w:val="center"/>
                                  </w:pPr>
                                  <w:r w:rsidRPr="00D170BD">
                                    <w:t>+/- 20%</w:t>
                                  </w:r>
                                </w:p>
                              </w:tc>
                            </w:tr>
                            <w:tr w:rsidR="000167B3" w14:paraId="7A656D31" w14:textId="77777777" w:rsidTr="000167B3">
                              <w:tc>
                                <w:tcPr>
                                  <w:tcW w:w="1615" w:type="dxa"/>
                                  <w:vAlign w:val="center"/>
                                </w:tcPr>
                                <w:p w14:paraId="76CC880A" w14:textId="0434FFB7" w:rsidR="000167B3" w:rsidRPr="00E977A4" w:rsidRDefault="000167B3" w:rsidP="00283B5B">
                                  <w:pPr>
                                    <w:pStyle w:val="TMGTableText"/>
                                    <w:spacing w:before="10" w:after="10"/>
                                    <w:ind w:left="0"/>
                                    <w:jc w:val="right"/>
                                    <w:rPr>
                                      <w:b/>
                                      <w:bCs/>
                                    </w:rPr>
                                  </w:pPr>
                                  <w:r w:rsidRPr="00D170BD">
                                    <w:t>10,000 – 49,999</w:t>
                                  </w:r>
                                </w:p>
                              </w:tc>
                              <w:tc>
                                <w:tcPr>
                                  <w:tcW w:w="2250" w:type="dxa"/>
                                  <w:vAlign w:val="center"/>
                                </w:tcPr>
                                <w:p w14:paraId="51A67864" w14:textId="1D4396E9" w:rsidR="000167B3" w:rsidRDefault="000167B3" w:rsidP="00283B5B">
                                  <w:pPr>
                                    <w:pStyle w:val="TMGTableText"/>
                                    <w:spacing w:before="10" w:after="10"/>
                                    <w:ind w:left="0"/>
                                    <w:jc w:val="center"/>
                                  </w:pPr>
                                  <w:r w:rsidRPr="00D170BD">
                                    <w:t>+/- 30%</w:t>
                                  </w:r>
                                </w:p>
                              </w:tc>
                            </w:tr>
                            <w:tr w:rsidR="000167B3" w14:paraId="577206E5" w14:textId="77777777" w:rsidTr="000167B3">
                              <w:tc>
                                <w:tcPr>
                                  <w:tcW w:w="1615" w:type="dxa"/>
                                  <w:vAlign w:val="center"/>
                                </w:tcPr>
                                <w:p w14:paraId="201ADAFA" w14:textId="57DA0339" w:rsidR="000167B3" w:rsidRPr="00E977A4" w:rsidRDefault="000167B3" w:rsidP="00283B5B">
                                  <w:pPr>
                                    <w:pStyle w:val="TMGTableText"/>
                                    <w:spacing w:before="10" w:after="10"/>
                                    <w:ind w:left="0"/>
                                    <w:jc w:val="right"/>
                                    <w:rPr>
                                      <w:b/>
                                      <w:bCs/>
                                    </w:rPr>
                                  </w:pPr>
                                  <w:r w:rsidRPr="00D170BD">
                                    <w:t>5,000 – 9,999</w:t>
                                  </w:r>
                                </w:p>
                              </w:tc>
                              <w:tc>
                                <w:tcPr>
                                  <w:tcW w:w="2250" w:type="dxa"/>
                                  <w:vAlign w:val="center"/>
                                </w:tcPr>
                                <w:p w14:paraId="1ECDC7AD" w14:textId="4B059150" w:rsidR="000167B3" w:rsidRDefault="000167B3" w:rsidP="00283B5B">
                                  <w:pPr>
                                    <w:pStyle w:val="TMGTableText"/>
                                    <w:spacing w:before="10" w:after="10"/>
                                    <w:ind w:left="0"/>
                                    <w:jc w:val="center"/>
                                  </w:pPr>
                                  <w:r w:rsidRPr="00D170BD">
                                    <w:t>+/- 40%</w:t>
                                  </w:r>
                                </w:p>
                              </w:tc>
                            </w:tr>
                            <w:tr w:rsidR="000167B3" w14:paraId="3D196A40" w14:textId="77777777" w:rsidTr="000167B3">
                              <w:tc>
                                <w:tcPr>
                                  <w:tcW w:w="1615" w:type="dxa"/>
                                  <w:vAlign w:val="center"/>
                                </w:tcPr>
                                <w:p w14:paraId="4C7F713B" w14:textId="5847C55A" w:rsidR="000167B3" w:rsidRPr="00E977A4" w:rsidRDefault="000167B3" w:rsidP="00283B5B">
                                  <w:pPr>
                                    <w:pStyle w:val="TMGTableText"/>
                                    <w:spacing w:before="10" w:after="10"/>
                                    <w:ind w:left="0"/>
                                    <w:jc w:val="right"/>
                                    <w:rPr>
                                      <w:b/>
                                      <w:bCs/>
                                    </w:rPr>
                                  </w:pPr>
                                  <w:r w:rsidRPr="00D170BD">
                                    <w:t>1,000 – 4,999</w:t>
                                  </w:r>
                                </w:p>
                              </w:tc>
                              <w:tc>
                                <w:tcPr>
                                  <w:tcW w:w="2250" w:type="dxa"/>
                                  <w:vAlign w:val="center"/>
                                </w:tcPr>
                                <w:p w14:paraId="225BF6D7" w14:textId="2671CB3A" w:rsidR="000167B3" w:rsidRDefault="000167B3" w:rsidP="00283B5B">
                                  <w:pPr>
                                    <w:pStyle w:val="TMGTableText"/>
                                    <w:spacing w:before="10" w:after="10"/>
                                    <w:ind w:left="0"/>
                                    <w:jc w:val="center"/>
                                  </w:pPr>
                                  <w:r w:rsidRPr="00D170BD">
                                    <w:t>+/- 50%</w:t>
                                  </w:r>
                                </w:p>
                              </w:tc>
                            </w:tr>
                            <w:tr w:rsidR="000167B3" w14:paraId="6DA32139" w14:textId="77777777" w:rsidTr="000167B3">
                              <w:tc>
                                <w:tcPr>
                                  <w:tcW w:w="1615" w:type="dxa"/>
                                  <w:vAlign w:val="center"/>
                                </w:tcPr>
                                <w:p w14:paraId="130DF26B" w14:textId="4632E0D1" w:rsidR="000167B3" w:rsidRPr="00E977A4" w:rsidRDefault="000167B3" w:rsidP="00283B5B">
                                  <w:pPr>
                                    <w:pStyle w:val="TMGTableText"/>
                                    <w:spacing w:before="10" w:after="10"/>
                                    <w:ind w:left="0"/>
                                    <w:jc w:val="right"/>
                                    <w:rPr>
                                      <w:b/>
                                      <w:bCs/>
                                    </w:rPr>
                                  </w:pPr>
                                  <w:r w:rsidRPr="00D170BD">
                                    <w:t>500 – 999</w:t>
                                  </w:r>
                                </w:p>
                              </w:tc>
                              <w:tc>
                                <w:tcPr>
                                  <w:tcW w:w="2250" w:type="dxa"/>
                                  <w:vAlign w:val="center"/>
                                </w:tcPr>
                                <w:p w14:paraId="08EFABEC" w14:textId="4749526B" w:rsidR="000167B3" w:rsidRDefault="000167B3" w:rsidP="00283B5B">
                                  <w:pPr>
                                    <w:pStyle w:val="TMGTableText"/>
                                    <w:spacing w:before="10" w:after="10"/>
                                    <w:ind w:left="0"/>
                                    <w:jc w:val="center"/>
                                  </w:pPr>
                                  <w:r w:rsidRPr="00D170BD">
                                    <w:t>+/- 60%</w:t>
                                  </w:r>
                                </w:p>
                              </w:tc>
                            </w:tr>
                            <w:tr w:rsidR="000167B3" w14:paraId="2B98F6C4" w14:textId="77777777" w:rsidTr="000167B3">
                              <w:tc>
                                <w:tcPr>
                                  <w:tcW w:w="1615" w:type="dxa"/>
                                  <w:vAlign w:val="center"/>
                                </w:tcPr>
                                <w:p w14:paraId="263E7328" w14:textId="29E57ADB" w:rsidR="000167B3" w:rsidRPr="00E977A4" w:rsidRDefault="000167B3" w:rsidP="00283B5B">
                                  <w:pPr>
                                    <w:pStyle w:val="TMGTableText"/>
                                    <w:spacing w:before="10" w:after="10"/>
                                    <w:ind w:left="0"/>
                                    <w:jc w:val="right"/>
                                    <w:rPr>
                                      <w:b/>
                                      <w:bCs/>
                                    </w:rPr>
                                  </w:pPr>
                                  <w:r w:rsidRPr="00D170BD">
                                    <w:t>250 – 499</w:t>
                                  </w:r>
                                </w:p>
                              </w:tc>
                              <w:tc>
                                <w:tcPr>
                                  <w:tcW w:w="2250" w:type="dxa"/>
                                  <w:vAlign w:val="center"/>
                                </w:tcPr>
                                <w:p w14:paraId="28F073D8" w14:textId="1340BE2F" w:rsidR="000167B3" w:rsidRDefault="000167B3" w:rsidP="00283B5B">
                                  <w:pPr>
                                    <w:pStyle w:val="TMGTableText"/>
                                    <w:spacing w:before="10" w:after="10"/>
                                    <w:ind w:left="0"/>
                                    <w:jc w:val="center"/>
                                  </w:pPr>
                                  <w:r w:rsidRPr="00D170BD">
                                    <w:t>+/- 80%</w:t>
                                  </w:r>
                                </w:p>
                              </w:tc>
                            </w:tr>
                            <w:tr w:rsidR="000167B3" w14:paraId="4CB59F47" w14:textId="77777777" w:rsidTr="000167B3">
                              <w:tc>
                                <w:tcPr>
                                  <w:tcW w:w="1615" w:type="dxa"/>
                                  <w:vAlign w:val="center"/>
                                </w:tcPr>
                                <w:p w14:paraId="263F9A1E" w14:textId="0EBC42F2" w:rsidR="000167B3" w:rsidRPr="00E977A4" w:rsidRDefault="000167B3" w:rsidP="00283B5B">
                                  <w:pPr>
                                    <w:pStyle w:val="TMGTableText"/>
                                    <w:spacing w:before="10" w:after="10"/>
                                    <w:ind w:left="0"/>
                                    <w:jc w:val="right"/>
                                    <w:rPr>
                                      <w:b/>
                                      <w:bCs/>
                                    </w:rPr>
                                  </w:pPr>
                                  <w:r w:rsidRPr="00D170BD">
                                    <w:t>Less than 250</w:t>
                                  </w:r>
                                </w:p>
                              </w:tc>
                              <w:tc>
                                <w:tcPr>
                                  <w:tcW w:w="2250" w:type="dxa"/>
                                  <w:vAlign w:val="center"/>
                                </w:tcPr>
                                <w:p w14:paraId="61C13907" w14:textId="0DD152BA" w:rsidR="000167B3" w:rsidRDefault="000167B3" w:rsidP="00283B5B">
                                  <w:pPr>
                                    <w:pStyle w:val="TMGTableText"/>
                                    <w:spacing w:before="10" w:after="10"/>
                                    <w:ind w:left="0"/>
                                    <w:jc w:val="center"/>
                                  </w:pPr>
                                  <w:r w:rsidRPr="00D170BD">
                                    <w:t>+/- 100% or 250 vehicles (whichever is greater)</w:t>
                                  </w:r>
                                </w:p>
                              </w:tc>
                            </w:tr>
                          </w:tbl>
                          <w:p w14:paraId="628E6922" w14:textId="77777777" w:rsidR="000167B3" w:rsidRDefault="000167B3" w:rsidP="000167B3"/>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140C7C1" id="_x0000_s1104" type="#_x0000_t202" style="position:absolute;margin-left:274.15pt;margin-top:44.6pt;width:194.65pt;height:180pt;z-index:251717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" stroked="f">
                <v:textbox inset="0,0,0,0">
                  <w:txbxContent>
                    <w:p w14:paraId="6BB58240" w14:textId="7489CB78" w:rsidR="000167B3" w:rsidRDefault="000167B3" w:rsidP="000167B3">
                      <w:pPr>
                        <w:pStyle w:val="TMGTableCaption"/>
                        <w:spacing w:before="0"/>
                      </w:pPr>
                      <w:bookmarkStart w:id="1942" w:name="_Ref114750118"/>
                      <w:bookmarkStart w:id="1943" w:name="_Toc120631141"/>
                      <w:r>
                        <w:t xml:space="preserve">Table </w:t>
                      </w:r>
                      <w:fldSimple w:instr=" STYLEREF 1 \s ">
                        <w:r w:rsidR="00FC0E95">
                          <w:rPr>
                            <w:noProof/>
                          </w:rPr>
                          <w:t>3</w:t>
                        </w:r>
                      </w:fldSimple>
                      <w:r>
                        <w:noBreakHyphen/>
                      </w:r>
                      <w:fldSimple w:instr=" SEQ Table \* ARABIC \s 1 ">
                        <w:r w:rsidR="00FC0E95">
                          <w:rPr>
                            <w:noProof/>
                          </w:rPr>
                          <w:t>15</w:t>
                        </w:r>
                      </w:fldSimple>
                      <w:bookmarkEnd w:id="1942"/>
                      <w:r w:rsidR="00352273">
                        <w:t>.</w:t>
                      </w:r>
                      <w:r>
                        <w:t xml:space="preserve"> </w:t>
                      </w:r>
                      <w:r w:rsidRPr="00562EF8">
                        <w:t xml:space="preserve">Estimating Spacing </w:t>
                      </w:r>
                      <w:r>
                        <w:t>o</w:t>
                      </w:r>
                      <w:r w:rsidRPr="00562EF8">
                        <w:t>f</w:t>
                      </w:r>
                      <w:r>
                        <w:br/>
                      </w:r>
                      <w:r w:rsidRPr="00562EF8">
                        <w:t>Short-Duration Counts</w:t>
                      </w:r>
                      <w:bookmarkEnd w:id="1943"/>
                    </w:p>
                    <w:tbl>
                      <w:tblPr>
                        <w:tblStyle w:val="TableGrid"/>
                        <w:tblW w:w="0" w:type="auto"/>
                        <w:tblCellMar>
                          <w:left w:w="86" w:type="dxa"/>
                          <w:right w:w="86" w:type="dxa"/>
                        </w:tblCellMar>
                        <w:tblLook w:val="04A0" w:firstRow="1" w:lastRow="0" w:firstColumn="1" w:lastColumn="0" w:noHBand="0" w:noVBand="1"/>
                      </w:tblPr>
                      <w:tblGrid>
                        <w:gridCol w:w="1615"/>
                        <w:gridCol w:w="2250"/>
                      </w:tblGrid>
                      <w:tr w:rsidR="000167B3" w14:paraId="2303A09A" w14:textId="77777777" w:rsidTr="000167B3">
                        <w:tc>
                          <w:tcPr>
                            <w:tcW w:w="1615" w:type="dxa"/>
                            <w:tcBorders>
                              <w:right w:val="single" w:sz="4" w:space="0" w:color="FFFFFF" w:themeColor="background1"/>
                            </w:tcBorders>
                            <w:shd w:val="clear" w:color="auto" w:fill="1F3864"/>
                            <w:vAlign w:val="center"/>
                          </w:tcPr>
                          <w:p w14:paraId="6C7D843A" w14:textId="1A83E8FB" w:rsidR="000167B3" w:rsidRDefault="000167B3" w:rsidP="0017389B">
                            <w:pPr>
                              <w:pStyle w:val="TMGTableTextHeader"/>
                            </w:pPr>
                            <w:r w:rsidRPr="00D170BD">
                              <w:t>Beginning Segment AADT</w:t>
                            </w:r>
                          </w:p>
                        </w:tc>
                        <w:tc>
                          <w:tcPr>
                            <w:tcW w:w="2250" w:type="dxa"/>
                            <w:tcBorders>
                              <w:left w:val="single" w:sz="4" w:space="0" w:color="FFFFFF" w:themeColor="background1"/>
                            </w:tcBorders>
                            <w:shd w:val="clear" w:color="auto" w:fill="1F3864"/>
                            <w:vAlign w:val="center"/>
                          </w:tcPr>
                          <w:p w14:paraId="7E732948" w14:textId="44DDA6C0" w:rsidR="000167B3" w:rsidRDefault="000167B3" w:rsidP="0017389B">
                            <w:pPr>
                              <w:pStyle w:val="TMGTableTextHeader"/>
                            </w:pPr>
                            <w:r w:rsidRPr="00D170BD">
                              <w:t>Adjoining Segment AADT Within</w:t>
                            </w:r>
                          </w:p>
                        </w:tc>
                      </w:tr>
                      <w:tr w:rsidR="000167B3" w14:paraId="1957CD37" w14:textId="77777777" w:rsidTr="000167B3">
                        <w:tc>
                          <w:tcPr>
                            <w:tcW w:w="1615" w:type="dxa"/>
                            <w:vAlign w:val="center"/>
                          </w:tcPr>
                          <w:p w14:paraId="285BF300" w14:textId="709A0F20" w:rsidR="000167B3" w:rsidRPr="00E977A4" w:rsidRDefault="000167B3" w:rsidP="00283B5B">
                            <w:pPr>
                              <w:pStyle w:val="TMGTableText"/>
                              <w:spacing w:before="10" w:after="10"/>
                              <w:ind w:left="0"/>
                              <w:jc w:val="right"/>
                              <w:rPr>
                                <w:b/>
                                <w:bCs/>
                              </w:rPr>
                            </w:pPr>
                            <w:r w:rsidRPr="00D170BD">
                              <w:t>100,000 or more</w:t>
                            </w:r>
                          </w:p>
                        </w:tc>
                        <w:tc>
                          <w:tcPr>
                            <w:tcW w:w="2250" w:type="dxa"/>
                            <w:vAlign w:val="center"/>
                          </w:tcPr>
                          <w:p w14:paraId="35C673DE" w14:textId="68308667" w:rsidR="000167B3" w:rsidRDefault="000167B3" w:rsidP="00283B5B">
                            <w:pPr>
                              <w:pStyle w:val="TMGTableText"/>
                              <w:spacing w:before="10" w:after="10"/>
                              <w:ind w:left="0"/>
                              <w:jc w:val="center"/>
                            </w:pPr>
                            <w:r w:rsidRPr="00D170BD">
                              <w:t>+/- 10%</w:t>
                            </w:r>
                          </w:p>
                        </w:tc>
                      </w:tr>
                      <w:tr w:rsidR="000167B3" w14:paraId="70FB6131" w14:textId="77777777" w:rsidTr="000167B3">
                        <w:tc>
                          <w:tcPr>
                            <w:tcW w:w="1615" w:type="dxa"/>
                            <w:vAlign w:val="center"/>
                          </w:tcPr>
                          <w:p w14:paraId="586867FB" w14:textId="46989E57" w:rsidR="000167B3" w:rsidRPr="00E977A4" w:rsidRDefault="000167B3" w:rsidP="00283B5B">
                            <w:pPr>
                              <w:pStyle w:val="TMGTableText"/>
                              <w:spacing w:before="10" w:after="10"/>
                              <w:ind w:left="0"/>
                              <w:jc w:val="right"/>
                              <w:rPr>
                                <w:b/>
                                <w:bCs/>
                              </w:rPr>
                            </w:pPr>
                            <w:r w:rsidRPr="00D170BD">
                              <w:t>50,000 – 99,999</w:t>
                            </w:r>
                          </w:p>
                        </w:tc>
                        <w:tc>
                          <w:tcPr>
                            <w:tcW w:w="2250" w:type="dxa"/>
                            <w:vAlign w:val="center"/>
                          </w:tcPr>
                          <w:p w14:paraId="559FDD58" w14:textId="48D97EC4" w:rsidR="000167B3" w:rsidRDefault="000167B3" w:rsidP="00283B5B">
                            <w:pPr>
                              <w:pStyle w:val="TMGTableText"/>
                              <w:spacing w:before="10" w:after="10"/>
                              <w:ind w:left="0"/>
                              <w:jc w:val="center"/>
                            </w:pPr>
                            <w:r w:rsidRPr="00D170BD">
                              <w:t>+/- 20%</w:t>
                            </w:r>
                          </w:p>
                        </w:tc>
                      </w:tr>
                      <w:tr w:rsidR="000167B3" w14:paraId="7A656D31" w14:textId="77777777" w:rsidTr="000167B3">
                        <w:tc>
                          <w:tcPr>
                            <w:tcW w:w="1615" w:type="dxa"/>
                            <w:vAlign w:val="center"/>
                          </w:tcPr>
                          <w:p w14:paraId="76CC880A" w14:textId="0434FFB7" w:rsidR="000167B3" w:rsidRPr="00E977A4" w:rsidRDefault="000167B3" w:rsidP="00283B5B">
                            <w:pPr>
                              <w:pStyle w:val="TMGTableText"/>
                              <w:spacing w:before="10" w:after="10"/>
                              <w:ind w:left="0"/>
                              <w:jc w:val="right"/>
                              <w:rPr>
                                <w:b/>
                                <w:bCs/>
                              </w:rPr>
                            </w:pPr>
                            <w:r w:rsidRPr="00D170BD">
                              <w:t>10,000 – 49,999</w:t>
                            </w:r>
                          </w:p>
                        </w:tc>
                        <w:tc>
                          <w:tcPr>
                            <w:tcW w:w="2250" w:type="dxa"/>
                            <w:vAlign w:val="center"/>
                          </w:tcPr>
                          <w:p w14:paraId="51A67864" w14:textId="1D4396E9" w:rsidR="000167B3" w:rsidRDefault="000167B3" w:rsidP="00283B5B">
                            <w:pPr>
                              <w:pStyle w:val="TMGTableText"/>
                              <w:spacing w:before="10" w:after="10"/>
                              <w:ind w:left="0"/>
                              <w:jc w:val="center"/>
                            </w:pPr>
                            <w:r w:rsidRPr="00D170BD">
                              <w:t>+/- 30%</w:t>
                            </w:r>
                          </w:p>
                        </w:tc>
                      </w:tr>
                      <w:tr w:rsidR="000167B3" w14:paraId="577206E5" w14:textId="77777777" w:rsidTr="000167B3">
                        <w:tc>
                          <w:tcPr>
                            <w:tcW w:w="1615" w:type="dxa"/>
                            <w:vAlign w:val="center"/>
                          </w:tcPr>
                          <w:p w14:paraId="201ADAFA" w14:textId="57DA0339" w:rsidR="000167B3" w:rsidRPr="00E977A4" w:rsidRDefault="000167B3" w:rsidP="00283B5B">
                            <w:pPr>
                              <w:pStyle w:val="TMGTableText"/>
                              <w:spacing w:before="10" w:after="10"/>
                              <w:ind w:left="0"/>
                              <w:jc w:val="right"/>
                              <w:rPr>
                                <w:b/>
                                <w:bCs/>
                              </w:rPr>
                            </w:pPr>
                            <w:r w:rsidRPr="00D170BD">
                              <w:t>5,000 – 9,999</w:t>
                            </w:r>
                          </w:p>
                        </w:tc>
                        <w:tc>
                          <w:tcPr>
                            <w:tcW w:w="2250" w:type="dxa"/>
                            <w:vAlign w:val="center"/>
                          </w:tcPr>
                          <w:p w14:paraId="1ECDC7AD" w14:textId="4B059150" w:rsidR="000167B3" w:rsidRDefault="000167B3" w:rsidP="00283B5B">
                            <w:pPr>
                              <w:pStyle w:val="TMGTableText"/>
                              <w:spacing w:before="10" w:after="10"/>
                              <w:ind w:left="0"/>
                              <w:jc w:val="center"/>
                            </w:pPr>
                            <w:r w:rsidRPr="00D170BD">
                              <w:t>+/- 40%</w:t>
                            </w:r>
                          </w:p>
                        </w:tc>
                      </w:tr>
                      <w:tr w:rsidR="000167B3" w14:paraId="3D196A40" w14:textId="77777777" w:rsidTr="000167B3">
                        <w:tc>
                          <w:tcPr>
                            <w:tcW w:w="1615" w:type="dxa"/>
                            <w:vAlign w:val="center"/>
                          </w:tcPr>
                          <w:p w14:paraId="4C7F713B" w14:textId="5847C55A" w:rsidR="000167B3" w:rsidRPr="00E977A4" w:rsidRDefault="000167B3" w:rsidP="00283B5B">
                            <w:pPr>
                              <w:pStyle w:val="TMGTableText"/>
                              <w:spacing w:before="10" w:after="10"/>
                              <w:ind w:left="0"/>
                              <w:jc w:val="right"/>
                              <w:rPr>
                                <w:b/>
                                <w:bCs/>
                              </w:rPr>
                            </w:pPr>
                            <w:r w:rsidRPr="00D170BD">
                              <w:t>1,000 – 4,999</w:t>
                            </w:r>
                          </w:p>
                        </w:tc>
                        <w:tc>
                          <w:tcPr>
                            <w:tcW w:w="2250" w:type="dxa"/>
                            <w:vAlign w:val="center"/>
                          </w:tcPr>
                          <w:p w14:paraId="225BF6D7" w14:textId="2671CB3A" w:rsidR="000167B3" w:rsidRDefault="000167B3" w:rsidP="00283B5B">
                            <w:pPr>
                              <w:pStyle w:val="TMGTableText"/>
                              <w:spacing w:before="10" w:after="10"/>
                              <w:ind w:left="0"/>
                              <w:jc w:val="center"/>
                            </w:pPr>
                            <w:r w:rsidRPr="00D170BD">
                              <w:t>+/- 50%</w:t>
                            </w:r>
                          </w:p>
                        </w:tc>
                      </w:tr>
                      <w:tr w:rsidR="000167B3" w14:paraId="6DA32139" w14:textId="77777777" w:rsidTr="000167B3">
                        <w:tc>
                          <w:tcPr>
                            <w:tcW w:w="1615" w:type="dxa"/>
                            <w:vAlign w:val="center"/>
                          </w:tcPr>
                          <w:p w14:paraId="130DF26B" w14:textId="4632E0D1" w:rsidR="000167B3" w:rsidRPr="00E977A4" w:rsidRDefault="000167B3" w:rsidP="00283B5B">
                            <w:pPr>
                              <w:pStyle w:val="TMGTableText"/>
                              <w:spacing w:before="10" w:after="10"/>
                              <w:ind w:left="0"/>
                              <w:jc w:val="right"/>
                              <w:rPr>
                                <w:b/>
                                <w:bCs/>
                              </w:rPr>
                            </w:pPr>
                            <w:r w:rsidRPr="00D170BD">
                              <w:t>500 – 999</w:t>
                            </w:r>
                          </w:p>
                        </w:tc>
                        <w:tc>
                          <w:tcPr>
                            <w:tcW w:w="2250" w:type="dxa"/>
                            <w:vAlign w:val="center"/>
                          </w:tcPr>
                          <w:p w14:paraId="08EFABEC" w14:textId="4749526B" w:rsidR="000167B3" w:rsidRDefault="000167B3" w:rsidP="00283B5B">
                            <w:pPr>
                              <w:pStyle w:val="TMGTableText"/>
                              <w:spacing w:before="10" w:after="10"/>
                              <w:ind w:left="0"/>
                              <w:jc w:val="center"/>
                            </w:pPr>
                            <w:r w:rsidRPr="00D170BD">
                              <w:t>+/- 60%</w:t>
                            </w:r>
                          </w:p>
                        </w:tc>
                      </w:tr>
                      <w:tr w:rsidR="000167B3" w14:paraId="2B98F6C4" w14:textId="77777777" w:rsidTr="000167B3">
                        <w:tc>
                          <w:tcPr>
                            <w:tcW w:w="1615" w:type="dxa"/>
                            <w:vAlign w:val="center"/>
                          </w:tcPr>
                          <w:p w14:paraId="263E7328" w14:textId="29E57ADB" w:rsidR="000167B3" w:rsidRPr="00E977A4" w:rsidRDefault="000167B3" w:rsidP="00283B5B">
                            <w:pPr>
                              <w:pStyle w:val="TMGTableText"/>
                              <w:spacing w:before="10" w:after="10"/>
                              <w:ind w:left="0"/>
                              <w:jc w:val="right"/>
                              <w:rPr>
                                <w:b/>
                                <w:bCs/>
                              </w:rPr>
                            </w:pPr>
                            <w:r w:rsidRPr="00D170BD">
                              <w:t>250 – 499</w:t>
                            </w:r>
                          </w:p>
                        </w:tc>
                        <w:tc>
                          <w:tcPr>
                            <w:tcW w:w="2250" w:type="dxa"/>
                            <w:vAlign w:val="center"/>
                          </w:tcPr>
                          <w:p w14:paraId="28F073D8" w14:textId="1340BE2F" w:rsidR="000167B3" w:rsidRDefault="000167B3" w:rsidP="00283B5B">
                            <w:pPr>
                              <w:pStyle w:val="TMGTableText"/>
                              <w:spacing w:before="10" w:after="10"/>
                              <w:ind w:left="0"/>
                              <w:jc w:val="center"/>
                            </w:pPr>
                            <w:r w:rsidRPr="00D170BD">
                              <w:t>+/- 80%</w:t>
                            </w:r>
                          </w:p>
                        </w:tc>
                      </w:tr>
                      <w:tr w:rsidR="000167B3" w14:paraId="4CB59F47" w14:textId="77777777" w:rsidTr="000167B3">
                        <w:tc>
                          <w:tcPr>
                            <w:tcW w:w="1615" w:type="dxa"/>
                            <w:vAlign w:val="center"/>
                          </w:tcPr>
                          <w:p w14:paraId="263F9A1E" w14:textId="0EBC42F2" w:rsidR="000167B3" w:rsidRPr="00E977A4" w:rsidRDefault="000167B3" w:rsidP="00283B5B">
                            <w:pPr>
                              <w:pStyle w:val="TMGTableText"/>
                              <w:spacing w:before="10" w:after="10"/>
                              <w:ind w:left="0"/>
                              <w:jc w:val="right"/>
                              <w:rPr>
                                <w:b/>
                                <w:bCs/>
                              </w:rPr>
                            </w:pPr>
                            <w:r w:rsidRPr="00D170BD">
                              <w:t>Less than 250</w:t>
                            </w:r>
                          </w:p>
                        </w:tc>
                        <w:tc>
                          <w:tcPr>
                            <w:tcW w:w="2250" w:type="dxa"/>
                            <w:vAlign w:val="center"/>
                          </w:tcPr>
                          <w:p w14:paraId="61C13907" w14:textId="0DD152BA" w:rsidR="000167B3" w:rsidRDefault="000167B3" w:rsidP="00283B5B">
                            <w:pPr>
                              <w:pStyle w:val="TMGTableText"/>
                              <w:spacing w:before="10" w:after="10"/>
                              <w:ind w:left="0"/>
                              <w:jc w:val="center"/>
                            </w:pPr>
                            <w:r w:rsidRPr="00D170BD">
                              <w:t>+/- 100% or 250 vehicles (whichever is greater)</w:t>
                            </w:r>
                          </w:p>
                        </w:tc>
                      </w:tr>
                    </w:tbl>
                    <w:p w14:paraId="628E6922" w14:textId="77777777" w:rsidR="000167B3" w:rsidRDefault="000167B3" w:rsidP="000167B3"/>
                  </w:txbxContent>
                </v:textbox>
                <w10:wrap type="square" anchorx="margin"/>
              </v:shape>
            </w:pict>
          </mc:Fallback>
        </mc:AlternateContent>
      </w:r>
      <w:r w:rsidRPr="000077D4">
        <w:t>egress along</w:t>
      </w:r>
      <w:r w:rsidR="000B4B56">
        <w:t>,</w:t>
      </w:r>
      <w:r w:rsidRPr="000077D4">
        <w:t xml:space="preserve"> </w:t>
      </w:r>
      <w:r>
        <w:t>for example</w:t>
      </w:r>
      <w:r w:rsidR="000B4B56">
        <w:t>,</w:t>
      </w:r>
      <w:r>
        <w:t xml:space="preserve"> </w:t>
      </w:r>
      <w:r w:rsidRPr="000077D4">
        <w:t xml:space="preserve">a </w:t>
      </w:r>
      <w:r w:rsidR="000B4B56">
        <w:t>10</w:t>
      </w:r>
      <w:r w:rsidRPr="000077D4">
        <w:t xml:space="preserve">-mile segment is limited to a few driveways and low volume, local access roads. Highway agencies are encouraged to examine existing traffic volume information to determine how best to segment their roadway systems to optimize the number and spacing of short-term counts. A rule of thumb that has been used in the past to define these traffic count segments is that traffic volume in each roadway segment be within 10 percent. An alternative approach would be to define limits using a graduated </w:t>
      </w:r>
      <w:r>
        <w:t>AADT volume</w:t>
      </w:r>
      <w:r w:rsidRPr="000077D4">
        <w:t xml:space="preserve"> scale such as the one shown </w:t>
      </w:r>
      <w:r w:rsidRPr="00216D5D">
        <w:t xml:space="preserve">in </w:t>
      </w:r>
      <w:r w:rsidR="00AA2E73">
        <w:fldChar w:fldCharType="begin"/>
      </w:r>
      <w:r w:rsidR="00AA2E73">
        <w:instrText xml:space="preserve"> REF _Ref114750118 \h </w:instrText>
      </w:r>
      <w:r w:rsidR="00AA2E73">
        <w:fldChar w:fldCharType="separate"/>
      </w:r>
      <w:r w:rsidR="00C07DF9">
        <w:t xml:space="preserve">Table </w:t>
      </w:r>
      <w:r w:rsidR="00C07DF9">
        <w:rPr>
          <w:noProof/>
        </w:rPr>
        <w:t>3</w:t>
      </w:r>
      <w:r w:rsidR="00C07DF9">
        <w:noBreakHyphen/>
      </w:r>
      <w:r w:rsidR="00C07DF9">
        <w:rPr>
          <w:noProof/>
        </w:rPr>
        <w:t>15</w:t>
      </w:r>
      <w:r w:rsidR="00AA2E73">
        <w:fldChar w:fldCharType="end"/>
      </w:r>
      <w:r w:rsidRPr="00216D5D">
        <w:t>.</w:t>
      </w:r>
    </w:p>
    <w:p w14:paraId="27A6DBF7" w14:textId="77777777" w:rsidR="003F7B9F" w:rsidRPr="000077D4" w:rsidRDefault="003F7B9F" w:rsidP="00A35EAF">
      <w:pPr>
        <w:pStyle w:val="BodyText"/>
      </w:pPr>
      <w:r w:rsidRPr="000077D4">
        <w:t xml:space="preserve">Breaking the system into large segments reduces the number of counts needed but also the reliability of the resulting traffic estimates for any given section of that large roadway segment. Use of small segments increases the reliability of a specific count but also the number of traffic counts needed. </w:t>
      </w:r>
    </w:p>
    <w:p w14:paraId="475158F0" w14:textId="4664659D" w:rsidR="003F7B9F" w:rsidRPr="000077D4" w:rsidRDefault="003F7B9F" w:rsidP="00A35EAF">
      <w:pPr>
        <w:pStyle w:val="BodyText"/>
      </w:pPr>
      <w:r w:rsidRPr="000077D4">
        <w:t>The character of the road systems and the volumes carried has a major impact in the definition of segments. For roads where access is controlled (such as the interstate system), a simple definition of segments between interchanges is appropriate. For lower systems, clear traffic volume breaks are not always apparent and other rules of thumb (such as major intersections) should be applied. Rural and urban characteristics also require different handling. For the lowest volume roads, the 10</w:t>
      </w:r>
      <w:r w:rsidR="000B4B56">
        <w:t>-</w:t>
      </w:r>
      <w:r w:rsidRPr="000077D4">
        <w:t xml:space="preserve">percent rule of thumb may be too narrow, and a wider definition </w:t>
      </w:r>
      <w:r w:rsidR="000B4B56">
        <w:t xml:space="preserve">should be </w:t>
      </w:r>
      <w:r w:rsidRPr="000077D4">
        <w:t xml:space="preserve">sought. Careful definition of roadway segments can significantly reduce the number of counts needed to cover all highways within an agency's jurisdiction, while still providing the accurate volume data required for planning and engineering purposes. </w:t>
      </w:r>
    </w:p>
    <w:p w14:paraId="16CDD099" w14:textId="77777777" w:rsidR="003F7B9F" w:rsidRPr="00517F7A" w:rsidRDefault="003F7B9F">
      <w:pPr>
        <w:pStyle w:val="Heading3"/>
      </w:pPr>
      <w:bookmarkStart w:id="1944" w:name="_Toc68190224"/>
      <w:bookmarkStart w:id="1945" w:name="_Toc118205652"/>
      <w:r w:rsidRPr="00517F7A">
        <w:t>Count Frequency</w:t>
      </w:r>
      <w:bookmarkEnd w:id="1944"/>
      <w:bookmarkEnd w:id="1945"/>
    </w:p>
    <w:p w14:paraId="70C83626" w14:textId="1ACB086E" w:rsidR="003F7B9F" w:rsidRPr="000077D4" w:rsidRDefault="003F7B9F" w:rsidP="00A35EAF">
      <w:pPr>
        <w:pStyle w:val="BodyText"/>
      </w:pPr>
      <w:r w:rsidRPr="000077D4">
        <w:t xml:space="preserve">Once roadway segments are finalized, FHWA recommends as a rule that each roadway segment be counted at least once every </w:t>
      </w:r>
      <w:r w:rsidR="000B4B56">
        <w:t>6</w:t>
      </w:r>
      <w:r w:rsidR="000B4B56" w:rsidRPr="000077D4">
        <w:t xml:space="preserve"> </w:t>
      </w:r>
      <w:r w:rsidRPr="000077D4">
        <w:t xml:space="preserve">years. This ensures that reasonable traffic volume data are available for State needs, and that all roadway segments are correctly classified within the proper HPMS volume groups when State highway agencies compute statewide VDT as part of their required Federal reporting. HPMS further requires counting every </w:t>
      </w:r>
      <w:r w:rsidR="000B4B56">
        <w:t>3</w:t>
      </w:r>
      <w:r w:rsidR="000B4B56" w:rsidRPr="000077D4">
        <w:t xml:space="preserve"> </w:t>
      </w:r>
      <w:r w:rsidRPr="000077D4">
        <w:t>years for higher functional class roadways.</w:t>
      </w:r>
    </w:p>
    <w:p w14:paraId="4BD25554" w14:textId="7A3B178F" w:rsidR="003F7B9F" w:rsidRPr="00CA5338" w:rsidRDefault="003F7B9F" w:rsidP="00A35EAF">
      <w:pPr>
        <w:pStyle w:val="BodyText"/>
      </w:pPr>
      <w:bookmarkStart w:id="1946" w:name="_Hlk59082082"/>
      <w:r w:rsidRPr="000077D4">
        <w:t xml:space="preserve">Not all count locations should be counted on a </w:t>
      </w:r>
      <w:r w:rsidR="000B4B56">
        <w:t>6</w:t>
      </w:r>
      <w:r w:rsidRPr="000077D4">
        <w:t>-year basis</w:t>
      </w:r>
      <w:r>
        <w:t xml:space="preserve">. </w:t>
      </w:r>
      <w:r w:rsidRPr="000077D4">
        <w:t xml:space="preserve">Some count locations should be counted more often. </w:t>
      </w:r>
      <w:bookmarkEnd w:id="1946"/>
      <w:r>
        <w:t xml:space="preserve">According to the </w:t>
      </w:r>
      <w:bookmarkStart w:id="1947" w:name="_Hlk76055780"/>
      <w:r w:rsidRPr="00216D5D">
        <w:rPr>
          <w:i/>
          <w:iCs/>
        </w:rPr>
        <w:t>HPMS Manual</w:t>
      </w:r>
      <w:r w:rsidR="00044004">
        <w:rPr>
          <w:i/>
          <w:iCs/>
        </w:rPr>
        <w:t xml:space="preserve"> </w:t>
      </w:r>
      <w:r w:rsidR="00044004" w:rsidRPr="00044004">
        <w:t>(FHWA 2016)</w:t>
      </w:r>
      <w:r w:rsidRPr="00044004">
        <w:t>, count</w:t>
      </w:r>
      <w:r>
        <w:t xml:space="preserve"> locations should be counted on a </w:t>
      </w:r>
      <w:r w:rsidR="000B4B56">
        <w:t>m</w:t>
      </w:r>
      <w:r w:rsidRPr="00CA5338">
        <w:t xml:space="preserve">inimum 3-year count cycle and the State’s traffic monitoring program shall cover all NHS and Principal Arterial System (PAS) roadway sections (i.e., Interstates, Other Freeways and Expressways, and Other Principal Arterials) on a </w:t>
      </w:r>
      <w:r w:rsidR="000B4B56">
        <w:t>3</w:t>
      </w:r>
      <w:r w:rsidRPr="00CA5338">
        <w:t xml:space="preserve">-year cycle or better; at least one-third of these roadway sections should be counted each year. The remaining two-thirds counts must be estimated based on a documented process in accordance with the </w:t>
      </w:r>
      <w:r w:rsidRPr="00216D5D">
        <w:rPr>
          <w:i/>
          <w:iCs/>
        </w:rPr>
        <w:t>TMG</w:t>
      </w:r>
      <w:r w:rsidRPr="00CA5338">
        <w:t xml:space="preserve"> and the </w:t>
      </w:r>
      <w:r w:rsidRPr="00216D5D">
        <w:rPr>
          <w:i/>
          <w:iCs/>
        </w:rPr>
        <w:t>Field Manual</w:t>
      </w:r>
      <w:bookmarkEnd w:id="1947"/>
      <w:r w:rsidR="00044004">
        <w:rPr>
          <w:i/>
          <w:iCs/>
        </w:rPr>
        <w:t xml:space="preserve"> </w:t>
      </w:r>
      <w:r w:rsidR="00044004" w:rsidRPr="00044004">
        <w:t>(FHWA 2016)</w:t>
      </w:r>
      <w:r w:rsidRPr="00CA5338">
        <w:t>. The State shall cover all roads on these systems, not just State-owned roads, so data provided by MPOs, cities, or counties should be included in the count cycle.</w:t>
      </w:r>
    </w:p>
    <w:p w14:paraId="5F20455D" w14:textId="385F3286" w:rsidR="003F7B9F" w:rsidRPr="00CA5338" w:rsidRDefault="003F7B9F" w:rsidP="00A35EAF">
      <w:pPr>
        <w:pStyle w:val="BodyText"/>
      </w:pPr>
      <w:r w:rsidRPr="00CA5338">
        <w:t xml:space="preserve">A minimum of one-third of all NHS and Principal Arterial System (PAS) roadway sections (i.e., Interstates, Other Freeways and Expressways, and Other Principal Arterials) shall be counted each year; all other monitoring should be on a minimum </w:t>
      </w:r>
      <w:r w:rsidR="000F37A0">
        <w:t>6</w:t>
      </w:r>
      <w:r w:rsidRPr="00CA5338">
        <w:t>-year cycle. The roadway sections to be counted should be randomly selected from each sample stratum (volume group), with minor adjustments as necessary for strata with numbers of sections not divisible by three or having less than three samples. A single count may be used for several sections between adjacent interchanges on controlled</w:t>
      </w:r>
      <w:r w:rsidR="000F37A0">
        <w:t>-</w:t>
      </w:r>
      <w:r w:rsidRPr="00CA5338">
        <w:t>access facilities.</w:t>
      </w:r>
    </w:p>
    <w:p w14:paraId="7411F66B" w14:textId="13FF608F" w:rsidR="003F7B9F" w:rsidRPr="000077D4" w:rsidRDefault="003F7B9F" w:rsidP="00A35EAF">
      <w:pPr>
        <w:pStyle w:val="BodyText"/>
      </w:pPr>
      <w:r w:rsidRPr="000077D4">
        <w:t xml:space="preserve">In general, roadway sections that experience high rates of growth require more frequent data collection than those that do not experience growth. Therefore, roads near growing urban centers and expanding recreational sites should be counted more frequently than roads in areas where activity levels have hardly changed for many years. Counting roads more frequently in volatile areas also allows the highway agency to respond with confidence </w:t>
      </w:r>
      <w:r w:rsidRPr="000077D4">
        <w:lastRenderedPageBreak/>
        <w:t>to questions from the public about road use (a common concern in high</w:t>
      </w:r>
      <w:r w:rsidR="000F37A0">
        <w:t>-</w:t>
      </w:r>
      <w:r w:rsidRPr="000077D4">
        <w:t>growth areas) and ensures that up-to-date by</w:t>
      </w:r>
      <w:r w:rsidR="000F37A0">
        <w:t>-</w:t>
      </w:r>
      <w:r w:rsidRPr="000077D4">
        <w:t>lane and directional statistics are available for the roadway design, maintenance, and repair work that is common in high</w:t>
      </w:r>
      <w:r w:rsidR="000F37A0">
        <w:t>-</w:t>
      </w:r>
      <w:r w:rsidRPr="000077D4">
        <w:t xml:space="preserve">growth areas. </w:t>
      </w:r>
    </w:p>
    <w:p w14:paraId="70276DD0" w14:textId="77777777" w:rsidR="003F7B9F" w:rsidRPr="000077D4" w:rsidRDefault="003F7B9F" w:rsidP="00A35EAF">
      <w:pPr>
        <w:pStyle w:val="BodyText"/>
      </w:pPr>
      <w:r w:rsidRPr="000077D4">
        <w:t xml:space="preserve">The short-term count data collection program itself can be structured in many ways. One simplistic approach is to randomly separate all the roadway segments into unique sets and count one of these sets each year. However, this approach does not always lend itself to efficient use of data collection staff and equipment. Grouping counts geographically leads to more efficient data collection activity, but results in the need to account for the geographic bias in the data collected when computing annual average traffic statistics or looking at trends in </w:t>
      </w:r>
      <w:r>
        <w:t xml:space="preserve">travel and </w:t>
      </w:r>
      <w:r w:rsidRPr="000077D4">
        <w:t>traffic growth around the State.</w:t>
      </w:r>
    </w:p>
    <w:p w14:paraId="33ACCA03" w14:textId="52884E47" w:rsidR="003F7B9F" w:rsidRPr="00CA5338" w:rsidRDefault="003F7B9F" w:rsidP="00A35EAF">
      <w:pPr>
        <w:pStyle w:val="BodyText"/>
      </w:pPr>
      <w:bookmarkStart w:id="1948" w:name="_Hlk59082284"/>
      <w:r w:rsidRPr="000077D4">
        <w:t xml:space="preserve">In addition, most highway agencies collect data at some sites on a cycle shorter than </w:t>
      </w:r>
      <w:r w:rsidR="000F37A0">
        <w:t>6</w:t>
      </w:r>
      <w:r w:rsidR="000F37A0" w:rsidRPr="000077D4">
        <w:t xml:space="preserve"> </w:t>
      </w:r>
      <w:r w:rsidRPr="000077D4">
        <w:t>years. For example, more frequent counts (</w:t>
      </w:r>
      <w:r w:rsidR="000F37A0">
        <w:t>3</w:t>
      </w:r>
      <w:r w:rsidRPr="000077D4">
        <w:t xml:space="preserve">-year cycle) are required on HPMS sections, and most States count higher system roads more frequently as well. Still, considerable flexibility is allowed in the structure of each agency's short-term count </w:t>
      </w:r>
      <w:r w:rsidRPr="00CA5338">
        <w:t>program. According to the HPMS manual, the Count Cycles and Coverage section states the following:</w:t>
      </w:r>
    </w:p>
    <w:p w14:paraId="06CE9BE7" w14:textId="77777777" w:rsidR="003F7B9F" w:rsidRPr="00CA5338" w:rsidRDefault="003F7B9F" w:rsidP="00A35EAF">
      <w:pPr>
        <w:pStyle w:val="BodyText"/>
      </w:pPr>
      <w:r w:rsidRPr="00CA5338">
        <w:t>A State should have minimum count cycles and coverage as follows:</w:t>
      </w:r>
    </w:p>
    <w:p w14:paraId="3F3F92FB" w14:textId="522FE2B1" w:rsidR="003F7B9F" w:rsidRPr="00CA5338" w:rsidRDefault="003F7B9F">
      <w:pPr>
        <w:pStyle w:val="TMGBullet"/>
        <w:contextualSpacing w:val="0"/>
      </w:pPr>
      <w:r w:rsidRPr="00CA5338">
        <w:t xml:space="preserve">Minimum 3-year count cycle – The State’s traffic monitoring program shall cover all NHS and Principal Arterial System (PAS) roadway sections (i.e., Interstates, Other Freeways and Expressways, and Other Principal Arterials) on a </w:t>
      </w:r>
      <w:r w:rsidR="000F37A0">
        <w:t>3</w:t>
      </w:r>
      <w:r w:rsidRPr="00CA5338">
        <w:t xml:space="preserve">-year cycle or better; at least one-third of these roadway sections should be counted each year. The remaining two-thirds counts must be estimated based on a documented process in accordance with the </w:t>
      </w:r>
      <w:r w:rsidRPr="005E416B">
        <w:rPr>
          <w:i/>
          <w:iCs/>
        </w:rPr>
        <w:t>TMG</w:t>
      </w:r>
      <w:r w:rsidRPr="00CA5338">
        <w:t xml:space="preserve"> and the </w:t>
      </w:r>
      <w:r w:rsidRPr="00CA5338">
        <w:rPr>
          <w:i/>
        </w:rPr>
        <w:t>Field Manual</w:t>
      </w:r>
      <w:r w:rsidRPr="00CA5338">
        <w:t>. The State shall cover all roads on these systems, not just State-owned roads, so data provided by MPOs, cities, or counties should be included in the count cycle.</w:t>
      </w:r>
    </w:p>
    <w:p w14:paraId="04F68B84" w14:textId="51C77517" w:rsidR="003F7B9F" w:rsidRPr="00CA5338" w:rsidRDefault="003F7B9F">
      <w:pPr>
        <w:pStyle w:val="TMGBullet"/>
      </w:pPr>
      <w:r w:rsidRPr="00CA5338">
        <w:t xml:space="preserve">Minimum 6-year count cycle – The State shall also have a traffic count program on a </w:t>
      </w:r>
      <w:r w:rsidR="000F37A0">
        <w:t>6</w:t>
      </w:r>
      <w:r w:rsidRPr="00CA5338">
        <w:t xml:space="preserve">-year cycle or better for all non-NHS lower functional system roadway sections (i.e., minor arterials, major collectors, and urban minor collectors). Traffic data for ramps, as defined in Chapter 4, are also to be collected on a </w:t>
      </w:r>
      <w:r w:rsidR="000F37A0">
        <w:t>6</w:t>
      </w:r>
      <w:r w:rsidRPr="00CA5338">
        <w:t>-year cycle or better.</w:t>
      </w:r>
    </w:p>
    <w:p w14:paraId="015302C0" w14:textId="690EC7E6" w:rsidR="003F7B9F" w:rsidRPr="00517F7A" w:rsidRDefault="003F7B9F">
      <w:pPr>
        <w:pStyle w:val="Heading3"/>
      </w:pPr>
      <w:bookmarkStart w:id="1949" w:name="_Toc68190225"/>
      <w:bookmarkStart w:id="1950" w:name="_Toc118205653"/>
      <w:bookmarkEnd w:id="1948"/>
      <w:r w:rsidRPr="00517F7A">
        <w:t xml:space="preserve">Special </w:t>
      </w:r>
      <w:r w:rsidR="00961D1C">
        <w:t xml:space="preserve">Needs </w:t>
      </w:r>
      <w:r w:rsidRPr="00517F7A">
        <w:t>Counts</w:t>
      </w:r>
      <w:bookmarkEnd w:id="1949"/>
      <w:bookmarkEnd w:id="1950"/>
    </w:p>
    <w:p w14:paraId="689D3147" w14:textId="77777777" w:rsidR="003F7B9F" w:rsidRPr="000077D4" w:rsidRDefault="003F7B9F" w:rsidP="00A35EAF">
      <w:pPr>
        <w:pStyle w:val="BodyText"/>
      </w:pPr>
      <w:r w:rsidRPr="000077D4">
        <w:t xml:space="preserve">The </w:t>
      </w:r>
      <w:r w:rsidRPr="00216D5D">
        <w:rPr>
          <w:i/>
          <w:iCs/>
        </w:rPr>
        <w:t>HPMS</w:t>
      </w:r>
      <w:r w:rsidRPr="000077D4">
        <w:t xml:space="preserve"> standard sample meets the need for computation of a statistically reliable measure of statewide travel. The data collected also cover many highway agency’s needs. However, there remain traffic data needs that cannot be met by the short-term count program. This is where an effective short-term program supplemented by special counts can substantially fill the gap.</w:t>
      </w:r>
    </w:p>
    <w:p w14:paraId="71784D1A" w14:textId="77777777" w:rsidR="003F7B9F" w:rsidRPr="000077D4" w:rsidRDefault="003F7B9F" w:rsidP="00A35EAF">
      <w:pPr>
        <w:pStyle w:val="BodyText"/>
      </w:pPr>
      <w:r w:rsidRPr="000077D4">
        <w:t>Non-</w:t>
      </w:r>
      <w:r w:rsidRPr="00216D5D">
        <w:rPr>
          <w:i/>
          <w:iCs/>
        </w:rPr>
        <w:t>HPMS</w:t>
      </w:r>
      <w:r w:rsidRPr="000077D4">
        <w:t xml:space="preserve"> data needs vary dramatically from State to State and from agency to agency. Some State highway agencies are responsible for almost all road mileage in their State. Other State highway agencies control, operate, and maintain only the largest, most inter-regional facilities. Some States must meet strict reporting requirements (by jurisdiction) adopted by their legislatures. Others have relatively few mandatory reporting requirements, and instead focus on collecting data that meet each agency’s priorities. In some extreme cases, agencies are prohibited by law from expending resources outside of their areas of responsibility.</w:t>
      </w:r>
    </w:p>
    <w:p w14:paraId="2F32E1B9" w14:textId="77777777" w:rsidR="003F7B9F" w:rsidRPr="000077D4" w:rsidRDefault="003F7B9F" w:rsidP="00A35EAF">
      <w:pPr>
        <w:pStyle w:val="BodyText"/>
      </w:pPr>
      <w:r w:rsidRPr="000077D4">
        <w:t>A consequence of this variety of traffic data needs is that no single traffic monitoring program design fits all cases. Therefore, the philosophy of the special need’s element is to provide highway agencies wide flexibility to design this portion of their monitoring program in accordance with their own self-defined needs and priorities. The guidance in this report is intended to provide highway agencies with a framework within which they can ensure that they collect the data they need.</w:t>
      </w:r>
    </w:p>
    <w:p w14:paraId="4E0A32AC" w14:textId="77777777" w:rsidR="003F7B9F" w:rsidRPr="000077D4" w:rsidRDefault="003F7B9F" w:rsidP="00A35EAF">
      <w:pPr>
        <w:pStyle w:val="BodyText"/>
      </w:pPr>
      <w:r w:rsidRPr="000077D4">
        <w:t>The special needs portion of a data collection program can be divided into two basic portions:</w:t>
      </w:r>
    </w:p>
    <w:p w14:paraId="7846E0B9" w14:textId="0C7A688A" w:rsidR="003F7B9F" w:rsidRPr="00ED0E68" w:rsidRDefault="003F7B9F">
      <w:pPr>
        <w:pStyle w:val="TMGBullet"/>
      </w:pPr>
      <w:r w:rsidRPr="00ED0E68">
        <w:t>Statistical samples for developing system</w:t>
      </w:r>
      <w:r w:rsidR="000F37A0">
        <w:t>-</w:t>
      </w:r>
      <w:r w:rsidRPr="00ED0E68">
        <w:t>wide summary measures</w:t>
      </w:r>
      <w:r w:rsidR="000F37A0">
        <w:t>,</w:t>
      </w:r>
    </w:p>
    <w:p w14:paraId="52281D28" w14:textId="77777777" w:rsidR="003F7B9F" w:rsidRPr="00ED0E68" w:rsidRDefault="003F7B9F">
      <w:pPr>
        <w:pStyle w:val="TMGBullet"/>
      </w:pPr>
      <w:r w:rsidRPr="00ED0E68">
        <w:t xml:space="preserve">Point-specific estimates intended to meet project requirements and other studies defined by the highway agency. </w:t>
      </w:r>
    </w:p>
    <w:p w14:paraId="67F35C6C" w14:textId="77777777" w:rsidR="003F7B9F" w:rsidRPr="00C57347" w:rsidRDefault="003F7B9F" w:rsidP="00A35EAF">
      <w:pPr>
        <w:pStyle w:val="BodyText"/>
        <w:rPr>
          <w:rStyle w:val="Strong"/>
          <w:rFonts w:ascii="Cambria" w:hAnsi="Cambria"/>
          <w:sz w:val="22"/>
          <w:szCs w:val="22"/>
        </w:rPr>
      </w:pPr>
      <w:r w:rsidRPr="00C57347">
        <w:rPr>
          <w:rStyle w:val="Strong"/>
          <w:rFonts w:ascii="Cambria" w:hAnsi="Cambria"/>
          <w:sz w:val="22"/>
          <w:szCs w:val="22"/>
        </w:rPr>
        <w:t>All Special Events and Data Need Counts</w:t>
      </w:r>
    </w:p>
    <w:p w14:paraId="7E2D93B7" w14:textId="59A834D5" w:rsidR="003F7B9F" w:rsidRDefault="003F7B9F" w:rsidP="00A35EAF">
      <w:pPr>
        <w:pStyle w:val="BodyText"/>
      </w:pPr>
      <w:r w:rsidRPr="00CA5338">
        <w:t>Scheduled events typically call for the need to collect both continuous and short-term counts</w:t>
      </w:r>
      <w:r w:rsidR="00EE2B89">
        <w:t>. Other events or special needs (such as project-specific counts)</w:t>
      </w:r>
      <w:r w:rsidRPr="00CA5338">
        <w:t xml:space="preserve"> </w:t>
      </w:r>
      <w:r w:rsidR="00EE2B89">
        <w:t>also</w:t>
      </w:r>
      <w:r w:rsidRPr="00CA5338">
        <w:t xml:space="preserve"> warrant further traffic volume data collection</w:t>
      </w:r>
      <w:r w:rsidR="00EE2B89">
        <w:t xml:space="preserve">. </w:t>
      </w:r>
    </w:p>
    <w:p w14:paraId="017B5EF5" w14:textId="77777777" w:rsidR="00EE2B89" w:rsidRPr="00EE2B89" w:rsidRDefault="00EE2B89" w:rsidP="00A35EAF">
      <w:pPr>
        <w:pStyle w:val="BodyText"/>
      </w:pPr>
      <w:r w:rsidRPr="00EE2B89">
        <w:lastRenderedPageBreak/>
        <w:t>Steps to collect special count data include:</w:t>
      </w:r>
    </w:p>
    <w:p w14:paraId="74F6841D" w14:textId="329804AF" w:rsidR="00EE2B89" w:rsidRPr="00EE2B89" w:rsidRDefault="00EE2B89">
      <w:pPr>
        <w:pStyle w:val="ListParagraph"/>
        <w:numPr>
          <w:ilvl w:val="0"/>
          <w:numId w:val="95"/>
        </w:numPr>
        <w:tabs>
          <w:tab w:val="left" w:pos="180"/>
        </w:tabs>
        <w:spacing w:after="120"/>
        <w:ind w:left="648"/>
        <w:jc w:val="left"/>
      </w:pPr>
      <w:r w:rsidRPr="00EE2B89">
        <w:t>Request information from the special need requestor (location, purpose, duration, etc.)</w:t>
      </w:r>
      <w:r w:rsidR="000673F8">
        <w:t>.</w:t>
      </w:r>
    </w:p>
    <w:p w14:paraId="303745B2" w14:textId="77777777" w:rsidR="00EE2B89" w:rsidRPr="00EE2B89" w:rsidRDefault="00EE2B89">
      <w:pPr>
        <w:pStyle w:val="ListParagraph"/>
        <w:numPr>
          <w:ilvl w:val="0"/>
          <w:numId w:val="95"/>
        </w:numPr>
        <w:tabs>
          <w:tab w:val="left" w:pos="180"/>
        </w:tabs>
        <w:spacing w:after="120"/>
        <w:ind w:left="648"/>
        <w:jc w:val="left"/>
      </w:pPr>
      <w:r w:rsidRPr="00EE2B89">
        <w:t>Schedule the collection of date(s). This schedule typically includes the event dates, and may include the day before the event, and day after the event.</w:t>
      </w:r>
    </w:p>
    <w:p w14:paraId="5379981A" w14:textId="588E74D0" w:rsidR="00EE2B89" w:rsidRPr="00EE2B89" w:rsidRDefault="00EE2B89">
      <w:pPr>
        <w:pStyle w:val="ListParagraph"/>
        <w:numPr>
          <w:ilvl w:val="0"/>
          <w:numId w:val="95"/>
        </w:numPr>
        <w:tabs>
          <w:tab w:val="left" w:pos="180"/>
        </w:tabs>
        <w:spacing w:after="120"/>
        <w:ind w:left="648"/>
        <w:jc w:val="left"/>
      </w:pPr>
      <w:r w:rsidRPr="00EE2B89">
        <w:t>Deploy the counters to collect the special count data (typically a mobile/portable counter that can be used in multiple count location</w:t>
      </w:r>
      <w:r w:rsidR="000673F8">
        <w:t>s</w:t>
      </w:r>
      <w:r w:rsidRPr="00EE2B89">
        <w:t>).</w:t>
      </w:r>
    </w:p>
    <w:p w14:paraId="7ACD007F" w14:textId="77777777" w:rsidR="00EE2B89" w:rsidRPr="00EE2B89" w:rsidRDefault="00EE2B89">
      <w:pPr>
        <w:pStyle w:val="ListParagraph"/>
        <w:numPr>
          <w:ilvl w:val="0"/>
          <w:numId w:val="95"/>
        </w:numPr>
        <w:tabs>
          <w:tab w:val="left" w:pos="180"/>
        </w:tabs>
        <w:spacing w:after="120"/>
        <w:ind w:left="648"/>
        <w:jc w:val="left"/>
      </w:pPr>
      <w:r w:rsidRPr="00EE2B89">
        <w:t>Download the data collected.</w:t>
      </w:r>
    </w:p>
    <w:p w14:paraId="25990D49" w14:textId="77777777" w:rsidR="00EE2B89" w:rsidRPr="00EE2B89" w:rsidRDefault="00EE2B89">
      <w:pPr>
        <w:pStyle w:val="ListParagraph"/>
        <w:numPr>
          <w:ilvl w:val="0"/>
          <w:numId w:val="95"/>
        </w:numPr>
        <w:tabs>
          <w:tab w:val="left" w:pos="180"/>
        </w:tabs>
        <w:spacing w:after="120"/>
        <w:ind w:left="648"/>
        <w:contextualSpacing w:val="0"/>
        <w:jc w:val="left"/>
      </w:pPr>
      <w:r w:rsidRPr="00EE2B89">
        <w:t>Analyze, report, and share the data using tabular and/or graphical representation.</w:t>
      </w:r>
    </w:p>
    <w:p w14:paraId="7B9F7AD0" w14:textId="0BD2FE00" w:rsidR="00EE2B89" w:rsidRPr="00CA5338" w:rsidRDefault="00EE2B89" w:rsidP="00A35EAF">
      <w:pPr>
        <w:pStyle w:val="BodyText"/>
      </w:pPr>
      <w:r w:rsidRPr="00EE2B89">
        <w:t xml:space="preserve">The graphical example of collecting micromobility special needs program counts in a graphical representation is provided in the following example from the </w:t>
      </w:r>
      <w:bookmarkStart w:id="1951" w:name="_Hlk76055842"/>
      <w:r w:rsidRPr="00EE2B89">
        <w:rPr>
          <w:i/>
          <w:iCs/>
        </w:rPr>
        <w:t>Pedestrian Traffic and Safety on Four Anishinaabe Reservations Case Study</w:t>
      </w:r>
      <w:r w:rsidR="00044004">
        <w:rPr>
          <w:i/>
          <w:iCs/>
        </w:rPr>
        <w:t xml:space="preserve"> </w:t>
      </w:r>
      <w:r w:rsidR="00044004" w:rsidRPr="00044004">
        <w:t>(Lindsey 2020)</w:t>
      </w:r>
      <w:r w:rsidRPr="00044004">
        <w:t>, conducted</w:t>
      </w:r>
      <w:r w:rsidRPr="00EE2B89">
        <w:t xml:space="preserve"> by the Minnesota DOT.</w:t>
      </w:r>
      <w:r w:rsidR="004D4172">
        <w:t xml:space="preserve"> </w:t>
      </w:r>
      <w:bookmarkEnd w:id="1951"/>
      <w:r w:rsidRPr="00EE2B89">
        <w:t>This data collection activity demonstrates the benefit of using an already</w:t>
      </w:r>
      <w:r w:rsidR="000673F8">
        <w:t>-</w:t>
      </w:r>
      <w:r w:rsidRPr="00EE2B89">
        <w:t>existing micromobility counter to collect special event data. The special event data shows an increase in bicycles and pedestrian volumes in 2020, as compared to historical averages. In this study, special need counts were collected using video detection to count bicyclists and pedestrians.</w:t>
      </w:r>
      <w:r w:rsidR="008F76BB">
        <w:t xml:space="preserve"> </w:t>
      </w:r>
      <w:r w:rsidRPr="00216D5D">
        <w:t>Figure 3-</w:t>
      </w:r>
      <w:r w:rsidR="00C07DF9">
        <w:t>4</w:t>
      </w:r>
      <w:r w:rsidRPr="00216D5D">
        <w:t xml:space="preserve"> shows</w:t>
      </w:r>
      <w:r w:rsidRPr="00CA5338">
        <w:t xml:space="preserve"> the special 2020 traffic volume event total volume data by </w:t>
      </w:r>
      <w:r w:rsidR="008F76BB">
        <w:t>m</w:t>
      </w:r>
      <w:r w:rsidRPr="00CA5338">
        <w:t xml:space="preserve">onth of the </w:t>
      </w:r>
      <w:r w:rsidR="008F76BB">
        <w:t>y</w:t>
      </w:r>
      <w:r w:rsidRPr="00CA5338">
        <w:t>ear.</w:t>
      </w:r>
    </w:p>
    <w:p w14:paraId="24FFB97B" w14:textId="54AC0A46" w:rsidR="00EE2B89" w:rsidRPr="00CA5338" w:rsidRDefault="00C54875" w:rsidP="00EC03C5">
      <w:pPr>
        <w:pStyle w:val="BodyText"/>
        <w:spacing w:after="0"/>
      </w:pPr>
      <w:r w:rsidRPr="000077D4">
        <w:rPr>
          <w:rFonts w:cs="Times New Roman"/>
          <w:noProof/>
        </w:rPr>
        <w:drawing>
          <wp:inline distT="0" distB="0" distL="0" distR="0" wp14:anchorId="6712F3DF" wp14:editId="53D83716">
            <wp:extent cx="5943600" cy="3962400"/>
            <wp:effectExtent l="19050" t="19050" r="19050" b="19050"/>
            <wp:docPr id="91" name="Picture 91" descr="Weekly bicycle and pedestrian traffic of 2020 for 4 months (detailed aspects of the COVID stay at home orders are detailed along with weather effects of snow and adverse weather in the middle of April in 2020 vs. the historical average over the typical year.  The orange line with black square symbols shows large increased for April and May verses the historical trend.  The historical trend uses triangle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Weekly bicycle and pedestrian traffic of 2020 for 4 months (detailed aspects of the COVID stay at home orders are detailed along with weather effects of snow and adverse weather in the middle of April in 2020 vs. the historical average over the typical year.  The orange line with black square symbols shows large increased for April and May verses the historical trend.  The historical trend uses triangle symbols."/>
                    <pic:cNvPicPr>
                      <a:picLocks noChangeAspect="1" noChangeArrowheads="1"/>
                    </pic:cNvPicPr>
                  </pic:nvPicPr>
                  <pic:blipFill>
                    <a:blip r:embed="rId111" r:link="rId112">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solidFill>
                        <a:sysClr val="windowText" lastClr="000000"/>
                      </a:solidFill>
                    </a:ln>
                    <a:effectLst>
                      <a:softEdge rad="12700"/>
                    </a:effectLst>
                  </pic:spPr>
                </pic:pic>
              </a:graphicData>
            </a:graphic>
          </wp:inline>
        </w:drawing>
      </w:r>
    </w:p>
    <w:p w14:paraId="501C558B" w14:textId="1D949A61" w:rsidR="00ED0E68" w:rsidRDefault="00ED0E68" w:rsidP="00736AF3">
      <w:pPr>
        <w:pStyle w:val="TMGFigureCaption"/>
        <w:spacing w:after="360"/>
      </w:pPr>
      <w:bookmarkStart w:id="1952" w:name="_Toc114474801"/>
      <w:bookmarkStart w:id="1953" w:name="_Toc120626574"/>
      <w:r>
        <w:t xml:space="preserve">Figure </w:t>
      </w:r>
      <w:fldSimple w:instr=" STYLEREF 1 \s ">
        <w:r w:rsidR="00C07DF9">
          <w:rPr>
            <w:noProof/>
          </w:rPr>
          <w:t>3</w:t>
        </w:r>
      </w:fldSimple>
      <w:r w:rsidR="00DB1EC4">
        <w:noBreakHyphen/>
      </w:r>
      <w:fldSimple w:instr=" SEQ Figure \* ARABIC \s 1 ">
        <w:r w:rsidR="00C54875">
          <w:rPr>
            <w:noProof/>
          </w:rPr>
          <w:t>4</w:t>
        </w:r>
      </w:fldSimple>
      <w:r w:rsidR="00E34EB1">
        <w:t>.</w:t>
      </w:r>
      <w:r>
        <w:t xml:space="preserve"> </w:t>
      </w:r>
      <w:r w:rsidRPr="00827B36">
        <w:t xml:space="preserve">Weekly Bicycle </w:t>
      </w:r>
      <w:r w:rsidR="002D72D9">
        <w:t>a</w:t>
      </w:r>
      <w:r w:rsidRPr="00827B36">
        <w:t>nd Pedestrian Traffic</w:t>
      </w:r>
      <w:bookmarkEnd w:id="1952"/>
      <w:bookmarkEnd w:id="1953"/>
    </w:p>
    <w:p w14:paraId="2402809C" w14:textId="494B6CE9" w:rsidR="003F7B9F" w:rsidRPr="00CA5338" w:rsidRDefault="003F7B9F" w:rsidP="00A35EAF">
      <w:pPr>
        <w:pStyle w:val="BodyText"/>
      </w:pPr>
      <w:r w:rsidRPr="00CA5338">
        <w:t xml:space="preserve">Data </w:t>
      </w:r>
      <w:r w:rsidR="008F76BB">
        <w:t>were</w:t>
      </w:r>
      <w:r w:rsidR="008F76BB" w:rsidRPr="00CA5338">
        <w:t xml:space="preserve"> </w:t>
      </w:r>
      <w:r w:rsidRPr="00CA5338">
        <w:t xml:space="preserve">requested to obtain information for the purpose of understanding how parks and trails shape the world and conversely how the world shapes parks and trails. Without Minnesota DOT’s and Minnesota DNRs permanent micromobility volume counters, there would be no baseline to understand and compare traffic volumes during events such as the 2020 special traffic volume event. Ultimately, data </w:t>
      </w:r>
      <w:r w:rsidR="008F76BB">
        <w:t>are</w:t>
      </w:r>
      <w:r w:rsidR="008F76BB" w:rsidRPr="00CA5338">
        <w:t xml:space="preserve"> </w:t>
      </w:r>
      <w:r w:rsidRPr="00CA5338">
        <w:t>collected to help make better and more</w:t>
      </w:r>
      <w:r w:rsidR="008F76BB">
        <w:t>-</w:t>
      </w:r>
      <w:r w:rsidRPr="00CA5338">
        <w:t xml:space="preserve">informed decisions. In the early days of the 2020 special traffic volume event, Minnesota DOT and Minnesota DNR simply wanted to understand, and share, how Minnesota’s trails were being impacted. Everyone was nervous and had lots of questions: How much of the increase in trail use is attributable to the special traffic volume event? Should trail use be encouraged or cautioned? Are busy trails still safe to use? What time of day will traffic be </w:t>
      </w:r>
      <w:r w:rsidRPr="00CA5338">
        <w:lastRenderedPageBreak/>
        <w:t>highest? Although Minnesota DOT and Minnesota DNR could not give definitive answers to all those questions, they wanted to interpret and share the available data to help folks understand what was happening and make better-informed decisions.</w:t>
      </w:r>
    </w:p>
    <w:p w14:paraId="0F0C9D84" w14:textId="746022D3" w:rsidR="003F7B9F" w:rsidRPr="00CA5338" w:rsidRDefault="003F7B9F" w:rsidP="00A35EAF">
      <w:pPr>
        <w:pStyle w:val="BodyText"/>
      </w:pPr>
      <w:r w:rsidRPr="00CA5338">
        <w:t>Data collected in Minnesota during the special traffic data event provided useful information</w:t>
      </w:r>
      <w:r w:rsidR="008F76BB">
        <w:t>,</w:t>
      </w:r>
      <w:r w:rsidRPr="00CA5338">
        <w:t xml:space="preserve"> so the Governor was able to visualize the effectiveness of any executive orders that were given to see if people were staying home and not traveling.</w:t>
      </w:r>
    </w:p>
    <w:p w14:paraId="7203974F" w14:textId="7D3240A3" w:rsidR="003F7B9F" w:rsidRPr="00CA5338" w:rsidRDefault="003F7B9F" w:rsidP="00A35EAF">
      <w:pPr>
        <w:pStyle w:val="BodyText"/>
      </w:pPr>
      <w:r w:rsidRPr="00CA5338">
        <w:t xml:space="preserve">The traffic data program in Minnesota provided the funding and installed most of the continuous bicycle and pedestrian counters while working with the Office of Transit and Active Transportation on establishing a counting program like the motorized program. Since the Office of Transit and Active Transportation </w:t>
      </w:r>
      <w:r w:rsidR="008F76BB">
        <w:t>was</w:t>
      </w:r>
      <w:r w:rsidR="008F76BB" w:rsidRPr="00CA5338">
        <w:t xml:space="preserve"> </w:t>
      </w:r>
      <w:r w:rsidRPr="00CA5338">
        <w:t xml:space="preserve">seeing increases in the traffic volume, Minnesota leadership and data users were interested in accessing refreshed data daily that provided better information on changes throughout the </w:t>
      </w:r>
      <w:r w:rsidR="008F76BB">
        <w:t>S</w:t>
      </w:r>
      <w:r w:rsidRPr="00CA5338">
        <w:t>tate. Therefore, Minnesota DOT decided to implement a GIS dashboard showing the daily changes in volume and class.</w:t>
      </w:r>
      <w:r w:rsidR="004D4172">
        <w:t xml:space="preserve"> </w:t>
      </w:r>
    </w:p>
    <w:p w14:paraId="0ED0A10C" w14:textId="7F635732" w:rsidR="003F7B9F" w:rsidRPr="00CA5338" w:rsidRDefault="003F7B9F" w:rsidP="00A35EAF">
      <w:pPr>
        <w:pStyle w:val="BodyText"/>
      </w:pPr>
      <w:r w:rsidRPr="00CA5338">
        <w:t>Minnesota DOT reports that evidence is essential and simply providing counts, estimates of interactions and images from the counting technology</w:t>
      </w:r>
      <w:r w:rsidR="00E90EDB">
        <w:t>,</w:t>
      </w:r>
      <w:r w:rsidRPr="00CA5338">
        <w:t xml:space="preserve"> provided a basis for action. Information about the volumes of pedestrian crossings provided an additional rationale for </w:t>
      </w:r>
      <w:r w:rsidR="00E90EDB">
        <w:t>T</w:t>
      </w:r>
      <w:r w:rsidRPr="00CA5338">
        <w:t xml:space="preserve">ribal transportation managers and county and </w:t>
      </w:r>
      <w:r w:rsidR="00E90EDB">
        <w:t>S</w:t>
      </w:r>
      <w:r w:rsidRPr="00CA5338">
        <w:t>tate engineers to review proposed projects and identify opportunities for incremental improvements that could be incorporated into projects already planned and funded such as the trail along Mission Road to TH 210. Proposed countermeasures varied by intersection and included vegetation removal and line-of-sight improvements, new lighting, crosswalk improvements, rectangular rapid flashing beacons with advanced warning signs, ADA-compliant ramps, pedestrian education programs, realignment of intersections, and, at one intersection, a pedestrian hybrid beacon.</w:t>
      </w:r>
    </w:p>
    <w:p w14:paraId="74BEF9D6" w14:textId="23AF620E" w:rsidR="003F7B9F" w:rsidRPr="00517F7A" w:rsidRDefault="003F7B9F">
      <w:pPr>
        <w:pStyle w:val="Heading3"/>
      </w:pPr>
      <w:bookmarkStart w:id="1954" w:name="_Toc68190226"/>
      <w:bookmarkStart w:id="1955" w:name="_Toc118205654"/>
      <w:r w:rsidRPr="00517F7A">
        <w:t>Statistical Samples in the Special Needs Program</w:t>
      </w:r>
      <w:bookmarkEnd w:id="1954"/>
      <w:bookmarkEnd w:id="1955"/>
    </w:p>
    <w:p w14:paraId="5D837496" w14:textId="77777777" w:rsidR="003F7B9F" w:rsidRPr="000077D4" w:rsidRDefault="003F7B9F" w:rsidP="00A35EAF">
      <w:pPr>
        <w:pStyle w:val="BodyText"/>
      </w:pPr>
      <w:r w:rsidRPr="000077D4">
        <w:t xml:space="preserve">Statistical samples such as the HPMS are the most efficient way to estimate population means and totals. Most statistical samples involve the collection of data at randomly selected locations to compute unbiased estimates of population means and totals. Random sampling is a very efficient mechanism for computing these totals. </w:t>
      </w:r>
    </w:p>
    <w:p w14:paraId="171C836C" w14:textId="219AE7D0" w:rsidR="003F7B9F" w:rsidRPr="000077D4" w:rsidRDefault="003F7B9F" w:rsidP="00A35EAF">
      <w:pPr>
        <w:pStyle w:val="BodyText"/>
      </w:pPr>
      <w:r w:rsidRPr="00C51B53">
        <w:t xml:space="preserve">The </w:t>
      </w:r>
      <w:bookmarkStart w:id="1956" w:name="_Hlk76055880"/>
      <w:r w:rsidRPr="00C51B53">
        <w:rPr>
          <w:i/>
          <w:iCs/>
        </w:rPr>
        <w:t>HPMS Field Manual</w:t>
      </w:r>
      <w:r w:rsidRPr="00C51B53">
        <w:t xml:space="preserve"> </w:t>
      </w:r>
      <w:r w:rsidR="00C51B53" w:rsidRPr="00C51B53">
        <w:t xml:space="preserve">(FHWA 2016) </w:t>
      </w:r>
      <w:r w:rsidRPr="00C51B53">
        <w:t xml:space="preserve">and </w:t>
      </w:r>
      <w:r w:rsidRPr="00C51B53">
        <w:rPr>
          <w:i/>
          <w:iCs/>
        </w:rPr>
        <w:t>Sampling Techniques</w:t>
      </w:r>
      <w:r w:rsidRPr="00C51B53">
        <w:t xml:space="preserve"> </w:t>
      </w:r>
      <w:bookmarkEnd w:id="1956"/>
      <w:r w:rsidR="00C51B53" w:rsidRPr="00C51B53">
        <w:t xml:space="preserve">(Cochran 1977) </w:t>
      </w:r>
      <w:r w:rsidRPr="00C51B53">
        <w:t>provides descriptions</w:t>
      </w:r>
      <w:r w:rsidRPr="000077D4">
        <w:t xml:space="preserve"> of how the HPMS sample</w:t>
      </w:r>
      <w:r>
        <w:t>s</w:t>
      </w:r>
      <w:r w:rsidRPr="000077D4">
        <w:t xml:space="preserve"> </w:t>
      </w:r>
      <w:r>
        <w:t>are</w:t>
      </w:r>
      <w:r w:rsidRPr="000077D4">
        <w:t xml:space="preserve"> developed and implemented. These documents are useful in helping design a sampling program to meet objective needs. The keys to successfully designing a statistical sampling plan are defining the objectives, understanding the variability of the data being sampled, having a clear understanding of what statistics should be computed, and establishing the </w:t>
      </w:r>
      <w:r>
        <w:t xml:space="preserve">needed </w:t>
      </w:r>
      <w:r w:rsidRPr="000077D4">
        <w:t>accuracy and precision of the estimates. Any statistical samples developed should make use of the available data from the short-term element to minimize the duplication of effort, as much as possible. One possible use of statistical samples is to estimate VMT for the local functional systems, where extensive mileage makes the collection of traffic data very costly.</w:t>
      </w:r>
    </w:p>
    <w:p w14:paraId="3BEA9369" w14:textId="1A5176AD" w:rsidR="003F7B9F" w:rsidRPr="00517F7A" w:rsidRDefault="003F7B9F">
      <w:pPr>
        <w:pStyle w:val="Heading3"/>
      </w:pPr>
      <w:bookmarkStart w:id="1957" w:name="_Toc68190227"/>
      <w:bookmarkStart w:id="1958" w:name="_Toc118205655"/>
      <w:r w:rsidRPr="00517F7A">
        <w:t>Point</w:t>
      </w:r>
      <w:r w:rsidR="00E90EDB">
        <w:t>-</w:t>
      </w:r>
      <w:r w:rsidRPr="00517F7A">
        <w:t>Specific Estimates in the Special Needs Program</w:t>
      </w:r>
      <w:bookmarkEnd w:id="1957"/>
      <w:bookmarkEnd w:id="1958"/>
    </w:p>
    <w:p w14:paraId="3126006E" w14:textId="77777777" w:rsidR="003F7B9F" w:rsidRPr="00CA5338" w:rsidRDefault="003F7B9F" w:rsidP="00A35EAF">
      <w:pPr>
        <w:pStyle w:val="BodyText"/>
      </w:pPr>
      <w:r w:rsidRPr="000077D4">
        <w:t xml:space="preserve">Unfortunately, the random selection of count locations required by most statistical samples is an inefficient mechanism for meeting many site-specific traffic data needs. </w:t>
      </w:r>
      <w:bookmarkStart w:id="1959" w:name="_Hlk59083639"/>
      <w:r w:rsidRPr="000077D4">
        <w:t xml:space="preserve">For example, </w:t>
      </w:r>
      <w:r w:rsidRPr="00CA5338">
        <w:t>HPMS guidance indicates that areas of the State selected for counting in a program year should be selected on a random basis. It further notes that highways with high variability should be counted more often than those with low variability, and highways with high traffic volume should be counted more extensively than those with low volume. However, this quasi-random selection of count locations may not satisfy many site-specific traffic data needs necessary for pavement and bridge design calculations, for example. While statistical techniques are adequate for statewide VMT estimations, these averages or totals are not viable substitutes for actual counts taken at a specified location and time frame.</w:t>
      </w:r>
    </w:p>
    <w:bookmarkEnd w:id="1959"/>
    <w:p w14:paraId="19EB5B46" w14:textId="5DC096F0" w:rsidR="003F7B9F" w:rsidRPr="000077D4" w:rsidRDefault="003F7B9F" w:rsidP="00A35EAF">
      <w:pPr>
        <w:pStyle w:val="BodyText"/>
      </w:pPr>
      <w:r w:rsidRPr="000077D4">
        <w:t>However, if pavement needs to be designed for that section of roadway, a statewide average or total is not a substitute for one or many traffic counts specific to that road section.</w:t>
      </w:r>
    </w:p>
    <w:p w14:paraId="751941B3" w14:textId="0774AD4C" w:rsidR="003F7B9F" w:rsidRPr="000077D4" w:rsidRDefault="003F7B9F" w:rsidP="00A35EAF">
      <w:pPr>
        <w:pStyle w:val="BodyText"/>
      </w:pPr>
      <w:r w:rsidRPr="000077D4">
        <w:t xml:space="preserve">Consequently, data needs require agencies to collect data at locations that are not part of the short-term program. However, by maximizing the use of available data, it is possible to keep the number of these special counts to a </w:t>
      </w:r>
      <w:r w:rsidRPr="000077D4">
        <w:lastRenderedPageBreak/>
        <w:t>minimum and to save resources for other data collection and analysis tasks. No additional data should be collected if existing data meet the desired need.</w:t>
      </w:r>
    </w:p>
    <w:p w14:paraId="64FA75D9" w14:textId="002F0237" w:rsidR="003F7B9F" w:rsidRPr="000077D4" w:rsidRDefault="003F7B9F" w:rsidP="00A35EAF">
      <w:pPr>
        <w:pStyle w:val="BodyText"/>
      </w:pPr>
      <w:r w:rsidRPr="000077D4">
        <w:t>Special counts are generally required for specific project needs. Project counts are undertaken to meet the needs of a given study (for example, a pavement/corridor study, rehabilitation design, or a specific research project). These cover a range of data collection subjects and are usually paid for by project funds. Project counts are traditionally taken on relatively short notice, and they often collect data at a greater level of detail than for the short-term or the HPMS parts of the program. Often, the need is not realized until after a project has been selected for construction, and insufficient time exists by that date to schedule the project counts within the regular counting program. However, where it is possible to include project counts within the regular count program</w:t>
      </w:r>
      <w:r w:rsidR="00D003D1">
        <w:t>’</w:t>
      </w:r>
      <w:r w:rsidRPr="000077D4">
        <w:t xml:space="preserve">s schedule, significant improvements in staff utilization and decreases in overall costs can be achieved. </w:t>
      </w:r>
    </w:p>
    <w:p w14:paraId="7787EF8E" w14:textId="77777777" w:rsidR="003F7B9F" w:rsidRPr="000077D4" w:rsidRDefault="003F7B9F" w:rsidP="00A35EAF">
      <w:pPr>
        <w:pStyle w:val="BodyText"/>
      </w:pPr>
      <w:r w:rsidRPr="000077D4">
        <w:t>Many different types of counts can fall within the special need’s element. Counts are taken by many public and private organizations for many purposes including intersection studies, signal warrants, turning movements, safety analysis, and environmental studies. As much as possible, these activities should be coordinated within the program umbrella.</w:t>
      </w:r>
    </w:p>
    <w:p w14:paraId="34FDFFBD" w14:textId="15D78174" w:rsidR="003F7B9F" w:rsidRPr="000077D4" w:rsidRDefault="003F7B9F" w:rsidP="00A35EAF">
      <w:pPr>
        <w:pStyle w:val="BodyText"/>
      </w:pPr>
      <w:r w:rsidRPr="000077D4">
        <w:t>In general, roadway sections that experience high rates of growth and recreational areas require more frequent counting than those that do not experience growth. Counting roads frequently in volatile areas allows the highway agency to respond with confidence to questions from the public about road use (a common concern in high</w:t>
      </w:r>
      <w:r w:rsidR="009605AB">
        <w:t>-</w:t>
      </w:r>
      <w:r w:rsidRPr="000077D4">
        <w:t>growth areas), while also ensuring that up-to-date statistics are available for the roadway design, maintenance, and repair work that is common in high</w:t>
      </w:r>
      <w:r w:rsidR="009605AB">
        <w:t>-</w:t>
      </w:r>
      <w:r w:rsidRPr="000077D4">
        <w:t>growth areas. Many agencies prefer the use of several counts a year to understand the traffic variability inherent in high growth better. Likewise, recreational roads usually experience major traffic peaking at specific times necessitating frequent data collection times.</w:t>
      </w:r>
    </w:p>
    <w:p w14:paraId="0F48D7E5" w14:textId="078E02E1" w:rsidR="003F7B9F" w:rsidRPr="000077D4" w:rsidRDefault="003F7B9F" w:rsidP="00A35EAF">
      <w:pPr>
        <w:pStyle w:val="BodyText"/>
      </w:pPr>
      <w:r w:rsidRPr="000077D4">
        <w:t>High</w:t>
      </w:r>
      <w:r w:rsidR="009605AB">
        <w:t>-</w:t>
      </w:r>
      <w:r w:rsidRPr="000077D4">
        <w:t>growth areas (if not necessarily roads with high volume growth) can usually be selected based on knowledge of the highway system and available information on the construction of new travel generators, highway construction projects, requirements for highway maintenance, applications for building permits, and changes in population. Recreational areas are also well known to experienced transportation professionals.</w:t>
      </w:r>
    </w:p>
    <w:p w14:paraId="788F24AF" w14:textId="4242782E" w:rsidR="003F7B9F" w:rsidRPr="00517F7A" w:rsidRDefault="003F7B9F">
      <w:pPr>
        <w:pStyle w:val="Heading3"/>
      </w:pPr>
      <w:bookmarkStart w:id="1960" w:name="_Toc68190228"/>
      <w:bookmarkStart w:id="1961" w:name="_Toc118205656"/>
      <w:r w:rsidRPr="00517F7A">
        <w:t>Coordinating the Short-term and Special Needs Counts</w:t>
      </w:r>
      <w:bookmarkEnd w:id="1960"/>
      <w:bookmarkEnd w:id="1961"/>
    </w:p>
    <w:p w14:paraId="267F4C21" w14:textId="6B681775" w:rsidR="003F7B9F" w:rsidRPr="000077D4" w:rsidRDefault="003F7B9F" w:rsidP="00A35EAF">
      <w:pPr>
        <w:pStyle w:val="BodyText"/>
      </w:pPr>
      <w:r w:rsidRPr="000077D4">
        <w:t>Cost efficiency in the traffic-monitoring program is best achieved by carefully coordinating the different aspects within the program</w:t>
      </w:r>
      <w:r w:rsidR="009605AB">
        <w:t>,</w:t>
      </w:r>
      <w:r>
        <w:t xml:space="preserve"> which includes both the</w:t>
      </w:r>
      <w:r w:rsidRPr="000077D4">
        <w:t xml:space="preserve"> continuous and short-term counts. It also includes the short-term, </w:t>
      </w:r>
      <w:r w:rsidRPr="000953E2">
        <w:rPr>
          <w:i/>
          <w:iCs/>
        </w:rPr>
        <w:t>HPMS</w:t>
      </w:r>
      <w:r w:rsidRPr="000077D4">
        <w:t xml:space="preserve">, and special needs counts. </w:t>
      </w:r>
    </w:p>
    <w:p w14:paraId="7C985FE2" w14:textId="77777777" w:rsidR="003F7B9F" w:rsidRPr="000077D4" w:rsidRDefault="003F7B9F" w:rsidP="00A35EAF">
      <w:pPr>
        <w:pStyle w:val="BodyText"/>
      </w:pPr>
      <w:r w:rsidRPr="000077D4">
        <w:t>In theory, the highway agency would start each year with a clear understanding of all the counts that need to be performed. The list could then be examined to determine whether one count could be used for more than one purpose. For example, a classification count at one interstate milepost might easily provide the data required for both that count and a volume count required at the next milepost, since no major interchanges exist between those mileposts. By careful analysis of traffic count segments, location, and data requirements, it is often possible to significantly reduce the total number of counts required to meet user needs.</w:t>
      </w:r>
    </w:p>
    <w:p w14:paraId="7CA34F65" w14:textId="77777777" w:rsidR="003F7B9F" w:rsidRPr="000077D4" w:rsidRDefault="003F7B9F" w:rsidP="00A35EAF">
      <w:pPr>
        <w:pStyle w:val="BodyText"/>
      </w:pPr>
      <w:r w:rsidRPr="000077D4">
        <w:t>The next step is to compare the reduced list of count locations with locations covered by continuous counters (volume, classification, weight, and ITS). Continuous counter locations can be removed from this list, and the remaining sites are the locations that require short-term counts. These locations should then be scheduled to make best use of available staffing and resources.</w:t>
      </w:r>
    </w:p>
    <w:p w14:paraId="2029BDEB" w14:textId="23F87334" w:rsidR="003F7B9F" w:rsidRPr="000077D4" w:rsidRDefault="003F7B9F" w:rsidP="00A35EAF">
      <w:pPr>
        <w:pStyle w:val="BodyText"/>
      </w:pPr>
      <w:r w:rsidRPr="000077D4">
        <w:t>To make this scenario work, it is necessary to understand where data should be collected and the kinds of data that need to be collected. This can be difficult to do because some requirements, such as those for project counts, are not identified until after the count schedule has been developed. Many project count locations and project count needs can be anticipated by examining the highway agency's priority project list and from knowledge of previous requests for data. Project lists detail and prioritize road projects that need to be funded soon, normally including road sections with poor pavement that require repair or rehabilitation, locations with high accident rates, sections that experience heavy congestion, and roadways with other significant deficiencies. While priority lists are rarely equivalent to the final project selection list, high</w:t>
      </w:r>
      <w:r w:rsidR="009605AB">
        <w:t>-</w:t>
      </w:r>
      <w:r w:rsidRPr="000077D4">
        <w:t xml:space="preserve">priority projects are commonly selected, analyzed, and otherwise examined. Making sure that up-to-date, accurate traffic data </w:t>
      </w:r>
      <w:r w:rsidR="009605AB">
        <w:t>are</w:t>
      </w:r>
      <w:r w:rsidR="009605AB" w:rsidRPr="000077D4">
        <w:t xml:space="preserve"> </w:t>
      </w:r>
      <w:r w:rsidRPr="000077D4">
        <w:t xml:space="preserve">available for the analyses helps make </w:t>
      </w:r>
      <w:r w:rsidRPr="000077D4">
        <w:lastRenderedPageBreak/>
        <w:t>the traffic database useful and relevant to the data users and increases the support for maintenance and improvements to that database and entire traffic counting programs.</w:t>
      </w:r>
    </w:p>
    <w:p w14:paraId="7C67AD52" w14:textId="0C1038CC" w:rsidR="003F7B9F" w:rsidRPr="00517F7A" w:rsidRDefault="003F7B9F">
      <w:pPr>
        <w:pStyle w:val="Heading3"/>
      </w:pPr>
      <w:bookmarkStart w:id="1962" w:name="_Toc68190229"/>
      <w:bookmarkStart w:id="1963" w:name="_Toc118205657"/>
      <w:r w:rsidRPr="00517F7A">
        <w:t>Adjust</w:t>
      </w:r>
      <w:r w:rsidR="00663858">
        <w:t>ing</w:t>
      </w:r>
      <w:r w:rsidRPr="00517F7A">
        <w:t xml:space="preserve"> Short-term Volume Counts to AADT</w:t>
      </w:r>
      <w:bookmarkEnd w:id="1962"/>
      <w:bookmarkEnd w:id="1963"/>
    </w:p>
    <w:p w14:paraId="30711189" w14:textId="7FAC1801" w:rsidR="003F7B9F" w:rsidRPr="00CA5338" w:rsidRDefault="003F7B9F" w:rsidP="00A35EAF">
      <w:pPr>
        <w:pStyle w:val="BodyText"/>
      </w:pPr>
      <w:r w:rsidRPr="000077D4">
        <w:t xml:space="preserve">Short-term volume counts usually require several adjustments to convert a daily traffic volume raw count into an estimate of AADT. The specific set of adjustments needed is a function of the equipment used to collect the count and the duration of the count itself. Almost all short-term counts require adjustments to reduce the effects of temporal bias, if </w:t>
      </w:r>
      <w:r w:rsidRPr="00CA5338">
        <w:t>those short-term counts will be used to estimate AADT.</w:t>
      </w:r>
      <w:r w:rsidRPr="00CA5338">
        <w:rPr>
          <w:b/>
          <w:bCs/>
        </w:rPr>
        <w:t xml:space="preserve"> </w:t>
      </w:r>
      <w:r w:rsidRPr="00CA5338">
        <w:t>In general, a 48-hour axle count is converted to AADT with the following formula:</w:t>
      </w:r>
    </w:p>
    <w:p w14:paraId="7CBA7A3A" w14:textId="77777777" w:rsidR="003F7B9F" w:rsidRPr="00CA5338" w:rsidRDefault="003F7B9F" w:rsidP="00A35EAF">
      <w:pPr>
        <w:pStyle w:val="BodyText"/>
      </w:pPr>
      <w:r w:rsidRPr="00CA5338">
        <w:tab/>
      </w:r>
      <w:r w:rsidRPr="00CA5338">
        <w:tab/>
        <w:t>AADT</w:t>
      </w:r>
      <w:r w:rsidRPr="00CA5338">
        <w:rPr>
          <w:rFonts w:cs="Times New Roman"/>
          <w:vertAlign w:val="subscript"/>
        </w:rPr>
        <w:t>hi</w:t>
      </w:r>
      <w:r w:rsidRPr="00CA5338">
        <w:t xml:space="preserve"> = VOL</w:t>
      </w:r>
      <w:r w:rsidRPr="00CA5338">
        <w:rPr>
          <w:rFonts w:cs="Times New Roman"/>
          <w:vertAlign w:val="subscript"/>
        </w:rPr>
        <w:t>hi</w:t>
      </w:r>
      <w:r w:rsidRPr="00CA5338">
        <w:t xml:space="preserve"> × M</w:t>
      </w:r>
      <w:r w:rsidRPr="00CA5338">
        <w:rPr>
          <w:rFonts w:cs="Times New Roman"/>
          <w:vertAlign w:val="subscript"/>
        </w:rPr>
        <w:t>h</w:t>
      </w:r>
      <w:r w:rsidRPr="00CA5338">
        <w:t xml:space="preserve"> × D</w:t>
      </w:r>
      <w:r w:rsidRPr="00CA5338">
        <w:rPr>
          <w:rFonts w:cs="Times New Roman"/>
          <w:vertAlign w:val="subscript"/>
        </w:rPr>
        <w:t>h</w:t>
      </w:r>
      <w:r w:rsidRPr="00CA5338">
        <w:t xml:space="preserve"> × T</w:t>
      </w:r>
      <w:r w:rsidRPr="00CA5338">
        <w:rPr>
          <w:rFonts w:cs="Times New Roman"/>
          <w:vertAlign w:val="subscript"/>
        </w:rPr>
        <w:t>h</w:t>
      </w:r>
      <w:r w:rsidRPr="00CA5338">
        <w:t xml:space="preserve"> x A</w:t>
      </w:r>
      <w:r w:rsidRPr="00CA5338">
        <w:rPr>
          <w:rFonts w:cs="Times New Roman"/>
          <w:vertAlign w:val="subscript"/>
        </w:rPr>
        <w:t>i</w:t>
      </w:r>
      <w:r w:rsidRPr="00CA5338">
        <w:t xml:space="preserve"> × G</w:t>
      </w:r>
      <w:r w:rsidRPr="00CA5338">
        <w:rPr>
          <w:rFonts w:cs="Times New Roman"/>
          <w:vertAlign w:val="subscript"/>
        </w:rPr>
        <w:t>h</w:t>
      </w:r>
      <w:r w:rsidRPr="00CA5338">
        <w:t xml:space="preserve"> </w:t>
      </w:r>
    </w:p>
    <w:p w14:paraId="18EFEB86" w14:textId="77777777" w:rsidR="003F7B9F" w:rsidRPr="00CA5338" w:rsidRDefault="003F7B9F" w:rsidP="00A35EAF">
      <w:pPr>
        <w:pStyle w:val="BodyText"/>
      </w:pPr>
      <w:r w:rsidRPr="00CA5338">
        <w:t>Where:</w:t>
      </w:r>
    </w:p>
    <w:p w14:paraId="472B2F3F" w14:textId="2A27E460" w:rsidR="003F7B9F" w:rsidRPr="00CA5338" w:rsidRDefault="003F7B9F" w:rsidP="00A35EAF">
      <w:pPr>
        <w:pStyle w:val="BodyText"/>
      </w:pPr>
      <w:r w:rsidRPr="00CA5338">
        <w:rPr>
          <w:i/>
          <w:iCs/>
        </w:rPr>
        <w:t>AADT</w:t>
      </w:r>
      <w:r w:rsidRPr="00CA5338">
        <w:rPr>
          <w:rFonts w:cs="Times New Roman"/>
          <w:i/>
          <w:iCs/>
          <w:vertAlign w:val="subscript"/>
        </w:rPr>
        <w:t>hi</w:t>
      </w:r>
      <w:r w:rsidRPr="00CA5338">
        <w:t xml:space="preserve"> = the annual average daily travel at location </w:t>
      </w:r>
      <w:r w:rsidRPr="00CA5338">
        <w:rPr>
          <w:i/>
          <w:iCs/>
        </w:rPr>
        <w:t>i</w:t>
      </w:r>
      <w:r w:rsidRPr="00CA5338">
        <w:t xml:space="preserve"> of factor group </w:t>
      </w:r>
      <w:r w:rsidRPr="00CA5338">
        <w:rPr>
          <w:i/>
          <w:iCs/>
        </w:rPr>
        <w:t>h</w:t>
      </w:r>
    </w:p>
    <w:p w14:paraId="5EC06D3C" w14:textId="577111B0" w:rsidR="003F7B9F" w:rsidRPr="00CA5338" w:rsidRDefault="003F7B9F" w:rsidP="00A35EAF">
      <w:pPr>
        <w:pStyle w:val="BodyText"/>
      </w:pPr>
      <w:r w:rsidRPr="00CA5338">
        <w:rPr>
          <w:i/>
          <w:iCs/>
        </w:rPr>
        <w:t>VOL</w:t>
      </w:r>
      <w:r w:rsidRPr="00CA5338">
        <w:rPr>
          <w:rFonts w:cs="Times New Roman"/>
          <w:i/>
          <w:iCs/>
          <w:vertAlign w:val="subscript"/>
        </w:rPr>
        <w:t>hi</w:t>
      </w:r>
      <w:r w:rsidRPr="00CA5338">
        <w:t xml:space="preserve"> = the 48-hour axle volume at location </w:t>
      </w:r>
      <w:r w:rsidRPr="00CA5338">
        <w:rPr>
          <w:i/>
          <w:iCs/>
        </w:rPr>
        <w:t>i</w:t>
      </w:r>
      <w:r w:rsidRPr="00CA5338">
        <w:t xml:space="preserve"> of factor group </w:t>
      </w:r>
      <w:r w:rsidRPr="00CA5338">
        <w:rPr>
          <w:i/>
          <w:iCs/>
        </w:rPr>
        <w:t>h</w:t>
      </w:r>
    </w:p>
    <w:p w14:paraId="172B7F79" w14:textId="27C06C79" w:rsidR="003F7B9F" w:rsidRPr="00CA5338" w:rsidRDefault="003F7B9F" w:rsidP="00A35EAF">
      <w:pPr>
        <w:pStyle w:val="BodyText"/>
      </w:pPr>
      <w:r w:rsidRPr="00CA5338">
        <w:rPr>
          <w:i/>
          <w:iCs/>
        </w:rPr>
        <w:t>M</w:t>
      </w:r>
      <w:r w:rsidRPr="00CA5338">
        <w:rPr>
          <w:rFonts w:cs="Times New Roman"/>
          <w:i/>
          <w:iCs/>
          <w:vertAlign w:val="subscript"/>
        </w:rPr>
        <w:t>h</w:t>
      </w:r>
      <w:r w:rsidRPr="00CA5338">
        <w:t xml:space="preserve"> = the applicable monthly (seasonal) factor for factor group </w:t>
      </w:r>
      <w:r w:rsidRPr="00CA5338">
        <w:rPr>
          <w:i/>
          <w:iCs/>
        </w:rPr>
        <w:t>h</w:t>
      </w:r>
    </w:p>
    <w:p w14:paraId="7AC61547" w14:textId="78F14280" w:rsidR="003F7B9F" w:rsidRPr="00CA5338" w:rsidRDefault="003F7B9F" w:rsidP="00A35EAF">
      <w:pPr>
        <w:pStyle w:val="BodyText"/>
      </w:pPr>
      <w:r w:rsidRPr="00CA5338">
        <w:rPr>
          <w:i/>
          <w:iCs/>
        </w:rPr>
        <w:t>D</w:t>
      </w:r>
      <w:r w:rsidRPr="00CA5338">
        <w:rPr>
          <w:rFonts w:cs="Times New Roman"/>
          <w:i/>
          <w:iCs/>
          <w:vertAlign w:val="subscript"/>
        </w:rPr>
        <w:t>h</w:t>
      </w:r>
      <w:r w:rsidRPr="00CA5338">
        <w:t xml:space="preserve"> = the applicable DOW factor for factor group </w:t>
      </w:r>
      <w:r w:rsidRPr="00CA5338">
        <w:rPr>
          <w:i/>
          <w:iCs/>
        </w:rPr>
        <w:t>h</w:t>
      </w:r>
      <w:r w:rsidRPr="00CA5338">
        <w:t xml:space="preserve"> (if needed)</w:t>
      </w:r>
    </w:p>
    <w:p w14:paraId="1C2B3A35" w14:textId="1101F94B" w:rsidR="003F7B9F" w:rsidRPr="00CA5338" w:rsidRDefault="003F7B9F" w:rsidP="00A35EAF">
      <w:pPr>
        <w:pStyle w:val="BodyText"/>
      </w:pPr>
      <w:r w:rsidRPr="00CA5338">
        <w:rPr>
          <w:i/>
          <w:iCs/>
        </w:rPr>
        <w:t>T</w:t>
      </w:r>
      <w:r w:rsidRPr="00CA5338">
        <w:rPr>
          <w:rFonts w:cs="Times New Roman"/>
          <w:i/>
          <w:iCs/>
          <w:vertAlign w:val="subscript"/>
        </w:rPr>
        <w:t xml:space="preserve"> h</w:t>
      </w:r>
      <w:r w:rsidRPr="00CA5338">
        <w:t xml:space="preserve"> = the applicable TOD factor for factor group </w:t>
      </w:r>
      <w:r w:rsidRPr="00CA5338">
        <w:rPr>
          <w:i/>
        </w:rPr>
        <w:t>h</w:t>
      </w:r>
      <w:r w:rsidRPr="00CA5338">
        <w:t xml:space="preserve"> (if needed for any partial day counts)</w:t>
      </w:r>
    </w:p>
    <w:p w14:paraId="4164CF02" w14:textId="4E222743" w:rsidR="003F7B9F" w:rsidRPr="00CA5338" w:rsidRDefault="003F7B9F" w:rsidP="00A35EAF">
      <w:pPr>
        <w:pStyle w:val="BodyText"/>
      </w:pPr>
      <w:r w:rsidRPr="00CA5338">
        <w:rPr>
          <w:i/>
          <w:iCs/>
        </w:rPr>
        <w:t>A</w:t>
      </w:r>
      <w:r w:rsidRPr="00CA5338">
        <w:rPr>
          <w:rFonts w:cs="Times New Roman"/>
          <w:i/>
          <w:iCs/>
          <w:vertAlign w:val="subscript"/>
        </w:rPr>
        <w:t>i</w:t>
      </w:r>
      <w:r w:rsidRPr="00CA5338">
        <w:t xml:space="preserve"> = the applicable axle-correction factor for location </w:t>
      </w:r>
      <w:r w:rsidRPr="00CA5338">
        <w:rPr>
          <w:i/>
          <w:iCs/>
        </w:rPr>
        <w:t>i</w:t>
      </w:r>
      <w:r w:rsidRPr="00CA5338">
        <w:t xml:space="preserve"> (if not a </w:t>
      </w:r>
      <w:r>
        <w:t xml:space="preserve">traffic </w:t>
      </w:r>
      <w:r w:rsidRPr="00CA5338">
        <w:t>volume or class count</w:t>
      </w:r>
      <w:r>
        <w:t>, i.e.</w:t>
      </w:r>
      <w:r w:rsidR="009605AB">
        <w:t>,</w:t>
      </w:r>
      <w:r>
        <w:t xml:space="preserve"> for counts collected using a single pneumatic road tube</w:t>
      </w:r>
      <w:r w:rsidRPr="00CA5338">
        <w:t>)</w:t>
      </w:r>
    </w:p>
    <w:p w14:paraId="53664BB4" w14:textId="1C0E2823" w:rsidR="003F7B9F" w:rsidRPr="00CA5338" w:rsidRDefault="003F7B9F" w:rsidP="00A35EAF">
      <w:pPr>
        <w:pStyle w:val="BodyText"/>
      </w:pPr>
      <w:r w:rsidRPr="00CA5338">
        <w:rPr>
          <w:i/>
          <w:iCs/>
        </w:rPr>
        <w:t>G</w:t>
      </w:r>
      <w:r w:rsidRPr="00CA5338">
        <w:rPr>
          <w:rFonts w:cs="Times New Roman"/>
          <w:i/>
          <w:iCs/>
          <w:vertAlign w:val="subscript"/>
        </w:rPr>
        <w:t>h</w:t>
      </w:r>
      <w:r w:rsidRPr="00124974">
        <w:t xml:space="preserve"> </w:t>
      </w:r>
      <w:r w:rsidRPr="00CA5338">
        <w:t>= the applicable yearly change (i.e.</w:t>
      </w:r>
      <w:r w:rsidR="009605AB">
        <w:t>,</w:t>
      </w:r>
      <w:r w:rsidRPr="00CA5338">
        <w:t xml:space="preserve"> growth or decline) rate factor for factor group </w:t>
      </w:r>
      <w:r w:rsidRPr="00CA5338">
        <w:rPr>
          <w:i/>
          <w:iCs/>
        </w:rPr>
        <w:t>h</w:t>
      </w:r>
      <w:r w:rsidRPr="00CA5338">
        <w:t xml:space="preserve"> (if needed)</w:t>
      </w:r>
    </w:p>
    <w:p w14:paraId="16731947" w14:textId="15CBD95B" w:rsidR="003F7B9F" w:rsidRPr="00CA5338" w:rsidRDefault="003F7B9F" w:rsidP="00A35EAF">
      <w:pPr>
        <w:pStyle w:val="BodyText"/>
      </w:pPr>
      <w:r w:rsidRPr="00CA5338">
        <w:t>This formula should be modified, as necessary, to account for the traffic count's specific characteristics. For example, if the short-term count is taken with an inductive loop detector instead of a conventional pneumatic axle sensor, the axle correction factor (</w:t>
      </w:r>
      <w:r w:rsidRPr="00CA5338">
        <w:rPr>
          <w:i/>
          <w:iCs/>
        </w:rPr>
        <w:t>A</w:t>
      </w:r>
      <w:r w:rsidRPr="00CA5338">
        <w:rPr>
          <w:vertAlign w:val="subscript"/>
        </w:rPr>
        <w:t>h</w:t>
      </w:r>
      <w:r w:rsidRPr="00CA5338">
        <w:t xml:space="preserve">) is removed from the formula. Similarly, if the count is taken for seven consecutive days, the seven daily volumes can be averaged, substituted for the term </w:t>
      </w:r>
      <w:r w:rsidRPr="00CA5338">
        <w:rPr>
          <w:i/>
          <w:iCs/>
        </w:rPr>
        <w:t>VOL</w:t>
      </w:r>
      <w:r w:rsidRPr="00CA5338">
        <w:rPr>
          <w:vertAlign w:val="subscript"/>
        </w:rPr>
        <w:t>hi</w:t>
      </w:r>
      <w:r w:rsidRPr="00CA5338">
        <w:t>, and the DOW factor (</w:t>
      </w:r>
      <w:r w:rsidRPr="00CA5338">
        <w:rPr>
          <w:i/>
          <w:iCs/>
        </w:rPr>
        <w:t>D</w:t>
      </w:r>
      <w:r w:rsidRPr="00CA5338">
        <w:rPr>
          <w:vertAlign w:val="subscript"/>
        </w:rPr>
        <w:t>h</w:t>
      </w:r>
      <w:r w:rsidRPr="00CA5338">
        <w:t xml:space="preserve">) removed from the equation. Lastly, growth factors are only needed if the count was taken in a year other than the year for which AADT is being estimated. For </w:t>
      </w:r>
      <w:r w:rsidR="00646A42">
        <w:t xml:space="preserve">the </w:t>
      </w:r>
      <w:r w:rsidRPr="00CA5338">
        <w:t xml:space="preserve">TOD factor, this may be by hour or other time increment and is meant to adjust for any partial day counts taken. This factor can be a weighted value by hours in the day or other method. It is best to include any valid partial time increments for any portable counts including extra hours </w:t>
      </w:r>
      <w:r w:rsidR="00646A42">
        <w:t>in the</w:t>
      </w:r>
      <w:r w:rsidR="00646A42" w:rsidRPr="00CA5338">
        <w:t xml:space="preserve"> </w:t>
      </w:r>
      <w:r w:rsidRPr="00CA5338">
        <w:t>count duration. Including 49 hours of a 48-hour count improves the result of an annualized short-term count.</w:t>
      </w:r>
      <w:bookmarkStart w:id="1964" w:name="_Toc323825324"/>
      <w:bookmarkStart w:id="1965" w:name="_Toc323825399"/>
      <w:bookmarkStart w:id="1966" w:name="_Toc323825759"/>
      <w:bookmarkStart w:id="1967" w:name="_Toc323825897"/>
      <w:bookmarkStart w:id="1968" w:name="_Toc323825943"/>
      <w:bookmarkStart w:id="1969" w:name="_Toc323825989"/>
      <w:bookmarkStart w:id="1970" w:name="_Toc323826042"/>
      <w:bookmarkStart w:id="1971" w:name="_Toc323826095"/>
      <w:bookmarkStart w:id="1972" w:name="_Toc323826178"/>
      <w:bookmarkStart w:id="1973" w:name="_Toc323826273"/>
      <w:bookmarkStart w:id="1974" w:name="_Toc323826368"/>
      <w:bookmarkStart w:id="1975" w:name="_Toc323826463"/>
      <w:bookmarkStart w:id="1976" w:name="_Toc323826558"/>
      <w:bookmarkStart w:id="1977" w:name="_Toc323826653"/>
      <w:bookmarkStart w:id="1978" w:name="_Toc323826748"/>
      <w:bookmarkStart w:id="1979" w:name="_Toc323826843"/>
      <w:bookmarkStart w:id="1980" w:name="_Toc323826938"/>
      <w:bookmarkStart w:id="1981" w:name="_Toc323827033"/>
      <w:bookmarkStart w:id="1982" w:name="_Toc323827121"/>
      <w:bookmarkStart w:id="1983" w:name="_Toc323827209"/>
      <w:bookmarkStart w:id="1984" w:name="_Toc323827297"/>
      <w:bookmarkStart w:id="1985" w:name="_Toc323827385"/>
      <w:bookmarkStart w:id="1986" w:name="_Toc323827473"/>
      <w:bookmarkStart w:id="1987" w:name="_Toc323827561"/>
      <w:bookmarkStart w:id="1988" w:name="_Toc323827649"/>
      <w:bookmarkStart w:id="1989" w:name="_Toc323827737"/>
      <w:bookmarkStart w:id="1990" w:name="_Toc323827794"/>
      <w:bookmarkStart w:id="1991" w:name="_Toc323913266"/>
      <w:bookmarkStart w:id="1992" w:name="_Toc324176376"/>
      <w:bookmarkStart w:id="1993" w:name="_Toc324176456"/>
      <w:bookmarkStart w:id="1994" w:name="_Toc324232308"/>
      <w:bookmarkStart w:id="1995" w:name="_Toc324233192"/>
      <w:bookmarkStart w:id="1996" w:name="_Toc323825325"/>
      <w:bookmarkStart w:id="1997" w:name="_Toc323825400"/>
      <w:bookmarkStart w:id="1998" w:name="_Toc323825760"/>
      <w:bookmarkStart w:id="1999" w:name="_Toc323825898"/>
      <w:bookmarkStart w:id="2000" w:name="_Toc323825944"/>
      <w:bookmarkStart w:id="2001" w:name="_Toc323825990"/>
      <w:bookmarkStart w:id="2002" w:name="_Toc323826043"/>
      <w:bookmarkStart w:id="2003" w:name="_Toc323826096"/>
      <w:bookmarkStart w:id="2004" w:name="_Toc323826179"/>
      <w:bookmarkStart w:id="2005" w:name="_Toc323826274"/>
      <w:bookmarkStart w:id="2006" w:name="_Toc323826369"/>
      <w:bookmarkStart w:id="2007" w:name="_Toc323826464"/>
      <w:bookmarkStart w:id="2008" w:name="_Toc323826559"/>
      <w:bookmarkStart w:id="2009" w:name="_Toc323826654"/>
      <w:bookmarkStart w:id="2010" w:name="_Toc323826749"/>
      <w:bookmarkStart w:id="2011" w:name="_Toc323826844"/>
      <w:bookmarkStart w:id="2012" w:name="_Toc323826939"/>
      <w:bookmarkStart w:id="2013" w:name="_Toc323827034"/>
      <w:bookmarkStart w:id="2014" w:name="_Toc323827122"/>
      <w:bookmarkStart w:id="2015" w:name="_Toc323827210"/>
      <w:bookmarkStart w:id="2016" w:name="_Toc323827298"/>
      <w:bookmarkStart w:id="2017" w:name="_Toc323827386"/>
      <w:bookmarkStart w:id="2018" w:name="_Toc323827474"/>
      <w:bookmarkStart w:id="2019" w:name="_Toc323827562"/>
      <w:bookmarkStart w:id="2020" w:name="_Toc323827650"/>
      <w:bookmarkStart w:id="2021" w:name="_Toc323827738"/>
      <w:bookmarkStart w:id="2022" w:name="_Toc323827795"/>
      <w:bookmarkStart w:id="2023" w:name="_Toc323913267"/>
      <w:bookmarkStart w:id="2024" w:name="_Toc324176377"/>
      <w:bookmarkStart w:id="2025" w:name="_Toc324176457"/>
      <w:bookmarkStart w:id="2026" w:name="_Toc324232309"/>
      <w:bookmarkStart w:id="2027" w:name="_Toc324233193"/>
      <w:bookmarkStart w:id="2028" w:name="coveragecount"/>
      <w:bookmarkStart w:id="2029" w:name="_Toc334793193"/>
      <w:bookmarkStart w:id="2030" w:name="_Toc334793194"/>
      <w:bookmarkStart w:id="2031" w:name="a313"/>
      <w:bookmarkStart w:id="2032" w:name="_Toc304560468"/>
      <w:bookmarkStart w:id="2033" w:name="_Toc324246185"/>
      <w:bookmarkStart w:id="2034" w:name="_Ref324412735"/>
      <w:bookmarkStart w:id="2035" w:name="_Toc324780198"/>
      <w:bookmarkStart w:id="2036" w:name="_Toc335302483"/>
      <w:bookmarkStart w:id="2037" w:name="_Toc45604659"/>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p>
    <w:p w14:paraId="589D66F3" w14:textId="63A20AC1" w:rsidR="003F7B9F" w:rsidRPr="00517F7A" w:rsidRDefault="003F7B9F">
      <w:pPr>
        <w:pStyle w:val="Heading2"/>
      </w:pPr>
      <w:bookmarkStart w:id="2038" w:name="_Toc68190230"/>
      <w:bookmarkStart w:id="2039" w:name="_Toc68864946"/>
      <w:bookmarkStart w:id="2040" w:name="_Toc114474731"/>
      <w:bookmarkStart w:id="2041" w:name="_Toc118205658"/>
      <w:r w:rsidRPr="00517F7A">
        <w:t>How To Collect Speed Data Using Portable Counts</w:t>
      </w:r>
      <w:bookmarkEnd w:id="2038"/>
      <w:bookmarkEnd w:id="2039"/>
      <w:bookmarkEnd w:id="2040"/>
      <w:bookmarkEnd w:id="2041"/>
      <w:r w:rsidRPr="00517F7A">
        <w:t xml:space="preserve"> </w:t>
      </w:r>
      <w:bookmarkEnd w:id="2032"/>
      <w:bookmarkEnd w:id="2033"/>
      <w:bookmarkEnd w:id="2034"/>
      <w:bookmarkEnd w:id="2035"/>
      <w:bookmarkEnd w:id="2036"/>
      <w:bookmarkEnd w:id="2037"/>
    </w:p>
    <w:p w14:paraId="29834DEC" w14:textId="485E2D42" w:rsidR="003F7B9F" w:rsidRPr="00FE105F" w:rsidRDefault="003F7B9F" w:rsidP="00A35EAF">
      <w:pPr>
        <w:pStyle w:val="BodyText"/>
      </w:pPr>
      <w:r w:rsidRPr="00FE105F">
        <w:t xml:space="preserve">Traffic monitoring devices used for vehicle classification or WIM can also </w:t>
      </w:r>
      <w:r>
        <w:t>provide</w:t>
      </w:r>
      <w:r w:rsidRPr="00FE105F">
        <w:t xml:space="preserve"> vehicle speed data for use in speed and other safety studies. For example, dual sensor-based event recorders that record the passage of individual vehicles and/or their axles collect vehicle speed data because of the time stamps associated with each passing axle/vehicle and the recorded distance between axle sensors. This same information is collected by portable vehicle classifiers, which use vehicle speed measurements in the calculations of axle spacing and overall vehicle length. Many portable, non-intrusive detector systems can also be used to collect vehicle speeds at locations where data collection crews cannot safely place portable axle detectors. </w:t>
      </w:r>
    </w:p>
    <w:p w14:paraId="2D5121D0" w14:textId="77777777" w:rsidR="003F7B9F" w:rsidRPr="00FE105F" w:rsidRDefault="003F7B9F" w:rsidP="00A35EAF">
      <w:pPr>
        <w:pStyle w:val="BodyText"/>
      </w:pPr>
      <w:r w:rsidRPr="00FE105F">
        <w:t xml:space="preserve">The key to successful portable classification and speed data collection efforts is to ensure that the data collection equipment is carefully calibrated after it has been placed (the measurement of the distance between portable sensors is </w:t>
      </w:r>
      <w:r>
        <w:t>important</w:t>
      </w:r>
      <w:r w:rsidRPr="00FE105F">
        <w:t xml:space="preserve">) and that the data collection electronics connected to those sensors have been set to collect the desired speed bins. Crews should perform an on-site calibration process each time they place equipment on the roadway by using a laser speed-monitoring device to compare equipment output with the speed data being collected or using a vehicle of known axle-distance to calibrate the axle spacing reported by the portable counter. </w:t>
      </w:r>
    </w:p>
    <w:p w14:paraId="1C8B028E" w14:textId="156EB7F5" w:rsidR="003F7B9F" w:rsidRPr="00FE105F" w:rsidRDefault="003F7B9F" w:rsidP="00A35EAF">
      <w:pPr>
        <w:pStyle w:val="BodyText"/>
      </w:pPr>
      <w:r w:rsidRPr="00FE105F">
        <w:t xml:space="preserve">To ensure that </w:t>
      </w:r>
      <w:r>
        <w:t>short-term</w:t>
      </w:r>
      <w:r w:rsidRPr="00FE105F">
        <w:t xml:space="preserve"> speed data collection is cost effective, it is important that the traffic data collection office reach out to the safety management office within the agency before developing the annual traffic data </w:t>
      </w:r>
      <w:r w:rsidRPr="00FE105F">
        <w:lastRenderedPageBreak/>
        <w:t>collection plan. This allows early identification of locations for which speed data are needed, thus ensuring the inclusion of those data locations within the routine short</w:t>
      </w:r>
      <w:r w:rsidR="00646A42">
        <w:t>-term</w:t>
      </w:r>
      <w:r w:rsidRPr="00FE105F">
        <w:t xml:space="preserve"> count data collection program.</w:t>
      </w:r>
    </w:p>
    <w:p w14:paraId="1BEDBAD5" w14:textId="1DBBC4D5" w:rsidR="003F7B9F" w:rsidRPr="00517F7A" w:rsidRDefault="00B53D23">
      <w:pPr>
        <w:pStyle w:val="Heading2"/>
      </w:pPr>
      <w:bookmarkStart w:id="2042" w:name="_Toc45604660"/>
      <w:bookmarkStart w:id="2043" w:name="_Toc304560467"/>
      <w:bookmarkStart w:id="2044" w:name="_Toc324246177"/>
      <w:bookmarkStart w:id="2045" w:name="_Ref324412742"/>
      <w:bookmarkStart w:id="2046" w:name="_Toc324780199"/>
      <w:bookmarkStart w:id="2047" w:name="_Toc335302484"/>
      <w:bookmarkStart w:id="2048" w:name="_Toc68190231"/>
      <w:bookmarkStart w:id="2049" w:name="_Toc114474732"/>
      <w:bookmarkStart w:id="2050" w:name="_Toc118205659"/>
      <w:r w:rsidRPr="00517F7A">
        <w:t>How</w:t>
      </w:r>
      <w:r w:rsidR="003B6318" w:rsidRPr="00517F7A">
        <w:t xml:space="preserve"> to </w:t>
      </w:r>
      <w:r w:rsidR="00961D1C">
        <w:t>D</w:t>
      </w:r>
      <w:r w:rsidR="003B6318" w:rsidRPr="00517F7A">
        <w:t xml:space="preserve">esign a Short-Term </w:t>
      </w:r>
      <w:r w:rsidR="003F7B9F" w:rsidRPr="00517F7A">
        <w:t>Classification</w:t>
      </w:r>
      <w:r w:rsidR="003B6318" w:rsidRPr="00517F7A">
        <w:t xml:space="preserve"> Data </w:t>
      </w:r>
      <w:r w:rsidR="00B12C98">
        <w:t>C</w:t>
      </w:r>
      <w:r w:rsidR="003B6318" w:rsidRPr="00517F7A">
        <w:t xml:space="preserve">ollection Program </w:t>
      </w:r>
      <w:r w:rsidR="003F7B9F" w:rsidRPr="00517F7A">
        <w:t>(Axle and Length)</w:t>
      </w:r>
      <w:bookmarkEnd w:id="2042"/>
      <w:bookmarkEnd w:id="2043"/>
      <w:bookmarkEnd w:id="2044"/>
      <w:bookmarkEnd w:id="2045"/>
      <w:bookmarkEnd w:id="2046"/>
      <w:bookmarkEnd w:id="2047"/>
      <w:bookmarkEnd w:id="2048"/>
      <w:bookmarkEnd w:id="2049"/>
      <w:bookmarkEnd w:id="2050"/>
    </w:p>
    <w:p w14:paraId="7D819E21" w14:textId="77777777" w:rsidR="003B6318" w:rsidRPr="00771210" w:rsidRDefault="003B6318" w:rsidP="00A35EAF">
      <w:pPr>
        <w:pStyle w:val="BodyText"/>
      </w:pPr>
      <w:bookmarkStart w:id="2051" w:name="Short_Duration_Counts"/>
      <w:bookmarkStart w:id="2052" w:name="_Toc324246178"/>
      <w:bookmarkStart w:id="2053" w:name="_Toc324780200"/>
      <w:bookmarkStart w:id="2054" w:name="_Toc335302485"/>
      <w:r>
        <w:t>Short-term</w:t>
      </w:r>
      <w:r w:rsidRPr="00771210">
        <w:t xml:space="preserve"> vehicle classification counts serve as the primary mechanism for collecting information on heavy vehicle volumes. They provide the geographic distribution necessary to meet the general agency needs and the needs of its customers, as well as the site-specific knowledge needed for the more detailed technical analyses of users. </w:t>
      </w:r>
    </w:p>
    <w:p w14:paraId="709C5797" w14:textId="77777777" w:rsidR="003B6318" w:rsidRDefault="003B6318" w:rsidP="00A35EAF">
      <w:pPr>
        <w:pStyle w:val="BodyText"/>
      </w:pPr>
      <w:r w:rsidRPr="00771210">
        <w:t xml:space="preserve">Large numbers of </w:t>
      </w:r>
      <w:r w:rsidRPr="00CA5338">
        <w:t xml:space="preserve">transportation analyses are starting to require more and better vehicle class data volume information. Vehicle volume information has become particularly important for pavement design, freight mobility, planning, safety, and </w:t>
      </w:r>
      <w:r w:rsidRPr="00771210">
        <w:t>project programming decisions.</w:t>
      </w:r>
    </w:p>
    <w:p w14:paraId="38D92295" w14:textId="77777777" w:rsidR="003B6318" w:rsidRPr="00AA08A1" w:rsidRDefault="003B6318" w:rsidP="00A35EAF">
      <w:pPr>
        <w:pStyle w:val="BodyText"/>
      </w:pPr>
      <w:r w:rsidRPr="00AA08A1">
        <w:t xml:space="preserve">The </w:t>
      </w:r>
      <w:r w:rsidRPr="005E416B">
        <w:rPr>
          <w:i/>
          <w:iCs/>
        </w:rPr>
        <w:t>TMG</w:t>
      </w:r>
      <w:r w:rsidRPr="00AA08A1">
        <w:t xml:space="preserve"> recommends that State highway agencies aim to collect at least 25 to 30 percent of their entire short-term count program with vehicle classification counting equipment.</w:t>
      </w:r>
    </w:p>
    <w:p w14:paraId="3DB9D399" w14:textId="77777777" w:rsidR="003B6318" w:rsidRPr="005A18C5" w:rsidRDefault="003B6318" w:rsidP="00A35EAF">
      <w:pPr>
        <w:pStyle w:val="BodyText"/>
        <w:rPr>
          <w:rStyle w:val="Strong"/>
          <w:rFonts w:ascii="Cambria" w:hAnsi="Cambria"/>
          <w:sz w:val="22"/>
          <w:szCs w:val="22"/>
        </w:rPr>
      </w:pPr>
      <w:r w:rsidRPr="005A18C5">
        <w:rPr>
          <w:rStyle w:val="Strong"/>
          <w:rFonts w:ascii="Cambria" w:hAnsi="Cambria"/>
          <w:sz w:val="22"/>
          <w:szCs w:val="22"/>
        </w:rPr>
        <w:t xml:space="preserve">FHWA’s 13 Vehicle Category Classification </w:t>
      </w:r>
    </w:p>
    <w:p w14:paraId="5838D5FF" w14:textId="05165D31" w:rsidR="003B6318" w:rsidRDefault="00D209D5" w:rsidP="00A35EAF">
      <w:pPr>
        <w:pStyle w:val="BodyText"/>
      </w:pPr>
      <w:r>
        <w:fldChar w:fldCharType="begin"/>
      </w:r>
      <w:r>
        <w:instrText xml:space="preserve"> REF _Ref114752355 \h </w:instrText>
      </w:r>
      <w:r>
        <w:fldChar w:fldCharType="separate"/>
      </w:r>
      <w:r w:rsidR="00C07DF9" w:rsidRPr="007B58D8">
        <w:t xml:space="preserve">Figure </w:t>
      </w:r>
      <w:r w:rsidR="00C07DF9">
        <w:rPr>
          <w:noProof/>
        </w:rPr>
        <w:t>3</w:t>
      </w:r>
      <w:r w:rsidR="00C07DF9" w:rsidRPr="007B58D8">
        <w:noBreakHyphen/>
      </w:r>
      <w:r w:rsidR="00C07DF9">
        <w:rPr>
          <w:noProof/>
        </w:rPr>
        <w:t>5</w:t>
      </w:r>
      <w:r>
        <w:fldChar w:fldCharType="end"/>
      </w:r>
      <w:r w:rsidR="003B6318">
        <w:t xml:space="preserve"> provides </w:t>
      </w:r>
      <w:r w:rsidR="003B6318" w:rsidRPr="00097579">
        <w:t>FHWA’</w:t>
      </w:r>
      <w:r w:rsidR="003B6318">
        <w:t>s</w:t>
      </w:r>
      <w:r w:rsidR="003B6318" w:rsidRPr="00097579">
        <w:t xml:space="preserve"> 13 vehicle category classification</w:t>
      </w:r>
      <w:r w:rsidR="003B6318">
        <w:t xml:space="preserve"> recommended for </w:t>
      </w:r>
      <w:r w:rsidR="003B6318" w:rsidRPr="000E1F61">
        <w:t>short-term vehicle classification data collection</w:t>
      </w:r>
      <w:r w:rsidR="003B6318">
        <w:t>. The table</w:t>
      </w:r>
      <w:r w:rsidR="003B6318" w:rsidRPr="00CA5338">
        <w:t xml:space="preserve"> provides class naming (class 1, class 2, etc.), class types (motorcycle, passenger car, four tire single unit vehicles, etc.)</w:t>
      </w:r>
      <w:r w:rsidR="003B6318">
        <w:t>,</w:t>
      </w:r>
      <w:r w:rsidR="003B6318" w:rsidRPr="00CA5338">
        <w:t xml:space="preserve"> and illustrative images of vehicles that represents </w:t>
      </w:r>
      <w:r w:rsidR="00B12C98">
        <w:t>each</w:t>
      </w:r>
      <w:r w:rsidR="00B12C98" w:rsidRPr="00CA5338">
        <w:t xml:space="preserve"> </w:t>
      </w:r>
      <w:r w:rsidR="003B6318" w:rsidRPr="00CA5338">
        <w:t>class.</w:t>
      </w:r>
    </w:p>
    <w:p w14:paraId="0A254E88" w14:textId="6A0336B9" w:rsidR="003F7B9F" w:rsidRDefault="003F7B9F" w:rsidP="00A35EAF">
      <w:pPr>
        <w:pStyle w:val="BodyText"/>
      </w:pPr>
      <w:r w:rsidRPr="002E207E">
        <w:t>Certain truck configurations utilize axles that can be lifted when the vehicle is empty or lightly</w:t>
      </w:r>
      <w:r w:rsidR="00B12C98">
        <w:t xml:space="preserve"> </w:t>
      </w:r>
      <w:r w:rsidRPr="002E207E">
        <w:t xml:space="preserve">loaded. The position of these axles—sometimes called lift axles, drop axles, or tag axles—affects the classification category into which the vehicle falls. To maintain consistency between visual and axle-based counts, the </w:t>
      </w:r>
      <w:r w:rsidRPr="002E207E">
        <w:rPr>
          <w:i/>
        </w:rPr>
        <w:t>TMG</w:t>
      </w:r>
      <w:r w:rsidRPr="002E207E">
        <w:t xml:space="preserve"> recommends that only axles that are in the dropped position be considered when classifying the vehicle. While this promotes consistency, it may induce difficulty when interpreting summary classification statistics at certain locations. For example, a site </w:t>
      </w:r>
      <w:r>
        <w:t>that has quarry traffic</w:t>
      </w:r>
      <w:r w:rsidRPr="002E207E">
        <w:t xml:space="preserve"> may exhibit directional differences in vehicle classification even though the same trucks may be traveling one direction loaded (with axles down</w:t>
      </w:r>
      <w:r>
        <w:t xml:space="preserve"> – class 7</w:t>
      </w:r>
      <w:r w:rsidRPr="002E207E">
        <w:t>) and the other direction empty (with axles lifted</w:t>
      </w:r>
      <w:r>
        <w:t xml:space="preserve"> – class</w:t>
      </w:r>
      <w:r w:rsidR="00EC03C5">
        <w:t> </w:t>
      </w:r>
      <w:r>
        <w:t>6</w:t>
      </w:r>
      <w:r w:rsidRPr="002E207E">
        <w:t>).</w:t>
      </w:r>
    </w:p>
    <w:p w14:paraId="38868465" w14:textId="77777777" w:rsidR="00904700" w:rsidRPr="00771210" w:rsidRDefault="00904700" w:rsidP="00904700">
      <w:pPr>
        <w:pStyle w:val="BodyText"/>
      </w:pPr>
      <w:r w:rsidRPr="00771210">
        <w:t xml:space="preserve">This recommendation was developed as a compromise between a wide variety of competing interests. It is really a visual system. Most vehicles can be easily classified into this system by a human observer. In addition, some States permit specific vehicle types that are not legal in other States. (For example, some western States allow tractors to pull three trailers, while most States do not allow more than two trailers.) States often wish to track these unusual vehicle types, and therefore add additional vehicle categories to FHWA’s 13 categories that meet their specific traffic monitoring needs. When these States purchase vehicle classification counters, they require that the vendors install their State-specific classification </w:t>
      </w:r>
      <w:r>
        <w:t>method</w:t>
      </w:r>
      <w:r w:rsidRPr="00771210">
        <w:t>s in the data collection electronics or post</w:t>
      </w:r>
      <w:r>
        <w:t>-</w:t>
      </w:r>
      <w:r w:rsidRPr="00771210">
        <w:t xml:space="preserve">processing software. </w:t>
      </w:r>
    </w:p>
    <w:p w14:paraId="1B91D735" w14:textId="77777777" w:rsidR="00904700" w:rsidRPr="00771210" w:rsidRDefault="00904700" w:rsidP="00904700">
      <w:pPr>
        <w:pStyle w:val="BodyText"/>
      </w:pPr>
      <w:r w:rsidRPr="00771210">
        <w:t>However, these modified FHWA classification systems are not the only classification systems of interest. Many engineering and planning analyses do not require data in the detailed FHWA 13 categories but do require information on truck volumes versus car volumes. Thus, many engineering and planning analyses use either a simple car/truck split or they use a very simplified truck classification system; commonly a 3- or 4-bin classification system based on vehicle length</w:t>
      </w:r>
      <w:r>
        <w:t>, number of axles, or other vehicle attributes</w:t>
      </w:r>
      <w:r w:rsidRPr="00771210">
        <w:t>.</w:t>
      </w:r>
    </w:p>
    <w:p w14:paraId="44F9CECA" w14:textId="77777777" w:rsidR="00904700" w:rsidRPr="00771210" w:rsidRDefault="00904700" w:rsidP="00904700">
      <w:pPr>
        <w:pStyle w:val="BodyText"/>
      </w:pPr>
      <w:r w:rsidRPr="00771210">
        <w:t xml:space="preserve">The most common length classification systems essentially consist of four generalized length bins that approximate the following four categories of vehicles: cars, small trucks, large trucks, and multi-trailer trucks. States that use only three truck classes </w:t>
      </w:r>
      <w:r>
        <w:t xml:space="preserve">will </w:t>
      </w:r>
      <w:r w:rsidRPr="00771210">
        <w:t xml:space="preserve">combine the large truck and multi-trailer truck classes. (These States tend to be States where multi-trailer trucks are rare.) Unfortunately, unlike the FHWA 13 vehicle category classification, there is no common definition across the States that indicates the vehicle length at which a car becomes a truck. The States, therefore, set their own length definitions for these classification systems. </w:t>
      </w:r>
    </w:p>
    <w:p w14:paraId="399F582C" w14:textId="2EE40B03" w:rsidR="003F7B9F" w:rsidRPr="000E063B" w:rsidRDefault="00904700" w:rsidP="00904700">
      <w:pPr>
        <w:pStyle w:val="BodyText"/>
        <w:rPr>
          <w:b/>
          <w:bCs/>
          <w:smallCaps/>
          <w:sz w:val="24"/>
          <w:szCs w:val="22"/>
        </w:rPr>
      </w:pPr>
      <w:r w:rsidRPr="00771210">
        <w:t>Besides its simplicity, one advantage of the length classification systems is that vehicle length can be easily calculated by a number of sensor technologies that do not require axle sensors. Thus, many of the sensor technologies that can collect volumes by vehicle length can be placed above or beside the roadway</w:t>
      </w:r>
      <w:r>
        <w:t>, which will</w:t>
      </w:r>
      <w:r w:rsidRPr="00771210">
        <w:t xml:space="preserve"> limit or eliminat</w:t>
      </w:r>
      <w:r>
        <w:t>e</w:t>
      </w:r>
      <w:r w:rsidRPr="00771210">
        <w:t xml:space="preserve"> the need for staff </w:t>
      </w:r>
      <w:r>
        <w:t xml:space="preserve">to </w:t>
      </w:r>
      <w:r w:rsidRPr="00771210">
        <w:t>plac</w:t>
      </w:r>
      <w:r>
        <w:t>e</w:t>
      </w:r>
      <w:r w:rsidRPr="00771210">
        <w:t xml:space="preserve"> sensors in the lane of travel. </w:t>
      </w:r>
      <w:bookmarkStart w:id="2055" w:name="_Ref305660553"/>
      <w:r w:rsidR="003F7B9F" w:rsidRPr="00CA5338">
        <w:br w:type="page"/>
      </w:r>
      <w:bookmarkEnd w:id="2055"/>
    </w:p>
    <w:tbl>
      <w:tblPr>
        <w:tblStyle w:val="TableGrid"/>
        <w:tblW w:w="9454" w:type="dxa"/>
        <w:jc w:val="center"/>
        <w:tblLayout w:type="fixed"/>
        <w:tblLook w:val="00A0" w:firstRow="1" w:lastRow="0" w:firstColumn="1" w:lastColumn="0" w:noHBand="0" w:noVBand="0"/>
      </w:tblPr>
      <w:tblGrid>
        <w:gridCol w:w="1912"/>
        <w:gridCol w:w="2680"/>
        <w:gridCol w:w="268"/>
        <w:gridCol w:w="1914"/>
        <w:gridCol w:w="2680"/>
      </w:tblGrid>
      <w:tr w:rsidR="00044A91" w:rsidRPr="00BF2E8D" w14:paraId="3AE1BDA1" w14:textId="3370D43B" w:rsidTr="007B58D8">
        <w:trPr>
          <w:trHeight w:val="691"/>
          <w:jc w:val="center"/>
        </w:trPr>
        <w:tc>
          <w:tcPr>
            <w:tcW w:w="1912" w:type="dxa"/>
          </w:tcPr>
          <w:p w14:paraId="4B5CB849" w14:textId="72F3CEEA" w:rsidR="00044A91" w:rsidRPr="00A557D7" w:rsidRDefault="00044A91" w:rsidP="00351487">
            <w:pPr>
              <w:pStyle w:val="TableLandscapeTable"/>
              <w:spacing w:before="0" w:line="240" w:lineRule="auto"/>
              <w:rPr>
                <w:b/>
                <w:bCs/>
                <w:sz w:val="24"/>
                <w:szCs w:val="24"/>
              </w:rPr>
            </w:pPr>
            <w:r w:rsidRPr="00A557D7">
              <w:rPr>
                <w:b/>
                <w:bCs/>
                <w:sz w:val="24"/>
                <w:szCs w:val="24"/>
              </w:rPr>
              <w:lastRenderedPageBreak/>
              <w:t>Class 1</w:t>
            </w:r>
          </w:p>
          <w:p w14:paraId="600F4FBC" w14:textId="2BA2DE07" w:rsidR="00044A91" w:rsidRPr="00A557D7" w:rsidRDefault="00044A91" w:rsidP="00351487">
            <w:pPr>
              <w:pStyle w:val="TableLandscapeTable"/>
              <w:spacing w:before="0" w:line="240" w:lineRule="auto"/>
              <w:rPr>
                <w:sz w:val="24"/>
                <w:szCs w:val="24"/>
              </w:rPr>
            </w:pPr>
            <w:r w:rsidRPr="00A557D7">
              <w:rPr>
                <w:sz w:val="24"/>
                <w:szCs w:val="24"/>
              </w:rPr>
              <w:t>Motorcycles</w:t>
            </w:r>
          </w:p>
        </w:tc>
        <w:tc>
          <w:tcPr>
            <w:tcW w:w="2680" w:type="dxa"/>
            <w:vAlign w:val="center"/>
          </w:tcPr>
          <w:p w14:paraId="4672BDA2" w14:textId="156B9715" w:rsidR="00044A91" w:rsidRPr="00BF2E8D" w:rsidRDefault="00CE0496" w:rsidP="00CE0496">
            <w:pPr>
              <w:pStyle w:val="TableLandscapeTable"/>
              <w:spacing w:before="0"/>
            </w:pPr>
            <w:r>
              <w:rPr>
                <w:noProof/>
              </w:rPr>
              <w:drawing>
                <wp:inline distT="0" distB="0" distL="0" distR="0" wp14:anchorId="5B8FD080" wp14:editId="1D7561B6">
                  <wp:extent cx="592948" cy="374272"/>
                  <wp:effectExtent l="0" t="0" r="0" b="6985"/>
                  <wp:docPr id="35873" name="Picture 35873" descr="This is the FHWA 13 vehicle classification chart. Class one vehicles are motorcycles. Class two vehicles are passenger cars; which include convertibles regular passenger cars passenger car holding hauling a single trailer or passenger car hauling a camper. Class three vehicles are four tire single unit vehicles including ambulances pickup trucks, pickup trucks hauling a trailer. Class four vehicles are buses single Decker buses, double Decker buses. Class five vehicles are two axle 6 tire single unit vehicles. Including trucks with a camper on its bed or a truck with a winch that can haul another vehicle, similar to a wrecker truck. Class six vehicles are three axle single unit vehicles including small mixer trucks, box trucks, and flatbed trucks. Class seven vehicles are four or more axles single unit vehicles. These can also be heavy mixer trucks and heavy hauling dump trucks, heavy single unit trucks. Class eight vehicles are four or less axle single trailers it can also include trucks that are hauling a flatbed trailer. Class nine vehicles are five axle tractor semi-trailers. Class 10 vehicles are six or more axle single trailers this can also include tracks that are hauling flatbeds. Class eleven vehicles are five or less axle multi trailer units. Class twelve vehicles are six axle multi trailer units. Class thirteen vehicles are seven or more axles multi trailer uni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73" name="Picture 35873" descr="This is the FHWA 13 vehicle classification chart. Class one vehicles are motorcycles. Class two vehicles are passenger cars; which include convertibles regular passenger cars passenger car holding hauling a single trailer or passenger car hauling a camper. Class three vehicles are four tire single unit vehicles including ambulances pickup trucks, pickup trucks hauling a trailer. Class four vehicles are buses single Decker buses, double Decker buses. Class five vehicles are two axle 6 tire single unit vehicles. Including trucks with a camper on its bed or a truck with a winch that can haul another vehicle, similar to a wrecker truck. Class six vehicles are three axle single unit vehicles including small mixer trucks, box trucks, and flatbed trucks. Class seven vehicles are four or more axles single unit vehicles. These can also be heavy mixer trucks and heavy hauling dump trucks, heavy single unit trucks. Class eight vehicles are four or less axle single trailers it can also include trucks that are hauling a flatbed trailer. Class nine vehicles are five axle tractor semi-trailers. Class 10 vehicles are six or more axle single trailers this can also include tracks that are hauling flatbeds. Class eleven vehicles are five or less axle multi trailer units. Class twelve vehicles are six axle multi trailer units. Class thirteen vehicles are seven or more axles multi trailer units. "/>
                          <pic:cNvPicPr/>
                        </pic:nvPicPr>
                        <pic:blipFill>
                          <a:blip r:embed="rId113"/>
                          <a:stretch>
                            <a:fillRect/>
                          </a:stretch>
                        </pic:blipFill>
                        <pic:spPr>
                          <a:xfrm>
                            <a:off x="0" y="0"/>
                            <a:ext cx="610127" cy="385116"/>
                          </a:xfrm>
                          <a:prstGeom prst="rect">
                            <a:avLst/>
                          </a:prstGeom>
                        </pic:spPr>
                      </pic:pic>
                    </a:graphicData>
                  </a:graphic>
                </wp:inline>
              </w:drawing>
            </w:r>
          </w:p>
        </w:tc>
        <w:tc>
          <w:tcPr>
            <w:tcW w:w="268" w:type="dxa"/>
            <w:tcBorders>
              <w:bottom w:val="nil"/>
            </w:tcBorders>
            <w:shd w:val="clear" w:color="auto" w:fill="000000" w:themeFill="text1"/>
          </w:tcPr>
          <w:p w14:paraId="2F304D2F" w14:textId="77777777" w:rsidR="00044A91" w:rsidRPr="00044A91" w:rsidRDefault="00044A91" w:rsidP="00044A91">
            <w:pPr>
              <w:widowControl/>
              <w:suppressAutoHyphens w:val="0"/>
              <w:autoSpaceDE/>
              <w:autoSpaceDN/>
              <w:adjustRightInd/>
              <w:spacing w:line="259" w:lineRule="auto"/>
              <w:ind w:left="0"/>
              <w:jc w:val="left"/>
              <w:textAlignment w:val="auto"/>
              <w:rPr>
                <w:sz w:val="12"/>
                <w:szCs w:val="12"/>
              </w:rPr>
            </w:pPr>
          </w:p>
        </w:tc>
        <w:tc>
          <w:tcPr>
            <w:tcW w:w="1914" w:type="dxa"/>
            <w:vMerge w:val="restart"/>
          </w:tcPr>
          <w:p w14:paraId="5C607658" w14:textId="036DFFCE" w:rsidR="00044A91" w:rsidRPr="00A557D7" w:rsidRDefault="00044A91" w:rsidP="00351487">
            <w:pPr>
              <w:pStyle w:val="TableLandscapeTable"/>
              <w:spacing w:before="0" w:line="240" w:lineRule="auto"/>
              <w:rPr>
                <w:b/>
                <w:bCs/>
                <w:sz w:val="24"/>
                <w:szCs w:val="24"/>
              </w:rPr>
            </w:pPr>
            <w:r w:rsidRPr="00A557D7">
              <w:rPr>
                <w:b/>
                <w:bCs/>
                <w:sz w:val="24"/>
                <w:szCs w:val="24"/>
              </w:rPr>
              <w:t>Class</w:t>
            </w:r>
            <w:r>
              <w:rPr>
                <w:b/>
                <w:bCs/>
                <w:sz w:val="24"/>
                <w:szCs w:val="24"/>
              </w:rPr>
              <w:t xml:space="preserve"> 7</w:t>
            </w:r>
          </w:p>
          <w:p w14:paraId="6EE6A904" w14:textId="76ABF847" w:rsidR="00044A91" w:rsidRPr="00BF2E8D" w:rsidRDefault="00044A91" w:rsidP="004A0EA1">
            <w:pPr>
              <w:pStyle w:val="TableLandscapeTable"/>
              <w:spacing w:before="0" w:line="240" w:lineRule="auto"/>
            </w:pPr>
            <w:r>
              <w:rPr>
                <w:sz w:val="24"/>
                <w:szCs w:val="24"/>
              </w:rPr>
              <w:t>Four or more axle, single unit</w:t>
            </w:r>
          </w:p>
        </w:tc>
        <w:tc>
          <w:tcPr>
            <w:tcW w:w="2680" w:type="dxa"/>
            <w:vAlign w:val="center"/>
          </w:tcPr>
          <w:p w14:paraId="21EEF7EA" w14:textId="0393ABB9" w:rsidR="00044A91" w:rsidRPr="00BF2E8D" w:rsidRDefault="007B33EB" w:rsidP="007B33EB">
            <w:pPr>
              <w:widowControl/>
              <w:suppressAutoHyphens w:val="0"/>
              <w:autoSpaceDE/>
              <w:autoSpaceDN/>
              <w:adjustRightInd/>
              <w:spacing w:line="259" w:lineRule="auto"/>
              <w:ind w:left="0"/>
              <w:jc w:val="left"/>
              <w:textAlignment w:val="auto"/>
            </w:pPr>
            <w:r>
              <w:rPr>
                <w:noProof/>
              </w:rPr>
              <w:drawing>
                <wp:inline distT="0" distB="0" distL="0" distR="0" wp14:anchorId="532F96EC" wp14:editId="491E36D1">
                  <wp:extent cx="701749" cy="408119"/>
                  <wp:effectExtent l="0" t="0" r="3175" b="0"/>
                  <wp:docPr id="35887" name="Picture 358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7" name="Picture 35887">
                            <a:extLst>
                              <a:ext uri="{C183D7F6-B498-43B3-948B-1728B52AA6E4}">
                                <adec:decorative xmlns:adec="http://schemas.microsoft.com/office/drawing/2017/decorative" val="1"/>
                              </a:ext>
                            </a:extLst>
                          </pic:cNvPr>
                          <pic:cNvPicPr/>
                        </pic:nvPicPr>
                        <pic:blipFill>
                          <a:blip r:embed="rId114"/>
                          <a:stretch>
                            <a:fillRect/>
                          </a:stretch>
                        </pic:blipFill>
                        <pic:spPr>
                          <a:xfrm>
                            <a:off x="0" y="0"/>
                            <a:ext cx="724698" cy="421466"/>
                          </a:xfrm>
                          <a:prstGeom prst="rect">
                            <a:avLst/>
                          </a:prstGeom>
                        </pic:spPr>
                      </pic:pic>
                    </a:graphicData>
                  </a:graphic>
                </wp:inline>
              </w:drawing>
            </w:r>
          </w:p>
        </w:tc>
      </w:tr>
      <w:tr w:rsidR="00044A91" w:rsidRPr="00BF2E8D" w14:paraId="580D0369" w14:textId="05285DD0" w:rsidTr="007B58D8">
        <w:trPr>
          <w:trHeight w:val="691"/>
          <w:jc w:val="center"/>
        </w:trPr>
        <w:tc>
          <w:tcPr>
            <w:tcW w:w="1912" w:type="dxa"/>
            <w:vMerge w:val="restart"/>
          </w:tcPr>
          <w:p w14:paraId="436605BA" w14:textId="49AE6CD9" w:rsidR="00044A91" w:rsidRPr="00A557D7" w:rsidRDefault="00044A91" w:rsidP="00351487">
            <w:pPr>
              <w:pStyle w:val="TableLandscapeTable"/>
              <w:spacing w:before="0" w:line="240" w:lineRule="auto"/>
              <w:rPr>
                <w:b/>
                <w:bCs/>
                <w:sz w:val="24"/>
                <w:szCs w:val="24"/>
              </w:rPr>
            </w:pPr>
            <w:r w:rsidRPr="00A557D7">
              <w:rPr>
                <w:b/>
                <w:bCs/>
                <w:sz w:val="24"/>
                <w:szCs w:val="24"/>
              </w:rPr>
              <w:t xml:space="preserve">Class </w:t>
            </w:r>
            <w:r>
              <w:rPr>
                <w:b/>
                <w:bCs/>
                <w:sz w:val="24"/>
                <w:szCs w:val="24"/>
              </w:rPr>
              <w:t>2</w:t>
            </w:r>
          </w:p>
          <w:p w14:paraId="013491CC" w14:textId="2A137C9F" w:rsidR="00044A91" w:rsidRPr="00A557D7" w:rsidRDefault="00044A91" w:rsidP="00351487">
            <w:pPr>
              <w:pStyle w:val="TableLandscapeTable"/>
              <w:spacing w:before="0" w:line="240" w:lineRule="auto"/>
              <w:rPr>
                <w:sz w:val="24"/>
                <w:szCs w:val="24"/>
              </w:rPr>
            </w:pPr>
            <w:r>
              <w:rPr>
                <w:sz w:val="24"/>
                <w:szCs w:val="24"/>
              </w:rPr>
              <w:t>Passenger Cars</w:t>
            </w:r>
          </w:p>
        </w:tc>
        <w:tc>
          <w:tcPr>
            <w:tcW w:w="2680" w:type="dxa"/>
            <w:tcBorders>
              <w:right w:val="nil"/>
            </w:tcBorders>
            <w:vAlign w:val="center"/>
          </w:tcPr>
          <w:p w14:paraId="58C9FD73" w14:textId="431E98CA" w:rsidR="00044A91" w:rsidRPr="00BF2E8D" w:rsidRDefault="00CE0496" w:rsidP="00CE0496">
            <w:pPr>
              <w:pStyle w:val="TableLandscapeTable"/>
              <w:spacing w:before="0"/>
            </w:pPr>
            <w:r>
              <w:rPr>
                <w:noProof/>
              </w:rPr>
              <w:drawing>
                <wp:inline distT="0" distB="0" distL="0" distR="0" wp14:anchorId="07D866F6" wp14:editId="1B44913A">
                  <wp:extent cx="818515" cy="379360"/>
                  <wp:effectExtent l="0" t="0" r="635" b="1905"/>
                  <wp:docPr id="35874" name="Picture 358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74" name="Picture 35874">
                            <a:extLst>
                              <a:ext uri="{C183D7F6-B498-43B3-948B-1728B52AA6E4}">
                                <adec:decorative xmlns:adec="http://schemas.microsoft.com/office/drawing/2017/decorative" val="1"/>
                              </a:ext>
                            </a:extLst>
                          </pic:cNvPr>
                          <pic:cNvPicPr/>
                        </pic:nvPicPr>
                        <pic:blipFill>
                          <a:blip r:embed="rId115"/>
                          <a:stretch>
                            <a:fillRect/>
                          </a:stretch>
                        </pic:blipFill>
                        <pic:spPr>
                          <a:xfrm>
                            <a:off x="0" y="0"/>
                            <a:ext cx="827266" cy="383416"/>
                          </a:xfrm>
                          <a:prstGeom prst="rect">
                            <a:avLst/>
                          </a:prstGeom>
                        </pic:spPr>
                      </pic:pic>
                    </a:graphicData>
                  </a:graphic>
                </wp:inline>
              </w:drawing>
            </w:r>
          </w:p>
        </w:tc>
        <w:tc>
          <w:tcPr>
            <w:tcW w:w="268" w:type="dxa"/>
            <w:tcBorders>
              <w:top w:val="nil"/>
              <w:left w:val="nil"/>
              <w:bottom w:val="nil"/>
              <w:right w:val="nil"/>
            </w:tcBorders>
            <w:shd w:val="clear" w:color="auto" w:fill="000000" w:themeFill="text1"/>
          </w:tcPr>
          <w:p w14:paraId="0A4CD69F" w14:textId="77777777" w:rsidR="00044A91" w:rsidRPr="00044A91" w:rsidRDefault="00044A91" w:rsidP="00044A91">
            <w:pPr>
              <w:widowControl/>
              <w:suppressAutoHyphens w:val="0"/>
              <w:autoSpaceDE/>
              <w:autoSpaceDN/>
              <w:adjustRightInd/>
              <w:spacing w:line="259" w:lineRule="auto"/>
              <w:ind w:left="0"/>
              <w:jc w:val="left"/>
              <w:textAlignment w:val="auto"/>
              <w:rPr>
                <w:sz w:val="12"/>
                <w:szCs w:val="12"/>
              </w:rPr>
            </w:pPr>
          </w:p>
        </w:tc>
        <w:tc>
          <w:tcPr>
            <w:tcW w:w="1914" w:type="dxa"/>
            <w:vMerge/>
            <w:tcBorders>
              <w:left w:val="nil"/>
            </w:tcBorders>
          </w:tcPr>
          <w:p w14:paraId="6F162C7D" w14:textId="6B0DC509" w:rsidR="00044A91" w:rsidRPr="00BF2E8D" w:rsidRDefault="00044A91" w:rsidP="00351487">
            <w:pPr>
              <w:widowControl/>
              <w:suppressAutoHyphens w:val="0"/>
              <w:autoSpaceDE/>
              <w:autoSpaceDN/>
              <w:adjustRightInd/>
              <w:ind w:left="0"/>
              <w:jc w:val="left"/>
              <w:textAlignment w:val="auto"/>
            </w:pPr>
          </w:p>
        </w:tc>
        <w:tc>
          <w:tcPr>
            <w:tcW w:w="2680" w:type="dxa"/>
            <w:vAlign w:val="center"/>
          </w:tcPr>
          <w:p w14:paraId="40B5AC86" w14:textId="270E53E4" w:rsidR="00044A91" w:rsidRPr="00BF2E8D" w:rsidRDefault="007B33EB" w:rsidP="007B33EB">
            <w:pPr>
              <w:widowControl/>
              <w:suppressAutoHyphens w:val="0"/>
              <w:autoSpaceDE/>
              <w:autoSpaceDN/>
              <w:adjustRightInd/>
              <w:spacing w:line="259" w:lineRule="auto"/>
              <w:ind w:left="0"/>
              <w:jc w:val="left"/>
              <w:textAlignment w:val="auto"/>
            </w:pPr>
            <w:r>
              <w:rPr>
                <w:noProof/>
              </w:rPr>
              <w:drawing>
                <wp:inline distT="0" distB="0" distL="0" distR="0" wp14:anchorId="6BB52239" wp14:editId="0BF4CB0C">
                  <wp:extent cx="754912" cy="361218"/>
                  <wp:effectExtent l="0" t="0" r="7620" b="1270"/>
                  <wp:docPr id="35888" name="Picture 358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8" name="Picture 35888">
                            <a:extLst>
                              <a:ext uri="{C183D7F6-B498-43B3-948B-1728B52AA6E4}">
                                <adec:decorative xmlns:adec="http://schemas.microsoft.com/office/drawing/2017/decorative" val="1"/>
                              </a:ext>
                            </a:extLst>
                          </pic:cNvPr>
                          <pic:cNvPicPr/>
                        </pic:nvPicPr>
                        <pic:blipFill>
                          <a:blip r:embed="rId116"/>
                          <a:stretch>
                            <a:fillRect/>
                          </a:stretch>
                        </pic:blipFill>
                        <pic:spPr>
                          <a:xfrm>
                            <a:off x="0" y="0"/>
                            <a:ext cx="770668" cy="368757"/>
                          </a:xfrm>
                          <a:prstGeom prst="rect">
                            <a:avLst/>
                          </a:prstGeom>
                        </pic:spPr>
                      </pic:pic>
                    </a:graphicData>
                  </a:graphic>
                </wp:inline>
              </w:drawing>
            </w:r>
          </w:p>
        </w:tc>
      </w:tr>
      <w:tr w:rsidR="00044A91" w:rsidRPr="00BF2E8D" w14:paraId="50F38654" w14:textId="3B9A407A" w:rsidTr="007B58D8">
        <w:trPr>
          <w:trHeight w:val="691"/>
          <w:jc w:val="center"/>
        </w:trPr>
        <w:tc>
          <w:tcPr>
            <w:tcW w:w="1912" w:type="dxa"/>
            <w:vMerge/>
          </w:tcPr>
          <w:p w14:paraId="31376225" w14:textId="73A1EAE7" w:rsidR="00044A91" w:rsidRPr="00A557D7" w:rsidRDefault="00044A91" w:rsidP="00351487">
            <w:pPr>
              <w:pStyle w:val="TableLandscapeTable"/>
              <w:spacing w:before="0" w:line="240" w:lineRule="auto"/>
              <w:rPr>
                <w:sz w:val="24"/>
                <w:szCs w:val="24"/>
              </w:rPr>
            </w:pPr>
          </w:p>
        </w:tc>
        <w:tc>
          <w:tcPr>
            <w:tcW w:w="2680" w:type="dxa"/>
            <w:tcBorders>
              <w:right w:val="nil"/>
            </w:tcBorders>
            <w:vAlign w:val="center"/>
          </w:tcPr>
          <w:p w14:paraId="34BCFAF0" w14:textId="094D7278" w:rsidR="00044A91" w:rsidRPr="00BF2E8D" w:rsidRDefault="00CE0496" w:rsidP="00CE0496">
            <w:pPr>
              <w:pStyle w:val="TableLandscapeTable"/>
              <w:spacing w:before="0"/>
            </w:pPr>
            <w:r>
              <w:rPr>
                <w:noProof/>
              </w:rPr>
              <w:drawing>
                <wp:inline distT="0" distB="0" distL="0" distR="0" wp14:anchorId="7B2D1AF0" wp14:editId="308417CE">
                  <wp:extent cx="818515" cy="425867"/>
                  <wp:effectExtent l="0" t="0" r="635" b="0"/>
                  <wp:docPr id="35875" name="Picture 358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75" name="Picture 35875">
                            <a:extLst>
                              <a:ext uri="{C183D7F6-B498-43B3-948B-1728B52AA6E4}">
                                <adec:decorative xmlns:adec="http://schemas.microsoft.com/office/drawing/2017/decorative" val="1"/>
                              </a:ext>
                            </a:extLst>
                          </pic:cNvPr>
                          <pic:cNvPicPr/>
                        </pic:nvPicPr>
                        <pic:blipFill>
                          <a:blip r:embed="rId117"/>
                          <a:stretch>
                            <a:fillRect/>
                          </a:stretch>
                        </pic:blipFill>
                        <pic:spPr>
                          <a:xfrm>
                            <a:off x="0" y="0"/>
                            <a:ext cx="836215" cy="435076"/>
                          </a:xfrm>
                          <a:prstGeom prst="rect">
                            <a:avLst/>
                          </a:prstGeom>
                        </pic:spPr>
                      </pic:pic>
                    </a:graphicData>
                  </a:graphic>
                </wp:inline>
              </w:drawing>
            </w:r>
          </w:p>
        </w:tc>
        <w:tc>
          <w:tcPr>
            <w:tcW w:w="268" w:type="dxa"/>
            <w:tcBorders>
              <w:top w:val="nil"/>
              <w:left w:val="nil"/>
              <w:bottom w:val="nil"/>
              <w:right w:val="nil"/>
            </w:tcBorders>
            <w:shd w:val="clear" w:color="auto" w:fill="000000" w:themeFill="text1"/>
          </w:tcPr>
          <w:p w14:paraId="5BBD1D98" w14:textId="77777777" w:rsidR="00044A91" w:rsidRPr="00044A91" w:rsidRDefault="00044A91" w:rsidP="00044A91">
            <w:pPr>
              <w:widowControl/>
              <w:suppressAutoHyphens w:val="0"/>
              <w:autoSpaceDE/>
              <w:autoSpaceDN/>
              <w:adjustRightInd/>
              <w:spacing w:line="259" w:lineRule="auto"/>
              <w:ind w:left="0"/>
              <w:jc w:val="left"/>
              <w:textAlignment w:val="auto"/>
              <w:rPr>
                <w:sz w:val="12"/>
                <w:szCs w:val="12"/>
              </w:rPr>
            </w:pPr>
          </w:p>
        </w:tc>
        <w:tc>
          <w:tcPr>
            <w:tcW w:w="1914" w:type="dxa"/>
            <w:vMerge/>
            <w:tcBorders>
              <w:left w:val="nil"/>
            </w:tcBorders>
          </w:tcPr>
          <w:p w14:paraId="1B814833" w14:textId="40D2380D" w:rsidR="00044A91" w:rsidRPr="00BF2E8D" w:rsidRDefault="00044A91" w:rsidP="00351487">
            <w:pPr>
              <w:widowControl/>
              <w:suppressAutoHyphens w:val="0"/>
              <w:autoSpaceDE/>
              <w:autoSpaceDN/>
              <w:adjustRightInd/>
              <w:ind w:left="0"/>
              <w:jc w:val="left"/>
              <w:textAlignment w:val="auto"/>
            </w:pPr>
          </w:p>
        </w:tc>
        <w:tc>
          <w:tcPr>
            <w:tcW w:w="2680" w:type="dxa"/>
            <w:vAlign w:val="center"/>
          </w:tcPr>
          <w:p w14:paraId="49BB858C" w14:textId="7A059E16" w:rsidR="00044A91" w:rsidRPr="00BF2E8D" w:rsidRDefault="007B33EB" w:rsidP="007B33EB">
            <w:pPr>
              <w:widowControl/>
              <w:suppressAutoHyphens w:val="0"/>
              <w:autoSpaceDE/>
              <w:autoSpaceDN/>
              <w:adjustRightInd/>
              <w:spacing w:line="259" w:lineRule="auto"/>
              <w:ind w:left="0"/>
              <w:jc w:val="left"/>
              <w:textAlignment w:val="auto"/>
            </w:pPr>
            <w:r>
              <w:rPr>
                <w:noProof/>
              </w:rPr>
              <w:drawing>
                <wp:inline distT="0" distB="0" distL="0" distR="0" wp14:anchorId="448EB0D9" wp14:editId="6A3B9CA1">
                  <wp:extent cx="967563" cy="403675"/>
                  <wp:effectExtent l="0" t="0" r="4445" b="0"/>
                  <wp:docPr id="35889" name="Picture 358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9" name="Picture 35889">
                            <a:extLst>
                              <a:ext uri="{C183D7F6-B498-43B3-948B-1728B52AA6E4}">
                                <adec:decorative xmlns:adec="http://schemas.microsoft.com/office/drawing/2017/decorative" val="1"/>
                              </a:ext>
                            </a:extLst>
                          </pic:cNvPr>
                          <pic:cNvPicPr/>
                        </pic:nvPicPr>
                        <pic:blipFill>
                          <a:blip r:embed="rId118"/>
                          <a:stretch>
                            <a:fillRect/>
                          </a:stretch>
                        </pic:blipFill>
                        <pic:spPr>
                          <a:xfrm>
                            <a:off x="0" y="0"/>
                            <a:ext cx="993176" cy="414361"/>
                          </a:xfrm>
                          <a:prstGeom prst="rect">
                            <a:avLst/>
                          </a:prstGeom>
                        </pic:spPr>
                      </pic:pic>
                    </a:graphicData>
                  </a:graphic>
                </wp:inline>
              </w:drawing>
            </w:r>
          </w:p>
        </w:tc>
      </w:tr>
      <w:tr w:rsidR="00044A91" w:rsidRPr="00BF2E8D" w14:paraId="05E5E515" w14:textId="7E273A77" w:rsidTr="007B58D8">
        <w:trPr>
          <w:trHeight w:val="691"/>
          <w:jc w:val="center"/>
        </w:trPr>
        <w:tc>
          <w:tcPr>
            <w:tcW w:w="1912" w:type="dxa"/>
            <w:vMerge/>
          </w:tcPr>
          <w:p w14:paraId="297526C0" w14:textId="25BD9F26" w:rsidR="00044A91" w:rsidRPr="00A557D7" w:rsidRDefault="00044A91" w:rsidP="00351487">
            <w:pPr>
              <w:pStyle w:val="TableLandscapeTable"/>
              <w:spacing w:before="0" w:line="240" w:lineRule="auto"/>
              <w:rPr>
                <w:sz w:val="24"/>
                <w:szCs w:val="24"/>
              </w:rPr>
            </w:pPr>
          </w:p>
        </w:tc>
        <w:tc>
          <w:tcPr>
            <w:tcW w:w="2680" w:type="dxa"/>
            <w:tcBorders>
              <w:right w:val="nil"/>
            </w:tcBorders>
            <w:vAlign w:val="center"/>
          </w:tcPr>
          <w:p w14:paraId="0E5C4C40" w14:textId="244DA65D" w:rsidR="00044A91" w:rsidRPr="00BF2E8D" w:rsidRDefault="00CE0496" w:rsidP="00CE0496">
            <w:pPr>
              <w:pStyle w:val="TableLandscapeTable"/>
              <w:spacing w:before="0"/>
            </w:pPr>
            <w:r>
              <w:rPr>
                <w:noProof/>
              </w:rPr>
              <w:drawing>
                <wp:inline distT="0" distB="0" distL="0" distR="0" wp14:anchorId="51F3F11C" wp14:editId="5691FEBB">
                  <wp:extent cx="1158949" cy="382867"/>
                  <wp:effectExtent l="0" t="0" r="3175" b="0"/>
                  <wp:docPr id="35876" name="Picture 358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76" name="Picture 35876">
                            <a:extLst>
                              <a:ext uri="{C183D7F6-B498-43B3-948B-1728B52AA6E4}">
                                <adec:decorative xmlns:adec="http://schemas.microsoft.com/office/drawing/2017/decorative" val="1"/>
                              </a:ext>
                            </a:extLst>
                          </pic:cNvPr>
                          <pic:cNvPicPr/>
                        </pic:nvPicPr>
                        <pic:blipFill>
                          <a:blip r:embed="rId119"/>
                          <a:stretch>
                            <a:fillRect/>
                          </a:stretch>
                        </pic:blipFill>
                        <pic:spPr>
                          <a:xfrm>
                            <a:off x="0" y="0"/>
                            <a:ext cx="1178404" cy="389294"/>
                          </a:xfrm>
                          <a:prstGeom prst="rect">
                            <a:avLst/>
                          </a:prstGeom>
                        </pic:spPr>
                      </pic:pic>
                    </a:graphicData>
                  </a:graphic>
                </wp:inline>
              </w:drawing>
            </w:r>
          </w:p>
        </w:tc>
        <w:tc>
          <w:tcPr>
            <w:tcW w:w="268" w:type="dxa"/>
            <w:tcBorders>
              <w:top w:val="nil"/>
              <w:left w:val="nil"/>
              <w:bottom w:val="nil"/>
              <w:right w:val="nil"/>
            </w:tcBorders>
            <w:shd w:val="clear" w:color="auto" w:fill="000000" w:themeFill="text1"/>
          </w:tcPr>
          <w:p w14:paraId="09301A1C" w14:textId="77777777" w:rsidR="00044A91" w:rsidRPr="00044A91" w:rsidRDefault="00044A91" w:rsidP="00044A91">
            <w:pPr>
              <w:widowControl/>
              <w:suppressAutoHyphens w:val="0"/>
              <w:autoSpaceDE/>
              <w:autoSpaceDN/>
              <w:adjustRightInd/>
              <w:spacing w:line="259" w:lineRule="auto"/>
              <w:ind w:left="0"/>
              <w:jc w:val="left"/>
              <w:textAlignment w:val="auto"/>
              <w:rPr>
                <w:sz w:val="12"/>
                <w:szCs w:val="12"/>
              </w:rPr>
            </w:pPr>
          </w:p>
        </w:tc>
        <w:tc>
          <w:tcPr>
            <w:tcW w:w="1914" w:type="dxa"/>
            <w:vMerge w:val="restart"/>
            <w:tcBorders>
              <w:left w:val="nil"/>
            </w:tcBorders>
          </w:tcPr>
          <w:p w14:paraId="1D35416B" w14:textId="795FF721" w:rsidR="00044A91" w:rsidRPr="00A557D7" w:rsidRDefault="00044A91" w:rsidP="00351487">
            <w:pPr>
              <w:pStyle w:val="TableLandscapeTable"/>
              <w:spacing w:before="0" w:line="240" w:lineRule="auto"/>
              <w:rPr>
                <w:b/>
                <w:bCs/>
                <w:sz w:val="24"/>
                <w:szCs w:val="24"/>
              </w:rPr>
            </w:pPr>
            <w:r w:rsidRPr="00A557D7">
              <w:rPr>
                <w:b/>
                <w:bCs/>
                <w:sz w:val="24"/>
                <w:szCs w:val="24"/>
              </w:rPr>
              <w:t>Class</w:t>
            </w:r>
            <w:r>
              <w:rPr>
                <w:b/>
                <w:bCs/>
                <w:sz w:val="24"/>
                <w:szCs w:val="24"/>
              </w:rPr>
              <w:t xml:space="preserve"> 8</w:t>
            </w:r>
          </w:p>
          <w:p w14:paraId="0DA66692" w14:textId="77D240E2" w:rsidR="00044A91" w:rsidRPr="00BF2E8D" w:rsidRDefault="00044A91" w:rsidP="004A0EA1">
            <w:pPr>
              <w:pStyle w:val="TableLandscapeTable"/>
              <w:spacing w:before="0" w:line="240" w:lineRule="auto"/>
            </w:pPr>
            <w:r>
              <w:rPr>
                <w:sz w:val="24"/>
                <w:szCs w:val="24"/>
              </w:rPr>
              <w:t>Four or less axle, single trailer</w:t>
            </w:r>
          </w:p>
        </w:tc>
        <w:tc>
          <w:tcPr>
            <w:tcW w:w="2680" w:type="dxa"/>
            <w:vAlign w:val="center"/>
          </w:tcPr>
          <w:p w14:paraId="43B9B2A0" w14:textId="022F922B" w:rsidR="00044A91" w:rsidRPr="00BF2E8D" w:rsidRDefault="007B33EB" w:rsidP="007B33EB">
            <w:pPr>
              <w:widowControl/>
              <w:suppressAutoHyphens w:val="0"/>
              <w:autoSpaceDE/>
              <w:autoSpaceDN/>
              <w:adjustRightInd/>
              <w:spacing w:line="259" w:lineRule="auto"/>
              <w:ind w:left="0"/>
              <w:jc w:val="left"/>
              <w:textAlignment w:val="auto"/>
            </w:pPr>
            <w:r>
              <w:rPr>
                <w:noProof/>
              </w:rPr>
              <w:drawing>
                <wp:inline distT="0" distB="0" distL="0" distR="0" wp14:anchorId="76071B2A" wp14:editId="7B6B9B8E">
                  <wp:extent cx="967105" cy="398381"/>
                  <wp:effectExtent l="0" t="0" r="4445" b="1905"/>
                  <wp:docPr id="35890" name="Picture 358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90" name="Picture 35890">
                            <a:extLst>
                              <a:ext uri="{C183D7F6-B498-43B3-948B-1728B52AA6E4}">
                                <adec:decorative xmlns:adec="http://schemas.microsoft.com/office/drawing/2017/decorative" val="1"/>
                              </a:ext>
                            </a:extLst>
                          </pic:cNvPr>
                          <pic:cNvPicPr/>
                        </pic:nvPicPr>
                        <pic:blipFill>
                          <a:blip r:embed="rId120"/>
                          <a:stretch>
                            <a:fillRect/>
                          </a:stretch>
                        </pic:blipFill>
                        <pic:spPr>
                          <a:xfrm>
                            <a:off x="0" y="0"/>
                            <a:ext cx="988376" cy="407143"/>
                          </a:xfrm>
                          <a:prstGeom prst="rect">
                            <a:avLst/>
                          </a:prstGeom>
                        </pic:spPr>
                      </pic:pic>
                    </a:graphicData>
                  </a:graphic>
                </wp:inline>
              </w:drawing>
            </w:r>
          </w:p>
        </w:tc>
      </w:tr>
      <w:tr w:rsidR="00044A91" w:rsidRPr="00BF2E8D" w14:paraId="2AAB28C6" w14:textId="505CACC7" w:rsidTr="007B58D8">
        <w:trPr>
          <w:trHeight w:val="691"/>
          <w:jc w:val="center"/>
        </w:trPr>
        <w:tc>
          <w:tcPr>
            <w:tcW w:w="1912" w:type="dxa"/>
            <w:vMerge/>
          </w:tcPr>
          <w:p w14:paraId="5F920216" w14:textId="77777777" w:rsidR="00044A91" w:rsidRPr="00A557D7" w:rsidRDefault="00044A91" w:rsidP="00351487">
            <w:pPr>
              <w:pStyle w:val="TableLandscapeTable"/>
              <w:spacing w:before="0" w:line="240" w:lineRule="auto"/>
              <w:rPr>
                <w:sz w:val="24"/>
                <w:szCs w:val="24"/>
              </w:rPr>
            </w:pPr>
          </w:p>
        </w:tc>
        <w:tc>
          <w:tcPr>
            <w:tcW w:w="2680" w:type="dxa"/>
            <w:tcBorders>
              <w:right w:val="nil"/>
            </w:tcBorders>
            <w:vAlign w:val="center"/>
          </w:tcPr>
          <w:p w14:paraId="7F66ED51" w14:textId="6780188D" w:rsidR="00044A91" w:rsidRPr="00BF2E8D" w:rsidRDefault="00CE0496" w:rsidP="00CE0496">
            <w:pPr>
              <w:pStyle w:val="TableLandscapeTable"/>
              <w:spacing w:before="0"/>
            </w:pPr>
            <w:r>
              <w:rPr>
                <w:noProof/>
              </w:rPr>
              <w:drawing>
                <wp:inline distT="0" distB="0" distL="0" distR="0" wp14:anchorId="383AD48E" wp14:editId="39E639AB">
                  <wp:extent cx="1446028" cy="356225"/>
                  <wp:effectExtent l="0" t="0" r="1905" b="6350"/>
                  <wp:docPr id="35877" name="Picture 358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77" name="Picture 35877">
                            <a:extLst>
                              <a:ext uri="{C183D7F6-B498-43B3-948B-1728B52AA6E4}">
                                <adec:decorative xmlns:adec="http://schemas.microsoft.com/office/drawing/2017/decorative" val="1"/>
                              </a:ext>
                            </a:extLst>
                          </pic:cNvPr>
                          <pic:cNvPicPr/>
                        </pic:nvPicPr>
                        <pic:blipFill>
                          <a:blip r:embed="rId121"/>
                          <a:stretch>
                            <a:fillRect/>
                          </a:stretch>
                        </pic:blipFill>
                        <pic:spPr>
                          <a:xfrm>
                            <a:off x="0" y="0"/>
                            <a:ext cx="1463209" cy="360457"/>
                          </a:xfrm>
                          <a:prstGeom prst="rect">
                            <a:avLst/>
                          </a:prstGeom>
                        </pic:spPr>
                      </pic:pic>
                    </a:graphicData>
                  </a:graphic>
                </wp:inline>
              </w:drawing>
            </w:r>
          </w:p>
        </w:tc>
        <w:tc>
          <w:tcPr>
            <w:tcW w:w="268" w:type="dxa"/>
            <w:tcBorders>
              <w:top w:val="nil"/>
              <w:left w:val="nil"/>
              <w:bottom w:val="nil"/>
              <w:right w:val="nil"/>
            </w:tcBorders>
            <w:shd w:val="clear" w:color="auto" w:fill="000000" w:themeFill="text1"/>
          </w:tcPr>
          <w:p w14:paraId="1106E673" w14:textId="77777777" w:rsidR="00044A91" w:rsidRPr="00044A91" w:rsidRDefault="00044A91" w:rsidP="00044A91">
            <w:pPr>
              <w:widowControl/>
              <w:suppressAutoHyphens w:val="0"/>
              <w:autoSpaceDE/>
              <w:autoSpaceDN/>
              <w:adjustRightInd/>
              <w:spacing w:line="259" w:lineRule="auto"/>
              <w:ind w:left="0"/>
              <w:jc w:val="left"/>
              <w:textAlignment w:val="auto"/>
              <w:rPr>
                <w:sz w:val="12"/>
                <w:szCs w:val="12"/>
              </w:rPr>
            </w:pPr>
          </w:p>
        </w:tc>
        <w:tc>
          <w:tcPr>
            <w:tcW w:w="1914" w:type="dxa"/>
            <w:vMerge/>
            <w:tcBorders>
              <w:left w:val="nil"/>
            </w:tcBorders>
          </w:tcPr>
          <w:p w14:paraId="012F8903" w14:textId="15664F8F" w:rsidR="00044A91" w:rsidRPr="00BF2E8D" w:rsidRDefault="00044A91" w:rsidP="00351487">
            <w:pPr>
              <w:widowControl/>
              <w:suppressAutoHyphens w:val="0"/>
              <w:autoSpaceDE/>
              <w:autoSpaceDN/>
              <w:adjustRightInd/>
              <w:ind w:left="0"/>
              <w:jc w:val="left"/>
              <w:textAlignment w:val="auto"/>
            </w:pPr>
          </w:p>
        </w:tc>
        <w:tc>
          <w:tcPr>
            <w:tcW w:w="2680" w:type="dxa"/>
            <w:vAlign w:val="center"/>
          </w:tcPr>
          <w:p w14:paraId="17A7E3C7" w14:textId="3280331A" w:rsidR="00044A91" w:rsidRPr="00BF2E8D" w:rsidRDefault="007B33EB" w:rsidP="007B33EB">
            <w:pPr>
              <w:widowControl/>
              <w:suppressAutoHyphens w:val="0"/>
              <w:autoSpaceDE/>
              <w:autoSpaceDN/>
              <w:adjustRightInd/>
              <w:spacing w:line="259" w:lineRule="auto"/>
              <w:ind w:left="0"/>
              <w:jc w:val="left"/>
              <w:textAlignment w:val="auto"/>
            </w:pPr>
            <w:r>
              <w:rPr>
                <w:noProof/>
              </w:rPr>
              <w:drawing>
                <wp:inline distT="0" distB="0" distL="0" distR="0" wp14:anchorId="7B353A98" wp14:editId="7F1C4AB9">
                  <wp:extent cx="1564640" cy="333375"/>
                  <wp:effectExtent l="0" t="0" r="0" b="9525"/>
                  <wp:docPr id="35891" name="Picture 358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91" name="Picture 35891">
                            <a:extLst>
                              <a:ext uri="{C183D7F6-B498-43B3-948B-1728B52AA6E4}">
                                <adec:decorative xmlns:adec="http://schemas.microsoft.com/office/drawing/2017/decorative" val="1"/>
                              </a:ext>
                            </a:extLst>
                          </pic:cNvPr>
                          <pic:cNvPicPr/>
                        </pic:nvPicPr>
                        <pic:blipFill>
                          <a:blip r:embed="rId122"/>
                          <a:stretch>
                            <a:fillRect/>
                          </a:stretch>
                        </pic:blipFill>
                        <pic:spPr>
                          <a:xfrm>
                            <a:off x="0" y="0"/>
                            <a:ext cx="1594865" cy="339815"/>
                          </a:xfrm>
                          <a:prstGeom prst="rect">
                            <a:avLst/>
                          </a:prstGeom>
                        </pic:spPr>
                      </pic:pic>
                    </a:graphicData>
                  </a:graphic>
                </wp:inline>
              </w:drawing>
            </w:r>
          </w:p>
        </w:tc>
      </w:tr>
      <w:tr w:rsidR="00044A91" w:rsidRPr="00BF2E8D" w14:paraId="023F5BC5" w14:textId="2A0CAD2B" w:rsidTr="007B58D8">
        <w:trPr>
          <w:trHeight w:val="691"/>
          <w:jc w:val="center"/>
        </w:trPr>
        <w:tc>
          <w:tcPr>
            <w:tcW w:w="1912" w:type="dxa"/>
            <w:vMerge w:val="restart"/>
          </w:tcPr>
          <w:p w14:paraId="768F38C3" w14:textId="6763F16E" w:rsidR="00044A91" w:rsidRPr="00A557D7" w:rsidRDefault="00044A91" w:rsidP="00351487">
            <w:pPr>
              <w:pStyle w:val="TableLandscapeTable"/>
              <w:spacing w:before="0" w:line="240" w:lineRule="auto"/>
              <w:rPr>
                <w:b/>
                <w:bCs/>
                <w:sz w:val="24"/>
                <w:szCs w:val="24"/>
              </w:rPr>
            </w:pPr>
            <w:r w:rsidRPr="00A557D7">
              <w:rPr>
                <w:b/>
                <w:bCs/>
                <w:sz w:val="24"/>
                <w:szCs w:val="24"/>
              </w:rPr>
              <w:t xml:space="preserve">Class </w:t>
            </w:r>
            <w:r>
              <w:rPr>
                <w:b/>
                <w:bCs/>
                <w:sz w:val="24"/>
                <w:szCs w:val="24"/>
              </w:rPr>
              <w:t>3</w:t>
            </w:r>
          </w:p>
          <w:p w14:paraId="153BF95F" w14:textId="77777777" w:rsidR="00044A91" w:rsidRDefault="00044A91" w:rsidP="00351487">
            <w:pPr>
              <w:pStyle w:val="TableLandscapeTable"/>
              <w:spacing w:before="0" w:line="240" w:lineRule="auto"/>
              <w:rPr>
                <w:sz w:val="24"/>
                <w:szCs w:val="24"/>
              </w:rPr>
            </w:pPr>
            <w:r>
              <w:rPr>
                <w:sz w:val="24"/>
                <w:szCs w:val="24"/>
              </w:rPr>
              <w:t xml:space="preserve">Four tire, </w:t>
            </w:r>
          </w:p>
          <w:p w14:paraId="7C4B26FF" w14:textId="408DA692" w:rsidR="00044A91" w:rsidRPr="00A557D7" w:rsidRDefault="00044A91" w:rsidP="00351487">
            <w:pPr>
              <w:pStyle w:val="TableLandscapeTable"/>
              <w:spacing w:before="0" w:line="240" w:lineRule="auto"/>
              <w:rPr>
                <w:sz w:val="24"/>
                <w:szCs w:val="24"/>
              </w:rPr>
            </w:pPr>
            <w:r>
              <w:rPr>
                <w:sz w:val="24"/>
                <w:szCs w:val="24"/>
              </w:rPr>
              <w:t>single unit</w:t>
            </w:r>
          </w:p>
        </w:tc>
        <w:tc>
          <w:tcPr>
            <w:tcW w:w="2680" w:type="dxa"/>
            <w:tcBorders>
              <w:right w:val="nil"/>
            </w:tcBorders>
            <w:vAlign w:val="center"/>
          </w:tcPr>
          <w:p w14:paraId="6A2400CB" w14:textId="5810A17B" w:rsidR="00044A91" w:rsidRPr="00BF2E8D" w:rsidRDefault="00CE0496" w:rsidP="00CE0496">
            <w:pPr>
              <w:pStyle w:val="TableLandscapeTable"/>
              <w:spacing w:before="0"/>
            </w:pPr>
            <w:r>
              <w:rPr>
                <w:noProof/>
              </w:rPr>
              <w:drawing>
                <wp:inline distT="0" distB="0" distL="0" distR="0" wp14:anchorId="110FD5EF" wp14:editId="503F1C4D">
                  <wp:extent cx="818515" cy="380689"/>
                  <wp:effectExtent l="0" t="0" r="635" b="635"/>
                  <wp:docPr id="35878" name="Picture 358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78" name="Picture 35878">
                            <a:extLst>
                              <a:ext uri="{C183D7F6-B498-43B3-948B-1728B52AA6E4}">
                                <adec:decorative xmlns:adec="http://schemas.microsoft.com/office/drawing/2017/decorative" val="1"/>
                              </a:ext>
                            </a:extLst>
                          </pic:cNvPr>
                          <pic:cNvPicPr/>
                        </pic:nvPicPr>
                        <pic:blipFill>
                          <a:blip r:embed="rId123"/>
                          <a:stretch>
                            <a:fillRect/>
                          </a:stretch>
                        </pic:blipFill>
                        <pic:spPr>
                          <a:xfrm>
                            <a:off x="0" y="0"/>
                            <a:ext cx="833350" cy="387589"/>
                          </a:xfrm>
                          <a:prstGeom prst="rect">
                            <a:avLst/>
                          </a:prstGeom>
                        </pic:spPr>
                      </pic:pic>
                    </a:graphicData>
                  </a:graphic>
                </wp:inline>
              </w:drawing>
            </w:r>
          </w:p>
        </w:tc>
        <w:tc>
          <w:tcPr>
            <w:tcW w:w="268" w:type="dxa"/>
            <w:tcBorders>
              <w:top w:val="nil"/>
              <w:left w:val="nil"/>
              <w:bottom w:val="nil"/>
              <w:right w:val="nil"/>
            </w:tcBorders>
            <w:shd w:val="clear" w:color="auto" w:fill="000000" w:themeFill="text1"/>
          </w:tcPr>
          <w:p w14:paraId="767F4A28" w14:textId="77777777" w:rsidR="00044A91" w:rsidRPr="00044A91" w:rsidRDefault="00044A91" w:rsidP="00044A91">
            <w:pPr>
              <w:widowControl/>
              <w:suppressAutoHyphens w:val="0"/>
              <w:autoSpaceDE/>
              <w:autoSpaceDN/>
              <w:adjustRightInd/>
              <w:spacing w:line="259" w:lineRule="auto"/>
              <w:ind w:left="0"/>
              <w:jc w:val="left"/>
              <w:textAlignment w:val="auto"/>
              <w:rPr>
                <w:sz w:val="12"/>
                <w:szCs w:val="12"/>
              </w:rPr>
            </w:pPr>
          </w:p>
        </w:tc>
        <w:tc>
          <w:tcPr>
            <w:tcW w:w="1914" w:type="dxa"/>
            <w:vMerge/>
            <w:tcBorders>
              <w:left w:val="nil"/>
            </w:tcBorders>
          </w:tcPr>
          <w:p w14:paraId="2B2A9598" w14:textId="50C37C2A" w:rsidR="00044A91" w:rsidRPr="00BF2E8D" w:rsidRDefault="00044A91" w:rsidP="00351487">
            <w:pPr>
              <w:widowControl/>
              <w:suppressAutoHyphens w:val="0"/>
              <w:autoSpaceDE/>
              <w:autoSpaceDN/>
              <w:adjustRightInd/>
              <w:ind w:left="0"/>
              <w:jc w:val="left"/>
              <w:textAlignment w:val="auto"/>
            </w:pPr>
          </w:p>
        </w:tc>
        <w:tc>
          <w:tcPr>
            <w:tcW w:w="2680" w:type="dxa"/>
            <w:vAlign w:val="center"/>
          </w:tcPr>
          <w:p w14:paraId="1BB9C47F" w14:textId="2C79B3D2" w:rsidR="00044A91" w:rsidRPr="00BF2E8D" w:rsidRDefault="007B33EB" w:rsidP="007B33EB">
            <w:pPr>
              <w:widowControl/>
              <w:suppressAutoHyphens w:val="0"/>
              <w:autoSpaceDE/>
              <w:autoSpaceDN/>
              <w:adjustRightInd/>
              <w:spacing w:line="259" w:lineRule="auto"/>
              <w:ind w:left="0"/>
              <w:jc w:val="left"/>
              <w:textAlignment w:val="auto"/>
            </w:pPr>
            <w:r>
              <w:rPr>
                <w:noProof/>
              </w:rPr>
              <w:drawing>
                <wp:inline distT="0" distB="0" distL="0" distR="0" wp14:anchorId="53F4554E" wp14:editId="26ED77DE">
                  <wp:extent cx="1054100" cy="395288"/>
                  <wp:effectExtent l="0" t="0" r="0" b="5080"/>
                  <wp:docPr id="35892" name="Picture 358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92" name="Picture 35892">
                            <a:extLst>
                              <a:ext uri="{C183D7F6-B498-43B3-948B-1728B52AA6E4}">
                                <adec:decorative xmlns:adec="http://schemas.microsoft.com/office/drawing/2017/decorative" val="1"/>
                              </a:ext>
                            </a:extLst>
                          </pic:cNvPr>
                          <pic:cNvPicPr/>
                        </pic:nvPicPr>
                        <pic:blipFill>
                          <a:blip r:embed="rId124"/>
                          <a:stretch>
                            <a:fillRect/>
                          </a:stretch>
                        </pic:blipFill>
                        <pic:spPr>
                          <a:xfrm>
                            <a:off x="0" y="0"/>
                            <a:ext cx="1083542" cy="406329"/>
                          </a:xfrm>
                          <a:prstGeom prst="rect">
                            <a:avLst/>
                          </a:prstGeom>
                        </pic:spPr>
                      </pic:pic>
                    </a:graphicData>
                  </a:graphic>
                </wp:inline>
              </w:drawing>
            </w:r>
          </w:p>
        </w:tc>
      </w:tr>
      <w:tr w:rsidR="00044A91" w:rsidRPr="00BF2E8D" w14:paraId="0AC916DA" w14:textId="3D54DE0E" w:rsidTr="007B58D8">
        <w:trPr>
          <w:trHeight w:val="691"/>
          <w:jc w:val="center"/>
        </w:trPr>
        <w:tc>
          <w:tcPr>
            <w:tcW w:w="1912" w:type="dxa"/>
            <w:vMerge/>
          </w:tcPr>
          <w:p w14:paraId="0E65CE29" w14:textId="77777777" w:rsidR="00044A91" w:rsidRPr="00A557D7" w:rsidRDefault="00044A91" w:rsidP="00351487">
            <w:pPr>
              <w:pStyle w:val="TableLandscapeTable"/>
              <w:spacing w:before="0" w:line="240" w:lineRule="auto"/>
              <w:rPr>
                <w:sz w:val="24"/>
                <w:szCs w:val="24"/>
              </w:rPr>
            </w:pPr>
          </w:p>
        </w:tc>
        <w:tc>
          <w:tcPr>
            <w:tcW w:w="2680" w:type="dxa"/>
            <w:tcBorders>
              <w:right w:val="nil"/>
            </w:tcBorders>
            <w:vAlign w:val="center"/>
          </w:tcPr>
          <w:p w14:paraId="72A2A6CD" w14:textId="52CA4233" w:rsidR="00044A91" w:rsidRDefault="00CE0496" w:rsidP="00CE0496">
            <w:pPr>
              <w:pStyle w:val="TableLandscapeTable"/>
              <w:spacing w:before="0"/>
              <w:rPr>
                <w:noProof/>
              </w:rPr>
            </w:pPr>
            <w:r>
              <w:rPr>
                <w:noProof/>
              </w:rPr>
              <w:drawing>
                <wp:inline distT="0" distB="0" distL="0" distR="0" wp14:anchorId="345A7C90" wp14:editId="202DA53E">
                  <wp:extent cx="818515" cy="352453"/>
                  <wp:effectExtent l="0" t="0" r="635" b="9525"/>
                  <wp:docPr id="35879" name="Picture 358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79" name="Picture 35879">
                            <a:extLst>
                              <a:ext uri="{C183D7F6-B498-43B3-948B-1728B52AA6E4}">
                                <adec:decorative xmlns:adec="http://schemas.microsoft.com/office/drawing/2017/decorative" val="1"/>
                              </a:ext>
                            </a:extLst>
                          </pic:cNvPr>
                          <pic:cNvPicPr/>
                        </pic:nvPicPr>
                        <pic:blipFill>
                          <a:blip r:embed="rId125"/>
                          <a:stretch>
                            <a:fillRect/>
                          </a:stretch>
                        </pic:blipFill>
                        <pic:spPr>
                          <a:xfrm>
                            <a:off x="0" y="0"/>
                            <a:ext cx="830678" cy="357690"/>
                          </a:xfrm>
                          <a:prstGeom prst="rect">
                            <a:avLst/>
                          </a:prstGeom>
                        </pic:spPr>
                      </pic:pic>
                    </a:graphicData>
                  </a:graphic>
                </wp:inline>
              </w:drawing>
            </w:r>
          </w:p>
        </w:tc>
        <w:tc>
          <w:tcPr>
            <w:tcW w:w="268" w:type="dxa"/>
            <w:tcBorders>
              <w:top w:val="nil"/>
              <w:left w:val="nil"/>
              <w:bottom w:val="nil"/>
              <w:right w:val="nil"/>
            </w:tcBorders>
            <w:shd w:val="clear" w:color="auto" w:fill="000000" w:themeFill="text1"/>
          </w:tcPr>
          <w:p w14:paraId="7C987B24" w14:textId="77777777" w:rsidR="00044A91" w:rsidRPr="00044A91" w:rsidRDefault="00044A91" w:rsidP="00044A91">
            <w:pPr>
              <w:widowControl/>
              <w:suppressAutoHyphens w:val="0"/>
              <w:autoSpaceDE/>
              <w:autoSpaceDN/>
              <w:adjustRightInd/>
              <w:spacing w:line="259" w:lineRule="auto"/>
              <w:ind w:left="0"/>
              <w:jc w:val="left"/>
              <w:textAlignment w:val="auto"/>
              <w:rPr>
                <w:sz w:val="12"/>
                <w:szCs w:val="12"/>
              </w:rPr>
            </w:pPr>
          </w:p>
        </w:tc>
        <w:tc>
          <w:tcPr>
            <w:tcW w:w="1914" w:type="dxa"/>
            <w:vMerge w:val="restart"/>
            <w:tcBorders>
              <w:left w:val="nil"/>
            </w:tcBorders>
          </w:tcPr>
          <w:p w14:paraId="315F4DC9" w14:textId="34B43013" w:rsidR="00044A91" w:rsidRPr="00A557D7" w:rsidRDefault="00044A91" w:rsidP="00351487">
            <w:pPr>
              <w:pStyle w:val="TableLandscapeTable"/>
              <w:spacing w:before="0" w:line="240" w:lineRule="auto"/>
              <w:rPr>
                <w:b/>
                <w:bCs/>
                <w:sz w:val="24"/>
                <w:szCs w:val="24"/>
              </w:rPr>
            </w:pPr>
            <w:r w:rsidRPr="00A557D7">
              <w:rPr>
                <w:b/>
                <w:bCs/>
                <w:sz w:val="24"/>
                <w:szCs w:val="24"/>
              </w:rPr>
              <w:t>Class</w:t>
            </w:r>
            <w:r>
              <w:rPr>
                <w:b/>
                <w:bCs/>
                <w:sz w:val="24"/>
                <w:szCs w:val="24"/>
              </w:rPr>
              <w:t xml:space="preserve"> 9</w:t>
            </w:r>
          </w:p>
          <w:p w14:paraId="53146F19" w14:textId="0C657711" w:rsidR="00044A91" w:rsidRPr="00BF2E8D" w:rsidRDefault="00044A91" w:rsidP="004A0EA1">
            <w:pPr>
              <w:pStyle w:val="TableLandscapeTable"/>
              <w:spacing w:before="0" w:line="240" w:lineRule="auto"/>
            </w:pPr>
            <w:r>
              <w:rPr>
                <w:sz w:val="24"/>
                <w:szCs w:val="24"/>
              </w:rPr>
              <w:t>5-Axle tractor semiltrailer</w:t>
            </w:r>
          </w:p>
        </w:tc>
        <w:tc>
          <w:tcPr>
            <w:tcW w:w="2680" w:type="dxa"/>
            <w:vAlign w:val="center"/>
          </w:tcPr>
          <w:p w14:paraId="51F6EC72" w14:textId="3DF6A60E" w:rsidR="00044A91" w:rsidRPr="00BF2E8D" w:rsidRDefault="00CE0496" w:rsidP="00CE0496">
            <w:pPr>
              <w:widowControl/>
              <w:suppressAutoHyphens w:val="0"/>
              <w:autoSpaceDE/>
              <w:autoSpaceDN/>
              <w:adjustRightInd/>
              <w:spacing w:line="259" w:lineRule="auto"/>
              <w:ind w:left="0"/>
              <w:jc w:val="left"/>
              <w:textAlignment w:val="auto"/>
            </w:pPr>
            <w:r>
              <w:rPr>
                <w:noProof/>
              </w:rPr>
              <w:drawing>
                <wp:inline distT="0" distB="0" distL="0" distR="0" wp14:anchorId="3A4D401A" wp14:editId="591F758D">
                  <wp:extent cx="1028700" cy="330200"/>
                  <wp:effectExtent l="25400" t="0" r="0" b="0"/>
                  <wp:docPr id="35860"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60" name="Picture 8">
                            <a:extLst>
                              <a:ext uri="{C183D7F6-B498-43B3-948B-1728B52AA6E4}">
                                <adec:decorative xmlns:adec="http://schemas.microsoft.com/office/drawing/2017/decorative" val="1"/>
                              </a:ext>
                            </a:extLst>
                          </pic:cNvPr>
                          <pic:cNvPicPr/>
                        </pic:nvPicPr>
                        <pic:blipFill>
                          <a:blip r:embed="rId126" cstate="email">
                            <a:extLst>
                              <a:ext uri="{28A0092B-C50C-407E-A947-70E740481C1C}">
                                <a14:useLocalDpi xmlns:a14="http://schemas.microsoft.com/office/drawing/2010/main"/>
                              </a:ext>
                            </a:extLst>
                          </a:blip>
                          <a:stretch>
                            <a:fillRect/>
                          </a:stretch>
                        </pic:blipFill>
                        <pic:spPr>
                          <a:xfrm>
                            <a:off x="0" y="0"/>
                            <a:ext cx="1028700" cy="330200"/>
                          </a:xfrm>
                          <a:prstGeom prst="rect">
                            <a:avLst/>
                          </a:prstGeom>
                        </pic:spPr>
                      </pic:pic>
                    </a:graphicData>
                  </a:graphic>
                </wp:inline>
              </w:drawing>
            </w:r>
          </w:p>
        </w:tc>
      </w:tr>
      <w:tr w:rsidR="00044A91" w:rsidRPr="00BF2E8D" w14:paraId="0CF0A339" w14:textId="160790D2" w:rsidTr="007B58D8">
        <w:trPr>
          <w:trHeight w:val="691"/>
          <w:jc w:val="center"/>
        </w:trPr>
        <w:tc>
          <w:tcPr>
            <w:tcW w:w="1912" w:type="dxa"/>
            <w:vMerge/>
          </w:tcPr>
          <w:p w14:paraId="50C2E1F8" w14:textId="77777777" w:rsidR="00044A91" w:rsidRPr="00A557D7" w:rsidRDefault="00044A91" w:rsidP="00351487">
            <w:pPr>
              <w:pStyle w:val="TableLandscapeTable"/>
              <w:spacing w:before="0" w:line="240" w:lineRule="auto"/>
              <w:rPr>
                <w:sz w:val="24"/>
                <w:szCs w:val="24"/>
              </w:rPr>
            </w:pPr>
          </w:p>
        </w:tc>
        <w:tc>
          <w:tcPr>
            <w:tcW w:w="2680" w:type="dxa"/>
            <w:tcBorders>
              <w:right w:val="nil"/>
            </w:tcBorders>
            <w:vAlign w:val="center"/>
          </w:tcPr>
          <w:p w14:paraId="5F63C4FA" w14:textId="15CB1CB5" w:rsidR="00044A91" w:rsidRDefault="00CE0496" w:rsidP="00CE0496">
            <w:pPr>
              <w:pStyle w:val="TableLandscapeTable"/>
              <w:spacing w:before="0"/>
              <w:rPr>
                <w:noProof/>
              </w:rPr>
            </w:pPr>
            <w:r>
              <w:rPr>
                <w:noProof/>
              </w:rPr>
              <w:drawing>
                <wp:inline distT="0" distB="0" distL="0" distR="0" wp14:anchorId="2C190454" wp14:editId="12290B40">
                  <wp:extent cx="1329070" cy="408322"/>
                  <wp:effectExtent l="0" t="0" r="4445" b="0"/>
                  <wp:docPr id="35880" name="Picture 358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0" name="Picture 35880">
                            <a:extLst>
                              <a:ext uri="{C183D7F6-B498-43B3-948B-1728B52AA6E4}">
                                <adec:decorative xmlns:adec="http://schemas.microsoft.com/office/drawing/2017/decorative" val="1"/>
                              </a:ext>
                            </a:extLst>
                          </pic:cNvPr>
                          <pic:cNvPicPr/>
                        </pic:nvPicPr>
                        <pic:blipFill>
                          <a:blip r:embed="rId127"/>
                          <a:stretch>
                            <a:fillRect/>
                          </a:stretch>
                        </pic:blipFill>
                        <pic:spPr>
                          <a:xfrm>
                            <a:off x="0" y="0"/>
                            <a:ext cx="1349684" cy="414655"/>
                          </a:xfrm>
                          <a:prstGeom prst="rect">
                            <a:avLst/>
                          </a:prstGeom>
                        </pic:spPr>
                      </pic:pic>
                    </a:graphicData>
                  </a:graphic>
                </wp:inline>
              </w:drawing>
            </w:r>
          </w:p>
        </w:tc>
        <w:tc>
          <w:tcPr>
            <w:tcW w:w="268" w:type="dxa"/>
            <w:tcBorders>
              <w:top w:val="nil"/>
              <w:left w:val="nil"/>
              <w:bottom w:val="nil"/>
              <w:right w:val="nil"/>
            </w:tcBorders>
            <w:shd w:val="clear" w:color="auto" w:fill="000000" w:themeFill="text1"/>
          </w:tcPr>
          <w:p w14:paraId="569C87DE" w14:textId="77777777" w:rsidR="00044A91" w:rsidRPr="00044A91" w:rsidRDefault="00044A91" w:rsidP="00044A91">
            <w:pPr>
              <w:widowControl/>
              <w:suppressAutoHyphens w:val="0"/>
              <w:autoSpaceDE/>
              <w:autoSpaceDN/>
              <w:adjustRightInd/>
              <w:spacing w:line="259" w:lineRule="auto"/>
              <w:ind w:left="0"/>
              <w:jc w:val="left"/>
              <w:textAlignment w:val="auto"/>
              <w:rPr>
                <w:sz w:val="12"/>
                <w:szCs w:val="12"/>
              </w:rPr>
            </w:pPr>
          </w:p>
        </w:tc>
        <w:tc>
          <w:tcPr>
            <w:tcW w:w="1914" w:type="dxa"/>
            <w:vMerge/>
            <w:tcBorders>
              <w:left w:val="nil"/>
            </w:tcBorders>
          </w:tcPr>
          <w:p w14:paraId="556982FC" w14:textId="00B90FB7" w:rsidR="00044A91" w:rsidRPr="00BF2E8D" w:rsidRDefault="00044A91" w:rsidP="00351487">
            <w:pPr>
              <w:widowControl/>
              <w:suppressAutoHyphens w:val="0"/>
              <w:autoSpaceDE/>
              <w:autoSpaceDN/>
              <w:adjustRightInd/>
              <w:ind w:left="0"/>
              <w:jc w:val="left"/>
              <w:textAlignment w:val="auto"/>
            </w:pPr>
          </w:p>
        </w:tc>
        <w:tc>
          <w:tcPr>
            <w:tcW w:w="2680" w:type="dxa"/>
            <w:vAlign w:val="center"/>
          </w:tcPr>
          <w:p w14:paraId="4BD2D31D" w14:textId="18E9B74B" w:rsidR="00044A91" w:rsidRPr="00BF2E8D" w:rsidRDefault="00CE0496" w:rsidP="00CE0496">
            <w:pPr>
              <w:widowControl/>
              <w:suppressAutoHyphens w:val="0"/>
              <w:autoSpaceDE/>
              <w:autoSpaceDN/>
              <w:adjustRightInd/>
              <w:spacing w:line="259" w:lineRule="auto"/>
              <w:ind w:left="0"/>
              <w:jc w:val="left"/>
              <w:textAlignment w:val="auto"/>
            </w:pPr>
            <w:r>
              <w:rPr>
                <w:noProof/>
              </w:rPr>
              <w:drawing>
                <wp:inline distT="0" distB="0" distL="0" distR="0" wp14:anchorId="59297F6D" wp14:editId="1CE004A8">
                  <wp:extent cx="1028700" cy="330200"/>
                  <wp:effectExtent l="19050" t="0" r="0" b="0"/>
                  <wp:docPr id="35865"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65" name="Picture 9">
                            <a:extLst>
                              <a:ext uri="{C183D7F6-B498-43B3-948B-1728B52AA6E4}">
                                <adec:decorative xmlns:adec="http://schemas.microsoft.com/office/drawing/2017/decorative" val="1"/>
                              </a:ext>
                            </a:extLst>
                          </pic:cNvPr>
                          <pic:cNvPicPr/>
                        </pic:nvPicPr>
                        <pic:blipFill>
                          <a:blip r:embed="rId128" cstate="email">
                            <a:extLst>
                              <a:ext uri="{28A0092B-C50C-407E-A947-70E740481C1C}">
                                <a14:useLocalDpi xmlns:a14="http://schemas.microsoft.com/office/drawing/2010/main"/>
                              </a:ext>
                            </a:extLst>
                          </a:blip>
                          <a:stretch>
                            <a:fillRect/>
                          </a:stretch>
                        </pic:blipFill>
                        <pic:spPr>
                          <a:xfrm>
                            <a:off x="0" y="0"/>
                            <a:ext cx="1028700" cy="330200"/>
                          </a:xfrm>
                          <a:prstGeom prst="rect">
                            <a:avLst/>
                          </a:prstGeom>
                        </pic:spPr>
                      </pic:pic>
                    </a:graphicData>
                  </a:graphic>
                </wp:inline>
              </w:drawing>
            </w:r>
          </w:p>
        </w:tc>
      </w:tr>
      <w:tr w:rsidR="00044A91" w:rsidRPr="00BF2E8D" w14:paraId="3E403BD1" w14:textId="5A6D5926" w:rsidTr="007B58D8">
        <w:trPr>
          <w:trHeight w:val="691"/>
          <w:jc w:val="center"/>
        </w:trPr>
        <w:tc>
          <w:tcPr>
            <w:tcW w:w="1912" w:type="dxa"/>
            <w:vMerge w:val="restart"/>
          </w:tcPr>
          <w:p w14:paraId="5A075605" w14:textId="6904563E" w:rsidR="00044A91" w:rsidRPr="00A557D7" w:rsidRDefault="00044A91" w:rsidP="00351487">
            <w:pPr>
              <w:pStyle w:val="TableLandscapeTable"/>
              <w:spacing w:before="0" w:line="240" w:lineRule="auto"/>
              <w:rPr>
                <w:b/>
                <w:bCs/>
                <w:sz w:val="24"/>
                <w:szCs w:val="24"/>
              </w:rPr>
            </w:pPr>
            <w:r w:rsidRPr="00A557D7">
              <w:rPr>
                <w:b/>
                <w:bCs/>
                <w:sz w:val="24"/>
                <w:szCs w:val="24"/>
              </w:rPr>
              <w:t xml:space="preserve">Class </w:t>
            </w:r>
            <w:r>
              <w:rPr>
                <w:b/>
                <w:bCs/>
                <w:sz w:val="24"/>
                <w:szCs w:val="24"/>
              </w:rPr>
              <w:t>4</w:t>
            </w:r>
          </w:p>
          <w:p w14:paraId="06B268C0" w14:textId="30E7D817" w:rsidR="00044A91" w:rsidRPr="00A557D7" w:rsidRDefault="00044A91" w:rsidP="00351487">
            <w:pPr>
              <w:pStyle w:val="TableLandscapeTable"/>
              <w:spacing w:before="0" w:line="240" w:lineRule="auto"/>
              <w:rPr>
                <w:sz w:val="24"/>
                <w:szCs w:val="24"/>
              </w:rPr>
            </w:pPr>
            <w:r>
              <w:rPr>
                <w:sz w:val="24"/>
                <w:szCs w:val="24"/>
              </w:rPr>
              <w:t>Busses</w:t>
            </w:r>
          </w:p>
        </w:tc>
        <w:tc>
          <w:tcPr>
            <w:tcW w:w="2680" w:type="dxa"/>
            <w:tcBorders>
              <w:right w:val="nil"/>
            </w:tcBorders>
            <w:vAlign w:val="center"/>
          </w:tcPr>
          <w:p w14:paraId="05693338" w14:textId="62459ADB" w:rsidR="00044A91" w:rsidRDefault="00044A91" w:rsidP="00CE0496">
            <w:pPr>
              <w:pStyle w:val="TableLandscapeTable"/>
              <w:spacing w:before="0"/>
              <w:rPr>
                <w:noProof/>
              </w:rPr>
            </w:pPr>
            <w:r>
              <w:rPr>
                <w:noProof/>
              </w:rPr>
              <w:drawing>
                <wp:inline distT="0" distB="0" distL="0" distR="0" wp14:anchorId="2352BBAC" wp14:editId="4BA153EA">
                  <wp:extent cx="884786" cy="312516"/>
                  <wp:effectExtent l="25400" t="0" r="4214" b="0"/>
                  <wp:docPr id="35866"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66" name="Picture 18">
                            <a:extLst>
                              <a:ext uri="{C183D7F6-B498-43B3-948B-1728B52AA6E4}">
                                <adec:decorative xmlns:adec="http://schemas.microsoft.com/office/drawing/2017/decorative" val="1"/>
                              </a:ext>
                            </a:extLst>
                          </pic:cNvPr>
                          <pic:cNvPicPr/>
                        </pic:nvPicPr>
                        <pic:blipFill>
                          <a:blip r:embed="rId129" cstate="email">
                            <a:extLst>
                              <a:ext uri="{28A0092B-C50C-407E-A947-70E740481C1C}">
                                <a14:useLocalDpi xmlns:a14="http://schemas.microsoft.com/office/drawing/2010/main"/>
                              </a:ext>
                            </a:extLst>
                          </a:blip>
                          <a:srcRect l="13466"/>
                          <a:stretch>
                            <a:fillRect/>
                          </a:stretch>
                        </pic:blipFill>
                        <pic:spPr>
                          <a:xfrm>
                            <a:off x="0" y="0"/>
                            <a:ext cx="884786" cy="312516"/>
                          </a:xfrm>
                          <a:prstGeom prst="rect">
                            <a:avLst/>
                          </a:prstGeom>
                        </pic:spPr>
                      </pic:pic>
                    </a:graphicData>
                  </a:graphic>
                </wp:inline>
              </w:drawing>
            </w:r>
          </w:p>
        </w:tc>
        <w:tc>
          <w:tcPr>
            <w:tcW w:w="268" w:type="dxa"/>
            <w:tcBorders>
              <w:top w:val="nil"/>
              <w:left w:val="nil"/>
              <w:bottom w:val="nil"/>
              <w:right w:val="nil"/>
            </w:tcBorders>
            <w:shd w:val="clear" w:color="auto" w:fill="000000" w:themeFill="text1"/>
          </w:tcPr>
          <w:p w14:paraId="1C58A3E3" w14:textId="77777777" w:rsidR="00044A91" w:rsidRPr="00044A91" w:rsidRDefault="00044A91" w:rsidP="00044A91">
            <w:pPr>
              <w:widowControl/>
              <w:suppressAutoHyphens w:val="0"/>
              <w:autoSpaceDE/>
              <w:autoSpaceDN/>
              <w:adjustRightInd/>
              <w:spacing w:line="259" w:lineRule="auto"/>
              <w:ind w:left="0"/>
              <w:jc w:val="left"/>
              <w:textAlignment w:val="auto"/>
              <w:rPr>
                <w:sz w:val="12"/>
                <w:szCs w:val="12"/>
              </w:rPr>
            </w:pPr>
          </w:p>
        </w:tc>
        <w:tc>
          <w:tcPr>
            <w:tcW w:w="1914" w:type="dxa"/>
            <w:vMerge w:val="restart"/>
            <w:tcBorders>
              <w:left w:val="nil"/>
            </w:tcBorders>
          </w:tcPr>
          <w:p w14:paraId="39D9202B" w14:textId="3A799D2A" w:rsidR="00044A91" w:rsidRPr="00A557D7" w:rsidRDefault="00044A91" w:rsidP="00351487">
            <w:pPr>
              <w:pStyle w:val="TableLandscapeTable"/>
              <w:spacing w:before="0" w:line="240" w:lineRule="auto"/>
              <w:rPr>
                <w:b/>
                <w:bCs/>
                <w:sz w:val="24"/>
                <w:szCs w:val="24"/>
              </w:rPr>
            </w:pPr>
            <w:r w:rsidRPr="00A557D7">
              <w:rPr>
                <w:b/>
                <w:bCs/>
                <w:sz w:val="24"/>
                <w:szCs w:val="24"/>
              </w:rPr>
              <w:t>Class</w:t>
            </w:r>
            <w:r>
              <w:rPr>
                <w:b/>
                <w:bCs/>
                <w:sz w:val="24"/>
                <w:szCs w:val="24"/>
              </w:rPr>
              <w:t xml:space="preserve"> 10</w:t>
            </w:r>
          </w:p>
          <w:p w14:paraId="1B932CD7" w14:textId="05408571" w:rsidR="00044A91" w:rsidRPr="00BF2E8D" w:rsidRDefault="00044A91" w:rsidP="004A0EA1">
            <w:pPr>
              <w:pStyle w:val="TableLandscapeTable"/>
              <w:spacing w:before="0" w:line="240" w:lineRule="auto"/>
            </w:pPr>
            <w:r>
              <w:rPr>
                <w:sz w:val="24"/>
                <w:szCs w:val="24"/>
              </w:rPr>
              <w:t>Six or more axle, single trailer</w:t>
            </w:r>
          </w:p>
        </w:tc>
        <w:tc>
          <w:tcPr>
            <w:tcW w:w="2680" w:type="dxa"/>
            <w:vAlign w:val="center"/>
          </w:tcPr>
          <w:p w14:paraId="782BECF9" w14:textId="486A3B8E" w:rsidR="00044A91" w:rsidRPr="00BF2E8D" w:rsidRDefault="007B33EB" w:rsidP="007B33EB">
            <w:pPr>
              <w:widowControl/>
              <w:suppressAutoHyphens w:val="0"/>
              <w:autoSpaceDE/>
              <w:autoSpaceDN/>
              <w:adjustRightInd/>
              <w:spacing w:line="259" w:lineRule="auto"/>
              <w:ind w:left="0"/>
              <w:jc w:val="left"/>
              <w:textAlignment w:val="auto"/>
            </w:pPr>
            <w:r>
              <w:rPr>
                <w:noProof/>
              </w:rPr>
              <w:drawing>
                <wp:inline distT="0" distB="0" distL="0" distR="0" wp14:anchorId="2E7BA029" wp14:editId="27F92A7F">
                  <wp:extent cx="1307805" cy="411343"/>
                  <wp:effectExtent l="0" t="0" r="6985" b="8255"/>
                  <wp:docPr id="35893" name="Picture 358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93" name="Picture 35893">
                            <a:extLst>
                              <a:ext uri="{C183D7F6-B498-43B3-948B-1728B52AA6E4}">
                                <adec:decorative xmlns:adec="http://schemas.microsoft.com/office/drawing/2017/decorative" val="1"/>
                              </a:ext>
                            </a:extLst>
                          </pic:cNvPr>
                          <pic:cNvPicPr/>
                        </pic:nvPicPr>
                        <pic:blipFill>
                          <a:blip r:embed="rId130"/>
                          <a:stretch>
                            <a:fillRect/>
                          </a:stretch>
                        </pic:blipFill>
                        <pic:spPr>
                          <a:xfrm>
                            <a:off x="0" y="0"/>
                            <a:ext cx="1318615" cy="414743"/>
                          </a:xfrm>
                          <a:prstGeom prst="rect">
                            <a:avLst/>
                          </a:prstGeom>
                        </pic:spPr>
                      </pic:pic>
                    </a:graphicData>
                  </a:graphic>
                </wp:inline>
              </w:drawing>
            </w:r>
          </w:p>
        </w:tc>
      </w:tr>
      <w:tr w:rsidR="00044A91" w:rsidRPr="00BF2E8D" w14:paraId="0B93DDC9" w14:textId="556410F9" w:rsidTr="007B58D8">
        <w:trPr>
          <w:trHeight w:val="691"/>
          <w:jc w:val="center"/>
        </w:trPr>
        <w:tc>
          <w:tcPr>
            <w:tcW w:w="1912" w:type="dxa"/>
            <w:vMerge/>
          </w:tcPr>
          <w:p w14:paraId="4143930C" w14:textId="77777777" w:rsidR="00044A91" w:rsidRPr="00A557D7" w:rsidRDefault="00044A91" w:rsidP="00351487">
            <w:pPr>
              <w:pStyle w:val="TableLandscapeTable"/>
              <w:spacing w:before="0" w:line="240" w:lineRule="auto"/>
              <w:rPr>
                <w:sz w:val="24"/>
                <w:szCs w:val="24"/>
              </w:rPr>
            </w:pPr>
          </w:p>
        </w:tc>
        <w:tc>
          <w:tcPr>
            <w:tcW w:w="2680" w:type="dxa"/>
            <w:tcBorders>
              <w:right w:val="nil"/>
            </w:tcBorders>
            <w:vAlign w:val="center"/>
          </w:tcPr>
          <w:p w14:paraId="586D1032" w14:textId="3C0675B5" w:rsidR="00044A91" w:rsidRDefault="00044A91" w:rsidP="00CE0496">
            <w:pPr>
              <w:pStyle w:val="TableLandscapeTable"/>
              <w:spacing w:before="0"/>
              <w:rPr>
                <w:noProof/>
              </w:rPr>
            </w:pPr>
            <w:r>
              <w:rPr>
                <w:noProof/>
              </w:rPr>
              <w:drawing>
                <wp:inline distT="0" distB="0" distL="0" distR="0" wp14:anchorId="5EDE77E5" wp14:editId="071D24A8">
                  <wp:extent cx="879520" cy="312517"/>
                  <wp:effectExtent l="25400" t="0" r="9480" b="0"/>
                  <wp:docPr id="35867"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67" name="Picture 4">
                            <a:extLst>
                              <a:ext uri="{C183D7F6-B498-43B3-948B-1728B52AA6E4}">
                                <adec:decorative xmlns:adec="http://schemas.microsoft.com/office/drawing/2017/decorative" val="1"/>
                              </a:ext>
                            </a:extLst>
                          </pic:cNvPr>
                          <pic:cNvPicPr/>
                        </pic:nvPicPr>
                        <pic:blipFill>
                          <a:blip r:embed="rId131" cstate="email">
                            <a:extLst>
                              <a:ext uri="{28A0092B-C50C-407E-A947-70E740481C1C}">
                                <a14:useLocalDpi xmlns:a14="http://schemas.microsoft.com/office/drawing/2010/main"/>
                              </a:ext>
                            </a:extLst>
                          </a:blip>
                          <a:srcRect l="13466"/>
                          <a:stretch>
                            <a:fillRect/>
                          </a:stretch>
                        </pic:blipFill>
                        <pic:spPr>
                          <a:xfrm>
                            <a:off x="0" y="0"/>
                            <a:ext cx="879520" cy="312517"/>
                          </a:xfrm>
                          <a:prstGeom prst="rect">
                            <a:avLst/>
                          </a:prstGeom>
                        </pic:spPr>
                      </pic:pic>
                    </a:graphicData>
                  </a:graphic>
                </wp:inline>
              </w:drawing>
            </w:r>
          </w:p>
        </w:tc>
        <w:tc>
          <w:tcPr>
            <w:tcW w:w="268" w:type="dxa"/>
            <w:tcBorders>
              <w:top w:val="nil"/>
              <w:left w:val="nil"/>
              <w:bottom w:val="nil"/>
              <w:right w:val="nil"/>
            </w:tcBorders>
            <w:shd w:val="clear" w:color="auto" w:fill="000000" w:themeFill="text1"/>
          </w:tcPr>
          <w:p w14:paraId="3981A261" w14:textId="77777777" w:rsidR="00044A91" w:rsidRPr="00044A91" w:rsidRDefault="00044A91" w:rsidP="00044A91">
            <w:pPr>
              <w:widowControl/>
              <w:suppressAutoHyphens w:val="0"/>
              <w:autoSpaceDE/>
              <w:autoSpaceDN/>
              <w:adjustRightInd/>
              <w:spacing w:line="259" w:lineRule="auto"/>
              <w:ind w:left="0"/>
              <w:jc w:val="left"/>
              <w:textAlignment w:val="auto"/>
              <w:rPr>
                <w:sz w:val="12"/>
                <w:szCs w:val="12"/>
              </w:rPr>
            </w:pPr>
          </w:p>
        </w:tc>
        <w:tc>
          <w:tcPr>
            <w:tcW w:w="1914" w:type="dxa"/>
            <w:vMerge/>
            <w:tcBorders>
              <w:left w:val="nil"/>
            </w:tcBorders>
          </w:tcPr>
          <w:p w14:paraId="4F3F2A24" w14:textId="0F93F098" w:rsidR="00044A91" w:rsidRPr="00BF2E8D" w:rsidRDefault="00044A91" w:rsidP="00351487">
            <w:pPr>
              <w:widowControl/>
              <w:suppressAutoHyphens w:val="0"/>
              <w:autoSpaceDE/>
              <w:autoSpaceDN/>
              <w:adjustRightInd/>
              <w:ind w:left="0"/>
              <w:jc w:val="left"/>
              <w:textAlignment w:val="auto"/>
            </w:pPr>
          </w:p>
        </w:tc>
        <w:tc>
          <w:tcPr>
            <w:tcW w:w="2680" w:type="dxa"/>
            <w:vAlign w:val="center"/>
          </w:tcPr>
          <w:p w14:paraId="454077DA" w14:textId="03B92908" w:rsidR="00044A91" w:rsidRPr="00BF2E8D" w:rsidRDefault="007B33EB" w:rsidP="007B33EB">
            <w:pPr>
              <w:widowControl/>
              <w:suppressAutoHyphens w:val="0"/>
              <w:autoSpaceDE/>
              <w:autoSpaceDN/>
              <w:adjustRightInd/>
              <w:spacing w:line="259" w:lineRule="auto"/>
              <w:ind w:left="0"/>
              <w:jc w:val="left"/>
              <w:textAlignment w:val="auto"/>
            </w:pPr>
            <w:r>
              <w:rPr>
                <w:noProof/>
              </w:rPr>
              <w:drawing>
                <wp:inline distT="0" distB="0" distL="0" distR="0" wp14:anchorId="7167C649" wp14:editId="49D26854">
                  <wp:extent cx="1499191" cy="306044"/>
                  <wp:effectExtent l="0" t="0" r="6350" b="0"/>
                  <wp:docPr id="35894" name="Picture 358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94" name="Picture 35894">
                            <a:extLst>
                              <a:ext uri="{C183D7F6-B498-43B3-948B-1728B52AA6E4}">
                                <adec:decorative xmlns:adec="http://schemas.microsoft.com/office/drawing/2017/decorative" val="1"/>
                              </a:ext>
                            </a:extLst>
                          </pic:cNvPr>
                          <pic:cNvPicPr/>
                        </pic:nvPicPr>
                        <pic:blipFill>
                          <a:blip r:embed="rId132"/>
                          <a:stretch>
                            <a:fillRect/>
                          </a:stretch>
                        </pic:blipFill>
                        <pic:spPr>
                          <a:xfrm>
                            <a:off x="0" y="0"/>
                            <a:ext cx="1530335" cy="312402"/>
                          </a:xfrm>
                          <a:prstGeom prst="rect">
                            <a:avLst/>
                          </a:prstGeom>
                        </pic:spPr>
                      </pic:pic>
                    </a:graphicData>
                  </a:graphic>
                </wp:inline>
              </w:drawing>
            </w:r>
          </w:p>
        </w:tc>
      </w:tr>
      <w:tr w:rsidR="00044A91" w:rsidRPr="00BF2E8D" w14:paraId="686E040F" w14:textId="491F1098" w:rsidTr="007B58D8">
        <w:trPr>
          <w:trHeight w:val="691"/>
          <w:jc w:val="center"/>
        </w:trPr>
        <w:tc>
          <w:tcPr>
            <w:tcW w:w="1912" w:type="dxa"/>
            <w:vMerge/>
          </w:tcPr>
          <w:p w14:paraId="42B020F7" w14:textId="77777777" w:rsidR="00044A91" w:rsidRPr="00A557D7" w:rsidRDefault="00044A91" w:rsidP="00351487">
            <w:pPr>
              <w:pStyle w:val="TableLandscapeTable"/>
              <w:spacing w:before="0" w:line="240" w:lineRule="auto"/>
              <w:rPr>
                <w:sz w:val="24"/>
                <w:szCs w:val="24"/>
              </w:rPr>
            </w:pPr>
          </w:p>
        </w:tc>
        <w:tc>
          <w:tcPr>
            <w:tcW w:w="2680" w:type="dxa"/>
            <w:tcBorders>
              <w:right w:val="nil"/>
            </w:tcBorders>
            <w:vAlign w:val="center"/>
          </w:tcPr>
          <w:p w14:paraId="79ED7F5D" w14:textId="7F0950E5" w:rsidR="00044A91" w:rsidRDefault="00044A91" w:rsidP="00CE0496">
            <w:pPr>
              <w:pStyle w:val="TableLandscapeTable"/>
              <w:spacing w:before="0"/>
              <w:rPr>
                <w:noProof/>
              </w:rPr>
            </w:pPr>
            <w:r>
              <w:rPr>
                <w:noProof/>
              </w:rPr>
              <w:drawing>
                <wp:inline distT="0" distB="0" distL="0" distR="0" wp14:anchorId="2371545C" wp14:editId="0414030C">
                  <wp:extent cx="878175" cy="462988"/>
                  <wp:effectExtent l="25400" t="0" r="10825" b="0"/>
                  <wp:docPr id="3586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68" name="Picture 20">
                            <a:extLst>
                              <a:ext uri="{C183D7F6-B498-43B3-948B-1728B52AA6E4}">
                                <adec:decorative xmlns:adec="http://schemas.microsoft.com/office/drawing/2017/decorative" val="1"/>
                              </a:ext>
                            </a:extLst>
                          </pic:cNvPr>
                          <pic:cNvPicPr/>
                        </pic:nvPicPr>
                        <pic:blipFill>
                          <a:blip r:embed="rId133" cstate="email">
                            <a:extLst>
                              <a:ext uri="{28A0092B-C50C-407E-A947-70E740481C1C}">
                                <a14:useLocalDpi xmlns:a14="http://schemas.microsoft.com/office/drawing/2010/main"/>
                              </a:ext>
                            </a:extLst>
                          </a:blip>
                          <a:srcRect l="13466"/>
                          <a:stretch>
                            <a:fillRect/>
                          </a:stretch>
                        </pic:blipFill>
                        <pic:spPr>
                          <a:xfrm>
                            <a:off x="0" y="0"/>
                            <a:ext cx="878175" cy="462988"/>
                          </a:xfrm>
                          <a:prstGeom prst="rect">
                            <a:avLst/>
                          </a:prstGeom>
                        </pic:spPr>
                      </pic:pic>
                    </a:graphicData>
                  </a:graphic>
                </wp:inline>
              </w:drawing>
            </w:r>
          </w:p>
        </w:tc>
        <w:tc>
          <w:tcPr>
            <w:tcW w:w="268" w:type="dxa"/>
            <w:tcBorders>
              <w:top w:val="nil"/>
              <w:left w:val="nil"/>
              <w:bottom w:val="nil"/>
              <w:right w:val="nil"/>
            </w:tcBorders>
            <w:shd w:val="clear" w:color="auto" w:fill="000000" w:themeFill="text1"/>
          </w:tcPr>
          <w:p w14:paraId="3BEF12C5" w14:textId="77777777" w:rsidR="00044A91" w:rsidRPr="004A0EA1" w:rsidRDefault="00044A91" w:rsidP="004A0EA1">
            <w:pPr>
              <w:pStyle w:val="TableLandscapeTable"/>
              <w:spacing w:before="0" w:line="240" w:lineRule="auto"/>
              <w:rPr>
                <w:b/>
                <w:bCs/>
                <w:sz w:val="24"/>
                <w:szCs w:val="24"/>
              </w:rPr>
            </w:pPr>
          </w:p>
        </w:tc>
        <w:tc>
          <w:tcPr>
            <w:tcW w:w="1914" w:type="dxa"/>
            <w:tcBorders>
              <w:left w:val="nil"/>
            </w:tcBorders>
          </w:tcPr>
          <w:p w14:paraId="0EFAE03C" w14:textId="09CFE409" w:rsidR="00CE0496" w:rsidRPr="00A557D7" w:rsidRDefault="00CE0496" w:rsidP="004A0EA1">
            <w:pPr>
              <w:pStyle w:val="TableLandscapeTable"/>
              <w:spacing w:before="0" w:line="240" w:lineRule="auto"/>
              <w:rPr>
                <w:b/>
                <w:bCs/>
                <w:sz w:val="24"/>
                <w:szCs w:val="24"/>
              </w:rPr>
            </w:pPr>
            <w:r w:rsidRPr="00A557D7">
              <w:rPr>
                <w:b/>
                <w:bCs/>
                <w:sz w:val="24"/>
                <w:szCs w:val="24"/>
              </w:rPr>
              <w:t>Class</w:t>
            </w:r>
            <w:r>
              <w:rPr>
                <w:b/>
                <w:bCs/>
                <w:sz w:val="24"/>
                <w:szCs w:val="24"/>
              </w:rPr>
              <w:t xml:space="preserve"> 11</w:t>
            </w:r>
          </w:p>
          <w:p w14:paraId="7BB4379D" w14:textId="31C1A1D8" w:rsidR="00044A91" w:rsidRPr="004A0EA1" w:rsidRDefault="00CE0496" w:rsidP="004A0EA1">
            <w:pPr>
              <w:pStyle w:val="TableLandscapeTable"/>
              <w:spacing w:before="0" w:line="240" w:lineRule="auto"/>
              <w:rPr>
                <w:b/>
                <w:bCs/>
                <w:sz w:val="24"/>
                <w:szCs w:val="24"/>
              </w:rPr>
            </w:pPr>
            <w:r w:rsidRPr="004A0EA1">
              <w:rPr>
                <w:sz w:val="24"/>
                <w:szCs w:val="24"/>
              </w:rPr>
              <w:t>Five or less axle, multi-trailer</w:t>
            </w:r>
          </w:p>
        </w:tc>
        <w:tc>
          <w:tcPr>
            <w:tcW w:w="2680" w:type="dxa"/>
            <w:vAlign w:val="center"/>
          </w:tcPr>
          <w:p w14:paraId="4BC66FA8" w14:textId="11D48156" w:rsidR="00044A91" w:rsidRPr="00BF2E8D" w:rsidRDefault="007B33EB" w:rsidP="007B33EB">
            <w:pPr>
              <w:widowControl/>
              <w:suppressAutoHyphens w:val="0"/>
              <w:autoSpaceDE/>
              <w:autoSpaceDN/>
              <w:adjustRightInd/>
              <w:spacing w:line="259" w:lineRule="auto"/>
              <w:ind w:left="0"/>
              <w:jc w:val="left"/>
              <w:textAlignment w:val="auto"/>
            </w:pPr>
            <w:r>
              <w:rPr>
                <w:noProof/>
              </w:rPr>
              <w:drawing>
                <wp:inline distT="0" distB="0" distL="0" distR="0" wp14:anchorId="207284F4" wp14:editId="60AEE524">
                  <wp:extent cx="1414131" cy="424125"/>
                  <wp:effectExtent l="0" t="0" r="0" b="0"/>
                  <wp:docPr id="35895" name="Picture 35895" descr="double trailer se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95" name="Picture 35895" descr="double trailer semi"/>
                          <pic:cNvPicPr/>
                        </pic:nvPicPr>
                        <pic:blipFill>
                          <a:blip r:embed="rId134"/>
                          <a:stretch>
                            <a:fillRect/>
                          </a:stretch>
                        </pic:blipFill>
                        <pic:spPr>
                          <a:xfrm>
                            <a:off x="0" y="0"/>
                            <a:ext cx="1435870" cy="430645"/>
                          </a:xfrm>
                          <a:prstGeom prst="rect">
                            <a:avLst/>
                          </a:prstGeom>
                        </pic:spPr>
                      </pic:pic>
                    </a:graphicData>
                  </a:graphic>
                </wp:inline>
              </w:drawing>
            </w:r>
          </w:p>
        </w:tc>
      </w:tr>
      <w:tr w:rsidR="00CE0496" w:rsidRPr="00BF2E8D" w14:paraId="02A59A8E" w14:textId="0787B03B" w:rsidTr="007B58D8">
        <w:trPr>
          <w:trHeight w:val="691"/>
          <w:jc w:val="center"/>
        </w:trPr>
        <w:tc>
          <w:tcPr>
            <w:tcW w:w="1912" w:type="dxa"/>
            <w:vMerge w:val="restart"/>
          </w:tcPr>
          <w:p w14:paraId="199EA929" w14:textId="7522F9F3" w:rsidR="00CE0496" w:rsidRPr="00A557D7" w:rsidRDefault="00CE0496" w:rsidP="00351487">
            <w:pPr>
              <w:pStyle w:val="TableLandscapeTable"/>
              <w:spacing w:before="0" w:line="240" w:lineRule="auto"/>
              <w:rPr>
                <w:b/>
                <w:bCs/>
                <w:sz w:val="24"/>
                <w:szCs w:val="24"/>
              </w:rPr>
            </w:pPr>
            <w:r w:rsidRPr="00A557D7">
              <w:rPr>
                <w:b/>
                <w:bCs/>
                <w:sz w:val="24"/>
                <w:szCs w:val="24"/>
              </w:rPr>
              <w:t xml:space="preserve">Class </w:t>
            </w:r>
            <w:r>
              <w:rPr>
                <w:b/>
                <w:bCs/>
                <w:sz w:val="24"/>
                <w:szCs w:val="24"/>
              </w:rPr>
              <w:t>5</w:t>
            </w:r>
          </w:p>
          <w:p w14:paraId="53B036E2" w14:textId="44066F6D" w:rsidR="00CE0496" w:rsidRPr="00A557D7" w:rsidRDefault="00CE0496" w:rsidP="00351487">
            <w:pPr>
              <w:pStyle w:val="TableLandscapeTable"/>
              <w:spacing w:before="0" w:line="240" w:lineRule="auto"/>
              <w:rPr>
                <w:sz w:val="24"/>
                <w:szCs w:val="24"/>
              </w:rPr>
            </w:pPr>
            <w:r>
              <w:rPr>
                <w:sz w:val="24"/>
                <w:szCs w:val="24"/>
              </w:rPr>
              <w:t>Two axle, six tire, single unit</w:t>
            </w:r>
          </w:p>
        </w:tc>
        <w:tc>
          <w:tcPr>
            <w:tcW w:w="2680" w:type="dxa"/>
            <w:tcBorders>
              <w:right w:val="nil"/>
            </w:tcBorders>
            <w:vAlign w:val="center"/>
          </w:tcPr>
          <w:p w14:paraId="2A365D4A" w14:textId="5EC28743" w:rsidR="00CE0496" w:rsidRPr="00BF2E8D" w:rsidRDefault="00CE0496" w:rsidP="00CE0496">
            <w:pPr>
              <w:pStyle w:val="TableLandscapeTable"/>
              <w:spacing w:before="0"/>
            </w:pPr>
            <w:r>
              <w:rPr>
                <w:noProof/>
              </w:rPr>
              <w:drawing>
                <wp:inline distT="0" distB="0" distL="0" distR="0" wp14:anchorId="67CC10E5" wp14:editId="0EC597D0">
                  <wp:extent cx="818707" cy="382108"/>
                  <wp:effectExtent l="0" t="0" r="635" b="0"/>
                  <wp:docPr id="35881" name="Picture 358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1" name="Picture 35881">
                            <a:extLst>
                              <a:ext uri="{C183D7F6-B498-43B3-948B-1728B52AA6E4}">
                                <adec:decorative xmlns:adec="http://schemas.microsoft.com/office/drawing/2017/decorative" val="1"/>
                              </a:ext>
                            </a:extLst>
                          </pic:cNvPr>
                          <pic:cNvPicPr/>
                        </pic:nvPicPr>
                        <pic:blipFill>
                          <a:blip r:embed="rId135"/>
                          <a:stretch>
                            <a:fillRect/>
                          </a:stretch>
                        </pic:blipFill>
                        <pic:spPr>
                          <a:xfrm>
                            <a:off x="0" y="0"/>
                            <a:ext cx="855543" cy="399300"/>
                          </a:xfrm>
                          <a:prstGeom prst="rect">
                            <a:avLst/>
                          </a:prstGeom>
                        </pic:spPr>
                      </pic:pic>
                    </a:graphicData>
                  </a:graphic>
                </wp:inline>
              </w:drawing>
            </w:r>
          </w:p>
        </w:tc>
        <w:tc>
          <w:tcPr>
            <w:tcW w:w="268" w:type="dxa"/>
            <w:tcBorders>
              <w:top w:val="nil"/>
              <w:left w:val="nil"/>
              <w:bottom w:val="nil"/>
              <w:right w:val="nil"/>
            </w:tcBorders>
            <w:shd w:val="clear" w:color="auto" w:fill="000000" w:themeFill="text1"/>
          </w:tcPr>
          <w:p w14:paraId="3E60E60F" w14:textId="77777777" w:rsidR="00CE0496" w:rsidRPr="00044A91" w:rsidRDefault="00CE0496" w:rsidP="00044A91">
            <w:pPr>
              <w:pStyle w:val="TableLandscapeTable"/>
              <w:spacing w:before="0"/>
              <w:rPr>
                <w:noProof/>
                <w:sz w:val="12"/>
                <w:szCs w:val="12"/>
              </w:rPr>
            </w:pPr>
          </w:p>
        </w:tc>
        <w:tc>
          <w:tcPr>
            <w:tcW w:w="1914" w:type="dxa"/>
            <w:vMerge w:val="restart"/>
            <w:tcBorders>
              <w:left w:val="nil"/>
            </w:tcBorders>
          </w:tcPr>
          <w:p w14:paraId="0D0C47BB" w14:textId="77938233" w:rsidR="00CE0496" w:rsidRPr="00A557D7" w:rsidRDefault="00CE0496" w:rsidP="00351487">
            <w:pPr>
              <w:pStyle w:val="TableLandscapeTable"/>
              <w:spacing w:before="0" w:line="240" w:lineRule="auto"/>
              <w:rPr>
                <w:b/>
                <w:bCs/>
                <w:sz w:val="24"/>
                <w:szCs w:val="24"/>
              </w:rPr>
            </w:pPr>
            <w:r w:rsidRPr="00A557D7">
              <w:rPr>
                <w:b/>
                <w:bCs/>
                <w:sz w:val="24"/>
                <w:szCs w:val="24"/>
              </w:rPr>
              <w:t>Class</w:t>
            </w:r>
            <w:r>
              <w:rPr>
                <w:b/>
                <w:bCs/>
                <w:sz w:val="24"/>
                <w:szCs w:val="24"/>
              </w:rPr>
              <w:t xml:space="preserve"> 12</w:t>
            </w:r>
          </w:p>
          <w:p w14:paraId="6B2722C1" w14:textId="353E01B4" w:rsidR="00CE0496" w:rsidRDefault="00CE0496" w:rsidP="00351487">
            <w:pPr>
              <w:pStyle w:val="TableLandscapeTable"/>
              <w:spacing w:before="0" w:line="240" w:lineRule="auto"/>
              <w:rPr>
                <w:noProof/>
              </w:rPr>
            </w:pPr>
            <w:r>
              <w:rPr>
                <w:sz w:val="24"/>
                <w:szCs w:val="24"/>
              </w:rPr>
              <w:t>Six axle, multi-trailer</w:t>
            </w:r>
          </w:p>
        </w:tc>
        <w:tc>
          <w:tcPr>
            <w:tcW w:w="2680" w:type="dxa"/>
            <w:vAlign w:val="center"/>
          </w:tcPr>
          <w:p w14:paraId="576D2665" w14:textId="3C6143FE" w:rsidR="00CE0496" w:rsidRDefault="007B33EB" w:rsidP="007B33EB">
            <w:pPr>
              <w:pStyle w:val="TableLandscapeTable"/>
              <w:spacing w:before="0"/>
              <w:rPr>
                <w:noProof/>
              </w:rPr>
            </w:pPr>
            <w:r>
              <w:rPr>
                <w:noProof/>
              </w:rPr>
              <w:drawing>
                <wp:inline distT="0" distB="0" distL="0" distR="0" wp14:anchorId="7A7A363F" wp14:editId="217CBFAF">
                  <wp:extent cx="1564640" cy="370205"/>
                  <wp:effectExtent l="0" t="0" r="0" b="0"/>
                  <wp:docPr id="35896" name="Picture 358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96" name="Picture 35896">
                            <a:extLst>
                              <a:ext uri="{C183D7F6-B498-43B3-948B-1728B52AA6E4}">
                                <adec:decorative xmlns:adec="http://schemas.microsoft.com/office/drawing/2017/decorative" val="1"/>
                              </a:ext>
                            </a:extLst>
                          </pic:cNvPr>
                          <pic:cNvPicPr/>
                        </pic:nvPicPr>
                        <pic:blipFill>
                          <a:blip r:embed="rId136"/>
                          <a:stretch>
                            <a:fillRect/>
                          </a:stretch>
                        </pic:blipFill>
                        <pic:spPr>
                          <a:xfrm>
                            <a:off x="0" y="0"/>
                            <a:ext cx="1564640" cy="370205"/>
                          </a:xfrm>
                          <a:prstGeom prst="rect">
                            <a:avLst/>
                          </a:prstGeom>
                        </pic:spPr>
                      </pic:pic>
                    </a:graphicData>
                  </a:graphic>
                </wp:inline>
              </w:drawing>
            </w:r>
          </w:p>
        </w:tc>
      </w:tr>
      <w:tr w:rsidR="00CE0496" w:rsidRPr="00BF2E8D" w14:paraId="3FFB26DE" w14:textId="0B204C82" w:rsidTr="007B58D8">
        <w:trPr>
          <w:trHeight w:val="691"/>
          <w:jc w:val="center"/>
        </w:trPr>
        <w:tc>
          <w:tcPr>
            <w:tcW w:w="1912" w:type="dxa"/>
            <w:vMerge/>
          </w:tcPr>
          <w:p w14:paraId="2626F5AE" w14:textId="77777777" w:rsidR="00CE0496" w:rsidRPr="00A557D7" w:rsidRDefault="00CE0496" w:rsidP="00351487">
            <w:pPr>
              <w:pStyle w:val="TableLandscapeTable"/>
              <w:spacing w:before="0" w:line="240" w:lineRule="auto"/>
              <w:rPr>
                <w:sz w:val="24"/>
                <w:szCs w:val="24"/>
              </w:rPr>
            </w:pPr>
          </w:p>
        </w:tc>
        <w:tc>
          <w:tcPr>
            <w:tcW w:w="2680" w:type="dxa"/>
            <w:tcBorders>
              <w:right w:val="nil"/>
            </w:tcBorders>
            <w:vAlign w:val="center"/>
          </w:tcPr>
          <w:p w14:paraId="3FABE19D" w14:textId="3E61E5DA" w:rsidR="00CE0496" w:rsidRPr="00BF2E8D" w:rsidRDefault="00CE0496" w:rsidP="00CE0496">
            <w:pPr>
              <w:pStyle w:val="TableLandscapeTable"/>
              <w:spacing w:before="0"/>
            </w:pPr>
            <w:r>
              <w:rPr>
                <w:noProof/>
              </w:rPr>
              <w:drawing>
                <wp:inline distT="0" distB="0" distL="0" distR="0" wp14:anchorId="4CBBBB81" wp14:editId="4D5DBFBB">
                  <wp:extent cx="924371" cy="404037"/>
                  <wp:effectExtent l="0" t="0" r="9525" b="0"/>
                  <wp:docPr id="35882" name="Picture 358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2" name="Picture 35882">
                            <a:extLst>
                              <a:ext uri="{C183D7F6-B498-43B3-948B-1728B52AA6E4}">
                                <adec:decorative xmlns:adec="http://schemas.microsoft.com/office/drawing/2017/decorative" val="1"/>
                              </a:ext>
                            </a:extLst>
                          </pic:cNvPr>
                          <pic:cNvPicPr/>
                        </pic:nvPicPr>
                        <pic:blipFill>
                          <a:blip r:embed="rId137"/>
                          <a:stretch>
                            <a:fillRect/>
                          </a:stretch>
                        </pic:blipFill>
                        <pic:spPr>
                          <a:xfrm>
                            <a:off x="0" y="0"/>
                            <a:ext cx="944502" cy="412836"/>
                          </a:xfrm>
                          <a:prstGeom prst="rect">
                            <a:avLst/>
                          </a:prstGeom>
                        </pic:spPr>
                      </pic:pic>
                    </a:graphicData>
                  </a:graphic>
                </wp:inline>
              </w:drawing>
            </w:r>
          </w:p>
        </w:tc>
        <w:tc>
          <w:tcPr>
            <w:tcW w:w="268" w:type="dxa"/>
            <w:tcBorders>
              <w:top w:val="nil"/>
              <w:left w:val="nil"/>
              <w:bottom w:val="nil"/>
              <w:right w:val="nil"/>
            </w:tcBorders>
            <w:shd w:val="clear" w:color="auto" w:fill="000000" w:themeFill="text1"/>
          </w:tcPr>
          <w:p w14:paraId="4CA8027C" w14:textId="77777777" w:rsidR="00CE0496" w:rsidRPr="00044A91" w:rsidRDefault="00CE0496" w:rsidP="00044A91">
            <w:pPr>
              <w:pStyle w:val="TableLandscapeTable"/>
              <w:spacing w:before="0"/>
              <w:rPr>
                <w:noProof/>
                <w:sz w:val="12"/>
                <w:szCs w:val="12"/>
              </w:rPr>
            </w:pPr>
          </w:p>
        </w:tc>
        <w:tc>
          <w:tcPr>
            <w:tcW w:w="1914" w:type="dxa"/>
            <w:vMerge/>
            <w:tcBorders>
              <w:left w:val="nil"/>
            </w:tcBorders>
          </w:tcPr>
          <w:p w14:paraId="31D039EC" w14:textId="2666B12E" w:rsidR="00CE0496" w:rsidRDefault="00CE0496" w:rsidP="00351487">
            <w:pPr>
              <w:pStyle w:val="TableLandscapeTable"/>
              <w:spacing w:before="0" w:line="240" w:lineRule="auto"/>
              <w:rPr>
                <w:noProof/>
              </w:rPr>
            </w:pPr>
          </w:p>
        </w:tc>
        <w:tc>
          <w:tcPr>
            <w:tcW w:w="2680" w:type="dxa"/>
            <w:vAlign w:val="center"/>
          </w:tcPr>
          <w:p w14:paraId="1C4AD6B2" w14:textId="0075D0C2" w:rsidR="00CE0496" w:rsidRDefault="007B33EB" w:rsidP="007B33EB">
            <w:pPr>
              <w:pStyle w:val="TableLandscapeTable"/>
              <w:spacing w:before="0"/>
              <w:rPr>
                <w:noProof/>
              </w:rPr>
            </w:pPr>
            <w:r>
              <w:rPr>
                <w:noProof/>
              </w:rPr>
              <w:drawing>
                <wp:inline distT="0" distB="0" distL="0" distR="0" wp14:anchorId="42D66025" wp14:editId="736915F8">
                  <wp:extent cx="1564640" cy="365760"/>
                  <wp:effectExtent l="0" t="0" r="0" b="0"/>
                  <wp:docPr id="35897" name="Picture 358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97" name="Picture 35897">
                            <a:extLst>
                              <a:ext uri="{C183D7F6-B498-43B3-948B-1728B52AA6E4}">
                                <adec:decorative xmlns:adec="http://schemas.microsoft.com/office/drawing/2017/decorative" val="1"/>
                              </a:ext>
                            </a:extLst>
                          </pic:cNvPr>
                          <pic:cNvPicPr/>
                        </pic:nvPicPr>
                        <pic:blipFill>
                          <a:blip r:embed="rId138"/>
                          <a:stretch>
                            <a:fillRect/>
                          </a:stretch>
                        </pic:blipFill>
                        <pic:spPr>
                          <a:xfrm>
                            <a:off x="0" y="0"/>
                            <a:ext cx="1564640" cy="365760"/>
                          </a:xfrm>
                          <a:prstGeom prst="rect">
                            <a:avLst/>
                          </a:prstGeom>
                        </pic:spPr>
                      </pic:pic>
                    </a:graphicData>
                  </a:graphic>
                </wp:inline>
              </w:drawing>
            </w:r>
          </w:p>
        </w:tc>
      </w:tr>
      <w:tr w:rsidR="00CE0496" w:rsidRPr="00BF2E8D" w14:paraId="49587735" w14:textId="77777777" w:rsidTr="007B58D8">
        <w:trPr>
          <w:trHeight w:val="691"/>
          <w:jc w:val="center"/>
        </w:trPr>
        <w:tc>
          <w:tcPr>
            <w:tcW w:w="1912" w:type="dxa"/>
            <w:vMerge/>
          </w:tcPr>
          <w:p w14:paraId="700E5062" w14:textId="77777777" w:rsidR="00CE0496" w:rsidRPr="00A557D7" w:rsidRDefault="00CE0496" w:rsidP="00351487">
            <w:pPr>
              <w:pStyle w:val="TableLandscapeTable"/>
              <w:spacing w:before="0" w:line="240" w:lineRule="auto"/>
              <w:rPr>
                <w:sz w:val="24"/>
                <w:szCs w:val="24"/>
              </w:rPr>
            </w:pPr>
          </w:p>
        </w:tc>
        <w:tc>
          <w:tcPr>
            <w:tcW w:w="2680" w:type="dxa"/>
            <w:tcBorders>
              <w:right w:val="nil"/>
            </w:tcBorders>
            <w:vAlign w:val="center"/>
          </w:tcPr>
          <w:p w14:paraId="702EA1C1" w14:textId="32A5DB9B" w:rsidR="00CE0496" w:rsidRDefault="007B33EB" w:rsidP="00CE0496">
            <w:pPr>
              <w:pStyle w:val="TableLandscapeTable"/>
              <w:spacing w:before="0"/>
              <w:rPr>
                <w:noProof/>
              </w:rPr>
            </w:pPr>
            <w:r>
              <w:rPr>
                <w:noProof/>
              </w:rPr>
              <w:drawing>
                <wp:inline distT="0" distB="0" distL="0" distR="0" wp14:anchorId="1FE685C7" wp14:editId="2091597A">
                  <wp:extent cx="671758" cy="393404"/>
                  <wp:effectExtent l="0" t="0" r="0" b="6985"/>
                  <wp:docPr id="35883" name="Picture 358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3" name="Picture 35883">
                            <a:extLst>
                              <a:ext uri="{C183D7F6-B498-43B3-948B-1728B52AA6E4}">
                                <adec:decorative xmlns:adec="http://schemas.microsoft.com/office/drawing/2017/decorative" val="1"/>
                              </a:ext>
                            </a:extLst>
                          </pic:cNvPr>
                          <pic:cNvPicPr/>
                        </pic:nvPicPr>
                        <pic:blipFill>
                          <a:blip r:embed="rId139"/>
                          <a:stretch>
                            <a:fillRect/>
                          </a:stretch>
                        </pic:blipFill>
                        <pic:spPr>
                          <a:xfrm>
                            <a:off x="0" y="0"/>
                            <a:ext cx="701750" cy="410968"/>
                          </a:xfrm>
                          <a:prstGeom prst="rect">
                            <a:avLst/>
                          </a:prstGeom>
                        </pic:spPr>
                      </pic:pic>
                    </a:graphicData>
                  </a:graphic>
                </wp:inline>
              </w:drawing>
            </w:r>
          </w:p>
        </w:tc>
        <w:tc>
          <w:tcPr>
            <w:tcW w:w="268" w:type="dxa"/>
            <w:tcBorders>
              <w:top w:val="nil"/>
              <w:left w:val="nil"/>
              <w:bottom w:val="nil"/>
              <w:right w:val="nil"/>
            </w:tcBorders>
            <w:shd w:val="clear" w:color="auto" w:fill="000000" w:themeFill="text1"/>
          </w:tcPr>
          <w:p w14:paraId="48006784" w14:textId="77777777" w:rsidR="00CE0496" w:rsidRPr="00044A91" w:rsidRDefault="00CE0496" w:rsidP="00044A91">
            <w:pPr>
              <w:pStyle w:val="TableLandscapeTable"/>
              <w:spacing w:before="0"/>
              <w:rPr>
                <w:noProof/>
                <w:sz w:val="12"/>
                <w:szCs w:val="12"/>
              </w:rPr>
            </w:pPr>
          </w:p>
        </w:tc>
        <w:tc>
          <w:tcPr>
            <w:tcW w:w="1914" w:type="dxa"/>
            <w:vMerge w:val="restart"/>
            <w:tcBorders>
              <w:left w:val="nil"/>
            </w:tcBorders>
          </w:tcPr>
          <w:p w14:paraId="6C20A73E" w14:textId="30C2FB45" w:rsidR="00CE0496" w:rsidRPr="00A557D7" w:rsidRDefault="00CE0496" w:rsidP="00351487">
            <w:pPr>
              <w:pStyle w:val="TableLandscapeTable"/>
              <w:spacing w:before="0" w:line="240" w:lineRule="auto"/>
              <w:rPr>
                <w:b/>
                <w:bCs/>
                <w:sz w:val="24"/>
                <w:szCs w:val="24"/>
              </w:rPr>
            </w:pPr>
            <w:r w:rsidRPr="00A557D7">
              <w:rPr>
                <w:b/>
                <w:bCs/>
                <w:sz w:val="24"/>
                <w:szCs w:val="24"/>
              </w:rPr>
              <w:t>Class</w:t>
            </w:r>
            <w:r>
              <w:rPr>
                <w:b/>
                <w:bCs/>
                <w:sz w:val="24"/>
                <w:szCs w:val="24"/>
              </w:rPr>
              <w:t xml:space="preserve"> 13</w:t>
            </w:r>
          </w:p>
          <w:p w14:paraId="52901D47" w14:textId="277FAD87" w:rsidR="00CE0496" w:rsidRDefault="00CE0496" w:rsidP="00351487">
            <w:pPr>
              <w:pStyle w:val="TableLandscapeTable"/>
              <w:spacing w:before="0" w:line="240" w:lineRule="auto"/>
              <w:rPr>
                <w:noProof/>
              </w:rPr>
            </w:pPr>
            <w:r>
              <w:rPr>
                <w:sz w:val="24"/>
                <w:szCs w:val="24"/>
              </w:rPr>
              <w:t>Seven or more axle, multi-trailer</w:t>
            </w:r>
          </w:p>
        </w:tc>
        <w:tc>
          <w:tcPr>
            <w:tcW w:w="2680" w:type="dxa"/>
            <w:vAlign w:val="center"/>
          </w:tcPr>
          <w:p w14:paraId="7DBFFCF6" w14:textId="2909BBF4" w:rsidR="00CE0496" w:rsidRDefault="007B33EB" w:rsidP="007B33EB">
            <w:pPr>
              <w:pStyle w:val="TableLandscapeTable"/>
              <w:spacing w:before="0"/>
              <w:rPr>
                <w:noProof/>
              </w:rPr>
            </w:pPr>
            <w:r>
              <w:rPr>
                <w:noProof/>
              </w:rPr>
              <w:drawing>
                <wp:inline distT="0" distB="0" distL="0" distR="0" wp14:anchorId="757C3F40" wp14:editId="3E879B99">
                  <wp:extent cx="1564640" cy="377825"/>
                  <wp:effectExtent l="0" t="0" r="0" b="3175"/>
                  <wp:docPr id="35898" name="Picture 358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98" name="Picture 35898">
                            <a:extLst>
                              <a:ext uri="{C183D7F6-B498-43B3-948B-1728B52AA6E4}">
                                <adec:decorative xmlns:adec="http://schemas.microsoft.com/office/drawing/2017/decorative" val="1"/>
                              </a:ext>
                            </a:extLst>
                          </pic:cNvPr>
                          <pic:cNvPicPr/>
                        </pic:nvPicPr>
                        <pic:blipFill>
                          <a:blip r:embed="rId140"/>
                          <a:stretch>
                            <a:fillRect/>
                          </a:stretch>
                        </pic:blipFill>
                        <pic:spPr>
                          <a:xfrm>
                            <a:off x="0" y="0"/>
                            <a:ext cx="1564640" cy="377825"/>
                          </a:xfrm>
                          <a:prstGeom prst="rect">
                            <a:avLst/>
                          </a:prstGeom>
                        </pic:spPr>
                      </pic:pic>
                    </a:graphicData>
                  </a:graphic>
                </wp:inline>
              </w:drawing>
            </w:r>
          </w:p>
        </w:tc>
      </w:tr>
      <w:tr w:rsidR="00CE0496" w:rsidRPr="00BF2E8D" w14:paraId="25429657" w14:textId="77777777" w:rsidTr="007B58D8">
        <w:trPr>
          <w:trHeight w:val="691"/>
          <w:jc w:val="center"/>
        </w:trPr>
        <w:tc>
          <w:tcPr>
            <w:tcW w:w="1912" w:type="dxa"/>
            <w:vMerge w:val="restart"/>
          </w:tcPr>
          <w:p w14:paraId="678E2B16" w14:textId="58AD5B77" w:rsidR="00CE0496" w:rsidRPr="00A557D7" w:rsidRDefault="00CE0496" w:rsidP="00351487">
            <w:pPr>
              <w:pStyle w:val="TableLandscapeTable"/>
              <w:spacing w:before="0" w:line="240" w:lineRule="auto"/>
              <w:rPr>
                <w:b/>
                <w:bCs/>
                <w:sz w:val="24"/>
                <w:szCs w:val="24"/>
              </w:rPr>
            </w:pPr>
            <w:r w:rsidRPr="00A557D7">
              <w:rPr>
                <w:b/>
                <w:bCs/>
                <w:sz w:val="24"/>
                <w:szCs w:val="24"/>
              </w:rPr>
              <w:t>Class</w:t>
            </w:r>
            <w:r>
              <w:rPr>
                <w:b/>
                <w:bCs/>
                <w:sz w:val="24"/>
                <w:szCs w:val="24"/>
              </w:rPr>
              <w:t xml:space="preserve"> 6</w:t>
            </w:r>
          </w:p>
          <w:p w14:paraId="61E2003F" w14:textId="5AB36E5D" w:rsidR="00CE0496" w:rsidRPr="00A557D7" w:rsidRDefault="00CE0496" w:rsidP="00351487">
            <w:pPr>
              <w:pStyle w:val="TableLandscapeTable"/>
              <w:spacing w:before="0" w:line="240" w:lineRule="auto"/>
              <w:rPr>
                <w:sz w:val="24"/>
                <w:szCs w:val="24"/>
              </w:rPr>
            </w:pPr>
            <w:r>
              <w:rPr>
                <w:sz w:val="24"/>
                <w:szCs w:val="24"/>
              </w:rPr>
              <w:t>Three axle, single unit</w:t>
            </w:r>
          </w:p>
        </w:tc>
        <w:tc>
          <w:tcPr>
            <w:tcW w:w="2680" w:type="dxa"/>
            <w:tcBorders>
              <w:right w:val="nil"/>
            </w:tcBorders>
            <w:vAlign w:val="center"/>
          </w:tcPr>
          <w:p w14:paraId="3630627B" w14:textId="37597EDE" w:rsidR="00CE0496" w:rsidRDefault="007B33EB" w:rsidP="00CE0496">
            <w:pPr>
              <w:pStyle w:val="TableLandscapeTable"/>
              <w:spacing w:before="0"/>
              <w:rPr>
                <w:noProof/>
              </w:rPr>
            </w:pPr>
            <w:r>
              <w:rPr>
                <w:noProof/>
              </w:rPr>
              <w:drawing>
                <wp:inline distT="0" distB="0" distL="0" distR="0" wp14:anchorId="7F64CB88" wp14:editId="0322706B">
                  <wp:extent cx="669925" cy="445076"/>
                  <wp:effectExtent l="0" t="0" r="0" b="0"/>
                  <wp:docPr id="35884" name="Picture 358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4" name="Picture 35884">
                            <a:extLst>
                              <a:ext uri="{C183D7F6-B498-43B3-948B-1728B52AA6E4}">
                                <adec:decorative xmlns:adec="http://schemas.microsoft.com/office/drawing/2017/decorative" val="1"/>
                              </a:ext>
                            </a:extLst>
                          </pic:cNvPr>
                          <pic:cNvPicPr/>
                        </pic:nvPicPr>
                        <pic:blipFill>
                          <a:blip r:embed="rId141"/>
                          <a:stretch>
                            <a:fillRect/>
                          </a:stretch>
                        </pic:blipFill>
                        <pic:spPr>
                          <a:xfrm>
                            <a:off x="0" y="0"/>
                            <a:ext cx="712770" cy="473541"/>
                          </a:xfrm>
                          <a:prstGeom prst="rect">
                            <a:avLst/>
                          </a:prstGeom>
                        </pic:spPr>
                      </pic:pic>
                    </a:graphicData>
                  </a:graphic>
                </wp:inline>
              </w:drawing>
            </w:r>
          </w:p>
        </w:tc>
        <w:tc>
          <w:tcPr>
            <w:tcW w:w="268" w:type="dxa"/>
            <w:tcBorders>
              <w:top w:val="nil"/>
              <w:left w:val="nil"/>
              <w:bottom w:val="nil"/>
              <w:right w:val="nil"/>
            </w:tcBorders>
            <w:shd w:val="clear" w:color="auto" w:fill="000000" w:themeFill="text1"/>
          </w:tcPr>
          <w:p w14:paraId="793ECA3E" w14:textId="77777777" w:rsidR="00CE0496" w:rsidRPr="00044A91" w:rsidRDefault="00CE0496" w:rsidP="00044A91">
            <w:pPr>
              <w:pStyle w:val="TableLandscapeTable"/>
              <w:spacing w:before="0"/>
              <w:rPr>
                <w:noProof/>
                <w:sz w:val="12"/>
                <w:szCs w:val="12"/>
              </w:rPr>
            </w:pPr>
          </w:p>
        </w:tc>
        <w:tc>
          <w:tcPr>
            <w:tcW w:w="1914" w:type="dxa"/>
            <w:vMerge/>
            <w:tcBorders>
              <w:left w:val="nil"/>
            </w:tcBorders>
          </w:tcPr>
          <w:p w14:paraId="78E1AA40" w14:textId="77777777" w:rsidR="00CE0496" w:rsidRDefault="00CE0496" w:rsidP="00A557D7">
            <w:pPr>
              <w:pStyle w:val="TableLandscapeTable"/>
              <w:rPr>
                <w:noProof/>
              </w:rPr>
            </w:pPr>
          </w:p>
        </w:tc>
        <w:tc>
          <w:tcPr>
            <w:tcW w:w="2680" w:type="dxa"/>
            <w:vAlign w:val="center"/>
          </w:tcPr>
          <w:p w14:paraId="044D51AA" w14:textId="1839C1B4" w:rsidR="00CE0496" w:rsidRDefault="007B33EB" w:rsidP="007B33EB">
            <w:pPr>
              <w:pStyle w:val="TableLandscapeTable"/>
              <w:spacing w:before="0"/>
              <w:rPr>
                <w:noProof/>
              </w:rPr>
            </w:pPr>
            <w:r>
              <w:rPr>
                <w:noProof/>
              </w:rPr>
              <w:drawing>
                <wp:inline distT="0" distB="0" distL="0" distR="0" wp14:anchorId="7AC8C358" wp14:editId="4521D8D1">
                  <wp:extent cx="1564640" cy="379095"/>
                  <wp:effectExtent l="0" t="0" r="0" b="1905"/>
                  <wp:docPr id="35899" name="Picture 358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99" name="Picture 35899">
                            <a:extLst>
                              <a:ext uri="{C183D7F6-B498-43B3-948B-1728B52AA6E4}">
                                <adec:decorative xmlns:adec="http://schemas.microsoft.com/office/drawing/2017/decorative" val="1"/>
                              </a:ext>
                            </a:extLst>
                          </pic:cNvPr>
                          <pic:cNvPicPr/>
                        </pic:nvPicPr>
                        <pic:blipFill>
                          <a:blip r:embed="rId142"/>
                          <a:stretch>
                            <a:fillRect/>
                          </a:stretch>
                        </pic:blipFill>
                        <pic:spPr>
                          <a:xfrm>
                            <a:off x="0" y="0"/>
                            <a:ext cx="1564640" cy="379095"/>
                          </a:xfrm>
                          <a:prstGeom prst="rect">
                            <a:avLst/>
                          </a:prstGeom>
                        </pic:spPr>
                      </pic:pic>
                    </a:graphicData>
                  </a:graphic>
                </wp:inline>
              </w:drawing>
            </w:r>
          </w:p>
        </w:tc>
      </w:tr>
      <w:tr w:rsidR="00CE0496" w:rsidRPr="00BF2E8D" w14:paraId="60E99749" w14:textId="77777777" w:rsidTr="007B58D8">
        <w:trPr>
          <w:trHeight w:val="691"/>
          <w:jc w:val="center"/>
        </w:trPr>
        <w:tc>
          <w:tcPr>
            <w:tcW w:w="1912" w:type="dxa"/>
            <w:vMerge/>
            <w:vAlign w:val="center"/>
          </w:tcPr>
          <w:p w14:paraId="5D99D012" w14:textId="77777777" w:rsidR="00CE0496" w:rsidRPr="00A557D7" w:rsidRDefault="00CE0496" w:rsidP="00A557D7">
            <w:pPr>
              <w:pStyle w:val="TableLandscapeTable"/>
              <w:spacing w:before="0"/>
              <w:rPr>
                <w:sz w:val="24"/>
                <w:szCs w:val="24"/>
              </w:rPr>
            </w:pPr>
          </w:p>
        </w:tc>
        <w:tc>
          <w:tcPr>
            <w:tcW w:w="2680" w:type="dxa"/>
            <w:tcBorders>
              <w:right w:val="nil"/>
            </w:tcBorders>
            <w:vAlign w:val="center"/>
          </w:tcPr>
          <w:p w14:paraId="70D03853" w14:textId="545E01A3" w:rsidR="00CE0496" w:rsidRDefault="007B33EB" w:rsidP="00CE0496">
            <w:pPr>
              <w:pStyle w:val="TableLandscapeTable"/>
              <w:spacing w:before="0"/>
              <w:rPr>
                <w:noProof/>
              </w:rPr>
            </w:pPr>
            <w:r>
              <w:rPr>
                <w:noProof/>
              </w:rPr>
              <w:drawing>
                <wp:inline distT="0" distB="0" distL="0" distR="0" wp14:anchorId="35719D63" wp14:editId="5B3F7D34">
                  <wp:extent cx="776177" cy="407619"/>
                  <wp:effectExtent l="0" t="0" r="5080" b="0"/>
                  <wp:docPr id="35885" name="Picture 358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5" name="Picture 35885">
                            <a:extLst>
                              <a:ext uri="{C183D7F6-B498-43B3-948B-1728B52AA6E4}">
                                <adec:decorative xmlns:adec="http://schemas.microsoft.com/office/drawing/2017/decorative" val="1"/>
                              </a:ext>
                            </a:extLst>
                          </pic:cNvPr>
                          <pic:cNvPicPr/>
                        </pic:nvPicPr>
                        <pic:blipFill>
                          <a:blip r:embed="rId143"/>
                          <a:stretch>
                            <a:fillRect/>
                          </a:stretch>
                        </pic:blipFill>
                        <pic:spPr>
                          <a:xfrm>
                            <a:off x="0" y="0"/>
                            <a:ext cx="814963" cy="427988"/>
                          </a:xfrm>
                          <a:prstGeom prst="rect">
                            <a:avLst/>
                          </a:prstGeom>
                        </pic:spPr>
                      </pic:pic>
                    </a:graphicData>
                  </a:graphic>
                </wp:inline>
              </w:drawing>
            </w:r>
          </w:p>
        </w:tc>
        <w:tc>
          <w:tcPr>
            <w:tcW w:w="268" w:type="dxa"/>
            <w:tcBorders>
              <w:top w:val="nil"/>
              <w:left w:val="nil"/>
              <w:bottom w:val="nil"/>
              <w:right w:val="nil"/>
            </w:tcBorders>
            <w:shd w:val="clear" w:color="auto" w:fill="000000" w:themeFill="text1"/>
          </w:tcPr>
          <w:p w14:paraId="7F0DB6AB" w14:textId="77777777" w:rsidR="00CE0496" w:rsidRPr="00044A91" w:rsidRDefault="00CE0496" w:rsidP="00044A91">
            <w:pPr>
              <w:pStyle w:val="TableLandscapeTable"/>
              <w:spacing w:before="0"/>
              <w:rPr>
                <w:noProof/>
                <w:sz w:val="12"/>
                <w:szCs w:val="12"/>
              </w:rPr>
            </w:pPr>
          </w:p>
        </w:tc>
        <w:tc>
          <w:tcPr>
            <w:tcW w:w="1914" w:type="dxa"/>
            <w:vMerge/>
            <w:tcBorders>
              <w:left w:val="nil"/>
            </w:tcBorders>
          </w:tcPr>
          <w:p w14:paraId="4C25BB53" w14:textId="77777777" w:rsidR="00CE0496" w:rsidRDefault="00CE0496" w:rsidP="00A557D7">
            <w:pPr>
              <w:pStyle w:val="TableLandscapeTable"/>
              <w:rPr>
                <w:noProof/>
              </w:rPr>
            </w:pPr>
          </w:p>
        </w:tc>
        <w:tc>
          <w:tcPr>
            <w:tcW w:w="2680" w:type="dxa"/>
            <w:vAlign w:val="center"/>
          </w:tcPr>
          <w:p w14:paraId="5E904D12" w14:textId="56923845" w:rsidR="00CE0496" w:rsidRDefault="007B33EB" w:rsidP="007B33EB">
            <w:pPr>
              <w:pStyle w:val="TableLandscapeTable"/>
              <w:spacing w:before="0"/>
              <w:rPr>
                <w:noProof/>
              </w:rPr>
            </w:pPr>
            <w:r>
              <w:rPr>
                <w:noProof/>
              </w:rPr>
              <w:drawing>
                <wp:inline distT="0" distB="0" distL="0" distR="0" wp14:anchorId="4285A30E" wp14:editId="0DEFD743">
                  <wp:extent cx="1564640" cy="332105"/>
                  <wp:effectExtent l="0" t="0" r="0" b="0"/>
                  <wp:docPr id="35900" name="Picture 359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00" name="Picture 35900">
                            <a:extLst>
                              <a:ext uri="{C183D7F6-B498-43B3-948B-1728B52AA6E4}">
                                <adec:decorative xmlns:adec="http://schemas.microsoft.com/office/drawing/2017/decorative" val="1"/>
                              </a:ext>
                            </a:extLst>
                          </pic:cNvPr>
                          <pic:cNvPicPr/>
                        </pic:nvPicPr>
                        <pic:blipFill>
                          <a:blip r:embed="rId144"/>
                          <a:stretch>
                            <a:fillRect/>
                          </a:stretch>
                        </pic:blipFill>
                        <pic:spPr>
                          <a:xfrm>
                            <a:off x="0" y="0"/>
                            <a:ext cx="1564640" cy="332105"/>
                          </a:xfrm>
                          <a:prstGeom prst="rect">
                            <a:avLst/>
                          </a:prstGeom>
                        </pic:spPr>
                      </pic:pic>
                    </a:graphicData>
                  </a:graphic>
                </wp:inline>
              </w:drawing>
            </w:r>
          </w:p>
        </w:tc>
      </w:tr>
      <w:tr w:rsidR="00CE0496" w:rsidRPr="00BF2E8D" w14:paraId="5EC443A2" w14:textId="77777777" w:rsidTr="007B58D8">
        <w:trPr>
          <w:trHeight w:val="691"/>
          <w:jc w:val="center"/>
        </w:trPr>
        <w:tc>
          <w:tcPr>
            <w:tcW w:w="1912" w:type="dxa"/>
            <w:vMerge/>
            <w:vAlign w:val="center"/>
          </w:tcPr>
          <w:p w14:paraId="7C5DACFF" w14:textId="77777777" w:rsidR="00CE0496" w:rsidRPr="00A557D7" w:rsidRDefault="00CE0496" w:rsidP="00A557D7">
            <w:pPr>
              <w:pStyle w:val="TableLandscapeTable"/>
              <w:spacing w:before="0"/>
              <w:rPr>
                <w:sz w:val="24"/>
                <w:szCs w:val="24"/>
              </w:rPr>
            </w:pPr>
          </w:p>
        </w:tc>
        <w:tc>
          <w:tcPr>
            <w:tcW w:w="2680" w:type="dxa"/>
            <w:tcBorders>
              <w:right w:val="nil"/>
            </w:tcBorders>
            <w:vAlign w:val="center"/>
          </w:tcPr>
          <w:p w14:paraId="30C2BEE7" w14:textId="4C59C9FB" w:rsidR="00CE0496" w:rsidRDefault="007B33EB" w:rsidP="00CE0496">
            <w:pPr>
              <w:pStyle w:val="TableLandscapeTable"/>
              <w:spacing w:before="0"/>
              <w:rPr>
                <w:noProof/>
              </w:rPr>
            </w:pPr>
            <w:r>
              <w:rPr>
                <w:noProof/>
              </w:rPr>
              <w:drawing>
                <wp:inline distT="0" distB="0" distL="0" distR="0" wp14:anchorId="2BA68158" wp14:editId="2DB326E9">
                  <wp:extent cx="669925" cy="390156"/>
                  <wp:effectExtent l="0" t="0" r="0" b="0"/>
                  <wp:docPr id="35886" name="Picture 358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6" name="Picture 35886">
                            <a:extLst>
                              <a:ext uri="{C183D7F6-B498-43B3-948B-1728B52AA6E4}">
                                <adec:decorative xmlns:adec="http://schemas.microsoft.com/office/drawing/2017/decorative" val="1"/>
                              </a:ext>
                            </a:extLst>
                          </pic:cNvPr>
                          <pic:cNvPicPr/>
                        </pic:nvPicPr>
                        <pic:blipFill>
                          <a:blip r:embed="rId145"/>
                          <a:stretch>
                            <a:fillRect/>
                          </a:stretch>
                        </pic:blipFill>
                        <pic:spPr>
                          <a:xfrm>
                            <a:off x="0" y="0"/>
                            <a:ext cx="713902" cy="415767"/>
                          </a:xfrm>
                          <a:prstGeom prst="rect">
                            <a:avLst/>
                          </a:prstGeom>
                        </pic:spPr>
                      </pic:pic>
                    </a:graphicData>
                  </a:graphic>
                </wp:inline>
              </w:drawing>
            </w:r>
          </w:p>
        </w:tc>
        <w:tc>
          <w:tcPr>
            <w:tcW w:w="268" w:type="dxa"/>
            <w:tcBorders>
              <w:top w:val="nil"/>
              <w:left w:val="nil"/>
              <w:bottom w:val="nil"/>
              <w:right w:val="nil"/>
            </w:tcBorders>
            <w:shd w:val="clear" w:color="auto" w:fill="000000" w:themeFill="text1"/>
          </w:tcPr>
          <w:p w14:paraId="3A227EF5" w14:textId="77777777" w:rsidR="00CE0496" w:rsidRPr="00044A91" w:rsidRDefault="00CE0496" w:rsidP="00044A91">
            <w:pPr>
              <w:pStyle w:val="TableLandscapeTable"/>
              <w:spacing w:before="0"/>
              <w:rPr>
                <w:noProof/>
                <w:sz w:val="12"/>
                <w:szCs w:val="12"/>
              </w:rPr>
            </w:pPr>
          </w:p>
        </w:tc>
        <w:tc>
          <w:tcPr>
            <w:tcW w:w="1914" w:type="dxa"/>
            <w:vMerge/>
            <w:tcBorders>
              <w:left w:val="nil"/>
            </w:tcBorders>
          </w:tcPr>
          <w:p w14:paraId="586D4B14" w14:textId="77777777" w:rsidR="00CE0496" w:rsidRDefault="00CE0496" w:rsidP="00A557D7">
            <w:pPr>
              <w:pStyle w:val="TableLandscapeTable"/>
              <w:rPr>
                <w:noProof/>
              </w:rPr>
            </w:pPr>
          </w:p>
        </w:tc>
        <w:tc>
          <w:tcPr>
            <w:tcW w:w="2680" w:type="dxa"/>
            <w:vAlign w:val="center"/>
          </w:tcPr>
          <w:p w14:paraId="73E62271" w14:textId="69F70A5D" w:rsidR="00CE0496" w:rsidRDefault="007B33EB" w:rsidP="007B33EB">
            <w:pPr>
              <w:pStyle w:val="TableLandscapeTable"/>
              <w:spacing w:before="0"/>
              <w:rPr>
                <w:noProof/>
              </w:rPr>
            </w:pPr>
            <w:r>
              <w:rPr>
                <w:noProof/>
              </w:rPr>
              <w:drawing>
                <wp:inline distT="0" distB="0" distL="0" distR="0" wp14:anchorId="45557CDC" wp14:editId="4CE87C28">
                  <wp:extent cx="1564640" cy="295910"/>
                  <wp:effectExtent l="0" t="0" r="0" b="8890"/>
                  <wp:docPr id="35901" name="Picture 359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01" name="Picture 35901">
                            <a:extLst>
                              <a:ext uri="{C183D7F6-B498-43B3-948B-1728B52AA6E4}">
                                <adec:decorative xmlns:adec="http://schemas.microsoft.com/office/drawing/2017/decorative" val="1"/>
                              </a:ext>
                            </a:extLst>
                          </pic:cNvPr>
                          <pic:cNvPicPr/>
                        </pic:nvPicPr>
                        <pic:blipFill>
                          <a:blip r:embed="rId146"/>
                          <a:stretch>
                            <a:fillRect/>
                          </a:stretch>
                        </pic:blipFill>
                        <pic:spPr>
                          <a:xfrm>
                            <a:off x="0" y="0"/>
                            <a:ext cx="1564640" cy="295910"/>
                          </a:xfrm>
                          <a:prstGeom prst="rect">
                            <a:avLst/>
                          </a:prstGeom>
                        </pic:spPr>
                      </pic:pic>
                    </a:graphicData>
                  </a:graphic>
                </wp:inline>
              </w:drawing>
            </w:r>
          </w:p>
        </w:tc>
      </w:tr>
    </w:tbl>
    <w:p w14:paraId="2B06FACD" w14:textId="2FAD4777" w:rsidR="003F7B9F" w:rsidRPr="007B58D8" w:rsidRDefault="003F7B9F" w:rsidP="007B58D8">
      <w:pPr>
        <w:pStyle w:val="Source"/>
      </w:pPr>
      <w:r w:rsidRPr="007B58D8">
        <w:t>Source:</w:t>
      </w:r>
      <w:r w:rsidR="0061163F">
        <w:t xml:space="preserve"> </w:t>
      </w:r>
      <w:r w:rsidR="007B58D8">
        <w:t xml:space="preserve"> </w:t>
      </w:r>
      <w:r w:rsidRPr="007B58D8">
        <w:t>Federal Highway Administration.</w:t>
      </w:r>
    </w:p>
    <w:p w14:paraId="397A0EE2" w14:textId="61555CB2" w:rsidR="007B58D8" w:rsidRPr="007B58D8" w:rsidRDefault="007B58D8" w:rsidP="007B58D8">
      <w:pPr>
        <w:pStyle w:val="TMGFigureCaption"/>
      </w:pPr>
      <w:bookmarkStart w:id="2056" w:name="_Ref114752355"/>
      <w:bookmarkStart w:id="2057" w:name="_Toc114474802"/>
      <w:bookmarkStart w:id="2058" w:name="_Toc120626575"/>
      <w:r w:rsidRPr="007B58D8">
        <w:t xml:space="preserve">Figure </w:t>
      </w:r>
      <w:fldSimple w:instr=" STYLEREF 1 \s ">
        <w:r w:rsidR="00C07DF9">
          <w:rPr>
            <w:noProof/>
          </w:rPr>
          <w:t>3</w:t>
        </w:r>
      </w:fldSimple>
      <w:r w:rsidRPr="007B58D8">
        <w:noBreakHyphen/>
      </w:r>
      <w:fldSimple w:instr=" SEQ Figure \* ARABIC \s 1 ">
        <w:r w:rsidR="00C07DF9">
          <w:rPr>
            <w:noProof/>
          </w:rPr>
          <w:t>5</w:t>
        </w:r>
      </w:fldSimple>
      <w:bookmarkEnd w:id="2056"/>
      <w:r w:rsidR="00D209D5">
        <w:t>.</w:t>
      </w:r>
      <w:r w:rsidRPr="007B58D8">
        <w:t xml:space="preserve"> FHWA’S 13 Vehicle Category Classification</w:t>
      </w:r>
      <w:bookmarkEnd w:id="2057"/>
      <w:bookmarkEnd w:id="2058"/>
    </w:p>
    <w:p w14:paraId="37F99D03" w14:textId="2B19AE33" w:rsidR="003F7B9F" w:rsidRPr="00771210" w:rsidRDefault="003F7B9F" w:rsidP="00A35EAF">
      <w:pPr>
        <w:pStyle w:val="BodyText"/>
      </w:pPr>
      <w:r w:rsidRPr="00771210">
        <w:lastRenderedPageBreak/>
        <w:t xml:space="preserve">The primary disadvantage of the length-based classification is that </w:t>
      </w:r>
      <w:r w:rsidR="002C6128">
        <w:t>it</w:t>
      </w:r>
      <w:r w:rsidR="002C6128" w:rsidRPr="00771210">
        <w:t xml:space="preserve"> </w:t>
      </w:r>
      <w:r w:rsidRPr="00771210">
        <w:t>do</w:t>
      </w:r>
      <w:r w:rsidR="002C6128">
        <w:t>es</w:t>
      </w:r>
      <w:r w:rsidRPr="00771210">
        <w:t xml:space="preserve"> not correlate as well as the FHWA 13 vehicle category classification system to several of the key vehicle attributes used in specific types of analyses. For example, a major input to pavement design is traffic load, and that in turn is driven by the number and weight of axle loads being applied. The FHWA 13 vehicle category classification system directly accounts for the number of axles within the classification system. The FHWA classification system also does a good job of identifying specific vehicle types (e.g., classes 7 and 10) that are often particularly heavy. This results in better traffic load estimation and thus better pavement analysis. </w:t>
      </w:r>
    </w:p>
    <w:p w14:paraId="7E094D29" w14:textId="77777777" w:rsidR="003F7B9F" w:rsidRPr="00771210" w:rsidRDefault="003F7B9F" w:rsidP="00A35EAF">
      <w:pPr>
        <w:pStyle w:val="BodyText"/>
      </w:pPr>
      <w:r w:rsidRPr="00771210">
        <w:t>Jurisdictions should adopt classification systems that are compatible with the 13 vehicle category classification system. Systems with fewer categories should be combinations of the FHWA classes, and systems with more categories should be subdivisions of the FHWA classes.</w:t>
      </w:r>
    </w:p>
    <w:p w14:paraId="45E20C44" w14:textId="77777777" w:rsidR="003F7B9F" w:rsidRPr="00771210" w:rsidRDefault="003F7B9F" w:rsidP="00A35EAF">
      <w:pPr>
        <w:pStyle w:val="BodyText"/>
      </w:pPr>
      <w:r w:rsidRPr="00771210">
        <w:t xml:space="preserve">Length-based classification systems do not account for specific axle configurations, and thus the connection between the number and weight of axles within the different length classifications is far more nebulous. Similarly, the FHWA axle-based system does a good job of differentiating the number of multi-unit vehicles on the roadway, while the length-based systems are </w:t>
      </w:r>
      <w:r>
        <w:t xml:space="preserve">most often </w:t>
      </w:r>
      <w:r w:rsidRPr="00771210">
        <w:t xml:space="preserve">not able to track the number of vehicles pulling one or more other units. The number of units in each vehicle is a key variable being tracked for safety purposes, thus the length classification systems are much less useful for the kinds of safety analyses that are interested in the exposure rates associated with multi-unit vehicles. </w:t>
      </w:r>
    </w:p>
    <w:p w14:paraId="0BFD559D" w14:textId="659E0755" w:rsidR="003F7B9F" w:rsidRPr="00771210" w:rsidRDefault="003F7B9F" w:rsidP="00A35EAF">
      <w:pPr>
        <w:pStyle w:val="BodyText"/>
      </w:pPr>
      <w:r w:rsidRPr="00771210">
        <w:t>Some State agencies use some combination of both FHWA’s 13 vehicle category classification system and a simpler length-based system. The length-based system is used in those physical road segments where it is not possible to place axle sensors. Length-based is also used when the advantages of simplicity outweigh the loss of detail and precision that comes from using the more sophisticated axle-based classification system. Approval is required by a</w:t>
      </w:r>
      <w:r w:rsidR="008B2D29">
        <w:t> </w:t>
      </w:r>
      <w:r w:rsidRPr="00771210">
        <w:t xml:space="preserve">State’s FHWA </w:t>
      </w:r>
      <w:r w:rsidR="002C6128">
        <w:t>D</w:t>
      </w:r>
      <w:r>
        <w:t>ivision</w:t>
      </w:r>
      <w:r w:rsidRPr="00771210">
        <w:t xml:space="preserve"> office for use of length class in any data submitted to FHWA. </w:t>
      </w:r>
    </w:p>
    <w:p w14:paraId="10CA1166" w14:textId="5FFB1577" w:rsidR="003F7B9F" w:rsidRPr="007B58D8" w:rsidRDefault="003F7B9F" w:rsidP="00A35EAF">
      <w:pPr>
        <w:pStyle w:val="BodyText"/>
        <w:rPr>
          <w:rStyle w:val="Strong"/>
          <w:rFonts w:ascii="Cambria" w:hAnsi="Cambria"/>
          <w:sz w:val="22"/>
          <w:szCs w:val="22"/>
        </w:rPr>
      </w:pPr>
      <w:r w:rsidRPr="007B58D8">
        <w:rPr>
          <w:rStyle w:val="Strong"/>
          <w:rFonts w:ascii="Cambria" w:hAnsi="Cambria"/>
          <w:sz w:val="22"/>
          <w:szCs w:val="22"/>
        </w:rPr>
        <w:t>Short-term Vehicle Classification Counts</w:t>
      </w:r>
      <w:bookmarkEnd w:id="2051"/>
      <w:bookmarkEnd w:id="2052"/>
      <w:bookmarkEnd w:id="2053"/>
      <w:bookmarkEnd w:id="2054"/>
    </w:p>
    <w:p w14:paraId="2174E6D6" w14:textId="42286686" w:rsidR="003F7B9F" w:rsidRPr="00771210" w:rsidRDefault="002C6128" w:rsidP="00A35EAF">
      <w:pPr>
        <w:pStyle w:val="BodyText"/>
      </w:pPr>
      <w:r>
        <w:t>S</w:t>
      </w:r>
      <w:r w:rsidR="003F7B9F">
        <w:t>hort-term</w:t>
      </w:r>
      <w:r w:rsidR="003F7B9F" w:rsidRPr="00771210">
        <w:t xml:space="preserve"> classification counts are vitally important to the computation and submittal of the HPMS full extent traffic data and vehicle summary table. The vehicle summary table requires VMT by six vehicle types (motorcycles, passenger cars, light trucks, buses, single-unit trucks, and combination trucks) by six classes of roads (interstate, other arterials, and other roads for both urban and rural roads).</w:t>
      </w:r>
      <w:r w:rsidR="004D4172">
        <w:t xml:space="preserve"> </w:t>
      </w:r>
      <w:r w:rsidR="003F7B9F" w:rsidRPr="00771210">
        <w:t xml:space="preserve">Consequently, when collecting classification data, </w:t>
      </w:r>
      <w:r>
        <w:t>S</w:t>
      </w:r>
      <w:r w:rsidR="003F7B9F" w:rsidRPr="00771210">
        <w:t>tates should look to count at least these six vehicle classes whenever possible.</w:t>
      </w:r>
      <w:r w:rsidR="004D4172">
        <w:t xml:space="preserve"> </w:t>
      </w:r>
    </w:p>
    <w:p w14:paraId="1CC858EA" w14:textId="77777777" w:rsidR="003F7B9F" w:rsidRPr="00771210" w:rsidRDefault="003F7B9F" w:rsidP="00A35EAF">
      <w:pPr>
        <w:pStyle w:val="BodyText"/>
        <w:rPr>
          <w:b/>
          <w:bCs/>
        </w:rPr>
      </w:pPr>
      <w:r w:rsidRPr="00771210">
        <w:t xml:space="preserve">Given the growing need for data on truck volumes, a more comprehensive approach is required to provide classification data than what the </w:t>
      </w:r>
      <w:r w:rsidRPr="005E416B">
        <w:rPr>
          <w:i/>
          <w:iCs/>
        </w:rPr>
        <w:t>TMG</w:t>
      </w:r>
      <w:r w:rsidRPr="00771210">
        <w:t xml:space="preserve"> has historically recommended. The current recommendation is based on the following objectives:</w:t>
      </w:r>
    </w:p>
    <w:p w14:paraId="4D07D330" w14:textId="77777777" w:rsidR="003F7B9F" w:rsidRPr="000E063B" w:rsidRDefault="003F7B9F">
      <w:pPr>
        <w:pStyle w:val="TMGBullet"/>
      </w:pPr>
      <w:r w:rsidRPr="000E063B">
        <w:t>Increasing the accuracy and availability of truck volume data.</w:t>
      </w:r>
    </w:p>
    <w:p w14:paraId="403DAB89" w14:textId="77777777" w:rsidR="003F7B9F" w:rsidRPr="000E063B" w:rsidRDefault="003F7B9F">
      <w:pPr>
        <w:pStyle w:val="TMGBullet"/>
      </w:pPr>
      <w:r w:rsidRPr="000E063B">
        <w:t>Improving the truck volume data for national studies.</w:t>
      </w:r>
    </w:p>
    <w:p w14:paraId="18EA6B1B" w14:textId="77C4BC42" w:rsidR="003F7B9F" w:rsidRPr="000E063B" w:rsidRDefault="003F7B9F">
      <w:pPr>
        <w:pStyle w:val="TMGBullet"/>
      </w:pPr>
      <w:r w:rsidRPr="000E063B">
        <w:t>Improving the truck volume data used for site-specific studies</w:t>
      </w:r>
      <w:r w:rsidR="002C6128">
        <w:t>.</w:t>
      </w:r>
    </w:p>
    <w:p w14:paraId="741BB775" w14:textId="77777777" w:rsidR="003F7B9F" w:rsidRPr="000E063B" w:rsidRDefault="003F7B9F">
      <w:pPr>
        <w:pStyle w:val="TMGBullet"/>
      </w:pPr>
      <w:r w:rsidRPr="000E063B">
        <w:t>Decreasing the per-count cost of collecting classification data by having more classification counts in the traffic data collection program.</w:t>
      </w:r>
    </w:p>
    <w:p w14:paraId="6659FCBC" w14:textId="38F4BF16" w:rsidR="00C81DF8" w:rsidRDefault="003F7B9F" w:rsidP="00A35EAF">
      <w:pPr>
        <w:pStyle w:val="BodyText"/>
      </w:pPr>
      <w:r>
        <w:t>Short-term</w:t>
      </w:r>
      <w:r w:rsidRPr="00771210">
        <w:t xml:space="preserve"> </w:t>
      </w:r>
      <w:r w:rsidRPr="00CA5338">
        <w:t xml:space="preserve">counts by themselves, however, are only part of the data collection process. Research has shown that travel by vehicle type volumes vary during the day, often differ significantly between weekdays and weekends, and can change as well from one season to the next season. If adjustments are not made for DOW and monthly variation, the result is likely to be erroneous analytical conclusions. For example, safety research that uses truck crash rates computed only from weekday counts will significantly under-estimate the truck crash rate for most locations because unadjusted weekday volumes tend to over-estimate annual average daily volumes. It is important that the State highway agency account for these differences when computing annual average conditions. This means factoring truck volumes with different factors than those used for total volume. A base of continuous classification counters is used to support the temporal factoring process. The use of permanent classification counters to adjust short-term classification counts is discussed </w:t>
      </w:r>
      <w:r w:rsidRPr="000953E2">
        <w:t xml:space="preserve">in </w:t>
      </w:r>
      <w:r w:rsidRPr="001B2553">
        <w:t xml:space="preserve">Section </w:t>
      </w:r>
      <w:r w:rsidR="00E95974" w:rsidRPr="001B2553">
        <w:t>3.4</w:t>
      </w:r>
      <w:r w:rsidRPr="000953E2">
        <w:t>.</w:t>
      </w:r>
      <w:r w:rsidR="004D4172">
        <w:t xml:space="preserve"> </w:t>
      </w:r>
    </w:p>
    <w:p w14:paraId="20538935" w14:textId="77777777" w:rsidR="00C81DF8" w:rsidRDefault="00C81DF8">
      <w:pPr>
        <w:widowControl/>
        <w:suppressAutoHyphens w:val="0"/>
        <w:autoSpaceDE/>
        <w:autoSpaceDN/>
        <w:adjustRightInd/>
        <w:spacing w:after="160" w:line="259" w:lineRule="auto"/>
        <w:jc w:val="left"/>
        <w:textAlignment w:val="auto"/>
        <w:rPr>
          <w:color w:val="auto"/>
        </w:rPr>
      </w:pPr>
      <w:r>
        <w:br w:type="page"/>
      </w:r>
    </w:p>
    <w:p w14:paraId="03D83997" w14:textId="3E7363ED" w:rsidR="00F30A7B" w:rsidRPr="00914EB6" w:rsidRDefault="00F30A7B" w:rsidP="00A35EAF">
      <w:pPr>
        <w:pStyle w:val="BodyText"/>
        <w:rPr>
          <w:rStyle w:val="Strong"/>
          <w:rFonts w:ascii="Cambria" w:hAnsi="Cambria"/>
          <w:sz w:val="22"/>
          <w:szCs w:val="22"/>
        </w:rPr>
      </w:pPr>
      <w:r w:rsidRPr="00914EB6">
        <w:rPr>
          <w:rStyle w:val="Strong"/>
          <w:rFonts w:ascii="Cambria" w:hAnsi="Cambria"/>
          <w:sz w:val="22"/>
          <w:szCs w:val="22"/>
        </w:rPr>
        <w:lastRenderedPageBreak/>
        <w:t xml:space="preserve">Short-Term Classification Count Program Design Considerations </w:t>
      </w:r>
    </w:p>
    <w:p w14:paraId="738BB002" w14:textId="6729FEEC" w:rsidR="003F7B9F" w:rsidRPr="000D7942" w:rsidRDefault="003F7B9F" w:rsidP="00A35EAF">
      <w:pPr>
        <w:pStyle w:val="BodyText"/>
      </w:pPr>
      <w:r w:rsidRPr="000D7942">
        <w:t>The classification short-term count program should be designed to operate like a traditional volume coverage program to provide a minimum level of travel by vehicle type data on all system roads. The basic short-term program would be supplemented by special counts as needed to meet site-specific data needs. At a minimum, the</w:t>
      </w:r>
      <w:r w:rsidR="00D003D1">
        <w:t> </w:t>
      </w:r>
      <w:r w:rsidRPr="000D7942">
        <w:rPr>
          <w:rStyle w:val="Italic"/>
          <w:iCs/>
          <w:spacing w:val="2"/>
        </w:rPr>
        <w:t>TMG</w:t>
      </w:r>
      <w:r w:rsidRPr="000D7942">
        <w:t xml:space="preserve"> recommends that State highway agencies collect 25 to 30 percent of their short-</w:t>
      </w:r>
      <w:r>
        <w:t>term</w:t>
      </w:r>
      <w:r w:rsidRPr="000D7942">
        <w:t xml:space="preserve"> counts with classification counting equipment. Agencies that can exceed this figure are encouraged to do so. The ability to meet or exceed this goal depends on agency perspective and is a function of the equipment available and the nature of the road system. Classification data are difficult to collect in many urban settings because of safety or equipment limitations. </w:t>
      </w:r>
    </w:p>
    <w:p w14:paraId="50EC2C5E" w14:textId="6D427044" w:rsidR="003F7B9F" w:rsidRPr="00771210" w:rsidRDefault="003F7B9F" w:rsidP="00A35EAF">
      <w:pPr>
        <w:pStyle w:val="BodyText"/>
      </w:pPr>
      <w:r w:rsidRPr="000D7942">
        <w:t xml:space="preserve">To develop a classification coverage program, the highway system should be divided into vehicle classification segments similar to what is currently performed for volume and described </w:t>
      </w:r>
      <w:r w:rsidRPr="00E95974">
        <w:t xml:space="preserve">in </w:t>
      </w:r>
      <w:r w:rsidR="000953E2" w:rsidRPr="00E95974">
        <w:t>S</w:t>
      </w:r>
      <w:r w:rsidRPr="00E95974">
        <w:t>ection 3.</w:t>
      </w:r>
      <w:r w:rsidR="005A18C5">
        <w:t>1</w:t>
      </w:r>
      <w:r w:rsidRPr="00E95974">
        <w:t>. Vehicle classification segments should carry a homogeneous volume of each class</w:t>
      </w:r>
      <w:r w:rsidRPr="000D7942">
        <w:t xml:space="preserve"> of vehicle</w:t>
      </w:r>
      <w:r w:rsidR="00F84861">
        <w:t>.</w:t>
      </w:r>
      <w:r w:rsidRPr="000D7942">
        <w:t xml:space="preserve"> In</w:t>
      </w:r>
      <w:r w:rsidRPr="00771210">
        <w:t xml:space="preserve"> practice, development of these section definitions is a judgment call since the definition is usually based on the available classification data combined with specific knowledge of the system. The more classification data and the better knowledge of trucks available, the easier and better the definition will be. The availability of truck or commercial vehicle flow maps during the road segmentation process is very useful. Most vehicle classification segments are expected to span several traffic volume segments because truck traffic can remain constant despite changes in total traffic volume (that is, changes in car volumes do not necessarily result in changes in truck volume). With time, as more data and information become available, the definition of segments will improve. As with traffic volume, the classification segments will change over time as roadway and traffic characteristics change and as more classification data help to better define the segments. Periodic reassessments will be necessary to maintain the classification segment inventory and keep it current.</w:t>
      </w:r>
    </w:p>
    <w:p w14:paraId="0F6F04DE" w14:textId="77777777" w:rsidR="003F7B9F" w:rsidRPr="00771210" w:rsidRDefault="003F7B9F" w:rsidP="00A35EAF">
      <w:pPr>
        <w:pStyle w:val="BodyText"/>
      </w:pPr>
      <w:r w:rsidRPr="00771210">
        <w:t xml:space="preserve">Many caveats apply to the development of the classification </w:t>
      </w:r>
      <w:r>
        <w:t>short-term</w:t>
      </w:r>
      <w:r w:rsidRPr="00771210">
        <w:t xml:space="preserve"> count program. Each agency will have to develop a classification inventory system to cover the roads that meet its needs. </w:t>
      </w:r>
    </w:p>
    <w:p w14:paraId="311A6FA6" w14:textId="5034060A" w:rsidR="003F7B9F" w:rsidRPr="00771210" w:rsidRDefault="00AA2E73" w:rsidP="00A35EAF">
      <w:pPr>
        <w:pStyle w:val="BodyText"/>
      </w:pPr>
      <w:r>
        <w:fldChar w:fldCharType="begin"/>
      </w:r>
      <w:r>
        <w:instrText xml:space="preserve"> REF _Ref114750141 \h </w:instrText>
      </w:r>
      <w:r>
        <w:fldChar w:fldCharType="separate"/>
      </w:r>
      <w:r w:rsidR="00C07DF9" w:rsidRPr="000F2A7A">
        <w:t xml:space="preserve">Table </w:t>
      </w:r>
      <w:r w:rsidR="00C07DF9">
        <w:rPr>
          <w:noProof/>
        </w:rPr>
        <w:t>3</w:t>
      </w:r>
      <w:r w:rsidR="00C07DF9" w:rsidRPr="000F2A7A">
        <w:noBreakHyphen/>
      </w:r>
      <w:r w:rsidR="00C07DF9">
        <w:rPr>
          <w:noProof/>
        </w:rPr>
        <w:t>16</w:t>
      </w:r>
      <w:r>
        <w:fldChar w:fldCharType="end"/>
      </w:r>
      <w:r w:rsidR="003F7B9F" w:rsidRPr="000953E2">
        <w:t xml:space="preserve"> illustrates</w:t>
      </w:r>
      <w:r w:rsidR="003F7B9F" w:rsidRPr="00771210">
        <w:t xml:space="preserve"> some of the considerations used in developing traffic segments and classification coverage programs based on the functional classification (and use) of roadways. </w:t>
      </w:r>
    </w:p>
    <w:p w14:paraId="5E39F338" w14:textId="66A447BB" w:rsidR="003F7B9F" w:rsidRDefault="003F7B9F" w:rsidP="000F2A7A">
      <w:pPr>
        <w:pStyle w:val="TMGTableCaption"/>
      </w:pPr>
      <w:bookmarkStart w:id="2059" w:name="_Ref114750141"/>
      <w:bookmarkStart w:id="2060" w:name="_Toc54784724"/>
      <w:bookmarkStart w:id="2061" w:name="_Toc68874123"/>
      <w:bookmarkStart w:id="2062" w:name="_Toc114474836"/>
      <w:bookmarkStart w:id="2063" w:name="_Toc120631142"/>
      <w:r w:rsidRPr="000F2A7A">
        <w:t xml:space="preserve">Table </w:t>
      </w:r>
      <w:fldSimple w:instr=" STYLEREF 1 \s ">
        <w:r w:rsidR="00C07DF9">
          <w:rPr>
            <w:noProof/>
          </w:rPr>
          <w:t>3</w:t>
        </w:r>
      </w:fldSimple>
      <w:r w:rsidR="00FE5355" w:rsidRPr="000F2A7A">
        <w:noBreakHyphen/>
      </w:r>
      <w:fldSimple w:instr=" SEQ Table \* ARABIC \s 1 ">
        <w:r w:rsidR="00C07DF9">
          <w:rPr>
            <w:noProof/>
          </w:rPr>
          <w:t>16</w:t>
        </w:r>
      </w:fldSimple>
      <w:bookmarkEnd w:id="2059"/>
      <w:r w:rsidR="00627DD7">
        <w:t>.</w:t>
      </w:r>
      <w:r w:rsidRPr="000F2A7A">
        <w:t xml:space="preserve"> Traffic Segments </w:t>
      </w:r>
      <w:r w:rsidR="00904700">
        <w:t>a</w:t>
      </w:r>
      <w:r w:rsidRPr="000F2A7A">
        <w:t xml:space="preserve">nd Classification Short-Term Program Based </w:t>
      </w:r>
      <w:r w:rsidR="00904700">
        <w:t>o</w:t>
      </w:r>
      <w:r w:rsidRPr="000F2A7A">
        <w:t>n</w:t>
      </w:r>
      <w:r w:rsidR="00904700">
        <w:br/>
      </w:r>
      <w:r w:rsidRPr="000F2A7A">
        <w:t>Functional</w:t>
      </w:r>
      <w:r w:rsidRPr="00BA0B8A">
        <w:t xml:space="preserve"> Classification </w:t>
      </w:r>
      <w:r w:rsidR="00904700">
        <w:t>a</w:t>
      </w:r>
      <w:r w:rsidRPr="00BA0B8A">
        <w:t>nd Truck Activity</w:t>
      </w:r>
      <w:bookmarkEnd w:id="2060"/>
      <w:bookmarkEnd w:id="2061"/>
      <w:bookmarkEnd w:id="2062"/>
      <w:bookmarkEnd w:id="2063"/>
    </w:p>
    <w:tbl>
      <w:tblPr>
        <w:tblStyle w:val="TableGrid"/>
        <w:tblW w:w="9360" w:type="dxa"/>
        <w:jc w:val="center"/>
        <w:tblCellMar>
          <w:left w:w="86" w:type="dxa"/>
          <w:right w:w="86" w:type="dxa"/>
        </w:tblCellMar>
        <w:tblLook w:val="04A0" w:firstRow="1" w:lastRow="0" w:firstColumn="1" w:lastColumn="0" w:noHBand="0" w:noVBand="1"/>
      </w:tblPr>
      <w:tblGrid>
        <w:gridCol w:w="1885"/>
        <w:gridCol w:w="1220"/>
        <w:gridCol w:w="1480"/>
        <w:gridCol w:w="1710"/>
        <w:gridCol w:w="3065"/>
      </w:tblGrid>
      <w:tr w:rsidR="00904700" w14:paraId="627D21B1" w14:textId="77777777" w:rsidTr="00651A45">
        <w:trPr>
          <w:jc w:val="center"/>
        </w:trPr>
        <w:tc>
          <w:tcPr>
            <w:tcW w:w="1885" w:type="dxa"/>
            <w:tcBorders>
              <w:right w:val="single" w:sz="4" w:space="0" w:color="FFFFFF" w:themeColor="background1"/>
            </w:tcBorders>
            <w:shd w:val="clear" w:color="auto" w:fill="1F3864"/>
            <w:vAlign w:val="center"/>
          </w:tcPr>
          <w:p w14:paraId="31742DCE" w14:textId="3BCEA5BC" w:rsidR="00904700" w:rsidRDefault="00904700" w:rsidP="00651A45">
            <w:pPr>
              <w:pStyle w:val="TMGTableTextHeader"/>
            </w:pPr>
            <w:r w:rsidRPr="00D170BD">
              <w:rPr>
                <w:rFonts w:eastAsiaTheme="minorEastAsia"/>
              </w:rPr>
              <w:t>Functional Classification</w:t>
            </w:r>
          </w:p>
        </w:tc>
        <w:tc>
          <w:tcPr>
            <w:tcW w:w="1220" w:type="dxa"/>
            <w:tcBorders>
              <w:left w:val="single" w:sz="4" w:space="0" w:color="FFFFFF" w:themeColor="background1"/>
              <w:right w:val="single" w:sz="4" w:space="0" w:color="FFFFFF" w:themeColor="background1"/>
            </w:tcBorders>
            <w:shd w:val="clear" w:color="auto" w:fill="1F3864"/>
            <w:vAlign w:val="center"/>
          </w:tcPr>
          <w:p w14:paraId="510E06CF" w14:textId="01B8E4B5" w:rsidR="00904700" w:rsidRDefault="00904700" w:rsidP="00651A45">
            <w:pPr>
              <w:pStyle w:val="TMGTableTextHeader"/>
              <w:rPr>
                <w:rFonts w:eastAsia="MS Mincho"/>
              </w:rPr>
            </w:pPr>
            <w:r w:rsidRPr="00D170BD">
              <w:rPr>
                <w:rFonts w:eastAsiaTheme="minorEastAsia"/>
              </w:rPr>
              <w:t>Truck Traffic Activity</w:t>
            </w:r>
          </w:p>
        </w:tc>
        <w:tc>
          <w:tcPr>
            <w:tcW w:w="1480" w:type="dxa"/>
            <w:tcBorders>
              <w:left w:val="single" w:sz="4" w:space="0" w:color="FFFFFF" w:themeColor="background1"/>
              <w:right w:val="single" w:sz="4" w:space="0" w:color="FFFFFF" w:themeColor="background1"/>
            </w:tcBorders>
            <w:shd w:val="clear" w:color="auto" w:fill="1F3864"/>
            <w:vAlign w:val="center"/>
          </w:tcPr>
          <w:p w14:paraId="22281E46" w14:textId="2D2AAB34" w:rsidR="00904700" w:rsidRDefault="00904700" w:rsidP="00651A45">
            <w:pPr>
              <w:pStyle w:val="TMGTableTextHeader"/>
              <w:rPr>
                <w:rFonts w:eastAsia="MS Mincho"/>
              </w:rPr>
            </w:pPr>
            <w:r w:rsidRPr="00D170BD">
              <w:rPr>
                <w:rFonts w:eastAsiaTheme="minorEastAsia"/>
              </w:rPr>
              <w:t>Classification Segment Lengths</w:t>
            </w:r>
          </w:p>
        </w:tc>
        <w:tc>
          <w:tcPr>
            <w:tcW w:w="1710" w:type="dxa"/>
            <w:tcBorders>
              <w:left w:val="single" w:sz="4" w:space="0" w:color="FFFFFF" w:themeColor="background1"/>
              <w:right w:val="single" w:sz="4" w:space="0" w:color="FFFFFF" w:themeColor="background1"/>
            </w:tcBorders>
            <w:shd w:val="clear" w:color="auto" w:fill="1F3864"/>
            <w:vAlign w:val="center"/>
          </w:tcPr>
          <w:p w14:paraId="2B0A589A" w14:textId="58F6AD41" w:rsidR="00904700" w:rsidRDefault="00904700" w:rsidP="00651A45">
            <w:pPr>
              <w:pStyle w:val="TMGTableTextHeader"/>
              <w:rPr>
                <w:rFonts w:eastAsia="MS Mincho"/>
              </w:rPr>
            </w:pPr>
            <w:r w:rsidRPr="00D170BD">
              <w:rPr>
                <w:rFonts w:eastAsiaTheme="minorEastAsia"/>
              </w:rPr>
              <w:t>Number of Classification Segments</w:t>
            </w:r>
          </w:p>
        </w:tc>
        <w:tc>
          <w:tcPr>
            <w:tcW w:w="3065" w:type="dxa"/>
            <w:tcBorders>
              <w:left w:val="single" w:sz="4" w:space="0" w:color="FFFFFF" w:themeColor="background1"/>
            </w:tcBorders>
            <w:shd w:val="clear" w:color="auto" w:fill="1F3864"/>
            <w:vAlign w:val="center"/>
          </w:tcPr>
          <w:p w14:paraId="46F5E5C9" w14:textId="0A616C69" w:rsidR="00904700" w:rsidRDefault="00904700" w:rsidP="00651A45">
            <w:pPr>
              <w:pStyle w:val="TMGTableTextHeader"/>
            </w:pPr>
            <w:r w:rsidRPr="00D170BD">
              <w:rPr>
                <w:rFonts w:eastAsiaTheme="minorEastAsia"/>
              </w:rPr>
              <w:t>Traffic Volume Segments</w:t>
            </w:r>
          </w:p>
        </w:tc>
      </w:tr>
      <w:tr w:rsidR="00904700" w14:paraId="68C2D7CC" w14:textId="77777777" w:rsidTr="00651A45">
        <w:trPr>
          <w:jc w:val="center"/>
        </w:trPr>
        <w:tc>
          <w:tcPr>
            <w:tcW w:w="1885" w:type="dxa"/>
            <w:vAlign w:val="center"/>
          </w:tcPr>
          <w:p w14:paraId="75825CB0" w14:textId="1270BB36" w:rsidR="00904700" w:rsidRPr="00C251E9" w:rsidRDefault="00904700" w:rsidP="00283B5B">
            <w:pPr>
              <w:pStyle w:val="TMGTableText"/>
              <w:rPr>
                <w:b/>
                <w:bCs/>
              </w:rPr>
            </w:pPr>
            <w:r w:rsidRPr="00D170BD">
              <w:t>Higher FC roads, i.e., Interstates, Principal Arterials – Other Freeways and Expressways, etc.</w:t>
            </w:r>
          </w:p>
        </w:tc>
        <w:tc>
          <w:tcPr>
            <w:tcW w:w="1220" w:type="dxa"/>
            <w:vAlign w:val="center"/>
          </w:tcPr>
          <w:p w14:paraId="252AC087" w14:textId="09CAB54D" w:rsidR="00904700" w:rsidRPr="004859C8" w:rsidRDefault="00904700" w:rsidP="00283B5B">
            <w:pPr>
              <w:pStyle w:val="TMGTableText"/>
            </w:pPr>
            <w:r w:rsidRPr="00D170BD">
              <w:t>High</w:t>
            </w:r>
          </w:p>
        </w:tc>
        <w:tc>
          <w:tcPr>
            <w:tcW w:w="1480" w:type="dxa"/>
            <w:vAlign w:val="center"/>
          </w:tcPr>
          <w:p w14:paraId="7428C6CB" w14:textId="409A04AB" w:rsidR="00904700" w:rsidRPr="004859C8" w:rsidRDefault="00904700" w:rsidP="00283B5B">
            <w:pPr>
              <w:pStyle w:val="TMGTableText"/>
            </w:pPr>
            <w:r w:rsidRPr="00D170BD">
              <w:t>Long</w:t>
            </w:r>
          </w:p>
        </w:tc>
        <w:tc>
          <w:tcPr>
            <w:tcW w:w="1710" w:type="dxa"/>
            <w:vAlign w:val="center"/>
          </w:tcPr>
          <w:p w14:paraId="1EFFB3C5" w14:textId="6FB1E8B6" w:rsidR="00904700" w:rsidRPr="004859C8" w:rsidRDefault="00904700" w:rsidP="00283B5B">
            <w:pPr>
              <w:pStyle w:val="TMGTableText"/>
            </w:pPr>
            <w:r w:rsidRPr="00D170BD">
              <w:t>Few, but this number should be about equal to 25-30% of volume counts</w:t>
            </w:r>
          </w:p>
        </w:tc>
        <w:tc>
          <w:tcPr>
            <w:tcW w:w="3065" w:type="dxa"/>
            <w:vAlign w:val="center"/>
          </w:tcPr>
          <w:p w14:paraId="52A03FF7" w14:textId="17399118" w:rsidR="00904700" w:rsidRPr="00C251E9" w:rsidRDefault="00904700" w:rsidP="00283B5B">
            <w:pPr>
              <w:pStyle w:val="TMGTableText"/>
            </w:pPr>
            <w:r w:rsidRPr="00D170BD">
              <w:t>Few – encompasses classification segments</w:t>
            </w:r>
          </w:p>
        </w:tc>
      </w:tr>
      <w:tr w:rsidR="00904700" w14:paraId="5B9BD941" w14:textId="77777777" w:rsidTr="00651A45">
        <w:trPr>
          <w:jc w:val="center"/>
        </w:trPr>
        <w:tc>
          <w:tcPr>
            <w:tcW w:w="1885" w:type="dxa"/>
            <w:vAlign w:val="center"/>
          </w:tcPr>
          <w:p w14:paraId="09258FF1" w14:textId="11E6B506" w:rsidR="00904700" w:rsidRPr="00C251E9" w:rsidRDefault="00904700" w:rsidP="00283B5B">
            <w:pPr>
              <w:pStyle w:val="TMGTableText"/>
              <w:rPr>
                <w:b/>
                <w:bCs/>
              </w:rPr>
            </w:pPr>
            <w:r w:rsidRPr="00D170BD">
              <w:t>Lower FC roads, i.e., Minor Arterial, Major and Minor Collector, Local</w:t>
            </w:r>
          </w:p>
        </w:tc>
        <w:tc>
          <w:tcPr>
            <w:tcW w:w="1220" w:type="dxa"/>
            <w:vAlign w:val="center"/>
          </w:tcPr>
          <w:p w14:paraId="010FD796" w14:textId="5ABB563C" w:rsidR="00904700" w:rsidRPr="004859C8" w:rsidRDefault="00904700" w:rsidP="00283B5B">
            <w:pPr>
              <w:pStyle w:val="TMGTableText"/>
            </w:pPr>
            <w:r w:rsidRPr="00D170BD">
              <w:t>Combination of Low, Medium, High</w:t>
            </w:r>
          </w:p>
        </w:tc>
        <w:tc>
          <w:tcPr>
            <w:tcW w:w="1480" w:type="dxa"/>
            <w:vAlign w:val="center"/>
          </w:tcPr>
          <w:p w14:paraId="57CE5076" w14:textId="5FE81855" w:rsidR="00904700" w:rsidRPr="004859C8" w:rsidRDefault="00904700" w:rsidP="00283B5B">
            <w:pPr>
              <w:pStyle w:val="TMGTableText"/>
            </w:pPr>
            <w:r w:rsidRPr="00D170BD">
              <w:t>Combination of long and short segments where traffic generators are found</w:t>
            </w:r>
          </w:p>
        </w:tc>
        <w:tc>
          <w:tcPr>
            <w:tcW w:w="1710" w:type="dxa"/>
            <w:vAlign w:val="center"/>
          </w:tcPr>
          <w:p w14:paraId="2903136A" w14:textId="65FA5B3B" w:rsidR="00904700" w:rsidRPr="004859C8" w:rsidRDefault="00904700" w:rsidP="00283B5B">
            <w:pPr>
              <w:pStyle w:val="TMGTableText"/>
            </w:pPr>
            <w:r w:rsidRPr="00D170BD">
              <w:t>Depends upon number of defined traffic segments; 25-30% of volume counts</w:t>
            </w:r>
          </w:p>
        </w:tc>
        <w:tc>
          <w:tcPr>
            <w:tcW w:w="3065" w:type="dxa"/>
            <w:vAlign w:val="center"/>
          </w:tcPr>
          <w:p w14:paraId="760C9422" w14:textId="508AC4EB" w:rsidR="00904700" w:rsidRPr="00C251E9" w:rsidRDefault="00904700" w:rsidP="00283B5B">
            <w:pPr>
              <w:pStyle w:val="TMGTableText"/>
            </w:pPr>
            <w:r w:rsidRPr="00D170BD">
              <w:t>Depends upon length (extent) of road and level of truck activity; higher the fluctuation in truck activity, the more counts should be taken at locations with changes in traffic volumes; traffic volume segments should encompass the classification segments</w:t>
            </w:r>
          </w:p>
        </w:tc>
      </w:tr>
    </w:tbl>
    <w:p w14:paraId="4ABB4E91" w14:textId="77777777" w:rsidR="00C81DF8" w:rsidRDefault="00C81DF8" w:rsidP="00904700">
      <w:pPr>
        <w:pStyle w:val="BodyText"/>
        <w:spacing w:before="360"/>
      </w:pPr>
    </w:p>
    <w:p w14:paraId="3ED8EC70" w14:textId="77777777" w:rsidR="00C81DF8" w:rsidRDefault="00C81DF8">
      <w:pPr>
        <w:widowControl/>
        <w:suppressAutoHyphens w:val="0"/>
        <w:autoSpaceDE/>
        <w:autoSpaceDN/>
        <w:adjustRightInd/>
        <w:spacing w:after="160" w:line="259" w:lineRule="auto"/>
        <w:jc w:val="left"/>
        <w:textAlignment w:val="auto"/>
        <w:rPr>
          <w:color w:val="auto"/>
        </w:rPr>
      </w:pPr>
      <w:r>
        <w:br w:type="page"/>
      </w:r>
    </w:p>
    <w:p w14:paraId="62AFA7DF" w14:textId="0EC1E0C7" w:rsidR="003F7B9F" w:rsidRPr="00771210" w:rsidRDefault="003F7B9F" w:rsidP="00904700">
      <w:pPr>
        <w:pStyle w:val="BodyText"/>
        <w:spacing w:before="360"/>
      </w:pPr>
      <w:r w:rsidRPr="00771210">
        <w:lastRenderedPageBreak/>
        <w:t xml:space="preserve">In some cases, the </w:t>
      </w:r>
      <w:r>
        <w:t>individual class of</w:t>
      </w:r>
      <w:r w:rsidRPr="00771210">
        <w:t xml:space="preserve"> traffic may not change over large expanses of road</w:t>
      </w:r>
      <w:r w:rsidR="00F84861">
        <w:t>,</w:t>
      </w:r>
      <w:r w:rsidRPr="00771210">
        <w:t xml:space="preserve"> and a small number of classification segments will cover the road. In the interstate system, for example, classification segments may extend over several interchanges and be very long. The character of the highway and the traffic it carries will play a major role in the definition of these segments and in the number of classification counts needed. Roads that service </w:t>
      </w:r>
      <w:r>
        <w:t>significant individual</w:t>
      </w:r>
      <w:r w:rsidRPr="00771210">
        <w:t xml:space="preserve"> traffic</w:t>
      </w:r>
      <w:r w:rsidR="00F84861">
        <w:t>-</w:t>
      </w:r>
      <w:r w:rsidRPr="00771210">
        <w:t xml:space="preserve">generating activities </w:t>
      </w:r>
      <w:r>
        <w:t>(</w:t>
      </w:r>
      <w:r w:rsidR="00F84861">
        <w:t>e.g.,</w:t>
      </w:r>
      <w:r>
        <w:t xml:space="preserve"> ports, quarries) </w:t>
      </w:r>
      <w:r w:rsidRPr="00771210">
        <w:t xml:space="preserve">will necessitate more classification segments, more classification counts, and more frequent revision than roads through regions that experience little </w:t>
      </w:r>
      <w:r>
        <w:t>unique by class travel</w:t>
      </w:r>
      <w:r w:rsidRPr="00771210">
        <w:t xml:space="preserve"> activity.</w:t>
      </w:r>
    </w:p>
    <w:p w14:paraId="07C7F4A6" w14:textId="77777777" w:rsidR="003F7B9F" w:rsidRPr="00771210" w:rsidRDefault="003F7B9F" w:rsidP="00A35EAF">
      <w:pPr>
        <w:pStyle w:val="BodyText"/>
      </w:pPr>
      <w:r w:rsidRPr="00771210">
        <w:t>The structure of the road system is superimposed by a system of traffic volume segments that allow the traffic-counting program to cover it. Likewise, the traffic volume segments will be covered with a smaller subset of vehicle classification segments that allow the establishment of a vehicle classification program that covers the system and provides comprehensive truck data.</w:t>
      </w:r>
    </w:p>
    <w:p w14:paraId="1D014798" w14:textId="6D5ECCCB" w:rsidR="003F7B9F" w:rsidRPr="00771210" w:rsidRDefault="003F7B9F" w:rsidP="00A35EAF">
      <w:pPr>
        <w:pStyle w:val="BodyText"/>
      </w:pPr>
      <w:r w:rsidRPr="00771210">
        <w:t>The vehicle classification segment inventory will allow a determination of how much classification counting is needed and how many of the volume counts should be classif</w:t>
      </w:r>
      <w:r>
        <w:t>ication counts</w:t>
      </w:r>
      <w:r w:rsidRPr="00771210">
        <w:t xml:space="preserve">. A general rule of thumb is that 25 to 30 percent of the coverage volume counts should be classification. This depends on the actual volume coverage program in operation, the character of the road system covered, and many other considerations. The general rule of thumb applies to the traffic volume program recommendation using a coverage program over a </w:t>
      </w:r>
      <w:r w:rsidR="00B63B96">
        <w:t>3</w:t>
      </w:r>
      <w:r w:rsidRPr="00771210">
        <w:t>-year cycle.</w:t>
      </w:r>
    </w:p>
    <w:p w14:paraId="55244A0A" w14:textId="287F04C3" w:rsidR="003F7B9F" w:rsidRPr="00771210" w:rsidRDefault="003F7B9F" w:rsidP="00A35EAF">
      <w:pPr>
        <w:pStyle w:val="BodyText"/>
      </w:pPr>
      <w:r>
        <w:t>Traffic engineering</w:t>
      </w:r>
      <w:r w:rsidRPr="00771210">
        <w:t xml:space="preserve"> judgment</w:t>
      </w:r>
      <w:r w:rsidR="00B63B96">
        <w:t>s</w:t>
      </w:r>
      <w:r w:rsidRPr="00771210">
        <w:t xml:space="preserve"> are greatly needed to determine how to integrate classification and volume counting. Different agencies will make </w:t>
      </w:r>
      <w:r>
        <w:t xml:space="preserve">specific </w:t>
      </w:r>
      <w:r w:rsidRPr="00771210">
        <w:t xml:space="preserve">decisions depending on many considerations. In some cases, the availability of low-cost classification equipment can almost justify the conversion of most counting to classification. The gain in information on </w:t>
      </w:r>
      <w:r>
        <w:t>different classes of vehicles</w:t>
      </w:r>
      <w:r w:rsidRPr="00771210">
        <w:t xml:space="preserve">, combined with the elimination of the error introduced by axle correction, will likely justify the extra cost. Many of the newer counters perform classification, and many agencies that have acquired the new equipment </w:t>
      </w:r>
      <w:r w:rsidR="00B63B96">
        <w:t xml:space="preserve">thar </w:t>
      </w:r>
      <w:r w:rsidRPr="00771210">
        <w:t>classif</w:t>
      </w:r>
      <w:r w:rsidR="00B63B96">
        <w:t>ies</w:t>
      </w:r>
      <w:r w:rsidRPr="00771210">
        <w:t xml:space="preserve"> rather than only collect</w:t>
      </w:r>
      <w:r w:rsidR="00B63B96">
        <w:t>s</w:t>
      </w:r>
      <w:r w:rsidRPr="00771210">
        <w:t xml:space="preserve"> volume data. The trend is to go toward collecting and storing all vehicle types in a per</w:t>
      </w:r>
      <w:r w:rsidR="00B63B96">
        <w:t>-</w:t>
      </w:r>
      <w:r w:rsidRPr="00771210">
        <w:t xml:space="preserve">vehicle format. </w:t>
      </w:r>
      <w:r w:rsidR="00B63B96">
        <w:t>However</w:t>
      </w:r>
      <w:r w:rsidRPr="00771210">
        <w:t xml:space="preserve">, changes in program direction, the acquisition of newer equipment, and the implementation of program changes do not occur overnight. </w:t>
      </w:r>
    </w:p>
    <w:p w14:paraId="6C3947D5" w14:textId="2BE66ABB" w:rsidR="003F7B9F" w:rsidRPr="00771210" w:rsidRDefault="003F7B9F" w:rsidP="00A35EAF">
      <w:pPr>
        <w:pStyle w:val="BodyText"/>
      </w:pPr>
      <w:r>
        <w:t xml:space="preserve">Some </w:t>
      </w:r>
      <w:r w:rsidRPr="00771210">
        <w:t>lower</w:t>
      </w:r>
      <w:r w:rsidR="00B63B96">
        <w:t>-</w:t>
      </w:r>
      <w:r w:rsidRPr="00771210">
        <w:t xml:space="preserve">volume </w:t>
      </w:r>
      <w:r w:rsidRPr="00F60C0A">
        <w:t>roads</w:t>
      </w:r>
      <w:r w:rsidRPr="00771210">
        <w:t xml:space="preserve"> do not have the volume of </w:t>
      </w:r>
      <w:r>
        <w:t xml:space="preserve">different </w:t>
      </w:r>
      <w:r w:rsidRPr="00771210">
        <w:t>classifi</w:t>
      </w:r>
      <w:r>
        <w:t>cation of</w:t>
      </w:r>
      <w:r w:rsidRPr="00771210">
        <w:t xml:space="preserve"> vehicles (</w:t>
      </w:r>
      <w:r>
        <w:t xml:space="preserve">mainly recording of </w:t>
      </w:r>
      <w:r w:rsidRPr="00771210">
        <w:t xml:space="preserve">trucks) to justify the full conversion of volume counting to classification. These are the roads where the installation of classifiers based on road tubes is easier and where equipment limitations are not a problem. However, once a classification count is taken, additional repetitive counts may not improve the </w:t>
      </w:r>
      <w:r>
        <w:t>individual classification</w:t>
      </w:r>
      <w:r w:rsidRPr="00771210">
        <w:t xml:space="preserve"> volume estimates. In these cases, a decision to save a little time, effort, and funding could be appropriate.</w:t>
      </w:r>
    </w:p>
    <w:p w14:paraId="6C85AD4A" w14:textId="347C7846" w:rsidR="003F7B9F" w:rsidRPr="00771210" w:rsidRDefault="003F7B9F" w:rsidP="00A35EAF">
      <w:pPr>
        <w:pStyle w:val="BodyText"/>
      </w:pPr>
      <w:r w:rsidRPr="00771210">
        <w:t>On higher</w:t>
      </w:r>
      <w:r w:rsidR="00F60C0A">
        <w:t>-volume</w:t>
      </w:r>
      <w:r w:rsidRPr="00771210">
        <w:t xml:space="preserve"> road</w:t>
      </w:r>
      <w:r w:rsidR="00F60C0A">
        <w:t>s</w:t>
      </w:r>
      <w:r w:rsidRPr="00771210">
        <w:t xml:space="preserve">, repetitive classification may greatly enhance the understanding of </w:t>
      </w:r>
      <w:r>
        <w:t>individual classification travel</w:t>
      </w:r>
      <w:r w:rsidRPr="00771210">
        <w:t xml:space="preserve"> variability and result in better </w:t>
      </w:r>
      <w:r>
        <w:t xml:space="preserve">classification </w:t>
      </w:r>
      <w:r w:rsidRPr="00771210">
        <w:t xml:space="preserve">estimates. However, on these roads the collection of classification data is </w:t>
      </w:r>
      <w:r>
        <w:t>often</w:t>
      </w:r>
      <w:r w:rsidRPr="00771210">
        <w:t xml:space="preserve"> more </w:t>
      </w:r>
      <w:r>
        <w:t>difficult due to multiple lanes and counting for longer periods in all lanes.</w:t>
      </w:r>
      <w:r w:rsidRPr="00771210">
        <w:t xml:space="preserve"> In the higher</w:t>
      </w:r>
      <w:r w:rsidR="00F60C0A">
        <w:t>-</w:t>
      </w:r>
      <w:r w:rsidRPr="00771210">
        <w:t>volume systems, portable equipment installation may not be safe or effective, and the installation of more expensive equipment is the only solution.</w:t>
      </w:r>
    </w:p>
    <w:p w14:paraId="5F55D3E9" w14:textId="261EF15E" w:rsidR="003F7B9F" w:rsidRPr="00771210" w:rsidRDefault="003F7B9F" w:rsidP="00A35EAF">
      <w:pPr>
        <w:pStyle w:val="BodyText"/>
      </w:pPr>
      <w:r w:rsidRPr="00771210">
        <w:t xml:space="preserve">Such constraints may dictate a slower conversion from the current data collection program to the recommended program that emphasizes classification counting. Still, all highway agencies need to understand the use of their roadways by </w:t>
      </w:r>
      <w:r>
        <w:t>different vehicle types (motorcycles, buses</w:t>
      </w:r>
      <w:r w:rsidR="00F60C0A">
        <w:t>,</w:t>
      </w:r>
      <w:r>
        <w:t xml:space="preserve"> and trucks)</w:t>
      </w:r>
      <w:r w:rsidRPr="00771210">
        <w:t xml:space="preserve">, and consequently counting of </w:t>
      </w:r>
      <w:r>
        <w:t xml:space="preserve">the </w:t>
      </w:r>
      <w:r w:rsidR="00F60C0A">
        <w:t>six</w:t>
      </w:r>
      <w:r>
        <w:t xml:space="preserve"> vehicle types</w:t>
      </w:r>
      <w:r w:rsidRPr="00771210">
        <w:t xml:space="preserve"> is an important task. To help achieve that objective, another useful rule of thumb is that a minimum of one vehicle classification count should be taken on each road each year to ensure a minimum of data available annually to represent each road. Where practical, these counts should be taken at existing HPMS volume sample sections to ensure the quality of classification data reported to the HPMS.</w:t>
      </w:r>
    </w:p>
    <w:p w14:paraId="7AAF7E5D" w14:textId="07F2EFFE" w:rsidR="003F7B9F" w:rsidRPr="00771210" w:rsidRDefault="003F7B9F" w:rsidP="00A35EAF">
      <w:pPr>
        <w:pStyle w:val="BodyText"/>
      </w:pPr>
      <w:r w:rsidRPr="00771210">
        <w:t>Many caveats apply to this rule of thumb as well. For long roads (such as roads that extend across an entire State), far more than one count should be taken; for roads that change character (e.g., a route may be primarily a farm</w:t>
      </w:r>
      <w:r w:rsidR="00F60C0A">
        <w:t>-</w:t>
      </w:r>
      <w:r w:rsidRPr="00771210">
        <w:t>to</w:t>
      </w:r>
      <w:r w:rsidR="00F60C0A">
        <w:t>-</w:t>
      </w:r>
      <w:r w:rsidRPr="00771210">
        <w:t xml:space="preserve">market road in one place but become a major freight hauling road in another), several classification counts </w:t>
      </w:r>
      <w:r>
        <w:t xml:space="preserve">would </w:t>
      </w:r>
      <w:r w:rsidRPr="00771210">
        <w:t xml:space="preserve">be appropriate. </w:t>
      </w:r>
    </w:p>
    <w:p w14:paraId="398FA521" w14:textId="5657A920" w:rsidR="003F7B9F" w:rsidRPr="00771210" w:rsidRDefault="003F7B9F" w:rsidP="00A35EAF">
      <w:pPr>
        <w:pStyle w:val="BodyText"/>
      </w:pPr>
      <w:r w:rsidRPr="00771210">
        <w:t xml:space="preserve">Roads that experience significant changes in truck traffic due to changes in industrial activity and/or junctions that lead to truck generators may need classification counts on either side of the junctions where truck activity levels change. For minor routes, a single classification count may be all that is needed. Finally, some agencies may decide to take additional vehicle classification counts whenever resources permit simply because </w:t>
      </w:r>
      <w:r>
        <w:t>a specific vehicle type</w:t>
      </w:r>
      <w:r w:rsidRPr="00771210">
        <w:t xml:space="preserve"> </w:t>
      </w:r>
      <w:r w:rsidRPr="00771210">
        <w:lastRenderedPageBreak/>
        <w:t>play</w:t>
      </w:r>
      <w:r w:rsidR="001E6462">
        <w:t>s</w:t>
      </w:r>
      <w:r w:rsidRPr="00771210">
        <w:t xml:space="preserve"> a major role in defining coverage program segments and to ensure quality data are available to meet </w:t>
      </w:r>
      <w:r>
        <w:t xml:space="preserve">traffic data </w:t>
      </w:r>
      <w:r w:rsidRPr="00771210">
        <w:t>user needs.</w:t>
      </w:r>
    </w:p>
    <w:p w14:paraId="56BEB9D4" w14:textId="77777777" w:rsidR="003F7B9F" w:rsidRPr="00771210" w:rsidRDefault="003F7B9F" w:rsidP="00A35EAF">
      <w:pPr>
        <w:pStyle w:val="BodyText"/>
      </w:pPr>
      <w:r w:rsidRPr="00771210">
        <w:t xml:space="preserve">The implementation of a comprehensive classification coverage program requires direct integration into the standard volume counting program activities. The manner of scheduling, equipment, staff, and resources should be adequately considered. </w:t>
      </w:r>
    </w:p>
    <w:p w14:paraId="6DEBE7DC" w14:textId="77777777" w:rsidR="003F7B9F" w:rsidRDefault="003F7B9F" w:rsidP="00A35EAF">
      <w:pPr>
        <w:pStyle w:val="BodyText"/>
      </w:pPr>
      <w:r w:rsidRPr="00771210">
        <w:t xml:space="preserve">It may not be necessary to perform vehicle classification counts at the same location every year. Any placement within the defined segment should provide adequate representation and any additional counts taken help to verify the annual estimate provided. Likewise, </w:t>
      </w:r>
      <w:r>
        <w:t xml:space="preserve">it would be best to collect </w:t>
      </w:r>
      <w:r w:rsidRPr="00771210">
        <w:t xml:space="preserve">classification counts </w:t>
      </w:r>
      <w:r>
        <w:t xml:space="preserve">randomly (by location and time of year). </w:t>
      </w:r>
      <w:r w:rsidRPr="00771210">
        <w:t xml:space="preserve">In fact, counts taken at different times of the year provide independent estimates that will help to verify and/or improve the segment estimate. Careful scheduling of the data collection effort may also be necessary to measure important, seasonal truck movements such as those due to harvesting or other highly seasonal events. </w:t>
      </w:r>
    </w:p>
    <w:p w14:paraId="0E2AC7B4" w14:textId="6E91F75C" w:rsidR="003F7B9F" w:rsidRDefault="003F7B9F" w:rsidP="00A119E0">
      <w:pPr>
        <w:pStyle w:val="CallOut"/>
      </w:pPr>
      <w:r w:rsidRPr="00095108">
        <w:t xml:space="preserve">The recommended cycle of monitoring for the classification program is </w:t>
      </w:r>
      <w:r w:rsidR="00E061FE">
        <w:t>3</w:t>
      </w:r>
      <w:r w:rsidRPr="00095108">
        <w:t xml:space="preserve"> years. The schedule of counts should be developed</w:t>
      </w:r>
      <w:r w:rsidRPr="00771210">
        <w:t xml:space="preserve"> to ensure that coverage of each classification segment occurs at least once within a </w:t>
      </w:r>
      <w:r w:rsidR="00E061FE">
        <w:t>6</w:t>
      </w:r>
      <w:r w:rsidRPr="00771210">
        <w:t>-year cycle.</w:t>
      </w:r>
    </w:p>
    <w:p w14:paraId="1A3C03B5" w14:textId="77777777" w:rsidR="003F7B9F" w:rsidRPr="00771210" w:rsidRDefault="003F7B9F" w:rsidP="00A35EAF">
      <w:pPr>
        <w:pStyle w:val="BodyText"/>
      </w:pPr>
      <w:r w:rsidRPr="00771210">
        <w:t xml:space="preserve">Whenever possible, vehicle classification counts should be taken within the HPMS volume sample sections. This results in direct estimates for each sample section, thereby allowing the expansion of the truck percent variables in the HPMS to valid system estimates of </w:t>
      </w:r>
      <w:r>
        <w:t>the six types of vehicular</w:t>
      </w:r>
      <w:r w:rsidRPr="00771210">
        <w:t xml:space="preserve"> travel.</w:t>
      </w:r>
    </w:p>
    <w:p w14:paraId="310ED4D0" w14:textId="77777777" w:rsidR="00F30A7B" w:rsidRPr="00914EB6" w:rsidRDefault="00F30A7B" w:rsidP="00A35EAF">
      <w:pPr>
        <w:pStyle w:val="BodyText"/>
        <w:rPr>
          <w:rStyle w:val="Strong"/>
          <w:rFonts w:ascii="Cambria" w:hAnsi="Cambria"/>
          <w:sz w:val="22"/>
          <w:szCs w:val="22"/>
        </w:rPr>
      </w:pPr>
      <w:bookmarkStart w:id="2064" w:name="Other_Special_Needs_Counts"/>
      <w:bookmarkStart w:id="2065" w:name="_Toc324246180"/>
      <w:bookmarkStart w:id="2066" w:name="_Toc324780202"/>
      <w:bookmarkStart w:id="2067" w:name="_Toc335302487"/>
      <w:r w:rsidRPr="00914EB6">
        <w:rPr>
          <w:rStyle w:val="Strong"/>
          <w:rFonts w:ascii="Cambria" w:hAnsi="Cambria"/>
          <w:sz w:val="22"/>
          <w:szCs w:val="22"/>
        </w:rPr>
        <w:t xml:space="preserve">Short-Term Vehicle Classification Count Duration </w:t>
      </w:r>
    </w:p>
    <w:p w14:paraId="2106FF37" w14:textId="77777777" w:rsidR="00F30A7B" w:rsidRPr="00686DCB" w:rsidRDefault="00F30A7B" w:rsidP="00A119E0">
      <w:pPr>
        <w:pStyle w:val="CallOut"/>
      </w:pPr>
      <w:r w:rsidRPr="00095108">
        <w:t xml:space="preserve">The recommended minimum length of monitoring for vehicle classification data </w:t>
      </w:r>
      <w:r>
        <w:t>is</w:t>
      </w:r>
      <w:r w:rsidRPr="00095108">
        <w:t xml:space="preserve"> 48 </w:t>
      </w:r>
      <w:r w:rsidRPr="00686DCB">
        <w:t>consecutive hours.</w:t>
      </w:r>
    </w:p>
    <w:p w14:paraId="247997AE" w14:textId="77777777" w:rsidR="00F30A7B" w:rsidRPr="00CB7B4B" w:rsidRDefault="00F30A7B" w:rsidP="00A35EAF">
      <w:pPr>
        <w:pStyle w:val="BodyText"/>
      </w:pPr>
      <w:r w:rsidRPr="00481969">
        <w:t>Other count durations can produce reasonable results in some cases but are not recommended for general use. Equipment that can collect data in hourly (or other time increments such as 5, 10, or 15 minutes, etc.) traffic bins should be used for the general program. In urban areas or for special studies, the use of shorter intervals, such as 15 minutes, may be appropriate. The use of 48-hour periods is recommended because</w:t>
      </w:r>
      <w:r w:rsidRPr="00CB7B4B">
        <w:t>:</w:t>
      </w:r>
    </w:p>
    <w:p w14:paraId="67BCB89D" w14:textId="70CB7543" w:rsidR="00F30A7B" w:rsidRPr="00F30A7B" w:rsidRDefault="00F30A7B">
      <w:pPr>
        <w:pStyle w:val="TMGBullet"/>
      </w:pPr>
      <w:r w:rsidRPr="00F30A7B">
        <w:t>The accuracy of the volume by class estimates of 48-hour counts increase for low</w:t>
      </w:r>
      <w:r w:rsidR="00E061FE">
        <w:t>-</w:t>
      </w:r>
      <w:r w:rsidRPr="00F30A7B">
        <w:t xml:space="preserve">volume classes. </w:t>
      </w:r>
    </w:p>
    <w:p w14:paraId="4E034709" w14:textId="42B17C02" w:rsidR="00F30A7B" w:rsidRPr="00F30A7B" w:rsidRDefault="00F30A7B">
      <w:pPr>
        <w:pStyle w:val="TMGBullet"/>
      </w:pPr>
      <w:r w:rsidRPr="00F30A7B">
        <w:t>Significant improvement in quality control capabilities become possible with the comparison of one day</w:t>
      </w:r>
      <w:r w:rsidR="00C57347">
        <w:t>’</w:t>
      </w:r>
      <w:r w:rsidRPr="00F30A7B">
        <w:t>s hourly traffic counts against the second day's counts</w:t>
      </w:r>
      <w:r w:rsidR="00E061FE">
        <w:t>.</w:t>
      </w:r>
    </w:p>
    <w:p w14:paraId="6EC9029A" w14:textId="52C4D1C7" w:rsidR="00F30A7B" w:rsidRPr="00F30A7B" w:rsidRDefault="00F30A7B">
      <w:pPr>
        <w:pStyle w:val="TMGBullet"/>
      </w:pPr>
      <w:r w:rsidRPr="00F30A7B">
        <w:t>Longevity of the sensors/road tube and equipment has improved to provide longer duration counts</w:t>
      </w:r>
      <w:r w:rsidR="00E061FE">
        <w:t>.</w:t>
      </w:r>
    </w:p>
    <w:p w14:paraId="3075C216" w14:textId="0706E06E" w:rsidR="00F30A7B" w:rsidRPr="00CA5338" w:rsidRDefault="00F30A7B" w:rsidP="00A35EAF">
      <w:pPr>
        <w:pStyle w:val="BodyText"/>
      </w:pPr>
      <w:r w:rsidRPr="000077D4">
        <w:t xml:space="preserve">Counting throughout the </w:t>
      </w:r>
      <w:r w:rsidRPr="00CA5338">
        <w:t xml:space="preserve">day for an entire 24-hour period is important to determine accurate daily volumes, particularly on roads that carry substantial numbers of trucks. Counts that are less than 24 hours are not recommended but if collected, will need to be adjusted to daily totals using a daily adjustment factor to convert the shorter period to a 24-hour estimate that is then used to calculate an AADT. This adjustment factor should be obtained from more extensive classification counts on similar roads because the time-of-day distribution of truck volume is not the same as that for total volume. The daily volume will need to be converted to an annual estimate by using the appropriate temporal factors. Any deviation to not collecting 48 hours </w:t>
      </w:r>
      <w:r>
        <w:t>of</w:t>
      </w:r>
      <w:r w:rsidRPr="00CA5338">
        <w:t xml:space="preserve"> class and/or 24/48 hour for volume should be detailed in the State TMS plan and approved by the local FHWA </w:t>
      </w:r>
      <w:r w:rsidR="00E061FE">
        <w:t>D</w:t>
      </w:r>
      <w:r w:rsidRPr="00CA5338">
        <w:t>istrict office.</w:t>
      </w:r>
    </w:p>
    <w:p w14:paraId="30A38E73" w14:textId="2DDC9595" w:rsidR="00F30A7B" w:rsidRPr="00CA5338" w:rsidRDefault="00F30A7B" w:rsidP="00A35EAF">
      <w:pPr>
        <w:pStyle w:val="BodyText"/>
      </w:pPr>
      <w:r w:rsidRPr="00CA5338">
        <w:t xml:space="preserve">Vehicle classification counts of longer than 48 hours are useful, and a minimum of 48 hours is recommended particularly when those counts extend over the weekend, since they provide better DOW volume information. Whether a highway agency can conduct longer counts is a function of short-term </w:t>
      </w:r>
      <w:r>
        <w:t>data collect program</w:t>
      </w:r>
      <w:r w:rsidRPr="00CA5338">
        <w:t xml:space="preserve"> size, staff utilization, and other factors. Longer duration counts from 72 hours to 7 days are encouraged.</w:t>
      </w:r>
    </w:p>
    <w:p w14:paraId="0B66FCE4" w14:textId="026342C2" w:rsidR="003F7B9F" w:rsidRPr="00914EB6" w:rsidRDefault="003F7B9F" w:rsidP="00A35EAF">
      <w:pPr>
        <w:pStyle w:val="BodyText"/>
        <w:rPr>
          <w:rStyle w:val="Strong"/>
          <w:rFonts w:ascii="Cambria" w:hAnsi="Cambria"/>
          <w:sz w:val="22"/>
          <w:szCs w:val="22"/>
        </w:rPr>
      </w:pPr>
      <w:r w:rsidRPr="00914EB6">
        <w:rPr>
          <w:rStyle w:val="Strong"/>
          <w:rFonts w:ascii="Cambria" w:hAnsi="Cambria"/>
          <w:sz w:val="22"/>
          <w:szCs w:val="22"/>
        </w:rPr>
        <w:t>Other Special Needs Counts</w:t>
      </w:r>
      <w:bookmarkEnd w:id="2064"/>
      <w:bookmarkEnd w:id="2065"/>
      <w:bookmarkEnd w:id="2066"/>
      <w:bookmarkEnd w:id="2067"/>
    </w:p>
    <w:p w14:paraId="09006AE8" w14:textId="7BE23FEC" w:rsidR="00C81DF8" w:rsidRDefault="003F7B9F" w:rsidP="00A35EAF">
      <w:pPr>
        <w:pStyle w:val="BodyText"/>
      </w:pPr>
      <w:r w:rsidRPr="005349A3">
        <w:t>As with traditional volume counting, the vehicle classification count program requires special counts in addition to those collected for coverage to meet needs that the short-term program does not cover. Traditionally, these counts have been primarily project related.</w:t>
      </w:r>
    </w:p>
    <w:p w14:paraId="31BB38B2" w14:textId="77777777" w:rsidR="00C81DF8" w:rsidRDefault="00C81DF8">
      <w:pPr>
        <w:widowControl/>
        <w:suppressAutoHyphens w:val="0"/>
        <w:autoSpaceDE/>
        <w:autoSpaceDN/>
        <w:adjustRightInd/>
        <w:spacing w:after="160" w:line="259" w:lineRule="auto"/>
        <w:jc w:val="left"/>
        <w:textAlignment w:val="auto"/>
        <w:rPr>
          <w:color w:val="auto"/>
        </w:rPr>
      </w:pPr>
      <w:r>
        <w:br w:type="page"/>
      </w:r>
    </w:p>
    <w:p w14:paraId="701202F8" w14:textId="77777777" w:rsidR="003F7B9F" w:rsidRPr="00914EB6" w:rsidRDefault="003F7B9F" w:rsidP="00A35EAF">
      <w:pPr>
        <w:pStyle w:val="BodyText"/>
        <w:rPr>
          <w:rStyle w:val="Strong"/>
          <w:rFonts w:ascii="Cambria" w:hAnsi="Cambria"/>
          <w:sz w:val="22"/>
          <w:szCs w:val="22"/>
        </w:rPr>
      </w:pPr>
      <w:bookmarkStart w:id="2068" w:name="Project_Counts"/>
      <w:bookmarkStart w:id="2069" w:name="_Toc324246181"/>
      <w:bookmarkStart w:id="2070" w:name="_Toc324780203"/>
      <w:bookmarkStart w:id="2071" w:name="_Toc335302488"/>
      <w:r w:rsidRPr="00914EB6">
        <w:rPr>
          <w:rStyle w:val="Strong"/>
          <w:rFonts w:ascii="Cambria" w:hAnsi="Cambria"/>
          <w:sz w:val="22"/>
          <w:szCs w:val="22"/>
        </w:rPr>
        <w:lastRenderedPageBreak/>
        <w:t>Project Counts</w:t>
      </w:r>
      <w:bookmarkEnd w:id="2068"/>
      <w:bookmarkEnd w:id="2069"/>
      <w:bookmarkEnd w:id="2070"/>
      <w:bookmarkEnd w:id="2071"/>
    </w:p>
    <w:p w14:paraId="7E08E93D" w14:textId="77777777" w:rsidR="003F7B9F" w:rsidRPr="005349A3" w:rsidRDefault="003F7B9F" w:rsidP="00A35EAF">
      <w:pPr>
        <w:pStyle w:val="BodyText"/>
      </w:pPr>
      <w:r w:rsidRPr="005349A3">
        <w:t>In some States, a significant number of classification counts are project related. Most commonly, these counts are taken to determine the truck traffic on a road segment that requires a traffic load estimate as an input for a pavement rehabilitation design. Collection of the data specifically for the road segment being rehabilitated ensures that the count data reflect current conditions and that the data used in the geometric and structural design procedures are accurate enough to ensure adequate performance of the new pavement over the design life of the project. Common reasons for project counts include pavement design, operational design (e.g., signal timing or testing the need for truck climbing and/or passing lanes), geometric design, and corridor studies. Each project count can have different requirements for duration, spatial frequency, and types of summary measures that must be produced.</w:t>
      </w:r>
    </w:p>
    <w:p w14:paraId="36E8C0D2" w14:textId="77777777" w:rsidR="003F7B9F" w:rsidRPr="005349A3" w:rsidRDefault="003F7B9F" w:rsidP="00A35EAF">
      <w:pPr>
        <w:pStyle w:val="BodyText"/>
      </w:pPr>
      <w:r w:rsidRPr="005349A3">
        <w:t>The establishment of a classification short-term program will allow a more complete understanding of specific types of traffic on the highway systems and optimistically limit the need for additional counting to only special cases.</w:t>
      </w:r>
    </w:p>
    <w:p w14:paraId="1A3A1547" w14:textId="3504C6D9" w:rsidR="003F7B9F" w:rsidRPr="00914EB6" w:rsidRDefault="003F7B9F" w:rsidP="00A35EAF">
      <w:pPr>
        <w:pStyle w:val="BodyText"/>
        <w:rPr>
          <w:rStyle w:val="Strong"/>
          <w:rFonts w:ascii="Cambria" w:hAnsi="Cambria"/>
          <w:sz w:val="22"/>
          <w:szCs w:val="22"/>
        </w:rPr>
      </w:pPr>
      <w:bookmarkStart w:id="2072" w:name="Urban_Classification_Count_Programs"/>
      <w:bookmarkStart w:id="2073" w:name="_Toc324246182"/>
      <w:bookmarkStart w:id="2074" w:name="_Toc324780204"/>
      <w:bookmarkStart w:id="2075" w:name="_Toc335302489"/>
      <w:r w:rsidRPr="00914EB6">
        <w:rPr>
          <w:rStyle w:val="Strong"/>
          <w:rFonts w:ascii="Cambria" w:hAnsi="Cambria"/>
          <w:sz w:val="22"/>
          <w:szCs w:val="22"/>
        </w:rPr>
        <w:t>Urban Classification Count Programs</w:t>
      </w:r>
      <w:bookmarkEnd w:id="2072"/>
      <w:bookmarkEnd w:id="2073"/>
      <w:bookmarkEnd w:id="2074"/>
      <w:bookmarkEnd w:id="2075"/>
    </w:p>
    <w:p w14:paraId="414F083B" w14:textId="60206043" w:rsidR="003F7B9F" w:rsidRPr="00771210" w:rsidRDefault="003F7B9F" w:rsidP="00A35EAF">
      <w:pPr>
        <w:pStyle w:val="BodyText"/>
      </w:pPr>
      <w:r w:rsidRPr="00771210">
        <w:t>The need for classification data in urban areas is pressing. Unfortunately, these are some of the most difficult places for current data collection equipment to operate. Existing counter technologies have significant difficulty classifying vehicles in conditions where vehicles do not operate at constant speed, where vehicles follow very closely, or where stop</w:t>
      </w:r>
      <w:r w:rsidR="00E061FE">
        <w:t>-</w:t>
      </w:r>
      <w:r w:rsidRPr="00771210">
        <w:t>and</w:t>
      </w:r>
      <w:r w:rsidR="00E061FE">
        <w:t>-</w:t>
      </w:r>
      <w:r w:rsidRPr="00771210">
        <w:t>go traffic occurs. This is particularly true for equipment that relies on inductive loops and axle detectors.</w:t>
      </w:r>
    </w:p>
    <w:p w14:paraId="0FFB8532" w14:textId="647D791C" w:rsidR="003F7B9F" w:rsidRPr="00771210" w:rsidRDefault="003F7B9F" w:rsidP="00A35EAF">
      <w:pPr>
        <w:pStyle w:val="BodyText"/>
      </w:pPr>
      <w:r w:rsidRPr="00771210">
        <w:t xml:space="preserve">However, this does not mean that vehicle classification counts cannot be taken in urban areas. Agencies must simply take special care in selecting the technologies they use, the sensor and array that works best, and the locations where they place the equipment to ensure that the data collected are valid. Research efforts to investigate new technologies should continue. Several new technologies (ITS and segmented sensors), video </w:t>
      </w:r>
      <w:r>
        <w:t xml:space="preserve">imaging </w:t>
      </w:r>
      <w:r w:rsidRPr="00771210">
        <w:t>and various laser-based technologies, can classify accurately in urban conditions when they are correctly placed and calibrated.</w:t>
      </w:r>
      <w:r>
        <w:t xml:space="preserve"> Traffic monitoring sites that combine multiple technologies help to overcome challenges with monitoring traffic in urban areas.</w:t>
      </w:r>
      <w:r w:rsidR="004D4172">
        <w:t xml:space="preserve"> </w:t>
      </w:r>
    </w:p>
    <w:p w14:paraId="3F3186C3" w14:textId="495DF090" w:rsidR="003F7B9F" w:rsidRPr="00914EB6" w:rsidRDefault="003F7B9F" w:rsidP="00914EB6">
      <w:pPr>
        <w:pStyle w:val="BodyText"/>
      </w:pPr>
      <w:r w:rsidRPr="00914EB6">
        <w:t>Studies can be undertaken to identify the classification segments where classification data needs exist. Examples of this include transit studies and motorcycle traveling roadway studies.</w:t>
      </w:r>
      <w:r w:rsidR="000953E2" w:rsidRPr="00914EB6">
        <w:t xml:space="preserve"> </w:t>
      </w:r>
      <w:r w:rsidRPr="00914EB6">
        <w:t>The first step is to identify current installations where classification data may already be collected by ITS installations, State continuous counters, tolls, “your speed is” signs, bridges, traffic signals, etc. Retrieving those data reduces the need for the use of portable data collection equipment at as many sites. Secondly, identify the remaining locations where the portable data collection program can collect data using current technology. Subtracting these sites from the set of all needed locations should result in a set of locations where data cannot be collected using current means. The use of manual counts or visual counts is often a last resort in cases where data cannot be collected by other means. Finally, a determination can be made of the counting/classification program needed to provide system short-term and meet special count needs.</w:t>
      </w:r>
      <w:r w:rsidR="004D4172" w:rsidRPr="00914EB6">
        <w:t xml:space="preserve"> </w:t>
      </w:r>
      <w:r w:rsidRPr="00914EB6">
        <w:t>Also, DOT agencies can obtain counts from data partner agencies such as cities, counties, metropolitan planning organizations, and others to supplement their existing traffic data repositories.</w:t>
      </w:r>
    </w:p>
    <w:p w14:paraId="6A0BB823" w14:textId="77777777" w:rsidR="003F7B9F" w:rsidRPr="00771210" w:rsidRDefault="003F7B9F" w:rsidP="00A35EAF">
      <w:pPr>
        <w:pStyle w:val="BodyText"/>
      </w:pPr>
      <w:r w:rsidRPr="00771210">
        <w:t>Classification data also offer the additional advantage of providing speed data that are often used in air quality analysis and other urban studies. Likewise, speed studies provide classification data, thereby offering an opportunity for coordination and reduced data collection.</w:t>
      </w:r>
    </w:p>
    <w:p w14:paraId="5EA3F3A0" w14:textId="14A08C66" w:rsidR="003F7B9F" w:rsidRPr="00914EB6" w:rsidRDefault="003F7B9F" w:rsidP="00A35EAF">
      <w:pPr>
        <w:pStyle w:val="BodyText"/>
        <w:rPr>
          <w:rStyle w:val="Strong"/>
          <w:rFonts w:ascii="Cambria" w:hAnsi="Cambria"/>
          <w:sz w:val="22"/>
          <w:szCs w:val="22"/>
        </w:rPr>
      </w:pPr>
      <w:bookmarkStart w:id="2076" w:name="Integration"/>
      <w:bookmarkStart w:id="2077" w:name="_Toc324246183"/>
      <w:bookmarkStart w:id="2078" w:name="_Toc324780205"/>
      <w:bookmarkStart w:id="2079" w:name="_Toc335302490"/>
      <w:r w:rsidRPr="00914EB6">
        <w:rPr>
          <w:rStyle w:val="Strong"/>
          <w:rFonts w:ascii="Cambria" w:hAnsi="Cambria"/>
          <w:sz w:val="22"/>
          <w:szCs w:val="22"/>
        </w:rPr>
        <w:t>Integration of the Short-term Count Program with Other Programs</w:t>
      </w:r>
      <w:bookmarkEnd w:id="2076"/>
      <w:bookmarkEnd w:id="2077"/>
      <w:bookmarkEnd w:id="2078"/>
      <w:bookmarkEnd w:id="2079"/>
    </w:p>
    <w:p w14:paraId="52C623F4" w14:textId="62DCF3DF" w:rsidR="00C81DF8" w:rsidRDefault="003F7B9F" w:rsidP="00A35EAF">
      <w:pPr>
        <w:pStyle w:val="BodyText"/>
      </w:pPr>
      <w:r w:rsidRPr="00771210">
        <w:t xml:space="preserve">At first glance, the </w:t>
      </w:r>
      <w:r>
        <w:t>short-term</w:t>
      </w:r>
      <w:r w:rsidRPr="00771210">
        <w:t xml:space="preserve"> program recommended for classification counts can seem large. It is true that the recommended program is an expansion over previous recommendations. The expansion is due to the maturation of vehicle classification technology and an exp</w:t>
      </w:r>
      <w:r>
        <w:t xml:space="preserve">ansion in </w:t>
      </w:r>
      <w:r w:rsidRPr="00771210">
        <w:t xml:space="preserve">the need for truck data. </w:t>
      </w:r>
      <w:r>
        <w:t>M</w:t>
      </w:r>
      <w:r w:rsidRPr="00771210">
        <w:t xml:space="preserve">any States already actively collect substantial amounts of classification data </w:t>
      </w:r>
      <w:r>
        <w:t xml:space="preserve">(25-30% of a CCS sites are classification stations) </w:t>
      </w:r>
      <w:r w:rsidRPr="00771210">
        <w:t>to meet their own data needs</w:t>
      </w:r>
      <w:r>
        <w:t>.</w:t>
      </w:r>
      <w:r w:rsidRPr="00771210">
        <w:t xml:space="preserve"> </w:t>
      </w:r>
    </w:p>
    <w:p w14:paraId="5184A83F" w14:textId="77777777" w:rsidR="00C81DF8" w:rsidRDefault="00C81DF8">
      <w:pPr>
        <w:widowControl/>
        <w:suppressAutoHyphens w:val="0"/>
        <w:autoSpaceDE/>
        <w:autoSpaceDN/>
        <w:adjustRightInd/>
        <w:spacing w:after="160" w:line="259" w:lineRule="auto"/>
        <w:jc w:val="left"/>
        <w:textAlignment w:val="auto"/>
        <w:rPr>
          <w:color w:val="auto"/>
        </w:rPr>
      </w:pPr>
      <w:r>
        <w:br w:type="page"/>
      </w:r>
    </w:p>
    <w:p w14:paraId="165E37E3" w14:textId="77777777" w:rsidR="003F7B9F" w:rsidRPr="00771210" w:rsidRDefault="003F7B9F" w:rsidP="00A35EAF">
      <w:pPr>
        <w:pStyle w:val="BodyText"/>
      </w:pPr>
      <w:r w:rsidRPr="00771210">
        <w:lastRenderedPageBreak/>
        <w:t>The first level of integration is that classification counts should replace traditional volume counts on road sections where classification counts are taken. Therefore, for every classification count taken, one less volume count is needed. (In most cases, this still requires an increase in data collection resources because it takes more staff time as well as more physical data collection equipment to set classification counters than it does to set traditional volume counters for the same number of lanes of data collection.) Use of classification counters to provide total daily volume estimates also has the advantage of providing direct measurement of daily volume since the</w:t>
      </w:r>
      <w:r>
        <w:t>re is no</w:t>
      </w:r>
      <w:r w:rsidRPr="00771210">
        <w:t xml:space="preserve"> need for </w:t>
      </w:r>
      <w:r>
        <w:t xml:space="preserve">an </w:t>
      </w:r>
      <w:r w:rsidRPr="00771210">
        <w:t xml:space="preserve">axle correction </w:t>
      </w:r>
      <w:r>
        <w:t>factor.</w:t>
      </w:r>
      <w:r w:rsidRPr="00771210">
        <w:t xml:space="preserve"> </w:t>
      </w:r>
    </w:p>
    <w:p w14:paraId="3792B6B0" w14:textId="6E36E651" w:rsidR="003F7B9F" w:rsidRPr="00771210" w:rsidRDefault="003F7B9F" w:rsidP="00A35EAF">
      <w:pPr>
        <w:pStyle w:val="BodyText"/>
      </w:pPr>
      <w:r w:rsidRPr="00771210">
        <w:t xml:space="preserve">The </w:t>
      </w:r>
      <w:r>
        <w:t>short-term</w:t>
      </w:r>
      <w:r w:rsidRPr="00771210">
        <w:t xml:space="preserve"> count program should also be integrated as much as possible with the project count program. Existing project counting activities can eliminate the need for </w:t>
      </w:r>
      <w:r>
        <w:t>short-term</w:t>
      </w:r>
      <w:r w:rsidRPr="00771210">
        <w:t xml:space="preserve"> counts. Similarly, existing </w:t>
      </w:r>
      <w:r>
        <w:t>short-term</w:t>
      </w:r>
      <w:r w:rsidRPr="00771210">
        <w:t xml:space="preserve"> counts can often supply project information, if the existing </w:t>
      </w:r>
      <w:r>
        <w:t>short-term</w:t>
      </w:r>
      <w:r w:rsidRPr="00771210">
        <w:t xml:space="preserve"> count meets the informational needs of the project. Metadata to be included with the </w:t>
      </w:r>
      <w:r>
        <w:t>short-term</w:t>
      </w:r>
      <w:r w:rsidRPr="00771210">
        <w:t xml:space="preserve"> count is very important. </w:t>
      </w:r>
    </w:p>
    <w:p w14:paraId="127752C2" w14:textId="77777777" w:rsidR="003F7B9F" w:rsidRPr="00771210" w:rsidRDefault="003F7B9F" w:rsidP="00A35EAF">
      <w:pPr>
        <w:pStyle w:val="BodyText"/>
      </w:pPr>
      <w:r w:rsidRPr="00771210">
        <w:t>Finally, the classification count program should be integrated with other</w:t>
      </w:r>
      <w:r>
        <w:t xml:space="preserve"> travel and</w:t>
      </w:r>
      <w:r w:rsidRPr="00771210">
        <w:t xml:space="preserve"> traffic surveillance systems, particularly those involving regulation of the trucking industry (such as mainline sorting scale operations upstream of weight enforcement stations), as well as surveillance systems installed as part of </w:t>
      </w:r>
      <w:r>
        <w:t xml:space="preserve">travel and </w:t>
      </w:r>
      <w:r w:rsidRPr="00771210">
        <w:t>traffic management, safety, and traveler information systems.</w:t>
      </w:r>
    </w:p>
    <w:p w14:paraId="06AEA7A2" w14:textId="1FA2F4A6" w:rsidR="003F7B9F" w:rsidRPr="00517F7A" w:rsidRDefault="003F7B9F">
      <w:pPr>
        <w:pStyle w:val="Heading2"/>
      </w:pPr>
      <w:bookmarkStart w:id="2080" w:name="_Toc323825329"/>
      <w:bookmarkStart w:id="2081" w:name="_Toc323825404"/>
      <w:bookmarkStart w:id="2082" w:name="_Toc323825764"/>
      <w:bookmarkStart w:id="2083" w:name="_Toc323825902"/>
      <w:bookmarkStart w:id="2084" w:name="_Toc323825948"/>
      <w:bookmarkStart w:id="2085" w:name="_Toc323825994"/>
      <w:bookmarkStart w:id="2086" w:name="_Toc323826047"/>
      <w:bookmarkStart w:id="2087" w:name="_Toc323826100"/>
      <w:bookmarkStart w:id="2088" w:name="_Toc323826195"/>
      <w:bookmarkStart w:id="2089" w:name="_Toc323826290"/>
      <w:bookmarkStart w:id="2090" w:name="_Toc323826385"/>
      <w:bookmarkStart w:id="2091" w:name="_Toc323826480"/>
      <w:bookmarkStart w:id="2092" w:name="_Toc323826575"/>
      <w:bookmarkStart w:id="2093" w:name="_Toc323826670"/>
      <w:bookmarkStart w:id="2094" w:name="_Toc323826765"/>
      <w:bookmarkStart w:id="2095" w:name="_Toc323826860"/>
      <w:bookmarkStart w:id="2096" w:name="_Toc323826955"/>
      <w:bookmarkStart w:id="2097" w:name="_Toc323827050"/>
      <w:bookmarkStart w:id="2098" w:name="_Toc323827138"/>
      <w:bookmarkStart w:id="2099" w:name="_Toc323827226"/>
      <w:bookmarkStart w:id="2100" w:name="_Toc323827314"/>
      <w:bookmarkStart w:id="2101" w:name="_Toc323827402"/>
      <w:bookmarkStart w:id="2102" w:name="_Toc323827490"/>
      <w:bookmarkStart w:id="2103" w:name="_Toc323827578"/>
      <w:bookmarkStart w:id="2104" w:name="_Toc323827666"/>
      <w:bookmarkStart w:id="2105" w:name="_Toc323827754"/>
      <w:bookmarkStart w:id="2106" w:name="_Toc323827799"/>
      <w:bookmarkStart w:id="2107" w:name="_Toc323913271"/>
      <w:bookmarkStart w:id="2108" w:name="_Toc324176381"/>
      <w:bookmarkStart w:id="2109" w:name="_Toc324176461"/>
      <w:bookmarkStart w:id="2110" w:name="_Toc324232325"/>
      <w:bookmarkStart w:id="2111" w:name="_Toc324233209"/>
      <w:bookmarkStart w:id="2112" w:name="_Toc323825330"/>
      <w:bookmarkStart w:id="2113" w:name="_Toc323825405"/>
      <w:bookmarkStart w:id="2114" w:name="_Toc323825765"/>
      <w:bookmarkStart w:id="2115" w:name="_Toc323825903"/>
      <w:bookmarkStart w:id="2116" w:name="_Toc323825949"/>
      <w:bookmarkStart w:id="2117" w:name="_Toc323825995"/>
      <w:bookmarkStart w:id="2118" w:name="_Toc323826048"/>
      <w:bookmarkStart w:id="2119" w:name="_Toc323826101"/>
      <w:bookmarkStart w:id="2120" w:name="_Toc323826196"/>
      <w:bookmarkStart w:id="2121" w:name="_Toc323826291"/>
      <w:bookmarkStart w:id="2122" w:name="_Toc323826386"/>
      <w:bookmarkStart w:id="2123" w:name="_Toc323826481"/>
      <w:bookmarkStart w:id="2124" w:name="_Toc323826576"/>
      <w:bookmarkStart w:id="2125" w:name="_Toc323826671"/>
      <w:bookmarkStart w:id="2126" w:name="_Toc323826766"/>
      <w:bookmarkStart w:id="2127" w:name="_Toc323826861"/>
      <w:bookmarkStart w:id="2128" w:name="_Toc323826956"/>
      <w:bookmarkStart w:id="2129" w:name="_Toc323827051"/>
      <w:bookmarkStart w:id="2130" w:name="_Toc323827139"/>
      <w:bookmarkStart w:id="2131" w:name="_Toc323827227"/>
      <w:bookmarkStart w:id="2132" w:name="_Toc323827315"/>
      <w:bookmarkStart w:id="2133" w:name="_Toc323827403"/>
      <w:bookmarkStart w:id="2134" w:name="_Toc323827491"/>
      <w:bookmarkStart w:id="2135" w:name="_Toc323827579"/>
      <w:bookmarkStart w:id="2136" w:name="_Toc323827667"/>
      <w:bookmarkStart w:id="2137" w:name="_Toc323827755"/>
      <w:bookmarkStart w:id="2138" w:name="_Toc323827800"/>
      <w:bookmarkStart w:id="2139" w:name="_Toc323913272"/>
      <w:bookmarkStart w:id="2140" w:name="_Toc324176382"/>
      <w:bookmarkStart w:id="2141" w:name="_Toc324176462"/>
      <w:bookmarkStart w:id="2142" w:name="_Toc324232326"/>
      <w:bookmarkStart w:id="2143" w:name="_Toc324233210"/>
      <w:bookmarkStart w:id="2144" w:name="_Toc323825331"/>
      <w:bookmarkStart w:id="2145" w:name="_Toc323825406"/>
      <w:bookmarkStart w:id="2146" w:name="_Toc323825766"/>
      <w:bookmarkStart w:id="2147" w:name="_Toc323825904"/>
      <w:bookmarkStart w:id="2148" w:name="_Toc323825950"/>
      <w:bookmarkStart w:id="2149" w:name="_Toc323825996"/>
      <w:bookmarkStart w:id="2150" w:name="_Toc323826049"/>
      <w:bookmarkStart w:id="2151" w:name="_Toc323826102"/>
      <w:bookmarkStart w:id="2152" w:name="_Toc323826197"/>
      <w:bookmarkStart w:id="2153" w:name="_Toc323826292"/>
      <w:bookmarkStart w:id="2154" w:name="_Toc323826387"/>
      <w:bookmarkStart w:id="2155" w:name="_Toc323826482"/>
      <w:bookmarkStart w:id="2156" w:name="_Toc323826577"/>
      <w:bookmarkStart w:id="2157" w:name="_Toc323826672"/>
      <w:bookmarkStart w:id="2158" w:name="_Toc323826767"/>
      <w:bookmarkStart w:id="2159" w:name="_Toc323826862"/>
      <w:bookmarkStart w:id="2160" w:name="_Toc323826957"/>
      <w:bookmarkStart w:id="2161" w:name="_Toc323827052"/>
      <w:bookmarkStart w:id="2162" w:name="_Toc323827140"/>
      <w:bookmarkStart w:id="2163" w:name="_Toc323827228"/>
      <w:bookmarkStart w:id="2164" w:name="_Toc323827316"/>
      <w:bookmarkStart w:id="2165" w:name="_Toc323827404"/>
      <w:bookmarkStart w:id="2166" w:name="_Toc323827492"/>
      <w:bookmarkStart w:id="2167" w:name="_Toc323827580"/>
      <w:bookmarkStart w:id="2168" w:name="_Toc323827668"/>
      <w:bookmarkStart w:id="2169" w:name="_Toc323827756"/>
      <w:bookmarkStart w:id="2170" w:name="_Toc323827801"/>
      <w:bookmarkStart w:id="2171" w:name="_Toc323913273"/>
      <w:bookmarkStart w:id="2172" w:name="_Toc324176383"/>
      <w:bookmarkStart w:id="2173" w:name="_Toc324176463"/>
      <w:bookmarkStart w:id="2174" w:name="_Toc324232327"/>
      <w:bookmarkStart w:id="2175" w:name="_Toc324233211"/>
      <w:bookmarkStart w:id="2176" w:name="_Toc323825333"/>
      <w:bookmarkStart w:id="2177" w:name="_Toc323825408"/>
      <w:bookmarkStart w:id="2178" w:name="_Toc323825768"/>
      <w:bookmarkStart w:id="2179" w:name="_Toc323825906"/>
      <w:bookmarkStart w:id="2180" w:name="_Toc323825952"/>
      <w:bookmarkStart w:id="2181" w:name="_Toc323825998"/>
      <w:bookmarkStart w:id="2182" w:name="_Toc323826051"/>
      <w:bookmarkStart w:id="2183" w:name="_Toc323826104"/>
      <w:bookmarkStart w:id="2184" w:name="_Toc323826199"/>
      <w:bookmarkStart w:id="2185" w:name="_Toc323826294"/>
      <w:bookmarkStart w:id="2186" w:name="_Toc323826389"/>
      <w:bookmarkStart w:id="2187" w:name="_Toc323826484"/>
      <w:bookmarkStart w:id="2188" w:name="_Toc323826579"/>
      <w:bookmarkStart w:id="2189" w:name="_Toc323826674"/>
      <w:bookmarkStart w:id="2190" w:name="_Toc323826769"/>
      <w:bookmarkStart w:id="2191" w:name="_Toc323826864"/>
      <w:bookmarkStart w:id="2192" w:name="_Toc323826959"/>
      <w:bookmarkStart w:id="2193" w:name="_Toc323827054"/>
      <w:bookmarkStart w:id="2194" w:name="_Toc323827142"/>
      <w:bookmarkStart w:id="2195" w:name="_Toc323827230"/>
      <w:bookmarkStart w:id="2196" w:name="_Toc323827318"/>
      <w:bookmarkStart w:id="2197" w:name="_Toc323827406"/>
      <w:bookmarkStart w:id="2198" w:name="_Toc323827494"/>
      <w:bookmarkStart w:id="2199" w:name="_Toc323827582"/>
      <w:bookmarkStart w:id="2200" w:name="_Toc323827670"/>
      <w:bookmarkStart w:id="2201" w:name="_Toc323827758"/>
      <w:bookmarkStart w:id="2202" w:name="_Toc323827803"/>
      <w:bookmarkStart w:id="2203" w:name="_Toc323913275"/>
      <w:bookmarkStart w:id="2204" w:name="_Toc324176385"/>
      <w:bookmarkStart w:id="2205" w:name="_Toc324176465"/>
      <w:bookmarkStart w:id="2206" w:name="_Toc324232329"/>
      <w:bookmarkStart w:id="2207" w:name="_Toc324233213"/>
      <w:bookmarkStart w:id="2208" w:name="_Toc323825334"/>
      <w:bookmarkStart w:id="2209" w:name="_Toc323825409"/>
      <w:bookmarkStart w:id="2210" w:name="_Toc323825769"/>
      <w:bookmarkStart w:id="2211" w:name="_Toc323825907"/>
      <w:bookmarkStart w:id="2212" w:name="_Toc323825953"/>
      <w:bookmarkStart w:id="2213" w:name="_Toc323825999"/>
      <w:bookmarkStart w:id="2214" w:name="_Toc323826052"/>
      <w:bookmarkStart w:id="2215" w:name="_Toc323826105"/>
      <w:bookmarkStart w:id="2216" w:name="_Toc323826200"/>
      <w:bookmarkStart w:id="2217" w:name="_Toc323826295"/>
      <w:bookmarkStart w:id="2218" w:name="_Toc323826390"/>
      <w:bookmarkStart w:id="2219" w:name="_Toc323826485"/>
      <w:bookmarkStart w:id="2220" w:name="_Toc323826580"/>
      <w:bookmarkStart w:id="2221" w:name="_Toc323826675"/>
      <w:bookmarkStart w:id="2222" w:name="_Toc323826770"/>
      <w:bookmarkStart w:id="2223" w:name="_Toc323826865"/>
      <w:bookmarkStart w:id="2224" w:name="_Toc323826960"/>
      <w:bookmarkStart w:id="2225" w:name="_Toc323827055"/>
      <w:bookmarkStart w:id="2226" w:name="_Toc323827143"/>
      <w:bookmarkStart w:id="2227" w:name="_Toc323827231"/>
      <w:bookmarkStart w:id="2228" w:name="_Toc323827319"/>
      <w:bookmarkStart w:id="2229" w:name="_Toc323827407"/>
      <w:bookmarkStart w:id="2230" w:name="_Toc323827495"/>
      <w:bookmarkStart w:id="2231" w:name="_Toc323827583"/>
      <w:bookmarkStart w:id="2232" w:name="_Toc323827671"/>
      <w:bookmarkStart w:id="2233" w:name="_Toc323827759"/>
      <w:bookmarkStart w:id="2234" w:name="_Toc323827804"/>
      <w:bookmarkStart w:id="2235" w:name="_Toc323913276"/>
      <w:bookmarkStart w:id="2236" w:name="_Toc324176386"/>
      <w:bookmarkStart w:id="2237" w:name="_Toc324176466"/>
      <w:bookmarkStart w:id="2238" w:name="_Toc324232330"/>
      <w:bookmarkStart w:id="2239" w:name="_Toc324233214"/>
      <w:bookmarkStart w:id="2240" w:name="_Toc323825335"/>
      <w:bookmarkStart w:id="2241" w:name="_Toc323825410"/>
      <w:bookmarkStart w:id="2242" w:name="_Toc323825770"/>
      <w:bookmarkStart w:id="2243" w:name="_Toc323825908"/>
      <w:bookmarkStart w:id="2244" w:name="_Toc323825954"/>
      <w:bookmarkStart w:id="2245" w:name="_Toc323826000"/>
      <w:bookmarkStart w:id="2246" w:name="_Toc323826053"/>
      <w:bookmarkStart w:id="2247" w:name="_Toc323826106"/>
      <w:bookmarkStart w:id="2248" w:name="_Toc323826201"/>
      <w:bookmarkStart w:id="2249" w:name="_Toc323826296"/>
      <w:bookmarkStart w:id="2250" w:name="_Toc323826391"/>
      <w:bookmarkStart w:id="2251" w:name="_Toc323826486"/>
      <w:bookmarkStart w:id="2252" w:name="_Toc323826581"/>
      <w:bookmarkStart w:id="2253" w:name="_Toc323826676"/>
      <w:bookmarkStart w:id="2254" w:name="_Toc323826771"/>
      <w:bookmarkStart w:id="2255" w:name="_Toc323826866"/>
      <w:bookmarkStart w:id="2256" w:name="_Toc323826961"/>
      <w:bookmarkStart w:id="2257" w:name="_Toc323827056"/>
      <w:bookmarkStart w:id="2258" w:name="_Toc323827144"/>
      <w:bookmarkStart w:id="2259" w:name="_Toc323827232"/>
      <w:bookmarkStart w:id="2260" w:name="_Toc323827320"/>
      <w:bookmarkStart w:id="2261" w:name="_Toc323827408"/>
      <w:bookmarkStart w:id="2262" w:name="_Toc323827496"/>
      <w:bookmarkStart w:id="2263" w:name="_Toc323827584"/>
      <w:bookmarkStart w:id="2264" w:name="_Toc323827672"/>
      <w:bookmarkStart w:id="2265" w:name="_Toc323827760"/>
      <w:bookmarkStart w:id="2266" w:name="_Toc323827805"/>
      <w:bookmarkStart w:id="2267" w:name="_Toc323913277"/>
      <w:bookmarkStart w:id="2268" w:name="_Toc324176387"/>
      <w:bookmarkStart w:id="2269" w:name="_Toc324176467"/>
      <w:bookmarkStart w:id="2270" w:name="_Toc324232331"/>
      <w:bookmarkStart w:id="2271" w:name="_Toc324233215"/>
      <w:bookmarkStart w:id="2272" w:name="_Toc323825338"/>
      <w:bookmarkStart w:id="2273" w:name="_Toc323825413"/>
      <w:bookmarkStart w:id="2274" w:name="_Toc323825773"/>
      <w:bookmarkStart w:id="2275" w:name="_Toc323825911"/>
      <w:bookmarkStart w:id="2276" w:name="_Toc323825957"/>
      <w:bookmarkStart w:id="2277" w:name="_Toc323826003"/>
      <w:bookmarkStart w:id="2278" w:name="_Toc323826056"/>
      <w:bookmarkStart w:id="2279" w:name="_Toc323826109"/>
      <w:bookmarkStart w:id="2280" w:name="_Toc323826204"/>
      <w:bookmarkStart w:id="2281" w:name="_Toc323826299"/>
      <w:bookmarkStart w:id="2282" w:name="_Toc323826394"/>
      <w:bookmarkStart w:id="2283" w:name="_Toc323826489"/>
      <w:bookmarkStart w:id="2284" w:name="_Toc323826584"/>
      <w:bookmarkStart w:id="2285" w:name="_Toc323826679"/>
      <w:bookmarkStart w:id="2286" w:name="_Toc323826774"/>
      <w:bookmarkStart w:id="2287" w:name="_Toc323826869"/>
      <w:bookmarkStart w:id="2288" w:name="_Toc323826964"/>
      <w:bookmarkStart w:id="2289" w:name="_Toc323827059"/>
      <w:bookmarkStart w:id="2290" w:name="_Toc323827147"/>
      <w:bookmarkStart w:id="2291" w:name="_Toc323827235"/>
      <w:bookmarkStart w:id="2292" w:name="_Toc323827323"/>
      <w:bookmarkStart w:id="2293" w:name="_Toc323827411"/>
      <w:bookmarkStart w:id="2294" w:name="_Toc323827499"/>
      <w:bookmarkStart w:id="2295" w:name="_Toc323827587"/>
      <w:bookmarkStart w:id="2296" w:name="_Toc323827675"/>
      <w:bookmarkStart w:id="2297" w:name="_Toc323827763"/>
      <w:bookmarkStart w:id="2298" w:name="_Toc323827808"/>
      <w:bookmarkStart w:id="2299" w:name="_Toc323913280"/>
      <w:bookmarkStart w:id="2300" w:name="_Toc324176390"/>
      <w:bookmarkStart w:id="2301" w:name="_Toc324176470"/>
      <w:bookmarkStart w:id="2302" w:name="_Toc324232334"/>
      <w:bookmarkStart w:id="2303" w:name="_Toc324233218"/>
      <w:bookmarkStart w:id="2304" w:name="_Toc323825339"/>
      <w:bookmarkStart w:id="2305" w:name="_Toc323825414"/>
      <w:bookmarkStart w:id="2306" w:name="_Toc323825774"/>
      <w:bookmarkStart w:id="2307" w:name="_Toc323825912"/>
      <w:bookmarkStart w:id="2308" w:name="_Toc323825958"/>
      <w:bookmarkStart w:id="2309" w:name="_Toc323826004"/>
      <w:bookmarkStart w:id="2310" w:name="_Toc323826057"/>
      <w:bookmarkStart w:id="2311" w:name="_Toc323826110"/>
      <w:bookmarkStart w:id="2312" w:name="_Toc323826205"/>
      <w:bookmarkStart w:id="2313" w:name="_Toc323826300"/>
      <w:bookmarkStart w:id="2314" w:name="_Toc323826395"/>
      <w:bookmarkStart w:id="2315" w:name="_Toc323826490"/>
      <w:bookmarkStart w:id="2316" w:name="_Toc323826585"/>
      <w:bookmarkStart w:id="2317" w:name="_Toc323826680"/>
      <w:bookmarkStart w:id="2318" w:name="_Toc323826775"/>
      <w:bookmarkStart w:id="2319" w:name="_Toc323826870"/>
      <w:bookmarkStart w:id="2320" w:name="_Toc323826965"/>
      <w:bookmarkStart w:id="2321" w:name="_Toc323827060"/>
      <w:bookmarkStart w:id="2322" w:name="_Toc323827148"/>
      <w:bookmarkStart w:id="2323" w:name="_Toc323827236"/>
      <w:bookmarkStart w:id="2324" w:name="_Toc323827324"/>
      <w:bookmarkStart w:id="2325" w:name="_Toc323827412"/>
      <w:bookmarkStart w:id="2326" w:name="_Toc323827500"/>
      <w:bookmarkStart w:id="2327" w:name="_Toc323827588"/>
      <w:bookmarkStart w:id="2328" w:name="_Toc323827676"/>
      <w:bookmarkStart w:id="2329" w:name="_Toc323827764"/>
      <w:bookmarkStart w:id="2330" w:name="_Toc323827809"/>
      <w:bookmarkStart w:id="2331" w:name="_Toc323913281"/>
      <w:bookmarkStart w:id="2332" w:name="_Toc324176391"/>
      <w:bookmarkStart w:id="2333" w:name="_Toc324176471"/>
      <w:bookmarkStart w:id="2334" w:name="_Toc324232335"/>
      <w:bookmarkStart w:id="2335" w:name="_Toc324233219"/>
      <w:bookmarkStart w:id="2336" w:name="_Toc323825340"/>
      <w:bookmarkStart w:id="2337" w:name="_Toc323825415"/>
      <w:bookmarkStart w:id="2338" w:name="_Toc323825775"/>
      <w:bookmarkStart w:id="2339" w:name="_Toc323825913"/>
      <w:bookmarkStart w:id="2340" w:name="_Toc323825959"/>
      <w:bookmarkStart w:id="2341" w:name="_Toc323826005"/>
      <w:bookmarkStart w:id="2342" w:name="_Toc323826058"/>
      <w:bookmarkStart w:id="2343" w:name="_Toc323826111"/>
      <w:bookmarkStart w:id="2344" w:name="_Toc323826206"/>
      <w:bookmarkStart w:id="2345" w:name="_Toc323826301"/>
      <w:bookmarkStart w:id="2346" w:name="_Toc323826396"/>
      <w:bookmarkStart w:id="2347" w:name="_Toc323826491"/>
      <w:bookmarkStart w:id="2348" w:name="_Toc323826586"/>
      <w:bookmarkStart w:id="2349" w:name="_Toc323826681"/>
      <w:bookmarkStart w:id="2350" w:name="_Toc323826776"/>
      <w:bookmarkStart w:id="2351" w:name="_Toc323826871"/>
      <w:bookmarkStart w:id="2352" w:name="_Toc323826966"/>
      <w:bookmarkStart w:id="2353" w:name="_Toc323827061"/>
      <w:bookmarkStart w:id="2354" w:name="_Toc323827149"/>
      <w:bookmarkStart w:id="2355" w:name="_Toc323827237"/>
      <w:bookmarkStart w:id="2356" w:name="_Toc323827325"/>
      <w:bookmarkStart w:id="2357" w:name="_Toc323827413"/>
      <w:bookmarkStart w:id="2358" w:name="_Toc323827501"/>
      <w:bookmarkStart w:id="2359" w:name="_Toc323827589"/>
      <w:bookmarkStart w:id="2360" w:name="_Toc323827677"/>
      <w:bookmarkStart w:id="2361" w:name="_Toc323827765"/>
      <w:bookmarkStart w:id="2362" w:name="_Toc323827810"/>
      <w:bookmarkStart w:id="2363" w:name="_Toc323913282"/>
      <w:bookmarkStart w:id="2364" w:name="_Toc324176392"/>
      <w:bookmarkStart w:id="2365" w:name="_Toc324176472"/>
      <w:bookmarkStart w:id="2366" w:name="_Toc324232336"/>
      <w:bookmarkStart w:id="2367" w:name="_Toc324233220"/>
      <w:bookmarkStart w:id="2368" w:name="_Toc323825342"/>
      <w:bookmarkStart w:id="2369" w:name="_Toc323825417"/>
      <w:bookmarkStart w:id="2370" w:name="_Toc323825777"/>
      <w:bookmarkStart w:id="2371" w:name="_Toc323825915"/>
      <w:bookmarkStart w:id="2372" w:name="_Toc323825961"/>
      <w:bookmarkStart w:id="2373" w:name="_Toc323826007"/>
      <w:bookmarkStart w:id="2374" w:name="_Toc323826060"/>
      <w:bookmarkStart w:id="2375" w:name="_Toc323826113"/>
      <w:bookmarkStart w:id="2376" w:name="_Toc323826208"/>
      <w:bookmarkStart w:id="2377" w:name="_Toc323826303"/>
      <w:bookmarkStart w:id="2378" w:name="_Toc323826398"/>
      <w:bookmarkStart w:id="2379" w:name="_Toc323826493"/>
      <w:bookmarkStart w:id="2380" w:name="_Toc323826588"/>
      <w:bookmarkStart w:id="2381" w:name="_Toc323826683"/>
      <w:bookmarkStart w:id="2382" w:name="_Toc323826778"/>
      <w:bookmarkStart w:id="2383" w:name="_Toc323826873"/>
      <w:bookmarkStart w:id="2384" w:name="_Toc323826968"/>
      <w:bookmarkStart w:id="2385" w:name="_Toc323827063"/>
      <w:bookmarkStart w:id="2386" w:name="_Toc323827151"/>
      <w:bookmarkStart w:id="2387" w:name="_Toc323827239"/>
      <w:bookmarkStart w:id="2388" w:name="_Toc323827327"/>
      <w:bookmarkStart w:id="2389" w:name="_Toc323827415"/>
      <w:bookmarkStart w:id="2390" w:name="_Toc323827503"/>
      <w:bookmarkStart w:id="2391" w:name="_Toc323827591"/>
      <w:bookmarkStart w:id="2392" w:name="_Toc323827679"/>
      <w:bookmarkStart w:id="2393" w:name="_Toc323827767"/>
      <w:bookmarkStart w:id="2394" w:name="_Toc323827812"/>
      <w:bookmarkStart w:id="2395" w:name="_Toc323913284"/>
      <w:bookmarkStart w:id="2396" w:name="_Toc324176394"/>
      <w:bookmarkStart w:id="2397" w:name="_Toc324176474"/>
      <w:bookmarkStart w:id="2398" w:name="_Toc324232338"/>
      <w:bookmarkStart w:id="2399" w:name="_Toc324233222"/>
      <w:bookmarkStart w:id="2400" w:name="_Toc323825343"/>
      <w:bookmarkStart w:id="2401" w:name="_Toc323825418"/>
      <w:bookmarkStart w:id="2402" w:name="_Toc323825778"/>
      <w:bookmarkStart w:id="2403" w:name="_Toc323825916"/>
      <w:bookmarkStart w:id="2404" w:name="_Toc323825962"/>
      <w:bookmarkStart w:id="2405" w:name="_Toc323826008"/>
      <w:bookmarkStart w:id="2406" w:name="_Toc323826061"/>
      <w:bookmarkStart w:id="2407" w:name="_Toc323826114"/>
      <w:bookmarkStart w:id="2408" w:name="_Toc323826209"/>
      <w:bookmarkStart w:id="2409" w:name="_Toc323826304"/>
      <w:bookmarkStart w:id="2410" w:name="_Toc323826399"/>
      <w:bookmarkStart w:id="2411" w:name="_Toc323826494"/>
      <w:bookmarkStart w:id="2412" w:name="_Toc323826589"/>
      <w:bookmarkStart w:id="2413" w:name="_Toc323826684"/>
      <w:bookmarkStart w:id="2414" w:name="_Toc323826779"/>
      <w:bookmarkStart w:id="2415" w:name="_Toc323826874"/>
      <w:bookmarkStart w:id="2416" w:name="_Toc323826969"/>
      <w:bookmarkStart w:id="2417" w:name="_Toc323827064"/>
      <w:bookmarkStart w:id="2418" w:name="_Toc323827152"/>
      <w:bookmarkStart w:id="2419" w:name="_Toc323827240"/>
      <w:bookmarkStart w:id="2420" w:name="_Toc323827328"/>
      <w:bookmarkStart w:id="2421" w:name="_Toc323827416"/>
      <w:bookmarkStart w:id="2422" w:name="_Toc323827504"/>
      <w:bookmarkStart w:id="2423" w:name="_Toc323827592"/>
      <w:bookmarkStart w:id="2424" w:name="_Toc323827680"/>
      <w:bookmarkStart w:id="2425" w:name="_Toc323827768"/>
      <w:bookmarkStart w:id="2426" w:name="_Toc323827813"/>
      <w:bookmarkStart w:id="2427" w:name="_Toc323913285"/>
      <w:bookmarkStart w:id="2428" w:name="_Toc324176395"/>
      <w:bookmarkStart w:id="2429" w:name="_Toc324176475"/>
      <w:bookmarkStart w:id="2430" w:name="_Toc324232339"/>
      <w:bookmarkStart w:id="2431" w:name="_Toc324233223"/>
      <w:bookmarkStart w:id="2432" w:name="_Toc323825344"/>
      <w:bookmarkStart w:id="2433" w:name="_Toc323825419"/>
      <w:bookmarkStart w:id="2434" w:name="_Toc323825779"/>
      <w:bookmarkStart w:id="2435" w:name="_Toc323825917"/>
      <w:bookmarkStart w:id="2436" w:name="_Toc323825963"/>
      <w:bookmarkStart w:id="2437" w:name="_Toc323826009"/>
      <w:bookmarkStart w:id="2438" w:name="_Toc323826062"/>
      <w:bookmarkStart w:id="2439" w:name="_Toc323826115"/>
      <w:bookmarkStart w:id="2440" w:name="_Toc323826210"/>
      <w:bookmarkStart w:id="2441" w:name="_Toc323826305"/>
      <w:bookmarkStart w:id="2442" w:name="_Toc323826400"/>
      <w:bookmarkStart w:id="2443" w:name="_Toc323826495"/>
      <w:bookmarkStart w:id="2444" w:name="_Toc323826590"/>
      <w:bookmarkStart w:id="2445" w:name="_Toc323826685"/>
      <w:bookmarkStart w:id="2446" w:name="_Toc323826780"/>
      <w:bookmarkStart w:id="2447" w:name="_Toc323826875"/>
      <w:bookmarkStart w:id="2448" w:name="_Toc323826970"/>
      <w:bookmarkStart w:id="2449" w:name="_Toc323827065"/>
      <w:bookmarkStart w:id="2450" w:name="_Toc323827153"/>
      <w:bookmarkStart w:id="2451" w:name="_Toc323827241"/>
      <w:bookmarkStart w:id="2452" w:name="_Toc323827329"/>
      <w:bookmarkStart w:id="2453" w:name="_Toc323827417"/>
      <w:bookmarkStart w:id="2454" w:name="_Toc323827505"/>
      <w:bookmarkStart w:id="2455" w:name="_Toc323827593"/>
      <w:bookmarkStart w:id="2456" w:name="_Toc323827681"/>
      <w:bookmarkStart w:id="2457" w:name="_Toc323827769"/>
      <w:bookmarkStart w:id="2458" w:name="_Toc323827814"/>
      <w:bookmarkStart w:id="2459" w:name="_Toc323913286"/>
      <w:bookmarkStart w:id="2460" w:name="_Toc324176396"/>
      <w:bookmarkStart w:id="2461" w:name="_Toc324176476"/>
      <w:bookmarkStart w:id="2462" w:name="_Toc324232340"/>
      <w:bookmarkStart w:id="2463" w:name="_Toc324233224"/>
      <w:bookmarkStart w:id="2464" w:name="_Toc323825345"/>
      <w:bookmarkStart w:id="2465" w:name="_Toc323825420"/>
      <w:bookmarkStart w:id="2466" w:name="_Toc323825780"/>
      <w:bookmarkStart w:id="2467" w:name="_Toc323825918"/>
      <w:bookmarkStart w:id="2468" w:name="_Toc323825964"/>
      <w:bookmarkStart w:id="2469" w:name="_Toc323826010"/>
      <w:bookmarkStart w:id="2470" w:name="_Toc323826063"/>
      <w:bookmarkStart w:id="2471" w:name="_Toc323826116"/>
      <w:bookmarkStart w:id="2472" w:name="_Toc323826211"/>
      <w:bookmarkStart w:id="2473" w:name="_Toc323826306"/>
      <w:bookmarkStart w:id="2474" w:name="_Toc323826401"/>
      <w:bookmarkStart w:id="2475" w:name="_Toc323826496"/>
      <w:bookmarkStart w:id="2476" w:name="_Toc323826591"/>
      <w:bookmarkStart w:id="2477" w:name="_Toc323826686"/>
      <w:bookmarkStart w:id="2478" w:name="_Toc323826781"/>
      <w:bookmarkStart w:id="2479" w:name="_Toc323826876"/>
      <w:bookmarkStart w:id="2480" w:name="_Toc323826971"/>
      <w:bookmarkStart w:id="2481" w:name="_Toc323827066"/>
      <w:bookmarkStart w:id="2482" w:name="_Toc323827154"/>
      <w:bookmarkStart w:id="2483" w:name="_Toc323827242"/>
      <w:bookmarkStart w:id="2484" w:name="_Toc323827330"/>
      <w:bookmarkStart w:id="2485" w:name="_Toc323827418"/>
      <w:bookmarkStart w:id="2486" w:name="_Toc323827506"/>
      <w:bookmarkStart w:id="2487" w:name="_Toc323827594"/>
      <w:bookmarkStart w:id="2488" w:name="_Toc323827682"/>
      <w:bookmarkStart w:id="2489" w:name="_Toc323827770"/>
      <w:bookmarkStart w:id="2490" w:name="_Toc323827815"/>
      <w:bookmarkStart w:id="2491" w:name="_Toc323913287"/>
      <w:bookmarkStart w:id="2492" w:name="_Toc324176397"/>
      <w:bookmarkStart w:id="2493" w:name="_Toc324176477"/>
      <w:bookmarkStart w:id="2494" w:name="_Toc324232341"/>
      <w:bookmarkStart w:id="2495" w:name="_Toc324233225"/>
      <w:bookmarkStart w:id="2496" w:name="_Toc323825346"/>
      <w:bookmarkStart w:id="2497" w:name="_Toc323825421"/>
      <w:bookmarkStart w:id="2498" w:name="_Toc323825781"/>
      <w:bookmarkStart w:id="2499" w:name="_Toc323825919"/>
      <w:bookmarkStart w:id="2500" w:name="_Toc323825965"/>
      <w:bookmarkStart w:id="2501" w:name="_Toc323826011"/>
      <w:bookmarkStart w:id="2502" w:name="_Toc323826064"/>
      <w:bookmarkStart w:id="2503" w:name="_Toc323826117"/>
      <w:bookmarkStart w:id="2504" w:name="_Toc323826212"/>
      <w:bookmarkStart w:id="2505" w:name="_Toc323826307"/>
      <w:bookmarkStart w:id="2506" w:name="_Toc323826402"/>
      <w:bookmarkStart w:id="2507" w:name="_Toc323826497"/>
      <w:bookmarkStart w:id="2508" w:name="_Toc323826592"/>
      <w:bookmarkStart w:id="2509" w:name="_Toc323826687"/>
      <w:bookmarkStart w:id="2510" w:name="_Toc323826782"/>
      <w:bookmarkStart w:id="2511" w:name="_Toc323826877"/>
      <w:bookmarkStart w:id="2512" w:name="_Toc323826972"/>
      <w:bookmarkStart w:id="2513" w:name="_Toc323827067"/>
      <w:bookmarkStart w:id="2514" w:name="_Toc323827155"/>
      <w:bookmarkStart w:id="2515" w:name="_Toc323827243"/>
      <w:bookmarkStart w:id="2516" w:name="_Toc323827331"/>
      <w:bookmarkStart w:id="2517" w:name="_Toc323827419"/>
      <w:bookmarkStart w:id="2518" w:name="_Toc323827507"/>
      <w:bookmarkStart w:id="2519" w:name="_Toc323827595"/>
      <w:bookmarkStart w:id="2520" w:name="_Toc323827683"/>
      <w:bookmarkStart w:id="2521" w:name="_Toc323827771"/>
      <w:bookmarkStart w:id="2522" w:name="_Toc323827816"/>
      <w:bookmarkStart w:id="2523" w:name="_Toc323913288"/>
      <w:bookmarkStart w:id="2524" w:name="_Toc324176398"/>
      <w:bookmarkStart w:id="2525" w:name="_Toc324176478"/>
      <w:bookmarkStart w:id="2526" w:name="_Toc324232342"/>
      <w:bookmarkStart w:id="2527" w:name="_Toc324233226"/>
      <w:bookmarkStart w:id="2528" w:name="_Toc45604661"/>
      <w:bookmarkStart w:id="2529" w:name="_Toc68190232"/>
      <w:bookmarkStart w:id="2530" w:name="_Toc68864947"/>
      <w:bookmarkStart w:id="2531" w:name="_Toc114474733"/>
      <w:bookmarkStart w:id="2532" w:name="_Toc118205660"/>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r w:rsidRPr="00517F7A">
        <w:t>How To Account for Traffic Variability</w:t>
      </w:r>
      <w:bookmarkEnd w:id="2528"/>
      <w:bookmarkEnd w:id="2529"/>
      <w:bookmarkEnd w:id="2530"/>
      <w:bookmarkEnd w:id="2531"/>
      <w:bookmarkEnd w:id="2532"/>
    </w:p>
    <w:p w14:paraId="7561AC71" w14:textId="0886B030" w:rsidR="003F7B9F" w:rsidRPr="00771210" w:rsidRDefault="003F7B9F" w:rsidP="00A35EAF">
      <w:pPr>
        <w:pStyle w:val="BodyText"/>
      </w:pPr>
      <w:r w:rsidRPr="00771210">
        <w:t>This section discusses the concepts of different types of variability found in traffic patterns and describes how this variability affects the design of a strong traffic monitoring program. Traffic volumes typically vary over time and space. That is, traffic volumes are different at 8 a.m. than they are at 8 p.m. Similarly, traffic patterns are different on urban freeways and on rural farm</w:t>
      </w:r>
      <w:r w:rsidR="00746BEF">
        <w:t>-</w:t>
      </w:r>
      <w:r w:rsidRPr="00771210">
        <w:t>to</w:t>
      </w:r>
      <w:r w:rsidR="00746BEF">
        <w:t>-</w:t>
      </w:r>
      <w:r w:rsidRPr="00771210">
        <w:t xml:space="preserve">market roads. A good traffic monitoring program collects data to meet many needs; therefore, a roadway agency should design data collection efforts that provide the roadway agency with an accurate understanding of exactly what these patterns are and how they are changing over time. </w:t>
      </w:r>
    </w:p>
    <w:p w14:paraId="3F216CE7" w14:textId="77777777" w:rsidR="003F7B9F" w:rsidRPr="00517F7A" w:rsidRDefault="003F7B9F">
      <w:pPr>
        <w:pStyle w:val="Heading3"/>
      </w:pPr>
      <w:bookmarkStart w:id="2533" w:name="_Toc325034111"/>
      <w:bookmarkStart w:id="2534" w:name="_Toc27475748"/>
      <w:bookmarkStart w:id="2535" w:name="_Toc45604662"/>
      <w:bookmarkStart w:id="2536" w:name="_Toc68190233"/>
      <w:bookmarkStart w:id="2537" w:name="_Toc118205661"/>
      <w:r w:rsidRPr="00517F7A">
        <w:t>Traffic Variability</w:t>
      </w:r>
      <w:bookmarkEnd w:id="2533"/>
      <w:bookmarkEnd w:id="2534"/>
      <w:bookmarkEnd w:id="2535"/>
      <w:bookmarkEnd w:id="2536"/>
      <w:bookmarkEnd w:id="2537"/>
    </w:p>
    <w:p w14:paraId="005BAB85" w14:textId="3221E360" w:rsidR="003F7B9F" w:rsidRPr="00F120BC" w:rsidRDefault="003F7B9F" w:rsidP="00A35EAF">
      <w:pPr>
        <w:pStyle w:val="BodyText"/>
      </w:pPr>
      <w:r w:rsidRPr="00771210">
        <w:t xml:space="preserve">Technology </w:t>
      </w:r>
      <w:r w:rsidRPr="00F120BC">
        <w:t xml:space="preserve">allows agencies to collect enough data to accurately describe how </w:t>
      </w:r>
      <w:r>
        <w:t xml:space="preserve">travel and </w:t>
      </w:r>
      <w:r w:rsidRPr="00F120BC">
        <w:t xml:space="preserve">traffic varies over time and space. </w:t>
      </w:r>
      <w:r>
        <w:t xml:space="preserve">Travel and </w:t>
      </w:r>
      <w:r w:rsidR="00746BEF">
        <w:t>t</w:t>
      </w:r>
      <w:r w:rsidRPr="00F120BC">
        <w:t>raffic varies over a number of different temporal measures including:</w:t>
      </w:r>
    </w:p>
    <w:p w14:paraId="57CFB960" w14:textId="591CADB8" w:rsidR="003F7B9F" w:rsidRPr="005349A3" w:rsidRDefault="003F7B9F">
      <w:pPr>
        <w:pStyle w:val="TMGBullet"/>
      </w:pPr>
      <w:r w:rsidRPr="005349A3">
        <w:t>Time of day (time/hour of day, event-driven).</w:t>
      </w:r>
    </w:p>
    <w:p w14:paraId="57076A39" w14:textId="3C414F80" w:rsidR="003F7B9F" w:rsidRPr="005349A3" w:rsidRDefault="003F7B9F">
      <w:pPr>
        <w:pStyle w:val="TMGBullet"/>
      </w:pPr>
      <w:r w:rsidRPr="005349A3">
        <w:t>Day of week.</w:t>
      </w:r>
    </w:p>
    <w:p w14:paraId="5282E678" w14:textId="2C1FA5F4" w:rsidR="003F7B9F" w:rsidRPr="005349A3" w:rsidRDefault="003F7B9F">
      <w:pPr>
        <w:pStyle w:val="TMGBullet"/>
      </w:pPr>
      <w:r w:rsidRPr="005349A3">
        <w:t>Month of the Year (season of the year)</w:t>
      </w:r>
      <w:r w:rsidR="00746BEF">
        <w:t>.</w:t>
      </w:r>
    </w:p>
    <w:p w14:paraId="02D07AAA" w14:textId="552E5A94" w:rsidR="003F7B9F" w:rsidRPr="005349A3" w:rsidRDefault="003F7B9F">
      <w:pPr>
        <w:pStyle w:val="TMGBullet"/>
      </w:pPr>
      <w:r w:rsidRPr="005349A3">
        <w:t>Year to year.</w:t>
      </w:r>
    </w:p>
    <w:p w14:paraId="12FE82E8" w14:textId="6E55D0E8" w:rsidR="003F7B9F" w:rsidRDefault="003F7B9F" w:rsidP="00A35EAF">
      <w:pPr>
        <w:pStyle w:val="BodyText"/>
      </w:pPr>
      <w:r>
        <w:t xml:space="preserve">Travel and </w:t>
      </w:r>
      <w:r w:rsidR="00746BEF">
        <w:t>t</w:t>
      </w:r>
      <w:r w:rsidRPr="00F120BC">
        <w:t>raffic varies from place to place and can also vary directionally too. Not only do roads carry different volumes of traffic, but also the characteristics of the vehicles using those roads change from facility to facility. One road with 5,000 vehicles per day may have very little bus traffic, while another road with the same volume of vehicles may have 1,000 trucks per day mixed in with 4,000 cars. Similarly, one road section may be traversed by 100 motorcycles per day while a nearby road is used by 1,000 partially loaded trucks. Directional variations also exist.</w:t>
      </w:r>
    </w:p>
    <w:p w14:paraId="41A6154C" w14:textId="6D3C38C2" w:rsidR="00F30A7B" w:rsidRPr="00914EB6" w:rsidRDefault="00F30A7B" w:rsidP="00A35EAF">
      <w:pPr>
        <w:pStyle w:val="BodyText"/>
        <w:rPr>
          <w:rStyle w:val="Strong"/>
          <w:rFonts w:ascii="Cambria" w:hAnsi="Cambria"/>
          <w:sz w:val="22"/>
          <w:szCs w:val="22"/>
        </w:rPr>
      </w:pPr>
      <w:bookmarkStart w:id="2538" w:name="_Toc75362022"/>
      <w:bookmarkStart w:id="2539" w:name="_Hlk75443399"/>
      <w:r w:rsidRPr="00914EB6">
        <w:rPr>
          <w:rStyle w:val="Strong"/>
          <w:rFonts w:ascii="Cambria" w:hAnsi="Cambria"/>
          <w:sz w:val="22"/>
          <w:szCs w:val="22"/>
        </w:rPr>
        <w:t>Time-Of-Day Variation</w:t>
      </w:r>
      <w:bookmarkEnd w:id="2538"/>
    </w:p>
    <w:p w14:paraId="0E6C9C32" w14:textId="44EAFBBB" w:rsidR="00F30A7B" w:rsidRDefault="00F30A7B" w:rsidP="001B2553">
      <w:pPr>
        <w:pStyle w:val="BodyText"/>
      </w:pPr>
      <w:r w:rsidRPr="00F30A7B">
        <w:t xml:space="preserve">The rate of road usage typically changes during the day. In most locations, traffic volumes increase during the day and decrease at night, as can be seen </w:t>
      </w:r>
      <w:r w:rsidRPr="000953E2">
        <w:t xml:space="preserve">in </w:t>
      </w:r>
      <w:r w:rsidR="00D209D5">
        <w:fldChar w:fldCharType="begin"/>
      </w:r>
      <w:r w:rsidR="00D209D5">
        <w:instrText xml:space="preserve"> REF _Ref114752373 \h </w:instrText>
      </w:r>
      <w:r w:rsidR="00D209D5">
        <w:fldChar w:fldCharType="separate"/>
      </w:r>
      <w:r w:rsidR="00C07DF9">
        <w:t xml:space="preserve">Figure </w:t>
      </w:r>
      <w:r w:rsidR="00C07DF9">
        <w:rPr>
          <w:noProof/>
        </w:rPr>
        <w:t>3</w:t>
      </w:r>
      <w:r w:rsidR="00C07DF9">
        <w:noBreakHyphen/>
      </w:r>
      <w:r w:rsidR="00C07DF9">
        <w:rPr>
          <w:noProof/>
        </w:rPr>
        <w:t>6</w:t>
      </w:r>
      <w:r w:rsidR="00D209D5">
        <w:fldChar w:fldCharType="end"/>
      </w:r>
      <w:r w:rsidRPr="000953E2">
        <w:t xml:space="preserve">. FHWA studies have determined that most truck travel falls into one of two basic time-of-day patterns: one pattern is centered on travel during the business day (see </w:t>
      </w:r>
      <w:r w:rsidR="00D209D5">
        <w:fldChar w:fldCharType="begin"/>
      </w:r>
      <w:r w:rsidR="00D209D5">
        <w:instrText xml:space="preserve"> REF _Ref114752373 \h </w:instrText>
      </w:r>
      <w:r w:rsidR="00D209D5">
        <w:fldChar w:fldCharType="separate"/>
      </w:r>
      <w:r w:rsidR="00C07DF9">
        <w:t xml:space="preserve">Figure </w:t>
      </w:r>
      <w:r w:rsidR="00C07DF9">
        <w:rPr>
          <w:noProof/>
        </w:rPr>
        <w:t>3</w:t>
      </w:r>
      <w:r w:rsidR="00C07DF9">
        <w:noBreakHyphen/>
      </w:r>
      <w:r w:rsidR="00C07DF9">
        <w:rPr>
          <w:noProof/>
        </w:rPr>
        <w:t>6</w:t>
      </w:r>
      <w:r w:rsidR="00D209D5">
        <w:fldChar w:fldCharType="end"/>
      </w:r>
      <w:r w:rsidRPr="000953E2">
        <w:t>), and the other pattern shows almost constant travel throughout the twenty-four-hour day (on predominantly throughway routes or near facilities with deliveries or dispatch 24 hours a day).</w:t>
      </w:r>
      <w:bookmarkEnd w:id="2539"/>
    </w:p>
    <w:p w14:paraId="5AC8A4FE" w14:textId="52057404" w:rsidR="00F30A7B" w:rsidRDefault="00F30A7B" w:rsidP="00A35EAF">
      <w:pPr>
        <w:pStyle w:val="BodyText"/>
      </w:pPr>
      <w:r>
        <w:rPr>
          <w:noProof/>
        </w:rPr>
        <w:lastRenderedPageBreak/>
        <w:drawing>
          <wp:inline distT="0" distB="0" distL="0" distR="0" wp14:anchorId="57852CCA" wp14:editId="653C7244">
            <wp:extent cx="5943600" cy="3743325"/>
            <wp:effectExtent l="0" t="0" r="0" b="9525"/>
            <wp:docPr id="35847" name="Chart 35847" descr="Graph with percentage hourly HPMS vehicle 6 class volumes distributions for Florida site 570318 on state route 8 and I-10 in Okaloosa County.   Motorcycle had unfilled triangle symbol distributions with a peak of 12 percent at hour 16.  Passenger is gray filled black circle symbols.  Light trucks is a solid orange line with X symbols.  Bus is a solid blue line with plus symbols.  Single Unit trucks is a green line with diamond symbol.  Combination trucks is a blue line with circle symbols.  All plots are for 24 hours in the day and overall show lower values in the early morning before 6 am and after 1800 hours at night.">
              <a:extLst xmlns:a="http://schemas.openxmlformats.org/drawingml/2006/main">
                <a:ext uri="{FF2B5EF4-FFF2-40B4-BE49-F238E27FC236}">
                  <a16:creationId xmlns:a16="http://schemas.microsoft.com/office/drawing/2014/main" id="{0A8D06D2-167A-4EF1-95D0-1163EE4B45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692C5091" w14:textId="7A68355F" w:rsidR="00914EB6" w:rsidRDefault="00914EB6" w:rsidP="00914EB6">
      <w:pPr>
        <w:pStyle w:val="TMGFigureCaption"/>
        <w:spacing w:after="360"/>
      </w:pPr>
      <w:bookmarkStart w:id="2540" w:name="_Ref114752373"/>
      <w:bookmarkStart w:id="2541" w:name="_Toc114474803"/>
      <w:bookmarkStart w:id="2542" w:name="_Toc120626576"/>
      <w:r>
        <w:t xml:space="preserve">Figure </w:t>
      </w:r>
      <w:fldSimple w:instr=" STYLEREF 1 \s ">
        <w:r w:rsidR="00C07DF9">
          <w:rPr>
            <w:noProof/>
          </w:rPr>
          <w:t>3</w:t>
        </w:r>
      </w:fldSimple>
      <w:r>
        <w:noBreakHyphen/>
      </w:r>
      <w:fldSimple w:instr=" SEQ Figure \* ARABIC \s 1 ">
        <w:r w:rsidR="00C07DF9">
          <w:rPr>
            <w:noProof/>
          </w:rPr>
          <w:t>6</w:t>
        </w:r>
      </w:fldSimple>
      <w:bookmarkEnd w:id="2540"/>
      <w:r w:rsidR="00D209D5">
        <w:t>.</w:t>
      </w:r>
      <w:r>
        <w:t xml:space="preserve"> </w:t>
      </w:r>
      <w:r w:rsidRPr="009E77C0">
        <w:t xml:space="preserve">Example </w:t>
      </w:r>
      <w:r>
        <w:t>o</w:t>
      </w:r>
      <w:r w:rsidRPr="009E77C0">
        <w:t xml:space="preserve">f Differences </w:t>
      </w:r>
      <w:r>
        <w:t>i</w:t>
      </w:r>
      <w:r w:rsidRPr="009E77C0">
        <w:t>n Time</w:t>
      </w:r>
      <w:r>
        <w:t>-</w:t>
      </w:r>
      <w:r w:rsidR="00D209D5">
        <w:t>o</w:t>
      </w:r>
      <w:r w:rsidRPr="009E77C0">
        <w:t>f</w:t>
      </w:r>
      <w:r>
        <w:t>-</w:t>
      </w:r>
      <w:r w:rsidRPr="009E77C0">
        <w:t xml:space="preserve">Day Traffic Volume </w:t>
      </w:r>
      <w:r>
        <w:t>b</w:t>
      </w:r>
      <w:r w:rsidRPr="009E77C0">
        <w:t>y H</w:t>
      </w:r>
      <w:r w:rsidR="003E52F0">
        <w:t>PMS</w:t>
      </w:r>
      <w:r w:rsidRPr="009E77C0">
        <w:t xml:space="preserve"> Vehicle Class</w:t>
      </w:r>
      <w:bookmarkEnd w:id="2541"/>
      <w:bookmarkEnd w:id="2542"/>
    </w:p>
    <w:p w14:paraId="5E6E99D6" w14:textId="3D661793" w:rsidR="00F30A7B" w:rsidRPr="000953E2" w:rsidRDefault="00F30A7B" w:rsidP="00A35EAF">
      <w:pPr>
        <w:pStyle w:val="BodyText"/>
      </w:pPr>
      <w:r w:rsidRPr="00F30A7B">
        <w:t xml:space="preserve">Passenger cars tend to follow either the traditional two-mode urban commute pattern or the single-mode pattern commonly seen in rural areas, where traffic volumes continue to grow throughout the day until they begin to taper off in the evening, as can be seen </w:t>
      </w:r>
      <w:r w:rsidRPr="000953E2">
        <w:t xml:space="preserve">in </w:t>
      </w:r>
      <w:r w:rsidR="007F2D82">
        <w:fldChar w:fldCharType="begin"/>
      </w:r>
      <w:r w:rsidR="007F2D82">
        <w:instrText xml:space="preserve"> REF _Ref114752373 \h </w:instrText>
      </w:r>
      <w:r w:rsidR="007F2D82">
        <w:fldChar w:fldCharType="separate"/>
      </w:r>
      <w:r w:rsidR="00C07DF9">
        <w:t xml:space="preserve">Figure </w:t>
      </w:r>
      <w:r w:rsidR="00C07DF9">
        <w:rPr>
          <w:noProof/>
        </w:rPr>
        <w:t>3</w:t>
      </w:r>
      <w:r w:rsidR="00C07DF9">
        <w:noBreakHyphen/>
      </w:r>
      <w:r w:rsidR="00C07DF9">
        <w:rPr>
          <w:noProof/>
        </w:rPr>
        <w:t>6</w:t>
      </w:r>
      <w:r w:rsidR="007F2D82">
        <w:fldChar w:fldCharType="end"/>
      </w:r>
      <w:r w:rsidRPr="000953E2">
        <w:t>. Trucks serving local deliveries also exhibit a single mode that typically peaks in the early morning (many trucks make deliveries early in the morning to help prepare businesses for the coming workday). The other truck pattern (travel constantly occurring throughout the day) is common with long</w:t>
      </w:r>
      <w:r w:rsidR="00123177">
        <w:t>-</w:t>
      </w:r>
      <w:r w:rsidRPr="000953E2">
        <w:t xml:space="preserve">haul trucking movements. </w:t>
      </w:r>
    </w:p>
    <w:p w14:paraId="5410805B" w14:textId="77777777" w:rsidR="00F30A7B" w:rsidRPr="000953E2" w:rsidRDefault="00F30A7B" w:rsidP="00A35EAF">
      <w:pPr>
        <w:pStyle w:val="BodyText"/>
      </w:pPr>
      <w:r w:rsidRPr="000953E2">
        <w:t xml:space="preserve">The traffic at any given site comprises some combination of these types of movements. In addition, at any specific location, time-of-day patterns may differ significantly because of local trip generation patterns that differ from the norm. </w:t>
      </w:r>
    </w:p>
    <w:p w14:paraId="18190631" w14:textId="36411AD1" w:rsidR="00F30A7B" w:rsidRPr="000953E2" w:rsidRDefault="00F30A7B" w:rsidP="00A35EAF">
      <w:pPr>
        <w:pStyle w:val="BodyText"/>
      </w:pPr>
      <w:r w:rsidRPr="000953E2">
        <w:t xml:space="preserve">Because the volumes of the six different vehicle types are very different from one site to another, the effect of these different time-of-day patterns on summary statistics such as percent motorcycles, </w:t>
      </w:r>
      <w:r w:rsidR="00123177">
        <w:t xml:space="preserve">percent </w:t>
      </w:r>
      <w:r w:rsidRPr="000953E2">
        <w:t>buses</w:t>
      </w:r>
      <w:r w:rsidR="00123177">
        <w:t>,</w:t>
      </w:r>
      <w:r w:rsidRPr="000953E2">
        <w:t xml:space="preserve"> </w:t>
      </w:r>
      <w:r w:rsidR="00123177">
        <w:t xml:space="preserve">percent </w:t>
      </w:r>
      <w:r w:rsidRPr="000953E2">
        <w:t xml:space="preserve">trucks, percent bicycles, percent pedestrians, and total volume can be unexpected. Often, in daylight hours, urban car volumes are so high in comparison to truck volumes that the car travel pattern dominates, and the percentage of trucks is extremely low. However, at night on that same roadway, car volumes may decrease significantly while through-truck movements continue so that the truck percentage increases considerably, and total volume declines less than the car pattern would predict. </w:t>
      </w:r>
      <w:r w:rsidR="007F2D82">
        <w:fldChar w:fldCharType="begin"/>
      </w:r>
      <w:r w:rsidR="007F2D82">
        <w:instrText xml:space="preserve"> REF _Ref114752373 \h </w:instrText>
      </w:r>
      <w:r w:rsidR="007F2D82">
        <w:fldChar w:fldCharType="separate"/>
      </w:r>
      <w:r w:rsidR="00C07DF9">
        <w:t xml:space="preserve">Figure </w:t>
      </w:r>
      <w:r w:rsidR="00C07DF9">
        <w:rPr>
          <w:noProof/>
        </w:rPr>
        <w:t>3</w:t>
      </w:r>
      <w:r w:rsidR="00C07DF9">
        <w:noBreakHyphen/>
      </w:r>
      <w:r w:rsidR="00C07DF9">
        <w:rPr>
          <w:noProof/>
        </w:rPr>
        <w:t>6</w:t>
      </w:r>
      <w:r w:rsidR="007F2D82">
        <w:fldChar w:fldCharType="end"/>
      </w:r>
      <w:r w:rsidRPr="000953E2">
        <w:t xml:space="preserve"> shows that during nighttime the TOD percentages of combination unit trucks drop less abruptly than for the other vehicle classes. </w:t>
      </w:r>
    </w:p>
    <w:p w14:paraId="130F4531" w14:textId="775CC75C" w:rsidR="00F30A7B" w:rsidRDefault="00F30A7B" w:rsidP="00A35EAF">
      <w:pPr>
        <w:pStyle w:val="BodyText"/>
      </w:pPr>
      <w:r w:rsidRPr="000953E2">
        <w:t>Because these changes can be</w:t>
      </w:r>
      <w:r w:rsidRPr="00F30A7B">
        <w:t xml:space="preserve"> significant, it is important to account for them in the design and execution of the traffic monitoring program</w:t>
      </w:r>
      <w:r w:rsidR="00123177">
        <w:t>,</w:t>
      </w:r>
      <w:r w:rsidRPr="00F30A7B">
        <w:t xml:space="preserve"> as well as in the computation and reporting of summary statistics.</w:t>
      </w:r>
    </w:p>
    <w:p w14:paraId="4BDE35E7" w14:textId="10E0BCD3" w:rsidR="00F30A7B" w:rsidRPr="00686DCB" w:rsidRDefault="00F30A7B" w:rsidP="00A119E0">
      <w:pPr>
        <w:pStyle w:val="CallOut"/>
      </w:pPr>
      <w:r w:rsidRPr="00686DCB">
        <w:t xml:space="preserve">Every portable class count should be, at a minimum, annualized into the </w:t>
      </w:r>
      <w:r w:rsidR="00123177">
        <w:t>six</w:t>
      </w:r>
      <w:r w:rsidRPr="00686DCB">
        <w:t xml:space="preserve"> vehicle types utilized in the HPMS vehicle summary table regardless of the data collection duration (48/72 hours…etc.)</w:t>
      </w:r>
    </w:p>
    <w:p w14:paraId="3B600421" w14:textId="77777777" w:rsidR="00914EB6" w:rsidRDefault="00914EB6">
      <w:pPr>
        <w:widowControl/>
        <w:suppressAutoHyphens w:val="0"/>
        <w:autoSpaceDE/>
        <w:autoSpaceDN/>
        <w:adjustRightInd/>
        <w:spacing w:line="259" w:lineRule="auto"/>
        <w:jc w:val="left"/>
        <w:textAlignment w:val="auto"/>
        <w:rPr>
          <w:rStyle w:val="Strong"/>
          <w:rFonts w:ascii="Cambria" w:hAnsi="Cambria"/>
          <w:color w:val="auto"/>
          <w:sz w:val="22"/>
          <w:szCs w:val="22"/>
        </w:rPr>
      </w:pPr>
      <w:bookmarkStart w:id="2543" w:name="_Toc75362023"/>
      <w:r>
        <w:rPr>
          <w:rStyle w:val="Strong"/>
          <w:rFonts w:ascii="Cambria" w:hAnsi="Cambria"/>
          <w:sz w:val="22"/>
          <w:szCs w:val="22"/>
        </w:rPr>
        <w:br w:type="page"/>
      </w:r>
    </w:p>
    <w:p w14:paraId="62136655" w14:textId="0CFF5B58" w:rsidR="00F30A7B" w:rsidRPr="00914EB6" w:rsidRDefault="00F30A7B" w:rsidP="00A35EAF">
      <w:pPr>
        <w:pStyle w:val="BodyText"/>
        <w:rPr>
          <w:rStyle w:val="Strong"/>
          <w:rFonts w:ascii="Cambria" w:hAnsi="Cambria"/>
          <w:sz w:val="22"/>
          <w:szCs w:val="22"/>
        </w:rPr>
      </w:pPr>
      <w:r w:rsidRPr="00914EB6">
        <w:rPr>
          <w:rStyle w:val="Strong"/>
          <w:rFonts w:ascii="Cambria" w:hAnsi="Cambria"/>
          <w:sz w:val="22"/>
          <w:szCs w:val="22"/>
        </w:rPr>
        <w:lastRenderedPageBreak/>
        <w:t>Day-Of-Week Variation</w:t>
      </w:r>
      <w:bookmarkEnd w:id="2543"/>
    </w:p>
    <w:p w14:paraId="1D49ADDD" w14:textId="003AA1E2" w:rsidR="00F30A7B" w:rsidRDefault="00F30A7B" w:rsidP="00A35EAF">
      <w:pPr>
        <w:pStyle w:val="BodyText"/>
      </w:pPr>
      <w:r w:rsidRPr="00F30A7B">
        <w:t>Day of the week patterns provide another way of viewing traffic volume data.</w:t>
      </w:r>
      <w:r w:rsidR="004D4172">
        <w:t xml:space="preserve"> </w:t>
      </w:r>
      <w:r w:rsidRPr="00F30A7B">
        <w:t xml:space="preserve">Examples of DOW variation can be found </w:t>
      </w:r>
      <w:r w:rsidRPr="000953E2">
        <w:t xml:space="preserve">in </w:t>
      </w:r>
      <w:r w:rsidR="007F2D82">
        <w:fldChar w:fldCharType="begin"/>
      </w:r>
      <w:r w:rsidR="007F2D82">
        <w:instrText xml:space="preserve"> REF _Ref114753168 \h </w:instrText>
      </w:r>
      <w:r w:rsidR="007F2D82">
        <w:fldChar w:fldCharType="separate"/>
      </w:r>
      <w:r w:rsidR="00C07DF9" w:rsidRPr="00F30A7B">
        <w:t xml:space="preserve">Figure </w:t>
      </w:r>
      <w:r w:rsidR="00C07DF9">
        <w:rPr>
          <w:noProof/>
        </w:rPr>
        <w:t>3</w:t>
      </w:r>
      <w:r w:rsidR="00C07DF9">
        <w:noBreakHyphen/>
      </w:r>
      <w:r w:rsidR="00C07DF9">
        <w:rPr>
          <w:noProof/>
        </w:rPr>
        <w:t>7</w:t>
      </w:r>
      <w:r w:rsidR="007F2D82">
        <w:fldChar w:fldCharType="end"/>
      </w:r>
      <w:r w:rsidRPr="000953E2">
        <w:t>.</w:t>
      </w:r>
    </w:p>
    <w:p w14:paraId="3E193001" w14:textId="77777777" w:rsidR="00F30A7B" w:rsidRPr="006701AC" w:rsidRDefault="00F30A7B" w:rsidP="00914EB6">
      <w:pPr>
        <w:jc w:val="center"/>
        <w:rPr>
          <w:rFonts w:eastAsia="MS Mincho"/>
          <w:szCs w:val="22"/>
        </w:rPr>
      </w:pPr>
      <w:r>
        <w:rPr>
          <w:noProof/>
        </w:rPr>
        <w:drawing>
          <wp:inline distT="0" distB="0" distL="0" distR="0" wp14:anchorId="41E017C7" wp14:editId="5AF88A7F">
            <wp:extent cx="5697220" cy="3540369"/>
            <wp:effectExtent l="0" t="0" r="17780" b="3175"/>
            <wp:docPr id="35848" name="Chart 35848" descr="Graph with percentage of each day of week (DOW) travel for each of the HPMS vehicle 6 class volumes distributions for Florida site 120184 on state route 93 and I-75 in Lee County for year 2020.   Motorcycle had X symbol on a solid purple line.  Passenger is unfilled orange triangle circle symbols.  Light trucks is a solid gray line with black circle symbols.  Bus is a solid red line with a box symbol.  Single Unit trucks is a blue line with black outlined square symbols.  Combination trucks is a green line with black outlined diamond symbols.  All plots are for each day of the week overall show lower values for Saturday and Sunday.">
              <a:extLst xmlns:a="http://schemas.openxmlformats.org/drawingml/2006/main">
                <a:ext uri="{FF2B5EF4-FFF2-40B4-BE49-F238E27FC236}">
                  <a16:creationId xmlns:a16="http://schemas.microsoft.com/office/drawing/2014/main" id="{CC7918C7-AC86-4993-8B53-4CC6AE2BAF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14:paraId="67536BEE" w14:textId="78343D9B" w:rsidR="00F30A7B" w:rsidRPr="0061163F" w:rsidRDefault="00F30A7B" w:rsidP="0061163F">
      <w:pPr>
        <w:pStyle w:val="Source"/>
        <w:ind w:left="180"/>
        <w:rPr>
          <w:rFonts w:eastAsia="MS Mincho"/>
        </w:rPr>
      </w:pPr>
      <w:r w:rsidRPr="0061163F">
        <w:rPr>
          <w:rStyle w:val="SourceChar"/>
          <w:i/>
          <w:color w:val="auto"/>
        </w:rPr>
        <w:t>Source:</w:t>
      </w:r>
      <w:r w:rsidR="00914EB6" w:rsidRPr="0061163F">
        <w:rPr>
          <w:rStyle w:val="SourceChar"/>
          <w:i/>
          <w:color w:val="auto"/>
        </w:rPr>
        <w:t xml:space="preserve"> </w:t>
      </w:r>
      <w:r w:rsidR="0061163F">
        <w:rPr>
          <w:rStyle w:val="SourceChar"/>
          <w:i/>
          <w:color w:val="auto"/>
        </w:rPr>
        <w:t xml:space="preserve"> </w:t>
      </w:r>
      <w:r w:rsidRPr="0061163F">
        <w:rPr>
          <w:rStyle w:val="SourceChar"/>
          <w:i/>
          <w:color w:val="auto"/>
        </w:rPr>
        <w:t>Federal Highway Administration</w:t>
      </w:r>
      <w:r w:rsidRPr="0061163F">
        <w:rPr>
          <w:rFonts w:eastAsia="MS Mincho"/>
        </w:rPr>
        <w:t>.</w:t>
      </w:r>
    </w:p>
    <w:p w14:paraId="2AC5F7C2" w14:textId="191FD9DB" w:rsidR="00914EB6" w:rsidRPr="00F30A7B" w:rsidRDefault="00914EB6" w:rsidP="00914EB6">
      <w:pPr>
        <w:pStyle w:val="TMGFigureCaption"/>
        <w:spacing w:after="360"/>
      </w:pPr>
      <w:bookmarkStart w:id="2544" w:name="_Ref114753168"/>
      <w:bookmarkStart w:id="2545" w:name="_Toc75790981"/>
      <w:bookmarkStart w:id="2546" w:name="_Toc114474804"/>
      <w:bookmarkStart w:id="2547" w:name="_Toc120626577"/>
      <w:r w:rsidRPr="00F30A7B">
        <w:t xml:space="preserve">Figure </w:t>
      </w:r>
      <w:fldSimple w:instr=" STYLEREF 1 \s ">
        <w:r w:rsidR="00C07DF9">
          <w:rPr>
            <w:noProof/>
          </w:rPr>
          <w:t>3</w:t>
        </w:r>
      </w:fldSimple>
      <w:r>
        <w:noBreakHyphen/>
      </w:r>
      <w:fldSimple w:instr=" SEQ Figure \* ARABIC \s 1 ">
        <w:r w:rsidR="00C07DF9">
          <w:rPr>
            <w:noProof/>
          </w:rPr>
          <w:t>7</w:t>
        </w:r>
      </w:fldSimple>
      <w:bookmarkEnd w:id="2544"/>
      <w:r w:rsidR="007F2D82">
        <w:t>.</w:t>
      </w:r>
      <w:r w:rsidRPr="00F30A7B">
        <w:t xml:space="preserve"> Example </w:t>
      </w:r>
      <w:r w:rsidR="00EC406B">
        <w:t>o</w:t>
      </w:r>
      <w:r w:rsidRPr="00F30A7B">
        <w:t xml:space="preserve">f Differences </w:t>
      </w:r>
      <w:r w:rsidR="00EC406B">
        <w:t>i</w:t>
      </w:r>
      <w:r w:rsidRPr="00F30A7B">
        <w:t>n Traffic Volume by D</w:t>
      </w:r>
      <w:r>
        <w:t xml:space="preserve">ay of </w:t>
      </w:r>
      <w:r w:rsidRPr="00F30A7B">
        <w:t>W</w:t>
      </w:r>
      <w:r>
        <w:t>eek</w:t>
      </w:r>
      <w:r w:rsidRPr="00F30A7B">
        <w:t xml:space="preserve"> for Florida Site</w:t>
      </w:r>
      <w:bookmarkEnd w:id="2545"/>
      <w:bookmarkEnd w:id="2546"/>
      <w:bookmarkEnd w:id="2547"/>
    </w:p>
    <w:p w14:paraId="3D4C75EF" w14:textId="0D611B4F" w:rsidR="00F30A7B" w:rsidRPr="00C237D6" w:rsidRDefault="00F30A7B" w:rsidP="00A35EAF">
      <w:pPr>
        <w:pStyle w:val="BodyText"/>
        <w:rPr>
          <w:rFonts w:ascii="Cambria" w:hAnsi="Cambria"/>
          <w:b/>
          <w:bCs/>
          <w:sz w:val="22"/>
          <w:szCs w:val="22"/>
        </w:rPr>
      </w:pPr>
      <w:bookmarkStart w:id="2548" w:name="_Toc75362024"/>
      <w:bookmarkStart w:id="2549" w:name="_Hlk75445549"/>
      <w:r w:rsidRPr="00C237D6">
        <w:rPr>
          <w:rFonts w:ascii="Cambria" w:hAnsi="Cambria"/>
          <w:b/>
          <w:bCs/>
          <w:sz w:val="22"/>
          <w:szCs w:val="22"/>
        </w:rPr>
        <w:t>Month of Year (Seasonal) Variation</w:t>
      </w:r>
      <w:bookmarkEnd w:id="2548"/>
    </w:p>
    <w:p w14:paraId="3955310F" w14:textId="28123A51" w:rsidR="00F30A7B" w:rsidRDefault="00F30A7B" w:rsidP="00A35EAF">
      <w:pPr>
        <w:pStyle w:val="BodyText"/>
      </w:pPr>
      <w:r>
        <w:t>B</w:t>
      </w:r>
      <w:r w:rsidRPr="000D7942">
        <w:t xml:space="preserve">oth car and truck traffic change over the course of the year. Monthly changes in volume </w:t>
      </w:r>
      <w:r>
        <w:t>of traffic</w:t>
      </w:r>
      <w:r w:rsidRPr="000D7942">
        <w:t xml:space="preserve"> have been tracked for many years with permanent </w:t>
      </w:r>
      <w:r>
        <w:t xml:space="preserve">traffic </w:t>
      </w:r>
      <w:r w:rsidRPr="000D7942">
        <w:t xml:space="preserve">counters. </w:t>
      </w:r>
      <w:r>
        <w:t>Climate, proximity to major metropolitan areas or a major business venue, and primary vehicle use have an effect on seasonal travel pattern</w:t>
      </w:r>
      <w:r w:rsidRPr="000953E2">
        <w:t xml:space="preserve">. </w:t>
      </w:r>
      <w:r w:rsidR="007F2D82">
        <w:fldChar w:fldCharType="begin"/>
      </w:r>
      <w:r w:rsidR="007F2D82">
        <w:instrText xml:space="preserve"> REF _Ref114753181 \h </w:instrText>
      </w:r>
      <w:r w:rsidR="007F2D82">
        <w:fldChar w:fldCharType="separate"/>
      </w:r>
      <w:r w:rsidR="00C07DF9">
        <w:t xml:space="preserve">Figure </w:t>
      </w:r>
      <w:r w:rsidR="00C07DF9">
        <w:rPr>
          <w:noProof/>
        </w:rPr>
        <w:t>3</w:t>
      </w:r>
      <w:r w:rsidR="00C07DF9">
        <w:noBreakHyphen/>
      </w:r>
      <w:r w:rsidR="00C07DF9">
        <w:rPr>
          <w:noProof/>
        </w:rPr>
        <w:t>8</w:t>
      </w:r>
      <w:r w:rsidR="007F2D82">
        <w:fldChar w:fldCharType="end"/>
      </w:r>
      <w:r w:rsidRPr="000953E2">
        <w:t xml:space="preserve"> shows an example of a typical MOY patterns by HPMS vehicle type for a rural road in Wyoming. </w:t>
      </w:r>
      <w:r w:rsidR="007F2D82">
        <w:fldChar w:fldCharType="begin"/>
      </w:r>
      <w:r w:rsidR="007F2D82">
        <w:instrText xml:space="preserve"> REF _Ref114753181 \h </w:instrText>
      </w:r>
      <w:r w:rsidR="007F2D82">
        <w:fldChar w:fldCharType="separate"/>
      </w:r>
      <w:r w:rsidR="00C07DF9">
        <w:t xml:space="preserve">Figure </w:t>
      </w:r>
      <w:r w:rsidR="00C07DF9">
        <w:rPr>
          <w:noProof/>
        </w:rPr>
        <w:t>3</w:t>
      </w:r>
      <w:r w:rsidR="00C07DF9">
        <w:noBreakHyphen/>
      </w:r>
      <w:r w:rsidR="00C07DF9">
        <w:rPr>
          <w:noProof/>
        </w:rPr>
        <w:t>8</w:t>
      </w:r>
      <w:r w:rsidR="007F2D82">
        <w:fldChar w:fldCharType="end"/>
      </w:r>
      <w:r w:rsidRPr="000953E2">
        <w:t xml:space="preserve"> shows that a higher percentage of annual travel happens during summer months, especially for motorcycles. Combination unit trucks show the least seasonality among the HPMS vehicle classes shown in </w:t>
      </w:r>
      <w:r w:rsidR="007F2D82">
        <w:fldChar w:fldCharType="begin"/>
      </w:r>
      <w:r w:rsidR="007F2D82">
        <w:instrText xml:space="preserve"> REF _Ref114753181 \h </w:instrText>
      </w:r>
      <w:r w:rsidR="007F2D82">
        <w:fldChar w:fldCharType="separate"/>
      </w:r>
      <w:r w:rsidR="00C07DF9">
        <w:t xml:space="preserve">Figure </w:t>
      </w:r>
      <w:r w:rsidR="00C07DF9">
        <w:rPr>
          <w:noProof/>
        </w:rPr>
        <w:t>3</w:t>
      </w:r>
      <w:r w:rsidR="00C07DF9">
        <w:noBreakHyphen/>
      </w:r>
      <w:r w:rsidR="00C07DF9">
        <w:rPr>
          <w:noProof/>
        </w:rPr>
        <w:t>8</w:t>
      </w:r>
      <w:r w:rsidR="007F2D82">
        <w:fldChar w:fldCharType="end"/>
      </w:r>
      <w:r w:rsidRPr="000953E2">
        <w:t>.</w:t>
      </w:r>
    </w:p>
    <w:p w14:paraId="24941F7B" w14:textId="77777777" w:rsidR="00F30A7B" w:rsidRPr="006701AC" w:rsidRDefault="00F30A7B" w:rsidP="00EC406B">
      <w:pPr>
        <w:jc w:val="center"/>
        <w:rPr>
          <w:rFonts w:eastAsia="MS Mincho"/>
          <w:szCs w:val="22"/>
        </w:rPr>
      </w:pPr>
      <w:r>
        <w:rPr>
          <w:noProof/>
        </w:rPr>
        <w:lastRenderedPageBreak/>
        <w:drawing>
          <wp:inline distT="0" distB="0" distL="0" distR="0" wp14:anchorId="22C24C9F" wp14:editId="0BE60447">
            <wp:extent cx="5943600" cy="3743325"/>
            <wp:effectExtent l="0" t="0" r="0" b="9525"/>
            <wp:docPr id="35849" name="Chart 35849" descr="Dual Y axis graph with percentage of annual volume each month of year (MOY) travel for each of the HPMS vehicle 6 class volumes distributions for rural Wyoming site 174 on state route 212.   The right y-axis has motorcycle percentage with a blue line with black circle symbol.  All other classes utilize the left y-axis values.  Passenger is unfilled orange triangle circle symbols.  Light trucks is a solid gray line with black circle symbols.  Bus is a solid light orange line with black X symbols.  Single Unit trucks is a blue line with black plus symbols.  Combination trucks is a green line with black outlined diamond symbols.  All plots are for each month of the year plotted for every month.">
              <a:extLst xmlns:a="http://schemas.openxmlformats.org/drawingml/2006/main">
                <a:ext uri="{FF2B5EF4-FFF2-40B4-BE49-F238E27FC236}">
                  <a16:creationId xmlns:a16="http://schemas.microsoft.com/office/drawing/2014/main" id="{39B2E95F-2F7E-4252-A45A-6394080C59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61887485" w14:textId="4D206844" w:rsidR="00F30A7B" w:rsidRPr="006701AC" w:rsidRDefault="00F30A7B" w:rsidP="00EC406B">
      <w:pPr>
        <w:pStyle w:val="Source"/>
      </w:pPr>
      <w:r w:rsidRPr="006701AC">
        <w:t>Source:</w:t>
      </w:r>
      <w:r w:rsidR="0061163F">
        <w:t xml:space="preserve"> </w:t>
      </w:r>
      <w:r w:rsidR="00EC406B">
        <w:t xml:space="preserve"> </w:t>
      </w:r>
      <w:r w:rsidRPr="006701AC">
        <w:t>Federal Highway Administration.</w:t>
      </w:r>
    </w:p>
    <w:p w14:paraId="5383E68F" w14:textId="2A124943" w:rsidR="00EC406B" w:rsidRDefault="00EC406B" w:rsidP="00EC406B">
      <w:pPr>
        <w:pStyle w:val="TMGFigureCaption"/>
        <w:spacing w:after="360"/>
      </w:pPr>
      <w:bookmarkStart w:id="2550" w:name="_Ref114753181"/>
      <w:bookmarkStart w:id="2551" w:name="_Toc75790982"/>
      <w:bookmarkStart w:id="2552" w:name="_Toc114474805"/>
      <w:bookmarkStart w:id="2553" w:name="_Toc120626578"/>
      <w:bookmarkEnd w:id="2549"/>
      <w:r>
        <w:t xml:space="preserve">Figure </w:t>
      </w:r>
      <w:fldSimple w:instr=" STYLEREF 1 \s ">
        <w:r w:rsidR="00C07DF9">
          <w:rPr>
            <w:noProof/>
          </w:rPr>
          <w:t>3</w:t>
        </w:r>
      </w:fldSimple>
      <w:r>
        <w:noBreakHyphen/>
      </w:r>
      <w:fldSimple w:instr=" SEQ Figure \* ARABIC \s 1 ">
        <w:r w:rsidR="00C07DF9">
          <w:rPr>
            <w:noProof/>
          </w:rPr>
          <w:t>8</w:t>
        </w:r>
      </w:fldSimple>
      <w:bookmarkEnd w:id="2550"/>
      <w:r w:rsidR="007F2D82">
        <w:t>.</w:t>
      </w:r>
      <w:r>
        <w:t xml:space="preserve"> </w:t>
      </w:r>
      <w:r w:rsidRPr="00F117B7">
        <w:t xml:space="preserve">Example </w:t>
      </w:r>
      <w:r>
        <w:t>o</w:t>
      </w:r>
      <w:r w:rsidRPr="00F117B7">
        <w:t xml:space="preserve">f </w:t>
      </w:r>
      <w:r>
        <w:t>Monthly Volume Pattern for a Rural Road i</w:t>
      </w:r>
      <w:r w:rsidRPr="00C32E5C">
        <w:t xml:space="preserve">n </w:t>
      </w:r>
      <w:r>
        <w:t>Wyoming</w:t>
      </w:r>
      <w:bookmarkEnd w:id="2551"/>
      <w:bookmarkEnd w:id="2552"/>
      <w:bookmarkEnd w:id="2553"/>
    </w:p>
    <w:p w14:paraId="31950AA7" w14:textId="77777777" w:rsidR="00F30A7B" w:rsidRPr="00771210" w:rsidRDefault="00F30A7B" w:rsidP="00A35EAF">
      <w:pPr>
        <w:pStyle w:val="BodyText"/>
      </w:pPr>
      <w:r>
        <w:t>On a monthly basis, m</w:t>
      </w:r>
      <w:r w:rsidRPr="00771210">
        <w:t xml:space="preserve">ost States track </w:t>
      </w:r>
      <w:r>
        <w:t>travel and</w:t>
      </w:r>
      <w:r w:rsidRPr="00771210">
        <w:t xml:space="preserve"> </w:t>
      </w:r>
      <w:r>
        <w:t xml:space="preserve">traffic </w:t>
      </w:r>
      <w:r w:rsidRPr="00771210">
        <w:t>patterns, and they base the patterns being followed on some combination of functional classification of roadway and geographic location. Geography and functional classification are used as readily available surrogate measures that describe roads that follow that basic pattern. Geographic stratification is particularly important when different parts of a State experience very different travel behavior. For example, travel in areas that experience heavy recreational movements follow different travel patterns than those in areas without such movements. Even in urban areas where travel is more constant year-round, cities with heavy recreational activity have different patterns than cities in the same State without heavy recreational movements.</w:t>
      </w:r>
    </w:p>
    <w:p w14:paraId="3DC676F8" w14:textId="7471D411" w:rsidR="00F30A7B" w:rsidRPr="00771210" w:rsidRDefault="00F30A7B" w:rsidP="00A35EAF">
      <w:pPr>
        <w:pStyle w:val="BodyText"/>
      </w:pPr>
      <w:r w:rsidRPr="00771210">
        <w:t>Not surprisingly, truck traffic has monthly patterns that are different from automobile patterns. Some truck movements are stable throughout the year. These movements are often identified with specific types of trucks operating in specific corridors or regions. Other truck movements have high monthly variability, for example, in agricultural areas. It has even been shown that the weights carried by some trucks vary by season. This is particularly true in States where monthly load restrictions are placed on roads and where weight limits are increased during some winter months. Where this happens, States should track monthly changes for the development of adjustment factors.</w:t>
      </w:r>
    </w:p>
    <w:p w14:paraId="01CEDAD2" w14:textId="4DE18284" w:rsidR="00F30A7B" w:rsidRPr="00771210" w:rsidRDefault="00F30A7B" w:rsidP="00A35EAF">
      <w:pPr>
        <w:pStyle w:val="BodyText"/>
      </w:pPr>
      <w:r w:rsidRPr="00771210">
        <w:t xml:space="preserve">As with </w:t>
      </w:r>
      <w:r w:rsidR="001D0007">
        <w:t>DOW</w:t>
      </w:r>
      <w:r w:rsidRPr="00771210">
        <w:t xml:space="preserve"> patterns, tracking of monthly changes in volumes is useful to calculate adjustments needed for various analyses. If annual statistics are needed for an analysis, it is necessary to adjust a </w:t>
      </w:r>
      <w:r>
        <w:t>short-term</w:t>
      </w:r>
      <w:r w:rsidRPr="00771210">
        <w:t xml:space="preserve"> traffic volume count taken in mid-August to account for the fact that August traffic differs from the annual average condition. </w:t>
      </w:r>
    </w:p>
    <w:p w14:paraId="77AD4BC7" w14:textId="77777777" w:rsidR="00F30A7B" w:rsidRPr="00771210" w:rsidRDefault="00F30A7B" w:rsidP="00A35EAF">
      <w:pPr>
        <w:pStyle w:val="BodyText"/>
      </w:pPr>
      <w:r w:rsidRPr="00771210">
        <w:t xml:space="preserve">Truck volume patterns can vary considerably from car volume patterns. Roads that carry significant volumes of through-trucks tend to have very different monthly patterns than roads that carry predominately local freight traffic. Roads that carry large volumes of recreational </w:t>
      </w:r>
      <w:r>
        <w:t>travelers</w:t>
      </w:r>
      <w:r w:rsidRPr="00771210">
        <w:t xml:space="preserve"> often do not experience similarly large increases in truck traffic but do often experience major increases in the number of recreational vehicles, which share many characteristics with trucks but have significant differences in weights.</w:t>
      </w:r>
    </w:p>
    <w:p w14:paraId="4E4118EA" w14:textId="77777777" w:rsidR="00F30A7B" w:rsidRPr="00F04275" w:rsidRDefault="00F30A7B" w:rsidP="00A35EAF">
      <w:pPr>
        <w:pStyle w:val="BodyText"/>
      </w:pPr>
      <w:r w:rsidRPr="00771210">
        <w:lastRenderedPageBreak/>
        <w:t xml:space="preserve">Thus, it is highly recommended that States monitor and account for monthly variation in truck traffic directly, and </w:t>
      </w:r>
      <w:r w:rsidRPr="00F04275">
        <w:t>that these procedures be independent of the procedures used to account for variations in the six vehicle types.</w:t>
      </w:r>
    </w:p>
    <w:p w14:paraId="3265B116" w14:textId="1CA80CCC" w:rsidR="00F30A7B" w:rsidRPr="00C237D6" w:rsidRDefault="00F30A7B" w:rsidP="00A35EAF">
      <w:pPr>
        <w:pStyle w:val="BodyText"/>
        <w:rPr>
          <w:rFonts w:ascii="Cambria" w:hAnsi="Cambria"/>
          <w:b/>
          <w:bCs/>
          <w:sz w:val="22"/>
          <w:szCs w:val="22"/>
        </w:rPr>
      </w:pPr>
      <w:bookmarkStart w:id="2554" w:name="_Toc75362025"/>
      <w:r w:rsidRPr="00C237D6">
        <w:rPr>
          <w:rFonts w:ascii="Cambria" w:hAnsi="Cambria"/>
          <w:b/>
          <w:bCs/>
          <w:sz w:val="22"/>
          <w:szCs w:val="22"/>
        </w:rPr>
        <w:t>Directional Variation</w:t>
      </w:r>
      <w:bookmarkEnd w:id="2554"/>
    </w:p>
    <w:p w14:paraId="024757F0" w14:textId="77777777" w:rsidR="00F30A7B" w:rsidRPr="00771210" w:rsidRDefault="00F30A7B" w:rsidP="00A35EAF">
      <w:pPr>
        <w:pStyle w:val="BodyText"/>
      </w:pPr>
      <w:r w:rsidRPr="00771210">
        <w:t xml:space="preserve">Most two-way roads exhibit differences in flow by direction by time of day. The traditional urban commute involves a heavy inbound movement in the morning and an outbound movement in the afternoon. On many suburban roads, this directional behavior has disappeared, replaced by heavy peak movements in both directions during both peak periods. </w:t>
      </w:r>
    </w:p>
    <w:p w14:paraId="0605357C" w14:textId="5F58E2FC" w:rsidR="00F30A7B" w:rsidRPr="00771210" w:rsidRDefault="00F30A7B" w:rsidP="00A35EAF">
      <w:pPr>
        <w:pStyle w:val="BodyText"/>
      </w:pPr>
      <w:r w:rsidRPr="00771210">
        <w:t xml:space="preserve">In areas with high recreational traffic flows, directional movements change the DOW traffic patterns as much as the </w:t>
      </w:r>
      <w:r w:rsidR="00B5646E">
        <w:t>TOD</w:t>
      </w:r>
      <w:r w:rsidRPr="00771210">
        <w:t xml:space="preserve"> patterns. Travelers often arrive in the area starting late Thursday night and depart on Sunday.</w:t>
      </w:r>
    </w:p>
    <w:p w14:paraId="10E1785F" w14:textId="7008C000" w:rsidR="00F30A7B" w:rsidRPr="006D75DC" w:rsidRDefault="00F30A7B" w:rsidP="00A35EAF">
      <w:pPr>
        <w:pStyle w:val="BodyText"/>
      </w:pPr>
      <w:r w:rsidRPr="00771210">
        <w:t xml:space="preserve">Truck volumes and characteristics can also change by direction. One example of directional differences in trucks is the movement of loaded trucks in one direction along a road, with a return movement of empty trucks. This is often the situation in regions where mineral resources are extracted. Volumes by vehicle classification can also change from one direction to another, for example when loaded logging trucks (classified as 5-axle tractor semi-trailers) move in one direction, and unloaded logging trucks (which carry the trailer dollies on the tractor and are </w:t>
      </w:r>
      <w:r w:rsidRPr="006D75DC">
        <w:t>classified as 3-axle single units) move in the other. Another example of directional changes in volumes by vehicle classification are roads leading to/from quarries or landfills. On these roads, single</w:t>
      </w:r>
      <w:r w:rsidR="00B5646E">
        <w:t>-</w:t>
      </w:r>
      <w:r w:rsidRPr="006D75DC">
        <w:t>body trucks with 4+ axles (dump trucks) equipped with liftable axles are reported as Class 7 (when trucks travel loaded and liftable axles are in the lowered position) in one direction and as Class 6 in the opposite direction (when trucks travel empty and liftable axles are in the elevated position).</w:t>
      </w:r>
    </w:p>
    <w:p w14:paraId="34D37FF6" w14:textId="77777777" w:rsidR="00F30A7B" w:rsidRPr="00771210" w:rsidRDefault="00F30A7B" w:rsidP="00A35EAF">
      <w:pPr>
        <w:pStyle w:val="BodyText"/>
      </w:pPr>
      <w:r w:rsidRPr="00771210">
        <w:t xml:space="preserve">Tracking these directional movements as part of the statewide monitoring program is important for not only planning, design, and operation of existing roadways, but as an important supplement to the knowledge base needed to estimate the impacts that new development will generate in previously undeveloped rural lands. </w:t>
      </w:r>
    </w:p>
    <w:p w14:paraId="30E0D872" w14:textId="75FFA3AE" w:rsidR="00F30A7B" w:rsidRPr="00C237D6" w:rsidRDefault="00F30A7B" w:rsidP="00A35EAF">
      <w:pPr>
        <w:pStyle w:val="BodyText"/>
        <w:rPr>
          <w:rFonts w:ascii="Cambria" w:hAnsi="Cambria"/>
          <w:b/>
          <w:bCs/>
          <w:sz w:val="22"/>
          <w:szCs w:val="22"/>
        </w:rPr>
      </w:pPr>
      <w:r w:rsidRPr="00C237D6">
        <w:rPr>
          <w:rFonts w:ascii="Cambria" w:hAnsi="Cambria"/>
          <w:b/>
          <w:bCs/>
          <w:sz w:val="22"/>
          <w:szCs w:val="22"/>
        </w:rPr>
        <w:t>Geographic Variation</w:t>
      </w:r>
    </w:p>
    <w:p w14:paraId="3CDC67F7" w14:textId="118841B0" w:rsidR="00F30A7B" w:rsidRPr="00771210" w:rsidRDefault="00F30A7B" w:rsidP="00A35EAF">
      <w:pPr>
        <w:pStyle w:val="BodyText"/>
      </w:pPr>
      <w:r w:rsidRPr="00771210">
        <w:t>The last type of variation discussed is spatial variation. That is, how volumes change from one roadway to another, or from one location on a road to another location on that same road. This type of differentiation is taken for granted for traffic volumes. Some roads simply carry more vehicles than others do. This concept is readily expanded to encompass the notion discussed above, that many of the basic traffic volume patterns are geographically affected (e.g., California ski areas have different travel patterns than California beach highways). It</w:t>
      </w:r>
      <w:r w:rsidR="00C237D6">
        <w:t> </w:t>
      </w:r>
      <w:r w:rsidRPr="00771210">
        <w:t>is important to extend these concepts even further to recognize that truck travel also varies from route to route and region to region. It is just as important to realize that differences in truck travel can occur irrespective of differences in automobile traffic.</w:t>
      </w:r>
    </w:p>
    <w:p w14:paraId="6E8D490E" w14:textId="77777777" w:rsidR="00F30A7B" w:rsidRPr="00771210" w:rsidRDefault="00F30A7B" w:rsidP="00A35EAF">
      <w:pPr>
        <w:pStyle w:val="BodyText"/>
      </w:pPr>
      <w:r w:rsidRPr="00771210">
        <w:t>One important area of interest in traffic monitoring is the creation of truck flow maps and/or tonnage maps. These maps (analogous to traffic flow maps) show where truck and freight movements are heaviest. This is important for the following:</w:t>
      </w:r>
    </w:p>
    <w:p w14:paraId="3D3889D5" w14:textId="77777777" w:rsidR="00F30A7B" w:rsidRPr="00462E42" w:rsidRDefault="00F30A7B">
      <w:pPr>
        <w:pStyle w:val="TMGBullet"/>
      </w:pPr>
      <w:r w:rsidRPr="00462E42">
        <w:t>Prioritizing maintenance and roadway improvement funding.</w:t>
      </w:r>
    </w:p>
    <w:p w14:paraId="3D0C9203" w14:textId="1ABAB3C4" w:rsidR="00F30A7B" w:rsidRPr="00462E42" w:rsidRDefault="00F30A7B">
      <w:pPr>
        <w:pStyle w:val="TMGBullet"/>
      </w:pPr>
      <w:r w:rsidRPr="00462E42">
        <w:t>Instituting geometric and pavement design and maintenance guidelines that account for expected truck traffic</w:t>
      </w:r>
      <w:r w:rsidR="00B5646E">
        <w:t>.</w:t>
      </w:r>
    </w:p>
    <w:p w14:paraId="264A4A91" w14:textId="77777777" w:rsidR="00F30A7B" w:rsidRPr="00771210" w:rsidRDefault="00F30A7B">
      <w:pPr>
        <w:pStyle w:val="TMGBullet"/>
      </w:pPr>
      <w:r w:rsidRPr="00462E42">
        <w:t>Studying the effects of regulatory changes in freight and goods movements (such as the</w:t>
      </w:r>
      <w:r w:rsidRPr="00771210">
        <w:t xml:space="preserve"> abandonment of existing freight rail lines).</w:t>
      </w:r>
    </w:p>
    <w:p w14:paraId="0B1B6F7A" w14:textId="1AB1DB57" w:rsidR="00F30A7B" w:rsidRPr="00771210" w:rsidRDefault="00F30A7B" w:rsidP="00A35EAF">
      <w:pPr>
        <w:pStyle w:val="BodyText"/>
      </w:pPr>
      <w:r w:rsidRPr="00771210">
        <w:t xml:space="preserve">When </w:t>
      </w:r>
      <w:r>
        <w:t xml:space="preserve">travel and traffic patterns for all six vehicle types are plotted on traffic </w:t>
      </w:r>
      <w:r w:rsidRPr="00771210">
        <w:t xml:space="preserve">flow maps, they often reveal that </w:t>
      </w:r>
      <w:r>
        <w:t xml:space="preserve">vehicle traffic </w:t>
      </w:r>
      <w:r w:rsidRPr="00771210">
        <w:t xml:space="preserve">routes exist irrespective of the total traffic volume and/or the functional classification of the roads involved. </w:t>
      </w:r>
      <w:r>
        <w:t xml:space="preserve">Vehicles use </w:t>
      </w:r>
      <w:r w:rsidRPr="00771210">
        <w:t xml:space="preserve">specific routes because those roads lead from the </w:t>
      </w:r>
      <w:r>
        <w:t>vehicle’s</w:t>
      </w:r>
      <w:r w:rsidRPr="00771210">
        <w:t xml:space="preserve"> origin to their destination</w:t>
      </w:r>
      <w:r>
        <w:t>.</w:t>
      </w:r>
      <w:r w:rsidR="004D4172">
        <w:t xml:space="preserve"> </w:t>
      </w:r>
    </w:p>
    <w:p w14:paraId="369043C8" w14:textId="77777777" w:rsidR="00F30A7B" w:rsidRPr="00771210" w:rsidRDefault="00F30A7B" w:rsidP="00A35EAF">
      <w:pPr>
        <w:pStyle w:val="BodyText"/>
      </w:pPr>
      <w:r w:rsidRPr="00771210">
        <w:t>Because truck flows (both truck volumes and weights) play such an important (and growing) role in highway engineering functions, it is vital that States collect truck volume data that describe the geographic changes that exist. Which roads carry large freight movements? Which roads carry large truck volumes, even if those volumes are a small percentage of total traffic volume? Which roads restrict or carry light volumes of freight?</w:t>
      </w:r>
    </w:p>
    <w:p w14:paraId="30058833" w14:textId="154EFA79" w:rsidR="003F7B9F" w:rsidRPr="00F202FA" w:rsidRDefault="00961D1C">
      <w:pPr>
        <w:pStyle w:val="Heading3"/>
      </w:pPr>
      <w:bookmarkStart w:id="2555" w:name="_Toc118205662"/>
      <w:r>
        <w:lastRenderedPageBreak/>
        <w:t>P</w:t>
      </w:r>
      <w:r w:rsidR="003F7B9F" w:rsidRPr="00F202FA">
        <w:t>rogram</w:t>
      </w:r>
      <w:r w:rsidR="00462E42" w:rsidRPr="00F202FA">
        <w:t>s</w:t>
      </w:r>
      <w:r w:rsidR="003F7B9F" w:rsidRPr="00F202FA">
        <w:t xml:space="preserve"> and </w:t>
      </w:r>
      <w:r>
        <w:t>T</w:t>
      </w:r>
      <w:r w:rsidR="003F7B9F" w:rsidRPr="00F202FA">
        <w:t xml:space="preserve">echnology </w:t>
      </w:r>
      <w:r>
        <w:t>D</w:t>
      </w:r>
      <w:r w:rsidR="003F7B9F" w:rsidRPr="00F202FA">
        <w:t xml:space="preserve">esigns that </w:t>
      </w:r>
      <w:r>
        <w:t>A</w:t>
      </w:r>
      <w:r w:rsidR="003F7B9F" w:rsidRPr="00F202FA">
        <w:t xml:space="preserve">ccount for </w:t>
      </w:r>
      <w:r>
        <w:t>T</w:t>
      </w:r>
      <w:r w:rsidR="003F7B9F" w:rsidRPr="00F202FA">
        <w:t xml:space="preserve">raffic </w:t>
      </w:r>
      <w:r>
        <w:t>V</w:t>
      </w:r>
      <w:r w:rsidR="003F7B9F" w:rsidRPr="00F202FA">
        <w:t>ariability</w:t>
      </w:r>
      <w:bookmarkEnd w:id="2555"/>
    </w:p>
    <w:p w14:paraId="5F46CC37" w14:textId="078F321C" w:rsidR="003F7B9F" w:rsidRPr="00841866" w:rsidRDefault="003F7B9F" w:rsidP="00A35EAF">
      <w:pPr>
        <w:pStyle w:val="BodyText"/>
      </w:pPr>
      <w:r w:rsidRPr="00841866">
        <w:t>The variability described in this section should be measured and accounted for in a micromobility traffic data collection and reporting program. The data collection program should also identify changes in these traffic patterns as they occur over time. To meet these needs in a cost-effective manner, statewide traffic monitoring programs generally include the following:</w:t>
      </w:r>
    </w:p>
    <w:p w14:paraId="48F1300E" w14:textId="1B820FBA" w:rsidR="00462E42" w:rsidRPr="00462E42" w:rsidRDefault="00462E42">
      <w:pPr>
        <w:pStyle w:val="TMGBullet"/>
        <w:rPr>
          <w:rFonts w:eastAsiaTheme="minorEastAsia"/>
        </w:rPr>
      </w:pPr>
      <w:r w:rsidRPr="00462E42">
        <w:rPr>
          <w:rFonts w:eastAsiaTheme="minorEastAsia"/>
        </w:rPr>
        <w:t>Short-term data collection efforts</w:t>
      </w:r>
      <w:r w:rsidR="00B5646E">
        <w:rPr>
          <w:rFonts w:eastAsiaTheme="minorEastAsia"/>
        </w:rPr>
        <w:t>.</w:t>
      </w:r>
    </w:p>
    <w:p w14:paraId="67CD77E7" w14:textId="77777777" w:rsidR="00462E42" w:rsidRPr="00462E42" w:rsidRDefault="00462E42">
      <w:pPr>
        <w:pStyle w:val="TMGBullet"/>
        <w:rPr>
          <w:rFonts w:eastAsiaTheme="minorEastAsia"/>
        </w:rPr>
      </w:pPr>
      <w:r w:rsidRPr="00462E42">
        <w:rPr>
          <w:rFonts w:eastAsiaTheme="minorEastAsia"/>
        </w:rPr>
        <w:t>Permanent, continuously operating, data collection sites.</w:t>
      </w:r>
    </w:p>
    <w:p w14:paraId="5EF9D4AB" w14:textId="72B1066C" w:rsidR="003F7B9F" w:rsidRPr="00841866" w:rsidRDefault="003F7B9F" w:rsidP="00A35EAF">
      <w:pPr>
        <w:pStyle w:val="BodyText"/>
      </w:pPr>
      <w:r w:rsidRPr="00841866">
        <w:t>The short-term counts provide the geographic coverage to understand traffic characteristics on individual roads, streets, shared</w:t>
      </w:r>
      <w:r w:rsidR="008A03F0">
        <w:t>-</w:t>
      </w:r>
      <w:r w:rsidRPr="00841866">
        <w:t xml:space="preserve">use paths, and pedestrian facilities, as well as on specific segments of those facilities. They provide site-specific data on the </w:t>
      </w:r>
      <w:r w:rsidR="00B5646E">
        <w:t>TOD</w:t>
      </w:r>
      <w:r w:rsidRPr="00841866">
        <w:t xml:space="preserve"> variation</w:t>
      </w:r>
      <w:r w:rsidR="00815806">
        <w:t xml:space="preserve"> and</w:t>
      </w:r>
      <w:r w:rsidRPr="00841866">
        <w:t xml:space="preserve"> can provide data on DOW variation in nonmotorized travel, but</w:t>
      </w:r>
      <w:r w:rsidR="00815806">
        <w:t xml:space="preserve"> they</w:t>
      </w:r>
      <w:r w:rsidRPr="00841866">
        <w:t xml:space="preserve"> are mostly intended to provide current general traffic volume information throughout the larger monitored network. However, short-term counts cannot be directly used to provide many of the required data items desired by users. Statistics such as annual average traffic cannot be accurately measured during a short-term count. Instead, data collected during short-term counts are factored (adjusted) to create these annual average estimates.</w:t>
      </w:r>
      <w:r w:rsidR="004D4172">
        <w:t xml:space="preserve"> </w:t>
      </w:r>
    </w:p>
    <w:p w14:paraId="36388EBE" w14:textId="697C9C97" w:rsidR="00462E42" w:rsidRPr="00771210" w:rsidRDefault="00462E42" w:rsidP="00A35EAF">
      <w:pPr>
        <w:pStyle w:val="BodyText"/>
      </w:pPr>
      <w:bookmarkStart w:id="2556" w:name="_Toc68190234"/>
      <w:r w:rsidRPr="00771210">
        <w:t>To develop those factors, an agency should have a</w:t>
      </w:r>
      <w:r>
        <w:t>n adequate</w:t>
      </w:r>
      <w:r w:rsidRPr="00771210">
        <w:t xml:space="preserve"> number of permanently operating traffic monitoring sites. Permanent data collection sites provide </w:t>
      </w:r>
      <w:r>
        <w:t xml:space="preserve">temporal </w:t>
      </w:r>
      <w:r w:rsidRPr="00771210">
        <w:t xml:space="preserve">data on </w:t>
      </w:r>
      <w:r>
        <w:t>monthly (</w:t>
      </w:r>
      <w:r w:rsidRPr="00771210">
        <w:t>seasonal</w:t>
      </w:r>
      <w:r>
        <w:t>)</w:t>
      </w:r>
      <w:r w:rsidRPr="00771210">
        <w:t xml:space="preserve"> and </w:t>
      </w:r>
      <w:r w:rsidR="00815806">
        <w:t>DOW</w:t>
      </w:r>
      <w:r w:rsidRPr="00771210">
        <w:t xml:space="preserve"> trends. Continuous count summaries also provide very precise measurements of changes in travel volumes and characteristics at a limited number of locations.</w:t>
      </w:r>
    </w:p>
    <w:p w14:paraId="32C8D66E" w14:textId="29827D38" w:rsidR="00462E42" w:rsidRPr="00771210" w:rsidRDefault="00462E42" w:rsidP="00A35EAF">
      <w:pPr>
        <w:pStyle w:val="BodyText"/>
      </w:pPr>
      <w:r w:rsidRPr="00771210">
        <w:t>Importantly, while the basic traffic variables required for short- and permanent-duration counts is the same (i.e.,</w:t>
      </w:r>
      <w:r w:rsidR="00D003D1">
        <w:t> </w:t>
      </w:r>
      <w:r w:rsidRPr="00771210">
        <w:t xml:space="preserve">volume, volume by class, speed, weights), these two types of data collection efforts place different demands on data collection technology, and thus the equipment well suited for </w:t>
      </w:r>
      <w:r>
        <w:t>short-term</w:t>
      </w:r>
      <w:r w:rsidRPr="00771210">
        <w:t xml:space="preserve"> counts is not always well suited for permanent counting and vice-versa. The implications of these different types of data collection durations on equipment selection are discussed in the following sections. </w:t>
      </w:r>
    </w:p>
    <w:p w14:paraId="61A70BAE" w14:textId="6B37458A" w:rsidR="003F7B9F" w:rsidRPr="00517F7A" w:rsidRDefault="003F7B9F">
      <w:pPr>
        <w:pStyle w:val="Heading3"/>
      </w:pPr>
      <w:bookmarkStart w:id="2557" w:name="_Toc118205663"/>
      <w:r w:rsidRPr="00F202FA">
        <w:t>Micromobility</w:t>
      </w:r>
      <w:r w:rsidRPr="00517F7A">
        <w:t xml:space="preserve"> Permanent Data Program</w:t>
      </w:r>
      <w:bookmarkEnd w:id="2556"/>
      <w:bookmarkEnd w:id="2557"/>
    </w:p>
    <w:p w14:paraId="14C5F741" w14:textId="0076D660" w:rsidR="00462E42" w:rsidRPr="00841866" w:rsidRDefault="00462E42" w:rsidP="00A35EAF">
      <w:pPr>
        <w:pStyle w:val="BodyText"/>
      </w:pPr>
      <w:r w:rsidRPr="00F120BC">
        <w:t>Comprehensive information on micromobility</w:t>
      </w:r>
      <w:r>
        <w:t xml:space="preserve"> travel and</w:t>
      </w:r>
      <w:r w:rsidRPr="00F120BC">
        <w:t xml:space="preserve"> traffic variability applies all the same concepts as in the motorized traffic monitoring program if enough data </w:t>
      </w:r>
      <w:r w:rsidR="004217F3">
        <w:t>are</w:t>
      </w:r>
      <w:r w:rsidR="004217F3" w:rsidRPr="00F120BC">
        <w:t xml:space="preserve"> </w:t>
      </w:r>
      <w:r w:rsidRPr="00F120BC">
        <w:t>collected throughout the network.</w:t>
      </w:r>
      <w:r w:rsidR="004D4172">
        <w:t xml:space="preserve"> </w:t>
      </w:r>
      <w:r w:rsidR="004217F3">
        <w:t>Although</w:t>
      </w:r>
      <w:r w:rsidR="004217F3" w:rsidRPr="00F120BC">
        <w:t xml:space="preserve"> </w:t>
      </w:r>
      <w:r w:rsidRPr="00F120BC">
        <w:t xml:space="preserve">comprehensive information on micromobility traffic variability is limited because very few public agencies have collected and analyzed continuous </w:t>
      </w:r>
      <w:r>
        <w:t>micromobility</w:t>
      </w:r>
      <w:r w:rsidRPr="00F120BC">
        <w:t xml:space="preserve"> traffic data to date, it is expected that </w:t>
      </w:r>
      <w:r>
        <w:t>f</w:t>
      </w:r>
      <w:r w:rsidRPr="00100F70">
        <w:t xml:space="preserve">uture analyses will contribute a much better understanding to the traffic monitoring guidance contained here. For this section, a single continuous monitoring location (i.e., Cherry Creek Trail, Denver, Colorado) is used to illustrate variability at that site. This single example may not be indicative of </w:t>
      </w:r>
      <w:r>
        <w:t>micromobility</w:t>
      </w:r>
      <w:r w:rsidRPr="00100F70">
        <w:t xml:space="preserve"> </w:t>
      </w:r>
      <w:r>
        <w:t xml:space="preserve">travel and </w:t>
      </w:r>
      <w:r w:rsidRPr="00100F70">
        <w:t xml:space="preserve">traffic variability at other U.S. </w:t>
      </w:r>
      <w:r w:rsidRPr="00841866">
        <w:t>locations, especially those with a mild climate year-round.</w:t>
      </w:r>
    </w:p>
    <w:p w14:paraId="09AB3B4E" w14:textId="4273BEBC" w:rsidR="00462E42" w:rsidRPr="00841866" w:rsidRDefault="00462E42" w:rsidP="00A35EAF">
      <w:pPr>
        <w:pStyle w:val="BodyText"/>
      </w:pPr>
      <w:r w:rsidRPr="00841866">
        <w:t xml:space="preserve">There are multiple goals for understanding the </w:t>
      </w:r>
      <w:r w:rsidR="004217F3">
        <w:t>TOD</w:t>
      </w:r>
      <w:r w:rsidRPr="00841866">
        <w:t xml:space="preserve">, </w:t>
      </w:r>
      <w:r w:rsidR="004217F3">
        <w:t>DOW</w:t>
      </w:r>
      <w:r w:rsidRPr="00841866">
        <w:t xml:space="preserve">, and monthly variations in micromobility travel. One important goal is to estimate annual average daily use of </w:t>
      </w:r>
      <w:r>
        <w:t>micromobility</w:t>
      </w:r>
      <w:r w:rsidRPr="00841866">
        <w:t xml:space="preserve"> facilities from short</w:t>
      </w:r>
      <w:r w:rsidR="004217F3">
        <w:t>-</w:t>
      </w:r>
      <w:r w:rsidRPr="00841866">
        <w:t>term counts. This important statistic, referred to as AADT when applied to motorized vehicle traffic, is the most common reporting and comparison measure of facility use.</w:t>
      </w:r>
    </w:p>
    <w:p w14:paraId="090EC5C7" w14:textId="451BC0B8" w:rsidR="00462E42" w:rsidRPr="00933D01" w:rsidRDefault="00665742" w:rsidP="00A35EAF">
      <w:pPr>
        <w:pStyle w:val="BodyText"/>
        <w:rPr>
          <w:rFonts w:eastAsiaTheme="minorEastAsia"/>
        </w:rPr>
      </w:pPr>
      <w:r>
        <w:rPr>
          <w:rFonts w:eastAsiaTheme="minorEastAsia"/>
        </w:rPr>
        <w:t>M</w:t>
      </w:r>
      <w:r w:rsidR="00462E42" w:rsidRPr="00933D01">
        <w:rPr>
          <w:rFonts w:eastAsiaTheme="minorEastAsia"/>
        </w:rPr>
        <w:t>icromobility program and technology designs that account for traffic variability</w:t>
      </w:r>
    </w:p>
    <w:p w14:paraId="16C61DBD" w14:textId="54BD37C5" w:rsidR="00462E42" w:rsidRPr="00841866" w:rsidRDefault="00462E42" w:rsidP="00A35EAF">
      <w:pPr>
        <w:pStyle w:val="BodyText"/>
      </w:pPr>
      <w:r w:rsidRPr="00841866">
        <w:t>The variability described in this section should be measured and accounted for in a micromobility traffic data collection and reporting program. The data collection program should also identify changes in these traffic patterns as they occur over time. To meet these needs in a cost-effective manner, statewide traffic monitoring programs generally include the following:</w:t>
      </w:r>
    </w:p>
    <w:p w14:paraId="496FA936" w14:textId="0AA00D19" w:rsidR="00462E42" w:rsidRPr="00462E42" w:rsidRDefault="00462E42">
      <w:pPr>
        <w:pStyle w:val="TMGBullet"/>
      </w:pPr>
      <w:r w:rsidRPr="00462E42">
        <w:t>A modest number of permanent, continuously operating data collection sites</w:t>
      </w:r>
      <w:r w:rsidR="004217F3">
        <w:t>.</w:t>
      </w:r>
    </w:p>
    <w:p w14:paraId="5BBB5661" w14:textId="77777777" w:rsidR="00462E42" w:rsidRPr="00462E42" w:rsidRDefault="00462E42">
      <w:pPr>
        <w:pStyle w:val="TMGBullet"/>
      </w:pPr>
      <w:r w:rsidRPr="00462E42">
        <w:t>A large number of short-term data collection efforts.</w:t>
      </w:r>
    </w:p>
    <w:p w14:paraId="3CEDB84E" w14:textId="3B3C80FC" w:rsidR="00462E42" w:rsidRPr="00841866" w:rsidRDefault="00462E42" w:rsidP="00A35EAF">
      <w:pPr>
        <w:pStyle w:val="BodyText"/>
      </w:pPr>
      <w:r w:rsidRPr="00841866">
        <w:t>The short-term counts provide the geographic coverage to understand traffic characteristics on individual roads, streets, shared</w:t>
      </w:r>
      <w:r w:rsidR="004217F3">
        <w:t>-</w:t>
      </w:r>
      <w:r w:rsidRPr="00841866">
        <w:t xml:space="preserve">use paths, and pedestrian facilities, as well as on specific segments of those facilities. They provide site-specific data on the </w:t>
      </w:r>
      <w:r w:rsidR="004217F3">
        <w:t>TOD</w:t>
      </w:r>
      <w:r w:rsidRPr="00841866">
        <w:t xml:space="preserve"> variation</w:t>
      </w:r>
      <w:r w:rsidR="004217F3">
        <w:t xml:space="preserve"> and</w:t>
      </w:r>
      <w:r w:rsidRPr="00841866">
        <w:t xml:space="preserve"> can provide data on DOW variation in </w:t>
      </w:r>
      <w:r>
        <w:t>micromobility</w:t>
      </w:r>
      <w:r w:rsidRPr="00841866">
        <w:t xml:space="preserve"> travel, but </w:t>
      </w:r>
      <w:r w:rsidR="004217F3">
        <w:t xml:space="preserve">they </w:t>
      </w:r>
      <w:r w:rsidRPr="00841866">
        <w:t xml:space="preserve">are mostly intended to provide current general traffic volume information throughout the larger monitored network. </w:t>
      </w:r>
      <w:r w:rsidRPr="00841866">
        <w:lastRenderedPageBreak/>
        <w:t>However, short-term counts cannot be directly used to provide many of the required data items desired by users. Statistics such as annual average traffic cannot be accurately measured during a short-term count. Instead, data collected during short-term counts are factored (adjusted) to create these annual average estimates.</w:t>
      </w:r>
      <w:r w:rsidR="004D4172">
        <w:t xml:space="preserve"> </w:t>
      </w:r>
    </w:p>
    <w:p w14:paraId="06C465DA" w14:textId="77777777" w:rsidR="00462E42" w:rsidRPr="00841866" w:rsidRDefault="00462E42" w:rsidP="00A35EAF">
      <w:pPr>
        <w:pStyle w:val="BodyText"/>
      </w:pPr>
      <w:r w:rsidRPr="00841866">
        <w:t>The development of those factors requires the operation of at least a modest number of permanently operating traffic monitoring sites. Permanent data collection sites provide data on seasonal and DOW trends. Continuous count summaries also provide very precise measurements of changes in travel volumes and characteristics at a limited number of locations.</w:t>
      </w:r>
    </w:p>
    <w:p w14:paraId="6077F185" w14:textId="786FA8BF" w:rsidR="003F7B9F" w:rsidRPr="00771210" w:rsidRDefault="003F7B9F" w:rsidP="00A35EAF">
      <w:pPr>
        <w:pStyle w:val="BodyText"/>
      </w:pPr>
      <w:r w:rsidRPr="00771210">
        <w:t xml:space="preserve">The process for collecting continuous </w:t>
      </w:r>
      <w:r w:rsidR="004217F3">
        <w:t>m</w:t>
      </w:r>
      <w:r>
        <w:t>icromobility</w:t>
      </w:r>
      <w:r w:rsidRPr="00771210">
        <w:t xml:space="preserve"> traffic data should follow the same steps outlined in the volume traffic program design, as follows:</w:t>
      </w:r>
    </w:p>
    <w:p w14:paraId="747956F3" w14:textId="77777777" w:rsidR="003F7B9F" w:rsidRPr="00771210" w:rsidRDefault="003F7B9F" w:rsidP="00EC406B">
      <w:pPr>
        <w:pStyle w:val="ListCS1BulletsandNumbering"/>
        <w:numPr>
          <w:ilvl w:val="0"/>
          <w:numId w:val="32"/>
        </w:numPr>
        <w:spacing w:before="0" w:after="120"/>
        <w:ind w:left="648"/>
        <w:contextualSpacing/>
      </w:pPr>
      <w:r w:rsidRPr="00771210">
        <w:t>Review the existing continuous count program.</w:t>
      </w:r>
    </w:p>
    <w:p w14:paraId="6E09AE19" w14:textId="77777777" w:rsidR="003F7B9F" w:rsidRPr="00771210" w:rsidRDefault="003F7B9F" w:rsidP="00EC406B">
      <w:pPr>
        <w:pStyle w:val="ListCS1BulletsandNumbering"/>
        <w:numPr>
          <w:ilvl w:val="0"/>
          <w:numId w:val="32"/>
        </w:numPr>
        <w:spacing w:before="0" w:after="120"/>
        <w:ind w:left="648"/>
        <w:contextualSpacing/>
      </w:pPr>
      <w:r w:rsidRPr="00771210">
        <w:t>Develop an inventory of available continuous count locations and equipment.</w:t>
      </w:r>
    </w:p>
    <w:p w14:paraId="0468DECF" w14:textId="77777777" w:rsidR="003F7B9F" w:rsidRPr="00771210" w:rsidRDefault="003F7B9F" w:rsidP="00EC406B">
      <w:pPr>
        <w:pStyle w:val="ListCS1BulletsandNumbering"/>
        <w:numPr>
          <w:ilvl w:val="0"/>
          <w:numId w:val="32"/>
        </w:numPr>
        <w:spacing w:before="0" w:after="120"/>
        <w:ind w:left="648"/>
        <w:contextualSpacing/>
      </w:pPr>
      <w:r w:rsidRPr="00771210">
        <w:t>Determine the traffic patterns to be monitored.</w:t>
      </w:r>
    </w:p>
    <w:p w14:paraId="46386A10" w14:textId="77777777" w:rsidR="003F7B9F" w:rsidRPr="00771210" w:rsidRDefault="003F7B9F" w:rsidP="00EC406B">
      <w:pPr>
        <w:pStyle w:val="ListCS1BulletsandNumbering"/>
        <w:numPr>
          <w:ilvl w:val="0"/>
          <w:numId w:val="32"/>
        </w:numPr>
        <w:spacing w:before="0" w:after="120"/>
        <w:ind w:left="648"/>
        <w:contextualSpacing/>
      </w:pPr>
      <w:r w:rsidRPr="00771210">
        <w:t>Establish pattern/factor groups.</w:t>
      </w:r>
    </w:p>
    <w:p w14:paraId="7D49D0DC" w14:textId="77777777" w:rsidR="003F7B9F" w:rsidRPr="00771210" w:rsidRDefault="003F7B9F" w:rsidP="00EC406B">
      <w:pPr>
        <w:pStyle w:val="ListCS1BulletsandNumbering"/>
        <w:numPr>
          <w:ilvl w:val="0"/>
          <w:numId w:val="32"/>
        </w:numPr>
        <w:spacing w:before="0" w:after="120"/>
        <w:ind w:left="648"/>
        <w:contextualSpacing/>
      </w:pPr>
      <w:r w:rsidRPr="00771210">
        <w:t>Determine the appropriate number of continuous monitoring locations.</w:t>
      </w:r>
    </w:p>
    <w:p w14:paraId="1BA46251" w14:textId="6EA9A38A" w:rsidR="00462E42" w:rsidRDefault="003F7B9F" w:rsidP="00EC406B">
      <w:pPr>
        <w:pStyle w:val="ListCS1BulletsandNumbering"/>
        <w:numPr>
          <w:ilvl w:val="0"/>
          <w:numId w:val="32"/>
        </w:numPr>
        <w:spacing w:before="0" w:after="120"/>
        <w:ind w:left="648"/>
        <w:contextualSpacing/>
      </w:pPr>
      <w:r w:rsidRPr="00771210">
        <w:t>Select specific count locations</w:t>
      </w:r>
      <w:r w:rsidR="004217F3">
        <w:t>.</w:t>
      </w:r>
    </w:p>
    <w:p w14:paraId="5924DBE0" w14:textId="094E4B1E" w:rsidR="003F7B9F" w:rsidRPr="00771210" w:rsidRDefault="00462E42" w:rsidP="00EC406B">
      <w:pPr>
        <w:pStyle w:val="ListCS1BulletsandNumbering"/>
        <w:numPr>
          <w:ilvl w:val="0"/>
          <w:numId w:val="32"/>
        </w:numPr>
        <w:spacing w:before="0" w:after="120"/>
        <w:ind w:left="648"/>
        <w:contextualSpacing/>
      </w:pPr>
      <w:r>
        <w:t>C</w:t>
      </w:r>
      <w:r w:rsidR="003F7B9F" w:rsidRPr="00771210">
        <w:t>ompute monthly, DOW, and hour-of-day (if applicable) factors to use in annualizing short-</w:t>
      </w:r>
      <w:r w:rsidR="003F7B9F">
        <w:t>term</w:t>
      </w:r>
      <w:r w:rsidR="003F7B9F" w:rsidRPr="00771210">
        <w:t xml:space="preserve"> counts.</w:t>
      </w:r>
    </w:p>
    <w:p w14:paraId="7613F4E4" w14:textId="77777777" w:rsidR="003F7B9F" w:rsidRPr="00841866" w:rsidRDefault="003F7B9F" w:rsidP="00A35EAF">
      <w:pPr>
        <w:pStyle w:val="BodyText"/>
      </w:pPr>
      <w:r w:rsidRPr="00771210">
        <w:t xml:space="preserve">The following </w:t>
      </w:r>
      <w:r w:rsidRPr="00841866">
        <w:t>sections provide additional detail for implementing these steps.</w:t>
      </w:r>
    </w:p>
    <w:p w14:paraId="76A6CAD5" w14:textId="7C10D86F" w:rsidR="003F7B9F" w:rsidRPr="00841866" w:rsidRDefault="003F7B9F" w:rsidP="00A35EAF">
      <w:pPr>
        <w:pStyle w:val="BodyText"/>
      </w:pPr>
      <w:r w:rsidRPr="00841866">
        <w:t>Pedestrians, bicyclists, scooters, and other micro-powered travelers are grouped together as</w:t>
      </w:r>
      <w:r w:rsidR="00665742">
        <w:t xml:space="preserve"> </w:t>
      </w:r>
      <w:r w:rsidRPr="00841866">
        <w:t>micromobility traffic. A need exists to provide additional information for separate monitoring of pedestrian, bicycle, scooter, and other micro-powered traffic.</w:t>
      </w:r>
    </w:p>
    <w:p w14:paraId="77C03EE4" w14:textId="13F4F822" w:rsidR="003F7B9F" w:rsidRPr="00841866" w:rsidRDefault="003F7B9F" w:rsidP="00A35EAF">
      <w:pPr>
        <w:pStyle w:val="BodyText"/>
      </w:pPr>
      <w:r w:rsidRPr="00841866">
        <w:t xml:space="preserve">Like motorized traffic monitoring, there are many continuous volume count program design processes that help to define micromobility </w:t>
      </w:r>
      <w:r w:rsidR="004217F3">
        <w:t>noteworthy</w:t>
      </w:r>
      <w:r w:rsidR="004217F3" w:rsidRPr="00841866">
        <w:t xml:space="preserve"> </w:t>
      </w:r>
      <w:r w:rsidRPr="00841866">
        <w:t>practices for program development. These steps, while similar to motorized, have been documented below for details specific to micromobility travel.</w:t>
      </w:r>
    </w:p>
    <w:p w14:paraId="2539B83A" w14:textId="36EEB6B7" w:rsidR="003F7B9F" w:rsidRPr="00EC406B" w:rsidRDefault="003F7B9F" w:rsidP="00A35EAF">
      <w:pPr>
        <w:pStyle w:val="BodyText"/>
        <w:rPr>
          <w:rFonts w:ascii="Cambria" w:hAnsi="Cambria"/>
          <w:b/>
          <w:bCs/>
          <w:spacing w:val="-4"/>
          <w:sz w:val="22"/>
          <w:szCs w:val="22"/>
        </w:rPr>
      </w:pPr>
      <w:r w:rsidRPr="00EC406B">
        <w:rPr>
          <w:rFonts w:ascii="Cambria" w:hAnsi="Cambria"/>
          <w:b/>
          <w:bCs/>
          <w:sz w:val="22"/>
          <w:szCs w:val="22"/>
        </w:rPr>
        <w:t xml:space="preserve">Steps 1 and 2: Review the Existing Continuous Count Program; Develop </w:t>
      </w:r>
      <w:r w:rsidRPr="00EC406B">
        <w:rPr>
          <w:rFonts w:ascii="Cambria" w:hAnsi="Cambria"/>
          <w:b/>
          <w:bCs/>
          <w:spacing w:val="-4"/>
          <w:sz w:val="22"/>
          <w:szCs w:val="22"/>
        </w:rPr>
        <w:t>an Inventory of Available Continuous Count Locations and Equipment</w:t>
      </w:r>
    </w:p>
    <w:p w14:paraId="325D453D" w14:textId="37DFE660" w:rsidR="003F7B9F" w:rsidRPr="00771210" w:rsidRDefault="003F7B9F" w:rsidP="00A35EAF">
      <w:pPr>
        <w:pStyle w:val="BodyText"/>
      </w:pPr>
      <w:r w:rsidRPr="00771210">
        <w:t>The first two steps are to inventory, review, and assess what your agency currently has (regarding permanent monitoring locations and equipment). This may be a short exercise for some agencies, as permanent continuous counts are much less common than short</w:t>
      </w:r>
      <w:r w:rsidR="008A03F0">
        <w:t>-</w:t>
      </w:r>
      <w:r w:rsidRPr="00771210">
        <w:t>term pedestrian and bicyclist counts.</w:t>
      </w:r>
    </w:p>
    <w:p w14:paraId="3F360988" w14:textId="4E9E732A" w:rsidR="003F7B9F" w:rsidRPr="00771210" w:rsidRDefault="003F7B9F" w:rsidP="00A35EAF">
      <w:pPr>
        <w:pStyle w:val="BodyText"/>
      </w:pPr>
      <w:r w:rsidRPr="00771210">
        <w:t xml:space="preserve">However, these first two steps should not be bypassed simply </w:t>
      </w:r>
      <w:r w:rsidR="008A03F0">
        <w:t>if an</w:t>
      </w:r>
      <w:r w:rsidRPr="00771210">
        <w:t xml:space="preserve"> agency does not have permanent count locations. Because nonmotorized traffic levels are typically higher on lower-volume and lower functional class roads/streets as well as shared</w:t>
      </w:r>
      <w:r w:rsidR="008A03F0">
        <w:t>-</w:t>
      </w:r>
      <w:r w:rsidRPr="00771210">
        <w:t xml:space="preserve">use paths and pedestrian facilities, city and county agencies and MPOs have often been more active than State DOTs in monitoring </w:t>
      </w:r>
      <w:r w:rsidR="00843D3E">
        <w:t>m</w:t>
      </w:r>
      <w:r>
        <w:t>icromobility</w:t>
      </w:r>
      <w:r w:rsidRPr="00771210">
        <w:t xml:space="preserve"> traffic. </w:t>
      </w:r>
    </w:p>
    <w:p w14:paraId="17186E1E" w14:textId="2471E8DA" w:rsidR="003F7B9F" w:rsidRPr="00771210" w:rsidRDefault="003F7B9F" w:rsidP="00A35EAF">
      <w:pPr>
        <w:pStyle w:val="BodyText"/>
      </w:pPr>
      <w:r w:rsidRPr="00771210">
        <w:t xml:space="preserve">Therefore, if a State DOT traffic data collection program will monitor </w:t>
      </w:r>
      <w:r>
        <w:t>micromobility</w:t>
      </w:r>
      <w:r w:rsidRPr="00771210">
        <w:t xml:space="preserve"> traffic, </w:t>
      </w:r>
      <w:r w:rsidR="00843D3E">
        <w:t>it</w:t>
      </w:r>
      <w:r w:rsidR="00843D3E" w:rsidRPr="00771210">
        <w:t xml:space="preserve"> </w:t>
      </w:r>
      <w:r w:rsidRPr="00771210">
        <w:t xml:space="preserve">should coordinate with local and regional agencies as </w:t>
      </w:r>
      <w:r w:rsidR="00843D3E">
        <w:t>it</w:t>
      </w:r>
      <w:r w:rsidR="00843D3E" w:rsidRPr="00771210">
        <w:t xml:space="preserve"> </w:t>
      </w:r>
      <w:r w:rsidRPr="00771210">
        <w:t>inventor</w:t>
      </w:r>
      <w:r w:rsidR="00843D3E">
        <w:t>ies</w:t>
      </w:r>
      <w:r w:rsidRPr="00771210">
        <w:t xml:space="preserve"> and review</w:t>
      </w:r>
      <w:r w:rsidR="00843D3E">
        <w:t>s</w:t>
      </w:r>
      <w:r w:rsidRPr="00771210">
        <w:t xml:space="preserve"> existing continuous counts. Additionally, </w:t>
      </w:r>
      <w:r w:rsidR="00843D3E">
        <w:t>it</w:t>
      </w:r>
      <w:r w:rsidR="00843D3E" w:rsidRPr="00771210">
        <w:t xml:space="preserve"> </w:t>
      </w:r>
      <w:r w:rsidRPr="00771210">
        <w:t>should inquire with departments other than the transportation or public works department. The following agencies and/or departments may have installed permanent pedestrian and bicyclist counters:</w:t>
      </w:r>
    </w:p>
    <w:p w14:paraId="1F4521DC" w14:textId="40FEB761" w:rsidR="003F7B9F" w:rsidRPr="005349A3" w:rsidRDefault="003F7B9F">
      <w:pPr>
        <w:pStyle w:val="TMGBullet"/>
      </w:pPr>
      <w:r w:rsidRPr="005349A3">
        <w:t>City or county parks and recreation department (e.g., on shared</w:t>
      </w:r>
      <w:r w:rsidR="008A03F0">
        <w:t>-</w:t>
      </w:r>
      <w:r w:rsidRPr="005349A3">
        <w:t>use paths).</w:t>
      </w:r>
    </w:p>
    <w:p w14:paraId="3A30A7CD" w14:textId="77777777" w:rsidR="003F7B9F" w:rsidRPr="005349A3" w:rsidRDefault="003F7B9F">
      <w:pPr>
        <w:pStyle w:val="TMGBullet"/>
      </w:pPr>
      <w:r w:rsidRPr="005349A3">
        <w:t>National or State parks (e.g., on internal or connector paths).</w:t>
      </w:r>
    </w:p>
    <w:p w14:paraId="77A223C2" w14:textId="77777777" w:rsidR="003F7B9F" w:rsidRPr="005349A3" w:rsidRDefault="003F7B9F">
      <w:pPr>
        <w:pStyle w:val="TMGBullet"/>
      </w:pPr>
      <w:r w:rsidRPr="005349A3">
        <w:t>Public health departments (e.g., monitoring physical activity).</w:t>
      </w:r>
    </w:p>
    <w:p w14:paraId="2242C3D6" w14:textId="06CDE952" w:rsidR="003F7B9F" w:rsidRPr="005349A3" w:rsidRDefault="003F7B9F">
      <w:pPr>
        <w:pStyle w:val="TMGBullet"/>
      </w:pPr>
      <w:r w:rsidRPr="005349A3">
        <w:t>Retail or business associations (e.g., on pedestrian malls or plazas)</w:t>
      </w:r>
      <w:r w:rsidR="00EE4CC0">
        <w:t>.</w:t>
      </w:r>
    </w:p>
    <w:p w14:paraId="765FB40B" w14:textId="7EE46DAF" w:rsidR="003F7B9F" w:rsidRPr="005349A3" w:rsidRDefault="003F7B9F">
      <w:pPr>
        <w:pStyle w:val="TMGBullet"/>
      </w:pPr>
      <w:r w:rsidRPr="005349A3">
        <w:t>Pedestrian and/or bicyclist advocacy groups.</w:t>
      </w:r>
    </w:p>
    <w:p w14:paraId="508AF8E4" w14:textId="5E3132F7" w:rsidR="00EC406B" w:rsidRDefault="003F7B9F" w:rsidP="00A35EAF">
      <w:pPr>
        <w:pStyle w:val="BodyText"/>
      </w:pPr>
      <w:r w:rsidRPr="00771210">
        <w:t xml:space="preserve">The process outlined for motorized traffic volume is equally applicable for </w:t>
      </w:r>
      <w:r>
        <w:t>micromobility</w:t>
      </w:r>
      <w:r w:rsidRPr="00771210">
        <w:t xml:space="preserve"> traffic. </w:t>
      </w:r>
    </w:p>
    <w:p w14:paraId="207D1D13" w14:textId="77777777" w:rsidR="00EC406B" w:rsidRDefault="00EC406B">
      <w:pPr>
        <w:widowControl/>
        <w:suppressAutoHyphens w:val="0"/>
        <w:autoSpaceDE/>
        <w:autoSpaceDN/>
        <w:adjustRightInd/>
        <w:spacing w:after="160" w:line="259" w:lineRule="auto"/>
        <w:jc w:val="left"/>
        <w:textAlignment w:val="auto"/>
        <w:rPr>
          <w:color w:val="auto"/>
        </w:rPr>
      </w:pPr>
      <w:r>
        <w:br w:type="page"/>
      </w:r>
    </w:p>
    <w:p w14:paraId="7E7B1612" w14:textId="1C50BF4C" w:rsidR="003F7B9F" w:rsidRPr="00EC406B" w:rsidRDefault="003F7B9F" w:rsidP="00A35EAF">
      <w:pPr>
        <w:pStyle w:val="BodyText"/>
        <w:rPr>
          <w:rStyle w:val="Strong"/>
          <w:rFonts w:ascii="Cambria" w:hAnsi="Cambria"/>
          <w:b w:val="0"/>
          <w:bCs w:val="0"/>
          <w:i/>
          <w:iCs/>
          <w:sz w:val="22"/>
          <w:szCs w:val="22"/>
        </w:rPr>
      </w:pPr>
      <w:r w:rsidRPr="00EC406B">
        <w:rPr>
          <w:rStyle w:val="Strong"/>
          <w:rFonts w:ascii="Cambria" w:hAnsi="Cambria"/>
          <w:b w:val="0"/>
          <w:bCs w:val="0"/>
          <w:i/>
          <w:iCs/>
          <w:sz w:val="22"/>
          <w:szCs w:val="22"/>
        </w:rPr>
        <w:lastRenderedPageBreak/>
        <w:t>Traffic Patterns</w:t>
      </w:r>
    </w:p>
    <w:p w14:paraId="530AA92C" w14:textId="77777777" w:rsidR="003F7B9F" w:rsidRPr="00771210" w:rsidRDefault="003F7B9F" w:rsidP="00A35EAF">
      <w:pPr>
        <w:pStyle w:val="BodyText"/>
      </w:pPr>
      <w:r w:rsidRPr="00771210">
        <w:t>If existing continuous count data are available, they should be analyzed to determine typical traffic patterns and profiles:</w:t>
      </w:r>
    </w:p>
    <w:p w14:paraId="5B08E7E8" w14:textId="77777777" w:rsidR="003F7B9F" w:rsidRPr="005349A3" w:rsidRDefault="003F7B9F">
      <w:pPr>
        <w:pStyle w:val="TMGBullet"/>
      </w:pPr>
      <w:r w:rsidRPr="005349A3">
        <w:t>How do counts vary throughout the day?</w:t>
      </w:r>
    </w:p>
    <w:p w14:paraId="7FB590D6" w14:textId="77777777" w:rsidR="003F7B9F" w:rsidRPr="005349A3" w:rsidRDefault="003F7B9F">
      <w:pPr>
        <w:pStyle w:val="TMGBullet"/>
      </w:pPr>
      <w:r w:rsidRPr="005349A3">
        <w:t>How do counts vary by day of the week?</w:t>
      </w:r>
    </w:p>
    <w:p w14:paraId="73824E9C" w14:textId="77777777" w:rsidR="003F7B9F" w:rsidRPr="005349A3" w:rsidRDefault="003F7B9F">
      <w:pPr>
        <w:pStyle w:val="TMGBullet"/>
      </w:pPr>
      <w:r w:rsidRPr="005349A3">
        <w:t>How do counts vary by month or season?</w:t>
      </w:r>
    </w:p>
    <w:p w14:paraId="690EB406" w14:textId="77777777" w:rsidR="003F7B9F" w:rsidRPr="005349A3" w:rsidRDefault="003F7B9F">
      <w:pPr>
        <w:pStyle w:val="TMGBullet"/>
      </w:pPr>
      <w:r w:rsidRPr="005349A3">
        <w:t>How do counts vary for inclement weather and other special events?</w:t>
      </w:r>
    </w:p>
    <w:p w14:paraId="741D4609" w14:textId="77777777" w:rsidR="003F7B9F" w:rsidRPr="005349A3" w:rsidRDefault="003F7B9F">
      <w:pPr>
        <w:pStyle w:val="TMGBullet"/>
      </w:pPr>
      <w:r w:rsidRPr="005349A3">
        <w:t>How does traffic vary by street functional class and the presence of bike or pedestrian facilities?</w:t>
      </w:r>
    </w:p>
    <w:p w14:paraId="2214AAC7" w14:textId="77777777" w:rsidR="003F7B9F" w:rsidRPr="005349A3" w:rsidRDefault="003F7B9F">
      <w:pPr>
        <w:pStyle w:val="TMGBullet"/>
      </w:pPr>
      <w:r w:rsidRPr="005349A3">
        <w:t>How do traffic patterns and profiles compare at different locations in areas with different land use and demographic characteristics?</w:t>
      </w:r>
    </w:p>
    <w:p w14:paraId="0DE8502A" w14:textId="60C78FAA" w:rsidR="003F7B9F" w:rsidRPr="00EC406B" w:rsidRDefault="003F7B9F" w:rsidP="00A35EAF">
      <w:pPr>
        <w:pStyle w:val="BodyText"/>
        <w:rPr>
          <w:rStyle w:val="Strong"/>
          <w:rFonts w:ascii="Cambria" w:hAnsi="Cambria"/>
          <w:b w:val="0"/>
          <w:bCs w:val="0"/>
          <w:i/>
          <w:iCs/>
          <w:sz w:val="22"/>
          <w:szCs w:val="22"/>
        </w:rPr>
      </w:pPr>
      <w:r w:rsidRPr="00EC406B">
        <w:rPr>
          <w:rStyle w:val="Strong"/>
          <w:rFonts w:ascii="Cambria" w:hAnsi="Cambria"/>
          <w:b w:val="0"/>
          <w:bCs w:val="0"/>
          <w:i/>
          <w:iCs/>
          <w:sz w:val="22"/>
          <w:szCs w:val="22"/>
        </w:rPr>
        <w:t>Data Processing</w:t>
      </w:r>
    </w:p>
    <w:p w14:paraId="245813C1" w14:textId="36E53068" w:rsidR="003F7B9F" w:rsidRPr="00771210" w:rsidRDefault="003F7B9F" w:rsidP="00A35EAF">
      <w:pPr>
        <w:pStyle w:val="BodyText"/>
      </w:pPr>
      <w:r w:rsidRPr="00771210">
        <w:t xml:space="preserve">In reviewing the current program and existing </w:t>
      </w:r>
      <w:r>
        <w:t>micromobility</w:t>
      </w:r>
      <w:r w:rsidRPr="00771210">
        <w:t xml:space="preserve"> data, one should also understand the basics of how data are processed by the field equipment and loaded into </w:t>
      </w:r>
      <w:r w:rsidR="00EE4CC0">
        <w:t>the</w:t>
      </w:r>
      <w:r w:rsidR="00EE4CC0" w:rsidRPr="00771210">
        <w:t xml:space="preserve"> </w:t>
      </w:r>
      <w:r w:rsidRPr="00771210">
        <w:t>final repository, whether that be a stand-alone spreadsheet, a mode-specific database, or a traffic monitoring data warehouse. The following elements should be considered:</w:t>
      </w:r>
    </w:p>
    <w:p w14:paraId="61FAAB4D" w14:textId="77777777" w:rsidR="003F7B9F" w:rsidRPr="005349A3" w:rsidRDefault="003F7B9F">
      <w:pPr>
        <w:pStyle w:val="TMGBullet"/>
      </w:pPr>
      <w:r w:rsidRPr="005349A3">
        <w:t>What formats (e.g., data structure, time intervals, metadata) are available and/or being reported from the field equipment?</w:t>
      </w:r>
    </w:p>
    <w:p w14:paraId="688AA128" w14:textId="77777777" w:rsidR="003F7B9F" w:rsidRPr="005349A3" w:rsidRDefault="003F7B9F">
      <w:pPr>
        <w:pStyle w:val="TMGBullet"/>
      </w:pPr>
      <w:r w:rsidRPr="005349A3">
        <w:t>What quality assurance and quality control processes are applied to the field data?</w:t>
      </w:r>
    </w:p>
    <w:p w14:paraId="295562DC" w14:textId="77777777" w:rsidR="003F7B9F" w:rsidRPr="005349A3" w:rsidRDefault="003F7B9F">
      <w:pPr>
        <w:pStyle w:val="TMGBullet"/>
      </w:pPr>
      <w:r w:rsidRPr="005349A3">
        <w:t>Are suspect or erroneous data flagged and/or removed?</w:t>
      </w:r>
    </w:p>
    <w:p w14:paraId="4BBE57E8" w14:textId="77777777" w:rsidR="003F7B9F" w:rsidRPr="005349A3" w:rsidRDefault="003F7B9F">
      <w:pPr>
        <w:pStyle w:val="TMGBullet"/>
      </w:pPr>
      <w:r w:rsidRPr="005349A3">
        <w:t>What summarization or adjustment procedures are applied to the field data?</w:t>
      </w:r>
    </w:p>
    <w:p w14:paraId="603F2BC8" w14:textId="77777777" w:rsidR="003F7B9F" w:rsidRPr="005349A3" w:rsidRDefault="003F7B9F">
      <w:pPr>
        <w:pStyle w:val="TMGBullet"/>
      </w:pPr>
      <w:r w:rsidRPr="005349A3">
        <w:t>How does the current process/system address missing data (e.g., due to equipment hardware, software, or communications errors)?</w:t>
      </w:r>
    </w:p>
    <w:p w14:paraId="727F82F3" w14:textId="77777777" w:rsidR="003F7B9F" w:rsidRPr="005349A3" w:rsidRDefault="003F7B9F">
      <w:pPr>
        <w:pStyle w:val="TMGBullet"/>
      </w:pPr>
      <w:r w:rsidRPr="005349A3">
        <w:t>Are estimated or imputed values flagged or documented with metadata?</w:t>
      </w:r>
    </w:p>
    <w:p w14:paraId="20CFA8AE" w14:textId="77777777" w:rsidR="003F7B9F" w:rsidRPr="005349A3" w:rsidRDefault="003F7B9F">
      <w:pPr>
        <w:pStyle w:val="TMGBullet"/>
      </w:pPr>
      <w:r w:rsidRPr="005349A3">
        <w:t>Are the nonmotorized data stored/integrated with motorized data? Alternatively, is there an entirely separate process?</w:t>
      </w:r>
    </w:p>
    <w:p w14:paraId="5986CD30" w14:textId="77777777" w:rsidR="003F7B9F" w:rsidRPr="00771210" w:rsidRDefault="003F7B9F">
      <w:pPr>
        <w:pStyle w:val="TMGBullet"/>
      </w:pPr>
      <w:r w:rsidRPr="005349A3">
        <w:t>Are data summarization processes automated to the fullest</w:t>
      </w:r>
      <w:r w:rsidRPr="00771210">
        <w:t xml:space="preserve"> extent possible? At what points are manual review and/or intervention required?</w:t>
      </w:r>
    </w:p>
    <w:p w14:paraId="237A8A33" w14:textId="117EDA61" w:rsidR="003F7B9F" w:rsidRPr="00771210" w:rsidRDefault="003F7B9F" w:rsidP="00A35EAF">
      <w:pPr>
        <w:pStyle w:val="BodyText"/>
      </w:pPr>
      <w:r w:rsidRPr="00771210">
        <w:t xml:space="preserve">Subjective data manipulation or editing should be avoided. Instead, appropriate business rules and </w:t>
      </w:r>
      <w:r>
        <w:t>documented and approved</w:t>
      </w:r>
      <w:r w:rsidRPr="00771210">
        <w:t xml:space="preserve"> procedures </w:t>
      </w:r>
      <w:r w:rsidR="00EE4CC0">
        <w:t>should</w:t>
      </w:r>
      <w:r w:rsidR="00EE4CC0" w:rsidRPr="00771210">
        <w:t xml:space="preserve"> </w:t>
      </w:r>
      <w:r w:rsidRPr="00771210">
        <w:t xml:space="preserve">be used in combination with supporting metadata to address missing or invalid data. </w:t>
      </w:r>
    </w:p>
    <w:p w14:paraId="2F147F40" w14:textId="62DF4A6B" w:rsidR="003F7B9F" w:rsidRPr="00EC406B" w:rsidRDefault="003F7B9F" w:rsidP="00A35EAF">
      <w:pPr>
        <w:pStyle w:val="BodyText"/>
        <w:rPr>
          <w:rStyle w:val="Strong"/>
          <w:rFonts w:ascii="Cambria" w:hAnsi="Cambria"/>
          <w:b w:val="0"/>
          <w:bCs w:val="0"/>
          <w:i/>
          <w:iCs/>
          <w:sz w:val="22"/>
          <w:szCs w:val="22"/>
        </w:rPr>
      </w:pPr>
      <w:r w:rsidRPr="00EC406B">
        <w:rPr>
          <w:rStyle w:val="Strong"/>
          <w:rFonts w:ascii="Cambria" w:hAnsi="Cambria"/>
          <w:b w:val="0"/>
          <w:bCs w:val="0"/>
          <w:i/>
          <w:iCs/>
          <w:sz w:val="22"/>
          <w:szCs w:val="22"/>
        </w:rPr>
        <w:t>Summary Statistics</w:t>
      </w:r>
    </w:p>
    <w:p w14:paraId="406280FC" w14:textId="21FBB1FB" w:rsidR="003F7B9F" w:rsidRPr="00771210" w:rsidRDefault="003F7B9F" w:rsidP="00A35EAF">
      <w:pPr>
        <w:pStyle w:val="BodyText"/>
      </w:pPr>
      <w:r w:rsidRPr="00771210">
        <w:t>The final step in reviewing the existing program is to consider summary statistics, both those that are currently computed as well as those that may be needed. Permanent count locations should be providing count data 24</w:t>
      </w:r>
      <w:r w:rsidR="00247415">
        <w:t> </w:t>
      </w:r>
      <w:r w:rsidRPr="00771210">
        <w:t xml:space="preserve">hours per day, 365 days per year; however, this continuous data stream is often summarized into a few basic summary statistics, like </w:t>
      </w:r>
      <w:r w:rsidR="00EE4CC0">
        <w:t>AADT</w:t>
      </w:r>
      <w:r w:rsidRPr="00771210">
        <w:t xml:space="preserve">. Because of the greater monthly variability of </w:t>
      </w:r>
      <w:r>
        <w:t>micromobility</w:t>
      </w:r>
      <w:r w:rsidRPr="00771210">
        <w:t xml:space="preserve"> traffic, other summary statistics may be more relevant:</w:t>
      </w:r>
    </w:p>
    <w:p w14:paraId="1DFB0902" w14:textId="1F48E0C0" w:rsidR="003F7B9F" w:rsidRPr="005349A3" w:rsidRDefault="003F7B9F">
      <w:pPr>
        <w:pStyle w:val="TMGBullet"/>
      </w:pPr>
      <w:r w:rsidRPr="005349A3">
        <w:t xml:space="preserve">Monthly (seasonal) average daily traffic (seasonal average daily traffic </w:t>
      </w:r>
      <w:r w:rsidR="00EE4CC0">
        <w:t>[</w:t>
      </w:r>
      <w:r w:rsidRPr="005349A3">
        <w:t>SADT</w:t>
      </w:r>
      <w:r w:rsidR="00EE4CC0">
        <w:t>]</w:t>
      </w:r>
      <w:r w:rsidRPr="005349A3">
        <w:t xml:space="preserve"> is a traffic statistic used by the National Park Service in addition to AADT. SADT computation includes those months that contain at least 80</w:t>
      </w:r>
      <w:r w:rsidR="00247415">
        <w:t> </w:t>
      </w:r>
      <w:r w:rsidRPr="005349A3">
        <w:t>percent of the annual traffic</w:t>
      </w:r>
      <w:r w:rsidR="0045795E">
        <w:t>)</w:t>
      </w:r>
      <w:r w:rsidR="00247415">
        <w:t>.</w:t>
      </w:r>
    </w:p>
    <w:p w14:paraId="429553D0" w14:textId="30D683F6" w:rsidR="003F7B9F" w:rsidRPr="005349A3" w:rsidRDefault="003F7B9F">
      <w:pPr>
        <w:pStyle w:val="TMGBullet"/>
      </w:pPr>
      <w:r w:rsidRPr="005349A3">
        <w:t>Average daily traffic by month and day of week</w:t>
      </w:r>
      <w:r w:rsidR="00EE4CC0">
        <w:t>.</w:t>
      </w:r>
    </w:p>
    <w:p w14:paraId="75BD3457" w14:textId="30914DD5" w:rsidR="003F7B9F" w:rsidRPr="005349A3" w:rsidRDefault="003F7B9F">
      <w:pPr>
        <w:pStyle w:val="TMGBullet"/>
      </w:pPr>
      <w:r w:rsidRPr="005349A3">
        <w:t>Peak hour volumes for peak seasons (i.e., different user types in summer and winter for shared</w:t>
      </w:r>
      <w:r w:rsidR="008A03F0">
        <w:t>-</w:t>
      </w:r>
      <w:r w:rsidRPr="005349A3">
        <w:t xml:space="preserve">use paths). </w:t>
      </w:r>
    </w:p>
    <w:p w14:paraId="768DEF61" w14:textId="77777777" w:rsidR="003F7B9F" w:rsidRPr="00771210" w:rsidRDefault="003F7B9F" w:rsidP="00A35EAF">
      <w:pPr>
        <w:pStyle w:val="BodyText"/>
      </w:pPr>
      <w:r w:rsidRPr="00771210">
        <w:t xml:space="preserve">The review of existing and needed summary statistics should be based on those users and uses that have been identified earlier in this process. In this way, one can ensure that the variety of users has the required information to make decisions. </w:t>
      </w:r>
    </w:p>
    <w:p w14:paraId="3E254D28" w14:textId="4FE7B57C" w:rsidR="003F7B9F" w:rsidRPr="00EC406B" w:rsidRDefault="003F7B9F" w:rsidP="00A35EAF">
      <w:pPr>
        <w:pStyle w:val="BodyText"/>
        <w:rPr>
          <w:rFonts w:ascii="Cambria" w:hAnsi="Cambria"/>
          <w:b/>
          <w:bCs/>
          <w:sz w:val="22"/>
          <w:szCs w:val="22"/>
        </w:rPr>
      </w:pPr>
      <w:r w:rsidRPr="00EC406B">
        <w:rPr>
          <w:rFonts w:ascii="Cambria" w:hAnsi="Cambria"/>
          <w:b/>
          <w:bCs/>
          <w:sz w:val="22"/>
          <w:szCs w:val="22"/>
        </w:rPr>
        <w:t>Step 3: Determine the Traffic Patterns to Be Monitored</w:t>
      </w:r>
    </w:p>
    <w:p w14:paraId="380DC72E" w14:textId="75684632" w:rsidR="003F7B9F" w:rsidRPr="00771210" w:rsidRDefault="003F7B9F" w:rsidP="00A35EAF">
      <w:pPr>
        <w:pStyle w:val="BodyText"/>
      </w:pPr>
      <w:r w:rsidRPr="00771210">
        <w:t xml:space="preserve">After reviewing the existing </w:t>
      </w:r>
      <w:r>
        <w:t>micromobility</w:t>
      </w:r>
      <w:r w:rsidRPr="00771210">
        <w:t xml:space="preserve"> program (both what is being done and what is needed), Step 3 is to determine those traffic patterns that are to be monitored. Part of this determination will depend upon the functional road classes and bicyclist and pedestrian facilities of interest. For example, do State DOTs want to </w:t>
      </w:r>
      <w:r w:rsidRPr="00771210">
        <w:lastRenderedPageBreak/>
        <w:t xml:space="preserve">collect </w:t>
      </w:r>
      <w:r>
        <w:t>micromobility</w:t>
      </w:r>
      <w:r w:rsidRPr="00771210">
        <w:t xml:space="preserve"> count data on local streets, shared</w:t>
      </w:r>
      <w:r w:rsidR="008A03F0">
        <w:t>-</w:t>
      </w:r>
      <w:r w:rsidRPr="00771210">
        <w:t>use paths, and pedestrian facilities that are considered off-system (i.e., not included on the State highway system)? In some cases, State DOT funding has been used for nonmotorized projects on local streets and shared</w:t>
      </w:r>
      <w:r w:rsidR="008A03F0">
        <w:t>-</w:t>
      </w:r>
      <w:r w:rsidRPr="00771210">
        <w:t>use paths through the Transportation Enhancements (TE) or Congestion Mitigation and Air Quality (CMAQ) funding categories.</w:t>
      </w:r>
    </w:p>
    <w:p w14:paraId="039F0CC7" w14:textId="5DF664B0" w:rsidR="003F7B9F" w:rsidRPr="00771210" w:rsidRDefault="003F7B9F" w:rsidP="00A35EAF">
      <w:pPr>
        <w:pStyle w:val="BodyText"/>
      </w:pPr>
      <w:r w:rsidRPr="00771210">
        <w:t xml:space="preserve">Once the </w:t>
      </w:r>
      <w:r>
        <w:t>micromobility</w:t>
      </w:r>
      <w:r w:rsidRPr="00771210">
        <w:t xml:space="preserve"> network to be monitored has been defined, </w:t>
      </w:r>
      <w:r w:rsidR="000943FD">
        <w:t>an agency</w:t>
      </w:r>
      <w:r w:rsidR="000943FD" w:rsidRPr="00771210">
        <w:t xml:space="preserve"> </w:t>
      </w:r>
      <w:r w:rsidRPr="00771210">
        <w:t xml:space="preserve">should determine the most likely types of traffic patterns that are expected on this network. In most cases, the nonmotorized network will include facilities that have a mix of commute, recreational, and utilitarian trips. Depending upon the relative proportions of these different trip types, distinct traffic patterns will emerge. These patterns should be used in the Step 4 to establish seasonal pattern groups. </w:t>
      </w:r>
    </w:p>
    <w:p w14:paraId="07B9D256" w14:textId="5081A215" w:rsidR="003F7B9F" w:rsidRPr="00771210" w:rsidRDefault="003F7B9F" w:rsidP="00A35EAF">
      <w:pPr>
        <w:pStyle w:val="BodyText"/>
      </w:pPr>
      <w:r w:rsidRPr="00771210">
        <w:t xml:space="preserve">The most common way to determine typical traffic pattern groups is through the visual analysis and charting of existing data. Continuous count data are preferred for this step, but short-term counts (multiple full days, but not </w:t>
      </w:r>
      <w:r w:rsidR="000943FD">
        <w:t>2</w:t>
      </w:r>
      <w:r w:rsidRPr="00771210">
        <w:t>-hour counts on a single day) may also be used with caution.</w:t>
      </w:r>
    </w:p>
    <w:p w14:paraId="7EC6EEE0" w14:textId="77777777" w:rsidR="003F7B9F" w:rsidRPr="00EC406B" w:rsidRDefault="003F7B9F" w:rsidP="00A35EAF">
      <w:pPr>
        <w:pStyle w:val="BodyText"/>
        <w:rPr>
          <w:rFonts w:ascii="Cambria" w:hAnsi="Cambria"/>
          <w:b/>
          <w:bCs/>
          <w:sz w:val="22"/>
          <w:szCs w:val="22"/>
        </w:rPr>
      </w:pPr>
      <w:r w:rsidRPr="00EC406B">
        <w:rPr>
          <w:rFonts w:ascii="Cambria" w:hAnsi="Cambria"/>
          <w:b/>
          <w:bCs/>
          <w:sz w:val="22"/>
          <w:szCs w:val="22"/>
        </w:rPr>
        <w:t>Step 4: Establish Monthly Pattern Groups</w:t>
      </w:r>
    </w:p>
    <w:p w14:paraId="30C70C13" w14:textId="77777777" w:rsidR="003F7B9F" w:rsidRPr="00771210" w:rsidRDefault="003F7B9F" w:rsidP="00A35EAF">
      <w:pPr>
        <w:pStyle w:val="BodyText"/>
      </w:pPr>
      <w:r w:rsidRPr="00771210">
        <w:t>In the previous step (Step 3), existing nonmotorized data were used to determine the traffic patterns that are to be monitored. In Step 4, this information is used to establish unique traffic pattern groups that will be used as the foundation for the monitoring program.</w:t>
      </w:r>
    </w:p>
    <w:p w14:paraId="5F2702C0" w14:textId="77777777" w:rsidR="003F7B9F" w:rsidRPr="00771210" w:rsidRDefault="003F7B9F" w:rsidP="00A35EAF">
      <w:pPr>
        <w:pStyle w:val="BodyText"/>
      </w:pPr>
      <w:r w:rsidRPr="00771210">
        <w:t>In some cases, nonmotorized count data may not be available in Step 3 to determine the most likely traffic pattern groups. In these cases, previous analyses of nonmotorized data from previous studies or of similar locations should be used as a starting point. Once more nonmotorized data are gathered in your region, these traffic pattern groups can be refined based on your local data.</w:t>
      </w:r>
    </w:p>
    <w:p w14:paraId="76A17562" w14:textId="1833D9EC" w:rsidR="003F7B9F" w:rsidRPr="00771210" w:rsidRDefault="003F7B9F" w:rsidP="00A35EAF">
      <w:pPr>
        <w:pStyle w:val="BodyText"/>
      </w:pPr>
      <w:r w:rsidRPr="00771210">
        <w:t xml:space="preserve">Previous (but limited) research indicates that nonmotorized traffic patterns can be classified into one of these three categories (each with their own unique </w:t>
      </w:r>
      <w:r w:rsidR="000943FD">
        <w:t>TOD</w:t>
      </w:r>
      <w:r w:rsidRPr="00771210">
        <w:t xml:space="preserve"> and DOW patterns):</w:t>
      </w:r>
    </w:p>
    <w:p w14:paraId="2B21378D" w14:textId="77777777" w:rsidR="003F7B9F" w:rsidRPr="00771210" w:rsidRDefault="003F7B9F" w:rsidP="00043458">
      <w:pPr>
        <w:pStyle w:val="BodyFHWA"/>
        <w:numPr>
          <w:ilvl w:val="0"/>
          <w:numId w:val="39"/>
        </w:numPr>
        <w:spacing w:after="120"/>
        <w:ind w:left="576" w:hanging="288"/>
        <w:contextualSpacing/>
      </w:pPr>
      <w:r w:rsidRPr="00771210">
        <w:t>Commuter and work/school-based trips – typically have the highest peaks in the morning and evening.</w:t>
      </w:r>
    </w:p>
    <w:p w14:paraId="345CD4F2" w14:textId="77777777" w:rsidR="003F7B9F" w:rsidRPr="00771210" w:rsidRDefault="003F7B9F" w:rsidP="00043458">
      <w:pPr>
        <w:pStyle w:val="BodyFHWA"/>
        <w:numPr>
          <w:ilvl w:val="0"/>
          <w:numId w:val="39"/>
        </w:numPr>
        <w:spacing w:after="120"/>
        <w:ind w:left="576" w:hanging="288"/>
        <w:contextualSpacing/>
      </w:pPr>
      <w:r w:rsidRPr="00771210">
        <w:t>Recreation/utilitarian – may peak only once daily or be evenly distributed throughout the day.</w:t>
      </w:r>
    </w:p>
    <w:p w14:paraId="68620EA5" w14:textId="77777777" w:rsidR="003F7B9F" w:rsidRPr="00771210" w:rsidRDefault="003F7B9F" w:rsidP="00043458">
      <w:pPr>
        <w:pStyle w:val="BodyFHWA"/>
        <w:numPr>
          <w:ilvl w:val="0"/>
          <w:numId w:val="39"/>
        </w:numPr>
        <w:spacing w:after="120"/>
        <w:ind w:left="576" w:hanging="288"/>
        <w:contextualSpacing/>
      </w:pPr>
      <w:r w:rsidRPr="00771210">
        <w:t>Mixed trip purposes (both commuter and recreation/utilitarian) – has varying levels of these two different trips purposes or may include other miscellaneous trip purposes.</w:t>
      </w:r>
    </w:p>
    <w:p w14:paraId="14D8BBC4" w14:textId="298016A9" w:rsidR="003F7B9F" w:rsidRDefault="003F7B9F" w:rsidP="00A35EAF">
      <w:pPr>
        <w:pStyle w:val="BodyText"/>
      </w:pPr>
      <w:r>
        <w:t xml:space="preserve">For more detailed visualization examples, </w:t>
      </w:r>
      <w:r w:rsidRPr="00911AE2">
        <w:t xml:space="preserve">see </w:t>
      </w:r>
      <w:r w:rsidRPr="00E95974">
        <w:t xml:space="preserve">Appendix </w:t>
      </w:r>
      <w:r w:rsidR="00E95974" w:rsidRPr="00E95974">
        <w:t>J</w:t>
      </w:r>
      <w:r w:rsidRPr="00911AE2">
        <w:t>.</w:t>
      </w:r>
      <w:r w:rsidR="004D4172">
        <w:t xml:space="preserve"> </w:t>
      </w:r>
    </w:p>
    <w:p w14:paraId="59A8104A" w14:textId="77777777" w:rsidR="003F7B9F" w:rsidRPr="008F3537" w:rsidRDefault="003F7B9F" w:rsidP="00A35EAF">
      <w:pPr>
        <w:pStyle w:val="BodyText"/>
      </w:pPr>
      <w:r w:rsidRPr="008F3537">
        <w:t>Overall climate conditions will strongly influence seasonal patterns. Day-to-day weather conditions will also influence specific daily or weekly patterns but should not have a seasonal impact.</w:t>
      </w:r>
    </w:p>
    <w:p w14:paraId="1F85C8AB" w14:textId="183BE17E" w:rsidR="003F7B9F" w:rsidRPr="008F3537" w:rsidRDefault="003F7B9F" w:rsidP="00A35EAF">
      <w:pPr>
        <w:pStyle w:val="BodyText"/>
      </w:pPr>
      <w:r w:rsidRPr="008F3537">
        <w:t xml:space="preserve">Facility type and adjacent land use are important variables; however, these will influence the mix of trip purpose, which is likely the strongest predictor of </w:t>
      </w:r>
      <w:r w:rsidR="000943FD">
        <w:t>TOD</w:t>
      </w:r>
      <w:r w:rsidRPr="008F3537">
        <w:t xml:space="preserve"> and DOW traffic patterns.</w:t>
      </w:r>
    </w:p>
    <w:p w14:paraId="6A6FFD2B" w14:textId="77777777" w:rsidR="003F7B9F" w:rsidRPr="00EC406B" w:rsidRDefault="003F7B9F" w:rsidP="00A35EAF">
      <w:pPr>
        <w:pStyle w:val="BodyText"/>
        <w:rPr>
          <w:rFonts w:ascii="Cambria" w:hAnsi="Cambria"/>
          <w:b/>
          <w:bCs/>
          <w:sz w:val="22"/>
          <w:szCs w:val="22"/>
        </w:rPr>
      </w:pPr>
      <w:r w:rsidRPr="00EC406B">
        <w:rPr>
          <w:rFonts w:ascii="Cambria" w:hAnsi="Cambria"/>
          <w:b/>
          <w:bCs/>
          <w:sz w:val="22"/>
          <w:szCs w:val="22"/>
        </w:rPr>
        <w:t>Step 5: Determine Appropriate Number of Continuous Monitoring Locations</w:t>
      </w:r>
    </w:p>
    <w:p w14:paraId="65504B89" w14:textId="77777777" w:rsidR="003F7B9F" w:rsidRPr="008F3537" w:rsidRDefault="003F7B9F" w:rsidP="00A35EAF">
      <w:pPr>
        <w:pStyle w:val="BodyText"/>
      </w:pPr>
      <w:r w:rsidRPr="008F3537">
        <w:t>If equipment budgets are not constrained, then a rule of thumb is that about three to five continuous count locations should be installed for each distinct factor group (based on trip purpose and seasonality). The number of permanent count locations can be refined and/or increased as more data are collected on nonmotorized traffic.</w:t>
      </w:r>
    </w:p>
    <w:p w14:paraId="546EBCB5" w14:textId="77777777" w:rsidR="003F7B9F" w:rsidRPr="00EC406B" w:rsidRDefault="003F7B9F" w:rsidP="00A35EAF">
      <w:pPr>
        <w:pStyle w:val="BodyText"/>
        <w:rPr>
          <w:rFonts w:ascii="Cambria" w:hAnsi="Cambria"/>
          <w:b/>
          <w:bCs/>
          <w:sz w:val="22"/>
          <w:szCs w:val="22"/>
        </w:rPr>
      </w:pPr>
      <w:r w:rsidRPr="00EC406B">
        <w:rPr>
          <w:rFonts w:ascii="Cambria" w:hAnsi="Cambria"/>
          <w:b/>
          <w:bCs/>
          <w:sz w:val="22"/>
          <w:szCs w:val="22"/>
        </w:rPr>
        <w:t>Step 6: Select Specific Count Locations</w:t>
      </w:r>
    </w:p>
    <w:p w14:paraId="374A41D9" w14:textId="77777777" w:rsidR="003F7B9F" w:rsidRPr="008F3537" w:rsidRDefault="003F7B9F" w:rsidP="00A35EAF">
      <w:pPr>
        <w:pStyle w:val="BodyText"/>
      </w:pPr>
      <w:r w:rsidRPr="008F3537">
        <w:t>Once the number of locations within factor groups has been established, the next step is to identify specific monitoring locations. Several considerations should be addressed in this step.</w:t>
      </w:r>
    </w:p>
    <w:p w14:paraId="36CCF05C" w14:textId="072A44F2" w:rsidR="003F7B9F" w:rsidRPr="008F3537" w:rsidRDefault="003F7B9F" w:rsidP="00A35EAF">
      <w:pPr>
        <w:pStyle w:val="BodyText"/>
      </w:pPr>
      <w:r w:rsidRPr="008F3537">
        <w:rPr>
          <w:b/>
        </w:rPr>
        <w:t xml:space="preserve">Differentiating pedestrian and </w:t>
      </w:r>
      <w:r w:rsidR="00665742">
        <w:rPr>
          <w:b/>
        </w:rPr>
        <w:t>Micromobility device</w:t>
      </w:r>
      <w:r w:rsidRPr="008F3537">
        <w:rPr>
          <w:b/>
        </w:rPr>
        <w:t xml:space="preserve"> traffic</w:t>
      </w:r>
      <w:r w:rsidRPr="008F3537">
        <w:t xml:space="preserve"> – Will pedestrian and bicyclist traffic be separately monitored at each permanent count location? In the case of shared</w:t>
      </w:r>
      <w:r w:rsidR="008A03F0">
        <w:t>-</w:t>
      </w:r>
      <w:r w:rsidRPr="008F3537">
        <w:t>use paths, pedestrians and bicyclists will be traveling in the same space, and specialized equipment should be used to differentiate these different user types. In other situations, it may be preferable to monitor bicyclists separately from pedestrians. Exclusive bicycle lanes or separated bicycle paths can be instrumented with inductance loops (permanent) or pneumatic tubes (short-</w:t>
      </w:r>
      <w:r>
        <w:t>term</w:t>
      </w:r>
      <w:r w:rsidRPr="008F3537">
        <w:t>) that will not count larger/heavier motorized vehicles. Pedestrian malls, sidewalks</w:t>
      </w:r>
      <w:r w:rsidR="00E87A16">
        <w:t>,</w:t>
      </w:r>
      <w:r w:rsidRPr="008F3537">
        <w:t xml:space="preserve"> or walkways can be instrumented with a single-purpose infrared counter if bicyclists are not typically present.</w:t>
      </w:r>
    </w:p>
    <w:p w14:paraId="6F2DBAAF" w14:textId="77777777" w:rsidR="003F7B9F" w:rsidRPr="008F3537" w:rsidRDefault="003F7B9F" w:rsidP="00A35EAF">
      <w:pPr>
        <w:pStyle w:val="BodyText"/>
      </w:pPr>
      <w:r w:rsidRPr="008F3537">
        <w:rPr>
          <w:b/>
        </w:rPr>
        <w:lastRenderedPageBreak/>
        <w:t>Selecting representative permanent count locations</w:t>
      </w:r>
      <w:r w:rsidRPr="008F3537">
        <w:t> – Although it may be tempting to select the most heavily used locations for permanent monitoring, one should focus primarily on selecting those locations that are most representative of prevailing nonmotorized traffic patterns (while still having moderate nonmotorized traffic levels). In some cases, permanent count locations may be installed at low-use locations if higher use is expected after pedestrian or bicycle facility construction. The primary purpose of these continuous monitoring locations is to factor/annualize the other short-</w:t>
      </w:r>
      <w:r>
        <w:t>term</w:t>
      </w:r>
      <w:r w:rsidRPr="008F3537">
        <w:t xml:space="preserve"> counts. Continuous counts at a high-pedestrian or high-bicyclist location may look impressive but may not yield accurate results when factoring short-</w:t>
      </w:r>
      <w:r>
        <w:t xml:space="preserve">term </w:t>
      </w:r>
      <w:r w:rsidRPr="008F3537">
        <w:t xml:space="preserve">counts. </w:t>
      </w:r>
    </w:p>
    <w:p w14:paraId="485FAD6E" w14:textId="77777777" w:rsidR="003F7B9F" w:rsidRPr="008F3537" w:rsidRDefault="003F7B9F" w:rsidP="00A35EAF">
      <w:pPr>
        <w:pStyle w:val="BodyText"/>
      </w:pPr>
      <w:r w:rsidRPr="008F3537">
        <w:rPr>
          <w:b/>
          <w:bCs/>
        </w:rPr>
        <w:t>Selecting optimal installation locations </w:t>
      </w:r>
      <w:r w:rsidRPr="00247415">
        <w:t>–</w:t>
      </w:r>
      <w:r w:rsidRPr="008F3537">
        <w:t xml:space="preserve"> Once a general site location is identified, the optimal installation location should be chosen for the specific monitoring technology and equipment. In most cases, the optimal location is:</w:t>
      </w:r>
    </w:p>
    <w:p w14:paraId="198D377F" w14:textId="77777777" w:rsidR="003F7B9F" w:rsidRPr="005349A3" w:rsidRDefault="003F7B9F">
      <w:pPr>
        <w:pStyle w:val="TMGBullet"/>
      </w:pPr>
      <w:r w:rsidRPr="005349A3">
        <w:t>On straight, level sections of road or trail, not on curves or on or near a steep grade.</w:t>
      </w:r>
    </w:p>
    <w:p w14:paraId="5996B124" w14:textId="77777777" w:rsidR="003F7B9F" w:rsidRPr="005349A3" w:rsidRDefault="003F7B9F">
      <w:pPr>
        <w:pStyle w:val="TMGBullet"/>
      </w:pPr>
      <w:r w:rsidRPr="005349A3">
        <w:t>On smooth pavement or other compacted surface.</w:t>
      </w:r>
    </w:p>
    <w:p w14:paraId="0516A027" w14:textId="11ED2DE2" w:rsidR="003F7B9F" w:rsidRPr="005349A3" w:rsidRDefault="003F7B9F">
      <w:pPr>
        <w:pStyle w:val="TMGBullet"/>
      </w:pPr>
      <w:r w:rsidRPr="005349A3">
        <w:t>Where the traveled way is clearly delineated, and deviation is not common</w:t>
      </w:r>
      <w:r w:rsidR="00E87A16">
        <w:t>.</w:t>
      </w:r>
    </w:p>
    <w:p w14:paraId="500AA520" w14:textId="77777777" w:rsidR="003F7B9F" w:rsidRPr="005349A3" w:rsidRDefault="003F7B9F">
      <w:pPr>
        <w:pStyle w:val="TMGBullet"/>
      </w:pPr>
      <w:r w:rsidRPr="005349A3">
        <w:t xml:space="preserve">For infrared sensors, not near water or in direct sunlight. </w:t>
      </w:r>
    </w:p>
    <w:p w14:paraId="436D95DD" w14:textId="5305FA89" w:rsidR="003F7B9F" w:rsidRPr="005349A3" w:rsidRDefault="003F7B9F">
      <w:pPr>
        <w:pStyle w:val="TMGBullet"/>
      </w:pPr>
      <w:r w:rsidRPr="005349A3">
        <w:t>For infrared sensors, not directly facing the roadway unless a vertical barrier exists</w:t>
      </w:r>
      <w:r w:rsidR="00E87A16">
        <w:t>.</w:t>
      </w:r>
    </w:p>
    <w:p w14:paraId="5E1B25EF" w14:textId="77777777" w:rsidR="003F7B9F" w:rsidRPr="005349A3" w:rsidRDefault="003F7B9F">
      <w:pPr>
        <w:pStyle w:val="TMGBullet"/>
      </w:pPr>
      <w:r w:rsidRPr="005349A3">
        <w:t>For inductance loop detectors, not near high-power utility lines that could disrupt or distort the detection capability.</w:t>
      </w:r>
    </w:p>
    <w:p w14:paraId="528B3C2E" w14:textId="77777777" w:rsidR="003F7B9F" w:rsidRPr="00EC406B" w:rsidRDefault="003F7B9F" w:rsidP="00A35EAF">
      <w:pPr>
        <w:pStyle w:val="BodyText"/>
        <w:rPr>
          <w:rFonts w:ascii="Cambria" w:hAnsi="Cambria"/>
          <w:b/>
          <w:bCs/>
          <w:sz w:val="22"/>
          <w:szCs w:val="22"/>
        </w:rPr>
      </w:pPr>
      <w:r w:rsidRPr="00EC406B">
        <w:rPr>
          <w:rFonts w:ascii="Cambria" w:hAnsi="Cambria"/>
          <w:b/>
          <w:bCs/>
          <w:sz w:val="22"/>
          <w:szCs w:val="22"/>
        </w:rPr>
        <w:t>Step 7: Compute Adjustment Factors</w:t>
      </w:r>
    </w:p>
    <w:p w14:paraId="4290A24D" w14:textId="4662BAF6" w:rsidR="003F7B9F" w:rsidRPr="000D7942" w:rsidRDefault="003F7B9F" w:rsidP="00A35EAF">
      <w:pPr>
        <w:pStyle w:val="BodyText"/>
      </w:pPr>
      <w:bookmarkStart w:id="2558" w:name="_Hlk115094104"/>
      <w:r w:rsidRPr="008F3537">
        <w:t xml:space="preserve">The computation of adjustment factors should follow a similar process as motorized traffic volumes outlined in </w:t>
      </w:r>
      <w:r w:rsidRPr="000D7942">
        <w:t>Section 3.2.</w:t>
      </w:r>
      <w:r w:rsidR="005A18C5">
        <w:t>5</w:t>
      </w:r>
      <w:bookmarkEnd w:id="2558"/>
      <w:r w:rsidRPr="000D7942">
        <w:t xml:space="preserve">. These adjustment factors will be calculated for each unique nonmotorized traffic factor group as determined in Step 4. </w:t>
      </w:r>
    </w:p>
    <w:p w14:paraId="41AF4BE6" w14:textId="77777777" w:rsidR="003F7B9F" w:rsidRPr="000D7942" w:rsidRDefault="003F7B9F" w:rsidP="00A35EAF">
      <w:pPr>
        <w:pStyle w:val="BodyText"/>
      </w:pPr>
      <w:r w:rsidRPr="000D7942">
        <w:t>In practice, very few agencies have applied monthly or DOW adjustment factors to short-</w:t>
      </w:r>
      <w:r>
        <w:t>term</w:t>
      </w:r>
      <w:r w:rsidRPr="000D7942">
        <w:t xml:space="preserve"> nonmotorized counts. The current prevailing practice is to collect short-</w:t>
      </w:r>
      <w:r>
        <w:t xml:space="preserve">term </w:t>
      </w:r>
      <w:r w:rsidRPr="000D7942">
        <w:t>counts during those dates and times that are believed to be average, thereby reducing the perceived need for adjustment. However, this practice should evolve to a more traditional traffic monitoring approach as more permanent nonmotorized count locations are installed.</w:t>
      </w:r>
    </w:p>
    <w:p w14:paraId="1177B6C6" w14:textId="0671C4D5" w:rsidR="003F7B9F" w:rsidRPr="00517F7A" w:rsidRDefault="003F7B9F">
      <w:pPr>
        <w:pStyle w:val="Heading2"/>
      </w:pPr>
      <w:bookmarkStart w:id="2559" w:name="_Toc45604664"/>
      <w:bookmarkStart w:id="2560" w:name="_Toc68190240"/>
      <w:bookmarkStart w:id="2561" w:name="_Toc68864948"/>
      <w:bookmarkStart w:id="2562" w:name="_Toc114474734"/>
      <w:bookmarkStart w:id="2563" w:name="_Toc118205664"/>
      <w:r w:rsidRPr="00517F7A">
        <w:t>Traffic Data Processing</w:t>
      </w:r>
      <w:bookmarkEnd w:id="2559"/>
      <w:bookmarkEnd w:id="2560"/>
      <w:bookmarkEnd w:id="2561"/>
      <w:bookmarkEnd w:id="2562"/>
      <w:bookmarkEnd w:id="2563"/>
    </w:p>
    <w:p w14:paraId="38AB9190" w14:textId="7BA3A4CB" w:rsidR="003F7B9F" w:rsidRPr="00517F7A" w:rsidRDefault="003F7B9F">
      <w:pPr>
        <w:pStyle w:val="Heading3"/>
      </w:pPr>
      <w:bookmarkStart w:id="2564" w:name="_Toc45604665"/>
      <w:bookmarkStart w:id="2565" w:name="_Toc68190241"/>
      <w:bookmarkStart w:id="2566" w:name="_Toc118205665"/>
      <w:r w:rsidRPr="00517F7A">
        <w:t>Calculations and Computations for End</w:t>
      </w:r>
      <w:r w:rsidR="00956F71">
        <w:t>-</w:t>
      </w:r>
      <w:r w:rsidRPr="00517F7A">
        <w:t>of</w:t>
      </w:r>
      <w:r w:rsidR="00956F71">
        <w:t>-</w:t>
      </w:r>
      <w:r w:rsidRPr="00517F7A">
        <w:t>Year Processing</w:t>
      </w:r>
      <w:bookmarkEnd w:id="2564"/>
      <w:bookmarkEnd w:id="2565"/>
      <w:bookmarkEnd w:id="2566"/>
    </w:p>
    <w:p w14:paraId="28FC0DAB" w14:textId="77777777" w:rsidR="003F7B9F" w:rsidRPr="00771210" w:rsidRDefault="003F7B9F" w:rsidP="00A35EAF">
      <w:pPr>
        <w:pStyle w:val="BodyText"/>
      </w:pPr>
      <w:bookmarkStart w:id="2567" w:name="_Toc323825351"/>
      <w:bookmarkStart w:id="2568" w:name="_Toc323825426"/>
      <w:bookmarkStart w:id="2569" w:name="_Toc323825786"/>
      <w:bookmarkStart w:id="2570" w:name="_Toc324176402"/>
      <w:bookmarkStart w:id="2571" w:name="_Toc324176482"/>
      <w:bookmarkStart w:id="2572" w:name="_Toc324232347"/>
      <w:bookmarkStart w:id="2573" w:name="_Toc324233231"/>
      <w:bookmarkStart w:id="2574" w:name="_Toc324176403"/>
      <w:bookmarkStart w:id="2575" w:name="_Toc324176483"/>
      <w:bookmarkStart w:id="2576" w:name="_Toc324232348"/>
      <w:bookmarkStart w:id="2577" w:name="_Toc324233232"/>
      <w:bookmarkStart w:id="2578" w:name="_Toc324176404"/>
      <w:bookmarkStart w:id="2579" w:name="_Toc324176484"/>
      <w:bookmarkStart w:id="2580" w:name="_Toc324232349"/>
      <w:bookmarkStart w:id="2581" w:name="_Toc324233233"/>
      <w:bookmarkStart w:id="2582" w:name="_Toc324176405"/>
      <w:bookmarkStart w:id="2583" w:name="_Toc324176485"/>
      <w:bookmarkStart w:id="2584" w:name="_Toc324232350"/>
      <w:bookmarkStart w:id="2585" w:name="_Toc324233234"/>
      <w:bookmarkStart w:id="2586" w:name="_Toc324176407"/>
      <w:bookmarkStart w:id="2587" w:name="_Toc324176487"/>
      <w:bookmarkStart w:id="2588" w:name="_Toc324232352"/>
      <w:bookmarkStart w:id="2589" w:name="_Toc324233236"/>
      <w:bookmarkStart w:id="2590" w:name="_Toc324176408"/>
      <w:bookmarkStart w:id="2591" w:name="_Toc324176488"/>
      <w:bookmarkStart w:id="2592" w:name="_Toc324232353"/>
      <w:bookmarkStart w:id="2593" w:name="_Toc324233237"/>
      <w:bookmarkStart w:id="2594" w:name="_Toc324176409"/>
      <w:bookmarkStart w:id="2595" w:name="_Toc324176489"/>
      <w:bookmarkStart w:id="2596" w:name="_Toc324232354"/>
      <w:bookmarkStart w:id="2597" w:name="_Toc324233238"/>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r w:rsidRPr="00771210">
        <w:t>This section presents basic statistics or estimates derived from the vehicle classification program. Statistics discussed include:</w:t>
      </w:r>
    </w:p>
    <w:p w14:paraId="68A5101E" w14:textId="26F48B49" w:rsidR="003F7B9F" w:rsidRPr="000A0DB8" w:rsidRDefault="003F7B9F">
      <w:pPr>
        <w:pStyle w:val="TMGBullet"/>
      </w:pPr>
      <w:r w:rsidRPr="000A0DB8">
        <w:t>MADT – Monthly Average Daily Traffic</w:t>
      </w:r>
    </w:p>
    <w:p w14:paraId="1F68352E" w14:textId="0E90362E" w:rsidR="003F7B9F" w:rsidRPr="000A0DB8" w:rsidRDefault="003F7B9F">
      <w:pPr>
        <w:pStyle w:val="TMGBullet"/>
      </w:pPr>
      <w:r w:rsidRPr="000A0DB8">
        <w:t>AADT – Annual Average Daily Traffic</w:t>
      </w:r>
    </w:p>
    <w:p w14:paraId="7BCCD6DC" w14:textId="4D7B4133" w:rsidR="003F7B9F" w:rsidRPr="000A0DB8" w:rsidRDefault="003F7B9F">
      <w:pPr>
        <w:pStyle w:val="TMGBullet"/>
      </w:pPr>
      <w:r w:rsidRPr="000A0DB8">
        <w:t>AADTT – Annual Average Daily Truck Traffic</w:t>
      </w:r>
      <w:r w:rsidR="004D4172">
        <w:t xml:space="preserve"> </w:t>
      </w:r>
      <w:r w:rsidRPr="000A0DB8">
        <w:t>(used for pavement design and management purposes)</w:t>
      </w:r>
    </w:p>
    <w:p w14:paraId="7C5BBC1D" w14:textId="77777777" w:rsidR="003F7B9F" w:rsidRPr="000A0DB8" w:rsidRDefault="003F7B9F">
      <w:pPr>
        <w:pStyle w:val="TMGBullet"/>
      </w:pPr>
      <w:r w:rsidRPr="000A0DB8">
        <w:t xml:space="preserve">AVDT – Annual Vehicle Distance Traveled </w:t>
      </w:r>
    </w:p>
    <w:p w14:paraId="664CB106" w14:textId="77777777" w:rsidR="003F7B9F" w:rsidRPr="000A0DB8" w:rsidRDefault="003F7B9F">
      <w:pPr>
        <w:pStyle w:val="TMGBullet"/>
      </w:pPr>
      <w:r w:rsidRPr="000A0DB8">
        <w:t xml:space="preserve">DVDT – Daily Vehicle Distance Traveled </w:t>
      </w:r>
    </w:p>
    <w:p w14:paraId="27302333" w14:textId="7C4778B5" w:rsidR="003F7B9F" w:rsidRPr="00517F7A" w:rsidRDefault="00462E42">
      <w:pPr>
        <w:pStyle w:val="Heading3"/>
      </w:pPr>
      <w:bookmarkStart w:id="2598" w:name="_Toc68190242"/>
      <w:bookmarkStart w:id="2599" w:name="_Toc118205666"/>
      <w:bookmarkStart w:id="2600" w:name="_Toc63977926"/>
      <w:bookmarkStart w:id="2601" w:name="_Toc63982674"/>
      <w:r w:rsidRPr="00517F7A">
        <w:t>Methods for AADT</w:t>
      </w:r>
      <w:r w:rsidR="003F7B9F" w:rsidRPr="00517F7A">
        <w:t xml:space="preserve"> Calculations for CCS</w:t>
      </w:r>
      <w:bookmarkEnd w:id="2598"/>
      <w:bookmarkEnd w:id="2599"/>
    </w:p>
    <w:p w14:paraId="7CC32434" w14:textId="64750888" w:rsidR="003F7B9F" w:rsidRPr="00771210" w:rsidRDefault="003F7B9F" w:rsidP="00A35EAF">
      <w:pPr>
        <w:pStyle w:val="BodyText"/>
      </w:pPr>
      <w:r w:rsidRPr="00771210">
        <w:t>There are three basic procedures for calculating AADT.</w:t>
      </w:r>
      <w:r w:rsidR="004D4172">
        <w:t xml:space="preserve"> </w:t>
      </w:r>
      <w:r w:rsidRPr="00771210">
        <w:t>T</w:t>
      </w:r>
      <w:r>
        <w:t>he first t</w:t>
      </w:r>
      <w:r w:rsidRPr="00771210">
        <w:t>wo have been used</w:t>
      </w:r>
      <w:r>
        <w:t xml:space="preserve"> historically</w:t>
      </w:r>
      <w:r w:rsidRPr="00771210">
        <w:t xml:space="preserve">, while </w:t>
      </w:r>
      <w:r>
        <w:t>the</w:t>
      </w:r>
      <w:r w:rsidRPr="00771210">
        <w:t xml:space="preserve"> third </w:t>
      </w:r>
      <w:r>
        <w:t>is being currently recommended by</w:t>
      </w:r>
      <w:r w:rsidRPr="00771210">
        <w:t xml:space="preserve"> FHWA to produce a more statistically reliable outcome.</w:t>
      </w:r>
      <w:r w:rsidR="004D4172">
        <w:t xml:space="preserve"> </w:t>
      </w:r>
    </w:p>
    <w:p w14:paraId="6550E66F" w14:textId="4D5D0CE2" w:rsidR="003F7B9F" w:rsidRPr="000A0DB8" w:rsidRDefault="003F7B9F">
      <w:pPr>
        <w:pStyle w:val="TMGBullet"/>
      </w:pPr>
      <w:r w:rsidRPr="000A0DB8">
        <w:t>A simple average of all days</w:t>
      </w:r>
      <w:r w:rsidR="0080124A">
        <w:t>.</w:t>
      </w:r>
    </w:p>
    <w:p w14:paraId="6BA520CA" w14:textId="7AF09E4F" w:rsidR="003F7B9F" w:rsidRPr="000A0DB8" w:rsidRDefault="003F7B9F">
      <w:pPr>
        <w:pStyle w:val="TMGBullet"/>
      </w:pPr>
      <w:r w:rsidRPr="000A0DB8">
        <w:t xml:space="preserve">An average of averages (the American Association of State Highway Transportation Officials (AASHTO) method) (See Appendix </w:t>
      </w:r>
      <w:r w:rsidR="003907E4">
        <w:t>L</w:t>
      </w:r>
      <w:r w:rsidRPr="000A0DB8">
        <w:t>)</w:t>
      </w:r>
      <w:r w:rsidR="0080124A">
        <w:t>.</w:t>
      </w:r>
    </w:p>
    <w:p w14:paraId="38E7D7E0" w14:textId="6ACA35E1" w:rsidR="003F7B9F" w:rsidRPr="000A0DB8" w:rsidRDefault="003F7B9F">
      <w:pPr>
        <w:pStyle w:val="TMGBullet"/>
      </w:pPr>
      <w:r w:rsidRPr="000A0DB8">
        <w:t xml:space="preserve">The </w:t>
      </w:r>
      <w:bookmarkStart w:id="2602" w:name="_Hlk76056529"/>
      <w:r w:rsidR="00462E42">
        <w:t>new</w:t>
      </w:r>
      <w:r w:rsidRPr="000A0DB8">
        <w:t xml:space="preserve"> FHWA AADT method </w:t>
      </w:r>
      <w:bookmarkEnd w:id="2602"/>
      <w:r w:rsidRPr="000A0DB8">
        <w:t xml:space="preserve">with any time increment </w:t>
      </w:r>
      <w:bookmarkStart w:id="2603" w:name="_Hlk76056495"/>
      <w:r w:rsidR="00C51B53">
        <w:t>(Krile 201</w:t>
      </w:r>
      <w:bookmarkEnd w:id="2603"/>
      <w:r w:rsidR="00391A5F">
        <w:t>5</w:t>
      </w:r>
      <w:r w:rsidR="00A6641B">
        <w:t>a</w:t>
      </w:r>
      <w:r w:rsidRPr="000A0DB8">
        <w:t>) – this method is recommended over the other two methods</w:t>
      </w:r>
      <w:r w:rsidR="0080124A">
        <w:t>.</w:t>
      </w:r>
    </w:p>
    <w:p w14:paraId="315174D5" w14:textId="3117AC02" w:rsidR="003F7B9F" w:rsidRPr="00771210" w:rsidRDefault="003F7B9F" w:rsidP="00A35EAF">
      <w:pPr>
        <w:pStyle w:val="BodyText"/>
      </w:pPr>
      <w:r w:rsidRPr="00771210">
        <w:t xml:space="preserve">In the first of these techniques, AADT is computed as the simple average of all 365 days in a given year (unless a leap year). When days of data are missing, the denominator is simply reduced by the number of missing days. </w:t>
      </w:r>
    </w:p>
    <w:bookmarkEnd w:id="2600"/>
    <w:bookmarkEnd w:id="2601"/>
    <w:p w14:paraId="1CFBDBA9" w14:textId="742E99F2" w:rsidR="003F7B9F" w:rsidRPr="00771210" w:rsidRDefault="003F7B9F" w:rsidP="00A35EAF">
      <w:pPr>
        <w:pStyle w:val="BodyText"/>
      </w:pPr>
      <w:r w:rsidRPr="00771210">
        <w:t xml:space="preserve">The advantage to this approach is that it is simple and easy to program. The disadvantage is that missing data can cause biases (and thus inaccuracy) in the AADT value produced. Blocks of missing days of data (for example, data </w:t>
      </w:r>
      <w:r w:rsidRPr="00771210">
        <w:lastRenderedPageBreak/>
        <w:t>from June 15 to July 15) can bias the annual values by removing data that ha</w:t>
      </w:r>
      <w:r>
        <w:t>s</w:t>
      </w:r>
      <w:r w:rsidRPr="00771210">
        <w:t xml:space="preserve"> specific characteristics. On a heavy summer recreational route, missing data from June 15 through July 15 would likely result in an underestimation of the true AADT for that road.</w:t>
      </w:r>
    </w:p>
    <w:p w14:paraId="61FC99A6" w14:textId="3AD4D539" w:rsidR="005C71DE" w:rsidRPr="00771210" w:rsidRDefault="003F7B9F" w:rsidP="00A35EAF">
      <w:pPr>
        <w:pStyle w:val="BodyText"/>
      </w:pPr>
      <w:r w:rsidRPr="00771210">
        <w:t xml:space="preserve">When the simple average is used to compute average monthly traffic, the missing data </w:t>
      </w:r>
      <w:r>
        <w:t>often</w:t>
      </w:r>
      <w:r w:rsidRPr="00771210">
        <w:t xml:space="preserve"> bias the results </w:t>
      </w:r>
      <w:r>
        <w:t xml:space="preserve">(this bias depends on what days are missing and how much of the data is missing) </w:t>
      </w:r>
      <w:r w:rsidRPr="00771210">
        <w:t xml:space="preserve">when an unequal number of weekday or weekend days are removed from the dataset. Because continuous count stations may have equipment down time during a year </w:t>
      </w:r>
      <w:r w:rsidR="002A5725">
        <w:t>thus</w:t>
      </w:r>
      <w:r w:rsidR="002A5725" w:rsidRPr="00771210">
        <w:t xml:space="preserve"> </w:t>
      </w:r>
      <w:r w:rsidRPr="00771210">
        <w:t>miss</w:t>
      </w:r>
      <w:r>
        <w:t>ing one or more</w:t>
      </w:r>
      <w:r w:rsidRPr="00771210">
        <w:t xml:space="preserve"> days</w:t>
      </w:r>
      <w:r w:rsidR="002A5725">
        <w:t xml:space="preserve"> of data</w:t>
      </w:r>
      <w:r w:rsidRPr="00771210">
        <w:t xml:space="preserve">, AASHTO adopted a different approach for calculating AADT. </w:t>
      </w:r>
      <w:r w:rsidR="005C71DE">
        <w:t xml:space="preserve">Details of AASHTO method for AADT computation </w:t>
      </w:r>
      <w:r w:rsidR="002A5725">
        <w:t>are</w:t>
      </w:r>
      <w:r w:rsidR="005C71DE">
        <w:t xml:space="preserve"> found </w:t>
      </w:r>
      <w:r w:rsidR="005C71DE" w:rsidRPr="00E95974">
        <w:t xml:space="preserve">in Appendix </w:t>
      </w:r>
      <w:r w:rsidR="00E95974" w:rsidRPr="00E95974">
        <w:t>L</w:t>
      </w:r>
      <w:r w:rsidR="005C71DE" w:rsidRPr="00E95974">
        <w:t>.</w:t>
      </w:r>
    </w:p>
    <w:p w14:paraId="33CC23A2" w14:textId="20CADC2A" w:rsidR="003F7B9F" w:rsidRPr="00771210" w:rsidRDefault="005C71DE" w:rsidP="00A35EAF">
      <w:pPr>
        <w:pStyle w:val="BodyText"/>
      </w:pPr>
      <w:r>
        <w:t>There are two limitations with the trad</w:t>
      </w:r>
      <w:r w:rsidR="002A5725">
        <w:t>i</w:t>
      </w:r>
      <w:r>
        <w:t xml:space="preserve">tional AASHTO method. </w:t>
      </w:r>
      <w:r w:rsidR="003F7B9F" w:rsidRPr="00771210">
        <w:t xml:space="preserve">One limitation is that the </w:t>
      </w:r>
      <w:r w:rsidR="003F7B9F">
        <w:t>AASHTO AADT</w:t>
      </w:r>
      <w:r w:rsidR="003F7B9F" w:rsidRPr="00771210">
        <w:t xml:space="preserve"> equation uses only complete days of data. This means that the loss of one </w:t>
      </w:r>
      <w:r w:rsidR="003F7B9F">
        <w:t xml:space="preserve">or more </w:t>
      </w:r>
      <w:r w:rsidR="003F7B9F" w:rsidRPr="00771210">
        <w:t>hour</w:t>
      </w:r>
      <w:r w:rsidR="003F7B9F">
        <w:t>s</w:t>
      </w:r>
      <w:r w:rsidR="003F7B9F" w:rsidRPr="00771210">
        <w:t xml:space="preserve"> of data due to errors in the data collection process results in the loss of a full day of data from the AADT computation, reducing the </w:t>
      </w:r>
      <w:r w:rsidR="003F7B9F">
        <w:t xml:space="preserve">number of useful time increments and providing a reduced </w:t>
      </w:r>
      <w:r w:rsidR="003F7B9F" w:rsidRPr="00771210">
        <w:t xml:space="preserve">accuracy of the resulting AADT estimate. </w:t>
      </w:r>
      <w:bookmarkStart w:id="2604" w:name="_Hlk113533663"/>
      <w:r w:rsidR="003F7B9F" w:rsidRPr="00771210">
        <w:t xml:space="preserve">The second limitation is that the averaging process used in the AASHTO method produces a small bias in the resulting AADT estimate. </w:t>
      </w:r>
      <w:r w:rsidR="00BA11CB">
        <w:t>There are two biases affecting the AASTHO method, the first is the under valuing of months with fewer than 31</w:t>
      </w:r>
      <w:r w:rsidR="00C237D6">
        <w:t> </w:t>
      </w:r>
      <w:r w:rsidR="00BA11CB">
        <w:t>days, and the second is the day-of-week bias caused by the number of days of week present in each month, which varies from month to month and year to year.</w:t>
      </w:r>
    </w:p>
    <w:bookmarkEnd w:id="2604"/>
    <w:p w14:paraId="781AF7A0" w14:textId="22FF7F82" w:rsidR="003F7B9F" w:rsidRPr="00771210" w:rsidRDefault="003F7B9F" w:rsidP="00EC406B">
      <w:pPr>
        <w:pStyle w:val="BodyText"/>
      </w:pPr>
      <w:r w:rsidRPr="00771210">
        <w:t xml:space="preserve">As a result, FHWA is </w:t>
      </w:r>
      <w:r>
        <w:t>recommending</w:t>
      </w:r>
      <w:r w:rsidRPr="00771210">
        <w:t xml:space="preserve"> the use of </w:t>
      </w:r>
      <w:r>
        <w:t xml:space="preserve">the following AADT </w:t>
      </w:r>
      <w:r w:rsidRPr="00771210">
        <w:t>formulation for computing AADT. This computation is performed in two steps. The first step computes monthly average daily traffic from the available hourly (or other temporal period) count records. The formula will work equally well with any temporal interval data, such as the 5-minute or 1-minute data frequently recorded by ITS-based traffic management systems. The second step then computes AADT from the twelve available monthly values. These two mathematical steps are as follows:</w:t>
      </w:r>
    </w:p>
    <w:bookmarkStart w:id="2605" w:name="OLE_LINK1"/>
    <w:p w14:paraId="3D9AAFC8" w14:textId="77777777" w:rsidR="003F7B9F" w:rsidRPr="00771210" w:rsidRDefault="00464453" w:rsidP="00EC406B">
      <w:pPr>
        <w:tabs>
          <w:tab w:val="left" w:pos="180"/>
        </w:tabs>
        <w:spacing w:before="120" w:after="120"/>
      </w:pPr>
      <m:oMathPara>
        <m:oMath>
          <m:sSub>
            <m:sSubPr>
              <m:ctrlPr>
                <w:rPr>
                  <w:rFonts w:ascii="Cambria Math" w:hAnsi="Cambria Math"/>
                  <w:i/>
                </w:rPr>
              </m:ctrlPr>
            </m:sSubPr>
            <m:e>
              <m:r>
                <w:rPr>
                  <w:rFonts w:ascii="Cambria Math" w:hAnsi="Cambria Math"/>
                </w:rPr>
                <m:t>MADT</m:t>
              </m:r>
            </m:e>
            <m:sub>
              <m:r>
                <w:rPr>
                  <w:rFonts w:ascii="Cambria Math" w:hAnsi="Cambria Math"/>
                </w:rPr>
                <m:t>m</m:t>
              </m:r>
            </m:sub>
          </m:sSub>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j=1</m:t>
                  </m:r>
                </m:sub>
                <m:sup>
                  <m:r>
                    <w:rPr>
                      <w:rFonts w:ascii="Cambria Math" w:hAnsi="Cambria Math"/>
                    </w:rPr>
                    <m:t>7</m:t>
                  </m:r>
                </m:sup>
                <m:e>
                  <m:sSub>
                    <m:sSubPr>
                      <m:ctrlPr>
                        <w:rPr>
                          <w:rFonts w:ascii="Cambria Math" w:hAnsi="Cambria Math"/>
                          <w:i/>
                        </w:rPr>
                      </m:ctrlPr>
                    </m:sSubPr>
                    <m:e>
                      <m:r>
                        <w:rPr>
                          <w:rFonts w:ascii="Cambria Math" w:hAnsi="Cambria Math"/>
                        </w:rPr>
                        <m:t>w</m:t>
                      </m:r>
                    </m:e>
                    <m:sub>
                      <m:r>
                        <w:rPr>
                          <w:rFonts w:ascii="Cambria Math" w:hAnsi="Cambria Math"/>
                        </w:rPr>
                        <m:t>jm</m:t>
                      </m:r>
                    </m:sub>
                  </m:sSub>
                  <m:nary>
                    <m:naryPr>
                      <m:chr m:val="∑"/>
                      <m:limLoc m:val="undOvr"/>
                      <m:ctrlPr>
                        <w:rPr>
                          <w:rFonts w:ascii="Cambria Math" w:hAnsi="Cambria Math"/>
                          <w:i/>
                        </w:rPr>
                      </m:ctrlPr>
                    </m:naryPr>
                    <m:sub>
                      <m:r>
                        <w:rPr>
                          <w:rFonts w:ascii="Cambria Math" w:hAnsi="Cambria Math"/>
                        </w:rPr>
                        <m:t>h=</m:t>
                      </m:r>
                      <m:r>
                        <w:rPr>
                          <w:rFonts w:ascii="Cambria Math" w:hAnsi="Cambria Math"/>
                        </w:rPr>
                        <m:t>1</m:t>
                      </m:r>
                    </m:sub>
                    <m:sup>
                      <m:r>
                        <w:rPr>
                          <w:rFonts w:ascii="Cambria Math" w:hAnsi="Cambria Math"/>
                        </w:rPr>
                        <m:t>24</m:t>
                      </m:r>
                    </m:sup>
                    <m:e>
                      <m:d>
                        <m:dPr>
                          <m:begChr m:val="["/>
                          <m:endChr m:val="]"/>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hjm</m:t>
                                  </m:r>
                                </m:sub>
                              </m:sSub>
                            </m:den>
                          </m:f>
                          <m:nary>
                            <m:naryPr>
                              <m:chr m:val="∑"/>
                              <m:limLoc m:val="undOvr"/>
                              <m:ctrlPr>
                                <w:rPr>
                                  <w:rFonts w:ascii="Cambria Math" w:hAnsi="Cambria Math"/>
                                  <w:i/>
                                </w:rPr>
                              </m:ctrlPr>
                            </m:naryPr>
                            <m:sub>
                              <m:r>
                                <w:rPr>
                                  <w:rFonts w:ascii="Cambria Math" w:hAnsi="Cambria Math"/>
                                </w:rPr>
                                <m:t>i=1</m:t>
                              </m:r>
                            </m:sub>
                            <m:sup>
                              <m:sSub>
                                <m:sSubPr>
                                  <m:ctrlPr>
                                    <w:rPr>
                                      <w:rFonts w:ascii="Cambria Math" w:hAnsi="Cambria Math"/>
                                      <w:i/>
                                    </w:rPr>
                                  </m:ctrlPr>
                                </m:sSubPr>
                                <m:e>
                                  <m:r>
                                    <w:rPr>
                                      <w:rFonts w:ascii="Cambria Math" w:hAnsi="Cambria Math"/>
                                    </w:rPr>
                                    <m:t>n</m:t>
                                  </m:r>
                                </m:e>
                                <m:sub>
                                  <m:r>
                                    <w:rPr>
                                      <w:rFonts w:ascii="Cambria Math" w:hAnsi="Cambria Math"/>
                                    </w:rPr>
                                    <m:t>hjm</m:t>
                                  </m:r>
                                </m:sub>
                              </m:sSub>
                            </m:sup>
                            <m:e>
                              <m:sSub>
                                <m:sSubPr>
                                  <m:ctrlPr>
                                    <w:rPr>
                                      <w:rFonts w:ascii="Cambria Math" w:hAnsi="Cambria Math"/>
                                      <w:i/>
                                    </w:rPr>
                                  </m:ctrlPr>
                                </m:sSubPr>
                                <m:e>
                                  <m:r>
                                    <w:rPr>
                                      <w:rFonts w:ascii="Cambria Math" w:hAnsi="Cambria Math"/>
                                    </w:rPr>
                                    <m:t>VOL</m:t>
                                  </m:r>
                                </m:e>
                                <m:sub>
                                  <m:r>
                                    <w:rPr>
                                      <w:rFonts w:ascii="Cambria Math" w:hAnsi="Cambria Math"/>
                                    </w:rPr>
                                    <m:t>ihjm</m:t>
                                  </m:r>
                                </m:sub>
                              </m:sSub>
                            </m:e>
                          </m:nary>
                        </m:e>
                      </m:d>
                    </m:e>
                  </m:nary>
                </m:e>
              </m:nary>
            </m:num>
            <m:den>
              <m:nary>
                <m:naryPr>
                  <m:chr m:val="∑"/>
                  <m:limLoc m:val="undOvr"/>
                  <m:ctrlPr>
                    <w:rPr>
                      <w:rFonts w:ascii="Cambria Math" w:hAnsi="Cambria Math"/>
                      <w:i/>
                    </w:rPr>
                  </m:ctrlPr>
                </m:naryPr>
                <m:sub>
                  <m:r>
                    <w:rPr>
                      <w:rFonts w:ascii="Cambria Math" w:hAnsi="Cambria Math"/>
                    </w:rPr>
                    <m:t>j=1</m:t>
                  </m:r>
                </m:sub>
                <m:sup>
                  <m:r>
                    <w:rPr>
                      <w:rFonts w:ascii="Cambria Math" w:hAnsi="Cambria Math"/>
                    </w:rPr>
                    <m:t>7</m:t>
                  </m:r>
                </m:sup>
                <m:e>
                  <m:sSub>
                    <m:sSubPr>
                      <m:ctrlPr>
                        <w:rPr>
                          <w:rFonts w:ascii="Cambria Math" w:hAnsi="Cambria Math"/>
                          <w:i/>
                        </w:rPr>
                      </m:ctrlPr>
                    </m:sSubPr>
                    <m:e>
                      <m:r>
                        <w:rPr>
                          <w:rFonts w:ascii="Cambria Math" w:hAnsi="Cambria Math"/>
                        </w:rPr>
                        <m:t>w</m:t>
                      </m:r>
                    </m:e>
                    <m:sub>
                      <m:r>
                        <w:rPr>
                          <w:rFonts w:ascii="Cambria Math" w:hAnsi="Cambria Math"/>
                        </w:rPr>
                        <m:t>jm</m:t>
                      </m:r>
                    </m:sub>
                  </m:sSub>
                </m:e>
              </m:nary>
            </m:den>
          </m:f>
        </m:oMath>
      </m:oMathPara>
    </w:p>
    <w:p w14:paraId="725672D4" w14:textId="77777777" w:rsidR="003F7B9F" w:rsidRPr="00771210" w:rsidRDefault="003F7B9F" w:rsidP="00A35EAF">
      <w:pPr>
        <w:pStyle w:val="BodyText"/>
      </w:pPr>
      <w:r w:rsidRPr="00771210">
        <w:t>and</w:t>
      </w:r>
    </w:p>
    <w:p w14:paraId="798033C9" w14:textId="77777777" w:rsidR="003F7B9F" w:rsidRPr="00771210" w:rsidRDefault="003F7B9F" w:rsidP="00EC406B">
      <w:pPr>
        <w:tabs>
          <w:tab w:val="left" w:pos="180"/>
        </w:tabs>
        <w:spacing w:before="120" w:after="120"/>
      </w:pPr>
      <m:oMathPara>
        <m:oMath>
          <m:r>
            <w:rPr>
              <w:rFonts w:ascii="Cambria Math" w:hAnsi="Cambria Math"/>
            </w:rPr>
            <m:t>AADT=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m=1</m:t>
                  </m:r>
                </m:sub>
                <m:sup>
                  <m:r>
                    <w:rPr>
                      <w:rFonts w:ascii="Cambria Math" w:hAnsi="Cambria Math"/>
                    </w:rPr>
                    <m:t>12</m:t>
                  </m:r>
                </m:sup>
                <m:e>
                  <m:sSub>
                    <m:sSubPr>
                      <m:ctrlPr>
                        <w:rPr>
                          <w:rFonts w:ascii="Cambria Math" w:hAnsi="Cambria Math"/>
                          <w:i/>
                        </w:rPr>
                      </m:ctrlPr>
                    </m:sSubPr>
                    <m:e>
                      <m:r>
                        <w:rPr>
                          <w:rFonts w:ascii="Cambria Math" w:hAnsi="Cambria Math"/>
                        </w:rPr>
                        <m:t>d</m:t>
                      </m:r>
                    </m:e>
                    <m:sub>
                      <m:r>
                        <w:rPr>
                          <w:rFonts w:ascii="Cambria Math" w:hAnsi="Cambria Math"/>
                        </w:rPr>
                        <m:t>m</m:t>
                      </m:r>
                    </m:sub>
                  </m:sSub>
                  <m:r>
                    <w:rPr>
                      <w:rFonts w:ascii="Cambria Math" w:hAnsi="Cambria Math"/>
                    </w:rPr>
                    <m:t>*</m:t>
                  </m:r>
                  <m:sSub>
                    <m:sSubPr>
                      <m:ctrlPr>
                        <w:rPr>
                          <w:rFonts w:ascii="Cambria Math" w:hAnsi="Cambria Math"/>
                          <w:i/>
                        </w:rPr>
                      </m:ctrlPr>
                    </m:sSubPr>
                    <m:e>
                      <m:r>
                        <w:rPr>
                          <w:rFonts w:ascii="Cambria Math" w:hAnsi="Cambria Math"/>
                        </w:rPr>
                        <m:t>MADT</m:t>
                      </m:r>
                    </m:e>
                    <m:sub>
                      <m:r>
                        <w:rPr>
                          <w:rFonts w:ascii="Cambria Math" w:hAnsi="Cambria Math"/>
                        </w:rPr>
                        <m:t>m</m:t>
                      </m:r>
                    </m:sub>
                  </m:sSub>
                </m:e>
              </m:nary>
            </m:num>
            <m:den>
              <m:nary>
                <m:naryPr>
                  <m:chr m:val="∑"/>
                  <m:limLoc m:val="subSup"/>
                  <m:ctrlPr>
                    <w:rPr>
                      <w:rFonts w:ascii="Cambria Math" w:hAnsi="Cambria Math"/>
                      <w:i/>
                    </w:rPr>
                  </m:ctrlPr>
                </m:naryPr>
                <m:sub>
                  <m:r>
                    <w:rPr>
                      <w:rFonts w:ascii="Cambria Math" w:hAnsi="Cambria Math"/>
                    </w:rPr>
                    <m:t>m=1</m:t>
                  </m:r>
                </m:sub>
                <m:sup>
                  <m:r>
                    <w:rPr>
                      <w:rFonts w:ascii="Cambria Math" w:hAnsi="Cambria Math"/>
                    </w:rPr>
                    <m:t>12</m:t>
                  </m:r>
                </m:sup>
                <m:e>
                  <m:sSub>
                    <m:sSubPr>
                      <m:ctrlPr>
                        <w:rPr>
                          <w:rFonts w:ascii="Cambria Math" w:hAnsi="Cambria Math"/>
                          <w:i/>
                        </w:rPr>
                      </m:ctrlPr>
                    </m:sSubPr>
                    <m:e>
                      <m:r>
                        <w:rPr>
                          <w:rFonts w:ascii="Cambria Math" w:hAnsi="Cambria Math"/>
                        </w:rPr>
                        <m:t>d</m:t>
                      </m:r>
                    </m:e>
                    <m:sub>
                      <m:r>
                        <w:rPr>
                          <w:rFonts w:ascii="Cambria Math" w:hAnsi="Cambria Math"/>
                        </w:rPr>
                        <m:t>m</m:t>
                      </m:r>
                    </m:sub>
                  </m:sSub>
                </m:e>
              </m:nary>
            </m:den>
          </m:f>
        </m:oMath>
      </m:oMathPara>
    </w:p>
    <w:p w14:paraId="77E5333F" w14:textId="77777777" w:rsidR="003F7B9F" w:rsidRPr="00771210" w:rsidRDefault="003F7B9F" w:rsidP="00A35EAF">
      <w:pPr>
        <w:pStyle w:val="BodyText"/>
      </w:pPr>
      <w:r w:rsidRPr="00771210">
        <w:t xml:space="preserve">Where: </w:t>
      </w:r>
    </w:p>
    <w:p w14:paraId="2EEBE3EF" w14:textId="74636F3A" w:rsidR="003F7B9F" w:rsidRPr="00771210" w:rsidRDefault="003F7B9F" w:rsidP="00C57347">
      <w:pPr>
        <w:pStyle w:val="BodyText"/>
        <w:ind w:left="810" w:hanging="810"/>
        <w:rPr>
          <w:rStyle w:val="Italic"/>
          <w:rFonts w:asciiTheme="minorHAnsi" w:hAnsiTheme="minorHAnsi"/>
          <w:iCs/>
        </w:rPr>
      </w:pPr>
      <w:r w:rsidRPr="00771210">
        <w:rPr>
          <w:rStyle w:val="Italic"/>
          <w:rFonts w:asciiTheme="minorHAnsi" w:hAnsiTheme="minorHAnsi"/>
          <w:iCs/>
        </w:rPr>
        <w:t>AADT =</w:t>
      </w:r>
      <w:r w:rsidR="00956F71">
        <w:rPr>
          <w:rStyle w:val="Italic"/>
          <w:rFonts w:asciiTheme="minorHAnsi" w:hAnsiTheme="minorHAnsi"/>
          <w:iCs/>
        </w:rPr>
        <w:t xml:space="preserve"> </w:t>
      </w:r>
      <w:r w:rsidR="00E27E9A">
        <w:rPr>
          <w:rStyle w:val="Italic"/>
          <w:rFonts w:asciiTheme="minorHAnsi" w:hAnsiTheme="minorHAnsi"/>
          <w:iCs/>
        </w:rPr>
        <w:t>annual average</w:t>
      </w:r>
      <w:r w:rsidRPr="00771210">
        <w:rPr>
          <w:rStyle w:val="Italic"/>
          <w:rFonts w:asciiTheme="minorHAnsi" w:hAnsiTheme="minorHAnsi"/>
          <w:iCs/>
        </w:rPr>
        <w:t xml:space="preserve"> daily traffic</w:t>
      </w:r>
    </w:p>
    <w:p w14:paraId="2A941EF8" w14:textId="77777777" w:rsidR="003F7B9F" w:rsidRPr="00771210" w:rsidRDefault="003F7B9F" w:rsidP="00C57347">
      <w:pPr>
        <w:pStyle w:val="BodyText"/>
        <w:ind w:left="810" w:hanging="810"/>
        <w:rPr>
          <w:rStyle w:val="Italic"/>
          <w:rFonts w:asciiTheme="minorHAnsi" w:hAnsiTheme="minorHAnsi"/>
          <w:iCs/>
        </w:rPr>
      </w:pPr>
      <w:r w:rsidRPr="00771210">
        <w:rPr>
          <w:rStyle w:val="Italic"/>
          <w:rFonts w:asciiTheme="minorHAnsi" w:hAnsiTheme="minorHAnsi"/>
          <w:iCs/>
        </w:rPr>
        <w:t>MADT</w:t>
      </w:r>
      <w:r w:rsidRPr="00771210">
        <w:rPr>
          <w:rStyle w:val="Italic"/>
          <w:rFonts w:asciiTheme="minorHAnsi" w:hAnsiTheme="minorHAnsi"/>
          <w:iCs/>
          <w:vertAlign w:val="subscript"/>
        </w:rPr>
        <w:t>m</w:t>
      </w:r>
      <w:r w:rsidRPr="00771210">
        <w:rPr>
          <w:rStyle w:val="Italic"/>
          <w:rFonts w:asciiTheme="minorHAnsi" w:hAnsiTheme="minorHAnsi"/>
          <w:iCs/>
        </w:rPr>
        <w:t xml:space="preserve"> =</w:t>
      </w:r>
      <w:r>
        <w:rPr>
          <w:rStyle w:val="Italic"/>
          <w:rFonts w:asciiTheme="minorHAnsi" w:hAnsiTheme="minorHAnsi"/>
          <w:iCs/>
        </w:rPr>
        <w:t xml:space="preserve"> </w:t>
      </w:r>
      <w:r w:rsidRPr="00771210">
        <w:rPr>
          <w:rStyle w:val="Italic"/>
          <w:rFonts w:asciiTheme="minorHAnsi" w:hAnsiTheme="minorHAnsi"/>
          <w:iCs/>
        </w:rPr>
        <w:t>monthly average daily traffic for month m</w:t>
      </w:r>
    </w:p>
    <w:p w14:paraId="0F74CD17" w14:textId="2361A77F" w:rsidR="003F7B9F" w:rsidRPr="00771210" w:rsidRDefault="003F7B9F" w:rsidP="00C57347">
      <w:pPr>
        <w:pStyle w:val="BodyText"/>
        <w:ind w:left="810" w:hanging="810"/>
      </w:pPr>
      <w:r w:rsidRPr="00771210">
        <w:rPr>
          <w:rStyle w:val="Italic"/>
          <w:rFonts w:asciiTheme="minorHAnsi" w:hAnsiTheme="minorHAnsi"/>
          <w:iCs/>
        </w:rPr>
        <w:t>VOL</w:t>
      </w:r>
      <w:r w:rsidRPr="00771210">
        <w:rPr>
          <w:rStyle w:val="Italic"/>
          <w:rFonts w:asciiTheme="minorHAnsi" w:hAnsiTheme="minorHAnsi"/>
          <w:iCs/>
          <w:vertAlign w:val="subscript"/>
        </w:rPr>
        <w:t>ihjm</w:t>
      </w:r>
      <w:r w:rsidR="00C57347">
        <w:rPr>
          <w:rStyle w:val="Italic"/>
          <w:rFonts w:asciiTheme="minorHAnsi" w:hAnsiTheme="minorHAnsi"/>
          <w:iCs/>
        </w:rPr>
        <w:t xml:space="preserve"> </w:t>
      </w:r>
      <w:r w:rsidRPr="00771210">
        <w:t>=</w:t>
      </w:r>
      <w:r>
        <w:t xml:space="preserve"> </w:t>
      </w:r>
      <w:r w:rsidRPr="00771210">
        <w:t xml:space="preserve">total traffic volume for </w:t>
      </w:r>
      <w:r w:rsidRPr="00840927">
        <w:rPr>
          <w:i/>
          <w:iCs/>
        </w:rPr>
        <w:t>i</w:t>
      </w:r>
      <w:r w:rsidRPr="00771210">
        <w:t xml:space="preserve">th occurrence of the </w:t>
      </w:r>
      <w:r w:rsidRPr="00840927">
        <w:rPr>
          <w:i/>
          <w:iCs/>
        </w:rPr>
        <w:t>h</w:t>
      </w:r>
      <w:r w:rsidRPr="00771210">
        <w:t xml:space="preserve">th hour of day within </w:t>
      </w:r>
      <w:r w:rsidRPr="00840927">
        <w:rPr>
          <w:i/>
          <w:iCs/>
        </w:rPr>
        <w:t>j</w:t>
      </w:r>
      <w:r w:rsidRPr="00771210">
        <w:t xml:space="preserve">th day of week during the </w:t>
      </w:r>
      <w:r w:rsidRPr="00840927">
        <w:rPr>
          <w:i/>
          <w:iCs/>
        </w:rPr>
        <w:t>m</w:t>
      </w:r>
      <w:r w:rsidRPr="00771210">
        <w:t>th month</w:t>
      </w:r>
    </w:p>
    <w:p w14:paraId="0EEC994A" w14:textId="77777777" w:rsidR="003F7B9F" w:rsidRPr="00771210" w:rsidRDefault="003F7B9F" w:rsidP="00C57347">
      <w:pPr>
        <w:pStyle w:val="BodyText"/>
        <w:ind w:left="810" w:hanging="810"/>
      </w:pPr>
      <w:r w:rsidRPr="00840927">
        <w:rPr>
          <w:i/>
          <w:iCs/>
        </w:rPr>
        <w:t xml:space="preserve">i </w:t>
      </w:r>
      <w:r w:rsidRPr="00771210">
        <w:t>=</w:t>
      </w:r>
      <w:r>
        <w:t xml:space="preserve"> </w:t>
      </w:r>
      <w:r w:rsidRPr="00771210">
        <w:t>occurrence of a particular hour of day within a particular day of the week in a particular month (</w:t>
      </w:r>
      <w:r w:rsidRPr="00840927">
        <w:rPr>
          <w:i/>
          <w:iCs/>
        </w:rPr>
        <w:t>i</w:t>
      </w:r>
      <w:r w:rsidRPr="00771210">
        <w:t>=1,…</w:t>
      </w:r>
      <w:r w:rsidRPr="00840927">
        <w:rPr>
          <w:i/>
          <w:iCs/>
        </w:rPr>
        <w:t>n</w:t>
      </w:r>
      <w:r w:rsidRPr="00840927">
        <w:rPr>
          <w:i/>
          <w:iCs/>
          <w:vertAlign w:val="subscript"/>
        </w:rPr>
        <w:t>hjm</w:t>
      </w:r>
      <w:r w:rsidRPr="00771210">
        <w:t>) for which traffic volume is available</w:t>
      </w:r>
    </w:p>
    <w:p w14:paraId="25C16C9F" w14:textId="77777777" w:rsidR="003F7B9F" w:rsidRPr="00771210" w:rsidRDefault="003F7B9F" w:rsidP="00C57347">
      <w:pPr>
        <w:pStyle w:val="BodyText"/>
        <w:ind w:left="810" w:hanging="810"/>
      </w:pPr>
      <w:r w:rsidRPr="00840927">
        <w:rPr>
          <w:i/>
          <w:iCs/>
        </w:rPr>
        <w:t>h</w:t>
      </w:r>
      <w:r>
        <w:t xml:space="preserve"> </w:t>
      </w:r>
      <w:r w:rsidRPr="00771210">
        <w:t>=</w:t>
      </w:r>
      <w:r>
        <w:t xml:space="preserve"> </w:t>
      </w:r>
      <w:r w:rsidRPr="00771210">
        <w:t>hour of the day (h=1,2,…24) – or other temporal interval</w:t>
      </w:r>
    </w:p>
    <w:p w14:paraId="0870E735" w14:textId="77777777" w:rsidR="003F7B9F" w:rsidRPr="00771210" w:rsidRDefault="003F7B9F" w:rsidP="00C57347">
      <w:pPr>
        <w:pStyle w:val="BodyText"/>
        <w:ind w:left="810" w:hanging="810"/>
      </w:pPr>
      <w:r w:rsidRPr="00771210">
        <w:rPr>
          <w:rStyle w:val="Italic"/>
          <w:rFonts w:asciiTheme="minorHAnsi" w:hAnsiTheme="minorHAnsi"/>
          <w:iCs/>
        </w:rPr>
        <w:t>j</w:t>
      </w:r>
      <w:r>
        <w:t xml:space="preserve"> </w:t>
      </w:r>
      <w:r w:rsidRPr="00771210">
        <w:t>=</w:t>
      </w:r>
      <w:r>
        <w:t xml:space="preserve"> </w:t>
      </w:r>
      <w:r w:rsidRPr="00771210">
        <w:t>day of the week (j=1,2,…7)</w:t>
      </w:r>
    </w:p>
    <w:p w14:paraId="6E628EC1" w14:textId="77777777" w:rsidR="003F7B9F" w:rsidRPr="00771210" w:rsidRDefault="003F7B9F" w:rsidP="00C57347">
      <w:pPr>
        <w:pStyle w:val="BodyText"/>
        <w:ind w:left="810" w:hanging="810"/>
      </w:pPr>
      <w:r w:rsidRPr="00E01952">
        <w:rPr>
          <w:i/>
          <w:iCs/>
        </w:rPr>
        <w:t>m</w:t>
      </w:r>
      <w:r>
        <w:t xml:space="preserve"> </w:t>
      </w:r>
      <w:r w:rsidRPr="00771210">
        <w:t>=</w:t>
      </w:r>
      <w:r>
        <w:t xml:space="preserve"> </w:t>
      </w:r>
      <w:r w:rsidRPr="00771210">
        <w:t>month (m=1,…12)</w:t>
      </w:r>
    </w:p>
    <w:p w14:paraId="560B6C49" w14:textId="77777777" w:rsidR="003F7B9F" w:rsidRPr="00771210" w:rsidRDefault="003F7B9F" w:rsidP="00C57347">
      <w:pPr>
        <w:pStyle w:val="BodyText"/>
        <w:ind w:left="810" w:hanging="810"/>
      </w:pPr>
      <w:r w:rsidRPr="00771210">
        <w:rPr>
          <w:rStyle w:val="Italic"/>
          <w:rFonts w:asciiTheme="minorHAnsi" w:hAnsiTheme="minorHAnsi"/>
          <w:iCs/>
        </w:rPr>
        <w:t>n</w:t>
      </w:r>
      <w:r w:rsidRPr="00771210">
        <w:rPr>
          <w:rStyle w:val="Italic"/>
          <w:rFonts w:asciiTheme="minorHAnsi" w:hAnsiTheme="minorHAnsi"/>
          <w:iCs/>
          <w:vertAlign w:val="subscript"/>
        </w:rPr>
        <w:t>hjm</w:t>
      </w:r>
      <w:r>
        <w:rPr>
          <w:rStyle w:val="Italic"/>
          <w:rFonts w:asciiTheme="minorHAnsi" w:hAnsiTheme="minorHAnsi"/>
          <w:iCs/>
          <w:vertAlign w:val="subscript"/>
        </w:rPr>
        <w:t xml:space="preserve"> </w:t>
      </w:r>
      <w:r w:rsidRPr="00771210">
        <w:t>=</w:t>
      </w:r>
      <w:r>
        <w:t xml:space="preserve"> </w:t>
      </w:r>
      <w:r w:rsidRPr="00771210">
        <w:t>the number of times the hth hour of day within the jth day of week during the mth month has available traffic volume (n</w:t>
      </w:r>
      <w:r w:rsidRPr="00771210">
        <w:rPr>
          <w:vertAlign w:val="subscript"/>
        </w:rPr>
        <w:t>hjm</w:t>
      </w:r>
      <w:r w:rsidRPr="00771210">
        <w:t xml:space="preserve"> ranges from 1 to 5 depending on hour of day, day of week, month, and data availability)</w:t>
      </w:r>
    </w:p>
    <w:p w14:paraId="0F461533" w14:textId="77777777" w:rsidR="003F7B9F" w:rsidRPr="00771210" w:rsidRDefault="003F7B9F" w:rsidP="00C57347">
      <w:pPr>
        <w:pStyle w:val="BodyText"/>
        <w:ind w:left="810" w:hanging="810"/>
      </w:pPr>
      <w:r w:rsidRPr="00771210">
        <w:rPr>
          <w:rStyle w:val="Italic"/>
          <w:rFonts w:asciiTheme="minorHAnsi" w:hAnsiTheme="minorHAnsi"/>
          <w:iCs/>
        </w:rPr>
        <w:t>w</w:t>
      </w:r>
      <w:r w:rsidRPr="00771210">
        <w:rPr>
          <w:rStyle w:val="Italic"/>
          <w:rFonts w:asciiTheme="minorHAnsi" w:hAnsiTheme="minorHAnsi"/>
          <w:iCs/>
          <w:vertAlign w:val="subscript"/>
        </w:rPr>
        <w:t>jm</w:t>
      </w:r>
      <w:r>
        <w:t xml:space="preserve"> </w:t>
      </w:r>
      <w:r w:rsidRPr="00771210">
        <w:t>=</w:t>
      </w:r>
      <w:r>
        <w:t xml:space="preserve"> </w:t>
      </w:r>
      <w:r w:rsidRPr="00771210">
        <w:t>the weighting for the number of times the jth day of week occurs during the mth month (either 4 of 5); the sum of the weights in the denominator is the number of calendar days in the month (i.e., 28, 29, 30, or 31)</w:t>
      </w:r>
    </w:p>
    <w:p w14:paraId="0EA7EF7E" w14:textId="77777777" w:rsidR="003F7B9F" w:rsidRPr="00771210" w:rsidRDefault="003F7B9F" w:rsidP="00C57347">
      <w:pPr>
        <w:pStyle w:val="BodyText"/>
        <w:ind w:left="810" w:hanging="810"/>
      </w:pPr>
      <w:r w:rsidRPr="00771210">
        <w:rPr>
          <w:rStyle w:val="Italic"/>
          <w:rFonts w:asciiTheme="minorHAnsi" w:hAnsiTheme="minorHAnsi"/>
          <w:iCs/>
        </w:rPr>
        <w:t>d</w:t>
      </w:r>
      <w:r w:rsidRPr="00771210">
        <w:rPr>
          <w:rStyle w:val="Italic"/>
          <w:rFonts w:asciiTheme="minorHAnsi" w:hAnsiTheme="minorHAnsi"/>
          <w:iCs/>
          <w:vertAlign w:val="subscript"/>
        </w:rPr>
        <w:t>m</w:t>
      </w:r>
      <w:r>
        <w:t xml:space="preserve"> </w:t>
      </w:r>
      <w:r w:rsidRPr="00771210">
        <w:t>=</w:t>
      </w:r>
      <w:r>
        <w:t xml:space="preserve"> </w:t>
      </w:r>
      <w:r w:rsidRPr="00771210">
        <w:t xml:space="preserve">the weighting for the number of days (i.e., 28, 29, 30, or 31) for the </w:t>
      </w:r>
      <w:r w:rsidRPr="00E01952">
        <w:rPr>
          <w:i/>
          <w:iCs/>
        </w:rPr>
        <w:t>m</w:t>
      </w:r>
      <w:r w:rsidRPr="00771210">
        <w:t>th month in the particular year</w:t>
      </w:r>
    </w:p>
    <w:p w14:paraId="725D438B" w14:textId="31CACE78" w:rsidR="003F7B9F" w:rsidRDefault="003F7B9F" w:rsidP="00517F7A">
      <w:pPr>
        <w:tabs>
          <w:tab w:val="left" w:pos="180"/>
        </w:tabs>
      </w:pPr>
      <w:bookmarkStart w:id="2606" w:name="_Hlk46136897"/>
      <w:bookmarkEnd w:id="2605"/>
    </w:p>
    <w:p w14:paraId="41D8CB93" w14:textId="2524F342" w:rsidR="00740995" w:rsidRDefault="00740995" w:rsidP="000F2A7A">
      <w:pPr>
        <w:pStyle w:val="TMGTableCaption"/>
      </w:pPr>
      <w:bookmarkStart w:id="2607" w:name="_Toc114474837"/>
      <w:bookmarkStart w:id="2608" w:name="_Toc120631143"/>
      <w:r>
        <w:lastRenderedPageBreak/>
        <w:t xml:space="preserve">Table </w:t>
      </w:r>
      <w:fldSimple w:instr=" STYLEREF 1 \s ">
        <w:r w:rsidR="00C07DF9">
          <w:rPr>
            <w:noProof/>
          </w:rPr>
          <w:t>3</w:t>
        </w:r>
      </w:fldSimple>
      <w:r w:rsidR="00FE5355">
        <w:noBreakHyphen/>
      </w:r>
      <w:fldSimple w:instr=" SEQ Table \* ARABIC \s 1 ">
        <w:r w:rsidR="00C07DF9">
          <w:rPr>
            <w:noProof/>
          </w:rPr>
          <w:t>17</w:t>
        </w:r>
      </w:fldSimple>
      <w:r w:rsidR="00627DD7">
        <w:t>.</w:t>
      </w:r>
      <w:r>
        <w:t xml:space="preserve"> Example </w:t>
      </w:r>
      <w:r w:rsidR="00627DD7">
        <w:t>A</w:t>
      </w:r>
      <w:r>
        <w:t xml:space="preserve">bbreviated </w:t>
      </w:r>
      <w:r w:rsidR="00627DD7">
        <w:t>D</w:t>
      </w:r>
      <w:r>
        <w:t>ataset (</w:t>
      </w:r>
      <w:r w:rsidR="00627DD7">
        <w:t>S</w:t>
      </w:r>
      <w:r>
        <w:t xml:space="preserve">elected </w:t>
      </w:r>
      <w:r w:rsidR="00627DD7">
        <w:t>H</w:t>
      </w:r>
      <w:r>
        <w:t xml:space="preserve">ours) </w:t>
      </w:r>
      <w:r w:rsidR="00627DD7">
        <w:t>S</w:t>
      </w:r>
      <w:r>
        <w:t xml:space="preserve">howing </w:t>
      </w:r>
      <w:r w:rsidR="00627DD7">
        <w:t>P</w:t>
      </w:r>
      <w:r>
        <w:t xml:space="preserve">artial-day </w:t>
      </w:r>
      <w:r w:rsidR="00627DD7">
        <w:t>C</w:t>
      </w:r>
      <w:r>
        <w:t>ounts</w:t>
      </w:r>
      <w:bookmarkEnd w:id="2607"/>
      <w:bookmarkEnd w:id="2608"/>
      <w:r>
        <w:t xml:space="preserve"> </w:t>
      </w:r>
    </w:p>
    <w:tbl>
      <w:tblPr>
        <w:tblStyle w:val="TableGrid"/>
        <w:tblW w:w="9360" w:type="dxa"/>
        <w:jc w:val="center"/>
        <w:tblLook w:val="04A0" w:firstRow="1" w:lastRow="0" w:firstColumn="1" w:lastColumn="0" w:noHBand="0" w:noVBand="1"/>
      </w:tblPr>
      <w:tblGrid>
        <w:gridCol w:w="1588"/>
        <w:gridCol w:w="706"/>
        <w:gridCol w:w="707"/>
        <w:gridCol w:w="706"/>
        <w:gridCol w:w="707"/>
        <w:gridCol w:w="706"/>
        <w:gridCol w:w="707"/>
        <w:gridCol w:w="706"/>
        <w:gridCol w:w="707"/>
        <w:gridCol w:w="706"/>
        <w:gridCol w:w="707"/>
        <w:gridCol w:w="707"/>
      </w:tblGrid>
      <w:tr w:rsidR="006D189E" w:rsidRPr="0060053A" w14:paraId="70340BE3" w14:textId="5C04B49B" w:rsidTr="006D189E">
        <w:trPr>
          <w:tblHeader/>
          <w:jc w:val="center"/>
        </w:trPr>
        <w:tc>
          <w:tcPr>
            <w:tcW w:w="1588" w:type="dxa"/>
            <w:tcBorders>
              <w:right w:val="single" w:sz="4" w:space="0" w:color="FFFFFF" w:themeColor="background1"/>
            </w:tcBorders>
            <w:shd w:val="clear" w:color="auto" w:fill="1F3864"/>
          </w:tcPr>
          <w:p w14:paraId="2159B943" w14:textId="6C187C2B" w:rsidR="002F3C52" w:rsidRPr="0060053A" w:rsidRDefault="002F3C52" w:rsidP="00277580">
            <w:pPr>
              <w:tabs>
                <w:tab w:val="left" w:pos="180"/>
              </w:tabs>
              <w:spacing w:before="20" w:after="20"/>
              <w:ind w:left="0"/>
              <w:jc w:val="center"/>
              <w:rPr>
                <w:b/>
                <w:bCs/>
                <w:color w:val="FFFFFF" w:themeColor="background1"/>
              </w:rPr>
            </w:pPr>
            <w:r w:rsidRPr="0060053A">
              <w:rPr>
                <w:b/>
                <w:bCs/>
                <w:color w:val="FFFFFF" w:themeColor="background1"/>
              </w:rPr>
              <w:t>Day</w:t>
            </w:r>
          </w:p>
        </w:tc>
        <w:tc>
          <w:tcPr>
            <w:tcW w:w="706" w:type="dxa"/>
            <w:tcBorders>
              <w:left w:val="single" w:sz="4" w:space="0" w:color="FFFFFF" w:themeColor="background1"/>
              <w:right w:val="single" w:sz="4" w:space="0" w:color="FFFFFF" w:themeColor="background1"/>
            </w:tcBorders>
            <w:shd w:val="clear" w:color="auto" w:fill="1F3864"/>
          </w:tcPr>
          <w:p w14:paraId="0A24F6DE" w14:textId="3B6F625A" w:rsidR="002F3C52" w:rsidRPr="0060053A" w:rsidRDefault="002F3C52" w:rsidP="00277580">
            <w:pPr>
              <w:tabs>
                <w:tab w:val="left" w:pos="180"/>
              </w:tabs>
              <w:spacing w:before="20" w:after="20"/>
              <w:ind w:left="0"/>
              <w:jc w:val="center"/>
              <w:rPr>
                <w:b/>
                <w:bCs/>
                <w:color w:val="FFFFFF" w:themeColor="background1"/>
              </w:rPr>
            </w:pPr>
            <w:r w:rsidRPr="0060053A">
              <w:rPr>
                <w:b/>
                <w:bCs/>
                <w:color w:val="FFFFFF" w:themeColor="background1"/>
              </w:rPr>
              <w:t>DOW</w:t>
            </w:r>
          </w:p>
        </w:tc>
        <w:tc>
          <w:tcPr>
            <w:tcW w:w="707" w:type="dxa"/>
            <w:tcBorders>
              <w:left w:val="single" w:sz="4" w:space="0" w:color="FFFFFF" w:themeColor="background1"/>
              <w:right w:val="single" w:sz="4" w:space="0" w:color="FFFFFF" w:themeColor="background1"/>
            </w:tcBorders>
            <w:shd w:val="clear" w:color="auto" w:fill="1F3864"/>
          </w:tcPr>
          <w:p w14:paraId="471F469D" w14:textId="6A0BE939" w:rsidR="002F3C52" w:rsidRPr="0060053A" w:rsidRDefault="002F3C52" w:rsidP="00277580">
            <w:pPr>
              <w:tabs>
                <w:tab w:val="left" w:pos="180"/>
              </w:tabs>
              <w:spacing w:before="20" w:after="20"/>
              <w:ind w:left="0"/>
              <w:jc w:val="center"/>
              <w:rPr>
                <w:b/>
                <w:bCs/>
                <w:color w:val="FFFFFF" w:themeColor="background1"/>
              </w:rPr>
            </w:pPr>
            <w:r w:rsidRPr="0060053A">
              <w:rPr>
                <w:b/>
                <w:bCs/>
                <w:color w:val="FFFFFF" w:themeColor="background1"/>
              </w:rPr>
              <w:t>HR 0</w:t>
            </w:r>
          </w:p>
        </w:tc>
        <w:tc>
          <w:tcPr>
            <w:tcW w:w="706" w:type="dxa"/>
            <w:tcBorders>
              <w:left w:val="single" w:sz="4" w:space="0" w:color="FFFFFF" w:themeColor="background1"/>
              <w:right w:val="single" w:sz="4" w:space="0" w:color="FFFFFF" w:themeColor="background1"/>
            </w:tcBorders>
            <w:shd w:val="clear" w:color="auto" w:fill="1F3864"/>
          </w:tcPr>
          <w:p w14:paraId="15E4D612" w14:textId="730E70B7" w:rsidR="002F3C52" w:rsidRPr="0060053A" w:rsidRDefault="002F3C52" w:rsidP="00277580">
            <w:pPr>
              <w:tabs>
                <w:tab w:val="left" w:pos="180"/>
              </w:tabs>
              <w:spacing w:before="20" w:after="20"/>
              <w:ind w:left="0"/>
              <w:jc w:val="center"/>
              <w:rPr>
                <w:b/>
                <w:bCs/>
                <w:color w:val="FFFFFF" w:themeColor="background1"/>
              </w:rPr>
            </w:pPr>
            <w:r w:rsidRPr="0060053A">
              <w:rPr>
                <w:b/>
                <w:bCs/>
                <w:color w:val="FFFFFF" w:themeColor="background1"/>
              </w:rPr>
              <w:t>HR 1</w:t>
            </w:r>
          </w:p>
        </w:tc>
        <w:tc>
          <w:tcPr>
            <w:tcW w:w="707" w:type="dxa"/>
            <w:tcBorders>
              <w:left w:val="single" w:sz="4" w:space="0" w:color="FFFFFF" w:themeColor="background1"/>
              <w:right w:val="single" w:sz="4" w:space="0" w:color="FFFFFF" w:themeColor="background1"/>
            </w:tcBorders>
            <w:shd w:val="clear" w:color="auto" w:fill="1F3864"/>
          </w:tcPr>
          <w:p w14:paraId="06F52CA3" w14:textId="26B25156" w:rsidR="002F3C52" w:rsidRPr="0060053A" w:rsidRDefault="002F3C52" w:rsidP="00277580">
            <w:pPr>
              <w:tabs>
                <w:tab w:val="left" w:pos="180"/>
              </w:tabs>
              <w:spacing w:before="20" w:after="20"/>
              <w:ind w:left="0"/>
              <w:jc w:val="center"/>
              <w:rPr>
                <w:b/>
                <w:bCs/>
                <w:color w:val="FFFFFF" w:themeColor="background1"/>
              </w:rPr>
            </w:pPr>
            <w:r w:rsidRPr="0060053A">
              <w:rPr>
                <w:b/>
                <w:bCs/>
                <w:color w:val="FFFFFF" w:themeColor="background1"/>
              </w:rPr>
              <w:t>HR 2</w:t>
            </w:r>
          </w:p>
        </w:tc>
        <w:tc>
          <w:tcPr>
            <w:tcW w:w="706" w:type="dxa"/>
            <w:tcBorders>
              <w:left w:val="single" w:sz="4" w:space="0" w:color="FFFFFF" w:themeColor="background1"/>
              <w:right w:val="single" w:sz="4" w:space="0" w:color="FFFFFF" w:themeColor="background1"/>
            </w:tcBorders>
            <w:shd w:val="clear" w:color="auto" w:fill="1F3864"/>
          </w:tcPr>
          <w:p w14:paraId="06BE1042" w14:textId="07FC8346" w:rsidR="002F3C52" w:rsidRPr="0060053A" w:rsidRDefault="002F3C52" w:rsidP="00277580">
            <w:pPr>
              <w:tabs>
                <w:tab w:val="left" w:pos="180"/>
              </w:tabs>
              <w:spacing w:before="20" w:after="20"/>
              <w:ind w:left="0"/>
              <w:jc w:val="center"/>
              <w:rPr>
                <w:b/>
                <w:bCs/>
                <w:color w:val="FFFFFF" w:themeColor="background1"/>
              </w:rPr>
            </w:pPr>
            <w:r w:rsidRPr="0060053A">
              <w:rPr>
                <w:b/>
                <w:bCs/>
                <w:color w:val="FFFFFF" w:themeColor="background1"/>
              </w:rPr>
              <w:t>HR 3</w:t>
            </w:r>
          </w:p>
        </w:tc>
        <w:tc>
          <w:tcPr>
            <w:tcW w:w="707" w:type="dxa"/>
            <w:tcBorders>
              <w:left w:val="single" w:sz="4" w:space="0" w:color="FFFFFF" w:themeColor="background1"/>
              <w:right w:val="single" w:sz="4" w:space="0" w:color="FFFFFF" w:themeColor="background1"/>
            </w:tcBorders>
            <w:shd w:val="clear" w:color="auto" w:fill="1F3864"/>
          </w:tcPr>
          <w:p w14:paraId="44825971" w14:textId="7573BC3C" w:rsidR="002F3C52" w:rsidRPr="0060053A" w:rsidRDefault="002F3C52" w:rsidP="00277580">
            <w:pPr>
              <w:tabs>
                <w:tab w:val="left" w:pos="180"/>
              </w:tabs>
              <w:spacing w:before="20" w:after="20"/>
              <w:ind w:left="0"/>
              <w:jc w:val="center"/>
              <w:rPr>
                <w:b/>
                <w:bCs/>
                <w:color w:val="FFFFFF" w:themeColor="background1"/>
              </w:rPr>
            </w:pPr>
            <w:r w:rsidRPr="0060053A">
              <w:rPr>
                <w:b/>
                <w:bCs/>
                <w:color w:val="FFFFFF" w:themeColor="background1"/>
              </w:rPr>
              <w:t>HR 4</w:t>
            </w:r>
          </w:p>
        </w:tc>
        <w:tc>
          <w:tcPr>
            <w:tcW w:w="706" w:type="dxa"/>
            <w:tcBorders>
              <w:left w:val="single" w:sz="4" w:space="0" w:color="FFFFFF" w:themeColor="background1"/>
              <w:right w:val="single" w:sz="4" w:space="0" w:color="FFFFFF" w:themeColor="background1"/>
            </w:tcBorders>
            <w:shd w:val="clear" w:color="auto" w:fill="1F3864"/>
          </w:tcPr>
          <w:p w14:paraId="57AE16FF" w14:textId="04290C58" w:rsidR="002F3C52" w:rsidRPr="0060053A" w:rsidRDefault="002F3C52" w:rsidP="00277580">
            <w:pPr>
              <w:tabs>
                <w:tab w:val="left" w:pos="180"/>
              </w:tabs>
              <w:spacing w:before="20" w:after="20"/>
              <w:ind w:left="0"/>
              <w:jc w:val="center"/>
              <w:rPr>
                <w:b/>
                <w:bCs/>
                <w:color w:val="FFFFFF" w:themeColor="background1"/>
              </w:rPr>
            </w:pPr>
            <w:r w:rsidRPr="0060053A">
              <w:rPr>
                <w:b/>
                <w:bCs/>
                <w:color w:val="FFFFFF" w:themeColor="background1"/>
              </w:rPr>
              <w:t>HR 5</w:t>
            </w:r>
          </w:p>
        </w:tc>
        <w:tc>
          <w:tcPr>
            <w:tcW w:w="707" w:type="dxa"/>
            <w:tcBorders>
              <w:left w:val="single" w:sz="4" w:space="0" w:color="FFFFFF" w:themeColor="background1"/>
              <w:right w:val="single" w:sz="4" w:space="0" w:color="FFFFFF" w:themeColor="background1"/>
            </w:tcBorders>
            <w:shd w:val="clear" w:color="auto" w:fill="1F3864"/>
          </w:tcPr>
          <w:p w14:paraId="4CB51166" w14:textId="035C54EC" w:rsidR="002F3C52" w:rsidRPr="0060053A" w:rsidRDefault="002F3C52" w:rsidP="00277580">
            <w:pPr>
              <w:tabs>
                <w:tab w:val="left" w:pos="180"/>
              </w:tabs>
              <w:spacing w:before="20" w:after="20"/>
              <w:ind w:left="0"/>
              <w:jc w:val="center"/>
              <w:rPr>
                <w:b/>
                <w:bCs/>
                <w:color w:val="FFFFFF" w:themeColor="background1"/>
              </w:rPr>
            </w:pPr>
            <w:r w:rsidRPr="0060053A">
              <w:rPr>
                <w:b/>
                <w:bCs/>
                <w:color w:val="FFFFFF" w:themeColor="background1"/>
              </w:rPr>
              <w:t>HR 6</w:t>
            </w:r>
          </w:p>
        </w:tc>
        <w:tc>
          <w:tcPr>
            <w:tcW w:w="706" w:type="dxa"/>
            <w:tcBorders>
              <w:left w:val="single" w:sz="4" w:space="0" w:color="FFFFFF" w:themeColor="background1"/>
              <w:right w:val="single" w:sz="4" w:space="0" w:color="FFFFFF" w:themeColor="background1"/>
            </w:tcBorders>
            <w:shd w:val="clear" w:color="auto" w:fill="1F3864"/>
          </w:tcPr>
          <w:p w14:paraId="59694AF2" w14:textId="6783A371" w:rsidR="002F3C52" w:rsidRPr="0060053A" w:rsidRDefault="002F3C52" w:rsidP="00277580">
            <w:pPr>
              <w:tabs>
                <w:tab w:val="left" w:pos="180"/>
              </w:tabs>
              <w:spacing w:before="20" w:after="20"/>
              <w:ind w:left="0"/>
              <w:jc w:val="center"/>
              <w:rPr>
                <w:b/>
                <w:bCs/>
                <w:color w:val="FFFFFF" w:themeColor="background1"/>
              </w:rPr>
            </w:pPr>
            <w:r w:rsidRPr="0060053A">
              <w:rPr>
                <w:b/>
                <w:bCs/>
                <w:color w:val="FFFFFF" w:themeColor="background1"/>
              </w:rPr>
              <w:t>HR 7</w:t>
            </w:r>
          </w:p>
        </w:tc>
        <w:tc>
          <w:tcPr>
            <w:tcW w:w="707" w:type="dxa"/>
            <w:tcBorders>
              <w:left w:val="single" w:sz="4" w:space="0" w:color="FFFFFF" w:themeColor="background1"/>
              <w:right w:val="single" w:sz="4" w:space="0" w:color="FFFFFF" w:themeColor="background1"/>
            </w:tcBorders>
            <w:shd w:val="clear" w:color="auto" w:fill="1F3864"/>
          </w:tcPr>
          <w:p w14:paraId="376D1E66" w14:textId="508680E1" w:rsidR="002F3C52" w:rsidRPr="0060053A" w:rsidRDefault="002F3C52" w:rsidP="00277580">
            <w:pPr>
              <w:tabs>
                <w:tab w:val="left" w:pos="180"/>
              </w:tabs>
              <w:spacing w:before="20" w:after="20"/>
              <w:ind w:left="0"/>
              <w:jc w:val="center"/>
              <w:rPr>
                <w:b/>
                <w:bCs/>
                <w:color w:val="FFFFFF" w:themeColor="background1"/>
              </w:rPr>
            </w:pPr>
            <w:r w:rsidRPr="0060053A">
              <w:rPr>
                <w:b/>
                <w:bCs/>
                <w:color w:val="FFFFFF" w:themeColor="background1"/>
              </w:rPr>
              <w:t>HR 8</w:t>
            </w:r>
          </w:p>
        </w:tc>
        <w:tc>
          <w:tcPr>
            <w:tcW w:w="707" w:type="dxa"/>
            <w:tcBorders>
              <w:left w:val="single" w:sz="4" w:space="0" w:color="FFFFFF" w:themeColor="background1"/>
            </w:tcBorders>
            <w:shd w:val="clear" w:color="auto" w:fill="1F3864"/>
          </w:tcPr>
          <w:p w14:paraId="3B917719" w14:textId="6474F93E" w:rsidR="002F3C52" w:rsidRPr="0060053A" w:rsidRDefault="002F3C52" w:rsidP="00277580">
            <w:pPr>
              <w:tabs>
                <w:tab w:val="left" w:pos="180"/>
              </w:tabs>
              <w:spacing w:before="20" w:after="20"/>
              <w:ind w:left="0"/>
              <w:jc w:val="center"/>
              <w:rPr>
                <w:b/>
                <w:bCs/>
                <w:color w:val="FFFFFF" w:themeColor="background1"/>
              </w:rPr>
            </w:pPr>
            <w:r w:rsidRPr="0060053A">
              <w:rPr>
                <w:b/>
                <w:bCs/>
                <w:color w:val="FFFFFF" w:themeColor="background1"/>
              </w:rPr>
              <w:t>HR 9</w:t>
            </w:r>
          </w:p>
        </w:tc>
      </w:tr>
      <w:tr w:rsidR="002F3C52" w:rsidRPr="0060053A" w14:paraId="179B0E72" w14:textId="5692DD49" w:rsidTr="006D189E">
        <w:trPr>
          <w:jc w:val="center"/>
        </w:trPr>
        <w:tc>
          <w:tcPr>
            <w:tcW w:w="1588" w:type="dxa"/>
          </w:tcPr>
          <w:p w14:paraId="17B905B1" w14:textId="768AA2BA" w:rsidR="002F3C52" w:rsidRPr="0060053A" w:rsidRDefault="002F3C52" w:rsidP="00277580">
            <w:pPr>
              <w:tabs>
                <w:tab w:val="left" w:pos="180"/>
              </w:tabs>
              <w:spacing w:before="20" w:after="20"/>
              <w:ind w:left="0" w:right="553"/>
              <w:jc w:val="right"/>
            </w:pPr>
            <w:r w:rsidRPr="0060053A">
              <w:t>1</w:t>
            </w:r>
          </w:p>
        </w:tc>
        <w:tc>
          <w:tcPr>
            <w:tcW w:w="706" w:type="dxa"/>
          </w:tcPr>
          <w:p w14:paraId="301C2574" w14:textId="53B99939" w:rsidR="002F3C52" w:rsidRPr="0060053A" w:rsidRDefault="002F3C52" w:rsidP="00277580">
            <w:pPr>
              <w:tabs>
                <w:tab w:val="left" w:pos="180"/>
              </w:tabs>
              <w:spacing w:before="20" w:after="20"/>
              <w:ind w:left="0"/>
              <w:jc w:val="center"/>
              <w:rPr>
                <w:b/>
                <w:bCs/>
              </w:rPr>
            </w:pPr>
            <w:r w:rsidRPr="0060053A">
              <w:rPr>
                <w:b/>
                <w:bCs/>
              </w:rPr>
              <w:t>Tue</w:t>
            </w:r>
          </w:p>
        </w:tc>
        <w:tc>
          <w:tcPr>
            <w:tcW w:w="707" w:type="dxa"/>
          </w:tcPr>
          <w:p w14:paraId="42D597ED" w14:textId="0BD04DC4" w:rsidR="002F3C52" w:rsidRPr="0060053A" w:rsidRDefault="002F3C52" w:rsidP="00043458">
            <w:pPr>
              <w:tabs>
                <w:tab w:val="left" w:pos="180"/>
              </w:tabs>
              <w:spacing w:before="20" w:after="20"/>
              <w:ind w:left="0"/>
              <w:jc w:val="right"/>
            </w:pPr>
            <w:r w:rsidRPr="0060053A">
              <w:t>78</w:t>
            </w:r>
          </w:p>
        </w:tc>
        <w:tc>
          <w:tcPr>
            <w:tcW w:w="706" w:type="dxa"/>
          </w:tcPr>
          <w:p w14:paraId="17322F33" w14:textId="3D696263" w:rsidR="002F3C52" w:rsidRPr="0060053A" w:rsidRDefault="002F3C52" w:rsidP="00043458">
            <w:pPr>
              <w:tabs>
                <w:tab w:val="left" w:pos="180"/>
              </w:tabs>
              <w:spacing w:before="20" w:after="20"/>
              <w:ind w:left="0"/>
              <w:jc w:val="right"/>
            </w:pPr>
            <w:r w:rsidRPr="0060053A">
              <w:t>35</w:t>
            </w:r>
          </w:p>
        </w:tc>
        <w:tc>
          <w:tcPr>
            <w:tcW w:w="707" w:type="dxa"/>
          </w:tcPr>
          <w:p w14:paraId="7B4971AB" w14:textId="6FA83DDB" w:rsidR="002F3C52" w:rsidRPr="0060053A" w:rsidRDefault="002F3C52" w:rsidP="00043458">
            <w:pPr>
              <w:tabs>
                <w:tab w:val="left" w:pos="180"/>
              </w:tabs>
              <w:spacing w:before="20" w:after="20"/>
              <w:ind w:left="0"/>
              <w:jc w:val="right"/>
            </w:pPr>
            <w:r w:rsidRPr="0060053A">
              <w:t>37</w:t>
            </w:r>
          </w:p>
        </w:tc>
        <w:tc>
          <w:tcPr>
            <w:tcW w:w="706" w:type="dxa"/>
          </w:tcPr>
          <w:p w14:paraId="4B9AAB86" w14:textId="29FBC7C4" w:rsidR="002F3C52" w:rsidRPr="0060053A" w:rsidRDefault="002F3C52" w:rsidP="00043458">
            <w:pPr>
              <w:tabs>
                <w:tab w:val="left" w:pos="180"/>
              </w:tabs>
              <w:spacing w:before="20" w:after="20"/>
              <w:ind w:left="0"/>
              <w:jc w:val="right"/>
            </w:pPr>
            <w:r w:rsidRPr="0060053A">
              <w:t>70</w:t>
            </w:r>
          </w:p>
        </w:tc>
        <w:tc>
          <w:tcPr>
            <w:tcW w:w="707" w:type="dxa"/>
          </w:tcPr>
          <w:p w14:paraId="07B31E02" w14:textId="42E54BCB" w:rsidR="002F3C52" w:rsidRPr="0060053A" w:rsidRDefault="002F3C52" w:rsidP="00043458">
            <w:pPr>
              <w:tabs>
                <w:tab w:val="left" w:pos="180"/>
              </w:tabs>
              <w:spacing w:before="20" w:after="20"/>
              <w:ind w:left="0"/>
              <w:jc w:val="right"/>
            </w:pPr>
            <w:r w:rsidRPr="0060053A">
              <w:t>180</w:t>
            </w:r>
          </w:p>
        </w:tc>
        <w:tc>
          <w:tcPr>
            <w:tcW w:w="706" w:type="dxa"/>
          </w:tcPr>
          <w:p w14:paraId="7D92DC88" w14:textId="4B6CE450" w:rsidR="002F3C52" w:rsidRPr="0060053A" w:rsidRDefault="002F3C52" w:rsidP="00043458">
            <w:pPr>
              <w:tabs>
                <w:tab w:val="left" w:pos="180"/>
              </w:tabs>
              <w:spacing w:before="20" w:after="20"/>
              <w:ind w:left="0"/>
              <w:jc w:val="right"/>
            </w:pPr>
            <w:r w:rsidRPr="0060053A">
              <w:t>512</w:t>
            </w:r>
          </w:p>
        </w:tc>
        <w:tc>
          <w:tcPr>
            <w:tcW w:w="707" w:type="dxa"/>
          </w:tcPr>
          <w:p w14:paraId="06235B40" w14:textId="0CC1DB12" w:rsidR="002F3C52" w:rsidRPr="0060053A" w:rsidRDefault="002F3C52" w:rsidP="00043458">
            <w:pPr>
              <w:tabs>
                <w:tab w:val="left" w:pos="180"/>
              </w:tabs>
              <w:spacing w:before="20" w:after="20"/>
              <w:ind w:left="0"/>
              <w:jc w:val="right"/>
            </w:pPr>
            <w:r w:rsidRPr="0060053A">
              <w:t>599</w:t>
            </w:r>
          </w:p>
        </w:tc>
        <w:tc>
          <w:tcPr>
            <w:tcW w:w="706" w:type="dxa"/>
          </w:tcPr>
          <w:p w14:paraId="157053E2" w14:textId="1AF4371D" w:rsidR="002F3C52" w:rsidRPr="0060053A" w:rsidRDefault="002F3C52" w:rsidP="00043458">
            <w:pPr>
              <w:tabs>
                <w:tab w:val="left" w:pos="180"/>
              </w:tabs>
              <w:spacing w:before="20" w:after="20"/>
              <w:ind w:left="0"/>
              <w:jc w:val="right"/>
            </w:pPr>
            <w:r w:rsidRPr="0060053A">
              <w:t>620</w:t>
            </w:r>
          </w:p>
        </w:tc>
        <w:tc>
          <w:tcPr>
            <w:tcW w:w="707" w:type="dxa"/>
          </w:tcPr>
          <w:p w14:paraId="114ED055" w14:textId="61B0D6A7" w:rsidR="002F3C52" w:rsidRPr="0060053A" w:rsidRDefault="002F3C52" w:rsidP="00043458">
            <w:pPr>
              <w:tabs>
                <w:tab w:val="left" w:pos="180"/>
              </w:tabs>
              <w:spacing w:before="20" w:after="20"/>
              <w:ind w:left="0"/>
              <w:jc w:val="right"/>
            </w:pPr>
            <w:r w:rsidRPr="0060053A">
              <w:t>624</w:t>
            </w:r>
          </w:p>
        </w:tc>
        <w:tc>
          <w:tcPr>
            <w:tcW w:w="707" w:type="dxa"/>
          </w:tcPr>
          <w:p w14:paraId="5B40263D" w14:textId="0579B507" w:rsidR="002F3C52" w:rsidRPr="0060053A" w:rsidRDefault="002F3C52" w:rsidP="00043458">
            <w:pPr>
              <w:tabs>
                <w:tab w:val="left" w:pos="180"/>
              </w:tabs>
              <w:spacing w:before="20" w:after="20"/>
              <w:ind w:left="0"/>
              <w:jc w:val="right"/>
            </w:pPr>
            <w:r w:rsidRPr="0060053A">
              <w:t>641</w:t>
            </w:r>
          </w:p>
        </w:tc>
      </w:tr>
      <w:tr w:rsidR="002F3C52" w:rsidRPr="0060053A" w14:paraId="379D8A43" w14:textId="4707E181" w:rsidTr="006D189E">
        <w:trPr>
          <w:jc w:val="center"/>
        </w:trPr>
        <w:tc>
          <w:tcPr>
            <w:tcW w:w="1588" w:type="dxa"/>
          </w:tcPr>
          <w:p w14:paraId="3285DC6B" w14:textId="3F91A64B" w:rsidR="002F3C52" w:rsidRPr="0060053A" w:rsidRDefault="002F3C52" w:rsidP="00277580">
            <w:pPr>
              <w:tabs>
                <w:tab w:val="left" w:pos="180"/>
              </w:tabs>
              <w:spacing w:before="20" w:after="20"/>
              <w:ind w:left="0" w:right="553"/>
              <w:jc w:val="right"/>
            </w:pPr>
            <w:r w:rsidRPr="0060053A">
              <w:t>2</w:t>
            </w:r>
          </w:p>
        </w:tc>
        <w:tc>
          <w:tcPr>
            <w:tcW w:w="706" w:type="dxa"/>
          </w:tcPr>
          <w:p w14:paraId="5465C6C4" w14:textId="1D3A2936" w:rsidR="002F3C52" w:rsidRPr="0060053A" w:rsidRDefault="002F3C52" w:rsidP="00277580">
            <w:pPr>
              <w:tabs>
                <w:tab w:val="left" w:pos="180"/>
              </w:tabs>
              <w:spacing w:before="20" w:after="20"/>
              <w:ind w:left="0"/>
              <w:jc w:val="center"/>
              <w:rPr>
                <w:b/>
                <w:bCs/>
              </w:rPr>
            </w:pPr>
            <w:r w:rsidRPr="0060053A">
              <w:rPr>
                <w:b/>
                <w:bCs/>
              </w:rPr>
              <w:t>Wed</w:t>
            </w:r>
          </w:p>
        </w:tc>
        <w:tc>
          <w:tcPr>
            <w:tcW w:w="707" w:type="dxa"/>
          </w:tcPr>
          <w:p w14:paraId="5F873B7F" w14:textId="2A945BCF" w:rsidR="002F3C52" w:rsidRPr="0060053A" w:rsidRDefault="002F3C52" w:rsidP="00043458">
            <w:pPr>
              <w:tabs>
                <w:tab w:val="left" w:pos="180"/>
              </w:tabs>
              <w:spacing w:before="20" w:after="20"/>
              <w:ind w:left="0"/>
              <w:jc w:val="right"/>
            </w:pPr>
            <w:r w:rsidRPr="0060053A">
              <w:t>56</w:t>
            </w:r>
          </w:p>
        </w:tc>
        <w:tc>
          <w:tcPr>
            <w:tcW w:w="706" w:type="dxa"/>
          </w:tcPr>
          <w:p w14:paraId="62025F5C" w14:textId="581063D0" w:rsidR="002F3C52" w:rsidRPr="0060053A" w:rsidRDefault="002F3C52" w:rsidP="00043458">
            <w:pPr>
              <w:tabs>
                <w:tab w:val="left" w:pos="180"/>
              </w:tabs>
              <w:spacing w:before="20" w:after="20"/>
              <w:ind w:left="0"/>
              <w:jc w:val="right"/>
            </w:pPr>
            <w:r w:rsidRPr="0060053A">
              <w:t>38</w:t>
            </w:r>
          </w:p>
        </w:tc>
        <w:tc>
          <w:tcPr>
            <w:tcW w:w="707" w:type="dxa"/>
          </w:tcPr>
          <w:p w14:paraId="10113FAA" w14:textId="1E4E2746" w:rsidR="002F3C52" w:rsidRPr="0060053A" w:rsidRDefault="002F3C52" w:rsidP="00043458">
            <w:pPr>
              <w:tabs>
                <w:tab w:val="left" w:pos="180"/>
              </w:tabs>
              <w:spacing w:before="20" w:after="20"/>
              <w:ind w:left="0"/>
              <w:jc w:val="right"/>
            </w:pPr>
            <w:r w:rsidRPr="0060053A">
              <w:t>33</w:t>
            </w:r>
          </w:p>
        </w:tc>
        <w:tc>
          <w:tcPr>
            <w:tcW w:w="706" w:type="dxa"/>
          </w:tcPr>
          <w:p w14:paraId="00C41E2D" w14:textId="7BC6BABC" w:rsidR="002F3C52" w:rsidRPr="0060053A" w:rsidRDefault="002F3C52" w:rsidP="00043458">
            <w:pPr>
              <w:tabs>
                <w:tab w:val="left" w:pos="180"/>
              </w:tabs>
              <w:spacing w:before="20" w:after="20"/>
              <w:ind w:left="0"/>
              <w:jc w:val="right"/>
            </w:pPr>
            <w:r w:rsidRPr="0060053A">
              <w:t>71</w:t>
            </w:r>
          </w:p>
        </w:tc>
        <w:tc>
          <w:tcPr>
            <w:tcW w:w="707" w:type="dxa"/>
          </w:tcPr>
          <w:p w14:paraId="7EC64769" w14:textId="64912541" w:rsidR="002F3C52" w:rsidRPr="0060053A" w:rsidRDefault="002F3C52" w:rsidP="00043458">
            <w:pPr>
              <w:tabs>
                <w:tab w:val="left" w:pos="180"/>
              </w:tabs>
              <w:spacing w:before="20" w:after="20"/>
              <w:ind w:left="0"/>
              <w:jc w:val="right"/>
            </w:pPr>
            <w:r w:rsidRPr="0060053A">
              <w:t>165</w:t>
            </w:r>
          </w:p>
        </w:tc>
        <w:tc>
          <w:tcPr>
            <w:tcW w:w="706" w:type="dxa"/>
          </w:tcPr>
          <w:p w14:paraId="17AE87A7" w14:textId="0FD3AC5E" w:rsidR="002F3C52" w:rsidRPr="0060053A" w:rsidRDefault="002F3C52" w:rsidP="00043458">
            <w:pPr>
              <w:tabs>
                <w:tab w:val="left" w:pos="180"/>
              </w:tabs>
              <w:spacing w:before="20" w:after="20"/>
              <w:ind w:left="0"/>
              <w:jc w:val="right"/>
            </w:pPr>
            <w:r w:rsidRPr="0060053A">
              <w:t>428</w:t>
            </w:r>
          </w:p>
        </w:tc>
        <w:tc>
          <w:tcPr>
            <w:tcW w:w="707" w:type="dxa"/>
          </w:tcPr>
          <w:p w14:paraId="1D96BE1A" w14:textId="60EBAC7A" w:rsidR="002F3C52" w:rsidRPr="0060053A" w:rsidRDefault="002F3C52" w:rsidP="00043458">
            <w:pPr>
              <w:tabs>
                <w:tab w:val="left" w:pos="180"/>
              </w:tabs>
              <w:spacing w:before="20" w:after="20"/>
              <w:ind w:left="0"/>
              <w:jc w:val="right"/>
            </w:pPr>
            <w:r w:rsidRPr="0060053A">
              <w:t>562</w:t>
            </w:r>
          </w:p>
        </w:tc>
        <w:tc>
          <w:tcPr>
            <w:tcW w:w="706" w:type="dxa"/>
          </w:tcPr>
          <w:p w14:paraId="3B07BA45" w14:textId="70AC1BF2" w:rsidR="002F3C52" w:rsidRPr="0060053A" w:rsidRDefault="002F3C52" w:rsidP="00043458">
            <w:pPr>
              <w:tabs>
                <w:tab w:val="left" w:pos="180"/>
              </w:tabs>
              <w:spacing w:before="20" w:after="20"/>
              <w:ind w:left="0"/>
              <w:jc w:val="right"/>
            </w:pPr>
            <w:r w:rsidRPr="0060053A">
              <w:t>582</w:t>
            </w:r>
          </w:p>
        </w:tc>
        <w:tc>
          <w:tcPr>
            <w:tcW w:w="707" w:type="dxa"/>
          </w:tcPr>
          <w:p w14:paraId="3281C634" w14:textId="51213FD4" w:rsidR="002F3C52" w:rsidRPr="0060053A" w:rsidRDefault="002F3C52" w:rsidP="00043458">
            <w:pPr>
              <w:tabs>
                <w:tab w:val="left" w:pos="180"/>
              </w:tabs>
              <w:spacing w:before="20" w:after="20"/>
              <w:ind w:left="0"/>
              <w:jc w:val="right"/>
            </w:pPr>
            <w:r w:rsidRPr="0060053A">
              <w:t>658</w:t>
            </w:r>
          </w:p>
        </w:tc>
        <w:tc>
          <w:tcPr>
            <w:tcW w:w="707" w:type="dxa"/>
          </w:tcPr>
          <w:p w14:paraId="1462E88F" w14:textId="3D6C8DD6" w:rsidR="002F3C52" w:rsidRPr="0060053A" w:rsidRDefault="002F3C52" w:rsidP="00043458">
            <w:pPr>
              <w:tabs>
                <w:tab w:val="left" w:pos="180"/>
              </w:tabs>
              <w:spacing w:before="20" w:after="20"/>
              <w:ind w:left="0"/>
              <w:jc w:val="right"/>
            </w:pPr>
            <w:r w:rsidRPr="0060053A">
              <w:t>664</w:t>
            </w:r>
          </w:p>
        </w:tc>
      </w:tr>
      <w:tr w:rsidR="002F3C52" w:rsidRPr="0060053A" w14:paraId="584A5283" w14:textId="31806F7F" w:rsidTr="006D189E">
        <w:trPr>
          <w:jc w:val="center"/>
        </w:trPr>
        <w:tc>
          <w:tcPr>
            <w:tcW w:w="1588" w:type="dxa"/>
          </w:tcPr>
          <w:p w14:paraId="31CE1038" w14:textId="51A5544D" w:rsidR="002F3C52" w:rsidRPr="0060053A" w:rsidRDefault="002F3C52" w:rsidP="00277580">
            <w:pPr>
              <w:tabs>
                <w:tab w:val="left" w:pos="180"/>
              </w:tabs>
              <w:spacing w:before="20" w:after="20"/>
              <w:ind w:left="0" w:right="553"/>
              <w:jc w:val="right"/>
            </w:pPr>
            <w:r w:rsidRPr="0060053A">
              <w:t>3</w:t>
            </w:r>
          </w:p>
        </w:tc>
        <w:tc>
          <w:tcPr>
            <w:tcW w:w="706" w:type="dxa"/>
          </w:tcPr>
          <w:p w14:paraId="4951130E" w14:textId="138139B6" w:rsidR="002F3C52" w:rsidRPr="0060053A" w:rsidRDefault="002F3C52" w:rsidP="00277580">
            <w:pPr>
              <w:tabs>
                <w:tab w:val="left" w:pos="180"/>
              </w:tabs>
              <w:spacing w:before="20" w:after="20"/>
              <w:ind w:left="0"/>
              <w:jc w:val="center"/>
              <w:rPr>
                <w:b/>
                <w:bCs/>
              </w:rPr>
            </w:pPr>
            <w:r w:rsidRPr="0060053A">
              <w:rPr>
                <w:b/>
                <w:bCs/>
              </w:rPr>
              <w:t>Thu</w:t>
            </w:r>
          </w:p>
        </w:tc>
        <w:tc>
          <w:tcPr>
            <w:tcW w:w="707" w:type="dxa"/>
          </w:tcPr>
          <w:p w14:paraId="4654CA57" w14:textId="35A4A592" w:rsidR="002F3C52" w:rsidRPr="0060053A" w:rsidRDefault="002F3C52" w:rsidP="00043458">
            <w:pPr>
              <w:tabs>
                <w:tab w:val="left" w:pos="180"/>
              </w:tabs>
              <w:spacing w:before="20" w:after="20"/>
              <w:ind w:left="0"/>
              <w:jc w:val="right"/>
            </w:pPr>
            <w:r w:rsidRPr="0060053A">
              <w:t>50</w:t>
            </w:r>
          </w:p>
        </w:tc>
        <w:tc>
          <w:tcPr>
            <w:tcW w:w="706" w:type="dxa"/>
          </w:tcPr>
          <w:p w14:paraId="3DE345AB" w14:textId="6422D80F" w:rsidR="002F3C52" w:rsidRPr="0060053A" w:rsidRDefault="002F3C52" w:rsidP="00043458">
            <w:pPr>
              <w:tabs>
                <w:tab w:val="left" w:pos="180"/>
              </w:tabs>
              <w:spacing w:before="20" w:after="20"/>
              <w:ind w:left="0"/>
              <w:jc w:val="right"/>
            </w:pPr>
            <w:r w:rsidRPr="0060053A">
              <w:t>39</w:t>
            </w:r>
          </w:p>
        </w:tc>
        <w:tc>
          <w:tcPr>
            <w:tcW w:w="707" w:type="dxa"/>
          </w:tcPr>
          <w:p w14:paraId="52F497B2" w14:textId="2E097676" w:rsidR="002F3C52" w:rsidRPr="0060053A" w:rsidRDefault="002F3C52" w:rsidP="00043458">
            <w:pPr>
              <w:tabs>
                <w:tab w:val="left" w:pos="180"/>
              </w:tabs>
              <w:spacing w:before="20" w:after="20"/>
              <w:ind w:left="0"/>
              <w:jc w:val="right"/>
            </w:pPr>
            <w:r w:rsidRPr="0060053A">
              <w:t>30</w:t>
            </w:r>
          </w:p>
        </w:tc>
        <w:tc>
          <w:tcPr>
            <w:tcW w:w="706" w:type="dxa"/>
          </w:tcPr>
          <w:p w14:paraId="0C6C7B0F" w14:textId="277CB0A1" w:rsidR="002F3C52" w:rsidRPr="0060053A" w:rsidRDefault="002F3C52" w:rsidP="00043458">
            <w:pPr>
              <w:tabs>
                <w:tab w:val="left" w:pos="180"/>
              </w:tabs>
              <w:spacing w:before="20" w:after="20"/>
              <w:ind w:left="0"/>
              <w:jc w:val="right"/>
            </w:pPr>
            <w:r w:rsidRPr="0060053A">
              <w:t>63</w:t>
            </w:r>
          </w:p>
        </w:tc>
        <w:tc>
          <w:tcPr>
            <w:tcW w:w="707" w:type="dxa"/>
          </w:tcPr>
          <w:p w14:paraId="38B99770" w14:textId="4A3D1777" w:rsidR="002F3C52" w:rsidRPr="0060053A" w:rsidRDefault="002F3C52" w:rsidP="00043458">
            <w:pPr>
              <w:tabs>
                <w:tab w:val="left" w:pos="180"/>
              </w:tabs>
              <w:spacing w:before="20" w:after="20"/>
              <w:ind w:left="0"/>
              <w:jc w:val="right"/>
            </w:pPr>
            <w:r w:rsidRPr="0060053A">
              <w:t>174</w:t>
            </w:r>
          </w:p>
        </w:tc>
        <w:tc>
          <w:tcPr>
            <w:tcW w:w="706" w:type="dxa"/>
          </w:tcPr>
          <w:p w14:paraId="42F364E0" w14:textId="50CBEEAF" w:rsidR="002F3C52" w:rsidRPr="0060053A" w:rsidRDefault="002F3C52" w:rsidP="00043458">
            <w:pPr>
              <w:tabs>
                <w:tab w:val="left" w:pos="180"/>
              </w:tabs>
              <w:spacing w:before="20" w:after="20"/>
              <w:ind w:left="0"/>
              <w:jc w:val="right"/>
            </w:pPr>
            <w:r w:rsidRPr="0060053A">
              <w:t>483</w:t>
            </w:r>
          </w:p>
        </w:tc>
        <w:tc>
          <w:tcPr>
            <w:tcW w:w="707" w:type="dxa"/>
          </w:tcPr>
          <w:p w14:paraId="0E71C044" w14:textId="738CBC69" w:rsidR="002F3C52" w:rsidRPr="0060053A" w:rsidRDefault="002F3C52" w:rsidP="00043458">
            <w:pPr>
              <w:tabs>
                <w:tab w:val="left" w:pos="180"/>
              </w:tabs>
              <w:spacing w:before="20" w:after="20"/>
              <w:ind w:left="0"/>
              <w:jc w:val="right"/>
            </w:pPr>
            <w:r w:rsidRPr="0060053A">
              <w:t>596</w:t>
            </w:r>
          </w:p>
        </w:tc>
        <w:tc>
          <w:tcPr>
            <w:tcW w:w="706" w:type="dxa"/>
          </w:tcPr>
          <w:p w14:paraId="3CE9B0D8" w14:textId="2555E156" w:rsidR="002F3C52" w:rsidRPr="0060053A" w:rsidRDefault="002F3C52" w:rsidP="00043458">
            <w:pPr>
              <w:tabs>
                <w:tab w:val="left" w:pos="180"/>
              </w:tabs>
              <w:spacing w:before="20" w:after="20"/>
              <w:ind w:left="0"/>
              <w:jc w:val="right"/>
            </w:pPr>
            <w:r w:rsidRPr="0060053A">
              <w:t>629</w:t>
            </w:r>
          </w:p>
        </w:tc>
        <w:tc>
          <w:tcPr>
            <w:tcW w:w="707" w:type="dxa"/>
          </w:tcPr>
          <w:p w14:paraId="6C321486" w14:textId="31AE2AB8" w:rsidR="002F3C52" w:rsidRPr="0060053A" w:rsidRDefault="002F3C52" w:rsidP="00043458">
            <w:pPr>
              <w:tabs>
                <w:tab w:val="left" w:pos="180"/>
              </w:tabs>
              <w:spacing w:before="20" w:after="20"/>
              <w:ind w:left="0"/>
              <w:jc w:val="right"/>
            </w:pPr>
            <w:r w:rsidRPr="0060053A">
              <w:t>644</w:t>
            </w:r>
          </w:p>
        </w:tc>
        <w:tc>
          <w:tcPr>
            <w:tcW w:w="707" w:type="dxa"/>
          </w:tcPr>
          <w:p w14:paraId="274221CC" w14:textId="1060DE06" w:rsidR="002F3C52" w:rsidRPr="0060053A" w:rsidRDefault="002F3C52" w:rsidP="00043458">
            <w:pPr>
              <w:tabs>
                <w:tab w:val="left" w:pos="180"/>
              </w:tabs>
              <w:spacing w:before="20" w:after="20"/>
              <w:ind w:left="0"/>
              <w:jc w:val="right"/>
            </w:pPr>
            <w:r w:rsidRPr="0060053A">
              <w:t>596</w:t>
            </w:r>
          </w:p>
        </w:tc>
      </w:tr>
      <w:tr w:rsidR="002F3C52" w:rsidRPr="0060053A" w14:paraId="73066D91" w14:textId="2F174D9A" w:rsidTr="006D189E">
        <w:trPr>
          <w:jc w:val="center"/>
        </w:trPr>
        <w:tc>
          <w:tcPr>
            <w:tcW w:w="1588" w:type="dxa"/>
          </w:tcPr>
          <w:p w14:paraId="364C52EB" w14:textId="4E9FEBA2" w:rsidR="002F3C52" w:rsidRPr="0060053A" w:rsidRDefault="002F3C52" w:rsidP="00277580">
            <w:pPr>
              <w:tabs>
                <w:tab w:val="left" w:pos="180"/>
              </w:tabs>
              <w:spacing w:before="20" w:after="20"/>
              <w:ind w:left="0" w:right="553"/>
              <w:jc w:val="right"/>
            </w:pPr>
            <w:r w:rsidRPr="0060053A">
              <w:t>4</w:t>
            </w:r>
          </w:p>
        </w:tc>
        <w:tc>
          <w:tcPr>
            <w:tcW w:w="706" w:type="dxa"/>
          </w:tcPr>
          <w:p w14:paraId="2915C75B" w14:textId="01296F1B" w:rsidR="002F3C52" w:rsidRPr="0060053A" w:rsidRDefault="002F3C52" w:rsidP="00277580">
            <w:pPr>
              <w:tabs>
                <w:tab w:val="left" w:pos="180"/>
              </w:tabs>
              <w:spacing w:before="20" w:after="20"/>
              <w:ind w:left="0"/>
              <w:jc w:val="center"/>
              <w:rPr>
                <w:b/>
                <w:bCs/>
              </w:rPr>
            </w:pPr>
            <w:r w:rsidRPr="0060053A">
              <w:rPr>
                <w:b/>
                <w:bCs/>
              </w:rPr>
              <w:t>Fri</w:t>
            </w:r>
          </w:p>
        </w:tc>
        <w:tc>
          <w:tcPr>
            <w:tcW w:w="707" w:type="dxa"/>
          </w:tcPr>
          <w:p w14:paraId="438DBA8F" w14:textId="393D9778" w:rsidR="002F3C52" w:rsidRPr="0060053A" w:rsidRDefault="00C53DC1" w:rsidP="00043458">
            <w:pPr>
              <w:tabs>
                <w:tab w:val="left" w:pos="180"/>
              </w:tabs>
              <w:spacing w:before="20" w:after="20"/>
              <w:ind w:left="0"/>
              <w:jc w:val="right"/>
            </w:pPr>
            <w:r w:rsidRPr="0060053A">
              <w:t>22</w:t>
            </w:r>
          </w:p>
        </w:tc>
        <w:tc>
          <w:tcPr>
            <w:tcW w:w="706" w:type="dxa"/>
          </w:tcPr>
          <w:p w14:paraId="2F3AEB3F" w14:textId="71BE551E" w:rsidR="002F3C52" w:rsidRPr="0060053A" w:rsidRDefault="00C53DC1" w:rsidP="00043458">
            <w:pPr>
              <w:tabs>
                <w:tab w:val="left" w:pos="180"/>
              </w:tabs>
              <w:spacing w:before="20" w:after="20"/>
              <w:ind w:left="0"/>
              <w:jc w:val="right"/>
            </w:pPr>
            <w:r w:rsidRPr="0060053A">
              <w:t>24</w:t>
            </w:r>
          </w:p>
        </w:tc>
        <w:tc>
          <w:tcPr>
            <w:tcW w:w="707" w:type="dxa"/>
          </w:tcPr>
          <w:p w14:paraId="025FADED" w14:textId="43C301DF" w:rsidR="002F3C52" w:rsidRPr="0060053A" w:rsidRDefault="00C53DC1" w:rsidP="00043458">
            <w:pPr>
              <w:tabs>
                <w:tab w:val="left" w:pos="180"/>
              </w:tabs>
              <w:spacing w:before="20" w:after="20"/>
              <w:ind w:left="0"/>
              <w:jc w:val="right"/>
            </w:pPr>
            <w:r w:rsidRPr="0060053A">
              <w:t>15</w:t>
            </w:r>
          </w:p>
        </w:tc>
        <w:tc>
          <w:tcPr>
            <w:tcW w:w="706" w:type="dxa"/>
          </w:tcPr>
          <w:p w14:paraId="2BA00F00" w14:textId="41BC7316" w:rsidR="002F3C52" w:rsidRPr="0060053A" w:rsidRDefault="00C53DC1" w:rsidP="00043458">
            <w:pPr>
              <w:tabs>
                <w:tab w:val="left" w:pos="180"/>
              </w:tabs>
              <w:spacing w:before="20" w:after="20"/>
              <w:ind w:left="0"/>
              <w:jc w:val="right"/>
            </w:pPr>
            <w:r w:rsidRPr="0060053A">
              <w:t>56</w:t>
            </w:r>
          </w:p>
        </w:tc>
        <w:tc>
          <w:tcPr>
            <w:tcW w:w="707" w:type="dxa"/>
          </w:tcPr>
          <w:p w14:paraId="366C4BCB" w14:textId="78CE1ACB" w:rsidR="002F3C52" w:rsidRPr="0060053A" w:rsidRDefault="00C53DC1" w:rsidP="00043458">
            <w:pPr>
              <w:tabs>
                <w:tab w:val="left" w:pos="180"/>
              </w:tabs>
              <w:spacing w:before="20" w:after="20"/>
              <w:ind w:left="0"/>
              <w:jc w:val="right"/>
            </w:pPr>
            <w:r w:rsidRPr="0060053A">
              <w:t>147</w:t>
            </w:r>
          </w:p>
        </w:tc>
        <w:tc>
          <w:tcPr>
            <w:tcW w:w="706" w:type="dxa"/>
          </w:tcPr>
          <w:p w14:paraId="73A47E97" w14:textId="08D2527D" w:rsidR="002F3C52" w:rsidRPr="0060053A" w:rsidRDefault="00C53DC1" w:rsidP="00043458">
            <w:pPr>
              <w:tabs>
                <w:tab w:val="left" w:pos="180"/>
              </w:tabs>
              <w:spacing w:before="20" w:after="20"/>
              <w:ind w:left="0"/>
              <w:jc w:val="right"/>
            </w:pPr>
            <w:r w:rsidRPr="0060053A">
              <w:t>415</w:t>
            </w:r>
          </w:p>
        </w:tc>
        <w:tc>
          <w:tcPr>
            <w:tcW w:w="707" w:type="dxa"/>
          </w:tcPr>
          <w:p w14:paraId="08994A84" w14:textId="0A928F36" w:rsidR="002F3C52" w:rsidRPr="0060053A" w:rsidRDefault="00C53DC1" w:rsidP="00043458">
            <w:pPr>
              <w:tabs>
                <w:tab w:val="left" w:pos="180"/>
              </w:tabs>
              <w:spacing w:before="20" w:after="20"/>
              <w:ind w:left="0"/>
              <w:jc w:val="right"/>
            </w:pPr>
            <w:r w:rsidRPr="0060053A">
              <w:t>431</w:t>
            </w:r>
          </w:p>
        </w:tc>
        <w:tc>
          <w:tcPr>
            <w:tcW w:w="706" w:type="dxa"/>
          </w:tcPr>
          <w:p w14:paraId="7BCC4D8A" w14:textId="7B9C9E23" w:rsidR="002F3C52" w:rsidRPr="0060053A" w:rsidRDefault="00C53DC1" w:rsidP="00043458">
            <w:pPr>
              <w:tabs>
                <w:tab w:val="left" w:pos="180"/>
              </w:tabs>
              <w:spacing w:before="20" w:after="20"/>
              <w:ind w:left="0"/>
              <w:jc w:val="right"/>
            </w:pPr>
            <w:r w:rsidRPr="0060053A">
              <w:t>537</w:t>
            </w:r>
          </w:p>
        </w:tc>
        <w:tc>
          <w:tcPr>
            <w:tcW w:w="707" w:type="dxa"/>
          </w:tcPr>
          <w:p w14:paraId="67C7B20C" w14:textId="2AF3C553" w:rsidR="002F3C52" w:rsidRPr="0060053A" w:rsidRDefault="00C53DC1" w:rsidP="00043458">
            <w:pPr>
              <w:tabs>
                <w:tab w:val="left" w:pos="180"/>
              </w:tabs>
              <w:spacing w:before="20" w:after="20"/>
              <w:ind w:left="0"/>
              <w:jc w:val="right"/>
            </w:pPr>
            <w:r w:rsidRPr="0060053A">
              <w:t>666</w:t>
            </w:r>
          </w:p>
        </w:tc>
        <w:tc>
          <w:tcPr>
            <w:tcW w:w="707" w:type="dxa"/>
          </w:tcPr>
          <w:p w14:paraId="2C08D328" w14:textId="796D3093" w:rsidR="002F3C52" w:rsidRPr="0060053A" w:rsidRDefault="00C53DC1" w:rsidP="00043458">
            <w:pPr>
              <w:tabs>
                <w:tab w:val="left" w:pos="180"/>
              </w:tabs>
              <w:spacing w:before="20" w:after="20"/>
              <w:ind w:left="0"/>
              <w:jc w:val="right"/>
            </w:pPr>
            <w:r w:rsidRPr="0060053A">
              <w:t>624</w:t>
            </w:r>
          </w:p>
        </w:tc>
      </w:tr>
      <w:tr w:rsidR="002F3C52" w:rsidRPr="0060053A" w14:paraId="5FE8BD33" w14:textId="69996093" w:rsidTr="006D189E">
        <w:trPr>
          <w:jc w:val="center"/>
        </w:trPr>
        <w:tc>
          <w:tcPr>
            <w:tcW w:w="1588" w:type="dxa"/>
          </w:tcPr>
          <w:p w14:paraId="58A65381" w14:textId="681F81A3" w:rsidR="002F3C52" w:rsidRPr="0060053A" w:rsidRDefault="002F3C52" w:rsidP="00277580">
            <w:pPr>
              <w:tabs>
                <w:tab w:val="left" w:pos="180"/>
              </w:tabs>
              <w:spacing w:before="20" w:after="20"/>
              <w:ind w:left="0" w:right="553"/>
              <w:jc w:val="right"/>
            </w:pPr>
            <w:r w:rsidRPr="0060053A">
              <w:t>5</w:t>
            </w:r>
          </w:p>
        </w:tc>
        <w:tc>
          <w:tcPr>
            <w:tcW w:w="706" w:type="dxa"/>
          </w:tcPr>
          <w:p w14:paraId="7FDE5134" w14:textId="3FF91406" w:rsidR="002F3C52" w:rsidRPr="0060053A" w:rsidRDefault="002F3C52" w:rsidP="00277580">
            <w:pPr>
              <w:tabs>
                <w:tab w:val="left" w:pos="180"/>
              </w:tabs>
              <w:spacing w:before="20" w:after="20"/>
              <w:ind w:left="0"/>
              <w:jc w:val="center"/>
              <w:rPr>
                <w:b/>
                <w:bCs/>
              </w:rPr>
            </w:pPr>
            <w:r w:rsidRPr="0060053A">
              <w:rPr>
                <w:b/>
                <w:bCs/>
              </w:rPr>
              <w:t>Sat</w:t>
            </w:r>
          </w:p>
        </w:tc>
        <w:tc>
          <w:tcPr>
            <w:tcW w:w="707" w:type="dxa"/>
          </w:tcPr>
          <w:p w14:paraId="0EDE33D3" w14:textId="4748266C" w:rsidR="002F3C52" w:rsidRPr="0060053A" w:rsidRDefault="00C53DC1" w:rsidP="00043458">
            <w:pPr>
              <w:tabs>
                <w:tab w:val="left" w:pos="180"/>
              </w:tabs>
              <w:spacing w:before="20" w:after="20"/>
              <w:ind w:left="0"/>
              <w:jc w:val="right"/>
            </w:pPr>
            <w:r w:rsidRPr="0060053A">
              <w:t>136</w:t>
            </w:r>
          </w:p>
        </w:tc>
        <w:tc>
          <w:tcPr>
            <w:tcW w:w="706" w:type="dxa"/>
          </w:tcPr>
          <w:p w14:paraId="7D76E9E9" w14:textId="6A5D864C" w:rsidR="002F3C52" w:rsidRPr="0060053A" w:rsidRDefault="00C53DC1" w:rsidP="00043458">
            <w:pPr>
              <w:tabs>
                <w:tab w:val="left" w:pos="180"/>
              </w:tabs>
              <w:spacing w:before="20" w:after="20"/>
              <w:ind w:left="0"/>
              <w:jc w:val="right"/>
            </w:pPr>
            <w:r w:rsidRPr="0060053A">
              <w:t>78</w:t>
            </w:r>
          </w:p>
        </w:tc>
        <w:tc>
          <w:tcPr>
            <w:tcW w:w="707" w:type="dxa"/>
          </w:tcPr>
          <w:p w14:paraId="55F87BB1" w14:textId="16BADC6A" w:rsidR="002F3C52" w:rsidRPr="0060053A" w:rsidRDefault="00C53DC1" w:rsidP="00043458">
            <w:pPr>
              <w:tabs>
                <w:tab w:val="left" w:pos="180"/>
              </w:tabs>
              <w:spacing w:before="20" w:after="20"/>
              <w:ind w:left="0"/>
              <w:jc w:val="right"/>
            </w:pPr>
            <w:r w:rsidRPr="0060053A">
              <w:t>47</w:t>
            </w:r>
          </w:p>
        </w:tc>
        <w:tc>
          <w:tcPr>
            <w:tcW w:w="706" w:type="dxa"/>
          </w:tcPr>
          <w:p w14:paraId="38AE0C71" w14:textId="27AC85FE" w:rsidR="002F3C52" w:rsidRPr="0060053A" w:rsidRDefault="00C53DC1" w:rsidP="00043458">
            <w:pPr>
              <w:tabs>
                <w:tab w:val="left" w:pos="180"/>
              </w:tabs>
              <w:spacing w:before="20" w:after="20"/>
              <w:ind w:left="0"/>
              <w:jc w:val="right"/>
            </w:pPr>
            <w:r w:rsidRPr="0060053A">
              <w:t>63</w:t>
            </w:r>
          </w:p>
        </w:tc>
        <w:tc>
          <w:tcPr>
            <w:tcW w:w="707" w:type="dxa"/>
          </w:tcPr>
          <w:p w14:paraId="08202E69" w14:textId="46A1CADE" w:rsidR="002F3C52" w:rsidRPr="0060053A" w:rsidRDefault="00C53DC1" w:rsidP="00043458">
            <w:pPr>
              <w:tabs>
                <w:tab w:val="left" w:pos="180"/>
              </w:tabs>
              <w:spacing w:before="20" w:after="20"/>
              <w:ind w:left="0"/>
              <w:jc w:val="right"/>
            </w:pPr>
            <w:r w:rsidRPr="0060053A">
              <w:t>98</w:t>
            </w:r>
          </w:p>
        </w:tc>
        <w:tc>
          <w:tcPr>
            <w:tcW w:w="706" w:type="dxa"/>
          </w:tcPr>
          <w:p w14:paraId="55A12013" w14:textId="3C572EAE" w:rsidR="002F3C52" w:rsidRPr="0060053A" w:rsidRDefault="00C53DC1" w:rsidP="00043458">
            <w:pPr>
              <w:tabs>
                <w:tab w:val="left" w:pos="180"/>
              </w:tabs>
              <w:spacing w:before="20" w:after="20"/>
              <w:ind w:left="0"/>
              <w:jc w:val="right"/>
            </w:pPr>
            <w:r w:rsidRPr="0060053A">
              <w:t>208</w:t>
            </w:r>
          </w:p>
        </w:tc>
        <w:tc>
          <w:tcPr>
            <w:tcW w:w="707" w:type="dxa"/>
          </w:tcPr>
          <w:p w14:paraId="21586002" w14:textId="720C2A9A" w:rsidR="002F3C52" w:rsidRPr="0060053A" w:rsidRDefault="00C53DC1" w:rsidP="00043458">
            <w:pPr>
              <w:tabs>
                <w:tab w:val="left" w:pos="180"/>
              </w:tabs>
              <w:spacing w:before="20" w:after="20"/>
              <w:ind w:left="0"/>
              <w:jc w:val="right"/>
            </w:pPr>
            <w:r w:rsidRPr="0060053A">
              <w:t>303</w:t>
            </w:r>
          </w:p>
        </w:tc>
        <w:tc>
          <w:tcPr>
            <w:tcW w:w="706" w:type="dxa"/>
          </w:tcPr>
          <w:p w14:paraId="5667DDCE" w14:textId="79AB08FC" w:rsidR="002F3C52" w:rsidRPr="0060053A" w:rsidRDefault="00C53DC1" w:rsidP="00043458">
            <w:pPr>
              <w:tabs>
                <w:tab w:val="left" w:pos="180"/>
              </w:tabs>
              <w:spacing w:before="20" w:after="20"/>
              <w:ind w:left="0"/>
              <w:jc w:val="right"/>
            </w:pPr>
            <w:r w:rsidRPr="0060053A">
              <w:t>451</w:t>
            </w:r>
          </w:p>
        </w:tc>
        <w:tc>
          <w:tcPr>
            <w:tcW w:w="707" w:type="dxa"/>
          </w:tcPr>
          <w:p w14:paraId="69B500B3" w14:textId="68B4F636" w:rsidR="002F3C52" w:rsidRPr="0060053A" w:rsidRDefault="00C53DC1" w:rsidP="00043458">
            <w:pPr>
              <w:tabs>
                <w:tab w:val="left" w:pos="180"/>
              </w:tabs>
              <w:spacing w:before="20" w:after="20"/>
              <w:ind w:left="0"/>
              <w:jc w:val="right"/>
            </w:pPr>
            <w:r w:rsidRPr="0060053A">
              <w:t>641</w:t>
            </w:r>
          </w:p>
        </w:tc>
        <w:tc>
          <w:tcPr>
            <w:tcW w:w="707" w:type="dxa"/>
          </w:tcPr>
          <w:p w14:paraId="3C1AC656" w14:textId="08DBEA4F" w:rsidR="002F3C52" w:rsidRPr="0060053A" w:rsidRDefault="00C53DC1" w:rsidP="00043458">
            <w:pPr>
              <w:tabs>
                <w:tab w:val="left" w:pos="180"/>
              </w:tabs>
              <w:spacing w:before="20" w:after="20"/>
              <w:ind w:left="0"/>
              <w:jc w:val="right"/>
            </w:pPr>
            <w:r w:rsidRPr="0060053A">
              <w:t>770</w:t>
            </w:r>
          </w:p>
        </w:tc>
      </w:tr>
      <w:tr w:rsidR="002F3C52" w:rsidRPr="0060053A" w14:paraId="5092DE52" w14:textId="6A37B066" w:rsidTr="006D189E">
        <w:trPr>
          <w:jc w:val="center"/>
        </w:trPr>
        <w:tc>
          <w:tcPr>
            <w:tcW w:w="1588" w:type="dxa"/>
          </w:tcPr>
          <w:p w14:paraId="7EAF3620" w14:textId="1BBD379D" w:rsidR="002F3C52" w:rsidRPr="0060053A" w:rsidRDefault="002F3C52" w:rsidP="00277580">
            <w:pPr>
              <w:tabs>
                <w:tab w:val="left" w:pos="180"/>
              </w:tabs>
              <w:spacing w:before="20" w:after="20"/>
              <w:ind w:left="0" w:right="553"/>
              <w:jc w:val="right"/>
            </w:pPr>
            <w:r w:rsidRPr="0060053A">
              <w:t>6</w:t>
            </w:r>
          </w:p>
        </w:tc>
        <w:tc>
          <w:tcPr>
            <w:tcW w:w="706" w:type="dxa"/>
          </w:tcPr>
          <w:p w14:paraId="22BC5958" w14:textId="7AAD520E" w:rsidR="002F3C52" w:rsidRPr="0060053A" w:rsidRDefault="002F3C52" w:rsidP="00277580">
            <w:pPr>
              <w:tabs>
                <w:tab w:val="left" w:pos="180"/>
              </w:tabs>
              <w:spacing w:before="20" w:after="20"/>
              <w:ind w:left="0"/>
              <w:jc w:val="center"/>
              <w:rPr>
                <w:b/>
                <w:bCs/>
              </w:rPr>
            </w:pPr>
            <w:r w:rsidRPr="0060053A">
              <w:rPr>
                <w:b/>
                <w:bCs/>
              </w:rPr>
              <w:t>Sun</w:t>
            </w:r>
          </w:p>
        </w:tc>
        <w:tc>
          <w:tcPr>
            <w:tcW w:w="707" w:type="dxa"/>
          </w:tcPr>
          <w:p w14:paraId="2EBC5837" w14:textId="579A9D1C" w:rsidR="002F3C52" w:rsidRPr="0060053A" w:rsidRDefault="00C53DC1" w:rsidP="00043458">
            <w:pPr>
              <w:tabs>
                <w:tab w:val="left" w:pos="180"/>
              </w:tabs>
              <w:spacing w:before="20" w:after="20"/>
              <w:ind w:left="0"/>
              <w:jc w:val="right"/>
            </w:pPr>
            <w:r w:rsidRPr="0060053A">
              <w:t>89</w:t>
            </w:r>
          </w:p>
        </w:tc>
        <w:tc>
          <w:tcPr>
            <w:tcW w:w="706" w:type="dxa"/>
          </w:tcPr>
          <w:p w14:paraId="0A910841" w14:textId="60E7DE28" w:rsidR="002F3C52" w:rsidRPr="0060053A" w:rsidRDefault="00C53DC1" w:rsidP="00043458">
            <w:pPr>
              <w:tabs>
                <w:tab w:val="left" w:pos="180"/>
              </w:tabs>
              <w:spacing w:before="20" w:after="20"/>
              <w:ind w:left="0"/>
              <w:jc w:val="right"/>
            </w:pPr>
            <w:r w:rsidRPr="0060053A">
              <w:t>48</w:t>
            </w:r>
          </w:p>
        </w:tc>
        <w:tc>
          <w:tcPr>
            <w:tcW w:w="707" w:type="dxa"/>
          </w:tcPr>
          <w:p w14:paraId="78F66A05" w14:textId="265838C5" w:rsidR="002F3C52" w:rsidRPr="0060053A" w:rsidRDefault="00C53DC1" w:rsidP="00043458">
            <w:pPr>
              <w:tabs>
                <w:tab w:val="left" w:pos="180"/>
              </w:tabs>
              <w:spacing w:before="20" w:after="20"/>
              <w:ind w:left="0"/>
              <w:jc w:val="right"/>
            </w:pPr>
            <w:r w:rsidRPr="0060053A">
              <w:t>34</w:t>
            </w:r>
          </w:p>
        </w:tc>
        <w:tc>
          <w:tcPr>
            <w:tcW w:w="706" w:type="dxa"/>
          </w:tcPr>
          <w:p w14:paraId="204E3BCD" w14:textId="19FA1F1F" w:rsidR="002F3C52" w:rsidRPr="0060053A" w:rsidRDefault="00C53DC1" w:rsidP="00043458">
            <w:pPr>
              <w:tabs>
                <w:tab w:val="left" w:pos="180"/>
              </w:tabs>
              <w:spacing w:before="20" w:after="20"/>
              <w:ind w:left="0"/>
              <w:jc w:val="right"/>
            </w:pPr>
            <w:r w:rsidRPr="0060053A">
              <w:t>25</w:t>
            </w:r>
          </w:p>
        </w:tc>
        <w:tc>
          <w:tcPr>
            <w:tcW w:w="707" w:type="dxa"/>
          </w:tcPr>
          <w:p w14:paraId="7458F638" w14:textId="35DF0FE6" w:rsidR="002F3C52" w:rsidRPr="0060053A" w:rsidRDefault="00C53DC1" w:rsidP="00043458">
            <w:pPr>
              <w:tabs>
                <w:tab w:val="left" w:pos="180"/>
              </w:tabs>
              <w:spacing w:before="20" w:after="20"/>
              <w:ind w:left="0"/>
              <w:jc w:val="right"/>
            </w:pPr>
            <w:r w:rsidRPr="0060053A">
              <w:t>29</w:t>
            </w:r>
          </w:p>
        </w:tc>
        <w:tc>
          <w:tcPr>
            <w:tcW w:w="706" w:type="dxa"/>
          </w:tcPr>
          <w:p w14:paraId="13EABEE1" w14:textId="29F8C5DA" w:rsidR="002F3C52" w:rsidRPr="0060053A" w:rsidRDefault="00C53DC1" w:rsidP="00043458">
            <w:pPr>
              <w:tabs>
                <w:tab w:val="left" w:pos="180"/>
              </w:tabs>
              <w:spacing w:before="20" w:after="20"/>
              <w:ind w:left="0"/>
              <w:jc w:val="right"/>
            </w:pPr>
            <w:r w:rsidRPr="0060053A">
              <w:t>34</w:t>
            </w:r>
          </w:p>
        </w:tc>
        <w:tc>
          <w:tcPr>
            <w:tcW w:w="707" w:type="dxa"/>
          </w:tcPr>
          <w:p w14:paraId="2FA96D05" w14:textId="521C8B57" w:rsidR="002F3C52" w:rsidRPr="0060053A" w:rsidRDefault="00C53DC1" w:rsidP="00043458">
            <w:pPr>
              <w:tabs>
                <w:tab w:val="left" w:pos="180"/>
              </w:tabs>
              <w:spacing w:before="20" w:after="20"/>
              <w:ind w:left="0"/>
              <w:jc w:val="right"/>
            </w:pPr>
            <w:r w:rsidRPr="0060053A">
              <w:t>81</w:t>
            </w:r>
          </w:p>
        </w:tc>
        <w:tc>
          <w:tcPr>
            <w:tcW w:w="706" w:type="dxa"/>
          </w:tcPr>
          <w:p w14:paraId="11C823E6" w14:textId="2D7F22E5" w:rsidR="002F3C52" w:rsidRPr="0060053A" w:rsidRDefault="00C53DC1" w:rsidP="00043458">
            <w:pPr>
              <w:tabs>
                <w:tab w:val="left" w:pos="180"/>
              </w:tabs>
              <w:spacing w:before="20" w:after="20"/>
              <w:ind w:left="0"/>
              <w:jc w:val="right"/>
            </w:pPr>
            <w:r w:rsidRPr="0060053A">
              <w:t>168</w:t>
            </w:r>
          </w:p>
        </w:tc>
        <w:tc>
          <w:tcPr>
            <w:tcW w:w="707" w:type="dxa"/>
          </w:tcPr>
          <w:p w14:paraId="4615E22E" w14:textId="609C1599" w:rsidR="002F3C52" w:rsidRPr="0060053A" w:rsidRDefault="00C53DC1" w:rsidP="00043458">
            <w:pPr>
              <w:tabs>
                <w:tab w:val="left" w:pos="180"/>
              </w:tabs>
              <w:spacing w:before="20" w:after="20"/>
              <w:ind w:left="0"/>
              <w:jc w:val="right"/>
            </w:pPr>
            <w:r w:rsidRPr="0060053A">
              <w:t>226</w:t>
            </w:r>
          </w:p>
        </w:tc>
        <w:tc>
          <w:tcPr>
            <w:tcW w:w="707" w:type="dxa"/>
          </w:tcPr>
          <w:p w14:paraId="75772D1E" w14:textId="3433170F" w:rsidR="002F3C52" w:rsidRPr="0060053A" w:rsidRDefault="00C53DC1" w:rsidP="00043458">
            <w:pPr>
              <w:tabs>
                <w:tab w:val="left" w:pos="180"/>
              </w:tabs>
              <w:spacing w:before="20" w:after="20"/>
              <w:ind w:left="0"/>
              <w:jc w:val="right"/>
            </w:pPr>
            <w:r w:rsidRPr="0060053A">
              <w:t>307</w:t>
            </w:r>
          </w:p>
        </w:tc>
      </w:tr>
      <w:tr w:rsidR="002F3C52" w:rsidRPr="0060053A" w14:paraId="5625B30D" w14:textId="780ABF99" w:rsidTr="006D189E">
        <w:trPr>
          <w:jc w:val="center"/>
        </w:trPr>
        <w:tc>
          <w:tcPr>
            <w:tcW w:w="1588" w:type="dxa"/>
          </w:tcPr>
          <w:p w14:paraId="2D67C0F0" w14:textId="450B3D01" w:rsidR="002F3C52" w:rsidRPr="0060053A" w:rsidRDefault="002F3C52" w:rsidP="00277580">
            <w:pPr>
              <w:tabs>
                <w:tab w:val="left" w:pos="180"/>
              </w:tabs>
              <w:spacing w:before="20" w:after="20"/>
              <w:ind w:left="0" w:right="553"/>
              <w:jc w:val="right"/>
            </w:pPr>
            <w:r w:rsidRPr="0060053A">
              <w:t>7</w:t>
            </w:r>
          </w:p>
        </w:tc>
        <w:tc>
          <w:tcPr>
            <w:tcW w:w="706" w:type="dxa"/>
          </w:tcPr>
          <w:p w14:paraId="0061862B" w14:textId="16D02C8F" w:rsidR="002F3C52" w:rsidRPr="0060053A" w:rsidRDefault="002F3C52" w:rsidP="00277580">
            <w:pPr>
              <w:tabs>
                <w:tab w:val="left" w:pos="180"/>
              </w:tabs>
              <w:spacing w:before="20" w:after="20"/>
              <w:ind w:left="0"/>
              <w:jc w:val="center"/>
              <w:rPr>
                <w:b/>
                <w:bCs/>
              </w:rPr>
            </w:pPr>
            <w:r w:rsidRPr="0060053A">
              <w:rPr>
                <w:b/>
                <w:bCs/>
              </w:rPr>
              <w:t>Mon</w:t>
            </w:r>
          </w:p>
        </w:tc>
        <w:tc>
          <w:tcPr>
            <w:tcW w:w="707" w:type="dxa"/>
          </w:tcPr>
          <w:p w14:paraId="3864BDF8" w14:textId="0C6E4212" w:rsidR="002F3C52" w:rsidRPr="0060053A" w:rsidRDefault="00C53DC1" w:rsidP="00043458">
            <w:pPr>
              <w:tabs>
                <w:tab w:val="left" w:pos="180"/>
              </w:tabs>
              <w:spacing w:before="20" w:after="20"/>
              <w:ind w:left="0"/>
              <w:jc w:val="right"/>
            </w:pPr>
            <w:r w:rsidRPr="0060053A">
              <w:t>65</w:t>
            </w:r>
          </w:p>
        </w:tc>
        <w:tc>
          <w:tcPr>
            <w:tcW w:w="706" w:type="dxa"/>
          </w:tcPr>
          <w:p w14:paraId="0BD89C3B" w14:textId="071D9231" w:rsidR="002F3C52" w:rsidRPr="0060053A" w:rsidRDefault="00C53DC1" w:rsidP="00043458">
            <w:pPr>
              <w:tabs>
                <w:tab w:val="left" w:pos="180"/>
              </w:tabs>
              <w:spacing w:before="20" w:after="20"/>
              <w:ind w:left="0"/>
              <w:jc w:val="right"/>
            </w:pPr>
            <w:r w:rsidRPr="0060053A">
              <w:t>39</w:t>
            </w:r>
          </w:p>
        </w:tc>
        <w:tc>
          <w:tcPr>
            <w:tcW w:w="707" w:type="dxa"/>
          </w:tcPr>
          <w:p w14:paraId="0FEE29BA" w14:textId="4570260A" w:rsidR="002F3C52" w:rsidRPr="0060053A" w:rsidRDefault="00C53DC1" w:rsidP="00043458">
            <w:pPr>
              <w:tabs>
                <w:tab w:val="left" w:pos="180"/>
              </w:tabs>
              <w:spacing w:before="20" w:after="20"/>
              <w:ind w:left="0"/>
              <w:jc w:val="right"/>
            </w:pPr>
            <w:r w:rsidRPr="0060053A">
              <w:t>25</w:t>
            </w:r>
          </w:p>
        </w:tc>
        <w:tc>
          <w:tcPr>
            <w:tcW w:w="706" w:type="dxa"/>
          </w:tcPr>
          <w:p w14:paraId="3EC37114" w14:textId="3DA3E7BD" w:rsidR="002F3C52" w:rsidRPr="0060053A" w:rsidRDefault="00C53DC1" w:rsidP="00043458">
            <w:pPr>
              <w:tabs>
                <w:tab w:val="left" w:pos="180"/>
              </w:tabs>
              <w:spacing w:before="20" w:after="20"/>
              <w:ind w:left="0"/>
              <w:jc w:val="right"/>
            </w:pPr>
            <w:r w:rsidRPr="0060053A">
              <w:t>56</w:t>
            </w:r>
          </w:p>
        </w:tc>
        <w:tc>
          <w:tcPr>
            <w:tcW w:w="707" w:type="dxa"/>
          </w:tcPr>
          <w:p w14:paraId="6AD5E20E" w14:textId="3CE189B0" w:rsidR="002F3C52" w:rsidRPr="0060053A" w:rsidRDefault="00C53DC1" w:rsidP="00043458">
            <w:pPr>
              <w:tabs>
                <w:tab w:val="left" w:pos="180"/>
              </w:tabs>
              <w:spacing w:before="20" w:after="20"/>
              <w:ind w:left="0"/>
              <w:jc w:val="right"/>
            </w:pPr>
            <w:r w:rsidRPr="0060053A">
              <w:t>188</w:t>
            </w:r>
          </w:p>
        </w:tc>
        <w:tc>
          <w:tcPr>
            <w:tcW w:w="706" w:type="dxa"/>
          </w:tcPr>
          <w:p w14:paraId="2A4E3277" w14:textId="4D0E93A0" w:rsidR="002F3C52" w:rsidRPr="0060053A" w:rsidRDefault="00C53DC1" w:rsidP="00043458">
            <w:pPr>
              <w:tabs>
                <w:tab w:val="left" w:pos="180"/>
              </w:tabs>
              <w:spacing w:before="20" w:after="20"/>
              <w:ind w:left="0"/>
              <w:jc w:val="right"/>
            </w:pPr>
            <w:r w:rsidRPr="0060053A">
              <w:t>495</w:t>
            </w:r>
          </w:p>
        </w:tc>
        <w:tc>
          <w:tcPr>
            <w:tcW w:w="707" w:type="dxa"/>
          </w:tcPr>
          <w:p w14:paraId="14F2D0FB" w14:textId="2BD0C65A" w:rsidR="002F3C52" w:rsidRPr="0060053A" w:rsidRDefault="00C53DC1" w:rsidP="00043458">
            <w:pPr>
              <w:tabs>
                <w:tab w:val="left" w:pos="180"/>
              </w:tabs>
              <w:spacing w:before="20" w:after="20"/>
              <w:ind w:left="0"/>
              <w:jc w:val="right"/>
            </w:pPr>
            <w:r w:rsidRPr="0060053A">
              <w:t>615</w:t>
            </w:r>
          </w:p>
        </w:tc>
        <w:tc>
          <w:tcPr>
            <w:tcW w:w="706" w:type="dxa"/>
          </w:tcPr>
          <w:p w14:paraId="4247E72E" w14:textId="1A17E90C" w:rsidR="002F3C52" w:rsidRPr="0060053A" w:rsidRDefault="00C53DC1" w:rsidP="00043458">
            <w:pPr>
              <w:tabs>
                <w:tab w:val="left" w:pos="180"/>
              </w:tabs>
              <w:spacing w:before="20" w:after="20"/>
              <w:ind w:left="0"/>
              <w:jc w:val="right"/>
            </w:pPr>
            <w:r w:rsidRPr="0060053A">
              <w:t>614</w:t>
            </w:r>
          </w:p>
        </w:tc>
        <w:tc>
          <w:tcPr>
            <w:tcW w:w="707" w:type="dxa"/>
          </w:tcPr>
          <w:p w14:paraId="5B7C99D0" w14:textId="245BEFE7" w:rsidR="002F3C52" w:rsidRPr="0060053A" w:rsidRDefault="00C53DC1" w:rsidP="00043458">
            <w:pPr>
              <w:tabs>
                <w:tab w:val="left" w:pos="180"/>
              </w:tabs>
              <w:spacing w:before="20" w:after="20"/>
              <w:ind w:left="0"/>
              <w:jc w:val="right"/>
            </w:pPr>
            <w:r w:rsidRPr="0060053A">
              <w:t>622</w:t>
            </w:r>
          </w:p>
        </w:tc>
        <w:tc>
          <w:tcPr>
            <w:tcW w:w="707" w:type="dxa"/>
          </w:tcPr>
          <w:p w14:paraId="4F653968" w14:textId="6953F135" w:rsidR="002F3C52" w:rsidRPr="0060053A" w:rsidRDefault="00C53DC1" w:rsidP="00043458">
            <w:pPr>
              <w:tabs>
                <w:tab w:val="left" w:pos="180"/>
              </w:tabs>
              <w:spacing w:before="20" w:after="20"/>
              <w:ind w:left="0"/>
              <w:jc w:val="right"/>
            </w:pPr>
            <w:r w:rsidRPr="0060053A">
              <w:t>642</w:t>
            </w:r>
          </w:p>
        </w:tc>
      </w:tr>
      <w:tr w:rsidR="002F3C52" w:rsidRPr="0060053A" w14:paraId="331CA0F3" w14:textId="7958291D" w:rsidTr="006D189E">
        <w:trPr>
          <w:jc w:val="center"/>
        </w:trPr>
        <w:tc>
          <w:tcPr>
            <w:tcW w:w="1588" w:type="dxa"/>
          </w:tcPr>
          <w:p w14:paraId="7F52E88A" w14:textId="5B302754" w:rsidR="002F3C52" w:rsidRPr="0060053A" w:rsidRDefault="002F3C52" w:rsidP="00277580">
            <w:pPr>
              <w:tabs>
                <w:tab w:val="left" w:pos="180"/>
              </w:tabs>
              <w:spacing w:before="20" w:after="20"/>
              <w:ind w:left="0" w:right="553"/>
              <w:jc w:val="right"/>
            </w:pPr>
            <w:r w:rsidRPr="0060053A">
              <w:t>8</w:t>
            </w:r>
          </w:p>
        </w:tc>
        <w:tc>
          <w:tcPr>
            <w:tcW w:w="706" w:type="dxa"/>
          </w:tcPr>
          <w:p w14:paraId="2AAFE8C6" w14:textId="7338E19C" w:rsidR="002F3C52" w:rsidRPr="0060053A" w:rsidRDefault="002F3C52" w:rsidP="00277580">
            <w:pPr>
              <w:tabs>
                <w:tab w:val="left" w:pos="180"/>
              </w:tabs>
              <w:spacing w:before="20" w:after="20"/>
              <w:ind w:left="0"/>
              <w:jc w:val="center"/>
              <w:rPr>
                <w:b/>
                <w:bCs/>
              </w:rPr>
            </w:pPr>
            <w:r w:rsidRPr="0060053A">
              <w:rPr>
                <w:b/>
                <w:bCs/>
              </w:rPr>
              <w:t>Tue</w:t>
            </w:r>
          </w:p>
        </w:tc>
        <w:tc>
          <w:tcPr>
            <w:tcW w:w="707" w:type="dxa"/>
          </w:tcPr>
          <w:p w14:paraId="3981CA79" w14:textId="220974A0" w:rsidR="002F3C52" w:rsidRPr="0060053A" w:rsidRDefault="00C53DC1" w:rsidP="00043458">
            <w:pPr>
              <w:tabs>
                <w:tab w:val="left" w:pos="180"/>
              </w:tabs>
              <w:spacing w:before="20" w:after="20"/>
              <w:ind w:left="0"/>
              <w:jc w:val="right"/>
            </w:pPr>
            <w:r w:rsidRPr="0060053A">
              <w:t>56</w:t>
            </w:r>
          </w:p>
        </w:tc>
        <w:tc>
          <w:tcPr>
            <w:tcW w:w="706" w:type="dxa"/>
          </w:tcPr>
          <w:p w14:paraId="434155EE" w14:textId="0566E1EF" w:rsidR="002F3C52" w:rsidRPr="0060053A" w:rsidRDefault="00C53DC1" w:rsidP="00043458">
            <w:pPr>
              <w:tabs>
                <w:tab w:val="left" w:pos="180"/>
              </w:tabs>
              <w:spacing w:before="20" w:after="20"/>
              <w:ind w:left="0"/>
              <w:jc w:val="right"/>
            </w:pPr>
            <w:r w:rsidRPr="0060053A">
              <w:t>32</w:t>
            </w:r>
          </w:p>
        </w:tc>
        <w:tc>
          <w:tcPr>
            <w:tcW w:w="707" w:type="dxa"/>
          </w:tcPr>
          <w:p w14:paraId="3C8A5A5C" w14:textId="53D25B13" w:rsidR="002F3C52" w:rsidRPr="0060053A" w:rsidRDefault="00C53DC1" w:rsidP="00043458">
            <w:pPr>
              <w:tabs>
                <w:tab w:val="left" w:pos="180"/>
              </w:tabs>
              <w:spacing w:before="20" w:after="20"/>
              <w:ind w:left="0"/>
              <w:jc w:val="right"/>
            </w:pPr>
            <w:r w:rsidRPr="0060053A">
              <w:t>26</w:t>
            </w:r>
          </w:p>
        </w:tc>
        <w:tc>
          <w:tcPr>
            <w:tcW w:w="706" w:type="dxa"/>
          </w:tcPr>
          <w:p w14:paraId="22B95F87" w14:textId="459613B9" w:rsidR="002F3C52" w:rsidRPr="0060053A" w:rsidRDefault="00C53DC1" w:rsidP="00043458">
            <w:pPr>
              <w:tabs>
                <w:tab w:val="left" w:pos="180"/>
              </w:tabs>
              <w:spacing w:before="20" w:after="20"/>
              <w:ind w:left="0"/>
              <w:jc w:val="right"/>
            </w:pPr>
            <w:r w:rsidRPr="0060053A">
              <w:t>70</w:t>
            </w:r>
          </w:p>
        </w:tc>
        <w:tc>
          <w:tcPr>
            <w:tcW w:w="707" w:type="dxa"/>
          </w:tcPr>
          <w:p w14:paraId="3C928B4B" w14:textId="7AC771B7" w:rsidR="002F3C52" w:rsidRPr="0060053A" w:rsidRDefault="00C53DC1" w:rsidP="00043458">
            <w:pPr>
              <w:tabs>
                <w:tab w:val="left" w:pos="180"/>
              </w:tabs>
              <w:spacing w:before="20" w:after="20"/>
              <w:ind w:left="0"/>
              <w:jc w:val="right"/>
            </w:pPr>
            <w:r w:rsidRPr="0060053A">
              <w:t>167</w:t>
            </w:r>
          </w:p>
        </w:tc>
        <w:tc>
          <w:tcPr>
            <w:tcW w:w="706" w:type="dxa"/>
          </w:tcPr>
          <w:p w14:paraId="5CF6A080" w14:textId="0AE9232E" w:rsidR="002F3C52" w:rsidRPr="0060053A" w:rsidRDefault="00C53DC1" w:rsidP="00043458">
            <w:pPr>
              <w:tabs>
                <w:tab w:val="left" w:pos="180"/>
              </w:tabs>
              <w:spacing w:before="20" w:after="20"/>
              <w:ind w:left="0"/>
              <w:jc w:val="right"/>
            </w:pPr>
            <w:r w:rsidRPr="0060053A">
              <w:t>535</w:t>
            </w:r>
          </w:p>
        </w:tc>
        <w:tc>
          <w:tcPr>
            <w:tcW w:w="707" w:type="dxa"/>
          </w:tcPr>
          <w:p w14:paraId="7C7829AF" w14:textId="3254D774" w:rsidR="002F3C52" w:rsidRPr="0060053A" w:rsidRDefault="00C53DC1" w:rsidP="00043458">
            <w:pPr>
              <w:tabs>
                <w:tab w:val="left" w:pos="180"/>
              </w:tabs>
              <w:spacing w:before="20" w:after="20"/>
              <w:ind w:left="0"/>
              <w:jc w:val="right"/>
            </w:pPr>
            <w:r w:rsidRPr="0060053A">
              <w:t>584</w:t>
            </w:r>
          </w:p>
        </w:tc>
        <w:tc>
          <w:tcPr>
            <w:tcW w:w="706" w:type="dxa"/>
          </w:tcPr>
          <w:p w14:paraId="28E420F4" w14:textId="790C823C" w:rsidR="002F3C52" w:rsidRPr="0060053A" w:rsidRDefault="00C53DC1" w:rsidP="00043458">
            <w:pPr>
              <w:tabs>
                <w:tab w:val="left" w:pos="180"/>
              </w:tabs>
              <w:spacing w:before="20" w:after="20"/>
              <w:ind w:left="0"/>
              <w:jc w:val="right"/>
            </w:pPr>
            <w:r w:rsidRPr="0060053A">
              <w:t>M**</w:t>
            </w:r>
          </w:p>
        </w:tc>
        <w:tc>
          <w:tcPr>
            <w:tcW w:w="707" w:type="dxa"/>
          </w:tcPr>
          <w:p w14:paraId="52D0E637" w14:textId="55139A67" w:rsidR="002F3C52" w:rsidRPr="0060053A" w:rsidRDefault="00C53DC1" w:rsidP="00043458">
            <w:pPr>
              <w:tabs>
                <w:tab w:val="left" w:pos="180"/>
              </w:tabs>
              <w:spacing w:before="20" w:after="20"/>
              <w:ind w:left="0"/>
              <w:jc w:val="right"/>
            </w:pPr>
            <w:r w:rsidRPr="0060053A">
              <w:t>M**</w:t>
            </w:r>
          </w:p>
        </w:tc>
        <w:tc>
          <w:tcPr>
            <w:tcW w:w="707" w:type="dxa"/>
          </w:tcPr>
          <w:p w14:paraId="462E31AD" w14:textId="0BD3365D" w:rsidR="002F3C52" w:rsidRPr="0060053A" w:rsidRDefault="00C53DC1" w:rsidP="00043458">
            <w:pPr>
              <w:tabs>
                <w:tab w:val="left" w:pos="180"/>
              </w:tabs>
              <w:spacing w:before="20" w:after="20"/>
              <w:ind w:left="0"/>
              <w:jc w:val="right"/>
            </w:pPr>
            <w:r w:rsidRPr="0060053A">
              <w:t>595</w:t>
            </w:r>
          </w:p>
        </w:tc>
      </w:tr>
      <w:tr w:rsidR="002F3C52" w:rsidRPr="0060053A" w14:paraId="36D9DE50" w14:textId="7534824D" w:rsidTr="006D189E">
        <w:trPr>
          <w:jc w:val="center"/>
        </w:trPr>
        <w:tc>
          <w:tcPr>
            <w:tcW w:w="1588" w:type="dxa"/>
          </w:tcPr>
          <w:p w14:paraId="6C57635D" w14:textId="6161A4CB" w:rsidR="002F3C52" w:rsidRPr="0060053A" w:rsidRDefault="002F3C52" w:rsidP="00277580">
            <w:pPr>
              <w:tabs>
                <w:tab w:val="left" w:pos="180"/>
              </w:tabs>
              <w:spacing w:before="20" w:after="20"/>
              <w:ind w:left="0" w:right="553"/>
              <w:jc w:val="right"/>
            </w:pPr>
            <w:r w:rsidRPr="0060053A">
              <w:t>9</w:t>
            </w:r>
          </w:p>
        </w:tc>
        <w:tc>
          <w:tcPr>
            <w:tcW w:w="706" w:type="dxa"/>
          </w:tcPr>
          <w:p w14:paraId="6F8BE5DC" w14:textId="7457543E" w:rsidR="002F3C52" w:rsidRPr="0060053A" w:rsidRDefault="002F3C52" w:rsidP="00277580">
            <w:pPr>
              <w:tabs>
                <w:tab w:val="left" w:pos="180"/>
              </w:tabs>
              <w:spacing w:before="20" w:after="20"/>
              <w:ind w:left="0"/>
              <w:jc w:val="center"/>
              <w:rPr>
                <w:b/>
                <w:bCs/>
              </w:rPr>
            </w:pPr>
            <w:r w:rsidRPr="0060053A">
              <w:rPr>
                <w:b/>
                <w:bCs/>
              </w:rPr>
              <w:t>Wed</w:t>
            </w:r>
          </w:p>
        </w:tc>
        <w:tc>
          <w:tcPr>
            <w:tcW w:w="707" w:type="dxa"/>
          </w:tcPr>
          <w:p w14:paraId="64FE2B85" w14:textId="2AE9BEF6" w:rsidR="002F3C52" w:rsidRPr="0060053A" w:rsidRDefault="00C53DC1" w:rsidP="00043458">
            <w:pPr>
              <w:tabs>
                <w:tab w:val="left" w:pos="180"/>
              </w:tabs>
              <w:spacing w:before="20" w:after="20"/>
              <w:ind w:left="0"/>
              <w:jc w:val="right"/>
            </w:pPr>
            <w:r w:rsidRPr="0060053A">
              <w:t>16</w:t>
            </w:r>
          </w:p>
        </w:tc>
        <w:tc>
          <w:tcPr>
            <w:tcW w:w="706" w:type="dxa"/>
          </w:tcPr>
          <w:p w14:paraId="05D87E3D" w14:textId="5D0101C7" w:rsidR="002F3C52" w:rsidRPr="0060053A" w:rsidRDefault="00564F41" w:rsidP="00043458">
            <w:pPr>
              <w:tabs>
                <w:tab w:val="left" w:pos="180"/>
              </w:tabs>
              <w:spacing w:before="20" w:after="20"/>
              <w:ind w:left="0"/>
              <w:jc w:val="right"/>
            </w:pPr>
            <w:r w:rsidRPr="0060053A">
              <w:t>12</w:t>
            </w:r>
          </w:p>
        </w:tc>
        <w:tc>
          <w:tcPr>
            <w:tcW w:w="707" w:type="dxa"/>
          </w:tcPr>
          <w:p w14:paraId="5D6F935F" w14:textId="5694D5FD" w:rsidR="002F3C52" w:rsidRPr="0060053A" w:rsidRDefault="00564F41" w:rsidP="00043458">
            <w:pPr>
              <w:tabs>
                <w:tab w:val="left" w:pos="180"/>
              </w:tabs>
              <w:spacing w:before="20" w:after="20"/>
              <w:ind w:left="0"/>
              <w:jc w:val="right"/>
            </w:pPr>
            <w:r w:rsidRPr="0060053A">
              <w:t>15</w:t>
            </w:r>
          </w:p>
        </w:tc>
        <w:tc>
          <w:tcPr>
            <w:tcW w:w="706" w:type="dxa"/>
          </w:tcPr>
          <w:p w14:paraId="1C75799B" w14:textId="503222AF" w:rsidR="002F3C52" w:rsidRPr="0060053A" w:rsidRDefault="00564F41" w:rsidP="00043458">
            <w:pPr>
              <w:tabs>
                <w:tab w:val="left" w:pos="180"/>
              </w:tabs>
              <w:spacing w:before="20" w:after="20"/>
              <w:ind w:left="0"/>
              <w:jc w:val="right"/>
            </w:pPr>
            <w:r w:rsidRPr="0060053A">
              <w:t>46</w:t>
            </w:r>
          </w:p>
        </w:tc>
        <w:tc>
          <w:tcPr>
            <w:tcW w:w="707" w:type="dxa"/>
          </w:tcPr>
          <w:p w14:paraId="61C6FDD5" w14:textId="7BA690AE" w:rsidR="002F3C52" w:rsidRPr="0060053A" w:rsidRDefault="00564F41" w:rsidP="00043458">
            <w:pPr>
              <w:tabs>
                <w:tab w:val="left" w:pos="180"/>
              </w:tabs>
              <w:spacing w:before="20" w:after="20"/>
              <w:ind w:left="0"/>
              <w:jc w:val="right"/>
            </w:pPr>
            <w:r w:rsidRPr="0060053A">
              <w:t>142</w:t>
            </w:r>
          </w:p>
        </w:tc>
        <w:tc>
          <w:tcPr>
            <w:tcW w:w="706" w:type="dxa"/>
          </w:tcPr>
          <w:p w14:paraId="2A04BC02" w14:textId="502117CE" w:rsidR="002F3C52" w:rsidRPr="0060053A" w:rsidRDefault="00564F41" w:rsidP="00043458">
            <w:pPr>
              <w:tabs>
                <w:tab w:val="left" w:pos="180"/>
              </w:tabs>
              <w:spacing w:before="20" w:after="20"/>
              <w:ind w:left="0"/>
              <w:jc w:val="right"/>
            </w:pPr>
            <w:r w:rsidRPr="0060053A">
              <w:t>419</w:t>
            </w:r>
          </w:p>
        </w:tc>
        <w:tc>
          <w:tcPr>
            <w:tcW w:w="707" w:type="dxa"/>
          </w:tcPr>
          <w:p w14:paraId="12AD5439" w14:textId="4D15F9E4" w:rsidR="002F3C52" w:rsidRPr="0060053A" w:rsidRDefault="00564F41" w:rsidP="00043458">
            <w:pPr>
              <w:tabs>
                <w:tab w:val="left" w:pos="180"/>
              </w:tabs>
              <w:spacing w:before="20" w:after="20"/>
              <w:ind w:left="0"/>
              <w:jc w:val="right"/>
            </w:pPr>
            <w:r w:rsidRPr="0060053A">
              <w:t>444</w:t>
            </w:r>
          </w:p>
        </w:tc>
        <w:tc>
          <w:tcPr>
            <w:tcW w:w="706" w:type="dxa"/>
          </w:tcPr>
          <w:p w14:paraId="1E84CABA" w14:textId="68AEADEA" w:rsidR="002F3C52" w:rsidRPr="0060053A" w:rsidRDefault="00564F41" w:rsidP="00043458">
            <w:pPr>
              <w:tabs>
                <w:tab w:val="left" w:pos="180"/>
              </w:tabs>
              <w:spacing w:before="20" w:after="20"/>
              <w:ind w:left="0"/>
              <w:jc w:val="right"/>
            </w:pPr>
            <w:r w:rsidRPr="0060053A">
              <w:t>404</w:t>
            </w:r>
          </w:p>
        </w:tc>
        <w:tc>
          <w:tcPr>
            <w:tcW w:w="707" w:type="dxa"/>
          </w:tcPr>
          <w:p w14:paraId="67620800" w14:textId="4A826201" w:rsidR="002F3C52" w:rsidRPr="0060053A" w:rsidRDefault="00564F41" w:rsidP="00043458">
            <w:pPr>
              <w:tabs>
                <w:tab w:val="left" w:pos="180"/>
              </w:tabs>
              <w:spacing w:before="20" w:after="20"/>
              <w:ind w:left="0"/>
              <w:jc w:val="right"/>
            </w:pPr>
            <w:r w:rsidRPr="0060053A">
              <w:t>392</w:t>
            </w:r>
          </w:p>
        </w:tc>
        <w:tc>
          <w:tcPr>
            <w:tcW w:w="707" w:type="dxa"/>
          </w:tcPr>
          <w:p w14:paraId="7A77B69C" w14:textId="7B9AA183" w:rsidR="002F3C52" w:rsidRPr="0060053A" w:rsidRDefault="00564F41" w:rsidP="00043458">
            <w:pPr>
              <w:tabs>
                <w:tab w:val="left" w:pos="180"/>
              </w:tabs>
              <w:spacing w:before="20" w:after="20"/>
              <w:ind w:left="0"/>
              <w:jc w:val="right"/>
            </w:pPr>
            <w:r w:rsidRPr="0060053A">
              <w:t>334</w:t>
            </w:r>
          </w:p>
        </w:tc>
      </w:tr>
      <w:tr w:rsidR="002F3C52" w:rsidRPr="0060053A" w14:paraId="0BE785F7" w14:textId="5DA57B93" w:rsidTr="006D189E">
        <w:trPr>
          <w:jc w:val="center"/>
        </w:trPr>
        <w:tc>
          <w:tcPr>
            <w:tcW w:w="1588" w:type="dxa"/>
          </w:tcPr>
          <w:p w14:paraId="5F3275A2" w14:textId="51B6D48C" w:rsidR="002F3C52" w:rsidRPr="0060053A" w:rsidRDefault="002F3C52" w:rsidP="00277580">
            <w:pPr>
              <w:tabs>
                <w:tab w:val="left" w:pos="180"/>
              </w:tabs>
              <w:spacing w:before="20" w:after="20"/>
              <w:ind w:left="0" w:right="553"/>
              <w:jc w:val="right"/>
            </w:pPr>
            <w:r w:rsidRPr="0060053A">
              <w:t>10</w:t>
            </w:r>
          </w:p>
        </w:tc>
        <w:tc>
          <w:tcPr>
            <w:tcW w:w="706" w:type="dxa"/>
          </w:tcPr>
          <w:p w14:paraId="2DD7A823" w14:textId="40579AFC" w:rsidR="002F3C52" w:rsidRPr="0060053A" w:rsidRDefault="002F3C52" w:rsidP="00277580">
            <w:pPr>
              <w:tabs>
                <w:tab w:val="left" w:pos="180"/>
              </w:tabs>
              <w:spacing w:before="20" w:after="20"/>
              <w:ind w:left="0"/>
              <w:jc w:val="center"/>
              <w:rPr>
                <w:b/>
                <w:bCs/>
              </w:rPr>
            </w:pPr>
            <w:r w:rsidRPr="0060053A">
              <w:rPr>
                <w:b/>
                <w:bCs/>
              </w:rPr>
              <w:t>Thu</w:t>
            </w:r>
          </w:p>
        </w:tc>
        <w:tc>
          <w:tcPr>
            <w:tcW w:w="707" w:type="dxa"/>
          </w:tcPr>
          <w:p w14:paraId="455A09DA" w14:textId="6026426D" w:rsidR="002F3C52" w:rsidRPr="0060053A" w:rsidRDefault="00C53DC1" w:rsidP="00043458">
            <w:pPr>
              <w:tabs>
                <w:tab w:val="left" w:pos="180"/>
              </w:tabs>
              <w:spacing w:before="20" w:after="20"/>
              <w:ind w:left="0"/>
              <w:jc w:val="right"/>
            </w:pPr>
            <w:r w:rsidRPr="0060053A">
              <w:t>57</w:t>
            </w:r>
          </w:p>
        </w:tc>
        <w:tc>
          <w:tcPr>
            <w:tcW w:w="706" w:type="dxa"/>
          </w:tcPr>
          <w:p w14:paraId="2A38C072" w14:textId="221A2488" w:rsidR="002F3C52" w:rsidRPr="0060053A" w:rsidRDefault="00564F41" w:rsidP="00043458">
            <w:pPr>
              <w:tabs>
                <w:tab w:val="left" w:pos="180"/>
              </w:tabs>
              <w:spacing w:before="20" w:after="20"/>
              <w:ind w:left="0"/>
              <w:jc w:val="right"/>
            </w:pPr>
            <w:r w:rsidRPr="0060053A">
              <w:t>31</w:t>
            </w:r>
          </w:p>
        </w:tc>
        <w:tc>
          <w:tcPr>
            <w:tcW w:w="707" w:type="dxa"/>
          </w:tcPr>
          <w:p w14:paraId="5E3B9D7E" w14:textId="4E7335B4" w:rsidR="002F3C52" w:rsidRPr="0060053A" w:rsidRDefault="00564F41" w:rsidP="00043458">
            <w:pPr>
              <w:tabs>
                <w:tab w:val="left" w:pos="180"/>
              </w:tabs>
              <w:spacing w:before="20" w:after="20"/>
              <w:ind w:left="0"/>
              <w:jc w:val="right"/>
            </w:pPr>
            <w:r w:rsidRPr="0060053A">
              <w:t>22</w:t>
            </w:r>
          </w:p>
        </w:tc>
        <w:tc>
          <w:tcPr>
            <w:tcW w:w="706" w:type="dxa"/>
          </w:tcPr>
          <w:p w14:paraId="3015E0F0" w14:textId="15019B43" w:rsidR="002F3C52" w:rsidRPr="0060053A" w:rsidRDefault="00564F41" w:rsidP="00043458">
            <w:pPr>
              <w:tabs>
                <w:tab w:val="left" w:pos="180"/>
              </w:tabs>
              <w:spacing w:before="20" w:after="20"/>
              <w:ind w:left="0"/>
              <w:jc w:val="right"/>
            </w:pPr>
            <w:r w:rsidRPr="0060053A">
              <w:t>61</w:t>
            </w:r>
          </w:p>
        </w:tc>
        <w:tc>
          <w:tcPr>
            <w:tcW w:w="707" w:type="dxa"/>
          </w:tcPr>
          <w:p w14:paraId="52631BD2" w14:textId="32FCA8F0" w:rsidR="002F3C52" w:rsidRPr="0060053A" w:rsidRDefault="00564F41" w:rsidP="00043458">
            <w:pPr>
              <w:tabs>
                <w:tab w:val="left" w:pos="180"/>
              </w:tabs>
              <w:spacing w:before="20" w:after="20"/>
              <w:ind w:left="0"/>
              <w:jc w:val="right"/>
            </w:pPr>
            <w:r w:rsidRPr="0060053A">
              <w:t>165</w:t>
            </w:r>
          </w:p>
        </w:tc>
        <w:tc>
          <w:tcPr>
            <w:tcW w:w="706" w:type="dxa"/>
          </w:tcPr>
          <w:p w14:paraId="3F2F2FD0" w14:textId="641BE30A" w:rsidR="002F3C52" w:rsidRPr="0060053A" w:rsidRDefault="00564F41" w:rsidP="00043458">
            <w:pPr>
              <w:tabs>
                <w:tab w:val="left" w:pos="180"/>
              </w:tabs>
              <w:spacing w:before="20" w:after="20"/>
              <w:ind w:left="0"/>
              <w:jc w:val="right"/>
            </w:pPr>
            <w:r w:rsidRPr="0060053A">
              <w:t>485</w:t>
            </w:r>
          </w:p>
        </w:tc>
        <w:tc>
          <w:tcPr>
            <w:tcW w:w="707" w:type="dxa"/>
          </w:tcPr>
          <w:p w14:paraId="104A2751" w14:textId="079F1332" w:rsidR="002F3C52" w:rsidRPr="0060053A" w:rsidRDefault="00564F41" w:rsidP="00043458">
            <w:pPr>
              <w:tabs>
                <w:tab w:val="left" w:pos="180"/>
              </w:tabs>
              <w:spacing w:before="20" w:after="20"/>
              <w:ind w:left="0"/>
              <w:jc w:val="right"/>
            </w:pPr>
            <w:r w:rsidRPr="0060053A">
              <w:t>593</w:t>
            </w:r>
          </w:p>
        </w:tc>
        <w:tc>
          <w:tcPr>
            <w:tcW w:w="706" w:type="dxa"/>
          </w:tcPr>
          <w:p w14:paraId="07D2FF5C" w14:textId="0F86683D" w:rsidR="002F3C52" w:rsidRPr="0060053A" w:rsidRDefault="00564F41" w:rsidP="00043458">
            <w:pPr>
              <w:tabs>
                <w:tab w:val="left" w:pos="180"/>
              </w:tabs>
              <w:spacing w:before="20" w:after="20"/>
              <w:ind w:left="0"/>
              <w:jc w:val="right"/>
            </w:pPr>
            <w:r w:rsidRPr="0060053A">
              <w:t>624</w:t>
            </w:r>
          </w:p>
        </w:tc>
        <w:tc>
          <w:tcPr>
            <w:tcW w:w="707" w:type="dxa"/>
          </w:tcPr>
          <w:p w14:paraId="449B10FD" w14:textId="3730F636" w:rsidR="002F3C52" w:rsidRPr="0060053A" w:rsidRDefault="00564F41" w:rsidP="00043458">
            <w:pPr>
              <w:tabs>
                <w:tab w:val="left" w:pos="180"/>
              </w:tabs>
              <w:spacing w:before="20" w:after="20"/>
              <w:ind w:left="0"/>
              <w:jc w:val="right"/>
            </w:pPr>
            <w:r w:rsidRPr="0060053A">
              <w:t>644</w:t>
            </w:r>
          </w:p>
        </w:tc>
        <w:tc>
          <w:tcPr>
            <w:tcW w:w="707" w:type="dxa"/>
          </w:tcPr>
          <w:p w14:paraId="3082AED0" w14:textId="53C7A4A4" w:rsidR="002F3C52" w:rsidRPr="0060053A" w:rsidRDefault="00564F41" w:rsidP="00043458">
            <w:pPr>
              <w:tabs>
                <w:tab w:val="left" w:pos="180"/>
              </w:tabs>
              <w:spacing w:before="20" w:after="20"/>
              <w:ind w:left="0"/>
              <w:jc w:val="right"/>
            </w:pPr>
            <w:r w:rsidRPr="0060053A">
              <w:t>586</w:t>
            </w:r>
          </w:p>
        </w:tc>
      </w:tr>
      <w:tr w:rsidR="00564F41" w:rsidRPr="0060053A" w14:paraId="4A2B188B" w14:textId="2079376F" w:rsidTr="006D189E">
        <w:trPr>
          <w:jc w:val="center"/>
        </w:trPr>
        <w:tc>
          <w:tcPr>
            <w:tcW w:w="1588" w:type="dxa"/>
          </w:tcPr>
          <w:p w14:paraId="4C0B1638" w14:textId="4A92A15B" w:rsidR="00564F41" w:rsidRPr="0060053A" w:rsidRDefault="00564F41" w:rsidP="00277580">
            <w:pPr>
              <w:tabs>
                <w:tab w:val="left" w:pos="180"/>
              </w:tabs>
              <w:spacing w:before="20" w:after="20"/>
              <w:ind w:left="0" w:right="553"/>
              <w:jc w:val="right"/>
            </w:pPr>
            <w:r w:rsidRPr="0060053A">
              <w:t>11</w:t>
            </w:r>
          </w:p>
        </w:tc>
        <w:tc>
          <w:tcPr>
            <w:tcW w:w="706" w:type="dxa"/>
          </w:tcPr>
          <w:p w14:paraId="606032BD" w14:textId="617F6031" w:rsidR="00564F41" w:rsidRPr="0060053A" w:rsidRDefault="00564F41" w:rsidP="00277580">
            <w:pPr>
              <w:tabs>
                <w:tab w:val="left" w:pos="180"/>
              </w:tabs>
              <w:spacing w:before="20" w:after="20"/>
              <w:ind w:left="0"/>
              <w:jc w:val="center"/>
              <w:rPr>
                <w:b/>
                <w:bCs/>
              </w:rPr>
            </w:pPr>
            <w:r w:rsidRPr="0060053A">
              <w:rPr>
                <w:b/>
                <w:bCs/>
              </w:rPr>
              <w:t>Fri</w:t>
            </w:r>
          </w:p>
        </w:tc>
        <w:tc>
          <w:tcPr>
            <w:tcW w:w="707" w:type="dxa"/>
          </w:tcPr>
          <w:p w14:paraId="6587790A" w14:textId="485DD25B" w:rsidR="00564F41" w:rsidRPr="0060053A" w:rsidRDefault="00564F41" w:rsidP="00043458">
            <w:pPr>
              <w:tabs>
                <w:tab w:val="left" w:pos="180"/>
              </w:tabs>
              <w:spacing w:before="20" w:after="20"/>
              <w:ind w:left="0"/>
              <w:jc w:val="right"/>
            </w:pPr>
            <w:r w:rsidRPr="0060053A">
              <w:t>16</w:t>
            </w:r>
          </w:p>
        </w:tc>
        <w:tc>
          <w:tcPr>
            <w:tcW w:w="706" w:type="dxa"/>
          </w:tcPr>
          <w:p w14:paraId="193B628E" w14:textId="3DA7BADF" w:rsidR="00564F41" w:rsidRPr="0060053A" w:rsidRDefault="00564F41" w:rsidP="00043458">
            <w:pPr>
              <w:tabs>
                <w:tab w:val="left" w:pos="180"/>
              </w:tabs>
              <w:spacing w:before="20" w:after="20"/>
              <w:ind w:left="0"/>
              <w:jc w:val="right"/>
            </w:pPr>
            <w:r w:rsidRPr="0060053A">
              <w:t>21</w:t>
            </w:r>
          </w:p>
        </w:tc>
        <w:tc>
          <w:tcPr>
            <w:tcW w:w="707" w:type="dxa"/>
          </w:tcPr>
          <w:p w14:paraId="1640A6F9" w14:textId="3B7E20B3" w:rsidR="00564F41" w:rsidRPr="0060053A" w:rsidRDefault="00564F41" w:rsidP="00043458">
            <w:pPr>
              <w:tabs>
                <w:tab w:val="left" w:pos="180"/>
              </w:tabs>
              <w:spacing w:before="20" w:after="20"/>
              <w:ind w:left="0"/>
              <w:jc w:val="right"/>
            </w:pPr>
            <w:r w:rsidRPr="0060053A">
              <w:t>16</w:t>
            </w:r>
          </w:p>
        </w:tc>
        <w:tc>
          <w:tcPr>
            <w:tcW w:w="706" w:type="dxa"/>
          </w:tcPr>
          <w:p w14:paraId="49525993" w14:textId="70B933D6" w:rsidR="00564F41" w:rsidRPr="0060053A" w:rsidRDefault="00564F41" w:rsidP="00043458">
            <w:pPr>
              <w:tabs>
                <w:tab w:val="left" w:pos="180"/>
              </w:tabs>
              <w:spacing w:before="20" w:after="20"/>
              <w:ind w:left="0"/>
              <w:jc w:val="right"/>
            </w:pPr>
            <w:r w:rsidRPr="0060053A">
              <w:t>60</w:t>
            </w:r>
          </w:p>
        </w:tc>
        <w:tc>
          <w:tcPr>
            <w:tcW w:w="707" w:type="dxa"/>
          </w:tcPr>
          <w:p w14:paraId="7743424D" w14:textId="0C069D85" w:rsidR="00564F41" w:rsidRPr="0060053A" w:rsidRDefault="00564F41" w:rsidP="00043458">
            <w:pPr>
              <w:tabs>
                <w:tab w:val="left" w:pos="180"/>
              </w:tabs>
              <w:spacing w:before="20" w:after="20"/>
              <w:ind w:left="0"/>
              <w:jc w:val="right"/>
            </w:pPr>
            <w:r w:rsidRPr="0060053A">
              <w:t>150</w:t>
            </w:r>
          </w:p>
        </w:tc>
        <w:tc>
          <w:tcPr>
            <w:tcW w:w="706" w:type="dxa"/>
          </w:tcPr>
          <w:p w14:paraId="6A53855F" w14:textId="74D5A5B2" w:rsidR="00564F41" w:rsidRPr="0060053A" w:rsidRDefault="00564F41" w:rsidP="00043458">
            <w:pPr>
              <w:tabs>
                <w:tab w:val="left" w:pos="180"/>
              </w:tabs>
              <w:spacing w:before="20" w:after="20"/>
              <w:ind w:left="0"/>
              <w:jc w:val="right"/>
            </w:pPr>
            <w:r w:rsidRPr="0060053A">
              <w:t>398</w:t>
            </w:r>
          </w:p>
        </w:tc>
        <w:tc>
          <w:tcPr>
            <w:tcW w:w="707" w:type="dxa"/>
          </w:tcPr>
          <w:p w14:paraId="21308207" w14:textId="43428836" w:rsidR="00564F41" w:rsidRPr="0060053A" w:rsidRDefault="00564F41" w:rsidP="00043458">
            <w:pPr>
              <w:tabs>
                <w:tab w:val="left" w:pos="180"/>
              </w:tabs>
              <w:spacing w:before="20" w:after="20"/>
              <w:ind w:left="0"/>
              <w:jc w:val="right"/>
            </w:pPr>
            <w:r w:rsidRPr="0060053A">
              <w:t>422</w:t>
            </w:r>
          </w:p>
        </w:tc>
        <w:tc>
          <w:tcPr>
            <w:tcW w:w="706" w:type="dxa"/>
          </w:tcPr>
          <w:p w14:paraId="5CF90B53" w14:textId="6A7064D8" w:rsidR="00564F41" w:rsidRPr="0060053A" w:rsidRDefault="00564F41" w:rsidP="00043458">
            <w:pPr>
              <w:tabs>
                <w:tab w:val="left" w:pos="180"/>
              </w:tabs>
              <w:spacing w:before="20" w:after="20"/>
              <w:ind w:left="0"/>
              <w:jc w:val="right"/>
            </w:pPr>
            <w:r w:rsidRPr="0060053A">
              <w:t>383</w:t>
            </w:r>
          </w:p>
        </w:tc>
        <w:tc>
          <w:tcPr>
            <w:tcW w:w="707" w:type="dxa"/>
          </w:tcPr>
          <w:p w14:paraId="5934659D" w14:textId="74D99B84" w:rsidR="00564F41" w:rsidRPr="0060053A" w:rsidRDefault="00564F41" w:rsidP="00043458">
            <w:pPr>
              <w:tabs>
                <w:tab w:val="left" w:pos="180"/>
              </w:tabs>
              <w:spacing w:before="20" w:after="20"/>
              <w:ind w:left="0"/>
              <w:jc w:val="right"/>
            </w:pPr>
            <w:r w:rsidRPr="0060053A">
              <w:t>374</w:t>
            </w:r>
          </w:p>
        </w:tc>
        <w:tc>
          <w:tcPr>
            <w:tcW w:w="707" w:type="dxa"/>
          </w:tcPr>
          <w:p w14:paraId="655056F1" w14:textId="5095563F" w:rsidR="00564F41" w:rsidRPr="0060053A" w:rsidRDefault="00564F41" w:rsidP="00043458">
            <w:pPr>
              <w:tabs>
                <w:tab w:val="left" w:pos="180"/>
              </w:tabs>
              <w:spacing w:before="20" w:after="20"/>
              <w:ind w:left="0"/>
              <w:jc w:val="right"/>
            </w:pPr>
            <w:r w:rsidRPr="0060053A">
              <w:t>391</w:t>
            </w:r>
          </w:p>
        </w:tc>
      </w:tr>
      <w:tr w:rsidR="00564F41" w:rsidRPr="0060053A" w14:paraId="00F08786" w14:textId="56244F8A" w:rsidTr="006D189E">
        <w:trPr>
          <w:jc w:val="center"/>
        </w:trPr>
        <w:tc>
          <w:tcPr>
            <w:tcW w:w="1588" w:type="dxa"/>
          </w:tcPr>
          <w:p w14:paraId="72596489" w14:textId="4E64C78A" w:rsidR="00564F41" w:rsidRPr="0060053A" w:rsidRDefault="00564F41" w:rsidP="00277580">
            <w:pPr>
              <w:tabs>
                <w:tab w:val="left" w:pos="180"/>
              </w:tabs>
              <w:spacing w:before="20" w:after="20"/>
              <w:ind w:left="0" w:right="553"/>
              <w:jc w:val="right"/>
            </w:pPr>
            <w:r w:rsidRPr="0060053A">
              <w:t>12</w:t>
            </w:r>
          </w:p>
        </w:tc>
        <w:tc>
          <w:tcPr>
            <w:tcW w:w="706" w:type="dxa"/>
          </w:tcPr>
          <w:p w14:paraId="6A72C604" w14:textId="506CB3A6" w:rsidR="00564F41" w:rsidRPr="0060053A" w:rsidRDefault="00564F41" w:rsidP="00277580">
            <w:pPr>
              <w:tabs>
                <w:tab w:val="left" w:pos="180"/>
              </w:tabs>
              <w:spacing w:before="20" w:after="20"/>
              <w:ind w:left="0"/>
              <w:jc w:val="center"/>
              <w:rPr>
                <w:b/>
                <w:bCs/>
              </w:rPr>
            </w:pPr>
            <w:r w:rsidRPr="0060053A">
              <w:rPr>
                <w:b/>
                <w:bCs/>
              </w:rPr>
              <w:t>Sat</w:t>
            </w:r>
          </w:p>
        </w:tc>
        <w:tc>
          <w:tcPr>
            <w:tcW w:w="707" w:type="dxa"/>
          </w:tcPr>
          <w:p w14:paraId="5023772C" w14:textId="21C5F78C" w:rsidR="00564F41" w:rsidRPr="0060053A" w:rsidRDefault="00564F41" w:rsidP="00043458">
            <w:pPr>
              <w:tabs>
                <w:tab w:val="left" w:pos="180"/>
              </w:tabs>
              <w:spacing w:before="20" w:after="20"/>
              <w:ind w:left="0"/>
              <w:jc w:val="right"/>
            </w:pPr>
            <w:r w:rsidRPr="0060053A">
              <w:t>118</w:t>
            </w:r>
          </w:p>
        </w:tc>
        <w:tc>
          <w:tcPr>
            <w:tcW w:w="706" w:type="dxa"/>
          </w:tcPr>
          <w:p w14:paraId="7B9FA627" w14:textId="73ADFA33" w:rsidR="00564F41" w:rsidRPr="0060053A" w:rsidRDefault="00564F41" w:rsidP="00043458">
            <w:pPr>
              <w:tabs>
                <w:tab w:val="left" w:pos="180"/>
              </w:tabs>
              <w:spacing w:before="20" w:after="20"/>
              <w:ind w:left="0"/>
              <w:jc w:val="right"/>
            </w:pPr>
            <w:r w:rsidRPr="0060053A">
              <w:t>67</w:t>
            </w:r>
          </w:p>
        </w:tc>
        <w:tc>
          <w:tcPr>
            <w:tcW w:w="707" w:type="dxa"/>
          </w:tcPr>
          <w:p w14:paraId="36B617D6" w14:textId="4E5C67F9" w:rsidR="00564F41" w:rsidRPr="0060053A" w:rsidRDefault="00564F41" w:rsidP="00043458">
            <w:pPr>
              <w:tabs>
                <w:tab w:val="left" w:pos="180"/>
              </w:tabs>
              <w:spacing w:before="20" w:after="20"/>
              <w:ind w:left="0"/>
              <w:jc w:val="right"/>
            </w:pPr>
            <w:r w:rsidRPr="0060053A">
              <w:t>56</w:t>
            </w:r>
          </w:p>
        </w:tc>
        <w:tc>
          <w:tcPr>
            <w:tcW w:w="706" w:type="dxa"/>
          </w:tcPr>
          <w:p w14:paraId="02BD355A" w14:textId="04E92483" w:rsidR="00564F41" w:rsidRPr="0060053A" w:rsidRDefault="00564F41" w:rsidP="00043458">
            <w:pPr>
              <w:tabs>
                <w:tab w:val="left" w:pos="180"/>
              </w:tabs>
              <w:spacing w:before="20" w:after="20"/>
              <w:ind w:left="0"/>
              <w:jc w:val="right"/>
            </w:pPr>
            <w:r w:rsidRPr="0060053A">
              <w:t>68</w:t>
            </w:r>
          </w:p>
        </w:tc>
        <w:tc>
          <w:tcPr>
            <w:tcW w:w="707" w:type="dxa"/>
          </w:tcPr>
          <w:p w14:paraId="2FB4718C" w14:textId="22E03B4F" w:rsidR="00564F41" w:rsidRPr="0060053A" w:rsidRDefault="00564F41" w:rsidP="00043458">
            <w:pPr>
              <w:tabs>
                <w:tab w:val="left" w:pos="180"/>
              </w:tabs>
              <w:spacing w:before="20" w:after="20"/>
              <w:ind w:left="0"/>
              <w:jc w:val="right"/>
            </w:pPr>
            <w:r w:rsidRPr="0060053A">
              <w:t>107</w:t>
            </w:r>
          </w:p>
        </w:tc>
        <w:tc>
          <w:tcPr>
            <w:tcW w:w="706" w:type="dxa"/>
          </w:tcPr>
          <w:p w14:paraId="3874D603" w14:textId="35FC3381" w:rsidR="00564F41" w:rsidRPr="0060053A" w:rsidRDefault="00564F41" w:rsidP="00043458">
            <w:pPr>
              <w:tabs>
                <w:tab w:val="left" w:pos="180"/>
              </w:tabs>
              <w:spacing w:before="20" w:after="20"/>
              <w:ind w:left="0"/>
              <w:jc w:val="right"/>
            </w:pPr>
            <w:r w:rsidRPr="0060053A">
              <w:t>201</w:t>
            </w:r>
          </w:p>
        </w:tc>
        <w:tc>
          <w:tcPr>
            <w:tcW w:w="707" w:type="dxa"/>
          </w:tcPr>
          <w:p w14:paraId="75430CE0" w14:textId="30868CCB" w:rsidR="00564F41" w:rsidRPr="0060053A" w:rsidRDefault="00564F41" w:rsidP="00043458">
            <w:pPr>
              <w:tabs>
                <w:tab w:val="left" w:pos="180"/>
              </w:tabs>
              <w:spacing w:before="20" w:after="20"/>
              <w:ind w:left="0"/>
              <w:jc w:val="right"/>
            </w:pPr>
            <w:r w:rsidRPr="0060053A">
              <w:t>301</w:t>
            </w:r>
          </w:p>
        </w:tc>
        <w:tc>
          <w:tcPr>
            <w:tcW w:w="706" w:type="dxa"/>
          </w:tcPr>
          <w:p w14:paraId="2851DAC6" w14:textId="414E288F" w:rsidR="00564F41" w:rsidRPr="0060053A" w:rsidRDefault="00564F41" w:rsidP="00043458">
            <w:pPr>
              <w:tabs>
                <w:tab w:val="left" w:pos="180"/>
              </w:tabs>
              <w:spacing w:before="20" w:after="20"/>
              <w:ind w:left="0"/>
              <w:jc w:val="right"/>
            </w:pPr>
            <w:r w:rsidRPr="0060053A">
              <w:t>446</w:t>
            </w:r>
          </w:p>
        </w:tc>
        <w:tc>
          <w:tcPr>
            <w:tcW w:w="707" w:type="dxa"/>
          </w:tcPr>
          <w:p w14:paraId="674298E5" w14:textId="58208A2F" w:rsidR="00564F41" w:rsidRPr="0060053A" w:rsidRDefault="00564F41" w:rsidP="00043458">
            <w:pPr>
              <w:tabs>
                <w:tab w:val="left" w:pos="180"/>
              </w:tabs>
              <w:spacing w:before="20" w:after="20"/>
              <w:ind w:left="0"/>
              <w:jc w:val="right"/>
            </w:pPr>
            <w:r w:rsidRPr="0060053A">
              <w:t>611</w:t>
            </w:r>
          </w:p>
        </w:tc>
        <w:tc>
          <w:tcPr>
            <w:tcW w:w="707" w:type="dxa"/>
          </w:tcPr>
          <w:p w14:paraId="4A0C41DD" w14:textId="5C4EE318" w:rsidR="00564F41" w:rsidRPr="0060053A" w:rsidRDefault="00564F41" w:rsidP="00043458">
            <w:pPr>
              <w:tabs>
                <w:tab w:val="left" w:pos="180"/>
              </w:tabs>
              <w:spacing w:before="20" w:after="20"/>
              <w:ind w:left="0"/>
              <w:jc w:val="right"/>
            </w:pPr>
            <w:r w:rsidRPr="0060053A">
              <w:t>669</w:t>
            </w:r>
          </w:p>
        </w:tc>
      </w:tr>
      <w:tr w:rsidR="00564F41" w:rsidRPr="0060053A" w14:paraId="260D9B03" w14:textId="5347A83B" w:rsidTr="006D189E">
        <w:trPr>
          <w:jc w:val="center"/>
        </w:trPr>
        <w:tc>
          <w:tcPr>
            <w:tcW w:w="1588" w:type="dxa"/>
          </w:tcPr>
          <w:p w14:paraId="268BDC99" w14:textId="5BE2FE3C" w:rsidR="00564F41" w:rsidRPr="0060053A" w:rsidRDefault="00564F41" w:rsidP="00277580">
            <w:pPr>
              <w:tabs>
                <w:tab w:val="left" w:pos="180"/>
              </w:tabs>
              <w:spacing w:before="20" w:after="20"/>
              <w:ind w:left="0" w:right="553"/>
              <w:jc w:val="right"/>
            </w:pPr>
            <w:r w:rsidRPr="0060053A">
              <w:t>13</w:t>
            </w:r>
          </w:p>
        </w:tc>
        <w:tc>
          <w:tcPr>
            <w:tcW w:w="706" w:type="dxa"/>
          </w:tcPr>
          <w:p w14:paraId="5E9AA6E8" w14:textId="6B21A364" w:rsidR="00564F41" w:rsidRPr="0060053A" w:rsidRDefault="00564F41" w:rsidP="00277580">
            <w:pPr>
              <w:tabs>
                <w:tab w:val="left" w:pos="180"/>
              </w:tabs>
              <w:spacing w:before="20" w:after="20"/>
              <w:ind w:left="0"/>
              <w:jc w:val="center"/>
              <w:rPr>
                <w:b/>
                <w:bCs/>
              </w:rPr>
            </w:pPr>
            <w:r w:rsidRPr="0060053A">
              <w:rPr>
                <w:b/>
                <w:bCs/>
              </w:rPr>
              <w:t>Sun</w:t>
            </w:r>
          </w:p>
        </w:tc>
        <w:tc>
          <w:tcPr>
            <w:tcW w:w="707" w:type="dxa"/>
          </w:tcPr>
          <w:p w14:paraId="6E020901" w14:textId="6F1E49EE" w:rsidR="00564F41" w:rsidRPr="0060053A" w:rsidRDefault="00564F41" w:rsidP="00043458">
            <w:pPr>
              <w:tabs>
                <w:tab w:val="left" w:pos="180"/>
              </w:tabs>
              <w:spacing w:before="20" w:after="20"/>
              <w:ind w:left="0"/>
              <w:jc w:val="right"/>
            </w:pPr>
            <w:r w:rsidRPr="0060053A">
              <w:t>92</w:t>
            </w:r>
          </w:p>
        </w:tc>
        <w:tc>
          <w:tcPr>
            <w:tcW w:w="706" w:type="dxa"/>
          </w:tcPr>
          <w:p w14:paraId="5F20511D" w14:textId="05E84B98" w:rsidR="00564F41" w:rsidRPr="0060053A" w:rsidRDefault="00564F41" w:rsidP="00043458">
            <w:pPr>
              <w:tabs>
                <w:tab w:val="left" w:pos="180"/>
              </w:tabs>
              <w:spacing w:before="20" w:after="20"/>
              <w:ind w:left="0"/>
              <w:jc w:val="right"/>
            </w:pPr>
            <w:r w:rsidRPr="0060053A">
              <w:t>39</w:t>
            </w:r>
          </w:p>
        </w:tc>
        <w:tc>
          <w:tcPr>
            <w:tcW w:w="707" w:type="dxa"/>
          </w:tcPr>
          <w:p w14:paraId="75D4B926" w14:textId="216C2A7A" w:rsidR="00564F41" w:rsidRPr="0060053A" w:rsidRDefault="00564F41" w:rsidP="00043458">
            <w:pPr>
              <w:tabs>
                <w:tab w:val="left" w:pos="180"/>
              </w:tabs>
              <w:spacing w:before="20" w:after="20"/>
              <w:ind w:left="0"/>
              <w:jc w:val="right"/>
            </w:pPr>
            <w:r w:rsidRPr="0060053A">
              <w:t>DST*</w:t>
            </w:r>
          </w:p>
        </w:tc>
        <w:tc>
          <w:tcPr>
            <w:tcW w:w="706" w:type="dxa"/>
          </w:tcPr>
          <w:p w14:paraId="7CCFCB0E" w14:textId="7649BC36" w:rsidR="00564F41" w:rsidRPr="0060053A" w:rsidRDefault="00564F41" w:rsidP="00043458">
            <w:pPr>
              <w:tabs>
                <w:tab w:val="left" w:pos="180"/>
              </w:tabs>
              <w:spacing w:before="20" w:after="20"/>
              <w:ind w:left="0"/>
              <w:jc w:val="right"/>
            </w:pPr>
            <w:r w:rsidRPr="0060053A">
              <w:t>30</w:t>
            </w:r>
          </w:p>
        </w:tc>
        <w:tc>
          <w:tcPr>
            <w:tcW w:w="707" w:type="dxa"/>
          </w:tcPr>
          <w:p w14:paraId="4AADD9C9" w14:textId="26F8E0BA" w:rsidR="00564F41" w:rsidRPr="0060053A" w:rsidRDefault="00564F41" w:rsidP="00043458">
            <w:pPr>
              <w:tabs>
                <w:tab w:val="left" w:pos="180"/>
              </w:tabs>
              <w:spacing w:before="20" w:after="20"/>
              <w:ind w:left="0"/>
              <w:jc w:val="right"/>
            </w:pPr>
            <w:r w:rsidRPr="0060053A">
              <w:t>18</w:t>
            </w:r>
          </w:p>
        </w:tc>
        <w:tc>
          <w:tcPr>
            <w:tcW w:w="706" w:type="dxa"/>
          </w:tcPr>
          <w:p w14:paraId="0A88DE0C" w14:textId="75910317" w:rsidR="00564F41" w:rsidRPr="0060053A" w:rsidRDefault="00564F41" w:rsidP="00043458">
            <w:pPr>
              <w:tabs>
                <w:tab w:val="left" w:pos="180"/>
              </w:tabs>
              <w:spacing w:before="20" w:after="20"/>
              <w:ind w:left="0"/>
              <w:jc w:val="right"/>
            </w:pPr>
            <w:r w:rsidRPr="0060053A">
              <w:t>41</w:t>
            </w:r>
          </w:p>
        </w:tc>
        <w:tc>
          <w:tcPr>
            <w:tcW w:w="707" w:type="dxa"/>
          </w:tcPr>
          <w:p w14:paraId="3FBB26A9" w14:textId="78850DDF" w:rsidR="00564F41" w:rsidRPr="0060053A" w:rsidRDefault="00564F41" w:rsidP="00043458">
            <w:pPr>
              <w:tabs>
                <w:tab w:val="left" w:pos="180"/>
              </w:tabs>
              <w:spacing w:before="20" w:after="20"/>
              <w:ind w:left="0"/>
              <w:jc w:val="right"/>
            </w:pPr>
            <w:r w:rsidRPr="0060053A">
              <w:t>81</w:t>
            </w:r>
          </w:p>
        </w:tc>
        <w:tc>
          <w:tcPr>
            <w:tcW w:w="706" w:type="dxa"/>
          </w:tcPr>
          <w:p w14:paraId="09C6F2FF" w14:textId="75468679" w:rsidR="00564F41" w:rsidRPr="0060053A" w:rsidRDefault="00564F41" w:rsidP="00043458">
            <w:pPr>
              <w:tabs>
                <w:tab w:val="left" w:pos="180"/>
              </w:tabs>
              <w:spacing w:before="20" w:after="20"/>
              <w:ind w:left="0"/>
              <w:jc w:val="right"/>
            </w:pPr>
            <w:r w:rsidRPr="0060053A">
              <w:t>118</w:t>
            </w:r>
          </w:p>
        </w:tc>
        <w:tc>
          <w:tcPr>
            <w:tcW w:w="707" w:type="dxa"/>
          </w:tcPr>
          <w:p w14:paraId="3064CCB2" w14:textId="0B277F0F" w:rsidR="00564F41" w:rsidRPr="0060053A" w:rsidRDefault="00564F41" w:rsidP="00043458">
            <w:pPr>
              <w:tabs>
                <w:tab w:val="left" w:pos="180"/>
              </w:tabs>
              <w:spacing w:before="20" w:after="20"/>
              <w:ind w:left="0"/>
              <w:jc w:val="right"/>
            </w:pPr>
            <w:r w:rsidRPr="0060053A">
              <w:t>195</w:t>
            </w:r>
          </w:p>
        </w:tc>
        <w:tc>
          <w:tcPr>
            <w:tcW w:w="707" w:type="dxa"/>
          </w:tcPr>
          <w:p w14:paraId="7F0DBD51" w14:textId="6C97418E" w:rsidR="00564F41" w:rsidRPr="0060053A" w:rsidRDefault="00564F41" w:rsidP="00043458">
            <w:pPr>
              <w:tabs>
                <w:tab w:val="left" w:pos="180"/>
              </w:tabs>
              <w:spacing w:before="20" w:after="20"/>
              <w:ind w:left="0"/>
              <w:jc w:val="right"/>
            </w:pPr>
            <w:r w:rsidRPr="0060053A">
              <w:t>243</w:t>
            </w:r>
          </w:p>
        </w:tc>
      </w:tr>
      <w:tr w:rsidR="00564F41" w:rsidRPr="0060053A" w14:paraId="641EF7B6" w14:textId="4D24BD1E" w:rsidTr="006D189E">
        <w:trPr>
          <w:jc w:val="center"/>
        </w:trPr>
        <w:tc>
          <w:tcPr>
            <w:tcW w:w="1588" w:type="dxa"/>
          </w:tcPr>
          <w:p w14:paraId="73008D77" w14:textId="6CE60613" w:rsidR="00564F41" w:rsidRPr="0060053A" w:rsidRDefault="00564F41" w:rsidP="00277580">
            <w:pPr>
              <w:tabs>
                <w:tab w:val="left" w:pos="180"/>
              </w:tabs>
              <w:spacing w:before="20" w:after="20"/>
              <w:ind w:left="0" w:right="553"/>
              <w:jc w:val="right"/>
            </w:pPr>
            <w:r w:rsidRPr="0060053A">
              <w:t>14</w:t>
            </w:r>
          </w:p>
        </w:tc>
        <w:tc>
          <w:tcPr>
            <w:tcW w:w="706" w:type="dxa"/>
          </w:tcPr>
          <w:p w14:paraId="77400417" w14:textId="3B415A21" w:rsidR="00564F41" w:rsidRPr="0060053A" w:rsidRDefault="00564F41" w:rsidP="00277580">
            <w:pPr>
              <w:tabs>
                <w:tab w:val="left" w:pos="180"/>
              </w:tabs>
              <w:spacing w:before="20" w:after="20"/>
              <w:ind w:left="0"/>
              <w:jc w:val="center"/>
              <w:rPr>
                <w:b/>
                <w:bCs/>
              </w:rPr>
            </w:pPr>
            <w:r w:rsidRPr="0060053A">
              <w:rPr>
                <w:b/>
                <w:bCs/>
              </w:rPr>
              <w:t>Mon</w:t>
            </w:r>
          </w:p>
        </w:tc>
        <w:tc>
          <w:tcPr>
            <w:tcW w:w="707" w:type="dxa"/>
          </w:tcPr>
          <w:p w14:paraId="6DE9DBEA" w14:textId="4782B582" w:rsidR="00564F41" w:rsidRPr="0060053A" w:rsidRDefault="00564F41" w:rsidP="00043458">
            <w:pPr>
              <w:tabs>
                <w:tab w:val="left" w:pos="180"/>
              </w:tabs>
              <w:spacing w:before="20" w:after="20"/>
              <w:ind w:left="0"/>
              <w:jc w:val="right"/>
            </w:pPr>
            <w:r w:rsidRPr="0060053A">
              <w:t>42</w:t>
            </w:r>
          </w:p>
        </w:tc>
        <w:tc>
          <w:tcPr>
            <w:tcW w:w="706" w:type="dxa"/>
          </w:tcPr>
          <w:p w14:paraId="3FA6A010" w14:textId="78AE994C" w:rsidR="00564F41" w:rsidRPr="0060053A" w:rsidRDefault="00564F41" w:rsidP="00043458">
            <w:pPr>
              <w:tabs>
                <w:tab w:val="left" w:pos="180"/>
              </w:tabs>
              <w:spacing w:before="20" w:after="20"/>
              <w:ind w:left="0"/>
              <w:jc w:val="right"/>
            </w:pPr>
            <w:r w:rsidRPr="0060053A">
              <w:t>26</w:t>
            </w:r>
          </w:p>
        </w:tc>
        <w:tc>
          <w:tcPr>
            <w:tcW w:w="707" w:type="dxa"/>
          </w:tcPr>
          <w:p w14:paraId="7657499F" w14:textId="611E484D" w:rsidR="00564F41" w:rsidRPr="0060053A" w:rsidRDefault="00564F41" w:rsidP="00043458">
            <w:pPr>
              <w:tabs>
                <w:tab w:val="left" w:pos="180"/>
              </w:tabs>
              <w:spacing w:before="20" w:after="20"/>
              <w:ind w:left="0"/>
              <w:jc w:val="right"/>
            </w:pPr>
            <w:r w:rsidRPr="0060053A">
              <w:t>16</w:t>
            </w:r>
          </w:p>
        </w:tc>
        <w:tc>
          <w:tcPr>
            <w:tcW w:w="706" w:type="dxa"/>
          </w:tcPr>
          <w:p w14:paraId="0DB0415D" w14:textId="6920B445" w:rsidR="00564F41" w:rsidRPr="0060053A" w:rsidRDefault="00564F41" w:rsidP="00043458">
            <w:pPr>
              <w:tabs>
                <w:tab w:val="left" w:pos="180"/>
              </w:tabs>
              <w:spacing w:before="20" w:after="20"/>
              <w:ind w:left="0"/>
              <w:jc w:val="right"/>
            </w:pPr>
            <w:r w:rsidRPr="0060053A">
              <w:t>20</w:t>
            </w:r>
          </w:p>
        </w:tc>
        <w:tc>
          <w:tcPr>
            <w:tcW w:w="707" w:type="dxa"/>
          </w:tcPr>
          <w:p w14:paraId="3DC85624" w14:textId="63DF4551" w:rsidR="00564F41" w:rsidRPr="0060053A" w:rsidRDefault="00564F41" w:rsidP="00043458">
            <w:pPr>
              <w:tabs>
                <w:tab w:val="left" w:pos="180"/>
              </w:tabs>
              <w:spacing w:before="20" w:after="20"/>
              <w:ind w:left="0"/>
              <w:jc w:val="right"/>
            </w:pPr>
            <w:r w:rsidRPr="0060053A">
              <w:t>17</w:t>
            </w:r>
          </w:p>
        </w:tc>
        <w:tc>
          <w:tcPr>
            <w:tcW w:w="706" w:type="dxa"/>
          </w:tcPr>
          <w:p w14:paraId="499D7640" w14:textId="6580E6A8" w:rsidR="00564F41" w:rsidRPr="0060053A" w:rsidRDefault="00564F41" w:rsidP="00043458">
            <w:pPr>
              <w:tabs>
                <w:tab w:val="left" w:pos="180"/>
              </w:tabs>
              <w:spacing w:before="20" w:after="20"/>
              <w:ind w:left="0"/>
              <w:jc w:val="right"/>
            </w:pPr>
            <w:r w:rsidRPr="0060053A">
              <w:t>65</w:t>
            </w:r>
          </w:p>
        </w:tc>
        <w:tc>
          <w:tcPr>
            <w:tcW w:w="707" w:type="dxa"/>
          </w:tcPr>
          <w:p w14:paraId="38CE408E" w14:textId="5915820C" w:rsidR="00564F41" w:rsidRPr="0060053A" w:rsidRDefault="00564F41" w:rsidP="00043458">
            <w:pPr>
              <w:tabs>
                <w:tab w:val="left" w:pos="180"/>
              </w:tabs>
              <w:spacing w:before="20" w:after="20"/>
              <w:ind w:left="0"/>
              <w:jc w:val="right"/>
            </w:pPr>
            <w:r w:rsidRPr="0060053A">
              <w:t>158</w:t>
            </w:r>
          </w:p>
        </w:tc>
        <w:tc>
          <w:tcPr>
            <w:tcW w:w="706" w:type="dxa"/>
          </w:tcPr>
          <w:p w14:paraId="5B8F501D" w14:textId="22DDECCB" w:rsidR="00564F41" w:rsidRPr="0060053A" w:rsidRDefault="00564F41" w:rsidP="00043458">
            <w:pPr>
              <w:tabs>
                <w:tab w:val="left" w:pos="180"/>
              </w:tabs>
              <w:spacing w:before="20" w:after="20"/>
              <w:ind w:left="0"/>
              <w:jc w:val="right"/>
            </w:pPr>
            <w:r w:rsidRPr="0060053A">
              <w:t>195</w:t>
            </w:r>
          </w:p>
        </w:tc>
        <w:tc>
          <w:tcPr>
            <w:tcW w:w="707" w:type="dxa"/>
          </w:tcPr>
          <w:p w14:paraId="24016225" w14:textId="77714ADB" w:rsidR="00564F41" w:rsidRPr="0060053A" w:rsidRDefault="00564F41" w:rsidP="00043458">
            <w:pPr>
              <w:tabs>
                <w:tab w:val="left" w:pos="180"/>
              </w:tabs>
              <w:spacing w:before="20" w:after="20"/>
              <w:ind w:left="0"/>
              <w:jc w:val="right"/>
            </w:pPr>
            <w:r w:rsidRPr="0060053A">
              <w:t>218</w:t>
            </w:r>
          </w:p>
        </w:tc>
        <w:tc>
          <w:tcPr>
            <w:tcW w:w="707" w:type="dxa"/>
          </w:tcPr>
          <w:p w14:paraId="157808EF" w14:textId="236CA0C4" w:rsidR="00564F41" w:rsidRPr="0060053A" w:rsidRDefault="00564F41" w:rsidP="00043458">
            <w:pPr>
              <w:tabs>
                <w:tab w:val="left" w:pos="180"/>
              </w:tabs>
              <w:spacing w:before="20" w:after="20"/>
              <w:ind w:left="0"/>
              <w:jc w:val="right"/>
            </w:pPr>
            <w:r w:rsidRPr="0060053A">
              <w:t>216</w:t>
            </w:r>
          </w:p>
        </w:tc>
      </w:tr>
      <w:tr w:rsidR="00564F41" w:rsidRPr="0060053A" w14:paraId="52FA6559" w14:textId="38FB74EB" w:rsidTr="006D189E">
        <w:trPr>
          <w:jc w:val="center"/>
        </w:trPr>
        <w:tc>
          <w:tcPr>
            <w:tcW w:w="1588" w:type="dxa"/>
          </w:tcPr>
          <w:p w14:paraId="1311EBE5" w14:textId="141A8AB3" w:rsidR="00564F41" w:rsidRPr="0060053A" w:rsidRDefault="00564F41" w:rsidP="00277580">
            <w:pPr>
              <w:tabs>
                <w:tab w:val="left" w:pos="180"/>
              </w:tabs>
              <w:spacing w:before="20" w:after="20"/>
              <w:ind w:left="0" w:right="553"/>
              <w:jc w:val="right"/>
            </w:pPr>
            <w:r w:rsidRPr="0060053A">
              <w:t>15</w:t>
            </w:r>
          </w:p>
        </w:tc>
        <w:tc>
          <w:tcPr>
            <w:tcW w:w="706" w:type="dxa"/>
          </w:tcPr>
          <w:p w14:paraId="31935D73" w14:textId="0B95F5FB" w:rsidR="00564F41" w:rsidRPr="0060053A" w:rsidRDefault="00564F41" w:rsidP="00277580">
            <w:pPr>
              <w:tabs>
                <w:tab w:val="left" w:pos="180"/>
              </w:tabs>
              <w:spacing w:before="20" w:after="20"/>
              <w:ind w:left="0"/>
              <w:jc w:val="center"/>
              <w:rPr>
                <w:b/>
                <w:bCs/>
              </w:rPr>
            </w:pPr>
            <w:r w:rsidRPr="0060053A">
              <w:rPr>
                <w:b/>
                <w:bCs/>
              </w:rPr>
              <w:t>Tue</w:t>
            </w:r>
          </w:p>
        </w:tc>
        <w:tc>
          <w:tcPr>
            <w:tcW w:w="707" w:type="dxa"/>
          </w:tcPr>
          <w:p w14:paraId="7D74D386" w14:textId="704077C8" w:rsidR="00564F41" w:rsidRPr="0060053A" w:rsidRDefault="00564F41" w:rsidP="00043458">
            <w:pPr>
              <w:tabs>
                <w:tab w:val="left" w:pos="180"/>
              </w:tabs>
              <w:spacing w:before="20" w:after="20"/>
              <w:ind w:left="0"/>
              <w:jc w:val="right"/>
            </w:pPr>
            <w:r w:rsidRPr="0060053A">
              <w:t>39</w:t>
            </w:r>
          </w:p>
        </w:tc>
        <w:tc>
          <w:tcPr>
            <w:tcW w:w="706" w:type="dxa"/>
          </w:tcPr>
          <w:p w14:paraId="05E3B837" w14:textId="765D0A53" w:rsidR="00564F41" w:rsidRPr="0060053A" w:rsidRDefault="00564F41" w:rsidP="00043458">
            <w:pPr>
              <w:tabs>
                <w:tab w:val="left" w:pos="180"/>
              </w:tabs>
              <w:spacing w:before="20" w:after="20"/>
              <w:ind w:left="0"/>
              <w:jc w:val="right"/>
            </w:pPr>
            <w:r w:rsidRPr="0060053A">
              <w:t>37</w:t>
            </w:r>
          </w:p>
        </w:tc>
        <w:tc>
          <w:tcPr>
            <w:tcW w:w="707" w:type="dxa"/>
          </w:tcPr>
          <w:p w14:paraId="0C1EC544" w14:textId="4D059A39" w:rsidR="00564F41" w:rsidRPr="0060053A" w:rsidRDefault="00564F41" w:rsidP="00043458">
            <w:pPr>
              <w:tabs>
                <w:tab w:val="left" w:pos="180"/>
              </w:tabs>
              <w:spacing w:before="20" w:after="20"/>
              <w:ind w:left="0"/>
              <w:jc w:val="right"/>
            </w:pPr>
            <w:r w:rsidRPr="0060053A">
              <w:t>30</w:t>
            </w:r>
          </w:p>
        </w:tc>
        <w:tc>
          <w:tcPr>
            <w:tcW w:w="706" w:type="dxa"/>
          </w:tcPr>
          <w:p w14:paraId="1382666C" w14:textId="2083AE49" w:rsidR="00564F41" w:rsidRPr="0060053A" w:rsidRDefault="00564F41" w:rsidP="00043458">
            <w:pPr>
              <w:tabs>
                <w:tab w:val="left" w:pos="180"/>
              </w:tabs>
              <w:spacing w:before="20" w:after="20"/>
              <w:ind w:left="0"/>
              <w:jc w:val="right"/>
            </w:pPr>
            <w:r w:rsidRPr="0060053A">
              <w:t>65</w:t>
            </w:r>
          </w:p>
        </w:tc>
        <w:tc>
          <w:tcPr>
            <w:tcW w:w="707" w:type="dxa"/>
          </w:tcPr>
          <w:p w14:paraId="0C9FF0DD" w14:textId="15154F30" w:rsidR="00564F41" w:rsidRPr="0060053A" w:rsidRDefault="00564F41" w:rsidP="00043458">
            <w:pPr>
              <w:tabs>
                <w:tab w:val="left" w:pos="180"/>
              </w:tabs>
              <w:spacing w:before="20" w:after="20"/>
              <w:ind w:left="0"/>
              <w:jc w:val="right"/>
            </w:pPr>
            <w:r w:rsidRPr="0060053A">
              <w:t>159</w:t>
            </w:r>
          </w:p>
        </w:tc>
        <w:tc>
          <w:tcPr>
            <w:tcW w:w="706" w:type="dxa"/>
          </w:tcPr>
          <w:p w14:paraId="6EE80787" w14:textId="5ACE271A" w:rsidR="00564F41" w:rsidRPr="0060053A" w:rsidRDefault="00564F41" w:rsidP="00043458">
            <w:pPr>
              <w:tabs>
                <w:tab w:val="left" w:pos="180"/>
              </w:tabs>
              <w:spacing w:before="20" w:after="20"/>
              <w:ind w:left="0"/>
              <w:jc w:val="right"/>
            </w:pPr>
            <w:r w:rsidRPr="0060053A">
              <w:t>514</w:t>
            </w:r>
          </w:p>
        </w:tc>
        <w:tc>
          <w:tcPr>
            <w:tcW w:w="707" w:type="dxa"/>
          </w:tcPr>
          <w:p w14:paraId="5675BD8D" w14:textId="7F6FCF14" w:rsidR="00564F41" w:rsidRPr="0060053A" w:rsidRDefault="00564F41" w:rsidP="00043458">
            <w:pPr>
              <w:tabs>
                <w:tab w:val="left" w:pos="180"/>
              </w:tabs>
              <w:spacing w:before="20" w:after="20"/>
              <w:ind w:left="0"/>
              <w:jc w:val="right"/>
            </w:pPr>
            <w:r w:rsidRPr="0060053A">
              <w:t>597</w:t>
            </w:r>
          </w:p>
        </w:tc>
        <w:tc>
          <w:tcPr>
            <w:tcW w:w="706" w:type="dxa"/>
          </w:tcPr>
          <w:p w14:paraId="7DF5BFA2" w14:textId="6B085369" w:rsidR="00564F41" w:rsidRPr="0060053A" w:rsidRDefault="00564F41" w:rsidP="00043458">
            <w:pPr>
              <w:tabs>
                <w:tab w:val="left" w:pos="180"/>
              </w:tabs>
              <w:spacing w:before="20" w:after="20"/>
              <w:ind w:left="0"/>
              <w:jc w:val="right"/>
            </w:pPr>
            <w:r w:rsidRPr="0060053A">
              <w:t>608</w:t>
            </w:r>
          </w:p>
        </w:tc>
        <w:tc>
          <w:tcPr>
            <w:tcW w:w="707" w:type="dxa"/>
          </w:tcPr>
          <w:p w14:paraId="57C59BE4" w14:textId="1FA4539C" w:rsidR="00564F41" w:rsidRPr="0060053A" w:rsidRDefault="00564F41" w:rsidP="00043458">
            <w:pPr>
              <w:tabs>
                <w:tab w:val="left" w:pos="180"/>
              </w:tabs>
              <w:spacing w:before="20" w:after="20"/>
              <w:ind w:left="0"/>
              <w:jc w:val="right"/>
            </w:pPr>
            <w:r w:rsidRPr="0060053A">
              <w:t>629</w:t>
            </w:r>
          </w:p>
        </w:tc>
        <w:tc>
          <w:tcPr>
            <w:tcW w:w="707" w:type="dxa"/>
          </w:tcPr>
          <w:p w14:paraId="21C128C6" w14:textId="58B18BAE" w:rsidR="00564F41" w:rsidRPr="0060053A" w:rsidRDefault="00564F41" w:rsidP="00043458">
            <w:pPr>
              <w:tabs>
                <w:tab w:val="left" w:pos="180"/>
              </w:tabs>
              <w:spacing w:before="20" w:after="20"/>
              <w:ind w:left="0"/>
              <w:jc w:val="right"/>
            </w:pPr>
            <w:r w:rsidRPr="0060053A">
              <w:t>660</w:t>
            </w:r>
          </w:p>
        </w:tc>
      </w:tr>
      <w:tr w:rsidR="00564F41" w:rsidRPr="0060053A" w14:paraId="78765E48" w14:textId="0A45FFC3" w:rsidTr="006D189E">
        <w:trPr>
          <w:jc w:val="center"/>
        </w:trPr>
        <w:tc>
          <w:tcPr>
            <w:tcW w:w="1588" w:type="dxa"/>
          </w:tcPr>
          <w:p w14:paraId="6B0EFA45" w14:textId="30232B7D" w:rsidR="00564F41" w:rsidRPr="0060053A" w:rsidRDefault="00564F41" w:rsidP="00277580">
            <w:pPr>
              <w:tabs>
                <w:tab w:val="left" w:pos="180"/>
              </w:tabs>
              <w:spacing w:before="20" w:after="20"/>
              <w:ind w:left="0" w:right="553"/>
              <w:jc w:val="right"/>
            </w:pPr>
            <w:r w:rsidRPr="0060053A">
              <w:t>16</w:t>
            </w:r>
          </w:p>
        </w:tc>
        <w:tc>
          <w:tcPr>
            <w:tcW w:w="706" w:type="dxa"/>
          </w:tcPr>
          <w:p w14:paraId="38A41B55" w14:textId="73B24391" w:rsidR="00564F41" w:rsidRPr="0060053A" w:rsidRDefault="00564F41" w:rsidP="00277580">
            <w:pPr>
              <w:tabs>
                <w:tab w:val="left" w:pos="180"/>
              </w:tabs>
              <w:spacing w:before="20" w:after="20"/>
              <w:ind w:left="0"/>
              <w:jc w:val="center"/>
              <w:rPr>
                <w:b/>
                <w:bCs/>
              </w:rPr>
            </w:pPr>
            <w:r w:rsidRPr="0060053A">
              <w:rPr>
                <w:b/>
                <w:bCs/>
              </w:rPr>
              <w:t>Wed*</w:t>
            </w:r>
          </w:p>
        </w:tc>
        <w:tc>
          <w:tcPr>
            <w:tcW w:w="707" w:type="dxa"/>
          </w:tcPr>
          <w:p w14:paraId="0AB965DF" w14:textId="597205F3" w:rsidR="00564F41" w:rsidRPr="0060053A" w:rsidRDefault="00564F41" w:rsidP="00043458">
            <w:pPr>
              <w:tabs>
                <w:tab w:val="left" w:pos="180"/>
              </w:tabs>
              <w:spacing w:before="20" w:after="20"/>
              <w:ind w:left="0"/>
              <w:jc w:val="right"/>
            </w:pPr>
            <w:r w:rsidRPr="0060053A">
              <w:t>76</w:t>
            </w:r>
          </w:p>
        </w:tc>
        <w:tc>
          <w:tcPr>
            <w:tcW w:w="706" w:type="dxa"/>
          </w:tcPr>
          <w:p w14:paraId="0585D543" w14:textId="2FD56D50" w:rsidR="00564F41" w:rsidRPr="0060053A" w:rsidRDefault="00564F41" w:rsidP="00043458">
            <w:pPr>
              <w:tabs>
                <w:tab w:val="left" w:pos="180"/>
              </w:tabs>
              <w:spacing w:before="20" w:after="20"/>
              <w:ind w:left="0"/>
              <w:jc w:val="right"/>
            </w:pPr>
            <w:r w:rsidRPr="0060053A">
              <w:t>31</w:t>
            </w:r>
          </w:p>
        </w:tc>
        <w:tc>
          <w:tcPr>
            <w:tcW w:w="707" w:type="dxa"/>
          </w:tcPr>
          <w:p w14:paraId="7A53161F" w14:textId="13783FF3" w:rsidR="00564F41" w:rsidRPr="0060053A" w:rsidRDefault="00564F41" w:rsidP="00043458">
            <w:pPr>
              <w:tabs>
                <w:tab w:val="left" w:pos="180"/>
              </w:tabs>
              <w:spacing w:before="20" w:after="20"/>
              <w:ind w:left="0"/>
              <w:jc w:val="right"/>
            </w:pPr>
            <w:r w:rsidRPr="0060053A">
              <w:t>36</w:t>
            </w:r>
          </w:p>
        </w:tc>
        <w:tc>
          <w:tcPr>
            <w:tcW w:w="706" w:type="dxa"/>
          </w:tcPr>
          <w:p w14:paraId="60849899" w14:textId="5960C515" w:rsidR="00564F41" w:rsidRPr="0060053A" w:rsidRDefault="00564F41" w:rsidP="00043458">
            <w:pPr>
              <w:tabs>
                <w:tab w:val="left" w:pos="180"/>
              </w:tabs>
              <w:spacing w:before="20" w:after="20"/>
              <w:ind w:left="0"/>
              <w:jc w:val="right"/>
            </w:pPr>
            <w:r w:rsidRPr="0060053A">
              <w:t>61</w:t>
            </w:r>
          </w:p>
        </w:tc>
        <w:tc>
          <w:tcPr>
            <w:tcW w:w="707" w:type="dxa"/>
          </w:tcPr>
          <w:p w14:paraId="59DF10CE" w14:textId="5F9D42D1" w:rsidR="00564F41" w:rsidRPr="0060053A" w:rsidRDefault="00564F41" w:rsidP="00043458">
            <w:pPr>
              <w:tabs>
                <w:tab w:val="left" w:pos="180"/>
              </w:tabs>
              <w:spacing w:before="20" w:after="20"/>
              <w:ind w:left="0"/>
              <w:jc w:val="right"/>
            </w:pPr>
            <w:r w:rsidRPr="0060053A">
              <w:t>182</w:t>
            </w:r>
          </w:p>
        </w:tc>
        <w:tc>
          <w:tcPr>
            <w:tcW w:w="706" w:type="dxa"/>
          </w:tcPr>
          <w:p w14:paraId="5D9485E7" w14:textId="13B28AA6" w:rsidR="00564F41" w:rsidRPr="0060053A" w:rsidRDefault="00564F41" w:rsidP="00043458">
            <w:pPr>
              <w:tabs>
                <w:tab w:val="left" w:pos="180"/>
              </w:tabs>
              <w:spacing w:before="20" w:after="20"/>
              <w:ind w:left="0"/>
              <w:jc w:val="right"/>
            </w:pPr>
            <w:r w:rsidRPr="0060053A">
              <w:t>496</w:t>
            </w:r>
          </w:p>
        </w:tc>
        <w:tc>
          <w:tcPr>
            <w:tcW w:w="707" w:type="dxa"/>
          </w:tcPr>
          <w:p w14:paraId="25E1CB4E" w14:textId="47F5D3DD" w:rsidR="00564F41" w:rsidRPr="0060053A" w:rsidRDefault="00564F41" w:rsidP="00043458">
            <w:pPr>
              <w:tabs>
                <w:tab w:val="left" w:pos="180"/>
              </w:tabs>
              <w:spacing w:before="20" w:after="20"/>
              <w:ind w:left="0"/>
              <w:jc w:val="right"/>
            </w:pPr>
            <w:r w:rsidRPr="0060053A">
              <w:t>NA</w:t>
            </w:r>
          </w:p>
        </w:tc>
        <w:tc>
          <w:tcPr>
            <w:tcW w:w="706" w:type="dxa"/>
          </w:tcPr>
          <w:p w14:paraId="624147C0" w14:textId="37D15B20" w:rsidR="00564F41" w:rsidRPr="0060053A" w:rsidRDefault="00564F41" w:rsidP="00043458">
            <w:pPr>
              <w:tabs>
                <w:tab w:val="left" w:pos="180"/>
              </w:tabs>
              <w:spacing w:before="20" w:after="20"/>
              <w:ind w:left="0"/>
              <w:jc w:val="right"/>
            </w:pPr>
            <w:r w:rsidRPr="0060053A">
              <w:t>NA</w:t>
            </w:r>
          </w:p>
        </w:tc>
        <w:tc>
          <w:tcPr>
            <w:tcW w:w="707" w:type="dxa"/>
          </w:tcPr>
          <w:p w14:paraId="7D6A7779" w14:textId="55CEDF56" w:rsidR="00564F41" w:rsidRPr="0060053A" w:rsidRDefault="00564F41" w:rsidP="00043458">
            <w:pPr>
              <w:tabs>
                <w:tab w:val="left" w:pos="180"/>
              </w:tabs>
              <w:spacing w:before="20" w:after="20"/>
              <w:ind w:left="0"/>
              <w:jc w:val="right"/>
            </w:pPr>
            <w:r w:rsidRPr="0060053A">
              <w:t>NA</w:t>
            </w:r>
          </w:p>
        </w:tc>
        <w:tc>
          <w:tcPr>
            <w:tcW w:w="707" w:type="dxa"/>
          </w:tcPr>
          <w:p w14:paraId="3A71886C" w14:textId="404E39E3" w:rsidR="00564F41" w:rsidRPr="0060053A" w:rsidRDefault="00564F41" w:rsidP="00043458">
            <w:pPr>
              <w:tabs>
                <w:tab w:val="left" w:pos="180"/>
              </w:tabs>
              <w:spacing w:before="20" w:after="20"/>
              <w:ind w:left="0"/>
              <w:jc w:val="right"/>
            </w:pPr>
            <w:r w:rsidRPr="0060053A">
              <w:t>NA</w:t>
            </w:r>
          </w:p>
        </w:tc>
      </w:tr>
    </w:tbl>
    <w:p w14:paraId="7EF516DD" w14:textId="50F4E79E" w:rsidR="003F7B9F" w:rsidRDefault="002F3C52" w:rsidP="006D189E">
      <w:pPr>
        <w:pStyle w:val="BodyText"/>
        <w:spacing w:after="60"/>
      </w:pPr>
      <w:r>
        <w:t>*</w:t>
      </w:r>
      <w:r w:rsidR="003F7B9F" w:rsidRPr="00643085">
        <w:t xml:space="preserve">For more information on this method, please refer to </w:t>
      </w:r>
      <w:bookmarkStart w:id="2609" w:name="_Hlk76056576"/>
      <w:r w:rsidR="003F7B9F" w:rsidRPr="00F819DF">
        <w:rPr>
          <w:i/>
          <w:iCs/>
        </w:rPr>
        <w:t>TRB Paper Number: 16-2477</w:t>
      </w:r>
      <w:bookmarkEnd w:id="2609"/>
      <w:r w:rsidR="0045795E">
        <w:rPr>
          <w:i/>
          <w:iCs/>
        </w:rPr>
        <w:t xml:space="preserve"> (2016)</w:t>
      </w:r>
      <w:r w:rsidR="003F7B9F" w:rsidRPr="00643085">
        <w:t>.</w:t>
      </w:r>
    </w:p>
    <w:p w14:paraId="6A758FD4" w14:textId="5E6688A4" w:rsidR="00C53DC1" w:rsidRPr="00643085" w:rsidRDefault="00C53DC1" w:rsidP="00A35EAF">
      <w:pPr>
        <w:pStyle w:val="BodyText"/>
      </w:pPr>
      <w:r>
        <w:t>**</w:t>
      </w:r>
      <w:r w:rsidR="00956F71">
        <w:t>Maintenance</w:t>
      </w:r>
      <w:r>
        <w:t xml:space="preserve"> </w:t>
      </w:r>
    </w:p>
    <w:p w14:paraId="1B7B27BB" w14:textId="78D53334" w:rsidR="003F7B9F" w:rsidRPr="00F819DF" w:rsidRDefault="005C71DE">
      <w:pPr>
        <w:pStyle w:val="Heading3"/>
      </w:pPr>
      <w:bookmarkStart w:id="2610" w:name="_Toc63977927"/>
      <w:bookmarkStart w:id="2611" w:name="_Toc63982675"/>
      <w:bookmarkStart w:id="2612" w:name="_Toc68190243"/>
      <w:bookmarkStart w:id="2613" w:name="_Toc118205667"/>
      <w:r w:rsidRPr="00F819DF">
        <w:t xml:space="preserve">Procedure for </w:t>
      </w:r>
      <w:r w:rsidR="003F7B9F" w:rsidRPr="00F819DF">
        <w:t xml:space="preserve">AADT Calculation </w:t>
      </w:r>
      <w:r w:rsidR="00956F71">
        <w:t>B</w:t>
      </w:r>
      <w:r w:rsidR="003F7B9F" w:rsidRPr="00F819DF">
        <w:t xml:space="preserve">ased on </w:t>
      </w:r>
      <w:r w:rsidR="00956F71">
        <w:t>CCS</w:t>
      </w:r>
      <w:r w:rsidR="00956F71" w:rsidRPr="00F819DF">
        <w:t xml:space="preserve"> </w:t>
      </w:r>
      <w:r w:rsidR="00956F71">
        <w:t>D</w:t>
      </w:r>
      <w:r w:rsidR="003F7B9F" w:rsidRPr="00F819DF">
        <w:t xml:space="preserve">ata </w:t>
      </w:r>
      <w:r w:rsidR="00956F71">
        <w:t>U</w:t>
      </w:r>
      <w:r w:rsidR="003F7B9F" w:rsidRPr="00F819DF">
        <w:t>sing the FHWA Formul</w:t>
      </w:r>
      <w:bookmarkEnd w:id="2610"/>
      <w:bookmarkEnd w:id="2611"/>
      <w:r w:rsidR="003F7B9F" w:rsidRPr="00F819DF">
        <w:t>a</w:t>
      </w:r>
      <w:bookmarkEnd w:id="2612"/>
      <w:bookmarkEnd w:id="2613"/>
    </w:p>
    <w:p w14:paraId="5EAFE5C2" w14:textId="6BA42CC3" w:rsidR="003F7B9F" w:rsidRPr="00643085" w:rsidRDefault="003F7B9F" w:rsidP="00A35EAF">
      <w:pPr>
        <w:pStyle w:val="BodyText"/>
        <w:rPr>
          <w:b/>
          <w:bCs/>
        </w:rPr>
      </w:pPr>
      <w:r w:rsidRPr="00643085">
        <w:t xml:space="preserve">AADT </w:t>
      </w:r>
      <w:r w:rsidR="00956F71">
        <w:t>c</w:t>
      </w:r>
      <w:r w:rsidRPr="00643085">
        <w:t>alculations are demonstrated in the steps below using the new FHWA AADT methodology.</w:t>
      </w:r>
    </w:p>
    <w:p w14:paraId="1D0E1F7E" w14:textId="3CAABEAC" w:rsidR="003F7B9F" w:rsidRPr="00643085" w:rsidRDefault="003F7B9F" w:rsidP="00A35EAF">
      <w:pPr>
        <w:pStyle w:val="BodyText"/>
      </w:pPr>
      <w:r w:rsidRPr="00643085">
        <w:rPr>
          <w:b/>
          <w:bCs/>
        </w:rPr>
        <w:t>Step 1</w:t>
      </w:r>
      <w:r w:rsidRPr="00643085">
        <w:t xml:space="preserve"> – determine the time increment of </w:t>
      </w:r>
      <w:r w:rsidR="00956F71">
        <w:t>the</w:t>
      </w:r>
      <w:r w:rsidR="00956F71" w:rsidRPr="00643085">
        <w:t xml:space="preserve"> </w:t>
      </w:r>
      <w:r w:rsidRPr="00643085">
        <w:t xml:space="preserve">data (hourly, 10 minutes, 5 minutes or 1 minute…) </w:t>
      </w:r>
    </w:p>
    <w:p w14:paraId="41DADA59" w14:textId="145636D8" w:rsidR="003F7B9F" w:rsidRDefault="003F7B9F" w:rsidP="00A35EAF">
      <w:pPr>
        <w:pStyle w:val="BodyText"/>
      </w:pPr>
      <w:r w:rsidRPr="00643085">
        <w:t>The new FHWA AADT formula will work with data in any time interval.</w:t>
      </w:r>
      <w:r w:rsidR="004D4172">
        <w:t xml:space="preserve"> </w:t>
      </w:r>
      <w:r w:rsidRPr="00643085">
        <w:t>All time intervals need to be the same length.</w:t>
      </w:r>
    </w:p>
    <w:p w14:paraId="03F75D4E" w14:textId="77777777" w:rsidR="003F7B9F" w:rsidRPr="00643085" w:rsidRDefault="003F7B9F" w:rsidP="00A35EAF">
      <w:pPr>
        <w:pStyle w:val="BodyText"/>
        <w:rPr>
          <w:b/>
          <w:bCs/>
        </w:rPr>
      </w:pPr>
      <w:r>
        <w:t>Apply steps 2 to 6 to each month of data.</w:t>
      </w:r>
    </w:p>
    <w:p w14:paraId="43C32C10" w14:textId="7D619742" w:rsidR="003F7B9F" w:rsidRDefault="003F7B9F" w:rsidP="00A35EAF">
      <w:pPr>
        <w:pStyle w:val="BodyText"/>
      </w:pPr>
      <w:r w:rsidRPr="00643085">
        <w:rPr>
          <w:b/>
          <w:bCs/>
        </w:rPr>
        <w:t>Step 2</w:t>
      </w:r>
      <w:r w:rsidRPr="00643085">
        <w:t xml:space="preserve"> – sum </w:t>
      </w:r>
      <w:r>
        <w:t xml:space="preserve">volumes for </w:t>
      </w:r>
      <w:r w:rsidRPr="00643085">
        <w:t>all time increments by each day of week</w:t>
      </w:r>
      <w:r>
        <w:t xml:space="preserve"> </w:t>
      </w:r>
    </w:p>
    <w:p w14:paraId="317E3A87" w14:textId="77777777" w:rsidR="003F7B9F" w:rsidRPr="00643085" w:rsidRDefault="003F7B9F" w:rsidP="00A35EAF">
      <w:pPr>
        <w:pStyle w:val="BodyText"/>
      </w:pPr>
      <w:r w:rsidRPr="00840927">
        <w:t>S</w:t>
      </w:r>
      <w:r w:rsidRPr="00643085">
        <w:t xml:space="preserve">um </w:t>
      </w:r>
      <w:r>
        <w:t xml:space="preserve">volumes for </w:t>
      </w:r>
      <w:r w:rsidRPr="00643085">
        <w:t>each time increment for 12:05 am to 12:09:59, and so on for each time increment for each DOW.</w:t>
      </w:r>
      <w:r w:rsidRPr="00643085">
        <w:rPr>
          <w:b/>
          <w:bCs/>
        </w:rPr>
        <w:t xml:space="preserve"> </w:t>
      </w:r>
    </w:p>
    <w:p w14:paraId="52982947" w14:textId="7153B777" w:rsidR="003F7B9F" w:rsidRDefault="003F7B9F" w:rsidP="00A35EAF">
      <w:pPr>
        <w:pStyle w:val="BodyText"/>
      </w:pPr>
      <w:r w:rsidRPr="00643085">
        <w:t>For 5</w:t>
      </w:r>
      <w:r w:rsidR="00E652B1">
        <w:t>-</w:t>
      </w:r>
      <w:r w:rsidRPr="00643085">
        <w:t xml:space="preserve">minute increment </w:t>
      </w:r>
      <w:r w:rsidR="00E652B1">
        <w:t xml:space="preserve">of </w:t>
      </w:r>
      <w:r w:rsidRPr="00643085">
        <w:t>data</w:t>
      </w:r>
      <w:r w:rsidR="00E652B1">
        <w:t>,</w:t>
      </w:r>
      <w:r w:rsidRPr="00643085">
        <w:t xml:space="preserve"> sum </w:t>
      </w:r>
      <w:r w:rsidR="00E652B1">
        <w:t xml:space="preserve">the values </w:t>
      </w:r>
      <w:r w:rsidRPr="00643085">
        <w:t xml:space="preserve">for Sunday at 12:00:00 am to 12:04:59 am for each time this data is available for a given month (it could be 1 or up to 5 values </w:t>
      </w:r>
      <w:r w:rsidR="00E652B1">
        <w:t>that are</w:t>
      </w:r>
      <w:r w:rsidRPr="00643085">
        <w:t xml:space="preserve"> sum</w:t>
      </w:r>
      <w:r w:rsidR="00E652B1">
        <w:t>med</w:t>
      </w:r>
      <w:r w:rsidRPr="00643085">
        <w:t xml:space="preserve"> for a given month)</w:t>
      </w:r>
      <w:r w:rsidR="00E652B1">
        <w:t>.</w:t>
      </w:r>
    </w:p>
    <w:p w14:paraId="309BFFB3" w14:textId="48007ED4" w:rsidR="00740995" w:rsidRDefault="00740995" w:rsidP="000F2A7A">
      <w:pPr>
        <w:pStyle w:val="TMGTableCaption"/>
      </w:pPr>
      <w:bookmarkStart w:id="2614" w:name="_Toc114474838"/>
      <w:bookmarkStart w:id="2615" w:name="_Toc120631144"/>
      <w:r>
        <w:t xml:space="preserve">Table </w:t>
      </w:r>
      <w:fldSimple w:instr=" STYLEREF 1 \s ">
        <w:r w:rsidR="00C07DF9">
          <w:rPr>
            <w:noProof/>
          </w:rPr>
          <w:t>3</w:t>
        </w:r>
      </w:fldSimple>
      <w:r w:rsidR="00FE5355">
        <w:noBreakHyphen/>
      </w:r>
      <w:fldSimple w:instr=" SEQ Table \* ARABIC \s 1 ">
        <w:r w:rsidR="00C07DF9">
          <w:rPr>
            <w:noProof/>
          </w:rPr>
          <w:t>18</w:t>
        </w:r>
      </w:fldSimple>
      <w:r w:rsidR="00627DD7">
        <w:t>.</w:t>
      </w:r>
      <w:r>
        <w:t xml:space="preserve"> Example of</w:t>
      </w:r>
      <w:r w:rsidR="00FE5355">
        <w:t xml:space="preserve"> Hourly Totals for</w:t>
      </w:r>
      <w:r>
        <w:t xml:space="preserve"> </w:t>
      </w:r>
      <w:r w:rsidR="00FE5355">
        <w:t xml:space="preserve">Time-of-Day and </w:t>
      </w:r>
      <w:r>
        <w:t>Day-of-Week</w:t>
      </w:r>
      <w:bookmarkEnd w:id="2614"/>
      <w:bookmarkEnd w:id="2615"/>
      <w:r>
        <w:t xml:space="preserve"> </w:t>
      </w:r>
    </w:p>
    <w:tbl>
      <w:tblPr>
        <w:tblStyle w:val="TableGrid"/>
        <w:tblW w:w="9360" w:type="dxa"/>
        <w:jc w:val="center"/>
        <w:tblCellMar>
          <w:left w:w="86" w:type="dxa"/>
          <w:right w:w="86" w:type="dxa"/>
        </w:tblCellMar>
        <w:tblLook w:val="04A0" w:firstRow="1" w:lastRow="0" w:firstColumn="1" w:lastColumn="0" w:noHBand="0" w:noVBand="1"/>
      </w:tblPr>
      <w:tblGrid>
        <w:gridCol w:w="1361"/>
        <w:gridCol w:w="1333"/>
        <w:gridCol w:w="1333"/>
        <w:gridCol w:w="1333"/>
        <w:gridCol w:w="1333"/>
        <w:gridCol w:w="1333"/>
        <w:gridCol w:w="1334"/>
      </w:tblGrid>
      <w:tr w:rsidR="000078A2" w:rsidRPr="000078A2" w14:paraId="2428AFC2" w14:textId="77777777" w:rsidTr="00277580">
        <w:trPr>
          <w:tblHeader/>
          <w:jc w:val="center"/>
        </w:trPr>
        <w:tc>
          <w:tcPr>
            <w:tcW w:w="1361" w:type="dxa"/>
            <w:tcBorders>
              <w:right w:val="single" w:sz="4" w:space="0" w:color="FFFFFF" w:themeColor="background1"/>
            </w:tcBorders>
            <w:shd w:val="clear" w:color="auto" w:fill="1F3864"/>
            <w:vAlign w:val="center"/>
          </w:tcPr>
          <w:p w14:paraId="30A1EBB9" w14:textId="77777777" w:rsidR="000078A2" w:rsidRPr="006D189E" w:rsidRDefault="000078A2" w:rsidP="002E1E4D">
            <w:pPr>
              <w:pStyle w:val="TMGTableTextHeader"/>
            </w:pPr>
            <w:r w:rsidRPr="006D189E">
              <w:t>May 2019</w:t>
            </w:r>
          </w:p>
          <w:p w14:paraId="2FB9F0BA" w14:textId="57264C39" w:rsidR="000078A2" w:rsidRPr="006D189E" w:rsidRDefault="000078A2" w:rsidP="002E1E4D">
            <w:pPr>
              <w:pStyle w:val="TMGTableTextHeader"/>
            </w:pPr>
            <w:r w:rsidRPr="006D189E">
              <w:t>Time</w:t>
            </w:r>
          </w:p>
        </w:tc>
        <w:tc>
          <w:tcPr>
            <w:tcW w:w="1333" w:type="dxa"/>
            <w:tcBorders>
              <w:left w:val="single" w:sz="4" w:space="0" w:color="FFFFFF" w:themeColor="background1"/>
              <w:right w:val="single" w:sz="4" w:space="0" w:color="FFFFFF" w:themeColor="background1"/>
            </w:tcBorders>
            <w:shd w:val="clear" w:color="auto" w:fill="1F3864"/>
            <w:vAlign w:val="center"/>
          </w:tcPr>
          <w:p w14:paraId="06A1E463" w14:textId="77777777" w:rsidR="000078A2" w:rsidRPr="006D189E" w:rsidRDefault="000078A2" w:rsidP="002E1E4D">
            <w:pPr>
              <w:pStyle w:val="TMGTableTextHeader"/>
            </w:pPr>
            <w:r w:rsidRPr="006D189E">
              <w:t>1</w:t>
            </w:r>
            <w:r w:rsidRPr="006D189E">
              <w:rPr>
                <w:vertAlign w:val="superscript"/>
              </w:rPr>
              <w:t>st</w:t>
            </w:r>
            <w:r w:rsidRPr="006D189E">
              <w:t xml:space="preserve"> Sunday</w:t>
            </w:r>
          </w:p>
          <w:p w14:paraId="0B54D050" w14:textId="478E21CD" w:rsidR="000078A2" w:rsidRPr="006D189E" w:rsidRDefault="000078A2" w:rsidP="002E1E4D">
            <w:pPr>
              <w:pStyle w:val="TMGTableTextHeader"/>
            </w:pPr>
            <w:r w:rsidRPr="006D189E">
              <w:t>Volume</w:t>
            </w:r>
          </w:p>
        </w:tc>
        <w:tc>
          <w:tcPr>
            <w:tcW w:w="1333" w:type="dxa"/>
            <w:tcBorders>
              <w:left w:val="single" w:sz="4" w:space="0" w:color="FFFFFF" w:themeColor="background1"/>
              <w:right w:val="single" w:sz="4" w:space="0" w:color="FFFFFF" w:themeColor="background1"/>
            </w:tcBorders>
            <w:shd w:val="clear" w:color="auto" w:fill="1F3864"/>
            <w:vAlign w:val="center"/>
          </w:tcPr>
          <w:p w14:paraId="2C1DD24A" w14:textId="77777777" w:rsidR="000078A2" w:rsidRPr="006D189E" w:rsidRDefault="000078A2" w:rsidP="002E1E4D">
            <w:pPr>
              <w:pStyle w:val="TMGTableTextHeader"/>
            </w:pPr>
            <w:r w:rsidRPr="006D189E">
              <w:t>2</w:t>
            </w:r>
            <w:r w:rsidRPr="006D189E">
              <w:rPr>
                <w:vertAlign w:val="superscript"/>
              </w:rPr>
              <w:t>nd</w:t>
            </w:r>
            <w:r w:rsidRPr="006D189E">
              <w:t xml:space="preserve"> Sunday</w:t>
            </w:r>
          </w:p>
          <w:p w14:paraId="4FC83E24" w14:textId="5C0E28CF" w:rsidR="000078A2" w:rsidRPr="006D189E" w:rsidRDefault="000078A2" w:rsidP="002E1E4D">
            <w:pPr>
              <w:pStyle w:val="TMGTableTextHeader"/>
            </w:pPr>
            <w:r w:rsidRPr="006D189E">
              <w:t>Volume</w:t>
            </w:r>
          </w:p>
        </w:tc>
        <w:tc>
          <w:tcPr>
            <w:tcW w:w="1333" w:type="dxa"/>
            <w:tcBorders>
              <w:left w:val="single" w:sz="4" w:space="0" w:color="FFFFFF" w:themeColor="background1"/>
              <w:right w:val="single" w:sz="4" w:space="0" w:color="FFFFFF" w:themeColor="background1"/>
            </w:tcBorders>
            <w:shd w:val="clear" w:color="auto" w:fill="1F3864"/>
            <w:vAlign w:val="center"/>
          </w:tcPr>
          <w:p w14:paraId="136C91E4" w14:textId="77777777" w:rsidR="000078A2" w:rsidRPr="006D189E" w:rsidRDefault="000078A2" w:rsidP="002E1E4D">
            <w:pPr>
              <w:pStyle w:val="TMGTableTextHeader"/>
            </w:pPr>
            <w:r w:rsidRPr="006D189E">
              <w:t>3</w:t>
            </w:r>
            <w:r w:rsidRPr="006D189E">
              <w:rPr>
                <w:vertAlign w:val="superscript"/>
              </w:rPr>
              <w:t>rd</w:t>
            </w:r>
            <w:r w:rsidRPr="006D189E">
              <w:t xml:space="preserve"> Sunday</w:t>
            </w:r>
          </w:p>
          <w:p w14:paraId="5004C3F1" w14:textId="281A4601" w:rsidR="000078A2" w:rsidRPr="006D189E" w:rsidRDefault="000078A2" w:rsidP="002E1E4D">
            <w:pPr>
              <w:pStyle w:val="TMGTableTextHeader"/>
            </w:pPr>
            <w:r w:rsidRPr="006D189E">
              <w:t>Volume</w:t>
            </w:r>
          </w:p>
        </w:tc>
        <w:tc>
          <w:tcPr>
            <w:tcW w:w="1333" w:type="dxa"/>
            <w:tcBorders>
              <w:left w:val="single" w:sz="4" w:space="0" w:color="FFFFFF" w:themeColor="background1"/>
              <w:right w:val="single" w:sz="4" w:space="0" w:color="FFFFFF" w:themeColor="background1"/>
            </w:tcBorders>
            <w:shd w:val="clear" w:color="auto" w:fill="1F3864"/>
            <w:vAlign w:val="center"/>
          </w:tcPr>
          <w:p w14:paraId="4E69FE0B" w14:textId="77777777" w:rsidR="000078A2" w:rsidRPr="006D189E" w:rsidRDefault="000078A2" w:rsidP="002E1E4D">
            <w:pPr>
              <w:pStyle w:val="TMGTableTextHeader"/>
            </w:pPr>
            <w:r w:rsidRPr="006D189E">
              <w:t>4</w:t>
            </w:r>
            <w:r w:rsidRPr="006D189E">
              <w:rPr>
                <w:vertAlign w:val="superscript"/>
              </w:rPr>
              <w:t>th</w:t>
            </w:r>
            <w:r w:rsidRPr="006D189E">
              <w:t xml:space="preserve"> Sunday</w:t>
            </w:r>
          </w:p>
          <w:p w14:paraId="61DDDEB9" w14:textId="3A6BAD8C" w:rsidR="000078A2" w:rsidRPr="006D189E" w:rsidRDefault="000078A2" w:rsidP="002E1E4D">
            <w:pPr>
              <w:pStyle w:val="TMGTableTextHeader"/>
            </w:pPr>
            <w:r w:rsidRPr="006D189E">
              <w:t>Volume</w:t>
            </w:r>
          </w:p>
        </w:tc>
        <w:tc>
          <w:tcPr>
            <w:tcW w:w="1333" w:type="dxa"/>
            <w:tcBorders>
              <w:left w:val="single" w:sz="4" w:space="0" w:color="FFFFFF" w:themeColor="background1"/>
              <w:right w:val="single" w:sz="4" w:space="0" w:color="FFFFFF" w:themeColor="background1"/>
            </w:tcBorders>
            <w:shd w:val="clear" w:color="auto" w:fill="1F3864"/>
            <w:vAlign w:val="center"/>
          </w:tcPr>
          <w:p w14:paraId="55D7FB34" w14:textId="77777777" w:rsidR="000078A2" w:rsidRPr="006D189E" w:rsidRDefault="000078A2" w:rsidP="002E1E4D">
            <w:pPr>
              <w:pStyle w:val="TMGTableTextHeader"/>
            </w:pPr>
            <w:r w:rsidRPr="006D189E">
              <w:t>5</w:t>
            </w:r>
            <w:r w:rsidRPr="006D189E">
              <w:rPr>
                <w:vertAlign w:val="superscript"/>
              </w:rPr>
              <w:t>th</w:t>
            </w:r>
            <w:r w:rsidRPr="006D189E">
              <w:t xml:space="preserve"> Sunday</w:t>
            </w:r>
          </w:p>
          <w:p w14:paraId="17B647CF" w14:textId="0E94DDA3" w:rsidR="000078A2" w:rsidRPr="006D189E" w:rsidRDefault="000078A2" w:rsidP="002E1E4D">
            <w:pPr>
              <w:pStyle w:val="TMGTableTextHeader"/>
            </w:pPr>
            <w:r w:rsidRPr="006D189E">
              <w:t>Volume</w:t>
            </w:r>
          </w:p>
        </w:tc>
        <w:tc>
          <w:tcPr>
            <w:tcW w:w="1334" w:type="dxa"/>
            <w:tcBorders>
              <w:left w:val="single" w:sz="4" w:space="0" w:color="FFFFFF" w:themeColor="background1"/>
            </w:tcBorders>
            <w:shd w:val="clear" w:color="auto" w:fill="1F3864"/>
            <w:vAlign w:val="center"/>
          </w:tcPr>
          <w:p w14:paraId="46ED998E" w14:textId="578009A1" w:rsidR="000078A2" w:rsidRPr="006D189E" w:rsidRDefault="00740995" w:rsidP="002E1E4D">
            <w:pPr>
              <w:pStyle w:val="TMGTableTextHeader"/>
            </w:pPr>
            <w:r w:rsidRPr="006D189E">
              <w:t>Total</w:t>
            </w:r>
          </w:p>
        </w:tc>
      </w:tr>
      <w:tr w:rsidR="000078A2" w:rsidRPr="000078A2" w14:paraId="1A70FCDD" w14:textId="77777777" w:rsidTr="00C237D6">
        <w:trPr>
          <w:jc w:val="center"/>
        </w:trPr>
        <w:tc>
          <w:tcPr>
            <w:tcW w:w="1361" w:type="dxa"/>
          </w:tcPr>
          <w:p w14:paraId="47EB70C8" w14:textId="081D9580" w:rsidR="000078A2" w:rsidRPr="00F819DF" w:rsidRDefault="000078A2" w:rsidP="002E1E4D">
            <w:pPr>
              <w:pStyle w:val="TMGTableText"/>
            </w:pPr>
            <w:r>
              <w:t>12:00:00 AM</w:t>
            </w:r>
          </w:p>
        </w:tc>
        <w:tc>
          <w:tcPr>
            <w:tcW w:w="1333" w:type="dxa"/>
            <w:vAlign w:val="center"/>
          </w:tcPr>
          <w:p w14:paraId="2E527130" w14:textId="5D1417B3" w:rsidR="000078A2" w:rsidRPr="00F819DF" w:rsidRDefault="000078A2" w:rsidP="00C237D6">
            <w:pPr>
              <w:pStyle w:val="TMGTableText"/>
              <w:ind w:left="0" w:right="432"/>
              <w:jc w:val="right"/>
            </w:pPr>
            <w:r>
              <w:t>18</w:t>
            </w:r>
          </w:p>
        </w:tc>
        <w:tc>
          <w:tcPr>
            <w:tcW w:w="1333" w:type="dxa"/>
            <w:vAlign w:val="center"/>
          </w:tcPr>
          <w:p w14:paraId="2BCD11AF" w14:textId="006BCBB8" w:rsidR="000078A2" w:rsidRPr="00F819DF" w:rsidRDefault="000078A2" w:rsidP="00C237D6">
            <w:pPr>
              <w:pStyle w:val="TMGTableText"/>
              <w:ind w:left="0" w:right="432"/>
              <w:jc w:val="right"/>
            </w:pPr>
            <w:r>
              <w:t>23</w:t>
            </w:r>
          </w:p>
        </w:tc>
        <w:tc>
          <w:tcPr>
            <w:tcW w:w="1333" w:type="dxa"/>
            <w:vAlign w:val="center"/>
          </w:tcPr>
          <w:p w14:paraId="752C38D8" w14:textId="322D5434" w:rsidR="000078A2" w:rsidRPr="00F819DF" w:rsidRDefault="000078A2" w:rsidP="00C237D6">
            <w:pPr>
              <w:pStyle w:val="TMGTableText"/>
              <w:ind w:left="0" w:right="432"/>
              <w:jc w:val="right"/>
            </w:pPr>
            <w:r>
              <w:t>21</w:t>
            </w:r>
          </w:p>
        </w:tc>
        <w:tc>
          <w:tcPr>
            <w:tcW w:w="1333" w:type="dxa"/>
            <w:vAlign w:val="center"/>
          </w:tcPr>
          <w:p w14:paraId="3C8DA13E" w14:textId="0BAC7353" w:rsidR="000078A2" w:rsidRPr="00D1690E" w:rsidRDefault="000078A2" w:rsidP="00C237D6">
            <w:pPr>
              <w:pStyle w:val="TMGTableText"/>
              <w:ind w:left="0" w:right="432"/>
              <w:jc w:val="right"/>
            </w:pPr>
            <w:r>
              <w:t>17</w:t>
            </w:r>
          </w:p>
        </w:tc>
        <w:tc>
          <w:tcPr>
            <w:tcW w:w="1333" w:type="dxa"/>
            <w:vAlign w:val="center"/>
          </w:tcPr>
          <w:p w14:paraId="206F9B38" w14:textId="7586E283" w:rsidR="000078A2" w:rsidRPr="00D1690E" w:rsidRDefault="000078A2" w:rsidP="00C237D6">
            <w:pPr>
              <w:pStyle w:val="TMGTableText"/>
              <w:ind w:left="0" w:right="432"/>
              <w:jc w:val="right"/>
            </w:pPr>
            <w:r>
              <w:t>NA</w:t>
            </w:r>
          </w:p>
        </w:tc>
        <w:tc>
          <w:tcPr>
            <w:tcW w:w="1334" w:type="dxa"/>
            <w:vAlign w:val="center"/>
          </w:tcPr>
          <w:p w14:paraId="74A2890F" w14:textId="472EB22F" w:rsidR="000078A2" w:rsidRPr="00D1690E" w:rsidRDefault="000078A2" w:rsidP="00C237D6">
            <w:pPr>
              <w:pStyle w:val="TMGTableText"/>
              <w:ind w:left="0" w:right="432"/>
              <w:jc w:val="right"/>
            </w:pPr>
            <w:r>
              <w:t>79</w:t>
            </w:r>
          </w:p>
        </w:tc>
      </w:tr>
      <w:tr w:rsidR="000078A2" w:rsidRPr="000078A2" w14:paraId="3EDA4895" w14:textId="77777777" w:rsidTr="00C237D6">
        <w:trPr>
          <w:jc w:val="center"/>
        </w:trPr>
        <w:tc>
          <w:tcPr>
            <w:tcW w:w="1361" w:type="dxa"/>
          </w:tcPr>
          <w:p w14:paraId="7BA159DC" w14:textId="6BECD40A" w:rsidR="000078A2" w:rsidRPr="00D1690E" w:rsidRDefault="000078A2" w:rsidP="002E1E4D">
            <w:pPr>
              <w:pStyle w:val="TMGTableText"/>
            </w:pPr>
            <w:r>
              <w:t>12:05:00 AM</w:t>
            </w:r>
          </w:p>
        </w:tc>
        <w:tc>
          <w:tcPr>
            <w:tcW w:w="1333" w:type="dxa"/>
            <w:vAlign w:val="center"/>
          </w:tcPr>
          <w:p w14:paraId="78015A3C" w14:textId="705C103F" w:rsidR="000078A2" w:rsidRPr="00D1690E" w:rsidRDefault="000078A2" w:rsidP="00C237D6">
            <w:pPr>
              <w:pStyle w:val="TMGTableText"/>
              <w:ind w:left="0" w:right="432"/>
              <w:jc w:val="right"/>
            </w:pPr>
            <w:r>
              <w:t>15</w:t>
            </w:r>
          </w:p>
        </w:tc>
        <w:tc>
          <w:tcPr>
            <w:tcW w:w="1333" w:type="dxa"/>
            <w:vAlign w:val="center"/>
          </w:tcPr>
          <w:p w14:paraId="66EF9FD0" w14:textId="50891902" w:rsidR="000078A2" w:rsidRPr="00D1690E" w:rsidRDefault="000078A2" w:rsidP="00C237D6">
            <w:pPr>
              <w:pStyle w:val="TMGTableText"/>
              <w:ind w:left="0" w:right="432"/>
              <w:jc w:val="right"/>
            </w:pPr>
            <w:r>
              <w:t>20</w:t>
            </w:r>
          </w:p>
        </w:tc>
        <w:tc>
          <w:tcPr>
            <w:tcW w:w="1333" w:type="dxa"/>
            <w:vAlign w:val="center"/>
          </w:tcPr>
          <w:p w14:paraId="11D2DDAF" w14:textId="0FBD1F8A" w:rsidR="000078A2" w:rsidRPr="00D1690E" w:rsidRDefault="000078A2" w:rsidP="00C237D6">
            <w:pPr>
              <w:pStyle w:val="TMGTableText"/>
              <w:ind w:left="0" w:right="432"/>
              <w:jc w:val="right"/>
            </w:pPr>
            <w:r>
              <w:t>18</w:t>
            </w:r>
          </w:p>
        </w:tc>
        <w:tc>
          <w:tcPr>
            <w:tcW w:w="1333" w:type="dxa"/>
            <w:vAlign w:val="center"/>
          </w:tcPr>
          <w:p w14:paraId="618F445C" w14:textId="05363B6E" w:rsidR="000078A2" w:rsidRPr="00D1690E" w:rsidRDefault="000078A2" w:rsidP="00C237D6">
            <w:pPr>
              <w:pStyle w:val="TMGTableText"/>
              <w:ind w:left="0" w:right="432"/>
              <w:jc w:val="right"/>
            </w:pPr>
            <w:r>
              <w:t>16</w:t>
            </w:r>
          </w:p>
        </w:tc>
        <w:tc>
          <w:tcPr>
            <w:tcW w:w="1333" w:type="dxa"/>
            <w:vAlign w:val="center"/>
          </w:tcPr>
          <w:p w14:paraId="503E69B1" w14:textId="6CF24198" w:rsidR="000078A2" w:rsidRPr="00D1690E" w:rsidRDefault="000078A2" w:rsidP="00C237D6">
            <w:pPr>
              <w:pStyle w:val="TMGTableText"/>
              <w:ind w:left="0" w:right="432"/>
              <w:jc w:val="right"/>
            </w:pPr>
            <w:r>
              <w:t>NA</w:t>
            </w:r>
          </w:p>
        </w:tc>
        <w:tc>
          <w:tcPr>
            <w:tcW w:w="1334" w:type="dxa"/>
            <w:vAlign w:val="center"/>
          </w:tcPr>
          <w:p w14:paraId="05699734" w14:textId="27854FAE" w:rsidR="000078A2" w:rsidRPr="00D1690E" w:rsidRDefault="000078A2" w:rsidP="00C237D6">
            <w:pPr>
              <w:pStyle w:val="TMGTableText"/>
              <w:ind w:left="0" w:right="432"/>
              <w:jc w:val="right"/>
            </w:pPr>
            <w:r>
              <w:t>69</w:t>
            </w:r>
          </w:p>
        </w:tc>
      </w:tr>
      <w:tr w:rsidR="000078A2" w:rsidRPr="000078A2" w14:paraId="532935D4" w14:textId="77777777" w:rsidTr="00C237D6">
        <w:trPr>
          <w:jc w:val="center"/>
        </w:trPr>
        <w:tc>
          <w:tcPr>
            <w:tcW w:w="1361" w:type="dxa"/>
          </w:tcPr>
          <w:p w14:paraId="571F59CA" w14:textId="21BD3EE9" w:rsidR="000078A2" w:rsidRPr="00D1690E" w:rsidRDefault="000078A2" w:rsidP="002E1E4D">
            <w:pPr>
              <w:pStyle w:val="TMGTableText"/>
            </w:pPr>
            <w:r>
              <w:t>12:10:00 AM</w:t>
            </w:r>
          </w:p>
        </w:tc>
        <w:tc>
          <w:tcPr>
            <w:tcW w:w="1333" w:type="dxa"/>
            <w:vAlign w:val="center"/>
          </w:tcPr>
          <w:p w14:paraId="68C4762B" w14:textId="65FC2DC6" w:rsidR="000078A2" w:rsidRPr="00D1690E" w:rsidRDefault="000078A2" w:rsidP="00C237D6">
            <w:pPr>
              <w:pStyle w:val="TMGTableText"/>
              <w:ind w:left="0" w:right="432"/>
              <w:jc w:val="right"/>
            </w:pPr>
            <w:r>
              <w:t>10</w:t>
            </w:r>
          </w:p>
        </w:tc>
        <w:tc>
          <w:tcPr>
            <w:tcW w:w="1333" w:type="dxa"/>
            <w:vAlign w:val="center"/>
          </w:tcPr>
          <w:p w14:paraId="53F63D04" w14:textId="7AF7CEBE" w:rsidR="000078A2" w:rsidRPr="00D1690E" w:rsidRDefault="000078A2" w:rsidP="00C237D6">
            <w:pPr>
              <w:pStyle w:val="TMGTableText"/>
              <w:ind w:left="0" w:right="432"/>
              <w:jc w:val="right"/>
            </w:pPr>
            <w:r>
              <w:t>21</w:t>
            </w:r>
          </w:p>
        </w:tc>
        <w:tc>
          <w:tcPr>
            <w:tcW w:w="1333" w:type="dxa"/>
            <w:vAlign w:val="center"/>
          </w:tcPr>
          <w:p w14:paraId="288FA3C9" w14:textId="125CD0E3" w:rsidR="000078A2" w:rsidRPr="00D1690E" w:rsidRDefault="000078A2" w:rsidP="00C237D6">
            <w:pPr>
              <w:pStyle w:val="TMGTableText"/>
              <w:ind w:left="0" w:right="432"/>
              <w:jc w:val="right"/>
            </w:pPr>
            <w:r>
              <w:t>16</w:t>
            </w:r>
          </w:p>
        </w:tc>
        <w:tc>
          <w:tcPr>
            <w:tcW w:w="1333" w:type="dxa"/>
            <w:vAlign w:val="center"/>
          </w:tcPr>
          <w:p w14:paraId="298B2DFD" w14:textId="1DD65623" w:rsidR="000078A2" w:rsidRPr="00D1690E" w:rsidRDefault="000078A2" w:rsidP="00C237D6">
            <w:pPr>
              <w:pStyle w:val="TMGTableText"/>
              <w:ind w:left="0" w:right="432"/>
              <w:jc w:val="right"/>
            </w:pPr>
            <w:r>
              <w:t>15</w:t>
            </w:r>
          </w:p>
        </w:tc>
        <w:tc>
          <w:tcPr>
            <w:tcW w:w="1333" w:type="dxa"/>
            <w:vAlign w:val="center"/>
          </w:tcPr>
          <w:p w14:paraId="5B6FFFD3" w14:textId="55D552BC" w:rsidR="000078A2" w:rsidRPr="00D1690E" w:rsidRDefault="000078A2" w:rsidP="00C237D6">
            <w:pPr>
              <w:pStyle w:val="TMGTableText"/>
              <w:ind w:left="0" w:right="432"/>
              <w:jc w:val="right"/>
            </w:pPr>
            <w:r w:rsidRPr="00CD6C93">
              <w:t>NA</w:t>
            </w:r>
          </w:p>
        </w:tc>
        <w:tc>
          <w:tcPr>
            <w:tcW w:w="1334" w:type="dxa"/>
            <w:vAlign w:val="center"/>
          </w:tcPr>
          <w:p w14:paraId="72B63557" w14:textId="1EE9B7BD" w:rsidR="000078A2" w:rsidRPr="00D1690E" w:rsidRDefault="000078A2" w:rsidP="00C237D6">
            <w:pPr>
              <w:pStyle w:val="TMGTableText"/>
              <w:ind w:left="0" w:right="432"/>
              <w:jc w:val="right"/>
            </w:pPr>
            <w:r>
              <w:t>62</w:t>
            </w:r>
          </w:p>
        </w:tc>
      </w:tr>
      <w:tr w:rsidR="000078A2" w:rsidRPr="000078A2" w14:paraId="5B5953F3" w14:textId="77777777" w:rsidTr="00C237D6">
        <w:trPr>
          <w:jc w:val="center"/>
        </w:trPr>
        <w:tc>
          <w:tcPr>
            <w:tcW w:w="1361" w:type="dxa"/>
          </w:tcPr>
          <w:p w14:paraId="6F02DD28" w14:textId="69F2977D" w:rsidR="000078A2" w:rsidRPr="00D1690E" w:rsidRDefault="000078A2" w:rsidP="002E1E4D">
            <w:pPr>
              <w:pStyle w:val="TMGTableText"/>
            </w:pPr>
            <w:r>
              <w:t>12:15:00 AM</w:t>
            </w:r>
          </w:p>
        </w:tc>
        <w:tc>
          <w:tcPr>
            <w:tcW w:w="1333" w:type="dxa"/>
            <w:vAlign w:val="center"/>
          </w:tcPr>
          <w:p w14:paraId="5BEB2AE3" w14:textId="20952F12" w:rsidR="000078A2" w:rsidRPr="00D1690E" w:rsidRDefault="000078A2" w:rsidP="00C237D6">
            <w:pPr>
              <w:pStyle w:val="TMGTableText"/>
              <w:ind w:left="0" w:right="432"/>
              <w:jc w:val="right"/>
            </w:pPr>
            <w:r>
              <w:t>13</w:t>
            </w:r>
          </w:p>
        </w:tc>
        <w:tc>
          <w:tcPr>
            <w:tcW w:w="1333" w:type="dxa"/>
            <w:vAlign w:val="center"/>
          </w:tcPr>
          <w:p w14:paraId="67D91AE8" w14:textId="5358AF17" w:rsidR="000078A2" w:rsidRPr="00D1690E" w:rsidRDefault="000078A2" w:rsidP="00C237D6">
            <w:pPr>
              <w:pStyle w:val="TMGTableText"/>
              <w:ind w:left="0" w:right="432"/>
              <w:jc w:val="right"/>
            </w:pPr>
            <w:r>
              <w:t>18</w:t>
            </w:r>
          </w:p>
        </w:tc>
        <w:tc>
          <w:tcPr>
            <w:tcW w:w="1333" w:type="dxa"/>
            <w:vAlign w:val="center"/>
          </w:tcPr>
          <w:p w14:paraId="0EEA2B53" w14:textId="0D71BB51" w:rsidR="000078A2" w:rsidRPr="00D1690E" w:rsidRDefault="000078A2" w:rsidP="00C237D6">
            <w:pPr>
              <w:pStyle w:val="TMGTableText"/>
              <w:ind w:left="0" w:right="432"/>
              <w:jc w:val="right"/>
            </w:pPr>
            <w:r>
              <w:t>16</w:t>
            </w:r>
          </w:p>
        </w:tc>
        <w:tc>
          <w:tcPr>
            <w:tcW w:w="1333" w:type="dxa"/>
            <w:vAlign w:val="center"/>
          </w:tcPr>
          <w:p w14:paraId="488CB7FD" w14:textId="72717542" w:rsidR="000078A2" w:rsidRPr="00D1690E" w:rsidRDefault="000078A2" w:rsidP="00C237D6">
            <w:pPr>
              <w:pStyle w:val="TMGTableText"/>
              <w:ind w:left="0" w:right="432"/>
              <w:jc w:val="right"/>
            </w:pPr>
            <w:r>
              <w:t>14</w:t>
            </w:r>
          </w:p>
        </w:tc>
        <w:tc>
          <w:tcPr>
            <w:tcW w:w="1333" w:type="dxa"/>
            <w:vAlign w:val="center"/>
          </w:tcPr>
          <w:p w14:paraId="597B3E86" w14:textId="6E10B5A5" w:rsidR="000078A2" w:rsidRPr="00D1690E" w:rsidRDefault="000078A2" w:rsidP="00C237D6">
            <w:pPr>
              <w:pStyle w:val="TMGTableText"/>
              <w:ind w:left="0" w:right="432"/>
              <w:jc w:val="right"/>
            </w:pPr>
            <w:r w:rsidRPr="00CD6C93">
              <w:t>NA</w:t>
            </w:r>
          </w:p>
        </w:tc>
        <w:tc>
          <w:tcPr>
            <w:tcW w:w="1334" w:type="dxa"/>
            <w:vAlign w:val="center"/>
          </w:tcPr>
          <w:p w14:paraId="681A7DCF" w14:textId="6E1F235A" w:rsidR="000078A2" w:rsidRPr="00D1690E" w:rsidRDefault="000078A2" w:rsidP="00C237D6">
            <w:pPr>
              <w:pStyle w:val="TMGTableText"/>
              <w:ind w:left="0" w:right="432"/>
              <w:jc w:val="right"/>
            </w:pPr>
            <w:r>
              <w:t>61</w:t>
            </w:r>
          </w:p>
        </w:tc>
      </w:tr>
      <w:tr w:rsidR="000078A2" w:rsidRPr="000078A2" w14:paraId="19263CA5" w14:textId="77777777" w:rsidTr="00C237D6">
        <w:trPr>
          <w:jc w:val="center"/>
        </w:trPr>
        <w:tc>
          <w:tcPr>
            <w:tcW w:w="1361" w:type="dxa"/>
          </w:tcPr>
          <w:p w14:paraId="0CF684BF" w14:textId="1FE9421D" w:rsidR="000078A2" w:rsidRPr="00D1690E" w:rsidRDefault="000078A2" w:rsidP="002E1E4D">
            <w:pPr>
              <w:pStyle w:val="TMGTableText"/>
            </w:pPr>
            <w:r>
              <w:t>12:20:00 AM</w:t>
            </w:r>
          </w:p>
        </w:tc>
        <w:tc>
          <w:tcPr>
            <w:tcW w:w="1333" w:type="dxa"/>
            <w:vAlign w:val="center"/>
          </w:tcPr>
          <w:p w14:paraId="684F4357" w14:textId="064A55D7" w:rsidR="000078A2" w:rsidRPr="00D1690E" w:rsidRDefault="000078A2" w:rsidP="00C237D6">
            <w:pPr>
              <w:pStyle w:val="TMGTableText"/>
              <w:ind w:left="0" w:right="432"/>
              <w:jc w:val="right"/>
            </w:pPr>
            <w:r>
              <w:t>16</w:t>
            </w:r>
          </w:p>
        </w:tc>
        <w:tc>
          <w:tcPr>
            <w:tcW w:w="1333" w:type="dxa"/>
            <w:vAlign w:val="center"/>
          </w:tcPr>
          <w:p w14:paraId="43D74409" w14:textId="5977CC2B" w:rsidR="000078A2" w:rsidRPr="00D1690E" w:rsidRDefault="000078A2" w:rsidP="00C237D6">
            <w:pPr>
              <w:pStyle w:val="TMGTableText"/>
              <w:ind w:left="0" w:right="432"/>
              <w:jc w:val="right"/>
            </w:pPr>
            <w:r>
              <w:t>19</w:t>
            </w:r>
          </w:p>
        </w:tc>
        <w:tc>
          <w:tcPr>
            <w:tcW w:w="1333" w:type="dxa"/>
            <w:vAlign w:val="center"/>
          </w:tcPr>
          <w:p w14:paraId="3459E889" w14:textId="2F22CBC5" w:rsidR="000078A2" w:rsidRPr="00D1690E" w:rsidRDefault="000078A2" w:rsidP="00C237D6">
            <w:pPr>
              <w:pStyle w:val="TMGTableText"/>
              <w:ind w:left="0" w:right="432"/>
              <w:jc w:val="right"/>
            </w:pPr>
            <w:r>
              <w:t>18</w:t>
            </w:r>
          </w:p>
        </w:tc>
        <w:tc>
          <w:tcPr>
            <w:tcW w:w="1333" w:type="dxa"/>
            <w:vAlign w:val="center"/>
          </w:tcPr>
          <w:p w14:paraId="783A8C62" w14:textId="412E2D68" w:rsidR="000078A2" w:rsidRPr="00D1690E" w:rsidRDefault="000078A2" w:rsidP="00C237D6">
            <w:pPr>
              <w:pStyle w:val="TMGTableText"/>
              <w:ind w:left="0" w:right="432"/>
              <w:jc w:val="right"/>
            </w:pPr>
            <w:r>
              <w:t>NA</w:t>
            </w:r>
          </w:p>
        </w:tc>
        <w:tc>
          <w:tcPr>
            <w:tcW w:w="1333" w:type="dxa"/>
            <w:vAlign w:val="center"/>
          </w:tcPr>
          <w:p w14:paraId="792889C7" w14:textId="5C6A1477" w:rsidR="000078A2" w:rsidRPr="00D1690E" w:rsidRDefault="000078A2" w:rsidP="00C237D6">
            <w:pPr>
              <w:pStyle w:val="TMGTableText"/>
              <w:ind w:left="0" w:right="432"/>
              <w:jc w:val="right"/>
            </w:pPr>
            <w:r w:rsidRPr="00CD6C93">
              <w:t>NA</w:t>
            </w:r>
          </w:p>
        </w:tc>
        <w:tc>
          <w:tcPr>
            <w:tcW w:w="1334" w:type="dxa"/>
            <w:vAlign w:val="center"/>
          </w:tcPr>
          <w:p w14:paraId="233A9300" w14:textId="1A9DB238" w:rsidR="000078A2" w:rsidRPr="00D1690E" w:rsidRDefault="000078A2" w:rsidP="00C237D6">
            <w:pPr>
              <w:pStyle w:val="TMGTableText"/>
              <w:ind w:left="0" w:right="432"/>
              <w:jc w:val="right"/>
            </w:pPr>
            <w:r>
              <w:t>53</w:t>
            </w:r>
          </w:p>
        </w:tc>
      </w:tr>
      <w:tr w:rsidR="000078A2" w:rsidRPr="000078A2" w14:paraId="4C15CE2C" w14:textId="77777777" w:rsidTr="00C237D6">
        <w:trPr>
          <w:jc w:val="center"/>
        </w:trPr>
        <w:tc>
          <w:tcPr>
            <w:tcW w:w="1361" w:type="dxa"/>
          </w:tcPr>
          <w:p w14:paraId="6AF15104" w14:textId="5F45E675" w:rsidR="000078A2" w:rsidRPr="00D1690E" w:rsidRDefault="000078A2" w:rsidP="002E1E4D">
            <w:pPr>
              <w:pStyle w:val="TMGTableText"/>
            </w:pPr>
            <w:r>
              <w:t>12:25:00 AM</w:t>
            </w:r>
          </w:p>
        </w:tc>
        <w:tc>
          <w:tcPr>
            <w:tcW w:w="1333" w:type="dxa"/>
            <w:vAlign w:val="center"/>
          </w:tcPr>
          <w:p w14:paraId="46BE06CE" w14:textId="60A82AFB" w:rsidR="000078A2" w:rsidRPr="00D1690E" w:rsidRDefault="000078A2" w:rsidP="00C237D6">
            <w:pPr>
              <w:pStyle w:val="TMGTableText"/>
              <w:ind w:left="0" w:right="432"/>
              <w:jc w:val="right"/>
            </w:pPr>
            <w:r>
              <w:t>12</w:t>
            </w:r>
          </w:p>
        </w:tc>
        <w:tc>
          <w:tcPr>
            <w:tcW w:w="1333" w:type="dxa"/>
            <w:vAlign w:val="center"/>
          </w:tcPr>
          <w:p w14:paraId="0317EC86" w14:textId="79441928" w:rsidR="000078A2" w:rsidRPr="00D1690E" w:rsidRDefault="000078A2" w:rsidP="00C237D6">
            <w:pPr>
              <w:pStyle w:val="TMGTableText"/>
              <w:ind w:left="0" w:right="432"/>
              <w:jc w:val="right"/>
            </w:pPr>
            <w:r>
              <w:t>17</w:t>
            </w:r>
          </w:p>
        </w:tc>
        <w:tc>
          <w:tcPr>
            <w:tcW w:w="1333" w:type="dxa"/>
            <w:vAlign w:val="center"/>
          </w:tcPr>
          <w:p w14:paraId="47D9826F" w14:textId="690801C1" w:rsidR="000078A2" w:rsidRPr="00D1690E" w:rsidRDefault="000078A2" w:rsidP="00C237D6">
            <w:pPr>
              <w:pStyle w:val="TMGTableText"/>
              <w:ind w:left="0" w:right="432"/>
              <w:jc w:val="right"/>
            </w:pPr>
            <w:r>
              <w:t>15</w:t>
            </w:r>
          </w:p>
        </w:tc>
        <w:tc>
          <w:tcPr>
            <w:tcW w:w="1333" w:type="dxa"/>
            <w:vAlign w:val="center"/>
          </w:tcPr>
          <w:p w14:paraId="7E6DA72D" w14:textId="05112611" w:rsidR="000078A2" w:rsidRPr="00D1690E" w:rsidRDefault="000078A2" w:rsidP="00C237D6">
            <w:pPr>
              <w:pStyle w:val="TMGTableText"/>
              <w:ind w:left="0" w:right="432"/>
              <w:jc w:val="right"/>
            </w:pPr>
            <w:r>
              <w:t>NA</w:t>
            </w:r>
          </w:p>
        </w:tc>
        <w:tc>
          <w:tcPr>
            <w:tcW w:w="1333" w:type="dxa"/>
            <w:vAlign w:val="center"/>
          </w:tcPr>
          <w:p w14:paraId="4FB36BCC" w14:textId="4F7EE83C" w:rsidR="000078A2" w:rsidRPr="00D1690E" w:rsidRDefault="000078A2" w:rsidP="00C237D6">
            <w:pPr>
              <w:pStyle w:val="TMGTableText"/>
              <w:ind w:left="0" w:right="432"/>
              <w:jc w:val="right"/>
            </w:pPr>
            <w:r w:rsidRPr="00CD6C93">
              <w:t>NA</w:t>
            </w:r>
          </w:p>
        </w:tc>
        <w:tc>
          <w:tcPr>
            <w:tcW w:w="1334" w:type="dxa"/>
            <w:vAlign w:val="center"/>
          </w:tcPr>
          <w:p w14:paraId="313B5417" w14:textId="33C80378" w:rsidR="000078A2" w:rsidRPr="00D1690E" w:rsidRDefault="000078A2" w:rsidP="00C237D6">
            <w:pPr>
              <w:pStyle w:val="TMGTableText"/>
              <w:ind w:left="0" w:right="432"/>
              <w:jc w:val="right"/>
            </w:pPr>
            <w:r>
              <w:t>44</w:t>
            </w:r>
          </w:p>
        </w:tc>
      </w:tr>
      <w:tr w:rsidR="000078A2" w:rsidRPr="000078A2" w14:paraId="2467CD8C" w14:textId="77777777" w:rsidTr="00C237D6">
        <w:trPr>
          <w:jc w:val="center"/>
        </w:trPr>
        <w:tc>
          <w:tcPr>
            <w:tcW w:w="1361" w:type="dxa"/>
          </w:tcPr>
          <w:p w14:paraId="7B934353" w14:textId="28F2B273" w:rsidR="000078A2" w:rsidRPr="00D1690E" w:rsidRDefault="000078A2" w:rsidP="002E1E4D">
            <w:pPr>
              <w:pStyle w:val="TMGTableText"/>
            </w:pPr>
            <w:r>
              <w:t>12:30:00 AM</w:t>
            </w:r>
          </w:p>
        </w:tc>
        <w:tc>
          <w:tcPr>
            <w:tcW w:w="1333" w:type="dxa"/>
            <w:vAlign w:val="center"/>
          </w:tcPr>
          <w:p w14:paraId="5B8AC315" w14:textId="117B88CB" w:rsidR="000078A2" w:rsidRPr="00D1690E" w:rsidRDefault="000078A2" w:rsidP="00C237D6">
            <w:pPr>
              <w:pStyle w:val="TMGTableText"/>
              <w:ind w:left="0" w:right="432"/>
              <w:jc w:val="right"/>
            </w:pPr>
            <w:r>
              <w:t>12</w:t>
            </w:r>
          </w:p>
        </w:tc>
        <w:tc>
          <w:tcPr>
            <w:tcW w:w="1333" w:type="dxa"/>
            <w:vAlign w:val="center"/>
          </w:tcPr>
          <w:p w14:paraId="756AE740" w14:textId="6822B449" w:rsidR="000078A2" w:rsidRPr="00D1690E" w:rsidRDefault="000078A2" w:rsidP="00C237D6">
            <w:pPr>
              <w:pStyle w:val="TMGTableText"/>
              <w:ind w:left="0" w:right="432"/>
              <w:jc w:val="right"/>
            </w:pPr>
            <w:r>
              <w:t>16</w:t>
            </w:r>
          </w:p>
        </w:tc>
        <w:tc>
          <w:tcPr>
            <w:tcW w:w="1333" w:type="dxa"/>
            <w:vAlign w:val="center"/>
          </w:tcPr>
          <w:p w14:paraId="21366E4C" w14:textId="5089E3CC" w:rsidR="000078A2" w:rsidRPr="00D1690E" w:rsidRDefault="000078A2" w:rsidP="00C237D6">
            <w:pPr>
              <w:pStyle w:val="TMGTableText"/>
              <w:ind w:left="0" w:right="432"/>
              <w:jc w:val="right"/>
            </w:pPr>
            <w:r>
              <w:t>14</w:t>
            </w:r>
          </w:p>
        </w:tc>
        <w:tc>
          <w:tcPr>
            <w:tcW w:w="1333" w:type="dxa"/>
            <w:vAlign w:val="center"/>
          </w:tcPr>
          <w:p w14:paraId="403230C0" w14:textId="2FC83A44" w:rsidR="000078A2" w:rsidRPr="00D1690E" w:rsidRDefault="000078A2" w:rsidP="00C237D6">
            <w:pPr>
              <w:pStyle w:val="TMGTableText"/>
              <w:ind w:left="0" w:right="432"/>
              <w:jc w:val="right"/>
            </w:pPr>
            <w:r>
              <w:t>NA</w:t>
            </w:r>
          </w:p>
        </w:tc>
        <w:tc>
          <w:tcPr>
            <w:tcW w:w="1333" w:type="dxa"/>
            <w:vAlign w:val="center"/>
          </w:tcPr>
          <w:p w14:paraId="6085191A" w14:textId="66E71F7C" w:rsidR="000078A2" w:rsidRPr="00D1690E" w:rsidRDefault="000078A2" w:rsidP="00C237D6">
            <w:pPr>
              <w:pStyle w:val="TMGTableText"/>
              <w:ind w:left="0" w:right="432"/>
              <w:jc w:val="right"/>
            </w:pPr>
            <w:r w:rsidRPr="00CD6C93">
              <w:t>NA</w:t>
            </w:r>
          </w:p>
        </w:tc>
        <w:tc>
          <w:tcPr>
            <w:tcW w:w="1334" w:type="dxa"/>
            <w:vAlign w:val="center"/>
          </w:tcPr>
          <w:p w14:paraId="6D20F51A" w14:textId="18B18A2E" w:rsidR="000078A2" w:rsidRPr="00D1690E" w:rsidRDefault="000078A2" w:rsidP="00C237D6">
            <w:pPr>
              <w:pStyle w:val="TMGTableText"/>
              <w:ind w:left="0" w:right="432"/>
              <w:jc w:val="right"/>
            </w:pPr>
            <w:r>
              <w:t>42</w:t>
            </w:r>
          </w:p>
        </w:tc>
      </w:tr>
      <w:tr w:rsidR="000078A2" w:rsidRPr="000078A2" w14:paraId="66242C8C" w14:textId="77777777" w:rsidTr="00C237D6">
        <w:trPr>
          <w:jc w:val="center"/>
        </w:trPr>
        <w:tc>
          <w:tcPr>
            <w:tcW w:w="1361" w:type="dxa"/>
          </w:tcPr>
          <w:p w14:paraId="3D454B4D" w14:textId="3C214346" w:rsidR="000078A2" w:rsidRPr="00D1690E" w:rsidRDefault="000078A2" w:rsidP="002E1E4D">
            <w:pPr>
              <w:pStyle w:val="TMGTableText"/>
            </w:pPr>
            <w:r>
              <w:lastRenderedPageBreak/>
              <w:t>12:35:00 AM</w:t>
            </w:r>
          </w:p>
        </w:tc>
        <w:tc>
          <w:tcPr>
            <w:tcW w:w="1333" w:type="dxa"/>
            <w:vAlign w:val="center"/>
          </w:tcPr>
          <w:p w14:paraId="2666A1D7" w14:textId="49573DFF" w:rsidR="000078A2" w:rsidRPr="00D1690E" w:rsidRDefault="000078A2" w:rsidP="00C237D6">
            <w:pPr>
              <w:pStyle w:val="TMGTableText"/>
              <w:ind w:left="0" w:right="432"/>
              <w:jc w:val="right"/>
            </w:pPr>
            <w:r>
              <w:t>10</w:t>
            </w:r>
          </w:p>
        </w:tc>
        <w:tc>
          <w:tcPr>
            <w:tcW w:w="1333" w:type="dxa"/>
            <w:vAlign w:val="center"/>
          </w:tcPr>
          <w:p w14:paraId="4A5B78EA" w14:textId="299EE86E" w:rsidR="000078A2" w:rsidRPr="00D1690E" w:rsidRDefault="000078A2" w:rsidP="00C237D6">
            <w:pPr>
              <w:pStyle w:val="TMGTableText"/>
              <w:ind w:left="0" w:right="432"/>
              <w:jc w:val="right"/>
            </w:pPr>
            <w:r>
              <w:t>14</w:t>
            </w:r>
          </w:p>
        </w:tc>
        <w:tc>
          <w:tcPr>
            <w:tcW w:w="1333" w:type="dxa"/>
            <w:vAlign w:val="center"/>
          </w:tcPr>
          <w:p w14:paraId="323A919C" w14:textId="51F852D8" w:rsidR="000078A2" w:rsidRPr="00D1690E" w:rsidRDefault="000078A2" w:rsidP="00C237D6">
            <w:pPr>
              <w:pStyle w:val="TMGTableText"/>
              <w:ind w:left="0" w:right="432"/>
              <w:jc w:val="right"/>
            </w:pPr>
            <w:r>
              <w:t>12</w:t>
            </w:r>
          </w:p>
        </w:tc>
        <w:tc>
          <w:tcPr>
            <w:tcW w:w="1333" w:type="dxa"/>
            <w:vAlign w:val="center"/>
          </w:tcPr>
          <w:p w14:paraId="0BF0D708" w14:textId="73038457" w:rsidR="000078A2" w:rsidRPr="00D1690E" w:rsidRDefault="000078A2" w:rsidP="00C237D6">
            <w:pPr>
              <w:pStyle w:val="TMGTableText"/>
              <w:ind w:left="0" w:right="432"/>
              <w:jc w:val="right"/>
            </w:pPr>
            <w:r>
              <w:t>12</w:t>
            </w:r>
          </w:p>
        </w:tc>
        <w:tc>
          <w:tcPr>
            <w:tcW w:w="1333" w:type="dxa"/>
            <w:vAlign w:val="center"/>
          </w:tcPr>
          <w:p w14:paraId="3175FAB7" w14:textId="30A987B9" w:rsidR="000078A2" w:rsidRPr="00D1690E" w:rsidRDefault="000078A2" w:rsidP="00C237D6">
            <w:pPr>
              <w:pStyle w:val="TMGTableText"/>
              <w:ind w:left="0" w:right="432"/>
              <w:jc w:val="right"/>
            </w:pPr>
            <w:r w:rsidRPr="00CD6C93">
              <w:t>NA</w:t>
            </w:r>
          </w:p>
        </w:tc>
        <w:tc>
          <w:tcPr>
            <w:tcW w:w="1334" w:type="dxa"/>
            <w:vAlign w:val="center"/>
          </w:tcPr>
          <w:p w14:paraId="162009C9" w14:textId="46ECAAE4" w:rsidR="000078A2" w:rsidRPr="00D1690E" w:rsidRDefault="000078A2" w:rsidP="00C237D6">
            <w:pPr>
              <w:pStyle w:val="TMGTableText"/>
              <w:ind w:left="0" w:right="432"/>
              <w:jc w:val="right"/>
            </w:pPr>
            <w:r>
              <w:t>48</w:t>
            </w:r>
          </w:p>
        </w:tc>
      </w:tr>
      <w:tr w:rsidR="000078A2" w:rsidRPr="000078A2" w14:paraId="68AFF08F" w14:textId="77777777" w:rsidTr="00C237D6">
        <w:trPr>
          <w:jc w:val="center"/>
        </w:trPr>
        <w:tc>
          <w:tcPr>
            <w:tcW w:w="1361" w:type="dxa"/>
          </w:tcPr>
          <w:p w14:paraId="14CDF079" w14:textId="4D6BD50C" w:rsidR="000078A2" w:rsidRPr="00D1690E" w:rsidRDefault="000078A2" w:rsidP="002E1E4D">
            <w:pPr>
              <w:pStyle w:val="TMGTableText"/>
            </w:pPr>
            <w:r>
              <w:t>12:40:00 AM</w:t>
            </w:r>
          </w:p>
        </w:tc>
        <w:tc>
          <w:tcPr>
            <w:tcW w:w="1333" w:type="dxa"/>
            <w:vAlign w:val="center"/>
          </w:tcPr>
          <w:p w14:paraId="3B8EFDDE" w14:textId="32F22AA4" w:rsidR="000078A2" w:rsidRPr="00D1690E" w:rsidRDefault="000078A2" w:rsidP="00C237D6">
            <w:pPr>
              <w:pStyle w:val="TMGTableText"/>
              <w:ind w:left="0" w:right="432"/>
              <w:jc w:val="right"/>
            </w:pPr>
            <w:r>
              <w:t>8</w:t>
            </w:r>
          </w:p>
        </w:tc>
        <w:tc>
          <w:tcPr>
            <w:tcW w:w="1333" w:type="dxa"/>
            <w:vAlign w:val="center"/>
          </w:tcPr>
          <w:p w14:paraId="77ADF20E" w14:textId="654A00FB" w:rsidR="000078A2" w:rsidRPr="00D1690E" w:rsidRDefault="000078A2" w:rsidP="00C237D6">
            <w:pPr>
              <w:pStyle w:val="TMGTableText"/>
              <w:ind w:left="0" w:right="432"/>
              <w:jc w:val="right"/>
            </w:pPr>
            <w:r>
              <w:t>15</w:t>
            </w:r>
          </w:p>
        </w:tc>
        <w:tc>
          <w:tcPr>
            <w:tcW w:w="1333" w:type="dxa"/>
            <w:vAlign w:val="center"/>
          </w:tcPr>
          <w:p w14:paraId="672BFD11" w14:textId="11B40737" w:rsidR="000078A2" w:rsidRPr="00D1690E" w:rsidRDefault="000078A2" w:rsidP="00C237D6">
            <w:pPr>
              <w:pStyle w:val="TMGTableText"/>
              <w:ind w:left="0" w:right="432"/>
              <w:jc w:val="right"/>
            </w:pPr>
            <w:r>
              <w:t>12</w:t>
            </w:r>
          </w:p>
        </w:tc>
        <w:tc>
          <w:tcPr>
            <w:tcW w:w="1333" w:type="dxa"/>
            <w:vAlign w:val="center"/>
          </w:tcPr>
          <w:p w14:paraId="1D986A4B" w14:textId="09E2627E" w:rsidR="000078A2" w:rsidRPr="00D1690E" w:rsidRDefault="000078A2" w:rsidP="00C237D6">
            <w:pPr>
              <w:pStyle w:val="TMGTableText"/>
              <w:ind w:left="0" w:right="432"/>
              <w:jc w:val="right"/>
            </w:pPr>
            <w:r>
              <w:t>10</w:t>
            </w:r>
          </w:p>
        </w:tc>
        <w:tc>
          <w:tcPr>
            <w:tcW w:w="1333" w:type="dxa"/>
            <w:vAlign w:val="center"/>
          </w:tcPr>
          <w:p w14:paraId="7B326F0C" w14:textId="10E07806" w:rsidR="000078A2" w:rsidRPr="00D1690E" w:rsidRDefault="000078A2" w:rsidP="00C237D6">
            <w:pPr>
              <w:pStyle w:val="TMGTableText"/>
              <w:ind w:left="0" w:right="432"/>
              <w:jc w:val="right"/>
            </w:pPr>
            <w:r w:rsidRPr="00CD6C93">
              <w:t>NA</w:t>
            </w:r>
          </w:p>
        </w:tc>
        <w:tc>
          <w:tcPr>
            <w:tcW w:w="1334" w:type="dxa"/>
            <w:vAlign w:val="center"/>
          </w:tcPr>
          <w:p w14:paraId="58DB1B37" w14:textId="380BFE6D" w:rsidR="000078A2" w:rsidRPr="00D1690E" w:rsidRDefault="000078A2" w:rsidP="00C237D6">
            <w:pPr>
              <w:pStyle w:val="TMGTableText"/>
              <w:ind w:left="0" w:right="432"/>
              <w:jc w:val="right"/>
            </w:pPr>
            <w:r>
              <w:t>45</w:t>
            </w:r>
          </w:p>
        </w:tc>
      </w:tr>
      <w:tr w:rsidR="000078A2" w:rsidRPr="000078A2" w14:paraId="68B8F10F" w14:textId="77777777" w:rsidTr="00C237D6">
        <w:trPr>
          <w:trHeight w:val="63"/>
          <w:jc w:val="center"/>
        </w:trPr>
        <w:tc>
          <w:tcPr>
            <w:tcW w:w="1361" w:type="dxa"/>
          </w:tcPr>
          <w:p w14:paraId="08C67496" w14:textId="70708962" w:rsidR="000078A2" w:rsidRDefault="000078A2" w:rsidP="002E1E4D">
            <w:pPr>
              <w:pStyle w:val="TMGTableText"/>
            </w:pPr>
            <w:r>
              <w:t>12:45:00 AM</w:t>
            </w:r>
          </w:p>
        </w:tc>
        <w:tc>
          <w:tcPr>
            <w:tcW w:w="1333" w:type="dxa"/>
            <w:vAlign w:val="center"/>
          </w:tcPr>
          <w:p w14:paraId="40734621" w14:textId="0F5AA89A" w:rsidR="000078A2" w:rsidRPr="000078A2" w:rsidRDefault="000078A2" w:rsidP="00C237D6">
            <w:pPr>
              <w:pStyle w:val="TMGTableText"/>
              <w:ind w:left="0" w:right="432"/>
              <w:jc w:val="right"/>
            </w:pPr>
            <w:r>
              <w:t>7</w:t>
            </w:r>
          </w:p>
        </w:tc>
        <w:tc>
          <w:tcPr>
            <w:tcW w:w="1333" w:type="dxa"/>
            <w:vAlign w:val="center"/>
          </w:tcPr>
          <w:p w14:paraId="21563D34" w14:textId="25ECF2E9" w:rsidR="000078A2" w:rsidRPr="000078A2" w:rsidRDefault="000078A2" w:rsidP="00C237D6">
            <w:pPr>
              <w:pStyle w:val="TMGTableText"/>
              <w:ind w:left="0" w:right="432"/>
              <w:jc w:val="right"/>
            </w:pPr>
            <w:r>
              <w:t>12</w:t>
            </w:r>
          </w:p>
        </w:tc>
        <w:tc>
          <w:tcPr>
            <w:tcW w:w="1333" w:type="dxa"/>
            <w:vAlign w:val="center"/>
          </w:tcPr>
          <w:p w14:paraId="0476A5DF" w14:textId="187CC9BA" w:rsidR="000078A2" w:rsidRPr="000078A2" w:rsidRDefault="000078A2" w:rsidP="00C237D6">
            <w:pPr>
              <w:pStyle w:val="TMGTableText"/>
              <w:ind w:left="0" w:right="432"/>
              <w:jc w:val="right"/>
            </w:pPr>
            <w:r>
              <w:t>10</w:t>
            </w:r>
          </w:p>
        </w:tc>
        <w:tc>
          <w:tcPr>
            <w:tcW w:w="1333" w:type="dxa"/>
            <w:vAlign w:val="center"/>
          </w:tcPr>
          <w:p w14:paraId="56C61568" w14:textId="29A3D1F7" w:rsidR="000078A2" w:rsidRPr="000078A2" w:rsidRDefault="000078A2" w:rsidP="00C237D6">
            <w:pPr>
              <w:pStyle w:val="TMGTableText"/>
              <w:ind w:left="0" w:right="432"/>
              <w:jc w:val="right"/>
            </w:pPr>
            <w:r>
              <w:t>10</w:t>
            </w:r>
          </w:p>
        </w:tc>
        <w:tc>
          <w:tcPr>
            <w:tcW w:w="1333" w:type="dxa"/>
            <w:vAlign w:val="center"/>
          </w:tcPr>
          <w:p w14:paraId="083015DE" w14:textId="759FC052" w:rsidR="000078A2" w:rsidRPr="000078A2" w:rsidRDefault="000078A2" w:rsidP="00C237D6">
            <w:pPr>
              <w:pStyle w:val="TMGTableText"/>
              <w:ind w:left="0" w:right="432"/>
              <w:jc w:val="right"/>
            </w:pPr>
            <w:r w:rsidRPr="00CD6C93">
              <w:t>NA</w:t>
            </w:r>
          </w:p>
        </w:tc>
        <w:tc>
          <w:tcPr>
            <w:tcW w:w="1334" w:type="dxa"/>
            <w:vAlign w:val="center"/>
          </w:tcPr>
          <w:p w14:paraId="37C3AC62" w14:textId="293497A4" w:rsidR="000078A2" w:rsidRPr="000078A2" w:rsidRDefault="000078A2" w:rsidP="00C237D6">
            <w:pPr>
              <w:pStyle w:val="TMGTableText"/>
              <w:ind w:left="0" w:right="432"/>
              <w:jc w:val="right"/>
            </w:pPr>
            <w:r>
              <w:t>39</w:t>
            </w:r>
          </w:p>
        </w:tc>
      </w:tr>
      <w:tr w:rsidR="000078A2" w:rsidRPr="000078A2" w14:paraId="2EB9A854" w14:textId="77777777" w:rsidTr="00C237D6">
        <w:trPr>
          <w:jc w:val="center"/>
        </w:trPr>
        <w:tc>
          <w:tcPr>
            <w:tcW w:w="1361" w:type="dxa"/>
          </w:tcPr>
          <w:p w14:paraId="0766A4B5" w14:textId="5ADAD717" w:rsidR="000078A2" w:rsidRDefault="000078A2" w:rsidP="002E1E4D">
            <w:pPr>
              <w:pStyle w:val="TMGTableText"/>
            </w:pPr>
            <w:r>
              <w:t>12:50:00 AM</w:t>
            </w:r>
          </w:p>
        </w:tc>
        <w:tc>
          <w:tcPr>
            <w:tcW w:w="1333" w:type="dxa"/>
            <w:vAlign w:val="center"/>
          </w:tcPr>
          <w:p w14:paraId="07C9612B" w14:textId="2402D950" w:rsidR="000078A2" w:rsidRPr="000078A2" w:rsidRDefault="000078A2" w:rsidP="00C237D6">
            <w:pPr>
              <w:pStyle w:val="TMGTableText"/>
              <w:ind w:left="0" w:right="432"/>
              <w:jc w:val="right"/>
            </w:pPr>
            <w:r>
              <w:t>8</w:t>
            </w:r>
          </w:p>
        </w:tc>
        <w:tc>
          <w:tcPr>
            <w:tcW w:w="1333" w:type="dxa"/>
            <w:vAlign w:val="center"/>
          </w:tcPr>
          <w:p w14:paraId="53A15593" w14:textId="5323A0CD" w:rsidR="000078A2" w:rsidRPr="000078A2" w:rsidRDefault="000078A2" w:rsidP="00C237D6">
            <w:pPr>
              <w:pStyle w:val="TMGTableText"/>
              <w:ind w:left="0" w:right="432"/>
              <w:jc w:val="right"/>
            </w:pPr>
            <w:r>
              <w:t>10</w:t>
            </w:r>
          </w:p>
        </w:tc>
        <w:tc>
          <w:tcPr>
            <w:tcW w:w="1333" w:type="dxa"/>
            <w:vAlign w:val="center"/>
          </w:tcPr>
          <w:p w14:paraId="6F5CC45D" w14:textId="0653A5B0" w:rsidR="000078A2" w:rsidRPr="000078A2" w:rsidRDefault="000078A2" w:rsidP="00C237D6">
            <w:pPr>
              <w:pStyle w:val="TMGTableText"/>
              <w:ind w:left="0" w:right="432"/>
              <w:jc w:val="right"/>
            </w:pPr>
            <w:r>
              <w:t>9</w:t>
            </w:r>
          </w:p>
        </w:tc>
        <w:tc>
          <w:tcPr>
            <w:tcW w:w="1333" w:type="dxa"/>
            <w:vAlign w:val="center"/>
          </w:tcPr>
          <w:p w14:paraId="54E62689" w14:textId="0CBABFB5" w:rsidR="000078A2" w:rsidRPr="000078A2" w:rsidRDefault="000078A2" w:rsidP="00C237D6">
            <w:pPr>
              <w:pStyle w:val="TMGTableText"/>
              <w:ind w:left="0" w:right="432"/>
              <w:jc w:val="right"/>
            </w:pPr>
            <w:r>
              <w:t>8</w:t>
            </w:r>
          </w:p>
        </w:tc>
        <w:tc>
          <w:tcPr>
            <w:tcW w:w="1333" w:type="dxa"/>
            <w:vAlign w:val="center"/>
          </w:tcPr>
          <w:p w14:paraId="1C612E43" w14:textId="3CBA05CD" w:rsidR="000078A2" w:rsidRPr="000078A2" w:rsidRDefault="000078A2" w:rsidP="00C237D6">
            <w:pPr>
              <w:pStyle w:val="TMGTableText"/>
              <w:ind w:left="0" w:right="432"/>
              <w:jc w:val="right"/>
            </w:pPr>
            <w:r w:rsidRPr="00CD6C93">
              <w:t>NA</w:t>
            </w:r>
          </w:p>
        </w:tc>
        <w:tc>
          <w:tcPr>
            <w:tcW w:w="1334" w:type="dxa"/>
            <w:vAlign w:val="center"/>
          </w:tcPr>
          <w:p w14:paraId="573887AC" w14:textId="5BA64E2E" w:rsidR="000078A2" w:rsidRPr="000078A2" w:rsidRDefault="000078A2" w:rsidP="00C237D6">
            <w:pPr>
              <w:pStyle w:val="TMGTableText"/>
              <w:ind w:left="0" w:right="432"/>
              <w:jc w:val="right"/>
            </w:pPr>
            <w:r>
              <w:t>35</w:t>
            </w:r>
          </w:p>
        </w:tc>
      </w:tr>
      <w:tr w:rsidR="000078A2" w:rsidRPr="000078A2" w14:paraId="33B73EA0" w14:textId="77777777" w:rsidTr="00C237D6">
        <w:trPr>
          <w:jc w:val="center"/>
        </w:trPr>
        <w:tc>
          <w:tcPr>
            <w:tcW w:w="1361" w:type="dxa"/>
          </w:tcPr>
          <w:p w14:paraId="18994F85" w14:textId="5E26738A" w:rsidR="000078A2" w:rsidRDefault="000078A2" w:rsidP="002E1E4D">
            <w:pPr>
              <w:pStyle w:val="TMGTableText"/>
            </w:pPr>
            <w:r>
              <w:t>12:55:00 AM</w:t>
            </w:r>
          </w:p>
        </w:tc>
        <w:tc>
          <w:tcPr>
            <w:tcW w:w="1333" w:type="dxa"/>
            <w:vAlign w:val="center"/>
          </w:tcPr>
          <w:p w14:paraId="4C8C7323" w14:textId="1C57A2D6" w:rsidR="000078A2" w:rsidRPr="000078A2" w:rsidRDefault="000078A2" w:rsidP="00C237D6">
            <w:pPr>
              <w:pStyle w:val="TMGTableText"/>
              <w:ind w:left="0" w:right="432"/>
              <w:jc w:val="right"/>
            </w:pPr>
            <w:r>
              <w:t>5</w:t>
            </w:r>
          </w:p>
        </w:tc>
        <w:tc>
          <w:tcPr>
            <w:tcW w:w="1333" w:type="dxa"/>
            <w:vAlign w:val="center"/>
          </w:tcPr>
          <w:p w14:paraId="4329ED0B" w14:textId="18DCB0BE" w:rsidR="000078A2" w:rsidRPr="000078A2" w:rsidRDefault="000078A2" w:rsidP="00C237D6">
            <w:pPr>
              <w:pStyle w:val="TMGTableText"/>
              <w:ind w:left="0" w:right="432"/>
              <w:jc w:val="right"/>
            </w:pPr>
            <w:r>
              <w:t>8</w:t>
            </w:r>
          </w:p>
        </w:tc>
        <w:tc>
          <w:tcPr>
            <w:tcW w:w="1333" w:type="dxa"/>
            <w:vAlign w:val="center"/>
          </w:tcPr>
          <w:p w14:paraId="3A7784FB" w14:textId="5207FE7E" w:rsidR="000078A2" w:rsidRPr="000078A2" w:rsidRDefault="000078A2" w:rsidP="00C237D6">
            <w:pPr>
              <w:pStyle w:val="TMGTableText"/>
              <w:ind w:left="0" w:right="432"/>
              <w:jc w:val="right"/>
            </w:pPr>
            <w:r>
              <w:t>7</w:t>
            </w:r>
          </w:p>
        </w:tc>
        <w:tc>
          <w:tcPr>
            <w:tcW w:w="1333" w:type="dxa"/>
            <w:vAlign w:val="center"/>
          </w:tcPr>
          <w:p w14:paraId="16355DB0" w14:textId="73594776" w:rsidR="000078A2" w:rsidRPr="000078A2" w:rsidRDefault="000078A2" w:rsidP="00C237D6">
            <w:pPr>
              <w:pStyle w:val="TMGTableText"/>
              <w:ind w:left="0" w:right="432"/>
              <w:jc w:val="right"/>
            </w:pPr>
            <w:r>
              <w:t>7</w:t>
            </w:r>
          </w:p>
        </w:tc>
        <w:tc>
          <w:tcPr>
            <w:tcW w:w="1333" w:type="dxa"/>
            <w:vAlign w:val="center"/>
          </w:tcPr>
          <w:p w14:paraId="1857EDE0" w14:textId="2ED3B732" w:rsidR="000078A2" w:rsidRPr="000078A2" w:rsidRDefault="000078A2" w:rsidP="00C237D6">
            <w:pPr>
              <w:pStyle w:val="TMGTableText"/>
              <w:ind w:left="0" w:right="432"/>
              <w:jc w:val="right"/>
            </w:pPr>
            <w:r w:rsidRPr="00CD6C93">
              <w:t>NA</w:t>
            </w:r>
          </w:p>
        </w:tc>
        <w:tc>
          <w:tcPr>
            <w:tcW w:w="1334" w:type="dxa"/>
            <w:vAlign w:val="center"/>
          </w:tcPr>
          <w:p w14:paraId="004D620D" w14:textId="52710B71" w:rsidR="000078A2" w:rsidRPr="000078A2" w:rsidRDefault="000078A2" w:rsidP="00C237D6">
            <w:pPr>
              <w:pStyle w:val="TMGTableText"/>
              <w:ind w:left="0" w:right="432"/>
              <w:jc w:val="right"/>
            </w:pPr>
            <w:r>
              <w:t>27</w:t>
            </w:r>
          </w:p>
        </w:tc>
      </w:tr>
      <w:tr w:rsidR="000078A2" w:rsidRPr="000078A2" w14:paraId="225FE917" w14:textId="77777777" w:rsidTr="00C237D6">
        <w:trPr>
          <w:jc w:val="center"/>
        </w:trPr>
        <w:tc>
          <w:tcPr>
            <w:tcW w:w="1361" w:type="dxa"/>
          </w:tcPr>
          <w:p w14:paraId="41966639" w14:textId="34C06279" w:rsidR="000078A2" w:rsidRDefault="000078A2" w:rsidP="002E1E4D">
            <w:pPr>
              <w:pStyle w:val="TMGTableText"/>
            </w:pPr>
            <w:r>
              <w:t>1:00:00 AM</w:t>
            </w:r>
          </w:p>
        </w:tc>
        <w:tc>
          <w:tcPr>
            <w:tcW w:w="1333" w:type="dxa"/>
            <w:vAlign w:val="center"/>
          </w:tcPr>
          <w:p w14:paraId="41DC6B5A" w14:textId="690EBE3C" w:rsidR="000078A2" w:rsidRPr="000078A2" w:rsidRDefault="000078A2" w:rsidP="00C237D6">
            <w:pPr>
              <w:pStyle w:val="TMGTableText"/>
              <w:ind w:left="0" w:right="432"/>
              <w:jc w:val="right"/>
            </w:pPr>
            <w:r>
              <w:t>7</w:t>
            </w:r>
          </w:p>
        </w:tc>
        <w:tc>
          <w:tcPr>
            <w:tcW w:w="1333" w:type="dxa"/>
            <w:vAlign w:val="center"/>
          </w:tcPr>
          <w:p w14:paraId="400F42F2" w14:textId="65751B73" w:rsidR="000078A2" w:rsidRPr="000078A2" w:rsidRDefault="000078A2" w:rsidP="00C237D6">
            <w:pPr>
              <w:pStyle w:val="TMGTableText"/>
              <w:ind w:left="0" w:right="432"/>
              <w:jc w:val="right"/>
            </w:pPr>
            <w:r>
              <w:t>8</w:t>
            </w:r>
          </w:p>
        </w:tc>
        <w:tc>
          <w:tcPr>
            <w:tcW w:w="1333" w:type="dxa"/>
            <w:vAlign w:val="center"/>
          </w:tcPr>
          <w:p w14:paraId="2488234B" w14:textId="17BB1266" w:rsidR="000078A2" w:rsidRPr="000078A2" w:rsidRDefault="000078A2" w:rsidP="00C237D6">
            <w:pPr>
              <w:pStyle w:val="TMGTableText"/>
              <w:ind w:left="0" w:right="432"/>
              <w:jc w:val="right"/>
            </w:pPr>
            <w:r>
              <w:t>9</w:t>
            </w:r>
          </w:p>
        </w:tc>
        <w:tc>
          <w:tcPr>
            <w:tcW w:w="1333" w:type="dxa"/>
            <w:vAlign w:val="center"/>
          </w:tcPr>
          <w:p w14:paraId="15BEC4DF" w14:textId="4317695C" w:rsidR="000078A2" w:rsidRPr="000078A2" w:rsidRDefault="000078A2" w:rsidP="00C237D6">
            <w:pPr>
              <w:pStyle w:val="TMGTableText"/>
              <w:ind w:left="0" w:right="432"/>
              <w:jc w:val="right"/>
            </w:pPr>
            <w:r>
              <w:t>6</w:t>
            </w:r>
          </w:p>
        </w:tc>
        <w:tc>
          <w:tcPr>
            <w:tcW w:w="1333" w:type="dxa"/>
            <w:vAlign w:val="center"/>
          </w:tcPr>
          <w:p w14:paraId="52936392" w14:textId="290481DD" w:rsidR="000078A2" w:rsidRPr="000078A2" w:rsidRDefault="000078A2" w:rsidP="00C237D6">
            <w:pPr>
              <w:pStyle w:val="TMGTableText"/>
              <w:ind w:left="0" w:right="432"/>
              <w:jc w:val="right"/>
            </w:pPr>
            <w:r w:rsidRPr="00D17860">
              <w:t>NA</w:t>
            </w:r>
          </w:p>
        </w:tc>
        <w:tc>
          <w:tcPr>
            <w:tcW w:w="1334" w:type="dxa"/>
            <w:vAlign w:val="center"/>
          </w:tcPr>
          <w:p w14:paraId="7B5FB998" w14:textId="44F60E7C" w:rsidR="000078A2" w:rsidRPr="000078A2" w:rsidRDefault="000078A2" w:rsidP="00C237D6">
            <w:pPr>
              <w:pStyle w:val="TMGTableText"/>
              <w:ind w:left="0" w:right="432"/>
              <w:jc w:val="right"/>
            </w:pPr>
            <w:r>
              <w:t>30</w:t>
            </w:r>
          </w:p>
        </w:tc>
      </w:tr>
      <w:tr w:rsidR="000078A2" w:rsidRPr="000078A2" w14:paraId="40746AE5" w14:textId="77777777" w:rsidTr="00C237D6">
        <w:trPr>
          <w:jc w:val="center"/>
        </w:trPr>
        <w:tc>
          <w:tcPr>
            <w:tcW w:w="1361" w:type="dxa"/>
          </w:tcPr>
          <w:p w14:paraId="5D368A51" w14:textId="46459E5C" w:rsidR="000078A2" w:rsidRDefault="000078A2" w:rsidP="002E1E4D">
            <w:pPr>
              <w:pStyle w:val="TMGTableText"/>
            </w:pPr>
            <w:r>
              <w:t>1:05:00 AM</w:t>
            </w:r>
          </w:p>
        </w:tc>
        <w:tc>
          <w:tcPr>
            <w:tcW w:w="1333" w:type="dxa"/>
            <w:vAlign w:val="center"/>
          </w:tcPr>
          <w:p w14:paraId="10652975" w14:textId="75A50379" w:rsidR="000078A2" w:rsidRPr="000078A2" w:rsidRDefault="000078A2" w:rsidP="00C237D6">
            <w:pPr>
              <w:pStyle w:val="TMGTableText"/>
              <w:ind w:left="0" w:right="432"/>
              <w:jc w:val="right"/>
            </w:pPr>
            <w:r>
              <w:t>6</w:t>
            </w:r>
          </w:p>
        </w:tc>
        <w:tc>
          <w:tcPr>
            <w:tcW w:w="1333" w:type="dxa"/>
            <w:vAlign w:val="center"/>
          </w:tcPr>
          <w:p w14:paraId="13F433CA" w14:textId="58AAEDFB" w:rsidR="000078A2" w:rsidRPr="000078A2" w:rsidRDefault="000078A2" w:rsidP="00C237D6">
            <w:pPr>
              <w:pStyle w:val="TMGTableText"/>
              <w:ind w:left="0" w:right="432"/>
              <w:jc w:val="right"/>
            </w:pPr>
            <w:r>
              <w:t>7</w:t>
            </w:r>
          </w:p>
        </w:tc>
        <w:tc>
          <w:tcPr>
            <w:tcW w:w="1333" w:type="dxa"/>
            <w:vAlign w:val="center"/>
          </w:tcPr>
          <w:p w14:paraId="1A738E66" w14:textId="7EBD98BC" w:rsidR="000078A2" w:rsidRPr="000078A2" w:rsidRDefault="000078A2" w:rsidP="00C237D6">
            <w:pPr>
              <w:pStyle w:val="TMGTableText"/>
              <w:ind w:left="0" w:right="432"/>
              <w:jc w:val="right"/>
            </w:pPr>
            <w:r>
              <w:t>9</w:t>
            </w:r>
          </w:p>
        </w:tc>
        <w:tc>
          <w:tcPr>
            <w:tcW w:w="1333" w:type="dxa"/>
            <w:vAlign w:val="center"/>
          </w:tcPr>
          <w:p w14:paraId="5E2A9381" w14:textId="7431D30C" w:rsidR="000078A2" w:rsidRPr="000078A2" w:rsidRDefault="000078A2" w:rsidP="00C237D6">
            <w:pPr>
              <w:pStyle w:val="TMGTableText"/>
              <w:ind w:left="0" w:right="432"/>
              <w:jc w:val="right"/>
            </w:pPr>
            <w:r>
              <w:t>7</w:t>
            </w:r>
          </w:p>
        </w:tc>
        <w:tc>
          <w:tcPr>
            <w:tcW w:w="1333" w:type="dxa"/>
            <w:vAlign w:val="center"/>
          </w:tcPr>
          <w:p w14:paraId="22699B66" w14:textId="04F2B2F1" w:rsidR="000078A2" w:rsidRPr="000078A2" w:rsidRDefault="000078A2" w:rsidP="00C237D6">
            <w:pPr>
              <w:pStyle w:val="TMGTableText"/>
              <w:ind w:left="0" w:right="432"/>
              <w:jc w:val="right"/>
            </w:pPr>
            <w:r w:rsidRPr="00D17860">
              <w:t>NA</w:t>
            </w:r>
          </w:p>
        </w:tc>
        <w:tc>
          <w:tcPr>
            <w:tcW w:w="1334" w:type="dxa"/>
            <w:vAlign w:val="center"/>
          </w:tcPr>
          <w:p w14:paraId="487B623C" w14:textId="5E3E581A" w:rsidR="000078A2" w:rsidRPr="000078A2" w:rsidRDefault="000078A2" w:rsidP="00C237D6">
            <w:pPr>
              <w:pStyle w:val="TMGTableText"/>
              <w:ind w:left="0" w:right="432"/>
              <w:jc w:val="right"/>
            </w:pPr>
            <w:r>
              <w:t>29</w:t>
            </w:r>
          </w:p>
        </w:tc>
      </w:tr>
    </w:tbl>
    <w:p w14:paraId="5F569480" w14:textId="65FE48D7" w:rsidR="003F7B9F" w:rsidRDefault="003F7B9F" w:rsidP="00277580">
      <w:pPr>
        <w:pStyle w:val="BodyText"/>
        <w:spacing w:before="360"/>
      </w:pPr>
      <w:r w:rsidRPr="00643085">
        <w:rPr>
          <w:b/>
          <w:bCs/>
        </w:rPr>
        <w:t>Step 3</w:t>
      </w:r>
      <w:r w:rsidRPr="00643085">
        <w:t xml:space="preserve"> – determine the average</w:t>
      </w:r>
      <w:r>
        <w:t xml:space="preserve"> volume</w:t>
      </w:r>
      <w:r w:rsidRPr="00643085">
        <w:t xml:space="preserve"> for each time increment for every DOW</w:t>
      </w:r>
      <w:r>
        <w:t xml:space="preserve"> (Average DOW Increment Volume)</w:t>
      </w:r>
    </w:p>
    <w:p w14:paraId="315A9E9D" w14:textId="59C60C4B" w:rsidR="00FE5355" w:rsidRDefault="00FE5355" w:rsidP="000F2A7A">
      <w:pPr>
        <w:pStyle w:val="TMGTableCaption"/>
      </w:pPr>
      <w:bookmarkStart w:id="2616" w:name="_Toc114474839"/>
      <w:bookmarkStart w:id="2617" w:name="_Toc120631145"/>
      <w:r>
        <w:t xml:space="preserve">Table </w:t>
      </w:r>
      <w:fldSimple w:instr=" STYLEREF 1 \s ">
        <w:r w:rsidR="00C07DF9">
          <w:rPr>
            <w:noProof/>
          </w:rPr>
          <w:t>3</w:t>
        </w:r>
      </w:fldSimple>
      <w:r>
        <w:noBreakHyphen/>
      </w:r>
      <w:fldSimple w:instr=" SEQ Table \* ARABIC \s 1 ">
        <w:r w:rsidR="00C07DF9">
          <w:rPr>
            <w:noProof/>
          </w:rPr>
          <w:t>19</w:t>
        </w:r>
      </w:fldSimple>
      <w:r w:rsidR="00627DD7">
        <w:t>.</w:t>
      </w:r>
      <w:r>
        <w:t xml:space="preserve"> </w:t>
      </w:r>
      <w:r w:rsidRPr="00666138">
        <w:t>Example of Day-of-Week Averages</w:t>
      </w:r>
      <w:bookmarkEnd w:id="2616"/>
      <w:bookmarkEnd w:id="2617"/>
    </w:p>
    <w:tbl>
      <w:tblPr>
        <w:tblStyle w:val="TableGrid"/>
        <w:tblW w:w="9360" w:type="dxa"/>
        <w:jc w:val="center"/>
        <w:tblLayout w:type="fixed"/>
        <w:tblLook w:val="04A0" w:firstRow="1" w:lastRow="0" w:firstColumn="1" w:lastColumn="0" w:noHBand="0" w:noVBand="1"/>
      </w:tblPr>
      <w:tblGrid>
        <w:gridCol w:w="1345"/>
        <w:gridCol w:w="1170"/>
        <w:gridCol w:w="1198"/>
        <w:gridCol w:w="1150"/>
        <w:gridCol w:w="1149"/>
        <w:gridCol w:w="1150"/>
        <w:gridCol w:w="753"/>
        <w:gridCol w:w="1445"/>
      </w:tblGrid>
      <w:tr w:rsidR="00277580" w:rsidRPr="00277580" w14:paraId="158E8722" w14:textId="480B75CE" w:rsidTr="006428F4">
        <w:trPr>
          <w:trHeight w:val="287"/>
          <w:jc w:val="center"/>
        </w:trPr>
        <w:tc>
          <w:tcPr>
            <w:tcW w:w="1345" w:type="dxa"/>
            <w:tcBorders>
              <w:right w:val="single" w:sz="4" w:space="0" w:color="FFFFFF" w:themeColor="background1"/>
            </w:tcBorders>
            <w:shd w:val="clear" w:color="auto" w:fill="1F3864"/>
            <w:vAlign w:val="center"/>
          </w:tcPr>
          <w:p w14:paraId="14157D01" w14:textId="77777777" w:rsidR="00C20BE6" w:rsidRPr="001B5336" w:rsidRDefault="00C20BE6" w:rsidP="006428F4">
            <w:pPr>
              <w:pStyle w:val="TMGTableTextHeader"/>
            </w:pPr>
            <w:r w:rsidRPr="001B5336">
              <w:t>May 2019</w:t>
            </w:r>
          </w:p>
          <w:p w14:paraId="17694C48" w14:textId="77777777" w:rsidR="00C20BE6" w:rsidRPr="001B5336" w:rsidRDefault="00C20BE6" w:rsidP="006428F4">
            <w:pPr>
              <w:pStyle w:val="TMGTableTextHeader"/>
            </w:pPr>
            <w:r w:rsidRPr="001B5336">
              <w:t>Time</w:t>
            </w:r>
          </w:p>
        </w:tc>
        <w:tc>
          <w:tcPr>
            <w:tcW w:w="1170" w:type="dxa"/>
            <w:tcBorders>
              <w:left w:val="single" w:sz="4" w:space="0" w:color="FFFFFF" w:themeColor="background1"/>
              <w:right w:val="single" w:sz="4" w:space="0" w:color="FFFFFF" w:themeColor="background1"/>
            </w:tcBorders>
            <w:shd w:val="clear" w:color="auto" w:fill="1F3864"/>
            <w:vAlign w:val="center"/>
          </w:tcPr>
          <w:p w14:paraId="3DA0337C" w14:textId="77777777" w:rsidR="00C20BE6" w:rsidRPr="001B5336" w:rsidRDefault="00C20BE6" w:rsidP="00627DD7">
            <w:pPr>
              <w:pStyle w:val="TMGTableTextHeader"/>
            </w:pPr>
            <w:r w:rsidRPr="001B5336">
              <w:t>1st Sunday</w:t>
            </w:r>
          </w:p>
          <w:p w14:paraId="45E3E0E8" w14:textId="77777777" w:rsidR="00C20BE6" w:rsidRPr="001B5336" w:rsidRDefault="00C20BE6" w:rsidP="00627DD7">
            <w:pPr>
              <w:pStyle w:val="TMGTableTextHeader"/>
            </w:pPr>
            <w:r w:rsidRPr="001B5336">
              <w:t>Volume</w:t>
            </w:r>
          </w:p>
        </w:tc>
        <w:tc>
          <w:tcPr>
            <w:tcW w:w="1198" w:type="dxa"/>
            <w:tcBorders>
              <w:left w:val="single" w:sz="4" w:space="0" w:color="FFFFFF" w:themeColor="background1"/>
              <w:right w:val="single" w:sz="4" w:space="0" w:color="FFFFFF" w:themeColor="background1"/>
            </w:tcBorders>
            <w:shd w:val="clear" w:color="auto" w:fill="1F3864"/>
            <w:vAlign w:val="center"/>
          </w:tcPr>
          <w:p w14:paraId="5237FB59" w14:textId="77777777" w:rsidR="00C20BE6" w:rsidRPr="001B5336" w:rsidRDefault="00C20BE6" w:rsidP="00627DD7">
            <w:pPr>
              <w:pStyle w:val="TMGTableTextHeader"/>
            </w:pPr>
            <w:r w:rsidRPr="001B5336">
              <w:t>2nd Sunday</w:t>
            </w:r>
          </w:p>
          <w:p w14:paraId="48B261B8" w14:textId="77777777" w:rsidR="00C20BE6" w:rsidRPr="001B5336" w:rsidRDefault="00C20BE6" w:rsidP="00627DD7">
            <w:pPr>
              <w:pStyle w:val="TMGTableTextHeader"/>
            </w:pPr>
            <w:r w:rsidRPr="001B5336">
              <w:t>Volume</w:t>
            </w:r>
          </w:p>
        </w:tc>
        <w:tc>
          <w:tcPr>
            <w:tcW w:w="1150" w:type="dxa"/>
            <w:tcBorders>
              <w:left w:val="single" w:sz="4" w:space="0" w:color="FFFFFF" w:themeColor="background1"/>
              <w:right w:val="single" w:sz="4" w:space="0" w:color="FFFFFF" w:themeColor="background1"/>
            </w:tcBorders>
            <w:shd w:val="clear" w:color="auto" w:fill="1F3864"/>
            <w:vAlign w:val="center"/>
          </w:tcPr>
          <w:p w14:paraId="7E5BA841" w14:textId="77777777" w:rsidR="00C20BE6" w:rsidRPr="001B5336" w:rsidRDefault="00C20BE6" w:rsidP="00627DD7">
            <w:pPr>
              <w:pStyle w:val="TMGTableTextHeader"/>
            </w:pPr>
            <w:r w:rsidRPr="001B5336">
              <w:t>3rd Sunday</w:t>
            </w:r>
          </w:p>
          <w:p w14:paraId="1D52D2B5" w14:textId="77777777" w:rsidR="00C20BE6" w:rsidRPr="001B5336" w:rsidRDefault="00C20BE6" w:rsidP="00627DD7">
            <w:pPr>
              <w:pStyle w:val="TMGTableTextHeader"/>
            </w:pPr>
            <w:r w:rsidRPr="001B5336">
              <w:t>Volume</w:t>
            </w:r>
          </w:p>
        </w:tc>
        <w:tc>
          <w:tcPr>
            <w:tcW w:w="1149" w:type="dxa"/>
            <w:tcBorders>
              <w:left w:val="single" w:sz="4" w:space="0" w:color="FFFFFF" w:themeColor="background1"/>
              <w:right w:val="single" w:sz="4" w:space="0" w:color="FFFFFF" w:themeColor="background1"/>
            </w:tcBorders>
            <w:shd w:val="clear" w:color="auto" w:fill="1F3864"/>
            <w:vAlign w:val="center"/>
          </w:tcPr>
          <w:p w14:paraId="0D6A1E6F" w14:textId="77777777" w:rsidR="00C20BE6" w:rsidRPr="001B5336" w:rsidRDefault="00C20BE6" w:rsidP="00627DD7">
            <w:pPr>
              <w:pStyle w:val="TMGTableTextHeader"/>
            </w:pPr>
            <w:r w:rsidRPr="001B5336">
              <w:t>4th Sunday</w:t>
            </w:r>
          </w:p>
          <w:p w14:paraId="3B1E3009" w14:textId="77777777" w:rsidR="00C20BE6" w:rsidRPr="001B5336" w:rsidRDefault="00C20BE6" w:rsidP="00627DD7">
            <w:pPr>
              <w:pStyle w:val="TMGTableTextHeader"/>
            </w:pPr>
            <w:r w:rsidRPr="001B5336">
              <w:t>Volume</w:t>
            </w:r>
          </w:p>
        </w:tc>
        <w:tc>
          <w:tcPr>
            <w:tcW w:w="1150" w:type="dxa"/>
            <w:tcBorders>
              <w:left w:val="single" w:sz="4" w:space="0" w:color="FFFFFF" w:themeColor="background1"/>
              <w:right w:val="single" w:sz="4" w:space="0" w:color="FFFFFF" w:themeColor="background1"/>
            </w:tcBorders>
            <w:shd w:val="clear" w:color="auto" w:fill="1F3864"/>
            <w:vAlign w:val="center"/>
          </w:tcPr>
          <w:p w14:paraId="1025AD74" w14:textId="77777777" w:rsidR="00C20BE6" w:rsidRPr="001B5336" w:rsidRDefault="00C20BE6" w:rsidP="00627DD7">
            <w:pPr>
              <w:pStyle w:val="TMGTableTextHeader"/>
            </w:pPr>
            <w:r w:rsidRPr="001B5336">
              <w:t>5th Sunday</w:t>
            </w:r>
          </w:p>
          <w:p w14:paraId="107BE900" w14:textId="77777777" w:rsidR="00C20BE6" w:rsidRPr="001B5336" w:rsidRDefault="00C20BE6" w:rsidP="00627DD7">
            <w:pPr>
              <w:pStyle w:val="TMGTableTextHeader"/>
            </w:pPr>
            <w:r w:rsidRPr="001B5336">
              <w:t>Volume</w:t>
            </w:r>
          </w:p>
        </w:tc>
        <w:tc>
          <w:tcPr>
            <w:tcW w:w="753" w:type="dxa"/>
            <w:tcBorders>
              <w:left w:val="single" w:sz="4" w:space="0" w:color="FFFFFF" w:themeColor="background1"/>
              <w:right w:val="single" w:sz="4" w:space="0" w:color="FFFFFF" w:themeColor="background1"/>
            </w:tcBorders>
            <w:shd w:val="clear" w:color="auto" w:fill="1F3864"/>
            <w:vAlign w:val="center"/>
          </w:tcPr>
          <w:p w14:paraId="7CA65EC4" w14:textId="673D5AC3" w:rsidR="00C20BE6" w:rsidRPr="001B5336" w:rsidRDefault="00740995" w:rsidP="00627DD7">
            <w:pPr>
              <w:pStyle w:val="TMGTableTextHeader"/>
            </w:pPr>
            <w:r w:rsidRPr="001B5336">
              <w:t>Total</w:t>
            </w:r>
          </w:p>
        </w:tc>
        <w:tc>
          <w:tcPr>
            <w:tcW w:w="1445" w:type="dxa"/>
            <w:tcBorders>
              <w:left w:val="single" w:sz="4" w:space="0" w:color="FFFFFF" w:themeColor="background1"/>
            </w:tcBorders>
            <w:shd w:val="clear" w:color="auto" w:fill="1F3864"/>
            <w:vAlign w:val="center"/>
          </w:tcPr>
          <w:p w14:paraId="7AB3284A" w14:textId="74C23B0E" w:rsidR="00C20BE6" w:rsidRPr="001B5336" w:rsidRDefault="00C20BE6" w:rsidP="00627DD7">
            <w:pPr>
              <w:pStyle w:val="TMGTableTextHeader"/>
            </w:pPr>
            <w:r w:rsidRPr="001B5336">
              <w:t>Average DOW Increment</w:t>
            </w:r>
          </w:p>
        </w:tc>
      </w:tr>
      <w:tr w:rsidR="00C20BE6" w:rsidRPr="00617689" w14:paraId="037D4166" w14:textId="461D9186" w:rsidTr="00627DD7">
        <w:trPr>
          <w:jc w:val="center"/>
        </w:trPr>
        <w:tc>
          <w:tcPr>
            <w:tcW w:w="1345" w:type="dxa"/>
          </w:tcPr>
          <w:p w14:paraId="17E2D5A2" w14:textId="77777777" w:rsidR="00C20BE6" w:rsidRPr="00617689" w:rsidRDefault="00C20BE6" w:rsidP="002E1E4D">
            <w:pPr>
              <w:pStyle w:val="TMGTableText"/>
              <w:jc w:val="right"/>
            </w:pPr>
            <w:r>
              <w:t>12:00:00 AM</w:t>
            </w:r>
          </w:p>
        </w:tc>
        <w:tc>
          <w:tcPr>
            <w:tcW w:w="1170" w:type="dxa"/>
            <w:vAlign w:val="center"/>
          </w:tcPr>
          <w:p w14:paraId="742A56C1" w14:textId="77777777" w:rsidR="00C20BE6" w:rsidRPr="00617689" w:rsidRDefault="00C20BE6" w:rsidP="002E1E4D">
            <w:pPr>
              <w:pStyle w:val="TMGTableText"/>
              <w:ind w:left="0" w:right="288"/>
              <w:jc w:val="right"/>
            </w:pPr>
            <w:r>
              <w:t>18</w:t>
            </w:r>
          </w:p>
        </w:tc>
        <w:tc>
          <w:tcPr>
            <w:tcW w:w="1198" w:type="dxa"/>
            <w:vAlign w:val="center"/>
          </w:tcPr>
          <w:p w14:paraId="174F1F14" w14:textId="77777777" w:rsidR="00C20BE6" w:rsidRPr="00617689" w:rsidRDefault="00C20BE6" w:rsidP="002E1E4D">
            <w:pPr>
              <w:pStyle w:val="TMGTableText"/>
              <w:ind w:left="0" w:right="288"/>
              <w:jc w:val="right"/>
            </w:pPr>
            <w:r>
              <w:t>23</w:t>
            </w:r>
          </w:p>
        </w:tc>
        <w:tc>
          <w:tcPr>
            <w:tcW w:w="1150" w:type="dxa"/>
            <w:vAlign w:val="center"/>
          </w:tcPr>
          <w:p w14:paraId="51680A92" w14:textId="77777777" w:rsidR="00C20BE6" w:rsidRPr="00617689" w:rsidRDefault="00C20BE6" w:rsidP="002E1E4D">
            <w:pPr>
              <w:pStyle w:val="TMGTableText"/>
              <w:ind w:left="0" w:right="288"/>
              <w:jc w:val="right"/>
            </w:pPr>
            <w:r>
              <w:t>21</w:t>
            </w:r>
          </w:p>
        </w:tc>
        <w:tc>
          <w:tcPr>
            <w:tcW w:w="1149" w:type="dxa"/>
            <w:vAlign w:val="center"/>
          </w:tcPr>
          <w:p w14:paraId="1F6A67BF" w14:textId="77777777" w:rsidR="00C20BE6" w:rsidRPr="00617689" w:rsidRDefault="00C20BE6" w:rsidP="002E1E4D">
            <w:pPr>
              <w:pStyle w:val="TMGTableText"/>
              <w:ind w:left="0" w:right="288"/>
              <w:jc w:val="right"/>
            </w:pPr>
            <w:r>
              <w:t>17</w:t>
            </w:r>
          </w:p>
        </w:tc>
        <w:tc>
          <w:tcPr>
            <w:tcW w:w="1150" w:type="dxa"/>
            <w:vAlign w:val="center"/>
          </w:tcPr>
          <w:p w14:paraId="501AC2A8" w14:textId="77777777" w:rsidR="00C20BE6" w:rsidRPr="00617689" w:rsidRDefault="00C20BE6" w:rsidP="002E1E4D">
            <w:pPr>
              <w:pStyle w:val="TMGTableText"/>
              <w:ind w:left="0" w:right="288"/>
              <w:jc w:val="right"/>
            </w:pPr>
            <w:r>
              <w:t>NA</w:t>
            </w:r>
          </w:p>
        </w:tc>
        <w:tc>
          <w:tcPr>
            <w:tcW w:w="753" w:type="dxa"/>
            <w:vAlign w:val="center"/>
          </w:tcPr>
          <w:p w14:paraId="2DAA90AE" w14:textId="77777777" w:rsidR="00C20BE6" w:rsidRPr="00617689" w:rsidRDefault="00C20BE6" w:rsidP="002E1E4D">
            <w:pPr>
              <w:pStyle w:val="TMGTableText"/>
              <w:jc w:val="right"/>
            </w:pPr>
            <w:r>
              <w:t>79</w:t>
            </w:r>
          </w:p>
        </w:tc>
        <w:tc>
          <w:tcPr>
            <w:tcW w:w="1445" w:type="dxa"/>
            <w:vAlign w:val="center"/>
          </w:tcPr>
          <w:p w14:paraId="77649838" w14:textId="43E655CD" w:rsidR="00C20BE6" w:rsidRDefault="00C20BE6" w:rsidP="002E1E4D">
            <w:pPr>
              <w:pStyle w:val="TMGTableText"/>
              <w:ind w:left="0" w:right="432"/>
              <w:jc w:val="right"/>
            </w:pPr>
            <w:r>
              <w:t>20</w:t>
            </w:r>
          </w:p>
        </w:tc>
      </w:tr>
      <w:tr w:rsidR="00C20BE6" w:rsidRPr="00617689" w14:paraId="6BE1152F" w14:textId="693094AD" w:rsidTr="00627DD7">
        <w:trPr>
          <w:jc w:val="center"/>
        </w:trPr>
        <w:tc>
          <w:tcPr>
            <w:tcW w:w="1345" w:type="dxa"/>
          </w:tcPr>
          <w:p w14:paraId="7742A5E4" w14:textId="77777777" w:rsidR="00C20BE6" w:rsidRPr="00617689" w:rsidRDefault="00C20BE6" w:rsidP="002E1E4D">
            <w:pPr>
              <w:pStyle w:val="TMGTableText"/>
              <w:jc w:val="right"/>
            </w:pPr>
            <w:r>
              <w:t>12:05:00 AM</w:t>
            </w:r>
          </w:p>
        </w:tc>
        <w:tc>
          <w:tcPr>
            <w:tcW w:w="1170" w:type="dxa"/>
            <w:vAlign w:val="center"/>
          </w:tcPr>
          <w:p w14:paraId="52E312BD" w14:textId="77777777" w:rsidR="00C20BE6" w:rsidRPr="00617689" w:rsidRDefault="00C20BE6" w:rsidP="002E1E4D">
            <w:pPr>
              <w:pStyle w:val="TMGTableText"/>
              <w:ind w:left="0" w:right="288"/>
              <w:jc w:val="right"/>
            </w:pPr>
            <w:r>
              <w:t>15</w:t>
            </w:r>
          </w:p>
        </w:tc>
        <w:tc>
          <w:tcPr>
            <w:tcW w:w="1198" w:type="dxa"/>
            <w:vAlign w:val="center"/>
          </w:tcPr>
          <w:p w14:paraId="6C52C0B0" w14:textId="77777777" w:rsidR="00C20BE6" w:rsidRPr="00617689" w:rsidRDefault="00C20BE6" w:rsidP="002E1E4D">
            <w:pPr>
              <w:pStyle w:val="TMGTableText"/>
              <w:ind w:left="0" w:right="288"/>
              <w:jc w:val="right"/>
            </w:pPr>
            <w:r>
              <w:t>20</w:t>
            </w:r>
          </w:p>
        </w:tc>
        <w:tc>
          <w:tcPr>
            <w:tcW w:w="1150" w:type="dxa"/>
            <w:vAlign w:val="center"/>
          </w:tcPr>
          <w:p w14:paraId="3DB70C96" w14:textId="77777777" w:rsidR="00C20BE6" w:rsidRPr="00617689" w:rsidRDefault="00C20BE6" w:rsidP="002E1E4D">
            <w:pPr>
              <w:pStyle w:val="TMGTableText"/>
              <w:ind w:left="0" w:right="288"/>
              <w:jc w:val="right"/>
            </w:pPr>
            <w:r>
              <w:t>18</w:t>
            </w:r>
          </w:p>
        </w:tc>
        <w:tc>
          <w:tcPr>
            <w:tcW w:w="1149" w:type="dxa"/>
            <w:vAlign w:val="center"/>
          </w:tcPr>
          <w:p w14:paraId="326A98A8" w14:textId="77777777" w:rsidR="00C20BE6" w:rsidRPr="00617689" w:rsidRDefault="00C20BE6" w:rsidP="002E1E4D">
            <w:pPr>
              <w:pStyle w:val="TMGTableText"/>
              <w:ind w:left="0" w:right="288"/>
              <w:jc w:val="right"/>
            </w:pPr>
            <w:r>
              <w:t>16</w:t>
            </w:r>
          </w:p>
        </w:tc>
        <w:tc>
          <w:tcPr>
            <w:tcW w:w="1150" w:type="dxa"/>
            <w:vAlign w:val="center"/>
          </w:tcPr>
          <w:p w14:paraId="3E6F276B" w14:textId="77777777" w:rsidR="00C20BE6" w:rsidRPr="00617689" w:rsidRDefault="00C20BE6" w:rsidP="002E1E4D">
            <w:pPr>
              <w:pStyle w:val="TMGTableText"/>
              <w:ind w:left="0" w:right="288"/>
              <w:jc w:val="right"/>
            </w:pPr>
            <w:r>
              <w:t>NA</w:t>
            </w:r>
          </w:p>
        </w:tc>
        <w:tc>
          <w:tcPr>
            <w:tcW w:w="753" w:type="dxa"/>
            <w:vAlign w:val="center"/>
          </w:tcPr>
          <w:p w14:paraId="49480B2A" w14:textId="77777777" w:rsidR="00C20BE6" w:rsidRPr="00617689" w:rsidRDefault="00C20BE6" w:rsidP="002E1E4D">
            <w:pPr>
              <w:pStyle w:val="TMGTableText"/>
              <w:jc w:val="right"/>
            </w:pPr>
            <w:r>
              <w:t>69</w:t>
            </w:r>
          </w:p>
        </w:tc>
        <w:tc>
          <w:tcPr>
            <w:tcW w:w="1445" w:type="dxa"/>
            <w:vAlign w:val="center"/>
          </w:tcPr>
          <w:p w14:paraId="07C4A644" w14:textId="3BE196D3" w:rsidR="00C20BE6" w:rsidRDefault="00C20BE6" w:rsidP="002E1E4D">
            <w:pPr>
              <w:pStyle w:val="TMGTableText"/>
              <w:ind w:left="0" w:right="432"/>
              <w:jc w:val="right"/>
            </w:pPr>
            <w:r>
              <w:t>17</w:t>
            </w:r>
          </w:p>
        </w:tc>
      </w:tr>
      <w:tr w:rsidR="00C20BE6" w:rsidRPr="00617689" w14:paraId="4575310E" w14:textId="1E2B2405" w:rsidTr="00627DD7">
        <w:trPr>
          <w:jc w:val="center"/>
        </w:trPr>
        <w:tc>
          <w:tcPr>
            <w:tcW w:w="1345" w:type="dxa"/>
          </w:tcPr>
          <w:p w14:paraId="34F69E7E" w14:textId="77777777" w:rsidR="00C20BE6" w:rsidRPr="00617689" w:rsidRDefault="00C20BE6" w:rsidP="002E1E4D">
            <w:pPr>
              <w:pStyle w:val="TMGTableText"/>
              <w:jc w:val="right"/>
            </w:pPr>
            <w:r>
              <w:t>12:10:00 AM</w:t>
            </w:r>
          </w:p>
        </w:tc>
        <w:tc>
          <w:tcPr>
            <w:tcW w:w="1170" w:type="dxa"/>
            <w:vAlign w:val="center"/>
          </w:tcPr>
          <w:p w14:paraId="742B0955" w14:textId="77777777" w:rsidR="00C20BE6" w:rsidRPr="00617689" w:rsidRDefault="00C20BE6" w:rsidP="002E1E4D">
            <w:pPr>
              <w:pStyle w:val="TMGTableText"/>
              <w:ind w:left="0" w:right="288"/>
              <w:jc w:val="right"/>
            </w:pPr>
            <w:r>
              <w:t>10</w:t>
            </w:r>
          </w:p>
        </w:tc>
        <w:tc>
          <w:tcPr>
            <w:tcW w:w="1198" w:type="dxa"/>
            <w:vAlign w:val="center"/>
          </w:tcPr>
          <w:p w14:paraId="3211FF9C" w14:textId="77777777" w:rsidR="00C20BE6" w:rsidRPr="00617689" w:rsidRDefault="00C20BE6" w:rsidP="002E1E4D">
            <w:pPr>
              <w:pStyle w:val="TMGTableText"/>
              <w:ind w:left="0" w:right="288"/>
              <w:jc w:val="right"/>
            </w:pPr>
            <w:r>
              <w:t>21</w:t>
            </w:r>
          </w:p>
        </w:tc>
        <w:tc>
          <w:tcPr>
            <w:tcW w:w="1150" w:type="dxa"/>
            <w:vAlign w:val="center"/>
          </w:tcPr>
          <w:p w14:paraId="7787D5B7" w14:textId="77777777" w:rsidR="00C20BE6" w:rsidRPr="00617689" w:rsidRDefault="00C20BE6" w:rsidP="002E1E4D">
            <w:pPr>
              <w:pStyle w:val="TMGTableText"/>
              <w:ind w:left="0" w:right="288"/>
              <w:jc w:val="right"/>
            </w:pPr>
            <w:r>
              <w:t>16</w:t>
            </w:r>
          </w:p>
        </w:tc>
        <w:tc>
          <w:tcPr>
            <w:tcW w:w="1149" w:type="dxa"/>
            <w:vAlign w:val="center"/>
          </w:tcPr>
          <w:p w14:paraId="311EC9B6" w14:textId="77777777" w:rsidR="00C20BE6" w:rsidRPr="00617689" w:rsidRDefault="00C20BE6" w:rsidP="002E1E4D">
            <w:pPr>
              <w:pStyle w:val="TMGTableText"/>
              <w:ind w:left="0" w:right="288"/>
              <w:jc w:val="right"/>
            </w:pPr>
            <w:r>
              <w:t>15</w:t>
            </w:r>
          </w:p>
        </w:tc>
        <w:tc>
          <w:tcPr>
            <w:tcW w:w="1150" w:type="dxa"/>
            <w:vAlign w:val="center"/>
          </w:tcPr>
          <w:p w14:paraId="052D2B41" w14:textId="77777777" w:rsidR="00C20BE6" w:rsidRPr="00617689" w:rsidRDefault="00C20BE6" w:rsidP="002E1E4D">
            <w:pPr>
              <w:pStyle w:val="TMGTableText"/>
              <w:ind w:left="0" w:right="288"/>
              <w:jc w:val="right"/>
            </w:pPr>
            <w:r w:rsidRPr="00CD6C93">
              <w:t>NA</w:t>
            </w:r>
          </w:p>
        </w:tc>
        <w:tc>
          <w:tcPr>
            <w:tcW w:w="753" w:type="dxa"/>
            <w:vAlign w:val="center"/>
          </w:tcPr>
          <w:p w14:paraId="30E111D0" w14:textId="77777777" w:rsidR="00C20BE6" w:rsidRPr="00617689" w:rsidRDefault="00C20BE6" w:rsidP="002E1E4D">
            <w:pPr>
              <w:pStyle w:val="TMGTableText"/>
              <w:jc w:val="right"/>
            </w:pPr>
            <w:r>
              <w:t>62</w:t>
            </w:r>
          </w:p>
        </w:tc>
        <w:tc>
          <w:tcPr>
            <w:tcW w:w="1445" w:type="dxa"/>
            <w:vAlign w:val="center"/>
          </w:tcPr>
          <w:p w14:paraId="781198D3" w14:textId="0FC5BC7F" w:rsidR="00C20BE6" w:rsidRDefault="00C20BE6" w:rsidP="002E1E4D">
            <w:pPr>
              <w:pStyle w:val="TMGTableText"/>
              <w:ind w:left="0" w:right="432"/>
              <w:jc w:val="right"/>
            </w:pPr>
            <w:r>
              <w:t>15</w:t>
            </w:r>
          </w:p>
        </w:tc>
      </w:tr>
      <w:tr w:rsidR="00C20BE6" w:rsidRPr="00617689" w14:paraId="478D36D7" w14:textId="5620BBA8" w:rsidTr="00627DD7">
        <w:trPr>
          <w:jc w:val="center"/>
        </w:trPr>
        <w:tc>
          <w:tcPr>
            <w:tcW w:w="1345" w:type="dxa"/>
          </w:tcPr>
          <w:p w14:paraId="3BE7AD6B" w14:textId="77777777" w:rsidR="00C20BE6" w:rsidRPr="00617689" w:rsidRDefault="00C20BE6" w:rsidP="002E1E4D">
            <w:pPr>
              <w:pStyle w:val="TMGTableText"/>
              <w:jc w:val="right"/>
            </w:pPr>
            <w:r>
              <w:t>12:15:00 AM</w:t>
            </w:r>
          </w:p>
        </w:tc>
        <w:tc>
          <w:tcPr>
            <w:tcW w:w="1170" w:type="dxa"/>
            <w:vAlign w:val="center"/>
          </w:tcPr>
          <w:p w14:paraId="41F4B8B7" w14:textId="77777777" w:rsidR="00C20BE6" w:rsidRPr="00617689" w:rsidRDefault="00C20BE6" w:rsidP="002E1E4D">
            <w:pPr>
              <w:pStyle w:val="TMGTableText"/>
              <w:ind w:left="0" w:right="288"/>
              <w:jc w:val="right"/>
            </w:pPr>
            <w:r>
              <w:t>13</w:t>
            </w:r>
          </w:p>
        </w:tc>
        <w:tc>
          <w:tcPr>
            <w:tcW w:w="1198" w:type="dxa"/>
            <w:vAlign w:val="center"/>
          </w:tcPr>
          <w:p w14:paraId="645F0BF6" w14:textId="77777777" w:rsidR="00C20BE6" w:rsidRPr="00617689" w:rsidRDefault="00C20BE6" w:rsidP="002E1E4D">
            <w:pPr>
              <w:pStyle w:val="TMGTableText"/>
              <w:ind w:left="0" w:right="288"/>
              <w:jc w:val="right"/>
            </w:pPr>
            <w:r>
              <w:t>18</w:t>
            </w:r>
          </w:p>
        </w:tc>
        <w:tc>
          <w:tcPr>
            <w:tcW w:w="1150" w:type="dxa"/>
            <w:vAlign w:val="center"/>
          </w:tcPr>
          <w:p w14:paraId="2D5AC126" w14:textId="77777777" w:rsidR="00C20BE6" w:rsidRPr="00617689" w:rsidRDefault="00C20BE6" w:rsidP="002E1E4D">
            <w:pPr>
              <w:pStyle w:val="TMGTableText"/>
              <w:ind w:left="0" w:right="288"/>
              <w:jc w:val="right"/>
            </w:pPr>
            <w:r>
              <w:t>16</w:t>
            </w:r>
          </w:p>
        </w:tc>
        <w:tc>
          <w:tcPr>
            <w:tcW w:w="1149" w:type="dxa"/>
            <w:vAlign w:val="center"/>
          </w:tcPr>
          <w:p w14:paraId="0DB08E0C" w14:textId="77777777" w:rsidR="00C20BE6" w:rsidRPr="00617689" w:rsidRDefault="00C20BE6" w:rsidP="002E1E4D">
            <w:pPr>
              <w:pStyle w:val="TMGTableText"/>
              <w:ind w:left="0" w:right="288"/>
              <w:jc w:val="right"/>
            </w:pPr>
            <w:r>
              <w:t>14</w:t>
            </w:r>
          </w:p>
        </w:tc>
        <w:tc>
          <w:tcPr>
            <w:tcW w:w="1150" w:type="dxa"/>
            <w:vAlign w:val="center"/>
          </w:tcPr>
          <w:p w14:paraId="49462186" w14:textId="77777777" w:rsidR="00C20BE6" w:rsidRPr="00617689" w:rsidRDefault="00C20BE6" w:rsidP="002E1E4D">
            <w:pPr>
              <w:pStyle w:val="TMGTableText"/>
              <w:ind w:left="0" w:right="288"/>
              <w:jc w:val="right"/>
            </w:pPr>
            <w:r w:rsidRPr="00CD6C93">
              <w:t>NA</w:t>
            </w:r>
          </w:p>
        </w:tc>
        <w:tc>
          <w:tcPr>
            <w:tcW w:w="753" w:type="dxa"/>
            <w:vAlign w:val="center"/>
          </w:tcPr>
          <w:p w14:paraId="2280F03E" w14:textId="77777777" w:rsidR="00C20BE6" w:rsidRPr="00617689" w:rsidRDefault="00C20BE6" w:rsidP="002E1E4D">
            <w:pPr>
              <w:pStyle w:val="TMGTableText"/>
              <w:jc w:val="right"/>
            </w:pPr>
            <w:r>
              <w:t>61</w:t>
            </w:r>
          </w:p>
        </w:tc>
        <w:tc>
          <w:tcPr>
            <w:tcW w:w="1445" w:type="dxa"/>
            <w:vAlign w:val="center"/>
          </w:tcPr>
          <w:p w14:paraId="40CBF02D" w14:textId="50D83CE9" w:rsidR="00C20BE6" w:rsidRDefault="00C20BE6" w:rsidP="002E1E4D">
            <w:pPr>
              <w:pStyle w:val="TMGTableText"/>
              <w:ind w:left="0" w:right="432"/>
              <w:jc w:val="right"/>
            </w:pPr>
            <w:r>
              <w:t>15</w:t>
            </w:r>
          </w:p>
        </w:tc>
      </w:tr>
      <w:tr w:rsidR="00C20BE6" w:rsidRPr="00617689" w14:paraId="48C2EED8" w14:textId="6AC9C783" w:rsidTr="00627DD7">
        <w:trPr>
          <w:jc w:val="center"/>
        </w:trPr>
        <w:tc>
          <w:tcPr>
            <w:tcW w:w="1345" w:type="dxa"/>
          </w:tcPr>
          <w:p w14:paraId="0F7DB86A" w14:textId="77777777" w:rsidR="00C20BE6" w:rsidRPr="00617689" w:rsidRDefault="00C20BE6" w:rsidP="002E1E4D">
            <w:pPr>
              <w:pStyle w:val="TMGTableText"/>
              <w:jc w:val="right"/>
            </w:pPr>
            <w:r>
              <w:t>12:20:00 AM</w:t>
            </w:r>
          </w:p>
        </w:tc>
        <w:tc>
          <w:tcPr>
            <w:tcW w:w="1170" w:type="dxa"/>
            <w:vAlign w:val="center"/>
          </w:tcPr>
          <w:p w14:paraId="651879F8" w14:textId="77777777" w:rsidR="00C20BE6" w:rsidRPr="00617689" w:rsidRDefault="00C20BE6" w:rsidP="002E1E4D">
            <w:pPr>
              <w:pStyle w:val="TMGTableText"/>
              <w:ind w:left="0" w:right="288"/>
              <w:jc w:val="right"/>
            </w:pPr>
            <w:r>
              <w:t>16</w:t>
            </w:r>
          </w:p>
        </w:tc>
        <w:tc>
          <w:tcPr>
            <w:tcW w:w="1198" w:type="dxa"/>
            <w:vAlign w:val="center"/>
          </w:tcPr>
          <w:p w14:paraId="770C1986" w14:textId="77777777" w:rsidR="00C20BE6" w:rsidRPr="00617689" w:rsidRDefault="00C20BE6" w:rsidP="002E1E4D">
            <w:pPr>
              <w:pStyle w:val="TMGTableText"/>
              <w:ind w:left="0" w:right="288"/>
              <w:jc w:val="right"/>
            </w:pPr>
            <w:r>
              <w:t>19</w:t>
            </w:r>
          </w:p>
        </w:tc>
        <w:tc>
          <w:tcPr>
            <w:tcW w:w="1150" w:type="dxa"/>
            <w:vAlign w:val="center"/>
          </w:tcPr>
          <w:p w14:paraId="263C223E" w14:textId="77777777" w:rsidR="00C20BE6" w:rsidRPr="00617689" w:rsidRDefault="00C20BE6" w:rsidP="002E1E4D">
            <w:pPr>
              <w:pStyle w:val="TMGTableText"/>
              <w:ind w:left="0" w:right="288"/>
              <w:jc w:val="right"/>
            </w:pPr>
            <w:r>
              <w:t>18</w:t>
            </w:r>
          </w:p>
        </w:tc>
        <w:tc>
          <w:tcPr>
            <w:tcW w:w="1149" w:type="dxa"/>
            <w:vAlign w:val="center"/>
          </w:tcPr>
          <w:p w14:paraId="6BFA620A" w14:textId="77777777" w:rsidR="00C20BE6" w:rsidRPr="00617689" w:rsidRDefault="00C20BE6" w:rsidP="002E1E4D">
            <w:pPr>
              <w:pStyle w:val="TMGTableText"/>
              <w:ind w:left="0" w:right="288"/>
              <w:jc w:val="right"/>
            </w:pPr>
            <w:r>
              <w:t>NA</w:t>
            </w:r>
          </w:p>
        </w:tc>
        <w:tc>
          <w:tcPr>
            <w:tcW w:w="1150" w:type="dxa"/>
            <w:vAlign w:val="center"/>
          </w:tcPr>
          <w:p w14:paraId="7F8FF857" w14:textId="77777777" w:rsidR="00C20BE6" w:rsidRPr="00617689" w:rsidRDefault="00C20BE6" w:rsidP="002E1E4D">
            <w:pPr>
              <w:pStyle w:val="TMGTableText"/>
              <w:ind w:left="0" w:right="288"/>
              <w:jc w:val="right"/>
            </w:pPr>
            <w:r w:rsidRPr="00CD6C93">
              <w:t>NA</w:t>
            </w:r>
          </w:p>
        </w:tc>
        <w:tc>
          <w:tcPr>
            <w:tcW w:w="753" w:type="dxa"/>
            <w:vAlign w:val="center"/>
          </w:tcPr>
          <w:p w14:paraId="51371239" w14:textId="77777777" w:rsidR="00C20BE6" w:rsidRPr="00617689" w:rsidRDefault="00C20BE6" w:rsidP="002E1E4D">
            <w:pPr>
              <w:pStyle w:val="TMGTableText"/>
              <w:jc w:val="right"/>
            </w:pPr>
            <w:r>
              <w:t>53</w:t>
            </w:r>
          </w:p>
        </w:tc>
        <w:tc>
          <w:tcPr>
            <w:tcW w:w="1445" w:type="dxa"/>
            <w:vAlign w:val="center"/>
          </w:tcPr>
          <w:p w14:paraId="59F7CC46" w14:textId="7346067E" w:rsidR="00C20BE6" w:rsidRDefault="00C20BE6" w:rsidP="002E1E4D">
            <w:pPr>
              <w:pStyle w:val="TMGTableText"/>
              <w:ind w:left="0" w:right="432"/>
              <w:jc w:val="right"/>
            </w:pPr>
            <w:r>
              <w:t>18</w:t>
            </w:r>
          </w:p>
        </w:tc>
      </w:tr>
      <w:tr w:rsidR="00C20BE6" w:rsidRPr="00617689" w14:paraId="366EC492" w14:textId="126471A0" w:rsidTr="00627DD7">
        <w:trPr>
          <w:jc w:val="center"/>
        </w:trPr>
        <w:tc>
          <w:tcPr>
            <w:tcW w:w="1345" w:type="dxa"/>
          </w:tcPr>
          <w:p w14:paraId="7951C203" w14:textId="77777777" w:rsidR="00C20BE6" w:rsidRPr="00617689" w:rsidRDefault="00C20BE6" w:rsidP="002E1E4D">
            <w:pPr>
              <w:pStyle w:val="TMGTableText"/>
              <w:jc w:val="right"/>
            </w:pPr>
            <w:r>
              <w:t>12:25:00 AM</w:t>
            </w:r>
          </w:p>
        </w:tc>
        <w:tc>
          <w:tcPr>
            <w:tcW w:w="1170" w:type="dxa"/>
            <w:vAlign w:val="center"/>
          </w:tcPr>
          <w:p w14:paraId="508CDC5C" w14:textId="77777777" w:rsidR="00C20BE6" w:rsidRPr="00617689" w:rsidRDefault="00C20BE6" w:rsidP="002E1E4D">
            <w:pPr>
              <w:pStyle w:val="TMGTableText"/>
              <w:ind w:left="0" w:right="288"/>
              <w:jc w:val="right"/>
            </w:pPr>
            <w:r>
              <w:t>12</w:t>
            </w:r>
          </w:p>
        </w:tc>
        <w:tc>
          <w:tcPr>
            <w:tcW w:w="1198" w:type="dxa"/>
            <w:vAlign w:val="center"/>
          </w:tcPr>
          <w:p w14:paraId="46EE8538" w14:textId="77777777" w:rsidR="00C20BE6" w:rsidRPr="00617689" w:rsidRDefault="00C20BE6" w:rsidP="002E1E4D">
            <w:pPr>
              <w:pStyle w:val="TMGTableText"/>
              <w:ind w:left="0" w:right="288"/>
              <w:jc w:val="right"/>
            </w:pPr>
            <w:r>
              <w:t>17</w:t>
            </w:r>
          </w:p>
        </w:tc>
        <w:tc>
          <w:tcPr>
            <w:tcW w:w="1150" w:type="dxa"/>
            <w:vAlign w:val="center"/>
          </w:tcPr>
          <w:p w14:paraId="4779A057" w14:textId="77777777" w:rsidR="00C20BE6" w:rsidRPr="00617689" w:rsidRDefault="00C20BE6" w:rsidP="002E1E4D">
            <w:pPr>
              <w:pStyle w:val="TMGTableText"/>
              <w:ind w:left="0" w:right="288"/>
              <w:jc w:val="right"/>
            </w:pPr>
            <w:r>
              <w:t>15</w:t>
            </w:r>
          </w:p>
        </w:tc>
        <w:tc>
          <w:tcPr>
            <w:tcW w:w="1149" w:type="dxa"/>
            <w:vAlign w:val="center"/>
          </w:tcPr>
          <w:p w14:paraId="20091222" w14:textId="77777777" w:rsidR="00C20BE6" w:rsidRPr="00617689" w:rsidRDefault="00C20BE6" w:rsidP="002E1E4D">
            <w:pPr>
              <w:pStyle w:val="TMGTableText"/>
              <w:ind w:left="0" w:right="288"/>
              <w:jc w:val="right"/>
            </w:pPr>
            <w:r>
              <w:t>NA</w:t>
            </w:r>
          </w:p>
        </w:tc>
        <w:tc>
          <w:tcPr>
            <w:tcW w:w="1150" w:type="dxa"/>
            <w:vAlign w:val="center"/>
          </w:tcPr>
          <w:p w14:paraId="170964BE" w14:textId="77777777" w:rsidR="00C20BE6" w:rsidRPr="00617689" w:rsidRDefault="00C20BE6" w:rsidP="002E1E4D">
            <w:pPr>
              <w:pStyle w:val="TMGTableText"/>
              <w:ind w:left="0" w:right="288"/>
              <w:jc w:val="right"/>
            </w:pPr>
            <w:r w:rsidRPr="00CD6C93">
              <w:t>NA</w:t>
            </w:r>
          </w:p>
        </w:tc>
        <w:tc>
          <w:tcPr>
            <w:tcW w:w="753" w:type="dxa"/>
            <w:vAlign w:val="center"/>
          </w:tcPr>
          <w:p w14:paraId="5E6A7DF3" w14:textId="77777777" w:rsidR="00C20BE6" w:rsidRPr="00617689" w:rsidRDefault="00C20BE6" w:rsidP="002E1E4D">
            <w:pPr>
              <w:pStyle w:val="TMGTableText"/>
              <w:jc w:val="right"/>
            </w:pPr>
            <w:r>
              <w:t>44</w:t>
            </w:r>
          </w:p>
        </w:tc>
        <w:tc>
          <w:tcPr>
            <w:tcW w:w="1445" w:type="dxa"/>
            <w:vAlign w:val="center"/>
          </w:tcPr>
          <w:p w14:paraId="3267B296" w14:textId="601FB55C" w:rsidR="00C20BE6" w:rsidRDefault="00C20BE6" w:rsidP="002E1E4D">
            <w:pPr>
              <w:pStyle w:val="TMGTableText"/>
              <w:ind w:left="0" w:right="432"/>
              <w:jc w:val="right"/>
            </w:pPr>
            <w:r>
              <w:t>15</w:t>
            </w:r>
          </w:p>
        </w:tc>
      </w:tr>
      <w:tr w:rsidR="00C20BE6" w:rsidRPr="00617689" w14:paraId="26B9EB04" w14:textId="4F3AE574" w:rsidTr="00627DD7">
        <w:trPr>
          <w:jc w:val="center"/>
        </w:trPr>
        <w:tc>
          <w:tcPr>
            <w:tcW w:w="1345" w:type="dxa"/>
          </w:tcPr>
          <w:p w14:paraId="5277E117" w14:textId="77777777" w:rsidR="00C20BE6" w:rsidRPr="00617689" w:rsidRDefault="00C20BE6" w:rsidP="002E1E4D">
            <w:pPr>
              <w:pStyle w:val="TMGTableText"/>
              <w:jc w:val="right"/>
            </w:pPr>
            <w:r>
              <w:t>12:30:00 AM</w:t>
            </w:r>
          </w:p>
        </w:tc>
        <w:tc>
          <w:tcPr>
            <w:tcW w:w="1170" w:type="dxa"/>
            <w:vAlign w:val="center"/>
          </w:tcPr>
          <w:p w14:paraId="5C031734" w14:textId="77777777" w:rsidR="00C20BE6" w:rsidRPr="00617689" w:rsidRDefault="00C20BE6" w:rsidP="002E1E4D">
            <w:pPr>
              <w:pStyle w:val="TMGTableText"/>
              <w:ind w:left="0" w:right="288"/>
              <w:jc w:val="right"/>
            </w:pPr>
            <w:r>
              <w:t>12</w:t>
            </w:r>
          </w:p>
        </w:tc>
        <w:tc>
          <w:tcPr>
            <w:tcW w:w="1198" w:type="dxa"/>
            <w:vAlign w:val="center"/>
          </w:tcPr>
          <w:p w14:paraId="7D9E1CA6" w14:textId="77777777" w:rsidR="00C20BE6" w:rsidRPr="00617689" w:rsidRDefault="00C20BE6" w:rsidP="002E1E4D">
            <w:pPr>
              <w:pStyle w:val="TMGTableText"/>
              <w:ind w:left="0" w:right="288"/>
              <w:jc w:val="right"/>
            </w:pPr>
            <w:r>
              <w:t>16</w:t>
            </w:r>
          </w:p>
        </w:tc>
        <w:tc>
          <w:tcPr>
            <w:tcW w:w="1150" w:type="dxa"/>
            <w:vAlign w:val="center"/>
          </w:tcPr>
          <w:p w14:paraId="35BE08B0" w14:textId="77777777" w:rsidR="00C20BE6" w:rsidRPr="00617689" w:rsidRDefault="00C20BE6" w:rsidP="002E1E4D">
            <w:pPr>
              <w:pStyle w:val="TMGTableText"/>
              <w:ind w:left="0" w:right="288"/>
              <w:jc w:val="right"/>
            </w:pPr>
            <w:r>
              <w:t>14</w:t>
            </w:r>
          </w:p>
        </w:tc>
        <w:tc>
          <w:tcPr>
            <w:tcW w:w="1149" w:type="dxa"/>
            <w:vAlign w:val="center"/>
          </w:tcPr>
          <w:p w14:paraId="56600F7E" w14:textId="77777777" w:rsidR="00C20BE6" w:rsidRPr="00617689" w:rsidRDefault="00C20BE6" w:rsidP="002E1E4D">
            <w:pPr>
              <w:pStyle w:val="TMGTableText"/>
              <w:ind w:left="0" w:right="288"/>
              <w:jc w:val="right"/>
            </w:pPr>
            <w:r>
              <w:t>NA</w:t>
            </w:r>
          </w:p>
        </w:tc>
        <w:tc>
          <w:tcPr>
            <w:tcW w:w="1150" w:type="dxa"/>
            <w:vAlign w:val="center"/>
          </w:tcPr>
          <w:p w14:paraId="3E3F4085" w14:textId="77777777" w:rsidR="00C20BE6" w:rsidRPr="00617689" w:rsidRDefault="00C20BE6" w:rsidP="002E1E4D">
            <w:pPr>
              <w:pStyle w:val="TMGTableText"/>
              <w:ind w:left="0" w:right="288"/>
              <w:jc w:val="right"/>
            </w:pPr>
            <w:r w:rsidRPr="00CD6C93">
              <w:t>NA</w:t>
            </w:r>
          </w:p>
        </w:tc>
        <w:tc>
          <w:tcPr>
            <w:tcW w:w="753" w:type="dxa"/>
            <w:vAlign w:val="center"/>
          </w:tcPr>
          <w:p w14:paraId="1B9B0FCD" w14:textId="77777777" w:rsidR="00C20BE6" w:rsidRPr="00617689" w:rsidRDefault="00C20BE6" w:rsidP="002E1E4D">
            <w:pPr>
              <w:pStyle w:val="TMGTableText"/>
              <w:jc w:val="right"/>
            </w:pPr>
            <w:r>
              <w:t>42</w:t>
            </w:r>
          </w:p>
        </w:tc>
        <w:tc>
          <w:tcPr>
            <w:tcW w:w="1445" w:type="dxa"/>
            <w:vAlign w:val="center"/>
          </w:tcPr>
          <w:p w14:paraId="21817F7D" w14:textId="54904F1B" w:rsidR="00C20BE6" w:rsidRDefault="00C20BE6" w:rsidP="002E1E4D">
            <w:pPr>
              <w:pStyle w:val="TMGTableText"/>
              <w:ind w:left="0" w:right="432"/>
              <w:jc w:val="right"/>
            </w:pPr>
            <w:r>
              <w:t>14</w:t>
            </w:r>
          </w:p>
        </w:tc>
      </w:tr>
      <w:tr w:rsidR="00C20BE6" w:rsidRPr="00617689" w14:paraId="5EFA4870" w14:textId="0004AAEB" w:rsidTr="00627DD7">
        <w:trPr>
          <w:jc w:val="center"/>
        </w:trPr>
        <w:tc>
          <w:tcPr>
            <w:tcW w:w="1345" w:type="dxa"/>
          </w:tcPr>
          <w:p w14:paraId="4579AD21" w14:textId="77777777" w:rsidR="00C20BE6" w:rsidRPr="00617689" w:rsidRDefault="00C20BE6" w:rsidP="002E1E4D">
            <w:pPr>
              <w:pStyle w:val="TMGTableText"/>
              <w:jc w:val="right"/>
            </w:pPr>
            <w:r>
              <w:t>12:35:00 AM</w:t>
            </w:r>
          </w:p>
        </w:tc>
        <w:tc>
          <w:tcPr>
            <w:tcW w:w="1170" w:type="dxa"/>
            <w:vAlign w:val="center"/>
          </w:tcPr>
          <w:p w14:paraId="67F39910" w14:textId="77777777" w:rsidR="00C20BE6" w:rsidRPr="00617689" w:rsidRDefault="00C20BE6" w:rsidP="002E1E4D">
            <w:pPr>
              <w:pStyle w:val="TMGTableText"/>
              <w:ind w:left="0" w:right="288"/>
              <w:jc w:val="right"/>
            </w:pPr>
            <w:r>
              <w:t>10</w:t>
            </w:r>
          </w:p>
        </w:tc>
        <w:tc>
          <w:tcPr>
            <w:tcW w:w="1198" w:type="dxa"/>
            <w:vAlign w:val="center"/>
          </w:tcPr>
          <w:p w14:paraId="0743DEFF" w14:textId="77777777" w:rsidR="00C20BE6" w:rsidRPr="00617689" w:rsidRDefault="00C20BE6" w:rsidP="002E1E4D">
            <w:pPr>
              <w:pStyle w:val="TMGTableText"/>
              <w:ind w:left="0" w:right="288"/>
              <w:jc w:val="right"/>
            </w:pPr>
            <w:r>
              <w:t>14</w:t>
            </w:r>
          </w:p>
        </w:tc>
        <w:tc>
          <w:tcPr>
            <w:tcW w:w="1150" w:type="dxa"/>
            <w:vAlign w:val="center"/>
          </w:tcPr>
          <w:p w14:paraId="51CE8A7E" w14:textId="77777777" w:rsidR="00C20BE6" w:rsidRPr="00617689" w:rsidRDefault="00C20BE6" w:rsidP="002E1E4D">
            <w:pPr>
              <w:pStyle w:val="TMGTableText"/>
              <w:ind w:left="0" w:right="288"/>
              <w:jc w:val="right"/>
            </w:pPr>
            <w:r>
              <w:t>12</w:t>
            </w:r>
          </w:p>
        </w:tc>
        <w:tc>
          <w:tcPr>
            <w:tcW w:w="1149" w:type="dxa"/>
            <w:vAlign w:val="center"/>
          </w:tcPr>
          <w:p w14:paraId="7BA3E3E7" w14:textId="77777777" w:rsidR="00C20BE6" w:rsidRPr="00617689" w:rsidRDefault="00C20BE6" w:rsidP="002E1E4D">
            <w:pPr>
              <w:pStyle w:val="TMGTableText"/>
              <w:ind w:left="0" w:right="288"/>
              <w:jc w:val="right"/>
            </w:pPr>
            <w:r>
              <w:t>12</w:t>
            </w:r>
          </w:p>
        </w:tc>
        <w:tc>
          <w:tcPr>
            <w:tcW w:w="1150" w:type="dxa"/>
            <w:vAlign w:val="center"/>
          </w:tcPr>
          <w:p w14:paraId="596B16D8" w14:textId="77777777" w:rsidR="00C20BE6" w:rsidRPr="00617689" w:rsidRDefault="00C20BE6" w:rsidP="002E1E4D">
            <w:pPr>
              <w:pStyle w:val="TMGTableText"/>
              <w:ind w:left="0" w:right="288"/>
              <w:jc w:val="right"/>
            </w:pPr>
            <w:r w:rsidRPr="00CD6C93">
              <w:t>NA</w:t>
            </w:r>
          </w:p>
        </w:tc>
        <w:tc>
          <w:tcPr>
            <w:tcW w:w="753" w:type="dxa"/>
            <w:vAlign w:val="center"/>
          </w:tcPr>
          <w:p w14:paraId="7C58351B" w14:textId="77777777" w:rsidR="00C20BE6" w:rsidRPr="00617689" w:rsidRDefault="00C20BE6" w:rsidP="002E1E4D">
            <w:pPr>
              <w:pStyle w:val="TMGTableText"/>
              <w:jc w:val="right"/>
            </w:pPr>
            <w:r>
              <w:t>48</w:t>
            </w:r>
          </w:p>
        </w:tc>
        <w:tc>
          <w:tcPr>
            <w:tcW w:w="1445" w:type="dxa"/>
            <w:vAlign w:val="center"/>
          </w:tcPr>
          <w:p w14:paraId="4E1D97F1" w14:textId="5443BA54" w:rsidR="00C20BE6" w:rsidRDefault="00C20BE6" w:rsidP="002E1E4D">
            <w:pPr>
              <w:pStyle w:val="TMGTableText"/>
              <w:ind w:left="0" w:right="432"/>
              <w:jc w:val="right"/>
            </w:pPr>
            <w:r>
              <w:t>12</w:t>
            </w:r>
          </w:p>
        </w:tc>
      </w:tr>
      <w:tr w:rsidR="00C20BE6" w:rsidRPr="00617689" w14:paraId="4F647B10" w14:textId="605AD696" w:rsidTr="00627DD7">
        <w:trPr>
          <w:jc w:val="center"/>
        </w:trPr>
        <w:tc>
          <w:tcPr>
            <w:tcW w:w="1345" w:type="dxa"/>
          </w:tcPr>
          <w:p w14:paraId="42B9E5CD" w14:textId="77777777" w:rsidR="00C20BE6" w:rsidRPr="00617689" w:rsidRDefault="00C20BE6" w:rsidP="002E1E4D">
            <w:pPr>
              <w:pStyle w:val="TMGTableText"/>
              <w:jc w:val="right"/>
            </w:pPr>
            <w:r>
              <w:t>12:40:00 AM</w:t>
            </w:r>
          </w:p>
        </w:tc>
        <w:tc>
          <w:tcPr>
            <w:tcW w:w="1170" w:type="dxa"/>
            <w:vAlign w:val="center"/>
          </w:tcPr>
          <w:p w14:paraId="70B1BFA3" w14:textId="77777777" w:rsidR="00C20BE6" w:rsidRPr="00617689" w:rsidRDefault="00C20BE6" w:rsidP="002E1E4D">
            <w:pPr>
              <w:pStyle w:val="TMGTableText"/>
              <w:ind w:left="0" w:right="288"/>
              <w:jc w:val="right"/>
            </w:pPr>
            <w:r>
              <w:t>8</w:t>
            </w:r>
          </w:p>
        </w:tc>
        <w:tc>
          <w:tcPr>
            <w:tcW w:w="1198" w:type="dxa"/>
            <w:vAlign w:val="center"/>
          </w:tcPr>
          <w:p w14:paraId="6E11CC12" w14:textId="77777777" w:rsidR="00C20BE6" w:rsidRPr="00617689" w:rsidRDefault="00C20BE6" w:rsidP="002E1E4D">
            <w:pPr>
              <w:pStyle w:val="TMGTableText"/>
              <w:ind w:left="0" w:right="288"/>
              <w:jc w:val="right"/>
            </w:pPr>
            <w:r>
              <w:t>15</w:t>
            </w:r>
          </w:p>
        </w:tc>
        <w:tc>
          <w:tcPr>
            <w:tcW w:w="1150" w:type="dxa"/>
            <w:vAlign w:val="center"/>
          </w:tcPr>
          <w:p w14:paraId="3BCEB21F" w14:textId="77777777" w:rsidR="00C20BE6" w:rsidRPr="00617689" w:rsidRDefault="00C20BE6" w:rsidP="002E1E4D">
            <w:pPr>
              <w:pStyle w:val="TMGTableText"/>
              <w:ind w:left="0" w:right="288"/>
              <w:jc w:val="right"/>
            </w:pPr>
            <w:r>
              <w:t>12</w:t>
            </w:r>
          </w:p>
        </w:tc>
        <w:tc>
          <w:tcPr>
            <w:tcW w:w="1149" w:type="dxa"/>
            <w:vAlign w:val="center"/>
          </w:tcPr>
          <w:p w14:paraId="0394122D" w14:textId="77777777" w:rsidR="00C20BE6" w:rsidRPr="00617689" w:rsidRDefault="00C20BE6" w:rsidP="002E1E4D">
            <w:pPr>
              <w:pStyle w:val="TMGTableText"/>
              <w:ind w:left="0" w:right="288"/>
              <w:jc w:val="right"/>
            </w:pPr>
            <w:r>
              <w:t>10</w:t>
            </w:r>
          </w:p>
        </w:tc>
        <w:tc>
          <w:tcPr>
            <w:tcW w:w="1150" w:type="dxa"/>
            <w:vAlign w:val="center"/>
          </w:tcPr>
          <w:p w14:paraId="628A03B0" w14:textId="77777777" w:rsidR="00C20BE6" w:rsidRPr="00617689" w:rsidRDefault="00C20BE6" w:rsidP="002E1E4D">
            <w:pPr>
              <w:pStyle w:val="TMGTableText"/>
              <w:ind w:left="0" w:right="288"/>
              <w:jc w:val="right"/>
            </w:pPr>
            <w:r w:rsidRPr="00CD6C93">
              <w:t>NA</w:t>
            </w:r>
          </w:p>
        </w:tc>
        <w:tc>
          <w:tcPr>
            <w:tcW w:w="753" w:type="dxa"/>
            <w:vAlign w:val="center"/>
          </w:tcPr>
          <w:p w14:paraId="63BC71BE" w14:textId="77777777" w:rsidR="00C20BE6" w:rsidRPr="00617689" w:rsidRDefault="00C20BE6" w:rsidP="002E1E4D">
            <w:pPr>
              <w:pStyle w:val="TMGTableText"/>
              <w:jc w:val="right"/>
            </w:pPr>
            <w:r>
              <w:t>45</w:t>
            </w:r>
          </w:p>
        </w:tc>
        <w:tc>
          <w:tcPr>
            <w:tcW w:w="1445" w:type="dxa"/>
            <w:vAlign w:val="center"/>
          </w:tcPr>
          <w:p w14:paraId="17E71E9F" w14:textId="2968CF61" w:rsidR="00C20BE6" w:rsidRDefault="00C20BE6" w:rsidP="002E1E4D">
            <w:pPr>
              <w:pStyle w:val="TMGTableText"/>
              <w:ind w:left="0" w:right="432"/>
              <w:jc w:val="right"/>
            </w:pPr>
            <w:r>
              <w:t>11</w:t>
            </w:r>
          </w:p>
        </w:tc>
      </w:tr>
      <w:tr w:rsidR="00C20BE6" w:rsidRPr="00617689" w14:paraId="363D4D66" w14:textId="188E8358" w:rsidTr="00627DD7">
        <w:trPr>
          <w:jc w:val="center"/>
        </w:trPr>
        <w:tc>
          <w:tcPr>
            <w:tcW w:w="1345" w:type="dxa"/>
          </w:tcPr>
          <w:p w14:paraId="5CD1E403" w14:textId="77777777" w:rsidR="00C20BE6" w:rsidRDefault="00C20BE6" w:rsidP="002E1E4D">
            <w:pPr>
              <w:pStyle w:val="TMGTableText"/>
              <w:jc w:val="right"/>
            </w:pPr>
            <w:r>
              <w:t>12:45:00 AM</w:t>
            </w:r>
          </w:p>
        </w:tc>
        <w:tc>
          <w:tcPr>
            <w:tcW w:w="1170" w:type="dxa"/>
            <w:vAlign w:val="center"/>
          </w:tcPr>
          <w:p w14:paraId="7B2520B3" w14:textId="77777777" w:rsidR="00C20BE6" w:rsidRPr="00617689" w:rsidRDefault="00C20BE6" w:rsidP="002E1E4D">
            <w:pPr>
              <w:pStyle w:val="TMGTableText"/>
              <w:ind w:left="0" w:right="288"/>
              <w:jc w:val="right"/>
            </w:pPr>
            <w:r>
              <w:t>7</w:t>
            </w:r>
          </w:p>
        </w:tc>
        <w:tc>
          <w:tcPr>
            <w:tcW w:w="1198" w:type="dxa"/>
            <w:vAlign w:val="center"/>
          </w:tcPr>
          <w:p w14:paraId="5A647C85" w14:textId="77777777" w:rsidR="00C20BE6" w:rsidRPr="00617689" w:rsidRDefault="00C20BE6" w:rsidP="002E1E4D">
            <w:pPr>
              <w:pStyle w:val="TMGTableText"/>
              <w:ind w:left="0" w:right="288"/>
              <w:jc w:val="right"/>
            </w:pPr>
            <w:r>
              <w:t>12</w:t>
            </w:r>
          </w:p>
        </w:tc>
        <w:tc>
          <w:tcPr>
            <w:tcW w:w="1150" w:type="dxa"/>
            <w:vAlign w:val="center"/>
          </w:tcPr>
          <w:p w14:paraId="5C09E024" w14:textId="77777777" w:rsidR="00C20BE6" w:rsidRPr="00617689" w:rsidRDefault="00C20BE6" w:rsidP="002E1E4D">
            <w:pPr>
              <w:pStyle w:val="TMGTableText"/>
              <w:ind w:left="0" w:right="288"/>
              <w:jc w:val="right"/>
            </w:pPr>
            <w:r>
              <w:t>10</w:t>
            </w:r>
          </w:p>
        </w:tc>
        <w:tc>
          <w:tcPr>
            <w:tcW w:w="1149" w:type="dxa"/>
            <w:vAlign w:val="center"/>
          </w:tcPr>
          <w:p w14:paraId="01E8BF84" w14:textId="77777777" w:rsidR="00C20BE6" w:rsidRPr="00617689" w:rsidRDefault="00C20BE6" w:rsidP="002E1E4D">
            <w:pPr>
              <w:pStyle w:val="TMGTableText"/>
              <w:ind w:left="0" w:right="288"/>
              <w:jc w:val="right"/>
            </w:pPr>
            <w:r>
              <w:t>10</w:t>
            </w:r>
          </w:p>
        </w:tc>
        <w:tc>
          <w:tcPr>
            <w:tcW w:w="1150" w:type="dxa"/>
            <w:vAlign w:val="center"/>
          </w:tcPr>
          <w:p w14:paraId="5907D6C9" w14:textId="77777777" w:rsidR="00C20BE6" w:rsidRPr="00617689" w:rsidRDefault="00C20BE6" w:rsidP="002E1E4D">
            <w:pPr>
              <w:pStyle w:val="TMGTableText"/>
              <w:ind w:left="0" w:right="288"/>
              <w:jc w:val="right"/>
            </w:pPr>
            <w:r w:rsidRPr="00CD6C93">
              <w:t>NA</w:t>
            </w:r>
          </w:p>
        </w:tc>
        <w:tc>
          <w:tcPr>
            <w:tcW w:w="753" w:type="dxa"/>
            <w:vAlign w:val="center"/>
          </w:tcPr>
          <w:p w14:paraId="1CC7C0D4" w14:textId="77777777" w:rsidR="00C20BE6" w:rsidRPr="00617689" w:rsidRDefault="00C20BE6" w:rsidP="002E1E4D">
            <w:pPr>
              <w:pStyle w:val="TMGTableText"/>
              <w:jc w:val="right"/>
            </w:pPr>
            <w:r>
              <w:t>39</w:t>
            </w:r>
          </w:p>
        </w:tc>
        <w:tc>
          <w:tcPr>
            <w:tcW w:w="1445" w:type="dxa"/>
            <w:vAlign w:val="center"/>
          </w:tcPr>
          <w:p w14:paraId="2E5188AF" w14:textId="5717CE5D" w:rsidR="00C20BE6" w:rsidRDefault="00C20BE6" w:rsidP="002E1E4D">
            <w:pPr>
              <w:pStyle w:val="TMGTableText"/>
              <w:ind w:left="0" w:right="432"/>
              <w:jc w:val="right"/>
            </w:pPr>
            <w:r>
              <w:t>10</w:t>
            </w:r>
          </w:p>
        </w:tc>
      </w:tr>
      <w:tr w:rsidR="00C20BE6" w:rsidRPr="00617689" w14:paraId="25420D43" w14:textId="08F56085" w:rsidTr="00627DD7">
        <w:trPr>
          <w:jc w:val="center"/>
        </w:trPr>
        <w:tc>
          <w:tcPr>
            <w:tcW w:w="1345" w:type="dxa"/>
          </w:tcPr>
          <w:p w14:paraId="68CF075C" w14:textId="77777777" w:rsidR="00C20BE6" w:rsidRDefault="00C20BE6" w:rsidP="002E1E4D">
            <w:pPr>
              <w:pStyle w:val="TMGTableText"/>
              <w:jc w:val="right"/>
            </w:pPr>
            <w:r>
              <w:t>12:50:00 AM</w:t>
            </w:r>
          </w:p>
        </w:tc>
        <w:tc>
          <w:tcPr>
            <w:tcW w:w="1170" w:type="dxa"/>
            <w:vAlign w:val="center"/>
          </w:tcPr>
          <w:p w14:paraId="695A554C" w14:textId="77777777" w:rsidR="00C20BE6" w:rsidRPr="00617689" w:rsidRDefault="00C20BE6" w:rsidP="002E1E4D">
            <w:pPr>
              <w:pStyle w:val="TMGTableText"/>
              <w:ind w:left="0" w:right="288"/>
              <w:jc w:val="right"/>
            </w:pPr>
            <w:r>
              <w:t>8</w:t>
            </w:r>
          </w:p>
        </w:tc>
        <w:tc>
          <w:tcPr>
            <w:tcW w:w="1198" w:type="dxa"/>
            <w:vAlign w:val="center"/>
          </w:tcPr>
          <w:p w14:paraId="49872EA2" w14:textId="77777777" w:rsidR="00C20BE6" w:rsidRPr="00617689" w:rsidRDefault="00C20BE6" w:rsidP="002E1E4D">
            <w:pPr>
              <w:pStyle w:val="TMGTableText"/>
              <w:ind w:left="0" w:right="288"/>
              <w:jc w:val="right"/>
            </w:pPr>
            <w:r>
              <w:t>10</w:t>
            </w:r>
          </w:p>
        </w:tc>
        <w:tc>
          <w:tcPr>
            <w:tcW w:w="1150" w:type="dxa"/>
            <w:vAlign w:val="center"/>
          </w:tcPr>
          <w:p w14:paraId="6214D783" w14:textId="77777777" w:rsidR="00C20BE6" w:rsidRPr="00617689" w:rsidRDefault="00C20BE6" w:rsidP="002E1E4D">
            <w:pPr>
              <w:pStyle w:val="TMGTableText"/>
              <w:ind w:left="0" w:right="288"/>
              <w:jc w:val="right"/>
            </w:pPr>
            <w:r>
              <w:t>9</w:t>
            </w:r>
          </w:p>
        </w:tc>
        <w:tc>
          <w:tcPr>
            <w:tcW w:w="1149" w:type="dxa"/>
            <w:vAlign w:val="center"/>
          </w:tcPr>
          <w:p w14:paraId="549CB48D" w14:textId="77777777" w:rsidR="00C20BE6" w:rsidRPr="00617689" w:rsidRDefault="00C20BE6" w:rsidP="002E1E4D">
            <w:pPr>
              <w:pStyle w:val="TMGTableText"/>
              <w:ind w:left="0" w:right="288"/>
              <w:jc w:val="right"/>
            </w:pPr>
            <w:r>
              <w:t>8</w:t>
            </w:r>
          </w:p>
        </w:tc>
        <w:tc>
          <w:tcPr>
            <w:tcW w:w="1150" w:type="dxa"/>
            <w:vAlign w:val="center"/>
          </w:tcPr>
          <w:p w14:paraId="1AC757A5" w14:textId="77777777" w:rsidR="00C20BE6" w:rsidRPr="00617689" w:rsidRDefault="00C20BE6" w:rsidP="002E1E4D">
            <w:pPr>
              <w:pStyle w:val="TMGTableText"/>
              <w:ind w:left="0" w:right="288"/>
              <w:jc w:val="right"/>
            </w:pPr>
            <w:r w:rsidRPr="00CD6C93">
              <w:t>NA</w:t>
            </w:r>
          </w:p>
        </w:tc>
        <w:tc>
          <w:tcPr>
            <w:tcW w:w="753" w:type="dxa"/>
            <w:vAlign w:val="center"/>
          </w:tcPr>
          <w:p w14:paraId="6C7A2749" w14:textId="77777777" w:rsidR="00C20BE6" w:rsidRPr="00617689" w:rsidRDefault="00C20BE6" w:rsidP="002E1E4D">
            <w:pPr>
              <w:pStyle w:val="TMGTableText"/>
              <w:jc w:val="right"/>
            </w:pPr>
            <w:r>
              <w:t>35</w:t>
            </w:r>
          </w:p>
        </w:tc>
        <w:tc>
          <w:tcPr>
            <w:tcW w:w="1445" w:type="dxa"/>
            <w:vAlign w:val="center"/>
          </w:tcPr>
          <w:p w14:paraId="4884719C" w14:textId="4754A325" w:rsidR="00C20BE6" w:rsidRDefault="00C20BE6" w:rsidP="002E1E4D">
            <w:pPr>
              <w:pStyle w:val="TMGTableText"/>
              <w:ind w:left="0" w:right="432"/>
              <w:jc w:val="right"/>
            </w:pPr>
            <w:r>
              <w:t>9</w:t>
            </w:r>
          </w:p>
        </w:tc>
      </w:tr>
      <w:tr w:rsidR="00C20BE6" w:rsidRPr="00617689" w14:paraId="7735EC72" w14:textId="1C07365B" w:rsidTr="00627DD7">
        <w:trPr>
          <w:jc w:val="center"/>
        </w:trPr>
        <w:tc>
          <w:tcPr>
            <w:tcW w:w="1345" w:type="dxa"/>
          </w:tcPr>
          <w:p w14:paraId="720392FC" w14:textId="77777777" w:rsidR="00C20BE6" w:rsidRDefault="00C20BE6" w:rsidP="002E1E4D">
            <w:pPr>
              <w:pStyle w:val="TMGTableText"/>
              <w:jc w:val="right"/>
            </w:pPr>
            <w:r>
              <w:t>12:55:00 AM</w:t>
            </w:r>
          </w:p>
        </w:tc>
        <w:tc>
          <w:tcPr>
            <w:tcW w:w="1170" w:type="dxa"/>
            <w:vAlign w:val="center"/>
          </w:tcPr>
          <w:p w14:paraId="0E2AD0F9" w14:textId="77777777" w:rsidR="00C20BE6" w:rsidRPr="00617689" w:rsidRDefault="00C20BE6" w:rsidP="002E1E4D">
            <w:pPr>
              <w:pStyle w:val="TMGTableText"/>
              <w:ind w:left="0" w:right="288"/>
              <w:jc w:val="right"/>
            </w:pPr>
            <w:r>
              <w:t>5</w:t>
            </w:r>
          </w:p>
        </w:tc>
        <w:tc>
          <w:tcPr>
            <w:tcW w:w="1198" w:type="dxa"/>
            <w:vAlign w:val="center"/>
          </w:tcPr>
          <w:p w14:paraId="1B9FAB03" w14:textId="77777777" w:rsidR="00C20BE6" w:rsidRPr="00617689" w:rsidRDefault="00C20BE6" w:rsidP="002E1E4D">
            <w:pPr>
              <w:pStyle w:val="TMGTableText"/>
              <w:ind w:left="0" w:right="288"/>
              <w:jc w:val="right"/>
            </w:pPr>
            <w:r>
              <w:t>8</w:t>
            </w:r>
          </w:p>
        </w:tc>
        <w:tc>
          <w:tcPr>
            <w:tcW w:w="1150" w:type="dxa"/>
            <w:vAlign w:val="center"/>
          </w:tcPr>
          <w:p w14:paraId="577061AA" w14:textId="77777777" w:rsidR="00C20BE6" w:rsidRPr="00617689" w:rsidRDefault="00C20BE6" w:rsidP="002E1E4D">
            <w:pPr>
              <w:pStyle w:val="TMGTableText"/>
              <w:ind w:left="0" w:right="288"/>
              <w:jc w:val="right"/>
            </w:pPr>
            <w:r>
              <w:t>7</w:t>
            </w:r>
          </w:p>
        </w:tc>
        <w:tc>
          <w:tcPr>
            <w:tcW w:w="1149" w:type="dxa"/>
            <w:vAlign w:val="center"/>
          </w:tcPr>
          <w:p w14:paraId="0D5F8CDB" w14:textId="77777777" w:rsidR="00C20BE6" w:rsidRPr="00617689" w:rsidRDefault="00C20BE6" w:rsidP="002E1E4D">
            <w:pPr>
              <w:pStyle w:val="TMGTableText"/>
              <w:ind w:left="0" w:right="288"/>
              <w:jc w:val="right"/>
            </w:pPr>
            <w:r>
              <w:t>7</w:t>
            </w:r>
          </w:p>
        </w:tc>
        <w:tc>
          <w:tcPr>
            <w:tcW w:w="1150" w:type="dxa"/>
            <w:vAlign w:val="center"/>
          </w:tcPr>
          <w:p w14:paraId="25AB55B9" w14:textId="77777777" w:rsidR="00C20BE6" w:rsidRPr="00617689" w:rsidRDefault="00C20BE6" w:rsidP="002E1E4D">
            <w:pPr>
              <w:pStyle w:val="TMGTableText"/>
              <w:ind w:left="0" w:right="288"/>
              <w:jc w:val="right"/>
            </w:pPr>
            <w:r w:rsidRPr="00CD6C93">
              <w:t>NA</w:t>
            </w:r>
          </w:p>
        </w:tc>
        <w:tc>
          <w:tcPr>
            <w:tcW w:w="753" w:type="dxa"/>
            <w:vAlign w:val="center"/>
          </w:tcPr>
          <w:p w14:paraId="39045B78" w14:textId="77777777" w:rsidR="00C20BE6" w:rsidRPr="00617689" w:rsidRDefault="00C20BE6" w:rsidP="002E1E4D">
            <w:pPr>
              <w:pStyle w:val="TMGTableText"/>
              <w:jc w:val="right"/>
            </w:pPr>
            <w:r>
              <w:t>27</w:t>
            </w:r>
          </w:p>
        </w:tc>
        <w:tc>
          <w:tcPr>
            <w:tcW w:w="1445" w:type="dxa"/>
            <w:vAlign w:val="center"/>
          </w:tcPr>
          <w:p w14:paraId="5BBCFBE0" w14:textId="1503A8B9" w:rsidR="00C20BE6" w:rsidRDefault="00C20BE6" w:rsidP="002E1E4D">
            <w:pPr>
              <w:pStyle w:val="TMGTableText"/>
              <w:ind w:left="0" w:right="432"/>
              <w:jc w:val="right"/>
            </w:pPr>
            <w:r>
              <w:t>7</w:t>
            </w:r>
          </w:p>
        </w:tc>
      </w:tr>
      <w:tr w:rsidR="00C20BE6" w:rsidRPr="00617689" w14:paraId="689EFF13" w14:textId="7C17B0C4" w:rsidTr="00627DD7">
        <w:trPr>
          <w:jc w:val="center"/>
        </w:trPr>
        <w:tc>
          <w:tcPr>
            <w:tcW w:w="1345" w:type="dxa"/>
          </w:tcPr>
          <w:p w14:paraId="6ABCDA28" w14:textId="77777777" w:rsidR="00C20BE6" w:rsidRDefault="00C20BE6" w:rsidP="002E1E4D">
            <w:pPr>
              <w:pStyle w:val="TMGTableText"/>
              <w:jc w:val="right"/>
            </w:pPr>
            <w:r>
              <w:t>1:00:00 AM</w:t>
            </w:r>
          </w:p>
        </w:tc>
        <w:tc>
          <w:tcPr>
            <w:tcW w:w="1170" w:type="dxa"/>
            <w:vAlign w:val="center"/>
          </w:tcPr>
          <w:p w14:paraId="6A0A1D66" w14:textId="77777777" w:rsidR="00C20BE6" w:rsidRPr="00617689" w:rsidRDefault="00C20BE6" w:rsidP="002E1E4D">
            <w:pPr>
              <w:pStyle w:val="TMGTableText"/>
              <w:ind w:left="0" w:right="288"/>
              <w:jc w:val="right"/>
            </w:pPr>
            <w:r>
              <w:t>7</w:t>
            </w:r>
          </w:p>
        </w:tc>
        <w:tc>
          <w:tcPr>
            <w:tcW w:w="1198" w:type="dxa"/>
            <w:vAlign w:val="center"/>
          </w:tcPr>
          <w:p w14:paraId="2116CF56" w14:textId="77777777" w:rsidR="00C20BE6" w:rsidRPr="00617689" w:rsidRDefault="00C20BE6" w:rsidP="002E1E4D">
            <w:pPr>
              <w:pStyle w:val="TMGTableText"/>
              <w:ind w:left="0" w:right="288"/>
              <w:jc w:val="right"/>
            </w:pPr>
            <w:r>
              <w:t>8</w:t>
            </w:r>
          </w:p>
        </w:tc>
        <w:tc>
          <w:tcPr>
            <w:tcW w:w="1150" w:type="dxa"/>
            <w:vAlign w:val="center"/>
          </w:tcPr>
          <w:p w14:paraId="031CE4B2" w14:textId="77777777" w:rsidR="00C20BE6" w:rsidRPr="00617689" w:rsidRDefault="00C20BE6" w:rsidP="002E1E4D">
            <w:pPr>
              <w:pStyle w:val="TMGTableText"/>
              <w:ind w:left="0" w:right="288"/>
              <w:jc w:val="right"/>
            </w:pPr>
            <w:r>
              <w:t>9</w:t>
            </w:r>
          </w:p>
        </w:tc>
        <w:tc>
          <w:tcPr>
            <w:tcW w:w="1149" w:type="dxa"/>
            <w:vAlign w:val="center"/>
          </w:tcPr>
          <w:p w14:paraId="067E3AF6" w14:textId="77777777" w:rsidR="00C20BE6" w:rsidRPr="00617689" w:rsidRDefault="00C20BE6" w:rsidP="002E1E4D">
            <w:pPr>
              <w:pStyle w:val="TMGTableText"/>
              <w:ind w:left="0" w:right="288"/>
              <w:jc w:val="right"/>
            </w:pPr>
            <w:r>
              <w:t>6</w:t>
            </w:r>
          </w:p>
        </w:tc>
        <w:tc>
          <w:tcPr>
            <w:tcW w:w="1150" w:type="dxa"/>
            <w:vAlign w:val="center"/>
          </w:tcPr>
          <w:p w14:paraId="33A8AEFC" w14:textId="77777777" w:rsidR="00C20BE6" w:rsidRPr="00617689" w:rsidRDefault="00C20BE6" w:rsidP="002E1E4D">
            <w:pPr>
              <w:pStyle w:val="TMGTableText"/>
              <w:ind w:left="0" w:right="288"/>
              <w:jc w:val="right"/>
            </w:pPr>
            <w:r w:rsidRPr="00D17860">
              <w:t>NA</w:t>
            </w:r>
          </w:p>
        </w:tc>
        <w:tc>
          <w:tcPr>
            <w:tcW w:w="753" w:type="dxa"/>
            <w:vAlign w:val="center"/>
          </w:tcPr>
          <w:p w14:paraId="694DCC2E" w14:textId="77777777" w:rsidR="00C20BE6" w:rsidRPr="00617689" w:rsidRDefault="00C20BE6" w:rsidP="002E1E4D">
            <w:pPr>
              <w:pStyle w:val="TMGTableText"/>
              <w:jc w:val="right"/>
            </w:pPr>
            <w:r>
              <w:t>30</w:t>
            </w:r>
          </w:p>
        </w:tc>
        <w:tc>
          <w:tcPr>
            <w:tcW w:w="1445" w:type="dxa"/>
            <w:vAlign w:val="center"/>
          </w:tcPr>
          <w:p w14:paraId="33E53ABA" w14:textId="486C725C" w:rsidR="00C20BE6" w:rsidRDefault="00C20BE6" w:rsidP="002E1E4D">
            <w:pPr>
              <w:pStyle w:val="TMGTableText"/>
              <w:ind w:left="0" w:right="432"/>
              <w:jc w:val="right"/>
            </w:pPr>
            <w:r>
              <w:t>8</w:t>
            </w:r>
          </w:p>
        </w:tc>
      </w:tr>
      <w:tr w:rsidR="00C20BE6" w:rsidRPr="00617689" w14:paraId="1E19F035" w14:textId="7C0ABE38" w:rsidTr="00627DD7">
        <w:trPr>
          <w:jc w:val="center"/>
        </w:trPr>
        <w:tc>
          <w:tcPr>
            <w:tcW w:w="1345" w:type="dxa"/>
          </w:tcPr>
          <w:p w14:paraId="36AC75E3" w14:textId="77777777" w:rsidR="00C20BE6" w:rsidRDefault="00C20BE6" w:rsidP="002E1E4D">
            <w:pPr>
              <w:pStyle w:val="TMGTableText"/>
              <w:jc w:val="right"/>
            </w:pPr>
            <w:r>
              <w:t>1:05:00 AM</w:t>
            </w:r>
          </w:p>
        </w:tc>
        <w:tc>
          <w:tcPr>
            <w:tcW w:w="1170" w:type="dxa"/>
            <w:vAlign w:val="center"/>
          </w:tcPr>
          <w:p w14:paraId="11335438" w14:textId="77777777" w:rsidR="00C20BE6" w:rsidRPr="00617689" w:rsidRDefault="00C20BE6" w:rsidP="002E1E4D">
            <w:pPr>
              <w:pStyle w:val="TMGTableText"/>
              <w:ind w:left="0" w:right="288"/>
              <w:jc w:val="right"/>
            </w:pPr>
            <w:r>
              <w:t>6</w:t>
            </w:r>
          </w:p>
        </w:tc>
        <w:tc>
          <w:tcPr>
            <w:tcW w:w="1198" w:type="dxa"/>
            <w:vAlign w:val="center"/>
          </w:tcPr>
          <w:p w14:paraId="79329825" w14:textId="77777777" w:rsidR="00C20BE6" w:rsidRPr="00617689" w:rsidRDefault="00C20BE6" w:rsidP="002E1E4D">
            <w:pPr>
              <w:pStyle w:val="TMGTableText"/>
              <w:ind w:left="0" w:right="288"/>
              <w:jc w:val="right"/>
            </w:pPr>
            <w:r>
              <w:t>7</w:t>
            </w:r>
          </w:p>
        </w:tc>
        <w:tc>
          <w:tcPr>
            <w:tcW w:w="1150" w:type="dxa"/>
            <w:vAlign w:val="center"/>
          </w:tcPr>
          <w:p w14:paraId="2503BF4D" w14:textId="77777777" w:rsidR="00C20BE6" w:rsidRPr="00617689" w:rsidRDefault="00C20BE6" w:rsidP="002E1E4D">
            <w:pPr>
              <w:pStyle w:val="TMGTableText"/>
              <w:ind w:left="0" w:right="288"/>
              <w:jc w:val="right"/>
            </w:pPr>
            <w:r>
              <w:t>9</w:t>
            </w:r>
          </w:p>
        </w:tc>
        <w:tc>
          <w:tcPr>
            <w:tcW w:w="1149" w:type="dxa"/>
            <w:vAlign w:val="center"/>
          </w:tcPr>
          <w:p w14:paraId="1BCEAA31" w14:textId="77777777" w:rsidR="00C20BE6" w:rsidRPr="00617689" w:rsidRDefault="00C20BE6" w:rsidP="002E1E4D">
            <w:pPr>
              <w:pStyle w:val="TMGTableText"/>
              <w:ind w:left="0" w:right="288"/>
              <w:jc w:val="right"/>
            </w:pPr>
            <w:r>
              <w:t>7</w:t>
            </w:r>
          </w:p>
        </w:tc>
        <w:tc>
          <w:tcPr>
            <w:tcW w:w="1150" w:type="dxa"/>
            <w:vAlign w:val="center"/>
          </w:tcPr>
          <w:p w14:paraId="6263DCA3" w14:textId="77777777" w:rsidR="00C20BE6" w:rsidRPr="00617689" w:rsidRDefault="00C20BE6" w:rsidP="002E1E4D">
            <w:pPr>
              <w:pStyle w:val="TMGTableText"/>
              <w:ind w:left="0" w:right="288"/>
              <w:jc w:val="right"/>
            </w:pPr>
            <w:r w:rsidRPr="00D17860">
              <w:t>NA</w:t>
            </w:r>
          </w:p>
        </w:tc>
        <w:tc>
          <w:tcPr>
            <w:tcW w:w="753" w:type="dxa"/>
            <w:vAlign w:val="center"/>
          </w:tcPr>
          <w:p w14:paraId="2C1433F4" w14:textId="77777777" w:rsidR="00C20BE6" w:rsidRPr="00617689" w:rsidRDefault="00C20BE6" w:rsidP="002E1E4D">
            <w:pPr>
              <w:pStyle w:val="TMGTableText"/>
              <w:jc w:val="right"/>
            </w:pPr>
            <w:r>
              <w:t>29</w:t>
            </w:r>
          </w:p>
        </w:tc>
        <w:tc>
          <w:tcPr>
            <w:tcW w:w="1445" w:type="dxa"/>
            <w:vAlign w:val="center"/>
          </w:tcPr>
          <w:p w14:paraId="43306394" w14:textId="036C1342" w:rsidR="00C20BE6" w:rsidRDefault="00C20BE6" w:rsidP="002E1E4D">
            <w:pPr>
              <w:pStyle w:val="TMGTableText"/>
              <w:ind w:left="0" w:right="432"/>
              <w:jc w:val="right"/>
            </w:pPr>
            <w:r>
              <w:t>7</w:t>
            </w:r>
          </w:p>
        </w:tc>
      </w:tr>
    </w:tbl>
    <w:p w14:paraId="6D2A493C" w14:textId="77777777" w:rsidR="003F7B9F" w:rsidRPr="00643085" w:rsidRDefault="003F7B9F" w:rsidP="00277580">
      <w:pPr>
        <w:pStyle w:val="BodyText"/>
        <w:spacing w:before="360"/>
        <w:rPr>
          <w:b/>
          <w:bCs/>
        </w:rPr>
      </w:pPr>
      <w:r w:rsidRPr="00643085">
        <w:rPr>
          <w:b/>
          <w:bCs/>
        </w:rPr>
        <w:t xml:space="preserve">Step 4 </w:t>
      </w:r>
      <w:r w:rsidRPr="00857B2B">
        <w:t>–</w:t>
      </w:r>
      <w:r w:rsidRPr="00643085">
        <w:t xml:space="preserve"> sum all average time increment</w:t>
      </w:r>
      <w:r>
        <w:t xml:space="preserve"> volumes</w:t>
      </w:r>
      <w:r w:rsidRPr="00643085">
        <w:t xml:space="preserve"> for each DOW </w:t>
      </w:r>
    </w:p>
    <w:p w14:paraId="0A487943" w14:textId="37CFD1F1" w:rsidR="003F7B9F" w:rsidRPr="00643085" w:rsidRDefault="003F7B9F" w:rsidP="00A35EAF">
      <w:pPr>
        <w:pStyle w:val="BodyText"/>
      </w:pPr>
      <w:r w:rsidRPr="00643085">
        <w:rPr>
          <w:b/>
          <w:bCs/>
        </w:rPr>
        <w:t xml:space="preserve">Step 5 </w:t>
      </w:r>
      <w:r w:rsidRPr="00857B2B">
        <w:t>–</w:t>
      </w:r>
      <w:r w:rsidRPr="00643085">
        <w:t xml:space="preserve"> correctly weight each DOW </w:t>
      </w:r>
      <w:r>
        <w:t xml:space="preserve">volumes </w:t>
      </w:r>
      <w:r w:rsidRPr="00643085">
        <w:t>for how many DOWs are present for the given month/year</w:t>
      </w:r>
    </w:p>
    <w:p w14:paraId="1960B990" w14:textId="4A1176E3" w:rsidR="003F7B9F" w:rsidRPr="00643085" w:rsidRDefault="00E652B1" w:rsidP="00A35EAF">
      <w:pPr>
        <w:pStyle w:val="BodyText"/>
      </w:pPr>
      <w:r>
        <w:t>For example, w</w:t>
      </w:r>
      <w:r w:rsidR="003F7B9F" w:rsidRPr="00643085">
        <w:t>hen one month has 5 Tuesdays vs. 4 Tuesdays</w:t>
      </w:r>
      <w:r>
        <w:t>,</w:t>
      </w:r>
      <w:r w:rsidR="003F7B9F" w:rsidRPr="00643085">
        <w:t xml:space="preserve"> each DOW </w:t>
      </w:r>
      <w:r w:rsidR="003F7B9F">
        <w:t>volume</w:t>
      </w:r>
      <w:r>
        <w:t xml:space="preserve"> is weighted</w:t>
      </w:r>
      <w:r w:rsidR="003F7B9F">
        <w:t xml:space="preserve"> by</w:t>
      </w:r>
      <w:r w:rsidR="003F7B9F" w:rsidRPr="00643085">
        <w:t xml:space="preserve"> the actual number of individual days that specific day is present in the given month for the given year.</w:t>
      </w:r>
    </w:p>
    <w:p w14:paraId="2EBB81F6" w14:textId="05718FC3" w:rsidR="003F7B9F" w:rsidRPr="00643085" w:rsidRDefault="003F7B9F" w:rsidP="00A35EAF">
      <w:pPr>
        <w:pStyle w:val="BodyText"/>
        <w:rPr>
          <w:b/>
          <w:bCs/>
        </w:rPr>
      </w:pPr>
      <w:r w:rsidRPr="00643085">
        <w:rPr>
          <w:b/>
          <w:bCs/>
        </w:rPr>
        <w:t>Step 6</w:t>
      </w:r>
      <w:r w:rsidRPr="00643085">
        <w:t xml:space="preserve"> – average the DOW </w:t>
      </w:r>
      <w:r>
        <w:t xml:space="preserve">volume </w:t>
      </w:r>
      <w:r w:rsidRPr="00643085">
        <w:t xml:space="preserve">values </w:t>
      </w:r>
      <w:r>
        <w:t xml:space="preserve">across all DOWs </w:t>
      </w:r>
      <w:r w:rsidRPr="00643085">
        <w:t>to obtain a Monthly Average Daily Traffic (MADT)</w:t>
      </w:r>
    </w:p>
    <w:p w14:paraId="6A757A21" w14:textId="77777777" w:rsidR="003F7B9F" w:rsidRPr="00643085" w:rsidRDefault="003F7B9F" w:rsidP="00A35EAF">
      <w:pPr>
        <w:pStyle w:val="BodyText"/>
        <w:rPr>
          <w:b/>
          <w:bCs/>
        </w:rPr>
      </w:pPr>
      <w:r w:rsidRPr="00643085">
        <w:rPr>
          <w:b/>
          <w:bCs/>
        </w:rPr>
        <w:t xml:space="preserve">Step 7 </w:t>
      </w:r>
      <w:r w:rsidRPr="00857B2B">
        <w:t>–</w:t>
      </w:r>
      <w:r w:rsidRPr="00643085">
        <w:t xml:space="preserve"> correctly weight for the number of days in each of the 12 MADTs </w:t>
      </w:r>
      <w:r>
        <w:t>(i.e., use the number of days in a month as weighting factors in computing weighted average)</w:t>
      </w:r>
    </w:p>
    <w:p w14:paraId="37DB33EF" w14:textId="183B5046" w:rsidR="003F7B9F" w:rsidRPr="00643085" w:rsidRDefault="003F7B9F" w:rsidP="00A35EAF">
      <w:pPr>
        <w:pStyle w:val="BodyText"/>
      </w:pPr>
      <w:r w:rsidRPr="00643085">
        <w:rPr>
          <w:b/>
          <w:bCs/>
        </w:rPr>
        <w:t xml:space="preserve">Step 8 </w:t>
      </w:r>
      <w:r w:rsidRPr="00857B2B">
        <w:t>–</w:t>
      </w:r>
      <w:r w:rsidRPr="00643085">
        <w:t xml:space="preserve"> average the DOW values together to obtain an AADT for the year</w:t>
      </w:r>
    </w:p>
    <w:p w14:paraId="4931063A" w14:textId="2E7A24FE" w:rsidR="00530CF5" w:rsidRDefault="003F7B9F" w:rsidP="0069790B">
      <w:pPr>
        <w:pStyle w:val="BodyText"/>
      </w:pPr>
      <w:r w:rsidRPr="00643085">
        <w:t xml:space="preserve">The limitation of this method </w:t>
      </w:r>
      <w:r>
        <w:t>is</w:t>
      </w:r>
      <w:r w:rsidRPr="00643085">
        <w:t xml:space="preserve"> that </w:t>
      </w:r>
      <w:r>
        <w:t>it</w:t>
      </w:r>
      <w:r w:rsidRPr="00643085">
        <w:t xml:space="preserve"> require</w:t>
      </w:r>
      <w:r>
        <w:t>s</w:t>
      </w:r>
      <w:r w:rsidRPr="00643085">
        <w:t xml:space="preserve"> at least </w:t>
      </w:r>
      <w:r w:rsidR="006A06AC">
        <w:t xml:space="preserve">one </w:t>
      </w:r>
      <w:r w:rsidRPr="00643085">
        <w:t xml:space="preserve">time increment for each day of week in each month of the year. The </w:t>
      </w:r>
      <w:r w:rsidR="006A06AC">
        <w:t>d</w:t>
      </w:r>
      <w:r w:rsidRPr="00643085">
        <w:t xml:space="preserve">isadvantage of the method is that each MADT </w:t>
      </w:r>
      <w:r w:rsidR="006A06AC">
        <w:t xml:space="preserve">is </w:t>
      </w:r>
      <w:r w:rsidRPr="00643085">
        <w:t xml:space="preserve">not as consistent from year to year as the AASHTO method. The advantages of using this method are that it more accurately provides AADT estimates when data are missing and provides better estimates than the other </w:t>
      </w:r>
      <w:r>
        <w:t>two AADT</w:t>
      </w:r>
      <w:r w:rsidRPr="00643085">
        <w:t xml:space="preserve"> methods, it allows for partial day data to be utilized, it removes the known bias in the AASHTO method, it provides for any time increment of data for AADT estimates </w:t>
      </w:r>
      <w:r w:rsidR="006A06AC">
        <w:t xml:space="preserve">(e.g., </w:t>
      </w:r>
      <w:r w:rsidRPr="00643085">
        <w:t>1 min, 5 min, 15 minute, hourly), and it allows for ITS and other non-traditional sources of data for seamless AADT estimates provided every time increment is present for each day of the week for a given month.</w:t>
      </w:r>
      <w:r w:rsidR="00530CF5">
        <w:br w:type="page"/>
      </w:r>
    </w:p>
    <w:p w14:paraId="6E348212" w14:textId="6F193D07" w:rsidR="003F7B9F" w:rsidRPr="00530CF5" w:rsidRDefault="00665742" w:rsidP="00A35EAF">
      <w:pPr>
        <w:pStyle w:val="BodyText"/>
        <w:rPr>
          <w:rFonts w:ascii="Cambria" w:hAnsi="Cambria"/>
          <w:b/>
          <w:bCs/>
          <w:sz w:val="22"/>
          <w:szCs w:val="22"/>
        </w:rPr>
      </w:pPr>
      <w:bookmarkStart w:id="2618" w:name="_Hlk45874886"/>
      <w:bookmarkEnd w:id="2606"/>
      <w:r w:rsidRPr="00530CF5">
        <w:rPr>
          <w:rFonts w:ascii="Cambria" w:hAnsi="Cambria"/>
          <w:b/>
          <w:bCs/>
          <w:sz w:val="22"/>
          <w:szCs w:val="22"/>
        </w:rPr>
        <w:lastRenderedPageBreak/>
        <w:t>M</w:t>
      </w:r>
      <w:r w:rsidR="003F7B9F" w:rsidRPr="00530CF5">
        <w:rPr>
          <w:rFonts w:ascii="Cambria" w:hAnsi="Cambria"/>
          <w:b/>
          <w:bCs/>
          <w:sz w:val="22"/>
          <w:szCs w:val="22"/>
        </w:rPr>
        <w:t xml:space="preserve">icromobility AADT </w:t>
      </w:r>
      <w:r w:rsidR="00277580" w:rsidRPr="00530CF5">
        <w:rPr>
          <w:rFonts w:ascii="Cambria" w:hAnsi="Cambria"/>
          <w:b/>
          <w:bCs/>
          <w:sz w:val="22"/>
          <w:szCs w:val="22"/>
        </w:rPr>
        <w:t>C</w:t>
      </w:r>
      <w:r w:rsidR="003F7B9F" w:rsidRPr="00530CF5">
        <w:rPr>
          <w:rFonts w:ascii="Cambria" w:hAnsi="Cambria"/>
          <w:b/>
          <w:bCs/>
          <w:sz w:val="22"/>
          <w:szCs w:val="22"/>
        </w:rPr>
        <w:t>alculations</w:t>
      </w:r>
    </w:p>
    <w:p w14:paraId="0B1022B5" w14:textId="37F7E9BB" w:rsidR="003F7B9F" w:rsidRPr="00C825E7" w:rsidRDefault="003F7B9F" w:rsidP="00A35EAF">
      <w:pPr>
        <w:pStyle w:val="BodyText"/>
      </w:pPr>
      <w:r w:rsidRPr="00643085">
        <w:t>Calculating AADTs for bicycle, pedestrian</w:t>
      </w:r>
      <w:r w:rsidR="006A06AC">
        <w:t>,</w:t>
      </w:r>
      <w:r w:rsidRPr="00643085">
        <w:t xml:space="preserve"> and other micromobility modes is still evolving and how to report these AADTs is also non-uniform across traffic monitoring programs.</w:t>
      </w:r>
      <w:r w:rsidR="004D4172">
        <w:t xml:space="preserve"> </w:t>
      </w:r>
      <w:r w:rsidRPr="00643085">
        <w:t>However, several methods for calculating micromobility AADTs are being researched and studied.</w:t>
      </w:r>
      <w:r w:rsidR="004D4172">
        <w:t xml:space="preserve"> </w:t>
      </w:r>
    </w:p>
    <w:p w14:paraId="05103B9F" w14:textId="77777777" w:rsidR="003F7B9F" w:rsidRPr="00530CF5" w:rsidRDefault="003F7B9F" w:rsidP="00A35EAF">
      <w:pPr>
        <w:pStyle w:val="BodyText"/>
        <w:rPr>
          <w:rFonts w:ascii="Cambria" w:hAnsi="Cambria"/>
          <w:b/>
          <w:bCs/>
          <w:sz w:val="22"/>
          <w:szCs w:val="22"/>
        </w:rPr>
      </w:pPr>
      <w:r w:rsidRPr="00530CF5">
        <w:rPr>
          <w:rFonts w:ascii="Cambria" w:hAnsi="Cambria"/>
          <w:b/>
          <w:bCs/>
          <w:sz w:val="22"/>
          <w:szCs w:val="22"/>
        </w:rPr>
        <w:t xml:space="preserve">Rounding AADTs </w:t>
      </w:r>
    </w:p>
    <w:p w14:paraId="5ACBE946" w14:textId="390914D9" w:rsidR="003F7B9F" w:rsidRPr="009D4126" w:rsidRDefault="003F7B9F" w:rsidP="00A35EAF">
      <w:pPr>
        <w:pStyle w:val="BodyText"/>
      </w:pPr>
      <w:r w:rsidRPr="009D4126">
        <w:t xml:space="preserve">The rounding of AADTs is acceptable for HPMS purposes only following the scheme recommended by the </w:t>
      </w:r>
      <w:bookmarkStart w:id="2619" w:name="_Hlk76056642"/>
      <w:r w:rsidRPr="009D4126">
        <w:rPr>
          <w:i/>
        </w:rPr>
        <w:t>AASHTO Guide</w:t>
      </w:r>
      <w:bookmarkEnd w:id="2619"/>
      <w:r w:rsidR="00F374BF">
        <w:rPr>
          <w:i/>
        </w:rPr>
        <w:t xml:space="preserve"> (AASHTO 2009)</w:t>
      </w:r>
      <w:r w:rsidRPr="009D4126">
        <w:t xml:space="preserve">. The </w:t>
      </w:r>
      <w:r w:rsidRPr="009D4126">
        <w:rPr>
          <w:i/>
        </w:rPr>
        <w:t>TMG</w:t>
      </w:r>
      <w:r w:rsidRPr="009D4126">
        <w:t xml:space="preserve"> does not recommend this unless it is common practice for the State to round all traffic data in its traffic monitoring database and is applied to all traffic data consistently. This applies to the reporting of volume and vehicle classification data. </w:t>
      </w:r>
    </w:p>
    <w:p w14:paraId="5BC10A34" w14:textId="1FF0726F" w:rsidR="003F7B9F" w:rsidRPr="009D4126" w:rsidRDefault="003F7B9F" w:rsidP="00A35EAF">
      <w:pPr>
        <w:pStyle w:val="BodyText"/>
      </w:pPr>
      <w:r w:rsidRPr="009D4126">
        <w:t>Rounding should be performed after all adjustments to the raw count data have been made and should NOT be performed when calculating percent single-unit and combination trucks. Low</w:t>
      </w:r>
      <w:r w:rsidR="006A06AC">
        <w:t>-</w:t>
      </w:r>
      <w:r w:rsidRPr="009D4126">
        <w:t xml:space="preserve">volume counts (e.g., 0.2%) should not be rounded to report zero as a volume or as a percent since this will not accurately represent the presence of the minimal volumes and will also show no change in trends. A zero should only be reported when the actual count is zero. </w:t>
      </w:r>
    </w:p>
    <w:p w14:paraId="17B15CB0" w14:textId="77777777" w:rsidR="003F7B9F" w:rsidRDefault="003F7B9F" w:rsidP="00A35EAF">
      <w:pPr>
        <w:pStyle w:val="BodyText"/>
      </w:pPr>
      <w:r w:rsidRPr="009D4126">
        <w:t>The following guidance should be followed regarding rounding of AADTs:</w:t>
      </w:r>
    </w:p>
    <w:p w14:paraId="0A3D7FB7" w14:textId="3CCE8705" w:rsidR="003F7B9F" w:rsidRPr="00150906" w:rsidRDefault="003F7B9F" w:rsidP="00A119E0">
      <w:pPr>
        <w:pStyle w:val="CallOut"/>
        <w:rPr>
          <w:b/>
        </w:rPr>
      </w:pPr>
      <w:r w:rsidRPr="001B5470">
        <w:t>When sufficient data are available to develop a reasonable AADT estimation from permanent continuous counters for the current year, rounding is not recommended</w:t>
      </w:r>
      <w:r>
        <w:rPr>
          <w:b/>
        </w:rPr>
        <w:t>.</w:t>
      </w:r>
    </w:p>
    <w:p w14:paraId="225E80AA" w14:textId="77777777" w:rsidR="003F7B9F" w:rsidRPr="00D1690E" w:rsidRDefault="003F7B9F">
      <w:pPr>
        <w:pStyle w:val="Heading3"/>
      </w:pPr>
      <w:bookmarkStart w:id="2620" w:name="_Toc63977928"/>
      <w:bookmarkStart w:id="2621" w:name="_Toc63982676"/>
      <w:bookmarkStart w:id="2622" w:name="_Toc68190244"/>
      <w:bookmarkStart w:id="2623" w:name="_Toc118205668"/>
      <w:bookmarkEnd w:id="2618"/>
      <w:r w:rsidRPr="00D1690E">
        <w:t xml:space="preserve">Computation of </w:t>
      </w:r>
      <w:bookmarkEnd w:id="2620"/>
      <w:bookmarkEnd w:id="2621"/>
      <w:r w:rsidRPr="00D1690E">
        <w:t>AVDT and DVDT</w:t>
      </w:r>
      <w:bookmarkEnd w:id="2622"/>
      <w:bookmarkEnd w:id="2623"/>
    </w:p>
    <w:p w14:paraId="1E7AC98F" w14:textId="2158B6BB" w:rsidR="003F7B9F" w:rsidRPr="00771210" w:rsidRDefault="003F7B9F" w:rsidP="00A35EAF">
      <w:pPr>
        <w:pStyle w:val="BodyText"/>
      </w:pPr>
      <w:r w:rsidRPr="00771210">
        <w:t xml:space="preserve">The annual vehicle distance traveled (AVDT) is computed by multiplying the daily vehicle distance traveled (DVDT) by the number of days in the year. The HPMS software calculates the DVDT, and </w:t>
      </w:r>
      <w:r w:rsidR="00C34CA9">
        <w:t>FHWA also computes the</w:t>
      </w:r>
      <w:r w:rsidR="00C34CA9" w:rsidRPr="00771210">
        <w:t xml:space="preserve"> </w:t>
      </w:r>
      <w:r w:rsidRPr="00771210">
        <w:t xml:space="preserve">AVDT </w:t>
      </w:r>
      <w:r>
        <w:t>for each segment</w:t>
      </w:r>
      <w:r w:rsidRPr="00771210">
        <w:t xml:space="preserve">. </w:t>
      </w:r>
    </w:p>
    <w:p w14:paraId="67933795" w14:textId="7813E98C" w:rsidR="003F7B9F" w:rsidRPr="00771210" w:rsidRDefault="003F7B9F" w:rsidP="00A35EAF">
      <w:pPr>
        <w:pStyle w:val="BodyText"/>
      </w:pPr>
      <w:r w:rsidRPr="00771210">
        <w:t>The DVDT is calculated by multiplying the section AADT by the section length to compute section-specific DVDT. (A</w:t>
      </w:r>
      <w:r w:rsidR="00857B2B">
        <w:t> </w:t>
      </w:r>
      <w:r w:rsidRPr="00771210">
        <w:t xml:space="preserve">roadway section or subsection is a State-owned or off-system roadway identified by an eight-digit code. Each roadway section is defined by a beginning and ending milepost in the Roadway Characteristics Inventory (RCI). Aggregate </w:t>
      </w:r>
      <w:r>
        <w:t xml:space="preserve">DVDT </w:t>
      </w:r>
      <w:r w:rsidRPr="00771210">
        <w:t xml:space="preserve">estimates at any stratification level (volume group, functional class, area type, statewide, or other combinations of these) can be derived by summing the DVDT of the appropriate strata. For example, to obtain estimates of rural interstate DVDT, sum the DVDT estimates for each volume group strata within the rural interstate functional system group. </w:t>
      </w:r>
    </w:p>
    <w:p w14:paraId="15C837A8" w14:textId="2EF39B6B" w:rsidR="003F7B9F" w:rsidRPr="00771210" w:rsidRDefault="003F7B9F" w:rsidP="00A35EAF">
      <w:pPr>
        <w:pStyle w:val="BodyText"/>
      </w:pPr>
      <w:r w:rsidRPr="00771210">
        <w:t xml:space="preserve">The HPMS standard sample sizes are defined in terms of AADT within strata (described in the </w:t>
      </w:r>
      <w:r w:rsidRPr="00771210">
        <w:rPr>
          <w:rStyle w:val="BodyTextTitleItalStylesforWordRTFImportedLists"/>
          <w:iCs/>
        </w:rPr>
        <w:t>HPMS Field Manual</w:t>
      </w:r>
      <w:r w:rsidR="00F374BF">
        <w:rPr>
          <w:rStyle w:val="BodyTextTitleItalStylesforWordRTFImportedLists"/>
          <w:iCs/>
        </w:rPr>
        <w:t xml:space="preserve"> </w:t>
      </w:r>
      <w:r w:rsidR="00F374BF" w:rsidRPr="00F374BF">
        <w:rPr>
          <w:rStyle w:val="BodyTextTitleItalStylesforWordRTFImportedLists"/>
          <w:i w:val="0"/>
        </w:rPr>
        <w:t>(FHWA 2016)</w:t>
      </w:r>
      <w:r w:rsidRPr="008B2D29">
        <w:rPr>
          <w:iCs/>
        </w:rPr>
        <w:t>)</w:t>
      </w:r>
      <w:r w:rsidRPr="00F374BF">
        <w:rPr>
          <w:i/>
        </w:rPr>
        <w:t>.</w:t>
      </w:r>
      <w:r w:rsidRPr="00771210">
        <w:t xml:space="preserve"> To estimate the precision of DVDT estimates, a complex procedure is needed to account for the variation in AADT and for the variation in section length. The equation to estimate the sampling variability of aggregate DVDT estimates is given in </w:t>
      </w:r>
      <w:r w:rsidR="000953E2" w:rsidRPr="00F374BF">
        <w:rPr>
          <w:rStyle w:val="BodyTextTitleItalStylesforWordRTFImportedLists"/>
          <w:iCs/>
        </w:rPr>
        <w:t>Sampling Techniques</w:t>
      </w:r>
      <w:r w:rsidR="000953E2" w:rsidRPr="00F374BF">
        <w:t xml:space="preserve"> (Cochran 1977)</w:t>
      </w:r>
      <w:r w:rsidRPr="00F374BF">
        <w:t>.</w:t>
      </w:r>
      <w:r w:rsidRPr="00771210">
        <w:t xml:space="preserve"> </w:t>
      </w:r>
    </w:p>
    <w:p w14:paraId="3D0BEA6B" w14:textId="77777777" w:rsidR="003F7B9F" w:rsidRPr="00771210" w:rsidRDefault="003F7B9F" w:rsidP="00A35EAF">
      <w:pPr>
        <w:pStyle w:val="BodyText"/>
      </w:pPr>
      <w:r w:rsidRPr="00771210">
        <w:t>Estimates of DVDT or AVDT for specific HPMS vehicle classes also can be derived by multiplying DVDT strata figures by the appropriate percentages derived from the vehicle classification counts and aggregating to the strata totals as done for volume.</w:t>
      </w:r>
    </w:p>
    <w:p w14:paraId="0D2CE22A" w14:textId="77777777" w:rsidR="003F7B9F" w:rsidRPr="00771210" w:rsidRDefault="003F7B9F" w:rsidP="00A35EAF">
      <w:pPr>
        <w:pStyle w:val="BodyText"/>
      </w:pPr>
      <w:r w:rsidRPr="00771210">
        <w:t>An estimate of the standard error of a stratum DVDT estimate is given by the following equation:</w:t>
      </w:r>
    </w:p>
    <w:p w14:paraId="0DED3031" w14:textId="77777777" w:rsidR="003F7B9F" w:rsidRPr="0060053A" w:rsidRDefault="00464453" w:rsidP="00A35EAF">
      <w:pPr>
        <w:pStyle w:val="BodyText"/>
      </w:pPr>
      <m:oMathPara>
        <m:oMathParaPr>
          <m:jc m:val="center"/>
        </m:oMathParaPr>
        <m:oMath>
          <m:sSub>
            <m:sSubPr>
              <m:ctrlPr>
                <w:rPr>
                  <w:rFonts w:ascii="Cambria Math" w:hAnsi="Cambria Math"/>
                </w:rPr>
              </m:ctrlPr>
            </m:sSubPr>
            <m:e>
              <m:r>
                <w:rPr>
                  <w:rFonts w:ascii="Cambria Math" w:hAnsi="Cambria Math"/>
                </w:rPr>
                <m:t>S</m:t>
              </m:r>
            </m:e>
            <m:sub>
              <m:r>
                <w:rPr>
                  <w:rFonts w:ascii="Cambria Math" w:hAnsi="Cambria Math"/>
                </w:rPr>
                <m:t>h</m:t>
              </m:r>
            </m:sub>
          </m:sSub>
          <m:r>
            <m:rPr>
              <m:sty m:val="p"/>
            </m:rPr>
            <w:rPr>
              <w:rFonts w:ascii="Cambria Math" w:hAnsi="Cambria Math"/>
            </w:rPr>
            <m:t>=</m:t>
          </m:r>
          <m:rad>
            <m:radPr>
              <m:degHide m:val="1"/>
              <m:ctrlPr>
                <w:rPr>
                  <w:rFonts w:ascii="Cambria Math" w:hAnsi="Cambria Math"/>
                </w:rPr>
              </m:ctrlPr>
            </m:radPr>
            <m:deg/>
            <m:e>
              <m:f>
                <m:fPr>
                  <m:ctrlPr>
                    <w:rPr>
                      <w:rFonts w:ascii="Cambria Math" w:hAnsi="Cambria Math"/>
                    </w:rPr>
                  </m:ctrlPr>
                </m:fPr>
                <m:num>
                  <m:sSub>
                    <m:sSubPr>
                      <m:ctrlPr>
                        <w:rPr>
                          <w:rFonts w:ascii="Cambria Math" w:hAnsi="Cambria Math"/>
                        </w:rPr>
                      </m:ctrlPr>
                    </m:sSubPr>
                    <m:e>
                      <m:r>
                        <w:rPr>
                          <w:rFonts w:ascii="Cambria Math" w:hAnsi="Cambria Math"/>
                        </w:rPr>
                        <m:t>N</m:t>
                      </m:r>
                    </m:e>
                    <m:sub>
                      <m:r>
                        <w:rPr>
                          <w:rFonts w:ascii="Cambria Math" w:hAnsi="Cambria Math"/>
                        </w:rPr>
                        <m:t>h</m:t>
                      </m:r>
                    </m:sub>
                  </m:sSub>
                  <m:r>
                    <m:rPr>
                      <m:sty m:val="p"/>
                    </m:rPr>
                    <w:rPr>
                      <w:rFonts w:ascii="Cambria Math" w:hAnsi="Cambria Math"/>
                    </w:rPr>
                    <m:t>(</m:t>
                  </m:r>
                  <m:sSub>
                    <m:sSubPr>
                      <m:ctrlPr>
                        <w:rPr>
                          <w:rFonts w:ascii="Cambria Math" w:hAnsi="Cambria Math"/>
                        </w:rPr>
                      </m:ctrlPr>
                    </m:sSubPr>
                    <m:e>
                      <m:r>
                        <w:rPr>
                          <w:rFonts w:ascii="Cambria Math" w:hAnsi="Cambria Math"/>
                        </w:rPr>
                        <m:t>N</m:t>
                      </m:r>
                    </m:e>
                    <m:sub>
                      <m:r>
                        <w:rPr>
                          <w:rFonts w:ascii="Cambria Math" w:hAnsi="Cambria Math"/>
                        </w:rPr>
                        <m:t>h</m:t>
                      </m:r>
                      <m:r>
                        <m:rPr>
                          <m:sty m:val="p"/>
                        </m:rPr>
                        <w:rPr>
                          <w:rFonts w:ascii="Cambria Math" w:hAnsi="Cambria Math"/>
                        </w:rPr>
                        <m:t>-</m:t>
                      </m:r>
                    </m:sub>
                  </m:sSub>
                  <m:sSub>
                    <m:sSubPr>
                      <m:ctrlPr>
                        <w:rPr>
                          <w:rFonts w:ascii="Cambria Math" w:hAnsi="Cambria Math"/>
                        </w:rPr>
                      </m:ctrlPr>
                    </m:sSubPr>
                    <m:e>
                      <m:r>
                        <w:rPr>
                          <w:rFonts w:ascii="Cambria Math" w:hAnsi="Cambria Math"/>
                        </w:rPr>
                        <m:t>n</m:t>
                      </m:r>
                    </m:e>
                    <m:sub>
                      <m:r>
                        <w:rPr>
                          <w:rFonts w:ascii="Cambria Math" w:hAnsi="Cambria Math"/>
                        </w:rPr>
                        <m:t>h</m:t>
                      </m:r>
                    </m:sub>
                  </m:sSub>
                  <m:r>
                    <m:rPr>
                      <m:sty m:val="p"/>
                    </m:rPr>
                    <w:rPr>
                      <w:rFonts w:ascii="Cambria Math" w:hAnsi="Cambria Math"/>
                    </w:rPr>
                    <m:t>)</m:t>
                  </m:r>
                </m:num>
                <m:den>
                  <m:sSub>
                    <m:sSubPr>
                      <m:ctrlPr>
                        <w:rPr>
                          <w:rFonts w:ascii="Cambria Math" w:hAnsi="Cambria Math"/>
                        </w:rPr>
                      </m:ctrlPr>
                    </m:sSubPr>
                    <m:e>
                      <m:r>
                        <w:rPr>
                          <w:rFonts w:ascii="Cambria Math" w:hAnsi="Cambria Math"/>
                        </w:rPr>
                        <m:t>n</m:t>
                      </m:r>
                    </m:e>
                    <m:sub>
                      <m:r>
                        <w:rPr>
                          <w:rFonts w:ascii="Cambria Math" w:hAnsi="Cambria Math"/>
                        </w:rPr>
                        <m:t>h</m:t>
                      </m:r>
                    </m:sub>
                  </m:sSub>
                  <m:r>
                    <m:rPr>
                      <m:sty m:val="p"/>
                    </m:rPr>
                    <w:rPr>
                      <w:rFonts w:ascii="Cambria Math" w:hAnsi="Cambria Math"/>
                    </w:rPr>
                    <m:t>(</m:t>
                  </m:r>
                  <m:sSub>
                    <m:sSubPr>
                      <m:ctrlPr>
                        <w:rPr>
                          <w:rFonts w:ascii="Cambria Math" w:hAnsi="Cambria Math"/>
                        </w:rPr>
                      </m:ctrlPr>
                    </m:sSubPr>
                    <m:e>
                      <m:r>
                        <w:rPr>
                          <w:rFonts w:ascii="Cambria Math" w:hAnsi="Cambria Math"/>
                        </w:rPr>
                        <m:t>n</m:t>
                      </m:r>
                    </m:e>
                    <m:sub>
                      <m:r>
                        <w:rPr>
                          <w:rFonts w:ascii="Cambria Math" w:hAnsi="Cambria Math"/>
                        </w:rPr>
                        <m:t>h</m:t>
                      </m:r>
                    </m:sub>
                  </m:sSub>
                  <m:r>
                    <m:rPr>
                      <m:sty m:val="p"/>
                    </m:rPr>
                    <w:rPr>
                      <w:rFonts w:ascii="Cambria Math" w:hAnsi="Cambria Math"/>
                    </w:rPr>
                    <m:t>-1)</m:t>
                  </m:r>
                </m:den>
              </m:f>
              <m:d>
                <m:dPr>
                  <m:begChr m:val="["/>
                  <m:endChr m:val="]"/>
                  <m:ctrlPr>
                    <w:rPr>
                      <w:rFonts w:ascii="Cambria Math" w:hAnsi="Cambria Math"/>
                    </w:rPr>
                  </m:ctrlPr>
                </m:dPr>
                <m:e>
                  <m:nary>
                    <m:naryPr>
                      <m:chr m:val="∑"/>
                      <m:limLoc m:val="undOvr"/>
                      <m:subHide m:val="1"/>
                      <m:supHide m:val="1"/>
                      <m:ctrlPr>
                        <w:rPr>
                          <w:rFonts w:ascii="Cambria Math" w:hAnsi="Cambria Math"/>
                        </w:rPr>
                      </m:ctrlPr>
                    </m:naryPr>
                    <m:sub/>
                    <m:sup/>
                    <m:e>
                      <m:sSubSup>
                        <m:sSubSupPr>
                          <m:ctrlPr>
                            <w:rPr>
                              <w:rFonts w:ascii="Cambria Math" w:hAnsi="Cambria Math"/>
                            </w:rPr>
                          </m:ctrlPr>
                        </m:sSubSupPr>
                        <m:e>
                          <m:r>
                            <w:rPr>
                              <w:rFonts w:ascii="Cambria Math" w:hAnsi="Cambria Math"/>
                            </w:rPr>
                            <m:t>D</m:t>
                          </m:r>
                        </m:e>
                        <m:sub>
                          <m:r>
                            <w:rPr>
                              <w:rFonts w:ascii="Cambria Math" w:hAnsi="Cambria Math"/>
                            </w:rPr>
                            <m:t>hi</m:t>
                          </m:r>
                        </m:sub>
                        <m:sup>
                          <m:r>
                            <m:rPr>
                              <m:sty m:val="p"/>
                            </m:rPr>
                            <w:rPr>
                              <w:rFonts w:ascii="Cambria Math" w:hAnsi="Cambria Math"/>
                            </w:rPr>
                            <m:t>2</m:t>
                          </m:r>
                        </m:sup>
                      </m:sSubSup>
                      <m:r>
                        <m:rPr>
                          <m:sty m:val="p"/>
                        </m:rPr>
                        <w:rPr>
                          <w:rFonts w:ascii="Cambria Math" w:hAnsi="Cambria Math"/>
                        </w:rPr>
                        <m:t>+</m:t>
                      </m:r>
                      <m:sSup>
                        <m:sSupPr>
                          <m:ctrlPr>
                            <w:rPr>
                              <w:rFonts w:ascii="Cambria Math" w:hAnsi="Cambria Math"/>
                            </w:rPr>
                          </m:ctrlPr>
                        </m:sSupPr>
                        <m:e>
                          <m:d>
                            <m:dPr>
                              <m:ctrlPr>
                                <w:rPr>
                                  <w:rFonts w:ascii="Cambria Math" w:hAnsi="Cambria Math"/>
                                </w:rPr>
                              </m:ctrlPr>
                            </m:dPr>
                            <m:e>
                              <m:f>
                                <m:fPr>
                                  <m:type m:val="noBar"/>
                                  <m:ctrlPr>
                                    <w:rPr>
                                      <w:rFonts w:ascii="Cambria Math" w:hAnsi="Cambria Math"/>
                                    </w:rPr>
                                  </m:ctrlPr>
                                </m:fPr>
                                <m:num>
                                  <m:nary>
                                    <m:naryPr>
                                      <m:chr m:val="∑"/>
                                      <m:limLoc m:val="undOvr"/>
                                      <m:subHide m:val="1"/>
                                      <m:supHide m:val="1"/>
                                      <m:ctrlPr>
                                        <w:rPr>
                                          <w:rFonts w:ascii="Cambria Math" w:hAnsi="Cambria Math"/>
                                        </w:rPr>
                                      </m:ctrlPr>
                                    </m:naryPr>
                                    <m:sub/>
                                    <m:sup/>
                                    <m:e>
                                      <m:sSub>
                                        <m:sSubPr>
                                          <m:ctrlPr>
                                            <w:rPr>
                                              <w:rFonts w:ascii="Cambria Math" w:hAnsi="Cambria Math"/>
                                            </w:rPr>
                                          </m:ctrlPr>
                                        </m:sSubPr>
                                        <m:e>
                                          <m:r>
                                            <w:rPr>
                                              <w:rFonts w:ascii="Cambria Math" w:hAnsi="Cambria Math"/>
                                            </w:rPr>
                                            <m:t>D</m:t>
                                          </m:r>
                                        </m:e>
                                        <m:sub>
                                          <m:r>
                                            <w:rPr>
                                              <w:rFonts w:ascii="Cambria Math" w:hAnsi="Cambria Math"/>
                                            </w:rPr>
                                            <m:t>hi</m:t>
                                          </m:r>
                                        </m:sub>
                                      </m:sSub>
                                    </m:e>
                                  </m:nary>
                                </m:num>
                                <m:den>
                                  <m:nary>
                                    <m:naryPr>
                                      <m:chr m:val="∑"/>
                                      <m:limLoc m:val="undOvr"/>
                                      <m:subHide m:val="1"/>
                                      <m:supHide m:val="1"/>
                                      <m:ctrlPr>
                                        <w:rPr>
                                          <w:rFonts w:ascii="Cambria Math" w:hAnsi="Cambria Math"/>
                                        </w:rPr>
                                      </m:ctrlPr>
                                    </m:naryPr>
                                    <m:sub/>
                                    <m:sup/>
                                    <m:e>
                                      <m:sSub>
                                        <m:sSubPr>
                                          <m:ctrlPr>
                                            <w:rPr>
                                              <w:rFonts w:ascii="Cambria Math" w:hAnsi="Cambria Math"/>
                                            </w:rPr>
                                          </m:ctrlPr>
                                        </m:sSubPr>
                                        <m:e>
                                          <m:r>
                                            <w:rPr>
                                              <w:rFonts w:ascii="Cambria Math" w:hAnsi="Cambria Math"/>
                                            </w:rPr>
                                            <m:t>L</m:t>
                                          </m:r>
                                        </m:e>
                                        <m:sub>
                                          <m:r>
                                            <w:rPr>
                                              <w:rFonts w:ascii="Cambria Math" w:hAnsi="Cambria Math"/>
                                            </w:rPr>
                                            <m:t>hi</m:t>
                                          </m:r>
                                        </m:sub>
                                      </m:sSub>
                                    </m:e>
                                  </m:nary>
                                </m:den>
                              </m:f>
                            </m:e>
                          </m:d>
                        </m:e>
                        <m:sup>
                          <m:r>
                            <m:rPr>
                              <m:sty m:val="p"/>
                            </m:rPr>
                            <w:rPr>
                              <w:rFonts w:ascii="Cambria Math" w:hAnsi="Cambria Math"/>
                            </w:rPr>
                            <m:t>2</m:t>
                          </m:r>
                        </m:sup>
                      </m:sSup>
                    </m:e>
                  </m:nary>
                  <m:d>
                    <m:dPr>
                      <m:ctrlPr>
                        <w:rPr>
                          <w:rFonts w:ascii="Cambria Math" w:hAnsi="Cambria Math"/>
                        </w:rPr>
                      </m:ctrlPr>
                    </m:dPr>
                    <m:e>
                      <m:nary>
                        <m:naryPr>
                          <m:chr m:val="∑"/>
                          <m:limLoc m:val="undOvr"/>
                          <m:subHide m:val="1"/>
                          <m:supHide m:val="1"/>
                          <m:ctrlPr>
                            <w:rPr>
                              <w:rFonts w:ascii="Cambria Math" w:hAnsi="Cambria Math"/>
                            </w:rPr>
                          </m:ctrlPr>
                        </m:naryPr>
                        <m:sub/>
                        <m:sup/>
                        <m:e>
                          <m:sSubSup>
                            <m:sSubSupPr>
                              <m:ctrlPr>
                                <w:rPr>
                                  <w:rFonts w:ascii="Cambria Math" w:hAnsi="Cambria Math"/>
                                </w:rPr>
                              </m:ctrlPr>
                            </m:sSubSupPr>
                            <m:e>
                              <m:r>
                                <w:rPr>
                                  <w:rFonts w:ascii="Cambria Math" w:hAnsi="Cambria Math"/>
                                </w:rPr>
                                <m:t>L</m:t>
                              </m:r>
                            </m:e>
                            <m:sub>
                              <m:r>
                                <w:rPr>
                                  <w:rFonts w:ascii="Cambria Math" w:hAnsi="Cambria Math"/>
                                </w:rPr>
                                <m:t>hi</m:t>
                              </m:r>
                            </m:sub>
                            <m:sup>
                              <m:r>
                                <m:rPr>
                                  <m:sty m:val="p"/>
                                </m:rPr>
                                <w:rPr>
                                  <w:rFonts w:ascii="Cambria Math" w:hAnsi="Cambria Math"/>
                                </w:rPr>
                                <m:t>2</m:t>
                              </m:r>
                            </m:sup>
                          </m:sSubSup>
                        </m:e>
                      </m:nary>
                    </m:e>
                  </m:d>
                  <m:r>
                    <m:rPr>
                      <m:sty m:val="p"/>
                    </m:rPr>
                    <w:rPr>
                      <w:rFonts w:ascii="Cambria Math" w:hAnsi="Cambria Math"/>
                    </w:rPr>
                    <m:t>-2</m:t>
                  </m:r>
                  <m:d>
                    <m:dPr>
                      <m:ctrlPr>
                        <w:rPr>
                          <w:rFonts w:ascii="Cambria Math" w:hAnsi="Cambria Math"/>
                        </w:rPr>
                      </m:ctrlPr>
                    </m:dPr>
                    <m:e>
                      <m:f>
                        <m:fPr>
                          <m:type m:val="noBar"/>
                          <m:ctrlPr>
                            <w:rPr>
                              <w:rFonts w:ascii="Cambria Math" w:hAnsi="Cambria Math"/>
                            </w:rPr>
                          </m:ctrlPr>
                        </m:fPr>
                        <m:num>
                          <m:nary>
                            <m:naryPr>
                              <m:chr m:val="∑"/>
                              <m:limLoc m:val="undOvr"/>
                              <m:subHide m:val="1"/>
                              <m:supHide m:val="1"/>
                              <m:ctrlPr>
                                <w:rPr>
                                  <w:rFonts w:ascii="Cambria Math" w:hAnsi="Cambria Math"/>
                                </w:rPr>
                              </m:ctrlPr>
                            </m:naryPr>
                            <m:sub/>
                            <m:sup/>
                            <m:e>
                              <m:sSub>
                                <m:sSubPr>
                                  <m:ctrlPr>
                                    <w:rPr>
                                      <w:rFonts w:ascii="Cambria Math" w:hAnsi="Cambria Math"/>
                                    </w:rPr>
                                  </m:ctrlPr>
                                </m:sSubPr>
                                <m:e>
                                  <m:r>
                                    <w:rPr>
                                      <w:rFonts w:ascii="Cambria Math" w:hAnsi="Cambria Math"/>
                                    </w:rPr>
                                    <m:t>D</m:t>
                                  </m:r>
                                </m:e>
                                <m:sub>
                                  <m:r>
                                    <w:rPr>
                                      <w:rFonts w:ascii="Cambria Math" w:hAnsi="Cambria Math"/>
                                    </w:rPr>
                                    <m:t>hi</m:t>
                                  </m:r>
                                </m:sub>
                              </m:sSub>
                            </m:e>
                          </m:nary>
                        </m:num>
                        <m:den>
                          <m:nary>
                            <m:naryPr>
                              <m:chr m:val="∑"/>
                              <m:limLoc m:val="undOvr"/>
                              <m:subHide m:val="1"/>
                              <m:supHide m:val="1"/>
                              <m:ctrlPr>
                                <w:rPr>
                                  <w:rFonts w:ascii="Cambria Math" w:hAnsi="Cambria Math"/>
                                </w:rPr>
                              </m:ctrlPr>
                            </m:naryPr>
                            <m:sub/>
                            <m:sup/>
                            <m:e>
                              <m:sSub>
                                <m:sSubPr>
                                  <m:ctrlPr>
                                    <w:rPr>
                                      <w:rFonts w:ascii="Cambria Math" w:hAnsi="Cambria Math"/>
                                    </w:rPr>
                                  </m:ctrlPr>
                                </m:sSubPr>
                                <m:e>
                                  <m:r>
                                    <w:rPr>
                                      <w:rFonts w:ascii="Cambria Math" w:hAnsi="Cambria Math"/>
                                    </w:rPr>
                                    <m:t>L</m:t>
                                  </m:r>
                                </m:e>
                                <m:sub>
                                  <m:r>
                                    <w:rPr>
                                      <w:rFonts w:ascii="Cambria Math" w:hAnsi="Cambria Math"/>
                                    </w:rPr>
                                    <m:t>hi</m:t>
                                  </m:r>
                                </m:sub>
                              </m:sSub>
                            </m:e>
                          </m:nary>
                        </m:den>
                      </m:f>
                    </m:e>
                  </m:d>
                  <m:nary>
                    <m:naryPr>
                      <m:chr m:val="∑"/>
                      <m:limLoc m:val="undOvr"/>
                      <m:subHide m:val="1"/>
                      <m:supHide m:val="1"/>
                      <m:ctrlPr>
                        <w:rPr>
                          <w:rFonts w:ascii="Cambria Math" w:hAnsi="Cambria Math"/>
                        </w:rPr>
                      </m:ctrlPr>
                    </m:naryPr>
                    <m:sub/>
                    <m:sup/>
                    <m:e>
                      <m:sSub>
                        <m:sSubPr>
                          <m:ctrlPr>
                            <w:rPr>
                              <w:rFonts w:ascii="Cambria Math" w:hAnsi="Cambria Math"/>
                            </w:rPr>
                          </m:ctrlPr>
                        </m:sSubPr>
                        <m:e>
                          <m:r>
                            <w:rPr>
                              <w:rFonts w:ascii="Cambria Math" w:hAnsi="Cambria Math"/>
                            </w:rPr>
                            <m:t>D</m:t>
                          </m:r>
                        </m:e>
                        <m:sub>
                          <m:r>
                            <w:rPr>
                              <w:rFonts w:ascii="Cambria Math" w:hAnsi="Cambria Math"/>
                            </w:rPr>
                            <m:t>hi</m:t>
                          </m:r>
                        </m:sub>
                      </m:sSub>
                    </m:e>
                  </m:nary>
                  <m:sSub>
                    <m:sSubPr>
                      <m:ctrlPr>
                        <w:rPr>
                          <w:rFonts w:ascii="Cambria Math" w:hAnsi="Cambria Math"/>
                        </w:rPr>
                      </m:ctrlPr>
                    </m:sSubPr>
                    <m:e>
                      <m:r>
                        <w:rPr>
                          <w:rFonts w:ascii="Cambria Math" w:hAnsi="Cambria Math"/>
                        </w:rPr>
                        <m:t>L</m:t>
                      </m:r>
                    </m:e>
                    <m:sub>
                      <m:r>
                        <w:rPr>
                          <w:rFonts w:ascii="Cambria Math" w:hAnsi="Cambria Math"/>
                        </w:rPr>
                        <m:t>hi</m:t>
                      </m:r>
                    </m:sub>
                  </m:sSub>
                </m:e>
              </m:d>
            </m:e>
          </m:rad>
        </m:oMath>
      </m:oMathPara>
    </w:p>
    <w:p w14:paraId="5F5E6D7D" w14:textId="77777777" w:rsidR="003F7B9F" w:rsidRPr="00771210" w:rsidRDefault="003F7B9F" w:rsidP="00A35EAF">
      <w:pPr>
        <w:pStyle w:val="BodyText"/>
      </w:pPr>
      <w:r w:rsidRPr="00771210">
        <w:t>Where:</w:t>
      </w:r>
    </w:p>
    <w:p w14:paraId="449B3C43" w14:textId="77777777" w:rsidR="003F7B9F" w:rsidRPr="00771210" w:rsidRDefault="003F7B9F" w:rsidP="00A35EAF">
      <w:pPr>
        <w:pStyle w:val="BodyText"/>
      </w:pPr>
      <w:r w:rsidRPr="00771210">
        <w:rPr>
          <w:rStyle w:val="Italic"/>
          <w:iCs/>
        </w:rPr>
        <w:t>S</w:t>
      </w:r>
      <w:r w:rsidRPr="00771210">
        <w:rPr>
          <w:rStyle w:val="Italic"/>
          <w:iCs/>
          <w:vertAlign w:val="subscript"/>
        </w:rPr>
        <w:t xml:space="preserve">h </w:t>
      </w:r>
      <w:r w:rsidRPr="00771210">
        <w:t>=</w:t>
      </w:r>
      <w:r>
        <w:t xml:space="preserve"> </w:t>
      </w:r>
      <w:r w:rsidRPr="00771210">
        <w:t xml:space="preserve">standard error of DVDT estimate in stratum </w:t>
      </w:r>
      <w:r w:rsidRPr="00771210">
        <w:rPr>
          <w:rStyle w:val="Italic"/>
          <w:iCs/>
        </w:rPr>
        <w:t>h</w:t>
      </w:r>
    </w:p>
    <w:p w14:paraId="1263A6BE" w14:textId="77777777" w:rsidR="003F7B9F" w:rsidRPr="00771210" w:rsidRDefault="003F7B9F" w:rsidP="00A35EAF">
      <w:pPr>
        <w:pStyle w:val="BodyText"/>
      </w:pPr>
      <w:r w:rsidRPr="00771210">
        <w:rPr>
          <w:rStyle w:val="Italic"/>
          <w:iCs/>
        </w:rPr>
        <w:t>N</w:t>
      </w:r>
      <w:r w:rsidRPr="00771210">
        <w:rPr>
          <w:rStyle w:val="Italic"/>
          <w:iCs/>
          <w:vertAlign w:val="subscript"/>
        </w:rPr>
        <w:t>h</w:t>
      </w:r>
      <w:r>
        <w:t xml:space="preserve"> </w:t>
      </w:r>
      <w:r w:rsidRPr="00771210">
        <w:t>=</w:t>
      </w:r>
      <w:r>
        <w:t xml:space="preserve"> </w:t>
      </w:r>
      <w:r w:rsidRPr="00771210">
        <w:t xml:space="preserve">number of full extent sections in stratum </w:t>
      </w:r>
      <w:r w:rsidRPr="00771210">
        <w:rPr>
          <w:rStyle w:val="Italic"/>
          <w:iCs/>
        </w:rPr>
        <w:t>h</w:t>
      </w:r>
    </w:p>
    <w:p w14:paraId="140076AE" w14:textId="77777777" w:rsidR="003F7B9F" w:rsidRPr="00771210" w:rsidRDefault="003F7B9F" w:rsidP="00A35EAF">
      <w:pPr>
        <w:pStyle w:val="BodyText"/>
      </w:pPr>
      <w:r w:rsidRPr="00771210">
        <w:rPr>
          <w:rStyle w:val="Italic"/>
          <w:iCs/>
        </w:rPr>
        <w:t>n</w:t>
      </w:r>
      <w:r w:rsidRPr="00771210">
        <w:rPr>
          <w:rStyle w:val="Italic"/>
          <w:iCs/>
          <w:vertAlign w:val="subscript"/>
        </w:rPr>
        <w:t>h</w:t>
      </w:r>
      <w:r>
        <w:t xml:space="preserve"> </w:t>
      </w:r>
      <w:r w:rsidRPr="00771210">
        <w:t>=</w:t>
      </w:r>
      <w:r>
        <w:t xml:space="preserve"> </w:t>
      </w:r>
      <w:r w:rsidRPr="00771210">
        <w:t xml:space="preserve">number of sample sections in stratum </w:t>
      </w:r>
      <w:r w:rsidRPr="00771210">
        <w:rPr>
          <w:rStyle w:val="Italic"/>
          <w:iCs/>
        </w:rPr>
        <w:t>h</w:t>
      </w:r>
    </w:p>
    <w:p w14:paraId="70D5B8C4" w14:textId="77777777" w:rsidR="003F7B9F" w:rsidRPr="00771210" w:rsidRDefault="003F7B9F" w:rsidP="00A35EAF">
      <w:pPr>
        <w:pStyle w:val="BodyText"/>
      </w:pPr>
      <w:r w:rsidRPr="00771210">
        <w:rPr>
          <w:rStyle w:val="Italic"/>
          <w:iCs/>
        </w:rPr>
        <w:t>D</w:t>
      </w:r>
      <w:r w:rsidRPr="00771210">
        <w:rPr>
          <w:rStyle w:val="Italic"/>
          <w:iCs/>
          <w:vertAlign w:val="subscript"/>
        </w:rPr>
        <w:t>hi</w:t>
      </w:r>
      <w:r>
        <w:t xml:space="preserve"> </w:t>
      </w:r>
      <w:r w:rsidRPr="00771210">
        <w:t>=</w:t>
      </w:r>
      <w:r>
        <w:t xml:space="preserve"> </w:t>
      </w:r>
      <w:r w:rsidRPr="00771210">
        <w:t xml:space="preserve">DVDT of section </w:t>
      </w:r>
      <w:r w:rsidRPr="00771210">
        <w:rPr>
          <w:rStyle w:val="Italic"/>
          <w:iCs/>
        </w:rPr>
        <w:t>i</w:t>
      </w:r>
      <w:r w:rsidRPr="00771210">
        <w:t xml:space="preserve"> in stratum </w:t>
      </w:r>
      <w:r w:rsidRPr="00771210">
        <w:rPr>
          <w:rStyle w:val="Italic"/>
          <w:iCs/>
        </w:rPr>
        <w:t>h</w:t>
      </w:r>
    </w:p>
    <w:p w14:paraId="521E22F3" w14:textId="77777777" w:rsidR="003F7B9F" w:rsidRPr="00771210" w:rsidRDefault="003F7B9F" w:rsidP="00A35EAF">
      <w:pPr>
        <w:pStyle w:val="BodyText"/>
      </w:pPr>
      <w:r w:rsidRPr="00771210">
        <w:rPr>
          <w:rStyle w:val="Italic"/>
          <w:iCs/>
        </w:rPr>
        <w:lastRenderedPageBreak/>
        <w:t>L</w:t>
      </w:r>
      <w:r w:rsidRPr="00771210">
        <w:rPr>
          <w:rStyle w:val="Italic"/>
          <w:iCs/>
          <w:vertAlign w:val="subscript"/>
        </w:rPr>
        <w:t>hi</w:t>
      </w:r>
      <w:r>
        <w:t xml:space="preserve"> </w:t>
      </w:r>
      <w:r w:rsidRPr="00771210">
        <w:t>=</w:t>
      </w:r>
      <w:r>
        <w:t xml:space="preserve"> </w:t>
      </w:r>
      <w:r w:rsidRPr="00771210">
        <w:t xml:space="preserve">length of section i in stratum </w:t>
      </w:r>
      <w:r w:rsidRPr="00771210">
        <w:rPr>
          <w:rStyle w:val="Italic"/>
          <w:iCs/>
        </w:rPr>
        <w:t>h</w:t>
      </w:r>
      <w:r w:rsidRPr="00771210">
        <w:t>.</w:t>
      </w:r>
    </w:p>
    <w:p w14:paraId="692FA5E8" w14:textId="77777777" w:rsidR="003F7B9F" w:rsidRPr="00771210" w:rsidRDefault="003F7B9F" w:rsidP="00A35EAF">
      <w:pPr>
        <w:pStyle w:val="BodyText"/>
      </w:pPr>
      <w:r w:rsidRPr="00771210">
        <w:t>Example:</w:t>
      </w:r>
    </w:p>
    <w:p w14:paraId="63FCA91E" w14:textId="77777777" w:rsidR="003F7B9F" w:rsidRPr="00771210" w:rsidRDefault="003F7B9F" w:rsidP="00A35EAF">
      <w:pPr>
        <w:pStyle w:val="BodyText"/>
      </w:pPr>
      <w:r w:rsidRPr="00771210">
        <w:t>If:</w:t>
      </w:r>
    </w:p>
    <w:p w14:paraId="0807679D" w14:textId="74003EC8" w:rsidR="003F7B9F" w:rsidRPr="00771210" w:rsidRDefault="003F7B9F" w:rsidP="00A35EAF">
      <w:pPr>
        <w:pStyle w:val="BodyText"/>
      </w:pPr>
      <w:r w:rsidRPr="00771210">
        <w:rPr>
          <w:rStyle w:val="Italic"/>
          <w:iCs/>
        </w:rPr>
        <w:t>N</w:t>
      </w:r>
      <w:r w:rsidRPr="00771210">
        <w:rPr>
          <w:rStyle w:val="Italic"/>
          <w:iCs/>
          <w:vertAlign w:val="subscript"/>
        </w:rPr>
        <w:t>h</w:t>
      </w:r>
      <w:r w:rsidRPr="00771210">
        <w:t xml:space="preserve"> = 10</w:t>
      </w:r>
      <w:r w:rsidR="007D0053">
        <w:t xml:space="preserve">, </w:t>
      </w:r>
      <w:r w:rsidRPr="00771210">
        <w:rPr>
          <w:rStyle w:val="Italic"/>
          <w:iCs/>
        </w:rPr>
        <w:t>n</w:t>
      </w:r>
      <w:r w:rsidRPr="00771210">
        <w:rPr>
          <w:rStyle w:val="Italic"/>
          <w:iCs/>
          <w:vertAlign w:val="subscript"/>
        </w:rPr>
        <w:t>h</w:t>
      </w:r>
      <w:r w:rsidRPr="00771210">
        <w:t xml:space="preserve"> = 5</w:t>
      </w:r>
      <w:r w:rsidR="007D0053">
        <w:t>,</w:t>
      </w:r>
      <w:r w:rsidR="004D4172">
        <w:t xml:space="preserve"> </w:t>
      </w:r>
      <w:r w:rsidRPr="00771210">
        <w:rPr>
          <w:rStyle w:val="Italic"/>
          <w:iCs/>
        </w:rPr>
        <w:t>D</w:t>
      </w:r>
      <w:r w:rsidRPr="00771210">
        <w:rPr>
          <w:rStyle w:val="Italic"/>
          <w:iCs/>
          <w:vertAlign w:val="subscript"/>
        </w:rPr>
        <w:t>hi</w:t>
      </w:r>
      <w:r w:rsidRPr="00771210">
        <w:t xml:space="preserve"> = 5.00 miles</w:t>
      </w:r>
      <w:r w:rsidR="007D0053">
        <w:t xml:space="preserve">, </w:t>
      </w:r>
      <w:r w:rsidRPr="00771210">
        <w:rPr>
          <w:rStyle w:val="Italic"/>
          <w:iCs/>
        </w:rPr>
        <w:t>L</w:t>
      </w:r>
      <w:r w:rsidRPr="00771210">
        <w:rPr>
          <w:rStyle w:val="Italic"/>
          <w:iCs/>
          <w:vertAlign w:val="subscript"/>
        </w:rPr>
        <w:t>hi</w:t>
      </w:r>
      <w:r w:rsidRPr="00771210">
        <w:t xml:space="preserve"> = 1.00 mile</w:t>
      </w:r>
      <w:r w:rsidR="007D0053">
        <w:t xml:space="preserve">, then </w:t>
      </w:r>
      <w:r w:rsidRPr="00771210">
        <w:rPr>
          <w:rStyle w:val="Italic"/>
          <w:iCs/>
        </w:rPr>
        <w:t>S</w:t>
      </w:r>
      <w:r w:rsidRPr="00771210">
        <w:rPr>
          <w:rStyle w:val="Italic"/>
          <w:iCs/>
          <w:vertAlign w:val="subscript"/>
        </w:rPr>
        <w:t>h</w:t>
      </w:r>
      <w:r w:rsidRPr="00771210">
        <w:t xml:space="preserve"> =</w:t>
      </w:r>
      <w:r>
        <w:t xml:space="preserve"> </w:t>
      </w:r>
      <w:r w:rsidRPr="00771210">
        <w:t>± 5%</w:t>
      </w:r>
    </w:p>
    <w:p w14:paraId="79B66EFC" w14:textId="529E1F94" w:rsidR="007D0053" w:rsidRPr="006701AC" w:rsidRDefault="003F7B9F" w:rsidP="00A35EAF">
      <w:pPr>
        <w:pStyle w:val="BodyText"/>
        <w:rPr>
          <w:rFonts w:eastAsia="MS Mincho"/>
        </w:rPr>
      </w:pPr>
      <w:r w:rsidRPr="00771210">
        <w:t>This equation</w:t>
      </w:r>
      <w:r w:rsidR="007D0053">
        <w:t>, and a complete discussion of ratio</w:t>
      </w:r>
      <w:r w:rsidR="00C34CA9">
        <w:t>-</w:t>
      </w:r>
      <w:r w:rsidR="007D0053">
        <w:t xml:space="preserve">estimation procedures, </w:t>
      </w:r>
      <w:r w:rsidRPr="00771210">
        <w:t xml:space="preserve">is presented </w:t>
      </w:r>
      <w:r w:rsidRPr="00F374BF">
        <w:t xml:space="preserve">in </w:t>
      </w:r>
      <w:bookmarkStart w:id="2624" w:name="_Hlk76056722"/>
      <w:r w:rsidRPr="00F374BF">
        <w:rPr>
          <w:rStyle w:val="BodyTextTitleItalStylesforWordRTFImportedLists"/>
          <w:iCs/>
        </w:rPr>
        <w:t>Sampling Techniques</w:t>
      </w:r>
      <w:r w:rsidRPr="00F374BF">
        <w:t xml:space="preserve"> (Cochran 1977). </w:t>
      </w:r>
      <w:bookmarkStart w:id="2625" w:name="_Toc68874124"/>
      <w:bookmarkEnd w:id="2624"/>
      <w:r w:rsidR="007D0053" w:rsidRPr="00F374BF">
        <w:t>The estimates produced by this process are conservative since the errors introduced by using factors to develop AADT estimates have been ignored. The assumption is that these errors are normally distributed and therefore will cancel out when aggregated. The equation</w:t>
      </w:r>
      <w:r w:rsidR="007D0053" w:rsidRPr="00771210">
        <w:t xml:space="preserve"> shows that estimates of the standard error of aggregate VDT for HPMS strata are derived by summing the squared standard errors of the appropriate strata and taking the square root of the total. Coefficients of variation and confidence intervals can be derived by standard statistical procedures.</w:t>
      </w:r>
    </w:p>
    <w:p w14:paraId="66CCB6E6" w14:textId="172E4417" w:rsidR="007D0053" w:rsidRPr="00771210" w:rsidRDefault="007D0053" w:rsidP="00A35EAF">
      <w:pPr>
        <w:pStyle w:val="BodyText"/>
      </w:pPr>
      <w:r>
        <w:t xml:space="preserve">The </w:t>
      </w:r>
      <w:r w:rsidR="00FE5355">
        <w:t xml:space="preserve">example </w:t>
      </w:r>
      <w:r>
        <w:t xml:space="preserve">above provides </w:t>
      </w:r>
      <w:r w:rsidRPr="00771210">
        <w:t>a rule of thumb</w:t>
      </w:r>
      <w:r>
        <w:t xml:space="preserve"> and</w:t>
      </w:r>
      <w:r w:rsidRPr="00771210">
        <w:t xml:space="preserve"> the </w:t>
      </w:r>
      <w:r>
        <w:t xml:space="preserve">expected </w:t>
      </w:r>
      <w:r w:rsidRPr="00771210">
        <w:t>precision of statewide DVDT estimates (excluding local functional class)</w:t>
      </w:r>
      <w:r>
        <w:t>.</w:t>
      </w:r>
      <w:r w:rsidRPr="00771210">
        <w:t xml:space="preserve"> Because of this assumption, precision estimates are conservative. Computation of annual DVDT estimates with the complete HPMS standard sample by using the AADT from each HPMS standard sample would be expected to approximate the stated precision. It is important to note that precision and accuracy are different concepts. For example, traffic volumes </w:t>
      </w:r>
      <w:r w:rsidR="00C00888">
        <w:t xml:space="preserve">can vary </w:t>
      </w:r>
      <w:r w:rsidRPr="00771210">
        <w:t>from year</w:t>
      </w:r>
      <w:r w:rsidR="00C00888">
        <w:t xml:space="preserve"> </w:t>
      </w:r>
      <w:r w:rsidRPr="00771210">
        <w:t>to</w:t>
      </w:r>
      <w:r w:rsidR="00C00888">
        <w:t xml:space="preserve"> </w:t>
      </w:r>
      <w:r w:rsidRPr="00771210">
        <w:t xml:space="preserve">year but still </w:t>
      </w:r>
      <w:r w:rsidR="00C00888">
        <w:t>yield</w:t>
      </w:r>
      <w:r w:rsidR="00C00888" w:rsidRPr="00771210">
        <w:t xml:space="preserve"> </w:t>
      </w:r>
      <w:r w:rsidRPr="00771210">
        <w:t>accurate</w:t>
      </w:r>
      <w:r>
        <w:t xml:space="preserve"> (i.e.</w:t>
      </w:r>
      <w:r w:rsidR="00C00888">
        <w:t>,</w:t>
      </w:r>
      <w:r>
        <w:t xml:space="preserve"> unbiased)</w:t>
      </w:r>
      <w:r w:rsidRPr="00771210">
        <w:t xml:space="preserve"> volume</w:t>
      </w:r>
      <w:r>
        <w:t xml:space="preserve"> e</w:t>
      </w:r>
      <w:r w:rsidRPr="00771210">
        <w:t>s</w:t>
      </w:r>
      <w:r>
        <w:t>timates</w:t>
      </w:r>
      <w:r w:rsidRPr="00771210">
        <w:t>.</w:t>
      </w:r>
    </w:p>
    <w:p w14:paraId="72CF54B2" w14:textId="50E84C3A" w:rsidR="003F7B9F" w:rsidRPr="00F202FA" w:rsidRDefault="003F7B9F">
      <w:pPr>
        <w:pStyle w:val="Heading3"/>
      </w:pPr>
      <w:bookmarkStart w:id="2626" w:name="_Toc324246193"/>
      <w:bookmarkStart w:id="2627" w:name="AADTV24"/>
      <w:bookmarkStart w:id="2628" w:name="_Toc324780214"/>
      <w:bookmarkStart w:id="2629" w:name="_Ref335300232"/>
      <w:bookmarkStart w:id="2630" w:name="_Toc335302497"/>
      <w:bookmarkStart w:id="2631" w:name="_Toc63977929"/>
      <w:bookmarkStart w:id="2632" w:name="_Toc63982677"/>
      <w:bookmarkStart w:id="2633" w:name="_Toc68190245"/>
      <w:bookmarkStart w:id="2634" w:name="_Toc118205669"/>
      <w:bookmarkEnd w:id="2625"/>
      <w:r w:rsidRPr="00F202FA">
        <w:t xml:space="preserve">Estimating Annual Average Daily Traffic Volumes from </w:t>
      </w:r>
      <w:r w:rsidR="005C71DE" w:rsidRPr="00F202FA">
        <w:t>S</w:t>
      </w:r>
      <w:r w:rsidR="00FE5355" w:rsidRPr="00F202FA">
        <w:t>h</w:t>
      </w:r>
      <w:r w:rsidR="005C71DE" w:rsidRPr="00F202FA">
        <w:t xml:space="preserve">ort-Term </w:t>
      </w:r>
      <w:r w:rsidR="0045795E" w:rsidRPr="00F202FA">
        <w:t>Counts</w:t>
      </w:r>
      <w:r w:rsidR="005C71DE" w:rsidRPr="00F202FA">
        <w:t xml:space="preserve"> of </w:t>
      </w:r>
      <w:r w:rsidRPr="00F202FA">
        <w:t>More Than 24-Hour</w:t>
      </w:r>
      <w:bookmarkEnd w:id="2626"/>
      <w:bookmarkEnd w:id="2627"/>
      <w:bookmarkEnd w:id="2628"/>
      <w:bookmarkEnd w:id="2629"/>
      <w:bookmarkEnd w:id="2630"/>
      <w:bookmarkEnd w:id="2631"/>
      <w:bookmarkEnd w:id="2632"/>
      <w:bookmarkEnd w:id="2633"/>
      <w:r w:rsidR="005C71DE" w:rsidRPr="00F202FA">
        <w:t>s</w:t>
      </w:r>
      <w:bookmarkEnd w:id="2634"/>
    </w:p>
    <w:p w14:paraId="16F127F4" w14:textId="67366775" w:rsidR="003F7B9F" w:rsidRPr="00771210" w:rsidRDefault="003F7B9F" w:rsidP="00A35EAF">
      <w:pPr>
        <w:pStyle w:val="BodyText"/>
      </w:pPr>
      <w:r>
        <w:t>When</w:t>
      </w:r>
      <w:r w:rsidRPr="00771210">
        <w:t xml:space="preserve"> the data are collected cover 48 or more hours, the data should be summarized to represent a single daily count. This can be accomplished in two ways, depending on how the factoring process is performed</w:t>
      </w:r>
      <w:r w:rsidR="002E4B64">
        <w:t>:</w:t>
      </w:r>
    </w:p>
    <w:p w14:paraId="3C9675B6" w14:textId="33F397EB" w:rsidR="003F7B9F" w:rsidRPr="00420298" w:rsidRDefault="003F7B9F">
      <w:pPr>
        <w:pStyle w:val="TMGBullet"/>
        <w:contextualSpacing w:val="0"/>
        <w:rPr>
          <w:rFonts w:eastAsiaTheme="minorEastAsia"/>
        </w:rPr>
      </w:pPr>
      <w:r w:rsidRPr="00420298">
        <w:rPr>
          <w:rFonts w:eastAsiaTheme="minorEastAsia"/>
        </w:rPr>
        <w:t xml:space="preserve">If individual DOW factors are used (e.g., a different factor for Tuesdays than for Wednesdays), then each </w:t>
      </w:r>
      <w:r w:rsidR="00C237D6">
        <w:rPr>
          <w:rFonts w:eastAsiaTheme="minorEastAsia"/>
        </w:rPr>
        <w:br/>
      </w:r>
      <w:r w:rsidRPr="00420298">
        <w:rPr>
          <w:rFonts w:eastAsiaTheme="minorEastAsia"/>
        </w:rPr>
        <w:t>24-hour count can be converted into an estimate of annual average daily traffic, and the different daily values averaged into a single estimate of AADT.</w:t>
      </w:r>
    </w:p>
    <w:p w14:paraId="732E9830" w14:textId="77777777" w:rsidR="003F7B9F" w:rsidRPr="00420298" w:rsidRDefault="003F7B9F">
      <w:pPr>
        <w:pStyle w:val="TMGBullet"/>
        <w:rPr>
          <w:rFonts w:eastAsiaTheme="minorEastAsia"/>
        </w:rPr>
      </w:pPr>
      <w:r w:rsidRPr="00420298">
        <w:rPr>
          <w:rFonts w:eastAsiaTheme="minorEastAsia"/>
        </w:rPr>
        <w:t>If a general DOW adjustment (e.g., a single weekday to average DOW adjustment), the individual time increment volumes can be averaged. (Only data for complete hours should be used. Partial hours should be discarded.) These averages are then totaled to produce a single daily volume, which can then be adjusted for seasonality and day of week.</w:t>
      </w:r>
    </w:p>
    <w:p w14:paraId="12F8F87F" w14:textId="569CA9B6" w:rsidR="006A406F" w:rsidRPr="00530CF5" w:rsidRDefault="003F7B9F" w:rsidP="00A35EAF">
      <w:pPr>
        <w:pStyle w:val="BodyText"/>
      </w:pPr>
      <w:r>
        <w:t>Using extra hours of more than 48 but under 72 is recommended by FHWA.</w:t>
      </w:r>
      <w:r w:rsidR="004D4172">
        <w:t xml:space="preserve"> </w:t>
      </w:r>
      <w:r>
        <w:t xml:space="preserve">However, it is not recommended to truncate a 50-hour count to just 48 to fit the </w:t>
      </w:r>
      <w:r w:rsidR="0045795E">
        <w:t>2-day</w:t>
      </w:r>
      <w:r>
        <w:t xml:space="preserve"> count number of hours needed.</w:t>
      </w:r>
      <w:r w:rsidR="004D4172">
        <w:t xml:space="preserve"> </w:t>
      </w:r>
      <w:r>
        <w:t>Utilizing the extra hours collected improve the resultant ADT to AADT values.</w:t>
      </w:r>
      <w:bookmarkStart w:id="2635" w:name="_Toc68190246"/>
      <w:r w:rsidR="006A406F">
        <w:t xml:space="preserve"> Use of the new FHWA </w:t>
      </w:r>
      <w:r w:rsidR="006A406F" w:rsidRPr="00643085">
        <w:t>method of calculating AADTs provide</w:t>
      </w:r>
      <w:r w:rsidR="002E4B64">
        <w:t>s</w:t>
      </w:r>
      <w:r w:rsidR="006A406F" w:rsidRPr="00643085">
        <w:t xml:space="preserve"> less</w:t>
      </w:r>
      <w:r w:rsidR="00530CF5">
        <w:t xml:space="preserve"> </w:t>
      </w:r>
      <w:r w:rsidR="006A406F" w:rsidRPr="00643085">
        <w:t>biased and more accurate results than other methods</w:t>
      </w:r>
      <w:r w:rsidR="006A406F">
        <w:t>,</w:t>
      </w:r>
      <w:r w:rsidR="006A406F" w:rsidRPr="00643085">
        <w:t xml:space="preserve"> such as the </w:t>
      </w:r>
      <w:r w:rsidR="006A406F" w:rsidRPr="00F374BF">
        <w:t>AASHTO method</w:t>
      </w:r>
      <w:r w:rsidR="00096D0E">
        <w:t xml:space="preserve">. </w:t>
      </w:r>
      <w:r w:rsidR="006A406F" w:rsidRPr="00F374BF">
        <w:t>There is a</w:t>
      </w:r>
      <w:r w:rsidR="00FE5355">
        <w:t xml:space="preserve"> published</w:t>
      </w:r>
      <w:r w:rsidR="006A406F" w:rsidRPr="00F374BF">
        <w:t xml:space="preserve"> informational guide from this research that describes four preparation</w:t>
      </w:r>
      <w:r w:rsidR="006A406F" w:rsidRPr="00643085">
        <w:t xml:space="preserve"> steps for safety data integration and an eight-step process for developing a random stratified sampling scheme and AADT estimates for non-Federal aid-system (</w:t>
      </w:r>
      <w:r w:rsidR="006A406F" w:rsidRPr="00530CF5">
        <w:t>NFAS) roads</w:t>
      </w:r>
      <w:r w:rsidR="00FE5355" w:rsidRPr="00530CF5">
        <w:t xml:space="preserve"> </w:t>
      </w:r>
      <w:r w:rsidR="00096D0E" w:rsidRPr="00F374BF">
        <w:t>(</w:t>
      </w:r>
      <w:bookmarkStart w:id="2636" w:name="_Hlk76056761"/>
      <w:r w:rsidR="00096D0E" w:rsidRPr="00F374BF">
        <w:t xml:space="preserve">see </w:t>
      </w:r>
      <w:r w:rsidR="00096D0E" w:rsidRPr="00F374BF">
        <w:rPr>
          <w:i/>
          <w:iCs/>
        </w:rPr>
        <w:t xml:space="preserve">Collection and Estimation of AADT on Lower-Volume Roads </w:t>
      </w:r>
      <w:r w:rsidR="00096D0E" w:rsidRPr="00F374BF">
        <w:t>(Tsapakis 2016))</w:t>
      </w:r>
      <w:bookmarkEnd w:id="2636"/>
      <w:r w:rsidR="00096D0E" w:rsidRPr="00F374BF">
        <w:t>.</w:t>
      </w:r>
    </w:p>
    <w:p w14:paraId="7461EECF" w14:textId="55B5AEFD" w:rsidR="006A406F" w:rsidRDefault="006A406F" w:rsidP="00A35EAF">
      <w:pPr>
        <w:pStyle w:val="BodyText"/>
      </w:pPr>
      <w:r>
        <w:t xml:space="preserve">Short-term volume counts require several adjustments to convert a daily traffic volume raw count into an estimate of AADT. </w:t>
      </w:r>
      <w:r w:rsidRPr="007A6ECE">
        <w:t xml:space="preserve">See </w:t>
      </w:r>
      <w:r w:rsidR="007A6ECE">
        <w:t>S</w:t>
      </w:r>
      <w:r w:rsidRPr="007A6ECE">
        <w:t xml:space="preserve">ection 3.4.9 </w:t>
      </w:r>
      <w:r>
        <w:t>for computational details.</w:t>
      </w:r>
    </w:p>
    <w:p w14:paraId="640C456F" w14:textId="6C1370C2" w:rsidR="003F7B9F" w:rsidRPr="00D1690E" w:rsidRDefault="003F7B9F">
      <w:pPr>
        <w:pStyle w:val="Heading3"/>
      </w:pPr>
      <w:bookmarkStart w:id="2637" w:name="_Toc118205670"/>
      <w:r w:rsidRPr="00D1690E">
        <w:t>Estimating Annual Average Daily Truck Traffic Volumes from Short-Term Counts</w:t>
      </w:r>
      <w:bookmarkEnd w:id="2635"/>
      <w:bookmarkEnd w:id="2637"/>
    </w:p>
    <w:p w14:paraId="45D09FF8" w14:textId="517D4685" w:rsidR="003F7B9F" w:rsidRDefault="003F7B9F" w:rsidP="00A35EAF">
      <w:pPr>
        <w:pStyle w:val="BodyText"/>
      </w:pPr>
      <w:r w:rsidRPr="00771210">
        <w:t xml:space="preserve">Computation of AADTT (by vehicle class) from a </w:t>
      </w:r>
      <w:r>
        <w:t>short-term</w:t>
      </w:r>
      <w:r w:rsidRPr="00771210">
        <w:t xml:space="preserve"> count requires the application of one or more factors that account for differences in </w:t>
      </w:r>
      <w:r w:rsidR="008E4FAD">
        <w:t>TOD</w:t>
      </w:r>
      <w:r w:rsidRPr="00771210">
        <w:t xml:space="preserve">, </w:t>
      </w:r>
      <w:r w:rsidRPr="00F019FF">
        <w:t>DOW, and monthly (seasonal</w:t>
      </w:r>
      <w:r w:rsidRPr="00771210">
        <w:t xml:space="preserve">) </w:t>
      </w:r>
      <w:r>
        <w:t>travel by vehicle type</w:t>
      </w:r>
      <w:r w:rsidRPr="00771210">
        <w:t xml:space="preserve"> traffic patterns. These adjustments are the same as those applied to traditional volume counts, except that they should be applied by individual vehicle classification when working with classification count data.</w:t>
      </w:r>
    </w:p>
    <w:p w14:paraId="6F95D577" w14:textId="5598E0F1" w:rsidR="003F7B9F" w:rsidRPr="00D1690E" w:rsidRDefault="003F7B9F">
      <w:pPr>
        <w:pStyle w:val="Heading2"/>
      </w:pPr>
      <w:bookmarkStart w:id="2638" w:name="_Toc325034102"/>
      <w:bookmarkStart w:id="2639" w:name="_Toc27475739"/>
      <w:bookmarkStart w:id="2640" w:name="_Toc45604667"/>
      <w:bookmarkStart w:id="2641" w:name="_Toc68190247"/>
      <w:bookmarkStart w:id="2642" w:name="_Toc68864949"/>
      <w:bookmarkStart w:id="2643" w:name="_Toc114474735"/>
      <w:bookmarkStart w:id="2644" w:name="_Toc118205671"/>
      <w:r w:rsidRPr="00D1690E">
        <w:lastRenderedPageBreak/>
        <w:t>Factors</w:t>
      </w:r>
      <w:bookmarkEnd w:id="2638"/>
      <w:bookmarkEnd w:id="2639"/>
      <w:bookmarkEnd w:id="2640"/>
      <w:bookmarkEnd w:id="2641"/>
      <w:bookmarkEnd w:id="2642"/>
      <w:bookmarkEnd w:id="2643"/>
      <w:bookmarkEnd w:id="2644"/>
    </w:p>
    <w:p w14:paraId="622B3768" w14:textId="06E9005E" w:rsidR="003F7B9F" w:rsidRPr="00F019FF" w:rsidRDefault="003F7B9F" w:rsidP="00A35EAF">
      <w:pPr>
        <w:pStyle w:val="BodyText"/>
      </w:pPr>
      <w:r w:rsidRPr="007D2334">
        <w:t xml:space="preserve">There are two </w:t>
      </w:r>
      <w:r>
        <w:t>categories</w:t>
      </w:r>
      <w:r w:rsidRPr="007D2334">
        <w:t xml:space="preserve"> of factors</w:t>
      </w:r>
      <w:r w:rsidR="008E4FAD">
        <w:t>—</w:t>
      </w:r>
      <w:r w:rsidRPr="007D2334">
        <w:t xml:space="preserve">one is the annualization of traffic data and the other is for traffic engineering analyses. A factor </w:t>
      </w:r>
      <w:r w:rsidRPr="00F019FF">
        <w:t xml:space="preserve">is a number that represents a ratio of one number to another number. K, D, T, and peak hour factor are factors best computed from data collected at continuous count stations and are used in engineering analyses. </w:t>
      </w:r>
      <w:r>
        <w:t xml:space="preserve">The </w:t>
      </w:r>
      <w:bookmarkStart w:id="2645" w:name="_Hlk76056830"/>
      <w:r>
        <w:t xml:space="preserve">FHWA </w:t>
      </w:r>
      <w:r w:rsidRPr="007A6ECE">
        <w:rPr>
          <w:i/>
          <w:iCs/>
        </w:rPr>
        <w:t>Traffic Data Computation Method Pocket Guide</w:t>
      </w:r>
      <w:r>
        <w:t xml:space="preserve"> </w:t>
      </w:r>
      <w:bookmarkEnd w:id="2645"/>
      <w:r w:rsidR="00F374BF">
        <w:t xml:space="preserve">(FHWA 2018) </w:t>
      </w:r>
      <w:r w:rsidRPr="004F7D8B">
        <w:t>is an excellent source</w:t>
      </w:r>
      <w:r>
        <w:t xml:space="preserve"> of information about computing different traffic parameters, including factors.</w:t>
      </w:r>
    </w:p>
    <w:p w14:paraId="2EF97051" w14:textId="155A6337" w:rsidR="003F7B9F" w:rsidRDefault="003F7B9F" w:rsidP="00A35EAF">
      <w:pPr>
        <w:pStyle w:val="BodyText"/>
      </w:pPr>
      <w:r w:rsidRPr="00F019FF">
        <w:t xml:space="preserve">The temporal factors </w:t>
      </w:r>
      <w:r w:rsidR="0045795E" w:rsidRPr="00F019FF">
        <w:t>are</w:t>
      </w:r>
      <w:r w:rsidRPr="00F019FF">
        <w:t xml:space="preserve"> time-of-day (TOD), day-of-week (DOW), month-of-year (MOY) and </w:t>
      </w:r>
      <w:r w:rsidR="008E4FAD">
        <w:t>y</w:t>
      </w:r>
      <w:r w:rsidRPr="00F019FF">
        <w:t>ear</w:t>
      </w:r>
      <w:r w:rsidR="008E4FAD">
        <w:t>-</w:t>
      </w:r>
      <w:r w:rsidRPr="00F019FF">
        <w:t>to</w:t>
      </w:r>
      <w:r w:rsidR="008E4FAD">
        <w:t>-y</w:t>
      </w:r>
      <w:r w:rsidRPr="00F019FF">
        <w:t>ear (YTY) factors</w:t>
      </w:r>
      <w:r>
        <w:t>. These factors</w:t>
      </w:r>
      <w:r w:rsidRPr="00F019FF">
        <w:t xml:space="preserve"> are computed from continuous count station data for use in adjusting short</w:t>
      </w:r>
      <w:r>
        <w:t xml:space="preserve">-term </w:t>
      </w:r>
      <w:r w:rsidRPr="00F019FF">
        <w:t>count data to estimates of AADT.</w:t>
      </w:r>
      <w:r>
        <w:t xml:space="preserve"> </w:t>
      </w:r>
    </w:p>
    <w:p w14:paraId="475D958A" w14:textId="619E8E8C" w:rsidR="006A406F" w:rsidRPr="00D1690E" w:rsidRDefault="006A406F">
      <w:pPr>
        <w:pStyle w:val="Heading3"/>
      </w:pPr>
      <w:bookmarkStart w:id="2646" w:name="_Toc118205672"/>
      <w:r w:rsidRPr="00D1690E">
        <w:t>Temporal Factors</w:t>
      </w:r>
      <w:bookmarkEnd w:id="2646"/>
    </w:p>
    <w:p w14:paraId="7D0888AC" w14:textId="1FBC6F07" w:rsidR="006A406F" w:rsidRPr="00530CF5" w:rsidRDefault="006A406F" w:rsidP="00A35EAF">
      <w:pPr>
        <w:pStyle w:val="BodyText"/>
        <w:rPr>
          <w:rFonts w:ascii="Cambria" w:hAnsi="Cambria"/>
          <w:i/>
          <w:iCs/>
          <w:sz w:val="22"/>
          <w:szCs w:val="22"/>
        </w:rPr>
      </w:pPr>
      <w:r w:rsidRPr="00530CF5">
        <w:rPr>
          <w:rFonts w:ascii="Cambria" w:hAnsi="Cambria"/>
          <w:i/>
          <w:iCs/>
          <w:sz w:val="22"/>
          <w:szCs w:val="22"/>
        </w:rPr>
        <w:t>Time-of-Day Factoring</w:t>
      </w:r>
    </w:p>
    <w:p w14:paraId="4B7035E1" w14:textId="55CB3D75" w:rsidR="006A406F" w:rsidRPr="00F019FF" w:rsidRDefault="006A406F" w:rsidP="00A35EAF">
      <w:pPr>
        <w:pStyle w:val="BodyText"/>
      </w:pPr>
      <w:r w:rsidRPr="00F019FF">
        <w:t xml:space="preserve">TOD factoring is </w:t>
      </w:r>
      <w:r w:rsidR="007A6ECE">
        <w:t>a</w:t>
      </w:r>
      <w:r w:rsidR="008E4FAD">
        <w:t>n</w:t>
      </w:r>
      <w:r w:rsidR="007A6ECE">
        <w:t xml:space="preserve"> </w:t>
      </w:r>
      <w:r w:rsidRPr="00F019FF">
        <w:t>FHWA</w:t>
      </w:r>
      <w:r w:rsidR="008E4FAD">
        <w:t>-</w:t>
      </w:r>
      <w:r w:rsidRPr="00F019FF">
        <w:t>recommended methodology that should be implemented in traffic data processing software.</w:t>
      </w:r>
      <w:r>
        <w:t xml:space="preserve"> TOD factors are used to estimate daily volume from less</w:t>
      </w:r>
      <w:r w:rsidR="0045795E">
        <w:t>-</w:t>
      </w:r>
      <w:r>
        <w:t>than</w:t>
      </w:r>
      <w:r w:rsidR="0045795E">
        <w:t>-</w:t>
      </w:r>
      <w:r>
        <w:t>24</w:t>
      </w:r>
      <w:r w:rsidR="0045795E">
        <w:t>-</w:t>
      </w:r>
      <w:r>
        <w:t xml:space="preserve">hour samples. </w:t>
      </w:r>
      <w:r w:rsidRPr="00F019FF">
        <w:t>Currently</w:t>
      </w:r>
      <w:r w:rsidR="008E4FAD">
        <w:t>,</w:t>
      </w:r>
      <w:r w:rsidRPr="00F019FF">
        <w:t xml:space="preserve"> several DOTs use a traffic data processing software platform that does not support or provide the features to support TOD factoring.</w:t>
      </w:r>
    </w:p>
    <w:p w14:paraId="2ACFDB45" w14:textId="71019FF2" w:rsidR="006A406F" w:rsidRPr="00530CF5" w:rsidRDefault="006A406F" w:rsidP="00A35EAF">
      <w:pPr>
        <w:pStyle w:val="BodyText"/>
        <w:rPr>
          <w:rFonts w:ascii="Cambria" w:hAnsi="Cambria"/>
          <w:i/>
          <w:iCs/>
          <w:sz w:val="22"/>
          <w:szCs w:val="22"/>
        </w:rPr>
      </w:pPr>
      <w:r w:rsidRPr="00530CF5">
        <w:rPr>
          <w:rFonts w:ascii="Cambria" w:hAnsi="Cambria"/>
          <w:i/>
          <w:iCs/>
          <w:sz w:val="22"/>
          <w:szCs w:val="22"/>
        </w:rPr>
        <w:t>Day-of-Week Factoring</w:t>
      </w:r>
    </w:p>
    <w:p w14:paraId="031BBA71" w14:textId="7514C4F2" w:rsidR="006A406F" w:rsidRPr="00F019FF" w:rsidRDefault="008E4FAD" w:rsidP="00A35EAF">
      <w:pPr>
        <w:pStyle w:val="BodyText"/>
      </w:pPr>
      <w:r>
        <w:t>DOW</w:t>
      </w:r>
      <w:r w:rsidR="006A406F" w:rsidRPr="00F019FF">
        <w:t xml:space="preserve"> factors are used to correct for bias according to the day of the week. For example, Maine uses a DOW factor that averages </w:t>
      </w:r>
      <w:r w:rsidR="006A406F" w:rsidRPr="00F01A92">
        <w:t xml:space="preserve">each hour of the day for Monday, beginning at midnight and ending on Friday at noon. This factoring process is possible in the state of Maine because 98% of </w:t>
      </w:r>
      <w:r>
        <w:t>the</w:t>
      </w:r>
      <w:r w:rsidRPr="00F01A92">
        <w:t xml:space="preserve"> </w:t>
      </w:r>
      <w:r w:rsidR="006A406F" w:rsidRPr="00F01A92">
        <w:t>short-term counts are collected during the same timeframe in which the DOW factor is calculated.</w:t>
      </w:r>
    </w:p>
    <w:p w14:paraId="59CC2265" w14:textId="29D078A7" w:rsidR="006A406F" w:rsidRPr="00530CF5" w:rsidRDefault="006A406F" w:rsidP="00A35EAF">
      <w:pPr>
        <w:pStyle w:val="BodyText"/>
        <w:rPr>
          <w:rFonts w:ascii="Cambria" w:hAnsi="Cambria"/>
          <w:i/>
          <w:iCs/>
          <w:sz w:val="22"/>
          <w:szCs w:val="22"/>
        </w:rPr>
      </w:pPr>
      <w:r w:rsidRPr="00530CF5">
        <w:rPr>
          <w:rFonts w:ascii="Cambria" w:hAnsi="Cambria"/>
          <w:i/>
          <w:iCs/>
          <w:sz w:val="22"/>
          <w:szCs w:val="22"/>
        </w:rPr>
        <w:t>Month</w:t>
      </w:r>
      <w:r w:rsidR="001F3EA2">
        <w:rPr>
          <w:rFonts w:ascii="Cambria" w:hAnsi="Cambria"/>
          <w:i/>
          <w:iCs/>
          <w:sz w:val="22"/>
          <w:szCs w:val="22"/>
        </w:rPr>
        <w:t>-</w:t>
      </w:r>
      <w:r w:rsidRPr="00530CF5">
        <w:rPr>
          <w:rFonts w:ascii="Cambria" w:hAnsi="Cambria"/>
          <w:i/>
          <w:iCs/>
          <w:sz w:val="22"/>
          <w:szCs w:val="22"/>
        </w:rPr>
        <w:t>of</w:t>
      </w:r>
      <w:r w:rsidR="001F3EA2">
        <w:rPr>
          <w:rFonts w:ascii="Cambria" w:hAnsi="Cambria"/>
          <w:i/>
          <w:iCs/>
          <w:sz w:val="22"/>
          <w:szCs w:val="22"/>
        </w:rPr>
        <w:t>-</w:t>
      </w:r>
      <w:r w:rsidRPr="00530CF5">
        <w:rPr>
          <w:rFonts w:ascii="Cambria" w:hAnsi="Cambria"/>
          <w:i/>
          <w:iCs/>
          <w:sz w:val="22"/>
          <w:szCs w:val="22"/>
        </w:rPr>
        <w:t>Year Factoring</w:t>
      </w:r>
    </w:p>
    <w:p w14:paraId="07505005" w14:textId="07B785A0" w:rsidR="006A406F" w:rsidRPr="00F019FF" w:rsidRDefault="006A406F" w:rsidP="00A35EAF">
      <w:pPr>
        <w:pStyle w:val="BodyText"/>
      </w:pPr>
      <w:r w:rsidRPr="00F019FF">
        <w:t xml:space="preserve">The monthly factor is used to correct for </w:t>
      </w:r>
      <w:r w:rsidR="008E4FAD">
        <w:t>MOY</w:t>
      </w:r>
      <w:r w:rsidRPr="00F019FF">
        <w:t xml:space="preserve"> bias in short-term counts. </w:t>
      </w:r>
      <w:bookmarkStart w:id="2647" w:name="_Hlk115094176"/>
      <w:r w:rsidRPr="00F019FF">
        <w:t xml:space="preserve">Directions on how to create and apply monthly factors are provided in the general discussion of factoring in </w:t>
      </w:r>
      <w:r w:rsidR="008E4FAD">
        <w:t>S</w:t>
      </w:r>
      <w:r w:rsidRPr="00F019FF">
        <w:t>ection 3.2.</w:t>
      </w:r>
      <w:r w:rsidR="001F3EA2">
        <w:t>5</w:t>
      </w:r>
      <w:r w:rsidRPr="00F019FF">
        <w:t xml:space="preserve"> Step </w:t>
      </w:r>
      <w:r w:rsidR="001F3EA2">
        <w:t>4</w:t>
      </w:r>
      <w:r w:rsidRPr="00F019FF">
        <w:t xml:space="preserve">. </w:t>
      </w:r>
      <w:bookmarkEnd w:id="2647"/>
      <w:r w:rsidRPr="00F019FF">
        <w:t xml:space="preserve">Those procedures are recommended for the HPMS reporting, discussed further </w:t>
      </w:r>
      <w:r w:rsidRPr="000D7942">
        <w:t>in Chapter 5.</w:t>
      </w:r>
      <w:r w:rsidRPr="00F019FF">
        <w:t xml:space="preserve"> States may choose to select alternative monthly adjustment procedures if they have performed the analytical work necessary to document the applicability of their chosen procedure. </w:t>
      </w:r>
    </w:p>
    <w:p w14:paraId="2F1A7355" w14:textId="62D07F56" w:rsidR="006A406F" w:rsidRPr="00530CF5" w:rsidRDefault="006A406F" w:rsidP="00A35EAF">
      <w:pPr>
        <w:pStyle w:val="BodyText"/>
        <w:rPr>
          <w:rFonts w:ascii="Cambria" w:hAnsi="Cambria"/>
          <w:i/>
          <w:iCs/>
          <w:sz w:val="22"/>
          <w:szCs w:val="22"/>
        </w:rPr>
      </w:pPr>
      <w:r w:rsidRPr="00530CF5">
        <w:rPr>
          <w:rFonts w:ascii="Cambria" w:hAnsi="Cambria"/>
          <w:i/>
          <w:iCs/>
          <w:sz w:val="22"/>
          <w:szCs w:val="22"/>
        </w:rPr>
        <w:t>Year-to-Year</w:t>
      </w:r>
      <w:r w:rsidR="004D4172" w:rsidRPr="00530CF5">
        <w:rPr>
          <w:rFonts w:ascii="Cambria" w:hAnsi="Cambria"/>
          <w:i/>
          <w:iCs/>
          <w:sz w:val="22"/>
          <w:szCs w:val="22"/>
        </w:rPr>
        <w:t xml:space="preserve"> </w:t>
      </w:r>
      <w:r w:rsidRPr="00530CF5">
        <w:rPr>
          <w:rFonts w:ascii="Cambria" w:hAnsi="Cambria"/>
          <w:i/>
          <w:iCs/>
          <w:sz w:val="22"/>
          <w:szCs w:val="22"/>
        </w:rPr>
        <w:t>Factoring</w:t>
      </w:r>
    </w:p>
    <w:p w14:paraId="24C76177" w14:textId="64D6C76E" w:rsidR="006A406F" w:rsidRPr="00F019FF" w:rsidRDefault="006A406F" w:rsidP="00A35EAF">
      <w:pPr>
        <w:pStyle w:val="BodyText"/>
      </w:pPr>
      <w:r w:rsidRPr="00F019FF">
        <w:t>States use a YTY factor to account for increases and decreases in traffic volume from year to year.</w:t>
      </w:r>
      <w:r w:rsidR="004D4172">
        <w:t xml:space="preserve"> </w:t>
      </w:r>
      <w:r w:rsidRPr="00F019FF">
        <w:t xml:space="preserve">For example, in Washington State, the same factor groups as used for </w:t>
      </w:r>
      <w:r w:rsidR="00777094">
        <w:t>DOW</w:t>
      </w:r>
      <w:r w:rsidRPr="00F019FF">
        <w:t xml:space="preserve"> and </w:t>
      </w:r>
      <w:r w:rsidR="00777094">
        <w:t>MOY</w:t>
      </w:r>
      <w:r w:rsidRPr="00F019FF">
        <w:t xml:space="preserve"> factoring are used for </w:t>
      </w:r>
      <w:r w:rsidR="00777094">
        <w:t>YTY</w:t>
      </w:r>
      <w:r w:rsidRPr="00F019FF">
        <w:t xml:space="preserve"> factoring. Not having distinct growth factor groups can produce sub-optimal results (particularly for the more rural groups and when the groups are not partially defined by geographic area) but no special work is needed to maintain them (a</w:t>
      </w:r>
      <w:r w:rsidR="00C237D6">
        <w:t> </w:t>
      </w:r>
      <w:r w:rsidRPr="00F019FF">
        <w:t>benefit given how much effort is already put into maintaining and refining factor groups).</w:t>
      </w:r>
      <w:r w:rsidR="004D4172">
        <w:t xml:space="preserve"> </w:t>
      </w:r>
    </w:p>
    <w:p w14:paraId="0FF2E70D" w14:textId="16BE3EA6" w:rsidR="006A406F" w:rsidRDefault="006A406F" w:rsidP="00A35EAF">
      <w:pPr>
        <w:pStyle w:val="BodyText"/>
      </w:pPr>
      <w:r w:rsidRPr="00F019FF">
        <w:t xml:space="preserve">Another example of YTY factoring is from North Carolina where the </w:t>
      </w:r>
      <w:r w:rsidR="00777094">
        <w:t>S</w:t>
      </w:r>
      <w:r w:rsidRPr="00F019FF">
        <w:t>tate DOT has implemented a county</w:t>
      </w:r>
      <w:r w:rsidR="00777094">
        <w:t>-</w:t>
      </w:r>
      <w:r w:rsidRPr="00F019FF">
        <w:t>level factoring process. This is an effective factoring method in North Carolina because the variation of traffic volume from county to county is high</w:t>
      </w:r>
      <w:r w:rsidR="00777094">
        <w:t>,</w:t>
      </w:r>
      <w:r w:rsidRPr="00F019FF">
        <w:t xml:space="preserve"> and some rural counties are experiencing a decline in population where other urban areas are gaining population.</w:t>
      </w:r>
      <w:r>
        <w:t xml:space="preserve"> </w:t>
      </w:r>
      <w:r w:rsidRPr="00F019FF">
        <w:t>States should consider developing different YTY factors by vehicle type.</w:t>
      </w:r>
      <w:r>
        <w:t xml:space="preserve"> </w:t>
      </w:r>
    </w:p>
    <w:p w14:paraId="7496A8DF" w14:textId="5BEFE1DB" w:rsidR="006A406F" w:rsidRPr="00F019FF" w:rsidRDefault="006A406F" w:rsidP="00A35EAF">
      <w:pPr>
        <w:pStyle w:val="BodyText"/>
      </w:pPr>
      <w:r>
        <w:t xml:space="preserve">Example of various factors can be found in </w:t>
      </w:r>
      <w:r w:rsidRPr="00E95974">
        <w:t xml:space="preserve">Appendix </w:t>
      </w:r>
      <w:r w:rsidR="00E95974" w:rsidRPr="00E95974">
        <w:t>J</w:t>
      </w:r>
      <w:r w:rsidRPr="00E95974">
        <w:t>.</w:t>
      </w:r>
    </w:p>
    <w:p w14:paraId="32569D9B" w14:textId="6CB65DD5" w:rsidR="003F7B9F" w:rsidRPr="00D1690E" w:rsidRDefault="003F7B9F">
      <w:pPr>
        <w:pStyle w:val="Heading3"/>
      </w:pPr>
      <w:bookmarkStart w:id="2648" w:name="_Ref335300238"/>
      <w:bookmarkStart w:id="2649" w:name="_Ref335301590"/>
      <w:bookmarkStart w:id="2650" w:name="_Toc68190248"/>
      <w:bookmarkStart w:id="2651" w:name="_Toc118205673"/>
      <w:r w:rsidRPr="00D1690E">
        <w:t>Axle Correction Factor</w:t>
      </w:r>
      <w:bookmarkEnd w:id="2648"/>
      <w:bookmarkEnd w:id="2649"/>
      <w:bookmarkEnd w:id="2650"/>
      <w:r w:rsidR="00706D4D" w:rsidRPr="00D1690E">
        <w:t>ing</w:t>
      </w:r>
      <w:bookmarkEnd w:id="2651"/>
    </w:p>
    <w:p w14:paraId="3FE91668" w14:textId="2B3AAD04" w:rsidR="003F7B9F" w:rsidRPr="00F019FF" w:rsidRDefault="003F7B9F" w:rsidP="00A35EAF">
      <w:pPr>
        <w:pStyle w:val="BodyText"/>
      </w:pPr>
      <w:r>
        <w:t xml:space="preserve">The traffic </w:t>
      </w:r>
      <w:r w:rsidRPr="00F019FF">
        <w:t>data collection that is dependent on pneumatic tubes that count axles rather than vehicles requires adjustments by applying an axle correction factor to represent vehicles. Equipment that detects vehicles directly (such as inductive loops or vehicle classification counters) do</w:t>
      </w:r>
      <w:r w:rsidR="00777094">
        <w:t>es</w:t>
      </w:r>
      <w:r w:rsidRPr="00F019FF">
        <w:t xml:space="preserve"> not require axle adjustment. Axle correction factors are developed from </w:t>
      </w:r>
      <w:r>
        <w:t xml:space="preserve">vehicle </w:t>
      </w:r>
      <w:r w:rsidRPr="00F019FF">
        <w:t xml:space="preserve">classification </w:t>
      </w:r>
      <w:r>
        <w:t xml:space="preserve">or WIM </w:t>
      </w:r>
      <w:r w:rsidRPr="00F019FF">
        <w:t>counts</w:t>
      </w:r>
      <w:r>
        <w:t xml:space="preserve"> reported in IVR formats</w:t>
      </w:r>
      <w:r w:rsidRPr="00F019FF">
        <w:t xml:space="preserve">. </w:t>
      </w:r>
      <w:r w:rsidR="00777094">
        <w:t>The G</w:t>
      </w:r>
      <w:r w:rsidRPr="00F019FF">
        <w:t xml:space="preserve">lossary </w:t>
      </w:r>
      <w:r w:rsidR="00777094">
        <w:t>provides</w:t>
      </w:r>
      <w:r w:rsidR="00777094" w:rsidRPr="00F019FF">
        <w:t xml:space="preserve"> </w:t>
      </w:r>
      <w:r w:rsidRPr="00F019FF">
        <w:t xml:space="preserve">definition of axle correction factors. </w:t>
      </w:r>
    </w:p>
    <w:p w14:paraId="6C0D581D" w14:textId="201589F2" w:rsidR="003F7B9F" w:rsidRDefault="003F7B9F" w:rsidP="00A119E0">
      <w:pPr>
        <w:pStyle w:val="CallOut"/>
      </w:pPr>
      <w:r>
        <w:lastRenderedPageBreak/>
        <w:t xml:space="preserve">In general, the higher the percentage of multi-axle vehicles on a road, the more error will </w:t>
      </w:r>
      <w:r w:rsidR="00777094">
        <w:t xml:space="preserve">be </w:t>
      </w:r>
      <w:r>
        <w:t>introduce</w:t>
      </w:r>
      <w:r w:rsidR="00777094">
        <w:t>d</w:t>
      </w:r>
      <w:r>
        <w:t xml:space="preserve"> into the data by not using axle correction factors.</w:t>
      </w:r>
    </w:p>
    <w:p w14:paraId="56FA438D" w14:textId="77777777" w:rsidR="003F7B9F" w:rsidRPr="007D2334" w:rsidRDefault="003F7B9F" w:rsidP="00A35EAF">
      <w:pPr>
        <w:pStyle w:val="BodyText"/>
      </w:pPr>
      <w:r w:rsidRPr="007D2334">
        <w:t>Axle correction factors can be applied at either the individual point or the system level; specifically, from either specific vehicle classification counts at specific locations</w:t>
      </w:r>
      <w:r>
        <w:t xml:space="preserve">/roadways </w:t>
      </w:r>
      <w:r w:rsidRPr="007D2334">
        <w:t>or from a combination of vehicle classification counts averaged together to represent an entire system of roads</w:t>
      </w:r>
      <w:r>
        <w:t xml:space="preserve"> or factor grouping</w:t>
      </w:r>
      <w:r w:rsidRPr="007D2334">
        <w:t>. This is an example of creating axle factor groups. Another example is described below.</w:t>
      </w:r>
    </w:p>
    <w:p w14:paraId="59FE4B2B" w14:textId="77777777" w:rsidR="003F7B9F" w:rsidRDefault="003F7B9F" w:rsidP="00A35EAF">
      <w:pPr>
        <w:pStyle w:val="BodyText"/>
      </w:pPr>
      <w:r w:rsidRPr="007D2334">
        <w:t>Because truck percentages (and consequently axle correction factors) change dramatically from road to road, even within functional classes and HPMS strata,</w:t>
      </w:r>
    </w:p>
    <w:p w14:paraId="0B968D63" w14:textId="050C3704" w:rsidR="003F7B9F" w:rsidRDefault="003F7B9F" w:rsidP="00A119E0">
      <w:pPr>
        <w:pStyle w:val="CallOut"/>
      </w:pPr>
      <w:r w:rsidRPr="00095108">
        <w:t xml:space="preserve">The </w:t>
      </w:r>
      <w:r w:rsidRPr="005E416B">
        <w:rPr>
          <w:i/>
          <w:iCs/>
        </w:rPr>
        <w:t>TMG</w:t>
      </w:r>
      <w:r>
        <w:t xml:space="preserve"> recommends that axle correction factors be developed for specific roads from vehicle classification and WIM counts taken on that road whenever possible.</w:t>
      </w:r>
    </w:p>
    <w:p w14:paraId="11FC4DA0" w14:textId="4FEEF5AF" w:rsidR="00706D4D" w:rsidRDefault="003F7B9F" w:rsidP="00A35EAF">
      <w:pPr>
        <w:pStyle w:val="BodyText"/>
      </w:pPr>
      <w:r w:rsidRPr="007D2334">
        <w:t>Where possible, the axle correction factor applied to an axle count should come from a classification count performed nearby, on that same road, and from a vehicle classification count that was taken during the same approximate period as the volume count</w:t>
      </w:r>
      <w:r w:rsidRPr="007A6ECE">
        <w:t xml:space="preserve">. </w:t>
      </w:r>
      <w:r w:rsidR="007F2D82">
        <w:fldChar w:fldCharType="begin"/>
      </w:r>
      <w:r w:rsidR="007F2D82">
        <w:instrText xml:space="preserve"> REF _Ref114753217 \h </w:instrText>
      </w:r>
      <w:r w:rsidR="007F2D82">
        <w:fldChar w:fldCharType="separate"/>
      </w:r>
      <w:r w:rsidR="00C07DF9" w:rsidRPr="00706D4D">
        <w:t xml:space="preserve">Figure </w:t>
      </w:r>
      <w:r w:rsidR="00C07DF9">
        <w:rPr>
          <w:noProof/>
        </w:rPr>
        <w:t>3</w:t>
      </w:r>
      <w:r w:rsidR="00C07DF9">
        <w:noBreakHyphen/>
      </w:r>
      <w:r w:rsidR="00C07DF9">
        <w:rPr>
          <w:noProof/>
        </w:rPr>
        <w:t>9</w:t>
      </w:r>
      <w:r w:rsidR="007F2D82">
        <w:fldChar w:fldCharType="end"/>
      </w:r>
      <w:r w:rsidR="00706D4D" w:rsidRPr="007A6ECE">
        <w:t xml:space="preserve"> provides</w:t>
      </w:r>
      <w:r w:rsidR="00706D4D">
        <w:t xml:space="preserve"> an example on how Axle Correction Factors (ACF</w:t>
      </w:r>
      <w:r w:rsidR="00777094">
        <w:t>s</w:t>
      </w:r>
      <w:r w:rsidR="00706D4D">
        <w:t xml:space="preserve">) can vary by DOW and MOY. </w:t>
      </w:r>
    </w:p>
    <w:p w14:paraId="2E19B3BE" w14:textId="77777777" w:rsidR="00706D4D" w:rsidRPr="006701AC" w:rsidRDefault="00706D4D" w:rsidP="00530CF5">
      <w:pPr>
        <w:jc w:val="center"/>
        <w:rPr>
          <w:rFonts w:eastAsia="MS Mincho"/>
          <w:szCs w:val="22"/>
        </w:rPr>
      </w:pPr>
      <w:r>
        <w:rPr>
          <w:noProof/>
        </w:rPr>
        <w:drawing>
          <wp:inline distT="0" distB="0" distL="0" distR="0" wp14:anchorId="4F55F723" wp14:editId="10922C01">
            <wp:extent cx="5768340" cy="3746311"/>
            <wp:effectExtent l="0" t="0" r="3810" b="6985"/>
            <wp:docPr id="35850" name="Chart 35850" descr="This is a chart of Montana site 73 taken in 2019 with monthly axle correction factors on the vertical axis by month of the year with groupings by day of week on the horizontal axis. The chart shows groups by days of the week Sunday Monday Tuesday Wednesday Thursday Friday and Saturday. And the month of year January through December. There is a definite pattern where you can see beginning in January we have a peak in February, a decline in March, a steady increase from April may June, and a peak in July, then a steady decline in August September October November, a slight increase in December. For the weekday traffic the Saturday and Sunday traffic show almost a constant pattern.">
              <a:extLst xmlns:a="http://schemas.openxmlformats.org/drawingml/2006/main">
                <a:ext uri="{FF2B5EF4-FFF2-40B4-BE49-F238E27FC236}">
                  <a16:creationId xmlns:a16="http://schemas.microsoft.com/office/drawing/2014/main" id="{A1F7DB71-715C-445D-A4FA-7358BBC202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14:paraId="2B113CCB" w14:textId="6F4CE3D9" w:rsidR="00706D4D" w:rsidRDefault="00706D4D" w:rsidP="00530CF5">
      <w:pPr>
        <w:spacing w:before="80" w:line="240" w:lineRule="atLeast"/>
        <w:ind w:left="135"/>
        <w:rPr>
          <w:rFonts w:eastAsia="MS Mincho" w:cs="Arial"/>
          <w:i/>
          <w:sz w:val="18"/>
          <w:szCs w:val="18"/>
        </w:rPr>
      </w:pPr>
      <w:r w:rsidRPr="00150906">
        <w:rPr>
          <w:rStyle w:val="SourceChar"/>
        </w:rPr>
        <w:t>Source:</w:t>
      </w:r>
      <w:r w:rsidR="0061163F">
        <w:rPr>
          <w:rStyle w:val="SourceChar"/>
        </w:rPr>
        <w:t xml:space="preserve"> </w:t>
      </w:r>
      <w:r w:rsidR="00530CF5">
        <w:rPr>
          <w:rStyle w:val="SourceChar"/>
        </w:rPr>
        <w:t xml:space="preserve"> </w:t>
      </w:r>
      <w:r w:rsidRPr="00150906">
        <w:rPr>
          <w:rStyle w:val="SourceChar"/>
        </w:rPr>
        <w:t>Federal Highway Administration</w:t>
      </w:r>
      <w:r w:rsidRPr="006701AC">
        <w:rPr>
          <w:rFonts w:eastAsia="MS Mincho" w:cs="Arial"/>
          <w:i/>
          <w:sz w:val="18"/>
          <w:szCs w:val="18"/>
        </w:rPr>
        <w:t>.</w:t>
      </w:r>
    </w:p>
    <w:p w14:paraId="7E2FA450" w14:textId="0351D355" w:rsidR="00530CF5" w:rsidRPr="00706D4D" w:rsidRDefault="00530CF5" w:rsidP="00530CF5">
      <w:pPr>
        <w:pStyle w:val="TMGFigureCaption"/>
        <w:spacing w:after="360"/>
      </w:pPr>
      <w:bookmarkStart w:id="2652" w:name="_Ref114753217"/>
      <w:bookmarkStart w:id="2653" w:name="_Toc75790983"/>
      <w:bookmarkStart w:id="2654" w:name="_Toc114474806"/>
      <w:bookmarkStart w:id="2655" w:name="_Toc120626579"/>
      <w:r w:rsidRPr="00706D4D">
        <w:t xml:space="preserve">Figure </w:t>
      </w:r>
      <w:fldSimple w:instr=" STYLEREF 1 \s ">
        <w:r w:rsidR="00C07DF9">
          <w:rPr>
            <w:noProof/>
          </w:rPr>
          <w:t>3</w:t>
        </w:r>
      </w:fldSimple>
      <w:r>
        <w:noBreakHyphen/>
      </w:r>
      <w:fldSimple w:instr=" SEQ Figure \* ARABIC \s 1 ">
        <w:r w:rsidR="00C07DF9">
          <w:rPr>
            <w:noProof/>
          </w:rPr>
          <w:t>9</w:t>
        </w:r>
      </w:fldSimple>
      <w:bookmarkEnd w:id="2652"/>
      <w:r w:rsidR="007F2D82">
        <w:t>.</w:t>
      </w:r>
      <w:r w:rsidRPr="00706D4D">
        <w:t xml:space="preserve"> Example </w:t>
      </w:r>
      <w:r>
        <w:t>o</w:t>
      </w:r>
      <w:r w:rsidRPr="00706D4D">
        <w:t xml:space="preserve">f Differences </w:t>
      </w:r>
      <w:r>
        <w:t>i</w:t>
      </w:r>
      <w:r w:rsidRPr="00706D4D">
        <w:t xml:space="preserve">n ACF by DOW and MOY </w:t>
      </w:r>
      <w:r w:rsidR="0061163F">
        <w:t>i</w:t>
      </w:r>
      <w:r w:rsidRPr="00706D4D">
        <w:t>n Montana</w:t>
      </w:r>
      <w:bookmarkEnd w:id="2653"/>
      <w:bookmarkEnd w:id="2654"/>
      <w:bookmarkEnd w:id="2655"/>
    </w:p>
    <w:p w14:paraId="29BABD7F" w14:textId="14E7A3AE" w:rsidR="00530CF5" w:rsidRDefault="003F7B9F" w:rsidP="00A35EAF">
      <w:pPr>
        <w:pStyle w:val="BodyText"/>
      </w:pPr>
      <w:r w:rsidRPr="007D2334">
        <w:t>For roads where these adjustment factors are not available, a system</w:t>
      </w:r>
      <w:r w:rsidR="00777094">
        <w:t>-</w:t>
      </w:r>
      <w:r w:rsidRPr="007D2334">
        <w:t xml:space="preserve">wide factor is recommended. The system-wide factor should be computed by averaging the </w:t>
      </w:r>
      <w:r w:rsidR="00624E6D">
        <w:t>A</w:t>
      </w:r>
      <w:r w:rsidR="00777094">
        <w:t>CFs</w:t>
      </w:r>
      <w:r w:rsidRPr="007D2334">
        <w:t xml:space="preserve"> computed in the vehicle classification count sample within a functional classification of roads. However, other methods can also be used. Where State highway agencies have </w:t>
      </w:r>
      <w:r w:rsidRPr="00840927">
        <w:t>developed a by</w:t>
      </w:r>
      <w:r w:rsidR="00624E6D">
        <w:t>-</w:t>
      </w:r>
      <w:r w:rsidRPr="00840927">
        <w:t>vehicle</w:t>
      </w:r>
      <w:r w:rsidR="00624E6D">
        <w:t>-</w:t>
      </w:r>
      <w:r w:rsidRPr="00840927">
        <w:t>type route classification system, this classification system may be substituted for the functional class strata.</w:t>
      </w:r>
    </w:p>
    <w:p w14:paraId="157EFA51" w14:textId="77777777" w:rsidR="00530CF5" w:rsidRDefault="00530CF5">
      <w:pPr>
        <w:widowControl/>
        <w:suppressAutoHyphens w:val="0"/>
        <w:autoSpaceDE/>
        <w:autoSpaceDN/>
        <w:adjustRightInd/>
        <w:spacing w:after="160" w:line="259" w:lineRule="auto"/>
        <w:jc w:val="left"/>
        <w:textAlignment w:val="auto"/>
        <w:rPr>
          <w:color w:val="auto"/>
        </w:rPr>
      </w:pPr>
      <w:r>
        <w:br w:type="page"/>
      </w:r>
    </w:p>
    <w:p w14:paraId="7C048341" w14:textId="40A74FA6" w:rsidR="003F7B9F" w:rsidRPr="00530CF5" w:rsidRDefault="003F7B9F" w:rsidP="00A35EAF">
      <w:pPr>
        <w:pStyle w:val="BodyText"/>
        <w:rPr>
          <w:rStyle w:val="Strong"/>
          <w:rFonts w:ascii="Cambria" w:hAnsi="Cambria"/>
          <w:sz w:val="22"/>
          <w:szCs w:val="22"/>
        </w:rPr>
      </w:pPr>
      <w:r w:rsidRPr="00530CF5">
        <w:rPr>
          <w:rStyle w:val="Strong"/>
          <w:rFonts w:ascii="Cambria" w:hAnsi="Cambria"/>
          <w:sz w:val="22"/>
          <w:szCs w:val="22"/>
        </w:rPr>
        <w:lastRenderedPageBreak/>
        <w:t>Computation of Axle Correction Factors</w:t>
      </w:r>
    </w:p>
    <w:p w14:paraId="542C57D0" w14:textId="6DA759CF" w:rsidR="003F7B9F" w:rsidRDefault="003F7B9F" w:rsidP="00A119E0">
      <w:pPr>
        <w:pStyle w:val="CallOut"/>
      </w:pPr>
      <w:r w:rsidRPr="00840927">
        <w:t xml:space="preserve">The </w:t>
      </w:r>
      <w:r w:rsidRPr="005E416B">
        <w:rPr>
          <w:i/>
          <w:iCs/>
        </w:rPr>
        <w:t>TMG</w:t>
      </w:r>
      <w:r w:rsidRPr="00840927">
        <w:t xml:space="preserve"> recommends that axle correction factors</w:t>
      </w:r>
      <w:r>
        <w:t xml:space="preserve"> be developed using individual vehicle records formatted data from continuous counting axle class sites or WIM sites.</w:t>
      </w:r>
    </w:p>
    <w:p w14:paraId="4431A280" w14:textId="1994E5A3" w:rsidR="003F7B9F" w:rsidRDefault="003F7B9F" w:rsidP="00A35EAF">
      <w:pPr>
        <w:pStyle w:val="BodyText"/>
      </w:pPr>
      <w:r>
        <w:t xml:space="preserve">Similar to applying factors by each vehicle class, the axle correction factoring methods apply factors by using the minimum </w:t>
      </w:r>
      <w:r w:rsidR="00624E6D">
        <w:t>six</w:t>
      </w:r>
      <w:r>
        <w:t xml:space="preserve"> HPMS vehicle classes.</w:t>
      </w:r>
      <w:r w:rsidR="004D4172">
        <w:t xml:space="preserve"> </w:t>
      </w:r>
    </w:p>
    <w:p w14:paraId="3F33DD78" w14:textId="482D577B" w:rsidR="003F7B9F" w:rsidRPr="00771210" w:rsidRDefault="003F7B9F" w:rsidP="00A35EAF">
      <w:pPr>
        <w:pStyle w:val="BodyText"/>
      </w:pPr>
      <w:r w:rsidRPr="00771210">
        <w:t xml:space="preserve">Emphasis on the collection of classification data should minimize the need for </w:t>
      </w:r>
      <w:r w:rsidR="00624E6D">
        <w:t>ACFs</w:t>
      </w:r>
      <w:r w:rsidRPr="00771210">
        <w:t xml:space="preserve">. Whenever possible, </w:t>
      </w:r>
      <w:r w:rsidR="00624E6D">
        <w:t>ACFs</w:t>
      </w:r>
      <w:r w:rsidRPr="00771210">
        <w:t xml:space="preserve"> needed to convert axle counts to vehicles should be developed from vehicle classification counts taken on the specific road. In addition, the classification count should be taken from the same general vicinity and on the same day of week (a weekday classification count is usually sufficient for a weekday volume count) as the axle count it will be used to adjust. Where a classification count has not been taken on the road in question, an average </w:t>
      </w:r>
      <w:r w:rsidR="00624E6D">
        <w:t>ACF</w:t>
      </w:r>
      <w:r w:rsidRPr="00771210">
        <w:t xml:space="preserve"> can be estimated from the WIM and continuous classification sites</w:t>
      </w:r>
      <w:r>
        <w:t xml:space="preserve"> that have per vehicle data</w:t>
      </w:r>
      <w:r w:rsidRPr="00771210">
        <w:t>.</w:t>
      </w:r>
      <w:r>
        <w:t xml:space="preserve"> These values should be made publicly available for anyone collecting data from a single road tube count in the state.</w:t>
      </w:r>
    </w:p>
    <w:p w14:paraId="43C41DAF" w14:textId="1154BF76" w:rsidR="003F7B9F" w:rsidRPr="00762BE8" w:rsidRDefault="003F7B9F" w:rsidP="00762BE8">
      <w:pPr>
        <w:pStyle w:val="CallOut"/>
      </w:pPr>
      <w:r w:rsidRPr="00762BE8">
        <w:t>Axle correction factors are required for all single road tube counts.</w:t>
      </w:r>
      <w:r w:rsidR="004D4172" w:rsidRPr="00762BE8">
        <w:t xml:space="preserve"> </w:t>
      </w:r>
    </w:p>
    <w:p w14:paraId="55B39B4A" w14:textId="77777777" w:rsidR="003F7B9F" w:rsidRPr="00C2447B" w:rsidRDefault="003F7B9F" w:rsidP="00A35EAF">
      <w:pPr>
        <w:pStyle w:val="BodyText"/>
        <w:rPr>
          <w:rStyle w:val="Strong"/>
          <w:rFonts w:ascii="Cambria" w:hAnsi="Cambria"/>
          <w:sz w:val="22"/>
          <w:szCs w:val="22"/>
        </w:rPr>
      </w:pPr>
      <w:r w:rsidRPr="00C2447B">
        <w:rPr>
          <w:rStyle w:val="Strong"/>
          <w:rFonts w:ascii="Cambria" w:hAnsi="Cambria"/>
          <w:sz w:val="22"/>
          <w:szCs w:val="22"/>
        </w:rPr>
        <w:t>Example of ACF Computation</w:t>
      </w:r>
    </w:p>
    <w:p w14:paraId="6659421E" w14:textId="7AAC40F8" w:rsidR="003F7B9F" w:rsidRDefault="00AA2E73" w:rsidP="00A35EAF">
      <w:pPr>
        <w:pStyle w:val="BodyText"/>
      </w:pPr>
      <w:r>
        <w:fldChar w:fldCharType="begin"/>
      </w:r>
      <w:r>
        <w:instrText xml:space="preserve"> REF _Ref114750171 \h </w:instrText>
      </w:r>
      <w:r>
        <w:fldChar w:fldCharType="separate"/>
      </w:r>
      <w:r w:rsidR="00C07DF9">
        <w:t xml:space="preserve">Table </w:t>
      </w:r>
      <w:r w:rsidR="00C07DF9">
        <w:rPr>
          <w:noProof/>
        </w:rPr>
        <w:t>3</w:t>
      </w:r>
      <w:r w:rsidR="00C07DF9">
        <w:noBreakHyphen/>
      </w:r>
      <w:r w:rsidR="00C07DF9">
        <w:rPr>
          <w:noProof/>
        </w:rPr>
        <w:t>20</w:t>
      </w:r>
      <w:r>
        <w:fldChar w:fldCharType="end"/>
      </w:r>
      <w:r w:rsidR="003F7B9F" w:rsidRPr="007A6ECE">
        <w:t xml:space="preserve"> provides</w:t>
      </w:r>
      <w:r w:rsidR="003F7B9F">
        <w:t xml:space="preserve"> an example of ACF computation</w:t>
      </w:r>
      <w:r w:rsidR="003F7B9F" w:rsidRPr="00771210">
        <w:t>.</w:t>
      </w:r>
      <w:r w:rsidR="003F7B9F">
        <w:t xml:space="preserve"> </w:t>
      </w:r>
      <w:r w:rsidR="003F7B9F" w:rsidRPr="007D2334">
        <w:t>In the table, vehicle volume is computed by dividing the total number of axles counted by the average number per vehicle. Appropriate numbers should be computed at each site. States have different axle class systems. Some States have automated software to create these factors by axle factor groups; not all States are the same; and not all States group axle factors the same way.</w:t>
      </w:r>
    </w:p>
    <w:p w14:paraId="094A69BE" w14:textId="11147E02" w:rsidR="003F7B9F" w:rsidRDefault="003F7B9F" w:rsidP="000F2A7A">
      <w:pPr>
        <w:pStyle w:val="TMGTableCaption"/>
      </w:pPr>
      <w:bookmarkStart w:id="2656" w:name="_Ref114750171"/>
      <w:bookmarkStart w:id="2657" w:name="_Toc68874125"/>
      <w:bookmarkStart w:id="2658" w:name="_Toc114474840"/>
      <w:bookmarkStart w:id="2659" w:name="_Toc120631146"/>
      <w:r>
        <w:t xml:space="preserve">Table </w:t>
      </w:r>
      <w:fldSimple w:instr=" STYLEREF 1 \s ">
        <w:r w:rsidR="00C07DF9">
          <w:rPr>
            <w:noProof/>
          </w:rPr>
          <w:t>3</w:t>
        </w:r>
      </w:fldSimple>
      <w:r w:rsidR="00FE5355">
        <w:noBreakHyphen/>
      </w:r>
      <w:fldSimple w:instr=" SEQ Table \* ARABIC \s 1 ">
        <w:r w:rsidR="00C07DF9">
          <w:rPr>
            <w:noProof/>
          </w:rPr>
          <w:t>20</w:t>
        </w:r>
      </w:fldSimple>
      <w:bookmarkEnd w:id="2656"/>
      <w:r w:rsidR="00627DD7">
        <w:t>.</w:t>
      </w:r>
      <w:r>
        <w:t xml:space="preserve"> </w:t>
      </w:r>
      <w:r w:rsidRPr="00686F0C">
        <w:t xml:space="preserve">Example Calculation </w:t>
      </w:r>
      <w:r w:rsidR="00D3659B">
        <w:t>o</w:t>
      </w:r>
      <w:r w:rsidRPr="00686F0C">
        <w:t>f</w:t>
      </w:r>
      <w:r w:rsidR="00D3659B">
        <w:t xml:space="preserve"> t</w:t>
      </w:r>
      <w:r w:rsidRPr="00686F0C">
        <w:t xml:space="preserve">he </w:t>
      </w:r>
      <w:r>
        <w:t>ACF</w:t>
      </w:r>
      <w:bookmarkEnd w:id="2657"/>
      <w:bookmarkEnd w:id="2658"/>
      <w:bookmarkEnd w:id="2659"/>
    </w:p>
    <w:tbl>
      <w:tblPr>
        <w:tblStyle w:val="TableGrid"/>
        <w:tblW w:w="7465" w:type="dxa"/>
        <w:jc w:val="center"/>
        <w:tblCellMar>
          <w:left w:w="86" w:type="dxa"/>
          <w:right w:w="86" w:type="dxa"/>
        </w:tblCellMar>
        <w:tblLook w:val="04A0" w:firstRow="1" w:lastRow="0" w:firstColumn="1" w:lastColumn="0" w:noHBand="0" w:noVBand="1"/>
      </w:tblPr>
      <w:tblGrid>
        <w:gridCol w:w="1165"/>
        <w:gridCol w:w="1845"/>
        <w:gridCol w:w="1845"/>
        <w:gridCol w:w="2610"/>
      </w:tblGrid>
      <w:tr w:rsidR="00C2447B" w14:paraId="451D48A9" w14:textId="77777777" w:rsidTr="00283F68">
        <w:trPr>
          <w:jc w:val="center"/>
        </w:trPr>
        <w:tc>
          <w:tcPr>
            <w:tcW w:w="1165" w:type="dxa"/>
            <w:tcBorders>
              <w:right w:val="single" w:sz="4" w:space="0" w:color="FFFFFF" w:themeColor="background1"/>
            </w:tcBorders>
            <w:shd w:val="clear" w:color="auto" w:fill="1F3864"/>
            <w:vAlign w:val="center"/>
          </w:tcPr>
          <w:p w14:paraId="6B3EAB46" w14:textId="14F7CC15" w:rsidR="00C2447B" w:rsidRDefault="00C2447B" w:rsidP="0017389B">
            <w:pPr>
              <w:pStyle w:val="TMGTableTextHeader"/>
            </w:pPr>
            <w:r w:rsidRPr="00D170BD">
              <w:rPr>
                <w:rFonts w:eastAsiaTheme="minorEastAsia"/>
              </w:rPr>
              <w:t>Road ID</w:t>
            </w:r>
          </w:p>
        </w:tc>
        <w:tc>
          <w:tcPr>
            <w:tcW w:w="1845" w:type="dxa"/>
            <w:tcBorders>
              <w:left w:val="single" w:sz="4" w:space="0" w:color="FFFFFF" w:themeColor="background1"/>
              <w:right w:val="single" w:sz="4" w:space="0" w:color="FFFFFF" w:themeColor="background1"/>
            </w:tcBorders>
            <w:shd w:val="clear" w:color="auto" w:fill="1F3864"/>
            <w:vAlign w:val="center"/>
          </w:tcPr>
          <w:p w14:paraId="5E3D8FD1" w14:textId="015D000C" w:rsidR="00C2447B" w:rsidRDefault="00C2447B" w:rsidP="0017389B">
            <w:pPr>
              <w:pStyle w:val="TMGTableTextHeader"/>
              <w:rPr>
                <w:rFonts w:eastAsia="MS Mincho"/>
              </w:rPr>
            </w:pPr>
            <w:r w:rsidRPr="00D170BD">
              <w:rPr>
                <w:rFonts w:eastAsiaTheme="minorEastAsia"/>
              </w:rPr>
              <w:t>Daily Vehicle Volume Count (A)</w:t>
            </w:r>
          </w:p>
        </w:tc>
        <w:tc>
          <w:tcPr>
            <w:tcW w:w="1845" w:type="dxa"/>
            <w:tcBorders>
              <w:left w:val="single" w:sz="4" w:space="0" w:color="FFFFFF" w:themeColor="background1"/>
              <w:right w:val="single" w:sz="4" w:space="0" w:color="FFFFFF" w:themeColor="background1"/>
            </w:tcBorders>
            <w:shd w:val="clear" w:color="auto" w:fill="1F3864"/>
            <w:vAlign w:val="center"/>
          </w:tcPr>
          <w:p w14:paraId="73C711C2" w14:textId="67D78B99" w:rsidR="00C2447B" w:rsidRDefault="00C2447B" w:rsidP="0017389B">
            <w:pPr>
              <w:pStyle w:val="TMGTableTextHeader"/>
              <w:rPr>
                <w:rFonts w:eastAsia="MS Mincho"/>
              </w:rPr>
            </w:pPr>
            <w:r w:rsidRPr="00D170BD">
              <w:rPr>
                <w:rFonts w:eastAsiaTheme="minorEastAsia"/>
              </w:rPr>
              <w:t>Daily Number of Axle Count (B)</w:t>
            </w:r>
          </w:p>
        </w:tc>
        <w:tc>
          <w:tcPr>
            <w:tcW w:w="2610" w:type="dxa"/>
            <w:tcBorders>
              <w:left w:val="single" w:sz="4" w:space="0" w:color="FFFFFF" w:themeColor="background1"/>
            </w:tcBorders>
            <w:shd w:val="clear" w:color="auto" w:fill="1F3864"/>
            <w:vAlign w:val="center"/>
          </w:tcPr>
          <w:p w14:paraId="37013A10" w14:textId="5313521C" w:rsidR="00C2447B" w:rsidRDefault="00C2447B" w:rsidP="0017389B">
            <w:pPr>
              <w:pStyle w:val="TMGTableTextHeader"/>
            </w:pPr>
            <w:r w:rsidRPr="00D170BD">
              <w:rPr>
                <w:rFonts w:eastAsiaTheme="minorEastAsia"/>
              </w:rPr>
              <w:t xml:space="preserve">Average Number </w:t>
            </w:r>
            <w:r w:rsidRPr="00D170BD">
              <w:rPr>
                <w:rFonts w:eastAsiaTheme="minorEastAsia"/>
              </w:rPr>
              <w:br/>
              <w:t>of Axles Per Vehicle (K)=B/A</w:t>
            </w:r>
          </w:p>
        </w:tc>
      </w:tr>
      <w:tr w:rsidR="00C2447B" w14:paraId="7BE822A6" w14:textId="77777777" w:rsidTr="00283F68">
        <w:trPr>
          <w:jc w:val="center"/>
        </w:trPr>
        <w:tc>
          <w:tcPr>
            <w:tcW w:w="1165" w:type="dxa"/>
            <w:vAlign w:val="center"/>
          </w:tcPr>
          <w:p w14:paraId="0F7954DD" w14:textId="3BE48EC5" w:rsidR="00C2447B" w:rsidRPr="00C251E9" w:rsidRDefault="00C2447B" w:rsidP="00917D58">
            <w:pPr>
              <w:pStyle w:val="TMGTableText"/>
              <w:rPr>
                <w:b/>
                <w:bCs/>
              </w:rPr>
            </w:pPr>
            <w:r w:rsidRPr="0024676F">
              <w:t>R200B</w:t>
            </w:r>
          </w:p>
        </w:tc>
        <w:tc>
          <w:tcPr>
            <w:tcW w:w="1845" w:type="dxa"/>
            <w:vAlign w:val="center"/>
          </w:tcPr>
          <w:p w14:paraId="3CB9511E" w14:textId="4A45E90B" w:rsidR="00C2447B" w:rsidRPr="004859C8" w:rsidRDefault="00C2447B" w:rsidP="00283F68">
            <w:pPr>
              <w:pStyle w:val="TMGTableText"/>
              <w:ind w:right="499"/>
              <w:jc w:val="right"/>
            </w:pPr>
            <w:r w:rsidRPr="0024676F">
              <w:t>54,267</w:t>
            </w:r>
          </w:p>
        </w:tc>
        <w:tc>
          <w:tcPr>
            <w:tcW w:w="1845" w:type="dxa"/>
            <w:vAlign w:val="center"/>
          </w:tcPr>
          <w:p w14:paraId="74B71A12" w14:textId="770A1DCA" w:rsidR="00C2447B" w:rsidRPr="004859C8" w:rsidRDefault="00C2447B" w:rsidP="00283F68">
            <w:pPr>
              <w:pStyle w:val="TMGTableText"/>
              <w:ind w:right="499"/>
              <w:jc w:val="right"/>
            </w:pPr>
            <w:r w:rsidRPr="0024676F">
              <w:t>135,124</w:t>
            </w:r>
          </w:p>
        </w:tc>
        <w:tc>
          <w:tcPr>
            <w:tcW w:w="2610" w:type="dxa"/>
            <w:vAlign w:val="center"/>
          </w:tcPr>
          <w:p w14:paraId="2F70227F" w14:textId="5A25C392" w:rsidR="00C2447B" w:rsidRPr="00C251E9" w:rsidRDefault="00C2447B" w:rsidP="00283F68">
            <w:pPr>
              <w:pStyle w:val="TMGTableText"/>
              <w:jc w:val="center"/>
            </w:pPr>
            <w:r w:rsidRPr="0024676F">
              <w:t>2.5</w:t>
            </w:r>
          </w:p>
        </w:tc>
      </w:tr>
      <w:tr w:rsidR="00C2447B" w14:paraId="79CAEC6C" w14:textId="77777777" w:rsidTr="00283F68">
        <w:trPr>
          <w:jc w:val="center"/>
        </w:trPr>
        <w:tc>
          <w:tcPr>
            <w:tcW w:w="1165" w:type="dxa"/>
            <w:vAlign w:val="center"/>
          </w:tcPr>
          <w:p w14:paraId="13862335" w14:textId="75CC952C" w:rsidR="00C2447B" w:rsidRPr="00C251E9" w:rsidRDefault="00C2447B" w:rsidP="00917D58">
            <w:pPr>
              <w:pStyle w:val="TMGTableText"/>
              <w:rPr>
                <w:b/>
                <w:bCs/>
              </w:rPr>
            </w:pPr>
            <w:r w:rsidRPr="0024676F">
              <w:t>R120A</w:t>
            </w:r>
          </w:p>
        </w:tc>
        <w:tc>
          <w:tcPr>
            <w:tcW w:w="1845" w:type="dxa"/>
            <w:vAlign w:val="center"/>
          </w:tcPr>
          <w:p w14:paraId="1C01671F" w14:textId="4483B0B8" w:rsidR="00C2447B" w:rsidRPr="004859C8" w:rsidRDefault="00C2447B" w:rsidP="00283F68">
            <w:pPr>
              <w:pStyle w:val="TMGTableText"/>
              <w:ind w:right="499"/>
              <w:jc w:val="right"/>
            </w:pPr>
            <w:r w:rsidRPr="0024676F">
              <w:t>1,968</w:t>
            </w:r>
          </w:p>
        </w:tc>
        <w:tc>
          <w:tcPr>
            <w:tcW w:w="1845" w:type="dxa"/>
            <w:vAlign w:val="center"/>
          </w:tcPr>
          <w:p w14:paraId="091358CD" w14:textId="0B1F66E0" w:rsidR="00C2447B" w:rsidRPr="004859C8" w:rsidRDefault="00C2447B" w:rsidP="00283F68">
            <w:pPr>
              <w:pStyle w:val="TMGTableText"/>
              <w:ind w:right="499"/>
              <w:jc w:val="right"/>
            </w:pPr>
            <w:r w:rsidRPr="0024676F">
              <w:t>4,546</w:t>
            </w:r>
          </w:p>
        </w:tc>
        <w:tc>
          <w:tcPr>
            <w:tcW w:w="2610" w:type="dxa"/>
            <w:vAlign w:val="center"/>
          </w:tcPr>
          <w:p w14:paraId="46425530" w14:textId="4EBA65A8" w:rsidR="00C2447B" w:rsidRPr="00C251E9" w:rsidRDefault="00C2447B" w:rsidP="00283F68">
            <w:pPr>
              <w:pStyle w:val="TMGTableText"/>
              <w:jc w:val="center"/>
            </w:pPr>
            <w:r w:rsidRPr="0024676F">
              <w:t>2.3</w:t>
            </w:r>
          </w:p>
        </w:tc>
      </w:tr>
      <w:tr w:rsidR="00C2447B" w14:paraId="10973474" w14:textId="77777777" w:rsidTr="00283F68">
        <w:trPr>
          <w:trHeight w:val="59"/>
          <w:jc w:val="center"/>
        </w:trPr>
        <w:tc>
          <w:tcPr>
            <w:tcW w:w="1165" w:type="dxa"/>
            <w:vAlign w:val="center"/>
          </w:tcPr>
          <w:p w14:paraId="78DCF134" w14:textId="5FDAC668" w:rsidR="00C2447B" w:rsidRPr="00C251E9" w:rsidRDefault="00C2447B" w:rsidP="00917D58">
            <w:pPr>
              <w:pStyle w:val="TMGTableText"/>
              <w:rPr>
                <w:b/>
                <w:bCs/>
              </w:rPr>
            </w:pPr>
            <w:r w:rsidRPr="0024676F">
              <w:t>R280K</w:t>
            </w:r>
          </w:p>
        </w:tc>
        <w:tc>
          <w:tcPr>
            <w:tcW w:w="1845" w:type="dxa"/>
            <w:vAlign w:val="center"/>
          </w:tcPr>
          <w:p w14:paraId="4F1E4F67" w14:textId="66FA5E98" w:rsidR="00C2447B" w:rsidRPr="004859C8" w:rsidRDefault="00C2447B" w:rsidP="00283F68">
            <w:pPr>
              <w:pStyle w:val="TMGTableText"/>
              <w:ind w:right="499"/>
              <w:jc w:val="right"/>
            </w:pPr>
            <w:r w:rsidRPr="0024676F">
              <w:t>240,656</w:t>
            </w:r>
          </w:p>
        </w:tc>
        <w:tc>
          <w:tcPr>
            <w:tcW w:w="1845" w:type="dxa"/>
            <w:vAlign w:val="center"/>
          </w:tcPr>
          <w:p w14:paraId="15BFA973" w14:textId="2E0BCCC1" w:rsidR="00C2447B" w:rsidRPr="004859C8" w:rsidRDefault="00C2447B" w:rsidP="00283F68">
            <w:pPr>
              <w:pStyle w:val="TMGTableText"/>
              <w:ind w:right="499"/>
              <w:jc w:val="right"/>
            </w:pPr>
            <w:r w:rsidRPr="0024676F">
              <w:t>579,019</w:t>
            </w:r>
          </w:p>
        </w:tc>
        <w:tc>
          <w:tcPr>
            <w:tcW w:w="2610" w:type="dxa"/>
            <w:vAlign w:val="center"/>
          </w:tcPr>
          <w:p w14:paraId="74D45393" w14:textId="15BAD24C" w:rsidR="00C2447B" w:rsidRPr="00C251E9" w:rsidRDefault="00C2447B" w:rsidP="00283F68">
            <w:pPr>
              <w:pStyle w:val="TMGTableText"/>
              <w:jc w:val="center"/>
            </w:pPr>
            <w:r w:rsidRPr="0024676F">
              <w:t>2.4</w:t>
            </w:r>
          </w:p>
        </w:tc>
      </w:tr>
    </w:tbl>
    <w:p w14:paraId="65CF0FD3" w14:textId="77777777" w:rsidR="003F7B9F" w:rsidRPr="00C2447B" w:rsidRDefault="003F7B9F" w:rsidP="00C2447B">
      <w:pPr>
        <w:pStyle w:val="BodyText"/>
        <w:spacing w:before="360"/>
        <w:rPr>
          <w:rStyle w:val="Strong"/>
          <w:rFonts w:ascii="Cambria" w:hAnsi="Cambria"/>
          <w:sz w:val="22"/>
          <w:szCs w:val="22"/>
        </w:rPr>
      </w:pPr>
      <w:r w:rsidRPr="00C2447B">
        <w:rPr>
          <w:rStyle w:val="Strong"/>
          <w:rFonts w:ascii="Cambria" w:hAnsi="Cambria"/>
          <w:sz w:val="22"/>
          <w:szCs w:val="22"/>
        </w:rPr>
        <w:t>Example of Applying ACF</w:t>
      </w:r>
    </w:p>
    <w:p w14:paraId="539F003F" w14:textId="16D115F6" w:rsidR="003F7B9F" w:rsidRPr="00771210" w:rsidRDefault="00AA2E73" w:rsidP="00A35EAF">
      <w:pPr>
        <w:pStyle w:val="BodyText"/>
      </w:pPr>
      <w:r>
        <w:fldChar w:fldCharType="begin"/>
      </w:r>
      <w:r>
        <w:instrText xml:space="preserve"> REF _Ref114750225 \h </w:instrText>
      </w:r>
      <w:r>
        <w:fldChar w:fldCharType="separate"/>
      </w:r>
      <w:r w:rsidR="00C07DF9">
        <w:t xml:space="preserve">Table </w:t>
      </w:r>
      <w:r w:rsidR="00C07DF9">
        <w:rPr>
          <w:noProof/>
        </w:rPr>
        <w:t>3</w:t>
      </w:r>
      <w:r w:rsidR="00C07DF9">
        <w:noBreakHyphen/>
      </w:r>
      <w:r w:rsidR="00C07DF9">
        <w:rPr>
          <w:noProof/>
        </w:rPr>
        <w:t>21</w:t>
      </w:r>
      <w:r>
        <w:fldChar w:fldCharType="end"/>
      </w:r>
      <w:r w:rsidR="003F7B9F" w:rsidRPr="007A6ECE">
        <w:t xml:space="preserve"> illustrates</w:t>
      </w:r>
      <w:r w:rsidR="003F7B9F" w:rsidRPr="007D2334">
        <w:t xml:space="preserve"> the process</w:t>
      </w:r>
      <w:r w:rsidR="003F7B9F">
        <w:t xml:space="preserve"> of applying ACF</w:t>
      </w:r>
      <w:r w:rsidR="00624E6D">
        <w:t>s</w:t>
      </w:r>
      <w:r w:rsidR="003F7B9F">
        <w:t xml:space="preserve"> to convert axle counts to traffic volume estimates</w:t>
      </w:r>
      <w:r w:rsidR="003F7B9F" w:rsidRPr="007D2334">
        <w:t xml:space="preserve">. The table provides a conservative estimate of the number of axles per vehicle for the FHWA 13 vehicle category classes. </w:t>
      </w:r>
      <w:r w:rsidR="003F7B9F" w:rsidRPr="00771210">
        <w:t>In the table, vehicle volume is computed by dividing the total number of axles counted by the average number of axles per vehicle. Thus, an axle count of 4,465 axles would be equal to a vehicle volume of 1,795 (4,465</w:t>
      </w:r>
      <w:r w:rsidR="00C2447B">
        <w:t> </w:t>
      </w:r>
      <w:r w:rsidR="003F7B9F" w:rsidRPr="00771210">
        <w:t>/ 2.49 = 1,795).</w:t>
      </w:r>
    </w:p>
    <w:p w14:paraId="15D94EA0" w14:textId="6FA50AC5" w:rsidR="00C2447B" w:rsidRDefault="003F7B9F" w:rsidP="00A35EAF">
      <w:pPr>
        <w:pStyle w:val="BodyText"/>
      </w:pPr>
      <w:r w:rsidRPr="00771210">
        <w:t>Multiplicative axle correction factors can be derived as the inverse of the average number of axles per vehicle. In</w:t>
      </w:r>
      <w:r w:rsidR="00283F68">
        <w:t> </w:t>
      </w:r>
      <w:r w:rsidRPr="00771210">
        <w:t xml:space="preserve">the above example, the factor would be 0.40 (the inverse of 2.49). The number of vehicles (1,795) would then be estimated by multiplying the number of axles (4,465) times the factor (0.40). </w:t>
      </w:r>
    </w:p>
    <w:p w14:paraId="4F75E73B" w14:textId="77777777" w:rsidR="00C2447B" w:rsidRDefault="00C2447B">
      <w:pPr>
        <w:widowControl/>
        <w:suppressAutoHyphens w:val="0"/>
        <w:autoSpaceDE/>
        <w:autoSpaceDN/>
        <w:adjustRightInd/>
        <w:spacing w:after="160" w:line="259" w:lineRule="auto"/>
        <w:jc w:val="left"/>
        <w:textAlignment w:val="auto"/>
        <w:rPr>
          <w:color w:val="auto"/>
        </w:rPr>
      </w:pPr>
      <w:r>
        <w:br w:type="page"/>
      </w:r>
    </w:p>
    <w:p w14:paraId="4CAA0C84" w14:textId="0A4F8B66" w:rsidR="003F7B9F" w:rsidRDefault="003F7B9F" w:rsidP="000F2A7A">
      <w:pPr>
        <w:pStyle w:val="TMGTableCaption"/>
      </w:pPr>
      <w:bookmarkStart w:id="2660" w:name="_Ref114750225"/>
      <w:bookmarkStart w:id="2661" w:name="_Toc68874126"/>
      <w:bookmarkStart w:id="2662" w:name="_Toc114474841"/>
      <w:bookmarkStart w:id="2663" w:name="_Toc120631147"/>
      <w:r>
        <w:lastRenderedPageBreak/>
        <w:t xml:space="preserve">Table </w:t>
      </w:r>
      <w:fldSimple w:instr=" STYLEREF 1 \s ">
        <w:r w:rsidR="00C07DF9">
          <w:rPr>
            <w:noProof/>
          </w:rPr>
          <w:t>3</w:t>
        </w:r>
      </w:fldSimple>
      <w:r w:rsidR="00FE5355">
        <w:noBreakHyphen/>
      </w:r>
      <w:fldSimple w:instr=" SEQ Table \* ARABIC \s 1 ">
        <w:r w:rsidR="00C07DF9">
          <w:rPr>
            <w:noProof/>
          </w:rPr>
          <w:t>21</w:t>
        </w:r>
      </w:fldSimple>
      <w:bookmarkEnd w:id="2660"/>
      <w:r w:rsidR="00627DD7">
        <w:t>.</w:t>
      </w:r>
      <w:r>
        <w:t xml:space="preserve"> </w:t>
      </w:r>
      <w:r w:rsidRPr="00170DC0">
        <w:t xml:space="preserve">Number </w:t>
      </w:r>
      <w:r w:rsidR="0084457B">
        <w:t>o</w:t>
      </w:r>
      <w:r w:rsidRPr="00170DC0">
        <w:t>f Axles Per Vehicle</w:t>
      </w:r>
      <w:bookmarkEnd w:id="2661"/>
      <w:bookmarkEnd w:id="2662"/>
      <w:bookmarkEnd w:id="2663"/>
    </w:p>
    <w:tbl>
      <w:tblPr>
        <w:tblStyle w:val="TableGrid"/>
        <w:tblW w:w="6845" w:type="dxa"/>
        <w:jc w:val="center"/>
        <w:tblCellMar>
          <w:left w:w="86" w:type="dxa"/>
          <w:right w:w="86" w:type="dxa"/>
        </w:tblCellMar>
        <w:tblLook w:val="04A0" w:firstRow="1" w:lastRow="0" w:firstColumn="1" w:lastColumn="0" w:noHBand="0" w:noVBand="1"/>
      </w:tblPr>
      <w:tblGrid>
        <w:gridCol w:w="2070"/>
        <w:gridCol w:w="1530"/>
        <w:gridCol w:w="1350"/>
        <w:gridCol w:w="1895"/>
      </w:tblGrid>
      <w:tr w:rsidR="00C2447B" w14:paraId="774F38DB" w14:textId="77777777" w:rsidTr="00B86ABE">
        <w:trPr>
          <w:jc w:val="center"/>
        </w:trPr>
        <w:tc>
          <w:tcPr>
            <w:tcW w:w="2070" w:type="dxa"/>
            <w:tcBorders>
              <w:right w:val="single" w:sz="4" w:space="0" w:color="FFFFFF" w:themeColor="background1"/>
            </w:tcBorders>
            <w:shd w:val="clear" w:color="auto" w:fill="1F3864"/>
            <w:vAlign w:val="center"/>
          </w:tcPr>
          <w:p w14:paraId="36F622B4" w14:textId="72C3016F" w:rsidR="00C2447B" w:rsidRPr="001B5336" w:rsidRDefault="00C2447B" w:rsidP="0017389B">
            <w:pPr>
              <w:pStyle w:val="TMGTableTextHeader"/>
            </w:pPr>
            <w:r w:rsidRPr="001B5336">
              <w:rPr>
                <w:rFonts w:eastAsiaTheme="minorEastAsia"/>
              </w:rPr>
              <w:t xml:space="preserve">FHWA </w:t>
            </w:r>
            <w:r w:rsidRPr="001B5336">
              <w:rPr>
                <w:rFonts w:eastAsiaTheme="minorEastAsia"/>
              </w:rPr>
              <w:br/>
              <w:t xml:space="preserve">Vehicle Class </w:t>
            </w:r>
          </w:p>
        </w:tc>
        <w:tc>
          <w:tcPr>
            <w:tcW w:w="1530" w:type="dxa"/>
            <w:tcBorders>
              <w:left w:val="single" w:sz="4" w:space="0" w:color="FFFFFF" w:themeColor="background1"/>
              <w:right w:val="single" w:sz="4" w:space="0" w:color="FFFFFF" w:themeColor="background1"/>
            </w:tcBorders>
            <w:shd w:val="clear" w:color="auto" w:fill="1F3864"/>
            <w:vAlign w:val="center"/>
          </w:tcPr>
          <w:p w14:paraId="1B9E25D0" w14:textId="3E1AFA22" w:rsidR="00C2447B" w:rsidRPr="001B5336" w:rsidRDefault="00C2447B" w:rsidP="0017389B">
            <w:pPr>
              <w:pStyle w:val="TMGTableTextHeader"/>
              <w:rPr>
                <w:rFonts w:eastAsia="MS Mincho"/>
              </w:rPr>
            </w:pPr>
            <w:r w:rsidRPr="001B5336">
              <w:rPr>
                <w:rFonts w:eastAsiaTheme="minorEastAsia"/>
              </w:rPr>
              <w:t xml:space="preserve">Daily </w:t>
            </w:r>
            <w:r w:rsidRPr="001B5336">
              <w:rPr>
                <w:rFonts w:eastAsiaTheme="minorEastAsia"/>
              </w:rPr>
              <w:br/>
              <w:t xml:space="preserve">Vehicle Volume </w:t>
            </w:r>
          </w:p>
        </w:tc>
        <w:tc>
          <w:tcPr>
            <w:tcW w:w="1350" w:type="dxa"/>
            <w:tcBorders>
              <w:left w:val="single" w:sz="4" w:space="0" w:color="FFFFFF" w:themeColor="background1"/>
              <w:right w:val="single" w:sz="4" w:space="0" w:color="FFFFFF" w:themeColor="background1"/>
            </w:tcBorders>
            <w:shd w:val="clear" w:color="auto" w:fill="1F3864"/>
            <w:vAlign w:val="center"/>
          </w:tcPr>
          <w:p w14:paraId="519148E3" w14:textId="2BFAB91A" w:rsidR="00C2447B" w:rsidRPr="001B5336" w:rsidRDefault="00C2447B" w:rsidP="0017389B">
            <w:pPr>
              <w:pStyle w:val="TMGTableTextHeader"/>
              <w:rPr>
                <w:rFonts w:eastAsia="MS Mincho"/>
              </w:rPr>
            </w:pPr>
            <w:r w:rsidRPr="001B5336">
              <w:rPr>
                <w:rFonts w:eastAsiaTheme="minorEastAsia"/>
              </w:rPr>
              <w:t>Total Number of Axles</w:t>
            </w:r>
          </w:p>
        </w:tc>
        <w:tc>
          <w:tcPr>
            <w:tcW w:w="1895" w:type="dxa"/>
            <w:tcBorders>
              <w:left w:val="single" w:sz="4" w:space="0" w:color="FFFFFF" w:themeColor="background1"/>
            </w:tcBorders>
            <w:shd w:val="clear" w:color="auto" w:fill="1F3864"/>
            <w:vAlign w:val="center"/>
          </w:tcPr>
          <w:p w14:paraId="4DA613B7" w14:textId="4C9BF09D" w:rsidR="00C2447B" w:rsidRPr="001B5336" w:rsidRDefault="00C2447B" w:rsidP="0017389B">
            <w:pPr>
              <w:pStyle w:val="TMGTableTextHeader"/>
            </w:pPr>
            <w:r w:rsidRPr="001B5336">
              <w:rPr>
                <w:rFonts w:eastAsiaTheme="minorEastAsia"/>
              </w:rPr>
              <w:t>Average Number of Axles Per Vehicle</w:t>
            </w:r>
          </w:p>
        </w:tc>
      </w:tr>
      <w:tr w:rsidR="00B86ABE" w14:paraId="36EF26EE" w14:textId="77777777" w:rsidTr="00283F68">
        <w:trPr>
          <w:jc w:val="center"/>
        </w:trPr>
        <w:tc>
          <w:tcPr>
            <w:tcW w:w="2070" w:type="dxa"/>
            <w:vAlign w:val="center"/>
          </w:tcPr>
          <w:p w14:paraId="3545208C" w14:textId="0499B33D" w:rsidR="00B86ABE" w:rsidRPr="00C251E9" w:rsidRDefault="00B86ABE" w:rsidP="00283F68">
            <w:pPr>
              <w:pStyle w:val="TMGTableText"/>
              <w:jc w:val="center"/>
            </w:pPr>
            <w:r w:rsidRPr="0051590D">
              <w:t>1</w:t>
            </w:r>
          </w:p>
        </w:tc>
        <w:tc>
          <w:tcPr>
            <w:tcW w:w="1530" w:type="dxa"/>
            <w:vAlign w:val="center"/>
          </w:tcPr>
          <w:p w14:paraId="37FE5F6B" w14:textId="61EA3804" w:rsidR="00B86ABE" w:rsidRPr="004859C8" w:rsidRDefault="00B86ABE" w:rsidP="00283F68">
            <w:pPr>
              <w:pStyle w:val="TMGTableText"/>
              <w:ind w:right="365"/>
              <w:jc w:val="right"/>
            </w:pPr>
            <w:r w:rsidRPr="0051590D">
              <w:t>100</w:t>
            </w:r>
          </w:p>
        </w:tc>
        <w:tc>
          <w:tcPr>
            <w:tcW w:w="1350" w:type="dxa"/>
            <w:vAlign w:val="center"/>
          </w:tcPr>
          <w:p w14:paraId="04D9394B" w14:textId="7173D21C" w:rsidR="00B86ABE" w:rsidRPr="004859C8" w:rsidRDefault="00B86ABE" w:rsidP="00283F68">
            <w:pPr>
              <w:pStyle w:val="TMGTableText"/>
              <w:jc w:val="center"/>
            </w:pPr>
            <w:r w:rsidRPr="0051590D">
              <w:t>200</w:t>
            </w:r>
            <w:r>
              <w:t>.0</w:t>
            </w:r>
          </w:p>
        </w:tc>
        <w:tc>
          <w:tcPr>
            <w:tcW w:w="1895" w:type="dxa"/>
            <w:vAlign w:val="center"/>
          </w:tcPr>
          <w:p w14:paraId="1C77B1DD" w14:textId="03506227" w:rsidR="00B86ABE" w:rsidRPr="00C251E9" w:rsidRDefault="00B86ABE" w:rsidP="00283F68">
            <w:pPr>
              <w:pStyle w:val="TMGTableText"/>
              <w:jc w:val="center"/>
            </w:pPr>
            <w:r w:rsidRPr="0051590D">
              <w:t>2.0</w:t>
            </w:r>
          </w:p>
        </w:tc>
      </w:tr>
      <w:tr w:rsidR="00B86ABE" w14:paraId="4DCC2E25" w14:textId="77777777" w:rsidTr="00283F68">
        <w:trPr>
          <w:jc w:val="center"/>
        </w:trPr>
        <w:tc>
          <w:tcPr>
            <w:tcW w:w="2070" w:type="dxa"/>
            <w:vAlign w:val="center"/>
          </w:tcPr>
          <w:p w14:paraId="0FB5426B" w14:textId="177DCFCE" w:rsidR="00B86ABE" w:rsidRPr="00C251E9" w:rsidRDefault="00B86ABE" w:rsidP="00283F68">
            <w:pPr>
              <w:pStyle w:val="TMGTableText"/>
              <w:jc w:val="center"/>
            </w:pPr>
            <w:r w:rsidRPr="0051590D">
              <w:t>2</w:t>
            </w:r>
          </w:p>
        </w:tc>
        <w:tc>
          <w:tcPr>
            <w:tcW w:w="1530" w:type="dxa"/>
            <w:vAlign w:val="center"/>
          </w:tcPr>
          <w:p w14:paraId="37C1C110" w14:textId="3DD22DE3" w:rsidR="00B86ABE" w:rsidRPr="004859C8" w:rsidRDefault="00B86ABE" w:rsidP="00283F68">
            <w:pPr>
              <w:pStyle w:val="TMGTableText"/>
              <w:ind w:right="365"/>
              <w:jc w:val="right"/>
            </w:pPr>
            <w:r w:rsidRPr="0051590D">
              <w:t>1,400</w:t>
            </w:r>
          </w:p>
        </w:tc>
        <w:tc>
          <w:tcPr>
            <w:tcW w:w="1350" w:type="dxa"/>
            <w:vAlign w:val="center"/>
          </w:tcPr>
          <w:p w14:paraId="38389806" w14:textId="43372E64" w:rsidR="00B86ABE" w:rsidRPr="004859C8" w:rsidRDefault="00B86ABE" w:rsidP="00283F68">
            <w:pPr>
              <w:pStyle w:val="TMGTableText"/>
              <w:jc w:val="center"/>
            </w:pPr>
            <w:r>
              <w:t>3,0</w:t>
            </w:r>
            <w:r w:rsidRPr="0051590D">
              <w:t>80</w:t>
            </w:r>
          </w:p>
        </w:tc>
        <w:tc>
          <w:tcPr>
            <w:tcW w:w="1895" w:type="dxa"/>
            <w:vAlign w:val="center"/>
          </w:tcPr>
          <w:p w14:paraId="6E2CF552" w14:textId="36FB8367" w:rsidR="00B86ABE" w:rsidRPr="00C251E9" w:rsidRDefault="00B86ABE" w:rsidP="00283F68">
            <w:pPr>
              <w:pStyle w:val="TMGTableText"/>
              <w:jc w:val="center"/>
            </w:pPr>
            <w:r w:rsidRPr="0051590D">
              <w:t>2.2</w:t>
            </w:r>
          </w:p>
        </w:tc>
      </w:tr>
      <w:tr w:rsidR="00B86ABE" w14:paraId="0F744C06" w14:textId="77777777" w:rsidTr="00283F68">
        <w:trPr>
          <w:jc w:val="center"/>
        </w:trPr>
        <w:tc>
          <w:tcPr>
            <w:tcW w:w="2070" w:type="dxa"/>
            <w:vAlign w:val="center"/>
          </w:tcPr>
          <w:p w14:paraId="72524EBD" w14:textId="5099BE7E" w:rsidR="00B86ABE" w:rsidRPr="00C251E9" w:rsidRDefault="00B86ABE" w:rsidP="00283F68">
            <w:pPr>
              <w:pStyle w:val="TMGTableText"/>
              <w:jc w:val="center"/>
            </w:pPr>
            <w:r w:rsidRPr="0051590D">
              <w:t>3</w:t>
            </w:r>
          </w:p>
        </w:tc>
        <w:tc>
          <w:tcPr>
            <w:tcW w:w="1530" w:type="dxa"/>
            <w:vAlign w:val="center"/>
          </w:tcPr>
          <w:p w14:paraId="5AA3A3C4" w14:textId="69ECCE6C" w:rsidR="00B86ABE" w:rsidRPr="004859C8" w:rsidRDefault="00B86ABE" w:rsidP="00283F68">
            <w:pPr>
              <w:pStyle w:val="TMGTableText"/>
              <w:ind w:right="365"/>
              <w:jc w:val="right"/>
            </w:pPr>
            <w:r w:rsidRPr="0051590D">
              <w:t>45</w:t>
            </w:r>
          </w:p>
        </w:tc>
        <w:tc>
          <w:tcPr>
            <w:tcW w:w="1350" w:type="dxa"/>
            <w:vAlign w:val="center"/>
          </w:tcPr>
          <w:p w14:paraId="52CE80D3" w14:textId="3CB7F46E" w:rsidR="00B86ABE" w:rsidRPr="004859C8" w:rsidRDefault="00B86ABE" w:rsidP="00283F68">
            <w:pPr>
              <w:pStyle w:val="TMGTableText"/>
              <w:jc w:val="center"/>
            </w:pPr>
            <w:r>
              <w:t>103.5</w:t>
            </w:r>
          </w:p>
        </w:tc>
        <w:tc>
          <w:tcPr>
            <w:tcW w:w="1895" w:type="dxa"/>
            <w:vAlign w:val="center"/>
          </w:tcPr>
          <w:p w14:paraId="57310AB3" w14:textId="7828E8B7" w:rsidR="00B86ABE" w:rsidRPr="00C251E9" w:rsidRDefault="00B86ABE" w:rsidP="00283F68">
            <w:pPr>
              <w:pStyle w:val="TMGTableText"/>
              <w:jc w:val="center"/>
            </w:pPr>
            <w:r w:rsidRPr="0051590D">
              <w:t>2.3</w:t>
            </w:r>
          </w:p>
        </w:tc>
      </w:tr>
      <w:tr w:rsidR="00B86ABE" w14:paraId="12BD4B38" w14:textId="77777777" w:rsidTr="00283F68">
        <w:trPr>
          <w:jc w:val="center"/>
        </w:trPr>
        <w:tc>
          <w:tcPr>
            <w:tcW w:w="2070" w:type="dxa"/>
            <w:vAlign w:val="center"/>
          </w:tcPr>
          <w:p w14:paraId="5003A753" w14:textId="352DCB81" w:rsidR="00B86ABE" w:rsidRPr="00C251E9" w:rsidRDefault="00B86ABE" w:rsidP="00283F68">
            <w:pPr>
              <w:pStyle w:val="TMGTableText"/>
              <w:jc w:val="center"/>
            </w:pPr>
            <w:r w:rsidRPr="0051590D">
              <w:t>4</w:t>
            </w:r>
          </w:p>
        </w:tc>
        <w:tc>
          <w:tcPr>
            <w:tcW w:w="1530" w:type="dxa"/>
            <w:vAlign w:val="center"/>
          </w:tcPr>
          <w:p w14:paraId="3736EBA0" w14:textId="54749CA1" w:rsidR="00B86ABE" w:rsidRPr="004859C8" w:rsidRDefault="00B86ABE" w:rsidP="00283F68">
            <w:pPr>
              <w:pStyle w:val="TMGTableText"/>
              <w:ind w:right="365"/>
              <w:jc w:val="right"/>
            </w:pPr>
            <w:r w:rsidRPr="0051590D">
              <w:t>15</w:t>
            </w:r>
          </w:p>
        </w:tc>
        <w:tc>
          <w:tcPr>
            <w:tcW w:w="1350" w:type="dxa"/>
            <w:vAlign w:val="center"/>
          </w:tcPr>
          <w:p w14:paraId="50FA361C" w14:textId="18A9B8EA" w:rsidR="00B86ABE" w:rsidRPr="004859C8" w:rsidRDefault="00B86ABE" w:rsidP="00283F68">
            <w:pPr>
              <w:pStyle w:val="TMGTableText"/>
              <w:jc w:val="center"/>
            </w:pPr>
            <w:r w:rsidRPr="0051590D">
              <w:t>3</w:t>
            </w:r>
            <w:r>
              <w:t>1.5</w:t>
            </w:r>
          </w:p>
        </w:tc>
        <w:tc>
          <w:tcPr>
            <w:tcW w:w="1895" w:type="dxa"/>
            <w:vAlign w:val="center"/>
          </w:tcPr>
          <w:p w14:paraId="29FAB9F9" w14:textId="4227961D" w:rsidR="00B86ABE" w:rsidRPr="00C251E9" w:rsidRDefault="00B86ABE" w:rsidP="00283F68">
            <w:pPr>
              <w:pStyle w:val="TMGTableText"/>
              <w:jc w:val="center"/>
            </w:pPr>
            <w:r w:rsidRPr="0051590D">
              <w:t>2.1</w:t>
            </w:r>
          </w:p>
        </w:tc>
      </w:tr>
      <w:tr w:rsidR="00B86ABE" w14:paraId="01ED40B2" w14:textId="77777777" w:rsidTr="00283F68">
        <w:trPr>
          <w:jc w:val="center"/>
        </w:trPr>
        <w:tc>
          <w:tcPr>
            <w:tcW w:w="2070" w:type="dxa"/>
            <w:vAlign w:val="center"/>
          </w:tcPr>
          <w:p w14:paraId="4225C2F1" w14:textId="38E4E4A3" w:rsidR="00B86ABE" w:rsidRPr="00C251E9" w:rsidRDefault="00B86ABE" w:rsidP="00283F68">
            <w:pPr>
              <w:pStyle w:val="TMGTableText"/>
              <w:jc w:val="center"/>
            </w:pPr>
            <w:r w:rsidRPr="0051590D">
              <w:t>5</w:t>
            </w:r>
            <w:r w:rsidRPr="002A21CF">
              <w:rPr>
                <w:color w:val="auto"/>
              </w:rPr>
              <w:t>*</w:t>
            </w:r>
          </w:p>
        </w:tc>
        <w:tc>
          <w:tcPr>
            <w:tcW w:w="1530" w:type="dxa"/>
            <w:vAlign w:val="center"/>
          </w:tcPr>
          <w:p w14:paraId="3DB464E1" w14:textId="03B6BDB7" w:rsidR="00B86ABE" w:rsidRPr="004859C8" w:rsidRDefault="00B86ABE" w:rsidP="00283F68">
            <w:pPr>
              <w:pStyle w:val="TMGTableText"/>
              <w:ind w:right="365"/>
              <w:jc w:val="right"/>
            </w:pPr>
            <w:r w:rsidRPr="0051590D">
              <w:t>20</w:t>
            </w:r>
          </w:p>
        </w:tc>
        <w:tc>
          <w:tcPr>
            <w:tcW w:w="1350" w:type="dxa"/>
            <w:vAlign w:val="center"/>
          </w:tcPr>
          <w:p w14:paraId="4C8ED099" w14:textId="1498CD88" w:rsidR="00B86ABE" w:rsidRPr="004859C8" w:rsidRDefault="00B86ABE" w:rsidP="00283F68">
            <w:pPr>
              <w:pStyle w:val="TMGTableText"/>
              <w:jc w:val="center"/>
            </w:pPr>
            <w:r w:rsidRPr="0051590D">
              <w:t>40</w:t>
            </w:r>
            <w:r>
              <w:t>.0</w:t>
            </w:r>
          </w:p>
        </w:tc>
        <w:tc>
          <w:tcPr>
            <w:tcW w:w="1895" w:type="dxa"/>
            <w:vAlign w:val="center"/>
          </w:tcPr>
          <w:p w14:paraId="1DE554A7" w14:textId="451188C9" w:rsidR="00B86ABE" w:rsidRPr="00C251E9" w:rsidRDefault="00B86ABE" w:rsidP="00283F68">
            <w:pPr>
              <w:pStyle w:val="TMGTableText"/>
              <w:jc w:val="center"/>
            </w:pPr>
            <w:r w:rsidRPr="0051590D">
              <w:t>2.0</w:t>
            </w:r>
          </w:p>
        </w:tc>
      </w:tr>
      <w:tr w:rsidR="00B86ABE" w14:paraId="59E94030" w14:textId="77777777" w:rsidTr="00283F68">
        <w:trPr>
          <w:jc w:val="center"/>
        </w:trPr>
        <w:tc>
          <w:tcPr>
            <w:tcW w:w="2070" w:type="dxa"/>
            <w:vAlign w:val="center"/>
          </w:tcPr>
          <w:p w14:paraId="3E4DA734" w14:textId="402413B6" w:rsidR="00B86ABE" w:rsidRPr="00C251E9" w:rsidRDefault="00B86ABE" w:rsidP="00283F68">
            <w:pPr>
              <w:pStyle w:val="TMGTableText"/>
              <w:jc w:val="center"/>
            </w:pPr>
            <w:r w:rsidRPr="0051590D">
              <w:t>6</w:t>
            </w:r>
          </w:p>
        </w:tc>
        <w:tc>
          <w:tcPr>
            <w:tcW w:w="1530" w:type="dxa"/>
            <w:vAlign w:val="center"/>
          </w:tcPr>
          <w:p w14:paraId="44144324" w14:textId="4CB97191" w:rsidR="00B86ABE" w:rsidRPr="004859C8" w:rsidRDefault="00B86ABE" w:rsidP="00283F68">
            <w:pPr>
              <w:pStyle w:val="TMGTableText"/>
              <w:ind w:right="365"/>
              <w:jc w:val="right"/>
            </w:pPr>
            <w:r w:rsidRPr="0051590D">
              <w:t>40</w:t>
            </w:r>
          </w:p>
        </w:tc>
        <w:tc>
          <w:tcPr>
            <w:tcW w:w="1350" w:type="dxa"/>
            <w:vAlign w:val="center"/>
          </w:tcPr>
          <w:p w14:paraId="5860A055" w14:textId="0146ACC2" w:rsidR="00B86ABE" w:rsidRPr="004859C8" w:rsidRDefault="00B86ABE" w:rsidP="00283F68">
            <w:pPr>
              <w:pStyle w:val="TMGTableText"/>
              <w:jc w:val="center"/>
            </w:pPr>
            <w:r w:rsidRPr="0051590D">
              <w:t>120</w:t>
            </w:r>
            <w:r>
              <w:t>.0</w:t>
            </w:r>
          </w:p>
        </w:tc>
        <w:tc>
          <w:tcPr>
            <w:tcW w:w="1895" w:type="dxa"/>
            <w:vAlign w:val="center"/>
          </w:tcPr>
          <w:p w14:paraId="0DF3B812" w14:textId="0F5E433B" w:rsidR="00B86ABE" w:rsidRPr="00C251E9" w:rsidRDefault="00B86ABE" w:rsidP="00283F68">
            <w:pPr>
              <w:pStyle w:val="TMGTableText"/>
              <w:jc w:val="center"/>
            </w:pPr>
            <w:r w:rsidRPr="0051590D">
              <w:t>3.0</w:t>
            </w:r>
          </w:p>
        </w:tc>
      </w:tr>
      <w:tr w:rsidR="00B86ABE" w14:paraId="7B68064B" w14:textId="77777777" w:rsidTr="00283F68">
        <w:trPr>
          <w:jc w:val="center"/>
        </w:trPr>
        <w:tc>
          <w:tcPr>
            <w:tcW w:w="2070" w:type="dxa"/>
            <w:vAlign w:val="center"/>
          </w:tcPr>
          <w:p w14:paraId="1DAA93EC" w14:textId="4315066F" w:rsidR="00B86ABE" w:rsidRPr="00C251E9" w:rsidRDefault="00B86ABE" w:rsidP="00283F68">
            <w:pPr>
              <w:pStyle w:val="TMGTableText"/>
              <w:jc w:val="center"/>
            </w:pPr>
            <w:r w:rsidRPr="0051590D">
              <w:t>7</w:t>
            </w:r>
          </w:p>
        </w:tc>
        <w:tc>
          <w:tcPr>
            <w:tcW w:w="1530" w:type="dxa"/>
            <w:vAlign w:val="center"/>
          </w:tcPr>
          <w:p w14:paraId="33F97EBB" w14:textId="2E45DD1E" w:rsidR="00B86ABE" w:rsidRPr="004859C8" w:rsidRDefault="00B86ABE" w:rsidP="00283F68">
            <w:pPr>
              <w:pStyle w:val="TMGTableText"/>
              <w:ind w:right="365"/>
              <w:jc w:val="right"/>
            </w:pPr>
            <w:r w:rsidRPr="0051590D">
              <w:t>5</w:t>
            </w:r>
          </w:p>
        </w:tc>
        <w:tc>
          <w:tcPr>
            <w:tcW w:w="1350" w:type="dxa"/>
            <w:vAlign w:val="center"/>
          </w:tcPr>
          <w:p w14:paraId="057F960B" w14:textId="49408D18" w:rsidR="00B86ABE" w:rsidRPr="004859C8" w:rsidRDefault="00B86ABE" w:rsidP="00283F68">
            <w:pPr>
              <w:pStyle w:val="TMGTableText"/>
              <w:jc w:val="center"/>
            </w:pPr>
            <w:r w:rsidRPr="0051590D">
              <w:t>2</w:t>
            </w:r>
            <w:r>
              <w:t>1.</w:t>
            </w:r>
            <w:r w:rsidRPr="0051590D">
              <w:t>0</w:t>
            </w:r>
          </w:p>
        </w:tc>
        <w:tc>
          <w:tcPr>
            <w:tcW w:w="1895" w:type="dxa"/>
            <w:vAlign w:val="center"/>
          </w:tcPr>
          <w:p w14:paraId="0AABC9C3" w14:textId="4C71B4F6" w:rsidR="00B86ABE" w:rsidRPr="00C251E9" w:rsidRDefault="00B86ABE" w:rsidP="00283F68">
            <w:pPr>
              <w:pStyle w:val="TMGTableText"/>
              <w:jc w:val="center"/>
            </w:pPr>
            <w:r w:rsidRPr="0051590D">
              <w:t>4.2</w:t>
            </w:r>
          </w:p>
        </w:tc>
      </w:tr>
      <w:tr w:rsidR="00B86ABE" w14:paraId="7CE8426D" w14:textId="77777777" w:rsidTr="00283F68">
        <w:trPr>
          <w:jc w:val="center"/>
        </w:trPr>
        <w:tc>
          <w:tcPr>
            <w:tcW w:w="2070" w:type="dxa"/>
            <w:vAlign w:val="center"/>
          </w:tcPr>
          <w:p w14:paraId="7276C20E" w14:textId="18A49795" w:rsidR="00B86ABE" w:rsidRPr="00C251E9" w:rsidRDefault="00B86ABE" w:rsidP="00283F68">
            <w:pPr>
              <w:pStyle w:val="TMGTableText"/>
              <w:jc w:val="center"/>
            </w:pPr>
            <w:r w:rsidRPr="0051590D">
              <w:t>8</w:t>
            </w:r>
          </w:p>
        </w:tc>
        <w:tc>
          <w:tcPr>
            <w:tcW w:w="1530" w:type="dxa"/>
            <w:vAlign w:val="center"/>
          </w:tcPr>
          <w:p w14:paraId="50FF9A1B" w14:textId="41381E6E" w:rsidR="00B86ABE" w:rsidRPr="004859C8" w:rsidRDefault="00B86ABE" w:rsidP="00283F68">
            <w:pPr>
              <w:pStyle w:val="TMGTableText"/>
              <w:ind w:right="365"/>
              <w:jc w:val="right"/>
            </w:pPr>
            <w:r w:rsidRPr="0051590D">
              <w:t>15</w:t>
            </w:r>
          </w:p>
        </w:tc>
        <w:tc>
          <w:tcPr>
            <w:tcW w:w="1350" w:type="dxa"/>
            <w:vAlign w:val="center"/>
          </w:tcPr>
          <w:p w14:paraId="78C7E3EF" w14:textId="20F42C5E" w:rsidR="00B86ABE" w:rsidRPr="004859C8" w:rsidRDefault="00B86ABE" w:rsidP="00283F68">
            <w:pPr>
              <w:pStyle w:val="TMGTableText"/>
              <w:jc w:val="center"/>
            </w:pPr>
            <w:r>
              <w:t>58</w:t>
            </w:r>
          </w:p>
        </w:tc>
        <w:tc>
          <w:tcPr>
            <w:tcW w:w="1895" w:type="dxa"/>
            <w:vAlign w:val="center"/>
          </w:tcPr>
          <w:p w14:paraId="278037C5" w14:textId="5256D3C9" w:rsidR="00B86ABE" w:rsidRPr="00C251E9" w:rsidRDefault="00B86ABE" w:rsidP="00283F68">
            <w:pPr>
              <w:pStyle w:val="TMGTableText"/>
              <w:jc w:val="center"/>
            </w:pPr>
            <w:r w:rsidRPr="0051590D">
              <w:t>3.9</w:t>
            </w:r>
          </w:p>
        </w:tc>
      </w:tr>
      <w:tr w:rsidR="00B86ABE" w14:paraId="5475706F" w14:textId="77777777" w:rsidTr="00283F68">
        <w:trPr>
          <w:jc w:val="center"/>
        </w:trPr>
        <w:tc>
          <w:tcPr>
            <w:tcW w:w="2070" w:type="dxa"/>
            <w:vAlign w:val="center"/>
          </w:tcPr>
          <w:p w14:paraId="77CB6C5B" w14:textId="7D57FF00" w:rsidR="00B86ABE" w:rsidRPr="00C251E9" w:rsidRDefault="00B86ABE" w:rsidP="00283F68">
            <w:pPr>
              <w:pStyle w:val="TMGTableText"/>
              <w:jc w:val="center"/>
            </w:pPr>
            <w:r w:rsidRPr="0051590D">
              <w:t>9</w:t>
            </w:r>
          </w:p>
        </w:tc>
        <w:tc>
          <w:tcPr>
            <w:tcW w:w="1530" w:type="dxa"/>
            <w:vAlign w:val="center"/>
          </w:tcPr>
          <w:p w14:paraId="5208CFFA" w14:textId="6807A45A" w:rsidR="00B86ABE" w:rsidRPr="004859C8" w:rsidRDefault="00B86ABE" w:rsidP="00283F68">
            <w:pPr>
              <w:pStyle w:val="TMGTableText"/>
              <w:ind w:right="365"/>
              <w:jc w:val="right"/>
            </w:pPr>
            <w:r w:rsidRPr="0051590D">
              <w:t>120</w:t>
            </w:r>
          </w:p>
        </w:tc>
        <w:tc>
          <w:tcPr>
            <w:tcW w:w="1350" w:type="dxa"/>
            <w:vAlign w:val="center"/>
          </w:tcPr>
          <w:p w14:paraId="371F7978" w14:textId="083904D7" w:rsidR="00B86ABE" w:rsidRPr="004859C8" w:rsidRDefault="00B86ABE" w:rsidP="00283F68">
            <w:pPr>
              <w:pStyle w:val="TMGTableText"/>
              <w:jc w:val="center"/>
            </w:pPr>
            <w:r w:rsidRPr="0051590D">
              <w:t>600</w:t>
            </w:r>
          </w:p>
        </w:tc>
        <w:tc>
          <w:tcPr>
            <w:tcW w:w="1895" w:type="dxa"/>
            <w:vAlign w:val="center"/>
          </w:tcPr>
          <w:p w14:paraId="4D83CDA7" w14:textId="0E7B4E0D" w:rsidR="00B86ABE" w:rsidRPr="00C251E9" w:rsidRDefault="00B86ABE" w:rsidP="00283F68">
            <w:pPr>
              <w:pStyle w:val="TMGTableText"/>
              <w:jc w:val="center"/>
            </w:pPr>
            <w:r w:rsidRPr="0051590D">
              <w:t>5.0</w:t>
            </w:r>
          </w:p>
        </w:tc>
      </w:tr>
      <w:tr w:rsidR="00B86ABE" w14:paraId="52174AE1" w14:textId="77777777" w:rsidTr="00283F68">
        <w:trPr>
          <w:jc w:val="center"/>
        </w:trPr>
        <w:tc>
          <w:tcPr>
            <w:tcW w:w="2070" w:type="dxa"/>
            <w:vAlign w:val="center"/>
          </w:tcPr>
          <w:p w14:paraId="1A35018D" w14:textId="33DE94F8" w:rsidR="00B86ABE" w:rsidRPr="00C251E9" w:rsidRDefault="00B86ABE" w:rsidP="00283F68">
            <w:pPr>
              <w:pStyle w:val="TMGTableText"/>
              <w:jc w:val="center"/>
              <w:rPr>
                <w:b/>
                <w:bCs/>
              </w:rPr>
            </w:pPr>
            <w:r w:rsidRPr="0051590D">
              <w:t>10</w:t>
            </w:r>
          </w:p>
        </w:tc>
        <w:tc>
          <w:tcPr>
            <w:tcW w:w="1530" w:type="dxa"/>
            <w:vAlign w:val="center"/>
          </w:tcPr>
          <w:p w14:paraId="7E894301" w14:textId="2B6E0711" w:rsidR="00B86ABE" w:rsidRPr="004859C8" w:rsidRDefault="00B86ABE" w:rsidP="00283F68">
            <w:pPr>
              <w:pStyle w:val="TMGTableText"/>
              <w:ind w:right="365"/>
              <w:jc w:val="right"/>
            </w:pPr>
            <w:r w:rsidRPr="0051590D">
              <w:t>5</w:t>
            </w:r>
          </w:p>
        </w:tc>
        <w:tc>
          <w:tcPr>
            <w:tcW w:w="1350" w:type="dxa"/>
            <w:vAlign w:val="center"/>
          </w:tcPr>
          <w:p w14:paraId="72DC73D2" w14:textId="3711CF73" w:rsidR="00B86ABE" w:rsidRPr="004859C8" w:rsidRDefault="00B86ABE" w:rsidP="00283F68">
            <w:pPr>
              <w:pStyle w:val="TMGTableText"/>
              <w:jc w:val="center"/>
            </w:pPr>
            <w:r w:rsidRPr="0051590D">
              <w:t>3</w:t>
            </w:r>
            <w:r>
              <w:t>2</w:t>
            </w:r>
          </w:p>
        </w:tc>
        <w:tc>
          <w:tcPr>
            <w:tcW w:w="1895" w:type="dxa"/>
            <w:vAlign w:val="center"/>
          </w:tcPr>
          <w:p w14:paraId="0E54463D" w14:textId="41503210" w:rsidR="00B86ABE" w:rsidRPr="00C251E9" w:rsidRDefault="00B86ABE" w:rsidP="00283F68">
            <w:pPr>
              <w:pStyle w:val="TMGTableText"/>
              <w:jc w:val="center"/>
            </w:pPr>
            <w:r w:rsidRPr="0051590D">
              <w:t>6.4</w:t>
            </w:r>
          </w:p>
        </w:tc>
      </w:tr>
      <w:tr w:rsidR="00B86ABE" w14:paraId="29BF756C" w14:textId="77777777" w:rsidTr="00283F68">
        <w:trPr>
          <w:jc w:val="center"/>
        </w:trPr>
        <w:tc>
          <w:tcPr>
            <w:tcW w:w="2070" w:type="dxa"/>
            <w:vAlign w:val="center"/>
          </w:tcPr>
          <w:p w14:paraId="72976F85" w14:textId="7D05AC35" w:rsidR="00B86ABE" w:rsidRPr="00C251E9" w:rsidRDefault="00B86ABE" w:rsidP="00283F68">
            <w:pPr>
              <w:pStyle w:val="TMGTableText"/>
              <w:jc w:val="center"/>
              <w:rPr>
                <w:b/>
                <w:bCs/>
              </w:rPr>
            </w:pPr>
            <w:r w:rsidRPr="0051590D">
              <w:t>11</w:t>
            </w:r>
          </w:p>
        </w:tc>
        <w:tc>
          <w:tcPr>
            <w:tcW w:w="1530" w:type="dxa"/>
            <w:vAlign w:val="center"/>
          </w:tcPr>
          <w:p w14:paraId="369E29FE" w14:textId="3C9D6DFF" w:rsidR="00B86ABE" w:rsidRPr="004859C8" w:rsidRDefault="00B86ABE" w:rsidP="00283F68">
            <w:pPr>
              <w:pStyle w:val="TMGTableText"/>
              <w:ind w:right="365"/>
              <w:jc w:val="right"/>
            </w:pPr>
            <w:r w:rsidRPr="0051590D">
              <w:t>15</w:t>
            </w:r>
          </w:p>
        </w:tc>
        <w:tc>
          <w:tcPr>
            <w:tcW w:w="1350" w:type="dxa"/>
            <w:vAlign w:val="center"/>
          </w:tcPr>
          <w:p w14:paraId="6CBDC5AB" w14:textId="7E91B5D6" w:rsidR="00B86ABE" w:rsidRPr="004859C8" w:rsidRDefault="00B86ABE" w:rsidP="00283F68">
            <w:pPr>
              <w:pStyle w:val="TMGTableText"/>
              <w:jc w:val="center"/>
            </w:pPr>
            <w:r w:rsidRPr="0051590D">
              <w:t>7</w:t>
            </w:r>
            <w:r>
              <w:t>3.</w:t>
            </w:r>
            <w:r w:rsidRPr="0051590D">
              <w:t>5</w:t>
            </w:r>
          </w:p>
        </w:tc>
        <w:tc>
          <w:tcPr>
            <w:tcW w:w="1895" w:type="dxa"/>
            <w:vAlign w:val="center"/>
          </w:tcPr>
          <w:p w14:paraId="47552D80" w14:textId="36F9C9A7" w:rsidR="00B86ABE" w:rsidRPr="00C251E9" w:rsidRDefault="00B86ABE" w:rsidP="00283F68">
            <w:pPr>
              <w:pStyle w:val="TMGTableText"/>
              <w:jc w:val="center"/>
            </w:pPr>
            <w:r w:rsidRPr="0051590D">
              <w:t>4.9</w:t>
            </w:r>
          </w:p>
        </w:tc>
      </w:tr>
      <w:tr w:rsidR="00B86ABE" w14:paraId="29AE1A2D" w14:textId="77777777" w:rsidTr="00283F68">
        <w:trPr>
          <w:jc w:val="center"/>
        </w:trPr>
        <w:tc>
          <w:tcPr>
            <w:tcW w:w="2070" w:type="dxa"/>
            <w:vAlign w:val="center"/>
          </w:tcPr>
          <w:p w14:paraId="27A3821D" w14:textId="5DAC5D58" w:rsidR="00B86ABE" w:rsidRPr="00C251E9" w:rsidRDefault="00B86ABE" w:rsidP="00283F68">
            <w:pPr>
              <w:pStyle w:val="TMGTableText"/>
              <w:jc w:val="center"/>
              <w:rPr>
                <w:b/>
                <w:bCs/>
              </w:rPr>
            </w:pPr>
            <w:r w:rsidRPr="0051590D">
              <w:t>12</w:t>
            </w:r>
          </w:p>
        </w:tc>
        <w:tc>
          <w:tcPr>
            <w:tcW w:w="1530" w:type="dxa"/>
            <w:vAlign w:val="center"/>
          </w:tcPr>
          <w:p w14:paraId="46C34928" w14:textId="27B9EFB3" w:rsidR="00B86ABE" w:rsidRPr="004859C8" w:rsidRDefault="00B86ABE" w:rsidP="00283F68">
            <w:pPr>
              <w:pStyle w:val="TMGTableText"/>
              <w:ind w:right="365"/>
              <w:jc w:val="right"/>
            </w:pPr>
            <w:r w:rsidRPr="0051590D">
              <w:t>5</w:t>
            </w:r>
          </w:p>
        </w:tc>
        <w:tc>
          <w:tcPr>
            <w:tcW w:w="1350" w:type="dxa"/>
            <w:vAlign w:val="center"/>
          </w:tcPr>
          <w:p w14:paraId="4CDA6D54" w14:textId="232D6C50" w:rsidR="00B86ABE" w:rsidRPr="004859C8" w:rsidRDefault="00B86ABE" w:rsidP="00283F68">
            <w:pPr>
              <w:pStyle w:val="TMGTableText"/>
              <w:jc w:val="center"/>
            </w:pPr>
            <w:r w:rsidRPr="0051590D">
              <w:t>30</w:t>
            </w:r>
          </w:p>
        </w:tc>
        <w:tc>
          <w:tcPr>
            <w:tcW w:w="1895" w:type="dxa"/>
            <w:vAlign w:val="center"/>
          </w:tcPr>
          <w:p w14:paraId="72A11BA2" w14:textId="20A0FB14" w:rsidR="00B86ABE" w:rsidRPr="00C251E9" w:rsidRDefault="00B86ABE" w:rsidP="00283F68">
            <w:pPr>
              <w:pStyle w:val="TMGTableText"/>
              <w:jc w:val="center"/>
            </w:pPr>
            <w:r w:rsidRPr="0051590D">
              <w:t>6.0</w:t>
            </w:r>
          </w:p>
        </w:tc>
      </w:tr>
      <w:tr w:rsidR="00B86ABE" w14:paraId="535D6C8F" w14:textId="77777777" w:rsidTr="00283F68">
        <w:trPr>
          <w:jc w:val="center"/>
        </w:trPr>
        <w:tc>
          <w:tcPr>
            <w:tcW w:w="2070" w:type="dxa"/>
            <w:vAlign w:val="center"/>
          </w:tcPr>
          <w:p w14:paraId="12B84B9C" w14:textId="3885EEFB" w:rsidR="00B86ABE" w:rsidRPr="00C251E9" w:rsidRDefault="00B86ABE" w:rsidP="00283F68">
            <w:pPr>
              <w:pStyle w:val="TMGTableText"/>
              <w:jc w:val="center"/>
              <w:rPr>
                <w:b/>
                <w:bCs/>
              </w:rPr>
            </w:pPr>
            <w:r w:rsidRPr="0051590D">
              <w:t>13</w:t>
            </w:r>
          </w:p>
        </w:tc>
        <w:tc>
          <w:tcPr>
            <w:tcW w:w="1530" w:type="dxa"/>
            <w:vAlign w:val="center"/>
          </w:tcPr>
          <w:p w14:paraId="43395399" w14:textId="5ACCE2B7" w:rsidR="00B86ABE" w:rsidRPr="004859C8" w:rsidRDefault="00B86ABE" w:rsidP="00283F68">
            <w:pPr>
              <w:pStyle w:val="TMGTableText"/>
              <w:ind w:right="365"/>
              <w:jc w:val="right"/>
            </w:pPr>
            <w:r w:rsidRPr="0051590D">
              <w:t>10</w:t>
            </w:r>
          </w:p>
        </w:tc>
        <w:tc>
          <w:tcPr>
            <w:tcW w:w="1350" w:type="dxa"/>
            <w:vAlign w:val="center"/>
          </w:tcPr>
          <w:p w14:paraId="0948E9B4" w14:textId="01226605" w:rsidR="00B86ABE" w:rsidRPr="004859C8" w:rsidRDefault="00B86ABE" w:rsidP="00283F68">
            <w:pPr>
              <w:pStyle w:val="TMGTableText"/>
              <w:jc w:val="center"/>
            </w:pPr>
            <w:r w:rsidRPr="0051590D">
              <w:t>7</w:t>
            </w:r>
            <w:r>
              <w:t>5</w:t>
            </w:r>
          </w:p>
        </w:tc>
        <w:tc>
          <w:tcPr>
            <w:tcW w:w="1895" w:type="dxa"/>
            <w:vAlign w:val="center"/>
          </w:tcPr>
          <w:p w14:paraId="4D3A5F0E" w14:textId="1FB071A2" w:rsidR="00B86ABE" w:rsidRPr="00C251E9" w:rsidRDefault="00B86ABE" w:rsidP="00283F68">
            <w:pPr>
              <w:pStyle w:val="TMGTableText"/>
              <w:jc w:val="center"/>
            </w:pPr>
            <w:r w:rsidRPr="0051590D">
              <w:t>7.5</w:t>
            </w:r>
          </w:p>
        </w:tc>
      </w:tr>
      <w:tr w:rsidR="00B86ABE" w14:paraId="1BBFCA03" w14:textId="77777777" w:rsidTr="00283F68">
        <w:trPr>
          <w:jc w:val="center"/>
        </w:trPr>
        <w:tc>
          <w:tcPr>
            <w:tcW w:w="2070" w:type="dxa"/>
            <w:vAlign w:val="center"/>
          </w:tcPr>
          <w:p w14:paraId="0A85E700" w14:textId="052DF040" w:rsidR="00B86ABE" w:rsidRPr="002A21CF" w:rsidRDefault="00B86ABE" w:rsidP="00283F68">
            <w:pPr>
              <w:pStyle w:val="TMGTableText"/>
              <w:jc w:val="center"/>
              <w:rPr>
                <w:b/>
                <w:bCs/>
              </w:rPr>
            </w:pPr>
            <w:r w:rsidRPr="002A21CF">
              <w:rPr>
                <w:rStyle w:val="Bold"/>
                <w:rFonts w:eastAsiaTheme="minorEastAsia"/>
                <w:b/>
                <w:bCs/>
              </w:rPr>
              <w:t>Total Volume</w:t>
            </w:r>
          </w:p>
        </w:tc>
        <w:tc>
          <w:tcPr>
            <w:tcW w:w="1530" w:type="dxa"/>
            <w:vAlign w:val="center"/>
          </w:tcPr>
          <w:p w14:paraId="4DFB8EF7" w14:textId="4F0426F3" w:rsidR="00B86ABE" w:rsidRPr="004859C8" w:rsidRDefault="00B86ABE" w:rsidP="00283F68">
            <w:pPr>
              <w:pStyle w:val="TMGTableText"/>
              <w:ind w:right="365"/>
              <w:jc w:val="right"/>
            </w:pPr>
            <w:r w:rsidRPr="0051590D">
              <w:rPr>
                <w:rStyle w:val="Bold"/>
                <w:rFonts w:eastAsiaTheme="minorEastAsia"/>
              </w:rPr>
              <w:t>1,795</w:t>
            </w:r>
          </w:p>
        </w:tc>
        <w:tc>
          <w:tcPr>
            <w:tcW w:w="1350" w:type="dxa"/>
            <w:vAlign w:val="center"/>
          </w:tcPr>
          <w:p w14:paraId="46A87AC3" w14:textId="77777777" w:rsidR="00B86ABE" w:rsidRPr="004859C8" w:rsidRDefault="00B86ABE" w:rsidP="00283F68">
            <w:pPr>
              <w:pStyle w:val="TMGTableText"/>
              <w:jc w:val="center"/>
            </w:pPr>
          </w:p>
        </w:tc>
        <w:tc>
          <w:tcPr>
            <w:tcW w:w="1895" w:type="dxa"/>
            <w:vAlign w:val="center"/>
          </w:tcPr>
          <w:p w14:paraId="487A6D4C" w14:textId="77777777" w:rsidR="00B86ABE" w:rsidRPr="00C251E9" w:rsidRDefault="00B86ABE" w:rsidP="00283F68">
            <w:pPr>
              <w:pStyle w:val="TMGTableText"/>
              <w:jc w:val="center"/>
            </w:pPr>
          </w:p>
        </w:tc>
      </w:tr>
      <w:tr w:rsidR="00B86ABE" w14:paraId="3D677F2F" w14:textId="77777777" w:rsidTr="00283F68">
        <w:trPr>
          <w:jc w:val="center"/>
        </w:trPr>
        <w:tc>
          <w:tcPr>
            <w:tcW w:w="2070" w:type="dxa"/>
            <w:vAlign w:val="center"/>
          </w:tcPr>
          <w:p w14:paraId="5A7EBE93" w14:textId="4E666B4A" w:rsidR="00B86ABE" w:rsidRPr="008815FB" w:rsidRDefault="00B86ABE" w:rsidP="00283F68">
            <w:pPr>
              <w:pStyle w:val="TMGTableText"/>
              <w:jc w:val="center"/>
              <w:rPr>
                <w:rStyle w:val="Bold"/>
                <w:rFonts w:eastAsiaTheme="minorEastAsia"/>
                <w:b/>
                <w:bCs/>
              </w:rPr>
            </w:pPr>
            <w:r w:rsidRPr="008815FB">
              <w:rPr>
                <w:rStyle w:val="Bold"/>
                <w:rFonts w:eastAsiaTheme="minorEastAsia"/>
                <w:b/>
                <w:bCs/>
              </w:rPr>
              <w:t>Total Number of Axles</w:t>
            </w:r>
          </w:p>
        </w:tc>
        <w:tc>
          <w:tcPr>
            <w:tcW w:w="1530" w:type="dxa"/>
            <w:vAlign w:val="center"/>
          </w:tcPr>
          <w:p w14:paraId="4B61E119" w14:textId="77777777" w:rsidR="00B86ABE" w:rsidRPr="004859C8" w:rsidRDefault="00B86ABE" w:rsidP="00283F68">
            <w:pPr>
              <w:pStyle w:val="TMGTableText"/>
              <w:jc w:val="right"/>
            </w:pPr>
          </w:p>
        </w:tc>
        <w:tc>
          <w:tcPr>
            <w:tcW w:w="1350" w:type="dxa"/>
            <w:vAlign w:val="center"/>
          </w:tcPr>
          <w:p w14:paraId="050551CE" w14:textId="6D57081C" w:rsidR="00B86ABE" w:rsidRPr="004859C8" w:rsidRDefault="00B86ABE" w:rsidP="00283F68">
            <w:pPr>
              <w:pStyle w:val="TMGTableText"/>
              <w:jc w:val="center"/>
            </w:pPr>
            <w:r w:rsidRPr="0051590D">
              <w:rPr>
                <w:rStyle w:val="Bold"/>
                <w:rFonts w:eastAsiaTheme="minorEastAsia"/>
              </w:rPr>
              <w:t>4,</w:t>
            </w:r>
            <w:r>
              <w:rPr>
                <w:rStyle w:val="Bold"/>
                <w:rFonts w:eastAsiaTheme="minorEastAsia"/>
              </w:rPr>
              <w:t>4</w:t>
            </w:r>
            <w:r w:rsidRPr="0051590D">
              <w:rPr>
                <w:rStyle w:val="Bold"/>
                <w:rFonts w:eastAsiaTheme="minorEastAsia"/>
              </w:rPr>
              <w:t>65</w:t>
            </w:r>
          </w:p>
        </w:tc>
        <w:tc>
          <w:tcPr>
            <w:tcW w:w="1895" w:type="dxa"/>
            <w:vAlign w:val="center"/>
          </w:tcPr>
          <w:p w14:paraId="381FF785" w14:textId="77777777" w:rsidR="00B86ABE" w:rsidRPr="00C251E9" w:rsidRDefault="00B86ABE" w:rsidP="00283F68">
            <w:pPr>
              <w:pStyle w:val="TMGTableText"/>
              <w:jc w:val="center"/>
            </w:pPr>
          </w:p>
        </w:tc>
      </w:tr>
      <w:tr w:rsidR="00B86ABE" w14:paraId="3FFB0B43" w14:textId="77777777" w:rsidTr="00283F68">
        <w:trPr>
          <w:jc w:val="center"/>
        </w:trPr>
        <w:tc>
          <w:tcPr>
            <w:tcW w:w="2070" w:type="dxa"/>
            <w:vAlign w:val="center"/>
          </w:tcPr>
          <w:p w14:paraId="2D1315E3" w14:textId="4A2EDDE2" w:rsidR="00B86ABE" w:rsidRPr="008815FB" w:rsidRDefault="00B86ABE" w:rsidP="00283F68">
            <w:pPr>
              <w:pStyle w:val="TMGTableText"/>
              <w:jc w:val="center"/>
              <w:rPr>
                <w:rStyle w:val="Bold"/>
                <w:rFonts w:eastAsiaTheme="minorEastAsia"/>
                <w:b/>
                <w:bCs/>
              </w:rPr>
            </w:pPr>
            <w:r w:rsidRPr="008815FB">
              <w:rPr>
                <w:rStyle w:val="Bold"/>
                <w:rFonts w:eastAsiaTheme="minorEastAsia"/>
                <w:b/>
                <w:bCs/>
              </w:rPr>
              <w:t>Average Number of Axles Per Vehicle</w:t>
            </w:r>
          </w:p>
        </w:tc>
        <w:tc>
          <w:tcPr>
            <w:tcW w:w="1530" w:type="dxa"/>
            <w:vAlign w:val="center"/>
          </w:tcPr>
          <w:p w14:paraId="503B7424" w14:textId="77777777" w:rsidR="00B86ABE" w:rsidRPr="004859C8" w:rsidRDefault="00B86ABE" w:rsidP="00283F68">
            <w:pPr>
              <w:pStyle w:val="TMGTableText"/>
              <w:jc w:val="right"/>
            </w:pPr>
          </w:p>
        </w:tc>
        <w:tc>
          <w:tcPr>
            <w:tcW w:w="1350" w:type="dxa"/>
            <w:vAlign w:val="center"/>
          </w:tcPr>
          <w:p w14:paraId="076D2729" w14:textId="77777777" w:rsidR="00B86ABE" w:rsidRPr="004859C8" w:rsidRDefault="00B86ABE" w:rsidP="00283F68">
            <w:pPr>
              <w:pStyle w:val="TMGTableText"/>
              <w:jc w:val="center"/>
            </w:pPr>
          </w:p>
        </w:tc>
        <w:tc>
          <w:tcPr>
            <w:tcW w:w="1895" w:type="dxa"/>
            <w:vAlign w:val="center"/>
          </w:tcPr>
          <w:p w14:paraId="0183FFDA" w14:textId="3EDF1BCC" w:rsidR="00B86ABE" w:rsidRPr="00C251E9" w:rsidRDefault="00B86ABE" w:rsidP="00283F68">
            <w:pPr>
              <w:pStyle w:val="TMGTableText"/>
              <w:jc w:val="center"/>
            </w:pPr>
            <w:r w:rsidRPr="00F019FF">
              <w:rPr>
                <w:rStyle w:val="Bold"/>
                <w:rFonts w:eastAsiaTheme="minorEastAsia"/>
                <w:color w:val="auto"/>
              </w:rPr>
              <w:t>2.49</w:t>
            </w:r>
          </w:p>
        </w:tc>
      </w:tr>
    </w:tbl>
    <w:p w14:paraId="61B6A8FA" w14:textId="19FC7D69" w:rsidR="003F7B9F" w:rsidRPr="00F019FF" w:rsidRDefault="003F7B9F" w:rsidP="00B86ABE">
      <w:pPr>
        <w:pStyle w:val="CommentText"/>
        <w:ind w:left="1260" w:right="1260"/>
        <w:rPr>
          <w:rFonts w:ascii="Calibri" w:hAnsi="Calibri" w:cs="Calibri"/>
          <w:color w:val="auto"/>
        </w:rPr>
      </w:pPr>
      <w:r w:rsidRPr="00F019FF">
        <w:rPr>
          <w:rFonts w:cs="Calibri"/>
          <w:i/>
          <w:color w:val="auto"/>
        </w:rPr>
        <w:t>*Class 5 – vehicles with trailers should not be put in class 5 (i.e.</w:t>
      </w:r>
      <w:r w:rsidR="00624E6D">
        <w:rPr>
          <w:rFonts w:cs="Calibri"/>
          <w:i/>
          <w:color w:val="auto"/>
        </w:rPr>
        <w:t>,</w:t>
      </w:r>
      <w:r w:rsidRPr="00F019FF">
        <w:rPr>
          <w:rFonts w:cs="Calibri"/>
          <w:i/>
          <w:color w:val="auto"/>
        </w:rPr>
        <w:t xml:space="preserve"> class 5 cannot have a trailer)</w:t>
      </w:r>
      <w:r w:rsidR="00624E6D">
        <w:rPr>
          <w:rFonts w:cs="Calibri"/>
          <w:i/>
          <w:color w:val="auto"/>
        </w:rPr>
        <w:t>.</w:t>
      </w:r>
      <w:r w:rsidRPr="00F019FF">
        <w:rPr>
          <w:rFonts w:cs="Calibri"/>
          <w:i/>
          <w:color w:val="auto"/>
        </w:rPr>
        <w:t xml:space="preserve"> For </w:t>
      </w:r>
      <w:r w:rsidR="00624E6D">
        <w:rPr>
          <w:rFonts w:cs="Calibri"/>
          <w:i/>
          <w:color w:val="auto"/>
        </w:rPr>
        <w:t>e</w:t>
      </w:r>
      <w:r w:rsidRPr="00F019FF">
        <w:rPr>
          <w:rFonts w:cs="Calibri"/>
          <w:i/>
          <w:color w:val="auto"/>
        </w:rPr>
        <w:t>xample</w:t>
      </w:r>
      <w:r w:rsidR="00624E6D">
        <w:rPr>
          <w:rFonts w:cs="Calibri"/>
          <w:i/>
          <w:color w:val="auto"/>
        </w:rPr>
        <w:t>, an</w:t>
      </w:r>
      <w:r w:rsidRPr="00F019FF">
        <w:rPr>
          <w:rFonts w:cs="Calibri"/>
          <w:i/>
          <w:color w:val="auto"/>
        </w:rPr>
        <w:t xml:space="preserve"> RV with a boat/etc. should not be classified as 5.</w:t>
      </w:r>
    </w:p>
    <w:p w14:paraId="622615E1" w14:textId="056B0F5D" w:rsidR="003F7B9F" w:rsidRPr="001546EF" w:rsidRDefault="003F7B9F">
      <w:pPr>
        <w:pStyle w:val="Heading3"/>
      </w:pPr>
      <w:bookmarkStart w:id="2664" w:name="_Toc45604668"/>
      <w:bookmarkStart w:id="2665" w:name="_Toc68190249"/>
      <w:bookmarkStart w:id="2666" w:name="_Toc118205674"/>
      <w:r w:rsidRPr="001546EF">
        <w:t>Factoring Short Term Counts</w:t>
      </w:r>
      <w:bookmarkEnd w:id="2664"/>
      <w:bookmarkEnd w:id="2665"/>
      <w:bookmarkEnd w:id="2666"/>
    </w:p>
    <w:p w14:paraId="70279901" w14:textId="60036C36" w:rsidR="00831FAC" w:rsidRPr="00C5257D" w:rsidRDefault="00831FAC" w:rsidP="00A35EAF">
      <w:pPr>
        <w:pStyle w:val="BodyText"/>
      </w:pPr>
      <w:bookmarkStart w:id="2667" w:name="_Toc45604669"/>
      <w:bookmarkStart w:id="2668" w:name="_Toc63977933"/>
      <w:bookmarkStart w:id="2669" w:name="_Toc63982681"/>
      <w:bookmarkStart w:id="2670" w:name="_Toc68190250"/>
      <w:r>
        <w:t xml:space="preserve">Short-term volume counts require several adjustments to convert a daily traffic volume or vehicle classification raw count into an estimate of AADT. </w:t>
      </w:r>
    </w:p>
    <w:p w14:paraId="3A25A84F" w14:textId="2354851E" w:rsidR="00831FAC" w:rsidRPr="00F019FF" w:rsidRDefault="00831FAC" w:rsidP="00A35EAF">
      <w:pPr>
        <w:pStyle w:val="BodyText"/>
      </w:pPr>
      <w:r w:rsidRPr="00F019FF">
        <w:t xml:space="preserve">A factoring process </w:t>
      </w:r>
      <w:r>
        <w:t>is</w:t>
      </w:r>
      <w:r w:rsidRPr="00F019FF">
        <w:t xml:space="preserve"> necessary to adjust short</w:t>
      </w:r>
      <w:r w:rsidR="00624E6D">
        <w:t>-</w:t>
      </w:r>
      <w:r w:rsidRPr="00F019FF">
        <w:t xml:space="preserve">term counts to best represent an annualized estimate. </w:t>
      </w:r>
      <w:r>
        <w:t>A</w:t>
      </w:r>
      <w:r w:rsidRPr="00F019FF">
        <w:t xml:space="preserve"> similar process </w:t>
      </w:r>
      <w:r>
        <w:t xml:space="preserve">should </w:t>
      </w:r>
      <w:r w:rsidRPr="00F019FF">
        <w:t>be used to annualize motorized and micromobility traffic counts.</w:t>
      </w:r>
    </w:p>
    <w:p w14:paraId="51B6BCBC" w14:textId="77777777" w:rsidR="00831FAC" w:rsidRPr="00F019FF" w:rsidRDefault="00831FAC" w:rsidP="00A35EAF">
      <w:pPr>
        <w:pStyle w:val="BodyText"/>
      </w:pPr>
      <w:r w:rsidRPr="00F019FF">
        <w:t>Depending on the count duration, type of automated equipment used, and presence of inclement weather, there may be up to five factors that could be applied:</w:t>
      </w:r>
    </w:p>
    <w:p w14:paraId="6A73508F" w14:textId="7506F896" w:rsidR="00831FAC" w:rsidRPr="00672964" w:rsidRDefault="00831FAC" w:rsidP="003701CD">
      <w:pPr>
        <w:pStyle w:val="ListCS1BulletsandNumbering"/>
        <w:numPr>
          <w:ilvl w:val="0"/>
          <w:numId w:val="34"/>
        </w:numPr>
        <w:tabs>
          <w:tab w:val="left" w:pos="180"/>
        </w:tabs>
        <w:spacing w:before="0" w:after="60"/>
        <w:ind w:left="576" w:hanging="288"/>
      </w:pPr>
      <w:r w:rsidRPr="00F019FF">
        <w:rPr>
          <w:rFonts w:eastAsiaTheme="minorEastAsia"/>
          <w:color w:val="auto"/>
        </w:rPr>
        <w:t>Time</w:t>
      </w:r>
      <w:r w:rsidRPr="00F019FF">
        <w:rPr>
          <w:rStyle w:val="Bold"/>
          <w:color w:val="auto"/>
        </w:rPr>
        <w:t>-of-day:</w:t>
      </w:r>
      <w:r w:rsidRPr="00F019FF">
        <w:rPr>
          <w:color w:val="auto"/>
        </w:rPr>
        <w:t xml:space="preserve"> If less than a full day of data is collected or partial days are present in the total mul</w:t>
      </w:r>
      <w:r w:rsidR="0045795E">
        <w:rPr>
          <w:color w:val="auto"/>
        </w:rPr>
        <w:t>t</w:t>
      </w:r>
      <w:r w:rsidRPr="00F019FF">
        <w:rPr>
          <w:color w:val="auto"/>
        </w:rPr>
        <w:t xml:space="preserve">i-day count, this factor adjusts a sub-daily </w:t>
      </w:r>
      <w:r w:rsidRPr="00672964">
        <w:t>count to a total daily count.</w:t>
      </w:r>
    </w:p>
    <w:p w14:paraId="64E67D1A" w14:textId="495E97EE" w:rsidR="00831FAC" w:rsidRPr="00672964" w:rsidRDefault="00831FAC" w:rsidP="003701CD">
      <w:pPr>
        <w:pStyle w:val="ListCS1BulletsandNumbering"/>
        <w:numPr>
          <w:ilvl w:val="0"/>
          <w:numId w:val="34"/>
        </w:numPr>
        <w:tabs>
          <w:tab w:val="left" w:pos="180"/>
        </w:tabs>
        <w:spacing w:before="0" w:after="60"/>
        <w:ind w:left="576" w:hanging="288"/>
      </w:pPr>
      <w:r w:rsidRPr="00672964">
        <w:t>D</w:t>
      </w:r>
      <w:r w:rsidR="00D82EA4">
        <w:t xml:space="preserve">ay of </w:t>
      </w:r>
      <w:r w:rsidR="00F901F1">
        <w:t>w</w:t>
      </w:r>
      <w:r w:rsidR="00D82EA4">
        <w:t>eek</w:t>
      </w:r>
      <w:r w:rsidRPr="00672964">
        <w:rPr>
          <w:rStyle w:val="Bold"/>
        </w:rPr>
        <w:t>:</w:t>
      </w:r>
      <w:r w:rsidRPr="00672964">
        <w:t xml:space="preserve"> If data are collected on a single weekday or weekend day, this factor adjusts a single daily count to an average daily weekday count, weekend count, or </w:t>
      </w:r>
      <w:r w:rsidR="00D82EA4">
        <w:t>DOW</w:t>
      </w:r>
      <w:r w:rsidRPr="00672964">
        <w:t xml:space="preserve"> count.</w:t>
      </w:r>
    </w:p>
    <w:p w14:paraId="795A31A6" w14:textId="77777777" w:rsidR="00831FAC" w:rsidRPr="00672964" w:rsidRDefault="00831FAC" w:rsidP="003701CD">
      <w:pPr>
        <w:pStyle w:val="ListCS1BulletsandNumbering"/>
        <w:numPr>
          <w:ilvl w:val="0"/>
          <w:numId w:val="34"/>
        </w:numPr>
        <w:tabs>
          <w:tab w:val="left" w:pos="180"/>
        </w:tabs>
        <w:spacing w:before="0" w:after="60"/>
        <w:ind w:left="576" w:hanging="288"/>
        <w:rPr>
          <w:rStyle w:val="Bold"/>
        </w:rPr>
      </w:pPr>
      <w:r w:rsidRPr="00672964">
        <w:rPr>
          <w:rStyle w:val="Bold"/>
        </w:rPr>
        <w:t>Month/season-of-year: If less than a full year of data is collected, this factor adjusts an average daily count to an annual average daily count.</w:t>
      </w:r>
    </w:p>
    <w:p w14:paraId="142F9A07" w14:textId="7E5B38C4" w:rsidR="00831FAC" w:rsidRPr="00672964" w:rsidRDefault="00831FAC" w:rsidP="003701CD">
      <w:pPr>
        <w:pStyle w:val="ListCS1BulletsandNumbering"/>
        <w:numPr>
          <w:ilvl w:val="0"/>
          <w:numId w:val="34"/>
        </w:numPr>
        <w:tabs>
          <w:tab w:val="left" w:pos="180"/>
        </w:tabs>
        <w:spacing w:before="0" w:after="60"/>
        <w:ind w:left="576" w:hanging="288"/>
        <w:rPr>
          <w:rStyle w:val="Bold"/>
          <w:rFonts w:ascii="Book Antiqua" w:hAnsi="Book Antiqua" w:cs="Times New Roman"/>
          <w:color w:val="auto"/>
          <w:sz w:val="22"/>
          <w:szCs w:val="22"/>
        </w:rPr>
      </w:pPr>
      <w:r w:rsidRPr="00672964">
        <w:rPr>
          <w:rStyle w:val="Bold"/>
        </w:rPr>
        <w:t>Occlusion: If certain types of automatic counter equipment are used, this factor adjusts for occlusion that occurs when pedestrian or cyclists passing the detection zone at the same time (i.e., side-by-side or passing from different directions).</w:t>
      </w:r>
      <w:r>
        <w:rPr>
          <w:rStyle w:val="Bold"/>
        </w:rPr>
        <w:t xml:space="preserve"> This factor is applied to correct for known under</w:t>
      </w:r>
      <w:r w:rsidR="00D82EA4">
        <w:rPr>
          <w:rStyle w:val="Bold"/>
        </w:rPr>
        <w:t>-</w:t>
      </w:r>
      <w:r>
        <w:rPr>
          <w:rStyle w:val="Bold"/>
        </w:rPr>
        <w:t>biased count results from the occlusion of some of the count results. Documenting the process utilized for occlusion factoring should be included in the TMS.</w:t>
      </w:r>
    </w:p>
    <w:p w14:paraId="0134C79A" w14:textId="234A769E" w:rsidR="00831FAC" w:rsidRPr="00672964" w:rsidRDefault="00831FAC" w:rsidP="003701CD">
      <w:pPr>
        <w:pStyle w:val="ListCS1BulletsandNumbering"/>
        <w:numPr>
          <w:ilvl w:val="0"/>
          <w:numId w:val="34"/>
        </w:numPr>
        <w:tabs>
          <w:tab w:val="left" w:pos="180"/>
        </w:tabs>
        <w:spacing w:before="0" w:after="120"/>
        <w:ind w:left="576" w:hanging="288"/>
        <w:rPr>
          <w:rStyle w:val="Bold"/>
          <w:rFonts w:ascii="Book Antiqua" w:hAnsi="Book Antiqua" w:cs="Times New Roman"/>
          <w:color w:val="auto"/>
          <w:sz w:val="22"/>
          <w:szCs w:val="22"/>
        </w:rPr>
      </w:pPr>
      <w:r w:rsidRPr="00672964">
        <w:rPr>
          <w:rStyle w:val="Bold"/>
        </w:rPr>
        <w:t>Weather: If short-duration counts are collected during periods of inclement weather, this factor adjusts an inclement weather count to an average, typical count.</w:t>
      </w:r>
      <w:r>
        <w:rPr>
          <w:rStyle w:val="Bold"/>
        </w:rPr>
        <w:t xml:space="preserve"> Documenting the process utilized for weather factoring should be included in the TMS.</w:t>
      </w:r>
    </w:p>
    <w:p w14:paraId="60DA163E" w14:textId="4A1EBBA1" w:rsidR="00831FAC" w:rsidRDefault="00831FAC" w:rsidP="00A35EAF">
      <w:pPr>
        <w:pStyle w:val="BodyText"/>
      </w:pPr>
      <w:r>
        <w:t>The last two factors typically apply for micromobility counts only.</w:t>
      </w:r>
      <w:r w:rsidRPr="00F019FF">
        <w:t xml:space="preserve"> The </w:t>
      </w:r>
      <w:r w:rsidRPr="00F019FF">
        <w:rPr>
          <w:rFonts w:eastAsiaTheme="minorHAnsi"/>
        </w:rPr>
        <w:t xml:space="preserve">micromobility </w:t>
      </w:r>
      <w:r w:rsidRPr="00F019FF">
        <w:t>data submittal formats in Chapter 4 provide the capability to report these five types of adjustment factors in five separate factor groups.</w:t>
      </w:r>
    </w:p>
    <w:p w14:paraId="29942450" w14:textId="0D371090" w:rsidR="00831FAC" w:rsidRPr="00F019FF" w:rsidRDefault="00831FAC" w:rsidP="00A35EAF">
      <w:pPr>
        <w:pStyle w:val="BodyText"/>
      </w:pPr>
      <w:r w:rsidRPr="00672964">
        <w:lastRenderedPageBreak/>
        <w:t xml:space="preserve">Adjustment factors </w:t>
      </w:r>
      <w:r>
        <w:t>should be</w:t>
      </w:r>
      <w:r w:rsidRPr="00672964">
        <w:t xml:space="preserve"> developed for </w:t>
      </w:r>
      <w:r w:rsidRPr="00F019FF">
        <w:t xml:space="preserve">distinct factor groups, which are groups of continuous counters that have similar traffic patterns. The continuous counters in the factor groups provide year-round traffic counts and permit the </w:t>
      </w:r>
      <w:r w:rsidR="0045795E" w:rsidRPr="00F019FF">
        <w:t>short</w:t>
      </w:r>
      <w:r w:rsidR="0045795E" w:rsidRPr="00F019FF">
        <w:rPr>
          <w:rFonts w:eastAsiaTheme="minorHAnsi"/>
        </w:rPr>
        <w:t>-term</w:t>
      </w:r>
      <w:r w:rsidRPr="00F019FF">
        <w:t xml:space="preserve"> counts to be annualized in a way that minimizes error. </w:t>
      </w:r>
    </w:p>
    <w:p w14:paraId="3341E38F" w14:textId="79D431AE" w:rsidR="00831FAC" w:rsidRDefault="00831FAC" w:rsidP="00A35EAF">
      <w:pPr>
        <w:pStyle w:val="BodyText"/>
        <w:rPr>
          <w:rFonts w:eastAsiaTheme="minorHAnsi"/>
        </w:rPr>
      </w:pPr>
      <w:bookmarkStart w:id="2671" w:name="_Hlk115094239"/>
      <w:r w:rsidRPr="00F019FF">
        <w:t xml:space="preserve">Many State DOTs have data warehouse tools that already perform the factoring process for motorized traffic counts. </w:t>
      </w:r>
      <w:r w:rsidRPr="00583CB1">
        <w:t xml:space="preserve">See </w:t>
      </w:r>
      <w:r w:rsidR="007A6ECE" w:rsidRPr="007A6ECE">
        <w:t>S</w:t>
      </w:r>
      <w:r w:rsidRPr="007A6ECE">
        <w:t>ection 3.</w:t>
      </w:r>
      <w:r w:rsidR="00162775">
        <w:t>2.8</w:t>
      </w:r>
      <w:r w:rsidRPr="007A6ECE">
        <w:t xml:space="preserve"> </w:t>
      </w:r>
      <w:r w:rsidRPr="00583CB1">
        <w:t xml:space="preserve">for </w:t>
      </w:r>
      <w:r w:rsidR="00D82EA4">
        <w:t xml:space="preserve">a </w:t>
      </w:r>
      <w:r w:rsidRPr="00583CB1">
        <w:t xml:space="preserve">computational example </w:t>
      </w:r>
      <w:r>
        <w:t xml:space="preserve">showing application of factors </w:t>
      </w:r>
      <w:r w:rsidRPr="00583CB1">
        <w:t>for motorized traffic</w:t>
      </w:r>
      <w:r>
        <w:t xml:space="preserve"> counts.</w:t>
      </w:r>
      <w:r w:rsidRPr="00583CB1">
        <w:t xml:space="preserve"> </w:t>
      </w:r>
      <w:bookmarkEnd w:id="2671"/>
      <w:r w:rsidRPr="00F019FF">
        <w:t xml:space="preserve">Many of these tools and factoring processes could be used for </w:t>
      </w:r>
      <w:r w:rsidRPr="00F019FF">
        <w:rPr>
          <w:rFonts w:eastAsiaTheme="minorHAnsi"/>
        </w:rPr>
        <w:t>micromobility</w:t>
      </w:r>
      <w:r w:rsidRPr="00F019FF">
        <w:t xml:space="preserve"> traffic factoring, given some adaptation. </w:t>
      </w:r>
      <w:r w:rsidRPr="00F019FF">
        <w:rPr>
          <w:rFonts w:eastAsiaTheme="minorHAnsi"/>
        </w:rPr>
        <w:t xml:space="preserve">Since </w:t>
      </w:r>
      <w:r w:rsidR="00D82EA4">
        <w:rPr>
          <w:rFonts w:eastAsiaTheme="minorHAnsi"/>
        </w:rPr>
        <w:t>S</w:t>
      </w:r>
      <w:r w:rsidRPr="00F019FF">
        <w:rPr>
          <w:rFonts w:eastAsiaTheme="minorHAnsi"/>
        </w:rPr>
        <w:t>tate DOTs already have motorized traffic monitoring programs in place, many micromobility programs can take advantage of making investments in existing software and trained traffic data analysts.</w:t>
      </w:r>
      <w:r w:rsidR="004D4172">
        <w:rPr>
          <w:rFonts w:eastAsiaTheme="minorHAnsi"/>
        </w:rPr>
        <w:t xml:space="preserve"> </w:t>
      </w:r>
    </w:p>
    <w:p w14:paraId="6A22436F" w14:textId="0092798F" w:rsidR="003F7B9F" w:rsidRPr="001546EF" w:rsidRDefault="003F7B9F">
      <w:pPr>
        <w:pStyle w:val="Heading4"/>
      </w:pPr>
      <w:bookmarkStart w:id="2672" w:name="_Toc118205675"/>
      <w:r w:rsidRPr="001546EF">
        <w:t>Micromobility Example: Factoring Short</w:t>
      </w:r>
      <w:r w:rsidR="00D82EA4">
        <w:t>-</w:t>
      </w:r>
      <w:r w:rsidRPr="001546EF">
        <w:t>Term Counts</w:t>
      </w:r>
      <w:bookmarkEnd w:id="2667"/>
      <w:bookmarkEnd w:id="2668"/>
      <w:bookmarkEnd w:id="2669"/>
      <w:bookmarkEnd w:id="2670"/>
      <w:bookmarkEnd w:id="2672"/>
    </w:p>
    <w:p w14:paraId="3F81EC57" w14:textId="43841B3F" w:rsidR="003F7B9F" w:rsidRPr="00F019FF" w:rsidRDefault="00A80E6C" w:rsidP="00A35EAF">
      <w:pPr>
        <w:pStyle w:val="BodyText"/>
      </w:pPr>
      <w:r w:rsidRPr="00DC15A0">
        <w:t xml:space="preserve">The following simplified example illustrates the process of calculating an estimate of </w:t>
      </w:r>
      <w:r w:rsidR="00E27E9A">
        <w:t>annual average</w:t>
      </w:r>
      <w:r w:rsidRPr="00DC15A0">
        <w:t xml:space="preserve"> traffic based on a short-term count pedestrian </w:t>
      </w:r>
      <w:r w:rsidR="0045795E" w:rsidRPr="00DC15A0">
        <w:t>and</w:t>
      </w:r>
      <w:r w:rsidRPr="00DC15A0">
        <w:t xml:space="preserve"> bicyclist count. The example is for mixed-mode, micromobility traffic (i.e., bicyclists and pedestrians combined) along the Midtown Greenway, a shared-use path in Minneapolis, Minnesota. An active infrared counter was used at the permanent monitoring location along the Greenway, near an intersection with Hennepin Avenue </w:t>
      </w:r>
      <w:bookmarkStart w:id="2673" w:name="_Hlk76057034"/>
      <w:r w:rsidR="003F7B9F" w:rsidRPr="00F374BF">
        <w:t>(Lindsey 2012)</w:t>
      </w:r>
      <w:r w:rsidR="00D82EA4">
        <w:t>.</w:t>
      </w:r>
    </w:p>
    <w:bookmarkEnd w:id="2673"/>
    <w:p w14:paraId="76549879" w14:textId="1ACE144E" w:rsidR="003F7B9F" w:rsidRPr="0006576C" w:rsidRDefault="003F7B9F" w:rsidP="00A35EAF">
      <w:pPr>
        <w:pStyle w:val="BodyText"/>
      </w:pPr>
      <w:r w:rsidRPr="00F019FF">
        <w:t xml:space="preserve">For this example, the Minneapolis Department of Public Works installed a temporary infrared sensor to count traffic for 48 hours on a Friday and Saturday in February 2012 on a different shared-use path where no monitoring previously had occurred (Monitoring Site A). </w:t>
      </w:r>
      <w:r w:rsidR="00AA055F">
        <w:t>The</w:t>
      </w:r>
      <w:r w:rsidRPr="00F019FF">
        <w:t xml:space="preserve"> 24-hour mixed-mode traffic count for Friday was 175 and the </w:t>
      </w:r>
      <w:r w:rsidR="00857B2B">
        <w:br/>
      </w:r>
      <w:r w:rsidRPr="00F019FF">
        <w:t xml:space="preserve">24-hour count for Saturday was 250. What is a reasonable estimate of annual traffic (AADT) at Site A? </w:t>
      </w:r>
      <w:r w:rsidRPr="0006576C">
        <w:t xml:space="preserve">DOW and monthly ratios or adjustment factors from the Midtown Greenway-Hennepin Avenue location can be used to obtain this estimate. </w:t>
      </w:r>
    </w:p>
    <w:p w14:paraId="266A561D" w14:textId="27319E9E" w:rsidR="003F7B9F" w:rsidRPr="000D7942" w:rsidRDefault="00AA2E73" w:rsidP="00A35EAF">
      <w:pPr>
        <w:pStyle w:val="BodyText"/>
      </w:pPr>
      <w:r>
        <w:fldChar w:fldCharType="begin"/>
      </w:r>
      <w:r>
        <w:instrText xml:space="preserve"> REF _Ref114750269 \h </w:instrText>
      </w:r>
      <w:r>
        <w:fldChar w:fldCharType="separate"/>
      </w:r>
      <w:r w:rsidR="00C07DF9" w:rsidRPr="000F2A7A">
        <w:t xml:space="preserve">Table </w:t>
      </w:r>
      <w:r w:rsidR="00C07DF9">
        <w:rPr>
          <w:noProof/>
        </w:rPr>
        <w:t>3</w:t>
      </w:r>
      <w:r w:rsidR="00C07DF9" w:rsidRPr="000F2A7A">
        <w:noBreakHyphen/>
      </w:r>
      <w:r w:rsidR="00C07DF9">
        <w:rPr>
          <w:noProof/>
        </w:rPr>
        <w:t>22</w:t>
      </w:r>
      <w:r>
        <w:fldChar w:fldCharType="end"/>
      </w:r>
      <w:r w:rsidR="003F7B9F" w:rsidRPr="0006576C">
        <w:t xml:space="preserve"> presents the following actual mixed-mode traffic count statistics for 2011 at the Hennepin </w:t>
      </w:r>
      <w:r w:rsidR="003F7B9F" w:rsidRPr="000D7942">
        <w:t>Avenue monitoring location along the Midtown Greenway:</w:t>
      </w:r>
    </w:p>
    <w:p w14:paraId="58766FA0" w14:textId="7DFC3A6E" w:rsidR="003F7B9F" w:rsidRPr="0038634E" w:rsidRDefault="003F7B9F">
      <w:pPr>
        <w:pStyle w:val="TMGBullet"/>
      </w:pPr>
      <w:r w:rsidRPr="0038634E">
        <w:t>Annual average daily traffic (AADT).</w:t>
      </w:r>
    </w:p>
    <w:p w14:paraId="52A525D7" w14:textId="77777777" w:rsidR="003F7B9F" w:rsidRPr="0038634E" w:rsidRDefault="003F7B9F">
      <w:pPr>
        <w:pStyle w:val="TMGBullet"/>
      </w:pPr>
      <w:r w:rsidRPr="0038634E">
        <w:t>Monthly average daily traffic (MADT).</w:t>
      </w:r>
    </w:p>
    <w:p w14:paraId="24A98558" w14:textId="5CF3ED57" w:rsidR="003F7B9F" w:rsidRPr="0038634E" w:rsidRDefault="003F7B9F">
      <w:pPr>
        <w:pStyle w:val="TMGBullet"/>
      </w:pPr>
      <w:r w:rsidRPr="0038634E">
        <w:t>Ratio of mean day of week traffic to MADT for each month</w:t>
      </w:r>
      <w:r w:rsidR="00D82EA4">
        <w:t>.</w:t>
      </w:r>
    </w:p>
    <w:p w14:paraId="166D4B73" w14:textId="505A8878" w:rsidR="003F7B9F" w:rsidRPr="0038634E" w:rsidRDefault="003F7B9F">
      <w:pPr>
        <w:pStyle w:val="TMGBullet"/>
      </w:pPr>
      <w:r w:rsidRPr="0038634E">
        <w:t xml:space="preserve">Ratio of MADT to AADT for each month. </w:t>
      </w:r>
    </w:p>
    <w:p w14:paraId="79F44361" w14:textId="3C323CD5" w:rsidR="003F7B9F" w:rsidRPr="000D7942" w:rsidRDefault="003F7B9F" w:rsidP="00A35EAF">
      <w:pPr>
        <w:pStyle w:val="BodyText"/>
      </w:pPr>
      <w:r w:rsidRPr="000D7942">
        <w:t>The steps in using these factors to obtain estimates of annual traffic and AADT for Site A are:</w:t>
      </w:r>
    </w:p>
    <w:p w14:paraId="2AC9E0D1" w14:textId="77777777" w:rsidR="003F7B9F" w:rsidRPr="000D7942" w:rsidRDefault="003F7B9F" w:rsidP="00A35EAF">
      <w:pPr>
        <w:pStyle w:val="BodyText"/>
      </w:pPr>
      <w:r w:rsidRPr="000D7942">
        <w:t>Use the 2011 Friday and Saturday mean daily traffic ratios for February to calculate an average adjustment factor for the February 2012 48-hour monitoring period.</w:t>
      </w:r>
    </w:p>
    <w:p w14:paraId="5826D86D" w14:textId="77777777" w:rsidR="00831FAC" w:rsidRPr="00AA055F" w:rsidRDefault="003F7B9F">
      <w:pPr>
        <w:pStyle w:val="BodyText"/>
        <w:numPr>
          <w:ilvl w:val="0"/>
          <w:numId w:val="96"/>
        </w:numPr>
        <w:ind w:left="576" w:hanging="288"/>
      </w:pPr>
      <w:r w:rsidRPr="00AA055F">
        <w:t>Estimate the MADT for February 2012.</w:t>
      </w:r>
    </w:p>
    <w:p w14:paraId="238DF715" w14:textId="6E549E07" w:rsidR="00AA055F" w:rsidRDefault="003F7B9F">
      <w:pPr>
        <w:pStyle w:val="BodyText"/>
        <w:numPr>
          <w:ilvl w:val="0"/>
          <w:numId w:val="96"/>
        </w:numPr>
        <w:ind w:left="576" w:hanging="288"/>
      </w:pPr>
      <w:r w:rsidRPr="00AA055F">
        <w:t xml:space="preserve">Use the MADT/AADT ratio from February 2011 to estimate the 2012 AADT and 2012 annual traffic. </w:t>
      </w:r>
    </w:p>
    <w:p w14:paraId="767EAA28" w14:textId="1F028A19" w:rsidR="00AA055F" w:rsidRDefault="00AA055F">
      <w:pPr>
        <w:pStyle w:val="BodyText"/>
        <w:numPr>
          <w:ilvl w:val="0"/>
          <w:numId w:val="96"/>
        </w:numPr>
        <w:ind w:left="576" w:hanging="288"/>
      </w:pPr>
      <w:r>
        <w:t xml:space="preserve">Use the 2011 Friday and Saturday mean daily </w:t>
      </w:r>
      <w:r w:rsidR="0045795E">
        <w:t>traffic</w:t>
      </w:r>
      <w:r>
        <w:t xml:space="preserve"> rations for </w:t>
      </w:r>
      <w:r w:rsidR="0045795E">
        <w:t>February</w:t>
      </w:r>
      <w:r>
        <w:t xml:space="preserve"> to calculate an </w:t>
      </w:r>
      <w:r w:rsidR="0045795E">
        <w:t>average</w:t>
      </w:r>
      <w:r>
        <w:t xml:space="preserve"> adjustment factor for the February 2012 48-hour monitoring period. </w:t>
      </w:r>
      <w:r w:rsidR="003F7B9F" w:rsidRPr="0070748B">
        <w:t xml:space="preserve">From </w:t>
      </w:r>
      <w:r w:rsidR="00AA2E73">
        <w:fldChar w:fldCharType="begin"/>
      </w:r>
      <w:r w:rsidR="00AA2E73">
        <w:instrText xml:space="preserve"> REF _Ref114750269 \h </w:instrText>
      </w:r>
      <w:r w:rsidR="00AA2E73">
        <w:fldChar w:fldCharType="separate"/>
      </w:r>
      <w:r w:rsidR="00C07DF9" w:rsidRPr="000F2A7A">
        <w:t xml:space="preserve">Table </w:t>
      </w:r>
      <w:r w:rsidR="00C07DF9">
        <w:rPr>
          <w:noProof/>
        </w:rPr>
        <w:t>3</w:t>
      </w:r>
      <w:r w:rsidR="00C07DF9" w:rsidRPr="000F2A7A">
        <w:noBreakHyphen/>
      </w:r>
      <w:r w:rsidR="00C07DF9">
        <w:rPr>
          <w:noProof/>
        </w:rPr>
        <w:t>22</w:t>
      </w:r>
      <w:r w:rsidR="00AA2E73">
        <w:fldChar w:fldCharType="end"/>
      </w:r>
      <w:r w:rsidR="003F7B9F" w:rsidRPr="0070748B">
        <w:t>, the</w:t>
      </w:r>
      <w:r w:rsidR="003F7B9F" w:rsidRPr="000D7942">
        <w:t xml:space="preserve"> average Friday traffic in February 2011 was 1.04 times February average daily traffic, and the average Saturday traffic was 1.27 times February average daily traffic. Therefore, for the Friday-Saturday monitoring period, the average daily traffic was 1.16 times the February average daily traffic. </w:t>
      </w:r>
    </w:p>
    <w:p w14:paraId="483636CC" w14:textId="69121A0F" w:rsidR="003F7B9F" w:rsidRPr="000D7942" w:rsidRDefault="003F7B9F">
      <w:pPr>
        <w:pStyle w:val="BodyText"/>
        <w:numPr>
          <w:ilvl w:val="0"/>
          <w:numId w:val="96"/>
        </w:numPr>
        <w:ind w:left="576" w:hanging="288"/>
      </w:pPr>
      <w:r w:rsidRPr="000D7942">
        <w:t>Using this ratio, the 2012 February average daily traffic can be calculated from the 2012 48-hour traffic count:</w:t>
      </w:r>
    </w:p>
    <w:p w14:paraId="62E10826" w14:textId="77777777" w:rsidR="003F7B9F" w:rsidRPr="0006576C" w:rsidRDefault="003F7B9F" w:rsidP="008B2D29">
      <w:pPr>
        <w:pStyle w:val="BodyText"/>
        <w:ind w:left="576"/>
      </w:pPr>
      <w:r w:rsidRPr="0006576C">
        <w:t>2012 February average daily traffic = ((175 + 250)/2) / 1.16 = 183</w:t>
      </w:r>
    </w:p>
    <w:p w14:paraId="6E02840D" w14:textId="192362F9" w:rsidR="003F7B9F" w:rsidRPr="0006576C" w:rsidRDefault="003F7B9F">
      <w:pPr>
        <w:pStyle w:val="BodyText"/>
        <w:numPr>
          <w:ilvl w:val="0"/>
          <w:numId w:val="96"/>
        </w:numPr>
        <w:ind w:left="576" w:hanging="288"/>
      </w:pPr>
      <w:r w:rsidRPr="000D7942">
        <w:t xml:space="preserve">From </w:t>
      </w:r>
      <w:r w:rsidR="00AA2E73">
        <w:fldChar w:fldCharType="begin"/>
      </w:r>
      <w:r w:rsidR="00AA2E73">
        <w:instrText xml:space="preserve"> REF _Ref114750269 \h </w:instrText>
      </w:r>
      <w:r w:rsidR="00AA2E73">
        <w:fldChar w:fldCharType="separate"/>
      </w:r>
      <w:r w:rsidR="00C07DF9" w:rsidRPr="000F2A7A">
        <w:t xml:space="preserve">Table </w:t>
      </w:r>
      <w:r w:rsidR="00C07DF9">
        <w:rPr>
          <w:noProof/>
        </w:rPr>
        <w:t>3</w:t>
      </w:r>
      <w:r w:rsidR="00C07DF9" w:rsidRPr="000F2A7A">
        <w:noBreakHyphen/>
      </w:r>
      <w:r w:rsidR="00C07DF9">
        <w:rPr>
          <w:noProof/>
        </w:rPr>
        <w:t>22</w:t>
      </w:r>
      <w:r w:rsidR="00AA2E73">
        <w:fldChar w:fldCharType="end"/>
      </w:r>
      <w:r w:rsidRPr="000D7942">
        <w:t>,</w:t>
      </w:r>
      <w:r w:rsidRPr="0006576C">
        <w:t xml:space="preserve"> the February MADT/AADT ratio is 0.18 (i.e., February average daily traffic is 18% of annual average daily traffic). This factor then is used to calculate AADT and annual traffic for 2012 for Site A:</w:t>
      </w:r>
    </w:p>
    <w:p w14:paraId="7190D64A" w14:textId="7F41A538" w:rsidR="003F7B9F" w:rsidRPr="0006576C" w:rsidRDefault="003F7B9F" w:rsidP="008B2D29">
      <w:pPr>
        <w:pStyle w:val="BodyText"/>
        <w:ind w:left="576"/>
      </w:pPr>
      <w:r w:rsidRPr="0006576C">
        <w:t>Site A AADT = (183 / 0.18) = 1,023</w:t>
      </w:r>
    </w:p>
    <w:p w14:paraId="5C79C08E" w14:textId="77777777" w:rsidR="003F7B9F" w:rsidRPr="0006576C" w:rsidRDefault="003F7B9F" w:rsidP="008B2D29">
      <w:pPr>
        <w:pStyle w:val="BodyText"/>
        <w:ind w:left="576"/>
      </w:pPr>
      <w:r w:rsidRPr="0006576C">
        <w:t>Site A cumulative annual traffic = 1,023 × 365 = 373,422</w:t>
      </w:r>
    </w:p>
    <w:p w14:paraId="031E0D80" w14:textId="77777777" w:rsidR="003F7B9F" w:rsidRDefault="003F7B9F" w:rsidP="00A35EAF">
      <w:pPr>
        <w:pStyle w:val="BodyText"/>
      </w:pPr>
      <w:r w:rsidRPr="0006576C">
        <w:t xml:space="preserve">This example could easily be extended for counts of different duration (e.g., </w:t>
      </w:r>
      <w:r w:rsidR="0045795E" w:rsidRPr="0006576C">
        <w:t>daily,</w:t>
      </w:r>
      <w:r w:rsidRPr="0006576C">
        <w:t xml:space="preserve"> or weekly or peak hour). To extrapolate </w:t>
      </w:r>
      <w:r w:rsidR="002522FF">
        <w:t>2</w:t>
      </w:r>
      <w:r w:rsidRPr="0006576C">
        <w:t xml:space="preserve">-hour, peak hour counts, hourly adjustment factors from the continuous monitoring sites would be </w:t>
      </w:r>
      <w:r w:rsidRPr="0006576C">
        <w:lastRenderedPageBreak/>
        <w:t>needed. While the general process would be the same, extrapolation from peak hour counts would introduce additional uncertainty into the estimates of AADT and annual traffic.</w:t>
      </w:r>
    </w:p>
    <w:p w14:paraId="62C2275C" w14:textId="7F8ED2A9" w:rsidR="003F7B9F" w:rsidRDefault="003F7B9F" w:rsidP="000F2A7A">
      <w:pPr>
        <w:pStyle w:val="TMGTableCaption"/>
      </w:pPr>
      <w:bookmarkStart w:id="2674" w:name="_Ref114750269"/>
      <w:bookmarkStart w:id="2675" w:name="_Toc54784727"/>
      <w:bookmarkStart w:id="2676" w:name="_Toc68874127"/>
      <w:bookmarkStart w:id="2677" w:name="_Toc114474842"/>
      <w:bookmarkStart w:id="2678" w:name="_Toc120631148"/>
      <w:r w:rsidRPr="000F2A7A">
        <w:t xml:space="preserve">Table </w:t>
      </w:r>
      <w:fldSimple w:instr=" STYLEREF 1 \s ">
        <w:r w:rsidR="00C07DF9">
          <w:rPr>
            <w:noProof/>
          </w:rPr>
          <w:t>3</w:t>
        </w:r>
      </w:fldSimple>
      <w:r w:rsidR="00FE5355" w:rsidRPr="000F2A7A">
        <w:noBreakHyphen/>
      </w:r>
      <w:fldSimple w:instr=" SEQ Table \* ARABIC \s 1 ">
        <w:r w:rsidR="00C07DF9">
          <w:rPr>
            <w:noProof/>
          </w:rPr>
          <w:t>22</w:t>
        </w:r>
      </w:fldSimple>
      <w:bookmarkEnd w:id="2674"/>
      <w:r w:rsidR="00627DD7">
        <w:t>.</w:t>
      </w:r>
      <w:r w:rsidRPr="000F2A7A">
        <w:t xml:space="preserve"> 2011 Mixed-Mode Traffic Count Statistics </w:t>
      </w:r>
      <w:r w:rsidR="003701CD">
        <w:t>f</w:t>
      </w:r>
      <w:r w:rsidRPr="000F2A7A">
        <w:t>or Midtown Greenway Near Hennepin</w:t>
      </w:r>
      <w:r w:rsidRPr="0033542A">
        <w:t xml:space="preserve"> Avenue, Minneapolis, Minnesota</w:t>
      </w:r>
      <w:bookmarkEnd w:id="2675"/>
      <w:bookmarkEnd w:id="2676"/>
      <w:bookmarkEnd w:id="2677"/>
      <w:bookmarkEnd w:id="2678"/>
    </w:p>
    <w:tbl>
      <w:tblPr>
        <w:tblStyle w:val="TableGrid"/>
        <w:tblW w:w="9360" w:type="dxa"/>
        <w:jc w:val="center"/>
        <w:tblCellMar>
          <w:left w:w="43" w:type="dxa"/>
          <w:right w:w="43" w:type="dxa"/>
        </w:tblCellMar>
        <w:tblLook w:val="04A0" w:firstRow="1" w:lastRow="0" w:firstColumn="1" w:lastColumn="0" w:noHBand="0" w:noVBand="1"/>
      </w:tblPr>
      <w:tblGrid>
        <w:gridCol w:w="1795"/>
        <w:gridCol w:w="630"/>
        <w:gridCol w:w="630"/>
        <w:gridCol w:w="631"/>
        <w:gridCol w:w="630"/>
        <w:gridCol w:w="631"/>
        <w:gridCol w:w="630"/>
        <w:gridCol w:w="630"/>
        <w:gridCol w:w="631"/>
        <w:gridCol w:w="630"/>
        <w:gridCol w:w="631"/>
        <w:gridCol w:w="630"/>
        <w:gridCol w:w="631"/>
      </w:tblGrid>
      <w:tr w:rsidR="00917D58" w14:paraId="4CBE0E45" w14:textId="77777777" w:rsidTr="003701CD">
        <w:trPr>
          <w:jc w:val="center"/>
        </w:trPr>
        <w:tc>
          <w:tcPr>
            <w:tcW w:w="1795" w:type="dxa"/>
            <w:tcBorders>
              <w:right w:val="single" w:sz="4" w:space="0" w:color="FFFFFF" w:themeColor="background1"/>
            </w:tcBorders>
            <w:shd w:val="clear" w:color="auto" w:fill="1F3864"/>
            <w:vAlign w:val="center"/>
          </w:tcPr>
          <w:p w14:paraId="52F3BEA6" w14:textId="64522981" w:rsidR="003701CD" w:rsidRDefault="003701CD" w:rsidP="0017389B">
            <w:pPr>
              <w:pStyle w:val="TMGTableTextHeader"/>
            </w:pPr>
            <w:r>
              <w:t>Measurement</w:t>
            </w:r>
          </w:p>
        </w:tc>
        <w:tc>
          <w:tcPr>
            <w:tcW w:w="630" w:type="dxa"/>
            <w:tcBorders>
              <w:left w:val="single" w:sz="4" w:space="0" w:color="FFFFFF" w:themeColor="background1"/>
              <w:right w:val="single" w:sz="4" w:space="0" w:color="FFFFFF" w:themeColor="background1"/>
            </w:tcBorders>
            <w:shd w:val="clear" w:color="auto" w:fill="1F3864"/>
          </w:tcPr>
          <w:p w14:paraId="6BE5C59C" w14:textId="0CFC4508" w:rsidR="003701CD" w:rsidRDefault="003701CD" w:rsidP="0017389B">
            <w:pPr>
              <w:pStyle w:val="TMGTableTextHeader"/>
              <w:rPr>
                <w:rFonts w:eastAsia="MS Mincho"/>
              </w:rPr>
            </w:pPr>
            <w:r>
              <w:rPr>
                <w:rFonts w:eastAsia="MS Mincho"/>
              </w:rPr>
              <w:t>Jan</w:t>
            </w:r>
          </w:p>
        </w:tc>
        <w:tc>
          <w:tcPr>
            <w:tcW w:w="630" w:type="dxa"/>
            <w:tcBorders>
              <w:left w:val="single" w:sz="4" w:space="0" w:color="FFFFFF" w:themeColor="background1"/>
              <w:right w:val="single" w:sz="4" w:space="0" w:color="FFFFFF" w:themeColor="background1"/>
            </w:tcBorders>
            <w:shd w:val="clear" w:color="auto" w:fill="1F3864"/>
          </w:tcPr>
          <w:p w14:paraId="68DAF3AC" w14:textId="6D0B45AB" w:rsidR="003701CD" w:rsidRDefault="003701CD" w:rsidP="0017389B">
            <w:pPr>
              <w:pStyle w:val="TMGTableTextHeader"/>
              <w:rPr>
                <w:rFonts w:eastAsia="MS Mincho"/>
              </w:rPr>
            </w:pPr>
            <w:r>
              <w:rPr>
                <w:rFonts w:eastAsia="MS Mincho"/>
              </w:rPr>
              <w:t>Feb</w:t>
            </w:r>
          </w:p>
        </w:tc>
        <w:tc>
          <w:tcPr>
            <w:tcW w:w="631" w:type="dxa"/>
            <w:tcBorders>
              <w:left w:val="single" w:sz="4" w:space="0" w:color="FFFFFF" w:themeColor="background1"/>
              <w:right w:val="single" w:sz="4" w:space="0" w:color="FFFFFF" w:themeColor="background1"/>
            </w:tcBorders>
            <w:shd w:val="clear" w:color="auto" w:fill="1F3864"/>
          </w:tcPr>
          <w:p w14:paraId="32C2ED05" w14:textId="26E258FA" w:rsidR="003701CD" w:rsidRDefault="003701CD" w:rsidP="0017389B">
            <w:pPr>
              <w:pStyle w:val="TMGTableTextHeader"/>
              <w:rPr>
                <w:rFonts w:eastAsia="MS Mincho"/>
              </w:rPr>
            </w:pPr>
            <w:r>
              <w:rPr>
                <w:rFonts w:eastAsia="MS Mincho"/>
              </w:rPr>
              <w:t>Mar</w:t>
            </w:r>
          </w:p>
        </w:tc>
        <w:tc>
          <w:tcPr>
            <w:tcW w:w="630" w:type="dxa"/>
            <w:tcBorders>
              <w:left w:val="single" w:sz="4" w:space="0" w:color="FFFFFF" w:themeColor="background1"/>
              <w:right w:val="single" w:sz="4" w:space="0" w:color="FFFFFF" w:themeColor="background1"/>
            </w:tcBorders>
            <w:shd w:val="clear" w:color="auto" w:fill="1F3864"/>
          </w:tcPr>
          <w:p w14:paraId="7B0BA2FE" w14:textId="0C6DBAB1" w:rsidR="003701CD" w:rsidRPr="001B5336" w:rsidRDefault="003701CD" w:rsidP="0017389B">
            <w:pPr>
              <w:pStyle w:val="TMGTableTextHeader"/>
              <w:rPr>
                <w:rFonts w:eastAsia="MS Mincho"/>
              </w:rPr>
            </w:pPr>
            <w:r w:rsidRPr="001B5336">
              <w:rPr>
                <w:rFonts w:eastAsia="MS Mincho"/>
              </w:rPr>
              <w:t>Apr</w:t>
            </w:r>
          </w:p>
        </w:tc>
        <w:tc>
          <w:tcPr>
            <w:tcW w:w="631" w:type="dxa"/>
            <w:tcBorders>
              <w:left w:val="single" w:sz="4" w:space="0" w:color="FFFFFF" w:themeColor="background1"/>
              <w:right w:val="single" w:sz="4" w:space="0" w:color="FFFFFF" w:themeColor="background1"/>
            </w:tcBorders>
            <w:shd w:val="clear" w:color="auto" w:fill="1F3864"/>
          </w:tcPr>
          <w:p w14:paraId="0878E3BC" w14:textId="727398CD" w:rsidR="003701CD" w:rsidRPr="001B5336" w:rsidRDefault="003701CD" w:rsidP="0017389B">
            <w:pPr>
              <w:pStyle w:val="TMGTableTextHeader"/>
              <w:rPr>
                <w:rFonts w:eastAsia="MS Mincho"/>
              </w:rPr>
            </w:pPr>
            <w:r w:rsidRPr="001B5336">
              <w:rPr>
                <w:rFonts w:eastAsia="MS Mincho"/>
              </w:rPr>
              <w:t>May</w:t>
            </w:r>
          </w:p>
        </w:tc>
        <w:tc>
          <w:tcPr>
            <w:tcW w:w="630" w:type="dxa"/>
            <w:tcBorders>
              <w:left w:val="single" w:sz="4" w:space="0" w:color="FFFFFF" w:themeColor="background1"/>
              <w:right w:val="single" w:sz="4" w:space="0" w:color="FFFFFF" w:themeColor="background1"/>
            </w:tcBorders>
            <w:shd w:val="clear" w:color="auto" w:fill="1F3864"/>
          </w:tcPr>
          <w:p w14:paraId="20C567B5" w14:textId="75969103" w:rsidR="003701CD" w:rsidRPr="001B5336" w:rsidRDefault="003701CD" w:rsidP="0017389B">
            <w:pPr>
              <w:pStyle w:val="TMGTableTextHeader"/>
              <w:rPr>
                <w:rFonts w:eastAsia="MS Mincho"/>
              </w:rPr>
            </w:pPr>
            <w:r w:rsidRPr="001B5336">
              <w:rPr>
                <w:rFonts w:eastAsia="MS Mincho"/>
              </w:rPr>
              <w:t>Jun</w:t>
            </w:r>
          </w:p>
        </w:tc>
        <w:tc>
          <w:tcPr>
            <w:tcW w:w="630" w:type="dxa"/>
            <w:tcBorders>
              <w:left w:val="single" w:sz="4" w:space="0" w:color="FFFFFF" w:themeColor="background1"/>
              <w:right w:val="single" w:sz="4" w:space="0" w:color="FFFFFF" w:themeColor="background1"/>
            </w:tcBorders>
            <w:shd w:val="clear" w:color="auto" w:fill="1F3864"/>
          </w:tcPr>
          <w:p w14:paraId="50285E60" w14:textId="57CE7113" w:rsidR="003701CD" w:rsidRPr="001B5336" w:rsidRDefault="003701CD" w:rsidP="0017389B">
            <w:pPr>
              <w:pStyle w:val="TMGTableTextHeader"/>
              <w:rPr>
                <w:rFonts w:eastAsia="MS Mincho"/>
              </w:rPr>
            </w:pPr>
            <w:r w:rsidRPr="001B5336">
              <w:rPr>
                <w:rFonts w:eastAsia="MS Mincho"/>
              </w:rPr>
              <w:t>Jul</w:t>
            </w:r>
          </w:p>
        </w:tc>
        <w:tc>
          <w:tcPr>
            <w:tcW w:w="631" w:type="dxa"/>
            <w:tcBorders>
              <w:left w:val="single" w:sz="4" w:space="0" w:color="FFFFFF" w:themeColor="background1"/>
              <w:right w:val="single" w:sz="4" w:space="0" w:color="FFFFFF" w:themeColor="background1"/>
            </w:tcBorders>
            <w:shd w:val="clear" w:color="auto" w:fill="1F3864"/>
          </w:tcPr>
          <w:p w14:paraId="37B957A0" w14:textId="70222E34" w:rsidR="003701CD" w:rsidRPr="001B5336" w:rsidRDefault="003701CD" w:rsidP="0017389B">
            <w:pPr>
              <w:pStyle w:val="TMGTableTextHeader"/>
              <w:rPr>
                <w:rFonts w:eastAsia="MS Mincho"/>
              </w:rPr>
            </w:pPr>
            <w:r w:rsidRPr="001B5336">
              <w:rPr>
                <w:rFonts w:eastAsia="MS Mincho"/>
              </w:rPr>
              <w:t>Aug</w:t>
            </w:r>
          </w:p>
        </w:tc>
        <w:tc>
          <w:tcPr>
            <w:tcW w:w="630" w:type="dxa"/>
            <w:tcBorders>
              <w:left w:val="single" w:sz="4" w:space="0" w:color="FFFFFF" w:themeColor="background1"/>
              <w:right w:val="single" w:sz="4" w:space="0" w:color="FFFFFF" w:themeColor="background1"/>
            </w:tcBorders>
            <w:shd w:val="clear" w:color="auto" w:fill="1F3864"/>
          </w:tcPr>
          <w:p w14:paraId="5C636B4B" w14:textId="26684C24" w:rsidR="003701CD" w:rsidRDefault="003701CD" w:rsidP="0017389B">
            <w:pPr>
              <w:pStyle w:val="TMGTableTextHeader"/>
              <w:rPr>
                <w:rFonts w:eastAsia="MS Mincho"/>
              </w:rPr>
            </w:pPr>
            <w:r>
              <w:rPr>
                <w:rFonts w:eastAsia="MS Mincho"/>
              </w:rPr>
              <w:t>Sept</w:t>
            </w:r>
          </w:p>
        </w:tc>
        <w:tc>
          <w:tcPr>
            <w:tcW w:w="631" w:type="dxa"/>
            <w:tcBorders>
              <w:left w:val="single" w:sz="4" w:space="0" w:color="FFFFFF" w:themeColor="background1"/>
              <w:right w:val="single" w:sz="4" w:space="0" w:color="FFFFFF" w:themeColor="background1"/>
            </w:tcBorders>
            <w:shd w:val="clear" w:color="auto" w:fill="1F3864"/>
          </w:tcPr>
          <w:p w14:paraId="6D17F1BD" w14:textId="4C6A4F05" w:rsidR="003701CD" w:rsidRDefault="003701CD" w:rsidP="0017389B">
            <w:pPr>
              <w:pStyle w:val="TMGTableTextHeader"/>
              <w:rPr>
                <w:rFonts w:eastAsia="MS Mincho"/>
              </w:rPr>
            </w:pPr>
            <w:r>
              <w:rPr>
                <w:rFonts w:eastAsia="MS Mincho"/>
              </w:rPr>
              <w:t>Oct</w:t>
            </w:r>
          </w:p>
        </w:tc>
        <w:tc>
          <w:tcPr>
            <w:tcW w:w="630" w:type="dxa"/>
            <w:tcBorders>
              <w:left w:val="single" w:sz="4" w:space="0" w:color="FFFFFF" w:themeColor="background1"/>
              <w:right w:val="single" w:sz="4" w:space="0" w:color="FFFFFF" w:themeColor="background1"/>
            </w:tcBorders>
            <w:shd w:val="clear" w:color="auto" w:fill="1F3864"/>
          </w:tcPr>
          <w:p w14:paraId="4AA1C32A" w14:textId="0DFAEEB7" w:rsidR="003701CD" w:rsidRDefault="003701CD" w:rsidP="0017389B">
            <w:pPr>
              <w:pStyle w:val="TMGTableTextHeader"/>
              <w:rPr>
                <w:rFonts w:eastAsia="MS Mincho"/>
              </w:rPr>
            </w:pPr>
            <w:r>
              <w:rPr>
                <w:rFonts w:eastAsia="MS Mincho"/>
              </w:rPr>
              <w:t>Nov</w:t>
            </w:r>
          </w:p>
        </w:tc>
        <w:tc>
          <w:tcPr>
            <w:tcW w:w="631" w:type="dxa"/>
            <w:tcBorders>
              <w:left w:val="single" w:sz="4" w:space="0" w:color="FFFFFF" w:themeColor="background1"/>
            </w:tcBorders>
            <w:shd w:val="clear" w:color="auto" w:fill="1F3864"/>
            <w:vAlign w:val="center"/>
          </w:tcPr>
          <w:p w14:paraId="3AC9047D" w14:textId="7E096FF3" w:rsidR="003701CD" w:rsidRDefault="003701CD" w:rsidP="0017389B">
            <w:pPr>
              <w:pStyle w:val="TMGTableTextHeader"/>
            </w:pPr>
            <w:r>
              <w:t>Dec</w:t>
            </w:r>
          </w:p>
        </w:tc>
      </w:tr>
      <w:tr w:rsidR="003701CD" w14:paraId="5743D994" w14:textId="77777777" w:rsidTr="00283F68">
        <w:trPr>
          <w:jc w:val="center"/>
        </w:trPr>
        <w:tc>
          <w:tcPr>
            <w:tcW w:w="1795" w:type="dxa"/>
          </w:tcPr>
          <w:p w14:paraId="32364542" w14:textId="769FF350" w:rsidR="003701CD" w:rsidRPr="00C251E9" w:rsidRDefault="003701CD" w:rsidP="00917D58">
            <w:pPr>
              <w:pStyle w:val="TMGTableText"/>
            </w:pPr>
            <w:r w:rsidRPr="00717829">
              <w:t>Annual Average Daily Traffic</w:t>
            </w:r>
          </w:p>
        </w:tc>
        <w:tc>
          <w:tcPr>
            <w:tcW w:w="630" w:type="dxa"/>
            <w:vAlign w:val="center"/>
          </w:tcPr>
          <w:p w14:paraId="670BC6CC" w14:textId="7146416A" w:rsidR="003701CD" w:rsidRPr="004859C8" w:rsidRDefault="003701CD" w:rsidP="00283F68">
            <w:pPr>
              <w:pStyle w:val="TMGTableText"/>
              <w:jc w:val="center"/>
            </w:pPr>
            <w:r w:rsidRPr="000C2BCC">
              <w:t>1,975</w:t>
            </w:r>
          </w:p>
        </w:tc>
        <w:tc>
          <w:tcPr>
            <w:tcW w:w="630" w:type="dxa"/>
            <w:vAlign w:val="center"/>
          </w:tcPr>
          <w:p w14:paraId="49D6676F" w14:textId="2F487B5E" w:rsidR="003701CD" w:rsidRPr="004859C8" w:rsidRDefault="003701CD" w:rsidP="00283F68">
            <w:pPr>
              <w:pStyle w:val="TMGTableText"/>
              <w:jc w:val="center"/>
            </w:pPr>
            <w:r w:rsidRPr="000C2BCC">
              <w:t>1,975</w:t>
            </w:r>
          </w:p>
        </w:tc>
        <w:tc>
          <w:tcPr>
            <w:tcW w:w="631" w:type="dxa"/>
            <w:vAlign w:val="center"/>
          </w:tcPr>
          <w:p w14:paraId="414AF9AC" w14:textId="0AB1825E" w:rsidR="003701CD" w:rsidRPr="004859C8" w:rsidRDefault="003701CD" w:rsidP="00283F68">
            <w:pPr>
              <w:pStyle w:val="TMGTableText"/>
              <w:jc w:val="center"/>
            </w:pPr>
            <w:r w:rsidRPr="000C2BCC">
              <w:t>1,975</w:t>
            </w:r>
          </w:p>
        </w:tc>
        <w:tc>
          <w:tcPr>
            <w:tcW w:w="630" w:type="dxa"/>
            <w:vAlign w:val="center"/>
          </w:tcPr>
          <w:p w14:paraId="745907FC" w14:textId="56E312FC" w:rsidR="003701CD" w:rsidRPr="004859C8" w:rsidRDefault="003701CD" w:rsidP="00283F68">
            <w:pPr>
              <w:pStyle w:val="TMGTableText"/>
              <w:jc w:val="center"/>
            </w:pPr>
            <w:r w:rsidRPr="000C2BCC">
              <w:t>1,975</w:t>
            </w:r>
          </w:p>
        </w:tc>
        <w:tc>
          <w:tcPr>
            <w:tcW w:w="631" w:type="dxa"/>
            <w:vAlign w:val="center"/>
          </w:tcPr>
          <w:p w14:paraId="169439D9" w14:textId="605C2849" w:rsidR="003701CD" w:rsidRPr="004859C8" w:rsidRDefault="003701CD" w:rsidP="00283F68">
            <w:pPr>
              <w:pStyle w:val="TMGTableText"/>
              <w:jc w:val="center"/>
            </w:pPr>
            <w:r w:rsidRPr="000C2BCC">
              <w:t>1,975</w:t>
            </w:r>
          </w:p>
        </w:tc>
        <w:tc>
          <w:tcPr>
            <w:tcW w:w="630" w:type="dxa"/>
            <w:vAlign w:val="center"/>
          </w:tcPr>
          <w:p w14:paraId="4F7BF181" w14:textId="4A825116" w:rsidR="003701CD" w:rsidRPr="004859C8" w:rsidRDefault="003701CD" w:rsidP="00283F68">
            <w:pPr>
              <w:pStyle w:val="TMGTableText"/>
              <w:jc w:val="center"/>
            </w:pPr>
            <w:r w:rsidRPr="000C2BCC">
              <w:t>1,975</w:t>
            </w:r>
          </w:p>
        </w:tc>
        <w:tc>
          <w:tcPr>
            <w:tcW w:w="630" w:type="dxa"/>
            <w:vAlign w:val="center"/>
          </w:tcPr>
          <w:p w14:paraId="60ECBA21" w14:textId="046D874C" w:rsidR="003701CD" w:rsidRPr="004859C8" w:rsidRDefault="003701CD" w:rsidP="00283F68">
            <w:pPr>
              <w:pStyle w:val="TMGTableText"/>
              <w:jc w:val="center"/>
            </w:pPr>
            <w:r w:rsidRPr="000C2BCC">
              <w:t>1,975</w:t>
            </w:r>
          </w:p>
        </w:tc>
        <w:tc>
          <w:tcPr>
            <w:tcW w:w="631" w:type="dxa"/>
            <w:vAlign w:val="center"/>
          </w:tcPr>
          <w:p w14:paraId="74AD5CC7" w14:textId="78EC1AF7" w:rsidR="003701CD" w:rsidRPr="004859C8" w:rsidRDefault="003701CD" w:rsidP="00283F68">
            <w:pPr>
              <w:pStyle w:val="TMGTableText"/>
              <w:jc w:val="center"/>
            </w:pPr>
            <w:r w:rsidRPr="000C2BCC">
              <w:t>1,975</w:t>
            </w:r>
          </w:p>
        </w:tc>
        <w:tc>
          <w:tcPr>
            <w:tcW w:w="630" w:type="dxa"/>
            <w:vAlign w:val="center"/>
          </w:tcPr>
          <w:p w14:paraId="39CD2180" w14:textId="14D363F4" w:rsidR="003701CD" w:rsidRPr="004859C8" w:rsidRDefault="003701CD" w:rsidP="00283F68">
            <w:pPr>
              <w:pStyle w:val="TMGTableText"/>
              <w:jc w:val="center"/>
            </w:pPr>
            <w:r w:rsidRPr="000C2BCC">
              <w:t>1,975</w:t>
            </w:r>
          </w:p>
        </w:tc>
        <w:tc>
          <w:tcPr>
            <w:tcW w:w="631" w:type="dxa"/>
            <w:vAlign w:val="center"/>
          </w:tcPr>
          <w:p w14:paraId="0D8AF1DC" w14:textId="0CAE429D" w:rsidR="003701CD" w:rsidRPr="004859C8" w:rsidRDefault="003701CD" w:rsidP="00283F68">
            <w:pPr>
              <w:pStyle w:val="TMGTableText"/>
              <w:jc w:val="center"/>
            </w:pPr>
            <w:r w:rsidRPr="000C2BCC">
              <w:t>1,975</w:t>
            </w:r>
          </w:p>
        </w:tc>
        <w:tc>
          <w:tcPr>
            <w:tcW w:w="630" w:type="dxa"/>
            <w:vAlign w:val="center"/>
          </w:tcPr>
          <w:p w14:paraId="266D4DE7" w14:textId="143E32A4" w:rsidR="003701CD" w:rsidRPr="004859C8" w:rsidRDefault="003701CD" w:rsidP="00283F68">
            <w:pPr>
              <w:pStyle w:val="TMGTableText"/>
              <w:jc w:val="center"/>
            </w:pPr>
            <w:r w:rsidRPr="000C2BCC">
              <w:t>1,975</w:t>
            </w:r>
          </w:p>
        </w:tc>
        <w:tc>
          <w:tcPr>
            <w:tcW w:w="631" w:type="dxa"/>
            <w:vAlign w:val="center"/>
          </w:tcPr>
          <w:p w14:paraId="4A526D9C" w14:textId="31297A7F" w:rsidR="003701CD" w:rsidRPr="00C251E9" w:rsidRDefault="003701CD" w:rsidP="00283F68">
            <w:pPr>
              <w:pStyle w:val="TMGTableText"/>
              <w:jc w:val="center"/>
            </w:pPr>
            <w:r w:rsidRPr="000C2BCC">
              <w:t>1,975</w:t>
            </w:r>
          </w:p>
        </w:tc>
      </w:tr>
      <w:tr w:rsidR="003701CD" w14:paraId="5568B42D" w14:textId="77777777" w:rsidTr="00283F68">
        <w:trPr>
          <w:jc w:val="center"/>
        </w:trPr>
        <w:tc>
          <w:tcPr>
            <w:tcW w:w="1795" w:type="dxa"/>
          </w:tcPr>
          <w:p w14:paraId="60FEEFC9" w14:textId="1F4D2777" w:rsidR="003701CD" w:rsidRPr="00C251E9" w:rsidRDefault="003701CD" w:rsidP="00917D58">
            <w:pPr>
              <w:pStyle w:val="TMGTableText"/>
            </w:pPr>
            <w:r w:rsidRPr="00717829">
              <w:t>Monthly Average Daily Traffic (MADT)</w:t>
            </w:r>
          </w:p>
        </w:tc>
        <w:tc>
          <w:tcPr>
            <w:tcW w:w="630" w:type="dxa"/>
            <w:vAlign w:val="center"/>
          </w:tcPr>
          <w:p w14:paraId="2F41D6E0" w14:textId="6DEFC516" w:rsidR="003701CD" w:rsidRPr="004859C8" w:rsidRDefault="003701CD" w:rsidP="00283F68">
            <w:pPr>
              <w:pStyle w:val="TMGTableText"/>
              <w:jc w:val="center"/>
            </w:pPr>
            <w:r w:rsidRPr="000C2BCC">
              <w:t>239</w:t>
            </w:r>
          </w:p>
        </w:tc>
        <w:tc>
          <w:tcPr>
            <w:tcW w:w="630" w:type="dxa"/>
            <w:vAlign w:val="center"/>
          </w:tcPr>
          <w:p w14:paraId="0BDD1596" w14:textId="2268DA6D" w:rsidR="003701CD" w:rsidRPr="004859C8" w:rsidRDefault="003701CD" w:rsidP="00283F68">
            <w:pPr>
              <w:pStyle w:val="TMGTableText"/>
              <w:jc w:val="center"/>
            </w:pPr>
            <w:r w:rsidRPr="000C2BCC">
              <w:t>354</w:t>
            </w:r>
          </w:p>
        </w:tc>
        <w:tc>
          <w:tcPr>
            <w:tcW w:w="631" w:type="dxa"/>
            <w:vAlign w:val="center"/>
          </w:tcPr>
          <w:p w14:paraId="3B91D689" w14:textId="2B903DC6" w:rsidR="003701CD" w:rsidRPr="004859C8" w:rsidRDefault="003701CD" w:rsidP="00283F68">
            <w:pPr>
              <w:pStyle w:val="TMGTableText"/>
              <w:jc w:val="center"/>
            </w:pPr>
            <w:r w:rsidRPr="000C2BCC">
              <w:t>586</w:t>
            </w:r>
          </w:p>
        </w:tc>
        <w:tc>
          <w:tcPr>
            <w:tcW w:w="630" w:type="dxa"/>
            <w:vAlign w:val="center"/>
          </w:tcPr>
          <w:p w14:paraId="64E024B4" w14:textId="579E94EB" w:rsidR="003701CD" w:rsidRPr="004859C8" w:rsidRDefault="003701CD" w:rsidP="00283F68">
            <w:pPr>
              <w:pStyle w:val="TMGTableText"/>
              <w:jc w:val="center"/>
            </w:pPr>
            <w:r w:rsidRPr="000C2BCC">
              <w:t>1,807</w:t>
            </w:r>
          </w:p>
        </w:tc>
        <w:tc>
          <w:tcPr>
            <w:tcW w:w="631" w:type="dxa"/>
            <w:vAlign w:val="center"/>
          </w:tcPr>
          <w:p w14:paraId="05ECEC8E" w14:textId="79C3D9DA" w:rsidR="003701CD" w:rsidRPr="004859C8" w:rsidRDefault="003701CD" w:rsidP="00283F68">
            <w:pPr>
              <w:pStyle w:val="TMGTableText"/>
              <w:jc w:val="center"/>
            </w:pPr>
            <w:r w:rsidRPr="000C2BCC">
              <w:t>2,753</w:t>
            </w:r>
          </w:p>
        </w:tc>
        <w:tc>
          <w:tcPr>
            <w:tcW w:w="630" w:type="dxa"/>
            <w:vAlign w:val="center"/>
          </w:tcPr>
          <w:p w14:paraId="6D3BAAEC" w14:textId="69898245" w:rsidR="003701CD" w:rsidRPr="004859C8" w:rsidRDefault="003701CD" w:rsidP="00283F68">
            <w:pPr>
              <w:pStyle w:val="TMGTableText"/>
              <w:jc w:val="center"/>
            </w:pPr>
            <w:r w:rsidRPr="000C2BCC">
              <w:t>3,699</w:t>
            </w:r>
          </w:p>
        </w:tc>
        <w:tc>
          <w:tcPr>
            <w:tcW w:w="630" w:type="dxa"/>
            <w:vAlign w:val="center"/>
          </w:tcPr>
          <w:p w14:paraId="25190770" w14:textId="5B57777E" w:rsidR="003701CD" w:rsidRPr="004859C8" w:rsidRDefault="003701CD" w:rsidP="00283F68">
            <w:pPr>
              <w:pStyle w:val="TMGTableText"/>
              <w:jc w:val="center"/>
            </w:pPr>
            <w:r w:rsidRPr="000C2BCC">
              <w:t>4,099</w:t>
            </w:r>
          </w:p>
        </w:tc>
        <w:tc>
          <w:tcPr>
            <w:tcW w:w="631" w:type="dxa"/>
            <w:vAlign w:val="center"/>
          </w:tcPr>
          <w:p w14:paraId="4C3F1626" w14:textId="4590023A" w:rsidR="003701CD" w:rsidRPr="004859C8" w:rsidRDefault="003701CD" w:rsidP="00283F68">
            <w:pPr>
              <w:pStyle w:val="TMGTableText"/>
              <w:jc w:val="center"/>
            </w:pPr>
            <w:r w:rsidRPr="000C2BCC">
              <w:t>3,896</w:t>
            </w:r>
          </w:p>
        </w:tc>
        <w:tc>
          <w:tcPr>
            <w:tcW w:w="630" w:type="dxa"/>
            <w:vAlign w:val="center"/>
          </w:tcPr>
          <w:p w14:paraId="2B418E11" w14:textId="40B242A9" w:rsidR="003701CD" w:rsidRPr="004859C8" w:rsidRDefault="003701CD" w:rsidP="00283F68">
            <w:pPr>
              <w:pStyle w:val="TMGTableText"/>
              <w:jc w:val="center"/>
            </w:pPr>
            <w:r w:rsidRPr="000C2BCC">
              <w:t>2,805</w:t>
            </w:r>
          </w:p>
        </w:tc>
        <w:tc>
          <w:tcPr>
            <w:tcW w:w="631" w:type="dxa"/>
            <w:vAlign w:val="center"/>
          </w:tcPr>
          <w:p w14:paraId="0CF3E8FD" w14:textId="11B43433" w:rsidR="003701CD" w:rsidRPr="004859C8" w:rsidRDefault="003701CD" w:rsidP="00283F68">
            <w:pPr>
              <w:pStyle w:val="TMGTableText"/>
              <w:jc w:val="center"/>
            </w:pPr>
            <w:r w:rsidRPr="000C2BCC">
              <w:t>1,960</w:t>
            </w:r>
          </w:p>
        </w:tc>
        <w:tc>
          <w:tcPr>
            <w:tcW w:w="630" w:type="dxa"/>
            <w:vAlign w:val="center"/>
          </w:tcPr>
          <w:p w14:paraId="043DD7FA" w14:textId="49434418" w:rsidR="003701CD" w:rsidRPr="004859C8" w:rsidRDefault="003701CD" w:rsidP="00283F68">
            <w:pPr>
              <w:pStyle w:val="TMGTableText"/>
              <w:jc w:val="center"/>
            </w:pPr>
            <w:r w:rsidRPr="000C2BCC">
              <w:t>886</w:t>
            </w:r>
          </w:p>
        </w:tc>
        <w:tc>
          <w:tcPr>
            <w:tcW w:w="631" w:type="dxa"/>
            <w:vAlign w:val="center"/>
          </w:tcPr>
          <w:p w14:paraId="53934FC9" w14:textId="34983612" w:rsidR="003701CD" w:rsidRPr="00C251E9" w:rsidRDefault="003701CD" w:rsidP="00283F68">
            <w:pPr>
              <w:pStyle w:val="TMGTableText"/>
              <w:jc w:val="center"/>
            </w:pPr>
            <w:r w:rsidRPr="000C2BCC">
              <w:t>495</w:t>
            </w:r>
          </w:p>
        </w:tc>
      </w:tr>
      <w:tr w:rsidR="003701CD" w14:paraId="11936FF5" w14:textId="77777777" w:rsidTr="00283F68">
        <w:trPr>
          <w:jc w:val="center"/>
        </w:trPr>
        <w:tc>
          <w:tcPr>
            <w:tcW w:w="1795" w:type="dxa"/>
          </w:tcPr>
          <w:p w14:paraId="1C35FA0B" w14:textId="563FD10F" w:rsidR="003701CD" w:rsidRPr="00C251E9" w:rsidRDefault="003701CD" w:rsidP="00917D58">
            <w:pPr>
              <w:pStyle w:val="TMGTableText"/>
            </w:pPr>
            <w:r w:rsidRPr="00717829">
              <w:t xml:space="preserve">Ratio of MADT to AADT </w:t>
            </w:r>
          </w:p>
        </w:tc>
        <w:tc>
          <w:tcPr>
            <w:tcW w:w="630" w:type="dxa"/>
            <w:vAlign w:val="center"/>
          </w:tcPr>
          <w:p w14:paraId="5DC643E6" w14:textId="6944011E" w:rsidR="003701CD" w:rsidRPr="004859C8" w:rsidRDefault="003701CD" w:rsidP="00283F68">
            <w:pPr>
              <w:pStyle w:val="TMGTableText"/>
              <w:jc w:val="center"/>
            </w:pPr>
            <w:r w:rsidRPr="000C2BCC">
              <w:t>0.12</w:t>
            </w:r>
          </w:p>
        </w:tc>
        <w:tc>
          <w:tcPr>
            <w:tcW w:w="630" w:type="dxa"/>
            <w:vAlign w:val="center"/>
          </w:tcPr>
          <w:p w14:paraId="1A27A879" w14:textId="70EBBF7A" w:rsidR="003701CD" w:rsidRPr="004859C8" w:rsidRDefault="003701CD" w:rsidP="00283F68">
            <w:pPr>
              <w:pStyle w:val="TMGTableText"/>
              <w:jc w:val="center"/>
            </w:pPr>
            <w:r w:rsidRPr="000C2BCC">
              <w:t>0.18</w:t>
            </w:r>
          </w:p>
        </w:tc>
        <w:tc>
          <w:tcPr>
            <w:tcW w:w="631" w:type="dxa"/>
            <w:vAlign w:val="center"/>
          </w:tcPr>
          <w:p w14:paraId="7E76DC3B" w14:textId="1F1D9486" w:rsidR="003701CD" w:rsidRPr="004859C8" w:rsidRDefault="003701CD" w:rsidP="00283F68">
            <w:pPr>
              <w:pStyle w:val="TMGTableText"/>
              <w:jc w:val="center"/>
            </w:pPr>
            <w:r w:rsidRPr="000C2BCC">
              <w:t>0.30</w:t>
            </w:r>
          </w:p>
        </w:tc>
        <w:tc>
          <w:tcPr>
            <w:tcW w:w="630" w:type="dxa"/>
            <w:vAlign w:val="center"/>
          </w:tcPr>
          <w:p w14:paraId="30EBBF11" w14:textId="4CD78D0E" w:rsidR="003701CD" w:rsidRPr="004859C8" w:rsidRDefault="003701CD" w:rsidP="00283F68">
            <w:pPr>
              <w:pStyle w:val="TMGTableText"/>
              <w:jc w:val="center"/>
            </w:pPr>
            <w:r w:rsidRPr="000C2BCC">
              <w:t>0.92</w:t>
            </w:r>
          </w:p>
        </w:tc>
        <w:tc>
          <w:tcPr>
            <w:tcW w:w="631" w:type="dxa"/>
            <w:vAlign w:val="center"/>
          </w:tcPr>
          <w:p w14:paraId="5F0DBDED" w14:textId="044B2AA8" w:rsidR="003701CD" w:rsidRPr="004859C8" w:rsidRDefault="003701CD" w:rsidP="00283F68">
            <w:pPr>
              <w:pStyle w:val="TMGTableText"/>
              <w:jc w:val="center"/>
            </w:pPr>
            <w:r w:rsidRPr="000C2BCC">
              <w:t>1.39</w:t>
            </w:r>
          </w:p>
        </w:tc>
        <w:tc>
          <w:tcPr>
            <w:tcW w:w="630" w:type="dxa"/>
            <w:vAlign w:val="center"/>
          </w:tcPr>
          <w:p w14:paraId="2D3C0344" w14:textId="52B016F8" w:rsidR="003701CD" w:rsidRPr="004859C8" w:rsidRDefault="003701CD" w:rsidP="00283F68">
            <w:pPr>
              <w:pStyle w:val="TMGTableText"/>
              <w:jc w:val="center"/>
            </w:pPr>
            <w:r w:rsidRPr="000C2BCC">
              <w:t>1.87</w:t>
            </w:r>
          </w:p>
        </w:tc>
        <w:tc>
          <w:tcPr>
            <w:tcW w:w="630" w:type="dxa"/>
            <w:vAlign w:val="center"/>
          </w:tcPr>
          <w:p w14:paraId="72561D32" w14:textId="486DFAD0" w:rsidR="003701CD" w:rsidRPr="004859C8" w:rsidRDefault="003701CD" w:rsidP="00283F68">
            <w:pPr>
              <w:pStyle w:val="TMGTableText"/>
              <w:jc w:val="center"/>
            </w:pPr>
            <w:r w:rsidRPr="000C2BCC">
              <w:t>2.08</w:t>
            </w:r>
          </w:p>
        </w:tc>
        <w:tc>
          <w:tcPr>
            <w:tcW w:w="631" w:type="dxa"/>
            <w:vAlign w:val="center"/>
          </w:tcPr>
          <w:p w14:paraId="6CAAEAAB" w14:textId="3E3BEBC8" w:rsidR="003701CD" w:rsidRPr="004859C8" w:rsidRDefault="003701CD" w:rsidP="00283F68">
            <w:pPr>
              <w:pStyle w:val="TMGTableText"/>
              <w:jc w:val="center"/>
            </w:pPr>
            <w:r w:rsidRPr="000C2BCC">
              <w:t>1.97</w:t>
            </w:r>
          </w:p>
        </w:tc>
        <w:tc>
          <w:tcPr>
            <w:tcW w:w="630" w:type="dxa"/>
            <w:vAlign w:val="center"/>
          </w:tcPr>
          <w:p w14:paraId="73F98459" w14:textId="1BD138EA" w:rsidR="003701CD" w:rsidRPr="004859C8" w:rsidRDefault="003701CD" w:rsidP="00283F68">
            <w:pPr>
              <w:pStyle w:val="TMGTableText"/>
              <w:jc w:val="center"/>
            </w:pPr>
            <w:r w:rsidRPr="000C2BCC">
              <w:t>1.42</w:t>
            </w:r>
          </w:p>
        </w:tc>
        <w:tc>
          <w:tcPr>
            <w:tcW w:w="631" w:type="dxa"/>
            <w:vAlign w:val="center"/>
          </w:tcPr>
          <w:p w14:paraId="46574FA1" w14:textId="44813A01" w:rsidR="003701CD" w:rsidRPr="004859C8" w:rsidRDefault="003701CD" w:rsidP="00283F68">
            <w:pPr>
              <w:pStyle w:val="TMGTableText"/>
              <w:jc w:val="center"/>
            </w:pPr>
            <w:r w:rsidRPr="000C2BCC">
              <w:t>0.99</w:t>
            </w:r>
          </w:p>
        </w:tc>
        <w:tc>
          <w:tcPr>
            <w:tcW w:w="630" w:type="dxa"/>
            <w:vAlign w:val="center"/>
          </w:tcPr>
          <w:p w14:paraId="1E96B2B9" w14:textId="2C9B1FC4" w:rsidR="003701CD" w:rsidRPr="004859C8" w:rsidRDefault="003701CD" w:rsidP="00283F68">
            <w:pPr>
              <w:pStyle w:val="TMGTableText"/>
              <w:jc w:val="center"/>
            </w:pPr>
            <w:r w:rsidRPr="000C2BCC">
              <w:t>0.45</w:t>
            </w:r>
          </w:p>
        </w:tc>
        <w:tc>
          <w:tcPr>
            <w:tcW w:w="631" w:type="dxa"/>
            <w:vAlign w:val="center"/>
          </w:tcPr>
          <w:p w14:paraId="165337E1" w14:textId="561E6F27" w:rsidR="003701CD" w:rsidRPr="00C251E9" w:rsidRDefault="003701CD" w:rsidP="00283F68">
            <w:pPr>
              <w:pStyle w:val="TMGTableText"/>
              <w:jc w:val="center"/>
            </w:pPr>
            <w:r w:rsidRPr="000C2BCC">
              <w:t>0.25</w:t>
            </w:r>
          </w:p>
        </w:tc>
      </w:tr>
      <w:tr w:rsidR="003701CD" w14:paraId="4C703BD8" w14:textId="77777777" w:rsidTr="00283F68">
        <w:trPr>
          <w:jc w:val="center"/>
        </w:trPr>
        <w:tc>
          <w:tcPr>
            <w:tcW w:w="1795" w:type="dxa"/>
          </w:tcPr>
          <w:p w14:paraId="4F66A45B" w14:textId="689B19E9" w:rsidR="003701CD" w:rsidRPr="00C251E9" w:rsidRDefault="003701CD" w:rsidP="00917D58">
            <w:pPr>
              <w:pStyle w:val="TMGTableText"/>
            </w:pPr>
            <w:r w:rsidRPr="00717829">
              <w:t>Ratio of Sunday ADT to MADT</w:t>
            </w:r>
          </w:p>
        </w:tc>
        <w:tc>
          <w:tcPr>
            <w:tcW w:w="630" w:type="dxa"/>
            <w:vAlign w:val="center"/>
          </w:tcPr>
          <w:p w14:paraId="2FBC140C" w14:textId="213DEB52" w:rsidR="003701CD" w:rsidRPr="004859C8" w:rsidRDefault="003701CD" w:rsidP="00283F68">
            <w:pPr>
              <w:pStyle w:val="TMGTableText"/>
              <w:jc w:val="center"/>
            </w:pPr>
            <w:r w:rsidRPr="000C2BCC">
              <w:t>0.89</w:t>
            </w:r>
          </w:p>
        </w:tc>
        <w:tc>
          <w:tcPr>
            <w:tcW w:w="630" w:type="dxa"/>
            <w:vAlign w:val="center"/>
          </w:tcPr>
          <w:p w14:paraId="5D59D3CB" w14:textId="5F795CF0" w:rsidR="003701CD" w:rsidRPr="004859C8" w:rsidRDefault="003701CD" w:rsidP="00283F68">
            <w:pPr>
              <w:pStyle w:val="TMGTableText"/>
              <w:jc w:val="center"/>
            </w:pPr>
            <w:r w:rsidRPr="000C2BCC">
              <w:t>1.33</w:t>
            </w:r>
          </w:p>
        </w:tc>
        <w:tc>
          <w:tcPr>
            <w:tcW w:w="631" w:type="dxa"/>
            <w:vAlign w:val="center"/>
          </w:tcPr>
          <w:p w14:paraId="5A1EFEDE" w14:textId="4DEF4D36" w:rsidR="003701CD" w:rsidRPr="004859C8" w:rsidRDefault="003701CD" w:rsidP="00283F68">
            <w:pPr>
              <w:pStyle w:val="TMGTableText"/>
              <w:jc w:val="center"/>
            </w:pPr>
            <w:r w:rsidRPr="000C2BCC">
              <w:t>0.89</w:t>
            </w:r>
          </w:p>
        </w:tc>
        <w:tc>
          <w:tcPr>
            <w:tcW w:w="630" w:type="dxa"/>
            <w:vAlign w:val="center"/>
          </w:tcPr>
          <w:p w14:paraId="7224689B" w14:textId="7071EB47" w:rsidR="003701CD" w:rsidRPr="004859C8" w:rsidRDefault="003701CD" w:rsidP="00283F68">
            <w:pPr>
              <w:pStyle w:val="TMGTableText"/>
              <w:jc w:val="center"/>
            </w:pPr>
            <w:r w:rsidRPr="000C2BCC">
              <w:t>1.55</w:t>
            </w:r>
          </w:p>
        </w:tc>
        <w:tc>
          <w:tcPr>
            <w:tcW w:w="631" w:type="dxa"/>
            <w:vAlign w:val="center"/>
          </w:tcPr>
          <w:p w14:paraId="79CDF9F7" w14:textId="5D5BFAC0" w:rsidR="003701CD" w:rsidRPr="004859C8" w:rsidRDefault="003701CD" w:rsidP="00283F68">
            <w:pPr>
              <w:pStyle w:val="TMGTableText"/>
              <w:jc w:val="center"/>
            </w:pPr>
            <w:r w:rsidRPr="000C2BCC">
              <w:t>0.88</w:t>
            </w:r>
          </w:p>
        </w:tc>
        <w:tc>
          <w:tcPr>
            <w:tcW w:w="630" w:type="dxa"/>
            <w:vAlign w:val="center"/>
          </w:tcPr>
          <w:p w14:paraId="6DFB7C14" w14:textId="2CAF909C" w:rsidR="003701CD" w:rsidRPr="004859C8" w:rsidRDefault="003701CD" w:rsidP="00283F68">
            <w:pPr>
              <w:pStyle w:val="TMGTableText"/>
              <w:jc w:val="center"/>
            </w:pPr>
            <w:r w:rsidRPr="000C2BCC">
              <w:t>1.29</w:t>
            </w:r>
          </w:p>
        </w:tc>
        <w:tc>
          <w:tcPr>
            <w:tcW w:w="630" w:type="dxa"/>
            <w:vAlign w:val="center"/>
          </w:tcPr>
          <w:p w14:paraId="63D3F523" w14:textId="664B89FC" w:rsidR="003701CD" w:rsidRPr="004859C8" w:rsidRDefault="003701CD" w:rsidP="00283F68">
            <w:pPr>
              <w:pStyle w:val="TMGTableText"/>
              <w:jc w:val="center"/>
            </w:pPr>
            <w:r w:rsidRPr="000C2BCC">
              <w:t>1.18</w:t>
            </w:r>
          </w:p>
        </w:tc>
        <w:tc>
          <w:tcPr>
            <w:tcW w:w="631" w:type="dxa"/>
            <w:vAlign w:val="center"/>
          </w:tcPr>
          <w:p w14:paraId="557032E1" w14:textId="7AF9762A" w:rsidR="003701CD" w:rsidRPr="004859C8" w:rsidRDefault="003701CD" w:rsidP="00283F68">
            <w:pPr>
              <w:pStyle w:val="TMGTableText"/>
              <w:jc w:val="center"/>
            </w:pPr>
            <w:r w:rsidRPr="000C2BCC">
              <w:t>1.34</w:t>
            </w:r>
          </w:p>
        </w:tc>
        <w:tc>
          <w:tcPr>
            <w:tcW w:w="630" w:type="dxa"/>
            <w:vAlign w:val="center"/>
          </w:tcPr>
          <w:p w14:paraId="4C5CC28C" w14:textId="4F371F7E" w:rsidR="003701CD" w:rsidRPr="004859C8" w:rsidRDefault="003701CD" w:rsidP="00283F68">
            <w:pPr>
              <w:pStyle w:val="TMGTableText"/>
              <w:jc w:val="center"/>
            </w:pPr>
            <w:r w:rsidRPr="000C2BCC">
              <w:t>1.06</w:t>
            </w:r>
          </w:p>
        </w:tc>
        <w:tc>
          <w:tcPr>
            <w:tcW w:w="631" w:type="dxa"/>
            <w:vAlign w:val="center"/>
          </w:tcPr>
          <w:p w14:paraId="1DA0426A" w14:textId="10C016E4" w:rsidR="003701CD" w:rsidRPr="004859C8" w:rsidRDefault="003701CD" w:rsidP="00283F68">
            <w:pPr>
              <w:pStyle w:val="TMGTableText"/>
              <w:jc w:val="center"/>
            </w:pPr>
            <w:r w:rsidRPr="000C2BCC">
              <w:t>1.20</w:t>
            </w:r>
          </w:p>
        </w:tc>
        <w:tc>
          <w:tcPr>
            <w:tcW w:w="630" w:type="dxa"/>
            <w:vAlign w:val="center"/>
          </w:tcPr>
          <w:p w14:paraId="28208FE9" w14:textId="343AF4CE" w:rsidR="003701CD" w:rsidRPr="004859C8" w:rsidRDefault="003701CD" w:rsidP="00283F68">
            <w:pPr>
              <w:pStyle w:val="TMGTableText"/>
              <w:jc w:val="center"/>
            </w:pPr>
            <w:r w:rsidRPr="000C2BCC">
              <w:t>0.75</w:t>
            </w:r>
          </w:p>
        </w:tc>
        <w:tc>
          <w:tcPr>
            <w:tcW w:w="631" w:type="dxa"/>
            <w:vAlign w:val="center"/>
          </w:tcPr>
          <w:p w14:paraId="043DA85A" w14:textId="54CE63B8" w:rsidR="003701CD" w:rsidRPr="00C251E9" w:rsidRDefault="003701CD" w:rsidP="00283F68">
            <w:pPr>
              <w:pStyle w:val="TMGTableText"/>
              <w:jc w:val="center"/>
            </w:pPr>
            <w:r w:rsidRPr="000C2BCC">
              <w:t>1.11</w:t>
            </w:r>
          </w:p>
        </w:tc>
      </w:tr>
      <w:tr w:rsidR="003701CD" w14:paraId="454CA078" w14:textId="77777777" w:rsidTr="00283F68">
        <w:trPr>
          <w:jc w:val="center"/>
        </w:trPr>
        <w:tc>
          <w:tcPr>
            <w:tcW w:w="1795" w:type="dxa"/>
          </w:tcPr>
          <w:p w14:paraId="6D8332C3" w14:textId="0CD45E5E" w:rsidR="003701CD" w:rsidRPr="00C251E9" w:rsidRDefault="003701CD" w:rsidP="00917D58">
            <w:pPr>
              <w:pStyle w:val="TMGTableText"/>
            </w:pPr>
            <w:r w:rsidRPr="00717829">
              <w:t>Ratio of Monday ADT to MADT</w:t>
            </w:r>
          </w:p>
        </w:tc>
        <w:tc>
          <w:tcPr>
            <w:tcW w:w="630" w:type="dxa"/>
            <w:vAlign w:val="center"/>
          </w:tcPr>
          <w:p w14:paraId="5D3F5960" w14:textId="4A34EB6E" w:rsidR="003701CD" w:rsidRPr="004859C8" w:rsidRDefault="003701CD" w:rsidP="00283F68">
            <w:pPr>
              <w:pStyle w:val="TMGTableText"/>
              <w:jc w:val="center"/>
            </w:pPr>
            <w:r w:rsidRPr="000C2BCC">
              <w:t>1.01</w:t>
            </w:r>
          </w:p>
        </w:tc>
        <w:tc>
          <w:tcPr>
            <w:tcW w:w="630" w:type="dxa"/>
            <w:vAlign w:val="center"/>
          </w:tcPr>
          <w:p w14:paraId="62549F80" w14:textId="6B38A609" w:rsidR="003701CD" w:rsidRPr="004859C8" w:rsidRDefault="003701CD" w:rsidP="00283F68">
            <w:pPr>
              <w:pStyle w:val="TMGTableText"/>
              <w:jc w:val="center"/>
            </w:pPr>
            <w:r w:rsidRPr="000C2BCC">
              <w:t>0.66</w:t>
            </w:r>
          </w:p>
        </w:tc>
        <w:tc>
          <w:tcPr>
            <w:tcW w:w="631" w:type="dxa"/>
            <w:vAlign w:val="center"/>
          </w:tcPr>
          <w:p w14:paraId="6377D35B" w14:textId="7746A79E" w:rsidR="003701CD" w:rsidRPr="004859C8" w:rsidRDefault="003701CD" w:rsidP="00283F68">
            <w:pPr>
              <w:pStyle w:val="TMGTableText"/>
              <w:jc w:val="center"/>
            </w:pPr>
            <w:r w:rsidRPr="000C2BCC">
              <w:t>1.10</w:t>
            </w:r>
          </w:p>
        </w:tc>
        <w:tc>
          <w:tcPr>
            <w:tcW w:w="630" w:type="dxa"/>
            <w:vAlign w:val="center"/>
          </w:tcPr>
          <w:p w14:paraId="06F42C71" w14:textId="6C995E71" w:rsidR="003701CD" w:rsidRPr="004859C8" w:rsidRDefault="003701CD" w:rsidP="00283F68">
            <w:pPr>
              <w:pStyle w:val="TMGTableText"/>
              <w:jc w:val="center"/>
            </w:pPr>
            <w:r w:rsidRPr="000C2BCC">
              <w:t>1.10</w:t>
            </w:r>
          </w:p>
        </w:tc>
        <w:tc>
          <w:tcPr>
            <w:tcW w:w="631" w:type="dxa"/>
            <w:vAlign w:val="center"/>
          </w:tcPr>
          <w:p w14:paraId="6059B17B" w14:textId="52C9139B" w:rsidR="003701CD" w:rsidRPr="004859C8" w:rsidRDefault="003701CD" w:rsidP="00283F68">
            <w:pPr>
              <w:pStyle w:val="TMGTableText"/>
              <w:jc w:val="center"/>
            </w:pPr>
            <w:r w:rsidRPr="000C2BCC">
              <w:t>0.98</w:t>
            </w:r>
          </w:p>
        </w:tc>
        <w:tc>
          <w:tcPr>
            <w:tcW w:w="630" w:type="dxa"/>
            <w:vAlign w:val="center"/>
          </w:tcPr>
          <w:p w14:paraId="6BFAB1FE" w14:textId="0701F336" w:rsidR="003701CD" w:rsidRPr="004859C8" w:rsidRDefault="003701CD" w:rsidP="00283F68">
            <w:pPr>
              <w:pStyle w:val="TMGTableText"/>
              <w:jc w:val="center"/>
            </w:pPr>
            <w:r w:rsidRPr="000C2BCC">
              <w:t>0.95</w:t>
            </w:r>
          </w:p>
        </w:tc>
        <w:tc>
          <w:tcPr>
            <w:tcW w:w="630" w:type="dxa"/>
            <w:vAlign w:val="center"/>
          </w:tcPr>
          <w:p w14:paraId="0B8B5636" w14:textId="70DC002F" w:rsidR="003701CD" w:rsidRPr="004859C8" w:rsidRDefault="003701CD" w:rsidP="00283F68">
            <w:pPr>
              <w:pStyle w:val="TMGTableText"/>
              <w:jc w:val="center"/>
            </w:pPr>
            <w:r w:rsidRPr="000C2BCC">
              <w:t>0.98</w:t>
            </w:r>
          </w:p>
        </w:tc>
        <w:tc>
          <w:tcPr>
            <w:tcW w:w="631" w:type="dxa"/>
            <w:vAlign w:val="center"/>
          </w:tcPr>
          <w:p w14:paraId="7B770FAF" w14:textId="42FFF34D" w:rsidR="003701CD" w:rsidRPr="004859C8" w:rsidRDefault="003701CD" w:rsidP="00283F68">
            <w:pPr>
              <w:pStyle w:val="TMGTableText"/>
              <w:jc w:val="center"/>
            </w:pPr>
            <w:r w:rsidRPr="000C2BCC">
              <w:t>0.87</w:t>
            </w:r>
          </w:p>
        </w:tc>
        <w:tc>
          <w:tcPr>
            <w:tcW w:w="630" w:type="dxa"/>
            <w:vAlign w:val="center"/>
          </w:tcPr>
          <w:p w14:paraId="21A1A403" w14:textId="70259DEC" w:rsidR="003701CD" w:rsidRPr="004859C8" w:rsidRDefault="003701CD" w:rsidP="00283F68">
            <w:pPr>
              <w:pStyle w:val="TMGTableText"/>
              <w:jc w:val="center"/>
            </w:pPr>
            <w:r w:rsidRPr="000C2BCC">
              <w:t>1.22</w:t>
            </w:r>
          </w:p>
        </w:tc>
        <w:tc>
          <w:tcPr>
            <w:tcW w:w="631" w:type="dxa"/>
            <w:vAlign w:val="center"/>
          </w:tcPr>
          <w:p w14:paraId="511DCF3F" w14:textId="6E28557A" w:rsidR="003701CD" w:rsidRPr="004859C8" w:rsidRDefault="003701CD" w:rsidP="00283F68">
            <w:pPr>
              <w:pStyle w:val="TMGTableText"/>
              <w:jc w:val="center"/>
            </w:pPr>
            <w:r w:rsidRPr="000C2BCC">
              <w:t>0.96</w:t>
            </w:r>
          </w:p>
        </w:tc>
        <w:tc>
          <w:tcPr>
            <w:tcW w:w="630" w:type="dxa"/>
            <w:vAlign w:val="center"/>
          </w:tcPr>
          <w:p w14:paraId="7FA47AA6" w14:textId="1C641525" w:rsidR="003701CD" w:rsidRPr="004859C8" w:rsidRDefault="003701CD" w:rsidP="00283F68">
            <w:pPr>
              <w:pStyle w:val="TMGTableText"/>
              <w:jc w:val="center"/>
            </w:pPr>
            <w:r w:rsidRPr="000C2BCC">
              <w:t>1.00</w:t>
            </w:r>
          </w:p>
        </w:tc>
        <w:tc>
          <w:tcPr>
            <w:tcW w:w="631" w:type="dxa"/>
            <w:vAlign w:val="center"/>
          </w:tcPr>
          <w:p w14:paraId="64023F8B" w14:textId="468BEE9A" w:rsidR="003701CD" w:rsidRPr="00C251E9" w:rsidRDefault="003701CD" w:rsidP="00283F68">
            <w:pPr>
              <w:pStyle w:val="TMGTableText"/>
              <w:jc w:val="center"/>
            </w:pPr>
            <w:r w:rsidRPr="000C2BCC">
              <w:t>1.08</w:t>
            </w:r>
          </w:p>
        </w:tc>
      </w:tr>
      <w:tr w:rsidR="003701CD" w14:paraId="7E7DF41A" w14:textId="77777777" w:rsidTr="00283F68">
        <w:trPr>
          <w:jc w:val="center"/>
        </w:trPr>
        <w:tc>
          <w:tcPr>
            <w:tcW w:w="1795" w:type="dxa"/>
          </w:tcPr>
          <w:p w14:paraId="3828CD9E" w14:textId="014D72B3" w:rsidR="003701CD" w:rsidRPr="00C251E9" w:rsidRDefault="003701CD" w:rsidP="00917D58">
            <w:pPr>
              <w:pStyle w:val="TMGTableText"/>
            </w:pPr>
            <w:r w:rsidRPr="00717829">
              <w:t>Ratio of Tuesday ADT to MADT</w:t>
            </w:r>
          </w:p>
        </w:tc>
        <w:tc>
          <w:tcPr>
            <w:tcW w:w="630" w:type="dxa"/>
            <w:vAlign w:val="center"/>
          </w:tcPr>
          <w:p w14:paraId="1064F9B9" w14:textId="1335EDF5" w:rsidR="003701CD" w:rsidRPr="004859C8" w:rsidRDefault="003701CD" w:rsidP="00283F68">
            <w:pPr>
              <w:pStyle w:val="TMGTableText"/>
              <w:jc w:val="center"/>
            </w:pPr>
            <w:r w:rsidRPr="000C2BCC">
              <w:t>1.10</w:t>
            </w:r>
          </w:p>
        </w:tc>
        <w:tc>
          <w:tcPr>
            <w:tcW w:w="630" w:type="dxa"/>
            <w:vAlign w:val="center"/>
          </w:tcPr>
          <w:p w14:paraId="0CCCE116" w14:textId="16F69AF0" w:rsidR="003701CD" w:rsidRPr="004859C8" w:rsidRDefault="003701CD" w:rsidP="00283F68">
            <w:pPr>
              <w:pStyle w:val="TMGTableText"/>
              <w:jc w:val="center"/>
            </w:pPr>
            <w:r w:rsidRPr="000C2BCC">
              <w:t>0.74</w:t>
            </w:r>
          </w:p>
        </w:tc>
        <w:tc>
          <w:tcPr>
            <w:tcW w:w="631" w:type="dxa"/>
            <w:vAlign w:val="center"/>
          </w:tcPr>
          <w:p w14:paraId="2AE3C948" w14:textId="0DA29A62" w:rsidR="003701CD" w:rsidRPr="004859C8" w:rsidRDefault="003701CD" w:rsidP="00283F68">
            <w:pPr>
              <w:pStyle w:val="TMGTableText"/>
              <w:jc w:val="center"/>
            </w:pPr>
            <w:r w:rsidRPr="000C2BCC">
              <w:t>0.91</w:t>
            </w:r>
          </w:p>
        </w:tc>
        <w:tc>
          <w:tcPr>
            <w:tcW w:w="630" w:type="dxa"/>
            <w:vAlign w:val="center"/>
          </w:tcPr>
          <w:p w14:paraId="7FADA326" w14:textId="32094B60" w:rsidR="003701CD" w:rsidRPr="004859C8" w:rsidRDefault="003701CD" w:rsidP="00283F68">
            <w:pPr>
              <w:pStyle w:val="TMGTableText"/>
              <w:jc w:val="center"/>
            </w:pPr>
            <w:r w:rsidRPr="000C2BCC">
              <w:t>0.96</w:t>
            </w:r>
          </w:p>
        </w:tc>
        <w:tc>
          <w:tcPr>
            <w:tcW w:w="631" w:type="dxa"/>
            <w:vAlign w:val="center"/>
          </w:tcPr>
          <w:p w14:paraId="4358DA65" w14:textId="299D72B0" w:rsidR="003701CD" w:rsidRPr="004859C8" w:rsidRDefault="003701CD" w:rsidP="00283F68">
            <w:pPr>
              <w:pStyle w:val="TMGTableText"/>
              <w:jc w:val="center"/>
            </w:pPr>
            <w:r w:rsidRPr="000C2BCC">
              <w:t>1.27</w:t>
            </w:r>
          </w:p>
        </w:tc>
        <w:tc>
          <w:tcPr>
            <w:tcW w:w="630" w:type="dxa"/>
            <w:vAlign w:val="center"/>
          </w:tcPr>
          <w:p w14:paraId="42BF3C9E" w14:textId="18458CBD" w:rsidR="003701CD" w:rsidRPr="004859C8" w:rsidRDefault="003701CD" w:rsidP="00283F68">
            <w:pPr>
              <w:pStyle w:val="TMGTableText"/>
              <w:jc w:val="center"/>
            </w:pPr>
            <w:r w:rsidRPr="000C2BCC">
              <w:t>0.89</w:t>
            </w:r>
          </w:p>
        </w:tc>
        <w:tc>
          <w:tcPr>
            <w:tcW w:w="630" w:type="dxa"/>
            <w:vAlign w:val="center"/>
          </w:tcPr>
          <w:p w14:paraId="3D8550C4" w14:textId="3F34F2BC" w:rsidR="003701CD" w:rsidRPr="004859C8" w:rsidRDefault="003701CD" w:rsidP="00283F68">
            <w:pPr>
              <w:pStyle w:val="TMGTableText"/>
              <w:jc w:val="center"/>
            </w:pPr>
            <w:r w:rsidRPr="000C2BCC">
              <w:t>0.91</w:t>
            </w:r>
          </w:p>
        </w:tc>
        <w:tc>
          <w:tcPr>
            <w:tcW w:w="631" w:type="dxa"/>
            <w:vAlign w:val="center"/>
          </w:tcPr>
          <w:p w14:paraId="3E78411A" w14:textId="6D50DDBD" w:rsidR="003701CD" w:rsidRPr="004859C8" w:rsidRDefault="003701CD" w:rsidP="00283F68">
            <w:pPr>
              <w:pStyle w:val="TMGTableText"/>
              <w:jc w:val="center"/>
            </w:pPr>
            <w:r w:rsidRPr="000C2BCC">
              <w:t>0.74</w:t>
            </w:r>
          </w:p>
        </w:tc>
        <w:tc>
          <w:tcPr>
            <w:tcW w:w="630" w:type="dxa"/>
            <w:vAlign w:val="center"/>
          </w:tcPr>
          <w:p w14:paraId="26664A61" w14:textId="52579019" w:rsidR="003701CD" w:rsidRPr="004859C8" w:rsidRDefault="003701CD" w:rsidP="00283F68">
            <w:pPr>
              <w:pStyle w:val="TMGTableText"/>
              <w:jc w:val="center"/>
            </w:pPr>
            <w:r w:rsidRPr="000C2BCC">
              <w:t>0.86</w:t>
            </w:r>
          </w:p>
        </w:tc>
        <w:tc>
          <w:tcPr>
            <w:tcW w:w="631" w:type="dxa"/>
            <w:vAlign w:val="center"/>
          </w:tcPr>
          <w:p w14:paraId="3D402D1A" w14:textId="043FF36A" w:rsidR="003701CD" w:rsidRPr="004859C8" w:rsidRDefault="003701CD" w:rsidP="00283F68">
            <w:pPr>
              <w:pStyle w:val="TMGTableText"/>
              <w:jc w:val="center"/>
            </w:pPr>
            <w:r w:rsidRPr="000C2BCC">
              <w:t>1.03</w:t>
            </w:r>
          </w:p>
        </w:tc>
        <w:tc>
          <w:tcPr>
            <w:tcW w:w="630" w:type="dxa"/>
            <w:vAlign w:val="center"/>
          </w:tcPr>
          <w:p w14:paraId="620F0B52" w14:textId="2469E54D" w:rsidR="003701CD" w:rsidRPr="004859C8" w:rsidRDefault="003701CD" w:rsidP="00283F68">
            <w:pPr>
              <w:pStyle w:val="TMGTableText"/>
              <w:jc w:val="center"/>
            </w:pPr>
            <w:r w:rsidRPr="000C2BCC">
              <w:t>1.01</w:t>
            </w:r>
          </w:p>
        </w:tc>
        <w:tc>
          <w:tcPr>
            <w:tcW w:w="631" w:type="dxa"/>
            <w:vAlign w:val="center"/>
          </w:tcPr>
          <w:p w14:paraId="76323090" w14:textId="0D8E92DE" w:rsidR="003701CD" w:rsidRPr="00C251E9" w:rsidRDefault="003701CD" w:rsidP="00283F68">
            <w:pPr>
              <w:pStyle w:val="TMGTableText"/>
              <w:jc w:val="center"/>
            </w:pPr>
            <w:r w:rsidRPr="000C2BCC">
              <w:t>1.07</w:t>
            </w:r>
          </w:p>
        </w:tc>
      </w:tr>
      <w:tr w:rsidR="003701CD" w14:paraId="01A0CDB6" w14:textId="77777777" w:rsidTr="00283F68">
        <w:trPr>
          <w:jc w:val="center"/>
        </w:trPr>
        <w:tc>
          <w:tcPr>
            <w:tcW w:w="1795" w:type="dxa"/>
          </w:tcPr>
          <w:p w14:paraId="24F989E2" w14:textId="31A50499" w:rsidR="003701CD" w:rsidRPr="00C251E9" w:rsidRDefault="003701CD" w:rsidP="00917D58">
            <w:pPr>
              <w:pStyle w:val="TMGTableText"/>
            </w:pPr>
            <w:r w:rsidRPr="00717829">
              <w:t>Ratio of Wednesday ADT to MADT</w:t>
            </w:r>
          </w:p>
        </w:tc>
        <w:tc>
          <w:tcPr>
            <w:tcW w:w="630" w:type="dxa"/>
            <w:vAlign w:val="center"/>
          </w:tcPr>
          <w:p w14:paraId="142B5FCC" w14:textId="22AE3308" w:rsidR="003701CD" w:rsidRPr="004859C8" w:rsidRDefault="003701CD" w:rsidP="00283F68">
            <w:pPr>
              <w:pStyle w:val="TMGTableText"/>
              <w:jc w:val="center"/>
            </w:pPr>
            <w:r w:rsidRPr="000C2BCC">
              <w:t>1.15</w:t>
            </w:r>
          </w:p>
        </w:tc>
        <w:tc>
          <w:tcPr>
            <w:tcW w:w="630" w:type="dxa"/>
            <w:vAlign w:val="center"/>
          </w:tcPr>
          <w:p w14:paraId="5F06CD87" w14:textId="0FE87E65" w:rsidR="003701CD" w:rsidRPr="004859C8" w:rsidRDefault="003701CD" w:rsidP="00283F68">
            <w:pPr>
              <w:pStyle w:val="TMGTableText"/>
              <w:jc w:val="center"/>
            </w:pPr>
            <w:r w:rsidRPr="000C2BCC">
              <w:t>0.96</w:t>
            </w:r>
          </w:p>
        </w:tc>
        <w:tc>
          <w:tcPr>
            <w:tcW w:w="631" w:type="dxa"/>
            <w:vAlign w:val="center"/>
          </w:tcPr>
          <w:p w14:paraId="2307ABA1" w14:textId="65459CEA" w:rsidR="003701CD" w:rsidRPr="004859C8" w:rsidRDefault="003701CD" w:rsidP="00283F68">
            <w:pPr>
              <w:pStyle w:val="TMGTableText"/>
              <w:jc w:val="center"/>
            </w:pPr>
            <w:r w:rsidRPr="000C2BCC">
              <w:t>0.93</w:t>
            </w:r>
          </w:p>
        </w:tc>
        <w:tc>
          <w:tcPr>
            <w:tcW w:w="630" w:type="dxa"/>
            <w:vAlign w:val="center"/>
          </w:tcPr>
          <w:p w14:paraId="7850156E" w14:textId="3AA1AE00" w:rsidR="003701CD" w:rsidRPr="004859C8" w:rsidRDefault="003701CD" w:rsidP="00283F68">
            <w:pPr>
              <w:pStyle w:val="TMGTableText"/>
              <w:jc w:val="center"/>
            </w:pPr>
            <w:r w:rsidRPr="000C2BCC">
              <w:t>0.76</w:t>
            </w:r>
          </w:p>
        </w:tc>
        <w:tc>
          <w:tcPr>
            <w:tcW w:w="631" w:type="dxa"/>
            <w:vAlign w:val="center"/>
          </w:tcPr>
          <w:p w14:paraId="335303EA" w14:textId="679D0C8A" w:rsidR="003701CD" w:rsidRPr="004859C8" w:rsidRDefault="003701CD" w:rsidP="00283F68">
            <w:pPr>
              <w:pStyle w:val="TMGTableText"/>
              <w:jc w:val="center"/>
            </w:pPr>
            <w:r w:rsidRPr="000C2BCC">
              <w:t>1.11</w:t>
            </w:r>
          </w:p>
        </w:tc>
        <w:tc>
          <w:tcPr>
            <w:tcW w:w="630" w:type="dxa"/>
            <w:vAlign w:val="center"/>
          </w:tcPr>
          <w:p w14:paraId="12C9F1AA" w14:textId="0EF70279" w:rsidR="003701CD" w:rsidRPr="004859C8" w:rsidRDefault="003701CD" w:rsidP="00283F68">
            <w:pPr>
              <w:pStyle w:val="TMGTableText"/>
              <w:jc w:val="center"/>
            </w:pPr>
            <w:r w:rsidRPr="000C2BCC">
              <w:t>0.96</w:t>
            </w:r>
          </w:p>
        </w:tc>
        <w:tc>
          <w:tcPr>
            <w:tcW w:w="630" w:type="dxa"/>
            <w:vAlign w:val="center"/>
          </w:tcPr>
          <w:p w14:paraId="6848CF70" w14:textId="3526847F" w:rsidR="003701CD" w:rsidRPr="004859C8" w:rsidRDefault="003701CD" w:rsidP="00283F68">
            <w:pPr>
              <w:pStyle w:val="TMGTableText"/>
              <w:jc w:val="center"/>
            </w:pPr>
            <w:r w:rsidRPr="000C2BCC">
              <w:t>0.94</w:t>
            </w:r>
          </w:p>
        </w:tc>
        <w:tc>
          <w:tcPr>
            <w:tcW w:w="631" w:type="dxa"/>
            <w:vAlign w:val="center"/>
          </w:tcPr>
          <w:p w14:paraId="4C4ADCDE" w14:textId="21B5B9E1" w:rsidR="003701CD" w:rsidRPr="004859C8" w:rsidRDefault="003701CD" w:rsidP="00283F68">
            <w:pPr>
              <w:pStyle w:val="TMGTableText"/>
              <w:jc w:val="center"/>
            </w:pPr>
            <w:r w:rsidRPr="000C2BCC">
              <w:t>1.07</w:t>
            </w:r>
          </w:p>
        </w:tc>
        <w:tc>
          <w:tcPr>
            <w:tcW w:w="630" w:type="dxa"/>
            <w:vAlign w:val="center"/>
          </w:tcPr>
          <w:p w14:paraId="6F08210A" w14:textId="53A8B9FD" w:rsidR="003701CD" w:rsidRPr="004859C8" w:rsidRDefault="003701CD" w:rsidP="00283F68">
            <w:pPr>
              <w:pStyle w:val="TMGTableText"/>
              <w:jc w:val="center"/>
            </w:pPr>
            <w:r w:rsidRPr="000C2BCC">
              <w:t>0.99</w:t>
            </w:r>
          </w:p>
        </w:tc>
        <w:tc>
          <w:tcPr>
            <w:tcW w:w="631" w:type="dxa"/>
            <w:vAlign w:val="center"/>
          </w:tcPr>
          <w:p w14:paraId="25E86828" w14:textId="0AF4032B" w:rsidR="003701CD" w:rsidRPr="004859C8" w:rsidRDefault="003701CD" w:rsidP="00283F68">
            <w:pPr>
              <w:pStyle w:val="TMGTableText"/>
              <w:jc w:val="center"/>
            </w:pPr>
            <w:r w:rsidRPr="000C2BCC">
              <w:t>0.87</w:t>
            </w:r>
          </w:p>
        </w:tc>
        <w:tc>
          <w:tcPr>
            <w:tcW w:w="630" w:type="dxa"/>
            <w:vAlign w:val="center"/>
          </w:tcPr>
          <w:p w14:paraId="5FF0932E" w14:textId="4E2A3D72" w:rsidR="003701CD" w:rsidRPr="004859C8" w:rsidRDefault="003701CD" w:rsidP="00283F68">
            <w:pPr>
              <w:pStyle w:val="TMGTableText"/>
              <w:jc w:val="center"/>
            </w:pPr>
            <w:r w:rsidRPr="000C2BCC">
              <w:t>1.03</w:t>
            </w:r>
          </w:p>
        </w:tc>
        <w:tc>
          <w:tcPr>
            <w:tcW w:w="631" w:type="dxa"/>
            <w:vAlign w:val="center"/>
          </w:tcPr>
          <w:p w14:paraId="2B4B44F2" w14:textId="45841A6D" w:rsidR="003701CD" w:rsidRPr="00C251E9" w:rsidRDefault="003701CD" w:rsidP="00283F68">
            <w:pPr>
              <w:pStyle w:val="TMGTableText"/>
              <w:jc w:val="center"/>
            </w:pPr>
            <w:r w:rsidRPr="000C2BCC">
              <w:t>0.97</w:t>
            </w:r>
          </w:p>
        </w:tc>
      </w:tr>
      <w:tr w:rsidR="003701CD" w14:paraId="78B48A2D" w14:textId="77777777" w:rsidTr="00283F68">
        <w:trPr>
          <w:jc w:val="center"/>
        </w:trPr>
        <w:tc>
          <w:tcPr>
            <w:tcW w:w="1795" w:type="dxa"/>
          </w:tcPr>
          <w:p w14:paraId="51A48546" w14:textId="77F6A388" w:rsidR="003701CD" w:rsidRPr="00C251E9" w:rsidRDefault="003701CD" w:rsidP="00917D58">
            <w:pPr>
              <w:pStyle w:val="TMGTableText"/>
            </w:pPr>
            <w:r w:rsidRPr="00717829">
              <w:t>Ratio of Thursday ADT to MADT</w:t>
            </w:r>
          </w:p>
        </w:tc>
        <w:tc>
          <w:tcPr>
            <w:tcW w:w="630" w:type="dxa"/>
            <w:vAlign w:val="center"/>
          </w:tcPr>
          <w:p w14:paraId="2F99BF7F" w14:textId="4BEC93BD" w:rsidR="003701CD" w:rsidRPr="004859C8" w:rsidRDefault="003701CD" w:rsidP="00283F68">
            <w:pPr>
              <w:pStyle w:val="TMGTableText"/>
              <w:jc w:val="center"/>
            </w:pPr>
            <w:r w:rsidRPr="000C2BCC">
              <w:t>1.06</w:t>
            </w:r>
          </w:p>
        </w:tc>
        <w:tc>
          <w:tcPr>
            <w:tcW w:w="630" w:type="dxa"/>
            <w:vAlign w:val="center"/>
          </w:tcPr>
          <w:p w14:paraId="385448A6" w14:textId="4DEC92E6" w:rsidR="003701CD" w:rsidRPr="004859C8" w:rsidRDefault="003701CD" w:rsidP="00283F68">
            <w:pPr>
              <w:pStyle w:val="TMGTableText"/>
              <w:jc w:val="center"/>
            </w:pPr>
            <w:r w:rsidRPr="000C2BCC">
              <w:t>1.00</w:t>
            </w:r>
          </w:p>
        </w:tc>
        <w:tc>
          <w:tcPr>
            <w:tcW w:w="631" w:type="dxa"/>
            <w:vAlign w:val="center"/>
          </w:tcPr>
          <w:p w14:paraId="1473D628" w14:textId="07CC6836" w:rsidR="003701CD" w:rsidRPr="004859C8" w:rsidRDefault="003701CD" w:rsidP="00283F68">
            <w:pPr>
              <w:pStyle w:val="TMGTableText"/>
              <w:jc w:val="center"/>
            </w:pPr>
            <w:r w:rsidRPr="000C2BCC">
              <w:t>1.03</w:t>
            </w:r>
          </w:p>
        </w:tc>
        <w:tc>
          <w:tcPr>
            <w:tcW w:w="630" w:type="dxa"/>
            <w:vAlign w:val="center"/>
          </w:tcPr>
          <w:p w14:paraId="3AEB8BCE" w14:textId="47C68D40" w:rsidR="003701CD" w:rsidRPr="004859C8" w:rsidRDefault="003701CD" w:rsidP="00283F68">
            <w:pPr>
              <w:pStyle w:val="TMGTableText"/>
              <w:jc w:val="center"/>
            </w:pPr>
            <w:r w:rsidRPr="000C2BCC">
              <w:t>0.88</w:t>
            </w:r>
          </w:p>
        </w:tc>
        <w:tc>
          <w:tcPr>
            <w:tcW w:w="631" w:type="dxa"/>
            <w:vAlign w:val="center"/>
          </w:tcPr>
          <w:p w14:paraId="795F3E6A" w14:textId="27259B7B" w:rsidR="003701CD" w:rsidRPr="004859C8" w:rsidRDefault="003701CD" w:rsidP="00283F68">
            <w:pPr>
              <w:pStyle w:val="TMGTableText"/>
              <w:jc w:val="center"/>
            </w:pPr>
            <w:r w:rsidRPr="000C2BCC">
              <w:t>0.93</w:t>
            </w:r>
          </w:p>
        </w:tc>
        <w:tc>
          <w:tcPr>
            <w:tcW w:w="630" w:type="dxa"/>
            <w:vAlign w:val="center"/>
          </w:tcPr>
          <w:p w14:paraId="55EA6DE1" w14:textId="68CA7F3E" w:rsidR="003701CD" w:rsidRPr="004859C8" w:rsidRDefault="003701CD" w:rsidP="00283F68">
            <w:pPr>
              <w:pStyle w:val="TMGTableText"/>
              <w:jc w:val="center"/>
            </w:pPr>
            <w:r w:rsidRPr="000C2BCC">
              <w:t>0.96</w:t>
            </w:r>
          </w:p>
        </w:tc>
        <w:tc>
          <w:tcPr>
            <w:tcW w:w="630" w:type="dxa"/>
            <w:vAlign w:val="center"/>
          </w:tcPr>
          <w:p w14:paraId="1D8636DE" w14:textId="3B806B41" w:rsidR="003701CD" w:rsidRPr="004859C8" w:rsidRDefault="003701CD" w:rsidP="00283F68">
            <w:pPr>
              <w:pStyle w:val="TMGTableText"/>
              <w:jc w:val="center"/>
            </w:pPr>
            <w:r w:rsidRPr="000C2BCC">
              <w:t>0.90</w:t>
            </w:r>
          </w:p>
        </w:tc>
        <w:tc>
          <w:tcPr>
            <w:tcW w:w="631" w:type="dxa"/>
            <w:vAlign w:val="center"/>
          </w:tcPr>
          <w:p w14:paraId="40F3AC3A" w14:textId="489F6E82" w:rsidR="003701CD" w:rsidRPr="004859C8" w:rsidRDefault="003701CD" w:rsidP="00283F68">
            <w:pPr>
              <w:pStyle w:val="TMGTableText"/>
              <w:jc w:val="center"/>
            </w:pPr>
            <w:r w:rsidRPr="000C2BCC">
              <w:t>1.03</w:t>
            </w:r>
          </w:p>
        </w:tc>
        <w:tc>
          <w:tcPr>
            <w:tcW w:w="630" w:type="dxa"/>
            <w:vAlign w:val="center"/>
          </w:tcPr>
          <w:p w14:paraId="5F231525" w14:textId="275F5F86" w:rsidR="003701CD" w:rsidRPr="004859C8" w:rsidRDefault="003701CD" w:rsidP="00283F68">
            <w:pPr>
              <w:pStyle w:val="TMGTableText"/>
              <w:jc w:val="center"/>
            </w:pPr>
            <w:r w:rsidRPr="000C2BCC">
              <w:t>0.85</w:t>
            </w:r>
          </w:p>
        </w:tc>
        <w:tc>
          <w:tcPr>
            <w:tcW w:w="631" w:type="dxa"/>
            <w:vAlign w:val="center"/>
          </w:tcPr>
          <w:p w14:paraId="5FEF11BE" w14:textId="10E0598B" w:rsidR="003701CD" w:rsidRPr="004859C8" w:rsidRDefault="003701CD" w:rsidP="00283F68">
            <w:pPr>
              <w:pStyle w:val="TMGTableText"/>
              <w:jc w:val="center"/>
            </w:pPr>
            <w:r w:rsidRPr="000C2BCC">
              <w:t>0.87</w:t>
            </w:r>
          </w:p>
        </w:tc>
        <w:tc>
          <w:tcPr>
            <w:tcW w:w="630" w:type="dxa"/>
            <w:vAlign w:val="center"/>
          </w:tcPr>
          <w:p w14:paraId="7188960A" w14:textId="09D7F660" w:rsidR="003701CD" w:rsidRPr="004859C8" w:rsidRDefault="003701CD" w:rsidP="00283F68">
            <w:pPr>
              <w:pStyle w:val="TMGTableText"/>
              <w:jc w:val="center"/>
            </w:pPr>
            <w:r w:rsidRPr="000C2BCC">
              <w:t>0.97</w:t>
            </w:r>
          </w:p>
        </w:tc>
        <w:tc>
          <w:tcPr>
            <w:tcW w:w="631" w:type="dxa"/>
            <w:vAlign w:val="center"/>
          </w:tcPr>
          <w:p w14:paraId="1FF0ECAE" w14:textId="3D13824A" w:rsidR="003701CD" w:rsidRPr="00C251E9" w:rsidRDefault="003701CD" w:rsidP="00283F68">
            <w:pPr>
              <w:pStyle w:val="TMGTableText"/>
              <w:jc w:val="center"/>
            </w:pPr>
            <w:r w:rsidRPr="000C2BCC">
              <w:t>0.92</w:t>
            </w:r>
          </w:p>
        </w:tc>
      </w:tr>
      <w:tr w:rsidR="003701CD" w14:paraId="35D72000" w14:textId="77777777" w:rsidTr="00283F68">
        <w:trPr>
          <w:jc w:val="center"/>
        </w:trPr>
        <w:tc>
          <w:tcPr>
            <w:tcW w:w="1795" w:type="dxa"/>
          </w:tcPr>
          <w:p w14:paraId="1259A648" w14:textId="307A1A50" w:rsidR="003701CD" w:rsidRPr="00C251E9" w:rsidRDefault="003701CD" w:rsidP="00917D58">
            <w:pPr>
              <w:pStyle w:val="TMGTableText"/>
            </w:pPr>
            <w:r w:rsidRPr="00717829">
              <w:t>Ratio of Friday ADT to MADT</w:t>
            </w:r>
          </w:p>
        </w:tc>
        <w:tc>
          <w:tcPr>
            <w:tcW w:w="630" w:type="dxa"/>
            <w:vAlign w:val="center"/>
          </w:tcPr>
          <w:p w14:paraId="144CE137" w14:textId="57504933" w:rsidR="003701CD" w:rsidRPr="004859C8" w:rsidRDefault="003701CD" w:rsidP="00283F68">
            <w:pPr>
              <w:pStyle w:val="TMGTableText"/>
              <w:jc w:val="center"/>
            </w:pPr>
            <w:r w:rsidRPr="000C2BCC">
              <w:t>0.97</w:t>
            </w:r>
          </w:p>
        </w:tc>
        <w:tc>
          <w:tcPr>
            <w:tcW w:w="630" w:type="dxa"/>
            <w:vAlign w:val="center"/>
          </w:tcPr>
          <w:p w14:paraId="6468B247" w14:textId="3E151713" w:rsidR="003701CD" w:rsidRPr="004859C8" w:rsidRDefault="003701CD" w:rsidP="00283F68">
            <w:pPr>
              <w:pStyle w:val="TMGTableText"/>
              <w:jc w:val="center"/>
            </w:pPr>
            <w:r w:rsidRPr="000C2BCC">
              <w:t>1.04</w:t>
            </w:r>
          </w:p>
        </w:tc>
        <w:tc>
          <w:tcPr>
            <w:tcW w:w="631" w:type="dxa"/>
            <w:vAlign w:val="center"/>
          </w:tcPr>
          <w:p w14:paraId="1F8C2995" w14:textId="4A22FCCF" w:rsidR="003701CD" w:rsidRPr="004859C8" w:rsidRDefault="003701CD" w:rsidP="00283F68">
            <w:pPr>
              <w:pStyle w:val="TMGTableText"/>
              <w:jc w:val="center"/>
            </w:pPr>
            <w:r w:rsidRPr="000C2BCC">
              <w:t>0.84</w:t>
            </w:r>
          </w:p>
        </w:tc>
        <w:tc>
          <w:tcPr>
            <w:tcW w:w="630" w:type="dxa"/>
            <w:vAlign w:val="center"/>
          </w:tcPr>
          <w:p w14:paraId="5F240029" w14:textId="3B4960EC" w:rsidR="003701CD" w:rsidRPr="004859C8" w:rsidRDefault="003701CD" w:rsidP="00283F68">
            <w:pPr>
              <w:pStyle w:val="TMGTableText"/>
              <w:jc w:val="center"/>
            </w:pPr>
            <w:r w:rsidRPr="000C2BCC">
              <w:t>0.78</w:t>
            </w:r>
          </w:p>
        </w:tc>
        <w:tc>
          <w:tcPr>
            <w:tcW w:w="631" w:type="dxa"/>
            <w:vAlign w:val="center"/>
          </w:tcPr>
          <w:p w14:paraId="0327063B" w14:textId="091821C4" w:rsidR="003701CD" w:rsidRPr="004859C8" w:rsidRDefault="003701CD" w:rsidP="00283F68">
            <w:pPr>
              <w:pStyle w:val="TMGTableText"/>
              <w:jc w:val="center"/>
            </w:pPr>
            <w:r w:rsidRPr="000C2BCC">
              <w:t>0.79</w:t>
            </w:r>
          </w:p>
        </w:tc>
        <w:tc>
          <w:tcPr>
            <w:tcW w:w="630" w:type="dxa"/>
            <w:vAlign w:val="center"/>
          </w:tcPr>
          <w:p w14:paraId="0B26B70A" w14:textId="7DD4227B" w:rsidR="003701CD" w:rsidRPr="004859C8" w:rsidRDefault="003701CD" w:rsidP="00283F68">
            <w:pPr>
              <w:pStyle w:val="TMGTableText"/>
              <w:jc w:val="center"/>
            </w:pPr>
            <w:r w:rsidRPr="000C2BCC">
              <w:t>0.96</w:t>
            </w:r>
          </w:p>
        </w:tc>
        <w:tc>
          <w:tcPr>
            <w:tcW w:w="630" w:type="dxa"/>
            <w:vAlign w:val="center"/>
          </w:tcPr>
          <w:p w14:paraId="6748B78D" w14:textId="4E3BD76C" w:rsidR="003701CD" w:rsidRPr="004859C8" w:rsidRDefault="003701CD" w:rsidP="00283F68">
            <w:pPr>
              <w:pStyle w:val="TMGTableText"/>
              <w:jc w:val="center"/>
            </w:pPr>
            <w:r w:rsidRPr="000C2BCC">
              <w:t>0.95</w:t>
            </w:r>
          </w:p>
        </w:tc>
        <w:tc>
          <w:tcPr>
            <w:tcW w:w="631" w:type="dxa"/>
            <w:vAlign w:val="center"/>
          </w:tcPr>
          <w:p w14:paraId="6BB6808A" w14:textId="68C4251F" w:rsidR="003701CD" w:rsidRPr="004859C8" w:rsidRDefault="003701CD" w:rsidP="00283F68">
            <w:pPr>
              <w:pStyle w:val="TMGTableText"/>
              <w:jc w:val="center"/>
            </w:pPr>
            <w:r w:rsidRPr="000C2BCC">
              <w:t>0.88</w:t>
            </w:r>
          </w:p>
        </w:tc>
        <w:tc>
          <w:tcPr>
            <w:tcW w:w="630" w:type="dxa"/>
            <w:vAlign w:val="center"/>
          </w:tcPr>
          <w:p w14:paraId="536E275E" w14:textId="47D0FCC3" w:rsidR="003701CD" w:rsidRPr="004859C8" w:rsidRDefault="003701CD" w:rsidP="00283F68">
            <w:pPr>
              <w:pStyle w:val="TMGTableText"/>
              <w:jc w:val="center"/>
            </w:pPr>
            <w:r w:rsidRPr="000C2BCC">
              <w:t>0.87</w:t>
            </w:r>
          </w:p>
        </w:tc>
        <w:tc>
          <w:tcPr>
            <w:tcW w:w="631" w:type="dxa"/>
            <w:vAlign w:val="center"/>
          </w:tcPr>
          <w:p w14:paraId="43E91717" w14:textId="377DB143" w:rsidR="003701CD" w:rsidRPr="004859C8" w:rsidRDefault="003701CD" w:rsidP="00283F68">
            <w:pPr>
              <w:pStyle w:val="TMGTableText"/>
              <w:jc w:val="center"/>
            </w:pPr>
            <w:r w:rsidRPr="000C2BCC">
              <w:t>0.82</w:t>
            </w:r>
          </w:p>
        </w:tc>
        <w:tc>
          <w:tcPr>
            <w:tcW w:w="630" w:type="dxa"/>
            <w:vAlign w:val="center"/>
          </w:tcPr>
          <w:p w14:paraId="6027B44E" w14:textId="6C062ACF" w:rsidR="003701CD" w:rsidRPr="004859C8" w:rsidRDefault="003701CD" w:rsidP="00283F68">
            <w:pPr>
              <w:pStyle w:val="TMGTableText"/>
              <w:jc w:val="center"/>
            </w:pPr>
            <w:r w:rsidRPr="000C2BCC">
              <w:t>1.31</w:t>
            </w:r>
          </w:p>
        </w:tc>
        <w:tc>
          <w:tcPr>
            <w:tcW w:w="631" w:type="dxa"/>
            <w:vAlign w:val="center"/>
          </w:tcPr>
          <w:p w14:paraId="6E3D0434" w14:textId="43A52E60" w:rsidR="003701CD" w:rsidRPr="00C251E9" w:rsidRDefault="003701CD" w:rsidP="00283F68">
            <w:pPr>
              <w:pStyle w:val="TMGTableText"/>
              <w:jc w:val="center"/>
            </w:pPr>
            <w:r w:rsidRPr="000C2BCC">
              <w:t>0.91</w:t>
            </w:r>
          </w:p>
        </w:tc>
      </w:tr>
      <w:tr w:rsidR="003701CD" w14:paraId="082E37E2" w14:textId="77777777" w:rsidTr="00283F68">
        <w:trPr>
          <w:jc w:val="center"/>
        </w:trPr>
        <w:tc>
          <w:tcPr>
            <w:tcW w:w="1795" w:type="dxa"/>
          </w:tcPr>
          <w:p w14:paraId="2CD4FA3D" w14:textId="32F0F75C" w:rsidR="003701CD" w:rsidRPr="00C251E9" w:rsidRDefault="003701CD" w:rsidP="00917D58">
            <w:pPr>
              <w:pStyle w:val="TMGTableText"/>
            </w:pPr>
            <w:r w:rsidRPr="00717829">
              <w:t>Ratio of Saturday ADT to MADT</w:t>
            </w:r>
          </w:p>
        </w:tc>
        <w:tc>
          <w:tcPr>
            <w:tcW w:w="630" w:type="dxa"/>
            <w:vAlign w:val="center"/>
          </w:tcPr>
          <w:p w14:paraId="0190D27A" w14:textId="614E6022" w:rsidR="003701CD" w:rsidRPr="004859C8" w:rsidRDefault="003701CD" w:rsidP="00283F68">
            <w:pPr>
              <w:pStyle w:val="TMGTableText"/>
              <w:jc w:val="center"/>
            </w:pPr>
            <w:r w:rsidRPr="000C2BCC">
              <w:t>0.88</w:t>
            </w:r>
          </w:p>
        </w:tc>
        <w:tc>
          <w:tcPr>
            <w:tcW w:w="630" w:type="dxa"/>
            <w:vAlign w:val="center"/>
          </w:tcPr>
          <w:p w14:paraId="2BE73D68" w14:textId="16CADEC8" w:rsidR="003701CD" w:rsidRPr="004859C8" w:rsidRDefault="003701CD" w:rsidP="00283F68">
            <w:pPr>
              <w:pStyle w:val="TMGTableText"/>
              <w:jc w:val="center"/>
            </w:pPr>
            <w:r w:rsidRPr="000C2BCC">
              <w:t>1.27</w:t>
            </w:r>
          </w:p>
        </w:tc>
        <w:tc>
          <w:tcPr>
            <w:tcW w:w="631" w:type="dxa"/>
            <w:vAlign w:val="center"/>
          </w:tcPr>
          <w:p w14:paraId="612B8344" w14:textId="7FD15DBE" w:rsidR="003701CD" w:rsidRPr="004859C8" w:rsidRDefault="003701CD" w:rsidP="00283F68">
            <w:pPr>
              <w:pStyle w:val="TMGTableText"/>
              <w:jc w:val="center"/>
            </w:pPr>
            <w:r w:rsidRPr="000C2BCC">
              <w:t>1.34</w:t>
            </w:r>
          </w:p>
        </w:tc>
        <w:tc>
          <w:tcPr>
            <w:tcW w:w="630" w:type="dxa"/>
            <w:vAlign w:val="center"/>
          </w:tcPr>
          <w:p w14:paraId="5D57ADCB" w14:textId="1E063FFB" w:rsidR="003701CD" w:rsidRPr="004859C8" w:rsidRDefault="003701CD" w:rsidP="00283F68">
            <w:pPr>
              <w:pStyle w:val="TMGTableText"/>
              <w:jc w:val="center"/>
            </w:pPr>
            <w:r w:rsidRPr="000C2BCC">
              <w:t>1.03</w:t>
            </w:r>
          </w:p>
        </w:tc>
        <w:tc>
          <w:tcPr>
            <w:tcW w:w="631" w:type="dxa"/>
            <w:vAlign w:val="center"/>
          </w:tcPr>
          <w:p w14:paraId="07B31E10" w14:textId="70D140B2" w:rsidR="003701CD" w:rsidRPr="004859C8" w:rsidRDefault="003701CD" w:rsidP="00283F68">
            <w:pPr>
              <w:pStyle w:val="TMGTableText"/>
              <w:jc w:val="center"/>
            </w:pPr>
            <w:r w:rsidRPr="000C2BCC">
              <w:t>1.02</w:t>
            </w:r>
          </w:p>
        </w:tc>
        <w:tc>
          <w:tcPr>
            <w:tcW w:w="630" w:type="dxa"/>
            <w:vAlign w:val="center"/>
          </w:tcPr>
          <w:p w14:paraId="7D951311" w14:textId="26ABD591" w:rsidR="003701CD" w:rsidRPr="004859C8" w:rsidRDefault="003701CD" w:rsidP="00283F68">
            <w:pPr>
              <w:pStyle w:val="TMGTableText"/>
              <w:jc w:val="center"/>
            </w:pPr>
            <w:r w:rsidRPr="000C2BCC">
              <w:t>1.02</w:t>
            </w:r>
          </w:p>
        </w:tc>
        <w:tc>
          <w:tcPr>
            <w:tcW w:w="630" w:type="dxa"/>
            <w:vAlign w:val="center"/>
          </w:tcPr>
          <w:p w14:paraId="5B096969" w14:textId="292CDA8B" w:rsidR="003701CD" w:rsidRPr="004859C8" w:rsidRDefault="003701CD" w:rsidP="00283F68">
            <w:pPr>
              <w:pStyle w:val="TMGTableText"/>
              <w:jc w:val="center"/>
            </w:pPr>
            <w:r w:rsidRPr="000C2BCC">
              <w:t>1.09</w:t>
            </w:r>
          </w:p>
        </w:tc>
        <w:tc>
          <w:tcPr>
            <w:tcW w:w="631" w:type="dxa"/>
            <w:vAlign w:val="center"/>
          </w:tcPr>
          <w:p w14:paraId="131DD343" w14:textId="38C8C92F" w:rsidR="003701CD" w:rsidRPr="004859C8" w:rsidRDefault="003701CD" w:rsidP="00283F68">
            <w:pPr>
              <w:pStyle w:val="TMGTableText"/>
              <w:jc w:val="center"/>
            </w:pPr>
            <w:r w:rsidRPr="000C2BCC">
              <w:t>1.15</w:t>
            </w:r>
          </w:p>
        </w:tc>
        <w:tc>
          <w:tcPr>
            <w:tcW w:w="630" w:type="dxa"/>
            <w:vAlign w:val="center"/>
          </w:tcPr>
          <w:p w14:paraId="7A3E7D50" w14:textId="09DADCE1" w:rsidR="003701CD" w:rsidRPr="004859C8" w:rsidRDefault="003701CD" w:rsidP="00283F68">
            <w:pPr>
              <w:pStyle w:val="TMGTableText"/>
              <w:jc w:val="center"/>
            </w:pPr>
            <w:r w:rsidRPr="000C2BCC">
              <w:t>1.23</w:t>
            </w:r>
          </w:p>
        </w:tc>
        <w:tc>
          <w:tcPr>
            <w:tcW w:w="631" w:type="dxa"/>
            <w:vAlign w:val="center"/>
          </w:tcPr>
          <w:p w14:paraId="4A5A6D4F" w14:textId="2C585E2F" w:rsidR="003701CD" w:rsidRPr="004859C8" w:rsidRDefault="003701CD" w:rsidP="00283F68">
            <w:pPr>
              <w:pStyle w:val="TMGTableText"/>
              <w:jc w:val="center"/>
            </w:pPr>
            <w:r w:rsidRPr="000C2BCC">
              <w:t>1.16</w:t>
            </w:r>
          </w:p>
        </w:tc>
        <w:tc>
          <w:tcPr>
            <w:tcW w:w="630" w:type="dxa"/>
            <w:vAlign w:val="center"/>
          </w:tcPr>
          <w:p w14:paraId="0A20444C" w14:textId="5521FEA0" w:rsidR="003701CD" w:rsidRPr="004859C8" w:rsidRDefault="003701CD" w:rsidP="00283F68">
            <w:pPr>
              <w:pStyle w:val="TMGTableText"/>
              <w:jc w:val="center"/>
            </w:pPr>
            <w:r w:rsidRPr="000C2BCC">
              <w:t>0.91</w:t>
            </w:r>
          </w:p>
        </w:tc>
        <w:tc>
          <w:tcPr>
            <w:tcW w:w="631" w:type="dxa"/>
            <w:vAlign w:val="center"/>
          </w:tcPr>
          <w:p w14:paraId="12E8CDDC" w14:textId="143219E4" w:rsidR="003701CD" w:rsidRPr="00C251E9" w:rsidRDefault="003701CD" w:rsidP="00283F68">
            <w:pPr>
              <w:pStyle w:val="TMGTableText"/>
              <w:jc w:val="center"/>
            </w:pPr>
            <w:r w:rsidRPr="000C2BCC">
              <w:t>0.98</w:t>
            </w:r>
          </w:p>
        </w:tc>
      </w:tr>
    </w:tbl>
    <w:p w14:paraId="6A9C00D5" w14:textId="0D9A2F1A" w:rsidR="003F7B9F" w:rsidRDefault="003F7B9F" w:rsidP="003701CD">
      <w:pPr>
        <w:pStyle w:val="Source"/>
        <w:spacing w:after="360"/>
      </w:pPr>
      <w:r w:rsidRPr="003701CD">
        <w:t>Source:</w:t>
      </w:r>
      <w:r w:rsidR="0061163F">
        <w:t xml:space="preserve"> </w:t>
      </w:r>
      <w:r w:rsidRPr="003701CD">
        <w:t xml:space="preserve"> Greg Lindsey, University of Minnesota</w:t>
      </w:r>
      <w:r w:rsidRPr="0006576C">
        <w:t>.</w:t>
      </w:r>
    </w:p>
    <w:p w14:paraId="71A18FB4" w14:textId="194F8AC2" w:rsidR="00831FAC" w:rsidRDefault="003F7B9F" w:rsidP="00A35EAF">
      <w:pPr>
        <w:pStyle w:val="BodyText"/>
      </w:pPr>
      <w:r w:rsidRPr="00F019FF">
        <w:t xml:space="preserve">Other resources providing information on micromobility data formatting can be found </w:t>
      </w:r>
      <w:r w:rsidRPr="00F374BF">
        <w:t xml:space="preserve">in the </w:t>
      </w:r>
      <w:bookmarkStart w:id="2679" w:name="_Hlk76057115"/>
      <w:r w:rsidRPr="00F374BF">
        <w:rPr>
          <w:i/>
          <w:iCs/>
        </w:rPr>
        <w:t>Guidebook on Pedestrian and Bicycle Volume Data Collection</w:t>
      </w:r>
      <w:r w:rsidR="0070748B" w:rsidRPr="00F374BF">
        <w:t xml:space="preserve"> (NASEM </w:t>
      </w:r>
      <w:r w:rsidR="00F374BF" w:rsidRPr="00F374BF">
        <w:t>2014</w:t>
      </w:r>
      <w:r w:rsidR="0070748B" w:rsidRPr="00F374BF">
        <w:t>)</w:t>
      </w:r>
      <w:r w:rsidRPr="00F374BF">
        <w:t>.</w:t>
      </w:r>
      <w:bookmarkStart w:id="2680" w:name="_Toc63977939"/>
      <w:bookmarkStart w:id="2681" w:name="_Toc63982687"/>
      <w:bookmarkStart w:id="2682" w:name="_Toc68190256"/>
    </w:p>
    <w:p w14:paraId="5191A768" w14:textId="16D84671" w:rsidR="003F7B9F" w:rsidRPr="001546EF" w:rsidRDefault="003C28DA">
      <w:pPr>
        <w:pStyle w:val="Heading4"/>
      </w:pPr>
      <w:bookmarkStart w:id="2683" w:name="_Toc118205676"/>
      <w:bookmarkEnd w:id="2679"/>
      <w:r>
        <w:t>M</w:t>
      </w:r>
      <w:r w:rsidR="003F7B9F" w:rsidRPr="001546EF">
        <w:t>icromobility Weather Factor</w:t>
      </w:r>
      <w:bookmarkEnd w:id="2680"/>
      <w:bookmarkEnd w:id="2681"/>
      <w:bookmarkEnd w:id="2682"/>
      <w:bookmarkEnd w:id="2683"/>
    </w:p>
    <w:p w14:paraId="5BD01AEB" w14:textId="78ED67FF" w:rsidR="003F7B9F" w:rsidRPr="00F019FF" w:rsidRDefault="003F7B9F" w:rsidP="00A35EAF">
      <w:pPr>
        <w:pStyle w:val="BodyText"/>
      </w:pPr>
      <w:r w:rsidRPr="00F019FF">
        <w:t xml:space="preserve">Weather can be a significant factor in the level and variability of </w:t>
      </w:r>
      <w:r w:rsidRPr="00F019FF">
        <w:rPr>
          <w:rFonts w:eastAsiaTheme="minorHAnsi"/>
        </w:rPr>
        <w:t>micromobility</w:t>
      </w:r>
      <w:r w:rsidRPr="00F019FF">
        <w:t xml:space="preserve"> traffic and should be considered when developing a short-</w:t>
      </w:r>
      <w:r w:rsidRPr="00F019FF">
        <w:rPr>
          <w:rFonts w:eastAsiaTheme="minorHAnsi"/>
        </w:rPr>
        <w:t>term</w:t>
      </w:r>
      <w:r w:rsidRPr="00F019FF">
        <w:t xml:space="preserve"> </w:t>
      </w:r>
      <w:r w:rsidRPr="00F019FF">
        <w:rPr>
          <w:rFonts w:eastAsiaTheme="minorHAnsi"/>
        </w:rPr>
        <w:t>micromobility</w:t>
      </w:r>
      <w:r w:rsidRPr="00F019FF">
        <w:t xml:space="preserve"> program. </w:t>
      </w:r>
      <w:r w:rsidRPr="00F019FF">
        <w:rPr>
          <w:rFonts w:eastAsiaTheme="minorHAnsi"/>
        </w:rPr>
        <w:t>Monthly (</w:t>
      </w:r>
      <w:r w:rsidR="007D38B8">
        <w:rPr>
          <w:rFonts w:eastAsiaTheme="minorHAnsi"/>
        </w:rPr>
        <w:t>s</w:t>
      </w:r>
      <w:r w:rsidRPr="00F019FF">
        <w:t xml:space="preserve">easonal) weather patterns (such as cold winters or hot/humid summers) are expected by </w:t>
      </w:r>
      <w:r w:rsidRPr="00F019FF">
        <w:rPr>
          <w:rFonts w:eastAsiaTheme="minorHAnsi"/>
        </w:rPr>
        <w:t>micromobility</w:t>
      </w:r>
      <w:r w:rsidRPr="00F019FF">
        <w:t xml:space="preserve"> travelers and will result in relatively consistent patterns from year to year. However, heavy precipitation or unexpectedly hot or cold weather may introduce abnormal variations on a given time of day or day of year. These variations can both generate unusually high levels of activity (e.g., a very nice day) or depress otherwise expected levels of activity (due to very bad weather)</w:t>
      </w:r>
      <w:r w:rsidR="007D38B8">
        <w:t>.</w:t>
      </w:r>
    </w:p>
    <w:p w14:paraId="59A596EA" w14:textId="46BB90D5" w:rsidR="003F7B9F" w:rsidRPr="00F019FF" w:rsidRDefault="003F7B9F" w:rsidP="00A35EAF">
      <w:pPr>
        <w:pStyle w:val="BodyText"/>
      </w:pPr>
      <w:r w:rsidRPr="00F019FF">
        <w:t>If automatic counter equipment is used for short</w:t>
      </w:r>
      <w:r w:rsidR="007D38B8">
        <w:t>-</w:t>
      </w:r>
      <w:r w:rsidRPr="00F019FF">
        <w:rPr>
          <w:rFonts w:eastAsiaTheme="minorHAnsi"/>
        </w:rPr>
        <w:t>term</w:t>
      </w:r>
      <w:r w:rsidRPr="00F019FF">
        <w:t xml:space="preserve"> counts in typical weather, then the minimum suggested duration is 7 days (such that all weekday and weekend days are represented). This duration provides an average of 5 weekdays and 2 weekend days. However, if atypical heavy precipitation or inclement weather occurs during this entire 7-day period, agencies should consider extending the duration to 7</w:t>
      </w:r>
      <w:r w:rsidR="00491232">
        <w:t xml:space="preserve"> days</w:t>
      </w:r>
      <w:r w:rsidRPr="00F019FF">
        <w:t>.</w:t>
      </w:r>
    </w:p>
    <w:p w14:paraId="409B7E47" w14:textId="77777777" w:rsidR="003F7B9F" w:rsidRPr="00F019FF" w:rsidRDefault="003F7B9F" w:rsidP="00A35EAF">
      <w:pPr>
        <w:pStyle w:val="BodyText"/>
      </w:pPr>
      <w:r w:rsidRPr="00F019FF">
        <w:t>When heavy precipitation or inclement weather occurs with manual observers, the counts should be extended over multiple days at the same time. Local judgment should be used to determine whether to include inclement-weather days into a multi-day average.</w:t>
      </w:r>
    </w:p>
    <w:p w14:paraId="28483985" w14:textId="0F9B7481" w:rsidR="003F7B9F" w:rsidRPr="00F019FF" w:rsidRDefault="003F7B9F" w:rsidP="00A35EAF">
      <w:pPr>
        <w:pStyle w:val="BodyText"/>
      </w:pPr>
      <w:r w:rsidRPr="00F019FF">
        <w:t xml:space="preserve">Because of inclement weather’s influence on </w:t>
      </w:r>
      <w:r w:rsidRPr="00F019FF">
        <w:rPr>
          <w:rFonts w:eastAsiaTheme="minorHAnsi"/>
        </w:rPr>
        <w:t>micromobility</w:t>
      </w:r>
      <w:r w:rsidRPr="00F019FF">
        <w:t xml:space="preserve"> traffic, weather conditions should be recorded in a nonmotorized traffic monitoring program. The micromobility data submittal format in Chapter 4 recommends three weather-related attributes:</w:t>
      </w:r>
    </w:p>
    <w:p w14:paraId="75D360FB" w14:textId="77777777" w:rsidR="003F7B9F" w:rsidRPr="00A950EF" w:rsidRDefault="003F7B9F" w:rsidP="00031749">
      <w:pPr>
        <w:pStyle w:val="ListCS1BulletsandNumbering"/>
        <w:numPr>
          <w:ilvl w:val="0"/>
          <w:numId w:val="33"/>
        </w:numPr>
        <w:tabs>
          <w:tab w:val="left" w:pos="180"/>
        </w:tabs>
        <w:spacing w:before="0" w:after="120"/>
        <w:ind w:left="576" w:hanging="288"/>
        <w:contextualSpacing/>
      </w:pPr>
      <w:r w:rsidRPr="00A950EF">
        <w:lastRenderedPageBreak/>
        <w:t>Precipitation (yes/no): Did measurable precipitation fall at some time during data collection?</w:t>
      </w:r>
    </w:p>
    <w:p w14:paraId="493C69D4" w14:textId="77777777" w:rsidR="003F7B9F" w:rsidRPr="00A950EF" w:rsidRDefault="003F7B9F" w:rsidP="00031749">
      <w:pPr>
        <w:pStyle w:val="ListCS1BulletsandNumbering"/>
        <w:numPr>
          <w:ilvl w:val="0"/>
          <w:numId w:val="33"/>
        </w:numPr>
        <w:tabs>
          <w:tab w:val="left" w:pos="180"/>
        </w:tabs>
        <w:spacing w:before="0" w:after="120"/>
        <w:ind w:left="576" w:hanging="288"/>
        <w:contextualSpacing/>
      </w:pPr>
      <w:r w:rsidRPr="00A950EF">
        <w:t>High temperature: Approximate high temperature for either the day (if a day or longer count) or the duration of the count (if the count is less than a day in duration).</w:t>
      </w:r>
    </w:p>
    <w:p w14:paraId="2DB4D28B" w14:textId="77777777" w:rsidR="003F7B9F" w:rsidRPr="00A950EF" w:rsidRDefault="003F7B9F" w:rsidP="00031749">
      <w:pPr>
        <w:pStyle w:val="ListCS1BulletsandNumbering"/>
        <w:numPr>
          <w:ilvl w:val="0"/>
          <w:numId w:val="33"/>
        </w:numPr>
        <w:tabs>
          <w:tab w:val="left" w:pos="180"/>
        </w:tabs>
        <w:spacing w:before="0" w:after="120"/>
        <w:ind w:left="576" w:hanging="288"/>
        <w:contextualSpacing/>
      </w:pPr>
      <w:r w:rsidRPr="00A950EF">
        <w:t>Low temperature: Approximate low temperature for either the day (if a day or longer count) or the duration of the count (if the count is less than a day in duration).</w:t>
      </w:r>
    </w:p>
    <w:p w14:paraId="0CFDE0E3" w14:textId="77777777" w:rsidR="003F7B9F" w:rsidRPr="00A950EF" w:rsidRDefault="003F7B9F" w:rsidP="00A35EAF">
      <w:pPr>
        <w:pStyle w:val="BodyText"/>
      </w:pPr>
      <w:r w:rsidRPr="00A950EF">
        <w:t>Historical weather data can be obtained from several different sources and does not necessarily have to be collected at the exact count location.</w:t>
      </w:r>
    </w:p>
    <w:p w14:paraId="02A91566" w14:textId="77777777" w:rsidR="003F7B9F" w:rsidRPr="00031749" w:rsidRDefault="003F7B9F" w:rsidP="00A35EAF">
      <w:pPr>
        <w:pStyle w:val="BodyText"/>
        <w:rPr>
          <w:rStyle w:val="Strong"/>
          <w:rFonts w:ascii="Cambria" w:hAnsi="Cambria"/>
          <w:sz w:val="22"/>
          <w:szCs w:val="22"/>
        </w:rPr>
      </w:pPr>
      <w:r w:rsidRPr="00031749">
        <w:rPr>
          <w:rStyle w:val="Strong"/>
          <w:rFonts w:ascii="Cambria" w:hAnsi="Cambria"/>
          <w:sz w:val="22"/>
          <w:szCs w:val="22"/>
        </w:rPr>
        <w:t>Months/Seasons of Year for Data Collection</w:t>
      </w:r>
    </w:p>
    <w:p w14:paraId="2BA68E9F" w14:textId="59D13EC5" w:rsidR="003F7B9F" w:rsidRPr="00A950EF" w:rsidRDefault="003F7B9F" w:rsidP="00A35EAF">
      <w:pPr>
        <w:pStyle w:val="BodyText"/>
      </w:pPr>
      <w:r w:rsidRPr="00A950EF">
        <w:t>The specific months/seasons of the year for short</w:t>
      </w:r>
      <w:r w:rsidR="00305844">
        <w:t>-</w:t>
      </w:r>
      <w:r w:rsidRPr="00A950EF">
        <w:t>term counts should be chosen to represent average or typical use levels, which can be readily determined from permanent continuous counters (thereby underscoring the importance of these automatic continuous counters). In most climates in the U.S., the spring and fall months are considered the most representative of annual average nonmotorized traffic levels.</w:t>
      </w:r>
    </w:p>
    <w:p w14:paraId="2FBA35D1" w14:textId="085F594A" w:rsidR="003F7B9F" w:rsidRPr="00F019FF" w:rsidRDefault="003F7B9F" w:rsidP="00A35EAF">
      <w:pPr>
        <w:pStyle w:val="BodyText"/>
      </w:pPr>
      <w:r w:rsidRPr="00A950EF">
        <w:t>Short</w:t>
      </w:r>
      <w:r w:rsidR="00305844">
        <w:t>-</w:t>
      </w:r>
      <w:r w:rsidRPr="00A950EF">
        <w:t xml:space="preserve">term counts may </w:t>
      </w:r>
      <w:r w:rsidRPr="00F019FF">
        <w:t xml:space="preserve">be collected during other months/seasons of the year that are not considered average or typical; however, a factoring process will be necessary to adjust these counts to best represent an annualized estimate of </w:t>
      </w:r>
      <w:r w:rsidRPr="00F019FF">
        <w:rPr>
          <w:rFonts w:eastAsiaTheme="minorHAnsi"/>
        </w:rPr>
        <w:t>micromobility</w:t>
      </w:r>
      <w:r w:rsidRPr="00F019FF">
        <w:t xml:space="preserve"> traffic.</w:t>
      </w:r>
    </w:p>
    <w:p w14:paraId="15AF6B6B" w14:textId="0508399B" w:rsidR="003F7B9F" w:rsidRPr="001546EF" w:rsidRDefault="003F7B9F">
      <w:pPr>
        <w:pStyle w:val="Heading3"/>
      </w:pPr>
      <w:bookmarkStart w:id="2684" w:name="_Toc118205677"/>
      <w:bookmarkStart w:id="2685" w:name="_Toc68190257"/>
      <w:r w:rsidRPr="001546EF">
        <w:t>Considerations for Collecting Motorcycle Data and Correction Factoring</w:t>
      </w:r>
      <w:bookmarkEnd w:id="2684"/>
      <w:r w:rsidRPr="001546EF">
        <w:t> </w:t>
      </w:r>
      <w:bookmarkEnd w:id="2685"/>
    </w:p>
    <w:p w14:paraId="05B8AF35" w14:textId="77777777" w:rsidR="003F7B9F" w:rsidRPr="001108F8" w:rsidRDefault="003F7B9F" w:rsidP="00A35EAF">
      <w:pPr>
        <w:pStyle w:val="BodyText"/>
      </w:pPr>
      <w:r w:rsidRPr="001108F8">
        <w:t>Motorcycles are the most dangerous motor vehicles for both operators and passengers of any age. Moreover, data from the NHTSA’s Fatality Analysis Reporting System (FARS) indicate disturbing trends in motorcycle safety:</w:t>
      </w:r>
    </w:p>
    <w:p w14:paraId="69C1D7C7" w14:textId="77777777" w:rsidR="003F7B9F" w:rsidRPr="0038634E" w:rsidRDefault="003F7B9F">
      <w:pPr>
        <w:pStyle w:val="TMGBullet"/>
        <w:contextualSpacing w:val="0"/>
      </w:pPr>
      <w:r w:rsidRPr="0038634E">
        <w:t>Trends accompanying the rising motorcyclist death toll include a dramatic increase in motorcycle ownership, particularly by riders over 40 years old, along with changes in other factors such as motorcycle size; and</w:t>
      </w:r>
    </w:p>
    <w:p w14:paraId="4C7FD212" w14:textId="77777777" w:rsidR="003F7B9F" w:rsidRPr="0038634E" w:rsidRDefault="003F7B9F">
      <w:pPr>
        <w:pStyle w:val="TMGBullet"/>
        <w:contextualSpacing w:val="0"/>
      </w:pPr>
      <w:r w:rsidRPr="0038634E">
        <w:t>The rate of increase in fatalities has outpaced the rate of increase in motorcycle registrations.</w:t>
      </w:r>
    </w:p>
    <w:p w14:paraId="5EAAE224" w14:textId="24EED113" w:rsidR="003F7B9F" w:rsidRPr="0038634E" w:rsidRDefault="003F7B9F">
      <w:pPr>
        <w:pStyle w:val="TMGBullet"/>
        <w:contextualSpacing w:val="0"/>
      </w:pPr>
      <w:r w:rsidRPr="0038634E">
        <w:t>To assess motorcycle safety, it is necessary to know the number of crashes as well as the corresponding exposure to determine a fatality rate. One of the key exposures is the motorcycle miles traveled (MC data are the denominator for exposure and crash rates):</w:t>
      </w:r>
    </w:p>
    <w:p w14:paraId="5CB2649B" w14:textId="27969A78" w:rsidR="003F7B9F" w:rsidRPr="0038634E" w:rsidRDefault="003F7B9F">
      <w:pPr>
        <w:pStyle w:val="TMGBullet"/>
        <w:contextualSpacing w:val="0"/>
      </w:pPr>
      <w:r w:rsidRPr="0038634E">
        <w:t>Motorcycle exposure data are used to inform national decisions and establish motorcycle</w:t>
      </w:r>
      <w:r w:rsidR="00171444">
        <w:t>-</w:t>
      </w:r>
      <w:r w:rsidRPr="0038634E">
        <w:t xml:space="preserve">related policies and safety countermeasure programs. </w:t>
      </w:r>
    </w:p>
    <w:p w14:paraId="42CA6CDE" w14:textId="57B0B90C" w:rsidR="003F7B9F" w:rsidRPr="0038634E" w:rsidRDefault="003F7B9F">
      <w:pPr>
        <w:pStyle w:val="TMGBullet"/>
        <w:contextualSpacing w:val="0"/>
      </w:pPr>
      <w:r w:rsidRPr="0038634E">
        <w:t xml:space="preserve">Motorcycle exposure data </w:t>
      </w:r>
      <w:r w:rsidR="00171444">
        <w:t>are</w:t>
      </w:r>
      <w:r w:rsidR="00171444" w:rsidRPr="0038634E">
        <w:t xml:space="preserve"> </w:t>
      </w:r>
      <w:r w:rsidRPr="0038634E">
        <w:t>an important part of current safety performance measures, which measure the number of motorcycle fatalities per vehicle registrations and per million miles traveled</w:t>
      </w:r>
      <w:r w:rsidR="00171444">
        <w:t>.</w:t>
      </w:r>
    </w:p>
    <w:p w14:paraId="6ABF6354" w14:textId="31B7D7D4" w:rsidR="003F7B9F" w:rsidRPr="0038634E" w:rsidRDefault="003F7B9F">
      <w:pPr>
        <w:pStyle w:val="TMGBullet"/>
      </w:pPr>
      <w:r w:rsidRPr="0038634E">
        <w:t>Motorcycle travel data, especially by roadway functional system, helps the DOT to better understand the distribution of travel and devise effective design and operational measures for both reliable and safe travel of motorists. Motorcycle travel data are a critical element for developing effective safety countermeasures.</w:t>
      </w:r>
    </w:p>
    <w:p w14:paraId="4B526FD2" w14:textId="02BB5FE3" w:rsidR="00031749" w:rsidRDefault="003F7B9F" w:rsidP="00A35EAF">
      <w:pPr>
        <w:pStyle w:val="BodyText"/>
      </w:pPr>
      <w:bookmarkStart w:id="2686" w:name="_Hlk59531293"/>
      <w:r w:rsidRPr="00A950EF">
        <w:t xml:space="preserve">A successful example of one State’s ability to detect motorcycles using inductive loops and piezo sensors comes from the State of Virginia. The Virginia DOT (VDOT) worked with their vendor to develop a four-channel loop board that meets the required performance standard and a piezo card that provides improved detection of motorcycle axles by analyzing complex waveforms and rejecting energy from adjacent lanes. VDOT attributes their ability to detect motorcycles to their installation standards for loops and piezos. Loops are installed with four turns of wire and no splices, using wire that </w:t>
      </w:r>
      <w:bookmarkStart w:id="2687" w:name="_Hlk76057233"/>
      <w:r w:rsidRPr="00F374BF">
        <w:t>meets International Municipal Signal Association (IMSA) Specification 51-7;</w:t>
      </w:r>
      <w:r w:rsidRPr="00A950EF">
        <w:t xml:space="preserve"> and they are now installing two piezos stacked in a single saw cut. V</w:t>
      </w:r>
      <w:r>
        <w:t xml:space="preserve">irginia and Wisconsin </w:t>
      </w:r>
      <w:r w:rsidRPr="00A950EF">
        <w:t>DOT</w:t>
      </w:r>
      <w:r>
        <w:t>s</w:t>
      </w:r>
      <w:r w:rsidRPr="00A950EF">
        <w:t xml:space="preserve"> also use length</w:t>
      </w:r>
      <w:r>
        <w:t>-based classification devices</w:t>
      </w:r>
      <w:r w:rsidRPr="00A950EF">
        <w:t xml:space="preserve"> of </w:t>
      </w:r>
      <w:r>
        <w:t xml:space="preserve">about </w:t>
      </w:r>
      <w:r w:rsidRPr="00A950EF">
        <w:t xml:space="preserve">seven feet to distinguish motorcycles from other compact vehicles. To reduce the potential of undercounting Class 1 vehicles using the combination of loops and piezos, VDOT takes an additional step of using six bins instead of a single bin for all vehicle counts that cannot be </w:t>
      </w:r>
      <w:r w:rsidRPr="00F374BF">
        <w:t>classified (Schinkel 2008). One of thes</w:t>
      </w:r>
      <w:bookmarkEnd w:id="2687"/>
      <w:r w:rsidRPr="00F374BF">
        <w:t>e</w:t>
      </w:r>
      <w:r w:rsidRPr="00A950EF">
        <w:t xml:space="preserve"> bins, Bin 21, is used for vehicles whose length is less than seven feet, but for which fewer than two axles are detected. On two-lane, two-way roads, this condition usually indicates that the piezo at a classification site has begun to fail and did not detect one or </w:t>
      </w:r>
      <w:r w:rsidR="0045795E" w:rsidRPr="00A950EF">
        <w:t>both axles</w:t>
      </w:r>
      <w:r w:rsidRPr="00A950EF">
        <w:t xml:space="preserve"> of a Class 1 vehicle. Accordingly, on these roads, Bin 21 vehicles can be assigned to Vehicle Class 1. </w:t>
      </w:r>
    </w:p>
    <w:p w14:paraId="695A3DDC" w14:textId="77777777" w:rsidR="00031749" w:rsidRDefault="00031749">
      <w:pPr>
        <w:widowControl/>
        <w:suppressAutoHyphens w:val="0"/>
        <w:autoSpaceDE/>
        <w:autoSpaceDN/>
        <w:adjustRightInd/>
        <w:spacing w:after="160" w:line="259" w:lineRule="auto"/>
        <w:jc w:val="left"/>
        <w:textAlignment w:val="auto"/>
        <w:rPr>
          <w:color w:val="auto"/>
        </w:rPr>
      </w:pPr>
      <w:r>
        <w:br w:type="page"/>
      </w:r>
    </w:p>
    <w:bookmarkEnd w:id="2686"/>
    <w:p w14:paraId="3498B11E" w14:textId="1F3B9495" w:rsidR="003F7B9F" w:rsidRPr="00031749" w:rsidRDefault="003F7B9F" w:rsidP="00A35EAF">
      <w:pPr>
        <w:pStyle w:val="BodyText"/>
        <w:rPr>
          <w:rFonts w:ascii="Cambria" w:hAnsi="Cambria"/>
          <w:i/>
          <w:iCs/>
          <w:sz w:val="22"/>
          <w:szCs w:val="22"/>
        </w:rPr>
      </w:pPr>
      <w:r w:rsidRPr="00031749">
        <w:rPr>
          <w:rFonts w:ascii="Cambria" w:hAnsi="Cambria"/>
          <w:i/>
          <w:iCs/>
          <w:sz w:val="22"/>
          <w:szCs w:val="22"/>
        </w:rPr>
        <w:lastRenderedPageBreak/>
        <w:t>Traffic Data Collection and Motorcycles</w:t>
      </w:r>
    </w:p>
    <w:p w14:paraId="60CF9FF7" w14:textId="6CA34278" w:rsidR="003F7B9F" w:rsidRPr="00A950EF" w:rsidRDefault="003F7B9F" w:rsidP="00A35EAF">
      <w:pPr>
        <w:pStyle w:val="BodyText"/>
      </w:pPr>
      <w:bookmarkStart w:id="2688" w:name="_Toc334793212"/>
      <w:bookmarkStart w:id="2689" w:name="_Toc334793213"/>
      <w:bookmarkStart w:id="2690" w:name="_Toc334793214"/>
      <w:bookmarkStart w:id="2691" w:name="_Toc334793215"/>
      <w:bookmarkStart w:id="2692" w:name="_Toc334793216"/>
      <w:bookmarkStart w:id="2693" w:name="_Toc334793217"/>
      <w:bookmarkStart w:id="2694" w:name="_Toc334793218"/>
      <w:bookmarkStart w:id="2695" w:name="_Toc325550746"/>
      <w:bookmarkStart w:id="2696" w:name="_Toc325550747"/>
      <w:bookmarkStart w:id="2697" w:name="_Toc325550748"/>
      <w:bookmarkStart w:id="2698" w:name="_Toc325550749"/>
      <w:bookmarkStart w:id="2699" w:name="_Toc325550750"/>
      <w:bookmarkStart w:id="2700" w:name="_Toc325550751"/>
      <w:bookmarkStart w:id="2701" w:name="_Toc325550752"/>
      <w:bookmarkStart w:id="2702" w:name="_Toc325550753"/>
      <w:bookmarkStart w:id="2703" w:name="_Toc325550754"/>
      <w:bookmarkStart w:id="2704" w:name="_Toc325550755"/>
      <w:bookmarkStart w:id="2705" w:name="_Toc323825349"/>
      <w:bookmarkStart w:id="2706" w:name="_Toc323825424"/>
      <w:bookmarkStart w:id="2707" w:name="_Toc323825784"/>
      <w:bookmarkStart w:id="2708" w:name="_Toc323825922"/>
      <w:bookmarkStart w:id="2709" w:name="_Toc323825968"/>
      <w:bookmarkStart w:id="2710" w:name="_Toc323826014"/>
      <w:bookmarkStart w:id="2711" w:name="_Toc323826067"/>
      <w:bookmarkStart w:id="2712" w:name="_Toc325550756"/>
      <w:bookmarkStart w:id="2713" w:name="_Toc325550757"/>
      <w:bookmarkStart w:id="2714" w:name="_Toc325550758"/>
      <w:bookmarkStart w:id="2715" w:name="_Toc325550759"/>
      <w:bookmarkStart w:id="2716" w:name="_Toc325550760"/>
      <w:bookmarkStart w:id="2717" w:name="_Toc325550761"/>
      <w:bookmarkStart w:id="2718" w:name="_Toc325550762"/>
      <w:bookmarkStart w:id="2719" w:name="_Toc325550763"/>
      <w:bookmarkStart w:id="2720" w:name="_Toc325550764"/>
      <w:bookmarkStart w:id="2721" w:name="_Toc325550765"/>
      <w:bookmarkStart w:id="2722" w:name="_Toc325550766"/>
      <w:bookmarkStart w:id="2723" w:name="_Toc325550767"/>
      <w:bookmarkStart w:id="2724" w:name="_Toc325550768"/>
      <w:bookmarkStart w:id="2725" w:name="_Toc325550769"/>
      <w:bookmarkStart w:id="2726" w:name="_Toc325550770"/>
      <w:bookmarkStart w:id="2727" w:name="_Toc325550771"/>
      <w:bookmarkStart w:id="2728" w:name="_Toc325550772"/>
      <w:bookmarkStart w:id="2729" w:name="_Toc325550773"/>
      <w:bookmarkStart w:id="2730" w:name="_Toc325550774"/>
      <w:bookmarkStart w:id="2731" w:name="_Toc325550775"/>
      <w:bookmarkStart w:id="2732" w:name="_Toc325550776"/>
      <w:bookmarkStart w:id="2733" w:name="_Toc325550777"/>
      <w:bookmarkStart w:id="2734" w:name="_Toc325550778"/>
      <w:bookmarkStart w:id="2735" w:name="_Toc325550779"/>
      <w:bookmarkStart w:id="2736" w:name="_Toc325550780"/>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r w:rsidRPr="00A950EF">
        <w:t xml:space="preserve">A State DOT should be able to provide users with an estimate of the amount of traffic by vehicle class by road segment—including motorcycle travel. Motorcycle volume and percentage estimates should be available for the date when data were collected and as annual average estimates corrected for yearly, monthly, and DOW variation. </w:t>
      </w:r>
    </w:p>
    <w:p w14:paraId="1838BF4B" w14:textId="4E39ECBB" w:rsidR="003F7B9F" w:rsidRPr="00A950EF" w:rsidRDefault="003F7B9F" w:rsidP="00A35EAF">
      <w:pPr>
        <w:pStyle w:val="BodyText"/>
      </w:pPr>
      <w:r w:rsidRPr="00A950EF">
        <w:t>Complicating the process for annualizing motorcycle counts is that travel patterns for motorcycles are usually different from those for cars</w:t>
      </w:r>
      <w:r>
        <w:t xml:space="preserve">, </w:t>
      </w:r>
      <w:r w:rsidR="0045795E">
        <w:t>buses,</w:t>
      </w:r>
      <w:r w:rsidRPr="00A950EF">
        <w:t xml:space="preserve"> or trucks. Motorcycle volume patterns are primarily recreational patterns, although commuter travel may be significant in some cases. Consequently, motorcycle travel is frequently heavily dependent on the DOW (higher on weekends), season (higher in summer), and special events (e.g., rallies). Recreational motorcycle travel may also concentrate on specific roads more than car or truck travel typically does. (That is, some specific roads are commonly used by large groups of motorcycles for “group rides”</w:t>
      </w:r>
      <w:r w:rsidR="00CC1905">
        <w:t>—</w:t>
      </w:r>
      <w:r w:rsidRPr="00A950EF">
        <w:t>therefore creating very large increases in motorcycle VMT on a relatively modest series of roads and days of the year.)</w:t>
      </w:r>
    </w:p>
    <w:p w14:paraId="540F5DB0" w14:textId="77777777" w:rsidR="003F7B9F" w:rsidRPr="00A950EF" w:rsidRDefault="003F7B9F" w:rsidP="00A35EAF">
      <w:pPr>
        <w:pStyle w:val="BodyText"/>
      </w:pPr>
      <w:r w:rsidRPr="00A950EF">
        <w:t xml:space="preserve">The </w:t>
      </w:r>
      <w:r w:rsidRPr="00A950EF">
        <w:rPr>
          <w:i/>
          <w:iCs/>
        </w:rPr>
        <w:t>TMG</w:t>
      </w:r>
      <w:r w:rsidRPr="00A950EF">
        <w:t xml:space="preserve"> recommends that a vehicle classification-counting program include both extensive, geographically distributed, </w:t>
      </w:r>
      <w:r>
        <w:t>short-term</w:t>
      </w:r>
      <w:r w:rsidRPr="00A950EF">
        <w:t xml:space="preserve"> counts and a smaller set of continuous counters. This same guidance works for effectively collecting motorcycle travel, but accurately estimating motorcycles does require some refinement of the traditional count program to account for motorcycle patterns, simply because many of the traditional data collection plans are structured specifically around understanding the movements of cars and trucks.</w:t>
      </w:r>
    </w:p>
    <w:p w14:paraId="6C8A00AD" w14:textId="799CEFFE" w:rsidR="003F7B9F" w:rsidRPr="00A950EF" w:rsidRDefault="003F7B9F" w:rsidP="00A35EAF">
      <w:pPr>
        <w:pStyle w:val="BodyText"/>
      </w:pPr>
      <w:r w:rsidRPr="00A950EF">
        <w:t>The first change required to the traditional traffic monitoring program is for States to develop a process for converting short</w:t>
      </w:r>
      <w:r w:rsidR="00CC1905">
        <w:t>-term</w:t>
      </w:r>
      <w:r w:rsidRPr="00A950EF">
        <w:t xml:space="preserve"> counts to estimates of </w:t>
      </w:r>
      <w:r w:rsidR="00CC1905">
        <w:t>AADT</w:t>
      </w:r>
      <w:r w:rsidRPr="00A950EF">
        <w:t xml:space="preserve"> that specifically factor </w:t>
      </w:r>
      <w:r>
        <w:t>short-term</w:t>
      </w:r>
      <w:r w:rsidRPr="00A950EF">
        <w:t xml:space="preserve"> motorcycle counts (as well as</w:t>
      </w:r>
      <w:r w:rsidR="00283F68">
        <w:t> </w:t>
      </w:r>
      <w:r w:rsidRPr="00A950EF">
        <w:t>specifically factor the other vehicle classes) based on the travel patterns observed for each of those classes. Without motorcycle</w:t>
      </w:r>
      <w:r w:rsidR="00CC1905">
        <w:t>-</w:t>
      </w:r>
      <w:r w:rsidRPr="00A950EF">
        <w:t xml:space="preserve">specific adjustments, </w:t>
      </w:r>
      <w:r>
        <w:t>short-term</w:t>
      </w:r>
      <w:r w:rsidRPr="00A950EF">
        <w:t xml:space="preserve"> classification counts yield biased annual estimates of motorcycle travel.</w:t>
      </w:r>
    </w:p>
    <w:p w14:paraId="0548E197" w14:textId="3C3D7F7B" w:rsidR="003F7B9F" w:rsidRPr="00F374BF" w:rsidRDefault="003F7B9F" w:rsidP="00A35EAF">
      <w:pPr>
        <w:pStyle w:val="BodyText"/>
      </w:pPr>
      <w:r w:rsidRPr="00F019FF">
        <w:t xml:space="preserve">As noted in </w:t>
      </w:r>
      <w:r w:rsidRPr="00F374BF">
        <w:t xml:space="preserve">the </w:t>
      </w:r>
      <w:r w:rsidRPr="00F374BF">
        <w:rPr>
          <w:i/>
          <w:iCs/>
        </w:rPr>
        <w:t>HPMS Field Manual</w:t>
      </w:r>
      <w:r w:rsidR="00F374BF" w:rsidRPr="00F374BF">
        <w:rPr>
          <w:i/>
          <w:iCs/>
        </w:rPr>
        <w:t xml:space="preserve"> </w:t>
      </w:r>
      <w:r w:rsidR="00F374BF" w:rsidRPr="00F374BF">
        <w:t>(FHWA 2016)</w:t>
      </w:r>
      <w:r w:rsidRPr="00F374BF">
        <w:t xml:space="preserve">, although motorcycles are a small percent of </w:t>
      </w:r>
      <w:r w:rsidR="0045795E" w:rsidRPr="00F374BF">
        <w:t>travel,</w:t>
      </w:r>
      <w:r w:rsidRPr="00F374BF">
        <w:t xml:space="preserve"> they have significant safety issues that require attention for estimating their travel exposure. Continuous counters provide an</w:t>
      </w:r>
      <w:r w:rsidR="00283F68">
        <w:t> </w:t>
      </w:r>
      <w:r w:rsidRPr="00F374BF">
        <w:t>understanding of how typical motorcycle travel varies by day of the week and month of the year. To provide motorcycle specific adjustment factors, States should account for motorcycle travel patterns when selecting locations for permanent vehicle classification counters.</w:t>
      </w:r>
    </w:p>
    <w:p w14:paraId="58031154" w14:textId="431F8798" w:rsidR="003F7B9F" w:rsidRPr="00F374BF" w:rsidRDefault="003F7B9F" w:rsidP="00A35EAF">
      <w:pPr>
        <w:pStyle w:val="BodyText"/>
      </w:pPr>
      <w:r w:rsidRPr="00F374BF">
        <w:t>To capture motorcycle movements and more effectively estimate annual motorcycle VMT, some short</w:t>
      </w:r>
      <w:r w:rsidR="00CC1905">
        <w:t>-term</w:t>
      </w:r>
      <w:r w:rsidRPr="00F374BF">
        <w:t xml:space="preserve"> counts should be conducted in places and times where motorcyclists are known to travel such as weekend rallies, runs</w:t>
      </w:r>
      <w:r w:rsidR="00CC1905">
        <w:t>,</w:t>
      </w:r>
      <w:r w:rsidRPr="00F374BF">
        <w:t xml:space="preserve"> and shows and on other roads used for recreational motorcycle travel. Some of these data should be collected using thoughtfully sited, permanent count sites placed on recreational routes with motorcycle travel. This</w:t>
      </w:r>
      <w:r w:rsidR="00283F68">
        <w:t> </w:t>
      </w:r>
      <w:r w:rsidRPr="00F374BF">
        <w:t xml:space="preserve">data collection effort yields basic motorcycle traffic statistics including geographic variability and the </w:t>
      </w:r>
      <w:r w:rsidR="00CC1905">
        <w:t>TOD</w:t>
      </w:r>
      <w:r w:rsidRPr="00F374BF">
        <w:t xml:space="preserve"> distribution.</w:t>
      </w:r>
    </w:p>
    <w:p w14:paraId="08BCBB8E" w14:textId="4BBFD904" w:rsidR="003F7B9F" w:rsidRDefault="003F7B9F" w:rsidP="00A35EAF">
      <w:pPr>
        <w:pStyle w:val="BodyText"/>
      </w:pPr>
      <w:r w:rsidRPr="00F374BF">
        <w:t xml:space="preserve">A sufficient number of locations should be monitored to meet HPMS requirements. Motorcycle travel is reported under the HPMS summary travel as a proportion of total travel by roadway functional class. The State should have motorcycle and other vehicle class travel data for all the roadway functional classes. If the stations are sufficiently distributed according to road type and by traffic volume, a simple average of the observed proportions from all stations can be reported on the summary travel table (see </w:t>
      </w:r>
      <w:r w:rsidRPr="00F374BF">
        <w:rPr>
          <w:i/>
          <w:iCs/>
        </w:rPr>
        <w:t>HPMS Field Manual</w:t>
      </w:r>
      <w:r w:rsidR="00F374BF" w:rsidRPr="00F374BF">
        <w:t>, FHWA 2016)</w:t>
      </w:r>
      <w:r w:rsidRPr="00F374BF">
        <w:t>.</w:t>
      </w:r>
      <w:r w:rsidRPr="00A950EF">
        <w:t xml:space="preserve"> </w:t>
      </w:r>
    </w:p>
    <w:p w14:paraId="4B73E99D" w14:textId="26958DF8" w:rsidR="003F7B9F" w:rsidRPr="00A950EF" w:rsidRDefault="003F7B9F" w:rsidP="00A35EAF">
      <w:pPr>
        <w:pStyle w:val="BodyText"/>
      </w:pPr>
      <w:r w:rsidRPr="00A950EF">
        <w:t xml:space="preserve">Traffic data collection, including motorcycle data collection, is eligible for Federal funding under a wide range of Federal-aid highway programs. </w:t>
      </w:r>
    </w:p>
    <w:p w14:paraId="38D5FA43" w14:textId="116AC172" w:rsidR="003F7B9F" w:rsidRPr="00A950EF" w:rsidRDefault="003F7B9F" w:rsidP="00A35EAF">
      <w:pPr>
        <w:pStyle w:val="BodyText"/>
      </w:pPr>
      <w:r w:rsidRPr="00A950EF">
        <w:t xml:space="preserve">Considerable improvement in </w:t>
      </w:r>
      <w:r>
        <w:t>the accuracy of motorcycle counts</w:t>
      </w:r>
      <w:r w:rsidRPr="00A950EF">
        <w:t xml:space="preserve"> area has been made in the past few years. Montana utilizes bi-wheel path counting for proper motorcycle counting</w:t>
      </w:r>
      <w:r w:rsidR="00CC1905">
        <w:t>, which</w:t>
      </w:r>
      <w:r w:rsidRPr="00A950EF">
        <w:t xml:space="preserve"> is especially effective during motorcycle rallies where </w:t>
      </w:r>
      <w:r w:rsidR="00CC1905">
        <w:t>moto</w:t>
      </w:r>
      <w:r w:rsidR="00792A92">
        <w:t>r</w:t>
      </w:r>
      <w:r w:rsidR="00CC1905">
        <w:t>cycles</w:t>
      </w:r>
      <w:r w:rsidR="00CC1905" w:rsidRPr="00A950EF">
        <w:t xml:space="preserve"> </w:t>
      </w:r>
      <w:r w:rsidRPr="00A950EF">
        <w:t xml:space="preserve">may be doubled-up into one lane. </w:t>
      </w:r>
      <w:r>
        <w:t xml:space="preserve">Many </w:t>
      </w:r>
      <w:r w:rsidR="00792A92">
        <w:t>S</w:t>
      </w:r>
      <w:r>
        <w:t xml:space="preserve">tate DOTs use </w:t>
      </w:r>
      <w:r w:rsidRPr="00A950EF">
        <w:t xml:space="preserve">a wider 6’ by 8’ loop in the lane to provide a large lane coverage that prevents motorcycles from not being detected </w:t>
      </w:r>
      <w:r>
        <w:t>by</w:t>
      </w:r>
      <w:r w:rsidRPr="00A950EF">
        <w:t xml:space="preserve"> loops. This wider lane width of 8’ requires that each bi-lane array be staggered so that interference or “cross talk” between loops does not occur. Multiple technologies can be used successfully for this activity, although each technology has its own strengths and limitations. </w:t>
      </w:r>
    </w:p>
    <w:p w14:paraId="03EEA819" w14:textId="77777777" w:rsidR="003F7B9F" w:rsidRPr="00A950EF" w:rsidRDefault="003F7B9F" w:rsidP="00A35EAF">
      <w:pPr>
        <w:pStyle w:val="BodyText"/>
      </w:pPr>
      <w:r w:rsidRPr="00A950EF">
        <w:t xml:space="preserve">Axle, visual, and presence sensors can all be used successfully for collecting motorcycle volumes as part of vehicle classification counts, although each provides a different mechanism for classifying vehicles. Within each of these three broad categories are an array of sensors with different capabilities, levels of accuracy, performance </w:t>
      </w:r>
      <w:r w:rsidRPr="00A950EF">
        <w:lastRenderedPageBreak/>
        <w:t>capabilities within different operating environments, and output characteristics. Each type of sensor works well under some conditions and poorly in others. For example:</w:t>
      </w:r>
    </w:p>
    <w:p w14:paraId="75B36CB1" w14:textId="0E8E11E9" w:rsidR="003F7B9F" w:rsidRPr="0038634E" w:rsidRDefault="003F7B9F">
      <w:pPr>
        <w:pStyle w:val="TMGBullet"/>
      </w:pPr>
      <w:r w:rsidRPr="0038634E">
        <w:t xml:space="preserve">Motorcycles in parallel or staggered formation may confuse </w:t>
      </w:r>
      <w:r w:rsidR="0045795E" w:rsidRPr="0038634E">
        <w:t>detectors unless</w:t>
      </w:r>
      <w:r w:rsidRPr="0038634E">
        <w:t xml:space="preserve"> wheel path counting sensor set-up or segmented sensor technology is used.</w:t>
      </w:r>
    </w:p>
    <w:p w14:paraId="7F5DC98B" w14:textId="60A28399" w:rsidR="003F7B9F" w:rsidRPr="0038634E" w:rsidRDefault="003F7B9F">
      <w:pPr>
        <w:pStyle w:val="TMGBullet"/>
      </w:pPr>
      <w:r w:rsidRPr="0038634E">
        <w:t>Adjusting detector sensitivity for trucks may lead to reduced detection of motorcycles</w:t>
      </w:r>
      <w:r w:rsidR="00792A92">
        <w:t>.</w:t>
      </w:r>
    </w:p>
    <w:p w14:paraId="4C09D474" w14:textId="77777777" w:rsidR="003F7B9F" w:rsidRPr="0038634E" w:rsidRDefault="003F7B9F">
      <w:pPr>
        <w:pStyle w:val="TMGBullet"/>
      </w:pPr>
      <w:r w:rsidRPr="0038634E">
        <w:t>Some combination trucks may be misclassified as a single-unit truck followed by a motorcycle (the rear tandem axle) when the loop incorrectly detunes in the middle of the vehicle.</w:t>
      </w:r>
    </w:p>
    <w:p w14:paraId="302842D4" w14:textId="77777777" w:rsidR="003F7B9F" w:rsidRDefault="003F7B9F" w:rsidP="00A119E0">
      <w:pPr>
        <w:pStyle w:val="CallOut"/>
      </w:pPr>
      <w:r>
        <w:t>Full-lane width sensors should be installed for the most accurate classification detection of vehicles, unless by wheel path counting is being done.</w:t>
      </w:r>
    </w:p>
    <w:p w14:paraId="13988CF2" w14:textId="559F6577" w:rsidR="003F7B9F" w:rsidRPr="00A950EF" w:rsidRDefault="003F7B9F" w:rsidP="00A35EAF">
      <w:pPr>
        <w:pStyle w:val="BodyText"/>
      </w:pPr>
      <w:r w:rsidRPr="00A950EF">
        <w:t>Using more sophisticated axle sensors and data collection electronics that can monitor left and right wheel paths independently can improve the ability of axle sensor-based classification equipment to count all motorcycles in a group, while also correctly counting and classifying cars and trucks. For axle sensor arrays that are placed in a staggered formation, a motorcycle will usually hit one sensor but not both; the system will likely record this as a vehicle with missing axle detection and classify it as a passenger car by default</w:t>
      </w:r>
      <w:r w:rsidR="00792A92">
        <w:t>—</w:t>
      </w:r>
      <w:r w:rsidRPr="00A950EF">
        <w:t>unless the data collection electronics are specifically designed to look for motorcycles. For this reason, FHWA recommends full-lane width axle sensors (road tube, tape switches, or piezo sensors) rather than half-lane width sensors.</w:t>
      </w:r>
    </w:p>
    <w:p w14:paraId="5E63CFCB" w14:textId="77777777" w:rsidR="003F7B9F" w:rsidRPr="00684D80" w:rsidRDefault="003F7B9F" w:rsidP="00A35EAF">
      <w:pPr>
        <w:pStyle w:val="BodyText"/>
      </w:pPr>
      <w:r w:rsidRPr="00A950EF">
        <w:t xml:space="preserve">Side-looking radar provides length-based classification and detects motorcycles. Inductive loops can work well if properly installed and maintained, but they too can have problems with motorcycles traveling in groups, especially when riding in slightly staggered side-by-side configurations in individual lanes. Conventional loops can also be hard to tune to capture motorcycles while at the same time not having that same sensitivity setting, resulting in over counting of cars and trucks. Some studies have shown that accuracy of counting in all classes can be improved by using </w:t>
      </w:r>
      <w:r w:rsidRPr="00684D80">
        <w:t xml:space="preserve">inductive loop signature technology and calibrating sites to be accurate. </w:t>
      </w:r>
    </w:p>
    <w:p w14:paraId="36277B35" w14:textId="463B486C" w:rsidR="003F7B9F" w:rsidRPr="00684D80" w:rsidRDefault="003F7B9F" w:rsidP="00A119E0">
      <w:pPr>
        <w:pStyle w:val="CallOut"/>
        <w:rPr>
          <w:rFonts w:eastAsiaTheme="minorHAnsi"/>
        </w:rPr>
      </w:pPr>
      <w:r w:rsidRPr="00684D80">
        <w:t xml:space="preserve">Accuracy improvements have also been shown to occur when using 6’ by 8’ foot loop layouts instead of the conventional 6’ by 6’ configuration </w:t>
      </w:r>
      <w:r w:rsidRPr="00684D80">
        <w:rPr>
          <w:rFonts w:eastAsiaTheme="minorHAnsi"/>
        </w:rPr>
        <w:t>and when installing piezos, the full lane width should be used.</w:t>
      </w:r>
      <w:r w:rsidR="004D4172">
        <w:rPr>
          <w:rFonts w:eastAsiaTheme="minorHAnsi"/>
        </w:rPr>
        <w:t xml:space="preserve"> </w:t>
      </w:r>
      <w:r w:rsidRPr="00684D80">
        <w:rPr>
          <w:rFonts w:eastAsiaTheme="minorHAnsi"/>
        </w:rPr>
        <w:t>Full lane width for road tube sets for class counts are also recommended.</w:t>
      </w:r>
    </w:p>
    <w:p w14:paraId="23AE7FA4" w14:textId="5F045ABF" w:rsidR="003F7B9F" w:rsidRPr="00684D80" w:rsidRDefault="003F7B9F" w:rsidP="00A35EAF">
      <w:pPr>
        <w:pStyle w:val="BodyText"/>
      </w:pPr>
      <w:r w:rsidRPr="00684D80">
        <w:t xml:space="preserve">Quadrupole loops also known as figure-8 style loop detectors have enhanced sensitivity for detecting motorcycles, bicycles, and smaller cars. </w:t>
      </w:r>
      <w:r w:rsidRPr="00684D80">
        <w:rPr>
          <w:rFonts w:eastAsiaTheme="minorHAnsi"/>
        </w:rPr>
        <w:t xml:space="preserve">The Montana DOT provides an example of loop lane configuration placement installation diagrams illustrating a best practice, </w:t>
      </w:r>
      <w:r w:rsidRPr="000D7942">
        <w:rPr>
          <w:rFonts w:eastAsiaTheme="minorHAnsi"/>
        </w:rPr>
        <w:t>see</w:t>
      </w:r>
      <w:r w:rsidRPr="000D7942">
        <w:t xml:space="preserve"> Appendix </w:t>
      </w:r>
      <w:r w:rsidR="003907E4">
        <w:t>I</w:t>
      </w:r>
      <w:r w:rsidRPr="000D7942">
        <w:t>.</w:t>
      </w:r>
    </w:p>
    <w:p w14:paraId="786372D1" w14:textId="77777777" w:rsidR="003F7B9F" w:rsidRPr="00A950EF" w:rsidRDefault="003F7B9F" w:rsidP="00A35EAF">
      <w:pPr>
        <w:pStyle w:val="BodyText"/>
      </w:pPr>
      <w:r w:rsidRPr="00684D80">
        <w:t xml:space="preserve">Sensors that cover a small area such as magnetometers have problems </w:t>
      </w:r>
      <w:r w:rsidRPr="00A950EF">
        <w:t xml:space="preserve">detecting motorcycles or groups of motorcycles. </w:t>
      </w:r>
    </w:p>
    <w:p w14:paraId="1A38BDA1" w14:textId="77777777" w:rsidR="003F7B9F" w:rsidRPr="00A950EF" w:rsidRDefault="003F7B9F" w:rsidP="00A35EAF">
      <w:pPr>
        <w:pStyle w:val="BodyText"/>
      </w:pPr>
      <w:r w:rsidRPr="00A950EF">
        <w:t xml:space="preserve">All vehicle classifiers should be </w:t>
      </w:r>
      <w:r>
        <w:t xml:space="preserve">annually </w:t>
      </w:r>
      <w:r w:rsidRPr="00A950EF">
        <w:t xml:space="preserve">calibrated and </w:t>
      </w:r>
      <w:r>
        <w:t xml:space="preserve">regularly </w:t>
      </w:r>
      <w:r w:rsidRPr="00A950EF">
        <w:t xml:space="preserve">tested, and it is a good idea to involve motorcycles traveling in groups as part of those tests to ensure that motorcycles are properly counted. It is also advisable to use a test standard such as </w:t>
      </w:r>
      <w:bookmarkStart w:id="2737" w:name="_Hlk76057337"/>
      <w:r w:rsidRPr="00A950EF">
        <w:t xml:space="preserve">ASTM E2532-06, </w:t>
      </w:r>
      <w:r w:rsidRPr="00A950EF">
        <w:rPr>
          <w:i/>
          <w:iCs/>
        </w:rPr>
        <w:t>Standard Test Methods for Evaluating Performance of Highway Traffic Monitoring Devices</w:t>
      </w:r>
      <w:r w:rsidRPr="00A950EF">
        <w:t>.</w:t>
      </w:r>
    </w:p>
    <w:p w14:paraId="0DCF8D27" w14:textId="0B1A61ED" w:rsidR="003F7B9F" w:rsidRPr="00A950EF" w:rsidRDefault="003F7B9F" w:rsidP="00A35EAF">
      <w:pPr>
        <w:pStyle w:val="BodyText"/>
      </w:pPr>
      <w:r w:rsidRPr="00A950EF">
        <w:t xml:space="preserve">If length-based classification is used, it should accommodate motorcycle identification as one of the groups. </w:t>
      </w:r>
      <w:r w:rsidR="00792A92">
        <w:t>The FHWA</w:t>
      </w:r>
      <w:r w:rsidRPr="00A950EF">
        <w:t xml:space="preserve"> </w:t>
      </w:r>
      <w:r w:rsidRPr="00F374BF">
        <w:rPr>
          <w:i/>
          <w:iCs/>
        </w:rPr>
        <w:t>Pooled Fund Program Report TPF-5[192],</w:t>
      </w:r>
      <w:r w:rsidRPr="00A950EF">
        <w:t xml:space="preserve"> </w:t>
      </w:r>
      <w:r w:rsidRPr="00A950EF">
        <w:rPr>
          <w:i/>
          <w:iCs/>
        </w:rPr>
        <w:t>Loop and Length Based Vehicle Classification</w:t>
      </w:r>
      <w:r w:rsidRPr="00A950EF">
        <w:t xml:space="preserve"> </w:t>
      </w:r>
      <w:r w:rsidR="00F374BF">
        <w:t xml:space="preserve">(Minge 2012) </w:t>
      </w:r>
      <w:r w:rsidRPr="00A950EF">
        <w:t>prepared for Minnesota DOT</w:t>
      </w:r>
      <w:r w:rsidR="00792A92">
        <w:t xml:space="preserve"> provides more information</w:t>
      </w:r>
      <w:r w:rsidRPr="00A950EF">
        <w:t xml:space="preserve">. </w:t>
      </w:r>
    </w:p>
    <w:bookmarkEnd w:id="2737"/>
    <w:p w14:paraId="6E66C577" w14:textId="3358A41A" w:rsidR="003F7B9F" w:rsidRPr="00A950EF" w:rsidRDefault="003F7B9F" w:rsidP="00A35EAF">
      <w:pPr>
        <w:pStyle w:val="BodyText"/>
      </w:pPr>
      <w:r w:rsidRPr="00A950EF">
        <w:t>Axle sensors, loops, and road tubes that detect the presence of vehicles should be placed</w:t>
      </w:r>
      <w:r w:rsidR="00F04DAD">
        <w:t>—</w:t>
      </w:r>
      <w:r w:rsidRPr="00A950EF">
        <w:t>and loop sensitivities set</w:t>
      </w:r>
      <w:r w:rsidR="00F04DAD">
        <w:t>—</w:t>
      </w:r>
      <w:r w:rsidRPr="00A950EF">
        <w:t>in the travel way of motorcycles to assure their detection. Sensors that detect vehicles over the width of a lane are preferable to those that are partial lane.</w:t>
      </w:r>
    </w:p>
    <w:p w14:paraId="77B25E30" w14:textId="77777777" w:rsidR="003F7B9F" w:rsidRDefault="003F7B9F" w:rsidP="00A35EAF">
      <w:pPr>
        <w:pStyle w:val="BodyText"/>
      </w:pPr>
      <w:r w:rsidRPr="00A950EF">
        <w:rPr>
          <w:spacing w:val="-6"/>
        </w:rPr>
        <w:t xml:space="preserve">All vehicle classes are important; no vehicle class should be shortchanged. It is the responsibility of each agency </w:t>
      </w:r>
      <w:r w:rsidRPr="00A950EF">
        <w:t>to make the best decision as to the types of automatic vehicle classifiers to purchase, install, calibrate, and maintain so that their classification (both axle and/or length) data accurately represent</w:t>
      </w:r>
      <w:r>
        <w:t xml:space="preserve"> travel and </w:t>
      </w:r>
      <w:r w:rsidRPr="00A950EF">
        <w:t>traffic conditions.</w:t>
      </w:r>
    </w:p>
    <w:p w14:paraId="10D4504D" w14:textId="0E2B7C5F" w:rsidR="003F7B9F" w:rsidRPr="001546EF" w:rsidRDefault="003F7B9F">
      <w:pPr>
        <w:pStyle w:val="Heading2"/>
      </w:pPr>
      <w:bookmarkStart w:id="2738" w:name="_Toc349905077"/>
      <w:bookmarkStart w:id="2739" w:name="_Toc363656125"/>
      <w:bookmarkStart w:id="2740" w:name="_Toc450638915"/>
      <w:bookmarkStart w:id="2741" w:name="_Toc45604671"/>
      <w:bookmarkStart w:id="2742" w:name="_Toc68190258"/>
      <w:bookmarkStart w:id="2743" w:name="_Toc68864950"/>
      <w:bookmarkStart w:id="2744" w:name="_Toc114474736"/>
      <w:bookmarkStart w:id="2745" w:name="_Toc118205678"/>
      <w:r w:rsidRPr="001546EF">
        <w:lastRenderedPageBreak/>
        <w:t>Quality Assurance – Starts with The Data Quality Act Requirements</w:t>
      </w:r>
      <w:bookmarkEnd w:id="2738"/>
      <w:bookmarkEnd w:id="2739"/>
      <w:bookmarkEnd w:id="2740"/>
      <w:bookmarkEnd w:id="2741"/>
      <w:bookmarkEnd w:id="2742"/>
      <w:bookmarkEnd w:id="2743"/>
      <w:bookmarkEnd w:id="2744"/>
      <w:bookmarkEnd w:id="2745"/>
    </w:p>
    <w:p w14:paraId="3C194D00" w14:textId="77777777" w:rsidR="003F7B9F" w:rsidRPr="00444261" w:rsidRDefault="003F7B9F" w:rsidP="00A35EAF">
      <w:pPr>
        <w:pStyle w:val="BodyText"/>
      </w:pPr>
      <w:r w:rsidRPr="00444261">
        <w:t xml:space="preserve">Data quality assurance processes are a critical component of any well-designed traffic monitoring program. The </w:t>
      </w:r>
      <w:r w:rsidRPr="005E416B">
        <w:rPr>
          <w:i/>
          <w:iCs/>
        </w:rPr>
        <w:t>TMG</w:t>
      </w:r>
      <w:r w:rsidRPr="00444261">
        <w:t xml:space="preserve"> recommends that each agency improve the quality of reported traffic data by establishing quality assurance processes for traffic data collection and processing. Each highway agency should have formal, documented rules and procedures for their quality control efforts. </w:t>
      </w:r>
    </w:p>
    <w:p w14:paraId="31ABC73A" w14:textId="64EC749A" w:rsidR="003F7B9F" w:rsidRPr="00444261" w:rsidRDefault="003F7B9F" w:rsidP="00A35EAF">
      <w:pPr>
        <w:pStyle w:val="BodyText"/>
      </w:pPr>
      <w:r w:rsidRPr="00444261">
        <w:t xml:space="preserve">The Data Quality Act (DQA) directs the </w:t>
      </w:r>
      <w:hyperlink r:id="rId151" w:history="1">
        <w:r w:rsidRPr="00444261">
          <w:t>Office of Management and Budget</w:t>
        </w:r>
      </w:hyperlink>
      <w:r w:rsidRPr="00444261">
        <w:t xml:space="preserve"> (OMB) to issue government-wide guidelines that provide policy and procedural guidance to Federal agencies for ensuring and maximizing the quality, objectivity, utility, and integrity of information (including statistical information) disseminated by Federal agencies.</w:t>
      </w:r>
    </w:p>
    <w:p w14:paraId="2606C7D3" w14:textId="77777777" w:rsidR="003F7B9F" w:rsidRPr="00444261" w:rsidRDefault="003F7B9F" w:rsidP="00A35EAF">
      <w:pPr>
        <w:pStyle w:val="BodyText"/>
      </w:pPr>
      <w:r w:rsidRPr="00444261">
        <w:t>A comprehensive and quality documented process will also assist in a smooth succession when there is turnover in staff.</w:t>
      </w:r>
    </w:p>
    <w:p w14:paraId="6D2CB5A1" w14:textId="77777777" w:rsidR="003F7B9F" w:rsidRPr="00444261" w:rsidRDefault="003F7B9F" w:rsidP="00A35EAF">
      <w:pPr>
        <w:pStyle w:val="BodyText"/>
      </w:pPr>
      <w:r w:rsidRPr="00444261">
        <w:t>FHWA recommends traffic monitoring programs consider the following seven data quality principles:</w:t>
      </w:r>
    </w:p>
    <w:p w14:paraId="6740C25E" w14:textId="53CF875F" w:rsidR="003F7B9F" w:rsidRDefault="003F7B9F" w:rsidP="00031749">
      <w:pPr>
        <w:pStyle w:val="ListParagraph"/>
        <w:numPr>
          <w:ilvl w:val="1"/>
          <w:numId w:val="40"/>
        </w:numPr>
        <w:tabs>
          <w:tab w:val="left" w:pos="180"/>
        </w:tabs>
        <w:spacing w:after="120"/>
        <w:ind w:left="576" w:hanging="288"/>
        <w:jc w:val="left"/>
      </w:pPr>
      <w:r>
        <w:t>Data quality is more than correcting data</w:t>
      </w:r>
      <w:r w:rsidR="00F04DAD">
        <w:t>.</w:t>
      </w:r>
    </w:p>
    <w:p w14:paraId="3A6D8B1B" w14:textId="2F3516D6" w:rsidR="003F7B9F" w:rsidRDefault="003F7B9F" w:rsidP="00031749">
      <w:pPr>
        <w:pStyle w:val="ListParagraph"/>
        <w:numPr>
          <w:ilvl w:val="1"/>
          <w:numId w:val="40"/>
        </w:numPr>
        <w:tabs>
          <w:tab w:val="left" w:pos="180"/>
        </w:tabs>
        <w:spacing w:after="120"/>
        <w:ind w:left="576" w:hanging="288"/>
        <w:jc w:val="left"/>
      </w:pPr>
      <w:r>
        <w:t>Data assessment identifies process improvements</w:t>
      </w:r>
      <w:r w:rsidR="00F04DAD">
        <w:t>.</w:t>
      </w:r>
    </w:p>
    <w:p w14:paraId="177E676C" w14:textId="59103FF4" w:rsidR="003F7B9F" w:rsidRDefault="003F7B9F" w:rsidP="00031749">
      <w:pPr>
        <w:pStyle w:val="ListParagraph"/>
        <w:numPr>
          <w:ilvl w:val="1"/>
          <w:numId w:val="40"/>
        </w:numPr>
        <w:tabs>
          <w:tab w:val="left" w:pos="180"/>
        </w:tabs>
        <w:spacing w:after="120"/>
        <w:ind w:left="576" w:hanging="288"/>
        <w:jc w:val="left"/>
      </w:pPr>
      <w:r>
        <w:t>Quality control process checks for valid data, not necessarily accurate data</w:t>
      </w:r>
      <w:r w:rsidR="00F04DAD">
        <w:t>.</w:t>
      </w:r>
    </w:p>
    <w:p w14:paraId="67526130" w14:textId="1CAD0E0E" w:rsidR="003F7B9F" w:rsidRDefault="003F7B9F" w:rsidP="00031749">
      <w:pPr>
        <w:pStyle w:val="ListParagraph"/>
        <w:numPr>
          <w:ilvl w:val="1"/>
          <w:numId w:val="40"/>
        </w:numPr>
        <w:tabs>
          <w:tab w:val="left" w:pos="180"/>
        </w:tabs>
        <w:spacing w:after="120"/>
        <w:ind w:left="576" w:hanging="288"/>
        <w:jc w:val="left"/>
      </w:pPr>
      <w:r>
        <w:t>Data need to be useful, not just accurate</w:t>
      </w:r>
      <w:r w:rsidR="00F04DAD">
        <w:t>.</w:t>
      </w:r>
    </w:p>
    <w:p w14:paraId="5E676F2A" w14:textId="002F5813" w:rsidR="003F7B9F" w:rsidRDefault="003F7B9F" w:rsidP="00031749">
      <w:pPr>
        <w:pStyle w:val="ListParagraph"/>
        <w:numPr>
          <w:ilvl w:val="1"/>
          <w:numId w:val="40"/>
        </w:numPr>
        <w:tabs>
          <w:tab w:val="left" w:pos="180"/>
        </w:tabs>
        <w:spacing w:after="120"/>
        <w:ind w:left="576" w:hanging="288"/>
        <w:jc w:val="left"/>
      </w:pPr>
      <w:r>
        <w:t>Quality problems are not (necessarily) caused by people</w:t>
      </w:r>
      <w:r w:rsidR="00F04DAD">
        <w:t>.</w:t>
      </w:r>
    </w:p>
    <w:p w14:paraId="41207A58" w14:textId="6DB32711" w:rsidR="003F7B9F" w:rsidRDefault="003F7B9F" w:rsidP="00031749">
      <w:pPr>
        <w:pStyle w:val="ListParagraph"/>
        <w:numPr>
          <w:ilvl w:val="1"/>
          <w:numId w:val="40"/>
        </w:numPr>
        <w:tabs>
          <w:tab w:val="left" w:pos="180"/>
        </w:tabs>
        <w:spacing w:after="120"/>
        <w:ind w:left="576" w:hanging="288"/>
        <w:jc w:val="left"/>
      </w:pPr>
      <w:r>
        <w:t>Inserted non-quality data does not improve quality</w:t>
      </w:r>
      <w:r w:rsidR="00F04DAD">
        <w:t>.</w:t>
      </w:r>
    </w:p>
    <w:p w14:paraId="160264E1" w14:textId="1911EE58" w:rsidR="003F7B9F" w:rsidRPr="00CA5338" w:rsidRDefault="003F7B9F" w:rsidP="00031749">
      <w:pPr>
        <w:pStyle w:val="ListParagraph"/>
        <w:numPr>
          <w:ilvl w:val="1"/>
          <w:numId w:val="40"/>
        </w:numPr>
        <w:tabs>
          <w:tab w:val="left" w:pos="180"/>
        </w:tabs>
        <w:spacing w:after="120"/>
        <w:ind w:left="576" w:hanging="288"/>
        <w:jc w:val="left"/>
      </w:pPr>
      <w:r>
        <w:t>Recounts and poor decisions are more costly than ensuring initial data quality</w:t>
      </w:r>
      <w:r w:rsidR="00F04DAD">
        <w:t>.</w:t>
      </w:r>
    </w:p>
    <w:p w14:paraId="2AF9C0DC" w14:textId="03071B64" w:rsidR="00831FAC" w:rsidRPr="00640991" w:rsidRDefault="00831FAC" w:rsidP="005E416B">
      <w:pPr>
        <w:tabs>
          <w:tab w:val="left" w:pos="180"/>
        </w:tabs>
        <w:spacing w:before="80" w:line="240" w:lineRule="atLeast"/>
        <w:jc w:val="left"/>
      </w:pPr>
      <w:bookmarkStart w:id="2746" w:name="s4"/>
      <w:bookmarkEnd w:id="2746"/>
      <w:r>
        <w:t xml:space="preserve">Appendix </w:t>
      </w:r>
      <w:r w:rsidR="00F35F84">
        <w:t>C</w:t>
      </w:r>
      <w:r>
        <w:t xml:space="preserve"> provides </w:t>
      </w:r>
      <w:r w:rsidR="00F35F84">
        <w:t xml:space="preserve">a </w:t>
      </w:r>
      <w:r>
        <w:t xml:space="preserve">compendium of </w:t>
      </w:r>
      <w:r w:rsidR="00F35F84">
        <w:t xml:space="preserve">data quality control criteria for </w:t>
      </w:r>
      <w:r w:rsidR="00F04DAD">
        <w:t>S</w:t>
      </w:r>
      <w:r>
        <w:t xml:space="preserve">tate highway </w:t>
      </w:r>
      <w:r w:rsidR="00F04DAD">
        <w:t xml:space="preserve">agency </w:t>
      </w:r>
      <w:r w:rsidR="00F35F84">
        <w:t>implementation.</w:t>
      </w:r>
    </w:p>
    <w:p w14:paraId="3EB54344" w14:textId="1B221B46" w:rsidR="00831FAC" w:rsidRDefault="00831FAC" w:rsidP="007C37F7">
      <w:pPr>
        <w:pStyle w:val="IndexText"/>
        <w:sectPr w:rsidR="00831FAC" w:rsidSect="003B0722">
          <w:headerReference w:type="even" r:id="rId152"/>
          <w:headerReference w:type="default" r:id="rId153"/>
          <w:footerReference w:type="default" r:id="rId154"/>
          <w:footerReference w:type="first" r:id="rId155"/>
          <w:pgSz w:w="12240" w:h="15840" w:code="1"/>
          <w:pgMar w:top="1440" w:right="1440" w:bottom="1152" w:left="1440" w:header="720" w:footer="576" w:gutter="0"/>
          <w:pgNumType w:start="1" w:chapStyle="1"/>
          <w:cols w:space="720"/>
          <w:titlePg/>
          <w:docGrid w:linePitch="360"/>
        </w:sectPr>
      </w:pPr>
    </w:p>
    <w:p w14:paraId="6C26B238" w14:textId="121234C2" w:rsidR="009B7AED" w:rsidRPr="004C0E95" w:rsidRDefault="009B7AED">
      <w:pPr>
        <w:pStyle w:val="Heading1"/>
      </w:pPr>
      <w:bookmarkStart w:id="2747" w:name="_Toc109301265"/>
      <w:bookmarkStart w:id="2748" w:name="_Toc68864951"/>
      <w:bookmarkStart w:id="2749" w:name="_Toc63976735"/>
      <w:bookmarkStart w:id="2750" w:name="_Toc450638941"/>
      <w:bookmarkStart w:id="2751" w:name="_Toc363656150"/>
      <w:bookmarkStart w:id="2752" w:name="_Toc335642243"/>
      <w:bookmarkStart w:id="2753" w:name="_Toc349905102"/>
      <w:bookmarkStart w:id="2754" w:name="_Toc109332998"/>
      <w:bookmarkStart w:id="2755" w:name="_Toc109333591"/>
      <w:bookmarkStart w:id="2756" w:name="_Toc113281091"/>
      <w:bookmarkStart w:id="2757" w:name="_Toc114474737"/>
      <w:bookmarkStart w:id="2758" w:name="_Toc114485835"/>
      <w:bookmarkStart w:id="2759" w:name="_Toc114488086"/>
      <w:bookmarkStart w:id="2760" w:name="_Toc118205679"/>
      <w:bookmarkStart w:id="2761" w:name="_Toc349905080"/>
      <w:bookmarkStart w:id="2762" w:name="_Toc304560456"/>
      <w:bookmarkStart w:id="2763" w:name="_Toc324246124"/>
      <w:bookmarkStart w:id="2764" w:name="_Toc324780147"/>
      <w:bookmarkStart w:id="2765" w:name="_Toc335302432"/>
      <w:bookmarkStart w:id="2766" w:name="_Toc363656128"/>
      <w:bookmarkStart w:id="2767" w:name="_Toc450638918"/>
      <w:r w:rsidRPr="004C0E95">
        <w:lastRenderedPageBreak/>
        <w:t>Traffic Monitoring Data Formats</w:t>
      </w:r>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p>
    <w:p w14:paraId="238FFDC4" w14:textId="77777777" w:rsidR="009B7AED" w:rsidRPr="001546EF" w:rsidRDefault="009B7AED">
      <w:pPr>
        <w:pStyle w:val="Heading2"/>
      </w:pPr>
      <w:bookmarkStart w:id="2768" w:name="_Toc349905103"/>
      <w:bookmarkStart w:id="2769" w:name="_Toc335642244"/>
      <w:bookmarkStart w:id="2770" w:name="_Toc363656151"/>
      <w:bookmarkStart w:id="2771" w:name="_Toc450638942"/>
      <w:bookmarkStart w:id="2772" w:name="_Toc63976736"/>
      <w:bookmarkStart w:id="2773" w:name="_Toc68864952"/>
      <w:bookmarkStart w:id="2774" w:name="_Toc109301266"/>
      <w:bookmarkStart w:id="2775" w:name="_Toc109332999"/>
      <w:bookmarkStart w:id="2776" w:name="_Toc109333592"/>
      <w:bookmarkStart w:id="2777" w:name="_Toc113281092"/>
      <w:bookmarkStart w:id="2778" w:name="_Toc114474738"/>
      <w:bookmarkStart w:id="2779" w:name="_Toc118205680"/>
      <w:r w:rsidRPr="001546EF">
        <w:t>Introduction</w:t>
      </w:r>
      <w:bookmarkEnd w:id="2768"/>
      <w:bookmarkEnd w:id="2769"/>
      <w:bookmarkEnd w:id="2770"/>
      <w:bookmarkEnd w:id="2771"/>
      <w:bookmarkEnd w:id="2772"/>
      <w:bookmarkEnd w:id="2773"/>
      <w:bookmarkEnd w:id="2774"/>
      <w:bookmarkEnd w:id="2775"/>
      <w:bookmarkEnd w:id="2776"/>
      <w:bookmarkEnd w:id="2777"/>
      <w:bookmarkEnd w:id="2778"/>
      <w:bookmarkEnd w:id="2779"/>
    </w:p>
    <w:p w14:paraId="6606FF93" w14:textId="6731FA37" w:rsidR="009B7AED" w:rsidRDefault="009B7AED" w:rsidP="00A35EAF">
      <w:pPr>
        <w:pStyle w:val="BodyText"/>
      </w:pPr>
      <w:r>
        <w:t>This chapter provides coding instructions and detailed record formats for the traffic data to be reported to FHWA as part of each State’s traffic monitoring program. ASCII text files are used for both the historical fixed-width column format and the new pipe-delimited format.</w:t>
      </w:r>
      <w:r w:rsidR="004D4172">
        <w:t xml:space="preserve"> </w:t>
      </w:r>
    </w:p>
    <w:p w14:paraId="35878D29" w14:textId="77777777" w:rsidR="009B7AED" w:rsidRDefault="009B7AED" w:rsidP="00941716">
      <w:pPr>
        <w:pStyle w:val="BodyText"/>
        <w:spacing w:after="60"/>
      </w:pPr>
      <w:r>
        <w:t>Data formats are provided for two types of data:</w:t>
      </w:r>
    </w:p>
    <w:p w14:paraId="2C3F20CF" w14:textId="77777777" w:rsidR="009B7AED" w:rsidRDefault="009B7AED">
      <w:pPr>
        <w:pStyle w:val="TMGBullet"/>
      </w:pPr>
      <w:r w:rsidRPr="007C249F">
        <w:rPr>
          <w:b/>
          <w:bCs/>
        </w:rPr>
        <w:t>Motorized</w:t>
      </w:r>
      <w:r>
        <w:t xml:space="preserve"> data include station description, traffic volume, vehicle speed, vehicle classification, weight, and Individual Vehicle Record (IVR) data. </w:t>
      </w:r>
    </w:p>
    <w:p w14:paraId="0CDA608C" w14:textId="77777777" w:rsidR="009B7AED" w:rsidRDefault="009B7AED">
      <w:pPr>
        <w:pStyle w:val="TMGBullet"/>
      </w:pPr>
      <w:r w:rsidRPr="007C249F">
        <w:rPr>
          <w:b/>
          <w:bCs/>
        </w:rPr>
        <w:t xml:space="preserve">Micromobility </w:t>
      </w:r>
      <w:r>
        <w:t>data include count station description and count data.</w:t>
      </w:r>
    </w:p>
    <w:p w14:paraId="30B688F1" w14:textId="77777777" w:rsidR="009B7AED" w:rsidRDefault="009B7AED" w:rsidP="00A35EAF">
      <w:pPr>
        <w:pStyle w:val="BodyText"/>
      </w:pPr>
      <w:r>
        <w:t>With the exception of motorized station data, traffic monitoring data can be submitted to FHWA’s Travel Monitoring Analysis System (TMAS) using the historical fixed-width column formats. Motorized station data must be submitted using the new pipe-delimited format.</w:t>
      </w:r>
    </w:p>
    <w:p w14:paraId="65B05439" w14:textId="618FDE65" w:rsidR="009B7AED" w:rsidRPr="00877387" w:rsidRDefault="009B7AED" w:rsidP="00A35EAF">
      <w:pPr>
        <w:pStyle w:val="BodyText"/>
      </w:pPr>
      <w:r>
        <w:rPr>
          <w:rStyle w:val="Bold"/>
        </w:rPr>
        <w:t xml:space="preserve">Starting with the release of this version of the </w:t>
      </w:r>
      <w:r w:rsidRPr="00F32768">
        <w:rPr>
          <w:rStyle w:val="Bold"/>
          <w:i/>
          <w:iCs/>
        </w:rPr>
        <w:t>Traffic Monitoring Guide</w:t>
      </w:r>
      <w:r>
        <w:rPr>
          <w:rStyle w:val="Bold"/>
          <w:i/>
          <w:iCs/>
        </w:rPr>
        <w:t>,</w:t>
      </w:r>
      <w:r>
        <w:rPr>
          <w:rStyle w:val="Bold"/>
        </w:rPr>
        <w:t xml:space="preserve"> State and local agencies will also have the option to submit all traffic data using a pipe-delimited format by following the new specifications outlined in this chapter. For the pipe-delimited format, TMAS uses the pipe “|” character. </w:t>
      </w:r>
      <w:r>
        <w:t>State highway agencies can submit the traffic data using the fixed-width or pipe-delimited format but not both in one file.</w:t>
      </w:r>
    </w:p>
    <w:p w14:paraId="389C0445" w14:textId="77777777" w:rsidR="009B7AED" w:rsidRDefault="009B7AED" w:rsidP="00A35EAF">
      <w:pPr>
        <w:pStyle w:val="BodyText"/>
      </w:pPr>
      <w:r>
        <w:t xml:space="preserve">Fields for the fixed-width column format include instructions to “blank fill” or “zero fill” those fields. This means that either leading blanks or zeros, starting at the left of the field, are to be used when the value in the field is shorter than the fixed width of that field. For example, if a field is five characters wide, and the data value is 250, then a blank-filled representation for this field is _ _ 250 and a zero-filled representation for this field is 00250. </w:t>
      </w:r>
    </w:p>
    <w:p w14:paraId="545CA4AE" w14:textId="77777777" w:rsidR="009B7AED" w:rsidRPr="006348CE" w:rsidRDefault="009B7AED" w:rsidP="00A119E0">
      <w:pPr>
        <w:pStyle w:val="CallOut"/>
      </w:pPr>
      <w:r w:rsidRPr="006348CE">
        <w:t xml:space="preserve">Blank Fill or Zero Fill is </w:t>
      </w:r>
      <w:r>
        <w:t>not</w:t>
      </w:r>
      <w:r w:rsidRPr="006348CE">
        <w:t xml:space="preserve"> required for</w:t>
      </w:r>
      <w:r>
        <w:t xml:space="preserve"> fields in the</w:t>
      </w:r>
      <w:r w:rsidRPr="006348CE">
        <w:t xml:space="preserve"> pipe</w:t>
      </w:r>
      <w:r>
        <w:t>-</w:t>
      </w:r>
      <w:r w:rsidRPr="006348CE">
        <w:t xml:space="preserve">delimited </w:t>
      </w:r>
      <w:r>
        <w:t>format</w:t>
      </w:r>
      <w:r w:rsidRPr="006348CE">
        <w:t>.</w:t>
      </w:r>
    </w:p>
    <w:p w14:paraId="01268A58" w14:textId="77777777" w:rsidR="009B7AED" w:rsidRDefault="009B7AED" w:rsidP="00A35EAF">
      <w:pPr>
        <w:pStyle w:val="BodyText"/>
      </w:pPr>
      <w:r>
        <w:t xml:space="preserve">Each data record type includes many data elements. These data elements are classified as </w:t>
      </w:r>
      <w:r>
        <w:rPr>
          <w:rStyle w:val="Bold"/>
        </w:rPr>
        <w:t>Required, Optional, or Required/Optional.</w:t>
      </w:r>
      <w:r>
        <w:t xml:space="preserve"> </w:t>
      </w:r>
      <w:bookmarkStart w:id="2780" w:name="_Hlk117250703"/>
      <w:r>
        <w:t xml:space="preserve">A designation of Required means that a record cannot be processed by the TMAS software without these fields being supplied. </w:t>
      </w:r>
      <w:bookmarkEnd w:id="2780"/>
      <w:r>
        <w:t xml:space="preserve">An Optional designation indicates that the data are not required for the record to be processed by TMAS. Fields designated as </w:t>
      </w:r>
      <w:r>
        <w:rPr>
          <w:rStyle w:val="Italic"/>
          <w:i w:val="0"/>
          <w:iCs/>
        </w:rPr>
        <w:t>Required</w:t>
      </w:r>
      <w:r w:rsidRPr="00257A6C">
        <w:rPr>
          <w:rStyle w:val="Italic"/>
          <w:i w:val="0"/>
          <w:iCs/>
        </w:rPr>
        <w:t>/Optional</w:t>
      </w:r>
      <w:r>
        <w:t xml:space="preserve"> could be either Required or Optional based on values used for other related fields.</w:t>
      </w:r>
      <w:r w:rsidRPr="00257A6C">
        <w:rPr>
          <w:rStyle w:val="Bold"/>
        </w:rPr>
        <w:t xml:space="preserve"> </w:t>
      </w:r>
      <w:r>
        <w:rPr>
          <w:rStyle w:val="Bold"/>
        </w:rPr>
        <w:t xml:space="preserve">Also, note that data reporting requirements described in the </w:t>
      </w:r>
      <w:r w:rsidRPr="00D607A2">
        <w:rPr>
          <w:rStyle w:val="Bold"/>
          <w:iCs/>
        </w:rPr>
        <w:t>TMG</w:t>
      </w:r>
      <w:r w:rsidRPr="0059276E">
        <w:rPr>
          <w:rStyle w:val="Bold"/>
          <w:iCs/>
        </w:rPr>
        <w:t xml:space="preserve"> </w:t>
      </w:r>
      <w:r>
        <w:rPr>
          <w:rStyle w:val="Bold"/>
        </w:rPr>
        <w:t xml:space="preserve">are in English units (e.g., </w:t>
      </w:r>
      <w:r>
        <w:t>p</w:t>
      </w:r>
      <w:r w:rsidRPr="00877387">
        <w:t xml:space="preserve">ounds for weight, </w:t>
      </w:r>
      <w:r>
        <w:t xml:space="preserve">tenths of </w:t>
      </w:r>
      <w:r w:rsidRPr="00877387">
        <w:t xml:space="preserve">feet for distance, </w:t>
      </w:r>
      <w:r>
        <w:t xml:space="preserve">tenths of </w:t>
      </w:r>
      <w:r w:rsidRPr="00877387">
        <w:t>miles per hour for speed, and degrees Fahrenheit for temperature)</w:t>
      </w:r>
      <w:r>
        <w:rPr>
          <w:rStyle w:val="Bold"/>
        </w:rPr>
        <w:t>, not SI (i.e., metric) units</w:t>
      </w:r>
      <w:r>
        <w:t>.</w:t>
      </w:r>
    </w:p>
    <w:p w14:paraId="3E96115C" w14:textId="77777777" w:rsidR="009B7AED" w:rsidRPr="001546EF" w:rsidRDefault="009B7AED">
      <w:pPr>
        <w:pStyle w:val="Heading3"/>
      </w:pPr>
      <w:bookmarkStart w:id="2781" w:name="_Toc109301269"/>
      <w:bookmarkStart w:id="2782" w:name="_Toc109333001"/>
      <w:bookmarkStart w:id="2783" w:name="_Toc109333594"/>
      <w:bookmarkStart w:id="2784" w:name="_Toc113281093"/>
      <w:bookmarkStart w:id="2785" w:name="_Toc118205681"/>
      <w:bookmarkStart w:id="2786" w:name="_Toc335642245"/>
      <w:bookmarkStart w:id="2787" w:name="_Toc63976737"/>
      <w:bookmarkStart w:id="2788" w:name="_Toc109301267"/>
      <w:r>
        <w:t>Data Submission Frequency</w:t>
      </w:r>
      <w:bookmarkEnd w:id="2781"/>
      <w:bookmarkEnd w:id="2782"/>
      <w:bookmarkEnd w:id="2783"/>
      <w:bookmarkEnd w:id="2784"/>
      <w:bookmarkEnd w:id="2785"/>
    </w:p>
    <w:p w14:paraId="1E24C387" w14:textId="41ABED91" w:rsidR="009B7AED" w:rsidRDefault="00464453" w:rsidP="00A35EAF">
      <w:pPr>
        <w:pStyle w:val="BodyText"/>
      </w:pPr>
      <w:r>
        <w:fldChar w:fldCharType="begin"/>
      </w:r>
      <w:r>
        <w:instrText xml:space="preserve"> REF _Ref111022213 </w:instrText>
      </w:r>
      <w:r>
        <w:fldChar w:fldCharType="separate"/>
      </w:r>
      <w:r w:rsidR="00C07DF9">
        <w:t xml:space="preserve">Table </w:t>
      </w:r>
      <w:r w:rsidR="00C07DF9">
        <w:rPr>
          <w:noProof/>
        </w:rPr>
        <w:t>4</w:t>
      </w:r>
      <w:r w:rsidR="00C07DF9">
        <w:noBreakHyphen/>
      </w:r>
      <w:r w:rsidR="00C07DF9">
        <w:rPr>
          <w:noProof/>
        </w:rPr>
        <w:t>1</w:t>
      </w:r>
      <w:r>
        <w:rPr>
          <w:noProof/>
        </w:rPr>
        <w:fldChar w:fldCharType="end"/>
      </w:r>
      <w:r w:rsidR="009B7AED">
        <w:t xml:space="preserve"> provides the recommended data submittal frequency to FHWA. This frequency applies regardless of whether files being submitted are fixed-width or pipe-delimited formats.</w:t>
      </w:r>
    </w:p>
    <w:p w14:paraId="26700348" w14:textId="2CEEB54F" w:rsidR="009B7AED" w:rsidRDefault="009B7AED" w:rsidP="000F2A7A">
      <w:pPr>
        <w:pStyle w:val="TMGTableCaption"/>
      </w:pPr>
      <w:bookmarkStart w:id="2789" w:name="_Ref111022213"/>
      <w:bookmarkStart w:id="2790" w:name="_Toc113282506"/>
      <w:bookmarkStart w:id="2791" w:name="_Toc114474843"/>
      <w:bookmarkStart w:id="2792" w:name="_Toc120631149"/>
      <w:r>
        <w:t xml:space="preserve">Table </w:t>
      </w:r>
      <w:fldSimple w:instr=" STYLEREF 1 \s ">
        <w:r w:rsidR="00C07DF9">
          <w:rPr>
            <w:noProof/>
          </w:rPr>
          <w:t>4</w:t>
        </w:r>
      </w:fldSimple>
      <w:r>
        <w:noBreakHyphen/>
      </w:r>
      <w:fldSimple w:instr=" SEQ Table \* ARABIC \s 1 ">
        <w:r w:rsidR="00C07DF9">
          <w:rPr>
            <w:noProof/>
          </w:rPr>
          <w:t>1</w:t>
        </w:r>
      </w:fldSimple>
      <w:bookmarkEnd w:id="2789"/>
      <w:r w:rsidR="00627DD7">
        <w:t>.</w:t>
      </w:r>
      <w:r>
        <w:t xml:space="preserve"> </w:t>
      </w:r>
      <w:r w:rsidRPr="00573ABF">
        <w:t>Data Submission Frequency</w:t>
      </w:r>
      <w:bookmarkEnd w:id="2790"/>
      <w:bookmarkEnd w:id="2791"/>
      <w:bookmarkEnd w:id="2792"/>
    </w:p>
    <w:tbl>
      <w:tblPr>
        <w:tblStyle w:val="TableGrid"/>
        <w:tblW w:w="9360" w:type="dxa"/>
        <w:jc w:val="center"/>
        <w:tblCellMar>
          <w:left w:w="86" w:type="dxa"/>
          <w:right w:w="86" w:type="dxa"/>
        </w:tblCellMar>
        <w:tblLook w:val="04A0" w:firstRow="1" w:lastRow="0" w:firstColumn="1" w:lastColumn="0" w:noHBand="0" w:noVBand="1"/>
      </w:tblPr>
      <w:tblGrid>
        <w:gridCol w:w="2515"/>
        <w:gridCol w:w="6845"/>
      </w:tblGrid>
      <w:tr w:rsidR="00031749" w14:paraId="37C5CE92" w14:textId="77777777" w:rsidTr="00376C44">
        <w:trPr>
          <w:jc w:val="center"/>
        </w:trPr>
        <w:tc>
          <w:tcPr>
            <w:tcW w:w="2515" w:type="dxa"/>
            <w:tcBorders>
              <w:right w:val="single" w:sz="4" w:space="0" w:color="FFFFFF" w:themeColor="background1"/>
            </w:tcBorders>
            <w:shd w:val="clear" w:color="auto" w:fill="1F3864"/>
          </w:tcPr>
          <w:p w14:paraId="166BCB47" w14:textId="38EE7DA7" w:rsidR="00031749" w:rsidRDefault="00031749" w:rsidP="0017389B">
            <w:pPr>
              <w:pStyle w:val="TMGTableTextHeader"/>
            </w:pPr>
            <w:r w:rsidRPr="0051590D">
              <w:rPr>
                <w:rFonts w:eastAsiaTheme="minorEastAsia"/>
              </w:rPr>
              <w:t>Data Type</w:t>
            </w:r>
          </w:p>
        </w:tc>
        <w:tc>
          <w:tcPr>
            <w:tcW w:w="6845" w:type="dxa"/>
            <w:tcBorders>
              <w:left w:val="single" w:sz="4" w:space="0" w:color="FFFFFF" w:themeColor="background1"/>
            </w:tcBorders>
            <w:shd w:val="clear" w:color="auto" w:fill="1F3864"/>
          </w:tcPr>
          <w:p w14:paraId="225BD34C" w14:textId="30573607" w:rsidR="00031749" w:rsidRDefault="00031749" w:rsidP="0017389B">
            <w:pPr>
              <w:pStyle w:val="TMGTableTextHeader"/>
            </w:pPr>
            <w:r w:rsidRPr="0051590D">
              <w:rPr>
                <w:rFonts w:eastAsiaTheme="minorEastAsia"/>
              </w:rPr>
              <w:t>Submittal Frequency</w:t>
            </w:r>
          </w:p>
        </w:tc>
      </w:tr>
      <w:tr w:rsidR="00031749" w14:paraId="1D75D753" w14:textId="77777777" w:rsidTr="006428F4">
        <w:trPr>
          <w:jc w:val="center"/>
        </w:trPr>
        <w:tc>
          <w:tcPr>
            <w:tcW w:w="2515" w:type="dxa"/>
            <w:vAlign w:val="center"/>
          </w:tcPr>
          <w:p w14:paraId="3A928737" w14:textId="7F5E0BB1" w:rsidR="00031749" w:rsidRPr="00031749" w:rsidRDefault="00031749" w:rsidP="006428F4">
            <w:pPr>
              <w:pStyle w:val="TMGTableText"/>
            </w:pPr>
            <w:r w:rsidRPr="00031749">
              <w:t>Station Description Data</w:t>
            </w:r>
          </w:p>
        </w:tc>
        <w:tc>
          <w:tcPr>
            <w:tcW w:w="6845" w:type="dxa"/>
            <w:vAlign w:val="center"/>
          </w:tcPr>
          <w:p w14:paraId="49B0C4AC" w14:textId="55F39024" w:rsidR="00031749" w:rsidRPr="00C251E9" w:rsidRDefault="00031749" w:rsidP="006428F4">
            <w:pPr>
              <w:pStyle w:val="TMGTableText"/>
            </w:pPr>
            <w:r w:rsidRPr="0051590D">
              <w:t>Annually, or when a change occurs</w:t>
            </w:r>
          </w:p>
        </w:tc>
      </w:tr>
      <w:tr w:rsidR="00031749" w14:paraId="53A3EAB5" w14:textId="77777777" w:rsidTr="006428F4">
        <w:trPr>
          <w:jc w:val="center"/>
        </w:trPr>
        <w:tc>
          <w:tcPr>
            <w:tcW w:w="2515" w:type="dxa"/>
            <w:vAlign w:val="center"/>
          </w:tcPr>
          <w:p w14:paraId="266BD366" w14:textId="7BEDA53E" w:rsidR="00031749" w:rsidRPr="00031749" w:rsidRDefault="00031749" w:rsidP="006428F4">
            <w:pPr>
              <w:pStyle w:val="TMGTableText"/>
            </w:pPr>
            <w:r w:rsidRPr="00031749">
              <w:t>Traffic Volume Data</w:t>
            </w:r>
          </w:p>
        </w:tc>
        <w:tc>
          <w:tcPr>
            <w:tcW w:w="6845" w:type="dxa"/>
            <w:vAlign w:val="center"/>
          </w:tcPr>
          <w:p w14:paraId="1199C840" w14:textId="1ACD9EFE" w:rsidR="00031749" w:rsidRPr="00C251E9" w:rsidRDefault="00031749" w:rsidP="006428F4">
            <w:pPr>
              <w:pStyle w:val="TMGTableText"/>
            </w:pPr>
            <w:r w:rsidRPr="0051590D">
              <w:t xml:space="preserve">Monthly, by 25 days after close of the month for which the data </w:t>
            </w:r>
            <w:r>
              <w:t>were</w:t>
            </w:r>
            <w:r w:rsidRPr="0051590D">
              <w:t xml:space="preserve"> collected</w:t>
            </w:r>
          </w:p>
        </w:tc>
      </w:tr>
      <w:tr w:rsidR="00031749" w14:paraId="6B392F4C" w14:textId="77777777" w:rsidTr="006428F4">
        <w:trPr>
          <w:jc w:val="center"/>
        </w:trPr>
        <w:tc>
          <w:tcPr>
            <w:tcW w:w="2515" w:type="dxa"/>
            <w:vAlign w:val="center"/>
          </w:tcPr>
          <w:p w14:paraId="7C436C5F" w14:textId="1C2985CE" w:rsidR="00031749" w:rsidRPr="00031749" w:rsidRDefault="00031749" w:rsidP="006428F4">
            <w:pPr>
              <w:pStyle w:val="TMGTableText"/>
            </w:pPr>
            <w:r w:rsidRPr="00031749">
              <w:t>Vehicle Speed Data</w:t>
            </w:r>
          </w:p>
        </w:tc>
        <w:tc>
          <w:tcPr>
            <w:tcW w:w="6845" w:type="dxa"/>
            <w:vAlign w:val="center"/>
          </w:tcPr>
          <w:p w14:paraId="41A17CAF" w14:textId="4CC05CE7" w:rsidR="00031749" w:rsidRPr="00C251E9" w:rsidRDefault="00031749" w:rsidP="006428F4">
            <w:pPr>
              <w:pStyle w:val="TMGTableText"/>
            </w:pPr>
            <w:r w:rsidRPr="0051590D">
              <w:t xml:space="preserve">Monthly, by 25 days after close of the month for which the data </w:t>
            </w:r>
            <w:r>
              <w:t>were</w:t>
            </w:r>
            <w:r w:rsidRPr="0051590D">
              <w:t xml:space="preserve"> collected</w:t>
            </w:r>
          </w:p>
        </w:tc>
      </w:tr>
      <w:tr w:rsidR="00031749" w14:paraId="01101007" w14:textId="77777777" w:rsidTr="006428F4">
        <w:trPr>
          <w:jc w:val="center"/>
        </w:trPr>
        <w:tc>
          <w:tcPr>
            <w:tcW w:w="2515" w:type="dxa"/>
            <w:vAlign w:val="center"/>
          </w:tcPr>
          <w:p w14:paraId="6CAA7BA5" w14:textId="73E13D83" w:rsidR="00031749" w:rsidRPr="00031749" w:rsidRDefault="00031749" w:rsidP="006428F4">
            <w:pPr>
              <w:pStyle w:val="TMGTableText"/>
            </w:pPr>
            <w:r w:rsidRPr="00031749">
              <w:t>Vehicle Classification Data</w:t>
            </w:r>
          </w:p>
        </w:tc>
        <w:tc>
          <w:tcPr>
            <w:tcW w:w="6845" w:type="dxa"/>
            <w:vAlign w:val="center"/>
          </w:tcPr>
          <w:p w14:paraId="63564E8B" w14:textId="0AB8E0C3" w:rsidR="00031749" w:rsidRPr="00C251E9" w:rsidRDefault="00031749" w:rsidP="006428F4">
            <w:pPr>
              <w:pStyle w:val="TMGTableText"/>
            </w:pPr>
            <w:r w:rsidRPr="0051590D">
              <w:t xml:space="preserve">Monthly, by 25 days after close of the month for which the data </w:t>
            </w:r>
            <w:r>
              <w:t>were</w:t>
            </w:r>
            <w:r w:rsidRPr="0051590D">
              <w:t xml:space="preserve"> collected</w:t>
            </w:r>
          </w:p>
        </w:tc>
      </w:tr>
      <w:tr w:rsidR="00031749" w14:paraId="540A05EB" w14:textId="77777777" w:rsidTr="006428F4">
        <w:trPr>
          <w:jc w:val="center"/>
        </w:trPr>
        <w:tc>
          <w:tcPr>
            <w:tcW w:w="2515" w:type="dxa"/>
            <w:vAlign w:val="center"/>
          </w:tcPr>
          <w:p w14:paraId="3FB2E650" w14:textId="14667B2C" w:rsidR="00031749" w:rsidRPr="00031749" w:rsidRDefault="00031749" w:rsidP="006428F4">
            <w:pPr>
              <w:pStyle w:val="TMGTableText"/>
            </w:pPr>
            <w:r w:rsidRPr="00031749">
              <w:t xml:space="preserve">Weight Data </w:t>
            </w:r>
          </w:p>
        </w:tc>
        <w:tc>
          <w:tcPr>
            <w:tcW w:w="6845" w:type="dxa"/>
            <w:vAlign w:val="center"/>
          </w:tcPr>
          <w:p w14:paraId="4D3A638D" w14:textId="08918CC5" w:rsidR="00031749" w:rsidRPr="00C251E9" w:rsidRDefault="00031749" w:rsidP="006428F4">
            <w:pPr>
              <w:pStyle w:val="TMGTableText"/>
            </w:pPr>
            <w:r w:rsidRPr="0051590D">
              <w:t>Minimum quarterly by the 25</w:t>
            </w:r>
            <w:r w:rsidRPr="0051590D">
              <w:rPr>
                <w:rStyle w:val="superscript"/>
                <w:rFonts w:eastAsiaTheme="minorEastAsia"/>
                <w:spacing w:val="2"/>
              </w:rPr>
              <w:t>th</w:t>
            </w:r>
            <w:r w:rsidRPr="0051590D">
              <w:t xml:space="preserve"> of the month after the end of the quarter or, with recommended monthly submissions 25 days after the close of the month for which the data </w:t>
            </w:r>
            <w:r>
              <w:t>were</w:t>
            </w:r>
            <w:r w:rsidRPr="0051590D">
              <w:t xml:space="preserve"> collected</w:t>
            </w:r>
          </w:p>
        </w:tc>
      </w:tr>
      <w:tr w:rsidR="00031749" w14:paraId="558B0562" w14:textId="77777777" w:rsidTr="006428F4">
        <w:trPr>
          <w:jc w:val="center"/>
        </w:trPr>
        <w:tc>
          <w:tcPr>
            <w:tcW w:w="2515" w:type="dxa"/>
            <w:vAlign w:val="center"/>
          </w:tcPr>
          <w:p w14:paraId="4CD240A7" w14:textId="41712810" w:rsidR="00031749" w:rsidRPr="00031749" w:rsidRDefault="00031749" w:rsidP="006428F4">
            <w:pPr>
              <w:pStyle w:val="TMGTableText"/>
            </w:pPr>
            <w:r w:rsidRPr="00031749">
              <w:t xml:space="preserve">IVR Data </w:t>
            </w:r>
          </w:p>
        </w:tc>
        <w:tc>
          <w:tcPr>
            <w:tcW w:w="6845" w:type="dxa"/>
            <w:vAlign w:val="center"/>
          </w:tcPr>
          <w:p w14:paraId="56CEC5E7" w14:textId="2D1AD2AB" w:rsidR="00031749" w:rsidRPr="00C251E9" w:rsidRDefault="00031749" w:rsidP="006428F4">
            <w:pPr>
              <w:pStyle w:val="TMGTableText"/>
            </w:pPr>
            <w:r w:rsidRPr="0051590D">
              <w:t>Data type submissions follow the above timelines</w:t>
            </w:r>
          </w:p>
        </w:tc>
      </w:tr>
      <w:tr w:rsidR="00031749" w14:paraId="431D5342" w14:textId="77777777" w:rsidTr="006428F4">
        <w:trPr>
          <w:jc w:val="center"/>
        </w:trPr>
        <w:tc>
          <w:tcPr>
            <w:tcW w:w="2515" w:type="dxa"/>
            <w:vAlign w:val="center"/>
          </w:tcPr>
          <w:p w14:paraId="515A71F8" w14:textId="7910B053" w:rsidR="00031749" w:rsidRPr="00031749" w:rsidRDefault="00031749" w:rsidP="006428F4">
            <w:pPr>
              <w:pStyle w:val="TMGTableText"/>
            </w:pPr>
            <w:r w:rsidRPr="00031749">
              <w:t>Micromobility Data</w:t>
            </w:r>
          </w:p>
        </w:tc>
        <w:tc>
          <w:tcPr>
            <w:tcW w:w="6845" w:type="dxa"/>
            <w:vAlign w:val="center"/>
          </w:tcPr>
          <w:p w14:paraId="6600ADED" w14:textId="104967ED" w:rsidR="00031749" w:rsidRPr="00C251E9" w:rsidRDefault="00031749" w:rsidP="006428F4">
            <w:pPr>
              <w:pStyle w:val="TMGTableText"/>
            </w:pPr>
            <w:r w:rsidRPr="00A25639">
              <w:t>Minimum quarterly by the 25th of the mon</w:t>
            </w:r>
            <w:r>
              <w:t>th after the end of the quarter</w:t>
            </w:r>
          </w:p>
        </w:tc>
      </w:tr>
    </w:tbl>
    <w:p w14:paraId="7C5FFDC9" w14:textId="35353D64" w:rsidR="009B7AED" w:rsidRPr="00521214" w:rsidRDefault="009B7AED" w:rsidP="00A35EAF">
      <w:pPr>
        <w:pStyle w:val="BodyText"/>
      </w:pPr>
      <w:r>
        <w:lastRenderedPageBreak/>
        <w:t>States should submit a</w:t>
      </w:r>
      <w:r w:rsidRPr="00521214">
        <w:t>ll data files to FHWA through TMAS via the User Profile and Access Control System (UPACS). States should contact their State FHWA Division Offices for further instructions regarding UPACS.</w:t>
      </w:r>
    </w:p>
    <w:p w14:paraId="09981557" w14:textId="6A452B1F" w:rsidR="009B7AED" w:rsidRPr="00521214" w:rsidRDefault="009B7AED" w:rsidP="00A35EAF">
      <w:pPr>
        <w:pStyle w:val="BodyText"/>
      </w:pPr>
      <w:r w:rsidRPr="00521214">
        <w:t xml:space="preserve">All data should be in the record formats described in this chapter and quality controlled to ensure it truly represents travel </w:t>
      </w:r>
      <w:r>
        <w:t>at</w:t>
      </w:r>
      <w:r w:rsidRPr="00521214">
        <w:t xml:space="preserve"> the given location</w:t>
      </w:r>
      <w:r>
        <w:t xml:space="preserve"> for that </w:t>
      </w:r>
      <w:r w:rsidRPr="00521214">
        <w:t xml:space="preserve">time period. If the files are large, it is preferable that a </w:t>
      </w:r>
      <w:r>
        <w:t xml:space="preserve">file </w:t>
      </w:r>
      <w:r w:rsidRPr="00521214">
        <w:t xml:space="preserve">compression program be used to condense them. For further information, contact the </w:t>
      </w:r>
      <w:r>
        <w:t xml:space="preserve">FHWA </w:t>
      </w:r>
      <w:r w:rsidRPr="00521214">
        <w:t xml:space="preserve">Office of Highway Policy Information Travel Monitoring and Surveys Division </w:t>
      </w:r>
      <w:r>
        <w:t>(</w:t>
      </w:r>
      <w:hyperlink r:id="rId156" w:history="1">
        <w:r w:rsidRPr="00A021D8">
          <w:rPr>
            <w:rStyle w:val="Hyperlink"/>
          </w:rPr>
          <w:t>https://www.fhwa.dot.gov/policyinformation/</w:t>
        </w:r>
      </w:hyperlink>
      <w:r>
        <w:t>)</w:t>
      </w:r>
      <w:r w:rsidRPr="00521214">
        <w:t xml:space="preserve">. </w:t>
      </w:r>
    </w:p>
    <w:p w14:paraId="2A774DE6" w14:textId="56810456" w:rsidR="009B7AED" w:rsidRPr="001546EF" w:rsidRDefault="009B7AED">
      <w:pPr>
        <w:pStyle w:val="Heading3"/>
      </w:pPr>
      <w:bookmarkStart w:id="2793" w:name="_Toc113281094"/>
      <w:bookmarkStart w:id="2794" w:name="_Toc118205682"/>
      <w:bookmarkStart w:id="2795" w:name="_Toc109333002"/>
      <w:bookmarkStart w:id="2796" w:name="_Toc109333595"/>
      <w:r w:rsidRPr="001546EF">
        <w:t>File Naming Recommendations</w:t>
      </w:r>
      <w:bookmarkEnd w:id="2793"/>
      <w:bookmarkEnd w:id="2794"/>
      <w:r w:rsidRPr="001546EF">
        <w:t xml:space="preserve"> </w:t>
      </w:r>
      <w:bookmarkEnd w:id="2786"/>
      <w:bookmarkEnd w:id="2787"/>
      <w:bookmarkEnd w:id="2788"/>
      <w:bookmarkEnd w:id="2795"/>
      <w:bookmarkEnd w:id="2796"/>
    </w:p>
    <w:p w14:paraId="3DF4393C" w14:textId="77777777" w:rsidR="009B7AED" w:rsidRPr="00677E20" w:rsidRDefault="009B7AED" w:rsidP="00A35EAF">
      <w:pPr>
        <w:pStyle w:val="Example"/>
      </w:pPr>
      <w:r w:rsidRPr="00677E20">
        <w:t xml:space="preserve">An example file naming convention for </w:t>
      </w:r>
      <w:r>
        <w:t>traffic monitoring data</w:t>
      </w:r>
      <w:r w:rsidRPr="00677E20">
        <w:t xml:space="preserve"> is the following:</w:t>
      </w:r>
    </w:p>
    <w:p w14:paraId="5D4493FA" w14:textId="77777777" w:rsidR="009B7AED" w:rsidRPr="00677E20" w:rsidRDefault="009B7AED" w:rsidP="00A35EAF">
      <w:pPr>
        <w:pStyle w:val="Example"/>
      </w:pPr>
      <w:r w:rsidRPr="00677E20">
        <w:t>ssabcxyzmmyyyy.TYP</w:t>
      </w:r>
    </w:p>
    <w:p w14:paraId="2AEDCE37" w14:textId="77777777" w:rsidR="009B7AED" w:rsidRPr="00887574" w:rsidRDefault="009B7AED" w:rsidP="00A35EAF">
      <w:pPr>
        <w:pStyle w:val="BodyText"/>
        <w:rPr>
          <w:rStyle w:val="Bold"/>
        </w:rPr>
      </w:pPr>
      <w:r w:rsidRPr="00887574">
        <w:rPr>
          <w:rStyle w:val="Bold"/>
        </w:rPr>
        <w:t>Where:</w:t>
      </w:r>
    </w:p>
    <w:p w14:paraId="000CD925" w14:textId="77777777" w:rsidR="009B7AED" w:rsidRDefault="009B7AED" w:rsidP="00A35EAF">
      <w:pPr>
        <w:pStyle w:val="BodyText"/>
      </w:pPr>
      <w:r>
        <w:rPr>
          <w:rStyle w:val="Bold"/>
        </w:rPr>
        <w:t xml:space="preserve">ss </w:t>
      </w:r>
      <w:r>
        <w:t>= State FIPS code</w:t>
      </w:r>
    </w:p>
    <w:p w14:paraId="07F306A9" w14:textId="77777777" w:rsidR="009B7AED" w:rsidRDefault="009B7AED" w:rsidP="00A35EAF">
      <w:pPr>
        <w:pStyle w:val="BodyText"/>
      </w:pPr>
      <w:r>
        <w:rPr>
          <w:rStyle w:val="Bold"/>
        </w:rPr>
        <w:t>abcxyz</w:t>
      </w:r>
      <w:r>
        <w:t xml:space="preserve"> = traffic counting station ID (may be omitted if file contains more than one site’s data)</w:t>
      </w:r>
    </w:p>
    <w:p w14:paraId="115326F0" w14:textId="77777777" w:rsidR="009B7AED" w:rsidRDefault="009B7AED" w:rsidP="00A35EAF">
      <w:pPr>
        <w:pStyle w:val="BodyText"/>
      </w:pPr>
      <w:r>
        <w:rPr>
          <w:rStyle w:val="Bold"/>
        </w:rPr>
        <w:t xml:space="preserve">mm </w:t>
      </w:r>
      <w:r>
        <w:t>= month of year</w:t>
      </w:r>
    </w:p>
    <w:p w14:paraId="3E098665" w14:textId="77777777" w:rsidR="009B7AED" w:rsidRDefault="009B7AED" w:rsidP="00A35EAF">
      <w:pPr>
        <w:pStyle w:val="BodyText"/>
      </w:pPr>
      <w:r>
        <w:rPr>
          <w:rStyle w:val="Bold"/>
        </w:rPr>
        <w:t>yyyy</w:t>
      </w:r>
      <w:r>
        <w:t xml:space="preserve"> = year of data</w:t>
      </w:r>
    </w:p>
    <w:p w14:paraId="0E75A3BC" w14:textId="77777777" w:rsidR="009B7AED" w:rsidRDefault="009B7AED" w:rsidP="00A35EAF">
      <w:pPr>
        <w:pStyle w:val="BodyText"/>
      </w:pPr>
      <w:r>
        <w:rPr>
          <w:rStyle w:val="Bold"/>
        </w:rPr>
        <w:t>TYP</w:t>
      </w:r>
      <w:r>
        <w:t xml:space="preserve"> = type of data using the following three-character names:</w:t>
      </w:r>
    </w:p>
    <w:p w14:paraId="521718CB" w14:textId="77777777" w:rsidR="009B7AED" w:rsidRPr="00C914C6" w:rsidRDefault="009B7AED" w:rsidP="002F02C4">
      <w:pPr>
        <w:pStyle w:val="BulletcontinuedBulletsandNumbering"/>
        <w:tabs>
          <w:tab w:val="clear" w:pos="1440"/>
        </w:tabs>
        <w:ind w:left="720"/>
      </w:pPr>
      <w:r w:rsidRPr="00C914C6">
        <w:t>Motorized Data</w:t>
      </w:r>
    </w:p>
    <w:p w14:paraId="5B1F181C" w14:textId="77777777" w:rsidR="009B7AED" w:rsidRDefault="009B7AED" w:rsidP="002F02C4">
      <w:pPr>
        <w:pStyle w:val="BulletcontinuedBulletsandNumbering"/>
        <w:tabs>
          <w:tab w:val="clear" w:pos="1440"/>
        </w:tabs>
        <w:ind w:left="720"/>
      </w:pPr>
      <w:r>
        <w:t>STA = station description data</w:t>
      </w:r>
    </w:p>
    <w:p w14:paraId="52ECC762" w14:textId="77777777" w:rsidR="009B7AED" w:rsidRDefault="009B7AED" w:rsidP="002F02C4">
      <w:pPr>
        <w:pStyle w:val="BulletcontinuedBulletsandNumbering"/>
        <w:tabs>
          <w:tab w:val="clear" w:pos="1440"/>
        </w:tabs>
        <w:ind w:left="720"/>
      </w:pPr>
      <w:r>
        <w:t>VOL = traffic volume data</w:t>
      </w:r>
    </w:p>
    <w:p w14:paraId="60A9D2F1" w14:textId="77777777" w:rsidR="009B7AED" w:rsidRDefault="009B7AED" w:rsidP="002F02C4">
      <w:pPr>
        <w:pStyle w:val="BulletcontinuedBulletsandNumbering"/>
        <w:tabs>
          <w:tab w:val="clear" w:pos="1440"/>
        </w:tabs>
        <w:ind w:left="720"/>
      </w:pPr>
      <w:r>
        <w:t>SPD = speed data</w:t>
      </w:r>
    </w:p>
    <w:p w14:paraId="6E0E474F" w14:textId="77777777" w:rsidR="009B7AED" w:rsidRDefault="009B7AED" w:rsidP="002F02C4">
      <w:pPr>
        <w:pStyle w:val="BulletcontinuedBulletsandNumbering"/>
        <w:tabs>
          <w:tab w:val="clear" w:pos="1440"/>
        </w:tabs>
        <w:ind w:left="720"/>
      </w:pPr>
      <w:r>
        <w:t>CLA = axle classification data</w:t>
      </w:r>
    </w:p>
    <w:p w14:paraId="34D280C9" w14:textId="77777777" w:rsidR="009B7AED" w:rsidRDefault="009B7AED" w:rsidP="002F02C4">
      <w:pPr>
        <w:pStyle w:val="BulletcontinuedBulletsandNumbering"/>
        <w:tabs>
          <w:tab w:val="clear" w:pos="1440"/>
        </w:tabs>
        <w:ind w:left="720"/>
      </w:pPr>
      <w:r>
        <w:t>LEN = length classification data</w:t>
      </w:r>
    </w:p>
    <w:p w14:paraId="0AA365D5" w14:textId="77777777" w:rsidR="009B7AED" w:rsidRDefault="009B7AED" w:rsidP="002F02C4">
      <w:pPr>
        <w:pStyle w:val="BulletcontinuedBulletsandNumbering"/>
        <w:tabs>
          <w:tab w:val="clear" w:pos="1440"/>
        </w:tabs>
        <w:ind w:left="720"/>
      </w:pPr>
      <w:r>
        <w:t>WGT = weight data</w:t>
      </w:r>
    </w:p>
    <w:p w14:paraId="39864271" w14:textId="77777777" w:rsidR="009B7AED" w:rsidRDefault="009B7AED" w:rsidP="002F02C4">
      <w:pPr>
        <w:pStyle w:val="BulletcontinuedBulletsandNumbering"/>
        <w:tabs>
          <w:tab w:val="clear" w:pos="1440"/>
        </w:tabs>
        <w:ind w:left="720"/>
      </w:pPr>
      <w:r>
        <w:t>IVR = Individual Vehicle Record data</w:t>
      </w:r>
    </w:p>
    <w:p w14:paraId="6EAFCD61" w14:textId="77777777" w:rsidR="009B7AED" w:rsidRDefault="009B7AED" w:rsidP="002F02C4">
      <w:pPr>
        <w:pStyle w:val="BulletcontinuedBulletsandNumbering"/>
        <w:tabs>
          <w:tab w:val="clear" w:pos="1440"/>
        </w:tabs>
        <w:ind w:left="720"/>
      </w:pPr>
      <w:r>
        <w:rPr>
          <w:u w:val="single"/>
        </w:rPr>
        <w:t xml:space="preserve">Micromobility d </w:t>
      </w:r>
      <w:r w:rsidRPr="00C914C6">
        <w:rPr>
          <w:u w:val="single"/>
        </w:rPr>
        <w:t>Data</w:t>
      </w:r>
      <w:r>
        <w:t>SNM = count station data</w:t>
      </w:r>
    </w:p>
    <w:p w14:paraId="6966E464" w14:textId="77777777" w:rsidR="009B7AED" w:rsidRDefault="009B7AED" w:rsidP="002F02C4">
      <w:pPr>
        <w:pStyle w:val="BulletcontinuedBulletsandNumbering"/>
        <w:tabs>
          <w:tab w:val="clear" w:pos="1440"/>
        </w:tabs>
        <w:ind w:left="720"/>
      </w:pPr>
      <w:r>
        <w:t>VNM = count data</w:t>
      </w:r>
    </w:p>
    <w:p w14:paraId="2B54CEBC" w14:textId="5634E608" w:rsidR="009B7AED" w:rsidRDefault="009B7AED" w:rsidP="00A35EAF">
      <w:pPr>
        <w:pStyle w:val="BodyText"/>
      </w:pPr>
      <w:r>
        <w:t>FHWA recommends the use of consistent file naming conventions as this helps identify files, helps States and local public agencies perform quality assurance testing of the data they are utilizing, and provides an easy mechanism for identifying the content of files when transferring data to users. However, States are not required to use this example file naming convention. Including the TMG format information in the filename is also recommended (e.g.,</w:t>
      </w:r>
      <w:r w:rsidR="006428F4">
        <w:t> </w:t>
      </w:r>
      <w:r>
        <w:t>including “FMT2022” for data in the TMG 2022 format).</w:t>
      </w:r>
    </w:p>
    <w:p w14:paraId="6F8BC62E" w14:textId="6E8F2F17" w:rsidR="009B7AED" w:rsidRPr="001546EF" w:rsidRDefault="009B7AED">
      <w:pPr>
        <w:pStyle w:val="Heading2"/>
      </w:pPr>
      <w:bookmarkStart w:id="2797" w:name="_Toc349905104"/>
      <w:bookmarkStart w:id="2798" w:name="_Toc335642246"/>
      <w:bookmarkStart w:id="2799" w:name="_Toc363656152"/>
      <w:bookmarkStart w:id="2800" w:name="_Toc450638943"/>
      <w:bookmarkStart w:id="2801" w:name="_Toc63976738"/>
      <w:bookmarkStart w:id="2802" w:name="_Toc68864953"/>
      <w:bookmarkStart w:id="2803" w:name="_Toc109301270"/>
      <w:bookmarkStart w:id="2804" w:name="_Toc109333004"/>
      <w:bookmarkStart w:id="2805" w:name="_Toc109333597"/>
      <w:bookmarkStart w:id="2806" w:name="_Toc113281095"/>
      <w:bookmarkStart w:id="2807" w:name="_Toc114474739"/>
      <w:bookmarkStart w:id="2808" w:name="_Toc118205683"/>
      <w:r w:rsidRPr="001546EF">
        <w:t>Station Description Data Format</w:t>
      </w:r>
      <w:bookmarkEnd w:id="2797"/>
      <w:bookmarkEnd w:id="2798"/>
      <w:bookmarkEnd w:id="2799"/>
      <w:bookmarkEnd w:id="2800"/>
      <w:r w:rsidRPr="001546EF">
        <w:t xml:space="preserve"> (Pipe Delimited</w:t>
      </w:r>
      <w:r>
        <w:t xml:space="preserve"> only</w:t>
      </w:r>
      <w:r w:rsidRPr="001546EF">
        <w:t>)</w:t>
      </w:r>
      <w:bookmarkEnd w:id="2801"/>
      <w:bookmarkEnd w:id="2802"/>
      <w:bookmarkEnd w:id="2803"/>
      <w:bookmarkEnd w:id="2804"/>
      <w:bookmarkEnd w:id="2805"/>
      <w:bookmarkEnd w:id="2806"/>
      <w:bookmarkEnd w:id="2807"/>
      <w:bookmarkEnd w:id="2808"/>
    </w:p>
    <w:p w14:paraId="603EC247" w14:textId="77777777" w:rsidR="009B7AED" w:rsidRDefault="009B7AED" w:rsidP="00A35EAF">
      <w:pPr>
        <w:pStyle w:val="BodyText"/>
      </w:pPr>
      <w:r>
        <w:t>Prior to the 2022 version of the TMG, the traffic monitoring station format used a fixed-width field format where the length of each data field was a predetermined number of characters. From the 2022 version (this edition) forward, the traffic monitoring station data format requires variable-length fields using a pipe-delimited format with the pipe, also known as the vertical bar symbol (|), as the delimiter.</w:t>
      </w:r>
    </w:p>
    <w:p w14:paraId="62B00977" w14:textId="088A06E0" w:rsidR="009B7AED" w:rsidRPr="006348CE" w:rsidRDefault="009B7AED" w:rsidP="00A119E0">
      <w:pPr>
        <w:pStyle w:val="CallOut"/>
      </w:pPr>
      <w:r w:rsidRPr="006348CE">
        <w:t>The TMG will continue to support both fixed</w:t>
      </w:r>
      <w:r>
        <w:t>-</w:t>
      </w:r>
      <w:r w:rsidRPr="006348CE">
        <w:t xml:space="preserve">width and </w:t>
      </w:r>
      <w:r>
        <w:t>p</w:t>
      </w:r>
      <w:r w:rsidRPr="006348CE">
        <w:t>ipe</w:t>
      </w:r>
      <w:r>
        <w:t>-</w:t>
      </w:r>
      <w:r w:rsidRPr="006348CE">
        <w:t>delimited records</w:t>
      </w:r>
      <w:r>
        <w:t xml:space="preserve"> for most record types</w:t>
      </w:r>
      <w:r w:rsidRPr="006348CE">
        <w:t>.</w:t>
      </w:r>
      <w:r w:rsidR="004D4172">
        <w:t xml:space="preserve"> </w:t>
      </w:r>
      <w:r>
        <w:t>The</w:t>
      </w:r>
      <w:r w:rsidRPr="006348CE">
        <w:t xml:space="preserve"> </w:t>
      </w:r>
      <w:r>
        <w:t xml:space="preserve">exception is the </w:t>
      </w:r>
      <w:r w:rsidRPr="006348CE">
        <w:t xml:space="preserve">Station </w:t>
      </w:r>
      <w:r>
        <w:t>D</w:t>
      </w:r>
      <w:r w:rsidRPr="006348CE">
        <w:t xml:space="preserve">escription </w:t>
      </w:r>
      <w:r>
        <w:t>record for motorized data, which must be</w:t>
      </w:r>
      <w:r w:rsidRPr="006348CE">
        <w:t xml:space="preserve"> a pipe</w:t>
      </w:r>
      <w:r>
        <w:t>-</w:t>
      </w:r>
      <w:r w:rsidRPr="006348CE">
        <w:t xml:space="preserve">delimited record. </w:t>
      </w:r>
      <w:r>
        <w:t>Other</w:t>
      </w:r>
      <w:r w:rsidRPr="006348CE">
        <w:t xml:space="preserve"> record</w:t>
      </w:r>
      <w:r>
        <w:t xml:space="preserve"> types can be either fixed w</w:t>
      </w:r>
      <w:r w:rsidRPr="006348CE">
        <w:t xml:space="preserve">idth or </w:t>
      </w:r>
      <w:r>
        <w:t>pipe d</w:t>
      </w:r>
      <w:r w:rsidRPr="006348CE">
        <w:t>elimited.</w:t>
      </w:r>
    </w:p>
    <w:p w14:paraId="1667F4BF" w14:textId="77777777" w:rsidR="009B7AED" w:rsidRDefault="009B7AED" w:rsidP="00A35EAF">
      <w:pPr>
        <w:pStyle w:val="BodyText"/>
      </w:pPr>
      <w:r>
        <w:lastRenderedPageBreak/>
        <w:t>The Station Description record format is needed for reporting all motorized data. If a Station Description record is omitted, no other motorized data will be processed by TMAS. The Station Description TMAS table contains one record per traffic monitoring station, per direction, per lane (unless lanes are combined by the data collection device), per year. However, updated station records can be submitted at any time during the year.</w:t>
      </w:r>
    </w:p>
    <w:p w14:paraId="2D25070C" w14:textId="77777777" w:rsidR="009B7AED" w:rsidRDefault="009B7AED" w:rsidP="00A35EAF">
      <w:pPr>
        <w:pStyle w:val="BodyText"/>
      </w:pPr>
      <w:r>
        <w:t>The TMAS software retains all approved station records as of December 31</w:t>
      </w:r>
      <w:r w:rsidRPr="003552C0">
        <w:rPr>
          <w:vertAlign w:val="superscript"/>
        </w:rPr>
        <w:t>st</w:t>
      </w:r>
      <w:r>
        <w:t xml:space="preserve"> of each year. FHWA recommends that a yearly review of all station record fields be conducted to ensure the records are current and reflect which stations are being used to collect data. </w:t>
      </w:r>
    </w:p>
    <w:p w14:paraId="008C3207" w14:textId="77777777" w:rsidR="009B7AED" w:rsidRPr="001546EF" w:rsidRDefault="009B7AED">
      <w:pPr>
        <w:pStyle w:val="Heading3"/>
      </w:pPr>
      <w:bookmarkStart w:id="2809" w:name="_Toc63976739"/>
      <w:bookmarkStart w:id="2810" w:name="_Toc109301271"/>
      <w:bookmarkStart w:id="2811" w:name="_Toc109333005"/>
      <w:bookmarkStart w:id="2812" w:name="_Toc109333598"/>
      <w:bookmarkStart w:id="2813" w:name="_Toc113281096"/>
      <w:bookmarkStart w:id="2814" w:name="_Toc118205684"/>
      <w:r w:rsidRPr="001546EF">
        <w:t>File Naming Recommendation</w:t>
      </w:r>
      <w:bookmarkEnd w:id="2809"/>
      <w:bookmarkEnd w:id="2810"/>
      <w:bookmarkEnd w:id="2811"/>
      <w:bookmarkEnd w:id="2812"/>
      <w:bookmarkEnd w:id="2813"/>
      <w:bookmarkEnd w:id="2814"/>
    </w:p>
    <w:p w14:paraId="1D67E1C7" w14:textId="77777777" w:rsidR="009B7AED" w:rsidRDefault="009B7AED" w:rsidP="00A35EAF">
      <w:pPr>
        <w:pStyle w:val="BodyText"/>
      </w:pPr>
      <w:r>
        <w:t xml:space="preserve">It is recommended that the file extension .STA be used for all Station Description data files. The filename should be descriptive to facilitate the deciphering of the file and its contents. </w:t>
      </w:r>
    </w:p>
    <w:p w14:paraId="354D61B7" w14:textId="060E6D6F" w:rsidR="009B7AED" w:rsidRPr="00677E20" w:rsidRDefault="009B7AED" w:rsidP="00A35EAF">
      <w:pPr>
        <w:pStyle w:val="Example"/>
      </w:pPr>
      <w:r w:rsidRPr="00677E20">
        <w:t xml:space="preserve">An example file naming convention for the Station Description </w:t>
      </w:r>
      <w:r>
        <w:t>r</w:t>
      </w:r>
      <w:r w:rsidRPr="00677E20">
        <w:t>ecord is:</w:t>
      </w:r>
    </w:p>
    <w:p w14:paraId="74AA8753" w14:textId="77777777" w:rsidR="009B7AED" w:rsidRPr="00677E20" w:rsidRDefault="009B7AED" w:rsidP="00A35EAF">
      <w:pPr>
        <w:pStyle w:val="Example"/>
      </w:pPr>
      <w:r w:rsidRPr="00677E20">
        <w:t>ssabcxyzmmyyyy.STA</w:t>
      </w:r>
    </w:p>
    <w:p w14:paraId="4D167B8B" w14:textId="77777777" w:rsidR="009B7AED" w:rsidRPr="001546EF" w:rsidRDefault="009B7AED">
      <w:pPr>
        <w:pStyle w:val="Heading3"/>
      </w:pPr>
      <w:bookmarkStart w:id="2815" w:name="_Toc63976740"/>
      <w:bookmarkStart w:id="2816" w:name="_Toc109301272"/>
      <w:bookmarkStart w:id="2817" w:name="_Toc109333006"/>
      <w:bookmarkStart w:id="2818" w:name="_Toc109333599"/>
      <w:bookmarkStart w:id="2819" w:name="_Toc113281097"/>
      <w:bookmarkStart w:id="2820" w:name="_Toc118205685"/>
      <w:r w:rsidRPr="001546EF">
        <w:t xml:space="preserve">Station </w:t>
      </w:r>
      <w:r>
        <w:t>Description</w:t>
      </w:r>
      <w:r w:rsidRPr="001546EF">
        <w:t xml:space="preserve"> </w:t>
      </w:r>
      <w:bookmarkEnd w:id="2815"/>
      <w:r>
        <w:t>– Pipe-Delimited Format</w:t>
      </w:r>
      <w:bookmarkEnd w:id="2816"/>
      <w:bookmarkEnd w:id="2817"/>
      <w:bookmarkEnd w:id="2818"/>
      <w:bookmarkEnd w:id="2819"/>
      <w:bookmarkEnd w:id="2820"/>
    </w:p>
    <w:p w14:paraId="728E5371" w14:textId="5685D0E8" w:rsidR="009B7AED" w:rsidRDefault="00464453" w:rsidP="00A35EAF">
      <w:pPr>
        <w:pStyle w:val="BodyText"/>
      </w:pPr>
      <w:r>
        <w:fldChar w:fldCharType="begin"/>
      </w:r>
      <w:r>
        <w:instrText xml:space="preserve"> REF _Ref113268129 </w:instrText>
      </w:r>
      <w:r>
        <w:fldChar w:fldCharType="separate"/>
      </w:r>
      <w:r w:rsidR="00C07DF9">
        <w:t xml:space="preserve">Table </w:t>
      </w:r>
      <w:r w:rsidR="00C07DF9">
        <w:rPr>
          <w:noProof/>
        </w:rPr>
        <w:t>4</w:t>
      </w:r>
      <w:r w:rsidR="00C07DF9">
        <w:noBreakHyphen/>
      </w:r>
      <w:r w:rsidR="00C07DF9">
        <w:rPr>
          <w:noProof/>
        </w:rPr>
        <w:t>2</w:t>
      </w:r>
      <w:r>
        <w:rPr>
          <w:noProof/>
        </w:rPr>
        <w:fldChar w:fldCharType="end"/>
      </w:r>
      <w:r w:rsidR="009B7AED">
        <w:t xml:space="preserve"> summarizes the Station Description record using the pipe-delimited format. </w:t>
      </w:r>
    </w:p>
    <w:p w14:paraId="575FB9FA" w14:textId="6FD8F340" w:rsidR="009B7AED" w:rsidRDefault="009B7AED" w:rsidP="000F2A7A">
      <w:pPr>
        <w:pStyle w:val="TMGTableCaption"/>
      </w:pPr>
      <w:bookmarkStart w:id="2821" w:name="_Ref113268129"/>
      <w:bookmarkStart w:id="2822" w:name="_Toc113282507"/>
      <w:bookmarkStart w:id="2823" w:name="_Toc114474844"/>
      <w:bookmarkStart w:id="2824" w:name="_Toc120631150"/>
      <w:r>
        <w:t xml:space="preserve">Table </w:t>
      </w:r>
      <w:fldSimple w:instr=" STYLEREF 1 \s ">
        <w:r w:rsidR="00C07DF9">
          <w:rPr>
            <w:noProof/>
          </w:rPr>
          <w:t>4</w:t>
        </w:r>
      </w:fldSimple>
      <w:r>
        <w:noBreakHyphen/>
      </w:r>
      <w:fldSimple w:instr=" SEQ Table \* ARABIC \s 1 ">
        <w:r w:rsidR="00C07DF9">
          <w:rPr>
            <w:noProof/>
          </w:rPr>
          <w:t>2</w:t>
        </w:r>
      </w:fldSimple>
      <w:bookmarkEnd w:id="2821"/>
      <w:r w:rsidR="00627DD7">
        <w:t>.</w:t>
      </w:r>
      <w:r>
        <w:t xml:space="preserve"> </w:t>
      </w:r>
      <w:r w:rsidRPr="00C947F9">
        <w:t>Station Description Record</w:t>
      </w:r>
      <w:bookmarkEnd w:id="2822"/>
      <w:bookmarkEnd w:id="2823"/>
      <w:bookmarkEnd w:id="2824"/>
    </w:p>
    <w:tbl>
      <w:tblPr>
        <w:tblStyle w:val="TableGrid"/>
        <w:tblW w:w="9360" w:type="dxa"/>
        <w:jc w:val="center"/>
        <w:tblCellMar>
          <w:left w:w="86" w:type="dxa"/>
          <w:right w:w="86" w:type="dxa"/>
        </w:tblCellMar>
        <w:tblLook w:val="04A0" w:firstRow="1" w:lastRow="0" w:firstColumn="1" w:lastColumn="0" w:noHBand="0" w:noVBand="1"/>
      </w:tblPr>
      <w:tblGrid>
        <w:gridCol w:w="625"/>
        <w:gridCol w:w="810"/>
        <w:gridCol w:w="4050"/>
        <w:gridCol w:w="1861"/>
        <w:gridCol w:w="2014"/>
      </w:tblGrid>
      <w:tr w:rsidR="002F02C4" w14:paraId="75BBB438" w14:textId="77777777" w:rsidTr="002F02C4">
        <w:trPr>
          <w:jc w:val="center"/>
        </w:trPr>
        <w:tc>
          <w:tcPr>
            <w:tcW w:w="625" w:type="dxa"/>
            <w:tcBorders>
              <w:right w:val="single" w:sz="4" w:space="0" w:color="FFFFFF" w:themeColor="background1"/>
            </w:tcBorders>
            <w:shd w:val="clear" w:color="auto" w:fill="1F3864"/>
          </w:tcPr>
          <w:p w14:paraId="269826FE" w14:textId="5B7F8955" w:rsidR="002F02C4" w:rsidRDefault="002F02C4" w:rsidP="0017389B">
            <w:pPr>
              <w:pStyle w:val="TMGTableTextHeader"/>
            </w:pPr>
            <w:r w:rsidRPr="00804074">
              <w:rPr>
                <w:rFonts w:eastAsiaTheme="minorEastAsia"/>
              </w:rPr>
              <w:t>Field</w:t>
            </w:r>
          </w:p>
        </w:tc>
        <w:tc>
          <w:tcPr>
            <w:tcW w:w="810" w:type="dxa"/>
            <w:tcBorders>
              <w:left w:val="single" w:sz="4" w:space="0" w:color="FFFFFF" w:themeColor="background1"/>
              <w:right w:val="single" w:sz="4" w:space="0" w:color="FFFFFF" w:themeColor="background1"/>
            </w:tcBorders>
            <w:shd w:val="clear" w:color="auto" w:fill="1F3864"/>
          </w:tcPr>
          <w:p w14:paraId="361C98F1" w14:textId="46C47771" w:rsidR="002F02C4" w:rsidRDefault="002F02C4" w:rsidP="0017389B">
            <w:pPr>
              <w:pStyle w:val="TMGTableTextHeader"/>
              <w:rPr>
                <w:rFonts w:eastAsia="MS Mincho"/>
              </w:rPr>
            </w:pPr>
            <w:r w:rsidRPr="00804074">
              <w:rPr>
                <w:rFonts w:eastAsiaTheme="minorEastAsia"/>
              </w:rPr>
              <w:t>Width</w:t>
            </w:r>
          </w:p>
        </w:tc>
        <w:tc>
          <w:tcPr>
            <w:tcW w:w="4050" w:type="dxa"/>
            <w:tcBorders>
              <w:left w:val="single" w:sz="4" w:space="0" w:color="FFFFFF" w:themeColor="background1"/>
              <w:right w:val="single" w:sz="4" w:space="0" w:color="FFFFFF" w:themeColor="background1"/>
            </w:tcBorders>
            <w:shd w:val="clear" w:color="auto" w:fill="1F3864"/>
          </w:tcPr>
          <w:p w14:paraId="28EA6958" w14:textId="7A2703A9" w:rsidR="002F02C4" w:rsidRDefault="002F02C4" w:rsidP="0017389B">
            <w:pPr>
              <w:pStyle w:val="TMGTableTextHeader"/>
              <w:rPr>
                <w:rFonts w:eastAsia="MS Mincho"/>
              </w:rPr>
            </w:pPr>
            <w:r w:rsidRPr="00804074">
              <w:rPr>
                <w:rFonts w:eastAsiaTheme="minorEastAsia"/>
              </w:rPr>
              <w:t>Description</w:t>
            </w:r>
          </w:p>
        </w:tc>
        <w:tc>
          <w:tcPr>
            <w:tcW w:w="1861" w:type="dxa"/>
            <w:tcBorders>
              <w:left w:val="single" w:sz="4" w:space="0" w:color="FFFFFF" w:themeColor="background1"/>
              <w:right w:val="single" w:sz="4" w:space="0" w:color="FFFFFF" w:themeColor="background1"/>
            </w:tcBorders>
            <w:shd w:val="clear" w:color="auto" w:fill="1F3864"/>
          </w:tcPr>
          <w:p w14:paraId="43D82298" w14:textId="45C473E3" w:rsidR="002F02C4" w:rsidRDefault="002F02C4" w:rsidP="0017389B">
            <w:pPr>
              <w:pStyle w:val="TMGTableTextHeader"/>
              <w:rPr>
                <w:rFonts w:eastAsia="MS Mincho"/>
              </w:rPr>
            </w:pPr>
            <w:r w:rsidRPr="00804074">
              <w:rPr>
                <w:rFonts w:eastAsiaTheme="minorEastAsia"/>
              </w:rPr>
              <w:t>Type</w:t>
            </w:r>
          </w:p>
        </w:tc>
        <w:tc>
          <w:tcPr>
            <w:tcW w:w="2014" w:type="dxa"/>
            <w:tcBorders>
              <w:left w:val="single" w:sz="4" w:space="0" w:color="FFFFFF" w:themeColor="background1"/>
            </w:tcBorders>
            <w:shd w:val="clear" w:color="auto" w:fill="1F3864"/>
          </w:tcPr>
          <w:p w14:paraId="55B401F3" w14:textId="1C9EB14B" w:rsidR="002F02C4" w:rsidRDefault="002F02C4" w:rsidP="0017389B">
            <w:pPr>
              <w:pStyle w:val="TMGTableTextHeader"/>
            </w:pPr>
            <w:r>
              <w:rPr>
                <w:rFonts w:eastAsiaTheme="minorEastAsia"/>
              </w:rPr>
              <w:t>Importance</w:t>
            </w:r>
          </w:p>
        </w:tc>
      </w:tr>
      <w:tr w:rsidR="002F02C4" w14:paraId="24B52ACA" w14:textId="77777777" w:rsidTr="006428F4">
        <w:trPr>
          <w:jc w:val="center"/>
        </w:trPr>
        <w:tc>
          <w:tcPr>
            <w:tcW w:w="625" w:type="dxa"/>
            <w:vAlign w:val="center"/>
          </w:tcPr>
          <w:p w14:paraId="3CFDCC98" w14:textId="26019D82" w:rsidR="002F02C4" w:rsidRPr="00C251E9" w:rsidRDefault="002F02C4" w:rsidP="0069790B">
            <w:pPr>
              <w:pStyle w:val="TMGTableText"/>
              <w:ind w:left="0" w:right="115"/>
              <w:jc w:val="right"/>
            </w:pPr>
            <w:r w:rsidRPr="00804074">
              <w:t>1</w:t>
            </w:r>
          </w:p>
        </w:tc>
        <w:tc>
          <w:tcPr>
            <w:tcW w:w="810" w:type="dxa"/>
            <w:vAlign w:val="center"/>
          </w:tcPr>
          <w:p w14:paraId="6F9EAD9F" w14:textId="27044AF6" w:rsidR="002F02C4" w:rsidRPr="004859C8" w:rsidRDefault="002F02C4" w:rsidP="0069790B">
            <w:pPr>
              <w:pStyle w:val="TMGTableText"/>
              <w:ind w:left="0" w:right="216"/>
              <w:jc w:val="right"/>
            </w:pPr>
            <w:r w:rsidRPr="0051590D">
              <w:t>1</w:t>
            </w:r>
          </w:p>
        </w:tc>
        <w:tc>
          <w:tcPr>
            <w:tcW w:w="4050" w:type="dxa"/>
            <w:vAlign w:val="center"/>
          </w:tcPr>
          <w:p w14:paraId="55E80311" w14:textId="6ABC84D3" w:rsidR="002F02C4" w:rsidRPr="004859C8" w:rsidRDefault="002F02C4" w:rsidP="00917D58">
            <w:pPr>
              <w:pStyle w:val="TMGTableText"/>
            </w:pPr>
            <w:r w:rsidRPr="0051590D">
              <w:t>Record Type</w:t>
            </w:r>
            <w:r>
              <w:t xml:space="preserve"> (RT)</w:t>
            </w:r>
          </w:p>
        </w:tc>
        <w:tc>
          <w:tcPr>
            <w:tcW w:w="1861" w:type="dxa"/>
            <w:vAlign w:val="center"/>
          </w:tcPr>
          <w:p w14:paraId="40CA73BA" w14:textId="5D407B1A" w:rsidR="002F02C4" w:rsidRPr="004859C8" w:rsidRDefault="002F02C4" w:rsidP="006428F4">
            <w:pPr>
              <w:pStyle w:val="TMGTableText"/>
              <w:jc w:val="center"/>
            </w:pPr>
            <w:r>
              <w:t>Alphanumeric</w:t>
            </w:r>
          </w:p>
        </w:tc>
        <w:tc>
          <w:tcPr>
            <w:tcW w:w="2014" w:type="dxa"/>
            <w:vAlign w:val="center"/>
          </w:tcPr>
          <w:p w14:paraId="31C66FA0" w14:textId="0DBF763B" w:rsidR="002F02C4" w:rsidRPr="00C251E9" w:rsidRDefault="002F02C4" w:rsidP="006428F4">
            <w:pPr>
              <w:pStyle w:val="TMGTableText"/>
              <w:jc w:val="center"/>
            </w:pPr>
            <w:r>
              <w:t>Required</w:t>
            </w:r>
          </w:p>
        </w:tc>
      </w:tr>
      <w:tr w:rsidR="002F02C4" w14:paraId="2D5188E5" w14:textId="77777777" w:rsidTr="006428F4">
        <w:trPr>
          <w:jc w:val="center"/>
        </w:trPr>
        <w:tc>
          <w:tcPr>
            <w:tcW w:w="625" w:type="dxa"/>
            <w:vAlign w:val="center"/>
          </w:tcPr>
          <w:p w14:paraId="39BA715F" w14:textId="05276A7D" w:rsidR="002F02C4" w:rsidRPr="00C251E9" w:rsidRDefault="002F02C4" w:rsidP="0069790B">
            <w:pPr>
              <w:pStyle w:val="TMGTableText"/>
              <w:ind w:left="0" w:right="115"/>
              <w:jc w:val="right"/>
            </w:pPr>
            <w:r w:rsidRPr="00804074">
              <w:t>2</w:t>
            </w:r>
          </w:p>
        </w:tc>
        <w:tc>
          <w:tcPr>
            <w:tcW w:w="810" w:type="dxa"/>
            <w:vAlign w:val="center"/>
          </w:tcPr>
          <w:p w14:paraId="409C1065" w14:textId="542CE19A" w:rsidR="002F02C4" w:rsidRPr="004859C8" w:rsidRDefault="002F02C4" w:rsidP="0069790B">
            <w:pPr>
              <w:pStyle w:val="TMGTableText"/>
              <w:ind w:left="0" w:right="216"/>
              <w:jc w:val="right"/>
            </w:pPr>
            <w:r w:rsidRPr="0051590D">
              <w:t>2</w:t>
            </w:r>
          </w:p>
        </w:tc>
        <w:tc>
          <w:tcPr>
            <w:tcW w:w="4050" w:type="dxa"/>
            <w:vAlign w:val="center"/>
          </w:tcPr>
          <w:p w14:paraId="3E2DC616" w14:textId="58D7A085" w:rsidR="002F02C4" w:rsidRPr="004859C8" w:rsidRDefault="002F02C4" w:rsidP="00917D58">
            <w:pPr>
              <w:pStyle w:val="TMGTableText"/>
            </w:pPr>
            <w:r>
              <w:t xml:space="preserve">State </w:t>
            </w:r>
            <w:r w:rsidRPr="0051590D">
              <w:t>FIPS Code</w:t>
            </w:r>
            <w:r>
              <w:t xml:space="preserve"> (SFIPS)</w:t>
            </w:r>
          </w:p>
        </w:tc>
        <w:tc>
          <w:tcPr>
            <w:tcW w:w="1861" w:type="dxa"/>
            <w:vAlign w:val="center"/>
          </w:tcPr>
          <w:p w14:paraId="7D151A32" w14:textId="6335E468" w:rsidR="002F02C4" w:rsidRPr="004859C8" w:rsidRDefault="002F02C4" w:rsidP="006428F4">
            <w:pPr>
              <w:pStyle w:val="TMGTableText"/>
              <w:jc w:val="center"/>
            </w:pPr>
            <w:r>
              <w:t>Alphanumeric</w:t>
            </w:r>
          </w:p>
        </w:tc>
        <w:tc>
          <w:tcPr>
            <w:tcW w:w="2014" w:type="dxa"/>
            <w:vAlign w:val="center"/>
          </w:tcPr>
          <w:p w14:paraId="2D9AF90F" w14:textId="25885EAC" w:rsidR="002F02C4" w:rsidRPr="00C251E9" w:rsidRDefault="002F02C4" w:rsidP="006428F4">
            <w:pPr>
              <w:pStyle w:val="TMGTableText"/>
              <w:jc w:val="center"/>
            </w:pPr>
            <w:r>
              <w:t>Required</w:t>
            </w:r>
          </w:p>
        </w:tc>
      </w:tr>
      <w:tr w:rsidR="002F02C4" w14:paraId="4690434C" w14:textId="77777777" w:rsidTr="006428F4">
        <w:trPr>
          <w:jc w:val="center"/>
        </w:trPr>
        <w:tc>
          <w:tcPr>
            <w:tcW w:w="625" w:type="dxa"/>
            <w:vAlign w:val="center"/>
          </w:tcPr>
          <w:p w14:paraId="006EF20D" w14:textId="7BA4ADBE" w:rsidR="002F02C4" w:rsidRPr="00C251E9" w:rsidRDefault="002F02C4" w:rsidP="0069790B">
            <w:pPr>
              <w:pStyle w:val="TMGTableText"/>
              <w:ind w:left="0" w:right="115"/>
              <w:jc w:val="right"/>
            </w:pPr>
            <w:r w:rsidRPr="00804074">
              <w:t>3</w:t>
            </w:r>
          </w:p>
        </w:tc>
        <w:tc>
          <w:tcPr>
            <w:tcW w:w="810" w:type="dxa"/>
            <w:vAlign w:val="center"/>
          </w:tcPr>
          <w:p w14:paraId="3B487CA5" w14:textId="77AA5A3D" w:rsidR="002F02C4" w:rsidRPr="004859C8" w:rsidRDefault="002F02C4" w:rsidP="0069790B">
            <w:pPr>
              <w:pStyle w:val="TMGTableText"/>
              <w:ind w:left="0" w:right="216"/>
              <w:jc w:val="right"/>
            </w:pPr>
            <w:r>
              <w:t>20</w:t>
            </w:r>
          </w:p>
        </w:tc>
        <w:tc>
          <w:tcPr>
            <w:tcW w:w="4050" w:type="dxa"/>
            <w:vAlign w:val="center"/>
          </w:tcPr>
          <w:p w14:paraId="66E287F4" w14:textId="5D54DF0D" w:rsidR="002F02C4" w:rsidRPr="004859C8" w:rsidRDefault="002F02C4" w:rsidP="00917D58">
            <w:pPr>
              <w:pStyle w:val="TMGTableText"/>
            </w:pPr>
            <w:r w:rsidRPr="0051590D">
              <w:t>Station ID</w:t>
            </w:r>
            <w:r>
              <w:t xml:space="preserve"> (ID)</w:t>
            </w:r>
          </w:p>
        </w:tc>
        <w:tc>
          <w:tcPr>
            <w:tcW w:w="1861" w:type="dxa"/>
            <w:vAlign w:val="center"/>
          </w:tcPr>
          <w:p w14:paraId="1B8681EC" w14:textId="1BFDF088" w:rsidR="002F02C4" w:rsidRPr="004859C8" w:rsidRDefault="002F02C4" w:rsidP="006428F4">
            <w:pPr>
              <w:pStyle w:val="TMGTableText"/>
              <w:jc w:val="center"/>
            </w:pPr>
            <w:r>
              <w:t>Alphanumeric</w:t>
            </w:r>
          </w:p>
        </w:tc>
        <w:tc>
          <w:tcPr>
            <w:tcW w:w="2014" w:type="dxa"/>
            <w:vAlign w:val="center"/>
          </w:tcPr>
          <w:p w14:paraId="1232EBE4" w14:textId="78016014" w:rsidR="002F02C4" w:rsidRPr="00C251E9" w:rsidRDefault="002F02C4" w:rsidP="006428F4">
            <w:pPr>
              <w:pStyle w:val="TMGTableText"/>
              <w:jc w:val="center"/>
            </w:pPr>
            <w:r>
              <w:t>Required</w:t>
            </w:r>
          </w:p>
        </w:tc>
      </w:tr>
      <w:tr w:rsidR="002F02C4" w14:paraId="68023DD1" w14:textId="77777777" w:rsidTr="006428F4">
        <w:trPr>
          <w:jc w:val="center"/>
        </w:trPr>
        <w:tc>
          <w:tcPr>
            <w:tcW w:w="625" w:type="dxa"/>
            <w:vAlign w:val="center"/>
          </w:tcPr>
          <w:p w14:paraId="525E1228" w14:textId="67CFD4D3" w:rsidR="002F02C4" w:rsidRPr="00C251E9" w:rsidRDefault="002F02C4" w:rsidP="0069790B">
            <w:pPr>
              <w:pStyle w:val="TMGTableText"/>
              <w:ind w:left="0" w:right="115"/>
              <w:jc w:val="right"/>
            </w:pPr>
            <w:r w:rsidRPr="00804074">
              <w:t>4</w:t>
            </w:r>
          </w:p>
        </w:tc>
        <w:tc>
          <w:tcPr>
            <w:tcW w:w="810" w:type="dxa"/>
            <w:vAlign w:val="center"/>
          </w:tcPr>
          <w:p w14:paraId="7DEB79AC" w14:textId="2B24A2B5" w:rsidR="002F02C4" w:rsidRPr="004859C8" w:rsidRDefault="002F02C4" w:rsidP="0069790B">
            <w:pPr>
              <w:pStyle w:val="TMGTableText"/>
              <w:ind w:left="0" w:right="216"/>
              <w:jc w:val="right"/>
            </w:pPr>
            <w:r w:rsidRPr="0051590D">
              <w:t>1</w:t>
            </w:r>
          </w:p>
        </w:tc>
        <w:tc>
          <w:tcPr>
            <w:tcW w:w="4050" w:type="dxa"/>
            <w:vAlign w:val="center"/>
          </w:tcPr>
          <w:p w14:paraId="4DA7AB6D" w14:textId="3782BD7D" w:rsidR="002F02C4" w:rsidRPr="004859C8" w:rsidRDefault="002F02C4" w:rsidP="00917D58">
            <w:pPr>
              <w:pStyle w:val="TMGTableText"/>
            </w:pPr>
            <w:r w:rsidRPr="0051590D">
              <w:t>Direction of Travel</w:t>
            </w:r>
            <w:r>
              <w:t xml:space="preserve"> (DIR)</w:t>
            </w:r>
          </w:p>
        </w:tc>
        <w:tc>
          <w:tcPr>
            <w:tcW w:w="1861" w:type="dxa"/>
            <w:vAlign w:val="center"/>
          </w:tcPr>
          <w:p w14:paraId="34685CD3" w14:textId="2DAC460B" w:rsidR="002F02C4" w:rsidRPr="004859C8" w:rsidRDefault="002F02C4" w:rsidP="006428F4">
            <w:pPr>
              <w:pStyle w:val="TMGTableText"/>
              <w:jc w:val="center"/>
            </w:pPr>
            <w:r>
              <w:t>Integer</w:t>
            </w:r>
          </w:p>
        </w:tc>
        <w:tc>
          <w:tcPr>
            <w:tcW w:w="2014" w:type="dxa"/>
            <w:vAlign w:val="center"/>
          </w:tcPr>
          <w:p w14:paraId="22BDD788" w14:textId="4507E179" w:rsidR="002F02C4" w:rsidRPr="00C251E9" w:rsidRDefault="002F02C4" w:rsidP="006428F4">
            <w:pPr>
              <w:pStyle w:val="TMGTableText"/>
              <w:jc w:val="center"/>
            </w:pPr>
            <w:r>
              <w:t>Required</w:t>
            </w:r>
          </w:p>
        </w:tc>
      </w:tr>
      <w:tr w:rsidR="002F02C4" w14:paraId="4F6006E3" w14:textId="77777777" w:rsidTr="006428F4">
        <w:trPr>
          <w:jc w:val="center"/>
        </w:trPr>
        <w:tc>
          <w:tcPr>
            <w:tcW w:w="625" w:type="dxa"/>
            <w:vAlign w:val="center"/>
          </w:tcPr>
          <w:p w14:paraId="131C6ED7" w14:textId="5A61B1C0" w:rsidR="002F02C4" w:rsidRPr="00C251E9" w:rsidRDefault="002F02C4" w:rsidP="0069790B">
            <w:pPr>
              <w:pStyle w:val="TMGTableText"/>
              <w:ind w:left="0" w:right="115"/>
              <w:jc w:val="right"/>
            </w:pPr>
            <w:r w:rsidRPr="00804074">
              <w:t>5</w:t>
            </w:r>
          </w:p>
        </w:tc>
        <w:tc>
          <w:tcPr>
            <w:tcW w:w="810" w:type="dxa"/>
            <w:vAlign w:val="center"/>
          </w:tcPr>
          <w:p w14:paraId="44D4E421" w14:textId="70ED07EF" w:rsidR="002F02C4" w:rsidRPr="004859C8" w:rsidRDefault="002F02C4" w:rsidP="0069790B">
            <w:pPr>
              <w:pStyle w:val="TMGTableText"/>
              <w:ind w:left="0" w:right="216"/>
              <w:jc w:val="right"/>
            </w:pPr>
            <w:r w:rsidRPr="0051590D">
              <w:t>1</w:t>
            </w:r>
          </w:p>
        </w:tc>
        <w:tc>
          <w:tcPr>
            <w:tcW w:w="4050" w:type="dxa"/>
            <w:vAlign w:val="center"/>
          </w:tcPr>
          <w:p w14:paraId="36409E68" w14:textId="50565F53" w:rsidR="002F02C4" w:rsidRPr="004859C8" w:rsidRDefault="002F02C4" w:rsidP="00917D58">
            <w:pPr>
              <w:pStyle w:val="TMGTableText"/>
            </w:pPr>
            <w:r w:rsidRPr="0051590D">
              <w:t>Lane of Travel</w:t>
            </w:r>
            <w:r>
              <w:t xml:space="preserve"> (LN)</w:t>
            </w:r>
          </w:p>
        </w:tc>
        <w:tc>
          <w:tcPr>
            <w:tcW w:w="1861" w:type="dxa"/>
            <w:vAlign w:val="center"/>
          </w:tcPr>
          <w:p w14:paraId="6809BC24" w14:textId="1C93C49A" w:rsidR="002F02C4" w:rsidRPr="004859C8" w:rsidRDefault="002F02C4" w:rsidP="006428F4">
            <w:pPr>
              <w:pStyle w:val="TMGTableText"/>
              <w:jc w:val="center"/>
            </w:pPr>
            <w:r>
              <w:t>Integer</w:t>
            </w:r>
          </w:p>
        </w:tc>
        <w:tc>
          <w:tcPr>
            <w:tcW w:w="2014" w:type="dxa"/>
            <w:vAlign w:val="center"/>
          </w:tcPr>
          <w:p w14:paraId="5883B267" w14:textId="6BEA0C6D" w:rsidR="002F02C4" w:rsidRPr="00C251E9" w:rsidRDefault="002F02C4" w:rsidP="006428F4">
            <w:pPr>
              <w:pStyle w:val="TMGTableText"/>
              <w:jc w:val="center"/>
            </w:pPr>
            <w:r>
              <w:t>Required</w:t>
            </w:r>
          </w:p>
        </w:tc>
      </w:tr>
      <w:tr w:rsidR="002F02C4" w14:paraId="00B8E2FE" w14:textId="77777777" w:rsidTr="006428F4">
        <w:trPr>
          <w:jc w:val="center"/>
        </w:trPr>
        <w:tc>
          <w:tcPr>
            <w:tcW w:w="625" w:type="dxa"/>
            <w:vAlign w:val="center"/>
          </w:tcPr>
          <w:p w14:paraId="1FA775B8" w14:textId="0CEBB28D" w:rsidR="002F02C4" w:rsidRPr="00C251E9" w:rsidRDefault="002F02C4" w:rsidP="0069790B">
            <w:pPr>
              <w:pStyle w:val="TMGTableText"/>
              <w:ind w:left="0" w:right="115"/>
              <w:jc w:val="right"/>
            </w:pPr>
            <w:r w:rsidRPr="00804074">
              <w:t>6</w:t>
            </w:r>
          </w:p>
        </w:tc>
        <w:tc>
          <w:tcPr>
            <w:tcW w:w="810" w:type="dxa"/>
            <w:vAlign w:val="center"/>
          </w:tcPr>
          <w:p w14:paraId="765BD8DA" w14:textId="492D95ED" w:rsidR="002F02C4" w:rsidRPr="004859C8" w:rsidRDefault="002F02C4" w:rsidP="0069790B">
            <w:pPr>
              <w:pStyle w:val="TMGTableText"/>
              <w:ind w:left="0" w:right="216"/>
              <w:jc w:val="right"/>
            </w:pPr>
            <w:r>
              <w:t>4</w:t>
            </w:r>
          </w:p>
        </w:tc>
        <w:tc>
          <w:tcPr>
            <w:tcW w:w="4050" w:type="dxa"/>
            <w:vAlign w:val="center"/>
          </w:tcPr>
          <w:p w14:paraId="3C9B0833" w14:textId="74DD829B" w:rsidR="002F02C4" w:rsidRPr="004859C8" w:rsidRDefault="002F02C4" w:rsidP="00917D58">
            <w:pPr>
              <w:pStyle w:val="TMGTableText"/>
            </w:pPr>
            <w:r>
              <w:t>Y</w:t>
            </w:r>
            <w:r w:rsidRPr="0051590D">
              <w:t>ear of Data</w:t>
            </w:r>
            <w:r>
              <w:t xml:space="preserve"> (YR)</w:t>
            </w:r>
          </w:p>
        </w:tc>
        <w:tc>
          <w:tcPr>
            <w:tcW w:w="1861" w:type="dxa"/>
            <w:vAlign w:val="center"/>
          </w:tcPr>
          <w:p w14:paraId="229660AD" w14:textId="70E86885" w:rsidR="002F02C4" w:rsidRPr="004859C8" w:rsidRDefault="002F02C4" w:rsidP="006428F4">
            <w:pPr>
              <w:pStyle w:val="TMGTableText"/>
              <w:jc w:val="center"/>
            </w:pPr>
            <w:r>
              <w:t>Integer</w:t>
            </w:r>
          </w:p>
        </w:tc>
        <w:tc>
          <w:tcPr>
            <w:tcW w:w="2014" w:type="dxa"/>
            <w:vAlign w:val="center"/>
          </w:tcPr>
          <w:p w14:paraId="7E077FA5" w14:textId="1EFEAC08" w:rsidR="002F02C4" w:rsidRPr="00C251E9" w:rsidRDefault="002F02C4" w:rsidP="006428F4">
            <w:pPr>
              <w:pStyle w:val="TMGTableText"/>
              <w:jc w:val="center"/>
            </w:pPr>
            <w:r>
              <w:t>Required</w:t>
            </w:r>
          </w:p>
        </w:tc>
      </w:tr>
      <w:tr w:rsidR="002F02C4" w14:paraId="0D153422" w14:textId="77777777" w:rsidTr="006428F4">
        <w:trPr>
          <w:jc w:val="center"/>
        </w:trPr>
        <w:tc>
          <w:tcPr>
            <w:tcW w:w="625" w:type="dxa"/>
            <w:vAlign w:val="center"/>
          </w:tcPr>
          <w:p w14:paraId="541EA593" w14:textId="2B1A702C" w:rsidR="002F02C4" w:rsidRPr="00C251E9" w:rsidRDefault="002F02C4" w:rsidP="0069790B">
            <w:pPr>
              <w:pStyle w:val="TMGTableText"/>
              <w:ind w:left="0" w:right="115"/>
              <w:jc w:val="right"/>
            </w:pPr>
            <w:r w:rsidRPr="00804074">
              <w:t>7</w:t>
            </w:r>
          </w:p>
        </w:tc>
        <w:tc>
          <w:tcPr>
            <w:tcW w:w="810" w:type="dxa"/>
            <w:vAlign w:val="center"/>
          </w:tcPr>
          <w:p w14:paraId="36C2E280" w14:textId="304E037B" w:rsidR="002F02C4" w:rsidRPr="004859C8" w:rsidRDefault="002F02C4" w:rsidP="0069790B">
            <w:pPr>
              <w:pStyle w:val="TMGTableText"/>
              <w:ind w:left="0" w:right="216"/>
              <w:jc w:val="right"/>
            </w:pPr>
            <w:r w:rsidRPr="0051590D">
              <w:t>2</w:t>
            </w:r>
          </w:p>
        </w:tc>
        <w:tc>
          <w:tcPr>
            <w:tcW w:w="4050" w:type="dxa"/>
            <w:vAlign w:val="center"/>
          </w:tcPr>
          <w:p w14:paraId="6D782A21" w14:textId="3BE841B4" w:rsidR="002F02C4" w:rsidRPr="004859C8" w:rsidRDefault="002F02C4" w:rsidP="00917D58">
            <w:pPr>
              <w:pStyle w:val="TMGTableText"/>
            </w:pPr>
            <w:r w:rsidRPr="0051590D">
              <w:t>Functional Classification</w:t>
            </w:r>
            <w:r>
              <w:t xml:space="preserve"> (FC)</w:t>
            </w:r>
          </w:p>
        </w:tc>
        <w:tc>
          <w:tcPr>
            <w:tcW w:w="1861" w:type="dxa"/>
            <w:vAlign w:val="center"/>
          </w:tcPr>
          <w:p w14:paraId="35F527D4" w14:textId="582D5CD2" w:rsidR="002F02C4" w:rsidRPr="004859C8" w:rsidRDefault="002F02C4" w:rsidP="006428F4">
            <w:pPr>
              <w:pStyle w:val="TMGTableText"/>
              <w:jc w:val="center"/>
            </w:pPr>
            <w:r w:rsidRPr="004F4E5A">
              <w:t>Alphanumeric</w:t>
            </w:r>
          </w:p>
        </w:tc>
        <w:tc>
          <w:tcPr>
            <w:tcW w:w="2014" w:type="dxa"/>
            <w:vAlign w:val="center"/>
          </w:tcPr>
          <w:p w14:paraId="1905C2F7" w14:textId="5F4EDA99" w:rsidR="002F02C4" w:rsidRPr="00C251E9" w:rsidRDefault="002F02C4" w:rsidP="006428F4">
            <w:pPr>
              <w:pStyle w:val="TMGTableText"/>
              <w:jc w:val="center"/>
            </w:pPr>
            <w:r>
              <w:t>Required</w:t>
            </w:r>
          </w:p>
        </w:tc>
      </w:tr>
      <w:tr w:rsidR="002F02C4" w14:paraId="3FBA84B2" w14:textId="77777777" w:rsidTr="006428F4">
        <w:trPr>
          <w:jc w:val="center"/>
        </w:trPr>
        <w:tc>
          <w:tcPr>
            <w:tcW w:w="625" w:type="dxa"/>
            <w:vAlign w:val="center"/>
          </w:tcPr>
          <w:p w14:paraId="61687A87" w14:textId="6F251884" w:rsidR="002F02C4" w:rsidRPr="00C251E9" w:rsidRDefault="002F02C4" w:rsidP="0069790B">
            <w:pPr>
              <w:pStyle w:val="TMGTableText"/>
              <w:ind w:left="0" w:right="115"/>
              <w:jc w:val="right"/>
            </w:pPr>
            <w:r w:rsidRPr="00804074">
              <w:t>8</w:t>
            </w:r>
          </w:p>
        </w:tc>
        <w:tc>
          <w:tcPr>
            <w:tcW w:w="810" w:type="dxa"/>
            <w:vAlign w:val="center"/>
          </w:tcPr>
          <w:p w14:paraId="003172BA" w14:textId="7D2A603C" w:rsidR="002F02C4" w:rsidRPr="004859C8" w:rsidRDefault="002F02C4" w:rsidP="0069790B">
            <w:pPr>
              <w:pStyle w:val="TMGTableText"/>
              <w:ind w:left="0" w:right="216"/>
              <w:jc w:val="right"/>
            </w:pPr>
            <w:r w:rsidRPr="0051590D">
              <w:t>1</w:t>
            </w:r>
          </w:p>
        </w:tc>
        <w:tc>
          <w:tcPr>
            <w:tcW w:w="4050" w:type="dxa"/>
            <w:vAlign w:val="center"/>
          </w:tcPr>
          <w:p w14:paraId="040AE958" w14:textId="5DBAC75F" w:rsidR="002F02C4" w:rsidRPr="004859C8" w:rsidRDefault="002F02C4" w:rsidP="00917D58">
            <w:pPr>
              <w:pStyle w:val="TMGTableText"/>
            </w:pPr>
            <w:r w:rsidRPr="0051590D">
              <w:t>Number of Lanes in Direction Indicated</w:t>
            </w:r>
            <w:r>
              <w:t xml:space="preserve"> (NL)</w:t>
            </w:r>
          </w:p>
        </w:tc>
        <w:tc>
          <w:tcPr>
            <w:tcW w:w="1861" w:type="dxa"/>
            <w:vAlign w:val="center"/>
          </w:tcPr>
          <w:p w14:paraId="31A6890C" w14:textId="617F5ECD" w:rsidR="002F02C4" w:rsidRPr="004859C8" w:rsidRDefault="002F02C4" w:rsidP="006428F4">
            <w:pPr>
              <w:pStyle w:val="TMGTableText"/>
              <w:jc w:val="center"/>
            </w:pPr>
            <w:r>
              <w:t>Integer</w:t>
            </w:r>
          </w:p>
        </w:tc>
        <w:tc>
          <w:tcPr>
            <w:tcW w:w="2014" w:type="dxa"/>
            <w:vAlign w:val="center"/>
          </w:tcPr>
          <w:p w14:paraId="5CE45C6C" w14:textId="6E64CFC3" w:rsidR="002F02C4" w:rsidRPr="00C251E9" w:rsidRDefault="002F02C4" w:rsidP="006428F4">
            <w:pPr>
              <w:pStyle w:val="TMGTableText"/>
              <w:jc w:val="center"/>
            </w:pPr>
            <w:r>
              <w:t>Required</w:t>
            </w:r>
          </w:p>
        </w:tc>
      </w:tr>
      <w:tr w:rsidR="002F02C4" w14:paraId="7F40B392" w14:textId="77777777" w:rsidTr="006428F4">
        <w:trPr>
          <w:jc w:val="center"/>
        </w:trPr>
        <w:tc>
          <w:tcPr>
            <w:tcW w:w="625" w:type="dxa"/>
            <w:vAlign w:val="center"/>
          </w:tcPr>
          <w:p w14:paraId="25313B3F" w14:textId="2C835E42" w:rsidR="002F02C4" w:rsidRPr="00C251E9" w:rsidRDefault="002F02C4" w:rsidP="0069790B">
            <w:pPr>
              <w:pStyle w:val="TMGTableText"/>
              <w:ind w:left="0" w:right="115"/>
              <w:jc w:val="right"/>
            </w:pPr>
            <w:r w:rsidRPr="00804074">
              <w:t>9</w:t>
            </w:r>
          </w:p>
        </w:tc>
        <w:tc>
          <w:tcPr>
            <w:tcW w:w="810" w:type="dxa"/>
            <w:vAlign w:val="center"/>
          </w:tcPr>
          <w:p w14:paraId="6CBA942F" w14:textId="46C3CB8A" w:rsidR="002F02C4" w:rsidRPr="004859C8" w:rsidRDefault="002F02C4" w:rsidP="0069790B">
            <w:pPr>
              <w:pStyle w:val="TMGTableText"/>
              <w:ind w:left="0" w:right="216"/>
              <w:jc w:val="right"/>
            </w:pPr>
            <w:r w:rsidRPr="0051590D">
              <w:t>2</w:t>
            </w:r>
          </w:p>
        </w:tc>
        <w:tc>
          <w:tcPr>
            <w:tcW w:w="4050" w:type="dxa"/>
            <w:vAlign w:val="center"/>
          </w:tcPr>
          <w:p w14:paraId="4CD3C709" w14:textId="6064447F" w:rsidR="002F02C4" w:rsidRPr="004859C8" w:rsidRDefault="002F02C4" w:rsidP="00917D58">
            <w:pPr>
              <w:pStyle w:val="TMGTableText"/>
            </w:pPr>
            <w:r w:rsidRPr="0051590D">
              <w:t>Vehicle Classification Groupings</w:t>
            </w:r>
            <w:r>
              <w:t xml:space="preserve"> (VCG)</w:t>
            </w:r>
          </w:p>
        </w:tc>
        <w:tc>
          <w:tcPr>
            <w:tcW w:w="1861" w:type="dxa"/>
            <w:vAlign w:val="center"/>
          </w:tcPr>
          <w:p w14:paraId="738776C3" w14:textId="01A4B467" w:rsidR="002F02C4" w:rsidRPr="004859C8" w:rsidRDefault="002F02C4" w:rsidP="006428F4">
            <w:pPr>
              <w:pStyle w:val="TMGTableText"/>
              <w:jc w:val="center"/>
            </w:pPr>
            <w:r>
              <w:t>Integer</w:t>
            </w:r>
          </w:p>
        </w:tc>
        <w:tc>
          <w:tcPr>
            <w:tcW w:w="2014" w:type="dxa"/>
            <w:vAlign w:val="center"/>
          </w:tcPr>
          <w:p w14:paraId="2EE41685" w14:textId="26A974FD" w:rsidR="002F02C4" w:rsidRPr="00C251E9" w:rsidRDefault="002F02C4" w:rsidP="006428F4">
            <w:pPr>
              <w:pStyle w:val="TMGTableText"/>
              <w:jc w:val="center"/>
            </w:pPr>
            <w:r>
              <w:t>Req.</w:t>
            </w:r>
            <w:r w:rsidRPr="0051590D">
              <w:t>/O</w:t>
            </w:r>
            <w:r>
              <w:t>pt.</w:t>
            </w:r>
          </w:p>
        </w:tc>
      </w:tr>
      <w:tr w:rsidR="002F02C4" w14:paraId="3F5CB949" w14:textId="77777777" w:rsidTr="006428F4">
        <w:trPr>
          <w:jc w:val="center"/>
        </w:trPr>
        <w:tc>
          <w:tcPr>
            <w:tcW w:w="625" w:type="dxa"/>
            <w:vAlign w:val="center"/>
          </w:tcPr>
          <w:p w14:paraId="3BF70D97" w14:textId="4DF9CFC6" w:rsidR="002F02C4" w:rsidRPr="00C251E9" w:rsidRDefault="002F02C4" w:rsidP="0069790B">
            <w:pPr>
              <w:pStyle w:val="TMGTableText"/>
              <w:ind w:left="0" w:right="115"/>
              <w:jc w:val="right"/>
            </w:pPr>
            <w:r w:rsidRPr="00804074">
              <w:t>10</w:t>
            </w:r>
          </w:p>
        </w:tc>
        <w:tc>
          <w:tcPr>
            <w:tcW w:w="810" w:type="dxa"/>
            <w:vAlign w:val="center"/>
          </w:tcPr>
          <w:p w14:paraId="0FD13BC1" w14:textId="03A4B750" w:rsidR="002F02C4" w:rsidRPr="004859C8" w:rsidRDefault="002F02C4" w:rsidP="0069790B">
            <w:pPr>
              <w:pStyle w:val="TMGTableText"/>
              <w:ind w:left="0" w:right="216"/>
              <w:jc w:val="right"/>
            </w:pPr>
            <w:r w:rsidRPr="0051590D">
              <w:t>1</w:t>
            </w:r>
          </w:p>
        </w:tc>
        <w:tc>
          <w:tcPr>
            <w:tcW w:w="4050" w:type="dxa"/>
            <w:vAlign w:val="center"/>
          </w:tcPr>
          <w:p w14:paraId="68EE0778" w14:textId="611921B9" w:rsidR="002F02C4" w:rsidRPr="004859C8" w:rsidRDefault="002F02C4" w:rsidP="00917D58">
            <w:pPr>
              <w:pStyle w:val="TMGTableText"/>
            </w:pPr>
            <w:r w:rsidRPr="0051590D">
              <w:t>Calibration of Weighing System</w:t>
            </w:r>
            <w:r>
              <w:t xml:space="preserve"> (CWS)</w:t>
            </w:r>
          </w:p>
        </w:tc>
        <w:tc>
          <w:tcPr>
            <w:tcW w:w="1861" w:type="dxa"/>
            <w:vAlign w:val="center"/>
          </w:tcPr>
          <w:p w14:paraId="0EA174D1" w14:textId="1C2F8FC0" w:rsidR="002F02C4" w:rsidRPr="004859C8" w:rsidRDefault="002F02C4" w:rsidP="006428F4">
            <w:pPr>
              <w:pStyle w:val="TMGTableText"/>
              <w:jc w:val="center"/>
            </w:pPr>
            <w:r>
              <w:t>Alphanumeric</w:t>
            </w:r>
          </w:p>
        </w:tc>
        <w:tc>
          <w:tcPr>
            <w:tcW w:w="2014" w:type="dxa"/>
            <w:vAlign w:val="center"/>
          </w:tcPr>
          <w:p w14:paraId="630B30D1" w14:textId="67AA6E8C" w:rsidR="002F02C4" w:rsidRPr="00C251E9" w:rsidRDefault="002F02C4" w:rsidP="006428F4">
            <w:pPr>
              <w:pStyle w:val="TMGTableText"/>
              <w:jc w:val="center"/>
            </w:pPr>
            <w:r>
              <w:t>Req.</w:t>
            </w:r>
            <w:r w:rsidRPr="0051590D">
              <w:t>/O</w:t>
            </w:r>
            <w:r>
              <w:t>pt.</w:t>
            </w:r>
          </w:p>
        </w:tc>
      </w:tr>
      <w:tr w:rsidR="002F02C4" w14:paraId="21133205" w14:textId="77777777" w:rsidTr="006428F4">
        <w:trPr>
          <w:jc w:val="center"/>
        </w:trPr>
        <w:tc>
          <w:tcPr>
            <w:tcW w:w="625" w:type="dxa"/>
            <w:vAlign w:val="center"/>
          </w:tcPr>
          <w:p w14:paraId="25E628A3" w14:textId="105FDABC" w:rsidR="002F02C4" w:rsidRPr="00C251E9" w:rsidRDefault="002F02C4" w:rsidP="0069790B">
            <w:pPr>
              <w:pStyle w:val="TMGTableText"/>
              <w:ind w:left="0" w:right="115"/>
              <w:jc w:val="right"/>
            </w:pPr>
            <w:r w:rsidRPr="00804074">
              <w:t>11</w:t>
            </w:r>
          </w:p>
        </w:tc>
        <w:tc>
          <w:tcPr>
            <w:tcW w:w="810" w:type="dxa"/>
            <w:vAlign w:val="center"/>
          </w:tcPr>
          <w:p w14:paraId="09B1B5F5" w14:textId="48572B06" w:rsidR="002F02C4" w:rsidRPr="004859C8" w:rsidRDefault="002F02C4" w:rsidP="0069790B">
            <w:pPr>
              <w:pStyle w:val="TMGTableText"/>
              <w:ind w:left="0" w:right="216"/>
              <w:jc w:val="right"/>
            </w:pPr>
            <w:r w:rsidRPr="0051590D">
              <w:t>1</w:t>
            </w:r>
          </w:p>
        </w:tc>
        <w:tc>
          <w:tcPr>
            <w:tcW w:w="4050" w:type="dxa"/>
            <w:vAlign w:val="center"/>
          </w:tcPr>
          <w:p w14:paraId="019E2916" w14:textId="531A5F05" w:rsidR="002F02C4" w:rsidRPr="004859C8" w:rsidRDefault="002F02C4" w:rsidP="00917D58">
            <w:pPr>
              <w:pStyle w:val="TMGTableText"/>
            </w:pPr>
            <w:r w:rsidRPr="0051590D">
              <w:t>Type of Sensor</w:t>
            </w:r>
            <w:r>
              <w:t xml:space="preserve"> (TS1)</w:t>
            </w:r>
          </w:p>
        </w:tc>
        <w:tc>
          <w:tcPr>
            <w:tcW w:w="1861" w:type="dxa"/>
            <w:vAlign w:val="center"/>
          </w:tcPr>
          <w:p w14:paraId="2B9AE37F" w14:textId="35BC147D" w:rsidR="002F02C4" w:rsidRPr="004859C8" w:rsidRDefault="002F02C4" w:rsidP="006428F4">
            <w:pPr>
              <w:pStyle w:val="TMGTableText"/>
              <w:jc w:val="center"/>
            </w:pPr>
            <w:r>
              <w:t>Alphanumeric</w:t>
            </w:r>
          </w:p>
        </w:tc>
        <w:tc>
          <w:tcPr>
            <w:tcW w:w="2014" w:type="dxa"/>
            <w:vAlign w:val="center"/>
          </w:tcPr>
          <w:p w14:paraId="701642F2" w14:textId="0B6AD8CE" w:rsidR="002F02C4" w:rsidRPr="00C251E9" w:rsidRDefault="002F02C4" w:rsidP="006428F4">
            <w:pPr>
              <w:pStyle w:val="TMGTableText"/>
              <w:jc w:val="center"/>
            </w:pPr>
            <w:r>
              <w:t>Required</w:t>
            </w:r>
          </w:p>
        </w:tc>
      </w:tr>
      <w:tr w:rsidR="002F02C4" w14:paraId="48B8E6DC" w14:textId="77777777" w:rsidTr="006428F4">
        <w:trPr>
          <w:jc w:val="center"/>
        </w:trPr>
        <w:tc>
          <w:tcPr>
            <w:tcW w:w="625" w:type="dxa"/>
            <w:vAlign w:val="center"/>
          </w:tcPr>
          <w:p w14:paraId="0520A8F6" w14:textId="1D0BFEB3" w:rsidR="002F02C4" w:rsidRPr="00C251E9" w:rsidRDefault="002F02C4" w:rsidP="0069790B">
            <w:pPr>
              <w:pStyle w:val="TMGTableText"/>
              <w:ind w:left="0" w:right="115"/>
              <w:jc w:val="right"/>
            </w:pPr>
            <w:r w:rsidRPr="00804074">
              <w:t>12</w:t>
            </w:r>
          </w:p>
        </w:tc>
        <w:tc>
          <w:tcPr>
            <w:tcW w:w="810" w:type="dxa"/>
            <w:vAlign w:val="center"/>
          </w:tcPr>
          <w:p w14:paraId="50FE9CAA" w14:textId="7036E4C7" w:rsidR="002F02C4" w:rsidRPr="004859C8" w:rsidRDefault="002F02C4" w:rsidP="0069790B">
            <w:pPr>
              <w:pStyle w:val="TMGTableText"/>
              <w:ind w:left="0" w:right="216"/>
              <w:jc w:val="right"/>
            </w:pPr>
            <w:r w:rsidRPr="0051590D">
              <w:t>1</w:t>
            </w:r>
          </w:p>
        </w:tc>
        <w:tc>
          <w:tcPr>
            <w:tcW w:w="4050" w:type="dxa"/>
            <w:vAlign w:val="center"/>
          </w:tcPr>
          <w:p w14:paraId="52CD018B" w14:textId="04F398A3" w:rsidR="002F02C4" w:rsidRPr="004859C8" w:rsidRDefault="002F02C4" w:rsidP="00917D58">
            <w:pPr>
              <w:pStyle w:val="TMGTableText"/>
            </w:pPr>
            <w:r w:rsidRPr="0051590D">
              <w:t>Second Type of Sensor</w:t>
            </w:r>
            <w:r>
              <w:t xml:space="preserve"> (TS2)</w:t>
            </w:r>
          </w:p>
        </w:tc>
        <w:tc>
          <w:tcPr>
            <w:tcW w:w="1861" w:type="dxa"/>
            <w:vAlign w:val="center"/>
          </w:tcPr>
          <w:p w14:paraId="1DC11EE5" w14:textId="10335FE3" w:rsidR="002F02C4" w:rsidRPr="004859C8" w:rsidRDefault="002F02C4" w:rsidP="006428F4">
            <w:pPr>
              <w:pStyle w:val="TMGTableText"/>
              <w:jc w:val="center"/>
            </w:pPr>
            <w:r>
              <w:t>Alphanumeric</w:t>
            </w:r>
          </w:p>
        </w:tc>
        <w:tc>
          <w:tcPr>
            <w:tcW w:w="2014" w:type="dxa"/>
            <w:vAlign w:val="center"/>
          </w:tcPr>
          <w:p w14:paraId="14CAF22A" w14:textId="1DF2438F" w:rsidR="002F02C4" w:rsidRPr="00C251E9" w:rsidRDefault="002F02C4" w:rsidP="006428F4">
            <w:pPr>
              <w:pStyle w:val="TMGTableText"/>
              <w:jc w:val="center"/>
            </w:pPr>
            <w:r w:rsidRPr="0051590D">
              <w:t>O</w:t>
            </w:r>
            <w:r>
              <w:t>ptional</w:t>
            </w:r>
          </w:p>
        </w:tc>
      </w:tr>
      <w:tr w:rsidR="002F02C4" w14:paraId="77F01A3A" w14:textId="77777777" w:rsidTr="006428F4">
        <w:trPr>
          <w:jc w:val="center"/>
        </w:trPr>
        <w:tc>
          <w:tcPr>
            <w:tcW w:w="625" w:type="dxa"/>
            <w:vAlign w:val="center"/>
          </w:tcPr>
          <w:p w14:paraId="2E1CC96C" w14:textId="72169259" w:rsidR="002F02C4" w:rsidRPr="00C251E9" w:rsidRDefault="002F02C4" w:rsidP="0069790B">
            <w:pPr>
              <w:pStyle w:val="TMGTableText"/>
              <w:ind w:left="0" w:right="115"/>
              <w:jc w:val="right"/>
            </w:pPr>
            <w:r w:rsidRPr="00804074">
              <w:t>13</w:t>
            </w:r>
          </w:p>
        </w:tc>
        <w:tc>
          <w:tcPr>
            <w:tcW w:w="810" w:type="dxa"/>
            <w:vAlign w:val="center"/>
          </w:tcPr>
          <w:p w14:paraId="2167EE9B" w14:textId="66F95285" w:rsidR="002F02C4" w:rsidRPr="004859C8" w:rsidRDefault="002F02C4" w:rsidP="0069790B">
            <w:pPr>
              <w:pStyle w:val="TMGTableText"/>
              <w:ind w:left="0" w:right="216"/>
              <w:jc w:val="right"/>
            </w:pPr>
            <w:r>
              <w:t>11</w:t>
            </w:r>
          </w:p>
        </w:tc>
        <w:tc>
          <w:tcPr>
            <w:tcW w:w="4050" w:type="dxa"/>
            <w:vAlign w:val="center"/>
          </w:tcPr>
          <w:p w14:paraId="2B3976E5" w14:textId="05DFB1A1" w:rsidR="002F02C4" w:rsidRPr="004859C8" w:rsidRDefault="002F02C4" w:rsidP="00917D58">
            <w:pPr>
              <w:pStyle w:val="TMGTableText"/>
            </w:pPr>
            <w:r w:rsidRPr="0051590D">
              <w:t>Latitude</w:t>
            </w:r>
            <w:r>
              <w:t xml:space="preserve"> (LAT)</w:t>
            </w:r>
          </w:p>
        </w:tc>
        <w:tc>
          <w:tcPr>
            <w:tcW w:w="1861" w:type="dxa"/>
            <w:vAlign w:val="center"/>
          </w:tcPr>
          <w:p w14:paraId="5692E6B6" w14:textId="71AE23E2" w:rsidR="002F02C4" w:rsidRPr="004859C8" w:rsidRDefault="002F02C4" w:rsidP="006428F4">
            <w:pPr>
              <w:pStyle w:val="TMGTableText"/>
              <w:jc w:val="center"/>
            </w:pPr>
            <w:r>
              <w:t>Decimal</w:t>
            </w:r>
          </w:p>
        </w:tc>
        <w:tc>
          <w:tcPr>
            <w:tcW w:w="2014" w:type="dxa"/>
            <w:vAlign w:val="center"/>
          </w:tcPr>
          <w:p w14:paraId="5CA9C4CF" w14:textId="40A3905C" w:rsidR="002F02C4" w:rsidRPr="00C251E9" w:rsidRDefault="002F02C4" w:rsidP="006428F4">
            <w:pPr>
              <w:pStyle w:val="TMGTableText"/>
              <w:jc w:val="center"/>
            </w:pPr>
            <w:r>
              <w:t>Required</w:t>
            </w:r>
          </w:p>
        </w:tc>
      </w:tr>
      <w:tr w:rsidR="002F02C4" w14:paraId="684282AA" w14:textId="77777777" w:rsidTr="006428F4">
        <w:trPr>
          <w:jc w:val="center"/>
        </w:trPr>
        <w:tc>
          <w:tcPr>
            <w:tcW w:w="625" w:type="dxa"/>
            <w:vAlign w:val="center"/>
          </w:tcPr>
          <w:p w14:paraId="34C35FE1" w14:textId="5DE5EB9E" w:rsidR="002F02C4" w:rsidRPr="00C251E9" w:rsidRDefault="002F02C4" w:rsidP="0069790B">
            <w:pPr>
              <w:pStyle w:val="TMGTableText"/>
              <w:ind w:left="0" w:right="115"/>
              <w:jc w:val="right"/>
            </w:pPr>
            <w:r w:rsidRPr="00804074">
              <w:t>14</w:t>
            </w:r>
          </w:p>
        </w:tc>
        <w:tc>
          <w:tcPr>
            <w:tcW w:w="810" w:type="dxa"/>
            <w:vAlign w:val="center"/>
          </w:tcPr>
          <w:p w14:paraId="464207D7" w14:textId="588CF034" w:rsidR="002F02C4" w:rsidRPr="004859C8" w:rsidRDefault="002F02C4" w:rsidP="0069790B">
            <w:pPr>
              <w:pStyle w:val="TMGTableText"/>
              <w:ind w:left="0" w:right="216"/>
              <w:jc w:val="right"/>
            </w:pPr>
            <w:r>
              <w:t>11</w:t>
            </w:r>
          </w:p>
        </w:tc>
        <w:tc>
          <w:tcPr>
            <w:tcW w:w="4050" w:type="dxa"/>
            <w:vAlign w:val="center"/>
          </w:tcPr>
          <w:p w14:paraId="6E33996C" w14:textId="31E7D2A2" w:rsidR="002F02C4" w:rsidRPr="004859C8" w:rsidRDefault="002F02C4" w:rsidP="00917D58">
            <w:pPr>
              <w:pStyle w:val="TMGTableText"/>
            </w:pPr>
            <w:r w:rsidRPr="0051590D">
              <w:t>Longitude</w:t>
            </w:r>
            <w:r>
              <w:t xml:space="preserve"> (LONG)</w:t>
            </w:r>
          </w:p>
        </w:tc>
        <w:tc>
          <w:tcPr>
            <w:tcW w:w="1861" w:type="dxa"/>
            <w:vAlign w:val="center"/>
          </w:tcPr>
          <w:p w14:paraId="4C91A7AA" w14:textId="25885F3A" w:rsidR="002F02C4" w:rsidRPr="004859C8" w:rsidRDefault="002F02C4" w:rsidP="006428F4">
            <w:pPr>
              <w:pStyle w:val="TMGTableText"/>
              <w:jc w:val="center"/>
            </w:pPr>
            <w:r>
              <w:t>Decimal</w:t>
            </w:r>
          </w:p>
        </w:tc>
        <w:tc>
          <w:tcPr>
            <w:tcW w:w="2014" w:type="dxa"/>
            <w:vAlign w:val="center"/>
          </w:tcPr>
          <w:p w14:paraId="0ADA0019" w14:textId="7BBA0DC2" w:rsidR="002F02C4" w:rsidRPr="00C251E9" w:rsidRDefault="002F02C4" w:rsidP="006428F4">
            <w:pPr>
              <w:pStyle w:val="TMGTableText"/>
              <w:jc w:val="center"/>
            </w:pPr>
            <w:r>
              <w:t>Required</w:t>
            </w:r>
          </w:p>
        </w:tc>
      </w:tr>
      <w:tr w:rsidR="002F02C4" w14:paraId="4800AFD8" w14:textId="77777777" w:rsidTr="006428F4">
        <w:trPr>
          <w:jc w:val="center"/>
        </w:trPr>
        <w:tc>
          <w:tcPr>
            <w:tcW w:w="625" w:type="dxa"/>
            <w:vAlign w:val="center"/>
          </w:tcPr>
          <w:p w14:paraId="51269308" w14:textId="2BAEB594" w:rsidR="002F02C4" w:rsidRPr="00C251E9" w:rsidRDefault="002F02C4" w:rsidP="0069790B">
            <w:pPr>
              <w:pStyle w:val="TMGTableText"/>
              <w:ind w:left="0" w:right="115"/>
              <w:jc w:val="right"/>
            </w:pPr>
            <w:r w:rsidRPr="00804074">
              <w:t>15</w:t>
            </w:r>
          </w:p>
        </w:tc>
        <w:tc>
          <w:tcPr>
            <w:tcW w:w="810" w:type="dxa"/>
            <w:vAlign w:val="center"/>
          </w:tcPr>
          <w:p w14:paraId="4FE38880" w14:textId="6878AA08" w:rsidR="002F02C4" w:rsidRPr="004859C8" w:rsidRDefault="002F02C4" w:rsidP="0069790B">
            <w:pPr>
              <w:pStyle w:val="TMGTableText"/>
              <w:ind w:left="0" w:right="216"/>
              <w:jc w:val="right"/>
            </w:pPr>
            <w:r>
              <w:t>20</w:t>
            </w:r>
          </w:p>
        </w:tc>
        <w:tc>
          <w:tcPr>
            <w:tcW w:w="4050" w:type="dxa"/>
            <w:vAlign w:val="center"/>
          </w:tcPr>
          <w:p w14:paraId="66F8743C" w14:textId="781FE8BE" w:rsidR="002F02C4" w:rsidRPr="004859C8" w:rsidRDefault="002F02C4" w:rsidP="00917D58">
            <w:pPr>
              <w:pStyle w:val="TMGTableText"/>
            </w:pPr>
            <w:r w:rsidRPr="0051590D">
              <w:t>Previous Station ID</w:t>
            </w:r>
            <w:r>
              <w:t xml:space="preserve"> (PREVID)</w:t>
            </w:r>
          </w:p>
        </w:tc>
        <w:tc>
          <w:tcPr>
            <w:tcW w:w="1861" w:type="dxa"/>
            <w:vAlign w:val="center"/>
          </w:tcPr>
          <w:p w14:paraId="6490048D" w14:textId="7B30BA2E" w:rsidR="002F02C4" w:rsidRPr="004859C8" w:rsidRDefault="002F02C4" w:rsidP="006428F4">
            <w:pPr>
              <w:pStyle w:val="TMGTableText"/>
              <w:jc w:val="center"/>
            </w:pPr>
            <w:r>
              <w:t>Alphanumeric</w:t>
            </w:r>
          </w:p>
        </w:tc>
        <w:tc>
          <w:tcPr>
            <w:tcW w:w="2014" w:type="dxa"/>
            <w:vAlign w:val="center"/>
          </w:tcPr>
          <w:p w14:paraId="040B7E80" w14:textId="17636BFA" w:rsidR="002F02C4" w:rsidRPr="00C251E9" w:rsidRDefault="002F02C4" w:rsidP="006428F4">
            <w:pPr>
              <w:pStyle w:val="TMGTableText"/>
              <w:jc w:val="center"/>
            </w:pPr>
            <w:r w:rsidRPr="0051590D">
              <w:t>O</w:t>
            </w:r>
            <w:r>
              <w:t>ptional</w:t>
            </w:r>
          </w:p>
        </w:tc>
      </w:tr>
      <w:tr w:rsidR="002F02C4" w14:paraId="59A17D74" w14:textId="77777777" w:rsidTr="006428F4">
        <w:trPr>
          <w:jc w:val="center"/>
        </w:trPr>
        <w:tc>
          <w:tcPr>
            <w:tcW w:w="625" w:type="dxa"/>
            <w:vAlign w:val="center"/>
          </w:tcPr>
          <w:p w14:paraId="0E7411CB" w14:textId="5C3213A2" w:rsidR="002F02C4" w:rsidRPr="00C251E9" w:rsidRDefault="002F02C4" w:rsidP="0069790B">
            <w:pPr>
              <w:pStyle w:val="TMGTableText"/>
              <w:ind w:left="0" w:right="115"/>
              <w:jc w:val="right"/>
            </w:pPr>
            <w:r w:rsidRPr="00804074">
              <w:t>16</w:t>
            </w:r>
          </w:p>
        </w:tc>
        <w:tc>
          <w:tcPr>
            <w:tcW w:w="810" w:type="dxa"/>
            <w:vAlign w:val="center"/>
          </w:tcPr>
          <w:p w14:paraId="15DB6267" w14:textId="08282870" w:rsidR="002F02C4" w:rsidRPr="004859C8" w:rsidRDefault="002F02C4" w:rsidP="0069790B">
            <w:pPr>
              <w:pStyle w:val="TMGTableText"/>
              <w:ind w:left="0" w:right="216"/>
              <w:jc w:val="right"/>
            </w:pPr>
            <w:r w:rsidRPr="0051590D">
              <w:t>4</w:t>
            </w:r>
          </w:p>
        </w:tc>
        <w:tc>
          <w:tcPr>
            <w:tcW w:w="4050" w:type="dxa"/>
            <w:vAlign w:val="center"/>
          </w:tcPr>
          <w:p w14:paraId="1C5AD21A" w14:textId="07A40A76" w:rsidR="002F02C4" w:rsidRPr="004859C8" w:rsidRDefault="002F02C4" w:rsidP="00917D58">
            <w:pPr>
              <w:pStyle w:val="TMGTableText"/>
            </w:pPr>
            <w:r w:rsidRPr="0051590D">
              <w:t>Year Station Established</w:t>
            </w:r>
            <w:r>
              <w:t xml:space="preserve"> (YREST)</w:t>
            </w:r>
          </w:p>
        </w:tc>
        <w:tc>
          <w:tcPr>
            <w:tcW w:w="1861" w:type="dxa"/>
            <w:vAlign w:val="center"/>
          </w:tcPr>
          <w:p w14:paraId="633AEA43" w14:textId="3B320611" w:rsidR="002F02C4" w:rsidRPr="004859C8" w:rsidRDefault="002F02C4" w:rsidP="006428F4">
            <w:pPr>
              <w:pStyle w:val="TMGTableText"/>
              <w:jc w:val="center"/>
            </w:pPr>
            <w:r>
              <w:t>Integer</w:t>
            </w:r>
          </w:p>
        </w:tc>
        <w:tc>
          <w:tcPr>
            <w:tcW w:w="2014" w:type="dxa"/>
            <w:vAlign w:val="center"/>
          </w:tcPr>
          <w:p w14:paraId="6639FCBB" w14:textId="091F92AB" w:rsidR="002F02C4" w:rsidRPr="00C251E9" w:rsidRDefault="002F02C4" w:rsidP="006428F4">
            <w:pPr>
              <w:pStyle w:val="TMGTableText"/>
              <w:jc w:val="center"/>
            </w:pPr>
            <w:r>
              <w:t>Required</w:t>
            </w:r>
          </w:p>
        </w:tc>
      </w:tr>
      <w:tr w:rsidR="002F02C4" w14:paraId="62EF1DBA" w14:textId="77777777" w:rsidTr="006428F4">
        <w:trPr>
          <w:jc w:val="center"/>
        </w:trPr>
        <w:tc>
          <w:tcPr>
            <w:tcW w:w="625" w:type="dxa"/>
            <w:vAlign w:val="center"/>
          </w:tcPr>
          <w:p w14:paraId="13E7C37C" w14:textId="1B4A7175" w:rsidR="002F02C4" w:rsidRPr="00C251E9" w:rsidRDefault="002F02C4" w:rsidP="0069790B">
            <w:pPr>
              <w:pStyle w:val="TMGTableText"/>
              <w:ind w:left="0" w:right="115"/>
              <w:jc w:val="right"/>
            </w:pPr>
            <w:r w:rsidRPr="00804074">
              <w:t>17</w:t>
            </w:r>
          </w:p>
        </w:tc>
        <w:tc>
          <w:tcPr>
            <w:tcW w:w="810" w:type="dxa"/>
            <w:vAlign w:val="center"/>
          </w:tcPr>
          <w:p w14:paraId="3D431F73" w14:textId="11EF45FC" w:rsidR="002F02C4" w:rsidRPr="004859C8" w:rsidRDefault="002F02C4" w:rsidP="0069790B">
            <w:pPr>
              <w:pStyle w:val="TMGTableText"/>
              <w:ind w:left="0" w:right="216"/>
              <w:jc w:val="right"/>
            </w:pPr>
            <w:r w:rsidRPr="0051590D">
              <w:t>4</w:t>
            </w:r>
          </w:p>
        </w:tc>
        <w:tc>
          <w:tcPr>
            <w:tcW w:w="4050" w:type="dxa"/>
            <w:vAlign w:val="center"/>
          </w:tcPr>
          <w:p w14:paraId="531A497B" w14:textId="235C9C08" w:rsidR="002F02C4" w:rsidRPr="004859C8" w:rsidRDefault="002F02C4" w:rsidP="00917D58">
            <w:pPr>
              <w:pStyle w:val="TMGTableText"/>
            </w:pPr>
            <w:r w:rsidRPr="0051590D">
              <w:t>Year Station Discontinued</w:t>
            </w:r>
            <w:r>
              <w:t xml:space="preserve"> (YRDIS)</w:t>
            </w:r>
          </w:p>
        </w:tc>
        <w:tc>
          <w:tcPr>
            <w:tcW w:w="1861" w:type="dxa"/>
            <w:vAlign w:val="center"/>
          </w:tcPr>
          <w:p w14:paraId="3281D132" w14:textId="32DA9D53" w:rsidR="002F02C4" w:rsidRPr="004859C8" w:rsidRDefault="002F02C4" w:rsidP="006428F4">
            <w:pPr>
              <w:pStyle w:val="TMGTableText"/>
              <w:jc w:val="center"/>
            </w:pPr>
            <w:r>
              <w:t>Integer</w:t>
            </w:r>
          </w:p>
        </w:tc>
        <w:tc>
          <w:tcPr>
            <w:tcW w:w="2014" w:type="dxa"/>
            <w:vAlign w:val="center"/>
          </w:tcPr>
          <w:p w14:paraId="39433904" w14:textId="07D23865" w:rsidR="002F02C4" w:rsidRPr="00C251E9" w:rsidRDefault="002F02C4" w:rsidP="006428F4">
            <w:pPr>
              <w:pStyle w:val="TMGTableText"/>
              <w:jc w:val="center"/>
            </w:pPr>
            <w:r w:rsidRPr="0051590D">
              <w:t>O</w:t>
            </w:r>
            <w:r>
              <w:t>ptional</w:t>
            </w:r>
          </w:p>
        </w:tc>
      </w:tr>
      <w:tr w:rsidR="002F02C4" w14:paraId="4E3EC1BB" w14:textId="77777777" w:rsidTr="006428F4">
        <w:trPr>
          <w:jc w:val="center"/>
        </w:trPr>
        <w:tc>
          <w:tcPr>
            <w:tcW w:w="625" w:type="dxa"/>
            <w:vAlign w:val="center"/>
          </w:tcPr>
          <w:p w14:paraId="75FD0F57" w14:textId="26CA39DC" w:rsidR="002F02C4" w:rsidRPr="00C251E9" w:rsidRDefault="002F02C4" w:rsidP="0069790B">
            <w:pPr>
              <w:pStyle w:val="TMGTableText"/>
              <w:ind w:left="0" w:right="115"/>
              <w:jc w:val="right"/>
            </w:pPr>
            <w:r w:rsidRPr="00804074">
              <w:t>18</w:t>
            </w:r>
          </w:p>
        </w:tc>
        <w:tc>
          <w:tcPr>
            <w:tcW w:w="810" w:type="dxa"/>
            <w:vAlign w:val="center"/>
          </w:tcPr>
          <w:p w14:paraId="084281E8" w14:textId="371A651E" w:rsidR="002F02C4" w:rsidRPr="004859C8" w:rsidRDefault="002F02C4" w:rsidP="0069790B">
            <w:pPr>
              <w:pStyle w:val="TMGTableText"/>
              <w:ind w:left="0" w:right="216"/>
              <w:jc w:val="right"/>
            </w:pPr>
            <w:r w:rsidRPr="0051590D">
              <w:t>3</w:t>
            </w:r>
          </w:p>
        </w:tc>
        <w:tc>
          <w:tcPr>
            <w:tcW w:w="4050" w:type="dxa"/>
            <w:vAlign w:val="center"/>
          </w:tcPr>
          <w:p w14:paraId="7A7E5A26" w14:textId="0AA61295" w:rsidR="002F02C4" w:rsidRPr="004859C8" w:rsidRDefault="002F02C4" w:rsidP="00917D58">
            <w:pPr>
              <w:pStyle w:val="TMGTableText"/>
            </w:pPr>
            <w:r>
              <w:t xml:space="preserve">County </w:t>
            </w:r>
            <w:r w:rsidRPr="0051590D">
              <w:t>FIPS Code</w:t>
            </w:r>
            <w:r>
              <w:t xml:space="preserve"> (CFIPS)</w:t>
            </w:r>
          </w:p>
        </w:tc>
        <w:tc>
          <w:tcPr>
            <w:tcW w:w="1861" w:type="dxa"/>
            <w:vAlign w:val="center"/>
          </w:tcPr>
          <w:p w14:paraId="5C555ED6" w14:textId="20239A13" w:rsidR="002F02C4" w:rsidRPr="004859C8" w:rsidRDefault="002F02C4" w:rsidP="006428F4">
            <w:pPr>
              <w:pStyle w:val="TMGTableText"/>
              <w:jc w:val="center"/>
            </w:pPr>
            <w:r>
              <w:t>Alphanumeric</w:t>
            </w:r>
          </w:p>
        </w:tc>
        <w:tc>
          <w:tcPr>
            <w:tcW w:w="2014" w:type="dxa"/>
            <w:vAlign w:val="center"/>
          </w:tcPr>
          <w:p w14:paraId="52241B79" w14:textId="10DA8A5F" w:rsidR="002F02C4" w:rsidRPr="00C251E9" w:rsidRDefault="002F02C4" w:rsidP="006428F4">
            <w:pPr>
              <w:pStyle w:val="TMGTableText"/>
              <w:jc w:val="center"/>
            </w:pPr>
            <w:r>
              <w:t>Required</w:t>
            </w:r>
          </w:p>
        </w:tc>
      </w:tr>
      <w:tr w:rsidR="002F02C4" w14:paraId="6334F3BE" w14:textId="77777777" w:rsidTr="006428F4">
        <w:trPr>
          <w:jc w:val="center"/>
        </w:trPr>
        <w:tc>
          <w:tcPr>
            <w:tcW w:w="625" w:type="dxa"/>
            <w:vAlign w:val="center"/>
          </w:tcPr>
          <w:p w14:paraId="469FA987" w14:textId="2AFB0C38" w:rsidR="002F02C4" w:rsidRPr="00C251E9" w:rsidRDefault="002F02C4" w:rsidP="0069790B">
            <w:pPr>
              <w:pStyle w:val="TMGTableText"/>
              <w:ind w:left="0" w:right="115"/>
              <w:jc w:val="right"/>
            </w:pPr>
            <w:r w:rsidRPr="00804074">
              <w:t>19</w:t>
            </w:r>
          </w:p>
        </w:tc>
        <w:tc>
          <w:tcPr>
            <w:tcW w:w="810" w:type="dxa"/>
            <w:vAlign w:val="center"/>
          </w:tcPr>
          <w:p w14:paraId="763782F2" w14:textId="7C109289" w:rsidR="002F02C4" w:rsidRPr="004859C8" w:rsidRDefault="002F02C4" w:rsidP="0069790B">
            <w:pPr>
              <w:pStyle w:val="TMGTableText"/>
              <w:ind w:left="0" w:right="216"/>
              <w:jc w:val="right"/>
            </w:pPr>
            <w:r w:rsidRPr="0051590D">
              <w:t>1</w:t>
            </w:r>
          </w:p>
        </w:tc>
        <w:tc>
          <w:tcPr>
            <w:tcW w:w="4050" w:type="dxa"/>
            <w:vAlign w:val="center"/>
          </w:tcPr>
          <w:p w14:paraId="4AA77520" w14:textId="22D29BF0" w:rsidR="002F02C4" w:rsidRPr="004859C8" w:rsidRDefault="002F02C4" w:rsidP="00917D58">
            <w:pPr>
              <w:pStyle w:val="TMGTableText"/>
            </w:pPr>
            <w:r w:rsidRPr="0051590D">
              <w:t>National Highway System</w:t>
            </w:r>
            <w:r>
              <w:t xml:space="preserve"> (NHS)</w:t>
            </w:r>
          </w:p>
        </w:tc>
        <w:tc>
          <w:tcPr>
            <w:tcW w:w="1861" w:type="dxa"/>
            <w:vAlign w:val="center"/>
          </w:tcPr>
          <w:p w14:paraId="1545262B" w14:textId="04B51DEF" w:rsidR="002F02C4" w:rsidRPr="004859C8" w:rsidRDefault="002F02C4" w:rsidP="006428F4">
            <w:pPr>
              <w:pStyle w:val="TMGTableText"/>
              <w:jc w:val="center"/>
            </w:pPr>
            <w:r>
              <w:t>Alphanumeric</w:t>
            </w:r>
          </w:p>
        </w:tc>
        <w:tc>
          <w:tcPr>
            <w:tcW w:w="2014" w:type="dxa"/>
            <w:vAlign w:val="center"/>
          </w:tcPr>
          <w:p w14:paraId="18D5F56C" w14:textId="334A01D6" w:rsidR="002F02C4" w:rsidRPr="00C251E9" w:rsidRDefault="002F02C4" w:rsidP="006428F4">
            <w:pPr>
              <w:pStyle w:val="TMGTableText"/>
              <w:jc w:val="center"/>
            </w:pPr>
            <w:r>
              <w:t>Required</w:t>
            </w:r>
          </w:p>
        </w:tc>
      </w:tr>
      <w:tr w:rsidR="002F02C4" w14:paraId="5EDEE917" w14:textId="77777777" w:rsidTr="006428F4">
        <w:trPr>
          <w:jc w:val="center"/>
        </w:trPr>
        <w:tc>
          <w:tcPr>
            <w:tcW w:w="625" w:type="dxa"/>
            <w:vAlign w:val="center"/>
          </w:tcPr>
          <w:p w14:paraId="23020281" w14:textId="3935486F" w:rsidR="002F02C4" w:rsidRPr="00C251E9" w:rsidRDefault="002F02C4" w:rsidP="0069790B">
            <w:pPr>
              <w:pStyle w:val="TMGTableText"/>
              <w:ind w:left="0" w:right="115"/>
              <w:jc w:val="right"/>
            </w:pPr>
            <w:r w:rsidRPr="00804074">
              <w:t>20</w:t>
            </w:r>
          </w:p>
        </w:tc>
        <w:tc>
          <w:tcPr>
            <w:tcW w:w="810" w:type="dxa"/>
            <w:vAlign w:val="center"/>
          </w:tcPr>
          <w:p w14:paraId="1F26CCC2" w14:textId="4C288E0F" w:rsidR="002F02C4" w:rsidRPr="004859C8" w:rsidRDefault="002F02C4" w:rsidP="0069790B">
            <w:pPr>
              <w:pStyle w:val="TMGTableText"/>
              <w:ind w:left="0" w:right="216"/>
              <w:jc w:val="right"/>
            </w:pPr>
            <w:r w:rsidRPr="0051590D">
              <w:t>2</w:t>
            </w:r>
          </w:p>
        </w:tc>
        <w:tc>
          <w:tcPr>
            <w:tcW w:w="4050" w:type="dxa"/>
            <w:vAlign w:val="center"/>
          </w:tcPr>
          <w:p w14:paraId="2E89E34D" w14:textId="4ADEB715" w:rsidR="002F02C4" w:rsidRPr="004859C8" w:rsidRDefault="002F02C4" w:rsidP="00917D58">
            <w:pPr>
              <w:pStyle w:val="TMGTableText"/>
            </w:pPr>
            <w:r w:rsidRPr="0051590D">
              <w:t>Posted Route Signing</w:t>
            </w:r>
            <w:r>
              <w:t xml:space="preserve"> (PRS)</w:t>
            </w:r>
          </w:p>
        </w:tc>
        <w:tc>
          <w:tcPr>
            <w:tcW w:w="1861" w:type="dxa"/>
            <w:vAlign w:val="center"/>
          </w:tcPr>
          <w:p w14:paraId="7AE1DCFB" w14:textId="5D226E1A" w:rsidR="002F02C4" w:rsidRPr="004859C8" w:rsidRDefault="002F02C4" w:rsidP="006428F4">
            <w:pPr>
              <w:pStyle w:val="TMGTableText"/>
              <w:jc w:val="center"/>
            </w:pPr>
            <w:r>
              <w:t>Integer</w:t>
            </w:r>
          </w:p>
        </w:tc>
        <w:tc>
          <w:tcPr>
            <w:tcW w:w="2014" w:type="dxa"/>
            <w:vAlign w:val="center"/>
          </w:tcPr>
          <w:p w14:paraId="45E78B7C" w14:textId="0CE6D49C" w:rsidR="002F02C4" w:rsidRPr="00C251E9" w:rsidRDefault="002F02C4" w:rsidP="006428F4">
            <w:pPr>
              <w:pStyle w:val="TMGTableText"/>
              <w:jc w:val="center"/>
            </w:pPr>
            <w:r>
              <w:t>Required</w:t>
            </w:r>
          </w:p>
        </w:tc>
      </w:tr>
      <w:tr w:rsidR="002F02C4" w14:paraId="6643C8C0" w14:textId="77777777" w:rsidTr="006428F4">
        <w:trPr>
          <w:jc w:val="center"/>
        </w:trPr>
        <w:tc>
          <w:tcPr>
            <w:tcW w:w="625" w:type="dxa"/>
            <w:vAlign w:val="center"/>
          </w:tcPr>
          <w:p w14:paraId="55373CCE" w14:textId="0E770D23" w:rsidR="002F02C4" w:rsidRPr="00C251E9" w:rsidRDefault="002F02C4" w:rsidP="0069790B">
            <w:pPr>
              <w:pStyle w:val="TMGTableText"/>
              <w:ind w:left="0" w:right="115"/>
              <w:jc w:val="right"/>
            </w:pPr>
            <w:r w:rsidRPr="00804074">
              <w:t>21</w:t>
            </w:r>
          </w:p>
        </w:tc>
        <w:tc>
          <w:tcPr>
            <w:tcW w:w="810" w:type="dxa"/>
            <w:vAlign w:val="center"/>
          </w:tcPr>
          <w:p w14:paraId="4324983B" w14:textId="083FAE7E" w:rsidR="002F02C4" w:rsidRPr="004859C8" w:rsidRDefault="002F02C4" w:rsidP="0069790B">
            <w:pPr>
              <w:pStyle w:val="TMGTableText"/>
              <w:ind w:left="0" w:right="216"/>
              <w:jc w:val="right"/>
            </w:pPr>
            <w:r w:rsidRPr="0051590D">
              <w:t>8</w:t>
            </w:r>
          </w:p>
        </w:tc>
        <w:tc>
          <w:tcPr>
            <w:tcW w:w="4050" w:type="dxa"/>
            <w:vAlign w:val="center"/>
          </w:tcPr>
          <w:p w14:paraId="1F6BE4A1" w14:textId="0E15C2C9" w:rsidR="002F02C4" w:rsidRPr="004859C8" w:rsidRDefault="002F02C4" w:rsidP="00917D58">
            <w:pPr>
              <w:pStyle w:val="TMGTableText"/>
            </w:pPr>
            <w:r w:rsidRPr="0051590D">
              <w:t xml:space="preserve">Posted </w:t>
            </w:r>
            <w:r>
              <w:t xml:space="preserve">Route </w:t>
            </w:r>
            <w:r w:rsidRPr="0051590D">
              <w:t>Sign Number</w:t>
            </w:r>
            <w:r>
              <w:t xml:space="preserve"> (PRSN)</w:t>
            </w:r>
          </w:p>
        </w:tc>
        <w:tc>
          <w:tcPr>
            <w:tcW w:w="1861" w:type="dxa"/>
            <w:vAlign w:val="center"/>
          </w:tcPr>
          <w:p w14:paraId="092EB874" w14:textId="73DE5688" w:rsidR="002F02C4" w:rsidRPr="004859C8" w:rsidRDefault="002F02C4" w:rsidP="006428F4">
            <w:pPr>
              <w:pStyle w:val="TMGTableText"/>
              <w:jc w:val="center"/>
            </w:pPr>
            <w:r>
              <w:t>Alphanumeric</w:t>
            </w:r>
          </w:p>
        </w:tc>
        <w:tc>
          <w:tcPr>
            <w:tcW w:w="2014" w:type="dxa"/>
            <w:vAlign w:val="center"/>
          </w:tcPr>
          <w:p w14:paraId="6066E3F3" w14:textId="33AAA47B" w:rsidR="002F02C4" w:rsidRPr="00C251E9" w:rsidRDefault="002F02C4" w:rsidP="006428F4">
            <w:pPr>
              <w:pStyle w:val="TMGTableText"/>
              <w:jc w:val="center"/>
            </w:pPr>
            <w:r>
              <w:t>Required</w:t>
            </w:r>
          </w:p>
        </w:tc>
      </w:tr>
      <w:tr w:rsidR="002F02C4" w14:paraId="1D5D831D" w14:textId="77777777" w:rsidTr="006428F4">
        <w:trPr>
          <w:jc w:val="center"/>
        </w:trPr>
        <w:tc>
          <w:tcPr>
            <w:tcW w:w="625" w:type="dxa"/>
            <w:vAlign w:val="center"/>
          </w:tcPr>
          <w:p w14:paraId="51796808" w14:textId="3474CCF0" w:rsidR="002F02C4" w:rsidRPr="00C251E9" w:rsidRDefault="002F02C4" w:rsidP="0069790B">
            <w:pPr>
              <w:pStyle w:val="TMGTableText"/>
              <w:ind w:left="0" w:right="115"/>
              <w:jc w:val="right"/>
            </w:pPr>
            <w:r w:rsidRPr="00804074">
              <w:t>22</w:t>
            </w:r>
          </w:p>
        </w:tc>
        <w:tc>
          <w:tcPr>
            <w:tcW w:w="810" w:type="dxa"/>
            <w:vAlign w:val="center"/>
          </w:tcPr>
          <w:p w14:paraId="3998E588" w14:textId="7FE6ED3F" w:rsidR="002F02C4" w:rsidRPr="004859C8" w:rsidRDefault="002F02C4" w:rsidP="0069790B">
            <w:pPr>
              <w:pStyle w:val="TMGTableText"/>
              <w:ind w:left="0" w:right="216"/>
              <w:jc w:val="right"/>
            </w:pPr>
            <w:r w:rsidRPr="0051590D">
              <w:t>50</w:t>
            </w:r>
          </w:p>
        </w:tc>
        <w:tc>
          <w:tcPr>
            <w:tcW w:w="4050" w:type="dxa"/>
            <w:vAlign w:val="center"/>
          </w:tcPr>
          <w:p w14:paraId="26D7886E" w14:textId="592896D3" w:rsidR="002F02C4" w:rsidRPr="004859C8" w:rsidRDefault="002F02C4" w:rsidP="00917D58">
            <w:pPr>
              <w:pStyle w:val="TMGTableText"/>
            </w:pPr>
            <w:r w:rsidRPr="0051590D">
              <w:t>Station Location</w:t>
            </w:r>
            <w:r>
              <w:t xml:space="preserve"> Description (STALOC)</w:t>
            </w:r>
          </w:p>
        </w:tc>
        <w:tc>
          <w:tcPr>
            <w:tcW w:w="1861" w:type="dxa"/>
            <w:vAlign w:val="center"/>
          </w:tcPr>
          <w:p w14:paraId="3599BB8E" w14:textId="052F101F" w:rsidR="002F02C4" w:rsidRPr="004859C8" w:rsidRDefault="002F02C4" w:rsidP="006428F4">
            <w:pPr>
              <w:pStyle w:val="TMGTableText"/>
              <w:jc w:val="center"/>
            </w:pPr>
            <w:r>
              <w:t>Alphanumeric</w:t>
            </w:r>
          </w:p>
        </w:tc>
        <w:tc>
          <w:tcPr>
            <w:tcW w:w="2014" w:type="dxa"/>
            <w:vAlign w:val="center"/>
          </w:tcPr>
          <w:p w14:paraId="65BCF706" w14:textId="798A2536" w:rsidR="002F02C4" w:rsidRPr="00C251E9" w:rsidRDefault="002F02C4" w:rsidP="006428F4">
            <w:pPr>
              <w:pStyle w:val="TMGTableText"/>
              <w:jc w:val="center"/>
            </w:pPr>
            <w:r>
              <w:t>Required</w:t>
            </w:r>
          </w:p>
        </w:tc>
      </w:tr>
    </w:tbl>
    <w:p w14:paraId="63E138B9" w14:textId="77777777" w:rsidR="009B7AED" w:rsidRDefault="009B7AED" w:rsidP="002F02C4">
      <w:pPr>
        <w:pStyle w:val="Source"/>
        <w:spacing w:before="60" w:after="0"/>
        <w:ind w:left="547" w:hanging="547"/>
      </w:pPr>
      <w:r>
        <w:t>Note:</w:t>
      </w:r>
      <w:r>
        <w:tab/>
        <w:t xml:space="preserve">Fields designated as </w:t>
      </w:r>
      <w:r>
        <w:rPr>
          <w:rStyle w:val="Italic"/>
          <w:iCs/>
        </w:rPr>
        <w:t>Required</w:t>
      </w:r>
      <w:r>
        <w:t xml:space="preserve"> must be reported.</w:t>
      </w:r>
    </w:p>
    <w:p w14:paraId="524A0A24" w14:textId="77777777" w:rsidR="009B7AED" w:rsidRDefault="009B7AED" w:rsidP="002F02C4">
      <w:pPr>
        <w:pStyle w:val="Source"/>
        <w:spacing w:before="60" w:after="0"/>
        <w:ind w:left="547" w:hanging="547"/>
      </w:pPr>
      <w:r>
        <w:tab/>
        <w:t xml:space="preserve">Fields designated as </w:t>
      </w:r>
      <w:r>
        <w:rPr>
          <w:rStyle w:val="Italic"/>
          <w:iCs/>
        </w:rPr>
        <w:t>Optional</w:t>
      </w:r>
      <w:r>
        <w:t xml:space="preserve"> are not required to be reported.</w:t>
      </w:r>
    </w:p>
    <w:p w14:paraId="7D73E75C" w14:textId="77777777" w:rsidR="009B7AED" w:rsidRDefault="009B7AED" w:rsidP="002F02C4">
      <w:pPr>
        <w:pStyle w:val="Source"/>
        <w:spacing w:before="60" w:after="0"/>
        <w:ind w:left="547" w:hanging="547"/>
      </w:pPr>
      <w:r>
        <w:tab/>
        <w:t xml:space="preserve">Fields designated as </w:t>
      </w:r>
      <w:r>
        <w:rPr>
          <w:rStyle w:val="Italic"/>
          <w:iCs/>
        </w:rPr>
        <w:t>Required/Optional</w:t>
      </w:r>
      <w:r>
        <w:t xml:space="preserve"> could be either required or optional based on values used for other related fields.</w:t>
      </w:r>
    </w:p>
    <w:p w14:paraId="627F9DEB" w14:textId="77777777" w:rsidR="009B7AED" w:rsidRDefault="009B7AED" w:rsidP="00A35EAF">
      <w:pPr>
        <w:pStyle w:val="BodyText"/>
      </w:pPr>
      <w:r>
        <w:lastRenderedPageBreak/>
        <w:t>The fields for the Station Description record are:</w:t>
      </w:r>
    </w:p>
    <w:p w14:paraId="54DA36FB" w14:textId="77777777" w:rsidR="009B7AED" w:rsidRDefault="009B7AED">
      <w:pPr>
        <w:pStyle w:val="ListCS1BulletsandNumbering"/>
        <w:numPr>
          <w:ilvl w:val="0"/>
          <w:numId w:val="44"/>
        </w:numPr>
        <w:spacing w:before="0" w:after="120"/>
        <w:ind w:left="648"/>
      </w:pPr>
      <w:r>
        <w:t xml:space="preserve">Record Type – </w:t>
      </w:r>
      <w:r>
        <w:rPr>
          <w:rStyle w:val="Italic"/>
          <w:iCs/>
        </w:rPr>
        <w:t>Required</w:t>
      </w:r>
    </w:p>
    <w:p w14:paraId="527C29A1" w14:textId="77777777" w:rsidR="009B7AED" w:rsidRDefault="009B7AED" w:rsidP="00F36C9B">
      <w:pPr>
        <w:pStyle w:val="BulletcontinuedBulletsandNumbering"/>
        <w:tabs>
          <w:tab w:val="clear" w:pos="1440"/>
        </w:tabs>
        <w:ind w:left="648"/>
      </w:pPr>
      <w:r>
        <w:t>S = station description record (Code the letter “S” in the first column.)</w:t>
      </w:r>
    </w:p>
    <w:p w14:paraId="0055D54B" w14:textId="0319786C" w:rsidR="009B7AED" w:rsidRDefault="009B7AED">
      <w:pPr>
        <w:pStyle w:val="ListCS1BulletsandNumbering"/>
        <w:numPr>
          <w:ilvl w:val="0"/>
          <w:numId w:val="44"/>
        </w:numPr>
        <w:spacing w:before="0" w:after="120"/>
        <w:ind w:left="648"/>
        <w:rPr>
          <w:rStyle w:val="Italic"/>
          <w:iCs/>
        </w:rPr>
      </w:pPr>
      <w:r>
        <w:t xml:space="preserve">State FIPS Codes – </w:t>
      </w:r>
      <w:r>
        <w:rPr>
          <w:rStyle w:val="Italic"/>
          <w:iCs/>
        </w:rPr>
        <w:t>Required</w:t>
      </w:r>
    </w:p>
    <w:p w14:paraId="77E43C84" w14:textId="78C4625F" w:rsidR="009B7AED" w:rsidRPr="002F02C4" w:rsidRDefault="00773DFE" w:rsidP="00F36C9B">
      <w:pPr>
        <w:pStyle w:val="BulletcontinuedBulletsandNumbering"/>
        <w:tabs>
          <w:tab w:val="clear" w:pos="1440"/>
        </w:tabs>
        <w:ind w:left="648"/>
      </w:pPr>
      <w:r>
        <w:fldChar w:fldCharType="begin"/>
      </w:r>
      <w:r>
        <w:instrText xml:space="preserve"> REF _Ref111022583 </w:instrText>
      </w:r>
      <w:r w:rsidR="002F02C4">
        <w:instrText xml:space="preserve"> \* MERGEFORMAT </w:instrText>
      </w:r>
      <w:r>
        <w:fldChar w:fldCharType="separate"/>
      </w:r>
      <w:r w:rsidR="00C07DF9">
        <w:t>Table 4</w:t>
      </w:r>
      <w:r w:rsidR="00C07DF9">
        <w:noBreakHyphen/>
        <w:t>3</w:t>
      </w:r>
      <w:r>
        <w:fldChar w:fldCharType="end"/>
      </w:r>
      <w:r w:rsidR="009B7AED">
        <w:t xml:space="preserve"> lists the codes for each lane.</w:t>
      </w:r>
    </w:p>
    <w:p w14:paraId="09F27C7C" w14:textId="72E9325D" w:rsidR="009B7AED" w:rsidRDefault="009B7AED" w:rsidP="000F2A7A">
      <w:pPr>
        <w:pStyle w:val="TMGTableCaption"/>
      </w:pPr>
      <w:bookmarkStart w:id="2825" w:name="_Ref111022583"/>
      <w:bookmarkStart w:id="2826" w:name="_Toc109333445"/>
      <w:bookmarkStart w:id="2827" w:name="_Toc109333773"/>
      <w:bookmarkStart w:id="2828" w:name="_Toc113282508"/>
      <w:bookmarkStart w:id="2829" w:name="_Toc114474845"/>
      <w:bookmarkStart w:id="2830" w:name="_Toc120631151"/>
      <w:r>
        <w:t xml:space="preserve">Table </w:t>
      </w:r>
      <w:fldSimple w:instr=" STYLEREF 1 \s ">
        <w:r w:rsidR="00C07DF9">
          <w:rPr>
            <w:noProof/>
          </w:rPr>
          <w:t>4</w:t>
        </w:r>
      </w:fldSimple>
      <w:r>
        <w:noBreakHyphen/>
      </w:r>
      <w:fldSimple w:instr=" SEQ Table \* ARABIC \s 1 ">
        <w:r w:rsidR="00C07DF9">
          <w:rPr>
            <w:noProof/>
          </w:rPr>
          <w:t>3</w:t>
        </w:r>
      </w:fldSimple>
      <w:bookmarkEnd w:id="2825"/>
      <w:r w:rsidR="00627DD7">
        <w:t>.</w:t>
      </w:r>
      <w:r>
        <w:t xml:space="preserve"> </w:t>
      </w:r>
      <w:r w:rsidRPr="007B2A21">
        <w:t>FIPS State Codes</w:t>
      </w:r>
      <w:bookmarkEnd w:id="2826"/>
      <w:bookmarkEnd w:id="2827"/>
      <w:bookmarkEnd w:id="2828"/>
      <w:bookmarkEnd w:id="2829"/>
      <w:bookmarkEnd w:id="2830"/>
    </w:p>
    <w:tbl>
      <w:tblPr>
        <w:tblStyle w:val="TableGrid"/>
        <w:tblW w:w="7560" w:type="dxa"/>
        <w:jc w:val="center"/>
        <w:tblCellMar>
          <w:left w:w="86" w:type="dxa"/>
          <w:right w:w="86" w:type="dxa"/>
        </w:tblCellMar>
        <w:tblLook w:val="04A0" w:firstRow="1" w:lastRow="0" w:firstColumn="1" w:lastColumn="0" w:noHBand="0" w:noVBand="1"/>
      </w:tblPr>
      <w:tblGrid>
        <w:gridCol w:w="1366"/>
        <w:gridCol w:w="729"/>
        <w:gridCol w:w="1548"/>
        <w:gridCol w:w="820"/>
        <w:gridCol w:w="2368"/>
        <w:gridCol w:w="729"/>
      </w:tblGrid>
      <w:tr w:rsidR="008A3E72" w14:paraId="1F26E6CB" w14:textId="77777777" w:rsidTr="00C746C6">
        <w:trPr>
          <w:jc w:val="center"/>
        </w:trPr>
        <w:tc>
          <w:tcPr>
            <w:tcW w:w="1350" w:type="dxa"/>
            <w:tcBorders>
              <w:right w:val="single" w:sz="4" w:space="0" w:color="FFFFFF" w:themeColor="background1"/>
            </w:tcBorders>
            <w:shd w:val="clear" w:color="auto" w:fill="1F3864"/>
          </w:tcPr>
          <w:p w14:paraId="5301A9B3" w14:textId="6A4196BB" w:rsidR="008A3E72" w:rsidRDefault="008A3E72" w:rsidP="0017389B">
            <w:pPr>
              <w:pStyle w:val="TMGTableTextHeader"/>
            </w:pPr>
            <w:r w:rsidRPr="0051590D">
              <w:rPr>
                <w:rFonts w:eastAsiaTheme="minorEastAsia"/>
              </w:rPr>
              <w:t>State</w:t>
            </w:r>
          </w:p>
        </w:tc>
        <w:tc>
          <w:tcPr>
            <w:tcW w:w="720" w:type="dxa"/>
            <w:tcBorders>
              <w:left w:val="single" w:sz="4" w:space="0" w:color="FFFFFF" w:themeColor="background1"/>
              <w:right w:val="single" w:sz="4" w:space="0" w:color="FFFFFF" w:themeColor="background1"/>
            </w:tcBorders>
            <w:shd w:val="clear" w:color="auto" w:fill="1F3864"/>
          </w:tcPr>
          <w:p w14:paraId="01D81611" w14:textId="71407A64" w:rsidR="008A3E72" w:rsidRDefault="008A3E72" w:rsidP="0017389B">
            <w:pPr>
              <w:pStyle w:val="TMGTableTextHeader"/>
              <w:rPr>
                <w:rFonts w:eastAsia="MS Mincho"/>
              </w:rPr>
            </w:pPr>
            <w:r w:rsidRPr="0051590D">
              <w:rPr>
                <w:rFonts w:eastAsiaTheme="minorEastAsia"/>
              </w:rPr>
              <w:t>Code</w:t>
            </w:r>
          </w:p>
        </w:tc>
        <w:tc>
          <w:tcPr>
            <w:tcW w:w="1530" w:type="dxa"/>
            <w:tcBorders>
              <w:left w:val="single" w:sz="4" w:space="0" w:color="FFFFFF" w:themeColor="background1"/>
              <w:right w:val="single" w:sz="4" w:space="0" w:color="FFFFFF" w:themeColor="background1"/>
            </w:tcBorders>
            <w:shd w:val="clear" w:color="auto" w:fill="1F3864"/>
          </w:tcPr>
          <w:p w14:paraId="59D33C14" w14:textId="51A45533" w:rsidR="008A3E72" w:rsidRDefault="008A3E72" w:rsidP="0017389B">
            <w:pPr>
              <w:pStyle w:val="TMGTableTextHeader"/>
              <w:rPr>
                <w:rFonts w:eastAsia="MS Mincho"/>
              </w:rPr>
            </w:pPr>
            <w:r w:rsidRPr="0051590D">
              <w:rPr>
                <w:rFonts w:eastAsiaTheme="minorEastAsia"/>
              </w:rPr>
              <w:t>State</w:t>
            </w:r>
          </w:p>
        </w:tc>
        <w:tc>
          <w:tcPr>
            <w:tcW w:w="810" w:type="dxa"/>
            <w:tcBorders>
              <w:left w:val="single" w:sz="4" w:space="0" w:color="FFFFFF" w:themeColor="background1"/>
              <w:right w:val="single" w:sz="4" w:space="0" w:color="FFFFFF" w:themeColor="background1"/>
            </w:tcBorders>
            <w:shd w:val="clear" w:color="auto" w:fill="1F3864"/>
          </w:tcPr>
          <w:p w14:paraId="28B2C44B" w14:textId="28655D92" w:rsidR="008A3E72" w:rsidRDefault="008A3E72" w:rsidP="0017389B">
            <w:pPr>
              <w:pStyle w:val="TMGTableTextHeader"/>
              <w:rPr>
                <w:rFonts w:eastAsia="MS Mincho"/>
              </w:rPr>
            </w:pPr>
            <w:r w:rsidRPr="0051590D">
              <w:rPr>
                <w:rFonts w:eastAsiaTheme="minorEastAsia"/>
              </w:rPr>
              <w:t>Code</w:t>
            </w:r>
          </w:p>
        </w:tc>
        <w:tc>
          <w:tcPr>
            <w:tcW w:w="2340" w:type="dxa"/>
            <w:tcBorders>
              <w:left w:val="single" w:sz="4" w:space="0" w:color="FFFFFF" w:themeColor="background1"/>
              <w:right w:val="single" w:sz="4" w:space="0" w:color="FFFFFF" w:themeColor="background1"/>
            </w:tcBorders>
            <w:shd w:val="clear" w:color="auto" w:fill="1F3864"/>
          </w:tcPr>
          <w:p w14:paraId="6D2132A8" w14:textId="53C36DEC" w:rsidR="008A3E72" w:rsidRDefault="008A3E72" w:rsidP="0017389B">
            <w:pPr>
              <w:pStyle w:val="TMGTableTextHeader"/>
              <w:rPr>
                <w:rFonts w:eastAsia="MS Mincho"/>
              </w:rPr>
            </w:pPr>
            <w:r w:rsidRPr="0051590D">
              <w:rPr>
                <w:rFonts w:eastAsiaTheme="minorEastAsia"/>
              </w:rPr>
              <w:t>State</w:t>
            </w:r>
          </w:p>
        </w:tc>
        <w:tc>
          <w:tcPr>
            <w:tcW w:w="720" w:type="dxa"/>
            <w:tcBorders>
              <w:left w:val="single" w:sz="4" w:space="0" w:color="FFFFFF" w:themeColor="background1"/>
            </w:tcBorders>
            <w:shd w:val="clear" w:color="auto" w:fill="1F3864"/>
          </w:tcPr>
          <w:p w14:paraId="2DA146D3" w14:textId="0B5CE64E" w:rsidR="008A3E72" w:rsidRDefault="008A3E72" w:rsidP="0017389B">
            <w:pPr>
              <w:pStyle w:val="TMGTableTextHeader"/>
            </w:pPr>
            <w:r w:rsidRPr="0051590D">
              <w:rPr>
                <w:rFonts w:eastAsiaTheme="minorEastAsia"/>
              </w:rPr>
              <w:t>Code</w:t>
            </w:r>
          </w:p>
        </w:tc>
      </w:tr>
      <w:tr w:rsidR="008A3E72" w14:paraId="26C6A15F" w14:textId="77777777" w:rsidTr="00C746C6">
        <w:trPr>
          <w:jc w:val="center"/>
        </w:trPr>
        <w:tc>
          <w:tcPr>
            <w:tcW w:w="1350" w:type="dxa"/>
          </w:tcPr>
          <w:p w14:paraId="3270C0EE" w14:textId="22F18768" w:rsidR="008A3E72" w:rsidRPr="00C251E9" w:rsidRDefault="008A3E72" w:rsidP="00917D58">
            <w:pPr>
              <w:pStyle w:val="TMGTableText"/>
              <w:rPr>
                <w:b/>
                <w:bCs/>
              </w:rPr>
            </w:pPr>
            <w:r w:rsidRPr="007F0925">
              <w:t>Alabama</w:t>
            </w:r>
          </w:p>
        </w:tc>
        <w:tc>
          <w:tcPr>
            <w:tcW w:w="720" w:type="dxa"/>
          </w:tcPr>
          <w:p w14:paraId="2AA6335E" w14:textId="26E472C1" w:rsidR="008A3E72" w:rsidRPr="008A3E72" w:rsidRDefault="008A3E72" w:rsidP="00E220E9">
            <w:pPr>
              <w:pStyle w:val="TMGTableText"/>
              <w:ind w:left="0" w:right="187"/>
              <w:jc w:val="right"/>
            </w:pPr>
            <w:r w:rsidRPr="007F0925">
              <w:t>1</w:t>
            </w:r>
          </w:p>
        </w:tc>
        <w:tc>
          <w:tcPr>
            <w:tcW w:w="1530" w:type="dxa"/>
          </w:tcPr>
          <w:p w14:paraId="450D6CDF" w14:textId="25132504" w:rsidR="008A3E72" w:rsidRPr="004859C8" w:rsidRDefault="008A3E72" w:rsidP="00917D58">
            <w:pPr>
              <w:pStyle w:val="TMGTableText"/>
            </w:pPr>
            <w:r w:rsidRPr="007F0925">
              <w:t xml:space="preserve">Maine </w:t>
            </w:r>
          </w:p>
        </w:tc>
        <w:tc>
          <w:tcPr>
            <w:tcW w:w="810" w:type="dxa"/>
          </w:tcPr>
          <w:p w14:paraId="63525B20" w14:textId="6A7FC831" w:rsidR="008A3E72" w:rsidRPr="008A3E72" w:rsidRDefault="008A3E72" w:rsidP="00E220E9">
            <w:pPr>
              <w:pStyle w:val="TMGTableText"/>
              <w:ind w:left="0" w:right="187"/>
              <w:jc w:val="right"/>
            </w:pPr>
            <w:r w:rsidRPr="007F0925">
              <w:t>23</w:t>
            </w:r>
          </w:p>
        </w:tc>
        <w:tc>
          <w:tcPr>
            <w:tcW w:w="2340" w:type="dxa"/>
          </w:tcPr>
          <w:p w14:paraId="697ECE76" w14:textId="432FF36A" w:rsidR="008A3E72" w:rsidRPr="004859C8" w:rsidRDefault="008A3E72" w:rsidP="00917D58">
            <w:pPr>
              <w:pStyle w:val="TMGTableText"/>
            </w:pPr>
            <w:r w:rsidRPr="007F0925">
              <w:t xml:space="preserve">Pennsylvania </w:t>
            </w:r>
          </w:p>
        </w:tc>
        <w:tc>
          <w:tcPr>
            <w:tcW w:w="720" w:type="dxa"/>
          </w:tcPr>
          <w:p w14:paraId="40C37E07" w14:textId="219A0DC4" w:rsidR="008A3E72" w:rsidRPr="008A3E72" w:rsidRDefault="008A3E72" w:rsidP="00E220E9">
            <w:pPr>
              <w:pStyle w:val="TMGTableText"/>
              <w:ind w:left="0" w:right="187"/>
              <w:jc w:val="right"/>
            </w:pPr>
            <w:r w:rsidRPr="007F0925">
              <w:t>42</w:t>
            </w:r>
          </w:p>
        </w:tc>
      </w:tr>
      <w:tr w:rsidR="008A3E72" w14:paraId="617629FC" w14:textId="77777777" w:rsidTr="00C746C6">
        <w:trPr>
          <w:jc w:val="center"/>
        </w:trPr>
        <w:tc>
          <w:tcPr>
            <w:tcW w:w="1350" w:type="dxa"/>
          </w:tcPr>
          <w:p w14:paraId="2D297049" w14:textId="2E0ECD07" w:rsidR="008A3E72" w:rsidRPr="00C251E9" w:rsidRDefault="008A3E72" w:rsidP="00917D58">
            <w:pPr>
              <w:pStyle w:val="TMGTableText"/>
              <w:rPr>
                <w:b/>
                <w:bCs/>
              </w:rPr>
            </w:pPr>
            <w:r w:rsidRPr="007F0925">
              <w:t>Alaska</w:t>
            </w:r>
          </w:p>
        </w:tc>
        <w:tc>
          <w:tcPr>
            <w:tcW w:w="720" w:type="dxa"/>
          </w:tcPr>
          <w:p w14:paraId="29C571E5" w14:textId="08DC618F" w:rsidR="008A3E72" w:rsidRPr="008A3E72" w:rsidRDefault="008A3E72" w:rsidP="00E220E9">
            <w:pPr>
              <w:pStyle w:val="TMGTableText"/>
              <w:ind w:left="0" w:right="187"/>
              <w:jc w:val="right"/>
            </w:pPr>
            <w:r w:rsidRPr="007F0925">
              <w:t>2</w:t>
            </w:r>
          </w:p>
        </w:tc>
        <w:tc>
          <w:tcPr>
            <w:tcW w:w="1530" w:type="dxa"/>
          </w:tcPr>
          <w:p w14:paraId="16AF1BB6" w14:textId="09976087" w:rsidR="008A3E72" w:rsidRPr="004859C8" w:rsidRDefault="008A3E72" w:rsidP="00917D58">
            <w:pPr>
              <w:pStyle w:val="TMGTableText"/>
            </w:pPr>
            <w:r w:rsidRPr="007F0925">
              <w:t>Maryland</w:t>
            </w:r>
          </w:p>
        </w:tc>
        <w:tc>
          <w:tcPr>
            <w:tcW w:w="810" w:type="dxa"/>
          </w:tcPr>
          <w:p w14:paraId="03207208" w14:textId="0F5EC9A7" w:rsidR="008A3E72" w:rsidRPr="008A3E72" w:rsidRDefault="008A3E72" w:rsidP="00E220E9">
            <w:pPr>
              <w:pStyle w:val="TMGTableText"/>
              <w:ind w:left="0" w:right="187"/>
              <w:jc w:val="right"/>
            </w:pPr>
            <w:r w:rsidRPr="007F0925">
              <w:t>24</w:t>
            </w:r>
          </w:p>
        </w:tc>
        <w:tc>
          <w:tcPr>
            <w:tcW w:w="2340" w:type="dxa"/>
          </w:tcPr>
          <w:p w14:paraId="0EC3449F" w14:textId="426ABE65" w:rsidR="008A3E72" w:rsidRPr="004859C8" w:rsidRDefault="008A3E72" w:rsidP="00917D58">
            <w:pPr>
              <w:pStyle w:val="TMGTableText"/>
            </w:pPr>
            <w:r w:rsidRPr="007F0925">
              <w:t>Rhode Island</w:t>
            </w:r>
          </w:p>
        </w:tc>
        <w:tc>
          <w:tcPr>
            <w:tcW w:w="720" w:type="dxa"/>
          </w:tcPr>
          <w:p w14:paraId="742C4594" w14:textId="14170169" w:rsidR="008A3E72" w:rsidRPr="008A3E72" w:rsidRDefault="008A3E72" w:rsidP="00E220E9">
            <w:pPr>
              <w:pStyle w:val="TMGTableText"/>
              <w:ind w:left="0" w:right="187"/>
              <w:jc w:val="right"/>
            </w:pPr>
            <w:r w:rsidRPr="007F0925">
              <w:t>44</w:t>
            </w:r>
          </w:p>
        </w:tc>
      </w:tr>
      <w:tr w:rsidR="008A3E72" w14:paraId="0817833B" w14:textId="77777777" w:rsidTr="00C746C6">
        <w:trPr>
          <w:jc w:val="center"/>
        </w:trPr>
        <w:tc>
          <w:tcPr>
            <w:tcW w:w="1350" w:type="dxa"/>
          </w:tcPr>
          <w:p w14:paraId="147ABB00" w14:textId="519DCF04" w:rsidR="008A3E72" w:rsidRPr="00C251E9" w:rsidRDefault="008A3E72" w:rsidP="00917D58">
            <w:pPr>
              <w:pStyle w:val="TMGTableText"/>
              <w:rPr>
                <w:b/>
                <w:bCs/>
              </w:rPr>
            </w:pPr>
            <w:r w:rsidRPr="007F0925">
              <w:t>Arizona</w:t>
            </w:r>
          </w:p>
        </w:tc>
        <w:tc>
          <w:tcPr>
            <w:tcW w:w="720" w:type="dxa"/>
          </w:tcPr>
          <w:p w14:paraId="4364ACAB" w14:textId="2E1BBD4C" w:rsidR="008A3E72" w:rsidRPr="008A3E72" w:rsidRDefault="008A3E72" w:rsidP="00E220E9">
            <w:pPr>
              <w:pStyle w:val="TMGTableText"/>
              <w:ind w:left="0" w:right="187"/>
              <w:jc w:val="right"/>
            </w:pPr>
            <w:r w:rsidRPr="007F0925">
              <w:t>4</w:t>
            </w:r>
          </w:p>
        </w:tc>
        <w:tc>
          <w:tcPr>
            <w:tcW w:w="1530" w:type="dxa"/>
          </w:tcPr>
          <w:p w14:paraId="0840E268" w14:textId="7939D536" w:rsidR="008A3E72" w:rsidRPr="004859C8" w:rsidRDefault="008A3E72" w:rsidP="00917D58">
            <w:pPr>
              <w:pStyle w:val="TMGTableText"/>
            </w:pPr>
            <w:r w:rsidRPr="007F0925">
              <w:t xml:space="preserve">Massachusetts </w:t>
            </w:r>
          </w:p>
        </w:tc>
        <w:tc>
          <w:tcPr>
            <w:tcW w:w="810" w:type="dxa"/>
          </w:tcPr>
          <w:p w14:paraId="3C3A71CB" w14:textId="3AB57932" w:rsidR="008A3E72" w:rsidRPr="008A3E72" w:rsidRDefault="008A3E72" w:rsidP="00E220E9">
            <w:pPr>
              <w:pStyle w:val="TMGTableText"/>
              <w:ind w:left="0" w:right="187"/>
              <w:jc w:val="right"/>
            </w:pPr>
            <w:r w:rsidRPr="007F0925">
              <w:t>25</w:t>
            </w:r>
          </w:p>
        </w:tc>
        <w:tc>
          <w:tcPr>
            <w:tcW w:w="2340" w:type="dxa"/>
          </w:tcPr>
          <w:p w14:paraId="292C5390" w14:textId="5EF74150" w:rsidR="008A3E72" w:rsidRPr="004859C8" w:rsidRDefault="008A3E72" w:rsidP="00917D58">
            <w:pPr>
              <w:pStyle w:val="TMGTableText"/>
            </w:pPr>
            <w:r w:rsidRPr="007F0925">
              <w:t>South Carolina</w:t>
            </w:r>
          </w:p>
        </w:tc>
        <w:tc>
          <w:tcPr>
            <w:tcW w:w="720" w:type="dxa"/>
          </w:tcPr>
          <w:p w14:paraId="248E747C" w14:textId="4E918536" w:rsidR="008A3E72" w:rsidRPr="008A3E72" w:rsidRDefault="008A3E72" w:rsidP="00E220E9">
            <w:pPr>
              <w:pStyle w:val="TMGTableText"/>
              <w:ind w:left="0" w:right="187"/>
              <w:jc w:val="right"/>
            </w:pPr>
            <w:r w:rsidRPr="007F0925">
              <w:t>45</w:t>
            </w:r>
          </w:p>
        </w:tc>
      </w:tr>
      <w:tr w:rsidR="008A3E72" w14:paraId="10D946CE" w14:textId="77777777" w:rsidTr="00C746C6">
        <w:trPr>
          <w:jc w:val="center"/>
        </w:trPr>
        <w:tc>
          <w:tcPr>
            <w:tcW w:w="1350" w:type="dxa"/>
          </w:tcPr>
          <w:p w14:paraId="2D73B648" w14:textId="3FB038B7" w:rsidR="008A3E72" w:rsidRPr="00C251E9" w:rsidRDefault="008A3E72" w:rsidP="00917D58">
            <w:pPr>
              <w:pStyle w:val="TMGTableText"/>
              <w:rPr>
                <w:b/>
                <w:bCs/>
              </w:rPr>
            </w:pPr>
            <w:r w:rsidRPr="007F0925">
              <w:t>Arkansas</w:t>
            </w:r>
          </w:p>
        </w:tc>
        <w:tc>
          <w:tcPr>
            <w:tcW w:w="720" w:type="dxa"/>
          </w:tcPr>
          <w:p w14:paraId="4B24B7CE" w14:textId="667CA4FC" w:rsidR="008A3E72" w:rsidRPr="008A3E72" w:rsidRDefault="008A3E72" w:rsidP="00E220E9">
            <w:pPr>
              <w:pStyle w:val="TMGTableText"/>
              <w:ind w:left="0" w:right="187"/>
              <w:jc w:val="right"/>
            </w:pPr>
            <w:r w:rsidRPr="007F0925">
              <w:t>5</w:t>
            </w:r>
          </w:p>
        </w:tc>
        <w:tc>
          <w:tcPr>
            <w:tcW w:w="1530" w:type="dxa"/>
          </w:tcPr>
          <w:p w14:paraId="5AAC36E5" w14:textId="56D255F3" w:rsidR="008A3E72" w:rsidRPr="004859C8" w:rsidRDefault="008A3E72" w:rsidP="00917D58">
            <w:pPr>
              <w:pStyle w:val="TMGTableText"/>
            </w:pPr>
            <w:r w:rsidRPr="007F0925">
              <w:t>Michigan</w:t>
            </w:r>
          </w:p>
        </w:tc>
        <w:tc>
          <w:tcPr>
            <w:tcW w:w="810" w:type="dxa"/>
          </w:tcPr>
          <w:p w14:paraId="1BC2DFF6" w14:textId="5E383586" w:rsidR="008A3E72" w:rsidRPr="008A3E72" w:rsidRDefault="008A3E72" w:rsidP="00E220E9">
            <w:pPr>
              <w:pStyle w:val="TMGTableText"/>
              <w:ind w:left="0" w:right="187"/>
              <w:jc w:val="right"/>
            </w:pPr>
            <w:r w:rsidRPr="007F0925">
              <w:t>26</w:t>
            </w:r>
          </w:p>
        </w:tc>
        <w:tc>
          <w:tcPr>
            <w:tcW w:w="2340" w:type="dxa"/>
          </w:tcPr>
          <w:p w14:paraId="1E16A202" w14:textId="2D6A4540" w:rsidR="008A3E72" w:rsidRPr="004859C8" w:rsidRDefault="008A3E72" w:rsidP="00917D58">
            <w:pPr>
              <w:pStyle w:val="TMGTableText"/>
            </w:pPr>
            <w:r w:rsidRPr="007F0925">
              <w:t>South Dakota</w:t>
            </w:r>
          </w:p>
        </w:tc>
        <w:tc>
          <w:tcPr>
            <w:tcW w:w="720" w:type="dxa"/>
          </w:tcPr>
          <w:p w14:paraId="6551DEB2" w14:textId="60EF6D7B" w:rsidR="008A3E72" w:rsidRPr="008A3E72" w:rsidRDefault="008A3E72" w:rsidP="00E220E9">
            <w:pPr>
              <w:pStyle w:val="TMGTableText"/>
              <w:ind w:left="0" w:right="187"/>
              <w:jc w:val="right"/>
            </w:pPr>
            <w:r w:rsidRPr="007F0925">
              <w:t>46</w:t>
            </w:r>
          </w:p>
        </w:tc>
      </w:tr>
      <w:tr w:rsidR="008A3E72" w14:paraId="60D3F447" w14:textId="77777777" w:rsidTr="00C746C6">
        <w:trPr>
          <w:jc w:val="center"/>
        </w:trPr>
        <w:tc>
          <w:tcPr>
            <w:tcW w:w="1350" w:type="dxa"/>
          </w:tcPr>
          <w:p w14:paraId="2E3EC26E" w14:textId="5C480197" w:rsidR="008A3E72" w:rsidRPr="00C251E9" w:rsidRDefault="008A3E72" w:rsidP="00917D58">
            <w:pPr>
              <w:pStyle w:val="TMGTableText"/>
              <w:rPr>
                <w:b/>
                <w:bCs/>
              </w:rPr>
            </w:pPr>
            <w:r w:rsidRPr="007F0925">
              <w:t>California</w:t>
            </w:r>
          </w:p>
        </w:tc>
        <w:tc>
          <w:tcPr>
            <w:tcW w:w="720" w:type="dxa"/>
          </w:tcPr>
          <w:p w14:paraId="38B5B294" w14:textId="5171EC00" w:rsidR="008A3E72" w:rsidRPr="008A3E72" w:rsidRDefault="008A3E72" w:rsidP="00E220E9">
            <w:pPr>
              <w:pStyle w:val="TMGTableText"/>
              <w:ind w:left="0" w:right="187"/>
              <w:jc w:val="right"/>
            </w:pPr>
            <w:r w:rsidRPr="007F0925">
              <w:t>6</w:t>
            </w:r>
          </w:p>
        </w:tc>
        <w:tc>
          <w:tcPr>
            <w:tcW w:w="1530" w:type="dxa"/>
          </w:tcPr>
          <w:p w14:paraId="2D90AF95" w14:textId="1A77964B" w:rsidR="008A3E72" w:rsidRPr="004859C8" w:rsidRDefault="008A3E72" w:rsidP="00917D58">
            <w:pPr>
              <w:pStyle w:val="TMGTableText"/>
            </w:pPr>
            <w:r w:rsidRPr="007F0925">
              <w:t>Minnesota</w:t>
            </w:r>
          </w:p>
        </w:tc>
        <w:tc>
          <w:tcPr>
            <w:tcW w:w="810" w:type="dxa"/>
          </w:tcPr>
          <w:p w14:paraId="22ACBC79" w14:textId="78CD6A00" w:rsidR="008A3E72" w:rsidRPr="008A3E72" w:rsidRDefault="008A3E72" w:rsidP="00E220E9">
            <w:pPr>
              <w:pStyle w:val="TMGTableText"/>
              <w:ind w:left="0" w:right="187"/>
              <w:jc w:val="right"/>
            </w:pPr>
            <w:r w:rsidRPr="007F0925">
              <w:t>27</w:t>
            </w:r>
          </w:p>
        </w:tc>
        <w:tc>
          <w:tcPr>
            <w:tcW w:w="2340" w:type="dxa"/>
          </w:tcPr>
          <w:p w14:paraId="57C74386" w14:textId="7B686906" w:rsidR="008A3E72" w:rsidRPr="004859C8" w:rsidRDefault="008A3E72" w:rsidP="00917D58">
            <w:pPr>
              <w:pStyle w:val="TMGTableText"/>
            </w:pPr>
            <w:r w:rsidRPr="007F0925">
              <w:t xml:space="preserve">Tennessee </w:t>
            </w:r>
          </w:p>
        </w:tc>
        <w:tc>
          <w:tcPr>
            <w:tcW w:w="720" w:type="dxa"/>
          </w:tcPr>
          <w:p w14:paraId="12765628" w14:textId="6F920217" w:rsidR="008A3E72" w:rsidRPr="008A3E72" w:rsidRDefault="008A3E72" w:rsidP="00E220E9">
            <w:pPr>
              <w:pStyle w:val="TMGTableText"/>
              <w:ind w:left="0" w:right="187"/>
              <w:jc w:val="right"/>
            </w:pPr>
            <w:r w:rsidRPr="007F0925">
              <w:t>47</w:t>
            </w:r>
          </w:p>
        </w:tc>
      </w:tr>
      <w:tr w:rsidR="008A3E72" w14:paraId="788D9362" w14:textId="77777777" w:rsidTr="00C746C6">
        <w:trPr>
          <w:jc w:val="center"/>
        </w:trPr>
        <w:tc>
          <w:tcPr>
            <w:tcW w:w="1350" w:type="dxa"/>
          </w:tcPr>
          <w:p w14:paraId="1D3531AC" w14:textId="4F671062" w:rsidR="008A3E72" w:rsidRPr="00C251E9" w:rsidRDefault="008A3E72" w:rsidP="00917D58">
            <w:pPr>
              <w:pStyle w:val="TMGTableText"/>
              <w:rPr>
                <w:b/>
                <w:bCs/>
              </w:rPr>
            </w:pPr>
            <w:r w:rsidRPr="007F0925">
              <w:t>Colorado</w:t>
            </w:r>
          </w:p>
        </w:tc>
        <w:tc>
          <w:tcPr>
            <w:tcW w:w="720" w:type="dxa"/>
          </w:tcPr>
          <w:p w14:paraId="1CBF5C04" w14:textId="3FEC6C53" w:rsidR="008A3E72" w:rsidRPr="008A3E72" w:rsidRDefault="008A3E72" w:rsidP="00E220E9">
            <w:pPr>
              <w:pStyle w:val="TMGTableText"/>
              <w:ind w:left="0" w:right="187"/>
              <w:jc w:val="right"/>
            </w:pPr>
            <w:r w:rsidRPr="007F0925">
              <w:t>8</w:t>
            </w:r>
          </w:p>
        </w:tc>
        <w:tc>
          <w:tcPr>
            <w:tcW w:w="1530" w:type="dxa"/>
          </w:tcPr>
          <w:p w14:paraId="7439D8B2" w14:textId="6C047521" w:rsidR="008A3E72" w:rsidRPr="004859C8" w:rsidRDefault="008A3E72" w:rsidP="00917D58">
            <w:pPr>
              <w:pStyle w:val="TMGTableText"/>
            </w:pPr>
            <w:r w:rsidRPr="007F0925">
              <w:t xml:space="preserve">Mississippi </w:t>
            </w:r>
          </w:p>
        </w:tc>
        <w:tc>
          <w:tcPr>
            <w:tcW w:w="810" w:type="dxa"/>
          </w:tcPr>
          <w:p w14:paraId="6A3B1D4C" w14:textId="020E700C" w:rsidR="008A3E72" w:rsidRPr="008A3E72" w:rsidRDefault="008A3E72" w:rsidP="00E220E9">
            <w:pPr>
              <w:pStyle w:val="TMGTableText"/>
              <w:ind w:left="0" w:right="187"/>
              <w:jc w:val="right"/>
            </w:pPr>
            <w:r w:rsidRPr="007F0925">
              <w:t>28</w:t>
            </w:r>
          </w:p>
        </w:tc>
        <w:tc>
          <w:tcPr>
            <w:tcW w:w="2340" w:type="dxa"/>
          </w:tcPr>
          <w:p w14:paraId="78DFD787" w14:textId="7EED35FA" w:rsidR="008A3E72" w:rsidRPr="004859C8" w:rsidRDefault="008A3E72" w:rsidP="00917D58">
            <w:pPr>
              <w:pStyle w:val="TMGTableText"/>
            </w:pPr>
            <w:r w:rsidRPr="007F0925">
              <w:t>Texas</w:t>
            </w:r>
          </w:p>
        </w:tc>
        <w:tc>
          <w:tcPr>
            <w:tcW w:w="720" w:type="dxa"/>
          </w:tcPr>
          <w:p w14:paraId="3E5C5DF7" w14:textId="6D3CABCF" w:rsidR="008A3E72" w:rsidRPr="008A3E72" w:rsidRDefault="008A3E72" w:rsidP="00E220E9">
            <w:pPr>
              <w:pStyle w:val="TMGTableText"/>
              <w:ind w:left="0" w:right="187"/>
              <w:jc w:val="right"/>
            </w:pPr>
            <w:r w:rsidRPr="007F0925">
              <w:t>48</w:t>
            </w:r>
          </w:p>
        </w:tc>
      </w:tr>
      <w:tr w:rsidR="008A3E72" w14:paraId="5A27E351" w14:textId="77777777" w:rsidTr="00C746C6">
        <w:trPr>
          <w:jc w:val="center"/>
        </w:trPr>
        <w:tc>
          <w:tcPr>
            <w:tcW w:w="1350" w:type="dxa"/>
          </w:tcPr>
          <w:p w14:paraId="519363E4" w14:textId="4B981C02" w:rsidR="008A3E72" w:rsidRPr="00C251E9" w:rsidRDefault="008A3E72" w:rsidP="00917D58">
            <w:pPr>
              <w:pStyle w:val="TMGTableText"/>
              <w:rPr>
                <w:b/>
                <w:bCs/>
              </w:rPr>
            </w:pPr>
            <w:r w:rsidRPr="007F0925">
              <w:t>Connecticut</w:t>
            </w:r>
          </w:p>
        </w:tc>
        <w:tc>
          <w:tcPr>
            <w:tcW w:w="720" w:type="dxa"/>
          </w:tcPr>
          <w:p w14:paraId="1E6BFE11" w14:textId="257763A7" w:rsidR="008A3E72" w:rsidRPr="008A3E72" w:rsidRDefault="008A3E72" w:rsidP="00E220E9">
            <w:pPr>
              <w:pStyle w:val="TMGTableText"/>
              <w:ind w:left="0" w:right="187"/>
              <w:jc w:val="right"/>
            </w:pPr>
            <w:r w:rsidRPr="007F0925">
              <w:t>9</w:t>
            </w:r>
          </w:p>
        </w:tc>
        <w:tc>
          <w:tcPr>
            <w:tcW w:w="1530" w:type="dxa"/>
          </w:tcPr>
          <w:p w14:paraId="2FFE9CA8" w14:textId="7036B8DC" w:rsidR="008A3E72" w:rsidRPr="004859C8" w:rsidRDefault="008A3E72" w:rsidP="00917D58">
            <w:pPr>
              <w:pStyle w:val="TMGTableText"/>
            </w:pPr>
            <w:r w:rsidRPr="007F0925">
              <w:t>Missouri</w:t>
            </w:r>
          </w:p>
        </w:tc>
        <w:tc>
          <w:tcPr>
            <w:tcW w:w="810" w:type="dxa"/>
          </w:tcPr>
          <w:p w14:paraId="55CCA1A3" w14:textId="7E5EBCCA" w:rsidR="008A3E72" w:rsidRPr="008A3E72" w:rsidRDefault="008A3E72" w:rsidP="00E220E9">
            <w:pPr>
              <w:pStyle w:val="TMGTableText"/>
              <w:ind w:left="0" w:right="187"/>
              <w:jc w:val="right"/>
            </w:pPr>
            <w:r w:rsidRPr="007F0925">
              <w:t>29</w:t>
            </w:r>
          </w:p>
        </w:tc>
        <w:tc>
          <w:tcPr>
            <w:tcW w:w="2340" w:type="dxa"/>
          </w:tcPr>
          <w:p w14:paraId="2661C46E" w14:textId="137D8EBE" w:rsidR="008A3E72" w:rsidRPr="004859C8" w:rsidRDefault="008A3E72" w:rsidP="00917D58">
            <w:pPr>
              <w:pStyle w:val="TMGTableText"/>
            </w:pPr>
            <w:r w:rsidRPr="007F0925">
              <w:t>Utah</w:t>
            </w:r>
          </w:p>
        </w:tc>
        <w:tc>
          <w:tcPr>
            <w:tcW w:w="720" w:type="dxa"/>
          </w:tcPr>
          <w:p w14:paraId="0FB97E1D" w14:textId="52D9BE27" w:rsidR="008A3E72" w:rsidRPr="008A3E72" w:rsidRDefault="008A3E72" w:rsidP="00E220E9">
            <w:pPr>
              <w:pStyle w:val="TMGTableText"/>
              <w:ind w:left="0" w:right="187"/>
              <w:jc w:val="right"/>
            </w:pPr>
            <w:r w:rsidRPr="007F0925">
              <w:t>49</w:t>
            </w:r>
          </w:p>
        </w:tc>
      </w:tr>
      <w:tr w:rsidR="008A3E72" w14:paraId="182F2A15" w14:textId="77777777" w:rsidTr="00C746C6">
        <w:trPr>
          <w:jc w:val="center"/>
        </w:trPr>
        <w:tc>
          <w:tcPr>
            <w:tcW w:w="1350" w:type="dxa"/>
          </w:tcPr>
          <w:p w14:paraId="4734B035" w14:textId="0660C1AD" w:rsidR="008A3E72" w:rsidRPr="00C251E9" w:rsidRDefault="008A3E72" w:rsidP="00917D58">
            <w:pPr>
              <w:pStyle w:val="TMGTableText"/>
              <w:rPr>
                <w:b/>
                <w:bCs/>
              </w:rPr>
            </w:pPr>
            <w:r w:rsidRPr="007F0925">
              <w:t>Delaware</w:t>
            </w:r>
          </w:p>
        </w:tc>
        <w:tc>
          <w:tcPr>
            <w:tcW w:w="720" w:type="dxa"/>
          </w:tcPr>
          <w:p w14:paraId="4B58BF37" w14:textId="48F2C5B7" w:rsidR="008A3E72" w:rsidRPr="008A3E72" w:rsidRDefault="008A3E72" w:rsidP="00E220E9">
            <w:pPr>
              <w:pStyle w:val="TMGTableText"/>
              <w:ind w:left="0" w:right="187"/>
              <w:jc w:val="right"/>
            </w:pPr>
            <w:r w:rsidRPr="007F0925">
              <w:t>10</w:t>
            </w:r>
          </w:p>
        </w:tc>
        <w:tc>
          <w:tcPr>
            <w:tcW w:w="1530" w:type="dxa"/>
          </w:tcPr>
          <w:p w14:paraId="26AC7248" w14:textId="2497DC57" w:rsidR="008A3E72" w:rsidRPr="004859C8" w:rsidRDefault="008A3E72" w:rsidP="00917D58">
            <w:pPr>
              <w:pStyle w:val="TMGTableText"/>
            </w:pPr>
            <w:r w:rsidRPr="007F0925">
              <w:t>Montana</w:t>
            </w:r>
          </w:p>
        </w:tc>
        <w:tc>
          <w:tcPr>
            <w:tcW w:w="810" w:type="dxa"/>
          </w:tcPr>
          <w:p w14:paraId="40A8EAB4" w14:textId="70ECCDCB" w:rsidR="008A3E72" w:rsidRPr="008A3E72" w:rsidRDefault="008A3E72" w:rsidP="00E220E9">
            <w:pPr>
              <w:pStyle w:val="TMGTableText"/>
              <w:ind w:left="0" w:right="187"/>
              <w:jc w:val="right"/>
            </w:pPr>
            <w:r w:rsidRPr="007F0925">
              <w:t>30</w:t>
            </w:r>
          </w:p>
        </w:tc>
        <w:tc>
          <w:tcPr>
            <w:tcW w:w="2340" w:type="dxa"/>
          </w:tcPr>
          <w:p w14:paraId="2B40DE39" w14:textId="479FDCEE" w:rsidR="008A3E72" w:rsidRPr="004859C8" w:rsidRDefault="008A3E72" w:rsidP="00917D58">
            <w:pPr>
              <w:pStyle w:val="TMGTableText"/>
            </w:pPr>
            <w:r w:rsidRPr="007F0925">
              <w:t>Vermont</w:t>
            </w:r>
          </w:p>
        </w:tc>
        <w:tc>
          <w:tcPr>
            <w:tcW w:w="720" w:type="dxa"/>
          </w:tcPr>
          <w:p w14:paraId="7299FA95" w14:textId="5AEB7DC9" w:rsidR="008A3E72" w:rsidRPr="008A3E72" w:rsidRDefault="008A3E72" w:rsidP="00E220E9">
            <w:pPr>
              <w:pStyle w:val="TMGTableText"/>
              <w:ind w:left="0" w:right="187"/>
              <w:jc w:val="right"/>
            </w:pPr>
            <w:r w:rsidRPr="007F0925">
              <w:t>50</w:t>
            </w:r>
          </w:p>
        </w:tc>
      </w:tr>
      <w:tr w:rsidR="008A3E72" w14:paraId="6056FF62" w14:textId="77777777" w:rsidTr="00C746C6">
        <w:trPr>
          <w:jc w:val="center"/>
        </w:trPr>
        <w:tc>
          <w:tcPr>
            <w:tcW w:w="1350" w:type="dxa"/>
          </w:tcPr>
          <w:p w14:paraId="7063E517" w14:textId="1745745E" w:rsidR="008A3E72" w:rsidRPr="00C251E9" w:rsidRDefault="008A3E72" w:rsidP="00917D58">
            <w:pPr>
              <w:pStyle w:val="TMGTableText"/>
              <w:rPr>
                <w:b/>
                <w:bCs/>
              </w:rPr>
            </w:pPr>
            <w:r w:rsidRPr="007F0925">
              <w:t>D.C.</w:t>
            </w:r>
          </w:p>
        </w:tc>
        <w:tc>
          <w:tcPr>
            <w:tcW w:w="720" w:type="dxa"/>
          </w:tcPr>
          <w:p w14:paraId="43588BBB" w14:textId="5E8E06A6" w:rsidR="008A3E72" w:rsidRPr="008A3E72" w:rsidRDefault="008A3E72" w:rsidP="00E220E9">
            <w:pPr>
              <w:pStyle w:val="TMGTableText"/>
              <w:ind w:left="0" w:right="187"/>
              <w:jc w:val="right"/>
            </w:pPr>
            <w:r w:rsidRPr="007F0925">
              <w:t>11</w:t>
            </w:r>
          </w:p>
        </w:tc>
        <w:tc>
          <w:tcPr>
            <w:tcW w:w="1530" w:type="dxa"/>
          </w:tcPr>
          <w:p w14:paraId="36F55FD3" w14:textId="09A1F99B" w:rsidR="008A3E72" w:rsidRPr="004859C8" w:rsidRDefault="008A3E72" w:rsidP="00917D58">
            <w:pPr>
              <w:pStyle w:val="TMGTableText"/>
            </w:pPr>
            <w:r w:rsidRPr="007F0925">
              <w:t>Nebraska</w:t>
            </w:r>
          </w:p>
        </w:tc>
        <w:tc>
          <w:tcPr>
            <w:tcW w:w="810" w:type="dxa"/>
          </w:tcPr>
          <w:p w14:paraId="7E69E1CA" w14:textId="25F166FB" w:rsidR="008A3E72" w:rsidRPr="008A3E72" w:rsidRDefault="008A3E72" w:rsidP="00E220E9">
            <w:pPr>
              <w:pStyle w:val="TMGTableText"/>
              <w:ind w:left="0" w:right="187"/>
              <w:jc w:val="right"/>
            </w:pPr>
            <w:r w:rsidRPr="007F0925">
              <w:t>31</w:t>
            </w:r>
          </w:p>
        </w:tc>
        <w:tc>
          <w:tcPr>
            <w:tcW w:w="2340" w:type="dxa"/>
          </w:tcPr>
          <w:p w14:paraId="3F07EECE" w14:textId="39088373" w:rsidR="008A3E72" w:rsidRPr="004859C8" w:rsidRDefault="008A3E72" w:rsidP="00917D58">
            <w:pPr>
              <w:pStyle w:val="TMGTableText"/>
            </w:pPr>
            <w:r w:rsidRPr="007F0925">
              <w:t>Virginia</w:t>
            </w:r>
          </w:p>
        </w:tc>
        <w:tc>
          <w:tcPr>
            <w:tcW w:w="720" w:type="dxa"/>
          </w:tcPr>
          <w:p w14:paraId="2E612862" w14:textId="16A7AB92" w:rsidR="008A3E72" w:rsidRPr="008A3E72" w:rsidRDefault="008A3E72" w:rsidP="00E220E9">
            <w:pPr>
              <w:pStyle w:val="TMGTableText"/>
              <w:ind w:left="0" w:right="187"/>
              <w:jc w:val="right"/>
            </w:pPr>
            <w:r w:rsidRPr="007F0925">
              <w:t>51</w:t>
            </w:r>
          </w:p>
        </w:tc>
      </w:tr>
      <w:tr w:rsidR="008A3E72" w14:paraId="35E3A869" w14:textId="77777777" w:rsidTr="00C746C6">
        <w:trPr>
          <w:jc w:val="center"/>
        </w:trPr>
        <w:tc>
          <w:tcPr>
            <w:tcW w:w="1350" w:type="dxa"/>
          </w:tcPr>
          <w:p w14:paraId="42218695" w14:textId="396DBCE2" w:rsidR="008A3E72" w:rsidRPr="00C251E9" w:rsidRDefault="008A3E72" w:rsidP="00917D58">
            <w:pPr>
              <w:pStyle w:val="TMGTableText"/>
              <w:rPr>
                <w:b/>
                <w:bCs/>
              </w:rPr>
            </w:pPr>
            <w:r w:rsidRPr="007F0925">
              <w:t>Florida</w:t>
            </w:r>
          </w:p>
        </w:tc>
        <w:tc>
          <w:tcPr>
            <w:tcW w:w="720" w:type="dxa"/>
          </w:tcPr>
          <w:p w14:paraId="1B34D0CE" w14:textId="41F3F076" w:rsidR="008A3E72" w:rsidRPr="008A3E72" w:rsidRDefault="008A3E72" w:rsidP="00E220E9">
            <w:pPr>
              <w:pStyle w:val="TMGTableText"/>
              <w:ind w:left="0" w:right="187"/>
              <w:jc w:val="right"/>
            </w:pPr>
            <w:r w:rsidRPr="007F0925">
              <w:t>12</w:t>
            </w:r>
          </w:p>
        </w:tc>
        <w:tc>
          <w:tcPr>
            <w:tcW w:w="1530" w:type="dxa"/>
          </w:tcPr>
          <w:p w14:paraId="543B3E09" w14:textId="465CA7D9" w:rsidR="008A3E72" w:rsidRPr="004859C8" w:rsidRDefault="008A3E72" w:rsidP="00917D58">
            <w:pPr>
              <w:pStyle w:val="TMGTableText"/>
            </w:pPr>
            <w:r w:rsidRPr="007F0925">
              <w:t>Nevada</w:t>
            </w:r>
          </w:p>
        </w:tc>
        <w:tc>
          <w:tcPr>
            <w:tcW w:w="810" w:type="dxa"/>
          </w:tcPr>
          <w:p w14:paraId="7FC7B8E1" w14:textId="6BA00686" w:rsidR="008A3E72" w:rsidRPr="008A3E72" w:rsidRDefault="008A3E72" w:rsidP="00E220E9">
            <w:pPr>
              <w:pStyle w:val="TMGTableText"/>
              <w:ind w:left="0" w:right="187"/>
              <w:jc w:val="right"/>
            </w:pPr>
            <w:r w:rsidRPr="007F0925">
              <w:t>32</w:t>
            </w:r>
          </w:p>
        </w:tc>
        <w:tc>
          <w:tcPr>
            <w:tcW w:w="2340" w:type="dxa"/>
          </w:tcPr>
          <w:p w14:paraId="2C0C993C" w14:textId="75272296" w:rsidR="008A3E72" w:rsidRPr="004859C8" w:rsidRDefault="008A3E72" w:rsidP="00917D58">
            <w:pPr>
              <w:pStyle w:val="TMGTableText"/>
            </w:pPr>
            <w:r w:rsidRPr="007F0925">
              <w:t>Washington</w:t>
            </w:r>
          </w:p>
        </w:tc>
        <w:tc>
          <w:tcPr>
            <w:tcW w:w="720" w:type="dxa"/>
          </w:tcPr>
          <w:p w14:paraId="7A5F5242" w14:textId="7966C182" w:rsidR="008A3E72" w:rsidRPr="008A3E72" w:rsidRDefault="008A3E72" w:rsidP="00E220E9">
            <w:pPr>
              <w:pStyle w:val="TMGTableText"/>
              <w:ind w:left="0" w:right="187"/>
              <w:jc w:val="right"/>
            </w:pPr>
            <w:r w:rsidRPr="007F0925">
              <w:t>53</w:t>
            </w:r>
          </w:p>
        </w:tc>
      </w:tr>
      <w:tr w:rsidR="008A3E72" w14:paraId="3BBC91FA" w14:textId="77777777" w:rsidTr="00C746C6">
        <w:trPr>
          <w:jc w:val="center"/>
        </w:trPr>
        <w:tc>
          <w:tcPr>
            <w:tcW w:w="1350" w:type="dxa"/>
          </w:tcPr>
          <w:p w14:paraId="5469C1DC" w14:textId="761AA384" w:rsidR="008A3E72" w:rsidRPr="00C251E9" w:rsidRDefault="008A3E72" w:rsidP="00917D58">
            <w:pPr>
              <w:pStyle w:val="TMGTableText"/>
              <w:rPr>
                <w:b/>
                <w:bCs/>
              </w:rPr>
            </w:pPr>
            <w:r w:rsidRPr="007F0925">
              <w:t>Georgia</w:t>
            </w:r>
          </w:p>
        </w:tc>
        <w:tc>
          <w:tcPr>
            <w:tcW w:w="720" w:type="dxa"/>
          </w:tcPr>
          <w:p w14:paraId="783EF760" w14:textId="76FFF291" w:rsidR="008A3E72" w:rsidRPr="008A3E72" w:rsidRDefault="008A3E72" w:rsidP="00E220E9">
            <w:pPr>
              <w:pStyle w:val="TMGTableText"/>
              <w:ind w:left="0" w:right="187"/>
              <w:jc w:val="right"/>
            </w:pPr>
            <w:r w:rsidRPr="007F0925">
              <w:t>13</w:t>
            </w:r>
          </w:p>
        </w:tc>
        <w:tc>
          <w:tcPr>
            <w:tcW w:w="1530" w:type="dxa"/>
          </w:tcPr>
          <w:p w14:paraId="22A511A4" w14:textId="54098901" w:rsidR="008A3E72" w:rsidRPr="004859C8" w:rsidRDefault="008A3E72" w:rsidP="00917D58">
            <w:pPr>
              <w:pStyle w:val="TMGTableText"/>
            </w:pPr>
            <w:r w:rsidRPr="007F0925">
              <w:t xml:space="preserve">New Hampshire </w:t>
            </w:r>
          </w:p>
        </w:tc>
        <w:tc>
          <w:tcPr>
            <w:tcW w:w="810" w:type="dxa"/>
          </w:tcPr>
          <w:p w14:paraId="31A28C7B" w14:textId="0CD9CD99" w:rsidR="008A3E72" w:rsidRPr="008A3E72" w:rsidRDefault="008A3E72" w:rsidP="00E220E9">
            <w:pPr>
              <w:pStyle w:val="TMGTableText"/>
              <w:ind w:left="0" w:right="187"/>
              <w:jc w:val="right"/>
            </w:pPr>
            <w:r w:rsidRPr="007F0925">
              <w:t>33</w:t>
            </w:r>
          </w:p>
        </w:tc>
        <w:tc>
          <w:tcPr>
            <w:tcW w:w="2340" w:type="dxa"/>
          </w:tcPr>
          <w:p w14:paraId="43F42499" w14:textId="1AB11F15" w:rsidR="008A3E72" w:rsidRPr="004859C8" w:rsidRDefault="008A3E72" w:rsidP="00917D58">
            <w:pPr>
              <w:pStyle w:val="TMGTableText"/>
            </w:pPr>
            <w:r w:rsidRPr="007F0925">
              <w:t>West Virginia</w:t>
            </w:r>
          </w:p>
        </w:tc>
        <w:tc>
          <w:tcPr>
            <w:tcW w:w="720" w:type="dxa"/>
          </w:tcPr>
          <w:p w14:paraId="082CDA3A" w14:textId="18021A76" w:rsidR="008A3E72" w:rsidRPr="008A3E72" w:rsidRDefault="008A3E72" w:rsidP="00E220E9">
            <w:pPr>
              <w:pStyle w:val="TMGTableText"/>
              <w:ind w:left="0" w:right="187"/>
              <w:jc w:val="right"/>
            </w:pPr>
            <w:r w:rsidRPr="007F0925">
              <w:t>54</w:t>
            </w:r>
          </w:p>
        </w:tc>
      </w:tr>
      <w:tr w:rsidR="008A3E72" w14:paraId="61ACB824" w14:textId="77777777" w:rsidTr="00C746C6">
        <w:trPr>
          <w:jc w:val="center"/>
        </w:trPr>
        <w:tc>
          <w:tcPr>
            <w:tcW w:w="1350" w:type="dxa"/>
          </w:tcPr>
          <w:p w14:paraId="14C3F390" w14:textId="23BDCC54" w:rsidR="008A3E72" w:rsidRPr="00C251E9" w:rsidRDefault="008A3E72" w:rsidP="00917D58">
            <w:pPr>
              <w:pStyle w:val="TMGTableText"/>
              <w:rPr>
                <w:b/>
                <w:bCs/>
              </w:rPr>
            </w:pPr>
            <w:r w:rsidRPr="007F0925">
              <w:t>Hawaii</w:t>
            </w:r>
          </w:p>
        </w:tc>
        <w:tc>
          <w:tcPr>
            <w:tcW w:w="720" w:type="dxa"/>
          </w:tcPr>
          <w:p w14:paraId="3C63904A" w14:textId="4354737B" w:rsidR="008A3E72" w:rsidRPr="008A3E72" w:rsidRDefault="008A3E72" w:rsidP="00E220E9">
            <w:pPr>
              <w:pStyle w:val="TMGTableText"/>
              <w:ind w:left="0" w:right="187"/>
              <w:jc w:val="right"/>
            </w:pPr>
            <w:r w:rsidRPr="007F0925">
              <w:t>15</w:t>
            </w:r>
          </w:p>
        </w:tc>
        <w:tc>
          <w:tcPr>
            <w:tcW w:w="1530" w:type="dxa"/>
          </w:tcPr>
          <w:p w14:paraId="52A32A78" w14:textId="19DEFBAB" w:rsidR="008A3E72" w:rsidRPr="004859C8" w:rsidRDefault="008A3E72" w:rsidP="00917D58">
            <w:pPr>
              <w:pStyle w:val="TMGTableText"/>
            </w:pPr>
            <w:r w:rsidRPr="007F0925">
              <w:t xml:space="preserve">New Jersey </w:t>
            </w:r>
          </w:p>
        </w:tc>
        <w:tc>
          <w:tcPr>
            <w:tcW w:w="810" w:type="dxa"/>
          </w:tcPr>
          <w:p w14:paraId="58A1114A" w14:textId="1A699BA0" w:rsidR="008A3E72" w:rsidRPr="008A3E72" w:rsidRDefault="008A3E72" w:rsidP="00E220E9">
            <w:pPr>
              <w:pStyle w:val="TMGTableText"/>
              <w:ind w:left="0" w:right="187"/>
              <w:jc w:val="right"/>
            </w:pPr>
            <w:r w:rsidRPr="007F0925">
              <w:t>34</w:t>
            </w:r>
          </w:p>
        </w:tc>
        <w:tc>
          <w:tcPr>
            <w:tcW w:w="2340" w:type="dxa"/>
          </w:tcPr>
          <w:p w14:paraId="3621199A" w14:textId="60840E0F" w:rsidR="008A3E72" w:rsidRPr="004859C8" w:rsidRDefault="008A3E72" w:rsidP="00917D58">
            <w:pPr>
              <w:pStyle w:val="TMGTableText"/>
            </w:pPr>
            <w:r w:rsidRPr="007F0925">
              <w:t xml:space="preserve">Wisconsin </w:t>
            </w:r>
          </w:p>
        </w:tc>
        <w:tc>
          <w:tcPr>
            <w:tcW w:w="720" w:type="dxa"/>
          </w:tcPr>
          <w:p w14:paraId="2EDFFAFE" w14:textId="451C337C" w:rsidR="008A3E72" w:rsidRPr="008A3E72" w:rsidRDefault="008A3E72" w:rsidP="00E220E9">
            <w:pPr>
              <w:pStyle w:val="TMGTableText"/>
              <w:ind w:left="0" w:right="187"/>
              <w:jc w:val="right"/>
            </w:pPr>
            <w:r w:rsidRPr="007F0925">
              <w:t>55</w:t>
            </w:r>
          </w:p>
        </w:tc>
      </w:tr>
      <w:tr w:rsidR="008A3E72" w14:paraId="30B7178D" w14:textId="77777777" w:rsidTr="00C746C6">
        <w:trPr>
          <w:jc w:val="center"/>
        </w:trPr>
        <w:tc>
          <w:tcPr>
            <w:tcW w:w="1350" w:type="dxa"/>
          </w:tcPr>
          <w:p w14:paraId="13AEF51B" w14:textId="65EFF44F" w:rsidR="008A3E72" w:rsidRPr="00C251E9" w:rsidRDefault="008A3E72" w:rsidP="00917D58">
            <w:pPr>
              <w:pStyle w:val="TMGTableText"/>
              <w:rPr>
                <w:b/>
                <w:bCs/>
              </w:rPr>
            </w:pPr>
            <w:r w:rsidRPr="007F0925">
              <w:t>Idaho</w:t>
            </w:r>
          </w:p>
        </w:tc>
        <w:tc>
          <w:tcPr>
            <w:tcW w:w="720" w:type="dxa"/>
          </w:tcPr>
          <w:p w14:paraId="39FDBEB6" w14:textId="417C79DA" w:rsidR="008A3E72" w:rsidRPr="008A3E72" w:rsidRDefault="008A3E72" w:rsidP="00E220E9">
            <w:pPr>
              <w:pStyle w:val="TMGTableText"/>
              <w:ind w:left="0" w:right="187"/>
              <w:jc w:val="right"/>
            </w:pPr>
            <w:r w:rsidRPr="007F0925">
              <w:t>16</w:t>
            </w:r>
          </w:p>
        </w:tc>
        <w:tc>
          <w:tcPr>
            <w:tcW w:w="1530" w:type="dxa"/>
          </w:tcPr>
          <w:p w14:paraId="568A24E8" w14:textId="5F5B8366" w:rsidR="008A3E72" w:rsidRPr="004859C8" w:rsidRDefault="008A3E72" w:rsidP="00917D58">
            <w:pPr>
              <w:pStyle w:val="TMGTableText"/>
            </w:pPr>
            <w:r w:rsidRPr="007F0925">
              <w:t>New Mexico</w:t>
            </w:r>
          </w:p>
        </w:tc>
        <w:tc>
          <w:tcPr>
            <w:tcW w:w="810" w:type="dxa"/>
          </w:tcPr>
          <w:p w14:paraId="0CB6BB7D" w14:textId="54CCCCC6" w:rsidR="008A3E72" w:rsidRPr="008A3E72" w:rsidRDefault="008A3E72" w:rsidP="00E220E9">
            <w:pPr>
              <w:pStyle w:val="TMGTableText"/>
              <w:ind w:left="0" w:right="187"/>
              <w:jc w:val="right"/>
            </w:pPr>
            <w:r w:rsidRPr="007F0925">
              <w:t>35</w:t>
            </w:r>
          </w:p>
        </w:tc>
        <w:tc>
          <w:tcPr>
            <w:tcW w:w="2340" w:type="dxa"/>
          </w:tcPr>
          <w:p w14:paraId="594370C4" w14:textId="4FD8B746" w:rsidR="008A3E72" w:rsidRPr="004859C8" w:rsidRDefault="008A3E72" w:rsidP="00917D58">
            <w:pPr>
              <w:pStyle w:val="TMGTableText"/>
            </w:pPr>
            <w:r w:rsidRPr="007F0925">
              <w:t>Wyoming</w:t>
            </w:r>
          </w:p>
        </w:tc>
        <w:tc>
          <w:tcPr>
            <w:tcW w:w="720" w:type="dxa"/>
          </w:tcPr>
          <w:p w14:paraId="0B49FE8D" w14:textId="47FBCF1F" w:rsidR="008A3E72" w:rsidRPr="008A3E72" w:rsidRDefault="008A3E72" w:rsidP="00E220E9">
            <w:pPr>
              <w:pStyle w:val="TMGTableText"/>
              <w:ind w:left="0" w:right="187"/>
              <w:jc w:val="right"/>
            </w:pPr>
            <w:r w:rsidRPr="007F0925">
              <w:t>56</w:t>
            </w:r>
          </w:p>
        </w:tc>
      </w:tr>
      <w:tr w:rsidR="008A3E72" w14:paraId="3E7A16CE" w14:textId="77777777" w:rsidTr="00C746C6">
        <w:trPr>
          <w:jc w:val="center"/>
        </w:trPr>
        <w:tc>
          <w:tcPr>
            <w:tcW w:w="1350" w:type="dxa"/>
          </w:tcPr>
          <w:p w14:paraId="13DE2212" w14:textId="2245B82C" w:rsidR="008A3E72" w:rsidRPr="00C251E9" w:rsidRDefault="008A3E72" w:rsidP="00917D58">
            <w:pPr>
              <w:pStyle w:val="TMGTableText"/>
              <w:rPr>
                <w:b/>
                <w:bCs/>
              </w:rPr>
            </w:pPr>
            <w:r w:rsidRPr="007F0925">
              <w:t>Illinois</w:t>
            </w:r>
          </w:p>
        </w:tc>
        <w:tc>
          <w:tcPr>
            <w:tcW w:w="720" w:type="dxa"/>
          </w:tcPr>
          <w:p w14:paraId="4BCDCCC1" w14:textId="67B736A4" w:rsidR="008A3E72" w:rsidRPr="008A3E72" w:rsidRDefault="008A3E72" w:rsidP="00E220E9">
            <w:pPr>
              <w:pStyle w:val="TMGTableText"/>
              <w:ind w:left="0" w:right="187"/>
              <w:jc w:val="right"/>
            </w:pPr>
            <w:r w:rsidRPr="007F0925">
              <w:t>17</w:t>
            </w:r>
          </w:p>
        </w:tc>
        <w:tc>
          <w:tcPr>
            <w:tcW w:w="1530" w:type="dxa"/>
          </w:tcPr>
          <w:p w14:paraId="3134D524" w14:textId="7AB8166E" w:rsidR="008A3E72" w:rsidRPr="004859C8" w:rsidRDefault="008A3E72" w:rsidP="00917D58">
            <w:pPr>
              <w:pStyle w:val="TMGTableText"/>
            </w:pPr>
            <w:r w:rsidRPr="007F0925">
              <w:t>New York</w:t>
            </w:r>
          </w:p>
        </w:tc>
        <w:tc>
          <w:tcPr>
            <w:tcW w:w="810" w:type="dxa"/>
          </w:tcPr>
          <w:p w14:paraId="52E1956D" w14:textId="03416689" w:rsidR="008A3E72" w:rsidRPr="008A3E72" w:rsidRDefault="008A3E72" w:rsidP="00E220E9">
            <w:pPr>
              <w:pStyle w:val="TMGTableText"/>
              <w:ind w:left="0" w:right="187"/>
              <w:jc w:val="right"/>
            </w:pPr>
            <w:r w:rsidRPr="007F0925">
              <w:t>36</w:t>
            </w:r>
          </w:p>
        </w:tc>
        <w:tc>
          <w:tcPr>
            <w:tcW w:w="2340" w:type="dxa"/>
          </w:tcPr>
          <w:p w14:paraId="332E5E26" w14:textId="7F0750E2" w:rsidR="008A3E72" w:rsidRPr="004859C8" w:rsidRDefault="008A3E72" w:rsidP="00917D58">
            <w:pPr>
              <w:pStyle w:val="TMGTableText"/>
            </w:pPr>
            <w:r w:rsidRPr="007F0925">
              <w:t>Puerto Rico</w:t>
            </w:r>
          </w:p>
        </w:tc>
        <w:tc>
          <w:tcPr>
            <w:tcW w:w="720" w:type="dxa"/>
          </w:tcPr>
          <w:p w14:paraId="14DEB2B2" w14:textId="56B6FA5E" w:rsidR="008A3E72" w:rsidRPr="008A3E72" w:rsidRDefault="008A3E72" w:rsidP="00E220E9">
            <w:pPr>
              <w:pStyle w:val="TMGTableText"/>
              <w:ind w:left="0" w:right="187"/>
              <w:jc w:val="right"/>
            </w:pPr>
            <w:r w:rsidRPr="007F0925">
              <w:t>72</w:t>
            </w:r>
          </w:p>
        </w:tc>
      </w:tr>
      <w:tr w:rsidR="008A3E72" w14:paraId="6F812C77" w14:textId="77777777" w:rsidTr="00C746C6">
        <w:trPr>
          <w:jc w:val="center"/>
        </w:trPr>
        <w:tc>
          <w:tcPr>
            <w:tcW w:w="1350" w:type="dxa"/>
          </w:tcPr>
          <w:p w14:paraId="1AAA501F" w14:textId="44AFDA44" w:rsidR="008A3E72" w:rsidRPr="00C251E9" w:rsidRDefault="008A3E72" w:rsidP="00917D58">
            <w:pPr>
              <w:pStyle w:val="TMGTableText"/>
              <w:rPr>
                <w:b/>
                <w:bCs/>
              </w:rPr>
            </w:pPr>
            <w:r w:rsidRPr="007F0925">
              <w:t>Indiana</w:t>
            </w:r>
          </w:p>
        </w:tc>
        <w:tc>
          <w:tcPr>
            <w:tcW w:w="720" w:type="dxa"/>
          </w:tcPr>
          <w:p w14:paraId="12D06525" w14:textId="29552EAF" w:rsidR="008A3E72" w:rsidRPr="008A3E72" w:rsidRDefault="008A3E72" w:rsidP="00E220E9">
            <w:pPr>
              <w:pStyle w:val="TMGTableText"/>
              <w:ind w:left="0" w:right="187"/>
              <w:jc w:val="right"/>
            </w:pPr>
            <w:r w:rsidRPr="007F0925">
              <w:t>18</w:t>
            </w:r>
          </w:p>
        </w:tc>
        <w:tc>
          <w:tcPr>
            <w:tcW w:w="1530" w:type="dxa"/>
          </w:tcPr>
          <w:p w14:paraId="5FC4F28A" w14:textId="43ECAA18" w:rsidR="008A3E72" w:rsidRPr="004859C8" w:rsidRDefault="008A3E72" w:rsidP="00917D58">
            <w:pPr>
              <w:pStyle w:val="TMGTableText"/>
            </w:pPr>
            <w:r w:rsidRPr="007F0925">
              <w:t xml:space="preserve">North Carolina </w:t>
            </w:r>
          </w:p>
        </w:tc>
        <w:tc>
          <w:tcPr>
            <w:tcW w:w="810" w:type="dxa"/>
          </w:tcPr>
          <w:p w14:paraId="21997785" w14:textId="69462F3C" w:rsidR="008A3E72" w:rsidRPr="008A3E72" w:rsidRDefault="008A3E72" w:rsidP="00E220E9">
            <w:pPr>
              <w:pStyle w:val="TMGTableText"/>
              <w:ind w:left="0" w:right="187"/>
              <w:jc w:val="right"/>
            </w:pPr>
            <w:r w:rsidRPr="007F0925">
              <w:t>37</w:t>
            </w:r>
          </w:p>
        </w:tc>
        <w:tc>
          <w:tcPr>
            <w:tcW w:w="2340" w:type="dxa"/>
          </w:tcPr>
          <w:p w14:paraId="178AE590" w14:textId="448F0CCE" w:rsidR="008A3E72" w:rsidRPr="004859C8" w:rsidRDefault="008A3E72" w:rsidP="00917D58">
            <w:pPr>
              <w:pStyle w:val="TMGTableText"/>
            </w:pPr>
            <w:r w:rsidRPr="007F0925">
              <w:t>American Samoa</w:t>
            </w:r>
          </w:p>
        </w:tc>
        <w:tc>
          <w:tcPr>
            <w:tcW w:w="720" w:type="dxa"/>
          </w:tcPr>
          <w:p w14:paraId="46957A49" w14:textId="3EEB05EA" w:rsidR="008A3E72" w:rsidRPr="008A3E72" w:rsidRDefault="008A3E72" w:rsidP="00E220E9">
            <w:pPr>
              <w:pStyle w:val="TMGTableText"/>
              <w:ind w:left="0" w:right="187"/>
              <w:jc w:val="right"/>
            </w:pPr>
            <w:r w:rsidRPr="007F0925">
              <w:t>60</w:t>
            </w:r>
          </w:p>
        </w:tc>
      </w:tr>
      <w:tr w:rsidR="008A3E72" w14:paraId="1C27BDBB" w14:textId="77777777" w:rsidTr="00C746C6">
        <w:trPr>
          <w:jc w:val="center"/>
        </w:trPr>
        <w:tc>
          <w:tcPr>
            <w:tcW w:w="1350" w:type="dxa"/>
          </w:tcPr>
          <w:p w14:paraId="2B73EDE2" w14:textId="594EBBFF" w:rsidR="008A3E72" w:rsidRPr="00C251E9" w:rsidRDefault="008A3E72" w:rsidP="00917D58">
            <w:pPr>
              <w:pStyle w:val="TMGTableText"/>
              <w:rPr>
                <w:b/>
                <w:bCs/>
              </w:rPr>
            </w:pPr>
            <w:r w:rsidRPr="007F0925">
              <w:t xml:space="preserve">Iowa </w:t>
            </w:r>
          </w:p>
        </w:tc>
        <w:tc>
          <w:tcPr>
            <w:tcW w:w="720" w:type="dxa"/>
          </w:tcPr>
          <w:p w14:paraId="1979B1D9" w14:textId="3C8F053F" w:rsidR="008A3E72" w:rsidRPr="008A3E72" w:rsidRDefault="008A3E72" w:rsidP="00E220E9">
            <w:pPr>
              <w:pStyle w:val="TMGTableText"/>
              <w:ind w:left="0" w:right="187"/>
              <w:jc w:val="right"/>
            </w:pPr>
            <w:r w:rsidRPr="007F0925">
              <w:t>19</w:t>
            </w:r>
          </w:p>
        </w:tc>
        <w:tc>
          <w:tcPr>
            <w:tcW w:w="1530" w:type="dxa"/>
          </w:tcPr>
          <w:p w14:paraId="6CA894E4" w14:textId="55C91308" w:rsidR="008A3E72" w:rsidRPr="004859C8" w:rsidRDefault="008A3E72" w:rsidP="00917D58">
            <w:pPr>
              <w:pStyle w:val="TMGTableText"/>
            </w:pPr>
            <w:r w:rsidRPr="007F0925">
              <w:t>North Dakota</w:t>
            </w:r>
          </w:p>
        </w:tc>
        <w:tc>
          <w:tcPr>
            <w:tcW w:w="810" w:type="dxa"/>
          </w:tcPr>
          <w:p w14:paraId="1A64DE79" w14:textId="1DEC0F3F" w:rsidR="008A3E72" w:rsidRPr="008A3E72" w:rsidRDefault="008A3E72" w:rsidP="00E220E9">
            <w:pPr>
              <w:pStyle w:val="TMGTableText"/>
              <w:ind w:left="0" w:right="187"/>
              <w:jc w:val="right"/>
            </w:pPr>
            <w:r w:rsidRPr="007F0925">
              <w:t>38</w:t>
            </w:r>
          </w:p>
        </w:tc>
        <w:tc>
          <w:tcPr>
            <w:tcW w:w="2340" w:type="dxa"/>
          </w:tcPr>
          <w:p w14:paraId="2AB79450" w14:textId="0411A89A" w:rsidR="008A3E72" w:rsidRPr="004859C8" w:rsidRDefault="008A3E72" w:rsidP="00917D58">
            <w:pPr>
              <w:pStyle w:val="TMGTableText"/>
            </w:pPr>
            <w:r w:rsidRPr="007F0925">
              <w:t>Guam</w:t>
            </w:r>
          </w:p>
        </w:tc>
        <w:tc>
          <w:tcPr>
            <w:tcW w:w="720" w:type="dxa"/>
          </w:tcPr>
          <w:p w14:paraId="5FC1780F" w14:textId="347DBEB7" w:rsidR="008A3E72" w:rsidRPr="008A3E72" w:rsidRDefault="008A3E72" w:rsidP="00E220E9">
            <w:pPr>
              <w:pStyle w:val="TMGTableText"/>
              <w:ind w:left="0" w:right="187"/>
              <w:jc w:val="right"/>
            </w:pPr>
            <w:r w:rsidRPr="007F0925">
              <w:t>66</w:t>
            </w:r>
          </w:p>
        </w:tc>
      </w:tr>
      <w:tr w:rsidR="008A3E72" w14:paraId="70B65A9E" w14:textId="77777777" w:rsidTr="00C746C6">
        <w:trPr>
          <w:jc w:val="center"/>
        </w:trPr>
        <w:tc>
          <w:tcPr>
            <w:tcW w:w="1350" w:type="dxa"/>
          </w:tcPr>
          <w:p w14:paraId="2FECB500" w14:textId="570A30BF" w:rsidR="008A3E72" w:rsidRPr="00C251E9" w:rsidRDefault="008A3E72" w:rsidP="00917D58">
            <w:pPr>
              <w:pStyle w:val="TMGTableText"/>
              <w:rPr>
                <w:b/>
                <w:bCs/>
              </w:rPr>
            </w:pPr>
            <w:r w:rsidRPr="007F0925">
              <w:t xml:space="preserve">Kansas </w:t>
            </w:r>
          </w:p>
        </w:tc>
        <w:tc>
          <w:tcPr>
            <w:tcW w:w="720" w:type="dxa"/>
          </w:tcPr>
          <w:p w14:paraId="26E89F30" w14:textId="3CFCE70E" w:rsidR="008A3E72" w:rsidRPr="008A3E72" w:rsidRDefault="008A3E72" w:rsidP="00E220E9">
            <w:pPr>
              <w:pStyle w:val="TMGTableText"/>
              <w:ind w:left="0" w:right="187"/>
              <w:jc w:val="right"/>
            </w:pPr>
            <w:r w:rsidRPr="007F0925">
              <w:t>20</w:t>
            </w:r>
          </w:p>
        </w:tc>
        <w:tc>
          <w:tcPr>
            <w:tcW w:w="1530" w:type="dxa"/>
          </w:tcPr>
          <w:p w14:paraId="452FB447" w14:textId="4D38CB7E" w:rsidR="008A3E72" w:rsidRPr="004859C8" w:rsidRDefault="008A3E72" w:rsidP="00917D58">
            <w:pPr>
              <w:pStyle w:val="TMGTableText"/>
            </w:pPr>
            <w:r w:rsidRPr="007F0925">
              <w:t>Ohio</w:t>
            </w:r>
          </w:p>
        </w:tc>
        <w:tc>
          <w:tcPr>
            <w:tcW w:w="810" w:type="dxa"/>
          </w:tcPr>
          <w:p w14:paraId="5223D857" w14:textId="16E37E96" w:rsidR="008A3E72" w:rsidRPr="008A3E72" w:rsidRDefault="008A3E72" w:rsidP="00E220E9">
            <w:pPr>
              <w:pStyle w:val="TMGTableText"/>
              <w:ind w:left="0" w:right="187"/>
              <w:jc w:val="right"/>
            </w:pPr>
            <w:r w:rsidRPr="007F0925">
              <w:t>39</w:t>
            </w:r>
          </w:p>
        </w:tc>
        <w:tc>
          <w:tcPr>
            <w:tcW w:w="2340" w:type="dxa"/>
          </w:tcPr>
          <w:p w14:paraId="442F658F" w14:textId="307C03DB" w:rsidR="008A3E72" w:rsidRPr="004859C8" w:rsidRDefault="008A3E72" w:rsidP="00917D58">
            <w:pPr>
              <w:pStyle w:val="TMGTableText"/>
            </w:pPr>
            <w:r w:rsidRPr="007F0925">
              <w:t>Northern Mariana Islands</w:t>
            </w:r>
          </w:p>
        </w:tc>
        <w:tc>
          <w:tcPr>
            <w:tcW w:w="720" w:type="dxa"/>
          </w:tcPr>
          <w:p w14:paraId="695804A0" w14:textId="20ACA75A" w:rsidR="008A3E72" w:rsidRPr="008A3E72" w:rsidRDefault="008A3E72" w:rsidP="00E220E9">
            <w:pPr>
              <w:pStyle w:val="TMGTableText"/>
              <w:ind w:left="0" w:right="187"/>
              <w:jc w:val="right"/>
            </w:pPr>
            <w:r w:rsidRPr="007F0925">
              <w:t>69</w:t>
            </w:r>
          </w:p>
        </w:tc>
      </w:tr>
      <w:tr w:rsidR="008A3E72" w14:paraId="33AEDF8E" w14:textId="77777777" w:rsidTr="00C746C6">
        <w:trPr>
          <w:jc w:val="center"/>
        </w:trPr>
        <w:tc>
          <w:tcPr>
            <w:tcW w:w="1350" w:type="dxa"/>
          </w:tcPr>
          <w:p w14:paraId="3FDD32AB" w14:textId="1A9CE36A" w:rsidR="008A3E72" w:rsidRPr="00C251E9" w:rsidRDefault="008A3E72" w:rsidP="00917D58">
            <w:pPr>
              <w:pStyle w:val="TMGTableText"/>
              <w:rPr>
                <w:b/>
                <w:bCs/>
              </w:rPr>
            </w:pPr>
            <w:r w:rsidRPr="007F0925">
              <w:t>Kentucky</w:t>
            </w:r>
          </w:p>
        </w:tc>
        <w:tc>
          <w:tcPr>
            <w:tcW w:w="720" w:type="dxa"/>
          </w:tcPr>
          <w:p w14:paraId="23ED94E7" w14:textId="0FCD2A6F" w:rsidR="008A3E72" w:rsidRPr="008A3E72" w:rsidRDefault="008A3E72" w:rsidP="00E220E9">
            <w:pPr>
              <w:pStyle w:val="TMGTableText"/>
              <w:ind w:left="0" w:right="187"/>
              <w:jc w:val="right"/>
            </w:pPr>
            <w:r w:rsidRPr="007F0925">
              <w:t>21</w:t>
            </w:r>
          </w:p>
        </w:tc>
        <w:tc>
          <w:tcPr>
            <w:tcW w:w="1530" w:type="dxa"/>
          </w:tcPr>
          <w:p w14:paraId="6C762008" w14:textId="4CE19E65" w:rsidR="008A3E72" w:rsidRPr="004859C8" w:rsidRDefault="008A3E72" w:rsidP="00917D58">
            <w:pPr>
              <w:pStyle w:val="TMGTableText"/>
            </w:pPr>
            <w:r w:rsidRPr="007F0925">
              <w:t xml:space="preserve">Oklahoma </w:t>
            </w:r>
          </w:p>
        </w:tc>
        <w:tc>
          <w:tcPr>
            <w:tcW w:w="810" w:type="dxa"/>
          </w:tcPr>
          <w:p w14:paraId="0AB7C301" w14:textId="068659C5" w:rsidR="008A3E72" w:rsidRPr="008A3E72" w:rsidRDefault="008A3E72" w:rsidP="00E220E9">
            <w:pPr>
              <w:pStyle w:val="TMGTableText"/>
              <w:ind w:left="0" w:right="187"/>
              <w:jc w:val="right"/>
            </w:pPr>
            <w:r w:rsidRPr="007F0925">
              <w:t>40</w:t>
            </w:r>
          </w:p>
        </w:tc>
        <w:tc>
          <w:tcPr>
            <w:tcW w:w="2340" w:type="dxa"/>
          </w:tcPr>
          <w:p w14:paraId="46C0A6A6" w14:textId="6B2E7C35" w:rsidR="008A3E72" w:rsidRPr="004859C8" w:rsidRDefault="008A3E72" w:rsidP="00917D58">
            <w:pPr>
              <w:pStyle w:val="TMGTableText"/>
            </w:pPr>
            <w:r w:rsidRPr="007F0925">
              <w:t>Virgin Islands of the U.S.</w:t>
            </w:r>
          </w:p>
        </w:tc>
        <w:tc>
          <w:tcPr>
            <w:tcW w:w="720" w:type="dxa"/>
          </w:tcPr>
          <w:p w14:paraId="67C60B5D" w14:textId="715FEC72" w:rsidR="008A3E72" w:rsidRPr="008A3E72" w:rsidRDefault="008A3E72" w:rsidP="00E220E9">
            <w:pPr>
              <w:pStyle w:val="TMGTableText"/>
              <w:ind w:left="0" w:right="187"/>
              <w:jc w:val="right"/>
            </w:pPr>
            <w:r w:rsidRPr="007F0925">
              <w:t>78</w:t>
            </w:r>
          </w:p>
        </w:tc>
      </w:tr>
      <w:tr w:rsidR="008A3E72" w14:paraId="64D86DA8" w14:textId="77777777" w:rsidTr="00C746C6">
        <w:trPr>
          <w:jc w:val="center"/>
        </w:trPr>
        <w:tc>
          <w:tcPr>
            <w:tcW w:w="1350" w:type="dxa"/>
          </w:tcPr>
          <w:p w14:paraId="0D35A60E" w14:textId="07FEC089" w:rsidR="008A3E72" w:rsidRPr="00C251E9" w:rsidRDefault="008A3E72" w:rsidP="00917D58">
            <w:pPr>
              <w:pStyle w:val="TMGTableText"/>
              <w:rPr>
                <w:b/>
                <w:bCs/>
              </w:rPr>
            </w:pPr>
            <w:r w:rsidRPr="007F0925">
              <w:t xml:space="preserve">Louisiana </w:t>
            </w:r>
          </w:p>
        </w:tc>
        <w:tc>
          <w:tcPr>
            <w:tcW w:w="720" w:type="dxa"/>
          </w:tcPr>
          <w:p w14:paraId="5E302413" w14:textId="532D09A1" w:rsidR="008A3E72" w:rsidRPr="008A3E72" w:rsidRDefault="008A3E72" w:rsidP="00E220E9">
            <w:pPr>
              <w:pStyle w:val="TMGTableText"/>
              <w:ind w:left="0" w:right="187"/>
              <w:jc w:val="right"/>
            </w:pPr>
            <w:r w:rsidRPr="007F0925">
              <w:t>22</w:t>
            </w:r>
          </w:p>
        </w:tc>
        <w:tc>
          <w:tcPr>
            <w:tcW w:w="1530" w:type="dxa"/>
          </w:tcPr>
          <w:p w14:paraId="77E4E78F" w14:textId="01D758BB" w:rsidR="008A3E72" w:rsidRPr="004859C8" w:rsidRDefault="008A3E72" w:rsidP="00917D58">
            <w:pPr>
              <w:pStyle w:val="TMGTableText"/>
            </w:pPr>
            <w:r w:rsidRPr="007F0925">
              <w:t>Oregon</w:t>
            </w:r>
          </w:p>
        </w:tc>
        <w:tc>
          <w:tcPr>
            <w:tcW w:w="810" w:type="dxa"/>
          </w:tcPr>
          <w:p w14:paraId="259B3D5E" w14:textId="3D73BF59" w:rsidR="008A3E72" w:rsidRPr="008A3E72" w:rsidRDefault="008A3E72" w:rsidP="00E220E9">
            <w:pPr>
              <w:pStyle w:val="TMGTableText"/>
              <w:ind w:left="0" w:right="187"/>
              <w:jc w:val="right"/>
            </w:pPr>
            <w:r w:rsidRPr="007F0925">
              <w:t>41</w:t>
            </w:r>
          </w:p>
        </w:tc>
        <w:tc>
          <w:tcPr>
            <w:tcW w:w="2340" w:type="dxa"/>
          </w:tcPr>
          <w:p w14:paraId="4F8E132D" w14:textId="77777777" w:rsidR="008A3E72" w:rsidRPr="004859C8" w:rsidRDefault="008A3E72" w:rsidP="00917D58">
            <w:pPr>
              <w:pStyle w:val="TMGTableText"/>
            </w:pPr>
          </w:p>
        </w:tc>
        <w:tc>
          <w:tcPr>
            <w:tcW w:w="720" w:type="dxa"/>
          </w:tcPr>
          <w:p w14:paraId="1882969B" w14:textId="77777777" w:rsidR="008A3E72" w:rsidRPr="008A3E72" w:rsidRDefault="008A3E72" w:rsidP="00E220E9">
            <w:pPr>
              <w:pStyle w:val="TMGTableText"/>
              <w:ind w:left="0" w:right="187"/>
              <w:jc w:val="right"/>
            </w:pPr>
          </w:p>
        </w:tc>
      </w:tr>
    </w:tbl>
    <w:p w14:paraId="31218948" w14:textId="2BC05E0E" w:rsidR="009B7AED" w:rsidRDefault="009B7AED" w:rsidP="00C746C6">
      <w:pPr>
        <w:pStyle w:val="BulletcontinuedBulletsandNumbering"/>
        <w:tabs>
          <w:tab w:val="clear" w:pos="1440"/>
        </w:tabs>
        <w:spacing w:before="360"/>
        <w:ind w:left="864"/>
      </w:pPr>
      <w:r>
        <w:t>C</w:t>
      </w:r>
      <w:r w:rsidRPr="00D96273">
        <w:t>anadian Provinces may use TMAS with the following codes (based on the LTPP):</w:t>
      </w:r>
    </w:p>
    <w:tbl>
      <w:tblPr>
        <w:tblStyle w:val="TableGrid"/>
        <w:tblW w:w="7560" w:type="dxa"/>
        <w:jc w:val="center"/>
        <w:tblCellMar>
          <w:left w:w="86" w:type="dxa"/>
          <w:right w:w="86" w:type="dxa"/>
        </w:tblCellMar>
        <w:tblLook w:val="04A0" w:firstRow="1" w:lastRow="0" w:firstColumn="1" w:lastColumn="0" w:noHBand="0" w:noVBand="1"/>
      </w:tblPr>
      <w:tblGrid>
        <w:gridCol w:w="1622"/>
        <w:gridCol w:w="721"/>
        <w:gridCol w:w="1886"/>
        <w:gridCol w:w="720"/>
        <w:gridCol w:w="1891"/>
        <w:gridCol w:w="720"/>
      </w:tblGrid>
      <w:tr w:rsidR="00C746C6" w14:paraId="056976EC" w14:textId="77777777" w:rsidTr="00C746C6">
        <w:trPr>
          <w:jc w:val="center"/>
        </w:trPr>
        <w:tc>
          <w:tcPr>
            <w:tcW w:w="1620" w:type="dxa"/>
            <w:tcBorders>
              <w:right w:val="single" w:sz="4" w:space="0" w:color="FFFFFF" w:themeColor="background1"/>
            </w:tcBorders>
            <w:shd w:val="clear" w:color="auto" w:fill="1F3864"/>
          </w:tcPr>
          <w:p w14:paraId="5732BCA8" w14:textId="4C07FE04" w:rsidR="008A3E72" w:rsidRDefault="008A3E72" w:rsidP="0017389B">
            <w:pPr>
              <w:pStyle w:val="TMGTableTextHeader"/>
            </w:pPr>
            <w:r>
              <w:rPr>
                <w:rFonts w:eastAsiaTheme="minorEastAsia"/>
              </w:rPr>
              <w:t>Province</w:t>
            </w:r>
          </w:p>
        </w:tc>
        <w:tc>
          <w:tcPr>
            <w:tcW w:w="720" w:type="dxa"/>
            <w:tcBorders>
              <w:left w:val="single" w:sz="4" w:space="0" w:color="FFFFFF" w:themeColor="background1"/>
              <w:right w:val="single" w:sz="4" w:space="0" w:color="FFFFFF" w:themeColor="background1"/>
            </w:tcBorders>
            <w:shd w:val="clear" w:color="auto" w:fill="1F3864"/>
          </w:tcPr>
          <w:p w14:paraId="507C5CE9" w14:textId="0B884503" w:rsidR="008A3E72" w:rsidRDefault="008A3E72" w:rsidP="0017389B">
            <w:pPr>
              <w:pStyle w:val="TMGTableTextHeader"/>
              <w:rPr>
                <w:rFonts w:eastAsia="MS Mincho"/>
              </w:rPr>
            </w:pPr>
            <w:r w:rsidRPr="00D170BD">
              <w:rPr>
                <w:rFonts w:eastAsiaTheme="minorEastAsia"/>
              </w:rPr>
              <w:t>Code</w:t>
            </w:r>
          </w:p>
        </w:tc>
        <w:tc>
          <w:tcPr>
            <w:tcW w:w="1885" w:type="dxa"/>
            <w:tcBorders>
              <w:left w:val="single" w:sz="4" w:space="0" w:color="FFFFFF" w:themeColor="background1"/>
              <w:right w:val="single" w:sz="4" w:space="0" w:color="FFFFFF" w:themeColor="background1"/>
            </w:tcBorders>
            <w:shd w:val="clear" w:color="auto" w:fill="1F3864"/>
          </w:tcPr>
          <w:p w14:paraId="4E05355A" w14:textId="084B5288" w:rsidR="008A3E72" w:rsidRDefault="008A3E72" w:rsidP="0017389B">
            <w:pPr>
              <w:pStyle w:val="TMGTableTextHeader"/>
              <w:rPr>
                <w:rFonts w:eastAsia="MS Mincho"/>
              </w:rPr>
            </w:pPr>
            <w:r>
              <w:rPr>
                <w:rFonts w:eastAsiaTheme="minorEastAsia"/>
              </w:rPr>
              <w:t>Province</w:t>
            </w:r>
          </w:p>
        </w:tc>
        <w:tc>
          <w:tcPr>
            <w:tcW w:w="720" w:type="dxa"/>
            <w:tcBorders>
              <w:left w:val="single" w:sz="4" w:space="0" w:color="FFFFFF" w:themeColor="background1"/>
              <w:right w:val="single" w:sz="4" w:space="0" w:color="FFFFFF" w:themeColor="background1"/>
            </w:tcBorders>
            <w:shd w:val="clear" w:color="auto" w:fill="1F3864"/>
          </w:tcPr>
          <w:p w14:paraId="38DCAE50" w14:textId="2A150A14" w:rsidR="008A3E72" w:rsidRDefault="008A3E72" w:rsidP="0017389B">
            <w:pPr>
              <w:pStyle w:val="TMGTableTextHeader"/>
              <w:rPr>
                <w:rFonts w:eastAsia="MS Mincho"/>
              </w:rPr>
            </w:pPr>
            <w:r w:rsidRPr="00D170BD">
              <w:rPr>
                <w:rFonts w:eastAsiaTheme="minorEastAsia"/>
              </w:rPr>
              <w:t>Code</w:t>
            </w:r>
          </w:p>
        </w:tc>
        <w:tc>
          <w:tcPr>
            <w:tcW w:w="1890" w:type="dxa"/>
            <w:tcBorders>
              <w:left w:val="single" w:sz="4" w:space="0" w:color="FFFFFF" w:themeColor="background1"/>
              <w:right w:val="single" w:sz="4" w:space="0" w:color="FFFFFF" w:themeColor="background1"/>
            </w:tcBorders>
            <w:shd w:val="clear" w:color="auto" w:fill="1F3864"/>
          </w:tcPr>
          <w:p w14:paraId="05180D21" w14:textId="5217F62E" w:rsidR="008A3E72" w:rsidRDefault="008A3E72" w:rsidP="0017389B">
            <w:pPr>
              <w:pStyle w:val="TMGTableTextHeader"/>
              <w:rPr>
                <w:rFonts w:eastAsia="MS Mincho"/>
              </w:rPr>
            </w:pPr>
            <w:r>
              <w:rPr>
                <w:rFonts w:eastAsiaTheme="minorEastAsia"/>
              </w:rPr>
              <w:t>Province</w:t>
            </w:r>
          </w:p>
        </w:tc>
        <w:tc>
          <w:tcPr>
            <w:tcW w:w="720" w:type="dxa"/>
            <w:tcBorders>
              <w:left w:val="single" w:sz="4" w:space="0" w:color="FFFFFF" w:themeColor="background1"/>
            </w:tcBorders>
            <w:shd w:val="clear" w:color="auto" w:fill="1F3864"/>
          </w:tcPr>
          <w:p w14:paraId="06BC6B35" w14:textId="0F323BEC" w:rsidR="008A3E72" w:rsidRDefault="008A3E72" w:rsidP="0017389B">
            <w:pPr>
              <w:pStyle w:val="TMGTableTextHeader"/>
            </w:pPr>
            <w:r w:rsidRPr="00D170BD">
              <w:rPr>
                <w:rFonts w:eastAsiaTheme="minorEastAsia"/>
              </w:rPr>
              <w:t>Code</w:t>
            </w:r>
          </w:p>
        </w:tc>
      </w:tr>
      <w:tr w:rsidR="00C746C6" w14:paraId="0BB8A732" w14:textId="77777777" w:rsidTr="00C746C6">
        <w:trPr>
          <w:jc w:val="center"/>
        </w:trPr>
        <w:tc>
          <w:tcPr>
            <w:tcW w:w="1620" w:type="dxa"/>
          </w:tcPr>
          <w:p w14:paraId="3A03E4B9" w14:textId="5F3AF2E5" w:rsidR="008A3E72" w:rsidRPr="00C251E9" w:rsidRDefault="008A3E72" w:rsidP="00917D58">
            <w:pPr>
              <w:pStyle w:val="TMGTableText"/>
              <w:rPr>
                <w:b/>
                <w:bCs/>
              </w:rPr>
            </w:pPr>
            <w:r w:rsidRPr="00D60177">
              <w:t>Alberta</w:t>
            </w:r>
          </w:p>
        </w:tc>
        <w:tc>
          <w:tcPr>
            <w:tcW w:w="720" w:type="dxa"/>
          </w:tcPr>
          <w:p w14:paraId="426A4E65" w14:textId="738526EF" w:rsidR="008A3E72" w:rsidRPr="008A3E72" w:rsidRDefault="008A3E72" w:rsidP="00E220E9">
            <w:pPr>
              <w:pStyle w:val="TMGTableText"/>
              <w:ind w:left="0" w:right="187"/>
              <w:jc w:val="right"/>
            </w:pPr>
            <w:r w:rsidRPr="00D60177">
              <w:t>81</w:t>
            </w:r>
          </w:p>
        </w:tc>
        <w:tc>
          <w:tcPr>
            <w:tcW w:w="1885" w:type="dxa"/>
          </w:tcPr>
          <w:p w14:paraId="034E5395" w14:textId="5633A6AB" w:rsidR="008A3E72" w:rsidRPr="004859C8" w:rsidRDefault="008A3E72" w:rsidP="00917D58">
            <w:pPr>
              <w:pStyle w:val="TMGTableText"/>
            </w:pPr>
            <w:r w:rsidRPr="00D60177">
              <w:t>Nova Scotia</w:t>
            </w:r>
          </w:p>
        </w:tc>
        <w:tc>
          <w:tcPr>
            <w:tcW w:w="720" w:type="dxa"/>
          </w:tcPr>
          <w:p w14:paraId="6EE93B44" w14:textId="168DD41A" w:rsidR="008A3E72" w:rsidRPr="008A3E72" w:rsidRDefault="008A3E72" w:rsidP="00E220E9">
            <w:pPr>
              <w:pStyle w:val="TMGTableText"/>
              <w:ind w:left="0" w:right="187"/>
              <w:jc w:val="right"/>
            </w:pPr>
            <w:r w:rsidRPr="00D60177">
              <w:t>86</w:t>
            </w:r>
          </w:p>
        </w:tc>
        <w:tc>
          <w:tcPr>
            <w:tcW w:w="1890" w:type="dxa"/>
          </w:tcPr>
          <w:p w14:paraId="04938C21" w14:textId="5A0EA516" w:rsidR="008A3E72" w:rsidRPr="004859C8" w:rsidRDefault="008A3E72" w:rsidP="00917D58">
            <w:pPr>
              <w:pStyle w:val="TMGTableText"/>
            </w:pPr>
            <w:r w:rsidRPr="00D60177">
              <w:t>Yukon</w:t>
            </w:r>
          </w:p>
        </w:tc>
        <w:tc>
          <w:tcPr>
            <w:tcW w:w="720" w:type="dxa"/>
          </w:tcPr>
          <w:p w14:paraId="2B73921A" w14:textId="7EE02D4E" w:rsidR="008A3E72" w:rsidRPr="008A3E72" w:rsidRDefault="008A3E72" w:rsidP="00E220E9">
            <w:pPr>
              <w:pStyle w:val="TMGTableText"/>
              <w:ind w:left="0" w:right="187"/>
              <w:jc w:val="right"/>
            </w:pPr>
            <w:r w:rsidRPr="00D96273">
              <w:t>91</w:t>
            </w:r>
          </w:p>
        </w:tc>
      </w:tr>
      <w:tr w:rsidR="00C746C6" w14:paraId="42D9DF62" w14:textId="77777777" w:rsidTr="00C746C6">
        <w:trPr>
          <w:jc w:val="center"/>
        </w:trPr>
        <w:tc>
          <w:tcPr>
            <w:tcW w:w="1620" w:type="dxa"/>
          </w:tcPr>
          <w:p w14:paraId="45F2E209" w14:textId="33AFD007" w:rsidR="008A3E72" w:rsidRPr="00C251E9" w:rsidRDefault="008A3E72" w:rsidP="00917D58">
            <w:pPr>
              <w:pStyle w:val="TMGTableText"/>
              <w:rPr>
                <w:b/>
                <w:bCs/>
              </w:rPr>
            </w:pPr>
            <w:r w:rsidRPr="00D60177">
              <w:t>British Columbia</w:t>
            </w:r>
          </w:p>
        </w:tc>
        <w:tc>
          <w:tcPr>
            <w:tcW w:w="720" w:type="dxa"/>
          </w:tcPr>
          <w:p w14:paraId="11D647F1" w14:textId="5110D276" w:rsidR="008A3E72" w:rsidRPr="008A3E72" w:rsidRDefault="008A3E72" w:rsidP="00E220E9">
            <w:pPr>
              <w:pStyle w:val="TMGTableText"/>
              <w:ind w:left="0" w:right="187"/>
              <w:jc w:val="right"/>
            </w:pPr>
            <w:r w:rsidRPr="00D60177">
              <w:t>82</w:t>
            </w:r>
          </w:p>
        </w:tc>
        <w:tc>
          <w:tcPr>
            <w:tcW w:w="1885" w:type="dxa"/>
          </w:tcPr>
          <w:p w14:paraId="6492A5C4" w14:textId="0D66D269" w:rsidR="008A3E72" w:rsidRPr="004859C8" w:rsidRDefault="008A3E72" w:rsidP="00917D58">
            <w:pPr>
              <w:pStyle w:val="TMGTableText"/>
            </w:pPr>
            <w:r w:rsidRPr="00D60177">
              <w:t>Ontario</w:t>
            </w:r>
          </w:p>
        </w:tc>
        <w:tc>
          <w:tcPr>
            <w:tcW w:w="720" w:type="dxa"/>
          </w:tcPr>
          <w:p w14:paraId="68EE3966" w14:textId="3CA2BBF2" w:rsidR="008A3E72" w:rsidRPr="008A3E72" w:rsidRDefault="008A3E72" w:rsidP="00E220E9">
            <w:pPr>
              <w:pStyle w:val="TMGTableText"/>
              <w:ind w:left="0" w:right="187"/>
              <w:jc w:val="right"/>
            </w:pPr>
            <w:r w:rsidRPr="00D60177">
              <w:t>87</w:t>
            </w:r>
          </w:p>
        </w:tc>
        <w:tc>
          <w:tcPr>
            <w:tcW w:w="1890" w:type="dxa"/>
          </w:tcPr>
          <w:p w14:paraId="161CFF29" w14:textId="4A10F66D" w:rsidR="008A3E72" w:rsidRPr="004859C8" w:rsidRDefault="008A3E72" w:rsidP="00917D58">
            <w:pPr>
              <w:pStyle w:val="TMGTableText"/>
            </w:pPr>
            <w:r w:rsidRPr="00D60177">
              <w:t>Northwest Territory</w:t>
            </w:r>
          </w:p>
        </w:tc>
        <w:tc>
          <w:tcPr>
            <w:tcW w:w="720" w:type="dxa"/>
          </w:tcPr>
          <w:p w14:paraId="71757A18" w14:textId="07CA8054" w:rsidR="008A3E72" w:rsidRPr="008A3E72" w:rsidRDefault="008A3E72" w:rsidP="00E220E9">
            <w:pPr>
              <w:pStyle w:val="TMGTableText"/>
              <w:ind w:left="0" w:right="187"/>
              <w:jc w:val="right"/>
            </w:pPr>
            <w:r w:rsidRPr="00D96273">
              <w:t>92</w:t>
            </w:r>
          </w:p>
        </w:tc>
      </w:tr>
      <w:tr w:rsidR="00C746C6" w14:paraId="2AF600C3" w14:textId="77777777" w:rsidTr="00C746C6">
        <w:trPr>
          <w:jc w:val="center"/>
        </w:trPr>
        <w:tc>
          <w:tcPr>
            <w:tcW w:w="1620" w:type="dxa"/>
          </w:tcPr>
          <w:p w14:paraId="3B5B8566" w14:textId="7EA9C9FD" w:rsidR="008A3E72" w:rsidRPr="00C251E9" w:rsidRDefault="008A3E72" w:rsidP="00917D58">
            <w:pPr>
              <w:pStyle w:val="TMGTableText"/>
              <w:rPr>
                <w:b/>
                <w:bCs/>
              </w:rPr>
            </w:pPr>
            <w:r w:rsidRPr="00D60177">
              <w:t>Manitoba</w:t>
            </w:r>
          </w:p>
        </w:tc>
        <w:tc>
          <w:tcPr>
            <w:tcW w:w="720" w:type="dxa"/>
          </w:tcPr>
          <w:p w14:paraId="411968E1" w14:textId="52B6E6F2" w:rsidR="008A3E72" w:rsidRPr="008A3E72" w:rsidRDefault="008A3E72" w:rsidP="00E220E9">
            <w:pPr>
              <w:pStyle w:val="TMGTableText"/>
              <w:ind w:left="0" w:right="187"/>
              <w:jc w:val="right"/>
            </w:pPr>
            <w:r w:rsidRPr="00D60177">
              <w:t>83</w:t>
            </w:r>
          </w:p>
        </w:tc>
        <w:tc>
          <w:tcPr>
            <w:tcW w:w="1885" w:type="dxa"/>
          </w:tcPr>
          <w:p w14:paraId="06D95CE1" w14:textId="4DC6AB74" w:rsidR="008A3E72" w:rsidRPr="004859C8" w:rsidRDefault="008A3E72" w:rsidP="00917D58">
            <w:pPr>
              <w:pStyle w:val="TMGTableText"/>
            </w:pPr>
            <w:r w:rsidRPr="00D60177">
              <w:t>Prince Edward Island</w:t>
            </w:r>
          </w:p>
        </w:tc>
        <w:tc>
          <w:tcPr>
            <w:tcW w:w="720" w:type="dxa"/>
          </w:tcPr>
          <w:p w14:paraId="5BCCCEBF" w14:textId="59AC5D4D" w:rsidR="008A3E72" w:rsidRPr="008A3E72" w:rsidRDefault="008A3E72" w:rsidP="00E220E9">
            <w:pPr>
              <w:pStyle w:val="TMGTableText"/>
              <w:ind w:left="0" w:right="187"/>
              <w:jc w:val="right"/>
            </w:pPr>
            <w:r w:rsidRPr="00D60177">
              <w:t>88</w:t>
            </w:r>
          </w:p>
        </w:tc>
        <w:tc>
          <w:tcPr>
            <w:tcW w:w="1890" w:type="dxa"/>
          </w:tcPr>
          <w:p w14:paraId="5B245944" w14:textId="44843CD9" w:rsidR="008A3E72" w:rsidRPr="004859C8" w:rsidRDefault="008A3E72" w:rsidP="00917D58">
            <w:pPr>
              <w:pStyle w:val="TMGTableText"/>
            </w:pPr>
            <w:r w:rsidRPr="00D60177">
              <w:t xml:space="preserve">Labrador </w:t>
            </w:r>
          </w:p>
        </w:tc>
        <w:tc>
          <w:tcPr>
            <w:tcW w:w="720" w:type="dxa"/>
          </w:tcPr>
          <w:p w14:paraId="1C81646A" w14:textId="201F1D90" w:rsidR="008A3E72" w:rsidRPr="008A3E72" w:rsidRDefault="008A3E72" w:rsidP="00E220E9">
            <w:pPr>
              <w:pStyle w:val="TMGTableText"/>
              <w:ind w:left="0" w:right="187"/>
              <w:jc w:val="right"/>
            </w:pPr>
            <w:r w:rsidRPr="00D96273">
              <w:t>93</w:t>
            </w:r>
          </w:p>
        </w:tc>
      </w:tr>
      <w:tr w:rsidR="00C746C6" w14:paraId="3FEE7BB4" w14:textId="77777777" w:rsidTr="00C746C6">
        <w:trPr>
          <w:jc w:val="center"/>
        </w:trPr>
        <w:tc>
          <w:tcPr>
            <w:tcW w:w="1620" w:type="dxa"/>
          </w:tcPr>
          <w:p w14:paraId="3A8812E8" w14:textId="64BDD0C9" w:rsidR="008A3E72" w:rsidRPr="00C251E9" w:rsidRDefault="008A3E72" w:rsidP="00917D58">
            <w:pPr>
              <w:pStyle w:val="TMGTableText"/>
              <w:rPr>
                <w:b/>
                <w:bCs/>
              </w:rPr>
            </w:pPr>
            <w:r w:rsidRPr="00D60177">
              <w:t>New Brunswick</w:t>
            </w:r>
          </w:p>
        </w:tc>
        <w:tc>
          <w:tcPr>
            <w:tcW w:w="720" w:type="dxa"/>
          </w:tcPr>
          <w:p w14:paraId="114A0E7F" w14:textId="60FFA70E" w:rsidR="008A3E72" w:rsidRPr="008A3E72" w:rsidRDefault="008A3E72" w:rsidP="00E220E9">
            <w:pPr>
              <w:pStyle w:val="TMGTableText"/>
              <w:ind w:left="0" w:right="187"/>
              <w:jc w:val="right"/>
            </w:pPr>
            <w:r w:rsidRPr="00D60177">
              <w:t>84</w:t>
            </w:r>
          </w:p>
        </w:tc>
        <w:tc>
          <w:tcPr>
            <w:tcW w:w="1885" w:type="dxa"/>
          </w:tcPr>
          <w:p w14:paraId="611AEB29" w14:textId="4AB89D7A" w:rsidR="008A3E72" w:rsidRPr="004859C8" w:rsidRDefault="008A3E72" w:rsidP="00917D58">
            <w:pPr>
              <w:pStyle w:val="TMGTableText"/>
            </w:pPr>
            <w:r w:rsidRPr="00D60177">
              <w:t>Quebec</w:t>
            </w:r>
          </w:p>
        </w:tc>
        <w:tc>
          <w:tcPr>
            <w:tcW w:w="720" w:type="dxa"/>
          </w:tcPr>
          <w:p w14:paraId="60BC799B" w14:textId="277E1F8C" w:rsidR="008A3E72" w:rsidRPr="008A3E72" w:rsidRDefault="008A3E72" w:rsidP="00E220E9">
            <w:pPr>
              <w:pStyle w:val="TMGTableText"/>
              <w:ind w:left="0" w:right="187"/>
              <w:jc w:val="right"/>
            </w:pPr>
            <w:r w:rsidRPr="00D60177">
              <w:t>89</w:t>
            </w:r>
          </w:p>
        </w:tc>
        <w:tc>
          <w:tcPr>
            <w:tcW w:w="1890" w:type="dxa"/>
          </w:tcPr>
          <w:p w14:paraId="399216DC" w14:textId="2C8D099D" w:rsidR="008A3E72" w:rsidRPr="004859C8" w:rsidRDefault="008A3E72" w:rsidP="00917D58">
            <w:pPr>
              <w:pStyle w:val="TMGTableText"/>
            </w:pPr>
            <w:r w:rsidRPr="00D60177">
              <w:t>Nunavut</w:t>
            </w:r>
          </w:p>
        </w:tc>
        <w:tc>
          <w:tcPr>
            <w:tcW w:w="720" w:type="dxa"/>
          </w:tcPr>
          <w:p w14:paraId="3483D0D0" w14:textId="39B69803" w:rsidR="008A3E72" w:rsidRPr="008A3E72" w:rsidRDefault="008A3E72" w:rsidP="00E220E9">
            <w:pPr>
              <w:pStyle w:val="TMGTableText"/>
              <w:ind w:left="0" w:right="187"/>
              <w:jc w:val="right"/>
            </w:pPr>
            <w:r w:rsidRPr="00D96273">
              <w:t>94</w:t>
            </w:r>
          </w:p>
        </w:tc>
      </w:tr>
      <w:tr w:rsidR="00C746C6" w14:paraId="76402AF3" w14:textId="77777777" w:rsidTr="00C746C6">
        <w:trPr>
          <w:jc w:val="center"/>
        </w:trPr>
        <w:tc>
          <w:tcPr>
            <w:tcW w:w="1620" w:type="dxa"/>
          </w:tcPr>
          <w:p w14:paraId="7A5F5C90" w14:textId="2CF28BF9" w:rsidR="008A3E72" w:rsidRPr="00C251E9" w:rsidRDefault="008A3E72" w:rsidP="00917D58">
            <w:pPr>
              <w:pStyle w:val="TMGTableText"/>
              <w:rPr>
                <w:b/>
                <w:bCs/>
              </w:rPr>
            </w:pPr>
            <w:r w:rsidRPr="00D60177">
              <w:t>Newfoundland</w:t>
            </w:r>
          </w:p>
        </w:tc>
        <w:tc>
          <w:tcPr>
            <w:tcW w:w="720" w:type="dxa"/>
          </w:tcPr>
          <w:p w14:paraId="376F0037" w14:textId="6FF0A3F9" w:rsidR="008A3E72" w:rsidRPr="008A3E72" w:rsidRDefault="008A3E72" w:rsidP="00E220E9">
            <w:pPr>
              <w:pStyle w:val="TMGTableText"/>
              <w:ind w:left="0" w:right="187"/>
              <w:jc w:val="right"/>
            </w:pPr>
            <w:r w:rsidRPr="00D60177">
              <w:t>85</w:t>
            </w:r>
          </w:p>
        </w:tc>
        <w:tc>
          <w:tcPr>
            <w:tcW w:w="1885" w:type="dxa"/>
          </w:tcPr>
          <w:p w14:paraId="38681A38" w14:textId="7DCF8376" w:rsidR="008A3E72" w:rsidRPr="004859C8" w:rsidRDefault="008A3E72" w:rsidP="00917D58">
            <w:pPr>
              <w:pStyle w:val="TMGTableText"/>
            </w:pPr>
            <w:r w:rsidRPr="00D60177">
              <w:t xml:space="preserve">Saskatchewan </w:t>
            </w:r>
          </w:p>
        </w:tc>
        <w:tc>
          <w:tcPr>
            <w:tcW w:w="720" w:type="dxa"/>
          </w:tcPr>
          <w:p w14:paraId="0CC2A0D3" w14:textId="1CF33763" w:rsidR="008A3E72" w:rsidRPr="008A3E72" w:rsidRDefault="008A3E72" w:rsidP="00E220E9">
            <w:pPr>
              <w:pStyle w:val="TMGTableText"/>
              <w:ind w:left="0" w:right="187"/>
              <w:jc w:val="right"/>
            </w:pPr>
            <w:r w:rsidRPr="00D60177">
              <w:t>90</w:t>
            </w:r>
          </w:p>
        </w:tc>
        <w:tc>
          <w:tcPr>
            <w:tcW w:w="1890" w:type="dxa"/>
          </w:tcPr>
          <w:p w14:paraId="21A08743" w14:textId="77777777" w:rsidR="008A3E72" w:rsidRPr="004859C8" w:rsidRDefault="008A3E72" w:rsidP="00917D58">
            <w:pPr>
              <w:pStyle w:val="TMGTableText"/>
            </w:pPr>
          </w:p>
        </w:tc>
        <w:tc>
          <w:tcPr>
            <w:tcW w:w="720" w:type="dxa"/>
          </w:tcPr>
          <w:p w14:paraId="2671C931" w14:textId="77777777" w:rsidR="008A3E72" w:rsidRPr="008A3E72" w:rsidRDefault="008A3E72" w:rsidP="00E220E9">
            <w:pPr>
              <w:pStyle w:val="TMGTableText"/>
              <w:ind w:left="0" w:right="187"/>
              <w:jc w:val="right"/>
            </w:pPr>
          </w:p>
        </w:tc>
      </w:tr>
    </w:tbl>
    <w:p w14:paraId="3212117A" w14:textId="032D7F5C" w:rsidR="009B7AED" w:rsidRDefault="009B7AED">
      <w:pPr>
        <w:pStyle w:val="ListCS1BulletsandNumbering"/>
        <w:numPr>
          <w:ilvl w:val="0"/>
          <w:numId w:val="44"/>
        </w:numPr>
        <w:spacing w:before="360" w:after="120"/>
        <w:ind w:left="648"/>
      </w:pPr>
      <w:r>
        <w:t xml:space="preserve">Station Identification – </w:t>
      </w:r>
      <w:r>
        <w:rPr>
          <w:rStyle w:val="Italic"/>
          <w:iCs/>
        </w:rPr>
        <w:t>Required</w:t>
      </w:r>
    </w:p>
    <w:p w14:paraId="7A355167" w14:textId="281987F7" w:rsidR="00ED64CF" w:rsidRDefault="009B7AED" w:rsidP="00F36C9B">
      <w:pPr>
        <w:pStyle w:val="BulletcontinuedBulletsandNumbering"/>
        <w:tabs>
          <w:tab w:val="clear" w:pos="1440"/>
        </w:tabs>
        <w:ind w:left="648"/>
      </w:pPr>
      <w:r>
        <w:t xml:space="preserve">Alphanumeric designation for the station where the data are collected. Station identification field entries must be identical in all records for a given station. Differences in characters, including spaces, hyphens, etc., prevent a proper match. </w:t>
      </w:r>
    </w:p>
    <w:p w14:paraId="7681CF17" w14:textId="77777777" w:rsidR="00ED64CF" w:rsidRDefault="00ED64CF">
      <w:pPr>
        <w:widowControl/>
        <w:suppressAutoHyphens w:val="0"/>
        <w:autoSpaceDE/>
        <w:autoSpaceDN/>
        <w:adjustRightInd/>
        <w:spacing w:after="160" w:line="259" w:lineRule="auto"/>
        <w:jc w:val="left"/>
        <w:textAlignment w:val="auto"/>
        <w:rPr>
          <w:color w:val="auto"/>
        </w:rPr>
      </w:pPr>
      <w:r>
        <w:br w:type="page"/>
      </w:r>
    </w:p>
    <w:p w14:paraId="6A80E5AF" w14:textId="77777777" w:rsidR="009B7AED" w:rsidRDefault="009B7AED">
      <w:pPr>
        <w:pStyle w:val="ListCS1BulletsandNumbering"/>
        <w:numPr>
          <w:ilvl w:val="0"/>
          <w:numId w:val="44"/>
        </w:numPr>
        <w:spacing w:before="0" w:after="120"/>
        <w:ind w:left="648"/>
      </w:pPr>
      <w:r>
        <w:lastRenderedPageBreak/>
        <w:t xml:space="preserve">Direction of Travel – </w:t>
      </w:r>
      <w:r>
        <w:rPr>
          <w:rStyle w:val="Italic"/>
          <w:iCs/>
        </w:rPr>
        <w:t>Required</w:t>
      </w:r>
    </w:p>
    <w:p w14:paraId="6DF861C8" w14:textId="39D58BA0" w:rsidR="009B7AED" w:rsidRDefault="009B7AED" w:rsidP="00F36C9B">
      <w:pPr>
        <w:pStyle w:val="BulletcontinuedBulletsandNumbering"/>
        <w:tabs>
          <w:tab w:val="clear" w:pos="1440"/>
        </w:tabs>
        <w:ind w:left="648"/>
      </w:pPr>
      <w:r>
        <w:t xml:space="preserve">Combined directions are permitted for volume stations only. </w:t>
      </w:r>
      <w:fldSimple w:instr=" REF _Ref111022613 ">
        <w:r w:rsidR="00C07DF9" w:rsidRPr="00034522">
          <w:t xml:space="preserve">Table </w:t>
        </w:r>
        <w:r w:rsidR="00C07DF9">
          <w:rPr>
            <w:noProof/>
          </w:rPr>
          <w:t>4</w:t>
        </w:r>
        <w:r w:rsidR="00C07DF9">
          <w:noBreakHyphen/>
        </w:r>
        <w:r w:rsidR="00C07DF9">
          <w:rPr>
            <w:noProof/>
          </w:rPr>
          <w:t>4</w:t>
        </w:r>
      </w:fldSimple>
      <w:r>
        <w:t xml:space="preserve"> lists the codes for each direction. There should be a separate record for each direction of travel for the station. </w:t>
      </w:r>
      <w:bookmarkStart w:id="2831" w:name="_Toc63976921"/>
    </w:p>
    <w:p w14:paraId="6CCC357B" w14:textId="5EAC1242" w:rsidR="009B7AED" w:rsidRDefault="009B7AED" w:rsidP="000F2A7A">
      <w:pPr>
        <w:pStyle w:val="TMGTableCaption"/>
      </w:pPr>
      <w:bookmarkStart w:id="2832" w:name="_Ref111022613"/>
      <w:bookmarkStart w:id="2833" w:name="_Toc109333446"/>
      <w:bookmarkStart w:id="2834" w:name="_Toc109333774"/>
      <w:bookmarkStart w:id="2835" w:name="_Toc113282509"/>
      <w:bookmarkStart w:id="2836" w:name="_Toc114474846"/>
      <w:bookmarkStart w:id="2837" w:name="_Toc120631152"/>
      <w:bookmarkEnd w:id="2831"/>
      <w:r w:rsidRPr="00034522">
        <w:t xml:space="preserve">Table </w:t>
      </w:r>
      <w:fldSimple w:instr=" STYLEREF 1 \s ">
        <w:r w:rsidR="00C07DF9">
          <w:rPr>
            <w:noProof/>
          </w:rPr>
          <w:t>4</w:t>
        </w:r>
      </w:fldSimple>
      <w:r>
        <w:noBreakHyphen/>
      </w:r>
      <w:fldSimple w:instr=" SEQ Table \* ARABIC \s 1 ">
        <w:r w:rsidR="00C07DF9">
          <w:rPr>
            <w:noProof/>
          </w:rPr>
          <w:t>4</w:t>
        </w:r>
      </w:fldSimple>
      <w:bookmarkEnd w:id="2832"/>
      <w:r w:rsidR="00627DD7">
        <w:t>.</w:t>
      </w:r>
      <w:r w:rsidRPr="00034522">
        <w:t xml:space="preserve"> Direction </w:t>
      </w:r>
      <w:r w:rsidR="002D5602">
        <w:t>o</w:t>
      </w:r>
      <w:r w:rsidRPr="00034522">
        <w:t>f Travel Codes</w:t>
      </w:r>
      <w:bookmarkEnd w:id="2833"/>
      <w:bookmarkEnd w:id="2834"/>
      <w:bookmarkEnd w:id="2835"/>
      <w:bookmarkEnd w:id="2836"/>
      <w:bookmarkEnd w:id="2837"/>
    </w:p>
    <w:tbl>
      <w:tblPr>
        <w:tblStyle w:val="TableGrid"/>
        <w:tblW w:w="6745" w:type="dxa"/>
        <w:jc w:val="center"/>
        <w:tblCellMar>
          <w:left w:w="86" w:type="dxa"/>
          <w:right w:w="86" w:type="dxa"/>
        </w:tblCellMar>
        <w:tblLook w:val="04A0" w:firstRow="1" w:lastRow="0" w:firstColumn="1" w:lastColumn="0" w:noHBand="0" w:noVBand="1"/>
      </w:tblPr>
      <w:tblGrid>
        <w:gridCol w:w="805"/>
        <w:gridCol w:w="5940"/>
      </w:tblGrid>
      <w:tr w:rsidR="002D5602" w14:paraId="65CFF76C" w14:textId="77777777" w:rsidTr="002D5602">
        <w:trPr>
          <w:jc w:val="center"/>
        </w:trPr>
        <w:tc>
          <w:tcPr>
            <w:tcW w:w="805" w:type="dxa"/>
            <w:tcBorders>
              <w:right w:val="single" w:sz="4" w:space="0" w:color="FFFFFF" w:themeColor="background1"/>
            </w:tcBorders>
            <w:shd w:val="clear" w:color="auto" w:fill="1F3864"/>
            <w:vAlign w:val="center"/>
          </w:tcPr>
          <w:p w14:paraId="036A077B" w14:textId="2FD63025" w:rsidR="002D5602" w:rsidRDefault="002D5602" w:rsidP="0017389B">
            <w:pPr>
              <w:pStyle w:val="TMGTableTextHeader"/>
            </w:pPr>
            <w:r>
              <w:t>Code</w:t>
            </w:r>
          </w:p>
        </w:tc>
        <w:tc>
          <w:tcPr>
            <w:tcW w:w="5940" w:type="dxa"/>
            <w:tcBorders>
              <w:left w:val="single" w:sz="4" w:space="0" w:color="FFFFFF" w:themeColor="background1"/>
            </w:tcBorders>
            <w:shd w:val="clear" w:color="auto" w:fill="1F3864"/>
            <w:vAlign w:val="center"/>
          </w:tcPr>
          <w:p w14:paraId="328CFCEE" w14:textId="4E956F89" w:rsidR="002D5602" w:rsidRDefault="002D5602" w:rsidP="0017389B">
            <w:pPr>
              <w:pStyle w:val="TMGTableTextHeader"/>
            </w:pPr>
            <w:r>
              <w:t>Direction</w:t>
            </w:r>
          </w:p>
        </w:tc>
      </w:tr>
      <w:tr w:rsidR="002D5602" w14:paraId="0A527024" w14:textId="77777777" w:rsidTr="002D5602">
        <w:trPr>
          <w:jc w:val="center"/>
        </w:trPr>
        <w:tc>
          <w:tcPr>
            <w:tcW w:w="805" w:type="dxa"/>
          </w:tcPr>
          <w:p w14:paraId="7653D694" w14:textId="1F42A884" w:rsidR="002D5602" w:rsidRPr="00C251E9" w:rsidRDefault="002D5602" w:rsidP="00E220E9">
            <w:pPr>
              <w:pStyle w:val="TMGTableText"/>
              <w:jc w:val="center"/>
            </w:pPr>
            <w:r w:rsidRPr="00804074">
              <w:t>1</w:t>
            </w:r>
          </w:p>
        </w:tc>
        <w:tc>
          <w:tcPr>
            <w:tcW w:w="5940" w:type="dxa"/>
          </w:tcPr>
          <w:p w14:paraId="41A8F882" w14:textId="5B479602" w:rsidR="002D5602" w:rsidRPr="00C251E9" w:rsidRDefault="002D5602" w:rsidP="00917D58">
            <w:pPr>
              <w:pStyle w:val="TMGTableText"/>
            </w:pPr>
            <w:r w:rsidRPr="00804074">
              <w:t>North</w:t>
            </w:r>
          </w:p>
        </w:tc>
      </w:tr>
      <w:tr w:rsidR="002D5602" w14:paraId="6851B5D7" w14:textId="77777777" w:rsidTr="002D5602">
        <w:trPr>
          <w:jc w:val="center"/>
        </w:trPr>
        <w:tc>
          <w:tcPr>
            <w:tcW w:w="805" w:type="dxa"/>
          </w:tcPr>
          <w:p w14:paraId="0EC827A1" w14:textId="6452C48F" w:rsidR="002D5602" w:rsidRPr="00C251E9" w:rsidRDefault="002D5602" w:rsidP="00E220E9">
            <w:pPr>
              <w:pStyle w:val="TMGTableText"/>
              <w:jc w:val="center"/>
            </w:pPr>
            <w:r w:rsidRPr="00804074">
              <w:t>2</w:t>
            </w:r>
          </w:p>
        </w:tc>
        <w:tc>
          <w:tcPr>
            <w:tcW w:w="5940" w:type="dxa"/>
          </w:tcPr>
          <w:p w14:paraId="2FA50230" w14:textId="564B8920" w:rsidR="002D5602" w:rsidRPr="00C251E9" w:rsidRDefault="002D5602" w:rsidP="00917D58">
            <w:pPr>
              <w:pStyle w:val="TMGTableText"/>
            </w:pPr>
            <w:r w:rsidRPr="00804074">
              <w:t>Northeast</w:t>
            </w:r>
          </w:p>
        </w:tc>
      </w:tr>
      <w:tr w:rsidR="002D5602" w14:paraId="28294519" w14:textId="77777777" w:rsidTr="002D5602">
        <w:trPr>
          <w:jc w:val="center"/>
        </w:trPr>
        <w:tc>
          <w:tcPr>
            <w:tcW w:w="805" w:type="dxa"/>
          </w:tcPr>
          <w:p w14:paraId="0D0DD0A5" w14:textId="2AD86F09" w:rsidR="002D5602" w:rsidRPr="00C251E9" w:rsidRDefault="002D5602" w:rsidP="00E220E9">
            <w:pPr>
              <w:pStyle w:val="TMGTableText"/>
              <w:jc w:val="center"/>
            </w:pPr>
            <w:r w:rsidRPr="00804074">
              <w:t>3</w:t>
            </w:r>
          </w:p>
        </w:tc>
        <w:tc>
          <w:tcPr>
            <w:tcW w:w="5940" w:type="dxa"/>
          </w:tcPr>
          <w:p w14:paraId="6609FC84" w14:textId="4C288103" w:rsidR="002D5602" w:rsidRPr="00C251E9" w:rsidRDefault="002D5602" w:rsidP="00917D58">
            <w:pPr>
              <w:pStyle w:val="TMGTableText"/>
            </w:pPr>
            <w:r w:rsidRPr="00804074">
              <w:t>East</w:t>
            </w:r>
          </w:p>
        </w:tc>
      </w:tr>
      <w:tr w:rsidR="002D5602" w14:paraId="67339CA8" w14:textId="77777777" w:rsidTr="002D5602">
        <w:trPr>
          <w:jc w:val="center"/>
        </w:trPr>
        <w:tc>
          <w:tcPr>
            <w:tcW w:w="805" w:type="dxa"/>
          </w:tcPr>
          <w:p w14:paraId="2A02DFA0" w14:textId="48EA3AA3" w:rsidR="002D5602" w:rsidRPr="00C251E9" w:rsidRDefault="002D5602" w:rsidP="00E220E9">
            <w:pPr>
              <w:pStyle w:val="TMGTableText"/>
              <w:jc w:val="center"/>
            </w:pPr>
            <w:r w:rsidRPr="00804074">
              <w:t>4</w:t>
            </w:r>
          </w:p>
        </w:tc>
        <w:tc>
          <w:tcPr>
            <w:tcW w:w="5940" w:type="dxa"/>
          </w:tcPr>
          <w:p w14:paraId="4B49BF10" w14:textId="5CD8644B" w:rsidR="002D5602" w:rsidRPr="00C251E9" w:rsidRDefault="002D5602" w:rsidP="00917D58">
            <w:pPr>
              <w:pStyle w:val="TMGTableText"/>
            </w:pPr>
            <w:r w:rsidRPr="00804074">
              <w:t>Southeast</w:t>
            </w:r>
          </w:p>
        </w:tc>
      </w:tr>
      <w:tr w:rsidR="002D5602" w14:paraId="10541CF4" w14:textId="77777777" w:rsidTr="002D5602">
        <w:trPr>
          <w:jc w:val="center"/>
        </w:trPr>
        <w:tc>
          <w:tcPr>
            <w:tcW w:w="805" w:type="dxa"/>
          </w:tcPr>
          <w:p w14:paraId="4D344F02" w14:textId="748C6C5B" w:rsidR="002D5602" w:rsidRPr="00C251E9" w:rsidRDefault="002D5602" w:rsidP="00E220E9">
            <w:pPr>
              <w:pStyle w:val="TMGTableText"/>
              <w:jc w:val="center"/>
            </w:pPr>
            <w:r w:rsidRPr="00804074">
              <w:t>5</w:t>
            </w:r>
          </w:p>
        </w:tc>
        <w:tc>
          <w:tcPr>
            <w:tcW w:w="5940" w:type="dxa"/>
          </w:tcPr>
          <w:p w14:paraId="6AC7DC1C" w14:textId="4A25DA77" w:rsidR="002D5602" w:rsidRPr="00C251E9" w:rsidRDefault="002D5602" w:rsidP="00917D58">
            <w:pPr>
              <w:pStyle w:val="TMGTableText"/>
            </w:pPr>
            <w:r w:rsidRPr="00804074">
              <w:t>South</w:t>
            </w:r>
          </w:p>
        </w:tc>
      </w:tr>
      <w:tr w:rsidR="002D5602" w14:paraId="3D6EAE9D" w14:textId="77777777" w:rsidTr="002D5602">
        <w:trPr>
          <w:jc w:val="center"/>
        </w:trPr>
        <w:tc>
          <w:tcPr>
            <w:tcW w:w="805" w:type="dxa"/>
          </w:tcPr>
          <w:p w14:paraId="427B8CCA" w14:textId="293AE75D" w:rsidR="002D5602" w:rsidRPr="00C251E9" w:rsidRDefault="002D5602" w:rsidP="00E220E9">
            <w:pPr>
              <w:pStyle w:val="TMGTableText"/>
              <w:jc w:val="center"/>
            </w:pPr>
            <w:r w:rsidRPr="00804074">
              <w:t>6</w:t>
            </w:r>
          </w:p>
        </w:tc>
        <w:tc>
          <w:tcPr>
            <w:tcW w:w="5940" w:type="dxa"/>
          </w:tcPr>
          <w:p w14:paraId="18D4F95A" w14:textId="53CAB659" w:rsidR="002D5602" w:rsidRPr="00C251E9" w:rsidRDefault="002D5602" w:rsidP="00917D58">
            <w:pPr>
              <w:pStyle w:val="TMGTableText"/>
            </w:pPr>
            <w:r w:rsidRPr="00804074">
              <w:t>Southwest</w:t>
            </w:r>
          </w:p>
        </w:tc>
      </w:tr>
      <w:tr w:rsidR="002D5602" w14:paraId="244B2621" w14:textId="77777777" w:rsidTr="002D5602">
        <w:trPr>
          <w:jc w:val="center"/>
        </w:trPr>
        <w:tc>
          <w:tcPr>
            <w:tcW w:w="805" w:type="dxa"/>
          </w:tcPr>
          <w:p w14:paraId="3A45836F" w14:textId="22C24CD3" w:rsidR="002D5602" w:rsidRPr="00C251E9" w:rsidRDefault="002D5602" w:rsidP="00E220E9">
            <w:pPr>
              <w:pStyle w:val="TMGTableText"/>
              <w:jc w:val="center"/>
            </w:pPr>
            <w:r w:rsidRPr="00804074">
              <w:t>7</w:t>
            </w:r>
          </w:p>
        </w:tc>
        <w:tc>
          <w:tcPr>
            <w:tcW w:w="5940" w:type="dxa"/>
          </w:tcPr>
          <w:p w14:paraId="17D011E4" w14:textId="130A01FD" w:rsidR="002D5602" w:rsidRPr="00C251E9" w:rsidRDefault="002D5602" w:rsidP="00917D58">
            <w:pPr>
              <w:pStyle w:val="TMGTableText"/>
            </w:pPr>
            <w:r w:rsidRPr="00804074">
              <w:t>West</w:t>
            </w:r>
          </w:p>
        </w:tc>
      </w:tr>
      <w:tr w:rsidR="002D5602" w14:paraId="259590CC" w14:textId="77777777" w:rsidTr="002D5602">
        <w:trPr>
          <w:jc w:val="center"/>
        </w:trPr>
        <w:tc>
          <w:tcPr>
            <w:tcW w:w="805" w:type="dxa"/>
          </w:tcPr>
          <w:p w14:paraId="5B89FAB4" w14:textId="01FAF765" w:rsidR="002D5602" w:rsidRPr="00C251E9" w:rsidRDefault="002D5602" w:rsidP="00E220E9">
            <w:pPr>
              <w:pStyle w:val="TMGTableText"/>
              <w:jc w:val="center"/>
            </w:pPr>
            <w:r w:rsidRPr="00804074">
              <w:t>8</w:t>
            </w:r>
          </w:p>
        </w:tc>
        <w:tc>
          <w:tcPr>
            <w:tcW w:w="5940" w:type="dxa"/>
          </w:tcPr>
          <w:p w14:paraId="5763AAA0" w14:textId="13F17ED0" w:rsidR="002D5602" w:rsidRPr="00C251E9" w:rsidRDefault="002D5602" w:rsidP="00917D58">
            <w:pPr>
              <w:pStyle w:val="TMGTableText"/>
            </w:pPr>
            <w:r w:rsidRPr="00804074">
              <w:t>Northwest</w:t>
            </w:r>
          </w:p>
        </w:tc>
      </w:tr>
      <w:tr w:rsidR="002D5602" w14:paraId="0EC65E61" w14:textId="77777777" w:rsidTr="002D5602">
        <w:trPr>
          <w:jc w:val="center"/>
        </w:trPr>
        <w:tc>
          <w:tcPr>
            <w:tcW w:w="805" w:type="dxa"/>
          </w:tcPr>
          <w:p w14:paraId="17A4D18C" w14:textId="329AAFFB" w:rsidR="002D5602" w:rsidRPr="00C251E9" w:rsidRDefault="002D5602" w:rsidP="00E220E9">
            <w:pPr>
              <w:pStyle w:val="TMGTableText"/>
              <w:jc w:val="center"/>
            </w:pPr>
            <w:r w:rsidRPr="00804074">
              <w:t>9</w:t>
            </w:r>
          </w:p>
        </w:tc>
        <w:tc>
          <w:tcPr>
            <w:tcW w:w="5940" w:type="dxa"/>
          </w:tcPr>
          <w:p w14:paraId="3724831A" w14:textId="735E066C" w:rsidR="002D5602" w:rsidRPr="00C251E9" w:rsidRDefault="002D5602" w:rsidP="00917D58">
            <w:pPr>
              <w:pStyle w:val="TMGTableText"/>
            </w:pPr>
            <w:r w:rsidRPr="00804074">
              <w:t>North-South or Northeast-Southwest combined (volume stations only)</w:t>
            </w:r>
          </w:p>
        </w:tc>
      </w:tr>
      <w:tr w:rsidR="002D5602" w14:paraId="16569EA5" w14:textId="77777777" w:rsidTr="002D5602">
        <w:trPr>
          <w:jc w:val="center"/>
        </w:trPr>
        <w:tc>
          <w:tcPr>
            <w:tcW w:w="805" w:type="dxa"/>
          </w:tcPr>
          <w:p w14:paraId="6B1F7239" w14:textId="7929600E" w:rsidR="002D5602" w:rsidRPr="00C251E9" w:rsidRDefault="002D5602" w:rsidP="00E220E9">
            <w:pPr>
              <w:pStyle w:val="TMGTableText"/>
              <w:jc w:val="center"/>
            </w:pPr>
            <w:r w:rsidRPr="00804074">
              <w:t>0</w:t>
            </w:r>
          </w:p>
        </w:tc>
        <w:tc>
          <w:tcPr>
            <w:tcW w:w="5940" w:type="dxa"/>
          </w:tcPr>
          <w:p w14:paraId="2C7B6ECE" w14:textId="4356FEFC" w:rsidR="002D5602" w:rsidRPr="00C251E9" w:rsidRDefault="002D5602" w:rsidP="00917D58">
            <w:pPr>
              <w:pStyle w:val="TMGTableText"/>
            </w:pPr>
            <w:r w:rsidRPr="00804074">
              <w:t>East-West or Southeast-Northwest combined (volume stations only)</w:t>
            </w:r>
          </w:p>
        </w:tc>
      </w:tr>
    </w:tbl>
    <w:p w14:paraId="4F5AD06B" w14:textId="731471A7" w:rsidR="009B7AED" w:rsidRDefault="002D5602">
      <w:pPr>
        <w:pStyle w:val="ListCS1BulletsandNumbering"/>
        <w:numPr>
          <w:ilvl w:val="0"/>
          <w:numId w:val="44"/>
        </w:numPr>
        <w:spacing w:before="360" w:after="120"/>
        <w:ind w:left="648"/>
      </w:pPr>
      <w:r>
        <w:rPr>
          <w:noProof/>
        </w:rPr>
        <mc:AlternateContent>
          <mc:Choice Requires="wps">
            <w:drawing>
              <wp:anchor distT="45720" distB="45720" distL="114300" distR="114300" simplePos="0" relativeHeight="251719680" behindDoc="0" locked="0" layoutInCell="1" allowOverlap="1" wp14:anchorId="4CF075A5" wp14:editId="65AE127E">
                <wp:simplePos x="0" y="0"/>
                <wp:positionH relativeFrom="margin">
                  <wp:posOffset>3880908</wp:posOffset>
                </wp:positionH>
                <wp:positionV relativeFrom="paragraph">
                  <wp:posOffset>235585</wp:posOffset>
                </wp:positionV>
                <wp:extent cx="2082800" cy="1946910"/>
                <wp:effectExtent l="0" t="0" r="0" b="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2800" cy="1946910"/>
                        </a:xfrm>
                        <a:prstGeom prst="rect">
                          <a:avLst/>
                        </a:prstGeom>
                        <a:solidFill>
                          <a:srgbClr val="FFFFFF"/>
                        </a:solidFill>
                        <a:ln w="9525">
                          <a:noFill/>
                          <a:miter lim="800000"/>
                          <a:headEnd/>
                          <a:tailEnd/>
                        </a:ln>
                      </wps:spPr>
                      <wps:txbx>
                        <w:txbxContent>
                          <w:p w14:paraId="1EA3DECD" w14:textId="580025AC" w:rsidR="002D5602" w:rsidRDefault="002D5602" w:rsidP="002D5602">
                            <w:pPr>
                              <w:pStyle w:val="TMGTableCaption"/>
                              <w:spacing w:before="0"/>
                            </w:pPr>
                            <w:bookmarkStart w:id="2838" w:name="_Ref111022632"/>
                            <w:bookmarkStart w:id="2839" w:name="_Toc109333447"/>
                            <w:bookmarkStart w:id="2840" w:name="_Toc109333775"/>
                            <w:bookmarkStart w:id="2841" w:name="_Toc113282510"/>
                            <w:bookmarkStart w:id="2842" w:name="_Toc114474847"/>
                            <w:bookmarkStart w:id="2843" w:name="_Toc120631153"/>
                            <w:r w:rsidRPr="00034522">
                              <w:t xml:space="preserve">Table </w:t>
                            </w:r>
                            <w:fldSimple w:instr=" STYLEREF 1 \s ">
                              <w:r w:rsidR="00FC0E95">
                                <w:rPr>
                                  <w:noProof/>
                                </w:rPr>
                                <w:t>4</w:t>
                              </w:r>
                            </w:fldSimple>
                            <w:r>
                              <w:noBreakHyphen/>
                            </w:r>
                            <w:fldSimple w:instr=" SEQ Table \* ARABIC \s 1 ">
                              <w:r w:rsidR="00FC0E95">
                                <w:rPr>
                                  <w:noProof/>
                                </w:rPr>
                                <w:t>5</w:t>
                              </w:r>
                            </w:fldSimple>
                            <w:bookmarkEnd w:id="2838"/>
                            <w:r w:rsidR="00627DD7">
                              <w:t>.</w:t>
                            </w:r>
                            <w:r w:rsidRPr="00034522">
                              <w:t xml:space="preserve"> Lane </w:t>
                            </w:r>
                            <w:r>
                              <w:t>o</w:t>
                            </w:r>
                            <w:r w:rsidRPr="00034522">
                              <w:t>f Travel Codes</w:t>
                            </w:r>
                            <w:bookmarkEnd w:id="2839"/>
                            <w:bookmarkEnd w:id="2840"/>
                            <w:bookmarkEnd w:id="2841"/>
                            <w:bookmarkEnd w:id="2842"/>
                            <w:bookmarkEnd w:id="2843"/>
                          </w:p>
                          <w:tbl>
                            <w:tblPr>
                              <w:tblStyle w:val="TableGrid"/>
                              <w:tblW w:w="3235" w:type="dxa"/>
                              <w:tblCellMar>
                                <w:left w:w="86" w:type="dxa"/>
                                <w:right w:w="86" w:type="dxa"/>
                              </w:tblCellMar>
                              <w:tblLook w:val="04A0" w:firstRow="1" w:lastRow="0" w:firstColumn="1" w:lastColumn="0" w:noHBand="0" w:noVBand="1"/>
                            </w:tblPr>
                            <w:tblGrid>
                              <w:gridCol w:w="805"/>
                              <w:gridCol w:w="2430"/>
                            </w:tblGrid>
                            <w:tr w:rsidR="002D5602" w14:paraId="5C252660" w14:textId="77777777" w:rsidTr="009447E9">
                              <w:tc>
                                <w:tcPr>
                                  <w:tcW w:w="805" w:type="dxa"/>
                                  <w:tcBorders>
                                    <w:right w:val="single" w:sz="4" w:space="0" w:color="FFFFFF" w:themeColor="background1"/>
                                  </w:tcBorders>
                                  <w:shd w:val="clear" w:color="auto" w:fill="1F3864"/>
                                  <w:vAlign w:val="center"/>
                                </w:tcPr>
                                <w:p w14:paraId="0FA721E9" w14:textId="77777777" w:rsidR="002D5602" w:rsidRDefault="002D5602" w:rsidP="0017389B">
                                  <w:pPr>
                                    <w:pStyle w:val="TMGTableTextHeader"/>
                                  </w:pPr>
                                  <w:r>
                                    <w:t>Code</w:t>
                                  </w:r>
                                </w:p>
                              </w:tc>
                              <w:tc>
                                <w:tcPr>
                                  <w:tcW w:w="2430" w:type="dxa"/>
                                  <w:tcBorders>
                                    <w:left w:val="single" w:sz="4" w:space="0" w:color="FFFFFF" w:themeColor="background1"/>
                                  </w:tcBorders>
                                  <w:shd w:val="clear" w:color="auto" w:fill="1F3864"/>
                                  <w:vAlign w:val="center"/>
                                </w:tcPr>
                                <w:p w14:paraId="19CCAD68" w14:textId="77777777" w:rsidR="002D5602" w:rsidRDefault="002D5602" w:rsidP="0017389B">
                                  <w:pPr>
                                    <w:pStyle w:val="TMGTableTextHeader"/>
                                  </w:pPr>
                                  <w:r>
                                    <w:t>Lane</w:t>
                                  </w:r>
                                </w:p>
                              </w:tc>
                            </w:tr>
                            <w:tr w:rsidR="002D5602" w14:paraId="2F75B20B" w14:textId="77777777" w:rsidTr="009447E9">
                              <w:tc>
                                <w:tcPr>
                                  <w:tcW w:w="805" w:type="dxa"/>
                                </w:tcPr>
                                <w:p w14:paraId="183E288A" w14:textId="77777777" w:rsidR="002D5602" w:rsidRPr="00C251E9" w:rsidRDefault="002D5602" w:rsidP="00E220E9">
                                  <w:pPr>
                                    <w:pStyle w:val="TMGTableText"/>
                                    <w:jc w:val="center"/>
                                  </w:pPr>
                                  <w:r w:rsidRPr="00804074">
                                    <w:t>0</w:t>
                                  </w:r>
                                </w:p>
                              </w:tc>
                              <w:tc>
                                <w:tcPr>
                                  <w:tcW w:w="2430" w:type="dxa"/>
                                </w:tcPr>
                                <w:p w14:paraId="23A5ECAF" w14:textId="77777777" w:rsidR="002D5602" w:rsidRPr="00C251E9" w:rsidRDefault="002D5602" w:rsidP="00917D58">
                                  <w:pPr>
                                    <w:pStyle w:val="TMGTableText"/>
                                  </w:pPr>
                                  <w:r w:rsidRPr="00804074">
                                    <w:t>Data with lanes combined</w:t>
                                  </w:r>
                                </w:p>
                              </w:tc>
                            </w:tr>
                            <w:tr w:rsidR="002D5602" w14:paraId="2D084930" w14:textId="77777777" w:rsidTr="009447E9">
                              <w:tc>
                                <w:tcPr>
                                  <w:tcW w:w="805" w:type="dxa"/>
                                </w:tcPr>
                                <w:p w14:paraId="513C19E0" w14:textId="77777777" w:rsidR="002D5602" w:rsidRPr="00C251E9" w:rsidRDefault="002D5602" w:rsidP="00E220E9">
                                  <w:pPr>
                                    <w:pStyle w:val="TMGTableText"/>
                                    <w:jc w:val="center"/>
                                  </w:pPr>
                                  <w:r w:rsidRPr="00804074">
                                    <w:t>1</w:t>
                                  </w:r>
                                </w:p>
                              </w:tc>
                              <w:tc>
                                <w:tcPr>
                                  <w:tcW w:w="2430" w:type="dxa"/>
                                </w:tcPr>
                                <w:p w14:paraId="09B983F7" w14:textId="77777777" w:rsidR="002D5602" w:rsidRPr="00C251E9" w:rsidRDefault="002D5602" w:rsidP="00917D58">
                                  <w:pPr>
                                    <w:pStyle w:val="TMGTableText"/>
                                  </w:pPr>
                                  <w:r w:rsidRPr="00804074">
                                    <w:t>Outside (rightmost) lane</w:t>
                                  </w:r>
                                </w:p>
                              </w:tc>
                            </w:tr>
                            <w:tr w:rsidR="002D5602" w14:paraId="49262D0D" w14:textId="77777777" w:rsidTr="009447E9">
                              <w:tc>
                                <w:tcPr>
                                  <w:tcW w:w="805" w:type="dxa"/>
                                </w:tcPr>
                                <w:p w14:paraId="31EC8197" w14:textId="77777777" w:rsidR="002D5602" w:rsidRPr="00C251E9" w:rsidRDefault="002D5602" w:rsidP="00E220E9">
                                  <w:pPr>
                                    <w:pStyle w:val="TMGTableText"/>
                                    <w:jc w:val="center"/>
                                    <w:rPr>
                                      <w:b/>
                                      <w:bCs/>
                                    </w:rPr>
                                  </w:pPr>
                                  <w:r w:rsidRPr="00804074">
                                    <w:t>2-9</w:t>
                                  </w:r>
                                </w:p>
                              </w:tc>
                              <w:tc>
                                <w:tcPr>
                                  <w:tcW w:w="2430" w:type="dxa"/>
                                </w:tcPr>
                                <w:p w14:paraId="59345ED0" w14:textId="77777777" w:rsidR="002D5602" w:rsidRPr="00C251E9" w:rsidRDefault="002D5602" w:rsidP="00917D58">
                                  <w:pPr>
                                    <w:pStyle w:val="TMGTableText"/>
                                  </w:pPr>
                                  <w:r w:rsidRPr="00804074">
                                    <w:t>Other lanes</w:t>
                                  </w:r>
                                </w:p>
                              </w:tc>
                            </w:tr>
                          </w:tbl>
                          <w:p w14:paraId="7998C48D" w14:textId="77777777" w:rsidR="002D5602" w:rsidRDefault="002D5602" w:rsidP="002D5602">
                            <w:pPr>
                              <w:pStyle w:val="Sourceindent"/>
                              <w:ind w:left="0"/>
                            </w:pPr>
                            <w:r>
                              <w:t>Note: The Station ID, Direction of Travel, and Lane of Travel make up the Station Code. There should be one Station Description record per Station Code. Stations can be either by lane or with lanes combined by direction, but not both.</w:t>
                            </w:r>
                          </w:p>
                          <w:p w14:paraId="53E57EAB" w14:textId="77777777" w:rsidR="002D5602" w:rsidRDefault="002D5602" w:rsidP="002D5602"/>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CF075A5" id="_x0000_s1105" type="#_x0000_t202" style="position:absolute;left:0;text-align:left;margin-left:305.6pt;margin-top:18.55pt;width:164pt;height:153.3pt;z-index:251719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" stroked="f">
                <v:textbox inset="0,0,0,0">
                  <w:txbxContent>
                    <w:p w14:paraId="1EA3DECD" w14:textId="580025AC" w:rsidR="002D5602" w:rsidRDefault="002D5602" w:rsidP="002D5602">
                      <w:pPr>
                        <w:pStyle w:val="TMGTableCaption"/>
                        <w:spacing w:before="0"/>
                      </w:pPr>
                      <w:bookmarkStart w:id="2844" w:name="_Ref111022632"/>
                      <w:bookmarkStart w:id="2845" w:name="_Toc109333447"/>
                      <w:bookmarkStart w:id="2846" w:name="_Toc109333775"/>
                      <w:bookmarkStart w:id="2847" w:name="_Toc113282510"/>
                      <w:bookmarkStart w:id="2848" w:name="_Toc114474847"/>
                      <w:bookmarkStart w:id="2849" w:name="_Toc120631153"/>
                      <w:r w:rsidRPr="00034522">
                        <w:t xml:space="preserve">Table </w:t>
                      </w:r>
                      <w:fldSimple w:instr=" STYLEREF 1 \s ">
                        <w:r w:rsidR="00FC0E95">
                          <w:rPr>
                            <w:noProof/>
                          </w:rPr>
                          <w:t>4</w:t>
                        </w:r>
                      </w:fldSimple>
                      <w:r>
                        <w:noBreakHyphen/>
                      </w:r>
                      <w:fldSimple w:instr=" SEQ Table \* ARABIC \s 1 ">
                        <w:r w:rsidR="00FC0E95">
                          <w:rPr>
                            <w:noProof/>
                          </w:rPr>
                          <w:t>5</w:t>
                        </w:r>
                      </w:fldSimple>
                      <w:bookmarkEnd w:id="2844"/>
                      <w:r w:rsidR="00627DD7">
                        <w:t>.</w:t>
                      </w:r>
                      <w:r w:rsidRPr="00034522">
                        <w:t xml:space="preserve"> Lane </w:t>
                      </w:r>
                      <w:r>
                        <w:t>o</w:t>
                      </w:r>
                      <w:r w:rsidRPr="00034522">
                        <w:t>f Travel Codes</w:t>
                      </w:r>
                      <w:bookmarkEnd w:id="2845"/>
                      <w:bookmarkEnd w:id="2846"/>
                      <w:bookmarkEnd w:id="2847"/>
                      <w:bookmarkEnd w:id="2848"/>
                      <w:bookmarkEnd w:id="2849"/>
                    </w:p>
                    <w:tbl>
                      <w:tblPr>
                        <w:tblStyle w:val="TableGrid"/>
                        <w:tblW w:w="3235" w:type="dxa"/>
                        <w:tblCellMar>
                          <w:left w:w="86" w:type="dxa"/>
                          <w:right w:w="86" w:type="dxa"/>
                        </w:tblCellMar>
                        <w:tblLook w:val="04A0" w:firstRow="1" w:lastRow="0" w:firstColumn="1" w:lastColumn="0" w:noHBand="0" w:noVBand="1"/>
                      </w:tblPr>
                      <w:tblGrid>
                        <w:gridCol w:w="805"/>
                        <w:gridCol w:w="2430"/>
                      </w:tblGrid>
                      <w:tr w:rsidR="002D5602" w14:paraId="5C252660" w14:textId="77777777" w:rsidTr="009447E9">
                        <w:tc>
                          <w:tcPr>
                            <w:tcW w:w="805" w:type="dxa"/>
                            <w:tcBorders>
                              <w:right w:val="single" w:sz="4" w:space="0" w:color="FFFFFF" w:themeColor="background1"/>
                            </w:tcBorders>
                            <w:shd w:val="clear" w:color="auto" w:fill="1F3864"/>
                            <w:vAlign w:val="center"/>
                          </w:tcPr>
                          <w:p w14:paraId="0FA721E9" w14:textId="77777777" w:rsidR="002D5602" w:rsidRDefault="002D5602" w:rsidP="0017389B">
                            <w:pPr>
                              <w:pStyle w:val="TMGTableTextHeader"/>
                            </w:pPr>
                            <w:r>
                              <w:t>Code</w:t>
                            </w:r>
                          </w:p>
                        </w:tc>
                        <w:tc>
                          <w:tcPr>
                            <w:tcW w:w="2430" w:type="dxa"/>
                            <w:tcBorders>
                              <w:left w:val="single" w:sz="4" w:space="0" w:color="FFFFFF" w:themeColor="background1"/>
                            </w:tcBorders>
                            <w:shd w:val="clear" w:color="auto" w:fill="1F3864"/>
                            <w:vAlign w:val="center"/>
                          </w:tcPr>
                          <w:p w14:paraId="19CCAD68" w14:textId="77777777" w:rsidR="002D5602" w:rsidRDefault="002D5602" w:rsidP="0017389B">
                            <w:pPr>
                              <w:pStyle w:val="TMGTableTextHeader"/>
                            </w:pPr>
                            <w:r>
                              <w:t>Lane</w:t>
                            </w:r>
                          </w:p>
                        </w:tc>
                      </w:tr>
                      <w:tr w:rsidR="002D5602" w14:paraId="2F75B20B" w14:textId="77777777" w:rsidTr="009447E9">
                        <w:tc>
                          <w:tcPr>
                            <w:tcW w:w="805" w:type="dxa"/>
                          </w:tcPr>
                          <w:p w14:paraId="183E288A" w14:textId="77777777" w:rsidR="002D5602" w:rsidRPr="00C251E9" w:rsidRDefault="002D5602" w:rsidP="00E220E9">
                            <w:pPr>
                              <w:pStyle w:val="TMGTableText"/>
                              <w:jc w:val="center"/>
                            </w:pPr>
                            <w:r w:rsidRPr="00804074">
                              <w:t>0</w:t>
                            </w:r>
                          </w:p>
                        </w:tc>
                        <w:tc>
                          <w:tcPr>
                            <w:tcW w:w="2430" w:type="dxa"/>
                          </w:tcPr>
                          <w:p w14:paraId="23A5ECAF" w14:textId="77777777" w:rsidR="002D5602" w:rsidRPr="00C251E9" w:rsidRDefault="002D5602" w:rsidP="00917D58">
                            <w:pPr>
                              <w:pStyle w:val="TMGTableText"/>
                            </w:pPr>
                            <w:r w:rsidRPr="00804074">
                              <w:t>Data with lanes combined</w:t>
                            </w:r>
                          </w:p>
                        </w:tc>
                      </w:tr>
                      <w:tr w:rsidR="002D5602" w14:paraId="2D084930" w14:textId="77777777" w:rsidTr="009447E9">
                        <w:tc>
                          <w:tcPr>
                            <w:tcW w:w="805" w:type="dxa"/>
                          </w:tcPr>
                          <w:p w14:paraId="513C19E0" w14:textId="77777777" w:rsidR="002D5602" w:rsidRPr="00C251E9" w:rsidRDefault="002D5602" w:rsidP="00E220E9">
                            <w:pPr>
                              <w:pStyle w:val="TMGTableText"/>
                              <w:jc w:val="center"/>
                            </w:pPr>
                            <w:r w:rsidRPr="00804074">
                              <w:t>1</w:t>
                            </w:r>
                          </w:p>
                        </w:tc>
                        <w:tc>
                          <w:tcPr>
                            <w:tcW w:w="2430" w:type="dxa"/>
                          </w:tcPr>
                          <w:p w14:paraId="09B983F7" w14:textId="77777777" w:rsidR="002D5602" w:rsidRPr="00C251E9" w:rsidRDefault="002D5602" w:rsidP="00917D58">
                            <w:pPr>
                              <w:pStyle w:val="TMGTableText"/>
                            </w:pPr>
                            <w:r w:rsidRPr="00804074">
                              <w:t>Outside (rightmost) lane</w:t>
                            </w:r>
                          </w:p>
                        </w:tc>
                      </w:tr>
                      <w:tr w:rsidR="002D5602" w14:paraId="49262D0D" w14:textId="77777777" w:rsidTr="009447E9">
                        <w:tc>
                          <w:tcPr>
                            <w:tcW w:w="805" w:type="dxa"/>
                          </w:tcPr>
                          <w:p w14:paraId="31EC8197" w14:textId="77777777" w:rsidR="002D5602" w:rsidRPr="00C251E9" w:rsidRDefault="002D5602" w:rsidP="00E220E9">
                            <w:pPr>
                              <w:pStyle w:val="TMGTableText"/>
                              <w:jc w:val="center"/>
                              <w:rPr>
                                <w:b/>
                                <w:bCs/>
                              </w:rPr>
                            </w:pPr>
                            <w:r w:rsidRPr="00804074">
                              <w:t>2-9</w:t>
                            </w:r>
                          </w:p>
                        </w:tc>
                        <w:tc>
                          <w:tcPr>
                            <w:tcW w:w="2430" w:type="dxa"/>
                          </w:tcPr>
                          <w:p w14:paraId="59345ED0" w14:textId="77777777" w:rsidR="002D5602" w:rsidRPr="00C251E9" w:rsidRDefault="002D5602" w:rsidP="00917D58">
                            <w:pPr>
                              <w:pStyle w:val="TMGTableText"/>
                            </w:pPr>
                            <w:r w:rsidRPr="00804074">
                              <w:t>Other lanes</w:t>
                            </w:r>
                          </w:p>
                        </w:tc>
                      </w:tr>
                    </w:tbl>
                    <w:p w14:paraId="7998C48D" w14:textId="77777777" w:rsidR="002D5602" w:rsidRDefault="002D5602" w:rsidP="002D5602">
                      <w:pPr>
                        <w:pStyle w:val="Sourceindent"/>
                        <w:ind w:left="0"/>
                      </w:pPr>
                      <w:r>
                        <w:t>Note: The Station ID, Direction of Travel, and Lane of Travel make up the Station Code. There should be one Station Description record per Station Code. Stations can be either by lane or with lanes combined by direction, but not both.</w:t>
                      </w:r>
                    </w:p>
                    <w:p w14:paraId="53E57EAB" w14:textId="77777777" w:rsidR="002D5602" w:rsidRDefault="002D5602" w:rsidP="002D5602"/>
                  </w:txbxContent>
                </v:textbox>
                <w10:wrap type="square" anchorx="margin"/>
              </v:shape>
            </w:pict>
          </mc:Fallback>
        </mc:AlternateContent>
      </w:r>
      <w:r w:rsidR="009B7AED">
        <w:t xml:space="preserve">Lane of Travel – </w:t>
      </w:r>
      <w:r w:rsidR="009B7AED">
        <w:rPr>
          <w:rStyle w:val="Italic"/>
          <w:iCs/>
        </w:rPr>
        <w:t>Required</w:t>
      </w:r>
    </w:p>
    <w:p w14:paraId="69FA7CAC" w14:textId="482EDCCA" w:rsidR="009B7AED" w:rsidRDefault="009B7AED" w:rsidP="00B35A5D">
      <w:pPr>
        <w:pStyle w:val="BulletcontinuedBulletsandNumbering"/>
        <w:tabs>
          <w:tab w:val="clear" w:pos="1440"/>
        </w:tabs>
        <w:ind w:left="648"/>
      </w:pPr>
      <w:r>
        <w:t xml:space="preserve">Each lane can be considered separately (1-9) or all lanes in each direction can be combined (0). </w:t>
      </w:r>
      <w:fldSimple w:instr=" REF _Ref111022632 ">
        <w:r w:rsidR="00C07DF9" w:rsidRPr="00034522">
          <w:t xml:space="preserve">Table </w:t>
        </w:r>
        <w:r w:rsidR="00C07DF9">
          <w:rPr>
            <w:noProof/>
          </w:rPr>
          <w:t>4</w:t>
        </w:r>
        <w:r w:rsidR="00C07DF9">
          <w:noBreakHyphen/>
        </w:r>
        <w:r w:rsidR="00C07DF9">
          <w:rPr>
            <w:noProof/>
          </w:rPr>
          <w:t>5</w:t>
        </w:r>
      </w:fldSimple>
      <w:r>
        <w:t xml:space="preserve"> lists the codes for each lane. </w:t>
      </w:r>
      <w:fldSimple w:instr=" REF _Ref111022652 ">
        <w:r w:rsidR="00C07DF9" w:rsidRPr="000D0FDE">
          <w:t xml:space="preserve">Figure </w:t>
        </w:r>
        <w:r w:rsidR="00C07DF9">
          <w:rPr>
            <w:noProof/>
          </w:rPr>
          <w:t>4</w:t>
        </w:r>
        <w:r w:rsidR="00C07DF9">
          <w:noBreakHyphen/>
        </w:r>
        <w:r w:rsidR="00C07DF9">
          <w:rPr>
            <w:noProof/>
          </w:rPr>
          <w:t>1</w:t>
        </w:r>
      </w:fldSimple>
      <w:r>
        <w:t xml:space="preserve"> shows an example of direction and lane coding.</w:t>
      </w:r>
    </w:p>
    <w:p w14:paraId="077E04DE" w14:textId="789825B2" w:rsidR="009B7AED" w:rsidRPr="004E72F1" w:rsidRDefault="009B7AED" w:rsidP="00A119E0">
      <w:pPr>
        <w:pStyle w:val="CallOut"/>
      </w:pPr>
      <w:r w:rsidRPr="004E72F1">
        <w:t>All data for volume, class, and speed should be reported with the same resolution of lane/direction or lanes combined/</w:t>
      </w:r>
      <w:r w:rsidR="00ED64CF">
        <w:t xml:space="preserve"> </w:t>
      </w:r>
      <w:r w:rsidRPr="004E72F1">
        <w:t xml:space="preserve">direction </w:t>
      </w:r>
      <w:r>
        <w:t>as specified</w:t>
      </w:r>
      <w:r w:rsidRPr="004E72F1">
        <w:t xml:space="preserve"> in the station record.</w:t>
      </w:r>
      <w:r w:rsidR="004D4172">
        <w:t xml:space="preserve"> </w:t>
      </w:r>
    </w:p>
    <w:p w14:paraId="088D6130" w14:textId="5B5FB3F0" w:rsidR="00E220E9" w:rsidRDefault="009B7AED" w:rsidP="00B35A5D">
      <w:pPr>
        <w:pStyle w:val="BulletcontinuedBulletsandNumbering"/>
        <w:tabs>
          <w:tab w:val="clear" w:pos="1440"/>
        </w:tabs>
        <w:ind w:left="648"/>
      </w:pPr>
      <w:r>
        <w:t>All data in either weight or IVR must be submitted by individual lane and by individual direction.</w:t>
      </w:r>
    </w:p>
    <w:p w14:paraId="0186EFC8" w14:textId="77777777" w:rsidR="00E220E9" w:rsidRDefault="00E220E9">
      <w:pPr>
        <w:widowControl/>
        <w:suppressAutoHyphens w:val="0"/>
        <w:autoSpaceDE/>
        <w:autoSpaceDN/>
        <w:adjustRightInd/>
        <w:spacing w:after="160" w:line="259" w:lineRule="auto"/>
        <w:jc w:val="left"/>
        <w:textAlignment w:val="auto"/>
        <w:rPr>
          <w:color w:val="auto"/>
        </w:rPr>
      </w:pPr>
      <w:r>
        <w:br w:type="page"/>
      </w:r>
    </w:p>
    <w:p w14:paraId="70AADA10" w14:textId="77777777" w:rsidR="00E220E9" w:rsidRPr="00E220E9" w:rsidRDefault="00E220E9" w:rsidP="0060053A">
      <w:pPr>
        <w:spacing w:before="80" w:after="120" w:line="240" w:lineRule="atLeast"/>
        <w:ind w:left="639"/>
        <w:jc w:val="left"/>
      </w:pPr>
      <w:r w:rsidRPr="00E220E9">
        <w:rPr>
          <w:noProof/>
        </w:rPr>
        <w:lastRenderedPageBreak/>
        <mc:AlternateContent>
          <mc:Choice Requires="wpg">
            <w:drawing>
              <wp:anchor distT="0" distB="0" distL="114300" distR="114300" simplePos="0" relativeHeight="251725824" behindDoc="0" locked="0" layoutInCell="1" allowOverlap="1" wp14:anchorId="657C8A27" wp14:editId="3B4FBCA6">
                <wp:simplePos x="0" y="0"/>
                <wp:positionH relativeFrom="column">
                  <wp:posOffset>512549</wp:posOffset>
                </wp:positionH>
                <wp:positionV relativeFrom="paragraph">
                  <wp:posOffset>458631</wp:posOffset>
                </wp:positionV>
                <wp:extent cx="2349198" cy="4644341"/>
                <wp:effectExtent l="0" t="0" r="13335" b="23495"/>
                <wp:wrapNone/>
                <wp:docPr id="284" name="Group 284" descr="In this example we have a divided highway with three lanes going westbound and three lanes going eastbound on the lanes going westbound, in the lane closest to the shoulder we have direction code 7 lane code 1, the middle lane would be direction code 7 lane code 2, and the lane closest to the median would be direction code 7 lane code 3. For the lanes going eastbound, the lane closest to the shoulder would be direction code 3 lane code 1, the middle lane would be direction code 3 lane code 2, and the lane closest to the median would be direction code 3 lane code 3."/>
                <wp:cNvGraphicFramePr/>
                <a:graphic xmlns:a="http://schemas.openxmlformats.org/drawingml/2006/main">
                  <a:graphicData uri="http://schemas.microsoft.com/office/word/2010/wordprocessingGroup">
                    <wpg:wgp>
                      <wpg:cNvGrpSpPr/>
                      <wpg:grpSpPr>
                        <a:xfrm>
                          <a:off x="0" y="0"/>
                          <a:ext cx="2349198" cy="4644341"/>
                          <a:chOff x="0" y="-42335"/>
                          <a:chExt cx="2349198" cy="4644341"/>
                        </a:xfrm>
                      </wpg:grpSpPr>
                      <wps:wsp>
                        <wps:cNvPr id="285" name="Text Box 2"/>
                        <wps:cNvSpPr txBox="1">
                          <a:spLocks noChangeArrowheads="1"/>
                        </wps:cNvSpPr>
                        <wps:spPr bwMode="auto">
                          <a:xfrm>
                            <a:off x="708212" y="-42335"/>
                            <a:ext cx="929514" cy="272053"/>
                          </a:xfrm>
                          <a:prstGeom prst="rect">
                            <a:avLst/>
                          </a:prstGeom>
                          <a:solidFill>
                            <a:srgbClr val="330702"/>
                          </a:solidFill>
                          <a:ln w="9525">
                            <a:solidFill>
                              <a:srgbClr val="000000"/>
                            </a:solidFill>
                            <a:miter lim="800000"/>
                            <a:headEnd/>
                            <a:tailEnd/>
                          </a:ln>
                        </wps:spPr>
                        <wps:txbx>
                          <w:txbxContent>
                            <w:p w14:paraId="48D32F29" w14:textId="77777777" w:rsidR="00E220E9" w:rsidRPr="00876D69" w:rsidRDefault="00E220E9" w:rsidP="00E220E9">
                              <w:pPr>
                                <w:jc w:val="center"/>
                                <w:rPr>
                                  <w:color w:val="FFFFFF" w:themeColor="background1"/>
                                </w:rPr>
                              </w:pPr>
                              <w:r w:rsidRPr="00876D69">
                                <w:rPr>
                                  <w:color w:val="FFFFFF" w:themeColor="background1"/>
                                </w:rPr>
                                <w:t>Shoulder</w:t>
                              </w:r>
                            </w:p>
                          </w:txbxContent>
                        </wps:txbx>
                        <wps:bodyPr rot="0" vert="horz" wrap="square" lIns="91440" tIns="45720" rIns="91440" bIns="45720" anchor="t" anchorCtr="0">
                          <a:noAutofit/>
                        </wps:bodyPr>
                      </wps:wsp>
                      <wps:wsp>
                        <wps:cNvPr id="286" name="Text Box 2"/>
                        <wps:cNvSpPr txBox="1">
                          <a:spLocks noChangeArrowheads="1"/>
                        </wps:cNvSpPr>
                        <wps:spPr bwMode="auto">
                          <a:xfrm>
                            <a:off x="708212" y="4329953"/>
                            <a:ext cx="929514" cy="272053"/>
                          </a:xfrm>
                          <a:prstGeom prst="rect">
                            <a:avLst/>
                          </a:prstGeom>
                          <a:solidFill>
                            <a:srgbClr val="330702"/>
                          </a:solidFill>
                          <a:ln w="9525">
                            <a:solidFill>
                              <a:srgbClr val="000000"/>
                            </a:solidFill>
                            <a:miter lim="800000"/>
                            <a:headEnd/>
                            <a:tailEnd/>
                          </a:ln>
                        </wps:spPr>
                        <wps:txbx>
                          <w:txbxContent>
                            <w:p w14:paraId="68C518ED" w14:textId="77777777" w:rsidR="00E220E9" w:rsidRPr="00876D69" w:rsidRDefault="00E220E9" w:rsidP="00E220E9">
                              <w:pPr>
                                <w:spacing w:line="100" w:lineRule="atLeast"/>
                                <w:jc w:val="center"/>
                                <w:rPr>
                                  <w:color w:val="FFFFFF" w:themeColor="background1"/>
                                </w:rPr>
                              </w:pPr>
                              <w:r w:rsidRPr="00876D69">
                                <w:rPr>
                                  <w:color w:val="FFFFFF" w:themeColor="background1"/>
                                </w:rPr>
                                <w:t>S</w:t>
                              </w:r>
                              <w:r>
                                <w:rPr>
                                  <w:b/>
                                  <w:bCs/>
                                  <w:color w:val="auto"/>
                                  <w:sz w:val="18"/>
                                  <w:szCs w:val="18"/>
                                </w:rPr>
                                <w:t>houlder</w:t>
                              </w:r>
                            </w:p>
                          </w:txbxContent>
                        </wps:txbx>
                        <wps:bodyPr rot="0" vert="horz" wrap="square" lIns="91440" tIns="45720" rIns="91440" bIns="45720" anchor="t" anchorCtr="0">
                          <a:noAutofit/>
                        </wps:bodyPr>
                      </wps:wsp>
                      <wps:wsp>
                        <wps:cNvPr id="287" name="Text Box 2"/>
                        <wps:cNvSpPr txBox="1">
                          <a:spLocks noChangeArrowheads="1"/>
                        </wps:cNvSpPr>
                        <wps:spPr bwMode="auto">
                          <a:xfrm>
                            <a:off x="0" y="869576"/>
                            <a:ext cx="430530" cy="331911"/>
                          </a:xfrm>
                          <a:prstGeom prst="rect">
                            <a:avLst/>
                          </a:prstGeom>
                          <a:solidFill>
                            <a:srgbClr val="000000"/>
                          </a:solidFill>
                          <a:ln w="9525">
                            <a:solidFill>
                              <a:srgbClr val="000000"/>
                            </a:solidFill>
                            <a:miter lim="800000"/>
                            <a:headEnd/>
                            <a:tailEnd/>
                          </a:ln>
                        </wps:spPr>
                        <wps:txbx>
                          <w:txbxContent>
                            <w:p w14:paraId="6C5A1E8D" w14:textId="77777777" w:rsidR="00E220E9" w:rsidRPr="00876D69" w:rsidRDefault="00E220E9" w:rsidP="00E220E9">
                              <w:pPr>
                                <w:spacing w:line="100" w:lineRule="atLeast"/>
                                <w:jc w:val="center"/>
                                <w:rPr>
                                  <w:color w:val="FFFFFF" w:themeColor="background1"/>
                                  <w:sz w:val="18"/>
                                  <w:szCs w:val="18"/>
                                </w:rPr>
                              </w:pPr>
                              <w:r w:rsidRPr="00876D69">
                                <w:rPr>
                                  <w:color w:val="FFFFFF" w:themeColor="background1"/>
                                  <w:sz w:val="18"/>
                                  <w:szCs w:val="18"/>
                                </w:rPr>
                                <w:t xml:space="preserve">West </w:t>
                              </w:r>
                              <w:r>
                                <w:rPr>
                                  <w:color w:val="FFFFFF" w:themeColor="background1"/>
                                  <w:sz w:val="18"/>
                                  <w:szCs w:val="18"/>
                                </w:rPr>
                                <w:t>B</w:t>
                              </w:r>
                              <w:r w:rsidRPr="00876D69">
                                <w:rPr>
                                  <w:color w:val="FFFFFF" w:themeColor="background1"/>
                                  <w:sz w:val="18"/>
                                  <w:szCs w:val="18"/>
                                </w:rPr>
                                <w:t>ound</w:t>
                              </w:r>
                            </w:p>
                          </w:txbxContent>
                        </wps:txbx>
                        <wps:bodyPr rot="0" vert="horz" wrap="square" lIns="0" tIns="0" rIns="0" bIns="0" anchor="t" anchorCtr="0">
                          <a:noAutofit/>
                        </wps:bodyPr>
                      </wps:wsp>
                      <wps:wsp>
                        <wps:cNvPr id="288" name="Text Box 2"/>
                        <wps:cNvSpPr txBox="1">
                          <a:spLocks noChangeArrowheads="1"/>
                        </wps:cNvSpPr>
                        <wps:spPr bwMode="auto">
                          <a:xfrm>
                            <a:off x="1918447" y="3442447"/>
                            <a:ext cx="430751" cy="302281"/>
                          </a:xfrm>
                          <a:prstGeom prst="rect">
                            <a:avLst/>
                          </a:prstGeom>
                          <a:solidFill>
                            <a:srgbClr val="000000"/>
                          </a:solidFill>
                          <a:ln w="9525">
                            <a:solidFill>
                              <a:srgbClr val="000000"/>
                            </a:solidFill>
                            <a:miter lim="800000"/>
                            <a:headEnd/>
                            <a:tailEnd/>
                          </a:ln>
                        </wps:spPr>
                        <wps:txbx>
                          <w:txbxContent>
                            <w:p w14:paraId="5852FAFC" w14:textId="77777777" w:rsidR="00E220E9" w:rsidRPr="00876D69" w:rsidRDefault="00E220E9" w:rsidP="00E220E9">
                              <w:pPr>
                                <w:spacing w:line="100" w:lineRule="atLeast"/>
                                <w:jc w:val="center"/>
                                <w:rPr>
                                  <w:color w:val="FFFFFF" w:themeColor="background1"/>
                                  <w:sz w:val="18"/>
                                  <w:szCs w:val="18"/>
                                </w:rPr>
                              </w:pPr>
                              <w:r>
                                <w:rPr>
                                  <w:color w:val="FFFFFF" w:themeColor="background1"/>
                                  <w:sz w:val="18"/>
                                  <w:szCs w:val="18"/>
                                </w:rPr>
                                <w:t>East</w:t>
                              </w:r>
                              <w:r w:rsidRPr="00876D69">
                                <w:rPr>
                                  <w:color w:val="FFFFFF" w:themeColor="background1"/>
                                  <w:sz w:val="18"/>
                                  <w:szCs w:val="18"/>
                                </w:rPr>
                                <w:t xml:space="preserve"> </w:t>
                              </w:r>
                              <w:r>
                                <w:rPr>
                                  <w:color w:val="FFFFFF" w:themeColor="background1"/>
                                  <w:sz w:val="18"/>
                                  <w:szCs w:val="18"/>
                                </w:rPr>
                                <w:t>B</w:t>
                              </w:r>
                              <w:r w:rsidRPr="00876D69">
                                <w:rPr>
                                  <w:color w:val="FFFFFF" w:themeColor="background1"/>
                                  <w:sz w:val="18"/>
                                  <w:szCs w:val="18"/>
                                </w:rPr>
                                <w:t>ound</w:t>
                              </w:r>
                            </w:p>
                          </w:txbxContent>
                        </wps:txbx>
                        <wps:bodyPr rot="0" vert="horz" wrap="square" lIns="0" tIns="0" rIns="0" bIns="0" anchor="t" anchorCtr="0">
                          <a:noAutofit/>
                        </wps:bodyPr>
                      </wps:wsp>
                      <wps:wsp>
                        <wps:cNvPr id="289" name="Text Box 2"/>
                        <wps:cNvSpPr txBox="1">
                          <a:spLocks noChangeArrowheads="1"/>
                        </wps:cNvSpPr>
                        <wps:spPr bwMode="auto">
                          <a:xfrm>
                            <a:off x="502024" y="387971"/>
                            <a:ext cx="1292252" cy="279609"/>
                          </a:xfrm>
                          <a:prstGeom prst="rect">
                            <a:avLst/>
                          </a:prstGeom>
                          <a:solidFill>
                            <a:sysClr val="window" lastClr="FFFFFF"/>
                          </a:solidFill>
                          <a:ln w="9525">
                            <a:solidFill>
                              <a:srgbClr val="000000"/>
                            </a:solidFill>
                            <a:miter lim="800000"/>
                            <a:headEnd/>
                            <a:tailEnd/>
                          </a:ln>
                        </wps:spPr>
                        <wps:txbx>
                          <w:txbxContent>
                            <w:p w14:paraId="027387D1" w14:textId="77777777" w:rsidR="00E220E9" w:rsidRPr="00876D69" w:rsidRDefault="00E220E9" w:rsidP="00E220E9">
                              <w:pPr>
                                <w:spacing w:line="100" w:lineRule="atLeast"/>
                                <w:jc w:val="center"/>
                                <w:rPr>
                                  <w:b/>
                                  <w:bCs/>
                                  <w:color w:val="auto"/>
                                  <w:sz w:val="18"/>
                                  <w:szCs w:val="18"/>
                                </w:rPr>
                              </w:pPr>
                              <w:r w:rsidRPr="00876D69">
                                <w:rPr>
                                  <w:b/>
                                  <w:bCs/>
                                  <w:color w:val="auto"/>
                                  <w:sz w:val="18"/>
                                  <w:szCs w:val="18"/>
                                </w:rPr>
                                <w:t>Direction Code 7</w:t>
                              </w:r>
                            </w:p>
                            <w:p w14:paraId="252E107A" w14:textId="77777777" w:rsidR="00E220E9" w:rsidRPr="00876D69" w:rsidRDefault="00E220E9" w:rsidP="00E220E9">
                              <w:pPr>
                                <w:spacing w:line="100" w:lineRule="atLeast"/>
                                <w:jc w:val="center"/>
                                <w:rPr>
                                  <w:b/>
                                  <w:bCs/>
                                  <w:color w:val="auto"/>
                                  <w:sz w:val="18"/>
                                  <w:szCs w:val="18"/>
                                </w:rPr>
                              </w:pPr>
                              <w:r w:rsidRPr="00876D69">
                                <w:rPr>
                                  <w:b/>
                                  <w:bCs/>
                                  <w:color w:val="auto"/>
                                  <w:sz w:val="18"/>
                                  <w:szCs w:val="18"/>
                                </w:rPr>
                                <w:t>Lane Code 1</w:t>
                              </w:r>
                            </w:p>
                          </w:txbxContent>
                        </wps:txbx>
                        <wps:bodyPr rot="0" vert="horz" wrap="square" lIns="0" tIns="0" rIns="0" bIns="0" anchor="t" anchorCtr="0">
                          <a:noAutofit/>
                        </wps:bodyPr>
                      </wps:wsp>
                      <wps:wsp>
                        <wps:cNvPr id="290" name="Text Box 2"/>
                        <wps:cNvSpPr txBox="1">
                          <a:spLocks noChangeArrowheads="1"/>
                        </wps:cNvSpPr>
                        <wps:spPr bwMode="auto">
                          <a:xfrm>
                            <a:off x="502024" y="818277"/>
                            <a:ext cx="1292252" cy="279609"/>
                          </a:xfrm>
                          <a:prstGeom prst="rect">
                            <a:avLst/>
                          </a:prstGeom>
                          <a:solidFill>
                            <a:sysClr val="window" lastClr="FFFFFF"/>
                          </a:solidFill>
                          <a:ln w="9525">
                            <a:solidFill>
                              <a:srgbClr val="000000"/>
                            </a:solidFill>
                            <a:miter lim="800000"/>
                            <a:headEnd/>
                            <a:tailEnd/>
                          </a:ln>
                        </wps:spPr>
                        <wps:txbx>
                          <w:txbxContent>
                            <w:p w14:paraId="733AF0F6" w14:textId="77777777" w:rsidR="00E220E9" w:rsidRPr="00876D69" w:rsidRDefault="00E220E9" w:rsidP="00E220E9">
                              <w:pPr>
                                <w:spacing w:line="100" w:lineRule="atLeast"/>
                                <w:jc w:val="center"/>
                                <w:rPr>
                                  <w:b/>
                                  <w:bCs/>
                                  <w:color w:val="auto"/>
                                  <w:sz w:val="18"/>
                                  <w:szCs w:val="18"/>
                                </w:rPr>
                              </w:pPr>
                              <w:r w:rsidRPr="00876D69">
                                <w:rPr>
                                  <w:b/>
                                  <w:bCs/>
                                  <w:color w:val="auto"/>
                                  <w:sz w:val="18"/>
                                  <w:szCs w:val="18"/>
                                </w:rPr>
                                <w:t>Direction Code 7</w:t>
                              </w:r>
                            </w:p>
                            <w:p w14:paraId="373AF9A4" w14:textId="77777777" w:rsidR="00E220E9" w:rsidRPr="00876D69" w:rsidRDefault="00E220E9" w:rsidP="00E220E9">
                              <w:pPr>
                                <w:spacing w:line="100" w:lineRule="atLeast"/>
                                <w:jc w:val="center"/>
                                <w:rPr>
                                  <w:b/>
                                  <w:bCs/>
                                  <w:color w:val="auto"/>
                                  <w:sz w:val="18"/>
                                  <w:szCs w:val="18"/>
                                </w:rPr>
                              </w:pPr>
                              <w:r w:rsidRPr="00876D69">
                                <w:rPr>
                                  <w:b/>
                                  <w:bCs/>
                                  <w:color w:val="auto"/>
                                  <w:sz w:val="18"/>
                                  <w:szCs w:val="18"/>
                                </w:rPr>
                                <w:t xml:space="preserve">Lane Code </w:t>
                              </w:r>
                              <w:r>
                                <w:rPr>
                                  <w:b/>
                                  <w:bCs/>
                                  <w:color w:val="auto"/>
                                  <w:sz w:val="18"/>
                                  <w:szCs w:val="18"/>
                                </w:rPr>
                                <w:t>2</w:t>
                              </w:r>
                            </w:p>
                          </w:txbxContent>
                        </wps:txbx>
                        <wps:bodyPr rot="0" vert="horz" wrap="square" lIns="0" tIns="0" rIns="0" bIns="0" anchor="t" anchorCtr="0">
                          <a:noAutofit/>
                        </wps:bodyPr>
                      </wps:wsp>
                      <wps:wsp>
                        <wps:cNvPr id="291" name="Text Box 2"/>
                        <wps:cNvSpPr txBox="1">
                          <a:spLocks noChangeArrowheads="1"/>
                        </wps:cNvSpPr>
                        <wps:spPr bwMode="auto">
                          <a:xfrm>
                            <a:off x="502024" y="1828800"/>
                            <a:ext cx="1292252" cy="279609"/>
                          </a:xfrm>
                          <a:prstGeom prst="rect">
                            <a:avLst/>
                          </a:prstGeom>
                          <a:solidFill>
                            <a:srgbClr val="008001"/>
                          </a:solidFill>
                          <a:ln w="9525">
                            <a:noFill/>
                            <a:miter lim="800000"/>
                            <a:headEnd/>
                            <a:tailEnd/>
                          </a:ln>
                        </wps:spPr>
                        <wps:txbx>
                          <w:txbxContent>
                            <w:p w14:paraId="6C87CE2F" w14:textId="77777777" w:rsidR="00E220E9" w:rsidRPr="00876D69" w:rsidRDefault="00E220E9" w:rsidP="00E220E9">
                              <w:pPr>
                                <w:spacing w:line="0" w:lineRule="atLeast"/>
                                <w:jc w:val="center"/>
                                <w:rPr>
                                  <w:b/>
                                  <w:bCs/>
                                  <w:color w:val="FFFFFF" w:themeColor="background1"/>
                                  <w:sz w:val="18"/>
                                  <w:szCs w:val="18"/>
                                </w:rPr>
                              </w:pPr>
                              <w:r w:rsidRPr="00876D69">
                                <w:rPr>
                                  <w:b/>
                                  <w:bCs/>
                                  <w:color w:val="FFFFFF" w:themeColor="background1"/>
                                  <w:sz w:val="18"/>
                                  <w:szCs w:val="18"/>
                                </w:rPr>
                                <w:t>Median</w:t>
                              </w:r>
                            </w:p>
                          </w:txbxContent>
                        </wps:txbx>
                        <wps:bodyPr rot="0" vert="horz" wrap="square" lIns="0" tIns="0" rIns="0" bIns="0" anchor="ctr" anchorCtr="0">
                          <a:noAutofit/>
                        </wps:bodyPr>
                      </wps:wsp>
                      <wps:wsp>
                        <wps:cNvPr id="292" name="Text Box 2"/>
                        <wps:cNvSpPr txBox="1">
                          <a:spLocks noChangeArrowheads="1"/>
                        </wps:cNvSpPr>
                        <wps:spPr bwMode="auto">
                          <a:xfrm>
                            <a:off x="502024" y="2978771"/>
                            <a:ext cx="1292252" cy="279400"/>
                          </a:xfrm>
                          <a:prstGeom prst="rect">
                            <a:avLst/>
                          </a:prstGeom>
                          <a:solidFill>
                            <a:sysClr val="window" lastClr="FFFFFF"/>
                          </a:solidFill>
                          <a:ln w="9525">
                            <a:solidFill>
                              <a:srgbClr val="000000"/>
                            </a:solidFill>
                            <a:miter lim="800000"/>
                            <a:headEnd/>
                            <a:tailEnd/>
                          </a:ln>
                        </wps:spPr>
                        <wps:txbx>
                          <w:txbxContent>
                            <w:p w14:paraId="30FDD776" w14:textId="77777777" w:rsidR="00E220E9" w:rsidRPr="00876D69" w:rsidRDefault="00E220E9" w:rsidP="00E220E9">
                              <w:pPr>
                                <w:spacing w:line="100" w:lineRule="atLeast"/>
                                <w:jc w:val="center"/>
                                <w:rPr>
                                  <w:b/>
                                  <w:bCs/>
                                  <w:color w:val="auto"/>
                                  <w:sz w:val="18"/>
                                  <w:szCs w:val="18"/>
                                </w:rPr>
                              </w:pPr>
                              <w:r w:rsidRPr="00876D69">
                                <w:rPr>
                                  <w:b/>
                                  <w:bCs/>
                                  <w:color w:val="auto"/>
                                  <w:sz w:val="18"/>
                                  <w:szCs w:val="18"/>
                                </w:rPr>
                                <w:t>Direction Code</w:t>
                              </w:r>
                              <w:r>
                                <w:rPr>
                                  <w:b/>
                                  <w:bCs/>
                                  <w:color w:val="auto"/>
                                  <w:sz w:val="18"/>
                                  <w:szCs w:val="18"/>
                                </w:rPr>
                                <w:t xml:space="preserve"> 3</w:t>
                              </w:r>
                            </w:p>
                            <w:p w14:paraId="153FA369" w14:textId="77777777" w:rsidR="00E220E9" w:rsidRPr="00876D69" w:rsidRDefault="00E220E9" w:rsidP="00E220E9">
                              <w:pPr>
                                <w:spacing w:line="100" w:lineRule="atLeast"/>
                                <w:jc w:val="center"/>
                                <w:rPr>
                                  <w:b/>
                                  <w:bCs/>
                                  <w:color w:val="auto"/>
                                  <w:sz w:val="18"/>
                                  <w:szCs w:val="18"/>
                                </w:rPr>
                              </w:pPr>
                              <w:r w:rsidRPr="00876D69">
                                <w:rPr>
                                  <w:b/>
                                  <w:bCs/>
                                  <w:color w:val="auto"/>
                                  <w:sz w:val="18"/>
                                  <w:szCs w:val="18"/>
                                </w:rPr>
                                <w:t xml:space="preserve">Lane Code </w:t>
                              </w:r>
                              <w:r>
                                <w:rPr>
                                  <w:b/>
                                  <w:bCs/>
                                  <w:color w:val="auto"/>
                                  <w:sz w:val="18"/>
                                  <w:szCs w:val="18"/>
                                </w:rPr>
                                <w:t>3</w:t>
                              </w:r>
                            </w:p>
                          </w:txbxContent>
                        </wps:txbx>
                        <wps:bodyPr rot="0" vert="horz" wrap="square" lIns="0" tIns="0" rIns="0" bIns="0" anchor="t" anchorCtr="0">
                          <a:noAutofit/>
                        </wps:bodyPr>
                      </wps:wsp>
                      <wps:wsp>
                        <wps:cNvPr id="293" name="Text Box 2"/>
                        <wps:cNvSpPr txBox="1">
                          <a:spLocks noChangeArrowheads="1"/>
                        </wps:cNvSpPr>
                        <wps:spPr bwMode="auto">
                          <a:xfrm>
                            <a:off x="502024" y="3409077"/>
                            <a:ext cx="1292252" cy="279400"/>
                          </a:xfrm>
                          <a:prstGeom prst="rect">
                            <a:avLst/>
                          </a:prstGeom>
                          <a:solidFill>
                            <a:sysClr val="window" lastClr="FFFFFF"/>
                          </a:solidFill>
                          <a:ln w="9525">
                            <a:solidFill>
                              <a:srgbClr val="000000"/>
                            </a:solidFill>
                            <a:miter lim="800000"/>
                            <a:headEnd/>
                            <a:tailEnd/>
                          </a:ln>
                        </wps:spPr>
                        <wps:txbx>
                          <w:txbxContent>
                            <w:p w14:paraId="456CA8F1" w14:textId="77777777" w:rsidR="00E220E9" w:rsidRPr="00876D69" w:rsidRDefault="00E220E9" w:rsidP="00E220E9">
                              <w:pPr>
                                <w:spacing w:line="100" w:lineRule="atLeast"/>
                                <w:jc w:val="center"/>
                                <w:rPr>
                                  <w:b/>
                                  <w:bCs/>
                                  <w:color w:val="auto"/>
                                  <w:sz w:val="18"/>
                                  <w:szCs w:val="18"/>
                                </w:rPr>
                              </w:pPr>
                              <w:r w:rsidRPr="00876D69">
                                <w:rPr>
                                  <w:b/>
                                  <w:bCs/>
                                  <w:color w:val="auto"/>
                                  <w:sz w:val="18"/>
                                  <w:szCs w:val="18"/>
                                </w:rPr>
                                <w:t xml:space="preserve">Direction Code </w:t>
                              </w:r>
                              <w:r>
                                <w:rPr>
                                  <w:b/>
                                  <w:bCs/>
                                  <w:color w:val="auto"/>
                                  <w:sz w:val="18"/>
                                  <w:szCs w:val="18"/>
                                </w:rPr>
                                <w:t>3</w:t>
                              </w:r>
                            </w:p>
                            <w:p w14:paraId="749A0F6C" w14:textId="77777777" w:rsidR="00E220E9" w:rsidRPr="00876D69" w:rsidRDefault="00E220E9" w:rsidP="00E220E9">
                              <w:pPr>
                                <w:spacing w:line="100" w:lineRule="atLeast"/>
                                <w:jc w:val="center"/>
                                <w:rPr>
                                  <w:b/>
                                  <w:bCs/>
                                  <w:color w:val="auto"/>
                                  <w:sz w:val="18"/>
                                  <w:szCs w:val="18"/>
                                </w:rPr>
                              </w:pPr>
                              <w:r w:rsidRPr="00876D69">
                                <w:rPr>
                                  <w:b/>
                                  <w:bCs/>
                                  <w:color w:val="auto"/>
                                  <w:sz w:val="18"/>
                                  <w:szCs w:val="18"/>
                                </w:rPr>
                                <w:t xml:space="preserve">Lane Code </w:t>
                              </w:r>
                              <w:r>
                                <w:rPr>
                                  <w:b/>
                                  <w:bCs/>
                                  <w:color w:val="auto"/>
                                  <w:sz w:val="18"/>
                                  <w:szCs w:val="18"/>
                                </w:rPr>
                                <w:t>2</w:t>
                              </w:r>
                            </w:p>
                          </w:txbxContent>
                        </wps:txbx>
                        <wps:bodyPr rot="0" vert="horz" wrap="square" lIns="0" tIns="0" rIns="0" bIns="0" anchor="t" anchorCtr="0">
                          <a:noAutofit/>
                        </wps:bodyPr>
                      </wps:wsp>
                      <wps:wsp>
                        <wps:cNvPr id="294" name="Text Box 2"/>
                        <wps:cNvSpPr txBox="1">
                          <a:spLocks noChangeArrowheads="1"/>
                        </wps:cNvSpPr>
                        <wps:spPr bwMode="auto">
                          <a:xfrm>
                            <a:off x="502024" y="3839382"/>
                            <a:ext cx="1292252" cy="279609"/>
                          </a:xfrm>
                          <a:prstGeom prst="rect">
                            <a:avLst/>
                          </a:prstGeom>
                          <a:solidFill>
                            <a:sysClr val="window" lastClr="FFFFFF"/>
                          </a:solidFill>
                          <a:ln w="9525">
                            <a:solidFill>
                              <a:srgbClr val="000000"/>
                            </a:solidFill>
                            <a:miter lim="800000"/>
                            <a:headEnd/>
                            <a:tailEnd/>
                          </a:ln>
                        </wps:spPr>
                        <wps:txbx>
                          <w:txbxContent>
                            <w:p w14:paraId="554E9553" w14:textId="77777777" w:rsidR="00E220E9" w:rsidRDefault="00E220E9" w:rsidP="00E220E9">
                              <w:pPr>
                                <w:spacing w:line="0" w:lineRule="atLeast"/>
                                <w:jc w:val="center"/>
                                <w:rPr>
                                  <w:b/>
                                  <w:bCs/>
                                  <w:color w:val="auto"/>
                                  <w:sz w:val="18"/>
                                  <w:szCs w:val="18"/>
                                </w:rPr>
                              </w:pPr>
                              <w:r w:rsidRPr="00876D69">
                                <w:rPr>
                                  <w:b/>
                                  <w:bCs/>
                                  <w:color w:val="auto"/>
                                  <w:sz w:val="18"/>
                                  <w:szCs w:val="18"/>
                                </w:rPr>
                                <w:t>Direction Cod</w:t>
                              </w:r>
                              <w:r>
                                <w:rPr>
                                  <w:b/>
                                  <w:bCs/>
                                  <w:color w:val="auto"/>
                                  <w:sz w:val="18"/>
                                  <w:szCs w:val="18"/>
                                </w:rPr>
                                <w:t>e 3</w:t>
                              </w:r>
                            </w:p>
                            <w:p w14:paraId="42C36AFE" w14:textId="77777777" w:rsidR="00E220E9" w:rsidRPr="00876D69" w:rsidRDefault="00E220E9" w:rsidP="00E220E9">
                              <w:pPr>
                                <w:spacing w:line="0" w:lineRule="atLeast"/>
                                <w:jc w:val="center"/>
                                <w:rPr>
                                  <w:b/>
                                  <w:bCs/>
                                  <w:color w:val="auto"/>
                                  <w:sz w:val="18"/>
                                  <w:szCs w:val="18"/>
                                </w:rPr>
                              </w:pPr>
                              <w:r>
                                <w:rPr>
                                  <w:b/>
                                  <w:bCs/>
                                  <w:color w:val="auto"/>
                                  <w:sz w:val="18"/>
                                  <w:szCs w:val="18"/>
                                </w:rPr>
                                <w:t>Lane Code 1</w:t>
                              </w:r>
                            </w:p>
                          </w:txbxContent>
                        </wps:txbx>
                        <wps:bodyPr rot="0" vert="horz" wrap="square" lIns="0" tIns="0" rIns="0" bIns="0" anchor="t" anchorCtr="0">
                          <a:noAutofit/>
                        </wps:bodyPr>
                      </wps:wsp>
                      <wps:wsp>
                        <wps:cNvPr id="295" name="Text Box 2"/>
                        <wps:cNvSpPr txBox="1">
                          <a:spLocks noChangeArrowheads="1"/>
                        </wps:cNvSpPr>
                        <wps:spPr bwMode="auto">
                          <a:xfrm>
                            <a:off x="510988" y="2501153"/>
                            <a:ext cx="1292252" cy="279609"/>
                          </a:xfrm>
                          <a:prstGeom prst="rect">
                            <a:avLst/>
                          </a:prstGeom>
                          <a:solidFill>
                            <a:srgbClr val="008001"/>
                          </a:solidFill>
                          <a:ln w="9525">
                            <a:noFill/>
                            <a:miter lim="800000"/>
                            <a:headEnd/>
                            <a:tailEnd/>
                          </a:ln>
                        </wps:spPr>
                        <wps:txbx>
                          <w:txbxContent>
                            <w:p w14:paraId="5DEC63F2" w14:textId="77777777" w:rsidR="00E220E9" w:rsidRPr="00876D69" w:rsidRDefault="00E220E9" w:rsidP="00E220E9">
                              <w:pPr>
                                <w:spacing w:line="0" w:lineRule="atLeast"/>
                                <w:jc w:val="center"/>
                                <w:rPr>
                                  <w:b/>
                                  <w:bCs/>
                                  <w:color w:val="FFFFFF" w:themeColor="background1"/>
                                  <w:sz w:val="18"/>
                                  <w:szCs w:val="18"/>
                                </w:rPr>
                              </w:pPr>
                              <w:r w:rsidRPr="00876D69">
                                <w:rPr>
                                  <w:b/>
                                  <w:bCs/>
                                  <w:color w:val="FFFFFF" w:themeColor="background1"/>
                                  <w:sz w:val="18"/>
                                  <w:szCs w:val="18"/>
                                </w:rPr>
                                <w:t>Median</w:t>
                              </w:r>
                            </w:p>
                          </w:txbxContent>
                        </wps:txbx>
                        <wps:bodyPr rot="0" vert="horz" wrap="square" lIns="0" tIns="0" rIns="0" bIns="0" anchor="ctr" anchorCtr="0">
                          <a:noAutofit/>
                        </wps:bodyPr>
                      </wps:wsp>
                      <wps:wsp>
                        <wps:cNvPr id="296" name="Text Box 2"/>
                        <wps:cNvSpPr txBox="1">
                          <a:spLocks noChangeArrowheads="1"/>
                        </wps:cNvSpPr>
                        <wps:spPr bwMode="auto">
                          <a:xfrm>
                            <a:off x="510988" y="1248582"/>
                            <a:ext cx="1292252" cy="279609"/>
                          </a:xfrm>
                          <a:prstGeom prst="rect">
                            <a:avLst/>
                          </a:prstGeom>
                          <a:solidFill>
                            <a:sysClr val="window" lastClr="FFFFFF"/>
                          </a:solidFill>
                          <a:ln w="9525">
                            <a:solidFill>
                              <a:srgbClr val="000000"/>
                            </a:solidFill>
                            <a:miter lim="800000"/>
                            <a:headEnd/>
                            <a:tailEnd/>
                          </a:ln>
                        </wps:spPr>
                        <wps:txbx>
                          <w:txbxContent>
                            <w:p w14:paraId="50C3144E" w14:textId="77777777" w:rsidR="00E220E9" w:rsidRPr="00876D69" w:rsidRDefault="00E220E9" w:rsidP="00E220E9">
                              <w:pPr>
                                <w:spacing w:line="100" w:lineRule="atLeast"/>
                                <w:jc w:val="center"/>
                                <w:rPr>
                                  <w:b/>
                                  <w:bCs/>
                                  <w:color w:val="auto"/>
                                  <w:sz w:val="18"/>
                                  <w:szCs w:val="18"/>
                                </w:rPr>
                              </w:pPr>
                              <w:r w:rsidRPr="00876D69">
                                <w:rPr>
                                  <w:b/>
                                  <w:bCs/>
                                  <w:color w:val="auto"/>
                                  <w:sz w:val="18"/>
                                  <w:szCs w:val="18"/>
                                </w:rPr>
                                <w:t>Direction Code 7</w:t>
                              </w:r>
                            </w:p>
                            <w:p w14:paraId="66EEC28F" w14:textId="77777777" w:rsidR="00E220E9" w:rsidRPr="00876D69" w:rsidRDefault="00E220E9" w:rsidP="00E220E9">
                              <w:pPr>
                                <w:spacing w:line="100" w:lineRule="atLeast"/>
                                <w:jc w:val="center"/>
                                <w:rPr>
                                  <w:b/>
                                  <w:bCs/>
                                  <w:color w:val="auto"/>
                                  <w:sz w:val="18"/>
                                  <w:szCs w:val="18"/>
                                </w:rPr>
                              </w:pPr>
                              <w:r w:rsidRPr="00876D69">
                                <w:rPr>
                                  <w:b/>
                                  <w:bCs/>
                                  <w:color w:val="auto"/>
                                  <w:sz w:val="18"/>
                                  <w:szCs w:val="18"/>
                                </w:rPr>
                                <w:t xml:space="preserve">Lane Code </w:t>
                              </w:r>
                              <w:r>
                                <w:rPr>
                                  <w:b/>
                                  <w:bCs/>
                                  <w:color w:val="auto"/>
                                  <w:sz w:val="18"/>
                                  <w:szCs w:val="18"/>
                                </w:rPr>
                                <w:t>3</w:t>
                              </w:r>
                            </w:p>
                          </w:txbxContent>
                        </wps:txbx>
                        <wps:bodyPr rot="0" vert="horz" wrap="square" lIns="0" tIns="0" rIns="0" bIns="0" anchor="t" anchorCtr="0">
                          <a:noAutofit/>
                        </wps:bodyPr>
                      </wps:wsp>
                    </wpg:wgp>
                  </a:graphicData>
                </a:graphic>
                <wp14:sizeRelV relativeFrom="margin">
                  <wp14:pctHeight>0</wp14:pctHeight>
                </wp14:sizeRelV>
              </wp:anchor>
            </w:drawing>
          </mc:Choice>
          <mc:Fallback xmlns:oel="http://schemas.microsoft.com/office/2019/extlst">
            <w:pict>
              <v:group w14:anchorId="657C8A27" id="Group 284" o:spid="_x0000_s1106" alt="In this example we have a divided highway with three lanes going westbound and three lanes going eastbound on the lanes going westbound, in the lane closest to the shoulder we have direction code 7 lane code 1, the middle lane would be direction code 7 lane code 2, and the lane closest to the median would be direction code 7 lane code 3. For the lanes going eastbound, the lane closest to the shoulder would be direction code 3 lane code 1, the middle lane would be direction code 3 lane code 2, and the lane closest to the median would be direction code 3 lane code 3." style="position:absolute;left:0;text-align:left;margin-left:40.35pt;margin-top:36.1pt;width:185pt;height:365.7pt;z-index:251725824;mso-height-relative:margin" coordorigin=",-423" coordsize="23491,46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">
                <v:shape id="_x0000_s1107" type="#_x0000_t202" style="position:absolute;left:7082;top:-423;width:9295;height:2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" fillcolor="#330702">
                  <v:textbox>
                    <w:txbxContent>
                      <w:p w14:paraId="48D32F29" w14:textId="77777777" w:rsidR="00E220E9" w:rsidRPr="00876D69" w:rsidRDefault="00E220E9" w:rsidP="00E220E9">
                        <w:pPr>
                          <w:jc w:val="center"/>
                          <w:rPr>
                            <w:color w:val="FFFFFF" w:themeColor="background1"/>
                          </w:rPr>
                        </w:pPr>
                        <w:r w:rsidRPr="00876D69">
                          <w:rPr>
                            <w:color w:val="FFFFFF" w:themeColor="background1"/>
                          </w:rPr>
                          <w:t>Shoulder</w:t>
                        </w:r>
                      </w:p>
                    </w:txbxContent>
                  </v:textbox>
                </v:shape>
                <v:shape id="_x0000_s1108" type="#_x0000_t202" style="position:absolute;left:7082;top:43299;width:9295;height:2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" fillcolor="#330702">
                  <v:textbox>
                    <w:txbxContent>
                      <w:p w14:paraId="68C518ED" w14:textId="77777777" w:rsidR="00E220E9" w:rsidRPr="00876D69" w:rsidRDefault="00E220E9" w:rsidP="00E220E9">
                        <w:pPr>
                          <w:spacing w:line="100" w:lineRule="atLeast"/>
                          <w:jc w:val="center"/>
                          <w:rPr>
                            <w:color w:val="FFFFFF" w:themeColor="background1"/>
                          </w:rPr>
                        </w:pPr>
                        <w:r w:rsidRPr="00876D69">
                          <w:rPr>
                            <w:color w:val="FFFFFF" w:themeColor="background1"/>
                          </w:rPr>
                          <w:t>S</w:t>
                        </w:r>
                        <w:r>
                          <w:rPr>
                            <w:b/>
                            <w:bCs/>
                            <w:color w:val="auto"/>
                            <w:sz w:val="18"/>
                            <w:szCs w:val="18"/>
                          </w:rPr>
                          <w:t>houlder</w:t>
                        </w:r>
                      </w:p>
                    </w:txbxContent>
                  </v:textbox>
                </v:shape>
                <v:shape id="_x0000_s1109" type="#_x0000_t202" style="position:absolute;top:8695;width:4305;height:3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" fillcolor="black">
                  <v:textbox inset="0,0,0,0">
                    <w:txbxContent>
                      <w:p w14:paraId="6C5A1E8D" w14:textId="77777777" w:rsidR="00E220E9" w:rsidRPr="00876D69" w:rsidRDefault="00E220E9" w:rsidP="00E220E9">
                        <w:pPr>
                          <w:spacing w:line="100" w:lineRule="atLeast"/>
                          <w:jc w:val="center"/>
                          <w:rPr>
                            <w:color w:val="FFFFFF" w:themeColor="background1"/>
                            <w:sz w:val="18"/>
                            <w:szCs w:val="18"/>
                          </w:rPr>
                        </w:pPr>
                        <w:r w:rsidRPr="00876D69">
                          <w:rPr>
                            <w:color w:val="FFFFFF" w:themeColor="background1"/>
                            <w:sz w:val="18"/>
                            <w:szCs w:val="18"/>
                          </w:rPr>
                          <w:t xml:space="preserve">West </w:t>
                        </w:r>
                        <w:r>
                          <w:rPr>
                            <w:color w:val="FFFFFF" w:themeColor="background1"/>
                            <w:sz w:val="18"/>
                            <w:szCs w:val="18"/>
                          </w:rPr>
                          <w:t>B</w:t>
                        </w:r>
                        <w:r w:rsidRPr="00876D69">
                          <w:rPr>
                            <w:color w:val="FFFFFF" w:themeColor="background1"/>
                            <w:sz w:val="18"/>
                            <w:szCs w:val="18"/>
                          </w:rPr>
                          <w:t>ound</w:t>
                        </w:r>
                      </w:p>
                    </w:txbxContent>
                  </v:textbox>
                </v:shape>
                <v:shape id="_x0000_s1110" type="#_x0000_t202" style="position:absolute;left:19184;top:34424;width:4307;height:3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" fillcolor="black">
                  <v:textbox inset="0,0,0,0">
                    <w:txbxContent>
                      <w:p w14:paraId="5852FAFC" w14:textId="77777777" w:rsidR="00E220E9" w:rsidRPr="00876D69" w:rsidRDefault="00E220E9" w:rsidP="00E220E9">
                        <w:pPr>
                          <w:spacing w:line="100" w:lineRule="atLeast"/>
                          <w:jc w:val="center"/>
                          <w:rPr>
                            <w:color w:val="FFFFFF" w:themeColor="background1"/>
                            <w:sz w:val="18"/>
                            <w:szCs w:val="18"/>
                          </w:rPr>
                        </w:pPr>
                        <w:r>
                          <w:rPr>
                            <w:color w:val="FFFFFF" w:themeColor="background1"/>
                            <w:sz w:val="18"/>
                            <w:szCs w:val="18"/>
                          </w:rPr>
                          <w:t>East</w:t>
                        </w:r>
                        <w:r w:rsidRPr="00876D69">
                          <w:rPr>
                            <w:color w:val="FFFFFF" w:themeColor="background1"/>
                            <w:sz w:val="18"/>
                            <w:szCs w:val="18"/>
                          </w:rPr>
                          <w:t xml:space="preserve"> </w:t>
                        </w:r>
                        <w:r>
                          <w:rPr>
                            <w:color w:val="FFFFFF" w:themeColor="background1"/>
                            <w:sz w:val="18"/>
                            <w:szCs w:val="18"/>
                          </w:rPr>
                          <w:t>B</w:t>
                        </w:r>
                        <w:r w:rsidRPr="00876D69">
                          <w:rPr>
                            <w:color w:val="FFFFFF" w:themeColor="background1"/>
                            <w:sz w:val="18"/>
                            <w:szCs w:val="18"/>
                          </w:rPr>
                          <w:t>ound</w:t>
                        </w:r>
                      </w:p>
                    </w:txbxContent>
                  </v:textbox>
                </v:shape>
                <v:shape id="_x0000_s1111" type="#_x0000_t202" style="position:absolute;left:5020;top:3879;width:12922;height:2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" fillcolor="window">
                  <v:textbox inset="0,0,0,0">
                    <w:txbxContent>
                      <w:p w14:paraId="027387D1" w14:textId="77777777" w:rsidR="00E220E9" w:rsidRPr="00876D69" w:rsidRDefault="00E220E9" w:rsidP="00E220E9">
                        <w:pPr>
                          <w:spacing w:line="100" w:lineRule="atLeast"/>
                          <w:jc w:val="center"/>
                          <w:rPr>
                            <w:b/>
                            <w:bCs/>
                            <w:color w:val="auto"/>
                            <w:sz w:val="18"/>
                            <w:szCs w:val="18"/>
                          </w:rPr>
                        </w:pPr>
                        <w:r w:rsidRPr="00876D69">
                          <w:rPr>
                            <w:b/>
                            <w:bCs/>
                            <w:color w:val="auto"/>
                            <w:sz w:val="18"/>
                            <w:szCs w:val="18"/>
                          </w:rPr>
                          <w:t>Direction Code 7</w:t>
                        </w:r>
                      </w:p>
                      <w:p w14:paraId="252E107A" w14:textId="77777777" w:rsidR="00E220E9" w:rsidRPr="00876D69" w:rsidRDefault="00E220E9" w:rsidP="00E220E9">
                        <w:pPr>
                          <w:spacing w:line="100" w:lineRule="atLeast"/>
                          <w:jc w:val="center"/>
                          <w:rPr>
                            <w:b/>
                            <w:bCs/>
                            <w:color w:val="auto"/>
                            <w:sz w:val="18"/>
                            <w:szCs w:val="18"/>
                          </w:rPr>
                        </w:pPr>
                        <w:r w:rsidRPr="00876D69">
                          <w:rPr>
                            <w:b/>
                            <w:bCs/>
                            <w:color w:val="auto"/>
                            <w:sz w:val="18"/>
                            <w:szCs w:val="18"/>
                          </w:rPr>
                          <w:t>Lane Code 1</w:t>
                        </w:r>
                      </w:p>
                    </w:txbxContent>
                  </v:textbox>
                </v:shape>
                <v:shape id="_x0000_s1112" type="#_x0000_t202" style="position:absolute;left:5020;top:8182;width:12922;height:2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" fillcolor="window">
                  <v:textbox inset="0,0,0,0">
                    <w:txbxContent>
                      <w:p w14:paraId="733AF0F6" w14:textId="77777777" w:rsidR="00E220E9" w:rsidRPr="00876D69" w:rsidRDefault="00E220E9" w:rsidP="00E220E9">
                        <w:pPr>
                          <w:spacing w:line="100" w:lineRule="atLeast"/>
                          <w:jc w:val="center"/>
                          <w:rPr>
                            <w:b/>
                            <w:bCs/>
                            <w:color w:val="auto"/>
                            <w:sz w:val="18"/>
                            <w:szCs w:val="18"/>
                          </w:rPr>
                        </w:pPr>
                        <w:r w:rsidRPr="00876D69">
                          <w:rPr>
                            <w:b/>
                            <w:bCs/>
                            <w:color w:val="auto"/>
                            <w:sz w:val="18"/>
                            <w:szCs w:val="18"/>
                          </w:rPr>
                          <w:t>Direction Code 7</w:t>
                        </w:r>
                      </w:p>
                      <w:p w14:paraId="373AF9A4" w14:textId="77777777" w:rsidR="00E220E9" w:rsidRPr="00876D69" w:rsidRDefault="00E220E9" w:rsidP="00E220E9">
                        <w:pPr>
                          <w:spacing w:line="100" w:lineRule="atLeast"/>
                          <w:jc w:val="center"/>
                          <w:rPr>
                            <w:b/>
                            <w:bCs/>
                            <w:color w:val="auto"/>
                            <w:sz w:val="18"/>
                            <w:szCs w:val="18"/>
                          </w:rPr>
                        </w:pPr>
                        <w:r w:rsidRPr="00876D69">
                          <w:rPr>
                            <w:b/>
                            <w:bCs/>
                            <w:color w:val="auto"/>
                            <w:sz w:val="18"/>
                            <w:szCs w:val="18"/>
                          </w:rPr>
                          <w:t xml:space="preserve">Lane Code </w:t>
                        </w:r>
                        <w:r>
                          <w:rPr>
                            <w:b/>
                            <w:bCs/>
                            <w:color w:val="auto"/>
                            <w:sz w:val="18"/>
                            <w:szCs w:val="18"/>
                          </w:rPr>
                          <w:t>2</w:t>
                        </w:r>
                      </w:p>
                    </w:txbxContent>
                  </v:textbox>
                </v:shape>
                <v:shape id="_x0000_s1113" type="#_x0000_t202" style="position:absolute;left:5020;top:18288;width:12922;height:27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" fillcolor="#008001" stroked="f">
                  <v:textbox inset="0,0,0,0">
                    <w:txbxContent>
                      <w:p w14:paraId="6C87CE2F" w14:textId="77777777" w:rsidR="00E220E9" w:rsidRPr="00876D69" w:rsidRDefault="00E220E9" w:rsidP="00E220E9">
                        <w:pPr>
                          <w:spacing w:line="0" w:lineRule="atLeast"/>
                          <w:jc w:val="center"/>
                          <w:rPr>
                            <w:b/>
                            <w:bCs/>
                            <w:color w:val="FFFFFF" w:themeColor="background1"/>
                            <w:sz w:val="18"/>
                            <w:szCs w:val="18"/>
                          </w:rPr>
                        </w:pPr>
                        <w:r w:rsidRPr="00876D69">
                          <w:rPr>
                            <w:b/>
                            <w:bCs/>
                            <w:color w:val="FFFFFF" w:themeColor="background1"/>
                            <w:sz w:val="18"/>
                            <w:szCs w:val="18"/>
                          </w:rPr>
                          <w:t>Median</w:t>
                        </w:r>
                      </w:p>
                    </w:txbxContent>
                  </v:textbox>
                </v:shape>
                <v:shape id="_x0000_s1114" type="#_x0000_t202" style="position:absolute;left:5020;top:29787;width:12922;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" fillcolor="window">
                  <v:textbox inset="0,0,0,0">
                    <w:txbxContent>
                      <w:p w14:paraId="30FDD776" w14:textId="77777777" w:rsidR="00E220E9" w:rsidRPr="00876D69" w:rsidRDefault="00E220E9" w:rsidP="00E220E9">
                        <w:pPr>
                          <w:spacing w:line="100" w:lineRule="atLeast"/>
                          <w:jc w:val="center"/>
                          <w:rPr>
                            <w:b/>
                            <w:bCs/>
                            <w:color w:val="auto"/>
                            <w:sz w:val="18"/>
                            <w:szCs w:val="18"/>
                          </w:rPr>
                        </w:pPr>
                        <w:r w:rsidRPr="00876D69">
                          <w:rPr>
                            <w:b/>
                            <w:bCs/>
                            <w:color w:val="auto"/>
                            <w:sz w:val="18"/>
                            <w:szCs w:val="18"/>
                          </w:rPr>
                          <w:t>Direction Code</w:t>
                        </w:r>
                        <w:r>
                          <w:rPr>
                            <w:b/>
                            <w:bCs/>
                            <w:color w:val="auto"/>
                            <w:sz w:val="18"/>
                            <w:szCs w:val="18"/>
                          </w:rPr>
                          <w:t xml:space="preserve"> 3</w:t>
                        </w:r>
                      </w:p>
                      <w:p w14:paraId="153FA369" w14:textId="77777777" w:rsidR="00E220E9" w:rsidRPr="00876D69" w:rsidRDefault="00E220E9" w:rsidP="00E220E9">
                        <w:pPr>
                          <w:spacing w:line="100" w:lineRule="atLeast"/>
                          <w:jc w:val="center"/>
                          <w:rPr>
                            <w:b/>
                            <w:bCs/>
                            <w:color w:val="auto"/>
                            <w:sz w:val="18"/>
                            <w:szCs w:val="18"/>
                          </w:rPr>
                        </w:pPr>
                        <w:r w:rsidRPr="00876D69">
                          <w:rPr>
                            <w:b/>
                            <w:bCs/>
                            <w:color w:val="auto"/>
                            <w:sz w:val="18"/>
                            <w:szCs w:val="18"/>
                          </w:rPr>
                          <w:t xml:space="preserve">Lane Code </w:t>
                        </w:r>
                        <w:r>
                          <w:rPr>
                            <w:b/>
                            <w:bCs/>
                            <w:color w:val="auto"/>
                            <w:sz w:val="18"/>
                            <w:szCs w:val="18"/>
                          </w:rPr>
                          <w:t>3</w:t>
                        </w:r>
                      </w:p>
                    </w:txbxContent>
                  </v:textbox>
                </v:shape>
                <v:shape id="_x0000_s1115" type="#_x0000_t202" style="position:absolute;left:5020;top:34090;width:12922;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" fillcolor="window">
                  <v:textbox inset="0,0,0,0">
                    <w:txbxContent>
                      <w:p w14:paraId="456CA8F1" w14:textId="77777777" w:rsidR="00E220E9" w:rsidRPr="00876D69" w:rsidRDefault="00E220E9" w:rsidP="00E220E9">
                        <w:pPr>
                          <w:spacing w:line="100" w:lineRule="atLeast"/>
                          <w:jc w:val="center"/>
                          <w:rPr>
                            <w:b/>
                            <w:bCs/>
                            <w:color w:val="auto"/>
                            <w:sz w:val="18"/>
                            <w:szCs w:val="18"/>
                          </w:rPr>
                        </w:pPr>
                        <w:r w:rsidRPr="00876D69">
                          <w:rPr>
                            <w:b/>
                            <w:bCs/>
                            <w:color w:val="auto"/>
                            <w:sz w:val="18"/>
                            <w:szCs w:val="18"/>
                          </w:rPr>
                          <w:t xml:space="preserve">Direction Code </w:t>
                        </w:r>
                        <w:r>
                          <w:rPr>
                            <w:b/>
                            <w:bCs/>
                            <w:color w:val="auto"/>
                            <w:sz w:val="18"/>
                            <w:szCs w:val="18"/>
                          </w:rPr>
                          <w:t>3</w:t>
                        </w:r>
                      </w:p>
                      <w:p w14:paraId="749A0F6C" w14:textId="77777777" w:rsidR="00E220E9" w:rsidRPr="00876D69" w:rsidRDefault="00E220E9" w:rsidP="00E220E9">
                        <w:pPr>
                          <w:spacing w:line="100" w:lineRule="atLeast"/>
                          <w:jc w:val="center"/>
                          <w:rPr>
                            <w:b/>
                            <w:bCs/>
                            <w:color w:val="auto"/>
                            <w:sz w:val="18"/>
                            <w:szCs w:val="18"/>
                          </w:rPr>
                        </w:pPr>
                        <w:r w:rsidRPr="00876D69">
                          <w:rPr>
                            <w:b/>
                            <w:bCs/>
                            <w:color w:val="auto"/>
                            <w:sz w:val="18"/>
                            <w:szCs w:val="18"/>
                          </w:rPr>
                          <w:t xml:space="preserve">Lane Code </w:t>
                        </w:r>
                        <w:r>
                          <w:rPr>
                            <w:b/>
                            <w:bCs/>
                            <w:color w:val="auto"/>
                            <w:sz w:val="18"/>
                            <w:szCs w:val="18"/>
                          </w:rPr>
                          <w:t>2</w:t>
                        </w:r>
                      </w:p>
                    </w:txbxContent>
                  </v:textbox>
                </v:shape>
                <v:shape id="_x0000_s1116" type="#_x0000_t202" style="position:absolute;left:5020;top:38393;width:12922;height:2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" fillcolor="window">
                  <v:textbox inset="0,0,0,0">
                    <w:txbxContent>
                      <w:p w14:paraId="554E9553" w14:textId="77777777" w:rsidR="00E220E9" w:rsidRDefault="00E220E9" w:rsidP="00E220E9">
                        <w:pPr>
                          <w:spacing w:line="0" w:lineRule="atLeast"/>
                          <w:jc w:val="center"/>
                          <w:rPr>
                            <w:b/>
                            <w:bCs/>
                            <w:color w:val="auto"/>
                            <w:sz w:val="18"/>
                            <w:szCs w:val="18"/>
                          </w:rPr>
                        </w:pPr>
                        <w:r w:rsidRPr="00876D69">
                          <w:rPr>
                            <w:b/>
                            <w:bCs/>
                            <w:color w:val="auto"/>
                            <w:sz w:val="18"/>
                            <w:szCs w:val="18"/>
                          </w:rPr>
                          <w:t>Direction Cod</w:t>
                        </w:r>
                        <w:r>
                          <w:rPr>
                            <w:b/>
                            <w:bCs/>
                            <w:color w:val="auto"/>
                            <w:sz w:val="18"/>
                            <w:szCs w:val="18"/>
                          </w:rPr>
                          <w:t>e 3</w:t>
                        </w:r>
                      </w:p>
                      <w:p w14:paraId="42C36AFE" w14:textId="77777777" w:rsidR="00E220E9" w:rsidRPr="00876D69" w:rsidRDefault="00E220E9" w:rsidP="00E220E9">
                        <w:pPr>
                          <w:spacing w:line="0" w:lineRule="atLeast"/>
                          <w:jc w:val="center"/>
                          <w:rPr>
                            <w:b/>
                            <w:bCs/>
                            <w:color w:val="auto"/>
                            <w:sz w:val="18"/>
                            <w:szCs w:val="18"/>
                          </w:rPr>
                        </w:pPr>
                        <w:r>
                          <w:rPr>
                            <w:b/>
                            <w:bCs/>
                            <w:color w:val="auto"/>
                            <w:sz w:val="18"/>
                            <w:szCs w:val="18"/>
                          </w:rPr>
                          <w:t>Lane Code 1</w:t>
                        </w:r>
                      </w:p>
                    </w:txbxContent>
                  </v:textbox>
                </v:shape>
                <v:shape id="_x0000_s1117" type="#_x0000_t202" style="position:absolute;left:5109;top:25011;width:12923;height:27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" fillcolor="#008001" stroked="f">
                  <v:textbox inset="0,0,0,0">
                    <w:txbxContent>
                      <w:p w14:paraId="5DEC63F2" w14:textId="77777777" w:rsidR="00E220E9" w:rsidRPr="00876D69" w:rsidRDefault="00E220E9" w:rsidP="00E220E9">
                        <w:pPr>
                          <w:spacing w:line="0" w:lineRule="atLeast"/>
                          <w:jc w:val="center"/>
                          <w:rPr>
                            <w:b/>
                            <w:bCs/>
                            <w:color w:val="FFFFFF" w:themeColor="background1"/>
                            <w:sz w:val="18"/>
                            <w:szCs w:val="18"/>
                          </w:rPr>
                        </w:pPr>
                        <w:r w:rsidRPr="00876D69">
                          <w:rPr>
                            <w:b/>
                            <w:bCs/>
                            <w:color w:val="FFFFFF" w:themeColor="background1"/>
                            <w:sz w:val="18"/>
                            <w:szCs w:val="18"/>
                          </w:rPr>
                          <w:t>Median</w:t>
                        </w:r>
                      </w:p>
                    </w:txbxContent>
                  </v:textbox>
                </v:shape>
                <v:shape id="_x0000_s1118" type="#_x0000_t202" style="position:absolute;left:5109;top:12485;width:12923;height:2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" fillcolor="window">
                  <v:textbox inset="0,0,0,0">
                    <w:txbxContent>
                      <w:p w14:paraId="50C3144E" w14:textId="77777777" w:rsidR="00E220E9" w:rsidRPr="00876D69" w:rsidRDefault="00E220E9" w:rsidP="00E220E9">
                        <w:pPr>
                          <w:spacing w:line="100" w:lineRule="atLeast"/>
                          <w:jc w:val="center"/>
                          <w:rPr>
                            <w:b/>
                            <w:bCs/>
                            <w:color w:val="auto"/>
                            <w:sz w:val="18"/>
                            <w:szCs w:val="18"/>
                          </w:rPr>
                        </w:pPr>
                        <w:r w:rsidRPr="00876D69">
                          <w:rPr>
                            <w:b/>
                            <w:bCs/>
                            <w:color w:val="auto"/>
                            <w:sz w:val="18"/>
                            <w:szCs w:val="18"/>
                          </w:rPr>
                          <w:t>Direction Code 7</w:t>
                        </w:r>
                      </w:p>
                      <w:p w14:paraId="66EEC28F" w14:textId="77777777" w:rsidR="00E220E9" w:rsidRPr="00876D69" w:rsidRDefault="00E220E9" w:rsidP="00E220E9">
                        <w:pPr>
                          <w:spacing w:line="100" w:lineRule="atLeast"/>
                          <w:jc w:val="center"/>
                          <w:rPr>
                            <w:b/>
                            <w:bCs/>
                            <w:color w:val="auto"/>
                            <w:sz w:val="18"/>
                            <w:szCs w:val="18"/>
                          </w:rPr>
                        </w:pPr>
                        <w:r w:rsidRPr="00876D69">
                          <w:rPr>
                            <w:b/>
                            <w:bCs/>
                            <w:color w:val="auto"/>
                            <w:sz w:val="18"/>
                            <w:szCs w:val="18"/>
                          </w:rPr>
                          <w:t xml:space="preserve">Lane Code </w:t>
                        </w:r>
                        <w:r>
                          <w:rPr>
                            <w:b/>
                            <w:bCs/>
                            <w:color w:val="auto"/>
                            <w:sz w:val="18"/>
                            <w:szCs w:val="18"/>
                          </w:rPr>
                          <w:t>3</w:t>
                        </w:r>
                      </w:p>
                    </w:txbxContent>
                  </v:textbox>
                </v:shape>
              </v:group>
            </w:pict>
          </mc:Fallback>
        </mc:AlternateContent>
      </w:r>
      <w:r w:rsidRPr="00E220E9">
        <w:rPr>
          <w:noProof/>
        </w:rPr>
        <w:drawing>
          <wp:inline distT="0" distB="0" distL="0" distR="0" wp14:anchorId="4F0215FC" wp14:editId="1E12321A">
            <wp:extent cx="2609906" cy="5505450"/>
            <wp:effectExtent l="0" t="0" r="0" b="0"/>
            <wp:docPr id="297" name="Picture 0" descr="Three lanes of traffic in each direction, and a median.  The lanes are assigned west bound and east bound labels with a set direction code and lane code.  The example indicates that the Direction code is 7 for westbound traffic and each lane is assigned a lane code number.  In the example, one two and three are assigned to each 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Picture 0" descr="Three lanes of traffic in each direction, and a median.  The lanes are assigned west bound and east bound labels with a set direction code and lane code.  The example indicates that the Direction code is 7 for westbound traffic and each lane is assigned a lane code number.  In the example, one two and three are assigned to each lane."/>
                    <pic:cNvPicPr/>
                  </pic:nvPicPr>
                  <pic:blipFill>
                    <a:blip r:embed="rId157" cstate="email">
                      <a:extLst>
                        <a:ext uri="{28A0092B-C50C-407E-A947-70E740481C1C}">
                          <a14:useLocalDpi xmlns:a14="http://schemas.microsoft.com/office/drawing/2010/main"/>
                        </a:ext>
                      </a:extLst>
                    </a:blip>
                    <a:srcRect/>
                    <a:stretch>
                      <a:fillRect/>
                    </a:stretch>
                  </pic:blipFill>
                  <pic:spPr>
                    <a:xfrm>
                      <a:off x="0" y="0"/>
                      <a:ext cx="2706968" cy="5710197"/>
                    </a:xfrm>
                    <a:prstGeom prst="rect">
                      <a:avLst/>
                    </a:prstGeom>
                  </pic:spPr>
                </pic:pic>
              </a:graphicData>
            </a:graphic>
          </wp:inline>
        </w:drawing>
      </w:r>
    </w:p>
    <w:p w14:paraId="3A439A9F" w14:textId="6F0DBF2D" w:rsidR="009B7AED" w:rsidRDefault="009B7AED" w:rsidP="0060053A">
      <w:pPr>
        <w:pStyle w:val="Source"/>
        <w:ind w:left="639"/>
      </w:pPr>
      <w:r>
        <w:t>Source:</w:t>
      </w:r>
      <w:r w:rsidR="0061163F">
        <w:t xml:space="preserve"> </w:t>
      </w:r>
      <w:r w:rsidR="00627DD7">
        <w:t xml:space="preserve"> </w:t>
      </w:r>
      <w:r>
        <w:t>Federal Highway Administration.</w:t>
      </w:r>
    </w:p>
    <w:p w14:paraId="39F39ABC" w14:textId="59B9BA81" w:rsidR="00E81257" w:rsidRPr="000D0FDE" w:rsidRDefault="005634C1" w:rsidP="0060053A">
      <w:pPr>
        <w:pStyle w:val="TMGFigureCaption"/>
        <w:spacing w:after="360"/>
        <w:ind w:left="639"/>
        <w:jc w:val="left"/>
      </w:pPr>
      <w:bookmarkStart w:id="2850" w:name="_Ref111022652"/>
      <w:bookmarkStart w:id="2851" w:name="_Toc113282547"/>
      <w:bookmarkStart w:id="2852" w:name="_Toc114474807"/>
      <w:bookmarkStart w:id="2853" w:name="_Toc120626580"/>
      <w:r>
        <w:rPr>
          <w:noProof/>
        </w:rPr>
        <mc:AlternateContent>
          <mc:Choice Requires="wps">
            <w:drawing>
              <wp:anchor distT="45720" distB="45720" distL="114300" distR="114300" simplePos="0" relativeHeight="251721728" behindDoc="0" locked="0" layoutInCell="1" allowOverlap="1" wp14:anchorId="5E6BE2BB" wp14:editId="72135F57">
                <wp:simplePos x="0" y="0"/>
                <wp:positionH relativeFrom="margin">
                  <wp:posOffset>2556510</wp:posOffset>
                </wp:positionH>
                <wp:positionV relativeFrom="paragraph">
                  <wp:posOffset>392642</wp:posOffset>
                </wp:positionV>
                <wp:extent cx="3436620" cy="2086610"/>
                <wp:effectExtent l="0" t="0" r="0" b="8890"/>
                <wp:wrapSquare wrapText="bothSides"/>
                <wp:docPr id="358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6620" cy="2086610"/>
                        </a:xfrm>
                        <a:prstGeom prst="rect">
                          <a:avLst/>
                        </a:prstGeom>
                        <a:solidFill>
                          <a:srgbClr val="FFFFFF"/>
                        </a:solidFill>
                        <a:ln w="9525">
                          <a:noFill/>
                          <a:miter lim="800000"/>
                          <a:headEnd/>
                          <a:tailEnd/>
                        </a:ln>
                      </wps:spPr>
                      <wps:txbx>
                        <w:txbxContent>
                          <w:p w14:paraId="095AC6BF" w14:textId="60B96F1A" w:rsidR="00ED64CF" w:rsidRDefault="00ED64CF" w:rsidP="00ED64CF">
                            <w:pPr>
                              <w:pStyle w:val="TMGTableCaption"/>
                              <w:spacing w:before="0"/>
                            </w:pPr>
                            <w:bookmarkStart w:id="2854" w:name="_Ref116025375"/>
                            <w:bookmarkStart w:id="2855" w:name="_Toc120631154"/>
                            <w:r>
                              <w:t xml:space="preserve">Table </w:t>
                            </w:r>
                            <w:fldSimple w:instr=" STYLEREF 1 \s ">
                              <w:r w:rsidR="00FC0E95">
                                <w:rPr>
                                  <w:noProof/>
                                </w:rPr>
                                <w:t>4</w:t>
                              </w:r>
                            </w:fldSimple>
                            <w:r>
                              <w:noBreakHyphen/>
                            </w:r>
                            <w:fldSimple w:instr=" SEQ Table \* ARABIC \s 1 ">
                              <w:r w:rsidR="00FC0E95">
                                <w:rPr>
                                  <w:noProof/>
                                </w:rPr>
                                <w:t>6</w:t>
                              </w:r>
                            </w:fldSimple>
                            <w:bookmarkEnd w:id="2854"/>
                            <w:r w:rsidR="007F2D82">
                              <w:t>.</w:t>
                            </w:r>
                            <w:r>
                              <w:t xml:space="preserve"> </w:t>
                            </w:r>
                            <w:r w:rsidRPr="00C13C9F">
                              <w:t>Functional Classification</w:t>
                            </w:r>
                            <w:r>
                              <w:t> </w:t>
                            </w:r>
                            <w:r w:rsidRPr="00C13C9F">
                              <w:t>Codes</w:t>
                            </w:r>
                            <w:bookmarkEnd w:id="2855"/>
                          </w:p>
                          <w:tbl>
                            <w:tblPr>
                              <w:tblStyle w:val="TableGrid"/>
                              <w:tblW w:w="5305" w:type="dxa"/>
                              <w:tblCellMar>
                                <w:left w:w="86" w:type="dxa"/>
                                <w:right w:w="86" w:type="dxa"/>
                              </w:tblCellMar>
                              <w:tblLook w:val="04A0" w:firstRow="1" w:lastRow="0" w:firstColumn="1" w:lastColumn="0" w:noHBand="0" w:noVBand="1"/>
                            </w:tblPr>
                            <w:tblGrid>
                              <w:gridCol w:w="805"/>
                              <w:gridCol w:w="4500"/>
                            </w:tblGrid>
                            <w:tr w:rsidR="00ED64CF" w14:paraId="788B7ED1" w14:textId="77777777" w:rsidTr="005634C1">
                              <w:tc>
                                <w:tcPr>
                                  <w:tcW w:w="805" w:type="dxa"/>
                                  <w:tcBorders>
                                    <w:right w:val="single" w:sz="4" w:space="0" w:color="FFFFFF" w:themeColor="background1"/>
                                  </w:tcBorders>
                                  <w:shd w:val="clear" w:color="auto" w:fill="1F3864"/>
                                </w:tcPr>
                                <w:p w14:paraId="6616EA84" w14:textId="1F876495" w:rsidR="00ED64CF" w:rsidRDefault="00ED64CF" w:rsidP="0017389B">
                                  <w:pPr>
                                    <w:pStyle w:val="TMGTableTextHeader"/>
                                  </w:pPr>
                                  <w:r w:rsidRPr="00804074">
                                    <w:rPr>
                                      <w:rFonts w:eastAsiaTheme="minorEastAsia"/>
                                    </w:rPr>
                                    <w:t>Code</w:t>
                                  </w:r>
                                </w:p>
                              </w:tc>
                              <w:tc>
                                <w:tcPr>
                                  <w:tcW w:w="4500" w:type="dxa"/>
                                  <w:tcBorders>
                                    <w:left w:val="single" w:sz="4" w:space="0" w:color="FFFFFF" w:themeColor="background1"/>
                                  </w:tcBorders>
                                  <w:shd w:val="clear" w:color="auto" w:fill="1F3864"/>
                                </w:tcPr>
                                <w:p w14:paraId="182FB04F" w14:textId="282A66D8" w:rsidR="00ED64CF" w:rsidRDefault="00ED64CF" w:rsidP="0017389B">
                                  <w:pPr>
                                    <w:pStyle w:val="TMGTableTextHeader"/>
                                  </w:pPr>
                                  <w:r w:rsidRPr="00804074">
                                    <w:rPr>
                                      <w:rFonts w:eastAsiaTheme="minorEastAsia"/>
                                    </w:rPr>
                                    <w:t>Functional Classification</w:t>
                                  </w:r>
                                  <w:r>
                                    <w:rPr>
                                      <w:rFonts w:eastAsiaTheme="minorEastAsia"/>
                                    </w:rPr>
                                    <w:t>*</w:t>
                                  </w:r>
                                </w:p>
                              </w:tc>
                            </w:tr>
                            <w:tr w:rsidR="00ED64CF" w14:paraId="43EC330D" w14:textId="77777777" w:rsidTr="005634C1">
                              <w:tc>
                                <w:tcPr>
                                  <w:tcW w:w="805" w:type="dxa"/>
                                  <w:vAlign w:val="center"/>
                                </w:tcPr>
                                <w:p w14:paraId="1A8D1A01" w14:textId="6FF47FBB" w:rsidR="00ED64CF" w:rsidRPr="00C251E9" w:rsidRDefault="00ED64CF" w:rsidP="00917D58">
                                  <w:pPr>
                                    <w:pStyle w:val="TMGTableText"/>
                                  </w:pPr>
                                  <w:r w:rsidRPr="00804074">
                                    <w:t>1</w:t>
                                  </w:r>
                                </w:p>
                              </w:tc>
                              <w:tc>
                                <w:tcPr>
                                  <w:tcW w:w="4500" w:type="dxa"/>
                                  <w:vAlign w:val="center"/>
                                </w:tcPr>
                                <w:p w14:paraId="322B586E" w14:textId="11D52791" w:rsidR="00ED64CF" w:rsidRPr="00C251E9" w:rsidRDefault="00ED64CF" w:rsidP="00917D58">
                                  <w:pPr>
                                    <w:pStyle w:val="TMGTableText"/>
                                  </w:pPr>
                                  <w:r w:rsidRPr="00804074">
                                    <w:t>Interstate</w:t>
                                  </w:r>
                                </w:p>
                              </w:tc>
                            </w:tr>
                            <w:tr w:rsidR="00ED64CF" w14:paraId="6A8C9C72" w14:textId="77777777" w:rsidTr="005634C1">
                              <w:tc>
                                <w:tcPr>
                                  <w:tcW w:w="805" w:type="dxa"/>
                                  <w:vAlign w:val="center"/>
                                </w:tcPr>
                                <w:p w14:paraId="4B10C8B3" w14:textId="395B9841" w:rsidR="00ED64CF" w:rsidRPr="00804074" w:rsidRDefault="00ED64CF" w:rsidP="00917D58">
                                  <w:pPr>
                                    <w:pStyle w:val="TMGTableText"/>
                                  </w:pPr>
                                  <w:r w:rsidRPr="00804074">
                                    <w:t>2</w:t>
                                  </w:r>
                                </w:p>
                              </w:tc>
                              <w:tc>
                                <w:tcPr>
                                  <w:tcW w:w="4500" w:type="dxa"/>
                                  <w:vAlign w:val="center"/>
                                </w:tcPr>
                                <w:p w14:paraId="5DF0662C" w14:textId="09ECC065" w:rsidR="00ED64CF" w:rsidRPr="00804074" w:rsidRDefault="00ED64CF" w:rsidP="00917D58">
                                  <w:pPr>
                                    <w:pStyle w:val="TMGTableText"/>
                                  </w:pPr>
                                  <w:r w:rsidRPr="00804074">
                                    <w:t>Principal Arterial – Other Freeways and Expressways</w:t>
                                  </w:r>
                                </w:p>
                              </w:tc>
                            </w:tr>
                            <w:tr w:rsidR="00ED64CF" w14:paraId="3E57F393" w14:textId="77777777" w:rsidTr="005634C1">
                              <w:tc>
                                <w:tcPr>
                                  <w:tcW w:w="805" w:type="dxa"/>
                                  <w:vAlign w:val="center"/>
                                </w:tcPr>
                                <w:p w14:paraId="5E688F80" w14:textId="5A9DA0CE" w:rsidR="00ED64CF" w:rsidRPr="00804074" w:rsidRDefault="00ED64CF" w:rsidP="00917D58">
                                  <w:pPr>
                                    <w:pStyle w:val="TMGTableText"/>
                                  </w:pPr>
                                  <w:r w:rsidRPr="00804074">
                                    <w:t>3</w:t>
                                  </w:r>
                                </w:p>
                              </w:tc>
                              <w:tc>
                                <w:tcPr>
                                  <w:tcW w:w="4500" w:type="dxa"/>
                                  <w:vAlign w:val="center"/>
                                </w:tcPr>
                                <w:p w14:paraId="6C561B08" w14:textId="6C2EEEED" w:rsidR="00ED64CF" w:rsidRPr="00804074" w:rsidRDefault="00ED64CF" w:rsidP="00917D58">
                                  <w:pPr>
                                    <w:pStyle w:val="TMGTableText"/>
                                  </w:pPr>
                                  <w:r w:rsidRPr="00804074">
                                    <w:t>Principal Arterial – Other</w:t>
                                  </w:r>
                                </w:p>
                              </w:tc>
                            </w:tr>
                            <w:tr w:rsidR="00ED64CF" w14:paraId="087CC389" w14:textId="77777777" w:rsidTr="005634C1">
                              <w:tc>
                                <w:tcPr>
                                  <w:tcW w:w="805" w:type="dxa"/>
                                  <w:vAlign w:val="center"/>
                                </w:tcPr>
                                <w:p w14:paraId="3201D2AE" w14:textId="5F90F01C" w:rsidR="00ED64CF" w:rsidRPr="00804074" w:rsidRDefault="00ED64CF" w:rsidP="00917D58">
                                  <w:pPr>
                                    <w:pStyle w:val="TMGTableText"/>
                                  </w:pPr>
                                  <w:r w:rsidRPr="00804074">
                                    <w:t>4</w:t>
                                  </w:r>
                                </w:p>
                              </w:tc>
                              <w:tc>
                                <w:tcPr>
                                  <w:tcW w:w="4500" w:type="dxa"/>
                                  <w:vAlign w:val="center"/>
                                </w:tcPr>
                                <w:p w14:paraId="0AFC34A8" w14:textId="56583F4F" w:rsidR="00ED64CF" w:rsidRPr="00804074" w:rsidRDefault="00ED64CF" w:rsidP="00917D58">
                                  <w:pPr>
                                    <w:pStyle w:val="TMGTableText"/>
                                  </w:pPr>
                                  <w:r w:rsidRPr="00804074">
                                    <w:t>Minor Arterial</w:t>
                                  </w:r>
                                </w:p>
                              </w:tc>
                            </w:tr>
                            <w:tr w:rsidR="00ED64CF" w14:paraId="72EE640B" w14:textId="77777777" w:rsidTr="005634C1">
                              <w:tc>
                                <w:tcPr>
                                  <w:tcW w:w="805" w:type="dxa"/>
                                  <w:vAlign w:val="center"/>
                                </w:tcPr>
                                <w:p w14:paraId="44E13FA6" w14:textId="12818B13" w:rsidR="00ED64CF" w:rsidRPr="00804074" w:rsidRDefault="00ED64CF" w:rsidP="00917D58">
                                  <w:pPr>
                                    <w:pStyle w:val="TMGTableText"/>
                                  </w:pPr>
                                  <w:r w:rsidRPr="00804074">
                                    <w:t>5</w:t>
                                  </w:r>
                                </w:p>
                              </w:tc>
                              <w:tc>
                                <w:tcPr>
                                  <w:tcW w:w="4500" w:type="dxa"/>
                                  <w:vAlign w:val="center"/>
                                </w:tcPr>
                                <w:p w14:paraId="10539E59" w14:textId="0EC1156C" w:rsidR="00ED64CF" w:rsidRPr="00804074" w:rsidRDefault="00ED64CF" w:rsidP="00917D58">
                                  <w:pPr>
                                    <w:pStyle w:val="TMGTableText"/>
                                  </w:pPr>
                                  <w:r w:rsidRPr="00804074">
                                    <w:t>Major Collector</w:t>
                                  </w:r>
                                </w:p>
                              </w:tc>
                            </w:tr>
                            <w:tr w:rsidR="00ED64CF" w14:paraId="691E1037" w14:textId="77777777" w:rsidTr="005634C1">
                              <w:tc>
                                <w:tcPr>
                                  <w:tcW w:w="805" w:type="dxa"/>
                                  <w:vAlign w:val="center"/>
                                </w:tcPr>
                                <w:p w14:paraId="576F5150" w14:textId="205F8895" w:rsidR="00ED64CF" w:rsidRPr="00C251E9" w:rsidRDefault="00ED64CF" w:rsidP="00917D58">
                                  <w:pPr>
                                    <w:pStyle w:val="TMGTableText"/>
                                  </w:pPr>
                                  <w:r w:rsidRPr="00804074">
                                    <w:t>6</w:t>
                                  </w:r>
                                </w:p>
                              </w:tc>
                              <w:tc>
                                <w:tcPr>
                                  <w:tcW w:w="4500" w:type="dxa"/>
                                  <w:vAlign w:val="center"/>
                                </w:tcPr>
                                <w:p w14:paraId="648F50DD" w14:textId="0C078663" w:rsidR="00ED64CF" w:rsidRPr="00C251E9" w:rsidRDefault="00ED64CF" w:rsidP="00917D58">
                                  <w:pPr>
                                    <w:pStyle w:val="TMGTableText"/>
                                  </w:pPr>
                                  <w:r w:rsidRPr="00804074">
                                    <w:t>Minor Collector</w:t>
                                  </w:r>
                                </w:p>
                              </w:tc>
                            </w:tr>
                            <w:tr w:rsidR="00ED64CF" w14:paraId="70AE3A1F" w14:textId="77777777" w:rsidTr="005634C1">
                              <w:tc>
                                <w:tcPr>
                                  <w:tcW w:w="805" w:type="dxa"/>
                                  <w:vAlign w:val="center"/>
                                </w:tcPr>
                                <w:p w14:paraId="4160F754" w14:textId="17BB37AB" w:rsidR="00ED64CF" w:rsidRPr="00C251E9" w:rsidRDefault="00ED64CF" w:rsidP="00917D58">
                                  <w:pPr>
                                    <w:pStyle w:val="TMGTableText"/>
                                  </w:pPr>
                                  <w:r w:rsidRPr="00804074">
                                    <w:t>7</w:t>
                                  </w:r>
                                </w:p>
                              </w:tc>
                              <w:tc>
                                <w:tcPr>
                                  <w:tcW w:w="4500" w:type="dxa"/>
                                  <w:vAlign w:val="center"/>
                                </w:tcPr>
                                <w:p w14:paraId="3FFD3A31" w14:textId="04535B57" w:rsidR="00ED64CF" w:rsidRPr="00C251E9" w:rsidRDefault="00ED64CF" w:rsidP="00917D58">
                                  <w:pPr>
                                    <w:pStyle w:val="TMGTableText"/>
                                  </w:pPr>
                                  <w:r w:rsidRPr="00804074">
                                    <w:t>Local</w:t>
                                  </w:r>
                                </w:p>
                              </w:tc>
                            </w:tr>
                          </w:tbl>
                          <w:p w14:paraId="1B44B22C" w14:textId="38732F8A" w:rsidR="00ED64CF" w:rsidRDefault="00ED64CF" w:rsidP="00ED64CF">
                            <w:pPr>
                              <w:pStyle w:val="TableindentTable"/>
                              <w:ind w:left="0"/>
                            </w:pPr>
                            <w:r>
                              <w:t xml:space="preserve">* Note that the Micromobility Station record has two additional functional classification options (i.e., 8 and 9). See </w:t>
                            </w:r>
                            <w:r w:rsidR="008815FB">
                              <w:fldChar w:fldCharType="begin"/>
                            </w:r>
                            <w:r w:rsidR="008815FB">
                              <w:instrText xml:space="preserve"> REF _Ref113280390 \h </w:instrText>
                            </w:r>
                            <w:r w:rsidR="008815FB">
                              <w:fldChar w:fldCharType="separate"/>
                            </w:r>
                            <w:r w:rsidR="00FC0E95" w:rsidRPr="00521214">
                              <w:t xml:space="preserve">Table </w:t>
                            </w:r>
                            <w:r w:rsidR="00FC0E95">
                              <w:rPr>
                                <w:noProof/>
                              </w:rPr>
                              <w:t>4</w:t>
                            </w:r>
                            <w:r w:rsidR="00FC0E95">
                              <w:noBreakHyphen/>
                            </w:r>
                            <w:r w:rsidR="00FC0E95">
                              <w:rPr>
                                <w:noProof/>
                              </w:rPr>
                              <w:t>37</w:t>
                            </w:r>
                            <w:r w:rsidR="008815FB">
                              <w:fldChar w:fldCharType="end"/>
                            </w:r>
                            <w:r w:rsidR="008815FB">
                              <w:t>.</w:t>
                            </w:r>
                          </w:p>
                          <w:p w14:paraId="6D053499" w14:textId="77777777" w:rsidR="00ED64CF" w:rsidRDefault="00ED64CF" w:rsidP="00ED64CF"/>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E6BE2BB" id="_x0000_s1119" type="#_x0000_t202" style="position:absolute;left:0;text-align:left;margin-left:201.3pt;margin-top:30.9pt;width:270.6pt;height:164.3pt;z-index:251721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" stroked="f">
                <v:textbox inset="0,0,0,0">
                  <w:txbxContent>
                    <w:p w14:paraId="095AC6BF" w14:textId="60B96F1A" w:rsidR="00ED64CF" w:rsidRDefault="00ED64CF" w:rsidP="00ED64CF">
                      <w:pPr>
                        <w:pStyle w:val="TMGTableCaption"/>
                        <w:spacing w:before="0"/>
                      </w:pPr>
                      <w:bookmarkStart w:id="2856" w:name="_Ref116025375"/>
                      <w:bookmarkStart w:id="2857" w:name="_Toc120631154"/>
                      <w:r>
                        <w:t xml:space="preserve">Table </w:t>
                      </w:r>
                      <w:fldSimple w:instr=" STYLEREF 1 \s ">
                        <w:r w:rsidR="00FC0E95">
                          <w:rPr>
                            <w:noProof/>
                          </w:rPr>
                          <w:t>4</w:t>
                        </w:r>
                      </w:fldSimple>
                      <w:r>
                        <w:noBreakHyphen/>
                      </w:r>
                      <w:fldSimple w:instr=" SEQ Table \* ARABIC \s 1 ">
                        <w:r w:rsidR="00FC0E95">
                          <w:rPr>
                            <w:noProof/>
                          </w:rPr>
                          <w:t>6</w:t>
                        </w:r>
                      </w:fldSimple>
                      <w:bookmarkEnd w:id="2856"/>
                      <w:r w:rsidR="007F2D82">
                        <w:t>.</w:t>
                      </w:r>
                      <w:r>
                        <w:t xml:space="preserve"> </w:t>
                      </w:r>
                      <w:r w:rsidRPr="00C13C9F">
                        <w:t>Functional Classification</w:t>
                      </w:r>
                      <w:r>
                        <w:t> </w:t>
                      </w:r>
                      <w:r w:rsidRPr="00C13C9F">
                        <w:t>Codes</w:t>
                      </w:r>
                      <w:bookmarkEnd w:id="2857"/>
                    </w:p>
                    <w:tbl>
                      <w:tblPr>
                        <w:tblStyle w:val="TableGrid"/>
                        <w:tblW w:w="5305" w:type="dxa"/>
                        <w:tblCellMar>
                          <w:left w:w="86" w:type="dxa"/>
                          <w:right w:w="86" w:type="dxa"/>
                        </w:tblCellMar>
                        <w:tblLook w:val="04A0" w:firstRow="1" w:lastRow="0" w:firstColumn="1" w:lastColumn="0" w:noHBand="0" w:noVBand="1"/>
                      </w:tblPr>
                      <w:tblGrid>
                        <w:gridCol w:w="805"/>
                        <w:gridCol w:w="4500"/>
                      </w:tblGrid>
                      <w:tr w:rsidR="00ED64CF" w14:paraId="788B7ED1" w14:textId="77777777" w:rsidTr="005634C1">
                        <w:tc>
                          <w:tcPr>
                            <w:tcW w:w="805" w:type="dxa"/>
                            <w:tcBorders>
                              <w:right w:val="single" w:sz="4" w:space="0" w:color="FFFFFF" w:themeColor="background1"/>
                            </w:tcBorders>
                            <w:shd w:val="clear" w:color="auto" w:fill="1F3864"/>
                          </w:tcPr>
                          <w:p w14:paraId="6616EA84" w14:textId="1F876495" w:rsidR="00ED64CF" w:rsidRDefault="00ED64CF" w:rsidP="0017389B">
                            <w:pPr>
                              <w:pStyle w:val="TMGTableTextHeader"/>
                            </w:pPr>
                            <w:r w:rsidRPr="00804074">
                              <w:rPr>
                                <w:rFonts w:eastAsiaTheme="minorEastAsia"/>
                              </w:rPr>
                              <w:t>Code</w:t>
                            </w:r>
                          </w:p>
                        </w:tc>
                        <w:tc>
                          <w:tcPr>
                            <w:tcW w:w="4500" w:type="dxa"/>
                            <w:tcBorders>
                              <w:left w:val="single" w:sz="4" w:space="0" w:color="FFFFFF" w:themeColor="background1"/>
                            </w:tcBorders>
                            <w:shd w:val="clear" w:color="auto" w:fill="1F3864"/>
                          </w:tcPr>
                          <w:p w14:paraId="182FB04F" w14:textId="282A66D8" w:rsidR="00ED64CF" w:rsidRDefault="00ED64CF" w:rsidP="0017389B">
                            <w:pPr>
                              <w:pStyle w:val="TMGTableTextHeader"/>
                            </w:pPr>
                            <w:r w:rsidRPr="00804074">
                              <w:rPr>
                                <w:rFonts w:eastAsiaTheme="minorEastAsia"/>
                              </w:rPr>
                              <w:t>Functional Classification</w:t>
                            </w:r>
                            <w:r>
                              <w:rPr>
                                <w:rFonts w:eastAsiaTheme="minorEastAsia"/>
                              </w:rPr>
                              <w:t>*</w:t>
                            </w:r>
                          </w:p>
                        </w:tc>
                      </w:tr>
                      <w:tr w:rsidR="00ED64CF" w14:paraId="43EC330D" w14:textId="77777777" w:rsidTr="005634C1">
                        <w:tc>
                          <w:tcPr>
                            <w:tcW w:w="805" w:type="dxa"/>
                            <w:vAlign w:val="center"/>
                          </w:tcPr>
                          <w:p w14:paraId="1A8D1A01" w14:textId="6FF47FBB" w:rsidR="00ED64CF" w:rsidRPr="00C251E9" w:rsidRDefault="00ED64CF" w:rsidP="00917D58">
                            <w:pPr>
                              <w:pStyle w:val="TMGTableText"/>
                            </w:pPr>
                            <w:r w:rsidRPr="00804074">
                              <w:t>1</w:t>
                            </w:r>
                          </w:p>
                        </w:tc>
                        <w:tc>
                          <w:tcPr>
                            <w:tcW w:w="4500" w:type="dxa"/>
                            <w:vAlign w:val="center"/>
                          </w:tcPr>
                          <w:p w14:paraId="322B586E" w14:textId="11D52791" w:rsidR="00ED64CF" w:rsidRPr="00C251E9" w:rsidRDefault="00ED64CF" w:rsidP="00917D58">
                            <w:pPr>
                              <w:pStyle w:val="TMGTableText"/>
                            </w:pPr>
                            <w:r w:rsidRPr="00804074">
                              <w:t>Interstate</w:t>
                            </w:r>
                          </w:p>
                        </w:tc>
                      </w:tr>
                      <w:tr w:rsidR="00ED64CF" w14:paraId="6A8C9C72" w14:textId="77777777" w:rsidTr="005634C1">
                        <w:tc>
                          <w:tcPr>
                            <w:tcW w:w="805" w:type="dxa"/>
                            <w:vAlign w:val="center"/>
                          </w:tcPr>
                          <w:p w14:paraId="4B10C8B3" w14:textId="395B9841" w:rsidR="00ED64CF" w:rsidRPr="00804074" w:rsidRDefault="00ED64CF" w:rsidP="00917D58">
                            <w:pPr>
                              <w:pStyle w:val="TMGTableText"/>
                            </w:pPr>
                            <w:r w:rsidRPr="00804074">
                              <w:t>2</w:t>
                            </w:r>
                          </w:p>
                        </w:tc>
                        <w:tc>
                          <w:tcPr>
                            <w:tcW w:w="4500" w:type="dxa"/>
                            <w:vAlign w:val="center"/>
                          </w:tcPr>
                          <w:p w14:paraId="5DF0662C" w14:textId="09ECC065" w:rsidR="00ED64CF" w:rsidRPr="00804074" w:rsidRDefault="00ED64CF" w:rsidP="00917D58">
                            <w:pPr>
                              <w:pStyle w:val="TMGTableText"/>
                            </w:pPr>
                            <w:r w:rsidRPr="00804074">
                              <w:t>Principal Arterial – Other Freeways and Expressways</w:t>
                            </w:r>
                          </w:p>
                        </w:tc>
                      </w:tr>
                      <w:tr w:rsidR="00ED64CF" w14:paraId="3E57F393" w14:textId="77777777" w:rsidTr="005634C1">
                        <w:tc>
                          <w:tcPr>
                            <w:tcW w:w="805" w:type="dxa"/>
                            <w:vAlign w:val="center"/>
                          </w:tcPr>
                          <w:p w14:paraId="5E688F80" w14:textId="5A9DA0CE" w:rsidR="00ED64CF" w:rsidRPr="00804074" w:rsidRDefault="00ED64CF" w:rsidP="00917D58">
                            <w:pPr>
                              <w:pStyle w:val="TMGTableText"/>
                            </w:pPr>
                            <w:r w:rsidRPr="00804074">
                              <w:t>3</w:t>
                            </w:r>
                          </w:p>
                        </w:tc>
                        <w:tc>
                          <w:tcPr>
                            <w:tcW w:w="4500" w:type="dxa"/>
                            <w:vAlign w:val="center"/>
                          </w:tcPr>
                          <w:p w14:paraId="6C561B08" w14:textId="6C2EEEED" w:rsidR="00ED64CF" w:rsidRPr="00804074" w:rsidRDefault="00ED64CF" w:rsidP="00917D58">
                            <w:pPr>
                              <w:pStyle w:val="TMGTableText"/>
                            </w:pPr>
                            <w:r w:rsidRPr="00804074">
                              <w:t>Principal Arterial – Other</w:t>
                            </w:r>
                          </w:p>
                        </w:tc>
                      </w:tr>
                      <w:tr w:rsidR="00ED64CF" w14:paraId="087CC389" w14:textId="77777777" w:rsidTr="005634C1">
                        <w:tc>
                          <w:tcPr>
                            <w:tcW w:w="805" w:type="dxa"/>
                            <w:vAlign w:val="center"/>
                          </w:tcPr>
                          <w:p w14:paraId="3201D2AE" w14:textId="5F90F01C" w:rsidR="00ED64CF" w:rsidRPr="00804074" w:rsidRDefault="00ED64CF" w:rsidP="00917D58">
                            <w:pPr>
                              <w:pStyle w:val="TMGTableText"/>
                            </w:pPr>
                            <w:r w:rsidRPr="00804074">
                              <w:t>4</w:t>
                            </w:r>
                          </w:p>
                        </w:tc>
                        <w:tc>
                          <w:tcPr>
                            <w:tcW w:w="4500" w:type="dxa"/>
                            <w:vAlign w:val="center"/>
                          </w:tcPr>
                          <w:p w14:paraId="0AFC34A8" w14:textId="56583F4F" w:rsidR="00ED64CF" w:rsidRPr="00804074" w:rsidRDefault="00ED64CF" w:rsidP="00917D58">
                            <w:pPr>
                              <w:pStyle w:val="TMGTableText"/>
                            </w:pPr>
                            <w:r w:rsidRPr="00804074">
                              <w:t>Minor Arterial</w:t>
                            </w:r>
                          </w:p>
                        </w:tc>
                      </w:tr>
                      <w:tr w:rsidR="00ED64CF" w14:paraId="72EE640B" w14:textId="77777777" w:rsidTr="005634C1">
                        <w:tc>
                          <w:tcPr>
                            <w:tcW w:w="805" w:type="dxa"/>
                            <w:vAlign w:val="center"/>
                          </w:tcPr>
                          <w:p w14:paraId="44E13FA6" w14:textId="12818B13" w:rsidR="00ED64CF" w:rsidRPr="00804074" w:rsidRDefault="00ED64CF" w:rsidP="00917D58">
                            <w:pPr>
                              <w:pStyle w:val="TMGTableText"/>
                            </w:pPr>
                            <w:r w:rsidRPr="00804074">
                              <w:t>5</w:t>
                            </w:r>
                          </w:p>
                        </w:tc>
                        <w:tc>
                          <w:tcPr>
                            <w:tcW w:w="4500" w:type="dxa"/>
                            <w:vAlign w:val="center"/>
                          </w:tcPr>
                          <w:p w14:paraId="10539E59" w14:textId="0EC1156C" w:rsidR="00ED64CF" w:rsidRPr="00804074" w:rsidRDefault="00ED64CF" w:rsidP="00917D58">
                            <w:pPr>
                              <w:pStyle w:val="TMGTableText"/>
                            </w:pPr>
                            <w:r w:rsidRPr="00804074">
                              <w:t>Major Collector</w:t>
                            </w:r>
                          </w:p>
                        </w:tc>
                      </w:tr>
                      <w:tr w:rsidR="00ED64CF" w14:paraId="691E1037" w14:textId="77777777" w:rsidTr="005634C1">
                        <w:tc>
                          <w:tcPr>
                            <w:tcW w:w="805" w:type="dxa"/>
                            <w:vAlign w:val="center"/>
                          </w:tcPr>
                          <w:p w14:paraId="576F5150" w14:textId="205F8895" w:rsidR="00ED64CF" w:rsidRPr="00C251E9" w:rsidRDefault="00ED64CF" w:rsidP="00917D58">
                            <w:pPr>
                              <w:pStyle w:val="TMGTableText"/>
                            </w:pPr>
                            <w:r w:rsidRPr="00804074">
                              <w:t>6</w:t>
                            </w:r>
                          </w:p>
                        </w:tc>
                        <w:tc>
                          <w:tcPr>
                            <w:tcW w:w="4500" w:type="dxa"/>
                            <w:vAlign w:val="center"/>
                          </w:tcPr>
                          <w:p w14:paraId="648F50DD" w14:textId="0C078663" w:rsidR="00ED64CF" w:rsidRPr="00C251E9" w:rsidRDefault="00ED64CF" w:rsidP="00917D58">
                            <w:pPr>
                              <w:pStyle w:val="TMGTableText"/>
                            </w:pPr>
                            <w:r w:rsidRPr="00804074">
                              <w:t>Minor Collector</w:t>
                            </w:r>
                          </w:p>
                        </w:tc>
                      </w:tr>
                      <w:tr w:rsidR="00ED64CF" w14:paraId="70AE3A1F" w14:textId="77777777" w:rsidTr="005634C1">
                        <w:tc>
                          <w:tcPr>
                            <w:tcW w:w="805" w:type="dxa"/>
                            <w:vAlign w:val="center"/>
                          </w:tcPr>
                          <w:p w14:paraId="4160F754" w14:textId="17BB37AB" w:rsidR="00ED64CF" w:rsidRPr="00C251E9" w:rsidRDefault="00ED64CF" w:rsidP="00917D58">
                            <w:pPr>
                              <w:pStyle w:val="TMGTableText"/>
                            </w:pPr>
                            <w:r w:rsidRPr="00804074">
                              <w:t>7</w:t>
                            </w:r>
                          </w:p>
                        </w:tc>
                        <w:tc>
                          <w:tcPr>
                            <w:tcW w:w="4500" w:type="dxa"/>
                            <w:vAlign w:val="center"/>
                          </w:tcPr>
                          <w:p w14:paraId="3FFD3A31" w14:textId="04535B57" w:rsidR="00ED64CF" w:rsidRPr="00C251E9" w:rsidRDefault="00ED64CF" w:rsidP="00917D58">
                            <w:pPr>
                              <w:pStyle w:val="TMGTableText"/>
                            </w:pPr>
                            <w:r w:rsidRPr="00804074">
                              <w:t>Local</w:t>
                            </w:r>
                          </w:p>
                        </w:tc>
                      </w:tr>
                    </w:tbl>
                    <w:p w14:paraId="1B44B22C" w14:textId="38732F8A" w:rsidR="00ED64CF" w:rsidRDefault="00ED64CF" w:rsidP="00ED64CF">
                      <w:pPr>
                        <w:pStyle w:val="TableindentTable"/>
                        <w:ind w:left="0"/>
                      </w:pPr>
                      <w:r>
                        <w:t xml:space="preserve">* Note that the Micromobility Station record has two additional functional classification options (i.e., 8 and 9). See </w:t>
                      </w:r>
                      <w:r w:rsidR="008815FB">
                        <w:fldChar w:fldCharType="begin"/>
                      </w:r>
                      <w:r w:rsidR="008815FB">
                        <w:instrText xml:space="preserve"> REF _Ref113280390 \h </w:instrText>
                      </w:r>
                      <w:r w:rsidR="008815FB">
                        <w:fldChar w:fldCharType="separate"/>
                      </w:r>
                      <w:r w:rsidR="00FC0E95" w:rsidRPr="00521214">
                        <w:t xml:space="preserve">Table </w:t>
                      </w:r>
                      <w:r w:rsidR="00FC0E95">
                        <w:rPr>
                          <w:noProof/>
                        </w:rPr>
                        <w:t>4</w:t>
                      </w:r>
                      <w:r w:rsidR="00FC0E95">
                        <w:noBreakHyphen/>
                      </w:r>
                      <w:r w:rsidR="00FC0E95">
                        <w:rPr>
                          <w:noProof/>
                        </w:rPr>
                        <w:t>37</w:t>
                      </w:r>
                      <w:r w:rsidR="008815FB">
                        <w:fldChar w:fldCharType="end"/>
                      </w:r>
                      <w:r w:rsidR="008815FB">
                        <w:t>.</w:t>
                      </w:r>
                    </w:p>
                    <w:p w14:paraId="6D053499" w14:textId="77777777" w:rsidR="00ED64CF" w:rsidRDefault="00ED64CF" w:rsidP="00ED64CF"/>
                  </w:txbxContent>
                </v:textbox>
                <w10:wrap type="square" anchorx="margin"/>
              </v:shape>
            </w:pict>
          </mc:Fallback>
        </mc:AlternateContent>
      </w:r>
      <w:r w:rsidR="00E81257" w:rsidRPr="000D0FDE">
        <w:t xml:space="preserve">Figure </w:t>
      </w:r>
      <w:fldSimple w:instr=" STYLEREF 1 \s ">
        <w:r w:rsidR="00C07DF9">
          <w:rPr>
            <w:noProof/>
          </w:rPr>
          <w:t>4</w:t>
        </w:r>
      </w:fldSimple>
      <w:r w:rsidR="00E81257">
        <w:noBreakHyphen/>
      </w:r>
      <w:fldSimple w:instr=" SEQ Figure \* ARABIC \s 1 ">
        <w:r w:rsidR="00C07DF9">
          <w:rPr>
            <w:noProof/>
          </w:rPr>
          <w:t>1</w:t>
        </w:r>
      </w:fldSimple>
      <w:bookmarkEnd w:id="2850"/>
      <w:r w:rsidR="007F2D82">
        <w:t>.</w:t>
      </w:r>
      <w:r w:rsidR="00E81257" w:rsidRPr="000D0FDE">
        <w:t xml:space="preserve"> Direction </w:t>
      </w:r>
      <w:r w:rsidR="00E81257">
        <w:t>a</w:t>
      </w:r>
      <w:r w:rsidR="00E81257" w:rsidRPr="000D0FDE">
        <w:t>nd Lane Code Example</w:t>
      </w:r>
      <w:bookmarkEnd w:id="2851"/>
      <w:bookmarkEnd w:id="2852"/>
      <w:bookmarkEnd w:id="2853"/>
    </w:p>
    <w:p w14:paraId="4E8FA0F3" w14:textId="424E173C" w:rsidR="009B7AED" w:rsidRDefault="009B7AED">
      <w:pPr>
        <w:pStyle w:val="ListCS1BulletsandNumbering"/>
        <w:numPr>
          <w:ilvl w:val="0"/>
          <w:numId w:val="44"/>
        </w:numPr>
        <w:spacing w:before="0" w:after="120"/>
        <w:ind w:left="648"/>
      </w:pPr>
      <w:r w:rsidRPr="00E81257">
        <w:t>Year</w:t>
      </w:r>
      <w:r>
        <w:rPr>
          <w:rStyle w:val="Bold"/>
        </w:rPr>
        <w:t xml:space="preserve"> of Data </w:t>
      </w:r>
      <w:r>
        <w:t xml:space="preserve">– </w:t>
      </w:r>
      <w:r>
        <w:rPr>
          <w:rStyle w:val="bolditalic"/>
        </w:rPr>
        <w:t>Required</w:t>
      </w:r>
    </w:p>
    <w:p w14:paraId="771E6649" w14:textId="7CD27029" w:rsidR="009B7AED" w:rsidRDefault="009B7AED" w:rsidP="00B35A5D">
      <w:pPr>
        <w:pStyle w:val="BulletcontinuedBulletsandNumbering"/>
        <w:tabs>
          <w:tab w:val="clear" w:pos="1440"/>
        </w:tabs>
        <w:ind w:left="648"/>
      </w:pPr>
      <w:r>
        <w:t>The four-digit year in which the data were collected.</w:t>
      </w:r>
      <w:r w:rsidR="004D4172">
        <w:t xml:space="preserve"> </w:t>
      </w:r>
    </w:p>
    <w:p w14:paraId="644700D1" w14:textId="77777777" w:rsidR="009B7AED" w:rsidRDefault="009B7AED">
      <w:pPr>
        <w:pStyle w:val="ListCS1BulletsandNumbering"/>
        <w:numPr>
          <w:ilvl w:val="0"/>
          <w:numId w:val="44"/>
        </w:numPr>
        <w:spacing w:before="0" w:after="120"/>
        <w:ind w:left="648"/>
      </w:pPr>
      <w:r>
        <w:t xml:space="preserve">Functional Classification – </w:t>
      </w:r>
      <w:r>
        <w:rPr>
          <w:i/>
        </w:rPr>
        <w:t>Required</w:t>
      </w:r>
    </w:p>
    <w:p w14:paraId="0D5E24FD" w14:textId="4B124AA1" w:rsidR="005634C1" w:rsidRDefault="009B7AED" w:rsidP="00B35A5D">
      <w:pPr>
        <w:pStyle w:val="BulletcontinuedBulletsandNumbering"/>
        <w:tabs>
          <w:tab w:val="clear" w:pos="1440"/>
        </w:tabs>
        <w:ind w:left="648"/>
      </w:pPr>
      <w:r>
        <w:t>One of the functional classification codes listed in</w:t>
      </w:r>
      <w:r w:rsidR="008815FB">
        <w:t xml:space="preserve"> </w:t>
      </w:r>
      <w:r w:rsidR="008815FB">
        <w:fldChar w:fldCharType="begin"/>
      </w:r>
      <w:r w:rsidR="008815FB">
        <w:instrText xml:space="preserve"> REF _Ref116025375 \h </w:instrText>
      </w:r>
      <w:r w:rsidR="008815FB">
        <w:fldChar w:fldCharType="separate"/>
      </w:r>
      <w:r w:rsidR="00C07DF9">
        <w:t xml:space="preserve">Table </w:t>
      </w:r>
      <w:r w:rsidR="00C07DF9">
        <w:rPr>
          <w:noProof/>
        </w:rPr>
        <w:t>4</w:t>
      </w:r>
      <w:r w:rsidR="00C07DF9">
        <w:noBreakHyphen/>
      </w:r>
      <w:r w:rsidR="00C07DF9">
        <w:rPr>
          <w:noProof/>
        </w:rPr>
        <w:t>6</w:t>
      </w:r>
      <w:r w:rsidR="008815FB">
        <w:fldChar w:fldCharType="end"/>
      </w:r>
      <w:r>
        <w:t xml:space="preserve"> concatenated with either an “R” for rural or “U” for urban. For example, a code of 2R indicates a Rural Principal Arterial – Other Freeways and Expressways. </w:t>
      </w:r>
    </w:p>
    <w:p w14:paraId="5B425506" w14:textId="77777777" w:rsidR="005634C1" w:rsidRDefault="005634C1">
      <w:pPr>
        <w:widowControl/>
        <w:suppressAutoHyphens w:val="0"/>
        <w:autoSpaceDE/>
        <w:autoSpaceDN/>
        <w:adjustRightInd/>
        <w:spacing w:after="160" w:line="259" w:lineRule="auto"/>
        <w:jc w:val="left"/>
        <w:textAlignment w:val="auto"/>
        <w:rPr>
          <w:color w:val="auto"/>
        </w:rPr>
      </w:pPr>
      <w:r>
        <w:br w:type="page"/>
      </w:r>
    </w:p>
    <w:p w14:paraId="40D9173C" w14:textId="77777777" w:rsidR="009B7AED" w:rsidRDefault="009B7AED">
      <w:pPr>
        <w:pStyle w:val="ListCS1BulletsandNumbering"/>
        <w:numPr>
          <w:ilvl w:val="0"/>
          <w:numId w:val="44"/>
        </w:numPr>
        <w:spacing w:before="0" w:after="120"/>
        <w:ind w:left="648"/>
      </w:pPr>
      <w:r>
        <w:lastRenderedPageBreak/>
        <w:t xml:space="preserve">Number of Lanes in Direction Indicated – </w:t>
      </w:r>
      <w:r>
        <w:rPr>
          <w:rStyle w:val="Italic"/>
          <w:iCs/>
        </w:rPr>
        <w:t>Required</w:t>
      </w:r>
    </w:p>
    <w:p w14:paraId="635D1E2E" w14:textId="77777777" w:rsidR="009B7AED" w:rsidRDefault="009B7AED" w:rsidP="00B35A5D">
      <w:pPr>
        <w:pStyle w:val="BulletcontinuedBulletsandNumbering"/>
        <w:tabs>
          <w:tab w:val="clear" w:pos="1440"/>
        </w:tabs>
        <w:ind w:left="648"/>
      </w:pPr>
      <w:r>
        <w:t>The number of lanes in one direction at the site regardless of the number of lanes being monitored. Use 9 if there are more than eight lanes.</w:t>
      </w:r>
    </w:p>
    <w:p w14:paraId="065BAC32" w14:textId="063EED8A" w:rsidR="009B7AED" w:rsidRDefault="009B7AED">
      <w:pPr>
        <w:pStyle w:val="ListCS1BulletsandNumbering"/>
        <w:numPr>
          <w:ilvl w:val="0"/>
          <w:numId w:val="44"/>
        </w:numPr>
        <w:spacing w:before="0" w:after="120"/>
        <w:ind w:left="648"/>
      </w:pPr>
      <w:r>
        <w:t xml:space="preserve">Vehicle Classification Groupings – </w:t>
      </w:r>
      <w:r>
        <w:rPr>
          <w:rStyle w:val="Italic"/>
          <w:iCs/>
        </w:rPr>
        <w:t>Required/Optional</w:t>
      </w:r>
    </w:p>
    <w:p w14:paraId="05E9B9B5" w14:textId="0C5EB990" w:rsidR="009B7AED" w:rsidRDefault="009B7AED" w:rsidP="00B35A5D">
      <w:pPr>
        <w:pStyle w:val="BulletcontinuedBulletsandNumbering"/>
        <w:tabs>
          <w:tab w:val="clear" w:pos="1440"/>
        </w:tabs>
        <w:ind w:left="648"/>
      </w:pPr>
      <w:r>
        <w:t xml:space="preserve">The total number of classes in the vehicle classification system being used as well as how vehicles are grouped together in those classes in relation to the 13 FHWA categories. The recommended default value is 13, which indicates that the standard FHWA 13 vehicle category classification </w:t>
      </w:r>
      <w:r w:rsidRPr="00D96263">
        <w:t xml:space="preserve">system (see Appendix </w:t>
      </w:r>
      <w:r>
        <w:t>A</w:t>
      </w:r>
      <w:r w:rsidRPr="00D96263">
        <w:t>) is being used</w:t>
      </w:r>
      <w:r>
        <w:t xml:space="preserve">. Other vehicle classification systems may be based on the HPMS or specific State classification schema defined in the State’s Traffic Monitoring System (TMS) documentation. The value determines the number of count fields needed on the Vehicle Classification record (see Section 4.5). In </w:t>
      </w:r>
      <w:fldSimple w:instr=" REF _Ref111022838 ">
        <w:r w:rsidR="00C07DF9">
          <w:t xml:space="preserve">Table </w:t>
        </w:r>
        <w:r w:rsidR="00C07DF9">
          <w:rPr>
            <w:noProof/>
          </w:rPr>
          <w:t>4</w:t>
        </w:r>
        <w:r w:rsidR="00C07DF9">
          <w:noBreakHyphen/>
        </w:r>
        <w:r w:rsidR="00C07DF9">
          <w:rPr>
            <w:noProof/>
          </w:rPr>
          <w:t>7</w:t>
        </w:r>
      </w:fldSimple>
      <w:r>
        <w:t>, the numbers in parentheses refer to the 13 FHWA classes and describe how the FHWA classes relate to the classes being reported.</w:t>
      </w:r>
    </w:p>
    <w:p w14:paraId="7286096D" w14:textId="0930BE92" w:rsidR="009B7AED" w:rsidRDefault="009B7AED" w:rsidP="000F2A7A">
      <w:pPr>
        <w:pStyle w:val="TMGTableCaption"/>
      </w:pPr>
      <w:bookmarkStart w:id="2858" w:name="_Ref111022838"/>
      <w:bookmarkStart w:id="2859" w:name="_Toc113282512"/>
      <w:bookmarkStart w:id="2860" w:name="_Toc114474849"/>
      <w:bookmarkStart w:id="2861" w:name="_Toc120631155"/>
      <w:r>
        <w:t xml:space="preserve">Table </w:t>
      </w:r>
      <w:fldSimple w:instr=" STYLEREF 1 \s ">
        <w:r w:rsidR="00C07DF9">
          <w:rPr>
            <w:noProof/>
          </w:rPr>
          <w:t>4</w:t>
        </w:r>
      </w:fldSimple>
      <w:r>
        <w:noBreakHyphen/>
      </w:r>
      <w:fldSimple w:instr=" SEQ Table \* ARABIC \s 1 ">
        <w:r w:rsidR="00C07DF9">
          <w:rPr>
            <w:noProof/>
          </w:rPr>
          <w:t>7</w:t>
        </w:r>
      </w:fldSimple>
      <w:bookmarkEnd w:id="2858"/>
      <w:r w:rsidR="00627DD7">
        <w:t>.</w:t>
      </w:r>
      <w:r>
        <w:t xml:space="preserve"> </w:t>
      </w:r>
      <w:r w:rsidRPr="00AE1C2A">
        <w:t>Values Corresponding to Vehicle Classification Groupings</w:t>
      </w:r>
      <w:bookmarkEnd w:id="2859"/>
      <w:bookmarkEnd w:id="2860"/>
      <w:bookmarkEnd w:id="2861"/>
    </w:p>
    <w:tbl>
      <w:tblPr>
        <w:tblStyle w:val="TableGrid"/>
        <w:tblW w:w="8010" w:type="dxa"/>
        <w:jc w:val="center"/>
        <w:tblCellMar>
          <w:left w:w="86" w:type="dxa"/>
          <w:right w:w="86" w:type="dxa"/>
        </w:tblCellMar>
        <w:tblLook w:val="04A0" w:firstRow="1" w:lastRow="0" w:firstColumn="1" w:lastColumn="0" w:noHBand="0" w:noVBand="1"/>
      </w:tblPr>
      <w:tblGrid>
        <w:gridCol w:w="1540"/>
        <w:gridCol w:w="1880"/>
        <w:gridCol w:w="4590"/>
      </w:tblGrid>
      <w:tr w:rsidR="005634C1" w14:paraId="5EEA57F3" w14:textId="77777777" w:rsidTr="00F27118">
        <w:trPr>
          <w:tblHeader/>
          <w:jc w:val="center"/>
        </w:trPr>
        <w:tc>
          <w:tcPr>
            <w:tcW w:w="1540" w:type="dxa"/>
            <w:tcBorders>
              <w:right w:val="single" w:sz="4" w:space="0" w:color="FFFFFF" w:themeColor="background1"/>
            </w:tcBorders>
            <w:shd w:val="clear" w:color="auto" w:fill="1F3864"/>
            <w:vAlign w:val="center"/>
          </w:tcPr>
          <w:p w14:paraId="60DE7717" w14:textId="2B508047" w:rsidR="005634C1" w:rsidRDefault="005634C1" w:rsidP="0017389B">
            <w:pPr>
              <w:pStyle w:val="TMGTableTextHeader"/>
            </w:pPr>
            <w:r w:rsidRPr="00F43125">
              <w:t xml:space="preserve">Value </w:t>
            </w:r>
          </w:p>
        </w:tc>
        <w:tc>
          <w:tcPr>
            <w:tcW w:w="1880" w:type="dxa"/>
            <w:tcBorders>
              <w:left w:val="single" w:sz="4" w:space="0" w:color="FFFFFF" w:themeColor="background1"/>
              <w:right w:val="single" w:sz="4" w:space="0" w:color="FFFFFF" w:themeColor="background1"/>
            </w:tcBorders>
            <w:shd w:val="clear" w:color="auto" w:fill="1F3864"/>
            <w:vAlign w:val="center"/>
          </w:tcPr>
          <w:p w14:paraId="518B9AE6" w14:textId="4A55F730" w:rsidR="005634C1" w:rsidRDefault="005634C1" w:rsidP="0017389B">
            <w:pPr>
              <w:pStyle w:val="TMGTableTextHeader"/>
              <w:rPr>
                <w:rFonts w:eastAsia="MS Mincho"/>
              </w:rPr>
            </w:pPr>
            <w:r>
              <w:t>Typology</w:t>
            </w:r>
          </w:p>
        </w:tc>
        <w:tc>
          <w:tcPr>
            <w:tcW w:w="4590" w:type="dxa"/>
            <w:tcBorders>
              <w:left w:val="single" w:sz="4" w:space="0" w:color="FFFFFF" w:themeColor="background1"/>
            </w:tcBorders>
            <w:shd w:val="clear" w:color="auto" w:fill="1F3864"/>
            <w:vAlign w:val="center"/>
          </w:tcPr>
          <w:p w14:paraId="5981AD83" w14:textId="5EF8CCA5" w:rsidR="005634C1" w:rsidRDefault="005634C1" w:rsidP="0017389B">
            <w:pPr>
              <w:pStyle w:val="TMGTableTextHeader"/>
            </w:pPr>
            <w:r w:rsidRPr="00F43125">
              <w:t>How Vehicles are Classified</w:t>
            </w:r>
          </w:p>
        </w:tc>
      </w:tr>
      <w:tr w:rsidR="004175E6" w14:paraId="14C2CA2E" w14:textId="77777777" w:rsidTr="006428F4">
        <w:trPr>
          <w:jc w:val="center"/>
        </w:trPr>
        <w:tc>
          <w:tcPr>
            <w:tcW w:w="1540" w:type="dxa"/>
            <w:vAlign w:val="center"/>
          </w:tcPr>
          <w:p w14:paraId="5F3CEB8E" w14:textId="3972C33D" w:rsidR="004175E6" w:rsidRPr="00F27118" w:rsidRDefault="004175E6" w:rsidP="006428F4">
            <w:pPr>
              <w:pStyle w:val="TMGTableText"/>
              <w:jc w:val="center"/>
              <w:rPr>
                <w:b/>
                <w:bCs/>
              </w:rPr>
            </w:pPr>
            <w:r w:rsidRPr="00F27118">
              <w:rPr>
                <w:b/>
                <w:bCs/>
              </w:rPr>
              <w:t>02</w:t>
            </w:r>
          </w:p>
        </w:tc>
        <w:tc>
          <w:tcPr>
            <w:tcW w:w="1880" w:type="dxa"/>
            <w:vAlign w:val="center"/>
          </w:tcPr>
          <w:p w14:paraId="3F257E1A" w14:textId="02B8C1F9" w:rsidR="004175E6" w:rsidRPr="004859C8" w:rsidRDefault="004175E6" w:rsidP="00F27118">
            <w:pPr>
              <w:pStyle w:val="TMGTableText"/>
            </w:pPr>
            <w:r w:rsidRPr="00F43125">
              <w:t xml:space="preserve">Two </w:t>
            </w:r>
            <w:r>
              <w:t xml:space="preserve">class </w:t>
            </w:r>
            <w:r w:rsidRPr="00F43125">
              <w:t>groups</w:t>
            </w:r>
          </w:p>
        </w:tc>
        <w:tc>
          <w:tcPr>
            <w:tcW w:w="4590" w:type="dxa"/>
            <w:vAlign w:val="center"/>
          </w:tcPr>
          <w:p w14:paraId="18E38AD2" w14:textId="77777777" w:rsidR="004175E6" w:rsidRPr="00F43125" w:rsidRDefault="004175E6" w:rsidP="00917D58">
            <w:pPr>
              <w:pStyle w:val="TMGTableText"/>
            </w:pPr>
            <w:r w:rsidRPr="00F43125">
              <w:t>(classes 1-3) vehicles</w:t>
            </w:r>
          </w:p>
          <w:p w14:paraId="5A5BF494" w14:textId="6C514DB0" w:rsidR="004175E6" w:rsidRPr="00C251E9" w:rsidRDefault="004175E6" w:rsidP="00917D58">
            <w:pPr>
              <w:pStyle w:val="TMGTableText"/>
            </w:pPr>
            <w:r w:rsidRPr="00F43125">
              <w:t>(classes 4-13) vehicles</w:t>
            </w:r>
          </w:p>
        </w:tc>
      </w:tr>
      <w:tr w:rsidR="004175E6" w14:paraId="20F1D808" w14:textId="77777777" w:rsidTr="006428F4">
        <w:trPr>
          <w:jc w:val="center"/>
        </w:trPr>
        <w:tc>
          <w:tcPr>
            <w:tcW w:w="1540" w:type="dxa"/>
            <w:vAlign w:val="center"/>
          </w:tcPr>
          <w:p w14:paraId="0FD2F638" w14:textId="04F61386" w:rsidR="004175E6" w:rsidRPr="00F27118" w:rsidRDefault="004175E6" w:rsidP="006428F4">
            <w:pPr>
              <w:pStyle w:val="TMGTableText"/>
              <w:jc w:val="center"/>
              <w:rPr>
                <w:b/>
                <w:bCs/>
              </w:rPr>
            </w:pPr>
            <w:r w:rsidRPr="00F27118">
              <w:rPr>
                <w:b/>
                <w:bCs/>
              </w:rPr>
              <w:t>03</w:t>
            </w:r>
          </w:p>
        </w:tc>
        <w:tc>
          <w:tcPr>
            <w:tcW w:w="1880" w:type="dxa"/>
            <w:vAlign w:val="center"/>
          </w:tcPr>
          <w:p w14:paraId="2B3C7BF7" w14:textId="6F57B9A5" w:rsidR="004175E6" w:rsidRPr="004859C8" w:rsidRDefault="004175E6" w:rsidP="00F27118">
            <w:pPr>
              <w:pStyle w:val="TMGTableText"/>
            </w:pPr>
            <w:r w:rsidRPr="00F43125">
              <w:t xml:space="preserve">Three </w:t>
            </w:r>
            <w:r>
              <w:t xml:space="preserve">class </w:t>
            </w:r>
            <w:r w:rsidRPr="00F43125">
              <w:t>groups</w:t>
            </w:r>
          </w:p>
        </w:tc>
        <w:tc>
          <w:tcPr>
            <w:tcW w:w="4590" w:type="dxa"/>
            <w:vAlign w:val="center"/>
          </w:tcPr>
          <w:p w14:paraId="061E4A02" w14:textId="77777777" w:rsidR="004175E6" w:rsidRPr="00F43125" w:rsidRDefault="004175E6" w:rsidP="00917D58">
            <w:pPr>
              <w:pStyle w:val="TMGTableText"/>
            </w:pPr>
            <w:r w:rsidRPr="00F43125">
              <w:t>(classes 1-3) vehicles</w:t>
            </w:r>
          </w:p>
          <w:p w14:paraId="5309E5F3" w14:textId="77777777" w:rsidR="004175E6" w:rsidRPr="00F43125" w:rsidRDefault="004175E6" w:rsidP="00917D58">
            <w:pPr>
              <w:pStyle w:val="TMGTableText"/>
            </w:pPr>
            <w:r w:rsidRPr="00F43125">
              <w:t>(classes 4-7)</w:t>
            </w:r>
            <w:r>
              <w:t xml:space="preserve"> </w:t>
            </w:r>
            <w:r w:rsidRPr="00F43125">
              <w:t xml:space="preserve">single-unit vehicles </w:t>
            </w:r>
          </w:p>
          <w:p w14:paraId="49F6ED13" w14:textId="3DC77019" w:rsidR="004175E6" w:rsidRPr="00C251E9" w:rsidRDefault="004175E6" w:rsidP="00917D58">
            <w:pPr>
              <w:pStyle w:val="TMGTableText"/>
            </w:pPr>
            <w:r w:rsidRPr="00F43125">
              <w:t>(classes 8-13) combination vehicles</w:t>
            </w:r>
          </w:p>
        </w:tc>
      </w:tr>
      <w:tr w:rsidR="004175E6" w14:paraId="77F3DD45" w14:textId="77777777" w:rsidTr="006428F4">
        <w:trPr>
          <w:jc w:val="center"/>
        </w:trPr>
        <w:tc>
          <w:tcPr>
            <w:tcW w:w="1540" w:type="dxa"/>
            <w:vAlign w:val="center"/>
          </w:tcPr>
          <w:p w14:paraId="0BC731A4" w14:textId="1379E818" w:rsidR="004175E6" w:rsidRPr="00F27118" w:rsidRDefault="004175E6" w:rsidP="006428F4">
            <w:pPr>
              <w:pStyle w:val="TMGTableText"/>
              <w:jc w:val="center"/>
              <w:rPr>
                <w:b/>
                <w:bCs/>
              </w:rPr>
            </w:pPr>
            <w:r w:rsidRPr="00F27118">
              <w:rPr>
                <w:b/>
                <w:bCs/>
              </w:rPr>
              <w:t>04</w:t>
            </w:r>
          </w:p>
        </w:tc>
        <w:tc>
          <w:tcPr>
            <w:tcW w:w="1880" w:type="dxa"/>
            <w:vAlign w:val="center"/>
          </w:tcPr>
          <w:p w14:paraId="73C8189F" w14:textId="46C9A055" w:rsidR="004175E6" w:rsidRPr="004859C8" w:rsidRDefault="004175E6" w:rsidP="00F27118">
            <w:pPr>
              <w:pStyle w:val="TMGTableText"/>
            </w:pPr>
            <w:r w:rsidRPr="00F43125">
              <w:t xml:space="preserve">Four </w:t>
            </w:r>
            <w:r>
              <w:t xml:space="preserve">class </w:t>
            </w:r>
            <w:r w:rsidRPr="00F43125">
              <w:t>groups</w:t>
            </w:r>
          </w:p>
        </w:tc>
        <w:tc>
          <w:tcPr>
            <w:tcW w:w="4590" w:type="dxa"/>
            <w:vAlign w:val="center"/>
          </w:tcPr>
          <w:p w14:paraId="27243A3D" w14:textId="77777777" w:rsidR="004175E6" w:rsidRPr="00F43125" w:rsidRDefault="004175E6" w:rsidP="00917D58">
            <w:pPr>
              <w:pStyle w:val="TMGTableText"/>
            </w:pPr>
            <w:r w:rsidRPr="004175E6">
              <w:t>(</w:t>
            </w:r>
            <w:r w:rsidRPr="00F43125">
              <w:t>classes 1-3) vehicles</w:t>
            </w:r>
          </w:p>
          <w:p w14:paraId="33DAF0C1" w14:textId="77777777" w:rsidR="004175E6" w:rsidRPr="00F43125" w:rsidRDefault="004175E6" w:rsidP="00917D58">
            <w:pPr>
              <w:pStyle w:val="TMGTableText"/>
            </w:pPr>
            <w:r w:rsidRPr="00F43125">
              <w:t>(classes 4-7)</w:t>
            </w:r>
            <w:r>
              <w:t xml:space="preserve"> </w:t>
            </w:r>
            <w:r w:rsidRPr="00F43125">
              <w:t xml:space="preserve">single-unit vehicles </w:t>
            </w:r>
          </w:p>
          <w:p w14:paraId="7152F799" w14:textId="77777777" w:rsidR="004175E6" w:rsidRPr="00F43125" w:rsidRDefault="004175E6" w:rsidP="00917D58">
            <w:pPr>
              <w:pStyle w:val="TMGTableText"/>
            </w:pPr>
            <w:r w:rsidRPr="00F43125">
              <w:t>(classes 8-10)</w:t>
            </w:r>
            <w:r>
              <w:t xml:space="preserve"> </w:t>
            </w:r>
            <w:r w:rsidRPr="00F43125">
              <w:t xml:space="preserve">single-trailer </w:t>
            </w:r>
            <w:r>
              <w:t xml:space="preserve">combination </w:t>
            </w:r>
            <w:r w:rsidRPr="00F43125">
              <w:t xml:space="preserve">vehicles </w:t>
            </w:r>
          </w:p>
          <w:p w14:paraId="5E6586DE" w14:textId="16F1A078" w:rsidR="004175E6" w:rsidRPr="004175E6" w:rsidRDefault="004175E6" w:rsidP="00917D58">
            <w:pPr>
              <w:pStyle w:val="TMGTableText"/>
            </w:pPr>
            <w:r w:rsidRPr="00F43125">
              <w:t>(classes 11-13)</w:t>
            </w:r>
            <w:r>
              <w:t xml:space="preserve"> </w:t>
            </w:r>
            <w:r w:rsidRPr="00F43125">
              <w:t xml:space="preserve">multiple-trailer </w:t>
            </w:r>
            <w:r>
              <w:t xml:space="preserve">combination </w:t>
            </w:r>
            <w:r w:rsidRPr="00F43125">
              <w:t xml:space="preserve">vehicles </w:t>
            </w:r>
          </w:p>
        </w:tc>
      </w:tr>
      <w:tr w:rsidR="004175E6" w14:paraId="5CB581B7" w14:textId="77777777" w:rsidTr="006428F4">
        <w:trPr>
          <w:jc w:val="center"/>
        </w:trPr>
        <w:tc>
          <w:tcPr>
            <w:tcW w:w="1540" w:type="dxa"/>
            <w:vAlign w:val="center"/>
          </w:tcPr>
          <w:p w14:paraId="01651942" w14:textId="4018BEE3" w:rsidR="004175E6" w:rsidRPr="00F27118" w:rsidRDefault="004175E6" w:rsidP="006428F4">
            <w:pPr>
              <w:pStyle w:val="TMGTableText"/>
              <w:jc w:val="center"/>
              <w:rPr>
                <w:b/>
                <w:bCs/>
              </w:rPr>
            </w:pPr>
            <w:r w:rsidRPr="00F27118">
              <w:rPr>
                <w:b/>
                <w:bCs/>
              </w:rPr>
              <w:t>44</w:t>
            </w:r>
          </w:p>
        </w:tc>
        <w:tc>
          <w:tcPr>
            <w:tcW w:w="1880" w:type="dxa"/>
            <w:vAlign w:val="center"/>
          </w:tcPr>
          <w:p w14:paraId="1E86A988" w14:textId="105FD46C" w:rsidR="004175E6" w:rsidRPr="004859C8" w:rsidRDefault="004175E6" w:rsidP="00F27118">
            <w:pPr>
              <w:pStyle w:val="TMGTableText"/>
            </w:pPr>
            <w:r w:rsidRPr="00F43125">
              <w:t xml:space="preserve">Four </w:t>
            </w:r>
            <w:r>
              <w:t xml:space="preserve">class </w:t>
            </w:r>
            <w:r w:rsidRPr="00F43125">
              <w:t>groups</w:t>
            </w:r>
          </w:p>
        </w:tc>
        <w:tc>
          <w:tcPr>
            <w:tcW w:w="4590" w:type="dxa"/>
            <w:vAlign w:val="center"/>
          </w:tcPr>
          <w:p w14:paraId="4EA5E70C" w14:textId="77777777" w:rsidR="004175E6" w:rsidRPr="00F43125" w:rsidRDefault="004175E6" w:rsidP="00917D58">
            <w:pPr>
              <w:pStyle w:val="TMGTableText"/>
            </w:pPr>
            <w:r w:rsidRPr="00F43125">
              <w:t>(class 1)</w:t>
            </w:r>
            <w:r>
              <w:t xml:space="preserve"> </w:t>
            </w:r>
            <w:r w:rsidRPr="00F43125">
              <w:t xml:space="preserve">motorcycles </w:t>
            </w:r>
          </w:p>
          <w:p w14:paraId="4D9D8DD3" w14:textId="77777777" w:rsidR="004175E6" w:rsidRPr="00F43125" w:rsidRDefault="004175E6" w:rsidP="00917D58">
            <w:pPr>
              <w:pStyle w:val="TMGTableText"/>
            </w:pPr>
            <w:r w:rsidRPr="00F43125">
              <w:t>(classes 2-3)</w:t>
            </w:r>
            <w:r>
              <w:t xml:space="preserve"> </w:t>
            </w:r>
            <w:r w:rsidRPr="00F43125">
              <w:t xml:space="preserve">two-axle, four-tire vehicles </w:t>
            </w:r>
          </w:p>
          <w:p w14:paraId="3056C905" w14:textId="77777777" w:rsidR="004175E6" w:rsidRPr="00F43125" w:rsidRDefault="004175E6" w:rsidP="00917D58">
            <w:pPr>
              <w:pStyle w:val="TMGTableText"/>
            </w:pPr>
            <w:r w:rsidRPr="00F43125">
              <w:t>(classes 4-7)</w:t>
            </w:r>
            <w:r>
              <w:t xml:space="preserve"> </w:t>
            </w:r>
            <w:r w:rsidRPr="00F43125">
              <w:t xml:space="preserve">single-unit vehicles </w:t>
            </w:r>
          </w:p>
          <w:p w14:paraId="2F2294DC" w14:textId="0C6A97D7" w:rsidR="004175E6" w:rsidRPr="004175E6" w:rsidRDefault="004175E6" w:rsidP="00917D58">
            <w:pPr>
              <w:pStyle w:val="TMGTableText"/>
            </w:pPr>
            <w:r w:rsidRPr="00F43125">
              <w:t>(classes 8-13)</w:t>
            </w:r>
            <w:r>
              <w:t xml:space="preserve"> combination</w:t>
            </w:r>
            <w:r w:rsidRPr="00F43125">
              <w:t xml:space="preserve"> vehicles </w:t>
            </w:r>
          </w:p>
        </w:tc>
      </w:tr>
      <w:tr w:rsidR="004175E6" w14:paraId="35538473" w14:textId="77777777" w:rsidTr="006428F4">
        <w:trPr>
          <w:jc w:val="center"/>
        </w:trPr>
        <w:tc>
          <w:tcPr>
            <w:tcW w:w="1540" w:type="dxa"/>
            <w:vAlign w:val="center"/>
          </w:tcPr>
          <w:p w14:paraId="1E4D7DF5" w14:textId="4764F16D" w:rsidR="004175E6" w:rsidRPr="00F27118" w:rsidRDefault="004175E6" w:rsidP="006428F4">
            <w:pPr>
              <w:pStyle w:val="TMGTableText"/>
              <w:jc w:val="center"/>
              <w:rPr>
                <w:b/>
                <w:bCs/>
              </w:rPr>
            </w:pPr>
            <w:r w:rsidRPr="00F27118">
              <w:rPr>
                <w:b/>
                <w:bCs/>
              </w:rPr>
              <w:t>05</w:t>
            </w:r>
          </w:p>
        </w:tc>
        <w:tc>
          <w:tcPr>
            <w:tcW w:w="1880" w:type="dxa"/>
            <w:vAlign w:val="center"/>
          </w:tcPr>
          <w:p w14:paraId="1DE5EF95" w14:textId="068EB34D" w:rsidR="004175E6" w:rsidRPr="004859C8" w:rsidRDefault="004175E6" w:rsidP="00F27118">
            <w:pPr>
              <w:pStyle w:val="TMGTableText"/>
            </w:pPr>
            <w:r w:rsidRPr="00F43125">
              <w:t xml:space="preserve">Five </w:t>
            </w:r>
            <w:r>
              <w:t xml:space="preserve">class </w:t>
            </w:r>
            <w:r w:rsidRPr="00F43125">
              <w:t>groups</w:t>
            </w:r>
          </w:p>
        </w:tc>
        <w:tc>
          <w:tcPr>
            <w:tcW w:w="4590" w:type="dxa"/>
            <w:vAlign w:val="center"/>
          </w:tcPr>
          <w:p w14:paraId="704FD078" w14:textId="77777777" w:rsidR="004175E6" w:rsidRPr="00F43125" w:rsidRDefault="004175E6" w:rsidP="00917D58">
            <w:pPr>
              <w:pStyle w:val="TMGTableText"/>
            </w:pPr>
            <w:r w:rsidRPr="00F43125">
              <w:t>(class 1)</w:t>
            </w:r>
            <w:r>
              <w:t xml:space="preserve"> </w:t>
            </w:r>
            <w:r w:rsidRPr="00F43125">
              <w:t xml:space="preserve">motorcycles </w:t>
            </w:r>
          </w:p>
          <w:p w14:paraId="40FD82BB" w14:textId="77777777" w:rsidR="004175E6" w:rsidRPr="00F43125" w:rsidRDefault="004175E6" w:rsidP="00917D58">
            <w:pPr>
              <w:pStyle w:val="TMGTableText"/>
            </w:pPr>
            <w:r w:rsidRPr="00F43125">
              <w:t>(classes 2-3)</w:t>
            </w:r>
            <w:r>
              <w:t xml:space="preserve"> </w:t>
            </w:r>
            <w:r w:rsidRPr="00F43125">
              <w:t xml:space="preserve">two-axle, four-tire vehicles </w:t>
            </w:r>
          </w:p>
          <w:p w14:paraId="588D1294" w14:textId="77777777" w:rsidR="004175E6" w:rsidRPr="00F43125" w:rsidRDefault="004175E6" w:rsidP="00917D58">
            <w:pPr>
              <w:pStyle w:val="TMGTableText"/>
            </w:pPr>
            <w:r w:rsidRPr="00F43125">
              <w:t>(classes 4-7)</w:t>
            </w:r>
            <w:r>
              <w:t xml:space="preserve"> </w:t>
            </w:r>
            <w:r w:rsidRPr="00F43125">
              <w:t xml:space="preserve">buses and single-unit vehicles </w:t>
            </w:r>
          </w:p>
          <w:p w14:paraId="370E9F05" w14:textId="77777777" w:rsidR="004175E6" w:rsidRPr="00F43125" w:rsidRDefault="004175E6" w:rsidP="00917D58">
            <w:pPr>
              <w:pStyle w:val="TMGTableText"/>
            </w:pPr>
            <w:r w:rsidRPr="00F43125">
              <w:t>(classes 8-10)</w:t>
            </w:r>
            <w:r>
              <w:t xml:space="preserve"> </w:t>
            </w:r>
            <w:r w:rsidRPr="00F43125">
              <w:t xml:space="preserve">single-trailer combination vehicles </w:t>
            </w:r>
          </w:p>
          <w:p w14:paraId="1924D6DC" w14:textId="46F741D5" w:rsidR="004175E6" w:rsidRPr="004175E6" w:rsidRDefault="004175E6" w:rsidP="00917D58">
            <w:pPr>
              <w:pStyle w:val="TMGTableText"/>
            </w:pPr>
            <w:r w:rsidRPr="00F43125">
              <w:t>(classes 11-13)</w:t>
            </w:r>
            <w:r>
              <w:t xml:space="preserve"> </w:t>
            </w:r>
            <w:r w:rsidRPr="00F43125">
              <w:t xml:space="preserve">multiple-trailer combination vehicles </w:t>
            </w:r>
          </w:p>
        </w:tc>
      </w:tr>
      <w:tr w:rsidR="004175E6" w14:paraId="795A4C4F" w14:textId="77777777" w:rsidTr="006428F4">
        <w:trPr>
          <w:jc w:val="center"/>
        </w:trPr>
        <w:tc>
          <w:tcPr>
            <w:tcW w:w="1540" w:type="dxa"/>
            <w:vAlign w:val="center"/>
          </w:tcPr>
          <w:p w14:paraId="46549163" w14:textId="2B813623" w:rsidR="004175E6" w:rsidRPr="00F27118" w:rsidRDefault="004175E6" w:rsidP="006428F4">
            <w:pPr>
              <w:pStyle w:val="TMGTableText"/>
              <w:jc w:val="center"/>
              <w:rPr>
                <w:b/>
                <w:bCs/>
              </w:rPr>
            </w:pPr>
            <w:r w:rsidRPr="00F27118">
              <w:rPr>
                <w:b/>
                <w:bCs/>
              </w:rPr>
              <w:t>06</w:t>
            </w:r>
          </w:p>
        </w:tc>
        <w:tc>
          <w:tcPr>
            <w:tcW w:w="1880" w:type="dxa"/>
            <w:vAlign w:val="center"/>
          </w:tcPr>
          <w:p w14:paraId="355A4B32" w14:textId="1706BA27" w:rsidR="004175E6" w:rsidRPr="004859C8" w:rsidRDefault="004175E6" w:rsidP="00F27118">
            <w:pPr>
              <w:pStyle w:val="TMGTableText"/>
            </w:pPr>
            <w:r w:rsidRPr="00F43125">
              <w:t xml:space="preserve">Six </w:t>
            </w:r>
            <w:r>
              <w:t xml:space="preserve">class </w:t>
            </w:r>
            <w:r w:rsidRPr="00F43125">
              <w:t>groups</w:t>
            </w:r>
          </w:p>
        </w:tc>
        <w:tc>
          <w:tcPr>
            <w:tcW w:w="4590" w:type="dxa"/>
            <w:vAlign w:val="center"/>
          </w:tcPr>
          <w:p w14:paraId="16A55901" w14:textId="77777777" w:rsidR="004175E6" w:rsidRPr="00F43125" w:rsidRDefault="004175E6" w:rsidP="00917D58">
            <w:pPr>
              <w:pStyle w:val="TMGTableText"/>
            </w:pPr>
            <w:r w:rsidRPr="00F43125">
              <w:t>(class 1)</w:t>
            </w:r>
            <w:r>
              <w:t xml:space="preserve"> </w:t>
            </w:r>
            <w:r w:rsidRPr="00F43125">
              <w:t xml:space="preserve">motorcycles </w:t>
            </w:r>
          </w:p>
          <w:p w14:paraId="60543FEC" w14:textId="77777777" w:rsidR="004175E6" w:rsidRPr="00F43125" w:rsidRDefault="004175E6" w:rsidP="00917D58">
            <w:pPr>
              <w:pStyle w:val="TMGTableText"/>
            </w:pPr>
            <w:r w:rsidRPr="00F43125">
              <w:t>(classes 2-3)</w:t>
            </w:r>
            <w:r>
              <w:t xml:space="preserve"> </w:t>
            </w:r>
            <w:r w:rsidRPr="00F43125">
              <w:t xml:space="preserve">two-axle, four-tire vehicles </w:t>
            </w:r>
          </w:p>
          <w:p w14:paraId="1B25224B" w14:textId="77777777" w:rsidR="004175E6" w:rsidRPr="00F43125" w:rsidRDefault="004175E6" w:rsidP="00917D58">
            <w:pPr>
              <w:pStyle w:val="TMGTableText"/>
            </w:pPr>
            <w:r w:rsidRPr="00F43125">
              <w:t>(class 4)</w:t>
            </w:r>
            <w:r>
              <w:t xml:space="preserve"> </w:t>
            </w:r>
            <w:r w:rsidRPr="00F43125">
              <w:t xml:space="preserve">buses </w:t>
            </w:r>
          </w:p>
          <w:p w14:paraId="7AA15DC0" w14:textId="77777777" w:rsidR="004175E6" w:rsidRPr="00F43125" w:rsidRDefault="004175E6" w:rsidP="00917D58">
            <w:pPr>
              <w:pStyle w:val="TMGTableText"/>
            </w:pPr>
            <w:r w:rsidRPr="00F43125">
              <w:t>(classes 5-7)</w:t>
            </w:r>
            <w:r>
              <w:t xml:space="preserve"> </w:t>
            </w:r>
            <w:r w:rsidRPr="00F43125">
              <w:t xml:space="preserve">single-unit vehicles </w:t>
            </w:r>
          </w:p>
          <w:p w14:paraId="1B968C08" w14:textId="77777777" w:rsidR="004175E6" w:rsidRPr="00F43125" w:rsidRDefault="004175E6" w:rsidP="00917D58">
            <w:pPr>
              <w:pStyle w:val="TMGTableText"/>
            </w:pPr>
            <w:r w:rsidRPr="00F43125">
              <w:t>(classes 8-10)</w:t>
            </w:r>
            <w:r>
              <w:t xml:space="preserve"> </w:t>
            </w:r>
            <w:r w:rsidRPr="00F43125">
              <w:t xml:space="preserve">single-trailer combination vehicles </w:t>
            </w:r>
          </w:p>
          <w:p w14:paraId="64039AE6" w14:textId="7986DD5A" w:rsidR="004175E6" w:rsidRPr="004175E6" w:rsidRDefault="004175E6" w:rsidP="00917D58">
            <w:pPr>
              <w:pStyle w:val="TMGTableText"/>
            </w:pPr>
            <w:r w:rsidRPr="00F43125">
              <w:t>(classes 11-13)</w:t>
            </w:r>
            <w:r>
              <w:t xml:space="preserve"> </w:t>
            </w:r>
            <w:r w:rsidRPr="00F43125">
              <w:t xml:space="preserve">multiple-trailer combination vehicles </w:t>
            </w:r>
          </w:p>
        </w:tc>
      </w:tr>
      <w:tr w:rsidR="004175E6" w14:paraId="7EF32FD2" w14:textId="77777777" w:rsidTr="006428F4">
        <w:trPr>
          <w:jc w:val="center"/>
        </w:trPr>
        <w:tc>
          <w:tcPr>
            <w:tcW w:w="1540" w:type="dxa"/>
            <w:vAlign w:val="center"/>
          </w:tcPr>
          <w:p w14:paraId="1602E686" w14:textId="7820310C" w:rsidR="004175E6" w:rsidRPr="00F27118" w:rsidRDefault="004175E6" w:rsidP="006428F4">
            <w:pPr>
              <w:pStyle w:val="TMGTableText"/>
              <w:jc w:val="center"/>
              <w:rPr>
                <w:b/>
                <w:bCs/>
              </w:rPr>
            </w:pPr>
            <w:r w:rsidRPr="00F27118">
              <w:rPr>
                <w:b/>
                <w:bCs/>
              </w:rPr>
              <w:t>66</w:t>
            </w:r>
          </w:p>
        </w:tc>
        <w:tc>
          <w:tcPr>
            <w:tcW w:w="1880" w:type="dxa"/>
            <w:vAlign w:val="center"/>
          </w:tcPr>
          <w:p w14:paraId="085250FD" w14:textId="0606931F" w:rsidR="004175E6" w:rsidRPr="004859C8" w:rsidRDefault="004175E6" w:rsidP="00F27118">
            <w:pPr>
              <w:pStyle w:val="TMGTableText"/>
            </w:pPr>
            <w:r>
              <w:t>S</w:t>
            </w:r>
            <w:r w:rsidRPr="00F43125">
              <w:t xml:space="preserve">ix </w:t>
            </w:r>
            <w:r>
              <w:t xml:space="preserve">class </w:t>
            </w:r>
            <w:r w:rsidRPr="00F43125">
              <w:t xml:space="preserve">groups </w:t>
            </w:r>
            <w:r>
              <w:t>(</w:t>
            </w:r>
            <w:r w:rsidRPr="00F43125">
              <w:t>HPMS definition</w:t>
            </w:r>
            <w:r>
              <w:t>)</w:t>
            </w:r>
            <w:r w:rsidRPr="00F43125">
              <w:t xml:space="preserve"> </w:t>
            </w:r>
          </w:p>
        </w:tc>
        <w:tc>
          <w:tcPr>
            <w:tcW w:w="4590" w:type="dxa"/>
            <w:vAlign w:val="center"/>
          </w:tcPr>
          <w:p w14:paraId="45E6CCB7" w14:textId="77777777" w:rsidR="004175E6" w:rsidRPr="00F43125" w:rsidRDefault="004175E6" w:rsidP="00917D58">
            <w:pPr>
              <w:pStyle w:val="TMGTableText"/>
            </w:pPr>
            <w:r w:rsidRPr="00F43125">
              <w:t>(class 1)</w:t>
            </w:r>
            <w:r>
              <w:t xml:space="preserve"> </w:t>
            </w:r>
            <w:r w:rsidRPr="00F43125">
              <w:t xml:space="preserve">motorcycles </w:t>
            </w:r>
          </w:p>
          <w:p w14:paraId="42486E9C" w14:textId="77777777" w:rsidR="004175E6" w:rsidRPr="00F43125" w:rsidRDefault="004175E6" w:rsidP="00917D58">
            <w:pPr>
              <w:pStyle w:val="TMGTableText"/>
            </w:pPr>
            <w:r w:rsidRPr="00F43125">
              <w:t>(class 2)</w:t>
            </w:r>
            <w:r>
              <w:t xml:space="preserve"> </w:t>
            </w:r>
            <w:r w:rsidRPr="00F43125">
              <w:t xml:space="preserve">passenger cars </w:t>
            </w:r>
          </w:p>
          <w:p w14:paraId="6FC82040" w14:textId="77777777" w:rsidR="004175E6" w:rsidRPr="00F43125" w:rsidRDefault="004175E6" w:rsidP="00917D58">
            <w:pPr>
              <w:pStyle w:val="TMGTableText"/>
            </w:pPr>
            <w:r w:rsidRPr="00F43125">
              <w:t>(class 3)</w:t>
            </w:r>
            <w:r>
              <w:t xml:space="preserve"> </w:t>
            </w:r>
            <w:r w:rsidRPr="00F43125">
              <w:t>light</w:t>
            </w:r>
            <w:r>
              <w:t>-</w:t>
            </w:r>
            <w:r w:rsidRPr="00F43125">
              <w:t xml:space="preserve">duty trucks </w:t>
            </w:r>
          </w:p>
          <w:p w14:paraId="6B8A1F53" w14:textId="77777777" w:rsidR="004175E6" w:rsidRPr="00F43125" w:rsidRDefault="004175E6" w:rsidP="00917D58">
            <w:pPr>
              <w:pStyle w:val="TMGTableText"/>
            </w:pPr>
            <w:r w:rsidRPr="00F43125">
              <w:t>(class 4)</w:t>
            </w:r>
            <w:r>
              <w:t xml:space="preserve"> </w:t>
            </w:r>
            <w:r w:rsidRPr="00F43125">
              <w:t xml:space="preserve">buses </w:t>
            </w:r>
          </w:p>
          <w:p w14:paraId="2CE09888" w14:textId="77777777" w:rsidR="004175E6" w:rsidRPr="00F43125" w:rsidRDefault="004175E6" w:rsidP="00917D58">
            <w:pPr>
              <w:pStyle w:val="TMGTableText"/>
            </w:pPr>
            <w:r w:rsidRPr="00F43125">
              <w:t>(classes 5-7)</w:t>
            </w:r>
            <w:r>
              <w:t xml:space="preserve"> </w:t>
            </w:r>
            <w:r w:rsidRPr="00F43125">
              <w:t xml:space="preserve">single-unit vehicles </w:t>
            </w:r>
          </w:p>
          <w:p w14:paraId="58F9B720" w14:textId="3F486A1B" w:rsidR="004175E6" w:rsidRPr="004175E6" w:rsidRDefault="004175E6" w:rsidP="00917D58">
            <w:pPr>
              <w:pStyle w:val="TMGTableText"/>
            </w:pPr>
            <w:r w:rsidRPr="00F43125">
              <w:t>(classes 8-13)</w:t>
            </w:r>
            <w:r>
              <w:t xml:space="preserve"> </w:t>
            </w:r>
            <w:r w:rsidRPr="00F43125">
              <w:t xml:space="preserve">combination vehicles </w:t>
            </w:r>
          </w:p>
        </w:tc>
      </w:tr>
      <w:tr w:rsidR="004175E6" w14:paraId="0A3720B5" w14:textId="77777777" w:rsidTr="006428F4">
        <w:trPr>
          <w:jc w:val="center"/>
        </w:trPr>
        <w:tc>
          <w:tcPr>
            <w:tcW w:w="1540" w:type="dxa"/>
            <w:vAlign w:val="center"/>
          </w:tcPr>
          <w:p w14:paraId="385AA12D" w14:textId="4546C62E" w:rsidR="004175E6" w:rsidRPr="00F27118" w:rsidRDefault="004175E6" w:rsidP="006428F4">
            <w:pPr>
              <w:pStyle w:val="TMGTableText"/>
              <w:pageBreakBefore/>
              <w:ind w:left="0"/>
              <w:jc w:val="center"/>
              <w:rPr>
                <w:b/>
                <w:bCs/>
              </w:rPr>
            </w:pPr>
            <w:r w:rsidRPr="00F27118">
              <w:rPr>
                <w:b/>
                <w:bCs/>
              </w:rPr>
              <w:lastRenderedPageBreak/>
              <w:t>07</w:t>
            </w:r>
          </w:p>
        </w:tc>
        <w:tc>
          <w:tcPr>
            <w:tcW w:w="1880" w:type="dxa"/>
            <w:vAlign w:val="center"/>
          </w:tcPr>
          <w:p w14:paraId="07E61B42" w14:textId="472DBC36" w:rsidR="004175E6" w:rsidRPr="004859C8" w:rsidRDefault="004175E6" w:rsidP="00F27118">
            <w:pPr>
              <w:pStyle w:val="TMGTableText"/>
            </w:pPr>
            <w:r w:rsidRPr="00F43125">
              <w:t xml:space="preserve">Seven </w:t>
            </w:r>
            <w:r>
              <w:t xml:space="preserve">class </w:t>
            </w:r>
            <w:r w:rsidRPr="00F43125">
              <w:t>groups</w:t>
            </w:r>
          </w:p>
        </w:tc>
        <w:tc>
          <w:tcPr>
            <w:tcW w:w="4590" w:type="dxa"/>
            <w:vAlign w:val="center"/>
          </w:tcPr>
          <w:p w14:paraId="581B5956" w14:textId="77777777" w:rsidR="004175E6" w:rsidRPr="00F43125" w:rsidRDefault="004175E6" w:rsidP="00917D58">
            <w:pPr>
              <w:pStyle w:val="TMGTableText"/>
            </w:pPr>
            <w:r w:rsidRPr="00F43125">
              <w:t>(class 1)</w:t>
            </w:r>
            <w:r>
              <w:t xml:space="preserve"> </w:t>
            </w:r>
            <w:r w:rsidRPr="00F43125">
              <w:t xml:space="preserve">motorcycles </w:t>
            </w:r>
          </w:p>
          <w:p w14:paraId="2C3F15AE" w14:textId="77777777" w:rsidR="004175E6" w:rsidRPr="00F43125" w:rsidRDefault="004175E6" w:rsidP="00917D58">
            <w:pPr>
              <w:pStyle w:val="TMGTableText"/>
            </w:pPr>
            <w:r w:rsidRPr="00F43125">
              <w:t>(class 2)</w:t>
            </w:r>
            <w:r>
              <w:t xml:space="preserve"> </w:t>
            </w:r>
            <w:r w:rsidRPr="00F43125">
              <w:t xml:space="preserve">passenger cars </w:t>
            </w:r>
          </w:p>
          <w:p w14:paraId="0B2F7B19" w14:textId="77777777" w:rsidR="004175E6" w:rsidRPr="00F43125" w:rsidRDefault="004175E6" w:rsidP="00917D58">
            <w:pPr>
              <w:pStyle w:val="TMGTableText"/>
            </w:pPr>
            <w:r w:rsidRPr="00F43125">
              <w:t>(class 3)</w:t>
            </w:r>
            <w:r>
              <w:t xml:space="preserve"> </w:t>
            </w:r>
            <w:r w:rsidRPr="00F43125">
              <w:t>light</w:t>
            </w:r>
            <w:r>
              <w:t>-</w:t>
            </w:r>
            <w:r w:rsidRPr="00F43125">
              <w:t xml:space="preserve">duty trucks </w:t>
            </w:r>
          </w:p>
          <w:p w14:paraId="37921B1D" w14:textId="77777777" w:rsidR="004175E6" w:rsidRPr="00F43125" w:rsidRDefault="004175E6" w:rsidP="00917D58">
            <w:pPr>
              <w:pStyle w:val="TMGTableText"/>
            </w:pPr>
            <w:r w:rsidRPr="00F43125">
              <w:t>(class 4)</w:t>
            </w:r>
            <w:r>
              <w:t xml:space="preserve"> </w:t>
            </w:r>
            <w:r w:rsidRPr="00F43125">
              <w:t xml:space="preserve">buses </w:t>
            </w:r>
          </w:p>
          <w:p w14:paraId="7B2707BD" w14:textId="77777777" w:rsidR="004175E6" w:rsidRPr="00F43125" w:rsidRDefault="004175E6" w:rsidP="00917D58">
            <w:pPr>
              <w:pStyle w:val="TMGTableText"/>
            </w:pPr>
            <w:r w:rsidRPr="00F43125">
              <w:t>(classes 5-7)</w:t>
            </w:r>
            <w:r>
              <w:t xml:space="preserve"> </w:t>
            </w:r>
            <w:r w:rsidRPr="00F43125">
              <w:t xml:space="preserve">single-unit vehicles </w:t>
            </w:r>
          </w:p>
          <w:p w14:paraId="2360E68E" w14:textId="77777777" w:rsidR="004175E6" w:rsidRPr="00F43125" w:rsidRDefault="004175E6" w:rsidP="00917D58">
            <w:pPr>
              <w:pStyle w:val="TMGTableText"/>
            </w:pPr>
            <w:r w:rsidRPr="00F43125">
              <w:t>(classes 8-10)</w:t>
            </w:r>
            <w:r>
              <w:t xml:space="preserve"> single-trailer </w:t>
            </w:r>
            <w:r w:rsidRPr="00F43125">
              <w:t>combination vehicles</w:t>
            </w:r>
            <w:r>
              <w:t xml:space="preserve"> </w:t>
            </w:r>
          </w:p>
          <w:p w14:paraId="21B079A3" w14:textId="5779AA07" w:rsidR="004175E6" w:rsidRPr="004175E6" w:rsidRDefault="004175E6" w:rsidP="00917D58">
            <w:pPr>
              <w:pStyle w:val="TMGTableText"/>
            </w:pPr>
            <w:r w:rsidRPr="00F43125">
              <w:t>(classes 11-13)</w:t>
            </w:r>
            <w:r>
              <w:t xml:space="preserve"> multiple-trailer </w:t>
            </w:r>
            <w:r w:rsidRPr="00F43125">
              <w:t>combination vehicles</w:t>
            </w:r>
          </w:p>
        </w:tc>
      </w:tr>
      <w:tr w:rsidR="004175E6" w14:paraId="1CF72DF2" w14:textId="77777777" w:rsidTr="006428F4">
        <w:trPr>
          <w:jc w:val="center"/>
        </w:trPr>
        <w:tc>
          <w:tcPr>
            <w:tcW w:w="1540" w:type="dxa"/>
            <w:vAlign w:val="center"/>
          </w:tcPr>
          <w:p w14:paraId="770A1D46" w14:textId="409A33DE" w:rsidR="004175E6" w:rsidRPr="00F27118" w:rsidRDefault="004175E6" w:rsidP="006428F4">
            <w:pPr>
              <w:pStyle w:val="TMGTableText"/>
              <w:jc w:val="center"/>
              <w:rPr>
                <w:b/>
                <w:bCs/>
              </w:rPr>
            </w:pPr>
            <w:r w:rsidRPr="00F27118">
              <w:rPr>
                <w:b/>
                <w:bCs/>
              </w:rPr>
              <w:t>13</w:t>
            </w:r>
          </w:p>
        </w:tc>
        <w:tc>
          <w:tcPr>
            <w:tcW w:w="1880" w:type="dxa"/>
            <w:vAlign w:val="center"/>
          </w:tcPr>
          <w:p w14:paraId="5A121039" w14:textId="76C493BA" w:rsidR="004175E6" w:rsidRPr="004859C8" w:rsidRDefault="004175E6" w:rsidP="00F27118">
            <w:pPr>
              <w:pStyle w:val="TMGTableText"/>
            </w:pPr>
            <w:r w:rsidRPr="00F43125">
              <w:t xml:space="preserve">Thirteen </w:t>
            </w:r>
            <w:r>
              <w:t xml:space="preserve">class </w:t>
            </w:r>
            <w:r w:rsidRPr="00F43125">
              <w:t>groups</w:t>
            </w:r>
          </w:p>
        </w:tc>
        <w:tc>
          <w:tcPr>
            <w:tcW w:w="4590" w:type="dxa"/>
            <w:vAlign w:val="center"/>
          </w:tcPr>
          <w:p w14:paraId="0205360C" w14:textId="2CCD3759" w:rsidR="004175E6" w:rsidRPr="004175E6" w:rsidRDefault="004175E6" w:rsidP="00917D58">
            <w:pPr>
              <w:pStyle w:val="TMGTableText"/>
            </w:pPr>
            <w:r w:rsidRPr="004175E6">
              <w:t>FHWA</w:t>
            </w:r>
            <w:r>
              <w:t>’</w:t>
            </w:r>
            <w:r w:rsidRPr="004175E6">
              <w:t>s</w:t>
            </w:r>
            <w:r w:rsidRPr="00F43125">
              <w:t xml:space="preserve"> standard 13 class system</w:t>
            </w:r>
          </w:p>
        </w:tc>
      </w:tr>
      <w:tr w:rsidR="004175E6" w14:paraId="4803E576" w14:textId="77777777" w:rsidTr="006428F4">
        <w:trPr>
          <w:jc w:val="center"/>
        </w:trPr>
        <w:tc>
          <w:tcPr>
            <w:tcW w:w="1540" w:type="dxa"/>
            <w:vAlign w:val="center"/>
          </w:tcPr>
          <w:p w14:paraId="30186837" w14:textId="6E643CBB" w:rsidR="004175E6" w:rsidRPr="00F27118" w:rsidRDefault="004175E6" w:rsidP="006428F4">
            <w:pPr>
              <w:pStyle w:val="TMGTableText"/>
              <w:jc w:val="center"/>
              <w:rPr>
                <w:b/>
                <w:bCs/>
              </w:rPr>
            </w:pPr>
            <w:r w:rsidRPr="00F27118">
              <w:rPr>
                <w:b/>
                <w:bCs/>
              </w:rPr>
              <w:t>14</w:t>
            </w:r>
          </w:p>
        </w:tc>
        <w:tc>
          <w:tcPr>
            <w:tcW w:w="1880" w:type="dxa"/>
            <w:vAlign w:val="center"/>
          </w:tcPr>
          <w:p w14:paraId="3362C54C" w14:textId="167ABD02" w:rsidR="004175E6" w:rsidRPr="004859C8" w:rsidRDefault="004175E6" w:rsidP="00F27118">
            <w:pPr>
              <w:pStyle w:val="TMGTableText"/>
            </w:pPr>
            <w:r w:rsidRPr="00F43125">
              <w:t xml:space="preserve">Fourteen </w:t>
            </w:r>
            <w:r>
              <w:t xml:space="preserve">class </w:t>
            </w:r>
            <w:r w:rsidRPr="00F43125">
              <w:t>groups</w:t>
            </w:r>
          </w:p>
        </w:tc>
        <w:tc>
          <w:tcPr>
            <w:tcW w:w="4590" w:type="dxa"/>
            <w:vAlign w:val="center"/>
          </w:tcPr>
          <w:p w14:paraId="6F37BABD" w14:textId="60E3CFCF" w:rsidR="004175E6" w:rsidRPr="004175E6" w:rsidRDefault="004175E6" w:rsidP="00917D58">
            <w:pPr>
              <w:pStyle w:val="TMGTableText"/>
            </w:pPr>
            <w:r w:rsidRPr="004175E6">
              <w:t>FHWA</w:t>
            </w:r>
            <w:r>
              <w:t>’</w:t>
            </w:r>
            <w:r w:rsidRPr="004175E6">
              <w:t>s</w:t>
            </w:r>
            <w:r w:rsidRPr="00F43125">
              <w:t xml:space="preserve"> standard 13 class system plus one</w:t>
            </w:r>
            <w:r>
              <w:t xml:space="preserve"> </w:t>
            </w:r>
            <w:r w:rsidRPr="00F43125">
              <w:t>group</w:t>
            </w:r>
            <w:r>
              <w:t>*</w:t>
            </w:r>
          </w:p>
        </w:tc>
      </w:tr>
      <w:tr w:rsidR="004175E6" w14:paraId="40520DF7" w14:textId="77777777" w:rsidTr="006428F4">
        <w:trPr>
          <w:jc w:val="center"/>
        </w:trPr>
        <w:tc>
          <w:tcPr>
            <w:tcW w:w="1540" w:type="dxa"/>
            <w:vAlign w:val="center"/>
          </w:tcPr>
          <w:p w14:paraId="08FC4208" w14:textId="7DB1BEEE" w:rsidR="004175E6" w:rsidRPr="00F27118" w:rsidRDefault="004175E6" w:rsidP="006428F4">
            <w:pPr>
              <w:pStyle w:val="TMGTableText"/>
              <w:jc w:val="center"/>
              <w:rPr>
                <w:b/>
                <w:bCs/>
              </w:rPr>
            </w:pPr>
            <w:r w:rsidRPr="00F27118">
              <w:rPr>
                <w:b/>
                <w:bCs/>
              </w:rPr>
              <w:t>15</w:t>
            </w:r>
          </w:p>
        </w:tc>
        <w:tc>
          <w:tcPr>
            <w:tcW w:w="1880" w:type="dxa"/>
            <w:vAlign w:val="center"/>
          </w:tcPr>
          <w:p w14:paraId="507DEB3F" w14:textId="26F69C0F" w:rsidR="004175E6" w:rsidRPr="004859C8" w:rsidRDefault="004175E6" w:rsidP="00F27118">
            <w:pPr>
              <w:pStyle w:val="TMGTableText"/>
            </w:pPr>
            <w:r w:rsidRPr="00F43125">
              <w:t xml:space="preserve">Fifteen </w:t>
            </w:r>
            <w:r>
              <w:t xml:space="preserve">class </w:t>
            </w:r>
            <w:r w:rsidRPr="00F43125">
              <w:t>groups</w:t>
            </w:r>
          </w:p>
        </w:tc>
        <w:tc>
          <w:tcPr>
            <w:tcW w:w="4590" w:type="dxa"/>
            <w:vAlign w:val="center"/>
          </w:tcPr>
          <w:p w14:paraId="09B6AE86" w14:textId="75512365" w:rsidR="004175E6" w:rsidRPr="004175E6" w:rsidRDefault="004175E6" w:rsidP="00917D58">
            <w:pPr>
              <w:pStyle w:val="TMGTableText"/>
            </w:pPr>
            <w:r w:rsidRPr="004175E6">
              <w:t>FHWA</w:t>
            </w:r>
            <w:r>
              <w:t>’</w:t>
            </w:r>
            <w:r w:rsidRPr="004175E6">
              <w:t>s</w:t>
            </w:r>
            <w:r w:rsidRPr="00F43125">
              <w:t xml:space="preserve"> standard 13 class system plus two</w:t>
            </w:r>
            <w:r>
              <w:t xml:space="preserve"> </w:t>
            </w:r>
            <w:r w:rsidRPr="00F43125">
              <w:t>groups</w:t>
            </w:r>
            <w:r>
              <w:t>*</w:t>
            </w:r>
          </w:p>
        </w:tc>
      </w:tr>
      <w:tr w:rsidR="004175E6" w14:paraId="2D78A11D" w14:textId="77777777" w:rsidTr="006428F4">
        <w:trPr>
          <w:jc w:val="center"/>
        </w:trPr>
        <w:tc>
          <w:tcPr>
            <w:tcW w:w="1540" w:type="dxa"/>
            <w:vAlign w:val="center"/>
          </w:tcPr>
          <w:p w14:paraId="78F9747C" w14:textId="5DCDBEFE" w:rsidR="004175E6" w:rsidRPr="00F27118" w:rsidRDefault="004175E6" w:rsidP="006428F4">
            <w:pPr>
              <w:pStyle w:val="TMGTableText"/>
              <w:rPr>
                <w:b/>
                <w:bCs/>
              </w:rPr>
            </w:pPr>
            <w:r w:rsidRPr="00F27118">
              <w:rPr>
                <w:b/>
                <w:bCs/>
              </w:rPr>
              <w:t>Other Positive Integers</w:t>
            </w:r>
          </w:p>
        </w:tc>
        <w:tc>
          <w:tcPr>
            <w:tcW w:w="1880" w:type="dxa"/>
            <w:vAlign w:val="center"/>
          </w:tcPr>
          <w:p w14:paraId="14F6A120" w14:textId="77777777" w:rsidR="004175E6" w:rsidRPr="004859C8" w:rsidRDefault="004175E6" w:rsidP="00F27118">
            <w:pPr>
              <w:pStyle w:val="TMGTableText"/>
            </w:pPr>
          </w:p>
        </w:tc>
        <w:tc>
          <w:tcPr>
            <w:tcW w:w="4590" w:type="dxa"/>
            <w:vAlign w:val="center"/>
          </w:tcPr>
          <w:p w14:paraId="5453C9FC" w14:textId="7F27AEFC" w:rsidR="004175E6" w:rsidRPr="004175E6" w:rsidRDefault="004175E6" w:rsidP="00917D58">
            <w:pPr>
              <w:pStyle w:val="TMGTableText"/>
            </w:pPr>
            <w:r w:rsidRPr="00F43125">
              <w:t>number of classes (unsupported by TMAS software)</w:t>
            </w:r>
          </w:p>
        </w:tc>
      </w:tr>
    </w:tbl>
    <w:p w14:paraId="6F455623" w14:textId="77777777" w:rsidR="009B7AED" w:rsidRDefault="009B7AED" w:rsidP="00F27118">
      <w:pPr>
        <w:widowControl/>
        <w:suppressAutoHyphens w:val="0"/>
        <w:autoSpaceDE/>
        <w:autoSpaceDN/>
        <w:adjustRightInd/>
        <w:spacing w:before="60" w:after="360"/>
        <w:ind w:left="648" w:right="648"/>
        <w:jc w:val="left"/>
        <w:textAlignment w:val="auto"/>
        <w:rPr>
          <w:i/>
          <w:iCs/>
          <w:sz w:val="18"/>
          <w:szCs w:val="18"/>
        </w:rPr>
      </w:pPr>
      <w:r w:rsidRPr="00CD2CA8">
        <w:rPr>
          <w:i/>
          <w:iCs/>
          <w:sz w:val="18"/>
          <w:szCs w:val="18"/>
        </w:rPr>
        <w:t xml:space="preserve">*Note: For class 14 or 15 vehicles – use either of these two classes for vehicles that may not be classified, have multiple configurations, or specific for vehicles that need to be kept separate from other classes (e.g., special purpose vehicles). </w:t>
      </w:r>
    </w:p>
    <w:p w14:paraId="520671D4" w14:textId="77777777" w:rsidR="009B7AED" w:rsidRDefault="009B7AED">
      <w:pPr>
        <w:pStyle w:val="ListCS1BulletsandNumbering"/>
        <w:numPr>
          <w:ilvl w:val="0"/>
          <w:numId w:val="44"/>
        </w:numPr>
        <w:spacing w:before="0" w:after="120"/>
        <w:ind w:left="648"/>
      </w:pPr>
      <w:r>
        <w:t xml:space="preserve">Calibration of Weighing System – </w:t>
      </w:r>
      <w:r>
        <w:rPr>
          <w:rStyle w:val="Italic"/>
          <w:iCs/>
        </w:rPr>
        <w:t>Required/Optional</w:t>
      </w:r>
    </w:p>
    <w:p w14:paraId="5C49A842" w14:textId="77777777" w:rsidR="009B7AED" w:rsidRDefault="009B7AED" w:rsidP="00B35A5D">
      <w:pPr>
        <w:pStyle w:val="BulletcontinuedBulletsandNumbering"/>
        <w:tabs>
          <w:tab w:val="clear" w:pos="1440"/>
        </w:tabs>
        <w:ind w:left="648"/>
      </w:pPr>
      <w:r>
        <w:t>Code the method used to calibrate the weighing system, e.g., comparing weigh-in-motion and weights from static scales. At a minimum, yearly calibration is recommended, and maybe more often depending upon the site, sensors, equipment, and array used.</w:t>
      </w:r>
    </w:p>
    <w:p w14:paraId="10C8C871" w14:textId="77777777" w:rsidR="009B7AED" w:rsidRDefault="009B7AED" w:rsidP="00B35A5D">
      <w:pPr>
        <w:pStyle w:val="BulletcontinuedBulletsandNumbering"/>
        <w:tabs>
          <w:tab w:val="clear" w:pos="1440"/>
        </w:tabs>
        <w:ind w:left="648"/>
      </w:pPr>
      <w:r>
        <w:t>A = ASTM Standard E1318 (yearly)</w:t>
      </w:r>
    </w:p>
    <w:p w14:paraId="01BE5013" w14:textId="77777777" w:rsidR="009B7AED" w:rsidRDefault="009B7AED" w:rsidP="00B35A5D">
      <w:pPr>
        <w:pStyle w:val="BulletcontinuedBulletsandNumbering"/>
        <w:tabs>
          <w:tab w:val="clear" w:pos="1440"/>
        </w:tabs>
        <w:ind w:left="648"/>
      </w:pPr>
      <w:r>
        <w:t>B = Subset of ASTM Standard E1318 (yearly)</w:t>
      </w:r>
    </w:p>
    <w:p w14:paraId="7D12A524" w14:textId="77777777" w:rsidR="009B7AED" w:rsidRDefault="009B7AED" w:rsidP="00B35A5D">
      <w:pPr>
        <w:pStyle w:val="BulletcontinuedBulletsandNumbering"/>
        <w:tabs>
          <w:tab w:val="clear" w:pos="1440"/>
        </w:tabs>
        <w:ind w:left="648"/>
      </w:pPr>
      <w:r>
        <w:t>C = Combination of test trucks and trucks from the traffic stream (but not ASTM E1318) (yearly)</w:t>
      </w:r>
    </w:p>
    <w:p w14:paraId="4F5657C8" w14:textId="77777777" w:rsidR="009B7AED" w:rsidRDefault="009B7AED" w:rsidP="00B35A5D">
      <w:pPr>
        <w:pStyle w:val="BulletcontinuedBulletsandNumbering"/>
        <w:tabs>
          <w:tab w:val="clear" w:pos="1440"/>
        </w:tabs>
        <w:ind w:left="648"/>
      </w:pPr>
      <w:r>
        <w:t>D = Other sample of trucks from the traffic stream (yearly)</w:t>
      </w:r>
    </w:p>
    <w:p w14:paraId="3E726E3F" w14:textId="77777777" w:rsidR="009B7AED" w:rsidRDefault="009B7AED" w:rsidP="00B35A5D">
      <w:pPr>
        <w:pStyle w:val="BulletcontinuedBulletsandNumbering"/>
        <w:tabs>
          <w:tab w:val="clear" w:pos="1440"/>
        </w:tabs>
        <w:ind w:left="648"/>
      </w:pPr>
      <w:r>
        <w:t>M = Statistical average of the steering axle of class nines (yearly)</w:t>
      </w:r>
    </w:p>
    <w:p w14:paraId="46FC3184" w14:textId="77777777" w:rsidR="009B7AED" w:rsidRDefault="009B7AED" w:rsidP="00B35A5D">
      <w:pPr>
        <w:pStyle w:val="BulletcontinuedBulletsandNumbering"/>
        <w:tabs>
          <w:tab w:val="clear" w:pos="1440"/>
        </w:tabs>
        <w:ind w:left="648"/>
      </w:pPr>
      <w:r>
        <w:t>R = LTPP Calibration Method (yearly)</w:t>
      </w:r>
    </w:p>
    <w:p w14:paraId="54046B7F" w14:textId="77777777" w:rsidR="009B7AED" w:rsidRDefault="009B7AED" w:rsidP="00B35A5D">
      <w:pPr>
        <w:pStyle w:val="BulletcontinuedBulletsandNumbering"/>
        <w:tabs>
          <w:tab w:val="clear" w:pos="1440"/>
        </w:tabs>
        <w:ind w:left="648"/>
      </w:pPr>
      <w:r>
        <w:t>S = Static calibration (yearly)</w:t>
      </w:r>
    </w:p>
    <w:p w14:paraId="489CB91C" w14:textId="77777777" w:rsidR="009B7AED" w:rsidRDefault="009B7AED" w:rsidP="00B35A5D">
      <w:pPr>
        <w:pStyle w:val="BulletcontinuedBulletsandNumbering"/>
        <w:tabs>
          <w:tab w:val="clear" w:pos="1440"/>
        </w:tabs>
        <w:ind w:left="648"/>
      </w:pPr>
      <w:r>
        <w:t>T = Test trucks only (yearly)</w:t>
      </w:r>
    </w:p>
    <w:p w14:paraId="3F763612" w14:textId="77777777" w:rsidR="009B7AED" w:rsidRDefault="009B7AED" w:rsidP="00B35A5D">
      <w:pPr>
        <w:pStyle w:val="BulletcontinuedBulletsandNumbering"/>
        <w:tabs>
          <w:tab w:val="clear" w:pos="1440"/>
        </w:tabs>
        <w:ind w:left="648"/>
      </w:pPr>
      <w:r>
        <w:t>U = Uncalibrated</w:t>
      </w:r>
    </w:p>
    <w:p w14:paraId="350534A5" w14:textId="77777777" w:rsidR="009B7AED" w:rsidRDefault="009B7AED" w:rsidP="00B35A5D">
      <w:pPr>
        <w:pStyle w:val="BulletcontinuedBulletsandNumbering"/>
        <w:tabs>
          <w:tab w:val="clear" w:pos="1440"/>
        </w:tabs>
        <w:ind w:left="648"/>
      </w:pPr>
      <w:r>
        <w:t>Z = Other method (yearly)</w:t>
      </w:r>
    </w:p>
    <w:p w14:paraId="23C16B32" w14:textId="77777777" w:rsidR="009B7AED" w:rsidRDefault="009B7AED">
      <w:pPr>
        <w:pStyle w:val="ListCS1BulletsandNumbering"/>
        <w:numPr>
          <w:ilvl w:val="0"/>
          <w:numId w:val="44"/>
        </w:numPr>
        <w:spacing w:before="0" w:after="120"/>
        <w:ind w:left="648"/>
      </w:pPr>
      <w:r>
        <w:t xml:space="preserve">Type of Sensor – </w:t>
      </w:r>
      <w:r>
        <w:rPr>
          <w:rStyle w:val="Italic"/>
          <w:iCs/>
        </w:rPr>
        <w:t>Required</w:t>
      </w:r>
    </w:p>
    <w:p w14:paraId="4E3A1B0E" w14:textId="6EA7D98E" w:rsidR="009B7AED" w:rsidRDefault="009B7AED" w:rsidP="00B35A5D">
      <w:pPr>
        <w:pStyle w:val="BulletcontinuedBulletsandNumbering"/>
        <w:tabs>
          <w:tab w:val="clear" w:pos="1440"/>
        </w:tabs>
        <w:ind w:left="648"/>
      </w:pPr>
      <w:r>
        <w:t>Code the type of sensor used for traffic detection.</w:t>
      </w:r>
      <w:r w:rsidR="004D4172">
        <w:t xml:space="preserve"> </w:t>
      </w:r>
    </w:p>
    <w:p w14:paraId="262CC347" w14:textId="77777777" w:rsidR="009B7AED" w:rsidRDefault="009B7AED" w:rsidP="00B35A5D">
      <w:pPr>
        <w:pStyle w:val="BulletcontinuedBulletsandNumbering"/>
        <w:tabs>
          <w:tab w:val="clear" w:pos="1440"/>
        </w:tabs>
        <w:ind w:left="648"/>
      </w:pPr>
      <w:r>
        <w:t>A = Automatic vehicle identification (AVI)</w:t>
      </w:r>
    </w:p>
    <w:p w14:paraId="1E4C3072" w14:textId="77777777" w:rsidR="009B7AED" w:rsidRDefault="009B7AED" w:rsidP="00B35A5D">
      <w:pPr>
        <w:pStyle w:val="BulletcontinuedBulletsandNumbering"/>
        <w:tabs>
          <w:tab w:val="clear" w:pos="1440"/>
        </w:tabs>
        <w:ind w:left="648"/>
      </w:pPr>
      <w:r>
        <w:t>B = Bending plate</w:t>
      </w:r>
    </w:p>
    <w:p w14:paraId="6BEB3AFC" w14:textId="77777777" w:rsidR="009B7AED" w:rsidRDefault="009B7AED" w:rsidP="00B35A5D">
      <w:pPr>
        <w:pStyle w:val="BulletcontinuedBulletsandNumbering"/>
        <w:tabs>
          <w:tab w:val="clear" w:pos="1440"/>
        </w:tabs>
        <w:ind w:left="648"/>
      </w:pPr>
      <w:r>
        <w:t>C = Capacitance strip</w:t>
      </w:r>
    </w:p>
    <w:p w14:paraId="3A42D0E1" w14:textId="77777777" w:rsidR="009B7AED" w:rsidRDefault="009B7AED" w:rsidP="00B35A5D">
      <w:pPr>
        <w:pStyle w:val="BulletcontinuedBulletsandNumbering"/>
        <w:tabs>
          <w:tab w:val="clear" w:pos="1440"/>
        </w:tabs>
        <w:ind w:left="648"/>
      </w:pPr>
      <w:r>
        <w:t>D = Capacitance mat/pad</w:t>
      </w:r>
    </w:p>
    <w:p w14:paraId="305420FB" w14:textId="77777777" w:rsidR="009B7AED" w:rsidRDefault="009B7AED" w:rsidP="00B35A5D">
      <w:pPr>
        <w:pStyle w:val="BulletcontinuedBulletsandNumbering"/>
        <w:tabs>
          <w:tab w:val="clear" w:pos="1440"/>
        </w:tabs>
        <w:ind w:left="648"/>
      </w:pPr>
      <w:r>
        <w:t>E = Load cells (hydraulic or mechanical)</w:t>
      </w:r>
    </w:p>
    <w:p w14:paraId="2681FD79" w14:textId="77777777" w:rsidR="009B7AED" w:rsidRDefault="009B7AED" w:rsidP="00B35A5D">
      <w:pPr>
        <w:pStyle w:val="BulletcontinuedBulletsandNumbering"/>
        <w:tabs>
          <w:tab w:val="clear" w:pos="1440"/>
        </w:tabs>
        <w:ind w:left="648"/>
      </w:pPr>
      <w:r>
        <w:t xml:space="preserve">F = Fiber optic </w:t>
      </w:r>
    </w:p>
    <w:p w14:paraId="63E5DEF3" w14:textId="77777777" w:rsidR="009B7AED" w:rsidRDefault="009B7AED" w:rsidP="00B35A5D">
      <w:pPr>
        <w:pStyle w:val="BulletcontinuedBulletsandNumbering"/>
        <w:tabs>
          <w:tab w:val="clear" w:pos="1440"/>
        </w:tabs>
        <w:ind w:left="648"/>
      </w:pPr>
      <w:r>
        <w:t>G = Strain gauge or other sensors mounted on bridge components</w:t>
      </w:r>
    </w:p>
    <w:p w14:paraId="04A701DF" w14:textId="77777777" w:rsidR="009B7AED" w:rsidRDefault="009B7AED" w:rsidP="00B35A5D">
      <w:pPr>
        <w:pStyle w:val="BulletcontinuedBulletsandNumbering"/>
        <w:tabs>
          <w:tab w:val="clear" w:pos="1440"/>
        </w:tabs>
        <w:ind w:left="648"/>
      </w:pPr>
      <w:r>
        <w:lastRenderedPageBreak/>
        <w:t>H = Human observation (manual)</w:t>
      </w:r>
    </w:p>
    <w:p w14:paraId="15FF8994" w14:textId="77777777" w:rsidR="009B7AED" w:rsidRDefault="009B7AED" w:rsidP="00B35A5D">
      <w:pPr>
        <w:pStyle w:val="BulletcontinuedBulletsandNumbering"/>
        <w:tabs>
          <w:tab w:val="clear" w:pos="1440"/>
        </w:tabs>
        <w:ind w:left="648"/>
      </w:pPr>
      <w:r>
        <w:t xml:space="preserve">I = Infrared </w:t>
      </w:r>
    </w:p>
    <w:p w14:paraId="074DA3C6" w14:textId="77777777" w:rsidR="009B7AED" w:rsidRDefault="009B7AED" w:rsidP="00B35A5D">
      <w:pPr>
        <w:pStyle w:val="BulletcontinuedBulletsandNumbering"/>
        <w:tabs>
          <w:tab w:val="clear" w:pos="1440"/>
        </w:tabs>
        <w:ind w:left="648"/>
      </w:pPr>
      <w:r>
        <w:t>J = In-line strain gauge load cell</w:t>
      </w:r>
    </w:p>
    <w:p w14:paraId="48908E76" w14:textId="77777777" w:rsidR="009B7AED" w:rsidRDefault="009B7AED" w:rsidP="00B35A5D">
      <w:pPr>
        <w:pStyle w:val="BulletcontinuedBulletsandNumbering"/>
        <w:tabs>
          <w:tab w:val="clear" w:pos="1440"/>
        </w:tabs>
        <w:ind w:left="648"/>
      </w:pPr>
      <w:r>
        <w:t>K = Laser/L</w:t>
      </w:r>
      <w:r w:rsidRPr="00677E20">
        <w:t>idar</w:t>
      </w:r>
      <w:r>
        <w:t xml:space="preserve"> </w:t>
      </w:r>
    </w:p>
    <w:p w14:paraId="6CB63329" w14:textId="77777777" w:rsidR="009B7AED" w:rsidRDefault="009B7AED" w:rsidP="00B35A5D">
      <w:pPr>
        <w:pStyle w:val="BulletcontinuedBulletsandNumbering"/>
        <w:tabs>
          <w:tab w:val="clear" w:pos="1440"/>
        </w:tabs>
        <w:ind w:left="648"/>
      </w:pPr>
      <w:r>
        <w:t>L = Inductive loop</w:t>
      </w:r>
    </w:p>
    <w:p w14:paraId="24D5941F" w14:textId="58F47672" w:rsidR="009B7AED" w:rsidRDefault="009B7AED" w:rsidP="00B35A5D">
      <w:pPr>
        <w:pStyle w:val="BulletcontinuedBulletsandNumbering"/>
        <w:tabs>
          <w:tab w:val="clear" w:pos="1440"/>
        </w:tabs>
        <w:ind w:left="648"/>
      </w:pPr>
      <w:r>
        <w:t>M = Magnetometer</w:t>
      </w:r>
    </w:p>
    <w:p w14:paraId="30A03637" w14:textId="77777777" w:rsidR="009B7AED" w:rsidRDefault="009B7AED" w:rsidP="00B35A5D">
      <w:pPr>
        <w:pStyle w:val="BulletcontinuedBulletsandNumbering"/>
        <w:tabs>
          <w:tab w:val="clear" w:pos="1440"/>
        </w:tabs>
        <w:ind w:left="648"/>
      </w:pPr>
      <w:r>
        <w:t>P = Piezoelectric</w:t>
      </w:r>
    </w:p>
    <w:p w14:paraId="0D4CA45D" w14:textId="77777777" w:rsidR="009B7AED" w:rsidRDefault="009B7AED" w:rsidP="00B35A5D">
      <w:pPr>
        <w:pStyle w:val="BulletcontinuedBulletsandNumbering"/>
        <w:tabs>
          <w:tab w:val="clear" w:pos="1440"/>
        </w:tabs>
        <w:ind w:left="648"/>
      </w:pPr>
      <w:r>
        <w:t xml:space="preserve">Q = Quartz piezoelectric </w:t>
      </w:r>
    </w:p>
    <w:p w14:paraId="504A4918" w14:textId="77777777" w:rsidR="009B7AED" w:rsidRDefault="009B7AED" w:rsidP="00B35A5D">
      <w:pPr>
        <w:pStyle w:val="BulletcontinuedBulletsandNumbering"/>
        <w:tabs>
          <w:tab w:val="clear" w:pos="1440"/>
        </w:tabs>
        <w:ind w:left="648"/>
      </w:pPr>
      <w:r>
        <w:t>R = Road tube</w:t>
      </w:r>
    </w:p>
    <w:p w14:paraId="4CE2F83B" w14:textId="77777777" w:rsidR="009B7AED" w:rsidRDefault="009B7AED" w:rsidP="00B35A5D">
      <w:pPr>
        <w:pStyle w:val="BulletcontinuedBulletsandNumbering"/>
        <w:tabs>
          <w:tab w:val="clear" w:pos="1440"/>
        </w:tabs>
        <w:ind w:left="648"/>
      </w:pPr>
      <w:r>
        <w:t>S = Sonic/acoustic</w:t>
      </w:r>
    </w:p>
    <w:p w14:paraId="3A59D975" w14:textId="77777777" w:rsidR="009B7AED" w:rsidRDefault="009B7AED" w:rsidP="00B35A5D">
      <w:pPr>
        <w:pStyle w:val="BulletcontinuedBulletsandNumbering"/>
        <w:tabs>
          <w:tab w:val="clear" w:pos="1440"/>
        </w:tabs>
        <w:ind w:left="648"/>
      </w:pPr>
      <w:r>
        <w:t>T = Tape switch</w:t>
      </w:r>
    </w:p>
    <w:p w14:paraId="23F8382B" w14:textId="77777777" w:rsidR="009B7AED" w:rsidRDefault="009B7AED" w:rsidP="00B35A5D">
      <w:pPr>
        <w:pStyle w:val="BulletcontinuedBulletsandNumbering"/>
        <w:tabs>
          <w:tab w:val="clear" w:pos="1440"/>
        </w:tabs>
        <w:ind w:left="648"/>
      </w:pPr>
      <w:r>
        <w:t>U = Ultrasonic</w:t>
      </w:r>
    </w:p>
    <w:p w14:paraId="048F9B39" w14:textId="77777777" w:rsidR="009B7AED" w:rsidRDefault="009B7AED" w:rsidP="00B35A5D">
      <w:pPr>
        <w:pStyle w:val="BulletcontinuedBulletsandNumbering"/>
        <w:tabs>
          <w:tab w:val="clear" w:pos="1440"/>
        </w:tabs>
        <w:ind w:left="648"/>
      </w:pPr>
      <w:r>
        <w:t>V = Video image</w:t>
      </w:r>
    </w:p>
    <w:p w14:paraId="144285C5" w14:textId="77777777" w:rsidR="009B7AED" w:rsidRDefault="009B7AED" w:rsidP="00B35A5D">
      <w:pPr>
        <w:pStyle w:val="BulletcontinuedBulletsandNumbering"/>
        <w:tabs>
          <w:tab w:val="clear" w:pos="1440"/>
        </w:tabs>
        <w:ind w:left="648"/>
      </w:pPr>
      <w:r>
        <w:t>W = Microwave (radar)</w:t>
      </w:r>
    </w:p>
    <w:p w14:paraId="5712828C" w14:textId="77777777" w:rsidR="009B7AED" w:rsidRDefault="009B7AED" w:rsidP="00B35A5D">
      <w:pPr>
        <w:pStyle w:val="BulletcontinuedBulletsandNumbering"/>
        <w:tabs>
          <w:tab w:val="clear" w:pos="1440"/>
        </w:tabs>
        <w:ind w:left="648"/>
      </w:pPr>
      <w:r>
        <w:t>X = Radio wave (radar)</w:t>
      </w:r>
    </w:p>
    <w:p w14:paraId="7C272699" w14:textId="77777777" w:rsidR="009B7AED" w:rsidRDefault="009B7AED" w:rsidP="00B35A5D">
      <w:pPr>
        <w:pStyle w:val="BulletcontinuedBulletsandNumbering"/>
        <w:tabs>
          <w:tab w:val="clear" w:pos="1440"/>
        </w:tabs>
        <w:ind w:left="648"/>
      </w:pPr>
      <w:r>
        <w:t>Y = Segmented strain gauge</w:t>
      </w:r>
    </w:p>
    <w:p w14:paraId="0500B173" w14:textId="77777777" w:rsidR="009B7AED" w:rsidRDefault="009B7AED" w:rsidP="00B35A5D">
      <w:pPr>
        <w:pStyle w:val="BulletcontinuedBulletsandNumbering"/>
        <w:tabs>
          <w:tab w:val="clear" w:pos="1440"/>
        </w:tabs>
        <w:ind w:left="648"/>
      </w:pPr>
      <w:r>
        <w:t>Z = Other</w:t>
      </w:r>
    </w:p>
    <w:p w14:paraId="06A4319E" w14:textId="77777777" w:rsidR="009B7AED" w:rsidRDefault="009B7AED">
      <w:pPr>
        <w:pStyle w:val="ListCS1BulletsandNumbering"/>
        <w:numPr>
          <w:ilvl w:val="0"/>
          <w:numId w:val="44"/>
        </w:numPr>
        <w:spacing w:before="0" w:after="120"/>
        <w:ind w:left="648"/>
      </w:pPr>
      <w:r>
        <w:t xml:space="preserve">Second Type of Sensor – </w:t>
      </w:r>
      <w:r>
        <w:rPr>
          <w:rStyle w:val="Italic"/>
          <w:iCs/>
        </w:rPr>
        <w:t>Optional</w:t>
      </w:r>
    </w:p>
    <w:p w14:paraId="64102DA6" w14:textId="77777777" w:rsidR="009B7AED" w:rsidRDefault="009B7AED" w:rsidP="00B35A5D">
      <w:pPr>
        <w:pStyle w:val="BulletcontinuedBulletsandNumbering"/>
        <w:tabs>
          <w:tab w:val="clear" w:pos="1440"/>
        </w:tabs>
        <w:ind w:left="648"/>
      </w:pPr>
      <w:r>
        <w:t>If there are two types of sensors at the station, code the second using the same codes as Type of Sensor. Otherwise, code N for none.</w:t>
      </w:r>
    </w:p>
    <w:p w14:paraId="5BB41C6F" w14:textId="77777777" w:rsidR="009B7AED" w:rsidRDefault="009B7AED">
      <w:pPr>
        <w:pStyle w:val="ListCS1BulletsandNumbering"/>
        <w:numPr>
          <w:ilvl w:val="0"/>
          <w:numId w:val="44"/>
        </w:numPr>
        <w:spacing w:before="0" w:after="120"/>
        <w:ind w:left="648"/>
      </w:pPr>
      <w:r w:rsidRPr="00E81257">
        <w:t>Latitude</w:t>
      </w:r>
      <w:r>
        <w:t xml:space="preserve"> – </w:t>
      </w:r>
      <w:r>
        <w:rPr>
          <w:rStyle w:val="bolditalic"/>
        </w:rPr>
        <w:t>Required</w:t>
      </w:r>
    </w:p>
    <w:p w14:paraId="27B3B414" w14:textId="3CF9F33D" w:rsidR="009B7AED" w:rsidRDefault="009B7AED" w:rsidP="00B35A5D">
      <w:pPr>
        <w:pStyle w:val="BulletcontinuedBulletsandNumbering"/>
        <w:tabs>
          <w:tab w:val="clear" w:pos="1440"/>
        </w:tabs>
        <w:ind w:left="648"/>
      </w:pPr>
      <w:r>
        <w:t>Latitude of the station location on the centerline of the roadway using decimal degree coordinates. If the value is 039.178 412 (Illinois), then the field is coded as |39.178412|.</w:t>
      </w:r>
      <w:r w:rsidR="004D4172">
        <w:t xml:space="preserve"> </w:t>
      </w:r>
      <w:r>
        <w:t>It is recommended to provide a resolution to the 6</w:t>
      </w:r>
      <w:r w:rsidRPr="005B1A35">
        <w:rPr>
          <w:vertAlign w:val="superscript"/>
        </w:rPr>
        <w:t>th</w:t>
      </w:r>
      <w:r>
        <w:t xml:space="preserve"> decimal degree.</w:t>
      </w:r>
    </w:p>
    <w:p w14:paraId="3410305E" w14:textId="77777777" w:rsidR="009B7AED" w:rsidRDefault="009B7AED">
      <w:pPr>
        <w:pStyle w:val="ListCS1BulletsandNumbering"/>
        <w:numPr>
          <w:ilvl w:val="0"/>
          <w:numId w:val="44"/>
        </w:numPr>
        <w:spacing w:before="0" w:after="120"/>
        <w:ind w:left="648"/>
      </w:pPr>
      <w:r w:rsidRPr="00E81257">
        <w:t>Longitude</w:t>
      </w:r>
      <w:r>
        <w:t xml:space="preserve"> – </w:t>
      </w:r>
      <w:r>
        <w:rPr>
          <w:rStyle w:val="bolditalic"/>
        </w:rPr>
        <w:t>Required</w:t>
      </w:r>
    </w:p>
    <w:p w14:paraId="6C1C5C77" w14:textId="6C257A01" w:rsidR="009B7AED" w:rsidRDefault="009B7AED" w:rsidP="00B35A5D">
      <w:pPr>
        <w:pStyle w:val="BulletcontinuedBulletsandNumbering"/>
        <w:tabs>
          <w:tab w:val="clear" w:pos="1440"/>
        </w:tabs>
        <w:ind w:left="648"/>
      </w:pPr>
      <w:r>
        <w:t>Longitude of the station location on the centerline of the roadway using decimal degree coordinates. If the value is -88.352 543 (Illinois), then the field is coded as |-88.352543|.</w:t>
      </w:r>
      <w:r w:rsidR="004D4172">
        <w:t xml:space="preserve"> </w:t>
      </w:r>
      <w:r>
        <w:t>It is recommended to provide a resolution to the 6</w:t>
      </w:r>
      <w:r w:rsidRPr="001E7724">
        <w:rPr>
          <w:vertAlign w:val="superscript"/>
        </w:rPr>
        <w:t>th</w:t>
      </w:r>
      <w:r>
        <w:t xml:space="preserve"> decimal degree.</w:t>
      </w:r>
    </w:p>
    <w:p w14:paraId="171424AA" w14:textId="77777777" w:rsidR="009B7AED" w:rsidRDefault="009B7AED">
      <w:pPr>
        <w:pStyle w:val="ListCS1BulletsandNumbering"/>
        <w:numPr>
          <w:ilvl w:val="0"/>
          <w:numId w:val="44"/>
        </w:numPr>
        <w:spacing w:before="0" w:after="120"/>
        <w:ind w:left="648"/>
      </w:pPr>
      <w:r>
        <w:t xml:space="preserve">Previous Station ID – </w:t>
      </w:r>
      <w:r>
        <w:rPr>
          <w:rStyle w:val="Italic"/>
          <w:iCs/>
        </w:rPr>
        <w:t>Optional</w:t>
      </w:r>
    </w:p>
    <w:p w14:paraId="7ACF42BB" w14:textId="77777777" w:rsidR="009B7AED" w:rsidRDefault="009B7AED" w:rsidP="00B35A5D">
      <w:pPr>
        <w:pStyle w:val="BulletcontinuedBulletsandNumbering"/>
        <w:tabs>
          <w:tab w:val="clear" w:pos="1440"/>
        </w:tabs>
        <w:ind w:left="648"/>
      </w:pPr>
      <w:r>
        <w:t xml:space="preserve">If the station replaces another station, give the station ID that was used previously. </w:t>
      </w:r>
    </w:p>
    <w:p w14:paraId="7C3FE9E1" w14:textId="77777777" w:rsidR="009B7AED" w:rsidRDefault="009B7AED">
      <w:pPr>
        <w:pStyle w:val="ListCS1BulletsandNumbering"/>
        <w:numPr>
          <w:ilvl w:val="0"/>
          <w:numId w:val="44"/>
        </w:numPr>
        <w:spacing w:before="0" w:after="120"/>
        <w:ind w:left="648"/>
      </w:pPr>
      <w:r>
        <w:t xml:space="preserve">Year Station Established – </w:t>
      </w:r>
      <w:r>
        <w:rPr>
          <w:rStyle w:val="Italic"/>
          <w:iCs/>
        </w:rPr>
        <w:t>Required</w:t>
      </w:r>
    </w:p>
    <w:p w14:paraId="3AFC56F2" w14:textId="77777777" w:rsidR="009B7AED" w:rsidRDefault="009B7AED" w:rsidP="00B35A5D">
      <w:pPr>
        <w:pStyle w:val="BulletcontinuedBulletsandNumbering"/>
        <w:tabs>
          <w:tab w:val="clear" w:pos="1440"/>
        </w:tabs>
        <w:ind w:left="648"/>
      </w:pPr>
      <w:r>
        <w:t>The four-digit year that the station was first established.</w:t>
      </w:r>
    </w:p>
    <w:p w14:paraId="7DA065A4" w14:textId="77777777" w:rsidR="009B7AED" w:rsidRDefault="009B7AED">
      <w:pPr>
        <w:pStyle w:val="ListCS1BulletsandNumbering"/>
        <w:numPr>
          <w:ilvl w:val="0"/>
          <w:numId w:val="44"/>
        </w:numPr>
        <w:spacing w:before="0" w:after="120"/>
        <w:ind w:left="648"/>
      </w:pPr>
      <w:r>
        <w:t>Year Station Discontinued –</w:t>
      </w:r>
      <w:r>
        <w:rPr>
          <w:rStyle w:val="bolditalic"/>
        </w:rPr>
        <w:t xml:space="preserve"> </w:t>
      </w:r>
      <w:r>
        <w:rPr>
          <w:rStyle w:val="Italic"/>
          <w:iCs/>
        </w:rPr>
        <w:t>Optional</w:t>
      </w:r>
    </w:p>
    <w:p w14:paraId="0D683BB8" w14:textId="77777777" w:rsidR="009B7AED" w:rsidRDefault="009B7AED" w:rsidP="00B35A5D">
      <w:pPr>
        <w:pStyle w:val="BulletcontinuedBulletsandNumbering"/>
        <w:tabs>
          <w:tab w:val="clear" w:pos="1440"/>
        </w:tabs>
        <w:ind w:left="648"/>
      </w:pPr>
      <w:r>
        <w:t>The four-digit year that the station was permanently discontinued or abandoned.</w:t>
      </w:r>
    </w:p>
    <w:p w14:paraId="72C7AE20" w14:textId="77777777" w:rsidR="009B7AED" w:rsidRDefault="009B7AED">
      <w:pPr>
        <w:pStyle w:val="ListCS1BulletsandNumbering"/>
        <w:numPr>
          <w:ilvl w:val="0"/>
          <w:numId w:val="44"/>
        </w:numPr>
        <w:spacing w:before="0" w:after="120"/>
        <w:ind w:left="648"/>
      </w:pPr>
      <w:r w:rsidRPr="00E81257">
        <w:t>County</w:t>
      </w:r>
      <w:r>
        <w:rPr>
          <w:rStyle w:val="Bold"/>
        </w:rPr>
        <w:t xml:space="preserve"> FIPS Code </w:t>
      </w:r>
      <w:r>
        <w:t>–</w:t>
      </w:r>
      <w:r w:rsidRPr="00B84218">
        <w:t xml:space="preserve"> </w:t>
      </w:r>
      <w:r>
        <w:rPr>
          <w:rStyle w:val="bolditalic"/>
        </w:rPr>
        <w:t>Required</w:t>
      </w:r>
    </w:p>
    <w:p w14:paraId="716FE8E0" w14:textId="1CD77403" w:rsidR="00F27118" w:rsidRDefault="009B7AED" w:rsidP="00B35A5D">
      <w:pPr>
        <w:pStyle w:val="BulletcontinuedBulletsandNumbering"/>
        <w:tabs>
          <w:tab w:val="clear" w:pos="1440"/>
        </w:tabs>
        <w:ind w:left="648"/>
      </w:pPr>
      <w:r>
        <w:t xml:space="preserve">The three-digit FIPS county code (see Federal Information Processing Standards Publication 6, </w:t>
      </w:r>
      <w:r>
        <w:rPr>
          <w:rStyle w:val="Italic"/>
          <w:iCs/>
        </w:rPr>
        <w:t>Counties of the States of the United States</w:t>
      </w:r>
      <w:r>
        <w:t>).</w:t>
      </w:r>
    </w:p>
    <w:p w14:paraId="108A6671" w14:textId="77777777" w:rsidR="00F27118" w:rsidRDefault="00F27118">
      <w:pPr>
        <w:widowControl/>
        <w:suppressAutoHyphens w:val="0"/>
        <w:autoSpaceDE/>
        <w:autoSpaceDN/>
        <w:adjustRightInd/>
        <w:spacing w:after="160" w:line="259" w:lineRule="auto"/>
        <w:jc w:val="left"/>
        <w:textAlignment w:val="auto"/>
        <w:rPr>
          <w:color w:val="auto"/>
        </w:rPr>
      </w:pPr>
      <w:r>
        <w:br w:type="page"/>
      </w:r>
    </w:p>
    <w:p w14:paraId="6D45BEE7" w14:textId="7C9044AA" w:rsidR="009B7AED" w:rsidRDefault="00F27118">
      <w:pPr>
        <w:pStyle w:val="ListCS1BulletsandNumbering"/>
        <w:numPr>
          <w:ilvl w:val="0"/>
          <w:numId w:val="44"/>
        </w:numPr>
        <w:spacing w:before="0" w:after="120"/>
        <w:ind w:left="648"/>
      </w:pPr>
      <w:r>
        <w:rPr>
          <w:noProof/>
        </w:rPr>
        <w:lastRenderedPageBreak/>
        <mc:AlternateContent>
          <mc:Choice Requires="wps">
            <w:drawing>
              <wp:anchor distT="45720" distB="45720" distL="114300" distR="114300" simplePos="0" relativeHeight="251723776" behindDoc="0" locked="0" layoutInCell="1" allowOverlap="1" wp14:anchorId="55F89846" wp14:editId="78F24F16">
                <wp:simplePos x="0" y="0"/>
                <wp:positionH relativeFrom="margin">
                  <wp:posOffset>3132455</wp:posOffset>
                </wp:positionH>
                <wp:positionV relativeFrom="paragraph">
                  <wp:posOffset>0</wp:posOffset>
                </wp:positionV>
                <wp:extent cx="2844800" cy="2218055"/>
                <wp:effectExtent l="0" t="0" r="0" b="0"/>
                <wp:wrapSquare wrapText="bothSides"/>
                <wp:docPr id="358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4800" cy="2218055"/>
                        </a:xfrm>
                        <a:prstGeom prst="rect">
                          <a:avLst/>
                        </a:prstGeom>
                        <a:solidFill>
                          <a:srgbClr val="FFFFFF"/>
                        </a:solidFill>
                        <a:ln w="9525">
                          <a:noFill/>
                          <a:miter lim="800000"/>
                          <a:headEnd/>
                          <a:tailEnd/>
                        </a:ln>
                      </wps:spPr>
                      <wps:txbx>
                        <w:txbxContent>
                          <w:p w14:paraId="1E1E5DB8" w14:textId="670E6B54" w:rsidR="00B40DD4" w:rsidRPr="006E75BE" w:rsidRDefault="00B40DD4" w:rsidP="00B40DD4">
                            <w:pPr>
                              <w:pStyle w:val="TMGTableCaption"/>
                              <w:spacing w:before="0"/>
                            </w:pPr>
                            <w:bookmarkStart w:id="2862" w:name="_Ref116025432"/>
                            <w:bookmarkStart w:id="2863" w:name="_Toc120631156"/>
                            <w:r w:rsidRPr="006E75BE">
                              <w:t xml:space="preserve">Table </w:t>
                            </w:r>
                            <w:fldSimple w:instr=" STYLEREF 1 \s ">
                              <w:r w:rsidR="00FC0E95">
                                <w:rPr>
                                  <w:noProof/>
                                </w:rPr>
                                <w:t>4</w:t>
                              </w:r>
                            </w:fldSimple>
                            <w:r>
                              <w:noBreakHyphen/>
                            </w:r>
                            <w:fldSimple w:instr=" SEQ Table \* ARABIC \s 1 ">
                              <w:r w:rsidR="00FC0E95">
                                <w:rPr>
                                  <w:noProof/>
                                </w:rPr>
                                <w:t>8</w:t>
                              </w:r>
                            </w:fldSimple>
                            <w:bookmarkEnd w:id="2862"/>
                            <w:r w:rsidR="00352273">
                              <w:t>.</w:t>
                            </w:r>
                            <w:r w:rsidRPr="006E75BE">
                              <w:t xml:space="preserve"> Posted Route Signing Codes</w:t>
                            </w:r>
                            <w:bookmarkEnd w:id="2863"/>
                          </w:p>
                          <w:tbl>
                            <w:tblPr>
                              <w:tblStyle w:val="TableGrid"/>
                              <w:tblW w:w="4405" w:type="dxa"/>
                              <w:tblCellMar>
                                <w:left w:w="86" w:type="dxa"/>
                                <w:right w:w="86" w:type="dxa"/>
                              </w:tblCellMar>
                              <w:tblLook w:val="04A0" w:firstRow="1" w:lastRow="0" w:firstColumn="1" w:lastColumn="0" w:noHBand="0" w:noVBand="1"/>
                            </w:tblPr>
                            <w:tblGrid>
                              <w:gridCol w:w="805"/>
                              <w:gridCol w:w="3600"/>
                            </w:tblGrid>
                            <w:tr w:rsidR="00B40DD4" w14:paraId="1B5A59C0" w14:textId="77777777" w:rsidTr="00B40DD4">
                              <w:tc>
                                <w:tcPr>
                                  <w:tcW w:w="805" w:type="dxa"/>
                                  <w:tcBorders>
                                    <w:right w:val="single" w:sz="4" w:space="0" w:color="FFFFFF" w:themeColor="background1"/>
                                  </w:tcBorders>
                                  <w:shd w:val="clear" w:color="auto" w:fill="1F3864"/>
                                </w:tcPr>
                                <w:p w14:paraId="475CBC86" w14:textId="77777777" w:rsidR="00B40DD4" w:rsidRDefault="00B40DD4" w:rsidP="0017389B">
                                  <w:pPr>
                                    <w:pStyle w:val="TMGTableTextHeader"/>
                                  </w:pPr>
                                  <w:r w:rsidRPr="00804074">
                                    <w:rPr>
                                      <w:rFonts w:eastAsiaTheme="minorEastAsia"/>
                                    </w:rPr>
                                    <w:t>Code</w:t>
                                  </w:r>
                                </w:p>
                              </w:tc>
                              <w:tc>
                                <w:tcPr>
                                  <w:tcW w:w="3600" w:type="dxa"/>
                                  <w:tcBorders>
                                    <w:left w:val="single" w:sz="4" w:space="0" w:color="FFFFFF" w:themeColor="background1"/>
                                  </w:tcBorders>
                                  <w:shd w:val="clear" w:color="auto" w:fill="1F3864"/>
                                </w:tcPr>
                                <w:p w14:paraId="4BB93606" w14:textId="37987F20" w:rsidR="00B40DD4" w:rsidRDefault="00B40DD4" w:rsidP="0017389B">
                                  <w:pPr>
                                    <w:pStyle w:val="TMGTableTextHeader"/>
                                  </w:pPr>
                                  <w:r>
                                    <w:rPr>
                                      <w:rFonts w:eastAsiaTheme="minorEastAsia"/>
                                    </w:rPr>
                                    <w:t>Description</w:t>
                                  </w:r>
                                </w:p>
                              </w:tc>
                            </w:tr>
                            <w:tr w:rsidR="00B40DD4" w14:paraId="76861E23" w14:textId="77777777" w:rsidTr="00B40DD4">
                              <w:tc>
                                <w:tcPr>
                                  <w:tcW w:w="805" w:type="dxa"/>
                                </w:tcPr>
                                <w:p w14:paraId="7431DEDB" w14:textId="51253400" w:rsidR="00B40DD4" w:rsidRPr="00C251E9" w:rsidRDefault="00B40DD4" w:rsidP="00253895">
                                  <w:pPr>
                                    <w:pStyle w:val="TMGTableText"/>
                                    <w:spacing w:before="10" w:after="10"/>
                                    <w:ind w:left="0" w:right="216"/>
                                    <w:jc w:val="right"/>
                                  </w:pPr>
                                  <w:r w:rsidRPr="00804074">
                                    <w:t>1</w:t>
                                  </w:r>
                                </w:p>
                              </w:tc>
                              <w:tc>
                                <w:tcPr>
                                  <w:tcW w:w="3600" w:type="dxa"/>
                                </w:tcPr>
                                <w:p w14:paraId="383F7C08" w14:textId="53B58F9A" w:rsidR="00B40DD4" w:rsidRPr="00C251E9" w:rsidRDefault="00B40DD4" w:rsidP="00253895">
                                  <w:pPr>
                                    <w:pStyle w:val="TMGTableText"/>
                                    <w:spacing w:before="10" w:after="10"/>
                                    <w:ind w:left="0"/>
                                  </w:pPr>
                                  <w:r w:rsidRPr="00804074">
                                    <w:t>Not signed</w:t>
                                  </w:r>
                                </w:p>
                              </w:tc>
                            </w:tr>
                            <w:tr w:rsidR="00B40DD4" w14:paraId="310A3DAC" w14:textId="77777777" w:rsidTr="00B40DD4">
                              <w:tc>
                                <w:tcPr>
                                  <w:tcW w:w="805" w:type="dxa"/>
                                </w:tcPr>
                                <w:p w14:paraId="123F1FC0" w14:textId="40331FF4" w:rsidR="00B40DD4" w:rsidRPr="00804074" w:rsidRDefault="00B40DD4" w:rsidP="00253895">
                                  <w:pPr>
                                    <w:pStyle w:val="TMGTableText"/>
                                    <w:spacing w:before="10" w:after="10"/>
                                    <w:ind w:left="0" w:right="216"/>
                                    <w:jc w:val="right"/>
                                  </w:pPr>
                                  <w:r w:rsidRPr="00804074">
                                    <w:t>2</w:t>
                                  </w:r>
                                </w:p>
                              </w:tc>
                              <w:tc>
                                <w:tcPr>
                                  <w:tcW w:w="3600" w:type="dxa"/>
                                </w:tcPr>
                                <w:p w14:paraId="1AB1C61E" w14:textId="16E6AF9A" w:rsidR="00B40DD4" w:rsidRPr="00804074" w:rsidRDefault="00B40DD4" w:rsidP="00253895">
                                  <w:pPr>
                                    <w:pStyle w:val="TMGTableText"/>
                                    <w:spacing w:before="10" w:after="10"/>
                                    <w:ind w:left="0"/>
                                  </w:pPr>
                                  <w:r w:rsidRPr="00804074">
                                    <w:t>Interstate</w:t>
                                  </w:r>
                                </w:p>
                              </w:tc>
                            </w:tr>
                            <w:tr w:rsidR="00B40DD4" w14:paraId="6D595CC1" w14:textId="77777777" w:rsidTr="00B40DD4">
                              <w:tc>
                                <w:tcPr>
                                  <w:tcW w:w="805" w:type="dxa"/>
                                </w:tcPr>
                                <w:p w14:paraId="70ECC1FA" w14:textId="24A4D421" w:rsidR="00B40DD4" w:rsidRPr="00804074" w:rsidRDefault="00B40DD4" w:rsidP="00253895">
                                  <w:pPr>
                                    <w:pStyle w:val="TMGTableText"/>
                                    <w:spacing w:before="10" w:after="10"/>
                                    <w:ind w:left="0" w:right="216"/>
                                    <w:jc w:val="right"/>
                                  </w:pPr>
                                  <w:r w:rsidRPr="00804074">
                                    <w:t>3</w:t>
                                  </w:r>
                                </w:p>
                              </w:tc>
                              <w:tc>
                                <w:tcPr>
                                  <w:tcW w:w="3600" w:type="dxa"/>
                                </w:tcPr>
                                <w:p w14:paraId="45DA9380" w14:textId="3360EFF8" w:rsidR="00B40DD4" w:rsidRPr="00804074" w:rsidRDefault="00B40DD4" w:rsidP="00253895">
                                  <w:pPr>
                                    <w:pStyle w:val="TMGTableText"/>
                                    <w:spacing w:before="10" w:after="10"/>
                                    <w:ind w:left="0"/>
                                  </w:pPr>
                                  <w:r w:rsidRPr="00804074">
                                    <w:t>U.S.</w:t>
                                  </w:r>
                                </w:p>
                              </w:tc>
                            </w:tr>
                            <w:tr w:rsidR="00B40DD4" w14:paraId="03EF96FF" w14:textId="77777777" w:rsidTr="00B40DD4">
                              <w:tc>
                                <w:tcPr>
                                  <w:tcW w:w="805" w:type="dxa"/>
                                </w:tcPr>
                                <w:p w14:paraId="56188190" w14:textId="28E2CEB1" w:rsidR="00B40DD4" w:rsidRPr="00804074" w:rsidRDefault="00B40DD4" w:rsidP="00253895">
                                  <w:pPr>
                                    <w:pStyle w:val="TMGTableText"/>
                                    <w:spacing w:before="10" w:after="10"/>
                                    <w:ind w:left="0" w:right="216"/>
                                    <w:jc w:val="right"/>
                                  </w:pPr>
                                  <w:r w:rsidRPr="00804074">
                                    <w:t>4</w:t>
                                  </w:r>
                                </w:p>
                              </w:tc>
                              <w:tc>
                                <w:tcPr>
                                  <w:tcW w:w="3600" w:type="dxa"/>
                                </w:tcPr>
                                <w:p w14:paraId="052F557F" w14:textId="20202EB9" w:rsidR="00B40DD4" w:rsidRPr="00804074" w:rsidRDefault="00B40DD4" w:rsidP="00253895">
                                  <w:pPr>
                                    <w:pStyle w:val="TMGTableText"/>
                                    <w:spacing w:before="10" w:after="10"/>
                                    <w:ind w:left="0"/>
                                  </w:pPr>
                                  <w:r w:rsidRPr="00804074">
                                    <w:t>State</w:t>
                                  </w:r>
                                </w:p>
                              </w:tc>
                            </w:tr>
                            <w:tr w:rsidR="00B40DD4" w14:paraId="19AB3E4D" w14:textId="77777777" w:rsidTr="00B40DD4">
                              <w:tc>
                                <w:tcPr>
                                  <w:tcW w:w="805" w:type="dxa"/>
                                </w:tcPr>
                                <w:p w14:paraId="6CBA190F" w14:textId="0DAD418E" w:rsidR="00B40DD4" w:rsidRPr="00804074" w:rsidRDefault="00B40DD4" w:rsidP="00253895">
                                  <w:pPr>
                                    <w:pStyle w:val="TMGTableText"/>
                                    <w:spacing w:before="10" w:after="10"/>
                                    <w:ind w:left="0" w:right="216"/>
                                    <w:jc w:val="right"/>
                                  </w:pPr>
                                  <w:r w:rsidRPr="00804074">
                                    <w:t>5</w:t>
                                  </w:r>
                                </w:p>
                              </w:tc>
                              <w:tc>
                                <w:tcPr>
                                  <w:tcW w:w="3600" w:type="dxa"/>
                                </w:tcPr>
                                <w:p w14:paraId="3A604105" w14:textId="4AB8AFF7" w:rsidR="00B40DD4" w:rsidRPr="00804074" w:rsidRDefault="00B40DD4" w:rsidP="00253895">
                                  <w:pPr>
                                    <w:pStyle w:val="TMGTableText"/>
                                    <w:spacing w:before="10" w:after="10"/>
                                    <w:ind w:left="0"/>
                                  </w:pPr>
                                  <w:r w:rsidRPr="00804074">
                                    <w:t>Off-Interstate Business Marker</w:t>
                                  </w:r>
                                </w:p>
                              </w:tc>
                            </w:tr>
                            <w:tr w:rsidR="00B40DD4" w14:paraId="31E38440" w14:textId="77777777" w:rsidTr="00B40DD4">
                              <w:tc>
                                <w:tcPr>
                                  <w:tcW w:w="805" w:type="dxa"/>
                                </w:tcPr>
                                <w:p w14:paraId="5C6E4675" w14:textId="2A43663B" w:rsidR="00B40DD4" w:rsidRPr="00804074" w:rsidRDefault="00B40DD4" w:rsidP="00253895">
                                  <w:pPr>
                                    <w:pStyle w:val="TMGTableText"/>
                                    <w:spacing w:before="10" w:after="10"/>
                                    <w:ind w:left="0" w:right="216"/>
                                    <w:jc w:val="right"/>
                                  </w:pPr>
                                  <w:r w:rsidRPr="00804074">
                                    <w:t>6</w:t>
                                  </w:r>
                                </w:p>
                              </w:tc>
                              <w:tc>
                                <w:tcPr>
                                  <w:tcW w:w="3600" w:type="dxa"/>
                                </w:tcPr>
                                <w:p w14:paraId="0D91EAA5" w14:textId="76B5B48E" w:rsidR="00B40DD4" w:rsidRPr="00804074" w:rsidRDefault="00B40DD4" w:rsidP="00253895">
                                  <w:pPr>
                                    <w:pStyle w:val="TMGTableText"/>
                                    <w:spacing w:before="10" w:after="10"/>
                                    <w:ind w:left="0"/>
                                  </w:pPr>
                                  <w:r w:rsidRPr="00804074">
                                    <w:t>County</w:t>
                                  </w:r>
                                </w:p>
                              </w:tc>
                            </w:tr>
                            <w:tr w:rsidR="00B40DD4" w14:paraId="7EB56DC0" w14:textId="77777777" w:rsidTr="00B40DD4">
                              <w:tc>
                                <w:tcPr>
                                  <w:tcW w:w="805" w:type="dxa"/>
                                </w:tcPr>
                                <w:p w14:paraId="18484E5A" w14:textId="32A3428C" w:rsidR="00B40DD4" w:rsidRPr="00804074" w:rsidRDefault="00B40DD4" w:rsidP="00253895">
                                  <w:pPr>
                                    <w:pStyle w:val="TMGTableText"/>
                                    <w:spacing w:before="10" w:after="10"/>
                                    <w:ind w:left="0" w:right="216"/>
                                    <w:jc w:val="right"/>
                                  </w:pPr>
                                  <w:r w:rsidRPr="00804074">
                                    <w:t>7</w:t>
                                  </w:r>
                                </w:p>
                              </w:tc>
                              <w:tc>
                                <w:tcPr>
                                  <w:tcW w:w="3600" w:type="dxa"/>
                                </w:tcPr>
                                <w:p w14:paraId="28F29E73" w14:textId="00D8BCFA" w:rsidR="00B40DD4" w:rsidRPr="00804074" w:rsidRDefault="00B40DD4" w:rsidP="00253895">
                                  <w:pPr>
                                    <w:pStyle w:val="TMGTableText"/>
                                    <w:spacing w:before="10" w:after="10"/>
                                    <w:ind w:left="0"/>
                                  </w:pPr>
                                  <w:r w:rsidRPr="00804074">
                                    <w:t>Township</w:t>
                                  </w:r>
                                </w:p>
                              </w:tc>
                            </w:tr>
                            <w:tr w:rsidR="00B40DD4" w14:paraId="0163000D" w14:textId="77777777" w:rsidTr="00B40DD4">
                              <w:tc>
                                <w:tcPr>
                                  <w:tcW w:w="805" w:type="dxa"/>
                                </w:tcPr>
                                <w:p w14:paraId="11406600" w14:textId="5C63175D" w:rsidR="00B40DD4" w:rsidRPr="00804074" w:rsidRDefault="00B40DD4" w:rsidP="00253895">
                                  <w:pPr>
                                    <w:pStyle w:val="TMGTableText"/>
                                    <w:spacing w:before="10" w:after="10"/>
                                    <w:ind w:left="0" w:right="216"/>
                                    <w:jc w:val="right"/>
                                  </w:pPr>
                                  <w:r w:rsidRPr="00804074">
                                    <w:t>8</w:t>
                                  </w:r>
                                </w:p>
                              </w:tc>
                              <w:tc>
                                <w:tcPr>
                                  <w:tcW w:w="3600" w:type="dxa"/>
                                </w:tcPr>
                                <w:p w14:paraId="6E95BC3A" w14:textId="49FABEA0" w:rsidR="00B40DD4" w:rsidRPr="00804074" w:rsidRDefault="00B40DD4" w:rsidP="00253895">
                                  <w:pPr>
                                    <w:pStyle w:val="TMGTableText"/>
                                    <w:spacing w:before="10" w:after="10"/>
                                    <w:ind w:left="0"/>
                                  </w:pPr>
                                  <w:r w:rsidRPr="00804074">
                                    <w:t>Municipal</w:t>
                                  </w:r>
                                </w:p>
                              </w:tc>
                            </w:tr>
                            <w:tr w:rsidR="00B40DD4" w14:paraId="35B480EF" w14:textId="77777777" w:rsidTr="00B40DD4">
                              <w:tc>
                                <w:tcPr>
                                  <w:tcW w:w="805" w:type="dxa"/>
                                </w:tcPr>
                                <w:p w14:paraId="4E059351" w14:textId="631B40A5" w:rsidR="00B40DD4" w:rsidRPr="00C251E9" w:rsidRDefault="00B40DD4" w:rsidP="00253895">
                                  <w:pPr>
                                    <w:pStyle w:val="TMGTableText"/>
                                    <w:spacing w:before="10" w:after="10"/>
                                    <w:ind w:left="0" w:right="216"/>
                                    <w:jc w:val="right"/>
                                  </w:pPr>
                                  <w:r w:rsidRPr="00804074">
                                    <w:t>9</w:t>
                                  </w:r>
                                </w:p>
                              </w:tc>
                              <w:tc>
                                <w:tcPr>
                                  <w:tcW w:w="3600" w:type="dxa"/>
                                </w:tcPr>
                                <w:p w14:paraId="46F164CA" w14:textId="3CF4928D" w:rsidR="00B40DD4" w:rsidRPr="00C251E9" w:rsidRDefault="00B40DD4" w:rsidP="00253895">
                                  <w:pPr>
                                    <w:pStyle w:val="TMGTableText"/>
                                    <w:spacing w:before="10" w:after="10"/>
                                    <w:ind w:left="0"/>
                                  </w:pPr>
                                  <w:r w:rsidRPr="00804074">
                                    <w:t>Parkway Marker or Forest Route Marker</w:t>
                                  </w:r>
                                </w:p>
                              </w:tc>
                            </w:tr>
                            <w:tr w:rsidR="00B40DD4" w14:paraId="5C4058D1" w14:textId="77777777" w:rsidTr="00B40DD4">
                              <w:tc>
                                <w:tcPr>
                                  <w:tcW w:w="805" w:type="dxa"/>
                                </w:tcPr>
                                <w:p w14:paraId="68C32BB6" w14:textId="58272EC3" w:rsidR="00B40DD4" w:rsidRPr="00C251E9" w:rsidRDefault="00B40DD4" w:rsidP="00253895">
                                  <w:pPr>
                                    <w:pStyle w:val="TMGTableText"/>
                                    <w:spacing w:before="10" w:after="10"/>
                                    <w:ind w:left="0" w:right="216"/>
                                    <w:jc w:val="right"/>
                                    <w:rPr>
                                      <w:b/>
                                      <w:bCs/>
                                    </w:rPr>
                                  </w:pPr>
                                  <w:r w:rsidRPr="00804074">
                                    <w:t>10</w:t>
                                  </w:r>
                                </w:p>
                              </w:tc>
                              <w:tc>
                                <w:tcPr>
                                  <w:tcW w:w="3600" w:type="dxa"/>
                                </w:tcPr>
                                <w:p w14:paraId="2270CB9F" w14:textId="325818E5" w:rsidR="00B40DD4" w:rsidRPr="00C251E9" w:rsidRDefault="00B40DD4" w:rsidP="00253895">
                                  <w:pPr>
                                    <w:pStyle w:val="TMGTableText"/>
                                    <w:spacing w:before="10" w:after="10"/>
                                    <w:ind w:left="0"/>
                                  </w:pPr>
                                  <w:r w:rsidRPr="00804074">
                                    <w:t>None of the above</w:t>
                                  </w:r>
                                </w:p>
                              </w:tc>
                            </w:tr>
                          </w:tbl>
                          <w:p w14:paraId="24E050A8" w14:textId="77777777" w:rsidR="00B40DD4" w:rsidRDefault="00B40DD4" w:rsidP="00B40DD4"/>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5F89846" id="_x0000_s1120" type="#_x0000_t202" style="position:absolute;left:0;text-align:left;margin-left:246.65pt;margin-top:0;width:224pt;height:174.65pt;z-index:251723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" stroked="f">
                <v:textbox inset="0,0,0,0">
                  <w:txbxContent>
                    <w:p w14:paraId="1E1E5DB8" w14:textId="670E6B54" w:rsidR="00B40DD4" w:rsidRPr="006E75BE" w:rsidRDefault="00B40DD4" w:rsidP="00B40DD4">
                      <w:pPr>
                        <w:pStyle w:val="TMGTableCaption"/>
                        <w:spacing w:before="0"/>
                      </w:pPr>
                      <w:bookmarkStart w:id="2864" w:name="_Ref116025432"/>
                      <w:bookmarkStart w:id="2865" w:name="_Toc120631156"/>
                      <w:r w:rsidRPr="006E75BE">
                        <w:t xml:space="preserve">Table </w:t>
                      </w:r>
                      <w:fldSimple w:instr=" STYLEREF 1 \s ">
                        <w:r w:rsidR="00FC0E95">
                          <w:rPr>
                            <w:noProof/>
                          </w:rPr>
                          <w:t>4</w:t>
                        </w:r>
                      </w:fldSimple>
                      <w:r>
                        <w:noBreakHyphen/>
                      </w:r>
                      <w:fldSimple w:instr=" SEQ Table \* ARABIC \s 1 ">
                        <w:r w:rsidR="00FC0E95">
                          <w:rPr>
                            <w:noProof/>
                          </w:rPr>
                          <w:t>8</w:t>
                        </w:r>
                      </w:fldSimple>
                      <w:bookmarkEnd w:id="2864"/>
                      <w:r w:rsidR="00352273">
                        <w:t>.</w:t>
                      </w:r>
                      <w:r w:rsidRPr="006E75BE">
                        <w:t xml:space="preserve"> Posted Route Signing Codes</w:t>
                      </w:r>
                      <w:bookmarkEnd w:id="2865"/>
                    </w:p>
                    <w:tbl>
                      <w:tblPr>
                        <w:tblStyle w:val="TableGrid"/>
                        <w:tblW w:w="4405" w:type="dxa"/>
                        <w:tblCellMar>
                          <w:left w:w="86" w:type="dxa"/>
                          <w:right w:w="86" w:type="dxa"/>
                        </w:tblCellMar>
                        <w:tblLook w:val="04A0" w:firstRow="1" w:lastRow="0" w:firstColumn="1" w:lastColumn="0" w:noHBand="0" w:noVBand="1"/>
                      </w:tblPr>
                      <w:tblGrid>
                        <w:gridCol w:w="805"/>
                        <w:gridCol w:w="3600"/>
                      </w:tblGrid>
                      <w:tr w:rsidR="00B40DD4" w14:paraId="1B5A59C0" w14:textId="77777777" w:rsidTr="00B40DD4">
                        <w:tc>
                          <w:tcPr>
                            <w:tcW w:w="805" w:type="dxa"/>
                            <w:tcBorders>
                              <w:right w:val="single" w:sz="4" w:space="0" w:color="FFFFFF" w:themeColor="background1"/>
                            </w:tcBorders>
                            <w:shd w:val="clear" w:color="auto" w:fill="1F3864"/>
                          </w:tcPr>
                          <w:p w14:paraId="475CBC86" w14:textId="77777777" w:rsidR="00B40DD4" w:rsidRDefault="00B40DD4" w:rsidP="0017389B">
                            <w:pPr>
                              <w:pStyle w:val="TMGTableTextHeader"/>
                            </w:pPr>
                            <w:r w:rsidRPr="00804074">
                              <w:rPr>
                                <w:rFonts w:eastAsiaTheme="minorEastAsia"/>
                              </w:rPr>
                              <w:t>Code</w:t>
                            </w:r>
                          </w:p>
                        </w:tc>
                        <w:tc>
                          <w:tcPr>
                            <w:tcW w:w="3600" w:type="dxa"/>
                            <w:tcBorders>
                              <w:left w:val="single" w:sz="4" w:space="0" w:color="FFFFFF" w:themeColor="background1"/>
                            </w:tcBorders>
                            <w:shd w:val="clear" w:color="auto" w:fill="1F3864"/>
                          </w:tcPr>
                          <w:p w14:paraId="4BB93606" w14:textId="37987F20" w:rsidR="00B40DD4" w:rsidRDefault="00B40DD4" w:rsidP="0017389B">
                            <w:pPr>
                              <w:pStyle w:val="TMGTableTextHeader"/>
                            </w:pPr>
                            <w:r>
                              <w:rPr>
                                <w:rFonts w:eastAsiaTheme="minorEastAsia"/>
                              </w:rPr>
                              <w:t>Description</w:t>
                            </w:r>
                          </w:p>
                        </w:tc>
                      </w:tr>
                      <w:tr w:rsidR="00B40DD4" w14:paraId="76861E23" w14:textId="77777777" w:rsidTr="00B40DD4">
                        <w:tc>
                          <w:tcPr>
                            <w:tcW w:w="805" w:type="dxa"/>
                          </w:tcPr>
                          <w:p w14:paraId="7431DEDB" w14:textId="51253400" w:rsidR="00B40DD4" w:rsidRPr="00C251E9" w:rsidRDefault="00B40DD4" w:rsidP="00253895">
                            <w:pPr>
                              <w:pStyle w:val="TMGTableText"/>
                              <w:spacing w:before="10" w:after="10"/>
                              <w:ind w:left="0" w:right="216"/>
                              <w:jc w:val="right"/>
                            </w:pPr>
                            <w:r w:rsidRPr="00804074">
                              <w:t>1</w:t>
                            </w:r>
                          </w:p>
                        </w:tc>
                        <w:tc>
                          <w:tcPr>
                            <w:tcW w:w="3600" w:type="dxa"/>
                          </w:tcPr>
                          <w:p w14:paraId="383F7C08" w14:textId="53B58F9A" w:rsidR="00B40DD4" w:rsidRPr="00C251E9" w:rsidRDefault="00B40DD4" w:rsidP="00253895">
                            <w:pPr>
                              <w:pStyle w:val="TMGTableText"/>
                              <w:spacing w:before="10" w:after="10"/>
                              <w:ind w:left="0"/>
                            </w:pPr>
                            <w:r w:rsidRPr="00804074">
                              <w:t>Not signed</w:t>
                            </w:r>
                          </w:p>
                        </w:tc>
                      </w:tr>
                      <w:tr w:rsidR="00B40DD4" w14:paraId="310A3DAC" w14:textId="77777777" w:rsidTr="00B40DD4">
                        <w:tc>
                          <w:tcPr>
                            <w:tcW w:w="805" w:type="dxa"/>
                          </w:tcPr>
                          <w:p w14:paraId="123F1FC0" w14:textId="40331FF4" w:rsidR="00B40DD4" w:rsidRPr="00804074" w:rsidRDefault="00B40DD4" w:rsidP="00253895">
                            <w:pPr>
                              <w:pStyle w:val="TMGTableText"/>
                              <w:spacing w:before="10" w:after="10"/>
                              <w:ind w:left="0" w:right="216"/>
                              <w:jc w:val="right"/>
                            </w:pPr>
                            <w:r w:rsidRPr="00804074">
                              <w:t>2</w:t>
                            </w:r>
                          </w:p>
                        </w:tc>
                        <w:tc>
                          <w:tcPr>
                            <w:tcW w:w="3600" w:type="dxa"/>
                          </w:tcPr>
                          <w:p w14:paraId="1AB1C61E" w14:textId="16E6AF9A" w:rsidR="00B40DD4" w:rsidRPr="00804074" w:rsidRDefault="00B40DD4" w:rsidP="00253895">
                            <w:pPr>
                              <w:pStyle w:val="TMGTableText"/>
                              <w:spacing w:before="10" w:after="10"/>
                              <w:ind w:left="0"/>
                            </w:pPr>
                            <w:r w:rsidRPr="00804074">
                              <w:t>Interstate</w:t>
                            </w:r>
                          </w:p>
                        </w:tc>
                      </w:tr>
                      <w:tr w:rsidR="00B40DD4" w14:paraId="6D595CC1" w14:textId="77777777" w:rsidTr="00B40DD4">
                        <w:tc>
                          <w:tcPr>
                            <w:tcW w:w="805" w:type="dxa"/>
                          </w:tcPr>
                          <w:p w14:paraId="70ECC1FA" w14:textId="24A4D421" w:rsidR="00B40DD4" w:rsidRPr="00804074" w:rsidRDefault="00B40DD4" w:rsidP="00253895">
                            <w:pPr>
                              <w:pStyle w:val="TMGTableText"/>
                              <w:spacing w:before="10" w:after="10"/>
                              <w:ind w:left="0" w:right="216"/>
                              <w:jc w:val="right"/>
                            </w:pPr>
                            <w:r w:rsidRPr="00804074">
                              <w:t>3</w:t>
                            </w:r>
                          </w:p>
                        </w:tc>
                        <w:tc>
                          <w:tcPr>
                            <w:tcW w:w="3600" w:type="dxa"/>
                          </w:tcPr>
                          <w:p w14:paraId="45DA9380" w14:textId="3360EFF8" w:rsidR="00B40DD4" w:rsidRPr="00804074" w:rsidRDefault="00B40DD4" w:rsidP="00253895">
                            <w:pPr>
                              <w:pStyle w:val="TMGTableText"/>
                              <w:spacing w:before="10" w:after="10"/>
                              <w:ind w:left="0"/>
                            </w:pPr>
                            <w:r w:rsidRPr="00804074">
                              <w:t>U.S.</w:t>
                            </w:r>
                          </w:p>
                        </w:tc>
                      </w:tr>
                      <w:tr w:rsidR="00B40DD4" w14:paraId="03EF96FF" w14:textId="77777777" w:rsidTr="00B40DD4">
                        <w:tc>
                          <w:tcPr>
                            <w:tcW w:w="805" w:type="dxa"/>
                          </w:tcPr>
                          <w:p w14:paraId="56188190" w14:textId="28E2CEB1" w:rsidR="00B40DD4" w:rsidRPr="00804074" w:rsidRDefault="00B40DD4" w:rsidP="00253895">
                            <w:pPr>
                              <w:pStyle w:val="TMGTableText"/>
                              <w:spacing w:before="10" w:after="10"/>
                              <w:ind w:left="0" w:right="216"/>
                              <w:jc w:val="right"/>
                            </w:pPr>
                            <w:r w:rsidRPr="00804074">
                              <w:t>4</w:t>
                            </w:r>
                          </w:p>
                        </w:tc>
                        <w:tc>
                          <w:tcPr>
                            <w:tcW w:w="3600" w:type="dxa"/>
                          </w:tcPr>
                          <w:p w14:paraId="052F557F" w14:textId="20202EB9" w:rsidR="00B40DD4" w:rsidRPr="00804074" w:rsidRDefault="00B40DD4" w:rsidP="00253895">
                            <w:pPr>
                              <w:pStyle w:val="TMGTableText"/>
                              <w:spacing w:before="10" w:after="10"/>
                              <w:ind w:left="0"/>
                            </w:pPr>
                            <w:r w:rsidRPr="00804074">
                              <w:t>State</w:t>
                            </w:r>
                          </w:p>
                        </w:tc>
                      </w:tr>
                      <w:tr w:rsidR="00B40DD4" w14:paraId="19AB3E4D" w14:textId="77777777" w:rsidTr="00B40DD4">
                        <w:tc>
                          <w:tcPr>
                            <w:tcW w:w="805" w:type="dxa"/>
                          </w:tcPr>
                          <w:p w14:paraId="6CBA190F" w14:textId="0DAD418E" w:rsidR="00B40DD4" w:rsidRPr="00804074" w:rsidRDefault="00B40DD4" w:rsidP="00253895">
                            <w:pPr>
                              <w:pStyle w:val="TMGTableText"/>
                              <w:spacing w:before="10" w:after="10"/>
                              <w:ind w:left="0" w:right="216"/>
                              <w:jc w:val="right"/>
                            </w:pPr>
                            <w:r w:rsidRPr="00804074">
                              <w:t>5</w:t>
                            </w:r>
                          </w:p>
                        </w:tc>
                        <w:tc>
                          <w:tcPr>
                            <w:tcW w:w="3600" w:type="dxa"/>
                          </w:tcPr>
                          <w:p w14:paraId="3A604105" w14:textId="4AB8AFF7" w:rsidR="00B40DD4" w:rsidRPr="00804074" w:rsidRDefault="00B40DD4" w:rsidP="00253895">
                            <w:pPr>
                              <w:pStyle w:val="TMGTableText"/>
                              <w:spacing w:before="10" w:after="10"/>
                              <w:ind w:left="0"/>
                            </w:pPr>
                            <w:r w:rsidRPr="00804074">
                              <w:t>Off-Interstate Business Marker</w:t>
                            </w:r>
                          </w:p>
                        </w:tc>
                      </w:tr>
                      <w:tr w:rsidR="00B40DD4" w14:paraId="31E38440" w14:textId="77777777" w:rsidTr="00B40DD4">
                        <w:tc>
                          <w:tcPr>
                            <w:tcW w:w="805" w:type="dxa"/>
                          </w:tcPr>
                          <w:p w14:paraId="5C6E4675" w14:textId="2A43663B" w:rsidR="00B40DD4" w:rsidRPr="00804074" w:rsidRDefault="00B40DD4" w:rsidP="00253895">
                            <w:pPr>
                              <w:pStyle w:val="TMGTableText"/>
                              <w:spacing w:before="10" w:after="10"/>
                              <w:ind w:left="0" w:right="216"/>
                              <w:jc w:val="right"/>
                            </w:pPr>
                            <w:r w:rsidRPr="00804074">
                              <w:t>6</w:t>
                            </w:r>
                          </w:p>
                        </w:tc>
                        <w:tc>
                          <w:tcPr>
                            <w:tcW w:w="3600" w:type="dxa"/>
                          </w:tcPr>
                          <w:p w14:paraId="0D91EAA5" w14:textId="76B5B48E" w:rsidR="00B40DD4" w:rsidRPr="00804074" w:rsidRDefault="00B40DD4" w:rsidP="00253895">
                            <w:pPr>
                              <w:pStyle w:val="TMGTableText"/>
                              <w:spacing w:before="10" w:after="10"/>
                              <w:ind w:left="0"/>
                            </w:pPr>
                            <w:r w:rsidRPr="00804074">
                              <w:t>County</w:t>
                            </w:r>
                          </w:p>
                        </w:tc>
                      </w:tr>
                      <w:tr w:rsidR="00B40DD4" w14:paraId="7EB56DC0" w14:textId="77777777" w:rsidTr="00B40DD4">
                        <w:tc>
                          <w:tcPr>
                            <w:tcW w:w="805" w:type="dxa"/>
                          </w:tcPr>
                          <w:p w14:paraId="18484E5A" w14:textId="32A3428C" w:rsidR="00B40DD4" w:rsidRPr="00804074" w:rsidRDefault="00B40DD4" w:rsidP="00253895">
                            <w:pPr>
                              <w:pStyle w:val="TMGTableText"/>
                              <w:spacing w:before="10" w:after="10"/>
                              <w:ind w:left="0" w:right="216"/>
                              <w:jc w:val="right"/>
                            </w:pPr>
                            <w:r w:rsidRPr="00804074">
                              <w:t>7</w:t>
                            </w:r>
                          </w:p>
                        </w:tc>
                        <w:tc>
                          <w:tcPr>
                            <w:tcW w:w="3600" w:type="dxa"/>
                          </w:tcPr>
                          <w:p w14:paraId="28F29E73" w14:textId="00D8BCFA" w:rsidR="00B40DD4" w:rsidRPr="00804074" w:rsidRDefault="00B40DD4" w:rsidP="00253895">
                            <w:pPr>
                              <w:pStyle w:val="TMGTableText"/>
                              <w:spacing w:before="10" w:after="10"/>
                              <w:ind w:left="0"/>
                            </w:pPr>
                            <w:r w:rsidRPr="00804074">
                              <w:t>Township</w:t>
                            </w:r>
                          </w:p>
                        </w:tc>
                      </w:tr>
                      <w:tr w:rsidR="00B40DD4" w14:paraId="0163000D" w14:textId="77777777" w:rsidTr="00B40DD4">
                        <w:tc>
                          <w:tcPr>
                            <w:tcW w:w="805" w:type="dxa"/>
                          </w:tcPr>
                          <w:p w14:paraId="11406600" w14:textId="5C63175D" w:rsidR="00B40DD4" w:rsidRPr="00804074" w:rsidRDefault="00B40DD4" w:rsidP="00253895">
                            <w:pPr>
                              <w:pStyle w:val="TMGTableText"/>
                              <w:spacing w:before="10" w:after="10"/>
                              <w:ind w:left="0" w:right="216"/>
                              <w:jc w:val="right"/>
                            </w:pPr>
                            <w:r w:rsidRPr="00804074">
                              <w:t>8</w:t>
                            </w:r>
                          </w:p>
                        </w:tc>
                        <w:tc>
                          <w:tcPr>
                            <w:tcW w:w="3600" w:type="dxa"/>
                          </w:tcPr>
                          <w:p w14:paraId="6E95BC3A" w14:textId="49FABEA0" w:rsidR="00B40DD4" w:rsidRPr="00804074" w:rsidRDefault="00B40DD4" w:rsidP="00253895">
                            <w:pPr>
                              <w:pStyle w:val="TMGTableText"/>
                              <w:spacing w:before="10" w:after="10"/>
                              <w:ind w:left="0"/>
                            </w:pPr>
                            <w:r w:rsidRPr="00804074">
                              <w:t>Municipal</w:t>
                            </w:r>
                          </w:p>
                        </w:tc>
                      </w:tr>
                      <w:tr w:rsidR="00B40DD4" w14:paraId="35B480EF" w14:textId="77777777" w:rsidTr="00B40DD4">
                        <w:tc>
                          <w:tcPr>
                            <w:tcW w:w="805" w:type="dxa"/>
                          </w:tcPr>
                          <w:p w14:paraId="4E059351" w14:textId="631B40A5" w:rsidR="00B40DD4" w:rsidRPr="00C251E9" w:rsidRDefault="00B40DD4" w:rsidP="00253895">
                            <w:pPr>
                              <w:pStyle w:val="TMGTableText"/>
                              <w:spacing w:before="10" w:after="10"/>
                              <w:ind w:left="0" w:right="216"/>
                              <w:jc w:val="right"/>
                            </w:pPr>
                            <w:r w:rsidRPr="00804074">
                              <w:t>9</w:t>
                            </w:r>
                          </w:p>
                        </w:tc>
                        <w:tc>
                          <w:tcPr>
                            <w:tcW w:w="3600" w:type="dxa"/>
                          </w:tcPr>
                          <w:p w14:paraId="46F164CA" w14:textId="3CF4928D" w:rsidR="00B40DD4" w:rsidRPr="00C251E9" w:rsidRDefault="00B40DD4" w:rsidP="00253895">
                            <w:pPr>
                              <w:pStyle w:val="TMGTableText"/>
                              <w:spacing w:before="10" w:after="10"/>
                              <w:ind w:left="0"/>
                            </w:pPr>
                            <w:r w:rsidRPr="00804074">
                              <w:t>Parkway Marker or Forest Route Marker</w:t>
                            </w:r>
                          </w:p>
                        </w:tc>
                      </w:tr>
                      <w:tr w:rsidR="00B40DD4" w14:paraId="5C4058D1" w14:textId="77777777" w:rsidTr="00B40DD4">
                        <w:tc>
                          <w:tcPr>
                            <w:tcW w:w="805" w:type="dxa"/>
                          </w:tcPr>
                          <w:p w14:paraId="68C32BB6" w14:textId="58272EC3" w:rsidR="00B40DD4" w:rsidRPr="00C251E9" w:rsidRDefault="00B40DD4" w:rsidP="00253895">
                            <w:pPr>
                              <w:pStyle w:val="TMGTableText"/>
                              <w:spacing w:before="10" w:after="10"/>
                              <w:ind w:left="0" w:right="216"/>
                              <w:jc w:val="right"/>
                              <w:rPr>
                                <w:b/>
                                <w:bCs/>
                              </w:rPr>
                            </w:pPr>
                            <w:r w:rsidRPr="00804074">
                              <w:t>10</w:t>
                            </w:r>
                          </w:p>
                        </w:tc>
                        <w:tc>
                          <w:tcPr>
                            <w:tcW w:w="3600" w:type="dxa"/>
                          </w:tcPr>
                          <w:p w14:paraId="2270CB9F" w14:textId="325818E5" w:rsidR="00B40DD4" w:rsidRPr="00C251E9" w:rsidRDefault="00B40DD4" w:rsidP="00253895">
                            <w:pPr>
                              <w:pStyle w:val="TMGTableText"/>
                              <w:spacing w:before="10" w:after="10"/>
                              <w:ind w:left="0"/>
                            </w:pPr>
                            <w:r w:rsidRPr="00804074">
                              <w:t>None of the above</w:t>
                            </w:r>
                          </w:p>
                        </w:tc>
                      </w:tr>
                    </w:tbl>
                    <w:p w14:paraId="24E050A8" w14:textId="77777777" w:rsidR="00B40DD4" w:rsidRDefault="00B40DD4" w:rsidP="00B40DD4"/>
                  </w:txbxContent>
                </v:textbox>
                <w10:wrap type="square" anchorx="margin"/>
              </v:shape>
            </w:pict>
          </mc:Fallback>
        </mc:AlternateContent>
      </w:r>
      <w:r w:rsidR="009B7AED">
        <w:t xml:space="preserve">National Highway System – </w:t>
      </w:r>
      <w:r w:rsidR="009B7AED">
        <w:rPr>
          <w:rStyle w:val="Italic"/>
          <w:iCs/>
        </w:rPr>
        <w:t>Required</w:t>
      </w:r>
    </w:p>
    <w:p w14:paraId="27B9828E" w14:textId="14E05101" w:rsidR="009B7AED" w:rsidRDefault="009B7AED" w:rsidP="00B35A5D">
      <w:pPr>
        <w:pStyle w:val="BulletcontinuedBulletsandNumbering"/>
        <w:tabs>
          <w:tab w:val="clear" w:pos="1440"/>
        </w:tabs>
        <w:ind w:left="648"/>
      </w:pPr>
      <w:r>
        <w:t>N = No, not on National Highway System</w:t>
      </w:r>
    </w:p>
    <w:p w14:paraId="12D244F3" w14:textId="196C10BA" w:rsidR="00B40DD4" w:rsidRDefault="009B7AED" w:rsidP="00B35A5D">
      <w:pPr>
        <w:pStyle w:val="BulletcontinuedBulletsandNumbering"/>
        <w:tabs>
          <w:tab w:val="clear" w:pos="1440"/>
        </w:tabs>
        <w:ind w:left="648"/>
      </w:pPr>
      <w:r>
        <w:t>Y = Yes, on National Highway System</w:t>
      </w:r>
    </w:p>
    <w:p w14:paraId="27ABDD12" w14:textId="769251C4" w:rsidR="009B7AED" w:rsidRDefault="009B7AED">
      <w:pPr>
        <w:pStyle w:val="ListCS1BulletsandNumbering"/>
        <w:numPr>
          <w:ilvl w:val="0"/>
          <w:numId w:val="44"/>
        </w:numPr>
        <w:spacing w:before="0" w:after="120"/>
        <w:ind w:left="648"/>
      </w:pPr>
      <w:r>
        <w:t xml:space="preserve">Posted Route Signing – </w:t>
      </w:r>
      <w:r>
        <w:rPr>
          <w:rStyle w:val="Italic"/>
          <w:iCs/>
        </w:rPr>
        <w:t>Required</w:t>
      </w:r>
    </w:p>
    <w:p w14:paraId="074CB743" w14:textId="4CD55934" w:rsidR="009B7AED" w:rsidRPr="001F0E08" w:rsidRDefault="009B7AED" w:rsidP="00B35A5D">
      <w:pPr>
        <w:pStyle w:val="BulletcontinuedBulletsandNumbering"/>
        <w:tabs>
          <w:tab w:val="clear" w:pos="1440"/>
        </w:tabs>
        <w:ind w:left="648"/>
      </w:pPr>
      <w:r>
        <w:t xml:space="preserve">This is the same as Route Signing in </w:t>
      </w:r>
      <w:r>
        <w:rPr>
          <w:rStyle w:val="Italic"/>
          <w:iCs/>
        </w:rPr>
        <w:t>HPMS Field Manual.</w:t>
      </w:r>
      <w:r>
        <w:rPr>
          <w:rStyle w:val="Italic"/>
          <w:i w:val="0"/>
        </w:rPr>
        <w:t xml:space="preserve"> </w:t>
      </w:r>
      <w:r w:rsidR="008815FB">
        <w:rPr>
          <w:rStyle w:val="Italic"/>
          <w:i w:val="0"/>
        </w:rPr>
        <w:fldChar w:fldCharType="begin"/>
      </w:r>
      <w:r w:rsidR="008815FB">
        <w:rPr>
          <w:rStyle w:val="Italic"/>
          <w:i w:val="0"/>
        </w:rPr>
        <w:instrText xml:space="preserve"> REF _Ref116025432 \h </w:instrText>
      </w:r>
      <w:r w:rsidR="008815FB">
        <w:rPr>
          <w:rStyle w:val="Italic"/>
          <w:i w:val="0"/>
        </w:rPr>
      </w:r>
      <w:r w:rsidR="008815FB">
        <w:rPr>
          <w:rStyle w:val="Italic"/>
          <w:i w:val="0"/>
        </w:rPr>
        <w:fldChar w:fldCharType="separate"/>
      </w:r>
      <w:r w:rsidR="00C07DF9" w:rsidRPr="006E75BE">
        <w:t xml:space="preserve">Table </w:t>
      </w:r>
      <w:r w:rsidR="00C07DF9">
        <w:rPr>
          <w:noProof/>
        </w:rPr>
        <w:t>4</w:t>
      </w:r>
      <w:r w:rsidR="00C07DF9">
        <w:noBreakHyphen/>
      </w:r>
      <w:r w:rsidR="00C07DF9">
        <w:rPr>
          <w:noProof/>
        </w:rPr>
        <w:t>8</w:t>
      </w:r>
      <w:r w:rsidR="008815FB">
        <w:rPr>
          <w:rStyle w:val="Italic"/>
          <w:i w:val="0"/>
        </w:rPr>
        <w:fldChar w:fldCharType="end"/>
      </w:r>
      <w:r w:rsidR="008815FB">
        <w:rPr>
          <w:rStyle w:val="Italic"/>
          <w:i w:val="0"/>
        </w:rPr>
        <w:t xml:space="preserve"> </w:t>
      </w:r>
      <w:r>
        <w:rPr>
          <w:rStyle w:val="Italic"/>
          <w:i w:val="0"/>
        </w:rPr>
        <w:t>lists the possible codes.</w:t>
      </w:r>
    </w:p>
    <w:p w14:paraId="03BAD093" w14:textId="77777777" w:rsidR="009B7AED" w:rsidRDefault="009B7AED">
      <w:pPr>
        <w:pStyle w:val="ListCS1BulletsandNumbering"/>
        <w:numPr>
          <w:ilvl w:val="0"/>
          <w:numId w:val="44"/>
        </w:numPr>
        <w:spacing w:before="0" w:after="120"/>
        <w:ind w:left="648"/>
      </w:pPr>
      <w:r>
        <w:t xml:space="preserve">Posted Route Signed Number – </w:t>
      </w:r>
      <w:r>
        <w:rPr>
          <w:rStyle w:val="Italic"/>
          <w:iCs/>
        </w:rPr>
        <w:t>Required</w:t>
      </w:r>
    </w:p>
    <w:p w14:paraId="30E03C45" w14:textId="77777777" w:rsidR="009B7AED" w:rsidRDefault="009B7AED" w:rsidP="00B35A5D">
      <w:pPr>
        <w:pStyle w:val="BulletcontinuedBulletsandNumbering"/>
        <w:tabs>
          <w:tab w:val="clear" w:pos="1440"/>
        </w:tabs>
        <w:ind w:left="648"/>
      </w:pPr>
      <w:r>
        <w:t xml:space="preserve">The route number of the principal route on which the station is located. This is the same as Signed Route Number in </w:t>
      </w:r>
      <w:r>
        <w:rPr>
          <w:rStyle w:val="Italic"/>
          <w:iCs/>
        </w:rPr>
        <w:t>HPMS Field Manual.</w:t>
      </w:r>
    </w:p>
    <w:p w14:paraId="2574E4A1" w14:textId="77777777" w:rsidR="009B7AED" w:rsidRDefault="009B7AED" w:rsidP="00B35A5D">
      <w:pPr>
        <w:pStyle w:val="BulletcontinuedBulletsandNumbering"/>
        <w:tabs>
          <w:tab w:val="clear" w:pos="1440"/>
        </w:tabs>
        <w:ind w:left="648"/>
      </w:pPr>
      <w:r>
        <w:t xml:space="preserve">If the station is located on a city street, zero-fill this field. </w:t>
      </w:r>
    </w:p>
    <w:p w14:paraId="1073CBDC" w14:textId="77777777" w:rsidR="009B7AED" w:rsidRDefault="009B7AED">
      <w:pPr>
        <w:pStyle w:val="ListCS1BulletsandNumbering"/>
        <w:numPr>
          <w:ilvl w:val="0"/>
          <w:numId w:val="44"/>
        </w:numPr>
        <w:spacing w:before="0" w:after="120"/>
        <w:ind w:left="648"/>
        <w:rPr>
          <w:rStyle w:val="bolditalic"/>
        </w:rPr>
      </w:pPr>
      <w:r w:rsidRPr="00E81257">
        <w:t>Station</w:t>
      </w:r>
      <w:r>
        <w:rPr>
          <w:rStyle w:val="Bold"/>
        </w:rPr>
        <w:t xml:space="preserve"> Location Description </w:t>
      </w:r>
      <w:r>
        <w:t xml:space="preserve">– </w:t>
      </w:r>
      <w:r>
        <w:rPr>
          <w:rStyle w:val="Italic"/>
          <w:iCs/>
        </w:rPr>
        <w:t>Required</w:t>
      </w:r>
    </w:p>
    <w:p w14:paraId="45606275" w14:textId="77777777" w:rsidR="009B7AED" w:rsidRDefault="009B7AED" w:rsidP="00B35A5D">
      <w:pPr>
        <w:pStyle w:val="BulletcontinuedBulletsandNumbering"/>
        <w:tabs>
          <w:tab w:val="clear" w:pos="1440"/>
        </w:tabs>
        <w:ind w:left="648"/>
      </w:pPr>
      <w:r>
        <w:t xml:space="preserve">This is an English text entry field. For stations located on a numbered route, enter the name of the nearest major intersecting route, State border, or landmark on State road maps and the distance and direction of the station from that landmark to the station (e.g., “12 miles south of the Kentucky border”). If the station is located on a city street, enter the city and street name. Abbreviate if necessary. Left justify this field. </w:t>
      </w:r>
    </w:p>
    <w:p w14:paraId="1DADEA70" w14:textId="77777777" w:rsidR="009B7AED" w:rsidRDefault="009B7AED" w:rsidP="00941716">
      <w:pPr>
        <w:pStyle w:val="CallOut"/>
      </w:pPr>
      <w:r w:rsidRPr="00C20EE5">
        <w:t xml:space="preserve">No pipe characters are permitted in the </w:t>
      </w:r>
      <w:r>
        <w:t>S</w:t>
      </w:r>
      <w:r w:rsidRPr="00C20EE5">
        <w:t xml:space="preserve">tation </w:t>
      </w:r>
      <w:r>
        <w:t>L</w:t>
      </w:r>
      <w:r w:rsidRPr="00C20EE5">
        <w:t xml:space="preserve">ocation </w:t>
      </w:r>
      <w:r>
        <w:t xml:space="preserve">Description </w:t>
      </w:r>
      <w:r w:rsidRPr="00C20EE5">
        <w:t>field.</w:t>
      </w:r>
      <w:r>
        <w:t xml:space="preserve"> </w:t>
      </w:r>
    </w:p>
    <w:p w14:paraId="69474974" w14:textId="77777777" w:rsidR="008718CB" w:rsidRDefault="008718CB" w:rsidP="00BF0036">
      <w:pPr>
        <w:pStyle w:val="BodyText"/>
        <w:spacing w:before="240" w:after="240"/>
        <w:rPr>
          <w:rFonts w:ascii="Cambria" w:hAnsi="Cambria"/>
          <w:b/>
          <w:bCs/>
          <w:sz w:val="26"/>
          <w:szCs w:val="26"/>
        </w:rPr>
        <w:sectPr w:rsidR="008718CB" w:rsidSect="00CB0F95">
          <w:headerReference w:type="even" r:id="rId158"/>
          <w:headerReference w:type="default" r:id="rId159"/>
          <w:footerReference w:type="even" r:id="rId160"/>
          <w:footerReference w:type="default" r:id="rId161"/>
          <w:pgSz w:w="12240" w:h="15840" w:code="1"/>
          <w:pgMar w:top="1440" w:right="1440" w:bottom="1152" w:left="1440" w:header="720" w:footer="576" w:gutter="0"/>
          <w:pgNumType w:start="1" w:chapStyle="1"/>
          <w:cols w:space="720"/>
          <w:noEndnote/>
          <w:titlePg/>
        </w:sectPr>
      </w:pPr>
    </w:p>
    <w:p w14:paraId="20A7CA1A" w14:textId="77777777" w:rsidR="009B7AED" w:rsidRPr="00F27118" w:rsidRDefault="009B7AED" w:rsidP="00BF0036">
      <w:pPr>
        <w:pStyle w:val="BodyText"/>
        <w:spacing w:before="240" w:after="240"/>
        <w:rPr>
          <w:rFonts w:ascii="Cambria" w:hAnsi="Cambria"/>
          <w:b/>
          <w:bCs/>
          <w:sz w:val="26"/>
          <w:szCs w:val="26"/>
        </w:rPr>
      </w:pPr>
      <w:r w:rsidRPr="00F27118">
        <w:rPr>
          <w:rFonts w:ascii="Cambria" w:hAnsi="Cambria"/>
          <w:b/>
          <w:bCs/>
          <w:sz w:val="26"/>
          <w:szCs w:val="26"/>
        </w:rPr>
        <w:lastRenderedPageBreak/>
        <w:t>Examples</w:t>
      </w:r>
    </w:p>
    <w:p w14:paraId="600108DB" w14:textId="1D32630D" w:rsidR="009B7AED" w:rsidRPr="00B40DD4" w:rsidRDefault="009B7AED" w:rsidP="008718CB">
      <w:pPr>
        <w:pStyle w:val="BodyText"/>
        <w:spacing w:before="240"/>
        <w:rPr>
          <w:rFonts w:ascii="Cambria" w:hAnsi="Cambria"/>
          <w:b/>
          <w:bCs/>
          <w:sz w:val="22"/>
          <w:szCs w:val="22"/>
        </w:rPr>
      </w:pPr>
      <w:bookmarkStart w:id="2866" w:name="_Toc364071194"/>
      <w:bookmarkStart w:id="2867" w:name="_Toc450646927"/>
      <w:r w:rsidRPr="00B40DD4">
        <w:rPr>
          <w:rFonts w:ascii="Cambria" w:hAnsi="Cambria"/>
          <w:b/>
          <w:bCs/>
          <w:sz w:val="22"/>
          <w:szCs w:val="22"/>
        </w:rPr>
        <w:t>Station Description Record Examples</w:t>
      </w:r>
      <w:bookmarkEnd w:id="2866"/>
      <w:bookmarkEnd w:id="2867"/>
    </w:p>
    <w:p w14:paraId="22BDA95B" w14:textId="77777777" w:rsidR="009B7AED" w:rsidRPr="004E72F1" w:rsidRDefault="009B7AED" w:rsidP="008718CB">
      <w:pPr>
        <w:pStyle w:val="BodyTextLandscape"/>
        <w:spacing w:before="240" w:after="60" w:line="240" w:lineRule="auto"/>
        <w:ind w:left="360"/>
        <w:jc w:val="left"/>
        <w:rPr>
          <w:rStyle w:val="Bold"/>
          <w:b/>
          <w:bCs/>
          <w:smallCaps/>
          <w:sz w:val="24"/>
          <w:szCs w:val="22"/>
        </w:rPr>
      </w:pPr>
      <w:r w:rsidRPr="004E72F1">
        <w:rPr>
          <w:rStyle w:val="Bold"/>
          <w:b/>
        </w:rPr>
        <w:t xml:space="preserve">Delimited Station Data Format </w:t>
      </w:r>
    </w:p>
    <w:p w14:paraId="6116BBD5" w14:textId="77777777" w:rsidR="009B7AED" w:rsidRDefault="009B7AED" w:rsidP="00083BA6">
      <w:pPr>
        <w:pStyle w:val="BodyTextLandscape"/>
        <w:spacing w:before="0" w:after="120" w:line="240" w:lineRule="auto"/>
        <w:ind w:left="360"/>
        <w:jc w:val="left"/>
        <w:rPr>
          <w:rStyle w:val="Bold"/>
        </w:rPr>
      </w:pPr>
      <w:r w:rsidRPr="00271144">
        <w:rPr>
          <w:rStyle w:val="Bold"/>
        </w:rPr>
        <w:t>RT|</w:t>
      </w:r>
      <w:r>
        <w:rPr>
          <w:rStyle w:val="Bold"/>
        </w:rPr>
        <w:t>SFIPS</w:t>
      </w:r>
      <w:r w:rsidRPr="00271144">
        <w:rPr>
          <w:rStyle w:val="Bold"/>
        </w:rPr>
        <w:t>|ID|D</w:t>
      </w:r>
      <w:r>
        <w:rPr>
          <w:rStyle w:val="Bold"/>
        </w:rPr>
        <w:t>IR</w:t>
      </w:r>
      <w:r w:rsidRPr="00271144">
        <w:rPr>
          <w:rStyle w:val="Bold"/>
        </w:rPr>
        <w:t>|L</w:t>
      </w:r>
      <w:r>
        <w:rPr>
          <w:rStyle w:val="Bold"/>
        </w:rPr>
        <w:t>N</w:t>
      </w:r>
      <w:r w:rsidRPr="00271144">
        <w:rPr>
          <w:rStyle w:val="Bold"/>
        </w:rPr>
        <w:t>|YR|FC|NL|VCG|CWS|T</w:t>
      </w:r>
      <w:r>
        <w:rPr>
          <w:rStyle w:val="Bold"/>
        </w:rPr>
        <w:t>S1</w:t>
      </w:r>
      <w:r w:rsidRPr="00271144">
        <w:rPr>
          <w:rStyle w:val="Bold"/>
        </w:rPr>
        <w:t>|</w:t>
      </w:r>
      <w:r>
        <w:rPr>
          <w:rStyle w:val="Bold"/>
        </w:rPr>
        <w:t>T</w:t>
      </w:r>
      <w:r w:rsidRPr="00271144">
        <w:rPr>
          <w:rStyle w:val="Bold"/>
        </w:rPr>
        <w:t>S</w:t>
      </w:r>
      <w:r>
        <w:rPr>
          <w:rStyle w:val="Bold"/>
        </w:rPr>
        <w:t>2</w:t>
      </w:r>
      <w:r w:rsidRPr="00271144">
        <w:rPr>
          <w:rStyle w:val="Bold"/>
        </w:rPr>
        <w:t>|L</w:t>
      </w:r>
      <w:r>
        <w:rPr>
          <w:rStyle w:val="Bold"/>
        </w:rPr>
        <w:t>AT|LONG|PREVID|YREST|YRDIS|CFIPS|NHS|PRS|PRSN|STALOC</w:t>
      </w:r>
    </w:p>
    <w:p w14:paraId="2A729801" w14:textId="77777777" w:rsidR="009B7AED" w:rsidRDefault="009B7AED" w:rsidP="008718CB">
      <w:pPr>
        <w:pStyle w:val="BodyTextLandscape"/>
        <w:spacing w:before="240" w:after="60" w:line="240" w:lineRule="auto"/>
        <w:ind w:left="360"/>
        <w:jc w:val="left"/>
        <w:rPr>
          <w:rStyle w:val="Bold"/>
          <w:b/>
          <w:bCs/>
          <w:smallCaps/>
          <w:sz w:val="24"/>
          <w:szCs w:val="22"/>
        </w:rPr>
      </w:pPr>
      <w:r>
        <w:rPr>
          <w:rStyle w:val="Bold"/>
          <w:b/>
        </w:rPr>
        <w:t xml:space="preserve">Example for a Volume Station </w:t>
      </w:r>
      <w:r w:rsidRPr="00F70DE6">
        <w:rPr>
          <w:rStyle w:val="Bold"/>
        </w:rPr>
        <w:t>(4</w:t>
      </w:r>
      <w:r>
        <w:rPr>
          <w:rStyle w:val="Bold"/>
        </w:rPr>
        <w:t>-lane site with all directions and lanes combined</w:t>
      </w:r>
      <w:r w:rsidRPr="00F70DE6">
        <w:rPr>
          <w:rStyle w:val="Bold"/>
        </w:rPr>
        <w:t>)</w:t>
      </w:r>
    </w:p>
    <w:p w14:paraId="093E2E17" w14:textId="77777777" w:rsidR="009B7AED" w:rsidRDefault="009B7AED" w:rsidP="00083BA6">
      <w:pPr>
        <w:pStyle w:val="BodyTextLandscape"/>
        <w:spacing w:before="0" w:after="120" w:line="240" w:lineRule="auto"/>
        <w:ind w:left="360"/>
        <w:jc w:val="left"/>
      </w:pPr>
      <w:r>
        <w:rPr>
          <w:rStyle w:val="Bold"/>
        </w:rPr>
        <w:t>S|17|1810A|9|0|2020|1R|2|||L||</w:t>
      </w:r>
      <w:r>
        <w:t>41.883650</w:t>
      </w:r>
      <w:r>
        <w:rPr>
          <w:rStyle w:val="Bold"/>
        </w:rPr>
        <w:t>|</w:t>
      </w:r>
      <w:r>
        <w:t>-87.896019||2001||35|Y|</w:t>
      </w:r>
      <w:r w:rsidRPr="00D57F99">
        <w:t>2</w:t>
      </w:r>
      <w:r>
        <w:t>|0|</w:t>
      </w:r>
      <w:r w:rsidRPr="00D57F99">
        <w:t xml:space="preserve">.6 miles </w:t>
      </w:r>
      <w:r>
        <w:t xml:space="preserve">east of milepost 105 </w:t>
      </w:r>
      <w:r w:rsidRPr="00083BA6">
        <w:rPr>
          <w:rStyle w:val="Bold"/>
        </w:rPr>
        <w:t>interchange</w:t>
      </w:r>
    </w:p>
    <w:p w14:paraId="52D73A76" w14:textId="77777777" w:rsidR="009B7AED" w:rsidRDefault="009B7AED" w:rsidP="008718CB">
      <w:pPr>
        <w:pStyle w:val="BodyTextLandscape"/>
        <w:spacing w:before="240" w:after="60" w:line="240" w:lineRule="auto"/>
        <w:ind w:left="360"/>
        <w:jc w:val="left"/>
        <w:rPr>
          <w:rStyle w:val="Bold"/>
        </w:rPr>
      </w:pPr>
      <w:bookmarkStart w:id="2868" w:name="_Hlk54966315"/>
      <w:r>
        <w:rPr>
          <w:rStyle w:val="Bold"/>
          <w:b/>
        </w:rPr>
        <w:t xml:space="preserve">Example for a Classification Station </w:t>
      </w:r>
      <w:bookmarkEnd w:id="2868"/>
      <w:r>
        <w:rPr>
          <w:rStyle w:val="Bold"/>
        </w:rPr>
        <w:t>(8-lane site with lanes combined</w:t>
      </w:r>
      <w:r w:rsidRPr="00677E9E">
        <w:rPr>
          <w:rStyle w:val="Bold"/>
        </w:rPr>
        <w:t>)</w:t>
      </w:r>
    </w:p>
    <w:p w14:paraId="25EAA93F" w14:textId="77777777" w:rsidR="009B7AED" w:rsidRDefault="009B7AED" w:rsidP="00BF0036">
      <w:pPr>
        <w:pStyle w:val="BodyTextLandscape"/>
        <w:spacing w:before="0" w:after="60" w:line="240" w:lineRule="auto"/>
        <w:ind w:left="360"/>
        <w:jc w:val="left"/>
      </w:pPr>
      <w:r>
        <w:rPr>
          <w:rStyle w:val="Bold"/>
        </w:rPr>
        <w:t>S|17|1811B|1|0|2020|1R|4|13|P|L||</w:t>
      </w:r>
      <w:r>
        <w:t>40.</w:t>
      </w:r>
      <w:r w:rsidRPr="00083BA6">
        <w:rPr>
          <w:rStyle w:val="Bold"/>
        </w:rPr>
        <w:t>903984</w:t>
      </w:r>
      <w:r>
        <w:t>|-88.908715||1945||49|Y|1|70|</w:t>
      </w:r>
      <w:r w:rsidRPr="0051590D">
        <w:t>.5 miles past Steven City near County Line Road</w:t>
      </w:r>
    </w:p>
    <w:p w14:paraId="366B8A56" w14:textId="77777777" w:rsidR="009B7AED" w:rsidRDefault="009B7AED" w:rsidP="00083BA6">
      <w:pPr>
        <w:pStyle w:val="BodyTextLandscape"/>
        <w:spacing w:before="0" w:after="120" w:line="240" w:lineRule="auto"/>
        <w:ind w:left="360"/>
        <w:jc w:val="left"/>
      </w:pPr>
      <w:r>
        <w:rPr>
          <w:rStyle w:val="Bold"/>
        </w:rPr>
        <w:t>S|17|1811B|5|0|2020|1R|4|13|P|L||</w:t>
      </w:r>
      <w:r>
        <w:t>40.903984|-88.908715||1945||49|Y|1|70|</w:t>
      </w:r>
      <w:r w:rsidRPr="0051590D">
        <w:t>.5 miles past Steven City near County Line Road</w:t>
      </w:r>
    </w:p>
    <w:p w14:paraId="5BA37078" w14:textId="77777777" w:rsidR="009B7AED" w:rsidRDefault="009B7AED" w:rsidP="008718CB">
      <w:pPr>
        <w:pStyle w:val="BodyTextLandscape"/>
        <w:spacing w:before="240" w:after="60" w:line="240" w:lineRule="auto"/>
        <w:ind w:left="360"/>
        <w:jc w:val="left"/>
      </w:pPr>
      <w:r w:rsidRPr="00F93B66">
        <w:rPr>
          <w:b/>
        </w:rPr>
        <w:t xml:space="preserve">Example </w:t>
      </w:r>
      <w:r w:rsidRPr="00F12151">
        <w:rPr>
          <w:rStyle w:val="Bold"/>
        </w:rPr>
        <w:t>for</w:t>
      </w:r>
      <w:r w:rsidRPr="00F93B66">
        <w:rPr>
          <w:b/>
        </w:rPr>
        <w:t xml:space="preserve"> a Classification Station</w:t>
      </w:r>
      <w:r w:rsidRPr="00F93B66">
        <w:t xml:space="preserve"> </w:t>
      </w:r>
      <w:r>
        <w:t xml:space="preserve">(4-lane </w:t>
      </w:r>
      <w:r w:rsidRPr="00083BA6">
        <w:rPr>
          <w:rStyle w:val="Bold"/>
        </w:rPr>
        <w:t>site</w:t>
      </w:r>
      <w:r>
        <w:t xml:space="preserve"> with lanes combined and a more-than-8-digit station ID)</w:t>
      </w:r>
    </w:p>
    <w:p w14:paraId="281EA50E" w14:textId="77777777" w:rsidR="009B7AED" w:rsidRDefault="009B7AED" w:rsidP="00BF0036">
      <w:pPr>
        <w:pStyle w:val="BodyTextLandscape"/>
        <w:spacing w:before="0" w:after="60" w:line="240" w:lineRule="auto"/>
        <w:ind w:left="360"/>
        <w:jc w:val="left"/>
      </w:pPr>
      <w:r>
        <w:t>S|28|KLM908792|1|0|2021|3U|2|13|A|K||39.067471|</w:t>
      </w:r>
      <w:r w:rsidRPr="00C77C73">
        <w:t>-</w:t>
      </w:r>
      <w:r>
        <w:t>77.</w:t>
      </w:r>
      <w:r w:rsidRPr="00C77C73">
        <w:t>114321</w:t>
      </w:r>
      <w:r>
        <w:t xml:space="preserve">||1966||31|Y|9||0.5 miles south of Veirs Mill </w:t>
      </w:r>
      <w:r w:rsidRPr="00083BA6">
        <w:rPr>
          <w:rStyle w:val="Bold"/>
        </w:rPr>
        <w:t>Road</w:t>
      </w:r>
    </w:p>
    <w:p w14:paraId="3AAECE6C" w14:textId="22947336" w:rsidR="00F12151" w:rsidRDefault="009B7AED" w:rsidP="00083BA6">
      <w:pPr>
        <w:pStyle w:val="BodyTextLandscape"/>
        <w:spacing w:before="0" w:after="120" w:line="240" w:lineRule="auto"/>
        <w:ind w:left="360"/>
        <w:jc w:val="left"/>
        <w:rPr>
          <w:rStyle w:val="Bold"/>
        </w:rPr>
      </w:pPr>
      <w:bookmarkStart w:id="2869" w:name="_Toc290555989"/>
      <w:r>
        <w:t>S|28|KLM908792|5|0|2021|3U|2|13|A|K||39.067471|</w:t>
      </w:r>
      <w:r w:rsidRPr="00C77C73">
        <w:t>-</w:t>
      </w:r>
      <w:r>
        <w:t>77.</w:t>
      </w:r>
      <w:r w:rsidRPr="00C77C73">
        <w:t>114321</w:t>
      </w:r>
      <w:r>
        <w:t xml:space="preserve">||1966||31|Y|9||0.5 miles south of Veirs Mill </w:t>
      </w:r>
      <w:r w:rsidRPr="00083BA6">
        <w:rPr>
          <w:rStyle w:val="Bold"/>
        </w:rPr>
        <w:t>Road</w:t>
      </w:r>
    </w:p>
    <w:p w14:paraId="154DC457" w14:textId="77777777" w:rsidR="009B7AED" w:rsidRDefault="009B7AED" w:rsidP="008718CB">
      <w:pPr>
        <w:pStyle w:val="BodyTextLandscape"/>
        <w:spacing w:before="240" w:after="60" w:line="240" w:lineRule="auto"/>
        <w:ind w:left="360"/>
        <w:jc w:val="left"/>
        <w:rPr>
          <w:rStyle w:val="Bold"/>
        </w:rPr>
      </w:pPr>
      <w:r>
        <w:rPr>
          <w:rStyle w:val="Bold"/>
          <w:b/>
        </w:rPr>
        <w:t xml:space="preserve">Example for a Weight Station </w:t>
      </w:r>
      <w:r>
        <w:rPr>
          <w:rStyle w:val="Bold"/>
        </w:rPr>
        <w:t>(2-lane site)</w:t>
      </w:r>
    </w:p>
    <w:p w14:paraId="6371ED09" w14:textId="77777777" w:rsidR="009B7AED" w:rsidRDefault="009B7AED" w:rsidP="00BF0036">
      <w:pPr>
        <w:pStyle w:val="BodyTextLandscape"/>
        <w:spacing w:before="0" w:after="60" w:line="240" w:lineRule="auto"/>
        <w:ind w:left="360"/>
        <w:jc w:val="left"/>
      </w:pPr>
      <w:r>
        <w:rPr>
          <w:rStyle w:val="Bold"/>
        </w:rPr>
        <w:t>S|17|18142C|3|1|2020|5R|1|13|A|Q|L|</w:t>
      </w:r>
      <w:r>
        <w:t>39.359508|-88.692127||1965||49|N|6|708|.7</w:t>
      </w:r>
      <w:r w:rsidRPr="0051590D">
        <w:t xml:space="preserve"> miles past Steven City near </w:t>
      </w:r>
      <w:r>
        <w:t>Route 16</w:t>
      </w:r>
    </w:p>
    <w:p w14:paraId="249F4B49" w14:textId="77777777" w:rsidR="009B7AED" w:rsidRDefault="009B7AED" w:rsidP="00083BA6">
      <w:pPr>
        <w:pStyle w:val="BodyTextLandscape"/>
        <w:spacing w:before="0" w:after="120" w:line="240" w:lineRule="auto"/>
        <w:ind w:left="360"/>
        <w:jc w:val="left"/>
      </w:pPr>
      <w:r>
        <w:rPr>
          <w:rStyle w:val="Bold"/>
        </w:rPr>
        <w:t>S|17|18142C|7|1|2020|5R|1|13|A|Q|L|</w:t>
      </w:r>
      <w:r>
        <w:t>39.359508|-88.692127||1965||49|N|6|708|.7</w:t>
      </w:r>
      <w:r w:rsidRPr="0051590D">
        <w:t xml:space="preserve"> miles past Steven City near </w:t>
      </w:r>
      <w:r>
        <w:t>Route 16</w:t>
      </w:r>
    </w:p>
    <w:p w14:paraId="49F56E10" w14:textId="77777777" w:rsidR="009B7AED" w:rsidRDefault="009B7AED" w:rsidP="00C432AD">
      <w:pPr>
        <w:pStyle w:val="CallOut"/>
        <w:ind w:left="360" w:right="1296"/>
      </w:pPr>
      <w:r>
        <w:t xml:space="preserve">A double pipe symbol || </w:t>
      </w:r>
      <w:r w:rsidRPr="004E72F1">
        <w:t xml:space="preserve">means a </w:t>
      </w:r>
      <w:r>
        <w:t>missing</w:t>
      </w:r>
      <w:r w:rsidRPr="004E72F1">
        <w:t xml:space="preserve"> value</w:t>
      </w:r>
      <w:r>
        <w:t xml:space="preserve"> for that field</w:t>
      </w:r>
      <w:r w:rsidRPr="004E72F1">
        <w:t xml:space="preserve"> </w:t>
      </w:r>
    </w:p>
    <w:p w14:paraId="6ED9D595" w14:textId="77777777" w:rsidR="008718CB" w:rsidRDefault="008718CB" w:rsidP="00C432AD">
      <w:pPr>
        <w:pStyle w:val="Heading2"/>
        <w:ind w:left="540"/>
        <w:sectPr w:rsidR="008718CB" w:rsidSect="003216EE">
          <w:headerReference w:type="default" r:id="rId162"/>
          <w:footerReference w:type="default" r:id="rId163"/>
          <w:pgSz w:w="15840" w:h="12240" w:orient="landscape" w:code="1"/>
          <w:pgMar w:top="1440" w:right="115" w:bottom="1440" w:left="1440" w:header="720" w:footer="576" w:gutter="0"/>
          <w:pgNumType w:chapStyle="1"/>
          <w:cols w:space="720"/>
          <w:noEndnote/>
          <w:docGrid w:linePitch="272"/>
        </w:sectPr>
      </w:pPr>
      <w:bookmarkStart w:id="2870" w:name="_Toc349905105"/>
      <w:bookmarkStart w:id="2871" w:name="_Toc335642247"/>
      <w:bookmarkStart w:id="2872" w:name="_Toc363656153"/>
      <w:bookmarkStart w:id="2873" w:name="_Toc450638944"/>
      <w:bookmarkStart w:id="2874" w:name="_Toc63976741"/>
      <w:bookmarkStart w:id="2875" w:name="_Toc68864954"/>
      <w:bookmarkStart w:id="2876" w:name="_Toc109301273"/>
      <w:bookmarkStart w:id="2877" w:name="_Toc109333007"/>
      <w:bookmarkStart w:id="2878" w:name="_Toc109333600"/>
      <w:bookmarkStart w:id="2879" w:name="_Toc113281098"/>
      <w:bookmarkStart w:id="2880" w:name="_Toc114474740"/>
    </w:p>
    <w:p w14:paraId="678C25EA" w14:textId="310EAC43" w:rsidR="009B7AED" w:rsidRPr="001546EF" w:rsidRDefault="009B7AED" w:rsidP="007347FA">
      <w:pPr>
        <w:pStyle w:val="Heading2"/>
        <w:spacing w:before="0"/>
      </w:pPr>
      <w:bookmarkStart w:id="2881" w:name="_Toc118205686"/>
      <w:r w:rsidRPr="001546EF">
        <w:lastRenderedPageBreak/>
        <w:t>Traffic Volume Data Format</w:t>
      </w:r>
      <w:bookmarkEnd w:id="2869"/>
      <w:bookmarkEnd w:id="2870"/>
      <w:bookmarkEnd w:id="2871"/>
      <w:bookmarkEnd w:id="2872"/>
      <w:bookmarkEnd w:id="2873"/>
      <w:r w:rsidRPr="001546EF">
        <w:t xml:space="preserve"> (Fixed Width </w:t>
      </w:r>
      <w:r>
        <w:t>o</w:t>
      </w:r>
      <w:r w:rsidRPr="001546EF">
        <w:t>r Pipe Delimited)</w:t>
      </w:r>
      <w:bookmarkEnd w:id="2874"/>
      <w:bookmarkEnd w:id="2875"/>
      <w:bookmarkEnd w:id="2876"/>
      <w:bookmarkEnd w:id="2877"/>
      <w:bookmarkEnd w:id="2878"/>
      <w:bookmarkEnd w:id="2879"/>
      <w:bookmarkEnd w:id="2880"/>
      <w:bookmarkEnd w:id="2881"/>
    </w:p>
    <w:p w14:paraId="06977481" w14:textId="76DF38AE" w:rsidR="009B7AED" w:rsidRDefault="009B7AED" w:rsidP="00A35EAF">
      <w:pPr>
        <w:pStyle w:val="BodyText"/>
      </w:pPr>
      <w:r>
        <w:t>One record is used for each calendar day for which traffic monitoring data are being submitted. Each record contains a field for traffic volume occurring during each of the 24 hours of the day.</w:t>
      </w:r>
      <w:r w:rsidR="004D4172">
        <w:t xml:space="preserve"> </w:t>
      </w:r>
      <w:r>
        <w:t>Partial day data is fully acceptable with this format—meaning if there is only 8 hours of data for the given day, sending in those 8 valid hours is recommended.</w:t>
      </w:r>
      <w:r w:rsidR="004D4172">
        <w:t xml:space="preserve"> </w:t>
      </w:r>
      <w:r>
        <w:t>Full days of data are no longer required.</w:t>
      </w:r>
    </w:p>
    <w:p w14:paraId="7B5D1AF4" w14:textId="1AF34535" w:rsidR="009B7AED" w:rsidRDefault="009B7AED" w:rsidP="00A35EAF">
      <w:pPr>
        <w:pStyle w:val="BodyText"/>
      </w:pPr>
      <w:r>
        <w:t xml:space="preserve">The 2022 TMG offers additional formatting flexibility to report traffic volume data. States and other agencies can submit traffic volume data to FHWA’s TMAS system via either the historical fixed-width format or the new pipe-delimited format. </w:t>
      </w:r>
    </w:p>
    <w:p w14:paraId="3DDFF548" w14:textId="77777777" w:rsidR="009B7AED" w:rsidRPr="00C36998" w:rsidRDefault="009B7AED" w:rsidP="00A119E0">
      <w:pPr>
        <w:pStyle w:val="CallOut"/>
      </w:pPr>
      <w:r w:rsidRPr="00C36998">
        <w:t>If a more</w:t>
      </w:r>
      <w:r>
        <w:t>-</w:t>
      </w:r>
      <w:r w:rsidRPr="00C36998">
        <w:t>than</w:t>
      </w:r>
      <w:r>
        <w:t>-</w:t>
      </w:r>
      <w:r w:rsidRPr="00C36998">
        <w:t xml:space="preserve">6-digit station ID is used for the associated station </w:t>
      </w:r>
      <w:r>
        <w:t>record</w:t>
      </w:r>
      <w:r w:rsidRPr="00C36998">
        <w:t xml:space="preserve">, </w:t>
      </w:r>
      <w:r>
        <w:t>the pipe-</w:t>
      </w:r>
      <w:r w:rsidRPr="00C36998">
        <w:t>delimited format must be used for the volume data</w:t>
      </w:r>
      <w:r>
        <w:t>,</w:t>
      </w:r>
      <w:r w:rsidRPr="00C36998">
        <w:t xml:space="preserve"> and the same number of digits </w:t>
      </w:r>
      <w:r>
        <w:t xml:space="preserve">for the station ID </w:t>
      </w:r>
      <w:r w:rsidRPr="00C36998">
        <w:t xml:space="preserve">need to be provided </w:t>
      </w:r>
      <w:r>
        <w:t>on the volume records</w:t>
      </w:r>
      <w:r w:rsidRPr="00C36998">
        <w:t>.</w:t>
      </w:r>
    </w:p>
    <w:p w14:paraId="53D1A1B3" w14:textId="77777777" w:rsidR="009B7AED" w:rsidRPr="001546EF" w:rsidRDefault="009B7AED">
      <w:pPr>
        <w:pStyle w:val="Heading3"/>
      </w:pPr>
      <w:bookmarkStart w:id="2882" w:name="_Toc109301274"/>
      <w:bookmarkStart w:id="2883" w:name="_Toc109333008"/>
      <w:bookmarkStart w:id="2884" w:name="_Toc109333601"/>
      <w:bookmarkStart w:id="2885" w:name="_Toc113281099"/>
      <w:bookmarkStart w:id="2886" w:name="_Toc118205687"/>
      <w:r>
        <w:t>File Naming Recommendation</w:t>
      </w:r>
      <w:bookmarkEnd w:id="2882"/>
      <w:bookmarkEnd w:id="2883"/>
      <w:bookmarkEnd w:id="2884"/>
      <w:bookmarkEnd w:id="2885"/>
      <w:bookmarkEnd w:id="2886"/>
    </w:p>
    <w:p w14:paraId="0D6628E7" w14:textId="637A49E3" w:rsidR="009B7AED" w:rsidRDefault="009B7AED" w:rsidP="00A35EAF">
      <w:pPr>
        <w:pStyle w:val="BodyText"/>
      </w:pPr>
      <w:r>
        <w:t>It is recommended that the file extension .VOL be used for all Volume data files.</w:t>
      </w:r>
      <w:r w:rsidR="004D4172">
        <w:t xml:space="preserve"> </w:t>
      </w:r>
      <w:r>
        <w:t xml:space="preserve">The filename should be descriptive to facilitate the deciphering of the file format and its contents. </w:t>
      </w:r>
    </w:p>
    <w:p w14:paraId="233BE3A9" w14:textId="7735EAB1" w:rsidR="009B7AED" w:rsidRPr="00677E20" w:rsidRDefault="009B7AED" w:rsidP="00A35EAF">
      <w:pPr>
        <w:pStyle w:val="Example"/>
      </w:pPr>
      <w:r w:rsidRPr="00677E20">
        <w:t xml:space="preserve">An example file naming convention for the </w:t>
      </w:r>
      <w:r>
        <w:t>Traffic Volume</w:t>
      </w:r>
      <w:r w:rsidRPr="00677E20">
        <w:t xml:space="preserve"> </w:t>
      </w:r>
      <w:r>
        <w:t>r</w:t>
      </w:r>
      <w:r w:rsidRPr="00677E20">
        <w:t>ecord is:</w:t>
      </w:r>
    </w:p>
    <w:p w14:paraId="4B9997A5" w14:textId="77777777" w:rsidR="009B7AED" w:rsidRPr="00677E20" w:rsidRDefault="009B7AED" w:rsidP="00A35EAF">
      <w:pPr>
        <w:pStyle w:val="Example"/>
      </w:pPr>
      <w:r w:rsidRPr="00677E20">
        <w:t>ssabcxyzmmyyyy.VOL</w:t>
      </w:r>
    </w:p>
    <w:p w14:paraId="5E5B7932" w14:textId="77777777" w:rsidR="009B7AED" w:rsidRPr="001546EF" w:rsidRDefault="009B7AED">
      <w:pPr>
        <w:pStyle w:val="Heading3"/>
      </w:pPr>
      <w:bookmarkStart w:id="2887" w:name="_Toc63976742"/>
      <w:bookmarkStart w:id="2888" w:name="_Toc109301275"/>
      <w:bookmarkStart w:id="2889" w:name="_Toc109333009"/>
      <w:bookmarkStart w:id="2890" w:name="_Toc109333602"/>
      <w:bookmarkStart w:id="2891" w:name="_Toc113281100"/>
      <w:bookmarkStart w:id="2892" w:name="_Toc118205688"/>
      <w:r>
        <w:t>Traffic Volume Data – Fixed-</w:t>
      </w:r>
      <w:r w:rsidRPr="001546EF">
        <w:t>Width F</w:t>
      </w:r>
      <w:r>
        <w:t>ormat</w:t>
      </w:r>
      <w:bookmarkEnd w:id="2887"/>
      <w:bookmarkEnd w:id="2888"/>
      <w:bookmarkEnd w:id="2889"/>
      <w:bookmarkEnd w:id="2890"/>
      <w:bookmarkEnd w:id="2891"/>
      <w:bookmarkEnd w:id="2892"/>
    </w:p>
    <w:p w14:paraId="76454E59" w14:textId="73BE02D3" w:rsidR="009B7AED" w:rsidRDefault="009B7AED" w:rsidP="00A35EAF">
      <w:pPr>
        <w:pStyle w:val="BodyText"/>
      </w:pPr>
      <w:bookmarkStart w:id="2893" w:name="_Toc335642267"/>
      <w:bookmarkStart w:id="2894" w:name="_Toc364071195"/>
      <w:bookmarkStart w:id="2895" w:name="_Toc450646928"/>
      <w:r>
        <w:t xml:space="preserve">With the historical fixed-width format, all numeric fields should be right-justified and padded with blanks. Blank fill fields for which no data are being reported. </w:t>
      </w:r>
      <w:fldSimple w:instr=" REF _Ref111023252 ">
        <w:r w:rsidR="00C07DF9">
          <w:t xml:space="preserve">Table </w:t>
        </w:r>
        <w:r w:rsidR="00C07DF9">
          <w:rPr>
            <w:noProof/>
          </w:rPr>
          <w:t>4</w:t>
        </w:r>
        <w:r w:rsidR="00C07DF9">
          <w:noBreakHyphen/>
        </w:r>
        <w:r w:rsidR="00C07DF9">
          <w:rPr>
            <w:noProof/>
          </w:rPr>
          <w:t>9</w:t>
        </w:r>
      </w:fldSimple>
      <w:r>
        <w:t xml:space="preserve"> summarizes the Traffic Volume record using the pipe-delimited format.</w:t>
      </w:r>
    </w:p>
    <w:p w14:paraId="5BDBAEB5" w14:textId="12B91B46" w:rsidR="009B7AED" w:rsidRDefault="009B7AED" w:rsidP="000F2A7A">
      <w:pPr>
        <w:pStyle w:val="TMGTableCaption"/>
      </w:pPr>
      <w:bookmarkStart w:id="2896" w:name="_Ref111023252"/>
      <w:bookmarkStart w:id="2897" w:name="_Toc109333451"/>
      <w:bookmarkStart w:id="2898" w:name="_Toc109333779"/>
      <w:bookmarkStart w:id="2899" w:name="_Toc113282514"/>
      <w:bookmarkStart w:id="2900" w:name="_Toc114474851"/>
      <w:bookmarkStart w:id="2901" w:name="_Toc120631157"/>
      <w:bookmarkEnd w:id="2893"/>
      <w:bookmarkEnd w:id="2894"/>
      <w:bookmarkEnd w:id="2895"/>
      <w:r>
        <w:t xml:space="preserve">Table </w:t>
      </w:r>
      <w:fldSimple w:instr=" STYLEREF 1 \s ">
        <w:r w:rsidR="00C07DF9">
          <w:rPr>
            <w:noProof/>
          </w:rPr>
          <w:t>4</w:t>
        </w:r>
      </w:fldSimple>
      <w:r>
        <w:noBreakHyphen/>
      </w:r>
      <w:fldSimple w:instr=" SEQ Table \* ARABIC \s 1 ">
        <w:r w:rsidR="00C07DF9">
          <w:rPr>
            <w:noProof/>
          </w:rPr>
          <w:t>9</w:t>
        </w:r>
      </w:fldSimple>
      <w:bookmarkEnd w:id="2896"/>
      <w:r w:rsidR="00627DD7">
        <w:t>.</w:t>
      </w:r>
      <w:r>
        <w:t xml:space="preserve"> </w:t>
      </w:r>
      <w:r w:rsidRPr="00597B39">
        <w:t>Traffic Volume Record – Fixed</w:t>
      </w:r>
      <w:r>
        <w:t>-</w:t>
      </w:r>
      <w:r w:rsidRPr="00597B39">
        <w:t>Width F</w:t>
      </w:r>
      <w:r>
        <w:t>ormat</w:t>
      </w:r>
      <w:bookmarkEnd w:id="2897"/>
      <w:bookmarkEnd w:id="2898"/>
      <w:bookmarkEnd w:id="2899"/>
      <w:bookmarkEnd w:id="2900"/>
      <w:bookmarkEnd w:id="2901"/>
    </w:p>
    <w:tbl>
      <w:tblPr>
        <w:tblStyle w:val="TableGrid"/>
        <w:tblW w:w="9360" w:type="dxa"/>
        <w:jc w:val="center"/>
        <w:tblCellMar>
          <w:left w:w="86" w:type="dxa"/>
          <w:right w:w="86" w:type="dxa"/>
        </w:tblCellMar>
        <w:tblLook w:val="04A0" w:firstRow="1" w:lastRow="0" w:firstColumn="1" w:lastColumn="0" w:noHBand="0" w:noVBand="1"/>
      </w:tblPr>
      <w:tblGrid>
        <w:gridCol w:w="985"/>
        <w:gridCol w:w="900"/>
        <w:gridCol w:w="900"/>
        <w:gridCol w:w="3960"/>
        <w:gridCol w:w="1350"/>
        <w:gridCol w:w="1265"/>
      </w:tblGrid>
      <w:tr w:rsidR="00253895" w14:paraId="6A71A159" w14:textId="77777777" w:rsidTr="00253895">
        <w:trPr>
          <w:tblHeader/>
          <w:jc w:val="center"/>
        </w:trPr>
        <w:tc>
          <w:tcPr>
            <w:tcW w:w="985" w:type="dxa"/>
            <w:tcBorders>
              <w:right w:val="single" w:sz="4" w:space="0" w:color="FFFFFF" w:themeColor="background1"/>
            </w:tcBorders>
            <w:shd w:val="clear" w:color="auto" w:fill="1F3864"/>
          </w:tcPr>
          <w:p w14:paraId="7D6FF769" w14:textId="6D62543E" w:rsidR="00253895" w:rsidRPr="00253895" w:rsidRDefault="00253895" w:rsidP="00253895">
            <w:pPr>
              <w:pStyle w:val="TMGTableTextHeader"/>
              <w:spacing w:before="10" w:after="10"/>
              <w:ind w:left="0"/>
            </w:pPr>
            <w:r w:rsidRPr="00804074">
              <w:rPr>
                <w:rFonts w:eastAsiaTheme="minorEastAsia"/>
              </w:rPr>
              <w:t>Field</w:t>
            </w:r>
          </w:p>
        </w:tc>
        <w:tc>
          <w:tcPr>
            <w:tcW w:w="900" w:type="dxa"/>
            <w:tcBorders>
              <w:left w:val="single" w:sz="4" w:space="0" w:color="FFFFFF" w:themeColor="background1"/>
              <w:right w:val="single" w:sz="4" w:space="0" w:color="FFFFFF" w:themeColor="background1"/>
            </w:tcBorders>
            <w:shd w:val="clear" w:color="auto" w:fill="1F3864"/>
          </w:tcPr>
          <w:p w14:paraId="4B7361FE" w14:textId="7046AE81" w:rsidR="00253895" w:rsidRPr="00253895" w:rsidRDefault="00253895" w:rsidP="00253895">
            <w:pPr>
              <w:pStyle w:val="TMGTableTextHeader"/>
              <w:spacing w:before="10" w:after="10"/>
              <w:ind w:left="0"/>
              <w:rPr>
                <w:rFonts w:eastAsia="MS Mincho"/>
              </w:rPr>
            </w:pPr>
            <w:r w:rsidRPr="00804074">
              <w:rPr>
                <w:rFonts w:eastAsiaTheme="minorEastAsia"/>
              </w:rPr>
              <w:t>Columns</w:t>
            </w:r>
          </w:p>
        </w:tc>
        <w:tc>
          <w:tcPr>
            <w:tcW w:w="900" w:type="dxa"/>
            <w:tcBorders>
              <w:left w:val="single" w:sz="4" w:space="0" w:color="FFFFFF" w:themeColor="background1"/>
              <w:right w:val="single" w:sz="4" w:space="0" w:color="FFFFFF" w:themeColor="background1"/>
            </w:tcBorders>
            <w:shd w:val="clear" w:color="auto" w:fill="1F3864"/>
          </w:tcPr>
          <w:p w14:paraId="24832803" w14:textId="62A17EED" w:rsidR="00253895" w:rsidRPr="00253895" w:rsidRDefault="00253895" w:rsidP="00253895">
            <w:pPr>
              <w:pStyle w:val="TMGTableTextHeader"/>
              <w:spacing w:before="10" w:after="10"/>
              <w:ind w:left="0"/>
              <w:rPr>
                <w:rFonts w:eastAsia="MS Mincho"/>
              </w:rPr>
            </w:pPr>
            <w:r w:rsidRPr="00804074">
              <w:rPr>
                <w:rFonts w:eastAsiaTheme="minorEastAsia"/>
              </w:rPr>
              <w:t>Width</w:t>
            </w:r>
          </w:p>
        </w:tc>
        <w:tc>
          <w:tcPr>
            <w:tcW w:w="3960" w:type="dxa"/>
            <w:tcBorders>
              <w:left w:val="single" w:sz="4" w:space="0" w:color="FFFFFF" w:themeColor="background1"/>
              <w:right w:val="single" w:sz="4" w:space="0" w:color="FFFFFF" w:themeColor="background1"/>
            </w:tcBorders>
            <w:shd w:val="clear" w:color="auto" w:fill="1F3864"/>
          </w:tcPr>
          <w:p w14:paraId="4DF69B3C" w14:textId="688F31DF" w:rsidR="00253895" w:rsidRPr="00253895" w:rsidRDefault="00253895" w:rsidP="00253895">
            <w:pPr>
              <w:pStyle w:val="TMGTableTextHeader"/>
              <w:spacing w:before="10" w:after="10"/>
              <w:ind w:left="0"/>
              <w:rPr>
                <w:rFonts w:eastAsia="MS Mincho"/>
              </w:rPr>
            </w:pPr>
            <w:r w:rsidRPr="00804074">
              <w:rPr>
                <w:rFonts w:eastAsiaTheme="minorEastAsia"/>
              </w:rPr>
              <w:t>Description</w:t>
            </w:r>
          </w:p>
        </w:tc>
        <w:tc>
          <w:tcPr>
            <w:tcW w:w="1350" w:type="dxa"/>
            <w:tcBorders>
              <w:left w:val="single" w:sz="4" w:space="0" w:color="FFFFFF" w:themeColor="background1"/>
              <w:right w:val="single" w:sz="4" w:space="0" w:color="FFFFFF" w:themeColor="background1"/>
            </w:tcBorders>
            <w:shd w:val="clear" w:color="auto" w:fill="1F3864"/>
          </w:tcPr>
          <w:p w14:paraId="08AE3B8B" w14:textId="587927CE" w:rsidR="00253895" w:rsidRPr="00253895" w:rsidRDefault="00253895" w:rsidP="00253895">
            <w:pPr>
              <w:pStyle w:val="TMGTableTextHeader"/>
              <w:spacing w:before="10" w:after="10"/>
              <w:ind w:left="0"/>
              <w:rPr>
                <w:rFonts w:eastAsia="MS Mincho"/>
              </w:rPr>
            </w:pPr>
            <w:r w:rsidRPr="00804074">
              <w:rPr>
                <w:rFonts w:eastAsiaTheme="minorEastAsia"/>
              </w:rPr>
              <w:t>Type</w:t>
            </w:r>
          </w:p>
        </w:tc>
        <w:tc>
          <w:tcPr>
            <w:tcW w:w="1265" w:type="dxa"/>
            <w:tcBorders>
              <w:left w:val="single" w:sz="4" w:space="0" w:color="FFFFFF" w:themeColor="background1"/>
            </w:tcBorders>
            <w:shd w:val="clear" w:color="auto" w:fill="1F3864"/>
          </w:tcPr>
          <w:p w14:paraId="1F2F08CF" w14:textId="3AF8E3FA" w:rsidR="00253895" w:rsidRPr="00253895" w:rsidRDefault="00253895" w:rsidP="00253895">
            <w:pPr>
              <w:pStyle w:val="TMGTableTextHeader"/>
              <w:spacing w:before="10" w:after="10"/>
              <w:ind w:left="0"/>
            </w:pPr>
            <w:r w:rsidRPr="00804074">
              <w:rPr>
                <w:rFonts w:eastAsiaTheme="minorEastAsia"/>
              </w:rPr>
              <w:t>Importance</w:t>
            </w:r>
          </w:p>
        </w:tc>
      </w:tr>
      <w:tr w:rsidR="00253895" w14:paraId="5BAAF51C" w14:textId="77777777" w:rsidTr="006428F4">
        <w:trPr>
          <w:jc w:val="center"/>
        </w:trPr>
        <w:tc>
          <w:tcPr>
            <w:tcW w:w="985" w:type="dxa"/>
          </w:tcPr>
          <w:p w14:paraId="2447BD5C" w14:textId="073AE740" w:rsidR="00253895" w:rsidRPr="00C251E9" w:rsidRDefault="00253895" w:rsidP="00253895">
            <w:pPr>
              <w:pStyle w:val="TMGTableText"/>
              <w:spacing w:before="10" w:after="10"/>
              <w:ind w:left="0"/>
              <w:jc w:val="center"/>
              <w:rPr>
                <w:b/>
                <w:bCs/>
              </w:rPr>
            </w:pPr>
            <w:r w:rsidRPr="00804074">
              <w:rPr>
                <w:rFonts w:eastAsiaTheme="minorEastAsia"/>
                <w:b/>
                <w:bCs/>
              </w:rPr>
              <w:t>1</w:t>
            </w:r>
          </w:p>
        </w:tc>
        <w:tc>
          <w:tcPr>
            <w:tcW w:w="900" w:type="dxa"/>
            <w:vAlign w:val="center"/>
          </w:tcPr>
          <w:p w14:paraId="6F3826B8" w14:textId="79C6387F" w:rsidR="00253895" w:rsidRPr="004859C8" w:rsidRDefault="00253895" w:rsidP="00253895">
            <w:pPr>
              <w:pStyle w:val="TMGTableText"/>
              <w:spacing w:before="10" w:after="10"/>
              <w:ind w:left="0"/>
              <w:jc w:val="center"/>
            </w:pPr>
            <w:r w:rsidRPr="0051590D">
              <w:rPr>
                <w:rFonts w:eastAsiaTheme="minorEastAsia"/>
              </w:rPr>
              <w:t>1</w:t>
            </w:r>
          </w:p>
        </w:tc>
        <w:tc>
          <w:tcPr>
            <w:tcW w:w="900" w:type="dxa"/>
            <w:vAlign w:val="center"/>
          </w:tcPr>
          <w:p w14:paraId="583258CE" w14:textId="44724D75" w:rsidR="00253895" w:rsidRPr="004859C8" w:rsidRDefault="00253895" w:rsidP="00253895">
            <w:pPr>
              <w:pStyle w:val="TMGTableText"/>
              <w:spacing w:before="10" w:after="10"/>
              <w:ind w:left="0"/>
              <w:jc w:val="center"/>
            </w:pPr>
            <w:r w:rsidRPr="0051590D">
              <w:rPr>
                <w:rFonts w:eastAsiaTheme="minorEastAsia"/>
              </w:rPr>
              <w:t>1</w:t>
            </w:r>
          </w:p>
        </w:tc>
        <w:tc>
          <w:tcPr>
            <w:tcW w:w="3960" w:type="dxa"/>
          </w:tcPr>
          <w:p w14:paraId="728B3C47" w14:textId="70125BF1" w:rsidR="00253895" w:rsidRPr="004859C8" w:rsidRDefault="00253895" w:rsidP="00253895">
            <w:pPr>
              <w:pStyle w:val="TMGTableText"/>
              <w:spacing w:before="10" w:after="10"/>
              <w:ind w:left="0"/>
            </w:pPr>
            <w:r w:rsidRPr="0051590D">
              <w:rPr>
                <w:rFonts w:eastAsiaTheme="minorEastAsia"/>
              </w:rPr>
              <w:t>Record Type</w:t>
            </w:r>
            <w:r>
              <w:rPr>
                <w:rFonts w:eastAsiaTheme="minorEastAsia"/>
              </w:rPr>
              <w:t xml:space="preserve"> (RT)</w:t>
            </w:r>
          </w:p>
        </w:tc>
        <w:tc>
          <w:tcPr>
            <w:tcW w:w="1350" w:type="dxa"/>
            <w:vAlign w:val="center"/>
          </w:tcPr>
          <w:p w14:paraId="6294638E" w14:textId="0B5E0F9C" w:rsidR="00253895" w:rsidRPr="004859C8" w:rsidRDefault="00253895" w:rsidP="006428F4">
            <w:pPr>
              <w:pStyle w:val="TMGTableText"/>
              <w:spacing w:before="10" w:after="10"/>
              <w:ind w:left="0"/>
              <w:jc w:val="center"/>
            </w:pPr>
            <w:r>
              <w:rPr>
                <w:rFonts w:eastAsiaTheme="minorEastAsia"/>
              </w:rPr>
              <w:t>Alphanumeric</w:t>
            </w:r>
          </w:p>
        </w:tc>
        <w:tc>
          <w:tcPr>
            <w:tcW w:w="1265" w:type="dxa"/>
            <w:vAlign w:val="center"/>
          </w:tcPr>
          <w:p w14:paraId="71BC30D9" w14:textId="32898C3E" w:rsidR="00253895" w:rsidRPr="00C251E9" w:rsidRDefault="00253895" w:rsidP="006428F4">
            <w:pPr>
              <w:pStyle w:val="TMGTableText"/>
              <w:spacing w:before="10" w:after="10"/>
              <w:ind w:left="0"/>
              <w:jc w:val="center"/>
            </w:pPr>
            <w:r>
              <w:rPr>
                <w:rFonts w:eastAsiaTheme="minorEastAsia"/>
              </w:rPr>
              <w:t>Required</w:t>
            </w:r>
          </w:p>
        </w:tc>
      </w:tr>
      <w:tr w:rsidR="00253895" w14:paraId="24A4BEDD" w14:textId="77777777" w:rsidTr="006428F4">
        <w:trPr>
          <w:jc w:val="center"/>
        </w:trPr>
        <w:tc>
          <w:tcPr>
            <w:tcW w:w="985" w:type="dxa"/>
          </w:tcPr>
          <w:p w14:paraId="488A0BD0" w14:textId="61D605AE" w:rsidR="00253895" w:rsidRPr="00C251E9" w:rsidRDefault="00253895" w:rsidP="00253895">
            <w:pPr>
              <w:pStyle w:val="TMGTableText"/>
              <w:spacing w:before="10" w:after="10"/>
              <w:ind w:left="0"/>
              <w:jc w:val="center"/>
              <w:rPr>
                <w:b/>
                <w:bCs/>
              </w:rPr>
            </w:pPr>
            <w:r w:rsidRPr="00804074">
              <w:rPr>
                <w:rFonts w:eastAsiaTheme="minorEastAsia"/>
                <w:b/>
                <w:bCs/>
              </w:rPr>
              <w:t>2</w:t>
            </w:r>
          </w:p>
        </w:tc>
        <w:tc>
          <w:tcPr>
            <w:tcW w:w="900" w:type="dxa"/>
            <w:vAlign w:val="center"/>
          </w:tcPr>
          <w:p w14:paraId="72F3FFD4" w14:textId="6AA4D846" w:rsidR="00253895" w:rsidRPr="004859C8" w:rsidRDefault="00253895" w:rsidP="00253895">
            <w:pPr>
              <w:pStyle w:val="TMGTableText"/>
              <w:spacing w:before="10" w:after="10"/>
              <w:ind w:left="0"/>
              <w:jc w:val="center"/>
            </w:pPr>
            <w:r w:rsidRPr="0051590D">
              <w:rPr>
                <w:rFonts w:eastAsiaTheme="minorEastAsia"/>
              </w:rPr>
              <w:t>2-3</w:t>
            </w:r>
          </w:p>
        </w:tc>
        <w:tc>
          <w:tcPr>
            <w:tcW w:w="900" w:type="dxa"/>
            <w:vAlign w:val="center"/>
          </w:tcPr>
          <w:p w14:paraId="15AA5CFB" w14:textId="5109DD21" w:rsidR="00253895" w:rsidRPr="004859C8" w:rsidRDefault="00253895" w:rsidP="00253895">
            <w:pPr>
              <w:pStyle w:val="TMGTableText"/>
              <w:spacing w:before="10" w:after="10"/>
              <w:ind w:left="0"/>
              <w:jc w:val="center"/>
            </w:pPr>
            <w:r w:rsidRPr="0051590D">
              <w:rPr>
                <w:rFonts w:eastAsiaTheme="minorEastAsia"/>
              </w:rPr>
              <w:t>2</w:t>
            </w:r>
          </w:p>
        </w:tc>
        <w:tc>
          <w:tcPr>
            <w:tcW w:w="3960" w:type="dxa"/>
          </w:tcPr>
          <w:p w14:paraId="5E3E96E4" w14:textId="027523D1" w:rsidR="00253895" w:rsidRPr="004859C8" w:rsidRDefault="00253895" w:rsidP="00253895">
            <w:pPr>
              <w:pStyle w:val="TMGTableText"/>
              <w:spacing w:before="10" w:after="10"/>
              <w:ind w:left="0"/>
            </w:pPr>
            <w:r>
              <w:rPr>
                <w:rFonts w:eastAsiaTheme="minorEastAsia"/>
              </w:rPr>
              <w:t xml:space="preserve">State </w:t>
            </w:r>
            <w:r w:rsidRPr="0051590D">
              <w:rPr>
                <w:rFonts w:eastAsiaTheme="minorEastAsia"/>
              </w:rPr>
              <w:t>FIPS Code</w:t>
            </w:r>
            <w:r>
              <w:rPr>
                <w:rFonts w:eastAsiaTheme="minorEastAsia"/>
              </w:rPr>
              <w:t xml:space="preserve"> (SFIPS)</w:t>
            </w:r>
          </w:p>
        </w:tc>
        <w:tc>
          <w:tcPr>
            <w:tcW w:w="1350" w:type="dxa"/>
            <w:vAlign w:val="center"/>
          </w:tcPr>
          <w:p w14:paraId="222F8E82" w14:textId="62EBC0D2" w:rsidR="00253895" w:rsidRPr="004859C8" w:rsidRDefault="00253895" w:rsidP="006428F4">
            <w:pPr>
              <w:pStyle w:val="TMGTableText"/>
              <w:spacing w:before="10" w:after="10"/>
              <w:ind w:left="0"/>
              <w:jc w:val="center"/>
            </w:pPr>
            <w:r>
              <w:rPr>
                <w:rFonts w:eastAsiaTheme="minorEastAsia"/>
              </w:rPr>
              <w:t>Integer</w:t>
            </w:r>
          </w:p>
        </w:tc>
        <w:tc>
          <w:tcPr>
            <w:tcW w:w="1265" w:type="dxa"/>
            <w:vAlign w:val="center"/>
          </w:tcPr>
          <w:p w14:paraId="157AD75D" w14:textId="09512577" w:rsidR="00253895" w:rsidRPr="00C251E9" w:rsidRDefault="00253895" w:rsidP="006428F4">
            <w:pPr>
              <w:pStyle w:val="TMGTableText"/>
              <w:spacing w:before="10" w:after="10"/>
              <w:ind w:left="0"/>
              <w:jc w:val="center"/>
            </w:pPr>
            <w:r>
              <w:rPr>
                <w:rFonts w:eastAsiaTheme="minorEastAsia"/>
              </w:rPr>
              <w:t>Required</w:t>
            </w:r>
          </w:p>
        </w:tc>
      </w:tr>
      <w:tr w:rsidR="00253895" w14:paraId="70708BEC" w14:textId="77777777" w:rsidTr="006428F4">
        <w:trPr>
          <w:jc w:val="center"/>
        </w:trPr>
        <w:tc>
          <w:tcPr>
            <w:tcW w:w="985" w:type="dxa"/>
          </w:tcPr>
          <w:p w14:paraId="4643D1BA" w14:textId="0917034D" w:rsidR="00253895" w:rsidRPr="00C251E9" w:rsidRDefault="00253895" w:rsidP="00253895">
            <w:pPr>
              <w:pStyle w:val="TMGTableText"/>
              <w:spacing w:before="10" w:after="10"/>
              <w:ind w:left="0"/>
              <w:jc w:val="center"/>
              <w:rPr>
                <w:b/>
                <w:bCs/>
              </w:rPr>
            </w:pPr>
            <w:r w:rsidRPr="00804074">
              <w:rPr>
                <w:rFonts w:eastAsiaTheme="minorEastAsia"/>
                <w:b/>
                <w:bCs/>
              </w:rPr>
              <w:t>3</w:t>
            </w:r>
          </w:p>
        </w:tc>
        <w:tc>
          <w:tcPr>
            <w:tcW w:w="900" w:type="dxa"/>
            <w:vAlign w:val="center"/>
          </w:tcPr>
          <w:p w14:paraId="32D1A43D" w14:textId="52E655DF" w:rsidR="00253895" w:rsidRPr="004859C8" w:rsidRDefault="00253895" w:rsidP="00253895">
            <w:pPr>
              <w:pStyle w:val="TMGTableText"/>
              <w:spacing w:before="10" w:after="10"/>
              <w:ind w:left="0"/>
              <w:jc w:val="center"/>
            </w:pPr>
            <w:r w:rsidRPr="0051590D">
              <w:rPr>
                <w:rFonts w:eastAsiaTheme="minorEastAsia"/>
              </w:rPr>
              <w:t>4-5</w:t>
            </w:r>
          </w:p>
        </w:tc>
        <w:tc>
          <w:tcPr>
            <w:tcW w:w="900" w:type="dxa"/>
            <w:vAlign w:val="center"/>
          </w:tcPr>
          <w:p w14:paraId="2F967F91" w14:textId="69792EFD" w:rsidR="00253895" w:rsidRPr="004859C8" w:rsidRDefault="00253895" w:rsidP="00253895">
            <w:pPr>
              <w:pStyle w:val="TMGTableText"/>
              <w:spacing w:before="10" w:after="10"/>
              <w:ind w:left="0"/>
              <w:jc w:val="center"/>
            </w:pPr>
            <w:r w:rsidRPr="0051590D">
              <w:rPr>
                <w:rFonts w:eastAsiaTheme="minorEastAsia"/>
              </w:rPr>
              <w:t>2</w:t>
            </w:r>
          </w:p>
        </w:tc>
        <w:tc>
          <w:tcPr>
            <w:tcW w:w="3960" w:type="dxa"/>
          </w:tcPr>
          <w:p w14:paraId="3BA8BB7D" w14:textId="690C9E16" w:rsidR="00253895" w:rsidRPr="004859C8" w:rsidRDefault="00253895" w:rsidP="00253895">
            <w:pPr>
              <w:pStyle w:val="TMGTableText"/>
              <w:spacing w:before="10" w:after="10"/>
              <w:ind w:left="0"/>
            </w:pPr>
            <w:r w:rsidRPr="0051590D">
              <w:rPr>
                <w:rFonts w:eastAsiaTheme="minorEastAsia"/>
              </w:rPr>
              <w:t>Functional Classification</w:t>
            </w:r>
            <w:r>
              <w:rPr>
                <w:rFonts w:eastAsiaTheme="minorEastAsia"/>
              </w:rPr>
              <w:t xml:space="preserve"> (FC)</w:t>
            </w:r>
          </w:p>
        </w:tc>
        <w:tc>
          <w:tcPr>
            <w:tcW w:w="1350" w:type="dxa"/>
            <w:vAlign w:val="center"/>
          </w:tcPr>
          <w:p w14:paraId="532D6DC5" w14:textId="2419ADB3" w:rsidR="00253895" w:rsidRPr="004859C8" w:rsidRDefault="00253895" w:rsidP="006428F4">
            <w:pPr>
              <w:pStyle w:val="TMGTableText"/>
              <w:spacing w:before="10" w:after="10"/>
              <w:ind w:left="0"/>
              <w:jc w:val="center"/>
            </w:pPr>
            <w:r>
              <w:rPr>
                <w:rFonts w:eastAsiaTheme="minorEastAsia"/>
              </w:rPr>
              <w:t>Alphanumeric</w:t>
            </w:r>
          </w:p>
        </w:tc>
        <w:tc>
          <w:tcPr>
            <w:tcW w:w="1265" w:type="dxa"/>
            <w:vAlign w:val="center"/>
          </w:tcPr>
          <w:p w14:paraId="10D903B9" w14:textId="08298199" w:rsidR="00253895" w:rsidRPr="00C251E9" w:rsidRDefault="00253895" w:rsidP="006428F4">
            <w:pPr>
              <w:pStyle w:val="TMGTableText"/>
              <w:spacing w:before="10" w:after="10"/>
              <w:ind w:left="0"/>
              <w:jc w:val="center"/>
            </w:pPr>
            <w:r>
              <w:rPr>
                <w:rFonts w:eastAsiaTheme="minorEastAsia"/>
              </w:rPr>
              <w:t>Required</w:t>
            </w:r>
          </w:p>
        </w:tc>
      </w:tr>
      <w:tr w:rsidR="00253895" w14:paraId="4E1A9ECC" w14:textId="77777777" w:rsidTr="006428F4">
        <w:trPr>
          <w:jc w:val="center"/>
        </w:trPr>
        <w:tc>
          <w:tcPr>
            <w:tcW w:w="985" w:type="dxa"/>
          </w:tcPr>
          <w:p w14:paraId="3C186234" w14:textId="3B5D8EB1" w:rsidR="00253895" w:rsidRPr="00C251E9" w:rsidRDefault="00253895" w:rsidP="00253895">
            <w:pPr>
              <w:pStyle w:val="TMGTableText"/>
              <w:spacing w:before="10" w:after="10"/>
              <w:ind w:left="0"/>
              <w:jc w:val="center"/>
              <w:rPr>
                <w:b/>
                <w:bCs/>
              </w:rPr>
            </w:pPr>
            <w:r w:rsidRPr="00804074">
              <w:rPr>
                <w:rFonts w:eastAsiaTheme="minorEastAsia"/>
                <w:b/>
                <w:bCs/>
              </w:rPr>
              <w:t>4</w:t>
            </w:r>
          </w:p>
        </w:tc>
        <w:tc>
          <w:tcPr>
            <w:tcW w:w="900" w:type="dxa"/>
            <w:vAlign w:val="center"/>
          </w:tcPr>
          <w:p w14:paraId="0E7C4567" w14:textId="0F37FA6A" w:rsidR="00253895" w:rsidRPr="004859C8" w:rsidRDefault="00253895" w:rsidP="00253895">
            <w:pPr>
              <w:pStyle w:val="TMGTableText"/>
              <w:spacing w:before="10" w:after="10"/>
              <w:ind w:left="0"/>
              <w:jc w:val="center"/>
            </w:pPr>
            <w:r w:rsidRPr="0051590D">
              <w:rPr>
                <w:rFonts w:eastAsiaTheme="minorEastAsia"/>
              </w:rPr>
              <w:t>6-11</w:t>
            </w:r>
          </w:p>
        </w:tc>
        <w:tc>
          <w:tcPr>
            <w:tcW w:w="900" w:type="dxa"/>
            <w:vAlign w:val="center"/>
          </w:tcPr>
          <w:p w14:paraId="507F3218" w14:textId="718E6D60" w:rsidR="00253895" w:rsidRPr="004859C8" w:rsidRDefault="00253895" w:rsidP="00253895">
            <w:pPr>
              <w:pStyle w:val="TMGTableText"/>
              <w:spacing w:before="10" w:after="10"/>
              <w:ind w:left="0"/>
              <w:jc w:val="center"/>
            </w:pPr>
            <w:r w:rsidRPr="0051590D">
              <w:rPr>
                <w:rFonts w:eastAsiaTheme="minorEastAsia"/>
              </w:rPr>
              <w:t>6</w:t>
            </w:r>
          </w:p>
        </w:tc>
        <w:tc>
          <w:tcPr>
            <w:tcW w:w="3960" w:type="dxa"/>
          </w:tcPr>
          <w:p w14:paraId="3AB1ACF8" w14:textId="0006F6E9" w:rsidR="00253895" w:rsidRPr="004859C8" w:rsidRDefault="00253895" w:rsidP="00253895">
            <w:pPr>
              <w:pStyle w:val="TMGTableText"/>
              <w:spacing w:before="10" w:after="10"/>
              <w:ind w:left="0"/>
            </w:pPr>
            <w:r w:rsidRPr="0051590D">
              <w:rPr>
                <w:rFonts w:eastAsiaTheme="minorEastAsia"/>
              </w:rPr>
              <w:t>Station Identification</w:t>
            </w:r>
            <w:r>
              <w:rPr>
                <w:rFonts w:eastAsiaTheme="minorEastAsia"/>
              </w:rPr>
              <w:t xml:space="preserve"> (ID)</w:t>
            </w:r>
          </w:p>
        </w:tc>
        <w:tc>
          <w:tcPr>
            <w:tcW w:w="1350" w:type="dxa"/>
            <w:vAlign w:val="center"/>
          </w:tcPr>
          <w:p w14:paraId="4D456F4C" w14:textId="263B0603" w:rsidR="00253895" w:rsidRPr="004859C8" w:rsidRDefault="00253895" w:rsidP="006428F4">
            <w:pPr>
              <w:pStyle w:val="TMGTableText"/>
              <w:spacing w:before="10" w:after="10"/>
              <w:ind w:left="0"/>
              <w:jc w:val="center"/>
            </w:pPr>
            <w:r>
              <w:rPr>
                <w:rFonts w:eastAsiaTheme="minorEastAsia"/>
              </w:rPr>
              <w:t>Alphanumeric</w:t>
            </w:r>
          </w:p>
        </w:tc>
        <w:tc>
          <w:tcPr>
            <w:tcW w:w="1265" w:type="dxa"/>
            <w:vAlign w:val="center"/>
          </w:tcPr>
          <w:p w14:paraId="7BCBA234" w14:textId="416271DD" w:rsidR="00253895" w:rsidRPr="00C251E9" w:rsidRDefault="00253895" w:rsidP="006428F4">
            <w:pPr>
              <w:pStyle w:val="TMGTableText"/>
              <w:spacing w:before="10" w:after="10"/>
              <w:ind w:left="0"/>
              <w:jc w:val="center"/>
            </w:pPr>
            <w:r>
              <w:rPr>
                <w:rFonts w:eastAsiaTheme="minorEastAsia"/>
              </w:rPr>
              <w:t>Required</w:t>
            </w:r>
          </w:p>
        </w:tc>
      </w:tr>
      <w:tr w:rsidR="00253895" w14:paraId="2F2C48E0" w14:textId="77777777" w:rsidTr="006428F4">
        <w:trPr>
          <w:jc w:val="center"/>
        </w:trPr>
        <w:tc>
          <w:tcPr>
            <w:tcW w:w="985" w:type="dxa"/>
          </w:tcPr>
          <w:p w14:paraId="74A862C1" w14:textId="78B70B6A" w:rsidR="00253895" w:rsidRPr="00C251E9" w:rsidRDefault="00253895" w:rsidP="00253895">
            <w:pPr>
              <w:pStyle w:val="TMGTableText"/>
              <w:spacing w:before="10" w:after="10"/>
              <w:ind w:left="0"/>
              <w:jc w:val="center"/>
              <w:rPr>
                <w:b/>
                <w:bCs/>
              </w:rPr>
            </w:pPr>
            <w:r w:rsidRPr="00804074">
              <w:rPr>
                <w:rFonts w:eastAsiaTheme="minorEastAsia"/>
                <w:b/>
                <w:bCs/>
              </w:rPr>
              <w:t>5</w:t>
            </w:r>
          </w:p>
        </w:tc>
        <w:tc>
          <w:tcPr>
            <w:tcW w:w="900" w:type="dxa"/>
            <w:vAlign w:val="center"/>
          </w:tcPr>
          <w:p w14:paraId="7AE18543" w14:textId="213DE370" w:rsidR="00253895" w:rsidRPr="004859C8" w:rsidRDefault="00253895" w:rsidP="00253895">
            <w:pPr>
              <w:pStyle w:val="TMGTableText"/>
              <w:spacing w:before="10" w:after="10"/>
              <w:ind w:left="0"/>
              <w:jc w:val="center"/>
            </w:pPr>
            <w:r w:rsidRPr="0051590D">
              <w:rPr>
                <w:rFonts w:eastAsiaTheme="minorEastAsia"/>
              </w:rPr>
              <w:t>12</w:t>
            </w:r>
          </w:p>
        </w:tc>
        <w:tc>
          <w:tcPr>
            <w:tcW w:w="900" w:type="dxa"/>
            <w:vAlign w:val="center"/>
          </w:tcPr>
          <w:p w14:paraId="38C264FC" w14:textId="5E4AF1F6" w:rsidR="00253895" w:rsidRPr="004859C8" w:rsidRDefault="00253895" w:rsidP="00253895">
            <w:pPr>
              <w:pStyle w:val="TMGTableText"/>
              <w:spacing w:before="10" w:after="10"/>
              <w:ind w:left="0"/>
              <w:jc w:val="center"/>
            </w:pPr>
            <w:r w:rsidRPr="0051590D">
              <w:rPr>
                <w:rFonts w:eastAsiaTheme="minorEastAsia"/>
              </w:rPr>
              <w:t>1</w:t>
            </w:r>
          </w:p>
        </w:tc>
        <w:tc>
          <w:tcPr>
            <w:tcW w:w="3960" w:type="dxa"/>
          </w:tcPr>
          <w:p w14:paraId="14A8E4F3" w14:textId="7C3165FF" w:rsidR="00253895" w:rsidRPr="004859C8" w:rsidRDefault="00253895" w:rsidP="00253895">
            <w:pPr>
              <w:pStyle w:val="TMGTableText"/>
              <w:spacing w:before="10" w:after="10"/>
              <w:ind w:left="0"/>
            </w:pPr>
            <w:r w:rsidRPr="0051590D">
              <w:rPr>
                <w:rFonts w:eastAsiaTheme="minorEastAsia"/>
              </w:rPr>
              <w:t>Direction of Travel</w:t>
            </w:r>
            <w:r>
              <w:rPr>
                <w:rFonts w:eastAsiaTheme="minorEastAsia"/>
              </w:rPr>
              <w:t xml:space="preserve"> (DIR)</w:t>
            </w:r>
          </w:p>
        </w:tc>
        <w:tc>
          <w:tcPr>
            <w:tcW w:w="1350" w:type="dxa"/>
            <w:vAlign w:val="center"/>
          </w:tcPr>
          <w:p w14:paraId="2E640A1B" w14:textId="0E22DC9A" w:rsidR="00253895" w:rsidRPr="004859C8" w:rsidRDefault="00253895" w:rsidP="006428F4">
            <w:pPr>
              <w:pStyle w:val="TMGTableText"/>
              <w:spacing w:before="10" w:after="10"/>
              <w:ind w:left="0"/>
              <w:jc w:val="center"/>
            </w:pPr>
            <w:r>
              <w:rPr>
                <w:rFonts w:eastAsiaTheme="minorEastAsia"/>
              </w:rPr>
              <w:t>Integer</w:t>
            </w:r>
          </w:p>
        </w:tc>
        <w:tc>
          <w:tcPr>
            <w:tcW w:w="1265" w:type="dxa"/>
            <w:vAlign w:val="center"/>
          </w:tcPr>
          <w:p w14:paraId="4EE480C1" w14:textId="6A75C840" w:rsidR="00253895" w:rsidRPr="00C251E9" w:rsidRDefault="00253895" w:rsidP="006428F4">
            <w:pPr>
              <w:pStyle w:val="TMGTableText"/>
              <w:spacing w:before="10" w:after="10"/>
              <w:ind w:left="0"/>
              <w:jc w:val="center"/>
            </w:pPr>
            <w:r>
              <w:rPr>
                <w:rFonts w:eastAsiaTheme="minorEastAsia"/>
              </w:rPr>
              <w:t>Required</w:t>
            </w:r>
          </w:p>
        </w:tc>
      </w:tr>
      <w:tr w:rsidR="00253895" w14:paraId="697B5A5A" w14:textId="77777777" w:rsidTr="006428F4">
        <w:trPr>
          <w:jc w:val="center"/>
        </w:trPr>
        <w:tc>
          <w:tcPr>
            <w:tcW w:w="985" w:type="dxa"/>
          </w:tcPr>
          <w:p w14:paraId="0D5DEB17" w14:textId="439023F4" w:rsidR="00253895" w:rsidRPr="00C251E9" w:rsidRDefault="00253895" w:rsidP="00253895">
            <w:pPr>
              <w:pStyle w:val="TMGTableText"/>
              <w:spacing w:before="10" w:after="10"/>
              <w:ind w:left="0"/>
              <w:jc w:val="center"/>
              <w:rPr>
                <w:b/>
                <w:bCs/>
              </w:rPr>
            </w:pPr>
            <w:r w:rsidRPr="00804074">
              <w:rPr>
                <w:rFonts w:eastAsiaTheme="minorEastAsia"/>
                <w:b/>
                <w:bCs/>
              </w:rPr>
              <w:t>6</w:t>
            </w:r>
          </w:p>
        </w:tc>
        <w:tc>
          <w:tcPr>
            <w:tcW w:w="900" w:type="dxa"/>
            <w:vAlign w:val="center"/>
          </w:tcPr>
          <w:p w14:paraId="671099A9" w14:textId="0BC02647" w:rsidR="00253895" w:rsidRPr="004859C8" w:rsidRDefault="00253895" w:rsidP="00253895">
            <w:pPr>
              <w:pStyle w:val="TMGTableText"/>
              <w:spacing w:before="10" w:after="10"/>
              <w:ind w:left="0"/>
              <w:jc w:val="center"/>
            </w:pPr>
            <w:r w:rsidRPr="0051590D">
              <w:rPr>
                <w:rFonts w:eastAsiaTheme="minorEastAsia"/>
              </w:rPr>
              <w:t>13</w:t>
            </w:r>
          </w:p>
        </w:tc>
        <w:tc>
          <w:tcPr>
            <w:tcW w:w="900" w:type="dxa"/>
            <w:vAlign w:val="center"/>
          </w:tcPr>
          <w:p w14:paraId="02E3CD1A" w14:textId="65893514" w:rsidR="00253895" w:rsidRPr="004859C8" w:rsidRDefault="00253895" w:rsidP="00253895">
            <w:pPr>
              <w:pStyle w:val="TMGTableText"/>
              <w:spacing w:before="10" w:after="10"/>
              <w:ind w:left="0"/>
              <w:jc w:val="center"/>
            </w:pPr>
            <w:r w:rsidRPr="0051590D">
              <w:rPr>
                <w:rFonts w:eastAsiaTheme="minorEastAsia"/>
              </w:rPr>
              <w:t>1</w:t>
            </w:r>
          </w:p>
        </w:tc>
        <w:tc>
          <w:tcPr>
            <w:tcW w:w="3960" w:type="dxa"/>
          </w:tcPr>
          <w:p w14:paraId="784016B7" w14:textId="5BC61E73" w:rsidR="00253895" w:rsidRPr="004859C8" w:rsidRDefault="00253895" w:rsidP="00253895">
            <w:pPr>
              <w:pStyle w:val="TMGTableText"/>
              <w:spacing w:before="10" w:after="10"/>
              <w:ind w:left="0"/>
            </w:pPr>
            <w:r w:rsidRPr="0051590D">
              <w:rPr>
                <w:rFonts w:eastAsiaTheme="minorEastAsia"/>
              </w:rPr>
              <w:t>Lane of Travel</w:t>
            </w:r>
            <w:r>
              <w:rPr>
                <w:rFonts w:eastAsiaTheme="minorEastAsia"/>
              </w:rPr>
              <w:t xml:space="preserve"> (LN)</w:t>
            </w:r>
          </w:p>
        </w:tc>
        <w:tc>
          <w:tcPr>
            <w:tcW w:w="1350" w:type="dxa"/>
            <w:vAlign w:val="center"/>
          </w:tcPr>
          <w:p w14:paraId="4DB45422" w14:textId="5A8B07FA" w:rsidR="00253895" w:rsidRPr="004859C8" w:rsidRDefault="00253895" w:rsidP="006428F4">
            <w:pPr>
              <w:pStyle w:val="TMGTableText"/>
              <w:spacing w:before="10" w:after="10"/>
              <w:ind w:left="0"/>
              <w:jc w:val="center"/>
            </w:pPr>
            <w:r>
              <w:rPr>
                <w:rFonts w:eastAsiaTheme="minorEastAsia"/>
              </w:rPr>
              <w:t>Integer</w:t>
            </w:r>
          </w:p>
        </w:tc>
        <w:tc>
          <w:tcPr>
            <w:tcW w:w="1265" w:type="dxa"/>
            <w:vAlign w:val="center"/>
          </w:tcPr>
          <w:p w14:paraId="1A0C6B41" w14:textId="22BDF8BC" w:rsidR="00253895" w:rsidRPr="00C251E9" w:rsidRDefault="00253895" w:rsidP="006428F4">
            <w:pPr>
              <w:pStyle w:val="TMGTableText"/>
              <w:spacing w:before="10" w:after="10"/>
              <w:ind w:left="0"/>
              <w:jc w:val="center"/>
            </w:pPr>
            <w:r>
              <w:rPr>
                <w:rFonts w:eastAsiaTheme="minorEastAsia"/>
              </w:rPr>
              <w:t>Required</w:t>
            </w:r>
          </w:p>
        </w:tc>
      </w:tr>
      <w:tr w:rsidR="00253895" w14:paraId="63CD6811" w14:textId="77777777" w:rsidTr="006428F4">
        <w:trPr>
          <w:jc w:val="center"/>
        </w:trPr>
        <w:tc>
          <w:tcPr>
            <w:tcW w:w="985" w:type="dxa"/>
          </w:tcPr>
          <w:p w14:paraId="029855E3" w14:textId="6CFC01E3" w:rsidR="00253895" w:rsidRPr="00C251E9" w:rsidRDefault="00253895" w:rsidP="00253895">
            <w:pPr>
              <w:pStyle w:val="TMGTableText"/>
              <w:spacing w:before="10" w:after="10"/>
              <w:ind w:left="0"/>
              <w:jc w:val="center"/>
              <w:rPr>
                <w:b/>
                <w:bCs/>
              </w:rPr>
            </w:pPr>
            <w:r w:rsidRPr="00804074">
              <w:rPr>
                <w:rFonts w:eastAsiaTheme="minorEastAsia"/>
                <w:b/>
                <w:bCs/>
              </w:rPr>
              <w:t>7</w:t>
            </w:r>
          </w:p>
        </w:tc>
        <w:tc>
          <w:tcPr>
            <w:tcW w:w="900" w:type="dxa"/>
            <w:vAlign w:val="center"/>
          </w:tcPr>
          <w:p w14:paraId="292391F9" w14:textId="1AE14725" w:rsidR="00253895" w:rsidRPr="004859C8" w:rsidRDefault="00253895" w:rsidP="00253895">
            <w:pPr>
              <w:pStyle w:val="TMGTableText"/>
              <w:spacing w:before="10" w:after="10"/>
              <w:ind w:left="0"/>
              <w:jc w:val="center"/>
            </w:pPr>
            <w:r w:rsidRPr="0051590D">
              <w:rPr>
                <w:rFonts w:eastAsiaTheme="minorEastAsia"/>
              </w:rPr>
              <w:t>14-17</w:t>
            </w:r>
          </w:p>
        </w:tc>
        <w:tc>
          <w:tcPr>
            <w:tcW w:w="900" w:type="dxa"/>
            <w:vAlign w:val="center"/>
          </w:tcPr>
          <w:p w14:paraId="54A3D340" w14:textId="4F731CA6" w:rsidR="00253895" w:rsidRPr="004859C8" w:rsidRDefault="00253895" w:rsidP="00253895">
            <w:pPr>
              <w:pStyle w:val="TMGTableText"/>
              <w:spacing w:before="10" w:after="10"/>
              <w:ind w:left="0"/>
              <w:jc w:val="center"/>
            </w:pPr>
            <w:r w:rsidRPr="0051590D">
              <w:rPr>
                <w:rFonts w:eastAsiaTheme="minorEastAsia"/>
              </w:rPr>
              <w:t>4</w:t>
            </w:r>
          </w:p>
        </w:tc>
        <w:tc>
          <w:tcPr>
            <w:tcW w:w="3960" w:type="dxa"/>
          </w:tcPr>
          <w:p w14:paraId="2BEC2E45" w14:textId="0E1EEDB7" w:rsidR="00253895" w:rsidRPr="004859C8" w:rsidRDefault="00253895" w:rsidP="00253895">
            <w:pPr>
              <w:pStyle w:val="TMGTableText"/>
              <w:spacing w:before="10" w:after="10"/>
              <w:ind w:left="0"/>
            </w:pPr>
            <w:r w:rsidRPr="0051590D">
              <w:rPr>
                <w:rFonts w:eastAsiaTheme="minorEastAsia"/>
              </w:rPr>
              <w:t>Year of Data</w:t>
            </w:r>
            <w:r>
              <w:rPr>
                <w:rFonts w:eastAsiaTheme="minorEastAsia"/>
              </w:rPr>
              <w:t xml:space="preserve"> (YR)</w:t>
            </w:r>
          </w:p>
        </w:tc>
        <w:tc>
          <w:tcPr>
            <w:tcW w:w="1350" w:type="dxa"/>
            <w:vAlign w:val="center"/>
          </w:tcPr>
          <w:p w14:paraId="1EB7D5C0" w14:textId="53923E0D" w:rsidR="00253895" w:rsidRPr="004859C8" w:rsidRDefault="00253895" w:rsidP="006428F4">
            <w:pPr>
              <w:pStyle w:val="TMGTableText"/>
              <w:spacing w:before="10" w:after="10"/>
              <w:ind w:left="0"/>
              <w:jc w:val="center"/>
            </w:pPr>
            <w:r>
              <w:rPr>
                <w:rFonts w:eastAsiaTheme="minorEastAsia"/>
              </w:rPr>
              <w:t>Integer</w:t>
            </w:r>
          </w:p>
        </w:tc>
        <w:tc>
          <w:tcPr>
            <w:tcW w:w="1265" w:type="dxa"/>
            <w:vAlign w:val="center"/>
          </w:tcPr>
          <w:p w14:paraId="0D8FE192" w14:textId="2C6357E2" w:rsidR="00253895" w:rsidRPr="00C251E9" w:rsidRDefault="00253895" w:rsidP="006428F4">
            <w:pPr>
              <w:pStyle w:val="TMGTableText"/>
              <w:spacing w:before="10" w:after="10"/>
              <w:ind w:left="0"/>
              <w:jc w:val="center"/>
            </w:pPr>
            <w:r>
              <w:rPr>
                <w:rFonts w:eastAsiaTheme="minorEastAsia"/>
              </w:rPr>
              <w:t>Required</w:t>
            </w:r>
          </w:p>
        </w:tc>
      </w:tr>
      <w:tr w:rsidR="00253895" w14:paraId="2D22263A" w14:textId="77777777" w:rsidTr="006428F4">
        <w:trPr>
          <w:jc w:val="center"/>
        </w:trPr>
        <w:tc>
          <w:tcPr>
            <w:tcW w:w="985" w:type="dxa"/>
          </w:tcPr>
          <w:p w14:paraId="06D80F96" w14:textId="7A2F46CD" w:rsidR="00253895" w:rsidRPr="00C251E9" w:rsidRDefault="00253895" w:rsidP="00253895">
            <w:pPr>
              <w:pStyle w:val="TMGTableText"/>
              <w:spacing w:before="10" w:after="10"/>
              <w:ind w:left="0"/>
              <w:jc w:val="center"/>
              <w:rPr>
                <w:b/>
                <w:bCs/>
              </w:rPr>
            </w:pPr>
            <w:r w:rsidRPr="00804074">
              <w:rPr>
                <w:rFonts w:eastAsiaTheme="minorEastAsia"/>
                <w:b/>
                <w:bCs/>
              </w:rPr>
              <w:t>8</w:t>
            </w:r>
          </w:p>
        </w:tc>
        <w:tc>
          <w:tcPr>
            <w:tcW w:w="900" w:type="dxa"/>
            <w:vAlign w:val="center"/>
          </w:tcPr>
          <w:p w14:paraId="29DAA145" w14:textId="02BC0E2D" w:rsidR="00253895" w:rsidRPr="004859C8" w:rsidRDefault="00253895" w:rsidP="00253895">
            <w:pPr>
              <w:pStyle w:val="TMGTableText"/>
              <w:spacing w:before="10" w:after="10"/>
              <w:ind w:left="0"/>
              <w:jc w:val="center"/>
            </w:pPr>
            <w:r w:rsidRPr="0051590D">
              <w:rPr>
                <w:rFonts w:eastAsiaTheme="minorEastAsia"/>
              </w:rPr>
              <w:t>18-19</w:t>
            </w:r>
          </w:p>
        </w:tc>
        <w:tc>
          <w:tcPr>
            <w:tcW w:w="900" w:type="dxa"/>
            <w:vAlign w:val="center"/>
          </w:tcPr>
          <w:p w14:paraId="43699B40" w14:textId="037896D0" w:rsidR="00253895" w:rsidRPr="004859C8" w:rsidRDefault="00253895" w:rsidP="00253895">
            <w:pPr>
              <w:pStyle w:val="TMGTableText"/>
              <w:spacing w:before="10" w:after="10"/>
              <w:ind w:left="0"/>
              <w:jc w:val="center"/>
            </w:pPr>
            <w:r w:rsidRPr="0051590D">
              <w:rPr>
                <w:rFonts w:eastAsiaTheme="minorEastAsia"/>
              </w:rPr>
              <w:t>2</w:t>
            </w:r>
          </w:p>
        </w:tc>
        <w:tc>
          <w:tcPr>
            <w:tcW w:w="3960" w:type="dxa"/>
          </w:tcPr>
          <w:p w14:paraId="4575AF28" w14:textId="443E6176" w:rsidR="00253895" w:rsidRPr="004859C8" w:rsidRDefault="00253895" w:rsidP="00253895">
            <w:pPr>
              <w:pStyle w:val="TMGTableText"/>
              <w:spacing w:before="10" w:after="10"/>
              <w:ind w:left="0"/>
            </w:pPr>
            <w:r w:rsidRPr="0051590D">
              <w:rPr>
                <w:rFonts w:eastAsiaTheme="minorEastAsia"/>
              </w:rPr>
              <w:t xml:space="preserve">Month of </w:t>
            </w:r>
            <w:r>
              <w:rPr>
                <w:rFonts w:eastAsiaTheme="minorEastAsia"/>
              </w:rPr>
              <w:t>Year (MOY)</w:t>
            </w:r>
          </w:p>
        </w:tc>
        <w:tc>
          <w:tcPr>
            <w:tcW w:w="1350" w:type="dxa"/>
            <w:vAlign w:val="center"/>
          </w:tcPr>
          <w:p w14:paraId="4ECD6141" w14:textId="282DC9AB" w:rsidR="00253895" w:rsidRPr="004859C8" w:rsidRDefault="00253895" w:rsidP="006428F4">
            <w:pPr>
              <w:pStyle w:val="TMGTableText"/>
              <w:spacing w:before="10" w:after="10"/>
              <w:ind w:left="0"/>
              <w:jc w:val="center"/>
            </w:pPr>
            <w:r>
              <w:rPr>
                <w:rFonts w:eastAsiaTheme="minorEastAsia"/>
              </w:rPr>
              <w:t>Integer</w:t>
            </w:r>
          </w:p>
        </w:tc>
        <w:tc>
          <w:tcPr>
            <w:tcW w:w="1265" w:type="dxa"/>
            <w:vAlign w:val="center"/>
          </w:tcPr>
          <w:p w14:paraId="3818DEA5" w14:textId="7F9E7F8E" w:rsidR="00253895" w:rsidRPr="00C251E9" w:rsidRDefault="00253895" w:rsidP="006428F4">
            <w:pPr>
              <w:pStyle w:val="TMGTableText"/>
              <w:spacing w:before="10" w:after="10"/>
              <w:ind w:left="0"/>
              <w:jc w:val="center"/>
            </w:pPr>
            <w:r>
              <w:rPr>
                <w:rFonts w:eastAsiaTheme="minorEastAsia"/>
              </w:rPr>
              <w:t>Required</w:t>
            </w:r>
          </w:p>
        </w:tc>
      </w:tr>
      <w:tr w:rsidR="00253895" w14:paraId="424498B0" w14:textId="77777777" w:rsidTr="006428F4">
        <w:trPr>
          <w:jc w:val="center"/>
        </w:trPr>
        <w:tc>
          <w:tcPr>
            <w:tcW w:w="985" w:type="dxa"/>
          </w:tcPr>
          <w:p w14:paraId="719282A1" w14:textId="7E907400" w:rsidR="00253895" w:rsidRPr="00C251E9" w:rsidRDefault="00253895" w:rsidP="00253895">
            <w:pPr>
              <w:pStyle w:val="TMGTableText"/>
              <w:spacing w:before="10" w:after="10"/>
              <w:ind w:left="0"/>
              <w:jc w:val="center"/>
              <w:rPr>
                <w:b/>
                <w:bCs/>
              </w:rPr>
            </w:pPr>
            <w:r w:rsidRPr="00804074">
              <w:rPr>
                <w:rFonts w:eastAsiaTheme="minorEastAsia"/>
                <w:b/>
                <w:bCs/>
              </w:rPr>
              <w:t>9</w:t>
            </w:r>
          </w:p>
        </w:tc>
        <w:tc>
          <w:tcPr>
            <w:tcW w:w="900" w:type="dxa"/>
            <w:vAlign w:val="center"/>
          </w:tcPr>
          <w:p w14:paraId="1CAA55D3" w14:textId="06BF294D" w:rsidR="00253895" w:rsidRPr="004859C8" w:rsidRDefault="00253895" w:rsidP="00253895">
            <w:pPr>
              <w:pStyle w:val="TMGTableText"/>
              <w:spacing w:before="10" w:after="10"/>
              <w:ind w:left="0"/>
              <w:jc w:val="center"/>
            </w:pPr>
            <w:r w:rsidRPr="0051590D">
              <w:rPr>
                <w:rFonts w:eastAsiaTheme="minorEastAsia"/>
              </w:rPr>
              <w:t>20-21</w:t>
            </w:r>
          </w:p>
        </w:tc>
        <w:tc>
          <w:tcPr>
            <w:tcW w:w="900" w:type="dxa"/>
            <w:vAlign w:val="center"/>
          </w:tcPr>
          <w:p w14:paraId="4DAB3287" w14:textId="6EA027D7" w:rsidR="00253895" w:rsidRPr="004859C8" w:rsidRDefault="00253895" w:rsidP="00253895">
            <w:pPr>
              <w:pStyle w:val="TMGTableText"/>
              <w:spacing w:before="10" w:after="10"/>
              <w:ind w:left="0"/>
              <w:jc w:val="center"/>
            </w:pPr>
            <w:r w:rsidRPr="0051590D">
              <w:rPr>
                <w:rFonts w:eastAsiaTheme="minorEastAsia"/>
              </w:rPr>
              <w:t>2</w:t>
            </w:r>
          </w:p>
        </w:tc>
        <w:tc>
          <w:tcPr>
            <w:tcW w:w="3960" w:type="dxa"/>
          </w:tcPr>
          <w:p w14:paraId="3BBE4BB2" w14:textId="11255E24" w:rsidR="00253895" w:rsidRPr="004859C8" w:rsidRDefault="00253895" w:rsidP="00253895">
            <w:pPr>
              <w:pStyle w:val="TMGTableText"/>
              <w:spacing w:before="10" w:after="10"/>
              <w:ind w:left="0"/>
            </w:pPr>
            <w:r w:rsidRPr="0051590D">
              <w:rPr>
                <w:rFonts w:eastAsiaTheme="minorEastAsia"/>
              </w:rPr>
              <w:t xml:space="preserve">Day of </w:t>
            </w:r>
            <w:r>
              <w:rPr>
                <w:rFonts w:eastAsiaTheme="minorEastAsia"/>
              </w:rPr>
              <w:t>Month (DOM)</w:t>
            </w:r>
          </w:p>
        </w:tc>
        <w:tc>
          <w:tcPr>
            <w:tcW w:w="1350" w:type="dxa"/>
            <w:vAlign w:val="center"/>
          </w:tcPr>
          <w:p w14:paraId="0E6ABFA9" w14:textId="61994871" w:rsidR="00253895" w:rsidRPr="004859C8" w:rsidRDefault="00253895" w:rsidP="006428F4">
            <w:pPr>
              <w:pStyle w:val="TMGTableText"/>
              <w:spacing w:before="10" w:after="10"/>
              <w:ind w:left="0"/>
              <w:jc w:val="center"/>
            </w:pPr>
            <w:r>
              <w:rPr>
                <w:rFonts w:eastAsiaTheme="minorEastAsia"/>
              </w:rPr>
              <w:t>Integer</w:t>
            </w:r>
          </w:p>
        </w:tc>
        <w:tc>
          <w:tcPr>
            <w:tcW w:w="1265" w:type="dxa"/>
            <w:vAlign w:val="center"/>
          </w:tcPr>
          <w:p w14:paraId="304781A0" w14:textId="507D0E30" w:rsidR="00253895" w:rsidRPr="00C251E9" w:rsidRDefault="00253895" w:rsidP="006428F4">
            <w:pPr>
              <w:pStyle w:val="TMGTableText"/>
              <w:spacing w:before="10" w:after="10"/>
              <w:ind w:left="0"/>
              <w:jc w:val="center"/>
            </w:pPr>
            <w:r>
              <w:rPr>
                <w:rFonts w:eastAsiaTheme="minorEastAsia"/>
              </w:rPr>
              <w:t>Required</w:t>
            </w:r>
          </w:p>
        </w:tc>
      </w:tr>
      <w:tr w:rsidR="00253895" w14:paraId="4A91F1C4" w14:textId="77777777" w:rsidTr="006428F4">
        <w:trPr>
          <w:jc w:val="center"/>
        </w:trPr>
        <w:tc>
          <w:tcPr>
            <w:tcW w:w="985" w:type="dxa"/>
          </w:tcPr>
          <w:p w14:paraId="26D40E70" w14:textId="689619EE" w:rsidR="00253895" w:rsidRPr="00C251E9" w:rsidRDefault="00253895" w:rsidP="00253895">
            <w:pPr>
              <w:pStyle w:val="TMGTableText"/>
              <w:spacing w:before="10" w:after="10"/>
              <w:ind w:left="0"/>
              <w:jc w:val="center"/>
              <w:rPr>
                <w:b/>
                <w:bCs/>
              </w:rPr>
            </w:pPr>
            <w:r w:rsidRPr="00804074">
              <w:rPr>
                <w:rFonts w:eastAsiaTheme="minorEastAsia"/>
                <w:b/>
                <w:bCs/>
              </w:rPr>
              <w:t>10</w:t>
            </w:r>
          </w:p>
        </w:tc>
        <w:tc>
          <w:tcPr>
            <w:tcW w:w="900" w:type="dxa"/>
            <w:vAlign w:val="center"/>
          </w:tcPr>
          <w:p w14:paraId="303A9FE0" w14:textId="616DBF23" w:rsidR="00253895" w:rsidRPr="004859C8" w:rsidRDefault="00253895" w:rsidP="00253895">
            <w:pPr>
              <w:pStyle w:val="TMGTableText"/>
              <w:spacing w:before="10" w:after="10"/>
              <w:ind w:left="0"/>
              <w:jc w:val="center"/>
            </w:pPr>
            <w:r w:rsidRPr="0051590D">
              <w:rPr>
                <w:rFonts w:eastAsiaTheme="minorEastAsia"/>
              </w:rPr>
              <w:t>22</w:t>
            </w:r>
          </w:p>
        </w:tc>
        <w:tc>
          <w:tcPr>
            <w:tcW w:w="900" w:type="dxa"/>
            <w:vAlign w:val="center"/>
          </w:tcPr>
          <w:p w14:paraId="54142F43" w14:textId="4A4A8F56" w:rsidR="00253895" w:rsidRPr="004859C8" w:rsidRDefault="00253895" w:rsidP="00253895">
            <w:pPr>
              <w:pStyle w:val="TMGTableText"/>
              <w:spacing w:before="10" w:after="10"/>
              <w:ind w:left="0"/>
              <w:jc w:val="center"/>
            </w:pPr>
            <w:r w:rsidRPr="0051590D">
              <w:rPr>
                <w:rFonts w:eastAsiaTheme="minorEastAsia"/>
              </w:rPr>
              <w:t>1</w:t>
            </w:r>
          </w:p>
        </w:tc>
        <w:tc>
          <w:tcPr>
            <w:tcW w:w="3960" w:type="dxa"/>
          </w:tcPr>
          <w:p w14:paraId="256603D8" w14:textId="2969A61E" w:rsidR="00253895" w:rsidRPr="004859C8" w:rsidRDefault="00253895" w:rsidP="00253895">
            <w:pPr>
              <w:pStyle w:val="TMGTableText"/>
              <w:spacing w:before="10" w:after="10"/>
              <w:ind w:left="0"/>
            </w:pPr>
            <w:r w:rsidRPr="0051590D">
              <w:rPr>
                <w:rFonts w:eastAsiaTheme="minorEastAsia"/>
              </w:rPr>
              <w:t>Day of Week</w:t>
            </w:r>
            <w:r>
              <w:rPr>
                <w:rFonts w:eastAsiaTheme="minorEastAsia"/>
              </w:rPr>
              <w:t xml:space="preserve"> (DOW)</w:t>
            </w:r>
          </w:p>
        </w:tc>
        <w:tc>
          <w:tcPr>
            <w:tcW w:w="1350" w:type="dxa"/>
            <w:vAlign w:val="center"/>
          </w:tcPr>
          <w:p w14:paraId="55AE3B87" w14:textId="55169880" w:rsidR="00253895" w:rsidRPr="004859C8" w:rsidRDefault="00253895" w:rsidP="006428F4">
            <w:pPr>
              <w:pStyle w:val="TMGTableText"/>
              <w:spacing w:before="10" w:after="10"/>
              <w:ind w:left="0"/>
              <w:jc w:val="center"/>
            </w:pPr>
            <w:r>
              <w:rPr>
                <w:rFonts w:eastAsiaTheme="minorEastAsia"/>
              </w:rPr>
              <w:t>Integer</w:t>
            </w:r>
          </w:p>
        </w:tc>
        <w:tc>
          <w:tcPr>
            <w:tcW w:w="1265" w:type="dxa"/>
            <w:vAlign w:val="center"/>
          </w:tcPr>
          <w:p w14:paraId="182E7D84" w14:textId="5EE54AE7" w:rsidR="00253895" w:rsidRPr="00C251E9" w:rsidRDefault="00253895" w:rsidP="006428F4">
            <w:pPr>
              <w:pStyle w:val="TMGTableText"/>
              <w:spacing w:before="10" w:after="10"/>
              <w:ind w:left="0"/>
              <w:jc w:val="center"/>
            </w:pPr>
            <w:r>
              <w:rPr>
                <w:rFonts w:eastAsiaTheme="minorEastAsia"/>
              </w:rPr>
              <w:t>Required</w:t>
            </w:r>
          </w:p>
        </w:tc>
      </w:tr>
      <w:tr w:rsidR="00253895" w14:paraId="44A3639B" w14:textId="77777777" w:rsidTr="006428F4">
        <w:trPr>
          <w:jc w:val="center"/>
        </w:trPr>
        <w:tc>
          <w:tcPr>
            <w:tcW w:w="985" w:type="dxa"/>
          </w:tcPr>
          <w:p w14:paraId="3FB52D79" w14:textId="1D77690B" w:rsidR="00253895" w:rsidRPr="00C251E9" w:rsidRDefault="00253895" w:rsidP="00253895">
            <w:pPr>
              <w:pStyle w:val="TMGTableText"/>
              <w:spacing w:before="10" w:after="10"/>
              <w:ind w:left="0"/>
              <w:jc w:val="center"/>
              <w:rPr>
                <w:b/>
                <w:bCs/>
              </w:rPr>
            </w:pPr>
            <w:r w:rsidRPr="00804074">
              <w:rPr>
                <w:rFonts w:eastAsiaTheme="minorEastAsia"/>
                <w:b/>
                <w:bCs/>
              </w:rPr>
              <w:t>11</w:t>
            </w:r>
          </w:p>
        </w:tc>
        <w:tc>
          <w:tcPr>
            <w:tcW w:w="900" w:type="dxa"/>
            <w:vAlign w:val="center"/>
          </w:tcPr>
          <w:p w14:paraId="249E6356" w14:textId="09059EC5" w:rsidR="00253895" w:rsidRPr="004859C8" w:rsidRDefault="00253895" w:rsidP="00253895">
            <w:pPr>
              <w:pStyle w:val="TMGTableText"/>
              <w:spacing w:before="10" w:after="10"/>
              <w:ind w:left="0"/>
              <w:jc w:val="center"/>
            </w:pPr>
            <w:r>
              <w:t>2</w:t>
            </w:r>
            <w:r w:rsidRPr="00677E20">
              <w:t>3</w:t>
            </w:r>
          </w:p>
        </w:tc>
        <w:tc>
          <w:tcPr>
            <w:tcW w:w="900" w:type="dxa"/>
            <w:vAlign w:val="center"/>
          </w:tcPr>
          <w:p w14:paraId="6B558EB1" w14:textId="37A8A1E4" w:rsidR="00253895" w:rsidRPr="004859C8" w:rsidRDefault="00253895" w:rsidP="00253895">
            <w:pPr>
              <w:pStyle w:val="TMGTableText"/>
              <w:spacing w:before="10" w:after="10"/>
              <w:ind w:left="0"/>
              <w:jc w:val="center"/>
            </w:pPr>
            <w:r w:rsidRPr="0051590D">
              <w:rPr>
                <w:rFonts w:eastAsiaTheme="minorEastAsia"/>
              </w:rPr>
              <w:t>1</w:t>
            </w:r>
          </w:p>
        </w:tc>
        <w:tc>
          <w:tcPr>
            <w:tcW w:w="3960" w:type="dxa"/>
          </w:tcPr>
          <w:p w14:paraId="4C4FFBD5" w14:textId="5B5775C1" w:rsidR="00253895" w:rsidRPr="004859C8" w:rsidRDefault="00253895" w:rsidP="00253895">
            <w:pPr>
              <w:pStyle w:val="TMGTableText"/>
              <w:spacing w:before="10" w:after="10"/>
              <w:ind w:left="0"/>
            </w:pPr>
            <w:r w:rsidRPr="0051590D">
              <w:rPr>
                <w:rFonts w:eastAsiaTheme="minorEastAsia"/>
              </w:rPr>
              <w:t>Restrictions</w:t>
            </w:r>
            <w:r>
              <w:rPr>
                <w:rFonts w:eastAsiaTheme="minorEastAsia"/>
              </w:rPr>
              <w:t xml:space="preserve"> (R)</w:t>
            </w:r>
          </w:p>
        </w:tc>
        <w:tc>
          <w:tcPr>
            <w:tcW w:w="1350" w:type="dxa"/>
            <w:vAlign w:val="center"/>
          </w:tcPr>
          <w:p w14:paraId="337D0AFF" w14:textId="454D435B" w:rsidR="00253895" w:rsidRPr="004859C8" w:rsidRDefault="00253895" w:rsidP="006428F4">
            <w:pPr>
              <w:pStyle w:val="TMGTableText"/>
              <w:spacing w:before="10" w:after="10"/>
              <w:ind w:left="0"/>
              <w:jc w:val="center"/>
            </w:pPr>
            <w:r>
              <w:rPr>
                <w:rFonts w:eastAsiaTheme="minorEastAsia"/>
              </w:rPr>
              <w:t>Integer</w:t>
            </w:r>
          </w:p>
        </w:tc>
        <w:tc>
          <w:tcPr>
            <w:tcW w:w="1265" w:type="dxa"/>
            <w:vAlign w:val="center"/>
          </w:tcPr>
          <w:p w14:paraId="5F1BB2B3" w14:textId="401DD685" w:rsidR="00253895" w:rsidRPr="00C251E9" w:rsidRDefault="00253895" w:rsidP="006428F4">
            <w:pPr>
              <w:pStyle w:val="TMGTableText"/>
              <w:spacing w:before="10" w:after="10"/>
              <w:ind w:left="0"/>
              <w:jc w:val="center"/>
            </w:pPr>
            <w:r>
              <w:rPr>
                <w:rFonts w:eastAsiaTheme="minorEastAsia"/>
              </w:rPr>
              <w:t>Required</w:t>
            </w:r>
          </w:p>
        </w:tc>
      </w:tr>
      <w:tr w:rsidR="00253895" w14:paraId="718EEB7A" w14:textId="77777777" w:rsidTr="006428F4">
        <w:trPr>
          <w:jc w:val="center"/>
        </w:trPr>
        <w:tc>
          <w:tcPr>
            <w:tcW w:w="985" w:type="dxa"/>
          </w:tcPr>
          <w:p w14:paraId="3CFCC8CF" w14:textId="53BB8BB3" w:rsidR="00253895" w:rsidRPr="00C251E9" w:rsidRDefault="00253895" w:rsidP="00253895">
            <w:pPr>
              <w:pStyle w:val="TMGTableText"/>
              <w:spacing w:before="10" w:after="10"/>
              <w:ind w:left="0"/>
              <w:jc w:val="center"/>
              <w:rPr>
                <w:b/>
                <w:bCs/>
              </w:rPr>
            </w:pPr>
            <w:r w:rsidRPr="00804074">
              <w:rPr>
                <w:rFonts w:eastAsiaTheme="minorEastAsia"/>
                <w:b/>
                <w:bCs/>
              </w:rPr>
              <w:t>12</w:t>
            </w:r>
          </w:p>
        </w:tc>
        <w:tc>
          <w:tcPr>
            <w:tcW w:w="900" w:type="dxa"/>
            <w:vAlign w:val="center"/>
          </w:tcPr>
          <w:p w14:paraId="48B08610" w14:textId="5CEB34A2" w:rsidR="00253895" w:rsidRPr="004859C8" w:rsidRDefault="00253895" w:rsidP="00253895">
            <w:pPr>
              <w:pStyle w:val="TMGTableText"/>
              <w:spacing w:before="10" w:after="10"/>
              <w:ind w:left="0"/>
              <w:jc w:val="center"/>
            </w:pPr>
            <w:r>
              <w:t>24</w:t>
            </w:r>
          </w:p>
        </w:tc>
        <w:tc>
          <w:tcPr>
            <w:tcW w:w="900" w:type="dxa"/>
            <w:vAlign w:val="center"/>
          </w:tcPr>
          <w:p w14:paraId="3713FDFD" w14:textId="464F0630" w:rsidR="00253895" w:rsidRPr="004859C8" w:rsidRDefault="00253895" w:rsidP="00253895">
            <w:pPr>
              <w:pStyle w:val="TMGTableText"/>
              <w:spacing w:before="10" w:after="10"/>
              <w:ind w:left="0"/>
              <w:jc w:val="center"/>
            </w:pPr>
            <w:r>
              <w:rPr>
                <w:rFonts w:eastAsiaTheme="minorEastAsia"/>
              </w:rPr>
              <w:t>1</w:t>
            </w:r>
          </w:p>
        </w:tc>
        <w:tc>
          <w:tcPr>
            <w:tcW w:w="3960" w:type="dxa"/>
          </w:tcPr>
          <w:p w14:paraId="15039526" w14:textId="60AD4962" w:rsidR="00253895" w:rsidRPr="004859C8" w:rsidRDefault="00253895" w:rsidP="00253895">
            <w:pPr>
              <w:pStyle w:val="TMGTableText"/>
              <w:spacing w:before="10" w:after="10"/>
              <w:ind w:left="0"/>
            </w:pPr>
            <w:r>
              <w:rPr>
                <w:rFonts w:eastAsiaTheme="minorEastAsia"/>
              </w:rPr>
              <w:t>Time Increment (TI)</w:t>
            </w:r>
          </w:p>
        </w:tc>
        <w:tc>
          <w:tcPr>
            <w:tcW w:w="1350" w:type="dxa"/>
            <w:vAlign w:val="center"/>
          </w:tcPr>
          <w:p w14:paraId="457D9C29" w14:textId="72E52EA8" w:rsidR="00253895" w:rsidRPr="004859C8" w:rsidRDefault="00253895" w:rsidP="006428F4">
            <w:pPr>
              <w:pStyle w:val="TMGTableText"/>
              <w:spacing w:before="10" w:after="10"/>
              <w:ind w:left="0"/>
              <w:jc w:val="center"/>
            </w:pPr>
            <w:r>
              <w:rPr>
                <w:rFonts w:eastAsiaTheme="minorEastAsia"/>
              </w:rPr>
              <w:t>Alphanumeric</w:t>
            </w:r>
          </w:p>
        </w:tc>
        <w:tc>
          <w:tcPr>
            <w:tcW w:w="1265" w:type="dxa"/>
            <w:vAlign w:val="center"/>
          </w:tcPr>
          <w:p w14:paraId="7EDCA410" w14:textId="5D3BDF1C" w:rsidR="00253895" w:rsidRPr="00C251E9" w:rsidRDefault="00253895" w:rsidP="006428F4">
            <w:pPr>
              <w:pStyle w:val="TMGTableText"/>
              <w:spacing w:before="10" w:after="10"/>
              <w:ind w:left="0"/>
              <w:jc w:val="center"/>
            </w:pPr>
            <w:r>
              <w:rPr>
                <w:rFonts w:eastAsiaTheme="minorEastAsia"/>
              </w:rPr>
              <w:t>Optional</w:t>
            </w:r>
          </w:p>
        </w:tc>
      </w:tr>
      <w:tr w:rsidR="00253895" w14:paraId="68F27B18" w14:textId="77777777" w:rsidTr="006428F4">
        <w:trPr>
          <w:jc w:val="center"/>
        </w:trPr>
        <w:tc>
          <w:tcPr>
            <w:tcW w:w="985" w:type="dxa"/>
          </w:tcPr>
          <w:p w14:paraId="5F3AE0FA" w14:textId="5CEB2D95" w:rsidR="00253895" w:rsidRPr="00C251E9" w:rsidRDefault="00253895" w:rsidP="00253895">
            <w:pPr>
              <w:pStyle w:val="TMGTableText"/>
              <w:spacing w:before="10" w:after="10"/>
              <w:ind w:left="0"/>
              <w:jc w:val="center"/>
              <w:rPr>
                <w:b/>
                <w:bCs/>
              </w:rPr>
            </w:pPr>
            <w:r w:rsidRPr="00804074">
              <w:rPr>
                <w:rFonts w:eastAsiaTheme="minorEastAsia"/>
                <w:b/>
                <w:bCs/>
              </w:rPr>
              <w:t>13</w:t>
            </w:r>
            <w:r>
              <w:rPr>
                <w:rFonts w:eastAsiaTheme="minorEastAsia"/>
                <w:b/>
                <w:bCs/>
              </w:rPr>
              <w:t xml:space="preserve"> – 36</w:t>
            </w:r>
          </w:p>
        </w:tc>
        <w:tc>
          <w:tcPr>
            <w:tcW w:w="900" w:type="dxa"/>
            <w:vAlign w:val="center"/>
          </w:tcPr>
          <w:p w14:paraId="70D5B59A" w14:textId="454082FF" w:rsidR="00253895" w:rsidRPr="004859C8" w:rsidRDefault="00253895" w:rsidP="00253895">
            <w:pPr>
              <w:pStyle w:val="TMGTableText"/>
              <w:spacing w:before="10" w:after="10"/>
              <w:ind w:left="0"/>
              <w:jc w:val="center"/>
            </w:pPr>
            <w:r w:rsidRPr="0051590D">
              <w:rPr>
                <w:rFonts w:eastAsiaTheme="minorEastAsia"/>
              </w:rPr>
              <w:t>2</w:t>
            </w:r>
            <w:r>
              <w:rPr>
                <w:rFonts w:eastAsiaTheme="minorEastAsia"/>
              </w:rPr>
              <w:t>5</w:t>
            </w:r>
            <w:r w:rsidRPr="0051590D">
              <w:rPr>
                <w:rFonts w:eastAsiaTheme="minorEastAsia"/>
              </w:rPr>
              <w:t>-</w:t>
            </w:r>
            <w:r>
              <w:rPr>
                <w:rFonts w:eastAsiaTheme="minorEastAsia"/>
              </w:rPr>
              <w:t>144</w:t>
            </w:r>
          </w:p>
        </w:tc>
        <w:tc>
          <w:tcPr>
            <w:tcW w:w="900" w:type="dxa"/>
            <w:vAlign w:val="center"/>
          </w:tcPr>
          <w:p w14:paraId="51A4CC88" w14:textId="56EE509E" w:rsidR="00253895" w:rsidRPr="004859C8" w:rsidRDefault="00253895" w:rsidP="00253895">
            <w:pPr>
              <w:pStyle w:val="TMGTableText"/>
              <w:spacing w:before="10" w:after="10"/>
              <w:ind w:left="0"/>
              <w:jc w:val="center"/>
            </w:pPr>
            <w:r w:rsidRPr="0051590D">
              <w:rPr>
                <w:rFonts w:eastAsiaTheme="minorEastAsia"/>
              </w:rPr>
              <w:t>5</w:t>
            </w:r>
          </w:p>
        </w:tc>
        <w:tc>
          <w:tcPr>
            <w:tcW w:w="3960" w:type="dxa"/>
            <w:vAlign w:val="center"/>
          </w:tcPr>
          <w:p w14:paraId="1D0D6651" w14:textId="6246D9B8" w:rsidR="00253895" w:rsidRPr="004859C8" w:rsidRDefault="00253895" w:rsidP="00253895">
            <w:pPr>
              <w:pStyle w:val="TMGTableText"/>
              <w:spacing w:before="10" w:after="10"/>
              <w:ind w:left="0"/>
            </w:pPr>
            <w:r>
              <w:rPr>
                <w:rFonts w:eastAsiaTheme="minorEastAsia"/>
              </w:rPr>
              <w:t xml:space="preserve">Hourly </w:t>
            </w:r>
            <w:r w:rsidRPr="0051590D">
              <w:rPr>
                <w:rFonts w:eastAsiaTheme="minorEastAsia"/>
              </w:rPr>
              <w:t>Traffic Volume Counted</w:t>
            </w:r>
            <w:r>
              <w:rPr>
                <w:rFonts w:eastAsiaTheme="minorEastAsia"/>
              </w:rPr>
              <w:t xml:space="preserve">, see </w:t>
            </w:r>
            <w:r w:rsidR="00464453">
              <w:fldChar w:fldCharType="begin"/>
            </w:r>
            <w:r w:rsidR="00464453">
              <w:instrText xml:space="preserve"> REF _Ref111023322  \* MERGEFORMAT </w:instrText>
            </w:r>
            <w:r w:rsidR="00464453">
              <w:fldChar w:fldCharType="separate"/>
            </w:r>
            <w:r w:rsidR="00C07DF9">
              <w:t xml:space="preserve">Table </w:t>
            </w:r>
            <w:r w:rsidR="00C07DF9">
              <w:rPr>
                <w:noProof/>
              </w:rPr>
              <w:t>4</w:t>
            </w:r>
            <w:r w:rsidR="00C07DF9">
              <w:rPr>
                <w:noProof/>
              </w:rPr>
              <w:noBreakHyphen/>
              <w:t>10</w:t>
            </w:r>
            <w:r w:rsidR="00464453">
              <w:rPr>
                <w:noProof/>
              </w:rPr>
              <w:fldChar w:fldCharType="end"/>
            </w:r>
          </w:p>
        </w:tc>
        <w:tc>
          <w:tcPr>
            <w:tcW w:w="1350" w:type="dxa"/>
            <w:vAlign w:val="center"/>
          </w:tcPr>
          <w:p w14:paraId="261AF157" w14:textId="497D03B2" w:rsidR="00253895" w:rsidRPr="004859C8" w:rsidRDefault="00253895" w:rsidP="006428F4">
            <w:pPr>
              <w:pStyle w:val="TMGTableText"/>
              <w:spacing w:before="10" w:after="10"/>
              <w:ind w:left="0"/>
              <w:jc w:val="center"/>
            </w:pPr>
            <w:r>
              <w:rPr>
                <w:rFonts w:eastAsiaTheme="minorEastAsia"/>
              </w:rPr>
              <w:t>Integer</w:t>
            </w:r>
          </w:p>
        </w:tc>
        <w:tc>
          <w:tcPr>
            <w:tcW w:w="1265" w:type="dxa"/>
            <w:vAlign w:val="center"/>
          </w:tcPr>
          <w:p w14:paraId="72A96E1E" w14:textId="5C03B09C" w:rsidR="00253895" w:rsidRPr="00C251E9" w:rsidRDefault="00253895" w:rsidP="006428F4">
            <w:pPr>
              <w:pStyle w:val="TMGTableText"/>
              <w:spacing w:before="10" w:after="10"/>
              <w:ind w:left="0"/>
              <w:jc w:val="center"/>
            </w:pPr>
            <w:r w:rsidRPr="0051590D">
              <w:rPr>
                <w:rFonts w:eastAsiaTheme="minorEastAsia"/>
              </w:rPr>
              <w:t>O</w:t>
            </w:r>
            <w:r>
              <w:rPr>
                <w:rFonts w:eastAsiaTheme="minorEastAsia"/>
              </w:rPr>
              <w:t>ptional</w:t>
            </w:r>
          </w:p>
        </w:tc>
      </w:tr>
    </w:tbl>
    <w:p w14:paraId="17CF3C72" w14:textId="77777777" w:rsidR="009B7AED" w:rsidRDefault="009B7AED" w:rsidP="00253895">
      <w:pPr>
        <w:pStyle w:val="Source"/>
        <w:spacing w:before="60" w:after="60"/>
        <w:ind w:left="540" w:hanging="540"/>
      </w:pPr>
      <w:r>
        <w:t>Note:</w:t>
      </w:r>
      <w:r>
        <w:tab/>
        <w:t xml:space="preserve">Fields designated as </w:t>
      </w:r>
      <w:r>
        <w:rPr>
          <w:rStyle w:val="Italic"/>
          <w:iCs/>
        </w:rPr>
        <w:t>Required</w:t>
      </w:r>
      <w:r>
        <w:t xml:space="preserve"> must be reported.</w:t>
      </w:r>
    </w:p>
    <w:p w14:paraId="044EA71A" w14:textId="77777777" w:rsidR="009B7AED" w:rsidRDefault="009B7AED" w:rsidP="00253895">
      <w:pPr>
        <w:pStyle w:val="Source"/>
        <w:spacing w:before="60" w:after="60"/>
        <w:ind w:left="540" w:hanging="540"/>
      </w:pPr>
      <w:r>
        <w:tab/>
        <w:t xml:space="preserve">Fields designated as </w:t>
      </w:r>
      <w:r>
        <w:rPr>
          <w:rStyle w:val="Italic"/>
          <w:iCs/>
        </w:rPr>
        <w:t>Optional</w:t>
      </w:r>
      <w:r>
        <w:t xml:space="preserve"> are not required to be reported.</w:t>
      </w:r>
    </w:p>
    <w:p w14:paraId="586D4113" w14:textId="77777777" w:rsidR="009B7AED" w:rsidRDefault="009B7AED" w:rsidP="00253895">
      <w:pPr>
        <w:pStyle w:val="Source"/>
        <w:spacing w:before="60" w:after="360"/>
        <w:ind w:left="540" w:hanging="540"/>
      </w:pPr>
      <w:r>
        <w:tab/>
        <w:t xml:space="preserve">Fields designated as </w:t>
      </w:r>
      <w:r>
        <w:rPr>
          <w:rStyle w:val="Italic"/>
          <w:iCs/>
        </w:rPr>
        <w:t>Required/Optional</w:t>
      </w:r>
      <w:r>
        <w:t xml:space="preserve"> could be either required or optional based on values used for other related fields.</w:t>
      </w:r>
    </w:p>
    <w:p w14:paraId="51277C1B" w14:textId="77777777" w:rsidR="007347FA" w:rsidRDefault="007347FA">
      <w:pPr>
        <w:widowControl/>
        <w:suppressAutoHyphens w:val="0"/>
        <w:autoSpaceDE/>
        <w:autoSpaceDN/>
        <w:adjustRightInd/>
        <w:spacing w:after="160" w:line="259" w:lineRule="auto"/>
        <w:jc w:val="left"/>
        <w:textAlignment w:val="auto"/>
        <w:rPr>
          <w:color w:val="auto"/>
        </w:rPr>
      </w:pPr>
      <w:r>
        <w:br w:type="page"/>
      </w:r>
    </w:p>
    <w:p w14:paraId="72664B51" w14:textId="2BCF777B" w:rsidR="009B7AED" w:rsidRPr="00D514A0" w:rsidRDefault="009B7AED" w:rsidP="00A35EAF">
      <w:pPr>
        <w:pStyle w:val="BodyText"/>
      </w:pPr>
      <w:r w:rsidRPr="00D514A0">
        <w:lastRenderedPageBreak/>
        <w:t xml:space="preserve">The Hourly Traffic Volume record is defined as follows (note that the data items used in both the Hourly Traffic Volume </w:t>
      </w:r>
      <w:r>
        <w:t>r</w:t>
      </w:r>
      <w:r w:rsidRPr="00D514A0">
        <w:t xml:space="preserve">ecord and the Station Description </w:t>
      </w:r>
      <w:r>
        <w:t>r</w:t>
      </w:r>
      <w:r w:rsidRPr="00D514A0">
        <w:t>ecord are not redefined below, but simply referenced to the earlier definitions in Section 4.2):</w:t>
      </w:r>
    </w:p>
    <w:p w14:paraId="59646553" w14:textId="77777777" w:rsidR="009B7AED" w:rsidRDefault="009B7AED">
      <w:pPr>
        <w:pStyle w:val="ListCS1BulletsandNumbering"/>
        <w:numPr>
          <w:ilvl w:val="0"/>
          <w:numId w:val="45"/>
        </w:numPr>
        <w:spacing w:before="0" w:after="120"/>
        <w:ind w:left="648"/>
      </w:pPr>
      <w:r>
        <w:t xml:space="preserve">Record Type (Column 1) – </w:t>
      </w:r>
      <w:r>
        <w:rPr>
          <w:rStyle w:val="Italic"/>
          <w:iCs/>
        </w:rPr>
        <w:t>Required</w:t>
      </w:r>
    </w:p>
    <w:p w14:paraId="7B900793" w14:textId="77777777" w:rsidR="009B7AED" w:rsidRDefault="009B7AED" w:rsidP="00B35A5D">
      <w:pPr>
        <w:pStyle w:val="BulletcontinuedBulletsandNumbering"/>
        <w:tabs>
          <w:tab w:val="clear" w:pos="1440"/>
        </w:tabs>
        <w:ind w:left="648"/>
      </w:pPr>
      <w:r>
        <w:t>3 = Traffic volume record (Code the value “3” in the first column.)</w:t>
      </w:r>
    </w:p>
    <w:p w14:paraId="5F7F9E38" w14:textId="44D28646" w:rsidR="009B7AED" w:rsidRDefault="009B7AED">
      <w:pPr>
        <w:pStyle w:val="ListCS1BulletsandNumbering"/>
        <w:numPr>
          <w:ilvl w:val="0"/>
          <w:numId w:val="45"/>
        </w:numPr>
        <w:spacing w:before="0" w:after="120"/>
        <w:ind w:left="648"/>
      </w:pPr>
      <w:r>
        <w:rPr>
          <w:rStyle w:val="Bold"/>
        </w:rPr>
        <w:t xml:space="preserve">State </w:t>
      </w:r>
      <w:r w:rsidRPr="00BF0036">
        <w:t>FIPS</w:t>
      </w:r>
      <w:r>
        <w:rPr>
          <w:rStyle w:val="Bold"/>
        </w:rPr>
        <w:t xml:space="preserve"> Code</w:t>
      </w:r>
      <w:r>
        <w:t xml:space="preserve"> (Columns 2-3) – See </w:t>
      </w:r>
      <w:r w:rsidR="00031AC7">
        <w:t>S</w:t>
      </w:r>
      <w:r>
        <w:t xml:space="preserve">ection 4.2, Field #2. – </w:t>
      </w:r>
      <w:r>
        <w:rPr>
          <w:rStyle w:val="bolditalic"/>
        </w:rPr>
        <w:t>Required</w:t>
      </w:r>
    </w:p>
    <w:p w14:paraId="3DE5A216" w14:textId="5B362868" w:rsidR="009B7AED" w:rsidRPr="000C25D5" w:rsidRDefault="009B7AED">
      <w:pPr>
        <w:pStyle w:val="ListCS1BulletsandNumbering"/>
        <w:numPr>
          <w:ilvl w:val="0"/>
          <w:numId w:val="45"/>
        </w:numPr>
        <w:spacing w:before="0" w:after="120"/>
        <w:ind w:left="648"/>
      </w:pPr>
      <w:r w:rsidRPr="00BF0036">
        <w:t>Functional</w:t>
      </w:r>
      <w:r>
        <w:rPr>
          <w:rStyle w:val="Bold"/>
        </w:rPr>
        <w:t xml:space="preserve"> Classification Code</w:t>
      </w:r>
      <w:r>
        <w:t xml:space="preserve"> (Columns 4-5) – See </w:t>
      </w:r>
      <w:r w:rsidR="00031AC7">
        <w:t>S</w:t>
      </w:r>
      <w:r>
        <w:t xml:space="preserve">ection 4.2, Field #7. – </w:t>
      </w:r>
      <w:r>
        <w:rPr>
          <w:rStyle w:val="bolditalic"/>
        </w:rPr>
        <w:t>Required</w:t>
      </w:r>
    </w:p>
    <w:p w14:paraId="2D87F45E" w14:textId="216A391F" w:rsidR="009B7AED" w:rsidRDefault="009B7AED">
      <w:pPr>
        <w:pStyle w:val="ListCS1BulletsandNumbering"/>
        <w:numPr>
          <w:ilvl w:val="0"/>
          <w:numId w:val="45"/>
        </w:numPr>
        <w:spacing w:before="0" w:after="120"/>
        <w:ind w:left="648"/>
      </w:pPr>
      <w:r w:rsidRPr="00BF0036">
        <w:t>Station</w:t>
      </w:r>
      <w:r>
        <w:rPr>
          <w:rStyle w:val="Bold"/>
        </w:rPr>
        <w:t xml:space="preserve"> Identification</w:t>
      </w:r>
      <w:r>
        <w:t xml:space="preserve"> (Columns 6-11) – See </w:t>
      </w:r>
      <w:r w:rsidR="00031AC7">
        <w:t>S</w:t>
      </w:r>
      <w:r>
        <w:t xml:space="preserve">ection 4.2, Field #3. – </w:t>
      </w:r>
      <w:r>
        <w:rPr>
          <w:rStyle w:val="bolditalic"/>
        </w:rPr>
        <w:t>Required</w:t>
      </w:r>
    </w:p>
    <w:p w14:paraId="53B693D6" w14:textId="34EA8759" w:rsidR="009B7AED" w:rsidRPr="000C25D5" w:rsidRDefault="009B7AED">
      <w:pPr>
        <w:pStyle w:val="ListCS1BulletsandNumbering"/>
        <w:numPr>
          <w:ilvl w:val="0"/>
          <w:numId w:val="45"/>
        </w:numPr>
        <w:spacing w:before="0" w:after="120"/>
        <w:ind w:left="648"/>
        <w:rPr>
          <w:rStyle w:val="bolditalic"/>
          <w:bCs w:val="0"/>
          <w:i w:val="0"/>
          <w:iCs w:val="0"/>
        </w:rPr>
      </w:pPr>
      <w:r w:rsidRPr="00BF0036">
        <w:t>Direction</w:t>
      </w:r>
      <w:r>
        <w:rPr>
          <w:rStyle w:val="Bold"/>
        </w:rPr>
        <w:t xml:space="preserve"> of Travel </w:t>
      </w:r>
      <w:r>
        <w:t xml:space="preserve">(Column 12) - See </w:t>
      </w:r>
      <w:r w:rsidR="00031AC7">
        <w:t>S</w:t>
      </w:r>
      <w:r>
        <w:t xml:space="preserve">ection 4.2, Field #4. – </w:t>
      </w:r>
      <w:r>
        <w:rPr>
          <w:rStyle w:val="bolditalic"/>
        </w:rPr>
        <w:t>Required</w:t>
      </w:r>
    </w:p>
    <w:p w14:paraId="1E5262D8" w14:textId="3FF381C4" w:rsidR="009B7AED" w:rsidRDefault="009B7AED">
      <w:pPr>
        <w:pStyle w:val="ListCS1BulletsandNumbering"/>
        <w:numPr>
          <w:ilvl w:val="0"/>
          <w:numId w:val="45"/>
        </w:numPr>
        <w:spacing w:before="0" w:after="120"/>
        <w:ind w:left="648"/>
      </w:pPr>
      <w:r w:rsidRPr="00BF0036">
        <w:t>Lane</w:t>
      </w:r>
      <w:r>
        <w:rPr>
          <w:rStyle w:val="Bold"/>
        </w:rPr>
        <w:t xml:space="preserve"> of Travel</w:t>
      </w:r>
      <w:r>
        <w:t xml:space="preserve"> (Column 13) – See </w:t>
      </w:r>
      <w:r w:rsidR="00031AC7">
        <w:t>S</w:t>
      </w:r>
      <w:r>
        <w:t xml:space="preserve">ection 4.2, Field #5. – </w:t>
      </w:r>
      <w:r>
        <w:rPr>
          <w:rStyle w:val="bolditalic"/>
        </w:rPr>
        <w:t>Required</w:t>
      </w:r>
    </w:p>
    <w:p w14:paraId="59A6B3BC" w14:textId="7814E381" w:rsidR="009B7AED" w:rsidRDefault="009B7AED">
      <w:pPr>
        <w:pStyle w:val="ListCS1BulletsandNumbering"/>
        <w:numPr>
          <w:ilvl w:val="0"/>
          <w:numId w:val="45"/>
        </w:numPr>
        <w:spacing w:before="0" w:after="120"/>
        <w:ind w:left="648"/>
      </w:pPr>
      <w:r w:rsidRPr="00BF0036">
        <w:t>Year</w:t>
      </w:r>
      <w:r>
        <w:rPr>
          <w:rStyle w:val="Bold"/>
        </w:rPr>
        <w:t xml:space="preserve"> of Data</w:t>
      </w:r>
      <w:r>
        <w:t xml:space="preserve"> (Columns 14-17) – The four-digit year when the data were collected. See </w:t>
      </w:r>
      <w:r w:rsidR="00031AC7">
        <w:t>S</w:t>
      </w:r>
      <w:r>
        <w:t xml:space="preserve">ection 4.2, Field #6. – </w:t>
      </w:r>
      <w:r>
        <w:rPr>
          <w:rStyle w:val="bolditalic"/>
        </w:rPr>
        <w:t>Required</w:t>
      </w:r>
    </w:p>
    <w:p w14:paraId="6B4A2722" w14:textId="77777777" w:rsidR="009B7AED" w:rsidRDefault="009B7AED">
      <w:pPr>
        <w:pStyle w:val="ListCS1BulletsandNumbering"/>
        <w:numPr>
          <w:ilvl w:val="0"/>
          <w:numId w:val="45"/>
        </w:numPr>
        <w:spacing w:before="0" w:after="120"/>
        <w:ind w:left="648"/>
      </w:pPr>
      <w:r>
        <w:t xml:space="preserve">Month of Year (Columns 18-19) – </w:t>
      </w:r>
      <w:r>
        <w:rPr>
          <w:rStyle w:val="Italic"/>
          <w:iCs/>
        </w:rPr>
        <w:t>Required</w:t>
      </w:r>
    </w:p>
    <w:p w14:paraId="16CC3C83" w14:textId="77777777" w:rsidR="009B7AED" w:rsidRDefault="009B7AED" w:rsidP="00B35A5D">
      <w:pPr>
        <w:pStyle w:val="BulletcontinuedBulletsandNumbering"/>
        <w:tabs>
          <w:tab w:val="clear" w:pos="1440"/>
        </w:tabs>
        <w:ind w:left="648"/>
      </w:pPr>
      <w:r>
        <w:t>01 = January</w:t>
      </w:r>
    </w:p>
    <w:p w14:paraId="343A3C7E" w14:textId="77777777" w:rsidR="009B7AED" w:rsidRDefault="009B7AED" w:rsidP="00B35A5D">
      <w:pPr>
        <w:pStyle w:val="BulletcontinuedBulletsandNumbering"/>
        <w:tabs>
          <w:tab w:val="clear" w:pos="1440"/>
        </w:tabs>
        <w:ind w:left="648"/>
      </w:pPr>
      <w:r>
        <w:t>02 = February</w:t>
      </w:r>
    </w:p>
    <w:p w14:paraId="392F6B84" w14:textId="77777777" w:rsidR="009B7AED" w:rsidRDefault="009B7AED" w:rsidP="00B35A5D">
      <w:pPr>
        <w:pStyle w:val="BulletcontinuedBulletsandNumbering"/>
        <w:tabs>
          <w:tab w:val="clear" w:pos="1440"/>
        </w:tabs>
        <w:ind w:left="648"/>
      </w:pPr>
      <w:r>
        <w:t>03 = March</w:t>
      </w:r>
    </w:p>
    <w:p w14:paraId="6B3C7434" w14:textId="77777777" w:rsidR="009B7AED" w:rsidRDefault="009B7AED" w:rsidP="00B35A5D">
      <w:pPr>
        <w:pStyle w:val="BulletcontinuedBulletsandNumbering"/>
        <w:tabs>
          <w:tab w:val="clear" w:pos="1440"/>
        </w:tabs>
        <w:ind w:left="648"/>
      </w:pPr>
      <w:r>
        <w:t>04 = April</w:t>
      </w:r>
    </w:p>
    <w:p w14:paraId="0942D326" w14:textId="77777777" w:rsidR="009B7AED" w:rsidRDefault="009B7AED" w:rsidP="00B35A5D">
      <w:pPr>
        <w:pStyle w:val="BulletcontinuedBulletsandNumbering"/>
        <w:tabs>
          <w:tab w:val="clear" w:pos="1440"/>
        </w:tabs>
        <w:ind w:left="648"/>
      </w:pPr>
      <w:r>
        <w:t>05 = May</w:t>
      </w:r>
    </w:p>
    <w:p w14:paraId="63AB0DC7" w14:textId="77777777" w:rsidR="009B7AED" w:rsidRDefault="009B7AED" w:rsidP="00B35A5D">
      <w:pPr>
        <w:pStyle w:val="BulletcontinuedBulletsandNumbering"/>
        <w:tabs>
          <w:tab w:val="clear" w:pos="1440"/>
        </w:tabs>
        <w:ind w:left="648"/>
      </w:pPr>
      <w:r>
        <w:t>06 = June</w:t>
      </w:r>
    </w:p>
    <w:p w14:paraId="343C753E" w14:textId="77777777" w:rsidR="009B7AED" w:rsidRDefault="009B7AED" w:rsidP="00B35A5D">
      <w:pPr>
        <w:pStyle w:val="BulletcontinuedBulletsandNumbering"/>
        <w:tabs>
          <w:tab w:val="clear" w:pos="1440"/>
        </w:tabs>
        <w:ind w:left="648"/>
      </w:pPr>
      <w:r>
        <w:t>07 = July</w:t>
      </w:r>
    </w:p>
    <w:p w14:paraId="0E6A9F39" w14:textId="77777777" w:rsidR="009B7AED" w:rsidRDefault="009B7AED" w:rsidP="00B35A5D">
      <w:pPr>
        <w:pStyle w:val="BulletcontinuedBulletsandNumbering"/>
        <w:tabs>
          <w:tab w:val="clear" w:pos="1440"/>
        </w:tabs>
        <w:ind w:left="648"/>
      </w:pPr>
      <w:r>
        <w:t>08 = August</w:t>
      </w:r>
    </w:p>
    <w:p w14:paraId="2B6AFD10" w14:textId="77777777" w:rsidR="009B7AED" w:rsidRDefault="009B7AED" w:rsidP="00B35A5D">
      <w:pPr>
        <w:pStyle w:val="BulletcontinuedBulletsandNumbering"/>
        <w:tabs>
          <w:tab w:val="clear" w:pos="1440"/>
        </w:tabs>
        <w:ind w:left="648"/>
      </w:pPr>
      <w:r>
        <w:t>09 = September</w:t>
      </w:r>
    </w:p>
    <w:p w14:paraId="427B20DC" w14:textId="77777777" w:rsidR="009B7AED" w:rsidRDefault="009B7AED" w:rsidP="00B35A5D">
      <w:pPr>
        <w:pStyle w:val="BulletcontinuedBulletsandNumbering"/>
        <w:tabs>
          <w:tab w:val="clear" w:pos="1440"/>
        </w:tabs>
        <w:ind w:left="648"/>
      </w:pPr>
      <w:r>
        <w:t>10 = October</w:t>
      </w:r>
    </w:p>
    <w:p w14:paraId="08A86DCB" w14:textId="77777777" w:rsidR="009B7AED" w:rsidRDefault="009B7AED" w:rsidP="00B35A5D">
      <w:pPr>
        <w:pStyle w:val="BulletcontinuedBulletsandNumbering"/>
        <w:tabs>
          <w:tab w:val="clear" w:pos="1440"/>
        </w:tabs>
        <w:ind w:left="648"/>
      </w:pPr>
      <w:r>
        <w:t>11 = November</w:t>
      </w:r>
    </w:p>
    <w:p w14:paraId="4088BE5E" w14:textId="77777777" w:rsidR="009B7AED" w:rsidRDefault="009B7AED" w:rsidP="00B35A5D">
      <w:pPr>
        <w:pStyle w:val="BulletcontinuedBulletsandNumbering"/>
        <w:tabs>
          <w:tab w:val="clear" w:pos="1440"/>
        </w:tabs>
        <w:ind w:left="648"/>
      </w:pPr>
      <w:r>
        <w:t>12 = December</w:t>
      </w:r>
    </w:p>
    <w:p w14:paraId="58FBE9C6" w14:textId="77777777" w:rsidR="009B7AED" w:rsidRDefault="009B7AED">
      <w:pPr>
        <w:pStyle w:val="ListCS1BulletsandNumbering"/>
        <w:numPr>
          <w:ilvl w:val="0"/>
          <w:numId w:val="45"/>
        </w:numPr>
        <w:spacing w:before="0" w:after="120"/>
        <w:ind w:left="648"/>
      </w:pPr>
      <w:r>
        <w:rPr>
          <w:rStyle w:val="Bold"/>
        </w:rPr>
        <w:t>Day of Month</w:t>
      </w:r>
      <w:r>
        <w:t xml:space="preserve"> (Columns 20-21) – </w:t>
      </w:r>
      <w:r>
        <w:rPr>
          <w:rStyle w:val="bolditalic"/>
        </w:rPr>
        <w:t>Required</w:t>
      </w:r>
    </w:p>
    <w:p w14:paraId="534431A9" w14:textId="77777777" w:rsidR="009B7AED" w:rsidRDefault="009B7AED" w:rsidP="00B35A5D">
      <w:pPr>
        <w:pStyle w:val="BulletcontinuedBulletsandNumbering"/>
        <w:tabs>
          <w:tab w:val="clear" w:pos="1440"/>
        </w:tabs>
        <w:ind w:left="648"/>
      </w:pPr>
      <w:r>
        <w:t>The two-digit day of the month when data were collected.</w:t>
      </w:r>
    </w:p>
    <w:p w14:paraId="7A320D56" w14:textId="77777777" w:rsidR="009B7AED" w:rsidRDefault="009B7AED">
      <w:pPr>
        <w:pStyle w:val="ListCS1BulletsandNumbering"/>
        <w:numPr>
          <w:ilvl w:val="0"/>
          <w:numId w:val="45"/>
        </w:numPr>
        <w:spacing w:before="0" w:after="120"/>
        <w:ind w:left="648"/>
      </w:pPr>
      <w:r>
        <w:t xml:space="preserve">Day of Week (Column 22) – </w:t>
      </w:r>
      <w:r w:rsidRPr="00EE5A65">
        <w:rPr>
          <w:i/>
          <w:iCs/>
        </w:rPr>
        <w:t>Required</w:t>
      </w:r>
    </w:p>
    <w:p w14:paraId="6D36A07D" w14:textId="77777777" w:rsidR="009B7AED" w:rsidRDefault="009B7AED" w:rsidP="00B35A5D">
      <w:pPr>
        <w:pStyle w:val="BulletcontinuedBulletsandNumbering"/>
        <w:tabs>
          <w:tab w:val="clear" w:pos="1440"/>
        </w:tabs>
        <w:ind w:left="648"/>
      </w:pPr>
      <w:r>
        <w:t>1 = Sunday</w:t>
      </w:r>
    </w:p>
    <w:p w14:paraId="63B7CC2D" w14:textId="77777777" w:rsidR="009B7AED" w:rsidRDefault="009B7AED" w:rsidP="00B35A5D">
      <w:pPr>
        <w:pStyle w:val="BulletcontinuedBulletsandNumbering"/>
        <w:tabs>
          <w:tab w:val="clear" w:pos="1440"/>
        </w:tabs>
        <w:ind w:left="648"/>
      </w:pPr>
      <w:r>
        <w:t>2 = Monday</w:t>
      </w:r>
    </w:p>
    <w:p w14:paraId="1D20C26D" w14:textId="77777777" w:rsidR="009B7AED" w:rsidRDefault="009B7AED" w:rsidP="00B35A5D">
      <w:pPr>
        <w:pStyle w:val="BulletcontinuedBulletsandNumbering"/>
        <w:tabs>
          <w:tab w:val="clear" w:pos="1440"/>
        </w:tabs>
        <w:ind w:left="648"/>
      </w:pPr>
      <w:r>
        <w:t>3 = Tuesday</w:t>
      </w:r>
    </w:p>
    <w:p w14:paraId="0CCF8E8A" w14:textId="77777777" w:rsidR="009B7AED" w:rsidRDefault="009B7AED" w:rsidP="00B35A5D">
      <w:pPr>
        <w:pStyle w:val="BulletcontinuedBulletsandNumbering"/>
        <w:tabs>
          <w:tab w:val="clear" w:pos="1440"/>
        </w:tabs>
        <w:ind w:left="648"/>
      </w:pPr>
      <w:r>
        <w:t>4 = Wednesday</w:t>
      </w:r>
    </w:p>
    <w:p w14:paraId="119C0DCA" w14:textId="77777777" w:rsidR="009B7AED" w:rsidRDefault="009B7AED" w:rsidP="00B35A5D">
      <w:pPr>
        <w:pStyle w:val="BulletcontinuedBulletsandNumbering"/>
        <w:tabs>
          <w:tab w:val="clear" w:pos="1440"/>
        </w:tabs>
        <w:ind w:left="648"/>
      </w:pPr>
      <w:r>
        <w:t>5 = Thursday</w:t>
      </w:r>
    </w:p>
    <w:p w14:paraId="2AC9C711" w14:textId="77777777" w:rsidR="009B7AED" w:rsidRDefault="009B7AED" w:rsidP="00B35A5D">
      <w:pPr>
        <w:pStyle w:val="BulletcontinuedBulletsandNumbering"/>
        <w:tabs>
          <w:tab w:val="clear" w:pos="1440"/>
        </w:tabs>
        <w:ind w:left="648"/>
      </w:pPr>
      <w:r>
        <w:t>6 = Friday</w:t>
      </w:r>
    </w:p>
    <w:p w14:paraId="19E691FF" w14:textId="72B4F28F" w:rsidR="008718CB" w:rsidRDefault="009B7AED" w:rsidP="00B35A5D">
      <w:pPr>
        <w:pStyle w:val="BulletcontinuedBulletsandNumbering"/>
        <w:tabs>
          <w:tab w:val="clear" w:pos="1440"/>
        </w:tabs>
        <w:ind w:left="648"/>
      </w:pPr>
      <w:r>
        <w:t>7 = Saturday</w:t>
      </w:r>
    </w:p>
    <w:p w14:paraId="22CA3FBA" w14:textId="77777777" w:rsidR="008718CB" w:rsidRDefault="008718CB">
      <w:pPr>
        <w:widowControl/>
        <w:suppressAutoHyphens w:val="0"/>
        <w:autoSpaceDE/>
        <w:autoSpaceDN/>
        <w:adjustRightInd/>
        <w:spacing w:after="160" w:line="259" w:lineRule="auto"/>
        <w:jc w:val="left"/>
        <w:textAlignment w:val="auto"/>
        <w:rPr>
          <w:color w:val="auto"/>
        </w:rPr>
      </w:pPr>
      <w:r>
        <w:br w:type="page"/>
      </w:r>
    </w:p>
    <w:p w14:paraId="3D7BADAB" w14:textId="77777777" w:rsidR="009B7AED" w:rsidRPr="00C06041" w:rsidRDefault="009B7AED">
      <w:pPr>
        <w:pStyle w:val="ListCS1BulletsandNumbering"/>
        <w:numPr>
          <w:ilvl w:val="0"/>
          <w:numId w:val="45"/>
        </w:numPr>
        <w:spacing w:before="0" w:after="120"/>
        <w:ind w:left="648"/>
        <w:rPr>
          <w:rStyle w:val="bolditalic"/>
          <w:bCs w:val="0"/>
          <w:i w:val="0"/>
          <w:iCs w:val="0"/>
        </w:rPr>
      </w:pPr>
      <w:r w:rsidRPr="00BF0036">
        <w:lastRenderedPageBreak/>
        <w:t>Restrictions</w:t>
      </w:r>
      <w:r>
        <w:t xml:space="preserve"> (Column 2</w:t>
      </w:r>
      <w:r w:rsidRPr="00677E20">
        <w:t xml:space="preserve">3) </w:t>
      </w:r>
      <w:r>
        <w:t xml:space="preserve">– </w:t>
      </w:r>
      <w:r>
        <w:rPr>
          <w:rStyle w:val="bolditalic"/>
        </w:rPr>
        <w:t>Required</w:t>
      </w:r>
    </w:p>
    <w:p w14:paraId="4CC23E48" w14:textId="77777777" w:rsidR="009B7AED" w:rsidRDefault="009B7AED" w:rsidP="00B35A5D">
      <w:pPr>
        <w:pStyle w:val="BulletcontinuedBulletsandNumbering"/>
        <w:tabs>
          <w:tab w:val="clear" w:pos="1440"/>
        </w:tabs>
        <w:ind w:left="648"/>
      </w:pPr>
      <w:r>
        <w:t>0 = no restrictions</w:t>
      </w:r>
    </w:p>
    <w:p w14:paraId="52DC1CBB" w14:textId="77777777" w:rsidR="009B7AED" w:rsidRDefault="009B7AED" w:rsidP="00B35A5D">
      <w:pPr>
        <w:pStyle w:val="BulletcontinuedBulletsandNumbering"/>
        <w:tabs>
          <w:tab w:val="clear" w:pos="1440"/>
        </w:tabs>
        <w:ind w:left="648"/>
      </w:pPr>
      <w:r>
        <w:t>1 = construction or other activity affected traffic flow, traffic pattern not impacted</w:t>
      </w:r>
    </w:p>
    <w:p w14:paraId="61472433" w14:textId="77777777" w:rsidR="009B7AED" w:rsidRDefault="009B7AED" w:rsidP="00B35A5D">
      <w:pPr>
        <w:pStyle w:val="BulletcontinuedBulletsandNumbering"/>
        <w:tabs>
          <w:tab w:val="clear" w:pos="1440"/>
        </w:tabs>
        <w:ind w:left="648"/>
      </w:pPr>
      <w:r>
        <w:t xml:space="preserve">2 = traffic counting device problem (e.g., malfunction or overflow) </w:t>
      </w:r>
    </w:p>
    <w:p w14:paraId="01449272" w14:textId="77777777" w:rsidR="009B7AED" w:rsidRDefault="009B7AED" w:rsidP="00B35A5D">
      <w:pPr>
        <w:pStyle w:val="BulletcontinuedBulletsandNumbering"/>
        <w:tabs>
          <w:tab w:val="clear" w:pos="1440"/>
        </w:tabs>
        <w:ind w:left="648"/>
      </w:pPr>
      <w:r>
        <w:t>3 = weather affected traffic flow, traffic pattern not impacted</w:t>
      </w:r>
    </w:p>
    <w:p w14:paraId="3EB2D1B1" w14:textId="77777777" w:rsidR="009B7AED" w:rsidRDefault="009B7AED" w:rsidP="00B35A5D">
      <w:pPr>
        <w:pStyle w:val="BulletcontinuedBulletsandNumbering"/>
        <w:tabs>
          <w:tab w:val="clear" w:pos="1440"/>
        </w:tabs>
        <w:ind w:left="648"/>
      </w:pPr>
      <w:r>
        <w:t>4 = construction or other activity affected traffic flow, traffic pattern impacted</w:t>
      </w:r>
    </w:p>
    <w:p w14:paraId="6D234891" w14:textId="77777777" w:rsidR="009B7AED" w:rsidRDefault="009B7AED" w:rsidP="00B35A5D">
      <w:pPr>
        <w:pStyle w:val="BulletcontinuedBulletsandNumbering"/>
        <w:tabs>
          <w:tab w:val="clear" w:pos="1440"/>
        </w:tabs>
        <w:ind w:left="648"/>
      </w:pPr>
      <w:r>
        <w:t>5 = weather affected traffic flow, traffic pattern impacted</w:t>
      </w:r>
    </w:p>
    <w:p w14:paraId="7DA3E319" w14:textId="77777777" w:rsidR="009B7AED" w:rsidRDefault="009B7AED" w:rsidP="00B35A5D">
      <w:pPr>
        <w:pStyle w:val="BulletcontinuedBulletsandNumbering"/>
        <w:tabs>
          <w:tab w:val="clear" w:pos="1440"/>
        </w:tabs>
        <w:ind w:left="648"/>
      </w:pPr>
      <w:r>
        <w:t>6 = none-regular event/trend</w:t>
      </w:r>
    </w:p>
    <w:p w14:paraId="134C432D" w14:textId="77777777" w:rsidR="009B7AED" w:rsidRDefault="009B7AED" w:rsidP="00B35A5D">
      <w:pPr>
        <w:pStyle w:val="BulletcontinuedBulletsandNumbering"/>
        <w:tabs>
          <w:tab w:val="clear" w:pos="1440"/>
        </w:tabs>
        <w:ind w:left="648"/>
      </w:pPr>
      <w:r>
        <w:t>7 = special event one day</w:t>
      </w:r>
    </w:p>
    <w:p w14:paraId="6FB9CA05" w14:textId="77777777" w:rsidR="009B7AED" w:rsidRDefault="009B7AED" w:rsidP="00B35A5D">
      <w:pPr>
        <w:pStyle w:val="BulletcontinuedBulletsandNumbering"/>
        <w:tabs>
          <w:tab w:val="clear" w:pos="1440"/>
        </w:tabs>
        <w:ind w:left="648"/>
      </w:pPr>
      <w:r>
        <w:t>8 = special event more than one day</w:t>
      </w:r>
    </w:p>
    <w:p w14:paraId="45881641" w14:textId="77777777" w:rsidR="009B7AED" w:rsidRPr="00C64046" w:rsidRDefault="009B7AED">
      <w:pPr>
        <w:pStyle w:val="ListCS1BulletsandNumbering"/>
        <w:numPr>
          <w:ilvl w:val="0"/>
          <w:numId w:val="45"/>
        </w:numPr>
        <w:spacing w:before="0" w:after="120"/>
        <w:ind w:left="648"/>
        <w:rPr>
          <w:rStyle w:val="bolditalic"/>
          <w:bCs w:val="0"/>
          <w:iCs w:val="0"/>
        </w:rPr>
      </w:pPr>
      <w:r w:rsidRPr="00BF0036">
        <w:rPr>
          <w:bCs/>
          <w:iCs/>
        </w:rPr>
        <w:t>Time</w:t>
      </w:r>
      <w:r w:rsidRPr="00C64046">
        <w:rPr>
          <w:rStyle w:val="bolditalic"/>
          <w:i w:val="0"/>
        </w:rPr>
        <w:t xml:space="preserve"> Increment </w:t>
      </w:r>
      <w:r>
        <w:rPr>
          <w:rStyle w:val="bolditalic"/>
          <w:i w:val="0"/>
        </w:rPr>
        <w:t xml:space="preserve">(Column 24) – </w:t>
      </w:r>
      <w:r>
        <w:rPr>
          <w:rStyle w:val="bolditalic"/>
        </w:rPr>
        <w:t>Optional</w:t>
      </w:r>
    </w:p>
    <w:p w14:paraId="10CA9FF2" w14:textId="77777777" w:rsidR="009B7AED" w:rsidRDefault="009B7AED" w:rsidP="00B35A5D">
      <w:pPr>
        <w:pStyle w:val="BulletcontinuedBulletsandNumbering"/>
        <w:tabs>
          <w:tab w:val="clear" w:pos="1440"/>
        </w:tabs>
        <w:ind w:left="648"/>
      </w:pPr>
      <w:r>
        <w:t>A 60-minute time interval is assumed if this column is left blank. This field can be used to designate either 5-minute or 15-minute binned volume data.</w:t>
      </w:r>
    </w:p>
    <w:p w14:paraId="4866C2B5" w14:textId="77777777" w:rsidR="009B7AED" w:rsidRDefault="009B7AED" w:rsidP="00B35A5D">
      <w:pPr>
        <w:pStyle w:val="BulletcontinuedBulletsandNumbering"/>
        <w:tabs>
          <w:tab w:val="clear" w:pos="1440"/>
        </w:tabs>
        <w:ind w:left="648"/>
      </w:pPr>
      <w:r>
        <w:t>For 15-minute binned intervals of volume data use the following:</w:t>
      </w:r>
    </w:p>
    <w:p w14:paraId="294871A6" w14:textId="77777777" w:rsidR="009B7AED" w:rsidRDefault="009B7AED" w:rsidP="00B35A5D">
      <w:pPr>
        <w:pStyle w:val="ListContinueBulletsandNumbering"/>
        <w:ind w:left="1152"/>
      </w:pPr>
      <w:r>
        <w:t>Code 1 for the hourly interval 0.0-14.999</w:t>
      </w:r>
    </w:p>
    <w:p w14:paraId="5B3CA340" w14:textId="77777777" w:rsidR="009B7AED" w:rsidRDefault="009B7AED" w:rsidP="00B35A5D">
      <w:pPr>
        <w:pStyle w:val="ListContinueBulletsandNumbering"/>
        <w:ind w:left="1152"/>
      </w:pPr>
      <w:r>
        <w:t>Code 2 for the hourly interval 15.0-29.999</w:t>
      </w:r>
    </w:p>
    <w:p w14:paraId="404FC610" w14:textId="77777777" w:rsidR="009B7AED" w:rsidRDefault="009B7AED" w:rsidP="00B35A5D">
      <w:pPr>
        <w:pStyle w:val="ListContinueBulletsandNumbering"/>
        <w:ind w:left="1152"/>
      </w:pPr>
      <w:r>
        <w:t>Code 3 for the hourly interval 30.0-44.999</w:t>
      </w:r>
    </w:p>
    <w:p w14:paraId="4F6E184C" w14:textId="77777777" w:rsidR="009B7AED" w:rsidRDefault="009B7AED" w:rsidP="00B35A5D">
      <w:pPr>
        <w:pStyle w:val="ListContinueBulletsandNumbering"/>
        <w:ind w:left="1152"/>
      </w:pPr>
      <w:r>
        <w:t>Code 4 for the hourly interval 45.0-59.999</w:t>
      </w:r>
    </w:p>
    <w:p w14:paraId="4DA6F632" w14:textId="77777777" w:rsidR="009B7AED" w:rsidRDefault="009B7AED" w:rsidP="00B35A5D">
      <w:pPr>
        <w:pStyle w:val="BulletcontinuedBulletsandNumbering"/>
        <w:tabs>
          <w:tab w:val="clear" w:pos="1440"/>
        </w:tabs>
        <w:ind w:left="648"/>
      </w:pPr>
      <w:r>
        <w:t>For 5-minute binned intervals of volume data use the following:</w:t>
      </w:r>
    </w:p>
    <w:p w14:paraId="193FCD29" w14:textId="77777777" w:rsidR="009B7AED" w:rsidRDefault="009B7AED" w:rsidP="00B35A5D">
      <w:pPr>
        <w:pStyle w:val="ListContinueBulletsandNumbering"/>
        <w:ind w:left="1152"/>
      </w:pPr>
      <w:r>
        <w:t>Code A for the hourly interval 0.0-4.999</w:t>
      </w:r>
    </w:p>
    <w:p w14:paraId="3FAE4E13" w14:textId="77777777" w:rsidR="009B7AED" w:rsidRDefault="009B7AED" w:rsidP="00B35A5D">
      <w:pPr>
        <w:pStyle w:val="ListContinueBulletsandNumbering"/>
        <w:ind w:left="1152"/>
      </w:pPr>
      <w:r>
        <w:t>Code B for the hourly interval 5.0-9.999</w:t>
      </w:r>
    </w:p>
    <w:p w14:paraId="1CF600E0" w14:textId="77777777" w:rsidR="009B7AED" w:rsidRDefault="009B7AED" w:rsidP="00B35A5D">
      <w:pPr>
        <w:pStyle w:val="ListContinueBulletsandNumbering"/>
        <w:ind w:left="1152"/>
      </w:pPr>
      <w:r>
        <w:t>Code C for the hourly interval 10.0-14.999</w:t>
      </w:r>
    </w:p>
    <w:p w14:paraId="248C6047" w14:textId="77777777" w:rsidR="009B7AED" w:rsidRDefault="009B7AED" w:rsidP="00B35A5D">
      <w:pPr>
        <w:pStyle w:val="ListContinueBulletsandNumbering"/>
        <w:ind w:left="1152"/>
      </w:pPr>
      <w:r>
        <w:t>Code D for the hourly interval 15.0-19.999</w:t>
      </w:r>
    </w:p>
    <w:p w14:paraId="38564189" w14:textId="77777777" w:rsidR="009B7AED" w:rsidRDefault="009B7AED" w:rsidP="00B35A5D">
      <w:pPr>
        <w:pStyle w:val="ListContinueBulletsandNumbering"/>
        <w:ind w:left="1152"/>
      </w:pPr>
      <w:r>
        <w:t>Code E for the hourly interval 20.0-24.999</w:t>
      </w:r>
    </w:p>
    <w:p w14:paraId="601CF205" w14:textId="77777777" w:rsidR="009B7AED" w:rsidRDefault="009B7AED" w:rsidP="00B35A5D">
      <w:pPr>
        <w:pStyle w:val="ListContinueBulletsandNumbering"/>
        <w:ind w:left="1152"/>
      </w:pPr>
      <w:r>
        <w:t>Code F for the hourly interval 25.0-29.999</w:t>
      </w:r>
    </w:p>
    <w:p w14:paraId="517D8E12" w14:textId="77777777" w:rsidR="009B7AED" w:rsidRDefault="009B7AED" w:rsidP="00B35A5D">
      <w:pPr>
        <w:pStyle w:val="ListContinueBulletsandNumbering"/>
        <w:ind w:left="1152"/>
      </w:pPr>
      <w:r>
        <w:t>Code G for the hourly interval 30.0-34.999</w:t>
      </w:r>
    </w:p>
    <w:p w14:paraId="58C023BA" w14:textId="77777777" w:rsidR="009B7AED" w:rsidRDefault="009B7AED" w:rsidP="00B35A5D">
      <w:pPr>
        <w:pStyle w:val="ListContinueBulletsandNumbering"/>
        <w:ind w:left="1152"/>
      </w:pPr>
      <w:r>
        <w:t>Code H for the hourly interval 35.0-39.999</w:t>
      </w:r>
    </w:p>
    <w:p w14:paraId="5E277295" w14:textId="77777777" w:rsidR="009B7AED" w:rsidRDefault="009B7AED" w:rsidP="00B35A5D">
      <w:pPr>
        <w:pStyle w:val="ListContinueBulletsandNumbering"/>
        <w:ind w:left="1152"/>
      </w:pPr>
      <w:r>
        <w:t>Code I for the hourly interval 40.0-44.999</w:t>
      </w:r>
    </w:p>
    <w:p w14:paraId="2A639A11" w14:textId="77777777" w:rsidR="009B7AED" w:rsidRDefault="009B7AED" w:rsidP="00B35A5D">
      <w:pPr>
        <w:pStyle w:val="ListContinueBulletsandNumbering"/>
        <w:ind w:left="1152"/>
      </w:pPr>
      <w:r>
        <w:t>Code J for the hourly interval 45.0-49.999</w:t>
      </w:r>
    </w:p>
    <w:p w14:paraId="4A1A5325" w14:textId="77777777" w:rsidR="009B7AED" w:rsidRDefault="009B7AED" w:rsidP="00B35A5D">
      <w:pPr>
        <w:pStyle w:val="ListContinueBulletsandNumbering"/>
        <w:ind w:left="1152"/>
      </w:pPr>
      <w:r>
        <w:t>Code K for the hourly interval 50.0-54.999</w:t>
      </w:r>
    </w:p>
    <w:p w14:paraId="6EF48B87" w14:textId="77777777" w:rsidR="009B7AED" w:rsidRPr="00BF0036" w:rsidRDefault="009B7AED" w:rsidP="00B35A5D">
      <w:pPr>
        <w:pStyle w:val="ListContinueBulletsandNumbering"/>
        <w:ind w:left="1152"/>
      </w:pPr>
      <w:r>
        <w:t>Code L for the</w:t>
      </w:r>
      <w:r w:rsidRPr="00A1653A">
        <w:t xml:space="preserve"> </w:t>
      </w:r>
      <w:r>
        <w:t>hourly interval 55.0-59.999</w:t>
      </w:r>
    </w:p>
    <w:p w14:paraId="3699B91F" w14:textId="42FB2A75" w:rsidR="009B7AED" w:rsidRDefault="009B7AED">
      <w:pPr>
        <w:pStyle w:val="ListCS1BulletsandNumbering"/>
        <w:numPr>
          <w:ilvl w:val="0"/>
          <w:numId w:val="45"/>
        </w:numPr>
        <w:spacing w:before="0" w:after="120"/>
        <w:ind w:left="648"/>
      </w:pPr>
      <w:r>
        <w:t xml:space="preserve">60-Minute Traffic Volume Counted, see </w:t>
      </w:r>
      <w:fldSimple w:instr=" REF _Ref111023322 ">
        <w:r w:rsidR="00C07DF9">
          <w:t xml:space="preserve">Table </w:t>
        </w:r>
        <w:r w:rsidR="00C07DF9">
          <w:rPr>
            <w:noProof/>
          </w:rPr>
          <w:t>4</w:t>
        </w:r>
        <w:r w:rsidR="00C07DF9">
          <w:noBreakHyphen/>
        </w:r>
        <w:r w:rsidR="00C07DF9">
          <w:rPr>
            <w:noProof/>
          </w:rPr>
          <w:t>10</w:t>
        </w:r>
      </w:fldSimple>
      <w:r>
        <w:t xml:space="preserve"> (Columns 25-144) – </w:t>
      </w:r>
      <w:r w:rsidRPr="007347FA">
        <w:rPr>
          <w:i/>
          <w:iCs/>
        </w:rPr>
        <w:t>Optional</w:t>
      </w:r>
    </w:p>
    <w:p w14:paraId="425FB680" w14:textId="53B3CBE9" w:rsidR="009B7AED" w:rsidRDefault="009B7AED" w:rsidP="00B35A5D">
      <w:pPr>
        <w:pStyle w:val="BulletcontinuedBulletsandNumbering"/>
        <w:tabs>
          <w:tab w:val="clear" w:pos="1440"/>
        </w:tabs>
        <w:ind w:left="648"/>
      </w:pPr>
      <w:r>
        <w:t xml:space="preserve">15-Minute Traffic Volume Counted, see </w:t>
      </w:r>
      <w:bookmarkStart w:id="2902" w:name="_Hlk110336226"/>
      <w:r>
        <w:t>examples with each hour having sub-hour parts for each line (4</w:t>
      </w:r>
      <w:r w:rsidR="007347FA">
        <w:t> </w:t>
      </w:r>
      <w:r>
        <w:t xml:space="preserve">parts for 15-minute intervals) </w:t>
      </w:r>
      <w:bookmarkEnd w:id="2902"/>
      <w:r>
        <w:t xml:space="preserve">– </w:t>
      </w:r>
      <w:r w:rsidRPr="007347FA">
        <w:rPr>
          <w:i/>
          <w:iCs/>
        </w:rPr>
        <w:t>Optional</w:t>
      </w:r>
    </w:p>
    <w:p w14:paraId="6CE916FA" w14:textId="77777777" w:rsidR="009B7AED" w:rsidRDefault="009B7AED" w:rsidP="00B35A5D">
      <w:pPr>
        <w:pStyle w:val="BulletcontinuedBulletsandNumbering"/>
        <w:tabs>
          <w:tab w:val="clear" w:pos="1440"/>
        </w:tabs>
        <w:ind w:left="648"/>
      </w:pPr>
      <w:r>
        <w:t xml:space="preserve">5-Minute Traffic Volume Counted, examples with each hour having sub-hour parts for each line (12 parts for 5-minute intervals) – </w:t>
      </w:r>
      <w:r w:rsidRPr="007347FA">
        <w:rPr>
          <w:i/>
          <w:iCs/>
        </w:rPr>
        <w:t>Optional</w:t>
      </w:r>
    </w:p>
    <w:p w14:paraId="452363CA" w14:textId="543C2B21" w:rsidR="00BF0036" w:rsidRDefault="009B7AED" w:rsidP="00B35A5D">
      <w:pPr>
        <w:pStyle w:val="BulletcontinuedBulletsandNumbering"/>
        <w:tabs>
          <w:tab w:val="clear" w:pos="1440"/>
        </w:tabs>
        <w:ind w:left="648"/>
      </w:pPr>
      <w:r>
        <w:t>If the data are missing, blank fill the appropriate columns.</w:t>
      </w:r>
    </w:p>
    <w:p w14:paraId="79B816AB" w14:textId="2C31EBD7" w:rsidR="009B7AED" w:rsidRDefault="009B7AED" w:rsidP="000F2A7A">
      <w:pPr>
        <w:pStyle w:val="TMGTableCaption"/>
      </w:pPr>
      <w:bookmarkStart w:id="2903" w:name="_Ref111023322"/>
      <w:bookmarkStart w:id="2904" w:name="_Toc63976927"/>
      <w:bookmarkStart w:id="2905" w:name="_Toc68874130"/>
      <w:bookmarkStart w:id="2906" w:name="_Toc109333452"/>
      <w:bookmarkStart w:id="2907" w:name="_Toc109333780"/>
      <w:bookmarkStart w:id="2908" w:name="_Toc113282515"/>
      <w:bookmarkStart w:id="2909" w:name="_Toc114474852"/>
      <w:bookmarkStart w:id="2910" w:name="_Toc120631158"/>
      <w:r>
        <w:lastRenderedPageBreak/>
        <w:t xml:space="preserve">Table </w:t>
      </w:r>
      <w:fldSimple w:instr=" STYLEREF 1 \s ">
        <w:r w:rsidR="00C07DF9">
          <w:rPr>
            <w:noProof/>
          </w:rPr>
          <w:t>4</w:t>
        </w:r>
      </w:fldSimple>
      <w:r>
        <w:noBreakHyphen/>
      </w:r>
      <w:fldSimple w:instr=" SEQ Table \* ARABIC \s 1 ">
        <w:r w:rsidR="00C07DF9">
          <w:rPr>
            <w:noProof/>
          </w:rPr>
          <w:t>10</w:t>
        </w:r>
      </w:fldSimple>
      <w:bookmarkEnd w:id="2903"/>
      <w:r w:rsidR="00627DD7">
        <w:t>.</w:t>
      </w:r>
      <w:r>
        <w:t xml:space="preserve"> </w:t>
      </w:r>
      <w:r w:rsidRPr="0080651D">
        <w:t>Time Covered Fields</w:t>
      </w:r>
      <w:bookmarkEnd w:id="2904"/>
      <w:bookmarkEnd w:id="2905"/>
      <w:r>
        <w:t xml:space="preserve"> – 60-Minute Data</w:t>
      </w:r>
      <w:bookmarkEnd w:id="2906"/>
      <w:bookmarkEnd w:id="2907"/>
      <w:bookmarkEnd w:id="2908"/>
      <w:bookmarkEnd w:id="2909"/>
      <w:bookmarkEnd w:id="2910"/>
    </w:p>
    <w:tbl>
      <w:tblPr>
        <w:tblStyle w:val="TableGrid"/>
        <w:tblW w:w="9360" w:type="dxa"/>
        <w:jc w:val="center"/>
        <w:tblCellMar>
          <w:left w:w="86" w:type="dxa"/>
          <w:right w:w="86" w:type="dxa"/>
        </w:tblCellMar>
        <w:tblLook w:val="04A0" w:firstRow="1" w:lastRow="0" w:firstColumn="1" w:lastColumn="0" w:noHBand="0" w:noVBand="1"/>
      </w:tblPr>
      <w:tblGrid>
        <w:gridCol w:w="888"/>
        <w:gridCol w:w="1076"/>
        <w:gridCol w:w="731"/>
        <w:gridCol w:w="4680"/>
        <w:gridCol w:w="852"/>
        <w:gridCol w:w="1133"/>
      </w:tblGrid>
      <w:tr w:rsidR="00BF0036" w14:paraId="1F841044" w14:textId="77777777" w:rsidTr="007A47A2">
        <w:trPr>
          <w:jc w:val="center"/>
        </w:trPr>
        <w:tc>
          <w:tcPr>
            <w:tcW w:w="888" w:type="dxa"/>
            <w:tcBorders>
              <w:right w:val="single" w:sz="4" w:space="0" w:color="FFFFFF" w:themeColor="background1"/>
            </w:tcBorders>
            <w:shd w:val="clear" w:color="auto" w:fill="1F3864"/>
          </w:tcPr>
          <w:p w14:paraId="5A68C2CB" w14:textId="18D9239F" w:rsidR="00BF0036" w:rsidRDefault="00BF0036" w:rsidP="00BF0036">
            <w:pPr>
              <w:pStyle w:val="TMGTableTextHeader"/>
            </w:pPr>
            <w:r w:rsidRPr="00804074">
              <w:rPr>
                <w:rFonts w:eastAsiaTheme="minorEastAsia"/>
              </w:rPr>
              <w:t>Field</w:t>
            </w:r>
          </w:p>
        </w:tc>
        <w:tc>
          <w:tcPr>
            <w:tcW w:w="1076" w:type="dxa"/>
            <w:tcBorders>
              <w:left w:val="single" w:sz="4" w:space="0" w:color="FFFFFF" w:themeColor="background1"/>
              <w:right w:val="single" w:sz="4" w:space="0" w:color="FFFFFF" w:themeColor="background1"/>
            </w:tcBorders>
            <w:shd w:val="clear" w:color="auto" w:fill="1F3864"/>
          </w:tcPr>
          <w:p w14:paraId="0005CC07" w14:textId="5D383F0F" w:rsidR="00BF0036" w:rsidRDefault="00BF0036" w:rsidP="00BF0036">
            <w:pPr>
              <w:pStyle w:val="TMGTableTextHeader"/>
              <w:rPr>
                <w:rFonts w:eastAsia="MS Mincho"/>
              </w:rPr>
            </w:pPr>
            <w:r w:rsidRPr="00804074">
              <w:rPr>
                <w:rFonts w:eastAsiaTheme="minorEastAsia"/>
              </w:rPr>
              <w:t>Columns</w:t>
            </w:r>
          </w:p>
        </w:tc>
        <w:tc>
          <w:tcPr>
            <w:tcW w:w="731" w:type="dxa"/>
            <w:tcBorders>
              <w:left w:val="single" w:sz="4" w:space="0" w:color="FFFFFF" w:themeColor="background1"/>
              <w:right w:val="single" w:sz="4" w:space="0" w:color="FFFFFF" w:themeColor="background1"/>
            </w:tcBorders>
            <w:shd w:val="clear" w:color="auto" w:fill="1F3864"/>
          </w:tcPr>
          <w:p w14:paraId="7970D9B1" w14:textId="51D81A69" w:rsidR="00BF0036" w:rsidRDefault="00BF0036" w:rsidP="00BF0036">
            <w:pPr>
              <w:pStyle w:val="TMGTableTextHeader"/>
              <w:rPr>
                <w:rFonts w:eastAsia="MS Mincho"/>
              </w:rPr>
            </w:pPr>
            <w:r w:rsidRPr="00804074">
              <w:rPr>
                <w:rFonts w:eastAsiaTheme="minorEastAsia"/>
              </w:rPr>
              <w:t>Width</w:t>
            </w:r>
          </w:p>
        </w:tc>
        <w:tc>
          <w:tcPr>
            <w:tcW w:w="4680" w:type="dxa"/>
            <w:tcBorders>
              <w:left w:val="single" w:sz="4" w:space="0" w:color="FFFFFF" w:themeColor="background1"/>
              <w:right w:val="single" w:sz="4" w:space="0" w:color="FFFFFF" w:themeColor="background1"/>
            </w:tcBorders>
            <w:shd w:val="clear" w:color="auto" w:fill="1F3864"/>
          </w:tcPr>
          <w:p w14:paraId="795C617F" w14:textId="6A7A0090" w:rsidR="00BF0036" w:rsidRDefault="00BF0036" w:rsidP="00BF0036">
            <w:pPr>
              <w:pStyle w:val="TMGTableTextHeader"/>
              <w:rPr>
                <w:rFonts w:eastAsia="MS Mincho"/>
              </w:rPr>
            </w:pPr>
            <w:r w:rsidRPr="00804074">
              <w:rPr>
                <w:rFonts w:eastAsiaTheme="minorEastAsia"/>
              </w:rPr>
              <w:t>Description</w:t>
            </w:r>
          </w:p>
        </w:tc>
        <w:tc>
          <w:tcPr>
            <w:tcW w:w="852" w:type="dxa"/>
            <w:tcBorders>
              <w:left w:val="single" w:sz="4" w:space="0" w:color="FFFFFF" w:themeColor="background1"/>
              <w:right w:val="single" w:sz="4" w:space="0" w:color="FFFFFF" w:themeColor="background1"/>
            </w:tcBorders>
            <w:shd w:val="clear" w:color="auto" w:fill="1F3864"/>
          </w:tcPr>
          <w:p w14:paraId="6815390C" w14:textId="65748D05" w:rsidR="00BF0036" w:rsidRDefault="00BF0036" w:rsidP="00BF0036">
            <w:pPr>
              <w:pStyle w:val="TMGTableTextHeader"/>
              <w:rPr>
                <w:rFonts w:eastAsia="MS Mincho"/>
              </w:rPr>
            </w:pPr>
            <w:r w:rsidRPr="00804074">
              <w:rPr>
                <w:rFonts w:eastAsiaTheme="minorEastAsia"/>
              </w:rPr>
              <w:t>Type</w:t>
            </w:r>
          </w:p>
        </w:tc>
        <w:tc>
          <w:tcPr>
            <w:tcW w:w="1133" w:type="dxa"/>
            <w:tcBorders>
              <w:left w:val="single" w:sz="4" w:space="0" w:color="FFFFFF" w:themeColor="background1"/>
            </w:tcBorders>
            <w:shd w:val="clear" w:color="auto" w:fill="1F3864"/>
          </w:tcPr>
          <w:p w14:paraId="17FEA81D" w14:textId="4352EA8F" w:rsidR="00BF0036" w:rsidRDefault="00BF0036" w:rsidP="00BF0036">
            <w:pPr>
              <w:pStyle w:val="TMGTableTextHeader"/>
            </w:pPr>
            <w:r w:rsidRPr="00804074">
              <w:rPr>
                <w:rFonts w:eastAsiaTheme="minorEastAsia"/>
              </w:rPr>
              <w:t>Importance</w:t>
            </w:r>
          </w:p>
        </w:tc>
      </w:tr>
      <w:tr w:rsidR="007A47A2" w14:paraId="2D0C1EF2" w14:textId="77777777" w:rsidTr="007A47A2">
        <w:trPr>
          <w:jc w:val="center"/>
        </w:trPr>
        <w:tc>
          <w:tcPr>
            <w:tcW w:w="888" w:type="dxa"/>
          </w:tcPr>
          <w:p w14:paraId="2870CF3B" w14:textId="148926B5" w:rsidR="007A47A2" w:rsidRPr="00C251E9" w:rsidRDefault="007A47A2" w:rsidP="007A47A2">
            <w:pPr>
              <w:pStyle w:val="TMGTableText"/>
              <w:jc w:val="center"/>
              <w:rPr>
                <w:b/>
                <w:bCs/>
              </w:rPr>
            </w:pPr>
            <w:r w:rsidRPr="00804074">
              <w:rPr>
                <w:rFonts w:eastAsiaTheme="minorEastAsia"/>
                <w:b/>
                <w:bCs/>
              </w:rPr>
              <w:t>13</w:t>
            </w:r>
          </w:p>
        </w:tc>
        <w:tc>
          <w:tcPr>
            <w:tcW w:w="1076" w:type="dxa"/>
          </w:tcPr>
          <w:p w14:paraId="0ACACBB3" w14:textId="31F88D9D" w:rsidR="007A47A2" w:rsidRPr="004859C8" w:rsidRDefault="007A47A2" w:rsidP="007A47A2">
            <w:pPr>
              <w:pStyle w:val="TMGTableText"/>
              <w:jc w:val="center"/>
            </w:pPr>
            <w:r w:rsidRPr="0051590D">
              <w:rPr>
                <w:rFonts w:eastAsiaTheme="minorEastAsia"/>
              </w:rPr>
              <w:t>2</w:t>
            </w:r>
            <w:r>
              <w:rPr>
                <w:rFonts w:eastAsiaTheme="minorEastAsia"/>
              </w:rPr>
              <w:t>5</w:t>
            </w:r>
            <w:r w:rsidRPr="0051590D">
              <w:rPr>
                <w:rFonts w:eastAsiaTheme="minorEastAsia"/>
              </w:rPr>
              <w:t>-2</w:t>
            </w:r>
            <w:r>
              <w:rPr>
                <w:rFonts w:eastAsiaTheme="minorEastAsia"/>
              </w:rPr>
              <w:t>9</w:t>
            </w:r>
          </w:p>
        </w:tc>
        <w:tc>
          <w:tcPr>
            <w:tcW w:w="731" w:type="dxa"/>
          </w:tcPr>
          <w:p w14:paraId="20F54D86" w14:textId="275D9FDF" w:rsidR="007A47A2" w:rsidRPr="004859C8" w:rsidRDefault="007A47A2" w:rsidP="007A47A2">
            <w:pPr>
              <w:pStyle w:val="TMGTableText"/>
              <w:jc w:val="center"/>
            </w:pPr>
            <w:r w:rsidRPr="0051590D">
              <w:rPr>
                <w:rFonts w:eastAsiaTheme="minorEastAsia"/>
              </w:rPr>
              <w:t>5</w:t>
            </w:r>
          </w:p>
        </w:tc>
        <w:tc>
          <w:tcPr>
            <w:tcW w:w="4680" w:type="dxa"/>
          </w:tcPr>
          <w:p w14:paraId="7DABC9B2" w14:textId="6EAC144A" w:rsidR="007A47A2" w:rsidRPr="004859C8" w:rsidRDefault="007A47A2" w:rsidP="007A47A2">
            <w:pPr>
              <w:pStyle w:val="TMGTableText"/>
            </w:pPr>
            <w:r w:rsidRPr="0051590D">
              <w:rPr>
                <w:rFonts w:eastAsiaTheme="minorEastAsia"/>
              </w:rPr>
              <w:t>Traffic Volume Counted, after 00:00 – to 01:00</w:t>
            </w:r>
            <w:r>
              <w:rPr>
                <w:rFonts w:eastAsiaTheme="minorEastAsia"/>
              </w:rPr>
              <w:t xml:space="preserve"> (BIN1)</w:t>
            </w:r>
          </w:p>
        </w:tc>
        <w:tc>
          <w:tcPr>
            <w:tcW w:w="852" w:type="dxa"/>
          </w:tcPr>
          <w:p w14:paraId="42659E76" w14:textId="3C2B2CD6" w:rsidR="007A47A2" w:rsidRPr="004859C8" w:rsidRDefault="007A47A2" w:rsidP="007A47A2">
            <w:pPr>
              <w:pStyle w:val="TMGTableText"/>
              <w:jc w:val="center"/>
            </w:pPr>
            <w:r>
              <w:rPr>
                <w:rFonts w:eastAsiaTheme="minorEastAsia"/>
              </w:rPr>
              <w:t>Integer</w:t>
            </w:r>
          </w:p>
        </w:tc>
        <w:tc>
          <w:tcPr>
            <w:tcW w:w="1133" w:type="dxa"/>
          </w:tcPr>
          <w:p w14:paraId="10447368" w14:textId="5F63DAD8" w:rsidR="007A47A2" w:rsidRPr="00C251E9" w:rsidRDefault="007A47A2" w:rsidP="007A47A2">
            <w:pPr>
              <w:pStyle w:val="TMGTableText"/>
              <w:jc w:val="center"/>
            </w:pPr>
            <w:r w:rsidRPr="0051590D">
              <w:rPr>
                <w:rFonts w:eastAsiaTheme="minorEastAsia"/>
              </w:rPr>
              <w:t>O</w:t>
            </w:r>
            <w:r>
              <w:rPr>
                <w:rFonts w:eastAsiaTheme="minorEastAsia"/>
              </w:rPr>
              <w:t>ptional</w:t>
            </w:r>
          </w:p>
        </w:tc>
      </w:tr>
      <w:tr w:rsidR="007A47A2" w14:paraId="4CCB1436" w14:textId="77777777" w:rsidTr="007A47A2">
        <w:trPr>
          <w:jc w:val="center"/>
        </w:trPr>
        <w:tc>
          <w:tcPr>
            <w:tcW w:w="888" w:type="dxa"/>
          </w:tcPr>
          <w:p w14:paraId="450BEC4D" w14:textId="6C9EB11D" w:rsidR="007A47A2" w:rsidRPr="00C251E9" w:rsidRDefault="007A47A2" w:rsidP="007A47A2">
            <w:pPr>
              <w:pStyle w:val="TMGTableText"/>
              <w:jc w:val="center"/>
              <w:rPr>
                <w:b/>
                <w:bCs/>
              </w:rPr>
            </w:pPr>
            <w:r w:rsidRPr="00804074">
              <w:rPr>
                <w:rFonts w:eastAsiaTheme="minorEastAsia"/>
                <w:b/>
                <w:bCs/>
              </w:rPr>
              <w:t>14</w:t>
            </w:r>
          </w:p>
        </w:tc>
        <w:tc>
          <w:tcPr>
            <w:tcW w:w="1076" w:type="dxa"/>
          </w:tcPr>
          <w:p w14:paraId="75751D43" w14:textId="4DCAEDB3" w:rsidR="007A47A2" w:rsidRPr="004859C8" w:rsidRDefault="007A47A2" w:rsidP="007A47A2">
            <w:pPr>
              <w:pStyle w:val="TMGTableText"/>
              <w:jc w:val="center"/>
            </w:pPr>
            <w:r>
              <w:rPr>
                <w:rFonts w:eastAsiaTheme="minorEastAsia"/>
              </w:rPr>
              <w:t>30</w:t>
            </w:r>
            <w:r w:rsidRPr="0051590D">
              <w:rPr>
                <w:rFonts w:eastAsiaTheme="minorEastAsia"/>
              </w:rPr>
              <w:t>-3</w:t>
            </w:r>
            <w:r>
              <w:rPr>
                <w:rFonts w:eastAsiaTheme="minorEastAsia"/>
              </w:rPr>
              <w:t>4</w:t>
            </w:r>
          </w:p>
        </w:tc>
        <w:tc>
          <w:tcPr>
            <w:tcW w:w="731" w:type="dxa"/>
          </w:tcPr>
          <w:p w14:paraId="28F084A2" w14:textId="7D0DD500" w:rsidR="007A47A2" w:rsidRPr="004859C8" w:rsidRDefault="007A47A2" w:rsidP="007A47A2">
            <w:pPr>
              <w:pStyle w:val="TMGTableText"/>
              <w:jc w:val="center"/>
            </w:pPr>
            <w:r w:rsidRPr="0051590D">
              <w:rPr>
                <w:rFonts w:eastAsiaTheme="minorEastAsia"/>
              </w:rPr>
              <w:t>5</w:t>
            </w:r>
          </w:p>
        </w:tc>
        <w:tc>
          <w:tcPr>
            <w:tcW w:w="4680" w:type="dxa"/>
          </w:tcPr>
          <w:p w14:paraId="2E1D06E8" w14:textId="5A935F81" w:rsidR="007A47A2" w:rsidRPr="004859C8" w:rsidRDefault="007A47A2" w:rsidP="007A47A2">
            <w:pPr>
              <w:pStyle w:val="TMGTableText"/>
            </w:pPr>
            <w:r w:rsidRPr="0051590D">
              <w:rPr>
                <w:rFonts w:eastAsiaTheme="minorEastAsia"/>
              </w:rPr>
              <w:t>Traffic Volume Counted, after 01:00 – to 02:00</w:t>
            </w:r>
            <w:r>
              <w:rPr>
                <w:rFonts w:eastAsiaTheme="minorEastAsia"/>
              </w:rPr>
              <w:t xml:space="preserve"> (BIN2)</w:t>
            </w:r>
          </w:p>
        </w:tc>
        <w:tc>
          <w:tcPr>
            <w:tcW w:w="852" w:type="dxa"/>
          </w:tcPr>
          <w:p w14:paraId="2A9EB3C5" w14:textId="14CF66CA" w:rsidR="007A47A2" w:rsidRPr="004859C8" w:rsidRDefault="007A47A2" w:rsidP="007A47A2">
            <w:pPr>
              <w:pStyle w:val="TMGTableText"/>
              <w:jc w:val="center"/>
            </w:pPr>
            <w:r>
              <w:rPr>
                <w:rFonts w:eastAsiaTheme="minorEastAsia"/>
              </w:rPr>
              <w:t>Integer</w:t>
            </w:r>
          </w:p>
        </w:tc>
        <w:tc>
          <w:tcPr>
            <w:tcW w:w="1133" w:type="dxa"/>
          </w:tcPr>
          <w:p w14:paraId="089B6700" w14:textId="73A71072" w:rsidR="007A47A2" w:rsidRPr="00C251E9" w:rsidRDefault="007A47A2" w:rsidP="007A47A2">
            <w:pPr>
              <w:pStyle w:val="TMGTableText"/>
              <w:jc w:val="center"/>
            </w:pPr>
            <w:r w:rsidRPr="0051590D">
              <w:rPr>
                <w:rFonts w:eastAsiaTheme="minorEastAsia"/>
              </w:rPr>
              <w:t>O</w:t>
            </w:r>
            <w:r>
              <w:rPr>
                <w:rFonts w:eastAsiaTheme="minorEastAsia"/>
              </w:rPr>
              <w:t>ptional</w:t>
            </w:r>
          </w:p>
        </w:tc>
      </w:tr>
      <w:tr w:rsidR="007A47A2" w14:paraId="299DEB72" w14:textId="77777777" w:rsidTr="00F901F1">
        <w:trPr>
          <w:jc w:val="center"/>
        </w:trPr>
        <w:tc>
          <w:tcPr>
            <w:tcW w:w="888" w:type="dxa"/>
          </w:tcPr>
          <w:p w14:paraId="04866265" w14:textId="1EFD8AB1" w:rsidR="007A47A2" w:rsidRPr="00C251E9" w:rsidRDefault="007A47A2" w:rsidP="00F901F1">
            <w:pPr>
              <w:pStyle w:val="TMGTableText"/>
              <w:jc w:val="center"/>
              <w:rPr>
                <w:b/>
                <w:bCs/>
              </w:rPr>
            </w:pPr>
            <w:r>
              <w:rPr>
                <w:rFonts w:eastAsiaTheme="minorEastAsia"/>
                <w:b/>
                <w:bCs/>
              </w:rPr>
              <w:t>…</w:t>
            </w:r>
          </w:p>
        </w:tc>
        <w:tc>
          <w:tcPr>
            <w:tcW w:w="1076" w:type="dxa"/>
          </w:tcPr>
          <w:p w14:paraId="3279806E" w14:textId="16B14D33" w:rsidR="007A47A2" w:rsidRPr="004859C8" w:rsidRDefault="007A47A2" w:rsidP="00F901F1">
            <w:pPr>
              <w:pStyle w:val="TMGTableText"/>
              <w:jc w:val="center"/>
            </w:pPr>
            <w:r>
              <w:t>…</w:t>
            </w:r>
          </w:p>
        </w:tc>
        <w:tc>
          <w:tcPr>
            <w:tcW w:w="731" w:type="dxa"/>
          </w:tcPr>
          <w:p w14:paraId="7A40B73A" w14:textId="2AEB5C18" w:rsidR="007A47A2" w:rsidRPr="004859C8" w:rsidRDefault="007A47A2" w:rsidP="00F901F1">
            <w:pPr>
              <w:pStyle w:val="TMGTableText"/>
              <w:jc w:val="center"/>
            </w:pPr>
            <w:r>
              <w:rPr>
                <w:rFonts w:eastAsiaTheme="minorEastAsia"/>
              </w:rPr>
              <w:t>…</w:t>
            </w:r>
          </w:p>
        </w:tc>
        <w:tc>
          <w:tcPr>
            <w:tcW w:w="4680" w:type="dxa"/>
          </w:tcPr>
          <w:p w14:paraId="1FC21FE9" w14:textId="62C3C52F" w:rsidR="007A47A2" w:rsidRPr="004859C8" w:rsidRDefault="007A47A2" w:rsidP="00F901F1">
            <w:pPr>
              <w:pStyle w:val="TMGTableText"/>
              <w:jc w:val="center"/>
            </w:pPr>
            <w:r>
              <w:rPr>
                <w:rFonts w:eastAsiaTheme="minorEastAsia"/>
              </w:rPr>
              <w:t>…</w:t>
            </w:r>
          </w:p>
        </w:tc>
        <w:tc>
          <w:tcPr>
            <w:tcW w:w="852" w:type="dxa"/>
          </w:tcPr>
          <w:p w14:paraId="754F0096" w14:textId="6B2EE70A" w:rsidR="007A47A2" w:rsidRPr="004859C8" w:rsidRDefault="007A47A2" w:rsidP="00F901F1">
            <w:pPr>
              <w:pStyle w:val="TMGTableText"/>
              <w:jc w:val="center"/>
            </w:pPr>
            <w:r>
              <w:rPr>
                <w:rFonts w:eastAsiaTheme="minorEastAsia"/>
              </w:rPr>
              <w:t>…</w:t>
            </w:r>
          </w:p>
        </w:tc>
        <w:tc>
          <w:tcPr>
            <w:tcW w:w="1133" w:type="dxa"/>
          </w:tcPr>
          <w:p w14:paraId="72D67D9D" w14:textId="01624DC4" w:rsidR="007A47A2" w:rsidRPr="00C251E9" w:rsidRDefault="007A47A2" w:rsidP="00F901F1">
            <w:pPr>
              <w:pStyle w:val="TMGTableText"/>
              <w:jc w:val="center"/>
            </w:pPr>
            <w:r>
              <w:rPr>
                <w:rFonts w:eastAsiaTheme="minorEastAsia"/>
              </w:rPr>
              <w:t>…</w:t>
            </w:r>
          </w:p>
        </w:tc>
      </w:tr>
      <w:tr w:rsidR="007A47A2" w14:paraId="58B9714D" w14:textId="77777777" w:rsidTr="007A47A2">
        <w:trPr>
          <w:jc w:val="center"/>
        </w:trPr>
        <w:tc>
          <w:tcPr>
            <w:tcW w:w="888" w:type="dxa"/>
          </w:tcPr>
          <w:p w14:paraId="25D331B6" w14:textId="7FBE642A" w:rsidR="007A47A2" w:rsidRPr="00C251E9" w:rsidRDefault="007A47A2" w:rsidP="007A47A2">
            <w:pPr>
              <w:pStyle w:val="TMGTableText"/>
              <w:jc w:val="center"/>
              <w:rPr>
                <w:b/>
                <w:bCs/>
              </w:rPr>
            </w:pPr>
            <w:r w:rsidRPr="00804074">
              <w:rPr>
                <w:rFonts w:eastAsiaTheme="minorEastAsia"/>
                <w:b/>
                <w:bCs/>
              </w:rPr>
              <w:t>3</w:t>
            </w:r>
            <w:r>
              <w:rPr>
                <w:rFonts w:eastAsiaTheme="minorEastAsia"/>
                <w:b/>
                <w:bCs/>
              </w:rPr>
              <w:t>6</w:t>
            </w:r>
          </w:p>
        </w:tc>
        <w:tc>
          <w:tcPr>
            <w:tcW w:w="1076" w:type="dxa"/>
          </w:tcPr>
          <w:p w14:paraId="3226E1A5" w14:textId="2238D1E6" w:rsidR="007A47A2" w:rsidRPr="004859C8" w:rsidRDefault="007A47A2" w:rsidP="007A47A2">
            <w:pPr>
              <w:pStyle w:val="TMGTableText"/>
              <w:jc w:val="center"/>
            </w:pPr>
            <w:r w:rsidRPr="00677E20">
              <w:t>1</w:t>
            </w:r>
            <w:r>
              <w:t>40</w:t>
            </w:r>
            <w:r w:rsidRPr="00677E20">
              <w:t>-1</w:t>
            </w:r>
            <w:r>
              <w:t>44</w:t>
            </w:r>
          </w:p>
        </w:tc>
        <w:tc>
          <w:tcPr>
            <w:tcW w:w="731" w:type="dxa"/>
          </w:tcPr>
          <w:p w14:paraId="18AB3835" w14:textId="78D91B79" w:rsidR="007A47A2" w:rsidRPr="004859C8" w:rsidRDefault="007A47A2" w:rsidP="007A47A2">
            <w:pPr>
              <w:pStyle w:val="TMGTableText"/>
              <w:jc w:val="center"/>
            </w:pPr>
            <w:r w:rsidRPr="0051590D">
              <w:rPr>
                <w:rFonts w:eastAsiaTheme="minorEastAsia"/>
              </w:rPr>
              <w:t>5</w:t>
            </w:r>
          </w:p>
        </w:tc>
        <w:tc>
          <w:tcPr>
            <w:tcW w:w="4680" w:type="dxa"/>
          </w:tcPr>
          <w:p w14:paraId="7B9804BE" w14:textId="0B707671" w:rsidR="007A47A2" w:rsidRPr="004859C8" w:rsidRDefault="007A47A2" w:rsidP="007A47A2">
            <w:pPr>
              <w:pStyle w:val="TMGTableText"/>
            </w:pPr>
            <w:r w:rsidRPr="0051590D">
              <w:rPr>
                <w:rFonts w:eastAsiaTheme="minorEastAsia"/>
              </w:rPr>
              <w:t xml:space="preserve">Traffic Volume Counted, after 23:00 – to </w:t>
            </w:r>
            <w:r>
              <w:rPr>
                <w:rFonts w:eastAsiaTheme="minorEastAsia"/>
              </w:rPr>
              <w:t>24</w:t>
            </w:r>
            <w:r w:rsidRPr="0051590D">
              <w:rPr>
                <w:rFonts w:eastAsiaTheme="minorEastAsia"/>
              </w:rPr>
              <w:t>:00</w:t>
            </w:r>
            <w:r>
              <w:rPr>
                <w:rFonts w:eastAsiaTheme="minorEastAsia"/>
              </w:rPr>
              <w:t xml:space="preserve"> (BIN24)</w:t>
            </w:r>
          </w:p>
        </w:tc>
        <w:tc>
          <w:tcPr>
            <w:tcW w:w="852" w:type="dxa"/>
          </w:tcPr>
          <w:p w14:paraId="11FAF5C5" w14:textId="334E17AB" w:rsidR="007A47A2" w:rsidRPr="004859C8" w:rsidRDefault="007A47A2" w:rsidP="007A47A2">
            <w:pPr>
              <w:pStyle w:val="TMGTableText"/>
              <w:jc w:val="center"/>
            </w:pPr>
            <w:r>
              <w:rPr>
                <w:rFonts w:eastAsiaTheme="minorEastAsia"/>
              </w:rPr>
              <w:t>Integer</w:t>
            </w:r>
          </w:p>
        </w:tc>
        <w:tc>
          <w:tcPr>
            <w:tcW w:w="1133" w:type="dxa"/>
          </w:tcPr>
          <w:p w14:paraId="7BC892EC" w14:textId="55EECF31" w:rsidR="007A47A2" w:rsidRPr="00C251E9" w:rsidRDefault="007A47A2" w:rsidP="007A47A2">
            <w:pPr>
              <w:pStyle w:val="TMGTableText"/>
              <w:jc w:val="center"/>
            </w:pPr>
            <w:r w:rsidRPr="0051590D">
              <w:rPr>
                <w:rFonts w:eastAsiaTheme="minorEastAsia"/>
              </w:rPr>
              <w:t>O</w:t>
            </w:r>
            <w:r>
              <w:rPr>
                <w:rFonts w:eastAsiaTheme="minorEastAsia"/>
              </w:rPr>
              <w:t>ptional</w:t>
            </w:r>
          </w:p>
        </w:tc>
      </w:tr>
    </w:tbl>
    <w:p w14:paraId="0F74DE75" w14:textId="149257CA" w:rsidR="009B7AED" w:rsidRDefault="009B7AED" w:rsidP="00BF0036">
      <w:pPr>
        <w:pStyle w:val="BodyText"/>
        <w:spacing w:before="360"/>
        <w:rPr>
          <w:b/>
          <w:bCs/>
          <w:smallCaps/>
        </w:rPr>
      </w:pPr>
      <w:r>
        <w:t xml:space="preserve">An example Traffic Volume record is shown in </w:t>
      </w:r>
      <w:r w:rsidR="00464453">
        <w:fldChar w:fldCharType="begin"/>
      </w:r>
      <w:r w:rsidR="00464453">
        <w:instrText xml:space="preserve"> REF _Ref113268460  \* MERGEFORMAT </w:instrText>
      </w:r>
      <w:r w:rsidR="00464453">
        <w:fldChar w:fldCharType="separate"/>
      </w:r>
      <w:r w:rsidR="00C07DF9">
        <w:t xml:space="preserve">Table </w:t>
      </w:r>
      <w:r w:rsidR="00C07DF9">
        <w:rPr>
          <w:noProof/>
        </w:rPr>
        <w:t>4</w:t>
      </w:r>
      <w:r w:rsidR="00C07DF9">
        <w:rPr>
          <w:noProof/>
        </w:rPr>
        <w:noBreakHyphen/>
        <w:t>11</w:t>
      </w:r>
      <w:r w:rsidR="00464453">
        <w:rPr>
          <w:noProof/>
        </w:rPr>
        <w:fldChar w:fldCharType="end"/>
      </w:r>
      <w:r>
        <w:t>.</w:t>
      </w:r>
    </w:p>
    <w:p w14:paraId="7CE33F82" w14:textId="18D66954" w:rsidR="009B7AED" w:rsidRDefault="009B7AED" w:rsidP="000F2A7A">
      <w:pPr>
        <w:pStyle w:val="TMGTableCaption"/>
      </w:pPr>
      <w:bookmarkStart w:id="2911" w:name="_Ref113268460"/>
      <w:bookmarkStart w:id="2912" w:name="_Toc113282516"/>
      <w:bookmarkStart w:id="2913" w:name="_Toc114474853"/>
      <w:bookmarkStart w:id="2914" w:name="_Toc120631159"/>
      <w:r>
        <w:t xml:space="preserve">Table </w:t>
      </w:r>
      <w:fldSimple w:instr=" STYLEREF 1 \s ">
        <w:r w:rsidR="00C07DF9">
          <w:rPr>
            <w:noProof/>
          </w:rPr>
          <w:t>4</w:t>
        </w:r>
      </w:fldSimple>
      <w:r>
        <w:noBreakHyphen/>
      </w:r>
      <w:fldSimple w:instr=" SEQ Table \* ARABIC \s 1 ">
        <w:r w:rsidR="00C07DF9">
          <w:rPr>
            <w:noProof/>
          </w:rPr>
          <w:t>11</w:t>
        </w:r>
      </w:fldSimple>
      <w:bookmarkEnd w:id="2911"/>
      <w:r w:rsidR="00627DD7">
        <w:t>.</w:t>
      </w:r>
      <w:r>
        <w:t xml:space="preserve"> </w:t>
      </w:r>
      <w:r w:rsidRPr="002D7E04">
        <w:t>Traffic Volume Record Example</w:t>
      </w:r>
      <w:r w:rsidR="00627DD7">
        <w:br/>
      </w:r>
      <w:r>
        <w:t>(</w:t>
      </w:r>
      <w:r w:rsidRPr="002D7E04">
        <w:t>60-</w:t>
      </w:r>
      <w:r>
        <w:t>m</w:t>
      </w:r>
      <w:r w:rsidRPr="002D7E04">
        <w:t xml:space="preserve">inute </w:t>
      </w:r>
      <w:r w:rsidR="006428F4">
        <w:t>T</w:t>
      </w:r>
      <w:r>
        <w:t xml:space="preserve">ime </w:t>
      </w:r>
      <w:r w:rsidR="006428F4">
        <w:t>I</w:t>
      </w:r>
      <w:r>
        <w:t>nterval –</w:t>
      </w:r>
      <w:r w:rsidR="00627DD7">
        <w:t xml:space="preserve"> </w:t>
      </w:r>
      <w:r>
        <w:t xml:space="preserve">4 </w:t>
      </w:r>
      <w:r w:rsidR="006428F4">
        <w:t>L</w:t>
      </w:r>
      <w:r>
        <w:t xml:space="preserve">anes with </w:t>
      </w:r>
      <w:r w:rsidR="006428F4">
        <w:t>A</w:t>
      </w:r>
      <w:r>
        <w:t xml:space="preserve">ll </w:t>
      </w:r>
      <w:r w:rsidR="006428F4">
        <w:t>L</w:t>
      </w:r>
      <w:r>
        <w:t xml:space="preserve">anes and </w:t>
      </w:r>
      <w:r w:rsidR="006428F4">
        <w:t>D</w:t>
      </w:r>
      <w:r>
        <w:t xml:space="preserve">irections </w:t>
      </w:r>
      <w:r w:rsidR="006428F4">
        <w:t>C</w:t>
      </w:r>
      <w:r>
        <w:t>ombined)</w:t>
      </w:r>
      <w:bookmarkEnd w:id="2912"/>
      <w:bookmarkEnd w:id="2913"/>
      <w:bookmarkEnd w:id="2914"/>
    </w:p>
    <w:tbl>
      <w:tblPr>
        <w:tblStyle w:val="TMGTable"/>
        <w:tblW w:w="935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890"/>
        <w:gridCol w:w="360"/>
        <w:gridCol w:w="540"/>
        <w:gridCol w:w="540"/>
        <w:gridCol w:w="900"/>
        <w:gridCol w:w="360"/>
        <w:gridCol w:w="450"/>
        <w:gridCol w:w="630"/>
        <w:gridCol w:w="732"/>
        <w:gridCol w:w="618"/>
        <w:gridCol w:w="360"/>
        <w:gridCol w:w="450"/>
        <w:gridCol w:w="630"/>
        <w:gridCol w:w="630"/>
        <w:gridCol w:w="630"/>
        <w:gridCol w:w="630"/>
      </w:tblGrid>
      <w:tr w:rsidR="005148CB" w:rsidRPr="0060053A" w14:paraId="77488BA5" w14:textId="77777777" w:rsidTr="007C54FC">
        <w:trPr>
          <w:cnfStyle w:val="100000000000" w:firstRow="1" w:lastRow="0" w:firstColumn="0" w:lastColumn="0" w:oddVBand="0" w:evenVBand="0" w:oddHBand="0" w:evenHBand="0" w:firstRowFirstColumn="0" w:firstRowLastColumn="0" w:lastRowFirstColumn="0" w:lastRowLastColumn="0"/>
          <w:trHeight w:val="60"/>
        </w:trPr>
        <w:tc>
          <w:tcPr>
            <w:tcW w:w="890" w:type="dxa"/>
          </w:tcPr>
          <w:p w14:paraId="35086A91" w14:textId="77777777" w:rsidR="009B7AED" w:rsidRPr="0060053A" w:rsidRDefault="009B7AED" w:rsidP="005148CB">
            <w:pPr>
              <w:pStyle w:val="TableTextDense"/>
              <w:spacing w:before="20" w:after="20" w:line="240" w:lineRule="auto"/>
              <w:contextualSpacing w:val="0"/>
              <w:rPr>
                <w:rFonts w:ascii="Calibri" w:hAnsi="Calibri" w:cs="Calibri"/>
                <w:b w:val="0"/>
                <w:bCs w:val="0"/>
                <w:sz w:val="20"/>
                <w:szCs w:val="20"/>
              </w:rPr>
            </w:pPr>
            <w:r w:rsidRPr="0060053A">
              <w:rPr>
                <w:rStyle w:val="Bold"/>
                <w:rFonts w:ascii="Calibri" w:hAnsi="Calibri" w:cs="Calibri"/>
                <w:sz w:val="20"/>
                <w:szCs w:val="20"/>
              </w:rPr>
              <w:t>Column Number:</w:t>
            </w:r>
          </w:p>
        </w:tc>
        <w:tc>
          <w:tcPr>
            <w:tcW w:w="360" w:type="dxa"/>
          </w:tcPr>
          <w:p w14:paraId="1EED1EC2" w14:textId="77777777" w:rsidR="009B7AED" w:rsidRPr="0060053A" w:rsidRDefault="009B7AED" w:rsidP="005148CB">
            <w:pPr>
              <w:pStyle w:val="TableTextDense"/>
              <w:spacing w:before="20" w:after="20" w:line="240" w:lineRule="auto"/>
              <w:contextualSpacing w:val="0"/>
              <w:jc w:val="center"/>
              <w:rPr>
                <w:rFonts w:ascii="Calibri" w:hAnsi="Calibri" w:cs="Calibri"/>
                <w:b w:val="0"/>
                <w:bCs w:val="0"/>
                <w:sz w:val="20"/>
                <w:szCs w:val="20"/>
              </w:rPr>
            </w:pPr>
            <w:r w:rsidRPr="0060053A">
              <w:rPr>
                <w:rStyle w:val="Bold"/>
                <w:rFonts w:ascii="Calibri" w:hAnsi="Calibri" w:cs="Calibri"/>
                <w:sz w:val="20"/>
                <w:szCs w:val="20"/>
              </w:rPr>
              <w:t>1</w:t>
            </w:r>
          </w:p>
        </w:tc>
        <w:tc>
          <w:tcPr>
            <w:tcW w:w="540" w:type="dxa"/>
          </w:tcPr>
          <w:p w14:paraId="09C1C967" w14:textId="77777777" w:rsidR="009B7AED" w:rsidRPr="0060053A" w:rsidRDefault="009B7AED" w:rsidP="005148CB">
            <w:pPr>
              <w:pStyle w:val="TableTextDense"/>
              <w:spacing w:before="20" w:after="20" w:line="240" w:lineRule="auto"/>
              <w:contextualSpacing w:val="0"/>
              <w:jc w:val="center"/>
              <w:rPr>
                <w:rFonts w:ascii="Calibri" w:hAnsi="Calibri" w:cs="Calibri"/>
                <w:b w:val="0"/>
                <w:bCs w:val="0"/>
                <w:sz w:val="20"/>
                <w:szCs w:val="20"/>
              </w:rPr>
            </w:pPr>
            <w:r w:rsidRPr="0060053A">
              <w:rPr>
                <w:rStyle w:val="Bold"/>
                <w:rFonts w:ascii="Calibri" w:hAnsi="Calibri" w:cs="Calibri"/>
                <w:sz w:val="20"/>
                <w:szCs w:val="20"/>
              </w:rPr>
              <w:t>2-3</w:t>
            </w:r>
          </w:p>
        </w:tc>
        <w:tc>
          <w:tcPr>
            <w:tcW w:w="540" w:type="dxa"/>
          </w:tcPr>
          <w:p w14:paraId="6A582E7C" w14:textId="77777777" w:rsidR="009B7AED" w:rsidRPr="0060053A" w:rsidRDefault="009B7AED" w:rsidP="005148CB">
            <w:pPr>
              <w:pStyle w:val="TableTextDense"/>
              <w:spacing w:before="20" w:after="20" w:line="240" w:lineRule="auto"/>
              <w:contextualSpacing w:val="0"/>
              <w:jc w:val="center"/>
              <w:rPr>
                <w:rFonts w:ascii="Calibri" w:hAnsi="Calibri" w:cs="Calibri"/>
                <w:b w:val="0"/>
                <w:bCs w:val="0"/>
                <w:sz w:val="20"/>
                <w:szCs w:val="20"/>
              </w:rPr>
            </w:pPr>
            <w:r w:rsidRPr="0060053A">
              <w:rPr>
                <w:rStyle w:val="Bold"/>
                <w:rFonts w:ascii="Calibri" w:hAnsi="Calibri" w:cs="Calibri"/>
                <w:sz w:val="20"/>
                <w:szCs w:val="20"/>
              </w:rPr>
              <w:t>4-5</w:t>
            </w:r>
          </w:p>
        </w:tc>
        <w:tc>
          <w:tcPr>
            <w:tcW w:w="900" w:type="dxa"/>
          </w:tcPr>
          <w:p w14:paraId="53FC427B" w14:textId="77777777" w:rsidR="009B7AED" w:rsidRPr="0060053A" w:rsidRDefault="009B7AED" w:rsidP="005148CB">
            <w:pPr>
              <w:pStyle w:val="TableTextDense"/>
              <w:spacing w:before="20" w:after="20" w:line="240" w:lineRule="auto"/>
              <w:contextualSpacing w:val="0"/>
              <w:jc w:val="center"/>
              <w:rPr>
                <w:rFonts w:ascii="Calibri" w:hAnsi="Calibri" w:cs="Calibri"/>
                <w:b w:val="0"/>
                <w:bCs w:val="0"/>
                <w:sz w:val="20"/>
                <w:szCs w:val="20"/>
              </w:rPr>
            </w:pPr>
            <w:r w:rsidRPr="0060053A">
              <w:rPr>
                <w:rStyle w:val="Bold"/>
                <w:rFonts w:ascii="Calibri" w:hAnsi="Calibri" w:cs="Calibri"/>
                <w:sz w:val="20"/>
                <w:szCs w:val="20"/>
              </w:rPr>
              <w:t>6-11</w:t>
            </w:r>
          </w:p>
        </w:tc>
        <w:tc>
          <w:tcPr>
            <w:tcW w:w="360" w:type="dxa"/>
          </w:tcPr>
          <w:p w14:paraId="0F8F570E" w14:textId="77777777" w:rsidR="009B7AED" w:rsidRPr="0060053A" w:rsidRDefault="009B7AED" w:rsidP="005148CB">
            <w:pPr>
              <w:pStyle w:val="TableTextDense"/>
              <w:spacing w:before="20" w:after="20" w:line="240" w:lineRule="auto"/>
              <w:contextualSpacing w:val="0"/>
              <w:jc w:val="center"/>
              <w:rPr>
                <w:rFonts w:ascii="Calibri" w:hAnsi="Calibri" w:cs="Calibri"/>
                <w:b w:val="0"/>
                <w:bCs w:val="0"/>
                <w:sz w:val="20"/>
                <w:szCs w:val="20"/>
              </w:rPr>
            </w:pPr>
            <w:r w:rsidRPr="0060053A">
              <w:rPr>
                <w:rStyle w:val="Bold"/>
                <w:rFonts w:ascii="Calibri" w:hAnsi="Calibri" w:cs="Calibri"/>
                <w:sz w:val="20"/>
                <w:szCs w:val="20"/>
              </w:rPr>
              <w:t>12</w:t>
            </w:r>
          </w:p>
        </w:tc>
        <w:tc>
          <w:tcPr>
            <w:tcW w:w="450" w:type="dxa"/>
          </w:tcPr>
          <w:p w14:paraId="090B7CEB" w14:textId="77777777" w:rsidR="009B7AED" w:rsidRPr="0060053A" w:rsidRDefault="009B7AED" w:rsidP="005148CB">
            <w:pPr>
              <w:pStyle w:val="TableTextDense"/>
              <w:spacing w:before="20" w:after="20" w:line="240" w:lineRule="auto"/>
              <w:contextualSpacing w:val="0"/>
              <w:jc w:val="center"/>
              <w:rPr>
                <w:rFonts w:ascii="Calibri" w:hAnsi="Calibri" w:cs="Calibri"/>
                <w:b w:val="0"/>
                <w:bCs w:val="0"/>
                <w:sz w:val="20"/>
                <w:szCs w:val="20"/>
              </w:rPr>
            </w:pPr>
            <w:r w:rsidRPr="0060053A">
              <w:rPr>
                <w:rStyle w:val="Bold"/>
                <w:rFonts w:ascii="Calibri" w:hAnsi="Calibri" w:cs="Calibri"/>
                <w:sz w:val="20"/>
                <w:szCs w:val="20"/>
              </w:rPr>
              <w:t>13</w:t>
            </w:r>
          </w:p>
        </w:tc>
        <w:tc>
          <w:tcPr>
            <w:tcW w:w="630" w:type="dxa"/>
          </w:tcPr>
          <w:p w14:paraId="18C40C21" w14:textId="77777777" w:rsidR="009B7AED" w:rsidRPr="0060053A" w:rsidRDefault="009B7AED" w:rsidP="005148CB">
            <w:pPr>
              <w:pStyle w:val="TableTextDense"/>
              <w:spacing w:before="20" w:after="20" w:line="240" w:lineRule="auto"/>
              <w:contextualSpacing w:val="0"/>
              <w:jc w:val="center"/>
              <w:rPr>
                <w:rFonts w:ascii="Calibri" w:hAnsi="Calibri" w:cs="Calibri"/>
                <w:b w:val="0"/>
                <w:bCs w:val="0"/>
                <w:sz w:val="20"/>
                <w:szCs w:val="20"/>
              </w:rPr>
            </w:pPr>
            <w:r w:rsidRPr="0060053A">
              <w:rPr>
                <w:rStyle w:val="Bold"/>
                <w:rFonts w:ascii="Calibri" w:hAnsi="Calibri" w:cs="Calibri"/>
                <w:sz w:val="20"/>
                <w:szCs w:val="20"/>
              </w:rPr>
              <w:t>14-17</w:t>
            </w:r>
          </w:p>
        </w:tc>
        <w:tc>
          <w:tcPr>
            <w:tcW w:w="732" w:type="dxa"/>
          </w:tcPr>
          <w:p w14:paraId="34120FC7" w14:textId="77777777" w:rsidR="009B7AED" w:rsidRPr="0060053A" w:rsidRDefault="009B7AED" w:rsidP="005148CB">
            <w:pPr>
              <w:pStyle w:val="TableTextDense"/>
              <w:spacing w:before="20" w:after="20" w:line="240" w:lineRule="auto"/>
              <w:contextualSpacing w:val="0"/>
              <w:jc w:val="center"/>
              <w:rPr>
                <w:rFonts w:ascii="Calibri" w:hAnsi="Calibri" w:cs="Calibri"/>
                <w:b w:val="0"/>
                <w:bCs w:val="0"/>
                <w:sz w:val="20"/>
                <w:szCs w:val="20"/>
              </w:rPr>
            </w:pPr>
            <w:r w:rsidRPr="0060053A">
              <w:rPr>
                <w:rStyle w:val="Bold"/>
                <w:rFonts w:ascii="Calibri" w:hAnsi="Calibri" w:cs="Calibri"/>
                <w:sz w:val="20"/>
                <w:szCs w:val="20"/>
              </w:rPr>
              <w:t>18-19</w:t>
            </w:r>
          </w:p>
        </w:tc>
        <w:tc>
          <w:tcPr>
            <w:tcW w:w="618" w:type="dxa"/>
          </w:tcPr>
          <w:p w14:paraId="33F40B34" w14:textId="77777777" w:rsidR="009B7AED" w:rsidRPr="0060053A" w:rsidRDefault="009B7AED" w:rsidP="005148CB">
            <w:pPr>
              <w:pStyle w:val="TableTextDense"/>
              <w:spacing w:before="20" w:after="20" w:line="240" w:lineRule="auto"/>
              <w:contextualSpacing w:val="0"/>
              <w:jc w:val="center"/>
              <w:rPr>
                <w:rFonts w:ascii="Calibri" w:hAnsi="Calibri" w:cs="Calibri"/>
                <w:b w:val="0"/>
                <w:bCs w:val="0"/>
                <w:sz w:val="20"/>
                <w:szCs w:val="20"/>
              </w:rPr>
            </w:pPr>
            <w:r w:rsidRPr="0060053A">
              <w:rPr>
                <w:rStyle w:val="Bold"/>
                <w:rFonts w:ascii="Calibri" w:hAnsi="Calibri" w:cs="Calibri"/>
                <w:sz w:val="20"/>
                <w:szCs w:val="20"/>
              </w:rPr>
              <w:t>20-21</w:t>
            </w:r>
          </w:p>
        </w:tc>
        <w:tc>
          <w:tcPr>
            <w:tcW w:w="360" w:type="dxa"/>
          </w:tcPr>
          <w:p w14:paraId="345E8F6D" w14:textId="77777777" w:rsidR="009B7AED" w:rsidRPr="0060053A" w:rsidRDefault="009B7AED" w:rsidP="005148CB">
            <w:pPr>
              <w:pStyle w:val="TableTextDense"/>
              <w:spacing w:before="20" w:after="20" w:line="240" w:lineRule="auto"/>
              <w:contextualSpacing w:val="0"/>
              <w:jc w:val="center"/>
              <w:rPr>
                <w:rFonts w:ascii="Calibri" w:hAnsi="Calibri" w:cs="Calibri"/>
                <w:b w:val="0"/>
                <w:bCs w:val="0"/>
                <w:sz w:val="20"/>
                <w:szCs w:val="20"/>
              </w:rPr>
            </w:pPr>
            <w:r w:rsidRPr="0060053A">
              <w:rPr>
                <w:rStyle w:val="Bold"/>
                <w:rFonts w:ascii="Calibri" w:hAnsi="Calibri" w:cs="Calibri"/>
                <w:sz w:val="20"/>
                <w:szCs w:val="20"/>
              </w:rPr>
              <w:t>22</w:t>
            </w:r>
          </w:p>
        </w:tc>
        <w:tc>
          <w:tcPr>
            <w:tcW w:w="450" w:type="dxa"/>
          </w:tcPr>
          <w:p w14:paraId="2AB111A8" w14:textId="77777777" w:rsidR="009B7AED" w:rsidRPr="0060053A" w:rsidRDefault="009B7AED" w:rsidP="005148CB">
            <w:pPr>
              <w:pStyle w:val="TableTextDense"/>
              <w:spacing w:before="20" w:after="20" w:line="240" w:lineRule="auto"/>
              <w:contextualSpacing w:val="0"/>
              <w:jc w:val="center"/>
              <w:rPr>
                <w:rStyle w:val="Bold"/>
                <w:rFonts w:ascii="Calibri" w:hAnsi="Calibri" w:cs="Calibri"/>
                <w:b w:val="0"/>
                <w:bCs w:val="0"/>
                <w:sz w:val="20"/>
                <w:szCs w:val="20"/>
              </w:rPr>
            </w:pPr>
            <w:r w:rsidRPr="0060053A">
              <w:rPr>
                <w:rStyle w:val="Bold"/>
                <w:rFonts w:ascii="Calibri" w:hAnsi="Calibri" w:cs="Calibri"/>
                <w:sz w:val="20"/>
                <w:szCs w:val="20"/>
              </w:rPr>
              <w:t>23</w:t>
            </w:r>
          </w:p>
        </w:tc>
        <w:tc>
          <w:tcPr>
            <w:tcW w:w="630" w:type="dxa"/>
          </w:tcPr>
          <w:p w14:paraId="65FF1154" w14:textId="77777777" w:rsidR="009B7AED" w:rsidRPr="0060053A" w:rsidRDefault="009B7AED" w:rsidP="005148CB">
            <w:pPr>
              <w:pStyle w:val="TableTextDense"/>
              <w:spacing w:before="20" w:after="20" w:line="240" w:lineRule="auto"/>
              <w:contextualSpacing w:val="0"/>
              <w:jc w:val="center"/>
              <w:rPr>
                <w:rStyle w:val="Bold"/>
                <w:rFonts w:ascii="Calibri" w:hAnsi="Calibri" w:cs="Calibri"/>
                <w:b w:val="0"/>
                <w:bCs w:val="0"/>
                <w:sz w:val="20"/>
                <w:szCs w:val="20"/>
              </w:rPr>
            </w:pPr>
            <w:r w:rsidRPr="0060053A">
              <w:rPr>
                <w:rStyle w:val="Bold"/>
                <w:rFonts w:ascii="Calibri" w:hAnsi="Calibri" w:cs="Calibri"/>
                <w:sz w:val="20"/>
                <w:szCs w:val="20"/>
              </w:rPr>
              <w:t>24</w:t>
            </w:r>
          </w:p>
        </w:tc>
        <w:tc>
          <w:tcPr>
            <w:tcW w:w="630" w:type="dxa"/>
          </w:tcPr>
          <w:p w14:paraId="05489F4F" w14:textId="77777777" w:rsidR="009B7AED" w:rsidRPr="0060053A" w:rsidRDefault="009B7AED" w:rsidP="005148CB">
            <w:pPr>
              <w:pStyle w:val="TableTextDense"/>
              <w:spacing w:before="20" w:after="20" w:line="240" w:lineRule="auto"/>
              <w:contextualSpacing w:val="0"/>
              <w:jc w:val="center"/>
              <w:rPr>
                <w:rFonts w:ascii="Calibri" w:hAnsi="Calibri" w:cs="Calibri"/>
                <w:b w:val="0"/>
                <w:bCs w:val="0"/>
                <w:sz w:val="20"/>
                <w:szCs w:val="20"/>
              </w:rPr>
            </w:pPr>
            <w:r w:rsidRPr="0060053A">
              <w:rPr>
                <w:rStyle w:val="Bold"/>
                <w:rFonts w:ascii="Calibri" w:hAnsi="Calibri" w:cs="Calibri"/>
                <w:sz w:val="20"/>
                <w:szCs w:val="20"/>
              </w:rPr>
              <w:t>25-29</w:t>
            </w:r>
          </w:p>
        </w:tc>
        <w:tc>
          <w:tcPr>
            <w:tcW w:w="630" w:type="dxa"/>
          </w:tcPr>
          <w:p w14:paraId="4E143A5E" w14:textId="77777777" w:rsidR="009B7AED" w:rsidRPr="0060053A" w:rsidRDefault="009B7AED" w:rsidP="005148CB">
            <w:pPr>
              <w:pStyle w:val="TableTextDense"/>
              <w:spacing w:before="20" w:after="20" w:line="240" w:lineRule="auto"/>
              <w:contextualSpacing w:val="0"/>
              <w:jc w:val="center"/>
              <w:rPr>
                <w:rFonts w:ascii="Calibri" w:hAnsi="Calibri" w:cs="Calibri"/>
                <w:b w:val="0"/>
                <w:bCs w:val="0"/>
                <w:sz w:val="20"/>
                <w:szCs w:val="20"/>
              </w:rPr>
            </w:pPr>
            <w:r w:rsidRPr="0060053A">
              <w:rPr>
                <w:rStyle w:val="Bold"/>
                <w:rFonts w:ascii="Calibri" w:hAnsi="Calibri" w:cs="Calibri"/>
                <w:sz w:val="20"/>
                <w:szCs w:val="20"/>
              </w:rPr>
              <w:t>30-34</w:t>
            </w:r>
          </w:p>
        </w:tc>
        <w:tc>
          <w:tcPr>
            <w:tcW w:w="630" w:type="dxa"/>
          </w:tcPr>
          <w:p w14:paraId="7910097A" w14:textId="77777777" w:rsidR="009B7AED" w:rsidRPr="0060053A" w:rsidRDefault="009B7AED" w:rsidP="005148CB">
            <w:pPr>
              <w:pStyle w:val="TableTextDense"/>
              <w:spacing w:before="20" w:after="20" w:line="240" w:lineRule="auto"/>
              <w:contextualSpacing w:val="0"/>
              <w:jc w:val="center"/>
              <w:rPr>
                <w:rFonts w:ascii="Calibri" w:hAnsi="Calibri" w:cs="Calibri"/>
                <w:b w:val="0"/>
                <w:bCs w:val="0"/>
                <w:sz w:val="20"/>
                <w:szCs w:val="20"/>
              </w:rPr>
            </w:pPr>
            <w:r w:rsidRPr="0060053A">
              <w:rPr>
                <w:rStyle w:val="Bold"/>
                <w:rFonts w:ascii="Calibri" w:hAnsi="Calibri" w:cs="Calibri"/>
                <w:sz w:val="20"/>
                <w:szCs w:val="20"/>
              </w:rPr>
              <w:t>35-39</w:t>
            </w:r>
          </w:p>
        </w:tc>
      </w:tr>
      <w:tr w:rsidR="005148CB" w:rsidRPr="0060053A" w14:paraId="6EA90688" w14:textId="77777777" w:rsidTr="007C54FC">
        <w:trPr>
          <w:trHeight w:val="60"/>
        </w:trPr>
        <w:tc>
          <w:tcPr>
            <w:tcW w:w="890" w:type="dxa"/>
          </w:tcPr>
          <w:p w14:paraId="352242BC" w14:textId="77777777" w:rsidR="009B7AED" w:rsidRPr="0060053A" w:rsidRDefault="009B7AED" w:rsidP="005148CB">
            <w:pPr>
              <w:pStyle w:val="TableTextDense"/>
              <w:spacing w:before="20" w:after="20" w:line="240" w:lineRule="auto"/>
              <w:contextualSpacing w:val="0"/>
              <w:rPr>
                <w:rFonts w:ascii="Calibri" w:hAnsi="Calibri" w:cs="Calibri"/>
                <w:sz w:val="20"/>
                <w:szCs w:val="20"/>
              </w:rPr>
            </w:pPr>
            <w:r w:rsidRPr="0060053A">
              <w:rPr>
                <w:rStyle w:val="Bold"/>
                <w:rFonts w:ascii="Calibri" w:hAnsi="Calibri" w:cs="Calibri"/>
                <w:sz w:val="20"/>
                <w:szCs w:val="20"/>
              </w:rPr>
              <w:t>Content Example:</w:t>
            </w:r>
          </w:p>
        </w:tc>
        <w:tc>
          <w:tcPr>
            <w:tcW w:w="360" w:type="dxa"/>
          </w:tcPr>
          <w:p w14:paraId="7E6701A2" w14:textId="77777777" w:rsidR="009B7AED" w:rsidRPr="0060053A" w:rsidRDefault="009B7AED" w:rsidP="005148CB">
            <w:pPr>
              <w:pStyle w:val="TableTextDense"/>
              <w:spacing w:before="20" w:after="20" w:line="240" w:lineRule="auto"/>
              <w:contextualSpacing w:val="0"/>
              <w:jc w:val="center"/>
              <w:rPr>
                <w:rFonts w:ascii="Calibri" w:hAnsi="Calibri" w:cs="Calibri"/>
                <w:sz w:val="20"/>
                <w:szCs w:val="20"/>
              </w:rPr>
            </w:pPr>
            <w:r w:rsidRPr="0060053A">
              <w:rPr>
                <w:rFonts w:ascii="Calibri" w:hAnsi="Calibri" w:cs="Calibri"/>
                <w:sz w:val="20"/>
                <w:szCs w:val="20"/>
              </w:rPr>
              <w:t>3</w:t>
            </w:r>
          </w:p>
        </w:tc>
        <w:tc>
          <w:tcPr>
            <w:tcW w:w="540" w:type="dxa"/>
          </w:tcPr>
          <w:p w14:paraId="50B68DCD" w14:textId="77777777" w:rsidR="009B7AED" w:rsidRPr="0060053A" w:rsidRDefault="009B7AED" w:rsidP="005148CB">
            <w:pPr>
              <w:pStyle w:val="TableTextDense"/>
              <w:spacing w:before="20" w:after="20" w:line="240" w:lineRule="auto"/>
              <w:contextualSpacing w:val="0"/>
              <w:jc w:val="center"/>
              <w:rPr>
                <w:rFonts w:ascii="Calibri" w:hAnsi="Calibri" w:cs="Calibri"/>
                <w:sz w:val="20"/>
                <w:szCs w:val="20"/>
              </w:rPr>
            </w:pPr>
            <w:r w:rsidRPr="0060053A">
              <w:rPr>
                <w:rFonts w:ascii="Calibri" w:hAnsi="Calibri" w:cs="Calibri"/>
                <w:sz w:val="20"/>
                <w:szCs w:val="20"/>
              </w:rPr>
              <w:t>17</w:t>
            </w:r>
          </w:p>
        </w:tc>
        <w:tc>
          <w:tcPr>
            <w:tcW w:w="540" w:type="dxa"/>
          </w:tcPr>
          <w:p w14:paraId="066AC552" w14:textId="77777777" w:rsidR="009B7AED" w:rsidRPr="0060053A" w:rsidRDefault="009B7AED" w:rsidP="005148CB">
            <w:pPr>
              <w:pStyle w:val="TableTextDense"/>
              <w:spacing w:before="20" w:after="20" w:line="240" w:lineRule="auto"/>
              <w:contextualSpacing w:val="0"/>
              <w:jc w:val="center"/>
              <w:rPr>
                <w:rFonts w:ascii="Calibri" w:hAnsi="Calibri" w:cs="Calibri"/>
                <w:sz w:val="20"/>
                <w:szCs w:val="20"/>
              </w:rPr>
            </w:pPr>
            <w:r w:rsidRPr="0060053A">
              <w:rPr>
                <w:rFonts w:ascii="Calibri" w:hAnsi="Calibri" w:cs="Calibri"/>
                <w:sz w:val="20"/>
                <w:szCs w:val="20"/>
              </w:rPr>
              <w:t>2R</w:t>
            </w:r>
          </w:p>
        </w:tc>
        <w:tc>
          <w:tcPr>
            <w:tcW w:w="900" w:type="dxa"/>
          </w:tcPr>
          <w:p w14:paraId="49209815" w14:textId="77777777" w:rsidR="009B7AED" w:rsidRPr="0060053A" w:rsidRDefault="009B7AED" w:rsidP="005148CB">
            <w:pPr>
              <w:pStyle w:val="TableTextDense"/>
              <w:spacing w:before="20" w:after="20" w:line="240" w:lineRule="auto"/>
              <w:contextualSpacing w:val="0"/>
              <w:jc w:val="center"/>
              <w:rPr>
                <w:rFonts w:ascii="Calibri" w:hAnsi="Calibri" w:cs="Calibri"/>
                <w:sz w:val="20"/>
                <w:szCs w:val="20"/>
              </w:rPr>
            </w:pPr>
            <w:r w:rsidRPr="0060053A">
              <w:rPr>
                <w:rFonts w:ascii="Calibri" w:hAnsi="Calibri" w:cs="Calibri"/>
                <w:sz w:val="20"/>
                <w:szCs w:val="20"/>
              </w:rPr>
              <w:t>01710A</w:t>
            </w:r>
          </w:p>
        </w:tc>
        <w:tc>
          <w:tcPr>
            <w:tcW w:w="360" w:type="dxa"/>
          </w:tcPr>
          <w:p w14:paraId="02772770" w14:textId="77777777" w:rsidR="009B7AED" w:rsidRPr="0060053A" w:rsidRDefault="009B7AED" w:rsidP="005148CB">
            <w:pPr>
              <w:pStyle w:val="TableTextDense"/>
              <w:spacing w:before="20" w:after="20" w:line="240" w:lineRule="auto"/>
              <w:contextualSpacing w:val="0"/>
              <w:jc w:val="center"/>
              <w:rPr>
                <w:rFonts w:ascii="Calibri" w:hAnsi="Calibri" w:cs="Calibri"/>
                <w:sz w:val="20"/>
                <w:szCs w:val="20"/>
              </w:rPr>
            </w:pPr>
            <w:r w:rsidRPr="0060053A">
              <w:rPr>
                <w:rFonts w:ascii="Calibri" w:hAnsi="Calibri" w:cs="Calibri"/>
                <w:sz w:val="20"/>
                <w:szCs w:val="20"/>
              </w:rPr>
              <w:t>9</w:t>
            </w:r>
          </w:p>
        </w:tc>
        <w:tc>
          <w:tcPr>
            <w:tcW w:w="450" w:type="dxa"/>
          </w:tcPr>
          <w:p w14:paraId="3030A3F1" w14:textId="77777777" w:rsidR="009B7AED" w:rsidRPr="0060053A" w:rsidRDefault="009B7AED" w:rsidP="005148CB">
            <w:pPr>
              <w:pStyle w:val="TableTextDense"/>
              <w:spacing w:before="20" w:after="20" w:line="240" w:lineRule="auto"/>
              <w:contextualSpacing w:val="0"/>
              <w:jc w:val="center"/>
              <w:rPr>
                <w:rFonts w:ascii="Calibri" w:hAnsi="Calibri" w:cs="Calibri"/>
                <w:sz w:val="20"/>
                <w:szCs w:val="20"/>
              </w:rPr>
            </w:pPr>
            <w:r w:rsidRPr="0060053A">
              <w:rPr>
                <w:rFonts w:ascii="Calibri" w:hAnsi="Calibri" w:cs="Calibri"/>
                <w:sz w:val="20"/>
                <w:szCs w:val="20"/>
              </w:rPr>
              <w:t>0</w:t>
            </w:r>
          </w:p>
        </w:tc>
        <w:tc>
          <w:tcPr>
            <w:tcW w:w="630" w:type="dxa"/>
          </w:tcPr>
          <w:p w14:paraId="550E2D7E" w14:textId="77777777" w:rsidR="009B7AED" w:rsidRPr="0060053A" w:rsidRDefault="009B7AED" w:rsidP="005148CB">
            <w:pPr>
              <w:pStyle w:val="TableTextDense"/>
              <w:spacing w:before="20" w:after="20" w:line="240" w:lineRule="auto"/>
              <w:contextualSpacing w:val="0"/>
              <w:jc w:val="center"/>
              <w:rPr>
                <w:rFonts w:ascii="Calibri" w:hAnsi="Calibri" w:cs="Calibri"/>
                <w:sz w:val="20"/>
                <w:szCs w:val="20"/>
              </w:rPr>
            </w:pPr>
            <w:r w:rsidRPr="0060053A">
              <w:rPr>
                <w:rFonts w:ascii="Calibri" w:hAnsi="Calibri" w:cs="Calibri"/>
                <w:sz w:val="20"/>
                <w:szCs w:val="20"/>
              </w:rPr>
              <w:t>2012</w:t>
            </w:r>
          </w:p>
        </w:tc>
        <w:tc>
          <w:tcPr>
            <w:tcW w:w="732" w:type="dxa"/>
          </w:tcPr>
          <w:p w14:paraId="1BF41C8F" w14:textId="77777777" w:rsidR="009B7AED" w:rsidRPr="0060053A" w:rsidRDefault="009B7AED" w:rsidP="005148CB">
            <w:pPr>
              <w:pStyle w:val="TableTextDense"/>
              <w:spacing w:before="20" w:after="20" w:line="240" w:lineRule="auto"/>
              <w:contextualSpacing w:val="0"/>
              <w:jc w:val="center"/>
              <w:rPr>
                <w:rFonts w:ascii="Calibri" w:hAnsi="Calibri" w:cs="Calibri"/>
                <w:sz w:val="20"/>
                <w:szCs w:val="20"/>
              </w:rPr>
            </w:pPr>
            <w:r w:rsidRPr="0060053A">
              <w:rPr>
                <w:rFonts w:ascii="Calibri" w:hAnsi="Calibri" w:cs="Calibri"/>
                <w:sz w:val="20"/>
                <w:szCs w:val="20"/>
              </w:rPr>
              <w:t>04</w:t>
            </w:r>
          </w:p>
        </w:tc>
        <w:tc>
          <w:tcPr>
            <w:tcW w:w="618" w:type="dxa"/>
          </w:tcPr>
          <w:p w14:paraId="7EF84EFF" w14:textId="77777777" w:rsidR="009B7AED" w:rsidRPr="0060053A" w:rsidRDefault="009B7AED" w:rsidP="005148CB">
            <w:pPr>
              <w:pStyle w:val="TableTextDense"/>
              <w:spacing w:before="20" w:after="20" w:line="240" w:lineRule="auto"/>
              <w:contextualSpacing w:val="0"/>
              <w:jc w:val="center"/>
              <w:rPr>
                <w:rFonts w:ascii="Calibri" w:hAnsi="Calibri" w:cs="Calibri"/>
                <w:sz w:val="20"/>
                <w:szCs w:val="20"/>
              </w:rPr>
            </w:pPr>
            <w:r w:rsidRPr="0060053A">
              <w:rPr>
                <w:rFonts w:ascii="Calibri" w:hAnsi="Calibri" w:cs="Calibri"/>
                <w:sz w:val="20"/>
                <w:szCs w:val="20"/>
              </w:rPr>
              <w:t>25</w:t>
            </w:r>
          </w:p>
        </w:tc>
        <w:tc>
          <w:tcPr>
            <w:tcW w:w="360" w:type="dxa"/>
          </w:tcPr>
          <w:p w14:paraId="16FB7D8E" w14:textId="77777777" w:rsidR="009B7AED" w:rsidRPr="0060053A" w:rsidRDefault="009B7AED" w:rsidP="005148CB">
            <w:pPr>
              <w:pStyle w:val="TableTextDense"/>
              <w:spacing w:before="20" w:after="20" w:line="240" w:lineRule="auto"/>
              <w:contextualSpacing w:val="0"/>
              <w:jc w:val="center"/>
              <w:rPr>
                <w:rFonts w:ascii="Calibri" w:hAnsi="Calibri" w:cs="Calibri"/>
                <w:sz w:val="20"/>
                <w:szCs w:val="20"/>
              </w:rPr>
            </w:pPr>
            <w:r w:rsidRPr="0060053A">
              <w:rPr>
                <w:rFonts w:ascii="Calibri" w:hAnsi="Calibri" w:cs="Calibri"/>
                <w:sz w:val="20"/>
                <w:szCs w:val="20"/>
              </w:rPr>
              <w:t>4</w:t>
            </w:r>
          </w:p>
        </w:tc>
        <w:tc>
          <w:tcPr>
            <w:tcW w:w="450" w:type="dxa"/>
          </w:tcPr>
          <w:p w14:paraId="490C803C" w14:textId="77777777" w:rsidR="009B7AED" w:rsidRPr="0060053A" w:rsidRDefault="009B7AED" w:rsidP="005148CB">
            <w:pPr>
              <w:pStyle w:val="TableTextDense"/>
              <w:spacing w:before="20" w:after="20" w:line="240" w:lineRule="auto"/>
              <w:contextualSpacing w:val="0"/>
              <w:jc w:val="center"/>
              <w:rPr>
                <w:rFonts w:ascii="Calibri" w:hAnsi="Calibri" w:cs="Calibri"/>
                <w:sz w:val="20"/>
                <w:szCs w:val="20"/>
              </w:rPr>
            </w:pPr>
            <w:r w:rsidRPr="0060053A">
              <w:rPr>
                <w:rStyle w:val="Bold"/>
                <w:rFonts w:ascii="Calibri" w:hAnsi="Calibri" w:cs="Calibri"/>
                <w:sz w:val="20"/>
                <w:szCs w:val="20"/>
              </w:rPr>
              <w:t>0</w:t>
            </w:r>
          </w:p>
        </w:tc>
        <w:tc>
          <w:tcPr>
            <w:tcW w:w="630" w:type="dxa"/>
          </w:tcPr>
          <w:p w14:paraId="7FA05ADB" w14:textId="77777777" w:rsidR="009B7AED" w:rsidRPr="0060053A" w:rsidRDefault="009B7AED" w:rsidP="005148CB">
            <w:pPr>
              <w:pStyle w:val="TableTextDense"/>
              <w:spacing w:before="20" w:after="20" w:line="240" w:lineRule="auto"/>
              <w:contextualSpacing w:val="0"/>
              <w:jc w:val="center"/>
              <w:rPr>
                <w:rFonts w:ascii="Calibri" w:hAnsi="Calibri" w:cs="Calibri"/>
                <w:sz w:val="20"/>
                <w:szCs w:val="20"/>
              </w:rPr>
            </w:pPr>
            <w:r w:rsidRPr="0060053A">
              <w:rPr>
                <w:rFonts w:ascii="Calibri" w:hAnsi="Calibri" w:cs="Calibri"/>
                <w:sz w:val="20"/>
                <w:szCs w:val="20"/>
              </w:rPr>
              <w:t>Blank</w:t>
            </w:r>
          </w:p>
        </w:tc>
        <w:tc>
          <w:tcPr>
            <w:tcW w:w="630" w:type="dxa"/>
          </w:tcPr>
          <w:p w14:paraId="45CA7453" w14:textId="77777777" w:rsidR="009B7AED" w:rsidRPr="0060053A" w:rsidRDefault="009B7AED" w:rsidP="005148CB">
            <w:pPr>
              <w:pStyle w:val="TableTextDense"/>
              <w:spacing w:before="20" w:after="20" w:line="240" w:lineRule="auto"/>
              <w:contextualSpacing w:val="0"/>
              <w:jc w:val="center"/>
              <w:rPr>
                <w:rFonts w:ascii="Calibri" w:hAnsi="Calibri" w:cs="Calibri"/>
                <w:sz w:val="20"/>
                <w:szCs w:val="20"/>
              </w:rPr>
            </w:pPr>
            <w:r w:rsidRPr="0060053A">
              <w:rPr>
                <w:rFonts w:ascii="Calibri" w:hAnsi="Calibri" w:cs="Calibri"/>
                <w:sz w:val="20"/>
                <w:szCs w:val="20"/>
              </w:rPr>
              <w:t>00046</w:t>
            </w:r>
          </w:p>
        </w:tc>
        <w:tc>
          <w:tcPr>
            <w:tcW w:w="630" w:type="dxa"/>
          </w:tcPr>
          <w:p w14:paraId="02DD7C3B" w14:textId="77777777" w:rsidR="009B7AED" w:rsidRPr="0060053A" w:rsidRDefault="009B7AED" w:rsidP="005148CB">
            <w:pPr>
              <w:pStyle w:val="TableTextDense"/>
              <w:spacing w:before="20" w:after="20" w:line="240" w:lineRule="auto"/>
              <w:contextualSpacing w:val="0"/>
              <w:jc w:val="center"/>
              <w:rPr>
                <w:rFonts w:ascii="Calibri" w:hAnsi="Calibri" w:cs="Calibri"/>
                <w:sz w:val="20"/>
                <w:szCs w:val="20"/>
              </w:rPr>
            </w:pPr>
            <w:r w:rsidRPr="0060053A">
              <w:rPr>
                <w:rFonts w:ascii="Calibri" w:hAnsi="Calibri" w:cs="Calibri"/>
                <w:sz w:val="20"/>
                <w:szCs w:val="20"/>
              </w:rPr>
              <w:t>00022</w:t>
            </w:r>
          </w:p>
        </w:tc>
        <w:tc>
          <w:tcPr>
            <w:tcW w:w="630" w:type="dxa"/>
          </w:tcPr>
          <w:p w14:paraId="05F3A261" w14:textId="77777777" w:rsidR="009B7AED" w:rsidRPr="0060053A" w:rsidRDefault="009B7AED" w:rsidP="005148CB">
            <w:pPr>
              <w:pStyle w:val="TableTextDense"/>
              <w:spacing w:before="20" w:after="20" w:line="240" w:lineRule="auto"/>
              <w:contextualSpacing w:val="0"/>
              <w:jc w:val="center"/>
              <w:rPr>
                <w:rFonts w:ascii="Calibri" w:hAnsi="Calibri" w:cs="Calibri"/>
                <w:sz w:val="20"/>
                <w:szCs w:val="20"/>
              </w:rPr>
            </w:pPr>
            <w:r w:rsidRPr="0060053A">
              <w:rPr>
                <w:rFonts w:ascii="Calibri" w:hAnsi="Calibri" w:cs="Calibri"/>
                <w:sz w:val="20"/>
                <w:szCs w:val="20"/>
              </w:rPr>
              <w:t>00014</w:t>
            </w:r>
          </w:p>
        </w:tc>
      </w:tr>
    </w:tbl>
    <w:p w14:paraId="656C6F14" w14:textId="77777777" w:rsidR="009B7AED" w:rsidRPr="0060053A" w:rsidRDefault="009B7AED" w:rsidP="0060053A">
      <w:pPr>
        <w:pStyle w:val="BodyText"/>
        <w:spacing w:before="120"/>
        <w:rPr>
          <w:rStyle w:val="Italic"/>
          <w:iCs/>
        </w:rPr>
      </w:pPr>
      <w:r>
        <w:rPr>
          <w:rStyle w:val="Italic"/>
          <w:iCs/>
        </w:rPr>
        <w:t>continued</w:t>
      </w:r>
    </w:p>
    <w:tbl>
      <w:tblPr>
        <w:tblStyle w:val="TMGTable"/>
        <w:tblW w:w="935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890"/>
        <w:gridCol w:w="630"/>
        <w:gridCol w:w="630"/>
        <w:gridCol w:w="630"/>
        <w:gridCol w:w="630"/>
        <w:gridCol w:w="630"/>
        <w:gridCol w:w="630"/>
        <w:gridCol w:w="630"/>
        <w:gridCol w:w="630"/>
        <w:gridCol w:w="630"/>
        <w:gridCol w:w="630"/>
        <w:gridCol w:w="630"/>
        <w:gridCol w:w="630"/>
        <w:gridCol w:w="900"/>
      </w:tblGrid>
      <w:tr w:rsidR="009B7AED" w:rsidRPr="0060053A" w14:paraId="7330AF3D" w14:textId="77777777" w:rsidTr="007C54FC">
        <w:trPr>
          <w:cnfStyle w:val="100000000000" w:firstRow="1" w:lastRow="0" w:firstColumn="0" w:lastColumn="0" w:oddVBand="0" w:evenVBand="0" w:oddHBand="0" w:evenHBand="0" w:firstRowFirstColumn="0" w:firstRowLastColumn="0" w:lastRowFirstColumn="0" w:lastRowLastColumn="0"/>
          <w:trHeight w:val="60"/>
        </w:trPr>
        <w:tc>
          <w:tcPr>
            <w:tcW w:w="890" w:type="dxa"/>
          </w:tcPr>
          <w:p w14:paraId="0BEE418A" w14:textId="77777777" w:rsidR="009B7AED" w:rsidRPr="0060053A" w:rsidRDefault="009B7AED" w:rsidP="005148CB">
            <w:pPr>
              <w:pStyle w:val="TableTextDense"/>
              <w:keepNext/>
              <w:keepLines/>
              <w:widowControl/>
              <w:spacing w:before="20" w:after="20" w:line="240" w:lineRule="auto"/>
              <w:contextualSpacing w:val="0"/>
              <w:rPr>
                <w:rFonts w:ascii="Calibri" w:hAnsi="Calibri" w:cs="Calibri"/>
                <w:b w:val="0"/>
                <w:bCs w:val="0"/>
                <w:sz w:val="20"/>
                <w:szCs w:val="20"/>
              </w:rPr>
            </w:pPr>
            <w:r w:rsidRPr="0060053A">
              <w:rPr>
                <w:rStyle w:val="Bold"/>
                <w:rFonts w:ascii="Calibri" w:hAnsi="Calibri" w:cs="Calibri"/>
                <w:sz w:val="20"/>
                <w:szCs w:val="20"/>
              </w:rPr>
              <w:t>Column Number:</w:t>
            </w:r>
          </w:p>
        </w:tc>
        <w:tc>
          <w:tcPr>
            <w:tcW w:w="630" w:type="dxa"/>
          </w:tcPr>
          <w:p w14:paraId="4E54F47E" w14:textId="77777777" w:rsidR="009B7AED" w:rsidRPr="0060053A" w:rsidRDefault="009B7AED" w:rsidP="005148CB">
            <w:pPr>
              <w:pStyle w:val="TableTextDense"/>
              <w:keepNext/>
              <w:keepLines/>
              <w:widowControl/>
              <w:spacing w:before="20" w:after="20" w:line="240" w:lineRule="auto"/>
              <w:contextualSpacing w:val="0"/>
              <w:jc w:val="center"/>
              <w:rPr>
                <w:rStyle w:val="Bold"/>
                <w:rFonts w:ascii="Calibri" w:hAnsi="Calibri" w:cs="Calibri"/>
                <w:b w:val="0"/>
                <w:bCs w:val="0"/>
                <w:sz w:val="20"/>
                <w:szCs w:val="20"/>
              </w:rPr>
            </w:pPr>
            <w:r w:rsidRPr="0060053A">
              <w:rPr>
                <w:rStyle w:val="Bold"/>
                <w:rFonts w:ascii="Calibri" w:hAnsi="Calibri" w:cs="Calibri"/>
                <w:sz w:val="20"/>
                <w:szCs w:val="20"/>
              </w:rPr>
              <w:t>40-44</w:t>
            </w:r>
          </w:p>
        </w:tc>
        <w:tc>
          <w:tcPr>
            <w:tcW w:w="630" w:type="dxa"/>
          </w:tcPr>
          <w:p w14:paraId="2C3469CE" w14:textId="77777777" w:rsidR="009B7AED" w:rsidRPr="0060053A" w:rsidRDefault="009B7AED" w:rsidP="005148CB">
            <w:pPr>
              <w:pStyle w:val="TableTextDense"/>
              <w:keepNext/>
              <w:keepLines/>
              <w:widowControl/>
              <w:spacing w:before="20" w:after="20" w:line="240" w:lineRule="auto"/>
              <w:contextualSpacing w:val="0"/>
              <w:jc w:val="center"/>
              <w:rPr>
                <w:rStyle w:val="Bold"/>
                <w:rFonts w:ascii="Calibri" w:hAnsi="Calibri" w:cs="Calibri"/>
                <w:b w:val="0"/>
                <w:bCs w:val="0"/>
                <w:sz w:val="20"/>
                <w:szCs w:val="20"/>
              </w:rPr>
            </w:pPr>
            <w:r w:rsidRPr="0060053A">
              <w:rPr>
                <w:rStyle w:val="Bold"/>
                <w:rFonts w:ascii="Calibri" w:hAnsi="Calibri" w:cs="Calibri"/>
                <w:sz w:val="20"/>
                <w:szCs w:val="20"/>
              </w:rPr>
              <w:t>45-49</w:t>
            </w:r>
          </w:p>
        </w:tc>
        <w:tc>
          <w:tcPr>
            <w:tcW w:w="630" w:type="dxa"/>
          </w:tcPr>
          <w:p w14:paraId="71CBCA1E" w14:textId="77777777" w:rsidR="009B7AED" w:rsidRPr="0060053A" w:rsidRDefault="009B7AED" w:rsidP="005148CB">
            <w:pPr>
              <w:pStyle w:val="TableTextDense"/>
              <w:keepNext/>
              <w:keepLines/>
              <w:widowControl/>
              <w:spacing w:before="20" w:after="20" w:line="240" w:lineRule="auto"/>
              <w:contextualSpacing w:val="0"/>
              <w:jc w:val="center"/>
              <w:rPr>
                <w:rStyle w:val="Bold"/>
                <w:rFonts w:ascii="Calibri" w:hAnsi="Calibri" w:cs="Calibri"/>
                <w:b w:val="0"/>
                <w:bCs w:val="0"/>
                <w:sz w:val="20"/>
                <w:szCs w:val="20"/>
              </w:rPr>
            </w:pPr>
            <w:r w:rsidRPr="0060053A">
              <w:rPr>
                <w:rStyle w:val="Bold"/>
                <w:rFonts w:ascii="Calibri" w:hAnsi="Calibri" w:cs="Calibri"/>
                <w:sz w:val="20"/>
                <w:szCs w:val="20"/>
              </w:rPr>
              <w:t>50-54</w:t>
            </w:r>
          </w:p>
        </w:tc>
        <w:tc>
          <w:tcPr>
            <w:tcW w:w="630" w:type="dxa"/>
          </w:tcPr>
          <w:p w14:paraId="3215C946" w14:textId="77777777" w:rsidR="009B7AED" w:rsidRPr="0060053A" w:rsidRDefault="009B7AED" w:rsidP="005148CB">
            <w:pPr>
              <w:pStyle w:val="TableTextDense"/>
              <w:keepNext/>
              <w:keepLines/>
              <w:widowControl/>
              <w:spacing w:before="20" w:after="20" w:line="240" w:lineRule="auto"/>
              <w:contextualSpacing w:val="0"/>
              <w:jc w:val="center"/>
              <w:rPr>
                <w:rStyle w:val="Bold"/>
                <w:rFonts w:ascii="Calibri" w:hAnsi="Calibri" w:cs="Calibri"/>
                <w:b w:val="0"/>
                <w:bCs w:val="0"/>
                <w:sz w:val="20"/>
                <w:szCs w:val="20"/>
              </w:rPr>
            </w:pPr>
            <w:r w:rsidRPr="0060053A">
              <w:rPr>
                <w:rStyle w:val="Bold"/>
                <w:rFonts w:ascii="Calibri" w:hAnsi="Calibri" w:cs="Calibri"/>
                <w:sz w:val="20"/>
                <w:szCs w:val="20"/>
              </w:rPr>
              <w:t>55-59</w:t>
            </w:r>
          </w:p>
        </w:tc>
        <w:tc>
          <w:tcPr>
            <w:tcW w:w="630" w:type="dxa"/>
          </w:tcPr>
          <w:p w14:paraId="08D75D52" w14:textId="77777777" w:rsidR="009B7AED" w:rsidRPr="0060053A" w:rsidRDefault="009B7AED" w:rsidP="005148CB">
            <w:pPr>
              <w:pStyle w:val="TableTextDense"/>
              <w:keepNext/>
              <w:keepLines/>
              <w:widowControl/>
              <w:spacing w:before="20" w:after="20" w:line="240" w:lineRule="auto"/>
              <w:contextualSpacing w:val="0"/>
              <w:jc w:val="center"/>
              <w:rPr>
                <w:rStyle w:val="Bold"/>
                <w:rFonts w:ascii="Calibri" w:hAnsi="Calibri" w:cs="Calibri"/>
                <w:b w:val="0"/>
                <w:bCs w:val="0"/>
                <w:sz w:val="20"/>
                <w:szCs w:val="20"/>
              </w:rPr>
            </w:pPr>
            <w:r w:rsidRPr="0060053A">
              <w:rPr>
                <w:rStyle w:val="Bold"/>
                <w:rFonts w:ascii="Calibri" w:hAnsi="Calibri" w:cs="Calibri"/>
                <w:sz w:val="20"/>
                <w:szCs w:val="20"/>
              </w:rPr>
              <w:t>60-64</w:t>
            </w:r>
          </w:p>
        </w:tc>
        <w:tc>
          <w:tcPr>
            <w:tcW w:w="630" w:type="dxa"/>
          </w:tcPr>
          <w:p w14:paraId="4923D2ED" w14:textId="77777777" w:rsidR="009B7AED" w:rsidRPr="0060053A" w:rsidRDefault="009B7AED" w:rsidP="005148CB">
            <w:pPr>
              <w:pStyle w:val="TableTextDense"/>
              <w:keepNext/>
              <w:keepLines/>
              <w:widowControl/>
              <w:spacing w:before="20" w:after="20" w:line="240" w:lineRule="auto"/>
              <w:contextualSpacing w:val="0"/>
              <w:jc w:val="center"/>
              <w:rPr>
                <w:rFonts w:ascii="Calibri" w:hAnsi="Calibri" w:cs="Calibri"/>
                <w:b w:val="0"/>
                <w:bCs w:val="0"/>
                <w:sz w:val="20"/>
                <w:szCs w:val="20"/>
              </w:rPr>
            </w:pPr>
            <w:r w:rsidRPr="0060053A">
              <w:rPr>
                <w:rStyle w:val="Bold"/>
                <w:rFonts w:ascii="Calibri" w:hAnsi="Calibri" w:cs="Calibri"/>
                <w:sz w:val="20"/>
                <w:szCs w:val="20"/>
              </w:rPr>
              <w:t>65-69</w:t>
            </w:r>
          </w:p>
        </w:tc>
        <w:tc>
          <w:tcPr>
            <w:tcW w:w="630" w:type="dxa"/>
          </w:tcPr>
          <w:p w14:paraId="7E5FBA84" w14:textId="77777777" w:rsidR="009B7AED" w:rsidRPr="0060053A" w:rsidRDefault="009B7AED" w:rsidP="005148CB">
            <w:pPr>
              <w:pStyle w:val="TableTextDense"/>
              <w:keepNext/>
              <w:keepLines/>
              <w:widowControl/>
              <w:spacing w:before="20" w:after="20" w:line="240" w:lineRule="auto"/>
              <w:contextualSpacing w:val="0"/>
              <w:jc w:val="center"/>
              <w:rPr>
                <w:rFonts w:ascii="Calibri" w:hAnsi="Calibri" w:cs="Calibri"/>
                <w:b w:val="0"/>
                <w:bCs w:val="0"/>
                <w:sz w:val="20"/>
                <w:szCs w:val="20"/>
              </w:rPr>
            </w:pPr>
            <w:r w:rsidRPr="0060053A">
              <w:rPr>
                <w:rStyle w:val="Bold"/>
                <w:rFonts w:ascii="Calibri" w:hAnsi="Calibri" w:cs="Calibri"/>
                <w:sz w:val="20"/>
                <w:szCs w:val="20"/>
              </w:rPr>
              <w:t>70-74</w:t>
            </w:r>
          </w:p>
        </w:tc>
        <w:tc>
          <w:tcPr>
            <w:tcW w:w="630" w:type="dxa"/>
          </w:tcPr>
          <w:p w14:paraId="398353CA" w14:textId="77777777" w:rsidR="009B7AED" w:rsidRPr="0060053A" w:rsidRDefault="009B7AED" w:rsidP="005148CB">
            <w:pPr>
              <w:pStyle w:val="TableTextDense"/>
              <w:keepNext/>
              <w:keepLines/>
              <w:widowControl/>
              <w:spacing w:before="20" w:after="20" w:line="240" w:lineRule="auto"/>
              <w:contextualSpacing w:val="0"/>
              <w:jc w:val="center"/>
              <w:rPr>
                <w:rFonts w:ascii="Calibri" w:hAnsi="Calibri" w:cs="Calibri"/>
                <w:b w:val="0"/>
                <w:bCs w:val="0"/>
                <w:sz w:val="20"/>
                <w:szCs w:val="20"/>
              </w:rPr>
            </w:pPr>
            <w:r w:rsidRPr="0060053A">
              <w:rPr>
                <w:rStyle w:val="Bold"/>
                <w:rFonts w:ascii="Calibri" w:hAnsi="Calibri" w:cs="Calibri"/>
                <w:sz w:val="20"/>
                <w:szCs w:val="20"/>
              </w:rPr>
              <w:t>75-79</w:t>
            </w:r>
          </w:p>
        </w:tc>
        <w:tc>
          <w:tcPr>
            <w:tcW w:w="630" w:type="dxa"/>
          </w:tcPr>
          <w:p w14:paraId="7E322D58" w14:textId="77777777" w:rsidR="009B7AED" w:rsidRPr="0060053A" w:rsidRDefault="009B7AED" w:rsidP="005148CB">
            <w:pPr>
              <w:pStyle w:val="TableTextDense"/>
              <w:keepNext/>
              <w:keepLines/>
              <w:widowControl/>
              <w:spacing w:before="20" w:after="20" w:line="240" w:lineRule="auto"/>
              <w:contextualSpacing w:val="0"/>
              <w:jc w:val="center"/>
              <w:rPr>
                <w:rStyle w:val="Bold"/>
                <w:rFonts w:ascii="Calibri" w:hAnsi="Calibri" w:cs="Calibri"/>
                <w:b w:val="0"/>
                <w:bCs w:val="0"/>
                <w:sz w:val="20"/>
                <w:szCs w:val="20"/>
              </w:rPr>
            </w:pPr>
            <w:r w:rsidRPr="0060053A">
              <w:rPr>
                <w:rStyle w:val="Bold"/>
                <w:rFonts w:ascii="Calibri" w:hAnsi="Calibri" w:cs="Calibri"/>
                <w:sz w:val="20"/>
                <w:szCs w:val="20"/>
              </w:rPr>
              <w:t>80-84</w:t>
            </w:r>
          </w:p>
        </w:tc>
        <w:tc>
          <w:tcPr>
            <w:tcW w:w="630" w:type="dxa"/>
          </w:tcPr>
          <w:p w14:paraId="66027550" w14:textId="77777777" w:rsidR="009B7AED" w:rsidRPr="0060053A" w:rsidRDefault="009B7AED" w:rsidP="005148CB">
            <w:pPr>
              <w:pStyle w:val="TableTextDense"/>
              <w:keepNext/>
              <w:keepLines/>
              <w:widowControl/>
              <w:spacing w:before="20" w:after="20" w:line="240" w:lineRule="auto"/>
              <w:contextualSpacing w:val="0"/>
              <w:jc w:val="center"/>
              <w:rPr>
                <w:rStyle w:val="Bold"/>
                <w:rFonts w:ascii="Calibri" w:hAnsi="Calibri" w:cs="Calibri"/>
                <w:b w:val="0"/>
                <w:bCs w:val="0"/>
                <w:sz w:val="20"/>
                <w:szCs w:val="20"/>
              </w:rPr>
            </w:pPr>
            <w:r w:rsidRPr="0060053A">
              <w:rPr>
                <w:rStyle w:val="Bold"/>
                <w:rFonts w:ascii="Calibri" w:hAnsi="Calibri" w:cs="Calibri"/>
                <w:sz w:val="20"/>
                <w:szCs w:val="20"/>
              </w:rPr>
              <w:t>85-89</w:t>
            </w:r>
          </w:p>
        </w:tc>
        <w:tc>
          <w:tcPr>
            <w:tcW w:w="630" w:type="dxa"/>
          </w:tcPr>
          <w:p w14:paraId="075B7115" w14:textId="77777777" w:rsidR="009B7AED" w:rsidRPr="0060053A" w:rsidRDefault="009B7AED" w:rsidP="005148CB">
            <w:pPr>
              <w:pStyle w:val="TableTextDense"/>
              <w:keepNext/>
              <w:keepLines/>
              <w:widowControl/>
              <w:spacing w:before="20" w:after="20" w:line="240" w:lineRule="auto"/>
              <w:contextualSpacing w:val="0"/>
              <w:jc w:val="center"/>
              <w:rPr>
                <w:rStyle w:val="Bold"/>
                <w:rFonts w:ascii="Calibri" w:hAnsi="Calibri" w:cs="Calibri"/>
                <w:b w:val="0"/>
                <w:bCs w:val="0"/>
                <w:sz w:val="20"/>
                <w:szCs w:val="20"/>
              </w:rPr>
            </w:pPr>
            <w:r w:rsidRPr="0060053A">
              <w:rPr>
                <w:rStyle w:val="Bold"/>
                <w:rFonts w:ascii="Calibri" w:hAnsi="Calibri" w:cs="Calibri"/>
                <w:sz w:val="20"/>
                <w:szCs w:val="20"/>
              </w:rPr>
              <w:t>90-94</w:t>
            </w:r>
          </w:p>
        </w:tc>
        <w:tc>
          <w:tcPr>
            <w:tcW w:w="630" w:type="dxa"/>
          </w:tcPr>
          <w:p w14:paraId="5A0DDF23" w14:textId="77777777" w:rsidR="009B7AED" w:rsidRPr="0060053A" w:rsidRDefault="009B7AED" w:rsidP="005148CB">
            <w:pPr>
              <w:pStyle w:val="TableTextDense"/>
              <w:keepNext/>
              <w:keepLines/>
              <w:widowControl/>
              <w:spacing w:before="20" w:after="20" w:line="240" w:lineRule="auto"/>
              <w:contextualSpacing w:val="0"/>
              <w:jc w:val="center"/>
              <w:rPr>
                <w:rStyle w:val="Bold"/>
                <w:rFonts w:ascii="Calibri" w:hAnsi="Calibri" w:cs="Calibri"/>
                <w:b w:val="0"/>
                <w:bCs w:val="0"/>
                <w:sz w:val="20"/>
                <w:szCs w:val="20"/>
              </w:rPr>
            </w:pPr>
            <w:r w:rsidRPr="0060053A">
              <w:rPr>
                <w:rStyle w:val="Bold"/>
                <w:rFonts w:ascii="Calibri" w:hAnsi="Calibri" w:cs="Calibri"/>
                <w:sz w:val="20"/>
                <w:szCs w:val="20"/>
              </w:rPr>
              <w:t>95-99</w:t>
            </w:r>
          </w:p>
        </w:tc>
        <w:tc>
          <w:tcPr>
            <w:tcW w:w="900" w:type="dxa"/>
          </w:tcPr>
          <w:p w14:paraId="61361782" w14:textId="77777777" w:rsidR="009B7AED" w:rsidRPr="0060053A" w:rsidRDefault="009B7AED" w:rsidP="005148CB">
            <w:pPr>
              <w:pStyle w:val="TableTextDense"/>
              <w:keepNext/>
              <w:keepLines/>
              <w:widowControl/>
              <w:spacing w:before="20" w:after="20" w:line="240" w:lineRule="auto"/>
              <w:contextualSpacing w:val="0"/>
              <w:jc w:val="center"/>
              <w:rPr>
                <w:rStyle w:val="Bold"/>
                <w:rFonts w:ascii="Calibri" w:hAnsi="Calibri" w:cs="Calibri"/>
                <w:b w:val="0"/>
                <w:bCs w:val="0"/>
                <w:sz w:val="20"/>
                <w:szCs w:val="20"/>
              </w:rPr>
            </w:pPr>
            <w:r w:rsidRPr="0060053A">
              <w:rPr>
                <w:rStyle w:val="Bold"/>
                <w:rFonts w:ascii="Calibri" w:hAnsi="Calibri" w:cs="Calibri"/>
                <w:sz w:val="20"/>
                <w:szCs w:val="20"/>
              </w:rPr>
              <w:t>100-104</w:t>
            </w:r>
          </w:p>
        </w:tc>
      </w:tr>
      <w:tr w:rsidR="009B7AED" w:rsidRPr="0060053A" w14:paraId="156DFA60" w14:textId="77777777" w:rsidTr="007C54FC">
        <w:trPr>
          <w:trHeight w:val="60"/>
        </w:trPr>
        <w:tc>
          <w:tcPr>
            <w:tcW w:w="890" w:type="dxa"/>
          </w:tcPr>
          <w:p w14:paraId="2DBFAF46" w14:textId="77777777" w:rsidR="009B7AED" w:rsidRPr="0060053A" w:rsidRDefault="009B7AED" w:rsidP="005148CB">
            <w:pPr>
              <w:pStyle w:val="TableTextDense"/>
              <w:keepNext/>
              <w:keepLines/>
              <w:widowControl/>
              <w:spacing w:before="20" w:after="20" w:line="240" w:lineRule="auto"/>
              <w:contextualSpacing w:val="0"/>
              <w:rPr>
                <w:rFonts w:ascii="Calibri" w:hAnsi="Calibri" w:cs="Calibri"/>
                <w:sz w:val="20"/>
                <w:szCs w:val="20"/>
              </w:rPr>
            </w:pPr>
            <w:r w:rsidRPr="0060053A">
              <w:rPr>
                <w:rStyle w:val="Bold"/>
                <w:rFonts w:ascii="Calibri" w:hAnsi="Calibri" w:cs="Calibri"/>
                <w:sz w:val="20"/>
                <w:szCs w:val="20"/>
              </w:rPr>
              <w:t>Content Example:</w:t>
            </w:r>
          </w:p>
        </w:tc>
        <w:tc>
          <w:tcPr>
            <w:tcW w:w="630" w:type="dxa"/>
          </w:tcPr>
          <w:p w14:paraId="2DB3CA80" w14:textId="77777777" w:rsidR="009B7AED" w:rsidRPr="0060053A" w:rsidRDefault="009B7AED" w:rsidP="005148CB">
            <w:pPr>
              <w:pStyle w:val="TableTextDense"/>
              <w:keepNext/>
              <w:keepLines/>
              <w:widowControl/>
              <w:spacing w:before="20" w:after="20" w:line="240" w:lineRule="auto"/>
              <w:contextualSpacing w:val="0"/>
              <w:jc w:val="center"/>
              <w:rPr>
                <w:rFonts w:ascii="Calibri" w:hAnsi="Calibri" w:cs="Calibri"/>
                <w:sz w:val="20"/>
                <w:szCs w:val="20"/>
              </w:rPr>
            </w:pPr>
            <w:r w:rsidRPr="0060053A">
              <w:rPr>
                <w:rFonts w:ascii="Calibri" w:hAnsi="Calibri" w:cs="Calibri"/>
                <w:sz w:val="20"/>
                <w:szCs w:val="20"/>
              </w:rPr>
              <w:t>00013</w:t>
            </w:r>
          </w:p>
        </w:tc>
        <w:tc>
          <w:tcPr>
            <w:tcW w:w="630" w:type="dxa"/>
          </w:tcPr>
          <w:p w14:paraId="656C6192" w14:textId="77777777" w:rsidR="009B7AED" w:rsidRPr="0060053A" w:rsidRDefault="009B7AED" w:rsidP="005148CB">
            <w:pPr>
              <w:pStyle w:val="TableTextDense"/>
              <w:keepNext/>
              <w:keepLines/>
              <w:widowControl/>
              <w:spacing w:before="20" w:after="20" w:line="240" w:lineRule="auto"/>
              <w:contextualSpacing w:val="0"/>
              <w:jc w:val="center"/>
              <w:rPr>
                <w:rFonts w:ascii="Calibri" w:hAnsi="Calibri" w:cs="Calibri"/>
                <w:sz w:val="20"/>
                <w:szCs w:val="20"/>
              </w:rPr>
            </w:pPr>
            <w:r w:rsidRPr="0060053A">
              <w:rPr>
                <w:rFonts w:ascii="Calibri" w:hAnsi="Calibri" w:cs="Calibri"/>
                <w:sz w:val="20"/>
                <w:szCs w:val="20"/>
              </w:rPr>
              <w:t>00029</w:t>
            </w:r>
          </w:p>
        </w:tc>
        <w:tc>
          <w:tcPr>
            <w:tcW w:w="630" w:type="dxa"/>
          </w:tcPr>
          <w:p w14:paraId="09E80C69" w14:textId="77777777" w:rsidR="009B7AED" w:rsidRPr="0060053A" w:rsidRDefault="009B7AED" w:rsidP="005148CB">
            <w:pPr>
              <w:pStyle w:val="TableTextDense"/>
              <w:keepNext/>
              <w:keepLines/>
              <w:widowControl/>
              <w:spacing w:before="20" w:after="20" w:line="240" w:lineRule="auto"/>
              <w:contextualSpacing w:val="0"/>
              <w:jc w:val="center"/>
              <w:rPr>
                <w:rFonts w:ascii="Calibri" w:hAnsi="Calibri" w:cs="Calibri"/>
                <w:sz w:val="20"/>
                <w:szCs w:val="20"/>
              </w:rPr>
            </w:pPr>
            <w:r w:rsidRPr="0060053A">
              <w:rPr>
                <w:rFonts w:ascii="Calibri" w:hAnsi="Calibri" w:cs="Calibri"/>
                <w:sz w:val="20"/>
                <w:szCs w:val="20"/>
              </w:rPr>
              <w:t>00030</w:t>
            </w:r>
          </w:p>
        </w:tc>
        <w:tc>
          <w:tcPr>
            <w:tcW w:w="630" w:type="dxa"/>
          </w:tcPr>
          <w:p w14:paraId="2630E0FA" w14:textId="77777777" w:rsidR="009B7AED" w:rsidRPr="0060053A" w:rsidRDefault="009B7AED" w:rsidP="005148CB">
            <w:pPr>
              <w:pStyle w:val="TableTextDense"/>
              <w:keepNext/>
              <w:keepLines/>
              <w:widowControl/>
              <w:spacing w:before="20" w:after="20" w:line="240" w:lineRule="auto"/>
              <w:contextualSpacing w:val="0"/>
              <w:jc w:val="center"/>
              <w:rPr>
                <w:rFonts w:ascii="Calibri" w:hAnsi="Calibri" w:cs="Calibri"/>
                <w:sz w:val="20"/>
                <w:szCs w:val="20"/>
              </w:rPr>
            </w:pPr>
            <w:r w:rsidRPr="0060053A">
              <w:rPr>
                <w:rFonts w:ascii="Calibri" w:hAnsi="Calibri" w:cs="Calibri"/>
                <w:sz w:val="20"/>
                <w:szCs w:val="20"/>
              </w:rPr>
              <w:t>00075</w:t>
            </w:r>
          </w:p>
        </w:tc>
        <w:tc>
          <w:tcPr>
            <w:tcW w:w="630" w:type="dxa"/>
          </w:tcPr>
          <w:p w14:paraId="3C339F94" w14:textId="77777777" w:rsidR="009B7AED" w:rsidRPr="0060053A" w:rsidRDefault="009B7AED" w:rsidP="005148CB">
            <w:pPr>
              <w:pStyle w:val="TableTextDense"/>
              <w:keepNext/>
              <w:keepLines/>
              <w:widowControl/>
              <w:spacing w:before="20" w:after="20" w:line="240" w:lineRule="auto"/>
              <w:contextualSpacing w:val="0"/>
              <w:jc w:val="center"/>
              <w:rPr>
                <w:rFonts w:ascii="Calibri" w:hAnsi="Calibri" w:cs="Calibri"/>
                <w:sz w:val="20"/>
                <w:szCs w:val="20"/>
              </w:rPr>
            </w:pPr>
            <w:r w:rsidRPr="0060053A">
              <w:rPr>
                <w:rFonts w:ascii="Calibri" w:hAnsi="Calibri" w:cs="Calibri"/>
                <w:sz w:val="20"/>
                <w:szCs w:val="20"/>
              </w:rPr>
              <w:t>00136</w:t>
            </w:r>
          </w:p>
        </w:tc>
        <w:tc>
          <w:tcPr>
            <w:tcW w:w="630" w:type="dxa"/>
          </w:tcPr>
          <w:p w14:paraId="237DB28E" w14:textId="77777777" w:rsidR="009B7AED" w:rsidRPr="0060053A" w:rsidRDefault="009B7AED" w:rsidP="005148CB">
            <w:pPr>
              <w:pStyle w:val="TableTextDense"/>
              <w:keepNext/>
              <w:keepLines/>
              <w:widowControl/>
              <w:spacing w:before="20" w:after="20" w:line="240" w:lineRule="auto"/>
              <w:contextualSpacing w:val="0"/>
              <w:jc w:val="center"/>
              <w:rPr>
                <w:rFonts w:ascii="Calibri" w:hAnsi="Calibri" w:cs="Calibri"/>
                <w:sz w:val="20"/>
                <w:szCs w:val="20"/>
              </w:rPr>
            </w:pPr>
            <w:r w:rsidRPr="0060053A">
              <w:rPr>
                <w:rFonts w:ascii="Calibri" w:hAnsi="Calibri" w:cs="Calibri"/>
                <w:sz w:val="20"/>
                <w:szCs w:val="20"/>
              </w:rPr>
              <w:t>00179</w:t>
            </w:r>
          </w:p>
        </w:tc>
        <w:tc>
          <w:tcPr>
            <w:tcW w:w="630" w:type="dxa"/>
          </w:tcPr>
          <w:p w14:paraId="2837B77F" w14:textId="77777777" w:rsidR="009B7AED" w:rsidRPr="0060053A" w:rsidRDefault="009B7AED" w:rsidP="005148CB">
            <w:pPr>
              <w:pStyle w:val="TableTextDense"/>
              <w:keepNext/>
              <w:keepLines/>
              <w:widowControl/>
              <w:spacing w:before="20" w:after="20" w:line="240" w:lineRule="auto"/>
              <w:contextualSpacing w:val="0"/>
              <w:jc w:val="center"/>
              <w:rPr>
                <w:rFonts w:ascii="Calibri" w:hAnsi="Calibri" w:cs="Calibri"/>
                <w:sz w:val="20"/>
                <w:szCs w:val="20"/>
              </w:rPr>
            </w:pPr>
            <w:r w:rsidRPr="0060053A">
              <w:rPr>
                <w:rFonts w:ascii="Calibri" w:hAnsi="Calibri" w:cs="Calibri"/>
                <w:sz w:val="20"/>
                <w:szCs w:val="20"/>
              </w:rPr>
              <w:t>00218</w:t>
            </w:r>
          </w:p>
        </w:tc>
        <w:tc>
          <w:tcPr>
            <w:tcW w:w="630" w:type="dxa"/>
          </w:tcPr>
          <w:p w14:paraId="7C8748AB" w14:textId="77777777" w:rsidR="009B7AED" w:rsidRPr="0060053A" w:rsidRDefault="009B7AED" w:rsidP="005148CB">
            <w:pPr>
              <w:pStyle w:val="TableTextDense"/>
              <w:keepNext/>
              <w:keepLines/>
              <w:widowControl/>
              <w:spacing w:before="20" w:after="20" w:line="240" w:lineRule="auto"/>
              <w:contextualSpacing w:val="0"/>
              <w:jc w:val="center"/>
              <w:rPr>
                <w:rFonts w:ascii="Calibri" w:hAnsi="Calibri" w:cs="Calibri"/>
                <w:sz w:val="20"/>
                <w:szCs w:val="20"/>
              </w:rPr>
            </w:pPr>
            <w:r w:rsidRPr="0060053A">
              <w:rPr>
                <w:rFonts w:ascii="Calibri" w:hAnsi="Calibri" w:cs="Calibri"/>
                <w:sz w:val="20"/>
                <w:szCs w:val="20"/>
              </w:rPr>
              <w:t>00264</w:t>
            </w:r>
          </w:p>
        </w:tc>
        <w:tc>
          <w:tcPr>
            <w:tcW w:w="630" w:type="dxa"/>
          </w:tcPr>
          <w:p w14:paraId="6CFBB789" w14:textId="77777777" w:rsidR="009B7AED" w:rsidRPr="0060053A" w:rsidRDefault="009B7AED" w:rsidP="005148CB">
            <w:pPr>
              <w:pStyle w:val="TableTextDense"/>
              <w:keepNext/>
              <w:keepLines/>
              <w:widowControl/>
              <w:spacing w:before="20" w:after="20" w:line="240" w:lineRule="auto"/>
              <w:contextualSpacing w:val="0"/>
              <w:jc w:val="center"/>
              <w:rPr>
                <w:rFonts w:ascii="Calibri" w:hAnsi="Calibri" w:cs="Calibri"/>
                <w:sz w:val="20"/>
                <w:szCs w:val="20"/>
              </w:rPr>
            </w:pPr>
            <w:r w:rsidRPr="0060053A">
              <w:rPr>
                <w:rStyle w:val="Bold"/>
                <w:rFonts w:ascii="Calibri" w:hAnsi="Calibri" w:cs="Calibri"/>
                <w:sz w:val="20"/>
                <w:szCs w:val="20"/>
              </w:rPr>
              <w:t>00293</w:t>
            </w:r>
          </w:p>
        </w:tc>
        <w:tc>
          <w:tcPr>
            <w:tcW w:w="630" w:type="dxa"/>
          </w:tcPr>
          <w:p w14:paraId="0FBD06DF" w14:textId="77777777" w:rsidR="009B7AED" w:rsidRPr="0060053A" w:rsidRDefault="009B7AED" w:rsidP="005148CB">
            <w:pPr>
              <w:pStyle w:val="TableTextDense"/>
              <w:keepNext/>
              <w:keepLines/>
              <w:widowControl/>
              <w:spacing w:before="20" w:after="20" w:line="240" w:lineRule="auto"/>
              <w:contextualSpacing w:val="0"/>
              <w:jc w:val="center"/>
              <w:rPr>
                <w:rFonts w:ascii="Calibri" w:hAnsi="Calibri" w:cs="Calibri"/>
                <w:sz w:val="20"/>
                <w:szCs w:val="20"/>
              </w:rPr>
            </w:pPr>
            <w:r w:rsidRPr="0060053A">
              <w:rPr>
                <w:rStyle w:val="Bold"/>
                <w:rFonts w:ascii="Calibri" w:hAnsi="Calibri" w:cs="Calibri"/>
                <w:sz w:val="20"/>
                <w:szCs w:val="20"/>
              </w:rPr>
              <w:t>00322</w:t>
            </w:r>
          </w:p>
        </w:tc>
        <w:tc>
          <w:tcPr>
            <w:tcW w:w="630" w:type="dxa"/>
          </w:tcPr>
          <w:p w14:paraId="61BD557A" w14:textId="77777777" w:rsidR="009B7AED" w:rsidRPr="0060053A" w:rsidRDefault="009B7AED" w:rsidP="005148CB">
            <w:pPr>
              <w:pStyle w:val="TableTextDense"/>
              <w:keepNext/>
              <w:keepLines/>
              <w:widowControl/>
              <w:spacing w:before="20" w:after="20" w:line="240" w:lineRule="auto"/>
              <w:contextualSpacing w:val="0"/>
              <w:jc w:val="center"/>
              <w:rPr>
                <w:rFonts w:ascii="Calibri" w:hAnsi="Calibri" w:cs="Calibri"/>
                <w:sz w:val="20"/>
                <w:szCs w:val="20"/>
              </w:rPr>
            </w:pPr>
            <w:r w:rsidRPr="0060053A">
              <w:rPr>
                <w:rStyle w:val="Bold"/>
                <w:rFonts w:ascii="Calibri" w:hAnsi="Calibri" w:cs="Calibri"/>
                <w:sz w:val="20"/>
                <w:szCs w:val="20"/>
              </w:rPr>
              <w:t>00401</w:t>
            </w:r>
          </w:p>
        </w:tc>
        <w:tc>
          <w:tcPr>
            <w:tcW w:w="630" w:type="dxa"/>
          </w:tcPr>
          <w:p w14:paraId="37851990" w14:textId="77777777" w:rsidR="009B7AED" w:rsidRPr="0060053A" w:rsidRDefault="009B7AED" w:rsidP="005148CB">
            <w:pPr>
              <w:pStyle w:val="TableTextDense"/>
              <w:keepNext/>
              <w:keepLines/>
              <w:widowControl/>
              <w:spacing w:before="20" w:after="20" w:line="240" w:lineRule="auto"/>
              <w:contextualSpacing w:val="0"/>
              <w:jc w:val="center"/>
              <w:rPr>
                <w:rFonts w:ascii="Calibri" w:hAnsi="Calibri" w:cs="Calibri"/>
                <w:sz w:val="20"/>
                <w:szCs w:val="20"/>
              </w:rPr>
            </w:pPr>
            <w:r w:rsidRPr="0060053A">
              <w:rPr>
                <w:rStyle w:val="Bold"/>
                <w:rFonts w:ascii="Calibri" w:hAnsi="Calibri" w:cs="Calibri"/>
                <w:sz w:val="20"/>
                <w:szCs w:val="20"/>
              </w:rPr>
              <w:t>00439</w:t>
            </w:r>
          </w:p>
        </w:tc>
        <w:tc>
          <w:tcPr>
            <w:tcW w:w="900" w:type="dxa"/>
          </w:tcPr>
          <w:p w14:paraId="083286E7" w14:textId="77777777" w:rsidR="009B7AED" w:rsidRPr="0060053A" w:rsidRDefault="009B7AED" w:rsidP="005148CB">
            <w:pPr>
              <w:pStyle w:val="TableTextDense"/>
              <w:keepNext/>
              <w:keepLines/>
              <w:widowControl/>
              <w:spacing w:before="20" w:after="20" w:line="240" w:lineRule="auto"/>
              <w:contextualSpacing w:val="0"/>
              <w:jc w:val="center"/>
              <w:rPr>
                <w:rFonts w:ascii="Calibri" w:hAnsi="Calibri" w:cs="Calibri"/>
                <w:sz w:val="20"/>
                <w:szCs w:val="20"/>
              </w:rPr>
            </w:pPr>
            <w:r w:rsidRPr="0060053A">
              <w:rPr>
                <w:rStyle w:val="Bold"/>
                <w:rFonts w:ascii="Calibri" w:hAnsi="Calibri" w:cs="Calibri"/>
                <w:sz w:val="20"/>
                <w:szCs w:val="20"/>
              </w:rPr>
              <w:t>00366</w:t>
            </w:r>
          </w:p>
        </w:tc>
      </w:tr>
    </w:tbl>
    <w:p w14:paraId="372B0007" w14:textId="77777777" w:rsidR="009B7AED" w:rsidRDefault="009B7AED" w:rsidP="0060053A">
      <w:pPr>
        <w:pStyle w:val="BodyText"/>
        <w:spacing w:before="120"/>
      </w:pPr>
      <w:r>
        <w:rPr>
          <w:rStyle w:val="Italic"/>
          <w:iCs/>
        </w:rPr>
        <w:t>continued</w:t>
      </w:r>
    </w:p>
    <w:tbl>
      <w:tblPr>
        <w:tblStyle w:val="TMGTable"/>
        <w:tblW w:w="8199"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firstRow="1" w:lastRow="0" w:firstColumn="0" w:lastColumn="0" w:noHBand="1" w:noVBand="1"/>
      </w:tblPr>
      <w:tblGrid>
        <w:gridCol w:w="890"/>
        <w:gridCol w:w="988"/>
        <w:gridCol w:w="897"/>
        <w:gridCol w:w="897"/>
        <w:gridCol w:w="897"/>
        <w:gridCol w:w="897"/>
        <w:gridCol w:w="897"/>
        <w:gridCol w:w="897"/>
        <w:gridCol w:w="939"/>
      </w:tblGrid>
      <w:tr w:rsidR="009B7AED" w:rsidRPr="0060053A" w14:paraId="669BE3B0" w14:textId="77777777" w:rsidTr="007C54FC">
        <w:trPr>
          <w:cnfStyle w:val="100000000000" w:firstRow="1" w:lastRow="0" w:firstColumn="0" w:lastColumn="0" w:oddVBand="0" w:evenVBand="0" w:oddHBand="0" w:evenHBand="0" w:firstRowFirstColumn="0" w:firstRowLastColumn="0" w:lastRowFirstColumn="0" w:lastRowLastColumn="0"/>
          <w:trHeight w:val="60"/>
        </w:trPr>
        <w:tc>
          <w:tcPr>
            <w:tcW w:w="890" w:type="dxa"/>
          </w:tcPr>
          <w:p w14:paraId="07ACED81" w14:textId="77777777" w:rsidR="009B7AED" w:rsidRPr="0060053A" w:rsidRDefault="009B7AED" w:rsidP="005148CB">
            <w:pPr>
              <w:pStyle w:val="TableTextDense"/>
              <w:keepLines/>
              <w:widowControl/>
              <w:spacing w:before="20" w:after="20" w:line="240" w:lineRule="auto"/>
              <w:contextualSpacing w:val="0"/>
              <w:rPr>
                <w:rFonts w:ascii="Calibri" w:hAnsi="Calibri" w:cs="Calibri"/>
                <w:b w:val="0"/>
                <w:bCs w:val="0"/>
                <w:sz w:val="20"/>
                <w:szCs w:val="20"/>
              </w:rPr>
            </w:pPr>
            <w:r w:rsidRPr="0060053A">
              <w:rPr>
                <w:rStyle w:val="Bold"/>
                <w:rFonts w:ascii="Calibri" w:hAnsi="Calibri" w:cs="Calibri"/>
                <w:sz w:val="20"/>
                <w:szCs w:val="20"/>
              </w:rPr>
              <w:t>Column Number:</w:t>
            </w:r>
          </w:p>
        </w:tc>
        <w:tc>
          <w:tcPr>
            <w:tcW w:w="988" w:type="dxa"/>
          </w:tcPr>
          <w:p w14:paraId="102022FE" w14:textId="77777777" w:rsidR="009B7AED" w:rsidRPr="0060053A" w:rsidRDefault="009B7AED" w:rsidP="005148CB">
            <w:pPr>
              <w:pStyle w:val="TableTextDense"/>
              <w:keepLines/>
              <w:widowControl/>
              <w:spacing w:before="20" w:after="20" w:line="240" w:lineRule="auto"/>
              <w:contextualSpacing w:val="0"/>
              <w:jc w:val="center"/>
              <w:rPr>
                <w:rStyle w:val="Bold"/>
                <w:rFonts w:ascii="Calibri" w:hAnsi="Calibri" w:cs="Calibri"/>
                <w:b w:val="0"/>
                <w:bCs w:val="0"/>
                <w:sz w:val="20"/>
                <w:szCs w:val="20"/>
              </w:rPr>
            </w:pPr>
            <w:r w:rsidRPr="0060053A">
              <w:rPr>
                <w:rStyle w:val="Bold"/>
                <w:rFonts w:ascii="Calibri" w:hAnsi="Calibri" w:cs="Calibri"/>
                <w:sz w:val="20"/>
                <w:szCs w:val="20"/>
              </w:rPr>
              <w:t>105-109</w:t>
            </w:r>
          </w:p>
        </w:tc>
        <w:tc>
          <w:tcPr>
            <w:tcW w:w="897" w:type="dxa"/>
          </w:tcPr>
          <w:p w14:paraId="3BEB156F" w14:textId="77777777" w:rsidR="009B7AED" w:rsidRPr="0060053A" w:rsidRDefault="009B7AED" w:rsidP="005148CB">
            <w:pPr>
              <w:pStyle w:val="TableTextDense"/>
              <w:keepLines/>
              <w:widowControl/>
              <w:spacing w:before="20" w:after="20" w:line="240" w:lineRule="auto"/>
              <w:contextualSpacing w:val="0"/>
              <w:jc w:val="center"/>
              <w:rPr>
                <w:rStyle w:val="Bold"/>
                <w:rFonts w:ascii="Calibri" w:hAnsi="Calibri" w:cs="Calibri"/>
                <w:b w:val="0"/>
                <w:bCs w:val="0"/>
                <w:sz w:val="20"/>
                <w:szCs w:val="20"/>
              </w:rPr>
            </w:pPr>
            <w:r w:rsidRPr="0060053A">
              <w:rPr>
                <w:rStyle w:val="Bold"/>
                <w:rFonts w:ascii="Calibri" w:hAnsi="Calibri" w:cs="Calibri"/>
                <w:sz w:val="20"/>
                <w:szCs w:val="20"/>
              </w:rPr>
              <w:t>110-114</w:t>
            </w:r>
          </w:p>
        </w:tc>
        <w:tc>
          <w:tcPr>
            <w:tcW w:w="897" w:type="dxa"/>
          </w:tcPr>
          <w:p w14:paraId="44A20EC7" w14:textId="77777777" w:rsidR="009B7AED" w:rsidRPr="0060053A" w:rsidRDefault="009B7AED" w:rsidP="005148CB">
            <w:pPr>
              <w:pStyle w:val="TableTextDense"/>
              <w:keepLines/>
              <w:widowControl/>
              <w:spacing w:before="20" w:after="20" w:line="240" w:lineRule="auto"/>
              <w:contextualSpacing w:val="0"/>
              <w:jc w:val="center"/>
              <w:rPr>
                <w:rStyle w:val="Bold"/>
                <w:rFonts w:ascii="Calibri" w:hAnsi="Calibri" w:cs="Calibri"/>
                <w:b w:val="0"/>
                <w:bCs w:val="0"/>
                <w:sz w:val="20"/>
                <w:szCs w:val="20"/>
              </w:rPr>
            </w:pPr>
            <w:r w:rsidRPr="0060053A">
              <w:rPr>
                <w:rStyle w:val="Bold"/>
                <w:rFonts w:ascii="Calibri" w:hAnsi="Calibri" w:cs="Calibri"/>
                <w:sz w:val="20"/>
                <w:szCs w:val="20"/>
              </w:rPr>
              <w:t>115-119</w:t>
            </w:r>
          </w:p>
        </w:tc>
        <w:tc>
          <w:tcPr>
            <w:tcW w:w="897" w:type="dxa"/>
          </w:tcPr>
          <w:p w14:paraId="181DBEC3" w14:textId="77777777" w:rsidR="009B7AED" w:rsidRPr="0060053A" w:rsidRDefault="009B7AED" w:rsidP="005148CB">
            <w:pPr>
              <w:pStyle w:val="TableTextDense"/>
              <w:keepLines/>
              <w:widowControl/>
              <w:spacing w:before="20" w:after="20" w:line="240" w:lineRule="auto"/>
              <w:contextualSpacing w:val="0"/>
              <w:jc w:val="center"/>
              <w:rPr>
                <w:rStyle w:val="Bold"/>
                <w:rFonts w:ascii="Calibri" w:hAnsi="Calibri" w:cs="Calibri"/>
                <w:b w:val="0"/>
                <w:bCs w:val="0"/>
                <w:sz w:val="20"/>
                <w:szCs w:val="20"/>
              </w:rPr>
            </w:pPr>
            <w:r w:rsidRPr="0060053A">
              <w:rPr>
                <w:rStyle w:val="Bold"/>
                <w:rFonts w:ascii="Calibri" w:hAnsi="Calibri" w:cs="Calibri"/>
                <w:sz w:val="20"/>
                <w:szCs w:val="20"/>
              </w:rPr>
              <w:t>120-124</w:t>
            </w:r>
          </w:p>
        </w:tc>
        <w:tc>
          <w:tcPr>
            <w:tcW w:w="897" w:type="dxa"/>
          </w:tcPr>
          <w:p w14:paraId="482C09D8" w14:textId="77777777" w:rsidR="009B7AED" w:rsidRPr="0060053A" w:rsidRDefault="009B7AED" w:rsidP="005148CB">
            <w:pPr>
              <w:pStyle w:val="TableTextDense"/>
              <w:keepLines/>
              <w:widowControl/>
              <w:spacing w:before="20" w:after="20" w:line="240" w:lineRule="auto"/>
              <w:contextualSpacing w:val="0"/>
              <w:jc w:val="center"/>
              <w:rPr>
                <w:rStyle w:val="Bold"/>
                <w:rFonts w:ascii="Calibri" w:hAnsi="Calibri" w:cs="Calibri"/>
                <w:b w:val="0"/>
                <w:bCs w:val="0"/>
                <w:sz w:val="20"/>
                <w:szCs w:val="20"/>
              </w:rPr>
            </w:pPr>
            <w:r w:rsidRPr="0060053A">
              <w:rPr>
                <w:rStyle w:val="Bold"/>
                <w:rFonts w:ascii="Calibri" w:hAnsi="Calibri" w:cs="Calibri"/>
                <w:sz w:val="20"/>
                <w:szCs w:val="20"/>
              </w:rPr>
              <w:t>125-129</w:t>
            </w:r>
          </w:p>
        </w:tc>
        <w:tc>
          <w:tcPr>
            <w:tcW w:w="897" w:type="dxa"/>
          </w:tcPr>
          <w:p w14:paraId="5C82767D" w14:textId="77777777" w:rsidR="009B7AED" w:rsidRPr="0060053A" w:rsidRDefault="009B7AED" w:rsidP="005148CB">
            <w:pPr>
              <w:pStyle w:val="TableTextDense"/>
              <w:keepLines/>
              <w:widowControl/>
              <w:spacing w:before="20" w:after="20" w:line="240" w:lineRule="auto"/>
              <w:contextualSpacing w:val="0"/>
              <w:jc w:val="center"/>
              <w:rPr>
                <w:rStyle w:val="Bold"/>
                <w:rFonts w:ascii="Calibri" w:hAnsi="Calibri" w:cs="Calibri"/>
                <w:b w:val="0"/>
                <w:bCs w:val="0"/>
                <w:sz w:val="20"/>
                <w:szCs w:val="20"/>
              </w:rPr>
            </w:pPr>
            <w:r w:rsidRPr="0060053A">
              <w:rPr>
                <w:rStyle w:val="Bold"/>
                <w:rFonts w:ascii="Calibri" w:hAnsi="Calibri" w:cs="Calibri"/>
                <w:sz w:val="20"/>
                <w:szCs w:val="20"/>
              </w:rPr>
              <w:t>130-134</w:t>
            </w:r>
          </w:p>
        </w:tc>
        <w:tc>
          <w:tcPr>
            <w:tcW w:w="897" w:type="dxa"/>
          </w:tcPr>
          <w:p w14:paraId="14087D25" w14:textId="77777777" w:rsidR="009B7AED" w:rsidRPr="0060053A" w:rsidRDefault="009B7AED" w:rsidP="005148CB">
            <w:pPr>
              <w:pStyle w:val="TableTextDense"/>
              <w:keepLines/>
              <w:widowControl/>
              <w:spacing w:before="20" w:after="20" w:line="240" w:lineRule="auto"/>
              <w:contextualSpacing w:val="0"/>
              <w:jc w:val="center"/>
              <w:rPr>
                <w:rStyle w:val="Bold"/>
                <w:rFonts w:ascii="Calibri" w:hAnsi="Calibri" w:cs="Calibri"/>
                <w:b w:val="0"/>
                <w:bCs w:val="0"/>
                <w:sz w:val="20"/>
                <w:szCs w:val="20"/>
              </w:rPr>
            </w:pPr>
            <w:r w:rsidRPr="0060053A">
              <w:rPr>
                <w:rStyle w:val="Bold"/>
                <w:rFonts w:ascii="Calibri" w:hAnsi="Calibri" w:cs="Calibri"/>
                <w:sz w:val="20"/>
                <w:szCs w:val="20"/>
              </w:rPr>
              <w:t>135-139</w:t>
            </w:r>
          </w:p>
        </w:tc>
        <w:tc>
          <w:tcPr>
            <w:tcW w:w="939" w:type="dxa"/>
          </w:tcPr>
          <w:p w14:paraId="24B59EDA" w14:textId="77777777" w:rsidR="009B7AED" w:rsidRPr="0060053A" w:rsidRDefault="009B7AED" w:rsidP="005148CB">
            <w:pPr>
              <w:pStyle w:val="TableTextDense"/>
              <w:keepLines/>
              <w:widowControl/>
              <w:spacing w:before="20" w:after="20" w:line="240" w:lineRule="auto"/>
              <w:contextualSpacing w:val="0"/>
              <w:jc w:val="center"/>
              <w:rPr>
                <w:rStyle w:val="Bold"/>
                <w:rFonts w:ascii="Calibri" w:hAnsi="Calibri" w:cs="Calibri"/>
                <w:b w:val="0"/>
                <w:bCs w:val="0"/>
                <w:sz w:val="20"/>
                <w:szCs w:val="20"/>
              </w:rPr>
            </w:pPr>
            <w:r w:rsidRPr="0060053A">
              <w:rPr>
                <w:rStyle w:val="Bold"/>
                <w:rFonts w:ascii="Calibri" w:hAnsi="Calibri" w:cs="Calibri"/>
                <w:sz w:val="20"/>
                <w:szCs w:val="20"/>
              </w:rPr>
              <w:t>140-144</w:t>
            </w:r>
          </w:p>
        </w:tc>
      </w:tr>
      <w:tr w:rsidR="009B7AED" w:rsidRPr="0060053A" w14:paraId="6D6029EC" w14:textId="77777777" w:rsidTr="007C54FC">
        <w:trPr>
          <w:trHeight w:val="58"/>
        </w:trPr>
        <w:tc>
          <w:tcPr>
            <w:tcW w:w="890" w:type="dxa"/>
          </w:tcPr>
          <w:p w14:paraId="057AD69F" w14:textId="77777777" w:rsidR="009B7AED" w:rsidRPr="0060053A" w:rsidRDefault="009B7AED" w:rsidP="005148CB">
            <w:pPr>
              <w:pStyle w:val="TableTextDense"/>
              <w:keepLines/>
              <w:widowControl/>
              <w:spacing w:before="20" w:after="20" w:line="240" w:lineRule="auto"/>
              <w:contextualSpacing w:val="0"/>
              <w:rPr>
                <w:rFonts w:ascii="Calibri" w:hAnsi="Calibri" w:cs="Calibri"/>
                <w:sz w:val="20"/>
                <w:szCs w:val="20"/>
              </w:rPr>
            </w:pPr>
            <w:r w:rsidRPr="0060053A">
              <w:rPr>
                <w:rStyle w:val="Bold"/>
                <w:rFonts w:ascii="Calibri" w:hAnsi="Calibri" w:cs="Calibri"/>
                <w:sz w:val="20"/>
                <w:szCs w:val="20"/>
              </w:rPr>
              <w:t>Content Example:</w:t>
            </w:r>
          </w:p>
        </w:tc>
        <w:tc>
          <w:tcPr>
            <w:tcW w:w="988" w:type="dxa"/>
          </w:tcPr>
          <w:p w14:paraId="548832A8" w14:textId="77777777" w:rsidR="009B7AED" w:rsidRPr="0060053A" w:rsidRDefault="009B7AED" w:rsidP="005148CB">
            <w:pPr>
              <w:pStyle w:val="TableTextDense"/>
              <w:keepLines/>
              <w:widowControl/>
              <w:spacing w:before="20" w:after="20" w:line="240" w:lineRule="auto"/>
              <w:contextualSpacing w:val="0"/>
              <w:jc w:val="center"/>
              <w:rPr>
                <w:rStyle w:val="Bold"/>
                <w:rFonts w:ascii="Calibri" w:hAnsi="Calibri" w:cs="Calibri"/>
                <w:sz w:val="20"/>
                <w:szCs w:val="20"/>
              </w:rPr>
            </w:pPr>
            <w:r w:rsidRPr="0060053A">
              <w:rPr>
                <w:rStyle w:val="Bold"/>
                <w:rFonts w:ascii="Calibri" w:hAnsi="Calibri" w:cs="Calibri"/>
                <w:sz w:val="20"/>
                <w:szCs w:val="20"/>
              </w:rPr>
              <w:t>00261</w:t>
            </w:r>
          </w:p>
        </w:tc>
        <w:tc>
          <w:tcPr>
            <w:tcW w:w="897" w:type="dxa"/>
          </w:tcPr>
          <w:p w14:paraId="080C26E9" w14:textId="77777777" w:rsidR="009B7AED" w:rsidRPr="0060053A" w:rsidRDefault="009B7AED" w:rsidP="005148CB">
            <w:pPr>
              <w:pStyle w:val="TableTextDense"/>
              <w:keepLines/>
              <w:widowControl/>
              <w:spacing w:before="20" w:after="20" w:line="240" w:lineRule="auto"/>
              <w:contextualSpacing w:val="0"/>
              <w:jc w:val="center"/>
              <w:rPr>
                <w:rStyle w:val="Bold"/>
                <w:rFonts w:ascii="Calibri" w:hAnsi="Calibri" w:cs="Calibri"/>
                <w:sz w:val="20"/>
                <w:szCs w:val="20"/>
              </w:rPr>
            </w:pPr>
            <w:r w:rsidRPr="0060053A">
              <w:rPr>
                <w:rStyle w:val="Bold"/>
                <w:rFonts w:ascii="Calibri" w:hAnsi="Calibri" w:cs="Calibri"/>
                <w:sz w:val="20"/>
                <w:szCs w:val="20"/>
              </w:rPr>
              <w:t>00202</w:t>
            </w:r>
          </w:p>
        </w:tc>
        <w:tc>
          <w:tcPr>
            <w:tcW w:w="897" w:type="dxa"/>
          </w:tcPr>
          <w:p w14:paraId="553D5DE2" w14:textId="77777777" w:rsidR="009B7AED" w:rsidRPr="0060053A" w:rsidRDefault="009B7AED" w:rsidP="005148CB">
            <w:pPr>
              <w:pStyle w:val="TableTextDense"/>
              <w:keepLines/>
              <w:widowControl/>
              <w:spacing w:before="20" w:after="20" w:line="240" w:lineRule="auto"/>
              <w:contextualSpacing w:val="0"/>
              <w:jc w:val="center"/>
              <w:rPr>
                <w:rFonts w:ascii="Calibri" w:hAnsi="Calibri" w:cs="Calibri"/>
                <w:sz w:val="20"/>
                <w:szCs w:val="20"/>
              </w:rPr>
            </w:pPr>
            <w:r w:rsidRPr="0060053A">
              <w:rPr>
                <w:rStyle w:val="Bold"/>
                <w:rFonts w:ascii="Calibri" w:hAnsi="Calibri" w:cs="Calibri"/>
                <w:sz w:val="20"/>
                <w:szCs w:val="20"/>
              </w:rPr>
              <w:t>00143</w:t>
            </w:r>
          </w:p>
        </w:tc>
        <w:tc>
          <w:tcPr>
            <w:tcW w:w="897" w:type="dxa"/>
          </w:tcPr>
          <w:p w14:paraId="2E478B82" w14:textId="77777777" w:rsidR="009B7AED" w:rsidRPr="0060053A" w:rsidRDefault="009B7AED" w:rsidP="005148CB">
            <w:pPr>
              <w:pStyle w:val="TableTextDense"/>
              <w:keepLines/>
              <w:widowControl/>
              <w:spacing w:before="20" w:after="20" w:line="240" w:lineRule="auto"/>
              <w:contextualSpacing w:val="0"/>
              <w:jc w:val="center"/>
              <w:rPr>
                <w:rFonts w:ascii="Calibri" w:hAnsi="Calibri" w:cs="Calibri"/>
                <w:sz w:val="20"/>
                <w:szCs w:val="20"/>
              </w:rPr>
            </w:pPr>
            <w:r w:rsidRPr="0060053A">
              <w:rPr>
                <w:rStyle w:val="Bold"/>
                <w:rFonts w:ascii="Calibri" w:hAnsi="Calibri" w:cs="Calibri"/>
                <w:sz w:val="20"/>
                <w:szCs w:val="20"/>
              </w:rPr>
              <w:t>00098</w:t>
            </w:r>
          </w:p>
        </w:tc>
        <w:tc>
          <w:tcPr>
            <w:tcW w:w="897" w:type="dxa"/>
          </w:tcPr>
          <w:p w14:paraId="09BFBCFE" w14:textId="77777777" w:rsidR="009B7AED" w:rsidRPr="0060053A" w:rsidRDefault="009B7AED" w:rsidP="005148CB">
            <w:pPr>
              <w:pStyle w:val="TableTextDense"/>
              <w:keepLines/>
              <w:widowControl/>
              <w:spacing w:before="20" w:after="20" w:line="240" w:lineRule="auto"/>
              <w:contextualSpacing w:val="0"/>
              <w:jc w:val="center"/>
              <w:rPr>
                <w:rFonts w:ascii="Calibri" w:hAnsi="Calibri" w:cs="Calibri"/>
                <w:sz w:val="20"/>
                <w:szCs w:val="20"/>
              </w:rPr>
            </w:pPr>
            <w:r w:rsidRPr="0060053A">
              <w:rPr>
                <w:rStyle w:val="Bold"/>
                <w:rFonts w:ascii="Calibri" w:hAnsi="Calibri" w:cs="Calibri"/>
                <w:sz w:val="20"/>
                <w:szCs w:val="20"/>
              </w:rPr>
              <w:t>00054</w:t>
            </w:r>
          </w:p>
        </w:tc>
        <w:tc>
          <w:tcPr>
            <w:tcW w:w="897" w:type="dxa"/>
          </w:tcPr>
          <w:p w14:paraId="1BC209AF" w14:textId="77777777" w:rsidR="009B7AED" w:rsidRPr="0060053A" w:rsidRDefault="009B7AED" w:rsidP="005148CB">
            <w:pPr>
              <w:pStyle w:val="TableTextDense"/>
              <w:keepLines/>
              <w:widowControl/>
              <w:spacing w:before="20" w:after="20" w:line="240" w:lineRule="auto"/>
              <w:contextualSpacing w:val="0"/>
              <w:jc w:val="center"/>
              <w:rPr>
                <w:rFonts w:ascii="Calibri" w:hAnsi="Calibri" w:cs="Calibri"/>
                <w:sz w:val="20"/>
                <w:szCs w:val="20"/>
              </w:rPr>
            </w:pPr>
            <w:r w:rsidRPr="0060053A">
              <w:rPr>
                <w:rStyle w:val="Bold"/>
                <w:rFonts w:ascii="Calibri" w:hAnsi="Calibri" w:cs="Calibri"/>
                <w:sz w:val="20"/>
                <w:szCs w:val="20"/>
              </w:rPr>
              <w:t>00022</w:t>
            </w:r>
          </w:p>
        </w:tc>
        <w:tc>
          <w:tcPr>
            <w:tcW w:w="897" w:type="dxa"/>
          </w:tcPr>
          <w:p w14:paraId="7DFA34E5" w14:textId="77777777" w:rsidR="009B7AED" w:rsidRPr="0060053A" w:rsidRDefault="009B7AED" w:rsidP="005148CB">
            <w:pPr>
              <w:pStyle w:val="TableTextDense"/>
              <w:keepLines/>
              <w:widowControl/>
              <w:spacing w:before="20" w:after="20" w:line="240" w:lineRule="auto"/>
              <w:contextualSpacing w:val="0"/>
              <w:jc w:val="center"/>
              <w:rPr>
                <w:rFonts w:ascii="Calibri" w:hAnsi="Calibri" w:cs="Calibri"/>
                <w:sz w:val="20"/>
                <w:szCs w:val="20"/>
              </w:rPr>
            </w:pPr>
            <w:r w:rsidRPr="0060053A">
              <w:rPr>
                <w:rStyle w:val="Bold"/>
                <w:rFonts w:ascii="Calibri" w:hAnsi="Calibri" w:cs="Calibri"/>
                <w:sz w:val="20"/>
                <w:szCs w:val="20"/>
              </w:rPr>
              <w:t>00019</w:t>
            </w:r>
          </w:p>
        </w:tc>
        <w:tc>
          <w:tcPr>
            <w:tcW w:w="939" w:type="dxa"/>
          </w:tcPr>
          <w:p w14:paraId="02CC297C" w14:textId="77777777" w:rsidR="009B7AED" w:rsidRPr="0060053A" w:rsidRDefault="009B7AED" w:rsidP="005148CB">
            <w:pPr>
              <w:pStyle w:val="TableTextDense"/>
              <w:keepLines/>
              <w:widowControl/>
              <w:spacing w:before="20" w:after="20" w:line="240" w:lineRule="auto"/>
              <w:contextualSpacing w:val="0"/>
              <w:jc w:val="center"/>
              <w:rPr>
                <w:rFonts w:ascii="Calibri" w:hAnsi="Calibri" w:cs="Calibri"/>
                <w:sz w:val="20"/>
                <w:szCs w:val="20"/>
              </w:rPr>
            </w:pPr>
            <w:r w:rsidRPr="0060053A">
              <w:rPr>
                <w:rStyle w:val="Bold"/>
                <w:rFonts w:ascii="Calibri" w:hAnsi="Calibri" w:cs="Calibri"/>
                <w:sz w:val="20"/>
                <w:szCs w:val="20"/>
              </w:rPr>
              <w:t>00008</w:t>
            </w:r>
          </w:p>
        </w:tc>
      </w:tr>
    </w:tbl>
    <w:p w14:paraId="1FBA756A" w14:textId="4B85323E" w:rsidR="009B7AED" w:rsidRPr="00C27CFF" w:rsidRDefault="009B7AED">
      <w:pPr>
        <w:pStyle w:val="Heading3"/>
        <w:spacing w:before="360"/>
      </w:pPr>
      <w:bookmarkStart w:id="2915" w:name="_Toc63976743"/>
      <w:bookmarkStart w:id="2916" w:name="_Toc109301276"/>
      <w:bookmarkStart w:id="2917" w:name="_Toc109333010"/>
      <w:bookmarkStart w:id="2918" w:name="_Toc109333603"/>
      <w:bookmarkStart w:id="2919" w:name="_Toc113281101"/>
      <w:bookmarkStart w:id="2920" w:name="_Toc118205689"/>
      <w:r>
        <w:t xml:space="preserve">Traffic Volume Data – </w:t>
      </w:r>
      <w:r w:rsidRPr="001546EF">
        <w:t>Pipe</w:t>
      </w:r>
      <w:r>
        <w:t>-</w:t>
      </w:r>
      <w:r w:rsidRPr="001546EF">
        <w:t>Delimited Format</w:t>
      </w:r>
      <w:bookmarkEnd w:id="2915"/>
      <w:bookmarkEnd w:id="2916"/>
      <w:bookmarkEnd w:id="2917"/>
      <w:bookmarkEnd w:id="2918"/>
      <w:bookmarkEnd w:id="2919"/>
      <w:bookmarkEnd w:id="2920"/>
    </w:p>
    <w:p w14:paraId="4F371DA7" w14:textId="63AAD267" w:rsidR="009B7AED" w:rsidRPr="008718CB" w:rsidRDefault="009B7AED" w:rsidP="008718CB">
      <w:pPr>
        <w:pStyle w:val="BodyText"/>
      </w:pPr>
      <w:r w:rsidRPr="008718CB">
        <w:t xml:space="preserve">State highway agencies can also submit traffic volume data using the pipe-delimited format. The key difference between the fixed-width format and the pipe-delimited format is that with the pipe-delimited file, data elements no longer need to match the starting and ending columns. Length of data elements can be equal or shorter than the specified lengths. </w:t>
      </w:r>
      <w:r w:rsidRPr="008718CB">
        <w:rPr>
          <w:rStyle w:val="Italic"/>
          <w:i w:val="0"/>
        </w:rPr>
        <w:t xml:space="preserve">The field order for the pipe-delimited format is identical to the order for the fixed-width format (see </w:t>
      </w:r>
      <w:r w:rsidRPr="008718CB">
        <w:rPr>
          <w:rStyle w:val="Italic"/>
          <w:i w:val="0"/>
        </w:rPr>
        <w:fldChar w:fldCharType="begin"/>
      </w:r>
      <w:r w:rsidRPr="008718CB">
        <w:rPr>
          <w:rStyle w:val="Italic"/>
          <w:i w:val="0"/>
        </w:rPr>
        <w:instrText xml:space="preserve"> REF _Ref111023252  \* MERGEFORMAT </w:instrText>
      </w:r>
      <w:r w:rsidRPr="008718CB">
        <w:rPr>
          <w:rStyle w:val="Italic"/>
          <w:i w:val="0"/>
        </w:rPr>
        <w:fldChar w:fldCharType="separate"/>
      </w:r>
      <w:r w:rsidR="00C07DF9">
        <w:t>Table 4</w:t>
      </w:r>
      <w:r w:rsidR="00C07DF9">
        <w:noBreakHyphen/>
        <w:t>9</w:t>
      </w:r>
      <w:r w:rsidRPr="008718CB">
        <w:rPr>
          <w:rStyle w:val="Italic"/>
          <w:i w:val="0"/>
        </w:rPr>
        <w:fldChar w:fldCharType="end"/>
      </w:r>
      <w:r w:rsidRPr="008718CB">
        <w:rPr>
          <w:rStyle w:val="Italic"/>
          <w:i w:val="0"/>
        </w:rPr>
        <w:t xml:space="preserve">). The difference in this format is that the fields are separated by a </w:t>
      </w:r>
      <w:r w:rsidRPr="008718CB">
        <w:t>pipe symbol (|) instead of beginning in specified columns. Example records in this format are provided below. Given it is less demanding on the format, States are encouraged to use the pipe-delimited format for volume data recording and reporting.</w:t>
      </w:r>
    </w:p>
    <w:p w14:paraId="107967B6" w14:textId="77777777" w:rsidR="009B7AED" w:rsidRDefault="009B7AED" w:rsidP="00B854E1">
      <w:pPr>
        <w:pStyle w:val="Source"/>
        <w:sectPr w:rsidR="009B7AED" w:rsidSect="006428F4">
          <w:headerReference w:type="even" r:id="rId164"/>
          <w:headerReference w:type="default" r:id="rId165"/>
          <w:footerReference w:type="even" r:id="rId166"/>
          <w:footerReference w:type="default" r:id="rId167"/>
          <w:pgSz w:w="12240" w:h="15840" w:code="1"/>
          <w:pgMar w:top="1440" w:right="1440" w:bottom="1152" w:left="1440" w:header="720" w:footer="576" w:gutter="0"/>
          <w:pgNumType w:chapStyle="1"/>
          <w:cols w:space="720"/>
          <w:noEndnote/>
        </w:sectPr>
      </w:pPr>
    </w:p>
    <w:p w14:paraId="53717091" w14:textId="77777777" w:rsidR="009B7AED" w:rsidRPr="008718CB" w:rsidRDefault="009B7AED" w:rsidP="008718CB">
      <w:pPr>
        <w:pStyle w:val="BodyText"/>
        <w:spacing w:after="240"/>
        <w:rPr>
          <w:rFonts w:ascii="Cambria" w:hAnsi="Cambria"/>
          <w:bCs/>
          <w:sz w:val="26"/>
          <w:szCs w:val="26"/>
        </w:rPr>
      </w:pPr>
      <w:r w:rsidRPr="008718CB">
        <w:rPr>
          <w:rFonts w:ascii="Cambria" w:hAnsi="Cambria"/>
          <w:bCs/>
          <w:sz w:val="26"/>
          <w:szCs w:val="26"/>
        </w:rPr>
        <w:lastRenderedPageBreak/>
        <w:t>Example:</w:t>
      </w:r>
    </w:p>
    <w:p w14:paraId="41F85646" w14:textId="77777777" w:rsidR="009B7AED" w:rsidRPr="00AE1CC0" w:rsidRDefault="009B7AED" w:rsidP="008718CB">
      <w:pPr>
        <w:pStyle w:val="BodyTextLandscape"/>
        <w:spacing w:before="240" w:after="60" w:line="240" w:lineRule="auto"/>
        <w:jc w:val="left"/>
        <w:rPr>
          <w:rStyle w:val="Italic"/>
          <w:b/>
          <w:i w:val="0"/>
        </w:rPr>
      </w:pPr>
      <w:r w:rsidRPr="00AE1CC0">
        <w:rPr>
          <w:rStyle w:val="Italic"/>
          <w:b/>
          <w:i w:val="0"/>
        </w:rPr>
        <w:t xml:space="preserve">Delimited Volume </w:t>
      </w:r>
      <w:bookmarkStart w:id="2921" w:name="_Hlk44321695"/>
      <w:r w:rsidRPr="00AE1CC0">
        <w:rPr>
          <w:rStyle w:val="Bold"/>
          <w:b/>
        </w:rPr>
        <w:t>Record</w:t>
      </w:r>
      <w:r w:rsidRPr="00AE1CC0">
        <w:rPr>
          <w:rStyle w:val="Italic"/>
          <w:b/>
          <w:i w:val="0"/>
        </w:rPr>
        <w:t xml:space="preserve"> Format</w:t>
      </w:r>
    </w:p>
    <w:p w14:paraId="6F128EF9" w14:textId="77777777" w:rsidR="009B7AED" w:rsidRPr="00C06041" w:rsidRDefault="009B7AED" w:rsidP="00A35EAF">
      <w:pPr>
        <w:pStyle w:val="BodyText"/>
        <w:rPr>
          <w:rStyle w:val="Italic"/>
          <w:i w:val="0"/>
        </w:rPr>
      </w:pPr>
      <w:r w:rsidRPr="00C06041">
        <w:rPr>
          <w:rStyle w:val="Italic"/>
          <w:i w:val="0"/>
        </w:rPr>
        <w:t>RT|SFIPS|FC|ID|D</w:t>
      </w:r>
      <w:r>
        <w:rPr>
          <w:rStyle w:val="Italic"/>
          <w:i w:val="0"/>
        </w:rPr>
        <w:t>IR</w:t>
      </w:r>
      <w:r w:rsidRPr="00C06041">
        <w:rPr>
          <w:rStyle w:val="Italic"/>
          <w:i w:val="0"/>
        </w:rPr>
        <w:t>|L</w:t>
      </w:r>
      <w:r>
        <w:rPr>
          <w:rStyle w:val="Italic"/>
          <w:i w:val="0"/>
        </w:rPr>
        <w:t>N</w:t>
      </w:r>
      <w:r w:rsidRPr="00C06041">
        <w:rPr>
          <w:rStyle w:val="Italic"/>
          <w:i w:val="0"/>
        </w:rPr>
        <w:t>|</w:t>
      </w:r>
      <w:r>
        <w:rPr>
          <w:rStyle w:val="Italic"/>
          <w:i w:val="0"/>
        </w:rPr>
        <w:t>Y</w:t>
      </w:r>
      <w:r w:rsidRPr="00C06041">
        <w:rPr>
          <w:rStyle w:val="Italic"/>
          <w:i w:val="0"/>
        </w:rPr>
        <w:t>R|M</w:t>
      </w:r>
      <w:r>
        <w:rPr>
          <w:rStyle w:val="Italic"/>
          <w:i w:val="0"/>
        </w:rPr>
        <w:t>OY</w:t>
      </w:r>
      <w:r w:rsidRPr="00C06041">
        <w:rPr>
          <w:rStyle w:val="Italic"/>
          <w:i w:val="0"/>
        </w:rPr>
        <w:t>|D</w:t>
      </w:r>
      <w:r>
        <w:rPr>
          <w:rStyle w:val="Italic"/>
          <w:i w:val="0"/>
        </w:rPr>
        <w:t>OM</w:t>
      </w:r>
      <w:r w:rsidRPr="00C06041">
        <w:rPr>
          <w:rStyle w:val="Italic"/>
          <w:i w:val="0"/>
        </w:rPr>
        <w:t>|DOW|R|TI|BIN1|BIN2|BIN3|BIN4|BIN5|BIN6|BIN7|BIN8|BIN9|BIN10|BIN11|BIN12|BIN13|BIN14|BIN15|BIN16|BIN17|BIN18|BIN19|BIN20|BIN21|BIN22|BIN23|BIN</w:t>
      </w:r>
      <w:r>
        <w:rPr>
          <w:rStyle w:val="Italic"/>
          <w:i w:val="0"/>
        </w:rPr>
        <w:t>2</w:t>
      </w:r>
      <w:r w:rsidRPr="00C06041">
        <w:rPr>
          <w:rStyle w:val="Italic"/>
          <w:i w:val="0"/>
        </w:rPr>
        <w:t>4</w:t>
      </w:r>
      <w:bookmarkEnd w:id="2921"/>
    </w:p>
    <w:p w14:paraId="3603D49A" w14:textId="77777777" w:rsidR="009B7AED" w:rsidRDefault="009B7AED" w:rsidP="008718CB">
      <w:pPr>
        <w:pStyle w:val="BodyTextLandscape"/>
        <w:spacing w:before="240" w:after="60" w:line="240" w:lineRule="auto"/>
        <w:jc w:val="left"/>
        <w:rPr>
          <w:rStyle w:val="Italic"/>
          <w:b/>
          <w:i w:val="0"/>
        </w:rPr>
      </w:pPr>
      <w:r>
        <w:rPr>
          <w:rStyle w:val="Italic"/>
          <w:b/>
          <w:i w:val="0"/>
        </w:rPr>
        <w:t>Example for 60-</w:t>
      </w:r>
      <w:r w:rsidRPr="00AE1CC0">
        <w:rPr>
          <w:rStyle w:val="Bold"/>
          <w:b/>
          <w:bCs/>
        </w:rPr>
        <w:t>Minute</w:t>
      </w:r>
      <w:r>
        <w:rPr>
          <w:rStyle w:val="Italic"/>
          <w:b/>
          <w:i w:val="0"/>
        </w:rPr>
        <w:t xml:space="preserve"> Volume with 2 directions</w:t>
      </w:r>
    </w:p>
    <w:p w14:paraId="4BFFF262" w14:textId="77777777" w:rsidR="009B7AED" w:rsidRDefault="009B7AED" w:rsidP="00A35EAF">
      <w:pPr>
        <w:pStyle w:val="BodyText"/>
        <w:rPr>
          <w:rStyle w:val="Italic"/>
          <w:b/>
          <w:i w:val="0"/>
        </w:rPr>
      </w:pPr>
      <w:r w:rsidRPr="00D5139F">
        <w:rPr>
          <w:rStyle w:val="Italic"/>
          <w:i w:val="0"/>
        </w:rPr>
        <w:t>3</w:t>
      </w:r>
      <w:r>
        <w:rPr>
          <w:rStyle w:val="Italic"/>
          <w:i w:val="0"/>
        </w:rPr>
        <w:t>|26|1U|xyz123|3|1|2020|6|23|3|0</w:t>
      </w:r>
      <w:r w:rsidRPr="00D5139F">
        <w:rPr>
          <w:rStyle w:val="Italic"/>
          <w:i w:val="0"/>
        </w:rPr>
        <w:t>||</w:t>
      </w:r>
      <w:r>
        <w:rPr>
          <w:rStyle w:val="Italic"/>
          <w:i w:val="0"/>
        </w:rPr>
        <w:t>100|88|76|40|20|32|120|200|300|260|232|200|248|262|312|400</w:t>
      </w:r>
      <w:r w:rsidRPr="00D5139F">
        <w:rPr>
          <w:rStyle w:val="Italic"/>
          <w:i w:val="0"/>
        </w:rPr>
        <w:t>|</w:t>
      </w:r>
      <w:r>
        <w:rPr>
          <w:rStyle w:val="Italic"/>
          <w:i w:val="0"/>
        </w:rPr>
        <w:t>500</w:t>
      </w:r>
      <w:r w:rsidRPr="00D5139F">
        <w:rPr>
          <w:rStyle w:val="Italic"/>
          <w:i w:val="0"/>
        </w:rPr>
        <w:t>|</w:t>
      </w:r>
      <w:r>
        <w:rPr>
          <w:rStyle w:val="Italic"/>
          <w:i w:val="0"/>
        </w:rPr>
        <w:t>372</w:t>
      </w:r>
      <w:r w:rsidRPr="00D5139F">
        <w:rPr>
          <w:rStyle w:val="Italic"/>
          <w:i w:val="0"/>
        </w:rPr>
        <w:t>|</w:t>
      </w:r>
      <w:r>
        <w:rPr>
          <w:rStyle w:val="Italic"/>
          <w:i w:val="0"/>
        </w:rPr>
        <w:t>36</w:t>
      </w:r>
      <w:r w:rsidRPr="00D5139F">
        <w:rPr>
          <w:rStyle w:val="Italic"/>
          <w:i w:val="0"/>
        </w:rPr>
        <w:t>0|</w:t>
      </w:r>
      <w:r>
        <w:rPr>
          <w:rStyle w:val="Italic"/>
          <w:i w:val="0"/>
        </w:rPr>
        <w:t>292</w:t>
      </w:r>
      <w:r w:rsidRPr="00D5139F">
        <w:rPr>
          <w:rStyle w:val="Italic"/>
          <w:i w:val="0"/>
        </w:rPr>
        <w:t>|</w:t>
      </w:r>
      <w:r>
        <w:rPr>
          <w:rStyle w:val="Italic"/>
          <w:i w:val="0"/>
        </w:rPr>
        <w:t>248</w:t>
      </w:r>
      <w:r w:rsidRPr="00D5139F">
        <w:rPr>
          <w:rStyle w:val="Italic"/>
          <w:i w:val="0"/>
        </w:rPr>
        <w:t>|</w:t>
      </w:r>
      <w:r>
        <w:rPr>
          <w:rStyle w:val="Italic"/>
          <w:i w:val="0"/>
        </w:rPr>
        <w:t>196</w:t>
      </w:r>
      <w:r w:rsidRPr="00D5139F">
        <w:rPr>
          <w:rStyle w:val="Italic"/>
          <w:i w:val="0"/>
        </w:rPr>
        <w:t>|</w:t>
      </w:r>
      <w:r>
        <w:rPr>
          <w:rStyle w:val="Italic"/>
          <w:i w:val="0"/>
        </w:rPr>
        <w:t>1</w:t>
      </w:r>
      <w:r w:rsidRPr="00D5139F">
        <w:rPr>
          <w:rStyle w:val="Italic"/>
          <w:i w:val="0"/>
        </w:rPr>
        <w:t>3</w:t>
      </w:r>
      <w:r>
        <w:rPr>
          <w:rStyle w:val="Italic"/>
          <w:i w:val="0"/>
        </w:rPr>
        <w:t>2</w:t>
      </w:r>
      <w:r w:rsidRPr="00D5139F">
        <w:rPr>
          <w:rStyle w:val="Italic"/>
          <w:i w:val="0"/>
        </w:rPr>
        <w:t>|</w:t>
      </w:r>
      <w:r>
        <w:rPr>
          <w:rStyle w:val="Italic"/>
          <w:i w:val="0"/>
        </w:rPr>
        <w:t>11</w:t>
      </w:r>
      <w:r w:rsidRPr="00D5139F">
        <w:rPr>
          <w:rStyle w:val="Italic"/>
          <w:i w:val="0"/>
        </w:rPr>
        <w:t>2</w:t>
      </w:r>
    </w:p>
    <w:p w14:paraId="35027CA8" w14:textId="77777777" w:rsidR="009B7AED" w:rsidRDefault="009B7AED" w:rsidP="00A35EAF">
      <w:pPr>
        <w:pStyle w:val="BodyText"/>
        <w:rPr>
          <w:rStyle w:val="Italic"/>
          <w:b/>
          <w:i w:val="0"/>
        </w:rPr>
      </w:pPr>
      <w:r w:rsidRPr="00D5139F">
        <w:rPr>
          <w:rStyle w:val="Italic"/>
          <w:i w:val="0"/>
        </w:rPr>
        <w:t>3|26|1U|xyz123|7|1|2020|6|23|3|</w:t>
      </w:r>
      <w:r>
        <w:rPr>
          <w:rStyle w:val="Italic"/>
          <w:i w:val="0"/>
        </w:rPr>
        <w:t>0|</w:t>
      </w:r>
      <w:r w:rsidRPr="00D5139F">
        <w:rPr>
          <w:rStyle w:val="Italic"/>
          <w:i w:val="0"/>
        </w:rPr>
        <w:t>|</w:t>
      </w:r>
      <w:r>
        <w:rPr>
          <w:rStyle w:val="Italic"/>
          <w:i w:val="0"/>
        </w:rPr>
        <w:t>130</w:t>
      </w:r>
      <w:r w:rsidRPr="00D5139F">
        <w:rPr>
          <w:rStyle w:val="Italic"/>
          <w:i w:val="0"/>
        </w:rPr>
        <w:t>|</w:t>
      </w:r>
      <w:r>
        <w:rPr>
          <w:rStyle w:val="Italic"/>
          <w:i w:val="0"/>
        </w:rPr>
        <w:t>88|76|40|20|32|120|200|300|260|232|200|248|262|312|400</w:t>
      </w:r>
      <w:r w:rsidRPr="00D5139F">
        <w:rPr>
          <w:rStyle w:val="Italic"/>
          <w:i w:val="0"/>
        </w:rPr>
        <w:t>|</w:t>
      </w:r>
      <w:r>
        <w:rPr>
          <w:rStyle w:val="Italic"/>
          <w:i w:val="0"/>
        </w:rPr>
        <w:t>500</w:t>
      </w:r>
      <w:r w:rsidRPr="00D5139F">
        <w:rPr>
          <w:rStyle w:val="Italic"/>
          <w:i w:val="0"/>
        </w:rPr>
        <w:t>|</w:t>
      </w:r>
      <w:r>
        <w:rPr>
          <w:rStyle w:val="Italic"/>
          <w:i w:val="0"/>
        </w:rPr>
        <w:t>372</w:t>
      </w:r>
      <w:r w:rsidRPr="00D5139F">
        <w:rPr>
          <w:rStyle w:val="Italic"/>
          <w:i w:val="0"/>
        </w:rPr>
        <w:t>|</w:t>
      </w:r>
      <w:r>
        <w:rPr>
          <w:rStyle w:val="Italic"/>
          <w:i w:val="0"/>
        </w:rPr>
        <w:t>36</w:t>
      </w:r>
      <w:r w:rsidRPr="00D5139F">
        <w:rPr>
          <w:rStyle w:val="Italic"/>
          <w:i w:val="0"/>
        </w:rPr>
        <w:t>0|</w:t>
      </w:r>
      <w:r>
        <w:rPr>
          <w:rStyle w:val="Italic"/>
          <w:i w:val="0"/>
        </w:rPr>
        <w:t>292</w:t>
      </w:r>
      <w:r w:rsidRPr="00D5139F">
        <w:rPr>
          <w:rStyle w:val="Italic"/>
          <w:i w:val="0"/>
        </w:rPr>
        <w:t>|</w:t>
      </w:r>
      <w:r>
        <w:rPr>
          <w:rStyle w:val="Italic"/>
          <w:i w:val="0"/>
        </w:rPr>
        <w:t>248</w:t>
      </w:r>
      <w:r w:rsidRPr="00D5139F">
        <w:rPr>
          <w:rStyle w:val="Italic"/>
          <w:i w:val="0"/>
        </w:rPr>
        <w:t>|</w:t>
      </w:r>
      <w:r>
        <w:rPr>
          <w:rStyle w:val="Italic"/>
          <w:i w:val="0"/>
        </w:rPr>
        <w:t>196</w:t>
      </w:r>
      <w:r w:rsidRPr="00D5139F">
        <w:rPr>
          <w:rStyle w:val="Italic"/>
          <w:i w:val="0"/>
        </w:rPr>
        <w:t>|</w:t>
      </w:r>
      <w:r>
        <w:rPr>
          <w:rStyle w:val="Italic"/>
          <w:i w:val="0"/>
        </w:rPr>
        <w:t>1</w:t>
      </w:r>
      <w:r w:rsidRPr="00D5139F">
        <w:rPr>
          <w:rStyle w:val="Italic"/>
          <w:i w:val="0"/>
        </w:rPr>
        <w:t>3</w:t>
      </w:r>
      <w:r>
        <w:rPr>
          <w:rStyle w:val="Italic"/>
          <w:i w:val="0"/>
        </w:rPr>
        <w:t>2</w:t>
      </w:r>
      <w:r w:rsidRPr="00D5139F">
        <w:rPr>
          <w:rStyle w:val="Italic"/>
          <w:i w:val="0"/>
        </w:rPr>
        <w:t>|</w:t>
      </w:r>
      <w:r>
        <w:rPr>
          <w:rStyle w:val="Italic"/>
          <w:i w:val="0"/>
        </w:rPr>
        <w:t>11</w:t>
      </w:r>
      <w:r w:rsidRPr="00D5139F">
        <w:rPr>
          <w:rStyle w:val="Italic"/>
          <w:i w:val="0"/>
        </w:rPr>
        <w:t>2</w:t>
      </w:r>
    </w:p>
    <w:p w14:paraId="3B7517D1" w14:textId="77777777" w:rsidR="009B7AED" w:rsidRDefault="009B7AED" w:rsidP="008718CB">
      <w:pPr>
        <w:pStyle w:val="BodyTextLandscape"/>
        <w:spacing w:before="240" w:after="60" w:line="240" w:lineRule="auto"/>
        <w:jc w:val="left"/>
        <w:rPr>
          <w:rStyle w:val="Italic"/>
          <w:b/>
          <w:i w:val="0"/>
        </w:rPr>
      </w:pPr>
      <w:r w:rsidRPr="00AE1CC0">
        <w:rPr>
          <w:rStyle w:val="Bold"/>
          <w:b/>
          <w:bCs/>
        </w:rPr>
        <w:t>Example</w:t>
      </w:r>
      <w:r>
        <w:rPr>
          <w:rStyle w:val="Italic"/>
          <w:b/>
          <w:i w:val="0"/>
        </w:rPr>
        <w:t xml:space="preserve"> for 15-</w:t>
      </w:r>
      <w:r w:rsidRPr="00AE1CC0">
        <w:rPr>
          <w:rStyle w:val="Bold"/>
          <w:b/>
          <w:bCs/>
        </w:rPr>
        <w:t>Minute</w:t>
      </w:r>
      <w:r>
        <w:rPr>
          <w:rStyle w:val="Italic"/>
          <w:b/>
          <w:i w:val="0"/>
        </w:rPr>
        <w:t xml:space="preserve"> Volume with 2 directions </w:t>
      </w:r>
    </w:p>
    <w:p w14:paraId="161F7E27" w14:textId="77777777" w:rsidR="009B7AED" w:rsidRPr="00D5139F" w:rsidRDefault="009B7AED" w:rsidP="00A35EAF">
      <w:pPr>
        <w:pStyle w:val="BodyText"/>
        <w:rPr>
          <w:rStyle w:val="Italic"/>
          <w:i w:val="0"/>
        </w:rPr>
      </w:pPr>
      <w:r w:rsidRPr="00D5139F">
        <w:rPr>
          <w:rStyle w:val="Italic"/>
          <w:i w:val="0"/>
        </w:rPr>
        <w:t>3|26|1U|xyz123|3|1|2020|6|23|3|</w:t>
      </w:r>
      <w:r>
        <w:rPr>
          <w:rStyle w:val="Italic"/>
          <w:i w:val="0"/>
        </w:rPr>
        <w:t>0</w:t>
      </w:r>
      <w:r w:rsidRPr="00D5139F">
        <w:rPr>
          <w:rStyle w:val="Italic"/>
          <w:i w:val="0"/>
        </w:rPr>
        <w:t>|</w:t>
      </w:r>
      <w:r>
        <w:rPr>
          <w:rStyle w:val="Italic"/>
          <w:i w:val="0"/>
        </w:rPr>
        <w:t>1</w:t>
      </w:r>
      <w:r w:rsidRPr="00D5139F">
        <w:rPr>
          <w:rStyle w:val="Italic"/>
          <w:i w:val="0"/>
        </w:rPr>
        <w:t>|25|22|19|10|5|8|30|50|75|65|58|50|62|68|78|100|125|93|90|73|62|49|33|28</w:t>
      </w:r>
    </w:p>
    <w:p w14:paraId="51374DBF" w14:textId="77777777" w:rsidR="009B7AED" w:rsidRPr="00D5139F" w:rsidRDefault="009B7AED" w:rsidP="00A35EAF">
      <w:pPr>
        <w:pStyle w:val="BodyText"/>
        <w:rPr>
          <w:rStyle w:val="Italic"/>
          <w:i w:val="0"/>
        </w:rPr>
      </w:pPr>
      <w:r w:rsidRPr="00D5139F">
        <w:rPr>
          <w:rStyle w:val="Italic"/>
          <w:i w:val="0"/>
        </w:rPr>
        <w:t>3|26|1U|xyz123|3|1|2020|6|23|3|</w:t>
      </w:r>
      <w:r>
        <w:rPr>
          <w:rStyle w:val="Italic"/>
          <w:i w:val="0"/>
        </w:rPr>
        <w:t>0</w:t>
      </w:r>
      <w:r w:rsidRPr="00D5139F">
        <w:rPr>
          <w:rStyle w:val="Italic"/>
          <w:i w:val="0"/>
        </w:rPr>
        <w:t>|</w:t>
      </w:r>
      <w:r>
        <w:rPr>
          <w:rStyle w:val="Italic"/>
          <w:i w:val="0"/>
        </w:rPr>
        <w:t>2</w:t>
      </w:r>
      <w:r w:rsidRPr="00D5139F">
        <w:rPr>
          <w:rStyle w:val="Italic"/>
          <w:i w:val="0"/>
        </w:rPr>
        <w:t>|24|22|19|10|5|8|30|50|75|65|58|50|62|68|78|100|125|93|90|73|62|49|33|28</w:t>
      </w:r>
    </w:p>
    <w:p w14:paraId="51AE7F56" w14:textId="77777777" w:rsidR="009B7AED" w:rsidRPr="00D5139F" w:rsidRDefault="009B7AED" w:rsidP="00A35EAF">
      <w:pPr>
        <w:pStyle w:val="BodyText"/>
        <w:rPr>
          <w:rStyle w:val="Italic"/>
          <w:i w:val="0"/>
        </w:rPr>
      </w:pPr>
      <w:r w:rsidRPr="00D5139F">
        <w:rPr>
          <w:rStyle w:val="Italic"/>
          <w:i w:val="0"/>
        </w:rPr>
        <w:t>3|26|1U|xyz123|3|1|2020|6|23|3|</w:t>
      </w:r>
      <w:r>
        <w:rPr>
          <w:rStyle w:val="Italic"/>
          <w:i w:val="0"/>
        </w:rPr>
        <w:t>0</w:t>
      </w:r>
      <w:r w:rsidRPr="00D5139F">
        <w:rPr>
          <w:rStyle w:val="Italic"/>
          <w:i w:val="0"/>
        </w:rPr>
        <w:t>|</w:t>
      </w:r>
      <w:r>
        <w:rPr>
          <w:rStyle w:val="Italic"/>
          <w:i w:val="0"/>
        </w:rPr>
        <w:t>3</w:t>
      </w:r>
      <w:r w:rsidRPr="00D5139F">
        <w:rPr>
          <w:rStyle w:val="Italic"/>
          <w:i w:val="0"/>
        </w:rPr>
        <w:t>|23|22|19|10|5|8|30|50|75|65|58|50|62|68|78|100|125|93|90|73|62|49|33|28</w:t>
      </w:r>
    </w:p>
    <w:p w14:paraId="2E57F61D" w14:textId="77777777" w:rsidR="009B7AED" w:rsidRDefault="009B7AED" w:rsidP="00A35EAF">
      <w:pPr>
        <w:pStyle w:val="BodyText"/>
        <w:rPr>
          <w:rStyle w:val="Italic"/>
          <w:i w:val="0"/>
        </w:rPr>
      </w:pPr>
      <w:r w:rsidRPr="00D5139F">
        <w:rPr>
          <w:rStyle w:val="Italic"/>
          <w:i w:val="0"/>
        </w:rPr>
        <w:t>3|26|1U|xyz123|3|1|2020|6|23|3|</w:t>
      </w:r>
      <w:r>
        <w:rPr>
          <w:rStyle w:val="Italic"/>
          <w:i w:val="0"/>
        </w:rPr>
        <w:t>0</w:t>
      </w:r>
      <w:r w:rsidRPr="00D5139F">
        <w:rPr>
          <w:rStyle w:val="Italic"/>
          <w:i w:val="0"/>
        </w:rPr>
        <w:t>|</w:t>
      </w:r>
      <w:r>
        <w:rPr>
          <w:rStyle w:val="Italic"/>
          <w:i w:val="0"/>
        </w:rPr>
        <w:t>4</w:t>
      </w:r>
      <w:r w:rsidRPr="00D5139F">
        <w:rPr>
          <w:rStyle w:val="Italic"/>
          <w:i w:val="0"/>
        </w:rPr>
        <w:t>|27|22|19|10|5|8|30|50|75|65|58|50|62|68|78|100|125|93|90|73|62|49|33|28</w:t>
      </w:r>
    </w:p>
    <w:p w14:paraId="7F897146" w14:textId="77777777" w:rsidR="009B7AED" w:rsidRPr="00D5139F" w:rsidRDefault="009B7AED" w:rsidP="00A35EAF">
      <w:pPr>
        <w:pStyle w:val="BodyText"/>
        <w:rPr>
          <w:rStyle w:val="Italic"/>
          <w:i w:val="0"/>
        </w:rPr>
      </w:pPr>
      <w:r w:rsidRPr="00D5139F">
        <w:rPr>
          <w:rStyle w:val="Italic"/>
          <w:i w:val="0"/>
        </w:rPr>
        <w:t>3|26|1U|xyz123|7|1|2020|6|23|3|</w:t>
      </w:r>
      <w:r>
        <w:rPr>
          <w:rStyle w:val="Italic"/>
          <w:i w:val="0"/>
        </w:rPr>
        <w:t>0</w:t>
      </w:r>
      <w:r w:rsidRPr="00D5139F">
        <w:rPr>
          <w:rStyle w:val="Italic"/>
          <w:i w:val="0"/>
        </w:rPr>
        <w:t>|</w:t>
      </w:r>
      <w:r>
        <w:rPr>
          <w:rStyle w:val="Italic"/>
          <w:i w:val="0"/>
        </w:rPr>
        <w:t>1</w:t>
      </w:r>
      <w:r w:rsidRPr="00D5139F">
        <w:rPr>
          <w:rStyle w:val="Italic"/>
          <w:i w:val="0"/>
        </w:rPr>
        <w:t>|32|22|19|10|5|8|30|50|75|65|58|50|62|68|78|100|125|93|90|73|62|49|33|28</w:t>
      </w:r>
    </w:p>
    <w:p w14:paraId="56CB9A37" w14:textId="77777777" w:rsidR="009B7AED" w:rsidRPr="00D5139F" w:rsidRDefault="009B7AED" w:rsidP="00A35EAF">
      <w:pPr>
        <w:pStyle w:val="BodyText"/>
        <w:rPr>
          <w:rStyle w:val="Italic"/>
          <w:i w:val="0"/>
        </w:rPr>
      </w:pPr>
      <w:r w:rsidRPr="00D5139F">
        <w:rPr>
          <w:rStyle w:val="Italic"/>
          <w:i w:val="0"/>
        </w:rPr>
        <w:t>3|26|1U|xyz123|7|1|2020|6|23|3|</w:t>
      </w:r>
      <w:r>
        <w:rPr>
          <w:rStyle w:val="Italic"/>
          <w:i w:val="0"/>
        </w:rPr>
        <w:t>0</w:t>
      </w:r>
      <w:r w:rsidRPr="00D5139F">
        <w:rPr>
          <w:rStyle w:val="Italic"/>
          <w:i w:val="0"/>
        </w:rPr>
        <w:t>|</w:t>
      </w:r>
      <w:r>
        <w:rPr>
          <w:rStyle w:val="Italic"/>
          <w:i w:val="0"/>
        </w:rPr>
        <w:t>2</w:t>
      </w:r>
      <w:r w:rsidRPr="00D5139F">
        <w:rPr>
          <w:rStyle w:val="Italic"/>
          <w:i w:val="0"/>
        </w:rPr>
        <w:t>|30|22|19|10|5|8|30|50|75|65|58|50|62|68|78|100|125|93|90|73|62|49|33|28</w:t>
      </w:r>
    </w:p>
    <w:p w14:paraId="5BE81FB2" w14:textId="77777777" w:rsidR="009B7AED" w:rsidRPr="00D5139F" w:rsidRDefault="009B7AED" w:rsidP="00A35EAF">
      <w:pPr>
        <w:pStyle w:val="BodyText"/>
        <w:rPr>
          <w:rStyle w:val="Italic"/>
          <w:i w:val="0"/>
        </w:rPr>
      </w:pPr>
      <w:r w:rsidRPr="00D5139F">
        <w:rPr>
          <w:rStyle w:val="Italic"/>
          <w:i w:val="0"/>
        </w:rPr>
        <w:t>3|26|1U|xyz123|7|1|2020|6|23|3|</w:t>
      </w:r>
      <w:r>
        <w:rPr>
          <w:rStyle w:val="Italic"/>
          <w:i w:val="0"/>
        </w:rPr>
        <w:t>0</w:t>
      </w:r>
      <w:r w:rsidRPr="00D5139F">
        <w:rPr>
          <w:rStyle w:val="Italic"/>
          <w:i w:val="0"/>
        </w:rPr>
        <w:t>|</w:t>
      </w:r>
      <w:r>
        <w:rPr>
          <w:rStyle w:val="Italic"/>
          <w:i w:val="0"/>
        </w:rPr>
        <w:t>3</w:t>
      </w:r>
      <w:r w:rsidRPr="00D5139F">
        <w:rPr>
          <w:rStyle w:val="Italic"/>
          <w:i w:val="0"/>
        </w:rPr>
        <w:t>|35|22|19|10|5|8|30|50|75|65|58|50|62|68|78|100|125|93|90|73|62|49|33|28</w:t>
      </w:r>
    </w:p>
    <w:p w14:paraId="7314E932" w14:textId="77777777" w:rsidR="009B7AED" w:rsidRDefault="009B7AED" w:rsidP="00A35EAF">
      <w:pPr>
        <w:pStyle w:val="BodyText"/>
        <w:rPr>
          <w:rStyle w:val="Italic"/>
          <w:i w:val="0"/>
        </w:rPr>
      </w:pPr>
      <w:r w:rsidRPr="00D5139F">
        <w:rPr>
          <w:rStyle w:val="Italic"/>
          <w:i w:val="0"/>
        </w:rPr>
        <w:t>3|26|1U|xyz123|7|1|2020|6|23|3|</w:t>
      </w:r>
      <w:r>
        <w:rPr>
          <w:rStyle w:val="Italic"/>
          <w:i w:val="0"/>
        </w:rPr>
        <w:t>0</w:t>
      </w:r>
      <w:r w:rsidRPr="00D5139F">
        <w:rPr>
          <w:rStyle w:val="Italic"/>
          <w:i w:val="0"/>
        </w:rPr>
        <w:t>|</w:t>
      </w:r>
      <w:r>
        <w:rPr>
          <w:rStyle w:val="Italic"/>
          <w:i w:val="0"/>
        </w:rPr>
        <w:t>4</w:t>
      </w:r>
      <w:r w:rsidRPr="00D5139F">
        <w:rPr>
          <w:rStyle w:val="Italic"/>
          <w:i w:val="0"/>
        </w:rPr>
        <w:t>|33|22|19|10|5|8|30|50|75|65|58|50|62|68|78|100|125|93|90|73|62|49|33|28</w:t>
      </w:r>
    </w:p>
    <w:p w14:paraId="044314D6" w14:textId="77777777" w:rsidR="009B7AED" w:rsidRPr="00D5139F" w:rsidRDefault="009B7AED" w:rsidP="00A35EAF">
      <w:pPr>
        <w:pStyle w:val="BodyText"/>
        <w:rPr>
          <w:rStyle w:val="Italic"/>
          <w:i w:val="0"/>
        </w:rPr>
      </w:pPr>
      <w:r w:rsidRPr="00D5139F">
        <w:rPr>
          <w:rStyle w:val="Italic"/>
          <w:i w:val="0"/>
        </w:rPr>
        <w:t>3|26|1U|xyz123|3|1|2020|6|24|4|</w:t>
      </w:r>
      <w:r>
        <w:rPr>
          <w:rStyle w:val="Italic"/>
          <w:i w:val="0"/>
        </w:rPr>
        <w:t>0</w:t>
      </w:r>
      <w:r w:rsidRPr="00D5139F">
        <w:rPr>
          <w:rStyle w:val="Italic"/>
          <w:i w:val="0"/>
        </w:rPr>
        <w:t>|</w:t>
      </w:r>
      <w:r>
        <w:rPr>
          <w:rStyle w:val="Italic"/>
          <w:i w:val="0"/>
        </w:rPr>
        <w:t>1</w:t>
      </w:r>
      <w:r w:rsidRPr="00D5139F">
        <w:rPr>
          <w:rStyle w:val="Italic"/>
          <w:i w:val="0"/>
        </w:rPr>
        <w:t>|21|22|19|10|5|8|30|50|75|65|58|50|62|68|78|100|125|93|90|73|62|49|33|28</w:t>
      </w:r>
    </w:p>
    <w:p w14:paraId="1C82F7FD" w14:textId="77777777" w:rsidR="009B7AED" w:rsidRPr="00F3477D" w:rsidRDefault="009B7AED" w:rsidP="008718CB">
      <w:pPr>
        <w:pStyle w:val="BodyTextLandscape"/>
        <w:spacing w:before="240" w:after="60" w:line="240" w:lineRule="auto"/>
        <w:jc w:val="left"/>
        <w:rPr>
          <w:rStyle w:val="Italic"/>
          <w:b/>
          <w:i w:val="0"/>
        </w:rPr>
      </w:pPr>
      <w:r>
        <w:rPr>
          <w:rStyle w:val="Italic"/>
          <w:b/>
          <w:i w:val="0"/>
        </w:rPr>
        <w:t>Example for 5-</w:t>
      </w:r>
      <w:r w:rsidRPr="00AE1CC0">
        <w:rPr>
          <w:rStyle w:val="Bold"/>
          <w:b/>
          <w:bCs/>
        </w:rPr>
        <w:t>Minute</w:t>
      </w:r>
      <w:r>
        <w:rPr>
          <w:rStyle w:val="Italic"/>
          <w:b/>
          <w:i w:val="0"/>
        </w:rPr>
        <w:t xml:space="preserve"> Volume with 2 directions </w:t>
      </w:r>
    </w:p>
    <w:p w14:paraId="677058C2" w14:textId="77777777" w:rsidR="009B7AED" w:rsidRPr="00D5139F" w:rsidRDefault="009B7AED" w:rsidP="00A35EAF">
      <w:pPr>
        <w:pStyle w:val="BodyText"/>
        <w:rPr>
          <w:rStyle w:val="Italic"/>
          <w:i w:val="0"/>
        </w:rPr>
      </w:pPr>
      <w:r>
        <w:rPr>
          <w:rStyle w:val="Italic"/>
          <w:i w:val="0"/>
        </w:rPr>
        <w:t>3|49|3</w:t>
      </w:r>
      <w:r w:rsidRPr="00D5139F">
        <w:rPr>
          <w:rStyle w:val="Italic"/>
          <w:i w:val="0"/>
        </w:rPr>
        <w:t>U|</w:t>
      </w:r>
      <w:r>
        <w:rPr>
          <w:rStyle w:val="Italic"/>
          <w:i w:val="0"/>
        </w:rPr>
        <w:t>lmnopq</w:t>
      </w:r>
      <w:r w:rsidRPr="00D5139F">
        <w:rPr>
          <w:rStyle w:val="Italic"/>
          <w:i w:val="0"/>
        </w:rPr>
        <w:t>|3|1|2020|</w:t>
      </w:r>
      <w:r>
        <w:rPr>
          <w:rStyle w:val="Italic"/>
          <w:i w:val="0"/>
        </w:rPr>
        <w:t>4</w:t>
      </w:r>
      <w:r w:rsidRPr="00D5139F">
        <w:rPr>
          <w:rStyle w:val="Italic"/>
          <w:i w:val="0"/>
        </w:rPr>
        <w:t>|2</w:t>
      </w:r>
      <w:r>
        <w:rPr>
          <w:rStyle w:val="Italic"/>
          <w:i w:val="0"/>
        </w:rPr>
        <w:t>5|5</w:t>
      </w:r>
      <w:r w:rsidRPr="00D5139F">
        <w:rPr>
          <w:rStyle w:val="Italic"/>
          <w:i w:val="0"/>
        </w:rPr>
        <w:t>|</w:t>
      </w:r>
      <w:r>
        <w:rPr>
          <w:rStyle w:val="Italic"/>
          <w:i w:val="0"/>
        </w:rPr>
        <w:t>0</w:t>
      </w:r>
      <w:r w:rsidRPr="00D5139F">
        <w:rPr>
          <w:rStyle w:val="Italic"/>
          <w:i w:val="0"/>
        </w:rPr>
        <w:t>|A|25|22|19|10|5|8|30|50|75|65|58|50|62|68|78|100|125|93|90|73|62|49|33|28</w:t>
      </w:r>
    </w:p>
    <w:p w14:paraId="5C09FEFD" w14:textId="77777777" w:rsidR="009B7AED" w:rsidRPr="00D5139F" w:rsidRDefault="009B7AED" w:rsidP="00A35EAF">
      <w:pPr>
        <w:pStyle w:val="BodyText"/>
        <w:rPr>
          <w:rStyle w:val="Italic"/>
          <w:i w:val="0"/>
        </w:rPr>
      </w:pPr>
      <w:r>
        <w:rPr>
          <w:rStyle w:val="Italic"/>
          <w:i w:val="0"/>
        </w:rPr>
        <w:t>3|49|3U|lmnopq|3|1|2020|4|25|5</w:t>
      </w:r>
      <w:r w:rsidRPr="00D5139F">
        <w:rPr>
          <w:rStyle w:val="Italic"/>
          <w:i w:val="0"/>
        </w:rPr>
        <w:t>|</w:t>
      </w:r>
      <w:r>
        <w:rPr>
          <w:rStyle w:val="Italic"/>
          <w:i w:val="0"/>
        </w:rPr>
        <w:t>0</w:t>
      </w:r>
      <w:r w:rsidRPr="00D5139F">
        <w:rPr>
          <w:rStyle w:val="Italic"/>
          <w:i w:val="0"/>
        </w:rPr>
        <w:t>|B|24|22|19|10|5|8|30|50|75|65|58|50|62|68|78|100|125|93|90|73|62|49|33|28</w:t>
      </w:r>
    </w:p>
    <w:p w14:paraId="06881B10" w14:textId="77777777" w:rsidR="009B7AED" w:rsidRPr="00D5139F" w:rsidRDefault="009B7AED" w:rsidP="00A35EAF">
      <w:pPr>
        <w:pStyle w:val="BodyText"/>
        <w:rPr>
          <w:rStyle w:val="Italic"/>
          <w:i w:val="0"/>
        </w:rPr>
      </w:pPr>
      <w:r>
        <w:rPr>
          <w:rStyle w:val="Italic"/>
          <w:i w:val="0"/>
        </w:rPr>
        <w:t>3|49|3U|lmnopq|3|1|2020|4|25|5</w:t>
      </w:r>
      <w:r w:rsidRPr="00D5139F">
        <w:rPr>
          <w:rStyle w:val="Italic"/>
          <w:i w:val="0"/>
        </w:rPr>
        <w:t>|</w:t>
      </w:r>
      <w:r>
        <w:rPr>
          <w:rStyle w:val="Italic"/>
          <w:i w:val="0"/>
        </w:rPr>
        <w:t>0</w:t>
      </w:r>
      <w:r w:rsidRPr="00D5139F">
        <w:rPr>
          <w:rStyle w:val="Italic"/>
          <w:i w:val="0"/>
        </w:rPr>
        <w:t>|C|23|22|19|10|5|8|30|50|75|65|58|50|62|68|78|100|125|93|90|73|62|49|33|28</w:t>
      </w:r>
    </w:p>
    <w:p w14:paraId="2E82DE8D" w14:textId="77777777" w:rsidR="009B7AED" w:rsidRDefault="009B7AED" w:rsidP="00A35EAF">
      <w:pPr>
        <w:pStyle w:val="BodyText"/>
        <w:rPr>
          <w:rStyle w:val="Italic"/>
          <w:i w:val="0"/>
        </w:rPr>
      </w:pPr>
      <w:r>
        <w:rPr>
          <w:rStyle w:val="Italic"/>
          <w:i w:val="0"/>
        </w:rPr>
        <w:t>3|49|3U|lmnopq|3|1|2020|4|25|5</w:t>
      </w:r>
      <w:r w:rsidRPr="00D5139F">
        <w:rPr>
          <w:rStyle w:val="Italic"/>
          <w:i w:val="0"/>
        </w:rPr>
        <w:t>|</w:t>
      </w:r>
      <w:r>
        <w:rPr>
          <w:rStyle w:val="Italic"/>
          <w:i w:val="0"/>
        </w:rPr>
        <w:t>0</w:t>
      </w:r>
      <w:r w:rsidRPr="00D5139F">
        <w:rPr>
          <w:rStyle w:val="Italic"/>
          <w:i w:val="0"/>
        </w:rPr>
        <w:t>|D|27|22|19|10|5|8|30|50|75|65|58|50|62|68|78|100|125|93|90|73|62|49|33|28</w:t>
      </w:r>
    </w:p>
    <w:p w14:paraId="6DA0815D" w14:textId="77777777" w:rsidR="009B7AED" w:rsidRDefault="009B7AED" w:rsidP="00A35EAF">
      <w:pPr>
        <w:pStyle w:val="BodyText"/>
        <w:rPr>
          <w:rStyle w:val="Italic"/>
          <w:i w:val="0"/>
        </w:rPr>
      </w:pPr>
      <w:r>
        <w:rPr>
          <w:rStyle w:val="Italic"/>
          <w:i w:val="0"/>
        </w:rPr>
        <w:t>3|49|3U|lmnopq|3|1|2020|4|25|5|0|E|26</w:t>
      </w:r>
      <w:r w:rsidRPr="00D5139F">
        <w:rPr>
          <w:rStyle w:val="Italic"/>
          <w:i w:val="0"/>
        </w:rPr>
        <w:t>|22|19|10|5|8|30|50|75|65|58|50|62|68|78|100|1</w:t>
      </w:r>
      <w:r>
        <w:rPr>
          <w:rStyle w:val="Italic"/>
          <w:i w:val="0"/>
        </w:rPr>
        <w:t>25|93|90|73|62|49|33|28</w:t>
      </w:r>
    </w:p>
    <w:p w14:paraId="418FCB30" w14:textId="77777777" w:rsidR="009B7AED" w:rsidRDefault="009B7AED" w:rsidP="00A35EAF">
      <w:pPr>
        <w:pStyle w:val="BodyText"/>
        <w:rPr>
          <w:rStyle w:val="Italic"/>
          <w:i w:val="0"/>
        </w:rPr>
      </w:pPr>
      <w:r>
        <w:rPr>
          <w:rStyle w:val="Italic"/>
          <w:i w:val="0"/>
        </w:rPr>
        <w:t>3|49|3U|lmnopq|3|1|2020|4|25|5|0|F|23</w:t>
      </w:r>
      <w:r w:rsidRPr="00D5139F">
        <w:rPr>
          <w:rStyle w:val="Italic"/>
          <w:i w:val="0"/>
        </w:rPr>
        <w:t>|22|19|10|5|8|30|50|75|65|58|50|62|68|78|100|1</w:t>
      </w:r>
      <w:r>
        <w:rPr>
          <w:rStyle w:val="Italic"/>
          <w:i w:val="0"/>
        </w:rPr>
        <w:t>25|93|90|73|62|49|33|28</w:t>
      </w:r>
    </w:p>
    <w:p w14:paraId="4472DAC3" w14:textId="77777777" w:rsidR="009B7AED" w:rsidRDefault="009B7AED" w:rsidP="00A35EAF">
      <w:pPr>
        <w:pStyle w:val="BodyText"/>
        <w:rPr>
          <w:rStyle w:val="Italic"/>
          <w:i w:val="0"/>
        </w:rPr>
      </w:pPr>
      <w:r>
        <w:rPr>
          <w:rStyle w:val="Italic"/>
          <w:i w:val="0"/>
        </w:rPr>
        <w:t>3|49|3U|lmnopq|3|1|2020|4|25|5|0|G|22</w:t>
      </w:r>
      <w:r w:rsidRPr="00D5139F">
        <w:rPr>
          <w:rStyle w:val="Italic"/>
          <w:i w:val="0"/>
        </w:rPr>
        <w:t>|22|19|10|5|8|30|50|75|65|58|50|62|68|78|100|1</w:t>
      </w:r>
      <w:r>
        <w:rPr>
          <w:rStyle w:val="Italic"/>
          <w:i w:val="0"/>
        </w:rPr>
        <w:t>25|93|90|73|62|49|33|28</w:t>
      </w:r>
    </w:p>
    <w:p w14:paraId="053F3B04" w14:textId="77777777" w:rsidR="009B7AED" w:rsidRDefault="009B7AED" w:rsidP="00A35EAF">
      <w:pPr>
        <w:pStyle w:val="BodyText"/>
        <w:rPr>
          <w:rStyle w:val="Italic"/>
          <w:i w:val="0"/>
        </w:rPr>
      </w:pPr>
      <w:r>
        <w:rPr>
          <w:rStyle w:val="Italic"/>
          <w:i w:val="0"/>
        </w:rPr>
        <w:lastRenderedPageBreak/>
        <w:t>3|49|3U|lmnopq|3|1|2020|4|25|5|0|H|28</w:t>
      </w:r>
      <w:r w:rsidRPr="00D5139F">
        <w:rPr>
          <w:rStyle w:val="Italic"/>
          <w:i w:val="0"/>
        </w:rPr>
        <w:t>|22|19|10|5|8|30|50|75|65|58|50|62|68|78|100|1</w:t>
      </w:r>
      <w:r>
        <w:rPr>
          <w:rStyle w:val="Italic"/>
          <w:i w:val="0"/>
        </w:rPr>
        <w:t>25|93|90|73|62|49|33|28</w:t>
      </w:r>
    </w:p>
    <w:p w14:paraId="65C7C990" w14:textId="77777777" w:rsidR="009B7AED" w:rsidRDefault="009B7AED" w:rsidP="00A35EAF">
      <w:pPr>
        <w:pStyle w:val="BodyText"/>
        <w:rPr>
          <w:rStyle w:val="Italic"/>
          <w:i w:val="0"/>
        </w:rPr>
      </w:pPr>
      <w:r>
        <w:rPr>
          <w:rStyle w:val="Italic"/>
          <w:i w:val="0"/>
        </w:rPr>
        <w:t>3|49|3U|lmnopq|3|1|2020|4|25|5|0|I|26</w:t>
      </w:r>
      <w:r w:rsidRPr="00D5139F">
        <w:rPr>
          <w:rStyle w:val="Italic"/>
          <w:i w:val="0"/>
        </w:rPr>
        <w:t>|22|19|10|5|8|30|50|75|65|58|50|62|68|78|100|1</w:t>
      </w:r>
      <w:r>
        <w:rPr>
          <w:rStyle w:val="Italic"/>
          <w:i w:val="0"/>
        </w:rPr>
        <w:t>25|93|90|73|62|49|33|28</w:t>
      </w:r>
    </w:p>
    <w:p w14:paraId="3C8C9399" w14:textId="77777777" w:rsidR="009B7AED" w:rsidRDefault="009B7AED" w:rsidP="00A35EAF">
      <w:pPr>
        <w:pStyle w:val="BodyText"/>
        <w:rPr>
          <w:rStyle w:val="Italic"/>
          <w:i w:val="0"/>
        </w:rPr>
      </w:pPr>
      <w:r>
        <w:rPr>
          <w:rStyle w:val="Italic"/>
          <w:i w:val="0"/>
        </w:rPr>
        <w:t>3|49|3U|lmnopq|3|1|2020|4|25|5|0|J|24</w:t>
      </w:r>
      <w:r w:rsidRPr="00D5139F">
        <w:rPr>
          <w:rStyle w:val="Italic"/>
          <w:i w:val="0"/>
        </w:rPr>
        <w:t>|22|19|10|5|8|30|50|75|65|58|50|62|68|78|100|1</w:t>
      </w:r>
      <w:r>
        <w:rPr>
          <w:rStyle w:val="Italic"/>
          <w:i w:val="0"/>
        </w:rPr>
        <w:t>25|93|90|73|62|49|33|28</w:t>
      </w:r>
    </w:p>
    <w:p w14:paraId="780718D7" w14:textId="77777777" w:rsidR="009B7AED" w:rsidRDefault="009B7AED" w:rsidP="00A35EAF">
      <w:pPr>
        <w:pStyle w:val="BodyText"/>
        <w:rPr>
          <w:rStyle w:val="Italic"/>
          <w:i w:val="0"/>
        </w:rPr>
      </w:pPr>
      <w:r>
        <w:rPr>
          <w:rStyle w:val="Italic"/>
          <w:i w:val="0"/>
        </w:rPr>
        <w:t>3|49|3U|lmnopq|3|1|2020|4|25|5|0|K|22</w:t>
      </w:r>
      <w:r w:rsidRPr="00D5139F">
        <w:rPr>
          <w:rStyle w:val="Italic"/>
          <w:i w:val="0"/>
        </w:rPr>
        <w:t>|22|19|10|5|8|30|50|75|65|58|50|62|68|78|100|1</w:t>
      </w:r>
      <w:r>
        <w:rPr>
          <w:rStyle w:val="Italic"/>
          <w:i w:val="0"/>
        </w:rPr>
        <w:t>25|93|90|73|62|49|33|28</w:t>
      </w:r>
    </w:p>
    <w:p w14:paraId="4350DC27" w14:textId="77777777" w:rsidR="009B7AED" w:rsidRDefault="009B7AED" w:rsidP="00A35EAF">
      <w:pPr>
        <w:pStyle w:val="BodyText"/>
        <w:rPr>
          <w:rStyle w:val="Italic"/>
          <w:i w:val="0"/>
        </w:rPr>
      </w:pPr>
      <w:r>
        <w:rPr>
          <w:rStyle w:val="Italic"/>
          <w:i w:val="0"/>
        </w:rPr>
        <w:t>3|49|3U|lmnopq|3|1|2020|4|25|5|0|L|26</w:t>
      </w:r>
      <w:r w:rsidRPr="00D5139F">
        <w:rPr>
          <w:rStyle w:val="Italic"/>
          <w:i w:val="0"/>
        </w:rPr>
        <w:t>|22|19|10|5|8|30|50|75|65|58|50|62|68|78|100|1</w:t>
      </w:r>
      <w:r>
        <w:rPr>
          <w:rStyle w:val="Italic"/>
          <w:i w:val="0"/>
        </w:rPr>
        <w:t>25|93|90|73|62|49|33|28</w:t>
      </w:r>
    </w:p>
    <w:p w14:paraId="101A9B50" w14:textId="77777777" w:rsidR="009B7AED" w:rsidRPr="00D5139F" w:rsidRDefault="009B7AED" w:rsidP="00A35EAF">
      <w:pPr>
        <w:pStyle w:val="BodyText"/>
        <w:rPr>
          <w:rStyle w:val="Italic"/>
          <w:i w:val="0"/>
        </w:rPr>
      </w:pPr>
      <w:r>
        <w:rPr>
          <w:rStyle w:val="Italic"/>
          <w:i w:val="0"/>
        </w:rPr>
        <w:t>3|49|3</w:t>
      </w:r>
      <w:r w:rsidRPr="00D5139F">
        <w:rPr>
          <w:rStyle w:val="Italic"/>
          <w:i w:val="0"/>
        </w:rPr>
        <w:t>U|</w:t>
      </w:r>
      <w:r>
        <w:rPr>
          <w:rStyle w:val="Italic"/>
          <w:i w:val="0"/>
        </w:rPr>
        <w:t>lmnopq</w:t>
      </w:r>
      <w:r w:rsidRPr="00D5139F">
        <w:rPr>
          <w:rStyle w:val="Italic"/>
          <w:i w:val="0"/>
        </w:rPr>
        <w:t>|</w:t>
      </w:r>
      <w:r>
        <w:rPr>
          <w:rStyle w:val="Italic"/>
          <w:i w:val="0"/>
        </w:rPr>
        <w:t>7</w:t>
      </w:r>
      <w:r w:rsidRPr="00D5139F">
        <w:rPr>
          <w:rStyle w:val="Italic"/>
          <w:i w:val="0"/>
        </w:rPr>
        <w:t>|1|2020|</w:t>
      </w:r>
      <w:r>
        <w:rPr>
          <w:rStyle w:val="Italic"/>
          <w:i w:val="0"/>
        </w:rPr>
        <w:t>4</w:t>
      </w:r>
      <w:r w:rsidRPr="00D5139F">
        <w:rPr>
          <w:rStyle w:val="Italic"/>
          <w:i w:val="0"/>
        </w:rPr>
        <w:t>|2</w:t>
      </w:r>
      <w:r>
        <w:rPr>
          <w:rStyle w:val="Italic"/>
          <w:i w:val="0"/>
        </w:rPr>
        <w:t>5|5</w:t>
      </w:r>
      <w:r w:rsidRPr="00D5139F">
        <w:rPr>
          <w:rStyle w:val="Italic"/>
          <w:i w:val="0"/>
        </w:rPr>
        <w:t>|</w:t>
      </w:r>
      <w:r>
        <w:rPr>
          <w:rStyle w:val="Italic"/>
          <w:i w:val="0"/>
        </w:rPr>
        <w:t>0</w:t>
      </w:r>
      <w:r w:rsidRPr="00D5139F">
        <w:rPr>
          <w:rStyle w:val="Italic"/>
          <w:i w:val="0"/>
        </w:rPr>
        <w:t>|A</w:t>
      </w:r>
      <w:r>
        <w:rPr>
          <w:rStyle w:val="Italic"/>
          <w:i w:val="0"/>
        </w:rPr>
        <w:t>|28</w:t>
      </w:r>
      <w:r w:rsidRPr="00D5139F">
        <w:rPr>
          <w:rStyle w:val="Italic"/>
          <w:i w:val="0"/>
        </w:rPr>
        <w:t>|22|19|10|5|8|30|50|75|65|58|50|62|68|78|100|125|93|90|73|62|49|33|28</w:t>
      </w:r>
    </w:p>
    <w:p w14:paraId="67C5090D" w14:textId="77777777" w:rsidR="009B7AED" w:rsidRPr="00D5139F" w:rsidRDefault="009B7AED" w:rsidP="00A35EAF">
      <w:pPr>
        <w:pStyle w:val="BodyText"/>
        <w:rPr>
          <w:rStyle w:val="Italic"/>
          <w:i w:val="0"/>
        </w:rPr>
      </w:pPr>
      <w:r>
        <w:rPr>
          <w:rStyle w:val="Italic"/>
          <w:i w:val="0"/>
        </w:rPr>
        <w:t>3|49|3U|lmnopq|7|1|2020|4|25|5</w:t>
      </w:r>
      <w:r w:rsidRPr="00D5139F">
        <w:rPr>
          <w:rStyle w:val="Italic"/>
          <w:i w:val="0"/>
        </w:rPr>
        <w:t>|</w:t>
      </w:r>
      <w:r>
        <w:rPr>
          <w:rStyle w:val="Italic"/>
          <w:i w:val="0"/>
        </w:rPr>
        <w:t>0</w:t>
      </w:r>
      <w:r w:rsidRPr="00D5139F">
        <w:rPr>
          <w:rStyle w:val="Italic"/>
          <w:i w:val="0"/>
        </w:rPr>
        <w:t>|B|24|22|19|10|5|8|30|50|75|65|58|50|62|68|78|100|125|93|90|73|62|49|33|28</w:t>
      </w:r>
    </w:p>
    <w:p w14:paraId="0CF93262" w14:textId="77777777" w:rsidR="009B7AED" w:rsidRPr="00D5139F" w:rsidRDefault="009B7AED" w:rsidP="00A35EAF">
      <w:pPr>
        <w:pStyle w:val="BodyText"/>
        <w:rPr>
          <w:rStyle w:val="Italic"/>
          <w:i w:val="0"/>
        </w:rPr>
      </w:pPr>
      <w:r>
        <w:rPr>
          <w:rStyle w:val="Italic"/>
          <w:i w:val="0"/>
        </w:rPr>
        <w:t>3|49|3U|lmnopq|7|1|2020|4|25|5</w:t>
      </w:r>
      <w:r w:rsidRPr="00D5139F">
        <w:rPr>
          <w:rStyle w:val="Italic"/>
          <w:i w:val="0"/>
        </w:rPr>
        <w:t>|</w:t>
      </w:r>
      <w:r>
        <w:rPr>
          <w:rStyle w:val="Italic"/>
          <w:i w:val="0"/>
        </w:rPr>
        <w:t>0</w:t>
      </w:r>
      <w:r w:rsidRPr="00D5139F">
        <w:rPr>
          <w:rStyle w:val="Italic"/>
          <w:i w:val="0"/>
        </w:rPr>
        <w:t>|C|23|22|19|10|5|8|30|50|75|65|58|50|62|68|78|100|125|93|90|73|62|49|33|28</w:t>
      </w:r>
    </w:p>
    <w:p w14:paraId="4F0E9A57" w14:textId="77777777" w:rsidR="009B7AED" w:rsidRDefault="009B7AED" w:rsidP="00A35EAF">
      <w:pPr>
        <w:pStyle w:val="BodyText"/>
        <w:rPr>
          <w:rStyle w:val="Italic"/>
          <w:i w:val="0"/>
        </w:rPr>
      </w:pPr>
      <w:r>
        <w:rPr>
          <w:rStyle w:val="Italic"/>
          <w:i w:val="0"/>
        </w:rPr>
        <w:t>3|49|3U|lmnopq|7|1|2020|4|25|5</w:t>
      </w:r>
      <w:r w:rsidRPr="00D5139F">
        <w:rPr>
          <w:rStyle w:val="Italic"/>
          <w:i w:val="0"/>
        </w:rPr>
        <w:t>|</w:t>
      </w:r>
      <w:r>
        <w:rPr>
          <w:rStyle w:val="Italic"/>
          <w:i w:val="0"/>
        </w:rPr>
        <w:t>0</w:t>
      </w:r>
      <w:r w:rsidRPr="00D5139F">
        <w:rPr>
          <w:rStyle w:val="Italic"/>
          <w:i w:val="0"/>
        </w:rPr>
        <w:t>|D</w:t>
      </w:r>
      <w:r>
        <w:rPr>
          <w:rStyle w:val="Italic"/>
          <w:i w:val="0"/>
        </w:rPr>
        <w:t>|22</w:t>
      </w:r>
      <w:r w:rsidRPr="00D5139F">
        <w:rPr>
          <w:rStyle w:val="Italic"/>
          <w:i w:val="0"/>
        </w:rPr>
        <w:t>|22|19|10|5|8|30|50|75|65|58|50|62|68|78|100|125|93|90|73|62|49|33|28</w:t>
      </w:r>
    </w:p>
    <w:p w14:paraId="7E43D30B" w14:textId="77777777" w:rsidR="009B7AED" w:rsidRDefault="009B7AED" w:rsidP="00A35EAF">
      <w:pPr>
        <w:pStyle w:val="BodyText"/>
        <w:rPr>
          <w:rStyle w:val="Italic"/>
          <w:i w:val="0"/>
        </w:rPr>
      </w:pPr>
      <w:r>
        <w:rPr>
          <w:rStyle w:val="Italic"/>
          <w:i w:val="0"/>
        </w:rPr>
        <w:t>3|49|3U|lmnopq|7|1|2020|4|25|5|0|E|24</w:t>
      </w:r>
      <w:r w:rsidRPr="00D5139F">
        <w:rPr>
          <w:rStyle w:val="Italic"/>
          <w:i w:val="0"/>
        </w:rPr>
        <w:t>|22|19|10|5|8|30|50|75|65|58|50|62|68|78|100|1</w:t>
      </w:r>
      <w:r>
        <w:rPr>
          <w:rStyle w:val="Italic"/>
          <w:i w:val="0"/>
        </w:rPr>
        <w:t>25|93|90|73|62|49|33|28</w:t>
      </w:r>
    </w:p>
    <w:p w14:paraId="0B044C3A" w14:textId="77777777" w:rsidR="009B7AED" w:rsidRDefault="009B7AED" w:rsidP="00A35EAF">
      <w:pPr>
        <w:pStyle w:val="BodyText"/>
        <w:rPr>
          <w:rStyle w:val="Italic"/>
          <w:i w:val="0"/>
        </w:rPr>
      </w:pPr>
      <w:r>
        <w:rPr>
          <w:rStyle w:val="Italic"/>
          <w:i w:val="0"/>
        </w:rPr>
        <w:t>3|49|3U|lmnopq|7|1|2020|4|25|5|0|F|29</w:t>
      </w:r>
      <w:r w:rsidRPr="00D5139F">
        <w:rPr>
          <w:rStyle w:val="Italic"/>
          <w:i w:val="0"/>
        </w:rPr>
        <w:t>|22|19|10|5|8|30|50|75|65|58|50|62|68|78|100|1</w:t>
      </w:r>
      <w:r>
        <w:rPr>
          <w:rStyle w:val="Italic"/>
          <w:i w:val="0"/>
        </w:rPr>
        <w:t>25|93|90|73|62|49|33|28</w:t>
      </w:r>
    </w:p>
    <w:p w14:paraId="3EED1108" w14:textId="77777777" w:rsidR="009B7AED" w:rsidRDefault="009B7AED" w:rsidP="00A35EAF">
      <w:pPr>
        <w:pStyle w:val="BodyText"/>
        <w:rPr>
          <w:rStyle w:val="Italic"/>
          <w:i w:val="0"/>
        </w:rPr>
      </w:pPr>
      <w:r>
        <w:rPr>
          <w:rStyle w:val="Italic"/>
          <w:i w:val="0"/>
        </w:rPr>
        <w:t>3|49|3U|lmnopq|7|1|2020|4|25|5|0|G|27</w:t>
      </w:r>
      <w:r w:rsidRPr="00D5139F">
        <w:rPr>
          <w:rStyle w:val="Italic"/>
          <w:i w:val="0"/>
        </w:rPr>
        <w:t>|22|19|10|5|8|30|50|75|65|58|50|62|68|78|100|1</w:t>
      </w:r>
      <w:r>
        <w:rPr>
          <w:rStyle w:val="Italic"/>
          <w:i w:val="0"/>
        </w:rPr>
        <w:t>25|93|90|73|62|49|33|28</w:t>
      </w:r>
    </w:p>
    <w:p w14:paraId="27B33015" w14:textId="77777777" w:rsidR="009B7AED" w:rsidRDefault="009B7AED" w:rsidP="00A35EAF">
      <w:pPr>
        <w:pStyle w:val="BodyText"/>
        <w:rPr>
          <w:rStyle w:val="Italic"/>
          <w:i w:val="0"/>
        </w:rPr>
      </w:pPr>
      <w:r>
        <w:rPr>
          <w:rStyle w:val="Italic"/>
          <w:i w:val="0"/>
        </w:rPr>
        <w:t>3|49|3U|lmnopq|7|1|2020|4|25|5|0|H|25</w:t>
      </w:r>
      <w:r w:rsidRPr="00D5139F">
        <w:rPr>
          <w:rStyle w:val="Italic"/>
          <w:i w:val="0"/>
        </w:rPr>
        <w:t>|22|19|10|5|8|30|50|75|65|58|50|62|68|78|100|1</w:t>
      </w:r>
      <w:r>
        <w:rPr>
          <w:rStyle w:val="Italic"/>
          <w:i w:val="0"/>
        </w:rPr>
        <w:t>25|93|90|73|62|49|33|28</w:t>
      </w:r>
    </w:p>
    <w:p w14:paraId="204856BE" w14:textId="77777777" w:rsidR="009B7AED" w:rsidRDefault="009B7AED" w:rsidP="00A35EAF">
      <w:pPr>
        <w:pStyle w:val="BodyText"/>
        <w:rPr>
          <w:rStyle w:val="Italic"/>
          <w:i w:val="0"/>
        </w:rPr>
      </w:pPr>
      <w:r>
        <w:rPr>
          <w:rStyle w:val="Italic"/>
          <w:i w:val="0"/>
        </w:rPr>
        <w:t>3|49|3U|lmnopq|7|1|2020|4|25|5|0|I|24</w:t>
      </w:r>
      <w:r w:rsidRPr="00D5139F">
        <w:rPr>
          <w:rStyle w:val="Italic"/>
          <w:i w:val="0"/>
        </w:rPr>
        <w:t>|22|19|10|5|8|30|50|75|65|58|50|62|68|78|100|1</w:t>
      </w:r>
      <w:r>
        <w:rPr>
          <w:rStyle w:val="Italic"/>
          <w:i w:val="0"/>
        </w:rPr>
        <w:t>25|93|90|73|62|49|33|28</w:t>
      </w:r>
    </w:p>
    <w:p w14:paraId="12348AF2" w14:textId="77777777" w:rsidR="009B7AED" w:rsidRDefault="009B7AED" w:rsidP="00A35EAF">
      <w:pPr>
        <w:pStyle w:val="BodyText"/>
        <w:rPr>
          <w:rStyle w:val="Italic"/>
          <w:i w:val="0"/>
        </w:rPr>
      </w:pPr>
      <w:r>
        <w:rPr>
          <w:rStyle w:val="Italic"/>
          <w:i w:val="0"/>
        </w:rPr>
        <w:t>3|49|3U|lmnopq|7|1|2020|4|25|5|0|J|22</w:t>
      </w:r>
      <w:r w:rsidRPr="00D5139F">
        <w:rPr>
          <w:rStyle w:val="Italic"/>
          <w:i w:val="0"/>
        </w:rPr>
        <w:t>|22|19|10|5|8|30|50|75|65|58|50|62|68|78|100|1</w:t>
      </w:r>
      <w:r>
        <w:rPr>
          <w:rStyle w:val="Italic"/>
          <w:i w:val="0"/>
        </w:rPr>
        <w:t>25|93|90|73|62|49|33|28</w:t>
      </w:r>
    </w:p>
    <w:p w14:paraId="04C32A2D" w14:textId="77777777" w:rsidR="009B7AED" w:rsidRDefault="009B7AED" w:rsidP="00A35EAF">
      <w:pPr>
        <w:pStyle w:val="BodyText"/>
        <w:rPr>
          <w:rStyle w:val="Italic"/>
          <w:i w:val="0"/>
        </w:rPr>
      </w:pPr>
      <w:r>
        <w:rPr>
          <w:rStyle w:val="Italic"/>
          <w:i w:val="0"/>
        </w:rPr>
        <w:t>3|49|3U|lmnopq|7|1|2020|4|25|5|0|K|21</w:t>
      </w:r>
      <w:r w:rsidRPr="00D5139F">
        <w:rPr>
          <w:rStyle w:val="Italic"/>
          <w:i w:val="0"/>
        </w:rPr>
        <w:t>|22|19|10|5|8|30|50|75|65|58|50|62|68|78|100|1</w:t>
      </w:r>
      <w:r>
        <w:rPr>
          <w:rStyle w:val="Italic"/>
          <w:i w:val="0"/>
        </w:rPr>
        <w:t>25|93|90|73|62|49|33|28</w:t>
      </w:r>
    </w:p>
    <w:p w14:paraId="4E35C608" w14:textId="77777777" w:rsidR="009B7AED" w:rsidRDefault="009B7AED" w:rsidP="00A35EAF">
      <w:pPr>
        <w:pStyle w:val="BodyText"/>
        <w:rPr>
          <w:rStyle w:val="Italic"/>
          <w:i w:val="0"/>
        </w:rPr>
      </w:pPr>
      <w:r>
        <w:rPr>
          <w:rStyle w:val="Italic"/>
          <w:i w:val="0"/>
        </w:rPr>
        <w:t>3|49|3U|lmnopq|7|1|2020|4|25|5|0|L</w:t>
      </w:r>
      <w:r w:rsidRPr="00D5139F">
        <w:rPr>
          <w:rStyle w:val="Italic"/>
          <w:i w:val="0"/>
        </w:rPr>
        <w:t>|27|22|19|10|5|8|30|50|75|65|58|50|62|68|78|100|1</w:t>
      </w:r>
      <w:r>
        <w:rPr>
          <w:rStyle w:val="Italic"/>
          <w:i w:val="0"/>
        </w:rPr>
        <w:t>25|93|90|73|62|49|33|28</w:t>
      </w:r>
    </w:p>
    <w:p w14:paraId="7FFAF7E5" w14:textId="77777777" w:rsidR="009B7AED" w:rsidRDefault="009B7AED" w:rsidP="008718CB">
      <w:pPr>
        <w:pStyle w:val="BodyTextLandscape"/>
        <w:spacing w:before="240" w:after="60" w:line="240" w:lineRule="auto"/>
        <w:jc w:val="left"/>
        <w:rPr>
          <w:rStyle w:val="Italic"/>
          <w:b/>
          <w:i w:val="0"/>
        </w:rPr>
      </w:pPr>
      <w:r>
        <w:rPr>
          <w:rStyle w:val="Italic"/>
          <w:b/>
          <w:i w:val="0"/>
        </w:rPr>
        <w:t xml:space="preserve">Example for 60-Minute </w:t>
      </w:r>
      <w:r w:rsidRPr="008718CB">
        <w:rPr>
          <w:rStyle w:val="Bold"/>
        </w:rPr>
        <w:t>Volume</w:t>
      </w:r>
      <w:r>
        <w:rPr>
          <w:rStyle w:val="Italic"/>
          <w:b/>
          <w:i w:val="0"/>
        </w:rPr>
        <w:t xml:space="preserve"> with only hours 10:00 am to 06:00 pm (8 hours) reported </w:t>
      </w:r>
      <w:r>
        <w:rPr>
          <w:rStyle w:val="Italic"/>
          <w:i w:val="0"/>
        </w:rPr>
        <w:t>*</w:t>
      </w:r>
    </w:p>
    <w:p w14:paraId="5A0507F9" w14:textId="77777777" w:rsidR="009B7AED" w:rsidRDefault="009B7AED" w:rsidP="00A35EAF">
      <w:pPr>
        <w:pStyle w:val="BodyText"/>
        <w:rPr>
          <w:rStyle w:val="Italic"/>
          <w:i w:val="0"/>
        </w:rPr>
      </w:pPr>
      <w:r w:rsidRPr="00C06041">
        <w:rPr>
          <w:rStyle w:val="Italic"/>
          <w:i w:val="0"/>
        </w:rPr>
        <w:t>3|26|7</w:t>
      </w:r>
      <w:r>
        <w:rPr>
          <w:rStyle w:val="Italic"/>
          <w:i w:val="0"/>
        </w:rPr>
        <w:t>U</w:t>
      </w:r>
      <w:r w:rsidRPr="00C06041">
        <w:rPr>
          <w:rStyle w:val="Italic"/>
          <w:i w:val="0"/>
        </w:rPr>
        <w:t>|abcdefg|7|4|2020|5|23|4|12|</w:t>
      </w:r>
      <w:r>
        <w:rPr>
          <w:rStyle w:val="Italic"/>
          <w:i w:val="0"/>
        </w:rPr>
        <w:t>R|||||||||||</w:t>
      </w:r>
      <w:r w:rsidRPr="00C06041">
        <w:rPr>
          <w:rStyle w:val="Italic"/>
          <w:i w:val="0"/>
        </w:rPr>
        <w:t>24|</w:t>
      </w:r>
      <w:r>
        <w:rPr>
          <w:rStyle w:val="Italic"/>
          <w:i w:val="0"/>
        </w:rPr>
        <w:t>0|6|</w:t>
      </w:r>
      <w:r w:rsidRPr="00C06041">
        <w:rPr>
          <w:rStyle w:val="Italic"/>
          <w:i w:val="0"/>
        </w:rPr>
        <w:t>120|100|160|</w:t>
      </w:r>
      <w:r>
        <w:rPr>
          <w:rStyle w:val="Italic"/>
          <w:i w:val="0"/>
        </w:rPr>
        <w:t>480</w:t>
      </w:r>
      <w:r w:rsidRPr="00C06041">
        <w:rPr>
          <w:rStyle w:val="Italic"/>
          <w:i w:val="0"/>
        </w:rPr>
        <w:t>|</w:t>
      </w:r>
      <w:r>
        <w:rPr>
          <w:rStyle w:val="Italic"/>
          <w:i w:val="0"/>
        </w:rPr>
        <w:t>835</w:t>
      </w:r>
      <w:r w:rsidRPr="00C06041">
        <w:rPr>
          <w:rStyle w:val="Italic"/>
          <w:i w:val="0"/>
        </w:rPr>
        <w:t>|1200||</w:t>
      </w:r>
      <w:r>
        <w:rPr>
          <w:rStyle w:val="Italic"/>
          <w:i w:val="0"/>
        </w:rPr>
        <w:t>|||</w:t>
      </w:r>
    </w:p>
    <w:p w14:paraId="0E0FB7FF" w14:textId="77777777" w:rsidR="009B7AED" w:rsidRDefault="009B7AED" w:rsidP="00A35EAF">
      <w:pPr>
        <w:pStyle w:val="BodyText"/>
      </w:pPr>
      <w:r>
        <w:rPr>
          <w:rStyle w:val="Italic"/>
          <w:i w:val="0"/>
        </w:rPr>
        <w:t>*</w:t>
      </w:r>
      <w:r w:rsidRPr="00403CC6">
        <w:t xml:space="preserve"> </w:t>
      </w:r>
      <w:r>
        <w:t>The double pipe symbol | | means there is a missing value.</w:t>
      </w:r>
    </w:p>
    <w:p w14:paraId="0C1271A1" w14:textId="77777777" w:rsidR="009B7AED" w:rsidRDefault="009B7AED" w:rsidP="00A35EAF">
      <w:pPr>
        <w:pStyle w:val="BodyText"/>
        <w:rPr>
          <w:rStyle w:val="Italic"/>
          <w:i w:val="0"/>
        </w:rPr>
        <w:sectPr w:rsidR="009B7AED" w:rsidSect="008718CB">
          <w:headerReference w:type="even" r:id="rId168"/>
          <w:headerReference w:type="default" r:id="rId169"/>
          <w:footerReference w:type="even" r:id="rId170"/>
          <w:footerReference w:type="default" r:id="rId171"/>
          <w:pgSz w:w="15840" w:h="12240" w:code="1"/>
          <w:pgMar w:top="1440" w:right="1152" w:bottom="1440" w:left="1440" w:header="720" w:footer="576" w:gutter="0"/>
          <w:pgNumType w:chapStyle="1"/>
          <w:cols w:space="720"/>
          <w:noEndnote/>
          <w:docGrid w:linePitch="272"/>
        </w:sectPr>
      </w:pPr>
    </w:p>
    <w:p w14:paraId="3A9DE59C" w14:textId="0822B384" w:rsidR="009B7AED" w:rsidRPr="001546EF" w:rsidRDefault="009B7AED">
      <w:pPr>
        <w:pStyle w:val="Heading2"/>
        <w:spacing w:before="0"/>
      </w:pPr>
      <w:bookmarkStart w:id="2922" w:name="_Toc349905106"/>
      <w:bookmarkStart w:id="2923" w:name="_Toc335642248"/>
      <w:bookmarkStart w:id="2924" w:name="_Toc363656154"/>
      <w:bookmarkStart w:id="2925" w:name="_Toc450638945"/>
      <w:bookmarkStart w:id="2926" w:name="_Toc63976744"/>
      <w:bookmarkStart w:id="2927" w:name="_Toc68864955"/>
      <w:bookmarkStart w:id="2928" w:name="_Toc109301277"/>
      <w:bookmarkStart w:id="2929" w:name="_Toc109333011"/>
      <w:bookmarkStart w:id="2930" w:name="_Toc109333604"/>
      <w:bookmarkStart w:id="2931" w:name="_Toc113281102"/>
      <w:bookmarkStart w:id="2932" w:name="_Toc114474741"/>
      <w:bookmarkStart w:id="2933" w:name="_Toc118205690"/>
      <w:r>
        <w:lastRenderedPageBreak/>
        <w:t xml:space="preserve">Vehicle </w:t>
      </w:r>
      <w:r w:rsidRPr="001546EF">
        <w:t>Speed Data Format</w:t>
      </w:r>
      <w:bookmarkEnd w:id="2922"/>
      <w:bookmarkEnd w:id="2923"/>
      <w:bookmarkEnd w:id="2924"/>
      <w:bookmarkEnd w:id="2925"/>
      <w:r w:rsidRPr="001546EF">
        <w:t xml:space="preserve"> (Fixed Width </w:t>
      </w:r>
      <w:r>
        <w:t>o</w:t>
      </w:r>
      <w:r w:rsidRPr="001546EF">
        <w:t>r Pipe Delimited)</w:t>
      </w:r>
      <w:bookmarkEnd w:id="2926"/>
      <w:bookmarkEnd w:id="2927"/>
      <w:bookmarkEnd w:id="2928"/>
      <w:bookmarkEnd w:id="2929"/>
      <w:bookmarkEnd w:id="2930"/>
      <w:bookmarkEnd w:id="2931"/>
      <w:bookmarkEnd w:id="2932"/>
      <w:bookmarkEnd w:id="2933"/>
      <w:r w:rsidRPr="001546EF">
        <w:t xml:space="preserve"> </w:t>
      </w:r>
    </w:p>
    <w:p w14:paraId="567E6D62" w14:textId="77777777" w:rsidR="009B7AED" w:rsidRDefault="009B7AED" w:rsidP="00A35EAF">
      <w:pPr>
        <w:pStyle w:val="BodyText"/>
      </w:pPr>
      <w:r>
        <w:t>The vehicle speed data file format is a variable-length record used to report the number of vehicles traveling in specified 5-mph speed bins during specified time periods. Each record can contain 1 hour of data, 15 minutes of data, or 5 minutes of data. The submitting State chooses the time interval for which data are being reported and indicates that time interval as a field in the record.</w:t>
      </w:r>
    </w:p>
    <w:p w14:paraId="4B372F07" w14:textId="1A9AB4D2" w:rsidR="009B7AED" w:rsidRDefault="009B7AED" w:rsidP="00A35EAF">
      <w:pPr>
        <w:pStyle w:val="BodyText"/>
      </w:pPr>
      <w:r>
        <w:t xml:space="preserve">Vehicle speed records must have a minimum of 15 bins up to a maximum of 25 bins and </w:t>
      </w:r>
      <w:r w:rsidRPr="00F44FF8">
        <w:t>should</w:t>
      </w:r>
      <w:r>
        <w:t xml:space="preserve"> supply data in </w:t>
      </w:r>
      <w:r w:rsidR="00AC2B2A">
        <w:br/>
      </w:r>
      <w:r>
        <w:t xml:space="preserve">5-mph speed bins as defined in the TMG. Any vehicle speed records that do not meet these specifications are purged by the TMAS software. All records </w:t>
      </w:r>
      <w:r w:rsidRPr="00F44FF8">
        <w:t>should</w:t>
      </w:r>
      <w:r>
        <w:t xml:space="preserve"> follow the record formats defined in the </w:t>
      </w:r>
      <w:r w:rsidRPr="005B1A35">
        <w:rPr>
          <w:iCs/>
        </w:rPr>
        <w:t>TMG</w:t>
      </w:r>
      <w:r>
        <w:t xml:space="preserve">. </w:t>
      </w:r>
    </w:p>
    <w:p w14:paraId="1F140500" w14:textId="4604D1BA" w:rsidR="009B7AED" w:rsidRDefault="009B7AED" w:rsidP="00A35EAF">
      <w:pPr>
        <w:pStyle w:val="BodyText"/>
      </w:pPr>
      <w:r>
        <w:t>When submitting data using the minimum number of speed bins (15), the first speed bin includes all vehicles traveling 20 mph or slower. The second speed bin is then defined as all vehicles traveling faster than 20 mph but less than or equal to 25 mph. The last of the fifteen speed bins is defined as all vehicles traveling faster than 85</w:t>
      </w:r>
      <w:r w:rsidR="0056715E">
        <w:t> </w:t>
      </w:r>
      <w:r>
        <w:t xml:space="preserve">mph. </w:t>
      </w:r>
    </w:p>
    <w:p w14:paraId="5E10823A" w14:textId="77777777" w:rsidR="009B7AED" w:rsidRDefault="009B7AED" w:rsidP="00A35EAF">
      <w:pPr>
        <w:pStyle w:val="BodyText"/>
      </w:pPr>
      <w:r>
        <w:t xml:space="preserve">States may also submit one or two additional speed bins for slow-traveling vehicles. States may create one additional slow-speed bin (for vehicles traveling 15 mph or slower), or two slow-speed bins (one for vehicles traveling 10 mph or slower, and the other for vehicles traveling greater than 10 mph up to 15 mph.) </w:t>
      </w:r>
    </w:p>
    <w:p w14:paraId="3A60D1DF" w14:textId="77777777" w:rsidR="009B7AED" w:rsidRDefault="009B7AED" w:rsidP="00A35EAF">
      <w:pPr>
        <w:pStyle w:val="BodyText"/>
      </w:pPr>
      <w:r>
        <w:t xml:space="preserve">Similarly, a State may create additional high-speed bins. Up to eight additional bins may be added to provide more detail on high-speed travel. The number of additional high-speed bins being reported should be indicated on the speed record. Finally, when additional high-speed bins are reported, the length of the speed record changes. </w:t>
      </w:r>
    </w:p>
    <w:p w14:paraId="2F6039F2" w14:textId="5B514E17" w:rsidR="009B7AED" w:rsidRDefault="009B7AED" w:rsidP="00A35EAF">
      <w:pPr>
        <w:pStyle w:val="BodyText"/>
      </w:pPr>
      <w:r>
        <w:t>The 2022 TMG offers additional formatting flexibility to report vehicle speed data. States and other agencies can submit vehicle speed data to FHWA’s TMAS system via either the historical fixed-width format or the new pipe-delimited format.</w:t>
      </w:r>
    </w:p>
    <w:p w14:paraId="199BBBE7" w14:textId="77777777" w:rsidR="009B7AED" w:rsidRDefault="009B7AED" w:rsidP="0056715E">
      <w:pPr>
        <w:pStyle w:val="CallOut"/>
      </w:pPr>
      <w:r w:rsidRPr="0056715E">
        <w:t>If a more-than-6-digit station ID is used for the associated station record, the pipe-delimited format must be used for the vehicle speed data, and the same number of digits for the station ID need to be provided on the vehicle speed records</w:t>
      </w:r>
      <w:r>
        <w:rPr>
          <w:b/>
          <w:bCs/>
        </w:rPr>
        <w:t>.</w:t>
      </w:r>
    </w:p>
    <w:p w14:paraId="06844F3C" w14:textId="77777777" w:rsidR="009B7AED" w:rsidRPr="001546EF" w:rsidRDefault="009B7AED">
      <w:pPr>
        <w:pStyle w:val="Heading3"/>
      </w:pPr>
      <w:bookmarkStart w:id="2934" w:name="_Toc63976745"/>
      <w:bookmarkStart w:id="2935" w:name="_Toc109301278"/>
      <w:bookmarkStart w:id="2936" w:name="_Toc109333012"/>
      <w:bookmarkStart w:id="2937" w:name="_Toc109333605"/>
      <w:bookmarkStart w:id="2938" w:name="_Toc113281103"/>
      <w:bookmarkStart w:id="2939" w:name="_Toc118205691"/>
      <w:r w:rsidRPr="001546EF">
        <w:t>File Naming</w:t>
      </w:r>
      <w:bookmarkEnd w:id="2934"/>
      <w:r w:rsidRPr="001546EF">
        <w:t xml:space="preserve"> </w:t>
      </w:r>
      <w:r>
        <w:t>Recommendation</w:t>
      </w:r>
      <w:bookmarkEnd w:id="2935"/>
      <w:bookmarkEnd w:id="2936"/>
      <w:bookmarkEnd w:id="2937"/>
      <w:bookmarkEnd w:id="2938"/>
      <w:bookmarkEnd w:id="2939"/>
    </w:p>
    <w:p w14:paraId="1CE05AC2" w14:textId="7AF65774" w:rsidR="009B7AED" w:rsidRDefault="009B7AED" w:rsidP="00A35EAF">
      <w:pPr>
        <w:pStyle w:val="BodyText"/>
      </w:pPr>
      <w:r>
        <w:t>It is recommended that the file extension .SPD be used for all Speed data files.</w:t>
      </w:r>
      <w:r w:rsidR="004D4172">
        <w:t xml:space="preserve"> </w:t>
      </w:r>
      <w:r>
        <w:t xml:space="preserve">The filename should be descriptive to facilitate the deciphering of the file and its contents. </w:t>
      </w:r>
    </w:p>
    <w:p w14:paraId="66069386" w14:textId="45C48602" w:rsidR="009B7AED" w:rsidRPr="00677E20" w:rsidRDefault="009B7AED" w:rsidP="00A35EAF">
      <w:pPr>
        <w:pStyle w:val="Example"/>
      </w:pPr>
      <w:r w:rsidRPr="00677E20">
        <w:t xml:space="preserve">An example file naming convention for the Vehicle Speed </w:t>
      </w:r>
      <w:r>
        <w:t>r</w:t>
      </w:r>
      <w:r w:rsidRPr="00677E20">
        <w:t>ecord is:</w:t>
      </w:r>
    </w:p>
    <w:p w14:paraId="25566DB9" w14:textId="77777777" w:rsidR="009B7AED" w:rsidRPr="00677E20" w:rsidRDefault="009B7AED" w:rsidP="00A35EAF">
      <w:pPr>
        <w:pStyle w:val="Example"/>
      </w:pPr>
      <w:r w:rsidRPr="00677E20">
        <w:t>ssabcxyzmmyyyy.SPD</w:t>
      </w:r>
    </w:p>
    <w:p w14:paraId="7FBC1736" w14:textId="77777777" w:rsidR="009B7AED" w:rsidRPr="001546EF" w:rsidRDefault="009B7AED">
      <w:pPr>
        <w:pStyle w:val="Heading3"/>
      </w:pPr>
      <w:bookmarkStart w:id="2940" w:name="_Toc63976746"/>
      <w:bookmarkStart w:id="2941" w:name="_Toc109301279"/>
      <w:bookmarkStart w:id="2942" w:name="_Toc109333013"/>
      <w:bookmarkStart w:id="2943" w:name="_Toc109333606"/>
      <w:bookmarkStart w:id="2944" w:name="_Toc113281104"/>
      <w:bookmarkStart w:id="2945" w:name="_Toc118205692"/>
      <w:r>
        <w:t xml:space="preserve">Vehicle Speed Data – </w:t>
      </w:r>
      <w:r w:rsidRPr="001546EF">
        <w:t>Fixed</w:t>
      </w:r>
      <w:r>
        <w:t>-</w:t>
      </w:r>
      <w:r w:rsidRPr="001546EF">
        <w:t>Width Format</w:t>
      </w:r>
      <w:bookmarkEnd w:id="2940"/>
      <w:bookmarkEnd w:id="2941"/>
      <w:bookmarkEnd w:id="2942"/>
      <w:bookmarkEnd w:id="2943"/>
      <w:bookmarkEnd w:id="2944"/>
      <w:bookmarkEnd w:id="2945"/>
    </w:p>
    <w:p w14:paraId="6DD37DFB" w14:textId="77CCCDA4" w:rsidR="008718CB" w:rsidRDefault="009B7AED" w:rsidP="00A35EAF">
      <w:pPr>
        <w:pStyle w:val="BodyText"/>
      </w:pPr>
      <w:r>
        <w:t>With the historical fixed-width format, all numeric fields should be right-justified and padded with blanks. Blank fill fields for which no data are being reported.</w:t>
      </w:r>
      <w:r w:rsidR="004D4172">
        <w:t xml:space="preserve"> </w:t>
      </w:r>
      <w:r>
        <w:t>The most critical aspect for this data format is that each of the data elements has its starting column and ending column locations. Data element sequencing must be followed. If missing data or length of a data element is shorter than specified, zeros (0) must be used to prefix the blank columns.</w:t>
      </w:r>
    </w:p>
    <w:p w14:paraId="06F9F45C" w14:textId="77777777" w:rsidR="008718CB" w:rsidRDefault="008718CB">
      <w:pPr>
        <w:widowControl/>
        <w:suppressAutoHyphens w:val="0"/>
        <w:autoSpaceDE/>
        <w:autoSpaceDN/>
        <w:adjustRightInd/>
        <w:spacing w:after="160" w:line="259" w:lineRule="auto"/>
        <w:jc w:val="left"/>
        <w:textAlignment w:val="auto"/>
        <w:rPr>
          <w:color w:val="auto"/>
        </w:rPr>
      </w:pPr>
      <w:r>
        <w:br w:type="page"/>
      </w:r>
    </w:p>
    <w:p w14:paraId="659500B0" w14:textId="7E775E3C" w:rsidR="009B7AED" w:rsidRDefault="00464453" w:rsidP="00A35EAF">
      <w:pPr>
        <w:pStyle w:val="BodyText"/>
      </w:pPr>
      <w:r>
        <w:lastRenderedPageBreak/>
        <w:fldChar w:fldCharType="begin"/>
      </w:r>
      <w:r>
        <w:instrText xml:space="preserve"> REF _Ref111034297 </w:instrText>
      </w:r>
      <w:r>
        <w:fldChar w:fldCharType="separate"/>
      </w:r>
      <w:r w:rsidR="00C07DF9">
        <w:t xml:space="preserve">Table </w:t>
      </w:r>
      <w:r w:rsidR="00C07DF9">
        <w:rPr>
          <w:noProof/>
        </w:rPr>
        <w:t>4</w:t>
      </w:r>
      <w:r w:rsidR="00C07DF9">
        <w:noBreakHyphen/>
      </w:r>
      <w:r w:rsidR="00C07DF9">
        <w:rPr>
          <w:noProof/>
        </w:rPr>
        <w:t>12</w:t>
      </w:r>
      <w:r>
        <w:rPr>
          <w:noProof/>
        </w:rPr>
        <w:fldChar w:fldCharType="end"/>
      </w:r>
      <w:r w:rsidR="009B7AED">
        <w:t xml:space="preserve"> summarizes the Vehicle Speed record fixed-width column format. </w:t>
      </w:r>
    </w:p>
    <w:p w14:paraId="20485F8B" w14:textId="21644086" w:rsidR="009B7AED" w:rsidRDefault="009B7AED" w:rsidP="000F2A7A">
      <w:pPr>
        <w:pStyle w:val="TMGTableCaption"/>
      </w:pPr>
      <w:bookmarkStart w:id="2946" w:name="_Ref111034297"/>
      <w:bookmarkStart w:id="2947" w:name="_Toc109333453"/>
      <w:bookmarkStart w:id="2948" w:name="_Toc109333781"/>
      <w:bookmarkStart w:id="2949" w:name="_Toc113282517"/>
      <w:bookmarkStart w:id="2950" w:name="_Toc114474854"/>
      <w:bookmarkStart w:id="2951" w:name="_Toc120631160"/>
      <w:r>
        <w:t xml:space="preserve">Table </w:t>
      </w:r>
      <w:fldSimple w:instr=" STYLEREF 1 \s ">
        <w:r w:rsidR="00C07DF9">
          <w:rPr>
            <w:noProof/>
          </w:rPr>
          <w:t>4</w:t>
        </w:r>
      </w:fldSimple>
      <w:r>
        <w:noBreakHyphen/>
      </w:r>
      <w:fldSimple w:instr=" SEQ Table \* ARABIC \s 1 ">
        <w:r w:rsidR="00C07DF9">
          <w:rPr>
            <w:noProof/>
          </w:rPr>
          <w:t>12</w:t>
        </w:r>
      </w:fldSimple>
      <w:bookmarkEnd w:id="2946"/>
      <w:r w:rsidR="00627DD7">
        <w:t>.</w:t>
      </w:r>
      <w:r>
        <w:t xml:space="preserve"> </w:t>
      </w:r>
      <w:r w:rsidRPr="00757455">
        <w:t>Vehicle Speed Record</w:t>
      </w:r>
      <w:r>
        <w:t xml:space="preserve"> – Fixed-Width Format</w:t>
      </w:r>
      <w:bookmarkEnd w:id="2947"/>
      <w:bookmarkEnd w:id="2948"/>
      <w:bookmarkEnd w:id="2949"/>
      <w:bookmarkEnd w:id="2950"/>
      <w:bookmarkEnd w:id="2951"/>
    </w:p>
    <w:tbl>
      <w:tblPr>
        <w:tblStyle w:val="TableGrid"/>
        <w:tblW w:w="9360" w:type="dxa"/>
        <w:jc w:val="center"/>
        <w:tblCellMar>
          <w:left w:w="86" w:type="dxa"/>
          <w:right w:w="86" w:type="dxa"/>
        </w:tblCellMar>
        <w:tblLook w:val="04A0" w:firstRow="1" w:lastRow="0" w:firstColumn="1" w:lastColumn="0" w:noHBand="0" w:noVBand="1"/>
      </w:tblPr>
      <w:tblGrid>
        <w:gridCol w:w="625"/>
        <w:gridCol w:w="1351"/>
        <w:gridCol w:w="992"/>
        <w:gridCol w:w="3775"/>
        <w:gridCol w:w="1442"/>
        <w:gridCol w:w="1175"/>
      </w:tblGrid>
      <w:tr w:rsidR="00FC056C" w14:paraId="164D4841" w14:textId="77777777" w:rsidTr="000538D2">
        <w:trPr>
          <w:trHeight w:val="260"/>
          <w:jc w:val="center"/>
        </w:trPr>
        <w:tc>
          <w:tcPr>
            <w:tcW w:w="625" w:type="dxa"/>
            <w:tcBorders>
              <w:right w:val="single" w:sz="4" w:space="0" w:color="FFFFFF" w:themeColor="background1"/>
            </w:tcBorders>
            <w:shd w:val="clear" w:color="auto" w:fill="1F3864"/>
          </w:tcPr>
          <w:p w14:paraId="34B1AE83" w14:textId="3F11C565" w:rsidR="00FC056C" w:rsidRDefault="00FC056C" w:rsidP="00FC056C">
            <w:pPr>
              <w:pStyle w:val="TMGTableTextHeader"/>
            </w:pPr>
            <w:r w:rsidRPr="00765084">
              <w:rPr>
                <w:rFonts w:eastAsiaTheme="minorEastAsia"/>
              </w:rPr>
              <w:t>Field</w:t>
            </w:r>
          </w:p>
        </w:tc>
        <w:tc>
          <w:tcPr>
            <w:tcW w:w="1351" w:type="dxa"/>
            <w:tcBorders>
              <w:left w:val="single" w:sz="4" w:space="0" w:color="FFFFFF" w:themeColor="background1"/>
              <w:right w:val="single" w:sz="4" w:space="0" w:color="FFFFFF" w:themeColor="background1"/>
            </w:tcBorders>
            <w:shd w:val="clear" w:color="auto" w:fill="1F3864"/>
          </w:tcPr>
          <w:p w14:paraId="1F809B1A" w14:textId="27CE7E06" w:rsidR="00FC056C" w:rsidRDefault="00FC056C" w:rsidP="00FC056C">
            <w:pPr>
              <w:pStyle w:val="TMGTableTextHeader"/>
              <w:rPr>
                <w:rFonts w:eastAsia="MS Mincho"/>
              </w:rPr>
            </w:pPr>
            <w:r w:rsidRPr="00765084">
              <w:rPr>
                <w:rFonts w:eastAsiaTheme="minorEastAsia"/>
              </w:rPr>
              <w:t>Columns</w:t>
            </w:r>
          </w:p>
        </w:tc>
        <w:tc>
          <w:tcPr>
            <w:tcW w:w="992" w:type="dxa"/>
            <w:tcBorders>
              <w:left w:val="single" w:sz="4" w:space="0" w:color="FFFFFF" w:themeColor="background1"/>
              <w:right w:val="single" w:sz="4" w:space="0" w:color="FFFFFF" w:themeColor="background1"/>
            </w:tcBorders>
            <w:shd w:val="clear" w:color="auto" w:fill="1F3864"/>
          </w:tcPr>
          <w:p w14:paraId="23CB012D" w14:textId="37C566D9" w:rsidR="00FC056C" w:rsidRDefault="00FC056C" w:rsidP="00FC056C">
            <w:pPr>
              <w:pStyle w:val="TMGTableTextHeader"/>
              <w:rPr>
                <w:rFonts w:eastAsia="MS Mincho"/>
              </w:rPr>
            </w:pPr>
            <w:r w:rsidRPr="00765084">
              <w:rPr>
                <w:rFonts w:eastAsiaTheme="minorEastAsia"/>
              </w:rPr>
              <w:t>Width</w:t>
            </w:r>
          </w:p>
        </w:tc>
        <w:tc>
          <w:tcPr>
            <w:tcW w:w="3775" w:type="dxa"/>
            <w:tcBorders>
              <w:left w:val="single" w:sz="4" w:space="0" w:color="FFFFFF" w:themeColor="background1"/>
              <w:right w:val="single" w:sz="4" w:space="0" w:color="FFFFFF" w:themeColor="background1"/>
            </w:tcBorders>
            <w:shd w:val="clear" w:color="auto" w:fill="1F3864"/>
          </w:tcPr>
          <w:p w14:paraId="3DF8CED3" w14:textId="2B07754A" w:rsidR="00FC056C" w:rsidRDefault="00FC056C" w:rsidP="00FC056C">
            <w:pPr>
              <w:pStyle w:val="TMGTableTextHeader"/>
              <w:rPr>
                <w:rFonts w:eastAsia="MS Mincho"/>
              </w:rPr>
            </w:pPr>
            <w:r w:rsidRPr="00765084">
              <w:rPr>
                <w:rFonts w:eastAsiaTheme="minorEastAsia"/>
              </w:rPr>
              <w:t>Description</w:t>
            </w:r>
          </w:p>
        </w:tc>
        <w:tc>
          <w:tcPr>
            <w:tcW w:w="1442" w:type="dxa"/>
            <w:tcBorders>
              <w:left w:val="single" w:sz="4" w:space="0" w:color="FFFFFF" w:themeColor="background1"/>
              <w:right w:val="single" w:sz="4" w:space="0" w:color="FFFFFF" w:themeColor="background1"/>
            </w:tcBorders>
            <w:shd w:val="clear" w:color="auto" w:fill="1F3864"/>
          </w:tcPr>
          <w:p w14:paraId="0D234654" w14:textId="582B6548" w:rsidR="00FC056C" w:rsidRDefault="00FC056C" w:rsidP="00FC056C">
            <w:pPr>
              <w:pStyle w:val="TMGTableTextHeader"/>
              <w:rPr>
                <w:rFonts w:eastAsia="MS Mincho"/>
              </w:rPr>
            </w:pPr>
            <w:r w:rsidRPr="00765084">
              <w:rPr>
                <w:rFonts w:eastAsiaTheme="minorEastAsia"/>
              </w:rPr>
              <w:t>Type</w:t>
            </w:r>
          </w:p>
        </w:tc>
        <w:tc>
          <w:tcPr>
            <w:tcW w:w="1175" w:type="dxa"/>
            <w:tcBorders>
              <w:left w:val="single" w:sz="4" w:space="0" w:color="FFFFFF" w:themeColor="background1"/>
            </w:tcBorders>
            <w:shd w:val="clear" w:color="auto" w:fill="1F3864"/>
          </w:tcPr>
          <w:p w14:paraId="27B999C8" w14:textId="13D96D5A" w:rsidR="00FC056C" w:rsidRDefault="00FC056C" w:rsidP="00FC056C">
            <w:pPr>
              <w:pStyle w:val="TMGTableTextHeader"/>
            </w:pPr>
            <w:r w:rsidRPr="00765084">
              <w:rPr>
                <w:rFonts w:eastAsiaTheme="minorEastAsia"/>
              </w:rPr>
              <w:t>Importance</w:t>
            </w:r>
          </w:p>
        </w:tc>
      </w:tr>
      <w:tr w:rsidR="00FC056C" w14:paraId="656587D3" w14:textId="77777777" w:rsidTr="000538D2">
        <w:trPr>
          <w:jc w:val="center"/>
        </w:trPr>
        <w:tc>
          <w:tcPr>
            <w:tcW w:w="625" w:type="dxa"/>
          </w:tcPr>
          <w:p w14:paraId="2DD99ABD" w14:textId="6154AADF" w:rsidR="00FC056C" w:rsidRPr="00C251E9" w:rsidRDefault="00FC056C" w:rsidP="000538D2">
            <w:pPr>
              <w:pStyle w:val="TMGTableText"/>
              <w:spacing w:before="10" w:after="10"/>
              <w:ind w:right="53"/>
              <w:jc w:val="right"/>
              <w:rPr>
                <w:b/>
                <w:bCs/>
              </w:rPr>
            </w:pPr>
            <w:r w:rsidRPr="00765084">
              <w:rPr>
                <w:rFonts w:eastAsiaTheme="minorEastAsia"/>
                <w:b/>
                <w:bCs/>
              </w:rPr>
              <w:t>1</w:t>
            </w:r>
          </w:p>
        </w:tc>
        <w:tc>
          <w:tcPr>
            <w:tcW w:w="1351" w:type="dxa"/>
          </w:tcPr>
          <w:p w14:paraId="1012162F" w14:textId="082C13F8" w:rsidR="00FC056C" w:rsidRPr="004859C8" w:rsidRDefault="00FC056C" w:rsidP="000538D2">
            <w:pPr>
              <w:pStyle w:val="TMGTableText"/>
              <w:spacing w:before="10" w:after="10"/>
              <w:jc w:val="center"/>
            </w:pPr>
            <w:r w:rsidRPr="0051590D">
              <w:rPr>
                <w:rFonts w:eastAsiaTheme="minorEastAsia"/>
              </w:rPr>
              <w:t>1</w:t>
            </w:r>
          </w:p>
        </w:tc>
        <w:tc>
          <w:tcPr>
            <w:tcW w:w="992" w:type="dxa"/>
          </w:tcPr>
          <w:p w14:paraId="20E9D487" w14:textId="1E06B43D" w:rsidR="00FC056C" w:rsidRPr="004859C8" w:rsidRDefault="00FC056C" w:rsidP="000538D2">
            <w:pPr>
              <w:pStyle w:val="TMGTableText"/>
              <w:spacing w:before="10" w:after="10"/>
              <w:jc w:val="center"/>
            </w:pPr>
            <w:r w:rsidRPr="0051590D">
              <w:rPr>
                <w:rFonts w:eastAsiaTheme="minorEastAsia"/>
              </w:rPr>
              <w:t>1</w:t>
            </w:r>
          </w:p>
        </w:tc>
        <w:tc>
          <w:tcPr>
            <w:tcW w:w="3775" w:type="dxa"/>
          </w:tcPr>
          <w:p w14:paraId="458B1583" w14:textId="023D42E8" w:rsidR="00FC056C" w:rsidRPr="004859C8" w:rsidRDefault="00FC056C" w:rsidP="00FC056C">
            <w:pPr>
              <w:pStyle w:val="TMGTableText"/>
              <w:spacing w:before="10" w:after="10"/>
            </w:pPr>
            <w:r w:rsidRPr="0051590D">
              <w:rPr>
                <w:rFonts w:eastAsiaTheme="minorEastAsia"/>
              </w:rPr>
              <w:t>Record Type</w:t>
            </w:r>
            <w:r>
              <w:rPr>
                <w:rFonts w:eastAsiaTheme="minorEastAsia"/>
              </w:rPr>
              <w:t xml:space="preserve"> (RT)</w:t>
            </w:r>
          </w:p>
        </w:tc>
        <w:tc>
          <w:tcPr>
            <w:tcW w:w="1442" w:type="dxa"/>
          </w:tcPr>
          <w:p w14:paraId="03C50D99" w14:textId="033C8159" w:rsidR="00FC056C" w:rsidRPr="004859C8" w:rsidRDefault="00FC056C" w:rsidP="00AC2B2A">
            <w:pPr>
              <w:pStyle w:val="TMGTableText"/>
              <w:spacing w:before="10" w:after="10"/>
              <w:jc w:val="center"/>
            </w:pPr>
            <w:r>
              <w:rPr>
                <w:rFonts w:eastAsiaTheme="minorEastAsia"/>
              </w:rPr>
              <w:t>Alphanumeric</w:t>
            </w:r>
          </w:p>
        </w:tc>
        <w:tc>
          <w:tcPr>
            <w:tcW w:w="1175" w:type="dxa"/>
          </w:tcPr>
          <w:p w14:paraId="6AF573BA" w14:textId="433AD640" w:rsidR="00FC056C" w:rsidRPr="00C251E9" w:rsidRDefault="00FC056C" w:rsidP="00AC2B2A">
            <w:pPr>
              <w:pStyle w:val="TMGTableText"/>
              <w:spacing w:before="10" w:after="10"/>
              <w:jc w:val="center"/>
            </w:pPr>
            <w:r>
              <w:rPr>
                <w:rFonts w:eastAsiaTheme="minorEastAsia"/>
              </w:rPr>
              <w:t>Required</w:t>
            </w:r>
          </w:p>
        </w:tc>
      </w:tr>
      <w:tr w:rsidR="00FC056C" w14:paraId="6728F065" w14:textId="77777777" w:rsidTr="000538D2">
        <w:trPr>
          <w:jc w:val="center"/>
        </w:trPr>
        <w:tc>
          <w:tcPr>
            <w:tcW w:w="625" w:type="dxa"/>
          </w:tcPr>
          <w:p w14:paraId="0318A12B" w14:textId="433A3873" w:rsidR="00FC056C" w:rsidRPr="000538D2" w:rsidRDefault="00FC056C" w:rsidP="000538D2">
            <w:pPr>
              <w:pStyle w:val="TMGTableText"/>
              <w:spacing w:before="10" w:after="10"/>
              <w:ind w:right="53"/>
              <w:jc w:val="right"/>
              <w:rPr>
                <w:rFonts w:eastAsiaTheme="minorEastAsia"/>
                <w:b/>
                <w:bCs/>
              </w:rPr>
            </w:pPr>
            <w:r w:rsidRPr="00765084">
              <w:rPr>
                <w:rFonts w:eastAsiaTheme="minorEastAsia"/>
                <w:b/>
                <w:bCs/>
              </w:rPr>
              <w:t>2</w:t>
            </w:r>
          </w:p>
        </w:tc>
        <w:tc>
          <w:tcPr>
            <w:tcW w:w="1351" w:type="dxa"/>
          </w:tcPr>
          <w:p w14:paraId="62EB973B" w14:textId="2B9478DB" w:rsidR="00FC056C" w:rsidRPr="004859C8" w:rsidRDefault="00FC056C" w:rsidP="000538D2">
            <w:pPr>
              <w:pStyle w:val="TMGTableText"/>
              <w:spacing w:before="10" w:after="10"/>
              <w:jc w:val="center"/>
            </w:pPr>
            <w:r w:rsidRPr="0051590D">
              <w:rPr>
                <w:rFonts w:eastAsiaTheme="minorEastAsia"/>
              </w:rPr>
              <w:t>2-3</w:t>
            </w:r>
          </w:p>
        </w:tc>
        <w:tc>
          <w:tcPr>
            <w:tcW w:w="992" w:type="dxa"/>
          </w:tcPr>
          <w:p w14:paraId="03159D83" w14:textId="79ED44AB" w:rsidR="00FC056C" w:rsidRPr="004859C8" w:rsidRDefault="00FC056C" w:rsidP="000538D2">
            <w:pPr>
              <w:pStyle w:val="TMGTableText"/>
              <w:spacing w:before="10" w:after="10"/>
              <w:jc w:val="center"/>
            </w:pPr>
            <w:r w:rsidRPr="0051590D">
              <w:rPr>
                <w:rFonts w:eastAsiaTheme="minorEastAsia"/>
              </w:rPr>
              <w:t>2</w:t>
            </w:r>
          </w:p>
        </w:tc>
        <w:tc>
          <w:tcPr>
            <w:tcW w:w="3775" w:type="dxa"/>
          </w:tcPr>
          <w:p w14:paraId="6F48645B" w14:textId="1E704F88" w:rsidR="00FC056C" w:rsidRPr="004859C8" w:rsidRDefault="00FC056C" w:rsidP="00FC056C">
            <w:pPr>
              <w:pStyle w:val="TMGTableText"/>
              <w:spacing w:before="10" w:after="10"/>
            </w:pPr>
            <w:r>
              <w:rPr>
                <w:rFonts w:eastAsiaTheme="minorEastAsia"/>
              </w:rPr>
              <w:t xml:space="preserve">State </w:t>
            </w:r>
            <w:r w:rsidRPr="0051590D">
              <w:rPr>
                <w:rFonts w:eastAsiaTheme="minorEastAsia"/>
              </w:rPr>
              <w:t>FIPS Code</w:t>
            </w:r>
            <w:r>
              <w:rPr>
                <w:rFonts w:eastAsiaTheme="minorEastAsia"/>
              </w:rPr>
              <w:t xml:space="preserve"> (SFIPS)</w:t>
            </w:r>
          </w:p>
        </w:tc>
        <w:tc>
          <w:tcPr>
            <w:tcW w:w="1442" w:type="dxa"/>
          </w:tcPr>
          <w:p w14:paraId="473EF8FD" w14:textId="55A7CE2D" w:rsidR="00FC056C" w:rsidRPr="004859C8" w:rsidRDefault="00FC056C" w:rsidP="00AC2B2A">
            <w:pPr>
              <w:pStyle w:val="TMGTableText"/>
              <w:spacing w:before="10" w:after="10"/>
              <w:jc w:val="center"/>
            </w:pPr>
            <w:r>
              <w:rPr>
                <w:rFonts w:eastAsiaTheme="minorEastAsia"/>
              </w:rPr>
              <w:t>Integer</w:t>
            </w:r>
          </w:p>
        </w:tc>
        <w:tc>
          <w:tcPr>
            <w:tcW w:w="1175" w:type="dxa"/>
          </w:tcPr>
          <w:p w14:paraId="79D7CEE4" w14:textId="219D6FEA" w:rsidR="00FC056C" w:rsidRPr="00C251E9" w:rsidRDefault="00FC056C" w:rsidP="00AC2B2A">
            <w:pPr>
              <w:pStyle w:val="TMGTableText"/>
              <w:spacing w:before="10" w:after="10"/>
              <w:jc w:val="center"/>
            </w:pPr>
            <w:r>
              <w:rPr>
                <w:rFonts w:eastAsiaTheme="minorEastAsia"/>
              </w:rPr>
              <w:t>Required</w:t>
            </w:r>
          </w:p>
        </w:tc>
      </w:tr>
      <w:tr w:rsidR="00FC056C" w14:paraId="0EF2ADBA" w14:textId="77777777" w:rsidTr="000538D2">
        <w:trPr>
          <w:jc w:val="center"/>
        </w:trPr>
        <w:tc>
          <w:tcPr>
            <w:tcW w:w="625" w:type="dxa"/>
          </w:tcPr>
          <w:p w14:paraId="246FF7A6" w14:textId="2FDB1623" w:rsidR="00FC056C" w:rsidRPr="000538D2" w:rsidRDefault="00FC056C" w:rsidP="000538D2">
            <w:pPr>
              <w:pStyle w:val="TMGTableText"/>
              <w:spacing w:before="10" w:after="10"/>
              <w:ind w:right="53"/>
              <w:jc w:val="right"/>
              <w:rPr>
                <w:rFonts w:eastAsiaTheme="minorEastAsia"/>
                <w:b/>
                <w:bCs/>
              </w:rPr>
            </w:pPr>
            <w:r w:rsidRPr="00765084">
              <w:rPr>
                <w:rFonts w:eastAsiaTheme="minorEastAsia"/>
                <w:b/>
                <w:bCs/>
              </w:rPr>
              <w:t>3</w:t>
            </w:r>
          </w:p>
        </w:tc>
        <w:tc>
          <w:tcPr>
            <w:tcW w:w="1351" w:type="dxa"/>
          </w:tcPr>
          <w:p w14:paraId="767C682E" w14:textId="02ED040D" w:rsidR="00FC056C" w:rsidRPr="004859C8" w:rsidRDefault="00FC056C" w:rsidP="000538D2">
            <w:pPr>
              <w:pStyle w:val="TMGTableText"/>
              <w:spacing w:before="10" w:after="10"/>
              <w:jc w:val="center"/>
            </w:pPr>
            <w:r w:rsidRPr="0051590D">
              <w:rPr>
                <w:rFonts w:eastAsiaTheme="minorEastAsia"/>
              </w:rPr>
              <w:t>4-9</w:t>
            </w:r>
          </w:p>
        </w:tc>
        <w:tc>
          <w:tcPr>
            <w:tcW w:w="992" w:type="dxa"/>
          </w:tcPr>
          <w:p w14:paraId="1DB5947D" w14:textId="59C11733" w:rsidR="00FC056C" w:rsidRPr="004859C8" w:rsidRDefault="00FC056C" w:rsidP="000538D2">
            <w:pPr>
              <w:pStyle w:val="TMGTableText"/>
              <w:spacing w:before="10" w:after="10"/>
              <w:jc w:val="center"/>
            </w:pPr>
            <w:r w:rsidRPr="0051590D">
              <w:rPr>
                <w:rFonts w:eastAsiaTheme="minorEastAsia"/>
              </w:rPr>
              <w:t>6</w:t>
            </w:r>
          </w:p>
        </w:tc>
        <w:tc>
          <w:tcPr>
            <w:tcW w:w="3775" w:type="dxa"/>
          </w:tcPr>
          <w:p w14:paraId="5A0E48EA" w14:textId="5FA3ED5F" w:rsidR="00FC056C" w:rsidRPr="004859C8" w:rsidRDefault="00FC056C" w:rsidP="00FC056C">
            <w:pPr>
              <w:pStyle w:val="TMGTableText"/>
              <w:spacing w:before="10" w:after="10"/>
            </w:pPr>
            <w:r w:rsidRPr="0051590D">
              <w:rPr>
                <w:rFonts w:eastAsiaTheme="minorEastAsia"/>
              </w:rPr>
              <w:t>Station ID</w:t>
            </w:r>
            <w:r>
              <w:rPr>
                <w:rFonts w:eastAsiaTheme="minorEastAsia"/>
              </w:rPr>
              <w:t xml:space="preserve"> (ID)</w:t>
            </w:r>
          </w:p>
        </w:tc>
        <w:tc>
          <w:tcPr>
            <w:tcW w:w="1442" w:type="dxa"/>
          </w:tcPr>
          <w:p w14:paraId="71101A1D" w14:textId="2ED6514B" w:rsidR="00FC056C" w:rsidRPr="004859C8" w:rsidRDefault="00FC056C" w:rsidP="00AC2B2A">
            <w:pPr>
              <w:pStyle w:val="TMGTableText"/>
              <w:spacing w:before="10" w:after="10"/>
              <w:jc w:val="center"/>
            </w:pPr>
            <w:r>
              <w:rPr>
                <w:rFonts w:eastAsiaTheme="minorEastAsia"/>
              </w:rPr>
              <w:t>Alphanumeric</w:t>
            </w:r>
          </w:p>
        </w:tc>
        <w:tc>
          <w:tcPr>
            <w:tcW w:w="1175" w:type="dxa"/>
          </w:tcPr>
          <w:p w14:paraId="11C6B3F6" w14:textId="6EF986C8" w:rsidR="00FC056C" w:rsidRPr="00C251E9" w:rsidRDefault="00FC056C" w:rsidP="00AC2B2A">
            <w:pPr>
              <w:pStyle w:val="TMGTableText"/>
              <w:spacing w:before="10" w:after="10"/>
              <w:jc w:val="center"/>
            </w:pPr>
            <w:r>
              <w:rPr>
                <w:rFonts w:eastAsiaTheme="minorEastAsia"/>
              </w:rPr>
              <w:t>Required</w:t>
            </w:r>
          </w:p>
        </w:tc>
      </w:tr>
      <w:tr w:rsidR="00FC056C" w14:paraId="7FB3FE85" w14:textId="77777777" w:rsidTr="000538D2">
        <w:trPr>
          <w:jc w:val="center"/>
        </w:trPr>
        <w:tc>
          <w:tcPr>
            <w:tcW w:w="625" w:type="dxa"/>
          </w:tcPr>
          <w:p w14:paraId="06866AED" w14:textId="75B48D01" w:rsidR="00FC056C" w:rsidRPr="000538D2" w:rsidRDefault="00FC056C" w:rsidP="000538D2">
            <w:pPr>
              <w:pStyle w:val="TMGTableText"/>
              <w:spacing w:before="10" w:after="10"/>
              <w:ind w:right="53"/>
              <w:jc w:val="right"/>
              <w:rPr>
                <w:rFonts w:eastAsiaTheme="minorEastAsia"/>
                <w:b/>
                <w:bCs/>
              </w:rPr>
            </w:pPr>
            <w:r w:rsidRPr="00765084">
              <w:rPr>
                <w:rFonts w:eastAsiaTheme="minorEastAsia"/>
                <w:b/>
                <w:bCs/>
              </w:rPr>
              <w:t>4</w:t>
            </w:r>
          </w:p>
        </w:tc>
        <w:tc>
          <w:tcPr>
            <w:tcW w:w="1351" w:type="dxa"/>
          </w:tcPr>
          <w:p w14:paraId="6DC0C629" w14:textId="2A92645D" w:rsidR="00FC056C" w:rsidRPr="004859C8" w:rsidRDefault="00FC056C" w:rsidP="000538D2">
            <w:pPr>
              <w:pStyle w:val="TMGTableText"/>
              <w:spacing w:before="10" w:after="10"/>
              <w:jc w:val="center"/>
            </w:pPr>
            <w:r w:rsidRPr="0051590D">
              <w:rPr>
                <w:rFonts w:eastAsiaTheme="minorEastAsia"/>
              </w:rPr>
              <w:t>10</w:t>
            </w:r>
          </w:p>
        </w:tc>
        <w:tc>
          <w:tcPr>
            <w:tcW w:w="992" w:type="dxa"/>
          </w:tcPr>
          <w:p w14:paraId="177EF85A" w14:textId="4D210725" w:rsidR="00FC056C" w:rsidRPr="004859C8" w:rsidRDefault="00FC056C" w:rsidP="000538D2">
            <w:pPr>
              <w:pStyle w:val="TMGTableText"/>
              <w:spacing w:before="10" w:after="10"/>
              <w:jc w:val="center"/>
            </w:pPr>
            <w:r w:rsidRPr="0051590D">
              <w:rPr>
                <w:rFonts w:eastAsiaTheme="minorEastAsia"/>
              </w:rPr>
              <w:t>1</w:t>
            </w:r>
          </w:p>
        </w:tc>
        <w:tc>
          <w:tcPr>
            <w:tcW w:w="3775" w:type="dxa"/>
          </w:tcPr>
          <w:p w14:paraId="7D0A4612" w14:textId="071BFB99" w:rsidR="00FC056C" w:rsidRPr="004859C8" w:rsidRDefault="00FC056C" w:rsidP="00FC056C">
            <w:pPr>
              <w:pStyle w:val="TMGTableText"/>
              <w:spacing w:before="10" w:after="10"/>
            </w:pPr>
            <w:r w:rsidRPr="0051590D">
              <w:rPr>
                <w:rFonts w:eastAsiaTheme="minorEastAsia"/>
              </w:rPr>
              <w:t xml:space="preserve">Direction of Travel </w:t>
            </w:r>
            <w:r>
              <w:rPr>
                <w:rFonts w:eastAsiaTheme="minorEastAsia"/>
              </w:rPr>
              <w:t>(DIR)</w:t>
            </w:r>
          </w:p>
        </w:tc>
        <w:tc>
          <w:tcPr>
            <w:tcW w:w="1442" w:type="dxa"/>
          </w:tcPr>
          <w:p w14:paraId="0E2F1548" w14:textId="578FD84C" w:rsidR="00FC056C" w:rsidRPr="004859C8" w:rsidRDefault="00FC056C" w:rsidP="00AC2B2A">
            <w:pPr>
              <w:pStyle w:val="TMGTableText"/>
              <w:spacing w:before="10" w:after="10"/>
              <w:jc w:val="center"/>
            </w:pPr>
            <w:r w:rsidRPr="0019186D">
              <w:rPr>
                <w:rFonts w:eastAsiaTheme="minorEastAsia"/>
              </w:rPr>
              <w:t>Integer</w:t>
            </w:r>
          </w:p>
        </w:tc>
        <w:tc>
          <w:tcPr>
            <w:tcW w:w="1175" w:type="dxa"/>
          </w:tcPr>
          <w:p w14:paraId="3F501EA2" w14:textId="4469D2E5" w:rsidR="00FC056C" w:rsidRPr="00C251E9" w:rsidRDefault="00FC056C" w:rsidP="00AC2B2A">
            <w:pPr>
              <w:pStyle w:val="TMGTableText"/>
              <w:spacing w:before="10" w:after="10"/>
              <w:jc w:val="center"/>
            </w:pPr>
            <w:r>
              <w:rPr>
                <w:rFonts w:eastAsiaTheme="minorEastAsia"/>
              </w:rPr>
              <w:t>Required</w:t>
            </w:r>
          </w:p>
        </w:tc>
      </w:tr>
      <w:tr w:rsidR="00FC056C" w14:paraId="022BC610" w14:textId="77777777" w:rsidTr="000538D2">
        <w:trPr>
          <w:jc w:val="center"/>
        </w:trPr>
        <w:tc>
          <w:tcPr>
            <w:tcW w:w="625" w:type="dxa"/>
          </w:tcPr>
          <w:p w14:paraId="4616DE5E" w14:textId="530CB342" w:rsidR="00FC056C" w:rsidRPr="00765084" w:rsidRDefault="00FC056C" w:rsidP="000538D2">
            <w:pPr>
              <w:pStyle w:val="TMGTableText"/>
              <w:spacing w:before="10" w:after="10"/>
              <w:ind w:right="53"/>
              <w:jc w:val="right"/>
              <w:rPr>
                <w:rFonts w:eastAsiaTheme="minorEastAsia"/>
                <w:b/>
                <w:bCs/>
              </w:rPr>
            </w:pPr>
            <w:r w:rsidRPr="00765084">
              <w:rPr>
                <w:rFonts w:eastAsiaTheme="minorEastAsia"/>
                <w:b/>
                <w:bCs/>
              </w:rPr>
              <w:t>5</w:t>
            </w:r>
          </w:p>
        </w:tc>
        <w:tc>
          <w:tcPr>
            <w:tcW w:w="1351" w:type="dxa"/>
          </w:tcPr>
          <w:p w14:paraId="765D97A2" w14:textId="2945CF3B" w:rsidR="00FC056C" w:rsidRPr="0051590D" w:rsidRDefault="00FC056C" w:rsidP="000538D2">
            <w:pPr>
              <w:pStyle w:val="TMGTableText"/>
              <w:spacing w:before="10" w:after="10"/>
              <w:jc w:val="center"/>
              <w:rPr>
                <w:rFonts w:eastAsiaTheme="minorEastAsia"/>
              </w:rPr>
            </w:pPr>
            <w:r w:rsidRPr="0051590D">
              <w:rPr>
                <w:rFonts w:eastAsiaTheme="minorEastAsia"/>
              </w:rPr>
              <w:t>11</w:t>
            </w:r>
          </w:p>
        </w:tc>
        <w:tc>
          <w:tcPr>
            <w:tcW w:w="992" w:type="dxa"/>
          </w:tcPr>
          <w:p w14:paraId="7F8F19BC" w14:textId="762BE59E" w:rsidR="00FC056C" w:rsidRPr="0051590D" w:rsidRDefault="00FC056C" w:rsidP="000538D2">
            <w:pPr>
              <w:pStyle w:val="TMGTableText"/>
              <w:spacing w:before="10" w:after="10"/>
              <w:jc w:val="center"/>
              <w:rPr>
                <w:rFonts w:eastAsiaTheme="minorEastAsia"/>
              </w:rPr>
            </w:pPr>
            <w:r w:rsidRPr="0051590D">
              <w:rPr>
                <w:rFonts w:eastAsiaTheme="minorEastAsia"/>
              </w:rPr>
              <w:t>1</w:t>
            </w:r>
          </w:p>
        </w:tc>
        <w:tc>
          <w:tcPr>
            <w:tcW w:w="3775" w:type="dxa"/>
          </w:tcPr>
          <w:p w14:paraId="2FDB331D" w14:textId="0D14E0C7" w:rsidR="00FC056C" w:rsidRPr="0051590D" w:rsidRDefault="00FC056C" w:rsidP="00FC056C">
            <w:pPr>
              <w:pStyle w:val="TMGTableText"/>
              <w:spacing w:before="10" w:after="10"/>
              <w:rPr>
                <w:rFonts w:eastAsiaTheme="minorEastAsia"/>
              </w:rPr>
            </w:pPr>
            <w:r w:rsidRPr="0051590D">
              <w:rPr>
                <w:rFonts w:eastAsiaTheme="minorEastAsia"/>
              </w:rPr>
              <w:t xml:space="preserve">Lane of Travel </w:t>
            </w:r>
            <w:r>
              <w:rPr>
                <w:rFonts w:eastAsiaTheme="minorEastAsia"/>
              </w:rPr>
              <w:t>(LN)</w:t>
            </w:r>
          </w:p>
        </w:tc>
        <w:tc>
          <w:tcPr>
            <w:tcW w:w="1442" w:type="dxa"/>
          </w:tcPr>
          <w:p w14:paraId="0744B615" w14:textId="74FFE7DD" w:rsidR="00FC056C" w:rsidRPr="0019186D" w:rsidRDefault="00FC056C" w:rsidP="00AC2B2A">
            <w:pPr>
              <w:pStyle w:val="TMGTableText"/>
              <w:spacing w:before="10" w:after="10"/>
              <w:jc w:val="center"/>
              <w:rPr>
                <w:rFonts w:eastAsiaTheme="minorEastAsia"/>
              </w:rPr>
            </w:pPr>
            <w:r w:rsidRPr="0019186D">
              <w:rPr>
                <w:rFonts w:eastAsiaTheme="minorEastAsia"/>
              </w:rPr>
              <w:t>Integer</w:t>
            </w:r>
          </w:p>
        </w:tc>
        <w:tc>
          <w:tcPr>
            <w:tcW w:w="1175" w:type="dxa"/>
          </w:tcPr>
          <w:p w14:paraId="7209EF3C" w14:textId="186F049F" w:rsidR="00FC056C" w:rsidRDefault="00FC056C" w:rsidP="00AC2B2A">
            <w:pPr>
              <w:pStyle w:val="TMGTableText"/>
              <w:spacing w:before="10" w:after="10"/>
              <w:jc w:val="center"/>
              <w:rPr>
                <w:rFonts w:eastAsiaTheme="minorEastAsia"/>
              </w:rPr>
            </w:pPr>
            <w:r>
              <w:rPr>
                <w:rFonts w:eastAsiaTheme="minorEastAsia"/>
              </w:rPr>
              <w:t>Required</w:t>
            </w:r>
          </w:p>
        </w:tc>
      </w:tr>
      <w:tr w:rsidR="00FC056C" w14:paraId="320BD2DF" w14:textId="77777777" w:rsidTr="000538D2">
        <w:trPr>
          <w:jc w:val="center"/>
        </w:trPr>
        <w:tc>
          <w:tcPr>
            <w:tcW w:w="625" w:type="dxa"/>
          </w:tcPr>
          <w:p w14:paraId="64FB11BB" w14:textId="7610FAA3" w:rsidR="00FC056C" w:rsidRPr="00765084" w:rsidRDefault="00FC056C" w:rsidP="000538D2">
            <w:pPr>
              <w:pStyle w:val="TMGTableText"/>
              <w:spacing w:before="10" w:after="10"/>
              <w:ind w:right="53"/>
              <w:jc w:val="right"/>
              <w:rPr>
                <w:rFonts w:eastAsiaTheme="minorEastAsia"/>
                <w:b/>
                <w:bCs/>
              </w:rPr>
            </w:pPr>
            <w:r w:rsidRPr="00765084">
              <w:rPr>
                <w:rFonts w:eastAsiaTheme="minorEastAsia"/>
                <w:b/>
                <w:bCs/>
              </w:rPr>
              <w:t>6</w:t>
            </w:r>
          </w:p>
        </w:tc>
        <w:tc>
          <w:tcPr>
            <w:tcW w:w="1351" w:type="dxa"/>
          </w:tcPr>
          <w:p w14:paraId="0EE40F53" w14:textId="046C25DF" w:rsidR="00FC056C" w:rsidRPr="0051590D" w:rsidRDefault="00FC056C" w:rsidP="000538D2">
            <w:pPr>
              <w:pStyle w:val="TMGTableText"/>
              <w:spacing w:before="10" w:after="10"/>
              <w:jc w:val="center"/>
              <w:rPr>
                <w:rFonts w:eastAsiaTheme="minorEastAsia"/>
              </w:rPr>
            </w:pPr>
            <w:r w:rsidRPr="0051590D">
              <w:rPr>
                <w:rFonts w:eastAsiaTheme="minorEastAsia"/>
              </w:rPr>
              <w:t>12-15</w:t>
            </w:r>
          </w:p>
        </w:tc>
        <w:tc>
          <w:tcPr>
            <w:tcW w:w="992" w:type="dxa"/>
          </w:tcPr>
          <w:p w14:paraId="5E2C9534" w14:textId="43F589CB" w:rsidR="00FC056C" w:rsidRPr="0051590D" w:rsidRDefault="00FC056C" w:rsidP="000538D2">
            <w:pPr>
              <w:pStyle w:val="TMGTableText"/>
              <w:spacing w:before="10" w:after="10"/>
              <w:jc w:val="center"/>
              <w:rPr>
                <w:rFonts w:eastAsiaTheme="minorEastAsia"/>
              </w:rPr>
            </w:pPr>
            <w:r w:rsidRPr="0051590D">
              <w:rPr>
                <w:rFonts w:eastAsiaTheme="minorEastAsia"/>
              </w:rPr>
              <w:t>4</w:t>
            </w:r>
          </w:p>
        </w:tc>
        <w:tc>
          <w:tcPr>
            <w:tcW w:w="3775" w:type="dxa"/>
          </w:tcPr>
          <w:p w14:paraId="6F64D29D" w14:textId="3DB409E9" w:rsidR="00FC056C" w:rsidRPr="0051590D" w:rsidRDefault="00FC056C" w:rsidP="00FC056C">
            <w:pPr>
              <w:pStyle w:val="TMGTableText"/>
              <w:spacing w:before="10" w:after="10"/>
              <w:rPr>
                <w:rFonts w:eastAsiaTheme="minorEastAsia"/>
              </w:rPr>
            </w:pPr>
            <w:r w:rsidRPr="0051590D">
              <w:rPr>
                <w:rFonts w:eastAsiaTheme="minorEastAsia"/>
              </w:rPr>
              <w:t>Year of Data</w:t>
            </w:r>
            <w:r>
              <w:rPr>
                <w:rFonts w:eastAsiaTheme="minorEastAsia"/>
              </w:rPr>
              <w:t xml:space="preserve"> (YR)</w:t>
            </w:r>
          </w:p>
        </w:tc>
        <w:tc>
          <w:tcPr>
            <w:tcW w:w="1442" w:type="dxa"/>
          </w:tcPr>
          <w:p w14:paraId="09F0D25D" w14:textId="3EED0F54" w:rsidR="00FC056C" w:rsidRPr="0019186D" w:rsidRDefault="00FC056C" w:rsidP="00AC2B2A">
            <w:pPr>
              <w:pStyle w:val="TMGTableText"/>
              <w:spacing w:before="10" w:after="10"/>
              <w:jc w:val="center"/>
              <w:rPr>
                <w:rFonts w:eastAsiaTheme="minorEastAsia"/>
              </w:rPr>
            </w:pPr>
            <w:r w:rsidRPr="0019186D">
              <w:rPr>
                <w:rFonts w:eastAsiaTheme="minorEastAsia"/>
              </w:rPr>
              <w:t>Integer</w:t>
            </w:r>
          </w:p>
        </w:tc>
        <w:tc>
          <w:tcPr>
            <w:tcW w:w="1175" w:type="dxa"/>
          </w:tcPr>
          <w:p w14:paraId="76C3010A" w14:textId="2771E1A2" w:rsidR="00FC056C" w:rsidRDefault="00FC056C" w:rsidP="00AC2B2A">
            <w:pPr>
              <w:pStyle w:val="TMGTableText"/>
              <w:spacing w:before="10" w:after="10"/>
              <w:jc w:val="center"/>
              <w:rPr>
                <w:rFonts w:eastAsiaTheme="minorEastAsia"/>
              </w:rPr>
            </w:pPr>
            <w:r>
              <w:rPr>
                <w:rFonts w:eastAsiaTheme="minorEastAsia"/>
              </w:rPr>
              <w:t>Required</w:t>
            </w:r>
          </w:p>
        </w:tc>
      </w:tr>
      <w:tr w:rsidR="00FC056C" w14:paraId="30D0521C" w14:textId="77777777" w:rsidTr="000538D2">
        <w:trPr>
          <w:jc w:val="center"/>
        </w:trPr>
        <w:tc>
          <w:tcPr>
            <w:tcW w:w="625" w:type="dxa"/>
          </w:tcPr>
          <w:p w14:paraId="0999252F" w14:textId="56E9CEB4" w:rsidR="00FC056C" w:rsidRPr="00765084" w:rsidRDefault="00FC056C" w:rsidP="000538D2">
            <w:pPr>
              <w:pStyle w:val="TMGTableText"/>
              <w:spacing w:before="10" w:after="10"/>
              <w:ind w:right="53"/>
              <w:jc w:val="right"/>
              <w:rPr>
                <w:rFonts w:eastAsiaTheme="minorEastAsia"/>
                <w:b/>
                <w:bCs/>
              </w:rPr>
            </w:pPr>
            <w:r w:rsidRPr="00765084">
              <w:rPr>
                <w:rFonts w:eastAsiaTheme="minorEastAsia"/>
                <w:b/>
                <w:bCs/>
              </w:rPr>
              <w:t>7</w:t>
            </w:r>
          </w:p>
        </w:tc>
        <w:tc>
          <w:tcPr>
            <w:tcW w:w="1351" w:type="dxa"/>
          </w:tcPr>
          <w:p w14:paraId="5334317F" w14:textId="62ABBAD6" w:rsidR="00FC056C" w:rsidRPr="0051590D" w:rsidRDefault="00FC056C" w:rsidP="000538D2">
            <w:pPr>
              <w:pStyle w:val="TMGTableText"/>
              <w:spacing w:before="10" w:after="10"/>
              <w:jc w:val="center"/>
              <w:rPr>
                <w:rFonts w:eastAsiaTheme="minorEastAsia"/>
              </w:rPr>
            </w:pPr>
            <w:r w:rsidRPr="0051590D">
              <w:rPr>
                <w:rFonts w:eastAsiaTheme="minorEastAsia"/>
              </w:rPr>
              <w:t>16-17</w:t>
            </w:r>
          </w:p>
        </w:tc>
        <w:tc>
          <w:tcPr>
            <w:tcW w:w="992" w:type="dxa"/>
          </w:tcPr>
          <w:p w14:paraId="145BC289" w14:textId="712B8FB6" w:rsidR="00FC056C" w:rsidRPr="0051590D" w:rsidRDefault="00FC056C" w:rsidP="000538D2">
            <w:pPr>
              <w:pStyle w:val="TMGTableText"/>
              <w:spacing w:before="10" w:after="10"/>
              <w:jc w:val="center"/>
              <w:rPr>
                <w:rFonts w:eastAsiaTheme="minorEastAsia"/>
              </w:rPr>
            </w:pPr>
            <w:r w:rsidRPr="0051590D">
              <w:rPr>
                <w:rFonts w:eastAsiaTheme="minorEastAsia"/>
              </w:rPr>
              <w:t>2</w:t>
            </w:r>
          </w:p>
        </w:tc>
        <w:tc>
          <w:tcPr>
            <w:tcW w:w="3775" w:type="dxa"/>
          </w:tcPr>
          <w:p w14:paraId="1F42BCBE" w14:textId="2F352F81" w:rsidR="00FC056C" w:rsidRPr="0051590D" w:rsidRDefault="00FC056C" w:rsidP="00FC056C">
            <w:pPr>
              <w:pStyle w:val="TMGTableText"/>
              <w:spacing w:before="10" w:after="10"/>
              <w:rPr>
                <w:rFonts w:eastAsiaTheme="minorEastAsia"/>
              </w:rPr>
            </w:pPr>
            <w:r w:rsidRPr="0051590D">
              <w:rPr>
                <w:rFonts w:eastAsiaTheme="minorEastAsia"/>
              </w:rPr>
              <w:t xml:space="preserve">Month of </w:t>
            </w:r>
            <w:r>
              <w:rPr>
                <w:rFonts w:eastAsiaTheme="minorEastAsia"/>
              </w:rPr>
              <w:t>Year (MOY)</w:t>
            </w:r>
          </w:p>
        </w:tc>
        <w:tc>
          <w:tcPr>
            <w:tcW w:w="1442" w:type="dxa"/>
          </w:tcPr>
          <w:p w14:paraId="5E4F76A0" w14:textId="266C4168" w:rsidR="00FC056C" w:rsidRPr="0019186D" w:rsidRDefault="00FC056C" w:rsidP="00AC2B2A">
            <w:pPr>
              <w:pStyle w:val="TMGTableText"/>
              <w:spacing w:before="10" w:after="10"/>
              <w:jc w:val="center"/>
              <w:rPr>
                <w:rFonts w:eastAsiaTheme="minorEastAsia"/>
              </w:rPr>
            </w:pPr>
            <w:r w:rsidRPr="0019186D">
              <w:rPr>
                <w:rFonts w:eastAsiaTheme="minorEastAsia"/>
              </w:rPr>
              <w:t>Integer</w:t>
            </w:r>
          </w:p>
        </w:tc>
        <w:tc>
          <w:tcPr>
            <w:tcW w:w="1175" w:type="dxa"/>
          </w:tcPr>
          <w:p w14:paraId="2986BB68" w14:textId="2215E895" w:rsidR="00FC056C" w:rsidRDefault="00FC056C" w:rsidP="00AC2B2A">
            <w:pPr>
              <w:pStyle w:val="TMGTableText"/>
              <w:spacing w:before="10" w:after="10"/>
              <w:jc w:val="center"/>
              <w:rPr>
                <w:rFonts w:eastAsiaTheme="minorEastAsia"/>
              </w:rPr>
            </w:pPr>
            <w:r>
              <w:rPr>
                <w:rFonts w:eastAsiaTheme="minorEastAsia"/>
              </w:rPr>
              <w:t>Required</w:t>
            </w:r>
          </w:p>
        </w:tc>
      </w:tr>
      <w:tr w:rsidR="00FC056C" w14:paraId="6BB20021" w14:textId="77777777" w:rsidTr="000538D2">
        <w:trPr>
          <w:jc w:val="center"/>
        </w:trPr>
        <w:tc>
          <w:tcPr>
            <w:tcW w:w="625" w:type="dxa"/>
          </w:tcPr>
          <w:p w14:paraId="5A8C65C9" w14:textId="3D885FA4" w:rsidR="00FC056C" w:rsidRPr="00765084" w:rsidRDefault="00FC056C" w:rsidP="000538D2">
            <w:pPr>
              <w:pStyle w:val="TMGTableText"/>
              <w:spacing w:before="10" w:after="10"/>
              <w:ind w:right="53"/>
              <w:jc w:val="right"/>
              <w:rPr>
                <w:rFonts w:eastAsiaTheme="minorEastAsia"/>
                <w:b/>
                <w:bCs/>
              </w:rPr>
            </w:pPr>
            <w:r w:rsidRPr="00765084">
              <w:rPr>
                <w:rFonts w:eastAsiaTheme="minorEastAsia"/>
                <w:b/>
                <w:bCs/>
              </w:rPr>
              <w:t>8</w:t>
            </w:r>
          </w:p>
        </w:tc>
        <w:tc>
          <w:tcPr>
            <w:tcW w:w="1351" w:type="dxa"/>
          </w:tcPr>
          <w:p w14:paraId="5729C309" w14:textId="33C9E34E" w:rsidR="00FC056C" w:rsidRPr="0051590D" w:rsidRDefault="00FC056C" w:rsidP="000538D2">
            <w:pPr>
              <w:pStyle w:val="TMGTableText"/>
              <w:spacing w:before="10" w:after="10"/>
              <w:jc w:val="center"/>
              <w:rPr>
                <w:rFonts w:eastAsiaTheme="minorEastAsia"/>
              </w:rPr>
            </w:pPr>
            <w:r w:rsidRPr="0051590D">
              <w:rPr>
                <w:rFonts w:eastAsiaTheme="minorEastAsia"/>
              </w:rPr>
              <w:t>18-19</w:t>
            </w:r>
          </w:p>
        </w:tc>
        <w:tc>
          <w:tcPr>
            <w:tcW w:w="992" w:type="dxa"/>
          </w:tcPr>
          <w:p w14:paraId="782C0323" w14:textId="6322012C" w:rsidR="00FC056C" w:rsidRPr="0051590D" w:rsidRDefault="00FC056C" w:rsidP="000538D2">
            <w:pPr>
              <w:pStyle w:val="TMGTableText"/>
              <w:spacing w:before="10" w:after="10"/>
              <w:jc w:val="center"/>
              <w:rPr>
                <w:rFonts w:eastAsiaTheme="minorEastAsia"/>
              </w:rPr>
            </w:pPr>
            <w:r w:rsidRPr="0051590D">
              <w:rPr>
                <w:rFonts w:eastAsiaTheme="minorEastAsia"/>
              </w:rPr>
              <w:t>2</w:t>
            </w:r>
          </w:p>
        </w:tc>
        <w:tc>
          <w:tcPr>
            <w:tcW w:w="3775" w:type="dxa"/>
          </w:tcPr>
          <w:p w14:paraId="4B8151DF" w14:textId="2A93ED05" w:rsidR="00FC056C" w:rsidRPr="0051590D" w:rsidRDefault="00FC056C" w:rsidP="00FC056C">
            <w:pPr>
              <w:pStyle w:val="TMGTableText"/>
              <w:spacing w:before="10" w:after="10"/>
              <w:rPr>
                <w:rFonts w:eastAsiaTheme="minorEastAsia"/>
              </w:rPr>
            </w:pPr>
            <w:r w:rsidRPr="0051590D">
              <w:rPr>
                <w:rFonts w:eastAsiaTheme="minorEastAsia"/>
              </w:rPr>
              <w:t xml:space="preserve">Day of </w:t>
            </w:r>
            <w:r>
              <w:rPr>
                <w:rFonts w:eastAsiaTheme="minorEastAsia"/>
              </w:rPr>
              <w:t>Month (DOM)</w:t>
            </w:r>
          </w:p>
        </w:tc>
        <w:tc>
          <w:tcPr>
            <w:tcW w:w="1442" w:type="dxa"/>
          </w:tcPr>
          <w:p w14:paraId="3B2EB11A" w14:textId="07F8B236" w:rsidR="00FC056C" w:rsidRPr="0019186D" w:rsidRDefault="00FC056C" w:rsidP="00AC2B2A">
            <w:pPr>
              <w:pStyle w:val="TMGTableText"/>
              <w:spacing w:before="10" w:after="10"/>
              <w:jc w:val="center"/>
              <w:rPr>
                <w:rFonts w:eastAsiaTheme="minorEastAsia"/>
              </w:rPr>
            </w:pPr>
            <w:r w:rsidRPr="0019186D">
              <w:rPr>
                <w:rFonts w:eastAsiaTheme="minorEastAsia"/>
              </w:rPr>
              <w:t>Integer</w:t>
            </w:r>
          </w:p>
        </w:tc>
        <w:tc>
          <w:tcPr>
            <w:tcW w:w="1175" w:type="dxa"/>
          </w:tcPr>
          <w:p w14:paraId="094D0B2A" w14:textId="6AD9697A" w:rsidR="00FC056C" w:rsidRDefault="00FC056C" w:rsidP="00AC2B2A">
            <w:pPr>
              <w:pStyle w:val="TMGTableText"/>
              <w:spacing w:before="10" w:after="10"/>
              <w:jc w:val="center"/>
              <w:rPr>
                <w:rFonts w:eastAsiaTheme="minorEastAsia"/>
              </w:rPr>
            </w:pPr>
            <w:r>
              <w:rPr>
                <w:rFonts w:eastAsiaTheme="minorEastAsia"/>
              </w:rPr>
              <w:t>Required</w:t>
            </w:r>
          </w:p>
        </w:tc>
      </w:tr>
      <w:tr w:rsidR="00FC056C" w14:paraId="63D26A3C" w14:textId="77777777" w:rsidTr="000538D2">
        <w:trPr>
          <w:jc w:val="center"/>
        </w:trPr>
        <w:tc>
          <w:tcPr>
            <w:tcW w:w="625" w:type="dxa"/>
          </w:tcPr>
          <w:p w14:paraId="20ECC45E" w14:textId="31B05F70" w:rsidR="00FC056C" w:rsidRPr="00765084" w:rsidRDefault="00FC056C" w:rsidP="000538D2">
            <w:pPr>
              <w:pStyle w:val="TMGTableText"/>
              <w:spacing w:before="10" w:after="10"/>
              <w:ind w:right="53"/>
              <w:jc w:val="right"/>
              <w:rPr>
                <w:rFonts w:eastAsiaTheme="minorEastAsia"/>
                <w:b/>
                <w:bCs/>
              </w:rPr>
            </w:pPr>
            <w:r w:rsidRPr="00765084">
              <w:rPr>
                <w:rFonts w:eastAsiaTheme="minorEastAsia"/>
                <w:b/>
                <w:bCs/>
              </w:rPr>
              <w:t>9</w:t>
            </w:r>
          </w:p>
        </w:tc>
        <w:tc>
          <w:tcPr>
            <w:tcW w:w="1351" w:type="dxa"/>
          </w:tcPr>
          <w:p w14:paraId="36360F29" w14:textId="564A17BD" w:rsidR="00FC056C" w:rsidRPr="0051590D" w:rsidRDefault="00FC056C" w:rsidP="000538D2">
            <w:pPr>
              <w:pStyle w:val="TMGTableText"/>
              <w:spacing w:before="10" w:after="10"/>
              <w:jc w:val="center"/>
              <w:rPr>
                <w:rFonts w:eastAsiaTheme="minorEastAsia"/>
              </w:rPr>
            </w:pPr>
            <w:r w:rsidRPr="0051590D">
              <w:rPr>
                <w:rFonts w:eastAsiaTheme="minorEastAsia"/>
              </w:rPr>
              <w:t>20-21</w:t>
            </w:r>
          </w:p>
        </w:tc>
        <w:tc>
          <w:tcPr>
            <w:tcW w:w="992" w:type="dxa"/>
          </w:tcPr>
          <w:p w14:paraId="52F05689" w14:textId="737D9582" w:rsidR="00FC056C" w:rsidRPr="0051590D" w:rsidRDefault="00FC056C" w:rsidP="000538D2">
            <w:pPr>
              <w:pStyle w:val="TMGTableText"/>
              <w:spacing w:before="10" w:after="10"/>
              <w:jc w:val="center"/>
              <w:rPr>
                <w:rFonts w:eastAsiaTheme="minorEastAsia"/>
              </w:rPr>
            </w:pPr>
            <w:r w:rsidRPr="0051590D">
              <w:rPr>
                <w:rFonts w:eastAsiaTheme="minorEastAsia"/>
              </w:rPr>
              <w:t>2</w:t>
            </w:r>
          </w:p>
        </w:tc>
        <w:tc>
          <w:tcPr>
            <w:tcW w:w="3775" w:type="dxa"/>
          </w:tcPr>
          <w:p w14:paraId="693499E9" w14:textId="33DD92FD" w:rsidR="00FC056C" w:rsidRPr="0051590D" w:rsidRDefault="00FC056C" w:rsidP="00FC056C">
            <w:pPr>
              <w:pStyle w:val="TMGTableText"/>
              <w:spacing w:before="10" w:after="10"/>
              <w:rPr>
                <w:rFonts w:eastAsiaTheme="minorEastAsia"/>
              </w:rPr>
            </w:pPr>
            <w:r w:rsidRPr="0051590D">
              <w:rPr>
                <w:rFonts w:eastAsiaTheme="minorEastAsia"/>
              </w:rPr>
              <w:t>Hour of Da</w:t>
            </w:r>
            <w:r>
              <w:rPr>
                <w:rFonts w:eastAsiaTheme="minorEastAsia"/>
              </w:rPr>
              <w:t>y (HOD)</w:t>
            </w:r>
          </w:p>
        </w:tc>
        <w:tc>
          <w:tcPr>
            <w:tcW w:w="1442" w:type="dxa"/>
          </w:tcPr>
          <w:p w14:paraId="22017F2D" w14:textId="565CCA00" w:rsidR="00FC056C" w:rsidRPr="0019186D" w:rsidRDefault="00FC056C" w:rsidP="00AC2B2A">
            <w:pPr>
              <w:pStyle w:val="TMGTableText"/>
              <w:spacing w:before="10" w:after="10"/>
              <w:jc w:val="center"/>
              <w:rPr>
                <w:rFonts w:eastAsiaTheme="minorEastAsia"/>
              </w:rPr>
            </w:pPr>
            <w:r w:rsidRPr="0019186D">
              <w:rPr>
                <w:rFonts w:eastAsiaTheme="minorEastAsia"/>
              </w:rPr>
              <w:t>Integer</w:t>
            </w:r>
          </w:p>
        </w:tc>
        <w:tc>
          <w:tcPr>
            <w:tcW w:w="1175" w:type="dxa"/>
          </w:tcPr>
          <w:p w14:paraId="2E789AAB" w14:textId="40BE56E3" w:rsidR="00FC056C" w:rsidRDefault="00FC056C" w:rsidP="00AC2B2A">
            <w:pPr>
              <w:pStyle w:val="TMGTableText"/>
              <w:spacing w:before="10" w:after="10"/>
              <w:jc w:val="center"/>
              <w:rPr>
                <w:rFonts w:eastAsiaTheme="minorEastAsia"/>
              </w:rPr>
            </w:pPr>
            <w:r>
              <w:rPr>
                <w:rFonts w:eastAsiaTheme="minorEastAsia"/>
              </w:rPr>
              <w:t>Required</w:t>
            </w:r>
          </w:p>
        </w:tc>
      </w:tr>
      <w:tr w:rsidR="00FC056C" w14:paraId="7CE2B57D" w14:textId="77777777" w:rsidTr="000538D2">
        <w:trPr>
          <w:jc w:val="center"/>
        </w:trPr>
        <w:tc>
          <w:tcPr>
            <w:tcW w:w="625" w:type="dxa"/>
          </w:tcPr>
          <w:p w14:paraId="339C000E" w14:textId="61182A17" w:rsidR="00FC056C" w:rsidRPr="00765084" w:rsidRDefault="00FC056C" w:rsidP="000538D2">
            <w:pPr>
              <w:pStyle w:val="TMGTableText"/>
              <w:spacing w:before="10" w:after="10"/>
              <w:ind w:right="53"/>
              <w:jc w:val="right"/>
              <w:rPr>
                <w:rFonts w:eastAsiaTheme="minorEastAsia"/>
                <w:b/>
                <w:bCs/>
              </w:rPr>
            </w:pPr>
            <w:r w:rsidRPr="00765084">
              <w:rPr>
                <w:rFonts w:eastAsiaTheme="minorEastAsia"/>
                <w:b/>
                <w:bCs/>
              </w:rPr>
              <w:t>10</w:t>
            </w:r>
          </w:p>
        </w:tc>
        <w:tc>
          <w:tcPr>
            <w:tcW w:w="1351" w:type="dxa"/>
          </w:tcPr>
          <w:p w14:paraId="02BAEA0D" w14:textId="77139635" w:rsidR="00FC056C" w:rsidRPr="0051590D" w:rsidRDefault="00FC056C" w:rsidP="000538D2">
            <w:pPr>
              <w:pStyle w:val="TMGTableText"/>
              <w:spacing w:before="10" w:after="10"/>
              <w:jc w:val="center"/>
              <w:rPr>
                <w:rFonts w:eastAsiaTheme="minorEastAsia"/>
              </w:rPr>
            </w:pPr>
            <w:r w:rsidRPr="0051590D">
              <w:rPr>
                <w:rFonts w:eastAsiaTheme="minorEastAsia"/>
              </w:rPr>
              <w:t>22</w:t>
            </w:r>
          </w:p>
        </w:tc>
        <w:tc>
          <w:tcPr>
            <w:tcW w:w="992" w:type="dxa"/>
          </w:tcPr>
          <w:p w14:paraId="57B19F18" w14:textId="457677FF" w:rsidR="00FC056C" w:rsidRPr="0051590D" w:rsidRDefault="00FC056C" w:rsidP="000538D2">
            <w:pPr>
              <w:pStyle w:val="TMGTableText"/>
              <w:spacing w:before="10" w:after="10"/>
              <w:jc w:val="center"/>
              <w:rPr>
                <w:rFonts w:eastAsiaTheme="minorEastAsia"/>
              </w:rPr>
            </w:pPr>
            <w:r w:rsidRPr="0051590D">
              <w:rPr>
                <w:rFonts w:eastAsiaTheme="minorEastAsia"/>
              </w:rPr>
              <w:t>1</w:t>
            </w:r>
          </w:p>
        </w:tc>
        <w:tc>
          <w:tcPr>
            <w:tcW w:w="3775" w:type="dxa"/>
          </w:tcPr>
          <w:p w14:paraId="54313DEA" w14:textId="6CE65E81" w:rsidR="00FC056C" w:rsidRPr="0051590D" w:rsidRDefault="00FC056C" w:rsidP="00FC056C">
            <w:pPr>
              <w:pStyle w:val="TMGTableText"/>
              <w:spacing w:before="10" w:after="10"/>
              <w:rPr>
                <w:rFonts w:eastAsiaTheme="minorEastAsia"/>
              </w:rPr>
            </w:pPr>
            <w:r w:rsidRPr="0051590D">
              <w:rPr>
                <w:rFonts w:eastAsiaTheme="minorEastAsia"/>
              </w:rPr>
              <w:t>Speed Data Time Interval</w:t>
            </w:r>
            <w:r>
              <w:rPr>
                <w:rFonts w:eastAsiaTheme="minorEastAsia"/>
              </w:rPr>
              <w:t xml:space="preserve"> (I)</w:t>
            </w:r>
          </w:p>
        </w:tc>
        <w:tc>
          <w:tcPr>
            <w:tcW w:w="1442" w:type="dxa"/>
          </w:tcPr>
          <w:p w14:paraId="0021192C" w14:textId="5CC47824" w:rsidR="00FC056C" w:rsidRPr="0019186D" w:rsidRDefault="00FC056C" w:rsidP="00AC2B2A">
            <w:pPr>
              <w:pStyle w:val="TMGTableText"/>
              <w:spacing w:before="10" w:after="10"/>
              <w:jc w:val="center"/>
              <w:rPr>
                <w:rFonts w:eastAsiaTheme="minorEastAsia"/>
              </w:rPr>
            </w:pPr>
            <w:r>
              <w:rPr>
                <w:rFonts w:eastAsiaTheme="minorEastAsia"/>
              </w:rPr>
              <w:t>Integer</w:t>
            </w:r>
          </w:p>
        </w:tc>
        <w:tc>
          <w:tcPr>
            <w:tcW w:w="1175" w:type="dxa"/>
          </w:tcPr>
          <w:p w14:paraId="10CF5453" w14:textId="7841F1E3" w:rsidR="00FC056C" w:rsidRDefault="00FC056C" w:rsidP="00AC2B2A">
            <w:pPr>
              <w:pStyle w:val="TMGTableText"/>
              <w:spacing w:before="10" w:after="10"/>
              <w:jc w:val="center"/>
              <w:rPr>
                <w:rFonts w:eastAsiaTheme="minorEastAsia"/>
              </w:rPr>
            </w:pPr>
            <w:r w:rsidRPr="0051590D">
              <w:rPr>
                <w:rFonts w:eastAsiaTheme="minorEastAsia"/>
              </w:rPr>
              <w:t>O</w:t>
            </w:r>
            <w:r>
              <w:rPr>
                <w:rFonts w:eastAsiaTheme="minorEastAsia"/>
              </w:rPr>
              <w:t>ptional</w:t>
            </w:r>
          </w:p>
        </w:tc>
      </w:tr>
      <w:tr w:rsidR="00FC056C" w14:paraId="0A8B9C12" w14:textId="77777777" w:rsidTr="000538D2">
        <w:trPr>
          <w:jc w:val="center"/>
        </w:trPr>
        <w:tc>
          <w:tcPr>
            <w:tcW w:w="625" w:type="dxa"/>
          </w:tcPr>
          <w:p w14:paraId="6DEF8C8D" w14:textId="16A84AFD" w:rsidR="00FC056C" w:rsidRPr="00765084" w:rsidRDefault="00FC056C" w:rsidP="000538D2">
            <w:pPr>
              <w:pStyle w:val="TMGTableText"/>
              <w:spacing w:before="10" w:after="10"/>
              <w:ind w:right="53"/>
              <w:jc w:val="right"/>
              <w:rPr>
                <w:rFonts w:eastAsiaTheme="minorEastAsia"/>
                <w:b/>
                <w:bCs/>
              </w:rPr>
            </w:pPr>
            <w:r w:rsidRPr="00765084">
              <w:rPr>
                <w:rFonts w:eastAsiaTheme="minorEastAsia"/>
                <w:b/>
                <w:bCs/>
              </w:rPr>
              <w:t>11</w:t>
            </w:r>
          </w:p>
        </w:tc>
        <w:tc>
          <w:tcPr>
            <w:tcW w:w="1351" w:type="dxa"/>
          </w:tcPr>
          <w:p w14:paraId="19EFFBB4" w14:textId="51518947" w:rsidR="00FC056C" w:rsidRPr="0051590D" w:rsidRDefault="00FC056C" w:rsidP="000538D2">
            <w:pPr>
              <w:pStyle w:val="TMGTableText"/>
              <w:spacing w:before="10" w:after="10"/>
              <w:jc w:val="center"/>
              <w:rPr>
                <w:rFonts w:eastAsiaTheme="minorEastAsia"/>
              </w:rPr>
            </w:pPr>
            <w:r w:rsidRPr="0051590D">
              <w:rPr>
                <w:rFonts w:eastAsiaTheme="minorEastAsia"/>
              </w:rPr>
              <w:t>23</w:t>
            </w:r>
          </w:p>
        </w:tc>
        <w:tc>
          <w:tcPr>
            <w:tcW w:w="992" w:type="dxa"/>
          </w:tcPr>
          <w:p w14:paraId="2697F33F" w14:textId="400C3991" w:rsidR="00FC056C" w:rsidRPr="0051590D" w:rsidRDefault="00FC056C" w:rsidP="000538D2">
            <w:pPr>
              <w:pStyle w:val="TMGTableText"/>
              <w:spacing w:before="10" w:after="10"/>
              <w:jc w:val="center"/>
              <w:rPr>
                <w:rFonts w:eastAsiaTheme="minorEastAsia"/>
              </w:rPr>
            </w:pPr>
            <w:r w:rsidRPr="0051590D">
              <w:rPr>
                <w:rFonts w:eastAsiaTheme="minorEastAsia"/>
              </w:rPr>
              <w:t>1</w:t>
            </w:r>
          </w:p>
        </w:tc>
        <w:tc>
          <w:tcPr>
            <w:tcW w:w="3775" w:type="dxa"/>
          </w:tcPr>
          <w:p w14:paraId="2E5B7CF9" w14:textId="3009422C" w:rsidR="00FC056C" w:rsidRPr="0051590D" w:rsidRDefault="00FC056C" w:rsidP="00FC056C">
            <w:pPr>
              <w:pStyle w:val="TMGTableText"/>
              <w:spacing w:before="10" w:after="10"/>
              <w:rPr>
                <w:rFonts w:eastAsiaTheme="minorEastAsia"/>
              </w:rPr>
            </w:pPr>
            <w:r w:rsidRPr="0051590D">
              <w:rPr>
                <w:rFonts w:eastAsiaTheme="minorEastAsia"/>
              </w:rPr>
              <w:t>Definition of First Speed Bin</w:t>
            </w:r>
            <w:r>
              <w:rPr>
                <w:rFonts w:eastAsiaTheme="minorEastAsia"/>
              </w:rPr>
              <w:t xml:space="preserve"> (F)</w:t>
            </w:r>
          </w:p>
        </w:tc>
        <w:tc>
          <w:tcPr>
            <w:tcW w:w="1442" w:type="dxa"/>
          </w:tcPr>
          <w:p w14:paraId="06D62212" w14:textId="6E3C6B4C" w:rsidR="00FC056C" w:rsidRDefault="00FC056C" w:rsidP="00AC2B2A">
            <w:pPr>
              <w:pStyle w:val="TMGTableText"/>
              <w:spacing w:before="10" w:after="10"/>
              <w:jc w:val="center"/>
              <w:rPr>
                <w:rFonts w:eastAsiaTheme="minorEastAsia"/>
              </w:rPr>
            </w:pPr>
            <w:r>
              <w:rPr>
                <w:rFonts w:eastAsiaTheme="minorEastAsia"/>
              </w:rPr>
              <w:t>Integer</w:t>
            </w:r>
          </w:p>
        </w:tc>
        <w:tc>
          <w:tcPr>
            <w:tcW w:w="1175" w:type="dxa"/>
          </w:tcPr>
          <w:p w14:paraId="5FE5B633" w14:textId="1EED303B" w:rsidR="00FC056C" w:rsidRPr="0051590D" w:rsidRDefault="00FC056C" w:rsidP="00AC2B2A">
            <w:pPr>
              <w:pStyle w:val="TMGTableText"/>
              <w:spacing w:before="10" w:after="10"/>
              <w:jc w:val="center"/>
              <w:rPr>
                <w:rFonts w:eastAsiaTheme="minorEastAsia"/>
              </w:rPr>
            </w:pPr>
            <w:r w:rsidRPr="0051590D">
              <w:rPr>
                <w:rFonts w:eastAsiaTheme="minorEastAsia"/>
              </w:rPr>
              <w:t>O</w:t>
            </w:r>
            <w:r>
              <w:rPr>
                <w:rFonts w:eastAsiaTheme="minorEastAsia"/>
              </w:rPr>
              <w:t>ptional</w:t>
            </w:r>
          </w:p>
        </w:tc>
      </w:tr>
      <w:tr w:rsidR="00FC056C" w14:paraId="5AEEA284" w14:textId="77777777" w:rsidTr="000538D2">
        <w:trPr>
          <w:jc w:val="center"/>
        </w:trPr>
        <w:tc>
          <w:tcPr>
            <w:tcW w:w="625" w:type="dxa"/>
          </w:tcPr>
          <w:p w14:paraId="5839F45B" w14:textId="0C601763" w:rsidR="00FC056C" w:rsidRPr="00765084" w:rsidRDefault="00FC056C" w:rsidP="000538D2">
            <w:pPr>
              <w:pStyle w:val="TMGTableText"/>
              <w:spacing w:before="10" w:after="10"/>
              <w:ind w:right="53"/>
              <w:jc w:val="right"/>
              <w:rPr>
                <w:rFonts w:eastAsiaTheme="minorEastAsia"/>
                <w:b/>
                <w:bCs/>
              </w:rPr>
            </w:pPr>
            <w:r w:rsidRPr="00765084">
              <w:rPr>
                <w:rFonts w:eastAsiaTheme="minorEastAsia"/>
                <w:b/>
                <w:bCs/>
              </w:rPr>
              <w:t>12</w:t>
            </w:r>
          </w:p>
        </w:tc>
        <w:tc>
          <w:tcPr>
            <w:tcW w:w="1351" w:type="dxa"/>
          </w:tcPr>
          <w:p w14:paraId="42602911" w14:textId="5D6DDD2C" w:rsidR="00FC056C" w:rsidRPr="0051590D" w:rsidRDefault="00FC056C" w:rsidP="000538D2">
            <w:pPr>
              <w:pStyle w:val="TMGTableText"/>
              <w:spacing w:before="10" w:after="10"/>
              <w:jc w:val="center"/>
              <w:rPr>
                <w:rFonts w:eastAsiaTheme="minorEastAsia"/>
              </w:rPr>
            </w:pPr>
            <w:r w:rsidRPr="0051590D">
              <w:rPr>
                <w:rFonts w:eastAsiaTheme="minorEastAsia"/>
              </w:rPr>
              <w:t>24-25</w:t>
            </w:r>
          </w:p>
        </w:tc>
        <w:tc>
          <w:tcPr>
            <w:tcW w:w="992" w:type="dxa"/>
          </w:tcPr>
          <w:p w14:paraId="7E143B20" w14:textId="5ACAC144" w:rsidR="00FC056C" w:rsidRPr="0051590D" w:rsidRDefault="00FC056C" w:rsidP="000538D2">
            <w:pPr>
              <w:pStyle w:val="TMGTableText"/>
              <w:spacing w:before="10" w:after="10"/>
              <w:jc w:val="center"/>
              <w:rPr>
                <w:rFonts w:eastAsiaTheme="minorEastAsia"/>
              </w:rPr>
            </w:pPr>
            <w:r w:rsidRPr="0051590D">
              <w:rPr>
                <w:rFonts w:eastAsiaTheme="minorEastAsia"/>
              </w:rPr>
              <w:t>2</w:t>
            </w:r>
          </w:p>
        </w:tc>
        <w:tc>
          <w:tcPr>
            <w:tcW w:w="3775" w:type="dxa"/>
          </w:tcPr>
          <w:p w14:paraId="692D458A" w14:textId="3A567076" w:rsidR="00FC056C" w:rsidRPr="0051590D" w:rsidRDefault="00FC056C" w:rsidP="00FC056C">
            <w:pPr>
              <w:pStyle w:val="TMGTableText"/>
              <w:spacing w:before="10" w:after="10"/>
              <w:rPr>
                <w:rFonts w:eastAsiaTheme="minorEastAsia"/>
              </w:rPr>
            </w:pPr>
            <w:r w:rsidRPr="0051590D">
              <w:rPr>
                <w:rFonts w:eastAsiaTheme="minorEastAsia"/>
              </w:rPr>
              <w:t>Total Number of Speed Bins Reported</w:t>
            </w:r>
            <w:r>
              <w:rPr>
                <w:rFonts w:eastAsiaTheme="minorEastAsia"/>
              </w:rPr>
              <w:t xml:space="preserve"> (TN)</w:t>
            </w:r>
          </w:p>
        </w:tc>
        <w:tc>
          <w:tcPr>
            <w:tcW w:w="1442" w:type="dxa"/>
          </w:tcPr>
          <w:p w14:paraId="08D1B659" w14:textId="59039623" w:rsidR="00FC056C" w:rsidRDefault="00FC056C" w:rsidP="00AC2B2A">
            <w:pPr>
              <w:pStyle w:val="TMGTableText"/>
              <w:spacing w:before="10" w:after="10"/>
              <w:jc w:val="center"/>
              <w:rPr>
                <w:rFonts w:eastAsiaTheme="minorEastAsia"/>
              </w:rPr>
            </w:pPr>
            <w:r>
              <w:rPr>
                <w:rFonts w:eastAsiaTheme="minorEastAsia"/>
              </w:rPr>
              <w:t>Integer</w:t>
            </w:r>
          </w:p>
        </w:tc>
        <w:tc>
          <w:tcPr>
            <w:tcW w:w="1175" w:type="dxa"/>
          </w:tcPr>
          <w:p w14:paraId="704D276E" w14:textId="79A3AB28" w:rsidR="00FC056C" w:rsidRPr="0051590D" w:rsidRDefault="00FC056C" w:rsidP="00AC2B2A">
            <w:pPr>
              <w:pStyle w:val="TMGTableText"/>
              <w:spacing w:before="10" w:after="10"/>
              <w:jc w:val="center"/>
              <w:rPr>
                <w:rFonts w:eastAsiaTheme="minorEastAsia"/>
              </w:rPr>
            </w:pPr>
            <w:r w:rsidRPr="0051590D">
              <w:rPr>
                <w:rFonts w:eastAsiaTheme="minorEastAsia"/>
              </w:rPr>
              <w:t>O</w:t>
            </w:r>
            <w:r>
              <w:rPr>
                <w:rFonts w:eastAsiaTheme="minorEastAsia"/>
              </w:rPr>
              <w:t>ptional</w:t>
            </w:r>
          </w:p>
        </w:tc>
      </w:tr>
      <w:tr w:rsidR="00FC056C" w14:paraId="37A070CF" w14:textId="77777777" w:rsidTr="000538D2">
        <w:trPr>
          <w:jc w:val="center"/>
        </w:trPr>
        <w:tc>
          <w:tcPr>
            <w:tcW w:w="625" w:type="dxa"/>
          </w:tcPr>
          <w:p w14:paraId="14E52AC1" w14:textId="16EA13B2" w:rsidR="00FC056C" w:rsidRPr="00765084" w:rsidRDefault="00FC056C" w:rsidP="000538D2">
            <w:pPr>
              <w:pStyle w:val="TMGTableText"/>
              <w:spacing w:before="10" w:after="10"/>
              <w:ind w:right="53"/>
              <w:jc w:val="right"/>
              <w:rPr>
                <w:rFonts w:eastAsiaTheme="minorEastAsia"/>
                <w:b/>
                <w:bCs/>
              </w:rPr>
            </w:pPr>
            <w:r w:rsidRPr="00765084">
              <w:rPr>
                <w:rFonts w:eastAsiaTheme="minorEastAsia"/>
                <w:b/>
                <w:bCs/>
              </w:rPr>
              <w:t>13</w:t>
            </w:r>
          </w:p>
        </w:tc>
        <w:tc>
          <w:tcPr>
            <w:tcW w:w="1351" w:type="dxa"/>
          </w:tcPr>
          <w:p w14:paraId="36A5FD9D" w14:textId="2D025860" w:rsidR="00FC056C" w:rsidRPr="0051590D" w:rsidRDefault="00FC056C" w:rsidP="000538D2">
            <w:pPr>
              <w:pStyle w:val="TMGTableText"/>
              <w:spacing w:before="10" w:after="10"/>
              <w:jc w:val="center"/>
              <w:rPr>
                <w:rFonts w:eastAsiaTheme="minorEastAsia"/>
              </w:rPr>
            </w:pPr>
            <w:r>
              <w:rPr>
                <w:rFonts w:eastAsiaTheme="minorEastAsia"/>
              </w:rPr>
              <w:t>26</w:t>
            </w:r>
          </w:p>
        </w:tc>
        <w:tc>
          <w:tcPr>
            <w:tcW w:w="992" w:type="dxa"/>
          </w:tcPr>
          <w:p w14:paraId="18FF3F2A" w14:textId="4E052401" w:rsidR="00FC056C" w:rsidRPr="0051590D" w:rsidRDefault="00FC056C" w:rsidP="000538D2">
            <w:pPr>
              <w:pStyle w:val="TMGTableText"/>
              <w:spacing w:before="10" w:after="10"/>
              <w:jc w:val="center"/>
              <w:rPr>
                <w:rFonts w:eastAsiaTheme="minorEastAsia"/>
              </w:rPr>
            </w:pPr>
            <w:r>
              <w:rPr>
                <w:rFonts w:eastAsiaTheme="minorEastAsia"/>
              </w:rPr>
              <w:t>1</w:t>
            </w:r>
          </w:p>
        </w:tc>
        <w:tc>
          <w:tcPr>
            <w:tcW w:w="3775" w:type="dxa"/>
          </w:tcPr>
          <w:p w14:paraId="1326DA8B" w14:textId="36431EFE" w:rsidR="00FC056C" w:rsidRPr="0051590D" w:rsidRDefault="00FC056C" w:rsidP="00FC056C">
            <w:pPr>
              <w:pStyle w:val="TMGTableText"/>
              <w:spacing w:before="10" w:after="10"/>
              <w:rPr>
                <w:rFonts w:eastAsiaTheme="minorEastAsia"/>
              </w:rPr>
            </w:pPr>
            <w:r>
              <w:rPr>
                <w:rFonts w:eastAsiaTheme="minorEastAsia"/>
              </w:rPr>
              <w:t>Restrictions (R)</w:t>
            </w:r>
          </w:p>
        </w:tc>
        <w:tc>
          <w:tcPr>
            <w:tcW w:w="1442" w:type="dxa"/>
          </w:tcPr>
          <w:p w14:paraId="549AC762" w14:textId="4808CDF0" w:rsidR="00FC056C" w:rsidRDefault="00FC056C" w:rsidP="00AC2B2A">
            <w:pPr>
              <w:pStyle w:val="TMGTableText"/>
              <w:spacing w:before="10" w:after="10"/>
              <w:jc w:val="center"/>
              <w:rPr>
                <w:rFonts w:eastAsiaTheme="minorEastAsia"/>
              </w:rPr>
            </w:pPr>
            <w:r>
              <w:rPr>
                <w:rFonts w:eastAsiaTheme="minorEastAsia"/>
              </w:rPr>
              <w:t>Integer</w:t>
            </w:r>
          </w:p>
        </w:tc>
        <w:tc>
          <w:tcPr>
            <w:tcW w:w="1175" w:type="dxa"/>
          </w:tcPr>
          <w:p w14:paraId="50DFDFFB" w14:textId="14D15DF6" w:rsidR="00FC056C" w:rsidRPr="0051590D" w:rsidRDefault="00FC056C" w:rsidP="00AC2B2A">
            <w:pPr>
              <w:pStyle w:val="TMGTableText"/>
              <w:spacing w:before="10" w:after="10"/>
              <w:jc w:val="center"/>
              <w:rPr>
                <w:rFonts w:eastAsiaTheme="minorEastAsia"/>
              </w:rPr>
            </w:pPr>
            <w:r>
              <w:rPr>
                <w:rFonts w:eastAsiaTheme="minorEastAsia"/>
              </w:rPr>
              <w:t>Required</w:t>
            </w:r>
          </w:p>
        </w:tc>
      </w:tr>
      <w:tr w:rsidR="00FC056C" w14:paraId="6AF847A8" w14:textId="77777777" w:rsidTr="000538D2">
        <w:trPr>
          <w:jc w:val="center"/>
        </w:trPr>
        <w:tc>
          <w:tcPr>
            <w:tcW w:w="625" w:type="dxa"/>
          </w:tcPr>
          <w:p w14:paraId="7CF63BC3" w14:textId="3F0E5DD1" w:rsidR="00FC056C" w:rsidRPr="00765084" w:rsidRDefault="00FC056C" w:rsidP="000538D2">
            <w:pPr>
              <w:pStyle w:val="TMGTableText"/>
              <w:spacing w:before="10" w:after="10"/>
              <w:ind w:right="53"/>
              <w:jc w:val="right"/>
              <w:rPr>
                <w:rFonts w:eastAsiaTheme="minorEastAsia"/>
                <w:b/>
                <w:bCs/>
              </w:rPr>
            </w:pPr>
            <w:r w:rsidRPr="00765084">
              <w:rPr>
                <w:rFonts w:eastAsiaTheme="minorEastAsia"/>
                <w:b/>
                <w:bCs/>
              </w:rPr>
              <w:t>14</w:t>
            </w:r>
          </w:p>
        </w:tc>
        <w:tc>
          <w:tcPr>
            <w:tcW w:w="1351" w:type="dxa"/>
          </w:tcPr>
          <w:p w14:paraId="0D5F9071" w14:textId="2531DE4A" w:rsidR="00FC056C" w:rsidRPr="0051590D" w:rsidRDefault="00FC056C" w:rsidP="000538D2">
            <w:pPr>
              <w:pStyle w:val="TMGTableText"/>
              <w:spacing w:before="10" w:after="10"/>
              <w:jc w:val="center"/>
              <w:rPr>
                <w:rFonts w:eastAsiaTheme="minorEastAsia"/>
              </w:rPr>
            </w:pPr>
            <w:r w:rsidRPr="0051590D">
              <w:rPr>
                <w:rFonts w:eastAsiaTheme="minorEastAsia"/>
              </w:rPr>
              <w:t>2</w:t>
            </w:r>
            <w:r>
              <w:rPr>
                <w:rFonts w:eastAsiaTheme="minorEastAsia"/>
              </w:rPr>
              <w:t>7</w:t>
            </w:r>
            <w:r w:rsidRPr="0051590D">
              <w:rPr>
                <w:rFonts w:eastAsiaTheme="minorEastAsia"/>
              </w:rPr>
              <w:t>-</w:t>
            </w:r>
            <w:r>
              <w:rPr>
                <w:rFonts w:eastAsiaTheme="minorEastAsia"/>
              </w:rPr>
              <w:t>31</w:t>
            </w:r>
          </w:p>
        </w:tc>
        <w:tc>
          <w:tcPr>
            <w:tcW w:w="992" w:type="dxa"/>
          </w:tcPr>
          <w:p w14:paraId="26350868" w14:textId="05297BAD" w:rsidR="00FC056C" w:rsidRPr="0051590D" w:rsidRDefault="00FC056C" w:rsidP="000538D2">
            <w:pPr>
              <w:pStyle w:val="TMGTableText"/>
              <w:spacing w:before="10" w:after="10"/>
              <w:jc w:val="center"/>
              <w:rPr>
                <w:rFonts w:eastAsiaTheme="minorEastAsia"/>
              </w:rPr>
            </w:pPr>
            <w:r>
              <w:rPr>
                <w:rFonts w:eastAsiaTheme="minorEastAsia"/>
              </w:rPr>
              <w:t>5</w:t>
            </w:r>
          </w:p>
        </w:tc>
        <w:tc>
          <w:tcPr>
            <w:tcW w:w="3775" w:type="dxa"/>
          </w:tcPr>
          <w:p w14:paraId="5B9050F3" w14:textId="237A5791" w:rsidR="00FC056C" w:rsidRPr="0051590D" w:rsidRDefault="00FC056C" w:rsidP="00FC056C">
            <w:pPr>
              <w:pStyle w:val="TMGTableText"/>
              <w:spacing w:before="10" w:after="10"/>
              <w:rPr>
                <w:rFonts w:eastAsiaTheme="minorEastAsia"/>
              </w:rPr>
            </w:pPr>
            <w:r w:rsidRPr="0051590D">
              <w:rPr>
                <w:rFonts w:eastAsiaTheme="minorEastAsia"/>
              </w:rPr>
              <w:t>Total Interval Volume</w:t>
            </w:r>
            <w:r>
              <w:rPr>
                <w:rFonts w:eastAsiaTheme="minorEastAsia"/>
              </w:rPr>
              <w:t xml:space="preserve"> (TVOL)</w:t>
            </w:r>
          </w:p>
        </w:tc>
        <w:tc>
          <w:tcPr>
            <w:tcW w:w="1442" w:type="dxa"/>
          </w:tcPr>
          <w:p w14:paraId="4A7E6BF1" w14:textId="277E269A" w:rsidR="00FC056C" w:rsidRDefault="00FC056C" w:rsidP="00AC2B2A">
            <w:pPr>
              <w:pStyle w:val="TMGTableText"/>
              <w:spacing w:before="10" w:after="10"/>
              <w:jc w:val="center"/>
              <w:rPr>
                <w:rFonts w:eastAsiaTheme="minorEastAsia"/>
              </w:rPr>
            </w:pPr>
            <w:r>
              <w:rPr>
                <w:rFonts w:eastAsiaTheme="minorEastAsia"/>
              </w:rPr>
              <w:t>Integer</w:t>
            </w:r>
          </w:p>
        </w:tc>
        <w:tc>
          <w:tcPr>
            <w:tcW w:w="1175" w:type="dxa"/>
          </w:tcPr>
          <w:p w14:paraId="6EFFEB71" w14:textId="2D9B9C04" w:rsidR="00FC056C" w:rsidRPr="0051590D" w:rsidRDefault="00FC056C" w:rsidP="00AC2B2A">
            <w:pPr>
              <w:pStyle w:val="TMGTableText"/>
              <w:spacing w:before="10" w:after="10"/>
              <w:jc w:val="center"/>
              <w:rPr>
                <w:rFonts w:eastAsiaTheme="minorEastAsia"/>
              </w:rPr>
            </w:pPr>
            <w:r>
              <w:rPr>
                <w:rFonts w:eastAsiaTheme="minorEastAsia"/>
              </w:rPr>
              <w:t>Required</w:t>
            </w:r>
          </w:p>
        </w:tc>
      </w:tr>
      <w:tr w:rsidR="00FC056C" w14:paraId="3E8C2401" w14:textId="77777777" w:rsidTr="000538D2">
        <w:trPr>
          <w:jc w:val="center"/>
        </w:trPr>
        <w:tc>
          <w:tcPr>
            <w:tcW w:w="625" w:type="dxa"/>
          </w:tcPr>
          <w:p w14:paraId="0460E9A8" w14:textId="45BD1687" w:rsidR="00FC056C" w:rsidRPr="00765084" w:rsidRDefault="00FC056C" w:rsidP="000538D2">
            <w:pPr>
              <w:pStyle w:val="TMGTableText"/>
              <w:spacing w:before="10" w:after="10"/>
              <w:ind w:right="53"/>
              <w:jc w:val="right"/>
              <w:rPr>
                <w:rFonts w:eastAsiaTheme="minorEastAsia"/>
                <w:b/>
                <w:bCs/>
              </w:rPr>
            </w:pPr>
            <w:r w:rsidRPr="00765084">
              <w:rPr>
                <w:rFonts w:eastAsiaTheme="minorEastAsia"/>
                <w:b/>
                <w:bCs/>
              </w:rPr>
              <w:t>15</w:t>
            </w:r>
          </w:p>
        </w:tc>
        <w:tc>
          <w:tcPr>
            <w:tcW w:w="1351" w:type="dxa"/>
          </w:tcPr>
          <w:p w14:paraId="14F075C6" w14:textId="0216010E" w:rsidR="00FC056C" w:rsidRPr="0051590D" w:rsidRDefault="00FC056C" w:rsidP="000538D2">
            <w:pPr>
              <w:pStyle w:val="TMGTableText"/>
              <w:spacing w:before="10" w:after="10"/>
              <w:jc w:val="center"/>
              <w:rPr>
                <w:rFonts w:eastAsiaTheme="minorEastAsia"/>
              </w:rPr>
            </w:pPr>
            <w:r w:rsidRPr="0051590D">
              <w:rPr>
                <w:rFonts w:eastAsiaTheme="minorEastAsia"/>
              </w:rPr>
              <w:t>3</w:t>
            </w:r>
            <w:r>
              <w:rPr>
                <w:rFonts w:eastAsiaTheme="minorEastAsia"/>
              </w:rPr>
              <w:t>2</w:t>
            </w:r>
            <w:r w:rsidRPr="0051590D">
              <w:rPr>
                <w:rFonts w:eastAsiaTheme="minorEastAsia"/>
              </w:rPr>
              <w:t>-3</w:t>
            </w:r>
            <w:r>
              <w:rPr>
                <w:rFonts w:eastAsiaTheme="minorEastAsia"/>
              </w:rPr>
              <w:t>6</w:t>
            </w:r>
          </w:p>
        </w:tc>
        <w:tc>
          <w:tcPr>
            <w:tcW w:w="992" w:type="dxa"/>
          </w:tcPr>
          <w:p w14:paraId="67E2F90E" w14:textId="2133188E" w:rsidR="00FC056C" w:rsidRPr="0051590D" w:rsidRDefault="00FC056C" w:rsidP="000538D2">
            <w:pPr>
              <w:pStyle w:val="TMGTableText"/>
              <w:spacing w:before="10" w:after="10"/>
              <w:jc w:val="center"/>
              <w:rPr>
                <w:rFonts w:eastAsiaTheme="minorEastAsia"/>
              </w:rPr>
            </w:pPr>
            <w:r w:rsidRPr="0051590D">
              <w:rPr>
                <w:rFonts w:eastAsiaTheme="minorEastAsia"/>
              </w:rPr>
              <w:t>5</w:t>
            </w:r>
          </w:p>
        </w:tc>
        <w:tc>
          <w:tcPr>
            <w:tcW w:w="3775" w:type="dxa"/>
          </w:tcPr>
          <w:p w14:paraId="09797CE9" w14:textId="4041C858" w:rsidR="00FC056C" w:rsidRPr="0051590D" w:rsidRDefault="00FC056C" w:rsidP="00FC056C">
            <w:pPr>
              <w:pStyle w:val="TMGTableText"/>
              <w:spacing w:before="10" w:after="10"/>
              <w:rPr>
                <w:rFonts w:eastAsiaTheme="minorEastAsia"/>
              </w:rPr>
            </w:pPr>
            <w:r w:rsidRPr="0051590D">
              <w:rPr>
                <w:rFonts w:eastAsiaTheme="minorEastAsia"/>
              </w:rPr>
              <w:t>Bin 1 Count</w:t>
            </w:r>
            <w:r>
              <w:rPr>
                <w:rFonts w:eastAsiaTheme="minorEastAsia"/>
              </w:rPr>
              <w:t xml:space="preserve"> (BIN1)</w:t>
            </w:r>
          </w:p>
        </w:tc>
        <w:tc>
          <w:tcPr>
            <w:tcW w:w="1442" w:type="dxa"/>
          </w:tcPr>
          <w:p w14:paraId="14B99C90" w14:textId="36AFB0C2" w:rsidR="00FC056C" w:rsidRDefault="00FC056C" w:rsidP="00AC2B2A">
            <w:pPr>
              <w:pStyle w:val="TMGTableText"/>
              <w:spacing w:before="10" w:after="10"/>
              <w:jc w:val="center"/>
              <w:rPr>
                <w:rFonts w:eastAsiaTheme="minorEastAsia"/>
              </w:rPr>
            </w:pPr>
            <w:r w:rsidRPr="00582A7C">
              <w:rPr>
                <w:rFonts w:eastAsiaTheme="minorEastAsia"/>
              </w:rPr>
              <w:t>Integer</w:t>
            </w:r>
          </w:p>
        </w:tc>
        <w:tc>
          <w:tcPr>
            <w:tcW w:w="1175" w:type="dxa"/>
          </w:tcPr>
          <w:p w14:paraId="2FB7F058" w14:textId="0D1CE5AF" w:rsidR="00FC056C" w:rsidRPr="0051590D" w:rsidRDefault="00FC056C" w:rsidP="00AC2B2A">
            <w:pPr>
              <w:pStyle w:val="TMGTableText"/>
              <w:spacing w:before="10" w:after="10"/>
              <w:jc w:val="center"/>
              <w:rPr>
                <w:rFonts w:eastAsiaTheme="minorEastAsia"/>
              </w:rPr>
            </w:pPr>
            <w:r>
              <w:rPr>
                <w:rFonts w:eastAsiaTheme="minorEastAsia"/>
              </w:rPr>
              <w:t>Required</w:t>
            </w:r>
          </w:p>
        </w:tc>
      </w:tr>
      <w:tr w:rsidR="00FC056C" w14:paraId="5FA6154F" w14:textId="77777777" w:rsidTr="000538D2">
        <w:trPr>
          <w:jc w:val="center"/>
        </w:trPr>
        <w:tc>
          <w:tcPr>
            <w:tcW w:w="625" w:type="dxa"/>
          </w:tcPr>
          <w:p w14:paraId="400105D0" w14:textId="4716B917" w:rsidR="00FC056C" w:rsidRPr="00765084" w:rsidRDefault="00FC056C" w:rsidP="000538D2">
            <w:pPr>
              <w:pStyle w:val="TMGTableText"/>
              <w:spacing w:before="10" w:after="10"/>
              <w:ind w:right="53"/>
              <w:jc w:val="right"/>
              <w:rPr>
                <w:rFonts w:eastAsiaTheme="minorEastAsia"/>
                <w:b/>
                <w:bCs/>
              </w:rPr>
            </w:pPr>
            <w:r w:rsidRPr="00765084">
              <w:rPr>
                <w:rFonts w:eastAsiaTheme="minorEastAsia"/>
                <w:b/>
                <w:bCs/>
              </w:rPr>
              <w:t>16</w:t>
            </w:r>
          </w:p>
        </w:tc>
        <w:tc>
          <w:tcPr>
            <w:tcW w:w="1351" w:type="dxa"/>
          </w:tcPr>
          <w:p w14:paraId="0248DDE6" w14:textId="4DC7725C" w:rsidR="00FC056C" w:rsidRPr="0051590D" w:rsidRDefault="00FC056C" w:rsidP="000538D2">
            <w:pPr>
              <w:pStyle w:val="TMGTableText"/>
              <w:spacing w:before="10" w:after="10"/>
              <w:jc w:val="center"/>
              <w:rPr>
                <w:rFonts w:eastAsiaTheme="minorEastAsia"/>
              </w:rPr>
            </w:pPr>
            <w:r w:rsidRPr="0051590D">
              <w:rPr>
                <w:rFonts w:eastAsiaTheme="minorEastAsia"/>
              </w:rPr>
              <w:t>3</w:t>
            </w:r>
            <w:r>
              <w:rPr>
                <w:rFonts w:eastAsiaTheme="minorEastAsia"/>
              </w:rPr>
              <w:t>7</w:t>
            </w:r>
            <w:r w:rsidRPr="0051590D">
              <w:rPr>
                <w:rFonts w:eastAsiaTheme="minorEastAsia"/>
              </w:rPr>
              <w:t>-4</w:t>
            </w:r>
            <w:r>
              <w:rPr>
                <w:rFonts w:eastAsiaTheme="minorEastAsia"/>
              </w:rPr>
              <w:t>1</w:t>
            </w:r>
          </w:p>
        </w:tc>
        <w:tc>
          <w:tcPr>
            <w:tcW w:w="992" w:type="dxa"/>
          </w:tcPr>
          <w:p w14:paraId="40757228" w14:textId="777B0670" w:rsidR="00FC056C" w:rsidRPr="0051590D" w:rsidRDefault="00FC056C" w:rsidP="000538D2">
            <w:pPr>
              <w:pStyle w:val="TMGTableText"/>
              <w:spacing w:before="10" w:after="10"/>
              <w:jc w:val="center"/>
              <w:rPr>
                <w:rFonts w:eastAsiaTheme="minorEastAsia"/>
              </w:rPr>
            </w:pPr>
            <w:r w:rsidRPr="0051590D">
              <w:rPr>
                <w:rFonts w:eastAsiaTheme="minorEastAsia"/>
              </w:rPr>
              <w:t>5</w:t>
            </w:r>
          </w:p>
        </w:tc>
        <w:tc>
          <w:tcPr>
            <w:tcW w:w="3775" w:type="dxa"/>
          </w:tcPr>
          <w:p w14:paraId="74A94BD0" w14:textId="45B300C8" w:rsidR="00FC056C" w:rsidRPr="0051590D" w:rsidRDefault="00FC056C" w:rsidP="00FC056C">
            <w:pPr>
              <w:pStyle w:val="TMGTableText"/>
              <w:spacing w:before="10" w:after="10"/>
              <w:rPr>
                <w:rFonts w:eastAsiaTheme="minorEastAsia"/>
              </w:rPr>
            </w:pPr>
            <w:r w:rsidRPr="0051590D">
              <w:rPr>
                <w:rFonts w:eastAsiaTheme="minorEastAsia"/>
              </w:rPr>
              <w:t>Bin 2 Count</w:t>
            </w:r>
            <w:r>
              <w:rPr>
                <w:rFonts w:eastAsiaTheme="minorEastAsia"/>
              </w:rPr>
              <w:t xml:space="preserve"> (BIN2)</w:t>
            </w:r>
          </w:p>
        </w:tc>
        <w:tc>
          <w:tcPr>
            <w:tcW w:w="1442" w:type="dxa"/>
          </w:tcPr>
          <w:p w14:paraId="1DCE4EE5" w14:textId="7F31C980" w:rsidR="00FC056C" w:rsidRDefault="00FC056C" w:rsidP="00AC2B2A">
            <w:pPr>
              <w:pStyle w:val="TMGTableText"/>
              <w:spacing w:before="10" w:after="10"/>
              <w:jc w:val="center"/>
              <w:rPr>
                <w:rFonts w:eastAsiaTheme="minorEastAsia"/>
              </w:rPr>
            </w:pPr>
            <w:r w:rsidRPr="00582A7C">
              <w:rPr>
                <w:rFonts w:eastAsiaTheme="minorEastAsia"/>
              </w:rPr>
              <w:t>Integer</w:t>
            </w:r>
          </w:p>
        </w:tc>
        <w:tc>
          <w:tcPr>
            <w:tcW w:w="1175" w:type="dxa"/>
          </w:tcPr>
          <w:p w14:paraId="0EB56310" w14:textId="340C3354" w:rsidR="00FC056C" w:rsidRPr="0051590D" w:rsidRDefault="00FC056C" w:rsidP="00AC2B2A">
            <w:pPr>
              <w:pStyle w:val="TMGTableText"/>
              <w:spacing w:before="10" w:after="10"/>
              <w:jc w:val="center"/>
              <w:rPr>
                <w:rFonts w:eastAsiaTheme="minorEastAsia"/>
              </w:rPr>
            </w:pPr>
            <w:r>
              <w:rPr>
                <w:rFonts w:eastAsiaTheme="minorEastAsia"/>
              </w:rPr>
              <w:t>Required</w:t>
            </w:r>
          </w:p>
        </w:tc>
      </w:tr>
      <w:tr w:rsidR="00FC056C" w14:paraId="7B1A35F5" w14:textId="77777777" w:rsidTr="000538D2">
        <w:trPr>
          <w:jc w:val="center"/>
        </w:trPr>
        <w:tc>
          <w:tcPr>
            <w:tcW w:w="625" w:type="dxa"/>
          </w:tcPr>
          <w:p w14:paraId="3680E9D7" w14:textId="5319F2DC" w:rsidR="00FC056C" w:rsidRPr="00765084" w:rsidRDefault="00FC056C" w:rsidP="000538D2">
            <w:pPr>
              <w:pStyle w:val="TMGTableText"/>
              <w:spacing w:before="10" w:after="10"/>
              <w:ind w:right="53"/>
              <w:jc w:val="right"/>
              <w:rPr>
                <w:rFonts w:eastAsiaTheme="minorEastAsia"/>
                <w:b/>
                <w:bCs/>
              </w:rPr>
            </w:pPr>
            <w:r w:rsidRPr="00765084">
              <w:rPr>
                <w:rFonts w:eastAsiaTheme="minorEastAsia"/>
                <w:b/>
                <w:bCs/>
              </w:rPr>
              <w:t>17</w:t>
            </w:r>
          </w:p>
        </w:tc>
        <w:tc>
          <w:tcPr>
            <w:tcW w:w="1351" w:type="dxa"/>
          </w:tcPr>
          <w:p w14:paraId="0A979E39" w14:textId="2586B77E" w:rsidR="00FC056C" w:rsidRPr="0051590D" w:rsidRDefault="00FC056C" w:rsidP="000538D2">
            <w:pPr>
              <w:pStyle w:val="TMGTableText"/>
              <w:spacing w:before="10" w:after="10"/>
              <w:jc w:val="center"/>
              <w:rPr>
                <w:rFonts w:eastAsiaTheme="minorEastAsia"/>
              </w:rPr>
            </w:pPr>
            <w:r w:rsidRPr="0051590D">
              <w:rPr>
                <w:rFonts w:eastAsiaTheme="minorEastAsia"/>
              </w:rPr>
              <w:t>4</w:t>
            </w:r>
            <w:r>
              <w:rPr>
                <w:rFonts w:eastAsiaTheme="minorEastAsia"/>
              </w:rPr>
              <w:t>2</w:t>
            </w:r>
            <w:r w:rsidRPr="0051590D">
              <w:rPr>
                <w:rFonts w:eastAsiaTheme="minorEastAsia"/>
              </w:rPr>
              <w:t>-4</w:t>
            </w:r>
            <w:r>
              <w:rPr>
                <w:rFonts w:eastAsiaTheme="minorEastAsia"/>
              </w:rPr>
              <w:t>6</w:t>
            </w:r>
          </w:p>
        </w:tc>
        <w:tc>
          <w:tcPr>
            <w:tcW w:w="992" w:type="dxa"/>
          </w:tcPr>
          <w:p w14:paraId="759D9E43" w14:textId="3C3A20E2" w:rsidR="00FC056C" w:rsidRPr="0051590D" w:rsidRDefault="00FC056C" w:rsidP="000538D2">
            <w:pPr>
              <w:pStyle w:val="TMGTableText"/>
              <w:spacing w:before="10" w:after="10"/>
              <w:jc w:val="center"/>
              <w:rPr>
                <w:rFonts w:eastAsiaTheme="minorEastAsia"/>
              </w:rPr>
            </w:pPr>
            <w:r w:rsidRPr="0051590D">
              <w:rPr>
                <w:rFonts w:eastAsiaTheme="minorEastAsia"/>
              </w:rPr>
              <w:t>5</w:t>
            </w:r>
          </w:p>
        </w:tc>
        <w:tc>
          <w:tcPr>
            <w:tcW w:w="3775" w:type="dxa"/>
          </w:tcPr>
          <w:p w14:paraId="3ACD5AF7" w14:textId="1D0C5C37" w:rsidR="00FC056C" w:rsidRPr="0051590D" w:rsidRDefault="00FC056C" w:rsidP="00FC056C">
            <w:pPr>
              <w:pStyle w:val="TMGTableText"/>
              <w:spacing w:before="10" w:after="10"/>
              <w:rPr>
                <w:rFonts w:eastAsiaTheme="minorEastAsia"/>
              </w:rPr>
            </w:pPr>
            <w:r w:rsidRPr="0051590D">
              <w:rPr>
                <w:rFonts w:eastAsiaTheme="minorEastAsia"/>
              </w:rPr>
              <w:t>Bin 3 Count</w:t>
            </w:r>
            <w:r>
              <w:rPr>
                <w:rFonts w:eastAsiaTheme="minorEastAsia"/>
              </w:rPr>
              <w:t xml:space="preserve"> (BIN3)</w:t>
            </w:r>
          </w:p>
        </w:tc>
        <w:tc>
          <w:tcPr>
            <w:tcW w:w="1442" w:type="dxa"/>
          </w:tcPr>
          <w:p w14:paraId="73277B7C" w14:textId="7E3A62D9" w:rsidR="00FC056C" w:rsidRDefault="00FC056C" w:rsidP="00AC2B2A">
            <w:pPr>
              <w:pStyle w:val="TMGTableText"/>
              <w:spacing w:before="10" w:after="10"/>
              <w:jc w:val="center"/>
              <w:rPr>
                <w:rFonts w:eastAsiaTheme="minorEastAsia"/>
              </w:rPr>
            </w:pPr>
            <w:r w:rsidRPr="00582A7C">
              <w:rPr>
                <w:rFonts w:eastAsiaTheme="minorEastAsia"/>
              </w:rPr>
              <w:t>Integer</w:t>
            </w:r>
          </w:p>
        </w:tc>
        <w:tc>
          <w:tcPr>
            <w:tcW w:w="1175" w:type="dxa"/>
          </w:tcPr>
          <w:p w14:paraId="4CB9485F" w14:textId="20EF19DE" w:rsidR="00FC056C" w:rsidRPr="0051590D" w:rsidRDefault="00FC056C" w:rsidP="00AC2B2A">
            <w:pPr>
              <w:pStyle w:val="TMGTableText"/>
              <w:spacing w:before="10" w:after="10"/>
              <w:jc w:val="center"/>
              <w:rPr>
                <w:rFonts w:eastAsiaTheme="minorEastAsia"/>
              </w:rPr>
            </w:pPr>
            <w:r>
              <w:rPr>
                <w:rFonts w:eastAsiaTheme="minorEastAsia"/>
              </w:rPr>
              <w:t>Required</w:t>
            </w:r>
          </w:p>
        </w:tc>
      </w:tr>
      <w:tr w:rsidR="00FC056C" w14:paraId="01D9F96E" w14:textId="77777777" w:rsidTr="000538D2">
        <w:trPr>
          <w:jc w:val="center"/>
        </w:trPr>
        <w:tc>
          <w:tcPr>
            <w:tcW w:w="625" w:type="dxa"/>
          </w:tcPr>
          <w:p w14:paraId="2FC40392" w14:textId="0FC01705" w:rsidR="00FC056C" w:rsidRPr="00765084" w:rsidRDefault="00FC056C" w:rsidP="000538D2">
            <w:pPr>
              <w:pStyle w:val="TMGTableText"/>
              <w:spacing w:before="10" w:after="10"/>
              <w:ind w:right="53"/>
              <w:jc w:val="right"/>
              <w:rPr>
                <w:rFonts w:eastAsiaTheme="minorEastAsia"/>
                <w:b/>
                <w:bCs/>
              </w:rPr>
            </w:pPr>
            <w:r w:rsidRPr="00765084">
              <w:rPr>
                <w:rFonts w:eastAsiaTheme="minorEastAsia"/>
                <w:b/>
                <w:bCs/>
              </w:rPr>
              <w:t>18</w:t>
            </w:r>
          </w:p>
        </w:tc>
        <w:tc>
          <w:tcPr>
            <w:tcW w:w="1351" w:type="dxa"/>
          </w:tcPr>
          <w:p w14:paraId="0DC9B75B" w14:textId="573FC53A" w:rsidR="00FC056C" w:rsidRPr="0051590D" w:rsidRDefault="00FC056C" w:rsidP="000538D2">
            <w:pPr>
              <w:pStyle w:val="TMGTableText"/>
              <w:spacing w:before="10" w:after="10"/>
              <w:jc w:val="center"/>
              <w:rPr>
                <w:rFonts w:eastAsiaTheme="minorEastAsia"/>
              </w:rPr>
            </w:pPr>
            <w:r w:rsidRPr="0051590D">
              <w:rPr>
                <w:rFonts w:eastAsiaTheme="minorEastAsia"/>
              </w:rPr>
              <w:t>4</w:t>
            </w:r>
            <w:r>
              <w:rPr>
                <w:rFonts w:eastAsiaTheme="minorEastAsia"/>
              </w:rPr>
              <w:t>7</w:t>
            </w:r>
            <w:r w:rsidRPr="0051590D">
              <w:rPr>
                <w:rFonts w:eastAsiaTheme="minorEastAsia"/>
              </w:rPr>
              <w:t>-5</w:t>
            </w:r>
            <w:r>
              <w:rPr>
                <w:rFonts w:eastAsiaTheme="minorEastAsia"/>
              </w:rPr>
              <w:t>1</w:t>
            </w:r>
          </w:p>
        </w:tc>
        <w:tc>
          <w:tcPr>
            <w:tcW w:w="992" w:type="dxa"/>
          </w:tcPr>
          <w:p w14:paraId="0E8BE432" w14:textId="447E1491" w:rsidR="00FC056C" w:rsidRPr="0051590D" w:rsidRDefault="00FC056C" w:rsidP="000538D2">
            <w:pPr>
              <w:pStyle w:val="TMGTableText"/>
              <w:spacing w:before="10" w:after="10"/>
              <w:jc w:val="center"/>
              <w:rPr>
                <w:rFonts w:eastAsiaTheme="minorEastAsia"/>
              </w:rPr>
            </w:pPr>
            <w:r w:rsidRPr="0051590D">
              <w:rPr>
                <w:rFonts w:eastAsiaTheme="minorEastAsia"/>
              </w:rPr>
              <w:t>5</w:t>
            </w:r>
          </w:p>
        </w:tc>
        <w:tc>
          <w:tcPr>
            <w:tcW w:w="3775" w:type="dxa"/>
          </w:tcPr>
          <w:p w14:paraId="27BE063E" w14:textId="33E7D7FE" w:rsidR="00FC056C" w:rsidRPr="0051590D" w:rsidRDefault="00FC056C" w:rsidP="00FC056C">
            <w:pPr>
              <w:pStyle w:val="TMGTableText"/>
              <w:spacing w:before="10" w:after="10"/>
              <w:rPr>
                <w:rFonts w:eastAsiaTheme="minorEastAsia"/>
              </w:rPr>
            </w:pPr>
            <w:r w:rsidRPr="0051590D">
              <w:rPr>
                <w:rFonts w:eastAsiaTheme="minorEastAsia"/>
              </w:rPr>
              <w:t>Bin 4 Count</w:t>
            </w:r>
            <w:r>
              <w:rPr>
                <w:rFonts w:eastAsiaTheme="minorEastAsia"/>
              </w:rPr>
              <w:t xml:space="preserve"> (BIN4)</w:t>
            </w:r>
          </w:p>
        </w:tc>
        <w:tc>
          <w:tcPr>
            <w:tcW w:w="1442" w:type="dxa"/>
          </w:tcPr>
          <w:p w14:paraId="40023537" w14:textId="6055F287" w:rsidR="00FC056C" w:rsidRDefault="00FC056C" w:rsidP="00AC2B2A">
            <w:pPr>
              <w:pStyle w:val="TMGTableText"/>
              <w:spacing w:before="10" w:after="10"/>
              <w:jc w:val="center"/>
              <w:rPr>
                <w:rFonts w:eastAsiaTheme="minorEastAsia"/>
              </w:rPr>
            </w:pPr>
            <w:r w:rsidRPr="00582A7C">
              <w:rPr>
                <w:rFonts w:eastAsiaTheme="minorEastAsia"/>
              </w:rPr>
              <w:t>Integer</w:t>
            </w:r>
          </w:p>
        </w:tc>
        <w:tc>
          <w:tcPr>
            <w:tcW w:w="1175" w:type="dxa"/>
          </w:tcPr>
          <w:p w14:paraId="2FC05DC4" w14:textId="5C461B47" w:rsidR="00FC056C" w:rsidRPr="0051590D" w:rsidRDefault="00FC056C" w:rsidP="00AC2B2A">
            <w:pPr>
              <w:pStyle w:val="TMGTableText"/>
              <w:spacing w:before="10" w:after="10"/>
              <w:jc w:val="center"/>
              <w:rPr>
                <w:rFonts w:eastAsiaTheme="minorEastAsia"/>
              </w:rPr>
            </w:pPr>
            <w:r>
              <w:rPr>
                <w:rFonts w:eastAsiaTheme="minorEastAsia"/>
              </w:rPr>
              <w:t>Required</w:t>
            </w:r>
          </w:p>
        </w:tc>
      </w:tr>
      <w:tr w:rsidR="00FC056C" w14:paraId="0202A663" w14:textId="77777777" w:rsidTr="000538D2">
        <w:trPr>
          <w:jc w:val="center"/>
        </w:trPr>
        <w:tc>
          <w:tcPr>
            <w:tcW w:w="625" w:type="dxa"/>
          </w:tcPr>
          <w:p w14:paraId="6B473333" w14:textId="089164C3" w:rsidR="00FC056C" w:rsidRPr="00765084" w:rsidRDefault="00FC056C" w:rsidP="000538D2">
            <w:pPr>
              <w:pStyle w:val="TMGTableText"/>
              <w:spacing w:before="10" w:after="10"/>
              <w:ind w:right="53"/>
              <w:jc w:val="right"/>
              <w:rPr>
                <w:rFonts w:eastAsiaTheme="minorEastAsia"/>
                <w:b/>
                <w:bCs/>
              </w:rPr>
            </w:pPr>
            <w:r w:rsidRPr="00765084">
              <w:rPr>
                <w:rFonts w:eastAsiaTheme="minorEastAsia"/>
                <w:b/>
                <w:bCs/>
              </w:rPr>
              <w:t>19</w:t>
            </w:r>
          </w:p>
        </w:tc>
        <w:tc>
          <w:tcPr>
            <w:tcW w:w="1351" w:type="dxa"/>
          </w:tcPr>
          <w:p w14:paraId="25840DAF" w14:textId="4CD34AE1" w:rsidR="00FC056C" w:rsidRPr="0051590D" w:rsidRDefault="00FC056C" w:rsidP="000538D2">
            <w:pPr>
              <w:pStyle w:val="TMGTableText"/>
              <w:spacing w:before="10" w:after="10"/>
              <w:jc w:val="center"/>
              <w:rPr>
                <w:rFonts w:eastAsiaTheme="minorEastAsia"/>
              </w:rPr>
            </w:pPr>
            <w:r w:rsidRPr="0051590D">
              <w:rPr>
                <w:rFonts w:eastAsiaTheme="minorEastAsia"/>
              </w:rPr>
              <w:t>5</w:t>
            </w:r>
            <w:r>
              <w:rPr>
                <w:rFonts w:eastAsiaTheme="minorEastAsia"/>
              </w:rPr>
              <w:t>2</w:t>
            </w:r>
            <w:r w:rsidRPr="0051590D">
              <w:rPr>
                <w:rFonts w:eastAsiaTheme="minorEastAsia"/>
              </w:rPr>
              <w:t>-5</w:t>
            </w:r>
            <w:r>
              <w:rPr>
                <w:rFonts w:eastAsiaTheme="minorEastAsia"/>
              </w:rPr>
              <w:t>6</w:t>
            </w:r>
          </w:p>
        </w:tc>
        <w:tc>
          <w:tcPr>
            <w:tcW w:w="992" w:type="dxa"/>
          </w:tcPr>
          <w:p w14:paraId="560DCA9D" w14:textId="60EC82DC" w:rsidR="00FC056C" w:rsidRPr="0051590D" w:rsidRDefault="00FC056C" w:rsidP="000538D2">
            <w:pPr>
              <w:pStyle w:val="TMGTableText"/>
              <w:spacing w:before="10" w:after="10"/>
              <w:jc w:val="center"/>
              <w:rPr>
                <w:rFonts w:eastAsiaTheme="minorEastAsia"/>
              </w:rPr>
            </w:pPr>
            <w:r w:rsidRPr="0051590D">
              <w:rPr>
                <w:rFonts w:eastAsiaTheme="minorEastAsia"/>
              </w:rPr>
              <w:t>5</w:t>
            </w:r>
          </w:p>
        </w:tc>
        <w:tc>
          <w:tcPr>
            <w:tcW w:w="3775" w:type="dxa"/>
          </w:tcPr>
          <w:p w14:paraId="6A22D348" w14:textId="6C652C0D" w:rsidR="00FC056C" w:rsidRPr="0051590D" w:rsidRDefault="00FC056C" w:rsidP="00FC056C">
            <w:pPr>
              <w:pStyle w:val="TMGTableText"/>
              <w:spacing w:before="10" w:after="10"/>
              <w:rPr>
                <w:rFonts w:eastAsiaTheme="minorEastAsia"/>
              </w:rPr>
            </w:pPr>
            <w:r w:rsidRPr="0051590D">
              <w:rPr>
                <w:rFonts w:eastAsiaTheme="minorEastAsia"/>
              </w:rPr>
              <w:t>Bin 5 Count</w:t>
            </w:r>
            <w:r>
              <w:rPr>
                <w:rFonts w:eastAsiaTheme="minorEastAsia"/>
              </w:rPr>
              <w:t xml:space="preserve"> (BIN5)</w:t>
            </w:r>
          </w:p>
        </w:tc>
        <w:tc>
          <w:tcPr>
            <w:tcW w:w="1442" w:type="dxa"/>
          </w:tcPr>
          <w:p w14:paraId="551060B9" w14:textId="0057F1C7" w:rsidR="00FC056C" w:rsidRDefault="00FC056C" w:rsidP="00AC2B2A">
            <w:pPr>
              <w:pStyle w:val="TMGTableText"/>
              <w:spacing w:before="10" w:after="10"/>
              <w:jc w:val="center"/>
              <w:rPr>
                <w:rFonts w:eastAsiaTheme="minorEastAsia"/>
              </w:rPr>
            </w:pPr>
            <w:r w:rsidRPr="00582A7C">
              <w:rPr>
                <w:rFonts w:eastAsiaTheme="minorEastAsia"/>
              </w:rPr>
              <w:t>Integer</w:t>
            </w:r>
          </w:p>
        </w:tc>
        <w:tc>
          <w:tcPr>
            <w:tcW w:w="1175" w:type="dxa"/>
          </w:tcPr>
          <w:p w14:paraId="705B84CD" w14:textId="48E306EE" w:rsidR="00FC056C" w:rsidRPr="0051590D" w:rsidRDefault="00FC056C" w:rsidP="00AC2B2A">
            <w:pPr>
              <w:pStyle w:val="TMGTableText"/>
              <w:spacing w:before="10" w:after="10"/>
              <w:jc w:val="center"/>
              <w:rPr>
                <w:rFonts w:eastAsiaTheme="minorEastAsia"/>
              </w:rPr>
            </w:pPr>
            <w:r>
              <w:rPr>
                <w:rFonts w:eastAsiaTheme="minorEastAsia"/>
              </w:rPr>
              <w:t>Required</w:t>
            </w:r>
          </w:p>
        </w:tc>
      </w:tr>
      <w:tr w:rsidR="00FC056C" w14:paraId="29FEBA89" w14:textId="77777777" w:rsidTr="000538D2">
        <w:trPr>
          <w:jc w:val="center"/>
        </w:trPr>
        <w:tc>
          <w:tcPr>
            <w:tcW w:w="625" w:type="dxa"/>
          </w:tcPr>
          <w:p w14:paraId="5D45EF36" w14:textId="488DB5AC" w:rsidR="00FC056C" w:rsidRPr="00765084" w:rsidRDefault="00FC056C" w:rsidP="000538D2">
            <w:pPr>
              <w:pStyle w:val="TMGTableText"/>
              <w:spacing w:before="10" w:after="10"/>
              <w:ind w:right="53"/>
              <w:jc w:val="right"/>
              <w:rPr>
                <w:rFonts w:eastAsiaTheme="minorEastAsia"/>
                <w:b/>
                <w:bCs/>
              </w:rPr>
            </w:pPr>
            <w:r w:rsidRPr="00765084">
              <w:rPr>
                <w:rFonts w:eastAsiaTheme="minorEastAsia"/>
                <w:b/>
                <w:bCs/>
              </w:rPr>
              <w:t>20</w:t>
            </w:r>
          </w:p>
        </w:tc>
        <w:tc>
          <w:tcPr>
            <w:tcW w:w="1351" w:type="dxa"/>
          </w:tcPr>
          <w:p w14:paraId="5EF6E1FA" w14:textId="7F7F6E35" w:rsidR="00FC056C" w:rsidRPr="0051590D" w:rsidRDefault="00FC056C" w:rsidP="000538D2">
            <w:pPr>
              <w:pStyle w:val="TMGTableText"/>
              <w:spacing w:before="10" w:after="10"/>
              <w:jc w:val="center"/>
              <w:rPr>
                <w:rFonts w:eastAsiaTheme="minorEastAsia"/>
              </w:rPr>
            </w:pPr>
            <w:r w:rsidRPr="0051590D">
              <w:rPr>
                <w:rFonts w:eastAsiaTheme="minorEastAsia"/>
              </w:rPr>
              <w:t>5</w:t>
            </w:r>
            <w:r>
              <w:rPr>
                <w:rFonts w:eastAsiaTheme="minorEastAsia"/>
              </w:rPr>
              <w:t>7</w:t>
            </w:r>
            <w:r w:rsidRPr="0051590D">
              <w:rPr>
                <w:rFonts w:eastAsiaTheme="minorEastAsia"/>
              </w:rPr>
              <w:t>-6</w:t>
            </w:r>
            <w:r>
              <w:rPr>
                <w:rFonts w:eastAsiaTheme="minorEastAsia"/>
              </w:rPr>
              <w:t>1</w:t>
            </w:r>
          </w:p>
        </w:tc>
        <w:tc>
          <w:tcPr>
            <w:tcW w:w="992" w:type="dxa"/>
          </w:tcPr>
          <w:p w14:paraId="40481B39" w14:textId="56B3E894" w:rsidR="00FC056C" w:rsidRPr="0051590D" w:rsidRDefault="00FC056C" w:rsidP="000538D2">
            <w:pPr>
              <w:pStyle w:val="TMGTableText"/>
              <w:spacing w:before="10" w:after="10"/>
              <w:jc w:val="center"/>
              <w:rPr>
                <w:rFonts w:eastAsiaTheme="minorEastAsia"/>
              </w:rPr>
            </w:pPr>
            <w:r w:rsidRPr="0051590D">
              <w:rPr>
                <w:rFonts w:eastAsiaTheme="minorEastAsia"/>
              </w:rPr>
              <w:t>5</w:t>
            </w:r>
          </w:p>
        </w:tc>
        <w:tc>
          <w:tcPr>
            <w:tcW w:w="3775" w:type="dxa"/>
          </w:tcPr>
          <w:p w14:paraId="294926A9" w14:textId="4EEE6363" w:rsidR="00FC056C" w:rsidRPr="0051590D" w:rsidRDefault="00FC056C" w:rsidP="00FC056C">
            <w:pPr>
              <w:pStyle w:val="TMGTableText"/>
              <w:spacing w:before="10" w:after="10"/>
              <w:rPr>
                <w:rFonts w:eastAsiaTheme="minorEastAsia"/>
              </w:rPr>
            </w:pPr>
            <w:r w:rsidRPr="0051590D">
              <w:rPr>
                <w:rFonts w:eastAsiaTheme="minorEastAsia"/>
              </w:rPr>
              <w:t>Bin 6 Count</w:t>
            </w:r>
            <w:r>
              <w:rPr>
                <w:rFonts w:eastAsiaTheme="minorEastAsia"/>
              </w:rPr>
              <w:t xml:space="preserve"> (BIN6)</w:t>
            </w:r>
          </w:p>
        </w:tc>
        <w:tc>
          <w:tcPr>
            <w:tcW w:w="1442" w:type="dxa"/>
          </w:tcPr>
          <w:p w14:paraId="765CE9C6" w14:textId="2A679CD7" w:rsidR="00FC056C" w:rsidRDefault="00FC056C" w:rsidP="00AC2B2A">
            <w:pPr>
              <w:pStyle w:val="TMGTableText"/>
              <w:spacing w:before="10" w:after="10"/>
              <w:jc w:val="center"/>
              <w:rPr>
                <w:rFonts w:eastAsiaTheme="minorEastAsia"/>
              </w:rPr>
            </w:pPr>
            <w:r w:rsidRPr="00582A7C">
              <w:rPr>
                <w:rFonts w:eastAsiaTheme="minorEastAsia"/>
              </w:rPr>
              <w:t>Integer</w:t>
            </w:r>
          </w:p>
        </w:tc>
        <w:tc>
          <w:tcPr>
            <w:tcW w:w="1175" w:type="dxa"/>
          </w:tcPr>
          <w:p w14:paraId="65813C9A" w14:textId="63F8AFB5" w:rsidR="00FC056C" w:rsidRPr="0051590D" w:rsidRDefault="00FC056C" w:rsidP="00AC2B2A">
            <w:pPr>
              <w:pStyle w:val="TMGTableText"/>
              <w:spacing w:before="10" w:after="10"/>
              <w:jc w:val="center"/>
              <w:rPr>
                <w:rFonts w:eastAsiaTheme="minorEastAsia"/>
              </w:rPr>
            </w:pPr>
            <w:r>
              <w:rPr>
                <w:rFonts w:eastAsiaTheme="minorEastAsia"/>
              </w:rPr>
              <w:t>Required</w:t>
            </w:r>
          </w:p>
        </w:tc>
      </w:tr>
      <w:tr w:rsidR="00FC056C" w14:paraId="46959531" w14:textId="77777777" w:rsidTr="000538D2">
        <w:trPr>
          <w:jc w:val="center"/>
        </w:trPr>
        <w:tc>
          <w:tcPr>
            <w:tcW w:w="625" w:type="dxa"/>
          </w:tcPr>
          <w:p w14:paraId="5DB8422C" w14:textId="22AED283" w:rsidR="00FC056C" w:rsidRPr="00765084" w:rsidRDefault="00FC056C" w:rsidP="000538D2">
            <w:pPr>
              <w:pStyle w:val="TMGTableText"/>
              <w:spacing w:before="10" w:after="10"/>
              <w:ind w:right="53"/>
              <w:jc w:val="right"/>
              <w:rPr>
                <w:rFonts w:eastAsiaTheme="minorEastAsia"/>
                <w:b/>
                <w:bCs/>
              </w:rPr>
            </w:pPr>
            <w:r w:rsidRPr="00765084">
              <w:rPr>
                <w:rFonts w:eastAsiaTheme="minorEastAsia"/>
                <w:b/>
                <w:bCs/>
              </w:rPr>
              <w:t>21</w:t>
            </w:r>
          </w:p>
        </w:tc>
        <w:tc>
          <w:tcPr>
            <w:tcW w:w="1351" w:type="dxa"/>
          </w:tcPr>
          <w:p w14:paraId="00CF6DC7" w14:textId="27CE9E9E" w:rsidR="00FC056C" w:rsidRPr="0051590D" w:rsidRDefault="00FC056C" w:rsidP="000538D2">
            <w:pPr>
              <w:pStyle w:val="TMGTableText"/>
              <w:spacing w:before="10" w:after="10"/>
              <w:jc w:val="center"/>
              <w:rPr>
                <w:rFonts w:eastAsiaTheme="minorEastAsia"/>
              </w:rPr>
            </w:pPr>
            <w:r w:rsidRPr="0051590D">
              <w:rPr>
                <w:rFonts w:eastAsiaTheme="minorEastAsia"/>
              </w:rPr>
              <w:t>6</w:t>
            </w:r>
            <w:r>
              <w:rPr>
                <w:rFonts w:eastAsiaTheme="minorEastAsia"/>
              </w:rPr>
              <w:t>2</w:t>
            </w:r>
            <w:r w:rsidRPr="0051590D">
              <w:rPr>
                <w:rFonts w:eastAsiaTheme="minorEastAsia"/>
              </w:rPr>
              <w:t>-6</w:t>
            </w:r>
            <w:r>
              <w:rPr>
                <w:rFonts w:eastAsiaTheme="minorEastAsia"/>
              </w:rPr>
              <w:t>6</w:t>
            </w:r>
          </w:p>
        </w:tc>
        <w:tc>
          <w:tcPr>
            <w:tcW w:w="992" w:type="dxa"/>
          </w:tcPr>
          <w:p w14:paraId="30B30BF7" w14:textId="3CA7E1A0" w:rsidR="00FC056C" w:rsidRPr="0051590D" w:rsidRDefault="00FC056C" w:rsidP="000538D2">
            <w:pPr>
              <w:pStyle w:val="TMGTableText"/>
              <w:spacing w:before="10" w:after="10"/>
              <w:jc w:val="center"/>
              <w:rPr>
                <w:rFonts w:eastAsiaTheme="minorEastAsia"/>
              </w:rPr>
            </w:pPr>
            <w:r w:rsidRPr="0051590D">
              <w:rPr>
                <w:rFonts w:eastAsiaTheme="minorEastAsia"/>
              </w:rPr>
              <w:t>5</w:t>
            </w:r>
          </w:p>
        </w:tc>
        <w:tc>
          <w:tcPr>
            <w:tcW w:w="3775" w:type="dxa"/>
          </w:tcPr>
          <w:p w14:paraId="5FDEBDB3" w14:textId="0F8782E1" w:rsidR="00FC056C" w:rsidRPr="0051590D" w:rsidRDefault="00FC056C" w:rsidP="00FC056C">
            <w:pPr>
              <w:pStyle w:val="TMGTableText"/>
              <w:spacing w:before="10" w:after="10"/>
              <w:rPr>
                <w:rFonts w:eastAsiaTheme="minorEastAsia"/>
              </w:rPr>
            </w:pPr>
            <w:r w:rsidRPr="0051590D">
              <w:rPr>
                <w:rFonts w:eastAsiaTheme="minorEastAsia"/>
              </w:rPr>
              <w:t>Bin 7 Count</w:t>
            </w:r>
            <w:r>
              <w:rPr>
                <w:rFonts w:eastAsiaTheme="minorEastAsia"/>
              </w:rPr>
              <w:t xml:space="preserve"> (BIN7)</w:t>
            </w:r>
          </w:p>
        </w:tc>
        <w:tc>
          <w:tcPr>
            <w:tcW w:w="1442" w:type="dxa"/>
          </w:tcPr>
          <w:p w14:paraId="7F205F7E" w14:textId="5CB4BDB7" w:rsidR="00FC056C" w:rsidRDefault="00FC056C" w:rsidP="00AC2B2A">
            <w:pPr>
              <w:pStyle w:val="TMGTableText"/>
              <w:spacing w:before="10" w:after="10"/>
              <w:jc w:val="center"/>
              <w:rPr>
                <w:rFonts w:eastAsiaTheme="minorEastAsia"/>
              </w:rPr>
            </w:pPr>
            <w:r w:rsidRPr="00582A7C">
              <w:rPr>
                <w:rFonts w:eastAsiaTheme="minorEastAsia"/>
              </w:rPr>
              <w:t>Integer</w:t>
            </w:r>
          </w:p>
        </w:tc>
        <w:tc>
          <w:tcPr>
            <w:tcW w:w="1175" w:type="dxa"/>
          </w:tcPr>
          <w:p w14:paraId="17FC56AB" w14:textId="1CDEF65D" w:rsidR="00FC056C" w:rsidRPr="0051590D" w:rsidRDefault="00FC056C" w:rsidP="00AC2B2A">
            <w:pPr>
              <w:pStyle w:val="TMGTableText"/>
              <w:spacing w:before="10" w:after="10"/>
              <w:jc w:val="center"/>
              <w:rPr>
                <w:rFonts w:eastAsiaTheme="minorEastAsia"/>
              </w:rPr>
            </w:pPr>
            <w:r>
              <w:rPr>
                <w:rFonts w:eastAsiaTheme="minorEastAsia"/>
              </w:rPr>
              <w:t>Required</w:t>
            </w:r>
          </w:p>
        </w:tc>
      </w:tr>
      <w:tr w:rsidR="00FC056C" w14:paraId="1852BA86" w14:textId="77777777" w:rsidTr="000538D2">
        <w:trPr>
          <w:jc w:val="center"/>
        </w:trPr>
        <w:tc>
          <w:tcPr>
            <w:tcW w:w="625" w:type="dxa"/>
          </w:tcPr>
          <w:p w14:paraId="1D758E50" w14:textId="309E224E" w:rsidR="00FC056C" w:rsidRPr="00765084" w:rsidRDefault="00FC056C" w:rsidP="000538D2">
            <w:pPr>
              <w:pStyle w:val="TMGTableText"/>
              <w:spacing w:before="10" w:after="10"/>
              <w:ind w:right="53"/>
              <w:jc w:val="right"/>
              <w:rPr>
                <w:rFonts w:eastAsiaTheme="minorEastAsia"/>
                <w:b/>
                <w:bCs/>
              </w:rPr>
            </w:pPr>
            <w:r w:rsidRPr="00765084">
              <w:rPr>
                <w:rFonts w:eastAsiaTheme="minorEastAsia"/>
                <w:b/>
                <w:bCs/>
              </w:rPr>
              <w:t>22</w:t>
            </w:r>
          </w:p>
        </w:tc>
        <w:tc>
          <w:tcPr>
            <w:tcW w:w="1351" w:type="dxa"/>
          </w:tcPr>
          <w:p w14:paraId="41E149FD" w14:textId="3D96DFFB" w:rsidR="00FC056C" w:rsidRPr="0051590D" w:rsidRDefault="00FC056C" w:rsidP="000538D2">
            <w:pPr>
              <w:pStyle w:val="TMGTableText"/>
              <w:spacing w:before="10" w:after="10"/>
              <w:jc w:val="center"/>
              <w:rPr>
                <w:rFonts w:eastAsiaTheme="minorEastAsia"/>
              </w:rPr>
            </w:pPr>
            <w:r w:rsidRPr="0051590D">
              <w:rPr>
                <w:rFonts w:eastAsiaTheme="minorEastAsia"/>
              </w:rPr>
              <w:t>6</w:t>
            </w:r>
            <w:r>
              <w:rPr>
                <w:rFonts w:eastAsiaTheme="minorEastAsia"/>
              </w:rPr>
              <w:t>7</w:t>
            </w:r>
            <w:r w:rsidRPr="0051590D">
              <w:rPr>
                <w:rFonts w:eastAsiaTheme="minorEastAsia"/>
              </w:rPr>
              <w:t>-7</w:t>
            </w:r>
            <w:r>
              <w:rPr>
                <w:rFonts w:eastAsiaTheme="minorEastAsia"/>
              </w:rPr>
              <w:t>1</w:t>
            </w:r>
          </w:p>
        </w:tc>
        <w:tc>
          <w:tcPr>
            <w:tcW w:w="992" w:type="dxa"/>
          </w:tcPr>
          <w:p w14:paraId="7AE03EDB" w14:textId="601B6B43" w:rsidR="00FC056C" w:rsidRPr="0051590D" w:rsidRDefault="00FC056C" w:rsidP="000538D2">
            <w:pPr>
              <w:pStyle w:val="TMGTableText"/>
              <w:spacing w:before="10" w:after="10"/>
              <w:jc w:val="center"/>
              <w:rPr>
                <w:rFonts w:eastAsiaTheme="minorEastAsia"/>
              </w:rPr>
            </w:pPr>
            <w:r w:rsidRPr="0051590D">
              <w:rPr>
                <w:rFonts w:eastAsiaTheme="minorEastAsia"/>
              </w:rPr>
              <w:t>5</w:t>
            </w:r>
          </w:p>
        </w:tc>
        <w:tc>
          <w:tcPr>
            <w:tcW w:w="3775" w:type="dxa"/>
          </w:tcPr>
          <w:p w14:paraId="07D8507F" w14:textId="16EEC355" w:rsidR="00FC056C" w:rsidRPr="0051590D" w:rsidRDefault="00FC056C" w:rsidP="00FC056C">
            <w:pPr>
              <w:pStyle w:val="TMGTableText"/>
              <w:spacing w:before="10" w:after="10"/>
              <w:rPr>
                <w:rFonts w:eastAsiaTheme="minorEastAsia"/>
              </w:rPr>
            </w:pPr>
            <w:r w:rsidRPr="0051590D">
              <w:rPr>
                <w:rFonts w:eastAsiaTheme="minorEastAsia"/>
              </w:rPr>
              <w:t>Bin 8 Count</w:t>
            </w:r>
            <w:r>
              <w:rPr>
                <w:rFonts w:eastAsiaTheme="minorEastAsia"/>
              </w:rPr>
              <w:t xml:space="preserve"> (BIN8)</w:t>
            </w:r>
          </w:p>
        </w:tc>
        <w:tc>
          <w:tcPr>
            <w:tcW w:w="1442" w:type="dxa"/>
          </w:tcPr>
          <w:p w14:paraId="1094D236" w14:textId="60C84D1F" w:rsidR="00FC056C" w:rsidRDefault="00FC056C" w:rsidP="00AC2B2A">
            <w:pPr>
              <w:pStyle w:val="TMGTableText"/>
              <w:spacing w:before="10" w:after="10"/>
              <w:jc w:val="center"/>
              <w:rPr>
                <w:rFonts w:eastAsiaTheme="minorEastAsia"/>
              </w:rPr>
            </w:pPr>
            <w:r w:rsidRPr="00582A7C">
              <w:rPr>
                <w:rFonts w:eastAsiaTheme="minorEastAsia"/>
              </w:rPr>
              <w:t>Integer</w:t>
            </w:r>
          </w:p>
        </w:tc>
        <w:tc>
          <w:tcPr>
            <w:tcW w:w="1175" w:type="dxa"/>
          </w:tcPr>
          <w:p w14:paraId="38510C54" w14:textId="7F4395C5" w:rsidR="00FC056C" w:rsidRPr="0051590D" w:rsidRDefault="00FC056C" w:rsidP="00AC2B2A">
            <w:pPr>
              <w:pStyle w:val="TMGTableText"/>
              <w:spacing w:before="10" w:after="10"/>
              <w:jc w:val="center"/>
              <w:rPr>
                <w:rFonts w:eastAsiaTheme="minorEastAsia"/>
              </w:rPr>
            </w:pPr>
            <w:r>
              <w:rPr>
                <w:rFonts w:eastAsiaTheme="minorEastAsia"/>
              </w:rPr>
              <w:t>Required</w:t>
            </w:r>
          </w:p>
        </w:tc>
      </w:tr>
      <w:tr w:rsidR="00FC056C" w14:paraId="7EC6DBD3" w14:textId="77777777" w:rsidTr="000538D2">
        <w:trPr>
          <w:jc w:val="center"/>
        </w:trPr>
        <w:tc>
          <w:tcPr>
            <w:tcW w:w="625" w:type="dxa"/>
          </w:tcPr>
          <w:p w14:paraId="3504F1B9" w14:textId="5ED59BE7" w:rsidR="00FC056C" w:rsidRPr="00765084" w:rsidRDefault="00FC056C" w:rsidP="000538D2">
            <w:pPr>
              <w:pStyle w:val="TMGTableText"/>
              <w:spacing w:before="10" w:after="10"/>
              <w:ind w:right="53"/>
              <w:jc w:val="right"/>
              <w:rPr>
                <w:rFonts w:eastAsiaTheme="minorEastAsia"/>
                <w:b/>
                <w:bCs/>
              </w:rPr>
            </w:pPr>
            <w:r w:rsidRPr="00765084">
              <w:rPr>
                <w:rFonts w:eastAsiaTheme="minorEastAsia"/>
                <w:b/>
                <w:bCs/>
              </w:rPr>
              <w:t>23</w:t>
            </w:r>
          </w:p>
        </w:tc>
        <w:tc>
          <w:tcPr>
            <w:tcW w:w="1351" w:type="dxa"/>
          </w:tcPr>
          <w:p w14:paraId="19BA1DE0" w14:textId="43CAD824" w:rsidR="00FC056C" w:rsidRPr="0051590D" w:rsidRDefault="00FC056C" w:rsidP="000538D2">
            <w:pPr>
              <w:pStyle w:val="TMGTableText"/>
              <w:spacing w:before="10" w:after="10"/>
              <w:jc w:val="center"/>
              <w:rPr>
                <w:rFonts w:eastAsiaTheme="minorEastAsia"/>
              </w:rPr>
            </w:pPr>
            <w:r w:rsidRPr="0051590D">
              <w:rPr>
                <w:rFonts w:eastAsiaTheme="minorEastAsia"/>
              </w:rPr>
              <w:t>7</w:t>
            </w:r>
            <w:r>
              <w:rPr>
                <w:rFonts w:eastAsiaTheme="minorEastAsia"/>
              </w:rPr>
              <w:t>2</w:t>
            </w:r>
            <w:r w:rsidRPr="0051590D">
              <w:rPr>
                <w:rFonts w:eastAsiaTheme="minorEastAsia"/>
              </w:rPr>
              <w:t>-7</w:t>
            </w:r>
            <w:r>
              <w:rPr>
                <w:rFonts w:eastAsiaTheme="minorEastAsia"/>
              </w:rPr>
              <w:t>6</w:t>
            </w:r>
          </w:p>
        </w:tc>
        <w:tc>
          <w:tcPr>
            <w:tcW w:w="992" w:type="dxa"/>
          </w:tcPr>
          <w:p w14:paraId="1418E1C9" w14:textId="57D2B425" w:rsidR="00FC056C" w:rsidRPr="0051590D" w:rsidRDefault="00FC056C" w:rsidP="000538D2">
            <w:pPr>
              <w:pStyle w:val="TMGTableText"/>
              <w:spacing w:before="10" w:after="10"/>
              <w:jc w:val="center"/>
              <w:rPr>
                <w:rFonts w:eastAsiaTheme="minorEastAsia"/>
              </w:rPr>
            </w:pPr>
            <w:r w:rsidRPr="0051590D">
              <w:rPr>
                <w:rFonts w:eastAsiaTheme="minorEastAsia"/>
              </w:rPr>
              <w:t>5</w:t>
            </w:r>
          </w:p>
        </w:tc>
        <w:tc>
          <w:tcPr>
            <w:tcW w:w="3775" w:type="dxa"/>
          </w:tcPr>
          <w:p w14:paraId="199A9378" w14:textId="4955CBD4" w:rsidR="00FC056C" w:rsidRPr="0051590D" w:rsidRDefault="00FC056C" w:rsidP="00FC056C">
            <w:pPr>
              <w:pStyle w:val="TMGTableText"/>
              <w:spacing w:before="10" w:after="10"/>
              <w:rPr>
                <w:rFonts w:eastAsiaTheme="minorEastAsia"/>
              </w:rPr>
            </w:pPr>
            <w:r w:rsidRPr="0051590D">
              <w:rPr>
                <w:rFonts w:eastAsiaTheme="minorEastAsia"/>
              </w:rPr>
              <w:t>Bin 9 Count</w:t>
            </w:r>
            <w:r>
              <w:rPr>
                <w:rFonts w:eastAsiaTheme="minorEastAsia"/>
              </w:rPr>
              <w:t xml:space="preserve"> (BIN9)</w:t>
            </w:r>
          </w:p>
        </w:tc>
        <w:tc>
          <w:tcPr>
            <w:tcW w:w="1442" w:type="dxa"/>
          </w:tcPr>
          <w:p w14:paraId="5A1825F4" w14:textId="7B795C6D" w:rsidR="00FC056C" w:rsidRDefault="00FC056C" w:rsidP="00AC2B2A">
            <w:pPr>
              <w:pStyle w:val="TMGTableText"/>
              <w:spacing w:before="10" w:after="10"/>
              <w:jc w:val="center"/>
              <w:rPr>
                <w:rFonts w:eastAsiaTheme="minorEastAsia"/>
              </w:rPr>
            </w:pPr>
            <w:r w:rsidRPr="00582A7C">
              <w:rPr>
                <w:rFonts w:eastAsiaTheme="minorEastAsia"/>
              </w:rPr>
              <w:t>Integer</w:t>
            </w:r>
          </w:p>
        </w:tc>
        <w:tc>
          <w:tcPr>
            <w:tcW w:w="1175" w:type="dxa"/>
          </w:tcPr>
          <w:p w14:paraId="6B74E6CB" w14:textId="79DBCEAF" w:rsidR="00FC056C" w:rsidRPr="0051590D" w:rsidRDefault="00FC056C" w:rsidP="00AC2B2A">
            <w:pPr>
              <w:pStyle w:val="TMGTableText"/>
              <w:spacing w:before="10" w:after="10"/>
              <w:jc w:val="center"/>
              <w:rPr>
                <w:rFonts w:eastAsiaTheme="minorEastAsia"/>
              </w:rPr>
            </w:pPr>
            <w:r>
              <w:rPr>
                <w:rFonts w:eastAsiaTheme="minorEastAsia"/>
              </w:rPr>
              <w:t>Required</w:t>
            </w:r>
          </w:p>
        </w:tc>
      </w:tr>
      <w:tr w:rsidR="00FC056C" w14:paraId="28A3D17C" w14:textId="77777777" w:rsidTr="000538D2">
        <w:trPr>
          <w:jc w:val="center"/>
        </w:trPr>
        <w:tc>
          <w:tcPr>
            <w:tcW w:w="625" w:type="dxa"/>
          </w:tcPr>
          <w:p w14:paraId="7C24B863" w14:textId="009510FB" w:rsidR="00FC056C" w:rsidRPr="00765084" w:rsidRDefault="00FC056C" w:rsidP="000538D2">
            <w:pPr>
              <w:pStyle w:val="TMGTableText"/>
              <w:spacing w:before="10" w:after="10"/>
              <w:ind w:right="53"/>
              <w:jc w:val="right"/>
              <w:rPr>
                <w:rFonts w:eastAsiaTheme="minorEastAsia"/>
                <w:b/>
                <w:bCs/>
              </w:rPr>
            </w:pPr>
            <w:r w:rsidRPr="00765084">
              <w:rPr>
                <w:rFonts w:eastAsiaTheme="minorEastAsia"/>
                <w:b/>
                <w:bCs/>
              </w:rPr>
              <w:t>24</w:t>
            </w:r>
          </w:p>
        </w:tc>
        <w:tc>
          <w:tcPr>
            <w:tcW w:w="1351" w:type="dxa"/>
          </w:tcPr>
          <w:p w14:paraId="27C2B80F" w14:textId="71B914F8" w:rsidR="00FC056C" w:rsidRPr="0051590D" w:rsidRDefault="00FC056C" w:rsidP="000538D2">
            <w:pPr>
              <w:pStyle w:val="TMGTableText"/>
              <w:spacing w:before="10" w:after="10"/>
              <w:jc w:val="center"/>
              <w:rPr>
                <w:rFonts w:eastAsiaTheme="minorEastAsia"/>
              </w:rPr>
            </w:pPr>
            <w:r w:rsidRPr="0051590D">
              <w:rPr>
                <w:rFonts w:eastAsiaTheme="minorEastAsia"/>
              </w:rPr>
              <w:t>7</w:t>
            </w:r>
            <w:r>
              <w:rPr>
                <w:rFonts w:eastAsiaTheme="minorEastAsia"/>
              </w:rPr>
              <w:t>7</w:t>
            </w:r>
            <w:r w:rsidRPr="0051590D">
              <w:rPr>
                <w:rFonts w:eastAsiaTheme="minorEastAsia"/>
              </w:rPr>
              <w:t>-8</w:t>
            </w:r>
            <w:r>
              <w:rPr>
                <w:rFonts w:eastAsiaTheme="minorEastAsia"/>
              </w:rPr>
              <w:t>1</w:t>
            </w:r>
          </w:p>
        </w:tc>
        <w:tc>
          <w:tcPr>
            <w:tcW w:w="992" w:type="dxa"/>
          </w:tcPr>
          <w:p w14:paraId="741BE84B" w14:textId="6466593E" w:rsidR="00FC056C" w:rsidRPr="0051590D" w:rsidRDefault="00FC056C" w:rsidP="000538D2">
            <w:pPr>
              <w:pStyle w:val="TMGTableText"/>
              <w:spacing w:before="10" w:after="10"/>
              <w:jc w:val="center"/>
              <w:rPr>
                <w:rFonts w:eastAsiaTheme="minorEastAsia"/>
              </w:rPr>
            </w:pPr>
            <w:r w:rsidRPr="0051590D">
              <w:rPr>
                <w:rFonts w:eastAsiaTheme="minorEastAsia"/>
              </w:rPr>
              <w:t>5</w:t>
            </w:r>
          </w:p>
        </w:tc>
        <w:tc>
          <w:tcPr>
            <w:tcW w:w="3775" w:type="dxa"/>
          </w:tcPr>
          <w:p w14:paraId="6DAB8512" w14:textId="457A7B29" w:rsidR="00FC056C" w:rsidRPr="0051590D" w:rsidRDefault="00FC056C" w:rsidP="00FC056C">
            <w:pPr>
              <w:pStyle w:val="TMGTableText"/>
              <w:spacing w:before="10" w:after="10"/>
              <w:rPr>
                <w:rFonts w:eastAsiaTheme="minorEastAsia"/>
              </w:rPr>
            </w:pPr>
            <w:r w:rsidRPr="0051590D">
              <w:rPr>
                <w:rFonts w:eastAsiaTheme="minorEastAsia"/>
              </w:rPr>
              <w:t>Bin 10 Count</w:t>
            </w:r>
            <w:r>
              <w:rPr>
                <w:rFonts w:eastAsiaTheme="minorEastAsia"/>
              </w:rPr>
              <w:t xml:space="preserve"> (BIN10)</w:t>
            </w:r>
          </w:p>
        </w:tc>
        <w:tc>
          <w:tcPr>
            <w:tcW w:w="1442" w:type="dxa"/>
          </w:tcPr>
          <w:p w14:paraId="681CFF3E" w14:textId="06D3B35B" w:rsidR="00FC056C" w:rsidRDefault="00FC056C" w:rsidP="00AC2B2A">
            <w:pPr>
              <w:pStyle w:val="TMGTableText"/>
              <w:spacing w:before="10" w:after="10"/>
              <w:jc w:val="center"/>
              <w:rPr>
                <w:rFonts w:eastAsiaTheme="minorEastAsia"/>
              </w:rPr>
            </w:pPr>
            <w:r w:rsidRPr="00582A7C">
              <w:rPr>
                <w:rFonts w:eastAsiaTheme="minorEastAsia"/>
              </w:rPr>
              <w:t>Integer</w:t>
            </w:r>
          </w:p>
        </w:tc>
        <w:tc>
          <w:tcPr>
            <w:tcW w:w="1175" w:type="dxa"/>
          </w:tcPr>
          <w:p w14:paraId="3B78E988" w14:textId="02946D46" w:rsidR="00FC056C" w:rsidRPr="0051590D" w:rsidRDefault="00FC056C" w:rsidP="00AC2B2A">
            <w:pPr>
              <w:pStyle w:val="TMGTableText"/>
              <w:spacing w:before="10" w:after="10"/>
              <w:jc w:val="center"/>
              <w:rPr>
                <w:rFonts w:eastAsiaTheme="minorEastAsia"/>
              </w:rPr>
            </w:pPr>
            <w:r>
              <w:rPr>
                <w:rFonts w:eastAsiaTheme="minorEastAsia"/>
              </w:rPr>
              <w:t>Required</w:t>
            </w:r>
          </w:p>
        </w:tc>
      </w:tr>
      <w:tr w:rsidR="00FC056C" w14:paraId="733B7B22" w14:textId="77777777" w:rsidTr="000538D2">
        <w:trPr>
          <w:jc w:val="center"/>
        </w:trPr>
        <w:tc>
          <w:tcPr>
            <w:tcW w:w="625" w:type="dxa"/>
          </w:tcPr>
          <w:p w14:paraId="6069A6B1" w14:textId="1330C749" w:rsidR="00FC056C" w:rsidRPr="00765084" w:rsidRDefault="00FC056C" w:rsidP="000538D2">
            <w:pPr>
              <w:pStyle w:val="TMGTableText"/>
              <w:spacing w:before="10" w:after="10"/>
              <w:ind w:right="53"/>
              <w:jc w:val="right"/>
              <w:rPr>
                <w:rFonts w:eastAsiaTheme="minorEastAsia"/>
                <w:b/>
                <w:bCs/>
              </w:rPr>
            </w:pPr>
            <w:r w:rsidRPr="00765084">
              <w:rPr>
                <w:rFonts w:eastAsiaTheme="minorEastAsia"/>
                <w:b/>
                <w:bCs/>
              </w:rPr>
              <w:t>25</w:t>
            </w:r>
          </w:p>
        </w:tc>
        <w:tc>
          <w:tcPr>
            <w:tcW w:w="1351" w:type="dxa"/>
          </w:tcPr>
          <w:p w14:paraId="502CCFEF" w14:textId="5159FF7B" w:rsidR="00FC056C" w:rsidRPr="0051590D" w:rsidRDefault="00FC056C" w:rsidP="000538D2">
            <w:pPr>
              <w:pStyle w:val="TMGTableText"/>
              <w:spacing w:before="10" w:after="10"/>
              <w:jc w:val="center"/>
              <w:rPr>
                <w:rFonts w:eastAsiaTheme="minorEastAsia"/>
              </w:rPr>
            </w:pPr>
            <w:r w:rsidRPr="0051590D">
              <w:rPr>
                <w:rFonts w:eastAsiaTheme="minorEastAsia"/>
              </w:rPr>
              <w:t>8</w:t>
            </w:r>
            <w:r>
              <w:rPr>
                <w:rFonts w:eastAsiaTheme="minorEastAsia"/>
              </w:rPr>
              <w:t>2</w:t>
            </w:r>
            <w:r w:rsidRPr="0051590D">
              <w:rPr>
                <w:rFonts w:eastAsiaTheme="minorEastAsia"/>
              </w:rPr>
              <w:t>-8</w:t>
            </w:r>
            <w:r>
              <w:rPr>
                <w:rFonts w:eastAsiaTheme="minorEastAsia"/>
              </w:rPr>
              <w:t>6</w:t>
            </w:r>
          </w:p>
        </w:tc>
        <w:tc>
          <w:tcPr>
            <w:tcW w:w="992" w:type="dxa"/>
          </w:tcPr>
          <w:p w14:paraId="6231D26C" w14:textId="04AAF8DD" w:rsidR="00FC056C" w:rsidRPr="0051590D" w:rsidRDefault="00FC056C" w:rsidP="000538D2">
            <w:pPr>
              <w:pStyle w:val="TMGTableText"/>
              <w:spacing w:before="10" w:after="10"/>
              <w:jc w:val="center"/>
              <w:rPr>
                <w:rFonts w:eastAsiaTheme="minorEastAsia"/>
              </w:rPr>
            </w:pPr>
            <w:r w:rsidRPr="0051590D">
              <w:rPr>
                <w:rFonts w:eastAsiaTheme="minorEastAsia"/>
              </w:rPr>
              <w:t>5</w:t>
            </w:r>
          </w:p>
        </w:tc>
        <w:tc>
          <w:tcPr>
            <w:tcW w:w="3775" w:type="dxa"/>
          </w:tcPr>
          <w:p w14:paraId="2C6267D4" w14:textId="2E19EE55" w:rsidR="00FC056C" w:rsidRPr="0051590D" w:rsidRDefault="00FC056C" w:rsidP="00FC056C">
            <w:pPr>
              <w:pStyle w:val="TMGTableText"/>
              <w:spacing w:before="10" w:after="10"/>
              <w:rPr>
                <w:rFonts w:eastAsiaTheme="minorEastAsia"/>
              </w:rPr>
            </w:pPr>
            <w:r w:rsidRPr="0051590D">
              <w:rPr>
                <w:rFonts w:eastAsiaTheme="minorEastAsia"/>
              </w:rPr>
              <w:t>Bin 11 Count</w:t>
            </w:r>
            <w:r>
              <w:rPr>
                <w:rFonts w:eastAsiaTheme="minorEastAsia"/>
              </w:rPr>
              <w:t xml:space="preserve"> (BIN11)</w:t>
            </w:r>
          </w:p>
        </w:tc>
        <w:tc>
          <w:tcPr>
            <w:tcW w:w="1442" w:type="dxa"/>
          </w:tcPr>
          <w:p w14:paraId="56360DC0" w14:textId="33D907A0" w:rsidR="00FC056C" w:rsidRDefault="00FC056C" w:rsidP="00AC2B2A">
            <w:pPr>
              <w:pStyle w:val="TMGTableText"/>
              <w:spacing w:before="10" w:after="10"/>
              <w:jc w:val="center"/>
              <w:rPr>
                <w:rFonts w:eastAsiaTheme="minorEastAsia"/>
              </w:rPr>
            </w:pPr>
            <w:r w:rsidRPr="00582A7C">
              <w:rPr>
                <w:rFonts w:eastAsiaTheme="minorEastAsia"/>
              </w:rPr>
              <w:t>Integer</w:t>
            </w:r>
          </w:p>
        </w:tc>
        <w:tc>
          <w:tcPr>
            <w:tcW w:w="1175" w:type="dxa"/>
          </w:tcPr>
          <w:p w14:paraId="72BA6181" w14:textId="28064950" w:rsidR="00FC056C" w:rsidRPr="0051590D" w:rsidRDefault="00FC056C" w:rsidP="00AC2B2A">
            <w:pPr>
              <w:pStyle w:val="TMGTableText"/>
              <w:spacing w:before="10" w:after="10"/>
              <w:jc w:val="center"/>
              <w:rPr>
                <w:rFonts w:eastAsiaTheme="minorEastAsia"/>
              </w:rPr>
            </w:pPr>
            <w:r>
              <w:rPr>
                <w:rFonts w:eastAsiaTheme="minorEastAsia"/>
              </w:rPr>
              <w:t>Required</w:t>
            </w:r>
          </w:p>
        </w:tc>
      </w:tr>
      <w:tr w:rsidR="00FC056C" w14:paraId="41652A18" w14:textId="77777777" w:rsidTr="000538D2">
        <w:trPr>
          <w:jc w:val="center"/>
        </w:trPr>
        <w:tc>
          <w:tcPr>
            <w:tcW w:w="625" w:type="dxa"/>
          </w:tcPr>
          <w:p w14:paraId="71A0F25E" w14:textId="120A8450" w:rsidR="00FC056C" w:rsidRPr="00765084" w:rsidRDefault="00FC056C" w:rsidP="000538D2">
            <w:pPr>
              <w:pStyle w:val="TMGTableText"/>
              <w:spacing w:before="10" w:after="10"/>
              <w:ind w:right="53"/>
              <w:jc w:val="right"/>
              <w:rPr>
                <w:rFonts w:eastAsiaTheme="minorEastAsia"/>
                <w:b/>
                <w:bCs/>
              </w:rPr>
            </w:pPr>
            <w:r w:rsidRPr="00765084">
              <w:rPr>
                <w:rFonts w:eastAsiaTheme="minorEastAsia"/>
                <w:b/>
                <w:bCs/>
              </w:rPr>
              <w:t>26</w:t>
            </w:r>
          </w:p>
        </w:tc>
        <w:tc>
          <w:tcPr>
            <w:tcW w:w="1351" w:type="dxa"/>
          </w:tcPr>
          <w:p w14:paraId="467EE84C" w14:textId="3882B5FF" w:rsidR="00FC056C" w:rsidRPr="0051590D" w:rsidRDefault="00FC056C" w:rsidP="000538D2">
            <w:pPr>
              <w:pStyle w:val="TMGTableText"/>
              <w:spacing w:before="10" w:after="10"/>
              <w:jc w:val="center"/>
              <w:rPr>
                <w:rFonts w:eastAsiaTheme="minorEastAsia"/>
              </w:rPr>
            </w:pPr>
            <w:r w:rsidRPr="0051590D">
              <w:rPr>
                <w:rFonts w:eastAsiaTheme="minorEastAsia"/>
              </w:rPr>
              <w:t>8</w:t>
            </w:r>
            <w:r>
              <w:rPr>
                <w:rFonts w:eastAsiaTheme="minorEastAsia"/>
              </w:rPr>
              <w:t>7</w:t>
            </w:r>
            <w:r w:rsidRPr="0051590D">
              <w:rPr>
                <w:rFonts w:eastAsiaTheme="minorEastAsia"/>
              </w:rPr>
              <w:t>-9</w:t>
            </w:r>
            <w:r>
              <w:rPr>
                <w:rFonts w:eastAsiaTheme="minorEastAsia"/>
              </w:rPr>
              <w:t>1</w:t>
            </w:r>
          </w:p>
        </w:tc>
        <w:tc>
          <w:tcPr>
            <w:tcW w:w="992" w:type="dxa"/>
          </w:tcPr>
          <w:p w14:paraId="0DA29809" w14:textId="098CD5AD" w:rsidR="00FC056C" w:rsidRPr="0051590D" w:rsidRDefault="00FC056C" w:rsidP="000538D2">
            <w:pPr>
              <w:pStyle w:val="TMGTableText"/>
              <w:spacing w:before="10" w:after="10"/>
              <w:jc w:val="center"/>
              <w:rPr>
                <w:rFonts w:eastAsiaTheme="minorEastAsia"/>
              </w:rPr>
            </w:pPr>
            <w:r w:rsidRPr="0051590D">
              <w:rPr>
                <w:rFonts w:eastAsiaTheme="minorEastAsia"/>
              </w:rPr>
              <w:t>5</w:t>
            </w:r>
          </w:p>
        </w:tc>
        <w:tc>
          <w:tcPr>
            <w:tcW w:w="3775" w:type="dxa"/>
          </w:tcPr>
          <w:p w14:paraId="31AF3E61" w14:textId="7AEDFFBF" w:rsidR="00FC056C" w:rsidRPr="0051590D" w:rsidRDefault="00FC056C" w:rsidP="00FC056C">
            <w:pPr>
              <w:pStyle w:val="TMGTableText"/>
              <w:spacing w:before="10" w:after="10"/>
              <w:rPr>
                <w:rFonts w:eastAsiaTheme="minorEastAsia"/>
              </w:rPr>
            </w:pPr>
            <w:r w:rsidRPr="0051590D">
              <w:rPr>
                <w:rFonts w:eastAsiaTheme="minorEastAsia"/>
              </w:rPr>
              <w:t>Bin 12 Count</w:t>
            </w:r>
            <w:r>
              <w:rPr>
                <w:rFonts w:eastAsiaTheme="minorEastAsia"/>
              </w:rPr>
              <w:t xml:space="preserve"> (BIN12)</w:t>
            </w:r>
          </w:p>
        </w:tc>
        <w:tc>
          <w:tcPr>
            <w:tcW w:w="1442" w:type="dxa"/>
          </w:tcPr>
          <w:p w14:paraId="2AF8D00E" w14:textId="1779418B" w:rsidR="00FC056C" w:rsidRDefault="00FC056C" w:rsidP="00AC2B2A">
            <w:pPr>
              <w:pStyle w:val="TMGTableText"/>
              <w:spacing w:before="10" w:after="10"/>
              <w:jc w:val="center"/>
              <w:rPr>
                <w:rFonts w:eastAsiaTheme="minorEastAsia"/>
              </w:rPr>
            </w:pPr>
            <w:r w:rsidRPr="00582A7C">
              <w:rPr>
                <w:rFonts w:eastAsiaTheme="minorEastAsia"/>
              </w:rPr>
              <w:t>Integer</w:t>
            </w:r>
          </w:p>
        </w:tc>
        <w:tc>
          <w:tcPr>
            <w:tcW w:w="1175" w:type="dxa"/>
          </w:tcPr>
          <w:p w14:paraId="26526122" w14:textId="21D42E6A" w:rsidR="00FC056C" w:rsidRPr="0051590D" w:rsidRDefault="00FC056C" w:rsidP="00AC2B2A">
            <w:pPr>
              <w:pStyle w:val="TMGTableText"/>
              <w:spacing w:before="10" w:after="10"/>
              <w:jc w:val="center"/>
              <w:rPr>
                <w:rFonts w:eastAsiaTheme="minorEastAsia"/>
              </w:rPr>
            </w:pPr>
            <w:r>
              <w:rPr>
                <w:rFonts w:eastAsiaTheme="minorEastAsia"/>
              </w:rPr>
              <w:t>Required</w:t>
            </w:r>
          </w:p>
        </w:tc>
      </w:tr>
      <w:tr w:rsidR="00FC056C" w14:paraId="4198C13C" w14:textId="77777777" w:rsidTr="000538D2">
        <w:trPr>
          <w:jc w:val="center"/>
        </w:trPr>
        <w:tc>
          <w:tcPr>
            <w:tcW w:w="625" w:type="dxa"/>
          </w:tcPr>
          <w:p w14:paraId="7E5CA87C" w14:textId="640565D5" w:rsidR="00FC056C" w:rsidRPr="00765084" w:rsidRDefault="00FC056C" w:rsidP="000538D2">
            <w:pPr>
              <w:pStyle w:val="TMGTableText"/>
              <w:spacing w:before="10" w:after="10"/>
              <w:ind w:right="53"/>
              <w:jc w:val="right"/>
              <w:rPr>
                <w:rFonts w:eastAsiaTheme="minorEastAsia"/>
                <w:b/>
                <w:bCs/>
              </w:rPr>
            </w:pPr>
            <w:r w:rsidRPr="00765084">
              <w:rPr>
                <w:rFonts w:eastAsiaTheme="minorEastAsia"/>
                <w:b/>
                <w:bCs/>
              </w:rPr>
              <w:t>27</w:t>
            </w:r>
          </w:p>
        </w:tc>
        <w:tc>
          <w:tcPr>
            <w:tcW w:w="1351" w:type="dxa"/>
          </w:tcPr>
          <w:p w14:paraId="43B8893E" w14:textId="3E20879A" w:rsidR="00FC056C" w:rsidRPr="0051590D" w:rsidRDefault="00FC056C" w:rsidP="000538D2">
            <w:pPr>
              <w:pStyle w:val="TMGTableText"/>
              <w:spacing w:before="10" w:after="10"/>
              <w:jc w:val="center"/>
              <w:rPr>
                <w:rFonts w:eastAsiaTheme="minorEastAsia"/>
              </w:rPr>
            </w:pPr>
            <w:r w:rsidRPr="0051590D">
              <w:rPr>
                <w:rFonts w:eastAsiaTheme="minorEastAsia"/>
              </w:rPr>
              <w:t>9</w:t>
            </w:r>
            <w:r>
              <w:rPr>
                <w:rFonts w:eastAsiaTheme="minorEastAsia"/>
              </w:rPr>
              <w:t>2</w:t>
            </w:r>
            <w:r w:rsidRPr="0051590D">
              <w:rPr>
                <w:rFonts w:eastAsiaTheme="minorEastAsia"/>
              </w:rPr>
              <w:t>-9</w:t>
            </w:r>
            <w:r>
              <w:rPr>
                <w:rFonts w:eastAsiaTheme="minorEastAsia"/>
              </w:rPr>
              <w:t>6</w:t>
            </w:r>
          </w:p>
        </w:tc>
        <w:tc>
          <w:tcPr>
            <w:tcW w:w="992" w:type="dxa"/>
          </w:tcPr>
          <w:p w14:paraId="1975F474" w14:textId="00FEF604" w:rsidR="00FC056C" w:rsidRPr="0051590D" w:rsidRDefault="00FC056C" w:rsidP="000538D2">
            <w:pPr>
              <w:pStyle w:val="TMGTableText"/>
              <w:spacing w:before="10" w:after="10"/>
              <w:jc w:val="center"/>
              <w:rPr>
                <w:rFonts w:eastAsiaTheme="minorEastAsia"/>
              </w:rPr>
            </w:pPr>
            <w:r w:rsidRPr="0051590D">
              <w:rPr>
                <w:rFonts w:eastAsiaTheme="minorEastAsia"/>
              </w:rPr>
              <w:t>5</w:t>
            </w:r>
          </w:p>
        </w:tc>
        <w:tc>
          <w:tcPr>
            <w:tcW w:w="3775" w:type="dxa"/>
          </w:tcPr>
          <w:p w14:paraId="5D2FD351" w14:textId="5030AD7A" w:rsidR="00FC056C" w:rsidRPr="0051590D" w:rsidRDefault="00FC056C" w:rsidP="00FC056C">
            <w:pPr>
              <w:pStyle w:val="TMGTableText"/>
              <w:spacing w:before="10" w:after="10"/>
              <w:rPr>
                <w:rFonts w:eastAsiaTheme="minorEastAsia"/>
              </w:rPr>
            </w:pPr>
            <w:r w:rsidRPr="0051590D">
              <w:rPr>
                <w:rFonts w:eastAsiaTheme="minorEastAsia"/>
              </w:rPr>
              <w:t>Bin 13 Count</w:t>
            </w:r>
            <w:r>
              <w:rPr>
                <w:rFonts w:eastAsiaTheme="minorEastAsia"/>
              </w:rPr>
              <w:t xml:space="preserve"> (BIN13)</w:t>
            </w:r>
          </w:p>
        </w:tc>
        <w:tc>
          <w:tcPr>
            <w:tcW w:w="1442" w:type="dxa"/>
          </w:tcPr>
          <w:p w14:paraId="0ECAA7B7" w14:textId="767BF9BC" w:rsidR="00FC056C" w:rsidRDefault="00FC056C" w:rsidP="00AC2B2A">
            <w:pPr>
              <w:pStyle w:val="TMGTableText"/>
              <w:spacing w:before="10" w:after="10"/>
              <w:jc w:val="center"/>
              <w:rPr>
                <w:rFonts w:eastAsiaTheme="minorEastAsia"/>
              </w:rPr>
            </w:pPr>
            <w:r w:rsidRPr="00582A7C">
              <w:rPr>
                <w:rFonts w:eastAsiaTheme="minorEastAsia"/>
              </w:rPr>
              <w:t>Integer</w:t>
            </w:r>
          </w:p>
        </w:tc>
        <w:tc>
          <w:tcPr>
            <w:tcW w:w="1175" w:type="dxa"/>
          </w:tcPr>
          <w:p w14:paraId="0F90D06E" w14:textId="0D28937E" w:rsidR="00FC056C" w:rsidRPr="0051590D" w:rsidRDefault="00FC056C" w:rsidP="00AC2B2A">
            <w:pPr>
              <w:pStyle w:val="TMGTableText"/>
              <w:spacing w:before="10" w:after="10"/>
              <w:jc w:val="center"/>
              <w:rPr>
                <w:rFonts w:eastAsiaTheme="minorEastAsia"/>
              </w:rPr>
            </w:pPr>
            <w:r>
              <w:rPr>
                <w:rFonts w:eastAsiaTheme="minorEastAsia"/>
              </w:rPr>
              <w:t>Required</w:t>
            </w:r>
          </w:p>
        </w:tc>
      </w:tr>
      <w:tr w:rsidR="00FC056C" w14:paraId="3A3690DC" w14:textId="77777777" w:rsidTr="000538D2">
        <w:trPr>
          <w:jc w:val="center"/>
        </w:trPr>
        <w:tc>
          <w:tcPr>
            <w:tcW w:w="625" w:type="dxa"/>
          </w:tcPr>
          <w:p w14:paraId="27FC2308" w14:textId="68AEF55B" w:rsidR="00FC056C" w:rsidRPr="00765084" w:rsidRDefault="00FC056C" w:rsidP="000538D2">
            <w:pPr>
              <w:pStyle w:val="TMGTableText"/>
              <w:spacing w:before="10" w:after="10"/>
              <w:ind w:right="53"/>
              <w:jc w:val="right"/>
              <w:rPr>
                <w:rFonts w:eastAsiaTheme="minorEastAsia"/>
                <w:b/>
                <w:bCs/>
              </w:rPr>
            </w:pPr>
            <w:r w:rsidRPr="00765084">
              <w:rPr>
                <w:rFonts w:eastAsiaTheme="minorEastAsia"/>
                <w:b/>
                <w:bCs/>
              </w:rPr>
              <w:t>28</w:t>
            </w:r>
          </w:p>
        </w:tc>
        <w:tc>
          <w:tcPr>
            <w:tcW w:w="1351" w:type="dxa"/>
          </w:tcPr>
          <w:p w14:paraId="0ED8C2ED" w14:textId="1B0780D3" w:rsidR="00FC056C" w:rsidRPr="0051590D" w:rsidRDefault="00FC056C" w:rsidP="000538D2">
            <w:pPr>
              <w:pStyle w:val="TMGTableText"/>
              <w:spacing w:before="10" w:after="10"/>
              <w:jc w:val="center"/>
              <w:rPr>
                <w:rFonts w:eastAsiaTheme="minorEastAsia"/>
              </w:rPr>
            </w:pPr>
            <w:r w:rsidRPr="0051590D">
              <w:rPr>
                <w:rFonts w:eastAsiaTheme="minorEastAsia"/>
              </w:rPr>
              <w:t>9</w:t>
            </w:r>
            <w:r>
              <w:rPr>
                <w:rFonts w:eastAsiaTheme="minorEastAsia"/>
              </w:rPr>
              <w:t>7</w:t>
            </w:r>
            <w:r w:rsidRPr="0051590D">
              <w:rPr>
                <w:rFonts w:eastAsiaTheme="minorEastAsia"/>
              </w:rPr>
              <w:t>-10</w:t>
            </w:r>
            <w:r>
              <w:rPr>
                <w:rFonts w:eastAsiaTheme="minorEastAsia"/>
              </w:rPr>
              <w:t>1</w:t>
            </w:r>
          </w:p>
        </w:tc>
        <w:tc>
          <w:tcPr>
            <w:tcW w:w="992" w:type="dxa"/>
          </w:tcPr>
          <w:p w14:paraId="2CBAA97C" w14:textId="09E5CD30" w:rsidR="00FC056C" w:rsidRPr="0051590D" w:rsidRDefault="00FC056C" w:rsidP="000538D2">
            <w:pPr>
              <w:pStyle w:val="TMGTableText"/>
              <w:spacing w:before="10" w:after="10"/>
              <w:jc w:val="center"/>
              <w:rPr>
                <w:rFonts w:eastAsiaTheme="minorEastAsia"/>
              </w:rPr>
            </w:pPr>
            <w:r w:rsidRPr="0051590D">
              <w:rPr>
                <w:rFonts w:eastAsiaTheme="minorEastAsia"/>
              </w:rPr>
              <w:t>5</w:t>
            </w:r>
          </w:p>
        </w:tc>
        <w:tc>
          <w:tcPr>
            <w:tcW w:w="3775" w:type="dxa"/>
          </w:tcPr>
          <w:p w14:paraId="1004B40B" w14:textId="4FFD5632" w:rsidR="00FC056C" w:rsidRPr="0051590D" w:rsidRDefault="00FC056C" w:rsidP="00FC056C">
            <w:pPr>
              <w:pStyle w:val="TMGTableText"/>
              <w:spacing w:before="10" w:after="10"/>
              <w:rPr>
                <w:rFonts w:eastAsiaTheme="minorEastAsia"/>
              </w:rPr>
            </w:pPr>
            <w:r w:rsidRPr="0051590D">
              <w:rPr>
                <w:rFonts w:eastAsiaTheme="minorEastAsia"/>
              </w:rPr>
              <w:t>Bin 14 Count</w:t>
            </w:r>
            <w:r>
              <w:rPr>
                <w:rFonts w:eastAsiaTheme="minorEastAsia"/>
              </w:rPr>
              <w:t xml:space="preserve"> (BIN14)</w:t>
            </w:r>
          </w:p>
        </w:tc>
        <w:tc>
          <w:tcPr>
            <w:tcW w:w="1442" w:type="dxa"/>
          </w:tcPr>
          <w:p w14:paraId="1F7BD41A" w14:textId="44E09900" w:rsidR="00FC056C" w:rsidRDefault="00FC056C" w:rsidP="00AC2B2A">
            <w:pPr>
              <w:pStyle w:val="TMGTableText"/>
              <w:spacing w:before="10" w:after="10"/>
              <w:jc w:val="center"/>
              <w:rPr>
                <w:rFonts w:eastAsiaTheme="minorEastAsia"/>
              </w:rPr>
            </w:pPr>
            <w:r w:rsidRPr="00582A7C">
              <w:rPr>
                <w:rFonts w:eastAsiaTheme="minorEastAsia"/>
              </w:rPr>
              <w:t>Integer</w:t>
            </w:r>
          </w:p>
        </w:tc>
        <w:tc>
          <w:tcPr>
            <w:tcW w:w="1175" w:type="dxa"/>
          </w:tcPr>
          <w:p w14:paraId="6C84B592" w14:textId="775A70DC" w:rsidR="00FC056C" w:rsidRPr="0051590D" w:rsidRDefault="00FC056C" w:rsidP="00AC2B2A">
            <w:pPr>
              <w:pStyle w:val="TMGTableText"/>
              <w:spacing w:before="10" w:after="10"/>
              <w:jc w:val="center"/>
              <w:rPr>
                <w:rFonts w:eastAsiaTheme="minorEastAsia"/>
              </w:rPr>
            </w:pPr>
            <w:r>
              <w:rPr>
                <w:rFonts w:eastAsiaTheme="minorEastAsia"/>
              </w:rPr>
              <w:t>Required</w:t>
            </w:r>
          </w:p>
        </w:tc>
      </w:tr>
      <w:tr w:rsidR="00FC056C" w14:paraId="64475E70" w14:textId="77777777" w:rsidTr="000538D2">
        <w:trPr>
          <w:jc w:val="center"/>
        </w:trPr>
        <w:tc>
          <w:tcPr>
            <w:tcW w:w="625" w:type="dxa"/>
          </w:tcPr>
          <w:p w14:paraId="38D2F441" w14:textId="63A89C49" w:rsidR="00FC056C" w:rsidRPr="00765084" w:rsidRDefault="00FC056C" w:rsidP="000538D2">
            <w:pPr>
              <w:pStyle w:val="TMGTableText"/>
              <w:spacing w:before="10" w:after="10"/>
              <w:ind w:right="53"/>
              <w:jc w:val="right"/>
              <w:rPr>
                <w:rFonts w:eastAsiaTheme="minorEastAsia"/>
                <w:b/>
                <w:bCs/>
              </w:rPr>
            </w:pPr>
            <w:r w:rsidRPr="00765084">
              <w:rPr>
                <w:rFonts w:eastAsiaTheme="minorEastAsia"/>
                <w:b/>
                <w:bCs/>
              </w:rPr>
              <w:t>29</w:t>
            </w:r>
          </w:p>
        </w:tc>
        <w:tc>
          <w:tcPr>
            <w:tcW w:w="1351" w:type="dxa"/>
          </w:tcPr>
          <w:p w14:paraId="0FF12F78" w14:textId="568079CE" w:rsidR="00FC056C" w:rsidRPr="0051590D" w:rsidRDefault="00FC056C" w:rsidP="000538D2">
            <w:pPr>
              <w:pStyle w:val="TMGTableText"/>
              <w:spacing w:before="10" w:after="10"/>
              <w:jc w:val="center"/>
              <w:rPr>
                <w:rFonts w:eastAsiaTheme="minorEastAsia"/>
              </w:rPr>
            </w:pPr>
            <w:r w:rsidRPr="0051590D">
              <w:rPr>
                <w:rFonts w:eastAsiaTheme="minorEastAsia"/>
              </w:rPr>
              <w:t>10</w:t>
            </w:r>
            <w:r>
              <w:rPr>
                <w:rFonts w:eastAsiaTheme="minorEastAsia"/>
              </w:rPr>
              <w:t>2</w:t>
            </w:r>
            <w:r w:rsidRPr="0051590D">
              <w:rPr>
                <w:rFonts w:eastAsiaTheme="minorEastAsia"/>
              </w:rPr>
              <w:t>-10</w:t>
            </w:r>
            <w:r>
              <w:rPr>
                <w:rFonts w:eastAsiaTheme="minorEastAsia"/>
              </w:rPr>
              <w:t>6</w:t>
            </w:r>
          </w:p>
        </w:tc>
        <w:tc>
          <w:tcPr>
            <w:tcW w:w="992" w:type="dxa"/>
          </w:tcPr>
          <w:p w14:paraId="32B6B781" w14:textId="19CDB326" w:rsidR="00FC056C" w:rsidRPr="0051590D" w:rsidRDefault="00FC056C" w:rsidP="000538D2">
            <w:pPr>
              <w:pStyle w:val="TMGTableText"/>
              <w:spacing w:before="10" w:after="10"/>
              <w:jc w:val="center"/>
              <w:rPr>
                <w:rFonts w:eastAsiaTheme="minorEastAsia"/>
              </w:rPr>
            </w:pPr>
            <w:r w:rsidRPr="0051590D">
              <w:rPr>
                <w:rFonts w:eastAsiaTheme="minorEastAsia"/>
              </w:rPr>
              <w:t>5</w:t>
            </w:r>
          </w:p>
        </w:tc>
        <w:tc>
          <w:tcPr>
            <w:tcW w:w="3775" w:type="dxa"/>
          </w:tcPr>
          <w:p w14:paraId="26AAB073" w14:textId="035E6E15" w:rsidR="00FC056C" w:rsidRPr="0051590D" w:rsidRDefault="00FC056C" w:rsidP="00FC056C">
            <w:pPr>
              <w:pStyle w:val="TMGTableText"/>
              <w:spacing w:before="10" w:after="10"/>
              <w:rPr>
                <w:rFonts w:eastAsiaTheme="minorEastAsia"/>
              </w:rPr>
            </w:pPr>
            <w:r w:rsidRPr="0051590D">
              <w:rPr>
                <w:rFonts w:eastAsiaTheme="minorEastAsia"/>
              </w:rPr>
              <w:t>Bin 15 Count</w:t>
            </w:r>
            <w:r>
              <w:rPr>
                <w:rFonts w:eastAsiaTheme="minorEastAsia"/>
              </w:rPr>
              <w:t xml:space="preserve"> (BIN15)</w:t>
            </w:r>
          </w:p>
        </w:tc>
        <w:tc>
          <w:tcPr>
            <w:tcW w:w="1442" w:type="dxa"/>
          </w:tcPr>
          <w:p w14:paraId="7D3FE46B" w14:textId="58B1D4B9" w:rsidR="00FC056C" w:rsidRDefault="00FC056C" w:rsidP="00AC2B2A">
            <w:pPr>
              <w:pStyle w:val="TMGTableText"/>
              <w:spacing w:before="10" w:after="10"/>
              <w:jc w:val="center"/>
              <w:rPr>
                <w:rFonts w:eastAsiaTheme="minorEastAsia"/>
              </w:rPr>
            </w:pPr>
            <w:r w:rsidRPr="00DA0781">
              <w:rPr>
                <w:rFonts w:eastAsiaTheme="minorEastAsia"/>
              </w:rPr>
              <w:t>Integer</w:t>
            </w:r>
          </w:p>
        </w:tc>
        <w:tc>
          <w:tcPr>
            <w:tcW w:w="1175" w:type="dxa"/>
          </w:tcPr>
          <w:p w14:paraId="172AE95D" w14:textId="393AA6C8" w:rsidR="00FC056C" w:rsidRPr="0051590D" w:rsidRDefault="00FC056C" w:rsidP="00AC2B2A">
            <w:pPr>
              <w:pStyle w:val="TMGTableText"/>
              <w:spacing w:before="10" w:after="10"/>
              <w:jc w:val="center"/>
              <w:rPr>
                <w:rFonts w:eastAsiaTheme="minorEastAsia"/>
              </w:rPr>
            </w:pPr>
            <w:r>
              <w:rPr>
                <w:rFonts w:eastAsiaTheme="minorEastAsia"/>
              </w:rPr>
              <w:t>Required</w:t>
            </w:r>
          </w:p>
        </w:tc>
      </w:tr>
      <w:tr w:rsidR="00FC056C" w14:paraId="30D8E444" w14:textId="77777777" w:rsidTr="000538D2">
        <w:trPr>
          <w:jc w:val="center"/>
        </w:trPr>
        <w:tc>
          <w:tcPr>
            <w:tcW w:w="625" w:type="dxa"/>
          </w:tcPr>
          <w:p w14:paraId="49F222AF" w14:textId="1A1D1DE0" w:rsidR="00FC056C" w:rsidRPr="00765084" w:rsidRDefault="00FC056C" w:rsidP="000538D2">
            <w:pPr>
              <w:pStyle w:val="TMGTableText"/>
              <w:spacing w:before="10" w:after="10"/>
              <w:ind w:right="53"/>
              <w:jc w:val="right"/>
              <w:rPr>
                <w:rFonts w:eastAsiaTheme="minorEastAsia"/>
                <w:b/>
                <w:bCs/>
              </w:rPr>
            </w:pPr>
            <w:r w:rsidRPr="00765084">
              <w:rPr>
                <w:rFonts w:eastAsiaTheme="minorEastAsia"/>
                <w:b/>
                <w:bCs/>
              </w:rPr>
              <w:t>30</w:t>
            </w:r>
          </w:p>
        </w:tc>
        <w:tc>
          <w:tcPr>
            <w:tcW w:w="1351" w:type="dxa"/>
          </w:tcPr>
          <w:p w14:paraId="69298071" w14:textId="6A0FDE55" w:rsidR="00FC056C" w:rsidRPr="0051590D" w:rsidRDefault="00FC056C" w:rsidP="000538D2">
            <w:pPr>
              <w:pStyle w:val="TMGTableText"/>
              <w:spacing w:before="10" w:after="10"/>
              <w:jc w:val="center"/>
              <w:rPr>
                <w:rFonts w:eastAsiaTheme="minorEastAsia"/>
              </w:rPr>
            </w:pPr>
            <w:r w:rsidRPr="0051590D">
              <w:rPr>
                <w:rFonts w:eastAsiaTheme="minorEastAsia"/>
              </w:rPr>
              <w:t>10</w:t>
            </w:r>
            <w:r>
              <w:rPr>
                <w:rFonts w:eastAsiaTheme="minorEastAsia"/>
              </w:rPr>
              <w:t>7</w:t>
            </w:r>
            <w:r w:rsidRPr="0051590D">
              <w:rPr>
                <w:rFonts w:eastAsiaTheme="minorEastAsia"/>
              </w:rPr>
              <w:t>-11</w:t>
            </w:r>
            <w:r>
              <w:rPr>
                <w:rFonts w:eastAsiaTheme="minorEastAsia"/>
              </w:rPr>
              <w:t>1</w:t>
            </w:r>
          </w:p>
        </w:tc>
        <w:tc>
          <w:tcPr>
            <w:tcW w:w="992" w:type="dxa"/>
          </w:tcPr>
          <w:p w14:paraId="78316C54" w14:textId="7DD15969" w:rsidR="00FC056C" w:rsidRPr="0051590D" w:rsidRDefault="00FC056C" w:rsidP="000538D2">
            <w:pPr>
              <w:pStyle w:val="TMGTableText"/>
              <w:spacing w:before="10" w:after="10"/>
              <w:jc w:val="center"/>
              <w:rPr>
                <w:rFonts w:eastAsiaTheme="minorEastAsia"/>
              </w:rPr>
            </w:pPr>
            <w:r w:rsidRPr="0051590D">
              <w:rPr>
                <w:rFonts w:eastAsiaTheme="minorEastAsia"/>
              </w:rPr>
              <w:t>5</w:t>
            </w:r>
          </w:p>
        </w:tc>
        <w:tc>
          <w:tcPr>
            <w:tcW w:w="3775" w:type="dxa"/>
          </w:tcPr>
          <w:p w14:paraId="1B15C755" w14:textId="63601EFB" w:rsidR="00FC056C" w:rsidRPr="0051590D" w:rsidRDefault="00FC056C" w:rsidP="00FC056C">
            <w:pPr>
              <w:pStyle w:val="TMGTableText"/>
              <w:spacing w:before="10" w:after="10"/>
              <w:rPr>
                <w:rFonts w:eastAsiaTheme="minorEastAsia"/>
              </w:rPr>
            </w:pPr>
            <w:r w:rsidRPr="0051590D">
              <w:rPr>
                <w:rFonts w:eastAsiaTheme="minorEastAsia"/>
              </w:rPr>
              <w:t>Bin 16 Count</w:t>
            </w:r>
            <w:r>
              <w:rPr>
                <w:rFonts w:eastAsiaTheme="minorEastAsia"/>
              </w:rPr>
              <w:t xml:space="preserve"> (BIN16)</w:t>
            </w:r>
          </w:p>
        </w:tc>
        <w:tc>
          <w:tcPr>
            <w:tcW w:w="1442" w:type="dxa"/>
          </w:tcPr>
          <w:p w14:paraId="2D8CC240" w14:textId="79917D8A" w:rsidR="00FC056C" w:rsidRDefault="00FC056C" w:rsidP="00AC2B2A">
            <w:pPr>
              <w:pStyle w:val="TMGTableText"/>
              <w:spacing w:before="10" w:after="10"/>
              <w:jc w:val="center"/>
              <w:rPr>
                <w:rFonts w:eastAsiaTheme="minorEastAsia"/>
              </w:rPr>
            </w:pPr>
            <w:r w:rsidRPr="00DA0781">
              <w:rPr>
                <w:rFonts w:eastAsiaTheme="minorEastAsia"/>
              </w:rPr>
              <w:t>Integer</w:t>
            </w:r>
          </w:p>
        </w:tc>
        <w:tc>
          <w:tcPr>
            <w:tcW w:w="1175" w:type="dxa"/>
          </w:tcPr>
          <w:p w14:paraId="0C04D7D6" w14:textId="5D8A08B9" w:rsidR="00FC056C" w:rsidRPr="0051590D" w:rsidRDefault="00FC056C" w:rsidP="00AC2B2A">
            <w:pPr>
              <w:pStyle w:val="TMGTableText"/>
              <w:spacing w:before="10" w:after="10"/>
              <w:jc w:val="center"/>
              <w:rPr>
                <w:rFonts w:eastAsiaTheme="minorEastAsia"/>
              </w:rPr>
            </w:pPr>
            <w:r>
              <w:rPr>
                <w:rFonts w:eastAsiaTheme="minorEastAsia"/>
              </w:rPr>
              <w:t>Req.</w:t>
            </w:r>
            <w:r w:rsidRPr="0051590D">
              <w:rPr>
                <w:rFonts w:eastAsiaTheme="minorEastAsia"/>
              </w:rPr>
              <w:t>/O</w:t>
            </w:r>
            <w:r>
              <w:rPr>
                <w:rFonts w:eastAsiaTheme="minorEastAsia"/>
              </w:rPr>
              <w:t>pt.</w:t>
            </w:r>
          </w:p>
        </w:tc>
      </w:tr>
      <w:tr w:rsidR="00FC056C" w14:paraId="2DCEBA71" w14:textId="77777777" w:rsidTr="000538D2">
        <w:trPr>
          <w:jc w:val="center"/>
        </w:trPr>
        <w:tc>
          <w:tcPr>
            <w:tcW w:w="625" w:type="dxa"/>
          </w:tcPr>
          <w:p w14:paraId="2B3DE756" w14:textId="181D5CB9" w:rsidR="00FC056C" w:rsidRPr="00765084" w:rsidRDefault="00FC056C" w:rsidP="000538D2">
            <w:pPr>
              <w:pStyle w:val="TMGTableText"/>
              <w:spacing w:before="10" w:after="10"/>
              <w:ind w:right="53"/>
              <w:jc w:val="right"/>
              <w:rPr>
                <w:rFonts w:eastAsiaTheme="minorEastAsia"/>
                <w:b/>
                <w:bCs/>
              </w:rPr>
            </w:pPr>
            <w:r w:rsidRPr="00765084">
              <w:rPr>
                <w:rFonts w:eastAsiaTheme="minorEastAsia"/>
                <w:b/>
                <w:bCs/>
              </w:rPr>
              <w:t>31</w:t>
            </w:r>
          </w:p>
        </w:tc>
        <w:tc>
          <w:tcPr>
            <w:tcW w:w="1351" w:type="dxa"/>
          </w:tcPr>
          <w:p w14:paraId="00E09DE5" w14:textId="397AF023" w:rsidR="00FC056C" w:rsidRPr="0051590D" w:rsidRDefault="00FC056C" w:rsidP="000538D2">
            <w:pPr>
              <w:pStyle w:val="TMGTableText"/>
              <w:spacing w:before="10" w:after="10"/>
              <w:jc w:val="center"/>
              <w:rPr>
                <w:rFonts w:eastAsiaTheme="minorEastAsia"/>
              </w:rPr>
            </w:pPr>
            <w:r w:rsidRPr="0051590D">
              <w:rPr>
                <w:rFonts w:eastAsiaTheme="minorEastAsia"/>
              </w:rPr>
              <w:t>11</w:t>
            </w:r>
            <w:r>
              <w:rPr>
                <w:rFonts w:eastAsiaTheme="minorEastAsia"/>
              </w:rPr>
              <w:t>2</w:t>
            </w:r>
            <w:r w:rsidRPr="0051590D">
              <w:rPr>
                <w:rFonts w:eastAsiaTheme="minorEastAsia"/>
              </w:rPr>
              <w:t>-11</w:t>
            </w:r>
            <w:r>
              <w:rPr>
                <w:rFonts w:eastAsiaTheme="minorEastAsia"/>
              </w:rPr>
              <w:t>6</w:t>
            </w:r>
          </w:p>
        </w:tc>
        <w:tc>
          <w:tcPr>
            <w:tcW w:w="992" w:type="dxa"/>
          </w:tcPr>
          <w:p w14:paraId="441610E4" w14:textId="3C5B3AC5" w:rsidR="00FC056C" w:rsidRPr="0051590D" w:rsidRDefault="00FC056C" w:rsidP="000538D2">
            <w:pPr>
              <w:pStyle w:val="TMGTableText"/>
              <w:spacing w:before="10" w:after="10"/>
              <w:jc w:val="center"/>
              <w:rPr>
                <w:rFonts w:eastAsiaTheme="minorEastAsia"/>
              </w:rPr>
            </w:pPr>
            <w:r w:rsidRPr="0051590D">
              <w:rPr>
                <w:rFonts w:eastAsiaTheme="minorEastAsia"/>
              </w:rPr>
              <w:t>5</w:t>
            </w:r>
          </w:p>
        </w:tc>
        <w:tc>
          <w:tcPr>
            <w:tcW w:w="3775" w:type="dxa"/>
          </w:tcPr>
          <w:p w14:paraId="1D92C53C" w14:textId="12EA590F" w:rsidR="00FC056C" w:rsidRPr="0051590D" w:rsidRDefault="00FC056C" w:rsidP="00FC056C">
            <w:pPr>
              <w:pStyle w:val="TMGTableText"/>
              <w:spacing w:before="10" w:after="10"/>
              <w:rPr>
                <w:rFonts w:eastAsiaTheme="minorEastAsia"/>
              </w:rPr>
            </w:pPr>
            <w:r w:rsidRPr="0051590D">
              <w:rPr>
                <w:rFonts w:eastAsiaTheme="minorEastAsia"/>
              </w:rPr>
              <w:t>Bin 17 Count</w:t>
            </w:r>
            <w:r>
              <w:rPr>
                <w:rFonts w:eastAsiaTheme="minorEastAsia"/>
              </w:rPr>
              <w:t xml:space="preserve"> (BIN17)</w:t>
            </w:r>
          </w:p>
        </w:tc>
        <w:tc>
          <w:tcPr>
            <w:tcW w:w="1442" w:type="dxa"/>
          </w:tcPr>
          <w:p w14:paraId="22A55BE6" w14:textId="43673E7C" w:rsidR="00FC056C" w:rsidRDefault="00FC056C" w:rsidP="00AC2B2A">
            <w:pPr>
              <w:pStyle w:val="TMGTableText"/>
              <w:spacing w:before="10" w:after="10"/>
              <w:jc w:val="center"/>
              <w:rPr>
                <w:rFonts w:eastAsiaTheme="minorEastAsia"/>
              </w:rPr>
            </w:pPr>
            <w:r w:rsidRPr="00DA0781">
              <w:rPr>
                <w:rFonts w:eastAsiaTheme="minorEastAsia"/>
              </w:rPr>
              <w:t>Integer</w:t>
            </w:r>
          </w:p>
        </w:tc>
        <w:tc>
          <w:tcPr>
            <w:tcW w:w="1175" w:type="dxa"/>
          </w:tcPr>
          <w:p w14:paraId="3CC35CDF" w14:textId="6AD4F110" w:rsidR="00FC056C" w:rsidRPr="0051590D" w:rsidRDefault="00FC056C" w:rsidP="00AC2B2A">
            <w:pPr>
              <w:pStyle w:val="TMGTableText"/>
              <w:spacing w:before="10" w:after="10"/>
              <w:jc w:val="center"/>
              <w:rPr>
                <w:rFonts w:eastAsiaTheme="minorEastAsia"/>
              </w:rPr>
            </w:pPr>
            <w:r>
              <w:rPr>
                <w:rFonts w:eastAsiaTheme="minorEastAsia"/>
              </w:rPr>
              <w:t>Req.</w:t>
            </w:r>
            <w:r w:rsidRPr="0051590D">
              <w:rPr>
                <w:rFonts w:eastAsiaTheme="minorEastAsia"/>
              </w:rPr>
              <w:t>/O</w:t>
            </w:r>
            <w:r>
              <w:rPr>
                <w:rFonts w:eastAsiaTheme="minorEastAsia"/>
              </w:rPr>
              <w:t>pt.</w:t>
            </w:r>
          </w:p>
        </w:tc>
      </w:tr>
      <w:tr w:rsidR="00FC056C" w14:paraId="601B2DEB" w14:textId="77777777" w:rsidTr="000538D2">
        <w:trPr>
          <w:jc w:val="center"/>
        </w:trPr>
        <w:tc>
          <w:tcPr>
            <w:tcW w:w="625" w:type="dxa"/>
          </w:tcPr>
          <w:p w14:paraId="5A74D750" w14:textId="0630E0BC" w:rsidR="00FC056C" w:rsidRPr="00765084" w:rsidRDefault="00FC056C" w:rsidP="000538D2">
            <w:pPr>
              <w:pStyle w:val="TMGTableText"/>
              <w:spacing w:before="10" w:after="10"/>
              <w:ind w:right="53"/>
              <w:jc w:val="right"/>
              <w:rPr>
                <w:rFonts w:eastAsiaTheme="minorEastAsia"/>
                <w:b/>
                <w:bCs/>
              </w:rPr>
            </w:pPr>
            <w:r w:rsidRPr="00765084">
              <w:rPr>
                <w:rFonts w:eastAsiaTheme="minorEastAsia"/>
                <w:b/>
                <w:bCs/>
              </w:rPr>
              <w:t>32</w:t>
            </w:r>
          </w:p>
        </w:tc>
        <w:tc>
          <w:tcPr>
            <w:tcW w:w="1351" w:type="dxa"/>
          </w:tcPr>
          <w:p w14:paraId="4F7509E1" w14:textId="1C2A51C2" w:rsidR="00FC056C" w:rsidRPr="0051590D" w:rsidRDefault="00FC056C" w:rsidP="000538D2">
            <w:pPr>
              <w:pStyle w:val="TMGTableText"/>
              <w:spacing w:before="10" w:after="10"/>
              <w:jc w:val="center"/>
              <w:rPr>
                <w:rFonts w:eastAsiaTheme="minorEastAsia"/>
              </w:rPr>
            </w:pPr>
            <w:r w:rsidRPr="0051590D">
              <w:rPr>
                <w:rFonts w:eastAsiaTheme="minorEastAsia"/>
              </w:rPr>
              <w:t>11</w:t>
            </w:r>
            <w:r>
              <w:rPr>
                <w:rFonts w:eastAsiaTheme="minorEastAsia"/>
              </w:rPr>
              <w:t>7</w:t>
            </w:r>
            <w:r w:rsidRPr="0051590D">
              <w:rPr>
                <w:rFonts w:eastAsiaTheme="minorEastAsia"/>
              </w:rPr>
              <w:t>-12</w:t>
            </w:r>
            <w:r>
              <w:rPr>
                <w:rFonts w:eastAsiaTheme="minorEastAsia"/>
              </w:rPr>
              <w:t>1</w:t>
            </w:r>
          </w:p>
        </w:tc>
        <w:tc>
          <w:tcPr>
            <w:tcW w:w="992" w:type="dxa"/>
          </w:tcPr>
          <w:p w14:paraId="5808D334" w14:textId="1E8F4191" w:rsidR="00FC056C" w:rsidRPr="0051590D" w:rsidRDefault="00FC056C" w:rsidP="000538D2">
            <w:pPr>
              <w:pStyle w:val="TMGTableText"/>
              <w:spacing w:before="10" w:after="10"/>
              <w:jc w:val="center"/>
              <w:rPr>
                <w:rFonts w:eastAsiaTheme="minorEastAsia"/>
              </w:rPr>
            </w:pPr>
            <w:r w:rsidRPr="0051590D">
              <w:rPr>
                <w:rFonts w:eastAsiaTheme="minorEastAsia"/>
              </w:rPr>
              <w:t>5</w:t>
            </w:r>
          </w:p>
        </w:tc>
        <w:tc>
          <w:tcPr>
            <w:tcW w:w="3775" w:type="dxa"/>
          </w:tcPr>
          <w:p w14:paraId="659B6341" w14:textId="78D31317" w:rsidR="00FC056C" w:rsidRPr="0051590D" w:rsidRDefault="00FC056C" w:rsidP="00FC056C">
            <w:pPr>
              <w:pStyle w:val="TMGTableText"/>
              <w:spacing w:before="10" w:after="10"/>
              <w:rPr>
                <w:rFonts w:eastAsiaTheme="minorEastAsia"/>
              </w:rPr>
            </w:pPr>
            <w:r w:rsidRPr="0051590D">
              <w:rPr>
                <w:rFonts w:eastAsiaTheme="minorEastAsia"/>
              </w:rPr>
              <w:t>Bin 18 Count</w:t>
            </w:r>
            <w:r>
              <w:rPr>
                <w:rFonts w:eastAsiaTheme="minorEastAsia"/>
              </w:rPr>
              <w:t xml:space="preserve"> (BIN18)</w:t>
            </w:r>
          </w:p>
        </w:tc>
        <w:tc>
          <w:tcPr>
            <w:tcW w:w="1442" w:type="dxa"/>
          </w:tcPr>
          <w:p w14:paraId="153BAE00" w14:textId="54905B21" w:rsidR="00FC056C" w:rsidRDefault="00FC056C" w:rsidP="00AC2B2A">
            <w:pPr>
              <w:pStyle w:val="TMGTableText"/>
              <w:spacing w:before="10" w:after="10"/>
              <w:jc w:val="center"/>
              <w:rPr>
                <w:rFonts w:eastAsiaTheme="minorEastAsia"/>
              </w:rPr>
            </w:pPr>
            <w:r w:rsidRPr="00DA0781">
              <w:rPr>
                <w:rFonts w:eastAsiaTheme="minorEastAsia"/>
              </w:rPr>
              <w:t>Integer</w:t>
            </w:r>
          </w:p>
        </w:tc>
        <w:tc>
          <w:tcPr>
            <w:tcW w:w="1175" w:type="dxa"/>
          </w:tcPr>
          <w:p w14:paraId="2D8EF35E" w14:textId="4104F1E8" w:rsidR="00FC056C" w:rsidRPr="0051590D" w:rsidRDefault="00FC056C" w:rsidP="00AC2B2A">
            <w:pPr>
              <w:pStyle w:val="TMGTableText"/>
              <w:spacing w:before="10" w:after="10"/>
              <w:jc w:val="center"/>
              <w:rPr>
                <w:rFonts w:eastAsiaTheme="minorEastAsia"/>
              </w:rPr>
            </w:pPr>
            <w:r>
              <w:rPr>
                <w:rFonts w:eastAsiaTheme="minorEastAsia"/>
              </w:rPr>
              <w:t>Req.</w:t>
            </w:r>
            <w:r w:rsidRPr="0051590D">
              <w:rPr>
                <w:rFonts w:eastAsiaTheme="minorEastAsia"/>
              </w:rPr>
              <w:t>/O</w:t>
            </w:r>
            <w:r>
              <w:rPr>
                <w:rFonts w:eastAsiaTheme="minorEastAsia"/>
              </w:rPr>
              <w:t>pt.</w:t>
            </w:r>
          </w:p>
        </w:tc>
      </w:tr>
      <w:tr w:rsidR="00FC056C" w14:paraId="19D49855" w14:textId="77777777" w:rsidTr="000538D2">
        <w:trPr>
          <w:jc w:val="center"/>
        </w:trPr>
        <w:tc>
          <w:tcPr>
            <w:tcW w:w="625" w:type="dxa"/>
          </w:tcPr>
          <w:p w14:paraId="479AE3A5" w14:textId="75C120DA" w:rsidR="00FC056C" w:rsidRPr="00765084" w:rsidRDefault="00FC056C" w:rsidP="000538D2">
            <w:pPr>
              <w:pStyle w:val="TMGTableText"/>
              <w:spacing w:before="10" w:after="10"/>
              <w:ind w:right="53"/>
              <w:jc w:val="right"/>
              <w:rPr>
                <w:rFonts w:eastAsiaTheme="minorEastAsia"/>
                <w:b/>
                <w:bCs/>
              </w:rPr>
            </w:pPr>
            <w:r w:rsidRPr="00765084">
              <w:rPr>
                <w:rFonts w:eastAsiaTheme="minorEastAsia"/>
                <w:b/>
                <w:bCs/>
              </w:rPr>
              <w:t>33</w:t>
            </w:r>
          </w:p>
        </w:tc>
        <w:tc>
          <w:tcPr>
            <w:tcW w:w="1351" w:type="dxa"/>
          </w:tcPr>
          <w:p w14:paraId="1C1C1ECA" w14:textId="0D1647A8" w:rsidR="00FC056C" w:rsidRPr="0051590D" w:rsidRDefault="00FC056C" w:rsidP="000538D2">
            <w:pPr>
              <w:pStyle w:val="TMGTableText"/>
              <w:spacing w:before="10" w:after="10"/>
              <w:jc w:val="center"/>
              <w:rPr>
                <w:rFonts w:eastAsiaTheme="minorEastAsia"/>
              </w:rPr>
            </w:pPr>
            <w:r w:rsidRPr="0051590D">
              <w:rPr>
                <w:rFonts w:eastAsiaTheme="minorEastAsia"/>
              </w:rPr>
              <w:t>12</w:t>
            </w:r>
            <w:r>
              <w:rPr>
                <w:rFonts w:eastAsiaTheme="minorEastAsia"/>
              </w:rPr>
              <w:t>2</w:t>
            </w:r>
            <w:r w:rsidRPr="0051590D">
              <w:rPr>
                <w:rFonts w:eastAsiaTheme="minorEastAsia"/>
              </w:rPr>
              <w:t>-12</w:t>
            </w:r>
            <w:r>
              <w:rPr>
                <w:rFonts w:eastAsiaTheme="minorEastAsia"/>
              </w:rPr>
              <w:t>6</w:t>
            </w:r>
          </w:p>
        </w:tc>
        <w:tc>
          <w:tcPr>
            <w:tcW w:w="992" w:type="dxa"/>
          </w:tcPr>
          <w:p w14:paraId="7DD5E9CB" w14:textId="2AC7A045" w:rsidR="00FC056C" w:rsidRPr="0051590D" w:rsidRDefault="00FC056C" w:rsidP="000538D2">
            <w:pPr>
              <w:pStyle w:val="TMGTableText"/>
              <w:spacing w:before="10" w:after="10"/>
              <w:jc w:val="center"/>
              <w:rPr>
                <w:rFonts w:eastAsiaTheme="minorEastAsia"/>
              </w:rPr>
            </w:pPr>
            <w:r w:rsidRPr="0051590D">
              <w:rPr>
                <w:rFonts w:eastAsiaTheme="minorEastAsia"/>
              </w:rPr>
              <w:t>5</w:t>
            </w:r>
          </w:p>
        </w:tc>
        <w:tc>
          <w:tcPr>
            <w:tcW w:w="3775" w:type="dxa"/>
          </w:tcPr>
          <w:p w14:paraId="12771CB7" w14:textId="475C3F4C" w:rsidR="00FC056C" w:rsidRPr="0051590D" w:rsidRDefault="00FC056C" w:rsidP="00FC056C">
            <w:pPr>
              <w:pStyle w:val="TMGTableText"/>
              <w:spacing w:before="10" w:after="10"/>
              <w:rPr>
                <w:rFonts w:eastAsiaTheme="minorEastAsia"/>
              </w:rPr>
            </w:pPr>
            <w:r w:rsidRPr="0051590D">
              <w:rPr>
                <w:rFonts w:eastAsiaTheme="minorEastAsia"/>
              </w:rPr>
              <w:t>Bin 19 Count</w:t>
            </w:r>
            <w:r>
              <w:rPr>
                <w:rFonts w:eastAsiaTheme="minorEastAsia"/>
              </w:rPr>
              <w:t xml:space="preserve"> (BIN19)</w:t>
            </w:r>
          </w:p>
        </w:tc>
        <w:tc>
          <w:tcPr>
            <w:tcW w:w="1442" w:type="dxa"/>
          </w:tcPr>
          <w:p w14:paraId="7E9557A4" w14:textId="38F52458" w:rsidR="00FC056C" w:rsidRDefault="00FC056C" w:rsidP="00AC2B2A">
            <w:pPr>
              <w:pStyle w:val="TMGTableText"/>
              <w:spacing w:before="10" w:after="10"/>
              <w:jc w:val="center"/>
              <w:rPr>
                <w:rFonts w:eastAsiaTheme="minorEastAsia"/>
              </w:rPr>
            </w:pPr>
            <w:r w:rsidRPr="00DA0781">
              <w:rPr>
                <w:rFonts w:eastAsiaTheme="minorEastAsia"/>
              </w:rPr>
              <w:t>Integer</w:t>
            </w:r>
          </w:p>
        </w:tc>
        <w:tc>
          <w:tcPr>
            <w:tcW w:w="1175" w:type="dxa"/>
          </w:tcPr>
          <w:p w14:paraId="42503380" w14:textId="2F8026BA" w:rsidR="00FC056C" w:rsidRPr="0051590D" w:rsidRDefault="00FC056C" w:rsidP="00AC2B2A">
            <w:pPr>
              <w:pStyle w:val="TMGTableText"/>
              <w:spacing w:before="10" w:after="10"/>
              <w:jc w:val="center"/>
              <w:rPr>
                <w:rFonts w:eastAsiaTheme="minorEastAsia"/>
              </w:rPr>
            </w:pPr>
            <w:r>
              <w:rPr>
                <w:rFonts w:eastAsiaTheme="minorEastAsia"/>
              </w:rPr>
              <w:t>Req.</w:t>
            </w:r>
            <w:r w:rsidRPr="0051590D">
              <w:rPr>
                <w:rFonts w:eastAsiaTheme="minorEastAsia"/>
              </w:rPr>
              <w:t>/O</w:t>
            </w:r>
            <w:r>
              <w:rPr>
                <w:rFonts w:eastAsiaTheme="minorEastAsia"/>
              </w:rPr>
              <w:t>pt.</w:t>
            </w:r>
          </w:p>
        </w:tc>
      </w:tr>
      <w:tr w:rsidR="00FC056C" w14:paraId="09499FB7" w14:textId="77777777" w:rsidTr="000538D2">
        <w:trPr>
          <w:jc w:val="center"/>
        </w:trPr>
        <w:tc>
          <w:tcPr>
            <w:tcW w:w="625" w:type="dxa"/>
          </w:tcPr>
          <w:p w14:paraId="1C872AB4" w14:textId="625A707B" w:rsidR="00FC056C" w:rsidRPr="00765084" w:rsidRDefault="00FC056C" w:rsidP="000538D2">
            <w:pPr>
              <w:pStyle w:val="TMGTableText"/>
              <w:spacing w:before="10" w:after="10"/>
              <w:ind w:right="53"/>
              <w:jc w:val="right"/>
              <w:rPr>
                <w:rFonts w:eastAsiaTheme="minorEastAsia"/>
                <w:b/>
                <w:bCs/>
              </w:rPr>
            </w:pPr>
            <w:r w:rsidRPr="00765084">
              <w:rPr>
                <w:rFonts w:eastAsiaTheme="minorEastAsia"/>
                <w:b/>
                <w:bCs/>
              </w:rPr>
              <w:t>34</w:t>
            </w:r>
          </w:p>
        </w:tc>
        <w:tc>
          <w:tcPr>
            <w:tcW w:w="1351" w:type="dxa"/>
          </w:tcPr>
          <w:p w14:paraId="087E05F3" w14:textId="429A0064" w:rsidR="00FC056C" w:rsidRPr="0051590D" w:rsidRDefault="00FC056C" w:rsidP="000538D2">
            <w:pPr>
              <w:pStyle w:val="TMGTableText"/>
              <w:spacing w:before="10" w:after="10"/>
              <w:jc w:val="center"/>
              <w:rPr>
                <w:rFonts w:eastAsiaTheme="minorEastAsia"/>
              </w:rPr>
            </w:pPr>
            <w:r w:rsidRPr="0051590D">
              <w:rPr>
                <w:rFonts w:eastAsiaTheme="minorEastAsia"/>
              </w:rPr>
              <w:t>12</w:t>
            </w:r>
            <w:r>
              <w:rPr>
                <w:rFonts w:eastAsiaTheme="minorEastAsia"/>
              </w:rPr>
              <w:t>7</w:t>
            </w:r>
            <w:r w:rsidRPr="0051590D">
              <w:rPr>
                <w:rFonts w:eastAsiaTheme="minorEastAsia"/>
              </w:rPr>
              <w:t>-13</w:t>
            </w:r>
            <w:r>
              <w:rPr>
                <w:rFonts w:eastAsiaTheme="minorEastAsia"/>
              </w:rPr>
              <w:t>1</w:t>
            </w:r>
          </w:p>
        </w:tc>
        <w:tc>
          <w:tcPr>
            <w:tcW w:w="992" w:type="dxa"/>
          </w:tcPr>
          <w:p w14:paraId="65B6E47C" w14:textId="290DD0C6" w:rsidR="00FC056C" w:rsidRPr="0051590D" w:rsidRDefault="00FC056C" w:rsidP="000538D2">
            <w:pPr>
              <w:pStyle w:val="TMGTableText"/>
              <w:spacing w:before="10" w:after="10"/>
              <w:jc w:val="center"/>
              <w:rPr>
                <w:rFonts w:eastAsiaTheme="minorEastAsia"/>
              </w:rPr>
            </w:pPr>
            <w:r w:rsidRPr="0051590D">
              <w:rPr>
                <w:rFonts w:eastAsiaTheme="minorEastAsia"/>
              </w:rPr>
              <w:t>5</w:t>
            </w:r>
          </w:p>
        </w:tc>
        <w:tc>
          <w:tcPr>
            <w:tcW w:w="3775" w:type="dxa"/>
          </w:tcPr>
          <w:p w14:paraId="34686581" w14:textId="120F0A9C" w:rsidR="00FC056C" w:rsidRPr="0051590D" w:rsidRDefault="00FC056C" w:rsidP="00FC056C">
            <w:pPr>
              <w:pStyle w:val="TMGTableText"/>
              <w:spacing w:before="10" w:after="10"/>
              <w:rPr>
                <w:rFonts w:eastAsiaTheme="minorEastAsia"/>
              </w:rPr>
            </w:pPr>
            <w:r w:rsidRPr="0051590D">
              <w:rPr>
                <w:rFonts w:eastAsiaTheme="minorEastAsia"/>
              </w:rPr>
              <w:t>Bin 20 Count</w:t>
            </w:r>
            <w:r>
              <w:rPr>
                <w:rFonts w:eastAsiaTheme="minorEastAsia"/>
              </w:rPr>
              <w:t xml:space="preserve"> (BIN20)</w:t>
            </w:r>
          </w:p>
        </w:tc>
        <w:tc>
          <w:tcPr>
            <w:tcW w:w="1442" w:type="dxa"/>
          </w:tcPr>
          <w:p w14:paraId="240AD464" w14:textId="6616AB81" w:rsidR="00FC056C" w:rsidRDefault="00FC056C" w:rsidP="00AC2B2A">
            <w:pPr>
              <w:pStyle w:val="TMGTableText"/>
              <w:spacing w:before="10" w:after="10"/>
              <w:jc w:val="center"/>
              <w:rPr>
                <w:rFonts w:eastAsiaTheme="minorEastAsia"/>
              </w:rPr>
            </w:pPr>
            <w:r w:rsidRPr="00DA0781">
              <w:rPr>
                <w:rFonts w:eastAsiaTheme="minorEastAsia"/>
              </w:rPr>
              <w:t>Integer</w:t>
            </w:r>
          </w:p>
        </w:tc>
        <w:tc>
          <w:tcPr>
            <w:tcW w:w="1175" w:type="dxa"/>
          </w:tcPr>
          <w:p w14:paraId="4E82C197" w14:textId="0EBE73D8" w:rsidR="00FC056C" w:rsidRPr="0051590D" w:rsidRDefault="00FC056C" w:rsidP="00AC2B2A">
            <w:pPr>
              <w:pStyle w:val="TMGTableText"/>
              <w:spacing w:before="10" w:after="10"/>
              <w:jc w:val="center"/>
              <w:rPr>
                <w:rFonts w:eastAsiaTheme="minorEastAsia"/>
              </w:rPr>
            </w:pPr>
            <w:r>
              <w:rPr>
                <w:rFonts w:eastAsiaTheme="minorEastAsia"/>
              </w:rPr>
              <w:t>Req.</w:t>
            </w:r>
            <w:r w:rsidRPr="0051590D">
              <w:rPr>
                <w:rFonts w:eastAsiaTheme="minorEastAsia"/>
              </w:rPr>
              <w:t>/O</w:t>
            </w:r>
            <w:r>
              <w:rPr>
                <w:rFonts w:eastAsiaTheme="minorEastAsia"/>
              </w:rPr>
              <w:t>pt.</w:t>
            </w:r>
          </w:p>
        </w:tc>
      </w:tr>
      <w:tr w:rsidR="00FC056C" w14:paraId="2E917FBB" w14:textId="77777777" w:rsidTr="000538D2">
        <w:trPr>
          <w:jc w:val="center"/>
        </w:trPr>
        <w:tc>
          <w:tcPr>
            <w:tcW w:w="625" w:type="dxa"/>
          </w:tcPr>
          <w:p w14:paraId="06B2672F" w14:textId="3B6EE23C" w:rsidR="00FC056C" w:rsidRPr="00765084" w:rsidRDefault="00FC056C" w:rsidP="000538D2">
            <w:pPr>
              <w:pStyle w:val="TMGTableText"/>
              <w:spacing w:before="10" w:after="10"/>
              <w:ind w:right="53"/>
              <w:jc w:val="right"/>
              <w:rPr>
                <w:rFonts w:eastAsiaTheme="minorEastAsia"/>
                <w:b/>
                <w:bCs/>
              </w:rPr>
            </w:pPr>
            <w:r w:rsidRPr="00765084">
              <w:rPr>
                <w:rFonts w:eastAsiaTheme="minorEastAsia"/>
                <w:b/>
                <w:bCs/>
              </w:rPr>
              <w:t>35</w:t>
            </w:r>
          </w:p>
        </w:tc>
        <w:tc>
          <w:tcPr>
            <w:tcW w:w="1351" w:type="dxa"/>
          </w:tcPr>
          <w:p w14:paraId="052D2848" w14:textId="27E9FD8D" w:rsidR="00FC056C" w:rsidRPr="0051590D" w:rsidRDefault="00FC056C" w:rsidP="000538D2">
            <w:pPr>
              <w:pStyle w:val="TMGTableText"/>
              <w:spacing w:before="10" w:after="10"/>
              <w:jc w:val="center"/>
              <w:rPr>
                <w:rFonts w:eastAsiaTheme="minorEastAsia"/>
              </w:rPr>
            </w:pPr>
            <w:r w:rsidRPr="0051590D">
              <w:rPr>
                <w:rFonts w:eastAsiaTheme="minorEastAsia"/>
              </w:rPr>
              <w:t>13</w:t>
            </w:r>
            <w:r>
              <w:rPr>
                <w:rFonts w:eastAsiaTheme="minorEastAsia"/>
              </w:rPr>
              <w:t>2</w:t>
            </w:r>
            <w:r w:rsidRPr="0051590D">
              <w:rPr>
                <w:rFonts w:eastAsiaTheme="minorEastAsia"/>
              </w:rPr>
              <w:t>-13</w:t>
            </w:r>
            <w:r>
              <w:rPr>
                <w:rFonts w:eastAsiaTheme="minorEastAsia"/>
              </w:rPr>
              <w:t>6</w:t>
            </w:r>
          </w:p>
        </w:tc>
        <w:tc>
          <w:tcPr>
            <w:tcW w:w="992" w:type="dxa"/>
          </w:tcPr>
          <w:p w14:paraId="306F1117" w14:textId="56B0D753" w:rsidR="00FC056C" w:rsidRPr="0051590D" w:rsidRDefault="00FC056C" w:rsidP="000538D2">
            <w:pPr>
              <w:pStyle w:val="TMGTableText"/>
              <w:spacing w:before="10" w:after="10"/>
              <w:jc w:val="center"/>
              <w:rPr>
                <w:rFonts w:eastAsiaTheme="minorEastAsia"/>
              </w:rPr>
            </w:pPr>
            <w:r w:rsidRPr="0051590D">
              <w:rPr>
                <w:rFonts w:eastAsiaTheme="minorEastAsia"/>
              </w:rPr>
              <w:t>5</w:t>
            </w:r>
          </w:p>
        </w:tc>
        <w:tc>
          <w:tcPr>
            <w:tcW w:w="3775" w:type="dxa"/>
          </w:tcPr>
          <w:p w14:paraId="2FEF59C1" w14:textId="59416178" w:rsidR="00FC056C" w:rsidRPr="0051590D" w:rsidRDefault="00FC056C" w:rsidP="00FC056C">
            <w:pPr>
              <w:pStyle w:val="TMGTableText"/>
              <w:spacing w:before="10" w:after="10"/>
              <w:rPr>
                <w:rFonts w:eastAsiaTheme="minorEastAsia"/>
              </w:rPr>
            </w:pPr>
            <w:r w:rsidRPr="0051590D">
              <w:rPr>
                <w:rFonts w:eastAsiaTheme="minorEastAsia"/>
              </w:rPr>
              <w:t>Bin 21 Count</w:t>
            </w:r>
            <w:r>
              <w:rPr>
                <w:rFonts w:eastAsiaTheme="minorEastAsia"/>
              </w:rPr>
              <w:t xml:space="preserve"> (BIN21)</w:t>
            </w:r>
          </w:p>
        </w:tc>
        <w:tc>
          <w:tcPr>
            <w:tcW w:w="1442" w:type="dxa"/>
          </w:tcPr>
          <w:p w14:paraId="0C530F1E" w14:textId="3C451C06" w:rsidR="00FC056C" w:rsidRDefault="00FC056C" w:rsidP="00AC2B2A">
            <w:pPr>
              <w:pStyle w:val="TMGTableText"/>
              <w:spacing w:before="10" w:after="10"/>
              <w:jc w:val="center"/>
              <w:rPr>
                <w:rFonts w:eastAsiaTheme="minorEastAsia"/>
              </w:rPr>
            </w:pPr>
            <w:r w:rsidRPr="00DA0781">
              <w:rPr>
                <w:rFonts w:eastAsiaTheme="minorEastAsia"/>
              </w:rPr>
              <w:t>Integer</w:t>
            </w:r>
          </w:p>
        </w:tc>
        <w:tc>
          <w:tcPr>
            <w:tcW w:w="1175" w:type="dxa"/>
          </w:tcPr>
          <w:p w14:paraId="6977A8BE" w14:textId="4250ED71" w:rsidR="00FC056C" w:rsidRPr="0051590D" w:rsidRDefault="00FC056C" w:rsidP="00AC2B2A">
            <w:pPr>
              <w:pStyle w:val="TMGTableText"/>
              <w:spacing w:before="10" w:after="10"/>
              <w:jc w:val="center"/>
              <w:rPr>
                <w:rFonts w:eastAsiaTheme="minorEastAsia"/>
              </w:rPr>
            </w:pPr>
            <w:r>
              <w:rPr>
                <w:rFonts w:eastAsiaTheme="minorEastAsia"/>
              </w:rPr>
              <w:t>Req.</w:t>
            </w:r>
            <w:r w:rsidRPr="0051590D">
              <w:rPr>
                <w:rFonts w:eastAsiaTheme="minorEastAsia"/>
              </w:rPr>
              <w:t>/O</w:t>
            </w:r>
            <w:r>
              <w:rPr>
                <w:rFonts w:eastAsiaTheme="minorEastAsia"/>
              </w:rPr>
              <w:t>pt.</w:t>
            </w:r>
          </w:p>
        </w:tc>
      </w:tr>
      <w:tr w:rsidR="00FC056C" w14:paraId="45B0A56C" w14:textId="77777777" w:rsidTr="000538D2">
        <w:trPr>
          <w:jc w:val="center"/>
        </w:trPr>
        <w:tc>
          <w:tcPr>
            <w:tcW w:w="625" w:type="dxa"/>
          </w:tcPr>
          <w:p w14:paraId="6786E99A" w14:textId="35B1EB08" w:rsidR="00FC056C" w:rsidRPr="00765084" w:rsidRDefault="00FC056C" w:rsidP="000538D2">
            <w:pPr>
              <w:pStyle w:val="TMGTableText"/>
              <w:spacing w:before="10" w:after="10"/>
              <w:ind w:right="53"/>
              <w:jc w:val="right"/>
              <w:rPr>
                <w:rFonts w:eastAsiaTheme="minorEastAsia"/>
                <w:b/>
                <w:bCs/>
              </w:rPr>
            </w:pPr>
            <w:r w:rsidRPr="00765084">
              <w:rPr>
                <w:rFonts w:eastAsiaTheme="minorEastAsia"/>
                <w:b/>
                <w:bCs/>
              </w:rPr>
              <w:t>36</w:t>
            </w:r>
          </w:p>
        </w:tc>
        <w:tc>
          <w:tcPr>
            <w:tcW w:w="1351" w:type="dxa"/>
          </w:tcPr>
          <w:p w14:paraId="3DBCB6AD" w14:textId="059269BA" w:rsidR="00FC056C" w:rsidRPr="0051590D" w:rsidRDefault="00FC056C" w:rsidP="000538D2">
            <w:pPr>
              <w:pStyle w:val="TMGTableText"/>
              <w:spacing w:before="10" w:after="10"/>
              <w:jc w:val="center"/>
              <w:rPr>
                <w:rFonts w:eastAsiaTheme="minorEastAsia"/>
              </w:rPr>
            </w:pPr>
            <w:r w:rsidRPr="0051590D">
              <w:rPr>
                <w:rFonts w:eastAsiaTheme="minorEastAsia"/>
              </w:rPr>
              <w:t>13</w:t>
            </w:r>
            <w:r>
              <w:rPr>
                <w:rFonts w:eastAsiaTheme="minorEastAsia"/>
              </w:rPr>
              <w:t>7</w:t>
            </w:r>
            <w:r w:rsidRPr="0051590D">
              <w:rPr>
                <w:rFonts w:eastAsiaTheme="minorEastAsia"/>
              </w:rPr>
              <w:t>-14</w:t>
            </w:r>
            <w:r>
              <w:rPr>
                <w:rFonts w:eastAsiaTheme="minorEastAsia"/>
              </w:rPr>
              <w:t>1</w:t>
            </w:r>
          </w:p>
        </w:tc>
        <w:tc>
          <w:tcPr>
            <w:tcW w:w="992" w:type="dxa"/>
          </w:tcPr>
          <w:p w14:paraId="0BB8DCBF" w14:textId="5CEEB38D" w:rsidR="00FC056C" w:rsidRPr="0051590D" w:rsidRDefault="00FC056C" w:rsidP="000538D2">
            <w:pPr>
              <w:pStyle w:val="TMGTableText"/>
              <w:spacing w:before="10" w:after="10"/>
              <w:jc w:val="center"/>
              <w:rPr>
                <w:rFonts w:eastAsiaTheme="minorEastAsia"/>
              </w:rPr>
            </w:pPr>
            <w:r w:rsidRPr="0051590D">
              <w:rPr>
                <w:rFonts w:eastAsiaTheme="minorEastAsia"/>
              </w:rPr>
              <w:t>5</w:t>
            </w:r>
          </w:p>
        </w:tc>
        <w:tc>
          <w:tcPr>
            <w:tcW w:w="3775" w:type="dxa"/>
          </w:tcPr>
          <w:p w14:paraId="4DF95351" w14:textId="4C6AFDCA" w:rsidR="00FC056C" w:rsidRPr="0051590D" w:rsidRDefault="00FC056C" w:rsidP="00FC056C">
            <w:pPr>
              <w:pStyle w:val="TMGTableText"/>
              <w:spacing w:before="10" w:after="10"/>
              <w:rPr>
                <w:rFonts w:eastAsiaTheme="minorEastAsia"/>
              </w:rPr>
            </w:pPr>
            <w:r w:rsidRPr="0051590D">
              <w:rPr>
                <w:rFonts w:eastAsiaTheme="minorEastAsia"/>
              </w:rPr>
              <w:t>Bin 22 Count</w:t>
            </w:r>
            <w:r>
              <w:rPr>
                <w:rFonts w:eastAsiaTheme="minorEastAsia"/>
              </w:rPr>
              <w:t xml:space="preserve"> (BIN22)</w:t>
            </w:r>
          </w:p>
        </w:tc>
        <w:tc>
          <w:tcPr>
            <w:tcW w:w="1442" w:type="dxa"/>
          </w:tcPr>
          <w:p w14:paraId="70FE32A6" w14:textId="3F9718DB" w:rsidR="00FC056C" w:rsidRDefault="00FC056C" w:rsidP="00AC2B2A">
            <w:pPr>
              <w:pStyle w:val="TMGTableText"/>
              <w:spacing w:before="10" w:after="10"/>
              <w:jc w:val="center"/>
              <w:rPr>
                <w:rFonts w:eastAsiaTheme="minorEastAsia"/>
              </w:rPr>
            </w:pPr>
            <w:r w:rsidRPr="00DA0781">
              <w:rPr>
                <w:rFonts w:eastAsiaTheme="minorEastAsia"/>
              </w:rPr>
              <w:t>Integer</w:t>
            </w:r>
          </w:p>
        </w:tc>
        <w:tc>
          <w:tcPr>
            <w:tcW w:w="1175" w:type="dxa"/>
          </w:tcPr>
          <w:p w14:paraId="62E9FD8B" w14:textId="22A167AC" w:rsidR="00FC056C" w:rsidRPr="0051590D" w:rsidRDefault="00FC056C" w:rsidP="00AC2B2A">
            <w:pPr>
              <w:pStyle w:val="TMGTableText"/>
              <w:spacing w:before="10" w:after="10"/>
              <w:jc w:val="center"/>
              <w:rPr>
                <w:rFonts w:eastAsiaTheme="minorEastAsia"/>
              </w:rPr>
            </w:pPr>
            <w:r>
              <w:rPr>
                <w:rFonts w:eastAsiaTheme="minorEastAsia"/>
              </w:rPr>
              <w:t>Req.</w:t>
            </w:r>
            <w:r w:rsidRPr="0051590D">
              <w:rPr>
                <w:rFonts w:eastAsiaTheme="minorEastAsia"/>
              </w:rPr>
              <w:t>/O</w:t>
            </w:r>
            <w:r>
              <w:rPr>
                <w:rFonts w:eastAsiaTheme="minorEastAsia"/>
              </w:rPr>
              <w:t>pt.</w:t>
            </w:r>
          </w:p>
        </w:tc>
      </w:tr>
      <w:tr w:rsidR="00FC056C" w14:paraId="7E4E43A3" w14:textId="77777777" w:rsidTr="000538D2">
        <w:trPr>
          <w:jc w:val="center"/>
        </w:trPr>
        <w:tc>
          <w:tcPr>
            <w:tcW w:w="625" w:type="dxa"/>
          </w:tcPr>
          <w:p w14:paraId="6791F9E3" w14:textId="2512EA5B" w:rsidR="00FC056C" w:rsidRPr="00765084" w:rsidRDefault="00FC056C" w:rsidP="000538D2">
            <w:pPr>
              <w:pStyle w:val="TMGTableText"/>
              <w:spacing w:before="10" w:after="10"/>
              <w:ind w:right="53"/>
              <w:jc w:val="right"/>
              <w:rPr>
                <w:rFonts w:eastAsiaTheme="minorEastAsia"/>
                <w:b/>
                <w:bCs/>
              </w:rPr>
            </w:pPr>
            <w:r w:rsidRPr="00765084">
              <w:rPr>
                <w:rFonts w:eastAsiaTheme="minorEastAsia"/>
                <w:b/>
                <w:bCs/>
              </w:rPr>
              <w:t>37</w:t>
            </w:r>
          </w:p>
        </w:tc>
        <w:tc>
          <w:tcPr>
            <w:tcW w:w="1351" w:type="dxa"/>
          </w:tcPr>
          <w:p w14:paraId="662C7A44" w14:textId="61B579BA" w:rsidR="00FC056C" w:rsidRPr="0051590D" w:rsidRDefault="00FC056C" w:rsidP="000538D2">
            <w:pPr>
              <w:pStyle w:val="TMGTableText"/>
              <w:spacing w:before="10" w:after="10"/>
              <w:jc w:val="center"/>
              <w:rPr>
                <w:rFonts w:eastAsiaTheme="minorEastAsia"/>
              </w:rPr>
            </w:pPr>
            <w:r w:rsidRPr="0051590D">
              <w:rPr>
                <w:rFonts w:eastAsiaTheme="minorEastAsia"/>
              </w:rPr>
              <w:t>14</w:t>
            </w:r>
            <w:r>
              <w:rPr>
                <w:rFonts w:eastAsiaTheme="minorEastAsia"/>
              </w:rPr>
              <w:t>2</w:t>
            </w:r>
            <w:r w:rsidRPr="0051590D">
              <w:rPr>
                <w:rFonts w:eastAsiaTheme="minorEastAsia"/>
              </w:rPr>
              <w:t>-14</w:t>
            </w:r>
            <w:r>
              <w:rPr>
                <w:rFonts w:eastAsiaTheme="minorEastAsia"/>
              </w:rPr>
              <w:t>6</w:t>
            </w:r>
          </w:p>
        </w:tc>
        <w:tc>
          <w:tcPr>
            <w:tcW w:w="992" w:type="dxa"/>
          </w:tcPr>
          <w:p w14:paraId="535B65C2" w14:textId="0A0BB827" w:rsidR="00FC056C" w:rsidRPr="0051590D" w:rsidRDefault="00FC056C" w:rsidP="000538D2">
            <w:pPr>
              <w:pStyle w:val="TMGTableText"/>
              <w:spacing w:before="10" w:after="10"/>
              <w:jc w:val="center"/>
              <w:rPr>
                <w:rFonts w:eastAsiaTheme="minorEastAsia"/>
              </w:rPr>
            </w:pPr>
            <w:r w:rsidRPr="0051590D">
              <w:rPr>
                <w:rFonts w:eastAsiaTheme="minorEastAsia"/>
              </w:rPr>
              <w:t>5</w:t>
            </w:r>
          </w:p>
        </w:tc>
        <w:tc>
          <w:tcPr>
            <w:tcW w:w="3775" w:type="dxa"/>
          </w:tcPr>
          <w:p w14:paraId="745BA242" w14:textId="7EA47300" w:rsidR="00FC056C" w:rsidRPr="0051590D" w:rsidRDefault="00FC056C" w:rsidP="00FC056C">
            <w:pPr>
              <w:pStyle w:val="TMGTableText"/>
              <w:spacing w:before="10" w:after="10"/>
              <w:rPr>
                <w:rFonts w:eastAsiaTheme="minorEastAsia"/>
              </w:rPr>
            </w:pPr>
            <w:r w:rsidRPr="0051590D">
              <w:rPr>
                <w:rFonts w:eastAsiaTheme="minorEastAsia"/>
              </w:rPr>
              <w:t>Bin 23 Count</w:t>
            </w:r>
            <w:r>
              <w:rPr>
                <w:rFonts w:eastAsiaTheme="minorEastAsia"/>
              </w:rPr>
              <w:t xml:space="preserve"> (BIN23)</w:t>
            </w:r>
          </w:p>
        </w:tc>
        <w:tc>
          <w:tcPr>
            <w:tcW w:w="1442" w:type="dxa"/>
          </w:tcPr>
          <w:p w14:paraId="7A6CB58F" w14:textId="05DCC81B" w:rsidR="00FC056C" w:rsidRDefault="00FC056C" w:rsidP="00AC2B2A">
            <w:pPr>
              <w:pStyle w:val="TMGTableText"/>
              <w:spacing w:before="10" w:after="10"/>
              <w:jc w:val="center"/>
              <w:rPr>
                <w:rFonts w:eastAsiaTheme="minorEastAsia"/>
              </w:rPr>
            </w:pPr>
            <w:r w:rsidRPr="00DA0781">
              <w:rPr>
                <w:rFonts w:eastAsiaTheme="minorEastAsia"/>
              </w:rPr>
              <w:t>Integer</w:t>
            </w:r>
          </w:p>
        </w:tc>
        <w:tc>
          <w:tcPr>
            <w:tcW w:w="1175" w:type="dxa"/>
          </w:tcPr>
          <w:p w14:paraId="377E2B42" w14:textId="01F56617" w:rsidR="00FC056C" w:rsidRPr="0051590D" w:rsidRDefault="00FC056C" w:rsidP="00AC2B2A">
            <w:pPr>
              <w:pStyle w:val="TMGTableText"/>
              <w:spacing w:before="10" w:after="10"/>
              <w:jc w:val="center"/>
              <w:rPr>
                <w:rFonts w:eastAsiaTheme="minorEastAsia"/>
              </w:rPr>
            </w:pPr>
            <w:r>
              <w:rPr>
                <w:rFonts w:eastAsiaTheme="minorEastAsia"/>
              </w:rPr>
              <w:t>Req.</w:t>
            </w:r>
            <w:r w:rsidRPr="0051590D">
              <w:rPr>
                <w:rFonts w:eastAsiaTheme="minorEastAsia"/>
              </w:rPr>
              <w:t>/O</w:t>
            </w:r>
            <w:r>
              <w:rPr>
                <w:rFonts w:eastAsiaTheme="minorEastAsia"/>
              </w:rPr>
              <w:t>pt.</w:t>
            </w:r>
          </w:p>
        </w:tc>
      </w:tr>
      <w:tr w:rsidR="00FC056C" w14:paraId="1994A9E2" w14:textId="77777777" w:rsidTr="000538D2">
        <w:trPr>
          <w:jc w:val="center"/>
        </w:trPr>
        <w:tc>
          <w:tcPr>
            <w:tcW w:w="625" w:type="dxa"/>
          </w:tcPr>
          <w:p w14:paraId="555318DE" w14:textId="3E5A2F43" w:rsidR="00FC056C" w:rsidRPr="00765084" w:rsidRDefault="00FC056C" w:rsidP="000538D2">
            <w:pPr>
              <w:pStyle w:val="TMGTableText"/>
              <w:spacing w:before="10" w:after="10"/>
              <w:ind w:right="53"/>
              <w:jc w:val="right"/>
              <w:rPr>
                <w:rFonts w:eastAsiaTheme="minorEastAsia"/>
                <w:b/>
                <w:bCs/>
              </w:rPr>
            </w:pPr>
            <w:r w:rsidRPr="00765084">
              <w:rPr>
                <w:rFonts w:eastAsiaTheme="minorEastAsia"/>
                <w:b/>
                <w:bCs/>
              </w:rPr>
              <w:t>38</w:t>
            </w:r>
          </w:p>
        </w:tc>
        <w:tc>
          <w:tcPr>
            <w:tcW w:w="1351" w:type="dxa"/>
          </w:tcPr>
          <w:p w14:paraId="6FEDDC08" w14:textId="24D3EBF2" w:rsidR="00FC056C" w:rsidRPr="0051590D" w:rsidRDefault="00FC056C" w:rsidP="000538D2">
            <w:pPr>
              <w:pStyle w:val="TMGTableText"/>
              <w:spacing w:before="10" w:after="10"/>
              <w:jc w:val="center"/>
              <w:rPr>
                <w:rFonts w:eastAsiaTheme="minorEastAsia"/>
              </w:rPr>
            </w:pPr>
            <w:r w:rsidRPr="0051590D">
              <w:rPr>
                <w:rFonts w:eastAsiaTheme="minorEastAsia"/>
              </w:rPr>
              <w:t>14</w:t>
            </w:r>
            <w:r>
              <w:rPr>
                <w:rFonts w:eastAsiaTheme="minorEastAsia"/>
              </w:rPr>
              <w:t>7</w:t>
            </w:r>
            <w:r w:rsidRPr="0051590D">
              <w:rPr>
                <w:rFonts w:eastAsiaTheme="minorEastAsia"/>
              </w:rPr>
              <w:t>-15</w:t>
            </w:r>
            <w:r>
              <w:rPr>
                <w:rFonts w:eastAsiaTheme="minorEastAsia"/>
              </w:rPr>
              <w:t>1</w:t>
            </w:r>
          </w:p>
        </w:tc>
        <w:tc>
          <w:tcPr>
            <w:tcW w:w="992" w:type="dxa"/>
          </w:tcPr>
          <w:p w14:paraId="131F0184" w14:textId="710F5BC8" w:rsidR="00FC056C" w:rsidRPr="0051590D" w:rsidRDefault="00FC056C" w:rsidP="000538D2">
            <w:pPr>
              <w:pStyle w:val="TMGTableText"/>
              <w:spacing w:before="10" w:after="10"/>
              <w:jc w:val="center"/>
              <w:rPr>
                <w:rFonts w:eastAsiaTheme="minorEastAsia"/>
              </w:rPr>
            </w:pPr>
            <w:r w:rsidRPr="0051590D">
              <w:rPr>
                <w:rFonts w:eastAsiaTheme="minorEastAsia"/>
              </w:rPr>
              <w:t>5</w:t>
            </w:r>
          </w:p>
        </w:tc>
        <w:tc>
          <w:tcPr>
            <w:tcW w:w="3775" w:type="dxa"/>
          </w:tcPr>
          <w:p w14:paraId="2789D9EE" w14:textId="754102B0" w:rsidR="00FC056C" w:rsidRPr="0051590D" w:rsidRDefault="00FC056C" w:rsidP="00FC056C">
            <w:pPr>
              <w:pStyle w:val="TMGTableText"/>
              <w:spacing w:before="10" w:after="10"/>
              <w:rPr>
                <w:rFonts w:eastAsiaTheme="minorEastAsia"/>
              </w:rPr>
            </w:pPr>
            <w:r w:rsidRPr="0051590D">
              <w:rPr>
                <w:rFonts w:eastAsiaTheme="minorEastAsia"/>
              </w:rPr>
              <w:t>Bin 24 Count</w:t>
            </w:r>
            <w:r>
              <w:rPr>
                <w:rFonts w:eastAsiaTheme="minorEastAsia"/>
              </w:rPr>
              <w:t xml:space="preserve"> (BIN24)</w:t>
            </w:r>
          </w:p>
        </w:tc>
        <w:tc>
          <w:tcPr>
            <w:tcW w:w="1442" w:type="dxa"/>
          </w:tcPr>
          <w:p w14:paraId="6E7A430B" w14:textId="5A10FDAA" w:rsidR="00FC056C" w:rsidRDefault="00FC056C" w:rsidP="00AC2B2A">
            <w:pPr>
              <w:pStyle w:val="TMGTableText"/>
              <w:spacing w:before="10" w:after="10"/>
              <w:jc w:val="center"/>
              <w:rPr>
                <w:rFonts w:eastAsiaTheme="minorEastAsia"/>
              </w:rPr>
            </w:pPr>
            <w:r w:rsidRPr="00DA0781">
              <w:rPr>
                <w:rFonts w:eastAsiaTheme="minorEastAsia"/>
              </w:rPr>
              <w:t>Integer</w:t>
            </w:r>
          </w:p>
        </w:tc>
        <w:tc>
          <w:tcPr>
            <w:tcW w:w="1175" w:type="dxa"/>
          </w:tcPr>
          <w:p w14:paraId="636AF70D" w14:textId="58E059F8" w:rsidR="00FC056C" w:rsidRPr="0051590D" w:rsidRDefault="00FC056C" w:rsidP="00AC2B2A">
            <w:pPr>
              <w:pStyle w:val="TMGTableText"/>
              <w:spacing w:before="10" w:after="10"/>
              <w:jc w:val="center"/>
              <w:rPr>
                <w:rFonts w:eastAsiaTheme="minorEastAsia"/>
              </w:rPr>
            </w:pPr>
            <w:r>
              <w:rPr>
                <w:rFonts w:eastAsiaTheme="minorEastAsia"/>
              </w:rPr>
              <w:t>Req.</w:t>
            </w:r>
            <w:r w:rsidRPr="0051590D">
              <w:rPr>
                <w:rFonts w:eastAsiaTheme="minorEastAsia"/>
              </w:rPr>
              <w:t>/O</w:t>
            </w:r>
            <w:r>
              <w:rPr>
                <w:rFonts w:eastAsiaTheme="minorEastAsia"/>
              </w:rPr>
              <w:t>pt.</w:t>
            </w:r>
          </w:p>
        </w:tc>
      </w:tr>
      <w:tr w:rsidR="00FC056C" w14:paraId="514200A9" w14:textId="77777777" w:rsidTr="000538D2">
        <w:trPr>
          <w:jc w:val="center"/>
        </w:trPr>
        <w:tc>
          <w:tcPr>
            <w:tcW w:w="625" w:type="dxa"/>
          </w:tcPr>
          <w:p w14:paraId="289B3E5D" w14:textId="31E8588F" w:rsidR="00FC056C" w:rsidRPr="000538D2" w:rsidRDefault="00FC056C" w:rsidP="000538D2">
            <w:pPr>
              <w:pStyle w:val="TMGTableText"/>
              <w:spacing w:before="10" w:after="10"/>
              <w:ind w:right="53"/>
              <w:jc w:val="right"/>
              <w:rPr>
                <w:rFonts w:eastAsiaTheme="minorEastAsia"/>
                <w:b/>
                <w:bCs/>
              </w:rPr>
            </w:pPr>
            <w:r w:rsidRPr="00765084">
              <w:rPr>
                <w:rFonts w:eastAsiaTheme="minorEastAsia"/>
                <w:b/>
                <w:bCs/>
              </w:rPr>
              <w:t>39</w:t>
            </w:r>
          </w:p>
        </w:tc>
        <w:tc>
          <w:tcPr>
            <w:tcW w:w="1351" w:type="dxa"/>
          </w:tcPr>
          <w:p w14:paraId="66B4504C" w14:textId="399A3B25" w:rsidR="00FC056C" w:rsidRPr="004859C8" w:rsidRDefault="00FC056C" w:rsidP="000538D2">
            <w:pPr>
              <w:pStyle w:val="TMGTableText"/>
              <w:spacing w:before="10" w:after="10"/>
              <w:jc w:val="center"/>
            </w:pPr>
            <w:r w:rsidRPr="0051590D">
              <w:rPr>
                <w:rFonts w:eastAsiaTheme="minorEastAsia"/>
              </w:rPr>
              <w:t>15</w:t>
            </w:r>
            <w:r>
              <w:rPr>
                <w:rFonts w:eastAsiaTheme="minorEastAsia"/>
              </w:rPr>
              <w:t>2</w:t>
            </w:r>
            <w:r w:rsidRPr="0051590D">
              <w:rPr>
                <w:rFonts w:eastAsiaTheme="minorEastAsia"/>
              </w:rPr>
              <w:t>-15</w:t>
            </w:r>
            <w:r>
              <w:rPr>
                <w:rFonts w:eastAsiaTheme="minorEastAsia"/>
              </w:rPr>
              <w:t>6</w:t>
            </w:r>
          </w:p>
        </w:tc>
        <w:tc>
          <w:tcPr>
            <w:tcW w:w="992" w:type="dxa"/>
          </w:tcPr>
          <w:p w14:paraId="2E795DA2" w14:textId="6CDBC212" w:rsidR="00FC056C" w:rsidRPr="004859C8" w:rsidRDefault="00FC056C" w:rsidP="000538D2">
            <w:pPr>
              <w:pStyle w:val="TMGTableText"/>
              <w:spacing w:before="10" w:after="10"/>
              <w:jc w:val="center"/>
            </w:pPr>
            <w:r w:rsidRPr="0051590D">
              <w:rPr>
                <w:rFonts w:eastAsiaTheme="minorEastAsia"/>
              </w:rPr>
              <w:t>5</w:t>
            </w:r>
          </w:p>
        </w:tc>
        <w:tc>
          <w:tcPr>
            <w:tcW w:w="3775" w:type="dxa"/>
          </w:tcPr>
          <w:p w14:paraId="0109EA85" w14:textId="45B11F41" w:rsidR="00FC056C" w:rsidRPr="004859C8" w:rsidRDefault="00FC056C" w:rsidP="00FC056C">
            <w:pPr>
              <w:pStyle w:val="TMGTableText"/>
              <w:spacing w:before="10" w:after="10"/>
            </w:pPr>
            <w:r w:rsidRPr="0051590D">
              <w:rPr>
                <w:rFonts w:eastAsiaTheme="minorEastAsia"/>
              </w:rPr>
              <w:t>Bin 25 Count</w:t>
            </w:r>
            <w:r>
              <w:rPr>
                <w:rFonts w:eastAsiaTheme="minorEastAsia"/>
              </w:rPr>
              <w:t xml:space="preserve"> (BIN25)</w:t>
            </w:r>
          </w:p>
        </w:tc>
        <w:tc>
          <w:tcPr>
            <w:tcW w:w="1442" w:type="dxa"/>
          </w:tcPr>
          <w:p w14:paraId="74769B8C" w14:textId="3708DE0D" w:rsidR="00FC056C" w:rsidRPr="004859C8" w:rsidRDefault="00FC056C" w:rsidP="00AC2B2A">
            <w:pPr>
              <w:pStyle w:val="TMGTableText"/>
              <w:spacing w:before="10" w:after="10"/>
              <w:jc w:val="center"/>
            </w:pPr>
            <w:r>
              <w:rPr>
                <w:rFonts w:eastAsiaTheme="minorEastAsia"/>
              </w:rPr>
              <w:t>Integer</w:t>
            </w:r>
          </w:p>
        </w:tc>
        <w:tc>
          <w:tcPr>
            <w:tcW w:w="1175" w:type="dxa"/>
          </w:tcPr>
          <w:p w14:paraId="5FFEE91E" w14:textId="6A3B5F9A" w:rsidR="00FC056C" w:rsidRPr="00C251E9" w:rsidRDefault="00FC056C" w:rsidP="00AC2B2A">
            <w:pPr>
              <w:pStyle w:val="TMGTableText"/>
              <w:spacing w:before="10" w:after="10"/>
              <w:jc w:val="center"/>
            </w:pPr>
            <w:r>
              <w:rPr>
                <w:rFonts w:eastAsiaTheme="minorEastAsia"/>
              </w:rPr>
              <w:t>Req.</w:t>
            </w:r>
            <w:r w:rsidRPr="0051590D">
              <w:rPr>
                <w:rFonts w:eastAsiaTheme="minorEastAsia"/>
              </w:rPr>
              <w:t>/O</w:t>
            </w:r>
            <w:r>
              <w:rPr>
                <w:rFonts w:eastAsiaTheme="minorEastAsia"/>
              </w:rPr>
              <w:t>pt.</w:t>
            </w:r>
          </w:p>
        </w:tc>
      </w:tr>
    </w:tbl>
    <w:p w14:paraId="2A1BDB2A" w14:textId="77777777" w:rsidR="009B7AED" w:rsidRDefault="009B7AED" w:rsidP="00FC056C">
      <w:pPr>
        <w:pStyle w:val="Source"/>
        <w:ind w:left="540" w:hanging="540"/>
      </w:pPr>
      <w:r>
        <w:t>Note:</w:t>
      </w:r>
      <w:r>
        <w:tab/>
        <w:t xml:space="preserve">Fields designated as </w:t>
      </w:r>
      <w:r>
        <w:rPr>
          <w:rStyle w:val="Italic"/>
          <w:iCs/>
        </w:rPr>
        <w:t>Required</w:t>
      </w:r>
      <w:r>
        <w:t xml:space="preserve"> must be reported.</w:t>
      </w:r>
    </w:p>
    <w:p w14:paraId="09B3A03F" w14:textId="77777777" w:rsidR="009B7AED" w:rsidRDefault="009B7AED" w:rsidP="00FC056C">
      <w:pPr>
        <w:pStyle w:val="Source"/>
        <w:ind w:left="540" w:hanging="540"/>
      </w:pPr>
      <w:r>
        <w:tab/>
        <w:t xml:space="preserve">Fields designated as </w:t>
      </w:r>
      <w:r>
        <w:rPr>
          <w:rStyle w:val="Italic"/>
          <w:iCs/>
        </w:rPr>
        <w:t>Optional</w:t>
      </w:r>
      <w:r>
        <w:t xml:space="preserve"> are not required to be reported.</w:t>
      </w:r>
    </w:p>
    <w:p w14:paraId="4B174E07" w14:textId="77777777" w:rsidR="009B7AED" w:rsidRDefault="009B7AED" w:rsidP="00FC056C">
      <w:pPr>
        <w:pStyle w:val="Source"/>
        <w:ind w:left="540" w:hanging="540"/>
      </w:pPr>
      <w:r>
        <w:tab/>
        <w:t xml:space="preserve">Fields designated as </w:t>
      </w:r>
      <w:r>
        <w:rPr>
          <w:rStyle w:val="Italic"/>
          <w:iCs/>
        </w:rPr>
        <w:t>Required/Optional</w:t>
      </w:r>
      <w:r>
        <w:t xml:space="preserve"> could be either required or optional based on values used for other related fields.</w:t>
      </w:r>
    </w:p>
    <w:p w14:paraId="52894DD9" w14:textId="77777777" w:rsidR="00FC056C" w:rsidRDefault="00FC056C">
      <w:pPr>
        <w:widowControl/>
        <w:suppressAutoHyphens w:val="0"/>
        <w:autoSpaceDE/>
        <w:autoSpaceDN/>
        <w:adjustRightInd/>
        <w:spacing w:after="160" w:line="259" w:lineRule="auto"/>
        <w:jc w:val="left"/>
        <w:textAlignment w:val="auto"/>
        <w:rPr>
          <w:color w:val="auto"/>
        </w:rPr>
      </w:pPr>
      <w:r>
        <w:br w:type="page"/>
      </w:r>
    </w:p>
    <w:p w14:paraId="581944C6" w14:textId="57181924" w:rsidR="009B7AED" w:rsidRDefault="009B7AED" w:rsidP="00A35EAF">
      <w:pPr>
        <w:pStyle w:val="BodyText"/>
      </w:pPr>
      <w:r>
        <w:lastRenderedPageBreak/>
        <w:t>The fields for the Vehicle Speed record are defined as follows:</w:t>
      </w:r>
    </w:p>
    <w:p w14:paraId="5C703ECA" w14:textId="77777777" w:rsidR="009B7AED" w:rsidRDefault="009B7AED">
      <w:pPr>
        <w:pStyle w:val="ListCS1BulletsandNumbering"/>
        <w:numPr>
          <w:ilvl w:val="0"/>
          <w:numId w:val="46"/>
        </w:numPr>
        <w:spacing w:before="0" w:after="120"/>
        <w:ind w:left="648"/>
      </w:pPr>
      <w:r w:rsidRPr="00FA7609">
        <w:t>Record Type</w:t>
      </w:r>
      <w:r>
        <w:t xml:space="preserve"> (Column 1) – </w:t>
      </w:r>
      <w:r>
        <w:rPr>
          <w:rStyle w:val="Italic"/>
          <w:iCs/>
        </w:rPr>
        <w:t>Required</w:t>
      </w:r>
    </w:p>
    <w:p w14:paraId="5925A392" w14:textId="069097C9" w:rsidR="009B7AED" w:rsidRDefault="009B7AED" w:rsidP="00B35A5D">
      <w:pPr>
        <w:pStyle w:val="BulletcontinuedBulletsandNumbering"/>
        <w:tabs>
          <w:tab w:val="clear" w:pos="1440"/>
        </w:tabs>
        <w:ind w:left="648"/>
      </w:pPr>
      <w:r>
        <w:t>T = Vehicle Speed record</w:t>
      </w:r>
    </w:p>
    <w:p w14:paraId="1401103A" w14:textId="77777777" w:rsidR="009B7AED" w:rsidRDefault="009B7AED">
      <w:pPr>
        <w:pStyle w:val="ListCS1BulletsandNumbering"/>
        <w:numPr>
          <w:ilvl w:val="0"/>
          <w:numId w:val="46"/>
        </w:numPr>
        <w:spacing w:before="0" w:after="120"/>
        <w:ind w:left="648"/>
      </w:pPr>
      <w:r w:rsidRPr="000538D2">
        <w:t>State</w:t>
      </w:r>
      <w:r>
        <w:rPr>
          <w:rStyle w:val="Bold"/>
        </w:rPr>
        <w:t xml:space="preserve"> FIPS Code</w:t>
      </w:r>
      <w:r>
        <w:t xml:space="preserve"> (Columns 2-3) – </w:t>
      </w:r>
      <w:r>
        <w:rPr>
          <w:rStyle w:val="bolditalic"/>
        </w:rPr>
        <w:t>Required</w:t>
      </w:r>
    </w:p>
    <w:p w14:paraId="07D84209" w14:textId="50729C10" w:rsidR="009B7AED" w:rsidRDefault="009B7AED" w:rsidP="00B35A5D">
      <w:pPr>
        <w:pStyle w:val="BulletcontinuedBulletsandNumbering"/>
        <w:tabs>
          <w:tab w:val="clear" w:pos="1440"/>
        </w:tabs>
        <w:ind w:left="648"/>
      </w:pPr>
      <w:r>
        <w:t xml:space="preserve">See </w:t>
      </w:r>
      <w:r w:rsidR="00031AC7">
        <w:t>S</w:t>
      </w:r>
      <w:r>
        <w:t>ection 4.2, Field #2.</w:t>
      </w:r>
    </w:p>
    <w:p w14:paraId="0E6A1942" w14:textId="741BBA88" w:rsidR="009B7AED" w:rsidRDefault="009B7AED">
      <w:pPr>
        <w:pStyle w:val="ListCS1BulletsandNumbering"/>
        <w:numPr>
          <w:ilvl w:val="0"/>
          <w:numId w:val="46"/>
        </w:numPr>
        <w:spacing w:before="0" w:after="120"/>
        <w:ind w:left="648"/>
      </w:pPr>
      <w:r w:rsidRPr="000538D2">
        <w:t>Station</w:t>
      </w:r>
      <w:r>
        <w:rPr>
          <w:rStyle w:val="Bold"/>
        </w:rPr>
        <w:t xml:space="preserve"> Identification</w:t>
      </w:r>
      <w:r>
        <w:t xml:space="preserve"> (Columns 4-9) – </w:t>
      </w:r>
      <w:r>
        <w:rPr>
          <w:rStyle w:val="bolditalic"/>
        </w:rPr>
        <w:t>Required</w:t>
      </w:r>
    </w:p>
    <w:p w14:paraId="17579F1E" w14:textId="613D344A" w:rsidR="009B7AED" w:rsidRDefault="009B7AED" w:rsidP="00B35A5D">
      <w:pPr>
        <w:pStyle w:val="BulletcontinuedBulletsandNumbering"/>
        <w:tabs>
          <w:tab w:val="clear" w:pos="1440"/>
        </w:tabs>
        <w:ind w:left="648"/>
      </w:pPr>
      <w:r>
        <w:t xml:space="preserve">See </w:t>
      </w:r>
      <w:r w:rsidR="00031AC7">
        <w:t>S</w:t>
      </w:r>
      <w:r>
        <w:t>ection 4.2, Field #3.</w:t>
      </w:r>
    </w:p>
    <w:p w14:paraId="178006D6" w14:textId="77777777" w:rsidR="009B7AED" w:rsidRDefault="009B7AED" w:rsidP="00B35A5D">
      <w:pPr>
        <w:pStyle w:val="BulletcontinuedBulletsandNumbering"/>
        <w:tabs>
          <w:tab w:val="clear" w:pos="1440"/>
        </w:tabs>
        <w:ind w:left="648"/>
      </w:pPr>
      <w:r>
        <w:t>This field should be right-justified with unused columns zero-filled.</w:t>
      </w:r>
    </w:p>
    <w:p w14:paraId="2592F76A" w14:textId="77777777" w:rsidR="009B7AED" w:rsidRDefault="009B7AED">
      <w:pPr>
        <w:pStyle w:val="ListCS1BulletsandNumbering"/>
        <w:numPr>
          <w:ilvl w:val="0"/>
          <w:numId w:val="46"/>
        </w:numPr>
        <w:spacing w:before="0" w:after="120"/>
        <w:ind w:left="648"/>
      </w:pPr>
      <w:r w:rsidRPr="000538D2">
        <w:t>Direction</w:t>
      </w:r>
      <w:r>
        <w:rPr>
          <w:rStyle w:val="Bold"/>
        </w:rPr>
        <w:t xml:space="preserve"> of Travel </w:t>
      </w:r>
      <w:r>
        <w:t xml:space="preserve">(Column 10) – </w:t>
      </w:r>
      <w:r>
        <w:rPr>
          <w:rStyle w:val="bolditalic"/>
        </w:rPr>
        <w:t>Required</w:t>
      </w:r>
      <w:r>
        <w:t xml:space="preserve"> </w:t>
      </w:r>
    </w:p>
    <w:p w14:paraId="122A75C7" w14:textId="59F734CF" w:rsidR="009B7AED" w:rsidRDefault="009B7AED" w:rsidP="00B35A5D">
      <w:pPr>
        <w:pStyle w:val="BulletcontinuedBulletsandNumbering"/>
        <w:tabs>
          <w:tab w:val="clear" w:pos="1440"/>
        </w:tabs>
        <w:ind w:left="648"/>
      </w:pPr>
      <w:r>
        <w:t xml:space="preserve">See </w:t>
      </w:r>
      <w:r w:rsidR="00031AC7">
        <w:t>S</w:t>
      </w:r>
      <w:r>
        <w:t>ection 4.2, Field #4.</w:t>
      </w:r>
    </w:p>
    <w:p w14:paraId="01F505B9" w14:textId="77777777" w:rsidR="009B7AED" w:rsidRDefault="009B7AED">
      <w:pPr>
        <w:pStyle w:val="ListCS1BulletsandNumbering"/>
        <w:numPr>
          <w:ilvl w:val="0"/>
          <w:numId w:val="46"/>
        </w:numPr>
        <w:spacing w:before="0" w:after="120"/>
        <w:ind w:left="648"/>
      </w:pPr>
      <w:r w:rsidRPr="000538D2">
        <w:t>Lane</w:t>
      </w:r>
      <w:r>
        <w:rPr>
          <w:rStyle w:val="Bold"/>
        </w:rPr>
        <w:t xml:space="preserve"> of Travel</w:t>
      </w:r>
      <w:r>
        <w:t xml:space="preserve"> (Column 11) – </w:t>
      </w:r>
      <w:r>
        <w:rPr>
          <w:rStyle w:val="bolditalic"/>
        </w:rPr>
        <w:t>Required</w:t>
      </w:r>
      <w:r>
        <w:t xml:space="preserve"> </w:t>
      </w:r>
    </w:p>
    <w:p w14:paraId="2FE9470D" w14:textId="71EC9641" w:rsidR="009B7AED" w:rsidRDefault="009B7AED" w:rsidP="00B35A5D">
      <w:pPr>
        <w:pStyle w:val="BulletcontinuedBulletsandNumbering"/>
        <w:tabs>
          <w:tab w:val="clear" w:pos="1440"/>
        </w:tabs>
        <w:ind w:left="648"/>
      </w:pPr>
      <w:r>
        <w:t xml:space="preserve">See </w:t>
      </w:r>
      <w:r w:rsidR="00031AC7">
        <w:t>S</w:t>
      </w:r>
      <w:r>
        <w:t>ection 4.2, Field #5.</w:t>
      </w:r>
    </w:p>
    <w:p w14:paraId="23578416" w14:textId="77777777" w:rsidR="009B7AED" w:rsidRDefault="009B7AED" w:rsidP="00B35A5D">
      <w:pPr>
        <w:pStyle w:val="BulletcontinuedBulletsandNumbering"/>
        <w:tabs>
          <w:tab w:val="clear" w:pos="1440"/>
        </w:tabs>
        <w:ind w:left="648"/>
      </w:pPr>
      <w:r>
        <w:t>Note: The Station ID, Direction of Travel, and Lane of Travel make up the Station Code. No combined lanes are allowed. There should be one Station Description record per Station Code.</w:t>
      </w:r>
    </w:p>
    <w:p w14:paraId="6F72F99C" w14:textId="77777777" w:rsidR="009B7AED" w:rsidRDefault="009B7AED">
      <w:pPr>
        <w:pStyle w:val="ListCS1BulletsandNumbering"/>
        <w:numPr>
          <w:ilvl w:val="0"/>
          <w:numId w:val="46"/>
        </w:numPr>
        <w:spacing w:before="0" w:after="120"/>
        <w:ind w:left="648"/>
      </w:pPr>
      <w:r w:rsidRPr="000538D2">
        <w:t>Year</w:t>
      </w:r>
      <w:r>
        <w:rPr>
          <w:rStyle w:val="Bold"/>
        </w:rPr>
        <w:t xml:space="preserve"> of Data</w:t>
      </w:r>
      <w:r>
        <w:t xml:space="preserve"> (Columns 12-15) – </w:t>
      </w:r>
      <w:r>
        <w:rPr>
          <w:rStyle w:val="bolditalic"/>
        </w:rPr>
        <w:t>Required</w:t>
      </w:r>
      <w:r>
        <w:t xml:space="preserve"> </w:t>
      </w:r>
    </w:p>
    <w:p w14:paraId="28DEC9AA" w14:textId="56A3F936" w:rsidR="009B7AED" w:rsidRDefault="009B7AED" w:rsidP="00B35A5D">
      <w:pPr>
        <w:pStyle w:val="BulletcontinuedBulletsandNumbering"/>
        <w:tabs>
          <w:tab w:val="clear" w:pos="1440"/>
        </w:tabs>
        <w:ind w:left="648"/>
      </w:pPr>
      <w:r>
        <w:t xml:space="preserve">See </w:t>
      </w:r>
      <w:r w:rsidR="00031AC7">
        <w:t>S</w:t>
      </w:r>
      <w:r>
        <w:t>ection 4.2, Field #6.</w:t>
      </w:r>
    </w:p>
    <w:p w14:paraId="05EB3921" w14:textId="77777777" w:rsidR="009B7AED" w:rsidRDefault="009B7AED">
      <w:pPr>
        <w:pStyle w:val="ListCS1BulletsandNumbering"/>
        <w:numPr>
          <w:ilvl w:val="0"/>
          <w:numId w:val="46"/>
        </w:numPr>
        <w:spacing w:before="0" w:after="120"/>
        <w:ind w:left="648"/>
      </w:pPr>
      <w:r w:rsidRPr="000538D2">
        <w:t>Month</w:t>
      </w:r>
      <w:r>
        <w:rPr>
          <w:rStyle w:val="Bold"/>
        </w:rPr>
        <w:t xml:space="preserve"> of Year</w:t>
      </w:r>
      <w:r>
        <w:t xml:space="preserve"> (Columns 16-17) – </w:t>
      </w:r>
      <w:r>
        <w:rPr>
          <w:rStyle w:val="bolditalic"/>
        </w:rPr>
        <w:t>Required</w:t>
      </w:r>
    </w:p>
    <w:p w14:paraId="2BFB6D93" w14:textId="6B1EBC25" w:rsidR="009B7AED" w:rsidRDefault="009B7AED" w:rsidP="00B35A5D">
      <w:pPr>
        <w:pStyle w:val="BulletcontinuedBulletsandNumbering"/>
        <w:tabs>
          <w:tab w:val="clear" w:pos="1440"/>
        </w:tabs>
        <w:ind w:left="648"/>
      </w:pPr>
      <w:r>
        <w:t xml:space="preserve">See </w:t>
      </w:r>
      <w:r w:rsidR="00031AC7">
        <w:t>S</w:t>
      </w:r>
      <w:r>
        <w:t>ection 4.3, Field #8.</w:t>
      </w:r>
    </w:p>
    <w:p w14:paraId="67A757EC" w14:textId="77777777" w:rsidR="009B7AED" w:rsidRDefault="009B7AED">
      <w:pPr>
        <w:pStyle w:val="ListCS1BulletsandNumbering"/>
        <w:numPr>
          <w:ilvl w:val="0"/>
          <w:numId w:val="46"/>
        </w:numPr>
        <w:spacing w:before="0" w:after="120"/>
        <w:ind w:left="648"/>
      </w:pPr>
      <w:r w:rsidRPr="000538D2">
        <w:t>Day</w:t>
      </w:r>
      <w:r>
        <w:rPr>
          <w:rStyle w:val="Bold"/>
        </w:rPr>
        <w:t xml:space="preserve"> of Month</w:t>
      </w:r>
      <w:r>
        <w:t xml:space="preserve"> (Columns 18-19) – </w:t>
      </w:r>
      <w:r>
        <w:rPr>
          <w:rStyle w:val="bolditalic"/>
        </w:rPr>
        <w:t>Required</w:t>
      </w:r>
      <w:r>
        <w:t xml:space="preserve"> </w:t>
      </w:r>
    </w:p>
    <w:p w14:paraId="19E4E96E" w14:textId="4171A6B0" w:rsidR="009B7AED" w:rsidRDefault="009B7AED" w:rsidP="00B35A5D">
      <w:pPr>
        <w:pStyle w:val="BulletcontinuedBulletsandNumbering"/>
        <w:tabs>
          <w:tab w:val="clear" w:pos="1440"/>
        </w:tabs>
        <w:ind w:left="648"/>
      </w:pPr>
      <w:r>
        <w:t xml:space="preserve">See </w:t>
      </w:r>
      <w:r w:rsidR="00031AC7">
        <w:t>S</w:t>
      </w:r>
      <w:r>
        <w:t>ection 4.3, Field #9.</w:t>
      </w:r>
    </w:p>
    <w:p w14:paraId="7DDBDBA0" w14:textId="77777777" w:rsidR="009B7AED" w:rsidRDefault="009B7AED">
      <w:pPr>
        <w:pStyle w:val="ListCS1BulletsandNumbering"/>
        <w:numPr>
          <w:ilvl w:val="0"/>
          <w:numId w:val="46"/>
        </w:numPr>
        <w:spacing w:before="0" w:after="120"/>
        <w:ind w:left="648"/>
      </w:pPr>
      <w:r w:rsidRPr="000538D2">
        <w:t>Hour</w:t>
      </w:r>
      <w:r>
        <w:rPr>
          <w:rStyle w:val="Bold"/>
        </w:rPr>
        <w:t xml:space="preserve"> of Day</w:t>
      </w:r>
      <w:r>
        <w:t xml:space="preserve"> (Columns 20-21) – </w:t>
      </w:r>
      <w:r>
        <w:rPr>
          <w:rStyle w:val="bolditalic"/>
        </w:rPr>
        <w:t>Required</w:t>
      </w:r>
    </w:p>
    <w:p w14:paraId="768591F1" w14:textId="77777777" w:rsidR="009B7AED" w:rsidRDefault="009B7AED" w:rsidP="00B35A5D">
      <w:pPr>
        <w:pStyle w:val="BulletcontinuedBulletsandNumbering"/>
        <w:tabs>
          <w:tab w:val="clear" w:pos="1440"/>
        </w:tabs>
        <w:ind w:left="648"/>
      </w:pPr>
      <w:r>
        <w:t>The beginning of the hour in which the count was taken:</w:t>
      </w:r>
    </w:p>
    <w:p w14:paraId="7D3CBE76" w14:textId="77777777" w:rsidR="009B7AED" w:rsidRDefault="009B7AED" w:rsidP="000538D2">
      <w:pPr>
        <w:pStyle w:val="ListContinueBulletsandNumbering"/>
        <w:ind w:left="1152"/>
      </w:pPr>
      <w:r>
        <w:t>00 = after 00:00 to 01:00</w:t>
      </w:r>
    </w:p>
    <w:p w14:paraId="1E63B512" w14:textId="77777777" w:rsidR="009B7AED" w:rsidRDefault="009B7AED" w:rsidP="000538D2">
      <w:pPr>
        <w:pStyle w:val="ListContinueBulletsandNumbering"/>
        <w:ind w:left="1152"/>
      </w:pPr>
      <w:r>
        <w:t>01 = after 01:00 to 02:00</w:t>
      </w:r>
    </w:p>
    <w:p w14:paraId="72264548" w14:textId="77777777" w:rsidR="009B7AED" w:rsidRDefault="009B7AED" w:rsidP="000538D2">
      <w:pPr>
        <w:pStyle w:val="ListContinueBulletsandNumbering"/>
        <w:ind w:left="1152"/>
      </w:pPr>
      <w:r>
        <w:t>...</w:t>
      </w:r>
    </w:p>
    <w:p w14:paraId="413CE1E1" w14:textId="77777777" w:rsidR="009B7AED" w:rsidRDefault="009B7AED" w:rsidP="000538D2">
      <w:pPr>
        <w:pStyle w:val="ListContinueBulletsandNumbering"/>
        <w:ind w:left="1152"/>
      </w:pPr>
      <w:r>
        <w:t>22 = after 22:00 to 23:00</w:t>
      </w:r>
    </w:p>
    <w:p w14:paraId="57B23EFE" w14:textId="77777777" w:rsidR="009B7AED" w:rsidRDefault="009B7AED" w:rsidP="000538D2">
      <w:pPr>
        <w:pStyle w:val="ListContinueBulletsandNumbering"/>
        <w:ind w:left="1152"/>
      </w:pPr>
      <w:r>
        <w:t>23 = after 23:00 to 24:00</w:t>
      </w:r>
    </w:p>
    <w:p w14:paraId="6C277056" w14:textId="77777777" w:rsidR="009B7AED" w:rsidRDefault="009B7AED">
      <w:pPr>
        <w:pStyle w:val="ListCS1BulletsandNumbering"/>
        <w:numPr>
          <w:ilvl w:val="0"/>
          <w:numId w:val="46"/>
        </w:numPr>
        <w:spacing w:before="0" w:after="120"/>
        <w:ind w:left="648"/>
      </w:pPr>
      <w:r w:rsidRPr="000538D2">
        <w:t>Speed</w:t>
      </w:r>
      <w:r>
        <w:rPr>
          <w:rStyle w:val="Bold"/>
        </w:rPr>
        <w:t xml:space="preserve"> Data Time Interval</w:t>
      </w:r>
      <w:r>
        <w:t xml:space="preserve"> (Column 22) – </w:t>
      </w:r>
      <w:r>
        <w:rPr>
          <w:rStyle w:val="bolditalic"/>
        </w:rPr>
        <w:t>Optional</w:t>
      </w:r>
    </w:p>
    <w:p w14:paraId="400D79D2" w14:textId="77777777" w:rsidR="009B7AED" w:rsidRDefault="009B7AED" w:rsidP="00B35A5D">
      <w:pPr>
        <w:pStyle w:val="BulletcontinuedBulletsandNumbering"/>
        <w:tabs>
          <w:tab w:val="clear" w:pos="1440"/>
        </w:tabs>
        <w:ind w:left="648"/>
      </w:pPr>
      <w:bookmarkStart w:id="2952" w:name="_Hlk44321528"/>
      <w:r>
        <w:t>A 60-minute time interval is assumed if this column is left blank. This field can be used to designate either 15-minute or 5-minute binned speed data.</w:t>
      </w:r>
    </w:p>
    <w:p w14:paraId="60073A63" w14:textId="77777777" w:rsidR="009B7AED" w:rsidRDefault="009B7AED" w:rsidP="00B35A5D">
      <w:pPr>
        <w:pStyle w:val="BulletcontinuedBulletsandNumbering"/>
        <w:tabs>
          <w:tab w:val="clear" w:pos="1440"/>
        </w:tabs>
        <w:ind w:left="648"/>
      </w:pPr>
      <w:r>
        <w:t>For 15-minute binned intervals of speed data use the following:</w:t>
      </w:r>
    </w:p>
    <w:p w14:paraId="1057E4A6" w14:textId="77777777" w:rsidR="009B7AED" w:rsidRDefault="009B7AED" w:rsidP="000538D2">
      <w:pPr>
        <w:pStyle w:val="ListContinueBulletsandNumbering"/>
        <w:ind w:left="1152"/>
      </w:pPr>
      <w:r>
        <w:t>Code 1 for the interval 0.0-14.999</w:t>
      </w:r>
    </w:p>
    <w:p w14:paraId="16EB7160" w14:textId="77777777" w:rsidR="009B7AED" w:rsidRDefault="009B7AED" w:rsidP="000538D2">
      <w:pPr>
        <w:pStyle w:val="ListContinueBulletsandNumbering"/>
        <w:ind w:left="1152"/>
      </w:pPr>
      <w:r>
        <w:t>Code 2 for the interval 15.0-29.999</w:t>
      </w:r>
    </w:p>
    <w:p w14:paraId="616924C6" w14:textId="77777777" w:rsidR="009B7AED" w:rsidRDefault="009B7AED" w:rsidP="000538D2">
      <w:pPr>
        <w:pStyle w:val="ListContinueBulletsandNumbering"/>
        <w:ind w:left="1152"/>
      </w:pPr>
      <w:r>
        <w:t>Code 3 for the interval 30.0-44.999</w:t>
      </w:r>
    </w:p>
    <w:p w14:paraId="19B4A2EA" w14:textId="77777777" w:rsidR="009B7AED" w:rsidRDefault="009B7AED" w:rsidP="000538D2">
      <w:pPr>
        <w:pStyle w:val="ListContinueBulletsandNumbering"/>
        <w:ind w:left="1152"/>
      </w:pPr>
      <w:r>
        <w:t>Code 4 for the interval 45.0-59.999</w:t>
      </w:r>
    </w:p>
    <w:p w14:paraId="2FDCB07D" w14:textId="77777777" w:rsidR="00B35A5D" w:rsidRDefault="00B35A5D">
      <w:pPr>
        <w:widowControl/>
        <w:suppressAutoHyphens w:val="0"/>
        <w:autoSpaceDE/>
        <w:autoSpaceDN/>
        <w:adjustRightInd/>
        <w:spacing w:after="160" w:line="259" w:lineRule="auto"/>
        <w:jc w:val="left"/>
        <w:textAlignment w:val="auto"/>
        <w:rPr>
          <w:color w:val="auto"/>
        </w:rPr>
      </w:pPr>
      <w:r>
        <w:br w:type="page"/>
      </w:r>
    </w:p>
    <w:p w14:paraId="41DA9C76" w14:textId="7B3B5FF2" w:rsidR="009B7AED" w:rsidRDefault="009B7AED" w:rsidP="00B35A5D">
      <w:pPr>
        <w:pStyle w:val="BulletcontinuedBulletsandNumbering"/>
        <w:tabs>
          <w:tab w:val="clear" w:pos="1440"/>
        </w:tabs>
        <w:ind w:left="648"/>
      </w:pPr>
      <w:r>
        <w:lastRenderedPageBreak/>
        <w:t>For 5-minute binned intervals of speed data use the following:</w:t>
      </w:r>
    </w:p>
    <w:p w14:paraId="7AB13035" w14:textId="77777777" w:rsidR="009B7AED" w:rsidRDefault="009B7AED" w:rsidP="000538D2">
      <w:pPr>
        <w:pStyle w:val="ListContinueBulletsandNumbering"/>
        <w:ind w:left="1152"/>
      </w:pPr>
      <w:r>
        <w:t>Code A for the interval 0.0-4.999</w:t>
      </w:r>
    </w:p>
    <w:p w14:paraId="7A935D2F" w14:textId="77777777" w:rsidR="009B7AED" w:rsidRDefault="009B7AED" w:rsidP="000538D2">
      <w:pPr>
        <w:pStyle w:val="ListContinueBulletsandNumbering"/>
        <w:ind w:left="1152"/>
      </w:pPr>
      <w:r>
        <w:t>Code B for the interval 5.0-9.999</w:t>
      </w:r>
    </w:p>
    <w:p w14:paraId="026ABEB4" w14:textId="77777777" w:rsidR="009B7AED" w:rsidRDefault="009B7AED" w:rsidP="000538D2">
      <w:pPr>
        <w:pStyle w:val="ListContinueBulletsandNumbering"/>
        <w:ind w:left="1152"/>
      </w:pPr>
      <w:r>
        <w:t>Code C for the interval 10.0-14.999</w:t>
      </w:r>
    </w:p>
    <w:p w14:paraId="54229EC9" w14:textId="77777777" w:rsidR="009B7AED" w:rsidRDefault="009B7AED" w:rsidP="000538D2">
      <w:pPr>
        <w:pStyle w:val="ListContinueBulletsandNumbering"/>
        <w:ind w:left="1152"/>
      </w:pPr>
      <w:r>
        <w:t>Code D for the interval 15.0-19.999</w:t>
      </w:r>
    </w:p>
    <w:p w14:paraId="4F3262FB" w14:textId="77777777" w:rsidR="009B7AED" w:rsidRDefault="009B7AED" w:rsidP="000538D2">
      <w:pPr>
        <w:pStyle w:val="ListContinueBulletsandNumbering"/>
        <w:ind w:left="1152"/>
      </w:pPr>
      <w:r>
        <w:t>Code E for the interval 20.0-24.999</w:t>
      </w:r>
    </w:p>
    <w:p w14:paraId="5B0C1F7C" w14:textId="77777777" w:rsidR="009B7AED" w:rsidRDefault="009B7AED" w:rsidP="000538D2">
      <w:pPr>
        <w:pStyle w:val="ListContinueBulletsandNumbering"/>
        <w:ind w:left="1152"/>
      </w:pPr>
      <w:r>
        <w:t>Code F for the interval 25.0-29.999</w:t>
      </w:r>
    </w:p>
    <w:p w14:paraId="7B20ABE3" w14:textId="77777777" w:rsidR="009B7AED" w:rsidRDefault="009B7AED" w:rsidP="000538D2">
      <w:pPr>
        <w:pStyle w:val="ListContinueBulletsandNumbering"/>
        <w:ind w:left="1152"/>
      </w:pPr>
      <w:r>
        <w:t>Code G for the interval 30.0-34.999</w:t>
      </w:r>
    </w:p>
    <w:p w14:paraId="2F6F2D7C" w14:textId="77777777" w:rsidR="009B7AED" w:rsidRDefault="009B7AED" w:rsidP="000538D2">
      <w:pPr>
        <w:pStyle w:val="ListContinueBulletsandNumbering"/>
        <w:ind w:left="1152"/>
      </w:pPr>
      <w:r>
        <w:t>Code H for the interval 35.0-39.999</w:t>
      </w:r>
    </w:p>
    <w:p w14:paraId="5730B800" w14:textId="77777777" w:rsidR="009B7AED" w:rsidRDefault="009B7AED" w:rsidP="000538D2">
      <w:pPr>
        <w:pStyle w:val="ListContinueBulletsandNumbering"/>
        <w:ind w:left="1152"/>
      </w:pPr>
      <w:r>
        <w:t>Code I for the interval 40.0-44.999</w:t>
      </w:r>
    </w:p>
    <w:p w14:paraId="030FBC8F" w14:textId="77777777" w:rsidR="009B7AED" w:rsidRDefault="009B7AED" w:rsidP="000538D2">
      <w:pPr>
        <w:pStyle w:val="ListContinueBulletsandNumbering"/>
        <w:ind w:left="1152"/>
      </w:pPr>
      <w:r>
        <w:t>Code J for the interval 45.0-49.999</w:t>
      </w:r>
    </w:p>
    <w:p w14:paraId="0DC16449" w14:textId="77777777" w:rsidR="009B7AED" w:rsidRDefault="009B7AED" w:rsidP="000538D2">
      <w:pPr>
        <w:pStyle w:val="ListContinueBulletsandNumbering"/>
        <w:ind w:left="1152"/>
      </w:pPr>
      <w:r>
        <w:t>Code K for the interval 50.0-54.999</w:t>
      </w:r>
    </w:p>
    <w:p w14:paraId="4F31100D" w14:textId="77777777" w:rsidR="009B7AED" w:rsidRDefault="009B7AED" w:rsidP="000538D2">
      <w:pPr>
        <w:pStyle w:val="ListContinueBulletsandNumbering"/>
        <w:ind w:left="1152"/>
      </w:pPr>
      <w:r>
        <w:t>Code L for the interval 55.0-59.999</w:t>
      </w:r>
      <w:bookmarkEnd w:id="2952"/>
    </w:p>
    <w:p w14:paraId="284190CD" w14:textId="77777777" w:rsidR="009B7AED" w:rsidRDefault="009B7AED">
      <w:pPr>
        <w:pStyle w:val="ListCS1BulletsandNumbering"/>
        <w:numPr>
          <w:ilvl w:val="0"/>
          <w:numId w:val="46"/>
        </w:numPr>
        <w:spacing w:before="0" w:after="120"/>
        <w:ind w:left="648"/>
      </w:pPr>
      <w:r w:rsidRPr="000538D2">
        <w:t>Definition</w:t>
      </w:r>
      <w:r>
        <w:rPr>
          <w:rStyle w:val="Bold"/>
        </w:rPr>
        <w:t xml:space="preserve"> of First Speed Bin</w:t>
      </w:r>
      <w:r>
        <w:t xml:space="preserve"> (Column 23) – </w:t>
      </w:r>
      <w:r>
        <w:rPr>
          <w:rStyle w:val="bolditalic"/>
        </w:rPr>
        <w:t>Optional</w:t>
      </w:r>
      <w:r>
        <w:t xml:space="preserve"> </w:t>
      </w:r>
    </w:p>
    <w:p w14:paraId="765CC649" w14:textId="77777777" w:rsidR="009B7AED" w:rsidRDefault="009B7AED" w:rsidP="00B35A5D">
      <w:pPr>
        <w:pStyle w:val="BulletcontinuedBulletsandNumbering"/>
        <w:tabs>
          <w:tab w:val="clear" w:pos="1440"/>
        </w:tabs>
        <w:ind w:left="648"/>
      </w:pPr>
      <w:r>
        <w:t>If this field is left blank, the first speed bin is assumed to be defined as being all vehicles traveling equal to or slower than 20 mph.</w:t>
      </w:r>
    </w:p>
    <w:p w14:paraId="602FD91A" w14:textId="2451D788" w:rsidR="009B7AED" w:rsidRDefault="009B7AED" w:rsidP="00B35A5D">
      <w:pPr>
        <w:pStyle w:val="BulletcontinuedBulletsandNumbering"/>
        <w:tabs>
          <w:tab w:val="clear" w:pos="1440"/>
        </w:tabs>
        <w:ind w:left="648"/>
      </w:pPr>
      <w:r>
        <w:t>If the State wishes to submit data that provide more detail of vehicles traveling at slower speeds, it may supply data in one or two additional slow speed bins. A value of “1” is indicates that the first speed bin is defined as “all vehicles traveling at equal to or slower than 15 mph.” A value of “2” indicates that the first speed bin submitted will contain “all vehicles traveling at equal to or slower than 10 mph” while the second bin will be defined as “all vehicles traveling faster than 10 mph and at equal to or slower than 15</w:t>
      </w:r>
      <w:r w:rsidR="002F0B1A">
        <w:t> </w:t>
      </w:r>
      <w:r>
        <w:t>mph.”</w:t>
      </w:r>
    </w:p>
    <w:p w14:paraId="26A89A95" w14:textId="3E0E6F39" w:rsidR="009B7AED" w:rsidRDefault="009B7AED">
      <w:pPr>
        <w:pStyle w:val="ListCS1BulletsandNumbering"/>
        <w:numPr>
          <w:ilvl w:val="0"/>
          <w:numId w:val="46"/>
        </w:numPr>
        <w:spacing w:before="0" w:after="120"/>
        <w:ind w:left="648"/>
      </w:pPr>
      <w:r w:rsidRPr="000538D2">
        <w:t>Total</w:t>
      </w:r>
      <w:r>
        <w:rPr>
          <w:rStyle w:val="Bold"/>
        </w:rPr>
        <w:t xml:space="preserve"> Number of Speed Bins Reported</w:t>
      </w:r>
      <w:r>
        <w:t xml:space="preserve"> (Columns 24-25) – </w:t>
      </w:r>
      <w:r>
        <w:rPr>
          <w:rStyle w:val="bolditalic"/>
        </w:rPr>
        <w:t>Optional</w:t>
      </w:r>
      <w:r>
        <w:t xml:space="preserve"> </w:t>
      </w:r>
    </w:p>
    <w:p w14:paraId="2D3EFB54" w14:textId="4ACDBBC7" w:rsidR="009B7AED" w:rsidRDefault="00756A88" w:rsidP="00B35A5D">
      <w:pPr>
        <w:pStyle w:val="BulletcontinuedBulletsandNumbering"/>
        <w:tabs>
          <w:tab w:val="clear" w:pos="1440"/>
        </w:tabs>
        <w:ind w:left="648"/>
      </w:pPr>
      <w:r>
        <w:rPr>
          <w:noProof/>
        </w:rPr>
        <mc:AlternateContent>
          <mc:Choice Requires="wps">
            <w:drawing>
              <wp:anchor distT="45720" distB="45720" distL="114300" distR="114300" simplePos="0" relativeHeight="251727872" behindDoc="0" locked="0" layoutInCell="1" allowOverlap="1" wp14:anchorId="3B11C395" wp14:editId="580CEC8D">
                <wp:simplePos x="0" y="0"/>
                <wp:positionH relativeFrom="margin">
                  <wp:posOffset>3079115</wp:posOffset>
                </wp:positionH>
                <wp:positionV relativeFrom="paragraph">
                  <wp:posOffset>13758</wp:posOffset>
                </wp:positionV>
                <wp:extent cx="2878455" cy="2641600"/>
                <wp:effectExtent l="0" t="0" r="0" b="635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8455" cy="2641600"/>
                        </a:xfrm>
                        <a:prstGeom prst="rect">
                          <a:avLst/>
                        </a:prstGeom>
                        <a:solidFill>
                          <a:srgbClr val="FFFFFF"/>
                        </a:solidFill>
                        <a:ln w="9525">
                          <a:noFill/>
                          <a:miter lim="800000"/>
                          <a:headEnd/>
                          <a:tailEnd/>
                        </a:ln>
                      </wps:spPr>
                      <wps:txbx>
                        <w:txbxContent>
                          <w:p w14:paraId="444848AF" w14:textId="2343FB3E" w:rsidR="00E77F0D" w:rsidRDefault="00E77F0D" w:rsidP="00E77F0D">
                            <w:pPr>
                              <w:pStyle w:val="TMGTableCaption"/>
                              <w:spacing w:before="0"/>
                            </w:pPr>
                            <w:bookmarkStart w:id="2953" w:name="_Ref111034329"/>
                            <w:bookmarkStart w:id="2954" w:name="_Toc63976931"/>
                            <w:bookmarkStart w:id="2955" w:name="_Toc68874132"/>
                            <w:bookmarkStart w:id="2956" w:name="_Toc109333454"/>
                            <w:bookmarkStart w:id="2957" w:name="_Toc109333782"/>
                            <w:bookmarkStart w:id="2958" w:name="_Toc113282518"/>
                            <w:bookmarkStart w:id="2959" w:name="_Toc114474855"/>
                            <w:bookmarkStart w:id="2960" w:name="_Toc120631161"/>
                            <w:r>
                              <w:t xml:space="preserve">Table </w:t>
                            </w:r>
                            <w:fldSimple w:instr=" STYLEREF 1 \s ">
                              <w:r w:rsidR="00FC0E95">
                                <w:rPr>
                                  <w:noProof/>
                                </w:rPr>
                                <w:t>4</w:t>
                              </w:r>
                            </w:fldSimple>
                            <w:r>
                              <w:noBreakHyphen/>
                            </w:r>
                            <w:fldSimple w:instr=" SEQ Table \* ARABIC \s 1 ">
                              <w:r w:rsidR="00FC0E95">
                                <w:rPr>
                                  <w:noProof/>
                                </w:rPr>
                                <w:t>13</w:t>
                              </w:r>
                            </w:fldSimple>
                            <w:bookmarkEnd w:id="2953"/>
                            <w:r w:rsidR="00352273">
                              <w:t>.</w:t>
                            </w:r>
                            <w:r>
                              <w:t xml:space="preserve"> </w:t>
                            </w:r>
                            <w:r w:rsidRPr="00581FD6">
                              <w:t xml:space="preserve">Total Number </w:t>
                            </w:r>
                            <w:r>
                              <w:t>o</w:t>
                            </w:r>
                            <w:r w:rsidRPr="00581FD6">
                              <w:t>f Speed Bins</w:t>
                            </w:r>
                            <w:bookmarkEnd w:id="2954"/>
                            <w:bookmarkEnd w:id="2955"/>
                            <w:bookmarkEnd w:id="2956"/>
                            <w:bookmarkEnd w:id="2957"/>
                            <w:bookmarkEnd w:id="2958"/>
                            <w:bookmarkEnd w:id="2959"/>
                            <w:bookmarkEnd w:id="2960"/>
                          </w:p>
                          <w:tbl>
                            <w:tblPr>
                              <w:tblStyle w:val="TableGrid"/>
                              <w:tblW w:w="4495" w:type="dxa"/>
                              <w:tblCellMar>
                                <w:left w:w="86" w:type="dxa"/>
                                <w:right w:w="86" w:type="dxa"/>
                              </w:tblCellMar>
                              <w:tblLook w:val="04A0" w:firstRow="1" w:lastRow="0" w:firstColumn="1" w:lastColumn="0" w:noHBand="0" w:noVBand="1"/>
                            </w:tblPr>
                            <w:tblGrid>
                              <w:gridCol w:w="2515"/>
                              <w:gridCol w:w="1980"/>
                            </w:tblGrid>
                            <w:tr w:rsidR="00E77F0D" w14:paraId="22A1AC45" w14:textId="77777777" w:rsidTr="009447E9">
                              <w:tc>
                                <w:tcPr>
                                  <w:tcW w:w="2515" w:type="dxa"/>
                                  <w:tcBorders>
                                    <w:right w:val="single" w:sz="4" w:space="0" w:color="FFFFFF" w:themeColor="background1"/>
                                  </w:tcBorders>
                                  <w:shd w:val="clear" w:color="auto" w:fill="1F3864"/>
                                </w:tcPr>
                                <w:p w14:paraId="2419313A" w14:textId="190B2540" w:rsidR="00E77F0D" w:rsidRDefault="00E77F0D" w:rsidP="00E77F0D">
                                  <w:pPr>
                                    <w:pStyle w:val="TMGTableTextHeader"/>
                                  </w:pPr>
                                  <w:r w:rsidRPr="00765084">
                                    <w:rPr>
                                      <w:rFonts w:eastAsiaTheme="minorEastAsia"/>
                                    </w:rPr>
                                    <w:t xml:space="preserve">Total Number of Speed Bins </w:t>
                                  </w:r>
                                  <w:r w:rsidRPr="00765084">
                                    <w:rPr>
                                      <w:rFonts w:eastAsiaTheme="minorEastAsia"/>
                                    </w:rPr>
                                    <w:br/>
                                    <w:t xml:space="preserve">(Defined in </w:t>
                                  </w:r>
                                  <w:r w:rsidR="00756A88">
                                    <w:rPr>
                                      <w:rFonts w:eastAsiaTheme="minorEastAsia"/>
                                    </w:rPr>
                                    <w:t>C</w:t>
                                  </w:r>
                                  <w:r w:rsidRPr="00765084">
                                    <w:rPr>
                                      <w:rFonts w:eastAsiaTheme="minorEastAsia"/>
                                    </w:rPr>
                                    <w:t>olumns 24-25)</w:t>
                                  </w:r>
                                </w:p>
                              </w:tc>
                              <w:tc>
                                <w:tcPr>
                                  <w:tcW w:w="1980" w:type="dxa"/>
                                  <w:tcBorders>
                                    <w:left w:val="single" w:sz="4" w:space="0" w:color="FFFFFF" w:themeColor="background1"/>
                                  </w:tcBorders>
                                  <w:shd w:val="clear" w:color="auto" w:fill="1F3864"/>
                                </w:tcPr>
                                <w:p w14:paraId="75824BC5" w14:textId="7DB473CC" w:rsidR="00E77F0D" w:rsidRDefault="00E77F0D" w:rsidP="00E77F0D">
                                  <w:pPr>
                                    <w:pStyle w:val="TMGTableTextHeader"/>
                                  </w:pPr>
                                  <w:r w:rsidRPr="00765084">
                                    <w:rPr>
                                      <w:rFonts w:eastAsiaTheme="minorEastAsia"/>
                                    </w:rPr>
                                    <w:t xml:space="preserve">Record Length </w:t>
                                  </w:r>
                                  <w:r w:rsidRPr="00765084">
                                    <w:rPr>
                                      <w:rFonts w:eastAsiaTheme="minorEastAsia"/>
                                    </w:rPr>
                                    <w:br/>
                                    <w:t>(</w:t>
                                  </w:r>
                                  <w:r w:rsidR="00756A88">
                                    <w:rPr>
                                      <w:rFonts w:eastAsiaTheme="minorEastAsia"/>
                                    </w:rPr>
                                    <w:t>N</w:t>
                                  </w:r>
                                  <w:r w:rsidRPr="00765084">
                                    <w:rPr>
                                      <w:rFonts w:eastAsiaTheme="minorEastAsia"/>
                                    </w:rPr>
                                    <w:t xml:space="preserve">umber of </w:t>
                                  </w:r>
                                  <w:r w:rsidR="00756A88">
                                    <w:rPr>
                                      <w:rFonts w:eastAsiaTheme="minorEastAsia"/>
                                    </w:rPr>
                                    <w:t>C</w:t>
                                  </w:r>
                                  <w:r w:rsidRPr="00765084">
                                    <w:rPr>
                                      <w:rFonts w:eastAsiaTheme="minorEastAsia"/>
                                    </w:rPr>
                                    <w:t>olumns)</w:t>
                                  </w:r>
                                </w:p>
                              </w:tc>
                            </w:tr>
                            <w:tr w:rsidR="00E77F0D" w14:paraId="18F48925" w14:textId="77777777" w:rsidTr="009447E9">
                              <w:tc>
                                <w:tcPr>
                                  <w:tcW w:w="2515" w:type="dxa"/>
                                  <w:vAlign w:val="center"/>
                                </w:tcPr>
                                <w:p w14:paraId="2F5A9587" w14:textId="77777777" w:rsidR="00E77F0D" w:rsidRPr="00C251E9" w:rsidRDefault="00E77F0D" w:rsidP="00E77F0D">
                                  <w:pPr>
                                    <w:pStyle w:val="TMGTableText"/>
                                    <w:jc w:val="center"/>
                                    <w:rPr>
                                      <w:b/>
                                      <w:bCs/>
                                    </w:rPr>
                                  </w:pPr>
                                  <w:r w:rsidRPr="0051590D">
                                    <w:rPr>
                                      <w:rFonts w:eastAsiaTheme="minorEastAsia"/>
                                    </w:rPr>
                                    <w:t>15</w:t>
                                  </w:r>
                                </w:p>
                              </w:tc>
                              <w:tc>
                                <w:tcPr>
                                  <w:tcW w:w="1980" w:type="dxa"/>
                                  <w:vAlign w:val="center"/>
                                </w:tcPr>
                                <w:p w14:paraId="41273A4E" w14:textId="77777777" w:rsidR="00E77F0D" w:rsidRPr="00C251E9" w:rsidRDefault="00E77F0D" w:rsidP="00E77F0D">
                                  <w:pPr>
                                    <w:pStyle w:val="TMGTableText"/>
                                    <w:jc w:val="center"/>
                                  </w:pPr>
                                  <w:r>
                                    <w:rPr>
                                      <w:rFonts w:eastAsiaTheme="minorEastAsia"/>
                                    </w:rPr>
                                    <w:t>105</w:t>
                                  </w:r>
                                </w:p>
                              </w:tc>
                            </w:tr>
                            <w:tr w:rsidR="00E77F0D" w14:paraId="7C56DD0C" w14:textId="77777777" w:rsidTr="009447E9">
                              <w:tc>
                                <w:tcPr>
                                  <w:tcW w:w="2515" w:type="dxa"/>
                                  <w:vAlign w:val="center"/>
                                </w:tcPr>
                                <w:p w14:paraId="783E1CDD" w14:textId="77777777" w:rsidR="00E77F0D" w:rsidRPr="00C251E9" w:rsidRDefault="00E77F0D" w:rsidP="00E77F0D">
                                  <w:pPr>
                                    <w:pStyle w:val="TMGTableText"/>
                                    <w:jc w:val="center"/>
                                    <w:rPr>
                                      <w:b/>
                                      <w:bCs/>
                                    </w:rPr>
                                  </w:pPr>
                                  <w:r w:rsidRPr="0051590D">
                                    <w:rPr>
                                      <w:rFonts w:eastAsiaTheme="minorEastAsia"/>
                                    </w:rPr>
                                    <w:t>16</w:t>
                                  </w:r>
                                </w:p>
                              </w:tc>
                              <w:tc>
                                <w:tcPr>
                                  <w:tcW w:w="1980" w:type="dxa"/>
                                  <w:vAlign w:val="center"/>
                                </w:tcPr>
                                <w:p w14:paraId="01E654FB" w14:textId="77777777" w:rsidR="00E77F0D" w:rsidRPr="00C251E9" w:rsidRDefault="00E77F0D" w:rsidP="00E77F0D">
                                  <w:pPr>
                                    <w:pStyle w:val="TMGTableText"/>
                                    <w:jc w:val="center"/>
                                  </w:pPr>
                                  <w:r>
                                    <w:rPr>
                                      <w:rFonts w:eastAsiaTheme="minorEastAsia"/>
                                    </w:rPr>
                                    <w:t>110</w:t>
                                  </w:r>
                                </w:p>
                              </w:tc>
                            </w:tr>
                            <w:tr w:rsidR="00E77F0D" w14:paraId="4226D9C7" w14:textId="77777777" w:rsidTr="009447E9">
                              <w:tc>
                                <w:tcPr>
                                  <w:tcW w:w="2515" w:type="dxa"/>
                                  <w:vAlign w:val="center"/>
                                </w:tcPr>
                                <w:p w14:paraId="2B6B1A96" w14:textId="77777777" w:rsidR="00E77F0D" w:rsidRPr="00C251E9" w:rsidRDefault="00E77F0D" w:rsidP="00E77F0D">
                                  <w:pPr>
                                    <w:pStyle w:val="TMGTableText"/>
                                    <w:jc w:val="center"/>
                                    <w:rPr>
                                      <w:b/>
                                      <w:bCs/>
                                    </w:rPr>
                                  </w:pPr>
                                  <w:r w:rsidRPr="0051590D">
                                    <w:rPr>
                                      <w:rFonts w:eastAsiaTheme="minorEastAsia"/>
                                    </w:rPr>
                                    <w:t>17</w:t>
                                  </w:r>
                                </w:p>
                              </w:tc>
                              <w:tc>
                                <w:tcPr>
                                  <w:tcW w:w="1980" w:type="dxa"/>
                                  <w:vAlign w:val="center"/>
                                </w:tcPr>
                                <w:p w14:paraId="46E7B566" w14:textId="77777777" w:rsidR="00E77F0D" w:rsidRPr="00C251E9" w:rsidRDefault="00E77F0D" w:rsidP="00E77F0D">
                                  <w:pPr>
                                    <w:pStyle w:val="TMGTableText"/>
                                    <w:jc w:val="center"/>
                                  </w:pPr>
                                  <w:r>
                                    <w:rPr>
                                      <w:rFonts w:eastAsiaTheme="minorEastAsia"/>
                                    </w:rPr>
                                    <w:t>115</w:t>
                                  </w:r>
                                </w:p>
                              </w:tc>
                            </w:tr>
                            <w:tr w:rsidR="00E77F0D" w14:paraId="577B4BB3" w14:textId="77777777" w:rsidTr="009447E9">
                              <w:tc>
                                <w:tcPr>
                                  <w:tcW w:w="2515" w:type="dxa"/>
                                  <w:vAlign w:val="center"/>
                                </w:tcPr>
                                <w:p w14:paraId="677D8B52" w14:textId="77777777" w:rsidR="00E77F0D" w:rsidRPr="00C251E9" w:rsidRDefault="00E77F0D" w:rsidP="00E77F0D">
                                  <w:pPr>
                                    <w:pStyle w:val="TMGTableText"/>
                                    <w:jc w:val="center"/>
                                    <w:rPr>
                                      <w:b/>
                                      <w:bCs/>
                                    </w:rPr>
                                  </w:pPr>
                                  <w:r w:rsidRPr="0051590D">
                                    <w:rPr>
                                      <w:rFonts w:eastAsiaTheme="minorEastAsia"/>
                                    </w:rPr>
                                    <w:t>18</w:t>
                                  </w:r>
                                </w:p>
                              </w:tc>
                              <w:tc>
                                <w:tcPr>
                                  <w:tcW w:w="1980" w:type="dxa"/>
                                  <w:vAlign w:val="center"/>
                                </w:tcPr>
                                <w:p w14:paraId="5656B56F" w14:textId="77777777" w:rsidR="00E77F0D" w:rsidRPr="00C251E9" w:rsidRDefault="00E77F0D" w:rsidP="00E77F0D">
                                  <w:pPr>
                                    <w:pStyle w:val="TMGTableText"/>
                                    <w:jc w:val="center"/>
                                  </w:pPr>
                                  <w:r>
                                    <w:rPr>
                                      <w:rFonts w:eastAsiaTheme="minorEastAsia"/>
                                    </w:rPr>
                                    <w:t>120</w:t>
                                  </w:r>
                                </w:p>
                              </w:tc>
                            </w:tr>
                            <w:tr w:rsidR="00E77F0D" w14:paraId="34D104C2" w14:textId="77777777" w:rsidTr="009447E9">
                              <w:tc>
                                <w:tcPr>
                                  <w:tcW w:w="2515" w:type="dxa"/>
                                  <w:vAlign w:val="center"/>
                                </w:tcPr>
                                <w:p w14:paraId="3013ECD7" w14:textId="77777777" w:rsidR="00E77F0D" w:rsidRPr="00C251E9" w:rsidRDefault="00E77F0D" w:rsidP="00E77F0D">
                                  <w:pPr>
                                    <w:pStyle w:val="TMGTableText"/>
                                    <w:jc w:val="center"/>
                                    <w:rPr>
                                      <w:b/>
                                      <w:bCs/>
                                    </w:rPr>
                                  </w:pPr>
                                  <w:r w:rsidRPr="0051590D">
                                    <w:rPr>
                                      <w:rFonts w:eastAsiaTheme="minorEastAsia"/>
                                    </w:rPr>
                                    <w:t>19</w:t>
                                  </w:r>
                                </w:p>
                              </w:tc>
                              <w:tc>
                                <w:tcPr>
                                  <w:tcW w:w="1980" w:type="dxa"/>
                                  <w:vAlign w:val="center"/>
                                </w:tcPr>
                                <w:p w14:paraId="0771D3A5" w14:textId="77777777" w:rsidR="00E77F0D" w:rsidRPr="00C251E9" w:rsidRDefault="00E77F0D" w:rsidP="00E77F0D">
                                  <w:pPr>
                                    <w:pStyle w:val="TMGTableText"/>
                                    <w:jc w:val="center"/>
                                  </w:pPr>
                                  <w:r>
                                    <w:rPr>
                                      <w:rFonts w:eastAsiaTheme="minorEastAsia"/>
                                    </w:rPr>
                                    <w:t>125</w:t>
                                  </w:r>
                                </w:p>
                              </w:tc>
                            </w:tr>
                            <w:tr w:rsidR="00E77F0D" w14:paraId="5D19BF4F" w14:textId="77777777" w:rsidTr="009447E9">
                              <w:tc>
                                <w:tcPr>
                                  <w:tcW w:w="2515" w:type="dxa"/>
                                  <w:vAlign w:val="center"/>
                                </w:tcPr>
                                <w:p w14:paraId="51B05992" w14:textId="77777777" w:rsidR="00E77F0D" w:rsidRPr="00C251E9" w:rsidRDefault="00E77F0D" w:rsidP="00E77F0D">
                                  <w:pPr>
                                    <w:pStyle w:val="TMGTableText"/>
                                    <w:jc w:val="center"/>
                                    <w:rPr>
                                      <w:b/>
                                      <w:bCs/>
                                    </w:rPr>
                                  </w:pPr>
                                  <w:r w:rsidRPr="0051590D">
                                    <w:rPr>
                                      <w:rFonts w:eastAsiaTheme="minorEastAsia"/>
                                    </w:rPr>
                                    <w:t>20</w:t>
                                  </w:r>
                                </w:p>
                              </w:tc>
                              <w:tc>
                                <w:tcPr>
                                  <w:tcW w:w="1980" w:type="dxa"/>
                                  <w:vAlign w:val="center"/>
                                </w:tcPr>
                                <w:p w14:paraId="756920BC" w14:textId="77777777" w:rsidR="00E77F0D" w:rsidRPr="00C251E9" w:rsidRDefault="00E77F0D" w:rsidP="00E77F0D">
                                  <w:pPr>
                                    <w:pStyle w:val="TMGTableText"/>
                                    <w:jc w:val="center"/>
                                  </w:pPr>
                                  <w:r>
                                    <w:rPr>
                                      <w:rFonts w:eastAsiaTheme="minorEastAsia"/>
                                    </w:rPr>
                                    <w:t>130</w:t>
                                  </w:r>
                                </w:p>
                              </w:tc>
                            </w:tr>
                            <w:tr w:rsidR="00E77F0D" w14:paraId="06C1804F" w14:textId="77777777" w:rsidTr="009447E9">
                              <w:tc>
                                <w:tcPr>
                                  <w:tcW w:w="2515" w:type="dxa"/>
                                  <w:vAlign w:val="center"/>
                                </w:tcPr>
                                <w:p w14:paraId="3FCD3302" w14:textId="77777777" w:rsidR="00E77F0D" w:rsidRPr="00C251E9" w:rsidRDefault="00E77F0D" w:rsidP="00E77F0D">
                                  <w:pPr>
                                    <w:pStyle w:val="TMGTableText"/>
                                    <w:jc w:val="center"/>
                                    <w:rPr>
                                      <w:b/>
                                      <w:bCs/>
                                    </w:rPr>
                                  </w:pPr>
                                  <w:r w:rsidRPr="0051590D">
                                    <w:rPr>
                                      <w:rFonts w:eastAsiaTheme="minorEastAsia"/>
                                    </w:rPr>
                                    <w:t>21</w:t>
                                  </w:r>
                                </w:p>
                              </w:tc>
                              <w:tc>
                                <w:tcPr>
                                  <w:tcW w:w="1980" w:type="dxa"/>
                                  <w:vAlign w:val="center"/>
                                </w:tcPr>
                                <w:p w14:paraId="3E2AB07D" w14:textId="77777777" w:rsidR="00E77F0D" w:rsidRPr="00C251E9" w:rsidRDefault="00E77F0D" w:rsidP="00E77F0D">
                                  <w:pPr>
                                    <w:pStyle w:val="TMGTableText"/>
                                    <w:jc w:val="center"/>
                                  </w:pPr>
                                  <w:r>
                                    <w:rPr>
                                      <w:rFonts w:eastAsiaTheme="minorEastAsia"/>
                                    </w:rPr>
                                    <w:t>135</w:t>
                                  </w:r>
                                </w:p>
                              </w:tc>
                            </w:tr>
                            <w:tr w:rsidR="00E77F0D" w14:paraId="22222878" w14:textId="77777777" w:rsidTr="009447E9">
                              <w:tc>
                                <w:tcPr>
                                  <w:tcW w:w="2515" w:type="dxa"/>
                                  <w:vAlign w:val="center"/>
                                </w:tcPr>
                                <w:p w14:paraId="48640275" w14:textId="77777777" w:rsidR="00E77F0D" w:rsidRPr="00C251E9" w:rsidRDefault="00E77F0D" w:rsidP="00E77F0D">
                                  <w:pPr>
                                    <w:pStyle w:val="TMGTableText"/>
                                    <w:jc w:val="center"/>
                                    <w:rPr>
                                      <w:b/>
                                      <w:bCs/>
                                    </w:rPr>
                                  </w:pPr>
                                  <w:r w:rsidRPr="0051590D">
                                    <w:rPr>
                                      <w:rFonts w:eastAsiaTheme="minorEastAsia"/>
                                    </w:rPr>
                                    <w:t>22</w:t>
                                  </w:r>
                                </w:p>
                              </w:tc>
                              <w:tc>
                                <w:tcPr>
                                  <w:tcW w:w="1980" w:type="dxa"/>
                                  <w:vAlign w:val="center"/>
                                </w:tcPr>
                                <w:p w14:paraId="3FBF1F57" w14:textId="77777777" w:rsidR="00E77F0D" w:rsidRPr="00C251E9" w:rsidRDefault="00E77F0D" w:rsidP="00E77F0D">
                                  <w:pPr>
                                    <w:pStyle w:val="TMGTableText"/>
                                    <w:jc w:val="center"/>
                                  </w:pPr>
                                  <w:r>
                                    <w:rPr>
                                      <w:rFonts w:eastAsiaTheme="minorEastAsia"/>
                                    </w:rPr>
                                    <w:t>140</w:t>
                                  </w:r>
                                </w:p>
                              </w:tc>
                            </w:tr>
                            <w:tr w:rsidR="00E77F0D" w14:paraId="0FE3814E" w14:textId="77777777" w:rsidTr="009447E9">
                              <w:tc>
                                <w:tcPr>
                                  <w:tcW w:w="2515" w:type="dxa"/>
                                  <w:vAlign w:val="center"/>
                                </w:tcPr>
                                <w:p w14:paraId="13775199" w14:textId="77777777" w:rsidR="00E77F0D" w:rsidRPr="00C251E9" w:rsidRDefault="00E77F0D" w:rsidP="00E77F0D">
                                  <w:pPr>
                                    <w:pStyle w:val="TMGTableText"/>
                                    <w:jc w:val="center"/>
                                    <w:rPr>
                                      <w:b/>
                                      <w:bCs/>
                                    </w:rPr>
                                  </w:pPr>
                                  <w:r w:rsidRPr="0051590D">
                                    <w:rPr>
                                      <w:rFonts w:eastAsiaTheme="minorEastAsia"/>
                                    </w:rPr>
                                    <w:t>23</w:t>
                                  </w:r>
                                </w:p>
                              </w:tc>
                              <w:tc>
                                <w:tcPr>
                                  <w:tcW w:w="1980" w:type="dxa"/>
                                  <w:vAlign w:val="center"/>
                                </w:tcPr>
                                <w:p w14:paraId="6382116D" w14:textId="77777777" w:rsidR="00E77F0D" w:rsidRPr="00C251E9" w:rsidRDefault="00E77F0D" w:rsidP="00E77F0D">
                                  <w:pPr>
                                    <w:pStyle w:val="TMGTableText"/>
                                    <w:jc w:val="center"/>
                                  </w:pPr>
                                  <w:r>
                                    <w:rPr>
                                      <w:rFonts w:eastAsiaTheme="minorEastAsia"/>
                                    </w:rPr>
                                    <w:t>145</w:t>
                                  </w:r>
                                </w:p>
                              </w:tc>
                            </w:tr>
                            <w:tr w:rsidR="00E77F0D" w14:paraId="0CCFAD8D" w14:textId="77777777" w:rsidTr="009447E9">
                              <w:tc>
                                <w:tcPr>
                                  <w:tcW w:w="2515" w:type="dxa"/>
                                  <w:vAlign w:val="center"/>
                                </w:tcPr>
                                <w:p w14:paraId="25E446BC" w14:textId="77777777" w:rsidR="00E77F0D" w:rsidRPr="00C251E9" w:rsidRDefault="00E77F0D" w:rsidP="00E77F0D">
                                  <w:pPr>
                                    <w:pStyle w:val="TMGTableText"/>
                                    <w:jc w:val="center"/>
                                    <w:rPr>
                                      <w:b/>
                                      <w:bCs/>
                                    </w:rPr>
                                  </w:pPr>
                                  <w:r w:rsidRPr="0051590D">
                                    <w:rPr>
                                      <w:rFonts w:eastAsiaTheme="minorEastAsia"/>
                                    </w:rPr>
                                    <w:t>24</w:t>
                                  </w:r>
                                </w:p>
                              </w:tc>
                              <w:tc>
                                <w:tcPr>
                                  <w:tcW w:w="1980" w:type="dxa"/>
                                  <w:vAlign w:val="center"/>
                                </w:tcPr>
                                <w:p w14:paraId="417A5305" w14:textId="77777777" w:rsidR="00E77F0D" w:rsidRPr="00C251E9" w:rsidRDefault="00E77F0D" w:rsidP="00E77F0D">
                                  <w:pPr>
                                    <w:pStyle w:val="TMGTableText"/>
                                    <w:jc w:val="center"/>
                                  </w:pPr>
                                  <w:r>
                                    <w:rPr>
                                      <w:rFonts w:eastAsiaTheme="minorEastAsia"/>
                                    </w:rPr>
                                    <w:t>150</w:t>
                                  </w:r>
                                </w:p>
                              </w:tc>
                            </w:tr>
                            <w:tr w:rsidR="00E77F0D" w14:paraId="46335B2D" w14:textId="77777777" w:rsidTr="009447E9">
                              <w:tc>
                                <w:tcPr>
                                  <w:tcW w:w="2515" w:type="dxa"/>
                                  <w:vAlign w:val="center"/>
                                </w:tcPr>
                                <w:p w14:paraId="1641BFAF" w14:textId="77777777" w:rsidR="00E77F0D" w:rsidRPr="00C251E9" w:rsidRDefault="00E77F0D" w:rsidP="00E77F0D">
                                  <w:pPr>
                                    <w:pStyle w:val="TMGTableText"/>
                                    <w:jc w:val="center"/>
                                    <w:rPr>
                                      <w:b/>
                                      <w:bCs/>
                                    </w:rPr>
                                  </w:pPr>
                                  <w:r w:rsidRPr="0051590D">
                                    <w:rPr>
                                      <w:rFonts w:eastAsiaTheme="minorEastAsia"/>
                                    </w:rPr>
                                    <w:t>25</w:t>
                                  </w:r>
                                </w:p>
                              </w:tc>
                              <w:tc>
                                <w:tcPr>
                                  <w:tcW w:w="1980" w:type="dxa"/>
                                  <w:vAlign w:val="center"/>
                                </w:tcPr>
                                <w:p w14:paraId="73635EA8" w14:textId="77777777" w:rsidR="00E77F0D" w:rsidRPr="00C251E9" w:rsidRDefault="00E77F0D" w:rsidP="00E77F0D">
                                  <w:pPr>
                                    <w:pStyle w:val="TMGTableText"/>
                                    <w:jc w:val="center"/>
                                  </w:pPr>
                                  <w:r>
                                    <w:rPr>
                                      <w:rFonts w:eastAsiaTheme="minorEastAsia"/>
                                    </w:rPr>
                                    <w:t>155</w:t>
                                  </w:r>
                                </w:p>
                              </w:tc>
                            </w:tr>
                          </w:tbl>
                          <w:p w14:paraId="0590008E" w14:textId="77777777" w:rsidR="00E77F0D" w:rsidRDefault="00E77F0D" w:rsidP="00E77F0D"/>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B11C395" id="_x0000_s1121" type="#_x0000_t202" style="position:absolute;left:0;text-align:left;margin-left:242.45pt;margin-top:1.1pt;width:226.65pt;height:208pt;z-index:251727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" stroked="f">
                <v:textbox inset="0,0,0,0">
                  <w:txbxContent>
                    <w:p w14:paraId="444848AF" w14:textId="2343FB3E" w:rsidR="00E77F0D" w:rsidRDefault="00E77F0D" w:rsidP="00E77F0D">
                      <w:pPr>
                        <w:pStyle w:val="TMGTableCaption"/>
                        <w:spacing w:before="0"/>
                      </w:pPr>
                      <w:bookmarkStart w:id="2961" w:name="_Ref111034329"/>
                      <w:bookmarkStart w:id="2962" w:name="_Toc63976931"/>
                      <w:bookmarkStart w:id="2963" w:name="_Toc68874132"/>
                      <w:bookmarkStart w:id="2964" w:name="_Toc109333454"/>
                      <w:bookmarkStart w:id="2965" w:name="_Toc109333782"/>
                      <w:bookmarkStart w:id="2966" w:name="_Toc113282518"/>
                      <w:bookmarkStart w:id="2967" w:name="_Toc114474855"/>
                      <w:bookmarkStart w:id="2968" w:name="_Toc120631161"/>
                      <w:r>
                        <w:t xml:space="preserve">Table </w:t>
                      </w:r>
                      <w:fldSimple w:instr=" STYLEREF 1 \s ">
                        <w:r w:rsidR="00FC0E95">
                          <w:rPr>
                            <w:noProof/>
                          </w:rPr>
                          <w:t>4</w:t>
                        </w:r>
                      </w:fldSimple>
                      <w:r>
                        <w:noBreakHyphen/>
                      </w:r>
                      <w:fldSimple w:instr=" SEQ Table \* ARABIC \s 1 ">
                        <w:r w:rsidR="00FC0E95">
                          <w:rPr>
                            <w:noProof/>
                          </w:rPr>
                          <w:t>13</w:t>
                        </w:r>
                      </w:fldSimple>
                      <w:bookmarkEnd w:id="2961"/>
                      <w:r w:rsidR="00352273">
                        <w:t>.</w:t>
                      </w:r>
                      <w:r>
                        <w:t xml:space="preserve"> </w:t>
                      </w:r>
                      <w:r w:rsidRPr="00581FD6">
                        <w:t xml:space="preserve">Total Number </w:t>
                      </w:r>
                      <w:r>
                        <w:t>o</w:t>
                      </w:r>
                      <w:r w:rsidRPr="00581FD6">
                        <w:t>f Speed Bins</w:t>
                      </w:r>
                      <w:bookmarkEnd w:id="2962"/>
                      <w:bookmarkEnd w:id="2963"/>
                      <w:bookmarkEnd w:id="2964"/>
                      <w:bookmarkEnd w:id="2965"/>
                      <w:bookmarkEnd w:id="2966"/>
                      <w:bookmarkEnd w:id="2967"/>
                      <w:bookmarkEnd w:id="2968"/>
                    </w:p>
                    <w:tbl>
                      <w:tblPr>
                        <w:tblStyle w:val="TableGrid"/>
                        <w:tblW w:w="4495" w:type="dxa"/>
                        <w:tblCellMar>
                          <w:left w:w="86" w:type="dxa"/>
                          <w:right w:w="86" w:type="dxa"/>
                        </w:tblCellMar>
                        <w:tblLook w:val="04A0" w:firstRow="1" w:lastRow="0" w:firstColumn="1" w:lastColumn="0" w:noHBand="0" w:noVBand="1"/>
                      </w:tblPr>
                      <w:tblGrid>
                        <w:gridCol w:w="2515"/>
                        <w:gridCol w:w="1980"/>
                      </w:tblGrid>
                      <w:tr w:rsidR="00E77F0D" w14:paraId="22A1AC45" w14:textId="77777777" w:rsidTr="009447E9">
                        <w:tc>
                          <w:tcPr>
                            <w:tcW w:w="2515" w:type="dxa"/>
                            <w:tcBorders>
                              <w:right w:val="single" w:sz="4" w:space="0" w:color="FFFFFF" w:themeColor="background1"/>
                            </w:tcBorders>
                            <w:shd w:val="clear" w:color="auto" w:fill="1F3864"/>
                          </w:tcPr>
                          <w:p w14:paraId="2419313A" w14:textId="190B2540" w:rsidR="00E77F0D" w:rsidRDefault="00E77F0D" w:rsidP="00E77F0D">
                            <w:pPr>
                              <w:pStyle w:val="TMGTableTextHeader"/>
                            </w:pPr>
                            <w:r w:rsidRPr="00765084">
                              <w:rPr>
                                <w:rFonts w:eastAsiaTheme="minorEastAsia"/>
                              </w:rPr>
                              <w:t xml:space="preserve">Total Number of Speed Bins </w:t>
                            </w:r>
                            <w:r w:rsidRPr="00765084">
                              <w:rPr>
                                <w:rFonts w:eastAsiaTheme="minorEastAsia"/>
                              </w:rPr>
                              <w:br/>
                              <w:t xml:space="preserve">(Defined in </w:t>
                            </w:r>
                            <w:r w:rsidR="00756A88">
                              <w:rPr>
                                <w:rFonts w:eastAsiaTheme="minorEastAsia"/>
                              </w:rPr>
                              <w:t>C</w:t>
                            </w:r>
                            <w:r w:rsidRPr="00765084">
                              <w:rPr>
                                <w:rFonts w:eastAsiaTheme="minorEastAsia"/>
                              </w:rPr>
                              <w:t>olumns 24-25)</w:t>
                            </w:r>
                          </w:p>
                        </w:tc>
                        <w:tc>
                          <w:tcPr>
                            <w:tcW w:w="1980" w:type="dxa"/>
                            <w:tcBorders>
                              <w:left w:val="single" w:sz="4" w:space="0" w:color="FFFFFF" w:themeColor="background1"/>
                            </w:tcBorders>
                            <w:shd w:val="clear" w:color="auto" w:fill="1F3864"/>
                          </w:tcPr>
                          <w:p w14:paraId="75824BC5" w14:textId="7DB473CC" w:rsidR="00E77F0D" w:rsidRDefault="00E77F0D" w:rsidP="00E77F0D">
                            <w:pPr>
                              <w:pStyle w:val="TMGTableTextHeader"/>
                            </w:pPr>
                            <w:r w:rsidRPr="00765084">
                              <w:rPr>
                                <w:rFonts w:eastAsiaTheme="minorEastAsia"/>
                              </w:rPr>
                              <w:t xml:space="preserve">Record Length </w:t>
                            </w:r>
                            <w:r w:rsidRPr="00765084">
                              <w:rPr>
                                <w:rFonts w:eastAsiaTheme="minorEastAsia"/>
                              </w:rPr>
                              <w:br/>
                              <w:t>(</w:t>
                            </w:r>
                            <w:r w:rsidR="00756A88">
                              <w:rPr>
                                <w:rFonts w:eastAsiaTheme="minorEastAsia"/>
                              </w:rPr>
                              <w:t>N</w:t>
                            </w:r>
                            <w:r w:rsidRPr="00765084">
                              <w:rPr>
                                <w:rFonts w:eastAsiaTheme="minorEastAsia"/>
                              </w:rPr>
                              <w:t xml:space="preserve">umber of </w:t>
                            </w:r>
                            <w:r w:rsidR="00756A88">
                              <w:rPr>
                                <w:rFonts w:eastAsiaTheme="minorEastAsia"/>
                              </w:rPr>
                              <w:t>C</w:t>
                            </w:r>
                            <w:r w:rsidRPr="00765084">
                              <w:rPr>
                                <w:rFonts w:eastAsiaTheme="minorEastAsia"/>
                              </w:rPr>
                              <w:t>olumns)</w:t>
                            </w:r>
                          </w:p>
                        </w:tc>
                      </w:tr>
                      <w:tr w:rsidR="00E77F0D" w14:paraId="18F48925" w14:textId="77777777" w:rsidTr="009447E9">
                        <w:tc>
                          <w:tcPr>
                            <w:tcW w:w="2515" w:type="dxa"/>
                            <w:vAlign w:val="center"/>
                          </w:tcPr>
                          <w:p w14:paraId="2F5A9587" w14:textId="77777777" w:rsidR="00E77F0D" w:rsidRPr="00C251E9" w:rsidRDefault="00E77F0D" w:rsidP="00E77F0D">
                            <w:pPr>
                              <w:pStyle w:val="TMGTableText"/>
                              <w:jc w:val="center"/>
                              <w:rPr>
                                <w:b/>
                                <w:bCs/>
                              </w:rPr>
                            </w:pPr>
                            <w:r w:rsidRPr="0051590D">
                              <w:rPr>
                                <w:rFonts w:eastAsiaTheme="minorEastAsia"/>
                              </w:rPr>
                              <w:t>15</w:t>
                            </w:r>
                          </w:p>
                        </w:tc>
                        <w:tc>
                          <w:tcPr>
                            <w:tcW w:w="1980" w:type="dxa"/>
                            <w:vAlign w:val="center"/>
                          </w:tcPr>
                          <w:p w14:paraId="41273A4E" w14:textId="77777777" w:rsidR="00E77F0D" w:rsidRPr="00C251E9" w:rsidRDefault="00E77F0D" w:rsidP="00E77F0D">
                            <w:pPr>
                              <w:pStyle w:val="TMGTableText"/>
                              <w:jc w:val="center"/>
                            </w:pPr>
                            <w:r>
                              <w:rPr>
                                <w:rFonts w:eastAsiaTheme="minorEastAsia"/>
                              </w:rPr>
                              <w:t>105</w:t>
                            </w:r>
                          </w:p>
                        </w:tc>
                      </w:tr>
                      <w:tr w:rsidR="00E77F0D" w14:paraId="7C56DD0C" w14:textId="77777777" w:rsidTr="009447E9">
                        <w:tc>
                          <w:tcPr>
                            <w:tcW w:w="2515" w:type="dxa"/>
                            <w:vAlign w:val="center"/>
                          </w:tcPr>
                          <w:p w14:paraId="783E1CDD" w14:textId="77777777" w:rsidR="00E77F0D" w:rsidRPr="00C251E9" w:rsidRDefault="00E77F0D" w:rsidP="00E77F0D">
                            <w:pPr>
                              <w:pStyle w:val="TMGTableText"/>
                              <w:jc w:val="center"/>
                              <w:rPr>
                                <w:b/>
                                <w:bCs/>
                              </w:rPr>
                            </w:pPr>
                            <w:r w:rsidRPr="0051590D">
                              <w:rPr>
                                <w:rFonts w:eastAsiaTheme="minorEastAsia"/>
                              </w:rPr>
                              <w:t>16</w:t>
                            </w:r>
                          </w:p>
                        </w:tc>
                        <w:tc>
                          <w:tcPr>
                            <w:tcW w:w="1980" w:type="dxa"/>
                            <w:vAlign w:val="center"/>
                          </w:tcPr>
                          <w:p w14:paraId="01E654FB" w14:textId="77777777" w:rsidR="00E77F0D" w:rsidRPr="00C251E9" w:rsidRDefault="00E77F0D" w:rsidP="00E77F0D">
                            <w:pPr>
                              <w:pStyle w:val="TMGTableText"/>
                              <w:jc w:val="center"/>
                            </w:pPr>
                            <w:r>
                              <w:rPr>
                                <w:rFonts w:eastAsiaTheme="minorEastAsia"/>
                              </w:rPr>
                              <w:t>110</w:t>
                            </w:r>
                          </w:p>
                        </w:tc>
                      </w:tr>
                      <w:tr w:rsidR="00E77F0D" w14:paraId="4226D9C7" w14:textId="77777777" w:rsidTr="009447E9">
                        <w:tc>
                          <w:tcPr>
                            <w:tcW w:w="2515" w:type="dxa"/>
                            <w:vAlign w:val="center"/>
                          </w:tcPr>
                          <w:p w14:paraId="2B6B1A96" w14:textId="77777777" w:rsidR="00E77F0D" w:rsidRPr="00C251E9" w:rsidRDefault="00E77F0D" w:rsidP="00E77F0D">
                            <w:pPr>
                              <w:pStyle w:val="TMGTableText"/>
                              <w:jc w:val="center"/>
                              <w:rPr>
                                <w:b/>
                                <w:bCs/>
                              </w:rPr>
                            </w:pPr>
                            <w:r w:rsidRPr="0051590D">
                              <w:rPr>
                                <w:rFonts w:eastAsiaTheme="minorEastAsia"/>
                              </w:rPr>
                              <w:t>17</w:t>
                            </w:r>
                          </w:p>
                        </w:tc>
                        <w:tc>
                          <w:tcPr>
                            <w:tcW w:w="1980" w:type="dxa"/>
                            <w:vAlign w:val="center"/>
                          </w:tcPr>
                          <w:p w14:paraId="46E7B566" w14:textId="77777777" w:rsidR="00E77F0D" w:rsidRPr="00C251E9" w:rsidRDefault="00E77F0D" w:rsidP="00E77F0D">
                            <w:pPr>
                              <w:pStyle w:val="TMGTableText"/>
                              <w:jc w:val="center"/>
                            </w:pPr>
                            <w:r>
                              <w:rPr>
                                <w:rFonts w:eastAsiaTheme="minorEastAsia"/>
                              </w:rPr>
                              <w:t>115</w:t>
                            </w:r>
                          </w:p>
                        </w:tc>
                      </w:tr>
                      <w:tr w:rsidR="00E77F0D" w14:paraId="577B4BB3" w14:textId="77777777" w:rsidTr="009447E9">
                        <w:tc>
                          <w:tcPr>
                            <w:tcW w:w="2515" w:type="dxa"/>
                            <w:vAlign w:val="center"/>
                          </w:tcPr>
                          <w:p w14:paraId="677D8B52" w14:textId="77777777" w:rsidR="00E77F0D" w:rsidRPr="00C251E9" w:rsidRDefault="00E77F0D" w:rsidP="00E77F0D">
                            <w:pPr>
                              <w:pStyle w:val="TMGTableText"/>
                              <w:jc w:val="center"/>
                              <w:rPr>
                                <w:b/>
                                <w:bCs/>
                              </w:rPr>
                            </w:pPr>
                            <w:r w:rsidRPr="0051590D">
                              <w:rPr>
                                <w:rFonts w:eastAsiaTheme="minorEastAsia"/>
                              </w:rPr>
                              <w:t>18</w:t>
                            </w:r>
                          </w:p>
                        </w:tc>
                        <w:tc>
                          <w:tcPr>
                            <w:tcW w:w="1980" w:type="dxa"/>
                            <w:vAlign w:val="center"/>
                          </w:tcPr>
                          <w:p w14:paraId="5656B56F" w14:textId="77777777" w:rsidR="00E77F0D" w:rsidRPr="00C251E9" w:rsidRDefault="00E77F0D" w:rsidP="00E77F0D">
                            <w:pPr>
                              <w:pStyle w:val="TMGTableText"/>
                              <w:jc w:val="center"/>
                            </w:pPr>
                            <w:r>
                              <w:rPr>
                                <w:rFonts w:eastAsiaTheme="minorEastAsia"/>
                              </w:rPr>
                              <w:t>120</w:t>
                            </w:r>
                          </w:p>
                        </w:tc>
                      </w:tr>
                      <w:tr w:rsidR="00E77F0D" w14:paraId="34D104C2" w14:textId="77777777" w:rsidTr="009447E9">
                        <w:tc>
                          <w:tcPr>
                            <w:tcW w:w="2515" w:type="dxa"/>
                            <w:vAlign w:val="center"/>
                          </w:tcPr>
                          <w:p w14:paraId="3013ECD7" w14:textId="77777777" w:rsidR="00E77F0D" w:rsidRPr="00C251E9" w:rsidRDefault="00E77F0D" w:rsidP="00E77F0D">
                            <w:pPr>
                              <w:pStyle w:val="TMGTableText"/>
                              <w:jc w:val="center"/>
                              <w:rPr>
                                <w:b/>
                                <w:bCs/>
                              </w:rPr>
                            </w:pPr>
                            <w:r w:rsidRPr="0051590D">
                              <w:rPr>
                                <w:rFonts w:eastAsiaTheme="minorEastAsia"/>
                              </w:rPr>
                              <w:t>19</w:t>
                            </w:r>
                          </w:p>
                        </w:tc>
                        <w:tc>
                          <w:tcPr>
                            <w:tcW w:w="1980" w:type="dxa"/>
                            <w:vAlign w:val="center"/>
                          </w:tcPr>
                          <w:p w14:paraId="0771D3A5" w14:textId="77777777" w:rsidR="00E77F0D" w:rsidRPr="00C251E9" w:rsidRDefault="00E77F0D" w:rsidP="00E77F0D">
                            <w:pPr>
                              <w:pStyle w:val="TMGTableText"/>
                              <w:jc w:val="center"/>
                            </w:pPr>
                            <w:r>
                              <w:rPr>
                                <w:rFonts w:eastAsiaTheme="minorEastAsia"/>
                              </w:rPr>
                              <w:t>125</w:t>
                            </w:r>
                          </w:p>
                        </w:tc>
                      </w:tr>
                      <w:tr w:rsidR="00E77F0D" w14:paraId="5D19BF4F" w14:textId="77777777" w:rsidTr="009447E9">
                        <w:tc>
                          <w:tcPr>
                            <w:tcW w:w="2515" w:type="dxa"/>
                            <w:vAlign w:val="center"/>
                          </w:tcPr>
                          <w:p w14:paraId="51B05992" w14:textId="77777777" w:rsidR="00E77F0D" w:rsidRPr="00C251E9" w:rsidRDefault="00E77F0D" w:rsidP="00E77F0D">
                            <w:pPr>
                              <w:pStyle w:val="TMGTableText"/>
                              <w:jc w:val="center"/>
                              <w:rPr>
                                <w:b/>
                                <w:bCs/>
                              </w:rPr>
                            </w:pPr>
                            <w:r w:rsidRPr="0051590D">
                              <w:rPr>
                                <w:rFonts w:eastAsiaTheme="minorEastAsia"/>
                              </w:rPr>
                              <w:t>20</w:t>
                            </w:r>
                          </w:p>
                        </w:tc>
                        <w:tc>
                          <w:tcPr>
                            <w:tcW w:w="1980" w:type="dxa"/>
                            <w:vAlign w:val="center"/>
                          </w:tcPr>
                          <w:p w14:paraId="756920BC" w14:textId="77777777" w:rsidR="00E77F0D" w:rsidRPr="00C251E9" w:rsidRDefault="00E77F0D" w:rsidP="00E77F0D">
                            <w:pPr>
                              <w:pStyle w:val="TMGTableText"/>
                              <w:jc w:val="center"/>
                            </w:pPr>
                            <w:r>
                              <w:rPr>
                                <w:rFonts w:eastAsiaTheme="minorEastAsia"/>
                              </w:rPr>
                              <w:t>130</w:t>
                            </w:r>
                          </w:p>
                        </w:tc>
                      </w:tr>
                      <w:tr w:rsidR="00E77F0D" w14:paraId="06C1804F" w14:textId="77777777" w:rsidTr="009447E9">
                        <w:tc>
                          <w:tcPr>
                            <w:tcW w:w="2515" w:type="dxa"/>
                            <w:vAlign w:val="center"/>
                          </w:tcPr>
                          <w:p w14:paraId="3FCD3302" w14:textId="77777777" w:rsidR="00E77F0D" w:rsidRPr="00C251E9" w:rsidRDefault="00E77F0D" w:rsidP="00E77F0D">
                            <w:pPr>
                              <w:pStyle w:val="TMGTableText"/>
                              <w:jc w:val="center"/>
                              <w:rPr>
                                <w:b/>
                                <w:bCs/>
                              </w:rPr>
                            </w:pPr>
                            <w:r w:rsidRPr="0051590D">
                              <w:rPr>
                                <w:rFonts w:eastAsiaTheme="minorEastAsia"/>
                              </w:rPr>
                              <w:t>21</w:t>
                            </w:r>
                          </w:p>
                        </w:tc>
                        <w:tc>
                          <w:tcPr>
                            <w:tcW w:w="1980" w:type="dxa"/>
                            <w:vAlign w:val="center"/>
                          </w:tcPr>
                          <w:p w14:paraId="3E2AB07D" w14:textId="77777777" w:rsidR="00E77F0D" w:rsidRPr="00C251E9" w:rsidRDefault="00E77F0D" w:rsidP="00E77F0D">
                            <w:pPr>
                              <w:pStyle w:val="TMGTableText"/>
                              <w:jc w:val="center"/>
                            </w:pPr>
                            <w:r>
                              <w:rPr>
                                <w:rFonts w:eastAsiaTheme="minorEastAsia"/>
                              </w:rPr>
                              <w:t>135</w:t>
                            </w:r>
                          </w:p>
                        </w:tc>
                      </w:tr>
                      <w:tr w:rsidR="00E77F0D" w14:paraId="22222878" w14:textId="77777777" w:rsidTr="009447E9">
                        <w:tc>
                          <w:tcPr>
                            <w:tcW w:w="2515" w:type="dxa"/>
                            <w:vAlign w:val="center"/>
                          </w:tcPr>
                          <w:p w14:paraId="48640275" w14:textId="77777777" w:rsidR="00E77F0D" w:rsidRPr="00C251E9" w:rsidRDefault="00E77F0D" w:rsidP="00E77F0D">
                            <w:pPr>
                              <w:pStyle w:val="TMGTableText"/>
                              <w:jc w:val="center"/>
                              <w:rPr>
                                <w:b/>
                                <w:bCs/>
                              </w:rPr>
                            </w:pPr>
                            <w:r w:rsidRPr="0051590D">
                              <w:rPr>
                                <w:rFonts w:eastAsiaTheme="minorEastAsia"/>
                              </w:rPr>
                              <w:t>22</w:t>
                            </w:r>
                          </w:p>
                        </w:tc>
                        <w:tc>
                          <w:tcPr>
                            <w:tcW w:w="1980" w:type="dxa"/>
                            <w:vAlign w:val="center"/>
                          </w:tcPr>
                          <w:p w14:paraId="3FBF1F57" w14:textId="77777777" w:rsidR="00E77F0D" w:rsidRPr="00C251E9" w:rsidRDefault="00E77F0D" w:rsidP="00E77F0D">
                            <w:pPr>
                              <w:pStyle w:val="TMGTableText"/>
                              <w:jc w:val="center"/>
                            </w:pPr>
                            <w:r>
                              <w:rPr>
                                <w:rFonts w:eastAsiaTheme="minorEastAsia"/>
                              </w:rPr>
                              <w:t>140</w:t>
                            </w:r>
                          </w:p>
                        </w:tc>
                      </w:tr>
                      <w:tr w:rsidR="00E77F0D" w14:paraId="0FE3814E" w14:textId="77777777" w:rsidTr="009447E9">
                        <w:tc>
                          <w:tcPr>
                            <w:tcW w:w="2515" w:type="dxa"/>
                            <w:vAlign w:val="center"/>
                          </w:tcPr>
                          <w:p w14:paraId="13775199" w14:textId="77777777" w:rsidR="00E77F0D" w:rsidRPr="00C251E9" w:rsidRDefault="00E77F0D" w:rsidP="00E77F0D">
                            <w:pPr>
                              <w:pStyle w:val="TMGTableText"/>
                              <w:jc w:val="center"/>
                              <w:rPr>
                                <w:b/>
                                <w:bCs/>
                              </w:rPr>
                            </w:pPr>
                            <w:r w:rsidRPr="0051590D">
                              <w:rPr>
                                <w:rFonts w:eastAsiaTheme="minorEastAsia"/>
                              </w:rPr>
                              <w:t>23</w:t>
                            </w:r>
                          </w:p>
                        </w:tc>
                        <w:tc>
                          <w:tcPr>
                            <w:tcW w:w="1980" w:type="dxa"/>
                            <w:vAlign w:val="center"/>
                          </w:tcPr>
                          <w:p w14:paraId="6382116D" w14:textId="77777777" w:rsidR="00E77F0D" w:rsidRPr="00C251E9" w:rsidRDefault="00E77F0D" w:rsidP="00E77F0D">
                            <w:pPr>
                              <w:pStyle w:val="TMGTableText"/>
                              <w:jc w:val="center"/>
                            </w:pPr>
                            <w:r>
                              <w:rPr>
                                <w:rFonts w:eastAsiaTheme="minorEastAsia"/>
                              </w:rPr>
                              <w:t>145</w:t>
                            </w:r>
                          </w:p>
                        </w:tc>
                      </w:tr>
                      <w:tr w:rsidR="00E77F0D" w14:paraId="0CCFAD8D" w14:textId="77777777" w:rsidTr="009447E9">
                        <w:tc>
                          <w:tcPr>
                            <w:tcW w:w="2515" w:type="dxa"/>
                            <w:vAlign w:val="center"/>
                          </w:tcPr>
                          <w:p w14:paraId="25E446BC" w14:textId="77777777" w:rsidR="00E77F0D" w:rsidRPr="00C251E9" w:rsidRDefault="00E77F0D" w:rsidP="00E77F0D">
                            <w:pPr>
                              <w:pStyle w:val="TMGTableText"/>
                              <w:jc w:val="center"/>
                              <w:rPr>
                                <w:b/>
                                <w:bCs/>
                              </w:rPr>
                            </w:pPr>
                            <w:r w:rsidRPr="0051590D">
                              <w:rPr>
                                <w:rFonts w:eastAsiaTheme="minorEastAsia"/>
                              </w:rPr>
                              <w:t>24</w:t>
                            </w:r>
                          </w:p>
                        </w:tc>
                        <w:tc>
                          <w:tcPr>
                            <w:tcW w:w="1980" w:type="dxa"/>
                            <w:vAlign w:val="center"/>
                          </w:tcPr>
                          <w:p w14:paraId="417A5305" w14:textId="77777777" w:rsidR="00E77F0D" w:rsidRPr="00C251E9" w:rsidRDefault="00E77F0D" w:rsidP="00E77F0D">
                            <w:pPr>
                              <w:pStyle w:val="TMGTableText"/>
                              <w:jc w:val="center"/>
                            </w:pPr>
                            <w:r>
                              <w:rPr>
                                <w:rFonts w:eastAsiaTheme="minorEastAsia"/>
                              </w:rPr>
                              <w:t>150</w:t>
                            </w:r>
                          </w:p>
                        </w:tc>
                      </w:tr>
                      <w:tr w:rsidR="00E77F0D" w14:paraId="46335B2D" w14:textId="77777777" w:rsidTr="009447E9">
                        <w:tc>
                          <w:tcPr>
                            <w:tcW w:w="2515" w:type="dxa"/>
                            <w:vAlign w:val="center"/>
                          </w:tcPr>
                          <w:p w14:paraId="1641BFAF" w14:textId="77777777" w:rsidR="00E77F0D" w:rsidRPr="00C251E9" w:rsidRDefault="00E77F0D" w:rsidP="00E77F0D">
                            <w:pPr>
                              <w:pStyle w:val="TMGTableText"/>
                              <w:jc w:val="center"/>
                              <w:rPr>
                                <w:b/>
                                <w:bCs/>
                              </w:rPr>
                            </w:pPr>
                            <w:r w:rsidRPr="0051590D">
                              <w:rPr>
                                <w:rFonts w:eastAsiaTheme="minorEastAsia"/>
                              </w:rPr>
                              <w:t>25</w:t>
                            </w:r>
                          </w:p>
                        </w:tc>
                        <w:tc>
                          <w:tcPr>
                            <w:tcW w:w="1980" w:type="dxa"/>
                            <w:vAlign w:val="center"/>
                          </w:tcPr>
                          <w:p w14:paraId="73635EA8" w14:textId="77777777" w:rsidR="00E77F0D" w:rsidRPr="00C251E9" w:rsidRDefault="00E77F0D" w:rsidP="00E77F0D">
                            <w:pPr>
                              <w:pStyle w:val="TMGTableText"/>
                              <w:jc w:val="center"/>
                            </w:pPr>
                            <w:r>
                              <w:rPr>
                                <w:rFonts w:eastAsiaTheme="minorEastAsia"/>
                              </w:rPr>
                              <w:t>155</w:t>
                            </w:r>
                          </w:p>
                        </w:tc>
                      </w:tr>
                    </w:tbl>
                    <w:p w14:paraId="0590008E" w14:textId="77777777" w:rsidR="00E77F0D" w:rsidRDefault="00E77F0D" w:rsidP="00E77F0D"/>
                  </w:txbxContent>
                </v:textbox>
                <w10:wrap type="square" anchorx="margin"/>
              </v:shape>
            </w:pict>
          </mc:Fallback>
        </mc:AlternateContent>
      </w:r>
      <w:r w:rsidR="009B7AED">
        <w:t xml:space="preserve">If this field is left blank the record should contain data in 15 speed bins; the first bin is defined as all vehicles traveling 20 mph or slower, and the last bin is defined as all vehicles traveling faster than 85 mph. The length of the record for 15 speed bins is 105 columns wide. </w:t>
      </w:r>
    </w:p>
    <w:p w14:paraId="643C9E01" w14:textId="564D71CC" w:rsidR="009B7AED" w:rsidRDefault="009B7AED" w:rsidP="00B35A5D">
      <w:pPr>
        <w:pStyle w:val="BulletcontinuedBulletsandNumbering"/>
        <w:tabs>
          <w:tab w:val="clear" w:pos="1440"/>
        </w:tabs>
        <w:ind w:left="648"/>
      </w:pPr>
      <w:r>
        <w:t>If the State is supplying data in additional speed bins, indicate the total number of speed</w:t>
      </w:r>
      <w:r w:rsidR="00756A88">
        <w:t> </w:t>
      </w:r>
      <w:r>
        <w:t>bins being reported. This value is used</w:t>
      </w:r>
      <w:r w:rsidR="00756A88">
        <w:t> </w:t>
      </w:r>
      <w:r>
        <w:t>to determine the correct record length (</w:t>
      </w:r>
      <w:fldSimple w:instr=" REF _Ref111034329 ">
        <w:r w:rsidR="00C07DF9">
          <w:t xml:space="preserve">Table </w:t>
        </w:r>
        <w:r w:rsidR="00C07DF9">
          <w:rPr>
            <w:noProof/>
          </w:rPr>
          <w:t>4</w:t>
        </w:r>
        <w:r w:rsidR="00C07DF9">
          <w:noBreakHyphen/>
        </w:r>
        <w:r w:rsidR="00C07DF9">
          <w:rPr>
            <w:noProof/>
          </w:rPr>
          <w:t>13</w:t>
        </w:r>
      </w:fldSimple>
      <w:r>
        <w:t xml:space="preserve">). </w:t>
      </w:r>
    </w:p>
    <w:p w14:paraId="3AFC64E0" w14:textId="77777777" w:rsidR="009B7AED" w:rsidRDefault="009B7AED" w:rsidP="00B35A5D">
      <w:pPr>
        <w:pStyle w:val="BulletcontinuedBulletsandNumbering"/>
        <w:tabs>
          <w:tab w:val="clear" w:pos="1440"/>
        </w:tabs>
        <w:ind w:left="648"/>
      </w:pPr>
      <w:r>
        <w:t xml:space="preserve">When used in conjunction with </w:t>
      </w:r>
      <w:r w:rsidRPr="0051590D">
        <w:rPr>
          <w:rFonts w:eastAsiaTheme="minorEastAsia"/>
        </w:rPr>
        <w:t>Definition of First Speed Bin</w:t>
      </w:r>
      <w:r>
        <w:t xml:space="preserve"> (Column 23) it is possible to determine the definition of all speed bins being submitted. </w:t>
      </w:r>
    </w:p>
    <w:p w14:paraId="7FB6B672" w14:textId="77777777" w:rsidR="009B7AED" w:rsidRPr="00241E67" w:rsidRDefault="009B7AED">
      <w:pPr>
        <w:pStyle w:val="ListCS1BulletsandNumbering"/>
        <w:numPr>
          <w:ilvl w:val="0"/>
          <w:numId w:val="46"/>
        </w:numPr>
        <w:spacing w:before="0" w:after="120"/>
        <w:ind w:left="648"/>
      </w:pPr>
      <w:r w:rsidRPr="00241E67">
        <w:t xml:space="preserve">Restrictions (Column </w:t>
      </w:r>
      <w:r>
        <w:t>26</w:t>
      </w:r>
      <w:r w:rsidRPr="00241E67">
        <w:t xml:space="preserve">) – </w:t>
      </w:r>
      <w:r>
        <w:rPr>
          <w:bCs/>
          <w:i/>
          <w:iCs/>
        </w:rPr>
        <w:t>Required</w:t>
      </w:r>
    </w:p>
    <w:p w14:paraId="1F8221C9" w14:textId="77777777" w:rsidR="009B7AED" w:rsidRPr="00241E67" w:rsidRDefault="009B7AED" w:rsidP="00B35A5D">
      <w:pPr>
        <w:pStyle w:val="BulletcontinuedBulletsandNumbering"/>
        <w:tabs>
          <w:tab w:val="clear" w:pos="1440"/>
        </w:tabs>
        <w:ind w:left="648"/>
      </w:pPr>
      <w:r w:rsidRPr="00241E67">
        <w:t>0 = no restrictions</w:t>
      </w:r>
    </w:p>
    <w:p w14:paraId="5E56E4EC" w14:textId="77777777" w:rsidR="009B7AED" w:rsidRPr="00241E67" w:rsidRDefault="009B7AED" w:rsidP="00B35A5D">
      <w:pPr>
        <w:pStyle w:val="BulletcontinuedBulletsandNumbering"/>
        <w:tabs>
          <w:tab w:val="clear" w:pos="1440"/>
        </w:tabs>
        <w:ind w:left="648"/>
      </w:pPr>
      <w:r w:rsidRPr="00241E67">
        <w:t>1 = construction or other activity affected traffic flow, traffic pattern not impacted</w:t>
      </w:r>
    </w:p>
    <w:p w14:paraId="469927D2" w14:textId="77777777" w:rsidR="009B7AED" w:rsidRPr="00241E67" w:rsidRDefault="009B7AED" w:rsidP="00B35A5D">
      <w:pPr>
        <w:pStyle w:val="BulletcontinuedBulletsandNumbering"/>
        <w:tabs>
          <w:tab w:val="clear" w:pos="1440"/>
        </w:tabs>
        <w:ind w:left="648"/>
      </w:pPr>
      <w:r w:rsidRPr="00241E67">
        <w:t xml:space="preserve">2 = traffic counting device problem (e.g., malfunction or overflow) </w:t>
      </w:r>
    </w:p>
    <w:p w14:paraId="7C998751" w14:textId="77777777" w:rsidR="009B7AED" w:rsidRPr="00241E67" w:rsidRDefault="009B7AED" w:rsidP="00B35A5D">
      <w:pPr>
        <w:pStyle w:val="BulletcontinuedBulletsandNumbering"/>
        <w:tabs>
          <w:tab w:val="clear" w:pos="1440"/>
        </w:tabs>
        <w:ind w:left="648"/>
      </w:pPr>
      <w:r w:rsidRPr="00241E67">
        <w:t>3 = weather affected traffic flow, traffic pattern not impacted</w:t>
      </w:r>
    </w:p>
    <w:p w14:paraId="28E91B13" w14:textId="77777777" w:rsidR="009B7AED" w:rsidRPr="00241E67" w:rsidRDefault="009B7AED" w:rsidP="00B35A5D">
      <w:pPr>
        <w:pStyle w:val="BulletcontinuedBulletsandNumbering"/>
        <w:tabs>
          <w:tab w:val="clear" w:pos="1440"/>
        </w:tabs>
        <w:ind w:left="648"/>
      </w:pPr>
      <w:r w:rsidRPr="00241E67">
        <w:lastRenderedPageBreak/>
        <w:t>4 = construction or other activity affected traffic flow, traffic pattern impacted</w:t>
      </w:r>
    </w:p>
    <w:p w14:paraId="11C06A11" w14:textId="77777777" w:rsidR="009B7AED" w:rsidRPr="00241E67" w:rsidRDefault="009B7AED" w:rsidP="00B35A5D">
      <w:pPr>
        <w:pStyle w:val="BulletcontinuedBulletsandNumbering"/>
        <w:tabs>
          <w:tab w:val="clear" w:pos="1440"/>
        </w:tabs>
        <w:ind w:left="648"/>
      </w:pPr>
      <w:r w:rsidRPr="00241E67">
        <w:t>5 = weather affected traffic flow, traffic pattern impacted</w:t>
      </w:r>
    </w:p>
    <w:p w14:paraId="1DB1D091" w14:textId="77777777" w:rsidR="009B7AED" w:rsidRPr="00241E67" w:rsidRDefault="009B7AED" w:rsidP="00B35A5D">
      <w:pPr>
        <w:pStyle w:val="BulletcontinuedBulletsandNumbering"/>
        <w:tabs>
          <w:tab w:val="clear" w:pos="1440"/>
        </w:tabs>
        <w:ind w:left="648"/>
      </w:pPr>
      <w:r w:rsidRPr="00241E67">
        <w:t>6 = none-regular event/trend</w:t>
      </w:r>
    </w:p>
    <w:p w14:paraId="499AFB9B" w14:textId="77777777" w:rsidR="009B7AED" w:rsidRPr="00241E67" w:rsidRDefault="009B7AED" w:rsidP="00B35A5D">
      <w:pPr>
        <w:pStyle w:val="BulletcontinuedBulletsandNumbering"/>
        <w:tabs>
          <w:tab w:val="clear" w:pos="1440"/>
        </w:tabs>
        <w:ind w:left="648"/>
      </w:pPr>
      <w:r w:rsidRPr="00241E67">
        <w:t>7 = special event one day</w:t>
      </w:r>
    </w:p>
    <w:p w14:paraId="59B3343C" w14:textId="77777777" w:rsidR="009B7AED" w:rsidRDefault="009B7AED" w:rsidP="00B35A5D">
      <w:pPr>
        <w:pStyle w:val="BulletcontinuedBulletsandNumbering"/>
        <w:tabs>
          <w:tab w:val="clear" w:pos="1440"/>
        </w:tabs>
        <w:ind w:left="648"/>
      </w:pPr>
      <w:r w:rsidRPr="00241E67">
        <w:t>8 = special event more than one day</w:t>
      </w:r>
    </w:p>
    <w:p w14:paraId="4AE7D436" w14:textId="77777777" w:rsidR="009B7AED" w:rsidRDefault="009B7AED">
      <w:pPr>
        <w:pStyle w:val="ListCS1BulletsandNumbering"/>
        <w:numPr>
          <w:ilvl w:val="0"/>
          <w:numId w:val="46"/>
        </w:numPr>
        <w:spacing w:before="0" w:after="120"/>
        <w:ind w:left="648"/>
      </w:pPr>
      <w:r>
        <w:t xml:space="preserve">Total Interval Volume (Columns 27-31) – </w:t>
      </w:r>
      <w:r>
        <w:rPr>
          <w:rStyle w:val="Italic"/>
          <w:iCs/>
        </w:rPr>
        <w:t>Optional</w:t>
      </w:r>
    </w:p>
    <w:p w14:paraId="3AC50378" w14:textId="77777777" w:rsidR="009B7AED" w:rsidRDefault="009B7AED" w:rsidP="00B35A5D">
      <w:pPr>
        <w:pStyle w:val="BulletcontinuedBulletsandNumbering"/>
        <w:tabs>
          <w:tab w:val="clear" w:pos="1440"/>
        </w:tabs>
        <w:ind w:left="648"/>
      </w:pPr>
      <w:r>
        <w:t>This numeric field is the total traffic volume for the interval covering all speed bins. For example, for the interval of 0.0-14.999 for hour 1 of April 11, 2020, the Volume data are total number of vehicles counted in all the speed bins during that time period. If all are measured and counted, this number will be equal to the summation of counts for all speed bins for that time interval. If the total volume is not collected, leave this field blank.</w:t>
      </w:r>
    </w:p>
    <w:p w14:paraId="3322E2FE" w14:textId="77777777" w:rsidR="009B7AED" w:rsidRDefault="009B7AED" w:rsidP="00B35A5D">
      <w:pPr>
        <w:pStyle w:val="BulletcontinuedBulletsandNumbering"/>
        <w:tabs>
          <w:tab w:val="clear" w:pos="1440"/>
        </w:tabs>
        <w:ind w:left="648"/>
      </w:pPr>
      <w:r>
        <w:t xml:space="preserve">The following speed count fields are numeric fields with the traffic volume by vehicle speed for each interval being reported. Traffic volumes in each speed bin for each reporting interval should be entered as zero-filled or blank-filled right-justified integers in the appropriate columns. </w:t>
      </w:r>
    </w:p>
    <w:p w14:paraId="5C6B004A" w14:textId="77777777" w:rsidR="009B7AED" w:rsidRDefault="009B7AED">
      <w:pPr>
        <w:pStyle w:val="ListCS1BulletsandNumbering"/>
        <w:numPr>
          <w:ilvl w:val="0"/>
          <w:numId w:val="46"/>
        </w:numPr>
        <w:spacing w:before="0" w:after="120"/>
        <w:ind w:left="648"/>
      </w:pPr>
      <w:r w:rsidRPr="000538D2">
        <w:t>Bin</w:t>
      </w:r>
      <w:r>
        <w:rPr>
          <w:rStyle w:val="Bold"/>
        </w:rPr>
        <w:t xml:space="preserve"> 1 Count</w:t>
      </w:r>
      <w:r>
        <w:t xml:space="preserve"> (Columns 32-36) – </w:t>
      </w:r>
      <w:r>
        <w:rPr>
          <w:rStyle w:val="bolditalic"/>
        </w:rPr>
        <w:t>Required</w:t>
      </w:r>
    </w:p>
    <w:p w14:paraId="0FF704CE" w14:textId="77777777" w:rsidR="009B7AED" w:rsidRDefault="009B7AED" w:rsidP="00B35A5D">
      <w:pPr>
        <w:pStyle w:val="BulletcontinuedBulletsandNumbering"/>
        <w:tabs>
          <w:tab w:val="clear" w:pos="1440"/>
        </w:tabs>
        <w:ind w:left="648"/>
        <w:rPr>
          <w:rStyle w:val="Bold"/>
          <w:bCs/>
        </w:rPr>
      </w:pPr>
      <w:r>
        <w:t xml:space="preserve">Bin 1 includes the number of vehicles in the slowest speed range being submitted. Right justify the integer volume number in the data entry field. The default condition for this speed bin is “all vehicles traveling equal to or slower than 20 mph.” If a different definition is used, </w:t>
      </w:r>
      <w:r w:rsidRPr="0051590D">
        <w:rPr>
          <w:rFonts w:eastAsiaTheme="minorEastAsia"/>
        </w:rPr>
        <w:t>Definition of First Speed Bin</w:t>
      </w:r>
      <w:r>
        <w:t xml:space="preserve"> (Column 23) should be used to define this speed bin. If there are no vehicles observed in this speed range during the time period being reported, </w:t>
      </w:r>
      <w:r>
        <w:rPr>
          <w:rStyle w:val="Bold"/>
        </w:rPr>
        <w:t>enter “0”, not “ “ (blank), to indicate that there are no vehicles in this speed range, and enter “0” similarly for each speed bin below.</w:t>
      </w:r>
    </w:p>
    <w:p w14:paraId="12801839" w14:textId="77777777" w:rsidR="009B7AED" w:rsidRDefault="009B7AED">
      <w:pPr>
        <w:pStyle w:val="ListCS1BulletsandNumbering"/>
        <w:numPr>
          <w:ilvl w:val="0"/>
          <w:numId w:val="46"/>
        </w:numPr>
        <w:spacing w:before="0" w:after="120"/>
        <w:ind w:left="648"/>
      </w:pPr>
      <w:r w:rsidRPr="000538D2">
        <w:t>Bin</w:t>
      </w:r>
      <w:r>
        <w:rPr>
          <w:rStyle w:val="Bold"/>
        </w:rPr>
        <w:t xml:space="preserve"> 2 Count </w:t>
      </w:r>
      <w:r>
        <w:t xml:space="preserve">(Columns 37-41) – </w:t>
      </w:r>
      <w:r>
        <w:rPr>
          <w:rStyle w:val="bolditalic"/>
        </w:rPr>
        <w:t>Required</w:t>
      </w:r>
    </w:p>
    <w:p w14:paraId="572DFDD3" w14:textId="77777777" w:rsidR="009B7AED" w:rsidRDefault="009B7AED" w:rsidP="00B35A5D">
      <w:pPr>
        <w:pStyle w:val="BulletcontinuedBulletsandNumbering"/>
        <w:tabs>
          <w:tab w:val="clear" w:pos="1440"/>
        </w:tabs>
        <w:ind w:left="648"/>
      </w:pPr>
      <w:r>
        <w:t>Bin 2 includes the number of vehicles in the second slowest speed range being submitted. Right justify the integer volume number in the data entry field. If there are no vehicles observed in this speed range during the time period being reported, enter “0.”</w:t>
      </w:r>
    </w:p>
    <w:p w14:paraId="1A6F6D8F" w14:textId="77777777" w:rsidR="009B7AED" w:rsidRDefault="009B7AED">
      <w:pPr>
        <w:pStyle w:val="ListCS1BulletsandNumbering"/>
        <w:numPr>
          <w:ilvl w:val="0"/>
          <w:numId w:val="46"/>
        </w:numPr>
        <w:spacing w:before="0" w:after="120"/>
        <w:ind w:left="648"/>
      </w:pPr>
      <w:r>
        <w:rPr>
          <w:rStyle w:val="Bold"/>
        </w:rPr>
        <w:t xml:space="preserve">Bin 3 Count </w:t>
      </w:r>
      <w:r>
        <w:t xml:space="preserve">(Columns 42-46) – </w:t>
      </w:r>
      <w:r>
        <w:rPr>
          <w:rStyle w:val="bolditalic"/>
        </w:rPr>
        <w:t>Required</w:t>
      </w:r>
    </w:p>
    <w:p w14:paraId="3FCABBA0" w14:textId="77777777" w:rsidR="009B7AED" w:rsidRDefault="009B7AED" w:rsidP="00B35A5D">
      <w:pPr>
        <w:pStyle w:val="BulletcontinuedBulletsandNumbering"/>
        <w:tabs>
          <w:tab w:val="clear" w:pos="1440"/>
        </w:tabs>
        <w:ind w:left="648"/>
      </w:pPr>
      <w:r>
        <w:t>Bin 3 includes the number of vehicles in the third speed range being submitted. Right justify the integer volume number in the data entry field. If there are no vehicles observed in this speed range during the time period being reported, enter “0.”</w:t>
      </w:r>
    </w:p>
    <w:p w14:paraId="5F8CB733" w14:textId="77777777" w:rsidR="009B7AED" w:rsidRDefault="009B7AED">
      <w:pPr>
        <w:pStyle w:val="ListCS1BulletsandNumbering"/>
        <w:numPr>
          <w:ilvl w:val="0"/>
          <w:numId w:val="46"/>
        </w:numPr>
        <w:spacing w:before="0" w:after="120"/>
        <w:ind w:left="648"/>
      </w:pPr>
      <w:r w:rsidRPr="000538D2">
        <w:t>Bin</w:t>
      </w:r>
      <w:r>
        <w:rPr>
          <w:rStyle w:val="Bold"/>
        </w:rPr>
        <w:t xml:space="preserve"> 4 Count</w:t>
      </w:r>
      <w:r>
        <w:t xml:space="preserve"> (Columns 47-51) – </w:t>
      </w:r>
      <w:r>
        <w:rPr>
          <w:rStyle w:val="bolditalic"/>
        </w:rPr>
        <w:t>Required</w:t>
      </w:r>
    </w:p>
    <w:p w14:paraId="345D03B5" w14:textId="77777777" w:rsidR="009B7AED" w:rsidRDefault="009B7AED" w:rsidP="00B35A5D">
      <w:pPr>
        <w:pStyle w:val="BulletcontinuedBulletsandNumbering"/>
        <w:tabs>
          <w:tab w:val="clear" w:pos="1440"/>
        </w:tabs>
        <w:ind w:left="648"/>
      </w:pPr>
      <w:r>
        <w:t>Bin 4 includes the number of vehicles in the fourth speed range being submitted. Right justify the integer volume number in the data entry field. If there are no vehicles observed in this speed range during the time period being reported, enter “0.”</w:t>
      </w:r>
    </w:p>
    <w:p w14:paraId="6F640AF9" w14:textId="77777777" w:rsidR="009B7AED" w:rsidRDefault="009B7AED">
      <w:pPr>
        <w:pStyle w:val="ListCS1BulletsandNumbering"/>
        <w:numPr>
          <w:ilvl w:val="0"/>
          <w:numId w:val="46"/>
        </w:numPr>
        <w:spacing w:before="0" w:after="120"/>
        <w:ind w:left="648"/>
      </w:pPr>
      <w:r w:rsidRPr="000538D2">
        <w:t>Bin</w:t>
      </w:r>
      <w:r>
        <w:rPr>
          <w:rStyle w:val="Bold"/>
        </w:rPr>
        <w:t xml:space="preserve"> 5 Count</w:t>
      </w:r>
      <w:r>
        <w:t xml:space="preserve"> (Columns 52-56) – </w:t>
      </w:r>
      <w:r>
        <w:rPr>
          <w:rStyle w:val="bolditalic"/>
        </w:rPr>
        <w:t>Required</w:t>
      </w:r>
    </w:p>
    <w:p w14:paraId="6C05D296" w14:textId="77777777" w:rsidR="009B7AED" w:rsidRDefault="009B7AED" w:rsidP="00B35A5D">
      <w:pPr>
        <w:pStyle w:val="BulletcontinuedBulletsandNumbering"/>
        <w:tabs>
          <w:tab w:val="clear" w:pos="1440"/>
        </w:tabs>
        <w:ind w:left="648"/>
      </w:pPr>
      <w:r>
        <w:t>Bin 5 includes the number of vehicles in the fifth speed range being submitted. Right justify the integer volume number in the data entry field. If there are no vehicles observed in this speed range during the time period being reported, enter “0.”</w:t>
      </w:r>
    </w:p>
    <w:p w14:paraId="366CC67E" w14:textId="77777777" w:rsidR="009B7AED" w:rsidRDefault="009B7AED">
      <w:pPr>
        <w:pStyle w:val="ListCS1BulletsandNumbering"/>
        <w:numPr>
          <w:ilvl w:val="0"/>
          <w:numId w:val="46"/>
        </w:numPr>
        <w:spacing w:before="0" w:after="120"/>
        <w:ind w:left="648"/>
      </w:pPr>
      <w:r w:rsidRPr="000538D2">
        <w:t>Bin</w:t>
      </w:r>
      <w:r>
        <w:rPr>
          <w:rStyle w:val="Bold"/>
        </w:rPr>
        <w:t xml:space="preserve"> 6 Count </w:t>
      </w:r>
      <w:r>
        <w:t xml:space="preserve">(Columns 57-61) – </w:t>
      </w:r>
      <w:r>
        <w:rPr>
          <w:rStyle w:val="bolditalic"/>
        </w:rPr>
        <w:t>Required</w:t>
      </w:r>
    </w:p>
    <w:p w14:paraId="0607AF50" w14:textId="0313A398" w:rsidR="00B35A5D" w:rsidRDefault="009B7AED" w:rsidP="00B35A5D">
      <w:pPr>
        <w:pStyle w:val="BulletcontinuedBulletsandNumbering"/>
        <w:tabs>
          <w:tab w:val="clear" w:pos="1440"/>
        </w:tabs>
        <w:ind w:left="648"/>
      </w:pPr>
      <w:r>
        <w:t>Bin 6 includes the number of vehicles in the sixth speed range being submitted. Right justify the integer volume number in the data entry field. If there are no vehicles observed in this speed range during the time period being reported, enter “0.”</w:t>
      </w:r>
    </w:p>
    <w:p w14:paraId="2377A808" w14:textId="77777777" w:rsidR="00B35A5D" w:rsidRDefault="00B35A5D">
      <w:pPr>
        <w:widowControl/>
        <w:suppressAutoHyphens w:val="0"/>
        <w:autoSpaceDE/>
        <w:autoSpaceDN/>
        <w:adjustRightInd/>
        <w:spacing w:after="160" w:line="259" w:lineRule="auto"/>
        <w:jc w:val="left"/>
        <w:textAlignment w:val="auto"/>
        <w:rPr>
          <w:color w:val="auto"/>
        </w:rPr>
      </w:pPr>
      <w:r>
        <w:br w:type="page"/>
      </w:r>
    </w:p>
    <w:p w14:paraId="6FDD33E0" w14:textId="77777777" w:rsidR="009B7AED" w:rsidRDefault="009B7AED">
      <w:pPr>
        <w:pStyle w:val="ListCS1BulletsandNumbering"/>
        <w:numPr>
          <w:ilvl w:val="0"/>
          <w:numId w:val="46"/>
        </w:numPr>
        <w:spacing w:before="0" w:after="120"/>
        <w:ind w:left="648"/>
      </w:pPr>
      <w:r w:rsidRPr="000538D2">
        <w:lastRenderedPageBreak/>
        <w:t>Bin</w:t>
      </w:r>
      <w:r>
        <w:rPr>
          <w:rStyle w:val="Bold"/>
        </w:rPr>
        <w:t xml:space="preserve"> 7 Count </w:t>
      </w:r>
      <w:r>
        <w:t xml:space="preserve">(Columns 62-66) – </w:t>
      </w:r>
      <w:r>
        <w:rPr>
          <w:rStyle w:val="bolditalic"/>
        </w:rPr>
        <w:t>Required</w:t>
      </w:r>
    </w:p>
    <w:p w14:paraId="141C11D6" w14:textId="77777777" w:rsidR="009B7AED" w:rsidRDefault="009B7AED" w:rsidP="00B35A5D">
      <w:pPr>
        <w:pStyle w:val="BulletcontinuedBulletsandNumbering"/>
        <w:tabs>
          <w:tab w:val="clear" w:pos="1440"/>
        </w:tabs>
        <w:ind w:left="648"/>
      </w:pPr>
      <w:r>
        <w:t>Bin 7 includes the number of vehicles in the seventh speed range being submitted. Right justify the integer volume number in the data entry field. If there are no vehicles observed in this speed range during the time period being reported, enter “0.”</w:t>
      </w:r>
    </w:p>
    <w:p w14:paraId="13E50328" w14:textId="77777777" w:rsidR="009B7AED" w:rsidRDefault="009B7AED">
      <w:pPr>
        <w:pStyle w:val="ListCS1BulletsandNumbering"/>
        <w:numPr>
          <w:ilvl w:val="0"/>
          <w:numId w:val="46"/>
        </w:numPr>
        <w:spacing w:before="0" w:after="120"/>
        <w:ind w:left="648"/>
      </w:pPr>
      <w:r w:rsidRPr="000538D2">
        <w:t>Bin</w:t>
      </w:r>
      <w:r>
        <w:rPr>
          <w:rStyle w:val="Bold"/>
        </w:rPr>
        <w:t xml:space="preserve"> 8 Count </w:t>
      </w:r>
      <w:r>
        <w:t xml:space="preserve">(Columns 67-71) – </w:t>
      </w:r>
      <w:r>
        <w:rPr>
          <w:rStyle w:val="bolditalic"/>
        </w:rPr>
        <w:t>Required</w:t>
      </w:r>
    </w:p>
    <w:p w14:paraId="53B6C2C9" w14:textId="77777777" w:rsidR="009B7AED" w:rsidRDefault="009B7AED" w:rsidP="00B35A5D">
      <w:pPr>
        <w:pStyle w:val="BulletcontinuedBulletsandNumbering"/>
        <w:tabs>
          <w:tab w:val="clear" w:pos="1440"/>
        </w:tabs>
        <w:ind w:left="648"/>
      </w:pPr>
      <w:r>
        <w:t>Bin 8 includes the number of vehicles in the eighth speed range being submitted. Right justify the integer volume number in the data entry field. If there are no vehicles observed in this speed range during the time period being reported, enter “0.”</w:t>
      </w:r>
    </w:p>
    <w:p w14:paraId="255B8E22" w14:textId="77777777" w:rsidR="009B7AED" w:rsidRDefault="009B7AED">
      <w:pPr>
        <w:pStyle w:val="ListCS1BulletsandNumbering"/>
        <w:numPr>
          <w:ilvl w:val="0"/>
          <w:numId w:val="46"/>
        </w:numPr>
        <w:spacing w:before="0" w:after="120"/>
        <w:ind w:left="648"/>
      </w:pPr>
      <w:r w:rsidRPr="000538D2">
        <w:t>Bin</w:t>
      </w:r>
      <w:r>
        <w:rPr>
          <w:rStyle w:val="Bold"/>
        </w:rPr>
        <w:t xml:space="preserve"> 9 Count </w:t>
      </w:r>
      <w:r>
        <w:t xml:space="preserve">(Columns 72-76) – </w:t>
      </w:r>
      <w:r>
        <w:rPr>
          <w:rStyle w:val="bolditalic"/>
        </w:rPr>
        <w:t>Required</w:t>
      </w:r>
    </w:p>
    <w:p w14:paraId="44688485" w14:textId="77777777" w:rsidR="009B7AED" w:rsidRDefault="009B7AED" w:rsidP="00B35A5D">
      <w:pPr>
        <w:pStyle w:val="BulletcontinuedBulletsandNumbering"/>
        <w:tabs>
          <w:tab w:val="clear" w:pos="1440"/>
        </w:tabs>
        <w:ind w:left="648"/>
      </w:pPr>
      <w:r>
        <w:t>Bin 9 includes the number of vehicles in the ninth speed range being submitted. Right justify the integer volume number in the data entry field. If there are no vehicles observed in this speed range during the time period being reported, enter “0.”</w:t>
      </w:r>
    </w:p>
    <w:p w14:paraId="78B0B7CE" w14:textId="77777777" w:rsidR="009B7AED" w:rsidRDefault="009B7AED">
      <w:pPr>
        <w:pStyle w:val="ListCS1BulletsandNumbering"/>
        <w:numPr>
          <w:ilvl w:val="0"/>
          <w:numId w:val="46"/>
        </w:numPr>
        <w:spacing w:before="0" w:after="120"/>
        <w:ind w:left="648"/>
      </w:pPr>
      <w:r>
        <w:rPr>
          <w:rStyle w:val="Bold"/>
        </w:rPr>
        <w:t xml:space="preserve">Bin 10 Count </w:t>
      </w:r>
      <w:r>
        <w:t xml:space="preserve">(Columns 77-81) – </w:t>
      </w:r>
      <w:r>
        <w:rPr>
          <w:rStyle w:val="bolditalic"/>
        </w:rPr>
        <w:t>Required</w:t>
      </w:r>
    </w:p>
    <w:p w14:paraId="2E8863B5" w14:textId="77777777" w:rsidR="009B7AED" w:rsidRDefault="009B7AED" w:rsidP="00B35A5D">
      <w:pPr>
        <w:pStyle w:val="BulletcontinuedBulletsandNumbering"/>
        <w:tabs>
          <w:tab w:val="clear" w:pos="1440"/>
        </w:tabs>
        <w:ind w:left="648"/>
      </w:pPr>
      <w:r>
        <w:t>Bin 10 includes the number of vehicles in the tenth speed range being submitted. Right justify the integer volume number in the data entry field. If there are no vehicles observed in this speed range during the time period being reported, enter “0.”</w:t>
      </w:r>
    </w:p>
    <w:p w14:paraId="4165D29F" w14:textId="77777777" w:rsidR="009B7AED" w:rsidRDefault="009B7AED">
      <w:pPr>
        <w:pStyle w:val="ListCS1BulletsandNumbering"/>
        <w:numPr>
          <w:ilvl w:val="0"/>
          <w:numId w:val="46"/>
        </w:numPr>
        <w:spacing w:before="0" w:after="120"/>
        <w:ind w:left="648"/>
      </w:pPr>
      <w:r>
        <w:rPr>
          <w:rStyle w:val="Bold"/>
        </w:rPr>
        <w:t>Bin 11 Count</w:t>
      </w:r>
      <w:r>
        <w:t xml:space="preserve"> (Columns 82-86) – </w:t>
      </w:r>
      <w:r>
        <w:rPr>
          <w:rStyle w:val="bolditalic"/>
        </w:rPr>
        <w:t>Required</w:t>
      </w:r>
    </w:p>
    <w:p w14:paraId="7A4DFC9E" w14:textId="77777777" w:rsidR="009B7AED" w:rsidRDefault="009B7AED" w:rsidP="00B35A5D">
      <w:pPr>
        <w:pStyle w:val="BulletcontinuedBulletsandNumbering"/>
        <w:tabs>
          <w:tab w:val="clear" w:pos="1440"/>
        </w:tabs>
        <w:ind w:left="648"/>
      </w:pPr>
      <w:r>
        <w:t>Bin 11 includes the number of vehicles in the eleventh speed range being submitted. Right justify the integer volume number in the data entry field. If there are no vehicles observed in this speed range during the time period being reported, enter “0.”</w:t>
      </w:r>
    </w:p>
    <w:p w14:paraId="1CE137F4" w14:textId="77777777" w:rsidR="009B7AED" w:rsidRDefault="009B7AED">
      <w:pPr>
        <w:pStyle w:val="ListCS1BulletsandNumbering"/>
        <w:numPr>
          <w:ilvl w:val="0"/>
          <w:numId w:val="46"/>
        </w:numPr>
        <w:spacing w:before="0" w:after="120"/>
        <w:ind w:left="648"/>
      </w:pPr>
      <w:r w:rsidRPr="000538D2">
        <w:t>Bin</w:t>
      </w:r>
      <w:r>
        <w:rPr>
          <w:rStyle w:val="Bold"/>
        </w:rPr>
        <w:t xml:space="preserve"> 12 Count</w:t>
      </w:r>
      <w:r>
        <w:t xml:space="preserve"> (Columns 87-91) – </w:t>
      </w:r>
      <w:r>
        <w:rPr>
          <w:rStyle w:val="bolditalic"/>
        </w:rPr>
        <w:t>Required</w:t>
      </w:r>
    </w:p>
    <w:p w14:paraId="072C5D8B" w14:textId="77777777" w:rsidR="009B7AED" w:rsidRDefault="009B7AED" w:rsidP="00B35A5D">
      <w:pPr>
        <w:pStyle w:val="BulletcontinuedBulletsandNumbering"/>
        <w:tabs>
          <w:tab w:val="clear" w:pos="1440"/>
        </w:tabs>
        <w:ind w:left="648"/>
      </w:pPr>
      <w:r>
        <w:t>Bin 12 includes the number of vehicles in the twelfth speed range being submitted. Right justify the integer volume number in the data entry field. If there are no vehicles observed in this speed range during the time period being reported, enter “0.”</w:t>
      </w:r>
    </w:p>
    <w:p w14:paraId="4C0D3F10" w14:textId="77777777" w:rsidR="009B7AED" w:rsidRDefault="009B7AED">
      <w:pPr>
        <w:pStyle w:val="ListCS1BulletsandNumbering"/>
        <w:numPr>
          <w:ilvl w:val="0"/>
          <w:numId w:val="46"/>
        </w:numPr>
        <w:spacing w:before="0" w:after="120"/>
        <w:ind w:left="648"/>
      </w:pPr>
      <w:r w:rsidRPr="000538D2">
        <w:t>Bin</w:t>
      </w:r>
      <w:r>
        <w:rPr>
          <w:rStyle w:val="Bold"/>
        </w:rPr>
        <w:t xml:space="preserve"> 13 Count </w:t>
      </w:r>
      <w:r>
        <w:t xml:space="preserve">(Columns 92-96) – </w:t>
      </w:r>
      <w:r>
        <w:rPr>
          <w:rStyle w:val="bolditalic"/>
        </w:rPr>
        <w:t>Required</w:t>
      </w:r>
    </w:p>
    <w:p w14:paraId="3339310A" w14:textId="77777777" w:rsidR="009B7AED" w:rsidRDefault="009B7AED" w:rsidP="00B35A5D">
      <w:pPr>
        <w:pStyle w:val="BulletcontinuedBulletsandNumbering"/>
        <w:tabs>
          <w:tab w:val="clear" w:pos="1440"/>
        </w:tabs>
        <w:ind w:left="648"/>
      </w:pPr>
      <w:r>
        <w:t>Bin 13 includes the number of vehicles in the thirteenth speed range being submitted. Right justify the integer volume number in the data entry field. If there are no vehicles observed in this speed range during the time period being reported, enter “0.”</w:t>
      </w:r>
    </w:p>
    <w:p w14:paraId="341B1983" w14:textId="77777777" w:rsidR="009B7AED" w:rsidRDefault="009B7AED">
      <w:pPr>
        <w:pStyle w:val="ListCS1BulletsandNumbering"/>
        <w:numPr>
          <w:ilvl w:val="0"/>
          <w:numId w:val="46"/>
        </w:numPr>
        <w:spacing w:before="0" w:after="120"/>
        <w:ind w:left="648"/>
      </w:pPr>
      <w:r w:rsidRPr="000538D2">
        <w:t>Bin</w:t>
      </w:r>
      <w:r>
        <w:rPr>
          <w:rStyle w:val="Bold"/>
        </w:rPr>
        <w:t xml:space="preserve"> 14 Count </w:t>
      </w:r>
      <w:r>
        <w:t xml:space="preserve">(Columns 97-101) – </w:t>
      </w:r>
      <w:r>
        <w:rPr>
          <w:rStyle w:val="bolditalic"/>
        </w:rPr>
        <w:t>Required</w:t>
      </w:r>
    </w:p>
    <w:p w14:paraId="0EAE7801" w14:textId="77777777" w:rsidR="009B7AED" w:rsidRDefault="009B7AED" w:rsidP="00B35A5D">
      <w:pPr>
        <w:pStyle w:val="BulletcontinuedBulletsandNumbering"/>
        <w:tabs>
          <w:tab w:val="clear" w:pos="1440"/>
        </w:tabs>
        <w:ind w:left="648"/>
      </w:pPr>
      <w:r>
        <w:t>Bin 14 includes the number of vehicles in the fourteenth speed range being submitted. Right justify the integer volume number in the data entry field. If there are no vehicles observed in this speed range during the time period being reported, enter “0.”</w:t>
      </w:r>
    </w:p>
    <w:p w14:paraId="563E87CB" w14:textId="77777777" w:rsidR="009B7AED" w:rsidRDefault="009B7AED">
      <w:pPr>
        <w:pStyle w:val="ListCS1BulletsandNumbering"/>
        <w:numPr>
          <w:ilvl w:val="0"/>
          <w:numId w:val="46"/>
        </w:numPr>
        <w:spacing w:before="0" w:after="120"/>
        <w:ind w:left="648"/>
      </w:pPr>
      <w:r>
        <w:rPr>
          <w:rStyle w:val="Bold"/>
        </w:rPr>
        <w:t>Bin 15 Count</w:t>
      </w:r>
      <w:r>
        <w:t xml:space="preserve"> (Columns 102-106) – </w:t>
      </w:r>
      <w:r>
        <w:rPr>
          <w:rStyle w:val="bolditalic"/>
        </w:rPr>
        <w:t>Required</w:t>
      </w:r>
    </w:p>
    <w:p w14:paraId="37EC50E3" w14:textId="77777777" w:rsidR="009B7AED" w:rsidRDefault="009B7AED" w:rsidP="00B35A5D">
      <w:pPr>
        <w:pStyle w:val="BulletcontinuedBulletsandNumbering"/>
        <w:tabs>
          <w:tab w:val="clear" w:pos="1440"/>
        </w:tabs>
        <w:ind w:left="648"/>
      </w:pPr>
      <w:r>
        <w:t>Bin 15 includes the number of vehicles in the fifteenth speed range being submitted. Right justify the integer volume number in the data entry field. If there are no vehicles observed in this speed range during the time period being reported, enter “0.”</w:t>
      </w:r>
    </w:p>
    <w:p w14:paraId="7FE7DBA5" w14:textId="77777777" w:rsidR="009B7AED" w:rsidRDefault="009B7AED">
      <w:pPr>
        <w:pStyle w:val="ListCS1BulletsandNumbering"/>
        <w:numPr>
          <w:ilvl w:val="0"/>
          <w:numId w:val="46"/>
        </w:numPr>
        <w:spacing w:before="0" w:after="120"/>
        <w:ind w:left="648"/>
      </w:pPr>
      <w:r>
        <w:t>Bin 16 Count (Columns 107-111)</w:t>
      </w:r>
      <w:r>
        <w:rPr>
          <w:rStyle w:val="Italic"/>
          <w:iCs/>
        </w:rPr>
        <w:t xml:space="preserve"> – Required/Optional</w:t>
      </w:r>
    </w:p>
    <w:p w14:paraId="7CE23835" w14:textId="320AD238" w:rsidR="00B35A5D" w:rsidRDefault="009B7AED" w:rsidP="00B35A5D">
      <w:pPr>
        <w:pStyle w:val="BulletcontinuedBulletsandNumbering"/>
        <w:tabs>
          <w:tab w:val="clear" w:pos="1440"/>
        </w:tabs>
        <w:ind w:left="648"/>
      </w:pPr>
      <w:r>
        <w:t>Bin 16 includes the number of vehicles in the sixteenth speed range being submitted. It is used only when a State submits data in additional speed bins beyond the 15 required by FHWA. If this bin is used, Field 12 (Columns 24-25) should contain a value equal to or greater than 16. Right justify the integer volume number in the data entry field. If there are no vehicles observed in this speed range during the time period being reported, enter “0”.</w:t>
      </w:r>
    </w:p>
    <w:p w14:paraId="642F74D9" w14:textId="77777777" w:rsidR="00B35A5D" w:rsidRDefault="00B35A5D">
      <w:pPr>
        <w:widowControl/>
        <w:suppressAutoHyphens w:val="0"/>
        <w:autoSpaceDE/>
        <w:autoSpaceDN/>
        <w:adjustRightInd/>
        <w:spacing w:after="160" w:line="259" w:lineRule="auto"/>
        <w:jc w:val="left"/>
        <w:textAlignment w:val="auto"/>
        <w:rPr>
          <w:color w:val="auto"/>
        </w:rPr>
      </w:pPr>
      <w:r>
        <w:br w:type="page"/>
      </w:r>
    </w:p>
    <w:p w14:paraId="0D933F6B" w14:textId="77777777" w:rsidR="009B7AED" w:rsidRDefault="009B7AED">
      <w:pPr>
        <w:pStyle w:val="ListCS1BulletsandNumbering"/>
        <w:numPr>
          <w:ilvl w:val="0"/>
          <w:numId w:val="46"/>
        </w:numPr>
        <w:spacing w:before="0" w:after="120"/>
        <w:ind w:left="648"/>
      </w:pPr>
      <w:r>
        <w:lastRenderedPageBreak/>
        <w:t xml:space="preserve">Bin 17 Count (Columns 112-116) – </w:t>
      </w:r>
      <w:r>
        <w:rPr>
          <w:rStyle w:val="Italic"/>
          <w:iCs/>
        </w:rPr>
        <w:t>Required/Optional</w:t>
      </w:r>
    </w:p>
    <w:p w14:paraId="64F4B094" w14:textId="77777777" w:rsidR="009B7AED" w:rsidRDefault="009B7AED" w:rsidP="00B35A5D">
      <w:pPr>
        <w:pStyle w:val="BulletcontinuedBulletsandNumbering"/>
        <w:tabs>
          <w:tab w:val="clear" w:pos="1440"/>
        </w:tabs>
        <w:ind w:left="648"/>
      </w:pPr>
      <w:r>
        <w:t>Bin 17 includes the number of vehicles in the seventeenth speed range being submitted. It is used only when a State submits data in additional speed bins beyond the 15 required by FHWA. If this bin is used, Field 12 (Columns 24-25) should contain a value equal to or greater than 17. Right justify the integer volume number in the data entry field. If there are no vehicles observed in this speed range during the time period being reported, enter “0.”</w:t>
      </w:r>
    </w:p>
    <w:p w14:paraId="1A270D43" w14:textId="77777777" w:rsidR="009B7AED" w:rsidRDefault="009B7AED">
      <w:pPr>
        <w:pStyle w:val="ListCS1BulletsandNumbering"/>
        <w:numPr>
          <w:ilvl w:val="0"/>
          <w:numId w:val="46"/>
        </w:numPr>
        <w:spacing w:before="0" w:after="120"/>
        <w:ind w:left="648"/>
      </w:pPr>
      <w:r>
        <w:t xml:space="preserve">Bin 18 Count (Columns 117-121) – </w:t>
      </w:r>
      <w:r>
        <w:rPr>
          <w:rStyle w:val="Italic"/>
          <w:iCs/>
        </w:rPr>
        <w:t>Required/Optional</w:t>
      </w:r>
    </w:p>
    <w:p w14:paraId="6734819A" w14:textId="77777777" w:rsidR="009B7AED" w:rsidRPr="00F93107" w:rsidRDefault="009B7AED" w:rsidP="00B35A5D">
      <w:pPr>
        <w:pStyle w:val="BulletcontinuedBulletsandNumbering"/>
        <w:tabs>
          <w:tab w:val="clear" w:pos="1440"/>
        </w:tabs>
        <w:ind w:left="648"/>
      </w:pPr>
      <w:r w:rsidRPr="00F93107">
        <w:t xml:space="preserve">Bin 18 includes the number of vehicles in the eighteenth speed range being submitted. It is used only when a State submits data in additional speed bins beyond the 15 required by FHWA. If this bin is used, Field 12 (Columns 24-25) </w:t>
      </w:r>
      <w:r>
        <w:t>should</w:t>
      </w:r>
      <w:r w:rsidRPr="00F93107">
        <w:t xml:space="preserve"> contain a value equal to or greater than 18. </w:t>
      </w:r>
      <w:r>
        <w:t>R</w:t>
      </w:r>
      <w:r w:rsidRPr="00F93107">
        <w:t>ight justify the integer volume number in the data entry field. If there are no vehicles observed in this speed range during the time period being reported, enter “0.”</w:t>
      </w:r>
    </w:p>
    <w:p w14:paraId="645CEEF9" w14:textId="77777777" w:rsidR="009B7AED" w:rsidRDefault="009B7AED">
      <w:pPr>
        <w:pStyle w:val="ListCS1BulletsandNumbering"/>
        <w:numPr>
          <w:ilvl w:val="0"/>
          <w:numId w:val="46"/>
        </w:numPr>
        <w:spacing w:before="0" w:after="120"/>
        <w:ind w:left="648"/>
      </w:pPr>
      <w:r>
        <w:t>Bin 19 Count (Columns 122-126) –</w:t>
      </w:r>
      <w:r>
        <w:rPr>
          <w:rStyle w:val="Italic"/>
          <w:iCs/>
        </w:rPr>
        <w:t xml:space="preserve"> Required/Optional</w:t>
      </w:r>
    </w:p>
    <w:p w14:paraId="5C48B43A" w14:textId="77777777" w:rsidR="009B7AED" w:rsidRDefault="009B7AED" w:rsidP="00B35A5D">
      <w:pPr>
        <w:pStyle w:val="BulletcontinuedBulletsandNumbering"/>
        <w:tabs>
          <w:tab w:val="clear" w:pos="1440"/>
        </w:tabs>
        <w:ind w:left="648"/>
      </w:pPr>
      <w:r>
        <w:t>Bin 19 includes the number of vehicles in the nineteenth speed range being submitted. It is used only when a State submits data in additional speed bins beyond the 15 required by FHWA. If this bin is used, Field 12 (Columns 24-25) should contain a value equal to or greater than 19. Right justify the integer volume number in the data entry field. If there are no vehicles observed in this speed range during the time period being reported, enter “0.”</w:t>
      </w:r>
    </w:p>
    <w:p w14:paraId="6C36F2E1" w14:textId="77777777" w:rsidR="009B7AED" w:rsidRDefault="009B7AED">
      <w:pPr>
        <w:pStyle w:val="ListCS1BulletsandNumbering"/>
        <w:numPr>
          <w:ilvl w:val="0"/>
          <w:numId w:val="46"/>
        </w:numPr>
        <w:spacing w:before="0" w:after="120"/>
        <w:ind w:left="648"/>
      </w:pPr>
      <w:r>
        <w:t xml:space="preserve">Bin 20 Count (Columns 127-131) – </w:t>
      </w:r>
      <w:r>
        <w:rPr>
          <w:rStyle w:val="Italic"/>
          <w:iCs/>
        </w:rPr>
        <w:t>Required/Optional</w:t>
      </w:r>
    </w:p>
    <w:p w14:paraId="13108B77" w14:textId="77777777" w:rsidR="009B7AED" w:rsidRDefault="009B7AED" w:rsidP="00B35A5D">
      <w:pPr>
        <w:pStyle w:val="BulletcontinuedBulletsandNumbering"/>
        <w:tabs>
          <w:tab w:val="clear" w:pos="1440"/>
        </w:tabs>
        <w:ind w:left="648"/>
      </w:pPr>
      <w:r>
        <w:t>Bin 20 includes the number of vehicles in the twentieth speed range being submitted. It is used only when a State submits data in additional speed bins beyond the 15 required by FHWA. If this bin is used, Field 12 (Columns 24-25) should contain a value equal to or greater than 20. Right justify the integer volume number in the data entry field. If there are no vehicles observed in this speed range during the time period being reported, enter “0.”</w:t>
      </w:r>
    </w:p>
    <w:p w14:paraId="7CC31318" w14:textId="77777777" w:rsidR="009B7AED" w:rsidRDefault="009B7AED">
      <w:pPr>
        <w:pStyle w:val="ListCS1BulletsandNumbering"/>
        <w:numPr>
          <w:ilvl w:val="0"/>
          <w:numId w:val="46"/>
        </w:numPr>
        <w:spacing w:before="0" w:after="120"/>
        <w:ind w:left="648"/>
      </w:pPr>
      <w:r>
        <w:t>Bin 21 Count (Columns 132-136) –</w:t>
      </w:r>
      <w:r>
        <w:rPr>
          <w:rStyle w:val="Italic"/>
          <w:iCs/>
        </w:rPr>
        <w:t xml:space="preserve"> Required/Optional</w:t>
      </w:r>
    </w:p>
    <w:p w14:paraId="62C068C4" w14:textId="77777777" w:rsidR="009B7AED" w:rsidRDefault="009B7AED" w:rsidP="00B35A5D">
      <w:pPr>
        <w:pStyle w:val="BulletcontinuedBulletsandNumbering"/>
        <w:tabs>
          <w:tab w:val="clear" w:pos="1440"/>
        </w:tabs>
        <w:ind w:left="648"/>
      </w:pPr>
      <w:r>
        <w:t>Bin 21 includes the number of vehicles in the twenty-first speed range being submitted. It is used only when a State submits data in additional speed bins beyond the 15 required by FHWA. If this bin is used, Field 12 (Columns 24-25) should contain a value equal to or greater than 21. Right justify the integer volume number in the data entry field. If there are no vehicles observed in this speed range during the time period being reported, enter “0.”</w:t>
      </w:r>
    </w:p>
    <w:p w14:paraId="0A801A85" w14:textId="77777777" w:rsidR="009B7AED" w:rsidRDefault="009B7AED">
      <w:pPr>
        <w:pStyle w:val="ListCS1BulletsandNumbering"/>
        <w:numPr>
          <w:ilvl w:val="0"/>
          <w:numId w:val="46"/>
        </w:numPr>
        <w:spacing w:before="0" w:after="120"/>
        <w:ind w:left="648"/>
      </w:pPr>
      <w:r>
        <w:t xml:space="preserve">Bin 22 Count (Columns 137-141) – </w:t>
      </w:r>
      <w:r>
        <w:rPr>
          <w:rStyle w:val="Italic"/>
          <w:iCs/>
        </w:rPr>
        <w:t>Required/Optional</w:t>
      </w:r>
    </w:p>
    <w:p w14:paraId="6F8628B2" w14:textId="77777777" w:rsidR="009B7AED" w:rsidRDefault="009B7AED" w:rsidP="00B35A5D">
      <w:pPr>
        <w:pStyle w:val="BulletcontinuedBulletsandNumbering"/>
        <w:tabs>
          <w:tab w:val="clear" w:pos="1440"/>
        </w:tabs>
        <w:ind w:left="648"/>
      </w:pPr>
      <w:r>
        <w:t>Bin 22 includes the number of vehicles in the twenty-second speed range being submitted. It is used only when a State submits data in additional speed bins beyond the 15 required by FHWA. If this bin is used, Field 12 (Columns 24-25) should contain a value equal to or greater than 22. Right justify the integer volume number in the data entry field. If there are no vehicles observed in this speed range during the time period being reported, enter “0.”</w:t>
      </w:r>
    </w:p>
    <w:p w14:paraId="08D42057" w14:textId="77777777" w:rsidR="009B7AED" w:rsidRDefault="009B7AED">
      <w:pPr>
        <w:pStyle w:val="ListCS1BulletsandNumbering"/>
        <w:numPr>
          <w:ilvl w:val="0"/>
          <w:numId w:val="46"/>
        </w:numPr>
        <w:spacing w:before="0" w:after="120"/>
        <w:ind w:left="648"/>
      </w:pPr>
      <w:r>
        <w:t>Bin 23 Count (Columns 142-146) –</w:t>
      </w:r>
      <w:r>
        <w:rPr>
          <w:rStyle w:val="Italic"/>
          <w:iCs/>
        </w:rPr>
        <w:t xml:space="preserve"> Required/Optional</w:t>
      </w:r>
    </w:p>
    <w:p w14:paraId="4CE95DD4" w14:textId="77777777" w:rsidR="009B7AED" w:rsidRDefault="009B7AED" w:rsidP="00B35A5D">
      <w:pPr>
        <w:pStyle w:val="BulletcontinuedBulletsandNumbering"/>
        <w:tabs>
          <w:tab w:val="clear" w:pos="1440"/>
        </w:tabs>
        <w:ind w:left="648"/>
      </w:pPr>
      <w:r>
        <w:t>Bin 23 includes the number of vehicles in the twenty-third speed range being submitted. It is used only when a State submits data in additional speed bins beyond the 15 required by FHWA. If this bin is used, Field 12 (Columns 24-25) should contain a value equal to or greater than 23. Right justify the integer volume number in the data entry field. If there are no vehicles observed in this speed range during the time period being reported, enter “0.”</w:t>
      </w:r>
    </w:p>
    <w:p w14:paraId="2FC17F02" w14:textId="77777777" w:rsidR="009B7AED" w:rsidRDefault="009B7AED">
      <w:pPr>
        <w:pStyle w:val="ListCS1BulletsandNumbering"/>
        <w:numPr>
          <w:ilvl w:val="0"/>
          <w:numId w:val="46"/>
        </w:numPr>
        <w:spacing w:before="0" w:after="120"/>
        <w:ind w:left="648"/>
      </w:pPr>
      <w:r>
        <w:t xml:space="preserve">Bin 24 Count (Columns 147-151) – </w:t>
      </w:r>
      <w:r>
        <w:rPr>
          <w:rStyle w:val="Italic"/>
          <w:iCs/>
        </w:rPr>
        <w:t>Required/Optional</w:t>
      </w:r>
    </w:p>
    <w:p w14:paraId="2D324645" w14:textId="77777777" w:rsidR="009B7AED" w:rsidRDefault="009B7AED" w:rsidP="00B35A5D">
      <w:pPr>
        <w:pStyle w:val="BulletcontinuedBulletsandNumbering"/>
        <w:tabs>
          <w:tab w:val="clear" w:pos="1440"/>
        </w:tabs>
        <w:ind w:left="648"/>
      </w:pPr>
      <w:r>
        <w:t xml:space="preserve">Bin 24 includes the number of vehicles in the twenty-fourth speed range being submitted. It is used only when a State submits data in additional speed bins beyond the 15 required by FHWA. If this bin is used, Field 12 (Columns 24-25) should contain a value equal to or greater than 24. Right justify the integer </w:t>
      </w:r>
      <w:r>
        <w:lastRenderedPageBreak/>
        <w:t>volume number in the data entry field. If there are no vehicles observed in this speed range during the time period being reported, enter “0.”</w:t>
      </w:r>
    </w:p>
    <w:p w14:paraId="7CBE9709" w14:textId="77777777" w:rsidR="009B7AED" w:rsidRDefault="009B7AED">
      <w:pPr>
        <w:pStyle w:val="ListCS1BulletsandNumbering"/>
        <w:numPr>
          <w:ilvl w:val="0"/>
          <w:numId w:val="46"/>
        </w:numPr>
        <w:spacing w:before="0" w:after="120"/>
        <w:ind w:left="648"/>
      </w:pPr>
      <w:r>
        <w:t>Bin 25 Count (Columns 152-156) –</w:t>
      </w:r>
      <w:r>
        <w:rPr>
          <w:rStyle w:val="Italic"/>
          <w:iCs/>
        </w:rPr>
        <w:t xml:space="preserve"> Required/Optional</w:t>
      </w:r>
    </w:p>
    <w:p w14:paraId="36B52989" w14:textId="77777777" w:rsidR="009B7AED" w:rsidRDefault="009B7AED" w:rsidP="00B35A5D">
      <w:pPr>
        <w:pStyle w:val="BulletcontinuedBulletsandNumbering"/>
        <w:tabs>
          <w:tab w:val="clear" w:pos="1440"/>
        </w:tabs>
        <w:ind w:left="648"/>
      </w:pPr>
      <w:r>
        <w:t>Bin 25 includes the number of vehicles in the twenty-fifth speed range being submitted. It is used only when a State submits data in additional speed bins beyond the 15 required by FHWA. If this bin is used, Field 12 (Columns 24-25) should contain a value equal to or greater than 25. Right justify the integer volume number in the data entry field. If there are no vehicles observed in this speed range during the time period being reported, enter “0.”</w:t>
      </w:r>
    </w:p>
    <w:p w14:paraId="5F072A95" w14:textId="2CB9BA0C" w:rsidR="009B7AED" w:rsidRDefault="009B7AED" w:rsidP="00756A88">
      <w:pPr>
        <w:pStyle w:val="BodyText"/>
        <w:rPr>
          <w:b/>
          <w:bCs/>
          <w:smallCaps/>
        </w:rPr>
      </w:pPr>
      <w:r>
        <w:t xml:space="preserve">Example Vehicle Speed records are shown </w:t>
      </w:r>
      <w:r w:rsidRPr="00150038">
        <w:t xml:space="preserve">in </w:t>
      </w:r>
      <w:r w:rsidR="00464453">
        <w:fldChar w:fldCharType="begin"/>
      </w:r>
      <w:r w:rsidR="00464453">
        <w:instrText xml:space="preserve"> REF _Ref113268852  \* MERGEFORMAT </w:instrText>
      </w:r>
      <w:r w:rsidR="00464453">
        <w:fldChar w:fldCharType="separate"/>
      </w:r>
      <w:r w:rsidR="00C07DF9" w:rsidRPr="009018D2">
        <w:t xml:space="preserve">Table </w:t>
      </w:r>
      <w:r w:rsidR="00C07DF9">
        <w:rPr>
          <w:noProof/>
        </w:rPr>
        <w:t>4</w:t>
      </w:r>
      <w:r w:rsidR="00C07DF9">
        <w:rPr>
          <w:noProof/>
        </w:rPr>
        <w:noBreakHyphen/>
        <w:t>14</w:t>
      </w:r>
      <w:r w:rsidR="00464453">
        <w:rPr>
          <w:noProof/>
        </w:rPr>
        <w:fldChar w:fldCharType="end"/>
      </w:r>
      <w:r>
        <w:t xml:space="preserve"> </w:t>
      </w:r>
      <w:r w:rsidRPr="008B2B16">
        <w:t>through</w:t>
      </w:r>
      <w:r w:rsidR="002841D0">
        <w:t xml:space="preserve"> </w:t>
      </w:r>
      <w:r w:rsidR="002841D0">
        <w:fldChar w:fldCharType="begin"/>
      </w:r>
      <w:r w:rsidR="002841D0">
        <w:instrText xml:space="preserve"> REF _Ref117251787 \h </w:instrText>
      </w:r>
      <w:r w:rsidR="002841D0">
        <w:fldChar w:fldCharType="separate"/>
      </w:r>
      <w:r w:rsidR="00C07DF9">
        <w:t xml:space="preserve">Table </w:t>
      </w:r>
      <w:r w:rsidR="00C07DF9">
        <w:rPr>
          <w:noProof/>
        </w:rPr>
        <w:t>4</w:t>
      </w:r>
      <w:r w:rsidR="00C07DF9">
        <w:noBreakHyphen/>
      </w:r>
      <w:r w:rsidR="00C07DF9">
        <w:rPr>
          <w:noProof/>
        </w:rPr>
        <w:t>16</w:t>
      </w:r>
      <w:r w:rsidR="002841D0">
        <w:fldChar w:fldCharType="end"/>
      </w:r>
      <w:r>
        <w:t>.</w:t>
      </w:r>
    </w:p>
    <w:p w14:paraId="7131763F" w14:textId="3190A8EE" w:rsidR="009B7AED" w:rsidRDefault="009B7AED" w:rsidP="000F2A7A">
      <w:pPr>
        <w:pStyle w:val="TMGTableCaption"/>
      </w:pPr>
      <w:bookmarkStart w:id="2969" w:name="_Ref113268852"/>
      <w:bookmarkStart w:id="2970" w:name="_Toc109333455"/>
      <w:bookmarkStart w:id="2971" w:name="_Toc109333783"/>
      <w:bookmarkStart w:id="2972" w:name="_Toc113282519"/>
      <w:bookmarkStart w:id="2973" w:name="_Toc114474856"/>
      <w:bookmarkStart w:id="2974" w:name="_Toc120631162"/>
      <w:r w:rsidRPr="009018D2">
        <w:t xml:space="preserve">Table </w:t>
      </w:r>
      <w:fldSimple w:instr=" STYLEREF 1 \s ">
        <w:r w:rsidR="00C07DF9">
          <w:rPr>
            <w:noProof/>
          </w:rPr>
          <w:t>4</w:t>
        </w:r>
      </w:fldSimple>
      <w:r>
        <w:noBreakHyphen/>
      </w:r>
      <w:fldSimple w:instr=" SEQ Table \* ARABIC \s 1 ">
        <w:r w:rsidR="00C07DF9">
          <w:rPr>
            <w:noProof/>
          </w:rPr>
          <w:t>14</w:t>
        </w:r>
      </w:fldSimple>
      <w:bookmarkEnd w:id="2969"/>
      <w:r w:rsidR="00627DD7">
        <w:t>.</w:t>
      </w:r>
      <w:r w:rsidRPr="009018D2">
        <w:t xml:space="preserve"> </w:t>
      </w:r>
      <w:r w:rsidRPr="009D1B1A">
        <w:t>S</w:t>
      </w:r>
      <w:r>
        <w:t>peed</w:t>
      </w:r>
      <w:r w:rsidRPr="009D1B1A">
        <w:t xml:space="preserve"> </w:t>
      </w:r>
      <w:r>
        <w:t>Record Example</w:t>
      </w:r>
      <w:r w:rsidRPr="009D1B1A">
        <w:t xml:space="preserve"> (15 B</w:t>
      </w:r>
      <w:r>
        <w:t>ins</w:t>
      </w:r>
      <w:r w:rsidRPr="009D1B1A">
        <w:t xml:space="preserve">, 2 </w:t>
      </w:r>
      <w:r>
        <w:t>lanes</w:t>
      </w:r>
      <w:r w:rsidRPr="009D1B1A">
        <w:t xml:space="preserve"> </w:t>
      </w:r>
      <w:r>
        <w:t>with</w:t>
      </w:r>
      <w:r w:rsidRPr="009D1B1A">
        <w:t xml:space="preserve"> L</w:t>
      </w:r>
      <w:r>
        <w:t>anes</w:t>
      </w:r>
      <w:r w:rsidRPr="009D1B1A">
        <w:t xml:space="preserve"> </w:t>
      </w:r>
      <w:r>
        <w:t>or</w:t>
      </w:r>
      <w:r w:rsidRPr="009D1B1A">
        <w:t xml:space="preserve"> D</w:t>
      </w:r>
      <w:r>
        <w:t>irections</w:t>
      </w:r>
      <w:r w:rsidRPr="009D1B1A">
        <w:t xml:space="preserve"> N</w:t>
      </w:r>
      <w:r>
        <w:t>ot</w:t>
      </w:r>
      <w:r w:rsidRPr="009D1B1A">
        <w:t xml:space="preserve"> C</w:t>
      </w:r>
      <w:r>
        <w:t>ombined</w:t>
      </w:r>
      <w:r w:rsidRPr="009D1B1A">
        <w:t xml:space="preserve"> </w:t>
      </w:r>
      <w:r>
        <w:t>at</w:t>
      </w:r>
      <w:r w:rsidRPr="009D1B1A">
        <w:t xml:space="preserve"> </w:t>
      </w:r>
      <w:r w:rsidR="00756A88">
        <w:br/>
      </w:r>
      <w:r w:rsidRPr="009D1B1A">
        <w:t>5-M</w:t>
      </w:r>
      <w:r>
        <w:t>inute</w:t>
      </w:r>
      <w:r w:rsidRPr="009D1B1A">
        <w:t xml:space="preserve"> I</w:t>
      </w:r>
      <w:r>
        <w:t>nterval</w:t>
      </w:r>
      <w:r w:rsidRPr="009D1B1A">
        <w:t xml:space="preserve"> </w:t>
      </w:r>
      <w:r>
        <w:t>with No</w:t>
      </w:r>
      <w:r w:rsidRPr="009D1B1A">
        <w:t xml:space="preserve"> R</w:t>
      </w:r>
      <w:r>
        <w:t xml:space="preserve">estrictions) – </w:t>
      </w:r>
      <w:r w:rsidRPr="009018D2">
        <w:t>Fixed-Width Format</w:t>
      </w:r>
      <w:bookmarkEnd w:id="2970"/>
      <w:bookmarkEnd w:id="2971"/>
      <w:bookmarkEnd w:id="2972"/>
      <w:bookmarkEnd w:id="2973"/>
      <w:bookmarkEnd w:id="2974"/>
    </w:p>
    <w:tbl>
      <w:tblPr>
        <w:tblStyle w:val="TMGTable"/>
        <w:tblW w:w="9370"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093"/>
        <w:gridCol w:w="295"/>
        <w:gridCol w:w="493"/>
        <w:gridCol w:w="887"/>
        <w:gridCol w:w="394"/>
        <w:gridCol w:w="394"/>
        <w:gridCol w:w="690"/>
        <w:gridCol w:w="690"/>
        <w:gridCol w:w="690"/>
        <w:gridCol w:w="690"/>
        <w:gridCol w:w="394"/>
        <w:gridCol w:w="788"/>
        <w:gridCol w:w="690"/>
        <w:gridCol w:w="394"/>
        <w:gridCol w:w="788"/>
      </w:tblGrid>
      <w:tr w:rsidR="009B7AED" w:rsidRPr="0060053A" w14:paraId="5E86A991" w14:textId="77777777" w:rsidTr="007C54FC">
        <w:trPr>
          <w:cnfStyle w:val="100000000000" w:firstRow="1" w:lastRow="0" w:firstColumn="0" w:lastColumn="0" w:oddVBand="0" w:evenVBand="0" w:oddHBand="0" w:evenHBand="0" w:firstRowFirstColumn="0" w:firstRowLastColumn="0" w:lastRowFirstColumn="0" w:lastRowLastColumn="0"/>
          <w:trHeight w:val="58"/>
          <w:tblHeader/>
          <w:jc w:val="center"/>
        </w:trPr>
        <w:tc>
          <w:tcPr>
            <w:tcW w:w="1093" w:type="dxa"/>
          </w:tcPr>
          <w:p w14:paraId="35331434" w14:textId="77777777" w:rsidR="009B7AED" w:rsidRPr="0060053A" w:rsidRDefault="009B7AED" w:rsidP="002841D0">
            <w:pPr>
              <w:pStyle w:val="TableTextDense"/>
              <w:spacing w:before="10" w:after="10" w:line="240" w:lineRule="auto"/>
              <w:contextualSpacing w:val="0"/>
              <w:rPr>
                <w:rFonts w:ascii="Calibri" w:hAnsi="Calibri" w:cs="Calibri"/>
                <w:b w:val="0"/>
                <w:bCs w:val="0"/>
                <w:sz w:val="20"/>
                <w:szCs w:val="20"/>
              </w:rPr>
            </w:pPr>
            <w:r w:rsidRPr="0060053A">
              <w:rPr>
                <w:rStyle w:val="Bold"/>
                <w:rFonts w:ascii="Calibri" w:hAnsi="Calibri" w:cs="Calibri"/>
                <w:sz w:val="20"/>
                <w:szCs w:val="20"/>
              </w:rPr>
              <w:t>Column Number:</w:t>
            </w:r>
          </w:p>
        </w:tc>
        <w:tc>
          <w:tcPr>
            <w:tcW w:w="295" w:type="dxa"/>
          </w:tcPr>
          <w:p w14:paraId="039AE42A" w14:textId="77777777" w:rsidR="009B7AED" w:rsidRPr="0060053A" w:rsidRDefault="009B7AED" w:rsidP="002841D0">
            <w:pPr>
              <w:pStyle w:val="TableTextDense"/>
              <w:spacing w:before="10" w:after="10" w:line="240" w:lineRule="auto"/>
              <w:contextualSpacing w:val="0"/>
              <w:jc w:val="center"/>
              <w:rPr>
                <w:rStyle w:val="Bold"/>
                <w:rFonts w:ascii="Calibri" w:hAnsi="Calibri" w:cs="Calibri"/>
                <w:b w:val="0"/>
                <w:bCs w:val="0"/>
                <w:sz w:val="20"/>
                <w:szCs w:val="20"/>
              </w:rPr>
            </w:pPr>
            <w:r w:rsidRPr="0060053A">
              <w:rPr>
                <w:rStyle w:val="Bold"/>
                <w:rFonts w:ascii="Calibri" w:hAnsi="Calibri" w:cs="Calibri"/>
                <w:sz w:val="20"/>
                <w:szCs w:val="20"/>
              </w:rPr>
              <w:t>1</w:t>
            </w:r>
          </w:p>
        </w:tc>
        <w:tc>
          <w:tcPr>
            <w:tcW w:w="493" w:type="dxa"/>
          </w:tcPr>
          <w:p w14:paraId="682FC77E" w14:textId="77777777" w:rsidR="009B7AED" w:rsidRPr="0060053A" w:rsidRDefault="009B7AED" w:rsidP="002841D0">
            <w:pPr>
              <w:pStyle w:val="TableTextDense"/>
              <w:spacing w:before="10" w:after="10" w:line="240" w:lineRule="auto"/>
              <w:contextualSpacing w:val="0"/>
              <w:jc w:val="center"/>
              <w:rPr>
                <w:rStyle w:val="Bold"/>
                <w:rFonts w:ascii="Calibri" w:hAnsi="Calibri" w:cs="Calibri"/>
                <w:b w:val="0"/>
                <w:bCs w:val="0"/>
                <w:sz w:val="20"/>
                <w:szCs w:val="20"/>
              </w:rPr>
            </w:pPr>
            <w:r w:rsidRPr="0060053A">
              <w:rPr>
                <w:rStyle w:val="Bold"/>
                <w:rFonts w:ascii="Calibri" w:hAnsi="Calibri" w:cs="Calibri"/>
                <w:sz w:val="20"/>
                <w:szCs w:val="20"/>
              </w:rPr>
              <w:t>2-3</w:t>
            </w:r>
          </w:p>
        </w:tc>
        <w:tc>
          <w:tcPr>
            <w:tcW w:w="887" w:type="dxa"/>
          </w:tcPr>
          <w:p w14:paraId="0C051B5F" w14:textId="77777777" w:rsidR="009B7AED" w:rsidRPr="0060053A" w:rsidRDefault="009B7AED" w:rsidP="002841D0">
            <w:pPr>
              <w:pStyle w:val="TableTextDense"/>
              <w:spacing w:before="10" w:after="10" w:line="240" w:lineRule="auto"/>
              <w:contextualSpacing w:val="0"/>
              <w:jc w:val="center"/>
              <w:rPr>
                <w:rStyle w:val="Bold"/>
                <w:rFonts w:ascii="Calibri" w:hAnsi="Calibri" w:cs="Calibri"/>
                <w:b w:val="0"/>
                <w:bCs w:val="0"/>
                <w:sz w:val="20"/>
                <w:szCs w:val="20"/>
              </w:rPr>
            </w:pPr>
            <w:r w:rsidRPr="0060053A">
              <w:rPr>
                <w:rStyle w:val="Bold"/>
                <w:rFonts w:ascii="Calibri" w:hAnsi="Calibri" w:cs="Calibri"/>
                <w:sz w:val="20"/>
                <w:szCs w:val="20"/>
              </w:rPr>
              <w:t>4-9</w:t>
            </w:r>
          </w:p>
        </w:tc>
        <w:tc>
          <w:tcPr>
            <w:tcW w:w="394" w:type="dxa"/>
          </w:tcPr>
          <w:p w14:paraId="3AF7C2E2" w14:textId="77777777" w:rsidR="009B7AED" w:rsidRPr="0060053A" w:rsidRDefault="009B7AED" w:rsidP="002841D0">
            <w:pPr>
              <w:pStyle w:val="TableTextDense"/>
              <w:spacing w:before="10" w:after="10" w:line="240" w:lineRule="auto"/>
              <w:contextualSpacing w:val="0"/>
              <w:jc w:val="center"/>
              <w:rPr>
                <w:rStyle w:val="Bold"/>
                <w:rFonts w:ascii="Calibri" w:hAnsi="Calibri" w:cs="Calibri"/>
                <w:b w:val="0"/>
                <w:bCs w:val="0"/>
                <w:sz w:val="20"/>
                <w:szCs w:val="20"/>
              </w:rPr>
            </w:pPr>
            <w:r w:rsidRPr="0060053A">
              <w:rPr>
                <w:rStyle w:val="Bold"/>
                <w:rFonts w:ascii="Calibri" w:hAnsi="Calibri" w:cs="Calibri"/>
                <w:sz w:val="20"/>
                <w:szCs w:val="20"/>
              </w:rPr>
              <w:t>10</w:t>
            </w:r>
          </w:p>
        </w:tc>
        <w:tc>
          <w:tcPr>
            <w:tcW w:w="394" w:type="dxa"/>
          </w:tcPr>
          <w:p w14:paraId="4DFC3ADB" w14:textId="77777777" w:rsidR="009B7AED" w:rsidRPr="0060053A" w:rsidRDefault="009B7AED" w:rsidP="002841D0">
            <w:pPr>
              <w:pStyle w:val="TableTextDense"/>
              <w:spacing w:before="10" w:after="10" w:line="240" w:lineRule="auto"/>
              <w:contextualSpacing w:val="0"/>
              <w:jc w:val="center"/>
              <w:rPr>
                <w:rStyle w:val="Bold"/>
                <w:rFonts w:ascii="Calibri" w:hAnsi="Calibri" w:cs="Calibri"/>
                <w:b w:val="0"/>
                <w:bCs w:val="0"/>
                <w:sz w:val="20"/>
                <w:szCs w:val="20"/>
              </w:rPr>
            </w:pPr>
            <w:r w:rsidRPr="0060053A">
              <w:rPr>
                <w:rStyle w:val="Bold"/>
                <w:rFonts w:ascii="Calibri" w:hAnsi="Calibri" w:cs="Calibri"/>
                <w:sz w:val="20"/>
                <w:szCs w:val="20"/>
              </w:rPr>
              <w:t>11</w:t>
            </w:r>
          </w:p>
        </w:tc>
        <w:tc>
          <w:tcPr>
            <w:tcW w:w="690" w:type="dxa"/>
          </w:tcPr>
          <w:p w14:paraId="606ACCD5" w14:textId="77777777" w:rsidR="009B7AED" w:rsidRPr="0060053A" w:rsidRDefault="009B7AED" w:rsidP="002841D0">
            <w:pPr>
              <w:pStyle w:val="TableTextDense"/>
              <w:spacing w:before="10" w:after="10" w:line="240" w:lineRule="auto"/>
              <w:contextualSpacing w:val="0"/>
              <w:jc w:val="center"/>
              <w:rPr>
                <w:rStyle w:val="Bold"/>
                <w:rFonts w:ascii="Calibri" w:hAnsi="Calibri" w:cs="Calibri"/>
                <w:b w:val="0"/>
                <w:bCs w:val="0"/>
                <w:sz w:val="20"/>
                <w:szCs w:val="20"/>
              </w:rPr>
            </w:pPr>
            <w:r w:rsidRPr="0060053A">
              <w:rPr>
                <w:rStyle w:val="Bold"/>
                <w:rFonts w:ascii="Calibri" w:hAnsi="Calibri" w:cs="Calibri"/>
                <w:sz w:val="20"/>
                <w:szCs w:val="20"/>
              </w:rPr>
              <w:t>12-15</w:t>
            </w:r>
          </w:p>
        </w:tc>
        <w:tc>
          <w:tcPr>
            <w:tcW w:w="690" w:type="dxa"/>
          </w:tcPr>
          <w:p w14:paraId="7C40E915" w14:textId="77777777" w:rsidR="009B7AED" w:rsidRPr="0060053A" w:rsidRDefault="009B7AED" w:rsidP="002841D0">
            <w:pPr>
              <w:pStyle w:val="TableTextDense"/>
              <w:spacing w:before="10" w:after="10" w:line="240" w:lineRule="auto"/>
              <w:contextualSpacing w:val="0"/>
              <w:jc w:val="center"/>
              <w:rPr>
                <w:rStyle w:val="Bold"/>
                <w:rFonts w:ascii="Calibri" w:hAnsi="Calibri" w:cs="Calibri"/>
                <w:b w:val="0"/>
                <w:bCs w:val="0"/>
                <w:sz w:val="20"/>
                <w:szCs w:val="20"/>
              </w:rPr>
            </w:pPr>
            <w:r w:rsidRPr="0060053A">
              <w:rPr>
                <w:rStyle w:val="Bold"/>
                <w:rFonts w:ascii="Calibri" w:hAnsi="Calibri" w:cs="Calibri"/>
                <w:sz w:val="20"/>
                <w:szCs w:val="20"/>
              </w:rPr>
              <w:t>16-17</w:t>
            </w:r>
          </w:p>
        </w:tc>
        <w:tc>
          <w:tcPr>
            <w:tcW w:w="690" w:type="dxa"/>
          </w:tcPr>
          <w:p w14:paraId="613AC56F" w14:textId="77777777" w:rsidR="009B7AED" w:rsidRPr="0060053A" w:rsidRDefault="009B7AED" w:rsidP="002841D0">
            <w:pPr>
              <w:pStyle w:val="TableTextDense"/>
              <w:spacing w:before="10" w:after="10" w:line="240" w:lineRule="auto"/>
              <w:contextualSpacing w:val="0"/>
              <w:jc w:val="center"/>
              <w:rPr>
                <w:rStyle w:val="Bold"/>
                <w:rFonts w:ascii="Calibri" w:hAnsi="Calibri" w:cs="Calibri"/>
                <w:b w:val="0"/>
                <w:bCs w:val="0"/>
                <w:sz w:val="20"/>
                <w:szCs w:val="20"/>
              </w:rPr>
            </w:pPr>
            <w:r w:rsidRPr="0060053A">
              <w:rPr>
                <w:rStyle w:val="Bold"/>
                <w:rFonts w:ascii="Calibri" w:hAnsi="Calibri" w:cs="Calibri"/>
                <w:sz w:val="20"/>
                <w:szCs w:val="20"/>
              </w:rPr>
              <w:t>18-19</w:t>
            </w:r>
          </w:p>
        </w:tc>
        <w:tc>
          <w:tcPr>
            <w:tcW w:w="690" w:type="dxa"/>
          </w:tcPr>
          <w:p w14:paraId="26B52870" w14:textId="77777777" w:rsidR="009B7AED" w:rsidRPr="0060053A" w:rsidRDefault="009B7AED" w:rsidP="002841D0">
            <w:pPr>
              <w:pStyle w:val="TableTextDense"/>
              <w:spacing w:before="10" w:after="10" w:line="240" w:lineRule="auto"/>
              <w:contextualSpacing w:val="0"/>
              <w:jc w:val="center"/>
              <w:rPr>
                <w:rStyle w:val="Bold"/>
                <w:rFonts w:ascii="Calibri" w:hAnsi="Calibri" w:cs="Calibri"/>
                <w:b w:val="0"/>
                <w:bCs w:val="0"/>
                <w:sz w:val="20"/>
                <w:szCs w:val="20"/>
              </w:rPr>
            </w:pPr>
            <w:r w:rsidRPr="0060053A">
              <w:rPr>
                <w:rStyle w:val="Bold"/>
                <w:rFonts w:ascii="Calibri" w:hAnsi="Calibri" w:cs="Calibri"/>
                <w:sz w:val="20"/>
                <w:szCs w:val="20"/>
              </w:rPr>
              <w:t>20-21</w:t>
            </w:r>
          </w:p>
        </w:tc>
        <w:tc>
          <w:tcPr>
            <w:tcW w:w="394" w:type="dxa"/>
          </w:tcPr>
          <w:p w14:paraId="0EDD26DC" w14:textId="77777777" w:rsidR="009B7AED" w:rsidRPr="0060053A" w:rsidRDefault="009B7AED" w:rsidP="002841D0">
            <w:pPr>
              <w:pStyle w:val="TableTextDense"/>
              <w:spacing w:before="10" w:after="10" w:line="240" w:lineRule="auto"/>
              <w:contextualSpacing w:val="0"/>
              <w:jc w:val="center"/>
              <w:rPr>
                <w:rStyle w:val="Bold"/>
                <w:rFonts w:ascii="Calibri" w:hAnsi="Calibri" w:cs="Calibri"/>
                <w:b w:val="0"/>
                <w:bCs w:val="0"/>
                <w:sz w:val="20"/>
                <w:szCs w:val="20"/>
              </w:rPr>
            </w:pPr>
            <w:r w:rsidRPr="0060053A">
              <w:rPr>
                <w:rStyle w:val="Bold"/>
                <w:rFonts w:ascii="Calibri" w:hAnsi="Calibri" w:cs="Calibri"/>
                <w:sz w:val="20"/>
                <w:szCs w:val="20"/>
              </w:rPr>
              <w:t>22</w:t>
            </w:r>
          </w:p>
        </w:tc>
        <w:tc>
          <w:tcPr>
            <w:tcW w:w="788" w:type="dxa"/>
          </w:tcPr>
          <w:p w14:paraId="5528750D" w14:textId="77777777" w:rsidR="009B7AED" w:rsidRPr="0060053A" w:rsidRDefault="009B7AED" w:rsidP="002841D0">
            <w:pPr>
              <w:pStyle w:val="TableTextDense"/>
              <w:spacing w:before="10" w:after="10" w:line="240" w:lineRule="auto"/>
              <w:contextualSpacing w:val="0"/>
              <w:jc w:val="center"/>
              <w:rPr>
                <w:rStyle w:val="Bold"/>
                <w:rFonts w:ascii="Calibri" w:hAnsi="Calibri" w:cs="Calibri"/>
                <w:b w:val="0"/>
                <w:bCs w:val="0"/>
                <w:sz w:val="20"/>
                <w:szCs w:val="20"/>
              </w:rPr>
            </w:pPr>
            <w:r w:rsidRPr="0060053A">
              <w:rPr>
                <w:rStyle w:val="Bold"/>
                <w:rFonts w:ascii="Calibri" w:hAnsi="Calibri" w:cs="Calibri"/>
                <w:sz w:val="20"/>
                <w:szCs w:val="20"/>
              </w:rPr>
              <w:t>23</w:t>
            </w:r>
          </w:p>
        </w:tc>
        <w:tc>
          <w:tcPr>
            <w:tcW w:w="690" w:type="dxa"/>
          </w:tcPr>
          <w:p w14:paraId="0C1F573B" w14:textId="77777777" w:rsidR="009B7AED" w:rsidRPr="0060053A" w:rsidRDefault="009B7AED" w:rsidP="002841D0">
            <w:pPr>
              <w:pStyle w:val="TableTextDense"/>
              <w:spacing w:before="10" w:after="10" w:line="240" w:lineRule="auto"/>
              <w:contextualSpacing w:val="0"/>
              <w:jc w:val="center"/>
              <w:rPr>
                <w:rStyle w:val="Bold"/>
                <w:rFonts w:ascii="Calibri" w:hAnsi="Calibri" w:cs="Calibri"/>
                <w:b w:val="0"/>
                <w:bCs w:val="0"/>
                <w:sz w:val="20"/>
                <w:szCs w:val="20"/>
              </w:rPr>
            </w:pPr>
            <w:r w:rsidRPr="0060053A">
              <w:rPr>
                <w:rStyle w:val="Bold"/>
                <w:rFonts w:ascii="Calibri" w:hAnsi="Calibri" w:cs="Calibri"/>
                <w:sz w:val="20"/>
                <w:szCs w:val="20"/>
              </w:rPr>
              <w:t>24-25</w:t>
            </w:r>
          </w:p>
        </w:tc>
        <w:tc>
          <w:tcPr>
            <w:tcW w:w="394" w:type="dxa"/>
          </w:tcPr>
          <w:p w14:paraId="29622E4E" w14:textId="77777777" w:rsidR="009B7AED" w:rsidRPr="0060053A" w:rsidRDefault="009B7AED" w:rsidP="002841D0">
            <w:pPr>
              <w:pStyle w:val="TableTextDense"/>
              <w:spacing w:before="10" w:after="10" w:line="240" w:lineRule="auto"/>
              <w:contextualSpacing w:val="0"/>
              <w:jc w:val="center"/>
              <w:rPr>
                <w:rStyle w:val="Bold"/>
                <w:rFonts w:ascii="Calibri" w:hAnsi="Calibri" w:cs="Calibri"/>
                <w:b w:val="0"/>
                <w:bCs w:val="0"/>
                <w:sz w:val="20"/>
                <w:szCs w:val="20"/>
              </w:rPr>
            </w:pPr>
            <w:r w:rsidRPr="0060053A">
              <w:rPr>
                <w:rStyle w:val="Bold"/>
                <w:rFonts w:ascii="Calibri" w:hAnsi="Calibri" w:cs="Calibri"/>
                <w:sz w:val="20"/>
                <w:szCs w:val="20"/>
              </w:rPr>
              <w:t>26</w:t>
            </w:r>
          </w:p>
        </w:tc>
        <w:tc>
          <w:tcPr>
            <w:tcW w:w="788" w:type="dxa"/>
          </w:tcPr>
          <w:p w14:paraId="36971ED5" w14:textId="77777777" w:rsidR="009B7AED" w:rsidRPr="0060053A" w:rsidRDefault="009B7AED" w:rsidP="002841D0">
            <w:pPr>
              <w:pStyle w:val="TableTextDense"/>
              <w:spacing w:before="10" w:after="10" w:line="240" w:lineRule="auto"/>
              <w:contextualSpacing w:val="0"/>
              <w:jc w:val="center"/>
              <w:rPr>
                <w:rStyle w:val="Bold"/>
                <w:rFonts w:ascii="Calibri" w:hAnsi="Calibri" w:cs="Calibri"/>
                <w:b w:val="0"/>
                <w:bCs w:val="0"/>
                <w:sz w:val="20"/>
                <w:szCs w:val="20"/>
              </w:rPr>
            </w:pPr>
            <w:r w:rsidRPr="0060053A">
              <w:rPr>
                <w:rStyle w:val="Bold"/>
                <w:rFonts w:ascii="Calibri" w:hAnsi="Calibri" w:cs="Calibri"/>
                <w:sz w:val="20"/>
                <w:szCs w:val="20"/>
              </w:rPr>
              <w:t>27-31</w:t>
            </w:r>
          </w:p>
        </w:tc>
      </w:tr>
      <w:tr w:rsidR="009B7AED" w:rsidRPr="0060053A" w14:paraId="5A94EBAA" w14:textId="77777777" w:rsidTr="007C54FC">
        <w:trPr>
          <w:trHeight w:val="60"/>
          <w:jc w:val="center"/>
        </w:trPr>
        <w:tc>
          <w:tcPr>
            <w:tcW w:w="1093" w:type="dxa"/>
          </w:tcPr>
          <w:p w14:paraId="6F2417DC" w14:textId="77777777" w:rsidR="009B7AED" w:rsidRPr="0060053A" w:rsidRDefault="009B7AED" w:rsidP="002841D0">
            <w:pPr>
              <w:pStyle w:val="TableTextDense"/>
              <w:spacing w:before="10" w:after="10" w:line="240" w:lineRule="auto"/>
              <w:contextualSpacing w:val="0"/>
              <w:rPr>
                <w:rFonts w:ascii="Calibri" w:hAnsi="Calibri" w:cs="Calibri"/>
                <w:sz w:val="20"/>
                <w:szCs w:val="20"/>
              </w:rPr>
            </w:pPr>
            <w:r w:rsidRPr="0060053A">
              <w:rPr>
                <w:rStyle w:val="Bold"/>
                <w:rFonts w:ascii="Calibri" w:hAnsi="Calibri" w:cs="Calibri"/>
                <w:sz w:val="20"/>
                <w:szCs w:val="20"/>
              </w:rPr>
              <w:t>Content 01 Example:</w:t>
            </w:r>
          </w:p>
        </w:tc>
        <w:tc>
          <w:tcPr>
            <w:tcW w:w="295" w:type="dxa"/>
          </w:tcPr>
          <w:p w14:paraId="56B43A3F" w14:textId="77777777" w:rsidR="009B7AED" w:rsidRPr="0060053A" w:rsidRDefault="009B7AED" w:rsidP="002841D0">
            <w:pPr>
              <w:pStyle w:val="TableTextDense"/>
              <w:spacing w:before="10" w:after="10" w:line="240" w:lineRule="auto"/>
              <w:contextualSpacing w:val="0"/>
              <w:jc w:val="center"/>
              <w:rPr>
                <w:rStyle w:val="Bold"/>
                <w:rFonts w:ascii="Calibri" w:hAnsi="Calibri" w:cs="Calibri"/>
                <w:b/>
                <w:sz w:val="20"/>
                <w:szCs w:val="20"/>
              </w:rPr>
            </w:pPr>
            <w:r w:rsidRPr="0060053A">
              <w:rPr>
                <w:rStyle w:val="Bold"/>
                <w:rFonts w:ascii="Calibri" w:hAnsi="Calibri" w:cs="Calibri"/>
                <w:sz w:val="20"/>
                <w:szCs w:val="20"/>
              </w:rPr>
              <w:t>T</w:t>
            </w:r>
          </w:p>
        </w:tc>
        <w:tc>
          <w:tcPr>
            <w:tcW w:w="493" w:type="dxa"/>
          </w:tcPr>
          <w:p w14:paraId="5B2B6F4E" w14:textId="77777777" w:rsidR="009B7AED" w:rsidRPr="0060053A" w:rsidRDefault="009B7AED" w:rsidP="002841D0">
            <w:pPr>
              <w:pStyle w:val="TableTextDense"/>
              <w:spacing w:before="10" w:after="10" w:line="240" w:lineRule="auto"/>
              <w:contextualSpacing w:val="0"/>
              <w:jc w:val="center"/>
              <w:rPr>
                <w:rStyle w:val="Bold"/>
                <w:rFonts w:ascii="Calibri" w:hAnsi="Calibri" w:cs="Calibri"/>
                <w:b/>
                <w:sz w:val="20"/>
                <w:szCs w:val="20"/>
              </w:rPr>
            </w:pPr>
            <w:r w:rsidRPr="0060053A">
              <w:rPr>
                <w:rStyle w:val="Bold"/>
                <w:rFonts w:ascii="Calibri" w:hAnsi="Calibri" w:cs="Calibri"/>
                <w:sz w:val="20"/>
                <w:szCs w:val="20"/>
              </w:rPr>
              <w:t>17</w:t>
            </w:r>
          </w:p>
        </w:tc>
        <w:tc>
          <w:tcPr>
            <w:tcW w:w="887" w:type="dxa"/>
          </w:tcPr>
          <w:p w14:paraId="2C59FD2C" w14:textId="77777777" w:rsidR="009B7AED" w:rsidRPr="0060053A" w:rsidRDefault="009B7AED" w:rsidP="002841D0">
            <w:pPr>
              <w:pStyle w:val="TableTextDense"/>
              <w:spacing w:before="10" w:after="10" w:line="240" w:lineRule="auto"/>
              <w:contextualSpacing w:val="0"/>
              <w:jc w:val="center"/>
              <w:rPr>
                <w:rStyle w:val="Bold"/>
                <w:rFonts w:ascii="Calibri" w:hAnsi="Calibri" w:cs="Calibri"/>
                <w:b/>
                <w:sz w:val="20"/>
                <w:szCs w:val="20"/>
              </w:rPr>
            </w:pPr>
            <w:r w:rsidRPr="0060053A">
              <w:rPr>
                <w:rStyle w:val="Bold"/>
                <w:rFonts w:ascii="Calibri" w:hAnsi="Calibri" w:cs="Calibri"/>
                <w:sz w:val="20"/>
                <w:szCs w:val="20"/>
              </w:rPr>
              <w:t>018114</w:t>
            </w:r>
          </w:p>
        </w:tc>
        <w:tc>
          <w:tcPr>
            <w:tcW w:w="394" w:type="dxa"/>
          </w:tcPr>
          <w:p w14:paraId="135241CD" w14:textId="77777777" w:rsidR="009B7AED" w:rsidRPr="0060053A" w:rsidRDefault="009B7AED" w:rsidP="002841D0">
            <w:pPr>
              <w:pStyle w:val="TableTextDense"/>
              <w:spacing w:before="10" w:after="10" w:line="240" w:lineRule="auto"/>
              <w:contextualSpacing w:val="0"/>
              <w:jc w:val="center"/>
              <w:rPr>
                <w:rStyle w:val="Bold"/>
                <w:rFonts w:ascii="Calibri" w:hAnsi="Calibri" w:cs="Calibri"/>
                <w:b/>
                <w:sz w:val="20"/>
                <w:szCs w:val="20"/>
              </w:rPr>
            </w:pPr>
            <w:r w:rsidRPr="0060053A">
              <w:rPr>
                <w:rStyle w:val="Bold"/>
                <w:rFonts w:ascii="Calibri" w:hAnsi="Calibri" w:cs="Calibri"/>
                <w:sz w:val="20"/>
                <w:szCs w:val="20"/>
              </w:rPr>
              <w:t>1</w:t>
            </w:r>
          </w:p>
        </w:tc>
        <w:tc>
          <w:tcPr>
            <w:tcW w:w="394" w:type="dxa"/>
          </w:tcPr>
          <w:p w14:paraId="55B30D85" w14:textId="77777777" w:rsidR="009B7AED" w:rsidRPr="0060053A" w:rsidRDefault="009B7AED" w:rsidP="002841D0">
            <w:pPr>
              <w:pStyle w:val="TableTextDense"/>
              <w:spacing w:before="10" w:after="10" w:line="240" w:lineRule="auto"/>
              <w:contextualSpacing w:val="0"/>
              <w:jc w:val="center"/>
              <w:rPr>
                <w:rStyle w:val="Bold"/>
                <w:rFonts w:ascii="Calibri" w:hAnsi="Calibri" w:cs="Calibri"/>
                <w:b/>
                <w:sz w:val="20"/>
                <w:szCs w:val="20"/>
              </w:rPr>
            </w:pPr>
            <w:r w:rsidRPr="0060053A">
              <w:rPr>
                <w:rStyle w:val="Bold"/>
                <w:rFonts w:ascii="Calibri" w:hAnsi="Calibri" w:cs="Calibri"/>
                <w:sz w:val="20"/>
                <w:szCs w:val="20"/>
              </w:rPr>
              <w:t>1</w:t>
            </w:r>
          </w:p>
        </w:tc>
        <w:tc>
          <w:tcPr>
            <w:tcW w:w="690" w:type="dxa"/>
          </w:tcPr>
          <w:p w14:paraId="511A7C0F" w14:textId="77777777" w:rsidR="009B7AED" w:rsidRPr="0060053A" w:rsidRDefault="009B7AED" w:rsidP="002841D0">
            <w:pPr>
              <w:pStyle w:val="TableTextDense"/>
              <w:spacing w:before="10" w:after="10" w:line="240" w:lineRule="auto"/>
              <w:contextualSpacing w:val="0"/>
              <w:jc w:val="center"/>
              <w:rPr>
                <w:rStyle w:val="Bold"/>
                <w:rFonts w:ascii="Calibri" w:hAnsi="Calibri" w:cs="Calibri"/>
                <w:b/>
                <w:sz w:val="20"/>
                <w:szCs w:val="20"/>
              </w:rPr>
            </w:pPr>
            <w:r w:rsidRPr="0060053A">
              <w:rPr>
                <w:rStyle w:val="Bold"/>
                <w:rFonts w:ascii="Calibri" w:hAnsi="Calibri" w:cs="Calibri"/>
                <w:sz w:val="20"/>
                <w:szCs w:val="20"/>
              </w:rPr>
              <w:t>2012</w:t>
            </w:r>
          </w:p>
        </w:tc>
        <w:tc>
          <w:tcPr>
            <w:tcW w:w="690" w:type="dxa"/>
          </w:tcPr>
          <w:p w14:paraId="00163600" w14:textId="77777777" w:rsidR="009B7AED" w:rsidRPr="0060053A" w:rsidRDefault="009B7AED" w:rsidP="002841D0">
            <w:pPr>
              <w:pStyle w:val="TableTextDense"/>
              <w:spacing w:before="10" w:after="10" w:line="240" w:lineRule="auto"/>
              <w:contextualSpacing w:val="0"/>
              <w:jc w:val="center"/>
              <w:rPr>
                <w:rStyle w:val="Bold"/>
                <w:rFonts w:ascii="Calibri" w:hAnsi="Calibri" w:cs="Calibri"/>
                <w:b/>
                <w:sz w:val="20"/>
                <w:szCs w:val="20"/>
              </w:rPr>
            </w:pPr>
            <w:r w:rsidRPr="0060053A">
              <w:rPr>
                <w:rStyle w:val="Bold"/>
                <w:rFonts w:ascii="Calibri" w:hAnsi="Calibri" w:cs="Calibri"/>
                <w:sz w:val="20"/>
                <w:szCs w:val="20"/>
              </w:rPr>
              <w:t>06</w:t>
            </w:r>
          </w:p>
        </w:tc>
        <w:tc>
          <w:tcPr>
            <w:tcW w:w="690" w:type="dxa"/>
          </w:tcPr>
          <w:p w14:paraId="6F225CB6" w14:textId="77777777" w:rsidR="009B7AED" w:rsidRPr="0060053A" w:rsidRDefault="009B7AED" w:rsidP="002841D0">
            <w:pPr>
              <w:pStyle w:val="TableTextDense"/>
              <w:spacing w:before="10" w:after="10" w:line="240" w:lineRule="auto"/>
              <w:contextualSpacing w:val="0"/>
              <w:jc w:val="center"/>
              <w:rPr>
                <w:rStyle w:val="Bold"/>
                <w:rFonts w:ascii="Calibri" w:hAnsi="Calibri" w:cs="Calibri"/>
                <w:b/>
                <w:sz w:val="20"/>
                <w:szCs w:val="20"/>
              </w:rPr>
            </w:pPr>
            <w:r w:rsidRPr="0060053A">
              <w:rPr>
                <w:rStyle w:val="Bold"/>
                <w:rFonts w:ascii="Calibri" w:hAnsi="Calibri" w:cs="Calibri"/>
                <w:sz w:val="20"/>
                <w:szCs w:val="20"/>
              </w:rPr>
              <w:t>20</w:t>
            </w:r>
          </w:p>
        </w:tc>
        <w:tc>
          <w:tcPr>
            <w:tcW w:w="690" w:type="dxa"/>
          </w:tcPr>
          <w:p w14:paraId="144BB399" w14:textId="77777777" w:rsidR="009B7AED" w:rsidRPr="0060053A" w:rsidRDefault="009B7AED" w:rsidP="002841D0">
            <w:pPr>
              <w:pStyle w:val="TableTextDense"/>
              <w:spacing w:before="10" w:after="10" w:line="240" w:lineRule="auto"/>
              <w:contextualSpacing w:val="0"/>
              <w:jc w:val="center"/>
              <w:rPr>
                <w:rStyle w:val="Bold"/>
                <w:rFonts w:ascii="Calibri" w:hAnsi="Calibri" w:cs="Calibri"/>
                <w:b/>
                <w:sz w:val="20"/>
                <w:szCs w:val="20"/>
              </w:rPr>
            </w:pPr>
            <w:r w:rsidRPr="0060053A">
              <w:rPr>
                <w:rStyle w:val="Bold"/>
                <w:rFonts w:ascii="Calibri" w:hAnsi="Calibri" w:cs="Calibri"/>
                <w:sz w:val="20"/>
                <w:szCs w:val="20"/>
              </w:rPr>
              <w:t>00</w:t>
            </w:r>
          </w:p>
        </w:tc>
        <w:tc>
          <w:tcPr>
            <w:tcW w:w="394" w:type="dxa"/>
          </w:tcPr>
          <w:p w14:paraId="3735B10D" w14:textId="77777777" w:rsidR="009B7AED" w:rsidRPr="0060053A" w:rsidRDefault="009B7AED" w:rsidP="002841D0">
            <w:pPr>
              <w:pStyle w:val="TableTextDense"/>
              <w:spacing w:before="10" w:after="10" w:line="240" w:lineRule="auto"/>
              <w:contextualSpacing w:val="0"/>
              <w:jc w:val="center"/>
              <w:rPr>
                <w:rStyle w:val="Bold"/>
                <w:rFonts w:ascii="Calibri" w:hAnsi="Calibri" w:cs="Calibri"/>
                <w:b/>
                <w:sz w:val="20"/>
                <w:szCs w:val="20"/>
              </w:rPr>
            </w:pPr>
            <w:r w:rsidRPr="0060053A">
              <w:rPr>
                <w:rStyle w:val="Bold"/>
                <w:rFonts w:ascii="Calibri" w:hAnsi="Calibri" w:cs="Calibri"/>
                <w:sz w:val="20"/>
                <w:szCs w:val="20"/>
              </w:rPr>
              <w:t>A</w:t>
            </w:r>
          </w:p>
        </w:tc>
        <w:tc>
          <w:tcPr>
            <w:tcW w:w="788" w:type="dxa"/>
          </w:tcPr>
          <w:p w14:paraId="21D6099B" w14:textId="77777777" w:rsidR="009B7AED" w:rsidRPr="0060053A" w:rsidRDefault="009B7AED" w:rsidP="002841D0">
            <w:pPr>
              <w:pStyle w:val="TableTextDense"/>
              <w:spacing w:before="10" w:after="10" w:line="240" w:lineRule="auto"/>
              <w:contextualSpacing w:val="0"/>
              <w:jc w:val="center"/>
              <w:rPr>
                <w:rStyle w:val="Bold"/>
                <w:rFonts w:ascii="Calibri" w:hAnsi="Calibri" w:cs="Calibri"/>
                <w:b/>
                <w:sz w:val="20"/>
                <w:szCs w:val="20"/>
              </w:rPr>
            </w:pPr>
            <w:r w:rsidRPr="0060053A">
              <w:rPr>
                <w:rStyle w:val="Bold"/>
                <w:rFonts w:ascii="Calibri" w:hAnsi="Calibri" w:cs="Calibri"/>
                <w:sz w:val="20"/>
                <w:szCs w:val="20"/>
              </w:rPr>
              <w:t>Blank</w:t>
            </w:r>
          </w:p>
        </w:tc>
        <w:tc>
          <w:tcPr>
            <w:tcW w:w="690" w:type="dxa"/>
          </w:tcPr>
          <w:p w14:paraId="2B3B3688" w14:textId="77777777" w:rsidR="009B7AED" w:rsidRPr="0060053A" w:rsidRDefault="009B7AED" w:rsidP="002841D0">
            <w:pPr>
              <w:pStyle w:val="TableTextDense"/>
              <w:spacing w:before="10" w:after="10" w:line="240" w:lineRule="auto"/>
              <w:contextualSpacing w:val="0"/>
              <w:jc w:val="center"/>
              <w:rPr>
                <w:rStyle w:val="Bold"/>
                <w:rFonts w:ascii="Calibri" w:hAnsi="Calibri" w:cs="Calibri"/>
                <w:b/>
                <w:sz w:val="20"/>
                <w:szCs w:val="20"/>
              </w:rPr>
            </w:pPr>
            <w:r w:rsidRPr="0060053A">
              <w:rPr>
                <w:rStyle w:val="Bold"/>
                <w:rFonts w:ascii="Calibri" w:hAnsi="Calibri" w:cs="Calibri"/>
                <w:sz w:val="20"/>
                <w:szCs w:val="20"/>
              </w:rPr>
              <w:t>15</w:t>
            </w:r>
          </w:p>
        </w:tc>
        <w:tc>
          <w:tcPr>
            <w:tcW w:w="394" w:type="dxa"/>
          </w:tcPr>
          <w:p w14:paraId="19A7D43A" w14:textId="77777777" w:rsidR="009B7AED" w:rsidRPr="0060053A" w:rsidRDefault="009B7AED" w:rsidP="002841D0">
            <w:pPr>
              <w:pStyle w:val="TableTextDense"/>
              <w:spacing w:before="10" w:after="10" w:line="240" w:lineRule="auto"/>
              <w:contextualSpacing w:val="0"/>
              <w:jc w:val="center"/>
              <w:rPr>
                <w:rStyle w:val="Bold"/>
                <w:rFonts w:ascii="Calibri" w:hAnsi="Calibri" w:cs="Calibri"/>
                <w:sz w:val="20"/>
                <w:szCs w:val="20"/>
              </w:rPr>
            </w:pPr>
            <w:r w:rsidRPr="0060053A">
              <w:rPr>
                <w:rStyle w:val="Bold"/>
                <w:rFonts w:ascii="Calibri" w:hAnsi="Calibri" w:cs="Calibri"/>
                <w:sz w:val="20"/>
                <w:szCs w:val="20"/>
              </w:rPr>
              <w:t>0</w:t>
            </w:r>
          </w:p>
        </w:tc>
        <w:tc>
          <w:tcPr>
            <w:tcW w:w="788" w:type="dxa"/>
          </w:tcPr>
          <w:p w14:paraId="56858039" w14:textId="77777777" w:rsidR="009B7AED" w:rsidRPr="0060053A" w:rsidRDefault="009B7AED" w:rsidP="002841D0">
            <w:pPr>
              <w:pStyle w:val="TableTextDense"/>
              <w:spacing w:before="10" w:after="10" w:line="240" w:lineRule="auto"/>
              <w:contextualSpacing w:val="0"/>
              <w:jc w:val="center"/>
              <w:rPr>
                <w:rStyle w:val="Bold"/>
                <w:rFonts w:ascii="Calibri" w:hAnsi="Calibri" w:cs="Calibri"/>
                <w:b/>
                <w:sz w:val="20"/>
                <w:szCs w:val="20"/>
              </w:rPr>
            </w:pPr>
            <w:r w:rsidRPr="0060053A">
              <w:rPr>
                <w:rStyle w:val="Bold"/>
                <w:rFonts w:ascii="Calibri" w:hAnsi="Calibri" w:cs="Calibri"/>
                <w:sz w:val="20"/>
                <w:szCs w:val="20"/>
              </w:rPr>
              <w:t>00375</w:t>
            </w:r>
          </w:p>
        </w:tc>
      </w:tr>
      <w:tr w:rsidR="009B7AED" w:rsidRPr="0060053A" w14:paraId="1FF2B3B9" w14:textId="77777777" w:rsidTr="007C54FC">
        <w:trPr>
          <w:trHeight w:val="60"/>
          <w:jc w:val="center"/>
        </w:trPr>
        <w:tc>
          <w:tcPr>
            <w:tcW w:w="1093" w:type="dxa"/>
          </w:tcPr>
          <w:p w14:paraId="1E21B43F" w14:textId="77777777" w:rsidR="009B7AED" w:rsidRPr="0060053A" w:rsidRDefault="009B7AED" w:rsidP="002841D0">
            <w:pPr>
              <w:pStyle w:val="TableTextDense"/>
              <w:spacing w:before="10" w:after="10" w:line="240" w:lineRule="auto"/>
              <w:contextualSpacing w:val="0"/>
              <w:rPr>
                <w:rFonts w:ascii="Calibri" w:hAnsi="Calibri" w:cs="Calibri"/>
                <w:sz w:val="20"/>
                <w:szCs w:val="20"/>
              </w:rPr>
            </w:pPr>
            <w:r w:rsidRPr="0060053A">
              <w:rPr>
                <w:rStyle w:val="Bold"/>
                <w:rFonts w:ascii="Calibri" w:hAnsi="Calibri" w:cs="Calibri"/>
                <w:sz w:val="20"/>
                <w:szCs w:val="20"/>
              </w:rPr>
              <w:t>Content 02 Example:</w:t>
            </w:r>
          </w:p>
        </w:tc>
        <w:tc>
          <w:tcPr>
            <w:tcW w:w="295" w:type="dxa"/>
          </w:tcPr>
          <w:p w14:paraId="0E0CA669"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T</w:t>
            </w:r>
          </w:p>
        </w:tc>
        <w:tc>
          <w:tcPr>
            <w:tcW w:w="493" w:type="dxa"/>
          </w:tcPr>
          <w:p w14:paraId="1658D59A"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17</w:t>
            </w:r>
          </w:p>
        </w:tc>
        <w:tc>
          <w:tcPr>
            <w:tcW w:w="887" w:type="dxa"/>
          </w:tcPr>
          <w:p w14:paraId="6907250C"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018114</w:t>
            </w:r>
          </w:p>
        </w:tc>
        <w:tc>
          <w:tcPr>
            <w:tcW w:w="394" w:type="dxa"/>
          </w:tcPr>
          <w:p w14:paraId="52252EBA"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w:t>
            </w:r>
          </w:p>
        </w:tc>
        <w:tc>
          <w:tcPr>
            <w:tcW w:w="394" w:type="dxa"/>
          </w:tcPr>
          <w:p w14:paraId="777E6896"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w:t>
            </w:r>
          </w:p>
        </w:tc>
        <w:tc>
          <w:tcPr>
            <w:tcW w:w="690" w:type="dxa"/>
          </w:tcPr>
          <w:p w14:paraId="477F4C96"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2012</w:t>
            </w:r>
          </w:p>
        </w:tc>
        <w:tc>
          <w:tcPr>
            <w:tcW w:w="690" w:type="dxa"/>
          </w:tcPr>
          <w:p w14:paraId="79A9E756"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06</w:t>
            </w:r>
          </w:p>
        </w:tc>
        <w:tc>
          <w:tcPr>
            <w:tcW w:w="690" w:type="dxa"/>
          </w:tcPr>
          <w:p w14:paraId="061CCE13"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20</w:t>
            </w:r>
          </w:p>
        </w:tc>
        <w:tc>
          <w:tcPr>
            <w:tcW w:w="690" w:type="dxa"/>
          </w:tcPr>
          <w:p w14:paraId="1A1A5DE3"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w:t>
            </w:r>
          </w:p>
        </w:tc>
        <w:tc>
          <w:tcPr>
            <w:tcW w:w="394" w:type="dxa"/>
          </w:tcPr>
          <w:p w14:paraId="00907CAD"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B</w:t>
            </w:r>
          </w:p>
        </w:tc>
        <w:tc>
          <w:tcPr>
            <w:tcW w:w="788" w:type="dxa"/>
          </w:tcPr>
          <w:p w14:paraId="420B9698"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Blank</w:t>
            </w:r>
          </w:p>
        </w:tc>
        <w:tc>
          <w:tcPr>
            <w:tcW w:w="690" w:type="dxa"/>
          </w:tcPr>
          <w:p w14:paraId="519D2354"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15</w:t>
            </w:r>
          </w:p>
        </w:tc>
        <w:tc>
          <w:tcPr>
            <w:tcW w:w="394" w:type="dxa"/>
          </w:tcPr>
          <w:p w14:paraId="14613837"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w:t>
            </w:r>
          </w:p>
        </w:tc>
        <w:tc>
          <w:tcPr>
            <w:tcW w:w="788" w:type="dxa"/>
          </w:tcPr>
          <w:p w14:paraId="70B662A1"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00305</w:t>
            </w:r>
          </w:p>
        </w:tc>
      </w:tr>
      <w:tr w:rsidR="009B7AED" w:rsidRPr="0060053A" w14:paraId="431B7E15" w14:textId="77777777" w:rsidTr="007C54FC">
        <w:trPr>
          <w:trHeight w:val="60"/>
          <w:jc w:val="center"/>
        </w:trPr>
        <w:tc>
          <w:tcPr>
            <w:tcW w:w="1093" w:type="dxa"/>
          </w:tcPr>
          <w:p w14:paraId="3CE59626" w14:textId="77777777" w:rsidR="009B7AED" w:rsidRPr="0060053A" w:rsidRDefault="009B7AED" w:rsidP="002841D0">
            <w:pPr>
              <w:pStyle w:val="TableTextDense"/>
              <w:spacing w:before="10" w:after="10" w:line="240" w:lineRule="auto"/>
              <w:contextualSpacing w:val="0"/>
              <w:rPr>
                <w:rStyle w:val="Bold"/>
                <w:rFonts w:ascii="Calibri" w:hAnsi="Calibri" w:cs="Calibri"/>
                <w:bCs/>
                <w:sz w:val="20"/>
                <w:szCs w:val="20"/>
              </w:rPr>
            </w:pPr>
            <w:r w:rsidRPr="0060053A">
              <w:rPr>
                <w:rStyle w:val="Bold"/>
                <w:rFonts w:ascii="Calibri" w:hAnsi="Calibri" w:cs="Calibri"/>
                <w:sz w:val="20"/>
                <w:szCs w:val="20"/>
              </w:rPr>
              <w:t>Content 03 Example:</w:t>
            </w:r>
          </w:p>
        </w:tc>
        <w:tc>
          <w:tcPr>
            <w:tcW w:w="295" w:type="dxa"/>
          </w:tcPr>
          <w:p w14:paraId="4EBE16C1"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T</w:t>
            </w:r>
          </w:p>
        </w:tc>
        <w:tc>
          <w:tcPr>
            <w:tcW w:w="493" w:type="dxa"/>
          </w:tcPr>
          <w:p w14:paraId="6D7BD9FB"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17</w:t>
            </w:r>
          </w:p>
        </w:tc>
        <w:tc>
          <w:tcPr>
            <w:tcW w:w="887" w:type="dxa"/>
          </w:tcPr>
          <w:p w14:paraId="4366534A"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018114</w:t>
            </w:r>
          </w:p>
        </w:tc>
        <w:tc>
          <w:tcPr>
            <w:tcW w:w="394" w:type="dxa"/>
          </w:tcPr>
          <w:p w14:paraId="4796274F"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w:t>
            </w:r>
          </w:p>
        </w:tc>
        <w:tc>
          <w:tcPr>
            <w:tcW w:w="394" w:type="dxa"/>
          </w:tcPr>
          <w:p w14:paraId="666ECAFA"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w:t>
            </w:r>
          </w:p>
        </w:tc>
        <w:tc>
          <w:tcPr>
            <w:tcW w:w="690" w:type="dxa"/>
          </w:tcPr>
          <w:p w14:paraId="436DCB63"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2012</w:t>
            </w:r>
          </w:p>
        </w:tc>
        <w:tc>
          <w:tcPr>
            <w:tcW w:w="690" w:type="dxa"/>
          </w:tcPr>
          <w:p w14:paraId="66206463"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06</w:t>
            </w:r>
          </w:p>
        </w:tc>
        <w:tc>
          <w:tcPr>
            <w:tcW w:w="690" w:type="dxa"/>
          </w:tcPr>
          <w:p w14:paraId="03B8187D"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20</w:t>
            </w:r>
          </w:p>
        </w:tc>
        <w:tc>
          <w:tcPr>
            <w:tcW w:w="690" w:type="dxa"/>
          </w:tcPr>
          <w:p w14:paraId="489023D0"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w:t>
            </w:r>
          </w:p>
        </w:tc>
        <w:tc>
          <w:tcPr>
            <w:tcW w:w="394" w:type="dxa"/>
          </w:tcPr>
          <w:p w14:paraId="5CBAC970"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C</w:t>
            </w:r>
          </w:p>
        </w:tc>
        <w:tc>
          <w:tcPr>
            <w:tcW w:w="788" w:type="dxa"/>
          </w:tcPr>
          <w:p w14:paraId="04CEB697"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Blank</w:t>
            </w:r>
          </w:p>
        </w:tc>
        <w:tc>
          <w:tcPr>
            <w:tcW w:w="690" w:type="dxa"/>
          </w:tcPr>
          <w:p w14:paraId="093F7DB9"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15</w:t>
            </w:r>
          </w:p>
        </w:tc>
        <w:tc>
          <w:tcPr>
            <w:tcW w:w="394" w:type="dxa"/>
          </w:tcPr>
          <w:p w14:paraId="63C6E4E4"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w:t>
            </w:r>
          </w:p>
        </w:tc>
        <w:tc>
          <w:tcPr>
            <w:tcW w:w="788" w:type="dxa"/>
          </w:tcPr>
          <w:p w14:paraId="6047F1FE"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00266</w:t>
            </w:r>
          </w:p>
        </w:tc>
      </w:tr>
      <w:tr w:rsidR="009B7AED" w:rsidRPr="0060053A" w14:paraId="4621F6CA" w14:textId="77777777" w:rsidTr="007C54FC">
        <w:trPr>
          <w:trHeight w:val="60"/>
          <w:jc w:val="center"/>
        </w:trPr>
        <w:tc>
          <w:tcPr>
            <w:tcW w:w="1093" w:type="dxa"/>
          </w:tcPr>
          <w:p w14:paraId="10C0B92F" w14:textId="77777777" w:rsidR="009B7AED" w:rsidRPr="0060053A" w:rsidRDefault="009B7AED" w:rsidP="002841D0">
            <w:pPr>
              <w:pStyle w:val="TableTextDense"/>
              <w:spacing w:before="10" w:after="10" w:line="240" w:lineRule="auto"/>
              <w:contextualSpacing w:val="0"/>
              <w:rPr>
                <w:rStyle w:val="Bold"/>
                <w:rFonts w:ascii="Calibri" w:hAnsi="Calibri" w:cs="Calibri"/>
                <w:bCs/>
                <w:sz w:val="20"/>
                <w:szCs w:val="20"/>
              </w:rPr>
            </w:pPr>
            <w:r w:rsidRPr="0060053A">
              <w:rPr>
                <w:rStyle w:val="Bold"/>
                <w:rFonts w:ascii="Calibri" w:hAnsi="Calibri" w:cs="Calibri"/>
                <w:sz w:val="20"/>
                <w:szCs w:val="20"/>
              </w:rPr>
              <w:t>Content 04 Example:</w:t>
            </w:r>
          </w:p>
        </w:tc>
        <w:tc>
          <w:tcPr>
            <w:tcW w:w="295" w:type="dxa"/>
          </w:tcPr>
          <w:p w14:paraId="4C8CF379"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T</w:t>
            </w:r>
          </w:p>
        </w:tc>
        <w:tc>
          <w:tcPr>
            <w:tcW w:w="493" w:type="dxa"/>
          </w:tcPr>
          <w:p w14:paraId="56655A06"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17</w:t>
            </w:r>
          </w:p>
        </w:tc>
        <w:tc>
          <w:tcPr>
            <w:tcW w:w="887" w:type="dxa"/>
          </w:tcPr>
          <w:p w14:paraId="093B75B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018114</w:t>
            </w:r>
          </w:p>
        </w:tc>
        <w:tc>
          <w:tcPr>
            <w:tcW w:w="394" w:type="dxa"/>
          </w:tcPr>
          <w:p w14:paraId="491ED527"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w:t>
            </w:r>
          </w:p>
        </w:tc>
        <w:tc>
          <w:tcPr>
            <w:tcW w:w="394" w:type="dxa"/>
          </w:tcPr>
          <w:p w14:paraId="3EE40871"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w:t>
            </w:r>
          </w:p>
        </w:tc>
        <w:tc>
          <w:tcPr>
            <w:tcW w:w="690" w:type="dxa"/>
          </w:tcPr>
          <w:p w14:paraId="4D24B7A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2012</w:t>
            </w:r>
          </w:p>
        </w:tc>
        <w:tc>
          <w:tcPr>
            <w:tcW w:w="690" w:type="dxa"/>
          </w:tcPr>
          <w:p w14:paraId="14A5A0DD"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06</w:t>
            </w:r>
          </w:p>
        </w:tc>
        <w:tc>
          <w:tcPr>
            <w:tcW w:w="690" w:type="dxa"/>
          </w:tcPr>
          <w:p w14:paraId="3118FE0D"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20</w:t>
            </w:r>
          </w:p>
        </w:tc>
        <w:tc>
          <w:tcPr>
            <w:tcW w:w="690" w:type="dxa"/>
          </w:tcPr>
          <w:p w14:paraId="26D7024E"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w:t>
            </w:r>
          </w:p>
        </w:tc>
        <w:tc>
          <w:tcPr>
            <w:tcW w:w="394" w:type="dxa"/>
          </w:tcPr>
          <w:p w14:paraId="21802C0D"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D</w:t>
            </w:r>
          </w:p>
        </w:tc>
        <w:tc>
          <w:tcPr>
            <w:tcW w:w="788" w:type="dxa"/>
          </w:tcPr>
          <w:p w14:paraId="4D26ADA9"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Blank</w:t>
            </w:r>
          </w:p>
        </w:tc>
        <w:tc>
          <w:tcPr>
            <w:tcW w:w="690" w:type="dxa"/>
          </w:tcPr>
          <w:p w14:paraId="5FE11C69"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15</w:t>
            </w:r>
          </w:p>
        </w:tc>
        <w:tc>
          <w:tcPr>
            <w:tcW w:w="394" w:type="dxa"/>
          </w:tcPr>
          <w:p w14:paraId="5A0BD730"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w:t>
            </w:r>
          </w:p>
        </w:tc>
        <w:tc>
          <w:tcPr>
            <w:tcW w:w="788" w:type="dxa"/>
          </w:tcPr>
          <w:p w14:paraId="134B2D9F"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00268</w:t>
            </w:r>
          </w:p>
        </w:tc>
      </w:tr>
      <w:tr w:rsidR="009B7AED" w:rsidRPr="0060053A" w14:paraId="24F3166E" w14:textId="77777777" w:rsidTr="007C54FC">
        <w:trPr>
          <w:trHeight w:val="60"/>
          <w:jc w:val="center"/>
        </w:trPr>
        <w:tc>
          <w:tcPr>
            <w:tcW w:w="1093" w:type="dxa"/>
          </w:tcPr>
          <w:p w14:paraId="20058EE8" w14:textId="77777777" w:rsidR="009B7AED" w:rsidRPr="0060053A" w:rsidRDefault="009B7AED" w:rsidP="002841D0">
            <w:pPr>
              <w:pStyle w:val="TableTextDense"/>
              <w:spacing w:before="10" w:after="10" w:line="240" w:lineRule="auto"/>
              <w:contextualSpacing w:val="0"/>
              <w:rPr>
                <w:rStyle w:val="Bold"/>
                <w:rFonts w:ascii="Calibri" w:hAnsi="Calibri" w:cs="Calibri"/>
                <w:bCs/>
                <w:sz w:val="20"/>
                <w:szCs w:val="20"/>
              </w:rPr>
            </w:pPr>
            <w:r w:rsidRPr="0060053A">
              <w:rPr>
                <w:rStyle w:val="Bold"/>
                <w:rFonts w:ascii="Calibri" w:hAnsi="Calibri" w:cs="Calibri"/>
                <w:sz w:val="20"/>
                <w:szCs w:val="20"/>
              </w:rPr>
              <w:t>Content 05 Example:</w:t>
            </w:r>
          </w:p>
        </w:tc>
        <w:tc>
          <w:tcPr>
            <w:tcW w:w="295" w:type="dxa"/>
          </w:tcPr>
          <w:p w14:paraId="104826DC"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T</w:t>
            </w:r>
          </w:p>
        </w:tc>
        <w:tc>
          <w:tcPr>
            <w:tcW w:w="493" w:type="dxa"/>
          </w:tcPr>
          <w:p w14:paraId="3B0791D3"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17</w:t>
            </w:r>
          </w:p>
        </w:tc>
        <w:tc>
          <w:tcPr>
            <w:tcW w:w="887" w:type="dxa"/>
          </w:tcPr>
          <w:p w14:paraId="2C722591"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018114</w:t>
            </w:r>
          </w:p>
        </w:tc>
        <w:tc>
          <w:tcPr>
            <w:tcW w:w="394" w:type="dxa"/>
          </w:tcPr>
          <w:p w14:paraId="32180451"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w:t>
            </w:r>
          </w:p>
        </w:tc>
        <w:tc>
          <w:tcPr>
            <w:tcW w:w="394" w:type="dxa"/>
          </w:tcPr>
          <w:p w14:paraId="5E6A6CB1"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w:t>
            </w:r>
          </w:p>
        </w:tc>
        <w:tc>
          <w:tcPr>
            <w:tcW w:w="690" w:type="dxa"/>
          </w:tcPr>
          <w:p w14:paraId="33D8B744"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2012</w:t>
            </w:r>
          </w:p>
        </w:tc>
        <w:tc>
          <w:tcPr>
            <w:tcW w:w="690" w:type="dxa"/>
          </w:tcPr>
          <w:p w14:paraId="1BFB73F0"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06</w:t>
            </w:r>
          </w:p>
        </w:tc>
        <w:tc>
          <w:tcPr>
            <w:tcW w:w="690" w:type="dxa"/>
          </w:tcPr>
          <w:p w14:paraId="189B7590"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20</w:t>
            </w:r>
          </w:p>
        </w:tc>
        <w:tc>
          <w:tcPr>
            <w:tcW w:w="690" w:type="dxa"/>
          </w:tcPr>
          <w:p w14:paraId="1EF9D1B5"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w:t>
            </w:r>
          </w:p>
        </w:tc>
        <w:tc>
          <w:tcPr>
            <w:tcW w:w="394" w:type="dxa"/>
          </w:tcPr>
          <w:p w14:paraId="70EECFAA"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E</w:t>
            </w:r>
          </w:p>
        </w:tc>
        <w:tc>
          <w:tcPr>
            <w:tcW w:w="788" w:type="dxa"/>
          </w:tcPr>
          <w:p w14:paraId="14A18E78"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Blank</w:t>
            </w:r>
          </w:p>
        </w:tc>
        <w:tc>
          <w:tcPr>
            <w:tcW w:w="690" w:type="dxa"/>
          </w:tcPr>
          <w:p w14:paraId="14E33FAD"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15</w:t>
            </w:r>
          </w:p>
        </w:tc>
        <w:tc>
          <w:tcPr>
            <w:tcW w:w="394" w:type="dxa"/>
          </w:tcPr>
          <w:p w14:paraId="6D0E9E85"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w:t>
            </w:r>
          </w:p>
        </w:tc>
        <w:tc>
          <w:tcPr>
            <w:tcW w:w="788" w:type="dxa"/>
          </w:tcPr>
          <w:p w14:paraId="64E449E1"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00248</w:t>
            </w:r>
          </w:p>
        </w:tc>
      </w:tr>
      <w:tr w:rsidR="009B7AED" w:rsidRPr="0060053A" w14:paraId="1CC7D4D9" w14:textId="77777777" w:rsidTr="007C54FC">
        <w:trPr>
          <w:trHeight w:val="60"/>
          <w:jc w:val="center"/>
        </w:trPr>
        <w:tc>
          <w:tcPr>
            <w:tcW w:w="1093" w:type="dxa"/>
          </w:tcPr>
          <w:p w14:paraId="1CB03DB3" w14:textId="77777777" w:rsidR="009B7AED" w:rsidRPr="0060053A" w:rsidRDefault="009B7AED" w:rsidP="002841D0">
            <w:pPr>
              <w:pStyle w:val="TableTextDense"/>
              <w:spacing w:before="10" w:after="10" w:line="240" w:lineRule="auto"/>
              <w:contextualSpacing w:val="0"/>
              <w:rPr>
                <w:rStyle w:val="Bold"/>
                <w:rFonts w:ascii="Calibri" w:hAnsi="Calibri" w:cs="Calibri"/>
                <w:bCs/>
                <w:sz w:val="20"/>
                <w:szCs w:val="20"/>
              </w:rPr>
            </w:pPr>
            <w:r w:rsidRPr="0060053A">
              <w:rPr>
                <w:rStyle w:val="Bold"/>
                <w:rFonts w:ascii="Calibri" w:hAnsi="Calibri" w:cs="Calibri"/>
                <w:sz w:val="20"/>
                <w:szCs w:val="20"/>
              </w:rPr>
              <w:t>Content 06 Example:</w:t>
            </w:r>
          </w:p>
        </w:tc>
        <w:tc>
          <w:tcPr>
            <w:tcW w:w="295" w:type="dxa"/>
          </w:tcPr>
          <w:p w14:paraId="303BB74C"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T</w:t>
            </w:r>
          </w:p>
        </w:tc>
        <w:tc>
          <w:tcPr>
            <w:tcW w:w="493" w:type="dxa"/>
          </w:tcPr>
          <w:p w14:paraId="7DF3AC15"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17</w:t>
            </w:r>
          </w:p>
        </w:tc>
        <w:tc>
          <w:tcPr>
            <w:tcW w:w="887" w:type="dxa"/>
          </w:tcPr>
          <w:p w14:paraId="081D9ACB"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018114</w:t>
            </w:r>
          </w:p>
        </w:tc>
        <w:tc>
          <w:tcPr>
            <w:tcW w:w="394" w:type="dxa"/>
          </w:tcPr>
          <w:p w14:paraId="72C80648"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w:t>
            </w:r>
          </w:p>
        </w:tc>
        <w:tc>
          <w:tcPr>
            <w:tcW w:w="394" w:type="dxa"/>
          </w:tcPr>
          <w:p w14:paraId="7EA5DC4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w:t>
            </w:r>
          </w:p>
        </w:tc>
        <w:tc>
          <w:tcPr>
            <w:tcW w:w="690" w:type="dxa"/>
          </w:tcPr>
          <w:p w14:paraId="3BFFC397"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2012</w:t>
            </w:r>
          </w:p>
        </w:tc>
        <w:tc>
          <w:tcPr>
            <w:tcW w:w="690" w:type="dxa"/>
          </w:tcPr>
          <w:p w14:paraId="5DFF5C2F"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06</w:t>
            </w:r>
          </w:p>
        </w:tc>
        <w:tc>
          <w:tcPr>
            <w:tcW w:w="690" w:type="dxa"/>
          </w:tcPr>
          <w:p w14:paraId="2880593B"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20</w:t>
            </w:r>
          </w:p>
        </w:tc>
        <w:tc>
          <w:tcPr>
            <w:tcW w:w="690" w:type="dxa"/>
          </w:tcPr>
          <w:p w14:paraId="5EEC0453"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w:t>
            </w:r>
          </w:p>
        </w:tc>
        <w:tc>
          <w:tcPr>
            <w:tcW w:w="394" w:type="dxa"/>
          </w:tcPr>
          <w:p w14:paraId="1F6EC077"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F</w:t>
            </w:r>
          </w:p>
        </w:tc>
        <w:tc>
          <w:tcPr>
            <w:tcW w:w="788" w:type="dxa"/>
          </w:tcPr>
          <w:p w14:paraId="76DA66AD"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Blank</w:t>
            </w:r>
          </w:p>
        </w:tc>
        <w:tc>
          <w:tcPr>
            <w:tcW w:w="690" w:type="dxa"/>
          </w:tcPr>
          <w:p w14:paraId="33A1E5B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15</w:t>
            </w:r>
          </w:p>
        </w:tc>
        <w:tc>
          <w:tcPr>
            <w:tcW w:w="394" w:type="dxa"/>
          </w:tcPr>
          <w:p w14:paraId="64F5B866"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w:t>
            </w:r>
          </w:p>
        </w:tc>
        <w:tc>
          <w:tcPr>
            <w:tcW w:w="788" w:type="dxa"/>
          </w:tcPr>
          <w:p w14:paraId="41B01FFC"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00231</w:t>
            </w:r>
          </w:p>
        </w:tc>
      </w:tr>
      <w:tr w:rsidR="009B7AED" w:rsidRPr="0060053A" w14:paraId="10517EFB" w14:textId="77777777" w:rsidTr="007C54FC">
        <w:trPr>
          <w:trHeight w:val="60"/>
          <w:jc w:val="center"/>
        </w:trPr>
        <w:tc>
          <w:tcPr>
            <w:tcW w:w="1093" w:type="dxa"/>
          </w:tcPr>
          <w:p w14:paraId="393D5B8E" w14:textId="77777777" w:rsidR="009B7AED" w:rsidRPr="0060053A" w:rsidRDefault="009B7AED" w:rsidP="002841D0">
            <w:pPr>
              <w:pStyle w:val="TableTextDense"/>
              <w:spacing w:before="10" w:after="10" w:line="240" w:lineRule="auto"/>
              <w:contextualSpacing w:val="0"/>
              <w:rPr>
                <w:rStyle w:val="Bold"/>
                <w:rFonts w:ascii="Calibri" w:hAnsi="Calibri" w:cs="Calibri"/>
                <w:bCs/>
                <w:sz w:val="20"/>
                <w:szCs w:val="20"/>
              </w:rPr>
            </w:pPr>
            <w:r w:rsidRPr="0060053A">
              <w:rPr>
                <w:rStyle w:val="Bold"/>
                <w:rFonts w:ascii="Calibri" w:hAnsi="Calibri" w:cs="Calibri"/>
                <w:sz w:val="20"/>
                <w:szCs w:val="20"/>
              </w:rPr>
              <w:t>Content 07 Example:</w:t>
            </w:r>
          </w:p>
        </w:tc>
        <w:tc>
          <w:tcPr>
            <w:tcW w:w="295" w:type="dxa"/>
          </w:tcPr>
          <w:p w14:paraId="01EE1E7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T</w:t>
            </w:r>
          </w:p>
        </w:tc>
        <w:tc>
          <w:tcPr>
            <w:tcW w:w="493" w:type="dxa"/>
          </w:tcPr>
          <w:p w14:paraId="2712B64F"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17</w:t>
            </w:r>
          </w:p>
        </w:tc>
        <w:tc>
          <w:tcPr>
            <w:tcW w:w="887" w:type="dxa"/>
          </w:tcPr>
          <w:p w14:paraId="13E8C5B4"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018114</w:t>
            </w:r>
          </w:p>
        </w:tc>
        <w:tc>
          <w:tcPr>
            <w:tcW w:w="394" w:type="dxa"/>
          </w:tcPr>
          <w:p w14:paraId="63F53C11"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w:t>
            </w:r>
          </w:p>
        </w:tc>
        <w:tc>
          <w:tcPr>
            <w:tcW w:w="394" w:type="dxa"/>
          </w:tcPr>
          <w:p w14:paraId="520E426C"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w:t>
            </w:r>
          </w:p>
        </w:tc>
        <w:tc>
          <w:tcPr>
            <w:tcW w:w="690" w:type="dxa"/>
          </w:tcPr>
          <w:p w14:paraId="081718CE"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2012</w:t>
            </w:r>
          </w:p>
        </w:tc>
        <w:tc>
          <w:tcPr>
            <w:tcW w:w="690" w:type="dxa"/>
          </w:tcPr>
          <w:p w14:paraId="791F5C11"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06</w:t>
            </w:r>
          </w:p>
        </w:tc>
        <w:tc>
          <w:tcPr>
            <w:tcW w:w="690" w:type="dxa"/>
          </w:tcPr>
          <w:p w14:paraId="431BF216"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20</w:t>
            </w:r>
          </w:p>
        </w:tc>
        <w:tc>
          <w:tcPr>
            <w:tcW w:w="690" w:type="dxa"/>
          </w:tcPr>
          <w:p w14:paraId="2222FDDA"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w:t>
            </w:r>
          </w:p>
        </w:tc>
        <w:tc>
          <w:tcPr>
            <w:tcW w:w="394" w:type="dxa"/>
          </w:tcPr>
          <w:p w14:paraId="33714F17"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G</w:t>
            </w:r>
          </w:p>
        </w:tc>
        <w:tc>
          <w:tcPr>
            <w:tcW w:w="788" w:type="dxa"/>
          </w:tcPr>
          <w:p w14:paraId="1CF3F65B"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Blank</w:t>
            </w:r>
          </w:p>
        </w:tc>
        <w:tc>
          <w:tcPr>
            <w:tcW w:w="690" w:type="dxa"/>
          </w:tcPr>
          <w:p w14:paraId="563EC218"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15</w:t>
            </w:r>
          </w:p>
        </w:tc>
        <w:tc>
          <w:tcPr>
            <w:tcW w:w="394" w:type="dxa"/>
          </w:tcPr>
          <w:p w14:paraId="40A90609"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w:t>
            </w:r>
          </w:p>
        </w:tc>
        <w:tc>
          <w:tcPr>
            <w:tcW w:w="788" w:type="dxa"/>
          </w:tcPr>
          <w:p w14:paraId="2F594FA7"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00197</w:t>
            </w:r>
          </w:p>
        </w:tc>
      </w:tr>
      <w:tr w:rsidR="009B7AED" w:rsidRPr="0060053A" w14:paraId="30052EAB" w14:textId="77777777" w:rsidTr="007C54FC">
        <w:trPr>
          <w:trHeight w:val="60"/>
          <w:jc w:val="center"/>
        </w:trPr>
        <w:tc>
          <w:tcPr>
            <w:tcW w:w="1093" w:type="dxa"/>
          </w:tcPr>
          <w:p w14:paraId="21811756" w14:textId="77777777" w:rsidR="009B7AED" w:rsidRPr="0060053A" w:rsidRDefault="009B7AED" w:rsidP="002841D0">
            <w:pPr>
              <w:pStyle w:val="TableTextDense"/>
              <w:spacing w:before="10" w:after="10" w:line="240" w:lineRule="auto"/>
              <w:contextualSpacing w:val="0"/>
              <w:rPr>
                <w:rStyle w:val="Bold"/>
                <w:rFonts w:ascii="Calibri" w:hAnsi="Calibri" w:cs="Calibri"/>
                <w:bCs/>
                <w:sz w:val="20"/>
                <w:szCs w:val="20"/>
              </w:rPr>
            </w:pPr>
            <w:r w:rsidRPr="0060053A">
              <w:rPr>
                <w:rStyle w:val="Bold"/>
                <w:rFonts w:ascii="Calibri" w:hAnsi="Calibri" w:cs="Calibri"/>
                <w:sz w:val="20"/>
                <w:szCs w:val="20"/>
              </w:rPr>
              <w:t>Content 08 Example:</w:t>
            </w:r>
          </w:p>
        </w:tc>
        <w:tc>
          <w:tcPr>
            <w:tcW w:w="295" w:type="dxa"/>
          </w:tcPr>
          <w:p w14:paraId="706901E6"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T</w:t>
            </w:r>
          </w:p>
        </w:tc>
        <w:tc>
          <w:tcPr>
            <w:tcW w:w="493" w:type="dxa"/>
          </w:tcPr>
          <w:p w14:paraId="077AD596"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17</w:t>
            </w:r>
          </w:p>
        </w:tc>
        <w:tc>
          <w:tcPr>
            <w:tcW w:w="887" w:type="dxa"/>
          </w:tcPr>
          <w:p w14:paraId="0E6086E1"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018114</w:t>
            </w:r>
          </w:p>
        </w:tc>
        <w:tc>
          <w:tcPr>
            <w:tcW w:w="394" w:type="dxa"/>
          </w:tcPr>
          <w:p w14:paraId="28231FBC"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w:t>
            </w:r>
          </w:p>
        </w:tc>
        <w:tc>
          <w:tcPr>
            <w:tcW w:w="394" w:type="dxa"/>
          </w:tcPr>
          <w:p w14:paraId="66853966"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w:t>
            </w:r>
          </w:p>
        </w:tc>
        <w:tc>
          <w:tcPr>
            <w:tcW w:w="690" w:type="dxa"/>
          </w:tcPr>
          <w:p w14:paraId="1FF7F08C"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2012</w:t>
            </w:r>
          </w:p>
        </w:tc>
        <w:tc>
          <w:tcPr>
            <w:tcW w:w="690" w:type="dxa"/>
          </w:tcPr>
          <w:p w14:paraId="05D3F35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06</w:t>
            </w:r>
          </w:p>
        </w:tc>
        <w:tc>
          <w:tcPr>
            <w:tcW w:w="690" w:type="dxa"/>
          </w:tcPr>
          <w:p w14:paraId="2F2A36B4"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20</w:t>
            </w:r>
          </w:p>
        </w:tc>
        <w:tc>
          <w:tcPr>
            <w:tcW w:w="690" w:type="dxa"/>
          </w:tcPr>
          <w:p w14:paraId="01816DC9"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w:t>
            </w:r>
          </w:p>
        </w:tc>
        <w:tc>
          <w:tcPr>
            <w:tcW w:w="394" w:type="dxa"/>
          </w:tcPr>
          <w:p w14:paraId="5D5D7C0E"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H</w:t>
            </w:r>
          </w:p>
        </w:tc>
        <w:tc>
          <w:tcPr>
            <w:tcW w:w="788" w:type="dxa"/>
          </w:tcPr>
          <w:p w14:paraId="666CFC3A"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Blank</w:t>
            </w:r>
          </w:p>
        </w:tc>
        <w:tc>
          <w:tcPr>
            <w:tcW w:w="690" w:type="dxa"/>
          </w:tcPr>
          <w:p w14:paraId="7E152BE3"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15</w:t>
            </w:r>
          </w:p>
        </w:tc>
        <w:tc>
          <w:tcPr>
            <w:tcW w:w="394" w:type="dxa"/>
          </w:tcPr>
          <w:p w14:paraId="0D41961C"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w:t>
            </w:r>
          </w:p>
        </w:tc>
        <w:tc>
          <w:tcPr>
            <w:tcW w:w="788" w:type="dxa"/>
          </w:tcPr>
          <w:p w14:paraId="2828605A"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00183</w:t>
            </w:r>
          </w:p>
        </w:tc>
      </w:tr>
      <w:tr w:rsidR="009B7AED" w:rsidRPr="0060053A" w14:paraId="739F6D9F" w14:textId="77777777" w:rsidTr="007C54FC">
        <w:trPr>
          <w:trHeight w:val="60"/>
          <w:jc w:val="center"/>
        </w:trPr>
        <w:tc>
          <w:tcPr>
            <w:tcW w:w="1093" w:type="dxa"/>
          </w:tcPr>
          <w:p w14:paraId="51DC2505" w14:textId="77777777" w:rsidR="009B7AED" w:rsidRPr="0060053A" w:rsidRDefault="009B7AED" w:rsidP="002841D0">
            <w:pPr>
              <w:pStyle w:val="TableTextDense"/>
              <w:spacing w:before="10" w:after="10" w:line="240" w:lineRule="auto"/>
              <w:contextualSpacing w:val="0"/>
              <w:rPr>
                <w:rStyle w:val="Bold"/>
                <w:rFonts w:ascii="Calibri" w:hAnsi="Calibri" w:cs="Calibri"/>
                <w:bCs/>
                <w:sz w:val="20"/>
                <w:szCs w:val="20"/>
              </w:rPr>
            </w:pPr>
            <w:r w:rsidRPr="0060053A">
              <w:rPr>
                <w:rStyle w:val="Bold"/>
                <w:rFonts w:ascii="Calibri" w:hAnsi="Calibri" w:cs="Calibri"/>
                <w:sz w:val="20"/>
                <w:szCs w:val="20"/>
              </w:rPr>
              <w:t>Content 09 Example:</w:t>
            </w:r>
          </w:p>
        </w:tc>
        <w:tc>
          <w:tcPr>
            <w:tcW w:w="295" w:type="dxa"/>
          </w:tcPr>
          <w:p w14:paraId="058514ED"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T</w:t>
            </w:r>
          </w:p>
        </w:tc>
        <w:tc>
          <w:tcPr>
            <w:tcW w:w="493" w:type="dxa"/>
          </w:tcPr>
          <w:p w14:paraId="5D806EFC"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17</w:t>
            </w:r>
          </w:p>
        </w:tc>
        <w:tc>
          <w:tcPr>
            <w:tcW w:w="887" w:type="dxa"/>
          </w:tcPr>
          <w:p w14:paraId="232E9DCE"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018114</w:t>
            </w:r>
          </w:p>
        </w:tc>
        <w:tc>
          <w:tcPr>
            <w:tcW w:w="394" w:type="dxa"/>
          </w:tcPr>
          <w:p w14:paraId="4E689CA9"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w:t>
            </w:r>
          </w:p>
        </w:tc>
        <w:tc>
          <w:tcPr>
            <w:tcW w:w="394" w:type="dxa"/>
          </w:tcPr>
          <w:p w14:paraId="1E4EDB69"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w:t>
            </w:r>
          </w:p>
        </w:tc>
        <w:tc>
          <w:tcPr>
            <w:tcW w:w="690" w:type="dxa"/>
          </w:tcPr>
          <w:p w14:paraId="524400B8"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2012</w:t>
            </w:r>
          </w:p>
        </w:tc>
        <w:tc>
          <w:tcPr>
            <w:tcW w:w="690" w:type="dxa"/>
          </w:tcPr>
          <w:p w14:paraId="15DC67D1"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06</w:t>
            </w:r>
          </w:p>
        </w:tc>
        <w:tc>
          <w:tcPr>
            <w:tcW w:w="690" w:type="dxa"/>
          </w:tcPr>
          <w:p w14:paraId="43876FA7"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20</w:t>
            </w:r>
          </w:p>
        </w:tc>
        <w:tc>
          <w:tcPr>
            <w:tcW w:w="690" w:type="dxa"/>
          </w:tcPr>
          <w:p w14:paraId="3DD3326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w:t>
            </w:r>
          </w:p>
        </w:tc>
        <w:tc>
          <w:tcPr>
            <w:tcW w:w="394" w:type="dxa"/>
          </w:tcPr>
          <w:p w14:paraId="6A40B5D6"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I</w:t>
            </w:r>
          </w:p>
        </w:tc>
        <w:tc>
          <w:tcPr>
            <w:tcW w:w="788" w:type="dxa"/>
          </w:tcPr>
          <w:p w14:paraId="4F8CC395"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Blank</w:t>
            </w:r>
          </w:p>
        </w:tc>
        <w:tc>
          <w:tcPr>
            <w:tcW w:w="690" w:type="dxa"/>
          </w:tcPr>
          <w:p w14:paraId="66381A18"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15</w:t>
            </w:r>
          </w:p>
        </w:tc>
        <w:tc>
          <w:tcPr>
            <w:tcW w:w="394" w:type="dxa"/>
          </w:tcPr>
          <w:p w14:paraId="114E0B4D"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w:t>
            </w:r>
          </w:p>
        </w:tc>
        <w:tc>
          <w:tcPr>
            <w:tcW w:w="788" w:type="dxa"/>
          </w:tcPr>
          <w:p w14:paraId="7A1430C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00173</w:t>
            </w:r>
          </w:p>
        </w:tc>
      </w:tr>
      <w:tr w:rsidR="009B7AED" w:rsidRPr="0060053A" w14:paraId="07CFB1CF" w14:textId="77777777" w:rsidTr="007C54FC">
        <w:trPr>
          <w:trHeight w:val="60"/>
          <w:jc w:val="center"/>
        </w:trPr>
        <w:tc>
          <w:tcPr>
            <w:tcW w:w="1093" w:type="dxa"/>
          </w:tcPr>
          <w:p w14:paraId="463D6360" w14:textId="77777777" w:rsidR="009B7AED" w:rsidRPr="0060053A" w:rsidRDefault="009B7AED" w:rsidP="002841D0">
            <w:pPr>
              <w:pStyle w:val="TableTextDense"/>
              <w:spacing w:before="10" w:after="10" w:line="240" w:lineRule="auto"/>
              <w:contextualSpacing w:val="0"/>
              <w:rPr>
                <w:rStyle w:val="Bold"/>
                <w:rFonts w:ascii="Calibri" w:hAnsi="Calibri" w:cs="Calibri"/>
                <w:bCs/>
                <w:sz w:val="20"/>
                <w:szCs w:val="20"/>
              </w:rPr>
            </w:pPr>
            <w:r w:rsidRPr="0060053A">
              <w:rPr>
                <w:rStyle w:val="Bold"/>
                <w:rFonts w:ascii="Calibri" w:hAnsi="Calibri" w:cs="Calibri"/>
                <w:sz w:val="20"/>
                <w:szCs w:val="20"/>
              </w:rPr>
              <w:t>Content 10 Example:</w:t>
            </w:r>
          </w:p>
        </w:tc>
        <w:tc>
          <w:tcPr>
            <w:tcW w:w="295" w:type="dxa"/>
          </w:tcPr>
          <w:p w14:paraId="3C1A2208"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T</w:t>
            </w:r>
          </w:p>
        </w:tc>
        <w:tc>
          <w:tcPr>
            <w:tcW w:w="493" w:type="dxa"/>
          </w:tcPr>
          <w:p w14:paraId="519863AC"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17</w:t>
            </w:r>
          </w:p>
        </w:tc>
        <w:tc>
          <w:tcPr>
            <w:tcW w:w="887" w:type="dxa"/>
          </w:tcPr>
          <w:p w14:paraId="5E34A45C"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018114</w:t>
            </w:r>
          </w:p>
        </w:tc>
        <w:tc>
          <w:tcPr>
            <w:tcW w:w="394" w:type="dxa"/>
          </w:tcPr>
          <w:p w14:paraId="24924653"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w:t>
            </w:r>
          </w:p>
        </w:tc>
        <w:tc>
          <w:tcPr>
            <w:tcW w:w="394" w:type="dxa"/>
          </w:tcPr>
          <w:p w14:paraId="1AA09D05"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w:t>
            </w:r>
          </w:p>
        </w:tc>
        <w:tc>
          <w:tcPr>
            <w:tcW w:w="690" w:type="dxa"/>
          </w:tcPr>
          <w:p w14:paraId="1EB48B81"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2012</w:t>
            </w:r>
          </w:p>
        </w:tc>
        <w:tc>
          <w:tcPr>
            <w:tcW w:w="690" w:type="dxa"/>
          </w:tcPr>
          <w:p w14:paraId="0F58A0AB"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06</w:t>
            </w:r>
          </w:p>
        </w:tc>
        <w:tc>
          <w:tcPr>
            <w:tcW w:w="690" w:type="dxa"/>
          </w:tcPr>
          <w:p w14:paraId="56187A90"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20</w:t>
            </w:r>
          </w:p>
        </w:tc>
        <w:tc>
          <w:tcPr>
            <w:tcW w:w="690" w:type="dxa"/>
          </w:tcPr>
          <w:p w14:paraId="0422DA3B"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w:t>
            </w:r>
          </w:p>
        </w:tc>
        <w:tc>
          <w:tcPr>
            <w:tcW w:w="394" w:type="dxa"/>
          </w:tcPr>
          <w:p w14:paraId="481ABCD6"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J</w:t>
            </w:r>
          </w:p>
        </w:tc>
        <w:tc>
          <w:tcPr>
            <w:tcW w:w="788" w:type="dxa"/>
          </w:tcPr>
          <w:p w14:paraId="44CB287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Blank</w:t>
            </w:r>
          </w:p>
        </w:tc>
        <w:tc>
          <w:tcPr>
            <w:tcW w:w="690" w:type="dxa"/>
          </w:tcPr>
          <w:p w14:paraId="40DB7AED"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15</w:t>
            </w:r>
          </w:p>
        </w:tc>
        <w:tc>
          <w:tcPr>
            <w:tcW w:w="394" w:type="dxa"/>
          </w:tcPr>
          <w:p w14:paraId="3F07A3F3"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w:t>
            </w:r>
          </w:p>
        </w:tc>
        <w:tc>
          <w:tcPr>
            <w:tcW w:w="788" w:type="dxa"/>
          </w:tcPr>
          <w:p w14:paraId="2329708E"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00159</w:t>
            </w:r>
          </w:p>
        </w:tc>
      </w:tr>
      <w:tr w:rsidR="009B7AED" w:rsidRPr="0060053A" w14:paraId="7B426A17" w14:textId="77777777" w:rsidTr="007C54FC">
        <w:trPr>
          <w:trHeight w:val="60"/>
          <w:jc w:val="center"/>
        </w:trPr>
        <w:tc>
          <w:tcPr>
            <w:tcW w:w="1093" w:type="dxa"/>
          </w:tcPr>
          <w:p w14:paraId="45E50AD8" w14:textId="77777777" w:rsidR="009B7AED" w:rsidRPr="0060053A" w:rsidRDefault="009B7AED" w:rsidP="002841D0">
            <w:pPr>
              <w:pStyle w:val="TableTextDense"/>
              <w:spacing w:before="10" w:after="10" w:line="240" w:lineRule="auto"/>
              <w:contextualSpacing w:val="0"/>
              <w:rPr>
                <w:rStyle w:val="Bold"/>
                <w:rFonts w:ascii="Calibri" w:hAnsi="Calibri" w:cs="Calibri"/>
                <w:bCs/>
                <w:sz w:val="20"/>
                <w:szCs w:val="20"/>
              </w:rPr>
            </w:pPr>
            <w:r w:rsidRPr="0060053A">
              <w:rPr>
                <w:rStyle w:val="Bold"/>
                <w:rFonts w:ascii="Calibri" w:hAnsi="Calibri" w:cs="Calibri"/>
                <w:sz w:val="20"/>
                <w:szCs w:val="20"/>
              </w:rPr>
              <w:t>Content 11 Example:</w:t>
            </w:r>
          </w:p>
        </w:tc>
        <w:tc>
          <w:tcPr>
            <w:tcW w:w="295" w:type="dxa"/>
          </w:tcPr>
          <w:p w14:paraId="7EDDE698"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T</w:t>
            </w:r>
          </w:p>
        </w:tc>
        <w:tc>
          <w:tcPr>
            <w:tcW w:w="493" w:type="dxa"/>
          </w:tcPr>
          <w:p w14:paraId="21E4452A"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17</w:t>
            </w:r>
          </w:p>
        </w:tc>
        <w:tc>
          <w:tcPr>
            <w:tcW w:w="887" w:type="dxa"/>
          </w:tcPr>
          <w:p w14:paraId="4D3E1E1F"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018114</w:t>
            </w:r>
          </w:p>
        </w:tc>
        <w:tc>
          <w:tcPr>
            <w:tcW w:w="394" w:type="dxa"/>
          </w:tcPr>
          <w:p w14:paraId="63165823"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w:t>
            </w:r>
          </w:p>
        </w:tc>
        <w:tc>
          <w:tcPr>
            <w:tcW w:w="394" w:type="dxa"/>
          </w:tcPr>
          <w:p w14:paraId="6B401E7D"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w:t>
            </w:r>
          </w:p>
        </w:tc>
        <w:tc>
          <w:tcPr>
            <w:tcW w:w="690" w:type="dxa"/>
          </w:tcPr>
          <w:p w14:paraId="15DE9135"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2012</w:t>
            </w:r>
          </w:p>
        </w:tc>
        <w:tc>
          <w:tcPr>
            <w:tcW w:w="690" w:type="dxa"/>
          </w:tcPr>
          <w:p w14:paraId="16755208"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06</w:t>
            </w:r>
          </w:p>
        </w:tc>
        <w:tc>
          <w:tcPr>
            <w:tcW w:w="690" w:type="dxa"/>
          </w:tcPr>
          <w:p w14:paraId="2DD8C417"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20</w:t>
            </w:r>
          </w:p>
        </w:tc>
        <w:tc>
          <w:tcPr>
            <w:tcW w:w="690" w:type="dxa"/>
          </w:tcPr>
          <w:p w14:paraId="6FE76F4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w:t>
            </w:r>
          </w:p>
        </w:tc>
        <w:tc>
          <w:tcPr>
            <w:tcW w:w="394" w:type="dxa"/>
          </w:tcPr>
          <w:p w14:paraId="1CA42D11"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K</w:t>
            </w:r>
          </w:p>
        </w:tc>
        <w:tc>
          <w:tcPr>
            <w:tcW w:w="788" w:type="dxa"/>
          </w:tcPr>
          <w:p w14:paraId="6161A2D7"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Blank</w:t>
            </w:r>
          </w:p>
        </w:tc>
        <w:tc>
          <w:tcPr>
            <w:tcW w:w="690" w:type="dxa"/>
          </w:tcPr>
          <w:p w14:paraId="79B0FEC0"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15</w:t>
            </w:r>
          </w:p>
        </w:tc>
        <w:tc>
          <w:tcPr>
            <w:tcW w:w="394" w:type="dxa"/>
          </w:tcPr>
          <w:p w14:paraId="1629F421"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w:t>
            </w:r>
          </w:p>
        </w:tc>
        <w:tc>
          <w:tcPr>
            <w:tcW w:w="788" w:type="dxa"/>
          </w:tcPr>
          <w:p w14:paraId="62874A83"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00154</w:t>
            </w:r>
          </w:p>
        </w:tc>
      </w:tr>
      <w:tr w:rsidR="009B7AED" w:rsidRPr="0060053A" w14:paraId="6B1ECD6D" w14:textId="77777777" w:rsidTr="007C54FC">
        <w:trPr>
          <w:trHeight w:val="60"/>
          <w:jc w:val="center"/>
        </w:trPr>
        <w:tc>
          <w:tcPr>
            <w:tcW w:w="1093" w:type="dxa"/>
          </w:tcPr>
          <w:p w14:paraId="3DECE0C7" w14:textId="77777777" w:rsidR="009B7AED" w:rsidRPr="0060053A" w:rsidRDefault="009B7AED" w:rsidP="002841D0">
            <w:pPr>
              <w:pStyle w:val="TableTextDense"/>
              <w:spacing w:before="10" w:after="10" w:line="240" w:lineRule="auto"/>
              <w:contextualSpacing w:val="0"/>
              <w:rPr>
                <w:rStyle w:val="Bold"/>
                <w:rFonts w:ascii="Calibri" w:hAnsi="Calibri" w:cs="Calibri"/>
                <w:bCs/>
                <w:sz w:val="20"/>
                <w:szCs w:val="20"/>
              </w:rPr>
            </w:pPr>
            <w:r w:rsidRPr="0060053A">
              <w:rPr>
                <w:rStyle w:val="Bold"/>
                <w:rFonts w:ascii="Calibri" w:hAnsi="Calibri" w:cs="Calibri"/>
                <w:sz w:val="20"/>
                <w:szCs w:val="20"/>
              </w:rPr>
              <w:t>Content 12 Example:</w:t>
            </w:r>
          </w:p>
        </w:tc>
        <w:tc>
          <w:tcPr>
            <w:tcW w:w="295" w:type="dxa"/>
          </w:tcPr>
          <w:p w14:paraId="437805D7"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T</w:t>
            </w:r>
          </w:p>
        </w:tc>
        <w:tc>
          <w:tcPr>
            <w:tcW w:w="493" w:type="dxa"/>
          </w:tcPr>
          <w:p w14:paraId="6E84D0E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17</w:t>
            </w:r>
          </w:p>
        </w:tc>
        <w:tc>
          <w:tcPr>
            <w:tcW w:w="887" w:type="dxa"/>
          </w:tcPr>
          <w:p w14:paraId="784E6EC0"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018114</w:t>
            </w:r>
          </w:p>
        </w:tc>
        <w:tc>
          <w:tcPr>
            <w:tcW w:w="394" w:type="dxa"/>
          </w:tcPr>
          <w:p w14:paraId="73FBB74E"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w:t>
            </w:r>
          </w:p>
        </w:tc>
        <w:tc>
          <w:tcPr>
            <w:tcW w:w="394" w:type="dxa"/>
          </w:tcPr>
          <w:p w14:paraId="1AB41969"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w:t>
            </w:r>
          </w:p>
        </w:tc>
        <w:tc>
          <w:tcPr>
            <w:tcW w:w="690" w:type="dxa"/>
          </w:tcPr>
          <w:p w14:paraId="0A3F7E2E"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2012</w:t>
            </w:r>
          </w:p>
        </w:tc>
        <w:tc>
          <w:tcPr>
            <w:tcW w:w="690" w:type="dxa"/>
          </w:tcPr>
          <w:p w14:paraId="40D8648E"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06</w:t>
            </w:r>
          </w:p>
        </w:tc>
        <w:tc>
          <w:tcPr>
            <w:tcW w:w="690" w:type="dxa"/>
          </w:tcPr>
          <w:p w14:paraId="48967E1E"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20</w:t>
            </w:r>
          </w:p>
        </w:tc>
        <w:tc>
          <w:tcPr>
            <w:tcW w:w="690" w:type="dxa"/>
          </w:tcPr>
          <w:p w14:paraId="50711944"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w:t>
            </w:r>
          </w:p>
        </w:tc>
        <w:tc>
          <w:tcPr>
            <w:tcW w:w="394" w:type="dxa"/>
          </w:tcPr>
          <w:p w14:paraId="1DE333C6"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L</w:t>
            </w:r>
          </w:p>
        </w:tc>
        <w:tc>
          <w:tcPr>
            <w:tcW w:w="788" w:type="dxa"/>
          </w:tcPr>
          <w:p w14:paraId="30460640"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Blank</w:t>
            </w:r>
          </w:p>
        </w:tc>
        <w:tc>
          <w:tcPr>
            <w:tcW w:w="690" w:type="dxa"/>
          </w:tcPr>
          <w:p w14:paraId="096A9E7E"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15</w:t>
            </w:r>
          </w:p>
        </w:tc>
        <w:tc>
          <w:tcPr>
            <w:tcW w:w="394" w:type="dxa"/>
          </w:tcPr>
          <w:p w14:paraId="5A4F0810"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w:t>
            </w:r>
          </w:p>
        </w:tc>
        <w:tc>
          <w:tcPr>
            <w:tcW w:w="788" w:type="dxa"/>
          </w:tcPr>
          <w:p w14:paraId="24F521CF"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00145</w:t>
            </w:r>
          </w:p>
        </w:tc>
      </w:tr>
      <w:tr w:rsidR="009B7AED" w:rsidRPr="0060053A" w14:paraId="1CE1E1E2" w14:textId="77777777" w:rsidTr="007C54FC">
        <w:trPr>
          <w:trHeight w:val="60"/>
          <w:jc w:val="center"/>
        </w:trPr>
        <w:tc>
          <w:tcPr>
            <w:tcW w:w="1093" w:type="dxa"/>
          </w:tcPr>
          <w:p w14:paraId="17BBB687" w14:textId="77777777" w:rsidR="009B7AED" w:rsidRPr="0060053A" w:rsidRDefault="009B7AED" w:rsidP="002841D0">
            <w:pPr>
              <w:pStyle w:val="TableTextDense"/>
              <w:spacing w:before="10" w:after="10" w:line="240" w:lineRule="auto"/>
              <w:contextualSpacing w:val="0"/>
              <w:rPr>
                <w:rStyle w:val="Bold"/>
                <w:rFonts w:ascii="Calibri" w:hAnsi="Calibri" w:cs="Calibri"/>
                <w:bCs/>
                <w:sz w:val="20"/>
                <w:szCs w:val="20"/>
              </w:rPr>
            </w:pPr>
            <w:r w:rsidRPr="0060053A">
              <w:rPr>
                <w:rStyle w:val="Bold"/>
                <w:rFonts w:ascii="Calibri" w:hAnsi="Calibri" w:cs="Calibri"/>
                <w:sz w:val="20"/>
                <w:szCs w:val="20"/>
              </w:rPr>
              <w:t>Content 13 Example:</w:t>
            </w:r>
          </w:p>
        </w:tc>
        <w:tc>
          <w:tcPr>
            <w:tcW w:w="295" w:type="dxa"/>
          </w:tcPr>
          <w:p w14:paraId="17560A20"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T</w:t>
            </w:r>
          </w:p>
        </w:tc>
        <w:tc>
          <w:tcPr>
            <w:tcW w:w="493" w:type="dxa"/>
          </w:tcPr>
          <w:p w14:paraId="5ACF2020"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17</w:t>
            </w:r>
          </w:p>
        </w:tc>
        <w:tc>
          <w:tcPr>
            <w:tcW w:w="887" w:type="dxa"/>
          </w:tcPr>
          <w:p w14:paraId="571055CC"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018114</w:t>
            </w:r>
          </w:p>
        </w:tc>
        <w:tc>
          <w:tcPr>
            <w:tcW w:w="394" w:type="dxa"/>
          </w:tcPr>
          <w:p w14:paraId="28B85BB6"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5</w:t>
            </w:r>
          </w:p>
        </w:tc>
        <w:tc>
          <w:tcPr>
            <w:tcW w:w="394" w:type="dxa"/>
          </w:tcPr>
          <w:p w14:paraId="43A31E79"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w:t>
            </w:r>
          </w:p>
        </w:tc>
        <w:tc>
          <w:tcPr>
            <w:tcW w:w="690" w:type="dxa"/>
          </w:tcPr>
          <w:p w14:paraId="63D4DB20"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2012</w:t>
            </w:r>
          </w:p>
        </w:tc>
        <w:tc>
          <w:tcPr>
            <w:tcW w:w="690" w:type="dxa"/>
          </w:tcPr>
          <w:p w14:paraId="77E74C4A"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06</w:t>
            </w:r>
          </w:p>
        </w:tc>
        <w:tc>
          <w:tcPr>
            <w:tcW w:w="690" w:type="dxa"/>
          </w:tcPr>
          <w:p w14:paraId="7F66A1C6"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20</w:t>
            </w:r>
          </w:p>
        </w:tc>
        <w:tc>
          <w:tcPr>
            <w:tcW w:w="690" w:type="dxa"/>
          </w:tcPr>
          <w:p w14:paraId="1F59228A"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w:t>
            </w:r>
          </w:p>
        </w:tc>
        <w:tc>
          <w:tcPr>
            <w:tcW w:w="394" w:type="dxa"/>
          </w:tcPr>
          <w:p w14:paraId="398EDA7B"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A</w:t>
            </w:r>
          </w:p>
        </w:tc>
        <w:tc>
          <w:tcPr>
            <w:tcW w:w="788" w:type="dxa"/>
          </w:tcPr>
          <w:p w14:paraId="38606C10"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Blank</w:t>
            </w:r>
          </w:p>
        </w:tc>
        <w:tc>
          <w:tcPr>
            <w:tcW w:w="690" w:type="dxa"/>
          </w:tcPr>
          <w:p w14:paraId="661E714F"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15</w:t>
            </w:r>
          </w:p>
        </w:tc>
        <w:tc>
          <w:tcPr>
            <w:tcW w:w="394" w:type="dxa"/>
          </w:tcPr>
          <w:p w14:paraId="38EDD930"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w:t>
            </w:r>
          </w:p>
        </w:tc>
        <w:tc>
          <w:tcPr>
            <w:tcW w:w="788" w:type="dxa"/>
          </w:tcPr>
          <w:p w14:paraId="17B1D916"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00373</w:t>
            </w:r>
          </w:p>
        </w:tc>
      </w:tr>
      <w:tr w:rsidR="009B7AED" w:rsidRPr="0060053A" w14:paraId="383D14CA" w14:textId="77777777" w:rsidTr="007C54FC">
        <w:trPr>
          <w:trHeight w:val="60"/>
          <w:jc w:val="center"/>
        </w:trPr>
        <w:tc>
          <w:tcPr>
            <w:tcW w:w="1093" w:type="dxa"/>
          </w:tcPr>
          <w:p w14:paraId="20A35A1E" w14:textId="77777777" w:rsidR="009B7AED" w:rsidRPr="0060053A" w:rsidRDefault="009B7AED" w:rsidP="002841D0">
            <w:pPr>
              <w:pStyle w:val="TableTextDense"/>
              <w:spacing w:before="10" w:after="10" w:line="240" w:lineRule="auto"/>
              <w:contextualSpacing w:val="0"/>
              <w:rPr>
                <w:rStyle w:val="Bold"/>
                <w:rFonts w:ascii="Calibri" w:hAnsi="Calibri" w:cs="Calibri"/>
                <w:bCs/>
                <w:sz w:val="20"/>
                <w:szCs w:val="20"/>
              </w:rPr>
            </w:pPr>
            <w:r w:rsidRPr="0060053A">
              <w:rPr>
                <w:rStyle w:val="Bold"/>
                <w:rFonts w:ascii="Calibri" w:hAnsi="Calibri" w:cs="Calibri"/>
                <w:sz w:val="20"/>
                <w:szCs w:val="20"/>
              </w:rPr>
              <w:t>Content 14 Example:</w:t>
            </w:r>
          </w:p>
        </w:tc>
        <w:tc>
          <w:tcPr>
            <w:tcW w:w="295" w:type="dxa"/>
          </w:tcPr>
          <w:p w14:paraId="35C50186"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T</w:t>
            </w:r>
          </w:p>
        </w:tc>
        <w:tc>
          <w:tcPr>
            <w:tcW w:w="493" w:type="dxa"/>
          </w:tcPr>
          <w:p w14:paraId="61D8363D"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17</w:t>
            </w:r>
          </w:p>
        </w:tc>
        <w:tc>
          <w:tcPr>
            <w:tcW w:w="887" w:type="dxa"/>
          </w:tcPr>
          <w:p w14:paraId="3EA5A3B8"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018114</w:t>
            </w:r>
          </w:p>
        </w:tc>
        <w:tc>
          <w:tcPr>
            <w:tcW w:w="394" w:type="dxa"/>
          </w:tcPr>
          <w:p w14:paraId="73869059"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5</w:t>
            </w:r>
          </w:p>
        </w:tc>
        <w:tc>
          <w:tcPr>
            <w:tcW w:w="394" w:type="dxa"/>
          </w:tcPr>
          <w:p w14:paraId="0C5CA39E"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w:t>
            </w:r>
          </w:p>
        </w:tc>
        <w:tc>
          <w:tcPr>
            <w:tcW w:w="690" w:type="dxa"/>
          </w:tcPr>
          <w:p w14:paraId="58FD8C7C"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2012</w:t>
            </w:r>
          </w:p>
        </w:tc>
        <w:tc>
          <w:tcPr>
            <w:tcW w:w="690" w:type="dxa"/>
          </w:tcPr>
          <w:p w14:paraId="120351B5"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06</w:t>
            </w:r>
          </w:p>
        </w:tc>
        <w:tc>
          <w:tcPr>
            <w:tcW w:w="690" w:type="dxa"/>
          </w:tcPr>
          <w:p w14:paraId="24624C5F"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20</w:t>
            </w:r>
          </w:p>
        </w:tc>
        <w:tc>
          <w:tcPr>
            <w:tcW w:w="690" w:type="dxa"/>
          </w:tcPr>
          <w:p w14:paraId="6A189427"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w:t>
            </w:r>
          </w:p>
        </w:tc>
        <w:tc>
          <w:tcPr>
            <w:tcW w:w="394" w:type="dxa"/>
          </w:tcPr>
          <w:p w14:paraId="4BF88C7C"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B</w:t>
            </w:r>
          </w:p>
        </w:tc>
        <w:tc>
          <w:tcPr>
            <w:tcW w:w="788" w:type="dxa"/>
          </w:tcPr>
          <w:p w14:paraId="1932559A"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Blank</w:t>
            </w:r>
          </w:p>
        </w:tc>
        <w:tc>
          <w:tcPr>
            <w:tcW w:w="690" w:type="dxa"/>
          </w:tcPr>
          <w:p w14:paraId="3B0AC5A5"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15</w:t>
            </w:r>
          </w:p>
        </w:tc>
        <w:tc>
          <w:tcPr>
            <w:tcW w:w="394" w:type="dxa"/>
          </w:tcPr>
          <w:p w14:paraId="274D1679"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w:t>
            </w:r>
          </w:p>
        </w:tc>
        <w:tc>
          <w:tcPr>
            <w:tcW w:w="788" w:type="dxa"/>
          </w:tcPr>
          <w:p w14:paraId="5363D707"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00307</w:t>
            </w:r>
          </w:p>
        </w:tc>
      </w:tr>
      <w:tr w:rsidR="009B7AED" w:rsidRPr="0060053A" w14:paraId="52AD24FC" w14:textId="77777777" w:rsidTr="007C54FC">
        <w:trPr>
          <w:trHeight w:val="60"/>
          <w:jc w:val="center"/>
        </w:trPr>
        <w:tc>
          <w:tcPr>
            <w:tcW w:w="1093" w:type="dxa"/>
          </w:tcPr>
          <w:p w14:paraId="1A535CC8" w14:textId="77777777" w:rsidR="009B7AED" w:rsidRPr="0060053A" w:rsidRDefault="009B7AED" w:rsidP="002841D0">
            <w:pPr>
              <w:pStyle w:val="TableTextDense"/>
              <w:spacing w:before="10" w:after="10" w:line="240" w:lineRule="auto"/>
              <w:contextualSpacing w:val="0"/>
              <w:rPr>
                <w:rStyle w:val="Bold"/>
                <w:rFonts w:ascii="Calibri" w:hAnsi="Calibri" w:cs="Calibri"/>
                <w:bCs/>
                <w:sz w:val="20"/>
                <w:szCs w:val="20"/>
              </w:rPr>
            </w:pPr>
            <w:r w:rsidRPr="0060053A">
              <w:rPr>
                <w:rStyle w:val="Bold"/>
                <w:rFonts w:ascii="Calibri" w:hAnsi="Calibri" w:cs="Calibri"/>
                <w:sz w:val="20"/>
                <w:szCs w:val="20"/>
              </w:rPr>
              <w:t>Content 15 Example:</w:t>
            </w:r>
          </w:p>
        </w:tc>
        <w:tc>
          <w:tcPr>
            <w:tcW w:w="295" w:type="dxa"/>
          </w:tcPr>
          <w:p w14:paraId="0B1B1E81"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T</w:t>
            </w:r>
          </w:p>
        </w:tc>
        <w:tc>
          <w:tcPr>
            <w:tcW w:w="493" w:type="dxa"/>
          </w:tcPr>
          <w:p w14:paraId="2A6DF708"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17</w:t>
            </w:r>
          </w:p>
        </w:tc>
        <w:tc>
          <w:tcPr>
            <w:tcW w:w="887" w:type="dxa"/>
          </w:tcPr>
          <w:p w14:paraId="57AAC246"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018114</w:t>
            </w:r>
          </w:p>
        </w:tc>
        <w:tc>
          <w:tcPr>
            <w:tcW w:w="394" w:type="dxa"/>
          </w:tcPr>
          <w:p w14:paraId="4CEBE580"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5</w:t>
            </w:r>
          </w:p>
        </w:tc>
        <w:tc>
          <w:tcPr>
            <w:tcW w:w="394" w:type="dxa"/>
          </w:tcPr>
          <w:p w14:paraId="10D032D3"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w:t>
            </w:r>
          </w:p>
        </w:tc>
        <w:tc>
          <w:tcPr>
            <w:tcW w:w="690" w:type="dxa"/>
          </w:tcPr>
          <w:p w14:paraId="1E3A7B88"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2012</w:t>
            </w:r>
          </w:p>
        </w:tc>
        <w:tc>
          <w:tcPr>
            <w:tcW w:w="690" w:type="dxa"/>
          </w:tcPr>
          <w:p w14:paraId="44A1D0B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06</w:t>
            </w:r>
          </w:p>
        </w:tc>
        <w:tc>
          <w:tcPr>
            <w:tcW w:w="690" w:type="dxa"/>
          </w:tcPr>
          <w:p w14:paraId="0ED010A9"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20</w:t>
            </w:r>
          </w:p>
        </w:tc>
        <w:tc>
          <w:tcPr>
            <w:tcW w:w="690" w:type="dxa"/>
          </w:tcPr>
          <w:p w14:paraId="5F1BEE9F"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w:t>
            </w:r>
          </w:p>
        </w:tc>
        <w:tc>
          <w:tcPr>
            <w:tcW w:w="394" w:type="dxa"/>
          </w:tcPr>
          <w:p w14:paraId="4D9E31B0"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C</w:t>
            </w:r>
          </w:p>
        </w:tc>
        <w:tc>
          <w:tcPr>
            <w:tcW w:w="788" w:type="dxa"/>
          </w:tcPr>
          <w:p w14:paraId="48E5044E"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Blank</w:t>
            </w:r>
          </w:p>
        </w:tc>
        <w:tc>
          <w:tcPr>
            <w:tcW w:w="690" w:type="dxa"/>
          </w:tcPr>
          <w:p w14:paraId="14E2F63C"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15</w:t>
            </w:r>
          </w:p>
        </w:tc>
        <w:tc>
          <w:tcPr>
            <w:tcW w:w="394" w:type="dxa"/>
          </w:tcPr>
          <w:p w14:paraId="620D23BA"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w:t>
            </w:r>
          </w:p>
        </w:tc>
        <w:tc>
          <w:tcPr>
            <w:tcW w:w="788" w:type="dxa"/>
          </w:tcPr>
          <w:p w14:paraId="2D207ECC"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00268</w:t>
            </w:r>
          </w:p>
        </w:tc>
      </w:tr>
      <w:tr w:rsidR="009B7AED" w:rsidRPr="0060053A" w14:paraId="06A476FA" w14:textId="77777777" w:rsidTr="007C54FC">
        <w:trPr>
          <w:trHeight w:val="60"/>
          <w:jc w:val="center"/>
        </w:trPr>
        <w:tc>
          <w:tcPr>
            <w:tcW w:w="1093" w:type="dxa"/>
          </w:tcPr>
          <w:p w14:paraId="5770BF52" w14:textId="77777777" w:rsidR="009B7AED" w:rsidRPr="0060053A" w:rsidRDefault="009B7AED" w:rsidP="002841D0">
            <w:pPr>
              <w:pStyle w:val="TableTextDense"/>
              <w:spacing w:before="10" w:after="10" w:line="240" w:lineRule="auto"/>
              <w:contextualSpacing w:val="0"/>
              <w:rPr>
                <w:rStyle w:val="Bold"/>
                <w:rFonts w:ascii="Calibri" w:hAnsi="Calibri" w:cs="Calibri"/>
                <w:bCs/>
                <w:sz w:val="20"/>
                <w:szCs w:val="20"/>
              </w:rPr>
            </w:pPr>
            <w:r w:rsidRPr="0060053A">
              <w:rPr>
                <w:rStyle w:val="Bold"/>
                <w:rFonts w:ascii="Calibri" w:hAnsi="Calibri" w:cs="Calibri"/>
                <w:sz w:val="20"/>
                <w:szCs w:val="20"/>
              </w:rPr>
              <w:t>Content 16 Example:</w:t>
            </w:r>
          </w:p>
        </w:tc>
        <w:tc>
          <w:tcPr>
            <w:tcW w:w="295" w:type="dxa"/>
          </w:tcPr>
          <w:p w14:paraId="1B689C96"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T</w:t>
            </w:r>
          </w:p>
        </w:tc>
        <w:tc>
          <w:tcPr>
            <w:tcW w:w="493" w:type="dxa"/>
          </w:tcPr>
          <w:p w14:paraId="174BDA45"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17</w:t>
            </w:r>
          </w:p>
        </w:tc>
        <w:tc>
          <w:tcPr>
            <w:tcW w:w="887" w:type="dxa"/>
          </w:tcPr>
          <w:p w14:paraId="5401503F"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018114</w:t>
            </w:r>
          </w:p>
        </w:tc>
        <w:tc>
          <w:tcPr>
            <w:tcW w:w="394" w:type="dxa"/>
          </w:tcPr>
          <w:p w14:paraId="51707028"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5</w:t>
            </w:r>
          </w:p>
        </w:tc>
        <w:tc>
          <w:tcPr>
            <w:tcW w:w="394" w:type="dxa"/>
          </w:tcPr>
          <w:p w14:paraId="618B7E41"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w:t>
            </w:r>
          </w:p>
        </w:tc>
        <w:tc>
          <w:tcPr>
            <w:tcW w:w="690" w:type="dxa"/>
          </w:tcPr>
          <w:p w14:paraId="3F7767A5"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2012</w:t>
            </w:r>
          </w:p>
        </w:tc>
        <w:tc>
          <w:tcPr>
            <w:tcW w:w="690" w:type="dxa"/>
          </w:tcPr>
          <w:p w14:paraId="62CFEB39"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06</w:t>
            </w:r>
          </w:p>
        </w:tc>
        <w:tc>
          <w:tcPr>
            <w:tcW w:w="690" w:type="dxa"/>
          </w:tcPr>
          <w:p w14:paraId="5D7FD215"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20</w:t>
            </w:r>
          </w:p>
        </w:tc>
        <w:tc>
          <w:tcPr>
            <w:tcW w:w="690" w:type="dxa"/>
          </w:tcPr>
          <w:p w14:paraId="0BAB4A7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w:t>
            </w:r>
          </w:p>
        </w:tc>
        <w:tc>
          <w:tcPr>
            <w:tcW w:w="394" w:type="dxa"/>
          </w:tcPr>
          <w:p w14:paraId="4553B096"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D</w:t>
            </w:r>
          </w:p>
        </w:tc>
        <w:tc>
          <w:tcPr>
            <w:tcW w:w="788" w:type="dxa"/>
          </w:tcPr>
          <w:p w14:paraId="36AA34AC"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Blank</w:t>
            </w:r>
          </w:p>
        </w:tc>
        <w:tc>
          <w:tcPr>
            <w:tcW w:w="690" w:type="dxa"/>
          </w:tcPr>
          <w:p w14:paraId="3AB37D95"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15</w:t>
            </w:r>
          </w:p>
        </w:tc>
        <w:tc>
          <w:tcPr>
            <w:tcW w:w="394" w:type="dxa"/>
          </w:tcPr>
          <w:p w14:paraId="12E58177"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w:t>
            </w:r>
          </w:p>
        </w:tc>
        <w:tc>
          <w:tcPr>
            <w:tcW w:w="788" w:type="dxa"/>
          </w:tcPr>
          <w:p w14:paraId="09A47EE3"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00294</w:t>
            </w:r>
          </w:p>
        </w:tc>
      </w:tr>
      <w:tr w:rsidR="009B7AED" w:rsidRPr="0060053A" w14:paraId="6C8C6917" w14:textId="77777777" w:rsidTr="007C54FC">
        <w:trPr>
          <w:trHeight w:val="60"/>
          <w:jc w:val="center"/>
        </w:trPr>
        <w:tc>
          <w:tcPr>
            <w:tcW w:w="1093" w:type="dxa"/>
          </w:tcPr>
          <w:p w14:paraId="6E75043F" w14:textId="77777777" w:rsidR="009B7AED" w:rsidRPr="0060053A" w:rsidRDefault="009B7AED" w:rsidP="002841D0">
            <w:pPr>
              <w:pStyle w:val="TableTextDense"/>
              <w:spacing w:before="10" w:after="10" w:line="240" w:lineRule="auto"/>
              <w:contextualSpacing w:val="0"/>
              <w:rPr>
                <w:rStyle w:val="Bold"/>
                <w:rFonts w:ascii="Calibri" w:hAnsi="Calibri" w:cs="Calibri"/>
                <w:bCs/>
                <w:sz w:val="20"/>
                <w:szCs w:val="20"/>
              </w:rPr>
            </w:pPr>
            <w:r w:rsidRPr="0060053A">
              <w:rPr>
                <w:rStyle w:val="Bold"/>
                <w:rFonts w:ascii="Calibri" w:hAnsi="Calibri" w:cs="Calibri"/>
                <w:sz w:val="20"/>
                <w:szCs w:val="20"/>
              </w:rPr>
              <w:t>Content 17 Example:</w:t>
            </w:r>
          </w:p>
        </w:tc>
        <w:tc>
          <w:tcPr>
            <w:tcW w:w="295" w:type="dxa"/>
          </w:tcPr>
          <w:p w14:paraId="1A30E444"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T</w:t>
            </w:r>
          </w:p>
        </w:tc>
        <w:tc>
          <w:tcPr>
            <w:tcW w:w="493" w:type="dxa"/>
          </w:tcPr>
          <w:p w14:paraId="60B1D673"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17</w:t>
            </w:r>
          </w:p>
        </w:tc>
        <w:tc>
          <w:tcPr>
            <w:tcW w:w="887" w:type="dxa"/>
          </w:tcPr>
          <w:p w14:paraId="217CDA23"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018114</w:t>
            </w:r>
          </w:p>
        </w:tc>
        <w:tc>
          <w:tcPr>
            <w:tcW w:w="394" w:type="dxa"/>
          </w:tcPr>
          <w:p w14:paraId="4DC93AD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5</w:t>
            </w:r>
          </w:p>
        </w:tc>
        <w:tc>
          <w:tcPr>
            <w:tcW w:w="394" w:type="dxa"/>
          </w:tcPr>
          <w:p w14:paraId="3BE2566B"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w:t>
            </w:r>
          </w:p>
        </w:tc>
        <w:tc>
          <w:tcPr>
            <w:tcW w:w="690" w:type="dxa"/>
          </w:tcPr>
          <w:p w14:paraId="751A0F53"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2012</w:t>
            </w:r>
          </w:p>
        </w:tc>
        <w:tc>
          <w:tcPr>
            <w:tcW w:w="690" w:type="dxa"/>
          </w:tcPr>
          <w:p w14:paraId="03CAD5CC"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06</w:t>
            </w:r>
          </w:p>
        </w:tc>
        <w:tc>
          <w:tcPr>
            <w:tcW w:w="690" w:type="dxa"/>
          </w:tcPr>
          <w:p w14:paraId="1778A34B"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20</w:t>
            </w:r>
          </w:p>
        </w:tc>
        <w:tc>
          <w:tcPr>
            <w:tcW w:w="690" w:type="dxa"/>
          </w:tcPr>
          <w:p w14:paraId="0A1D1FDC"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w:t>
            </w:r>
          </w:p>
        </w:tc>
        <w:tc>
          <w:tcPr>
            <w:tcW w:w="394" w:type="dxa"/>
          </w:tcPr>
          <w:p w14:paraId="1A5BE376"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E</w:t>
            </w:r>
          </w:p>
        </w:tc>
        <w:tc>
          <w:tcPr>
            <w:tcW w:w="788" w:type="dxa"/>
          </w:tcPr>
          <w:p w14:paraId="5231E39B"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Blank</w:t>
            </w:r>
          </w:p>
        </w:tc>
        <w:tc>
          <w:tcPr>
            <w:tcW w:w="690" w:type="dxa"/>
          </w:tcPr>
          <w:p w14:paraId="5EF5A4EC"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15</w:t>
            </w:r>
          </w:p>
        </w:tc>
        <w:tc>
          <w:tcPr>
            <w:tcW w:w="394" w:type="dxa"/>
          </w:tcPr>
          <w:p w14:paraId="10C4D5FE"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w:t>
            </w:r>
          </w:p>
        </w:tc>
        <w:tc>
          <w:tcPr>
            <w:tcW w:w="788" w:type="dxa"/>
          </w:tcPr>
          <w:p w14:paraId="6A522618"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00277</w:t>
            </w:r>
          </w:p>
        </w:tc>
      </w:tr>
      <w:tr w:rsidR="009B7AED" w:rsidRPr="0060053A" w14:paraId="10A567EF" w14:textId="77777777" w:rsidTr="007C54FC">
        <w:trPr>
          <w:trHeight w:val="60"/>
          <w:jc w:val="center"/>
        </w:trPr>
        <w:tc>
          <w:tcPr>
            <w:tcW w:w="1093" w:type="dxa"/>
          </w:tcPr>
          <w:p w14:paraId="61A899A7" w14:textId="77777777" w:rsidR="009B7AED" w:rsidRPr="0060053A" w:rsidRDefault="009B7AED" w:rsidP="002841D0">
            <w:pPr>
              <w:pStyle w:val="TableTextDense"/>
              <w:pageBreakBefore/>
              <w:spacing w:before="10" w:after="10" w:line="240" w:lineRule="auto"/>
              <w:contextualSpacing w:val="0"/>
              <w:rPr>
                <w:rStyle w:val="Bold"/>
                <w:rFonts w:ascii="Calibri" w:hAnsi="Calibri" w:cs="Calibri"/>
                <w:bCs/>
                <w:sz w:val="20"/>
                <w:szCs w:val="20"/>
              </w:rPr>
            </w:pPr>
            <w:r w:rsidRPr="0060053A">
              <w:rPr>
                <w:rStyle w:val="Bold"/>
                <w:rFonts w:ascii="Calibri" w:hAnsi="Calibri" w:cs="Calibri"/>
                <w:sz w:val="20"/>
                <w:szCs w:val="20"/>
              </w:rPr>
              <w:lastRenderedPageBreak/>
              <w:t>Content 18 Example:</w:t>
            </w:r>
          </w:p>
        </w:tc>
        <w:tc>
          <w:tcPr>
            <w:tcW w:w="295" w:type="dxa"/>
          </w:tcPr>
          <w:p w14:paraId="1C1B9714"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T</w:t>
            </w:r>
          </w:p>
        </w:tc>
        <w:tc>
          <w:tcPr>
            <w:tcW w:w="493" w:type="dxa"/>
          </w:tcPr>
          <w:p w14:paraId="697F93F5"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17</w:t>
            </w:r>
          </w:p>
        </w:tc>
        <w:tc>
          <w:tcPr>
            <w:tcW w:w="887" w:type="dxa"/>
          </w:tcPr>
          <w:p w14:paraId="5E5C18F6"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018114</w:t>
            </w:r>
          </w:p>
        </w:tc>
        <w:tc>
          <w:tcPr>
            <w:tcW w:w="394" w:type="dxa"/>
          </w:tcPr>
          <w:p w14:paraId="0E3671FB"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5</w:t>
            </w:r>
          </w:p>
        </w:tc>
        <w:tc>
          <w:tcPr>
            <w:tcW w:w="394" w:type="dxa"/>
          </w:tcPr>
          <w:p w14:paraId="59BF7124"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w:t>
            </w:r>
          </w:p>
        </w:tc>
        <w:tc>
          <w:tcPr>
            <w:tcW w:w="690" w:type="dxa"/>
          </w:tcPr>
          <w:p w14:paraId="20644C7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2012</w:t>
            </w:r>
          </w:p>
        </w:tc>
        <w:tc>
          <w:tcPr>
            <w:tcW w:w="690" w:type="dxa"/>
          </w:tcPr>
          <w:p w14:paraId="42D56723"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06</w:t>
            </w:r>
          </w:p>
        </w:tc>
        <w:tc>
          <w:tcPr>
            <w:tcW w:w="690" w:type="dxa"/>
          </w:tcPr>
          <w:p w14:paraId="0FE28CA0"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20</w:t>
            </w:r>
          </w:p>
        </w:tc>
        <w:tc>
          <w:tcPr>
            <w:tcW w:w="690" w:type="dxa"/>
          </w:tcPr>
          <w:p w14:paraId="0139809D"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w:t>
            </w:r>
          </w:p>
        </w:tc>
        <w:tc>
          <w:tcPr>
            <w:tcW w:w="394" w:type="dxa"/>
          </w:tcPr>
          <w:p w14:paraId="1607BA24"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F</w:t>
            </w:r>
          </w:p>
        </w:tc>
        <w:tc>
          <w:tcPr>
            <w:tcW w:w="788" w:type="dxa"/>
          </w:tcPr>
          <w:p w14:paraId="417CA5E9"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Blank</w:t>
            </w:r>
          </w:p>
        </w:tc>
        <w:tc>
          <w:tcPr>
            <w:tcW w:w="690" w:type="dxa"/>
          </w:tcPr>
          <w:p w14:paraId="65F5AEC7"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15</w:t>
            </w:r>
          </w:p>
        </w:tc>
        <w:tc>
          <w:tcPr>
            <w:tcW w:w="394" w:type="dxa"/>
          </w:tcPr>
          <w:p w14:paraId="1D3EE34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w:t>
            </w:r>
          </w:p>
        </w:tc>
        <w:tc>
          <w:tcPr>
            <w:tcW w:w="788" w:type="dxa"/>
          </w:tcPr>
          <w:p w14:paraId="10A12216"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00260</w:t>
            </w:r>
          </w:p>
        </w:tc>
      </w:tr>
      <w:tr w:rsidR="009B7AED" w:rsidRPr="0060053A" w14:paraId="3943FB60" w14:textId="77777777" w:rsidTr="007C54FC">
        <w:trPr>
          <w:trHeight w:val="60"/>
          <w:jc w:val="center"/>
        </w:trPr>
        <w:tc>
          <w:tcPr>
            <w:tcW w:w="1093" w:type="dxa"/>
          </w:tcPr>
          <w:p w14:paraId="3490E94F" w14:textId="77777777" w:rsidR="009B7AED" w:rsidRPr="0060053A" w:rsidRDefault="009B7AED" w:rsidP="002841D0">
            <w:pPr>
              <w:pStyle w:val="TableTextDense"/>
              <w:spacing w:before="10" w:after="10" w:line="240" w:lineRule="auto"/>
              <w:contextualSpacing w:val="0"/>
              <w:rPr>
                <w:rStyle w:val="Bold"/>
                <w:rFonts w:ascii="Calibri" w:hAnsi="Calibri" w:cs="Calibri"/>
                <w:bCs/>
                <w:sz w:val="20"/>
                <w:szCs w:val="20"/>
              </w:rPr>
            </w:pPr>
            <w:r w:rsidRPr="0060053A">
              <w:rPr>
                <w:rStyle w:val="Bold"/>
                <w:rFonts w:ascii="Calibri" w:hAnsi="Calibri" w:cs="Calibri"/>
                <w:sz w:val="20"/>
                <w:szCs w:val="20"/>
              </w:rPr>
              <w:t>Content 19 Example:</w:t>
            </w:r>
          </w:p>
        </w:tc>
        <w:tc>
          <w:tcPr>
            <w:tcW w:w="295" w:type="dxa"/>
          </w:tcPr>
          <w:p w14:paraId="365338FE"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T</w:t>
            </w:r>
          </w:p>
        </w:tc>
        <w:tc>
          <w:tcPr>
            <w:tcW w:w="493" w:type="dxa"/>
          </w:tcPr>
          <w:p w14:paraId="31BE3214"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17</w:t>
            </w:r>
          </w:p>
        </w:tc>
        <w:tc>
          <w:tcPr>
            <w:tcW w:w="887" w:type="dxa"/>
          </w:tcPr>
          <w:p w14:paraId="6893FFE1"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018114</w:t>
            </w:r>
          </w:p>
        </w:tc>
        <w:tc>
          <w:tcPr>
            <w:tcW w:w="394" w:type="dxa"/>
          </w:tcPr>
          <w:p w14:paraId="10CC5A0B"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5</w:t>
            </w:r>
          </w:p>
        </w:tc>
        <w:tc>
          <w:tcPr>
            <w:tcW w:w="394" w:type="dxa"/>
          </w:tcPr>
          <w:p w14:paraId="0AA722C7"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w:t>
            </w:r>
          </w:p>
        </w:tc>
        <w:tc>
          <w:tcPr>
            <w:tcW w:w="690" w:type="dxa"/>
          </w:tcPr>
          <w:p w14:paraId="48EDEA69"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2012</w:t>
            </w:r>
          </w:p>
        </w:tc>
        <w:tc>
          <w:tcPr>
            <w:tcW w:w="690" w:type="dxa"/>
          </w:tcPr>
          <w:p w14:paraId="6A4687DF"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06</w:t>
            </w:r>
          </w:p>
        </w:tc>
        <w:tc>
          <w:tcPr>
            <w:tcW w:w="690" w:type="dxa"/>
          </w:tcPr>
          <w:p w14:paraId="2ED76C06"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20</w:t>
            </w:r>
          </w:p>
        </w:tc>
        <w:tc>
          <w:tcPr>
            <w:tcW w:w="690" w:type="dxa"/>
          </w:tcPr>
          <w:p w14:paraId="1957FF3E"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w:t>
            </w:r>
          </w:p>
        </w:tc>
        <w:tc>
          <w:tcPr>
            <w:tcW w:w="394" w:type="dxa"/>
          </w:tcPr>
          <w:p w14:paraId="5FE7B7ED"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G</w:t>
            </w:r>
          </w:p>
        </w:tc>
        <w:tc>
          <w:tcPr>
            <w:tcW w:w="788" w:type="dxa"/>
          </w:tcPr>
          <w:p w14:paraId="5787E719"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Blank</w:t>
            </w:r>
          </w:p>
        </w:tc>
        <w:tc>
          <w:tcPr>
            <w:tcW w:w="690" w:type="dxa"/>
          </w:tcPr>
          <w:p w14:paraId="13B9886B"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15</w:t>
            </w:r>
          </w:p>
        </w:tc>
        <w:tc>
          <w:tcPr>
            <w:tcW w:w="394" w:type="dxa"/>
          </w:tcPr>
          <w:p w14:paraId="4FB33EA5"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w:t>
            </w:r>
          </w:p>
        </w:tc>
        <w:tc>
          <w:tcPr>
            <w:tcW w:w="788" w:type="dxa"/>
          </w:tcPr>
          <w:p w14:paraId="2A772E9D"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00272</w:t>
            </w:r>
          </w:p>
        </w:tc>
      </w:tr>
      <w:tr w:rsidR="009B7AED" w:rsidRPr="0060053A" w14:paraId="535C60CE" w14:textId="77777777" w:rsidTr="007C54FC">
        <w:trPr>
          <w:trHeight w:val="60"/>
          <w:jc w:val="center"/>
        </w:trPr>
        <w:tc>
          <w:tcPr>
            <w:tcW w:w="1093" w:type="dxa"/>
          </w:tcPr>
          <w:p w14:paraId="000F7083" w14:textId="77777777" w:rsidR="009B7AED" w:rsidRPr="0060053A" w:rsidRDefault="009B7AED" w:rsidP="002841D0">
            <w:pPr>
              <w:pStyle w:val="TableTextDense"/>
              <w:spacing w:before="10" w:after="10" w:line="240" w:lineRule="auto"/>
              <w:contextualSpacing w:val="0"/>
              <w:rPr>
                <w:rStyle w:val="Bold"/>
                <w:rFonts w:ascii="Calibri" w:hAnsi="Calibri" w:cs="Calibri"/>
                <w:bCs/>
                <w:sz w:val="20"/>
                <w:szCs w:val="20"/>
              </w:rPr>
            </w:pPr>
            <w:r w:rsidRPr="0060053A">
              <w:rPr>
                <w:rStyle w:val="Bold"/>
                <w:rFonts w:ascii="Calibri" w:hAnsi="Calibri" w:cs="Calibri"/>
                <w:sz w:val="20"/>
                <w:szCs w:val="20"/>
              </w:rPr>
              <w:t>Content 20 Example:</w:t>
            </w:r>
          </w:p>
        </w:tc>
        <w:tc>
          <w:tcPr>
            <w:tcW w:w="295" w:type="dxa"/>
          </w:tcPr>
          <w:p w14:paraId="6B5C14E0"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T</w:t>
            </w:r>
          </w:p>
        </w:tc>
        <w:tc>
          <w:tcPr>
            <w:tcW w:w="493" w:type="dxa"/>
          </w:tcPr>
          <w:p w14:paraId="4699B390"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17</w:t>
            </w:r>
          </w:p>
        </w:tc>
        <w:tc>
          <w:tcPr>
            <w:tcW w:w="887" w:type="dxa"/>
          </w:tcPr>
          <w:p w14:paraId="118A68DE"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018114</w:t>
            </w:r>
          </w:p>
        </w:tc>
        <w:tc>
          <w:tcPr>
            <w:tcW w:w="394" w:type="dxa"/>
          </w:tcPr>
          <w:p w14:paraId="05E5C00E"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5</w:t>
            </w:r>
          </w:p>
        </w:tc>
        <w:tc>
          <w:tcPr>
            <w:tcW w:w="394" w:type="dxa"/>
          </w:tcPr>
          <w:p w14:paraId="5A057D6D"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w:t>
            </w:r>
          </w:p>
        </w:tc>
        <w:tc>
          <w:tcPr>
            <w:tcW w:w="690" w:type="dxa"/>
          </w:tcPr>
          <w:p w14:paraId="1FA99C1C"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2012</w:t>
            </w:r>
          </w:p>
        </w:tc>
        <w:tc>
          <w:tcPr>
            <w:tcW w:w="690" w:type="dxa"/>
          </w:tcPr>
          <w:p w14:paraId="48D6AC06"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06</w:t>
            </w:r>
          </w:p>
        </w:tc>
        <w:tc>
          <w:tcPr>
            <w:tcW w:w="690" w:type="dxa"/>
          </w:tcPr>
          <w:p w14:paraId="6E923174"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20</w:t>
            </w:r>
          </w:p>
        </w:tc>
        <w:tc>
          <w:tcPr>
            <w:tcW w:w="690" w:type="dxa"/>
          </w:tcPr>
          <w:p w14:paraId="79800FB8"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w:t>
            </w:r>
          </w:p>
        </w:tc>
        <w:tc>
          <w:tcPr>
            <w:tcW w:w="394" w:type="dxa"/>
          </w:tcPr>
          <w:p w14:paraId="40E80B4B"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H</w:t>
            </w:r>
          </w:p>
        </w:tc>
        <w:tc>
          <w:tcPr>
            <w:tcW w:w="788" w:type="dxa"/>
          </w:tcPr>
          <w:p w14:paraId="2106030E"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Blank</w:t>
            </w:r>
          </w:p>
        </w:tc>
        <w:tc>
          <w:tcPr>
            <w:tcW w:w="690" w:type="dxa"/>
          </w:tcPr>
          <w:p w14:paraId="7EAFFC8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15</w:t>
            </w:r>
          </w:p>
        </w:tc>
        <w:tc>
          <w:tcPr>
            <w:tcW w:w="394" w:type="dxa"/>
          </w:tcPr>
          <w:p w14:paraId="407711EB"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w:t>
            </w:r>
          </w:p>
        </w:tc>
        <w:tc>
          <w:tcPr>
            <w:tcW w:w="788" w:type="dxa"/>
          </w:tcPr>
          <w:p w14:paraId="32F7469A"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00242</w:t>
            </w:r>
          </w:p>
        </w:tc>
      </w:tr>
      <w:tr w:rsidR="009B7AED" w:rsidRPr="0060053A" w14:paraId="01F89B62" w14:textId="77777777" w:rsidTr="007C54FC">
        <w:trPr>
          <w:trHeight w:val="60"/>
          <w:jc w:val="center"/>
        </w:trPr>
        <w:tc>
          <w:tcPr>
            <w:tcW w:w="1093" w:type="dxa"/>
          </w:tcPr>
          <w:p w14:paraId="19FA9707" w14:textId="77777777" w:rsidR="009B7AED" w:rsidRPr="0060053A" w:rsidRDefault="009B7AED" w:rsidP="002841D0">
            <w:pPr>
              <w:pStyle w:val="TableTextDense"/>
              <w:spacing w:before="10" w:after="10" w:line="240" w:lineRule="auto"/>
              <w:contextualSpacing w:val="0"/>
              <w:rPr>
                <w:rStyle w:val="Bold"/>
                <w:rFonts w:ascii="Calibri" w:hAnsi="Calibri" w:cs="Calibri"/>
                <w:bCs/>
                <w:sz w:val="20"/>
                <w:szCs w:val="20"/>
              </w:rPr>
            </w:pPr>
            <w:r w:rsidRPr="0060053A">
              <w:rPr>
                <w:rStyle w:val="Bold"/>
                <w:rFonts w:ascii="Calibri" w:hAnsi="Calibri" w:cs="Calibri"/>
                <w:sz w:val="20"/>
                <w:szCs w:val="20"/>
              </w:rPr>
              <w:t>Content 21 Example:</w:t>
            </w:r>
          </w:p>
        </w:tc>
        <w:tc>
          <w:tcPr>
            <w:tcW w:w="295" w:type="dxa"/>
          </w:tcPr>
          <w:p w14:paraId="3D80B95D"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T</w:t>
            </w:r>
          </w:p>
        </w:tc>
        <w:tc>
          <w:tcPr>
            <w:tcW w:w="493" w:type="dxa"/>
          </w:tcPr>
          <w:p w14:paraId="0E540C1D"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17</w:t>
            </w:r>
          </w:p>
        </w:tc>
        <w:tc>
          <w:tcPr>
            <w:tcW w:w="887" w:type="dxa"/>
          </w:tcPr>
          <w:p w14:paraId="49617A85"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018114</w:t>
            </w:r>
          </w:p>
        </w:tc>
        <w:tc>
          <w:tcPr>
            <w:tcW w:w="394" w:type="dxa"/>
          </w:tcPr>
          <w:p w14:paraId="3BA60CD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5</w:t>
            </w:r>
          </w:p>
        </w:tc>
        <w:tc>
          <w:tcPr>
            <w:tcW w:w="394" w:type="dxa"/>
          </w:tcPr>
          <w:p w14:paraId="6C469939"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w:t>
            </w:r>
          </w:p>
        </w:tc>
        <w:tc>
          <w:tcPr>
            <w:tcW w:w="690" w:type="dxa"/>
          </w:tcPr>
          <w:p w14:paraId="6B70FDBD"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2012</w:t>
            </w:r>
          </w:p>
        </w:tc>
        <w:tc>
          <w:tcPr>
            <w:tcW w:w="690" w:type="dxa"/>
          </w:tcPr>
          <w:p w14:paraId="68C33A5D"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06</w:t>
            </w:r>
          </w:p>
        </w:tc>
        <w:tc>
          <w:tcPr>
            <w:tcW w:w="690" w:type="dxa"/>
          </w:tcPr>
          <w:p w14:paraId="24A2E19F"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20</w:t>
            </w:r>
          </w:p>
        </w:tc>
        <w:tc>
          <w:tcPr>
            <w:tcW w:w="690" w:type="dxa"/>
          </w:tcPr>
          <w:p w14:paraId="17B65074"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w:t>
            </w:r>
          </w:p>
        </w:tc>
        <w:tc>
          <w:tcPr>
            <w:tcW w:w="394" w:type="dxa"/>
          </w:tcPr>
          <w:p w14:paraId="483934C0"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I</w:t>
            </w:r>
          </w:p>
        </w:tc>
        <w:tc>
          <w:tcPr>
            <w:tcW w:w="788" w:type="dxa"/>
          </w:tcPr>
          <w:p w14:paraId="55A995F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Blank</w:t>
            </w:r>
          </w:p>
        </w:tc>
        <w:tc>
          <w:tcPr>
            <w:tcW w:w="690" w:type="dxa"/>
          </w:tcPr>
          <w:p w14:paraId="65EA49D7"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15</w:t>
            </w:r>
          </w:p>
        </w:tc>
        <w:tc>
          <w:tcPr>
            <w:tcW w:w="394" w:type="dxa"/>
          </w:tcPr>
          <w:p w14:paraId="681FB0A5"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w:t>
            </w:r>
          </w:p>
        </w:tc>
        <w:tc>
          <w:tcPr>
            <w:tcW w:w="788" w:type="dxa"/>
          </w:tcPr>
          <w:p w14:paraId="22C8873B"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00212</w:t>
            </w:r>
          </w:p>
        </w:tc>
      </w:tr>
      <w:tr w:rsidR="009B7AED" w:rsidRPr="0060053A" w14:paraId="1150A846" w14:textId="77777777" w:rsidTr="007C54FC">
        <w:trPr>
          <w:trHeight w:val="60"/>
          <w:jc w:val="center"/>
        </w:trPr>
        <w:tc>
          <w:tcPr>
            <w:tcW w:w="1093" w:type="dxa"/>
          </w:tcPr>
          <w:p w14:paraId="396DB3E0" w14:textId="77777777" w:rsidR="009B7AED" w:rsidRPr="0060053A" w:rsidRDefault="009B7AED" w:rsidP="002841D0">
            <w:pPr>
              <w:pStyle w:val="TableTextDense"/>
              <w:spacing w:before="10" w:after="10" w:line="240" w:lineRule="auto"/>
              <w:contextualSpacing w:val="0"/>
              <w:rPr>
                <w:rStyle w:val="Bold"/>
                <w:rFonts w:ascii="Calibri" w:hAnsi="Calibri" w:cs="Calibri"/>
                <w:bCs/>
                <w:sz w:val="20"/>
                <w:szCs w:val="20"/>
              </w:rPr>
            </w:pPr>
            <w:r w:rsidRPr="0060053A">
              <w:rPr>
                <w:rStyle w:val="Bold"/>
                <w:rFonts w:ascii="Calibri" w:hAnsi="Calibri" w:cs="Calibri"/>
                <w:sz w:val="20"/>
                <w:szCs w:val="20"/>
              </w:rPr>
              <w:t>Content 22 Example:</w:t>
            </w:r>
          </w:p>
        </w:tc>
        <w:tc>
          <w:tcPr>
            <w:tcW w:w="295" w:type="dxa"/>
          </w:tcPr>
          <w:p w14:paraId="409A77D6"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T</w:t>
            </w:r>
          </w:p>
        </w:tc>
        <w:tc>
          <w:tcPr>
            <w:tcW w:w="493" w:type="dxa"/>
          </w:tcPr>
          <w:p w14:paraId="00F426F6"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17</w:t>
            </w:r>
          </w:p>
        </w:tc>
        <w:tc>
          <w:tcPr>
            <w:tcW w:w="887" w:type="dxa"/>
          </w:tcPr>
          <w:p w14:paraId="31875328"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018114</w:t>
            </w:r>
          </w:p>
        </w:tc>
        <w:tc>
          <w:tcPr>
            <w:tcW w:w="394" w:type="dxa"/>
          </w:tcPr>
          <w:p w14:paraId="2F8DEA51"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5</w:t>
            </w:r>
          </w:p>
        </w:tc>
        <w:tc>
          <w:tcPr>
            <w:tcW w:w="394" w:type="dxa"/>
          </w:tcPr>
          <w:p w14:paraId="72630106"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w:t>
            </w:r>
          </w:p>
        </w:tc>
        <w:tc>
          <w:tcPr>
            <w:tcW w:w="690" w:type="dxa"/>
          </w:tcPr>
          <w:p w14:paraId="5B2B3256"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2012</w:t>
            </w:r>
          </w:p>
        </w:tc>
        <w:tc>
          <w:tcPr>
            <w:tcW w:w="690" w:type="dxa"/>
          </w:tcPr>
          <w:p w14:paraId="2336E5BC"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06</w:t>
            </w:r>
          </w:p>
        </w:tc>
        <w:tc>
          <w:tcPr>
            <w:tcW w:w="690" w:type="dxa"/>
          </w:tcPr>
          <w:p w14:paraId="0C1824A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20</w:t>
            </w:r>
          </w:p>
        </w:tc>
        <w:tc>
          <w:tcPr>
            <w:tcW w:w="690" w:type="dxa"/>
          </w:tcPr>
          <w:p w14:paraId="15420B55"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w:t>
            </w:r>
          </w:p>
        </w:tc>
        <w:tc>
          <w:tcPr>
            <w:tcW w:w="394" w:type="dxa"/>
          </w:tcPr>
          <w:p w14:paraId="21B9835D"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J</w:t>
            </w:r>
          </w:p>
        </w:tc>
        <w:tc>
          <w:tcPr>
            <w:tcW w:w="788" w:type="dxa"/>
          </w:tcPr>
          <w:p w14:paraId="64F14533"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Blank</w:t>
            </w:r>
          </w:p>
        </w:tc>
        <w:tc>
          <w:tcPr>
            <w:tcW w:w="690" w:type="dxa"/>
          </w:tcPr>
          <w:p w14:paraId="16F89B2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15</w:t>
            </w:r>
          </w:p>
        </w:tc>
        <w:tc>
          <w:tcPr>
            <w:tcW w:w="394" w:type="dxa"/>
          </w:tcPr>
          <w:p w14:paraId="5A642684"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w:t>
            </w:r>
          </w:p>
        </w:tc>
        <w:tc>
          <w:tcPr>
            <w:tcW w:w="788" w:type="dxa"/>
          </w:tcPr>
          <w:p w14:paraId="4F267483"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00198</w:t>
            </w:r>
          </w:p>
        </w:tc>
      </w:tr>
      <w:tr w:rsidR="009B7AED" w:rsidRPr="0060053A" w14:paraId="4F16C0CA" w14:textId="77777777" w:rsidTr="007C54FC">
        <w:trPr>
          <w:trHeight w:val="60"/>
          <w:jc w:val="center"/>
        </w:trPr>
        <w:tc>
          <w:tcPr>
            <w:tcW w:w="1093" w:type="dxa"/>
          </w:tcPr>
          <w:p w14:paraId="5E54415F" w14:textId="77777777" w:rsidR="009B7AED" w:rsidRPr="0060053A" w:rsidRDefault="009B7AED" w:rsidP="002841D0">
            <w:pPr>
              <w:pStyle w:val="TableTextDense"/>
              <w:spacing w:before="10" w:after="10" w:line="240" w:lineRule="auto"/>
              <w:contextualSpacing w:val="0"/>
              <w:rPr>
                <w:rStyle w:val="Bold"/>
                <w:rFonts w:ascii="Calibri" w:hAnsi="Calibri" w:cs="Calibri"/>
                <w:bCs/>
                <w:sz w:val="20"/>
                <w:szCs w:val="20"/>
              </w:rPr>
            </w:pPr>
            <w:r w:rsidRPr="0060053A">
              <w:rPr>
                <w:rStyle w:val="Bold"/>
                <w:rFonts w:ascii="Calibri" w:hAnsi="Calibri" w:cs="Calibri"/>
                <w:sz w:val="20"/>
                <w:szCs w:val="20"/>
              </w:rPr>
              <w:t>Content 23 Example:</w:t>
            </w:r>
          </w:p>
        </w:tc>
        <w:tc>
          <w:tcPr>
            <w:tcW w:w="295" w:type="dxa"/>
          </w:tcPr>
          <w:p w14:paraId="615CBF56"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T</w:t>
            </w:r>
          </w:p>
        </w:tc>
        <w:tc>
          <w:tcPr>
            <w:tcW w:w="493" w:type="dxa"/>
          </w:tcPr>
          <w:p w14:paraId="3E2540AD"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17</w:t>
            </w:r>
          </w:p>
        </w:tc>
        <w:tc>
          <w:tcPr>
            <w:tcW w:w="887" w:type="dxa"/>
          </w:tcPr>
          <w:p w14:paraId="362EFF0B"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018114</w:t>
            </w:r>
          </w:p>
        </w:tc>
        <w:tc>
          <w:tcPr>
            <w:tcW w:w="394" w:type="dxa"/>
          </w:tcPr>
          <w:p w14:paraId="43FB2CCD"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5</w:t>
            </w:r>
          </w:p>
        </w:tc>
        <w:tc>
          <w:tcPr>
            <w:tcW w:w="394" w:type="dxa"/>
          </w:tcPr>
          <w:p w14:paraId="15F28C37"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w:t>
            </w:r>
          </w:p>
        </w:tc>
        <w:tc>
          <w:tcPr>
            <w:tcW w:w="690" w:type="dxa"/>
          </w:tcPr>
          <w:p w14:paraId="14F9E85C"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2012</w:t>
            </w:r>
          </w:p>
        </w:tc>
        <w:tc>
          <w:tcPr>
            <w:tcW w:w="690" w:type="dxa"/>
          </w:tcPr>
          <w:p w14:paraId="5253C4BF"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06</w:t>
            </w:r>
          </w:p>
        </w:tc>
        <w:tc>
          <w:tcPr>
            <w:tcW w:w="690" w:type="dxa"/>
          </w:tcPr>
          <w:p w14:paraId="72AFBD7B"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20</w:t>
            </w:r>
          </w:p>
        </w:tc>
        <w:tc>
          <w:tcPr>
            <w:tcW w:w="690" w:type="dxa"/>
          </w:tcPr>
          <w:p w14:paraId="5B051FAD"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w:t>
            </w:r>
          </w:p>
        </w:tc>
        <w:tc>
          <w:tcPr>
            <w:tcW w:w="394" w:type="dxa"/>
          </w:tcPr>
          <w:p w14:paraId="6E9D23C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K</w:t>
            </w:r>
          </w:p>
        </w:tc>
        <w:tc>
          <w:tcPr>
            <w:tcW w:w="788" w:type="dxa"/>
          </w:tcPr>
          <w:p w14:paraId="1D71C99B"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Blank</w:t>
            </w:r>
          </w:p>
        </w:tc>
        <w:tc>
          <w:tcPr>
            <w:tcW w:w="690" w:type="dxa"/>
          </w:tcPr>
          <w:p w14:paraId="31500A2A"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15</w:t>
            </w:r>
          </w:p>
        </w:tc>
        <w:tc>
          <w:tcPr>
            <w:tcW w:w="394" w:type="dxa"/>
          </w:tcPr>
          <w:p w14:paraId="66A2B257"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w:t>
            </w:r>
          </w:p>
        </w:tc>
        <w:tc>
          <w:tcPr>
            <w:tcW w:w="788" w:type="dxa"/>
          </w:tcPr>
          <w:p w14:paraId="0AA09F95"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00185</w:t>
            </w:r>
          </w:p>
        </w:tc>
      </w:tr>
      <w:tr w:rsidR="009B7AED" w:rsidRPr="0060053A" w14:paraId="4A563DC2" w14:textId="77777777" w:rsidTr="007C54FC">
        <w:trPr>
          <w:trHeight w:val="60"/>
          <w:jc w:val="center"/>
        </w:trPr>
        <w:tc>
          <w:tcPr>
            <w:tcW w:w="1093" w:type="dxa"/>
          </w:tcPr>
          <w:p w14:paraId="36EEDEEC" w14:textId="77777777" w:rsidR="009B7AED" w:rsidRPr="0060053A" w:rsidRDefault="009B7AED" w:rsidP="002841D0">
            <w:pPr>
              <w:pStyle w:val="TableTextDense"/>
              <w:spacing w:before="10" w:after="10" w:line="240" w:lineRule="auto"/>
              <w:contextualSpacing w:val="0"/>
              <w:rPr>
                <w:rStyle w:val="Bold"/>
                <w:rFonts w:ascii="Calibri" w:hAnsi="Calibri" w:cs="Calibri"/>
                <w:bCs/>
                <w:sz w:val="20"/>
                <w:szCs w:val="20"/>
              </w:rPr>
            </w:pPr>
            <w:r w:rsidRPr="0060053A">
              <w:rPr>
                <w:rStyle w:val="Bold"/>
                <w:rFonts w:ascii="Calibri" w:hAnsi="Calibri" w:cs="Calibri"/>
                <w:sz w:val="20"/>
                <w:szCs w:val="20"/>
              </w:rPr>
              <w:t>Content 24 Example:</w:t>
            </w:r>
          </w:p>
        </w:tc>
        <w:tc>
          <w:tcPr>
            <w:tcW w:w="295" w:type="dxa"/>
          </w:tcPr>
          <w:p w14:paraId="04EADFE6"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T</w:t>
            </w:r>
          </w:p>
        </w:tc>
        <w:tc>
          <w:tcPr>
            <w:tcW w:w="493" w:type="dxa"/>
          </w:tcPr>
          <w:p w14:paraId="419C3E11"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17</w:t>
            </w:r>
          </w:p>
        </w:tc>
        <w:tc>
          <w:tcPr>
            <w:tcW w:w="887" w:type="dxa"/>
          </w:tcPr>
          <w:p w14:paraId="2205DEE8"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018114</w:t>
            </w:r>
          </w:p>
        </w:tc>
        <w:tc>
          <w:tcPr>
            <w:tcW w:w="394" w:type="dxa"/>
          </w:tcPr>
          <w:p w14:paraId="56451DC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5</w:t>
            </w:r>
          </w:p>
        </w:tc>
        <w:tc>
          <w:tcPr>
            <w:tcW w:w="394" w:type="dxa"/>
          </w:tcPr>
          <w:p w14:paraId="34936D26"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w:t>
            </w:r>
          </w:p>
        </w:tc>
        <w:tc>
          <w:tcPr>
            <w:tcW w:w="690" w:type="dxa"/>
          </w:tcPr>
          <w:p w14:paraId="16CF243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2012</w:t>
            </w:r>
          </w:p>
        </w:tc>
        <w:tc>
          <w:tcPr>
            <w:tcW w:w="690" w:type="dxa"/>
          </w:tcPr>
          <w:p w14:paraId="23AC6064"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06</w:t>
            </w:r>
          </w:p>
        </w:tc>
        <w:tc>
          <w:tcPr>
            <w:tcW w:w="690" w:type="dxa"/>
          </w:tcPr>
          <w:p w14:paraId="26FAA815"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20</w:t>
            </w:r>
          </w:p>
        </w:tc>
        <w:tc>
          <w:tcPr>
            <w:tcW w:w="690" w:type="dxa"/>
          </w:tcPr>
          <w:p w14:paraId="790EF99A"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w:t>
            </w:r>
          </w:p>
        </w:tc>
        <w:tc>
          <w:tcPr>
            <w:tcW w:w="394" w:type="dxa"/>
          </w:tcPr>
          <w:p w14:paraId="4E8A9031"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L</w:t>
            </w:r>
          </w:p>
        </w:tc>
        <w:tc>
          <w:tcPr>
            <w:tcW w:w="788" w:type="dxa"/>
          </w:tcPr>
          <w:p w14:paraId="34CA7C65"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Blank</w:t>
            </w:r>
          </w:p>
        </w:tc>
        <w:tc>
          <w:tcPr>
            <w:tcW w:w="690" w:type="dxa"/>
          </w:tcPr>
          <w:p w14:paraId="57130B4D"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15</w:t>
            </w:r>
          </w:p>
        </w:tc>
        <w:tc>
          <w:tcPr>
            <w:tcW w:w="394" w:type="dxa"/>
          </w:tcPr>
          <w:p w14:paraId="10A5764C"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w:t>
            </w:r>
          </w:p>
        </w:tc>
        <w:tc>
          <w:tcPr>
            <w:tcW w:w="788" w:type="dxa"/>
          </w:tcPr>
          <w:p w14:paraId="36B7F59C"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00155</w:t>
            </w:r>
          </w:p>
        </w:tc>
      </w:tr>
    </w:tbl>
    <w:p w14:paraId="698C1E61" w14:textId="09A6A7B5" w:rsidR="009B7AED" w:rsidRDefault="009B7AED" w:rsidP="0060053A">
      <w:pPr>
        <w:pStyle w:val="BodyText"/>
        <w:spacing w:before="120"/>
        <w:rPr>
          <w:rStyle w:val="Italic"/>
          <w:iCs/>
        </w:rPr>
      </w:pPr>
      <w:r>
        <w:rPr>
          <w:rStyle w:val="Italic"/>
          <w:iCs/>
        </w:rPr>
        <w:t>continued</w:t>
      </w:r>
    </w:p>
    <w:tbl>
      <w:tblPr>
        <w:tblStyle w:val="TMGTable"/>
        <w:tblW w:w="9360"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032"/>
        <w:gridCol w:w="758"/>
        <w:gridCol w:w="757"/>
        <w:gridCol w:w="757"/>
        <w:gridCol w:w="757"/>
        <w:gridCol w:w="757"/>
        <w:gridCol w:w="757"/>
        <w:gridCol w:w="757"/>
        <w:gridCol w:w="757"/>
        <w:gridCol w:w="757"/>
        <w:gridCol w:w="757"/>
        <w:gridCol w:w="757"/>
      </w:tblGrid>
      <w:tr w:rsidR="009B7AED" w:rsidRPr="0060053A" w14:paraId="6C6BFC99" w14:textId="77777777" w:rsidTr="007C54FC">
        <w:trPr>
          <w:cnfStyle w:val="100000000000" w:firstRow="1" w:lastRow="0" w:firstColumn="0" w:lastColumn="0" w:oddVBand="0" w:evenVBand="0" w:oddHBand="0" w:evenHBand="0" w:firstRowFirstColumn="0" w:firstRowLastColumn="0" w:lastRowFirstColumn="0" w:lastRowLastColumn="0"/>
          <w:trHeight w:val="60"/>
          <w:tblHeader/>
          <w:jc w:val="center"/>
        </w:trPr>
        <w:tc>
          <w:tcPr>
            <w:tcW w:w="980" w:type="dxa"/>
          </w:tcPr>
          <w:p w14:paraId="3F766673" w14:textId="77777777" w:rsidR="009B7AED" w:rsidRPr="0060053A" w:rsidRDefault="009B7AED" w:rsidP="002841D0">
            <w:pPr>
              <w:pStyle w:val="TableTextDense"/>
              <w:spacing w:before="10" w:after="10" w:line="240" w:lineRule="auto"/>
              <w:contextualSpacing w:val="0"/>
              <w:rPr>
                <w:rFonts w:ascii="Calibri" w:hAnsi="Calibri" w:cs="Calibri"/>
                <w:b w:val="0"/>
                <w:bCs w:val="0"/>
                <w:sz w:val="20"/>
                <w:szCs w:val="20"/>
              </w:rPr>
            </w:pPr>
            <w:r w:rsidRPr="0060053A">
              <w:rPr>
                <w:rStyle w:val="Bold"/>
                <w:rFonts w:ascii="Calibri" w:hAnsi="Calibri" w:cs="Calibri"/>
                <w:sz w:val="20"/>
                <w:szCs w:val="20"/>
              </w:rPr>
              <w:t>Column Number:</w:t>
            </w:r>
          </w:p>
        </w:tc>
        <w:tc>
          <w:tcPr>
            <w:tcW w:w="720" w:type="dxa"/>
          </w:tcPr>
          <w:p w14:paraId="3C45233E" w14:textId="77777777" w:rsidR="009B7AED" w:rsidRPr="0060053A" w:rsidRDefault="009B7AED" w:rsidP="002841D0">
            <w:pPr>
              <w:pStyle w:val="TableTextDense"/>
              <w:spacing w:before="10" w:after="10" w:line="240" w:lineRule="auto"/>
              <w:contextualSpacing w:val="0"/>
              <w:jc w:val="center"/>
              <w:rPr>
                <w:rStyle w:val="Bold"/>
                <w:rFonts w:ascii="Calibri" w:hAnsi="Calibri" w:cs="Calibri"/>
                <w:b w:val="0"/>
                <w:bCs w:val="0"/>
                <w:sz w:val="20"/>
                <w:szCs w:val="20"/>
              </w:rPr>
            </w:pPr>
            <w:r w:rsidRPr="0060053A">
              <w:rPr>
                <w:rStyle w:val="Bold"/>
                <w:rFonts w:ascii="Calibri" w:hAnsi="Calibri" w:cs="Calibri"/>
                <w:sz w:val="20"/>
                <w:szCs w:val="20"/>
              </w:rPr>
              <w:t>32-36</w:t>
            </w:r>
          </w:p>
        </w:tc>
        <w:tc>
          <w:tcPr>
            <w:tcW w:w="720" w:type="dxa"/>
          </w:tcPr>
          <w:p w14:paraId="4365D6B8" w14:textId="77777777" w:rsidR="009B7AED" w:rsidRPr="0060053A" w:rsidRDefault="009B7AED" w:rsidP="002841D0">
            <w:pPr>
              <w:pStyle w:val="TableTextDense"/>
              <w:spacing w:before="10" w:after="10" w:line="240" w:lineRule="auto"/>
              <w:contextualSpacing w:val="0"/>
              <w:jc w:val="center"/>
              <w:rPr>
                <w:rStyle w:val="Bold"/>
                <w:rFonts w:ascii="Calibri" w:hAnsi="Calibri" w:cs="Calibri"/>
                <w:b w:val="0"/>
                <w:bCs w:val="0"/>
                <w:sz w:val="20"/>
                <w:szCs w:val="20"/>
              </w:rPr>
            </w:pPr>
            <w:r w:rsidRPr="0060053A">
              <w:rPr>
                <w:rStyle w:val="Bold"/>
                <w:rFonts w:ascii="Calibri" w:hAnsi="Calibri" w:cs="Calibri"/>
                <w:sz w:val="20"/>
                <w:szCs w:val="20"/>
              </w:rPr>
              <w:t>37-41</w:t>
            </w:r>
          </w:p>
        </w:tc>
        <w:tc>
          <w:tcPr>
            <w:tcW w:w="720" w:type="dxa"/>
          </w:tcPr>
          <w:p w14:paraId="34EB187A" w14:textId="77777777" w:rsidR="009B7AED" w:rsidRPr="0060053A" w:rsidRDefault="009B7AED" w:rsidP="002841D0">
            <w:pPr>
              <w:pStyle w:val="TableTextDense"/>
              <w:spacing w:before="10" w:after="10" w:line="240" w:lineRule="auto"/>
              <w:contextualSpacing w:val="0"/>
              <w:jc w:val="center"/>
              <w:rPr>
                <w:rStyle w:val="Bold"/>
                <w:rFonts w:ascii="Calibri" w:hAnsi="Calibri" w:cs="Calibri"/>
                <w:b w:val="0"/>
                <w:bCs w:val="0"/>
                <w:sz w:val="20"/>
                <w:szCs w:val="20"/>
              </w:rPr>
            </w:pPr>
            <w:r w:rsidRPr="0060053A">
              <w:rPr>
                <w:rStyle w:val="Bold"/>
                <w:rFonts w:ascii="Calibri" w:hAnsi="Calibri" w:cs="Calibri"/>
                <w:sz w:val="20"/>
                <w:szCs w:val="20"/>
              </w:rPr>
              <w:t>42-46</w:t>
            </w:r>
          </w:p>
        </w:tc>
        <w:tc>
          <w:tcPr>
            <w:tcW w:w="720" w:type="dxa"/>
          </w:tcPr>
          <w:p w14:paraId="3A16CCAC" w14:textId="77777777" w:rsidR="009B7AED" w:rsidRPr="0060053A" w:rsidRDefault="009B7AED" w:rsidP="002841D0">
            <w:pPr>
              <w:pStyle w:val="TableTextDense"/>
              <w:spacing w:before="10" w:after="10" w:line="240" w:lineRule="auto"/>
              <w:contextualSpacing w:val="0"/>
              <w:jc w:val="center"/>
              <w:rPr>
                <w:rStyle w:val="Bold"/>
                <w:rFonts w:ascii="Calibri" w:hAnsi="Calibri" w:cs="Calibri"/>
                <w:b w:val="0"/>
                <w:bCs w:val="0"/>
                <w:sz w:val="20"/>
                <w:szCs w:val="20"/>
              </w:rPr>
            </w:pPr>
            <w:r w:rsidRPr="0060053A">
              <w:rPr>
                <w:rStyle w:val="Bold"/>
                <w:rFonts w:ascii="Calibri" w:hAnsi="Calibri" w:cs="Calibri"/>
                <w:sz w:val="20"/>
                <w:szCs w:val="20"/>
              </w:rPr>
              <w:t>47-51</w:t>
            </w:r>
          </w:p>
        </w:tc>
        <w:tc>
          <w:tcPr>
            <w:tcW w:w="720" w:type="dxa"/>
          </w:tcPr>
          <w:p w14:paraId="17B6BFD9" w14:textId="77777777" w:rsidR="009B7AED" w:rsidRPr="0060053A" w:rsidRDefault="009B7AED" w:rsidP="002841D0">
            <w:pPr>
              <w:pStyle w:val="TableTextDense"/>
              <w:spacing w:before="10" w:after="10" w:line="240" w:lineRule="auto"/>
              <w:contextualSpacing w:val="0"/>
              <w:jc w:val="center"/>
              <w:rPr>
                <w:rStyle w:val="Bold"/>
                <w:rFonts w:ascii="Calibri" w:hAnsi="Calibri" w:cs="Calibri"/>
                <w:b w:val="0"/>
                <w:bCs w:val="0"/>
                <w:sz w:val="20"/>
                <w:szCs w:val="20"/>
              </w:rPr>
            </w:pPr>
            <w:r w:rsidRPr="0060053A">
              <w:rPr>
                <w:rStyle w:val="Bold"/>
                <w:rFonts w:ascii="Calibri" w:hAnsi="Calibri" w:cs="Calibri"/>
                <w:sz w:val="20"/>
                <w:szCs w:val="20"/>
              </w:rPr>
              <w:t>42-46</w:t>
            </w:r>
          </w:p>
        </w:tc>
        <w:tc>
          <w:tcPr>
            <w:tcW w:w="720" w:type="dxa"/>
          </w:tcPr>
          <w:p w14:paraId="58EAA7BF" w14:textId="77777777" w:rsidR="009B7AED" w:rsidRPr="0060053A" w:rsidRDefault="009B7AED" w:rsidP="002841D0">
            <w:pPr>
              <w:pStyle w:val="TableTextDense"/>
              <w:spacing w:before="10" w:after="10" w:line="240" w:lineRule="auto"/>
              <w:contextualSpacing w:val="0"/>
              <w:jc w:val="center"/>
              <w:rPr>
                <w:rStyle w:val="Bold"/>
                <w:rFonts w:ascii="Calibri" w:hAnsi="Calibri" w:cs="Calibri"/>
                <w:b w:val="0"/>
                <w:bCs w:val="0"/>
                <w:sz w:val="20"/>
                <w:szCs w:val="20"/>
              </w:rPr>
            </w:pPr>
            <w:r w:rsidRPr="0060053A">
              <w:rPr>
                <w:rStyle w:val="Bold"/>
                <w:rFonts w:ascii="Calibri" w:hAnsi="Calibri" w:cs="Calibri"/>
                <w:sz w:val="20"/>
                <w:szCs w:val="20"/>
              </w:rPr>
              <w:t>47-51</w:t>
            </w:r>
          </w:p>
        </w:tc>
        <w:tc>
          <w:tcPr>
            <w:tcW w:w="720" w:type="dxa"/>
          </w:tcPr>
          <w:p w14:paraId="3D3221E7" w14:textId="77777777" w:rsidR="009B7AED" w:rsidRPr="0060053A" w:rsidRDefault="009B7AED" w:rsidP="002841D0">
            <w:pPr>
              <w:pStyle w:val="TableTextDense"/>
              <w:spacing w:before="10" w:after="10" w:line="240" w:lineRule="auto"/>
              <w:contextualSpacing w:val="0"/>
              <w:jc w:val="center"/>
              <w:rPr>
                <w:rFonts w:ascii="Calibri" w:hAnsi="Calibri" w:cs="Calibri"/>
                <w:b w:val="0"/>
                <w:sz w:val="20"/>
                <w:szCs w:val="20"/>
              </w:rPr>
            </w:pPr>
            <w:r w:rsidRPr="0060053A">
              <w:rPr>
                <w:rStyle w:val="Bold"/>
                <w:rFonts w:ascii="Calibri" w:hAnsi="Calibri" w:cs="Calibri"/>
                <w:sz w:val="20"/>
                <w:szCs w:val="20"/>
              </w:rPr>
              <w:t>52-56</w:t>
            </w:r>
          </w:p>
        </w:tc>
        <w:tc>
          <w:tcPr>
            <w:tcW w:w="720" w:type="dxa"/>
          </w:tcPr>
          <w:p w14:paraId="474B7AC0" w14:textId="77777777" w:rsidR="009B7AED" w:rsidRPr="0060053A" w:rsidRDefault="009B7AED" w:rsidP="002841D0">
            <w:pPr>
              <w:pStyle w:val="TableTextDense"/>
              <w:spacing w:before="10" w:after="10" w:line="240" w:lineRule="auto"/>
              <w:contextualSpacing w:val="0"/>
              <w:jc w:val="center"/>
              <w:rPr>
                <w:rFonts w:ascii="Calibri" w:hAnsi="Calibri" w:cs="Calibri"/>
                <w:b w:val="0"/>
                <w:sz w:val="20"/>
                <w:szCs w:val="20"/>
              </w:rPr>
            </w:pPr>
            <w:r w:rsidRPr="0060053A">
              <w:rPr>
                <w:rStyle w:val="Bold"/>
                <w:rFonts w:ascii="Calibri" w:hAnsi="Calibri" w:cs="Calibri"/>
                <w:sz w:val="20"/>
                <w:szCs w:val="20"/>
              </w:rPr>
              <w:t>57-61</w:t>
            </w:r>
          </w:p>
        </w:tc>
        <w:tc>
          <w:tcPr>
            <w:tcW w:w="720" w:type="dxa"/>
          </w:tcPr>
          <w:p w14:paraId="35B0FDCE" w14:textId="77777777" w:rsidR="009B7AED" w:rsidRPr="0060053A" w:rsidRDefault="009B7AED" w:rsidP="002841D0">
            <w:pPr>
              <w:pStyle w:val="TableTextDense"/>
              <w:spacing w:before="10" w:after="10" w:line="240" w:lineRule="auto"/>
              <w:contextualSpacing w:val="0"/>
              <w:jc w:val="center"/>
              <w:rPr>
                <w:rFonts w:ascii="Calibri" w:hAnsi="Calibri" w:cs="Calibri"/>
                <w:b w:val="0"/>
                <w:sz w:val="20"/>
                <w:szCs w:val="20"/>
              </w:rPr>
            </w:pPr>
            <w:r w:rsidRPr="0060053A">
              <w:rPr>
                <w:rStyle w:val="Bold"/>
                <w:rFonts w:ascii="Calibri" w:hAnsi="Calibri" w:cs="Calibri"/>
                <w:sz w:val="20"/>
                <w:szCs w:val="20"/>
              </w:rPr>
              <w:t>62-66</w:t>
            </w:r>
          </w:p>
        </w:tc>
        <w:tc>
          <w:tcPr>
            <w:tcW w:w="720" w:type="dxa"/>
          </w:tcPr>
          <w:p w14:paraId="62058A72" w14:textId="77777777" w:rsidR="009B7AED" w:rsidRPr="0060053A" w:rsidRDefault="009B7AED" w:rsidP="002841D0">
            <w:pPr>
              <w:pStyle w:val="TableTextDense"/>
              <w:spacing w:before="10" w:after="10" w:line="240" w:lineRule="auto"/>
              <w:contextualSpacing w:val="0"/>
              <w:jc w:val="center"/>
              <w:rPr>
                <w:rFonts w:ascii="Calibri" w:hAnsi="Calibri" w:cs="Calibri"/>
                <w:b w:val="0"/>
                <w:sz w:val="20"/>
                <w:szCs w:val="20"/>
              </w:rPr>
            </w:pPr>
            <w:r w:rsidRPr="0060053A">
              <w:rPr>
                <w:rFonts w:ascii="Calibri" w:hAnsi="Calibri" w:cs="Calibri"/>
                <w:sz w:val="20"/>
                <w:szCs w:val="20"/>
              </w:rPr>
              <w:t>67-71</w:t>
            </w:r>
          </w:p>
        </w:tc>
        <w:tc>
          <w:tcPr>
            <w:tcW w:w="720" w:type="dxa"/>
          </w:tcPr>
          <w:p w14:paraId="099D239D" w14:textId="77777777" w:rsidR="009B7AED" w:rsidRPr="0060053A" w:rsidRDefault="009B7AED" w:rsidP="002841D0">
            <w:pPr>
              <w:pStyle w:val="TableTextDense"/>
              <w:spacing w:before="10" w:after="10" w:line="240" w:lineRule="auto"/>
              <w:contextualSpacing w:val="0"/>
              <w:jc w:val="center"/>
              <w:rPr>
                <w:rFonts w:ascii="Calibri" w:hAnsi="Calibri" w:cs="Calibri"/>
                <w:b w:val="0"/>
                <w:sz w:val="20"/>
                <w:szCs w:val="20"/>
              </w:rPr>
            </w:pPr>
            <w:r w:rsidRPr="0060053A">
              <w:rPr>
                <w:rFonts w:ascii="Calibri" w:hAnsi="Calibri" w:cs="Calibri"/>
                <w:sz w:val="20"/>
                <w:szCs w:val="20"/>
              </w:rPr>
              <w:t>72-76</w:t>
            </w:r>
          </w:p>
        </w:tc>
      </w:tr>
      <w:tr w:rsidR="009B7AED" w:rsidRPr="0060053A" w14:paraId="5AAEDC56" w14:textId="77777777" w:rsidTr="007C54FC">
        <w:trPr>
          <w:trHeight w:val="60"/>
          <w:jc w:val="center"/>
        </w:trPr>
        <w:tc>
          <w:tcPr>
            <w:tcW w:w="980" w:type="dxa"/>
          </w:tcPr>
          <w:p w14:paraId="05C66D20" w14:textId="77777777" w:rsidR="009B7AED" w:rsidRPr="0060053A" w:rsidRDefault="009B7AED" w:rsidP="002841D0">
            <w:pPr>
              <w:pStyle w:val="TableTextDense"/>
              <w:spacing w:before="10" w:after="10" w:line="240" w:lineRule="auto"/>
              <w:contextualSpacing w:val="0"/>
              <w:rPr>
                <w:rFonts w:ascii="Calibri" w:hAnsi="Calibri" w:cs="Calibri"/>
                <w:sz w:val="20"/>
                <w:szCs w:val="20"/>
              </w:rPr>
            </w:pPr>
            <w:r w:rsidRPr="0060053A">
              <w:rPr>
                <w:rStyle w:val="Bold"/>
                <w:rFonts w:ascii="Calibri" w:hAnsi="Calibri" w:cs="Calibri"/>
                <w:sz w:val="20"/>
                <w:szCs w:val="20"/>
              </w:rPr>
              <w:t>Content 01 Example:</w:t>
            </w:r>
          </w:p>
        </w:tc>
        <w:tc>
          <w:tcPr>
            <w:tcW w:w="720" w:type="dxa"/>
          </w:tcPr>
          <w:p w14:paraId="28551BB3" w14:textId="77777777" w:rsidR="009B7AED" w:rsidRPr="0060053A" w:rsidRDefault="009B7AED" w:rsidP="002841D0">
            <w:pPr>
              <w:pStyle w:val="TableTextDense"/>
              <w:spacing w:before="10" w:after="10" w:line="240" w:lineRule="auto"/>
              <w:contextualSpacing w:val="0"/>
              <w:jc w:val="center"/>
              <w:rPr>
                <w:rStyle w:val="Bold"/>
                <w:rFonts w:ascii="Calibri" w:hAnsi="Calibri" w:cs="Calibri"/>
                <w:sz w:val="20"/>
                <w:szCs w:val="20"/>
              </w:rPr>
            </w:pPr>
            <w:r w:rsidRPr="0060053A">
              <w:rPr>
                <w:rStyle w:val="Bold"/>
                <w:rFonts w:ascii="Calibri" w:hAnsi="Calibri" w:cs="Calibri"/>
                <w:sz w:val="20"/>
                <w:szCs w:val="20"/>
              </w:rPr>
              <w:t>00000</w:t>
            </w:r>
          </w:p>
        </w:tc>
        <w:tc>
          <w:tcPr>
            <w:tcW w:w="720" w:type="dxa"/>
          </w:tcPr>
          <w:p w14:paraId="641468E8" w14:textId="77777777" w:rsidR="009B7AED" w:rsidRPr="0060053A" w:rsidRDefault="009B7AED" w:rsidP="002841D0">
            <w:pPr>
              <w:pStyle w:val="TableTextDense"/>
              <w:spacing w:before="10" w:after="10" w:line="240" w:lineRule="auto"/>
              <w:contextualSpacing w:val="0"/>
              <w:jc w:val="center"/>
              <w:rPr>
                <w:rStyle w:val="Bold"/>
                <w:rFonts w:ascii="Calibri" w:hAnsi="Calibri" w:cs="Calibri"/>
                <w:sz w:val="20"/>
                <w:szCs w:val="20"/>
              </w:rPr>
            </w:pPr>
            <w:r w:rsidRPr="0060053A">
              <w:rPr>
                <w:rStyle w:val="Bold"/>
                <w:rFonts w:ascii="Calibri" w:hAnsi="Calibri" w:cs="Calibri"/>
                <w:sz w:val="20"/>
                <w:szCs w:val="20"/>
              </w:rPr>
              <w:t>00000</w:t>
            </w:r>
          </w:p>
        </w:tc>
        <w:tc>
          <w:tcPr>
            <w:tcW w:w="720" w:type="dxa"/>
          </w:tcPr>
          <w:p w14:paraId="7E098609" w14:textId="77777777" w:rsidR="009B7AED" w:rsidRPr="0060053A" w:rsidRDefault="009B7AED" w:rsidP="002841D0">
            <w:pPr>
              <w:pStyle w:val="TableTextDense"/>
              <w:spacing w:before="10" w:after="10" w:line="240" w:lineRule="auto"/>
              <w:contextualSpacing w:val="0"/>
              <w:jc w:val="center"/>
              <w:rPr>
                <w:rStyle w:val="Bold"/>
                <w:rFonts w:ascii="Calibri" w:hAnsi="Calibri" w:cs="Calibri"/>
                <w:sz w:val="20"/>
                <w:szCs w:val="20"/>
              </w:rPr>
            </w:pPr>
            <w:r w:rsidRPr="0060053A">
              <w:rPr>
                <w:rStyle w:val="Bold"/>
                <w:rFonts w:ascii="Calibri" w:hAnsi="Calibri" w:cs="Calibri"/>
                <w:sz w:val="20"/>
                <w:szCs w:val="20"/>
              </w:rPr>
              <w:t>00000</w:t>
            </w:r>
          </w:p>
        </w:tc>
        <w:tc>
          <w:tcPr>
            <w:tcW w:w="720" w:type="dxa"/>
          </w:tcPr>
          <w:p w14:paraId="4E680DD7" w14:textId="77777777" w:rsidR="009B7AED" w:rsidRPr="0060053A" w:rsidRDefault="009B7AED" w:rsidP="002841D0">
            <w:pPr>
              <w:pStyle w:val="TableTextDense"/>
              <w:spacing w:before="10" w:after="10" w:line="240" w:lineRule="auto"/>
              <w:contextualSpacing w:val="0"/>
              <w:jc w:val="center"/>
              <w:rPr>
                <w:rStyle w:val="Bold"/>
                <w:rFonts w:ascii="Calibri" w:hAnsi="Calibri" w:cs="Calibri"/>
                <w:sz w:val="20"/>
                <w:szCs w:val="20"/>
              </w:rPr>
            </w:pPr>
            <w:r w:rsidRPr="0060053A">
              <w:rPr>
                <w:rStyle w:val="Bold"/>
                <w:rFonts w:ascii="Calibri" w:hAnsi="Calibri" w:cs="Calibri"/>
                <w:sz w:val="20"/>
                <w:szCs w:val="20"/>
              </w:rPr>
              <w:t>00000</w:t>
            </w:r>
          </w:p>
        </w:tc>
        <w:tc>
          <w:tcPr>
            <w:tcW w:w="720" w:type="dxa"/>
          </w:tcPr>
          <w:p w14:paraId="08E7D3A4" w14:textId="77777777" w:rsidR="009B7AED" w:rsidRPr="0060053A" w:rsidRDefault="009B7AED" w:rsidP="002841D0">
            <w:pPr>
              <w:pStyle w:val="TableTextDense"/>
              <w:spacing w:before="10" w:after="10" w:line="240" w:lineRule="auto"/>
              <w:contextualSpacing w:val="0"/>
              <w:jc w:val="center"/>
              <w:rPr>
                <w:rStyle w:val="Bold"/>
                <w:rFonts w:ascii="Calibri" w:hAnsi="Calibri" w:cs="Calibri"/>
                <w:sz w:val="20"/>
                <w:szCs w:val="20"/>
              </w:rPr>
            </w:pPr>
            <w:r w:rsidRPr="0060053A">
              <w:rPr>
                <w:rStyle w:val="Bold"/>
                <w:rFonts w:ascii="Calibri" w:hAnsi="Calibri" w:cs="Calibri"/>
                <w:sz w:val="20"/>
                <w:szCs w:val="20"/>
              </w:rPr>
              <w:t>00000</w:t>
            </w:r>
          </w:p>
        </w:tc>
        <w:tc>
          <w:tcPr>
            <w:tcW w:w="720" w:type="dxa"/>
          </w:tcPr>
          <w:p w14:paraId="40AEE896" w14:textId="77777777" w:rsidR="009B7AED" w:rsidRPr="0060053A" w:rsidRDefault="009B7AED" w:rsidP="002841D0">
            <w:pPr>
              <w:pStyle w:val="TableTextDense"/>
              <w:spacing w:before="10" w:after="10" w:line="240" w:lineRule="auto"/>
              <w:contextualSpacing w:val="0"/>
              <w:jc w:val="center"/>
              <w:rPr>
                <w:rStyle w:val="Bold"/>
                <w:rFonts w:ascii="Calibri" w:hAnsi="Calibri" w:cs="Calibri"/>
                <w:sz w:val="20"/>
                <w:szCs w:val="20"/>
              </w:rPr>
            </w:pPr>
            <w:r w:rsidRPr="0060053A">
              <w:rPr>
                <w:rStyle w:val="Bold"/>
                <w:rFonts w:ascii="Calibri" w:hAnsi="Calibri" w:cs="Calibri"/>
                <w:sz w:val="20"/>
                <w:szCs w:val="20"/>
              </w:rPr>
              <w:t>00000</w:t>
            </w:r>
          </w:p>
        </w:tc>
        <w:tc>
          <w:tcPr>
            <w:tcW w:w="720" w:type="dxa"/>
          </w:tcPr>
          <w:p w14:paraId="111D8A34"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Style w:val="Bold"/>
                <w:rFonts w:ascii="Calibri" w:hAnsi="Calibri" w:cs="Calibri"/>
                <w:sz w:val="20"/>
                <w:szCs w:val="20"/>
              </w:rPr>
              <w:t>00000</w:t>
            </w:r>
          </w:p>
        </w:tc>
        <w:tc>
          <w:tcPr>
            <w:tcW w:w="720" w:type="dxa"/>
          </w:tcPr>
          <w:p w14:paraId="354B99D9"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Style w:val="Bold"/>
                <w:rFonts w:ascii="Calibri" w:hAnsi="Calibri" w:cs="Calibri"/>
                <w:sz w:val="20"/>
                <w:szCs w:val="20"/>
              </w:rPr>
              <w:t>00000</w:t>
            </w:r>
          </w:p>
        </w:tc>
        <w:tc>
          <w:tcPr>
            <w:tcW w:w="720" w:type="dxa"/>
          </w:tcPr>
          <w:p w14:paraId="3059F313"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Style w:val="Bold"/>
                <w:rFonts w:ascii="Calibri" w:hAnsi="Calibri" w:cs="Calibri"/>
                <w:sz w:val="20"/>
                <w:szCs w:val="20"/>
              </w:rPr>
              <w:t>00007</w:t>
            </w:r>
          </w:p>
        </w:tc>
        <w:tc>
          <w:tcPr>
            <w:tcW w:w="720" w:type="dxa"/>
          </w:tcPr>
          <w:p w14:paraId="05CEE03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00012</w:t>
            </w:r>
          </w:p>
        </w:tc>
        <w:tc>
          <w:tcPr>
            <w:tcW w:w="720" w:type="dxa"/>
          </w:tcPr>
          <w:p w14:paraId="6C7B8BCB"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00048</w:t>
            </w:r>
          </w:p>
        </w:tc>
      </w:tr>
      <w:tr w:rsidR="009B7AED" w:rsidRPr="0060053A" w14:paraId="58D8DADF" w14:textId="77777777" w:rsidTr="007C54FC">
        <w:trPr>
          <w:trHeight w:val="60"/>
          <w:jc w:val="center"/>
        </w:trPr>
        <w:tc>
          <w:tcPr>
            <w:tcW w:w="980" w:type="dxa"/>
          </w:tcPr>
          <w:p w14:paraId="0147B72C" w14:textId="77777777" w:rsidR="009B7AED" w:rsidRPr="0060053A" w:rsidRDefault="009B7AED" w:rsidP="002841D0">
            <w:pPr>
              <w:pStyle w:val="TableTextDense"/>
              <w:spacing w:before="10" w:after="10" w:line="240" w:lineRule="auto"/>
              <w:contextualSpacing w:val="0"/>
              <w:rPr>
                <w:rFonts w:ascii="Calibri" w:hAnsi="Calibri" w:cs="Calibri"/>
                <w:sz w:val="20"/>
                <w:szCs w:val="20"/>
              </w:rPr>
            </w:pPr>
            <w:r w:rsidRPr="0060053A">
              <w:rPr>
                <w:rStyle w:val="Bold"/>
                <w:rFonts w:ascii="Calibri" w:hAnsi="Calibri" w:cs="Calibri"/>
                <w:sz w:val="20"/>
                <w:szCs w:val="20"/>
              </w:rPr>
              <w:t>Content 02 Example:</w:t>
            </w:r>
          </w:p>
        </w:tc>
        <w:tc>
          <w:tcPr>
            <w:tcW w:w="720" w:type="dxa"/>
          </w:tcPr>
          <w:p w14:paraId="374AC3FD"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4A4D92CF"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1D05E299"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05D2C16E"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0153552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74F5A75B"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0F223C2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2F699CEC"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00004</w:t>
            </w:r>
          </w:p>
        </w:tc>
        <w:tc>
          <w:tcPr>
            <w:tcW w:w="720" w:type="dxa"/>
          </w:tcPr>
          <w:p w14:paraId="01B5E8E6"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00005</w:t>
            </w:r>
          </w:p>
        </w:tc>
        <w:tc>
          <w:tcPr>
            <w:tcW w:w="720" w:type="dxa"/>
          </w:tcPr>
          <w:p w14:paraId="3AB466E5"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00008</w:t>
            </w:r>
          </w:p>
        </w:tc>
        <w:tc>
          <w:tcPr>
            <w:tcW w:w="720" w:type="dxa"/>
          </w:tcPr>
          <w:p w14:paraId="35DC2088"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00025</w:t>
            </w:r>
          </w:p>
        </w:tc>
      </w:tr>
      <w:tr w:rsidR="009B7AED" w:rsidRPr="0060053A" w14:paraId="0E0D13E0" w14:textId="77777777" w:rsidTr="007C54FC">
        <w:trPr>
          <w:trHeight w:val="60"/>
          <w:jc w:val="center"/>
        </w:trPr>
        <w:tc>
          <w:tcPr>
            <w:tcW w:w="980" w:type="dxa"/>
          </w:tcPr>
          <w:p w14:paraId="12517235" w14:textId="77777777" w:rsidR="009B7AED" w:rsidRPr="0060053A" w:rsidRDefault="009B7AED" w:rsidP="002841D0">
            <w:pPr>
              <w:pStyle w:val="TableTextDense"/>
              <w:spacing w:before="10" w:after="10" w:line="240" w:lineRule="auto"/>
              <w:contextualSpacing w:val="0"/>
              <w:rPr>
                <w:rStyle w:val="Bold"/>
                <w:rFonts w:ascii="Calibri" w:hAnsi="Calibri" w:cs="Calibri"/>
                <w:bCs/>
                <w:sz w:val="20"/>
                <w:szCs w:val="20"/>
              </w:rPr>
            </w:pPr>
            <w:r w:rsidRPr="0060053A">
              <w:rPr>
                <w:rStyle w:val="Bold"/>
                <w:rFonts w:ascii="Calibri" w:hAnsi="Calibri" w:cs="Calibri"/>
                <w:sz w:val="20"/>
                <w:szCs w:val="20"/>
              </w:rPr>
              <w:t>Content 03 Example:</w:t>
            </w:r>
          </w:p>
        </w:tc>
        <w:tc>
          <w:tcPr>
            <w:tcW w:w="720" w:type="dxa"/>
          </w:tcPr>
          <w:p w14:paraId="599722E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16222AD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37D1714A"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78F3E3CB"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3F76E0A0"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4E9439F5"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2780520F"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00D8CC11"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181947A6"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00003</w:t>
            </w:r>
          </w:p>
        </w:tc>
        <w:tc>
          <w:tcPr>
            <w:tcW w:w="720" w:type="dxa"/>
          </w:tcPr>
          <w:p w14:paraId="1CDE69E0"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00003</w:t>
            </w:r>
          </w:p>
        </w:tc>
        <w:tc>
          <w:tcPr>
            <w:tcW w:w="720" w:type="dxa"/>
          </w:tcPr>
          <w:p w14:paraId="1B9068B1"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00032</w:t>
            </w:r>
          </w:p>
        </w:tc>
      </w:tr>
      <w:tr w:rsidR="009B7AED" w:rsidRPr="0060053A" w14:paraId="598C2692" w14:textId="77777777" w:rsidTr="007C54FC">
        <w:trPr>
          <w:trHeight w:val="60"/>
          <w:jc w:val="center"/>
        </w:trPr>
        <w:tc>
          <w:tcPr>
            <w:tcW w:w="980" w:type="dxa"/>
          </w:tcPr>
          <w:p w14:paraId="26C031BC" w14:textId="77777777" w:rsidR="009B7AED" w:rsidRPr="0060053A" w:rsidRDefault="009B7AED" w:rsidP="002841D0">
            <w:pPr>
              <w:pStyle w:val="TableTextDense"/>
              <w:spacing w:before="10" w:after="10" w:line="240" w:lineRule="auto"/>
              <w:contextualSpacing w:val="0"/>
              <w:rPr>
                <w:rStyle w:val="Bold"/>
                <w:rFonts w:ascii="Calibri" w:hAnsi="Calibri" w:cs="Calibri"/>
                <w:bCs/>
                <w:sz w:val="20"/>
                <w:szCs w:val="20"/>
              </w:rPr>
            </w:pPr>
            <w:r w:rsidRPr="0060053A">
              <w:rPr>
                <w:rStyle w:val="Bold"/>
                <w:rFonts w:ascii="Calibri" w:hAnsi="Calibri" w:cs="Calibri"/>
                <w:sz w:val="20"/>
                <w:szCs w:val="20"/>
              </w:rPr>
              <w:t>Content 04 Example:</w:t>
            </w:r>
          </w:p>
        </w:tc>
        <w:tc>
          <w:tcPr>
            <w:tcW w:w="720" w:type="dxa"/>
          </w:tcPr>
          <w:p w14:paraId="3640C1B7"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6D546574"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59C4FEBD"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756D6C34"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01DCF50A"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14B134B6"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6D3FE6CF"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478688FD"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0F421A1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00002</w:t>
            </w:r>
          </w:p>
        </w:tc>
        <w:tc>
          <w:tcPr>
            <w:tcW w:w="720" w:type="dxa"/>
          </w:tcPr>
          <w:p w14:paraId="75EED4F1"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00004</w:t>
            </w:r>
          </w:p>
        </w:tc>
        <w:tc>
          <w:tcPr>
            <w:tcW w:w="720" w:type="dxa"/>
          </w:tcPr>
          <w:p w14:paraId="666C086D"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00037</w:t>
            </w:r>
          </w:p>
        </w:tc>
      </w:tr>
      <w:tr w:rsidR="009B7AED" w:rsidRPr="0060053A" w14:paraId="44E55ACB" w14:textId="77777777" w:rsidTr="007C54FC">
        <w:trPr>
          <w:trHeight w:val="60"/>
          <w:jc w:val="center"/>
        </w:trPr>
        <w:tc>
          <w:tcPr>
            <w:tcW w:w="980" w:type="dxa"/>
          </w:tcPr>
          <w:p w14:paraId="70B09B3C" w14:textId="77777777" w:rsidR="009B7AED" w:rsidRPr="0060053A" w:rsidRDefault="009B7AED" w:rsidP="002841D0">
            <w:pPr>
              <w:pStyle w:val="TableTextDense"/>
              <w:spacing w:before="10" w:after="10" w:line="240" w:lineRule="auto"/>
              <w:contextualSpacing w:val="0"/>
              <w:rPr>
                <w:rStyle w:val="Bold"/>
                <w:rFonts w:ascii="Calibri" w:hAnsi="Calibri" w:cs="Calibri"/>
                <w:bCs/>
                <w:sz w:val="20"/>
                <w:szCs w:val="20"/>
              </w:rPr>
            </w:pPr>
            <w:r w:rsidRPr="0060053A">
              <w:rPr>
                <w:rStyle w:val="Bold"/>
                <w:rFonts w:ascii="Calibri" w:hAnsi="Calibri" w:cs="Calibri"/>
                <w:sz w:val="20"/>
                <w:szCs w:val="20"/>
              </w:rPr>
              <w:t>Content 05 Example:</w:t>
            </w:r>
          </w:p>
        </w:tc>
        <w:tc>
          <w:tcPr>
            <w:tcW w:w="720" w:type="dxa"/>
          </w:tcPr>
          <w:p w14:paraId="424031BA"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33C079D3"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7A0E518A"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125B1CB0"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4C6841A9"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56ABD34C"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18D601D3"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6510AEC0"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00001</w:t>
            </w:r>
          </w:p>
        </w:tc>
        <w:tc>
          <w:tcPr>
            <w:tcW w:w="720" w:type="dxa"/>
          </w:tcPr>
          <w:p w14:paraId="4C0CF74E"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00001</w:t>
            </w:r>
          </w:p>
        </w:tc>
        <w:tc>
          <w:tcPr>
            <w:tcW w:w="720" w:type="dxa"/>
          </w:tcPr>
          <w:p w14:paraId="28785955"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00003</w:t>
            </w:r>
          </w:p>
        </w:tc>
        <w:tc>
          <w:tcPr>
            <w:tcW w:w="720" w:type="dxa"/>
          </w:tcPr>
          <w:p w14:paraId="2C07DE3B"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00039</w:t>
            </w:r>
          </w:p>
        </w:tc>
      </w:tr>
      <w:tr w:rsidR="009B7AED" w:rsidRPr="0060053A" w14:paraId="334DB3A9" w14:textId="77777777" w:rsidTr="007C54FC">
        <w:trPr>
          <w:trHeight w:val="60"/>
          <w:jc w:val="center"/>
        </w:trPr>
        <w:tc>
          <w:tcPr>
            <w:tcW w:w="980" w:type="dxa"/>
            <w:vAlign w:val="top"/>
          </w:tcPr>
          <w:p w14:paraId="2DD90406" w14:textId="77777777" w:rsidR="009B7AED" w:rsidRPr="0060053A" w:rsidRDefault="009B7AED" w:rsidP="002841D0">
            <w:pPr>
              <w:pStyle w:val="TableTextDense"/>
              <w:spacing w:before="10" w:after="10" w:line="240" w:lineRule="auto"/>
              <w:contextualSpacing w:val="0"/>
              <w:rPr>
                <w:rStyle w:val="Bold"/>
                <w:rFonts w:ascii="Calibri" w:hAnsi="Calibri" w:cs="Calibri"/>
                <w:bCs/>
                <w:sz w:val="20"/>
                <w:szCs w:val="20"/>
              </w:rPr>
            </w:pPr>
            <w:r w:rsidRPr="0060053A">
              <w:rPr>
                <w:rStyle w:val="Bold"/>
                <w:rFonts w:ascii="Calibri" w:hAnsi="Calibri" w:cs="Calibri"/>
                <w:sz w:val="20"/>
                <w:szCs w:val="20"/>
              </w:rPr>
              <w:t>Content 06 Example:</w:t>
            </w:r>
          </w:p>
        </w:tc>
        <w:tc>
          <w:tcPr>
            <w:tcW w:w="720" w:type="dxa"/>
          </w:tcPr>
          <w:p w14:paraId="797C31B1"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2C8B5980"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78F54343"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74225148"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63951F61"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6AE1BF8D"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717E72F7"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1B0D598E"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6A315EBF"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00002</w:t>
            </w:r>
          </w:p>
        </w:tc>
        <w:tc>
          <w:tcPr>
            <w:tcW w:w="720" w:type="dxa"/>
          </w:tcPr>
          <w:p w14:paraId="030CAE24"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00002</w:t>
            </w:r>
          </w:p>
        </w:tc>
        <w:tc>
          <w:tcPr>
            <w:tcW w:w="720" w:type="dxa"/>
          </w:tcPr>
          <w:p w14:paraId="18814C0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00025</w:t>
            </w:r>
          </w:p>
        </w:tc>
      </w:tr>
      <w:tr w:rsidR="009B7AED" w:rsidRPr="0060053A" w14:paraId="60424DDF" w14:textId="77777777" w:rsidTr="007C54FC">
        <w:trPr>
          <w:trHeight w:val="60"/>
          <w:jc w:val="center"/>
        </w:trPr>
        <w:tc>
          <w:tcPr>
            <w:tcW w:w="980" w:type="dxa"/>
            <w:vAlign w:val="top"/>
          </w:tcPr>
          <w:p w14:paraId="46F21716" w14:textId="77777777" w:rsidR="009B7AED" w:rsidRPr="0060053A" w:rsidRDefault="009B7AED" w:rsidP="002841D0">
            <w:pPr>
              <w:pStyle w:val="TableTextDense"/>
              <w:spacing w:before="10" w:after="10" w:line="240" w:lineRule="auto"/>
              <w:contextualSpacing w:val="0"/>
              <w:rPr>
                <w:rStyle w:val="Bold"/>
                <w:rFonts w:ascii="Calibri" w:hAnsi="Calibri" w:cs="Calibri"/>
                <w:bCs/>
                <w:sz w:val="20"/>
                <w:szCs w:val="20"/>
              </w:rPr>
            </w:pPr>
            <w:r w:rsidRPr="0060053A">
              <w:rPr>
                <w:rStyle w:val="Bold"/>
                <w:rFonts w:ascii="Calibri" w:hAnsi="Calibri" w:cs="Calibri"/>
                <w:sz w:val="20"/>
                <w:szCs w:val="20"/>
              </w:rPr>
              <w:t>Content 07 Example:</w:t>
            </w:r>
          </w:p>
        </w:tc>
        <w:tc>
          <w:tcPr>
            <w:tcW w:w="720" w:type="dxa"/>
          </w:tcPr>
          <w:p w14:paraId="506C85C7"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6E54F483"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4C3541E5"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322DD538"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235995D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3ED54FEA"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1867877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56C3E62C"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346203F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2F3E2C36"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00001</w:t>
            </w:r>
          </w:p>
        </w:tc>
        <w:tc>
          <w:tcPr>
            <w:tcW w:w="720" w:type="dxa"/>
          </w:tcPr>
          <w:p w14:paraId="7F32F086"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00018</w:t>
            </w:r>
          </w:p>
        </w:tc>
      </w:tr>
      <w:tr w:rsidR="009B7AED" w:rsidRPr="0060053A" w14:paraId="69A366C6" w14:textId="77777777" w:rsidTr="007C54FC">
        <w:trPr>
          <w:trHeight w:val="60"/>
          <w:jc w:val="center"/>
        </w:trPr>
        <w:tc>
          <w:tcPr>
            <w:tcW w:w="980" w:type="dxa"/>
            <w:vAlign w:val="top"/>
          </w:tcPr>
          <w:p w14:paraId="6AB25454" w14:textId="77777777" w:rsidR="009B7AED" w:rsidRPr="0060053A" w:rsidRDefault="009B7AED" w:rsidP="002841D0">
            <w:pPr>
              <w:pStyle w:val="TableTextDense"/>
              <w:spacing w:before="10" w:after="10" w:line="240" w:lineRule="auto"/>
              <w:contextualSpacing w:val="0"/>
              <w:rPr>
                <w:rStyle w:val="Bold"/>
                <w:rFonts w:ascii="Calibri" w:hAnsi="Calibri" w:cs="Calibri"/>
                <w:bCs/>
                <w:sz w:val="20"/>
                <w:szCs w:val="20"/>
              </w:rPr>
            </w:pPr>
            <w:r w:rsidRPr="0060053A">
              <w:rPr>
                <w:rStyle w:val="Bold"/>
                <w:rFonts w:ascii="Calibri" w:hAnsi="Calibri" w:cs="Calibri"/>
                <w:sz w:val="20"/>
                <w:szCs w:val="20"/>
              </w:rPr>
              <w:t>Content 08 Example:</w:t>
            </w:r>
          </w:p>
        </w:tc>
        <w:tc>
          <w:tcPr>
            <w:tcW w:w="720" w:type="dxa"/>
          </w:tcPr>
          <w:p w14:paraId="5659FF11"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559B263C"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3C16BDB0"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4F77E65F"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45CDB7C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000F60E0"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69042B38"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5FFAE5E0"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3751A46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521C0D8E"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1940E524"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00013</w:t>
            </w:r>
          </w:p>
        </w:tc>
      </w:tr>
      <w:tr w:rsidR="009B7AED" w:rsidRPr="0060053A" w14:paraId="7619D280" w14:textId="77777777" w:rsidTr="007C54FC">
        <w:trPr>
          <w:trHeight w:val="60"/>
          <w:jc w:val="center"/>
        </w:trPr>
        <w:tc>
          <w:tcPr>
            <w:tcW w:w="980" w:type="dxa"/>
            <w:vAlign w:val="top"/>
          </w:tcPr>
          <w:p w14:paraId="3CAAABD2" w14:textId="77777777" w:rsidR="009B7AED" w:rsidRPr="0060053A" w:rsidRDefault="009B7AED" w:rsidP="002841D0">
            <w:pPr>
              <w:pStyle w:val="TableTextDense"/>
              <w:spacing w:before="10" w:after="10" w:line="240" w:lineRule="auto"/>
              <w:contextualSpacing w:val="0"/>
              <w:rPr>
                <w:rStyle w:val="Bold"/>
                <w:rFonts w:ascii="Calibri" w:hAnsi="Calibri" w:cs="Calibri"/>
                <w:bCs/>
                <w:sz w:val="20"/>
                <w:szCs w:val="20"/>
              </w:rPr>
            </w:pPr>
            <w:r w:rsidRPr="0060053A">
              <w:rPr>
                <w:rStyle w:val="Bold"/>
                <w:rFonts w:ascii="Calibri" w:hAnsi="Calibri" w:cs="Calibri"/>
                <w:sz w:val="20"/>
                <w:szCs w:val="20"/>
              </w:rPr>
              <w:t>Content 09 Example:</w:t>
            </w:r>
          </w:p>
        </w:tc>
        <w:tc>
          <w:tcPr>
            <w:tcW w:w="720" w:type="dxa"/>
          </w:tcPr>
          <w:p w14:paraId="7A8E74B9"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4620CA74"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730397AF"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6BDF02B7"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65782748"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4D87D849"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6F814E45"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4EA4A088"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1CAF57CD"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0DC81783"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503AAD5E"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00008</w:t>
            </w:r>
          </w:p>
        </w:tc>
      </w:tr>
      <w:tr w:rsidR="009B7AED" w:rsidRPr="0060053A" w14:paraId="17D027BE" w14:textId="77777777" w:rsidTr="007C54FC">
        <w:trPr>
          <w:trHeight w:val="60"/>
          <w:jc w:val="center"/>
        </w:trPr>
        <w:tc>
          <w:tcPr>
            <w:tcW w:w="980" w:type="dxa"/>
            <w:vAlign w:val="top"/>
          </w:tcPr>
          <w:p w14:paraId="57AD7328" w14:textId="77777777" w:rsidR="009B7AED" w:rsidRPr="0060053A" w:rsidRDefault="009B7AED" w:rsidP="002841D0">
            <w:pPr>
              <w:pStyle w:val="TableTextDense"/>
              <w:spacing w:before="10" w:after="10" w:line="240" w:lineRule="auto"/>
              <w:contextualSpacing w:val="0"/>
              <w:rPr>
                <w:rStyle w:val="Bold"/>
                <w:rFonts w:ascii="Calibri" w:hAnsi="Calibri" w:cs="Calibri"/>
                <w:bCs/>
                <w:sz w:val="20"/>
                <w:szCs w:val="20"/>
              </w:rPr>
            </w:pPr>
            <w:r w:rsidRPr="0060053A">
              <w:rPr>
                <w:rStyle w:val="Bold"/>
                <w:rFonts w:ascii="Calibri" w:hAnsi="Calibri" w:cs="Calibri"/>
                <w:sz w:val="20"/>
                <w:szCs w:val="20"/>
              </w:rPr>
              <w:t>Content 10 Example:</w:t>
            </w:r>
          </w:p>
        </w:tc>
        <w:tc>
          <w:tcPr>
            <w:tcW w:w="720" w:type="dxa"/>
          </w:tcPr>
          <w:p w14:paraId="3427ACB5"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71197A29"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79707200"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69D2549F"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450543E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760A130F"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7B8A1E1B"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7CB1F528"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5216E967"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54050795"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6000BFEF"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00007</w:t>
            </w:r>
          </w:p>
        </w:tc>
      </w:tr>
      <w:tr w:rsidR="009B7AED" w:rsidRPr="0060053A" w14:paraId="1581BB74" w14:textId="77777777" w:rsidTr="007C54FC">
        <w:trPr>
          <w:trHeight w:val="60"/>
          <w:jc w:val="center"/>
        </w:trPr>
        <w:tc>
          <w:tcPr>
            <w:tcW w:w="980" w:type="dxa"/>
            <w:vAlign w:val="top"/>
          </w:tcPr>
          <w:p w14:paraId="2791576D" w14:textId="77777777" w:rsidR="009B7AED" w:rsidRPr="0060053A" w:rsidRDefault="009B7AED" w:rsidP="002841D0">
            <w:pPr>
              <w:pStyle w:val="TableTextDense"/>
              <w:spacing w:before="10" w:after="10" w:line="240" w:lineRule="auto"/>
              <w:contextualSpacing w:val="0"/>
              <w:rPr>
                <w:rStyle w:val="Bold"/>
                <w:rFonts w:ascii="Calibri" w:hAnsi="Calibri" w:cs="Calibri"/>
                <w:bCs/>
                <w:sz w:val="20"/>
                <w:szCs w:val="20"/>
              </w:rPr>
            </w:pPr>
            <w:r w:rsidRPr="0060053A">
              <w:rPr>
                <w:rStyle w:val="Bold"/>
                <w:rFonts w:ascii="Calibri" w:hAnsi="Calibri" w:cs="Calibri"/>
                <w:sz w:val="20"/>
                <w:szCs w:val="20"/>
              </w:rPr>
              <w:t>Content 11 Example:</w:t>
            </w:r>
          </w:p>
        </w:tc>
        <w:tc>
          <w:tcPr>
            <w:tcW w:w="720" w:type="dxa"/>
          </w:tcPr>
          <w:p w14:paraId="0DD3BB4E"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0EC5567D"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4393A0E6"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119066D5"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6BC5B399"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1A87D398"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67CD2DFB"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4569E620"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0AAE41B4"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5A1B5554"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65A56788"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00011</w:t>
            </w:r>
          </w:p>
        </w:tc>
      </w:tr>
      <w:tr w:rsidR="009B7AED" w:rsidRPr="0060053A" w14:paraId="4086AEFE" w14:textId="77777777" w:rsidTr="007C54FC">
        <w:trPr>
          <w:trHeight w:val="60"/>
          <w:jc w:val="center"/>
        </w:trPr>
        <w:tc>
          <w:tcPr>
            <w:tcW w:w="980" w:type="dxa"/>
            <w:vAlign w:val="top"/>
          </w:tcPr>
          <w:p w14:paraId="2D010BF6" w14:textId="77777777" w:rsidR="009B7AED" w:rsidRPr="0060053A" w:rsidRDefault="009B7AED" w:rsidP="002841D0">
            <w:pPr>
              <w:pStyle w:val="TableTextDense"/>
              <w:spacing w:before="10" w:after="10" w:line="240" w:lineRule="auto"/>
              <w:contextualSpacing w:val="0"/>
              <w:rPr>
                <w:rStyle w:val="Bold"/>
                <w:rFonts w:ascii="Calibri" w:hAnsi="Calibri" w:cs="Calibri"/>
                <w:bCs/>
                <w:sz w:val="20"/>
                <w:szCs w:val="20"/>
              </w:rPr>
            </w:pPr>
            <w:r w:rsidRPr="0060053A">
              <w:rPr>
                <w:rStyle w:val="Bold"/>
                <w:rFonts w:ascii="Calibri" w:hAnsi="Calibri" w:cs="Calibri"/>
                <w:sz w:val="20"/>
                <w:szCs w:val="20"/>
              </w:rPr>
              <w:t>Content 12 Example:</w:t>
            </w:r>
          </w:p>
        </w:tc>
        <w:tc>
          <w:tcPr>
            <w:tcW w:w="720" w:type="dxa"/>
          </w:tcPr>
          <w:p w14:paraId="1C34A666"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2AE05C37"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7C3E768E"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035717DB"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3F3AE02F"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50B74AAF"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22B8ECB9"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2B5E442F"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5A6A83C8"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434E7F26"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3570B96F"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00012</w:t>
            </w:r>
          </w:p>
        </w:tc>
      </w:tr>
      <w:tr w:rsidR="009B7AED" w:rsidRPr="0060053A" w14:paraId="66F7C251" w14:textId="77777777" w:rsidTr="007C54FC">
        <w:trPr>
          <w:trHeight w:val="60"/>
          <w:jc w:val="center"/>
        </w:trPr>
        <w:tc>
          <w:tcPr>
            <w:tcW w:w="980" w:type="dxa"/>
            <w:vAlign w:val="top"/>
          </w:tcPr>
          <w:p w14:paraId="09F40DAF" w14:textId="77777777" w:rsidR="009B7AED" w:rsidRPr="0060053A" w:rsidRDefault="009B7AED" w:rsidP="002841D0">
            <w:pPr>
              <w:pStyle w:val="TableTextDense"/>
              <w:spacing w:before="10" w:after="10" w:line="240" w:lineRule="auto"/>
              <w:contextualSpacing w:val="0"/>
              <w:rPr>
                <w:rStyle w:val="Bold"/>
                <w:rFonts w:ascii="Calibri" w:hAnsi="Calibri" w:cs="Calibri"/>
                <w:bCs/>
                <w:sz w:val="20"/>
                <w:szCs w:val="20"/>
              </w:rPr>
            </w:pPr>
            <w:r w:rsidRPr="0060053A">
              <w:rPr>
                <w:rStyle w:val="Bold"/>
                <w:rFonts w:ascii="Calibri" w:hAnsi="Calibri" w:cs="Calibri"/>
                <w:sz w:val="20"/>
                <w:szCs w:val="20"/>
              </w:rPr>
              <w:t>Content 13 Example:</w:t>
            </w:r>
          </w:p>
        </w:tc>
        <w:tc>
          <w:tcPr>
            <w:tcW w:w="720" w:type="dxa"/>
          </w:tcPr>
          <w:p w14:paraId="72BDAA05"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71306B8A"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699A725C"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65221C8B"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68ADFAA1"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7574CF2C"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1D3CBF47"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3E82B6AC"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37A6C0F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00008</w:t>
            </w:r>
          </w:p>
        </w:tc>
        <w:tc>
          <w:tcPr>
            <w:tcW w:w="720" w:type="dxa"/>
          </w:tcPr>
          <w:p w14:paraId="1344E34D"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00013</w:t>
            </w:r>
          </w:p>
        </w:tc>
        <w:tc>
          <w:tcPr>
            <w:tcW w:w="720" w:type="dxa"/>
          </w:tcPr>
          <w:p w14:paraId="54D0BD37"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00049</w:t>
            </w:r>
          </w:p>
        </w:tc>
      </w:tr>
      <w:tr w:rsidR="009B7AED" w:rsidRPr="0060053A" w14:paraId="24F2AF95" w14:textId="77777777" w:rsidTr="007C54FC">
        <w:trPr>
          <w:trHeight w:val="60"/>
          <w:jc w:val="center"/>
        </w:trPr>
        <w:tc>
          <w:tcPr>
            <w:tcW w:w="980" w:type="dxa"/>
            <w:vAlign w:val="top"/>
          </w:tcPr>
          <w:p w14:paraId="49E68760" w14:textId="77777777" w:rsidR="009B7AED" w:rsidRPr="0060053A" w:rsidRDefault="009B7AED" w:rsidP="002841D0">
            <w:pPr>
              <w:pStyle w:val="TableTextDense"/>
              <w:spacing w:before="10" w:after="10" w:line="240" w:lineRule="auto"/>
              <w:contextualSpacing w:val="0"/>
              <w:rPr>
                <w:rStyle w:val="Bold"/>
                <w:rFonts w:ascii="Calibri" w:hAnsi="Calibri" w:cs="Calibri"/>
                <w:bCs/>
                <w:sz w:val="20"/>
                <w:szCs w:val="20"/>
              </w:rPr>
            </w:pPr>
            <w:r w:rsidRPr="0060053A">
              <w:rPr>
                <w:rStyle w:val="Bold"/>
                <w:rFonts w:ascii="Calibri" w:hAnsi="Calibri" w:cs="Calibri"/>
                <w:sz w:val="20"/>
                <w:szCs w:val="20"/>
              </w:rPr>
              <w:t>Content 14 Example:</w:t>
            </w:r>
          </w:p>
        </w:tc>
        <w:tc>
          <w:tcPr>
            <w:tcW w:w="720" w:type="dxa"/>
          </w:tcPr>
          <w:p w14:paraId="2BE4419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6EB453C1"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16FE0B87"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2B0CE9A0"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296B5FB7"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1743B8FD"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1C1C7CA8"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0BE6FC18"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3761EE00"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00006</w:t>
            </w:r>
          </w:p>
        </w:tc>
        <w:tc>
          <w:tcPr>
            <w:tcW w:w="720" w:type="dxa"/>
          </w:tcPr>
          <w:p w14:paraId="42F44234"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00009</w:t>
            </w:r>
          </w:p>
        </w:tc>
        <w:tc>
          <w:tcPr>
            <w:tcW w:w="720" w:type="dxa"/>
          </w:tcPr>
          <w:p w14:paraId="2F9C9451"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00026</w:t>
            </w:r>
          </w:p>
        </w:tc>
      </w:tr>
      <w:tr w:rsidR="009B7AED" w:rsidRPr="0060053A" w14:paraId="7561F61D" w14:textId="77777777" w:rsidTr="007C54FC">
        <w:trPr>
          <w:trHeight w:val="60"/>
          <w:jc w:val="center"/>
        </w:trPr>
        <w:tc>
          <w:tcPr>
            <w:tcW w:w="980" w:type="dxa"/>
            <w:vAlign w:val="top"/>
          </w:tcPr>
          <w:p w14:paraId="0D46BDE6" w14:textId="77777777" w:rsidR="009B7AED" w:rsidRPr="0060053A" w:rsidRDefault="009B7AED" w:rsidP="002841D0">
            <w:pPr>
              <w:pStyle w:val="TableTextDense"/>
              <w:pageBreakBefore/>
              <w:spacing w:before="10" w:after="10" w:line="240" w:lineRule="auto"/>
              <w:contextualSpacing w:val="0"/>
              <w:rPr>
                <w:rStyle w:val="Bold"/>
                <w:rFonts w:ascii="Calibri" w:hAnsi="Calibri" w:cs="Calibri"/>
                <w:bCs/>
                <w:sz w:val="20"/>
                <w:szCs w:val="20"/>
              </w:rPr>
            </w:pPr>
            <w:r w:rsidRPr="0060053A">
              <w:rPr>
                <w:rStyle w:val="Bold"/>
                <w:rFonts w:ascii="Calibri" w:hAnsi="Calibri" w:cs="Calibri"/>
                <w:sz w:val="20"/>
                <w:szCs w:val="20"/>
              </w:rPr>
              <w:lastRenderedPageBreak/>
              <w:t>Content 15 Example:</w:t>
            </w:r>
          </w:p>
        </w:tc>
        <w:tc>
          <w:tcPr>
            <w:tcW w:w="720" w:type="dxa"/>
          </w:tcPr>
          <w:p w14:paraId="6DEFE111"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269A3214"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047FE82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39F9230A"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25C20370"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1F0A9A2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74C7D7E6"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31B292AF"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2AB20E6E"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00002</w:t>
            </w:r>
          </w:p>
        </w:tc>
        <w:tc>
          <w:tcPr>
            <w:tcW w:w="720" w:type="dxa"/>
          </w:tcPr>
          <w:p w14:paraId="0BE0570C"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00003</w:t>
            </w:r>
          </w:p>
        </w:tc>
        <w:tc>
          <w:tcPr>
            <w:tcW w:w="720" w:type="dxa"/>
          </w:tcPr>
          <w:p w14:paraId="38782CF8"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00031</w:t>
            </w:r>
          </w:p>
        </w:tc>
      </w:tr>
      <w:tr w:rsidR="009B7AED" w:rsidRPr="0060053A" w14:paraId="3DB26604" w14:textId="77777777" w:rsidTr="007C54FC">
        <w:trPr>
          <w:trHeight w:val="60"/>
          <w:jc w:val="center"/>
        </w:trPr>
        <w:tc>
          <w:tcPr>
            <w:tcW w:w="980" w:type="dxa"/>
            <w:vAlign w:val="top"/>
          </w:tcPr>
          <w:p w14:paraId="4A2BB670" w14:textId="77777777" w:rsidR="009B7AED" w:rsidRPr="0060053A" w:rsidRDefault="009B7AED" w:rsidP="002841D0">
            <w:pPr>
              <w:pStyle w:val="TableTextDense"/>
              <w:spacing w:before="10" w:after="10" w:line="240" w:lineRule="auto"/>
              <w:contextualSpacing w:val="0"/>
              <w:rPr>
                <w:rStyle w:val="Bold"/>
                <w:rFonts w:ascii="Calibri" w:hAnsi="Calibri" w:cs="Calibri"/>
                <w:bCs/>
                <w:sz w:val="20"/>
                <w:szCs w:val="20"/>
              </w:rPr>
            </w:pPr>
            <w:r w:rsidRPr="0060053A">
              <w:rPr>
                <w:rStyle w:val="Bold"/>
                <w:rFonts w:ascii="Calibri" w:hAnsi="Calibri" w:cs="Calibri"/>
                <w:sz w:val="20"/>
                <w:szCs w:val="20"/>
              </w:rPr>
              <w:t>Content 16 Example:</w:t>
            </w:r>
          </w:p>
        </w:tc>
        <w:tc>
          <w:tcPr>
            <w:tcW w:w="720" w:type="dxa"/>
          </w:tcPr>
          <w:p w14:paraId="0A02C2EE"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26FCC894"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4AA79E5F"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1B737CBA"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3884B9B9"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56D5B2FD"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5F408A5F"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4A093F05"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5FC37ADB"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694D0DCE"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00001</w:t>
            </w:r>
          </w:p>
        </w:tc>
        <w:tc>
          <w:tcPr>
            <w:tcW w:w="720" w:type="dxa"/>
          </w:tcPr>
          <w:p w14:paraId="4C178767"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00035</w:t>
            </w:r>
          </w:p>
        </w:tc>
      </w:tr>
      <w:tr w:rsidR="009B7AED" w:rsidRPr="0060053A" w14:paraId="3FACE898" w14:textId="77777777" w:rsidTr="007C54FC">
        <w:trPr>
          <w:trHeight w:val="60"/>
          <w:jc w:val="center"/>
        </w:trPr>
        <w:tc>
          <w:tcPr>
            <w:tcW w:w="980" w:type="dxa"/>
            <w:vAlign w:val="top"/>
          </w:tcPr>
          <w:p w14:paraId="00007B01" w14:textId="77777777" w:rsidR="009B7AED" w:rsidRPr="0060053A" w:rsidRDefault="009B7AED" w:rsidP="002841D0">
            <w:pPr>
              <w:pStyle w:val="TableTextDense"/>
              <w:spacing w:before="10" w:after="10" w:line="240" w:lineRule="auto"/>
              <w:contextualSpacing w:val="0"/>
              <w:rPr>
                <w:rStyle w:val="Bold"/>
                <w:rFonts w:ascii="Calibri" w:hAnsi="Calibri" w:cs="Calibri"/>
                <w:bCs/>
                <w:sz w:val="20"/>
                <w:szCs w:val="20"/>
              </w:rPr>
            </w:pPr>
            <w:r w:rsidRPr="0060053A">
              <w:rPr>
                <w:rStyle w:val="Bold"/>
                <w:rFonts w:ascii="Calibri" w:hAnsi="Calibri" w:cs="Calibri"/>
                <w:sz w:val="20"/>
                <w:szCs w:val="20"/>
              </w:rPr>
              <w:t>Content 17 Example:</w:t>
            </w:r>
          </w:p>
        </w:tc>
        <w:tc>
          <w:tcPr>
            <w:tcW w:w="720" w:type="dxa"/>
          </w:tcPr>
          <w:p w14:paraId="2D7B76C8"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7488B0F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3AF916D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00ED4724"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29CEE32E"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00EE30E9"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4CD7076A"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7044488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069E8C81"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0B80EC49"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00007</w:t>
            </w:r>
          </w:p>
        </w:tc>
        <w:tc>
          <w:tcPr>
            <w:tcW w:w="720" w:type="dxa"/>
          </w:tcPr>
          <w:p w14:paraId="6BF56191"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00031</w:t>
            </w:r>
          </w:p>
        </w:tc>
      </w:tr>
      <w:tr w:rsidR="009B7AED" w:rsidRPr="0060053A" w14:paraId="75554F6C" w14:textId="77777777" w:rsidTr="007C54FC">
        <w:trPr>
          <w:trHeight w:val="60"/>
          <w:jc w:val="center"/>
        </w:trPr>
        <w:tc>
          <w:tcPr>
            <w:tcW w:w="980" w:type="dxa"/>
            <w:vAlign w:val="top"/>
          </w:tcPr>
          <w:p w14:paraId="6763DEDE" w14:textId="77777777" w:rsidR="009B7AED" w:rsidRPr="0060053A" w:rsidRDefault="009B7AED" w:rsidP="002841D0">
            <w:pPr>
              <w:pStyle w:val="TableTextDense"/>
              <w:spacing w:before="10" w:after="10" w:line="240" w:lineRule="auto"/>
              <w:contextualSpacing w:val="0"/>
              <w:rPr>
                <w:rStyle w:val="Bold"/>
                <w:rFonts w:ascii="Calibri" w:hAnsi="Calibri" w:cs="Calibri"/>
                <w:bCs/>
                <w:sz w:val="20"/>
                <w:szCs w:val="20"/>
              </w:rPr>
            </w:pPr>
            <w:r w:rsidRPr="0060053A">
              <w:rPr>
                <w:rStyle w:val="Bold"/>
                <w:rFonts w:ascii="Calibri" w:hAnsi="Calibri" w:cs="Calibri"/>
                <w:sz w:val="20"/>
                <w:szCs w:val="20"/>
              </w:rPr>
              <w:t>Content 18 Example:</w:t>
            </w:r>
          </w:p>
        </w:tc>
        <w:tc>
          <w:tcPr>
            <w:tcW w:w="720" w:type="dxa"/>
          </w:tcPr>
          <w:p w14:paraId="7D69C7B5"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5E1F5B85"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7406E564"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479B12A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23269A8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1B0235E9"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3EDAE677"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6EC82D4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107D2880"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2C878327"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00002</w:t>
            </w:r>
          </w:p>
        </w:tc>
        <w:tc>
          <w:tcPr>
            <w:tcW w:w="720" w:type="dxa"/>
          </w:tcPr>
          <w:p w14:paraId="65BF4209"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00026</w:t>
            </w:r>
          </w:p>
        </w:tc>
      </w:tr>
      <w:tr w:rsidR="009B7AED" w:rsidRPr="0060053A" w14:paraId="617F7676" w14:textId="77777777" w:rsidTr="007C54FC">
        <w:trPr>
          <w:trHeight w:val="60"/>
          <w:jc w:val="center"/>
        </w:trPr>
        <w:tc>
          <w:tcPr>
            <w:tcW w:w="980" w:type="dxa"/>
            <w:vAlign w:val="top"/>
          </w:tcPr>
          <w:p w14:paraId="64D4E19C" w14:textId="77777777" w:rsidR="009B7AED" w:rsidRPr="0060053A" w:rsidRDefault="009B7AED" w:rsidP="002841D0">
            <w:pPr>
              <w:pStyle w:val="TableTextDense"/>
              <w:spacing w:before="10" w:after="10" w:line="240" w:lineRule="auto"/>
              <w:contextualSpacing w:val="0"/>
              <w:rPr>
                <w:rStyle w:val="Bold"/>
                <w:rFonts w:ascii="Calibri" w:hAnsi="Calibri" w:cs="Calibri"/>
                <w:bCs/>
                <w:sz w:val="20"/>
                <w:szCs w:val="20"/>
              </w:rPr>
            </w:pPr>
            <w:r w:rsidRPr="0060053A">
              <w:rPr>
                <w:rStyle w:val="Bold"/>
                <w:rFonts w:ascii="Calibri" w:hAnsi="Calibri" w:cs="Calibri"/>
                <w:sz w:val="20"/>
                <w:szCs w:val="20"/>
              </w:rPr>
              <w:t>Content 19 Example:</w:t>
            </w:r>
          </w:p>
        </w:tc>
        <w:tc>
          <w:tcPr>
            <w:tcW w:w="720" w:type="dxa"/>
          </w:tcPr>
          <w:p w14:paraId="55E015C8"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10B07A04"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5D45B58E"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5652FB13"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4876F6B9"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16E3E37D"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3F9AE271"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33EDCD16"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44E19C2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1E2FA7B5"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00004</w:t>
            </w:r>
          </w:p>
        </w:tc>
        <w:tc>
          <w:tcPr>
            <w:tcW w:w="720" w:type="dxa"/>
          </w:tcPr>
          <w:p w14:paraId="25419F0D"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00027</w:t>
            </w:r>
          </w:p>
        </w:tc>
      </w:tr>
      <w:tr w:rsidR="009B7AED" w:rsidRPr="0060053A" w14:paraId="399C6A56" w14:textId="77777777" w:rsidTr="007C54FC">
        <w:trPr>
          <w:trHeight w:val="58"/>
          <w:jc w:val="center"/>
        </w:trPr>
        <w:tc>
          <w:tcPr>
            <w:tcW w:w="980" w:type="dxa"/>
            <w:vAlign w:val="top"/>
          </w:tcPr>
          <w:p w14:paraId="71F0644E" w14:textId="77777777" w:rsidR="009B7AED" w:rsidRPr="0060053A" w:rsidRDefault="009B7AED" w:rsidP="002841D0">
            <w:pPr>
              <w:pStyle w:val="TableTextDense"/>
              <w:spacing w:before="10" w:after="10" w:line="240" w:lineRule="auto"/>
              <w:contextualSpacing w:val="0"/>
              <w:rPr>
                <w:rStyle w:val="Bold"/>
                <w:rFonts w:ascii="Calibri" w:hAnsi="Calibri" w:cs="Calibri"/>
                <w:bCs/>
                <w:sz w:val="20"/>
                <w:szCs w:val="20"/>
              </w:rPr>
            </w:pPr>
            <w:r w:rsidRPr="0060053A">
              <w:rPr>
                <w:rStyle w:val="Bold"/>
                <w:rFonts w:ascii="Calibri" w:hAnsi="Calibri" w:cs="Calibri"/>
                <w:sz w:val="20"/>
                <w:szCs w:val="20"/>
              </w:rPr>
              <w:t>Content 20 Example:</w:t>
            </w:r>
          </w:p>
        </w:tc>
        <w:tc>
          <w:tcPr>
            <w:tcW w:w="720" w:type="dxa"/>
          </w:tcPr>
          <w:p w14:paraId="2E450391"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28A695A3"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19C75E64"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107CE37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222E39F9"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6272C9B7"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68B15D86"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775DDB08"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66A8BDB0"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7281E579"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00003</w:t>
            </w:r>
          </w:p>
        </w:tc>
        <w:tc>
          <w:tcPr>
            <w:tcW w:w="720" w:type="dxa"/>
          </w:tcPr>
          <w:p w14:paraId="7C4D394E"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00021</w:t>
            </w:r>
          </w:p>
        </w:tc>
      </w:tr>
      <w:tr w:rsidR="009B7AED" w:rsidRPr="0060053A" w14:paraId="29FEBF18" w14:textId="77777777" w:rsidTr="007C54FC">
        <w:trPr>
          <w:trHeight w:val="60"/>
          <w:jc w:val="center"/>
        </w:trPr>
        <w:tc>
          <w:tcPr>
            <w:tcW w:w="980" w:type="dxa"/>
            <w:vAlign w:val="top"/>
          </w:tcPr>
          <w:p w14:paraId="40A8289A" w14:textId="77777777" w:rsidR="009B7AED" w:rsidRPr="0060053A" w:rsidRDefault="009B7AED" w:rsidP="002841D0">
            <w:pPr>
              <w:pStyle w:val="TableTextDense"/>
              <w:spacing w:before="10" w:after="10" w:line="240" w:lineRule="auto"/>
              <w:contextualSpacing w:val="0"/>
              <w:rPr>
                <w:rStyle w:val="Bold"/>
                <w:rFonts w:ascii="Calibri" w:hAnsi="Calibri" w:cs="Calibri"/>
                <w:bCs/>
                <w:sz w:val="20"/>
                <w:szCs w:val="20"/>
              </w:rPr>
            </w:pPr>
            <w:r w:rsidRPr="0060053A">
              <w:rPr>
                <w:rStyle w:val="Bold"/>
                <w:rFonts w:ascii="Calibri" w:hAnsi="Calibri" w:cs="Calibri"/>
                <w:sz w:val="20"/>
                <w:szCs w:val="20"/>
              </w:rPr>
              <w:t>Content 21 Example:</w:t>
            </w:r>
          </w:p>
        </w:tc>
        <w:tc>
          <w:tcPr>
            <w:tcW w:w="720" w:type="dxa"/>
          </w:tcPr>
          <w:p w14:paraId="0E2A811A"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0FA77E2B"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279FE22F"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3BB4DF25"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24E15F84"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751A12F5"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04563034"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7983DD48"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52CCFB4E"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1CD1CBC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3782A4F3"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00015</w:t>
            </w:r>
          </w:p>
        </w:tc>
      </w:tr>
      <w:tr w:rsidR="009B7AED" w:rsidRPr="0060053A" w14:paraId="4688C512" w14:textId="77777777" w:rsidTr="007C54FC">
        <w:trPr>
          <w:trHeight w:val="60"/>
          <w:jc w:val="center"/>
        </w:trPr>
        <w:tc>
          <w:tcPr>
            <w:tcW w:w="980" w:type="dxa"/>
            <w:vAlign w:val="top"/>
          </w:tcPr>
          <w:p w14:paraId="2CF5B3C4" w14:textId="77777777" w:rsidR="009B7AED" w:rsidRPr="0060053A" w:rsidRDefault="009B7AED" w:rsidP="002841D0">
            <w:pPr>
              <w:pStyle w:val="TableTextDense"/>
              <w:spacing w:before="10" w:after="10" w:line="240" w:lineRule="auto"/>
              <w:contextualSpacing w:val="0"/>
              <w:rPr>
                <w:rStyle w:val="Bold"/>
                <w:rFonts w:ascii="Calibri" w:hAnsi="Calibri" w:cs="Calibri"/>
                <w:bCs/>
                <w:sz w:val="20"/>
                <w:szCs w:val="20"/>
              </w:rPr>
            </w:pPr>
            <w:r w:rsidRPr="0060053A">
              <w:rPr>
                <w:rStyle w:val="Bold"/>
                <w:rFonts w:ascii="Calibri" w:hAnsi="Calibri" w:cs="Calibri"/>
                <w:sz w:val="20"/>
                <w:szCs w:val="20"/>
              </w:rPr>
              <w:t>Content 22 Example:</w:t>
            </w:r>
          </w:p>
        </w:tc>
        <w:tc>
          <w:tcPr>
            <w:tcW w:w="720" w:type="dxa"/>
          </w:tcPr>
          <w:p w14:paraId="68FE3AF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7C284075"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2F3DD3F2"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71F8C619"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6FD4AF74"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4D5BF771"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5C307F18"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4B889BC7"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52CCF5E3"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1C01E214"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0F4AE03A"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00012</w:t>
            </w:r>
          </w:p>
        </w:tc>
      </w:tr>
      <w:tr w:rsidR="009B7AED" w:rsidRPr="0060053A" w14:paraId="5D1C994F" w14:textId="77777777" w:rsidTr="007C54FC">
        <w:trPr>
          <w:trHeight w:val="60"/>
          <w:jc w:val="center"/>
        </w:trPr>
        <w:tc>
          <w:tcPr>
            <w:tcW w:w="980" w:type="dxa"/>
            <w:vAlign w:val="top"/>
          </w:tcPr>
          <w:p w14:paraId="07FD1FA1" w14:textId="77777777" w:rsidR="009B7AED" w:rsidRPr="0060053A" w:rsidRDefault="009B7AED" w:rsidP="002841D0">
            <w:pPr>
              <w:pStyle w:val="TableTextDense"/>
              <w:spacing w:before="10" w:after="10" w:line="240" w:lineRule="auto"/>
              <w:contextualSpacing w:val="0"/>
              <w:rPr>
                <w:rStyle w:val="Bold"/>
                <w:rFonts w:ascii="Calibri" w:hAnsi="Calibri" w:cs="Calibri"/>
                <w:bCs/>
                <w:sz w:val="20"/>
                <w:szCs w:val="20"/>
              </w:rPr>
            </w:pPr>
            <w:r w:rsidRPr="0060053A">
              <w:rPr>
                <w:rStyle w:val="Bold"/>
                <w:rFonts w:ascii="Calibri" w:hAnsi="Calibri" w:cs="Calibri"/>
                <w:sz w:val="20"/>
                <w:szCs w:val="20"/>
              </w:rPr>
              <w:t>Content 23 Example:</w:t>
            </w:r>
          </w:p>
        </w:tc>
        <w:tc>
          <w:tcPr>
            <w:tcW w:w="720" w:type="dxa"/>
          </w:tcPr>
          <w:p w14:paraId="14B32009"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36E0A3C1"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62F6FC93"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38448EF6"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392D3B00"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173D3B5B"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231AC90F"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55A0045D"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76D43B4C"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46F3D8CE"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13D13CF7"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00008</w:t>
            </w:r>
          </w:p>
        </w:tc>
      </w:tr>
      <w:tr w:rsidR="009B7AED" w:rsidRPr="0060053A" w14:paraId="632FC0EA" w14:textId="77777777" w:rsidTr="007C54FC">
        <w:trPr>
          <w:trHeight w:val="60"/>
          <w:jc w:val="center"/>
        </w:trPr>
        <w:tc>
          <w:tcPr>
            <w:tcW w:w="980" w:type="dxa"/>
            <w:vAlign w:val="top"/>
          </w:tcPr>
          <w:p w14:paraId="2D3253C7" w14:textId="77777777" w:rsidR="009B7AED" w:rsidRPr="0060053A" w:rsidRDefault="009B7AED" w:rsidP="002841D0">
            <w:pPr>
              <w:pStyle w:val="TableTextDense"/>
              <w:spacing w:before="10" w:after="10" w:line="240" w:lineRule="auto"/>
              <w:contextualSpacing w:val="0"/>
              <w:rPr>
                <w:rStyle w:val="Bold"/>
                <w:rFonts w:ascii="Calibri" w:hAnsi="Calibri" w:cs="Calibri"/>
                <w:bCs/>
                <w:sz w:val="20"/>
                <w:szCs w:val="20"/>
              </w:rPr>
            </w:pPr>
            <w:r w:rsidRPr="0060053A">
              <w:rPr>
                <w:rStyle w:val="Bold"/>
                <w:rFonts w:ascii="Calibri" w:hAnsi="Calibri" w:cs="Calibri"/>
                <w:sz w:val="20"/>
                <w:szCs w:val="20"/>
              </w:rPr>
              <w:t>Content 24 Example:</w:t>
            </w:r>
          </w:p>
        </w:tc>
        <w:tc>
          <w:tcPr>
            <w:tcW w:w="720" w:type="dxa"/>
          </w:tcPr>
          <w:p w14:paraId="7EC4B83B"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5BDC9F73"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39DDEDE6"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11FC5258"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17EFBFE1"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63A0E045"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2DC8A67C"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05A7C0B6"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0F98BB8B"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715F8A87"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00000</w:t>
            </w:r>
          </w:p>
        </w:tc>
        <w:tc>
          <w:tcPr>
            <w:tcW w:w="720" w:type="dxa"/>
          </w:tcPr>
          <w:p w14:paraId="79523E5F" w14:textId="77777777" w:rsidR="009B7AED" w:rsidRPr="0060053A" w:rsidRDefault="009B7AED" w:rsidP="002841D0">
            <w:pPr>
              <w:pStyle w:val="TableTextDense"/>
              <w:spacing w:before="10" w:after="10" w:line="240" w:lineRule="auto"/>
              <w:contextualSpacing w:val="0"/>
              <w:jc w:val="center"/>
              <w:rPr>
                <w:rFonts w:ascii="Calibri" w:hAnsi="Calibri" w:cs="Calibri"/>
                <w:sz w:val="20"/>
                <w:szCs w:val="20"/>
              </w:rPr>
            </w:pPr>
            <w:r w:rsidRPr="0060053A">
              <w:rPr>
                <w:rFonts w:ascii="Calibri" w:hAnsi="Calibri" w:cs="Calibri"/>
                <w:sz w:val="20"/>
                <w:szCs w:val="20"/>
              </w:rPr>
              <w:t>00005</w:t>
            </w:r>
          </w:p>
        </w:tc>
      </w:tr>
    </w:tbl>
    <w:p w14:paraId="3A08BB55" w14:textId="05E0643F" w:rsidR="009B7AED" w:rsidRDefault="009B7AED" w:rsidP="0060053A">
      <w:pPr>
        <w:pStyle w:val="BodyText"/>
        <w:spacing w:before="120"/>
        <w:rPr>
          <w:rStyle w:val="Italic"/>
          <w:iCs/>
        </w:rPr>
      </w:pPr>
      <w:r>
        <w:rPr>
          <w:rStyle w:val="Italic"/>
          <w:iCs/>
        </w:rPr>
        <w:t>continued</w:t>
      </w:r>
    </w:p>
    <w:tbl>
      <w:tblPr>
        <w:tblStyle w:val="TMGTable"/>
        <w:tblW w:w="647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880"/>
        <w:gridCol w:w="720"/>
        <w:gridCol w:w="720"/>
        <w:gridCol w:w="720"/>
        <w:gridCol w:w="720"/>
        <w:gridCol w:w="810"/>
        <w:gridCol w:w="900"/>
      </w:tblGrid>
      <w:tr w:rsidR="009B7AED" w:rsidRPr="005148CB" w14:paraId="22520D54" w14:textId="77777777" w:rsidTr="007C54FC">
        <w:trPr>
          <w:cnfStyle w:val="100000000000" w:firstRow="1" w:lastRow="0" w:firstColumn="0" w:lastColumn="0" w:oddVBand="0" w:evenVBand="0" w:oddHBand="0" w:evenHBand="0" w:firstRowFirstColumn="0" w:firstRowLastColumn="0" w:lastRowFirstColumn="0" w:lastRowLastColumn="0"/>
          <w:trHeight w:val="56"/>
        </w:trPr>
        <w:tc>
          <w:tcPr>
            <w:tcW w:w="1880" w:type="dxa"/>
          </w:tcPr>
          <w:p w14:paraId="7C077C0D" w14:textId="77777777" w:rsidR="009B7AED" w:rsidRPr="005148CB" w:rsidRDefault="009B7AED" w:rsidP="002841D0">
            <w:pPr>
              <w:pStyle w:val="TableTextDense"/>
              <w:spacing w:before="10" w:after="10" w:line="240" w:lineRule="auto"/>
              <w:contextualSpacing w:val="0"/>
              <w:rPr>
                <w:rFonts w:ascii="Calibri" w:hAnsi="Calibri" w:cs="Calibri"/>
                <w:b w:val="0"/>
                <w:bCs w:val="0"/>
                <w:sz w:val="20"/>
                <w:szCs w:val="20"/>
              </w:rPr>
            </w:pPr>
            <w:r w:rsidRPr="005148CB">
              <w:rPr>
                <w:rStyle w:val="Bold"/>
                <w:rFonts w:ascii="Calibri" w:hAnsi="Calibri" w:cs="Calibri"/>
                <w:sz w:val="20"/>
                <w:szCs w:val="20"/>
              </w:rPr>
              <w:t>Column Number:</w:t>
            </w:r>
          </w:p>
        </w:tc>
        <w:tc>
          <w:tcPr>
            <w:tcW w:w="720" w:type="dxa"/>
          </w:tcPr>
          <w:p w14:paraId="462EE633" w14:textId="77777777" w:rsidR="009B7AED" w:rsidRPr="005148CB" w:rsidRDefault="009B7AED" w:rsidP="002841D0">
            <w:pPr>
              <w:pStyle w:val="TableTextDense"/>
              <w:spacing w:before="10" w:after="10" w:line="240" w:lineRule="auto"/>
              <w:contextualSpacing w:val="0"/>
              <w:jc w:val="center"/>
              <w:rPr>
                <w:rFonts w:ascii="Calibri" w:hAnsi="Calibri" w:cs="Calibri"/>
                <w:b w:val="0"/>
                <w:sz w:val="20"/>
                <w:szCs w:val="20"/>
              </w:rPr>
            </w:pPr>
            <w:r w:rsidRPr="005148CB">
              <w:rPr>
                <w:rFonts w:ascii="Calibri" w:hAnsi="Calibri" w:cs="Calibri"/>
                <w:sz w:val="20"/>
                <w:szCs w:val="20"/>
              </w:rPr>
              <w:t>77-81</w:t>
            </w:r>
          </w:p>
        </w:tc>
        <w:tc>
          <w:tcPr>
            <w:tcW w:w="720" w:type="dxa"/>
          </w:tcPr>
          <w:p w14:paraId="10420686" w14:textId="77777777" w:rsidR="009B7AED" w:rsidRPr="005148CB" w:rsidRDefault="009B7AED" w:rsidP="002841D0">
            <w:pPr>
              <w:pStyle w:val="TableTextDense"/>
              <w:spacing w:before="10" w:after="10" w:line="240" w:lineRule="auto"/>
              <w:contextualSpacing w:val="0"/>
              <w:jc w:val="center"/>
              <w:rPr>
                <w:rFonts w:ascii="Calibri" w:hAnsi="Calibri" w:cs="Calibri"/>
                <w:b w:val="0"/>
                <w:sz w:val="20"/>
                <w:szCs w:val="20"/>
              </w:rPr>
            </w:pPr>
            <w:r w:rsidRPr="005148CB">
              <w:rPr>
                <w:rFonts w:ascii="Calibri" w:hAnsi="Calibri" w:cs="Calibri"/>
                <w:sz w:val="20"/>
                <w:szCs w:val="20"/>
              </w:rPr>
              <w:t>82-86</w:t>
            </w:r>
          </w:p>
        </w:tc>
        <w:tc>
          <w:tcPr>
            <w:tcW w:w="720" w:type="dxa"/>
          </w:tcPr>
          <w:p w14:paraId="50010DE8" w14:textId="77777777" w:rsidR="009B7AED" w:rsidRPr="005148CB" w:rsidRDefault="009B7AED" w:rsidP="002841D0">
            <w:pPr>
              <w:pStyle w:val="TableTextDense"/>
              <w:spacing w:before="10" w:after="10" w:line="240" w:lineRule="auto"/>
              <w:contextualSpacing w:val="0"/>
              <w:jc w:val="center"/>
              <w:rPr>
                <w:rFonts w:ascii="Calibri" w:hAnsi="Calibri" w:cs="Calibri"/>
                <w:b w:val="0"/>
                <w:sz w:val="20"/>
                <w:szCs w:val="20"/>
              </w:rPr>
            </w:pPr>
            <w:r w:rsidRPr="005148CB">
              <w:rPr>
                <w:rFonts w:ascii="Calibri" w:hAnsi="Calibri" w:cs="Calibri"/>
                <w:sz w:val="20"/>
                <w:szCs w:val="20"/>
              </w:rPr>
              <w:t>87-91</w:t>
            </w:r>
          </w:p>
        </w:tc>
        <w:tc>
          <w:tcPr>
            <w:tcW w:w="720" w:type="dxa"/>
          </w:tcPr>
          <w:p w14:paraId="537F6535" w14:textId="77777777" w:rsidR="009B7AED" w:rsidRPr="005148CB" w:rsidRDefault="009B7AED" w:rsidP="002841D0">
            <w:pPr>
              <w:pStyle w:val="TableTextDense"/>
              <w:spacing w:before="10" w:after="10" w:line="240" w:lineRule="auto"/>
              <w:contextualSpacing w:val="0"/>
              <w:jc w:val="center"/>
              <w:rPr>
                <w:rFonts w:ascii="Calibri" w:hAnsi="Calibri" w:cs="Calibri"/>
                <w:b w:val="0"/>
                <w:sz w:val="20"/>
                <w:szCs w:val="20"/>
              </w:rPr>
            </w:pPr>
            <w:r w:rsidRPr="005148CB">
              <w:rPr>
                <w:rFonts w:ascii="Calibri" w:hAnsi="Calibri" w:cs="Calibri"/>
                <w:sz w:val="20"/>
                <w:szCs w:val="20"/>
              </w:rPr>
              <w:t>92-96</w:t>
            </w:r>
          </w:p>
        </w:tc>
        <w:tc>
          <w:tcPr>
            <w:tcW w:w="810" w:type="dxa"/>
          </w:tcPr>
          <w:p w14:paraId="595A799E" w14:textId="77777777" w:rsidR="009B7AED" w:rsidRPr="005148CB" w:rsidRDefault="009B7AED" w:rsidP="002841D0">
            <w:pPr>
              <w:pStyle w:val="TableTextDense"/>
              <w:spacing w:before="10" w:after="10" w:line="240" w:lineRule="auto"/>
              <w:contextualSpacing w:val="0"/>
              <w:jc w:val="center"/>
              <w:rPr>
                <w:rFonts w:ascii="Calibri" w:hAnsi="Calibri" w:cs="Calibri"/>
                <w:b w:val="0"/>
                <w:sz w:val="20"/>
                <w:szCs w:val="20"/>
              </w:rPr>
            </w:pPr>
            <w:r w:rsidRPr="005148CB">
              <w:rPr>
                <w:rFonts w:ascii="Calibri" w:hAnsi="Calibri" w:cs="Calibri"/>
                <w:sz w:val="20"/>
                <w:szCs w:val="20"/>
              </w:rPr>
              <w:t>97-101</w:t>
            </w:r>
          </w:p>
        </w:tc>
        <w:tc>
          <w:tcPr>
            <w:tcW w:w="900" w:type="dxa"/>
          </w:tcPr>
          <w:p w14:paraId="7EF89AA8" w14:textId="77777777" w:rsidR="009B7AED" w:rsidRPr="005148CB" w:rsidRDefault="009B7AED" w:rsidP="002841D0">
            <w:pPr>
              <w:pStyle w:val="TableTextDense"/>
              <w:spacing w:before="10" w:after="10" w:line="240" w:lineRule="auto"/>
              <w:contextualSpacing w:val="0"/>
              <w:jc w:val="center"/>
              <w:rPr>
                <w:rFonts w:ascii="Calibri" w:hAnsi="Calibri" w:cs="Calibri"/>
                <w:b w:val="0"/>
                <w:sz w:val="20"/>
                <w:szCs w:val="20"/>
              </w:rPr>
            </w:pPr>
            <w:r w:rsidRPr="005148CB">
              <w:rPr>
                <w:rFonts w:ascii="Calibri" w:hAnsi="Calibri" w:cs="Calibri"/>
                <w:sz w:val="20"/>
                <w:szCs w:val="20"/>
              </w:rPr>
              <w:t>102-106</w:t>
            </w:r>
          </w:p>
        </w:tc>
      </w:tr>
      <w:tr w:rsidR="009B7AED" w:rsidRPr="005148CB" w14:paraId="35CD56D9" w14:textId="77777777" w:rsidTr="007C54FC">
        <w:trPr>
          <w:trHeight w:val="56"/>
        </w:trPr>
        <w:tc>
          <w:tcPr>
            <w:tcW w:w="1880" w:type="dxa"/>
          </w:tcPr>
          <w:p w14:paraId="40D61161" w14:textId="77777777" w:rsidR="009B7AED" w:rsidRPr="005148CB" w:rsidRDefault="009B7AED" w:rsidP="002841D0">
            <w:pPr>
              <w:pStyle w:val="TableTextDense"/>
              <w:spacing w:before="10" w:after="10" w:line="240" w:lineRule="auto"/>
              <w:contextualSpacing w:val="0"/>
              <w:rPr>
                <w:rFonts w:ascii="Calibri" w:hAnsi="Calibri" w:cs="Calibri"/>
                <w:sz w:val="20"/>
                <w:szCs w:val="20"/>
              </w:rPr>
            </w:pPr>
            <w:r w:rsidRPr="005148CB">
              <w:rPr>
                <w:rStyle w:val="Bold"/>
                <w:rFonts w:ascii="Calibri" w:hAnsi="Calibri" w:cs="Calibri"/>
                <w:sz w:val="20"/>
                <w:szCs w:val="20"/>
              </w:rPr>
              <w:t>Content 01 Example:</w:t>
            </w:r>
          </w:p>
        </w:tc>
        <w:tc>
          <w:tcPr>
            <w:tcW w:w="720" w:type="dxa"/>
          </w:tcPr>
          <w:p w14:paraId="6F65831D"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00165</w:t>
            </w:r>
          </w:p>
        </w:tc>
        <w:tc>
          <w:tcPr>
            <w:tcW w:w="720" w:type="dxa"/>
          </w:tcPr>
          <w:p w14:paraId="2463D750"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00086</w:t>
            </w:r>
          </w:p>
        </w:tc>
        <w:tc>
          <w:tcPr>
            <w:tcW w:w="720" w:type="dxa"/>
          </w:tcPr>
          <w:p w14:paraId="2547E192"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00031</w:t>
            </w:r>
          </w:p>
        </w:tc>
        <w:tc>
          <w:tcPr>
            <w:tcW w:w="720" w:type="dxa"/>
          </w:tcPr>
          <w:p w14:paraId="51A558C8"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00021</w:t>
            </w:r>
          </w:p>
        </w:tc>
        <w:tc>
          <w:tcPr>
            <w:tcW w:w="810" w:type="dxa"/>
          </w:tcPr>
          <w:p w14:paraId="4F4BDA14"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00005</w:t>
            </w:r>
          </w:p>
        </w:tc>
        <w:tc>
          <w:tcPr>
            <w:tcW w:w="900" w:type="dxa"/>
          </w:tcPr>
          <w:p w14:paraId="2BFA20E9"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r>
      <w:tr w:rsidR="009B7AED" w:rsidRPr="005148CB" w14:paraId="32103734" w14:textId="77777777" w:rsidTr="007C54FC">
        <w:trPr>
          <w:trHeight w:val="60"/>
        </w:trPr>
        <w:tc>
          <w:tcPr>
            <w:tcW w:w="1880" w:type="dxa"/>
          </w:tcPr>
          <w:p w14:paraId="21899242" w14:textId="77777777" w:rsidR="009B7AED" w:rsidRPr="005148CB" w:rsidRDefault="009B7AED" w:rsidP="002841D0">
            <w:pPr>
              <w:pStyle w:val="TableTextDense"/>
              <w:spacing w:before="10" w:after="10" w:line="240" w:lineRule="auto"/>
              <w:contextualSpacing w:val="0"/>
              <w:rPr>
                <w:rFonts w:ascii="Calibri" w:hAnsi="Calibri" w:cs="Calibri"/>
                <w:sz w:val="20"/>
                <w:szCs w:val="20"/>
              </w:rPr>
            </w:pPr>
            <w:r w:rsidRPr="005148CB">
              <w:rPr>
                <w:rStyle w:val="Bold"/>
                <w:rFonts w:ascii="Calibri" w:hAnsi="Calibri" w:cs="Calibri"/>
                <w:sz w:val="20"/>
                <w:szCs w:val="20"/>
              </w:rPr>
              <w:t>Content 02 Example:</w:t>
            </w:r>
          </w:p>
        </w:tc>
        <w:tc>
          <w:tcPr>
            <w:tcW w:w="720" w:type="dxa"/>
          </w:tcPr>
          <w:p w14:paraId="35BCB622"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00143</w:t>
            </w:r>
          </w:p>
        </w:tc>
        <w:tc>
          <w:tcPr>
            <w:tcW w:w="720" w:type="dxa"/>
          </w:tcPr>
          <w:p w14:paraId="23A40D1F"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00079</w:t>
            </w:r>
          </w:p>
        </w:tc>
        <w:tc>
          <w:tcPr>
            <w:tcW w:w="720" w:type="dxa"/>
          </w:tcPr>
          <w:p w14:paraId="67981EC6"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00025</w:t>
            </w:r>
          </w:p>
        </w:tc>
        <w:tc>
          <w:tcPr>
            <w:tcW w:w="720" w:type="dxa"/>
          </w:tcPr>
          <w:p w14:paraId="51E17AD4"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00013</w:t>
            </w:r>
          </w:p>
        </w:tc>
        <w:tc>
          <w:tcPr>
            <w:tcW w:w="810" w:type="dxa"/>
          </w:tcPr>
          <w:p w14:paraId="5231FC3E"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00003</w:t>
            </w:r>
          </w:p>
        </w:tc>
        <w:tc>
          <w:tcPr>
            <w:tcW w:w="900" w:type="dxa"/>
          </w:tcPr>
          <w:p w14:paraId="62A6BF92"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r>
      <w:tr w:rsidR="009B7AED" w:rsidRPr="005148CB" w14:paraId="55495B0F" w14:textId="77777777" w:rsidTr="007C54FC">
        <w:trPr>
          <w:trHeight w:val="60"/>
        </w:trPr>
        <w:tc>
          <w:tcPr>
            <w:tcW w:w="1880" w:type="dxa"/>
          </w:tcPr>
          <w:p w14:paraId="3322A6B3" w14:textId="77777777" w:rsidR="009B7AED" w:rsidRPr="005148CB" w:rsidRDefault="009B7AED" w:rsidP="002841D0">
            <w:pPr>
              <w:pStyle w:val="TableTextDense"/>
              <w:spacing w:before="10" w:after="10" w:line="240" w:lineRule="auto"/>
              <w:contextualSpacing w:val="0"/>
              <w:rPr>
                <w:rStyle w:val="Bold"/>
                <w:rFonts w:ascii="Calibri" w:hAnsi="Calibri" w:cs="Calibri"/>
                <w:bCs/>
                <w:sz w:val="20"/>
                <w:szCs w:val="20"/>
              </w:rPr>
            </w:pPr>
            <w:r w:rsidRPr="005148CB">
              <w:rPr>
                <w:rStyle w:val="Bold"/>
                <w:rFonts w:ascii="Calibri" w:hAnsi="Calibri" w:cs="Calibri"/>
                <w:sz w:val="20"/>
                <w:szCs w:val="20"/>
              </w:rPr>
              <w:t>Content 03 Example:</w:t>
            </w:r>
          </w:p>
        </w:tc>
        <w:tc>
          <w:tcPr>
            <w:tcW w:w="720" w:type="dxa"/>
          </w:tcPr>
          <w:p w14:paraId="5361EE94"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00131</w:t>
            </w:r>
          </w:p>
        </w:tc>
        <w:tc>
          <w:tcPr>
            <w:tcW w:w="720" w:type="dxa"/>
          </w:tcPr>
          <w:p w14:paraId="6F0A7D87"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00058</w:t>
            </w:r>
          </w:p>
        </w:tc>
        <w:tc>
          <w:tcPr>
            <w:tcW w:w="720" w:type="dxa"/>
          </w:tcPr>
          <w:p w14:paraId="007E951D"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00026</w:t>
            </w:r>
          </w:p>
        </w:tc>
        <w:tc>
          <w:tcPr>
            <w:tcW w:w="720" w:type="dxa"/>
          </w:tcPr>
          <w:p w14:paraId="132B30C3"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00011</w:t>
            </w:r>
          </w:p>
        </w:tc>
        <w:tc>
          <w:tcPr>
            <w:tcW w:w="810" w:type="dxa"/>
          </w:tcPr>
          <w:p w14:paraId="7AFA574B"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00001</w:t>
            </w:r>
          </w:p>
        </w:tc>
        <w:tc>
          <w:tcPr>
            <w:tcW w:w="900" w:type="dxa"/>
          </w:tcPr>
          <w:p w14:paraId="70F3D543"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00001</w:t>
            </w:r>
          </w:p>
        </w:tc>
      </w:tr>
      <w:tr w:rsidR="009B7AED" w:rsidRPr="005148CB" w14:paraId="284E660F" w14:textId="77777777" w:rsidTr="007C54FC">
        <w:trPr>
          <w:trHeight w:val="60"/>
        </w:trPr>
        <w:tc>
          <w:tcPr>
            <w:tcW w:w="1880" w:type="dxa"/>
          </w:tcPr>
          <w:p w14:paraId="7A3721B1" w14:textId="77777777" w:rsidR="009B7AED" w:rsidRPr="005148CB" w:rsidRDefault="009B7AED" w:rsidP="002841D0">
            <w:pPr>
              <w:pStyle w:val="TableTextDense"/>
              <w:spacing w:before="10" w:after="10" w:line="240" w:lineRule="auto"/>
              <w:contextualSpacing w:val="0"/>
              <w:rPr>
                <w:rStyle w:val="Bold"/>
                <w:rFonts w:ascii="Calibri" w:hAnsi="Calibri" w:cs="Calibri"/>
                <w:bCs/>
                <w:sz w:val="20"/>
                <w:szCs w:val="20"/>
              </w:rPr>
            </w:pPr>
            <w:r w:rsidRPr="005148CB">
              <w:rPr>
                <w:rStyle w:val="Bold"/>
                <w:rFonts w:ascii="Calibri" w:hAnsi="Calibri" w:cs="Calibri"/>
                <w:sz w:val="20"/>
                <w:szCs w:val="20"/>
              </w:rPr>
              <w:t>Content 04 Example:</w:t>
            </w:r>
          </w:p>
        </w:tc>
        <w:tc>
          <w:tcPr>
            <w:tcW w:w="720" w:type="dxa"/>
          </w:tcPr>
          <w:p w14:paraId="30147BF0"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00128</w:t>
            </w:r>
          </w:p>
        </w:tc>
        <w:tc>
          <w:tcPr>
            <w:tcW w:w="720" w:type="dxa"/>
          </w:tcPr>
          <w:p w14:paraId="1CE36AC0"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00043</w:t>
            </w:r>
          </w:p>
        </w:tc>
        <w:tc>
          <w:tcPr>
            <w:tcW w:w="720" w:type="dxa"/>
          </w:tcPr>
          <w:p w14:paraId="5B8302F1"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00039</w:t>
            </w:r>
          </w:p>
        </w:tc>
        <w:tc>
          <w:tcPr>
            <w:tcW w:w="720" w:type="dxa"/>
          </w:tcPr>
          <w:p w14:paraId="4C14C46C"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00012</w:t>
            </w:r>
          </w:p>
        </w:tc>
        <w:tc>
          <w:tcPr>
            <w:tcW w:w="810" w:type="dxa"/>
          </w:tcPr>
          <w:p w14:paraId="53C03A26"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00003</w:t>
            </w:r>
          </w:p>
        </w:tc>
        <w:tc>
          <w:tcPr>
            <w:tcW w:w="900" w:type="dxa"/>
          </w:tcPr>
          <w:p w14:paraId="1083B89F"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r>
      <w:tr w:rsidR="009B7AED" w:rsidRPr="005148CB" w14:paraId="0FEAD165" w14:textId="77777777" w:rsidTr="007C54FC">
        <w:trPr>
          <w:trHeight w:val="60"/>
        </w:trPr>
        <w:tc>
          <w:tcPr>
            <w:tcW w:w="1880" w:type="dxa"/>
          </w:tcPr>
          <w:p w14:paraId="62AE0D10" w14:textId="77777777" w:rsidR="009B7AED" w:rsidRPr="005148CB" w:rsidRDefault="009B7AED" w:rsidP="002841D0">
            <w:pPr>
              <w:pStyle w:val="TableTextDense"/>
              <w:spacing w:before="10" w:after="10" w:line="240" w:lineRule="auto"/>
              <w:contextualSpacing w:val="0"/>
              <w:rPr>
                <w:rStyle w:val="Bold"/>
                <w:rFonts w:ascii="Calibri" w:hAnsi="Calibri" w:cs="Calibri"/>
                <w:bCs/>
                <w:sz w:val="20"/>
                <w:szCs w:val="20"/>
              </w:rPr>
            </w:pPr>
            <w:r w:rsidRPr="005148CB">
              <w:rPr>
                <w:rStyle w:val="Bold"/>
                <w:rFonts w:ascii="Calibri" w:hAnsi="Calibri" w:cs="Calibri"/>
                <w:sz w:val="20"/>
                <w:szCs w:val="20"/>
              </w:rPr>
              <w:t>Content 05 Example:</w:t>
            </w:r>
          </w:p>
        </w:tc>
        <w:tc>
          <w:tcPr>
            <w:tcW w:w="720" w:type="dxa"/>
          </w:tcPr>
          <w:p w14:paraId="4A3800D2"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00119</w:t>
            </w:r>
          </w:p>
        </w:tc>
        <w:tc>
          <w:tcPr>
            <w:tcW w:w="720" w:type="dxa"/>
          </w:tcPr>
          <w:p w14:paraId="6184423E"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00039</w:t>
            </w:r>
          </w:p>
        </w:tc>
        <w:tc>
          <w:tcPr>
            <w:tcW w:w="720" w:type="dxa"/>
          </w:tcPr>
          <w:p w14:paraId="29EE2914"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00028</w:t>
            </w:r>
          </w:p>
        </w:tc>
        <w:tc>
          <w:tcPr>
            <w:tcW w:w="720" w:type="dxa"/>
          </w:tcPr>
          <w:p w14:paraId="30AAB4F7"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00015</w:t>
            </w:r>
          </w:p>
        </w:tc>
        <w:tc>
          <w:tcPr>
            <w:tcW w:w="810" w:type="dxa"/>
          </w:tcPr>
          <w:p w14:paraId="1FED3343"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00004</w:t>
            </w:r>
          </w:p>
        </w:tc>
        <w:tc>
          <w:tcPr>
            <w:tcW w:w="900" w:type="dxa"/>
          </w:tcPr>
          <w:p w14:paraId="69D44869"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r>
      <w:tr w:rsidR="009B7AED" w:rsidRPr="005148CB" w14:paraId="37915D9F" w14:textId="77777777" w:rsidTr="007C54FC">
        <w:trPr>
          <w:trHeight w:val="60"/>
        </w:trPr>
        <w:tc>
          <w:tcPr>
            <w:tcW w:w="1880" w:type="dxa"/>
            <w:vAlign w:val="top"/>
          </w:tcPr>
          <w:p w14:paraId="3E6FBCB9" w14:textId="77777777" w:rsidR="009B7AED" w:rsidRPr="005148CB" w:rsidRDefault="009B7AED" w:rsidP="002841D0">
            <w:pPr>
              <w:pStyle w:val="TableTextDense"/>
              <w:spacing w:before="10" w:after="10" w:line="240" w:lineRule="auto"/>
              <w:contextualSpacing w:val="0"/>
              <w:rPr>
                <w:rStyle w:val="Bold"/>
                <w:rFonts w:ascii="Calibri" w:hAnsi="Calibri" w:cs="Calibri"/>
                <w:bCs/>
                <w:sz w:val="20"/>
                <w:szCs w:val="20"/>
              </w:rPr>
            </w:pPr>
            <w:r w:rsidRPr="005148CB">
              <w:rPr>
                <w:rStyle w:val="Bold"/>
                <w:rFonts w:ascii="Calibri" w:hAnsi="Calibri" w:cs="Calibri"/>
                <w:sz w:val="20"/>
                <w:szCs w:val="20"/>
              </w:rPr>
              <w:t>Content 06 Example:</w:t>
            </w:r>
          </w:p>
        </w:tc>
        <w:tc>
          <w:tcPr>
            <w:tcW w:w="720" w:type="dxa"/>
          </w:tcPr>
          <w:p w14:paraId="5FA7E56A"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00108</w:t>
            </w:r>
          </w:p>
        </w:tc>
        <w:tc>
          <w:tcPr>
            <w:tcW w:w="720" w:type="dxa"/>
          </w:tcPr>
          <w:p w14:paraId="4718F60A"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00042</w:t>
            </w:r>
          </w:p>
        </w:tc>
        <w:tc>
          <w:tcPr>
            <w:tcW w:w="720" w:type="dxa"/>
          </w:tcPr>
          <w:p w14:paraId="23A3B201"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00032</w:t>
            </w:r>
          </w:p>
        </w:tc>
        <w:tc>
          <w:tcPr>
            <w:tcW w:w="720" w:type="dxa"/>
          </w:tcPr>
          <w:p w14:paraId="59F09812"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00015</w:t>
            </w:r>
          </w:p>
        </w:tc>
        <w:tc>
          <w:tcPr>
            <w:tcW w:w="810" w:type="dxa"/>
          </w:tcPr>
          <w:p w14:paraId="7E06BDDB"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00005</w:t>
            </w:r>
          </w:p>
        </w:tc>
        <w:tc>
          <w:tcPr>
            <w:tcW w:w="900" w:type="dxa"/>
          </w:tcPr>
          <w:p w14:paraId="63AE7A29"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r>
      <w:tr w:rsidR="009B7AED" w:rsidRPr="005148CB" w14:paraId="0CE063AC" w14:textId="77777777" w:rsidTr="007C54FC">
        <w:trPr>
          <w:trHeight w:val="60"/>
        </w:trPr>
        <w:tc>
          <w:tcPr>
            <w:tcW w:w="1880" w:type="dxa"/>
            <w:vAlign w:val="top"/>
          </w:tcPr>
          <w:p w14:paraId="5EC177B9" w14:textId="77777777" w:rsidR="009B7AED" w:rsidRPr="005148CB" w:rsidRDefault="009B7AED" w:rsidP="002841D0">
            <w:pPr>
              <w:pStyle w:val="TableTextDense"/>
              <w:spacing w:before="10" w:after="10" w:line="240" w:lineRule="auto"/>
              <w:contextualSpacing w:val="0"/>
              <w:rPr>
                <w:rStyle w:val="Bold"/>
                <w:rFonts w:ascii="Calibri" w:hAnsi="Calibri" w:cs="Calibri"/>
                <w:bCs/>
                <w:sz w:val="20"/>
                <w:szCs w:val="20"/>
              </w:rPr>
            </w:pPr>
            <w:r w:rsidRPr="005148CB">
              <w:rPr>
                <w:rStyle w:val="Bold"/>
                <w:rFonts w:ascii="Calibri" w:hAnsi="Calibri" w:cs="Calibri"/>
                <w:sz w:val="20"/>
                <w:szCs w:val="20"/>
              </w:rPr>
              <w:t>Content 07 Example:</w:t>
            </w:r>
          </w:p>
        </w:tc>
        <w:tc>
          <w:tcPr>
            <w:tcW w:w="720" w:type="dxa"/>
          </w:tcPr>
          <w:p w14:paraId="3F1AE1AD"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00099</w:t>
            </w:r>
          </w:p>
        </w:tc>
        <w:tc>
          <w:tcPr>
            <w:tcW w:w="720" w:type="dxa"/>
          </w:tcPr>
          <w:p w14:paraId="05509227"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00035</w:t>
            </w:r>
          </w:p>
        </w:tc>
        <w:tc>
          <w:tcPr>
            <w:tcW w:w="720" w:type="dxa"/>
          </w:tcPr>
          <w:p w14:paraId="7F038FA5"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00028</w:t>
            </w:r>
          </w:p>
        </w:tc>
        <w:tc>
          <w:tcPr>
            <w:tcW w:w="720" w:type="dxa"/>
          </w:tcPr>
          <w:p w14:paraId="46AAB6F6"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00011</w:t>
            </w:r>
          </w:p>
        </w:tc>
        <w:tc>
          <w:tcPr>
            <w:tcW w:w="810" w:type="dxa"/>
          </w:tcPr>
          <w:p w14:paraId="1E39C553"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00005</w:t>
            </w:r>
          </w:p>
        </w:tc>
        <w:tc>
          <w:tcPr>
            <w:tcW w:w="900" w:type="dxa"/>
          </w:tcPr>
          <w:p w14:paraId="2953BF58"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r>
      <w:tr w:rsidR="009B7AED" w:rsidRPr="005148CB" w14:paraId="2BAF5746" w14:textId="77777777" w:rsidTr="007C54FC">
        <w:trPr>
          <w:trHeight w:val="60"/>
        </w:trPr>
        <w:tc>
          <w:tcPr>
            <w:tcW w:w="1880" w:type="dxa"/>
            <w:vAlign w:val="top"/>
          </w:tcPr>
          <w:p w14:paraId="175C62A7" w14:textId="77777777" w:rsidR="009B7AED" w:rsidRPr="005148CB" w:rsidRDefault="009B7AED" w:rsidP="002841D0">
            <w:pPr>
              <w:pStyle w:val="TableTextDense"/>
              <w:spacing w:before="10" w:after="10" w:line="240" w:lineRule="auto"/>
              <w:contextualSpacing w:val="0"/>
              <w:rPr>
                <w:rStyle w:val="Bold"/>
                <w:rFonts w:ascii="Calibri" w:hAnsi="Calibri" w:cs="Calibri"/>
                <w:bCs/>
                <w:sz w:val="20"/>
                <w:szCs w:val="20"/>
              </w:rPr>
            </w:pPr>
            <w:r w:rsidRPr="005148CB">
              <w:rPr>
                <w:rStyle w:val="Bold"/>
                <w:rFonts w:ascii="Calibri" w:hAnsi="Calibri" w:cs="Calibri"/>
                <w:sz w:val="20"/>
                <w:szCs w:val="20"/>
              </w:rPr>
              <w:t>Content 08 Example:</w:t>
            </w:r>
          </w:p>
        </w:tc>
        <w:tc>
          <w:tcPr>
            <w:tcW w:w="720" w:type="dxa"/>
          </w:tcPr>
          <w:p w14:paraId="4E4157BD"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00098</w:t>
            </w:r>
          </w:p>
        </w:tc>
        <w:tc>
          <w:tcPr>
            <w:tcW w:w="720" w:type="dxa"/>
          </w:tcPr>
          <w:p w14:paraId="3BCFDAE8"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00032</w:t>
            </w:r>
          </w:p>
        </w:tc>
        <w:tc>
          <w:tcPr>
            <w:tcW w:w="720" w:type="dxa"/>
          </w:tcPr>
          <w:p w14:paraId="300DC9AE"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00027</w:t>
            </w:r>
          </w:p>
        </w:tc>
        <w:tc>
          <w:tcPr>
            <w:tcW w:w="720" w:type="dxa"/>
          </w:tcPr>
          <w:p w14:paraId="1BFED20F"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00009</w:t>
            </w:r>
          </w:p>
        </w:tc>
        <w:tc>
          <w:tcPr>
            <w:tcW w:w="810" w:type="dxa"/>
          </w:tcPr>
          <w:p w14:paraId="19CD459F"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00004</w:t>
            </w:r>
          </w:p>
        </w:tc>
        <w:tc>
          <w:tcPr>
            <w:tcW w:w="900" w:type="dxa"/>
          </w:tcPr>
          <w:p w14:paraId="72F492C4"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r>
      <w:tr w:rsidR="009B7AED" w:rsidRPr="005148CB" w14:paraId="207D3BB9" w14:textId="77777777" w:rsidTr="007C54FC">
        <w:trPr>
          <w:trHeight w:val="60"/>
        </w:trPr>
        <w:tc>
          <w:tcPr>
            <w:tcW w:w="1880" w:type="dxa"/>
            <w:vAlign w:val="top"/>
          </w:tcPr>
          <w:p w14:paraId="00B3EBD4" w14:textId="77777777" w:rsidR="009B7AED" w:rsidRPr="005148CB" w:rsidRDefault="009B7AED" w:rsidP="002841D0">
            <w:pPr>
              <w:pStyle w:val="TableTextDense"/>
              <w:spacing w:before="10" w:after="10" w:line="240" w:lineRule="auto"/>
              <w:contextualSpacing w:val="0"/>
              <w:rPr>
                <w:rStyle w:val="Bold"/>
                <w:rFonts w:ascii="Calibri" w:hAnsi="Calibri" w:cs="Calibri"/>
                <w:bCs/>
                <w:sz w:val="20"/>
                <w:szCs w:val="20"/>
              </w:rPr>
            </w:pPr>
            <w:r w:rsidRPr="005148CB">
              <w:rPr>
                <w:rStyle w:val="Bold"/>
                <w:rFonts w:ascii="Calibri" w:hAnsi="Calibri" w:cs="Calibri"/>
                <w:sz w:val="20"/>
                <w:szCs w:val="20"/>
              </w:rPr>
              <w:t>Content 09 Example:</w:t>
            </w:r>
          </w:p>
        </w:tc>
        <w:tc>
          <w:tcPr>
            <w:tcW w:w="720" w:type="dxa"/>
          </w:tcPr>
          <w:p w14:paraId="116ADDDD"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00095</w:t>
            </w:r>
          </w:p>
        </w:tc>
        <w:tc>
          <w:tcPr>
            <w:tcW w:w="720" w:type="dxa"/>
          </w:tcPr>
          <w:p w14:paraId="4BCE2374"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00031</w:t>
            </w:r>
          </w:p>
        </w:tc>
        <w:tc>
          <w:tcPr>
            <w:tcW w:w="720" w:type="dxa"/>
          </w:tcPr>
          <w:p w14:paraId="3E32F903"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00028</w:t>
            </w:r>
          </w:p>
        </w:tc>
        <w:tc>
          <w:tcPr>
            <w:tcW w:w="720" w:type="dxa"/>
          </w:tcPr>
          <w:p w14:paraId="4487BE68"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00008</w:t>
            </w:r>
          </w:p>
        </w:tc>
        <w:tc>
          <w:tcPr>
            <w:tcW w:w="810" w:type="dxa"/>
          </w:tcPr>
          <w:p w14:paraId="26A07F37"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00003</w:t>
            </w:r>
          </w:p>
        </w:tc>
        <w:tc>
          <w:tcPr>
            <w:tcW w:w="900" w:type="dxa"/>
          </w:tcPr>
          <w:p w14:paraId="763D15E0"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r>
      <w:tr w:rsidR="009B7AED" w:rsidRPr="005148CB" w14:paraId="6EDE7B21" w14:textId="77777777" w:rsidTr="007C54FC">
        <w:trPr>
          <w:trHeight w:val="60"/>
        </w:trPr>
        <w:tc>
          <w:tcPr>
            <w:tcW w:w="1880" w:type="dxa"/>
            <w:vAlign w:val="top"/>
          </w:tcPr>
          <w:p w14:paraId="7F68D9BB" w14:textId="77777777" w:rsidR="009B7AED" w:rsidRPr="005148CB" w:rsidRDefault="009B7AED" w:rsidP="002841D0">
            <w:pPr>
              <w:pStyle w:val="TableTextDense"/>
              <w:spacing w:before="10" w:after="10" w:line="240" w:lineRule="auto"/>
              <w:contextualSpacing w:val="0"/>
              <w:rPr>
                <w:rStyle w:val="Bold"/>
                <w:rFonts w:ascii="Calibri" w:hAnsi="Calibri" w:cs="Calibri"/>
                <w:bCs/>
                <w:sz w:val="20"/>
                <w:szCs w:val="20"/>
              </w:rPr>
            </w:pPr>
            <w:r w:rsidRPr="005148CB">
              <w:rPr>
                <w:rStyle w:val="Bold"/>
                <w:rFonts w:ascii="Calibri" w:hAnsi="Calibri" w:cs="Calibri"/>
                <w:sz w:val="20"/>
                <w:szCs w:val="20"/>
              </w:rPr>
              <w:t>Content 10 Example:</w:t>
            </w:r>
          </w:p>
        </w:tc>
        <w:tc>
          <w:tcPr>
            <w:tcW w:w="720" w:type="dxa"/>
          </w:tcPr>
          <w:p w14:paraId="7475DD9B"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00092</w:t>
            </w:r>
          </w:p>
        </w:tc>
        <w:tc>
          <w:tcPr>
            <w:tcW w:w="720" w:type="dxa"/>
          </w:tcPr>
          <w:p w14:paraId="68C37B1E"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00028</w:t>
            </w:r>
          </w:p>
        </w:tc>
        <w:tc>
          <w:tcPr>
            <w:tcW w:w="720" w:type="dxa"/>
          </w:tcPr>
          <w:p w14:paraId="2E5718D3"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00025</w:t>
            </w:r>
          </w:p>
        </w:tc>
        <w:tc>
          <w:tcPr>
            <w:tcW w:w="720" w:type="dxa"/>
          </w:tcPr>
          <w:p w14:paraId="5E6011D8"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00005</w:t>
            </w:r>
          </w:p>
        </w:tc>
        <w:tc>
          <w:tcPr>
            <w:tcW w:w="810" w:type="dxa"/>
          </w:tcPr>
          <w:p w14:paraId="26997857"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00002</w:t>
            </w:r>
          </w:p>
        </w:tc>
        <w:tc>
          <w:tcPr>
            <w:tcW w:w="900" w:type="dxa"/>
          </w:tcPr>
          <w:p w14:paraId="68AA7885"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r>
      <w:tr w:rsidR="009B7AED" w:rsidRPr="005148CB" w14:paraId="4B07F54F" w14:textId="77777777" w:rsidTr="007C54FC">
        <w:trPr>
          <w:trHeight w:val="60"/>
        </w:trPr>
        <w:tc>
          <w:tcPr>
            <w:tcW w:w="1880" w:type="dxa"/>
            <w:vAlign w:val="top"/>
          </w:tcPr>
          <w:p w14:paraId="682681A5" w14:textId="77777777" w:rsidR="009B7AED" w:rsidRPr="005148CB" w:rsidRDefault="009B7AED" w:rsidP="002841D0">
            <w:pPr>
              <w:pStyle w:val="TableTextDense"/>
              <w:spacing w:before="10" w:after="10" w:line="240" w:lineRule="auto"/>
              <w:contextualSpacing w:val="0"/>
              <w:rPr>
                <w:rStyle w:val="Bold"/>
                <w:rFonts w:ascii="Calibri" w:hAnsi="Calibri" w:cs="Calibri"/>
                <w:bCs/>
                <w:sz w:val="20"/>
                <w:szCs w:val="20"/>
              </w:rPr>
            </w:pPr>
            <w:r w:rsidRPr="005148CB">
              <w:rPr>
                <w:rStyle w:val="Bold"/>
                <w:rFonts w:ascii="Calibri" w:hAnsi="Calibri" w:cs="Calibri"/>
                <w:sz w:val="20"/>
                <w:szCs w:val="20"/>
              </w:rPr>
              <w:t>Content 11 Example:</w:t>
            </w:r>
          </w:p>
        </w:tc>
        <w:tc>
          <w:tcPr>
            <w:tcW w:w="720" w:type="dxa"/>
          </w:tcPr>
          <w:p w14:paraId="28487D12"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00088</w:t>
            </w:r>
          </w:p>
        </w:tc>
        <w:tc>
          <w:tcPr>
            <w:tcW w:w="720" w:type="dxa"/>
          </w:tcPr>
          <w:p w14:paraId="7FF2E51D"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00025</w:t>
            </w:r>
          </w:p>
        </w:tc>
        <w:tc>
          <w:tcPr>
            <w:tcW w:w="720" w:type="dxa"/>
          </w:tcPr>
          <w:p w14:paraId="244C97FA"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00026</w:t>
            </w:r>
          </w:p>
        </w:tc>
        <w:tc>
          <w:tcPr>
            <w:tcW w:w="720" w:type="dxa"/>
          </w:tcPr>
          <w:p w14:paraId="296F10D6"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00003</w:t>
            </w:r>
          </w:p>
        </w:tc>
        <w:tc>
          <w:tcPr>
            <w:tcW w:w="810" w:type="dxa"/>
          </w:tcPr>
          <w:p w14:paraId="24E5B25E"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00001</w:t>
            </w:r>
          </w:p>
        </w:tc>
        <w:tc>
          <w:tcPr>
            <w:tcW w:w="900" w:type="dxa"/>
          </w:tcPr>
          <w:p w14:paraId="1AF884B6"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r>
      <w:tr w:rsidR="009B7AED" w:rsidRPr="005148CB" w14:paraId="0BFE5017" w14:textId="77777777" w:rsidTr="007C54FC">
        <w:trPr>
          <w:trHeight w:val="60"/>
        </w:trPr>
        <w:tc>
          <w:tcPr>
            <w:tcW w:w="1880" w:type="dxa"/>
            <w:vAlign w:val="top"/>
          </w:tcPr>
          <w:p w14:paraId="0B5AC493" w14:textId="77777777" w:rsidR="009B7AED" w:rsidRPr="005148CB" w:rsidRDefault="009B7AED" w:rsidP="002841D0">
            <w:pPr>
              <w:pStyle w:val="TableTextDense"/>
              <w:spacing w:before="10" w:after="10" w:line="240" w:lineRule="auto"/>
              <w:contextualSpacing w:val="0"/>
              <w:rPr>
                <w:rStyle w:val="Bold"/>
                <w:rFonts w:ascii="Calibri" w:hAnsi="Calibri" w:cs="Calibri"/>
                <w:bCs/>
                <w:sz w:val="20"/>
                <w:szCs w:val="20"/>
              </w:rPr>
            </w:pPr>
            <w:r w:rsidRPr="005148CB">
              <w:rPr>
                <w:rStyle w:val="Bold"/>
                <w:rFonts w:ascii="Calibri" w:hAnsi="Calibri" w:cs="Calibri"/>
                <w:sz w:val="20"/>
                <w:szCs w:val="20"/>
              </w:rPr>
              <w:t>Content 12 Example:</w:t>
            </w:r>
          </w:p>
        </w:tc>
        <w:tc>
          <w:tcPr>
            <w:tcW w:w="720" w:type="dxa"/>
          </w:tcPr>
          <w:p w14:paraId="3433EBF5"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00084</w:t>
            </w:r>
          </w:p>
        </w:tc>
        <w:tc>
          <w:tcPr>
            <w:tcW w:w="720" w:type="dxa"/>
          </w:tcPr>
          <w:p w14:paraId="46EFE474"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00021</w:t>
            </w:r>
          </w:p>
        </w:tc>
        <w:tc>
          <w:tcPr>
            <w:tcW w:w="720" w:type="dxa"/>
          </w:tcPr>
          <w:p w14:paraId="7C1C16CB"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00024</w:t>
            </w:r>
          </w:p>
        </w:tc>
        <w:tc>
          <w:tcPr>
            <w:tcW w:w="720" w:type="dxa"/>
          </w:tcPr>
          <w:p w14:paraId="5CA37616"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00004</w:t>
            </w:r>
          </w:p>
        </w:tc>
        <w:tc>
          <w:tcPr>
            <w:tcW w:w="810" w:type="dxa"/>
          </w:tcPr>
          <w:p w14:paraId="05F60C14"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900" w:type="dxa"/>
          </w:tcPr>
          <w:p w14:paraId="4B3A05D3"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r>
      <w:tr w:rsidR="009B7AED" w:rsidRPr="005148CB" w14:paraId="35B64AE0" w14:textId="77777777" w:rsidTr="007C54FC">
        <w:trPr>
          <w:trHeight w:val="60"/>
        </w:trPr>
        <w:tc>
          <w:tcPr>
            <w:tcW w:w="1880" w:type="dxa"/>
            <w:vAlign w:val="top"/>
          </w:tcPr>
          <w:p w14:paraId="36532D11" w14:textId="77777777" w:rsidR="009B7AED" w:rsidRPr="005148CB" w:rsidRDefault="009B7AED" w:rsidP="002841D0">
            <w:pPr>
              <w:pStyle w:val="TableTextDense"/>
              <w:spacing w:before="10" w:after="10" w:line="240" w:lineRule="auto"/>
              <w:contextualSpacing w:val="0"/>
              <w:rPr>
                <w:rStyle w:val="Bold"/>
                <w:rFonts w:ascii="Calibri" w:hAnsi="Calibri" w:cs="Calibri"/>
                <w:bCs/>
                <w:sz w:val="20"/>
                <w:szCs w:val="20"/>
              </w:rPr>
            </w:pPr>
            <w:r w:rsidRPr="005148CB">
              <w:rPr>
                <w:rStyle w:val="Bold"/>
                <w:rFonts w:ascii="Calibri" w:hAnsi="Calibri" w:cs="Calibri"/>
                <w:sz w:val="20"/>
                <w:szCs w:val="20"/>
              </w:rPr>
              <w:t>Content 13 Example:</w:t>
            </w:r>
          </w:p>
        </w:tc>
        <w:tc>
          <w:tcPr>
            <w:tcW w:w="720" w:type="dxa"/>
          </w:tcPr>
          <w:p w14:paraId="2FF4AD2F"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00156</w:t>
            </w:r>
          </w:p>
        </w:tc>
        <w:tc>
          <w:tcPr>
            <w:tcW w:w="720" w:type="dxa"/>
          </w:tcPr>
          <w:p w14:paraId="58A4ACE7"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00087</w:t>
            </w:r>
          </w:p>
        </w:tc>
        <w:tc>
          <w:tcPr>
            <w:tcW w:w="720" w:type="dxa"/>
          </w:tcPr>
          <w:p w14:paraId="408A0909"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00032</w:t>
            </w:r>
          </w:p>
        </w:tc>
        <w:tc>
          <w:tcPr>
            <w:tcW w:w="720" w:type="dxa"/>
          </w:tcPr>
          <w:p w14:paraId="0A89866C"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00022</w:t>
            </w:r>
          </w:p>
        </w:tc>
        <w:tc>
          <w:tcPr>
            <w:tcW w:w="810" w:type="dxa"/>
          </w:tcPr>
          <w:p w14:paraId="58F6A324"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00006</w:t>
            </w:r>
          </w:p>
        </w:tc>
        <w:tc>
          <w:tcPr>
            <w:tcW w:w="900" w:type="dxa"/>
          </w:tcPr>
          <w:p w14:paraId="08DD87FB"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r>
      <w:tr w:rsidR="009B7AED" w:rsidRPr="005148CB" w14:paraId="19D53F34" w14:textId="77777777" w:rsidTr="007C54FC">
        <w:trPr>
          <w:trHeight w:val="60"/>
        </w:trPr>
        <w:tc>
          <w:tcPr>
            <w:tcW w:w="1880" w:type="dxa"/>
            <w:vAlign w:val="top"/>
          </w:tcPr>
          <w:p w14:paraId="2D635109" w14:textId="77777777" w:rsidR="009B7AED" w:rsidRPr="005148CB" w:rsidRDefault="009B7AED" w:rsidP="002841D0">
            <w:pPr>
              <w:pStyle w:val="TableTextDense"/>
              <w:spacing w:before="10" w:after="10" w:line="240" w:lineRule="auto"/>
              <w:contextualSpacing w:val="0"/>
              <w:rPr>
                <w:rStyle w:val="Bold"/>
                <w:rFonts w:ascii="Calibri" w:hAnsi="Calibri" w:cs="Calibri"/>
                <w:bCs/>
                <w:sz w:val="20"/>
                <w:szCs w:val="20"/>
              </w:rPr>
            </w:pPr>
            <w:r w:rsidRPr="005148CB">
              <w:rPr>
                <w:rStyle w:val="Bold"/>
                <w:rFonts w:ascii="Calibri" w:hAnsi="Calibri" w:cs="Calibri"/>
                <w:sz w:val="20"/>
                <w:szCs w:val="20"/>
              </w:rPr>
              <w:t>Content 14 Example:</w:t>
            </w:r>
          </w:p>
        </w:tc>
        <w:tc>
          <w:tcPr>
            <w:tcW w:w="720" w:type="dxa"/>
          </w:tcPr>
          <w:p w14:paraId="5628A20E"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00141</w:t>
            </w:r>
          </w:p>
        </w:tc>
        <w:tc>
          <w:tcPr>
            <w:tcW w:w="720" w:type="dxa"/>
          </w:tcPr>
          <w:p w14:paraId="6FDDE07B"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00082</w:t>
            </w:r>
          </w:p>
        </w:tc>
        <w:tc>
          <w:tcPr>
            <w:tcW w:w="720" w:type="dxa"/>
          </w:tcPr>
          <w:p w14:paraId="2DF9B004"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00027</w:t>
            </w:r>
          </w:p>
        </w:tc>
        <w:tc>
          <w:tcPr>
            <w:tcW w:w="720" w:type="dxa"/>
          </w:tcPr>
          <w:p w14:paraId="5EE2617E"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00011</w:t>
            </w:r>
          </w:p>
        </w:tc>
        <w:tc>
          <w:tcPr>
            <w:tcW w:w="810" w:type="dxa"/>
          </w:tcPr>
          <w:p w14:paraId="2DC30906"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00005</w:t>
            </w:r>
          </w:p>
        </w:tc>
        <w:tc>
          <w:tcPr>
            <w:tcW w:w="900" w:type="dxa"/>
          </w:tcPr>
          <w:p w14:paraId="2E3DF463"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r>
      <w:tr w:rsidR="009B7AED" w:rsidRPr="005148CB" w14:paraId="14C32E52" w14:textId="77777777" w:rsidTr="007C54FC">
        <w:trPr>
          <w:trHeight w:val="60"/>
        </w:trPr>
        <w:tc>
          <w:tcPr>
            <w:tcW w:w="1880" w:type="dxa"/>
            <w:vAlign w:val="top"/>
          </w:tcPr>
          <w:p w14:paraId="24E65B13" w14:textId="77777777" w:rsidR="009B7AED" w:rsidRPr="005148CB" w:rsidRDefault="009B7AED" w:rsidP="002841D0">
            <w:pPr>
              <w:pStyle w:val="TableTextDense"/>
              <w:spacing w:before="10" w:after="10" w:line="240" w:lineRule="auto"/>
              <w:contextualSpacing w:val="0"/>
              <w:rPr>
                <w:rStyle w:val="Bold"/>
                <w:rFonts w:ascii="Calibri" w:hAnsi="Calibri" w:cs="Calibri"/>
                <w:bCs/>
                <w:sz w:val="20"/>
                <w:szCs w:val="20"/>
              </w:rPr>
            </w:pPr>
            <w:r w:rsidRPr="005148CB">
              <w:rPr>
                <w:rStyle w:val="Bold"/>
                <w:rFonts w:ascii="Calibri" w:hAnsi="Calibri" w:cs="Calibri"/>
                <w:sz w:val="20"/>
                <w:szCs w:val="20"/>
              </w:rPr>
              <w:t>Content 15 Example:</w:t>
            </w:r>
          </w:p>
        </w:tc>
        <w:tc>
          <w:tcPr>
            <w:tcW w:w="720" w:type="dxa"/>
          </w:tcPr>
          <w:p w14:paraId="3440AFAF"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00128</w:t>
            </w:r>
          </w:p>
        </w:tc>
        <w:tc>
          <w:tcPr>
            <w:tcW w:w="720" w:type="dxa"/>
          </w:tcPr>
          <w:p w14:paraId="30A0A6DD"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00061</w:t>
            </w:r>
          </w:p>
        </w:tc>
        <w:tc>
          <w:tcPr>
            <w:tcW w:w="720" w:type="dxa"/>
          </w:tcPr>
          <w:p w14:paraId="1E2E4168"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00025</w:t>
            </w:r>
          </w:p>
        </w:tc>
        <w:tc>
          <w:tcPr>
            <w:tcW w:w="720" w:type="dxa"/>
          </w:tcPr>
          <w:p w14:paraId="6F8FF371"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00013</w:t>
            </w:r>
          </w:p>
        </w:tc>
        <w:tc>
          <w:tcPr>
            <w:tcW w:w="810" w:type="dxa"/>
          </w:tcPr>
          <w:p w14:paraId="007B2CE4"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00004</w:t>
            </w:r>
          </w:p>
        </w:tc>
        <w:tc>
          <w:tcPr>
            <w:tcW w:w="900" w:type="dxa"/>
          </w:tcPr>
          <w:p w14:paraId="1075DD9B"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00001</w:t>
            </w:r>
          </w:p>
        </w:tc>
      </w:tr>
      <w:tr w:rsidR="009B7AED" w:rsidRPr="005148CB" w14:paraId="227069AE" w14:textId="77777777" w:rsidTr="007C54FC">
        <w:trPr>
          <w:trHeight w:val="60"/>
        </w:trPr>
        <w:tc>
          <w:tcPr>
            <w:tcW w:w="1880" w:type="dxa"/>
            <w:vAlign w:val="top"/>
          </w:tcPr>
          <w:p w14:paraId="1ED4C8CF" w14:textId="77777777" w:rsidR="009B7AED" w:rsidRPr="005148CB" w:rsidRDefault="009B7AED" w:rsidP="002841D0">
            <w:pPr>
              <w:pStyle w:val="TableTextDense"/>
              <w:spacing w:before="10" w:after="10" w:line="240" w:lineRule="auto"/>
              <w:contextualSpacing w:val="0"/>
              <w:rPr>
                <w:rStyle w:val="Bold"/>
                <w:rFonts w:ascii="Calibri" w:hAnsi="Calibri" w:cs="Calibri"/>
                <w:bCs/>
                <w:sz w:val="20"/>
                <w:szCs w:val="20"/>
              </w:rPr>
            </w:pPr>
            <w:r w:rsidRPr="005148CB">
              <w:rPr>
                <w:rStyle w:val="Bold"/>
                <w:rFonts w:ascii="Calibri" w:hAnsi="Calibri" w:cs="Calibri"/>
                <w:sz w:val="20"/>
                <w:szCs w:val="20"/>
              </w:rPr>
              <w:t>Content 16 Example:</w:t>
            </w:r>
          </w:p>
        </w:tc>
        <w:tc>
          <w:tcPr>
            <w:tcW w:w="720" w:type="dxa"/>
          </w:tcPr>
          <w:p w14:paraId="64287431"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00134</w:t>
            </w:r>
          </w:p>
        </w:tc>
        <w:tc>
          <w:tcPr>
            <w:tcW w:w="720" w:type="dxa"/>
          </w:tcPr>
          <w:p w14:paraId="7EFE6CD4"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00065</w:t>
            </w:r>
          </w:p>
        </w:tc>
        <w:tc>
          <w:tcPr>
            <w:tcW w:w="720" w:type="dxa"/>
          </w:tcPr>
          <w:p w14:paraId="01A1EE44"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00036</w:t>
            </w:r>
          </w:p>
        </w:tc>
        <w:tc>
          <w:tcPr>
            <w:tcW w:w="720" w:type="dxa"/>
          </w:tcPr>
          <w:p w14:paraId="3C3E53E3"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00015</w:t>
            </w:r>
          </w:p>
        </w:tc>
        <w:tc>
          <w:tcPr>
            <w:tcW w:w="810" w:type="dxa"/>
          </w:tcPr>
          <w:p w14:paraId="3E24F33F"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00007</w:t>
            </w:r>
          </w:p>
        </w:tc>
        <w:tc>
          <w:tcPr>
            <w:tcW w:w="900" w:type="dxa"/>
          </w:tcPr>
          <w:p w14:paraId="2A949DA4"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00001</w:t>
            </w:r>
          </w:p>
        </w:tc>
      </w:tr>
      <w:tr w:rsidR="009B7AED" w:rsidRPr="005148CB" w14:paraId="6D31EC3C" w14:textId="77777777" w:rsidTr="007C54FC">
        <w:trPr>
          <w:trHeight w:val="60"/>
        </w:trPr>
        <w:tc>
          <w:tcPr>
            <w:tcW w:w="1880" w:type="dxa"/>
            <w:vAlign w:val="top"/>
          </w:tcPr>
          <w:p w14:paraId="4D930E87" w14:textId="77777777" w:rsidR="009B7AED" w:rsidRPr="005148CB" w:rsidRDefault="009B7AED" w:rsidP="002841D0">
            <w:pPr>
              <w:pStyle w:val="TableTextDense"/>
              <w:spacing w:before="10" w:after="10" w:line="240" w:lineRule="auto"/>
              <w:contextualSpacing w:val="0"/>
              <w:rPr>
                <w:rStyle w:val="Bold"/>
                <w:rFonts w:ascii="Calibri" w:hAnsi="Calibri" w:cs="Calibri"/>
                <w:bCs/>
                <w:sz w:val="20"/>
                <w:szCs w:val="20"/>
              </w:rPr>
            </w:pPr>
            <w:r w:rsidRPr="005148CB">
              <w:rPr>
                <w:rStyle w:val="Bold"/>
                <w:rFonts w:ascii="Calibri" w:hAnsi="Calibri" w:cs="Calibri"/>
                <w:sz w:val="20"/>
                <w:szCs w:val="20"/>
              </w:rPr>
              <w:t>Content 17 Example:</w:t>
            </w:r>
          </w:p>
        </w:tc>
        <w:tc>
          <w:tcPr>
            <w:tcW w:w="720" w:type="dxa"/>
          </w:tcPr>
          <w:p w14:paraId="1DA1347A"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00121</w:t>
            </w:r>
          </w:p>
        </w:tc>
        <w:tc>
          <w:tcPr>
            <w:tcW w:w="720" w:type="dxa"/>
          </w:tcPr>
          <w:p w14:paraId="4C66E138"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00058</w:t>
            </w:r>
          </w:p>
        </w:tc>
        <w:tc>
          <w:tcPr>
            <w:tcW w:w="720" w:type="dxa"/>
          </w:tcPr>
          <w:p w14:paraId="21DB0454"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00031</w:t>
            </w:r>
          </w:p>
        </w:tc>
        <w:tc>
          <w:tcPr>
            <w:tcW w:w="720" w:type="dxa"/>
          </w:tcPr>
          <w:p w14:paraId="6A41BBF7"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00021</w:t>
            </w:r>
          </w:p>
        </w:tc>
        <w:tc>
          <w:tcPr>
            <w:tcW w:w="810" w:type="dxa"/>
          </w:tcPr>
          <w:p w14:paraId="76D4EE6F"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00008</w:t>
            </w:r>
          </w:p>
        </w:tc>
        <w:tc>
          <w:tcPr>
            <w:tcW w:w="900" w:type="dxa"/>
          </w:tcPr>
          <w:p w14:paraId="61CC1441"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r>
      <w:tr w:rsidR="009B7AED" w:rsidRPr="005148CB" w14:paraId="4A563B66" w14:textId="77777777" w:rsidTr="007C54FC">
        <w:trPr>
          <w:trHeight w:val="60"/>
        </w:trPr>
        <w:tc>
          <w:tcPr>
            <w:tcW w:w="1880" w:type="dxa"/>
            <w:vAlign w:val="top"/>
          </w:tcPr>
          <w:p w14:paraId="2F40A5D8" w14:textId="77777777" w:rsidR="009B7AED" w:rsidRPr="005148CB" w:rsidRDefault="009B7AED" w:rsidP="002841D0">
            <w:pPr>
              <w:pStyle w:val="TableTextDense"/>
              <w:spacing w:before="10" w:after="10" w:line="240" w:lineRule="auto"/>
              <w:contextualSpacing w:val="0"/>
              <w:rPr>
                <w:rStyle w:val="Bold"/>
                <w:rFonts w:ascii="Calibri" w:hAnsi="Calibri" w:cs="Calibri"/>
                <w:bCs/>
                <w:sz w:val="20"/>
                <w:szCs w:val="20"/>
              </w:rPr>
            </w:pPr>
            <w:r w:rsidRPr="005148CB">
              <w:rPr>
                <w:rStyle w:val="Bold"/>
                <w:rFonts w:ascii="Calibri" w:hAnsi="Calibri" w:cs="Calibri"/>
                <w:sz w:val="20"/>
                <w:szCs w:val="20"/>
              </w:rPr>
              <w:t>Content 18 Example:</w:t>
            </w:r>
          </w:p>
        </w:tc>
        <w:tc>
          <w:tcPr>
            <w:tcW w:w="720" w:type="dxa"/>
          </w:tcPr>
          <w:p w14:paraId="5E27269C"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00115</w:t>
            </w:r>
          </w:p>
        </w:tc>
        <w:tc>
          <w:tcPr>
            <w:tcW w:w="720" w:type="dxa"/>
          </w:tcPr>
          <w:p w14:paraId="1F011207"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00055</w:t>
            </w:r>
          </w:p>
        </w:tc>
        <w:tc>
          <w:tcPr>
            <w:tcW w:w="720" w:type="dxa"/>
          </w:tcPr>
          <w:p w14:paraId="071D6AD7"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00032</w:t>
            </w:r>
          </w:p>
        </w:tc>
        <w:tc>
          <w:tcPr>
            <w:tcW w:w="720" w:type="dxa"/>
          </w:tcPr>
          <w:p w14:paraId="0E987AD9"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00022</w:t>
            </w:r>
          </w:p>
        </w:tc>
        <w:tc>
          <w:tcPr>
            <w:tcW w:w="810" w:type="dxa"/>
          </w:tcPr>
          <w:p w14:paraId="0AAD87EA"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00007</w:t>
            </w:r>
          </w:p>
        </w:tc>
        <w:tc>
          <w:tcPr>
            <w:tcW w:w="900" w:type="dxa"/>
          </w:tcPr>
          <w:p w14:paraId="3E43CE83"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00001</w:t>
            </w:r>
          </w:p>
        </w:tc>
      </w:tr>
      <w:tr w:rsidR="009B7AED" w:rsidRPr="005148CB" w14:paraId="2996E20B" w14:textId="77777777" w:rsidTr="007C54FC">
        <w:trPr>
          <w:trHeight w:val="60"/>
        </w:trPr>
        <w:tc>
          <w:tcPr>
            <w:tcW w:w="1880" w:type="dxa"/>
            <w:vAlign w:val="top"/>
          </w:tcPr>
          <w:p w14:paraId="6931A0A7" w14:textId="77777777" w:rsidR="009B7AED" w:rsidRPr="005148CB" w:rsidRDefault="009B7AED" w:rsidP="002841D0">
            <w:pPr>
              <w:pStyle w:val="TableTextDense"/>
              <w:spacing w:before="10" w:after="10" w:line="240" w:lineRule="auto"/>
              <w:contextualSpacing w:val="0"/>
              <w:rPr>
                <w:rStyle w:val="Bold"/>
                <w:rFonts w:ascii="Calibri" w:hAnsi="Calibri" w:cs="Calibri"/>
                <w:bCs/>
                <w:sz w:val="20"/>
                <w:szCs w:val="20"/>
              </w:rPr>
            </w:pPr>
            <w:r w:rsidRPr="005148CB">
              <w:rPr>
                <w:rStyle w:val="Bold"/>
                <w:rFonts w:ascii="Calibri" w:hAnsi="Calibri" w:cs="Calibri"/>
                <w:sz w:val="20"/>
                <w:szCs w:val="20"/>
              </w:rPr>
              <w:t>Content 19 Example:</w:t>
            </w:r>
          </w:p>
        </w:tc>
        <w:tc>
          <w:tcPr>
            <w:tcW w:w="720" w:type="dxa"/>
          </w:tcPr>
          <w:p w14:paraId="2FED1663"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00122</w:t>
            </w:r>
          </w:p>
        </w:tc>
        <w:tc>
          <w:tcPr>
            <w:tcW w:w="720" w:type="dxa"/>
          </w:tcPr>
          <w:p w14:paraId="3580A723"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00056</w:t>
            </w:r>
          </w:p>
        </w:tc>
        <w:tc>
          <w:tcPr>
            <w:tcW w:w="720" w:type="dxa"/>
          </w:tcPr>
          <w:p w14:paraId="2398B505"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00035</w:t>
            </w:r>
          </w:p>
        </w:tc>
        <w:tc>
          <w:tcPr>
            <w:tcW w:w="720" w:type="dxa"/>
          </w:tcPr>
          <w:p w14:paraId="34654959"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00023</w:t>
            </w:r>
          </w:p>
        </w:tc>
        <w:tc>
          <w:tcPr>
            <w:tcW w:w="810" w:type="dxa"/>
          </w:tcPr>
          <w:p w14:paraId="2CBBAE94"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00005</w:t>
            </w:r>
          </w:p>
        </w:tc>
        <w:tc>
          <w:tcPr>
            <w:tcW w:w="900" w:type="dxa"/>
          </w:tcPr>
          <w:p w14:paraId="3725360A"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r>
      <w:tr w:rsidR="009B7AED" w:rsidRPr="005148CB" w14:paraId="6F12C557" w14:textId="77777777" w:rsidTr="007C54FC">
        <w:trPr>
          <w:trHeight w:val="60"/>
        </w:trPr>
        <w:tc>
          <w:tcPr>
            <w:tcW w:w="1880" w:type="dxa"/>
            <w:vAlign w:val="top"/>
          </w:tcPr>
          <w:p w14:paraId="1C6A939E" w14:textId="77777777" w:rsidR="009B7AED" w:rsidRPr="005148CB" w:rsidRDefault="009B7AED" w:rsidP="002841D0">
            <w:pPr>
              <w:pStyle w:val="TableTextDense"/>
              <w:spacing w:before="10" w:after="10" w:line="240" w:lineRule="auto"/>
              <w:contextualSpacing w:val="0"/>
              <w:rPr>
                <w:rStyle w:val="Bold"/>
                <w:rFonts w:ascii="Calibri" w:hAnsi="Calibri" w:cs="Calibri"/>
                <w:bCs/>
                <w:sz w:val="20"/>
                <w:szCs w:val="20"/>
              </w:rPr>
            </w:pPr>
            <w:r w:rsidRPr="005148CB">
              <w:rPr>
                <w:rStyle w:val="Bold"/>
                <w:rFonts w:ascii="Calibri" w:hAnsi="Calibri" w:cs="Calibri"/>
                <w:sz w:val="20"/>
                <w:szCs w:val="20"/>
              </w:rPr>
              <w:t>Content 20 Example:</w:t>
            </w:r>
          </w:p>
        </w:tc>
        <w:tc>
          <w:tcPr>
            <w:tcW w:w="720" w:type="dxa"/>
          </w:tcPr>
          <w:p w14:paraId="3FADE326"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00114</w:t>
            </w:r>
          </w:p>
        </w:tc>
        <w:tc>
          <w:tcPr>
            <w:tcW w:w="720" w:type="dxa"/>
          </w:tcPr>
          <w:p w14:paraId="0CEFFEFA"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00049</w:t>
            </w:r>
          </w:p>
        </w:tc>
        <w:tc>
          <w:tcPr>
            <w:tcW w:w="720" w:type="dxa"/>
          </w:tcPr>
          <w:p w14:paraId="6E156BF3"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00033</w:t>
            </w:r>
          </w:p>
        </w:tc>
        <w:tc>
          <w:tcPr>
            <w:tcW w:w="720" w:type="dxa"/>
          </w:tcPr>
          <w:p w14:paraId="46DB2CC8"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00018</w:t>
            </w:r>
          </w:p>
        </w:tc>
        <w:tc>
          <w:tcPr>
            <w:tcW w:w="810" w:type="dxa"/>
          </w:tcPr>
          <w:p w14:paraId="6151D6E3"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00004</w:t>
            </w:r>
          </w:p>
        </w:tc>
        <w:tc>
          <w:tcPr>
            <w:tcW w:w="900" w:type="dxa"/>
          </w:tcPr>
          <w:p w14:paraId="1BADA154"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r>
      <w:tr w:rsidR="009B7AED" w:rsidRPr="005148CB" w14:paraId="791291B0" w14:textId="77777777" w:rsidTr="007C54FC">
        <w:trPr>
          <w:trHeight w:val="60"/>
        </w:trPr>
        <w:tc>
          <w:tcPr>
            <w:tcW w:w="1880" w:type="dxa"/>
            <w:vAlign w:val="top"/>
          </w:tcPr>
          <w:p w14:paraId="3E2992CA" w14:textId="77777777" w:rsidR="009B7AED" w:rsidRPr="005148CB" w:rsidRDefault="009B7AED" w:rsidP="002841D0">
            <w:pPr>
              <w:pStyle w:val="TableTextDense"/>
              <w:spacing w:before="10" w:after="10" w:line="240" w:lineRule="auto"/>
              <w:contextualSpacing w:val="0"/>
              <w:rPr>
                <w:rStyle w:val="Bold"/>
                <w:rFonts w:ascii="Calibri" w:hAnsi="Calibri" w:cs="Calibri"/>
                <w:bCs/>
                <w:sz w:val="20"/>
                <w:szCs w:val="20"/>
              </w:rPr>
            </w:pPr>
            <w:r w:rsidRPr="005148CB">
              <w:rPr>
                <w:rStyle w:val="Bold"/>
                <w:rFonts w:ascii="Calibri" w:hAnsi="Calibri" w:cs="Calibri"/>
                <w:sz w:val="20"/>
                <w:szCs w:val="20"/>
              </w:rPr>
              <w:t>Content 21 Example:</w:t>
            </w:r>
          </w:p>
        </w:tc>
        <w:tc>
          <w:tcPr>
            <w:tcW w:w="720" w:type="dxa"/>
          </w:tcPr>
          <w:p w14:paraId="5BF136B5"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00104</w:t>
            </w:r>
          </w:p>
        </w:tc>
        <w:tc>
          <w:tcPr>
            <w:tcW w:w="720" w:type="dxa"/>
          </w:tcPr>
          <w:p w14:paraId="4FCCAA19"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00048</w:t>
            </w:r>
          </w:p>
        </w:tc>
        <w:tc>
          <w:tcPr>
            <w:tcW w:w="720" w:type="dxa"/>
          </w:tcPr>
          <w:p w14:paraId="79A673F2"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00024</w:t>
            </w:r>
          </w:p>
        </w:tc>
        <w:tc>
          <w:tcPr>
            <w:tcW w:w="720" w:type="dxa"/>
          </w:tcPr>
          <w:p w14:paraId="01BAF637"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00019</w:t>
            </w:r>
          </w:p>
        </w:tc>
        <w:tc>
          <w:tcPr>
            <w:tcW w:w="810" w:type="dxa"/>
          </w:tcPr>
          <w:p w14:paraId="7C8453A6"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00002</w:t>
            </w:r>
          </w:p>
        </w:tc>
        <w:tc>
          <w:tcPr>
            <w:tcW w:w="900" w:type="dxa"/>
          </w:tcPr>
          <w:p w14:paraId="7B8A05EF"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r>
      <w:tr w:rsidR="009B7AED" w:rsidRPr="005148CB" w14:paraId="7FF32FD8" w14:textId="77777777" w:rsidTr="007C54FC">
        <w:trPr>
          <w:trHeight w:val="58"/>
        </w:trPr>
        <w:tc>
          <w:tcPr>
            <w:tcW w:w="1880" w:type="dxa"/>
            <w:vAlign w:val="top"/>
          </w:tcPr>
          <w:p w14:paraId="586C147B" w14:textId="77777777" w:rsidR="009B7AED" w:rsidRPr="005148CB" w:rsidRDefault="009B7AED" w:rsidP="002841D0">
            <w:pPr>
              <w:pStyle w:val="TableTextDense"/>
              <w:spacing w:before="10" w:after="10" w:line="240" w:lineRule="auto"/>
              <w:contextualSpacing w:val="0"/>
              <w:rPr>
                <w:rStyle w:val="Bold"/>
                <w:rFonts w:ascii="Calibri" w:hAnsi="Calibri" w:cs="Calibri"/>
                <w:bCs/>
                <w:sz w:val="20"/>
                <w:szCs w:val="20"/>
              </w:rPr>
            </w:pPr>
            <w:r w:rsidRPr="005148CB">
              <w:rPr>
                <w:rStyle w:val="Bold"/>
                <w:rFonts w:ascii="Calibri" w:hAnsi="Calibri" w:cs="Calibri"/>
                <w:sz w:val="20"/>
                <w:szCs w:val="20"/>
              </w:rPr>
              <w:t>Content 22 Example:</w:t>
            </w:r>
          </w:p>
        </w:tc>
        <w:tc>
          <w:tcPr>
            <w:tcW w:w="720" w:type="dxa"/>
          </w:tcPr>
          <w:p w14:paraId="455AA327"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00098</w:t>
            </w:r>
          </w:p>
        </w:tc>
        <w:tc>
          <w:tcPr>
            <w:tcW w:w="720" w:type="dxa"/>
          </w:tcPr>
          <w:p w14:paraId="4131DB4C"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00047</w:t>
            </w:r>
          </w:p>
        </w:tc>
        <w:tc>
          <w:tcPr>
            <w:tcW w:w="720" w:type="dxa"/>
          </w:tcPr>
          <w:p w14:paraId="30B6BB11"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00025</w:t>
            </w:r>
          </w:p>
        </w:tc>
        <w:tc>
          <w:tcPr>
            <w:tcW w:w="720" w:type="dxa"/>
          </w:tcPr>
          <w:p w14:paraId="6D334773"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00013</w:t>
            </w:r>
          </w:p>
        </w:tc>
        <w:tc>
          <w:tcPr>
            <w:tcW w:w="810" w:type="dxa"/>
          </w:tcPr>
          <w:p w14:paraId="63490388"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00003</w:t>
            </w:r>
          </w:p>
        </w:tc>
        <w:tc>
          <w:tcPr>
            <w:tcW w:w="900" w:type="dxa"/>
          </w:tcPr>
          <w:p w14:paraId="031962E2"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r>
      <w:tr w:rsidR="009B7AED" w:rsidRPr="005148CB" w14:paraId="2BC3A666" w14:textId="77777777" w:rsidTr="007C54FC">
        <w:trPr>
          <w:trHeight w:val="58"/>
        </w:trPr>
        <w:tc>
          <w:tcPr>
            <w:tcW w:w="1880" w:type="dxa"/>
            <w:vAlign w:val="top"/>
          </w:tcPr>
          <w:p w14:paraId="2F7F7712" w14:textId="77777777" w:rsidR="009B7AED" w:rsidRPr="005148CB" w:rsidRDefault="009B7AED" w:rsidP="002841D0">
            <w:pPr>
              <w:pStyle w:val="TableTextDense"/>
              <w:spacing w:before="10" w:after="10" w:line="240" w:lineRule="auto"/>
              <w:contextualSpacing w:val="0"/>
              <w:rPr>
                <w:rStyle w:val="Bold"/>
                <w:rFonts w:ascii="Calibri" w:hAnsi="Calibri" w:cs="Calibri"/>
                <w:bCs/>
                <w:sz w:val="20"/>
                <w:szCs w:val="20"/>
              </w:rPr>
            </w:pPr>
            <w:r w:rsidRPr="005148CB">
              <w:rPr>
                <w:rStyle w:val="Bold"/>
                <w:rFonts w:ascii="Calibri" w:hAnsi="Calibri" w:cs="Calibri"/>
                <w:sz w:val="20"/>
                <w:szCs w:val="20"/>
              </w:rPr>
              <w:t>Content 23 Example:</w:t>
            </w:r>
          </w:p>
        </w:tc>
        <w:tc>
          <w:tcPr>
            <w:tcW w:w="720" w:type="dxa"/>
          </w:tcPr>
          <w:p w14:paraId="4807B2D9"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00087</w:t>
            </w:r>
          </w:p>
        </w:tc>
        <w:tc>
          <w:tcPr>
            <w:tcW w:w="720" w:type="dxa"/>
          </w:tcPr>
          <w:p w14:paraId="6A650958"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00051</w:t>
            </w:r>
          </w:p>
        </w:tc>
        <w:tc>
          <w:tcPr>
            <w:tcW w:w="720" w:type="dxa"/>
          </w:tcPr>
          <w:p w14:paraId="41245EFE"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00024</w:t>
            </w:r>
          </w:p>
        </w:tc>
        <w:tc>
          <w:tcPr>
            <w:tcW w:w="720" w:type="dxa"/>
          </w:tcPr>
          <w:p w14:paraId="2B5D10F0"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00012</w:t>
            </w:r>
          </w:p>
        </w:tc>
        <w:tc>
          <w:tcPr>
            <w:tcW w:w="810" w:type="dxa"/>
          </w:tcPr>
          <w:p w14:paraId="2C5F98C9"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00003</w:t>
            </w:r>
          </w:p>
        </w:tc>
        <w:tc>
          <w:tcPr>
            <w:tcW w:w="900" w:type="dxa"/>
          </w:tcPr>
          <w:p w14:paraId="6A752970"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r>
      <w:tr w:rsidR="009B7AED" w:rsidRPr="005148CB" w14:paraId="1ACDBD09" w14:textId="77777777" w:rsidTr="007C54FC">
        <w:trPr>
          <w:trHeight w:val="60"/>
        </w:trPr>
        <w:tc>
          <w:tcPr>
            <w:tcW w:w="1880" w:type="dxa"/>
            <w:vAlign w:val="top"/>
          </w:tcPr>
          <w:p w14:paraId="0BD36270" w14:textId="77777777" w:rsidR="009B7AED" w:rsidRPr="005148CB" w:rsidRDefault="009B7AED" w:rsidP="002841D0">
            <w:pPr>
              <w:pStyle w:val="TableTextDense"/>
              <w:spacing w:before="10" w:after="10" w:line="240" w:lineRule="auto"/>
              <w:contextualSpacing w:val="0"/>
              <w:rPr>
                <w:rStyle w:val="Bold"/>
                <w:rFonts w:ascii="Calibri" w:hAnsi="Calibri" w:cs="Calibri"/>
                <w:bCs/>
                <w:sz w:val="20"/>
                <w:szCs w:val="20"/>
              </w:rPr>
            </w:pPr>
            <w:r w:rsidRPr="005148CB">
              <w:rPr>
                <w:rStyle w:val="Bold"/>
                <w:rFonts w:ascii="Calibri" w:hAnsi="Calibri" w:cs="Calibri"/>
                <w:sz w:val="20"/>
                <w:szCs w:val="20"/>
              </w:rPr>
              <w:t>Content 24 Example:</w:t>
            </w:r>
          </w:p>
        </w:tc>
        <w:tc>
          <w:tcPr>
            <w:tcW w:w="720" w:type="dxa"/>
          </w:tcPr>
          <w:p w14:paraId="47740BD3"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00076</w:t>
            </w:r>
          </w:p>
        </w:tc>
        <w:tc>
          <w:tcPr>
            <w:tcW w:w="720" w:type="dxa"/>
          </w:tcPr>
          <w:p w14:paraId="49F66CC7"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00044</w:t>
            </w:r>
          </w:p>
        </w:tc>
        <w:tc>
          <w:tcPr>
            <w:tcW w:w="720" w:type="dxa"/>
          </w:tcPr>
          <w:p w14:paraId="0DB7E0F1"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00021</w:t>
            </w:r>
          </w:p>
        </w:tc>
        <w:tc>
          <w:tcPr>
            <w:tcW w:w="720" w:type="dxa"/>
          </w:tcPr>
          <w:p w14:paraId="623D3E70"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00009</w:t>
            </w:r>
          </w:p>
        </w:tc>
        <w:tc>
          <w:tcPr>
            <w:tcW w:w="810" w:type="dxa"/>
          </w:tcPr>
          <w:p w14:paraId="62913410"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900" w:type="dxa"/>
          </w:tcPr>
          <w:p w14:paraId="778740CC"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r>
    </w:tbl>
    <w:p w14:paraId="7949249B" w14:textId="6243A0E2" w:rsidR="009B7AED" w:rsidRDefault="009B7AED" w:rsidP="000F2A7A">
      <w:pPr>
        <w:pStyle w:val="TMGTableCaption"/>
      </w:pPr>
      <w:bookmarkStart w:id="2975" w:name="_Toc113282520"/>
      <w:bookmarkStart w:id="2976" w:name="_Toc114474857"/>
      <w:bookmarkStart w:id="2977" w:name="_Toc120631163"/>
      <w:r>
        <w:lastRenderedPageBreak/>
        <w:t xml:space="preserve">Table </w:t>
      </w:r>
      <w:fldSimple w:instr=" STYLEREF 1 \s ">
        <w:r w:rsidR="00C07DF9">
          <w:rPr>
            <w:noProof/>
          </w:rPr>
          <w:t>4</w:t>
        </w:r>
      </w:fldSimple>
      <w:r>
        <w:noBreakHyphen/>
      </w:r>
      <w:fldSimple w:instr=" SEQ Table \* ARABIC \s 1 ">
        <w:r w:rsidR="00C07DF9">
          <w:rPr>
            <w:noProof/>
          </w:rPr>
          <w:t>15</w:t>
        </w:r>
      </w:fldSimple>
      <w:r w:rsidR="00627DD7">
        <w:t>.</w:t>
      </w:r>
      <w:r>
        <w:t xml:space="preserve"> </w:t>
      </w:r>
      <w:r w:rsidRPr="00755531">
        <w:t>S</w:t>
      </w:r>
      <w:r>
        <w:t>peed</w:t>
      </w:r>
      <w:r w:rsidRPr="00755531">
        <w:t xml:space="preserve"> </w:t>
      </w:r>
      <w:r>
        <w:t>Record Example</w:t>
      </w:r>
      <w:r w:rsidRPr="00755531">
        <w:t xml:space="preserve"> (21 B</w:t>
      </w:r>
      <w:r>
        <w:t>ins</w:t>
      </w:r>
      <w:r w:rsidRPr="00755531">
        <w:t>, 4 L</w:t>
      </w:r>
      <w:r>
        <w:t>anes with</w:t>
      </w:r>
      <w:r w:rsidRPr="00755531">
        <w:t xml:space="preserve"> L</w:t>
      </w:r>
      <w:r>
        <w:t>anes</w:t>
      </w:r>
      <w:r w:rsidRPr="00755531">
        <w:t xml:space="preserve"> </w:t>
      </w:r>
      <w:r>
        <w:t>or</w:t>
      </w:r>
      <w:r w:rsidRPr="00755531">
        <w:t xml:space="preserve"> D</w:t>
      </w:r>
      <w:r>
        <w:t>irections</w:t>
      </w:r>
      <w:r w:rsidRPr="00755531">
        <w:t xml:space="preserve"> N</w:t>
      </w:r>
      <w:r>
        <w:t>ot</w:t>
      </w:r>
      <w:r w:rsidRPr="00755531">
        <w:t xml:space="preserve"> C</w:t>
      </w:r>
      <w:r>
        <w:t>ombined at</w:t>
      </w:r>
      <w:r w:rsidR="00756A88">
        <w:br/>
      </w:r>
      <w:r w:rsidRPr="00755531">
        <w:t>60-M</w:t>
      </w:r>
      <w:r>
        <w:t>inute</w:t>
      </w:r>
      <w:r w:rsidRPr="00755531">
        <w:t xml:space="preserve"> I</w:t>
      </w:r>
      <w:r>
        <w:t>nterval with No Restrictions</w:t>
      </w:r>
      <w:r w:rsidRPr="00755531">
        <w:t>, T</w:t>
      </w:r>
      <w:r>
        <w:t>otal</w:t>
      </w:r>
      <w:r w:rsidRPr="00755531">
        <w:t xml:space="preserve"> V</w:t>
      </w:r>
      <w:r>
        <w:t>olume</w:t>
      </w:r>
      <w:r w:rsidRPr="00755531">
        <w:t xml:space="preserve"> N</w:t>
      </w:r>
      <w:r>
        <w:t>ot</w:t>
      </w:r>
      <w:r w:rsidRPr="00755531">
        <w:t xml:space="preserve"> R</w:t>
      </w:r>
      <w:r>
        <w:t>ecorded</w:t>
      </w:r>
      <w:r w:rsidRPr="00755531">
        <w:t xml:space="preserve">) </w:t>
      </w:r>
      <w:r>
        <w:t>– Fixed Width Format</w:t>
      </w:r>
      <w:bookmarkEnd w:id="2975"/>
      <w:bookmarkEnd w:id="2976"/>
      <w:bookmarkEnd w:id="2977"/>
    </w:p>
    <w:tbl>
      <w:tblPr>
        <w:tblStyle w:val="TMGTable"/>
        <w:tblW w:w="935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1024"/>
        <w:gridCol w:w="265"/>
        <w:gridCol w:w="411"/>
        <w:gridCol w:w="725"/>
        <w:gridCol w:w="355"/>
        <w:gridCol w:w="360"/>
        <w:gridCol w:w="630"/>
        <w:gridCol w:w="630"/>
        <w:gridCol w:w="630"/>
        <w:gridCol w:w="630"/>
        <w:gridCol w:w="630"/>
        <w:gridCol w:w="540"/>
        <w:gridCol w:w="630"/>
        <w:gridCol w:w="450"/>
        <w:gridCol w:w="720"/>
        <w:gridCol w:w="720"/>
      </w:tblGrid>
      <w:tr w:rsidR="005148CB" w:rsidRPr="005148CB" w14:paraId="2E5E41B4" w14:textId="77777777" w:rsidTr="007C54FC">
        <w:trPr>
          <w:cnfStyle w:val="100000000000" w:firstRow="1" w:lastRow="0" w:firstColumn="0" w:lastColumn="0" w:oddVBand="0" w:evenVBand="0" w:oddHBand="0" w:evenHBand="0" w:firstRowFirstColumn="0" w:firstRowLastColumn="0" w:lastRowFirstColumn="0" w:lastRowLastColumn="0"/>
          <w:trHeight w:val="60"/>
        </w:trPr>
        <w:tc>
          <w:tcPr>
            <w:tcW w:w="1024" w:type="dxa"/>
          </w:tcPr>
          <w:p w14:paraId="060E4779" w14:textId="77777777" w:rsidR="009B7AED" w:rsidRPr="005148CB" w:rsidRDefault="009B7AED" w:rsidP="002841D0">
            <w:pPr>
              <w:pStyle w:val="TableTextDense"/>
              <w:spacing w:before="10" w:after="10" w:line="240" w:lineRule="auto"/>
              <w:contextualSpacing w:val="0"/>
              <w:rPr>
                <w:rFonts w:ascii="Calibri" w:hAnsi="Calibri" w:cs="Calibri"/>
                <w:b w:val="0"/>
                <w:bCs w:val="0"/>
                <w:sz w:val="20"/>
                <w:szCs w:val="20"/>
              </w:rPr>
            </w:pPr>
            <w:r w:rsidRPr="005148CB">
              <w:rPr>
                <w:rStyle w:val="Bold"/>
                <w:rFonts w:ascii="Calibri" w:hAnsi="Calibri" w:cs="Calibri"/>
                <w:sz w:val="20"/>
                <w:szCs w:val="20"/>
              </w:rPr>
              <w:t>Column Number:</w:t>
            </w:r>
          </w:p>
        </w:tc>
        <w:tc>
          <w:tcPr>
            <w:tcW w:w="265" w:type="dxa"/>
          </w:tcPr>
          <w:p w14:paraId="6CD8957E" w14:textId="77777777" w:rsidR="009B7AED" w:rsidRPr="005148CB" w:rsidRDefault="009B7AED" w:rsidP="002841D0">
            <w:pPr>
              <w:pStyle w:val="TableTextDense"/>
              <w:spacing w:before="10" w:after="10" w:line="240" w:lineRule="auto"/>
              <w:contextualSpacing w:val="0"/>
              <w:jc w:val="center"/>
              <w:rPr>
                <w:rFonts w:ascii="Calibri" w:hAnsi="Calibri" w:cs="Calibri"/>
                <w:b w:val="0"/>
                <w:bCs w:val="0"/>
                <w:sz w:val="20"/>
                <w:szCs w:val="20"/>
              </w:rPr>
            </w:pPr>
            <w:r w:rsidRPr="005148CB">
              <w:rPr>
                <w:rFonts w:ascii="Calibri" w:hAnsi="Calibri" w:cs="Calibri"/>
                <w:sz w:val="20"/>
                <w:szCs w:val="20"/>
              </w:rPr>
              <w:t>1</w:t>
            </w:r>
          </w:p>
        </w:tc>
        <w:tc>
          <w:tcPr>
            <w:tcW w:w="411" w:type="dxa"/>
          </w:tcPr>
          <w:p w14:paraId="4BEBE6E1" w14:textId="77777777" w:rsidR="009B7AED" w:rsidRPr="005148CB" w:rsidRDefault="009B7AED" w:rsidP="002841D0">
            <w:pPr>
              <w:pStyle w:val="TableTextDense"/>
              <w:spacing w:before="10" w:after="10" w:line="240" w:lineRule="auto"/>
              <w:contextualSpacing w:val="0"/>
              <w:jc w:val="center"/>
              <w:rPr>
                <w:rFonts w:ascii="Calibri" w:hAnsi="Calibri" w:cs="Calibri"/>
                <w:b w:val="0"/>
                <w:bCs w:val="0"/>
                <w:sz w:val="20"/>
                <w:szCs w:val="20"/>
              </w:rPr>
            </w:pPr>
            <w:r w:rsidRPr="005148CB">
              <w:rPr>
                <w:rFonts w:ascii="Calibri" w:hAnsi="Calibri" w:cs="Calibri"/>
                <w:sz w:val="20"/>
                <w:szCs w:val="20"/>
              </w:rPr>
              <w:t>2-3</w:t>
            </w:r>
          </w:p>
        </w:tc>
        <w:tc>
          <w:tcPr>
            <w:tcW w:w="725" w:type="dxa"/>
          </w:tcPr>
          <w:p w14:paraId="340512FE" w14:textId="77777777" w:rsidR="009B7AED" w:rsidRPr="005148CB" w:rsidRDefault="009B7AED" w:rsidP="002841D0">
            <w:pPr>
              <w:pStyle w:val="TableTextDense"/>
              <w:spacing w:before="10" w:after="10" w:line="240" w:lineRule="auto"/>
              <w:contextualSpacing w:val="0"/>
              <w:jc w:val="center"/>
              <w:rPr>
                <w:rFonts w:ascii="Calibri" w:hAnsi="Calibri" w:cs="Calibri"/>
                <w:b w:val="0"/>
                <w:bCs w:val="0"/>
                <w:sz w:val="20"/>
                <w:szCs w:val="20"/>
              </w:rPr>
            </w:pPr>
            <w:r w:rsidRPr="005148CB">
              <w:rPr>
                <w:rFonts w:ascii="Calibri" w:hAnsi="Calibri" w:cs="Calibri"/>
                <w:sz w:val="20"/>
                <w:szCs w:val="20"/>
              </w:rPr>
              <w:t>4-9</w:t>
            </w:r>
          </w:p>
        </w:tc>
        <w:tc>
          <w:tcPr>
            <w:tcW w:w="355" w:type="dxa"/>
          </w:tcPr>
          <w:p w14:paraId="41B6582A" w14:textId="77777777" w:rsidR="009B7AED" w:rsidRPr="005148CB" w:rsidRDefault="009B7AED" w:rsidP="002841D0">
            <w:pPr>
              <w:pStyle w:val="TableTextDense"/>
              <w:spacing w:before="10" w:after="10" w:line="240" w:lineRule="auto"/>
              <w:contextualSpacing w:val="0"/>
              <w:jc w:val="center"/>
              <w:rPr>
                <w:rFonts w:ascii="Calibri" w:hAnsi="Calibri" w:cs="Calibri"/>
                <w:b w:val="0"/>
                <w:bCs w:val="0"/>
                <w:sz w:val="20"/>
                <w:szCs w:val="20"/>
              </w:rPr>
            </w:pPr>
            <w:r w:rsidRPr="005148CB">
              <w:rPr>
                <w:rFonts w:ascii="Calibri" w:hAnsi="Calibri" w:cs="Calibri"/>
                <w:sz w:val="20"/>
                <w:szCs w:val="20"/>
              </w:rPr>
              <w:t>10</w:t>
            </w:r>
          </w:p>
        </w:tc>
        <w:tc>
          <w:tcPr>
            <w:tcW w:w="360" w:type="dxa"/>
          </w:tcPr>
          <w:p w14:paraId="0B611E73" w14:textId="77777777" w:rsidR="009B7AED" w:rsidRPr="005148CB" w:rsidRDefault="009B7AED" w:rsidP="002841D0">
            <w:pPr>
              <w:pStyle w:val="TableTextDense"/>
              <w:spacing w:before="10" w:after="10" w:line="240" w:lineRule="auto"/>
              <w:contextualSpacing w:val="0"/>
              <w:jc w:val="center"/>
              <w:rPr>
                <w:rFonts w:ascii="Calibri" w:hAnsi="Calibri" w:cs="Calibri"/>
                <w:b w:val="0"/>
                <w:bCs w:val="0"/>
                <w:sz w:val="20"/>
                <w:szCs w:val="20"/>
              </w:rPr>
            </w:pPr>
            <w:r w:rsidRPr="005148CB">
              <w:rPr>
                <w:rFonts w:ascii="Calibri" w:hAnsi="Calibri" w:cs="Calibri"/>
                <w:sz w:val="20"/>
                <w:szCs w:val="20"/>
              </w:rPr>
              <w:t>11</w:t>
            </w:r>
          </w:p>
        </w:tc>
        <w:tc>
          <w:tcPr>
            <w:tcW w:w="630" w:type="dxa"/>
          </w:tcPr>
          <w:p w14:paraId="27D9D76E" w14:textId="77777777" w:rsidR="009B7AED" w:rsidRPr="005148CB" w:rsidRDefault="009B7AED" w:rsidP="002841D0">
            <w:pPr>
              <w:pStyle w:val="TableTextDense"/>
              <w:spacing w:before="10" w:after="10" w:line="240" w:lineRule="auto"/>
              <w:contextualSpacing w:val="0"/>
              <w:jc w:val="center"/>
              <w:rPr>
                <w:rFonts w:ascii="Calibri" w:hAnsi="Calibri" w:cs="Calibri"/>
                <w:b w:val="0"/>
                <w:bCs w:val="0"/>
                <w:sz w:val="20"/>
                <w:szCs w:val="20"/>
              </w:rPr>
            </w:pPr>
            <w:r w:rsidRPr="005148CB">
              <w:rPr>
                <w:rFonts w:ascii="Calibri" w:hAnsi="Calibri" w:cs="Calibri"/>
                <w:sz w:val="20"/>
                <w:szCs w:val="20"/>
              </w:rPr>
              <w:t>12-15</w:t>
            </w:r>
          </w:p>
        </w:tc>
        <w:tc>
          <w:tcPr>
            <w:tcW w:w="630" w:type="dxa"/>
          </w:tcPr>
          <w:p w14:paraId="6B2A4C88" w14:textId="77777777" w:rsidR="009B7AED" w:rsidRPr="005148CB" w:rsidRDefault="009B7AED" w:rsidP="002841D0">
            <w:pPr>
              <w:pStyle w:val="TableTextDense"/>
              <w:spacing w:before="10" w:after="10" w:line="240" w:lineRule="auto"/>
              <w:contextualSpacing w:val="0"/>
              <w:jc w:val="center"/>
              <w:rPr>
                <w:rFonts w:ascii="Calibri" w:hAnsi="Calibri" w:cs="Calibri"/>
                <w:b w:val="0"/>
                <w:bCs w:val="0"/>
                <w:sz w:val="20"/>
                <w:szCs w:val="20"/>
              </w:rPr>
            </w:pPr>
            <w:r w:rsidRPr="005148CB">
              <w:rPr>
                <w:rFonts w:ascii="Calibri" w:hAnsi="Calibri" w:cs="Calibri"/>
                <w:sz w:val="20"/>
                <w:szCs w:val="20"/>
              </w:rPr>
              <w:t>16-17</w:t>
            </w:r>
          </w:p>
        </w:tc>
        <w:tc>
          <w:tcPr>
            <w:tcW w:w="630" w:type="dxa"/>
          </w:tcPr>
          <w:p w14:paraId="50C6F8BD" w14:textId="77777777" w:rsidR="009B7AED" w:rsidRPr="005148CB" w:rsidRDefault="009B7AED" w:rsidP="002841D0">
            <w:pPr>
              <w:pStyle w:val="TableTextDense"/>
              <w:spacing w:before="10" w:after="10" w:line="240" w:lineRule="auto"/>
              <w:contextualSpacing w:val="0"/>
              <w:jc w:val="center"/>
              <w:rPr>
                <w:rFonts w:ascii="Calibri" w:hAnsi="Calibri" w:cs="Calibri"/>
                <w:b w:val="0"/>
                <w:bCs w:val="0"/>
                <w:sz w:val="20"/>
                <w:szCs w:val="20"/>
              </w:rPr>
            </w:pPr>
            <w:r w:rsidRPr="005148CB">
              <w:rPr>
                <w:rFonts w:ascii="Calibri" w:hAnsi="Calibri" w:cs="Calibri"/>
                <w:sz w:val="20"/>
                <w:szCs w:val="20"/>
              </w:rPr>
              <w:t>18-19</w:t>
            </w:r>
          </w:p>
        </w:tc>
        <w:tc>
          <w:tcPr>
            <w:tcW w:w="630" w:type="dxa"/>
          </w:tcPr>
          <w:p w14:paraId="7C4143E5" w14:textId="77777777" w:rsidR="009B7AED" w:rsidRPr="005148CB" w:rsidRDefault="009B7AED" w:rsidP="002841D0">
            <w:pPr>
              <w:pStyle w:val="TableTextDense"/>
              <w:spacing w:before="10" w:after="10" w:line="240" w:lineRule="auto"/>
              <w:contextualSpacing w:val="0"/>
              <w:jc w:val="center"/>
              <w:rPr>
                <w:rFonts w:ascii="Calibri" w:hAnsi="Calibri" w:cs="Calibri"/>
                <w:b w:val="0"/>
                <w:bCs w:val="0"/>
                <w:sz w:val="20"/>
                <w:szCs w:val="20"/>
              </w:rPr>
            </w:pPr>
            <w:r w:rsidRPr="005148CB">
              <w:rPr>
                <w:rFonts w:ascii="Calibri" w:hAnsi="Calibri" w:cs="Calibri"/>
                <w:sz w:val="20"/>
                <w:szCs w:val="20"/>
              </w:rPr>
              <w:t>20-21</w:t>
            </w:r>
          </w:p>
        </w:tc>
        <w:tc>
          <w:tcPr>
            <w:tcW w:w="630" w:type="dxa"/>
          </w:tcPr>
          <w:p w14:paraId="6ED6B534" w14:textId="77777777" w:rsidR="009B7AED" w:rsidRPr="005148CB" w:rsidRDefault="009B7AED" w:rsidP="002841D0">
            <w:pPr>
              <w:pStyle w:val="TableTextDense"/>
              <w:spacing w:before="10" w:after="10" w:line="240" w:lineRule="auto"/>
              <w:contextualSpacing w:val="0"/>
              <w:jc w:val="center"/>
              <w:rPr>
                <w:rFonts w:ascii="Calibri" w:hAnsi="Calibri" w:cs="Calibri"/>
                <w:b w:val="0"/>
                <w:bCs w:val="0"/>
                <w:sz w:val="20"/>
                <w:szCs w:val="20"/>
              </w:rPr>
            </w:pPr>
            <w:r w:rsidRPr="005148CB">
              <w:rPr>
                <w:rFonts w:ascii="Calibri" w:hAnsi="Calibri" w:cs="Calibri"/>
                <w:sz w:val="20"/>
                <w:szCs w:val="20"/>
              </w:rPr>
              <w:t>22</w:t>
            </w:r>
          </w:p>
        </w:tc>
        <w:tc>
          <w:tcPr>
            <w:tcW w:w="540" w:type="dxa"/>
          </w:tcPr>
          <w:p w14:paraId="3DF28666" w14:textId="77777777" w:rsidR="009B7AED" w:rsidRPr="005148CB" w:rsidRDefault="009B7AED" w:rsidP="002841D0">
            <w:pPr>
              <w:pStyle w:val="TableTextDense"/>
              <w:spacing w:before="10" w:after="10" w:line="240" w:lineRule="auto"/>
              <w:contextualSpacing w:val="0"/>
              <w:jc w:val="center"/>
              <w:rPr>
                <w:rFonts w:ascii="Calibri" w:hAnsi="Calibri" w:cs="Calibri"/>
                <w:b w:val="0"/>
                <w:bCs w:val="0"/>
                <w:sz w:val="20"/>
                <w:szCs w:val="20"/>
              </w:rPr>
            </w:pPr>
            <w:r w:rsidRPr="005148CB">
              <w:rPr>
                <w:rFonts w:ascii="Calibri" w:hAnsi="Calibri" w:cs="Calibri"/>
                <w:sz w:val="20"/>
                <w:szCs w:val="20"/>
              </w:rPr>
              <w:t>23</w:t>
            </w:r>
          </w:p>
        </w:tc>
        <w:tc>
          <w:tcPr>
            <w:tcW w:w="630" w:type="dxa"/>
          </w:tcPr>
          <w:p w14:paraId="1C1AD04C" w14:textId="77777777" w:rsidR="009B7AED" w:rsidRPr="005148CB" w:rsidRDefault="009B7AED" w:rsidP="002841D0">
            <w:pPr>
              <w:pStyle w:val="TableTextDense"/>
              <w:spacing w:before="10" w:after="10" w:line="240" w:lineRule="auto"/>
              <w:contextualSpacing w:val="0"/>
              <w:jc w:val="center"/>
              <w:rPr>
                <w:rFonts w:ascii="Calibri" w:hAnsi="Calibri" w:cs="Calibri"/>
                <w:b w:val="0"/>
                <w:bCs w:val="0"/>
                <w:sz w:val="20"/>
                <w:szCs w:val="20"/>
              </w:rPr>
            </w:pPr>
            <w:r w:rsidRPr="005148CB">
              <w:rPr>
                <w:rFonts w:ascii="Calibri" w:hAnsi="Calibri" w:cs="Calibri"/>
                <w:sz w:val="20"/>
                <w:szCs w:val="20"/>
              </w:rPr>
              <w:t>24-25</w:t>
            </w:r>
          </w:p>
        </w:tc>
        <w:tc>
          <w:tcPr>
            <w:tcW w:w="450" w:type="dxa"/>
          </w:tcPr>
          <w:p w14:paraId="4BB5B3E6" w14:textId="77777777" w:rsidR="009B7AED" w:rsidRPr="005148CB" w:rsidRDefault="009B7AED" w:rsidP="002841D0">
            <w:pPr>
              <w:pStyle w:val="TableTextDense"/>
              <w:spacing w:before="10" w:after="10" w:line="240" w:lineRule="auto"/>
              <w:contextualSpacing w:val="0"/>
              <w:jc w:val="center"/>
              <w:rPr>
                <w:rFonts w:ascii="Calibri" w:hAnsi="Calibri" w:cs="Calibri"/>
                <w:b w:val="0"/>
                <w:bCs w:val="0"/>
                <w:sz w:val="20"/>
                <w:szCs w:val="20"/>
              </w:rPr>
            </w:pPr>
            <w:r w:rsidRPr="005148CB">
              <w:rPr>
                <w:rFonts w:ascii="Calibri" w:hAnsi="Calibri" w:cs="Calibri"/>
                <w:sz w:val="20"/>
                <w:szCs w:val="20"/>
              </w:rPr>
              <w:t>26</w:t>
            </w:r>
          </w:p>
        </w:tc>
        <w:tc>
          <w:tcPr>
            <w:tcW w:w="720" w:type="dxa"/>
          </w:tcPr>
          <w:p w14:paraId="14C3528D" w14:textId="77777777" w:rsidR="009B7AED" w:rsidRPr="005148CB" w:rsidRDefault="009B7AED" w:rsidP="002841D0">
            <w:pPr>
              <w:pStyle w:val="TableTextDense"/>
              <w:spacing w:before="10" w:after="10" w:line="240" w:lineRule="auto"/>
              <w:contextualSpacing w:val="0"/>
              <w:jc w:val="center"/>
              <w:rPr>
                <w:rFonts w:ascii="Calibri" w:hAnsi="Calibri" w:cs="Calibri"/>
                <w:b w:val="0"/>
                <w:bCs w:val="0"/>
                <w:sz w:val="20"/>
                <w:szCs w:val="20"/>
              </w:rPr>
            </w:pPr>
            <w:r w:rsidRPr="005148CB">
              <w:rPr>
                <w:rFonts w:ascii="Calibri" w:hAnsi="Calibri" w:cs="Calibri"/>
                <w:sz w:val="20"/>
                <w:szCs w:val="20"/>
              </w:rPr>
              <w:t>27-31</w:t>
            </w:r>
          </w:p>
        </w:tc>
        <w:tc>
          <w:tcPr>
            <w:tcW w:w="720" w:type="dxa"/>
          </w:tcPr>
          <w:p w14:paraId="2442B674" w14:textId="77777777" w:rsidR="009B7AED" w:rsidRPr="005148CB" w:rsidRDefault="009B7AED" w:rsidP="002841D0">
            <w:pPr>
              <w:pStyle w:val="TableTextDense"/>
              <w:spacing w:before="10" w:after="10" w:line="240" w:lineRule="auto"/>
              <w:contextualSpacing w:val="0"/>
              <w:jc w:val="center"/>
              <w:rPr>
                <w:rFonts w:ascii="Calibri" w:hAnsi="Calibri" w:cs="Calibri"/>
                <w:b w:val="0"/>
                <w:bCs w:val="0"/>
                <w:sz w:val="20"/>
                <w:szCs w:val="20"/>
              </w:rPr>
            </w:pPr>
            <w:r w:rsidRPr="005148CB">
              <w:rPr>
                <w:rFonts w:ascii="Calibri" w:hAnsi="Calibri" w:cs="Calibri"/>
                <w:sz w:val="20"/>
                <w:szCs w:val="20"/>
              </w:rPr>
              <w:t>32-36</w:t>
            </w:r>
          </w:p>
        </w:tc>
      </w:tr>
      <w:tr w:rsidR="005148CB" w:rsidRPr="005148CB" w14:paraId="3AB375A1" w14:textId="77777777" w:rsidTr="007C54FC">
        <w:trPr>
          <w:trHeight w:val="60"/>
        </w:trPr>
        <w:tc>
          <w:tcPr>
            <w:tcW w:w="1024" w:type="dxa"/>
          </w:tcPr>
          <w:p w14:paraId="710B6DC1" w14:textId="77777777" w:rsidR="009B7AED" w:rsidRPr="005148CB" w:rsidRDefault="009B7AED" w:rsidP="002841D0">
            <w:pPr>
              <w:pStyle w:val="TableTextDense"/>
              <w:spacing w:before="10" w:after="10" w:line="240" w:lineRule="auto"/>
              <w:contextualSpacing w:val="0"/>
              <w:rPr>
                <w:rFonts w:ascii="Calibri" w:hAnsi="Calibri" w:cs="Calibri"/>
                <w:sz w:val="20"/>
                <w:szCs w:val="20"/>
              </w:rPr>
            </w:pPr>
            <w:r w:rsidRPr="005148CB">
              <w:rPr>
                <w:rStyle w:val="Bold"/>
                <w:rFonts w:ascii="Calibri" w:hAnsi="Calibri" w:cs="Calibri"/>
                <w:sz w:val="20"/>
                <w:szCs w:val="20"/>
              </w:rPr>
              <w:t>Content 01 Example:</w:t>
            </w:r>
          </w:p>
        </w:tc>
        <w:tc>
          <w:tcPr>
            <w:tcW w:w="265" w:type="dxa"/>
          </w:tcPr>
          <w:p w14:paraId="5E7E7D5F"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T</w:t>
            </w:r>
          </w:p>
        </w:tc>
        <w:tc>
          <w:tcPr>
            <w:tcW w:w="411" w:type="dxa"/>
          </w:tcPr>
          <w:p w14:paraId="359C93E2"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17</w:t>
            </w:r>
          </w:p>
        </w:tc>
        <w:tc>
          <w:tcPr>
            <w:tcW w:w="725" w:type="dxa"/>
          </w:tcPr>
          <w:p w14:paraId="52E20DEE"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018114</w:t>
            </w:r>
          </w:p>
        </w:tc>
        <w:tc>
          <w:tcPr>
            <w:tcW w:w="355" w:type="dxa"/>
          </w:tcPr>
          <w:p w14:paraId="453D5294"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1</w:t>
            </w:r>
          </w:p>
        </w:tc>
        <w:tc>
          <w:tcPr>
            <w:tcW w:w="360" w:type="dxa"/>
          </w:tcPr>
          <w:p w14:paraId="5C95DFEA"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1</w:t>
            </w:r>
          </w:p>
        </w:tc>
        <w:tc>
          <w:tcPr>
            <w:tcW w:w="630" w:type="dxa"/>
          </w:tcPr>
          <w:p w14:paraId="7CBC0047"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2012</w:t>
            </w:r>
          </w:p>
        </w:tc>
        <w:tc>
          <w:tcPr>
            <w:tcW w:w="630" w:type="dxa"/>
          </w:tcPr>
          <w:p w14:paraId="53638FB0"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06</w:t>
            </w:r>
          </w:p>
        </w:tc>
        <w:tc>
          <w:tcPr>
            <w:tcW w:w="630" w:type="dxa"/>
          </w:tcPr>
          <w:p w14:paraId="2D8C425B"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20</w:t>
            </w:r>
          </w:p>
        </w:tc>
        <w:tc>
          <w:tcPr>
            <w:tcW w:w="630" w:type="dxa"/>
          </w:tcPr>
          <w:p w14:paraId="78DA7AB7"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w:t>
            </w:r>
          </w:p>
        </w:tc>
        <w:tc>
          <w:tcPr>
            <w:tcW w:w="630" w:type="dxa"/>
          </w:tcPr>
          <w:p w14:paraId="70A2C0A1" w14:textId="77777777" w:rsidR="009B7AED" w:rsidRPr="005148CB" w:rsidRDefault="009B7AED" w:rsidP="002841D0">
            <w:pPr>
              <w:pStyle w:val="TableTextDense"/>
              <w:spacing w:before="10" w:after="10" w:line="240" w:lineRule="auto"/>
              <w:contextualSpacing w:val="0"/>
              <w:jc w:val="center"/>
              <w:rPr>
                <w:rFonts w:ascii="Calibri" w:hAnsi="Calibri" w:cs="Calibri"/>
                <w:color w:val="auto"/>
                <w:sz w:val="20"/>
                <w:szCs w:val="20"/>
              </w:rPr>
            </w:pPr>
            <w:r w:rsidRPr="005148CB">
              <w:rPr>
                <w:rFonts w:ascii="Calibri" w:hAnsi="Calibri" w:cs="Calibri"/>
                <w:sz w:val="20"/>
                <w:szCs w:val="20"/>
              </w:rPr>
              <w:t>Blank</w:t>
            </w:r>
          </w:p>
        </w:tc>
        <w:tc>
          <w:tcPr>
            <w:tcW w:w="540" w:type="dxa"/>
          </w:tcPr>
          <w:p w14:paraId="2EC4CDF6"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1</w:t>
            </w:r>
          </w:p>
        </w:tc>
        <w:tc>
          <w:tcPr>
            <w:tcW w:w="630" w:type="dxa"/>
          </w:tcPr>
          <w:p w14:paraId="4F1E1861"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21</w:t>
            </w:r>
          </w:p>
        </w:tc>
        <w:tc>
          <w:tcPr>
            <w:tcW w:w="450" w:type="dxa"/>
          </w:tcPr>
          <w:p w14:paraId="509A1C0D"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w:t>
            </w:r>
          </w:p>
        </w:tc>
        <w:tc>
          <w:tcPr>
            <w:tcW w:w="720" w:type="dxa"/>
          </w:tcPr>
          <w:p w14:paraId="4332FE42" w14:textId="77777777" w:rsidR="009B7AED" w:rsidRPr="005148CB" w:rsidRDefault="009B7AED" w:rsidP="002841D0">
            <w:pPr>
              <w:pStyle w:val="TableTextDense"/>
              <w:spacing w:before="10" w:after="10" w:line="240" w:lineRule="auto"/>
              <w:contextualSpacing w:val="0"/>
              <w:jc w:val="center"/>
              <w:rPr>
                <w:rFonts w:ascii="Calibri" w:hAnsi="Calibri" w:cs="Calibri"/>
                <w:color w:val="auto"/>
                <w:sz w:val="20"/>
                <w:szCs w:val="20"/>
              </w:rPr>
            </w:pPr>
            <w:r w:rsidRPr="005148CB">
              <w:rPr>
                <w:rFonts w:ascii="Calibri" w:hAnsi="Calibri" w:cs="Calibri"/>
                <w:sz w:val="20"/>
                <w:szCs w:val="20"/>
              </w:rPr>
              <w:t>Blank</w:t>
            </w:r>
          </w:p>
        </w:tc>
        <w:tc>
          <w:tcPr>
            <w:tcW w:w="720" w:type="dxa"/>
          </w:tcPr>
          <w:p w14:paraId="1650F429"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r>
      <w:tr w:rsidR="005148CB" w:rsidRPr="005148CB" w14:paraId="5135EFB8" w14:textId="77777777" w:rsidTr="007C54FC">
        <w:trPr>
          <w:trHeight w:val="60"/>
        </w:trPr>
        <w:tc>
          <w:tcPr>
            <w:tcW w:w="1024" w:type="dxa"/>
          </w:tcPr>
          <w:p w14:paraId="11B465D3" w14:textId="77777777" w:rsidR="009B7AED" w:rsidRPr="005148CB" w:rsidRDefault="009B7AED" w:rsidP="002841D0">
            <w:pPr>
              <w:pStyle w:val="TableTextDense"/>
              <w:spacing w:before="10" w:after="10" w:line="240" w:lineRule="auto"/>
              <w:contextualSpacing w:val="0"/>
              <w:rPr>
                <w:rFonts w:ascii="Calibri" w:hAnsi="Calibri" w:cs="Calibri"/>
                <w:sz w:val="20"/>
                <w:szCs w:val="20"/>
              </w:rPr>
            </w:pPr>
            <w:r w:rsidRPr="005148CB">
              <w:rPr>
                <w:rStyle w:val="Bold"/>
                <w:rFonts w:ascii="Calibri" w:hAnsi="Calibri" w:cs="Calibri"/>
                <w:sz w:val="20"/>
                <w:szCs w:val="20"/>
              </w:rPr>
              <w:t>Content 02 Example:</w:t>
            </w:r>
          </w:p>
        </w:tc>
        <w:tc>
          <w:tcPr>
            <w:tcW w:w="265" w:type="dxa"/>
          </w:tcPr>
          <w:p w14:paraId="50B31C4E"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T</w:t>
            </w:r>
          </w:p>
        </w:tc>
        <w:tc>
          <w:tcPr>
            <w:tcW w:w="411" w:type="dxa"/>
          </w:tcPr>
          <w:p w14:paraId="0251AF36"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17</w:t>
            </w:r>
          </w:p>
        </w:tc>
        <w:tc>
          <w:tcPr>
            <w:tcW w:w="725" w:type="dxa"/>
          </w:tcPr>
          <w:p w14:paraId="12BB5A0D"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018114</w:t>
            </w:r>
          </w:p>
        </w:tc>
        <w:tc>
          <w:tcPr>
            <w:tcW w:w="355" w:type="dxa"/>
          </w:tcPr>
          <w:p w14:paraId="387A5761"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1</w:t>
            </w:r>
          </w:p>
        </w:tc>
        <w:tc>
          <w:tcPr>
            <w:tcW w:w="360" w:type="dxa"/>
          </w:tcPr>
          <w:p w14:paraId="4876E6A0"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2</w:t>
            </w:r>
          </w:p>
        </w:tc>
        <w:tc>
          <w:tcPr>
            <w:tcW w:w="630" w:type="dxa"/>
          </w:tcPr>
          <w:p w14:paraId="147A5F6B"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2012</w:t>
            </w:r>
          </w:p>
        </w:tc>
        <w:tc>
          <w:tcPr>
            <w:tcW w:w="630" w:type="dxa"/>
          </w:tcPr>
          <w:p w14:paraId="35AB56CD"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06</w:t>
            </w:r>
          </w:p>
        </w:tc>
        <w:tc>
          <w:tcPr>
            <w:tcW w:w="630" w:type="dxa"/>
          </w:tcPr>
          <w:p w14:paraId="092DC287"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20</w:t>
            </w:r>
          </w:p>
        </w:tc>
        <w:tc>
          <w:tcPr>
            <w:tcW w:w="630" w:type="dxa"/>
          </w:tcPr>
          <w:p w14:paraId="3B8C7688"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w:t>
            </w:r>
          </w:p>
        </w:tc>
        <w:tc>
          <w:tcPr>
            <w:tcW w:w="630" w:type="dxa"/>
          </w:tcPr>
          <w:p w14:paraId="16AC0FCF"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Blank</w:t>
            </w:r>
          </w:p>
        </w:tc>
        <w:tc>
          <w:tcPr>
            <w:tcW w:w="540" w:type="dxa"/>
          </w:tcPr>
          <w:p w14:paraId="61E727DA"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1</w:t>
            </w:r>
          </w:p>
        </w:tc>
        <w:tc>
          <w:tcPr>
            <w:tcW w:w="630" w:type="dxa"/>
          </w:tcPr>
          <w:p w14:paraId="7BF0C41D"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21</w:t>
            </w:r>
          </w:p>
        </w:tc>
        <w:tc>
          <w:tcPr>
            <w:tcW w:w="450" w:type="dxa"/>
          </w:tcPr>
          <w:p w14:paraId="5EA07848"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w:t>
            </w:r>
          </w:p>
        </w:tc>
        <w:tc>
          <w:tcPr>
            <w:tcW w:w="720" w:type="dxa"/>
          </w:tcPr>
          <w:p w14:paraId="4D3343CA" w14:textId="77777777" w:rsidR="009B7AED" w:rsidRPr="005148CB" w:rsidRDefault="009B7AED" w:rsidP="002841D0">
            <w:pPr>
              <w:pStyle w:val="TableTextDense"/>
              <w:spacing w:before="10" w:after="10" w:line="240" w:lineRule="auto"/>
              <w:contextualSpacing w:val="0"/>
              <w:jc w:val="center"/>
              <w:rPr>
                <w:rFonts w:ascii="Calibri" w:hAnsi="Calibri" w:cs="Calibri"/>
                <w:color w:val="auto"/>
                <w:sz w:val="20"/>
                <w:szCs w:val="20"/>
              </w:rPr>
            </w:pPr>
            <w:r w:rsidRPr="005148CB">
              <w:rPr>
                <w:rFonts w:ascii="Calibri" w:hAnsi="Calibri" w:cs="Calibri"/>
                <w:sz w:val="20"/>
                <w:szCs w:val="20"/>
              </w:rPr>
              <w:t>Blank</w:t>
            </w:r>
          </w:p>
        </w:tc>
        <w:tc>
          <w:tcPr>
            <w:tcW w:w="720" w:type="dxa"/>
          </w:tcPr>
          <w:p w14:paraId="42BC69DC"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r>
      <w:tr w:rsidR="005148CB" w:rsidRPr="005148CB" w14:paraId="28377983" w14:textId="77777777" w:rsidTr="007C54FC">
        <w:trPr>
          <w:trHeight w:val="60"/>
        </w:trPr>
        <w:tc>
          <w:tcPr>
            <w:tcW w:w="1024" w:type="dxa"/>
          </w:tcPr>
          <w:p w14:paraId="1D3A34AC" w14:textId="77777777" w:rsidR="009B7AED" w:rsidRPr="005148CB" w:rsidRDefault="009B7AED" w:rsidP="002841D0">
            <w:pPr>
              <w:pStyle w:val="TableTextDense"/>
              <w:spacing w:before="10" w:after="10" w:line="240" w:lineRule="auto"/>
              <w:contextualSpacing w:val="0"/>
              <w:rPr>
                <w:rFonts w:ascii="Calibri" w:hAnsi="Calibri" w:cs="Calibri"/>
                <w:sz w:val="20"/>
                <w:szCs w:val="20"/>
              </w:rPr>
            </w:pPr>
            <w:r w:rsidRPr="005148CB">
              <w:rPr>
                <w:rStyle w:val="Bold"/>
                <w:rFonts w:ascii="Calibri" w:hAnsi="Calibri" w:cs="Calibri"/>
                <w:sz w:val="20"/>
                <w:szCs w:val="20"/>
              </w:rPr>
              <w:t>Content 03 Example:</w:t>
            </w:r>
          </w:p>
        </w:tc>
        <w:tc>
          <w:tcPr>
            <w:tcW w:w="265" w:type="dxa"/>
          </w:tcPr>
          <w:p w14:paraId="5D036141"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T</w:t>
            </w:r>
          </w:p>
        </w:tc>
        <w:tc>
          <w:tcPr>
            <w:tcW w:w="411" w:type="dxa"/>
          </w:tcPr>
          <w:p w14:paraId="65B6F259"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17</w:t>
            </w:r>
          </w:p>
        </w:tc>
        <w:tc>
          <w:tcPr>
            <w:tcW w:w="725" w:type="dxa"/>
          </w:tcPr>
          <w:p w14:paraId="367C2436"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018114</w:t>
            </w:r>
          </w:p>
        </w:tc>
        <w:tc>
          <w:tcPr>
            <w:tcW w:w="355" w:type="dxa"/>
          </w:tcPr>
          <w:p w14:paraId="53860A53"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5</w:t>
            </w:r>
          </w:p>
        </w:tc>
        <w:tc>
          <w:tcPr>
            <w:tcW w:w="360" w:type="dxa"/>
          </w:tcPr>
          <w:p w14:paraId="584702C5"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2</w:t>
            </w:r>
          </w:p>
        </w:tc>
        <w:tc>
          <w:tcPr>
            <w:tcW w:w="630" w:type="dxa"/>
          </w:tcPr>
          <w:p w14:paraId="374219A2"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2012</w:t>
            </w:r>
          </w:p>
        </w:tc>
        <w:tc>
          <w:tcPr>
            <w:tcW w:w="630" w:type="dxa"/>
          </w:tcPr>
          <w:p w14:paraId="7DDE1C10"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06</w:t>
            </w:r>
          </w:p>
        </w:tc>
        <w:tc>
          <w:tcPr>
            <w:tcW w:w="630" w:type="dxa"/>
          </w:tcPr>
          <w:p w14:paraId="4CE78534"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20</w:t>
            </w:r>
          </w:p>
        </w:tc>
        <w:tc>
          <w:tcPr>
            <w:tcW w:w="630" w:type="dxa"/>
          </w:tcPr>
          <w:p w14:paraId="68EDEB3D"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w:t>
            </w:r>
          </w:p>
        </w:tc>
        <w:tc>
          <w:tcPr>
            <w:tcW w:w="630" w:type="dxa"/>
          </w:tcPr>
          <w:p w14:paraId="0A666AB7"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Blank</w:t>
            </w:r>
          </w:p>
        </w:tc>
        <w:tc>
          <w:tcPr>
            <w:tcW w:w="540" w:type="dxa"/>
          </w:tcPr>
          <w:p w14:paraId="1618A302"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1</w:t>
            </w:r>
          </w:p>
        </w:tc>
        <w:tc>
          <w:tcPr>
            <w:tcW w:w="630" w:type="dxa"/>
          </w:tcPr>
          <w:p w14:paraId="4A3243DD"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21</w:t>
            </w:r>
          </w:p>
        </w:tc>
        <w:tc>
          <w:tcPr>
            <w:tcW w:w="450" w:type="dxa"/>
          </w:tcPr>
          <w:p w14:paraId="056261B6"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w:t>
            </w:r>
          </w:p>
        </w:tc>
        <w:tc>
          <w:tcPr>
            <w:tcW w:w="720" w:type="dxa"/>
          </w:tcPr>
          <w:p w14:paraId="2A4B303A" w14:textId="77777777" w:rsidR="009B7AED" w:rsidRPr="005148CB" w:rsidRDefault="009B7AED" w:rsidP="002841D0">
            <w:pPr>
              <w:pStyle w:val="TableTextDense"/>
              <w:spacing w:before="10" w:after="10" w:line="240" w:lineRule="auto"/>
              <w:contextualSpacing w:val="0"/>
              <w:jc w:val="center"/>
              <w:rPr>
                <w:rFonts w:ascii="Calibri" w:hAnsi="Calibri" w:cs="Calibri"/>
                <w:color w:val="auto"/>
                <w:sz w:val="20"/>
                <w:szCs w:val="20"/>
              </w:rPr>
            </w:pPr>
            <w:r w:rsidRPr="005148CB">
              <w:rPr>
                <w:rFonts w:ascii="Calibri" w:hAnsi="Calibri" w:cs="Calibri"/>
                <w:sz w:val="20"/>
                <w:szCs w:val="20"/>
              </w:rPr>
              <w:t>Blank</w:t>
            </w:r>
          </w:p>
        </w:tc>
        <w:tc>
          <w:tcPr>
            <w:tcW w:w="720" w:type="dxa"/>
          </w:tcPr>
          <w:p w14:paraId="2185E1E3"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r>
      <w:tr w:rsidR="005148CB" w:rsidRPr="005148CB" w14:paraId="75A23985" w14:textId="77777777" w:rsidTr="007C54FC">
        <w:trPr>
          <w:trHeight w:val="60"/>
        </w:trPr>
        <w:tc>
          <w:tcPr>
            <w:tcW w:w="1024" w:type="dxa"/>
          </w:tcPr>
          <w:p w14:paraId="733D6B55" w14:textId="77777777" w:rsidR="009B7AED" w:rsidRPr="005148CB" w:rsidRDefault="009B7AED" w:rsidP="002841D0">
            <w:pPr>
              <w:pStyle w:val="TableTextDense"/>
              <w:spacing w:before="10" w:after="10" w:line="240" w:lineRule="auto"/>
              <w:contextualSpacing w:val="0"/>
              <w:rPr>
                <w:rFonts w:ascii="Calibri" w:hAnsi="Calibri" w:cs="Calibri"/>
                <w:sz w:val="20"/>
                <w:szCs w:val="20"/>
              </w:rPr>
            </w:pPr>
            <w:r w:rsidRPr="005148CB">
              <w:rPr>
                <w:rStyle w:val="Bold"/>
                <w:rFonts w:ascii="Calibri" w:hAnsi="Calibri" w:cs="Calibri"/>
                <w:sz w:val="20"/>
                <w:szCs w:val="20"/>
              </w:rPr>
              <w:t>Content 04 Example:</w:t>
            </w:r>
          </w:p>
        </w:tc>
        <w:tc>
          <w:tcPr>
            <w:tcW w:w="265" w:type="dxa"/>
          </w:tcPr>
          <w:p w14:paraId="164B866E"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T</w:t>
            </w:r>
          </w:p>
        </w:tc>
        <w:tc>
          <w:tcPr>
            <w:tcW w:w="411" w:type="dxa"/>
          </w:tcPr>
          <w:p w14:paraId="6A70E8D3"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17</w:t>
            </w:r>
          </w:p>
        </w:tc>
        <w:tc>
          <w:tcPr>
            <w:tcW w:w="725" w:type="dxa"/>
          </w:tcPr>
          <w:p w14:paraId="08A0CFB5"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018114</w:t>
            </w:r>
          </w:p>
        </w:tc>
        <w:tc>
          <w:tcPr>
            <w:tcW w:w="355" w:type="dxa"/>
          </w:tcPr>
          <w:p w14:paraId="1C4CF932"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5</w:t>
            </w:r>
          </w:p>
        </w:tc>
        <w:tc>
          <w:tcPr>
            <w:tcW w:w="360" w:type="dxa"/>
          </w:tcPr>
          <w:p w14:paraId="5000AD9C"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1</w:t>
            </w:r>
          </w:p>
        </w:tc>
        <w:tc>
          <w:tcPr>
            <w:tcW w:w="630" w:type="dxa"/>
          </w:tcPr>
          <w:p w14:paraId="45110739"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2012</w:t>
            </w:r>
          </w:p>
        </w:tc>
        <w:tc>
          <w:tcPr>
            <w:tcW w:w="630" w:type="dxa"/>
          </w:tcPr>
          <w:p w14:paraId="394EEF79"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06</w:t>
            </w:r>
          </w:p>
        </w:tc>
        <w:tc>
          <w:tcPr>
            <w:tcW w:w="630" w:type="dxa"/>
          </w:tcPr>
          <w:p w14:paraId="2445BFAA"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20</w:t>
            </w:r>
          </w:p>
        </w:tc>
        <w:tc>
          <w:tcPr>
            <w:tcW w:w="630" w:type="dxa"/>
          </w:tcPr>
          <w:p w14:paraId="22D693E8"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w:t>
            </w:r>
          </w:p>
        </w:tc>
        <w:tc>
          <w:tcPr>
            <w:tcW w:w="630" w:type="dxa"/>
          </w:tcPr>
          <w:p w14:paraId="1CF4F922"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Blank</w:t>
            </w:r>
          </w:p>
        </w:tc>
        <w:tc>
          <w:tcPr>
            <w:tcW w:w="540" w:type="dxa"/>
          </w:tcPr>
          <w:p w14:paraId="7D065C9F"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1</w:t>
            </w:r>
          </w:p>
        </w:tc>
        <w:tc>
          <w:tcPr>
            <w:tcW w:w="630" w:type="dxa"/>
          </w:tcPr>
          <w:p w14:paraId="781C46B4"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21</w:t>
            </w:r>
          </w:p>
        </w:tc>
        <w:tc>
          <w:tcPr>
            <w:tcW w:w="450" w:type="dxa"/>
          </w:tcPr>
          <w:p w14:paraId="6FD16CD6"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w:t>
            </w:r>
          </w:p>
        </w:tc>
        <w:tc>
          <w:tcPr>
            <w:tcW w:w="720" w:type="dxa"/>
          </w:tcPr>
          <w:p w14:paraId="50493AE9" w14:textId="77777777" w:rsidR="009B7AED" w:rsidRPr="005148CB" w:rsidRDefault="009B7AED" w:rsidP="002841D0">
            <w:pPr>
              <w:pStyle w:val="TableTextDense"/>
              <w:spacing w:before="10" w:after="10" w:line="240" w:lineRule="auto"/>
              <w:contextualSpacing w:val="0"/>
              <w:jc w:val="center"/>
              <w:rPr>
                <w:rFonts w:ascii="Calibri" w:hAnsi="Calibri" w:cs="Calibri"/>
                <w:color w:val="auto"/>
                <w:sz w:val="20"/>
                <w:szCs w:val="20"/>
              </w:rPr>
            </w:pPr>
            <w:r w:rsidRPr="005148CB">
              <w:rPr>
                <w:rFonts w:ascii="Calibri" w:hAnsi="Calibri" w:cs="Calibri"/>
                <w:sz w:val="20"/>
                <w:szCs w:val="20"/>
              </w:rPr>
              <w:t>Blank</w:t>
            </w:r>
          </w:p>
        </w:tc>
        <w:tc>
          <w:tcPr>
            <w:tcW w:w="720" w:type="dxa"/>
          </w:tcPr>
          <w:p w14:paraId="2465EF83"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r>
    </w:tbl>
    <w:p w14:paraId="6B85A7B6" w14:textId="3B28F479" w:rsidR="009B7AED" w:rsidRDefault="009B7AED" w:rsidP="002841D0">
      <w:pPr>
        <w:pStyle w:val="BodyText"/>
        <w:spacing w:before="120"/>
        <w:rPr>
          <w:rStyle w:val="Italic"/>
          <w:iCs/>
        </w:rPr>
      </w:pPr>
      <w:r>
        <w:rPr>
          <w:rStyle w:val="Italic"/>
          <w:iCs/>
        </w:rPr>
        <w:t>continued</w:t>
      </w:r>
    </w:p>
    <w:tbl>
      <w:tblPr>
        <w:tblStyle w:val="TMGTable"/>
        <w:tblW w:w="935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1070"/>
        <w:gridCol w:w="690"/>
        <w:gridCol w:w="690"/>
        <w:gridCol w:w="690"/>
        <w:gridCol w:w="690"/>
        <w:gridCol w:w="690"/>
        <w:gridCol w:w="690"/>
        <w:gridCol w:w="690"/>
        <w:gridCol w:w="690"/>
        <w:gridCol w:w="690"/>
        <w:gridCol w:w="690"/>
        <w:gridCol w:w="690"/>
        <w:gridCol w:w="690"/>
      </w:tblGrid>
      <w:tr w:rsidR="009B7AED" w:rsidRPr="005148CB" w14:paraId="21AE819B" w14:textId="77777777" w:rsidTr="00336967">
        <w:trPr>
          <w:cnfStyle w:val="100000000000" w:firstRow="1" w:lastRow="0" w:firstColumn="0" w:lastColumn="0" w:oddVBand="0" w:evenVBand="0" w:oddHBand="0" w:evenHBand="0" w:firstRowFirstColumn="0" w:firstRowLastColumn="0" w:lastRowFirstColumn="0" w:lastRowLastColumn="0"/>
          <w:trHeight w:val="60"/>
        </w:trPr>
        <w:tc>
          <w:tcPr>
            <w:tcW w:w="1070" w:type="dxa"/>
          </w:tcPr>
          <w:p w14:paraId="017FEFD3" w14:textId="77777777" w:rsidR="009B7AED" w:rsidRPr="005148CB" w:rsidRDefault="009B7AED" w:rsidP="002841D0">
            <w:pPr>
              <w:pStyle w:val="TableTextDense"/>
              <w:spacing w:before="10" w:after="10" w:line="240" w:lineRule="auto"/>
              <w:contextualSpacing w:val="0"/>
              <w:rPr>
                <w:rFonts w:ascii="Calibri" w:hAnsi="Calibri" w:cs="Calibri"/>
                <w:b w:val="0"/>
                <w:bCs w:val="0"/>
                <w:sz w:val="20"/>
                <w:szCs w:val="20"/>
              </w:rPr>
            </w:pPr>
            <w:r w:rsidRPr="005148CB">
              <w:rPr>
                <w:rStyle w:val="Bold"/>
                <w:rFonts w:ascii="Calibri" w:hAnsi="Calibri" w:cs="Calibri"/>
                <w:sz w:val="20"/>
                <w:szCs w:val="20"/>
              </w:rPr>
              <w:t>Column Number:</w:t>
            </w:r>
          </w:p>
        </w:tc>
        <w:tc>
          <w:tcPr>
            <w:tcW w:w="690" w:type="dxa"/>
          </w:tcPr>
          <w:p w14:paraId="24202B20" w14:textId="77777777" w:rsidR="009B7AED" w:rsidRPr="005148CB" w:rsidRDefault="009B7AED" w:rsidP="002841D0">
            <w:pPr>
              <w:pStyle w:val="TableTextDense"/>
              <w:spacing w:before="10" w:after="10" w:line="240" w:lineRule="auto"/>
              <w:contextualSpacing w:val="0"/>
              <w:jc w:val="center"/>
              <w:rPr>
                <w:rFonts w:ascii="Calibri" w:hAnsi="Calibri" w:cs="Calibri"/>
                <w:b w:val="0"/>
                <w:bCs w:val="0"/>
                <w:sz w:val="20"/>
                <w:szCs w:val="20"/>
              </w:rPr>
            </w:pPr>
            <w:r w:rsidRPr="005148CB">
              <w:rPr>
                <w:rFonts w:ascii="Calibri" w:hAnsi="Calibri" w:cs="Calibri"/>
                <w:sz w:val="20"/>
                <w:szCs w:val="20"/>
              </w:rPr>
              <w:t>37-41</w:t>
            </w:r>
          </w:p>
        </w:tc>
        <w:tc>
          <w:tcPr>
            <w:tcW w:w="690" w:type="dxa"/>
          </w:tcPr>
          <w:p w14:paraId="01232A52" w14:textId="77777777" w:rsidR="009B7AED" w:rsidRPr="005148CB" w:rsidRDefault="009B7AED" w:rsidP="002841D0">
            <w:pPr>
              <w:pStyle w:val="TableTextDense"/>
              <w:spacing w:before="10" w:after="10" w:line="240" w:lineRule="auto"/>
              <w:contextualSpacing w:val="0"/>
              <w:jc w:val="center"/>
              <w:rPr>
                <w:rFonts w:ascii="Calibri" w:hAnsi="Calibri" w:cs="Calibri"/>
                <w:b w:val="0"/>
                <w:bCs w:val="0"/>
                <w:sz w:val="20"/>
                <w:szCs w:val="20"/>
              </w:rPr>
            </w:pPr>
            <w:r w:rsidRPr="005148CB">
              <w:rPr>
                <w:rFonts w:ascii="Calibri" w:hAnsi="Calibri" w:cs="Calibri"/>
                <w:sz w:val="20"/>
                <w:szCs w:val="20"/>
              </w:rPr>
              <w:t>42-46</w:t>
            </w:r>
          </w:p>
        </w:tc>
        <w:tc>
          <w:tcPr>
            <w:tcW w:w="690" w:type="dxa"/>
          </w:tcPr>
          <w:p w14:paraId="3D1B338A" w14:textId="77777777" w:rsidR="009B7AED" w:rsidRPr="005148CB" w:rsidRDefault="009B7AED" w:rsidP="002841D0">
            <w:pPr>
              <w:pStyle w:val="TableTextDense"/>
              <w:spacing w:before="10" w:after="10" w:line="240" w:lineRule="auto"/>
              <w:contextualSpacing w:val="0"/>
              <w:jc w:val="center"/>
              <w:rPr>
                <w:rFonts w:ascii="Calibri" w:hAnsi="Calibri" w:cs="Calibri"/>
                <w:b w:val="0"/>
                <w:bCs w:val="0"/>
                <w:sz w:val="20"/>
                <w:szCs w:val="20"/>
              </w:rPr>
            </w:pPr>
            <w:r w:rsidRPr="005148CB">
              <w:rPr>
                <w:rFonts w:ascii="Calibri" w:hAnsi="Calibri" w:cs="Calibri"/>
                <w:sz w:val="20"/>
                <w:szCs w:val="20"/>
              </w:rPr>
              <w:t>47-51</w:t>
            </w:r>
          </w:p>
        </w:tc>
        <w:tc>
          <w:tcPr>
            <w:tcW w:w="690" w:type="dxa"/>
          </w:tcPr>
          <w:p w14:paraId="5795099D" w14:textId="77777777" w:rsidR="009B7AED" w:rsidRPr="005148CB" w:rsidRDefault="009B7AED" w:rsidP="002841D0">
            <w:pPr>
              <w:pStyle w:val="TableTextDense"/>
              <w:spacing w:before="10" w:after="10" w:line="240" w:lineRule="auto"/>
              <w:contextualSpacing w:val="0"/>
              <w:jc w:val="center"/>
              <w:rPr>
                <w:rFonts w:ascii="Calibri" w:hAnsi="Calibri" w:cs="Calibri"/>
                <w:b w:val="0"/>
                <w:bCs w:val="0"/>
                <w:sz w:val="20"/>
                <w:szCs w:val="20"/>
              </w:rPr>
            </w:pPr>
            <w:r w:rsidRPr="005148CB">
              <w:rPr>
                <w:rFonts w:ascii="Calibri" w:hAnsi="Calibri" w:cs="Calibri"/>
                <w:sz w:val="20"/>
                <w:szCs w:val="20"/>
              </w:rPr>
              <w:t>52-56</w:t>
            </w:r>
          </w:p>
        </w:tc>
        <w:tc>
          <w:tcPr>
            <w:tcW w:w="690" w:type="dxa"/>
          </w:tcPr>
          <w:p w14:paraId="0B9EBCE1" w14:textId="77777777" w:rsidR="009B7AED" w:rsidRPr="005148CB" w:rsidRDefault="009B7AED" w:rsidP="002841D0">
            <w:pPr>
              <w:pStyle w:val="TableTextDense"/>
              <w:spacing w:before="10" w:after="10" w:line="240" w:lineRule="auto"/>
              <w:contextualSpacing w:val="0"/>
              <w:jc w:val="center"/>
              <w:rPr>
                <w:rFonts w:ascii="Calibri" w:hAnsi="Calibri" w:cs="Calibri"/>
                <w:b w:val="0"/>
                <w:bCs w:val="0"/>
                <w:sz w:val="20"/>
                <w:szCs w:val="20"/>
              </w:rPr>
            </w:pPr>
            <w:r w:rsidRPr="005148CB">
              <w:rPr>
                <w:rFonts w:ascii="Calibri" w:hAnsi="Calibri" w:cs="Calibri"/>
                <w:sz w:val="20"/>
                <w:szCs w:val="20"/>
              </w:rPr>
              <w:t>57-61</w:t>
            </w:r>
          </w:p>
        </w:tc>
        <w:tc>
          <w:tcPr>
            <w:tcW w:w="690" w:type="dxa"/>
          </w:tcPr>
          <w:p w14:paraId="63C0CC58" w14:textId="77777777" w:rsidR="009B7AED" w:rsidRPr="005148CB" w:rsidRDefault="009B7AED" w:rsidP="002841D0">
            <w:pPr>
              <w:pStyle w:val="TableTextDense"/>
              <w:spacing w:before="10" w:after="10" w:line="240" w:lineRule="auto"/>
              <w:contextualSpacing w:val="0"/>
              <w:jc w:val="center"/>
              <w:rPr>
                <w:rFonts w:ascii="Calibri" w:hAnsi="Calibri" w:cs="Calibri"/>
                <w:b w:val="0"/>
                <w:bCs w:val="0"/>
                <w:sz w:val="20"/>
                <w:szCs w:val="20"/>
              </w:rPr>
            </w:pPr>
            <w:r w:rsidRPr="005148CB">
              <w:rPr>
                <w:rFonts w:ascii="Calibri" w:hAnsi="Calibri" w:cs="Calibri"/>
                <w:sz w:val="20"/>
                <w:szCs w:val="20"/>
              </w:rPr>
              <w:t>62-66</w:t>
            </w:r>
          </w:p>
        </w:tc>
        <w:tc>
          <w:tcPr>
            <w:tcW w:w="690" w:type="dxa"/>
          </w:tcPr>
          <w:p w14:paraId="766C262E" w14:textId="77777777" w:rsidR="009B7AED" w:rsidRPr="005148CB" w:rsidRDefault="009B7AED" w:rsidP="002841D0">
            <w:pPr>
              <w:pStyle w:val="TableTextDense"/>
              <w:spacing w:before="10" w:after="10" w:line="240" w:lineRule="auto"/>
              <w:contextualSpacing w:val="0"/>
              <w:jc w:val="center"/>
              <w:rPr>
                <w:rFonts w:ascii="Calibri" w:hAnsi="Calibri" w:cs="Calibri"/>
                <w:b w:val="0"/>
                <w:bCs w:val="0"/>
                <w:sz w:val="20"/>
                <w:szCs w:val="20"/>
              </w:rPr>
            </w:pPr>
            <w:r w:rsidRPr="005148CB">
              <w:rPr>
                <w:rFonts w:ascii="Calibri" w:hAnsi="Calibri" w:cs="Calibri"/>
                <w:sz w:val="20"/>
                <w:szCs w:val="20"/>
              </w:rPr>
              <w:t>67-71</w:t>
            </w:r>
          </w:p>
        </w:tc>
        <w:tc>
          <w:tcPr>
            <w:tcW w:w="690" w:type="dxa"/>
          </w:tcPr>
          <w:p w14:paraId="2E01A73A" w14:textId="77777777" w:rsidR="009B7AED" w:rsidRPr="005148CB" w:rsidRDefault="009B7AED" w:rsidP="002841D0">
            <w:pPr>
              <w:pStyle w:val="TableTextDense"/>
              <w:spacing w:before="10" w:after="10" w:line="240" w:lineRule="auto"/>
              <w:contextualSpacing w:val="0"/>
              <w:jc w:val="center"/>
              <w:rPr>
                <w:rFonts w:ascii="Calibri" w:hAnsi="Calibri" w:cs="Calibri"/>
                <w:b w:val="0"/>
                <w:bCs w:val="0"/>
                <w:sz w:val="20"/>
                <w:szCs w:val="20"/>
              </w:rPr>
            </w:pPr>
            <w:r w:rsidRPr="005148CB">
              <w:rPr>
                <w:rFonts w:ascii="Calibri" w:hAnsi="Calibri" w:cs="Calibri"/>
                <w:sz w:val="20"/>
                <w:szCs w:val="20"/>
              </w:rPr>
              <w:t>72-76</w:t>
            </w:r>
          </w:p>
        </w:tc>
        <w:tc>
          <w:tcPr>
            <w:tcW w:w="690" w:type="dxa"/>
          </w:tcPr>
          <w:p w14:paraId="107920EF" w14:textId="77777777" w:rsidR="009B7AED" w:rsidRPr="005148CB" w:rsidRDefault="009B7AED" w:rsidP="002841D0">
            <w:pPr>
              <w:pStyle w:val="TableTextDense"/>
              <w:spacing w:before="10" w:after="10" w:line="240" w:lineRule="auto"/>
              <w:contextualSpacing w:val="0"/>
              <w:jc w:val="center"/>
              <w:rPr>
                <w:rFonts w:ascii="Calibri" w:hAnsi="Calibri" w:cs="Calibri"/>
                <w:b w:val="0"/>
                <w:bCs w:val="0"/>
                <w:sz w:val="20"/>
                <w:szCs w:val="20"/>
              </w:rPr>
            </w:pPr>
            <w:r w:rsidRPr="005148CB">
              <w:rPr>
                <w:rFonts w:ascii="Calibri" w:hAnsi="Calibri" w:cs="Calibri"/>
                <w:sz w:val="20"/>
                <w:szCs w:val="20"/>
              </w:rPr>
              <w:t>77-81</w:t>
            </w:r>
          </w:p>
        </w:tc>
        <w:tc>
          <w:tcPr>
            <w:tcW w:w="690" w:type="dxa"/>
          </w:tcPr>
          <w:p w14:paraId="11F12188" w14:textId="77777777" w:rsidR="009B7AED" w:rsidRPr="005148CB" w:rsidRDefault="009B7AED" w:rsidP="002841D0">
            <w:pPr>
              <w:pStyle w:val="TableTextDense"/>
              <w:spacing w:before="10" w:after="10" w:line="240" w:lineRule="auto"/>
              <w:contextualSpacing w:val="0"/>
              <w:jc w:val="center"/>
              <w:rPr>
                <w:rFonts w:ascii="Calibri" w:hAnsi="Calibri" w:cs="Calibri"/>
                <w:b w:val="0"/>
                <w:bCs w:val="0"/>
                <w:sz w:val="20"/>
                <w:szCs w:val="20"/>
              </w:rPr>
            </w:pPr>
            <w:r w:rsidRPr="005148CB">
              <w:rPr>
                <w:rFonts w:ascii="Calibri" w:hAnsi="Calibri" w:cs="Calibri"/>
                <w:sz w:val="20"/>
                <w:szCs w:val="20"/>
              </w:rPr>
              <w:t>82-86</w:t>
            </w:r>
          </w:p>
        </w:tc>
        <w:tc>
          <w:tcPr>
            <w:tcW w:w="690" w:type="dxa"/>
          </w:tcPr>
          <w:p w14:paraId="6AA0146D" w14:textId="77777777" w:rsidR="009B7AED" w:rsidRPr="005148CB" w:rsidRDefault="009B7AED" w:rsidP="002841D0">
            <w:pPr>
              <w:pStyle w:val="TableTextDense"/>
              <w:spacing w:before="10" w:after="10" w:line="240" w:lineRule="auto"/>
              <w:contextualSpacing w:val="0"/>
              <w:jc w:val="center"/>
              <w:rPr>
                <w:rFonts w:ascii="Calibri" w:hAnsi="Calibri" w:cs="Calibri"/>
                <w:b w:val="0"/>
                <w:bCs w:val="0"/>
                <w:sz w:val="20"/>
                <w:szCs w:val="20"/>
              </w:rPr>
            </w:pPr>
            <w:r w:rsidRPr="005148CB">
              <w:rPr>
                <w:rFonts w:ascii="Calibri" w:hAnsi="Calibri" w:cs="Calibri"/>
                <w:sz w:val="20"/>
                <w:szCs w:val="20"/>
              </w:rPr>
              <w:t>87-91</w:t>
            </w:r>
          </w:p>
        </w:tc>
        <w:tc>
          <w:tcPr>
            <w:tcW w:w="690" w:type="dxa"/>
          </w:tcPr>
          <w:p w14:paraId="1A3C9861" w14:textId="77777777" w:rsidR="009B7AED" w:rsidRPr="005148CB" w:rsidRDefault="009B7AED" w:rsidP="002841D0">
            <w:pPr>
              <w:pStyle w:val="TableTextDense"/>
              <w:spacing w:before="10" w:after="10" w:line="240" w:lineRule="auto"/>
              <w:contextualSpacing w:val="0"/>
              <w:jc w:val="center"/>
              <w:rPr>
                <w:rFonts w:ascii="Calibri" w:hAnsi="Calibri" w:cs="Calibri"/>
                <w:b w:val="0"/>
                <w:bCs w:val="0"/>
                <w:sz w:val="20"/>
                <w:szCs w:val="20"/>
              </w:rPr>
            </w:pPr>
            <w:r w:rsidRPr="005148CB">
              <w:rPr>
                <w:rFonts w:ascii="Calibri" w:hAnsi="Calibri" w:cs="Calibri"/>
                <w:sz w:val="20"/>
                <w:szCs w:val="20"/>
              </w:rPr>
              <w:t>92-96</w:t>
            </w:r>
          </w:p>
        </w:tc>
      </w:tr>
      <w:tr w:rsidR="009B7AED" w:rsidRPr="005148CB" w14:paraId="04B8A769" w14:textId="77777777" w:rsidTr="00336967">
        <w:trPr>
          <w:trHeight w:val="60"/>
        </w:trPr>
        <w:tc>
          <w:tcPr>
            <w:tcW w:w="1070" w:type="dxa"/>
          </w:tcPr>
          <w:p w14:paraId="3EAECBE9" w14:textId="77777777" w:rsidR="009B7AED" w:rsidRPr="005148CB" w:rsidRDefault="009B7AED" w:rsidP="002841D0">
            <w:pPr>
              <w:pStyle w:val="TableTextDense"/>
              <w:spacing w:before="10" w:after="10" w:line="240" w:lineRule="auto"/>
              <w:contextualSpacing w:val="0"/>
              <w:rPr>
                <w:rFonts w:ascii="Calibri" w:hAnsi="Calibri" w:cs="Calibri"/>
                <w:sz w:val="20"/>
                <w:szCs w:val="20"/>
              </w:rPr>
            </w:pPr>
            <w:r w:rsidRPr="005148CB">
              <w:rPr>
                <w:rStyle w:val="Bold"/>
                <w:rFonts w:ascii="Calibri" w:hAnsi="Calibri" w:cs="Calibri"/>
                <w:sz w:val="20"/>
                <w:szCs w:val="20"/>
              </w:rPr>
              <w:t>Content 01 Example:</w:t>
            </w:r>
          </w:p>
        </w:tc>
        <w:tc>
          <w:tcPr>
            <w:tcW w:w="690" w:type="dxa"/>
          </w:tcPr>
          <w:p w14:paraId="52D170C0"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690" w:type="dxa"/>
          </w:tcPr>
          <w:p w14:paraId="47DF5E0D"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690" w:type="dxa"/>
          </w:tcPr>
          <w:p w14:paraId="5F27EC91"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690" w:type="dxa"/>
          </w:tcPr>
          <w:p w14:paraId="19AB5A55"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690" w:type="dxa"/>
          </w:tcPr>
          <w:p w14:paraId="5DB538AF"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690" w:type="dxa"/>
          </w:tcPr>
          <w:p w14:paraId="0C4C6832"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690" w:type="dxa"/>
          </w:tcPr>
          <w:p w14:paraId="6A45F8BD"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690" w:type="dxa"/>
          </w:tcPr>
          <w:p w14:paraId="19645BCE"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00005</w:t>
            </w:r>
          </w:p>
        </w:tc>
        <w:tc>
          <w:tcPr>
            <w:tcW w:w="690" w:type="dxa"/>
          </w:tcPr>
          <w:p w14:paraId="3A22ABF4"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00034</w:t>
            </w:r>
          </w:p>
        </w:tc>
        <w:tc>
          <w:tcPr>
            <w:tcW w:w="690" w:type="dxa"/>
          </w:tcPr>
          <w:p w14:paraId="5F2B795E"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00054</w:t>
            </w:r>
          </w:p>
        </w:tc>
        <w:tc>
          <w:tcPr>
            <w:tcW w:w="690" w:type="dxa"/>
          </w:tcPr>
          <w:p w14:paraId="21DC012A"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00021</w:t>
            </w:r>
          </w:p>
        </w:tc>
        <w:tc>
          <w:tcPr>
            <w:tcW w:w="690" w:type="dxa"/>
          </w:tcPr>
          <w:p w14:paraId="10255EF5"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00015</w:t>
            </w:r>
          </w:p>
        </w:tc>
      </w:tr>
      <w:tr w:rsidR="009B7AED" w:rsidRPr="005148CB" w14:paraId="53E41A76" w14:textId="77777777" w:rsidTr="00336967">
        <w:trPr>
          <w:trHeight w:val="60"/>
        </w:trPr>
        <w:tc>
          <w:tcPr>
            <w:tcW w:w="1070" w:type="dxa"/>
          </w:tcPr>
          <w:p w14:paraId="3AFB28C8" w14:textId="77777777" w:rsidR="009B7AED" w:rsidRPr="005148CB" w:rsidRDefault="009B7AED" w:rsidP="002841D0">
            <w:pPr>
              <w:pStyle w:val="TableTextDense"/>
              <w:spacing w:before="10" w:after="10" w:line="240" w:lineRule="auto"/>
              <w:contextualSpacing w:val="0"/>
              <w:rPr>
                <w:rFonts w:ascii="Calibri" w:hAnsi="Calibri" w:cs="Calibri"/>
                <w:sz w:val="20"/>
                <w:szCs w:val="20"/>
              </w:rPr>
            </w:pPr>
            <w:r w:rsidRPr="005148CB">
              <w:rPr>
                <w:rStyle w:val="Bold"/>
                <w:rFonts w:ascii="Calibri" w:hAnsi="Calibri" w:cs="Calibri"/>
                <w:sz w:val="20"/>
                <w:szCs w:val="20"/>
              </w:rPr>
              <w:t>Content 02 Example:</w:t>
            </w:r>
          </w:p>
        </w:tc>
        <w:tc>
          <w:tcPr>
            <w:tcW w:w="690" w:type="dxa"/>
          </w:tcPr>
          <w:p w14:paraId="50585EFE"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690" w:type="dxa"/>
          </w:tcPr>
          <w:p w14:paraId="6941040C"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690" w:type="dxa"/>
          </w:tcPr>
          <w:p w14:paraId="7E452F06"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690" w:type="dxa"/>
          </w:tcPr>
          <w:p w14:paraId="3F2A043F"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690" w:type="dxa"/>
          </w:tcPr>
          <w:p w14:paraId="49F1C385"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690" w:type="dxa"/>
          </w:tcPr>
          <w:p w14:paraId="5AE6AEF7"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690" w:type="dxa"/>
          </w:tcPr>
          <w:p w14:paraId="5ED317EA"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690" w:type="dxa"/>
          </w:tcPr>
          <w:p w14:paraId="63495235"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00007</w:t>
            </w:r>
          </w:p>
        </w:tc>
        <w:tc>
          <w:tcPr>
            <w:tcW w:w="690" w:type="dxa"/>
          </w:tcPr>
          <w:p w14:paraId="0EE3B22B"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00030</w:t>
            </w:r>
          </w:p>
        </w:tc>
        <w:tc>
          <w:tcPr>
            <w:tcW w:w="690" w:type="dxa"/>
          </w:tcPr>
          <w:p w14:paraId="5036D936"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00046</w:t>
            </w:r>
          </w:p>
        </w:tc>
        <w:tc>
          <w:tcPr>
            <w:tcW w:w="690" w:type="dxa"/>
          </w:tcPr>
          <w:p w14:paraId="6337D24B"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00024</w:t>
            </w:r>
          </w:p>
        </w:tc>
        <w:tc>
          <w:tcPr>
            <w:tcW w:w="690" w:type="dxa"/>
          </w:tcPr>
          <w:p w14:paraId="6F8B73BD"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00013</w:t>
            </w:r>
          </w:p>
        </w:tc>
      </w:tr>
      <w:tr w:rsidR="009B7AED" w:rsidRPr="005148CB" w14:paraId="7B075300" w14:textId="77777777" w:rsidTr="00336967">
        <w:trPr>
          <w:trHeight w:val="60"/>
        </w:trPr>
        <w:tc>
          <w:tcPr>
            <w:tcW w:w="1070" w:type="dxa"/>
          </w:tcPr>
          <w:p w14:paraId="70D803FF" w14:textId="77777777" w:rsidR="009B7AED" w:rsidRPr="005148CB" w:rsidRDefault="009B7AED" w:rsidP="002841D0">
            <w:pPr>
              <w:pStyle w:val="TableTextDense"/>
              <w:spacing w:before="10" w:after="10" w:line="240" w:lineRule="auto"/>
              <w:contextualSpacing w:val="0"/>
              <w:rPr>
                <w:rFonts w:ascii="Calibri" w:hAnsi="Calibri" w:cs="Calibri"/>
                <w:sz w:val="20"/>
                <w:szCs w:val="20"/>
              </w:rPr>
            </w:pPr>
            <w:r w:rsidRPr="005148CB">
              <w:rPr>
                <w:rStyle w:val="Bold"/>
                <w:rFonts w:ascii="Calibri" w:hAnsi="Calibri" w:cs="Calibri"/>
                <w:sz w:val="20"/>
                <w:szCs w:val="20"/>
              </w:rPr>
              <w:t>Content 03 Example:</w:t>
            </w:r>
          </w:p>
        </w:tc>
        <w:tc>
          <w:tcPr>
            <w:tcW w:w="690" w:type="dxa"/>
          </w:tcPr>
          <w:p w14:paraId="2A1E3364"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690" w:type="dxa"/>
          </w:tcPr>
          <w:p w14:paraId="63A65094"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690" w:type="dxa"/>
          </w:tcPr>
          <w:p w14:paraId="7E6E2204"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690" w:type="dxa"/>
          </w:tcPr>
          <w:p w14:paraId="621BF501"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690" w:type="dxa"/>
          </w:tcPr>
          <w:p w14:paraId="65930373"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690" w:type="dxa"/>
          </w:tcPr>
          <w:p w14:paraId="53F835AF"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690" w:type="dxa"/>
          </w:tcPr>
          <w:p w14:paraId="74304B6B"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690" w:type="dxa"/>
          </w:tcPr>
          <w:p w14:paraId="7BCA47B2"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00010</w:t>
            </w:r>
          </w:p>
        </w:tc>
        <w:tc>
          <w:tcPr>
            <w:tcW w:w="690" w:type="dxa"/>
          </w:tcPr>
          <w:p w14:paraId="1A2D7360"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00028</w:t>
            </w:r>
          </w:p>
        </w:tc>
        <w:tc>
          <w:tcPr>
            <w:tcW w:w="690" w:type="dxa"/>
          </w:tcPr>
          <w:p w14:paraId="5CAFD927"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00056</w:t>
            </w:r>
          </w:p>
        </w:tc>
        <w:tc>
          <w:tcPr>
            <w:tcW w:w="690" w:type="dxa"/>
          </w:tcPr>
          <w:p w14:paraId="612A9E9C"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00031</w:t>
            </w:r>
          </w:p>
        </w:tc>
        <w:tc>
          <w:tcPr>
            <w:tcW w:w="690" w:type="dxa"/>
          </w:tcPr>
          <w:p w14:paraId="3B13A0A9"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00021</w:t>
            </w:r>
          </w:p>
        </w:tc>
      </w:tr>
      <w:tr w:rsidR="009B7AED" w:rsidRPr="005148CB" w14:paraId="082691DB" w14:textId="77777777" w:rsidTr="00336967">
        <w:trPr>
          <w:trHeight w:val="60"/>
        </w:trPr>
        <w:tc>
          <w:tcPr>
            <w:tcW w:w="1070" w:type="dxa"/>
          </w:tcPr>
          <w:p w14:paraId="63081E82" w14:textId="77777777" w:rsidR="009B7AED" w:rsidRPr="005148CB" w:rsidRDefault="009B7AED" w:rsidP="002841D0">
            <w:pPr>
              <w:pStyle w:val="TableTextDense"/>
              <w:spacing w:before="10" w:after="10" w:line="240" w:lineRule="auto"/>
              <w:contextualSpacing w:val="0"/>
              <w:rPr>
                <w:rFonts w:ascii="Calibri" w:hAnsi="Calibri" w:cs="Calibri"/>
                <w:sz w:val="20"/>
                <w:szCs w:val="20"/>
              </w:rPr>
            </w:pPr>
            <w:r w:rsidRPr="005148CB">
              <w:rPr>
                <w:rStyle w:val="Bold"/>
                <w:rFonts w:ascii="Calibri" w:hAnsi="Calibri" w:cs="Calibri"/>
                <w:sz w:val="20"/>
                <w:szCs w:val="20"/>
              </w:rPr>
              <w:t>Content 04 Example:</w:t>
            </w:r>
          </w:p>
        </w:tc>
        <w:tc>
          <w:tcPr>
            <w:tcW w:w="690" w:type="dxa"/>
          </w:tcPr>
          <w:p w14:paraId="498756A4"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690" w:type="dxa"/>
          </w:tcPr>
          <w:p w14:paraId="68139D41"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690" w:type="dxa"/>
          </w:tcPr>
          <w:p w14:paraId="5384B1FC"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690" w:type="dxa"/>
          </w:tcPr>
          <w:p w14:paraId="24ACF58D"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690" w:type="dxa"/>
          </w:tcPr>
          <w:p w14:paraId="1A54F65F"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690" w:type="dxa"/>
          </w:tcPr>
          <w:p w14:paraId="487C4D50"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690" w:type="dxa"/>
          </w:tcPr>
          <w:p w14:paraId="63AED5BE"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690" w:type="dxa"/>
          </w:tcPr>
          <w:p w14:paraId="454AD881"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00008</w:t>
            </w:r>
          </w:p>
        </w:tc>
        <w:tc>
          <w:tcPr>
            <w:tcW w:w="690" w:type="dxa"/>
          </w:tcPr>
          <w:p w14:paraId="636097B7"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00026</w:t>
            </w:r>
          </w:p>
        </w:tc>
        <w:tc>
          <w:tcPr>
            <w:tcW w:w="690" w:type="dxa"/>
          </w:tcPr>
          <w:p w14:paraId="0BA932EE"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00036</w:t>
            </w:r>
          </w:p>
        </w:tc>
        <w:tc>
          <w:tcPr>
            <w:tcW w:w="690" w:type="dxa"/>
          </w:tcPr>
          <w:p w14:paraId="75139A11"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00029</w:t>
            </w:r>
          </w:p>
        </w:tc>
        <w:tc>
          <w:tcPr>
            <w:tcW w:w="690" w:type="dxa"/>
          </w:tcPr>
          <w:p w14:paraId="0C0A7491"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00018</w:t>
            </w:r>
          </w:p>
        </w:tc>
      </w:tr>
    </w:tbl>
    <w:p w14:paraId="4AB6345B" w14:textId="77777777" w:rsidR="009B7AED" w:rsidRDefault="009B7AED" w:rsidP="002841D0">
      <w:pPr>
        <w:pStyle w:val="BodyText"/>
        <w:spacing w:before="120"/>
        <w:rPr>
          <w:rStyle w:val="Italic"/>
          <w:iCs/>
        </w:rPr>
      </w:pPr>
      <w:r>
        <w:rPr>
          <w:rStyle w:val="Italic"/>
          <w:iCs/>
        </w:rPr>
        <w:t>continued</w:t>
      </w:r>
    </w:p>
    <w:tbl>
      <w:tblPr>
        <w:tblStyle w:val="TMGTable"/>
        <w:tblW w:w="809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1070"/>
        <w:gridCol w:w="877"/>
        <w:gridCol w:w="878"/>
        <w:gridCol w:w="877"/>
        <w:gridCol w:w="878"/>
        <w:gridCol w:w="877"/>
        <w:gridCol w:w="878"/>
        <w:gridCol w:w="877"/>
        <w:gridCol w:w="878"/>
      </w:tblGrid>
      <w:tr w:rsidR="009B7AED" w:rsidRPr="0051590D" w14:paraId="566C22B8" w14:textId="77777777" w:rsidTr="00853B6B">
        <w:trPr>
          <w:cnfStyle w:val="100000000000" w:firstRow="1" w:lastRow="0" w:firstColumn="0" w:lastColumn="0" w:oddVBand="0" w:evenVBand="0" w:oddHBand="0" w:evenHBand="0" w:firstRowFirstColumn="0" w:firstRowLastColumn="0" w:lastRowFirstColumn="0" w:lastRowLastColumn="0"/>
          <w:trHeight w:val="60"/>
        </w:trPr>
        <w:tc>
          <w:tcPr>
            <w:tcW w:w="1070" w:type="dxa"/>
          </w:tcPr>
          <w:p w14:paraId="4B0370EF" w14:textId="77777777" w:rsidR="009B7AED" w:rsidRPr="005148CB" w:rsidRDefault="009B7AED" w:rsidP="002841D0">
            <w:pPr>
              <w:pStyle w:val="TableTextDense"/>
              <w:spacing w:before="10" w:after="10" w:line="240" w:lineRule="auto"/>
              <w:contextualSpacing w:val="0"/>
              <w:rPr>
                <w:rFonts w:ascii="Calibri" w:hAnsi="Calibri" w:cs="Calibri"/>
                <w:b w:val="0"/>
                <w:bCs w:val="0"/>
                <w:sz w:val="20"/>
                <w:szCs w:val="20"/>
              </w:rPr>
            </w:pPr>
            <w:r w:rsidRPr="005148CB">
              <w:rPr>
                <w:rStyle w:val="Bold"/>
                <w:rFonts w:ascii="Calibri" w:hAnsi="Calibri" w:cs="Calibri"/>
                <w:sz w:val="20"/>
                <w:szCs w:val="20"/>
              </w:rPr>
              <w:t>Column Number:</w:t>
            </w:r>
          </w:p>
        </w:tc>
        <w:tc>
          <w:tcPr>
            <w:tcW w:w="877" w:type="dxa"/>
          </w:tcPr>
          <w:p w14:paraId="5E104D8D" w14:textId="77777777" w:rsidR="009B7AED" w:rsidRPr="005148CB" w:rsidRDefault="009B7AED" w:rsidP="002841D0">
            <w:pPr>
              <w:pStyle w:val="TableTextDense"/>
              <w:spacing w:before="10" w:after="10" w:line="240" w:lineRule="auto"/>
              <w:contextualSpacing w:val="0"/>
              <w:jc w:val="center"/>
              <w:rPr>
                <w:rFonts w:ascii="Calibri" w:hAnsi="Calibri" w:cs="Calibri"/>
                <w:b w:val="0"/>
                <w:bCs w:val="0"/>
                <w:sz w:val="20"/>
                <w:szCs w:val="20"/>
              </w:rPr>
            </w:pPr>
            <w:r w:rsidRPr="005148CB">
              <w:rPr>
                <w:rFonts w:ascii="Calibri" w:hAnsi="Calibri" w:cs="Calibri"/>
                <w:sz w:val="20"/>
                <w:szCs w:val="20"/>
              </w:rPr>
              <w:t>97-101</w:t>
            </w:r>
          </w:p>
        </w:tc>
        <w:tc>
          <w:tcPr>
            <w:tcW w:w="878" w:type="dxa"/>
          </w:tcPr>
          <w:p w14:paraId="327BF410" w14:textId="77777777" w:rsidR="009B7AED" w:rsidRPr="005148CB" w:rsidRDefault="009B7AED" w:rsidP="002841D0">
            <w:pPr>
              <w:pStyle w:val="TableTextDense"/>
              <w:spacing w:before="10" w:after="10" w:line="240" w:lineRule="auto"/>
              <w:contextualSpacing w:val="0"/>
              <w:jc w:val="center"/>
              <w:rPr>
                <w:rFonts w:ascii="Calibri" w:hAnsi="Calibri" w:cs="Calibri"/>
                <w:b w:val="0"/>
                <w:bCs w:val="0"/>
                <w:sz w:val="20"/>
                <w:szCs w:val="20"/>
              </w:rPr>
            </w:pPr>
            <w:r w:rsidRPr="005148CB">
              <w:rPr>
                <w:rFonts w:ascii="Calibri" w:hAnsi="Calibri" w:cs="Calibri"/>
                <w:sz w:val="20"/>
                <w:szCs w:val="20"/>
              </w:rPr>
              <w:t>102-106</w:t>
            </w:r>
          </w:p>
        </w:tc>
        <w:tc>
          <w:tcPr>
            <w:tcW w:w="877" w:type="dxa"/>
          </w:tcPr>
          <w:p w14:paraId="584EDB7C" w14:textId="77777777" w:rsidR="009B7AED" w:rsidRPr="005148CB" w:rsidRDefault="009B7AED" w:rsidP="002841D0">
            <w:pPr>
              <w:pStyle w:val="TableTextDense"/>
              <w:spacing w:before="10" w:after="10" w:line="240" w:lineRule="auto"/>
              <w:contextualSpacing w:val="0"/>
              <w:jc w:val="center"/>
              <w:rPr>
                <w:rFonts w:ascii="Calibri" w:hAnsi="Calibri" w:cs="Calibri"/>
                <w:b w:val="0"/>
                <w:bCs w:val="0"/>
                <w:sz w:val="20"/>
                <w:szCs w:val="20"/>
              </w:rPr>
            </w:pPr>
            <w:r w:rsidRPr="005148CB">
              <w:rPr>
                <w:rFonts w:ascii="Calibri" w:hAnsi="Calibri" w:cs="Calibri"/>
                <w:sz w:val="20"/>
                <w:szCs w:val="20"/>
              </w:rPr>
              <w:t>107-111</w:t>
            </w:r>
          </w:p>
        </w:tc>
        <w:tc>
          <w:tcPr>
            <w:tcW w:w="878" w:type="dxa"/>
          </w:tcPr>
          <w:p w14:paraId="6446FD6F" w14:textId="77777777" w:rsidR="009B7AED" w:rsidRPr="005148CB" w:rsidRDefault="009B7AED" w:rsidP="002841D0">
            <w:pPr>
              <w:pStyle w:val="TableTextDense"/>
              <w:spacing w:before="10" w:after="10" w:line="240" w:lineRule="auto"/>
              <w:contextualSpacing w:val="0"/>
              <w:jc w:val="center"/>
              <w:rPr>
                <w:rFonts w:ascii="Calibri" w:hAnsi="Calibri" w:cs="Calibri"/>
                <w:b w:val="0"/>
                <w:bCs w:val="0"/>
                <w:sz w:val="20"/>
                <w:szCs w:val="20"/>
              </w:rPr>
            </w:pPr>
            <w:r w:rsidRPr="005148CB">
              <w:rPr>
                <w:rFonts w:ascii="Calibri" w:hAnsi="Calibri" w:cs="Calibri"/>
                <w:sz w:val="20"/>
                <w:szCs w:val="20"/>
              </w:rPr>
              <w:t>112-116</w:t>
            </w:r>
          </w:p>
        </w:tc>
        <w:tc>
          <w:tcPr>
            <w:tcW w:w="877" w:type="dxa"/>
          </w:tcPr>
          <w:p w14:paraId="12757FEA" w14:textId="77777777" w:rsidR="009B7AED" w:rsidRPr="005148CB" w:rsidRDefault="009B7AED" w:rsidP="002841D0">
            <w:pPr>
              <w:pStyle w:val="TableTextDense"/>
              <w:spacing w:before="10" w:after="10" w:line="240" w:lineRule="auto"/>
              <w:contextualSpacing w:val="0"/>
              <w:jc w:val="center"/>
              <w:rPr>
                <w:rFonts w:ascii="Calibri" w:hAnsi="Calibri" w:cs="Calibri"/>
                <w:b w:val="0"/>
                <w:bCs w:val="0"/>
                <w:sz w:val="20"/>
                <w:szCs w:val="20"/>
              </w:rPr>
            </w:pPr>
            <w:r w:rsidRPr="005148CB">
              <w:rPr>
                <w:rFonts w:ascii="Calibri" w:hAnsi="Calibri" w:cs="Calibri"/>
                <w:sz w:val="20"/>
                <w:szCs w:val="20"/>
              </w:rPr>
              <w:t>117-121</w:t>
            </w:r>
          </w:p>
        </w:tc>
        <w:tc>
          <w:tcPr>
            <w:tcW w:w="878" w:type="dxa"/>
          </w:tcPr>
          <w:p w14:paraId="40B8FFC3" w14:textId="77777777" w:rsidR="009B7AED" w:rsidRPr="005148CB" w:rsidRDefault="009B7AED" w:rsidP="002841D0">
            <w:pPr>
              <w:pStyle w:val="TableTextDense"/>
              <w:spacing w:before="10" w:after="10" w:line="240" w:lineRule="auto"/>
              <w:contextualSpacing w:val="0"/>
              <w:jc w:val="center"/>
              <w:rPr>
                <w:rFonts w:ascii="Calibri" w:hAnsi="Calibri" w:cs="Calibri"/>
                <w:b w:val="0"/>
                <w:bCs w:val="0"/>
                <w:sz w:val="20"/>
                <w:szCs w:val="20"/>
              </w:rPr>
            </w:pPr>
            <w:r w:rsidRPr="005148CB">
              <w:rPr>
                <w:rFonts w:ascii="Calibri" w:hAnsi="Calibri" w:cs="Calibri"/>
                <w:sz w:val="20"/>
                <w:szCs w:val="20"/>
              </w:rPr>
              <w:t>122-126</w:t>
            </w:r>
          </w:p>
        </w:tc>
        <w:tc>
          <w:tcPr>
            <w:tcW w:w="877" w:type="dxa"/>
          </w:tcPr>
          <w:p w14:paraId="1438A7D2" w14:textId="77777777" w:rsidR="009B7AED" w:rsidRPr="005148CB" w:rsidRDefault="009B7AED" w:rsidP="002841D0">
            <w:pPr>
              <w:pStyle w:val="TableTextDense"/>
              <w:spacing w:before="10" w:after="10" w:line="240" w:lineRule="auto"/>
              <w:contextualSpacing w:val="0"/>
              <w:jc w:val="center"/>
              <w:rPr>
                <w:rFonts w:ascii="Calibri" w:hAnsi="Calibri" w:cs="Calibri"/>
                <w:b w:val="0"/>
                <w:bCs w:val="0"/>
                <w:sz w:val="20"/>
                <w:szCs w:val="20"/>
              </w:rPr>
            </w:pPr>
            <w:r w:rsidRPr="005148CB">
              <w:rPr>
                <w:rFonts w:ascii="Calibri" w:hAnsi="Calibri" w:cs="Calibri"/>
                <w:sz w:val="20"/>
                <w:szCs w:val="20"/>
              </w:rPr>
              <w:t>127-131</w:t>
            </w:r>
          </w:p>
        </w:tc>
        <w:tc>
          <w:tcPr>
            <w:tcW w:w="878" w:type="dxa"/>
          </w:tcPr>
          <w:p w14:paraId="5C8ADDCF" w14:textId="77777777" w:rsidR="009B7AED" w:rsidRPr="005148CB" w:rsidRDefault="009B7AED" w:rsidP="002841D0">
            <w:pPr>
              <w:pStyle w:val="TableTextDense"/>
              <w:spacing w:before="10" w:after="10" w:line="240" w:lineRule="auto"/>
              <w:contextualSpacing w:val="0"/>
              <w:jc w:val="center"/>
              <w:rPr>
                <w:rFonts w:ascii="Calibri" w:hAnsi="Calibri" w:cs="Calibri"/>
                <w:b w:val="0"/>
                <w:bCs w:val="0"/>
                <w:sz w:val="20"/>
                <w:szCs w:val="20"/>
              </w:rPr>
            </w:pPr>
            <w:r w:rsidRPr="005148CB">
              <w:rPr>
                <w:rFonts w:ascii="Calibri" w:hAnsi="Calibri" w:cs="Calibri"/>
                <w:sz w:val="20"/>
                <w:szCs w:val="20"/>
              </w:rPr>
              <w:t>132-136</w:t>
            </w:r>
          </w:p>
        </w:tc>
      </w:tr>
      <w:tr w:rsidR="009B7AED" w:rsidRPr="0051590D" w14:paraId="0C4C25E9" w14:textId="77777777" w:rsidTr="00853B6B">
        <w:trPr>
          <w:trHeight w:val="60"/>
        </w:trPr>
        <w:tc>
          <w:tcPr>
            <w:tcW w:w="1070" w:type="dxa"/>
          </w:tcPr>
          <w:p w14:paraId="0D7CC27D" w14:textId="77777777" w:rsidR="009B7AED" w:rsidRPr="005148CB" w:rsidRDefault="009B7AED" w:rsidP="002841D0">
            <w:pPr>
              <w:pStyle w:val="TableTextDense"/>
              <w:spacing w:before="10" w:after="10" w:line="240" w:lineRule="auto"/>
              <w:contextualSpacing w:val="0"/>
              <w:rPr>
                <w:rFonts w:ascii="Calibri" w:hAnsi="Calibri" w:cs="Calibri"/>
                <w:sz w:val="20"/>
                <w:szCs w:val="20"/>
              </w:rPr>
            </w:pPr>
            <w:r w:rsidRPr="005148CB">
              <w:rPr>
                <w:rStyle w:val="Bold"/>
                <w:rFonts w:ascii="Calibri" w:hAnsi="Calibri" w:cs="Calibri"/>
                <w:sz w:val="20"/>
                <w:szCs w:val="20"/>
              </w:rPr>
              <w:t>Content 01 Example:</w:t>
            </w:r>
          </w:p>
        </w:tc>
        <w:tc>
          <w:tcPr>
            <w:tcW w:w="877" w:type="dxa"/>
          </w:tcPr>
          <w:p w14:paraId="063E007E"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00002</w:t>
            </w:r>
          </w:p>
        </w:tc>
        <w:tc>
          <w:tcPr>
            <w:tcW w:w="878" w:type="dxa"/>
          </w:tcPr>
          <w:p w14:paraId="13A59567"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00001</w:t>
            </w:r>
          </w:p>
        </w:tc>
        <w:tc>
          <w:tcPr>
            <w:tcW w:w="877" w:type="dxa"/>
          </w:tcPr>
          <w:p w14:paraId="526149AA"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878" w:type="dxa"/>
          </w:tcPr>
          <w:p w14:paraId="7953CFE7"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877" w:type="dxa"/>
          </w:tcPr>
          <w:p w14:paraId="1F5BC642"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878" w:type="dxa"/>
          </w:tcPr>
          <w:p w14:paraId="1ED196D7"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877" w:type="dxa"/>
          </w:tcPr>
          <w:p w14:paraId="699466CF"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878" w:type="dxa"/>
          </w:tcPr>
          <w:p w14:paraId="7D38EF95"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r>
      <w:tr w:rsidR="009B7AED" w:rsidRPr="0051590D" w14:paraId="65DD8095" w14:textId="77777777" w:rsidTr="00853B6B">
        <w:trPr>
          <w:trHeight w:val="60"/>
        </w:trPr>
        <w:tc>
          <w:tcPr>
            <w:tcW w:w="1070" w:type="dxa"/>
          </w:tcPr>
          <w:p w14:paraId="60571C02" w14:textId="77777777" w:rsidR="009B7AED" w:rsidRPr="005148CB" w:rsidRDefault="009B7AED" w:rsidP="002841D0">
            <w:pPr>
              <w:pStyle w:val="TableTextDense"/>
              <w:spacing w:before="10" w:after="10" w:line="240" w:lineRule="auto"/>
              <w:contextualSpacing w:val="0"/>
              <w:rPr>
                <w:rFonts w:ascii="Calibri" w:hAnsi="Calibri" w:cs="Calibri"/>
                <w:sz w:val="20"/>
                <w:szCs w:val="20"/>
              </w:rPr>
            </w:pPr>
            <w:r w:rsidRPr="005148CB">
              <w:rPr>
                <w:rStyle w:val="Bold"/>
                <w:rFonts w:ascii="Calibri" w:hAnsi="Calibri" w:cs="Calibri"/>
                <w:sz w:val="20"/>
                <w:szCs w:val="20"/>
              </w:rPr>
              <w:t>Content 02 Example:</w:t>
            </w:r>
          </w:p>
        </w:tc>
        <w:tc>
          <w:tcPr>
            <w:tcW w:w="877" w:type="dxa"/>
          </w:tcPr>
          <w:p w14:paraId="08DA53B1"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00003</w:t>
            </w:r>
          </w:p>
        </w:tc>
        <w:tc>
          <w:tcPr>
            <w:tcW w:w="878" w:type="dxa"/>
          </w:tcPr>
          <w:p w14:paraId="3AC97469"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00002</w:t>
            </w:r>
          </w:p>
        </w:tc>
        <w:tc>
          <w:tcPr>
            <w:tcW w:w="877" w:type="dxa"/>
          </w:tcPr>
          <w:p w14:paraId="5D83A214"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878" w:type="dxa"/>
          </w:tcPr>
          <w:p w14:paraId="1DEDD37A"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877" w:type="dxa"/>
          </w:tcPr>
          <w:p w14:paraId="47D6AC9D"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878" w:type="dxa"/>
          </w:tcPr>
          <w:p w14:paraId="11A8CCD8"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877" w:type="dxa"/>
          </w:tcPr>
          <w:p w14:paraId="13C72ABA"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878" w:type="dxa"/>
          </w:tcPr>
          <w:p w14:paraId="5ABED425"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r>
      <w:tr w:rsidR="009B7AED" w:rsidRPr="0051590D" w14:paraId="00F14F77" w14:textId="77777777" w:rsidTr="00853B6B">
        <w:trPr>
          <w:trHeight w:val="60"/>
        </w:trPr>
        <w:tc>
          <w:tcPr>
            <w:tcW w:w="1070" w:type="dxa"/>
          </w:tcPr>
          <w:p w14:paraId="7D9AB89B" w14:textId="77777777" w:rsidR="009B7AED" w:rsidRPr="005148CB" w:rsidRDefault="009B7AED" w:rsidP="002841D0">
            <w:pPr>
              <w:pStyle w:val="TableTextDense"/>
              <w:spacing w:before="10" w:after="10" w:line="240" w:lineRule="auto"/>
              <w:contextualSpacing w:val="0"/>
              <w:rPr>
                <w:rFonts w:ascii="Calibri" w:hAnsi="Calibri" w:cs="Calibri"/>
                <w:sz w:val="20"/>
                <w:szCs w:val="20"/>
              </w:rPr>
            </w:pPr>
            <w:r w:rsidRPr="005148CB">
              <w:rPr>
                <w:rStyle w:val="Bold"/>
                <w:rFonts w:ascii="Calibri" w:hAnsi="Calibri" w:cs="Calibri"/>
                <w:sz w:val="20"/>
                <w:szCs w:val="20"/>
              </w:rPr>
              <w:t>Content 03 Example:</w:t>
            </w:r>
          </w:p>
        </w:tc>
        <w:tc>
          <w:tcPr>
            <w:tcW w:w="877" w:type="dxa"/>
          </w:tcPr>
          <w:p w14:paraId="33A90267"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00005</w:t>
            </w:r>
          </w:p>
        </w:tc>
        <w:tc>
          <w:tcPr>
            <w:tcW w:w="878" w:type="dxa"/>
          </w:tcPr>
          <w:p w14:paraId="75CDF910"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00004</w:t>
            </w:r>
          </w:p>
        </w:tc>
        <w:tc>
          <w:tcPr>
            <w:tcW w:w="877" w:type="dxa"/>
          </w:tcPr>
          <w:p w14:paraId="79D8DE3C"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00003</w:t>
            </w:r>
          </w:p>
        </w:tc>
        <w:tc>
          <w:tcPr>
            <w:tcW w:w="878" w:type="dxa"/>
          </w:tcPr>
          <w:p w14:paraId="0FD294B8"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877" w:type="dxa"/>
          </w:tcPr>
          <w:p w14:paraId="1CA00022"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878" w:type="dxa"/>
          </w:tcPr>
          <w:p w14:paraId="4131CF0D"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877" w:type="dxa"/>
          </w:tcPr>
          <w:p w14:paraId="2EE0F021"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878" w:type="dxa"/>
          </w:tcPr>
          <w:p w14:paraId="0668E3A1"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r>
      <w:tr w:rsidR="009B7AED" w:rsidRPr="0051590D" w14:paraId="24E9FFFE" w14:textId="77777777" w:rsidTr="00853B6B">
        <w:trPr>
          <w:trHeight w:val="60"/>
        </w:trPr>
        <w:tc>
          <w:tcPr>
            <w:tcW w:w="1070" w:type="dxa"/>
          </w:tcPr>
          <w:p w14:paraId="44822FA5" w14:textId="77777777" w:rsidR="009B7AED" w:rsidRPr="005148CB" w:rsidRDefault="009B7AED" w:rsidP="002841D0">
            <w:pPr>
              <w:pStyle w:val="TableTextDense"/>
              <w:spacing w:before="10" w:after="10" w:line="240" w:lineRule="auto"/>
              <w:contextualSpacing w:val="0"/>
              <w:rPr>
                <w:rFonts w:ascii="Calibri" w:hAnsi="Calibri" w:cs="Calibri"/>
                <w:sz w:val="20"/>
                <w:szCs w:val="20"/>
              </w:rPr>
            </w:pPr>
            <w:r w:rsidRPr="005148CB">
              <w:rPr>
                <w:rStyle w:val="Bold"/>
                <w:rFonts w:ascii="Calibri" w:hAnsi="Calibri" w:cs="Calibri"/>
                <w:sz w:val="20"/>
                <w:szCs w:val="20"/>
              </w:rPr>
              <w:t>Content 04 Example:</w:t>
            </w:r>
          </w:p>
        </w:tc>
        <w:tc>
          <w:tcPr>
            <w:tcW w:w="877" w:type="dxa"/>
          </w:tcPr>
          <w:p w14:paraId="516A953F"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00003</w:t>
            </w:r>
          </w:p>
        </w:tc>
        <w:tc>
          <w:tcPr>
            <w:tcW w:w="878" w:type="dxa"/>
          </w:tcPr>
          <w:p w14:paraId="00EC820F"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00003</w:t>
            </w:r>
          </w:p>
        </w:tc>
        <w:tc>
          <w:tcPr>
            <w:tcW w:w="877" w:type="dxa"/>
          </w:tcPr>
          <w:p w14:paraId="0C4629B5"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00002</w:t>
            </w:r>
          </w:p>
        </w:tc>
        <w:tc>
          <w:tcPr>
            <w:tcW w:w="878" w:type="dxa"/>
          </w:tcPr>
          <w:p w14:paraId="7ABAB754"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00001</w:t>
            </w:r>
          </w:p>
        </w:tc>
        <w:tc>
          <w:tcPr>
            <w:tcW w:w="877" w:type="dxa"/>
          </w:tcPr>
          <w:p w14:paraId="68180E28"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878" w:type="dxa"/>
          </w:tcPr>
          <w:p w14:paraId="7DE407B1"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877" w:type="dxa"/>
          </w:tcPr>
          <w:p w14:paraId="30081879"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878" w:type="dxa"/>
          </w:tcPr>
          <w:p w14:paraId="419FA782"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r>
    </w:tbl>
    <w:p w14:paraId="45E553FC" w14:textId="77777777" w:rsidR="002841D0" w:rsidRDefault="002841D0" w:rsidP="002841D0">
      <w:pPr>
        <w:pStyle w:val="BodyText"/>
      </w:pPr>
      <w:bookmarkStart w:id="2978" w:name="_Ref113269110"/>
      <w:bookmarkStart w:id="2979" w:name="_Toc113282521"/>
      <w:bookmarkStart w:id="2980" w:name="_Toc114474858"/>
    </w:p>
    <w:p w14:paraId="1EC83D1E" w14:textId="77777777" w:rsidR="002841D0" w:rsidRPr="002841D0" w:rsidRDefault="002841D0" w:rsidP="002841D0">
      <w:pPr>
        <w:pStyle w:val="BodyText"/>
      </w:pPr>
      <w:r>
        <w:br w:type="page"/>
      </w:r>
    </w:p>
    <w:p w14:paraId="0703BD56" w14:textId="365C4972" w:rsidR="009B7AED" w:rsidRDefault="009B7AED" w:rsidP="000F2A7A">
      <w:pPr>
        <w:pStyle w:val="TMGTableCaption"/>
      </w:pPr>
      <w:bookmarkStart w:id="2981" w:name="_Ref117251787"/>
      <w:bookmarkStart w:id="2982" w:name="_Toc120631164"/>
      <w:r>
        <w:lastRenderedPageBreak/>
        <w:t xml:space="preserve">Table </w:t>
      </w:r>
      <w:fldSimple w:instr=" STYLEREF 1 \s ">
        <w:r w:rsidR="00C07DF9">
          <w:rPr>
            <w:noProof/>
          </w:rPr>
          <w:t>4</w:t>
        </w:r>
      </w:fldSimple>
      <w:r>
        <w:noBreakHyphen/>
      </w:r>
      <w:fldSimple w:instr=" SEQ Table \* ARABIC \s 1 ">
        <w:r w:rsidR="00C07DF9">
          <w:rPr>
            <w:noProof/>
          </w:rPr>
          <w:t>16</w:t>
        </w:r>
      </w:fldSimple>
      <w:bookmarkEnd w:id="2978"/>
      <w:bookmarkEnd w:id="2981"/>
      <w:r w:rsidR="00352273">
        <w:t>.</w:t>
      </w:r>
      <w:r>
        <w:t xml:space="preserve"> </w:t>
      </w:r>
      <w:r w:rsidRPr="004F39C2">
        <w:t>S</w:t>
      </w:r>
      <w:r>
        <w:t>peed</w:t>
      </w:r>
      <w:r w:rsidRPr="004F39C2">
        <w:t xml:space="preserve"> </w:t>
      </w:r>
      <w:r>
        <w:t>Record Example</w:t>
      </w:r>
      <w:r w:rsidRPr="004F39C2">
        <w:t xml:space="preserve"> (25 B</w:t>
      </w:r>
      <w:r>
        <w:t>ins</w:t>
      </w:r>
      <w:r w:rsidRPr="004F39C2">
        <w:t>, 2 L</w:t>
      </w:r>
      <w:r>
        <w:t>anes</w:t>
      </w:r>
      <w:r w:rsidRPr="004F39C2">
        <w:t xml:space="preserve"> </w:t>
      </w:r>
      <w:r>
        <w:t>with</w:t>
      </w:r>
      <w:r w:rsidRPr="004F39C2">
        <w:t xml:space="preserve"> L</w:t>
      </w:r>
      <w:r>
        <w:t>anes</w:t>
      </w:r>
      <w:r w:rsidRPr="004F39C2">
        <w:t xml:space="preserve"> </w:t>
      </w:r>
      <w:r>
        <w:t>or</w:t>
      </w:r>
      <w:r w:rsidRPr="004F39C2">
        <w:t xml:space="preserve"> D</w:t>
      </w:r>
      <w:r>
        <w:t>irections</w:t>
      </w:r>
      <w:r w:rsidRPr="004F39C2">
        <w:t xml:space="preserve"> N</w:t>
      </w:r>
      <w:r>
        <w:t>ot</w:t>
      </w:r>
      <w:r w:rsidRPr="004F39C2">
        <w:t xml:space="preserve"> C</w:t>
      </w:r>
      <w:r>
        <w:t>ombined</w:t>
      </w:r>
      <w:r w:rsidRPr="004F39C2">
        <w:t xml:space="preserve"> </w:t>
      </w:r>
      <w:r>
        <w:t>at</w:t>
      </w:r>
      <w:r w:rsidR="00121C1E">
        <w:br/>
      </w:r>
      <w:r w:rsidRPr="004F39C2">
        <w:t>60-M</w:t>
      </w:r>
      <w:r>
        <w:t>inute</w:t>
      </w:r>
      <w:r w:rsidRPr="004F39C2">
        <w:t xml:space="preserve"> I</w:t>
      </w:r>
      <w:r>
        <w:t>nterval</w:t>
      </w:r>
      <w:r w:rsidRPr="004F39C2">
        <w:t xml:space="preserve">) </w:t>
      </w:r>
      <w:r>
        <w:t>– Fixed Width Format</w:t>
      </w:r>
      <w:bookmarkEnd w:id="2979"/>
      <w:bookmarkEnd w:id="2980"/>
      <w:bookmarkEnd w:id="2982"/>
    </w:p>
    <w:tbl>
      <w:tblPr>
        <w:tblStyle w:val="TMGTable"/>
        <w:tblW w:w="9359"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1070"/>
        <w:gridCol w:w="218"/>
        <w:gridCol w:w="394"/>
        <w:gridCol w:w="729"/>
        <w:gridCol w:w="351"/>
        <w:gridCol w:w="342"/>
        <w:gridCol w:w="558"/>
        <w:gridCol w:w="576"/>
        <w:gridCol w:w="540"/>
        <w:gridCol w:w="540"/>
        <w:gridCol w:w="720"/>
        <w:gridCol w:w="387"/>
        <w:gridCol w:w="513"/>
        <w:gridCol w:w="405"/>
        <w:gridCol w:w="747"/>
        <w:gridCol w:w="630"/>
        <w:gridCol w:w="639"/>
      </w:tblGrid>
      <w:tr w:rsidR="009B64BC" w:rsidRPr="005148CB" w14:paraId="11DBF88F" w14:textId="77777777" w:rsidTr="00853B6B">
        <w:trPr>
          <w:cnfStyle w:val="100000000000" w:firstRow="1" w:lastRow="0" w:firstColumn="0" w:lastColumn="0" w:oddVBand="0" w:evenVBand="0" w:oddHBand="0" w:evenHBand="0" w:firstRowFirstColumn="0" w:firstRowLastColumn="0" w:lastRowFirstColumn="0" w:lastRowLastColumn="0"/>
          <w:trHeight w:val="60"/>
        </w:trPr>
        <w:tc>
          <w:tcPr>
            <w:tcW w:w="1070" w:type="dxa"/>
          </w:tcPr>
          <w:p w14:paraId="358333BB" w14:textId="77777777" w:rsidR="009B7AED" w:rsidRPr="005148CB" w:rsidRDefault="009B7AED" w:rsidP="002841D0">
            <w:pPr>
              <w:pStyle w:val="TableTextDense"/>
              <w:spacing w:before="10" w:after="10" w:line="240" w:lineRule="auto"/>
              <w:contextualSpacing w:val="0"/>
              <w:rPr>
                <w:rFonts w:ascii="Calibri" w:hAnsi="Calibri" w:cs="Calibri"/>
                <w:b w:val="0"/>
                <w:bCs w:val="0"/>
                <w:sz w:val="20"/>
                <w:szCs w:val="20"/>
              </w:rPr>
            </w:pPr>
            <w:r w:rsidRPr="005148CB">
              <w:rPr>
                <w:rStyle w:val="Bold"/>
                <w:rFonts w:ascii="Calibri" w:hAnsi="Calibri" w:cs="Calibri"/>
                <w:sz w:val="20"/>
                <w:szCs w:val="20"/>
              </w:rPr>
              <w:t>Column Number:</w:t>
            </w:r>
          </w:p>
        </w:tc>
        <w:tc>
          <w:tcPr>
            <w:tcW w:w="218" w:type="dxa"/>
          </w:tcPr>
          <w:p w14:paraId="05645C36" w14:textId="77777777" w:rsidR="009B7AED" w:rsidRPr="005148CB" w:rsidRDefault="009B7AED" w:rsidP="002841D0">
            <w:pPr>
              <w:pStyle w:val="TableTextDense"/>
              <w:spacing w:before="10" w:after="10" w:line="240" w:lineRule="auto"/>
              <w:contextualSpacing w:val="0"/>
              <w:jc w:val="center"/>
              <w:rPr>
                <w:rFonts w:ascii="Calibri" w:hAnsi="Calibri" w:cs="Calibri"/>
                <w:b w:val="0"/>
                <w:sz w:val="20"/>
                <w:szCs w:val="20"/>
              </w:rPr>
            </w:pPr>
            <w:r w:rsidRPr="005148CB">
              <w:rPr>
                <w:rFonts w:ascii="Calibri" w:hAnsi="Calibri" w:cs="Calibri"/>
                <w:sz w:val="20"/>
                <w:szCs w:val="20"/>
              </w:rPr>
              <w:t>1</w:t>
            </w:r>
          </w:p>
        </w:tc>
        <w:tc>
          <w:tcPr>
            <w:tcW w:w="394" w:type="dxa"/>
          </w:tcPr>
          <w:p w14:paraId="76323DD5" w14:textId="77777777" w:rsidR="009B7AED" w:rsidRPr="005148CB" w:rsidRDefault="009B7AED" w:rsidP="002841D0">
            <w:pPr>
              <w:pStyle w:val="TableTextDense"/>
              <w:spacing w:before="10" w:after="10" w:line="240" w:lineRule="auto"/>
              <w:contextualSpacing w:val="0"/>
              <w:jc w:val="center"/>
              <w:rPr>
                <w:rFonts w:ascii="Calibri" w:hAnsi="Calibri" w:cs="Calibri"/>
                <w:b w:val="0"/>
                <w:sz w:val="20"/>
                <w:szCs w:val="20"/>
              </w:rPr>
            </w:pPr>
            <w:r w:rsidRPr="005148CB">
              <w:rPr>
                <w:rFonts w:ascii="Calibri" w:hAnsi="Calibri" w:cs="Calibri"/>
                <w:sz w:val="20"/>
                <w:szCs w:val="20"/>
              </w:rPr>
              <w:t>2-3</w:t>
            </w:r>
          </w:p>
        </w:tc>
        <w:tc>
          <w:tcPr>
            <w:tcW w:w="729" w:type="dxa"/>
          </w:tcPr>
          <w:p w14:paraId="007B19C1" w14:textId="77777777" w:rsidR="009B7AED" w:rsidRPr="005148CB" w:rsidRDefault="009B7AED" w:rsidP="002841D0">
            <w:pPr>
              <w:pStyle w:val="TableTextDense"/>
              <w:spacing w:before="10" w:after="10" w:line="240" w:lineRule="auto"/>
              <w:contextualSpacing w:val="0"/>
              <w:jc w:val="center"/>
              <w:rPr>
                <w:rFonts w:ascii="Calibri" w:hAnsi="Calibri" w:cs="Calibri"/>
                <w:b w:val="0"/>
                <w:sz w:val="20"/>
                <w:szCs w:val="20"/>
              </w:rPr>
            </w:pPr>
            <w:r w:rsidRPr="005148CB">
              <w:rPr>
                <w:rFonts w:ascii="Calibri" w:hAnsi="Calibri" w:cs="Calibri"/>
                <w:sz w:val="20"/>
                <w:szCs w:val="20"/>
              </w:rPr>
              <w:t>4-9</w:t>
            </w:r>
          </w:p>
        </w:tc>
        <w:tc>
          <w:tcPr>
            <w:tcW w:w="351" w:type="dxa"/>
          </w:tcPr>
          <w:p w14:paraId="0D97C0E1" w14:textId="77777777" w:rsidR="009B7AED" w:rsidRPr="005148CB" w:rsidRDefault="009B7AED" w:rsidP="002841D0">
            <w:pPr>
              <w:pStyle w:val="TableTextDense"/>
              <w:spacing w:before="10" w:after="10" w:line="240" w:lineRule="auto"/>
              <w:contextualSpacing w:val="0"/>
              <w:jc w:val="center"/>
              <w:rPr>
                <w:rFonts w:ascii="Calibri" w:hAnsi="Calibri" w:cs="Calibri"/>
                <w:b w:val="0"/>
                <w:sz w:val="20"/>
                <w:szCs w:val="20"/>
              </w:rPr>
            </w:pPr>
            <w:r w:rsidRPr="005148CB">
              <w:rPr>
                <w:rFonts w:ascii="Calibri" w:hAnsi="Calibri" w:cs="Calibri"/>
                <w:sz w:val="20"/>
                <w:szCs w:val="20"/>
              </w:rPr>
              <w:t>10</w:t>
            </w:r>
          </w:p>
        </w:tc>
        <w:tc>
          <w:tcPr>
            <w:tcW w:w="342" w:type="dxa"/>
          </w:tcPr>
          <w:p w14:paraId="11CF4152" w14:textId="77777777" w:rsidR="009B7AED" w:rsidRPr="005148CB" w:rsidRDefault="009B7AED" w:rsidP="002841D0">
            <w:pPr>
              <w:pStyle w:val="TableTextDense"/>
              <w:spacing w:before="10" w:after="10" w:line="240" w:lineRule="auto"/>
              <w:contextualSpacing w:val="0"/>
              <w:jc w:val="center"/>
              <w:rPr>
                <w:rFonts w:ascii="Calibri" w:hAnsi="Calibri" w:cs="Calibri"/>
                <w:b w:val="0"/>
                <w:sz w:val="20"/>
                <w:szCs w:val="20"/>
              </w:rPr>
            </w:pPr>
            <w:r w:rsidRPr="005148CB">
              <w:rPr>
                <w:rFonts w:ascii="Calibri" w:hAnsi="Calibri" w:cs="Calibri"/>
                <w:sz w:val="20"/>
                <w:szCs w:val="20"/>
              </w:rPr>
              <w:t>11</w:t>
            </w:r>
          </w:p>
        </w:tc>
        <w:tc>
          <w:tcPr>
            <w:tcW w:w="558" w:type="dxa"/>
          </w:tcPr>
          <w:p w14:paraId="5709B400" w14:textId="77777777" w:rsidR="009B7AED" w:rsidRPr="005148CB" w:rsidRDefault="009B7AED" w:rsidP="002841D0">
            <w:pPr>
              <w:pStyle w:val="TableTextDense"/>
              <w:spacing w:before="10" w:after="10" w:line="240" w:lineRule="auto"/>
              <w:contextualSpacing w:val="0"/>
              <w:jc w:val="center"/>
              <w:rPr>
                <w:rFonts w:ascii="Calibri" w:hAnsi="Calibri" w:cs="Calibri"/>
                <w:b w:val="0"/>
                <w:sz w:val="20"/>
                <w:szCs w:val="20"/>
              </w:rPr>
            </w:pPr>
            <w:r w:rsidRPr="005148CB">
              <w:rPr>
                <w:rFonts w:ascii="Calibri" w:hAnsi="Calibri" w:cs="Calibri"/>
                <w:sz w:val="20"/>
                <w:szCs w:val="20"/>
              </w:rPr>
              <w:t>12-15</w:t>
            </w:r>
          </w:p>
        </w:tc>
        <w:tc>
          <w:tcPr>
            <w:tcW w:w="576" w:type="dxa"/>
          </w:tcPr>
          <w:p w14:paraId="2A4B57F4" w14:textId="77777777" w:rsidR="009B7AED" w:rsidRPr="005148CB" w:rsidRDefault="009B7AED" w:rsidP="002841D0">
            <w:pPr>
              <w:pStyle w:val="TableTextDense"/>
              <w:spacing w:before="10" w:after="10" w:line="240" w:lineRule="auto"/>
              <w:contextualSpacing w:val="0"/>
              <w:jc w:val="center"/>
              <w:rPr>
                <w:rFonts w:ascii="Calibri" w:hAnsi="Calibri" w:cs="Calibri"/>
                <w:b w:val="0"/>
                <w:sz w:val="20"/>
                <w:szCs w:val="20"/>
              </w:rPr>
            </w:pPr>
            <w:r w:rsidRPr="005148CB">
              <w:rPr>
                <w:rFonts w:ascii="Calibri" w:hAnsi="Calibri" w:cs="Calibri"/>
                <w:sz w:val="20"/>
                <w:szCs w:val="20"/>
              </w:rPr>
              <w:t>16-17</w:t>
            </w:r>
          </w:p>
        </w:tc>
        <w:tc>
          <w:tcPr>
            <w:tcW w:w="540" w:type="dxa"/>
          </w:tcPr>
          <w:p w14:paraId="2779F5AC" w14:textId="77777777" w:rsidR="009B7AED" w:rsidRPr="005148CB" w:rsidRDefault="009B7AED" w:rsidP="002841D0">
            <w:pPr>
              <w:pStyle w:val="TableTextDense"/>
              <w:spacing w:before="10" w:after="10" w:line="240" w:lineRule="auto"/>
              <w:contextualSpacing w:val="0"/>
              <w:jc w:val="center"/>
              <w:rPr>
                <w:rFonts w:ascii="Calibri" w:hAnsi="Calibri" w:cs="Calibri"/>
                <w:b w:val="0"/>
                <w:sz w:val="20"/>
                <w:szCs w:val="20"/>
              </w:rPr>
            </w:pPr>
            <w:r w:rsidRPr="005148CB">
              <w:rPr>
                <w:rFonts w:ascii="Calibri" w:hAnsi="Calibri" w:cs="Calibri"/>
                <w:sz w:val="20"/>
                <w:szCs w:val="20"/>
              </w:rPr>
              <w:t>18-19</w:t>
            </w:r>
          </w:p>
        </w:tc>
        <w:tc>
          <w:tcPr>
            <w:tcW w:w="540" w:type="dxa"/>
          </w:tcPr>
          <w:p w14:paraId="0CD28CA6" w14:textId="77777777" w:rsidR="009B7AED" w:rsidRPr="005148CB" w:rsidRDefault="009B7AED" w:rsidP="002841D0">
            <w:pPr>
              <w:pStyle w:val="TableTextDense"/>
              <w:spacing w:before="10" w:after="10" w:line="240" w:lineRule="auto"/>
              <w:contextualSpacing w:val="0"/>
              <w:jc w:val="center"/>
              <w:rPr>
                <w:rFonts w:ascii="Calibri" w:hAnsi="Calibri" w:cs="Calibri"/>
                <w:b w:val="0"/>
                <w:sz w:val="20"/>
                <w:szCs w:val="20"/>
              </w:rPr>
            </w:pPr>
            <w:r w:rsidRPr="005148CB">
              <w:rPr>
                <w:rFonts w:ascii="Calibri" w:hAnsi="Calibri" w:cs="Calibri"/>
                <w:sz w:val="20"/>
                <w:szCs w:val="20"/>
              </w:rPr>
              <w:t>20-21</w:t>
            </w:r>
          </w:p>
        </w:tc>
        <w:tc>
          <w:tcPr>
            <w:tcW w:w="720" w:type="dxa"/>
          </w:tcPr>
          <w:p w14:paraId="046A6286" w14:textId="77777777" w:rsidR="009B7AED" w:rsidRPr="005148CB" w:rsidRDefault="009B7AED" w:rsidP="002841D0">
            <w:pPr>
              <w:pStyle w:val="TableTextDense"/>
              <w:spacing w:before="10" w:after="10" w:line="240" w:lineRule="auto"/>
              <w:contextualSpacing w:val="0"/>
              <w:jc w:val="center"/>
              <w:rPr>
                <w:rFonts w:ascii="Calibri" w:hAnsi="Calibri" w:cs="Calibri"/>
                <w:b w:val="0"/>
                <w:sz w:val="20"/>
                <w:szCs w:val="20"/>
              </w:rPr>
            </w:pPr>
            <w:r w:rsidRPr="005148CB">
              <w:rPr>
                <w:rFonts w:ascii="Calibri" w:hAnsi="Calibri" w:cs="Calibri"/>
                <w:sz w:val="20"/>
                <w:szCs w:val="20"/>
              </w:rPr>
              <w:t>22</w:t>
            </w:r>
          </w:p>
        </w:tc>
        <w:tc>
          <w:tcPr>
            <w:tcW w:w="387" w:type="dxa"/>
          </w:tcPr>
          <w:p w14:paraId="00525439" w14:textId="77777777" w:rsidR="009B7AED" w:rsidRPr="005148CB" w:rsidRDefault="009B7AED" w:rsidP="002841D0">
            <w:pPr>
              <w:pStyle w:val="TableTextDense"/>
              <w:spacing w:before="10" w:after="10" w:line="240" w:lineRule="auto"/>
              <w:contextualSpacing w:val="0"/>
              <w:jc w:val="center"/>
              <w:rPr>
                <w:rFonts w:ascii="Calibri" w:hAnsi="Calibri" w:cs="Calibri"/>
                <w:b w:val="0"/>
                <w:sz w:val="20"/>
                <w:szCs w:val="20"/>
              </w:rPr>
            </w:pPr>
            <w:r w:rsidRPr="005148CB">
              <w:rPr>
                <w:rFonts w:ascii="Calibri" w:hAnsi="Calibri" w:cs="Calibri"/>
                <w:sz w:val="20"/>
                <w:szCs w:val="20"/>
              </w:rPr>
              <w:t>23</w:t>
            </w:r>
          </w:p>
        </w:tc>
        <w:tc>
          <w:tcPr>
            <w:tcW w:w="513" w:type="dxa"/>
          </w:tcPr>
          <w:p w14:paraId="7175C241" w14:textId="77777777" w:rsidR="009B7AED" w:rsidRPr="005148CB" w:rsidRDefault="009B7AED" w:rsidP="002841D0">
            <w:pPr>
              <w:pStyle w:val="TableTextDense"/>
              <w:spacing w:before="10" w:after="10" w:line="240" w:lineRule="auto"/>
              <w:contextualSpacing w:val="0"/>
              <w:jc w:val="center"/>
              <w:rPr>
                <w:rFonts w:ascii="Calibri" w:hAnsi="Calibri" w:cs="Calibri"/>
                <w:b w:val="0"/>
                <w:sz w:val="20"/>
                <w:szCs w:val="20"/>
              </w:rPr>
            </w:pPr>
            <w:r w:rsidRPr="005148CB">
              <w:rPr>
                <w:rFonts w:ascii="Calibri" w:hAnsi="Calibri" w:cs="Calibri"/>
                <w:sz w:val="20"/>
                <w:szCs w:val="20"/>
              </w:rPr>
              <w:t>24-25</w:t>
            </w:r>
          </w:p>
        </w:tc>
        <w:tc>
          <w:tcPr>
            <w:tcW w:w="405" w:type="dxa"/>
          </w:tcPr>
          <w:p w14:paraId="4DAA369E" w14:textId="77777777" w:rsidR="009B7AED" w:rsidRPr="005148CB" w:rsidRDefault="009B7AED" w:rsidP="002841D0">
            <w:pPr>
              <w:pStyle w:val="TableTextDense"/>
              <w:spacing w:before="10" w:after="10" w:line="240" w:lineRule="auto"/>
              <w:contextualSpacing w:val="0"/>
              <w:jc w:val="center"/>
              <w:rPr>
                <w:rFonts w:ascii="Calibri" w:hAnsi="Calibri" w:cs="Calibri"/>
                <w:b w:val="0"/>
                <w:sz w:val="20"/>
                <w:szCs w:val="20"/>
              </w:rPr>
            </w:pPr>
            <w:r w:rsidRPr="005148CB">
              <w:rPr>
                <w:rFonts w:ascii="Calibri" w:hAnsi="Calibri" w:cs="Calibri"/>
                <w:sz w:val="20"/>
                <w:szCs w:val="20"/>
              </w:rPr>
              <w:t>26</w:t>
            </w:r>
          </w:p>
        </w:tc>
        <w:tc>
          <w:tcPr>
            <w:tcW w:w="747" w:type="dxa"/>
          </w:tcPr>
          <w:p w14:paraId="15FE2F22" w14:textId="77777777" w:rsidR="009B7AED" w:rsidRPr="005148CB" w:rsidRDefault="009B7AED" w:rsidP="002841D0">
            <w:pPr>
              <w:pStyle w:val="TableTextDense"/>
              <w:spacing w:before="10" w:after="10" w:line="240" w:lineRule="auto"/>
              <w:contextualSpacing w:val="0"/>
              <w:jc w:val="center"/>
              <w:rPr>
                <w:rFonts w:ascii="Calibri" w:hAnsi="Calibri" w:cs="Calibri"/>
                <w:b w:val="0"/>
                <w:sz w:val="20"/>
                <w:szCs w:val="20"/>
              </w:rPr>
            </w:pPr>
            <w:r w:rsidRPr="005148CB">
              <w:rPr>
                <w:rFonts w:ascii="Calibri" w:hAnsi="Calibri" w:cs="Calibri"/>
                <w:sz w:val="20"/>
                <w:szCs w:val="20"/>
              </w:rPr>
              <w:t>27-31</w:t>
            </w:r>
          </w:p>
        </w:tc>
        <w:tc>
          <w:tcPr>
            <w:tcW w:w="630" w:type="dxa"/>
          </w:tcPr>
          <w:p w14:paraId="5362D5C3" w14:textId="77777777" w:rsidR="009B7AED" w:rsidRPr="005148CB" w:rsidRDefault="009B7AED" w:rsidP="002841D0">
            <w:pPr>
              <w:pStyle w:val="TableTextDense"/>
              <w:spacing w:before="10" w:after="10" w:line="240" w:lineRule="auto"/>
              <w:contextualSpacing w:val="0"/>
              <w:jc w:val="center"/>
              <w:rPr>
                <w:rFonts w:ascii="Calibri" w:hAnsi="Calibri" w:cs="Calibri"/>
                <w:b w:val="0"/>
                <w:sz w:val="20"/>
                <w:szCs w:val="20"/>
              </w:rPr>
            </w:pPr>
            <w:r w:rsidRPr="005148CB">
              <w:rPr>
                <w:rFonts w:ascii="Calibri" w:hAnsi="Calibri" w:cs="Calibri"/>
                <w:sz w:val="20"/>
                <w:szCs w:val="20"/>
              </w:rPr>
              <w:t>32-36</w:t>
            </w:r>
          </w:p>
        </w:tc>
        <w:tc>
          <w:tcPr>
            <w:tcW w:w="639" w:type="dxa"/>
          </w:tcPr>
          <w:p w14:paraId="11AF6C57" w14:textId="77777777" w:rsidR="009B7AED" w:rsidRPr="005148CB" w:rsidRDefault="009B7AED" w:rsidP="002841D0">
            <w:pPr>
              <w:pStyle w:val="TableTextDense"/>
              <w:spacing w:before="10" w:after="10" w:line="240" w:lineRule="auto"/>
              <w:contextualSpacing w:val="0"/>
              <w:jc w:val="center"/>
              <w:rPr>
                <w:rFonts w:ascii="Calibri" w:hAnsi="Calibri" w:cs="Calibri"/>
                <w:b w:val="0"/>
                <w:sz w:val="20"/>
                <w:szCs w:val="20"/>
              </w:rPr>
            </w:pPr>
            <w:r w:rsidRPr="005148CB">
              <w:rPr>
                <w:rFonts w:ascii="Calibri" w:hAnsi="Calibri" w:cs="Calibri"/>
                <w:sz w:val="20"/>
                <w:szCs w:val="20"/>
              </w:rPr>
              <w:t>37-41</w:t>
            </w:r>
          </w:p>
        </w:tc>
      </w:tr>
      <w:tr w:rsidR="009B64BC" w:rsidRPr="005148CB" w14:paraId="515A106E" w14:textId="77777777" w:rsidTr="00853B6B">
        <w:trPr>
          <w:trHeight w:val="60"/>
        </w:trPr>
        <w:tc>
          <w:tcPr>
            <w:tcW w:w="1070" w:type="dxa"/>
          </w:tcPr>
          <w:p w14:paraId="3EDB4D35" w14:textId="77777777" w:rsidR="009B7AED" w:rsidRPr="005148CB" w:rsidRDefault="009B7AED" w:rsidP="002841D0">
            <w:pPr>
              <w:pStyle w:val="TableTextDense"/>
              <w:spacing w:before="10" w:after="10" w:line="240" w:lineRule="auto"/>
              <w:contextualSpacing w:val="0"/>
              <w:rPr>
                <w:rFonts w:ascii="Calibri" w:hAnsi="Calibri" w:cs="Calibri"/>
                <w:sz w:val="20"/>
                <w:szCs w:val="20"/>
              </w:rPr>
            </w:pPr>
            <w:r w:rsidRPr="005148CB">
              <w:rPr>
                <w:rStyle w:val="Bold"/>
                <w:rFonts w:ascii="Calibri" w:hAnsi="Calibri" w:cs="Calibri"/>
                <w:sz w:val="20"/>
                <w:szCs w:val="20"/>
              </w:rPr>
              <w:t>Content 01 Example:</w:t>
            </w:r>
          </w:p>
        </w:tc>
        <w:tc>
          <w:tcPr>
            <w:tcW w:w="218" w:type="dxa"/>
          </w:tcPr>
          <w:p w14:paraId="7E2DBA20"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T</w:t>
            </w:r>
          </w:p>
        </w:tc>
        <w:tc>
          <w:tcPr>
            <w:tcW w:w="394" w:type="dxa"/>
          </w:tcPr>
          <w:p w14:paraId="3B4A4F97"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17</w:t>
            </w:r>
          </w:p>
        </w:tc>
        <w:tc>
          <w:tcPr>
            <w:tcW w:w="729" w:type="dxa"/>
          </w:tcPr>
          <w:p w14:paraId="2CDC3856"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018114</w:t>
            </w:r>
          </w:p>
        </w:tc>
        <w:tc>
          <w:tcPr>
            <w:tcW w:w="351" w:type="dxa"/>
          </w:tcPr>
          <w:p w14:paraId="176A04F9"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3</w:t>
            </w:r>
          </w:p>
        </w:tc>
        <w:tc>
          <w:tcPr>
            <w:tcW w:w="342" w:type="dxa"/>
          </w:tcPr>
          <w:p w14:paraId="594D941B"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1</w:t>
            </w:r>
          </w:p>
        </w:tc>
        <w:tc>
          <w:tcPr>
            <w:tcW w:w="558" w:type="dxa"/>
          </w:tcPr>
          <w:p w14:paraId="1037ACDF"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2012</w:t>
            </w:r>
          </w:p>
        </w:tc>
        <w:tc>
          <w:tcPr>
            <w:tcW w:w="576" w:type="dxa"/>
          </w:tcPr>
          <w:p w14:paraId="42EFB16A"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06</w:t>
            </w:r>
          </w:p>
        </w:tc>
        <w:tc>
          <w:tcPr>
            <w:tcW w:w="540" w:type="dxa"/>
          </w:tcPr>
          <w:p w14:paraId="00761783"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20</w:t>
            </w:r>
          </w:p>
        </w:tc>
        <w:tc>
          <w:tcPr>
            <w:tcW w:w="540" w:type="dxa"/>
          </w:tcPr>
          <w:p w14:paraId="4D70B490"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w:t>
            </w:r>
          </w:p>
        </w:tc>
        <w:tc>
          <w:tcPr>
            <w:tcW w:w="720" w:type="dxa"/>
          </w:tcPr>
          <w:p w14:paraId="77CBC616"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Blank</w:t>
            </w:r>
          </w:p>
        </w:tc>
        <w:tc>
          <w:tcPr>
            <w:tcW w:w="387" w:type="dxa"/>
          </w:tcPr>
          <w:p w14:paraId="5F7B3420"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2</w:t>
            </w:r>
          </w:p>
        </w:tc>
        <w:tc>
          <w:tcPr>
            <w:tcW w:w="513" w:type="dxa"/>
          </w:tcPr>
          <w:p w14:paraId="148B8C77"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25</w:t>
            </w:r>
          </w:p>
        </w:tc>
        <w:tc>
          <w:tcPr>
            <w:tcW w:w="405" w:type="dxa"/>
          </w:tcPr>
          <w:p w14:paraId="489866BB"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p>
        </w:tc>
        <w:tc>
          <w:tcPr>
            <w:tcW w:w="747" w:type="dxa"/>
          </w:tcPr>
          <w:p w14:paraId="19A9E1F0"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000683</w:t>
            </w:r>
          </w:p>
        </w:tc>
        <w:tc>
          <w:tcPr>
            <w:tcW w:w="630" w:type="dxa"/>
          </w:tcPr>
          <w:p w14:paraId="254D6B09"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639" w:type="dxa"/>
          </w:tcPr>
          <w:p w14:paraId="2610109D"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r>
      <w:tr w:rsidR="009B64BC" w:rsidRPr="005148CB" w14:paraId="3D28204A" w14:textId="77777777" w:rsidTr="00853B6B">
        <w:trPr>
          <w:trHeight w:val="295"/>
        </w:trPr>
        <w:tc>
          <w:tcPr>
            <w:tcW w:w="1070" w:type="dxa"/>
          </w:tcPr>
          <w:p w14:paraId="07352B0C" w14:textId="77777777" w:rsidR="009B7AED" w:rsidRPr="005148CB" w:rsidRDefault="009B7AED" w:rsidP="002841D0">
            <w:pPr>
              <w:pStyle w:val="TableTextDense"/>
              <w:spacing w:before="10" w:after="10" w:line="240" w:lineRule="auto"/>
              <w:contextualSpacing w:val="0"/>
              <w:rPr>
                <w:rFonts w:ascii="Calibri" w:hAnsi="Calibri" w:cs="Calibri"/>
                <w:sz w:val="20"/>
                <w:szCs w:val="20"/>
              </w:rPr>
            </w:pPr>
            <w:r w:rsidRPr="005148CB">
              <w:rPr>
                <w:rStyle w:val="Bold"/>
                <w:rFonts w:ascii="Calibri" w:hAnsi="Calibri" w:cs="Calibri"/>
                <w:sz w:val="20"/>
                <w:szCs w:val="20"/>
              </w:rPr>
              <w:t>Content 02 Example:</w:t>
            </w:r>
          </w:p>
        </w:tc>
        <w:tc>
          <w:tcPr>
            <w:tcW w:w="218" w:type="dxa"/>
          </w:tcPr>
          <w:p w14:paraId="1DC13218"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T</w:t>
            </w:r>
          </w:p>
        </w:tc>
        <w:tc>
          <w:tcPr>
            <w:tcW w:w="394" w:type="dxa"/>
          </w:tcPr>
          <w:p w14:paraId="17AB882E"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17</w:t>
            </w:r>
          </w:p>
        </w:tc>
        <w:tc>
          <w:tcPr>
            <w:tcW w:w="729" w:type="dxa"/>
          </w:tcPr>
          <w:p w14:paraId="2A940ECD"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018114</w:t>
            </w:r>
          </w:p>
        </w:tc>
        <w:tc>
          <w:tcPr>
            <w:tcW w:w="351" w:type="dxa"/>
          </w:tcPr>
          <w:p w14:paraId="0D0889E5"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7</w:t>
            </w:r>
          </w:p>
        </w:tc>
        <w:tc>
          <w:tcPr>
            <w:tcW w:w="342" w:type="dxa"/>
          </w:tcPr>
          <w:p w14:paraId="1B9ECB3E"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1</w:t>
            </w:r>
          </w:p>
        </w:tc>
        <w:tc>
          <w:tcPr>
            <w:tcW w:w="558" w:type="dxa"/>
          </w:tcPr>
          <w:p w14:paraId="35E7D414"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2012</w:t>
            </w:r>
          </w:p>
        </w:tc>
        <w:tc>
          <w:tcPr>
            <w:tcW w:w="576" w:type="dxa"/>
          </w:tcPr>
          <w:p w14:paraId="19BFD2D8"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06</w:t>
            </w:r>
          </w:p>
        </w:tc>
        <w:tc>
          <w:tcPr>
            <w:tcW w:w="540" w:type="dxa"/>
          </w:tcPr>
          <w:p w14:paraId="6F085832"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20</w:t>
            </w:r>
          </w:p>
        </w:tc>
        <w:tc>
          <w:tcPr>
            <w:tcW w:w="540" w:type="dxa"/>
          </w:tcPr>
          <w:p w14:paraId="2E2C6B0E"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w:t>
            </w:r>
          </w:p>
        </w:tc>
        <w:tc>
          <w:tcPr>
            <w:tcW w:w="720" w:type="dxa"/>
          </w:tcPr>
          <w:p w14:paraId="7913B958"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Blank</w:t>
            </w:r>
          </w:p>
        </w:tc>
        <w:tc>
          <w:tcPr>
            <w:tcW w:w="387" w:type="dxa"/>
          </w:tcPr>
          <w:p w14:paraId="04BA6D31"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2</w:t>
            </w:r>
          </w:p>
        </w:tc>
        <w:tc>
          <w:tcPr>
            <w:tcW w:w="513" w:type="dxa"/>
          </w:tcPr>
          <w:p w14:paraId="7EFBACF7"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25</w:t>
            </w:r>
          </w:p>
        </w:tc>
        <w:tc>
          <w:tcPr>
            <w:tcW w:w="405" w:type="dxa"/>
          </w:tcPr>
          <w:p w14:paraId="18277A77"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p>
        </w:tc>
        <w:tc>
          <w:tcPr>
            <w:tcW w:w="747" w:type="dxa"/>
          </w:tcPr>
          <w:p w14:paraId="3D91EF16"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000681</w:t>
            </w:r>
          </w:p>
        </w:tc>
        <w:tc>
          <w:tcPr>
            <w:tcW w:w="630" w:type="dxa"/>
          </w:tcPr>
          <w:p w14:paraId="228E0040"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639" w:type="dxa"/>
          </w:tcPr>
          <w:p w14:paraId="3CAC683F"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r>
    </w:tbl>
    <w:p w14:paraId="476B83D6" w14:textId="77777777" w:rsidR="009B7AED" w:rsidRPr="00756A88" w:rsidRDefault="009B7AED" w:rsidP="009B64BC">
      <w:pPr>
        <w:pStyle w:val="BodyText"/>
        <w:spacing w:before="120"/>
        <w:rPr>
          <w:rStyle w:val="Italic"/>
          <w:iCs/>
        </w:rPr>
      </w:pPr>
      <w:r w:rsidRPr="00756A88">
        <w:rPr>
          <w:rStyle w:val="Italic"/>
          <w:iCs/>
        </w:rPr>
        <w:t>continued</w:t>
      </w:r>
    </w:p>
    <w:tbl>
      <w:tblPr>
        <w:tblStyle w:val="TMGTable"/>
        <w:tblW w:w="9350" w:type="dxa"/>
        <w:jc w:val="righ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1070"/>
        <w:gridCol w:w="623"/>
        <w:gridCol w:w="637"/>
        <w:gridCol w:w="623"/>
        <w:gridCol w:w="637"/>
        <w:gridCol w:w="623"/>
        <w:gridCol w:w="637"/>
        <w:gridCol w:w="623"/>
        <w:gridCol w:w="623"/>
        <w:gridCol w:w="623"/>
        <w:gridCol w:w="623"/>
        <w:gridCol w:w="623"/>
        <w:gridCol w:w="692"/>
        <w:gridCol w:w="693"/>
      </w:tblGrid>
      <w:tr w:rsidR="009B64BC" w:rsidRPr="005148CB" w14:paraId="6585365E" w14:textId="77777777" w:rsidTr="00853B6B">
        <w:trPr>
          <w:cnfStyle w:val="100000000000" w:firstRow="1" w:lastRow="0" w:firstColumn="0" w:lastColumn="0" w:oddVBand="0" w:evenVBand="0" w:oddHBand="0" w:evenHBand="0" w:firstRowFirstColumn="0" w:firstRowLastColumn="0" w:lastRowFirstColumn="0" w:lastRowLastColumn="0"/>
          <w:trHeight w:val="46"/>
          <w:jc w:val="right"/>
        </w:trPr>
        <w:tc>
          <w:tcPr>
            <w:tcW w:w="1070" w:type="dxa"/>
          </w:tcPr>
          <w:p w14:paraId="02AD7121" w14:textId="77777777" w:rsidR="009B7AED" w:rsidRPr="005148CB" w:rsidRDefault="009B7AED" w:rsidP="002841D0">
            <w:pPr>
              <w:pStyle w:val="TableTextDense"/>
              <w:spacing w:before="10" w:after="10" w:line="240" w:lineRule="auto"/>
              <w:contextualSpacing w:val="0"/>
              <w:rPr>
                <w:rFonts w:ascii="Calibri" w:hAnsi="Calibri" w:cs="Calibri"/>
                <w:b w:val="0"/>
                <w:bCs w:val="0"/>
                <w:sz w:val="20"/>
                <w:szCs w:val="20"/>
              </w:rPr>
            </w:pPr>
            <w:r w:rsidRPr="005148CB">
              <w:rPr>
                <w:rStyle w:val="Bold"/>
                <w:rFonts w:ascii="Calibri" w:hAnsi="Calibri" w:cs="Calibri"/>
                <w:sz w:val="20"/>
                <w:szCs w:val="20"/>
              </w:rPr>
              <w:t>Column Number:</w:t>
            </w:r>
          </w:p>
        </w:tc>
        <w:tc>
          <w:tcPr>
            <w:tcW w:w="623" w:type="dxa"/>
          </w:tcPr>
          <w:p w14:paraId="52D99DEF" w14:textId="77777777" w:rsidR="009B7AED" w:rsidRPr="005148CB" w:rsidRDefault="009B7AED" w:rsidP="002841D0">
            <w:pPr>
              <w:pStyle w:val="TableTextDense"/>
              <w:spacing w:before="10" w:after="10" w:line="240" w:lineRule="auto"/>
              <w:contextualSpacing w:val="0"/>
              <w:jc w:val="center"/>
              <w:rPr>
                <w:rFonts w:ascii="Calibri" w:hAnsi="Calibri" w:cs="Calibri"/>
                <w:b w:val="0"/>
                <w:sz w:val="20"/>
                <w:szCs w:val="20"/>
              </w:rPr>
            </w:pPr>
            <w:r w:rsidRPr="005148CB">
              <w:rPr>
                <w:rFonts w:ascii="Calibri" w:hAnsi="Calibri" w:cs="Calibri"/>
                <w:sz w:val="20"/>
                <w:szCs w:val="20"/>
              </w:rPr>
              <w:t>42-46</w:t>
            </w:r>
          </w:p>
        </w:tc>
        <w:tc>
          <w:tcPr>
            <w:tcW w:w="637" w:type="dxa"/>
          </w:tcPr>
          <w:p w14:paraId="018CB458" w14:textId="77777777" w:rsidR="009B7AED" w:rsidRPr="005148CB" w:rsidRDefault="009B7AED" w:rsidP="002841D0">
            <w:pPr>
              <w:pStyle w:val="TableTextDense"/>
              <w:spacing w:before="10" w:after="10" w:line="240" w:lineRule="auto"/>
              <w:contextualSpacing w:val="0"/>
              <w:jc w:val="center"/>
              <w:rPr>
                <w:rFonts w:ascii="Calibri" w:hAnsi="Calibri" w:cs="Calibri"/>
                <w:b w:val="0"/>
                <w:sz w:val="20"/>
                <w:szCs w:val="20"/>
              </w:rPr>
            </w:pPr>
            <w:r w:rsidRPr="005148CB">
              <w:rPr>
                <w:rFonts w:ascii="Calibri" w:hAnsi="Calibri" w:cs="Calibri"/>
                <w:sz w:val="20"/>
                <w:szCs w:val="20"/>
              </w:rPr>
              <w:t>47-51</w:t>
            </w:r>
          </w:p>
        </w:tc>
        <w:tc>
          <w:tcPr>
            <w:tcW w:w="623" w:type="dxa"/>
          </w:tcPr>
          <w:p w14:paraId="0DEF4846" w14:textId="77777777" w:rsidR="009B7AED" w:rsidRPr="005148CB" w:rsidRDefault="009B7AED" w:rsidP="002841D0">
            <w:pPr>
              <w:pStyle w:val="TableTextDense"/>
              <w:spacing w:before="10" w:after="10" w:line="240" w:lineRule="auto"/>
              <w:contextualSpacing w:val="0"/>
              <w:jc w:val="center"/>
              <w:rPr>
                <w:rFonts w:ascii="Calibri" w:hAnsi="Calibri" w:cs="Calibri"/>
                <w:b w:val="0"/>
                <w:sz w:val="20"/>
                <w:szCs w:val="20"/>
              </w:rPr>
            </w:pPr>
            <w:r w:rsidRPr="005148CB">
              <w:rPr>
                <w:rFonts w:ascii="Calibri" w:hAnsi="Calibri" w:cs="Calibri"/>
                <w:sz w:val="20"/>
                <w:szCs w:val="20"/>
              </w:rPr>
              <w:t>52-56</w:t>
            </w:r>
          </w:p>
        </w:tc>
        <w:tc>
          <w:tcPr>
            <w:tcW w:w="637" w:type="dxa"/>
          </w:tcPr>
          <w:p w14:paraId="2FB450AA" w14:textId="77777777" w:rsidR="009B7AED" w:rsidRPr="005148CB" w:rsidRDefault="009B7AED" w:rsidP="002841D0">
            <w:pPr>
              <w:pStyle w:val="TableTextDense"/>
              <w:spacing w:before="10" w:after="10" w:line="240" w:lineRule="auto"/>
              <w:contextualSpacing w:val="0"/>
              <w:jc w:val="center"/>
              <w:rPr>
                <w:rFonts w:ascii="Calibri" w:hAnsi="Calibri" w:cs="Calibri"/>
                <w:b w:val="0"/>
                <w:sz w:val="20"/>
                <w:szCs w:val="20"/>
              </w:rPr>
            </w:pPr>
            <w:r w:rsidRPr="005148CB">
              <w:rPr>
                <w:rFonts w:ascii="Calibri" w:hAnsi="Calibri" w:cs="Calibri"/>
                <w:sz w:val="20"/>
                <w:szCs w:val="20"/>
              </w:rPr>
              <w:t>57-61</w:t>
            </w:r>
          </w:p>
        </w:tc>
        <w:tc>
          <w:tcPr>
            <w:tcW w:w="623" w:type="dxa"/>
          </w:tcPr>
          <w:p w14:paraId="338767AE" w14:textId="77777777" w:rsidR="009B7AED" w:rsidRPr="005148CB" w:rsidRDefault="009B7AED" w:rsidP="002841D0">
            <w:pPr>
              <w:pStyle w:val="TableTextDense"/>
              <w:spacing w:before="10" w:after="10" w:line="240" w:lineRule="auto"/>
              <w:contextualSpacing w:val="0"/>
              <w:jc w:val="center"/>
              <w:rPr>
                <w:rFonts w:ascii="Calibri" w:hAnsi="Calibri" w:cs="Calibri"/>
                <w:b w:val="0"/>
                <w:sz w:val="20"/>
                <w:szCs w:val="20"/>
              </w:rPr>
            </w:pPr>
            <w:r w:rsidRPr="005148CB">
              <w:rPr>
                <w:rFonts w:ascii="Calibri" w:hAnsi="Calibri" w:cs="Calibri"/>
                <w:sz w:val="20"/>
                <w:szCs w:val="20"/>
              </w:rPr>
              <w:t>62-66</w:t>
            </w:r>
          </w:p>
        </w:tc>
        <w:tc>
          <w:tcPr>
            <w:tcW w:w="637" w:type="dxa"/>
          </w:tcPr>
          <w:p w14:paraId="6CA15F34" w14:textId="77777777" w:rsidR="009B7AED" w:rsidRPr="005148CB" w:rsidRDefault="009B7AED" w:rsidP="002841D0">
            <w:pPr>
              <w:pStyle w:val="TableTextDense"/>
              <w:spacing w:before="10" w:after="10" w:line="240" w:lineRule="auto"/>
              <w:contextualSpacing w:val="0"/>
              <w:jc w:val="center"/>
              <w:rPr>
                <w:rFonts w:ascii="Calibri" w:hAnsi="Calibri" w:cs="Calibri"/>
                <w:b w:val="0"/>
                <w:sz w:val="20"/>
                <w:szCs w:val="20"/>
              </w:rPr>
            </w:pPr>
            <w:r w:rsidRPr="005148CB">
              <w:rPr>
                <w:rFonts w:ascii="Calibri" w:hAnsi="Calibri" w:cs="Calibri"/>
                <w:sz w:val="20"/>
                <w:szCs w:val="20"/>
              </w:rPr>
              <w:t>67-71</w:t>
            </w:r>
          </w:p>
        </w:tc>
        <w:tc>
          <w:tcPr>
            <w:tcW w:w="623" w:type="dxa"/>
          </w:tcPr>
          <w:p w14:paraId="05CE400C" w14:textId="77777777" w:rsidR="009B7AED" w:rsidRPr="005148CB" w:rsidRDefault="009B7AED" w:rsidP="002841D0">
            <w:pPr>
              <w:pStyle w:val="TableTextDense"/>
              <w:spacing w:before="10" w:after="10" w:line="240" w:lineRule="auto"/>
              <w:contextualSpacing w:val="0"/>
              <w:jc w:val="center"/>
              <w:rPr>
                <w:rFonts w:ascii="Calibri" w:hAnsi="Calibri" w:cs="Calibri"/>
                <w:b w:val="0"/>
                <w:sz w:val="20"/>
                <w:szCs w:val="20"/>
              </w:rPr>
            </w:pPr>
            <w:r w:rsidRPr="005148CB">
              <w:rPr>
                <w:rFonts w:ascii="Calibri" w:hAnsi="Calibri" w:cs="Calibri"/>
                <w:sz w:val="20"/>
                <w:szCs w:val="20"/>
              </w:rPr>
              <w:t>72-76</w:t>
            </w:r>
          </w:p>
        </w:tc>
        <w:tc>
          <w:tcPr>
            <w:tcW w:w="623" w:type="dxa"/>
          </w:tcPr>
          <w:p w14:paraId="547BC8AD" w14:textId="77777777" w:rsidR="009B7AED" w:rsidRPr="005148CB" w:rsidRDefault="009B7AED" w:rsidP="002841D0">
            <w:pPr>
              <w:pStyle w:val="TableTextDense"/>
              <w:spacing w:before="10" w:after="10" w:line="240" w:lineRule="auto"/>
              <w:contextualSpacing w:val="0"/>
              <w:jc w:val="center"/>
              <w:rPr>
                <w:rFonts w:ascii="Calibri" w:hAnsi="Calibri" w:cs="Calibri"/>
                <w:b w:val="0"/>
                <w:sz w:val="20"/>
                <w:szCs w:val="20"/>
              </w:rPr>
            </w:pPr>
            <w:r w:rsidRPr="005148CB">
              <w:rPr>
                <w:rFonts w:ascii="Calibri" w:hAnsi="Calibri" w:cs="Calibri"/>
                <w:sz w:val="20"/>
                <w:szCs w:val="20"/>
              </w:rPr>
              <w:t>77-81</w:t>
            </w:r>
          </w:p>
        </w:tc>
        <w:tc>
          <w:tcPr>
            <w:tcW w:w="623" w:type="dxa"/>
          </w:tcPr>
          <w:p w14:paraId="2BCE7728" w14:textId="77777777" w:rsidR="009B7AED" w:rsidRPr="005148CB" w:rsidRDefault="009B7AED" w:rsidP="002841D0">
            <w:pPr>
              <w:pStyle w:val="TableTextDense"/>
              <w:spacing w:before="10" w:after="10" w:line="240" w:lineRule="auto"/>
              <w:contextualSpacing w:val="0"/>
              <w:jc w:val="center"/>
              <w:rPr>
                <w:rFonts w:ascii="Calibri" w:hAnsi="Calibri" w:cs="Calibri"/>
                <w:b w:val="0"/>
                <w:sz w:val="20"/>
                <w:szCs w:val="20"/>
              </w:rPr>
            </w:pPr>
            <w:r w:rsidRPr="005148CB">
              <w:rPr>
                <w:rFonts w:ascii="Calibri" w:hAnsi="Calibri" w:cs="Calibri"/>
                <w:sz w:val="20"/>
                <w:szCs w:val="20"/>
              </w:rPr>
              <w:t>82-86</w:t>
            </w:r>
          </w:p>
        </w:tc>
        <w:tc>
          <w:tcPr>
            <w:tcW w:w="623" w:type="dxa"/>
          </w:tcPr>
          <w:p w14:paraId="2ABDF8FF" w14:textId="77777777" w:rsidR="009B7AED" w:rsidRPr="005148CB" w:rsidRDefault="009B7AED" w:rsidP="002841D0">
            <w:pPr>
              <w:pStyle w:val="TableTextDense"/>
              <w:spacing w:before="10" w:after="10" w:line="240" w:lineRule="auto"/>
              <w:contextualSpacing w:val="0"/>
              <w:jc w:val="center"/>
              <w:rPr>
                <w:rFonts w:ascii="Calibri" w:hAnsi="Calibri" w:cs="Calibri"/>
                <w:b w:val="0"/>
                <w:sz w:val="20"/>
                <w:szCs w:val="20"/>
              </w:rPr>
            </w:pPr>
            <w:r w:rsidRPr="005148CB">
              <w:rPr>
                <w:rFonts w:ascii="Calibri" w:hAnsi="Calibri" w:cs="Calibri"/>
                <w:sz w:val="20"/>
                <w:szCs w:val="20"/>
              </w:rPr>
              <w:t>87-91</w:t>
            </w:r>
          </w:p>
        </w:tc>
        <w:tc>
          <w:tcPr>
            <w:tcW w:w="623" w:type="dxa"/>
          </w:tcPr>
          <w:p w14:paraId="550622B5" w14:textId="77777777" w:rsidR="009B7AED" w:rsidRPr="005148CB" w:rsidRDefault="009B7AED" w:rsidP="002841D0">
            <w:pPr>
              <w:pStyle w:val="TableTextDense"/>
              <w:spacing w:before="10" w:after="10" w:line="240" w:lineRule="auto"/>
              <w:contextualSpacing w:val="0"/>
              <w:jc w:val="center"/>
              <w:rPr>
                <w:rFonts w:ascii="Calibri" w:hAnsi="Calibri" w:cs="Calibri"/>
                <w:b w:val="0"/>
                <w:sz w:val="20"/>
                <w:szCs w:val="20"/>
              </w:rPr>
            </w:pPr>
            <w:r w:rsidRPr="005148CB">
              <w:rPr>
                <w:rFonts w:ascii="Calibri" w:hAnsi="Calibri" w:cs="Calibri"/>
                <w:sz w:val="20"/>
                <w:szCs w:val="20"/>
              </w:rPr>
              <w:t>92-96</w:t>
            </w:r>
          </w:p>
        </w:tc>
        <w:tc>
          <w:tcPr>
            <w:tcW w:w="692" w:type="dxa"/>
          </w:tcPr>
          <w:p w14:paraId="676E4BF3" w14:textId="77777777" w:rsidR="009B7AED" w:rsidRPr="005148CB" w:rsidRDefault="009B7AED" w:rsidP="002841D0">
            <w:pPr>
              <w:pStyle w:val="TableTextDense"/>
              <w:spacing w:before="10" w:after="10" w:line="240" w:lineRule="auto"/>
              <w:contextualSpacing w:val="0"/>
              <w:jc w:val="center"/>
              <w:rPr>
                <w:rFonts w:ascii="Calibri" w:hAnsi="Calibri" w:cs="Calibri"/>
                <w:b w:val="0"/>
                <w:sz w:val="20"/>
                <w:szCs w:val="20"/>
              </w:rPr>
            </w:pPr>
            <w:r w:rsidRPr="005148CB">
              <w:rPr>
                <w:rFonts w:ascii="Calibri" w:hAnsi="Calibri" w:cs="Calibri"/>
                <w:sz w:val="20"/>
                <w:szCs w:val="20"/>
              </w:rPr>
              <w:t>97-101</w:t>
            </w:r>
          </w:p>
        </w:tc>
        <w:tc>
          <w:tcPr>
            <w:tcW w:w="693" w:type="dxa"/>
          </w:tcPr>
          <w:p w14:paraId="0D648D16" w14:textId="77777777" w:rsidR="009B7AED" w:rsidRPr="005148CB" w:rsidRDefault="009B7AED" w:rsidP="002841D0">
            <w:pPr>
              <w:pStyle w:val="TableTextDense"/>
              <w:spacing w:before="10" w:after="10" w:line="240" w:lineRule="auto"/>
              <w:contextualSpacing w:val="0"/>
              <w:jc w:val="center"/>
              <w:rPr>
                <w:rFonts w:ascii="Calibri" w:hAnsi="Calibri" w:cs="Calibri"/>
                <w:b w:val="0"/>
                <w:sz w:val="20"/>
                <w:szCs w:val="20"/>
              </w:rPr>
            </w:pPr>
            <w:r w:rsidRPr="005148CB">
              <w:rPr>
                <w:rFonts w:ascii="Calibri" w:hAnsi="Calibri" w:cs="Calibri"/>
                <w:sz w:val="20"/>
                <w:szCs w:val="20"/>
              </w:rPr>
              <w:t>102-106</w:t>
            </w:r>
          </w:p>
        </w:tc>
      </w:tr>
      <w:tr w:rsidR="009B64BC" w:rsidRPr="005148CB" w14:paraId="4FE7C3C1" w14:textId="77777777" w:rsidTr="00853B6B">
        <w:trPr>
          <w:trHeight w:val="46"/>
          <w:jc w:val="right"/>
        </w:trPr>
        <w:tc>
          <w:tcPr>
            <w:tcW w:w="1070" w:type="dxa"/>
          </w:tcPr>
          <w:p w14:paraId="4283A8E3" w14:textId="77777777" w:rsidR="009B7AED" w:rsidRPr="005148CB" w:rsidRDefault="009B7AED" w:rsidP="002841D0">
            <w:pPr>
              <w:pStyle w:val="TableTextDense"/>
              <w:spacing w:before="10" w:after="10" w:line="240" w:lineRule="auto"/>
              <w:contextualSpacing w:val="0"/>
              <w:rPr>
                <w:rFonts w:ascii="Calibri" w:hAnsi="Calibri" w:cs="Calibri"/>
                <w:sz w:val="20"/>
                <w:szCs w:val="20"/>
              </w:rPr>
            </w:pPr>
            <w:r w:rsidRPr="005148CB">
              <w:rPr>
                <w:rStyle w:val="Bold"/>
                <w:rFonts w:ascii="Calibri" w:hAnsi="Calibri" w:cs="Calibri"/>
                <w:sz w:val="20"/>
                <w:szCs w:val="20"/>
              </w:rPr>
              <w:t>Content 01 Example:</w:t>
            </w:r>
          </w:p>
        </w:tc>
        <w:tc>
          <w:tcPr>
            <w:tcW w:w="623" w:type="dxa"/>
          </w:tcPr>
          <w:p w14:paraId="4FF2E627"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637" w:type="dxa"/>
          </w:tcPr>
          <w:p w14:paraId="34745044"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623" w:type="dxa"/>
          </w:tcPr>
          <w:p w14:paraId="6D382255"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637" w:type="dxa"/>
          </w:tcPr>
          <w:p w14:paraId="1D8A0AB8"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623" w:type="dxa"/>
          </w:tcPr>
          <w:p w14:paraId="53CA07CA"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637" w:type="dxa"/>
          </w:tcPr>
          <w:p w14:paraId="0899AD26"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623" w:type="dxa"/>
          </w:tcPr>
          <w:p w14:paraId="0A943957"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623" w:type="dxa"/>
          </w:tcPr>
          <w:p w14:paraId="73686A5C"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00005</w:t>
            </w:r>
          </w:p>
        </w:tc>
        <w:tc>
          <w:tcPr>
            <w:tcW w:w="623" w:type="dxa"/>
          </w:tcPr>
          <w:p w14:paraId="07C54EA0"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00014</w:t>
            </w:r>
          </w:p>
        </w:tc>
        <w:tc>
          <w:tcPr>
            <w:tcW w:w="623" w:type="dxa"/>
          </w:tcPr>
          <w:p w14:paraId="376605B3"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00026</w:t>
            </w:r>
          </w:p>
        </w:tc>
        <w:tc>
          <w:tcPr>
            <w:tcW w:w="623" w:type="dxa"/>
          </w:tcPr>
          <w:p w14:paraId="5FF578FF"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00056</w:t>
            </w:r>
          </w:p>
        </w:tc>
        <w:tc>
          <w:tcPr>
            <w:tcW w:w="692" w:type="dxa"/>
          </w:tcPr>
          <w:p w14:paraId="672FA7B9"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00086</w:t>
            </w:r>
          </w:p>
        </w:tc>
        <w:tc>
          <w:tcPr>
            <w:tcW w:w="693" w:type="dxa"/>
          </w:tcPr>
          <w:p w14:paraId="2A426349"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00109</w:t>
            </w:r>
          </w:p>
        </w:tc>
      </w:tr>
      <w:tr w:rsidR="009B64BC" w:rsidRPr="005148CB" w14:paraId="082402E5" w14:textId="77777777" w:rsidTr="00853B6B">
        <w:trPr>
          <w:trHeight w:val="60"/>
          <w:jc w:val="right"/>
        </w:trPr>
        <w:tc>
          <w:tcPr>
            <w:tcW w:w="1070" w:type="dxa"/>
          </w:tcPr>
          <w:p w14:paraId="094DB3F5" w14:textId="77777777" w:rsidR="009B7AED" w:rsidRPr="005148CB" w:rsidRDefault="009B7AED" w:rsidP="002841D0">
            <w:pPr>
              <w:pStyle w:val="TableTextDense"/>
              <w:spacing w:before="10" w:after="10" w:line="240" w:lineRule="auto"/>
              <w:contextualSpacing w:val="0"/>
              <w:rPr>
                <w:rFonts w:ascii="Calibri" w:hAnsi="Calibri" w:cs="Calibri"/>
                <w:sz w:val="20"/>
                <w:szCs w:val="20"/>
              </w:rPr>
            </w:pPr>
            <w:r w:rsidRPr="005148CB">
              <w:rPr>
                <w:rStyle w:val="Bold"/>
                <w:rFonts w:ascii="Calibri" w:hAnsi="Calibri" w:cs="Calibri"/>
                <w:sz w:val="20"/>
                <w:szCs w:val="20"/>
              </w:rPr>
              <w:t>Content 02 Example:</w:t>
            </w:r>
          </w:p>
        </w:tc>
        <w:tc>
          <w:tcPr>
            <w:tcW w:w="623" w:type="dxa"/>
          </w:tcPr>
          <w:p w14:paraId="04FD869D"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637" w:type="dxa"/>
          </w:tcPr>
          <w:p w14:paraId="0D21E8E4"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623" w:type="dxa"/>
          </w:tcPr>
          <w:p w14:paraId="68F01A9D"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637" w:type="dxa"/>
          </w:tcPr>
          <w:p w14:paraId="5E39E42E"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623" w:type="dxa"/>
          </w:tcPr>
          <w:p w14:paraId="6DF3AF2C"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637" w:type="dxa"/>
          </w:tcPr>
          <w:p w14:paraId="38940B7E"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623" w:type="dxa"/>
          </w:tcPr>
          <w:p w14:paraId="2289B8D1"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00000</w:t>
            </w:r>
          </w:p>
        </w:tc>
        <w:tc>
          <w:tcPr>
            <w:tcW w:w="623" w:type="dxa"/>
          </w:tcPr>
          <w:p w14:paraId="1883EDD0"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00004</w:t>
            </w:r>
          </w:p>
        </w:tc>
        <w:tc>
          <w:tcPr>
            <w:tcW w:w="623" w:type="dxa"/>
          </w:tcPr>
          <w:p w14:paraId="18470DC5"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00012</w:t>
            </w:r>
          </w:p>
        </w:tc>
        <w:tc>
          <w:tcPr>
            <w:tcW w:w="623" w:type="dxa"/>
          </w:tcPr>
          <w:p w14:paraId="78E803CC"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00028</w:t>
            </w:r>
          </w:p>
        </w:tc>
        <w:tc>
          <w:tcPr>
            <w:tcW w:w="623" w:type="dxa"/>
          </w:tcPr>
          <w:p w14:paraId="77E6A304"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00064</w:t>
            </w:r>
          </w:p>
        </w:tc>
        <w:tc>
          <w:tcPr>
            <w:tcW w:w="692" w:type="dxa"/>
          </w:tcPr>
          <w:p w14:paraId="6608BEAC"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00085</w:t>
            </w:r>
          </w:p>
        </w:tc>
        <w:tc>
          <w:tcPr>
            <w:tcW w:w="693" w:type="dxa"/>
          </w:tcPr>
          <w:p w14:paraId="7887ADD0" w14:textId="77777777" w:rsidR="009B7AED" w:rsidRPr="005148CB" w:rsidRDefault="009B7AED" w:rsidP="002841D0">
            <w:pPr>
              <w:pStyle w:val="TableTextDense"/>
              <w:spacing w:before="10" w:after="10" w:line="240" w:lineRule="auto"/>
              <w:contextualSpacing w:val="0"/>
              <w:jc w:val="center"/>
              <w:rPr>
                <w:rFonts w:ascii="Calibri" w:hAnsi="Calibri" w:cs="Calibri"/>
                <w:sz w:val="20"/>
                <w:szCs w:val="20"/>
              </w:rPr>
            </w:pPr>
            <w:r w:rsidRPr="005148CB">
              <w:rPr>
                <w:rFonts w:ascii="Calibri" w:hAnsi="Calibri" w:cs="Calibri"/>
                <w:sz w:val="20"/>
                <w:szCs w:val="20"/>
              </w:rPr>
              <w:t>00098</w:t>
            </w:r>
          </w:p>
        </w:tc>
      </w:tr>
    </w:tbl>
    <w:p w14:paraId="688FC841" w14:textId="77777777" w:rsidR="009B7AED" w:rsidRPr="00756A88" w:rsidRDefault="009B7AED" w:rsidP="009B64BC">
      <w:pPr>
        <w:pStyle w:val="BodyText"/>
        <w:spacing w:before="120"/>
        <w:rPr>
          <w:rStyle w:val="Italic"/>
          <w:iCs/>
        </w:rPr>
      </w:pPr>
      <w:r w:rsidRPr="00756A88">
        <w:rPr>
          <w:rStyle w:val="Italic"/>
          <w:iCs/>
        </w:rPr>
        <w:t>continued</w:t>
      </w:r>
    </w:p>
    <w:tbl>
      <w:tblPr>
        <w:tblStyle w:val="TMGTable"/>
        <w:tblW w:w="9341"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1070"/>
        <w:gridCol w:w="827"/>
        <w:gridCol w:w="827"/>
        <w:gridCol w:w="827"/>
        <w:gridCol w:w="827"/>
        <w:gridCol w:w="827"/>
        <w:gridCol w:w="827"/>
        <w:gridCol w:w="827"/>
        <w:gridCol w:w="827"/>
        <w:gridCol w:w="827"/>
        <w:gridCol w:w="828"/>
      </w:tblGrid>
      <w:tr w:rsidR="009B7AED" w:rsidRPr="009B64BC" w14:paraId="19EAFCF4" w14:textId="77777777" w:rsidTr="00853B6B">
        <w:trPr>
          <w:cnfStyle w:val="100000000000" w:firstRow="1" w:lastRow="0" w:firstColumn="0" w:lastColumn="0" w:oddVBand="0" w:evenVBand="0" w:oddHBand="0" w:evenHBand="0" w:firstRowFirstColumn="0" w:firstRowLastColumn="0" w:lastRowFirstColumn="0" w:lastRowLastColumn="0"/>
          <w:trHeight w:val="60"/>
        </w:trPr>
        <w:tc>
          <w:tcPr>
            <w:tcW w:w="1070" w:type="dxa"/>
          </w:tcPr>
          <w:p w14:paraId="6F02673D" w14:textId="77777777" w:rsidR="009B7AED" w:rsidRPr="009B64BC" w:rsidRDefault="009B7AED" w:rsidP="002841D0">
            <w:pPr>
              <w:pStyle w:val="TableTextDense"/>
              <w:spacing w:before="10" w:after="10" w:line="240" w:lineRule="auto"/>
              <w:contextualSpacing w:val="0"/>
              <w:rPr>
                <w:rFonts w:asciiTheme="minorHAnsi" w:hAnsiTheme="minorHAnsi" w:cstheme="minorHAnsi"/>
                <w:b w:val="0"/>
                <w:bCs w:val="0"/>
                <w:sz w:val="20"/>
                <w:szCs w:val="20"/>
              </w:rPr>
            </w:pPr>
            <w:r w:rsidRPr="009B64BC">
              <w:rPr>
                <w:rStyle w:val="Bold"/>
                <w:rFonts w:asciiTheme="minorHAnsi" w:hAnsiTheme="minorHAnsi" w:cstheme="minorHAnsi"/>
                <w:sz w:val="20"/>
                <w:szCs w:val="20"/>
              </w:rPr>
              <w:t>Column Number:</w:t>
            </w:r>
          </w:p>
        </w:tc>
        <w:tc>
          <w:tcPr>
            <w:tcW w:w="827" w:type="dxa"/>
          </w:tcPr>
          <w:p w14:paraId="4A3F7224" w14:textId="77777777" w:rsidR="009B7AED" w:rsidRPr="009B64BC" w:rsidRDefault="009B7AED" w:rsidP="002841D0">
            <w:pPr>
              <w:pStyle w:val="TableTextDense"/>
              <w:spacing w:before="10" w:after="10" w:line="240" w:lineRule="auto"/>
              <w:contextualSpacing w:val="0"/>
              <w:jc w:val="center"/>
              <w:rPr>
                <w:rFonts w:asciiTheme="minorHAnsi" w:hAnsiTheme="minorHAnsi" w:cstheme="minorHAnsi"/>
                <w:b w:val="0"/>
                <w:sz w:val="20"/>
                <w:szCs w:val="20"/>
              </w:rPr>
            </w:pPr>
            <w:r w:rsidRPr="009B64BC">
              <w:rPr>
                <w:rFonts w:asciiTheme="minorHAnsi" w:hAnsiTheme="minorHAnsi" w:cstheme="minorHAnsi"/>
                <w:sz w:val="20"/>
                <w:szCs w:val="20"/>
              </w:rPr>
              <w:t>107-111</w:t>
            </w:r>
          </w:p>
        </w:tc>
        <w:tc>
          <w:tcPr>
            <w:tcW w:w="827" w:type="dxa"/>
          </w:tcPr>
          <w:p w14:paraId="7F0AA6F7" w14:textId="77777777" w:rsidR="009B7AED" w:rsidRPr="009B64BC" w:rsidRDefault="009B7AED" w:rsidP="002841D0">
            <w:pPr>
              <w:pStyle w:val="TableTextDense"/>
              <w:spacing w:before="10" w:after="10" w:line="240" w:lineRule="auto"/>
              <w:contextualSpacing w:val="0"/>
              <w:jc w:val="center"/>
              <w:rPr>
                <w:rFonts w:asciiTheme="minorHAnsi" w:hAnsiTheme="minorHAnsi" w:cstheme="minorHAnsi"/>
                <w:b w:val="0"/>
                <w:bCs w:val="0"/>
                <w:sz w:val="20"/>
                <w:szCs w:val="20"/>
              </w:rPr>
            </w:pPr>
            <w:r w:rsidRPr="009B64BC">
              <w:rPr>
                <w:rFonts w:asciiTheme="minorHAnsi" w:hAnsiTheme="minorHAnsi" w:cstheme="minorHAnsi"/>
                <w:sz w:val="20"/>
                <w:szCs w:val="20"/>
              </w:rPr>
              <w:t>112-116</w:t>
            </w:r>
          </w:p>
        </w:tc>
        <w:tc>
          <w:tcPr>
            <w:tcW w:w="827" w:type="dxa"/>
          </w:tcPr>
          <w:p w14:paraId="56B45468" w14:textId="77777777" w:rsidR="009B7AED" w:rsidRPr="009B64BC" w:rsidRDefault="009B7AED" w:rsidP="002841D0">
            <w:pPr>
              <w:pStyle w:val="TableTextDense"/>
              <w:spacing w:before="10" w:after="10" w:line="240" w:lineRule="auto"/>
              <w:contextualSpacing w:val="0"/>
              <w:jc w:val="center"/>
              <w:rPr>
                <w:rFonts w:asciiTheme="minorHAnsi" w:hAnsiTheme="minorHAnsi" w:cstheme="minorHAnsi"/>
                <w:b w:val="0"/>
                <w:bCs w:val="0"/>
                <w:sz w:val="20"/>
                <w:szCs w:val="20"/>
              </w:rPr>
            </w:pPr>
            <w:r w:rsidRPr="009B64BC">
              <w:rPr>
                <w:rFonts w:asciiTheme="minorHAnsi" w:hAnsiTheme="minorHAnsi" w:cstheme="minorHAnsi"/>
                <w:sz w:val="20"/>
                <w:szCs w:val="20"/>
              </w:rPr>
              <w:t>117-121</w:t>
            </w:r>
          </w:p>
        </w:tc>
        <w:tc>
          <w:tcPr>
            <w:tcW w:w="827" w:type="dxa"/>
          </w:tcPr>
          <w:p w14:paraId="5F16EB3A" w14:textId="77777777" w:rsidR="009B7AED" w:rsidRPr="009B64BC" w:rsidRDefault="009B7AED" w:rsidP="002841D0">
            <w:pPr>
              <w:pStyle w:val="TableTextDense"/>
              <w:spacing w:before="10" w:after="10" w:line="240" w:lineRule="auto"/>
              <w:contextualSpacing w:val="0"/>
              <w:jc w:val="center"/>
              <w:rPr>
                <w:rFonts w:asciiTheme="minorHAnsi" w:hAnsiTheme="minorHAnsi" w:cstheme="minorHAnsi"/>
                <w:b w:val="0"/>
                <w:bCs w:val="0"/>
                <w:sz w:val="20"/>
                <w:szCs w:val="20"/>
              </w:rPr>
            </w:pPr>
            <w:r w:rsidRPr="009B64BC">
              <w:rPr>
                <w:rFonts w:asciiTheme="minorHAnsi" w:hAnsiTheme="minorHAnsi" w:cstheme="minorHAnsi"/>
                <w:sz w:val="20"/>
                <w:szCs w:val="20"/>
              </w:rPr>
              <w:t>122-126</w:t>
            </w:r>
          </w:p>
        </w:tc>
        <w:tc>
          <w:tcPr>
            <w:tcW w:w="827" w:type="dxa"/>
          </w:tcPr>
          <w:p w14:paraId="0D4AFAEC" w14:textId="77777777" w:rsidR="009B7AED" w:rsidRPr="009B64BC" w:rsidRDefault="009B7AED" w:rsidP="002841D0">
            <w:pPr>
              <w:pStyle w:val="TableTextDense"/>
              <w:spacing w:before="10" w:after="10" w:line="240" w:lineRule="auto"/>
              <w:contextualSpacing w:val="0"/>
              <w:jc w:val="center"/>
              <w:rPr>
                <w:rFonts w:asciiTheme="minorHAnsi" w:hAnsiTheme="minorHAnsi" w:cstheme="minorHAnsi"/>
                <w:b w:val="0"/>
                <w:bCs w:val="0"/>
                <w:sz w:val="20"/>
                <w:szCs w:val="20"/>
              </w:rPr>
            </w:pPr>
            <w:r w:rsidRPr="009B64BC">
              <w:rPr>
                <w:rFonts w:asciiTheme="minorHAnsi" w:hAnsiTheme="minorHAnsi" w:cstheme="minorHAnsi"/>
                <w:sz w:val="20"/>
                <w:szCs w:val="20"/>
              </w:rPr>
              <w:t>127-131</w:t>
            </w:r>
          </w:p>
        </w:tc>
        <w:tc>
          <w:tcPr>
            <w:tcW w:w="827" w:type="dxa"/>
          </w:tcPr>
          <w:p w14:paraId="1088E3F6" w14:textId="77777777" w:rsidR="009B7AED" w:rsidRPr="009B64BC" w:rsidRDefault="009B7AED" w:rsidP="002841D0">
            <w:pPr>
              <w:pStyle w:val="TableTextDense"/>
              <w:spacing w:before="10" w:after="10" w:line="240" w:lineRule="auto"/>
              <w:contextualSpacing w:val="0"/>
              <w:jc w:val="center"/>
              <w:rPr>
                <w:rFonts w:asciiTheme="minorHAnsi" w:hAnsiTheme="minorHAnsi" w:cstheme="minorHAnsi"/>
                <w:b w:val="0"/>
                <w:bCs w:val="0"/>
                <w:sz w:val="20"/>
                <w:szCs w:val="20"/>
              </w:rPr>
            </w:pPr>
            <w:r w:rsidRPr="009B64BC">
              <w:rPr>
                <w:rFonts w:asciiTheme="minorHAnsi" w:hAnsiTheme="minorHAnsi" w:cstheme="minorHAnsi"/>
                <w:sz w:val="20"/>
                <w:szCs w:val="20"/>
              </w:rPr>
              <w:t>132-136</w:t>
            </w:r>
          </w:p>
        </w:tc>
        <w:tc>
          <w:tcPr>
            <w:tcW w:w="827" w:type="dxa"/>
          </w:tcPr>
          <w:p w14:paraId="6E9E1EFE" w14:textId="77777777" w:rsidR="009B7AED" w:rsidRPr="009B64BC" w:rsidRDefault="009B7AED" w:rsidP="002841D0">
            <w:pPr>
              <w:pStyle w:val="TableTextDense"/>
              <w:spacing w:before="10" w:after="10" w:line="240" w:lineRule="auto"/>
              <w:contextualSpacing w:val="0"/>
              <w:jc w:val="center"/>
              <w:rPr>
                <w:rFonts w:asciiTheme="minorHAnsi" w:hAnsiTheme="minorHAnsi" w:cstheme="minorHAnsi"/>
                <w:b w:val="0"/>
                <w:bCs w:val="0"/>
                <w:sz w:val="20"/>
                <w:szCs w:val="20"/>
              </w:rPr>
            </w:pPr>
            <w:r w:rsidRPr="009B64BC">
              <w:rPr>
                <w:rFonts w:asciiTheme="minorHAnsi" w:hAnsiTheme="minorHAnsi" w:cstheme="minorHAnsi"/>
                <w:sz w:val="20"/>
                <w:szCs w:val="20"/>
              </w:rPr>
              <w:t>137-141</w:t>
            </w:r>
          </w:p>
        </w:tc>
        <w:tc>
          <w:tcPr>
            <w:tcW w:w="827" w:type="dxa"/>
          </w:tcPr>
          <w:p w14:paraId="4317F32E" w14:textId="77777777" w:rsidR="009B7AED" w:rsidRPr="009B64BC" w:rsidRDefault="009B7AED" w:rsidP="002841D0">
            <w:pPr>
              <w:pStyle w:val="TableTextDense"/>
              <w:spacing w:before="10" w:after="10" w:line="240" w:lineRule="auto"/>
              <w:contextualSpacing w:val="0"/>
              <w:jc w:val="center"/>
              <w:rPr>
                <w:rFonts w:asciiTheme="minorHAnsi" w:hAnsiTheme="minorHAnsi" w:cstheme="minorHAnsi"/>
                <w:b w:val="0"/>
                <w:bCs w:val="0"/>
                <w:sz w:val="20"/>
                <w:szCs w:val="20"/>
              </w:rPr>
            </w:pPr>
            <w:r w:rsidRPr="009B64BC">
              <w:rPr>
                <w:rFonts w:asciiTheme="minorHAnsi" w:hAnsiTheme="minorHAnsi" w:cstheme="minorHAnsi"/>
                <w:sz w:val="20"/>
                <w:szCs w:val="20"/>
              </w:rPr>
              <w:t>142-146</w:t>
            </w:r>
          </w:p>
        </w:tc>
        <w:tc>
          <w:tcPr>
            <w:tcW w:w="827" w:type="dxa"/>
          </w:tcPr>
          <w:p w14:paraId="08D8FDC3" w14:textId="77777777" w:rsidR="009B7AED" w:rsidRPr="009B64BC" w:rsidRDefault="009B7AED" w:rsidP="002841D0">
            <w:pPr>
              <w:pStyle w:val="TableTextDense"/>
              <w:spacing w:before="10" w:after="10" w:line="240" w:lineRule="auto"/>
              <w:contextualSpacing w:val="0"/>
              <w:jc w:val="center"/>
              <w:rPr>
                <w:rFonts w:asciiTheme="minorHAnsi" w:hAnsiTheme="minorHAnsi" w:cstheme="minorHAnsi"/>
                <w:b w:val="0"/>
                <w:bCs w:val="0"/>
                <w:sz w:val="20"/>
                <w:szCs w:val="20"/>
              </w:rPr>
            </w:pPr>
            <w:r w:rsidRPr="009B64BC">
              <w:rPr>
                <w:rFonts w:asciiTheme="minorHAnsi" w:hAnsiTheme="minorHAnsi" w:cstheme="minorHAnsi"/>
                <w:sz w:val="20"/>
                <w:szCs w:val="20"/>
              </w:rPr>
              <w:t>147-151</w:t>
            </w:r>
          </w:p>
        </w:tc>
        <w:tc>
          <w:tcPr>
            <w:tcW w:w="828" w:type="dxa"/>
          </w:tcPr>
          <w:p w14:paraId="078BD159" w14:textId="77777777" w:rsidR="009B7AED" w:rsidRPr="009B64BC" w:rsidRDefault="009B7AED" w:rsidP="002841D0">
            <w:pPr>
              <w:pStyle w:val="TableTextDense"/>
              <w:spacing w:before="10" w:after="10" w:line="240" w:lineRule="auto"/>
              <w:contextualSpacing w:val="0"/>
              <w:jc w:val="center"/>
              <w:rPr>
                <w:rFonts w:asciiTheme="minorHAnsi" w:hAnsiTheme="minorHAnsi" w:cstheme="minorHAnsi"/>
                <w:b w:val="0"/>
                <w:bCs w:val="0"/>
                <w:sz w:val="20"/>
                <w:szCs w:val="20"/>
              </w:rPr>
            </w:pPr>
            <w:r w:rsidRPr="009B64BC">
              <w:rPr>
                <w:rFonts w:asciiTheme="minorHAnsi" w:hAnsiTheme="minorHAnsi" w:cstheme="minorHAnsi"/>
                <w:sz w:val="20"/>
                <w:szCs w:val="20"/>
              </w:rPr>
              <w:t>152-156</w:t>
            </w:r>
          </w:p>
        </w:tc>
      </w:tr>
      <w:tr w:rsidR="009B7AED" w:rsidRPr="009B64BC" w14:paraId="08825D6B" w14:textId="77777777" w:rsidTr="00853B6B">
        <w:trPr>
          <w:trHeight w:val="60"/>
        </w:trPr>
        <w:tc>
          <w:tcPr>
            <w:tcW w:w="1070" w:type="dxa"/>
          </w:tcPr>
          <w:p w14:paraId="66F6EA44" w14:textId="77777777" w:rsidR="009B7AED" w:rsidRPr="009B64BC" w:rsidRDefault="009B7AED" w:rsidP="002841D0">
            <w:pPr>
              <w:pStyle w:val="TableTextDense"/>
              <w:spacing w:before="10" w:after="10" w:line="240" w:lineRule="auto"/>
              <w:contextualSpacing w:val="0"/>
              <w:rPr>
                <w:rFonts w:asciiTheme="minorHAnsi" w:hAnsiTheme="minorHAnsi" w:cstheme="minorHAnsi"/>
                <w:sz w:val="20"/>
                <w:szCs w:val="20"/>
              </w:rPr>
            </w:pPr>
            <w:r w:rsidRPr="009B64BC">
              <w:rPr>
                <w:rStyle w:val="Bold"/>
                <w:rFonts w:asciiTheme="minorHAnsi" w:hAnsiTheme="minorHAnsi" w:cstheme="minorHAnsi"/>
                <w:sz w:val="20"/>
                <w:szCs w:val="20"/>
              </w:rPr>
              <w:t>Content 01 Example:</w:t>
            </w:r>
          </w:p>
        </w:tc>
        <w:tc>
          <w:tcPr>
            <w:tcW w:w="827" w:type="dxa"/>
          </w:tcPr>
          <w:p w14:paraId="29861370" w14:textId="77777777" w:rsidR="009B7AED" w:rsidRPr="009B64BC" w:rsidRDefault="009B7AED" w:rsidP="002841D0">
            <w:pPr>
              <w:pStyle w:val="TableTextDense"/>
              <w:spacing w:before="10" w:after="10" w:line="240" w:lineRule="auto"/>
              <w:contextualSpacing w:val="0"/>
              <w:jc w:val="center"/>
              <w:rPr>
                <w:rFonts w:asciiTheme="minorHAnsi" w:hAnsiTheme="minorHAnsi" w:cstheme="minorHAnsi"/>
                <w:sz w:val="20"/>
                <w:szCs w:val="20"/>
              </w:rPr>
            </w:pPr>
            <w:r w:rsidRPr="009B64BC">
              <w:rPr>
                <w:rFonts w:asciiTheme="minorHAnsi" w:hAnsiTheme="minorHAnsi" w:cstheme="minorHAnsi"/>
                <w:sz w:val="20"/>
                <w:szCs w:val="20"/>
              </w:rPr>
              <w:t>00121</w:t>
            </w:r>
          </w:p>
        </w:tc>
        <w:tc>
          <w:tcPr>
            <w:tcW w:w="827" w:type="dxa"/>
          </w:tcPr>
          <w:p w14:paraId="17A47646" w14:textId="77777777" w:rsidR="009B7AED" w:rsidRPr="009B64BC" w:rsidRDefault="009B7AED" w:rsidP="002841D0">
            <w:pPr>
              <w:pStyle w:val="TableTextDense"/>
              <w:spacing w:before="10" w:after="10" w:line="240" w:lineRule="auto"/>
              <w:contextualSpacing w:val="0"/>
              <w:jc w:val="center"/>
              <w:rPr>
                <w:rFonts w:asciiTheme="minorHAnsi" w:hAnsiTheme="minorHAnsi" w:cstheme="minorHAnsi"/>
                <w:sz w:val="20"/>
                <w:szCs w:val="20"/>
              </w:rPr>
            </w:pPr>
            <w:r w:rsidRPr="009B64BC">
              <w:rPr>
                <w:rFonts w:asciiTheme="minorHAnsi" w:hAnsiTheme="minorHAnsi" w:cstheme="minorHAnsi"/>
                <w:sz w:val="20"/>
                <w:szCs w:val="20"/>
              </w:rPr>
              <w:t>00095</w:t>
            </w:r>
          </w:p>
        </w:tc>
        <w:tc>
          <w:tcPr>
            <w:tcW w:w="827" w:type="dxa"/>
          </w:tcPr>
          <w:p w14:paraId="1B5A12F4" w14:textId="77777777" w:rsidR="009B7AED" w:rsidRPr="009B64BC" w:rsidRDefault="009B7AED" w:rsidP="002841D0">
            <w:pPr>
              <w:pStyle w:val="TableTextDense"/>
              <w:spacing w:before="10" w:after="10" w:line="240" w:lineRule="auto"/>
              <w:contextualSpacing w:val="0"/>
              <w:jc w:val="center"/>
              <w:rPr>
                <w:rFonts w:asciiTheme="minorHAnsi" w:hAnsiTheme="minorHAnsi" w:cstheme="minorHAnsi"/>
                <w:sz w:val="20"/>
                <w:szCs w:val="20"/>
              </w:rPr>
            </w:pPr>
            <w:r w:rsidRPr="009B64BC">
              <w:rPr>
                <w:rFonts w:asciiTheme="minorHAnsi" w:hAnsiTheme="minorHAnsi" w:cstheme="minorHAnsi"/>
                <w:sz w:val="20"/>
                <w:szCs w:val="20"/>
              </w:rPr>
              <w:t>00082</w:t>
            </w:r>
          </w:p>
        </w:tc>
        <w:tc>
          <w:tcPr>
            <w:tcW w:w="827" w:type="dxa"/>
          </w:tcPr>
          <w:p w14:paraId="6995E4F8" w14:textId="77777777" w:rsidR="009B7AED" w:rsidRPr="009B64BC" w:rsidRDefault="009B7AED" w:rsidP="002841D0">
            <w:pPr>
              <w:pStyle w:val="TableTextDense"/>
              <w:spacing w:before="10" w:after="10" w:line="240" w:lineRule="auto"/>
              <w:contextualSpacing w:val="0"/>
              <w:jc w:val="center"/>
              <w:rPr>
                <w:rFonts w:asciiTheme="minorHAnsi" w:hAnsiTheme="minorHAnsi" w:cstheme="minorHAnsi"/>
                <w:sz w:val="20"/>
                <w:szCs w:val="20"/>
              </w:rPr>
            </w:pPr>
            <w:r w:rsidRPr="009B64BC">
              <w:rPr>
                <w:rFonts w:asciiTheme="minorHAnsi" w:hAnsiTheme="minorHAnsi" w:cstheme="minorHAnsi"/>
                <w:sz w:val="20"/>
                <w:szCs w:val="20"/>
              </w:rPr>
              <w:t>00042</w:t>
            </w:r>
          </w:p>
        </w:tc>
        <w:tc>
          <w:tcPr>
            <w:tcW w:w="827" w:type="dxa"/>
          </w:tcPr>
          <w:p w14:paraId="367DDF20" w14:textId="77777777" w:rsidR="009B7AED" w:rsidRPr="009B64BC" w:rsidRDefault="009B7AED" w:rsidP="002841D0">
            <w:pPr>
              <w:pStyle w:val="TableTextDense"/>
              <w:spacing w:before="10" w:after="10" w:line="240" w:lineRule="auto"/>
              <w:contextualSpacing w:val="0"/>
              <w:jc w:val="center"/>
              <w:rPr>
                <w:rFonts w:asciiTheme="minorHAnsi" w:hAnsiTheme="minorHAnsi" w:cstheme="minorHAnsi"/>
                <w:sz w:val="20"/>
                <w:szCs w:val="20"/>
              </w:rPr>
            </w:pPr>
            <w:r w:rsidRPr="009B64BC">
              <w:rPr>
                <w:rFonts w:asciiTheme="minorHAnsi" w:hAnsiTheme="minorHAnsi" w:cstheme="minorHAnsi"/>
                <w:sz w:val="20"/>
                <w:szCs w:val="20"/>
              </w:rPr>
              <w:t>00021</w:t>
            </w:r>
          </w:p>
        </w:tc>
        <w:tc>
          <w:tcPr>
            <w:tcW w:w="827" w:type="dxa"/>
          </w:tcPr>
          <w:p w14:paraId="15E5B115" w14:textId="77777777" w:rsidR="009B7AED" w:rsidRPr="009B64BC" w:rsidRDefault="009B7AED" w:rsidP="002841D0">
            <w:pPr>
              <w:pStyle w:val="TableTextDense"/>
              <w:spacing w:before="10" w:after="10" w:line="240" w:lineRule="auto"/>
              <w:contextualSpacing w:val="0"/>
              <w:jc w:val="center"/>
              <w:rPr>
                <w:rFonts w:asciiTheme="minorHAnsi" w:hAnsiTheme="minorHAnsi" w:cstheme="minorHAnsi"/>
                <w:sz w:val="20"/>
                <w:szCs w:val="20"/>
              </w:rPr>
            </w:pPr>
            <w:r w:rsidRPr="009B64BC">
              <w:rPr>
                <w:rFonts w:asciiTheme="minorHAnsi" w:hAnsiTheme="minorHAnsi" w:cstheme="minorHAnsi"/>
                <w:sz w:val="20"/>
                <w:szCs w:val="20"/>
              </w:rPr>
              <w:t>00015</w:t>
            </w:r>
          </w:p>
        </w:tc>
        <w:tc>
          <w:tcPr>
            <w:tcW w:w="827" w:type="dxa"/>
          </w:tcPr>
          <w:p w14:paraId="27C74008" w14:textId="77777777" w:rsidR="009B7AED" w:rsidRPr="009B64BC" w:rsidRDefault="009B7AED" w:rsidP="002841D0">
            <w:pPr>
              <w:pStyle w:val="TableTextDense"/>
              <w:spacing w:before="10" w:after="10" w:line="240" w:lineRule="auto"/>
              <w:contextualSpacing w:val="0"/>
              <w:jc w:val="center"/>
              <w:rPr>
                <w:rFonts w:asciiTheme="minorHAnsi" w:hAnsiTheme="minorHAnsi" w:cstheme="minorHAnsi"/>
                <w:sz w:val="20"/>
                <w:szCs w:val="20"/>
              </w:rPr>
            </w:pPr>
            <w:r w:rsidRPr="009B64BC">
              <w:rPr>
                <w:rFonts w:asciiTheme="minorHAnsi" w:hAnsiTheme="minorHAnsi" w:cstheme="minorHAnsi"/>
                <w:sz w:val="20"/>
                <w:szCs w:val="20"/>
              </w:rPr>
              <w:t>00011</w:t>
            </w:r>
          </w:p>
        </w:tc>
        <w:tc>
          <w:tcPr>
            <w:tcW w:w="827" w:type="dxa"/>
          </w:tcPr>
          <w:p w14:paraId="21F03EBC" w14:textId="77777777" w:rsidR="009B7AED" w:rsidRPr="009B64BC" w:rsidRDefault="009B7AED" w:rsidP="002841D0">
            <w:pPr>
              <w:pStyle w:val="TableTextDense"/>
              <w:spacing w:before="10" w:after="10" w:line="240" w:lineRule="auto"/>
              <w:contextualSpacing w:val="0"/>
              <w:jc w:val="center"/>
              <w:rPr>
                <w:rFonts w:asciiTheme="minorHAnsi" w:hAnsiTheme="minorHAnsi" w:cstheme="minorHAnsi"/>
                <w:sz w:val="20"/>
                <w:szCs w:val="20"/>
              </w:rPr>
            </w:pPr>
            <w:r w:rsidRPr="009B64BC">
              <w:rPr>
                <w:rFonts w:asciiTheme="minorHAnsi" w:hAnsiTheme="minorHAnsi" w:cstheme="minorHAnsi"/>
                <w:sz w:val="20"/>
                <w:szCs w:val="20"/>
              </w:rPr>
              <w:t>00000</w:t>
            </w:r>
          </w:p>
        </w:tc>
        <w:tc>
          <w:tcPr>
            <w:tcW w:w="827" w:type="dxa"/>
          </w:tcPr>
          <w:p w14:paraId="18A3853F" w14:textId="77777777" w:rsidR="009B7AED" w:rsidRPr="009B64BC" w:rsidRDefault="009B7AED" w:rsidP="002841D0">
            <w:pPr>
              <w:pStyle w:val="TableTextDense"/>
              <w:spacing w:before="10" w:after="10" w:line="240" w:lineRule="auto"/>
              <w:contextualSpacing w:val="0"/>
              <w:jc w:val="center"/>
              <w:rPr>
                <w:rFonts w:asciiTheme="minorHAnsi" w:hAnsiTheme="minorHAnsi" w:cstheme="minorHAnsi"/>
                <w:sz w:val="20"/>
                <w:szCs w:val="20"/>
              </w:rPr>
            </w:pPr>
            <w:r w:rsidRPr="009B64BC">
              <w:rPr>
                <w:rFonts w:asciiTheme="minorHAnsi" w:hAnsiTheme="minorHAnsi" w:cstheme="minorHAnsi"/>
                <w:sz w:val="20"/>
                <w:szCs w:val="20"/>
              </w:rPr>
              <w:t>00000</w:t>
            </w:r>
          </w:p>
        </w:tc>
        <w:tc>
          <w:tcPr>
            <w:tcW w:w="828" w:type="dxa"/>
          </w:tcPr>
          <w:p w14:paraId="543B7849" w14:textId="77777777" w:rsidR="009B7AED" w:rsidRPr="009B64BC" w:rsidRDefault="009B7AED" w:rsidP="002841D0">
            <w:pPr>
              <w:pStyle w:val="TableTextDense"/>
              <w:spacing w:before="10" w:after="10" w:line="240" w:lineRule="auto"/>
              <w:contextualSpacing w:val="0"/>
              <w:jc w:val="center"/>
              <w:rPr>
                <w:rFonts w:asciiTheme="minorHAnsi" w:hAnsiTheme="minorHAnsi" w:cstheme="minorHAnsi"/>
                <w:sz w:val="20"/>
                <w:szCs w:val="20"/>
              </w:rPr>
            </w:pPr>
            <w:r w:rsidRPr="009B64BC">
              <w:rPr>
                <w:rFonts w:asciiTheme="minorHAnsi" w:hAnsiTheme="minorHAnsi" w:cstheme="minorHAnsi"/>
                <w:sz w:val="20"/>
                <w:szCs w:val="20"/>
              </w:rPr>
              <w:t>00000</w:t>
            </w:r>
          </w:p>
        </w:tc>
      </w:tr>
      <w:tr w:rsidR="009B7AED" w:rsidRPr="009B64BC" w14:paraId="69FB8C67" w14:textId="77777777" w:rsidTr="00853B6B">
        <w:trPr>
          <w:trHeight w:val="60"/>
        </w:trPr>
        <w:tc>
          <w:tcPr>
            <w:tcW w:w="1070" w:type="dxa"/>
          </w:tcPr>
          <w:p w14:paraId="0C467DA2" w14:textId="77777777" w:rsidR="009B7AED" w:rsidRPr="009B64BC" w:rsidRDefault="009B7AED" w:rsidP="002841D0">
            <w:pPr>
              <w:pStyle w:val="TableTextDense"/>
              <w:spacing w:before="10" w:after="10" w:line="240" w:lineRule="auto"/>
              <w:contextualSpacing w:val="0"/>
              <w:rPr>
                <w:rFonts w:asciiTheme="minorHAnsi" w:hAnsiTheme="minorHAnsi" w:cstheme="minorHAnsi"/>
                <w:sz w:val="20"/>
                <w:szCs w:val="20"/>
              </w:rPr>
            </w:pPr>
            <w:r w:rsidRPr="009B64BC">
              <w:rPr>
                <w:rStyle w:val="Bold"/>
                <w:rFonts w:asciiTheme="minorHAnsi" w:hAnsiTheme="minorHAnsi" w:cstheme="minorHAnsi"/>
                <w:sz w:val="20"/>
                <w:szCs w:val="20"/>
              </w:rPr>
              <w:t>Content 02 Example:</w:t>
            </w:r>
          </w:p>
        </w:tc>
        <w:tc>
          <w:tcPr>
            <w:tcW w:w="827" w:type="dxa"/>
          </w:tcPr>
          <w:p w14:paraId="074E6654" w14:textId="77777777" w:rsidR="009B7AED" w:rsidRPr="009B64BC" w:rsidRDefault="009B7AED" w:rsidP="002841D0">
            <w:pPr>
              <w:pStyle w:val="TableTextDense"/>
              <w:spacing w:before="10" w:after="10" w:line="240" w:lineRule="auto"/>
              <w:contextualSpacing w:val="0"/>
              <w:jc w:val="center"/>
              <w:rPr>
                <w:rFonts w:asciiTheme="minorHAnsi" w:hAnsiTheme="minorHAnsi" w:cstheme="minorHAnsi"/>
                <w:sz w:val="20"/>
                <w:szCs w:val="20"/>
              </w:rPr>
            </w:pPr>
            <w:r w:rsidRPr="009B64BC">
              <w:rPr>
                <w:rFonts w:asciiTheme="minorHAnsi" w:hAnsiTheme="minorHAnsi" w:cstheme="minorHAnsi"/>
                <w:sz w:val="20"/>
                <w:szCs w:val="20"/>
              </w:rPr>
              <w:t>00127</w:t>
            </w:r>
          </w:p>
        </w:tc>
        <w:tc>
          <w:tcPr>
            <w:tcW w:w="827" w:type="dxa"/>
          </w:tcPr>
          <w:p w14:paraId="65B85A03" w14:textId="77777777" w:rsidR="009B7AED" w:rsidRPr="009B64BC" w:rsidRDefault="009B7AED" w:rsidP="002841D0">
            <w:pPr>
              <w:pStyle w:val="TableTextDense"/>
              <w:spacing w:before="10" w:after="10" w:line="240" w:lineRule="auto"/>
              <w:contextualSpacing w:val="0"/>
              <w:jc w:val="center"/>
              <w:rPr>
                <w:rFonts w:asciiTheme="minorHAnsi" w:hAnsiTheme="minorHAnsi" w:cstheme="minorHAnsi"/>
                <w:sz w:val="20"/>
                <w:szCs w:val="20"/>
              </w:rPr>
            </w:pPr>
            <w:r w:rsidRPr="009B64BC">
              <w:rPr>
                <w:rFonts w:asciiTheme="minorHAnsi" w:hAnsiTheme="minorHAnsi" w:cstheme="minorHAnsi"/>
                <w:sz w:val="20"/>
                <w:szCs w:val="20"/>
              </w:rPr>
              <w:t>00094</w:t>
            </w:r>
          </w:p>
        </w:tc>
        <w:tc>
          <w:tcPr>
            <w:tcW w:w="827" w:type="dxa"/>
          </w:tcPr>
          <w:p w14:paraId="6C621973" w14:textId="77777777" w:rsidR="009B7AED" w:rsidRPr="009B64BC" w:rsidRDefault="009B7AED" w:rsidP="002841D0">
            <w:pPr>
              <w:pStyle w:val="TableTextDense"/>
              <w:spacing w:before="10" w:after="10" w:line="240" w:lineRule="auto"/>
              <w:contextualSpacing w:val="0"/>
              <w:jc w:val="center"/>
              <w:rPr>
                <w:rFonts w:asciiTheme="minorHAnsi" w:hAnsiTheme="minorHAnsi" w:cstheme="minorHAnsi"/>
                <w:sz w:val="20"/>
                <w:szCs w:val="20"/>
              </w:rPr>
            </w:pPr>
            <w:r w:rsidRPr="009B64BC">
              <w:rPr>
                <w:rFonts w:asciiTheme="minorHAnsi" w:hAnsiTheme="minorHAnsi" w:cstheme="minorHAnsi"/>
                <w:sz w:val="20"/>
                <w:szCs w:val="20"/>
              </w:rPr>
              <w:t>00081</w:t>
            </w:r>
          </w:p>
        </w:tc>
        <w:tc>
          <w:tcPr>
            <w:tcW w:w="827" w:type="dxa"/>
          </w:tcPr>
          <w:p w14:paraId="0A77545B" w14:textId="77777777" w:rsidR="009B7AED" w:rsidRPr="009B64BC" w:rsidRDefault="009B7AED" w:rsidP="002841D0">
            <w:pPr>
              <w:pStyle w:val="TableTextDense"/>
              <w:spacing w:before="10" w:after="10" w:line="240" w:lineRule="auto"/>
              <w:contextualSpacing w:val="0"/>
              <w:jc w:val="center"/>
              <w:rPr>
                <w:rFonts w:asciiTheme="minorHAnsi" w:hAnsiTheme="minorHAnsi" w:cstheme="minorHAnsi"/>
                <w:sz w:val="20"/>
                <w:szCs w:val="20"/>
              </w:rPr>
            </w:pPr>
            <w:r w:rsidRPr="009B64BC">
              <w:rPr>
                <w:rFonts w:asciiTheme="minorHAnsi" w:hAnsiTheme="minorHAnsi" w:cstheme="minorHAnsi"/>
                <w:sz w:val="20"/>
                <w:szCs w:val="20"/>
              </w:rPr>
              <w:t>00041</w:t>
            </w:r>
          </w:p>
        </w:tc>
        <w:tc>
          <w:tcPr>
            <w:tcW w:w="827" w:type="dxa"/>
          </w:tcPr>
          <w:p w14:paraId="1EEBD90A" w14:textId="77777777" w:rsidR="009B7AED" w:rsidRPr="009B64BC" w:rsidRDefault="009B7AED" w:rsidP="002841D0">
            <w:pPr>
              <w:pStyle w:val="TableTextDense"/>
              <w:spacing w:before="10" w:after="10" w:line="240" w:lineRule="auto"/>
              <w:contextualSpacing w:val="0"/>
              <w:jc w:val="center"/>
              <w:rPr>
                <w:rFonts w:asciiTheme="minorHAnsi" w:hAnsiTheme="minorHAnsi" w:cstheme="minorHAnsi"/>
                <w:sz w:val="20"/>
                <w:szCs w:val="20"/>
              </w:rPr>
            </w:pPr>
            <w:r w:rsidRPr="009B64BC">
              <w:rPr>
                <w:rFonts w:asciiTheme="minorHAnsi" w:hAnsiTheme="minorHAnsi" w:cstheme="minorHAnsi"/>
                <w:sz w:val="20"/>
                <w:szCs w:val="20"/>
              </w:rPr>
              <w:t>00018</w:t>
            </w:r>
          </w:p>
        </w:tc>
        <w:tc>
          <w:tcPr>
            <w:tcW w:w="827" w:type="dxa"/>
          </w:tcPr>
          <w:p w14:paraId="58F20E07" w14:textId="77777777" w:rsidR="009B7AED" w:rsidRPr="009B64BC" w:rsidRDefault="009B7AED" w:rsidP="002841D0">
            <w:pPr>
              <w:pStyle w:val="TableTextDense"/>
              <w:spacing w:before="10" w:after="10" w:line="240" w:lineRule="auto"/>
              <w:contextualSpacing w:val="0"/>
              <w:jc w:val="center"/>
              <w:rPr>
                <w:rFonts w:asciiTheme="minorHAnsi" w:hAnsiTheme="minorHAnsi" w:cstheme="minorHAnsi"/>
                <w:sz w:val="20"/>
                <w:szCs w:val="20"/>
              </w:rPr>
            </w:pPr>
            <w:r w:rsidRPr="009B64BC">
              <w:rPr>
                <w:rFonts w:asciiTheme="minorHAnsi" w:hAnsiTheme="minorHAnsi" w:cstheme="minorHAnsi"/>
                <w:sz w:val="20"/>
                <w:szCs w:val="20"/>
              </w:rPr>
              <w:t>00013</w:t>
            </w:r>
          </w:p>
        </w:tc>
        <w:tc>
          <w:tcPr>
            <w:tcW w:w="827" w:type="dxa"/>
          </w:tcPr>
          <w:p w14:paraId="591101A0" w14:textId="77777777" w:rsidR="009B7AED" w:rsidRPr="009B64BC" w:rsidRDefault="009B7AED" w:rsidP="002841D0">
            <w:pPr>
              <w:pStyle w:val="TableTextDense"/>
              <w:spacing w:before="10" w:after="10" w:line="240" w:lineRule="auto"/>
              <w:contextualSpacing w:val="0"/>
              <w:jc w:val="center"/>
              <w:rPr>
                <w:rFonts w:asciiTheme="minorHAnsi" w:hAnsiTheme="minorHAnsi" w:cstheme="minorHAnsi"/>
                <w:sz w:val="20"/>
                <w:szCs w:val="20"/>
              </w:rPr>
            </w:pPr>
            <w:r w:rsidRPr="009B64BC">
              <w:rPr>
                <w:rFonts w:asciiTheme="minorHAnsi" w:hAnsiTheme="minorHAnsi" w:cstheme="minorHAnsi"/>
                <w:sz w:val="20"/>
                <w:szCs w:val="20"/>
              </w:rPr>
              <w:t>00013</w:t>
            </w:r>
          </w:p>
        </w:tc>
        <w:tc>
          <w:tcPr>
            <w:tcW w:w="827" w:type="dxa"/>
          </w:tcPr>
          <w:p w14:paraId="7C784438" w14:textId="77777777" w:rsidR="009B7AED" w:rsidRPr="009B64BC" w:rsidRDefault="009B7AED" w:rsidP="002841D0">
            <w:pPr>
              <w:pStyle w:val="TableTextDense"/>
              <w:spacing w:before="10" w:after="10" w:line="240" w:lineRule="auto"/>
              <w:contextualSpacing w:val="0"/>
              <w:jc w:val="center"/>
              <w:rPr>
                <w:rFonts w:asciiTheme="minorHAnsi" w:hAnsiTheme="minorHAnsi" w:cstheme="minorHAnsi"/>
                <w:sz w:val="20"/>
                <w:szCs w:val="20"/>
              </w:rPr>
            </w:pPr>
            <w:r w:rsidRPr="009B64BC">
              <w:rPr>
                <w:rFonts w:asciiTheme="minorHAnsi" w:hAnsiTheme="minorHAnsi" w:cstheme="minorHAnsi"/>
                <w:sz w:val="20"/>
                <w:szCs w:val="20"/>
              </w:rPr>
              <w:t>00003</w:t>
            </w:r>
          </w:p>
        </w:tc>
        <w:tc>
          <w:tcPr>
            <w:tcW w:w="827" w:type="dxa"/>
          </w:tcPr>
          <w:p w14:paraId="2CDE042B" w14:textId="77777777" w:rsidR="009B7AED" w:rsidRPr="009B64BC" w:rsidRDefault="009B7AED" w:rsidP="002841D0">
            <w:pPr>
              <w:pStyle w:val="TableTextDense"/>
              <w:spacing w:before="10" w:after="10" w:line="240" w:lineRule="auto"/>
              <w:contextualSpacing w:val="0"/>
              <w:jc w:val="center"/>
              <w:rPr>
                <w:rFonts w:asciiTheme="minorHAnsi" w:hAnsiTheme="minorHAnsi" w:cstheme="minorHAnsi"/>
                <w:sz w:val="20"/>
                <w:szCs w:val="20"/>
              </w:rPr>
            </w:pPr>
            <w:r w:rsidRPr="009B64BC">
              <w:rPr>
                <w:rFonts w:asciiTheme="minorHAnsi" w:hAnsiTheme="minorHAnsi" w:cstheme="minorHAnsi"/>
                <w:sz w:val="20"/>
                <w:szCs w:val="20"/>
              </w:rPr>
              <w:t>00000</w:t>
            </w:r>
          </w:p>
        </w:tc>
        <w:tc>
          <w:tcPr>
            <w:tcW w:w="828" w:type="dxa"/>
          </w:tcPr>
          <w:p w14:paraId="5C52A7C8" w14:textId="77777777" w:rsidR="009B7AED" w:rsidRPr="009B64BC" w:rsidRDefault="009B7AED" w:rsidP="002841D0">
            <w:pPr>
              <w:pStyle w:val="TableTextDense"/>
              <w:spacing w:before="10" w:after="10" w:line="240" w:lineRule="auto"/>
              <w:contextualSpacing w:val="0"/>
              <w:jc w:val="center"/>
              <w:rPr>
                <w:rFonts w:asciiTheme="minorHAnsi" w:hAnsiTheme="minorHAnsi" w:cstheme="minorHAnsi"/>
                <w:sz w:val="20"/>
                <w:szCs w:val="20"/>
              </w:rPr>
            </w:pPr>
            <w:r w:rsidRPr="009B64BC">
              <w:rPr>
                <w:rFonts w:asciiTheme="minorHAnsi" w:hAnsiTheme="minorHAnsi" w:cstheme="minorHAnsi"/>
                <w:sz w:val="20"/>
                <w:szCs w:val="20"/>
              </w:rPr>
              <w:t>00000</w:t>
            </w:r>
          </w:p>
        </w:tc>
      </w:tr>
    </w:tbl>
    <w:p w14:paraId="0D6E28D6" w14:textId="77777777" w:rsidR="009B7AED" w:rsidRPr="001546EF" w:rsidRDefault="009B7AED">
      <w:pPr>
        <w:pStyle w:val="Heading3"/>
      </w:pPr>
      <w:bookmarkStart w:id="2983" w:name="_Toc63976747"/>
      <w:bookmarkStart w:id="2984" w:name="_Toc109301280"/>
      <w:bookmarkStart w:id="2985" w:name="_Toc109333014"/>
      <w:bookmarkStart w:id="2986" w:name="_Toc109333607"/>
      <w:bookmarkStart w:id="2987" w:name="_Toc113281105"/>
      <w:bookmarkStart w:id="2988" w:name="_Toc118205693"/>
      <w:r>
        <w:t>Vehicle Speed Data – Pipe-</w:t>
      </w:r>
      <w:r w:rsidRPr="001546EF">
        <w:t>Delimited Format</w:t>
      </w:r>
      <w:bookmarkEnd w:id="2983"/>
      <w:bookmarkEnd w:id="2984"/>
      <w:bookmarkEnd w:id="2985"/>
      <w:bookmarkEnd w:id="2986"/>
      <w:bookmarkEnd w:id="2987"/>
      <w:bookmarkEnd w:id="2988"/>
    </w:p>
    <w:p w14:paraId="56213F6E" w14:textId="4ED9BE42" w:rsidR="009B7AED" w:rsidRDefault="009B7AED" w:rsidP="00736AF3">
      <w:pPr>
        <w:pStyle w:val="BodyText"/>
      </w:pPr>
      <w:r>
        <w:t xml:space="preserve">State highway agencies can also submit vehicle speed data using the pipe-delimited format. The key difference between the fixed-width format and the pipe-delimited format is that with the pipe-delimited file, data elements no longer need to match the starting and ending columns. Length of data elements can be equal or shorter than the specified lengths. </w:t>
      </w:r>
      <w:r>
        <w:rPr>
          <w:rStyle w:val="Italic"/>
          <w:i w:val="0"/>
        </w:rPr>
        <w:t xml:space="preserve">The field order for the pipe-delimited format is identical to the order for the fixed-width format (see </w:t>
      </w:r>
      <w:r>
        <w:rPr>
          <w:rStyle w:val="Italic"/>
          <w:i w:val="0"/>
        </w:rPr>
        <w:fldChar w:fldCharType="begin"/>
      </w:r>
      <w:r>
        <w:rPr>
          <w:rStyle w:val="Italic"/>
          <w:i w:val="0"/>
        </w:rPr>
        <w:instrText xml:space="preserve"> REF _Ref111034297 </w:instrText>
      </w:r>
      <w:r>
        <w:rPr>
          <w:rStyle w:val="Italic"/>
          <w:i w:val="0"/>
        </w:rPr>
        <w:fldChar w:fldCharType="separate"/>
      </w:r>
      <w:r w:rsidR="00C07DF9">
        <w:t xml:space="preserve">Table </w:t>
      </w:r>
      <w:r w:rsidR="00C07DF9">
        <w:rPr>
          <w:noProof/>
        </w:rPr>
        <w:t>4</w:t>
      </w:r>
      <w:r w:rsidR="00C07DF9">
        <w:noBreakHyphen/>
      </w:r>
      <w:r w:rsidR="00C07DF9">
        <w:rPr>
          <w:noProof/>
        </w:rPr>
        <w:t>12</w:t>
      </w:r>
      <w:r>
        <w:rPr>
          <w:rStyle w:val="Italic"/>
          <w:i w:val="0"/>
        </w:rPr>
        <w:fldChar w:fldCharType="end"/>
      </w:r>
      <w:r>
        <w:rPr>
          <w:rStyle w:val="Italic"/>
          <w:i w:val="0"/>
        </w:rPr>
        <w:t xml:space="preserve">). The difference in this format is that the fields are separated by a </w:t>
      </w:r>
      <w:r>
        <w:t>pipe symbol (|) instead of beginning in specified columns. Example records in this format are provided below.</w:t>
      </w:r>
      <w:r w:rsidRPr="00B37231">
        <w:t xml:space="preserve"> Given </w:t>
      </w:r>
      <w:r>
        <w:t xml:space="preserve">it is less demanding on the format, States are encouraged to use the pipe-delimited format for vehicle speed data recording and reporting. </w:t>
      </w:r>
    </w:p>
    <w:p w14:paraId="548B46D0" w14:textId="77777777" w:rsidR="009B7AED" w:rsidRDefault="009B7AED" w:rsidP="009B7AED">
      <w:pPr>
        <w:pStyle w:val="CaptionTableLandscapeTable"/>
        <w:sectPr w:rsidR="009B7AED" w:rsidSect="003C28DA">
          <w:headerReference w:type="even" r:id="rId172"/>
          <w:headerReference w:type="default" r:id="rId173"/>
          <w:footerReference w:type="even" r:id="rId174"/>
          <w:footerReference w:type="default" r:id="rId175"/>
          <w:pgSz w:w="12240" w:h="15840" w:code="1"/>
          <w:pgMar w:top="1440" w:right="1440" w:bottom="1152" w:left="1440" w:header="720" w:footer="576" w:gutter="0"/>
          <w:pgNumType w:chapStyle="1"/>
          <w:cols w:space="720"/>
          <w:noEndnote/>
        </w:sectPr>
      </w:pPr>
    </w:p>
    <w:p w14:paraId="7E2869F5" w14:textId="77777777" w:rsidR="009B7AED" w:rsidRPr="003E49EE" w:rsidRDefault="009B7AED" w:rsidP="009B7AED">
      <w:pPr>
        <w:pStyle w:val="TableLandscapeTable"/>
        <w:spacing w:line="240" w:lineRule="auto"/>
        <w:contextualSpacing/>
        <w:rPr>
          <w:rFonts w:ascii="Cambria" w:hAnsi="Cambria"/>
          <w:b/>
          <w:sz w:val="22"/>
          <w:szCs w:val="22"/>
        </w:rPr>
      </w:pPr>
      <w:bookmarkStart w:id="2989" w:name="_Hlk113282704"/>
      <w:bookmarkStart w:id="2990" w:name="_Toc290555990"/>
      <w:r w:rsidRPr="003E49EE">
        <w:rPr>
          <w:rFonts w:ascii="Cambria" w:hAnsi="Cambria"/>
          <w:b/>
          <w:sz w:val="22"/>
          <w:szCs w:val="22"/>
        </w:rPr>
        <w:lastRenderedPageBreak/>
        <w:t>Delimited Format Examples</w:t>
      </w:r>
    </w:p>
    <w:p w14:paraId="1C5D664D" w14:textId="77777777" w:rsidR="00124AF1" w:rsidRDefault="009B7AED" w:rsidP="00124AF1">
      <w:pPr>
        <w:pStyle w:val="TableLandscapeTable"/>
        <w:spacing w:before="240" w:after="120" w:line="240" w:lineRule="auto"/>
        <w:rPr>
          <w:rFonts w:ascii="Calibri" w:hAnsi="Calibri" w:cs="Calibri"/>
          <w:b/>
        </w:rPr>
      </w:pPr>
      <w:r w:rsidRPr="00124AF1">
        <w:rPr>
          <w:rFonts w:ascii="Calibri" w:hAnsi="Calibri" w:cs="Calibri"/>
          <w:b/>
        </w:rPr>
        <w:t>Speed Data for 25 Speed Bins with Delimited Fields – Detailed</w:t>
      </w:r>
    </w:p>
    <w:p w14:paraId="16FB1586" w14:textId="462A6406" w:rsidR="009B7AED" w:rsidRPr="004B7E78" w:rsidRDefault="009B7AED" w:rsidP="00124AF1">
      <w:pPr>
        <w:pStyle w:val="TableLandscapeTable"/>
        <w:spacing w:line="240" w:lineRule="auto"/>
        <w:contextualSpacing/>
        <w:rPr>
          <w:rStyle w:val="Italic"/>
          <w:rFonts w:ascii="Calibri" w:hAnsi="Calibri" w:cs="Calibri"/>
          <w:i w:val="0"/>
        </w:rPr>
      </w:pPr>
      <w:r w:rsidRPr="004B7E78">
        <w:rPr>
          <w:rStyle w:val="Italic"/>
          <w:rFonts w:ascii="Calibri" w:hAnsi="Calibri" w:cs="Calibri"/>
          <w:i w:val="0"/>
        </w:rPr>
        <w:t>RT|SFIPS|ID|D</w:t>
      </w:r>
      <w:r>
        <w:rPr>
          <w:rStyle w:val="Italic"/>
          <w:rFonts w:ascii="Calibri" w:hAnsi="Calibri" w:cs="Calibri"/>
          <w:i w:val="0"/>
        </w:rPr>
        <w:t>IR</w:t>
      </w:r>
      <w:r w:rsidRPr="004B7E78">
        <w:rPr>
          <w:rStyle w:val="Italic"/>
          <w:rFonts w:ascii="Calibri" w:hAnsi="Calibri" w:cs="Calibri"/>
          <w:i w:val="0"/>
        </w:rPr>
        <w:t>|L</w:t>
      </w:r>
      <w:r>
        <w:rPr>
          <w:rStyle w:val="Italic"/>
          <w:rFonts w:ascii="Calibri" w:hAnsi="Calibri" w:cs="Calibri"/>
          <w:i w:val="0"/>
        </w:rPr>
        <w:t>N</w:t>
      </w:r>
      <w:r w:rsidRPr="004B7E78">
        <w:rPr>
          <w:rStyle w:val="Italic"/>
          <w:rFonts w:ascii="Calibri" w:hAnsi="Calibri" w:cs="Calibri"/>
          <w:i w:val="0"/>
        </w:rPr>
        <w:t>|Y</w:t>
      </w:r>
      <w:r>
        <w:rPr>
          <w:rStyle w:val="Italic"/>
          <w:rFonts w:ascii="Calibri" w:hAnsi="Calibri" w:cs="Calibri"/>
          <w:i w:val="0"/>
        </w:rPr>
        <w:t>R</w:t>
      </w:r>
      <w:r w:rsidRPr="004B7E78">
        <w:rPr>
          <w:rStyle w:val="Italic"/>
          <w:rFonts w:ascii="Calibri" w:hAnsi="Calibri" w:cs="Calibri"/>
          <w:i w:val="0"/>
        </w:rPr>
        <w:t>|M</w:t>
      </w:r>
      <w:r>
        <w:rPr>
          <w:rStyle w:val="Italic"/>
          <w:rFonts w:ascii="Calibri" w:hAnsi="Calibri" w:cs="Calibri"/>
          <w:i w:val="0"/>
        </w:rPr>
        <w:t>OY</w:t>
      </w:r>
      <w:r w:rsidRPr="004B7E78">
        <w:rPr>
          <w:rStyle w:val="Italic"/>
          <w:rFonts w:ascii="Calibri" w:hAnsi="Calibri" w:cs="Calibri"/>
          <w:i w:val="0"/>
        </w:rPr>
        <w:t>|D</w:t>
      </w:r>
      <w:r>
        <w:rPr>
          <w:rStyle w:val="Italic"/>
          <w:rFonts w:ascii="Calibri" w:hAnsi="Calibri" w:cs="Calibri"/>
          <w:i w:val="0"/>
        </w:rPr>
        <w:t>OM</w:t>
      </w:r>
      <w:r w:rsidRPr="004B7E78">
        <w:rPr>
          <w:rStyle w:val="Italic"/>
          <w:rFonts w:ascii="Calibri" w:hAnsi="Calibri" w:cs="Calibri"/>
          <w:i w:val="0"/>
        </w:rPr>
        <w:t>|H</w:t>
      </w:r>
      <w:r>
        <w:rPr>
          <w:rStyle w:val="Italic"/>
          <w:rFonts w:ascii="Calibri" w:hAnsi="Calibri" w:cs="Calibri"/>
          <w:i w:val="0"/>
        </w:rPr>
        <w:t>OD</w:t>
      </w:r>
      <w:r w:rsidRPr="004B7E78">
        <w:rPr>
          <w:rStyle w:val="Italic"/>
          <w:rFonts w:ascii="Calibri" w:hAnsi="Calibri" w:cs="Calibri"/>
          <w:i w:val="0"/>
        </w:rPr>
        <w:t>|I|F|T</w:t>
      </w:r>
      <w:r>
        <w:rPr>
          <w:rStyle w:val="Italic"/>
          <w:rFonts w:ascii="Calibri" w:hAnsi="Calibri" w:cs="Calibri"/>
          <w:i w:val="0"/>
        </w:rPr>
        <w:t>N|R|TVOL</w:t>
      </w:r>
      <w:r w:rsidRPr="004B7E78">
        <w:rPr>
          <w:rStyle w:val="Italic"/>
          <w:rFonts w:ascii="Calibri" w:hAnsi="Calibri" w:cs="Calibri"/>
          <w:i w:val="0"/>
        </w:rPr>
        <w:t>|B</w:t>
      </w:r>
      <w:r>
        <w:rPr>
          <w:rStyle w:val="Italic"/>
          <w:rFonts w:ascii="Calibri" w:hAnsi="Calibri" w:cs="Calibri"/>
          <w:i w:val="0"/>
        </w:rPr>
        <w:t>IN</w:t>
      </w:r>
      <w:r w:rsidRPr="004B7E78">
        <w:rPr>
          <w:rStyle w:val="Italic"/>
          <w:rFonts w:ascii="Calibri" w:hAnsi="Calibri" w:cs="Calibri"/>
          <w:i w:val="0"/>
        </w:rPr>
        <w:t>1|B</w:t>
      </w:r>
      <w:r>
        <w:rPr>
          <w:rStyle w:val="Italic"/>
          <w:rFonts w:ascii="Calibri" w:hAnsi="Calibri" w:cs="Calibri"/>
          <w:i w:val="0"/>
        </w:rPr>
        <w:t>IN</w:t>
      </w:r>
      <w:r w:rsidRPr="004B7E78">
        <w:rPr>
          <w:rStyle w:val="Italic"/>
          <w:rFonts w:ascii="Calibri" w:hAnsi="Calibri" w:cs="Calibri"/>
          <w:i w:val="0"/>
        </w:rPr>
        <w:t>2|B</w:t>
      </w:r>
      <w:r>
        <w:rPr>
          <w:rStyle w:val="Italic"/>
          <w:rFonts w:ascii="Calibri" w:hAnsi="Calibri" w:cs="Calibri"/>
          <w:i w:val="0"/>
        </w:rPr>
        <w:t>IN</w:t>
      </w:r>
      <w:r w:rsidRPr="004B7E78">
        <w:rPr>
          <w:rStyle w:val="Italic"/>
          <w:rFonts w:ascii="Calibri" w:hAnsi="Calibri" w:cs="Calibri"/>
          <w:i w:val="0"/>
        </w:rPr>
        <w:t>3|B</w:t>
      </w:r>
      <w:r>
        <w:rPr>
          <w:rStyle w:val="Italic"/>
          <w:rFonts w:ascii="Calibri" w:hAnsi="Calibri" w:cs="Calibri"/>
          <w:i w:val="0"/>
        </w:rPr>
        <w:t>IN</w:t>
      </w:r>
      <w:r w:rsidRPr="004B7E78">
        <w:rPr>
          <w:rStyle w:val="Italic"/>
          <w:rFonts w:ascii="Calibri" w:hAnsi="Calibri" w:cs="Calibri"/>
          <w:i w:val="0"/>
        </w:rPr>
        <w:t>4|B</w:t>
      </w:r>
      <w:r>
        <w:rPr>
          <w:rStyle w:val="Italic"/>
          <w:rFonts w:ascii="Calibri" w:hAnsi="Calibri" w:cs="Calibri"/>
          <w:i w:val="0"/>
        </w:rPr>
        <w:t>IN</w:t>
      </w:r>
      <w:r w:rsidRPr="004B7E78">
        <w:rPr>
          <w:rStyle w:val="Italic"/>
          <w:rFonts w:ascii="Calibri" w:hAnsi="Calibri" w:cs="Calibri"/>
          <w:i w:val="0"/>
        </w:rPr>
        <w:t>5|B</w:t>
      </w:r>
      <w:r>
        <w:rPr>
          <w:rStyle w:val="Italic"/>
          <w:rFonts w:ascii="Calibri" w:hAnsi="Calibri" w:cs="Calibri"/>
          <w:i w:val="0"/>
        </w:rPr>
        <w:t>IN</w:t>
      </w:r>
      <w:r w:rsidRPr="004B7E78">
        <w:rPr>
          <w:rStyle w:val="Italic"/>
          <w:rFonts w:ascii="Calibri" w:hAnsi="Calibri" w:cs="Calibri"/>
          <w:i w:val="0"/>
        </w:rPr>
        <w:t>6|B</w:t>
      </w:r>
      <w:r>
        <w:rPr>
          <w:rStyle w:val="Italic"/>
          <w:rFonts w:ascii="Calibri" w:hAnsi="Calibri" w:cs="Calibri"/>
          <w:i w:val="0"/>
        </w:rPr>
        <w:t>IN</w:t>
      </w:r>
      <w:r w:rsidRPr="004B7E78">
        <w:rPr>
          <w:rStyle w:val="Italic"/>
          <w:rFonts w:ascii="Calibri" w:hAnsi="Calibri" w:cs="Calibri"/>
          <w:i w:val="0"/>
        </w:rPr>
        <w:t>7|B</w:t>
      </w:r>
      <w:r>
        <w:rPr>
          <w:rStyle w:val="Italic"/>
          <w:rFonts w:ascii="Calibri" w:hAnsi="Calibri" w:cs="Calibri"/>
          <w:i w:val="0"/>
        </w:rPr>
        <w:t>IN</w:t>
      </w:r>
      <w:r w:rsidRPr="004B7E78">
        <w:rPr>
          <w:rStyle w:val="Italic"/>
          <w:rFonts w:ascii="Calibri" w:hAnsi="Calibri" w:cs="Calibri"/>
          <w:i w:val="0"/>
        </w:rPr>
        <w:t>8|B</w:t>
      </w:r>
      <w:r>
        <w:rPr>
          <w:rStyle w:val="Italic"/>
          <w:rFonts w:ascii="Calibri" w:hAnsi="Calibri" w:cs="Calibri"/>
          <w:i w:val="0"/>
        </w:rPr>
        <w:t>IN</w:t>
      </w:r>
      <w:r w:rsidRPr="004B7E78">
        <w:rPr>
          <w:rStyle w:val="Italic"/>
          <w:rFonts w:ascii="Calibri" w:hAnsi="Calibri" w:cs="Calibri"/>
          <w:i w:val="0"/>
        </w:rPr>
        <w:t>9|B</w:t>
      </w:r>
      <w:r>
        <w:rPr>
          <w:rStyle w:val="Italic"/>
          <w:rFonts w:ascii="Calibri" w:hAnsi="Calibri" w:cs="Calibri"/>
          <w:i w:val="0"/>
        </w:rPr>
        <w:t>IN</w:t>
      </w:r>
      <w:r w:rsidRPr="004B7E78">
        <w:rPr>
          <w:rStyle w:val="Italic"/>
          <w:rFonts w:ascii="Calibri" w:hAnsi="Calibri" w:cs="Calibri"/>
          <w:i w:val="0"/>
        </w:rPr>
        <w:t>10|B</w:t>
      </w:r>
      <w:r>
        <w:rPr>
          <w:rStyle w:val="Italic"/>
          <w:rFonts w:ascii="Calibri" w:hAnsi="Calibri" w:cs="Calibri"/>
          <w:i w:val="0"/>
        </w:rPr>
        <w:t>IN</w:t>
      </w:r>
      <w:r w:rsidRPr="004B7E78">
        <w:rPr>
          <w:rStyle w:val="Italic"/>
          <w:rFonts w:ascii="Calibri" w:hAnsi="Calibri" w:cs="Calibri"/>
          <w:i w:val="0"/>
        </w:rPr>
        <w:t>11|B</w:t>
      </w:r>
      <w:r>
        <w:rPr>
          <w:rStyle w:val="Italic"/>
          <w:rFonts w:ascii="Calibri" w:hAnsi="Calibri" w:cs="Calibri"/>
          <w:i w:val="0"/>
        </w:rPr>
        <w:t>IN</w:t>
      </w:r>
      <w:r w:rsidRPr="004B7E78">
        <w:rPr>
          <w:rStyle w:val="Italic"/>
          <w:rFonts w:ascii="Calibri" w:hAnsi="Calibri" w:cs="Calibri"/>
          <w:i w:val="0"/>
        </w:rPr>
        <w:t>12|B</w:t>
      </w:r>
      <w:r>
        <w:rPr>
          <w:rStyle w:val="Italic"/>
          <w:rFonts w:ascii="Calibri" w:hAnsi="Calibri" w:cs="Calibri"/>
          <w:i w:val="0"/>
        </w:rPr>
        <w:t>IN</w:t>
      </w:r>
      <w:r w:rsidRPr="004B7E78">
        <w:rPr>
          <w:rStyle w:val="Italic"/>
          <w:rFonts w:ascii="Calibri" w:hAnsi="Calibri" w:cs="Calibri"/>
          <w:i w:val="0"/>
        </w:rPr>
        <w:t>13|B</w:t>
      </w:r>
      <w:r>
        <w:rPr>
          <w:rStyle w:val="Italic"/>
          <w:rFonts w:ascii="Calibri" w:hAnsi="Calibri" w:cs="Calibri"/>
          <w:i w:val="0"/>
        </w:rPr>
        <w:t>IN</w:t>
      </w:r>
      <w:r w:rsidRPr="004B7E78">
        <w:rPr>
          <w:rStyle w:val="Italic"/>
          <w:rFonts w:ascii="Calibri" w:hAnsi="Calibri" w:cs="Calibri"/>
          <w:i w:val="0"/>
        </w:rPr>
        <w:t>14|B</w:t>
      </w:r>
      <w:r>
        <w:rPr>
          <w:rStyle w:val="Italic"/>
          <w:rFonts w:ascii="Calibri" w:hAnsi="Calibri" w:cs="Calibri"/>
          <w:i w:val="0"/>
        </w:rPr>
        <w:t>IN</w:t>
      </w:r>
      <w:r w:rsidRPr="004B7E78">
        <w:rPr>
          <w:rStyle w:val="Italic"/>
          <w:rFonts w:ascii="Calibri" w:hAnsi="Calibri" w:cs="Calibri"/>
          <w:i w:val="0"/>
        </w:rPr>
        <w:t>15|B</w:t>
      </w:r>
      <w:r>
        <w:rPr>
          <w:rStyle w:val="Italic"/>
          <w:rFonts w:ascii="Calibri" w:hAnsi="Calibri" w:cs="Calibri"/>
          <w:i w:val="0"/>
        </w:rPr>
        <w:t>IN16|</w:t>
      </w:r>
      <w:r w:rsidRPr="004B7E78">
        <w:rPr>
          <w:rStyle w:val="Italic"/>
          <w:rFonts w:ascii="Calibri" w:hAnsi="Calibri" w:cs="Calibri"/>
          <w:i w:val="0"/>
        </w:rPr>
        <w:t>B</w:t>
      </w:r>
      <w:r>
        <w:rPr>
          <w:rStyle w:val="Italic"/>
          <w:rFonts w:ascii="Calibri" w:hAnsi="Calibri" w:cs="Calibri"/>
          <w:i w:val="0"/>
        </w:rPr>
        <w:t>IN</w:t>
      </w:r>
      <w:r w:rsidRPr="004B7E78">
        <w:rPr>
          <w:rStyle w:val="Italic"/>
          <w:rFonts w:ascii="Calibri" w:hAnsi="Calibri" w:cs="Calibri"/>
          <w:i w:val="0"/>
        </w:rPr>
        <w:t>17|B</w:t>
      </w:r>
      <w:r>
        <w:rPr>
          <w:rStyle w:val="Italic"/>
          <w:rFonts w:ascii="Calibri" w:hAnsi="Calibri" w:cs="Calibri"/>
          <w:i w:val="0"/>
        </w:rPr>
        <w:t>IN</w:t>
      </w:r>
      <w:r w:rsidRPr="004B7E78">
        <w:rPr>
          <w:rStyle w:val="Italic"/>
          <w:rFonts w:ascii="Calibri" w:hAnsi="Calibri" w:cs="Calibri"/>
          <w:i w:val="0"/>
        </w:rPr>
        <w:t>18|B</w:t>
      </w:r>
      <w:r>
        <w:rPr>
          <w:rStyle w:val="Italic"/>
          <w:rFonts w:ascii="Calibri" w:hAnsi="Calibri" w:cs="Calibri"/>
          <w:i w:val="0"/>
        </w:rPr>
        <w:t>IN</w:t>
      </w:r>
      <w:r w:rsidRPr="004B7E78">
        <w:rPr>
          <w:rStyle w:val="Italic"/>
          <w:rFonts w:ascii="Calibri" w:hAnsi="Calibri" w:cs="Calibri"/>
          <w:i w:val="0"/>
        </w:rPr>
        <w:t>19|B</w:t>
      </w:r>
      <w:r>
        <w:rPr>
          <w:rStyle w:val="Italic"/>
          <w:rFonts w:ascii="Calibri" w:hAnsi="Calibri" w:cs="Calibri"/>
          <w:i w:val="0"/>
        </w:rPr>
        <w:t>IN</w:t>
      </w:r>
      <w:r w:rsidRPr="004B7E78">
        <w:rPr>
          <w:rStyle w:val="Italic"/>
          <w:rFonts w:ascii="Calibri" w:hAnsi="Calibri" w:cs="Calibri"/>
          <w:i w:val="0"/>
        </w:rPr>
        <w:t>20|B</w:t>
      </w:r>
      <w:r>
        <w:rPr>
          <w:rStyle w:val="Italic"/>
          <w:rFonts w:ascii="Calibri" w:hAnsi="Calibri" w:cs="Calibri"/>
          <w:i w:val="0"/>
        </w:rPr>
        <w:t>IN</w:t>
      </w:r>
      <w:r w:rsidRPr="004B7E78">
        <w:rPr>
          <w:rStyle w:val="Italic"/>
          <w:rFonts w:ascii="Calibri" w:hAnsi="Calibri" w:cs="Calibri"/>
          <w:i w:val="0"/>
        </w:rPr>
        <w:t>21|B</w:t>
      </w:r>
      <w:r>
        <w:rPr>
          <w:rStyle w:val="Italic"/>
          <w:rFonts w:ascii="Calibri" w:hAnsi="Calibri" w:cs="Calibri"/>
          <w:i w:val="0"/>
        </w:rPr>
        <w:t>IN</w:t>
      </w:r>
      <w:r w:rsidRPr="004B7E78">
        <w:rPr>
          <w:rStyle w:val="Italic"/>
          <w:rFonts w:ascii="Calibri" w:hAnsi="Calibri" w:cs="Calibri"/>
          <w:i w:val="0"/>
        </w:rPr>
        <w:t>22|B</w:t>
      </w:r>
      <w:r>
        <w:rPr>
          <w:rStyle w:val="Italic"/>
          <w:rFonts w:ascii="Calibri" w:hAnsi="Calibri" w:cs="Calibri"/>
          <w:i w:val="0"/>
        </w:rPr>
        <w:t>IN</w:t>
      </w:r>
      <w:r w:rsidRPr="004B7E78">
        <w:rPr>
          <w:rStyle w:val="Italic"/>
          <w:rFonts w:ascii="Calibri" w:hAnsi="Calibri" w:cs="Calibri"/>
          <w:i w:val="0"/>
        </w:rPr>
        <w:t>23|B</w:t>
      </w:r>
      <w:r>
        <w:rPr>
          <w:rStyle w:val="Italic"/>
          <w:rFonts w:ascii="Calibri" w:hAnsi="Calibri" w:cs="Calibri"/>
          <w:i w:val="0"/>
        </w:rPr>
        <w:t>IN</w:t>
      </w:r>
      <w:r w:rsidRPr="004B7E78">
        <w:rPr>
          <w:rStyle w:val="Italic"/>
          <w:rFonts w:ascii="Calibri" w:hAnsi="Calibri" w:cs="Calibri"/>
          <w:i w:val="0"/>
        </w:rPr>
        <w:t>24|B</w:t>
      </w:r>
      <w:r>
        <w:rPr>
          <w:rStyle w:val="Italic"/>
          <w:rFonts w:ascii="Calibri" w:hAnsi="Calibri" w:cs="Calibri"/>
          <w:i w:val="0"/>
        </w:rPr>
        <w:t>IN</w:t>
      </w:r>
      <w:r w:rsidRPr="004B7E78">
        <w:rPr>
          <w:rStyle w:val="Italic"/>
          <w:rFonts w:ascii="Calibri" w:hAnsi="Calibri" w:cs="Calibri"/>
          <w:i w:val="0"/>
        </w:rPr>
        <w:t>25</w:t>
      </w:r>
    </w:p>
    <w:p w14:paraId="6B01D62A" w14:textId="77777777" w:rsidR="009B7AED" w:rsidRPr="00124AF1" w:rsidRDefault="009B7AED" w:rsidP="00124AF1">
      <w:pPr>
        <w:pStyle w:val="TableLandscapeTable"/>
        <w:spacing w:before="240" w:after="120" w:line="240" w:lineRule="auto"/>
        <w:rPr>
          <w:rFonts w:ascii="Calibri" w:hAnsi="Calibri" w:cs="Calibri"/>
          <w:b/>
        </w:rPr>
      </w:pPr>
      <w:r w:rsidRPr="00124AF1">
        <w:rPr>
          <w:rFonts w:ascii="Calibri" w:hAnsi="Calibri" w:cs="Calibri"/>
          <w:b/>
        </w:rPr>
        <w:t>60-Minute Speed Data for 15 Speed Bins with 6 Lanes, No Restrictions with no Restrictions</w:t>
      </w:r>
    </w:p>
    <w:p w14:paraId="4081EB0A" w14:textId="77777777" w:rsidR="009B7AED" w:rsidRDefault="009B7AED" w:rsidP="009B7AED">
      <w:pPr>
        <w:pStyle w:val="TableLandscapeTable"/>
        <w:spacing w:line="240" w:lineRule="auto"/>
        <w:contextualSpacing/>
        <w:rPr>
          <w:rStyle w:val="Italic"/>
          <w:rFonts w:ascii="Calibri" w:hAnsi="Calibri" w:cs="Calibri"/>
          <w:i w:val="0"/>
        </w:rPr>
      </w:pPr>
      <w:r w:rsidRPr="00C80FE7">
        <w:rPr>
          <w:rStyle w:val="Italic"/>
          <w:rFonts w:ascii="Calibri" w:hAnsi="Calibri" w:cs="Calibri"/>
          <w:i w:val="0"/>
        </w:rPr>
        <w:t>T|54|1</w:t>
      </w:r>
      <w:r>
        <w:rPr>
          <w:rStyle w:val="Italic"/>
          <w:rFonts w:ascii="Calibri" w:hAnsi="Calibri" w:cs="Calibri"/>
          <w:i w:val="0"/>
        </w:rPr>
        <w:t>23ABC|1|1|2021|4|25|00|||15|0|97</w:t>
      </w:r>
      <w:r w:rsidRPr="00C80FE7">
        <w:rPr>
          <w:rStyle w:val="Italic"/>
          <w:rFonts w:ascii="Calibri" w:hAnsi="Calibri" w:cs="Calibri"/>
          <w:i w:val="0"/>
        </w:rPr>
        <w:t>|0|0|0|0|0|0|0|2|7|36|32|12|4|2|2</w:t>
      </w:r>
      <w:r>
        <w:rPr>
          <w:rStyle w:val="Italic"/>
          <w:rFonts w:ascii="Calibri" w:hAnsi="Calibri" w:cs="Calibri"/>
          <w:i w:val="0"/>
        </w:rPr>
        <w:t>|0</w:t>
      </w:r>
    </w:p>
    <w:p w14:paraId="5322BA1F" w14:textId="77777777" w:rsidR="009B7AED" w:rsidRDefault="009B7AED" w:rsidP="009B7AED">
      <w:pPr>
        <w:pStyle w:val="TableLandscapeTable"/>
        <w:spacing w:line="240" w:lineRule="auto"/>
        <w:contextualSpacing/>
        <w:rPr>
          <w:rStyle w:val="Italic"/>
          <w:rFonts w:ascii="Calibri" w:hAnsi="Calibri" w:cs="Calibri"/>
          <w:i w:val="0"/>
        </w:rPr>
      </w:pPr>
      <w:r w:rsidRPr="00C80FE7">
        <w:rPr>
          <w:rStyle w:val="Italic"/>
          <w:rFonts w:ascii="Calibri" w:hAnsi="Calibri" w:cs="Calibri"/>
          <w:i w:val="0"/>
        </w:rPr>
        <w:t>T|54</w:t>
      </w:r>
      <w:r>
        <w:rPr>
          <w:rStyle w:val="Italic"/>
          <w:rFonts w:ascii="Calibri" w:hAnsi="Calibri" w:cs="Calibri"/>
          <w:i w:val="0"/>
        </w:rPr>
        <w:t>|123ABC|1|2|2021|4|25|00|||15|0|94</w:t>
      </w:r>
      <w:r w:rsidRPr="00C80FE7">
        <w:rPr>
          <w:rStyle w:val="Italic"/>
          <w:rFonts w:ascii="Calibri" w:hAnsi="Calibri" w:cs="Calibri"/>
          <w:i w:val="0"/>
        </w:rPr>
        <w:t>|0|0|0|0|0|</w:t>
      </w:r>
      <w:r>
        <w:rPr>
          <w:rStyle w:val="Italic"/>
          <w:rFonts w:ascii="Calibri" w:hAnsi="Calibri" w:cs="Calibri"/>
          <w:i w:val="0"/>
        </w:rPr>
        <w:t>0|0|2|7|34|31</w:t>
      </w:r>
      <w:r w:rsidRPr="00C80FE7">
        <w:rPr>
          <w:rStyle w:val="Italic"/>
          <w:rFonts w:ascii="Calibri" w:hAnsi="Calibri" w:cs="Calibri"/>
          <w:i w:val="0"/>
        </w:rPr>
        <w:t>|12|4|2|2|0</w:t>
      </w:r>
    </w:p>
    <w:p w14:paraId="764B08C8" w14:textId="77777777" w:rsidR="009B7AED" w:rsidRPr="00C80FE7" w:rsidRDefault="009B7AED" w:rsidP="009B7AED">
      <w:pPr>
        <w:pStyle w:val="TableLandscapeTable"/>
        <w:spacing w:line="240" w:lineRule="auto"/>
        <w:contextualSpacing/>
        <w:rPr>
          <w:rStyle w:val="Italic"/>
          <w:rFonts w:ascii="Calibri" w:hAnsi="Calibri" w:cs="Calibri"/>
          <w:i w:val="0"/>
        </w:rPr>
      </w:pPr>
      <w:r w:rsidRPr="00C80FE7">
        <w:rPr>
          <w:rStyle w:val="Italic"/>
          <w:rFonts w:ascii="Calibri" w:hAnsi="Calibri" w:cs="Calibri"/>
          <w:i w:val="0"/>
        </w:rPr>
        <w:t>T|54</w:t>
      </w:r>
      <w:r>
        <w:rPr>
          <w:rStyle w:val="Italic"/>
          <w:rFonts w:ascii="Calibri" w:hAnsi="Calibri" w:cs="Calibri"/>
          <w:i w:val="0"/>
        </w:rPr>
        <w:t>|123ABC|1|3|2021|4|25|00|||15|0|91</w:t>
      </w:r>
      <w:r w:rsidRPr="00C80FE7">
        <w:rPr>
          <w:rStyle w:val="Italic"/>
          <w:rFonts w:ascii="Calibri" w:hAnsi="Calibri" w:cs="Calibri"/>
          <w:i w:val="0"/>
        </w:rPr>
        <w:t>|0|0|0|0|0|</w:t>
      </w:r>
      <w:r>
        <w:rPr>
          <w:rStyle w:val="Italic"/>
          <w:rFonts w:ascii="Calibri" w:hAnsi="Calibri" w:cs="Calibri"/>
          <w:i w:val="0"/>
        </w:rPr>
        <w:t>0|0|2|7|30</w:t>
      </w:r>
      <w:r w:rsidRPr="00C80FE7">
        <w:rPr>
          <w:rStyle w:val="Italic"/>
          <w:rFonts w:ascii="Calibri" w:hAnsi="Calibri" w:cs="Calibri"/>
          <w:i w:val="0"/>
        </w:rPr>
        <w:t>|32|12|4|2|2|0</w:t>
      </w:r>
    </w:p>
    <w:p w14:paraId="379CD279" w14:textId="77777777" w:rsidR="009B7AED" w:rsidRDefault="009B7AED" w:rsidP="009B7AED">
      <w:pPr>
        <w:pStyle w:val="TableLandscapeTable"/>
        <w:spacing w:line="240" w:lineRule="auto"/>
        <w:contextualSpacing/>
        <w:rPr>
          <w:rStyle w:val="Italic"/>
          <w:rFonts w:ascii="Calibri" w:hAnsi="Calibri" w:cs="Calibri"/>
          <w:i w:val="0"/>
        </w:rPr>
      </w:pPr>
      <w:r w:rsidRPr="00C80FE7">
        <w:rPr>
          <w:rStyle w:val="Italic"/>
          <w:rFonts w:ascii="Calibri" w:hAnsi="Calibri" w:cs="Calibri"/>
          <w:i w:val="0"/>
        </w:rPr>
        <w:t>T|54|12</w:t>
      </w:r>
      <w:r>
        <w:rPr>
          <w:rStyle w:val="Italic"/>
          <w:rFonts w:ascii="Calibri" w:hAnsi="Calibri" w:cs="Calibri"/>
          <w:i w:val="0"/>
        </w:rPr>
        <w:t>3ABC|5|1|2021|4|25|00|||15|0|109</w:t>
      </w:r>
      <w:r w:rsidRPr="00C80FE7">
        <w:rPr>
          <w:rStyle w:val="Italic"/>
          <w:rFonts w:ascii="Calibri" w:hAnsi="Calibri" w:cs="Calibri"/>
          <w:i w:val="0"/>
        </w:rPr>
        <w:t>|0|0|0|1|0|0|1|8|14|33|30|15|5|2|0|0</w:t>
      </w:r>
    </w:p>
    <w:p w14:paraId="16434281" w14:textId="77777777" w:rsidR="009B7AED" w:rsidRDefault="009B7AED" w:rsidP="009B7AED">
      <w:pPr>
        <w:pStyle w:val="TableLandscapeTable"/>
        <w:spacing w:line="240" w:lineRule="auto"/>
        <w:contextualSpacing/>
        <w:rPr>
          <w:rStyle w:val="Italic"/>
          <w:rFonts w:ascii="Calibri" w:hAnsi="Calibri" w:cs="Calibri"/>
          <w:i w:val="0"/>
        </w:rPr>
      </w:pPr>
      <w:r w:rsidRPr="00C80FE7">
        <w:rPr>
          <w:rStyle w:val="Italic"/>
          <w:rFonts w:ascii="Calibri" w:hAnsi="Calibri" w:cs="Calibri"/>
          <w:i w:val="0"/>
        </w:rPr>
        <w:t>T</w:t>
      </w:r>
      <w:r>
        <w:rPr>
          <w:rStyle w:val="Italic"/>
          <w:rFonts w:ascii="Calibri" w:hAnsi="Calibri" w:cs="Calibri"/>
          <w:i w:val="0"/>
        </w:rPr>
        <w:t>|54|123ABC|5|2|2021|4|25|00|||15|0|110</w:t>
      </w:r>
      <w:r w:rsidRPr="00C80FE7">
        <w:rPr>
          <w:rStyle w:val="Italic"/>
          <w:rFonts w:ascii="Calibri" w:hAnsi="Calibri" w:cs="Calibri"/>
          <w:i w:val="0"/>
        </w:rPr>
        <w:t>|</w:t>
      </w:r>
      <w:r>
        <w:rPr>
          <w:rStyle w:val="Italic"/>
          <w:rFonts w:ascii="Calibri" w:hAnsi="Calibri" w:cs="Calibri"/>
          <w:i w:val="0"/>
        </w:rPr>
        <w:t>0|0|0|1|0|0|1|8|14|33|30|16</w:t>
      </w:r>
      <w:r w:rsidRPr="00C80FE7">
        <w:rPr>
          <w:rStyle w:val="Italic"/>
          <w:rFonts w:ascii="Calibri" w:hAnsi="Calibri" w:cs="Calibri"/>
          <w:i w:val="0"/>
        </w:rPr>
        <w:t>|5|2|0|0</w:t>
      </w:r>
    </w:p>
    <w:p w14:paraId="2D5AFA79" w14:textId="77777777" w:rsidR="009B7AED" w:rsidRDefault="009B7AED" w:rsidP="009B7AED">
      <w:pPr>
        <w:pStyle w:val="TableLandscapeTable"/>
        <w:spacing w:line="240" w:lineRule="auto"/>
        <w:contextualSpacing/>
        <w:rPr>
          <w:rStyle w:val="Italic"/>
          <w:rFonts w:ascii="Calibri" w:hAnsi="Calibri" w:cs="Calibri"/>
          <w:i w:val="0"/>
        </w:rPr>
      </w:pPr>
      <w:r w:rsidRPr="00C80FE7">
        <w:rPr>
          <w:rStyle w:val="Italic"/>
          <w:rFonts w:ascii="Calibri" w:hAnsi="Calibri" w:cs="Calibri"/>
          <w:i w:val="0"/>
        </w:rPr>
        <w:t>T</w:t>
      </w:r>
      <w:r>
        <w:rPr>
          <w:rStyle w:val="Italic"/>
          <w:rFonts w:ascii="Calibri" w:hAnsi="Calibri" w:cs="Calibri"/>
          <w:i w:val="0"/>
        </w:rPr>
        <w:t>|54|123ABC|5|3|2021|4|25|00|||15|0|113</w:t>
      </w:r>
      <w:r w:rsidRPr="00C80FE7">
        <w:rPr>
          <w:rStyle w:val="Italic"/>
          <w:rFonts w:ascii="Calibri" w:hAnsi="Calibri" w:cs="Calibri"/>
          <w:i w:val="0"/>
        </w:rPr>
        <w:t>|</w:t>
      </w:r>
      <w:r>
        <w:rPr>
          <w:rStyle w:val="Italic"/>
          <w:rFonts w:ascii="Calibri" w:hAnsi="Calibri" w:cs="Calibri"/>
          <w:i w:val="0"/>
        </w:rPr>
        <w:t>0|0|0|1|0|0|1|8|14|35|30|15|7</w:t>
      </w:r>
      <w:r w:rsidRPr="00C80FE7">
        <w:rPr>
          <w:rStyle w:val="Italic"/>
          <w:rFonts w:ascii="Calibri" w:hAnsi="Calibri" w:cs="Calibri"/>
          <w:i w:val="0"/>
        </w:rPr>
        <w:t>|2|0|0</w:t>
      </w:r>
    </w:p>
    <w:p w14:paraId="5A0B2FA9" w14:textId="77777777" w:rsidR="009B7AED" w:rsidRPr="00124AF1" w:rsidRDefault="009B7AED" w:rsidP="00124AF1">
      <w:pPr>
        <w:pStyle w:val="TableLandscapeTable"/>
        <w:spacing w:before="240" w:after="120" w:line="240" w:lineRule="auto"/>
        <w:rPr>
          <w:rFonts w:ascii="Calibri" w:hAnsi="Calibri" w:cs="Calibri"/>
          <w:b/>
        </w:rPr>
      </w:pPr>
      <w:r w:rsidRPr="00124AF1">
        <w:rPr>
          <w:rFonts w:ascii="Calibri" w:hAnsi="Calibri" w:cs="Calibri"/>
          <w:b/>
        </w:rPr>
        <w:t>15-Minute Speed Data for 20 Speed Bins, 4 Lanes, at 2:00 pm on Memorial Day with Construction in One Direction with no Restrictions</w:t>
      </w:r>
    </w:p>
    <w:bookmarkEnd w:id="2989"/>
    <w:p w14:paraId="7A305A01" w14:textId="77777777" w:rsidR="009B7AED" w:rsidRDefault="009B7AED" w:rsidP="009B7AED">
      <w:pPr>
        <w:pStyle w:val="TableLandscapeTable"/>
        <w:spacing w:line="240" w:lineRule="auto"/>
        <w:contextualSpacing/>
        <w:rPr>
          <w:rFonts w:asciiTheme="minorHAnsi" w:hAnsiTheme="minorHAnsi"/>
        </w:rPr>
      </w:pPr>
      <w:r w:rsidRPr="00E92C9E">
        <w:rPr>
          <w:rFonts w:asciiTheme="minorHAnsi" w:hAnsiTheme="minorHAnsi"/>
        </w:rPr>
        <w:t>T|24|hijk12|</w:t>
      </w:r>
      <w:r>
        <w:rPr>
          <w:rFonts w:asciiTheme="minorHAnsi" w:hAnsiTheme="minorHAnsi"/>
        </w:rPr>
        <w:t>2</w:t>
      </w:r>
      <w:r w:rsidRPr="00E92C9E">
        <w:rPr>
          <w:rFonts w:asciiTheme="minorHAnsi" w:hAnsiTheme="minorHAnsi"/>
        </w:rPr>
        <w:t>|1|2020|5|25|</w:t>
      </w:r>
      <w:r>
        <w:rPr>
          <w:rFonts w:asciiTheme="minorHAnsi" w:hAnsiTheme="minorHAnsi"/>
        </w:rPr>
        <w:t>14|1|</w:t>
      </w:r>
      <w:r w:rsidRPr="00360B61">
        <w:rPr>
          <w:rFonts w:asciiTheme="minorHAnsi" w:hAnsiTheme="minorHAnsi"/>
          <w:color w:val="auto"/>
        </w:rPr>
        <w:t>2</w:t>
      </w:r>
      <w:r>
        <w:rPr>
          <w:rFonts w:asciiTheme="minorHAnsi" w:hAnsiTheme="minorHAnsi"/>
        </w:rPr>
        <w:t>|20|</w:t>
      </w:r>
      <w:r>
        <w:rPr>
          <w:rStyle w:val="Italic"/>
          <w:rFonts w:ascii="Calibri" w:hAnsi="Calibri" w:cs="Calibri"/>
          <w:i w:val="0"/>
        </w:rPr>
        <w:t>4|</w:t>
      </w:r>
      <w:r>
        <w:rPr>
          <w:rFonts w:asciiTheme="minorHAnsi" w:hAnsiTheme="minorHAnsi"/>
        </w:rPr>
        <w:t>298|72|55|50|49|35|20|15|2|0|0|0|0|0|0|0|0|0|0|0|0|</w:t>
      </w:r>
    </w:p>
    <w:p w14:paraId="2BF9E2FB" w14:textId="77777777" w:rsidR="009B7AED" w:rsidRDefault="009B7AED" w:rsidP="009B7AED">
      <w:pPr>
        <w:pStyle w:val="TableLandscapeTable"/>
        <w:spacing w:line="240" w:lineRule="auto"/>
        <w:contextualSpacing/>
        <w:rPr>
          <w:rFonts w:asciiTheme="minorHAnsi" w:hAnsiTheme="minorHAnsi"/>
        </w:rPr>
      </w:pPr>
      <w:r w:rsidRPr="00E92C9E">
        <w:rPr>
          <w:rFonts w:asciiTheme="minorHAnsi" w:hAnsiTheme="minorHAnsi"/>
        </w:rPr>
        <w:t>T|24|hijk12|</w:t>
      </w:r>
      <w:r>
        <w:rPr>
          <w:rFonts w:asciiTheme="minorHAnsi" w:hAnsiTheme="minorHAnsi"/>
        </w:rPr>
        <w:t>2</w:t>
      </w:r>
      <w:r w:rsidRPr="00E92C9E">
        <w:rPr>
          <w:rFonts w:asciiTheme="minorHAnsi" w:hAnsiTheme="minorHAnsi"/>
        </w:rPr>
        <w:t>|1|2020|5|25|</w:t>
      </w:r>
      <w:r>
        <w:rPr>
          <w:rFonts w:asciiTheme="minorHAnsi" w:hAnsiTheme="minorHAnsi"/>
        </w:rPr>
        <w:t>14|2|2|20|</w:t>
      </w:r>
      <w:r>
        <w:rPr>
          <w:rStyle w:val="Italic"/>
          <w:rFonts w:ascii="Calibri" w:hAnsi="Calibri" w:cs="Calibri"/>
          <w:i w:val="0"/>
        </w:rPr>
        <w:t>4|</w:t>
      </w:r>
      <w:r>
        <w:rPr>
          <w:rFonts w:asciiTheme="minorHAnsi" w:hAnsiTheme="minorHAnsi"/>
        </w:rPr>
        <w:t>322|68|51|48|47|43|30|20|10|5|0|0|0|0|0|0|0|0|0|0|0|</w:t>
      </w:r>
    </w:p>
    <w:p w14:paraId="2C859286" w14:textId="77777777" w:rsidR="009B7AED" w:rsidRDefault="009B7AED" w:rsidP="009B7AED">
      <w:pPr>
        <w:pStyle w:val="TableLandscapeTable"/>
        <w:spacing w:line="240" w:lineRule="auto"/>
        <w:contextualSpacing/>
        <w:rPr>
          <w:rFonts w:asciiTheme="minorHAnsi" w:hAnsiTheme="minorHAnsi"/>
        </w:rPr>
      </w:pPr>
      <w:r w:rsidRPr="00E92C9E">
        <w:rPr>
          <w:rFonts w:asciiTheme="minorHAnsi" w:hAnsiTheme="minorHAnsi"/>
        </w:rPr>
        <w:t>T|24|hijk12|</w:t>
      </w:r>
      <w:r>
        <w:rPr>
          <w:rFonts w:asciiTheme="minorHAnsi" w:hAnsiTheme="minorHAnsi"/>
        </w:rPr>
        <w:t>2</w:t>
      </w:r>
      <w:r w:rsidRPr="00E92C9E">
        <w:rPr>
          <w:rFonts w:asciiTheme="minorHAnsi" w:hAnsiTheme="minorHAnsi"/>
        </w:rPr>
        <w:t>|1|2020|5|25|</w:t>
      </w:r>
      <w:r>
        <w:rPr>
          <w:rFonts w:asciiTheme="minorHAnsi" w:hAnsiTheme="minorHAnsi"/>
        </w:rPr>
        <w:t>14|3|2|20|</w:t>
      </w:r>
      <w:r>
        <w:rPr>
          <w:rStyle w:val="Italic"/>
          <w:rFonts w:ascii="Calibri" w:hAnsi="Calibri" w:cs="Calibri"/>
          <w:i w:val="0"/>
        </w:rPr>
        <w:t>4|</w:t>
      </w:r>
      <w:r>
        <w:rPr>
          <w:rFonts w:asciiTheme="minorHAnsi" w:hAnsiTheme="minorHAnsi"/>
        </w:rPr>
        <w:t>342|63|42|45|45|48|40|27|19|10|3|0|0|0|0|0|0|0|0|0|0|</w:t>
      </w:r>
    </w:p>
    <w:p w14:paraId="1B52E244" w14:textId="77777777" w:rsidR="009B7AED" w:rsidRDefault="009B7AED" w:rsidP="009B7AED">
      <w:pPr>
        <w:pStyle w:val="TableLandscapeTable"/>
        <w:spacing w:line="240" w:lineRule="auto"/>
        <w:contextualSpacing/>
        <w:rPr>
          <w:rFonts w:asciiTheme="minorHAnsi" w:hAnsiTheme="minorHAnsi"/>
        </w:rPr>
      </w:pPr>
      <w:r>
        <w:rPr>
          <w:rFonts w:asciiTheme="minorHAnsi" w:hAnsiTheme="minorHAnsi"/>
        </w:rPr>
        <w:t>T|24|hijk12|2</w:t>
      </w:r>
      <w:r w:rsidRPr="00E92C9E">
        <w:rPr>
          <w:rFonts w:asciiTheme="minorHAnsi" w:hAnsiTheme="minorHAnsi"/>
        </w:rPr>
        <w:t>|1|2020|5|25|</w:t>
      </w:r>
      <w:r>
        <w:rPr>
          <w:rFonts w:asciiTheme="minorHAnsi" w:hAnsiTheme="minorHAnsi"/>
        </w:rPr>
        <w:t>14|4|2|20|</w:t>
      </w:r>
      <w:r>
        <w:rPr>
          <w:rStyle w:val="Italic"/>
          <w:rFonts w:ascii="Calibri" w:hAnsi="Calibri" w:cs="Calibri"/>
          <w:i w:val="0"/>
        </w:rPr>
        <w:t>4|</w:t>
      </w:r>
      <w:r>
        <w:rPr>
          <w:rFonts w:asciiTheme="minorHAnsi" w:hAnsiTheme="minorHAnsi"/>
        </w:rPr>
        <w:t>370|60|39|40|43|52|50|36|25|16|7|2|0|0|0|0|0|0|0|0|0|</w:t>
      </w:r>
    </w:p>
    <w:p w14:paraId="55BF1E66" w14:textId="77777777" w:rsidR="009B7AED" w:rsidRDefault="009B7AED" w:rsidP="009B7AED">
      <w:pPr>
        <w:pStyle w:val="TableLandscapeTable"/>
        <w:spacing w:line="240" w:lineRule="auto"/>
        <w:contextualSpacing/>
        <w:rPr>
          <w:rFonts w:asciiTheme="minorHAnsi" w:hAnsiTheme="minorHAnsi"/>
        </w:rPr>
      </w:pPr>
      <w:r>
        <w:rPr>
          <w:rFonts w:asciiTheme="minorHAnsi" w:hAnsiTheme="minorHAnsi"/>
        </w:rPr>
        <w:t>T|24|hijk12|2</w:t>
      </w:r>
      <w:r w:rsidRPr="00E92C9E">
        <w:rPr>
          <w:rFonts w:asciiTheme="minorHAnsi" w:hAnsiTheme="minorHAnsi"/>
        </w:rPr>
        <w:t>|2|2020|5|25|</w:t>
      </w:r>
      <w:r>
        <w:rPr>
          <w:rFonts w:asciiTheme="minorHAnsi" w:hAnsiTheme="minorHAnsi"/>
        </w:rPr>
        <w:t>14|1|2|20|</w:t>
      </w:r>
      <w:r>
        <w:rPr>
          <w:rStyle w:val="Italic"/>
          <w:rFonts w:ascii="Calibri" w:hAnsi="Calibri" w:cs="Calibri"/>
          <w:i w:val="0"/>
        </w:rPr>
        <w:t>4|</w:t>
      </w:r>
      <w:r>
        <w:rPr>
          <w:rFonts w:asciiTheme="minorHAnsi" w:hAnsiTheme="minorHAnsi"/>
        </w:rPr>
        <w:t>309|73|56|51|51|36|22|17|3|0|0|0|0|0|0|0|0|0|0|0|0|</w:t>
      </w:r>
    </w:p>
    <w:p w14:paraId="1FFE04C6" w14:textId="77777777" w:rsidR="009B7AED" w:rsidRPr="00E92C9E" w:rsidRDefault="009B7AED" w:rsidP="009B7AED">
      <w:pPr>
        <w:pStyle w:val="TableLandscapeTable"/>
        <w:spacing w:line="240" w:lineRule="auto"/>
        <w:contextualSpacing/>
        <w:rPr>
          <w:rFonts w:asciiTheme="minorHAnsi" w:hAnsiTheme="minorHAnsi"/>
        </w:rPr>
      </w:pPr>
      <w:r>
        <w:rPr>
          <w:rFonts w:asciiTheme="minorHAnsi" w:hAnsiTheme="minorHAnsi"/>
        </w:rPr>
        <w:t>T|24|hijk12|2</w:t>
      </w:r>
      <w:r w:rsidRPr="00E92C9E">
        <w:rPr>
          <w:rFonts w:asciiTheme="minorHAnsi" w:hAnsiTheme="minorHAnsi"/>
        </w:rPr>
        <w:t>|2|2020|5|25|</w:t>
      </w:r>
      <w:r>
        <w:rPr>
          <w:rFonts w:asciiTheme="minorHAnsi" w:hAnsiTheme="minorHAnsi"/>
        </w:rPr>
        <w:t>14|2|2|20|</w:t>
      </w:r>
      <w:r>
        <w:rPr>
          <w:rStyle w:val="Italic"/>
          <w:rFonts w:ascii="Calibri" w:hAnsi="Calibri" w:cs="Calibri"/>
          <w:i w:val="0"/>
        </w:rPr>
        <w:t>4|</w:t>
      </w:r>
      <w:r>
        <w:rPr>
          <w:rFonts w:asciiTheme="minorHAnsi" w:hAnsiTheme="minorHAnsi"/>
        </w:rPr>
        <w:t>330|70|53|50|48|44|30|20|10|5|0|0|0|0|0|0|0|0|0|0|0|</w:t>
      </w:r>
    </w:p>
    <w:p w14:paraId="6F09F1F9" w14:textId="77777777" w:rsidR="009B7AED" w:rsidRDefault="009B7AED" w:rsidP="009B7AED">
      <w:pPr>
        <w:pStyle w:val="TableLandscapeTable"/>
        <w:spacing w:line="240" w:lineRule="auto"/>
        <w:contextualSpacing/>
        <w:rPr>
          <w:rFonts w:asciiTheme="minorHAnsi" w:hAnsiTheme="minorHAnsi"/>
        </w:rPr>
      </w:pPr>
      <w:r>
        <w:rPr>
          <w:rFonts w:asciiTheme="minorHAnsi" w:hAnsiTheme="minorHAnsi"/>
        </w:rPr>
        <w:t>T|24|hijk12|2</w:t>
      </w:r>
      <w:r w:rsidRPr="00E92C9E">
        <w:rPr>
          <w:rFonts w:asciiTheme="minorHAnsi" w:hAnsiTheme="minorHAnsi"/>
        </w:rPr>
        <w:t>|2|2020|5|25|</w:t>
      </w:r>
      <w:r>
        <w:rPr>
          <w:rFonts w:asciiTheme="minorHAnsi" w:hAnsiTheme="minorHAnsi"/>
        </w:rPr>
        <w:t>14|3|2|20|</w:t>
      </w:r>
      <w:r>
        <w:rPr>
          <w:rStyle w:val="Italic"/>
          <w:rFonts w:ascii="Calibri" w:hAnsi="Calibri" w:cs="Calibri"/>
          <w:i w:val="0"/>
        </w:rPr>
        <w:t>4|</w:t>
      </w:r>
      <w:r>
        <w:rPr>
          <w:rFonts w:asciiTheme="minorHAnsi" w:hAnsiTheme="minorHAnsi"/>
        </w:rPr>
        <w:t>350|63|42|46|46|49|41|28|20|11|4|0|0|0|0|0|0|0|0|0|0|</w:t>
      </w:r>
    </w:p>
    <w:p w14:paraId="6B94D9B0" w14:textId="77777777" w:rsidR="009B7AED" w:rsidRDefault="009B7AED" w:rsidP="009B7AED">
      <w:pPr>
        <w:pStyle w:val="TableLandscapeTable"/>
        <w:spacing w:line="240" w:lineRule="auto"/>
        <w:contextualSpacing/>
        <w:rPr>
          <w:rFonts w:asciiTheme="minorHAnsi" w:hAnsiTheme="minorHAnsi"/>
        </w:rPr>
      </w:pPr>
      <w:r>
        <w:rPr>
          <w:rFonts w:asciiTheme="minorHAnsi" w:hAnsiTheme="minorHAnsi"/>
        </w:rPr>
        <w:t>T|24|hijk12|2</w:t>
      </w:r>
      <w:r w:rsidRPr="00E92C9E">
        <w:rPr>
          <w:rFonts w:asciiTheme="minorHAnsi" w:hAnsiTheme="minorHAnsi"/>
        </w:rPr>
        <w:t>|2|2020|5|25|</w:t>
      </w:r>
      <w:r>
        <w:rPr>
          <w:rFonts w:asciiTheme="minorHAnsi" w:hAnsiTheme="minorHAnsi"/>
        </w:rPr>
        <w:t>14|4|2|20|</w:t>
      </w:r>
      <w:r>
        <w:rPr>
          <w:rStyle w:val="Italic"/>
          <w:rFonts w:ascii="Calibri" w:hAnsi="Calibri" w:cs="Calibri"/>
          <w:i w:val="0"/>
        </w:rPr>
        <w:t>4|</w:t>
      </w:r>
      <w:r>
        <w:rPr>
          <w:rFonts w:asciiTheme="minorHAnsi" w:hAnsiTheme="minorHAnsi"/>
        </w:rPr>
        <w:t>375|61|40|41|44|53|50|36|25|16|7|2|0|0|0|0|0|0|0|0|0|</w:t>
      </w:r>
    </w:p>
    <w:p w14:paraId="48701512" w14:textId="77777777" w:rsidR="009B7AED" w:rsidRDefault="009B7AED" w:rsidP="009B7AED">
      <w:pPr>
        <w:pStyle w:val="TableLandscapeTable"/>
        <w:spacing w:line="240" w:lineRule="auto"/>
        <w:contextualSpacing/>
        <w:rPr>
          <w:rFonts w:asciiTheme="minorHAnsi" w:hAnsiTheme="minorHAnsi"/>
        </w:rPr>
      </w:pPr>
      <w:r w:rsidRPr="00E92C9E">
        <w:rPr>
          <w:rFonts w:asciiTheme="minorHAnsi" w:hAnsiTheme="minorHAnsi"/>
        </w:rPr>
        <w:t>T|24|hijk12|6|1|2020|5|25|</w:t>
      </w:r>
      <w:r>
        <w:rPr>
          <w:rFonts w:asciiTheme="minorHAnsi" w:hAnsiTheme="minorHAnsi"/>
        </w:rPr>
        <w:t>14|1|2|20|</w:t>
      </w:r>
      <w:r>
        <w:rPr>
          <w:rStyle w:val="Italic"/>
          <w:rFonts w:ascii="Calibri" w:hAnsi="Calibri" w:cs="Calibri"/>
          <w:i w:val="0"/>
        </w:rPr>
        <w:t>4|</w:t>
      </w:r>
      <w:r>
        <w:rPr>
          <w:rFonts w:asciiTheme="minorHAnsi" w:hAnsiTheme="minorHAnsi"/>
        </w:rPr>
        <w:t>211|0|0|0|0|0|0|0|2|4|26|38|55|46|28|8|3|1|0|0|0|</w:t>
      </w:r>
    </w:p>
    <w:p w14:paraId="0EE52F2E" w14:textId="77777777" w:rsidR="009B7AED" w:rsidRPr="00E92C9E" w:rsidRDefault="009B7AED" w:rsidP="009B7AED">
      <w:pPr>
        <w:pStyle w:val="TableLandscapeTable"/>
        <w:spacing w:line="240" w:lineRule="auto"/>
        <w:contextualSpacing/>
        <w:rPr>
          <w:rFonts w:asciiTheme="minorHAnsi" w:hAnsiTheme="minorHAnsi"/>
        </w:rPr>
      </w:pPr>
      <w:r w:rsidRPr="00E92C9E">
        <w:rPr>
          <w:rFonts w:asciiTheme="minorHAnsi" w:hAnsiTheme="minorHAnsi"/>
        </w:rPr>
        <w:t>T|24|hijk12|6|1|2020|5|25|</w:t>
      </w:r>
      <w:r>
        <w:rPr>
          <w:rFonts w:asciiTheme="minorHAnsi" w:hAnsiTheme="minorHAnsi"/>
        </w:rPr>
        <w:t>14|2|2|20|</w:t>
      </w:r>
      <w:r>
        <w:rPr>
          <w:rStyle w:val="Italic"/>
          <w:rFonts w:ascii="Calibri" w:hAnsi="Calibri" w:cs="Calibri"/>
          <w:i w:val="0"/>
        </w:rPr>
        <w:t>4|</w:t>
      </w:r>
      <w:r>
        <w:rPr>
          <w:rFonts w:asciiTheme="minorHAnsi" w:hAnsiTheme="minorHAnsi"/>
        </w:rPr>
        <w:t>221|0|0|0|0|0|0|0|3|5|27|39|56|47|29|9|4|2|0|0|0|</w:t>
      </w:r>
    </w:p>
    <w:p w14:paraId="094FB0CF" w14:textId="77777777" w:rsidR="009B7AED" w:rsidRPr="00E92C9E" w:rsidRDefault="009B7AED" w:rsidP="009B7AED">
      <w:pPr>
        <w:pStyle w:val="TableLandscapeTable"/>
        <w:spacing w:line="240" w:lineRule="auto"/>
        <w:contextualSpacing/>
        <w:rPr>
          <w:rFonts w:asciiTheme="minorHAnsi" w:hAnsiTheme="minorHAnsi"/>
        </w:rPr>
      </w:pPr>
      <w:r w:rsidRPr="00E92C9E">
        <w:rPr>
          <w:rFonts w:asciiTheme="minorHAnsi" w:hAnsiTheme="minorHAnsi"/>
        </w:rPr>
        <w:t>T|24|hijk12|6|1|2020|5|25|</w:t>
      </w:r>
      <w:r>
        <w:rPr>
          <w:rFonts w:asciiTheme="minorHAnsi" w:hAnsiTheme="minorHAnsi"/>
        </w:rPr>
        <w:t>14|3|2|20|</w:t>
      </w:r>
      <w:r>
        <w:rPr>
          <w:rStyle w:val="Italic"/>
          <w:rFonts w:ascii="Calibri" w:hAnsi="Calibri" w:cs="Calibri"/>
          <w:i w:val="0"/>
        </w:rPr>
        <w:t>4|</w:t>
      </w:r>
      <w:r>
        <w:rPr>
          <w:rFonts w:asciiTheme="minorHAnsi" w:hAnsiTheme="minorHAnsi"/>
        </w:rPr>
        <w:t>232|0|0|0|0|0|0|0|3|5|28|49|56|47|29|9|4|2|0|0|0|</w:t>
      </w:r>
    </w:p>
    <w:p w14:paraId="513EB869" w14:textId="77777777" w:rsidR="009B7AED" w:rsidRDefault="009B7AED" w:rsidP="009B7AED">
      <w:pPr>
        <w:pStyle w:val="TableLandscapeTable"/>
        <w:spacing w:line="240" w:lineRule="auto"/>
        <w:contextualSpacing/>
        <w:rPr>
          <w:rFonts w:asciiTheme="minorHAnsi" w:hAnsiTheme="minorHAnsi"/>
        </w:rPr>
      </w:pPr>
      <w:r w:rsidRPr="00E92C9E">
        <w:rPr>
          <w:rFonts w:asciiTheme="minorHAnsi" w:hAnsiTheme="minorHAnsi"/>
        </w:rPr>
        <w:t>T|24|hijk12|6|1|2020|5|25|</w:t>
      </w:r>
      <w:r>
        <w:rPr>
          <w:rFonts w:asciiTheme="minorHAnsi" w:hAnsiTheme="minorHAnsi"/>
        </w:rPr>
        <w:t>14|4|2|20|</w:t>
      </w:r>
      <w:r>
        <w:rPr>
          <w:rStyle w:val="Italic"/>
          <w:rFonts w:ascii="Calibri" w:hAnsi="Calibri" w:cs="Calibri"/>
          <w:i w:val="0"/>
        </w:rPr>
        <w:t>4|</w:t>
      </w:r>
      <w:r>
        <w:rPr>
          <w:rFonts w:asciiTheme="minorHAnsi" w:hAnsiTheme="minorHAnsi"/>
        </w:rPr>
        <w:t>252|0|0|0|0|0|0|0|3|5|28|56|61|52|32|9|4|2|0|0|0|</w:t>
      </w:r>
    </w:p>
    <w:p w14:paraId="6E356B5C" w14:textId="77777777" w:rsidR="009B7AED" w:rsidRDefault="009B7AED" w:rsidP="009B7AED">
      <w:pPr>
        <w:pStyle w:val="TableLandscapeTable"/>
        <w:spacing w:line="240" w:lineRule="auto"/>
        <w:contextualSpacing/>
        <w:rPr>
          <w:rFonts w:asciiTheme="minorHAnsi" w:hAnsiTheme="minorHAnsi"/>
        </w:rPr>
      </w:pPr>
      <w:r w:rsidRPr="00E92C9E">
        <w:rPr>
          <w:rFonts w:asciiTheme="minorHAnsi" w:hAnsiTheme="minorHAnsi"/>
        </w:rPr>
        <w:t>T|24|hijk12|6|2|2020|5|25|</w:t>
      </w:r>
      <w:r>
        <w:rPr>
          <w:rFonts w:asciiTheme="minorHAnsi" w:hAnsiTheme="minorHAnsi"/>
        </w:rPr>
        <w:t>14|1|2|20|</w:t>
      </w:r>
      <w:r>
        <w:rPr>
          <w:rStyle w:val="Italic"/>
          <w:rFonts w:ascii="Calibri" w:hAnsi="Calibri" w:cs="Calibri"/>
          <w:i w:val="0"/>
        </w:rPr>
        <w:t>4|</w:t>
      </w:r>
      <w:r>
        <w:rPr>
          <w:rFonts w:asciiTheme="minorHAnsi" w:hAnsiTheme="minorHAnsi"/>
        </w:rPr>
        <w:t>221|0|0|0|0|0|0|0|3|5|27|39|56|47|29|9|4|2|0|0|0|</w:t>
      </w:r>
    </w:p>
    <w:p w14:paraId="126492C0" w14:textId="77777777" w:rsidR="009B7AED" w:rsidRPr="00E92C9E" w:rsidRDefault="009B7AED" w:rsidP="009B7AED">
      <w:pPr>
        <w:pStyle w:val="TableLandscapeTable"/>
        <w:spacing w:line="240" w:lineRule="auto"/>
        <w:contextualSpacing/>
        <w:rPr>
          <w:rFonts w:asciiTheme="minorHAnsi" w:hAnsiTheme="minorHAnsi"/>
        </w:rPr>
      </w:pPr>
      <w:r w:rsidRPr="00E92C9E">
        <w:rPr>
          <w:rFonts w:asciiTheme="minorHAnsi" w:hAnsiTheme="minorHAnsi"/>
        </w:rPr>
        <w:t>T|24|hijk12|6|2|2020|5|25|</w:t>
      </w:r>
      <w:r>
        <w:rPr>
          <w:rFonts w:asciiTheme="minorHAnsi" w:hAnsiTheme="minorHAnsi"/>
        </w:rPr>
        <w:t>14|2|2|20|</w:t>
      </w:r>
      <w:r>
        <w:rPr>
          <w:rStyle w:val="Italic"/>
          <w:rFonts w:ascii="Calibri" w:hAnsi="Calibri" w:cs="Calibri"/>
          <w:i w:val="0"/>
        </w:rPr>
        <w:t>4|</w:t>
      </w:r>
      <w:r>
        <w:rPr>
          <w:rFonts w:asciiTheme="minorHAnsi" w:hAnsiTheme="minorHAnsi"/>
        </w:rPr>
        <w:t>231|0|0|0|0|0|0|0|4|6|28|40|57|48|31|11|4|2|0|0|0|</w:t>
      </w:r>
    </w:p>
    <w:p w14:paraId="375E79A3" w14:textId="77777777" w:rsidR="009B7AED" w:rsidRPr="00E92C9E" w:rsidRDefault="009B7AED" w:rsidP="009B7AED">
      <w:pPr>
        <w:pStyle w:val="TableLandscapeTable"/>
        <w:spacing w:line="240" w:lineRule="auto"/>
        <w:contextualSpacing/>
        <w:rPr>
          <w:rFonts w:asciiTheme="minorHAnsi" w:hAnsiTheme="minorHAnsi"/>
        </w:rPr>
      </w:pPr>
      <w:r w:rsidRPr="00E92C9E">
        <w:rPr>
          <w:rFonts w:asciiTheme="minorHAnsi" w:hAnsiTheme="minorHAnsi"/>
        </w:rPr>
        <w:t>T|24|hijk12|6|2|2020|5|25|</w:t>
      </w:r>
      <w:r>
        <w:rPr>
          <w:rFonts w:asciiTheme="minorHAnsi" w:hAnsiTheme="minorHAnsi"/>
        </w:rPr>
        <w:t>14|3|2|20|</w:t>
      </w:r>
      <w:r>
        <w:rPr>
          <w:rStyle w:val="Italic"/>
          <w:rFonts w:ascii="Calibri" w:hAnsi="Calibri" w:cs="Calibri"/>
          <w:i w:val="0"/>
        </w:rPr>
        <w:t>4|</w:t>
      </w:r>
      <w:r>
        <w:rPr>
          <w:rFonts w:asciiTheme="minorHAnsi" w:hAnsiTheme="minorHAnsi"/>
        </w:rPr>
        <w:t>242|0|0|0|0|0|0|0|4|5|30|52|59|48|30|8|4|2|0|0|0|</w:t>
      </w:r>
    </w:p>
    <w:p w14:paraId="3E6D2A4C" w14:textId="77777777" w:rsidR="009B7AED" w:rsidRDefault="009B7AED" w:rsidP="009B7AED">
      <w:pPr>
        <w:pStyle w:val="TableLandscapeTable"/>
        <w:spacing w:line="240" w:lineRule="auto"/>
        <w:contextualSpacing/>
        <w:rPr>
          <w:rFonts w:asciiTheme="minorHAnsi" w:hAnsiTheme="minorHAnsi"/>
        </w:rPr>
      </w:pPr>
      <w:r w:rsidRPr="00E92C9E">
        <w:rPr>
          <w:rFonts w:asciiTheme="minorHAnsi" w:hAnsiTheme="minorHAnsi"/>
        </w:rPr>
        <w:t>T|24|hijk12|6|2|2020|5|25|</w:t>
      </w:r>
      <w:r>
        <w:rPr>
          <w:rFonts w:asciiTheme="minorHAnsi" w:hAnsiTheme="minorHAnsi"/>
        </w:rPr>
        <w:t>14|4|2|20|</w:t>
      </w:r>
      <w:r>
        <w:rPr>
          <w:rStyle w:val="Italic"/>
          <w:rFonts w:ascii="Calibri" w:hAnsi="Calibri" w:cs="Calibri"/>
          <w:i w:val="0"/>
        </w:rPr>
        <w:t>4|</w:t>
      </w:r>
      <w:r>
        <w:rPr>
          <w:rFonts w:asciiTheme="minorHAnsi" w:hAnsiTheme="minorHAnsi"/>
        </w:rPr>
        <w:t>262|0|0|0|0|0|0|0|3|5|28|56|66|57|32|9|4|2|0|0|0|</w:t>
      </w:r>
    </w:p>
    <w:p w14:paraId="17F7F6DC" w14:textId="77777777" w:rsidR="003E49EE" w:rsidRDefault="003E49EE">
      <w:pPr>
        <w:widowControl/>
        <w:suppressAutoHyphens w:val="0"/>
        <w:autoSpaceDE/>
        <w:autoSpaceDN/>
        <w:adjustRightInd/>
        <w:spacing w:line="259" w:lineRule="auto"/>
        <w:jc w:val="left"/>
        <w:textAlignment w:val="auto"/>
        <w:rPr>
          <w:rFonts w:asciiTheme="minorHAnsi" w:hAnsiTheme="minorHAnsi" w:cs="Arial Narrow"/>
          <w:b/>
        </w:rPr>
      </w:pPr>
      <w:bookmarkStart w:id="2991" w:name="_Hlk113282722"/>
      <w:r>
        <w:rPr>
          <w:rFonts w:asciiTheme="minorHAnsi" w:hAnsiTheme="minorHAnsi"/>
          <w:b/>
        </w:rPr>
        <w:br w:type="page"/>
      </w:r>
    </w:p>
    <w:p w14:paraId="6A33C2B7" w14:textId="22BF1792" w:rsidR="009B7AED" w:rsidRPr="00124AF1" w:rsidRDefault="009B7AED" w:rsidP="00124AF1">
      <w:pPr>
        <w:pStyle w:val="TableLandscapeTable"/>
        <w:spacing w:before="240" w:after="120" w:line="240" w:lineRule="auto"/>
        <w:rPr>
          <w:rFonts w:ascii="Calibri" w:hAnsi="Calibri" w:cs="Calibri"/>
          <w:b/>
        </w:rPr>
      </w:pPr>
      <w:r w:rsidRPr="00124AF1">
        <w:rPr>
          <w:rFonts w:ascii="Calibri" w:hAnsi="Calibri" w:cs="Calibri"/>
          <w:b/>
        </w:rPr>
        <w:lastRenderedPageBreak/>
        <w:t xml:space="preserve">5-Minute Speed Data for 22 Speed Bins with 2 Lanes, Weather Restriction Travel </w:t>
      </w:r>
    </w:p>
    <w:bookmarkEnd w:id="2991"/>
    <w:p w14:paraId="5EC1C51D" w14:textId="77777777" w:rsidR="009B7AED" w:rsidRPr="00C26FB7" w:rsidRDefault="009B7AED" w:rsidP="009B7AED">
      <w:pPr>
        <w:pStyle w:val="TableLandscapeTable"/>
        <w:spacing w:line="240" w:lineRule="auto"/>
        <w:contextualSpacing/>
        <w:rPr>
          <w:rFonts w:asciiTheme="minorHAnsi" w:hAnsiTheme="minorHAnsi"/>
        </w:rPr>
      </w:pPr>
      <w:r>
        <w:rPr>
          <w:rFonts w:asciiTheme="minorHAnsi" w:hAnsiTheme="minorHAnsi"/>
        </w:rPr>
        <w:t>T|48|js1234</w:t>
      </w:r>
      <w:r w:rsidRPr="00C26FB7">
        <w:rPr>
          <w:rFonts w:asciiTheme="minorHAnsi" w:hAnsiTheme="minorHAnsi"/>
        </w:rPr>
        <w:t>|3|1|2021|11|23|11|A|</w:t>
      </w:r>
      <w:bookmarkStart w:id="2992" w:name="_Hlk46326697"/>
      <w:r w:rsidRPr="00C26FB7">
        <w:rPr>
          <w:rFonts w:asciiTheme="minorHAnsi" w:hAnsiTheme="minorHAnsi"/>
        </w:rPr>
        <w:t>1|</w:t>
      </w:r>
      <w:bookmarkEnd w:id="2992"/>
      <w:r w:rsidRPr="00C26FB7">
        <w:rPr>
          <w:rFonts w:asciiTheme="minorHAnsi" w:hAnsiTheme="minorHAnsi"/>
        </w:rPr>
        <w:t>22|</w:t>
      </w:r>
      <w:r>
        <w:rPr>
          <w:rFonts w:asciiTheme="minorHAnsi" w:hAnsiTheme="minorHAnsi"/>
        </w:rPr>
        <w:t>5|627</w:t>
      </w:r>
      <w:r w:rsidRPr="00C26FB7">
        <w:rPr>
          <w:rFonts w:asciiTheme="minorHAnsi" w:hAnsiTheme="minorHAnsi"/>
        </w:rPr>
        <w:t>|0|</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5</w:t>
      </w:r>
      <w:r w:rsidRPr="00C26FB7">
        <w:rPr>
          <w:rFonts w:asciiTheme="minorHAnsi" w:hAnsiTheme="minorHAnsi"/>
        </w:rPr>
        <w:t>|</w:t>
      </w:r>
      <w:r>
        <w:rPr>
          <w:rFonts w:asciiTheme="minorHAnsi" w:hAnsiTheme="minorHAnsi"/>
        </w:rPr>
        <w:t>52</w:t>
      </w:r>
      <w:r w:rsidRPr="00C26FB7">
        <w:rPr>
          <w:rFonts w:asciiTheme="minorHAnsi" w:hAnsiTheme="minorHAnsi"/>
        </w:rPr>
        <w:t>|</w:t>
      </w:r>
      <w:r>
        <w:rPr>
          <w:rFonts w:asciiTheme="minorHAnsi" w:hAnsiTheme="minorHAnsi"/>
        </w:rPr>
        <w:t>97</w:t>
      </w:r>
      <w:r w:rsidRPr="00C26FB7">
        <w:rPr>
          <w:rFonts w:asciiTheme="minorHAnsi" w:hAnsiTheme="minorHAnsi"/>
        </w:rPr>
        <w:t>|</w:t>
      </w:r>
      <w:r>
        <w:rPr>
          <w:rFonts w:asciiTheme="minorHAnsi" w:hAnsiTheme="minorHAnsi"/>
        </w:rPr>
        <w:t>111</w:t>
      </w:r>
      <w:r w:rsidRPr="00C26FB7">
        <w:rPr>
          <w:rFonts w:asciiTheme="minorHAnsi" w:hAnsiTheme="minorHAnsi"/>
        </w:rPr>
        <w:t>|</w:t>
      </w:r>
      <w:r>
        <w:rPr>
          <w:rFonts w:asciiTheme="minorHAnsi" w:hAnsiTheme="minorHAnsi"/>
        </w:rPr>
        <w:t>149</w:t>
      </w:r>
      <w:r w:rsidRPr="00C26FB7">
        <w:rPr>
          <w:rFonts w:asciiTheme="minorHAnsi" w:hAnsiTheme="minorHAnsi"/>
        </w:rPr>
        <w:t>|</w:t>
      </w:r>
      <w:r>
        <w:rPr>
          <w:rFonts w:asciiTheme="minorHAnsi" w:hAnsiTheme="minorHAnsi"/>
        </w:rPr>
        <w:t>98</w:t>
      </w:r>
      <w:r w:rsidRPr="00C26FB7">
        <w:rPr>
          <w:rFonts w:asciiTheme="minorHAnsi" w:hAnsiTheme="minorHAnsi"/>
        </w:rPr>
        <w:t>|</w:t>
      </w:r>
      <w:r>
        <w:rPr>
          <w:rFonts w:asciiTheme="minorHAnsi" w:hAnsiTheme="minorHAnsi"/>
        </w:rPr>
        <w:t>67</w:t>
      </w:r>
      <w:r w:rsidRPr="00C26FB7">
        <w:rPr>
          <w:rFonts w:asciiTheme="minorHAnsi" w:hAnsiTheme="minorHAnsi"/>
        </w:rPr>
        <w:t>|</w:t>
      </w:r>
      <w:r>
        <w:rPr>
          <w:rFonts w:asciiTheme="minorHAnsi" w:hAnsiTheme="minorHAnsi"/>
        </w:rPr>
        <w:t>34</w:t>
      </w:r>
      <w:r w:rsidRPr="00C26FB7">
        <w:rPr>
          <w:rFonts w:asciiTheme="minorHAnsi" w:hAnsiTheme="minorHAnsi"/>
        </w:rPr>
        <w:t>|</w:t>
      </w:r>
      <w:r>
        <w:rPr>
          <w:rFonts w:asciiTheme="minorHAnsi" w:hAnsiTheme="minorHAnsi"/>
        </w:rPr>
        <w:t>12</w:t>
      </w:r>
      <w:r w:rsidRPr="00C26FB7">
        <w:rPr>
          <w:rFonts w:asciiTheme="minorHAnsi" w:hAnsiTheme="minorHAnsi"/>
        </w:rPr>
        <w:t>|</w:t>
      </w:r>
      <w:r>
        <w:rPr>
          <w:rFonts w:asciiTheme="minorHAnsi" w:hAnsiTheme="minorHAnsi"/>
        </w:rPr>
        <w:t>2</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p>
    <w:p w14:paraId="4AB3D32F" w14:textId="77777777" w:rsidR="009B7AED" w:rsidRPr="00C26FB7" w:rsidRDefault="009B7AED" w:rsidP="009B7AED">
      <w:pPr>
        <w:pStyle w:val="TableLandscapeTable"/>
        <w:spacing w:line="240" w:lineRule="auto"/>
        <w:contextualSpacing/>
        <w:rPr>
          <w:rFonts w:asciiTheme="minorHAnsi" w:hAnsiTheme="minorHAnsi"/>
        </w:rPr>
      </w:pPr>
      <w:r>
        <w:rPr>
          <w:rFonts w:asciiTheme="minorHAnsi" w:hAnsiTheme="minorHAnsi"/>
        </w:rPr>
        <w:t>T|48|js1234</w:t>
      </w:r>
      <w:r w:rsidRPr="00C26FB7">
        <w:rPr>
          <w:rFonts w:asciiTheme="minorHAnsi" w:hAnsiTheme="minorHAnsi"/>
        </w:rPr>
        <w:t>|3|1|2021|11|23|11|B|1|22|</w:t>
      </w:r>
      <w:bookmarkStart w:id="2993" w:name="_Hlk46394516"/>
      <w:r>
        <w:rPr>
          <w:rFonts w:asciiTheme="minorHAnsi" w:hAnsiTheme="minorHAnsi"/>
        </w:rPr>
        <w:t>5|628</w:t>
      </w:r>
      <w:r w:rsidRPr="00C26FB7">
        <w:rPr>
          <w:rFonts w:asciiTheme="minorHAnsi" w:hAnsiTheme="minorHAnsi"/>
        </w:rPr>
        <w:t>|0|</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5</w:t>
      </w:r>
      <w:r w:rsidRPr="00C26FB7">
        <w:rPr>
          <w:rFonts w:asciiTheme="minorHAnsi" w:hAnsiTheme="minorHAnsi"/>
        </w:rPr>
        <w:t>|</w:t>
      </w:r>
      <w:r>
        <w:rPr>
          <w:rFonts w:asciiTheme="minorHAnsi" w:hAnsiTheme="minorHAnsi"/>
        </w:rPr>
        <w:t>52</w:t>
      </w:r>
      <w:r w:rsidRPr="00C26FB7">
        <w:rPr>
          <w:rFonts w:asciiTheme="minorHAnsi" w:hAnsiTheme="minorHAnsi"/>
        </w:rPr>
        <w:t>|</w:t>
      </w:r>
      <w:r>
        <w:rPr>
          <w:rFonts w:asciiTheme="minorHAnsi" w:hAnsiTheme="minorHAnsi"/>
        </w:rPr>
        <w:t>97</w:t>
      </w:r>
      <w:r w:rsidRPr="00C26FB7">
        <w:rPr>
          <w:rFonts w:asciiTheme="minorHAnsi" w:hAnsiTheme="minorHAnsi"/>
        </w:rPr>
        <w:t>|</w:t>
      </w:r>
      <w:r>
        <w:rPr>
          <w:rFonts w:asciiTheme="minorHAnsi" w:hAnsiTheme="minorHAnsi"/>
        </w:rPr>
        <w:t>112</w:t>
      </w:r>
      <w:r w:rsidRPr="00C26FB7">
        <w:rPr>
          <w:rFonts w:asciiTheme="minorHAnsi" w:hAnsiTheme="minorHAnsi"/>
        </w:rPr>
        <w:t>|</w:t>
      </w:r>
      <w:r>
        <w:rPr>
          <w:rFonts w:asciiTheme="minorHAnsi" w:hAnsiTheme="minorHAnsi"/>
        </w:rPr>
        <w:t>149</w:t>
      </w:r>
      <w:r w:rsidRPr="00C26FB7">
        <w:rPr>
          <w:rFonts w:asciiTheme="minorHAnsi" w:hAnsiTheme="minorHAnsi"/>
        </w:rPr>
        <w:t>|</w:t>
      </w:r>
      <w:r>
        <w:rPr>
          <w:rFonts w:asciiTheme="minorHAnsi" w:hAnsiTheme="minorHAnsi"/>
        </w:rPr>
        <w:t>98</w:t>
      </w:r>
      <w:r w:rsidRPr="00C26FB7">
        <w:rPr>
          <w:rFonts w:asciiTheme="minorHAnsi" w:hAnsiTheme="minorHAnsi"/>
        </w:rPr>
        <w:t>|</w:t>
      </w:r>
      <w:r>
        <w:rPr>
          <w:rFonts w:asciiTheme="minorHAnsi" w:hAnsiTheme="minorHAnsi"/>
        </w:rPr>
        <w:t>67</w:t>
      </w:r>
      <w:r w:rsidRPr="00C26FB7">
        <w:rPr>
          <w:rFonts w:asciiTheme="minorHAnsi" w:hAnsiTheme="minorHAnsi"/>
        </w:rPr>
        <w:t>|</w:t>
      </w:r>
      <w:r>
        <w:rPr>
          <w:rFonts w:asciiTheme="minorHAnsi" w:hAnsiTheme="minorHAnsi"/>
        </w:rPr>
        <w:t>34</w:t>
      </w:r>
      <w:r w:rsidRPr="00C26FB7">
        <w:rPr>
          <w:rFonts w:asciiTheme="minorHAnsi" w:hAnsiTheme="minorHAnsi"/>
        </w:rPr>
        <w:t>|</w:t>
      </w:r>
      <w:r>
        <w:rPr>
          <w:rFonts w:asciiTheme="minorHAnsi" w:hAnsiTheme="minorHAnsi"/>
        </w:rPr>
        <w:t>12</w:t>
      </w:r>
      <w:r w:rsidRPr="00C26FB7">
        <w:rPr>
          <w:rFonts w:asciiTheme="minorHAnsi" w:hAnsiTheme="minorHAnsi"/>
        </w:rPr>
        <w:t>|</w:t>
      </w:r>
      <w:r>
        <w:rPr>
          <w:rFonts w:asciiTheme="minorHAnsi" w:hAnsiTheme="minorHAnsi"/>
        </w:rPr>
        <w:t>2</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bookmarkEnd w:id="2993"/>
    </w:p>
    <w:p w14:paraId="6FB99042" w14:textId="77777777" w:rsidR="009B7AED" w:rsidRPr="00C26FB7" w:rsidRDefault="009B7AED" w:rsidP="009B7AED">
      <w:pPr>
        <w:pStyle w:val="TableLandscapeTable"/>
        <w:spacing w:line="240" w:lineRule="auto"/>
        <w:contextualSpacing/>
        <w:rPr>
          <w:rFonts w:asciiTheme="minorHAnsi" w:hAnsiTheme="minorHAnsi"/>
        </w:rPr>
      </w:pPr>
      <w:r>
        <w:rPr>
          <w:rFonts w:asciiTheme="minorHAnsi" w:hAnsiTheme="minorHAnsi"/>
        </w:rPr>
        <w:t>T|48|js1234</w:t>
      </w:r>
      <w:r w:rsidRPr="00C26FB7">
        <w:rPr>
          <w:rFonts w:asciiTheme="minorHAnsi" w:hAnsiTheme="minorHAnsi"/>
        </w:rPr>
        <w:t>|3|1|2021|11|23|11|C|1|22|</w:t>
      </w:r>
      <w:r>
        <w:rPr>
          <w:rFonts w:asciiTheme="minorHAnsi" w:hAnsiTheme="minorHAnsi"/>
        </w:rPr>
        <w:t>5|629</w:t>
      </w:r>
      <w:r w:rsidRPr="00C26FB7">
        <w:rPr>
          <w:rFonts w:asciiTheme="minorHAnsi" w:hAnsiTheme="minorHAnsi"/>
        </w:rPr>
        <w:t>|0|</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5</w:t>
      </w:r>
      <w:r w:rsidRPr="00C26FB7">
        <w:rPr>
          <w:rFonts w:asciiTheme="minorHAnsi" w:hAnsiTheme="minorHAnsi"/>
        </w:rPr>
        <w:t>|</w:t>
      </w:r>
      <w:r>
        <w:rPr>
          <w:rFonts w:asciiTheme="minorHAnsi" w:hAnsiTheme="minorHAnsi"/>
        </w:rPr>
        <w:t>53</w:t>
      </w:r>
      <w:r w:rsidRPr="00C26FB7">
        <w:rPr>
          <w:rFonts w:asciiTheme="minorHAnsi" w:hAnsiTheme="minorHAnsi"/>
        </w:rPr>
        <w:t>|</w:t>
      </w:r>
      <w:r>
        <w:rPr>
          <w:rFonts w:asciiTheme="minorHAnsi" w:hAnsiTheme="minorHAnsi"/>
        </w:rPr>
        <w:t>97</w:t>
      </w:r>
      <w:r w:rsidRPr="00C26FB7">
        <w:rPr>
          <w:rFonts w:asciiTheme="minorHAnsi" w:hAnsiTheme="minorHAnsi"/>
        </w:rPr>
        <w:t>|</w:t>
      </w:r>
      <w:r>
        <w:rPr>
          <w:rFonts w:asciiTheme="minorHAnsi" w:hAnsiTheme="minorHAnsi"/>
        </w:rPr>
        <w:t>111</w:t>
      </w:r>
      <w:r w:rsidRPr="00C26FB7">
        <w:rPr>
          <w:rFonts w:asciiTheme="minorHAnsi" w:hAnsiTheme="minorHAnsi"/>
        </w:rPr>
        <w:t>|</w:t>
      </w:r>
      <w:r>
        <w:rPr>
          <w:rFonts w:asciiTheme="minorHAnsi" w:hAnsiTheme="minorHAnsi"/>
        </w:rPr>
        <w:t>149</w:t>
      </w:r>
      <w:r w:rsidRPr="00C26FB7">
        <w:rPr>
          <w:rFonts w:asciiTheme="minorHAnsi" w:hAnsiTheme="minorHAnsi"/>
        </w:rPr>
        <w:t>|</w:t>
      </w:r>
      <w:r>
        <w:rPr>
          <w:rFonts w:asciiTheme="minorHAnsi" w:hAnsiTheme="minorHAnsi"/>
        </w:rPr>
        <w:t>99</w:t>
      </w:r>
      <w:r w:rsidRPr="00C26FB7">
        <w:rPr>
          <w:rFonts w:asciiTheme="minorHAnsi" w:hAnsiTheme="minorHAnsi"/>
        </w:rPr>
        <w:t>|</w:t>
      </w:r>
      <w:r>
        <w:rPr>
          <w:rFonts w:asciiTheme="minorHAnsi" w:hAnsiTheme="minorHAnsi"/>
        </w:rPr>
        <w:t>67</w:t>
      </w:r>
      <w:r w:rsidRPr="00C26FB7">
        <w:rPr>
          <w:rFonts w:asciiTheme="minorHAnsi" w:hAnsiTheme="minorHAnsi"/>
        </w:rPr>
        <w:t>|</w:t>
      </w:r>
      <w:r>
        <w:rPr>
          <w:rFonts w:asciiTheme="minorHAnsi" w:hAnsiTheme="minorHAnsi"/>
        </w:rPr>
        <w:t>34</w:t>
      </w:r>
      <w:r w:rsidRPr="00C26FB7">
        <w:rPr>
          <w:rFonts w:asciiTheme="minorHAnsi" w:hAnsiTheme="minorHAnsi"/>
        </w:rPr>
        <w:t>|</w:t>
      </w:r>
      <w:r>
        <w:rPr>
          <w:rFonts w:asciiTheme="minorHAnsi" w:hAnsiTheme="minorHAnsi"/>
        </w:rPr>
        <w:t>12</w:t>
      </w:r>
      <w:r w:rsidRPr="00C26FB7">
        <w:rPr>
          <w:rFonts w:asciiTheme="minorHAnsi" w:hAnsiTheme="minorHAnsi"/>
        </w:rPr>
        <w:t>|</w:t>
      </w:r>
      <w:r>
        <w:rPr>
          <w:rFonts w:asciiTheme="minorHAnsi" w:hAnsiTheme="minorHAnsi"/>
        </w:rPr>
        <w:t>2</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p>
    <w:p w14:paraId="3CE01A2E" w14:textId="77777777" w:rsidR="009B7AED" w:rsidRPr="00C26FB7" w:rsidRDefault="009B7AED" w:rsidP="009B7AED">
      <w:pPr>
        <w:pStyle w:val="TableLandscapeTable"/>
        <w:spacing w:line="240" w:lineRule="auto"/>
        <w:contextualSpacing/>
        <w:rPr>
          <w:rFonts w:asciiTheme="minorHAnsi" w:hAnsiTheme="minorHAnsi"/>
        </w:rPr>
      </w:pPr>
      <w:r>
        <w:rPr>
          <w:rFonts w:asciiTheme="minorHAnsi" w:hAnsiTheme="minorHAnsi"/>
        </w:rPr>
        <w:t>T|48|js1234</w:t>
      </w:r>
      <w:r w:rsidRPr="00C26FB7">
        <w:rPr>
          <w:rFonts w:asciiTheme="minorHAnsi" w:hAnsiTheme="minorHAnsi"/>
        </w:rPr>
        <w:t>|3|1|2021|11|23|11|D|1|22|</w:t>
      </w:r>
      <w:r>
        <w:rPr>
          <w:rFonts w:asciiTheme="minorHAnsi" w:hAnsiTheme="minorHAnsi"/>
        </w:rPr>
        <w:t>5|630</w:t>
      </w:r>
      <w:r w:rsidRPr="00C26FB7">
        <w:rPr>
          <w:rFonts w:asciiTheme="minorHAnsi" w:hAnsiTheme="minorHAnsi"/>
        </w:rPr>
        <w:t>|0|</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5</w:t>
      </w:r>
      <w:r w:rsidRPr="00C26FB7">
        <w:rPr>
          <w:rFonts w:asciiTheme="minorHAnsi" w:hAnsiTheme="minorHAnsi"/>
        </w:rPr>
        <w:t>|</w:t>
      </w:r>
      <w:r>
        <w:rPr>
          <w:rFonts w:asciiTheme="minorHAnsi" w:hAnsiTheme="minorHAnsi"/>
        </w:rPr>
        <w:t>52</w:t>
      </w:r>
      <w:r w:rsidRPr="00C26FB7">
        <w:rPr>
          <w:rFonts w:asciiTheme="minorHAnsi" w:hAnsiTheme="minorHAnsi"/>
        </w:rPr>
        <w:t>|</w:t>
      </w:r>
      <w:r>
        <w:rPr>
          <w:rFonts w:asciiTheme="minorHAnsi" w:hAnsiTheme="minorHAnsi"/>
        </w:rPr>
        <w:t>98</w:t>
      </w:r>
      <w:r w:rsidRPr="00C26FB7">
        <w:rPr>
          <w:rFonts w:asciiTheme="minorHAnsi" w:hAnsiTheme="minorHAnsi"/>
        </w:rPr>
        <w:t>|</w:t>
      </w:r>
      <w:r>
        <w:rPr>
          <w:rFonts w:asciiTheme="minorHAnsi" w:hAnsiTheme="minorHAnsi"/>
        </w:rPr>
        <w:t>112</w:t>
      </w:r>
      <w:r w:rsidRPr="00C26FB7">
        <w:rPr>
          <w:rFonts w:asciiTheme="minorHAnsi" w:hAnsiTheme="minorHAnsi"/>
        </w:rPr>
        <w:t>|</w:t>
      </w:r>
      <w:r>
        <w:rPr>
          <w:rFonts w:asciiTheme="minorHAnsi" w:hAnsiTheme="minorHAnsi"/>
        </w:rPr>
        <w:t>150</w:t>
      </w:r>
      <w:r w:rsidRPr="00C26FB7">
        <w:rPr>
          <w:rFonts w:asciiTheme="minorHAnsi" w:hAnsiTheme="minorHAnsi"/>
        </w:rPr>
        <w:t>|</w:t>
      </w:r>
      <w:r>
        <w:rPr>
          <w:rFonts w:asciiTheme="minorHAnsi" w:hAnsiTheme="minorHAnsi"/>
        </w:rPr>
        <w:t>98</w:t>
      </w:r>
      <w:r w:rsidRPr="00C26FB7">
        <w:rPr>
          <w:rFonts w:asciiTheme="minorHAnsi" w:hAnsiTheme="minorHAnsi"/>
        </w:rPr>
        <w:t>|</w:t>
      </w:r>
      <w:r>
        <w:rPr>
          <w:rFonts w:asciiTheme="minorHAnsi" w:hAnsiTheme="minorHAnsi"/>
        </w:rPr>
        <w:t>67</w:t>
      </w:r>
      <w:r w:rsidRPr="00C26FB7">
        <w:rPr>
          <w:rFonts w:asciiTheme="minorHAnsi" w:hAnsiTheme="minorHAnsi"/>
        </w:rPr>
        <w:t>|</w:t>
      </w:r>
      <w:r>
        <w:rPr>
          <w:rFonts w:asciiTheme="minorHAnsi" w:hAnsiTheme="minorHAnsi"/>
        </w:rPr>
        <w:t>34</w:t>
      </w:r>
      <w:r w:rsidRPr="00C26FB7">
        <w:rPr>
          <w:rFonts w:asciiTheme="minorHAnsi" w:hAnsiTheme="minorHAnsi"/>
        </w:rPr>
        <w:t>|</w:t>
      </w:r>
      <w:r>
        <w:rPr>
          <w:rFonts w:asciiTheme="minorHAnsi" w:hAnsiTheme="minorHAnsi"/>
        </w:rPr>
        <w:t>12</w:t>
      </w:r>
      <w:r w:rsidRPr="00C26FB7">
        <w:rPr>
          <w:rFonts w:asciiTheme="minorHAnsi" w:hAnsiTheme="minorHAnsi"/>
        </w:rPr>
        <w:t>|</w:t>
      </w:r>
      <w:r>
        <w:rPr>
          <w:rFonts w:asciiTheme="minorHAnsi" w:hAnsiTheme="minorHAnsi"/>
        </w:rPr>
        <w:t>2</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p>
    <w:p w14:paraId="7C592741" w14:textId="77777777" w:rsidR="009B7AED" w:rsidRPr="00C26FB7" w:rsidRDefault="009B7AED" w:rsidP="009B7AED">
      <w:pPr>
        <w:pStyle w:val="TableLandscapeTable"/>
        <w:spacing w:line="240" w:lineRule="auto"/>
        <w:contextualSpacing/>
        <w:rPr>
          <w:rFonts w:asciiTheme="minorHAnsi" w:hAnsiTheme="minorHAnsi"/>
        </w:rPr>
      </w:pPr>
      <w:r>
        <w:rPr>
          <w:rFonts w:asciiTheme="minorHAnsi" w:hAnsiTheme="minorHAnsi"/>
        </w:rPr>
        <w:t>T|48|js1234</w:t>
      </w:r>
      <w:r w:rsidRPr="00C26FB7">
        <w:rPr>
          <w:rFonts w:asciiTheme="minorHAnsi" w:hAnsiTheme="minorHAnsi"/>
        </w:rPr>
        <w:t>|3|1|2021|11|23|11|E|1|22|</w:t>
      </w:r>
      <w:r>
        <w:rPr>
          <w:rFonts w:asciiTheme="minorHAnsi" w:hAnsiTheme="minorHAnsi"/>
        </w:rPr>
        <w:t>5|631</w:t>
      </w:r>
      <w:r w:rsidRPr="00C26FB7">
        <w:rPr>
          <w:rFonts w:asciiTheme="minorHAnsi" w:hAnsiTheme="minorHAnsi"/>
        </w:rPr>
        <w:t>|0|</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5</w:t>
      </w:r>
      <w:r w:rsidRPr="00C26FB7">
        <w:rPr>
          <w:rFonts w:asciiTheme="minorHAnsi" w:hAnsiTheme="minorHAnsi"/>
        </w:rPr>
        <w:t>|</w:t>
      </w:r>
      <w:r>
        <w:rPr>
          <w:rFonts w:asciiTheme="minorHAnsi" w:hAnsiTheme="minorHAnsi"/>
        </w:rPr>
        <w:t>54</w:t>
      </w:r>
      <w:r w:rsidRPr="00C26FB7">
        <w:rPr>
          <w:rFonts w:asciiTheme="minorHAnsi" w:hAnsiTheme="minorHAnsi"/>
        </w:rPr>
        <w:t>|</w:t>
      </w:r>
      <w:r>
        <w:rPr>
          <w:rFonts w:asciiTheme="minorHAnsi" w:hAnsiTheme="minorHAnsi"/>
        </w:rPr>
        <w:t>97</w:t>
      </w:r>
      <w:r w:rsidRPr="00C26FB7">
        <w:rPr>
          <w:rFonts w:asciiTheme="minorHAnsi" w:hAnsiTheme="minorHAnsi"/>
        </w:rPr>
        <w:t>|</w:t>
      </w:r>
      <w:r>
        <w:rPr>
          <w:rFonts w:asciiTheme="minorHAnsi" w:hAnsiTheme="minorHAnsi"/>
        </w:rPr>
        <w:t>111</w:t>
      </w:r>
      <w:r w:rsidRPr="00C26FB7">
        <w:rPr>
          <w:rFonts w:asciiTheme="minorHAnsi" w:hAnsiTheme="minorHAnsi"/>
        </w:rPr>
        <w:t>|</w:t>
      </w:r>
      <w:r>
        <w:rPr>
          <w:rFonts w:asciiTheme="minorHAnsi" w:hAnsiTheme="minorHAnsi"/>
        </w:rPr>
        <w:t>150</w:t>
      </w:r>
      <w:r w:rsidRPr="00C26FB7">
        <w:rPr>
          <w:rFonts w:asciiTheme="minorHAnsi" w:hAnsiTheme="minorHAnsi"/>
        </w:rPr>
        <w:t>|</w:t>
      </w:r>
      <w:r>
        <w:rPr>
          <w:rFonts w:asciiTheme="minorHAnsi" w:hAnsiTheme="minorHAnsi"/>
        </w:rPr>
        <w:t>100</w:t>
      </w:r>
      <w:r w:rsidRPr="00C26FB7">
        <w:rPr>
          <w:rFonts w:asciiTheme="minorHAnsi" w:hAnsiTheme="minorHAnsi"/>
        </w:rPr>
        <w:t>|</w:t>
      </w:r>
      <w:r>
        <w:rPr>
          <w:rFonts w:asciiTheme="minorHAnsi" w:hAnsiTheme="minorHAnsi"/>
        </w:rPr>
        <w:t>68</w:t>
      </w:r>
      <w:r w:rsidRPr="00C26FB7">
        <w:rPr>
          <w:rFonts w:asciiTheme="minorHAnsi" w:hAnsiTheme="minorHAnsi"/>
        </w:rPr>
        <w:t>|</w:t>
      </w:r>
      <w:r>
        <w:rPr>
          <w:rFonts w:asciiTheme="minorHAnsi" w:hAnsiTheme="minorHAnsi"/>
        </w:rPr>
        <w:t>35</w:t>
      </w:r>
      <w:r w:rsidRPr="00C26FB7">
        <w:rPr>
          <w:rFonts w:asciiTheme="minorHAnsi" w:hAnsiTheme="minorHAnsi"/>
        </w:rPr>
        <w:t>|</w:t>
      </w:r>
      <w:r>
        <w:rPr>
          <w:rFonts w:asciiTheme="minorHAnsi" w:hAnsiTheme="minorHAnsi"/>
        </w:rPr>
        <w:t>10</w:t>
      </w:r>
      <w:r w:rsidRPr="00C26FB7">
        <w:rPr>
          <w:rFonts w:asciiTheme="minorHAnsi" w:hAnsiTheme="minorHAnsi"/>
        </w:rPr>
        <w:t>|</w:t>
      </w:r>
      <w:r>
        <w:rPr>
          <w:rFonts w:asciiTheme="minorHAnsi" w:hAnsiTheme="minorHAnsi"/>
        </w:rPr>
        <w:t>1</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p>
    <w:p w14:paraId="0343F2EF" w14:textId="77777777" w:rsidR="009B7AED" w:rsidRPr="00C26FB7" w:rsidRDefault="009B7AED" w:rsidP="009B7AED">
      <w:pPr>
        <w:pStyle w:val="TableLandscapeTable"/>
        <w:spacing w:line="240" w:lineRule="auto"/>
        <w:contextualSpacing/>
        <w:rPr>
          <w:rFonts w:asciiTheme="minorHAnsi" w:hAnsiTheme="minorHAnsi"/>
        </w:rPr>
      </w:pPr>
      <w:r>
        <w:rPr>
          <w:rFonts w:asciiTheme="minorHAnsi" w:hAnsiTheme="minorHAnsi"/>
        </w:rPr>
        <w:t>T|48|js1234</w:t>
      </w:r>
      <w:r w:rsidRPr="00C26FB7">
        <w:rPr>
          <w:rFonts w:asciiTheme="minorHAnsi" w:hAnsiTheme="minorHAnsi"/>
        </w:rPr>
        <w:t>|3|1|2021|11|23|11|F|1|22|</w:t>
      </w:r>
      <w:r>
        <w:rPr>
          <w:rFonts w:asciiTheme="minorHAnsi" w:hAnsiTheme="minorHAnsi"/>
        </w:rPr>
        <w:t>5|632</w:t>
      </w:r>
      <w:r w:rsidRPr="00C26FB7">
        <w:rPr>
          <w:rFonts w:asciiTheme="minorHAnsi" w:hAnsiTheme="minorHAnsi"/>
        </w:rPr>
        <w:t>|0|</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5</w:t>
      </w:r>
      <w:r w:rsidRPr="00C26FB7">
        <w:rPr>
          <w:rFonts w:asciiTheme="minorHAnsi" w:hAnsiTheme="minorHAnsi"/>
        </w:rPr>
        <w:t>|</w:t>
      </w:r>
      <w:r>
        <w:rPr>
          <w:rFonts w:asciiTheme="minorHAnsi" w:hAnsiTheme="minorHAnsi"/>
        </w:rPr>
        <w:t>55</w:t>
      </w:r>
      <w:r w:rsidRPr="00C26FB7">
        <w:rPr>
          <w:rFonts w:asciiTheme="minorHAnsi" w:hAnsiTheme="minorHAnsi"/>
        </w:rPr>
        <w:t>|</w:t>
      </w:r>
      <w:r>
        <w:rPr>
          <w:rFonts w:asciiTheme="minorHAnsi" w:hAnsiTheme="minorHAnsi"/>
        </w:rPr>
        <w:t>98</w:t>
      </w:r>
      <w:r w:rsidRPr="00C26FB7">
        <w:rPr>
          <w:rFonts w:asciiTheme="minorHAnsi" w:hAnsiTheme="minorHAnsi"/>
        </w:rPr>
        <w:t>|</w:t>
      </w:r>
      <w:r>
        <w:rPr>
          <w:rFonts w:asciiTheme="minorHAnsi" w:hAnsiTheme="minorHAnsi"/>
        </w:rPr>
        <w:t>111</w:t>
      </w:r>
      <w:r w:rsidRPr="00C26FB7">
        <w:rPr>
          <w:rFonts w:asciiTheme="minorHAnsi" w:hAnsiTheme="minorHAnsi"/>
        </w:rPr>
        <w:t>|</w:t>
      </w:r>
      <w:r>
        <w:rPr>
          <w:rFonts w:asciiTheme="minorHAnsi" w:hAnsiTheme="minorHAnsi"/>
        </w:rPr>
        <w:t>150</w:t>
      </w:r>
      <w:r w:rsidRPr="00C26FB7">
        <w:rPr>
          <w:rFonts w:asciiTheme="minorHAnsi" w:hAnsiTheme="minorHAnsi"/>
        </w:rPr>
        <w:t>|</w:t>
      </w:r>
      <w:r>
        <w:rPr>
          <w:rFonts w:asciiTheme="minorHAnsi" w:hAnsiTheme="minorHAnsi"/>
        </w:rPr>
        <w:t>100</w:t>
      </w:r>
      <w:r w:rsidRPr="00C26FB7">
        <w:rPr>
          <w:rFonts w:asciiTheme="minorHAnsi" w:hAnsiTheme="minorHAnsi"/>
        </w:rPr>
        <w:t>|</w:t>
      </w:r>
      <w:r>
        <w:rPr>
          <w:rFonts w:asciiTheme="minorHAnsi" w:hAnsiTheme="minorHAnsi"/>
        </w:rPr>
        <w:t>68</w:t>
      </w:r>
      <w:r w:rsidRPr="00C26FB7">
        <w:rPr>
          <w:rFonts w:asciiTheme="minorHAnsi" w:hAnsiTheme="minorHAnsi"/>
        </w:rPr>
        <w:t>|</w:t>
      </w:r>
      <w:r>
        <w:rPr>
          <w:rFonts w:asciiTheme="minorHAnsi" w:hAnsiTheme="minorHAnsi"/>
        </w:rPr>
        <w:t>35</w:t>
      </w:r>
      <w:r w:rsidRPr="00C26FB7">
        <w:rPr>
          <w:rFonts w:asciiTheme="minorHAnsi" w:hAnsiTheme="minorHAnsi"/>
        </w:rPr>
        <w:t>|</w:t>
      </w:r>
      <w:r>
        <w:rPr>
          <w:rFonts w:asciiTheme="minorHAnsi" w:hAnsiTheme="minorHAnsi"/>
        </w:rPr>
        <w:t>9</w:t>
      </w:r>
      <w:r w:rsidRPr="00C26FB7">
        <w:rPr>
          <w:rFonts w:asciiTheme="minorHAnsi" w:hAnsiTheme="minorHAnsi"/>
        </w:rPr>
        <w:t>|</w:t>
      </w:r>
      <w:r>
        <w:rPr>
          <w:rFonts w:asciiTheme="minorHAnsi" w:hAnsiTheme="minorHAnsi"/>
        </w:rPr>
        <w:t>1</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p>
    <w:p w14:paraId="60CB7A49" w14:textId="77777777" w:rsidR="009B7AED" w:rsidRPr="00C26FB7" w:rsidRDefault="009B7AED" w:rsidP="009B7AED">
      <w:pPr>
        <w:pStyle w:val="TableLandscapeTable"/>
        <w:spacing w:line="240" w:lineRule="auto"/>
        <w:contextualSpacing/>
        <w:rPr>
          <w:rFonts w:asciiTheme="minorHAnsi" w:hAnsiTheme="minorHAnsi"/>
        </w:rPr>
      </w:pPr>
      <w:r>
        <w:rPr>
          <w:rFonts w:asciiTheme="minorHAnsi" w:hAnsiTheme="minorHAnsi"/>
        </w:rPr>
        <w:t>T|48|js1234</w:t>
      </w:r>
      <w:r w:rsidRPr="00C26FB7">
        <w:rPr>
          <w:rFonts w:asciiTheme="minorHAnsi" w:hAnsiTheme="minorHAnsi"/>
        </w:rPr>
        <w:t>|3|1|2021|11|23|11|G|1|22|</w:t>
      </w:r>
      <w:r>
        <w:rPr>
          <w:rFonts w:asciiTheme="minorHAnsi" w:hAnsiTheme="minorHAnsi"/>
        </w:rPr>
        <w:t>5|634</w:t>
      </w:r>
      <w:r w:rsidRPr="00C26FB7">
        <w:rPr>
          <w:rFonts w:asciiTheme="minorHAnsi" w:hAnsiTheme="minorHAnsi"/>
        </w:rPr>
        <w:t>|0|</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6</w:t>
      </w:r>
      <w:r w:rsidRPr="00C26FB7">
        <w:rPr>
          <w:rFonts w:asciiTheme="minorHAnsi" w:hAnsiTheme="minorHAnsi"/>
        </w:rPr>
        <w:t>|</w:t>
      </w:r>
      <w:r>
        <w:rPr>
          <w:rFonts w:asciiTheme="minorHAnsi" w:hAnsiTheme="minorHAnsi"/>
        </w:rPr>
        <w:t>55</w:t>
      </w:r>
      <w:r w:rsidRPr="00C26FB7">
        <w:rPr>
          <w:rFonts w:asciiTheme="minorHAnsi" w:hAnsiTheme="minorHAnsi"/>
        </w:rPr>
        <w:t>|</w:t>
      </w:r>
      <w:r>
        <w:rPr>
          <w:rFonts w:asciiTheme="minorHAnsi" w:hAnsiTheme="minorHAnsi"/>
        </w:rPr>
        <w:t>98</w:t>
      </w:r>
      <w:r w:rsidRPr="00C26FB7">
        <w:rPr>
          <w:rFonts w:asciiTheme="minorHAnsi" w:hAnsiTheme="minorHAnsi"/>
        </w:rPr>
        <w:t>|</w:t>
      </w:r>
      <w:r>
        <w:rPr>
          <w:rFonts w:asciiTheme="minorHAnsi" w:hAnsiTheme="minorHAnsi"/>
        </w:rPr>
        <w:t>111</w:t>
      </w:r>
      <w:r w:rsidRPr="00C26FB7">
        <w:rPr>
          <w:rFonts w:asciiTheme="minorHAnsi" w:hAnsiTheme="minorHAnsi"/>
        </w:rPr>
        <w:t>|</w:t>
      </w:r>
      <w:r>
        <w:rPr>
          <w:rFonts w:asciiTheme="minorHAnsi" w:hAnsiTheme="minorHAnsi"/>
        </w:rPr>
        <w:t>150</w:t>
      </w:r>
      <w:r w:rsidRPr="00C26FB7">
        <w:rPr>
          <w:rFonts w:asciiTheme="minorHAnsi" w:hAnsiTheme="minorHAnsi"/>
        </w:rPr>
        <w:t>|</w:t>
      </w:r>
      <w:r>
        <w:rPr>
          <w:rFonts w:asciiTheme="minorHAnsi" w:hAnsiTheme="minorHAnsi"/>
        </w:rPr>
        <w:t>101</w:t>
      </w:r>
      <w:r w:rsidRPr="00C26FB7">
        <w:rPr>
          <w:rFonts w:asciiTheme="minorHAnsi" w:hAnsiTheme="minorHAnsi"/>
        </w:rPr>
        <w:t>|</w:t>
      </w:r>
      <w:r>
        <w:rPr>
          <w:rFonts w:asciiTheme="minorHAnsi" w:hAnsiTheme="minorHAnsi"/>
        </w:rPr>
        <w:t>68</w:t>
      </w:r>
      <w:r w:rsidRPr="00C26FB7">
        <w:rPr>
          <w:rFonts w:asciiTheme="minorHAnsi" w:hAnsiTheme="minorHAnsi"/>
        </w:rPr>
        <w:t>|</w:t>
      </w:r>
      <w:r>
        <w:rPr>
          <w:rFonts w:asciiTheme="minorHAnsi" w:hAnsiTheme="minorHAnsi"/>
        </w:rPr>
        <w:t>35</w:t>
      </w:r>
      <w:r w:rsidRPr="00C26FB7">
        <w:rPr>
          <w:rFonts w:asciiTheme="minorHAnsi" w:hAnsiTheme="minorHAnsi"/>
        </w:rPr>
        <w:t>|</w:t>
      </w:r>
      <w:r>
        <w:rPr>
          <w:rFonts w:asciiTheme="minorHAnsi" w:hAnsiTheme="minorHAnsi"/>
        </w:rPr>
        <w:t>9</w:t>
      </w:r>
      <w:r w:rsidRPr="00C26FB7">
        <w:rPr>
          <w:rFonts w:asciiTheme="minorHAnsi" w:hAnsiTheme="minorHAnsi"/>
        </w:rPr>
        <w:t>|</w:t>
      </w:r>
      <w:r>
        <w:rPr>
          <w:rFonts w:asciiTheme="minorHAnsi" w:hAnsiTheme="minorHAnsi"/>
        </w:rPr>
        <w:t>1</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p>
    <w:p w14:paraId="791F3CF4" w14:textId="77777777" w:rsidR="009B7AED" w:rsidRPr="00C26FB7" w:rsidRDefault="009B7AED" w:rsidP="009B7AED">
      <w:pPr>
        <w:pStyle w:val="TableLandscapeTable"/>
        <w:spacing w:line="240" w:lineRule="auto"/>
        <w:contextualSpacing/>
        <w:rPr>
          <w:rFonts w:asciiTheme="minorHAnsi" w:hAnsiTheme="minorHAnsi"/>
        </w:rPr>
      </w:pPr>
      <w:r>
        <w:rPr>
          <w:rFonts w:asciiTheme="minorHAnsi" w:hAnsiTheme="minorHAnsi"/>
        </w:rPr>
        <w:t>T|48|js1234</w:t>
      </w:r>
      <w:r w:rsidRPr="00C26FB7">
        <w:rPr>
          <w:rFonts w:asciiTheme="minorHAnsi" w:hAnsiTheme="minorHAnsi"/>
        </w:rPr>
        <w:t>|3|1|2021|11|23|11|H|1|22|</w:t>
      </w:r>
      <w:bookmarkStart w:id="2994" w:name="_Hlk46395217"/>
      <w:r>
        <w:rPr>
          <w:rFonts w:asciiTheme="minorHAnsi" w:hAnsiTheme="minorHAnsi"/>
        </w:rPr>
        <w:t>5|635</w:t>
      </w:r>
      <w:r w:rsidRPr="00C26FB7">
        <w:rPr>
          <w:rFonts w:asciiTheme="minorHAnsi" w:hAnsiTheme="minorHAnsi"/>
        </w:rPr>
        <w:t>|0|</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7</w:t>
      </w:r>
      <w:r w:rsidRPr="00C26FB7">
        <w:rPr>
          <w:rFonts w:asciiTheme="minorHAnsi" w:hAnsiTheme="minorHAnsi"/>
        </w:rPr>
        <w:t>|</w:t>
      </w:r>
      <w:r>
        <w:rPr>
          <w:rFonts w:asciiTheme="minorHAnsi" w:hAnsiTheme="minorHAnsi"/>
        </w:rPr>
        <w:t>55</w:t>
      </w:r>
      <w:r w:rsidRPr="00C26FB7">
        <w:rPr>
          <w:rFonts w:asciiTheme="minorHAnsi" w:hAnsiTheme="minorHAnsi"/>
        </w:rPr>
        <w:t>|</w:t>
      </w:r>
      <w:r>
        <w:rPr>
          <w:rFonts w:asciiTheme="minorHAnsi" w:hAnsiTheme="minorHAnsi"/>
        </w:rPr>
        <w:t>98</w:t>
      </w:r>
      <w:r w:rsidRPr="00C26FB7">
        <w:rPr>
          <w:rFonts w:asciiTheme="minorHAnsi" w:hAnsiTheme="minorHAnsi"/>
        </w:rPr>
        <w:t>|</w:t>
      </w:r>
      <w:r>
        <w:rPr>
          <w:rFonts w:asciiTheme="minorHAnsi" w:hAnsiTheme="minorHAnsi"/>
        </w:rPr>
        <w:t>111</w:t>
      </w:r>
      <w:r w:rsidRPr="00C26FB7">
        <w:rPr>
          <w:rFonts w:asciiTheme="minorHAnsi" w:hAnsiTheme="minorHAnsi"/>
        </w:rPr>
        <w:t>|</w:t>
      </w:r>
      <w:r>
        <w:rPr>
          <w:rFonts w:asciiTheme="minorHAnsi" w:hAnsiTheme="minorHAnsi"/>
        </w:rPr>
        <w:t>150</w:t>
      </w:r>
      <w:r w:rsidRPr="00C26FB7">
        <w:rPr>
          <w:rFonts w:asciiTheme="minorHAnsi" w:hAnsiTheme="minorHAnsi"/>
        </w:rPr>
        <w:t>|</w:t>
      </w:r>
      <w:r>
        <w:rPr>
          <w:rFonts w:asciiTheme="minorHAnsi" w:hAnsiTheme="minorHAnsi"/>
        </w:rPr>
        <w:t>101</w:t>
      </w:r>
      <w:r w:rsidRPr="00C26FB7">
        <w:rPr>
          <w:rFonts w:asciiTheme="minorHAnsi" w:hAnsiTheme="minorHAnsi"/>
        </w:rPr>
        <w:t>|</w:t>
      </w:r>
      <w:r>
        <w:rPr>
          <w:rFonts w:asciiTheme="minorHAnsi" w:hAnsiTheme="minorHAnsi"/>
        </w:rPr>
        <w:t>68</w:t>
      </w:r>
      <w:r w:rsidRPr="00C26FB7">
        <w:rPr>
          <w:rFonts w:asciiTheme="minorHAnsi" w:hAnsiTheme="minorHAnsi"/>
        </w:rPr>
        <w:t>|</w:t>
      </w:r>
      <w:r>
        <w:rPr>
          <w:rFonts w:asciiTheme="minorHAnsi" w:hAnsiTheme="minorHAnsi"/>
        </w:rPr>
        <w:t>35</w:t>
      </w:r>
      <w:r w:rsidRPr="00C26FB7">
        <w:rPr>
          <w:rFonts w:asciiTheme="minorHAnsi" w:hAnsiTheme="minorHAnsi"/>
        </w:rPr>
        <w:t>|</w:t>
      </w:r>
      <w:r>
        <w:rPr>
          <w:rFonts w:asciiTheme="minorHAnsi" w:hAnsiTheme="minorHAnsi"/>
        </w:rPr>
        <w:t>9</w:t>
      </w:r>
      <w:r w:rsidRPr="00C26FB7">
        <w:rPr>
          <w:rFonts w:asciiTheme="minorHAnsi" w:hAnsiTheme="minorHAnsi"/>
        </w:rPr>
        <w:t>|</w:t>
      </w:r>
      <w:r>
        <w:rPr>
          <w:rFonts w:asciiTheme="minorHAnsi" w:hAnsiTheme="minorHAnsi"/>
        </w:rPr>
        <w:t>1</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bookmarkEnd w:id="2994"/>
    </w:p>
    <w:p w14:paraId="3E7245D7" w14:textId="77777777" w:rsidR="009B7AED" w:rsidRPr="00C26FB7" w:rsidRDefault="009B7AED" w:rsidP="009B7AED">
      <w:pPr>
        <w:pStyle w:val="TableLandscapeTable"/>
        <w:spacing w:line="240" w:lineRule="auto"/>
        <w:contextualSpacing/>
        <w:rPr>
          <w:rFonts w:asciiTheme="minorHAnsi" w:hAnsiTheme="minorHAnsi"/>
        </w:rPr>
      </w:pPr>
      <w:r>
        <w:rPr>
          <w:rFonts w:asciiTheme="minorHAnsi" w:hAnsiTheme="minorHAnsi"/>
        </w:rPr>
        <w:t>T|48|js1234</w:t>
      </w:r>
      <w:r w:rsidRPr="00C26FB7">
        <w:rPr>
          <w:rFonts w:asciiTheme="minorHAnsi" w:hAnsiTheme="minorHAnsi"/>
        </w:rPr>
        <w:t>|3|1|2021|11|23|11|I|1|22|</w:t>
      </w:r>
      <w:r>
        <w:rPr>
          <w:rFonts w:asciiTheme="minorHAnsi" w:hAnsiTheme="minorHAnsi"/>
        </w:rPr>
        <w:t>5|637</w:t>
      </w:r>
      <w:r w:rsidRPr="00C26FB7">
        <w:rPr>
          <w:rFonts w:asciiTheme="minorHAnsi" w:hAnsiTheme="minorHAnsi"/>
        </w:rPr>
        <w:t>|0|</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8</w:t>
      </w:r>
      <w:r w:rsidRPr="00C26FB7">
        <w:rPr>
          <w:rFonts w:asciiTheme="minorHAnsi" w:hAnsiTheme="minorHAnsi"/>
        </w:rPr>
        <w:t>|</w:t>
      </w:r>
      <w:r>
        <w:rPr>
          <w:rFonts w:asciiTheme="minorHAnsi" w:hAnsiTheme="minorHAnsi"/>
        </w:rPr>
        <w:t>56</w:t>
      </w:r>
      <w:r w:rsidRPr="00C26FB7">
        <w:rPr>
          <w:rFonts w:asciiTheme="minorHAnsi" w:hAnsiTheme="minorHAnsi"/>
        </w:rPr>
        <w:t>|</w:t>
      </w:r>
      <w:r>
        <w:rPr>
          <w:rFonts w:asciiTheme="minorHAnsi" w:hAnsiTheme="minorHAnsi"/>
        </w:rPr>
        <w:t>98</w:t>
      </w:r>
      <w:r w:rsidRPr="00C26FB7">
        <w:rPr>
          <w:rFonts w:asciiTheme="minorHAnsi" w:hAnsiTheme="minorHAnsi"/>
        </w:rPr>
        <w:t>|</w:t>
      </w:r>
      <w:r>
        <w:rPr>
          <w:rFonts w:asciiTheme="minorHAnsi" w:hAnsiTheme="minorHAnsi"/>
        </w:rPr>
        <w:t>111</w:t>
      </w:r>
      <w:r w:rsidRPr="00C26FB7">
        <w:rPr>
          <w:rFonts w:asciiTheme="minorHAnsi" w:hAnsiTheme="minorHAnsi"/>
        </w:rPr>
        <w:t>|</w:t>
      </w:r>
      <w:r>
        <w:rPr>
          <w:rFonts w:asciiTheme="minorHAnsi" w:hAnsiTheme="minorHAnsi"/>
        </w:rPr>
        <w:t>150</w:t>
      </w:r>
      <w:r w:rsidRPr="00C26FB7">
        <w:rPr>
          <w:rFonts w:asciiTheme="minorHAnsi" w:hAnsiTheme="minorHAnsi"/>
        </w:rPr>
        <w:t>|</w:t>
      </w:r>
      <w:r>
        <w:rPr>
          <w:rFonts w:asciiTheme="minorHAnsi" w:hAnsiTheme="minorHAnsi"/>
        </w:rPr>
        <w:t>101</w:t>
      </w:r>
      <w:r w:rsidRPr="00C26FB7">
        <w:rPr>
          <w:rFonts w:asciiTheme="minorHAnsi" w:hAnsiTheme="minorHAnsi"/>
        </w:rPr>
        <w:t>|</w:t>
      </w:r>
      <w:r>
        <w:rPr>
          <w:rFonts w:asciiTheme="minorHAnsi" w:hAnsiTheme="minorHAnsi"/>
        </w:rPr>
        <w:t>68</w:t>
      </w:r>
      <w:r w:rsidRPr="00C26FB7">
        <w:rPr>
          <w:rFonts w:asciiTheme="minorHAnsi" w:hAnsiTheme="minorHAnsi"/>
        </w:rPr>
        <w:t>|</w:t>
      </w:r>
      <w:r>
        <w:rPr>
          <w:rFonts w:asciiTheme="minorHAnsi" w:hAnsiTheme="minorHAnsi"/>
        </w:rPr>
        <w:t>35</w:t>
      </w:r>
      <w:r w:rsidRPr="00C26FB7">
        <w:rPr>
          <w:rFonts w:asciiTheme="minorHAnsi" w:hAnsiTheme="minorHAnsi"/>
        </w:rPr>
        <w:t>|</w:t>
      </w:r>
      <w:r>
        <w:rPr>
          <w:rFonts w:asciiTheme="minorHAnsi" w:hAnsiTheme="minorHAnsi"/>
        </w:rPr>
        <w:t>9</w:t>
      </w:r>
      <w:r w:rsidRPr="00C26FB7">
        <w:rPr>
          <w:rFonts w:asciiTheme="minorHAnsi" w:hAnsiTheme="minorHAnsi"/>
        </w:rPr>
        <w:t>|</w:t>
      </w:r>
      <w:r>
        <w:rPr>
          <w:rFonts w:asciiTheme="minorHAnsi" w:hAnsiTheme="minorHAnsi"/>
        </w:rPr>
        <w:t>1</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p>
    <w:p w14:paraId="40EE23D8" w14:textId="77777777" w:rsidR="009B7AED" w:rsidRPr="00C26FB7" w:rsidRDefault="009B7AED" w:rsidP="009B7AED">
      <w:pPr>
        <w:pStyle w:val="TableLandscapeTable"/>
        <w:spacing w:line="240" w:lineRule="auto"/>
        <w:contextualSpacing/>
        <w:rPr>
          <w:rFonts w:asciiTheme="minorHAnsi" w:hAnsiTheme="minorHAnsi"/>
        </w:rPr>
      </w:pPr>
      <w:r>
        <w:rPr>
          <w:rFonts w:asciiTheme="minorHAnsi" w:hAnsiTheme="minorHAnsi"/>
        </w:rPr>
        <w:t>T|48|js1234</w:t>
      </w:r>
      <w:r w:rsidRPr="00C26FB7">
        <w:rPr>
          <w:rFonts w:asciiTheme="minorHAnsi" w:hAnsiTheme="minorHAnsi"/>
        </w:rPr>
        <w:t>|3|1|2021|11|23|11|J|1|22|</w:t>
      </w:r>
      <w:r>
        <w:rPr>
          <w:rFonts w:asciiTheme="minorHAnsi" w:hAnsiTheme="minorHAnsi"/>
        </w:rPr>
        <w:t>5|639</w:t>
      </w:r>
      <w:r w:rsidRPr="00C26FB7">
        <w:rPr>
          <w:rFonts w:asciiTheme="minorHAnsi" w:hAnsiTheme="minorHAnsi"/>
        </w:rPr>
        <w:t>|0|</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10</w:t>
      </w:r>
      <w:r w:rsidRPr="00C26FB7">
        <w:rPr>
          <w:rFonts w:asciiTheme="minorHAnsi" w:hAnsiTheme="minorHAnsi"/>
        </w:rPr>
        <w:t>|</w:t>
      </w:r>
      <w:r>
        <w:rPr>
          <w:rFonts w:asciiTheme="minorHAnsi" w:hAnsiTheme="minorHAnsi"/>
        </w:rPr>
        <w:t>56</w:t>
      </w:r>
      <w:r w:rsidRPr="00C26FB7">
        <w:rPr>
          <w:rFonts w:asciiTheme="minorHAnsi" w:hAnsiTheme="minorHAnsi"/>
        </w:rPr>
        <w:t>|</w:t>
      </w:r>
      <w:r>
        <w:rPr>
          <w:rFonts w:asciiTheme="minorHAnsi" w:hAnsiTheme="minorHAnsi"/>
        </w:rPr>
        <w:t>98</w:t>
      </w:r>
      <w:r w:rsidRPr="00C26FB7">
        <w:rPr>
          <w:rFonts w:asciiTheme="minorHAnsi" w:hAnsiTheme="minorHAnsi"/>
        </w:rPr>
        <w:t>|</w:t>
      </w:r>
      <w:r>
        <w:rPr>
          <w:rFonts w:asciiTheme="minorHAnsi" w:hAnsiTheme="minorHAnsi"/>
        </w:rPr>
        <w:t>111</w:t>
      </w:r>
      <w:r w:rsidRPr="00C26FB7">
        <w:rPr>
          <w:rFonts w:asciiTheme="minorHAnsi" w:hAnsiTheme="minorHAnsi"/>
        </w:rPr>
        <w:t>|</w:t>
      </w:r>
      <w:r>
        <w:rPr>
          <w:rFonts w:asciiTheme="minorHAnsi" w:hAnsiTheme="minorHAnsi"/>
        </w:rPr>
        <w:t>150</w:t>
      </w:r>
      <w:r w:rsidRPr="00C26FB7">
        <w:rPr>
          <w:rFonts w:asciiTheme="minorHAnsi" w:hAnsiTheme="minorHAnsi"/>
        </w:rPr>
        <w:t>|</w:t>
      </w:r>
      <w:r>
        <w:rPr>
          <w:rFonts w:asciiTheme="minorHAnsi" w:hAnsiTheme="minorHAnsi"/>
        </w:rPr>
        <w:t>101</w:t>
      </w:r>
      <w:r w:rsidRPr="00C26FB7">
        <w:rPr>
          <w:rFonts w:asciiTheme="minorHAnsi" w:hAnsiTheme="minorHAnsi"/>
        </w:rPr>
        <w:t>|</w:t>
      </w:r>
      <w:r>
        <w:rPr>
          <w:rFonts w:asciiTheme="minorHAnsi" w:hAnsiTheme="minorHAnsi"/>
        </w:rPr>
        <w:t>68</w:t>
      </w:r>
      <w:r w:rsidRPr="00C26FB7">
        <w:rPr>
          <w:rFonts w:asciiTheme="minorHAnsi" w:hAnsiTheme="minorHAnsi"/>
        </w:rPr>
        <w:t>|</w:t>
      </w:r>
      <w:r>
        <w:rPr>
          <w:rFonts w:asciiTheme="minorHAnsi" w:hAnsiTheme="minorHAnsi"/>
        </w:rPr>
        <w:t>35</w:t>
      </w:r>
      <w:r w:rsidRPr="00C26FB7">
        <w:rPr>
          <w:rFonts w:asciiTheme="minorHAnsi" w:hAnsiTheme="minorHAnsi"/>
        </w:rPr>
        <w:t>|</w:t>
      </w:r>
      <w:r>
        <w:rPr>
          <w:rFonts w:asciiTheme="minorHAnsi" w:hAnsiTheme="minorHAnsi"/>
        </w:rPr>
        <w:t>9</w:t>
      </w:r>
      <w:r w:rsidRPr="00C26FB7">
        <w:rPr>
          <w:rFonts w:asciiTheme="minorHAnsi" w:hAnsiTheme="minorHAnsi"/>
        </w:rPr>
        <w:t>|</w:t>
      </w:r>
      <w:r>
        <w:rPr>
          <w:rFonts w:asciiTheme="minorHAnsi" w:hAnsiTheme="minorHAnsi"/>
        </w:rPr>
        <w:t>1</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p>
    <w:p w14:paraId="0AE1EE0A" w14:textId="77777777" w:rsidR="009B7AED" w:rsidRPr="00C26FB7" w:rsidRDefault="009B7AED" w:rsidP="009B7AED">
      <w:pPr>
        <w:pStyle w:val="TableLandscapeTable"/>
        <w:spacing w:line="240" w:lineRule="auto"/>
        <w:contextualSpacing/>
        <w:rPr>
          <w:rFonts w:asciiTheme="minorHAnsi" w:hAnsiTheme="minorHAnsi"/>
        </w:rPr>
      </w:pPr>
      <w:r>
        <w:rPr>
          <w:rFonts w:asciiTheme="minorHAnsi" w:hAnsiTheme="minorHAnsi"/>
        </w:rPr>
        <w:t>T|48|js1234</w:t>
      </w:r>
      <w:r w:rsidRPr="00C26FB7">
        <w:rPr>
          <w:rFonts w:asciiTheme="minorHAnsi" w:hAnsiTheme="minorHAnsi"/>
        </w:rPr>
        <w:t>|3|1|2021|11|23|11|K|1|22|</w:t>
      </w:r>
      <w:r>
        <w:rPr>
          <w:rFonts w:asciiTheme="minorHAnsi" w:hAnsiTheme="minorHAnsi"/>
        </w:rPr>
        <w:t>5|641</w:t>
      </w:r>
      <w:r w:rsidRPr="00C26FB7">
        <w:rPr>
          <w:rFonts w:asciiTheme="minorHAnsi" w:hAnsiTheme="minorHAnsi"/>
        </w:rPr>
        <w:t>|0|</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1</w:t>
      </w:r>
      <w:r w:rsidRPr="00C26FB7">
        <w:rPr>
          <w:rFonts w:asciiTheme="minorHAnsi" w:hAnsiTheme="minorHAnsi"/>
        </w:rPr>
        <w:t>|</w:t>
      </w:r>
      <w:r>
        <w:rPr>
          <w:rFonts w:asciiTheme="minorHAnsi" w:hAnsiTheme="minorHAnsi"/>
        </w:rPr>
        <w:t>11</w:t>
      </w:r>
      <w:r w:rsidRPr="00C26FB7">
        <w:rPr>
          <w:rFonts w:asciiTheme="minorHAnsi" w:hAnsiTheme="minorHAnsi"/>
        </w:rPr>
        <w:t>|</w:t>
      </w:r>
      <w:r>
        <w:rPr>
          <w:rFonts w:asciiTheme="minorHAnsi" w:hAnsiTheme="minorHAnsi"/>
        </w:rPr>
        <w:t>56</w:t>
      </w:r>
      <w:r w:rsidRPr="00C26FB7">
        <w:rPr>
          <w:rFonts w:asciiTheme="minorHAnsi" w:hAnsiTheme="minorHAnsi"/>
        </w:rPr>
        <w:t>|</w:t>
      </w:r>
      <w:r>
        <w:rPr>
          <w:rFonts w:asciiTheme="minorHAnsi" w:hAnsiTheme="minorHAnsi"/>
        </w:rPr>
        <w:t>98</w:t>
      </w:r>
      <w:r w:rsidRPr="00C26FB7">
        <w:rPr>
          <w:rFonts w:asciiTheme="minorHAnsi" w:hAnsiTheme="minorHAnsi"/>
        </w:rPr>
        <w:t>|</w:t>
      </w:r>
      <w:r>
        <w:rPr>
          <w:rFonts w:asciiTheme="minorHAnsi" w:hAnsiTheme="minorHAnsi"/>
        </w:rPr>
        <w:t>111</w:t>
      </w:r>
      <w:r w:rsidRPr="00C26FB7">
        <w:rPr>
          <w:rFonts w:asciiTheme="minorHAnsi" w:hAnsiTheme="minorHAnsi"/>
        </w:rPr>
        <w:t>|</w:t>
      </w:r>
      <w:r>
        <w:rPr>
          <w:rFonts w:asciiTheme="minorHAnsi" w:hAnsiTheme="minorHAnsi"/>
        </w:rPr>
        <w:t>150</w:t>
      </w:r>
      <w:r w:rsidRPr="00C26FB7">
        <w:rPr>
          <w:rFonts w:asciiTheme="minorHAnsi" w:hAnsiTheme="minorHAnsi"/>
        </w:rPr>
        <w:t>|</w:t>
      </w:r>
      <w:r>
        <w:rPr>
          <w:rFonts w:asciiTheme="minorHAnsi" w:hAnsiTheme="minorHAnsi"/>
        </w:rPr>
        <w:t>101</w:t>
      </w:r>
      <w:r w:rsidRPr="00C26FB7">
        <w:rPr>
          <w:rFonts w:asciiTheme="minorHAnsi" w:hAnsiTheme="minorHAnsi"/>
        </w:rPr>
        <w:t>|</w:t>
      </w:r>
      <w:r>
        <w:rPr>
          <w:rFonts w:asciiTheme="minorHAnsi" w:hAnsiTheme="minorHAnsi"/>
        </w:rPr>
        <w:t>68</w:t>
      </w:r>
      <w:r w:rsidRPr="00C26FB7">
        <w:rPr>
          <w:rFonts w:asciiTheme="minorHAnsi" w:hAnsiTheme="minorHAnsi"/>
        </w:rPr>
        <w:t>|</w:t>
      </w:r>
      <w:r>
        <w:rPr>
          <w:rFonts w:asciiTheme="minorHAnsi" w:hAnsiTheme="minorHAnsi"/>
        </w:rPr>
        <w:t>35</w:t>
      </w:r>
      <w:r w:rsidRPr="00C26FB7">
        <w:rPr>
          <w:rFonts w:asciiTheme="minorHAnsi" w:hAnsiTheme="minorHAnsi"/>
        </w:rPr>
        <w:t>|</w:t>
      </w:r>
      <w:r>
        <w:rPr>
          <w:rFonts w:asciiTheme="minorHAnsi" w:hAnsiTheme="minorHAnsi"/>
        </w:rPr>
        <w:t>9</w:t>
      </w:r>
      <w:r w:rsidRPr="00C26FB7">
        <w:rPr>
          <w:rFonts w:asciiTheme="minorHAnsi" w:hAnsiTheme="minorHAnsi"/>
        </w:rPr>
        <w:t>|</w:t>
      </w:r>
      <w:r>
        <w:rPr>
          <w:rFonts w:asciiTheme="minorHAnsi" w:hAnsiTheme="minorHAnsi"/>
        </w:rPr>
        <w:t>1</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p>
    <w:p w14:paraId="18759D93" w14:textId="77777777" w:rsidR="009B7AED" w:rsidRDefault="009B7AED" w:rsidP="009B7AED">
      <w:pPr>
        <w:pStyle w:val="TableLandscapeTable"/>
        <w:spacing w:line="240" w:lineRule="auto"/>
        <w:contextualSpacing/>
        <w:rPr>
          <w:rFonts w:asciiTheme="minorHAnsi" w:hAnsiTheme="minorHAnsi"/>
        </w:rPr>
      </w:pPr>
      <w:r>
        <w:rPr>
          <w:rFonts w:asciiTheme="minorHAnsi" w:hAnsiTheme="minorHAnsi"/>
        </w:rPr>
        <w:t>T|48|js1234</w:t>
      </w:r>
      <w:r w:rsidRPr="00C26FB7">
        <w:rPr>
          <w:rFonts w:asciiTheme="minorHAnsi" w:hAnsiTheme="minorHAnsi"/>
        </w:rPr>
        <w:t>|3|1|2021|11|23|11|L|1|22|</w:t>
      </w:r>
      <w:r>
        <w:rPr>
          <w:rFonts w:asciiTheme="minorHAnsi" w:hAnsiTheme="minorHAnsi"/>
        </w:rPr>
        <w:t>5|645</w:t>
      </w:r>
      <w:r w:rsidRPr="00C26FB7">
        <w:rPr>
          <w:rFonts w:asciiTheme="minorHAnsi" w:hAnsiTheme="minorHAnsi"/>
        </w:rPr>
        <w:t>|0|</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3</w:t>
      </w:r>
      <w:r w:rsidRPr="00C26FB7">
        <w:rPr>
          <w:rFonts w:asciiTheme="minorHAnsi" w:hAnsiTheme="minorHAnsi"/>
        </w:rPr>
        <w:t>|</w:t>
      </w:r>
      <w:r>
        <w:rPr>
          <w:rFonts w:asciiTheme="minorHAnsi" w:hAnsiTheme="minorHAnsi"/>
        </w:rPr>
        <w:t>13</w:t>
      </w:r>
      <w:r w:rsidRPr="00C26FB7">
        <w:rPr>
          <w:rFonts w:asciiTheme="minorHAnsi" w:hAnsiTheme="minorHAnsi"/>
        </w:rPr>
        <w:t>|</w:t>
      </w:r>
      <w:r>
        <w:rPr>
          <w:rFonts w:asciiTheme="minorHAnsi" w:hAnsiTheme="minorHAnsi"/>
        </w:rPr>
        <w:t>56</w:t>
      </w:r>
      <w:r w:rsidRPr="00C26FB7">
        <w:rPr>
          <w:rFonts w:asciiTheme="minorHAnsi" w:hAnsiTheme="minorHAnsi"/>
        </w:rPr>
        <w:t>|</w:t>
      </w:r>
      <w:r>
        <w:rPr>
          <w:rFonts w:asciiTheme="minorHAnsi" w:hAnsiTheme="minorHAnsi"/>
        </w:rPr>
        <w:t>98</w:t>
      </w:r>
      <w:r w:rsidRPr="00C26FB7">
        <w:rPr>
          <w:rFonts w:asciiTheme="minorHAnsi" w:hAnsiTheme="minorHAnsi"/>
        </w:rPr>
        <w:t>|</w:t>
      </w:r>
      <w:r>
        <w:rPr>
          <w:rFonts w:asciiTheme="minorHAnsi" w:hAnsiTheme="minorHAnsi"/>
        </w:rPr>
        <w:t>111</w:t>
      </w:r>
      <w:r w:rsidRPr="00C26FB7">
        <w:rPr>
          <w:rFonts w:asciiTheme="minorHAnsi" w:hAnsiTheme="minorHAnsi"/>
        </w:rPr>
        <w:t>|</w:t>
      </w:r>
      <w:r>
        <w:rPr>
          <w:rFonts w:asciiTheme="minorHAnsi" w:hAnsiTheme="minorHAnsi"/>
        </w:rPr>
        <w:t>150</w:t>
      </w:r>
      <w:r w:rsidRPr="00C26FB7">
        <w:rPr>
          <w:rFonts w:asciiTheme="minorHAnsi" w:hAnsiTheme="minorHAnsi"/>
        </w:rPr>
        <w:t>|</w:t>
      </w:r>
      <w:r>
        <w:rPr>
          <w:rFonts w:asciiTheme="minorHAnsi" w:hAnsiTheme="minorHAnsi"/>
        </w:rPr>
        <w:t>101</w:t>
      </w:r>
      <w:r w:rsidRPr="00C26FB7">
        <w:rPr>
          <w:rFonts w:asciiTheme="minorHAnsi" w:hAnsiTheme="minorHAnsi"/>
        </w:rPr>
        <w:t>|</w:t>
      </w:r>
      <w:r>
        <w:rPr>
          <w:rFonts w:asciiTheme="minorHAnsi" w:hAnsiTheme="minorHAnsi"/>
        </w:rPr>
        <w:t>68</w:t>
      </w:r>
      <w:r w:rsidRPr="00C26FB7">
        <w:rPr>
          <w:rFonts w:asciiTheme="minorHAnsi" w:hAnsiTheme="minorHAnsi"/>
        </w:rPr>
        <w:t>|</w:t>
      </w:r>
      <w:r>
        <w:rPr>
          <w:rFonts w:asciiTheme="minorHAnsi" w:hAnsiTheme="minorHAnsi"/>
        </w:rPr>
        <w:t>35</w:t>
      </w:r>
      <w:r w:rsidRPr="00C26FB7">
        <w:rPr>
          <w:rFonts w:asciiTheme="minorHAnsi" w:hAnsiTheme="minorHAnsi"/>
        </w:rPr>
        <w:t>|</w:t>
      </w:r>
      <w:r>
        <w:rPr>
          <w:rFonts w:asciiTheme="minorHAnsi" w:hAnsiTheme="minorHAnsi"/>
        </w:rPr>
        <w:t>9</w:t>
      </w:r>
      <w:r w:rsidRPr="00C26FB7">
        <w:rPr>
          <w:rFonts w:asciiTheme="minorHAnsi" w:hAnsiTheme="minorHAnsi"/>
        </w:rPr>
        <w:t>|</w:t>
      </w:r>
      <w:r>
        <w:rPr>
          <w:rFonts w:asciiTheme="minorHAnsi" w:hAnsiTheme="minorHAnsi"/>
        </w:rPr>
        <w:t>1</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p>
    <w:p w14:paraId="732ABCC2" w14:textId="77777777" w:rsidR="009B7AED" w:rsidRPr="00C26FB7" w:rsidRDefault="009B7AED" w:rsidP="009B7AED">
      <w:pPr>
        <w:pStyle w:val="TableLandscapeTable"/>
        <w:spacing w:line="240" w:lineRule="auto"/>
        <w:contextualSpacing/>
        <w:rPr>
          <w:rFonts w:asciiTheme="minorHAnsi" w:hAnsiTheme="minorHAnsi"/>
        </w:rPr>
      </w:pPr>
      <w:r>
        <w:rPr>
          <w:rFonts w:asciiTheme="minorHAnsi" w:hAnsiTheme="minorHAnsi"/>
        </w:rPr>
        <w:t>T|48|js1234</w:t>
      </w:r>
      <w:r w:rsidRPr="00C26FB7">
        <w:rPr>
          <w:rFonts w:asciiTheme="minorHAnsi" w:hAnsiTheme="minorHAnsi"/>
        </w:rPr>
        <w:t>|</w:t>
      </w:r>
      <w:bookmarkStart w:id="2995" w:name="_Hlk46396389"/>
      <w:r>
        <w:rPr>
          <w:rFonts w:asciiTheme="minorHAnsi" w:hAnsiTheme="minorHAnsi"/>
        </w:rPr>
        <w:t>7</w:t>
      </w:r>
      <w:r w:rsidRPr="00C26FB7">
        <w:rPr>
          <w:rFonts w:asciiTheme="minorHAnsi" w:hAnsiTheme="minorHAnsi"/>
        </w:rPr>
        <w:t>|</w:t>
      </w:r>
      <w:r>
        <w:rPr>
          <w:rFonts w:asciiTheme="minorHAnsi" w:hAnsiTheme="minorHAnsi"/>
        </w:rPr>
        <w:t>1</w:t>
      </w:r>
      <w:bookmarkEnd w:id="2995"/>
      <w:r w:rsidRPr="00C26FB7">
        <w:rPr>
          <w:rFonts w:asciiTheme="minorHAnsi" w:hAnsiTheme="minorHAnsi"/>
        </w:rPr>
        <w:t>|2021|11|23|11|A|1|22|</w:t>
      </w:r>
      <w:r>
        <w:rPr>
          <w:rFonts w:asciiTheme="minorHAnsi" w:hAnsiTheme="minorHAnsi"/>
        </w:rPr>
        <w:t>5|630</w:t>
      </w:r>
      <w:r w:rsidRPr="00C26FB7">
        <w:rPr>
          <w:rFonts w:asciiTheme="minorHAnsi" w:hAnsiTheme="minorHAnsi"/>
        </w:rPr>
        <w:t>|0|</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1</w:t>
      </w:r>
      <w:r w:rsidRPr="00C26FB7">
        <w:rPr>
          <w:rFonts w:asciiTheme="minorHAnsi" w:hAnsiTheme="minorHAnsi"/>
        </w:rPr>
        <w:t>|</w:t>
      </w:r>
      <w:r>
        <w:rPr>
          <w:rFonts w:asciiTheme="minorHAnsi" w:hAnsiTheme="minorHAnsi"/>
        </w:rPr>
        <w:t>7</w:t>
      </w:r>
      <w:r w:rsidRPr="00C26FB7">
        <w:rPr>
          <w:rFonts w:asciiTheme="minorHAnsi" w:hAnsiTheme="minorHAnsi"/>
        </w:rPr>
        <w:t>|</w:t>
      </w:r>
      <w:r>
        <w:rPr>
          <w:rFonts w:asciiTheme="minorHAnsi" w:hAnsiTheme="minorHAnsi"/>
        </w:rPr>
        <w:t>52</w:t>
      </w:r>
      <w:r w:rsidRPr="00C26FB7">
        <w:rPr>
          <w:rFonts w:asciiTheme="minorHAnsi" w:hAnsiTheme="minorHAnsi"/>
        </w:rPr>
        <w:t>|</w:t>
      </w:r>
      <w:r>
        <w:rPr>
          <w:rFonts w:asciiTheme="minorHAnsi" w:hAnsiTheme="minorHAnsi"/>
        </w:rPr>
        <w:t>97</w:t>
      </w:r>
      <w:r w:rsidRPr="00C26FB7">
        <w:rPr>
          <w:rFonts w:asciiTheme="minorHAnsi" w:hAnsiTheme="minorHAnsi"/>
        </w:rPr>
        <w:t>|</w:t>
      </w:r>
      <w:r>
        <w:rPr>
          <w:rFonts w:asciiTheme="minorHAnsi" w:hAnsiTheme="minorHAnsi"/>
        </w:rPr>
        <w:t>111</w:t>
      </w:r>
      <w:r w:rsidRPr="00C26FB7">
        <w:rPr>
          <w:rFonts w:asciiTheme="minorHAnsi" w:hAnsiTheme="minorHAnsi"/>
        </w:rPr>
        <w:t>|</w:t>
      </w:r>
      <w:r>
        <w:rPr>
          <w:rFonts w:asciiTheme="minorHAnsi" w:hAnsiTheme="minorHAnsi"/>
        </w:rPr>
        <w:t>149</w:t>
      </w:r>
      <w:r w:rsidRPr="00C26FB7">
        <w:rPr>
          <w:rFonts w:asciiTheme="minorHAnsi" w:hAnsiTheme="minorHAnsi"/>
        </w:rPr>
        <w:t>|</w:t>
      </w:r>
      <w:r>
        <w:rPr>
          <w:rFonts w:asciiTheme="minorHAnsi" w:hAnsiTheme="minorHAnsi"/>
        </w:rPr>
        <w:t>98</w:t>
      </w:r>
      <w:r w:rsidRPr="00C26FB7">
        <w:rPr>
          <w:rFonts w:asciiTheme="minorHAnsi" w:hAnsiTheme="minorHAnsi"/>
        </w:rPr>
        <w:t>|</w:t>
      </w:r>
      <w:r>
        <w:rPr>
          <w:rFonts w:asciiTheme="minorHAnsi" w:hAnsiTheme="minorHAnsi"/>
        </w:rPr>
        <w:t>67</w:t>
      </w:r>
      <w:r w:rsidRPr="00C26FB7">
        <w:rPr>
          <w:rFonts w:asciiTheme="minorHAnsi" w:hAnsiTheme="minorHAnsi"/>
        </w:rPr>
        <w:t>|</w:t>
      </w:r>
      <w:r>
        <w:rPr>
          <w:rFonts w:asciiTheme="minorHAnsi" w:hAnsiTheme="minorHAnsi"/>
        </w:rPr>
        <w:t>34</w:t>
      </w:r>
      <w:r w:rsidRPr="00C26FB7">
        <w:rPr>
          <w:rFonts w:asciiTheme="minorHAnsi" w:hAnsiTheme="minorHAnsi"/>
        </w:rPr>
        <w:t>|</w:t>
      </w:r>
      <w:r>
        <w:rPr>
          <w:rFonts w:asciiTheme="minorHAnsi" w:hAnsiTheme="minorHAnsi"/>
        </w:rPr>
        <w:t>12</w:t>
      </w:r>
      <w:r w:rsidRPr="00C26FB7">
        <w:rPr>
          <w:rFonts w:asciiTheme="minorHAnsi" w:hAnsiTheme="minorHAnsi"/>
        </w:rPr>
        <w:t>|</w:t>
      </w:r>
      <w:r>
        <w:rPr>
          <w:rFonts w:asciiTheme="minorHAnsi" w:hAnsiTheme="minorHAnsi"/>
        </w:rPr>
        <w:t>2</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p>
    <w:p w14:paraId="49984CB2" w14:textId="77777777" w:rsidR="009B7AED" w:rsidRPr="00C26FB7" w:rsidRDefault="009B7AED" w:rsidP="009B7AED">
      <w:pPr>
        <w:pStyle w:val="TableLandscapeTable"/>
        <w:spacing w:line="240" w:lineRule="auto"/>
        <w:contextualSpacing/>
        <w:rPr>
          <w:rFonts w:asciiTheme="minorHAnsi" w:hAnsiTheme="minorHAnsi"/>
        </w:rPr>
      </w:pPr>
      <w:r>
        <w:rPr>
          <w:rFonts w:asciiTheme="minorHAnsi" w:hAnsiTheme="minorHAnsi"/>
        </w:rPr>
        <w:t>T|48|js1234</w:t>
      </w:r>
      <w:r w:rsidRPr="00C26FB7">
        <w:rPr>
          <w:rFonts w:asciiTheme="minorHAnsi" w:hAnsiTheme="minorHAnsi"/>
        </w:rPr>
        <w:t>|</w:t>
      </w:r>
      <w:r>
        <w:rPr>
          <w:rFonts w:asciiTheme="minorHAnsi" w:hAnsiTheme="minorHAnsi"/>
        </w:rPr>
        <w:t>7</w:t>
      </w:r>
      <w:r w:rsidRPr="00C26FB7">
        <w:rPr>
          <w:rFonts w:asciiTheme="minorHAnsi" w:hAnsiTheme="minorHAnsi"/>
        </w:rPr>
        <w:t>|</w:t>
      </w:r>
      <w:r>
        <w:rPr>
          <w:rFonts w:asciiTheme="minorHAnsi" w:hAnsiTheme="minorHAnsi"/>
        </w:rPr>
        <w:t>1</w:t>
      </w:r>
      <w:r w:rsidRPr="00C26FB7">
        <w:rPr>
          <w:rFonts w:asciiTheme="minorHAnsi" w:hAnsiTheme="minorHAnsi"/>
        </w:rPr>
        <w:t>|2021|11|23|11|B|1|22|</w:t>
      </w:r>
      <w:r>
        <w:rPr>
          <w:rFonts w:asciiTheme="minorHAnsi" w:hAnsiTheme="minorHAnsi"/>
        </w:rPr>
        <w:t>5|631</w:t>
      </w:r>
      <w:r w:rsidRPr="00C26FB7">
        <w:rPr>
          <w:rFonts w:asciiTheme="minorHAnsi" w:hAnsiTheme="minorHAnsi"/>
        </w:rPr>
        <w:t>|0|</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1</w:t>
      </w:r>
      <w:r w:rsidRPr="00C26FB7">
        <w:rPr>
          <w:rFonts w:asciiTheme="minorHAnsi" w:hAnsiTheme="minorHAnsi"/>
        </w:rPr>
        <w:t>|</w:t>
      </w:r>
      <w:r>
        <w:rPr>
          <w:rFonts w:asciiTheme="minorHAnsi" w:hAnsiTheme="minorHAnsi"/>
        </w:rPr>
        <w:t>8</w:t>
      </w:r>
      <w:r w:rsidRPr="00C26FB7">
        <w:rPr>
          <w:rFonts w:asciiTheme="minorHAnsi" w:hAnsiTheme="minorHAnsi"/>
        </w:rPr>
        <w:t>|</w:t>
      </w:r>
      <w:r>
        <w:rPr>
          <w:rFonts w:asciiTheme="minorHAnsi" w:hAnsiTheme="minorHAnsi"/>
        </w:rPr>
        <w:t>52</w:t>
      </w:r>
      <w:r w:rsidRPr="00C26FB7">
        <w:rPr>
          <w:rFonts w:asciiTheme="minorHAnsi" w:hAnsiTheme="minorHAnsi"/>
        </w:rPr>
        <w:t>|</w:t>
      </w:r>
      <w:r>
        <w:rPr>
          <w:rFonts w:asciiTheme="minorHAnsi" w:hAnsiTheme="minorHAnsi"/>
        </w:rPr>
        <w:t>97</w:t>
      </w:r>
      <w:r w:rsidRPr="00C26FB7">
        <w:rPr>
          <w:rFonts w:asciiTheme="minorHAnsi" w:hAnsiTheme="minorHAnsi"/>
        </w:rPr>
        <w:t>|</w:t>
      </w:r>
      <w:r>
        <w:rPr>
          <w:rFonts w:asciiTheme="minorHAnsi" w:hAnsiTheme="minorHAnsi"/>
        </w:rPr>
        <w:t>111</w:t>
      </w:r>
      <w:r w:rsidRPr="00C26FB7">
        <w:rPr>
          <w:rFonts w:asciiTheme="minorHAnsi" w:hAnsiTheme="minorHAnsi"/>
        </w:rPr>
        <w:t>|</w:t>
      </w:r>
      <w:r>
        <w:rPr>
          <w:rFonts w:asciiTheme="minorHAnsi" w:hAnsiTheme="minorHAnsi"/>
        </w:rPr>
        <w:t>149</w:t>
      </w:r>
      <w:r w:rsidRPr="00C26FB7">
        <w:rPr>
          <w:rFonts w:asciiTheme="minorHAnsi" w:hAnsiTheme="minorHAnsi"/>
        </w:rPr>
        <w:t>|</w:t>
      </w:r>
      <w:r>
        <w:rPr>
          <w:rFonts w:asciiTheme="minorHAnsi" w:hAnsiTheme="minorHAnsi"/>
        </w:rPr>
        <w:t>98</w:t>
      </w:r>
      <w:r w:rsidRPr="00C26FB7">
        <w:rPr>
          <w:rFonts w:asciiTheme="minorHAnsi" w:hAnsiTheme="minorHAnsi"/>
        </w:rPr>
        <w:t>|</w:t>
      </w:r>
      <w:r>
        <w:rPr>
          <w:rFonts w:asciiTheme="minorHAnsi" w:hAnsiTheme="minorHAnsi"/>
        </w:rPr>
        <w:t>67</w:t>
      </w:r>
      <w:r w:rsidRPr="00C26FB7">
        <w:rPr>
          <w:rFonts w:asciiTheme="minorHAnsi" w:hAnsiTheme="minorHAnsi"/>
        </w:rPr>
        <w:t>|</w:t>
      </w:r>
      <w:r>
        <w:rPr>
          <w:rFonts w:asciiTheme="minorHAnsi" w:hAnsiTheme="minorHAnsi"/>
        </w:rPr>
        <w:t>34</w:t>
      </w:r>
      <w:r w:rsidRPr="00C26FB7">
        <w:rPr>
          <w:rFonts w:asciiTheme="minorHAnsi" w:hAnsiTheme="minorHAnsi"/>
        </w:rPr>
        <w:t>|</w:t>
      </w:r>
      <w:r>
        <w:rPr>
          <w:rFonts w:asciiTheme="minorHAnsi" w:hAnsiTheme="minorHAnsi"/>
        </w:rPr>
        <w:t>12</w:t>
      </w:r>
      <w:r w:rsidRPr="00C26FB7">
        <w:rPr>
          <w:rFonts w:asciiTheme="minorHAnsi" w:hAnsiTheme="minorHAnsi"/>
        </w:rPr>
        <w:t>|</w:t>
      </w:r>
      <w:r>
        <w:rPr>
          <w:rFonts w:asciiTheme="minorHAnsi" w:hAnsiTheme="minorHAnsi"/>
        </w:rPr>
        <w:t>2</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p>
    <w:p w14:paraId="72C329FE" w14:textId="77777777" w:rsidR="009B7AED" w:rsidRPr="00C26FB7" w:rsidRDefault="009B7AED" w:rsidP="009B7AED">
      <w:pPr>
        <w:pStyle w:val="TableLandscapeTable"/>
        <w:spacing w:line="240" w:lineRule="auto"/>
        <w:contextualSpacing/>
        <w:rPr>
          <w:rFonts w:asciiTheme="minorHAnsi" w:hAnsiTheme="minorHAnsi"/>
        </w:rPr>
      </w:pPr>
      <w:r>
        <w:rPr>
          <w:rFonts w:asciiTheme="minorHAnsi" w:hAnsiTheme="minorHAnsi"/>
        </w:rPr>
        <w:t>T|48|js1234</w:t>
      </w:r>
      <w:r w:rsidRPr="00C26FB7">
        <w:rPr>
          <w:rFonts w:asciiTheme="minorHAnsi" w:hAnsiTheme="minorHAnsi"/>
        </w:rPr>
        <w:t>|</w:t>
      </w:r>
      <w:r>
        <w:rPr>
          <w:rFonts w:asciiTheme="minorHAnsi" w:hAnsiTheme="minorHAnsi"/>
        </w:rPr>
        <w:t>7</w:t>
      </w:r>
      <w:r w:rsidRPr="00C26FB7">
        <w:rPr>
          <w:rFonts w:asciiTheme="minorHAnsi" w:hAnsiTheme="minorHAnsi"/>
        </w:rPr>
        <w:t>|</w:t>
      </w:r>
      <w:r>
        <w:rPr>
          <w:rFonts w:asciiTheme="minorHAnsi" w:hAnsiTheme="minorHAnsi"/>
        </w:rPr>
        <w:t>1</w:t>
      </w:r>
      <w:r w:rsidRPr="00C26FB7">
        <w:rPr>
          <w:rFonts w:asciiTheme="minorHAnsi" w:hAnsiTheme="minorHAnsi"/>
        </w:rPr>
        <w:t>|2021|11|23|11|C|1|22|</w:t>
      </w:r>
      <w:r>
        <w:rPr>
          <w:rFonts w:asciiTheme="minorHAnsi" w:hAnsiTheme="minorHAnsi"/>
        </w:rPr>
        <w:t>5|632</w:t>
      </w:r>
      <w:r w:rsidRPr="00C26FB7">
        <w:rPr>
          <w:rFonts w:asciiTheme="minorHAnsi" w:hAnsiTheme="minorHAnsi"/>
        </w:rPr>
        <w:t>|0|</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1</w:t>
      </w:r>
      <w:r w:rsidRPr="00C26FB7">
        <w:rPr>
          <w:rFonts w:asciiTheme="minorHAnsi" w:hAnsiTheme="minorHAnsi"/>
        </w:rPr>
        <w:t>|</w:t>
      </w:r>
      <w:r>
        <w:rPr>
          <w:rFonts w:asciiTheme="minorHAnsi" w:hAnsiTheme="minorHAnsi"/>
        </w:rPr>
        <w:t>8</w:t>
      </w:r>
      <w:r w:rsidRPr="00C26FB7">
        <w:rPr>
          <w:rFonts w:asciiTheme="minorHAnsi" w:hAnsiTheme="minorHAnsi"/>
        </w:rPr>
        <w:t>|</w:t>
      </w:r>
      <w:r>
        <w:rPr>
          <w:rFonts w:asciiTheme="minorHAnsi" w:hAnsiTheme="minorHAnsi"/>
        </w:rPr>
        <w:t>53</w:t>
      </w:r>
      <w:r w:rsidRPr="00C26FB7">
        <w:rPr>
          <w:rFonts w:asciiTheme="minorHAnsi" w:hAnsiTheme="minorHAnsi"/>
        </w:rPr>
        <w:t>|</w:t>
      </w:r>
      <w:r>
        <w:rPr>
          <w:rFonts w:asciiTheme="minorHAnsi" w:hAnsiTheme="minorHAnsi"/>
        </w:rPr>
        <w:t>97</w:t>
      </w:r>
      <w:r w:rsidRPr="00C26FB7">
        <w:rPr>
          <w:rFonts w:asciiTheme="minorHAnsi" w:hAnsiTheme="minorHAnsi"/>
        </w:rPr>
        <w:t>|</w:t>
      </w:r>
      <w:r>
        <w:rPr>
          <w:rFonts w:asciiTheme="minorHAnsi" w:hAnsiTheme="minorHAnsi"/>
        </w:rPr>
        <w:t>111</w:t>
      </w:r>
      <w:r w:rsidRPr="00C26FB7">
        <w:rPr>
          <w:rFonts w:asciiTheme="minorHAnsi" w:hAnsiTheme="minorHAnsi"/>
        </w:rPr>
        <w:t>|</w:t>
      </w:r>
      <w:r>
        <w:rPr>
          <w:rFonts w:asciiTheme="minorHAnsi" w:hAnsiTheme="minorHAnsi"/>
        </w:rPr>
        <w:t>149</w:t>
      </w:r>
      <w:r w:rsidRPr="00C26FB7">
        <w:rPr>
          <w:rFonts w:asciiTheme="minorHAnsi" w:hAnsiTheme="minorHAnsi"/>
        </w:rPr>
        <w:t>|</w:t>
      </w:r>
      <w:r>
        <w:rPr>
          <w:rFonts w:asciiTheme="minorHAnsi" w:hAnsiTheme="minorHAnsi"/>
        </w:rPr>
        <w:t>98</w:t>
      </w:r>
      <w:r w:rsidRPr="00C26FB7">
        <w:rPr>
          <w:rFonts w:asciiTheme="minorHAnsi" w:hAnsiTheme="minorHAnsi"/>
        </w:rPr>
        <w:t>|</w:t>
      </w:r>
      <w:r>
        <w:rPr>
          <w:rFonts w:asciiTheme="minorHAnsi" w:hAnsiTheme="minorHAnsi"/>
        </w:rPr>
        <w:t>67</w:t>
      </w:r>
      <w:r w:rsidRPr="00C26FB7">
        <w:rPr>
          <w:rFonts w:asciiTheme="minorHAnsi" w:hAnsiTheme="minorHAnsi"/>
        </w:rPr>
        <w:t>|</w:t>
      </w:r>
      <w:r>
        <w:rPr>
          <w:rFonts w:asciiTheme="minorHAnsi" w:hAnsiTheme="minorHAnsi"/>
        </w:rPr>
        <w:t>34</w:t>
      </w:r>
      <w:r w:rsidRPr="00C26FB7">
        <w:rPr>
          <w:rFonts w:asciiTheme="minorHAnsi" w:hAnsiTheme="minorHAnsi"/>
        </w:rPr>
        <w:t>|</w:t>
      </w:r>
      <w:r>
        <w:rPr>
          <w:rFonts w:asciiTheme="minorHAnsi" w:hAnsiTheme="minorHAnsi"/>
        </w:rPr>
        <w:t>12</w:t>
      </w:r>
      <w:r w:rsidRPr="00C26FB7">
        <w:rPr>
          <w:rFonts w:asciiTheme="minorHAnsi" w:hAnsiTheme="minorHAnsi"/>
        </w:rPr>
        <w:t>|</w:t>
      </w:r>
      <w:r>
        <w:rPr>
          <w:rFonts w:asciiTheme="minorHAnsi" w:hAnsiTheme="minorHAnsi"/>
        </w:rPr>
        <w:t>2</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p>
    <w:p w14:paraId="442EF39A" w14:textId="77777777" w:rsidR="009B7AED" w:rsidRPr="00C26FB7" w:rsidRDefault="009B7AED" w:rsidP="009B7AED">
      <w:pPr>
        <w:pStyle w:val="TableLandscapeTable"/>
        <w:spacing w:line="240" w:lineRule="auto"/>
        <w:contextualSpacing/>
        <w:rPr>
          <w:rFonts w:asciiTheme="minorHAnsi" w:hAnsiTheme="minorHAnsi"/>
        </w:rPr>
      </w:pPr>
      <w:r>
        <w:rPr>
          <w:rFonts w:asciiTheme="minorHAnsi" w:hAnsiTheme="minorHAnsi"/>
        </w:rPr>
        <w:t>T|48|js1234</w:t>
      </w:r>
      <w:r w:rsidRPr="00C26FB7">
        <w:rPr>
          <w:rFonts w:asciiTheme="minorHAnsi" w:hAnsiTheme="minorHAnsi"/>
        </w:rPr>
        <w:t>|</w:t>
      </w:r>
      <w:r>
        <w:rPr>
          <w:rFonts w:asciiTheme="minorHAnsi" w:hAnsiTheme="minorHAnsi"/>
        </w:rPr>
        <w:t>7</w:t>
      </w:r>
      <w:r w:rsidRPr="00C26FB7">
        <w:rPr>
          <w:rFonts w:asciiTheme="minorHAnsi" w:hAnsiTheme="minorHAnsi"/>
        </w:rPr>
        <w:t>|</w:t>
      </w:r>
      <w:r>
        <w:rPr>
          <w:rFonts w:asciiTheme="minorHAnsi" w:hAnsiTheme="minorHAnsi"/>
        </w:rPr>
        <w:t>1</w:t>
      </w:r>
      <w:r w:rsidRPr="00C26FB7">
        <w:rPr>
          <w:rFonts w:asciiTheme="minorHAnsi" w:hAnsiTheme="minorHAnsi"/>
        </w:rPr>
        <w:t>|2021|11|23|11|D|1|22|</w:t>
      </w:r>
      <w:r>
        <w:rPr>
          <w:rFonts w:asciiTheme="minorHAnsi" w:hAnsiTheme="minorHAnsi"/>
        </w:rPr>
        <w:t>5|634</w:t>
      </w:r>
      <w:r w:rsidRPr="00C26FB7">
        <w:rPr>
          <w:rFonts w:asciiTheme="minorHAnsi" w:hAnsiTheme="minorHAnsi"/>
        </w:rPr>
        <w:t>|0|</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1</w:t>
      </w:r>
      <w:r w:rsidRPr="00C26FB7">
        <w:rPr>
          <w:rFonts w:asciiTheme="minorHAnsi" w:hAnsiTheme="minorHAnsi"/>
        </w:rPr>
        <w:t>|</w:t>
      </w:r>
      <w:r>
        <w:rPr>
          <w:rFonts w:asciiTheme="minorHAnsi" w:hAnsiTheme="minorHAnsi"/>
        </w:rPr>
        <w:t>9</w:t>
      </w:r>
      <w:r w:rsidRPr="00C26FB7">
        <w:rPr>
          <w:rFonts w:asciiTheme="minorHAnsi" w:hAnsiTheme="minorHAnsi"/>
        </w:rPr>
        <w:t>|</w:t>
      </w:r>
      <w:r>
        <w:rPr>
          <w:rFonts w:asciiTheme="minorHAnsi" w:hAnsiTheme="minorHAnsi"/>
        </w:rPr>
        <w:t>53</w:t>
      </w:r>
      <w:r w:rsidRPr="00C26FB7">
        <w:rPr>
          <w:rFonts w:asciiTheme="minorHAnsi" w:hAnsiTheme="minorHAnsi"/>
        </w:rPr>
        <w:t>|</w:t>
      </w:r>
      <w:r>
        <w:rPr>
          <w:rFonts w:asciiTheme="minorHAnsi" w:hAnsiTheme="minorHAnsi"/>
        </w:rPr>
        <w:t>97</w:t>
      </w:r>
      <w:r w:rsidRPr="00C26FB7">
        <w:rPr>
          <w:rFonts w:asciiTheme="minorHAnsi" w:hAnsiTheme="minorHAnsi"/>
        </w:rPr>
        <w:t>|</w:t>
      </w:r>
      <w:r>
        <w:rPr>
          <w:rFonts w:asciiTheme="minorHAnsi" w:hAnsiTheme="minorHAnsi"/>
        </w:rPr>
        <w:t>112</w:t>
      </w:r>
      <w:r w:rsidRPr="00C26FB7">
        <w:rPr>
          <w:rFonts w:asciiTheme="minorHAnsi" w:hAnsiTheme="minorHAnsi"/>
        </w:rPr>
        <w:t>|</w:t>
      </w:r>
      <w:r>
        <w:rPr>
          <w:rFonts w:asciiTheme="minorHAnsi" w:hAnsiTheme="minorHAnsi"/>
        </w:rPr>
        <w:t>149</w:t>
      </w:r>
      <w:r w:rsidRPr="00C26FB7">
        <w:rPr>
          <w:rFonts w:asciiTheme="minorHAnsi" w:hAnsiTheme="minorHAnsi"/>
        </w:rPr>
        <w:t>|</w:t>
      </w:r>
      <w:r>
        <w:rPr>
          <w:rFonts w:asciiTheme="minorHAnsi" w:hAnsiTheme="minorHAnsi"/>
        </w:rPr>
        <w:t>98</w:t>
      </w:r>
      <w:r w:rsidRPr="00C26FB7">
        <w:rPr>
          <w:rFonts w:asciiTheme="minorHAnsi" w:hAnsiTheme="minorHAnsi"/>
        </w:rPr>
        <w:t>|</w:t>
      </w:r>
      <w:r>
        <w:rPr>
          <w:rFonts w:asciiTheme="minorHAnsi" w:hAnsiTheme="minorHAnsi"/>
        </w:rPr>
        <w:t>67</w:t>
      </w:r>
      <w:r w:rsidRPr="00C26FB7">
        <w:rPr>
          <w:rFonts w:asciiTheme="minorHAnsi" w:hAnsiTheme="minorHAnsi"/>
        </w:rPr>
        <w:t>|</w:t>
      </w:r>
      <w:r>
        <w:rPr>
          <w:rFonts w:asciiTheme="minorHAnsi" w:hAnsiTheme="minorHAnsi"/>
        </w:rPr>
        <w:t>34</w:t>
      </w:r>
      <w:r w:rsidRPr="00C26FB7">
        <w:rPr>
          <w:rFonts w:asciiTheme="minorHAnsi" w:hAnsiTheme="minorHAnsi"/>
        </w:rPr>
        <w:t>|</w:t>
      </w:r>
      <w:r>
        <w:rPr>
          <w:rFonts w:asciiTheme="minorHAnsi" w:hAnsiTheme="minorHAnsi"/>
        </w:rPr>
        <w:t>12</w:t>
      </w:r>
      <w:r w:rsidRPr="00C26FB7">
        <w:rPr>
          <w:rFonts w:asciiTheme="minorHAnsi" w:hAnsiTheme="minorHAnsi"/>
        </w:rPr>
        <w:t>|</w:t>
      </w:r>
      <w:r>
        <w:rPr>
          <w:rFonts w:asciiTheme="minorHAnsi" w:hAnsiTheme="minorHAnsi"/>
        </w:rPr>
        <w:t>2</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p>
    <w:p w14:paraId="58443E60" w14:textId="77777777" w:rsidR="009B7AED" w:rsidRPr="00C26FB7" w:rsidRDefault="009B7AED" w:rsidP="009B7AED">
      <w:pPr>
        <w:pStyle w:val="TableLandscapeTable"/>
        <w:spacing w:line="240" w:lineRule="auto"/>
        <w:contextualSpacing/>
        <w:rPr>
          <w:rFonts w:asciiTheme="minorHAnsi" w:hAnsiTheme="minorHAnsi"/>
        </w:rPr>
      </w:pPr>
      <w:r>
        <w:rPr>
          <w:rFonts w:asciiTheme="minorHAnsi" w:hAnsiTheme="minorHAnsi"/>
        </w:rPr>
        <w:t>T|48|js1234</w:t>
      </w:r>
      <w:r w:rsidRPr="00C26FB7">
        <w:rPr>
          <w:rFonts w:asciiTheme="minorHAnsi" w:hAnsiTheme="minorHAnsi"/>
        </w:rPr>
        <w:t>|</w:t>
      </w:r>
      <w:r>
        <w:rPr>
          <w:rFonts w:asciiTheme="minorHAnsi" w:hAnsiTheme="minorHAnsi"/>
        </w:rPr>
        <w:t>7</w:t>
      </w:r>
      <w:r w:rsidRPr="00C26FB7">
        <w:rPr>
          <w:rFonts w:asciiTheme="minorHAnsi" w:hAnsiTheme="minorHAnsi"/>
        </w:rPr>
        <w:t>|</w:t>
      </w:r>
      <w:r>
        <w:rPr>
          <w:rFonts w:asciiTheme="minorHAnsi" w:hAnsiTheme="minorHAnsi"/>
        </w:rPr>
        <w:t>1</w:t>
      </w:r>
      <w:r w:rsidRPr="00C26FB7">
        <w:rPr>
          <w:rFonts w:asciiTheme="minorHAnsi" w:hAnsiTheme="minorHAnsi"/>
        </w:rPr>
        <w:t>|2021|11|23|11|E|1|22|</w:t>
      </w:r>
      <w:bookmarkStart w:id="2996" w:name="_Hlk46395783"/>
      <w:r>
        <w:rPr>
          <w:rFonts w:asciiTheme="minorHAnsi" w:hAnsiTheme="minorHAnsi"/>
        </w:rPr>
        <w:t>5|635</w:t>
      </w:r>
      <w:r w:rsidRPr="00C26FB7">
        <w:rPr>
          <w:rFonts w:asciiTheme="minorHAnsi" w:hAnsiTheme="minorHAnsi"/>
        </w:rPr>
        <w:t>|0|</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1</w:t>
      </w:r>
      <w:r w:rsidRPr="00C26FB7">
        <w:rPr>
          <w:rFonts w:asciiTheme="minorHAnsi" w:hAnsiTheme="minorHAnsi"/>
        </w:rPr>
        <w:t>|</w:t>
      </w:r>
      <w:r>
        <w:rPr>
          <w:rFonts w:asciiTheme="minorHAnsi" w:hAnsiTheme="minorHAnsi"/>
        </w:rPr>
        <w:t>10</w:t>
      </w:r>
      <w:r w:rsidRPr="00C26FB7">
        <w:rPr>
          <w:rFonts w:asciiTheme="minorHAnsi" w:hAnsiTheme="minorHAnsi"/>
        </w:rPr>
        <w:t>|</w:t>
      </w:r>
      <w:r>
        <w:rPr>
          <w:rFonts w:asciiTheme="minorHAnsi" w:hAnsiTheme="minorHAnsi"/>
        </w:rPr>
        <w:t>53</w:t>
      </w:r>
      <w:r w:rsidRPr="00C26FB7">
        <w:rPr>
          <w:rFonts w:asciiTheme="minorHAnsi" w:hAnsiTheme="minorHAnsi"/>
        </w:rPr>
        <w:t>|</w:t>
      </w:r>
      <w:r>
        <w:rPr>
          <w:rFonts w:asciiTheme="minorHAnsi" w:hAnsiTheme="minorHAnsi"/>
        </w:rPr>
        <w:t>97</w:t>
      </w:r>
      <w:r w:rsidRPr="00C26FB7">
        <w:rPr>
          <w:rFonts w:asciiTheme="minorHAnsi" w:hAnsiTheme="minorHAnsi"/>
        </w:rPr>
        <w:t>|</w:t>
      </w:r>
      <w:r>
        <w:rPr>
          <w:rFonts w:asciiTheme="minorHAnsi" w:hAnsiTheme="minorHAnsi"/>
        </w:rPr>
        <w:t>112</w:t>
      </w:r>
      <w:r w:rsidRPr="00C26FB7">
        <w:rPr>
          <w:rFonts w:asciiTheme="minorHAnsi" w:hAnsiTheme="minorHAnsi"/>
        </w:rPr>
        <w:t>|</w:t>
      </w:r>
      <w:r>
        <w:rPr>
          <w:rFonts w:asciiTheme="minorHAnsi" w:hAnsiTheme="minorHAnsi"/>
        </w:rPr>
        <w:t>149</w:t>
      </w:r>
      <w:r w:rsidRPr="00C26FB7">
        <w:rPr>
          <w:rFonts w:asciiTheme="minorHAnsi" w:hAnsiTheme="minorHAnsi"/>
        </w:rPr>
        <w:t>|</w:t>
      </w:r>
      <w:r>
        <w:rPr>
          <w:rFonts w:asciiTheme="minorHAnsi" w:hAnsiTheme="minorHAnsi"/>
        </w:rPr>
        <w:t>98</w:t>
      </w:r>
      <w:r w:rsidRPr="00C26FB7">
        <w:rPr>
          <w:rFonts w:asciiTheme="minorHAnsi" w:hAnsiTheme="minorHAnsi"/>
        </w:rPr>
        <w:t>|</w:t>
      </w:r>
      <w:r>
        <w:rPr>
          <w:rFonts w:asciiTheme="minorHAnsi" w:hAnsiTheme="minorHAnsi"/>
        </w:rPr>
        <w:t>67</w:t>
      </w:r>
      <w:r w:rsidRPr="00C26FB7">
        <w:rPr>
          <w:rFonts w:asciiTheme="minorHAnsi" w:hAnsiTheme="minorHAnsi"/>
        </w:rPr>
        <w:t>|</w:t>
      </w:r>
      <w:r>
        <w:rPr>
          <w:rFonts w:asciiTheme="minorHAnsi" w:hAnsiTheme="minorHAnsi"/>
        </w:rPr>
        <w:t>34</w:t>
      </w:r>
      <w:r w:rsidRPr="00C26FB7">
        <w:rPr>
          <w:rFonts w:asciiTheme="minorHAnsi" w:hAnsiTheme="minorHAnsi"/>
        </w:rPr>
        <w:t>|</w:t>
      </w:r>
      <w:r>
        <w:rPr>
          <w:rFonts w:asciiTheme="minorHAnsi" w:hAnsiTheme="minorHAnsi"/>
        </w:rPr>
        <w:t>12</w:t>
      </w:r>
      <w:r w:rsidRPr="00C26FB7">
        <w:rPr>
          <w:rFonts w:asciiTheme="minorHAnsi" w:hAnsiTheme="minorHAnsi"/>
        </w:rPr>
        <w:t>|</w:t>
      </w:r>
      <w:r>
        <w:rPr>
          <w:rFonts w:asciiTheme="minorHAnsi" w:hAnsiTheme="minorHAnsi"/>
        </w:rPr>
        <w:t>2</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bookmarkEnd w:id="2996"/>
    </w:p>
    <w:p w14:paraId="4D19C423" w14:textId="77777777" w:rsidR="009B7AED" w:rsidRPr="00C26FB7" w:rsidRDefault="009B7AED" w:rsidP="009B7AED">
      <w:pPr>
        <w:pStyle w:val="TableLandscapeTable"/>
        <w:spacing w:line="240" w:lineRule="auto"/>
        <w:contextualSpacing/>
        <w:rPr>
          <w:rFonts w:asciiTheme="minorHAnsi" w:hAnsiTheme="minorHAnsi"/>
        </w:rPr>
      </w:pPr>
      <w:r>
        <w:rPr>
          <w:rFonts w:asciiTheme="minorHAnsi" w:hAnsiTheme="minorHAnsi"/>
        </w:rPr>
        <w:t>T|48|js1234</w:t>
      </w:r>
      <w:r w:rsidRPr="00C26FB7">
        <w:rPr>
          <w:rFonts w:asciiTheme="minorHAnsi" w:hAnsiTheme="minorHAnsi"/>
        </w:rPr>
        <w:t>|</w:t>
      </w:r>
      <w:r>
        <w:rPr>
          <w:rFonts w:asciiTheme="minorHAnsi" w:hAnsiTheme="minorHAnsi"/>
        </w:rPr>
        <w:t>7</w:t>
      </w:r>
      <w:r w:rsidRPr="00C26FB7">
        <w:rPr>
          <w:rFonts w:asciiTheme="minorHAnsi" w:hAnsiTheme="minorHAnsi"/>
        </w:rPr>
        <w:t>|</w:t>
      </w:r>
      <w:r>
        <w:rPr>
          <w:rFonts w:asciiTheme="minorHAnsi" w:hAnsiTheme="minorHAnsi"/>
        </w:rPr>
        <w:t>1</w:t>
      </w:r>
      <w:r w:rsidRPr="00C26FB7">
        <w:rPr>
          <w:rFonts w:asciiTheme="minorHAnsi" w:hAnsiTheme="minorHAnsi"/>
        </w:rPr>
        <w:t>|2021|11|23|11|F|1|22|</w:t>
      </w:r>
      <w:r>
        <w:rPr>
          <w:rFonts w:asciiTheme="minorHAnsi" w:hAnsiTheme="minorHAnsi"/>
        </w:rPr>
        <w:t>5|637</w:t>
      </w:r>
      <w:r w:rsidRPr="00C26FB7">
        <w:rPr>
          <w:rFonts w:asciiTheme="minorHAnsi" w:hAnsiTheme="minorHAnsi"/>
        </w:rPr>
        <w:t>|0|</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2</w:t>
      </w:r>
      <w:r w:rsidRPr="00C26FB7">
        <w:rPr>
          <w:rFonts w:asciiTheme="minorHAnsi" w:hAnsiTheme="minorHAnsi"/>
        </w:rPr>
        <w:t>|</w:t>
      </w:r>
      <w:r>
        <w:rPr>
          <w:rFonts w:asciiTheme="minorHAnsi" w:hAnsiTheme="minorHAnsi"/>
        </w:rPr>
        <w:t>11</w:t>
      </w:r>
      <w:r w:rsidRPr="00C26FB7">
        <w:rPr>
          <w:rFonts w:asciiTheme="minorHAnsi" w:hAnsiTheme="minorHAnsi"/>
        </w:rPr>
        <w:t>|</w:t>
      </w:r>
      <w:r>
        <w:rPr>
          <w:rFonts w:asciiTheme="minorHAnsi" w:hAnsiTheme="minorHAnsi"/>
        </w:rPr>
        <w:t>53</w:t>
      </w:r>
      <w:r w:rsidRPr="00C26FB7">
        <w:rPr>
          <w:rFonts w:asciiTheme="minorHAnsi" w:hAnsiTheme="minorHAnsi"/>
        </w:rPr>
        <w:t>|</w:t>
      </w:r>
      <w:r>
        <w:rPr>
          <w:rFonts w:asciiTheme="minorHAnsi" w:hAnsiTheme="minorHAnsi"/>
        </w:rPr>
        <w:t>97</w:t>
      </w:r>
      <w:r w:rsidRPr="00C26FB7">
        <w:rPr>
          <w:rFonts w:asciiTheme="minorHAnsi" w:hAnsiTheme="minorHAnsi"/>
        </w:rPr>
        <w:t>|</w:t>
      </w:r>
      <w:r>
        <w:rPr>
          <w:rFonts w:asciiTheme="minorHAnsi" w:hAnsiTheme="minorHAnsi"/>
        </w:rPr>
        <w:t>112</w:t>
      </w:r>
      <w:r w:rsidRPr="00C26FB7">
        <w:rPr>
          <w:rFonts w:asciiTheme="minorHAnsi" w:hAnsiTheme="minorHAnsi"/>
        </w:rPr>
        <w:t>|</w:t>
      </w:r>
      <w:r>
        <w:rPr>
          <w:rFonts w:asciiTheme="minorHAnsi" w:hAnsiTheme="minorHAnsi"/>
        </w:rPr>
        <w:t>149</w:t>
      </w:r>
      <w:r w:rsidRPr="00C26FB7">
        <w:rPr>
          <w:rFonts w:asciiTheme="minorHAnsi" w:hAnsiTheme="minorHAnsi"/>
        </w:rPr>
        <w:t>|</w:t>
      </w:r>
      <w:r>
        <w:rPr>
          <w:rFonts w:asciiTheme="minorHAnsi" w:hAnsiTheme="minorHAnsi"/>
        </w:rPr>
        <w:t>98</w:t>
      </w:r>
      <w:r w:rsidRPr="00C26FB7">
        <w:rPr>
          <w:rFonts w:asciiTheme="minorHAnsi" w:hAnsiTheme="minorHAnsi"/>
        </w:rPr>
        <w:t>|</w:t>
      </w:r>
      <w:r>
        <w:rPr>
          <w:rFonts w:asciiTheme="minorHAnsi" w:hAnsiTheme="minorHAnsi"/>
        </w:rPr>
        <w:t>67</w:t>
      </w:r>
      <w:r w:rsidRPr="00C26FB7">
        <w:rPr>
          <w:rFonts w:asciiTheme="minorHAnsi" w:hAnsiTheme="minorHAnsi"/>
        </w:rPr>
        <w:t>|</w:t>
      </w:r>
      <w:r>
        <w:rPr>
          <w:rFonts w:asciiTheme="minorHAnsi" w:hAnsiTheme="minorHAnsi"/>
        </w:rPr>
        <w:t>34</w:t>
      </w:r>
      <w:r w:rsidRPr="00C26FB7">
        <w:rPr>
          <w:rFonts w:asciiTheme="minorHAnsi" w:hAnsiTheme="minorHAnsi"/>
        </w:rPr>
        <w:t>|</w:t>
      </w:r>
      <w:r>
        <w:rPr>
          <w:rFonts w:asciiTheme="minorHAnsi" w:hAnsiTheme="minorHAnsi"/>
        </w:rPr>
        <w:t>12</w:t>
      </w:r>
      <w:r w:rsidRPr="00C26FB7">
        <w:rPr>
          <w:rFonts w:asciiTheme="minorHAnsi" w:hAnsiTheme="minorHAnsi"/>
        </w:rPr>
        <w:t>|</w:t>
      </w:r>
      <w:r>
        <w:rPr>
          <w:rFonts w:asciiTheme="minorHAnsi" w:hAnsiTheme="minorHAnsi"/>
        </w:rPr>
        <w:t>2</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p>
    <w:p w14:paraId="708655B1" w14:textId="77777777" w:rsidR="009B7AED" w:rsidRPr="00C26FB7" w:rsidRDefault="009B7AED" w:rsidP="009B7AED">
      <w:pPr>
        <w:pStyle w:val="TableLandscapeTable"/>
        <w:spacing w:line="240" w:lineRule="auto"/>
        <w:contextualSpacing/>
        <w:rPr>
          <w:rFonts w:asciiTheme="minorHAnsi" w:hAnsiTheme="minorHAnsi"/>
        </w:rPr>
      </w:pPr>
      <w:r>
        <w:rPr>
          <w:rFonts w:asciiTheme="minorHAnsi" w:hAnsiTheme="minorHAnsi"/>
        </w:rPr>
        <w:t>T|48|js1234</w:t>
      </w:r>
      <w:r w:rsidRPr="00C26FB7">
        <w:rPr>
          <w:rFonts w:asciiTheme="minorHAnsi" w:hAnsiTheme="minorHAnsi"/>
        </w:rPr>
        <w:t>|</w:t>
      </w:r>
      <w:r>
        <w:rPr>
          <w:rFonts w:asciiTheme="minorHAnsi" w:hAnsiTheme="minorHAnsi"/>
        </w:rPr>
        <w:t>7</w:t>
      </w:r>
      <w:r w:rsidRPr="00C26FB7">
        <w:rPr>
          <w:rFonts w:asciiTheme="minorHAnsi" w:hAnsiTheme="minorHAnsi"/>
        </w:rPr>
        <w:t>|</w:t>
      </w:r>
      <w:r>
        <w:rPr>
          <w:rFonts w:asciiTheme="minorHAnsi" w:hAnsiTheme="minorHAnsi"/>
        </w:rPr>
        <w:t>1</w:t>
      </w:r>
      <w:r w:rsidRPr="00C26FB7">
        <w:rPr>
          <w:rFonts w:asciiTheme="minorHAnsi" w:hAnsiTheme="minorHAnsi"/>
        </w:rPr>
        <w:t>|2021|11|23|11|G|1|22|</w:t>
      </w:r>
      <w:r>
        <w:rPr>
          <w:rFonts w:asciiTheme="minorHAnsi" w:hAnsiTheme="minorHAnsi"/>
        </w:rPr>
        <w:t>5|639</w:t>
      </w:r>
      <w:r w:rsidRPr="00C26FB7">
        <w:rPr>
          <w:rFonts w:asciiTheme="minorHAnsi" w:hAnsiTheme="minorHAnsi"/>
        </w:rPr>
        <w:t>|0|</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2</w:t>
      </w:r>
      <w:r w:rsidRPr="00C26FB7">
        <w:rPr>
          <w:rFonts w:asciiTheme="minorHAnsi" w:hAnsiTheme="minorHAnsi"/>
        </w:rPr>
        <w:t>|</w:t>
      </w:r>
      <w:r>
        <w:rPr>
          <w:rFonts w:asciiTheme="minorHAnsi" w:hAnsiTheme="minorHAnsi"/>
        </w:rPr>
        <w:t>11</w:t>
      </w:r>
      <w:r w:rsidRPr="00C26FB7">
        <w:rPr>
          <w:rFonts w:asciiTheme="minorHAnsi" w:hAnsiTheme="minorHAnsi"/>
        </w:rPr>
        <w:t>|</w:t>
      </w:r>
      <w:r>
        <w:rPr>
          <w:rFonts w:asciiTheme="minorHAnsi" w:hAnsiTheme="minorHAnsi"/>
        </w:rPr>
        <w:t>54</w:t>
      </w:r>
      <w:r w:rsidRPr="00C26FB7">
        <w:rPr>
          <w:rFonts w:asciiTheme="minorHAnsi" w:hAnsiTheme="minorHAnsi"/>
        </w:rPr>
        <w:t>|</w:t>
      </w:r>
      <w:r>
        <w:rPr>
          <w:rFonts w:asciiTheme="minorHAnsi" w:hAnsiTheme="minorHAnsi"/>
        </w:rPr>
        <w:t>98</w:t>
      </w:r>
      <w:r w:rsidRPr="00C26FB7">
        <w:rPr>
          <w:rFonts w:asciiTheme="minorHAnsi" w:hAnsiTheme="minorHAnsi"/>
        </w:rPr>
        <w:t>|</w:t>
      </w:r>
      <w:r>
        <w:rPr>
          <w:rFonts w:asciiTheme="minorHAnsi" w:hAnsiTheme="minorHAnsi"/>
        </w:rPr>
        <w:t>112</w:t>
      </w:r>
      <w:r w:rsidRPr="00C26FB7">
        <w:rPr>
          <w:rFonts w:asciiTheme="minorHAnsi" w:hAnsiTheme="minorHAnsi"/>
        </w:rPr>
        <w:t>|</w:t>
      </w:r>
      <w:r>
        <w:rPr>
          <w:rFonts w:asciiTheme="minorHAnsi" w:hAnsiTheme="minorHAnsi"/>
        </w:rPr>
        <w:t>149</w:t>
      </w:r>
      <w:r w:rsidRPr="00C26FB7">
        <w:rPr>
          <w:rFonts w:asciiTheme="minorHAnsi" w:hAnsiTheme="minorHAnsi"/>
        </w:rPr>
        <w:t>|</w:t>
      </w:r>
      <w:r>
        <w:rPr>
          <w:rFonts w:asciiTheme="minorHAnsi" w:hAnsiTheme="minorHAnsi"/>
        </w:rPr>
        <w:t>98</w:t>
      </w:r>
      <w:r w:rsidRPr="00C26FB7">
        <w:rPr>
          <w:rFonts w:asciiTheme="minorHAnsi" w:hAnsiTheme="minorHAnsi"/>
        </w:rPr>
        <w:t>|</w:t>
      </w:r>
      <w:r>
        <w:rPr>
          <w:rFonts w:asciiTheme="minorHAnsi" w:hAnsiTheme="minorHAnsi"/>
        </w:rPr>
        <w:t>67</w:t>
      </w:r>
      <w:r w:rsidRPr="00C26FB7">
        <w:rPr>
          <w:rFonts w:asciiTheme="minorHAnsi" w:hAnsiTheme="minorHAnsi"/>
        </w:rPr>
        <w:t>|</w:t>
      </w:r>
      <w:r>
        <w:rPr>
          <w:rFonts w:asciiTheme="minorHAnsi" w:hAnsiTheme="minorHAnsi"/>
        </w:rPr>
        <w:t>34</w:t>
      </w:r>
      <w:r w:rsidRPr="00C26FB7">
        <w:rPr>
          <w:rFonts w:asciiTheme="minorHAnsi" w:hAnsiTheme="minorHAnsi"/>
        </w:rPr>
        <w:t>|</w:t>
      </w:r>
      <w:r>
        <w:rPr>
          <w:rFonts w:asciiTheme="minorHAnsi" w:hAnsiTheme="minorHAnsi"/>
        </w:rPr>
        <w:t>12</w:t>
      </w:r>
      <w:r w:rsidRPr="00C26FB7">
        <w:rPr>
          <w:rFonts w:asciiTheme="minorHAnsi" w:hAnsiTheme="minorHAnsi"/>
        </w:rPr>
        <w:t>|</w:t>
      </w:r>
      <w:r>
        <w:rPr>
          <w:rFonts w:asciiTheme="minorHAnsi" w:hAnsiTheme="minorHAnsi"/>
        </w:rPr>
        <w:t>2</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p>
    <w:p w14:paraId="6C92657A" w14:textId="77777777" w:rsidR="009B7AED" w:rsidRPr="00C26FB7" w:rsidRDefault="009B7AED" w:rsidP="009B7AED">
      <w:pPr>
        <w:pStyle w:val="TableLandscapeTable"/>
        <w:spacing w:line="240" w:lineRule="auto"/>
        <w:contextualSpacing/>
        <w:rPr>
          <w:rFonts w:asciiTheme="minorHAnsi" w:hAnsiTheme="minorHAnsi"/>
        </w:rPr>
      </w:pPr>
      <w:r>
        <w:rPr>
          <w:rFonts w:asciiTheme="minorHAnsi" w:hAnsiTheme="minorHAnsi"/>
        </w:rPr>
        <w:t>T|48|js1234|7</w:t>
      </w:r>
      <w:r w:rsidRPr="00C26FB7">
        <w:rPr>
          <w:rFonts w:asciiTheme="minorHAnsi" w:hAnsiTheme="minorHAnsi"/>
        </w:rPr>
        <w:t>|</w:t>
      </w:r>
      <w:r>
        <w:rPr>
          <w:rFonts w:asciiTheme="minorHAnsi" w:hAnsiTheme="minorHAnsi"/>
        </w:rPr>
        <w:t>1</w:t>
      </w:r>
      <w:r w:rsidRPr="00C26FB7">
        <w:rPr>
          <w:rFonts w:asciiTheme="minorHAnsi" w:hAnsiTheme="minorHAnsi"/>
        </w:rPr>
        <w:t>|2021|11|23|11|H|1|22|</w:t>
      </w:r>
      <w:bookmarkStart w:id="2997" w:name="_Hlk46395881"/>
      <w:r>
        <w:rPr>
          <w:rFonts w:asciiTheme="minorHAnsi" w:hAnsiTheme="minorHAnsi"/>
        </w:rPr>
        <w:t>5|640</w:t>
      </w:r>
      <w:r w:rsidRPr="00C26FB7">
        <w:rPr>
          <w:rFonts w:asciiTheme="minorHAnsi" w:hAnsiTheme="minorHAnsi"/>
        </w:rPr>
        <w:t>|0|</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2</w:t>
      </w:r>
      <w:r w:rsidRPr="00C26FB7">
        <w:rPr>
          <w:rFonts w:asciiTheme="minorHAnsi" w:hAnsiTheme="minorHAnsi"/>
        </w:rPr>
        <w:t>|</w:t>
      </w:r>
      <w:r>
        <w:rPr>
          <w:rFonts w:asciiTheme="minorHAnsi" w:hAnsiTheme="minorHAnsi"/>
        </w:rPr>
        <w:t>11</w:t>
      </w:r>
      <w:r w:rsidRPr="00C26FB7">
        <w:rPr>
          <w:rFonts w:asciiTheme="minorHAnsi" w:hAnsiTheme="minorHAnsi"/>
        </w:rPr>
        <w:t>|</w:t>
      </w:r>
      <w:r>
        <w:rPr>
          <w:rFonts w:asciiTheme="minorHAnsi" w:hAnsiTheme="minorHAnsi"/>
        </w:rPr>
        <w:t>54</w:t>
      </w:r>
      <w:r w:rsidRPr="00C26FB7">
        <w:rPr>
          <w:rFonts w:asciiTheme="minorHAnsi" w:hAnsiTheme="minorHAnsi"/>
        </w:rPr>
        <w:t>|</w:t>
      </w:r>
      <w:r>
        <w:rPr>
          <w:rFonts w:asciiTheme="minorHAnsi" w:hAnsiTheme="minorHAnsi"/>
        </w:rPr>
        <w:t>98</w:t>
      </w:r>
      <w:r w:rsidRPr="00C26FB7">
        <w:rPr>
          <w:rFonts w:asciiTheme="minorHAnsi" w:hAnsiTheme="minorHAnsi"/>
        </w:rPr>
        <w:t>|</w:t>
      </w:r>
      <w:r>
        <w:rPr>
          <w:rFonts w:asciiTheme="minorHAnsi" w:hAnsiTheme="minorHAnsi"/>
        </w:rPr>
        <w:t>112</w:t>
      </w:r>
      <w:r w:rsidRPr="00C26FB7">
        <w:rPr>
          <w:rFonts w:asciiTheme="minorHAnsi" w:hAnsiTheme="minorHAnsi"/>
        </w:rPr>
        <w:t>|</w:t>
      </w:r>
      <w:r>
        <w:rPr>
          <w:rFonts w:asciiTheme="minorHAnsi" w:hAnsiTheme="minorHAnsi"/>
        </w:rPr>
        <w:t>150</w:t>
      </w:r>
      <w:r w:rsidRPr="00C26FB7">
        <w:rPr>
          <w:rFonts w:asciiTheme="minorHAnsi" w:hAnsiTheme="minorHAnsi"/>
        </w:rPr>
        <w:t>|</w:t>
      </w:r>
      <w:r>
        <w:rPr>
          <w:rFonts w:asciiTheme="minorHAnsi" w:hAnsiTheme="minorHAnsi"/>
        </w:rPr>
        <w:t>98</w:t>
      </w:r>
      <w:r w:rsidRPr="00C26FB7">
        <w:rPr>
          <w:rFonts w:asciiTheme="minorHAnsi" w:hAnsiTheme="minorHAnsi"/>
        </w:rPr>
        <w:t>|</w:t>
      </w:r>
      <w:r>
        <w:rPr>
          <w:rFonts w:asciiTheme="minorHAnsi" w:hAnsiTheme="minorHAnsi"/>
        </w:rPr>
        <w:t>67</w:t>
      </w:r>
      <w:r w:rsidRPr="00C26FB7">
        <w:rPr>
          <w:rFonts w:asciiTheme="minorHAnsi" w:hAnsiTheme="minorHAnsi"/>
        </w:rPr>
        <w:t>|</w:t>
      </w:r>
      <w:r>
        <w:rPr>
          <w:rFonts w:asciiTheme="minorHAnsi" w:hAnsiTheme="minorHAnsi"/>
        </w:rPr>
        <w:t>34</w:t>
      </w:r>
      <w:r w:rsidRPr="00C26FB7">
        <w:rPr>
          <w:rFonts w:asciiTheme="minorHAnsi" w:hAnsiTheme="minorHAnsi"/>
        </w:rPr>
        <w:t>|</w:t>
      </w:r>
      <w:r>
        <w:rPr>
          <w:rFonts w:asciiTheme="minorHAnsi" w:hAnsiTheme="minorHAnsi"/>
        </w:rPr>
        <w:t>12</w:t>
      </w:r>
      <w:r w:rsidRPr="00C26FB7">
        <w:rPr>
          <w:rFonts w:asciiTheme="minorHAnsi" w:hAnsiTheme="minorHAnsi"/>
        </w:rPr>
        <w:t>|</w:t>
      </w:r>
      <w:r>
        <w:rPr>
          <w:rFonts w:asciiTheme="minorHAnsi" w:hAnsiTheme="minorHAnsi"/>
        </w:rPr>
        <w:t>2</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bookmarkEnd w:id="2997"/>
    </w:p>
    <w:p w14:paraId="474BF507" w14:textId="77777777" w:rsidR="009B7AED" w:rsidRPr="00C26FB7" w:rsidRDefault="009B7AED" w:rsidP="009B7AED">
      <w:pPr>
        <w:pStyle w:val="TableLandscapeTable"/>
        <w:spacing w:line="240" w:lineRule="auto"/>
        <w:contextualSpacing/>
        <w:rPr>
          <w:rFonts w:asciiTheme="minorHAnsi" w:hAnsiTheme="minorHAnsi"/>
        </w:rPr>
      </w:pPr>
      <w:r>
        <w:rPr>
          <w:rFonts w:asciiTheme="minorHAnsi" w:hAnsiTheme="minorHAnsi"/>
        </w:rPr>
        <w:t>T|48|js1234|7</w:t>
      </w:r>
      <w:r w:rsidRPr="00C26FB7">
        <w:rPr>
          <w:rFonts w:asciiTheme="minorHAnsi" w:hAnsiTheme="minorHAnsi"/>
        </w:rPr>
        <w:t>|</w:t>
      </w:r>
      <w:r>
        <w:rPr>
          <w:rFonts w:asciiTheme="minorHAnsi" w:hAnsiTheme="minorHAnsi"/>
        </w:rPr>
        <w:t>1</w:t>
      </w:r>
      <w:r w:rsidRPr="00C26FB7">
        <w:rPr>
          <w:rFonts w:asciiTheme="minorHAnsi" w:hAnsiTheme="minorHAnsi"/>
        </w:rPr>
        <w:t>|2021|11|23|11|I|1|22|</w:t>
      </w:r>
      <w:r>
        <w:rPr>
          <w:rFonts w:asciiTheme="minorHAnsi" w:hAnsiTheme="minorHAnsi"/>
        </w:rPr>
        <w:t>5|641</w:t>
      </w:r>
      <w:r w:rsidRPr="00C26FB7">
        <w:rPr>
          <w:rFonts w:asciiTheme="minorHAnsi" w:hAnsiTheme="minorHAnsi"/>
        </w:rPr>
        <w:t>|0|</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3</w:t>
      </w:r>
      <w:r w:rsidRPr="00C26FB7">
        <w:rPr>
          <w:rFonts w:asciiTheme="minorHAnsi" w:hAnsiTheme="minorHAnsi"/>
        </w:rPr>
        <w:t>|</w:t>
      </w:r>
      <w:r>
        <w:rPr>
          <w:rFonts w:asciiTheme="minorHAnsi" w:hAnsiTheme="minorHAnsi"/>
        </w:rPr>
        <w:t>11</w:t>
      </w:r>
      <w:r w:rsidRPr="00C26FB7">
        <w:rPr>
          <w:rFonts w:asciiTheme="minorHAnsi" w:hAnsiTheme="minorHAnsi"/>
        </w:rPr>
        <w:t>|</w:t>
      </w:r>
      <w:r>
        <w:rPr>
          <w:rFonts w:asciiTheme="minorHAnsi" w:hAnsiTheme="minorHAnsi"/>
        </w:rPr>
        <w:t>54</w:t>
      </w:r>
      <w:r w:rsidRPr="00C26FB7">
        <w:rPr>
          <w:rFonts w:asciiTheme="minorHAnsi" w:hAnsiTheme="minorHAnsi"/>
        </w:rPr>
        <w:t>|</w:t>
      </w:r>
      <w:r>
        <w:rPr>
          <w:rFonts w:asciiTheme="minorHAnsi" w:hAnsiTheme="minorHAnsi"/>
        </w:rPr>
        <w:t>98</w:t>
      </w:r>
      <w:r w:rsidRPr="00C26FB7">
        <w:rPr>
          <w:rFonts w:asciiTheme="minorHAnsi" w:hAnsiTheme="minorHAnsi"/>
        </w:rPr>
        <w:t>|</w:t>
      </w:r>
      <w:r>
        <w:rPr>
          <w:rFonts w:asciiTheme="minorHAnsi" w:hAnsiTheme="minorHAnsi"/>
        </w:rPr>
        <w:t>112</w:t>
      </w:r>
      <w:r w:rsidRPr="00C26FB7">
        <w:rPr>
          <w:rFonts w:asciiTheme="minorHAnsi" w:hAnsiTheme="minorHAnsi"/>
        </w:rPr>
        <w:t>|</w:t>
      </w:r>
      <w:r>
        <w:rPr>
          <w:rFonts w:asciiTheme="minorHAnsi" w:hAnsiTheme="minorHAnsi"/>
        </w:rPr>
        <w:t>150</w:t>
      </w:r>
      <w:r w:rsidRPr="00C26FB7">
        <w:rPr>
          <w:rFonts w:asciiTheme="minorHAnsi" w:hAnsiTheme="minorHAnsi"/>
        </w:rPr>
        <w:t>|</w:t>
      </w:r>
      <w:r>
        <w:rPr>
          <w:rFonts w:asciiTheme="minorHAnsi" w:hAnsiTheme="minorHAnsi"/>
        </w:rPr>
        <w:t>98</w:t>
      </w:r>
      <w:r w:rsidRPr="00C26FB7">
        <w:rPr>
          <w:rFonts w:asciiTheme="minorHAnsi" w:hAnsiTheme="minorHAnsi"/>
        </w:rPr>
        <w:t>|</w:t>
      </w:r>
      <w:r>
        <w:rPr>
          <w:rFonts w:asciiTheme="minorHAnsi" w:hAnsiTheme="minorHAnsi"/>
        </w:rPr>
        <w:t>67</w:t>
      </w:r>
      <w:r w:rsidRPr="00C26FB7">
        <w:rPr>
          <w:rFonts w:asciiTheme="minorHAnsi" w:hAnsiTheme="minorHAnsi"/>
        </w:rPr>
        <w:t>|</w:t>
      </w:r>
      <w:r>
        <w:rPr>
          <w:rFonts w:asciiTheme="minorHAnsi" w:hAnsiTheme="minorHAnsi"/>
        </w:rPr>
        <w:t>34</w:t>
      </w:r>
      <w:r w:rsidRPr="00C26FB7">
        <w:rPr>
          <w:rFonts w:asciiTheme="minorHAnsi" w:hAnsiTheme="minorHAnsi"/>
        </w:rPr>
        <w:t>|</w:t>
      </w:r>
      <w:r>
        <w:rPr>
          <w:rFonts w:asciiTheme="minorHAnsi" w:hAnsiTheme="minorHAnsi"/>
        </w:rPr>
        <w:t>12</w:t>
      </w:r>
      <w:r w:rsidRPr="00C26FB7">
        <w:rPr>
          <w:rFonts w:asciiTheme="minorHAnsi" w:hAnsiTheme="minorHAnsi"/>
        </w:rPr>
        <w:t>|</w:t>
      </w:r>
      <w:r>
        <w:rPr>
          <w:rFonts w:asciiTheme="minorHAnsi" w:hAnsiTheme="minorHAnsi"/>
        </w:rPr>
        <w:t>2</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p>
    <w:p w14:paraId="4803E330" w14:textId="77777777" w:rsidR="009B7AED" w:rsidRPr="00C26FB7" w:rsidRDefault="009B7AED" w:rsidP="009B7AED">
      <w:pPr>
        <w:pStyle w:val="TableLandscapeTable"/>
        <w:spacing w:line="240" w:lineRule="auto"/>
        <w:contextualSpacing/>
        <w:rPr>
          <w:rFonts w:asciiTheme="minorHAnsi" w:hAnsiTheme="minorHAnsi"/>
        </w:rPr>
      </w:pPr>
      <w:r>
        <w:rPr>
          <w:rFonts w:asciiTheme="minorHAnsi" w:hAnsiTheme="minorHAnsi"/>
        </w:rPr>
        <w:t>T|48|js1234|7</w:t>
      </w:r>
      <w:r w:rsidRPr="00C26FB7">
        <w:rPr>
          <w:rFonts w:asciiTheme="minorHAnsi" w:hAnsiTheme="minorHAnsi"/>
        </w:rPr>
        <w:t>|</w:t>
      </w:r>
      <w:r>
        <w:rPr>
          <w:rFonts w:asciiTheme="minorHAnsi" w:hAnsiTheme="minorHAnsi"/>
        </w:rPr>
        <w:t>1</w:t>
      </w:r>
      <w:r w:rsidRPr="00C26FB7">
        <w:rPr>
          <w:rFonts w:asciiTheme="minorHAnsi" w:hAnsiTheme="minorHAnsi"/>
        </w:rPr>
        <w:t>|2021|11|23|11|J|1|22|</w:t>
      </w:r>
      <w:bookmarkStart w:id="2998" w:name="_Hlk46395967"/>
      <w:r>
        <w:rPr>
          <w:rFonts w:asciiTheme="minorHAnsi" w:hAnsiTheme="minorHAnsi"/>
        </w:rPr>
        <w:t>5|644</w:t>
      </w:r>
      <w:r w:rsidRPr="00C26FB7">
        <w:rPr>
          <w:rFonts w:asciiTheme="minorHAnsi" w:hAnsiTheme="minorHAnsi"/>
        </w:rPr>
        <w:t>|0|</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3</w:t>
      </w:r>
      <w:r w:rsidRPr="00C26FB7">
        <w:rPr>
          <w:rFonts w:asciiTheme="minorHAnsi" w:hAnsiTheme="minorHAnsi"/>
        </w:rPr>
        <w:t>|</w:t>
      </w:r>
      <w:r>
        <w:rPr>
          <w:rFonts w:asciiTheme="minorHAnsi" w:hAnsiTheme="minorHAnsi"/>
        </w:rPr>
        <w:t>12</w:t>
      </w:r>
      <w:r w:rsidRPr="00C26FB7">
        <w:rPr>
          <w:rFonts w:asciiTheme="minorHAnsi" w:hAnsiTheme="minorHAnsi"/>
        </w:rPr>
        <w:t>|</w:t>
      </w:r>
      <w:r>
        <w:rPr>
          <w:rFonts w:asciiTheme="minorHAnsi" w:hAnsiTheme="minorHAnsi"/>
        </w:rPr>
        <w:t>55</w:t>
      </w:r>
      <w:r w:rsidRPr="00C26FB7">
        <w:rPr>
          <w:rFonts w:asciiTheme="minorHAnsi" w:hAnsiTheme="minorHAnsi"/>
        </w:rPr>
        <w:t>|</w:t>
      </w:r>
      <w:r>
        <w:rPr>
          <w:rFonts w:asciiTheme="minorHAnsi" w:hAnsiTheme="minorHAnsi"/>
        </w:rPr>
        <w:t>99</w:t>
      </w:r>
      <w:r w:rsidRPr="00C26FB7">
        <w:rPr>
          <w:rFonts w:asciiTheme="minorHAnsi" w:hAnsiTheme="minorHAnsi"/>
        </w:rPr>
        <w:t>|</w:t>
      </w:r>
      <w:r>
        <w:rPr>
          <w:rFonts w:asciiTheme="minorHAnsi" w:hAnsiTheme="minorHAnsi"/>
        </w:rPr>
        <w:t>112</w:t>
      </w:r>
      <w:r w:rsidRPr="00C26FB7">
        <w:rPr>
          <w:rFonts w:asciiTheme="minorHAnsi" w:hAnsiTheme="minorHAnsi"/>
        </w:rPr>
        <w:t>|</w:t>
      </w:r>
      <w:r>
        <w:rPr>
          <w:rFonts w:asciiTheme="minorHAnsi" w:hAnsiTheme="minorHAnsi"/>
        </w:rPr>
        <w:t>150</w:t>
      </w:r>
      <w:r w:rsidRPr="00C26FB7">
        <w:rPr>
          <w:rFonts w:asciiTheme="minorHAnsi" w:hAnsiTheme="minorHAnsi"/>
        </w:rPr>
        <w:t>|</w:t>
      </w:r>
      <w:r>
        <w:rPr>
          <w:rFonts w:asciiTheme="minorHAnsi" w:hAnsiTheme="minorHAnsi"/>
        </w:rPr>
        <w:t>98</w:t>
      </w:r>
      <w:r w:rsidRPr="00C26FB7">
        <w:rPr>
          <w:rFonts w:asciiTheme="minorHAnsi" w:hAnsiTheme="minorHAnsi"/>
        </w:rPr>
        <w:t>|</w:t>
      </w:r>
      <w:r>
        <w:rPr>
          <w:rFonts w:asciiTheme="minorHAnsi" w:hAnsiTheme="minorHAnsi"/>
        </w:rPr>
        <w:t>67</w:t>
      </w:r>
      <w:r w:rsidRPr="00C26FB7">
        <w:rPr>
          <w:rFonts w:asciiTheme="minorHAnsi" w:hAnsiTheme="minorHAnsi"/>
        </w:rPr>
        <w:t>|</w:t>
      </w:r>
      <w:r>
        <w:rPr>
          <w:rFonts w:asciiTheme="minorHAnsi" w:hAnsiTheme="minorHAnsi"/>
        </w:rPr>
        <w:t>34</w:t>
      </w:r>
      <w:r w:rsidRPr="00C26FB7">
        <w:rPr>
          <w:rFonts w:asciiTheme="minorHAnsi" w:hAnsiTheme="minorHAnsi"/>
        </w:rPr>
        <w:t>|</w:t>
      </w:r>
      <w:r>
        <w:rPr>
          <w:rFonts w:asciiTheme="minorHAnsi" w:hAnsiTheme="minorHAnsi"/>
        </w:rPr>
        <w:t>12</w:t>
      </w:r>
      <w:r w:rsidRPr="00C26FB7">
        <w:rPr>
          <w:rFonts w:asciiTheme="minorHAnsi" w:hAnsiTheme="minorHAnsi"/>
        </w:rPr>
        <w:t>|</w:t>
      </w:r>
      <w:r>
        <w:rPr>
          <w:rFonts w:asciiTheme="minorHAnsi" w:hAnsiTheme="minorHAnsi"/>
        </w:rPr>
        <w:t>2</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bookmarkEnd w:id="2998"/>
    </w:p>
    <w:p w14:paraId="582F7384" w14:textId="77777777" w:rsidR="009B7AED" w:rsidRPr="00C26FB7" w:rsidRDefault="009B7AED" w:rsidP="009B7AED">
      <w:pPr>
        <w:pStyle w:val="TableLandscapeTable"/>
        <w:spacing w:line="240" w:lineRule="auto"/>
        <w:contextualSpacing/>
        <w:rPr>
          <w:rFonts w:asciiTheme="minorHAnsi" w:hAnsiTheme="minorHAnsi"/>
        </w:rPr>
      </w:pPr>
      <w:r>
        <w:rPr>
          <w:rFonts w:asciiTheme="minorHAnsi" w:hAnsiTheme="minorHAnsi"/>
        </w:rPr>
        <w:t>T|48|js1234|7</w:t>
      </w:r>
      <w:r w:rsidRPr="00C26FB7">
        <w:rPr>
          <w:rFonts w:asciiTheme="minorHAnsi" w:hAnsiTheme="minorHAnsi"/>
        </w:rPr>
        <w:t>|</w:t>
      </w:r>
      <w:r>
        <w:rPr>
          <w:rFonts w:asciiTheme="minorHAnsi" w:hAnsiTheme="minorHAnsi"/>
        </w:rPr>
        <w:t>1</w:t>
      </w:r>
      <w:r w:rsidRPr="00C26FB7">
        <w:rPr>
          <w:rFonts w:asciiTheme="minorHAnsi" w:hAnsiTheme="minorHAnsi"/>
        </w:rPr>
        <w:t>|2021|11|23|11|K|1|22|</w:t>
      </w:r>
      <w:r>
        <w:rPr>
          <w:rFonts w:asciiTheme="minorHAnsi" w:hAnsiTheme="minorHAnsi"/>
        </w:rPr>
        <w:t>5|647</w:t>
      </w:r>
      <w:r w:rsidRPr="00C26FB7">
        <w:rPr>
          <w:rFonts w:asciiTheme="minorHAnsi" w:hAnsiTheme="minorHAnsi"/>
        </w:rPr>
        <w:t>|0|</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3</w:t>
      </w:r>
      <w:r w:rsidRPr="00C26FB7">
        <w:rPr>
          <w:rFonts w:asciiTheme="minorHAnsi" w:hAnsiTheme="minorHAnsi"/>
        </w:rPr>
        <w:t>|</w:t>
      </w:r>
      <w:r>
        <w:rPr>
          <w:rFonts w:asciiTheme="minorHAnsi" w:hAnsiTheme="minorHAnsi"/>
        </w:rPr>
        <w:t>12</w:t>
      </w:r>
      <w:r w:rsidRPr="00C26FB7">
        <w:rPr>
          <w:rFonts w:asciiTheme="minorHAnsi" w:hAnsiTheme="minorHAnsi"/>
        </w:rPr>
        <w:t>|</w:t>
      </w:r>
      <w:r>
        <w:rPr>
          <w:rFonts w:asciiTheme="minorHAnsi" w:hAnsiTheme="minorHAnsi"/>
        </w:rPr>
        <w:t>56</w:t>
      </w:r>
      <w:r w:rsidRPr="00C26FB7">
        <w:rPr>
          <w:rFonts w:asciiTheme="minorHAnsi" w:hAnsiTheme="minorHAnsi"/>
        </w:rPr>
        <w:t>|</w:t>
      </w:r>
      <w:r>
        <w:rPr>
          <w:rFonts w:asciiTheme="minorHAnsi" w:hAnsiTheme="minorHAnsi"/>
        </w:rPr>
        <w:t>100</w:t>
      </w:r>
      <w:r w:rsidRPr="00C26FB7">
        <w:rPr>
          <w:rFonts w:asciiTheme="minorHAnsi" w:hAnsiTheme="minorHAnsi"/>
        </w:rPr>
        <w:t>|</w:t>
      </w:r>
      <w:r>
        <w:rPr>
          <w:rFonts w:asciiTheme="minorHAnsi" w:hAnsiTheme="minorHAnsi"/>
        </w:rPr>
        <w:t>113</w:t>
      </w:r>
      <w:r w:rsidRPr="00C26FB7">
        <w:rPr>
          <w:rFonts w:asciiTheme="minorHAnsi" w:hAnsiTheme="minorHAnsi"/>
        </w:rPr>
        <w:t>|</w:t>
      </w:r>
      <w:r>
        <w:rPr>
          <w:rFonts w:asciiTheme="minorHAnsi" w:hAnsiTheme="minorHAnsi"/>
        </w:rPr>
        <w:t>150</w:t>
      </w:r>
      <w:r w:rsidRPr="00C26FB7">
        <w:rPr>
          <w:rFonts w:asciiTheme="minorHAnsi" w:hAnsiTheme="minorHAnsi"/>
        </w:rPr>
        <w:t>|</w:t>
      </w:r>
      <w:r>
        <w:rPr>
          <w:rFonts w:asciiTheme="minorHAnsi" w:hAnsiTheme="minorHAnsi"/>
        </w:rPr>
        <w:t>98</w:t>
      </w:r>
      <w:r w:rsidRPr="00C26FB7">
        <w:rPr>
          <w:rFonts w:asciiTheme="minorHAnsi" w:hAnsiTheme="minorHAnsi"/>
        </w:rPr>
        <w:t>|</w:t>
      </w:r>
      <w:r>
        <w:rPr>
          <w:rFonts w:asciiTheme="minorHAnsi" w:hAnsiTheme="minorHAnsi"/>
        </w:rPr>
        <w:t>67</w:t>
      </w:r>
      <w:r w:rsidRPr="00C26FB7">
        <w:rPr>
          <w:rFonts w:asciiTheme="minorHAnsi" w:hAnsiTheme="minorHAnsi"/>
        </w:rPr>
        <w:t>|</w:t>
      </w:r>
      <w:r>
        <w:rPr>
          <w:rFonts w:asciiTheme="minorHAnsi" w:hAnsiTheme="minorHAnsi"/>
        </w:rPr>
        <w:t>34</w:t>
      </w:r>
      <w:r w:rsidRPr="00C26FB7">
        <w:rPr>
          <w:rFonts w:asciiTheme="minorHAnsi" w:hAnsiTheme="minorHAnsi"/>
        </w:rPr>
        <w:t>|</w:t>
      </w:r>
      <w:r>
        <w:rPr>
          <w:rFonts w:asciiTheme="minorHAnsi" w:hAnsiTheme="minorHAnsi"/>
        </w:rPr>
        <w:t>12</w:t>
      </w:r>
      <w:r w:rsidRPr="00C26FB7">
        <w:rPr>
          <w:rFonts w:asciiTheme="minorHAnsi" w:hAnsiTheme="minorHAnsi"/>
        </w:rPr>
        <w:t>|</w:t>
      </w:r>
      <w:r>
        <w:rPr>
          <w:rFonts w:asciiTheme="minorHAnsi" w:hAnsiTheme="minorHAnsi"/>
        </w:rPr>
        <w:t>2</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p>
    <w:p w14:paraId="2F6F68F1" w14:textId="77777777" w:rsidR="009B7AED" w:rsidRPr="00C26FB7" w:rsidRDefault="009B7AED" w:rsidP="009B7AED">
      <w:pPr>
        <w:pStyle w:val="TableLandscapeTable"/>
        <w:spacing w:line="240" w:lineRule="auto"/>
        <w:contextualSpacing/>
        <w:rPr>
          <w:rFonts w:asciiTheme="minorHAnsi" w:hAnsiTheme="minorHAnsi"/>
        </w:rPr>
      </w:pPr>
      <w:r>
        <w:rPr>
          <w:rFonts w:asciiTheme="minorHAnsi" w:hAnsiTheme="minorHAnsi"/>
        </w:rPr>
        <w:t>T|48|js1234|7</w:t>
      </w:r>
      <w:r w:rsidRPr="00C26FB7">
        <w:rPr>
          <w:rFonts w:asciiTheme="minorHAnsi" w:hAnsiTheme="minorHAnsi"/>
        </w:rPr>
        <w:t>|</w:t>
      </w:r>
      <w:r>
        <w:rPr>
          <w:rFonts w:asciiTheme="minorHAnsi" w:hAnsiTheme="minorHAnsi"/>
        </w:rPr>
        <w:t>1</w:t>
      </w:r>
      <w:r w:rsidRPr="00C26FB7">
        <w:rPr>
          <w:rFonts w:asciiTheme="minorHAnsi" w:hAnsiTheme="minorHAnsi"/>
        </w:rPr>
        <w:t>|2021|11|23|11|L|1|22|</w:t>
      </w:r>
      <w:r>
        <w:rPr>
          <w:rFonts w:asciiTheme="minorHAnsi" w:hAnsiTheme="minorHAnsi"/>
        </w:rPr>
        <w:t>5|650</w:t>
      </w:r>
      <w:r w:rsidRPr="00C26FB7">
        <w:rPr>
          <w:rFonts w:asciiTheme="minorHAnsi" w:hAnsiTheme="minorHAnsi"/>
        </w:rPr>
        <w:t>|0|</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3</w:t>
      </w:r>
      <w:r w:rsidRPr="00C26FB7">
        <w:rPr>
          <w:rFonts w:asciiTheme="minorHAnsi" w:hAnsiTheme="minorHAnsi"/>
        </w:rPr>
        <w:t>|</w:t>
      </w:r>
      <w:r>
        <w:rPr>
          <w:rFonts w:asciiTheme="minorHAnsi" w:hAnsiTheme="minorHAnsi"/>
        </w:rPr>
        <w:t>13</w:t>
      </w:r>
      <w:r w:rsidRPr="00C26FB7">
        <w:rPr>
          <w:rFonts w:asciiTheme="minorHAnsi" w:hAnsiTheme="minorHAnsi"/>
        </w:rPr>
        <w:t>|</w:t>
      </w:r>
      <w:r>
        <w:rPr>
          <w:rFonts w:asciiTheme="minorHAnsi" w:hAnsiTheme="minorHAnsi"/>
        </w:rPr>
        <w:t>56</w:t>
      </w:r>
      <w:r w:rsidRPr="00C26FB7">
        <w:rPr>
          <w:rFonts w:asciiTheme="minorHAnsi" w:hAnsiTheme="minorHAnsi"/>
        </w:rPr>
        <w:t>|</w:t>
      </w:r>
      <w:r>
        <w:rPr>
          <w:rFonts w:asciiTheme="minorHAnsi" w:hAnsiTheme="minorHAnsi"/>
        </w:rPr>
        <w:t>101</w:t>
      </w:r>
      <w:r w:rsidRPr="00C26FB7">
        <w:rPr>
          <w:rFonts w:asciiTheme="minorHAnsi" w:hAnsiTheme="minorHAnsi"/>
        </w:rPr>
        <w:t>|</w:t>
      </w:r>
      <w:r>
        <w:rPr>
          <w:rFonts w:asciiTheme="minorHAnsi" w:hAnsiTheme="minorHAnsi"/>
        </w:rPr>
        <w:t>113</w:t>
      </w:r>
      <w:r w:rsidRPr="00C26FB7">
        <w:rPr>
          <w:rFonts w:asciiTheme="minorHAnsi" w:hAnsiTheme="minorHAnsi"/>
        </w:rPr>
        <w:t>|</w:t>
      </w:r>
      <w:r>
        <w:rPr>
          <w:rFonts w:asciiTheme="minorHAnsi" w:hAnsiTheme="minorHAnsi"/>
        </w:rPr>
        <w:t>151</w:t>
      </w:r>
      <w:r w:rsidRPr="00C26FB7">
        <w:rPr>
          <w:rFonts w:asciiTheme="minorHAnsi" w:hAnsiTheme="minorHAnsi"/>
        </w:rPr>
        <w:t>|</w:t>
      </w:r>
      <w:r>
        <w:rPr>
          <w:rFonts w:asciiTheme="minorHAnsi" w:hAnsiTheme="minorHAnsi"/>
        </w:rPr>
        <w:t>98</w:t>
      </w:r>
      <w:r w:rsidRPr="00C26FB7">
        <w:rPr>
          <w:rFonts w:asciiTheme="minorHAnsi" w:hAnsiTheme="minorHAnsi"/>
        </w:rPr>
        <w:t>|</w:t>
      </w:r>
      <w:r>
        <w:rPr>
          <w:rFonts w:asciiTheme="minorHAnsi" w:hAnsiTheme="minorHAnsi"/>
        </w:rPr>
        <w:t>67</w:t>
      </w:r>
      <w:r w:rsidRPr="00C26FB7">
        <w:rPr>
          <w:rFonts w:asciiTheme="minorHAnsi" w:hAnsiTheme="minorHAnsi"/>
        </w:rPr>
        <w:t>|</w:t>
      </w:r>
      <w:r>
        <w:rPr>
          <w:rFonts w:asciiTheme="minorHAnsi" w:hAnsiTheme="minorHAnsi"/>
        </w:rPr>
        <w:t>34</w:t>
      </w:r>
      <w:r w:rsidRPr="00C26FB7">
        <w:rPr>
          <w:rFonts w:asciiTheme="minorHAnsi" w:hAnsiTheme="minorHAnsi"/>
        </w:rPr>
        <w:t>|</w:t>
      </w:r>
      <w:r>
        <w:rPr>
          <w:rFonts w:asciiTheme="minorHAnsi" w:hAnsiTheme="minorHAnsi"/>
        </w:rPr>
        <w:t>12</w:t>
      </w:r>
      <w:r w:rsidRPr="00C26FB7">
        <w:rPr>
          <w:rFonts w:asciiTheme="minorHAnsi" w:hAnsiTheme="minorHAnsi"/>
        </w:rPr>
        <w:t>|</w:t>
      </w:r>
      <w:r>
        <w:rPr>
          <w:rFonts w:asciiTheme="minorHAnsi" w:hAnsiTheme="minorHAnsi"/>
        </w:rPr>
        <w:t>2</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r>
        <w:rPr>
          <w:rFonts w:asciiTheme="minorHAnsi" w:hAnsiTheme="minorHAnsi"/>
        </w:rPr>
        <w:t>0</w:t>
      </w:r>
      <w:r w:rsidRPr="00C26FB7">
        <w:rPr>
          <w:rFonts w:asciiTheme="minorHAnsi" w:hAnsiTheme="minorHAnsi"/>
        </w:rPr>
        <w:t>|</w:t>
      </w:r>
    </w:p>
    <w:p w14:paraId="6019C528" w14:textId="77777777" w:rsidR="009B7AED" w:rsidRPr="00C26FB7" w:rsidRDefault="009B7AED" w:rsidP="009B7AED">
      <w:pPr>
        <w:pStyle w:val="TableLandscapeTable"/>
        <w:spacing w:line="240" w:lineRule="auto"/>
        <w:contextualSpacing/>
        <w:rPr>
          <w:rFonts w:asciiTheme="minorHAnsi" w:hAnsiTheme="minorHAnsi"/>
        </w:rPr>
        <w:sectPr w:rsidR="009B7AED" w:rsidRPr="00C26FB7" w:rsidSect="003E49EE">
          <w:headerReference w:type="even" r:id="rId176"/>
          <w:headerReference w:type="default" r:id="rId177"/>
          <w:footerReference w:type="even" r:id="rId178"/>
          <w:footerReference w:type="default" r:id="rId179"/>
          <w:pgSz w:w="15840" w:h="12240" w:code="1"/>
          <w:pgMar w:top="1440" w:right="1152" w:bottom="1440" w:left="1440" w:header="720" w:footer="576" w:gutter="0"/>
          <w:pgNumType w:chapStyle="1"/>
          <w:cols w:space="720"/>
          <w:noEndnote/>
          <w:docGrid w:linePitch="272"/>
        </w:sectPr>
      </w:pPr>
    </w:p>
    <w:p w14:paraId="57AD870A" w14:textId="5AEFFFC9" w:rsidR="009B7AED" w:rsidRPr="001546EF" w:rsidRDefault="009B7AED">
      <w:pPr>
        <w:pStyle w:val="Heading2"/>
        <w:spacing w:before="0"/>
      </w:pPr>
      <w:bookmarkStart w:id="2999" w:name="_Toc349905107"/>
      <w:bookmarkStart w:id="3000" w:name="_Toc335642249"/>
      <w:bookmarkStart w:id="3001" w:name="_Toc363656155"/>
      <w:bookmarkStart w:id="3002" w:name="_Toc450638946"/>
      <w:bookmarkStart w:id="3003" w:name="_Toc63976748"/>
      <w:bookmarkStart w:id="3004" w:name="_Toc68864956"/>
      <w:bookmarkStart w:id="3005" w:name="_Toc109301281"/>
      <w:bookmarkStart w:id="3006" w:name="_Toc109333015"/>
      <w:bookmarkStart w:id="3007" w:name="_Toc109333608"/>
      <w:bookmarkStart w:id="3008" w:name="_Toc113281106"/>
      <w:bookmarkStart w:id="3009" w:name="_Toc114474742"/>
      <w:bookmarkStart w:id="3010" w:name="_Toc118205694"/>
      <w:r w:rsidRPr="001546EF">
        <w:lastRenderedPageBreak/>
        <w:t>Vehicle Classification Data Format</w:t>
      </w:r>
      <w:bookmarkEnd w:id="2990"/>
      <w:bookmarkEnd w:id="2999"/>
      <w:bookmarkEnd w:id="3000"/>
      <w:bookmarkEnd w:id="3001"/>
      <w:bookmarkEnd w:id="3002"/>
      <w:r w:rsidRPr="001546EF">
        <w:t xml:space="preserve"> (</w:t>
      </w:r>
      <w:r>
        <w:t>F</w:t>
      </w:r>
      <w:r w:rsidRPr="001546EF">
        <w:t xml:space="preserve">ixed </w:t>
      </w:r>
      <w:r>
        <w:t>W</w:t>
      </w:r>
      <w:r w:rsidRPr="001546EF">
        <w:t xml:space="preserve">idth or </w:t>
      </w:r>
      <w:r>
        <w:t>P</w:t>
      </w:r>
      <w:r w:rsidRPr="001546EF">
        <w:t xml:space="preserve">ipe </w:t>
      </w:r>
      <w:r>
        <w:t>D</w:t>
      </w:r>
      <w:r w:rsidRPr="001546EF">
        <w:t>elimited)</w:t>
      </w:r>
      <w:bookmarkEnd w:id="3003"/>
      <w:bookmarkEnd w:id="3004"/>
      <w:bookmarkEnd w:id="3005"/>
      <w:bookmarkEnd w:id="3006"/>
      <w:bookmarkEnd w:id="3007"/>
      <w:bookmarkEnd w:id="3008"/>
      <w:bookmarkEnd w:id="3009"/>
      <w:bookmarkEnd w:id="3010"/>
    </w:p>
    <w:p w14:paraId="37227FF9" w14:textId="139C9C79" w:rsidR="009B7AED" w:rsidRDefault="009B7AED" w:rsidP="00A35EAF">
      <w:pPr>
        <w:pStyle w:val="BodyText"/>
      </w:pPr>
      <w:r>
        <w:t>The Vehicle Classification file contains one variable-length record for each time period</w:t>
      </w:r>
      <w:r w:rsidRPr="001050BF">
        <w:t xml:space="preserve"> (e.g.</w:t>
      </w:r>
      <w:r>
        <w:t>,</w:t>
      </w:r>
      <w:r w:rsidRPr="001050BF">
        <w:t xml:space="preserve"> by 5 min</w:t>
      </w:r>
      <w:r>
        <w:t>ute</w:t>
      </w:r>
      <w:r w:rsidRPr="001050BF">
        <w:t>, 15</w:t>
      </w:r>
      <w:r w:rsidR="00121C1E">
        <w:t> </w:t>
      </w:r>
      <w:r w:rsidRPr="001050BF">
        <w:t>min</w:t>
      </w:r>
      <w:r>
        <w:t>ute, or</w:t>
      </w:r>
      <w:r w:rsidRPr="001050BF">
        <w:t xml:space="preserve"> </w:t>
      </w:r>
      <w:r>
        <w:t xml:space="preserve">hour </w:t>
      </w:r>
      <w:r w:rsidRPr="001050BF">
        <w:t>of the day</w:t>
      </w:r>
      <w:r>
        <w:t>) for which data are being submitted. That record includes the traffic volume by vehicle classification for that hour. The length of the record (number of columns in each record) is determined by the value in “Vehicle Classification Groupings,” of the Station Description Record. This means that if two different kinds of data collection equipment are used at a site and those different pieces of equipment collect classification data in different formats (e.g., one uses length classes and the other uses the 13-FHWA categories), then an updated Station Description Record should be submitted prior to submitting data using the second classification system, or the records being submitted will not be read correctly. All lanes in one direction should have the same data being collected. FHWA uses the latest version of the State Description Record that is submitted. If this record type already exists in TMAS, and no change in the equipment functionality (e.g., the type of vehicle class data being collected) has occurred since that earlier record was submitted, it is not necessary to submit an additional Station Description Record for the data to be processed in TMAS. A single file can contain data from multiple stations and/or locations.</w:t>
      </w:r>
    </w:p>
    <w:p w14:paraId="4194382B" w14:textId="43CCE331" w:rsidR="009B7AED" w:rsidRDefault="009B7AED" w:rsidP="00A35EAF">
      <w:pPr>
        <w:pStyle w:val="BodyText"/>
      </w:pPr>
      <w:r>
        <w:t>The 2022 TMG offers additional formatting flexibility to report vehicle classification data. States and other agencies can submit vehicle classification data to FHWA’s TMAS system via either the historical fixed-width format or the new pipe-delimited format.</w:t>
      </w:r>
    </w:p>
    <w:p w14:paraId="6E3B92C0" w14:textId="77777777" w:rsidR="009B7AED" w:rsidRPr="00235F74" w:rsidRDefault="009B7AED" w:rsidP="00A119E0">
      <w:pPr>
        <w:pStyle w:val="CallOut"/>
        <w:rPr>
          <w:bCs/>
        </w:rPr>
      </w:pPr>
      <w:r w:rsidRPr="00C36998">
        <w:t>If a more</w:t>
      </w:r>
      <w:r>
        <w:t>-</w:t>
      </w:r>
      <w:r w:rsidRPr="00C36998">
        <w:t>than</w:t>
      </w:r>
      <w:r>
        <w:t>-</w:t>
      </w:r>
      <w:r w:rsidRPr="00C36998">
        <w:t xml:space="preserve">6-digit station ID is used for the associated station </w:t>
      </w:r>
      <w:r>
        <w:t>record</w:t>
      </w:r>
      <w:r w:rsidRPr="00C36998">
        <w:t xml:space="preserve">, </w:t>
      </w:r>
      <w:r>
        <w:t>the pipe-</w:t>
      </w:r>
      <w:r w:rsidRPr="00C36998">
        <w:t>delimited format must be used for the v</w:t>
      </w:r>
      <w:r>
        <w:t>ehicle classification</w:t>
      </w:r>
      <w:r w:rsidRPr="00C36998">
        <w:t xml:space="preserve"> data</w:t>
      </w:r>
      <w:r>
        <w:t>,</w:t>
      </w:r>
      <w:r w:rsidRPr="00C36998">
        <w:t xml:space="preserve"> and the same number of digits </w:t>
      </w:r>
      <w:r>
        <w:t xml:space="preserve">for the station ID </w:t>
      </w:r>
      <w:r w:rsidRPr="00C36998">
        <w:t xml:space="preserve">need to be provided </w:t>
      </w:r>
      <w:r>
        <w:t>on the vehicle classification records</w:t>
      </w:r>
      <w:r w:rsidRPr="00C36998">
        <w:t>.</w:t>
      </w:r>
      <w:r>
        <w:t xml:space="preserve"> </w:t>
      </w:r>
    </w:p>
    <w:p w14:paraId="7E79B460" w14:textId="77777777" w:rsidR="009B7AED" w:rsidRPr="001546EF" w:rsidRDefault="009B7AED">
      <w:pPr>
        <w:pStyle w:val="Heading3"/>
      </w:pPr>
      <w:bookmarkStart w:id="3011" w:name="_Toc63976749"/>
      <w:bookmarkStart w:id="3012" w:name="_Toc109301282"/>
      <w:bookmarkStart w:id="3013" w:name="_Toc109333016"/>
      <w:bookmarkStart w:id="3014" w:name="_Toc109333609"/>
      <w:bookmarkStart w:id="3015" w:name="_Toc113281107"/>
      <w:bookmarkStart w:id="3016" w:name="_Toc118205695"/>
      <w:r w:rsidRPr="001546EF">
        <w:t>File Naming Recommendation</w:t>
      </w:r>
      <w:bookmarkEnd w:id="3011"/>
      <w:bookmarkEnd w:id="3012"/>
      <w:bookmarkEnd w:id="3013"/>
      <w:bookmarkEnd w:id="3014"/>
      <w:bookmarkEnd w:id="3015"/>
      <w:bookmarkEnd w:id="3016"/>
    </w:p>
    <w:p w14:paraId="1E09C4FB" w14:textId="77777777" w:rsidR="009B7AED" w:rsidRDefault="009B7AED" w:rsidP="00A35EAF">
      <w:pPr>
        <w:pStyle w:val="BodyText"/>
      </w:pPr>
      <w:r>
        <w:t xml:space="preserve">It is recommended that the file extension .CLA be used for all Vehicle Classification data. The filename should be descriptive to facilitate the deciphering of the file and its contents. </w:t>
      </w:r>
    </w:p>
    <w:p w14:paraId="77D69FA1" w14:textId="2888AC93" w:rsidR="009B7AED" w:rsidRPr="00352273" w:rsidRDefault="009B7AED" w:rsidP="00352273">
      <w:pPr>
        <w:pStyle w:val="Example"/>
      </w:pPr>
      <w:r w:rsidRPr="00352273">
        <w:t>An example file naming convention for the Vehicle Classification record is:</w:t>
      </w:r>
    </w:p>
    <w:p w14:paraId="7FB6EA81" w14:textId="77777777" w:rsidR="009B7AED" w:rsidRPr="00352273" w:rsidRDefault="009B7AED" w:rsidP="00352273">
      <w:pPr>
        <w:pStyle w:val="Example"/>
      </w:pPr>
      <w:r w:rsidRPr="00352273">
        <w:t>ssabcxyzmmyyyy.CLA</w:t>
      </w:r>
    </w:p>
    <w:p w14:paraId="274F635B" w14:textId="77777777" w:rsidR="009B7AED" w:rsidRPr="001546EF" w:rsidRDefault="009B7AED">
      <w:pPr>
        <w:pStyle w:val="Heading3"/>
      </w:pPr>
      <w:bookmarkStart w:id="3017" w:name="_Toc63976750"/>
      <w:bookmarkStart w:id="3018" w:name="_Toc109301283"/>
      <w:bookmarkStart w:id="3019" w:name="_Toc109333017"/>
      <w:bookmarkStart w:id="3020" w:name="_Toc109333610"/>
      <w:bookmarkStart w:id="3021" w:name="_Toc113281108"/>
      <w:bookmarkStart w:id="3022" w:name="_Toc118205696"/>
      <w:r>
        <w:t xml:space="preserve">Vehicle </w:t>
      </w:r>
      <w:r w:rsidRPr="001546EF">
        <w:t>Classification</w:t>
      </w:r>
      <w:r>
        <w:t xml:space="preserve"> – Fixed-Width</w:t>
      </w:r>
      <w:r w:rsidRPr="001546EF">
        <w:t xml:space="preserve"> Format</w:t>
      </w:r>
      <w:bookmarkEnd w:id="3017"/>
      <w:bookmarkEnd w:id="3018"/>
      <w:bookmarkEnd w:id="3019"/>
      <w:bookmarkEnd w:id="3020"/>
      <w:bookmarkEnd w:id="3021"/>
      <w:bookmarkEnd w:id="3022"/>
    </w:p>
    <w:p w14:paraId="2BA363B7" w14:textId="69C6483A" w:rsidR="009B7AED" w:rsidRDefault="00464453" w:rsidP="00A35EAF">
      <w:pPr>
        <w:pStyle w:val="BodyText"/>
      </w:pPr>
      <w:r>
        <w:fldChar w:fldCharType="begin"/>
      </w:r>
      <w:r>
        <w:instrText xml:space="preserve"> REF _Ref111193321 </w:instrText>
      </w:r>
      <w:r>
        <w:fldChar w:fldCharType="separate"/>
      </w:r>
      <w:r w:rsidR="00C07DF9">
        <w:t xml:space="preserve">Table </w:t>
      </w:r>
      <w:r w:rsidR="00C07DF9">
        <w:rPr>
          <w:noProof/>
        </w:rPr>
        <w:t>4</w:t>
      </w:r>
      <w:r w:rsidR="00C07DF9">
        <w:noBreakHyphen/>
      </w:r>
      <w:r w:rsidR="00C07DF9">
        <w:rPr>
          <w:noProof/>
        </w:rPr>
        <w:t>17</w:t>
      </w:r>
      <w:r>
        <w:rPr>
          <w:noProof/>
        </w:rPr>
        <w:fldChar w:fldCharType="end"/>
      </w:r>
      <w:r w:rsidR="009B7AED">
        <w:t xml:space="preserve"> summarizes the Vehicle Classification record format.</w:t>
      </w:r>
    </w:p>
    <w:p w14:paraId="36352C29" w14:textId="53FB16F7" w:rsidR="009B7AED" w:rsidRDefault="009B7AED" w:rsidP="000F2A7A">
      <w:pPr>
        <w:pStyle w:val="TMGTableCaption"/>
      </w:pPr>
      <w:bookmarkStart w:id="3023" w:name="_Ref111193321"/>
      <w:bookmarkStart w:id="3024" w:name="_Toc109333456"/>
      <w:bookmarkStart w:id="3025" w:name="_Toc109333784"/>
      <w:bookmarkStart w:id="3026" w:name="_Toc113282522"/>
      <w:bookmarkStart w:id="3027" w:name="_Toc114474859"/>
      <w:bookmarkStart w:id="3028" w:name="_Toc120631165"/>
      <w:r>
        <w:t xml:space="preserve">Table </w:t>
      </w:r>
      <w:fldSimple w:instr=" STYLEREF 1 \s ">
        <w:r w:rsidR="00C07DF9">
          <w:rPr>
            <w:noProof/>
          </w:rPr>
          <w:t>4</w:t>
        </w:r>
      </w:fldSimple>
      <w:r>
        <w:noBreakHyphen/>
      </w:r>
      <w:fldSimple w:instr=" SEQ Table \* ARABIC \s 1 ">
        <w:r w:rsidR="00C07DF9">
          <w:rPr>
            <w:noProof/>
          </w:rPr>
          <w:t>17</w:t>
        </w:r>
      </w:fldSimple>
      <w:bookmarkEnd w:id="3023"/>
      <w:r w:rsidR="00627DD7">
        <w:t>.</w:t>
      </w:r>
      <w:r>
        <w:t xml:space="preserve"> </w:t>
      </w:r>
      <w:r w:rsidRPr="00816049">
        <w:t>Vehicle Classification Record</w:t>
      </w:r>
      <w:r>
        <w:t xml:space="preserve"> – </w:t>
      </w:r>
      <w:r w:rsidRPr="00816049">
        <w:t>Fixed</w:t>
      </w:r>
      <w:r>
        <w:t>-</w:t>
      </w:r>
      <w:r w:rsidRPr="00816049">
        <w:t>Width</w:t>
      </w:r>
      <w:r>
        <w:t xml:space="preserve"> Format</w:t>
      </w:r>
      <w:bookmarkEnd w:id="3024"/>
      <w:bookmarkEnd w:id="3025"/>
      <w:bookmarkEnd w:id="3026"/>
      <w:bookmarkEnd w:id="3027"/>
      <w:bookmarkEnd w:id="3028"/>
    </w:p>
    <w:tbl>
      <w:tblPr>
        <w:tblStyle w:val="TableGrid"/>
        <w:tblW w:w="9360" w:type="dxa"/>
        <w:jc w:val="center"/>
        <w:tblCellMar>
          <w:left w:w="86" w:type="dxa"/>
          <w:right w:w="86" w:type="dxa"/>
        </w:tblCellMar>
        <w:tblLook w:val="04A0" w:firstRow="1" w:lastRow="0" w:firstColumn="1" w:lastColumn="0" w:noHBand="0" w:noVBand="1"/>
      </w:tblPr>
      <w:tblGrid>
        <w:gridCol w:w="624"/>
        <w:gridCol w:w="900"/>
        <w:gridCol w:w="686"/>
        <w:gridCol w:w="4265"/>
        <w:gridCol w:w="1530"/>
        <w:gridCol w:w="1355"/>
      </w:tblGrid>
      <w:tr w:rsidR="004D105A" w14:paraId="17C61AAD" w14:textId="77777777" w:rsidTr="004D105A">
        <w:trPr>
          <w:tblHeader/>
          <w:jc w:val="center"/>
        </w:trPr>
        <w:tc>
          <w:tcPr>
            <w:tcW w:w="624" w:type="dxa"/>
            <w:tcBorders>
              <w:right w:val="single" w:sz="4" w:space="0" w:color="FFFFFF" w:themeColor="background1"/>
            </w:tcBorders>
            <w:shd w:val="clear" w:color="auto" w:fill="1F3864"/>
          </w:tcPr>
          <w:p w14:paraId="522DA5EF" w14:textId="27FF67C7" w:rsidR="004D105A" w:rsidRDefault="004D105A" w:rsidP="004D105A">
            <w:pPr>
              <w:pStyle w:val="TMGTableTextHeader"/>
            </w:pPr>
            <w:r w:rsidRPr="00162A2C">
              <w:rPr>
                <w:rFonts w:eastAsiaTheme="minorEastAsia"/>
              </w:rPr>
              <w:t>Field</w:t>
            </w:r>
          </w:p>
        </w:tc>
        <w:tc>
          <w:tcPr>
            <w:tcW w:w="900" w:type="dxa"/>
            <w:tcBorders>
              <w:left w:val="single" w:sz="4" w:space="0" w:color="FFFFFF" w:themeColor="background1"/>
              <w:right w:val="single" w:sz="4" w:space="0" w:color="FFFFFF" w:themeColor="background1"/>
            </w:tcBorders>
            <w:shd w:val="clear" w:color="auto" w:fill="1F3864"/>
          </w:tcPr>
          <w:p w14:paraId="3C43ACD3" w14:textId="0C3CF724" w:rsidR="004D105A" w:rsidRDefault="004D105A" w:rsidP="004D105A">
            <w:pPr>
              <w:pStyle w:val="TMGTableTextHeader"/>
              <w:rPr>
                <w:rFonts w:eastAsia="MS Mincho"/>
              </w:rPr>
            </w:pPr>
            <w:r w:rsidRPr="00162A2C">
              <w:rPr>
                <w:rFonts w:eastAsiaTheme="minorEastAsia"/>
              </w:rPr>
              <w:t>Columns</w:t>
            </w:r>
          </w:p>
        </w:tc>
        <w:tc>
          <w:tcPr>
            <w:tcW w:w="686" w:type="dxa"/>
            <w:tcBorders>
              <w:left w:val="single" w:sz="4" w:space="0" w:color="FFFFFF" w:themeColor="background1"/>
              <w:right w:val="single" w:sz="4" w:space="0" w:color="FFFFFF" w:themeColor="background1"/>
            </w:tcBorders>
            <w:shd w:val="clear" w:color="auto" w:fill="1F3864"/>
          </w:tcPr>
          <w:p w14:paraId="0B49DCD1" w14:textId="19E1DC40" w:rsidR="004D105A" w:rsidRDefault="004D105A" w:rsidP="004D105A">
            <w:pPr>
              <w:pStyle w:val="TMGTableTextHeader"/>
              <w:rPr>
                <w:rFonts w:eastAsia="MS Mincho"/>
              </w:rPr>
            </w:pPr>
            <w:r w:rsidRPr="00162A2C">
              <w:rPr>
                <w:rFonts w:eastAsiaTheme="minorEastAsia"/>
              </w:rPr>
              <w:t>Width</w:t>
            </w:r>
          </w:p>
        </w:tc>
        <w:tc>
          <w:tcPr>
            <w:tcW w:w="4265" w:type="dxa"/>
            <w:tcBorders>
              <w:left w:val="single" w:sz="4" w:space="0" w:color="FFFFFF" w:themeColor="background1"/>
              <w:right w:val="single" w:sz="4" w:space="0" w:color="FFFFFF" w:themeColor="background1"/>
            </w:tcBorders>
            <w:shd w:val="clear" w:color="auto" w:fill="1F3864"/>
          </w:tcPr>
          <w:p w14:paraId="2BA90050" w14:textId="08CB3142" w:rsidR="004D105A" w:rsidRDefault="004D105A" w:rsidP="004D105A">
            <w:pPr>
              <w:pStyle w:val="TMGTableTextHeader"/>
              <w:rPr>
                <w:rFonts w:eastAsia="MS Mincho"/>
              </w:rPr>
            </w:pPr>
            <w:r w:rsidRPr="00162A2C">
              <w:rPr>
                <w:rFonts w:eastAsiaTheme="minorEastAsia"/>
              </w:rPr>
              <w:t>Description</w:t>
            </w:r>
          </w:p>
        </w:tc>
        <w:tc>
          <w:tcPr>
            <w:tcW w:w="1530" w:type="dxa"/>
            <w:tcBorders>
              <w:left w:val="single" w:sz="4" w:space="0" w:color="FFFFFF" w:themeColor="background1"/>
              <w:right w:val="single" w:sz="4" w:space="0" w:color="FFFFFF" w:themeColor="background1"/>
            </w:tcBorders>
            <w:shd w:val="clear" w:color="auto" w:fill="1F3864"/>
          </w:tcPr>
          <w:p w14:paraId="0D7DD45B" w14:textId="762D78AE" w:rsidR="004D105A" w:rsidRDefault="004D105A" w:rsidP="004D105A">
            <w:pPr>
              <w:pStyle w:val="TMGTableTextHeader"/>
              <w:rPr>
                <w:rFonts w:eastAsia="MS Mincho"/>
              </w:rPr>
            </w:pPr>
            <w:r w:rsidRPr="00162A2C">
              <w:rPr>
                <w:rFonts w:eastAsiaTheme="minorEastAsia"/>
              </w:rPr>
              <w:t>Type</w:t>
            </w:r>
          </w:p>
        </w:tc>
        <w:tc>
          <w:tcPr>
            <w:tcW w:w="1355" w:type="dxa"/>
            <w:tcBorders>
              <w:left w:val="single" w:sz="4" w:space="0" w:color="FFFFFF" w:themeColor="background1"/>
            </w:tcBorders>
            <w:shd w:val="clear" w:color="auto" w:fill="1F3864"/>
          </w:tcPr>
          <w:p w14:paraId="0DC69EC8" w14:textId="497BA4E5" w:rsidR="004D105A" w:rsidRDefault="004D105A" w:rsidP="004D105A">
            <w:pPr>
              <w:pStyle w:val="TMGTableTextHeader"/>
            </w:pPr>
            <w:r>
              <w:rPr>
                <w:rFonts w:eastAsiaTheme="minorEastAsia"/>
              </w:rPr>
              <w:t>Importance</w:t>
            </w:r>
          </w:p>
        </w:tc>
      </w:tr>
      <w:tr w:rsidR="004D105A" w14:paraId="7FB4C191" w14:textId="77777777" w:rsidTr="004D105A">
        <w:trPr>
          <w:jc w:val="center"/>
        </w:trPr>
        <w:tc>
          <w:tcPr>
            <w:tcW w:w="624" w:type="dxa"/>
            <w:vAlign w:val="center"/>
          </w:tcPr>
          <w:p w14:paraId="25FA2548" w14:textId="5534E9AD" w:rsidR="004D105A" w:rsidRPr="00C251E9" w:rsidRDefault="004D105A" w:rsidP="004D105A">
            <w:pPr>
              <w:pStyle w:val="TMGTableText"/>
              <w:ind w:left="0" w:right="86"/>
              <w:jc w:val="right"/>
              <w:rPr>
                <w:b/>
                <w:bCs/>
              </w:rPr>
            </w:pPr>
            <w:r w:rsidRPr="00162A2C">
              <w:rPr>
                <w:rFonts w:eastAsiaTheme="minorEastAsia"/>
                <w:b/>
                <w:bCs/>
              </w:rPr>
              <w:t>1</w:t>
            </w:r>
          </w:p>
        </w:tc>
        <w:tc>
          <w:tcPr>
            <w:tcW w:w="900" w:type="dxa"/>
          </w:tcPr>
          <w:p w14:paraId="08750B1C" w14:textId="69F56278" w:rsidR="004D105A" w:rsidRPr="004859C8" w:rsidRDefault="004D105A" w:rsidP="006220E7">
            <w:pPr>
              <w:pStyle w:val="TMGTableText"/>
              <w:jc w:val="center"/>
            </w:pPr>
            <w:r w:rsidRPr="0051590D">
              <w:rPr>
                <w:rFonts w:eastAsiaTheme="minorEastAsia"/>
              </w:rPr>
              <w:t>1</w:t>
            </w:r>
          </w:p>
        </w:tc>
        <w:tc>
          <w:tcPr>
            <w:tcW w:w="686" w:type="dxa"/>
          </w:tcPr>
          <w:p w14:paraId="0D37DD62" w14:textId="05CF8085" w:rsidR="004D105A" w:rsidRPr="004859C8" w:rsidRDefault="004D105A" w:rsidP="006220E7">
            <w:pPr>
              <w:pStyle w:val="TMGTableText"/>
              <w:jc w:val="center"/>
            </w:pPr>
            <w:r w:rsidRPr="0051590D">
              <w:rPr>
                <w:rFonts w:eastAsiaTheme="minorEastAsia"/>
              </w:rPr>
              <w:t>1</w:t>
            </w:r>
          </w:p>
        </w:tc>
        <w:tc>
          <w:tcPr>
            <w:tcW w:w="4265" w:type="dxa"/>
          </w:tcPr>
          <w:p w14:paraId="3334B286" w14:textId="04822984" w:rsidR="004D105A" w:rsidRPr="004859C8" w:rsidRDefault="004D105A" w:rsidP="004D105A">
            <w:pPr>
              <w:pStyle w:val="TMGTableText"/>
            </w:pPr>
            <w:r w:rsidRPr="0051590D">
              <w:rPr>
                <w:rFonts w:eastAsiaTheme="minorEastAsia"/>
              </w:rPr>
              <w:t>Record Type</w:t>
            </w:r>
            <w:r>
              <w:rPr>
                <w:rFonts w:eastAsiaTheme="minorEastAsia"/>
              </w:rPr>
              <w:t xml:space="preserve"> (RT)</w:t>
            </w:r>
          </w:p>
        </w:tc>
        <w:tc>
          <w:tcPr>
            <w:tcW w:w="1530" w:type="dxa"/>
          </w:tcPr>
          <w:p w14:paraId="07B181D2" w14:textId="107F4D1A" w:rsidR="004D105A" w:rsidRPr="004859C8" w:rsidRDefault="004D105A" w:rsidP="00D27311">
            <w:pPr>
              <w:pStyle w:val="TMGTableText"/>
              <w:jc w:val="center"/>
            </w:pPr>
            <w:r>
              <w:rPr>
                <w:rFonts w:eastAsiaTheme="minorEastAsia"/>
              </w:rPr>
              <w:t>Alphanumeric</w:t>
            </w:r>
          </w:p>
        </w:tc>
        <w:tc>
          <w:tcPr>
            <w:tcW w:w="1355" w:type="dxa"/>
          </w:tcPr>
          <w:p w14:paraId="68B4EB53" w14:textId="7EBD8EFF" w:rsidR="004D105A" w:rsidRPr="00C251E9" w:rsidRDefault="004D105A" w:rsidP="00D27311">
            <w:pPr>
              <w:pStyle w:val="TMGTableText"/>
              <w:jc w:val="center"/>
            </w:pPr>
            <w:r>
              <w:rPr>
                <w:rFonts w:eastAsiaTheme="minorEastAsia"/>
              </w:rPr>
              <w:t>Required</w:t>
            </w:r>
          </w:p>
        </w:tc>
      </w:tr>
      <w:tr w:rsidR="004D105A" w14:paraId="2C96588B" w14:textId="77777777" w:rsidTr="004D105A">
        <w:trPr>
          <w:jc w:val="center"/>
        </w:trPr>
        <w:tc>
          <w:tcPr>
            <w:tcW w:w="624" w:type="dxa"/>
            <w:vAlign w:val="center"/>
          </w:tcPr>
          <w:p w14:paraId="5472CAFD" w14:textId="4923C173" w:rsidR="004D105A" w:rsidRPr="00C251E9" w:rsidRDefault="004D105A" w:rsidP="004D105A">
            <w:pPr>
              <w:pStyle w:val="TMGTableText"/>
              <w:ind w:left="0" w:right="86"/>
              <w:jc w:val="right"/>
              <w:rPr>
                <w:b/>
                <w:bCs/>
              </w:rPr>
            </w:pPr>
            <w:r w:rsidRPr="00162A2C">
              <w:rPr>
                <w:rFonts w:eastAsiaTheme="minorEastAsia"/>
                <w:b/>
                <w:bCs/>
              </w:rPr>
              <w:t>2</w:t>
            </w:r>
          </w:p>
        </w:tc>
        <w:tc>
          <w:tcPr>
            <w:tcW w:w="900" w:type="dxa"/>
          </w:tcPr>
          <w:p w14:paraId="52E23ABA" w14:textId="7BC13982" w:rsidR="004D105A" w:rsidRPr="004859C8" w:rsidRDefault="004D105A" w:rsidP="006220E7">
            <w:pPr>
              <w:pStyle w:val="TMGTableText"/>
              <w:jc w:val="center"/>
            </w:pPr>
            <w:r w:rsidRPr="0051590D">
              <w:rPr>
                <w:rFonts w:eastAsiaTheme="minorEastAsia"/>
              </w:rPr>
              <w:t>2-3</w:t>
            </w:r>
          </w:p>
        </w:tc>
        <w:tc>
          <w:tcPr>
            <w:tcW w:w="686" w:type="dxa"/>
          </w:tcPr>
          <w:p w14:paraId="4BF3E436" w14:textId="3EC81D2C" w:rsidR="004D105A" w:rsidRPr="004859C8" w:rsidRDefault="004D105A" w:rsidP="006220E7">
            <w:pPr>
              <w:pStyle w:val="TMGTableText"/>
              <w:jc w:val="center"/>
            </w:pPr>
            <w:r w:rsidRPr="0051590D">
              <w:rPr>
                <w:rFonts w:eastAsiaTheme="minorEastAsia"/>
              </w:rPr>
              <w:t>2</w:t>
            </w:r>
          </w:p>
        </w:tc>
        <w:tc>
          <w:tcPr>
            <w:tcW w:w="4265" w:type="dxa"/>
          </w:tcPr>
          <w:p w14:paraId="6686C202" w14:textId="1E13FF06" w:rsidR="004D105A" w:rsidRPr="004859C8" w:rsidRDefault="004D105A" w:rsidP="004D105A">
            <w:pPr>
              <w:pStyle w:val="TMGTableText"/>
            </w:pPr>
            <w:r w:rsidRPr="0051590D">
              <w:rPr>
                <w:rFonts w:eastAsiaTheme="minorEastAsia"/>
              </w:rPr>
              <w:t>FIPS State Code</w:t>
            </w:r>
            <w:r>
              <w:rPr>
                <w:rFonts w:eastAsiaTheme="minorEastAsia"/>
              </w:rPr>
              <w:t xml:space="preserve"> (SFIPS)</w:t>
            </w:r>
          </w:p>
        </w:tc>
        <w:tc>
          <w:tcPr>
            <w:tcW w:w="1530" w:type="dxa"/>
          </w:tcPr>
          <w:p w14:paraId="5ACDB120" w14:textId="002B3B16" w:rsidR="004D105A" w:rsidRPr="004859C8" w:rsidRDefault="004D105A" w:rsidP="00D27311">
            <w:pPr>
              <w:pStyle w:val="TMGTableText"/>
              <w:jc w:val="center"/>
            </w:pPr>
            <w:r>
              <w:rPr>
                <w:rFonts w:eastAsiaTheme="minorEastAsia"/>
              </w:rPr>
              <w:t>Integer</w:t>
            </w:r>
          </w:p>
        </w:tc>
        <w:tc>
          <w:tcPr>
            <w:tcW w:w="1355" w:type="dxa"/>
          </w:tcPr>
          <w:p w14:paraId="727278EF" w14:textId="15866D6C" w:rsidR="004D105A" w:rsidRPr="00C251E9" w:rsidRDefault="004D105A" w:rsidP="00D27311">
            <w:pPr>
              <w:pStyle w:val="TMGTableText"/>
              <w:jc w:val="center"/>
            </w:pPr>
            <w:r>
              <w:rPr>
                <w:rFonts w:eastAsiaTheme="minorEastAsia"/>
              </w:rPr>
              <w:t>Required</w:t>
            </w:r>
          </w:p>
        </w:tc>
      </w:tr>
      <w:tr w:rsidR="004D105A" w14:paraId="4E3EE17E" w14:textId="77777777" w:rsidTr="004D105A">
        <w:trPr>
          <w:jc w:val="center"/>
        </w:trPr>
        <w:tc>
          <w:tcPr>
            <w:tcW w:w="624" w:type="dxa"/>
            <w:vAlign w:val="center"/>
          </w:tcPr>
          <w:p w14:paraId="50E3381D" w14:textId="61208513" w:rsidR="004D105A" w:rsidRPr="00C251E9" w:rsidRDefault="004D105A" w:rsidP="004D105A">
            <w:pPr>
              <w:pStyle w:val="TMGTableText"/>
              <w:ind w:left="0" w:right="86"/>
              <w:jc w:val="right"/>
              <w:rPr>
                <w:b/>
                <w:bCs/>
              </w:rPr>
            </w:pPr>
            <w:r w:rsidRPr="00162A2C">
              <w:rPr>
                <w:rFonts w:eastAsiaTheme="minorEastAsia"/>
                <w:b/>
                <w:bCs/>
              </w:rPr>
              <w:t>3</w:t>
            </w:r>
          </w:p>
        </w:tc>
        <w:tc>
          <w:tcPr>
            <w:tcW w:w="900" w:type="dxa"/>
          </w:tcPr>
          <w:p w14:paraId="37EC85E1" w14:textId="379E24FE" w:rsidR="004D105A" w:rsidRPr="004859C8" w:rsidRDefault="004D105A" w:rsidP="006220E7">
            <w:pPr>
              <w:pStyle w:val="TMGTableText"/>
              <w:jc w:val="center"/>
            </w:pPr>
            <w:r w:rsidRPr="0051590D">
              <w:rPr>
                <w:rFonts w:eastAsiaTheme="minorEastAsia"/>
              </w:rPr>
              <w:t>4-9</w:t>
            </w:r>
          </w:p>
        </w:tc>
        <w:tc>
          <w:tcPr>
            <w:tcW w:w="686" w:type="dxa"/>
          </w:tcPr>
          <w:p w14:paraId="07D8DE4F" w14:textId="48FDF053" w:rsidR="004D105A" w:rsidRPr="004859C8" w:rsidRDefault="004D105A" w:rsidP="006220E7">
            <w:pPr>
              <w:pStyle w:val="TMGTableText"/>
              <w:jc w:val="center"/>
            </w:pPr>
            <w:r w:rsidRPr="0051590D">
              <w:rPr>
                <w:rFonts w:eastAsiaTheme="minorEastAsia"/>
              </w:rPr>
              <w:t>6</w:t>
            </w:r>
          </w:p>
        </w:tc>
        <w:tc>
          <w:tcPr>
            <w:tcW w:w="4265" w:type="dxa"/>
          </w:tcPr>
          <w:p w14:paraId="25D540D0" w14:textId="50F98801" w:rsidR="004D105A" w:rsidRPr="004859C8" w:rsidRDefault="004D105A" w:rsidP="004D105A">
            <w:pPr>
              <w:pStyle w:val="TMGTableText"/>
            </w:pPr>
            <w:r w:rsidRPr="0051590D">
              <w:rPr>
                <w:rFonts w:eastAsiaTheme="minorEastAsia"/>
              </w:rPr>
              <w:t>Station ID</w:t>
            </w:r>
            <w:r>
              <w:rPr>
                <w:rFonts w:eastAsiaTheme="minorEastAsia"/>
              </w:rPr>
              <w:t xml:space="preserve"> (ID)</w:t>
            </w:r>
          </w:p>
        </w:tc>
        <w:tc>
          <w:tcPr>
            <w:tcW w:w="1530" w:type="dxa"/>
          </w:tcPr>
          <w:p w14:paraId="01242350" w14:textId="0FE35EC4" w:rsidR="004D105A" w:rsidRPr="004859C8" w:rsidRDefault="004D105A" w:rsidP="00D27311">
            <w:pPr>
              <w:pStyle w:val="TMGTableText"/>
              <w:jc w:val="center"/>
            </w:pPr>
            <w:r>
              <w:rPr>
                <w:rFonts w:eastAsiaTheme="minorEastAsia"/>
              </w:rPr>
              <w:t>Alphanumeric</w:t>
            </w:r>
          </w:p>
        </w:tc>
        <w:tc>
          <w:tcPr>
            <w:tcW w:w="1355" w:type="dxa"/>
          </w:tcPr>
          <w:p w14:paraId="626B6CEE" w14:textId="20B734DC" w:rsidR="004D105A" w:rsidRPr="00C251E9" w:rsidRDefault="004D105A" w:rsidP="00D27311">
            <w:pPr>
              <w:pStyle w:val="TMGTableText"/>
              <w:jc w:val="center"/>
            </w:pPr>
            <w:r>
              <w:rPr>
                <w:rFonts w:eastAsiaTheme="minorEastAsia"/>
              </w:rPr>
              <w:t>Required</w:t>
            </w:r>
          </w:p>
        </w:tc>
      </w:tr>
      <w:tr w:rsidR="004D105A" w14:paraId="3D1D3010" w14:textId="77777777" w:rsidTr="004D105A">
        <w:trPr>
          <w:jc w:val="center"/>
        </w:trPr>
        <w:tc>
          <w:tcPr>
            <w:tcW w:w="624" w:type="dxa"/>
            <w:vAlign w:val="center"/>
          </w:tcPr>
          <w:p w14:paraId="484963F7" w14:textId="2F73A37B" w:rsidR="004D105A" w:rsidRPr="00C251E9" w:rsidRDefault="004D105A" w:rsidP="004D105A">
            <w:pPr>
              <w:pStyle w:val="TMGTableText"/>
              <w:ind w:left="0" w:right="86"/>
              <w:jc w:val="right"/>
              <w:rPr>
                <w:b/>
                <w:bCs/>
              </w:rPr>
            </w:pPr>
            <w:r w:rsidRPr="00162A2C">
              <w:rPr>
                <w:rFonts w:eastAsiaTheme="minorEastAsia"/>
                <w:b/>
                <w:bCs/>
              </w:rPr>
              <w:t>4</w:t>
            </w:r>
          </w:p>
        </w:tc>
        <w:tc>
          <w:tcPr>
            <w:tcW w:w="900" w:type="dxa"/>
          </w:tcPr>
          <w:p w14:paraId="428CDB9B" w14:textId="02536B12" w:rsidR="004D105A" w:rsidRPr="004859C8" w:rsidRDefault="004D105A" w:rsidP="006220E7">
            <w:pPr>
              <w:pStyle w:val="TMGTableText"/>
              <w:jc w:val="center"/>
            </w:pPr>
            <w:r w:rsidRPr="0051590D">
              <w:rPr>
                <w:rFonts w:eastAsiaTheme="minorEastAsia"/>
              </w:rPr>
              <w:t>10</w:t>
            </w:r>
          </w:p>
        </w:tc>
        <w:tc>
          <w:tcPr>
            <w:tcW w:w="686" w:type="dxa"/>
          </w:tcPr>
          <w:p w14:paraId="30D18E8B" w14:textId="553F4CA8" w:rsidR="004D105A" w:rsidRPr="004859C8" w:rsidRDefault="004D105A" w:rsidP="006220E7">
            <w:pPr>
              <w:pStyle w:val="TMGTableText"/>
              <w:jc w:val="center"/>
            </w:pPr>
            <w:r w:rsidRPr="0051590D">
              <w:rPr>
                <w:rFonts w:eastAsiaTheme="minorEastAsia"/>
              </w:rPr>
              <w:t>1</w:t>
            </w:r>
          </w:p>
        </w:tc>
        <w:tc>
          <w:tcPr>
            <w:tcW w:w="4265" w:type="dxa"/>
          </w:tcPr>
          <w:p w14:paraId="72563E0A" w14:textId="786CAEEF" w:rsidR="004D105A" w:rsidRPr="004859C8" w:rsidRDefault="004D105A" w:rsidP="004D105A">
            <w:pPr>
              <w:pStyle w:val="TMGTableText"/>
            </w:pPr>
            <w:r w:rsidRPr="0051590D">
              <w:rPr>
                <w:rFonts w:eastAsiaTheme="minorEastAsia"/>
              </w:rPr>
              <w:t xml:space="preserve">Direction of Travel </w:t>
            </w:r>
            <w:r>
              <w:rPr>
                <w:rFonts w:eastAsiaTheme="minorEastAsia"/>
              </w:rPr>
              <w:t>(DIR)</w:t>
            </w:r>
          </w:p>
        </w:tc>
        <w:tc>
          <w:tcPr>
            <w:tcW w:w="1530" w:type="dxa"/>
          </w:tcPr>
          <w:p w14:paraId="7196F3C6" w14:textId="7C7FF8DD" w:rsidR="004D105A" w:rsidRPr="004859C8" w:rsidRDefault="004D105A" w:rsidP="00D27311">
            <w:pPr>
              <w:pStyle w:val="TMGTableText"/>
              <w:jc w:val="center"/>
            </w:pPr>
            <w:r w:rsidRPr="007F66C3">
              <w:rPr>
                <w:rFonts w:eastAsiaTheme="minorEastAsia"/>
              </w:rPr>
              <w:t>Integer</w:t>
            </w:r>
          </w:p>
        </w:tc>
        <w:tc>
          <w:tcPr>
            <w:tcW w:w="1355" w:type="dxa"/>
          </w:tcPr>
          <w:p w14:paraId="4712F3BB" w14:textId="547B21CE" w:rsidR="004D105A" w:rsidRPr="00C251E9" w:rsidRDefault="004D105A" w:rsidP="00D27311">
            <w:pPr>
              <w:pStyle w:val="TMGTableText"/>
              <w:jc w:val="center"/>
            </w:pPr>
            <w:r>
              <w:rPr>
                <w:rFonts w:eastAsiaTheme="minorEastAsia"/>
              </w:rPr>
              <w:t>Required</w:t>
            </w:r>
          </w:p>
        </w:tc>
      </w:tr>
      <w:tr w:rsidR="004D105A" w14:paraId="17B4114D" w14:textId="77777777" w:rsidTr="004D105A">
        <w:trPr>
          <w:jc w:val="center"/>
        </w:trPr>
        <w:tc>
          <w:tcPr>
            <w:tcW w:w="624" w:type="dxa"/>
            <w:vAlign w:val="center"/>
          </w:tcPr>
          <w:p w14:paraId="625C26F9" w14:textId="12CCCEDB" w:rsidR="004D105A" w:rsidRPr="00C251E9" w:rsidRDefault="004D105A" w:rsidP="004D105A">
            <w:pPr>
              <w:pStyle w:val="TMGTableText"/>
              <w:ind w:left="0" w:right="86"/>
              <w:jc w:val="right"/>
              <w:rPr>
                <w:b/>
                <w:bCs/>
              </w:rPr>
            </w:pPr>
            <w:r w:rsidRPr="00162A2C">
              <w:rPr>
                <w:rFonts w:eastAsiaTheme="minorEastAsia"/>
                <w:b/>
                <w:bCs/>
              </w:rPr>
              <w:t>5</w:t>
            </w:r>
          </w:p>
        </w:tc>
        <w:tc>
          <w:tcPr>
            <w:tcW w:w="900" w:type="dxa"/>
          </w:tcPr>
          <w:p w14:paraId="045004BD" w14:textId="56285411" w:rsidR="004D105A" w:rsidRPr="004859C8" w:rsidRDefault="004D105A" w:rsidP="006220E7">
            <w:pPr>
              <w:pStyle w:val="TMGTableText"/>
              <w:jc w:val="center"/>
            </w:pPr>
            <w:r w:rsidRPr="0051590D">
              <w:rPr>
                <w:rFonts w:eastAsiaTheme="minorEastAsia"/>
              </w:rPr>
              <w:t>11</w:t>
            </w:r>
          </w:p>
        </w:tc>
        <w:tc>
          <w:tcPr>
            <w:tcW w:w="686" w:type="dxa"/>
          </w:tcPr>
          <w:p w14:paraId="0CD277D1" w14:textId="642DE5F7" w:rsidR="004D105A" w:rsidRPr="004859C8" w:rsidRDefault="004D105A" w:rsidP="006220E7">
            <w:pPr>
              <w:pStyle w:val="TMGTableText"/>
              <w:jc w:val="center"/>
            </w:pPr>
            <w:r w:rsidRPr="0051590D">
              <w:rPr>
                <w:rFonts w:eastAsiaTheme="minorEastAsia"/>
              </w:rPr>
              <w:t>1</w:t>
            </w:r>
          </w:p>
        </w:tc>
        <w:tc>
          <w:tcPr>
            <w:tcW w:w="4265" w:type="dxa"/>
          </w:tcPr>
          <w:p w14:paraId="014B4666" w14:textId="4FDC341C" w:rsidR="004D105A" w:rsidRPr="004859C8" w:rsidRDefault="004D105A" w:rsidP="004D105A">
            <w:pPr>
              <w:pStyle w:val="TMGTableText"/>
            </w:pPr>
            <w:r w:rsidRPr="0051590D">
              <w:rPr>
                <w:rFonts w:eastAsiaTheme="minorEastAsia"/>
              </w:rPr>
              <w:t>Lane of Travel</w:t>
            </w:r>
            <w:r>
              <w:rPr>
                <w:rFonts w:eastAsiaTheme="minorEastAsia"/>
              </w:rPr>
              <w:t xml:space="preserve"> (LN)</w:t>
            </w:r>
          </w:p>
        </w:tc>
        <w:tc>
          <w:tcPr>
            <w:tcW w:w="1530" w:type="dxa"/>
          </w:tcPr>
          <w:p w14:paraId="3FD876BE" w14:textId="4DC7E7EB" w:rsidR="004D105A" w:rsidRPr="004859C8" w:rsidRDefault="004D105A" w:rsidP="00D27311">
            <w:pPr>
              <w:pStyle w:val="TMGTableText"/>
              <w:jc w:val="center"/>
            </w:pPr>
            <w:r w:rsidRPr="007F66C3">
              <w:rPr>
                <w:rFonts w:eastAsiaTheme="minorEastAsia"/>
              </w:rPr>
              <w:t>Integer</w:t>
            </w:r>
          </w:p>
        </w:tc>
        <w:tc>
          <w:tcPr>
            <w:tcW w:w="1355" w:type="dxa"/>
          </w:tcPr>
          <w:p w14:paraId="6E503FFF" w14:textId="091902BC" w:rsidR="004D105A" w:rsidRPr="00C251E9" w:rsidRDefault="004D105A" w:rsidP="00D27311">
            <w:pPr>
              <w:pStyle w:val="TMGTableText"/>
              <w:jc w:val="center"/>
            </w:pPr>
            <w:r>
              <w:rPr>
                <w:rFonts w:eastAsiaTheme="minorEastAsia"/>
              </w:rPr>
              <w:t>Required</w:t>
            </w:r>
          </w:p>
        </w:tc>
      </w:tr>
      <w:tr w:rsidR="004D105A" w14:paraId="7C0B589E" w14:textId="77777777" w:rsidTr="004D105A">
        <w:trPr>
          <w:jc w:val="center"/>
        </w:trPr>
        <w:tc>
          <w:tcPr>
            <w:tcW w:w="624" w:type="dxa"/>
            <w:vAlign w:val="center"/>
          </w:tcPr>
          <w:p w14:paraId="7F38E13A" w14:textId="4A3F1122" w:rsidR="004D105A" w:rsidRPr="00C251E9" w:rsidRDefault="004D105A" w:rsidP="004D105A">
            <w:pPr>
              <w:pStyle w:val="TMGTableText"/>
              <w:ind w:left="0" w:right="86"/>
              <w:jc w:val="right"/>
              <w:rPr>
                <w:b/>
                <w:bCs/>
              </w:rPr>
            </w:pPr>
            <w:r w:rsidRPr="00162A2C">
              <w:rPr>
                <w:rFonts w:eastAsiaTheme="minorEastAsia"/>
                <w:b/>
                <w:bCs/>
              </w:rPr>
              <w:t>6</w:t>
            </w:r>
          </w:p>
        </w:tc>
        <w:tc>
          <w:tcPr>
            <w:tcW w:w="900" w:type="dxa"/>
          </w:tcPr>
          <w:p w14:paraId="44257CF5" w14:textId="708118D2" w:rsidR="004D105A" w:rsidRPr="004859C8" w:rsidRDefault="004D105A" w:rsidP="006220E7">
            <w:pPr>
              <w:pStyle w:val="TMGTableText"/>
              <w:jc w:val="center"/>
            </w:pPr>
            <w:r w:rsidRPr="0051590D">
              <w:rPr>
                <w:rFonts w:eastAsiaTheme="minorEastAsia"/>
              </w:rPr>
              <w:t>12-15</w:t>
            </w:r>
          </w:p>
        </w:tc>
        <w:tc>
          <w:tcPr>
            <w:tcW w:w="686" w:type="dxa"/>
          </w:tcPr>
          <w:p w14:paraId="6D37ABD3" w14:textId="23A21778" w:rsidR="004D105A" w:rsidRPr="004859C8" w:rsidRDefault="004D105A" w:rsidP="006220E7">
            <w:pPr>
              <w:pStyle w:val="TMGTableText"/>
              <w:jc w:val="center"/>
            </w:pPr>
            <w:r w:rsidRPr="0051590D">
              <w:rPr>
                <w:rFonts w:eastAsiaTheme="minorEastAsia"/>
              </w:rPr>
              <w:t>4</w:t>
            </w:r>
          </w:p>
        </w:tc>
        <w:tc>
          <w:tcPr>
            <w:tcW w:w="4265" w:type="dxa"/>
          </w:tcPr>
          <w:p w14:paraId="0BC7C247" w14:textId="1C6B0EB8" w:rsidR="004D105A" w:rsidRPr="004859C8" w:rsidRDefault="004D105A" w:rsidP="004D105A">
            <w:pPr>
              <w:pStyle w:val="TMGTableText"/>
            </w:pPr>
            <w:r w:rsidRPr="0051590D">
              <w:rPr>
                <w:rFonts w:eastAsiaTheme="minorEastAsia"/>
              </w:rPr>
              <w:t>Year of Data</w:t>
            </w:r>
            <w:r>
              <w:rPr>
                <w:rFonts w:eastAsiaTheme="minorEastAsia"/>
              </w:rPr>
              <w:t xml:space="preserve"> (YR)</w:t>
            </w:r>
          </w:p>
        </w:tc>
        <w:tc>
          <w:tcPr>
            <w:tcW w:w="1530" w:type="dxa"/>
          </w:tcPr>
          <w:p w14:paraId="0974E4C1" w14:textId="52205E31" w:rsidR="004D105A" w:rsidRPr="004859C8" w:rsidRDefault="004D105A" w:rsidP="00D27311">
            <w:pPr>
              <w:pStyle w:val="TMGTableText"/>
              <w:jc w:val="center"/>
            </w:pPr>
            <w:r w:rsidRPr="007F66C3">
              <w:rPr>
                <w:rFonts w:eastAsiaTheme="minorEastAsia"/>
              </w:rPr>
              <w:t>Integer</w:t>
            </w:r>
          </w:p>
        </w:tc>
        <w:tc>
          <w:tcPr>
            <w:tcW w:w="1355" w:type="dxa"/>
          </w:tcPr>
          <w:p w14:paraId="6478741D" w14:textId="3ECA643A" w:rsidR="004D105A" w:rsidRPr="00C251E9" w:rsidRDefault="004D105A" w:rsidP="00D27311">
            <w:pPr>
              <w:pStyle w:val="TMGTableText"/>
              <w:jc w:val="center"/>
            </w:pPr>
            <w:r>
              <w:rPr>
                <w:rFonts w:eastAsiaTheme="minorEastAsia"/>
              </w:rPr>
              <w:t>Required</w:t>
            </w:r>
          </w:p>
        </w:tc>
      </w:tr>
      <w:tr w:rsidR="004D105A" w14:paraId="0E3185D5" w14:textId="77777777" w:rsidTr="004D105A">
        <w:trPr>
          <w:jc w:val="center"/>
        </w:trPr>
        <w:tc>
          <w:tcPr>
            <w:tcW w:w="624" w:type="dxa"/>
            <w:vAlign w:val="center"/>
          </w:tcPr>
          <w:p w14:paraId="38C7BE0F" w14:textId="7573EA85" w:rsidR="004D105A" w:rsidRPr="00C251E9" w:rsidRDefault="004D105A" w:rsidP="004D105A">
            <w:pPr>
              <w:pStyle w:val="TMGTableText"/>
              <w:ind w:left="0" w:right="86"/>
              <w:jc w:val="right"/>
              <w:rPr>
                <w:b/>
                <w:bCs/>
              </w:rPr>
            </w:pPr>
            <w:r w:rsidRPr="00162A2C">
              <w:rPr>
                <w:rFonts w:eastAsiaTheme="minorEastAsia"/>
                <w:b/>
                <w:bCs/>
              </w:rPr>
              <w:t>7</w:t>
            </w:r>
          </w:p>
        </w:tc>
        <w:tc>
          <w:tcPr>
            <w:tcW w:w="900" w:type="dxa"/>
          </w:tcPr>
          <w:p w14:paraId="61D31AF1" w14:textId="7AF8EE45" w:rsidR="004D105A" w:rsidRPr="004859C8" w:rsidRDefault="004D105A" w:rsidP="006220E7">
            <w:pPr>
              <w:pStyle w:val="TMGTableText"/>
              <w:jc w:val="center"/>
            </w:pPr>
            <w:r w:rsidRPr="0051590D">
              <w:rPr>
                <w:rFonts w:eastAsiaTheme="minorEastAsia"/>
              </w:rPr>
              <w:t>16-17</w:t>
            </w:r>
          </w:p>
        </w:tc>
        <w:tc>
          <w:tcPr>
            <w:tcW w:w="686" w:type="dxa"/>
          </w:tcPr>
          <w:p w14:paraId="7ABD730D" w14:textId="3AD9B3F2" w:rsidR="004D105A" w:rsidRPr="004859C8" w:rsidRDefault="004D105A" w:rsidP="006220E7">
            <w:pPr>
              <w:pStyle w:val="TMGTableText"/>
              <w:jc w:val="center"/>
            </w:pPr>
            <w:r w:rsidRPr="0051590D">
              <w:rPr>
                <w:rFonts w:eastAsiaTheme="minorEastAsia"/>
              </w:rPr>
              <w:t>2</w:t>
            </w:r>
          </w:p>
        </w:tc>
        <w:tc>
          <w:tcPr>
            <w:tcW w:w="4265" w:type="dxa"/>
          </w:tcPr>
          <w:p w14:paraId="50F3C251" w14:textId="4CD90D86" w:rsidR="004D105A" w:rsidRPr="004859C8" w:rsidRDefault="004D105A" w:rsidP="004D105A">
            <w:pPr>
              <w:pStyle w:val="TMGTableText"/>
            </w:pPr>
            <w:r w:rsidRPr="0051590D">
              <w:rPr>
                <w:rFonts w:eastAsiaTheme="minorEastAsia"/>
              </w:rPr>
              <w:t xml:space="preserve">Month of </w:t>
            </w:r>
            <w:r>
              <w:rPr>
                <w:rFonts w:eastAsiaTheme="minorEastAsia"/>
              </w:rPr>
              <w:t>Year (MOY)</w:t>
            </w:r>
          </w:p>
        </w:tc>
        <w:tc>
          <w:tcPr>
            <w:tcW w:w="1530" w:type="dxa"/>
          </w:tcPr>
          <w:p w14:paraId="32727C5C" w14:textId="3DE8B9E0" w:rsidR="004D105A" w:rsidRPr="004859C8" w:rsidRDefault="004D105A" w:rsidP="00D27311">
            <w:pPr>
              <w:pStyle w:val="TMGTableText"/>
              <w:jc w:val="center"/>
            </w:pPr>
            <w:r w:rsidRPr="007F66C3">
              <w:rPr>
                <w:rFonts w:eastAsiaTheme="minorEastAsia"/>
              </w:rPr>
              <w:t>Integer</w:t>
            </w:r>
          </w:p>
        </w:tc>
        <w:tc>
          <w:tcPr>
            <w:tcW w:w="1355" w:type="dxa"/>
          </w:tcPr>
          <w:p w14:paraId="6D19B494" w14:textId="242FAB4E" w:rsidR="004D105A" w:rsidRPr="00C251E9" w:rsidRDefault="004D105A" w:rsidP="00D27311">
            <w:pPr>
              <w:pStyle w:val="TMGTableText"/>
              <w:jc w:val="center"/>
            </w:pPr>
            <w:r>
              <w:rPr>
                <w:rFonts w:eastAsiaTheme="minorEastAsia"/>
              </w:rPr>
              <w:t>Required</w:t>
            </w:r>
          </w:p>
        </w:tc>
      </w:tr>
      <w:tr w:rsidR="004D105A" w14:paraId="7606FC53" w14:textId="77777777" w:rsidTr="004D105A">
        <w:trPr>
          <w:jc w:val="center"/>
        </w:trPr>
        <w:tc>
          <w:tcPr>
            <w:tcW w:w="624" w:type="dxa"/>
            <w:vAlign w:val="center"/>
          </w:tcPr>
          <w:p w14:paraId="71C7A5D5" w14:textId="53CB9C83" w:rsidR="004D105A" w:rsidRPr="00C251E9" w:rsidRDefault="004D105A" w:rsidP="004D105A">
            <w:pPr>
              <w:pStyle w:val="TMGTableText"/>
              <w:ind w:left="0" w:right="86"/>
              <w:jc w:val="right"/>
              <w:rPr>
                <w:b/>
                <w:bCs/>
              </w:rPr>
            </w:pPr>
            <w:r w:rsidRPr="00162A2C">
              <w:rPr>
                <w:rFonts w:eastAsiaTheme="minorEastAsia"/>
                <w:b/>
                <w:bCs/>
              </w:rPr>
              <w:t>8</w:t>
            </w:r>
          </w:p>
        </w:tc>
        <w:tc>
          <w:tcPr>
            <w:tcW w:w="900" w:type="dxa"/>
          </w:tcPr>
          <w:p w14:paraId="1331D398" w14:textId="45402AE0" w:rsidR="004D105A" w:rsidRPr="004859C8" w:rsidRDefault="004D105A" w:rsidP="006220E7">
            <w:pPr>
              <w:pStyle w:val="TMGTableText"/>
              <w:jc w:val="center"/>
            </w:pPr>
            <w:r w:rsidRPr="0051590D">
              <w:rPr>
                <w:rFonts w:eastAsiaTheme="minorEastAsia"/>
              </w:rPr>
              <w:t>18-19</w:t>
            </w:r>
          </w:p>
        </w:tc>
        <w:tc>
          <w:tcPr>
            <w:tcW w:w="686" w:type="dxa"/>
          </w:tcPr>
          <w:p w14:paraId="798F2164" w14:textId="49B9B2AF" w:rsidR="004D105A" w:rsidRPr="004859C8" w:rsidRDefault="004D105A" w:rsidP="006220E7">
            <w:pPr>
              <w:pStyle w:val="TMGTableText"/>
              <w:jc w:val="center"/>
            </w:pPr>
            <w:r w:rsidRPr="0051590D">
              <w:rPr>
                <w:rFonts w:eastAsiaTheme="minorEastAsia"/>
              </w:rPr>
              <w:t>2</w:t>
            </w:r>
          </w:p>
        </w:tc>
        <w:tc>
          <w:tcPr>
            <w:tcW w:w="4265" w:type="dxa"/>
          </w:tcPr>
          <w:p w14:paraId="0300FBDB" w14:textId="7408BF35" w:rsidR="004D105A" w:rsidRPr="004859C8" w:rsidRDefault="004D105A" w:rsidP="004D105A">
            <w:pPr>
              <w:pStyle w:val="TMGTableText"/>
            </w:pPr>
            <w:r w:rsidRPr="0051590D">
              <w:rPr>
                <w:rFonts w:eastAsiaTheme="minorEastAsia"/>
              </w:rPr>
              <w:t xml:space="preserve">Day of </w:t>
            </w:r>
            <w:r>
              <w:rPr>
                <w:rFonts w:eastAsiaTheme="minorEastAsia"/>
              </w:rPr>
              <w:t>Month (DOM)</w:t>
            </w:r>
          </w:p>
        </w:tc>
        <w:tc>
          <w:tcPr>
            <w:tcW w:w="1530" w:type="dxa"/>
          </w:tcPr>
          <w:p w14:paraId="57CAC438" w14:textId="0E9C5A14" w:rsidR="004D105A" w:rsidRPr="004859C8" w:rsidRDefault="004D105A" w:rsidP="00D27311">
            <w:pPr>
              <w:pStyle w:val="TMGTableText"/>
              <w:jc w:val="center"/>
            </w:pPr>
            <w:r w:rsidRPr="007F66C3">
              <w:rPr>
                <w:rFonts w:eastAsiaTheme="minorEastAsia"/>
              </w:rPr>
              <w:t>Integer</w:t>
            </w:r>
          </w:p>
        </w:tc>
        <w:tc>
          <w:tcPr>
            <w:tcW w:w="1355" w:type="dxa"/>
          </w:tcPr>
          <w:p w14:paraId="18D67303" w14:textId="1F3874A1" w:rsidR="004D105A" w:rsidRPr="00C251E9" w:rsidRDefault="004D105A" w:rsidP="00D27311">
            <w:pPr>
              <w:pStyle w:val="TMGTableText"/>
              <w:jc w:val="center"/>
            </w:pPr>
            <w:r>
              <w:rPr>
                <w:rFonts w:eastAsiaTheme="minorEastAsia"/>
              </w:rPr>
              <w:t>Required</w:t>
            </w:r>
          </w:p>
        </w:tc>
      </w:tr>
      <w:tr w:rsidR="004D105A" w14:paraId="3A45D12E" w14:textId="77777777" w:rsidTr="004D105A">
        <w:trPr>
          <w:jc w:val="center"/>
        </w:trPr>
        <w:tc>
          <w:tcPr>
            <w:tcW w:w="624" w:type="dxa"/>
            <w:vAlign w:val="center"/>
          </w:tcPr>
          <w:p w14:paraId="71B6866D" w14:textId="53DF0347" w:rsidR="004D105A" w:rsidRPr="00C251E9" w:rsidRDefault="004D105A" w:rsidP="004D105A">
            <w:pPr>
              <w:pStyle w:val="TMGTableText"/>
              <w:ind w:left="0" w:right="86"/>
              <w:jc w:val="right"/>
              <w:rPr>
                <w:b/>
                <w:bCs/>
              </w:rPr>
            </w:pPr>
            <w:r w:rsidRPr="00162A2C">
              <w:rPr>
                <w:rFonts w:eastAsiaTheme="minorEastAsia"/>
                <w:b/>
                <w:bCs/>
              </w:rPr>
              <w:t>9</w:t>
            </w:r>
          </w:p>
        </w:tc>
        <w:tc>
          <w:tcPr>
            <w:tcW w:w="900" w:type="dxa"/>
          </w:tcPr>
          <w:p w14:paraId="024FFA4A" w14:textId="2D8D9CE0" w:rsidR="004D105A" w:rsidRPr="004859C8" w:rsidRDefault="004D105A" w:rsidP="006220E7">
            <w:pPr>
              <w:pStyle w:val="TMGTableText"/>
              <w:jc w:val="center"/>
            </w:pPr>
            <w:r w:rsidRPr="0051590D">
              <w:rPr>
                <w:rFonts w:eastAsiaTheme="minorEastAsia"/>
              </w:rPr>
              <w:t>20-21</w:t>
            </w:r>
          </w:p>
        </w:tc>
        <w:tc>
          <w:tcPr>
            <w:tcW w:w="686" w:type="dxa"/>
          </w:tcPr>
          <w:p w14:paraId="51419191" w14:textId="2CC80E4D" w:rsidR="004D105A" w:rsidRPr="004859C8" w:rsidRDefault="004D105A" w:rsidP="006220E7">
            <w:pPr>
              <w:pStyle w:val="TMGTableText"/>
              <w:jc w:val="center"/>
            </w:pPr>
            <w:r w:rsidRPr="0051590D">
              <w:rPr>
                <w:rFonts w:eastAsiaTheme="minorEastAsia"/>
              </w:rPr>
              <w:t>2</w:t>
            </w:r>
          </w:p>
        </w:tc>
        <w:tc>
          <w:tcPr>
            <w:tcW w:w="4265" w:type="dxa"/>
          </w:tcPr>
          <w:p w14:paraId="5B7A59B8" w14:textId="11D95A0C" w:rsidR="004D105A" w:rsidRPr="004859C8" w:rsidRDefault="004D105A" w:rsidP="004D105A">
            <w:pPr>
              <w:pStyle w:val="TMGTableText"/>
            </w:pPr>
            <w:r w:rsidRPr="0051590D">
              <w:rPr>
                <w:rFonts w:eastAsiaTheme="minorEastAsia"/>
              </w:rPr>
              <w:t>Hour of Da</w:t>
            </w:r>
            <w:r>
              <w:rPr>
                <w:rFonts w:eastAsiaTheme="minorEastAsia"/>
              </w:rPr>
              <w:t>y (HOD)</w:t>
            </w:r>
          </w:p>
        </w:tc>
        <w:tc>
          <w:tcPr>
            <w:tcW w:w="1530" w:type="dxa"/>
          </w:tcPr>
          <w:p w14:paraId="7FD0C3DA" w14:textId="5A602911" w:rsidR="004D105A" w:rsidRPr="004859C8" w:rsidRDefault="004D105A" w:rsidP="00D27311">
            <w:pPr>
              <w:pStyle w:val="TMGTableText"/>
              <w:jc w:val="center"/>
            </w:pPr>
            <w:r w:rsidRPr="007F66C3">
              <w:rPr>
                <w:rFonts w:eastAsiaTheme="minorEastAsia"/>
              </w:rPr>
              <w:t>Integer</w:t>
            </w:r>
          </w:p>
        </w:tc>
        <w:tc>
          <w:tcPr>
            <w:tcW w:w="1355" w:type="dxa"/>
          </w:tcPr>
          <w:p w14:paraId="06F68480" w14:textId="36145F8C" w:rsidR="004D105A" w:rsidRPr="00C251E9" w:rsidRDefault="004D105A" w:rsidP="00D27311">
            <w:pPr>
              <w:pStyle w:val="TMGTableText"/>
              <w:jc w:val="center"/>
            </w:pPr>
            <w:r>
              <w:rPr>
                <w:rFonts w:eastAsiaTheme="minorEastAsia"/>
              </w:rPr>
              <w:t>Required</w:t>
            </w:r>
          </w:p>
        </w:tc>
      </w:tr>
      <w:tr w:rsidR="004D105A" w14:paraId="2A91E91C" w14:textId="77777777" w:rsidTr="004D105A">
        <w:trPr>
          <w:jc w:val="center"/>
        </w:trPr>
        <w:tc>
          <w:tcPr>
            <w:tcW w:w="624" w:type="dxa"/>
            <w:vAlign w:val="center"/>
          </w:tcPr>
          <w:p w14:paraId="6F8DBE8B" w14:textId="46A246B1" w:rsidR="004D105A" w:rsidRPr="00C251E9" w:rsidRDefault="004D105A" w:rsidP="004D105A">
            <w:pPr>
              <w:pStyle w:val="TMGTableText"/>
              <w:ind w:left="0" w:right="86"/>
              <w:jc w:val="right"/>
              <w:rPr>
                <w:b/>
                <w:bCs/>
              </w:rPr>
            </w:pPr>
            <w:r w:rsidRPr="00162A2C">
              <w:rPr>
                <w:rFonts w:eastAsiaTheme="minorEastAsia"/>
                <w:b/>
                <w:bCs/>
              </w:rPr>
              <w:t>10</w:t>
            </w:r>
          </w:p>
        </w:tc>
        <w:tc>
          <w:tcPr>
            <w:tcW w:w="900" w:type="dxa"/>
          </w:tcPr>
          <w:p w14:paraId="2BD3D681" w14:textId="5A7EBD0E" w:rsidR="004D105A" w:rsidRPr="004859C8" w:rsidRDefault="004D105A" w:rsidP="006220E7">
            <w:pPr>
              <w:pStyle w:val="TMGTableText"/>
              <w:jc w:val="center"/>
            </w:pPr>
            <w:r w:rsidRPr="0051590D">
              <w:rPr>
                <w:rFonts w:eastAsiaTheme="minorEastAsia"/>
              </w:rPr>
              <w:t>22</w:t>
            </w:r>
          </w:p>
        </w:tc>
        <w:tc>
          <w:tcPr>
            <w:tcW w:w="686" w:type="dxa"/>
          </w:tcPr>
          <w:p w14:paraId="78D8DE03" w14:textId="4B27AA3C" w:rsidR="004D105A" w:rsidRPr="004859C8" w:rsidRDefault="004D105A" w:rsidP="006220E7">
            <w:pPr>
              <w:pStyle w:val="TMGTableText"/>
              <w:jc w:val="center"/>
            </w:pPr>
            <w:r w:rsidRPr="0051590D">
              <w:rPr>
                <w:rFonts w:eastAsiaTheme="minorEastAsia"/>
              </w:rPr>
              <w:t>1</w:t>
            </w:r>
          </w:p>
        </w:tc>
        <w:tc>
          <w:tcPr>
            <w:tcW w:w="4265" w:type="dxa"/>
          </w:tcPr>
          <w:p w14:paraId="32CA2069" w14:textId="4BBAAC11" w:rsidR="004D105A" w:rsidRPr="004859C8" w:rsidRDefault="004D105A" w:rsidP="004D105A">
            <w:pPr>
              <w:pStyle w:val="TMGTableText"/>
            </w:pPr>
            <w:r w:rsidRPr="0051590D">
              <w:rPr>
                <w:rFonts w:eastAsiaTheme="minorEastAsia"/>
              </w:rPr>
              <w:t>Classification Data Time Interval</w:t>
            </w:r>
          </w:p>
        </w:tc>
        <w:tc>
          <w:tcPr>
            <w:tcW w:w="1530" w:type="dxa"/>
          </w:tcPr>
          <w:p w14:paraId="0F4A37C9" w14:textId="5367F412" w:rsidR="004D105A" w:rsidRPr="004859C8" w:rsidRDefault="004D105A" w:rsidP="00D27311">
            <w:pPr>
              <w:pStyle w:val="TMGTableText"/>
              <w:jc w:val="center"/>
            </w:pPr>
            <w:r w:rsidRPr="007F66C3">
              <w:rPr>
                <w:rFonts w:eastAsiaTheme="minorEastAsia"/>
              </w:rPr>
              <w:t>Integer</w:t>
            </w:r>
          </w:p>
        </w:tc>
        <w:tc>
          <w:tcPr>
            <w:tcW w:w="1355" w:type="dxa"/>
          </w:tcPr>
          <w:p w14:paraId="2D4AD31E" w14:textId="560B45F5" w:rsidR="004D105A" w:rsidRPr="00C251E9" w:rsidRDefault="004D105A" w:rsidP="00D27311">
            <w:pPr>
              <w:pStyle w:val="TMGTableText"/>
              <w:jc w:val="center"/>
            </w:pPr>
            <w:r>
              <w:rPr>
                <w:rFonts w:eastAsiaTheme="minorEastAsia"/>
              </w:rPr>
              <w:t>Req./</w:t>
            </w:r>
            <w:r w:rsidRPr="0051590D">
              <w:rPr>
                <w:rFonts w:eastAsiaTheme="minorEastAsia"/>
              </w:rPr>
              <w:t>O</w:t>
            </w:r>
            <w:r>
              <w:rPr>
                <w:rFonts w:eastAsiaTheme="minorEastAsia"/>
              </w:rPr>
              <w:t>pt.</w:t>
            </w:r>
          </w:p>
        </w:tc>
      </w:tr>
      <w:tr w:rsidR="004D105A" w14:paraId="5865144F" w14:textId="77777777" w:rsidTr="004D105A">
        <w:trPr>
          <w:jc w:val="center"/>
        </w:trPr>
        <w:tc>
          <w:tcPr>
            <w:tcW w:w="624" w:type="dxa"/>
            <w:vAlign w:val="center"/>
          </w:tcPr>
          <w:p w14:paraId="05FF975A" w14:textId="299F77F0" w:rsidR="004D105A" w:rsidRPr="00C251E9" w:rsidRDefault="004D105A" w:rsidP="004D105A">
            <w:pPr>
              <w:pStyle w:val="TMGTableText"/>
              <w:ind w:left="0" w:right="86"/>
              <w:jc w:val="right"/>
              <w:rPr>
                <w:b/>
                <w:bCs/>
              </w:rPr>
            </w:pPr>
            <w:r w:rsidRPr="00162A2C">
              <w:rPr>
                <w:rFonts w:eastAsiaTheme="minorEastAsia"/>
                <w:b/>
                <w:bCs/>
              </w:rPr>
              <w:t>11</w:t>
            </w:r>
          </w:p>
        </w:tc>
        <w:tc>
          <w:tcPr>
            <w:tcW w:w="900" w:type="dxa"/>
          </w:tcPr>
          <w:p w14:paraId="395E02B4" w14:textId="65C8F5B2" w:rsidR="004D105A" w:rsidRPr="004859C8" w:rsidRDefault="004D105A" w:rsidP="006220E7">
            <w:pPr>
              <w:pStyle w:val="TMGTableText"/>
              <w:jc w:val="center"/>
            </w:pPr>
            <w:r w:rsidRPr="0051590D">
              <w:rPr>
                <w:rFonts w:eastAsiaTheme="minorEastAsia"/>
              </w:rPr>
              <w:t>23</w:t>
            </w:r>
          </w:p>
        </w:tc>
        <w:tc>
          <w:tcPr>
            <w:tcW w:w="686" w:type="dxa"/>
          </w:tcPr>
          <w:p w14:paraId="669A9745" w14:textId="6986A0C0" w:rsidR="004D105A" w:rsidRPr="004859C8" w:rsidRDefault="004D105A" w:rsidP="006220E7">
            <w:pPr>
              <w:pStyle w:val="TMGTableText"/>
              <w:jc w:val="center"/>
            </w:pPr>
            <w:r>
              <w:rPr>
                <w:rFonts w:eastAsiaTheme="minorEastAsia"/>
              </w:rPr>
              <w:t>1</w:t>
            </w:r>
          </w:p>
        </w:tc>
        <w:tc>
          <w:tcPr>
            <w:tcW w:w="4265" w:type="dxa"/>
          </w:tcPr>
          <w:p w14:paraId="53AA10C6" w14:textId="6CD1E5F3" w:rsidR="004D105A" w:rsidRPr="004859C8" w:rsidRDefault="004D105A" w:rsidP="004D105A">
            <w:pPr>
              <w:pStyle w:val="TMGTableText"/>
            </w:pPr>
            <w:r w:rsidRPr="0051590D">
              <w:rPr>
                <w:rFonts w:eastAsiaTheme="minorEastAsia"/>
              </w:rPr>
              <w:t>Restrictions</w:t>
            </w:r>
            <w:r w:rsidRPr="0051590D" w:rsidDel="004B3B4A">
              <w:rPr>
                <w:rFonts w:eastAsiaTheme="minorEastAsia"/>
              </w:rPr>
              <w:t xml:space="preserve"> </w:t>
            </w:r>
            <w:r>
              <w:rPr>
                <w:rFonts w:eastAsiaTheme="minorEastAsia"/>
              </w:rPr>
              <w:t>(R)</w:t>
            </w:r>
          </w:p>
        </w:tc>
        <w:tc>
          <w:tcPr>
            <w:tcW w:w="1530" w:type="dxa"/>
          </w:tcPr>
          <w:p w14:paraId="3E526C8C" w14:textId="4B6F9350" w:rsidR="004D105A" w:rsidRPr="004859C8" w:rsidRDefault="004D105A" w:rsidP="00D27311">
            <w:pPr>
              <w:pStyle w:val="TMGTableText"/>
              <w:jc w:val="center"/>
            </w:pPr>
            <w:r w:rsidRPr="007F66C3">
              <w:rPr>
                <w:rFonts w:eastAsiaTheme="minorEastAsia"/>
              </w:rPr>
              <w:t>Integer</w:t>
            </w:r>
          </w:p>
        </w:tc>
        <w:tc>
          <w:tcPr>
            <w:tcW w:w="1355" w:type="dxa"/>
          </w:tcPr>
          <w:p w14:paraId="7B1B10EB" w14:textId="12733D9B" w:rsidR="004D105A" w:rsidRPr="00C251E9" w:rsidRDefault="004D105A" w:rsidP="00D27311">
            <w:pPr>
              <w:pStyle w:val="TMGTableText"/>
              <w:jc w:val="center"/>
            </w:pPr>
            <w:r>
              <w:rPr>
                <w:rFonts w:eastAsiaTheme="minorEastAsia"/>
              </w:rPr>
              <w:t>Required</w:t>
            </w:r>
          </w:p>
        </w:tc>
      </w:tr>
      <w:tr w:rsidR="004D105A" w14:paraId="6881ABFB" w14:textId="77777777" w:rsidTr="004D105A">
        <w:trPr>
          <w:jc w:val="center"/>
        </w:trPr>
        <w:tc>
          <w:tcPr>
            <w:tcW w:w="624" w:type="dxa"/>
            <w:vAlign w:val="center"/>
          </w:tcPr>
          <w:p w14:paraId="488F14EF" w14:textId="6A0F191B" w:rsidR="004D105A" w:rsidRPr="00C251E9" w:rsidRDefault="004D105A" w:rsidP="004D105A">
            <w:pPr>
              <w:pStyle w:val="TMGTableText"/>
              <w:ind w:left="0" w:right="86"/>
              <w:jc w:val="right"/>
              <w:rPr>
                <w:b/>
                <w:bCs/>
              </w:rPr>
            </w:pPr>
            <w:r w:rsidRPr="00162A2C">
              <w:rPr>
                <w:rFonts w:eastAsiaTheme="minorEastAsia"/>
                <w:b/>
                <w:bCs/>
              </w:rPr>
              <w:lastRenderedPageBreak/>
              <w:t>12</w:t>
            </w:r>
          </w:p>
        </w:tc>
        <w:tc>
          <w:tcPr>
            <w:tcW w:w="900" w:type="dxa"/>
          </w:tcPr>
          <w:p w14:paraId="3422EFCA" w14:textId="60430AAE" w:rsidR="004D105A" w:rsidRPr="004859C8" w:rsidRDefault="004D105A" w:rsidP="006220E7">
            <w:pPr>
              <w:pStyle w:val="TMGTableText"/>
              <w:jc w:val="center"/>
            </w:pPr>
            <w:r>
              <w:rPr>
                <w:rFonts w:eastAsiaTheme="minorEastAsia"/>
              </w:rPr>
              <w:t>24-</w:t>
            </w:r>
            <w:r w:rsidRPr="0051590D">
              <w:rPr>
                <w:rFonts w:eastAsiaTheme="minorEastAsia"/>
              </w:rPr>
              <w:t>28</w:t>
            </w:r>
          </w:p>
        </w:tc>
        <w:tc>
          <w:tcPr>
            <w:tcW w:w="686" w:type="dxa"/>
          </w:tcPr>
          <w:p w14:paraId="3B55DF7E" w14:textId="06FDA84E" w:rsidR="004D105A" w:rsidRPr="004859C8" w:rsidRDefault="004D105A" w:rsidP="006220E7">
            <w:pPr>
              <w:pStyle w:val="TMGTableText"/>
              <w:jc w:val="center"/>
            </w:pPr>
            <w:r>
              <w:rPr>
                <w:rFonts w:eastAsiaTheme="minorEastAsia"/>
              </w:rPr>
              <w:t>5</w:t>
            </w:r>
          </w:p>
        </w:tc>
        <w:tc>
          <w:tcPr>
            <w:tcW w:w="4265" w:type="dxa"/>
          </w:tcPr>
          <w:p w14:paraId="686BA6B5" w14:textId="4C2E6BD0" w:rsidR="004D105A" w:rsidRPr="004859C8" w:rsidRDefault="004D105A" w:rsidP="004D105A">
            <w:pPr>
              <w:pStyle w:val="TMGTableText"/>
            </w:pPr>
            <w:r w:rsidRPr="0051590D">
              <w:rPr>
                <w:rFonts w:eastAsiaTheme="minorEastAsia"/>
              </w:rPr>
              <w:t>Total Interval Volume</w:t>
            </w:r>
            <w:r>
              <w:rPr>
                <w:rFonts w:eastAsiaTheme="minorEastAsia"/>
              </w:rPr>
              <w:t xml:space="preserve"> (TVOL)</w:t>
            </w:r>
          </w:p>
        </w:tc>
        <w:tc>
          <w:tcPr>
            <w:tcW w:w="1530" w:type="dxa"/>
          </w:tcPr>
          <w:p w14:paraId="04E767F7" w14:textId="2BEADC3C" w:rsidR="004D105A" w:rsidRPr="004859C8" w:rsidRDefault="004D105A" w:rsidP="00D27311">
            <w:pPr>
              <w:pStyle w:val="TMGTableText"/>
              <w:jc w:val="center"/>
            </w:pPr>
            <w:r w:rsidRPr="007F66C3">
              <w:rPr>
                <w:rFonts w:eastAsiaTheme="minorEastAsia"/>
              </w:rPr>
              <w:t>Integer</w:t>
            </w:r>
          </w:p>
        </w:tc>
        <w:tc>
          <w:tcPr>
            <w:tcW w:w="1355" w:type="dxa"/>
          </w:tcPr>
          <w:p w14:paraId="3C8C2C06" w14:textId="6C0FC32F" w:rsidR="004D105A" w:rsidRPr="00C251E9" w:rsidRDefault="004D105A" w:rsidP="00D27311">
            <w:pPr>
              <w:pStyle w:val="TMGTableText"/>
              <w:jc w:val="center"/>
            </w:pPr>
            <w:r>
              <w:rPr>
                <w:rFonts w:eastAsiaTheme="minorEastAsia"/>
              </w:rPr>
              <w:t>Required</w:t>
            </w:r>
          </w:p>
        </w:tc>
      </w:tr>
      <w:tr w:rsidR="004D105A" w14:paraId="58D69D0F" w14:textId="77777777" w:rsidTr="004D105A">
        <w:trPr>
          <w:jc w:val="center"/>
        </w:trPr>
        <w:tc>
          <w:tcPr>
            <w:tcW w:w="624" w:type="dxa"/>
            <w:vAlign w:val="center"/>
          </w:tcPr>
          <w:p w14:paraId="49A8C53D" w14:textId="33BFD6AA" w:rsidR="004D105A" w:rsidRPr="00C251E9" w:rsidRDefault="004D105A" w:rsidP="004D105A">
            <w:pPr>
              <w:pStyle w:val="TMGTableText"/>
              <w:ind w:left="0" w:right="86"/>
              <w:jc w:val="right"/>
              <w:rPr>
                <w:b/>
                <w:bCs/>
              </w:rPr>
            </w:pPr>
            <w:r w:rsidRPr="00162A2C">
              <w:rPr>
                <w:rFonts w:eastAsiaTheme="minorEastAsia"/>
                <w:b/>
                <w:bCs/>
              </w:rPr>
              <w:t>13</w:t>
            </w:r>
          </w:p>
        </w:tc>
        <w:tc>
          <w:tcPr>
            <w:tcW w:w="900" w:type="dxa"/>
          </w:tcPr>
          <w:p w14:paraId="6AA3A494" w14:textId="619B0382" w:rsidR="004D105A" w:rsidRPr="004859C8" w:rsidRDefault="004D105A" w:rsidP="006220E7">
            <w:pPr>
              <w:pStyle w:val="TMGTableText"/>
              <w:jc w:val="center"/>
            </w:pPr>
            <w:r w:rsidRPr="0051590D">
              <w:rPr>
                <w:rFonts w:eastAsiaTheme="minorEastAsia"/>
              </w:rPr>
              <w:t>29-33</w:t>
            </w:r>
          </w:p>
        </w:tc>
        <w:tc>
          <w:tcPr>
            <w:tcW w:w="686" w:type="dxa"/>
          </w:tcPr>
          <w:p w14:paraId="22ED9F6E" w14:textId="12E28492" w:rsidR="004D105A" w:rsidRPr="004859C8" w:rsidRDefault="004D105A" w:rsidP="006220E7">
            <w:pPr>
              <w:pStyle w:val="TMGTableText"/>
              <w:jc w:val="center"/>
            </w:pPr>
            <w:r w:rsidRPr="0051590D">
              <w:rPr>
                <w:rFonts w:eastAsiaTheme="minorEastAsia"/>
              </w:rPr>
              <w:t>5</w:t>
            </w:r>
          </w:p>
        </w:tc>
        <w:tc>
          <w:tcPr>
            <w:tcW w:w="4265" w:type="dxa"/>
          </w:tcPr>
          <w:p w14:paraId="1109F463" w14:textId="17048F90" w:rsidR="004D105A" w:rsidRPr="004859C8" w:rsidRDefault="004D105A" w:rsidP="004D105A">
            <w:pPr>
              <w:pStyle w:val="TMGTableText"/>
            </w:pPr>
            <w:r w:rsidRPr="0051590D">
              <w:rPr>
                <w:rFonts w:eastAsiaTheme="minorEastAsia"/>
              </w:rPr>
              <w:t>Class 1 Count</w:t>
            </w:r>
            <w:r>
              <w:rPr>
                <w:rFonts w:eastAsiaTheme="minorEastAsia"/>
              </w:rPr>
              <w:t xml:space="preserve"> (BIN1)</w:t>
            </w:r>
          </w:p>
        </w:tc>
        <w:tc>
          <w:tcPr>
            <w:tcW w:w="1530" w:type="dxa"/>
          </w:tcPr>
          <w:p w14:paraId="45F140FF" w14:textId="25043578" w:rsidR="004D105A" w:rsidRPr="004859C8" w:rsidRDefault="004D105A" w:rsidP="00D27311">
            <w:pPr>
              <w:pStyle w:val="TMGTableText"/>
              <w:jc w:val="center"/>
            </w:pPr>
            <w:r w:rsidRPr="007F66C3">
              <w:rPr>
                <w:rFonts w:eastAsiaTheme="minorEastAsia"/>
              </w:rPr>
              <w:t>Integer</w:t>
            </w:r>
          </w:p>
        </w:tc>
        <w:tc>
          <w:tcPr>
            <w:tcW w:w="1355" w:type="dxa"/>
          </w:tcPr>
          <w:p w14:paraId="535757F8" w14:textId="2D84123D" w:rsidR="004D105A" w:rsidRPr="00C251E9" w:rsidRDefault="004D105A" w:rsidP="00D27311">
            <w:pPr>
              <w:pStyle w:val="TMGTableText"/>
              <w:jc w:val="center"/>
            </w:pPr>
            <w:r>
              <w:rPr>
                <w:rFonts w:eastAsiaTheme="minorEastAsia"/>
              </w:rPr>
              <w:t>Required</w:t>
            </w:r>
          </w:p>
        </w:tc>
      </w:tr>
      <w:tr w:rsidR="004D105A" w14:paraId="4C80094A" w14:textId="77777777" w:rsidTr="004D105A">
        <w:trPr>
          <w:jc w:val="center"/>
        </w:trPr>
        <w:tc>
          <w:tcPr>
            <w:tcW w:w="624" w:type="dxa"/>
            <w:vAlign w:val="center"/>
          </w:tcPr>
          <w:p w14:paraId="7957353B" w14:textId="3EBC793D" w:rsidR="004D105A" w:rsidRPr="00C251E9" w:rsidRDefault="004D105A" w:rsidP="004D105A">
            <w:pPr>
              <w:pStyle w:val="TMGTableText"/>
              <w:ind w:left="0" w:right="86"/>
              <w:jc w:val="right"/>
              <w:rPr>
                <w:b/>
                <w:bCs/>
              </w:rPr>
            </w:pPr>
            <w:r w:rsidRPr="00162A2C">
              <w:rPr>
                <w:rFonts w:eastAsiaTheme="minorEastAsia"/>
                <w:b/>
                <w:bCs/>
              </w:rPr>
              <w:t>14</w:t>
            </w:r>
          </w:p>
        </w:tc>
        <w:tc>
          <w:tcPr>
            <w:tcW w:w="900" w:type="dxa"/>
          </w:tcPr>
          <w:p w14:paraId="21A21D6F" w14:textId="5F83F326" w:rsidR="004D105A" w:rsidRPr="004859C8" w:rsidRDefault="004D105A" w:rsidP="006220E7">
            <w:pPr>
              <w:pStyle w:val="TMGTableText"/>
              <w:jc w:val="center"/>
            </w:pPr>
            <w:r w:rsidRPr="0051590D">
              <w:rPr>
                <w:rFonts w:eastAsiaTheme="minorEastAsia"/>
              </w:rPr>
              <w:t>34-38</w:t>
            </w:r>
          </w:p>
        </w:tc>
        <w:tc>
          <w:tcPr>
            <w:tcW w:w="686" w:type="dxa"/>
          </w:tcPr>
          <w:p w14:paraId="634FEEAF" w14:textId="6413D869" w:rsidR="004D105A" w:rsidRPr="004859C8" w:rsidRDefault="004D105A" w:rsidP="006220E7">
            <w:pPr>
              <w:pStyle w:val="TMGTableText"/>
              <w:jc w:val="center"/>
            </w:pPr>
            <w:r w:rsidRPr="0051590D">
              <w:rPr>
                <w:rFonts w:eastAsiaTheme="minorEastAsia"/>
              </w:rPr>
              <w:t>5</w:t>
            </w:r>
          </w:p>
        </w:tc>
        <w:tc>
          <w:tcPr>
            <w:tcW w:w="4265" w:type="dxa"/>
          </w:tcPr>
          <w:p w14:paraId="0C8494BB" w14:textId="68622BA7" w:rsidR="004D105A" w:rsidRPr="004859C8" w:rsidRDefault="004D105A" w:rsidP="004D105A">
            <w:pPr>
              <w:pStyle w:val="TMGTableText"/>
            </w:pPr>
            <w:r w:rsidRPr="0051590D">
              <w:rPr>
                <w:rFonts w:eastAsiaTheme="minorEastAsia"/>
              </w:rPr>
              <w:t>Class 2 Count</w:t>
            </w:r>
            <w:r>
              <w:rPr>
                <w:rFonts w:eastAsiaTheme="minorEastAsia"/>
              </w:rPr>
              <w:t xml:space="preserve"> (BIN2)</w:t>
            </w:r>
          </w:p>
        </w:tc>
        <w:tc>
          <w:tcPr>
            <w:tcW w:w="1530" w:type="dxa"/>
          </w:tcPr>
          <w:p w14:paraId="554A85A7" w14:textId="19319B02" w:rsidR="004D105A" w:rsidRPr="004859C8" w:rsidRDefault="004D105A" w:rsidP="00D27311">
            <w:pPr>
              <w:pStyle w:val="TMGTableText"/>
              <w:jc w:val="center"/>
            </w:pPr>
            <w:r w:rsidRPr="0052032D">
              <w:rPr>
                <w:rFonts w:eastAsiaTheme="minorEastAsia"/>
              </w:rPr>
              <w:t>Integer</w:t>
            </w:r>
          </w:p>
        </w:tc>
        <w:tc>
          <w:tcPr>
            <w:tcW w:w="1355" w:type="dxa"/>
          </w:tcPr>
          <w:p w14:paraId="26F62898" w14:textId="1F146070" w:rsidR="004D105A" w:rsidRPr="00C251E9" w:rsidRDefault="004D105A" w:rsidP="00D27311">
            <w:pPr>
              <w:pStyle w:val="TMGTableText"/>
              <w:jc w:val="center"/>
            </w:pPr>
            <w:r>
              <w:rPr>
                <w:rFonts w:eastAsiaTheme="minorEastAsia"/>
              </w:rPr>
              <w:t>Required</w:t>
            </w:r>
          </w:p>
        </w:tc>
      </w:tr>
      <w:tr w:rsidR="004D105A" w14:paraId="68E11572" w14:textId="77777777" w:rsidTr="004D105A">
        <w:trPr>
          <w:jc w:val="center"/>
        </w:trPr>
        <w:tc>
          <w:tcPr>
            <w:tcW w:w="624" w:type="dxa"/>
            <w:vAlign w:val="center"/>
          </w:tcPr>
          <w:p w14:paraId="08216461" w14:textId="6BC471D1" w:rsidR="004D105A" w:rsidRPr="00C251E9" w:rsidRDefault="004D105A" w:rsidP="004D105A">
            <w:pPr>
              <w:pStyle w:val="TMGTableText"/>
              <w:ind w:left="0" w:right="86"/>
              <w:jc w:val="right"/>
              <w:rPr>
                <w:b/>
                <w:bCs/>
              </w:rPr>
            </w:pPr>
            <w:r w:rsidRPr="00162A2C">
              <w:rPr>
                <w:rFonts w:eastAsiaTheme="minorEastAsia"/>
                <w:b/>
                <w:bCs/>
              </w:rPr>
              <w:t>15</w:t>
            </w:r>
          </w:p>
        </w:tc>
        <w:tc>
          <w:tcPr>
            <w:tcW w:w="900" w:type="dxa"/>
          </w:tcPr>
          <w:p w14:paraId="04148D7F" w14:textId="6A4F438D" w:rsidR="004D105A" w:rsidRPr="004859C8" w:rsidRDefault="004D105A" w:rsidP="006220E7">
            <w:pPr>
              <w:pStyle w:val="TMGTableText"/>
              <w:jc w:val="center"/>
            </w:pPr>
            <w:r w:rsidRPr="0051590D">
              <w:rPr>
                <w:rFonts w:eastAsiaTheme="minorEastAsia"/>
              </w:rPr>
              <w:t>39-43</w:t>
            </w:r>
          </w:p>
        </w:tc>
        <w:tc>
          <w:tcPr>
            <w:tcW w:w="686" w:type="dxa"/>
          </w:tcPr>
          <w:p w14:paraId="2384F3B7" w14:textId="7DDF7653" w:rsidR="004D105A" w:rsidRPr="004859C8" w:rsidRDefault="004D105A" w:rsidP="006220E7">
            <w:pPr>
              <w:pStyle w:val="TMGTableText"/>
              <w:jc w:val="center"/>
            </w:pPr>
            <w:r w:rsidRPr="0051590D">
              <w:rPr>
                <w:rFonts w:eastAsiaTheme="minorEastAsia"/>
              </w:rPr>
              <w:t>5</w:t>
            </w:r>
          </w:p>
        </w:tc>
        <w:tc>
          <w:tcPr>
            <w:tcW w:w="4265" w:type="dxa"/>
          </w:tcPr>
          <w:p w14:paraId="3E867E42" w14:textId="00CB42E5" w:rsidR="004D105A" w:rsidRPr="004859C8" w:rsidRDefault="004D105A" w:rsidP="004D105A">
            <w:pPr>
              <w:pStyle w:val="TMGTableText"/>
            </w:pPr>
            <w:r w:rsidRPr="0051590D">
              <w:rPr>
                <w:rFonts w:eastAsiaTheme="minorEastAsia"/>
              </w:rPr>
              <w:t>Class 3 Count</w:t>
            </w:r>
            <w:r>
              <w:rPr>
                <w:rFonts w:eastAsiaTheme="minorEastAsia"/>
              </w:rPr>
              <w:t xml:space="preserve"> (BIN3)</w:t>
            </w:r>
          </w:p>
        </w:tc>
        <w:tc>
          <w:tcPr>
            <w:tcW w:w="1530" w:type="dxa"/>
          </w:tcPr>
          <w:p w14:paraId="48A68E75" w14:textId="10D1FEAC" w:rsidR="004D105A" w:rsidRPr="004859C8" w:rsidRDefault="004D105A" w:rsidP="00D27311">
            <w:pPr>
              <w:pStyle w:val="TMGTableText"/>
              <w:jc w:val="center"/>
            </w:pPr>
            <w:r w:rsidRPr="0052032D">
              <w:rPr>
                <w:rFonts w:eastAsiaTheme="minorEastAsia"/>
              </w:rPr>
              <w:t>Integer</w:t>
            </w:r>
          </w:p>
        </w:tc>
        <w:tc>
          <w:tcPr>
            <w:tcW w:w="1355" w:type="dxa"/>
          </w:tcPr>
          <w:p w14:paraId="38B3E83C" w14:textId="6323B7CB" w:rsidR="004D105A" w:rsidRPr="00C251E9" w:rsidRDefault="004D105A" w:rsidP="00D27311">
            <w:pPr>
              <w:pStyle w:val="TMGTableText"/>
              <w:jc w:val="center"/>
            </w:pPr>
            <w:r>
              <w:rPr>
                <w:rFonts w:eastAsiaTheme="minorEastAsia"/>
              </w:rPr>
              <w:t>Req.</w:t>
            </w:r>
            <w:r w:rsidRPr="0051590D">
              <w:rPr>
                <w:rFonts w:eastAsiaTheme="minorEastAsia"/>
              </w:rPr>
              <w:t>/O</w:t>
            </w:r>
            <w:r>
              <w:rPr>
                <w:rFonts w:eastAsiaTheme="minorEastAsia"/>
              </w:rPr>
              <w:t>pt.</w:t>
            </w:r>
          </w:p>
        </w:tc>
      </w:tr>
      <w:tr w:rsidR="004D105A" w14:paraId="13DB098E" w14:textId="77777777" w:rsidTr="004D105A">
        <w:trPr>
          <w:jc w:val="center"/>
        </w:trPr>
        <w:tc>
          <w:tcPr>
            <w:tcW w:w="624" w:type="dxa"/>
            <w:vAlign w:val="center"/>
          </w:tcPr>
          <w:p w14:paraId="04FD1604" w14:textId="3E22CE2A" w:rsidR="004D105A" w:rsidRPr="00C251E9" w:rsidRDefault="004D105A" w:rsidP="004D105A">
            <w:pPr>
              <w:pStyle w:val="TMGTableText"/>
              <w:ind w:left="0" w:right="86"/>
              <w:jc w:val="right"/>
              <w:rPr>
                <w:b/>
                <w:bCs/>
              </w:rPr>
            </w:pPr>
            <w:r w:rsidRPr="00162A2C">
              <w:rPr>
                <w:rFonts w:eastAsiaTheme="minorEastAsia"/>
                <w:b/>
                <w:bCs/>
              </w:rPr>
              <w:t>16</w:t>
            </w:r>
          </w:p>
        </w:tc>
        <w:tc>
          <w:tcPr>
            <w:tcW w:w="900" w:type="dxa"/>
          </w:tcPr>
          <w:p w14:paraId="7C42545E" w14:textId="584BE3DE" w:rsidR="004D105A" w:rsidRPr="004859C8" w:rsidRDefault="004D105A" w:rsidP="006220E7">
            <w:pPr>
              <w:pStyle w:val="TMGTableText"/>
              <w:jc w:val="center"/>
            </w:pPr>
            <w:r w:rsidRPr="0051590D">
              <w:rPr>
                <w:rFonts w:eastAsiaTheme="minorEastAsia"/>
              </w:rPr>
              <w:t>44-48</w:t>
            </w:r>
          </w:p>
        </w:tc>
        <w:tc>
          <w:tcPr>
            <w:tcW w:w="686" w:type="dxa"/>
          </w:tcPr>
          <w:p w14:paraId="17AB8DD7" w14:textId="7271A7D8" w:rsidR="004D105A" w:rsidRPr="004859C8" w:rsidRDefault="004D105A" w:rsidP="006220E7">
            <w:pPr>
              <w:pStyle w:val="TMGTableText"/>
              <w:jc w:val="center"/>
            </w:pPr>
            <w:r w:rsidRPr="0051590D">
              <w:rPr>
                <w:rFonts w:eastAsiaTheme="minorEastAsia"/>
              </w:rPr>
              <w:t>5</w:t>
            </w:r>
          </w:p>
        </w:tc>
        <w:tc>
          <w:tcPr>
            <w:tcW w:w="4265" w:type="dxa"/>
          </w:tcPr>
          <w:p w14:paraId="2B6D35F7" w14:textId="0D40EE67" w:rsidR="004D105A" w:rsidRPr="004859C8" w:rsidRDefault="004D105A" w:rsidP="004D105A">
            <w:pPr>
              <w:pStyle w:val="TMGTableText"/>
            </w:pPr>
            <w:r w:rsidRPr="0051590D">
              <w:rPr>
                <w:rFonts w:eastAsiaTheme="minorEastAsia"/>
              </w:rPr>
              <w:t>Class 4 Count</w:t>
            </w:r>
            <w:r>
              <w:rPr>
                <w:rFonts w:eastAsiaTheme="minorEastAsia"/>
              </w:rPr>
              <w:t xml:space="preserve"> (BIN4)</w:t>
            </w:r>
          </w:p>
        </w:tc>
        <w:tc>
          <w:tcPr>
            <w:tcW w:w="1530" w:type="dxa"/>
          </w:tcPr>
          <w:p w14:paraId="17BC1BCD" w14:textId="0F068C4F" w:rsidR="004D105A" w:rsidRPr="004859C8" w:rsidRDefault="004D105A" w:rsidP="00D27311">
            <w:pPr>
              <w:pStyle w:val="TMGTableText"/>
              <w:jc w:val="center"/>
            </w:pPr>
            <w:r w:rsidRPr="0052032D">
              <w:rPr>
                <w:rFonts w:eastAsiaTheme="minorEastAsia"/>
              </w:rPr>
              <w:t>Integer</w:t>
            </w:r>
          </w:p>
        </w:tc>
        <w:tc>
          <w:tcPr>
            <w:tcW w:w="1355" w:type="dxa"/>
          </w:tcPr>
          <w:p w14:paraId="26833D7F" w14:textId="09417098" w:rsidR="004D105A" w:rsidRPr="00C251E9" w:rsidRDefault="004D105A" w:rsidP="00D27311">
            <w:pPr>
              <w:pStyle w:val="TMGTableText"/>
              <w:jc w:val="center"/>
            </w:pPr>
            <w:r>
              <w:rPr>
                <w:rFonts w:eastAsiaTheme="minorEastAsia"/>
              </w:rPr>
              <w:t>Req.</w:t>
            </w:r>
            <w:r w:rsidRPr="0051590D">
              <w:rPr>
                <w:rFonts w:eastAsiaTheme="minorEastAsia"/>
              </w:rPr>
              <w:t>/O</w:t>
            </w:r>
            <w:r>
              <w:rPr>
                <w:rFonts w:eastAsiaTheme="minorEastAsia"/>
              </w:rPr>
              <w:t>pt.</w:t>
            </w:r>
          </w:p>
        </w:tc>
      </w:tr>
      <w:tr w:rsidR="004D105A" w14:paraId="74746B5C" w14:textId="77777777" w:rsidTr="004D105A">
        <w:trPr>
          <w:jc w:val="center"/>
        </w:trPr>
        <w:tc>
          <w:tcPr>
            <w:tcW w:w="624" w:type="dxa"/>
            <w:vAlign w:val="center"/>
          </w:tcPr>
          <w:p w14:paraId="21F7D68E" w14:textId="2E892C0B" w:rsidR="004D105A" w:rsidRPr="00C251E9" w:rsidRDefault="004D105A" w:rsidP="004D105A">
            <w:pPr>
              <w:pStyle w:val="TMGTableText"/>
              <w:ind w:left="0" w:right="86"/>
              <w:jc w:val="right"/>
              <w:rPr>
                <w:b/>
                <w:bCs/>
              </w:rPr>
            </w:pPr>
            <w:r w:rsidRPr="00162A2C">
              <w:rPr>
                <w:rFonts w:eastAsiaTheme="minorEastAsia"/>
                <w:b/>
                <w:bCs/>
              </w:rPr>
              <w:t>17</w:t>
            </w:r>
          </w:p>
        </w:tc>
        <w:tc>
          <w:tcPr>
            <w:tcW w:w="900" w:type="dxa"/>
          </w:tcPr>
          <w:p w14:paraId="3BEEC580" w14:textId="5F6B7E02" w:rsidR="004D105A" w:rsidRPr="004859C8" w:rsidRDefault="004D105A" w:rsidP="006220E7">
            <w:pPr>
              <w:pStyle w:val="TMGTableText"/>
              <w:jc w:val="center"/>
            </w:pPr>
            <w:r w:rsidRPr="0051590D">
              <w:rPr>
                <w:rFonts w:eastAsiaTheme="minorEastAsia"/>
              </w:rPr>
              <w:t>49-53</w:t>
            </w:r>
          </w:p>
        </w:tc>
        <w:tc>
          <w:tcPr>
            <w:tcW w:w="686" w:type="dxa"/>
          </w:tcPr>
          <w:p w14:paraId="521B9704" w14:textId="39CDEEAA" w:rsidR="004D105A" w:rsidRPr="004859C8" w:rsidRDefault="004D105A" w:rsidP="006220E7">
            <w:pPr>
              <w:pStyle w:val="TMGTableText"/>
              <w:jc w:val="center"/>
            </w:pPr>
            <w:r w:rsidRPr="0051590D">
              <w:rPr>
                <w:rFonts w:eastAsiaTheme="minorEastAsia"/>
              </w:rPr>
              <w:t>5</w:t>
            </w:r>
          </w:p>
        </w:tc>
        <w:tc>
          <w:tcPr>
            <w:tcW w:w="4265" w:type="dxa"/>
          </w:tcPr>
          <w:p w14:paraId="077D544A" w14:textId="2C49C4BA" w:rsidR="004D105A" w:rsidRPr="004859C8" w:rsidRDefault="004D105A" w:rsidP="004D105A">
            <w:pPr>
              <w:pStyle w:val="TMGTableText"/>
            </w:pPr>
            <w:r w:rsidRPr="0051590D">
              <w:rPr>
                <w:rFonts w:eastAsiaTheme="minorEastAsia"/>
              </w:rPr>
              <w:t>Class 5 Count</w:t>
            </w:r>
            <w:r>
              <w:rPr>
                <w:rFonts w:eastAsiaTheme="minorEastAsia"/>
              </w:rPr>
              <w:t xml:space="preserve"> (BIN5)</w:t>
            </w:r>
          </w:p>
        </w:tc>
        <w:tc>
          <w:tcPr>
            <w:tcW w:w="1530" w:type="dxa"/>
          </w:tcPr>
          <w:p w14:paraId="6E175A92" w14:textId="250CECA9" w:rsidR="004D105A" w:rsidRPr="004859C8" w:rsidRDefault="004D105A" w:rsidP="00D27311">
            <w:pPr>
              <w:pStyle w:val="TMGTableText"/>
              <w:jc w:val="center"/>
            </w:pPr>
            <w:r w:rsidRPr="0052032D">
              <w:rPr>
                <w:rFonts w:eastAsiaTheme="minorEastAsia"/>
              </w:rPr>
              <w:t>Integer</w:t>
            </w:r>
          </w:p>
        </w:tc>
        <w:tc>
          <w:tcPr>
            <w:tcW w:w="1355" w:type="dxa"/>
          </w:tcPr>
          <w:p w14:paraId="10FA7C04" w14:textId="7BDFE81B" w:rsidR="004D105A" w:rsidRPr="00C251E9" w:rsidRDefault="004D105A" w:rsidP="00D27311">
            <w:pPr>
              <w:pStyle w:val="TMGTableText"/>
              <w:jc w:val="center"/>
            </w:pPr>
            <w:r>
              <w:rPr>
                <w:rFonts w:eastAsiaTheme="minorEastAsia"/>
              </w:rPr>
              <w:t>Req.</w:t>
            </w:r>
            <w:r w:rsidRPr="0051590D">
              <w:rPr>
                <w:rFonts w:eastAsiaTheme="minorEastAsia"/>
              </w:rPr>
              <w:t>/O</w:t>
            </w:r>
            <w:r>
              <w:rPr>
                <w:rFonts w:eastAsiaTheme="minorEastAsia"/>
              </w:rPr>
              <w:t>pt.</w:t>
            </w:r>
          </w:p>
        </w:tc>
      </w:tr>
      <w:tr w:rsidR="004D105A" w14:paraId="759844CE" w14:textId="77777777" w:rsidTr="004D105A">
        <w:trPr>
          <w:jc w:val="center"/>
        </w:trPr>
        <w:tc>
          <w:tcPr>
            <w:tcW w:w="624" w:type="dxa"/>
            <w:vAlign w:val="center"/>
          </w:tcPr>
          <w:p w14:paraId="2F21809F" w14:textId="57D85668" w:rsidR="004D105A" w:rsidRPr="00C251E9" w:rsidRDefault="004D105A" w:rsidP="004D105A">
            <w:pPr>
              <w:pStyle w:val="TMGTableText"/>
              <w:ind w:left="0" w:right="86"/>
              <w:jc w:val="right"/>
              <w:rPr>
                <w:b/>
                <w:bCs/>
              </w:rPr>
            </w:pPr>
            <w:r w:rsidRPr="00162A2C">
              <w:rPr>
                <w:rFonts w:eastAsiaTheme="minorEastAsia"/>
                <w:b/>
                <w:bCs/>
              </w:rPr>
              <w:t>18</w:t>
            </w:r>
          </w:p>
        </w:tc>
        <w:tc>
          <w:tcPr>
            <w:tcW w:w="900" w:type="dxa"/>
          </w:tcPr>
          <w:p w14:paraId="33502702" w14:textId="2177C4B3" w:rsidR="004D105A" w:rsidRPr="004859C8" w:rsidRDefault="004D105A" w:rsidP="006220E7">
            <w:pPr>
              <w:pStyle w:val="TMGTableText"/>
              <w:jc w:val="center"/>
            </w:pPr>
            <w:r w:rsidRPr="0051590D">
              <w:rPr>
                <w:rFonts w:eastAsiaTheme="minorEastAsia"/>
              </w:rPr>
              <w:t>54-58</w:t>
            </w:r>
          </w:p>
        </w:tc>
        <w:tc>
          <w:tcPr>
            <w:tcW w:w="686" w:type="dxa"/>
          </w:tcPr>
          <w:p w14:paraId="24F54A00" w14:textId="0AC1D69B" w:rsidR="004D105A" w:rsidRPr="004859C8" w:rsidRDefault="004D105A" w:rsidP="006220E7">
            <w:pPr>
              <w:pStyle w:val="TMGTableText"/>
              <w:jc w:val="center"/>
            </w:pPr>
            <w:r w:rsidRPr="0051590D">
              <w:rPr>
                <w:rFonts w:eastAsiaTheme="minorEastAsia"/>
              </w:rPr>
              <w:t>5</w:t>
            </w:r>
          </w:p>
        </w:tc>
        <w:tc>
          <w:tcPr>
            <w:tcW w:w="4265" w:type="dxa"/>
          </w:tcPr>
          <w:p w14:paraId="7124A668" w14:textId="4952A80A" w:rsidR="004D105A" w:rsidRPr="004859C8" w:rsidRDefault="004D105A" w:rsidP="004D105A">
            <w:pPr>
              <w:pStyle w:val="TMGTableText"/>
            </w:pPr>
            <w:r w:rsidRPr="0051590D">
              <w:rPr>
                <w:rFonts w:eastAsiaTheme="minorEastAsia"/>
              </w:rPr>
              <w:t>Class 6 Count</w:t>
            </w:r>
            <w:r>
              <w:rPr>
                <w:rFonts w:eastAsiaTheme="minorEastAsia"/>
              </w:rPr>
              <w:t xml:space="preserve"> (BIN6)</w:t>
            </w:r>
          </w:p>
        </w:tc>
        <w:tc>
          <w:tcPr>
            <w:tcW w:w="1530" w:type="dxa"/>
          </w:tcPr>
          <w:p w14:paraId="2610DDC4" w14:textId="03055629" w:rsidR="004D105A" w:rsidRPr="004859C8" w:rsidRDefault="004D105A" w:rsidP="00D27311">
            <w:pPr>
              <w:pStyle w:val="TMGTableText"/>
              <w:jc w:val="center"/>
            </w:pPr>
            <w:r w:rsidRPr="0052032D">
              <w:rPr>
                <w:rFonts w:eastAsiaTheme="minorEastAsia"/>
              </w:rPr>
              <w:t>Integer</w:t>
            </w:r>
          </w:p>
        </w:tc>
        <w:tc>
          <w:tcPr>
            <w:tcW w:w="1355" w:type="dxa"/>
          </w:tcPr>
          <w:p w14:paraId="701876F3" w14:textId="7EC72427" w:rsidR="004D105A" w:rsidRPr="00C251E9" w:rsidRDefault="004D105A" w:rsidP="00D27311">
            <w:pPr>
              <w:pStyle w:val="TMGTableText"/>
              <w:jc w:val="center"/>
            </w:pPr>
            <w:r>
              <w:rPr>
                <w:rFonts w:eastAsiaTheme="minorEastAsia"/>
              </w:rPr>
              <w:t>Req.</w:t>
            </w:r>
            <w:r w:rsidRPr="0051590D">
              <w:rPr>
                <w:rFonts w:eastAsiaTheme="minorEastAsia"/>
              </w:rPr>
              <w:t>/O</w:t>
            </w:r>
            <w:r>
              <w:rPr>
                <w:rFonts w:eastAsiaTheme="minorEastAsia"/>
              </w:rPr>
              <w:t>pt.</w:t>
            </w:r>
          </w:p>
        </w:tc>
      </w:tr>
      <w:tr w:rsidR="004D105A" w14:paraId="58292362" w14:textId="77777777" w:rsidTr="004D105A">
        <w:trPr>
          <w:jc w:val="center"/>
        </w:trPr>
        <w:tc>
          <w:tcPr>
            <w:tcW w:w="624" w:type="dxa"/>
            <w:vAlign w:val="center"/>
          </w:tcPr>
          <w:p w14:paraId="60938F21" w14:textId="38C2F464" w:rsidR="004D105A" w:rsidRPr="00C251E9" w:rsidRDefault="004D105A" w:rsidP="004D105A">
            <w:pPr>
              <w:pStyle w:val="TMGTableText"/>
              <w:ind w:left="0" w:right="86"/>
              <w:jc w:val="right"/>
              <w:rPr>
                <w:b/>
                <w:bCs/>
              </w:rPr>
            </w:pPr>
            <w:r w:rsidRPr="00162A2C">
              <w:rPr>
                <w:rFonts w:eastAsiaTheme="minorEastAsia"/>
                <w:b/>
                <w:bCs/>
              </w:rPr>
              <w:t>19</w:t>
            </w:r>
          </w:p>
        </w:tc>
        <w:tc>
          <w:tcPr>
            <w:tcW w:w="900" w:type="dxa"/>
          </w:tcPr>
          <w:p w14:paraId="17E6C5F3" w14:textId="2A26736D" w:rsidR="004D105A" w:rsidRPr="004859C8" w:rsidRDefault="004D105A" w:rsidP="006220E7">
            <w:pPr>
              <w:pStyle w:val="TMGTableText"/>
              <w:jc w:val="center"/>
            </w:pPr>
            <w:r w:rsidRPr="0051590D">
              <w:rPr>
                <w:rFonts w:eastAsiaTheme="minorEastAsia"/>
              </w:rPr>
              <w:t>59-63</w:t>
            </w:r>
          </w:p>
        </w:tc>
        <w:tc>
          <w:tcPr>
            <w:tcW w:w="686" w:type="dxa"/>
          </w:tcPr>
          <w:p w14:paraId="0B44B068" w14:textId="2026E0EF" w:rsidR="004D105A" w:rsidRPr="004859C8" w:rsidRDefault="004D105A" w:rsidP="006220E7">
            <w:pPr>
              <w:pStyle w:val="TMGTableText"/>
              <w:jc w:val="center"/>
            </w:pPr>
            <w:r w:rsidRPr="0051590D">
              <w:rPr>
                <w:rFonts w:eastAsiaTheme="minorEastAsia"/>
              </w:rPr>
              <w:t>5</w:t>
            </w:r>
          </w:p>
        </w:tc>
        <w:tc>
          <w:tcPr>
            <w:tcW w:w="4265" w:type="dxa"/>
          </w:tcPr>
          <w:p w14:paraId="653030F0" w14:textId="0E8FFD7B" w:rsidR="004D105A" w:rsidRPr="004859C8" w:rsidRDefault="004D105A" w:rsidP="004D105A">
            <w:pPr>
              <w:pStyle w:val="TMGTableText"/>
            </w:pPr>
            <w:r w:rsidRPr="0051590D">
              <w:rPr>
                <w:rFonts w:eastAsiaTheme="minorEastAsia"/>
              </w:rPr>
              <w:t>Class 7 Count</w:t>
            </w:r>
            <w:r>
              <w:rPr>
                <w:rFonts w:eastAsiaTheme="minorEastAsia"/>
              </w:rPr>
              <w:t xml:space="preserve"> (BIN7)</w:t>
            </w:r>
          </w:p>
        </w:tc>
        <w:tc>
          <w:tcPr>
            <w:tcW w:w="1530" w:type="dxa"/>
          </w:tcPr>
          <w:p w14:paraId="04D25902" w14:textId="44FC0431" w:rsidR="004D105A" w:rsidRPr="004859C8" w:rsidRDefault="004D105A" w:rsidP="00D27311">
            <w:pPr>
              <w:pStyle w:val="TMGTableText"/>
              <w:jc w:val="center"/>
            </w:pPr>
            <w:r w:rsidRPr="0052032D">
              <w:rPr>
                <w:rFonts w:eastAsiaTheme="minorEastAsia"/>
              </w:rPr>
              <w:t>Integer</w:t>
            </w:r>
          </w:p>
        </w:tc>
        <w:tc>
          <w:tcPr>
            <w:tcW w:w="1355" w:type="dxa"/>
          </w:tcPr>
          <w:p w14:paraId="14AD51D5" w14:textId="1339A199" w:rsidR="004D105A" w:rsidRPr="00C251E9" w:rsidRDefault="004D105A" w:rsidP="00D27311">
            <w:pPr>
              <w:pStyle w:val="TMGTableText"/>
              <w:jc w:val="center"/>
            </w:pPr>
            <w:r>
              <w:rPr>
                <w:rFonts w:eastAsiaTheme="minorEastAsia"/>
              </w:rPr>
              <w:t>Req.</w:t>
            </w:r>
            <w:r w:rsidRPr="0051590D">
              <w:rPr>
                <w:rFonts w:eastAsiaTheme="minorEastAsia"/>
              </w:rPr>
              <w:t>/O</w:t>
            </w:r>
            <w:r>
              <w:rPr>
                <w:rFonts w:eastAsiaTheme="minorEastAsia"/>
              </w:rPr>
              <w:t>pt.</w:t>
            </w:r>
          </w:p>
        </w:tc>
      </w:tr>
      <w:tr w:rsidR="004D105A" w14:paraId="0DEB6B25" w14:textId="77777777" w:rsidTr="004D105A">
        <w:trPr>
          <w:jc w:val="center"/>
        </w:trPr>
        <w:tc>
          <w:tcPr>
            <w:tcW w:w="624" w:type="dxa"/>
            <w:vAlign w:val="center"/>
          </w:tcPr>
          <w:p w14:paraId="32F88D64" w14:textId="24F91D3C" w:rsidR="004D105A" w:rsidRPr="00C251E9" w:rsidRDefault="004D105A" w:rsidP="004D105A">
            <w:pPr>
              <w:pStyle w:val="TMGTableText"/>
              <w:ind w:left="0" w:right="86"/>
              <w:jc w:val="right"/>
              <w:rPr>
                <w:b/>
                <w:bCs/>
              </w:rPr>
            </w:pPr>
            <w:r w:rsidRPr="00162A2C">
              <w:rPr>
                <w:rFonts w:eastAsiaTheme="minorEastAsia"/>
                <w:b/>
                <w:bCs/>
              </w:rPr>
              <w:t>20</w:t>
            </w:r>
          </w:p>
        </w:tc>
        <w:tc>
          <w:tcPr>
            <w:tcW w:w="900" w:type="dxa"/>
          </w:tcPr>
          <w:p w14:paraId="04550A00" w14:textId="03E3588C" w:rsidR="004D105A" w:rsidRPr="004859C8" w:rsidRDefault="004D105A" w:rsidP="006220E7">
            <w:pPr>
              <w:pStyle w:val="TMGTableText"/>
              <w:jc w:val="center"/>
            </w:pPr>
            <w:r w:rsidRPr="0051590D">
              <w:rPr>
                <w:rFonts w:eastAsiaTheme="minorEastAsia"/>
              </w:rPr>
              <w:t>64-68</w:t>
            </w:r>
          </w:p>
        </w:tc>
        <w:tc>
          <w:tcPr>
            <w:tcW w:w="686" w:type="dxa"/>
          </w:tcPr>
          <w:p w14:paraId="4D6D5F37" w14:textId="43C8ACDB" w:rsidR="004D105A" w:rsidRPr="004859C8" w:rsidRDefault="004D105A" w:rsidP="006220E7">
            <w:pPr>
              <w:pStyle w:val="TMGTableText"/>
              <w:jc w:val="center"/>
            </w:pPr>
            <w:r w:rsidRPr="0051590D">
              <w:rPr>
                <w:rFonts w:eastAsiaTheme="minorEastAsia"/>
              </w:rPr>
              <w:t>5</w:t>
            </w:r>
          </w:p>
        </w:tc>
        <w:tc>
          <w:tcPr>
            <w:tcW w:w="4265" w:type="dxa"/>
          </w:tcPr>
          <w:p w14:paraId="77EAAA2D" w14:textId="049C17AB" w:rsidR="004D105A" w:rsidRPr="004859C8" w:rsidRDefault="004D105A" w:rsidP="004D105A">
            <w:pPr>
              <w:pStyle w:val="TMGTableText"/>
            </w:pPr>
            <w:r w:rsidRPr="0051590D">
              <w:rPr>
                <w:rFonts w:eastAsiaTheme="minorEastAsia"/>
              </w:rPr>
              <w:t>Class 8 Count</w:t>
            </w:r>
            <w:r>
              <w:rPr>
                <w:rFonts w:eastAsiaTheme="minorEastAsia"/>
              </w:rPr>
              <w:t xml:space="preserve"> (BIN8)</w:t>
            </w:r>
          </w:p>
        </w:tc>
        <w:tc>
          <w:tcPr>
            <w:tcW w:w="1530" w:type="dxa"/>
          </w:tcPr>
          <w:p w14:paraId="008F8174" w14:textId="7344A0E2" w:rsidR="004D105A" w:rsidRPr="004859C8" w:rsidRDefault="004D105A" w:rsidP="00D27311">
            <w:pPr>
              <w:pStyle w:val="TMGTableText"/>
              <w:jc w:val="center"/>
            </w:pPr>
            <w:r w:rsidRPr="0052032D">
              <w:rPr>
                <w:rFonts w:eastAsiaTheme="minorEastAsia"/>
              </w:rPr>
              <w:t>Integer</w:t>
            </w:r>
          </w:p>
        </w:tc>
        <w:tc>
          <w:tcPr>
            <w:tcW w:w="1355" w:type="dxa"/>
          </w:tcPr>
          <w:p w14:paraId="1C65F16C" w14:textId="2ADCECEC" w:rsidR="004D105A" w:rsidRPr="00C251E9" w:rsidRDefault="004D105A" w:rsidP="00D27311">
            <w:pPr>
              <w:pStyle w:val="TMGTableText"/>
              <w:jc w:val="center"/>
            </w:pPr>
            <w:r>
              <w:rPr>
                <w:rFonts w:eastAsiaTheme="minorEastAsia"/>
              </w:rPr>
              <w:t>Req.</w:t>
            </w:r>
            <w:r w:rsidRPr="0051590D">
              <w:rPr>
                <w:rFonts w:eastAsiaTheme="minorEastAsia"/>
              </w:rPr>
              <w:t>/O</w:t>
            </w:r>
            <w:r>
              <w:rPr>
                <w:rFonts w:eastAsiaTheme="minorEastAsia"/>
              </w:rPr>
              <w:t>pt.</w:t>
            </w:r>
          </w:p>
        </w:tc>
      </w:tr>
      <w:tr w:rsidR="004D105A" w14:paraId="43F78E96" w14:textId="77777777" w:rsidTr="004D105A">
        <w:trPr>
          <w:jc w:val="center"/>
        </w:trPr>
        <w:tc>
          <w:tcPr>
            <w:tcW w:w="624" w:type="dxa"/>
            <w:vAlign w:val="center"/>
          </w:tcPr>
          <w:p w14:paraId="20027EC5" w14:textId="3D50F5A8" w:rsidR="004D105A" w:rsidRPr="00C251E9" w:rsidRDefault="004D105A" w:rsidP="004D105A">
            <w:pPr>
              <w:pStyle w:val="TMGTableText"/>
              <w:ind w:left="0" w:right="86"/>
              <w:jc w:val="right"/>
              <w:rPr>
                <w:b/>
                <w:bCs/>
              </w:rPr>
            </w:pPr>
            <w:r w:rsidRPr="00162A2C">
              <w:rPr>
                <w:rFonts w:eastAsiaTheme="minorEastAsia"/>
                <w:b/>
                <w:bCs/>
              </w:rPr>
              <w:t>21</w:t>
            </w:r>
          </w:p>
        </w:tc>
        <w:tc>
          <w:tcPr>
            <w:tcW w:w="900" w:type="dxa"/>
          </w:tcPr>
          <w:p w14:paraId="1AC60856" w14:textId="65ECFCA1" w:rsidR="004D105A" w:rsidRPr="004859C8" w:rsidRDefault="004D105A" w:rsidP="006220E7">
            <w:pPr>
              <w:pStyle w:val="TMGTableText"/>
              <w:jc w:val="center"/>
            </w:pPr>
            <w:r w:rsidRPr="0051590D">
              <w:rPr>
                <w:rFonts w:eastAsiaTheme="minorEastAsia"/>
              </w:rPr>
              <w:t>69-73</w:t>
            </w:r>
          </w:p>
        </w:tc>
        <w:tc>
          <w:tcPr>
            <w:tcW w:w="686" w:type="dxa"/>
          </w:tcPr>
          <w:p w14:paraId="3A3A8AA2" w14:textId="4FA49B15" w:rsidR="004D105A" w:rsidRPr="004859C8" w:rsidRDefault="004D105A" w:rsidP="006220E7">
            <w:pPr>
              <w:pStyle w:val="TMGTableText"/>
              <w:jc w:val="center"/>
            </w:pPr>
            <w:r w:rsidRPr="0051590D">
              <w:rPr>
                <w:rFonts w:eastAsiaTheme="minorEastAsia"/>
              </w:rPr>
              <w:t>5</w:t>
            </w:r>
          </w:p>
        </w:tc>
        <w:tc>
          <w:tcPr>
            <w:tcW w:w="4265" w:type="dxa"/>
          </w:tcPr>
          <w:p w14:paraId="72E535F3" w14:textId="78DE525C" w:rsidR="004D105A" w:rsidRPr="004859C8" w:rsidRDefault="004D105A" w:rsidP="004D105A">
            <w:pPr>
              <w:pStyle w:val="TMGTableText"/>
            </w:pPr>
            <w:r w:rsidRPr="0051590D">
              <w:rPr>
                <w:rFonts w:eastAsiaTheme="minorEastAsia"/>
              </w:rPr>
              <w:t>Class 9 Count</w:t>
            </w:r>
            <w:r>
              <w:rPr>
                <w:rFonts w:eastAsiaTheme="minorEastAsia"/>
              </w:rPr>
              <w:t xml:space="preserve"> (BIN9)</w:t>
            </w:r>
          </w:p>
        </w:tc>
        <w:tc>
          <w:tcPr>
            <w:tcW w:w="1530" w:type="dxa"/>
          </w:tcPr>
          <w:p w14:paraId="5E53A7F5" w14:textId="040A9C8B" w:rsidR="004D105A" w:rsidRPr="004859C8" w:rsidRDefault="004D105A" w:rsidP="00D27311">
            <w:pPr>
              <w:pStyle w:val="TMGTableText"/>
              <w:jc w:val="center"/>
            </w:pPr>
            <w:r w:rsidRPr="0052032D">
              <w:rPr>
                <w:rFonts w:eastAsiaTheme="minorEastAsia"/>
              </w:rPr>
              <w:t>Integer</w:t>
            </w:r>
          </w:p>
        </w:tc>
        <w:tc>
          <w:tcPr>
            <w:tcW w:w="1355" w:type="dxa"/>
          </w:tcPr>
          <w:p w14:paraId="4A5F456F" w14:textId="2624438F" w:rsidR="004D105A" w:rsidRPr="00C251E9" w:rsidRDefault="004D105A" w:rsidP="00D27311">
            <w:pPr>
              <w:pStyle w:val="TMGTableText"/>
              <w:jc w:val="center"/>
            </w:pPr>
            <w:r>
              <w:rPr>
                <w:rFonts w:eastAsiaTheme="minorEastAsia"/>
              </w:rPr>
              <w:t>Req.</w:t>
            </w:r>
            <w:r w:rsidRPr="0051590D">
              <w:rPr>
                <w:rFonts w:eastAsiaTheme="minorEastAsia"/>
              </w:rPr>
              <w:t>/O</w:t>
            </w:r>
            <w:r>
              <w:rPr>
                <w:rFonts w:eastAsiaTheme="minorEastAsia"/>
              </w:rPr>
              <w:t>pt.</w:t>
            </w:r>
          </w:p>
        </w:tc>
      </w:tr>
      <w:tr w:rsidR="004D105A" w14:paraId="7A608D5A" w14:textId="77777777" w:rsidTr="004D105A">
        <w:trPr>
          <w:jc w:val="center"/>
        </w:trPr>
        <w:tc>
          <w:tcPr>
            <w:tcW w:w="624" w:type="dxa"/>
            <w:vAlign w:val="center"/>
          </w:tcPr>
          <w:p w14:paraId="46D2677E" w14:textId="58408E3A" w:rsidR="004D105A" w:rsidRPr="00C251E9" w:rsidRDefault="004D105A" w:rsidP="004D105A">
            <w:pPr>
              <w:pStyle w:val="TMGTableText"/>
              <w:ind w:left="0" w:right="86"/>
              <w:jc w:val="right"/>
              <w:rPr>
                <w:b/>
                <w:bCs/>
              </w:rPr>
            </w:pPr>
            <w:r w:rsidRPr="00162A2C">
              <w:rPr>
                <w:rFonts w:eastAsiaTheme="minorEastAsia"/>
                <w:b/>
                <w:bCs/>
              </w:rPr>
              <w:t>22</w:t>
            </w:r>
          </w:p>
        </w:tc>
        <w:tc>
          <w:tcPr>
            <w:tcW w:w="900" w:type="dxa"/>
          </w:tcPr>
          <w:p w14:paraId="10D920EC" w14:textId="3F9D39A3" w:rsidR="004D105A" w:rsidRPr="004859C8" w:rsidRDefault="004D105A" w:rsidP="006220E7">
            <w:pPr>
              <w:pStyle w:val="TMGTableText"/>
              <w:jc w:val="center"/>
            </w:pPr>
            <w:r w:rsidRPr="0051590D">
              <w:rPr>
                <w:rFonts w:eastAsiaTheme="minorEastAsia"/>
              </w:rPr>
              <w:t>74-78</w:t>
            </w:r>
          </w:p>
        </w:tc>
        <w:tc>
          <w:tcPr>
            <w:tcW w:w="686" w:type="dxa"/>
          </w:tcPr>
          <w:p w14:paraId="74D0B088" w14:textId="0DB8F1A4" w:rsidR="004D105A" w:rsidRPr="004859C8" w:rsidRDefault="004D105A" w:rsidP="006220E7">
            <w:pPr>
              <w:pStyle w:val="TMGTableText"/>
              <w:jc w:val="center"/>
            </w:pPr>
            <w:r w:rsidRPr="0051590D">
              <w:rPr>
                <w:rFonts w:eastAsiaTheme="minorEastAsia"/>
              </w:rPr>
              <w:t>5</w:t>
            </w:r>
          </w:p>
        </w:tc>
        <w:tc>
          <w:tcPr>
            <w:tcW w:w="4265" w:type="dxa"/>
          </w:tcPr>
          <w:p w14:paraId="05115775" w14:textId="0B1AE8BD" w:rsidR="004D105A" w:rsidRPr="004859C8" w:rsidRDefault="004D105A" w:rsidP="004D105A">
            <w:pPr>
              <w:pStyle w:val="TMGTableText"/>
            </w:pPr>
            <w:r w:rsidRPr="0051590D">
              <w:rPr>
                <w:rFonts w:eastAsiaTheme="minorEastAsia"/>
              </w:rPr>
              <w:t>Class 10 Count</w:t>
            </w:r>
            <w:r>
              <w:rPr>
                <w:rFonts w:eastAsiaTheme="minorEastAsia"/>
              </w:rPr>
              <w:t xml:space="preserve"> (BIN10)</w:t>
            </w:r>
          </w:p>
        </w:tc>
        <w:tc>
          <w:tcPr>
            <w:tcW w:w="1530" w:type="dxa"/>
          </w:tcPr>
          <w:p w14:paraId="0554D556" w14:textId="225F4B11" w:rsidR="004D105A" w:rsidRPr="004859C8" w:rsidRDefault="004D105A" w:rsidP="00D27311">
            <w:pPr>
              <w:pStyle w:val="TMGTableText"/>
              <w:jc w:val="center"/>
            </w:pPr>
            <w:r w:rsidRPr="0052032D">
              <w:rPr>
                <w:rFonts w:eastAsiaTheme="minorEastAsia"/>
              </w:rPr>
              <w:t>Integer</w:t>
            </w:r>
          </w:p>
        </w:tc>
        <w:tc>
          <w:tcPr>
            <w:tcW w:w="1355" w:type="dxa"/>
          </w:tcPr>
          <w:p w14:paraId="2288EFB4" w14:textId="3CCF8BB1" w:rsidR="004D105A" w:rsidRPr="00C251E9" w:rsidRDefault="004D105A" w:rsidP="00D27311">
            <w:pPr>
              <w:pStyle w:val="TMGTableText"/>
              <w:jc w:val="center"/>
            </w:pPr>
            <w:r>
              <w:rPr>
                <w:rFonts w:eastAsiaTheme="minorEastAsia"/>
              </w:rPr>
              <w:t>Req.</w:t>
            </w:r>
            <w:r w:rsidRPr="0051590D">
              <w:rPr>
                <w:rFonts w:eastAsiaTheme="minorEastAsia"/>
              </w:rPr>
              <w:t>/O</w:t>
            </w:r>
            <w:r>
              <w:rPr>
                <w:rFonts w:eastAsiaTheme="minorEastAsia"/>
              </w:rPr>
              <w:t>pt.</w:t>
            </w:r>
          </w:p>
        </w:tc>
      </w:tr>
      <w:tr w:rsidR="004D105A" w14:paraId="24B6AA1D" w14:textId="77777777" w:rsidTr="004D105A">
        <w:trPr>
          <w:jc w:val="center"/>
        </w:trPr>
        <w:tc>
          <w:tcPr>
            <w:tcW w:w="624" w:type="dxa"/>
            <w:vAlign w:val="center"/>
          </w:tcPr>
          <w:p w14:paraId="3D942F6C" w14:textId="012EC7D7" w:rsidR="004D105A" w:rsidRPr="00C251E9" w:rsidRDefault="004D105A" w:rsidP="004D105A">
            <w:pPr>
              <w:pStyle w:val="TMGTableText"/>
              <w:ind w:left="0" w:right="86"/>
              <w:jc w:val="right"/>
              <w:rPr>
                <w:b/>
                <w:bCs/>
              </w:rPr>
            </w:pPr>
            <w:r w:rsidRPr="00162A2C">
              <w:rPr>
                <w:rFonts w:eastAsiaTheme="minorEastAsia"/>
                <w:b/>
                <w:bCs/>
              </w:rPr>
              <w:t>23</w:t>
            </w:r>
          </w:p>
        </w:tc>
        <w:tc>
          <w:tcPr>
            <w:tcW w:w="900" w:type="dxa"/>
          </w:tcPr>
          <w:p w14:paraId="78EC1660" w14:textId="7AB541F8" w:rsidR="004D105A" w:rsidRPr="004859C8" w:rsidRDefault="004D105A" w:rsidP="006220E7">
            <w:pPr>
              <w:pStyle w:val="TMGTableText"/>
              <w:jc w:val="center"/>
            </w:pPr>
            <w:r w:rsidRPr="0051590D">
              <w:rPr>
                <w:rFonts w:eastAsiaTheme="minorEastAsia"/>
              </w:rPr>
              <w:t>79-83</w:t>
            </w:r>
          </w:p>
        </w:tc>
        <w:tc>
          <w:tcPr>
            <w:tcW w:w="686" w:type="dxa"/>
          </w:tcPr>
          <w:p w14:paraId="14236068" w14:textId="16B0B026" w:rsidR="004D105A" w:rsidRPr="004859C8" w:rsidRDefault="004D105A" w:rsidP="006220E7">
            <w:pPr>
              <w:pStyle w:val="TMGTableText"/>
              <w:jc w:val="center"/>
            </w:pPr>
            <w:r w:rsidRPr="0051590D">
              <w:rPr>
                <w:rFonts w:eastAsiaTheme="minorEastAsia"/>
              </w:rPr>
              <w:t>5</w:t>
            </w:r>
          </w:p>
        </w:tc>
        <w:tc>
          <w:tcPr>
            <w:tcW w:w="4265" w:type="dxa"/>
          </w:tcPr>
          <w:p w14:paraId="2C362F41" w14:textId="136253C9" w:rsidR="004D105A" w:rsidRPr="004859C8" w:rsidRDefault="004D105A" w:rsidP="004D105A">
            <w:pPr>
              <w:pStyle w:val="TMGTableText"/>
            </w:pPr>
            <w:r w:rsidRPr="0051590D">
              <w:rPr>
                <w:rFonts w:eastAsiaTheme="minorEastAsia"/>
              </w:rPr>
              <w:t>Class 11 Count</w:t>
            </w:r>
            <w:r>
              <w:rPr>
                <w:rFonts w:eastAsiaTheme="minorEastAsia"/>
              </w:rPr>
              <w:t xml:space="preserve"> (BIN11)</w:t>
            </w:r>
          </w:p>
        </w:tc>
        <w:tc>
          <w:tcPr>
            <w:tcW w:w="1530" w:type="dxa"/>
          </w:tcPr>
          <w:p w14:paraId="35BF904E" w14:textId="3E34FF6A" w:rsidR="004D105A" w:rsidRPr="004859C8" w:rsidRDefault="004D105A" w:rsidP="00D27311">
            <w:pPr>
              <w:pStyle w:val="TMGTableText"/>
              <w:jc w:val="center"/>
            </w:pPr>
            <w:r w:rsidRPr="0052032D">
              <w:rPr>
                <w:rFonts w:eastAsiaTheme="minorEastAsia"/>
              </w:rPr>
              <w:t>Integer</w:t>
            </w:r>
          </w:p>
        </w:tc>
        <w:tc>
          <w:tcPr>
            <w:tcW w:w="1355" w:type="dxa"/>
          </w:tcPr>
          <w:p w14:paraId="110FC2F3" w14:textId="12376498" w:rsidR="004D105A" w:rsidRPr="00C251E9" w:rsidRDefault="004D105A" w:rsidP="00D27311">
            <w:pPr>
              <w:pStyle w:val="TMGTableText"/>
              <w:jc w:val="center"/>
            </w:pPr>
            <w:r>
              <w:rPr>
                <w:rFonts w:eastAsiaTheme="minorEastAsia"/>
              </w:rPr>
              <w:t>Req.</w:t>
            </w:r>
            <w:r w:rsidRPr="0051590D">
              <w:rPr>
                <w:rFonts w:eastAsiaTheme="minorEastAsia"/>
              </w:rPr>
              <w:t>/O</w:t>
            </w:r>
            <w:r>
              <w:rPr>
                <w:rFonts w:eastAsiaTheme="minorEastAsia"/>
              </w:rPr>
              <w:t>pt.</w:t>
            </w:r>
          </w:p>
        </w:tc>
      </w:tr>
      <w:tr w:rsidR="004D105A" w14:paraId="541CBC34" w14:textId="77777777" w:rsidTr="004D105A">
        <w:trPr>
          <w:jc w:val="center"/>
        </w:trPr>
        <w:tc>
          <w:tcPr>
            <w:tcW w:w="624" w:type="dxa"/>
            <w:vAlign w:val="center"/>
          </w:tcPr>
          <w:p w14:paraId="529AF390" w14:textId="721AE1F3" w:rsidR="004D105A" w:rsidRPr="00C251E9" w:rsidRDefault="004D105A" w:rsidP="004D105A">
            <w:pPr>
              <w:pStyle w:val="TMGTableText"/>
              <w:ind w:left="0" w:right="86"/>
              <w:jc w:val="right"/>
              <w:rPr>
                <w:b/>
                <w:bCs/>
              </w:rPr>
            </w:pPr>
            <w:r w:rsidRPr="00162A2C">
              <w:rPr>
                <w:rFonts w:eastAsiaTheme="minorEastAsia"/>
                <w:b/>
                <w:bCs/>
              </w:rPr>
              <w:t>24</w:t>
            </w:r>
          </w:p>
        </w:tc>
        <w:tc>
          <w:tcPr>
            <w:tcW w:w="900" w:type="dxa"/>
          </w:tcPr>
          <w:p w14:paraId="1D7EC1E4" w14:textId="0C5B131A" w:rsidR="004D105A" w:rsidRPr="004859C8" w:rsidRDefault="004D105A" w:rsidP="006220E7">
            <w:pPr>
              <w:pStyle w:val="TMGTableText"/>
              <w:jc w:val="center"/>
            </w:pPr>
            <w:r w:rsidRPr="0051590D">
              <w:rPr>
                <w:rFonts w:eastAsiaTheme="minorEastAsia"/>
              </w:rPr>
              <w:t>84-88</w:t>
            </w:r>
          </w:p>
        </w:tc>
        <w:tc>
          <w:tcPr>
            <w:tcW w:w="686" w:type="dxa"/>
          </w:tcPr>
          <w:p w14:paraId="22E114DB" w14:textId="1CF88E9C" w:rsidR="004D105A" w:rsidRPr="004859C8" w:rsidRDefault="004D105A" w:rsidP="006220E7">
            <w:pPr>
              <w:pStyle w:val="TMGTableText"/>
              <w:jc w:val="center"/>
            </w:pPr>
            <w:r w:rsidRPr="0051590D">
              <w:rPr>
                <w:rFonts w:eastAsiaTheme="minorEastAsia"/>
              </w:rPr>
              <w:t>5</w:t>
            </w:r>
          </w:p>
        </w:tc>
        <w:tc>
          <w:tcPr>
            <w:tcW w:w="4265" w:type="dxa"/>
          </w:tcPr>
          <w:p w14:paraId="2FE9E4E9" w14:textId="0683B910" w:rsidR="004D105A" w:rsidRPr="004859C8" w:rsidRDefault="004D105A" w:rsidP="004D105A">
            <w:pPr>
              <w:pStyle w:val="TMGTableText"/>
            </w:pPr>
            <w:r w:rsidRPr="0051590D">
              <w:rPr>
                <w:rFonts w:eastAsiaTheme="minorEastAsia"/>
              </w:rPr>
              <w:t>Class 12 Count</w:t>
            </w:r>
            <w:r>
              <w:rPr>
                <w:rFonts w:eastAsiaTheme="minorEastAsia"/>
              </w:rPr>
              <w:t xml:space="preserve"> (BIN12)</w:t>
            </w:r>
          </w:p>
        </w:tc>
        <w:tc>
          <w:tcPr>
            <w:tcW w:w="1530" w:type="dxa"/>
          </w:tcPr>
          <w:p w14:paraId="3AFF7FD5" w14:textId="065F4BBF" w:rsidR="004D105A" w:rsidRPr="004859C8" w:rsidRDefault="004D105A" w:rsidP="00D27311">
            <w:pPr>
              <w:pStyle w:val="TMGTableText"/>
              <w:jc w:val="center"/>
            </w:pPr>
            <w:r w:rsidRPr="0052032D">
              <w:rPr>
                <w:rFonts w:eastAsiaTheme="minorEastAsia"/>
              </w:rPr>
              <w:t>Integer</w:t>
            </w:r>
          </w:p>
        </w:tc>
        <w:tc>
          <w:tcPr>
            <w:tcW w:w="1355" w:type="dxa"/>
          </w:tcPr>
          <w:p w14:paraId="76D7E944" w14:textId="10E982F4" w:rsidR="004D105A" w:rsidRPr="00C251E9" w:rsidRDefault="004D105A" w:rsidP="00D27311">
            <w:pPr>
              <w:pStyle w:val="TMGTableText"/>
              <w:jc w:val="center"/>
            </w:pPr>
            <w:r>
              <w:rPr>
                <w:rFonts w:eastAsiaTheme="minorEastAsia"/>
              </w:rPr>
              <w:t>Req.</w:t>
            </w:r>
            <w:r w:rsidRPr="0051590D">
              <w:rPr>
                <w:rFonts w:eastAsiaTheme="minorEastAsia"/>
              </w:rPr>
              <w:t>/O</w:t>
            </w:r>
            <w:r>
              <w:rPr>
                <w:rFonts w:eastAsiaTheme="minorEastAsia"/>
              </w:rPr>
              <w:t>pt.</w:t>
            </w:r>
          </w:p>
        </w:tc>
      </w:tr>
      <w:tr w:rsidR="004D105A" w14:paraId="75C6D5AA" w14:textId="77777777" w:rsidTr="004D105A">
        <w:trPr>
          <w:jc w:val="center"/>
        </w:trPr>
        <w:tc>
          <w:tcPr>
            <w:tcW w:w="624" w:type="dxa"/>
            <w:vAlign w:val="center"/>
          </w:tcPr>
          <w:p w14:paraId="2B6A097E" w14:textId="695196B1" w:rsidR="004D105A" w:rsidRPr="00C251E9" w:rsidRDefault="004D105A" w:rsidP="004D105A">
            <w:pPr>
              <w:pStyle w:val="TMGTableText"/>
              <w:ind w:left="0" w:right="86"/>
              <w:jc w:val="right"/>
              <w:rPr>
                <w:b/>
                <w:bCs/>
              </w:rPr>
            </w:pPr>
            <w:r w:rsidRPr="00162A2C">
              <w:rPr>
                <w:rFonts w:eastAsiaTheme="minorEastAsia"/>
                <w:b/>
                <w:bCs/>
              </w:rPr>
              <w:t>25</w:t>
            </w:r>
          </w:p>
        </w:tc>
        <w:tc>
          <w:tcPr>
            <w:tcW w:w="900" w:type="dxa"/>
          </w:tcPr>
          <w:p w14:paraId="1DFAF527" w14:textId="7A0EEC26" w:rsidR="004D105A" w:rsidRPr="004859C8" w:rsidRDefault="004D105A" w:rsidP="006220E7">
            <w:pPr>
              <w:pStyle w:val="TMGTableText"/>
              <w:jc w:val="center"/>
            </w:pPr>
            <w:r w:rsidRPr="0051590D">
              <w:rPr>
                <w:rFonts w:eastAsiaTheme="minorEastAsia"/>
              </w:rPr>
              <w:t>89-93</w:t>
            </w:r>
          </w:p>
        </w:tc>
        <w:tc>
          <w:tcPr>
            <w:tcW w:w="686" w:type="dxa"/>
          </w:tcPr>
          <w:p w14:paraId="3F9B8C7F" w14:textId="29866491" w:rsidR="004D105A" w:rsidRPr="004859C8" w:rsidRDefault="004D105A" w:rsidP="006220E7">
            <w:pPr>
              <w:pStyle w:val="TMGTableText"/>
              <w:jc w:val="center"/>
            </w:pPr>
            <w:r w:rsidRPr="0051590D">
              <w:rPr>
                <w:rFonts w:eastAsiaTheme="minorEastAsia"/>
              </w:rPr>
              <w:t>5</w:t>
            </w:r>
          </w:p>
        </w:tc>
        <w:tc>
          <w:tcPr>
            <w:tcW w:w="4265" w:type="dxa"/>
          </w:tcPr>
          <w:p w14:paraId="4D69A7DF" w14:textId="23CCE4C5" w:rsidR="004D105A" w:rsidRPr="004859C8" w:rsidRDefault="004D105A" w:rsidP="004D105A">
            <w:pPr>
              <w:pStyle w:val="TMGTableText"/>
            </w:pPr>
            <w:r w:rsidRPr="0051590D">
              <w:rPr>
                <w:rFonts w:eastAsiaTheme="minorEastAsia"/>
              </w:rPr>
              <w:t>Class 13 Count</w:t>
            </w:r>
            <w:r>
              <w:rPr>
                <w:rFonts w:eastAsiaTheme="minorEastAsia"/>
              </w:rPr>
              <w:t xml:space="preserve"> (BIN13)</w:t>
            </w:r>
          </w:p>
        </w:tc>
        <w:tc>
          <w:tcPr>
            <w:tcW w:w="1530" w:type="dxa"/>
          </w:tcPr>
          <w:p w14:paraId="6959F7A4" w14:textId="06712818" w:rsidR="004D105A" w:rsidRPr="004859C8" w:rsidRDefault="004D105A" w:rsidP="00D27311">
            <w:pPr>
              <w:pStyle w:val="TMGTableText"/>
              <w:jc w:val="center"/>
            </w:pPr>
            <w:r w:rsidRPr="0052032D">
              <w:rPr>
                <w:rFonts w:eastAsiaTheme="minorEastAsia"/>
              </w:rPr>
              <w:t>Integer</w:t>
            </w:r>
          </w:p>
        </w:tc>
        <w:tc>
          <w:tcPr>
            <w:tcW w:w="1355" w:type="dxa"/>
          </w:tcPr>
          <w:p w14:paraId="3B7E426B" w14:textId="3E1BE1FB" w:rsidR="004D105A" w:rsidRPr="00C251E9" w:rsidRDefault="004D105A" w:rsidP="00D27311">
            <w:pPr>
              <w:pStyle w:val="TMGTableText"/>
              <w:jc w:val="center"/>
            </w:pPr>
            <w:r>
              <w:rPr>
                <w:rFonts w:eastAsiaTheme="minorEastAsia"/>
              </w:rPr>
              <w:t>Req.</w:t>
            </w:r>
            <w:r w:rsidRPr="0051590D">
              <w:rPr>
                <w:rFonts w:eastAsiaTheme="minorEastAsia"/>
              </w:rPr>
              <w:t>/O</w:t>
            </w:r>
            <w:r>
              <w:rPr>
                <w:rFonts w:eastAsiaTheme="minorEastAsia"/>
              </w:rPr>
              <w:t>pt.</w:t>
            </w:r>
          </w:p>
        </w:tc>
      </w:tr>
      <w:tr w:rsidR="004D105A" w14:paraId="601778F8" w14:textId="77777777" w:rsidTr="004D105A">
        <w:trPr>
          <w:jc w:val="center"/>
        </w:trPr>
        <w:tc>
          <w:tcPr>
            <w:tcW w:w="624" w:type="dxa"/>
            <w:vAlign w:val="center"/>
          </w:tcPr>
          <w:p w14:paraId="3AF924BD" w14:textId="4EB93C0A" w:rsidR="004D105A" w:rsidRPr="00C251E9" w:rsidRDefault="004D105A" w:rsidP="004D105A">
            <w:pPr>
              <w:pStyle w:val="TMGTableText"/>
              <w:ind w:left="0" w:right="86"/>
              <w:jc w:val="right"/>
              <w:rPr>
                <w:b/>
                <w:bCs/>
              </w:rPr>
            </w:pPr>
            <w:r w:rsidRPr="00162A2C">
              <w:rPr>
                <w:rFonts w:eastAsiaTheme="minorEastAsia"/>
                <w:b/>
                <w:bCs/>
              </w:rPr>
              <w:t>26</w:t>
            </w:r>
          </w:p>
        </w:tc>
        <w:tc>
          <w:tcPr>
            <w:tcW w:w="900" w:type="dxa"/>
          </w:tcPr>
          <w:p w14:paraId="03034C7E" w14:textId="33412E04" w:rsidR="004D105A" w:rsidRPr="004859C8" w:rsidRDefault="004D105A" w:rsidP="006220E7">
            <w:pPr>
              <w:pStyle w:val="TMGTableText"/>
              <w:jc w:val="center"/>
            </w:pPr>
            <w:r>
              <w:rPr>
                <w:rFonts w:eastAsiaTheme="minorEastAsia"/>
              </w:rPr>
              <w:t>94-98</w:t>
            </w:r>
          </w:p>
        </w:tc>
        <w:tc>
          <w:tcPr>
            <w:tcW w:w="686" w:type="dxa"/>
          </w:tcPr>
          <w:p w14:paraId="309A2B7B" w14:textId="668F15E2" w:rsidR="004D105A" w:rsidRPr="004859C8" w:rsidRDefault="004D105A" w:rsidP="006220E7">
            <w:pPr>
              <w:pStyle w:val="TMGTableText"/>
              <w:jc w:val="center"/>
            </w:pPr>
            <w:r>
              <w:rPr>
                <w:rFonts w:eastAsiaTheme="minorEastAsia"/>
              </w:rPr>
              <w:t>5</w:t>
            </w:r>
          </w:p>
        </w:tc>
        <w:tc>
          <w:tcPr>
            <w:tcW w:w="4265" w:type="dxa"/>
          </w:tcPr>
          <w:p w14:paraId="2582DFE2" w14:textId="1A47756A" w:rsidR="004D105A" w:rsidRPr="004859C8" w:rsidRDefault="004D105A" w:rsidP="004D105A">
            <w:pPr>
              <w:pStyle w:val="TMGTableText"/>
            </w:pPr>
            <w:r>
              <w:rPr>
                <w:rFonts w:eastAsiaTheme="minorEastAsia"/>
              </w:rPr>
              <w:t>Class 14 Count (BIN14)</w:t>
            </w:r>
          </w:p>
        </w:tc>
        <w:tc>
          <w:tcPr>
            <w:tcW w:w="1530" w:type="dxa"/>
          </w:tcPr>
          <w:p w14:paraId="28D3B58C" w14:textId="42703614" w:rsidR="004D105A" w:rsidRPr="004859C8" w:rsidRDefault="004D105A" w:rsidP="00D27311">
            <w:pPr>
              <w:pStyle w:val="TMGTableText"/>
              <w:jc w:val="center"/>
            </w:pPr>
            <w:r w:rsidRPr="0052032D">
              <w:rPr>
                <w:rFonts w:eastAsiaTheme="minorEastAsia"/>
              </w:rPr>
              <w:t>Integer</w:t>
            </w:r>
          </w:p>
        </w:tc>
        <w:tc>
          <w:tcPr>
            <w:tcW w:w="1355" w:type="dxa"/>
          </w:tcPr>
          <w:p w14:paraId="5CE88A88" w14:textId="65D77D8C" w:rsidR="004D105A" w:rsidRPr="00C251E9" w:rsidRDefault="004D105A" w:rsidP="00D27311">
            <w:pPr>
              <w:pStyle w:val="TMGTableText"/>
              <w:jc w:val="center"/>
            </w:pPr>
            <w:r>
              <w:rPr>
                <w:rFonts w:eastAsiaTheme="minorEastAsia"/>
              </w:rPr>
              <w:t>Req./Opt.</w:t>
            </w:r>
          </w:p>
        </w:tc>
      </w:tr>
      <w:tr w:rsidR="004D105A" w14:paraId="1733E33C" w14:textId="77777777" w:rsidTr="004D105A">
        <w:trPr>
          <w:jc w:val="center"/>
        </w:trPr>
        <w:tc>
          <w:tcPr>
            <w:tcW w:w="624" w:type="dxa"/>
            <w:vAlign w:val="center"/>
          </w:tcPr>
          <w:p w14:paraId="1ECF9FBE" w14:textId="16F84D5C" w:rsidR="004D105A" w:rsidRPr="00C251E9" w:rsidRDefault="004D105A" w:rsidP="004D105A">
            <w:pPr>
              <w:pStyle w:val="TMGTableText"/>
              <w:ind w:left="0" w:right="86"/>
              <w:jc w:val="right"/>
              <w:rPr>
                <w:b/>
                <w:bCs/>
              </w:rPr>
            </w:pPr>
            <w:r w:rsidRPr="00162A2C">
              <w:rPr>
                <w:rFonts w:eastAsiaTheme="minorEastAsia"/>
                <w:b/>
                <w:bCs/>
              </w:rPr>
              <w:t>27</w:t>
            </w:r>
          </w:p>
        </w:tc>
        <w:tc>
          <w:tcPr>
            <w:tcW w:w="900" w:type="dxa"/>
          </w:tcPr>
          <w:p w14:paraId="1E300E4C" w14:textId="4EBC92AB" w:rsidR="004D105A" w:rsidRPr="004859C8" w:rsidRDefault="004D105A" w:rsidP="006220E7">
            <w:pPr>
              <w:pStyle w:val="TMGTableText"/>
              <w:jc w:val="center"/>
            </w:pPr>
            <w:r>
              <w:rPr>
                <w:rFonts w:eastAsiaTheme="minorEastAsia"/>
              </w:rPr>
              <w:t>99-103</w:t>
            </w:r>
          </w:p>
        </w:tc>
        <w:tc>
          <w:tcPr>
            <w:tcW w:w="686" w:type="dxa"/>
          </w:tcPr>
          <w:p w14:paraId="34A13E05" w14:textId="33539891" w:rsidR="004D105A" w:rsidRPr="004859C8" w:rsidRDefault="004D105A" w:rsidP="006220E7">
            <w:pPr>
              <w:pStyle w:val="TMGTableText"/>
              <w:jc w:val="center"/>
            </w:pPr>
            <w:r>
              <w:rPr>
                <w:rFonts w:eastAsiaTheme="minorEastAsia"/>
              </w:rPr>
              <w:t>5</w:t>
            </w:r>
          </w:p>
        </w:tc>
        <w:tc>
          <w:tcPr>
            <w:tcW w:w="4265" w:type="dxa"/>
          </w:tcPr>
          <w:p w14:paraId="28D51970" w14:textId="2910C27A" w:rsidR="004D105A" w:rsidRPr="004859C8" w:rsidRDefault="004D105A" w:rsidP="004D105A">
            <w:pPr>
              <w:pStyle w:val="TMGTableText"/>
            </w:pPr>
            <w:r>
              <w:rPr>
                <w:rFonts w:eastAsiaTheme="minorEastAsia"/>
              </w:rPr>
              <w:t>Class 15 Count (BIN15)</w:t>
            </w:r>
          </w:p>
        </w:tc>
        <w:tc>
          <w:tcPr>
            <w:tcW w:w="1530" w:type="dxa"/>
          </w:tcPr>
          <w:p w14:paraId="123DAC71" w14:textId="030186F5" w:rsidR="004D105A" w:rsidRPr="004859C8" w:rsidRDefault="004D105A" w:rsidP="00D27311">
            <w:pPr>
              <w:pStyle w:val="TMGTableText"/>
              <w:jc w:val="center"/>
            </w:pPr>
            <w:r w:rsidRPr="0052032D">
              <w:rPr>
                <w:rFonts w:eastAsiaTheme="minorEastAsia"/>
              </w:rPr>
              <w:t>Integer</w:t>
            </w:r>
          </w:p>
        </w:tc>
        <w:tc>
          <w:tcPr>
            <w:tcW w:w="1355" w:type="dxa"/>
          </w:tcPr>
          <w:p w14:paraId="0AEF3E40" w14:textId="6CA3272A" w:rsidR="004D105A" w:rsidRPr="00C251E9" w:rsidRDefault="004D105A" w:rsidP="00D27311">
            <w:pPr>
              <w:pStyle w:val="TMGTableText"/>
              <w:jc w:val="center"/>
            </w:pPr>
            <w:r>
              <w:rPr>
                <w:rFonts w:eastAsiaTheme="minorEastAsia"/>
              </w:rPr>
              <w:t>Req./Opt.</w:t>
            </w:r>
          </w:p>
        </w:tc>
      </w:tr>
    </w:tbl>
    <w:p w14:paraId="08DE8EF1" w14:textId="77777777" w:rsidR="009B7AED" w:rsidRDefault="009B7AED" w:rsidP="004D105A">
      <w:pPr>
        <w:pStyle w:val="Source"/>
        <w:spacing w:before="60" w:after="60"/>
        <w:ind w:left="547" w:hanging="547"/>
      </w:pPr>
      <w:r>
        <w:t>Note:</w:t>
      </w:r>
      <w:r>
        <w:tab/>
        <w:t xml:space="preserve">Fields designated as </w:t>
      </w:r>
      <w:r>
        <w:rPr>
          <w:rStyle w:val="Italic"/>
          <w:iCs/>
        </w:rPr>
        <w:t>Required</w:t>
      </w:r>
      <w:r>
        <w:t xml:space="preserve"> must be reported.</w:t>
      </w:r>
    </w:p>
    <w:p w14:paraId="5D1E5D49" w14:textId="77777777" w:rsidR="009B7AED" w:rsidRDefault="009B7AED" w:rsidP="004D105A">
      <w:pPr>
        <w:pStyle w:val="Source"/>
        <w:spacing w:before="60" w:after="60"/>
        <w:ind w:left="547" w:hanging="547"/>
      </w:pPr>
      <w:r>
        <w:tab/>
        <w:t xml:space="preserve">Fields designated as </w:t>
      </w:r>
      <w:r>
        <w:rPr>
          <w:rStyle w:val="Italic"/>
          <w:iCs/>
        </w:rPr>
        <w:t>Optional</w:t>
      </w:r>
      <w:r>
        <w:t xml:space="preserve"> are not required to be reported.</w:t>
      </w:r>
    </w:p>
    <w:p w14:paraId="70ED9A06" w14:textId="77777777" w:rsidR="009B7AED" w:rsidRDefault="009B7AED" w:rsidP="004D105A">
      <w:pPr>
        <w:pStyle w:val="Source"/>
        <w:spacing w:before="60" w:after="360"/>
        <w:ind w:left="547" w:hanging="547"/>
      </w:pPr>
      <w:r>
        <w:tab/>
        <w:t xml:space="preserve">Fields designated as </w:t>
      </w:r>
      <w:r>
        <w:rPr>
          <w:rStyle w:val="Italic"/>
          <w:iCs/>
        </w:rPr>
        <w:t>Required/Optional</w:t>
      </w:r>
      <w:r>
        <w:t xml:space="preserve"> could be either required or optional based on values used for other related fields.</w:t>
      </w:r>
    </w:p>
    <w:p w14:paraId="663AD695" w14:textId="5C2D6FC8" w:rsidR="009B7AED" w:rsidRDefault="009B7AED" w:rsidP="00A35EAF">
      <w:pPr>
        <w:pStyle w:val="BodyText"/>
      </w:pPr>
      <w:r>
        <w:t>The fields for the Vehicle Classification record are:</w:t>
      </w:r>
    </w:p>
    <w:p w14:paraId="7A46FC73" w14:textId="77777777" w:rsidR="009B7AED" w:rsidRDefault="009B7AED">
      <w:pPr>
        <w:pStyle w:val="ListCS1BulletsandNumbering"/>
        <w:numPr>
          <w:ilvl w:val="0"/>
          <w:numId w:val="47"/>
        </w:numPr>
        <w:spacing w:before="120" w:after="120"/>
        <w:ind w:left="648"/>
      </w:pPr>
      <w:r>
        <w:t xml:space="preserve">Record Type (Column 1) – </w:t>
      </w:r>
      <w:r>
        <w:rPr>
          <w:rStyle w:val="Italic"/>
          <w:iCs/>
        </w:rPr>
        <w:t>Required</w:t>
      </w:r>
    </w:p>
    <w:p w14:paraId="104FBE51" w14:textId="56262D37" w:rsidR="009B7AED" w:rsidRDefault="009B7AED" w:rsidP="00121C1E">
      <w:pPr>
        <w:pStyle w:val="BulletcontinuedBulletsandNumbering"/>
        <w:tabs>
          <w:tab w:val="clear" w:pos="1440"/>
        </w:tabs>
        <w:ind w:left="648"/>
      </w:pPr>
      <w:r>
        <w:t>C = Vehicle classification record (Code the letter “C” in the first column)</w:t>
      </w:r>
    </w:p>
    <w:p w14:paraId="5E44EAB0" w14:textId="77777777" w:rsidR="009B7AED" w:rsidRDefault="009B7AED">
      <w:pPr>
        <w:pStyle w:val="ListCS1BulletsandNumbering"/>
        <w:numPr>
          <w:ilvl w:val="0"/>
          <w:numId w:val="47"/>
        </w:numPr>
        <w:spacing w:before="120" w:after="120"/>
        <w:ind w:left="648"/>
      </w:pPr>
      <w:r>
        <w:rPr>
          <w:rStyle w:val="Bold"/>
        </w:rPr>
        <w:t xml:space="preserve">FIPS </w:t>
      </w:r>
      <w:r w:rsidRPr="00311079">
        <w:t>State</w:t>
      </w:r>
      <w:r>
        <w:rPr>
          <w:rStyle w:val="Bold"/>
        </w:rPr>
        <w:t xml:space="preserve"> Code</w:t>
      </w:r>
      <w:r>
        <w:t xml:space="preserve"> (Columns 2-3) – </w:t>
      </w:r>
      <w:r>
        <w:rPr>
          <w:rStyle w:val="bolditalic"/>
        </w:rPr>
        <w:t>Required</w:t>
      </w:r>
      <w:r>
        <w:t xml:space="preserve"> </w:t>
      </w:r>
    </w:p>
    <w:p w14:paraId="14EC43CC" w14:textId="77777777" w:rsidR="009B7AED" w:rsidRDefault="009B7AED" w:rsidP="00121C1E">
      <w:pPr>
        <w:pStyle w:val="BulletcontinuedBulletsandNumbering"/>
        <w:tabs>
          <w:tab w:val="clear" w:pos="1440"/>
        </w:tabs>
        <w:ind w:left="648"/>
      </w:pPr>
      <w:r>
        <w:t>See section 4.2, Field #2.</w:t>
      </w:r>
    </w:p>
    <w:p w14:paraId="46F1A520" w14:textId="11A16BE1" w:rsidR="009B7AED" w:rsidRDefault="009B7AED">
      <w:pPr>
        <w:pStyle w:val="ListCS1BulletsandNumbering"/>
        <w:numPr>
          <w:ilvl w:val="0"/>
          <w:numId w:val="47"/>
        </w:numPr>
        <w:spacing w:before="120" w:after="120"/>
        <w:ind w:left="648"/>
      </w:pPr>
      <w:r w:rsidRPr="00311079">
        <w:t>Station</w:t>
      </w:r>
      <w:r>
        <w:rPr>
          <w:rStyle w:val="Bold"/>
        </w:rPr>
        <w:t xml:space="preserve"> Identification</w:t>
      </w:r>
      <w:r>
        <w:t xml:space="preserve"> (Columns 4-9) – </w:t>
      </w:r>
      <w:r>
        <w:rPr>
          <w:rStyle w:val="bolditalic"/>
        </w:rPr>
        <w:t>Required</w:t>
      </w:r>
      <w:r>
        <w:t xml:space="preserve"> </w:t>
      </w:r>
    </w:p>
    <w:p w14:paraId="3F58A96C" w14:textId="6FA3C3B6" w:rsidR="009B7AED" w:rsidRDefault="009B7AED" w:rsidP="00121C1E">
      <w:pPr>
        <w:pStyle w:val="BulletcontinuedBulletsandNumbering"/>
        <w:tabs>
          <w:tab w:val="clear" w:pos="1440"/>
        </w:tabs>
        <w:ind w:left="648"/>
      </w:pPr>
      <w:r>
        <w:t xml:space="preserve">See </w:t>
      </w:r>
      <w:r w:rsidR="00031AC7">
        <w:t>S</w:t>
      </w:r>
      <w:r>
        <w:t>ection 4.2, Field #3.</w:t>
      </w:r>
    </w:p>
    <w:p w14:paraId="4768642F" w14:textId="77777777" w:rsidR="009B7AED" w:rsidRDefault="009B7AED" w:rsidP="00121C1E">
      <w:pPr>
        <w:pStyle w:val="BulletcontinuedBulletsandNumbering"/>
        <w:tabs>
          <w:tab w:val="clear" w:pos="1440"/>
        </w:tabs>
        <w:ind w:left="648"/>
      </w:pPr>
      <w:r>
        <w:t>This field should be right-justified with unused columns zero-filled.</w:t>
      </w:r>
    </w:p>
    <w:p w14:paraId="0AD831A6" w14:textId="77777777" w:rsidR="009B7AED" w:rsidRDefault="009B7AED">
      <w:pPr>
        <w:pStyle w:val="ListCS1BulletsandNumbering"/>
        <w:numPr>
          <w:ilvl w:val="0"/>
          <w:numId w:val="47"/>
        </w:numPr>
        <w:spacing w:before="120" w:after="120"/>
        <w:ind w:left="648"/>
      </w:pPr>
      <w:r w:rsidRPr="00311079">
        <w:t>Direction</w:t>
      </w:r>
      <w:r>
        <w:rPr>
          <w:rStyle w:val="Bold"/>
        </w:rPr>
        <w:t xml:space="preserve"> of Travel </w:t>
      </w:r>
      <w:r>
        <w:t xml:space="preserve">(Column 10) – </w:t>
      </w:r>
      <w:r>
        <w:rPr>
          <w:rStyle w:val="bolditalic"/>
        </w:rPr>
        <w:t>Required</w:t>
      </w:r>
      <w:r>
        <w:t xml:space="preserve"> </w:t>
      </w:r>
    </w:p>
    <w:p w14:paraId="22F5673A" w14:textId="7C9B9C20" w:rsidR="009B7AED" w:rsidRDefault="009B7AED" w:rsidP="00121C1E">
      <w:pPr>
        <w:pStyle w:val="BulletcontinuedBulletsandNumbering"/>
        <w:tabs>
          <w:tab w:val="clear" w:pos="1440"/>
        </w:tabs>
        <w:ind w:left="648"/>
      </w:pPr>
      <w:r>
        <w:t xml:space="preserve">See </w:t>
      </w:r>
      <w:r w:rsidR="00031AC7">
        <w:t>S</w:t>
      </w:r>
      <w:r>
        <w:t>ection 4.2, Field #4.</w:t>
      </w:r>
    </w:p>
    <w:p w14:paraId="3B85DF35" w14:textId="77777777" w:rsidR="009B7AED" w:rsidRDefault="009B7AED">
      <w:pPr>
        <w:pStyle w:val="ListCS1BulletsandNumbering"/>
        <w:numPr>
          <w:ilvl w:val="0"/>
          <w:numId w:val="47"/>
        </w:numPr>
        <w:spacing w:before="120" w:after="120"/>
        <w:ind w:left="648"/>
      </w:pPr>
      <w:r w:rsidRPr="00121C1E">
        <w:t>Lane</w:t>
      </w:r>
      <w:r>
        <w:rPr>
          <w:rStyle w:val="Bold"/>
        </w:rPr>
        <w:t xml:space="preserve"> of Travel</w:t>
      </w:r>
      <w:r>
        <w:t xml:space="preserve"> (Column 11) – </w:t>
      </w:r>
      <w:r>
        <w:rPr>
          <w:rStyle w:val="bolditalic"/>
        </w:rPr>
        <w:t>Required</w:t>
      </w:r>
      <w:r>
        <w:t xml:space="preserve"> </w:t>
      </w:r>
    </w:p>
    <w:p w14:paraId="19D0C481" w14:textId="2F19690B" w:rsidR="009B7AED" w:rsidRDefault="009B7AED" w:rsidP="00121C1E">
      <w:pPr>
        <w:pStyle w:val="BulletcontinuedBulletsandNumbering"/>
        <w:tabs>
          <w:tab w:val="clear" w:pos="1440"/>
        </w:tabs>
        <w:ind w:left="648"/>
      </w:pPr>
      <w:r>
        <w:t xml:space="preserve">See </w:t>
      </w:r>
      <w:r w:rsidR="00031AC7">
        <w:t>S</w:t>
      </w:r>
      <w:r>
        <w:t>ection 4.2, Field #5.</w:t>
      </w:r>
    </w:p>
    <w:p w14:paraId="790F50F1" w14:textId="77777777" w:rsidR="009B7AED" w:rsidRPr="00183B6B" w:rsidRDefault="009B7AED" w:rsidP="00121C1E">
      <w:pPr>
        <w:pStyle w:val="BulletcontinuedBulletsandNumbering"/>
        <w:tabs>
          <w:tab w:val="clear" w:pos="1440"/>
        </w:tabs>
        <w:ind w:left="648"/>
        <w:rPr>
          <w:i/>
        </w:rPr>
      </w:pPr>
      <w:r>
        <w:t xml:space="preserve">Note: The Station ID, Direction of Travel, and Lane of Travel make up the Station Code. </w:t>
      </w:r>
      <w:r w:rsidRPr="00183B6B">
        <w:rPr>
          <w:rStyle w:val="Italic"/>
          <w:i w:val="0"/>
        </w:rPr>
        <w:t xml:space="preserve">There should be one </w:t>
      </w:r>
      <w:r w:rsidRPr="00121C1E">
        <w:t>Station</w:t>
      </w:r>
      <w:r w:rsidRPr="00183B6B">
        <w:rPr>
          <w:rStyle w:val="Italic"/>
          <w:i w:val="0"/>
        </w:rPr>
        <w:t xml:space="preserve"> Description record per Station Code.</w:t>
      </w:r>
    </w:p>
    <w:p w14:paraId="5BA123B6" w14:textId="77777777" w:rsidR="009B7AED" w:rsidRDefault="009B7AED">
      <w:pPr>
        <w:pStyle w:val="ListCS1BulletsandNumbering"/>
        <w:numPr>
          <w:ilvl w:val="0"/>
          <w:numId w:val="47"/>
        </w:numPr>
        <w:spacing w:before="120" w:after="120"/>
        <w:ind w:left="648"/>
      </w:pPr>
      <w:r w:rsidRPr="00121C1E">
        <w:t>Year</w:t>
      </w:r>
      <w:r>
        <w:rPr>
          <w:rStyle w:val="Bold"/>
        </w:rPr>
        <w:t xml:space="preserve"> of Data </w:t>
      </w:r>
      <w:r>
        <w:t xml:space="preserve">(Columns 12-15) – </w:t>
      </w:r>
      <w:r>
        <w:rPr>
          <w:rStyle w:val="bolditalic"/>
        </w:rPr>
        <w:t>Required</w:t>
      </w:r>
      <w:r>
        <w:t xml:space="preserve"> </w:t>
      </w:r>
    </w:p>
    <w:p w14:paraId="4FE3E830" w14:textId="27EF1802" w:rsidR="009B7AED" w:rsidRDefault="009B7AED" w:rsidP="00121C1E">
      <w:pPr>
        <w:pStyle w:val="BulletcontinuedBulletsandNumbering"/>
        <w:tabs>
          <w:tab w:val="clear" w:pos="1440"/>
        </w:tabs>
        <w:ind w:left="648"/>
      </w:pPr>
      <w:r>
        <w:t xml:space="preserve">See </w:t>
      </w:r>
      <w:r w:rsidR="00031AC7">
        <w:t>S</w:t>
      </w:r>
      <w:r>
        <w:t>ection 4.2, Field #6.</w:t>
      </w:r>
    </w:p>
    <w:p w14:paraId="754F68EE" w14:textId="77777777" w:rsidR="009B7AED" w:rsidRDefault="009B7AED">
      <w:pPr>
        <w:pStyle w:val="ListCS1BulletsandNumbering"/>
        <w:numPr>
          <w:ilvl w:val="0"/>
          <w:numId w:val="47"/>
        </w:numPr>
        <w:spacing w:before="120" w:after="120"/>
        <w:ind w:left="648"/>
      </w:pPr>
      <w:r w:rsidRPr="00311079">
        <w:t>Month</w:t>
      </w:r>
      <w:r>
        <w:rPr>
          <w:rStyle w:val="Bold"/>
        </w:rPr>
        <w:t xml:space="preserve"> of Data</w:t>
      </w:r>
      <w:r>
        <w:t xml:space="preserve"> (Columns 16-17) – </w:t>
      </w:r>
      <w:r>
        <w:rPr>
          <w:rStyle w:val="bolditalic"/>
        </w:rPr>
        <w:t>Required</w:t>
      </w:r>
      <w:r>
        <w:t xml:space="preserve"> </w:t>
      </w:r>
    </w:p>
    <w:p w14:paraId="02795718" w14:textId="249B706D" w:rsidR="00311079" w:rsidRDefault="009B7AED" w:rsidP="00121C1E">
      <w:pPr>
        <w:pStyle w:val="BulletcontinuedBulletsandNumbering"/>
        <w:tabs>
          <w:tab w:val="clear" w:pos="1440"/>
        </w:tabs>
        <w:ind w:left="648"/>
      </w:pPr>
      <w:r>
        <w:t xml:space="preserve">See </w:t>
      </w:r>
      <w:r w:rsidR="00031AC7">
        <w:t>S</w:t>
      </w:r>
      <w:r>
        <w:t>ection 4.3, Field #8.</w:t>
      </w:r>
    </w:p>
    <w:p w14:paraId="3A237D64" w14:textId="77777777" w:rsidR="00311079" w:rsidRDefault="00311079">
      <w:pPr>
        <w:widowControl/>
        <w:suppressAutoHyphens w:val="0"/>
        <w:autoSpaceDE/>
        <w:autoSpaceDN/>
        <w:adjustRightInd/>
        <w:spacing w:after="160" w:line="259" w:lineRule="auto"/>
        <w:jc w:val="left"/>
        <w:textAlignment w:val="auto"/>
        <w:rPr>
          <w:color w:val="auto"/>
        </w:rPr>
      </w:pPr>
      <w:r>
        <w:br w:type="page"/>
      </w:r>
    </w:p>
    <w:p w14:paraId="040EE51A" w14:textId="77777777" w:rsidR="009B7AED" w:rsidRDefault="009B7AED">
      <w:pPr>
        <w:pStyle w:val="ListCS1BulletsandNumbering"/>
        <w:numPr>
          <w:ilvl w:val="0"/>
          <w:numId w:val="47"/>
        </w:numPr>
        <w:spacing w:before="120" w:after="120"/>
        <w:ind w:left="648"/>
      </w:pPr>
      <w:r>
        <w:rPr>
          <w:rStyle w:val="Bold"/>
        </w:rPr>
        <w:lastRenderedPageBreak/>
        <w:t xml:space="preserve">Day of </w:t>
      </w:r>
      <w:r w:rsidRPr="00121C1E">
        <w:t>Data</w:t>
      </w:r>
      <w:r>
        <w:t xml:space="preserve"> (Columns 18-19) – </w:t>
      </w:r>
      <w:r>
        <w:rPr>
          <w:rStyle w:val="bolditalic"/>
        </w:rPr>
        <w:t>Required</w:t>
      </w:r>
      <w:r>
        <w:t xml:space="preserve"> </w:t>
      </w:r>
    </w:p>
    <w:p w14:paraId="4A77BE76" w14:textId="56D77B1A" w:rsidR="009B7AED" w:rsidRDefault="009B7AED" w:rsidP="00121C1E">
      <w:pPr>
        <w:pStyle w:val="BulletcontinuedBulletsandNumbering"/>
        <w:tabs>
          <w:tab w:val="clear" w:pos="1440"/>
        </w:tabs>
        <w:ind w:left="648"/>
      </w:pPr>
      <w:r>
        <w:t xml:space="preserve">See </w:t>
      </w:r>
      <w:r w:rsidR="00031AC7">
        <w:t>S</w:t>
      </w:r>
      <w:r>
        <w:t>ection 4.3, Field #9.</w:t>
      </w:r>
    </w:p>
    <w:p w14:paraId="6ED27F2F" w14:textId="77777777" w:rsidR="009B7AED" w:rsidRDefault="009B7AED">
      <w:pPr>
        <w:pStyle w:val="ListCS1BulletsandNumbering"/>
        <w:numPr>
          <w:ilvl w:val="0"/>
          <w:numId w:val="47"/>
        </w:numPr>
        <w:spacing w:before="120" w:after="120"/>
        <w:ind w:left="648"/>
      </w:pPr>
      <w:r w:rsidRPr="00311079">
        <w:t>Hour</w:t>
      </w:r>
      <w:r>
        <w:rPr>
          <w:rStyle w:val="Bold"/>
        </w:rPr>
        <w:t xml:space="preserve"> of Data</w:t>
      </w:r>
      <w:r>
        <w:t xml:space="preserve"> (Columns 20-21) – </w:t>
      </w:r>
      <w:r>
        <w:rPr>
          <w:rStyle w:val="bolditalic"/>
        </w:rPr>
        <w:t>Required</w:t>
      </w:r>
    </w:p>
    <w:p w14:paraId="15D3B983" w14:textId="77777777" w:rsidR="009B7AED" w:rsidRDefault="009B7AED" w:rsidP="00121C1E">
      <w:pPr>
        <w:pStyle w:val="BulletcontinuedBulletsandNumbering"/>
        <w:tabs>
          <w:tab w:val="clear" w:pos="1440"/>
        </w:tabs>
        <w:ind w:left="648"/>
      </w:pPr>
      <w:r>
        <w:t>Code the beginning of the hour in which the count was taken:</w:t>
      </w:r>
    </w:p>
    <w:p w14:paraId="7680814C" w14:textId="77777777" w:rsidR="009B7AED" w:rsidRDefault="009B7AED" w:rsidP="00121C1E">
      <w:pPr>
        <w:pStyle w:val="ListContinueBulletsandNumbering"/>
        <w:ind w:left="936"/>
      </w:pPr>
      <w:r>
        <w:t>00 = after 00:00 to 01:00</w:t>
      </w:r>
    </w:p>
    <w:p w14:paraId="3AED2EFB" w14:textId="77777777" w:rsidR="009B7AED" w:rsidRDefault="009B7AED" w:rsidP="00121C1E">
      <w:pPr>
        <w:pStyle w:val="ListContinueBulletsandNumbering"/>
        <w:ind w:left="936"/>
      </w:pPr>
      <w:r>
        <w:t>01 = after 01:00 to 02:00</w:t>
      </w:r>
    </w:p>
    <w:p w14:paraId="38301C17" w14:textId="77777777" w:rsidR="009B7AED" w:rsidRDefault="009B7AED" w:rsidP="00121C1E">
      <w:pPr>
        <w:pStyle w:val="ListContinueBulletsandNumbering"/>
        <w:ind w:left="936"/>
      </w:pPr>
      <w:r>
        <w:t>...</w:t>
      </w:r>
    </w:p>
    <w:p w14:paraId="28B26E15" w14:textId="77777777" w:rsidR="009B7AED" w:rsidRDefault="009B7AED" w:rsidP="00121C1E">
      <w:pPr>
        <w:pStyle w:val="ListContinueBulletsandNumbering"/>
        <w:ind w:left="936"/>
      </w:pPr>
      <w:r>
        <w:t>22 = after 22:00 to 23:00</w:t>
      </w:r>
    </w:p>
    <w:p w14:paraId="6035D94B" w14:textId="77777777" w:rsidR="009B7AED" w:rsidRDefault="009B7AED" w:rsidP="00121C1E">
      <w:pPr>
        <w:pStyle w:val="ListContinueBulletsandNumbering"/>
        <w:ind w:left="936"/>
      </w:pPr>
      <w:r>
        <w:t>23 = after 23:00 to 24:00</w:t>
      </w:r>
    </w:p>
    <w:p w14:paraId="0CDDFEE5" w14:textId="77777777" w:rsidR="009B7AED" w:rsidRDefault="009B7AED">
      <w:pPr>
        <w:pStyle w:val="ListCS1BulletsandNumbering"/>
        <w:numPr>
          <w:ilvl w:val="0"/>
          <w:numId w:val="47"/>
        </w:numPr>
        <w:spacing w:before="120" w:after="120"/>
        <w:ind w:left="648"/>
      </w:pPr>
      <w:r w:rsidRPr="00311079">
        <w:t>Classification</w:t>
      </w:r>
      <w:r>
        <w:rPr>
          <w:rStyle w:val="Bold"/>
        </w:rPr>
        <w:t xml:space="preserve"> Data Time Interval</w:t>
      </w:r>
      <w:r>
        <w:t xml:space="preserve"> – (Column 22) – </w:t>
      </w:r>
      <w:r>
        <w:rPr>
          <w:rStyle w:val="bolditalic"/>
        </w:rPr>
        <w:t>Optional/Required</w:t>
      </w:r>
    </w:p>
    <w:p w14:paraId="3B885934" w14:textId="77777777" w:rsidR="009B7AED" w:rsidRDefault="009B7AED" w:rsidP="00121C1E">
      <w:pPr>
        <w:pStyle w:val="BulletcontinuedBulletsandNumbering"/>
        <w:tabs>
          <w:tab w:val="clear" w:pos="1440"/>
        </w:tabs>
        <w:ind w:left="648"/>
      </w:pPr>
      <w:r>
        <w:t>A 60-minute time interval is assumed if this column is left blank (optional). This field can be used to designate either 5-minute or 15-minute binned classification data (required).</w:t>
      </w:r>
    </w:p>
    <w:p w14:paraId="78D2FAB3" w14:textId="77777777" w:rsidR="009B7AED" w:rsidRDefault="009B7AED" w:rsidP="00121C1E">
      <w:pPr>
        <w:pStyle w:val="BulletcontinuedBulletsandNumbering"/>
        <w:tabs>
          <w:tab w:val="clear" w:pos="1440"/>
        </w:tabs>
        <w:ind w:left="648"/>
      </w:pPr>
      <w:r>
        <w:t>For 15-minute binned intervals of classification data use the following:</w:t>
      </w:r>
    </w:p>
    <w:p w14:paraId="50E8AAEC" w14:textId="77777777" w:rsidR="009B7AED" w:rsidRDefault="009B7AED" w:rsidP="00121C1E">
      <w:pPr>
        <w:pStyle w:val="ListContinueBulletsandNumbering"/>
        <w:ind w:left="936"/>
      </w:pPr>
      <w:r>
        <w:t>Code 1 for the interval 0.0 – 14.999</w:t>
      </w:r>
    </w:p>
    <w:p w14:paraId="08F2105B" w14:textId="77777777" w:rsidR="009B7AED" w:rsidRDefault="009B7AED" w:rsidP="00121C1E">
      <w:pPr>
        <w:pStyle w:val="ListContinueBulletsandNumbering"/>
        <w:ind w:left="936"/>
      </w:pPr>
      <w:r>
        <w:t>Code 2 for the interval 15.0 – 29.999</w:t>
      </w:r>
    </w:p>
    <w:p w14:paraId="496A26C2" w14:textId="77777777" w:rsidR="009B7AED" w:rsidRDefault="009B7AED" w:rsidP="00121C1E">
      <w:pPr>
        <w:pStyle w:val="ListContinueBulletsandNumbering"/>
        <w:ind w:left="936"/>
      </w:pPr>
      <w:r>
        <w:t>Code 3 for the interval 30.0 – 44.999</w:t>
      </w:r>
    </w:p>
    <w:p w14:paraId="085DC70F" w14:textId="77777777" w:rsidR="009B7AED" w:rsidRDefault="009B7AED" w:rsidP="00121C1E">
      <w:pPr>
        <w:pStyle w:val="ListContinueBulletsandNumbering"/>
        <w:ind w:left="936"/>
      </w:pPr>
      <w:r>
        <w:t>Code 4 for the interval 45.0 – 59.999</w:t>
      </w:r>
    </w:p>
    <w:p w14:paraId="10AA311E" w14:textId="77777777" w:rsidR="009B7AED" w:rsidRDefault="009B7AED" w:rsidP="00121C1E">
      <w:pPr>
        <w:pStyle w:val="BulletcontinuedBulletsandNumbering"/>
        <w:tabs>
          <w:tab w:val="clear" w:pos="1440"/>
        </w:tabs>
        <w:ind w:left="648"/>
      </w:pPr>
      <w:r>
        <w:t>For 5-minute binned intervals of classification data use the following:</w:t>
      </w:r>
    </w:p>
    <w:p w14:paraId="6C2AF4E2" w14:textId="77777777" w:rsidR="009B7AED" w:rsidRDefault="009B7AED" w:rsidP="00121C1E">
      <w:pPr>
        <w:pStyle w:val="ListContinueBulletsandNumbering"/>
        <w:ind w:left="936"/>
      </w:pPr>
      <w:r>
        <w:t>Code A for the interval 0.0 – 4.999</w:t>
      </w:r>
    </w:p>
    <w:p w14:paraId="470169A7" w14:textId="77777777" w:rsidR="009B7AED" w:rsidRDefault="009B7AED" w:rsidP="00121C1E">
      <w:pPr>
        <w:pStyle w:val="ListContinueBulletsandNumbering"/>
        <w:ind w:left="936"/>
      </w:pPr>
      <w:r>
        <w:t>Code B for the interval 5.0 – 9.999</w:t>
      </w:r>
    </w:p>
    <w:p w14:paraId="1C3F06B5" w14:textId="77777777" w:rsidR="009B7AED" w:rsidRDefault="009B7AED" w:rsidP="00121C1E">
      <w:pPr>
        <w:pStyle w:val="ListContinueBulletsandNumbering"/>
        <w:ind w:left="936"/>
      </w:pPr>
      <w:r>
        <w:t>Code C for the interval 10.0 – 14.999</w:t>
      </w:r>
    </w:p>
    <w:p w14:paraId="38F11BD4" w14:textId="77777777" w:rsidR="009B7AED" w:rsidRDefault="009B7AED" w:rsidP="00121C1E">
      <w:pPr>
        <w:pStyle w:val="ListContinueBulletsandNumbering"/>
        <w:ind w:left="936"/>
      </w:pPr>
      <w:r>
        <w:t>Code D for the interval 15.0 – 19.999</w:t>
      </w:r>
    </w:p>
    <w:p w14:paraId="14C57833" w14:textId="77777777" w:rsidR="009B7AED" w:rsidRDefault="009B7AED" w:rsidP="00121C1E">
      <w:pPr>
        <w:pStyle w:val="ListContinueBulletsandNumbering"/>
        <w:ind w:left="936"/>
      </w:pPr>
      <w:r>
        <w:t>Code E for the interval 20.0 – 24.999</w:t>
      </w:r>
    </w:p>
    <w:p w14:paraId="76A0EA61" w14:textId="77777777" w:rsidR="009B7AED" w:rsidRDefault="009B7AED" w:rsidP="00121C1E">
      <w:pPr>
        <w:pStyle w:val="ListContinueBulletsandNumbering"/>
        <w:ind w:left="936"/>
      </w:pPr>
      <w:r>
        <w:t>Code F for the interval 25.0 – 29.999</w:t>
      </w:r>
    </w:p>
    <w:p w14:paraId="164C91BD" w14:textId="77777777" w:rsidR="009B7AED" w:rsidRDefault="009B7AED" w:rsidP="00121C1E">
      <w:pPr>
        <w:pStyle w:val="ListContinueBulletsandNumbering"/>
        <w:ind w:left="936"/>
      </w:pPr>
      <w:r>
        <w:t>Code G for the interval 30.0 – 34.999</w:t>
      </w:r>
    </w:p>
    <w:p w14:paraId="127FB4F0" w14:textId="77777777" w:rsidR="009B7AED" w:rsidRDefault="009B7AED" w:rsidP="00121C1E">
      <w:pPr>
        <w:pStyle w:val="ListContinueBulletsandNumbering"/>
        <w:ind w:left="936"/>
      </w:pPr>
      <w:r>
        <w:t>Code H for the interval 35.0 – 39.999</w:t>
      </w:r>
    </w:p>
    <w:p w14:paraId="484D1448" w14:textId="77777777" w:rsidR="009B7AED" w:rsidRDefault="009B7AED" w:rsidP="00121C1E">
      <w:pPr>
        <w:pStyle w:val="ListContinueBulletsandNumbering"/>
        <w:ind w:left="936"/>
      </w:pPr>
      <w:r>
        <w:t>Code I for the interval 40.0 – 44.999</w:t>
      </w:r>
    </w:p>
    <w:p w14:paraId="500FF7BB" w14:textId="77777777" w:rsidR="009B7AED" w:rsidRDefault="009B7AED" w:rsidP="00121C1E">
      <w:pPr>
        <w:pStyle w:val="ListContinueBulletsandNumbering"/>
        <w:ind w:left="936"/>
      </w:pPr>
      <w:r>
        <w:t>Code J for the interval 45.0 – 49.999</w:t>
      </w:r>
    </w:p>
    <w:p w14:paraId="0F9F9827" w14:textId="77777777" w:rsidR="009B7AED" w:rsidRDefault="009B7AED" w:rsidP="00121C1E">
      <w:pPr>
        <w:pStyle w:val="ListContinueBulletsandNumbering"/>
        <w:ind w:left="936"/>
      </w:pPr>
      <w:r>
        <w:t>Code K for the interval 50.0 – 54.999</w:t>
      </w:r>
    </w:p>
    <w:p w14:paraId="789CD420" w14:textId="77777777" w:rsidR="009B7AED" w:rsidRDefault="009B7AED" w:rsidP="00121C1E">
      <w:pPr>
        <w:pStyle w:val="ListContinueBulletsandNumbering"/>
        <w:ind w:left="936"/>
      </w:pPr>
      <w:r>
        <w:t xml:space="preserve">Code L for the interval 55.0 – 59.999 </w:t>
      </w:r>
    </w:p>
    <w:p w14:paraId="3382C62A" w14:textId="77777777" w:rsidR="009B7AED" w:rsidRDefault="009B7AED">
      <w:pPr>
        <w:pStyle w:val="ListCS1BulletsandNumbering"/>
        <w:numPr>
          <w:ilvl w:val="0"/>
          <w:numId w:val="47"/>
        </w:numPr>
        <w:spacing w:before="120" w:after="120"/>
        <w:ind w:left="648"/>
      </w:pPr>
      <w:r>
        <w:t xml:space="preserve">Restrictions (Column 23) – </w:t>
      </w:r>
      <w:r>
        <w:rPr>
          <w:rStyle w:val="Italic"/>
          <w:iCs/>
        </w:rPr>
        <w:t>Required</w:t>
      </w:r>
    </w:p>
    <w:p w14:paraId="3AF8FA85" w14:textId="77777777" w:rsidR="009B7AED" w:rsidRDefault="009B7AED" w:rsidP="00121C1E">
      <w:pPr>
        <w:pStyle w:val="BulletcontinuedBulletsandNumbering"/>
        <w:tabs>
          <w:tab w:val="clear" w:pos="1440"/>
        </w:tabs>
        <w:ind w:left="648"/>
      </w:pPr>
      <w:r>
        <w:t>0 = no restrictions</w:t>
      </w:r>
    </w:p>
    <w:p w14:paraId="7CAFA22B" w14:textId="77777777" w:rsidR="009B7AED" w:rsidRDefault="009B7AED" w:rsidP="00121C1E">
      <w:pPr>
        <w:pStyle w:val="BulletcontinuedBulletsandNumbering"/>
        <w:tabs>
          <w:tab w:val="clear" w:pos="1440"/>
        </w:tabs>
        <w:ind w:left="648"/>
      </w:pPr>
      <w:r>
        <w:t>1 = construction or other activity affected traffic flow, traffic pattern not impacted</w:t>
      </w:r>
    </w:p>
    <w:p w14:paraId="78ED545D" w14:textId="77777777" w:rsidR="009B7AED" w:rsidRDefault="009B7AED" w:rsidP="00121C1E">
      <w:pPr>
        <w:pStyle w:val="BulletcontinuedBulletsandNumbering"/>
        <w:tabs>
          <w:tab w:val="clear" w:pos="1440"/>
        </w:tabs>
        <w:ind w:left="648"/>
      </w:pPr>
      <w:r>
        <w:t xml:space="preserve">2 = traffic counting device problem (e.g., malfunction or overflow) </w:t>
      </w:r>
    </w:p>
    <w:p w14:paraId="43CA60A8" w14:textId="77777777" w:rsidR="009B7AED" w:rsidRDefault="009B7AED" w:rsidP="00121C1E">
      <w:pPr>
        <w:pStyle w:val="BulletcontinuedBulletsandNumbering"/>
        <w:tabs>
          <w:tab w:val="clear" w:pos="1440"/>
        </w:tabs>
        <w:ind w:left="648"/>
      </w:pPr>
      <w:r>
        <w:t>3 = weather affected traffic flow, traffic pattern not impacted</w:t>
      </w:r>
    </w:p>
    <w:p w14:paraId="45EAE406" w14:textId="77777777" w:rsidR="009B7AED" w:rsidRDefault="009B7AED" w:rsidP="00121C1E">
      <w:pPr>
        <w:pStyle w:val="BulletcontinuedBulletsandNumbering"/>
        <w:tabs>
          <w:tab w:val="clear" w:pos="1440"/>
        </w:tabs>
        <w:ind w:left="648"/>
      </w:pPr>
      <w:r>
        <w:t>4 = construction or other activity affected traffic flow, traffic pattern impacted</w:t>
      </w:r>
    </w:p>
    <w:p w14:paraId="5F3A8F99" w14:textId="77777777" w:rsidR="009B7AED" w:rsidRDefault="009B7AED" w:rsidP="00121C1E">
      <w:pPr>
        <w:pStyle w:val="BulletcontinuedBulletsandNumbering"/>
        <w:tabs>
          <w:tab w:val="clear" w:pos="1440"/>
        </w:tabs>
        <w:ind w:left="648"/>
      </w:pPr>
      <w:r>
        <w:t>5 = weather affected traffic flow, traffic pattern impacted</w:t>
      </w:r>
    </w:p>
    <w:p w14:paraId="64A3BD1E" w14:textId="15492804" w:rsidR="00311079" w:rsidRDefault="009B7AED" w:rsidP="00121C1E">
      <w:pPr>
        <w:pStyle w:val="BulletcontinuedBulletsandNumbering"/>
        <w:tabs>
          <w:tab w:val="clear" w:pos="1440"/>
        </w:tabs>
        <w:ind w:left="648"/>
      </w:pPr>
      <w:r>
        <w:lastRenderedPageBreak/>
        <w:t>6 = none-regular event/trend</w:t>
      </w:r>
    </w:p>
    <w:p w14:paraId="789B0E3F" w14:textId="77777777" w:rsidR="009B7AED" w:rsidRDefault="009B7AED" w:rsidP="00121C1E">
      <w:pPr>
        <w:pStyle w:val="BulletcontinuedBulletsandNumbering"/>
        <w:tabs>
          <w:tab w:val="clear" w:pos="1440"/>
        </w:tabs>
        <w:ind w:left="648"/>
      </w:pPr>
      <w:r>
        <w:t>7 = special event one day</w:t>
      </w:r>
    </w:p>
    <w:p w14:paraId="6F7E8BBB" w14:textId="77777777" w:rsidR="009B7AED" w:rsidRPr="00121C1E" w:rsidRDefault="009B7AED" w:rsidP="00121C1E">
      <w:pPr>
        <w:pStyle w:val="BulletcontinuedBulletsandNumbering"/>
        <w:tabs>
          <w:tab w:val="clear" w:pos="1440"/>
        </w:tabs>
        <w:ind w:left="648"/>
      </w:pPr>
      <w:r>
        <w:t>8 = special event more than one day</w:t>
      </w:r>
      <w:r w:rsidRPr="00121C1E">
        <w:t xml:space="preserve"> </w:t>
      </w:r>
    </w:p>
    <w:p w14:paraId="64C38715" w14:textId="77777777" w:rsidR="009B7AED" w:rsidRDefault="009B7AED">
      <w:pPr>
        <w:pStyle w:val="ListCS1BulletsandNumbering"/>
        <w:numPr>
          <w:ilvl w:val="0"/>
          <w:numId w:val="47"/>
        </w:numPr>
        <w:spacing w:before="120" w:after="120"/>
        <w:ind w:left="648"/>
      </w:pPr>
      <w:r>
        <w:t xml:space="preserve">Total Interval Volume (Columns 24-28) – </w:t>
      </w:r>
      <w:r>
        <w:rPr>
          <w:rStyle w:val="Italic"/>
          <w:iCs/>
        </w:rPr>
        <w:t>Required</w:t>
      </w:r>
    </w:p>
    <w:p w14:paraId="3C221E1A" w14:textId="77777777" w:rsidR="009B7AED" w:rsidRDefault="009B7AED" w:rsidP="00121C1E">
      <w:pPr>
        <w:pStyle w:val="BulletcontinuedBulletsandNumbering"/>
        <w:tabs>
          <w:tab w:val="clear" w:pos="1440"/>
        </w:tabs>
        <w:ind w:left="648"/>
      </w:pPr>
      <w:r>
        <w:t xml:space="preserve">This numeric field is the total traffic volume for the hour. The total volume is needed because the data collection process might not be able to classify some vehicles, in which case the sum of the vehicle class counts will not equal the total hourly volume. </w:t>
      </w:r>
    </w:p>
    <w:p w14:paraId="03E98D63" w14:textId="77777777" w:rsidR="009B7AED" w:rsidRDefault="009B7AED" w:rsidP="00121C1E">
      <w:pPr>
        <w:pStyle w:val="BulletcontinuedBulletsandNumbering"/>
        <w:tabs>
          <w:tab w:val="clear" w:pos="1440"/>
        </w:tabs>
        <w:ind w:left="648"/>
      </w:pPr>
      <w:r>
        <w:t>Fields 13 to 27:</w:t>
      </w:r>
    </w:p>
    <w:p w14:paraId="31E1BC73" w14:textId="0350C97D" w:rsidR="009B7AED" w:rsidRDefault="009B7AED" w:rsidP="00121C1E">
      <w:pPr>
        <w:pStyle w:val="BulletcontinuedBulletsandNumbering"/>
        <w:tabs>
          <w:tab w:val="clear" w:pos="1440"/>
        </w:tabs>
        <w:ind w:left="648"/>
      </w:pPr>
      <w:r>
        <w:t>The following class count fields are numeric fields with the traffic volume by vehicle class for each hour of data. “Vehicle Classification Groupings” in the Station Description Record determines the number of classes expected from a given station. This value also determines how many columns are expected in the remainder of each record submitted in each file. Truncate the vehicle classification record after the last classification field has been used. (That is, if only five vehicle classes are being reported, the record should only be 53 columns wide.)</w:t>
      </w:r>
    </w:p>
    <w:p w14:paraId="3C074512" w14:textId="77777777" w:rsidR="009B7AED" w:rsidRDefault="009B7AED" w:rsidP="00121C1E">
      <w:pPr>
        <w:pStyle w:val="BulletcontinuedBulletsandNumbering"/>
        <w:tabs>
          <w:tab w:val="clear" w:pos="1440"/>
        </w:tabs>
        <w:ind w:left="648"/>
      </w:pPr>
      <w:r>
        <w:t xml:space="preserve">The default classification system is the FHWA 13 class system (see Appendix A). Where a classification (grouping) system other than FHWA’s 13-class system is used, the total number of columns for which data are entered will change from that described below. When no vehicles of a class being monitored are counted during a given hour, zero fill the data in the columns associated with that class of vehicles. </w:t>
      </w:r>
    </w:p>
    <w:p w14:paraId="7DF18D57" w14:textId="1224561E" w:rsidR="009B7AED" w:rsidRDefault="009B7AED" w:rsidP="00121C1E">
      <w:pPr>
        <w:pStyle w:val="BulletcontinuedBulletsandNumbering"/>
        <w:tabs>
          <w:tab w:val="clear" w:pos="1440"/>
        </w:tabs>
        <w:ind w:left="648"/>
      </w:pPr>
      <w:r>
        <w:t>Before submittal to FHWA, these counts should be checked for reasonableness and quality controlled. When FHWA 13 vehicle types are reported, the Vehicle Classification record would not be larger than 93</w:t>
      </w:r>
      <w:r w:rsidR="008219F2">
        <w:t> </w:t>
      </w:r>
      <w:r>
        <w:t xml:space="preserve">columns, with Classes 1-13 (fields 13-25) all considered to be </w:t>
      </w:r>
      <w:r>
        <w:rPr>
          <w:rStyle w:val="bolditalic"/>
        </w:rPr>
        <w:t>Required</w:t>
      </w:r>
      <w:r>
        <w:t xml:space="preserve">. In this case, the vehicle classification grouping provided in the Station record (see </w:t>
      </w:r>
      <w:r w:rsidR="003B7409">
        <w:fldChar w:fldCharType="begin"/>
      </w:r>
      <w:r w:rsidR="003B7409">
        <w:instrText xml:space="preserve"> REF _Ref111022838 \h </w:instrText>
      </w:r>
      <w:r w:rsidR="003B7409">
        <w:fldChar w:fldCharType="separate"/>
      </w:r>
      <w:r w:rsidR="00C07DF9">
        <w:t xml:space="preserve">Table </w:t>
      </w:r>
      <w:r w:rsidR="00C07DF9">
        <w:rPr>
          <w:noProof/>
        </w:rPr>
        <w:t>4</w:t>
      </w:r>
      <w:r w:rsidR="00C07DF9">
        <w:noBreakHyphen/>
      </w:r>
      <w:r w:rsidR="00C07DF9">
        <w:rPr>
          <w:noProof/>
        </w:rPr>
        <w:t>7</w:t>
      </w:r>
      <w:r w:rsidR="003B7409">
        <w:fldChar w:fldCharType="end"/>
      </w:r>
      <w:r>
        <w:t>) determines how many columns of class data are imported by TMAS</w:t>
      </w:r>
      <w:r w:rsidR="00B0728A">
        <w:t>.</w:t>
      </w:r>
      <w:r>
        <w:t xml:space="preserve"> TMAS allows users to set a limit for each class count as part of </w:t>
      </w:r>
      <w:r w:rsidRPr="00677E20">
        <w:t>its</w:t>
      </w:r>
      <w:r>
        <w:t xml:space="preserve"> automated quality assurance checks.</w:t>
      </w:r>
    </w:p>
    <w:p w14:paraId="36C83F96" w14:textId="77777777" w:rsidR="009B7AED" w:rsidRDefault="009B7AED">
      <w:pPr>
        <w:pStyle w:val="ListCS1BulletsandNumbering"/>
        <w:numPr>
          <w:ilvl w:val="0"/>
          <w:numId w:val="47"/>
        </w:numPr>
        <w:spacing w:before="120" w:after="120"/>
        <w:ind w:left="648"/>
      </w:pPr>
      <w:r w:rsidRPr="00121C1E">
        <w:t>Class</w:t>
      </w:r>
      <w:r>
        <w:rPr>
          <w:rStyle w:val="Bold"/>
        </w:rPr>
        <w:t xml:space="preserve"> 1 </w:t>
      </w:r>
      <w:r w:rsidRPr="00311079">
        <w:t>Count</w:t>
      </w:r>
      <w:r>
        <w:rPr>
          <w:rStyle w:val="Bold"/>
        </w:rPr>
        <w:t xml:space="preserve"> </w:t>
      </w:r>
      <w:r>
        <w:t xml:space="preserve">(Columns 29-33) – </w:t>
      </w:r>
      <w:r>
        <w:rPr>
          <w:rStyle w:val="bolditalic"/>
        </w:rPr>
        <w:t>Required</w:t>
      </w:r>
    </w:p>
    <w:p w14:paraId="3B3C366F" w14:textId="77777777" w:rsidR="009B7AED" w:rsidRDefault="009B7AED" w:rsidP="00121C1E">
      <w:pPr>
        <w:pStyle w:val="BulletcontinuedBulletsandNumbering"/>
        <w:tabs>
          <w:tab w:val="clear" w:pos="1440"/>
        </w:tabs>
        <w:ind w:left="648"/>
      </w:pPr>
      <w:r>
        <w:t>Class 1 is for Motorcycles when using the 13 FHWA classification groups. If the FHWA 13-class system is not being used, this field will contain the traffic volume for the first class of vehicles being reported.</w:t>
      </w:r>
    </w:p>
    <w:p w14:paraId="10010B1B" w14:textId="77777777" w:rsidR="009B7AED" w:rsidRDefault="009B7AED">
      <w:pPr>
        <w:pStyle w:val="ListCS1BulletsandNumbering"/>
        <w:numPr>
          <w:ilvl w:val="0"/>
          <w:numId w:val="47"/>
        </w:numPr>
        <w:spacing w:before="120" w:after="120"/>
        <w:ind w:left="648"/>
      </w:pPr>
      <w:r w:rsidRPr="00121C1E">
        <w:t>Class</w:t>
      </w:r>
      <w:r>
        <w:rPr>
          <w:rStyle w:val="Bold"/>
        </w:rPr>
        <w:t xml:space="preserve"> 2 </w:t>
      </w:r>
      <w:r w:rsidRPr="00311079">
        <w:t>Count</w:t>
      </w:r>
      <w:r>
        <w:rPr>
          <w:rStyle w:val="Bold"/>
        </w:rPr>
        <w:t xml:space="preserve"> </w:t>
      </w:r>
      <w:r>
        <w:t xml:space="preserve">(Columns 34-38) – </w:t>
      </w:r>
      <w:r>
        <w:rPr>
          <w:rStyle w:val="bolditalic"/>
        </w:rPr>
        <w:t>Required</w:t>
      </w:r>
    </w:p>
    <w:p w14:paraId="1313C8ED" w14:textId="11BA3E39" w:rsidR="009B7AED" w:rsidRDefault="009B7AED" w:rsidP="00121C1E">
      <w:pPr>
        <w:pStyle w:val="BulletcontinuedBulletsandNumbering"/>
        <w:tabs>
          <w:tab w:val="clear" w:pos="1440"/>
        </w:tabs>
        <w:ind w:left="648"/>
      </w:pPr>
      <w:r>
        <w:t>Class 2 is for Passenger Cars when using the 13 FHWA classification groups. If the FHWA 13-class system is not being used, this field will contain the traffic volume for the second class of vehicles being reported.</w:t>
      </w:r>
    </w:p>
    <w:p w14:paraId="790FF5D3" w14:textId="77777777" w:rsidR="009B7AED" w:rsidRDefault="009B7AED">
      <w:pPr>
        <w:pStyle w:val="ListCS1BulletsandNumbering"/>
        <w:numPr>
          <w:ilvl w:val="0"/>
          <w:numId w:val="47"/>
        </w:numPr>
        <w:spacing w:before="120" w:after="120"/>
        <w:ind w:left="648"/>
      </w:pPr>
      <w:r>
        <w:t xml:space="preserve">Class 3 Count (Columns 39-43) – </w:t>
      </w:r>
      <w:r>
        <w:rPr>
          <w:rStyle w:val="Italic"/>
          <w:iCs/>
        </w:rPr>
        <w:t>Required/Optional</w:t>
      </w:r>
    </w:p>
    <w:p w14:paraId="745695A9" w14:textId="3176D25F" w:rsidR="009B7AED" w:rsidRDefault="009B7AED" w:rsidP="00121C1E">
      <w:pPr>
        <w:pStyle w:val="BulletcontinuedBulletsandNumbering"/>
        <w:tabs>
          <w:tab w:val="clear" w:pos="1440"/>
        </w:tabs>
        <w:ind w:left="648"/>
      </w:pPr>
      <w:r>
        <w:t>Class 3 is for Light Duty (2-axle, four-tire) Pick-up Trucks when using the 13 FHWA classification groups. If</w:t>
      </w:r>
      <w:r w:rsidR="00D27311">
        <w:t> </w:t>
      </w:r>
      <w:r>
        <w:t>the FHWA 13-class system is not being used, this field will contain the traffic volume for the third class of vehicles being reported.</w:t>
      </w:r>
    </w:p>
    <w:p w14:paraId="38B877E5" w14:textId="77777777" w:rsidR="009B7AED" w:rsidRDefault="009B7AED">
      <w:pPr>
        <w:pStyle w:val="ListCS1BulletsandNumbering"/>
        <w:numPr>
          <w:ilvl w:val="0"/>
          <w:numId w:val="47"/>
        </w:numPr>
        <w:spacing w:before="120" w:after="120"/>
        <w:ind w:left="648"/>
      </w:pPr>
      <w:r>
        <w:t xml:space="preserve">Class 4 Count (Columns 44-48) – </w:t>
      </w:r>
      <w:r>
        <w:rPr>
          <w:rStyle w:val="Italic"/>
          <w:iCs/>
        </w:rPr>
        <w:t>Required/Optional</w:t>
      </w:r>
    </w:p>
    <w:p w14:paraId="17DC5DA4" w14:textId="77777777" w:rsidR="009B7AED" w:rsidRDefault="009B7AED" w:rsidP="00121C1E">
      <w:pPr>
        <w:pStyle w:val="BulletcontinuedBulletsandNumbering"/>
        <w:tabs>
          <w:tab w:val="clear" w:pos="1440"/>
        </w:tabs>
        <w:ind w:left="648"/>
      </w:pPr>
      <w:r>
        <w:t>Class 4 is for Buses when using the 13 FHWA classification groups. If the FHWA 13-class system is not being used, this field will contain the traffic volume for the fourth class of vehicles being reported.</w:t>
      </w:r>
    </w:p>
    <w:p w14:paraId="7C01210F" w14:textId="77777777" w:rsidR="009B7AED" w:rsidRDefault="009B7AED">
      <w:pPr>
        <w:pStyle w:val="ListCS1BulletsandNumbering"/>
        <w:numPr>
          <w:ilvl w:val="0"/>
          <w:numId w:val="47"/>
        </w:numPr>
        <w:spacing w:before="120" w:after="120"/>
        <w:ind w:left="648"/>
      </w:pPr>
      <w:r>
        <w:t xml:space="preserve">Class 5 Count (Columns 49-53) – </w:t>
      </w:r>
      <w:r>
        <w:rPr>
          <w:rStyle w:val="Italic"/>
          <w:iCs/>
        </w:rPr>
        <w:t>Required/Optional</w:t>
      </w:r>
    </w:p>
    <w:p w14:paraId="525E3D66" w14:textId="480D0231" w:rsidR="00F36C9B" w:rsidRDefault="009B7AED" w:rsidP="00121C1E">
      <w:pPr>
        <w:pStyle w:val="BulletcontinuedBulletsandNumbering"/>
        <w:tabs>
          <w:tab w:val="clear" w:pos="1440"/>
        </w:tabs>
        <w:ind w:left="648"/>
      </w:pPr>
      <w:r>
        <w:t>Class 5 is for Two-Axle, Six-Tire, Single-Unit Trucks when using the 13 FHWA classification groups. If the FHWA 13-class system is not being used, this field will contain the traffic volume for the fifth class of vehicles being reported.</w:t>
      </w:r>
    </w:p>
    <w:p w14:paraId="3619F4C8" w14:textId="77777777" w:rsidR="00F36C9B" w:rsidRDefault="00F36C9B">
      <w:pPr>
        <w:widowControl/>
        <w:suppressAutoHyphens w:val="0"/>
        <w:autoSpaceDE/>
        <w:autoSpaceDN/>
        <w:adjustRightInd/>
        <w:spacing w:after="160" w:line="259" w:lineRule="auto"/>
        <w:jc w:val="left"/>
        <w:textAlignment w:val="auto"/>
        <w:rPr>
          <w:color w:val="auto"/>
        </w:rPr>
      </w:pPr>
      <w:r>
        <w:br w:type="page"/>
      </w:r>
    </w:p>
    <w:p w14:paraId="04666320" w14:textId="77777777" w:rsidR="009B7AED" w:rsidRDefault="009B7AED">
      <w:pPr>
        <w:pStyle w:val="ListCS1BulletsandNumbering"/>
        <w:numPr>
          <w:ilvl w:val="0"/>
          <w:numId w:val="47"/>
        </w:numPr>
        <w:spacing w:before="120" w:after="120"/>
        <w:ind w:left="648"/>
      </w:pPr>
      <w:r>
        <w:lastRenderedPageBreak/>
        <w:t xml:space="preserve">Class 6 Count (Columns 54-58) – </w:t>
      </w:r>
      <w:r>
        <w:rPr>
          <w:rStyle w:val="Italic"/>
          <w:iCs/>
        </w:rPr>
        <w:t>Required/Optional</w:t>
      </w:r>
    </w:p>
    <w:p w14:paraId="66F579C5" w14:textId="77777777" w:rsidR="009B7AED" w:rsidRDefault="009B7AED" w:rsidP="00121C1E">
      <w:pPr>
        <w:pStyle w:val="BulletcontinuedBulletsandNumbering"/>
        <w:tabs>
          <w:tab w:val="clear" w:pos="1440"/>
        </w:tabs>
        <w:ind w:left="648"/>
      </w:pPr>
      <w:r>
        <w:t>Class 6 is for Three-Axle, Single-Unit Trucks when using the 13 FHWA classification groups. If the FHWA 13-class system is not being used, this field will contain the traffic volume for the sixth class of vehicles being reported.</w:t>
      </w:r>
    </w:p>
    <w:p w14:paraId="724D6EC7" w14:textId="77777777" w:rsidR="009B7AED" w:rsidRDefault="009B7AED">
      <w:pPr>
        <w:pStyle w:val="ListCS1BulletsandNumbering"/>
        <w:numPr>
          <w:ilvl w:val="0"/>
          <w:numId w:val="47"/>
        </w:numPr>
        <w:spacing w:before="120" w:after="120"/>
        <w:ind w:left="648"/>
      </w:pPr>
      <w:r>
        <w:t xml:space="preserve">Class 7 Count (Columns 59-63) – </w:t>
      </w:r>
      <w:r>
        <w:rPr>
          <w:rStyle w:val="Italic"/>
          <w:iCs/>
        </w:rPr>
        <w:t>Required/Optional</w:t>
      </w:r>
    </w:p>
    <w:p w14:paraId="1F9FBDEF" w14:textId="77777777" w:rsidR="009B7AED" w:rsidRDefault="009B7AED" w:rsidP="00121C1E">
      <w:pPr>
        <w:pStyle w:val="BulletcontinuedBulletsandNumbering"/>
        <w:tabs>
          <w:tab w:val="clear" w:pos="1440"/>
        </w:tabs>
        <w:ind w:left="648"/>
      </w:pPr>
      <w:r>
        <w:t>Class 7 is for Four-or-More Axle, Single-Unit Trucks when using the 13 FHWA classification groups. If the FHWA 13-class system is not being used, this field will contain the traffic volume for the seventh class of vehicles being reported.</w:t>
      </w:r>
    </w:p>
    <w:p w14:paraId="4E463431" w14:textId="77777777" w:rsidR="009B7AED" w:rsidRDefault="009B7AED">
      <w:pPr>
        <w:pStyle w:val="ListCS1BulletsandNumbering"/>
        <w:numPr>
          <w:ilvl w:val="0"/>
          <w:numId w:val="47"/>
        </w:numPr>
        <w:spacing w:before="120" w:after="120"/>
        <w:ind w:left="648"/>
      </w:pPr>
      <w:r>
        <w:t xml:space="preserve">Class 8 Count (Columns 64-68) – </w:t>
      </w:r>
      <w:r>
        <w:rPr>
          <w:rStyle w:val="Italic"/>
          <w:iCs/>
        </w:rPr>
        <w:t>Required/Optional</w:t>
      </w:r>
    </w:p>
    <w:p w14:paraId="764D28BE" w14:textId="77777777" w:rsidR="009B7AED" w:rsidRDefault="009B7AED" w:rsidP="00121C1E">
      <w:pPr>
        <w:pStyle w:val="BulletcontinuedBulletsandNumbering"/>
        <w:tabs>
          <w:tab w:val="clear" w:pos="1440"/>
        </w:tabs>
        <w:ind w:left="648"/>
      </w:pPr>
      <w:r>
        <w:t>Class 8 is for Four-or-Less Axle, S</w:t>
      </w:r>
      <w:r w:rsidRPr="00A02B6E">
        <w:t>ingle-</w:t>
      </w:r>
      <w:r>
        <w:t>T</w:t>
      </w:r>
      <w:r w:rsidRPr="00A02B6E">
        <w:t xml:space="preserve">railer </w:t>
      </w:r>
      <w:r>
        <w:t>C</w:t>
      </w:r>
      <w:r w:rsidRPr="00A02B6E">
        <w:t xml:space="preserve">ombination </w:t>
      </w:r>
      <w:r>
        <w:t>V</w:t>
      </w:r>
      <w:r w:rsidRPr="00A02B6E">
        <w:t xml:space="preserve">ehicles </w:t>
      </w:r>
      <w:r>
        <w:t xml:space="preserve">when using the 13 FHWA classification groups. If the FHWA 13-class system is not being used, this field will contain the traffic volume for the eighth class of vehicles being reported.21. </w:t>
      </w:r>
    </w:p>
    <w:p w14:paraId="09210547" w14:textId="77777777" w:rsidR="009B7AED" w:rsidRDefault="009B7AED">
      <w:pPr>
        <w:pStyle w:val="ListCS1BulletsandNumbering"/>
        <w:numPr>
          <w:ilvl w:val="0"/>
          <w:numId w:val="47"/>
        </w:numPr>
        <w:spacing w:before="120" w:after="120"/>
        <w:ind w:left="648"/>
      </w:pPr>
      <w:r>
        <w:t xml:space="preserve">Class 9 Count (Columns 69-73) – </w:t>
      </w:r>
      <w:r>
        <w:rPr>
          <w:rStyle w:val="Italic"/>
          <w:iCs/>
        </w:rPr>
        <w:t>Required/Optional</w:t>
      </w:r>
    </w:p>
    <w:p w14:paraId="52D418D5" w14:textId="77777777" w:rsidR="009B7AED" w:rsidRDefault="009B7AED" w:rsidP="00121C1E">
      <w:pPr>
        <w:pStyle w:val="BulletcontinuedBulletsandNumbering"/>
        <w:tabs>
          <w:tab w:val="clear" w:pos="1440"/>
        </w:tabs>
        <w:ind w:left="648"/>
      </w:pPr>
      <w:r>
        <w:t>Class 9 is for Five-Axle, S</w:t>
      </w:r>
      <w:r w:rsidRPr="00A02B6E">
        <w:t>ingle-</w:t>
      </w:r>
      <w:r>
        <w:t>T</w:t>
      </w:r>
      <w:r w:rsidRPr="00A02B6E">
        <w:t xml:space="preserve">railer </w:t>
      </w:r>
      <w:r>
        <w:t>C</w:t>
      </w:r>
      <w:r w:rsidRPr="00A02B6E">
        <w:t xml:space="preserve">ombination </w:t>
      </w:r>
      <w:r>
        <w:t>V</w:t>
      </w:r>
      <w:r w:rsidRPr="00A02B6E">
        <w:t xml:space="preserve">ehicles </w:t>
      </w:r>
      <w:r>
        <w:t>when using the 13 FHWA classification groups. If the FHWA 13-class system is not being used, this field will contain the traffic volume for the ninth class of vehicles being reported.</w:t>
      </w:r>
    </w:p>
    <w:p w14:paraId="2DC98B61" w14:textId="77777777" w:rsidR="009B7AED" w:rsidRDefault="009B7AED">
      <w:pPr>
        <w:pStyle w:val="ListCS1BulletsandNumbering"/>
        <w:numPr>
          <w:ilvl w:val="0"/>
          <w:numId w:val="47"/>
        </w:numPr>
        <w:spacing w:before="120" w:after="120"/>
        <w:ind w:left="648"/>
      </w:pPr>
      <w:r>
        <w:t xml:space="preserve">Class 10 Count (Columns 74-78) – </w:t>
      </w:r>
      <w:r>
        <w:rPr>
          <w:rStyle w:val="Italic"/>
          <w:iCs/>
        </w:rPr>
        <w:t>Required/Optional</w:t>
      </w:r>
    </w:p>
    <w:p w14:paraId="27F4E693" w14:textId="77777777" w:rsidR="009B7AED" w:rsidRDefault="009B7AED" w:rsidP="00121C1E">
      <w:pPr>
        <w:pStyle w:val="BulletcontinuedBulletsandNumbering"/>
        <w:tabs>
          <w:tab w:val="clear" w:pos="1440"/>
        </w:tabs>
        <w:ind w:left="648"/>
      </w:pPr>
      <w:r>
        <w:t>Class 10 is for Six-or-More Axle, S</w:t>
      </w:r>
      <w:r w:rsidRPr="00A02B6E">
        <w:t>ingle-</w:t>
      </w:r>
      <w:r>
        <w:t>T</w:t>
      </w:r>
      <w:r w:rsidRPr="00A02B6E">
        <w:t xml:space="preserve">railer </w:t>
      </w:r>
      <w:r>
        <w:t>C</w:t>
      </w:r>
      <w:r w:rsidRPr="00A02B6E">
        <w:t xml:space="preserve">ombination </w:t>
      </w:r>
      <w:r>
        <w:t>V</w:t>
      </w:r>
      <w:r w:rsidRPr="00A02B6E">
        <w:t xml:space="preserve">ehicles </w:t>
      </w:r>
      <w:r>
        <w:t>when using the 13 FHWA classification groups. If the FHWA 13-class system is not being used, this field will contain the traffic volume for the tenth class of vehicles being reported.</w:t>
      </w:r>
    </w:p>
    <w:p w14:paraId="793E632D" w14:textId="77777777" w:rsidR="009B7AED" w:rsidRDefault="009B7AED">
      <w:pPr>
        <w:pStyle w:val="ListCS1BulletsandNumbering"/>
        <w:numPr>
          <w:ilvl w:val="0"/>
          <w:numId w:val="47"/>
        </w:numPr>
        <w:spacing w:before="120" w:after="120"/>
        <w:ind w:left="648"/>
      </w:pPr>
      <w:r>
        <w:t xml:space="preserve">Class 11 Count (Columns 79-83) – </w:t>
      </w:r>
      <w:r>
        <w:rPr>
          <w:rStyle w:val="Italic"/>
          <w:iCs/>
        </w:rPr>
        <w:t>Required/Optional</w:t>
      </w:r>
    </w:p>
    <w:p w14:paraId="696FA404" w14:textId="77777777" w:rsidR="009B7AED" w:rsidRDefault="009B7AED" w:rsidP="00121C1E">
      <w:pPr>
        <w:pStyle w:val="BulletcontinuedBulletsandNumbering"/>
        <w:tabs>
          <w:tab w:val="clear" w:pos="1440"/>
        </w:tabs>
        <w:ind w:left="648"/>
      </w:pPr>
      <w:r>
        <w:t>Class 11 is for Five-or-Less Axle, Multip</w:t>
      </w:r>
      <w:r w:rsidRPr="00A02B6E">
        <w:t>le-</w:t>
      </w:r>
      <w:r>
        <w:t>T</w:t>
      </w:r>
      <w:r w:rsidRPr="00A02B6E">
        <w:t xml:space="preserve">railer </w:t>
      </w:r>
      <w:r>
        <w:t>C</w:t>
      </w:r>
      <w:r w:rsidRPr="00A02B6E">
        <w:t xml:space="preserve">ombination </w:t>
      </w:r>
      <w:r>
        <w:t>V</w:t>
      </w:r>
      <w:r w:rsidRPr="00A02B6E">
        <w:t xml:space="preserve">ehicles </w:t>
      </w:r>
      <w:r>
        <w:t>when using the 13 FHWA classification groups. If the FHWA 13-class system is not being used, this field will contain the traffic volume for the eleventh class of vehicles being reported.</w:t>
      </w:r>
    </w:p>
    <w:p w14:paraId="7AF4123A" w14:textId="77777777" w:rsidR="009B7AED" w:rsidRDefault="009B7AED">
      <w:pPr>
        <w:pStyle w:val="ListCS1BulletsandNumbering"/>
        <w:numPr>
          <w:ilvl w:val="0"/>
          <w:numId w:val="47"/>
        </w:numPr>
        <w:spacing w:before="120" w:after="120"/>
        <w:ind w:left="648"/>
      </w:pPr>
      <w:r>
        <w:t xml:space="preserve">Class 12 Count (Columns 84-88) – </w:t>
      </w:r>
      <w:r>
        <w:rPr>
          <w:rStyle w:val="Italic"/>
          <w:iCs/>
        </w:rPr>
        <w:t>Required/Optional</w:t>
      </w:r>
      <w:r>
        <w:tab/>
      </w:r>
    </w:p>
    <w:p w14:paraId="006C470A" w14:textId="77777777" w:rsidR="009B7AED" w:rsidRDefault="009B7AED" w:rsidP="00121C1E">
      <w:pPr>
        <w:pStyle w:val="BulletcontinuedBulletsandNumbering"/>
        <w:tabs>
          <w:tab w:val="clear" w:pos="1440"/>
        </w:tabs>
        <w:ind w:left="648"/>
      </w:pPr>
      <w:r>
        <w:t>Class 12 is for Six-Axle, Multip</w:t>
      </w:r>
      <w:r w:rsidRPr="00A02B6E">
        <w:t>le-</w:t>
      </w:r>
      <w:r>
        <w:t>T</w:t>
      </w:r>
      <w:r w:rsidRPr="00A02B6E">
        <w:t xml:space="preserve">railer </w:t>
      </w:r>
      <w:r>
        <w:t>C</w:t>
      </w:r>
      <w:r w:rsidRPr="00A02B6E">
        <w:t xml:space="preserve">ombination </w:t>
      </w:r>
      <w:r>
        <w:t>V</w:t>
      </w:r>
      <w:r w:rsidRPr="00A02B6E">
        <w:t xml:space="preserve">ehicles </w:t>
      </w:r>
      <w:r>
        <w:t>when using the 13 FHWA classification groups. If the FHWA 13-class system is not being used, this field will contain the traffic volume for the twelfth class of vehicles being reported.</w:t>
      </w:r>
    </w:p>
    <w:p w14:paraId="54EE09CC" w14:textId="77777777" w:rsidR="009B7AED" w:rsidRDefault="009B7AED">
      <w:pPr>
        <w:pStyle w:val="ListCS1BulletsandNumbering"/>
        <w:numPr>
          <w:ilvl w:val="0"/>
          <w:numId w:val="47"/>
        </w:numPr>
        <w:spacing w:before="120" w:after="120"/>
        <w:ind w:left="648"/>
      </w:pPr>
      <w:r>
        <w:t xml:space="preserve">Class 13 Count (Columns 89-93) – </w:t>
      </w:r>
      <w:r>
        <w:rPr>
          <w:rStyle w:val="Italic"/>
          <w:iCs/>
        </w:rPr>
        <w:t>Required/Optional</w:t>
      </w:r>
    </w:p>
    <w:p w14:paraId="4AFAB5AB" w14:textId="77777777" w:rsidR="009B7AED" w:rsidRDefault="009B7AED" w:rsidP="00121C1E">
      <w:pPr>
        <w:pStyle w:val="BulletcontinuedBulletsandNumbering"/>
        <w:tabs>
          <w:tab w:val="clear" w:pos="1440"/>
        </w:tabs>
        <w:ind w:left="648"/>
      </w:pPr>
      <w:r>
        <w:t>Class 13 is for Seven-or-More Axle, Multip</w:t>
      </w:r>
      <w:r w:rsidRPr="00A02B6E">
        <w:t>le-</w:t>
      </w:r>
      <w:r>
        <w:t>T</w:t>
      </w:r>
      <w:r w:rsidRPr="00A02B6E">
        <w:t xml:space="preserve">railer </w:t>
      </w:r>
      <w:r>
        <w:t>C</w:t>
      </w:r>
      <w:r w:rsidRPr="00A02B6E">
        <w:t xml:space="preserve">ombination </w:t>
      </w:r>
      <w:r>
        <w:t>V</w:t>
      </w:r>
      <w:r w:rsidRPr="00A02B6E">
        <w:t xml:space="preserve">ehicles </w:t>
      </w:r>
      <w:r>
        <w:t>when using the 13 FHWA classification groups. If the FHWA 13-class system is not being used, this field will contain the traffic volume for the thirteenth class of vehicles being reported.</w:t>
      </w:r>
    </w:p>
    <w:p w14:paraId="0F184F45" w14:textId="77777777" w:rsidR="009B7AED" w:rsidRPr="0073424F" w:rsidRDefault="009B7AED" w:rsidP="00A119E0">
      <w:pPr>
        <w:pStyle w:val="CallOut"/>
      </w:pPr>
      <w:r w:rsidRPr="0073424F">
        <w:t>The agency may code special vehicle types or unclassified vehicles as either class 14 or 15 vehicles.</w:t>
      </w:r>
    </w:p>
    <w:p w14:paraId="32A5BDFE" w14:textId="77777777" w:rsidR="009B7AED" w:rsidRDefault="009B7AED" w:rsidP="00121C1E">
      <w:pPr>
        <w:pStyle w:val="BulletcontinuedBulletsandNumbering"/>
        <w:tabs>
          <w:tab w:val="clear" w:pos="1440"/>
        </w:tabs>
        <w:ind w:left="648"/>
      </w:pPr>
      <w:r>
        <w:t>The vehicle classification record should be ended here if 13 classes are being reported. If volumes for additional classes of vehicles are being reported, add five additional columns for each additional vehicle class being reported. (These additional vehicle classes can include the vehicle categories of “Unclassified”, “Unclassifiable” vehicles that are reported by some types of equipment, or some State-specific type of vehicle.)</w:t>
      </w:r>
    </w:p>
    <w:p w14:paraId="1B768E65" w14:textId="59428934" w:rsidR="009B7AED" w:rsidRDefault="009B7AED">
      <w:pPr>
        <w:pStyle w:val="ListCS1BulletsandNumbering"/>
        <w:numPr>
          <w:ilvl w:val="0"/>
          <w:numId w:val="47"/>
        </w:numPr>
        <w:spacing w:before="120" w:after="120"/>
        <w:ind w:left="648"/>
        <w:rPr>
          <w:rStyle w:val="Italic"/>
          <w:iCs/>
        </w:rPr>
      </w:pPr>
      <w:r>
        <w:t xml:space="preserve">Class 14 Count (Columns 94-98) </w:t>
      </w:r>
      <w:r w:rsidR="008219F2">
        <w:t>–</w:t>
      </w:r>
      <w:r>
        <w:t xml:space="preserve"> </w:t>
      </w:r>
      <w:r>
        <w:rPr>
          <w:rStyle w:val="Italic"/>
          <w:iCs/>
        </w:rPr>
        <w:t>Required/Optional</w:t>
      </w:r>
    </w:p>
    <w:p w14:paraId="2E41795B" w14:textId="44A8E2C8" w:rsidR="009B7AED" w:rsidRDefault="009B7AED">
      <w:pPr>
        <w:pStyle w:val="ListCS1BulletsandNumbering"/>
        <w:numPr>
          <w:ilvl w:val="0"/>
          <w:numId w:val="47"/>
        </w:numPr>
        <w:spacing w:before="120" w:after="120"/>
        <w:ind w:left="648"/>
      </w:pPr>
      <w:r>
        <w:t>Class 15</w:t>
      </w:r>
      <w:r w:rsidRPr="00417E29">
        <w:t xml:space="preserve"> </w:t>
      </w:r>
      <w:r>
        <w:t xml:space="preserve">Count (Columns 99-103) </w:t>
      </w:r>
      <w:r w:rsidR="008219F2">
        <w:t>–</w:t>
      </w:r>
      <w:r>
        <w:t xml:space="preserve"> </w:t>
      </w:r>
      <w:r>
        <w:rPr>
          <w:rStyle w:val="Italic"/>
          <w:iCs/>
        </w:rPr>
        <w:t>Required/Optional</w:t>
      </w:r>
    </w:p>
    <w:p w14:paraId="44550363" w14:textId="77777777" w:rsidR="000C48E4" w:rsidRDefault="000C48E4">
      <w:pPr>
        <w:widowControl/>
        <w:suppressAutoHyphens w:val="0"/>
        <w:autoSpaceDE/>
        <w:autoSpaceDN/>
        <w:adjustRightInd/>
        <w:spacing w:after="160" w:line="259" w:lineRule="auto"/>
        <w:jc w:val="left"/>
        <w:textAlignment w:val="auto"/>
        <w:rPr>
          <w:color w:val="auto"/>
        </w:rPr>
      </w:pPr>
      <w:bookmarkStart w:id="3029" w:name="_Toc290555991"/>
      <w:r>
        <w:br w:type="page"/>
      </w:r>
    </w:p>
    <w:p w14:paraId="20D96889" w14:textId="7030F1B0" w:rsidR="009B7AED" w:rsidRDefault="009B7AED" w:rsidP="000C48E4">
      <w:pPr>
        <w:pStyle w:val="BodyText"/>
        <w:rPr>
          <w:b/>
          <w:bCs/>
          <w:smallCaps/>
        </w:rPr>
      </w:pPr>
      <w:r>
        <w:lastRenderedPageBreak/>
        <w:t xml:space="preserve">Example Vehicle Classification records are shown </w:t>
      </w:r>
      <w:r w:rsidRPr="00150038">
        <w:t xml:space="preserve">in </w:t>
      </w:r>
      <w:r w:rsidR="00464453">
        <w:fldChar w:fldCharType="begin"/>
      </w:r>
      <w:r w:rsidR="00464453">
        <w:instrText xml:space="preserve"> REF _Ref113274393  \* MERGEFORMAT </w:instrText>
      </w:r>
      <w:r w:rsidR="00464453">
        <w:fldChar w:fldCharType="separate"/>
      </w:r>
      <w:r w:rsidR="00C07DF9">
        <w:t xml:space="preserve">Table </w:t>
      </w:r>
      <w:r w:rsidR="00C07DF9">
        <w:rPr>
          <w:noProof/>
        </w:rPr>
        <w:t>4</w:t>
      </w:r>
      <w:r w:rsidR="00C07DF9">
        <w:rPr>
          <w:noProof/>
        </w:rPr>
        <w:noBreakHyphen/>
        <w:t>18</w:t>
      </w:r>
      <w:r w:rsidR="00464453">
        <w:rPr>
          <w:noProof/>
        </w:rPr>
        <w:fldChar w:fldCharType="end"/>
      </w:r>
      <w:r w:rsidRPr="00B42E9A">
        <w:t xml:space="preserve"> through </w:t>
      </w:r>
      <w:r w:rsidR="00464453">
        <w:fldChar w:fldCharType="begin"/>
      </w:r>
      <w:r w:rsidR="00464453">
        <w:instrText xml:space="preserve"> REF _Ref113274400  \* MERGEFORMAT </w:instrText>
      </w:r>
      <w:r w:rsidR="00464453">
        <w:fldChar w:fldCharType="separate"/>
      </w:r>
      <w:r w:rsidR="00C07DF9">
        <w:t xml:space="preserve">Table </w:t>
      </w:r>
      <w:r w:rsidR="00C07DF9">
        <w:rPr>
          <w:noProof/>
        </w:rPr>
        <w:t>4</w:t>
      </w:r>
      <w:r w:rsidR="00C07DF9">
        <w:rPr>
          <w:noProof/>
        </w:rPr>
        <w:noBreakHyphen/>
        <w:t>19</w:t>
      </w:r>
      <w:r w:rsidR="00464453">
        <w:rPr>
          <w:noProof/>
        </w:rPr>
        <w:fldChar w:fldCharType="end"/>
      </w:r>
      <w:r>
        <w:t>.</w:t>
      </w:r>
    </w:p>
    <w:p w14:paraId="49DE1420" w14:textId="21661A3F" w:rsidR="009B7AED" w:rsidRDefault="009B7AED" w:rsidP="000F2A7A">
      <w:pPr>
        <w:pStyle w:val="TMGTableCaption"/>
      </w:pPr>
      <w:bookmarkStart w:id="3030" w:name="_Ref113274393"/>
      <w:bookmarkStart w:id="3031" w:name="_Toc113282523"/>
      <w:bookmarkStart w:id="3032" w:name="_Toc114474860"/>
      <w:bookmarkStart w:id="3033" w:name="_Toc120631166"/>
      <w:r>
        <w:t xml:space="preserve">Table </w:t>
      </w:r>
      <w:fldSimple w:instr=" STYLEREF 1 \s ">
        <w:r w:rsidR="00C07DF9">
          <w:rPr>
            <w:noProof/>
          </w:rPr>
          <w:t>4</w:t>
        </w:r>
      </w:fldSimple>
      <w:r>
        <w:noBreakHyphen/>
      </w:r>
      <w:fldSimple w:instr=" SEQ Table \* ARABIC \s 1 ">
        <w:r w:rsidR="00C07DF9">
          <w:rPr>
            <w:noProof/>
          </w:rPr>
          <w:t>18</w:t>
        </w:r>
      </w:fldSimple>
      <w:bookmarkEnd w:id="3030"/>
      <w:r>
        <w:t xml:space="preserve">. Vehicle Classification Record Example </w:t>
      </w:r>
      <w:r w:rsidRPr="00515CCA">
        <w:t>(3</w:t>
      </w:r>
      <w:r>
        <w:t xml:space="preserve"> Length-</w:t>
      </w:r>
      <w:r w:rsidRPr="00515CCA">
        <w:t>C</w:t>
      </w:r>
      <w:r>
        <w:t>lass</w:t>
      </w:r>
      <w:r w:rsidRPr="00515CCA">
        <w:t xml:space="preserve"> B</w:t>
      </w:r>
      <w:r>
        <w:t>ins</w:t>
      </w:r>
      <w:r w:rsidRPr="00515CCA">
        <w:t>, 4 L</w:t>
      </w:r>
      <w:r>
        <w:t>anes with</w:t>
      </w:r>
      <w:r w:rsidRPr="00515CCA">
        <w:t xml:space="preserve"> L</w:t>
      </w:r>
      <w:r>
        <w:t>anes and</w:t>
      </w:r>
      <w:r w:rsidRPr="00515CCA">
        <w:t xml:space="preserve"> D</w:t>
      </w:r>
      <w:r>
        <w:t>irections not</w:t>
      </w:r>
      <w:r w:rsidRPr="00515CCA">
        <w:t xml:space="preserve"> C</w:t>
      </w:r>
      <w:r>
        <w:t>ombined</w:t>
      </w:r>
      <w:r w:rsidRPr="00515CCA">
        <w:t xml:space="preserve"> </w:t>
      </w:r>
      <w:r>
        <w:t>at</w:t>
      </w:r>
      <w:r w:rsidRPr="00515CCA">
        <w:t xml:space="preserve"> 60-M</w:t>
      </w:r>
      <w:r>
        <w:t>inute</w:t>
      </w:r>
      <w:r w:rsidRPr="00515CCA">
        <w:t xml:space="preserve"> I</w:t>
      </w:r>
      <w:r>
        <w:t>nterval for</w:t>
      </w:r>
      <w:r w:rsidRPr="00515CCA">
        <w:t xml:space="preserve"> 2 H</w:t>
      </w:r>
      <w:r>
        <w:t>ours</w:t>
      </w:r>
      <w:r w:rsidRPr="00515CCA">
        <w:t xml:space="preserve">) </w:t>
      </w:r>
      <w:r>
        <w:t>– Fixed Width Format</w:t>
      </w:r>
      <w:bookmarkEnd w:id="3031"/>
      <w:bookmarkEnd w:id="3032"/>
      <w:bookmarkEnd w:id="3033"/>
    </w:p>
    <w:tbl>
      <w:tblPr>
        <w:tblStyle w:val="TMGTable"/>
        <w:tblW w:w="9359"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1070"/>
        <w:gridCol w:w="288"/>
        <w:gridCol w:w="446"/>
        <w:gridCol w:w="828"/>
        <w:gridCol w:w="342"/>
        <w:gridCol w:w="342"/>
        <w:gridCol w:w="567"/>
        <w:gridCol w:w="495"/>
        <w:gridCol w:w="567"/>
        <w:gridCol w:w="567"/>
        <w:gridCol w:w="657"/>
        <w:gridCol w:w="643"/>
        <w:gridCol w:w="495"/>
        <w:gridCol w:w="684"/>
        <w:gridCol w:w="684"/>
        <w:gridCol w:w="684"/>
      </w:tblGrid>
      <w:tr w:rsidR="00B403C7" w:rsidRPr="004E1263" w14:paraId="5C2167D4" w14:textId="77777777" w:rsidTr="00E1261E">
        <w:trPr>
          <w:cnfStyle w:val="100000000000" w:firstRow="1" w:lastRow="0" w:firstColumn="0" w:lastColumn="0" w:oddVBand="0" w:evenVBand="0" w:oddHBand="0" w:evenHBand="0" w:firstRowFirstColumn="0" w:firstRowLastColumn="0" w:lastRowFirstColumn="0" w:lastRowLastColumn="0"/>
          <w:trHeight w:val="60"/>
        </w:trPr>
        <w:tc>
          <w:tcPr>
            <w:tcW w:w="1070" w:type="dxa"/>
          </w:tcPr>
          <w:p w14:paraId="67B6FBBF" w14:textId="77777777" w:rsidR="009B7AED" w:rsidRPr="004E1263" w:rsidRDefault="009B7AED" w:rsidP="002841D0">
            <w:pPr>
              <w:pStyle w:val="TMGTable1"/>
              <w:spacing w:before="10" w:after="10"/>
              <w:jc w:val="left"/>
              <w:rPr>
                <w:rFonts w:ascii="Calibri" w:hAnsi="Calibri" w:cs="Calibri"/>
                <w:b w:val="0"/>
                <w:bCs w:val="0"/>
                <w:sz w:val="20"/>
                <w:szCs w:val="20"/>
              </w:rPr>
            </w:pPr>
            <w:r w:rsidRPr="004E1263">
              <w:rPr>
                <w:rStyle w:val="Bold"/>
                <w:rFonts w:ascii="Calibri" w:hAnsi="Calibri" w:cs="Calibri"/>
                <w:sz w:val="20"/>
                <w:szCs w:val="20"/>
              </w:rPr>
              <w:t>Column Number:</w:t>
            </w:r>
          </w:p>
        </w:tc>
        <w:tc>
          <w:tcPr>
            <w:tcW w:w="288" w:type="dxa"/>
          </w:tcPr>
          <w:p w14:paraId="71E4AC58" w14:textId="77777777" w:rsidR="009B7AED" w:rsidRPr="004E1263" w:rsidRDefault="009B7AED" w:rsidP="002841D0">
            <w:pPr>
              <w:pStyle w:val="TMGTable1"/>
              <w:spacing w:before="10" w:after="10"/>
              <w:rPr>
                <w:rFonts w:ascii="Calibri" w:hAnsi="Calibri" w:cs="Calibri"/>
                <w:b w:val="0"/>
                <w:bCs w:val="0"/>
                <w:sz w:val="20"/>
                <w:szCs w:val="20"/>
              </w:rPr>
            </w:pPr>
            <w:r w:rsidRPr="004E1263">
              <w:rPr>
                <w:rFonts w:ascii="Calibri" w:hAnsi="Calibri" w:cs="Calibri"/>
                <w:sz w:val="20"/>
                <w:szCs w:val="20"/>
              </w:rPr>
              <w:t>1</w:t>
            </w:r>
          </w:p>
        </w:tc>
        <w:tc>
          <w:tcPr>
            <w:tcW w:w="446" w:type="dxa"/>
          </w:tcPr>
          <w:p w14:paraId="6CB4A3A0" w14:textId="77777777" w:rsidR="009B7AED" w:rsidRPr="004E1263" w:rsidRDefault="009B7AED" w:rsidP="002841D0">
            <w:pPr>
              <w:pStyle w:val="TMGTable1"/>
              <w:spacing w:before="10" w:after="10"/>
              <w:rPr>
                <w:rFonts w:ascii="Calibri" w:hAnsi="Calibri" w:cs="Calibri"/>
                <w:b w:val="0"/>
                <w:bCs w:val="0"/>
                <w:sz w:val="20"/>
                <w:szCs w:val="20"/>
              </w:rPr>
            </w:pPr>
            <w:r w:rsidRPr="004E1263">
              <w:rPr>
                <w:rFonts w:ascii="Calibri" w:hAnsi="Calibri" w:cs="Calibri"/>
                <w:sz w:val="20"/>
                <w:szCs w:val="20"/>
              </w:rPr>
              <w:t>2-3</w:t>
            </w:r>
          </w:p>
        </w:tc>
        <w:tc>
          <w:tcPr>
            <w:tcW w:w="828" w:type="dxa"/>
          </w:tcPr>
          <w:p w14:paraId="68F63479" w14:textId="77777777" w:rsidR="009B7AED" w:rsidRPr="004E1263" w:rsidRDefault="009B7AED" w:rsidP="002841D0">
            <w:pPr>
              <w:pStyle w:val="TMGTable1"/>
              <w:spacing w:before="10" w:after="10"/>
              <w:rPr>
                <w:rFonts w:ascii="Calibri" w:hAnsi="Calibri" w:cs="Calibri"/>
                <w:b w:val="0"/>
                <w:bCs w:val="0"/>
                <w:sz w:val="20"/>
                <w:szCs w:val="20"/>
              </w:rPr>
            </w:pPr>
            <w:r w:rsidRPr="004E1263">
              <w:rPr>
                <w:rFonts w:ascii="Calibri" w:hAnsi="Calibri" w:cs="Calibri"/>
                <w:sz w:val="20"/>
                <w:szCs w:val="20"/>
              </w:rPr>
              <w:t>4-9</w:t>
            </w:r>
          </w:p>
        </w:tc>
        <w:tc>
          <w:tcPr>
            <w:tcW w:w="342" w:type="dxa"/>
          </w:tcPr>
          <w:p w14:paraId="4847EFD5" w14:textId="77777777" w:rsidR="009B7AED" w:rsidRPr="004E1263" w:rsidRDefault="009B7AED" w:rsidP="002841D0">
            <w:pPr>
              <w:pStyle w:val="TMGTable1"/>
              <w:spacing w:before="10" w:after="10"/>
              <w:rPr>
                <w:rFonts w:ascii="Calibri" w:hAnsi="Calibri" w:cs="Calibri"/>
                <w:b w:val="0"/>
                <w:bCs w:val="0"/>
                <w:sz w:val="20"/>
                <w:szCs w:val="20"/>
              </w:rPr>
            </w:pPr>
            <w:r w:rsidRPr="004E1263">
              <w:rPr>
                <w:rFonts w:ascii="Calibri" w:hAnsi="Calibri" w:cs="Calibri"/>
                <w:sz w:val="20"/>
                <w:szCs w:val="20"/>
              </w:rPr>
              <w:t>10</w:t>
            </w:r>
          </w:p>
        </w:tc>
        <w:tc>
          <w:tcPr>
            <w:tcW w:w="342" w:type="dxa"/>
          </w:tcPr>
          <w:p w14:paraId="0AC88B1C" w14:textId="77777777" w:rsidR="009B7AED" w:rsidRPr="004E1263" w:rsidRDefault="009B7AED" w:rsidP="002841D0">
            <w:pPr>
              <w:pStyle w:val="TMGTable1"/>
              <w:spacing w:before="10" w:after="10"/>
              <w:rPr>
                <w:rFonts w:ascii="Calibri" w:hAnsi="Calibri" w:cs="Calibri"/>
                <w:b w:val="0"/>
                <w:bCs w:val="0"/>
                <w:sz w:val="20"/>
                <w:szCs w:val="20"/>
              </w:rPr>
            </w:pPr>
            <w:r w:rsidRPr="004E1263">
              <w:rPr>
                <w:rFonts w:ascii="Calibri" w:hAnsi="Calibri" w:cs="Calibri"/>
                <w:sz w:val="20"/>
                <w:szCs w:val="20"/>
              </w:rPr>
              <w:t>11</w:t>
            </w:r>
          </w:p>
        </w:tc>
        <w:tc>
          <w:tcPr>
            <w:tcW w:w="567" w:type="dxa"/>
          </w:tcPr>
          <w:p w14:paraId="4A8D64A6" w14:textId="77777777" w:rsidR="009B7AED" w:rsidRPr="004E1263" w:rsidRDefault="009B7AED" w:rsidP="002841D0">
            <w:pPr>
              <w:pStyle w:val="TMGTable1"/>
              <w:spacing w:before="10" w:after="10"/>
              <w:rPr>
                <w:rFonts w:ascii="Calibri" w:hAnsi="Calibri" w:cs="Calibri"/>
                <w:b w:val="0"/>
                <w:bCs w:val="0"/>
                <w:sz w:val="20"/>
                <w:szCs w:val="20"/>
              </w:rPr>
            </w:pPr>
            <w:r w:rsidRPr="004E1263">
              <w:rPr>
                <w:rFonts w:ascii="Calibri" w:hAnsi="Calibri" w:cs="Calibri"/>
                <w:sz w:val="20"/>
                <w:szCs w:val="20"/>
              </w:rPr>
              <w:t>12-15</w:t>
            </w:r>
          </w:p>
        </w:tc>
        <w:tc>
          <w:tcPr>
            <w:tcW w:w="495" w:type="dxa"/>
          </w:tcPr>
          <w:p w14:paraId="2D5B05FA" w14:textId="77777777" w:rsidR="009B7AED" w:rsidRPr="004E1263" w:rsidRDefault="009B7AED" w:rsidP="002841D0">
            <w:pPr>
              <w:pStyle w:val="TMGTable1"/>
              <w:spacing w:before="10" w:after="10"/>
              <w:rPr>
                <w:rFonts w:ascii="Calibri" w:hAnsi="Calibri" w:cs="Calibri"/>
                <w:b w:val="0"/>
                <w:bCs w:val="0"/>
                <w:sz w:val="20"/>
                <w:szCs w:val="20"/>
              </w:rPr>
            </w:pPr>
            <w:r w:rsidRPr="004E1263">
              <w:rPr>
                <w:rFonts w:ascii="Calibri" w:hAnsi="Calibri" w:cs="Calibri"/>
                <w:sz w:val="20"/>
                <w:szCs w:val="20"/>
              </w:rPr>
              <w:t>16-17</w:t>
            </w:r>
          </w:p>
        </w:tc>
        <w:tc>
          <w:tcPr>
            <w:tcW w:w="567" w:type="dxa"/>
          </w:tcPr>
          <w:p w14:paraId="18012136" w14:textId="77777777" w:rsidR="009B7AED" w:rsidRPr="004E1263" w:rsidRDefault="009B7AED" w:rsidP="002841D0">
            <w:pPr>
              <w:pStyle w:val="TMGTable1"/>
              <w:spacing w:before="10" w:after="10"/>
              <w:rPr>
                <w:rFonts w:ascii="Calibri" w:hAnsi="Calibri" w:cs="Calibri"/>
                <w:b w:val="0"/>
                <w:bCs w:val="0"/>
                <w:sz w:val="20"/>
                <w:szCs w:val="20"/>
              </w:rPr>
            </w:pPr>
            <w:r w:rsidRPr="004E1263">
              <w:rPr>
                <w:rFonts w:ascii="Calibri" w:hAnsi="Calibri" w:cs="Calibri"/>
                <w:sz w:val="20"/>
                <w:szCs w:val="20"/>
              </w:rPr>
              <w:t>18-19</w:t>
            </w:r>
          </w:p>
        </w:tc>
        <w:tc>
          <w:tcPr>
            <w:tcW w:w="567" w:type="dxa"/>
          </w:tcPr>
          <w:p w14:paraId="7E63E2D7" w14:textId="77777777" w:rsidR="009B7AED" w:rsidRPr="004E1263" w:rsidRDefault="009B7AED" w:rsidP="002841D0">
            <w:pPr>
              <w:pStyle w:val="TMGTable1"/>
              <w:spacing w:before="10" w:after="10"/>
              <w:rPr>
                <w:rFonts w:ascii="Calibri" w:hAnsi="Calibri" w:cs="Calibri"/>
                <w:b w:val="0"/>
                <w:bCs w:val="0"/>
                <w:sz w:val="20"/>
                <w:szCs w:val="20"/>
              </w:rPr>
            </w:pPr>
            <w:r w:rsidRPr="004E1263">
              <w:rPr>
                <w:rFonts w:ascii="Calibri" w:hAnsi="Calibri" w:cs="Calibri"/>
                <w:sz w:val="20"/>
                <w:szCs w:val="20"/>
              </w:rPr>
              <w:t>20-21</w:t>
            </w:r>
          </w:p>
        </w:tc>
        <w:tc>
          <w:tcPr>
            <w:tcW w:w="657" w:type="dxa"/>
          </w:tcPr>
          <w:p w14:paraId="59024438" w14:textId="77777777" w:rsidR="009B7AED" w:rsidRPr="004E1263" w:rsidRDefault="009B7AED" w:rsidP="002841D0">
            <w:pPr>
              <w:pStyle w:val="TMGTable1"/>
              <w:spacing w:before="10" w:after="10"/>
              <w:rPr>
                <w:rFonts w:ascii="Calibri" w:hAnsi="Calibri" w:cs="Calibri"/>
                <w:b w:val="0"/>
                <w:bCs w:val="0"/>
                <w:sz w:val="20"/>
                <w:szCs w:val="20"/>
              </w:rPr>
            </w:pPr>
            <w:r w:rsidRPr="004E1263">
              <w:rPr>
                <w:rFonts w:ascii="Calibri" w:hAnsi="Calibri" w:cs="Calibri"/>
                <w:sz w:val="20"/>
                <w:szCs w:val="20"/>
              </w:rPr>
              <w:t>22</w:t>
            </w:r>
          </w:p>
        </w:tc>
        <w:tc>
          <w:tcPr>
            <w:tcW w:w="643" w:type="dxa"/>
          </w:tcPr>
          <w:p w14:paraId="47000AC2" w14:textId="77777777" w:rsidR="009B7AED" w:rsidRPr="004E1263" w:rsidRDefault="009B7AED" w:rsidP="002841D0">
            <w:pPr>
              <w:pStyle w:val="TMGTable1"/>
              <w:spacing w:before="10" w:after="10"/>
              <w:rPr>
                <w:rFonts w:ascii="Calibri" w:hAnsi="Calibri" w:cs="Calibri"/>
                <w:b w:val="0"/>
                <w:bCs w:val="0"/>
                <w:sz w:val="20"/>
                <w:szCs w:val="20"/>
              </w:rPr>
            </w:pPr>
            <w:r w:rsidRPr="004E1263">
              <w:rPr>
                <w:rFonts w:ascii="Calibri" w:hAnsi="Calibri" w:cs="Calibri"/>
                <w:sz w:val="20"/>
                <w:szCs w:val="20"/>
              </w:rPr>
              <w:t>23-27</w:t>
            </w:r>
          </w:p>
        </w:tc>
        <w:tc>
          <w:tcPr>
            <w:tcW w:w="495" w:type="dxa"/>
          </w:tcPr>
          <w:p w14:paraId="67A99C53" w14:textId="77777777" w:rsidR="009B7AED" w:rsidRPr="004E1263" w:rsidRDefault="009B7AED" w:rsidP="002841D0">
            <w:pPr>
              <w:pStyle w:val="TMGTable1"/>
              <w:spacing w:before="10" w:after="10"/>
              <w:rPr>
                <w:rFonts w:ascii="Calibri" w:hAnsi="Calibri" w:cs="Calibri"/>
                <w:b w:val="0"/>
                <w:bCs w:val="0"/>
                <w:sz w:val="20"/>
                <w:szCs w:val="20"/>
              </w:rPr>
            </w:pPr>
            <w:r w:rsidRPr="004E1263">
              <w:rPr>
                <w:rFonts w:ascii="Calibri" w:hAnsi="Calibri" w:cs="Calibri"/>
                <w:sz w:val="20"/>
                <w:szCs w:val="20"/>
              </w:rPr>
              <w:t>28</w:t>
            </w:r>
          </w:p>
        </w:tc>
        <w:tc>
          <w:tcPr>
            <w:tcW w:w="684" w:type="dxa"/>
          </w:tcPr>
          <w:p w14:paraId="70DF12E9" w14:textId="77777777" w:rsidR="009B7AED" w:rsidRPr="004E1263" w:rsidRDefault="009B7AED" w:rsidP="002841D0">
            <w:pPr>
              <w:pStyle w:val="TMGTable1"/>
              <w:spacing w:before="10" w:after="10"/>
              <w:rPr>
                <w:rFonts w:ascii="Calibri" w:hAnsi="Calibri" w:cs="Calibri"/>
                <w:b w:val="0"/>
                <w:bCs w:val="0"/>
                <w:sz w:val="20"/>
                <w:szCs w:val="20"/>
              </w:rPr>
            </w:pPr>
            <w:r w:rsidRPr="004E1263">
              <w:rPr>
                <w:rFonts w:ascii="Calibri" w:hAnsi="Calibri" w:cs="Calibri"/>
                <w:sz w:val="20"/>
                <w:szCs w:val="20"/>
              </w:rPr>
              <w:t>29-33</w:t>
            </w:r>
          </w:p>
        </w:tc>
        <w:tc>
          <w:tcPr>
            <w:tcW w:w="684" w:type="dxa"/>
          </w:tcPr>
          <w:p w14:paraId="38E57107" w14:textId="77777777" w:rsidR="009B7AED" w:rsidRPr="004E1263" w:rsidRDefault="009B7AED" w:rsidP="002841D0">
            <w:pPr>
              <w:pStyle w:val="TMGTable1"/>
              <w:spacing w:before="10" w:after="10"/>
              <w:rPr>
                <w:rFonts w:ascii="Calibri" w:hAnsi="Calibri" w:cs="Calibri"/>
                <w:b w:val="0"/>
                <w:bCs w:val="0"/>
                <w:sz w:val="20"/>
                <w:szCs w:val="20"/>
              </w:rPr>
            </w:pPr>
            <w:r w:rsidRPr="004E1263">
              <w:rPr>
                <w:rFonts w:ascii="Calibri" w:hAnsi="Calibri" w:cs="Calibri"/>
                <w:sz w:val="20"/>
                <w:szCs w:val="20"/>
              </w:rPr>
              <w:t>34-38</w:t>
            </w:r>
          </w:p>
        </w:tc>
        <w:tc>
          <w:tcPr>
            <w:tcW w:w="684" w:type="dxa"/>
          </w:tcPr>
          <w:p w14:paraId="552DE119" w14:textId="77777777" w:rsidR="009B7AED" w:rsidRPr="004E1263" w:rsidRDefault="009B7AED" w:rsidP="002841D0">
            <w:pPr>
              <w:pStyle w:val="TMGTable1"/>
              <w:spacing w:before="10" w:after="10"/>
              <w:rPr>
                <w:rFonts w:ascii="Calibri" w:hAnsi="Calibri" w:cs="Calibri"/>
                <w:b w:val="0"/>
                <w:bCs w:val="0"/>
                <w:sz w:val="20"/>
                <w:szCs w:val="20"/>
              </w:rPr>
            </w:pPr>
            <w:r w:rsidRPr="004E1263">
              <w:rPr>
                <w:rFonts w:ascii="Calibri" w:hAnsi="Calibri" w:cs="Calibri"/>
                <w:sz w:val="20"/>
                <w:szCs w:val="20"/>
              </w:rPr>
              <w:t>39-43</w:t>
            </w:r>
          </w:p>
        </w:tc>
      </w:tr>
      <w:tr w:rsidR="00B403C7" w:rsidRPr="004E1263" w14:paraId="102FEB55" w14:textId="77777777" w:rsidTr="00E1261E">
        <w:trPr>
          <w:trHeight w:val="60"/>
        </w:trPr>
        <w:tc>
          <w:tcPr>
            <w:tcW w:w="1070" w:type="dxa"/>
          </w:tcPr>
          <w:p w14:paraId="08991180" w14:textId="77777777" w:rsidR="009B7AED" w:rsidRPr="004E1263" w:rsidRDefault="009B7AED" w:rsidP="002841D0">
            <w:pPr>
              <w:pStyle w:val="TMGTable1"/>
              <w:spacing w:before="10" w:after="10"/>
              <w:jc w:val="left"/>
              <w:rPr>
                <w:rStyle w:val="Bold"/>
                <w:rFonts w:ascii="Calibri" w:hAnsi="Calibri" w:cs="Calibri"/>
                <w:sz w:val="20"/>
                <w:szCs w:val="20"/>
              </w:rPr>
            </w:pPr>
            <w:r w:rsidRPr="004E1263">
              <w:rPr>
                <w:rStyle w:val="Bold"/>
                <w:rFonts w:ascii="Calibri" w:hAnsi="Calibri" w:cs="Calibri"/>
                <w:sz w:val="20"/>
                <w:szCs w:val="20"/>
              </w:rPr>
              <w:t>Content 01 Example:</w:t>
            </w:r>
          </w:p>
        </w:tc>
        <w:tc>
          <w:tcPr>
            <w:tcW w:w="288" w:type="dxa"/>
          </w:tcPr>
          <w:p w14:paraId="73411B09"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C</w:t>
            </w:r>
          </w:p>
        </w:tc>
        <w:tc>
          <w:tcPr>
            <w:tcW w:w="446" w:type="dxa"/>
          </w:tcPr>
          <w:p w14:paraId="23B729AC"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17</w:t>
            </w:r>
          </w:p>
        </w:tc>
        <w:tc>
          <w:tcPr>
            <w:tcW w:w="828" w:type="dxa"/>
          </w:tcPr>
          <w:p w14:paraId="44C679A2"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01811B</w:t>
            </w:r>
          </w:p>
        </w:tc>
        <w:tc>
          <w:tcPr>
            <w:tcW w:w="342" w:type="dxa"/>
          </w:tcPr>
          <w:p w14:paraId="0D352701"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1</w:t>
            </w:r>
          </w:p>
        </w:tc>
        <w:tc>
          <w:tcPr>
            <w:tcW w:w="342" w:type="dxa"/>
          </w:tcPr>
          <w:p w14:paraId="4B25FB19"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1</w:t>
            </w:r>
          </w:p>
        </w:tc>
        <w:tc>
          <w:tcPr>
            <w:tcW w:w="567" w:type="dxa"/>
          </w:tcPr>
          <w:p w14:paraId="0B1ECE98"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2012</w:t>
            </w:r>
          </w:p>
        </w:tc>
        <w:tc>
          <w:tcPr>
            <w:tcW w:w="495" w:type="dxa"/>
          </w:tcPr>
          <w:p w14:paraId="37E84EE6"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04</w:t>
            </w:r>
          </w:p>
        </w:tc>
        <w:tc>
          <w:tcPr>
            <w:tcW w:w="567" w:type="dxa"/>
          </w:tcPr>
          <w:p w14:paraId="66279170"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25</w:t>
            </w:r>
          </w:p>
        </w:tc>
        <w:tc>
          <w:tcPr>
            <w:tcW w:w="567" w:type="dxa"/>
          </w:tcPr>
          <w:p w14:paraId="17036542"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00</w:t>
            </w:r>
          </w:p>
        </w:tc>
        <w:tc>
          <w:tcPr>
            <w:tcW w:w="657" w:type="dxa"/>
          </w:tcPr>
          <w:p w14:paraId="78505A35" w14:textId="77777777" w:rsidR="009B7AED" w:rsidRPr="004E1263" w:rsidRDefault="009B7AED" w:rsidP="002841D0">
            <w:pPr>
              <w:pStyle w:val="TMGTable1"/>
              <w:spacing w:before="10" w:after="10"/>
              <w:rPr>
                <w:rFonts w:ascii="Calibri" w:hAnsi="Calibri" w:cs="Calibri"/>
                <w:color w:val="auto"/>
                <w:sz w:val="20"/>
                <w:szCs w:val="20"/>
              </w:rPr>
            </w:pPr>
            <w:r w:rsidRPr="004E1263">
              <w:rPr>
                <w:rFonts w:ascii="Calibri" w:hAnsi="Calibri" w:cs="Calibri"/>
                <w:sz w:val="20"/>
                <w:szCs w:val="20"/>
              </w:rPr>
              <w:t>Blank</w:t>
            </w:r>
          </w:p>
        </w:tc>
        <w:tc>
          <w:tcPr>
            <w:tcW w:w="643" w:type="dxa"/>
          </w:tcPr>
          <w:p w14:paraId="3DA19D2A"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00099</w:t>
            </w:r>
          </w:p>
        </w:tc>
        <w:tc>
          <w:tcPr>
            <w:tcW w:w="495" w:type="dxa"/>
          </w:tcPr>
          <w:p w14:paraId="7C171C1C"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w:t>
            </w:r>
          </w:p>
        </w:tc>
        <w:tc>
          <w:tcPr>
            <w:tcW w:w="684" w:type="dxa"/>
          </w:tcPr>
          <w:p w14:paraId="1D9E65CB"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00051</w:t>
            </w:r>
          </w:p>
        </w:tc>
        <w:tc>
          <w:tcPr>
            <w:tcW w:w="684" w:type="dxa"/>
          </w:tcPr>
          <w:p w14:paraId="60B3EDE4"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00038</w:t>
            </w:r>
          </w:p>
        </w:tc>
        <w:tc>
          <w:tcPr>
            <w:tcW w:w="684" w:type="dxa"/>
          </w:tcPr>
          <w:p w14:paraId="71BA392A"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00010</w:t>
            </w:r>
          </w:p>
        </w:tc>
      </w:tr>
      <w:tr w:rsidR="00B403C7" w:rsidRPr="004E1263" w14:paraId="11437B3D" w14:textId="77777777" w:rsidTr="00E1261E">
        <w:trPr>
          <w:trHeight w:val="60"/>
        </w:trPr>
        <w:tc>
          <w:tcPr>
            <w:tcW w:w="1070" w:type="dxa"/>
          </w:tcPr>
          <w:p w14:paraId="1963E516" w14:textId="77777777" w:rsidR="009B7AED" w:rsidRPr="004E1263" w:rsidRDefault="009B7AED" w:rsidP="002841D0">
            <w:pPr>
              <w:pStyle w:val="TMGTable1"/>
              <w:spacing w:before="10" w:after="10"/>
              <w:jc w:val="left"/>
              <w:rPr>
                <w:rStyle w:val="Bold"/>
                <w:rFonts w:ascii="Calibri" w:hAnsi="Calibri" w:cs="Calibri"/>
                <w:sz w:val="20"/>
                <w:szCs w:val="20"/>
              </w:rPr>
            </w:pPr>
            <w:r w:rsidRPr="004E1263">
              <w:rPr>
                <w:rStyle w:val="Bold"/>
                <w:rFonts w:ascii="Calibri" w:hAnsi="Calibri" w:cs="Calibri"/>
                <w:sz w:val="20"/>
                <w:szCs w:val="20"/>
              </w:rPr>
              <w:t>Content 02 Example:</w:t>
            </w:r>
          </w:p>
        </w:tc>
        <w:tc>
          <w:tcPr>
            <w:tcW w:w="288" w:type="dxa"/>
          </w:tcPr>
          <w:p w14:paraId="2858423A"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C</w:t>
            </w:r>
          </w:p>
        </w:tc>
        <w:tc>
          <w:tcPr>
            <w:tcW w:w="446" w:type="dxa"/>
          </w:tcPr>
          <w:p w14:paraId="5CF17E9D"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17</w:t>
            </w:r>
          </w:p>
        </w:tc>
        <w:tc>
          <w:tcPr>
            <w:tcW w:w="828" w:type="dxa"/>
          </w:tcPr>
          <w:p w14:paraId="37933B2E"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01811B</w:t>
            </w:r>
          </w:p>
        </w:tc>
        <w:tc>
          <w:tcPr>
            <w:tcW w:w="342" w:type="dxa"/>
          </w:tcPr>
          <w:p w14:paraId="26522E00"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1</w:t>
            </w:r>
          </w:p>
        </w:tc>
        <w:tc>
          <w:tcPr>
            <w:tcW w:w="342" w:type="dxa"/>
          </w:tcPr>
          <w:p w14:paraId="39BB8B1F"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2</w:t>
            </w:r>
          </w:p>
        </w:tc>
        <w:tc>
          <w:tcPr>
            <w:tcW w:w="567" w:type="dxa"/>
          </w:tcPr>
          <w:p w14:paraId="6AD4E4EC"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2012</w:t>
            </w:r>
          </w:p>
        </w:tc>
        <w:tc>
          <w:tcPr>
            <w:tcW w:w="495" w:type="dxa"/>
          </w:tcPr>
          <w:p w14:paraId="045F2893"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04</w:t>
            </w:r>
          </w:p>
        </w:tc>
        <w:tc>
          <w:tcPr>
            <w:tcW w:w="567" w:type="dxa"/>
          </w:tcPr>
          <w:p w14:paraId="51A4462D"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25</w:t>
            </w:r>
          </w:p>
        </w:tc>
        <w:tc>
          <w:tcPr>
            <w:tcW w:w="567" w:type="dxa"/>
          </w:tcPr>
          <w:p w14:paraId="2624FDB9"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00</w:t>
            </w:r>
          </w:p>
        </w:tc>
        <w:tc>
          <w:tcPr>
            <w:tcW w:w="657" w:type="dxa"/>
          </w:tcPr>
          <w:p w14:paraId="74265FB8"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Blank</w:t>
            </w:r>
          </w:p>
        </w:tc>
        <w:tc>
          <w:tcPr>
            <w:tcW w:w="643" w:type="dxa"/>
          </w:tcPr>
          <w:p w14:paraId="7F331AEA"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00020</w:t>
            </w:r>
          </w:p>
        </w:tc>
        <w:tc>
          <w:tcPr>
            <w:tcW w:w="495" w:type="dxa"/>
          </w:tcPr>
          <w:p w14:paraId="669C739F"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w:t>
            </w:r>
          </w:p>
        </w:tc>
        <w:tc>
          <w:tcPr>
            <w:tcW w:w="684" w:type="dxa"/>
          </w:tcPr>
          <w:p w14:paraId="1B0C9B44"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00005</w:t>
            </w:r>
          </w:p>
        </w:tc>
        <w:tc>
          <w:tcPr>
            <w:tcW w:w="684" w:type="dxa"/>
          </w:tcPr>
          <w:p w14:paraId="4DAD46E2"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00014</w:t>
            </w:r>
          </w:p>
        </w:tc>
        <w:tc>
          <w:tcPr>
            <w:tcW w:w="684" w:type="dxa"/>
          </w:tcPr>
          <w:p w14:paraId="0B853B60"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00001</w:t>
            </w:r>
          </w:p>
        </w:tc>
      </w:tr>
      <w:tr w:rsidR="00B403C7" w:rsidRPr="004E1263" w14:paraId="64075F42" w14:textId="77777777" w:rsidTr="00E1261E">
        <w:trPr>
          <w:trHeight w:val="39"/>
        </w:trPr>
        <w:tc>
          <w:tcPr>
            <w:tcW w:w="1070" w:type="dxa"/>
          </w:tcPr>
          <w:p w14:paraId="64DB90D3" w14:textId="77777777" w:rsidR="009B7AED" w:rsidRPr="004E1263" w:rsidRDefault="009B7AED" w:rsidP="002841D0">
            <w:pPr>
              <w:pStyle w:val="TMGTable1"/>
              <w:spacing w:before="10" w:after="10"/>
              <w:jc w:val="left"/>
              <w:rPr>
                <w:rStyle w:val="Bold"/>
                <w:rFonts w:ascii="Calibri" w:hAnsi="Calibri" w:cs="Calibri"/>
                <w:sz w:val="20"/>
                <w:szCs w:val="20"/>
              </w:rPr>
            </w:pPr>
            <w:r w:rsidRPr="004E1263">
              <w:rPr>
                <w:rStyle w:val="Bold"/>
                <w:rFonts w:ascii="Calibri" w:hAnsi="Calibri" w:cs="Calibri"/>
                <w:sz w:val="20"/>
                <w:szCs w:val="20"/>
              </w:rPr>
              <w:t>Content 03 Example:</w:t>
            </w:r>
          </w:p>
        </w:tc>
        <w:tc>
          <w:tcPr>
            <w:tcW w:w="288" w:type="dxa"/>
          </w:tcPr>
          <w:p w14:paraId="564FDB4C"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C</w:t>
            </w:r>
          </w:p>
        </w:tc>
        <w:tc>
          <w:tcPr>
            <w:tcW w:w="446" w:type="dxa"/>
          </w:tcPr>
          <w:p w14:paraId="509CDAFC"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17</w:t>
            </w:r>
          </w:p>
        </w:tc>
        <w:tc>
          <w:tcPr>
            <w:tcW w:w="828" w:type="dxa"/>
          </w:tcPr>
          <w:p w14:paraId="2C89D05D"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01811B</w:t>
            </w:r>
          </w:p>
        </w:tc>
        <w:tc>
          <w:tcPr>
            <w:tcW w:w="342" w:type="dxa"/>
          </w:tcPr>
          <w:p w14:paraId="3E0B38F5"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5</w:t>
            </w:r>
          </w:p>
        </w:tc>
        <w:tc>
          <w:tcPr>
            <w:tcW w:w="342" w:type="dxa"/>
          </w:tcPr>
          <w:p w14:paraId="4F94D92F"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2</w:t>
            </w:r>
          </w:p>
        </w:tc>
        <w:tc>
          <w:tcPr>
            <w:tcW w:w="567" w:type="dxa"/>
          </w:tcPr>
          <w:p w14:paraId="1C5CB32C"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2012</w:t>
            </w:r>
          </w:p>
        </w:tc>
        <w:tc>
          <w:tcPr>
            <w:tcW w:w="495" w:type="dxa"/>
          </w:tcPr>
          <w:p w14:paraId="2B526352"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04</w:t>
            </w:r>
          </w:p>
        </w:tc>
        <w:tc>
          <w:tcPr>
            <w:tcW w:w="567" w:type="dxa"/>
          </w:tcPr>
          <w:p w14:paraId="12B90D72"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25</w:t>
            </w:r>
          </w:p>
        </w:tc>
        <w:tc>
          <w:tcPr>
            <w:tcW w:w="567" w:type="dxa"/>
          </w:tcPr>
          <w:p w14:paraId="60457AEB"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00</w:t>
            </w:r>
          </w:p>
        </w:tc>
        <w:tc>
          <w:tcPr>
            <w:tcW w:w="657" w:type="dxa"/>
          </w:tcPr>
          <w:p w14:paraId="64898586"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Blank</w:t>
            </w:r>
          </w:p>
        </w:tc>
        <w:tc>
          <w:tcPr>
            <w:tcW w:w="643" w:type="dxa"/>
          </w:tcPr>
          <w:p w14:paraId="0AD46510"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00011</w:t>
            </w:r>
          </w:p>
        </w:tc>
        <w:tc>
          <w:tcPr>
            <w:tcW w:w="495" w:type="dxa"/>
          </w:tcPr>
          <w:p w14:paraId="1135C233"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w:t>
            </w:r>
          </w:p>
        </w:tc>
        <w:tc>
          <w:tcPr>
            <w:tcW w:w="684" w:type="dxa"/>
          </w:tcPr>
          <w:p w14:paraId="5667D885"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00002</w:t>
            </w:r>
          </w:p>
        </w:tc>
        <w:tc>
          <w:tcPr>
            <w:tcW w:w="684" w:type="dxa"/>
          </w:tcPr>
          <w:p w14:paraId="68EA56C8"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00008</w:t>
            </w:r>
          </w:p>
        </w:tc>
        <w:tc>
          <w:tcPr>
            <w:tcW w:w="684" w:type="dxa"/>
          </w:tcPr>
          <w:p w14:paraId="01102927"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00001</w:t>
            </w:r>
          </w:p>
        </w:tc>
      </w:tr>
      <w:tr w:rsidR="00B403C7" w:rsidRPr="004E1263" w14:paraId="7F906BD2" w14:textId="77777777" w:rsidTr="00E1261E">
        <w:trPr>
          <w:trHeight w:val="60"/>
        </w:trPr>
        <w:tc>
          <w:tcPr>
            <w:tcW w:w="1070" w:type="dxa"/>
          </w:tcPr>
          <w:p w14:paraId="09DE599F" w14:textId="77777777" w:rsidR="009B7AED" w:rsidRPr="004E1263" w:rsidRDefault="009B7AED" w:rsidP="002841D0">
            <w:pPr>
              <w:pStyle w:val="TMGTable1"/>
              <w:spacing w:before="10" w:after="10"/>
              <w:jc w:val="left"/>
              <w:rPr>
                <w:rStyle w:val="Bold"/>
                <w:rFonts w:ascii="Calibri" w:hAnsi="Calibri" w:cs="Calibri"/>
                <w:sz w:val="20"/>
                <w:szCs w:val="20"/>
              </w:rPr>
            </w:pPr>
            <w:r w:rsidRPr="004E1263">
              <w:rPr>
                <w:rStyle w:val="Bold"/>
                <w:rFonts w:ascii="Calibri" w:hAnsi="Calibri" w:cs="Calibri"/>
                <w:sz w:val="20"/>
                <w:szCs w:val="20"/>
              </w:rPr>
              <w:t>Content 04 Example:</w:t>
            </w:r>
          </w:p>
        </w:tc>
        <w:tc>
          <w:tcPr>
            <w:tcW w:w="288" w:type="dxa"/>
          </w:tcPr>
          <w:p w14:paraId="3220E442"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C</w:t>
            </w:r>
          </w:p>
        </w:tc>
        <w:tc>
          <w:tcPr>
            <w:tcW w:w="446" w:type="dxa"/>
          </w:tcPr>
          <w:p w14:paraId="32E173FF"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17</w:t>
            </w:r>
          </w:p>
        </w:tc>
        <w:tc>
          <w:tcPr>
            <w:tcW w:w="828" w:type="dxa"/>
          </w:tcPr>
          <w:p w14:paraId="0E2BC413"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01811B</w:t>
            </w:r>
          </w:p>
        </w:tc>
        <w:tc>
          <w:tcPr>
            <w:tcW w:w="342" w:type="dxa"/>
          </w:tcPr>
          <w:p w14:paraId="400DB67D"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5</w:t>
            </w:r>
          </w:p>
        </w:tc>
        <w:tc>
          <w:tcPr>
            <w:tcW w:w="342" w:type="dxa"/>
          </w:tcPr>
          <w:p w14:paraId="691EABFB"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1</w:t>
            </w:r>
          </w:p>
        </w:tc>
        <w:tc>
          <w:tcPr>
            <w:tcW w:w="567" w:type="dxa"/>
          </w:tcPr>
          <w:p w14:paraId="58B89C77"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2012</w:t>
            </w:r>
          </w:p>
        </w:tc>
        <w:tc>
          <w:tcPr>
            <w:tcW w:w="495" w:type="dxa"/>
          </w:tcPr>
          <w:p w14:paraId="3D576ABB"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04</w:t>
            </w:r>
          </w:p>
        </w:tc>
        <w:tc>
          <w:tcPr>
            <w:tcW w:w="567" w:type="dxa"/>
          </w:tcPr>
          <w:p w14:paraId="5DA6582E"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25</w:t>
            </w:r>
          </w:p>
        </w:tc>
        <w:tc>
          <w:tcPr>
            <w:tcW w:w="567" w:type="dxa"/>
          </w:tcPr>
          <w:p w14:paraId="5191CB28"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00</w:t>
            </w:r>
          </w:p>
        </w:tc>
        <w:tc>
          <w:tcPr>
            <w:tcW w:w="657" w:type="dxa"/>
          </w:tcPr>
          <w:p w14:paraId="612B8D54"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Blank</w:t>
            </w:r>
          </w:p>
        </w:tc>
        <w:tc>
          <w:tcPr>
            <w:tcW w:w="643" w:type="dxa"/>
          </w:tcPr>
          <w:p w14:paraId="5ED9BA83"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00066</w:t>
            </w:r>
          </w:p>
        </w:tc>
        <w:tc>
          <w:tcPr>
            <w:tcW w:w="495" w:type="dxa"/>
          </w:tcPr>
          <w:p w14:paraId="61D51C1D"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w:t>
            </w:r>
          </w:p>
        </w:tc>
        <w:tc>
          <w:tcPr>
            <w:tcW w:w="684" w:type="dxa"/>
          </w:tcPr>
          <w:p w14:paraId="47A46D49"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00023</w:t>
            </w:r>
          </w:p>
        </w:tc>
        <w:tc>
          <w:tcPr>
            <w:tcW w:w="684" w:type="dxa"/>
          </w:tcPr>
          <w:p w14:paraId="0A0160D1"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00037</w:t>
            </w:r>
          </w:p>
        </w:tc>
        <w:tc>
          <w:tcPr>
            <w:tcW w:w="684" w:type="dxa"/>
          </w:tcPr>
          <w:p w14:paraId="71EBD67D"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00006</w:t>
            </w:r>
          </w:p>
        </w:tc>
      </w:tr>
      <w:tr w:rsidR="00B403C7" w:rsidRPr="004E1263" w14:paraId="75BC3283" w14:textId="77777777" w:rsidTr="00E1261E">
        <w:trPr>
          <w:trHeight w:val="60"/>
        </w:trPr>
        <w:tc>
          <w:tcPr>
            <w:tcW w:w="1070" w:type="dxa"/>
          </w:tcPr>
          <w:p w14:paraId="62856593" w14:textId="77777777" w:rsidR="009B7AED" w:rsidRPr="004E1263" w:rsidRDefault="009B7AED" w:rsidP="002841D0">
            <w:pPr>
              <w:pStyle w:val="TMGTable1"/>
              <w:spacing w:before="10" w:after="10"/>
              <w:jc w:val="left"/>
              <w:rPr>
                <w:rStyle w:val="Bold"/>
                <w:rFonts w:ascii="Calibri" w:hAnsi="Calibri" w:cs="Calibri"/>
                <w:sz w:val="20"/>
                <w:szCs w:val="20"/>
              </w:rPr>
            </w:pPr>
            <w:r w:rsidRPr="004E1263">
              <w:rPr>
                <w:rStyle w:val="Bold"/>
                <w:rFonts w:ascii="Calibri" w:hAnsi="Calibri" w:cs="Calibri"/>
                <w:sz w:val="20"/>
                <w:szCs w:val="20"/>
              </w:rPr>
              <w:t>Content 05 Example:</w:t>
            </w:r>
          </w:p>
        </w:tc>
        <w:tc>
          <w:tcPr>
            <w:tcW w:w="288" w:type="dxa"/>
          </w:tcPr>
          <w:p w14:paraId="3296B635"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C</w:t>
            </w:r>
          </w:p>
        </w:tc>
        <w:tc>
          <w:tcPr>
            <w:tcW w:w="446" w:type="dxa"/>
          </w:tcPr>
          <w:p w14:paraId="5AD8E81E"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17</w:t>
            </w:r>
          </w:p>
        </w:tc>
        <w:tc>
          <w:tcPr>
            <w:tcW w:w="828" w:type="dxa"/>
          </w:tcPr>
          <w:p w14:paraId="4E4DB112"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01811B</w:t>
            </w:r>
          </w:p>
        </w:tc>
        <w:tc>
          <w:tcPr>
            <w:tcW w:w="342" w:type="dxa"/>
          </w:tcPr>
          <w:p w14:paraId="158EE824"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1</w:t>
            </w:r>
          </w:p>
        </w:tc>
        <w:tc>
          <w:tcPr>
            <w:tcW w:w="342" w:type="dxa"/>
          </w:tcPr>
          <w:p w14:paraId="266C766F"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1</w:t>
            </w:r>
          </w:p>
        </w:tc>
        <w:tc>
          <w:tcPr>
            <w:tcW w:w="567" w:type="dxa"/>
          </w:tcPr>
          <w:p w14:paraId="2A08537F"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2012</w:t>
            </w:r>
          </w:p>
        </w:tc>
        <w:tc>
          <w:tcPr>
            <w:tcW w:w="495" w:type="dxa"/>
          </w:tcPr>
          <w:p w14:paraId="1C77FA71"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04</w:t>
            </w:r>
          </w:p>
        </w:tc>
        <w:tc>
          <w:tcPr>
            <w:tcW w:w="567" w:type="dxa"/>
          </w:tcPr>
          <w:p w14:paraId="41CF8995"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25</w:t>
            </w:r>
          </w:p>
        </w:tc>
        <w:tc>
          <w:tcPr>
            <w:tcW w:w="567" w:type="dxa"/>
          </w:tcPr>
          <w:p w14:paraId="51DDEC60"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01</w:t>
            </w:r>
          </w:p>
        </w:tc>
        <w:tc>
          <w:tcPr>
            <w:tcW w:w="657" w:type="dxa"/>
          </w:tcPr>
          <w:p w14:paraId="49C1F125"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Blank</w:t>
            </w:r>
          </w:p>
        </w:tc>
        <w:tc>
          <w:tcPr>
            <w:tcW w:w="643" w:type="dxa"/>
          </w:tcPr>
          <w:p w14:paraId="304D0337"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00072</w:t>
            </w:r>
          </w:p>
        </w:tc>
        <w:tc>
          <w:tcPr>
            <w:tcW w:w="495" w:type="dxa"/>
          </w:tcPr>
          <w:p w14:paraId="1581289A"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w:t>
            </w:r>
          </w:p>
        </w:tc>
        <w:tc>
          <w:tcPr>
            <w:tcW w:w="684" w:type="dxa"/>
          </w:tcPr>
          <w:p w14:paraId="16FF6AB3"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00042</w:t>
            </w:r>
          </w:p>
        </w:tc>
        <w:tc>
          <w:tcPr>
            <w:tcW w:w="684" w:type="dxa"/>
          </w:tcPr>
          <w:p w14:paraId="5FAD04D4"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00021</w:t>
            </w:r>
          </w:p>
        </w:tc>
        <w:tc>
          <w:tcPr>
            <w:tcW w:w="684" w:type="dxa"/>
          </w:tcPr>
          <w:p w14:paraId="0B9F34E0"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00009</w:t>
            </w:r>
          </w:p>
        </w:tc>
      </w:tr>
      <w:tr w:rsidR="00B403C7" w:rsidRPr="004E1263" w14:paraId="78B04403" w14:textId="77777777" w:rsidTr="00E1261E">
        <w:trPr>
          <w:trHeight w:val="60"/>
        </w:trPr>
        <w:tc>
          <w:tcPr>
            <w:tcW w:w="1070" w:type="dxa"/>
          </w:tcPr>
          <w:p w14:paraId="4FEAD42F" w14:textId="77777777" w:rsidR="009B7AED" w:rsidRPr="004E1263" w:rsidRDefault="009B7AED" w:rsidP="002841D0">
            <w:pPr>
              <w:pStyle w:val="TMGTable1"/>
              <w:spacing w:before="10" w:after="10"/>
              <w:jc w:val="left"/>
              <w:rPr>
                <w:rStyle w:val="Bold"/>
                <w:rFonts w:ascii="Calibri" w:hAnsi="Calibri" w:cs="Calibri"/>
                <w:sz w:val="20"/>
                <w:szCs w:val="20"/>
              </w:rPr>
            </w:pPr>
            <w:r w:rsidRPr="004E1263">
              <w:rPr>
                <w:rStyle w:val="Bold"/>
                <w:rFonts w:ascii="Calibri" w:hAnsi="Calibri" w:cs="Calibri"/>
                <w:sz w:val="20"/>
                <w:szCs w:val="20"/>
              </w:rPr>
              <w:t>Content 06 Example:</w:t>
            </w:r>
          </w:p>
        </w:tc>
        <w:tc>
          <w:tcPr>
            <w:tcW w:w="288" w:type="dxa"/>
          </w:tcPr>
          <w:p w14:paraId="7EDAEE01"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C</w:t>
            </w:r>
          </w:p>
        </w:tc>
        <w:tc>
          <w:tcPr>
            <w:tcW w:w="446" w:type="dxa"/>
          </w:tcPr>
          <w:p w14:paraId="2FE9A1E3"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17</w:t>
            </w:r>
          </w:p>
        </w:tc>
        <w:tc>
          <w:tcPr>
            <w:tcW w:w="828" w:type="dxa"/>
          </w:tcPr>
          <w:p w14:paraId="30F44F51"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01811B</w:t>
            </w:r>
          </w:p>
        </w:tc>
        <w:tc>
          <w:tcPr>
            <w:tcW w:w="342" w:type="dxa"/>
          </w:tcPr>
          <w:p w14:paraId="2793A5B4"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1</w:t>
            </w:r>
          </w:p>
        </w:tc>
        <w:tc>
          <w:tcPr>
            <w:tcW w:w="342" w:type="dxa"/>
          </w:tcPr>
          <w:p w14:paraId="6648A49C"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2</w:t>
            </w:r>
          </w:p>
        </w:tc>
        <w:tc>
          <w:tcPr>
            <w:tcW w:w="567" w:type="dxa"/>
          </w:tcPr>
          <w:p w14:paraId="0BDFD3AF"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2012</w:t>
            </w:r>
          </w:p>
        </w:tc>
        <w:tc>
          <w:tcPr>
            <w:tcW w:w="495" w:type="dxa"/>
          </w:tcPr>
          <w:p w14:paraId="24C8A057"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04</w:t>
            </w:r>
          </w:p>
        </w:tc>
        <w:tc>
          <w:tcPr>
            <w:tcW w:w="567" w:type="dxa"/>
          </w:tcPr>
          <w:p w14:paraId="3FBBF32F"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25</w:t>
            </w:r>
          </w:p>
        </w:tc>
        <w:tc>
          <w:tcPr>
            <w:tcW w:w="567" w:type="dxa"/>
          </w:tcPr>
          <w:p w14:paraId="286D3A27"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01</w:t>
            </w:r>
          </w:p>
        </w:tc>
        <w:tc>
          <w:tcPr>
            <w:tcW w:w="657" w:type="dxa"/>
          </w:tcPr>
          <w:p w14:paraId="015CA91D"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Blank</w:t>
            </w:r>
          </w:p>
        </w:tc>
        <w:tc>
          <w:tcPr>
            <w:tcW w:w="643" w:type="dxa"/>
          </w:tcPr>
          <w:p w14:paraId="5AD060D3"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00017</w:t>
            </w:r>
          </w:p>
        </w:tc>
        <w:tc>
          <w:tcPr>
            <w:tcW w:w="495" w:type="dxa"/>
          </w:tcPr>
          <w:p w14:paraId="071F6DB3"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w:t>
            </w:r>
          </w:p>
        </w:tc>
        <w:tc>
          <w:tcPr>
            <w:tcW w:w="684" w:type="dxa"/>
          </w:tcPr>
          <w:p w14:paraId="5BC0324F"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00005</w:t>
            </w:r>
          </w:p>
        </w:tc>
        <w:tc>
          <w:tcPr>
            <w:tcW w:w="684" w:type="dxa"/>
          </w:tcPr>
          <w:p w14:paraId="7756E912"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00011</w:t>
            </w:r>
          </w:p>
        </w:tc>
        <w:tc>
          <w:tcPr>
            <w:tcW w:w="684" w:type="dxa"/>
          </w:tcPr>
          <w:p w14:paraId="5C3858B7"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00001</w:t>
            </w:r>
          </w:p>
        </w:tc>
      </w:tr>
      <w:tr w:rsidR="00B403C7" w:rsidRPr="004E1263" w14:paraId="314235F8" w14:textId="77777777" w:rsidTr="00E1261E">
        <w:trPr>
          <w:trHeight w:val="60"/>
        </w:trPr>
        <w:tc>
          <w:tcPr>
            <w:tcW w:w="1070" w:type="dxa"/>
          </w:tcPr>
          <w:p w14:paraId="1D2E17A2" w14:textId="77777777" w:rsidR="009B7AED" w:rsidRPr="004E1263" w:rsidRDefault="009B7AED" w:rsidP="002841D0">
            <w:pPr>
              <w:pStyle w:val="TMGTable1"/>
              <w:spacing w:before="10" w:after="10"/>
              <w:jc w:val="left"/>
              <w:rPr>
                <w:rStyle w:val="Bold"/>
                <w:rFonts w:ascii="Calibri" w:hAnsi="Calibri" w:cs="Calibri"/>
                <w:sz w:val="20"/>
                <w:szCs w:val="20"/>
              </w:rPr>
            </w:pPr>
            <w:r w:rsidRPr="004E1263">
              <w:rPr>
                <w:rStyle w:val="Bold"/>
                <w:rFonts w:ascii="Calibri" w:hAnsi="Calibri" w:cs="Calibri"/>
                <w:sz w:val="20"/>
                <w:szCs w:val="20"/>
              </w:rPr>
              <w:t>Content 07 Example:</w:t>
            </w:r>
          </w:p>
        </w:tc>
        <w:tc>
          <w:tcPr>
            <w:tcW w:w="288" w:type="dxa"/>
          </w:tcPr>
          <w:p w14:paraId="0C4D751A"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C</w:t>
            </w:r>
          </w:p>
        </w:tc>
        <w:tc>
          <w:tcPr>
            <w:tcW w:w="446" w:type="dxa"/>
          </w:tcPr>
          <w:p w14:paraId="1292125B"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17</w:t>
            </w:r>
          </w:p>
        </w:tc>
        <w:tc>
          <w:tcPr>
            <w:tcW w:w="828" w:type="dxa"/>
          </w:tcPr>
          <w:p w14:paraId="08D6F179"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01811B</w:t>
            </w:r>
          </w:p>
        </w:tc>
        <w:tc>
          <w:tcPr>
            <w:tcW w:w="342" w:type="dxa"/>
          </w:tcPr>
          <w:p w14:paraId="38FA5C37"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5</w:t>
            </w:r>
          </w:p>
        </w:tc>
        <w:tc>
          <w:tcPr>
            <w:tcW w:w="342" w:type="dxa"/>
          </w:tcPr>
          <w:p w14:paraId="77B078BA"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2</w:t>
            </w:r>
          </w:p>
        </w:tc>
        <w:tc>
          <w:tcPr>
            <w:tcW w:w="567" w:type="dxa"/>
          </w:tcPr>
          <w:p w14:paraId="4814741A"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2012</w:t>
            </w:r>
          </w:p>
        </w:tc>
        <w:tc>
          <w:tcPr>
            <w:tcW w:w="495" w:type="dxa"/>
          </w:tcPr>
          <w:p w14:paraId="53B6DF16"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04</w:t>
            </w:r>
          </w:p>
        </w:tc>
        <w:tc>
          <w:tcPr>
            <w:tcW w:w="567" w:type="dxa"/>
          </w:tcPr>
          <w:p w14:paraId="2999406F"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25</w:t>
            </w:r>
          </w:p>
        </w:tc>
        <w:tc>
          <w:tcPr>
            <w:tcW w:w="567" w:type="dxa"/>
          </w:tcPr>
          <w:p w14:paraId="7749BC4F"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01</w:t>
            </w:r>
          </w:p>
        </w:tc>
        <w:tc>
          <w:tcPr>
            <w:tcW w:w="657" w:type="dxa"/>
          </w:tcPr>
          <w:p w14:paraId="62CA28AB"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Blank</w:t>
            </w:r>
          </w:p>
        </w:tc>
        <w:tc>
          <w:tcPr>
            <w:tcW w:w="643" w:type="dxa"/>
          </w:tcPr>
          <w:p w14:paraId="00871FA3"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00011</w:t>
            </w:r>
          </w:p>
        </w:tc>
        <w:tc>
          <w:tcPr>
            <w:tcW w:w="495" w:type="dxa"/>
          </w:tcPr>
          <w:p w14:paraId="5AD558D3"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w:t>
            </w:r>
          </w:p>
        </w:tc>
        <w:tc>
          <w:tcPr>
            <w:tcW w:w="684" w:type="dxa"/>
          </w:tcPr>
          <w:p w14:paraId="45BD81BA"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00002</w:t>
            </w:r>
          </w:p>
        </w:tc>
        <w:tc>
          <w:tcPr>
            <w:tcW w:w="684" w:type="dxa"/>
          </w:tcPr>
          <w:p w14:paraId="1226912B"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00007</w:t>
            </w:r>
          </w:p>
        </w:tc>
        <w:tc>
          <w:tcPr>
            <w:tcW w:w="684" w:type="dxa"/>
          </w:tcPr>
          <w:p w14:paraId="6C9BD4DE"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00002</w:t>
            </w:r>
          </w:p>
        </w:tc>
      </w:tr>
      <w:tr w:rsidR="00B403C7" w:rsidRPr="004E1263" w14:paraId="3D685485" w14:textId="77777777" w:rsidTr="00E1261E">
        <w:trPr>
          <w:trHeight w:val="60"/>
        </w:trPr>
        <w:tc>
          <w:tcPr>
            <w:tcW w:w="1070" w:type="dxa"/>
          </w:tcPr>
          <w:p w14:paraId="541D4588" w14:textId="77777777" w:rsidR="009B7AED" w:rsidRPr="004E1263" w:rsidRDefault="009B7AED" w:rsidP="002841D0">
            <w:pPr>
              <w:pStyle w:val="TMGTable1"/>
              <w:spacing w:before="10" w:after="10"/>
              <w:jc w:val="left"/>
              <w:rPr>
                <w:rStyle w:val="Bold"/>
                <w:rFonts w:ascii="Calibri" w:hAnsi="Calibri" w:cs="Calibri"/>
                <w:sz w:val="20"/>
                <w:szCs w:val="20"/>
              </w:rPr>
            </w:pPr>
            <w:r w:rsidRPr="004E1263">
              <w:rPr>
                <w:rStyle w:val="Bold"/>
                <w:rFonts w:ascii="Calibri" w:hAnsi="Calibri" w:cs="Calibri"/>
                <w:sz w:val="20"/>
                <w:szCs w:val="20"/>
              </w:rPr>
              <w:t>Content 08 Example:</w:t>
            </w:r>
          </w:p>
        </w:tc>
        <w:tc>
          <w:tcPr>
            <w:tcW w:w="288" w:type="dxa"/>
          </w:tcPr>
          <w:p w14:paraId="02015577"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C</w:t>
            </w:r>
          </w:p>
        </w:tc>
        <w:tc>
          <w:tcPr>
            <w:tcW w:w="446" w:type="dxa"/>
          </w:tcPr>
          <w:p w14:paraId="08386EA8"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17</w:t>
            </w:r>
          </w:p>
        </w:tc>
        <w:tc>
          <w:tcPr>
            <w:tcW w:w="828" w:type="dxa"/>
          </w:tcPr>
          <w:p w14:paraId="77F9CDE4"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01811B</w:t>
            </w:r>
          </w:p>
        </w:tc>
        <w:tc>
          <w:tcPr>
            <w:tcW w:w="342" w:type="dxa"/>
          </w:tcPr>
          <w:p w14:paraId="455C90C4"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5</w:t>
            </w:r>
          </w:p>
        </w:tc>
        <w:tc>
          <w:tcPr>
            <w:tcW w:w="342" w:type="dxa"/>
          </w:tcPr>
          <w:p w14:paraId="0B2A7DF5"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1</w:t>
            </w:r>
          </w:p>
        </w:tc>
        <w:tc>
          <w:tcPr>
            <w:tcW w:w="567" w:type="dxa"/>
          </w:tcPr>
          <w:p w14:paraId="782ECFCE"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2012</w:t>
            </w:r>
          </w:p>
        </w:tc>
        <w:tc>
          <w:tcPr>
            <w:tcW w:w="495" w:type="dxa"/>
          </w:tcPr>
          <w:p w14:paraId="36E70DB1"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04</w:t>
            </w:r>
          </w:p>
        </w:tc>
        <w:tc>
          <w:tcPr>
            <w:tcW w:w="567" w:type="dxa"/>
          </w:tcPr>
          <w:p w14:paraId="590522E1"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25</w:t>
            </w:r>
          </w:p>
        </w:tc>
        <w:tc>
          <w:tcPr>
            <w:tcW w:w="567" w:type="dxa"/>
          </w:tcPr>
          <w:p w14:paraId="3517FAF0"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01</w:t>
            </w:r>
          </w:p>
        </w:tc>
        <w:tc>
          <w:tcPr>
            <w:tcW w:w="657" w:type="dxa"/>
          </w:tcPr>
          <w:p w14:paraId="7402A3EC"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Blank</w:t>
            </w:r>
          </w:p>
        </w:tc>
        <w:tc>
          <w:tcPr>
            <w:tcW w:w="643" w:type="dxa"/>
          </w:tcPr>
          <w:p w14:paraId="245793AA"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00057</w:t>
            </w:r>
          </w:p>
        </w:tc>
        <w:tc>
          <w:tcPr>
            <w:tcW w:w="495" w:type="dxa"/>
          </w:tcPr>
          <w:p w14:paraId="4EC8AF35"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w:t>
            </w:r>
          </w:p>
        </w:tc>
        <w:tc>
          <w:tcPr>
            <w:tcW w:w="684" w:type="dxa"/>
          </w:tcPr>
          <w:p w14:paraId="03F664EA"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00021</w:t>
            </w:r>
          </w:p>
        </w:tc>
        <w:tc>
          <w:tcPr>
            <w:tcW w:w="684" w:type="dxa"/>
          </w:tcPr>
          <w:p w14:paraId="1E8A24A0"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00029</w:t>
            </w:r>
          </w:p>
        </w:tc>
        <w:tc>
          <w:tcPr>
            <w:tcW w:w="684" w:type="dxa"/>
          </w:tcPr>
          <w:p w14:paraId="34ABC9C5" w14:textId="77777777" w:rsidR="009B7AED" w:rsidRPr="004E1263" w:rsidRDefault="009B7AED" w:rsidP="002841D0">
            <w:pPr>
              <w:pStyle w:val="TMGTable1"/>
              <w:spacing w:before="10" w:after="10"/>
              <w:rPr>
                <w:rFonts w:ascii="Calibri" w:hAnsi="Calibri" w:cs="Calibri"/>
                <w:sz w:val="20"/>
                <w:szCs w:val="20"/>
              </w:rPr>
            </w:pPr>
            <w:r w:rsidRPr="004E1263">
              <w:rPr>
                <w:rFonts w:ascii="Calibri" w:hAnsi="Calibri" w:cs="Calibri"/>
                <w:sz w:val="20"/>
                <w:szCs w:val="20"/>
              </w:rPr>
              <w:t>00007</w:t>
            </w:r>
          </w:p>
        </w:tc>
      </w:tr>
    </w:tbl>
    <w:p w14:paraId="3E3479B6" w14:textId="1FD750F2" w:rsidR="009B7AED" w:rsidRDefault="009B7AED" w:rsidP="000C48E4">
      <w:pPr>
        <w:pStyle w:val="TMGTableCaption"/>
        <w:keepNext w:val="0"/>
      </w:pPr>
      <w:bookmarkStart w:id="3034" w:name="_Ref113274400"/>
      <w:bookmarkStart w:id="3035" w:name="_Toc113282524"/>
      <w:bookmarkStart w:id="3036" w:name="_Toc114474861"/>
      <w:bookmarkStart w:id="3037" w:name="_Toc120631167"/>
      <w:r>
        <w:t xml:space="preserve">Table </w:t>
      </w:r>
      <w:fldSimple w:instr=" STYLEREF 1 \s ">
        <w:r w:rsidR="00C07DF9">
          <w:rPr>
            <w:noProof/>
          </w:rPr>
          <w:t>4</w:t>
        </w:r>
      </w:fldSimple>
      <w:r>
        <w:noBreakHyphen/>
      </w:r>
      <w:fldSimple w:instr=" SEQ Table \* ARABIC \s 1 ">
        <w:r w:rsidR="00C07DF9">
          <w:rPr>
            <w:noProof/>
          </w:rPr>
          <w:t>19</w:t>
        </w:r>
      </w:fldSimple>
      <w:bookmarkEnd w:id="3034"/>
      <w:r>
        <w:t xml:space="preserve">. Vehicle Classification Record Example </w:t>
      </w:r>
      <w:r w:rsidRPr="00417640">
        <w:t>(13 A</w:t>
      </w:r>
      <w:r>
        <w:t>xle-</w:t>
      </w:r>
      <w:r w:rsidRPr="00417640">
        <w:t>C</w:t>
      </w:r>
      <w:r>
        <w:t>lass</w:t>
      </w:r>
      <w:r w:rsidRPr="00417640">
        <w:t xml:space="preserve"> B</w:t>
      </w:r>
      <w:r>
        <w:t>ins</w:t>
      </w:r>
      <w:r w:rsidRPr="00417640">
        <w:t>, 2 L</w:t>
      </w:r>
      <w:r>
        <w:t>anes with</w:t>
      </w:r>
      <w:r w:rsidRPr="00417640">
        <w:t xml:space="preserve"> L</w:t>
      </w:r>
      <w:r>
        <w:t>anes or</w:t>
      </w:r>
      <w:r w:rsidRPr="00417640">
        <w:t xml:space="preserve"> D</w:t>
      </w:r>
      <w:r>
        <w:t>irections</w:t>
      </w:r>
      <w:r w:rsidRPr="00417640">
        <w:t xml:space="preserve"> </w:t>
      </w:r>
      <w:r>
        <w:t>not</w:t>
      </w:r>
      <w:r w:rsidRPr="00417640">
        <w:t xml:space="preserve"> C</w:t>
      </w:r>
      <w:r>
        <w:t>ombined</w:t>
      </w:r>
      <w:r w:rsidRPr="00417640">
        <w:t xml:space="preserve"> </w:t>
      </w:r>
      <w:r>
        <w:t>at</w:t>
      </w:r>
      <w:r w:rsidRPr="00417640">
        <w:t xml:space="preserve"> 15-M</w:t>
      </w:r>
      <w:r>
        <w:t>inute</w:t>
      </w:r>
      <w:r w:rsidRPr="00417640">
        <w:t xml:space="preserve"> I</w:t>
      </w:r>
      <w:r>
        <w:t>nterval</w:t>
      </w:r>
      <w:r w:rsidRPr="00417640">
        <w:t xml:space="preserve">) </w:t>
      </w:r>
      <w:r>
        <w:t>– Fixed Width Format</w:t>
      </w:r>
      <w:bookmarkEnd w:id="3035"/>
      <w:bookmarkEnd w:id="3036"/>
      <w:bookmarkEnd w:id="3037"/>
    </w:p>
    <w:tbl>
      <w:tblPr>
        <w:tblStyle w:val="TMGTable"/>
        <w:tblW w:w="9368"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070"/>
        <w:gridCol w:w="362"/>
        <w:gridCol w:w="381"/>
        <w:gridCol w:w="747"/>
        <w:gridCol w:w="324"/>
        <w:gridCol w:w="369"/>
        <w:gridCol w:w="572"/>
        <w:gridCol w:w="521"/>
        <w:gridCol w:w="522"/>
        <w:gridCol w:w="522"/>
        <w:gridCol w:w="360"/>
        <w:gridCol w:w="720"/>
        <w:gridCol w:w="360"/>
        <w:gridCol w:w="634"/>
        <w:gridCol w:w="635"/>
        <w:gridCol w:w="634"/>
        <w:gridCol w:w="635"/>
      </w:tblGrid>
      <w:tr w:rsidR="000C48E4" w:rsidRPr="000C48E4" w14:paraId="252682B4" w14:textId="77777777" w:rsidTr="00E1261E">
        <w:trPr>
          <w:cnfStyle w:val="100000000000" w:firstRow="1" w:lastRow="0" w:firstColumn="0" w:lastColumn="0" w:oddVBand="0" w:evenVBand="0" w:oddHBand="0" w:evenHBand="0" w:firstRowFirstColumn="0" w:firstRowLastColumn="0" w:lastRowFirstColumn="0" w:lastRowLastColumn="0"/>
          <w:trHeight w:val="60"/>
        </w:trPr>
        <w:tc>
          <w:tcPr>
            <w:tcW w:w="1070" w:type="dxa"/>
          </w:tcPr>
          <w:p w14:paraId="7E2E06A4" w14:textId="77777777" w:rsidR="009B7AED" w:rsidRPr="000C48E4" w:rsidRDefault="009B7AED" w:rsidP="002841D0">
            <w:pPr>
              <w:pStyle w:val="TMGTable1"/>
              <w:keepNext w:val="0"/>
              <w:suppressAutoHyphens w:val="0"/>
              <w:spacing w:before="10" w:after="10"/>
              <w:jc w:val="left"/>
              <w:rPr>
                <w:rFonts w:ascii="Calibri" w:hAnsi="Calibri" w:cs="Calibri"/>
                <w:b w:val="0"/>
                <w:bCs w:val="0"/>
                <w:sz w:val="20"/>
                <w:szCs w:val="20"/>
              </w:rPr>
            </w:pPr>
            <w:r w:rsidRPr="000C48E4">
              <w:rPr>
                <w:rStyle w:val="Bold"/>
                <w:rFonts w:ascii="Calibri" w:hAnsi="Calibri" w:cs="Calibri"/>
                <w:sz w:val="20"/>
                <w:szCs w:val="20"/>
              </w:rPr>
              <w:t>Column Number:</w:t>
            </w:r>
          </w:p>
        </w:tc>
        <w:tc>
          <w:tcPr>
            <w:tcW w:w="362" w:type="dxa"/>
          </w:tcPr>
          <w:p w14:paraId="46C1C560" w14:textId="77777777" w:rsidR="009B7AED" w:rsidRPr="000C48E4" w:rsidRDefault="009B7AED" w:rsidP="002841D0">
            <w:pPr>
              <w:pStyle w:val="TMGTable1"/>
              <w:keepNext w:val="0"/>
              <w:suppressAutoHyphens w:val="0"/>
              <w:spacing w:before="10" w:after="10"/>
              <w:rPr>
                <w:rFonts w:ascii="Calibri" w:hAnsi="Calibri" w:cs="Calibri"/>
                <w:b w:val="0"/>
                <w:bCs w:val="0"/>
                <w:sz w:val="20"/>
                <w:szCs w:val="20"/>
              </w:rPr>
            </w:pPr>
            <w:r w:rsidRPr="000C48E4">
              <w:rPr>
                <w:rFonts w:ascii="Calibri" w:hAnsi="Calibri" w:cs="Calibri"/>
                <w:sz w:val="20"/>
                <w:szCs w:val="20"/>
              </w:rPr>
              <w:t>1</w:t>
            </w:r>
          </w:p>
        </w:tc>
        <w:tc>
          <w:tcPr>
            <w:tcW w:w="381" w:type="dxa"/>
          </w:tcPr>
          <w:p w14:paraId="12BDE133" w14:textId="77777777" w:rsidR="009B7AED" w:rsidRPr="000C48E4" w:rsidRDefault="009B7AED" w:rsidP="002841D0">
            <w:pPr>
              <w:pStyle w:val="TMGTable1"/>
              <w:keepNext w:val="0"/>
              <w:suppressAutoHyphens w:val="0"/>
              <w:spacing w:before="10" w:after="10"/>
              <w:rPr>
                <w:rFonts w:ascii="Calibri" w:hAnsi="Calibri" w:cs="Calibri"/>
                <w:b w:val="0"/>
                <w:bCs w:val="0"/>
                <w:sz w:val="20"/>
                <w:szCs w:val="20"/>
              </w:rPr>
            </w:pPr>
            <w:r w:rsidRPr="000C48E4">
              <w:rPr>
                <w:rFonts w:ascii="Calibri" w:hAnsi="Calibri" w:cs="Calibri"/>
                <w:sz w:val="20"/>
                <w:szCs w:val="20"/>
              </w:rPr>
              <w:t>2-3</w:t>
            </w:r>
          </w:p>
        </w:tc>
        <w:tc>
          <w:tcPr>
            <w:tcW w:w="747" w:type="dxa"/>
          </w:tcPr>
          <w:p w14:paraId="19751588" w14:textId="77777777" w:rsidR="009B7AED" w:rsidRPr="000C48E4" w:rsidRDefault="009B7AED" w:rsidP="002841D0">
            <w:pPr>
              <w:pStyle w:val="TMGTable1"/>
              <w:keepNext w:val="0"/>
              <w:suppressAutoHyphens w:val="0"/>
              <w:spacing w:before="10" w:after="10"/>
              <w:rPr>
                <w:rFonts w:ascii="Calibri" w:hAnsi="Calibri" w:cs="Calibri"/>
                <w:b w:val="0"/>
                <w:bCs w:val="0"/>
                <w:sz w:val="20"/>
                <w:szCs w:val="20"/>
              </w:rPr>
            </w:pPr>
            <w:r w:rsidRPr="000C48E4">
              <w:rPr>
                <w:rFonts w:ascii="Calibri" w:hAnsi="Calibri" w:cs="Calibri"/>
                <w:sz w:val="20"/>
                <w:szCs w:val="20"/>
              </w:rPr>
              <w:t>4-9</w:t>
            </w:r>
          </w:p>
        </w:tc>
        <w:tc>
          <w:tcPr>
            <w:tcW w:w="324" w:type="dxa"/>
          </w:tcPr>
          <w:p w14:paraId="3BC7B821" w14:textId="77777777" w:rsidR="009B7AED" w:rsidRPr="000C48E4" w:rsidRDefault="009B7AED" w:rsidP="002841D0">
            <w:pPr>
              <w:pStyle w:val="TMGTable1"/>
              <w:keepNext w:val="0"/>
              <w:suppressAutoHyphens w:val="0"/>
              <w:spacing w:before="10" w:after="10"/>
              <w:rPr>
                <w:rFonts w:ascii="Calibri" w:hAnsi="Calibri" w:cs="Calibri"/>
                <w:b w:val="0"/>
                <w:bCs w:val="0"/>
                <w:sz w:val="20"/>
                <w:szCs w:val="20"/>
              </w:rPr>
            </w:pPr>
            <w:r w:rsidRPr="000C48E4">
              <w:rPr>
                <w:rFonts w:ascii="Calibri" w:hAnsi="Calibri" w:cs="Calibri"/>
                <w:sz w:val="20"/>
                <w:szCs w:val="20"/>
              </w:rPr>
              <w:t>10</w:t>
            </w:r>
          </w:p>
        </w:tc>
        <w:tc>
          <w:tcPr>
            <w:tcW w:w="369" w:type="dxa"/>
          </w:tcPr>
          <w:p w14:paraId="77EFACE4" w14:textId="77777777" w:rsidR="009B7AED" w:rsidRPr="000C48E4" w:rsidRDefault="009B7AED" w:rsidP="002841D0">
            <w:pPr>
              <w:pStyle w:val="TMGTable1"/>
              <w:keepNext w:val="0"/>
              <w:suppressAutoHyphens w:val="0"/>
              <w:spacing w:before="10" w:after="10"/>
              <w:rPr>
                <w:rFonts w:ascii="Calibri" w:hAnsi="Calibri" w:cs="Calibri"/>
                <w:b w:val="0"/>
                <w:bCs w:val="0"/>
                <w:sz w:val="20"/>
                <w:szCs w:val="20"/>
              </w:rPr>
            </w:pPr>
            <w:r w:rsidRPr="000C48E4">
              <w:rPr>
                <w:rFonts w:ascii="Calibri" w:hAnsi="Calibri" w:cs="Calibri"/>
                <w:sz w:val="20"/>
                <w:szCs w:val="20"/>
              </w:rPr>
              <w:t>11</w:t>
            </w:r>
          </w:p>
        </w:tc>
        <w:tc>
          <w:tcPr>
            <w:tcW w:w="572" w:type="dxa"/>
          </w:tcPr>
          <w:p w14:paraId="40C89E0A" w14:textId="77777777" w:rsidR="009B7AED" w:rsidRPr="000C48E4" w:rsidRDefault="009B7AED" w:rsidP="002841D0">
            <w:pPr>
              <w:pStyle w:val="TMGTable1"/>
              <w:keepNext w:val="0"/>
              <w:suppressAutoHyphens w:val="0"/>
              <w:spacing w:before="10" w:after="10"/>
              <w:rPr>
                <w:rFonts w:ascii="Calibri" w:hAnsi="Calibri" w:cs="Calibri"/>
                <w:b w:val="0"/>
                <w:bCs w:val="0"/>
                <w:sz w:val="20"/>
                <w:szCs w:val="20"/>
              </w:rPr>
            </w:pPr>
            <w:r w:rsidRPr="000C48E4">
              <w:rPr>
                <w:rFonts w:ascii="Calibri" w:hAnsi="Calibri" w:cs="Calibri"/>
                <w:sz w:val="20"/>
                <w:szCs w:val="20"/>
              </w:rPr>
              <w:t>12-15</w:t>
            </w:r>
          </w:p>
        </w:tc>
        <w:tc>
          <w:tcPr>
            <w:tcW w:w="521" w:type="dxa"/>
          </w:tcPr>
          <w:p w14:paraId="6B63BF2B" w14:textId="77777777" w:rsidR="009B7AED" w:rsidRPr="000C48E4" w:rsidRDefault="009B7AED" w:rsidP="002841D0">
            <w:pPr>
              <w:pStyle w:val="TMGTable1"/>
              <w:keepNext w:val="0"/>
              <w:suppressAutoHyphens w:val="0"/>
              <w:spacing w:before="10" w:after="10"/>
              <w:rPr>
                <w:rFonts w:ascii="Calibri" w:hAnsi="Calibri" w:cs="Calibri"/>
                <w:b w:val="0"/>
                <w:bCs w:val="0"/>
                <w:sz w:val="20"/>
                <w:szCs w:val="20"/>
              </w:rPr>
            </w:pPr>
            <w:r w:rsidRPr="000C48E4">
              <w:rPr>
                <w:rFonts w:ascii="Calibri" w:hAnsi="Calibri" w:cs="Calibri"/>
                <w:sz w:val="20"/>
                <w:szCs w:val="20"/>
              </w:rPr>
              <w:t>16-17</w:t>
            </w:r>
          </w:p>
        </w:tc>
        <w:tc>
          <w:tcPr>
            <w:tcW w:w="522" w:type="dxa"/>
          </w:tcPr>
          <w:p w14:paraId="6CA9D725" w14:textId="77777777" w:rsidR="009B7AED" w:rsidRPr="000C48E4" w:rsidRDefault="009B7AED" w:rsidP="002841D0">
            <w:pPr>
              <w:pStyle w:val="TMGTable1"/>
              <w:keepNext w:val="0"/>
              <w:suppressAutoHyphens w:val="0"/>
              <w:spacing w:before="10" w:after="10"/>
              <w:rPr>
                <w:rFonts w:ascii="Calibri" w:hAnsi="Calibri" w:cs="Calibri"/>
                <w:b w:val="0"/>
                <w:bCs w:val="0"/>
                <w:sz w:val="20"/>
                <w:szCs w:val="20"/>
              </w:rPr>
            </w:pPr>
            <w:r w:rsidRPr="000C48E4">
              <w:rPr>
                <w:rFonts w:ascii="Calibri" w:hAnsi="Calibri" w:cs="Calibri"/>
                <w:sz w:val="20"/>
                <w:szCs w:val="20"/>
              </w:rPr>
              <w:t>18-19</w:t>
            </w:r>
          </w:p>
        </w:tc>
        <w:tc>
          <w:tcPr>
            <w:tcW w:w="522" w:type="dxa"/>
          </w:tcPr>
          <w:p w14:paraId="4AAF9077" w14:textId="77777777" w:rsidR="009B7AED" w:rsidRPr="000C48E4" w:rsidRDefault="009B7AED" w:rsidP="002841D0">
            <w:pPr>
              <w:pStyle w:val="TMGTable1"/>
              <w:keepNext w:val="0"/>
              <w:suppressAutoHyphens w:val="0"/>
              <w:spacing w:before="10" w:after="10"/>
              <w:rPr>
                <w:rFonts w:ascii="Calibri" w:hAnsi="Calibri" w:cs="Calibri"/>
                <w:b w:val="0"/>
                <w:bCs w:val="0"/>
                <w:sz w:val="20"/>
                <w:szCs w:val="20"/>
              </w:rPr>
            </w:pPr>
            <w:r w:rsidRPr="000C48E4">
              <w:rPr>
                <w:rFonts w:ascii="Calibri" w:hAnsi="Calibri" w:cs="Calibri"/>
                <w:sz w:val="20"/>
                <w:szCs w:val="20"/>
              </w:rPr>
              <w:t>20-21</w:t>
            </w:r>
          </w:p>
        </w:tc>
        <w:tc>
          <w:tcPr>
            <w:tcW w:w="360" w:type="dxa"/>
          </w:tcPr>
          <w:p w14:paraId="4C45FFF8" w14:textId="77777777" w:rsidR="009B7AED" w:rsidRPr="000C48E4" w:rsidRDefault="009B7AED" w:rsidP="002841D0">
            <w:pPr>
              <w:pStyle w:val="TMGTable1"/>
              <w:keepNext w:val="0"/>
              <w:suppressAutoHyphens w:val="0"/>
              <w:spacing w:before="10" w:after="10"/>
              <w:rPr>
                <w:rFonts w:ascii="Calibri" w:hAnsi="Calibri" w:cs="Calibri"/>
                <w:b w:val="0"/>
                <w:bCs w:val="0"/>
                <w:sz w:val="20"/>
                <w:szCs w:val="20"/>
              </w:rPr>
            </w:pPr>
            <w:r w:rsidRPr="000C48E4">
              <w:rPr>
                <w:rFonts w:ascii="Calibri" w:hAnsi="Calibri" w:cs="Calibri"/>
                <w:sz w:val="20"/>
                <w:szCs w:val="20"/>
              </w:rPr>
              <w:t>22</w:t>
            </w:r>
          </w:p>
        </w:tc>
        <w:tc>
          <w:tcPr>
            <w:tcW w:w="720" w:type="dxa"/>
          </w:tcPr>
          <w:p w14:paraId="3479A5A9" w14:textId="77777777" w:rsidR="009B7AED" w:rsidRPr="000C48E4" w:rsidRDefault="009B7AED" w:rsidP="002841D0">
            <w:pPr>
              <w:pStyle w:val="TMGTable1"/>
              <w:keepNext w:val="0"/>
              <w:suppressAutoHyphens w:val="0"/>
              <w:spacing w:before="10" w:after="10"/>
              <w:rPr>
                <w:rFonts w:ascii="Calibri" w:hAnsi="Calibri" w:cs="Calibri"/>
                <w:b w:val="0"/>
                <w:bCs w:val="0"/>
                <w:sz w:val="20"/>
                <w:szCs w:val="20"/>
              </w:rPr>
            </w:pPr>
            <w:r w:rsidRPr="000C48E4">
              <w:rPr>
                <w:rFonts w:ascii="Calibri" w:hAnsi="Calibri" w:cs="Calibri"/>
                <w:sz w:val="20"/>
                <w:szCs w:val="20"/>
              </w:rPr>
              <w:t>23-27</w:t>
            </w:r>
          </w:p>
        </w:tc>
        <w:tc>
          <w:tcPr>
            <w:tcW w:w="360" w:type="dxa"/>
          </w:tcPr>
          <w:p w14:paraId="39D512B2" w14:textId="77777777" w:rsidR="009B7AED" w:rsidRPr="000C48E4" w:rsidRDefault="009B7AED" w:rsidP="002841D0">
            <w:pPr>
              <w:pStyle w:val="TMGTable1"/>
              <w:keepNext w:val="0"/>
              <w:suppressAutoHyphens w:val="0"/>
              <w:spacing w:before="10" w:after="10"/>
              <w:rPr>
                <w:rFonts w:ascii="Calibri" w:hAnsi="Calibri" w:cs="Calibri"/>
                <w:b w:val="0"/>
                <w:bCs w:val="0"/>
                <w:sz w:val="20"/>
                <w:szCs w:val="20"/>
              </w:rPr>
            </w:pPr>
            <w:r w:rsidRPr="000C48E4">
              <w:rPr>
                <w:rFonts w:ascii="Calibri" w:hAnsi="Calibri" w:cs="Calibri"/>
                <w:sz w:val="20"/>
                <w:szCs w:val="20"/>
              </w:rPr>
              <w:t>28</w:t>
            </w:r>
          </w:p>
        </w:tc>
        <w:tc>
          <w:tcPr>
            <w:tcW w:w="634" w:type="dxa"/>
          </w:tcPr>
          <w:p w14:paraId="3E3B0963" w14:textId="77777777" w:rsidR="009B7AED" w:rsidRPr="000C48E4" w:rsidRDefault="009B7AED" w:rsidP="002841D0">
            <w:pPr>
              <w:pStyle w:val="TMGTable1"/>
              <w:keepNext w:val="0"/>
              <w:suppressAutoHyphens w:val="0"/>
              <w:spacing w:before="10" w:after="10"/>
              <w:rPr>
                <w:rFonts w:ascii="Calibri" w:hAnsi="Calibri" w:cs="Calibri"/>
                <w:b w:val="0"/>
                <w:bCs w:val="0"/>
                <w:sz w:val="20"/>
                <w:szCs w:val="20"/>
              </w:rPr>
            </w:pPr>
            <w:r w:rsidRPr="000C48E4">
              <w:rPr>
                <w:rFonts w:ascii="Calibri" w:hAnsi="Calibri" w:cs="Calibri"/>
                <w:sz w:val="20"/>
                <w:szCs w:val="20"/>
              </w:rPr>
              <w:t>29-33</w:t>
            </w:r>
          </w:p>
        </w:tc>
        <w:tc>
          <w:tcPr>
            <w:tcW w:w="635" w:type="dxa"/>
          </w:tcPr>
          <w:p w14:paraId="79E3E2D1" w14:textId="77777777" w:rsidR="009B7AED" w:rsidRPr="000C48E4" w:rsidRDefault="009B7AED" w:rsidP="002841D0">
            <w:pPr>
              <w:pStyle w:val="TMGTable1"/>
              <w:keepNext w:val="0"/>
              <w:suppressAutoHyphens w:val="0"/>
              <w:spacing w:before="10" w:after="10"/>
              <w:rPr>
                <w:rFonts w:ascii="Calibri" w:hAnsi="Calibri" w:cs="Calibri"/>
                <w:b w:val="0"/>
                <w:bCs w:val="0"/>
                <w:sz w:val="20"/>
                <w:szCs w:val="20"/>
              </w:rPr>
            </w:pPr>
            <w:r w:rsidRPr="000C48E4">
              <w:rPr>
                <w:rFonts w:ascii="Calibri" w:hAnsi="Calibri" w:cs="Calibri"/>
                <w:sz w:val="20"/>
                <w:szCs w:val="20"/>
              </w:rPr>
              <w:t>34-38</w:t>
            </w:r>
          </w:p>
        </w:tc>
        <w:tc>
          <w:tcPr>
            <w:tcW w:w="634" w:type="dxa"/>
          </w:tcPr>
          <w:p w14:paraId="3681738C" w14:textId="77777777" w:rsidR="009B7AED" w:rsidRPr="000C48E4" w:rsidRDefault="009B7AED" w:rsidP="002841D0">
            <w:pPr>
              <w:pStyle w:val="TMGTable1"/>
              <w:keepNext w:val="0"/>
              <w:suppressAutoHyphens w:val="0"/>
              <w:spacing w:before="10" w:after="10"/>
              <w:rPr>
                <w:rFonts w:ascii="Calibri" w:hAnsi="Calibri" w:cs="Calibri"/>
                <w:b w:val="0"/>
                <w:bCs w:val="0"/>
                <w:sz w:val="20"/>
                <w:szCs w:val="20"/>
              </w:rPr>
            </w:pPr>
            <w:r w:rsidRPr="000C48E4">
              <w:rPr>
                <w:rFonts w:ascii="Calibri" w:hAnsi="Calibri" w:cs="Calibri"/>
                <w:sz w:val="20"/>
                <w:szCs w:val="20"/>
              </w:rPr>
              <w:t>39-43</w:t>
            </w:r>
          </w:p>
        </w:tc>
        <w:tc>
          <w:tcPr>
            <w:tcW w:w="635" w:type="dxa"/>
          </w:tcPr>
          <w:p w14:paraId="1F3A9302" w14:textId="77777777" w:rsidR="009B7AED" w:rsidRPr="000C48E4" w:rsidRDefault="009B7AED" w:rsidP="002841D0">
            <w:pPr>
              <w:pStyle w:val="TMGTable1"/>
              <w:keepNext w:val="0"/>
              <w:suppressAutoHyphens w:val="0"/>
              <w:spacing w:before="10" w:after="10"/>
              <w:rPr>
                <w:rFonts w:ascii="Calibri" w:hAnsi="Calibri" w:cs="Calibri"/>
                <w:b w:val="0"/>
                <w:bCs w:val="0"/>
                <w:sz w:val="20"/>
                <w:szCs w:val="20"/>
              </w:rPr>
            </w:pPr>
            <w:r w:rsidRPr="000C48E4">
              <w:rPr>
                <w:rFonts w:ascii="Calibri" w:hAnsi="Calibri" w:cs="Calibri"/>
                <w:sz w:val="20"/>
                <w:szCs w:val="20"/>
              </w:rPr>
              <w:t>44-48</w:t>
            </w:r>
          </w:p>
        </w:tc>
      </w:tr>
      <w:tr w:rsidR="000C48E4" w:rsidRPr="000C48E4" w14:paraId="6E2E51CB" w14:textId="77777777" w:rsidTr="00E1261E">
        <w:trPr>
          <w:trHeight w:val="60"/>
        </w:trPr>
        <w:tc>
          <w:tcPr>
            <w:tcW w:w="1070" w:type="dxa"/>
          </w:tcPr>
          <w:p w14:paraId="5170F819" w14:textId="77777777" w:rsidR="009B7AED" w:rsidRPr="000C48E4" w:rsidRDefault="009B7AED" w:rsidP="002841D0">
            <w:pPr>
              <w:pStyle w:val="TMGTable1"/>
              <w:keepNext w:val="0"/>
              <w:suppressAutoHyphens w:val="0"/>
              <w:spacing w:before="10" w:after="10"/>
              <w:jc w:val="left"/>
              <w:rPr>
                <w:rFonts w:ascii="Calibri" w:hAnsi="Calibri" w:cs="Calibri"/>
                <w:sz w:val="20"/>
                <w:szCs w:val="20"/>
              </w:rPr>
            </w:pPr>
            <w:r w:rsidRPr="000C48E4">
              <w:rPr>
                <w:rStyle w:val="Bold"/>
                <w:rFonts w:ascii="Calibri" w:hAnsi="Calibri" w:cs="Calibri"/>
                <w:sz w:val="20"/>
                <w:szCs w:val="20"/>
              </w:rPr>
              <w:t>Content 01 Example:</w:t>
            </w:r>
          </w:p>
        </w:tc>
        <w:tc>
          <w:tcPr>
            <w:tcW w:w="362" w:type="dxa"/>
          </w:tcPr>
          <w:p w14:paraId="75EAC693"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C</w:t>
            </w:r>
          </w:p>
        </w:tc>
        <w:tc>
          <w:tcPr>
            <w:tcW w:w="381" w:type="dxa"/>
          </w:tcPr>
          <w:p w14:paraId="4AD0DA08"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17</w:t>
            </w:r>
          </w:p>
        </w:tc>
        <w:tc>
          <w:tcPr>
            <w:tcW w:w="747" w:type="dxa"/>
          </w:tcPr>
          <w:p w14:paraId="49493CA6"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018140</w:t>
            </w:r>
          </w:p>
        </w:tc>
        <w:tc>
          <w:tcPr>
            <w:tcW w:w="324" w:type="dxa"/>
          </w:tcPr>
          <w:p w14:paraId="19A87AAF"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3</w:t>
            </w:r>
          </w:p>
        </w:tc>
        <w:tc>
          <w:tcPr>
            <w:tcW w:w="369" w:type="dxa"/>
          </w:tcPr>
          <w:p w14:paraId="6F773EE6"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1</w:t>
            </w:r>
          </w:p>
        </w:tc>
        <w:tc>
          <w:tcPr>
            <w:tcW w:w="572" w:type="dxa"/>
          </w:tcPr>
          <w:p w14:paraId="4CB4E7A7"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2012</w:t>
            </w:r>
          </w:p>
        </w:tc>
        <w:tc>
          <w:tcPr>
            <w:tcW w:w="521" w:type="dxa"/>
          </w:tcPr>
          <w:p w14:paraId="5327D34C"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12</w:t>
            </w:r>
          </w:p>
        </w:tc>
        <w:tc>
          <w:tcPr>
            <w:tcW w:w="522" w:type="dxa"/>
          </w:tcPr>
          <w:p w14:paraId="39E1FE73"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01</w:t>
            </w:r>
          </w:p>
        </w:tc>
        <w:tc>
          <w:tcPr>
            <w:tcW w:w="522" w:type="dxa"/>
          </w:tcPr>
          <w:p w14:paraId="2DEB5493"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w:t>
            </w:r>
          </w:p>
        </w:tc>
        <w:tc>
          <w:tcPr>
            <w:tcW w:w="360" w:type="dxa"/>
          </w:tcPr>
          <w:p w14:paraId="38185A3A"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1</w:t>
            </w:r>
          </w:p>
        </w:tc>
        <w:tc>
          <w:tcPr>
            <w:tcW w:w="720" w:type="dxa"/>
          </w:tcPr>
          <w:p w14:paraId="194A4035"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00054</w:t>
            </w:r>
          </w:p>
        </w:tc>
        <w:tc>
          <w:tcPr>
            <w:tcW w:w="360" w:type="dxa"/>
          </w:tcPr>
          <w:p w14:paraId="508E02A0"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w:t>
            </w:r>
          </w:p>
        </w:tc>
        <w:tc>
          <w:tcPr>
            <w:tcW w:w="634" w:type="dxa"/>
          </w:tcPr>
          <w:p w14:paraId="73079800"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00000</w:t>
            </w:r>
          </w:p>
        </w:tc>
        <w:tc>
          <w:tcPr>
            <w:tcW w:w="635" w:type="dxa"/>
          </w:tcPr>
          <w:p w14:paraId="055F3D14"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00037</w:t>
            </w:r>
          </w:p>
        </w:tc>
        <w:tc>
          <w:tcPr>
            <w:tcW w:w="634" w:type="dxa"/>
          </w:tcPr>
          <w:p w14:paraId="31B6CC28"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00006</w:t>
            </w:r>
          </w:p>
        </w:tc>
        <w:tc>
          <w:tcPr>
            <w:tcW w:w="635" w:type="dxa"/>
          </w:tcPr>
          <w:p w14:paraId="4CC2F498"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00000</w:t>
            </w:r>
          </w:p>
        </w:tc>
      </w:tr>
      <w:tr w:rsidR="000C48E4" w:rsidRPr="000C48E4" w14:paraId="0223DC26" w14:textId="77777777" w:rsidTr="00E1261E">
        <w:trPr>
          <w:trHeight w:val="60"/>
        </w:trPr>
        <w:tc>
          <w:tcPr>
            <w:tcW w:w="1070" w:type="dxa"/>
          </w:tcPr>
          <w:p w14:paraId="0204CC24" w14:textId="77777777" w:rsidR="009B7AED" w:rsidRPr="000C48E4" w:rsidRDefault="009B7AED" w:rsidP="002841D0">
            <w:pPr>
              <w:pStyle w:val="TMGTable1"/>
              <w:keepNext w:val="0"/>
              <w:suppressAutoHyphens w:val="0"/>
              <w:spacing w:before="10" w:after="10"/>
              <w:jc w:val="left"/>
              <w:rPr>
                <w:rFonts w:ascii="Calibri" w:hAnsi="Calibri" w:cs="Calibri"/>
                <w:color w:val="auto"/>
                <w:sz w:val="20"/>
                <w:szCs w:val="20"/>
              </w:rPr>
            </w:pPr>
            <w:r w:rsidRPr="000C48E4">
              <w:rPr>
                <w:rStyle w:val="Bold"/>
                <w:rFonts w:ascii="Calibri" w:hAnsi="Calibri" w:cs="Calibri"/>
                <w:sz w:val="20"/>
                <w:szCs w:val="20"/>
              </w:rPr>
              <w:t>Content 02 Example:</w:t>
            </w:r>
          </w:p>
        </w:tc>
        <w:tc>
          <w:tcPr>
            <w:tcW w:w="362" w:type="dxa"/>
          </w:tcPr>
          <w:p w14:paraId="0D182A11"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C</w:t>
            </w:r>
          </w:p>
        </w:tc>
        <w:tc>
          <w:tcPr>
            <w:tcW w:w="381" w:type="dxa"/>
          </w:tcPr>
          <w:p w14:paraId="73128F5D"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17</w:t>
            </w:r>
          </w:p>
        </w:tc>
        <w:tc>
          <w:tcPr>
            <w:tcW w:w="747" w:type="dxa"/>
          </w:tcPr>
          <w:p w14:paraId="2A12D4AB"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018140</w:t>
            </w:r>
          </w:p>
        </w:tc>
        <w:tc>
          <w:tcPr>
            <w:tcW w:w="324" w:type="dxa"/>
          </w:tcPr>
          <w:p w14:paraId="2F75726C"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7</w:t>
            </w:r>
          </w:p>
        </w:tc>
        <w:tc>
          <w:tcPr>
            <w:tcW w:w="369" w:type="dxa"/>
          </w:tcPr>
          <w:p w14:paraId="47B36BF4"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1</w:t>
            </w:r>
          </w:p>
        </w:tc>
        <w:tc>
          <w:tcPr>
            <w:tcW w:w="572" w:type="dxa"/>
          </w:tcPr>
          <w:p w14:paraId="49415DDC"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2012</w:t>
            </w:r>
          </w:p>
        </w:tc>
        <w:tc>
          <w:tcPr>
            <w:tcW w:w="521" w:type="dxa"/>
          </w:tcPr>
          <w:p w14:paraId="6BBAA22D"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12</w:t>
            </w:r>
          </w:p>
        </w:tc>
        <w:tc>
          <w:tcPr>
            <w:tcW w:w="522" w:type="dxa"/>
          </w:tcPr>
          <w:p w14:paraId="71EC8FB5"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01</w:t>
            </w:r>
          </w:p>
        </w:tc>
        <w:tc>
          <w:tcPr>
            <w:tcW w:w="522" w:type="dxa"/>
          </w:tcPr>
          <w:p w14:paraId="1B51FA3C"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w:t>
            </w:r>
          </w:p>
        </w:tc>
        <w:tc>
          <w:tcPr>
            <w:tcW w:w="360" w:type="dxa"/>
          </w:tcPr>
          <w:p w14:paraId="32F97D6E"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1</w:t>
            </w:r>
          </w:p>
        </w:tc>
        <w:tc>
          <w:tcPr>
            <w:tcW w:w="720" w:type="dxa"/>
          </w:tcPr>
          <w:p w14:paraId="284DB031"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00055</w:t>
            </w:r>
          </w:p>
        </w:tc>
        <w:tc>
          <w:tcPr>
            <w:tcW w:w="360" w:type="dxa"/>
          </w:tcPr>
          <w:p w14:paraId="476D095D"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w:t>
            </w:r>
          </w:p>
        </w:tc>
        <w:tc>
          <w:tcPr>
            <w:tcW w:w="634" w:type="dxa"/>
          </w:tcPr>
          <w:p w14:paraId="3D0D0C27"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00001</w:t>
            </w:r>
          </w:p>
        </w:tc>
        <w:tc>
          <w:tcPr>
            <w:tcW w:w="635" w:type="dxa"/>
          </w:tcPr>
          <w:p w14:paraId="38980611"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00038</w:t>
            </w:r>
          </w:p>
        </w:tc>
        <w:tc>
          <w:tcPr>
            <w:tcW w:w="634" w:type="dxa"/>
          </w:tcPr>
          <w:p w14:paraId="3B2D821C"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00009</w:t>
            </w:r>
          </w:p>
        </w:tc>
        <w:tc>
          <w:tcPr>
            <w:tcW w:w="635" w:type="dxa"/>
          </w:tcPr>
          <w:p w14:paraId="5BE52E08"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00000</w:t>
            </w:r>
          </w:p>
        </w:tc>
      </w:tr>
      <w:tr w:rsidR="000C48E4" w:rsidRPr="000C48E4" w14:paraId="30C4AD80" w14:textId="77777777" w:rsidTr="00E1261E">
        <w:trPr>
          <w:trHeight w:val="60"/>
        </w:trPr>
        <w:tc>
          <w:tcPr>
            <w:tcW w:w="1070" w:type="dxa"/>
          </w:tcPr>
          <w:p w14:paraId="34C15F38" w14:textId="77777777" w:rsidR="009B7AED" w:rsidRPr="000C48E4" w:rsidRDefault="009B7AED" w:rsidP="002841D0">
            <w:pPr>
              <w:pStyle w:val="TMGTable1"/>
              <w:keepNext w:val="0"/>
              <w:suppressAutoHyphens w:val="0"/>
              <w:spacing w:before="10" w:after="10"/>
              <w:jc w:val="left"/>
              <w:rPr>
                <w:rFonts w:ascii="Calibri" w:hAnsi="Calibri" w:cs="Calibri"/>
                <w:color w:val="auto"/>
                <w:sz w:val="20"/>
                <w:szCs w:val="20"/>
              </w:rPr>
            </w:pPr>
            <w:r w:rsidRPr="000C48E4">
              <w:rPr>
                <w:rStyle w:val="Bold"/>
                <w:rFonts w:ascii="Calibri" w:hAnsi="Calibri" w:cs="Calibri"/>
                <w:sz w:val="20"/>
                <w:szCs w:val="20"/>
              </w:rPr>
              <w:t>Content 03 Example:</w:t>
            </w:r>
          </w:p>
        </w:tc>
        <w:tc>
          <w:tcPr>
            <w:tcW w:w="362" w:type="dxa"/>
          </w:tcPr>
          <w:p w14:paraId="796EB0C6"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C</w:t>
            </w:r>
          </w:p>
        </w:tc>
        <w:tc>
          <w:tcPr>
            <w:tcW w:w="381" w:type="dxa"/>
          </w:tcPr>
          <w:p w14:paraId="26808D13"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17</w:t>
            </w:r>
          </w:p>
        </w:tc>
        <w:tc>
          <w:tcPr>
            <w:tcW w:w="747" w:type="dxa"/>
          </w:tcPr>
          <w:p w14:paraId="2CB0D02B"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018140</w:t>
            </w:r>
          </w:p>
        </w:tc>
        <w:tc>
          <w:tcPr>
            <w:tcW w:w="324" w:type="dxa"/>
          </w:tcPr>
          <w:p w14:paraId="162ED94A"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3</w:t>
            </w:r>
          </w:p>
        </w:tc>
        <w:tc>
          <w:tcPr>
            <w:tcW w:w="369" w:type="dxa"/>
          </w:tcPr>
          <w:p w14:paraId="1E52B34B"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1</w:t>
            </w:r>
          </w:p>
        </w:tc>
        <w:tc>
          <w:tcPr>
            <w:tcW w:w="572" w:type="dxa"/>
          </w:tcPr>
          <w:p w14:paraId="65B4FBB1"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2012</w:t>
            </w:r>
          </w:p>
        </w:tc>
        <w:tc>
          <w:tcPr>
            <w:tcW w:w="521" w:type="dxa"/>
          </w:tcPr>
          <w:p w14:paraId="6B289F06"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12</w:t>
            </w:r>
          </w:p>
        </w:tc>
        <w:tc>
          <w:tcPr>
            <w:tcW w:w="522" w:type="dxa"/>
          </w:tcPr>
          <w:p w14:paraId="10698E56"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01</w:t>
            </w:r>
          </w:p>
        </w:tc>
        <w:tc>
          <w:tcPr>
            <w:tcW w:w="522" w:type="dxa"/>
          </w:tcPr>
          <w:p w14:paraId="3C86351C"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w:t>
            </w:r>
          </w:p>
        </w:tc>
        <w:tc>
          <w:tcPr>
            <w:tcW w:w="360" w:type="dxa"/>
          </w:tcPr>
          <w:p w14:paraId="03B05209"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2</w:t>
            </w:r>
          </w:p>
        </w:tc>
        <w:tc>
          <w:tcPr>
            <w:tcW w:w="720" w:type="dxa"/>
          </w:tcPr>
          <w:p w14:paraId="1E47D519"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00051</w:t>
            </w:r>
          </w:p>
        </w:tc>
        <w:tc>
          <w:tcPr>
            <w:tcW w:w="360" w:type="dxa"/>
          </w:tcPr>
          <w:p w14:paraId="44C6F1E7"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w:t>
            </w:r>
          </w:p>
        </w:tc>
        <w:tc>
          <w:tcPr>
            <w:tcW w:w="634" w:type="dxa"/>
          </w:tcPr>
          <w:p w14:paraId="1F3B123F"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00000</w:t>
            </w:r>
          </w:p>
        </w:tc>
        <w:tc>
          <w:tcPr>
            <w:tcW w:w="635" w:type="dxa"/>
          </w:tcPr>
          <w:p w14:paraId="3837C0DF"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00039</w:t>
            </w:r>
          </w:p>
        </w:tc>
        <w:tc>
          <w:tcPr>
            <w:tcW w:w="634" w:type="dxa"/>
          </w:tcPr>
          <w:p w14:paraId="4DEEF783"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00008</w:t>
            </w:r>
          </w:p>
        </w:tc>
        <w:tc>
          <w:tcPr>
            <w:tcW w:w="635" w:type="dxa"/>
          </w:tcPr>
          <w:p w14:paraId="639A47E3"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00000</w:t>
            </w:r>
          </w:p>
        </w:tc>
      </w:tr>
      <w:tr w:rsidR="000C48E4" w:rsidRPr="000C48E4" w14:paraId="4B7ABB42" w14:textId="77777777" w:rsidTr="00E1261E">
        <w:trPr>
          <w:trHeight w:val="60"/>
        </w:trPr>
        <w:tc>
          <w:tcPr>
            <w:tcW w:w="1070" w:type="dxa"/>
          </w:tcPr>
          <w:p w14:paraId="0440DFC5" w14:textId="77777777" w:rsidR="009B7AED" w:rsidRPr="000C48E4" w:rsidRDefault="009B7AED" w:rsidP="002841D0">
            <w:pPr>
              <w:pStyle w:val="TMGTable1"/>
              <w:keepNext w:val="0"/>
              <w:suppressAutoHyphens w:val="0"/>
              <w:spacing w:before="10" w:after="10"/>
              <w:jc w:val="left"/>
              <w:rPr>
                <w:rFonts w:ascii="Calibri" w:hAnsi="Calibri" w:cs="Calibri"/>
                <w:color w:val="auto"/>
                <w:sz w:val="20"/>
                <w:szCs w:val="20"/>
              </w:rPr>
            </w:pPr>
            <w:r w:rsidRPr="000C48E4">
              <w:rPr>
                <w:rStyle w:val="Bold"/>
                <w:rFonts w:ascii="Calibri" w:hAnsi="Calibri" w:cs="Calibri"/>
                <w:sz w:val="20"/>
                <w:szCs w:val="20"/>
              </w:rPr>
              <w:t>Content 04 Example:</w:t>
            </w:r>
          </w:p>
        </w:tc>
        <w:tc>
          <w:tcPr>
            <w:tcW w:w="362" w:type="dxa"/>
          </w:tcPr>
          <w:p w14:paraId="47D53AFE"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C</w:t>
            </w:r>
          </w:p>
        </w:tc>
        <w:tc>
          <w:tcPr>
            <w:tcW w:w="381" w:type="dxa"/>
          </w:tcPr>
          <w:p w14:paraId="5A45057A"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17</w:t>
            </w:r>
          </w:p>
        </w:tc>
        <w:tc>
          <w:tcPr>
            <w:tcW w:w="747" w:type="dxa"/>
          </w:tcPr>
          <w:p w14:paraId="24F0060B"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018140</w:t>
            </w:r>
          </w:p>
        </w:tc>
        <w:tc>
          <w:tcPr>
            <w:tcW w:w="324" w:type="dxa"/>
          </w:tcPr>
          <w:p w14:paraId="27249CFA"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7</w:t>
            </w:r>
          </w:p>
        </w:tc>
        <w:tc>
          <w:tcPr>
            <w:tcW w:w="369" w:type="dxa"/>
          </w:tcPr>
          <w:p w14:paraId="42A6F983"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1</w:t>
            </w:r>
          </w:p>
        </w:tc>
        <w:tc>
          <w:tcPr>
            <w:tcW w:w="572" w:type="dxa"/>
          </w:tcPr>
          <w:p w14:paraId="1ABEF680"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2012</w:t>
            </w:r>
          </w:p>
        </w:tc>
        <w:tc>
          <w:tcPr>
            <w:tcW w:w="521" w:type="dxa"/>
          </w:tcPr>
          <w:p w14:paraId="2B035329"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12</w:t>
            </w:r>
          </w:p>
        </w:tc>
        <w:tc>
          <w:tcPr>
            <w:tcW w:w="522" w:type="dxa"/>
          </w:tcPr>
          <w:p w14:paraId="399A0A63"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01</w:t>
            </w:r>
          </w:p>
        </w:tc>
        <w:tc>
          <w:tcPr>
            <w:tcW w:w="522" w:type="dxa"/>
          </w:tcPr>
          <w:p w14:paraId="658D3E2C"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w:t>
            </w:r>
          </w:p>
        </w:tc>
        <w:tc>
          <w:tcPr>
            <w:tcW w:w="360" w:type="dxa"/>
          </w:tcPr>
          <w:p w14:paraId="7696FF63"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2</w:t>
            </w:r>
          </w:p>
        </w:tc>
        <w:tc>
          <w:tcPr>
            <w:tcW w:w="720" w:type="dxa"/>
          </w:tcPr>
          <w:p w14:paraId="19D07E44"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00058</w:t>
            </w:r>
          </w:p>
        </w:tc>
        <w:tc>
          <w:tcPr>
            <w:tcW w:w="360" w:type="dxa"/>
          </w:tcPr>
          <w:p w14:paraId="6E88AF92"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w:t>
            </w:r>
          </w:p>
        </w:tc>
        <w:tc>
          <w:tcPr>
            <w:tcW w:w="634" w:type="dxa"/>
          </w:tcPr>
          <w:p w14:paraId="0CC46F13"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00000</w:t>
            </w:r>
          </w:p>
        </w:tc>
        <w:tc>
          <w:tcPr>
            <w:tcW w:w="635" w:type="dxa"/>
          </w:tcPr>
          <w:p w14:paraId="66E5E944"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00037</w:t>
            </w:r>
          </w:p>
        </w:tc>
        <w:tc>
          <w:tcPr>
            <w:tcW w:w="634" w:type="dxa"/>
          </w:tcPr>
          <w:p w14:paraId="1D32CCD7"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00010</w:t>
            </w:r>
          </w:p>
        </w:tc>
        <w:tc>
          <w:tcPr>
            <w:tcW w:w="635" w:type="dxa"/>
          </w:tcPr>
          <w:p w14:paraId="40E9269A"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00000</w:t>
            </w:r>
          </w:p>
        </w:tc>
      </w:tr>
      <w:tr w:rsidR="000C48E4" w:rsidRPr="000C48E4" w14:paraId="48BF5626" w14:textId="77777777" w:rsidTr="00E1261E">
        <w:trPr>
          <w:trHeight w:val="60"/>
        </w:trPr>
        <w:tc>
          <w:tcPr>
            <w:tcW w:w="1070" w:type="dxa"/>
          </w:tcPr>
          <w:p w14:paraId="3E6EC099" w14:textId="77777777" w:rsidR="009B7AED" w:rsidRPr="000C48E4" w:rsidRDefault="009B7AED" w:rsidP="002841D0">
            <w:pPr>
              <w:pStyle w:val="TMGTable1"/>
              <w:keepNext w:val="0"/>
              <w:suppressAutoHyphens w:val="0"/>
              <w:spacing w:before="10" w:after="10"/>
              <w:jc w:val="left"/>
              <w:rPr>
                <w:rFonts w:ascii="Calibri" w:hAnsi="Calibri" w:cs="Calibri"/>
                <w:color w:val="auto"/>
                <w:sz w:val="20"/>
                <w:szCs w:val="20"/>
              </w:rPr>
            </w:pPr>
            <w:r w:rsidRPr="000C48E4">
              <w:rPr>
                <w:rStyle w:val="Bold"/>
                <w:rFonts w:ascii="Calibri" w:hAnsi="Calibri" w:cs="Calibri"/>
                <w:sz w:val="20"/>
                <w:szCs w:val="20"/>
              </w:rPr>
              <w:t>Content 05 Example:</w:t>
            </w:r>
          </w:p>
        </w:tc>
        <w:tc>
          <w:tcPr>
            <w:tcW w:w="362" w:type="dxa"/>
          </w:tcPr>
          <w:p w14:paraId="39DF7D75"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C</w:t>
            </w:r>
          </w:p>
        </w:tc>
        <w:tc>
          <w:tcPr>
            <w:tcW w:w="381" w:type="dxa"/>
          </w:tcPr>
          <w:p w14:paraId="4DDCBD1B"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17</w:t>
            </w:r>
          </w:p>
        </w:tc>
        <w:tc>
          <w:tcPr>
            <w:tcW w:w="747" w:type="dxa"/>
          </w:tcPr>
          <w:p w14:paraId="284F9937"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018140</w:t>
            </w:r>
          </w:p>
        </w:tc>
        <w:tc>
          <w:tcPr>
            <w:tcW w:w="324" w:type="dxa"/>
          </w:tcPr>
          <w:p w14:paraId="10B595BF"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3</w:t>
            </w:r>
          </w:p>
        </w:tc>
        <w:tc>
          <w:tcPr>
            <w:tcW w:w="369" w:type="dxa"/>
          </w:tcPr>
          <w:p w14:paraId="213E6DCC"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1</w:t>
            </w:r>
          </w:p>
        </w:tc>
        <w:tc>
          <w:tcPr>
            <w:tcW w:w="572" w:type="dxa"/>
          </w:tcPr>
          <w:p w14:paraId="7306E16E"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2012</w:t>
            </w:r>
          </w:p>
        </w:tc>
        <w:tc>
          <w:tcPr>
            <w:tcW w:w="521" w:type="dxa"/>
          </w:tcPr>
          <w:p w14:paraId="6A032D3F"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12</w:t>
            </w:r>
          </w:p>
        </w:tc>
        <w:tc>
          <w:tcPr>
            <w:tcW w:w="522" w:type="dxa"/>
          </w:tcPr>
          <w:p w14:paraId="16EBC67F"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01</w:t>
            </w:r>
          </w:p>
        </w:tc>
        <w:tc>
          <w:tcPr>
            <w:tcW w:w="522" w:type="dxa"/>
          </w:tcPr>
          <w:p w14:paraId="6E2AAC3C"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w:t>
            </w:r>
          </w:p>
        </w:tc>
        <w:tc>
          <w:tcPr>
            <w:tcW w:w="360" w:type="dxa"/>
          </w:tcPr>
          <w:p w14:paraId="761E592D"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3</w:t>
            </w:r>
          </w:p>
        </w:tc>
        <w:tc>
          <w:tcPr>
            <w:tcW w:w="720" w:type="dxa"/>
          </w:tcPr>
          <w:p w14:paraId="05501C65"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00060</w:t>
            </w:r>
          </w:p>
        </w:tc>
        <w:tc>
          <w:tcPr>
            <w:tcW w:w="360" w:type="dxa"/>
          </w:tcPr>
          <w:p w14:paraId="6D5E0AB5"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w:t>
            </w:r>
          </w:p>
        </w:tc>
        <w:tc>
          <w:tcPr>
            <w:tcW w:w="634" w:type="dxa"/>
          </w:tcPr>
          <w:p w14:paraId="4BCDAE8D"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00001</w:t>
            </w:r>
          </w:p>
        </w:tc>
        <w:tc>
          <w:tcPr>
            <w:tcW w:w="635" w:type="dxa"/>
          </w:tcPr>
          <w:p w14:paraId="2CAE272C"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00037</w:t>
            </w:r>
          </w:p>
        </w:tc>
        <w:tc>
          <w:tcPr>
            <w:tcW w:w="634" w:type="dxa"/>
          </w:tcPr>
          <w:p w14:paraId="3021958F"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00006</w:t>
            </w:r>
          </w:p>
        </w:tc>
        <w:tc>
          <w:tcPr>
            <w:tcW w:w="635" w:type="dxa"/>
          </w:tcPr>
          <w:p w14:paraId="137348DF"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00000</w:t>
            </w:r>
          </w:p>
        </w:tc>
      </w:tr>
      <w:tr w:rsidR="000C48E4" w:rsidRPr="000C48E4" w14:paraId="0720B458" w14:textId="77777777" w:rsidTr="00E1261E">
        <w:trPr>
          <w:trHeight w:val="60"/>
        </w:trPr>
        <w:tc>
          <w:tcPr>
            <w:tcW w:w="1070" w:type="dxa"/>
          </w:tcPr>
          <w:p w14:paraId="6F58C00D" w14:textId="77777777" w:rsidR="009B7AED" w:rsidRPr="000C48E4" w:rsidRDefault="009B7AED" w:rsidP="002841D0">
            <w:pPr>
              <w:pStyle w:val="TMGTable1"/>
              <w:keepNext w:val="0"/>
              <w:suppressAutoHyphens w:val="0"/>
              <w:spacing w:before="10" w:after="10"/>
              <w:jc w:val="left"/>
              <w:rPr>
                <w:rFonts w:ascii="Calibri" w:hAnsi="Calibri" w:cs="Calibri"/>
                <w:color w:val="auto"/>
                <w:sz w:val="20"/>
                <w:szCs w:val="20"/>
              </w:rPr>
            </w:pPr>
            <w:r w:rsidRPr="000C48E4">
              <w:rPr>
                <w:rStyle w:val="Bold"/>
                <w:rFonts w:ascii="Calibri" w:hAnsi="Calibri" w:cs="Calibri"/>
                <w:sz w:val="20"/>
                <w:szCs w:val="20"/>
              </w:rPr>
              <w:t>Content 06 Example:</w:t>
            </w:r>
          </w:p>
        </w:tc>
        <w:tc>
          <w:tcPr>
            <w:tcW w:w="362" w:type="dxa"/>
          </w:tcPr>
          <w:p w14:paraId="3ACCA12B"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C</w:t>
            </w:r>
          </w:p>
        </w:tc>
        <w:tc>
          <w:tcPr>
            <w:tcW w:w="381" w:type="dxa"/>
          </w:tcPr>
          <w:p w14:paraId="574FBE92"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17</w:t>
            </w:r>
          </w:p>
        </w:tc>
        <w:tc>
          <w:tcPr>
            <w:tcW w:w="747" w:type="dxa"/>
          </w:tcPr>
          <w:p w14:paraId="294EB99D"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018140</w:t>
            </w:r>
          </w:p>
        </w:tc>
        <w:tc>
          <w:tcPr>
            <w:tcW w:w="324" w:type="dxa"/>
          </w:tcPr>
          <w:p w14:paraId="4C3375F4"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7</w:t>
            </w:r>
          </w:p>
        </w:tc>
        <w:tc>
          <w:tcPr>
            <w:tcW w:w="369" w:type="dxa"/>
          </w:tcPr>
          <w:p w14:paraId="6D40FB23"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1</w:t>
            </w:r>
          </w:p>
        </w:tc>
        <w:tc>
          <w:tcPr>
            <w:tcW w:w="572" w:type="dxa"/>
          </w:tcPr>
          <w:p w14:paraId="70EF6453"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2012</w:t>
            </w:r>
          </w:p>
        </w:tc>
        <w:tc>
          <w:tcPr>
            <w:tcW w:w="521" w:type="dxa"/>
          </w:tcPr>
          <w:p w14:paraId="2AE8B2AC"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12</w:t>
            </w:r>
          </w:p>
        </w:tc>
        <w:tc>
          <w:tcPr>
            <w:tcW w:w="522" w:type="dxa"/>
          </w:tcPr>
          <w:p w14:paraId="3C1B4754"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01</w:t>
            </w:r>
          </w:p>
        </w:tc>
        <w:tc>
          <w:tcPr>
            <w:tcW w:w="522" w:type="dxa"/>
          </w:tcPr>
          <w:p w14:paraId="7D8C28FE"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w:t>
            </w:r>
          </w:p>
        </w:tc>
        <w:tc>
          <w:tcPr>
            <w:tcW w:w="360" w:type="dxa"/>
          </w:tcPr>
          <w:p w14:paraId="050DA36B"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3</w:t>
            </w:r>
          </w:p>
        </w:tc>
        <w:tc>
          <w:tcPr>
            <w:tcW w:w="720" w:type="dxa"/>
          </w:tcPr>
          <w:p w14:paraId="7742FF2F"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00067</w:t>
            </w:r>
          </w:p>
        </w:tc>
        <w:tc>
          <w:tcPr>
            <w:tcW w:w="360" w:type="dxa"/>
          </w:tcPr>
          <w:p w14:paraId="60449A92"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w:t>
            </w:r>
          </w:p>
        </w:tc>
        <w:tc>
          <w:tcPr>
            <w:tcW w:w="634" w:type="dxa"/>
          </w:tcPr>
          <w:p w14:paraId="42EAAD7A"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00000</w:t>
            </w:r>
          </w:p>
        </w:tc>
        <w:tc>
          <w:tcPr>
            <w:tcW w:w="635" w:type="dxa"/>
          </w:tcPr>
          <w:p w14:paraId="400E0460"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00036</w:t>
            </w:r>
          </w:p>
        </w:tc>
        <w:tc>
          <w:tcPr>
            <w:tcW w:w="634" w:type="dxa"/>
          </w:tcPr>
          <w:p w14:paraId="74CAB5A8"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00005</w:t>
            </w:r>
          </w:p>
        </w:tc>
        <w:tc>
          <w:tcPr>
            <w:tcW w:w="635" w:type="dxa"/>
          </w:tcPr>
          <w:p w14:paraId="1FA7E59E"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00000</w:t>
            </w:r>
          </w:p>
        </w:tc>
      </w:tr>
      <w:tr w:rsidR="000C48E4" w:rsidRPr="000C48E4" w14:paraId="1962BA5E" w14:textId="77777777" w:rsidTr="00E1261E">
        <w:trPr>
          <w:trHeight w:val="46"/>
        </w:trPr>
        <w:tc>
          <w:tcPr>
            <w:tcW w:w="1070" w:type="dxa"/>
          </w:tcPr>
          <w:p w14:paraId="0CB3548F" w14:textId="77777777" w:rsidR="009B7AED" w:rsidRPr="000C48E4" w:rsidRDefault="009B7AED" w:rsidP="002841D0">
            <w:pPr>
              <w:pStyle w:val="TMGTable1"/>
              <w:keepNext w:val="0"/>
              <w:suppressAutoHyphens w:val="0"/>
              <w:spacing w:before="10" w:after="10"/>
              <w:jc w:val="left"/>
              <w:rPr>
                <w:rFonts w:ascii="Calibri" w:hAnsi="Calibri" w:cs="Calibri"/>
                <w:color w:val="auto"/>
                <w:sz w:val="20"/>
                <w:szCs w:val="20"/>
              </w:rPr>
            </w:pPr>
            <w:r w:rsidRPr="000C48E4">
              <w:rPr>
                <w:rStyle w:val="Bold"/>
                <w:rFonts w:ascii="Calibri" w:hAnsi="Calibri" w:cs="Calibri"/>
                <w:sz w:val="20"/>
                <w:szCs w:val="20"/>
              </w:rPr>
              <w:t>Content 07 Example:</w:t>
            </w:r>
          </w:p>
        </w:tc>
        <w:tc>
          <w:tcPr>
            <w:tcW w:w="362" w:type="dxa"/>
          </w:tcPr>
          <w:p w14:paraId="56BFBB74"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C</w:t>
            </w:r>
          </w:p>
        </w:tc>
        <w:tc>
          <w:tcPr>
            <w:tcW w:w="381" w:type="dxa"/>
          </w:tcPr>
          <w:p w14:paraId="14873240"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17</w:t>
            </w:r>
          </w:p>
        </w:tc>
        <w:tc>
          <w:tcPr>
            <w:tcW w:w="747" w:type="dxa"/>
          </w:tcPr>
          <w:p w14:paraId="219F8450"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018140</w:t>
            </w:r>
          </w:p>
        </w:tc>
        <w:tc>
          <w:tcPr>
            <w:tcW w:w="324" w:type="dxa"/>
          </w:tcPr>
          <w:p w14:paraId="7FA3BA57"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3</w:t>
            </w:r>
          </w:p>
        </w:tc>
        <w:tc>
          <w:tcPr>
            <w:tcW w:w="369" w:type="dxa"/>
          </w:tcPr>
          <w:p w14:paraId="47308E2C"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1</w:t>
            </w:r>
          </w:p>
        </w:tc>
        <w:tc>
          <w:tcPr>
            <w:tcW w:w="572" w:type="dxa"/>
          </w:tcPr>
          <w:p w14:paraId="2CCAFD7C"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2012</w:t>
            </w:r>
          </w:p>
        </w:tc>
        <w:tc>
          <w:tcPr>
            <w:tcW w:w="521" w:type="dxa"/>
          </w:tcPr>
          <w:p w14:paraId="026B4D2D"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12</w:t>
            </w:r>
          </w:p>
        </w:tc>
        <w:tc>
          <w:tcPr>
            <w:tcW w:w="522" w:type="dxa"/>
          </w:tcPr>
          <w:p w14:paraId="697C63A1"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01</w:t>
            </w:r>
          </w:p>
        </w:tc>
        <w:tc>
          <w:tcPr>
            <w:tcW w:w="522" w:type="dxa"/>
          </w:tcPr>
          <w:p w14:paraId="6406FEBD"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w:t>
            </w:r>
          </w:p>
        </w:tc>
        <w:tc>
          <w:tcPr>
            <w:tcW w:w="360" w:type="dxa"/>
          </w:tcPr>
          <w:p w14:paraId="7B67950A"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4</w:t>
            </w:r>
          </w:p>
        </w:tc>
        <w:tc>
          <w:tcPr>
            <w:tcW w:w="720" w:type="dxa"/>
          </w:tcPr>
          <w:p w14:paraId="4FCD8E8D"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00064</w:t>
            </w:r>
          </w:p>
        </w:tc>
        <w:tc>
          <w:tcPr>
            <w:tcW w:w="360" w:type="dxa"/>
          </w:tcPr>
          <w:p w14:paraId="1BE2A30C"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w:t>
            </w:r>
          </w:p>
        </w:tc>
        <w:tc>
          <w:tcPr>
            <w:tcW w:w="634" w:type="dxa"/>
          </w:tcPr>
          <w:p w14:paraId="6095C572"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00001</w:t>
            </w:r>
          </w:p>
        </w:tc>
        <w:tc>
          <w:tcPr>
            <w:tcW w:w="635" w:type="dxa"/>
          </w:tcPr>
          <w:p w14:paraId="6CC48831"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00034</w:t>
            </w:r>
          </w:p>
        </w:tc>
        <w:tc>
          <w:tcPr>
            <w:tcW w:w="634" w:type="dxa"/>
          </w:tcPr>
          <w:p w14:paraId="4AA9C194"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00009</w:t>
            </w:r>
          </w:p>
        </w:tc>
        <w:tc>
          <w:tcPr>
            <w:tcW w:w="635" w:type="dxa"/>
          </w:tcPr>
          <w:p w14:paraId="6D741551"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00001</w:t>
            </w:r>
          </w:p>
        </w:tc>
      </w:tr>
      <w:tr w:rsidR="000C48E4" w:rsidRPr="000C48E4" w14:paraId="2F472387" w14:textId="77777777" w:rsidTr="00E1261E">
        <w:trPr>
          <w:trHeight w:val="60"/>
        </w:trPr>
        <w:tc>
          <w:tcPr>
            <w:tcW w:w="1070" w:type="dxa"/>
          </w:tcPr>
          <w:p w14:paraId="7B945806" w14:textId="77777777" w:rsidR="009B7AED" w:rsidRPr="000C48E4" w:rsidRDefault="009B7AED" w:rsidP="002841D0">
            <w:pPr>
              <w:pStyle w:val="TMGTable1"/>
              <w:keepNext w:val="0"/>
              <w:suppressAutoHyphens w:val="0"/>
              <w:spacing w:before="10" w:after="10"/>
              <w:jc w:val="left"/>
              <w:rPr>
                <w:rFonts w:ascii="Calibri" w:hAnsi="Calibri" w:cs="Calibri"/>
                <w:color w:val="auto"/>
                <w:sz w:val="20"/>
                <w:szCs w:val="20"/>
              </w:rPr>
            </w:pPr>
            <w:r w:rsidRPr="000C48E4">
              <w:rPr>
                <w:rStyle w:val="Bold"/>
                <w:rFonts w:ascii="Calibri" w:hAnsi="Calibri" w:cs="Calibri"/>
                <w:sz w:val="20"/>
                <w:szCs w:val="20"/>
              </w:rPr>
              <w:t>Content 08 Example:</w:t>
            </w:r>
          </w:p>
        </w:tc>
        <w:tc>
          <w:tcPr>
            <w:tcW w:w="362" w:type="dxa"/>
          </w:tcPr>
          <w:p w14:paraId="0501E102"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C</w:t>
            </w:r>
          </w:p>
        </w:tc>
        <w:tc>
          <w:tcPr>
            <w:tcW w:w="381" w:type="dxa"/>
          </w:tcPr>
          <w:p w14:paraId="3421C2E6"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17</w:t>
            </w:r>
          </w:p>
        </w:tc>
        <w:tc>
          <w:tcPr>
            <w:tcW w:w="747" w:type="dxa"/>
          </w:tcPr>
          <w:p w14:paraId="0E3EBBBD"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018140</w:t>
            </w:r>
          </w:p>
        </w:tc>
        <w:tc>
          <w:tcPr>
            <w:tcW w:w="324" w:type="dxa"/>
          </w:tcPr>
          <w:p w14:paraId="17B4EE65"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7</w:t>
            </w:r>
          </w:p>
        </w:tc>
        <w:tc>
          <w:tcPr>
            <w:tcW w:w="369" w:type="dxa"/>
          </w:tcPr>
          <w:p w14:paraId="132A5D07"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1</w:t>
            </w:r>
          </w:p>
        </w:tc>
        <w:tc>
          <w:tcPr>
            <w:tcW w:w="572" w:type="dxa"/>
          </w:tcPr>
          <w:p w14:paraId="5B3FA231"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2012</w:t>
            </w:r>
          </w:p>
        </w:tc>
        <w:tc>
          <w:tcPr>
            <w:tcW w:w="521" w:type="dxa"/>
          </w:tcPr>
          <w:p w14:paraId="333E2B09"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12</w:t>
            </w:r>
          </w:p>
        </w:tc>
        <w:tc>
          <w:tcPr>
            <w:tcW w:w="522" w:type="dxa"/>
          </w:tcPr>
          <w:p w14:paraId="7305CE0F"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01</w:t>
            </w:r>
          </w:p>
        </w:tc>
        <w:tc>
          <w:tcPr>
            <w:tcW w:w="522" w:type="dxa"/>
          </w:tcPr>
          <w:p w14:paraId="40BF14D4"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w:t>
            </w:r>
          </w:p>
        </w:tc>
        <w:tc>
          <w:tcPr>
            <w:tcW w:w="360" w:type="dxa"/>
          </w:tcPr>
          <w:p w14:paraId="7D8EDAC2"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4</w:t>
            </w:r>
          </w:p>
        </w:tc>
        <w:tc>
          <w:tcPr>
            <w:tcW w:w="720" w:type="dxa"/>
          </w:tcPr>
          <w:p w14:paraId="6C6B4B32"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00063</w:t>
            </w:r>
          </w:p>
        </w:tc>
        <w:tc>
          <w:tcPr>
            <w:tcW w:w="360" w:type="dxa"/>
          </w:tcPr>
          <w:p w14:paraId="6B30ADC7"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w:t>
            </w:r>
          </w:p>
        </w:tc>
        <w:tc>
          <w:tcPr>
            <w:tcW w:w="634" w:type="dxa"/>
          </w:tcPr>
          <w:p w14:paraId="4587ABCC"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00000</w:t>
            </w:r>
          </w:p>
        </w:tc>
        <w:tc>
          <w:tcPr>
            <w:tcW w:w="635" w:type="dxa"/>
          </w:tcPr>
          <w:p w14:paraId="00D6785F"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00038</w:t>
            </w:r>
          </w:p>
        </w:tc>
        <w:tc>
          <w:tcPr>
            <w:tcW w:w="634" w:type="dxa"/>
          </w:tcPr>
          <w:p w14:paraId="3ED47E06"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00008</w:t>
            </w:r>
          </w:p>
        </w:tc>
        <w:tc>
          <w:tcPr>
            <w:tcW w:w="635" w:type="dxa"/>
          </w:tcPr>
          <w:p w14:paraId="78F377C8" w14:textId="77777777" w:rsidR="009B7AED" w:rsidRPr="000C48E4" w:rsidRDefault="009B7AED" w:rsidP="002841D0">
            <w:pPr>
              <w:pStyle w:val="TMGTable1"/>
              <w:keepNext w:val="0"/>
              <w:suppressAutoHyphens w:val="0"/>
              <w:spacing w:before="10" w:after="10"/>
              <w:rPr>
                <w:rFonts w:ascii="Calibri" w:hAnsi="Calibri" w:cs="Calibri"/>
                <w:sz w:val="20"/>
                <w:szCs w:val="20"/>
              </w:rPr>
            </w:pPr>
            <w:r w:rsidRPr="000C48E4">
              <w:rPr>
                <w:rFonts w:ascii="Calibri" w:hAnsi="Calibri" w:cs="Calibri"/>
                <w:sz w:val="20"/>
                <w:szCs w:val="20"/>
              </w:rPr>
              <w:t>00000</w:t>
            </w:r>
          </w:p>
        </w:tc>
      </w:tr>
    </w:tbl>
    <w:p w14:paraId="54D6F302" w14:textId="77777777" w:rsidR="000C48E4" w:rsidRDefault="000C48E4">
      <w:pPr>
        <w:widowControl/>
        <w:suppressAutoHyphens w:val="0"/>
        <w:autoSpaceDE/>
        <w:autoSpaceDN/>
        <w:adjustRightInd/>
        <w:spacing w:after="160" w:line="259" w:lineRule="auto"/>
        <w:jc w:val="left"/>
        <w:textAlignment w:val="auto"/>
        <w:rPr>
          <w:rStyle w:val="Italic"/>
          <w:iCs/>
          <w:color w:val="auto"/>
        </w:rPr>
      </w:pPr>
      <w:r>
        <w:rPr>
          <w:rStyle w:val="Italic"/>
          <w:iCs/>
        </w:rPr>
        <w:br w:type="page"/>
      </w:r>
    </w:p>
    <w:p w14:paraId="1B366451" w14:textId="7FB16E07" w:rsidR="009B7AED" w:rsidRPr="00CD572A" w:rsidRDefault="009B7AED" w:rsidP="008219F2">
      <w:pPr>
        <w:pStyle w:val="BodyText"/>
        <w:spacing w:before="240"/>
      </w:pPr>
      <w:r w:rsidRPr="00CD572A">
        <w:rPr>
          <w:rStyle w:val="Italic"/>
          <w:iCs/>
        </w:rPr>
        <w:lastRenderedPageBreak/>
        <w:t>continued</w:t>
      </w:r>
    </w:p>
    <w:tbl>
      <w:tblPr>
        <w:tblStyle w:val="TMGTable"/>
        <w:tblW w:w="9360"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1070"/>
        <w:gridCol w:w="753"/>
        <w:gridCol w:w="754"/>
        <w:gridCol w:w="753"/>
        <w:gridCol w:w="754"/>
        <w:gridCol w:w="754"/>
        <w:gridCol w:w="753"/>
        <w:gridCol w:w="754"/>
        <w:gridCol w:w="754"/>
        <w:gridCol w:w="753"/>
        <w:gridCol w:w="754"/>
        <w:gridCol w:w="754"/>
      </w:tblGrid>
      <w:tr w:rsidR="009B7AED" w:rsidRPr="000C48E4" w14:paraId="2320C8B2" w14:textId="77777777" w:rsidTr="00E1261E">
        <w:trPr>
          <w:cnfStyle w:val="100000000000" w:firstRow="1" w:lastRow="0" w:firstColumn="0" w:lastColumn="0" w:oddVBand="0" w:evenVBand="0" w:oddHBand="0" w:evenHBand="0" w:firstRowFirstColumn="0" w:firstRowLastColumn="0" w:lastRowFirstColumn="0" w:lastRowLastColumn="0"/>
          <w:trHeight w:val="60"/>
          <w:jc w:val="center"/>
        </w:trPr>
        <w:tc>
          <w:tcPr>
            <w:tcW w:w="1070" w:type="dxa"/>
          </w:tcPr>
          <w:p w14:paraId="10B33C96" w14:textId="77777777" w:rsidR="009B7AED" w:rsidRPr="000C48E4" w:rsidRDefault="009B7AED" w:rsidP="002841D0">
            <w:pPr>
              <w:pStyle w:val="TMGTable1"/>
              <w:spacing w:before="10" w:after="10"/>
              <w:jc w:val="left"/>
              <w:rPr>
                <w:rFonts w:ascii="Calibri" w:hAnsi="Calibri" w:cs="Calibri"/>
                <w:b w:val="0"/>
                <w:bCs w:val="0"/>
                <w:sz w:val="20"/>
                <w:szCs w:val="20"/>
              </w:rPr>
            </w:pPr>
            <w:r w:rsidRPr="000C48E4">
              <w:rPr>
                <w:rStyle w:val="Bold"/>
                <w:rFonts w:ascii="Calibri" w:hAnsi="Calibri" w:cs="Calibri"/>
                <w:sz w:val="20"/>
                <w:szCs w:val="20"/>
              </w:rPr>
              <w:t>Column Number:</w:t>
            </w:r>
          </w:p>
        </w:tc>
        <w:tc>
          <w:tcPr>
            <w:tcW w:w="753" w:type="dxa"/>
          </w:tcPr>
          <w:p w14:paraId="47281312" w14:textId="77777777" w:rsidR="009B7AED" w:rsidRPr="000C48E4" w:rsidRDefault="009B7AED" w:rsidP="002841D0">
            <w:pPr>
              <w:pStyle w:val="TMGTable1"/>
              <w:spacing w:before="10" w:after="10"/>
              <w:rPr>
                <w:rFonts w:ascii="Calibri" w:hAnsi="Calibri" w:cs="Calibri"/>
                <w:b w:val="0"/>
                <w:bCs w:val="0"/>
                <w:sz w:val="20"/>
                <w:szCs w:val="20"/>
              </w:rPr>
            </w:pPr>
            <w:r w:rsidRPr="000C48E4">
              <w:rPr>
                <w:rFonts w:ascii="Calibri" w:hAnsi="Calibri" w:cs="Calibri"/>
                <w:sz w:val="20"/>
                <w:szCs w:val="20"/>
              </w:rPr>
              <w:t>49-53</w:t>
            </w:r>
          </w:p>
        </w:tc>
        <w:tc>
          <w:tcPr>
            <w:tcW w:w="754" w:type="dxa"/>
          </w:tcPr>
          <w:p w14:paraId="67706570" w14:textId="77777777" w:rsidR="009B7AED" w:rsidRPr="000C48E4" w:rsidRDefault="009B7AED" w:rsidP="002841D0">
            <w:pPr>
              <w:pStyle w:val="TMGTable1"/>
              <w:spacing w:before="10" w:after="10"/>
              <w:rPr>
                <w:rFonts w:ascii="Calibri" w:hAnsi="Calibri" w:cs="Calibri"/>
                <w:b w:val="0"/>
                <w:bCs w:val="0"/>
                <w:sz w:val="20"/>
                <w:szCs w:val="20"/>
              </w:rPr>
            </w:pPr>
            <w:r w:rsidRPr="000C48E4">
              <w:rPr>
                <w:rFonts w:ascii="Calibri" w:hAnsi="Calibri" w:cs="Calibri"/>
                <w:sz w:val="20"/>
                <w:szCs w:val="20"/>
              </w:rPr>
              <w:t>54-58</w:t>
            </w:r>
          </w:p>
        </w:tc>
        <w:tc>
          <w:tcPr>
            <w:tcW w:w="753" w:type="dxa"/>
          </w:tcPr>
          <w:p w14:paraId="5DF079F7"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59-63</w:t>
            </w:r>
          </w:p>
        </w:tc>
        <w:tc>
          <w:tcPr>
            <w:tcW w:w="754" w:type="dxa"/>
          </w:tcPr>
          <w:p w14:paraId="6D83D15E" w14:textId="77777777" w:rsidR="009B7AED" w:rsidRPr="000C48E4" w:rsidRDefault="009B7AED" w:rsidP="002841D0">
            <w:pPr>
              <w:pStyle w:val="TMGTable1"/>
              <w:spacing w:before="10" w:after="10"/>
              <w:rPr>
                <w:rFonts w:ascii="Calibri" w:hAnsi="Calibri" w:cs="Calibri"/>
                <w:b w:val="0"/>
                <w:bCs w:val="0"/>
                <w:sz w:val="20"/>
                <w:szCs w:val="20"/>
              </w:rPr>
            </w:pPr>
            <w:r w:rsidRPr="000C48E4">
              <w:rPr>
                <w:rFonts w:ascii="Calibri" w:hAnsi="Calibri" w:cs="Calibri"/>
                <w:sz w:val="20"/>
                <w:szCs w:val="20"/>
              </w:rPr>
              <w:t>64-68</w:t>
            </w:r>
          </w:p>
        </w:tc>
        <w:tc>
          <w:tcPr>
            <w:tcW w:w="754" w:type="dxa"/>
          </w:tcPr>
          <w:p w14:paraId="7503FEC7" w14:textId="77777777" w:rsidR="009B7AED" w:rsidRPr="000C48E4" w:rsidRDefault="009B7AED" w:rsidP="002841D0">
            <w:pPr>
              <w:pStyle w:val="TMGTable1"/>
              <w:spacing w:before="10" w:after="10"/>
              <w:rPr>
                <w:rFonts w:ascii="Calibri" w:hAnsi="Calibri" w:cs="Calibri"/>
                <w:b w:val="0"/>
                <w:bCs w:val="0"/>
                <w:sz w:val="20"/>
                <w:szCs w:val="20"/>
              </w:rPr>
            </w:pPr>
            <w:r w:rsidRPr="000C48E4">
              <w:rPr>
                <w:rFonts w:ascii="Calibri" w:hAnsi="Calibri" w:cs="Calibri"/>
                <w:sz w:val="20"/>
                <w:szCs w:val="20"/>
              </w:rPr>
              <w:t>69-73</w:t>
            </w:r>
          </w:p>
        </w:tc>
        <w:tc>
          <w:tcPr>
            <w:tcW w:w="753" w:type="dxa"/>
          </w:tcPr>
          <w:p w14:paraId="35520D68" w14:textId="77777777" w:rsidR="009B7AED" w:rsidRPr="000C48E4" w:rsidRDefault="009B7AED" w:rsidP="002841D0">
            <w:pPr>
              <w:pStyle w:val="TMGTable1"/>
              <w:spacing w:before="10" w:after="10"/>
              <w:rPr>
                <w:rFonts w:ascii="Calibri" w:hAnsi="Calibri" w:cs="Calibri"/>
                <w:b w:val="0"/>
                <w:bCs w:val="0"/>
                <w:sz w:val="20"/>
                <w:szCs w:val="20"/>
              </w:rPr>
            </w:pPr>
            <w:r w:rsidRPr="000C48E4">
              <w:rPr>
                <w:rFonts w:ascii="Calibri" w:hAnsi="Calibri" w:cs="Calibri"/>
                <w:sz w:val="20"/>
                <w:szCs w:val="20"/>
              </w:rPr>
              <w:t>74-78</w:t>
            </w:r>
          </w:p>
        </w:tc>
        <w:tc>
          <w:tcPr>
            <w:tcW w:w="754" w:type="dxa"/>
          </w:tcPr>
          <w:p w14:paraId="27D92507" w14:textId="77777777" w:rsidR="009B7AED" w:rsidRPr="000C48E4" w:rsidRDefault="009B7AED" w:rsidP="002841D0">
            <w:pPr>
              <w:pStyle w:val="TMGTable1"/>
              <w:spacing w:before="10" w:after="10"/>
              <w:rPr>
                <w:rFonts w:ascii="Calibri" w:hAnsi="Calibri" w:cs="Calibri"/>
                <w:b w:val="0"/>
                <w:bCs w:val="0"/>
                <w:sz w:val="20"/>
                <w:szCs w:val="20"/>
              </w:rPr>
            </w:pPr>
            <w:r w:rsidRPr="000C48E4">
              <w:rPr>
                <w:rFonts w:ascii="Calibri" w:hAnsi="Calibri" w:cs="Calibri"/>
                <w:sz w:val="20"/>
                <w:szCs w:val="20"/>
              </w:rPr>
              <w:t>79-83</w:t>
            </w:r>
          </w:p>
        </w:tc>
        <w:tc>
          <w:tcPr>
            <w:tcW w:w="754" w:type="dxa"/>
          </w:tcPr>
          <w:p w14:paraId="506E33A4" w14:textId="77777777" w:rsidR="009B7AED" w:rsidRPr="000C48E4" w:rsidRDefault="009B7AED" w:rsidP="002841D0">
            <w:pPr>
              <w:pStyle w:val="TMGTable1"/>
              <w:spacing w:before="10" w:after="10"/>
              <w:rPr>
                <w:rFonts w:ascii="Calibri" w:hAnsi="Calibri" w:cs="Calibri"/>
                <w:b w:val="0"/>
                <w:bCs w:val="0"/>
                <w:sz w:val="20"/>
                <w:szCs w:val="20"/>
              </w:rPr>
            </w:pPr>
            <w:r w:rsidRPr="000C48E4">
              <w:rPr>
                <w:rFonts w:ascii="Calibri" w:hAnsi="Calibri" w:cs="Calibri"/>
                <w:sz w:val="20"/>
                <w:szCs w:val="20"/>
              </w:rPr>
              <w:t>84-88</w:t>
            </w:r>
          </w:p>
        </w:tc>
        <w:tc>
          <w:tcPr>
            <w:tcW w:w="753" w:type="dxa"/>
          </w:tcPr>
          <w:p w14:paraId="2EBFF9F7" w14:textId="77777777" w:rsidR="009B7AED" w:rsidRPr="000C48E4" w:rsidRDefault="009B7AED" w:rsidP="002841D0">
            <w:pPr>
              <w:pStyle w:val="TMGTable1"/>
              <w:spacing w:before="10" w:after="10"/>
              <w:rPr>
                <w:rFonts w:ascii="Calibri" w:hAnsi="Calibri" w:cs="Calibri"/>
                <w:b w:val="0"/>
                <w:bCs w:val="0"/>
                <w:sz w:val="20"/>
                <w:szCs w:val="20"/>
              </w:rPr>
            </w:pPr>
            <w:r w:rsidRPr="000C48E4">
              <w:rPr>
                <w:rFonts w:ascii="Calibri" w:hAnsi="Calibri" w:cs="Calibri"/>
                <w:sz w:val="20"/>
                <w:szCs w:val="20"/>
              </w:rPr>
              <w:t>89-93</w:t>
            </w:r>
          </w:p>
        </w:tc>
        <w:tc>
          <w:tcPr>
            <w:tcW w:w="754" w:type="dxa"/>
          </w:tcPr>
          <w:p w14:paraId="15E534FA" w14:textId="77777777" w:rsidR="009B7AED" w:rsidRPr="000C48E4" w:rsidRDefault="009B7AED" w:rsidP="002841D0">
            <w:pPr>
              <w:pStyle w:val="TMGTable1"/>
              <w:spacing w:before="10" w:after="10"/>
              <w:rPr>
                <w:rFonts w:ascii="Calibri" w:hAnsi="Calibri" w:cs="Calibri"/>
                <w:b w:val="0"/>
                <w:bCs w:val="0"/>
                <w:sz w:val="20"/>
                <w:szCs w:val="20"/>
              </w:rPr>
            </w:pPr>
            <w:r w:rsidRPr="000C48E4">
              <w:rPr>
                <w:rFonts w:ascii="Calibri" w:hAnsi="Calibri" w:cs="Calibri"/>
                <w:sz w:val="20"/>
                <w:szCs w:val="20"/>
              </w:rPr>
              <w:t>94-98</w:t>
            </w:r>
          </w:p>
        </w:tc>
        <w:tc>
          <w:tcPr>
            <w:tcW w:w="754" w:type="dxa"/>
          </w:tcPr>
          <w:p w14:paraId="152E0FCC" w14:textId="77777777" w:rsidR="009B7AED" w:rsidRPr="000C48E4" w:rsidRDefault="009B7AED" w:rsidP="002841D0">
            <w:pPr>
              <w:pStyle w:val="TMGTable1"/>
              <w:spacing w:before="10" w:after="10"/>
              <w:rPr>
                <w:rFonts w:ascii="Calibri" w:hAnsi="Calibri" w:cs="Calibri"/>
                <w:b w:val="0"/>
                <w:bCs w:val="0"/>
                <w:sz w:val="20"/>
                <w:szCs w:val="20"/>
              </w:rPr>
            </w:pPr>
            <w:r w:rsidRPr="000C48E4">
              <w:rPr>
                <w:rFonts w:ascii="Calibri" w:hAnsi="Calibri" w:cs="Calibri"/>
                <w:sz w:val="20"/>
                <w:szCs w:val="20"/>
              </w:rPr>
              <w:t>99-103</w:t>
            </w:r>
          </w:p>
        </w:tc>
      </w:tr>
      <w:tr w:rsidR="009B7AED" w:rsidRPr="000C48E4" w14:paraId="116B5183" w14:textId="77777777" w:rsidTr="00E1261E">
        <w:trPr>
          <w:trHeight w:val="60"/>
          <w:jc w:val="center"/>
        </w:trPr>
        <w:tc>
          <w:tcPr>
            <w:tcW w:w="1070" w:type="dxa"/>
          </w:tcPr>
          <w:p w14:paraId="3BC0285C" w14:textId="77777777" w:rsidR="009B7AED" w:rsidRPr="000C48E4" w:rsidRDefault="009B7AED" w:rsidP="002841D0">
            <w:pPr>
              <w:pStyle w:val="TMGTable1"/>
              <w:spacing w:before="10" w:after="10"/>
              <w:jc w:val="left"/>
              <w:rPr>
                <w:rFonts w:ascii="Calibri" w:hAnsi="Calibri" w:cs="Calibri"/>
                <w:sz w:val="20"/>
                <w:szCs w:val="20"/>
              </w:rPr>
            </w:pPr>
            <w:r w:rsidRPr="000C48E4">
              <w:rPr>
                <w:rStyle w:val="Bold"/>
                <w:rFonts w:ascii="Calibri" w:hAnsi="Calibri" w:cs="Calibri"/>
                <w:sz w:val="20"/>
                <w:szCs w:val="20"/>
              </w:rPr>
              <w:t>Content 01 Example:</w:t>
            </w:r>
          </w:p>
        </w:tc>
        <w:tc>
          <w:tcPr>
            <w:tcW w:w="753" w:type="dxa"/>
          </w:tcPr>
          <w:p w14:paraId="55D92724"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00001</w:t>
            </w:r>
          </w:p>
        </w:tc>
        <w:tc>
          <w:tcPr>
            <w:tcW w:w="754" w:type="dxa"/>
          </w:tcPr>
          <w:p w14:paraId="06BF6221"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3" w:type="dxa"/>
          </w:tcPr>
          <w:p w14:paraId="77243B7D"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4" w:type="dxa"/>
          </w:tcPr>
          <w:p w14:paraId="440B30C2"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00002</w:t>
            </w:r>
          </w:p>
        </w:tc>
        <w:tc>
          <w:tcPr>
            <w:tcW w:w="754" w:type="dxa"/>
          </w:tcPr>
          <w:p w14:paraId="7C5A502D"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00007</w:t>
            </w:r>
          </w:p>
        </w:tc>
        <w:tc>
          <w:tcPr>
            <w:tcW w:w="753" w:type="dxa"/>
          </w:tcPr>
          <w:p w14:paraId="2FC2B60D"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4" w:type="dxa"/>
          </w:tcPr>
          <w:p w14:paraId="5BCED32F"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4" w:type="dxa"/>
          </w:tcPr>
          <w:p w14:paraId="28889056"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3" w:type="dxa"/>
          </w:tcPr>
          <w:p w14:paraId="1A15FA0D"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00001</w:t>
            </w:r>
          </w:p>
        </w:tc>
        <w:tc>
          <w:tcPr>
            <w:tcW w:w="754" w:type="dxa"/>
          </w:tcPr>
          <w:p w14:paraId="58269126"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4" w:type="dxa"/>
          </w:tcPr>
          <w:p w14:paraId="5A9B4322"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r>
      <w:tr w:rsidR="009B7AED" w:rsidRPr="000C48E4" w14:paraId="793D9C1D" w14:textId="77777777" w:rsidTr="00E1261E">
        <w:trPr>
          <w:trHeight w:val="60"/>
          <w:jc w:val="center"/>
        </w:trPr>
        <w:tc>
          <w:tcPr>
            <w:tcW w:w="1070" w:type="dxa"/>
          </w:tcPr>
          <w:p w14:paraId="5D22C01E" w14:textId="77777777" w:rsidR="009B7AED" w:rsidRPr="000C48E4" w:rsidRDefault="009B7AED" w:rsidP="002841D0">
            <w:pPr>
              <w:pStyle w:val="TMGTable1"/>
              <w:spacing w:before="10" w:after="10"/>
              <w:jc w:val="left"/>
              <w:rPr>
                <w:rFonts w:ascii="Calibri" w:hAnsi="Calibri" w:cs="Calibri"/>
                <w:color w:val="auto"/>
                <w:sz w:val="20"/>
                <w:szCs w:val="20"/>
              </w:rPr>
            </w:pPr>
            <w:r w:rsidRPr="000C48E4">
              <w:rPr>
                <w:rStyle w:val="Bold"/>
                <w:rFonts w:ascii="Calibri" w:hAnsi="Calibri" w:cs="Calibri"/>
                <w:sz w:val="20"/>
                <w:szCs w:val="20"/>
              </w:rPr>
              <w:t>Content 02 Example:</w:t>
            </w:r>
          </w:p>
        </w:tc>
        <w:tc>
          <w:tcPr>
            <w:tcW w:w="753" w:type="dxa"/>
          </w:tcPr>
          <w:p w14:paraId="19311B36"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4" w:type="dxa"/>
          </w:tcPr>
          <w:p w14:paraId="0BEDB811"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3" w:type="dxa"/>
          </w:tcPr>
          <w:p w14:paraId="39BB28A9"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4" w:type="dxa"/>
          </w:tcPr>
          <w:p w14:paraId="5C13B5FB"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00003</w:t>
            </w:r>
          </w:p>
        </w:tc>
        <w:tc>
          <w:tcPr>
            <w:tcW w:w="754" w:type="dxa"/>
          </w:tcPr>
          <w:p w14:paraId="7B394F2C"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00005</w:t>
            </w:r>
          </w:p>
        </w:tc>
        <w:tc>
          <w:tcPr>
            <w:tcW w:w="753" w:type="dxa"/>
          </w:tcPr>
          <w:p w14:paraId="609F47E3"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4" w:type="dxa"/>
          </w:tcPr>
          <w:p w14:paraId="5995C7E0"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4" w:type="dxa"/>
          </w:tcPr>
          <w:p w14:paraId="6221B23E"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3" w:type="dxa"/>
          </w:tcPr>
          <w:p w14:paraId="41BFD482"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4" w:type="dxa"/>
          </w:tcPr>
          <w:p w14:paraId="77484CD9"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4" w:type="dxa"/>
          </w:tcPr>
          <w:p w14:paraId="2BB927EE"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r>
      <w:tr w:rsidR="009B7AED" w:rsidRPr="000C48E4" w14:paraId="71665420" w14:textId="77777777" w:rsidTr="00E1261E">
        <w:trPr>
          <w:trHeight w:val="60"/>
          <w:jc w:val="center"/>
        </w:trPr>
        <w:tc>
          <w:tcPr>
            <w:tcW w:w="1070" w:type="dxa"/>
          </w:tcPr>
          <w:p w14:paraId="4B9B0FC0" w14:textId="77777777" w:rsidR="009B7AED" w:rsidRPr="000C48E4" w:rsidRDefault="009B7AED" w:rsidP="002841D0">
            <w:pPr>
              <w:pStyle w:val="TMGTable1"/>
              <w:spacing w:before="10" w:after="10"/>
              <w:jc w:val="left"/>
              <w:rPr>
                <w:rFonts w:ascii="Calibri" w:hAnsi="Calibri" w:cs="Calibri"/>
                <w:color w:val="auto"/>
                <w:sz w:val="20"/>
                <w:szCs w:val="20"/>
              </w:rPr>
            </w:pPr>
            <w:r w:rsidRPr="000C48E4">
              <w:rPr>
                <w:rStyle w:val="Bold"/>
                <w:rFonts w:ascii="Calibri" w:hAnsi="Calibri" w:cs="Calibri"/>
                <w:sz w:val="20"/>
                <w:szCs w:val="20"/>
              </w:rPr>
              <w:t>Content 03 Example:</w:t>
            </w:r>
          </w:p>
        </w:tc>
        <w:tc>
          <w:tcPr>
            <w:tcW w:w="753" w:type="dxa"/>
          </w:tcPr>
          <w:p w14:paraId="16B82579"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00001</w:t>
            </w:r>
          </w:p>
        </w:tc>
        <w:tc>
          <w:tcPr>
            <w:tcW w:w="754" w:type="dxa"/>
          </w:tcPr>
          <w:p w14:paraId="31825BF0"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00001</w:t>
            </w:r>
          </w:p>
        </w:tc>
        <w:tc>
          <w:tcPr>
            <w:tcW w:w="753" w:type="dxa"/>
          </w:tcPr>
          <w:p w14:paraId="710DDCE0"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4" w:type="dxa"/>
          </w:tcPr>
          <w:p w14:paraId="3BDF83A6"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00001</w:t>
            </w:r>
          </w:p>
        </w:tc>
        <w:tc>
          <w:tcPr>
            <w:tcW w:w="754" w:type="dxa"/>
          </w:tcPr>
          <w:p w14:paraId="08CA3DF7"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00008</w:t>
            </w:r>
          </w:p>
        </w:tc>
        <w:tc>
          <w:tcPr>
            <w:tcW w:w="753" w:type="dxa"/>
          </w:tcPr>
          <w:p w14:paraId="51B7EB38"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4" w:type="dxa"/>
          </w:tcPr>
          <w:p w14:paraId="17C7AFEB"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4" w:type="dxa"/>
          </w:tcPr>
          <w:p w14:paraId="62B4856A"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3" w:type="dxa"/>
          </w:tcPr>
          <w:p w14:paraId="426F1271"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00001</w:t>
            </w:r>
          </w:p>
        </w:tc>
        <w:tc>
          <w:tcPr>
            <w:tcW w:w="754" w:type="dxa"/>
          </w:tcPr>
          <w:p w14:paraId="3A235836"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4" w:type="dxa"/>
          </w:tcPr>
          <w:p w14:paraId="78FBDD51"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r>
      <w:tr w:rsidR="009B7AED" w:rsidRPr="000C48E4" w14:paraId="19AAB8D4" w14:textId="77777777" w:rsidTr="00E1261E">
        <w:trPr>
          <w:trHeight w:val="60"/>
          <w:jc w:val="center"/>
        </w:trPr>
        <w:tc>
          <w:tcPr>
            <w:tcW w:w="1070" w:type="dxa"/>
          </w:tcPr>
          <w:p w14:paraId="7DB63872" w14:textId="77777777" w:rsidR="009B7AED" w:rsidRPr="000C48E4" w:rsidRDefault="009B7AED" w:rsidP="002841D0">
            <w:pPr>
              <w:pStyle w:val="TMGTable1"/>
              <w:spacing w:before="10" w:after="10"/>
              <w:jc w:val="left"/>
              <w:rPr>
                <w:rFonts w:ascii="Calibri" w:hAnsi="Calibri" w:cs="Calibri"/>
                <w:color w:val="auto"/>
                <w:sz w:val="20"/>
                <w:szCs w:val="20"/>
              </w:rPr>
            </w:pPr>
            <w:r w:rsidRPr="000C48E4">
              <w:rPr>
                <w:rStyle w:val="Bold"/>
                <w:rFonts w:ascii="Calibri" w:hAnsi="Calibri" w:cs="Calibri"/>
                <w:sz w:val="20"/>
                <w:szCs w:val="20"/>
              </w:rPr>
              <w:t>Content 04 Example:</w:t>
            </w:r>
          </w:p>
        </w:tc>
        <w:tc>
          <w:tcPr>
            <w:tcW w:w="753" w:type="dxa"/>
          </w:tcPr>
          <w:p w14:paraId="52A0721C"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4" w:type="dxa"/>
          </w:tcPr>
          <w:p w14:paraId="70469062"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3" w:type="dxa"/>
          </w:tcPr>
          <w:p w14:paraId="5E1DF53D"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4" w:type="dxa"/>
          </w:tcPr>
          <w:p w14:paraId="3E5605E5"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00002</w:t>
            </w:r>
          </w:p>
        </w:tc>
        <w:tc>
          <w:tcPr>
            <w:tcW w:w="754" w:type="dxa"/>
          </w:tcPr>
          <w:p w14:paraId="052CE8C7"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00009</w:t>
            </w:r>
          </w:p>
        </w:tc>
        <w:tc>
          <w:tcPr>
            <w:tcW w:w="753" w:type="dxa"/>
          </w:tcPr>
          <w:p w14:paraId="26EAD1D1"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4" w:type="dxa"/>
          </w:tcPr>
          <w:p w14:paraId="19800942"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4" w:type="dxa"/>
          </w:tcPr>
          <w:p w14:paraId="5FEFE3A5"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3" w:type="dxa"/>
          </w:tcPr>
          <w:p w14:paraId="10FD1366"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4" w:type="dxa"/>
          </w:tcPr>
          <w:p w14:paraId="57DDFD74"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4" w:type="dxa"/>
          </w:tcPr>
          <w:p w14:paraId="7A513D54"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r>
      <w:tr w:rsidR="009B7AED" w:rsidRPr="000C48E4" w14:paraId="37F5A076" w14:textId="77777777" w:rsidTr="00E1261E">
        <w:trPr>
          <w:trHeight w:val="60"/>
          <w:jc w:val="center"/>
        </w:trPr>
        <w:tc>
          <w:tcPr>
            <w:tcW w:w="1070" w:type="dxa"/>
          </w:tcPr>
          <w:p w14:paraId="4581537D" w14:textId="77777777" w:rsidR="009B7AED" w:rsidRPr="000C48E4" w:rsidRDefault="009B7AED" w:rsidP="002841D0">
            <w:pPr>
              <w:pStyle w:val="TMGTable1"/>
              <w:spacing w:before="10" w:after="10"/>
              <w:jc w:val="left"/>
              <w:rPr>
                <w:rFonts w:ascii="Calibri" w:hAnsi="Calibri" w:cs="Calibri"/>
                <w:color w:val="auto"/>
                <w:sz w:val="20"/>
                <w:szCs w:val="20"/>
              </w:rPr>
            </w:pPr>
            <w:r w:rsidRPr="000C48E4">
              <w:rPr>
                <w:rStyle w:val="Bold"/>
                <w:rFonts w:ascii="Calibri" w:hAnsi="Calibri" w:cs="Calibri"/>
                <w:sz w:val="20"/>
                <w:szCs w:val="20"/>
              </w:rPr>
              <w:t>Content 05 Example:</w:t>
            </w:r>
          </w:p>
        </w:tc>
        <w:tc>
          <w:tcPr>
            <w:tcW w:w="753" w:type="dxa"/>
          </w:tcPr>
          <w:p w14:paraId="0D6CBE47"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4" w:type="dxa"/>
          </w:tcPr>
          <w:p w14:paraId="1FCC516F"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00001</w:t>
            </w:r>
          </w:p>
        </w:tc>
        <w:tc>
          <w:tcPr>
            <w:tcW w:w="753" w:type="dxa"/>
          </w:tcPr>
          <w:p w14:paraId="7C5CC62B"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4" w:type="dxa"/>
          </w:tcPr>
          <w:p w14:paraId="0E2B5E54"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00004</w:t>
            </w:r>
          </w:p>
        </w:tc>
        <w:tc>
          <w:tcPr>
            <w:tcW w:w="754" w:type="dxa"/>
          </w:tcPr>
          <w:p w14:paraId="30CE75FD"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00012</w:t>
            </w:r>
          </w:p>
        </w:tc>
        <w:tc>
          <w:tcPr>
            <w:tcW w:w="753" w:type="dxa"/>
          </w:tcPr>
          <w:p w14:paraId="7B912A99"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00001</w:t>
            </w:r>
          </w:p>
        </w:tc>
        <w:tc>
          <w:tcPr>
            <w:tcW w:w="754" w:type="dxa"/>
          </w:tcPr>
          <w:p w14:paraId="0B1C188F"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4" w:type="dxa"/>
          </w:tcPr>
          <w:p w14:paraId="4FE6EBDB"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3" w:type="dxa"/>
          </w:tcPr>
          <w:p w14:paraId="68F31C74"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4" w:type="dxa"/>
          </w:tcPr>
          <w:p w14:paraId="51977D8F"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4" w:type="dxa"/>
          </w:tcPr>
          <w:p w14:paraId="3BB8B49C"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r>
      <w:tr w:rsidR="009B7AED" w:rsidRPr="000C48E4" w14:paraId="13647762" w14:textId="77777777" w:rsidTr="00E1261E">
        <w:trPr>
          <w:trHeight w:val="60"/>
          <w:jc w:val="center"/>
        </w:trPr>
        <w:tc>
          <w:tcPr>
            <w:tcW w:w="1070" w:type="dxa"/>
          </w:tcPr>
          <w:p w14:paraId="651995E6" w14:textId="77777777" w:rsidR="009B7AED" w:rsidRPr="000C48E4" w:rsidRDefault="009B7AED" w:rsidP="002841D0">
            <w:pPr>
              <w:pStyle w:val="TMGTable1"/>
              <w:spacing w:before="10" w:after="10"/>
              <w:jc w:val="left"/>
              <w:rPr>
                <w:rFonts w:ascii="Calibri" w:hAnsi="Calibri" w:cs="Calibri"/>
                <w:color w:val="auto"/>
                <w:sz w:val="20"/>
                <w:szCs w:val="20"/>
              </w:rPr>
            </w:pPr>
            <w:r w:rsidRPr="000C48E4">
              <w:rPr>
                <w:rStyle w:val="Bold"/>
                <w:rFonts w:ascii="Calibri" w:hAnsi="Calibri" w:cs="Calibri"/>
                <w:sz w:val="20"/>
                <w:szCs w:val="20"/>
              </w:rPr>
              <w:t>Content 06 Example:</w:t>
            </w:r>
          </w:p>
        </w:tc>
        <w:tc>
          <w:tcPr>
            <w:tcW w:w="753" w:type="dxa"/>
          </w:tcPr>
          <w:p w14:paraId="219879E4"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00001</w:t>
            </w:r>
          </w:p>
        </w:tc>
        <w:tc>
          <w:tcPr>
            <w:tcW w:w="754" w:type="dxa"/>
          </w:tcPr>
          <w:p w14:paraId="7188D16E"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3" w:type="dxa"/>
          </w:tcPr>
          <w:p w14:paraId="28D74C3E"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4" w:type="dxa"/>
          </w:tcPr>
          <w:p w14:paraId="6694B3EC"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4" w:type="dxa"/>
          </w:tcPr>
          <w:p w14:paraId="71C756EC"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00015</w:t>
            </w:r>
          </w:p>
        </w:tc>
        <w:tc>
          <w:tcPr>
            <w:tcW w:w="753" w:type="dxa"/>
          </w:tcPr>
          <w:p w14:paraId="075E950C"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00002</w:t>
            </w:r>
          </w:p>
        </w:tc>
        <w:tc>
          <w:tcPr>
            <w:tcW w:w="754" w:type="dxa"/>
          </w:tcPr>
          <w:p w14:paraId="5288A3D5"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4" w:type="dxa"/>
          </w:tcPr>
          <w:p w14:paraId="5F01FE3D"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3" w:type="dxa"/>
          </w:tcPr>
          <w:p w14:paraId="6A835E86"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4" w:type="dxa"/>
          </w:tcPr>
          <w:p w14:paraId="4CCE17E4"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4" w:type="dxa"/>
          </w:tcPr>
          <w:p w14:paraId="19775E2C"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r>
      <w:tr w:rsidR="009B7AED" w:rsidRPr="000C48E4" w14:paraId="055B649E" w14:textId="77777777" w:rsidTr="00E1261E">
        <w:trPr>
          <w:trHeight w:val="60"/>
          <w:jc w:val="center"/>
        </w:trPr>
        <w:tc>
          <w:tcPr>
            <w:tcW w:w="1070" w:type="dxa"/>
          </w:tcPr>
          <w:p w14:paraId="1044A353" w14:textId="77777777" w:rsidR="009B7AED" w:rsidRPr="000C48E4" w:rsidRDefault="009B7AED" w:rsidP="002841D0">
            <w:pPr>
              <w:pStyle w:val="TMGTable1"/>
              <w:spacing w:before="10" w:after="10"/>
              <w:jc w:val="left"/>
              <w:rPr>
                <w:rFonts w:ascii="Calibri" w:hAnsi="Calibri" w:cs="Calibri"/>
                <w:color w:val="auto"/>
                <w:sz w:val="20"/>
                <w:szCs w:val="20"/>
              </w:rPr>
            </w:pPr>
            <w:r w:rsidRPr="000C48E4">
              <w:rPr>
                <w:rStyle w:val="Bold"/>
                <w:rFonts w:ascii="Calibri" w:hAnsi="Calibri" w:cs="Calibri"/>
                <w:sz w:val="20"/>
                <w:szCs w:val="20"/>
              </w:rPr>
              <w:t>Content 07 Example:</w:t>
            </w:r>
          </w:p>
        </w:tc>
        <w:tc>
          <w:tcPr>
            <w:tcW w:w="753" w:type="dxa"/>
          </w:tcPr>
          <w:p w14:paraId="343A6DE3"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00001</w:t>
            </w:r>
          </w:p>
        </w:tc>
        <w:tc>
          <w:tcPr>
            <w:tcW w:w="754" w:type="dxa"/>
          </w:tcPr>
          <w:p w14:paraId="409662EC"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3" w:type="dxa"/>
          </w:tcPr>
          <w:p w14:paraId="645DE02F"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4" w:type="dxa"/>
          </w:tcPr>
          <w:p w14:paraId="006E4CDC"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00002</w:t>
            </w:r>
          </w:p>
        </w:tc>
        <w:tc>
          <w:tcPr>
            <w:tcW w:w="754" w:type="dxa"/>
          </w:tcPr>
          <w:p w14:paraId="228748F9"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00016</w:t>
            </w:r>
          </w:p>
        </w:tc>
        <w:tc>
          <w:tcPr>
            <w:tcW w:w="753" w:type="dxa"/>
          </w:tcPr>
          <w:p w14:paraId="3B074303"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4" w:type="dxa"/>
          </w:tcPr>
          <w:p w14:paraId="20A2A52B"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00001</w:t>
            </w:r>
          </w:p>
        </w:tc>
        <w:tc>
          <w:tcPr>
            <w:tcW w:w="754" w:type="dxa"/>
          </w:tcPr>
          <w:p w14:paraId="1AA720F7"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3" w:type="dxa"/>
          </w:tcPr>
          <w:p w14:paraId="18A85C01"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4" w:type="dxa"/>
          </w:tcPr>
          <w:p w14:paraId="0DDE55A7"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4" w:type="dxa"/>
          </w:tcPr>
          <w:p w14:paraId="25889F7E"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r>
      <w:tr w:rsidR="009B7AED" w:rsidRPr="000C48E4" w14:paraId="2FB7C64C" w14:textId="77777777" w:rsidTr="00E1261E">
        <w:trPr>
          <w:trHeight w:val="60"/>
          <w:jc w:val="center"/>
        </w:trPr>
        <w:tc>
          <w:tcPr>
            <w:tcW w:w="1070" w:type="dxa"/>
          </w:tcPr>
          <w:p w14:paraId="1E2FAB96" w14:textId="77777777" w:rsidR="009B7AED" w:rsidRPr="000C48E4" w:rsidRDefault="009B7AED" w:rsidP="002841D0">
            <w:pPr>
              <w:pStyle w:val="TMGTable1"/>
              <w:spacing w:before="10" w:after="10"/>
              <w:jc w:val="left"/>
              <w:rPr>
                <w:rFonts w:ascii="Calibri" w:hAnsi="Calibri" w:cs="Calibri"/>
                <w:color w:val="auto"/>
                <w:sz w:val="20"/>
                <w:szCs w:val="20"/>
              </w:rPr>
            </w:pPr>
            <w:r w:rsidRPr="000C48E4">
              <w:rPr>
                <w:rStyle w:val="Bold"/>
                <w:rFonts w:ascii="Calibri" w:hAnsi="Calibri" w:cs="Calibri"/>
                <w:sz w:val="20"/>
                <w:szCs w:val="20"/>
              </w:rPr>
              <w:t>Content 08 Example:</w:t>
            </w:r>
          </w:p>
        </w:tc>
        <w:tc>
          <w:tcPr>
            <w:tcW w:w="753" w:type="dxa"/>
          </w:tcPr>
          <w:p w14:paraId="25D65716"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4" w:type="dxa"/>
          </w:tcPr>
          <w:p w14:paraId="2AD7A64F"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3" w:type="dxa"/>
          </w:tcPr>
          <w:p w14:paraId="2E13EAD5"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4" w:type="dxa"/>
          </w:tcPr>
          <w:p w14:paraId="4D24C7D1"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00003</w:t>
            </w:r>
          </w:p>
        </w:tc>
        <w:tc>
          <w:tcPr>
            <w:tcW w:w="754" w:type="dxa"/>
          </w:tcPr>
          <w:p w14:paraId="17127FFC"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00013</w:t>
            </w:r>
          </w:p>
        </w:tc>
        <w:tc>
          <w:tcPr>
            <w:tcW w:w="753" w:type="dxa"/>
          </w:tcPr>
          <w:p w14:paraId="3BC49EF8"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4" w:type="dxa"/>
          </w:tcPr>
          <w:p w14:paraId="01136152"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4" w:type="dxa"/>
          </w:tcPr>
          <w:p w14:paraId="5F89365E"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3" w:type="dxa"/>
          </w:tcPr>
          <w:p w14:paraId="2DF79B1A"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00001</w:t>
            </w:r>
          </w:p>
        </w:tc>
        <w:tc>
          <w:tcPr>
            <w:tcW w:w="754" w:type="dxa"/>
          </w:tcPr>
          <w:p w14:paraId="0F06096B"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c>
          <w:tcPr>
            <w:tcW w:w="754" w:type="dxa"/>
          </w:tcPr>
          <w:p w14:paraId="75A40098" w14:textId="77777777" w:rsidR="009B7AED" w:rsidRPr="000C48E4" w:rsidRDefault="009B7AED" w:rsidP="002841D0">
            <w:pPr>
              <w:pStyle w:val="TMGTable1"/>
              <w:spacing w:before="10" w:after="10"/>
              <w:rPr>
                <w:rFonts w:ascii="Calibri" w:hAnsi="Calibri" w:cs="Calibri"/>
                <w:sz w:val="20"/>
                <w:szCs w:val="20"/>
              </w:rPr>
            </w:pPr>
            <w:r w:rsidRPr="000C48E4">
              <w:rPr>
                <w:rFonts w:ascii="Calibri" w:hAnsi="Calibri" w:cs="Calibri"/>
                <w:sz w:val="20"/>
                <w:szCs w:val="20"/>
              </w:rPr>
              <w:t>00000</w:t>
            </w:r>
          </w:p>
        </w:tc>
      </w:tr>
    </w:tbl>
    <w:p w14:paraId="6ACEA84F" w14:textId="36D7596C" w:rsidR="009B7AED" w:rsidRPr="007E0AD5" w:rsidRDefault="009B7AED">
      <w:pPr>
        <w:pStyle w:val="Heading3"/>
      </w:pPr>
      <w:bookmarkStart w:id="3038" w:name="_Toc109301284"/>
      <w:bookmarkStart w:id="3039" w:name="_Toc109333018"/>
      <w:bookmarkStart w:id="3040" w:name="_Toc109333611"/>
      <w:bookmarkStart w:id="3041" w:name="_Toc113281109"/>
      <w:bookmarkStart w:id="3042" w:name="_Toc118205697"/>
      <w:bookmarkStart w:id="3043" w:name="_Toc63976751"/>
      <w:r w:rsidRPr="007E0AD5">
        <w:t>Vehicle Classification – Pipe-Delimited Format</w:t>
      </w:r>
      <w:bookmarkEnd w:id="3038"/>
      <w:bookmarkEnd w:id="3039"/>
      <w:bookmarkEnd w:id="3040"/>
      <w:bookmarkEnd w:id="3041"/>
      <w:bookmarkEnd w:id="3042"/>
    </w:p>
    <w:bookmarkEnd w:id="3043"/>
    <w:p w14:paraId="151BCDAC" w14:textId="01FF3334" w:rsidR="000C48E4" w:rsidRDefault="009B7AED" w:rsidP="00A35EAF">
      <w:pPr>
        <w:pStyle w:val="BodyText"/>
      </w:pPr>
      <w:r>
        <w:t xml:space="preserve">State highway agencies can also submit vehicle classification data using the pipe-delimited format. The key difference between the fixed-width format and the pipe-delimited format is that with the pipe-delimited file, data elements no longer need to match the starting and ending columns. Length of data elements can be equal or shorter than the specified lengths. </w:t>
      </w:r>
      <w:r>
        <w:rPr>
          <w:rStyle w:val="Italic"/>
          <w:i w:val="0"/>
        </w:rPr>
        <w:t xml:space="preserve">The field order for the pipe-delimited format is identical to the order for the fixed-width format (see </w:t>
      </w:r>
      <w:r>
        <w:rPr>
          <w:rStyle w:val="Italic"/>
          <w:i w:val="0"/>
        </w:rPr>
        <w:fldChar w:fldCharType="begin"/>
      </w:r>
      <w:r>
        <w:rPr>
          <w:rStyle w:val="Italic"/>
          <w:i w:val="0"/>
        </w:rPr>
        <w:instrText xml:space="preserve"> REF _Ref111193321 </w:instrText>
      </w:r>
      <w:r>
        <w:rPr>
          <w:rStyle w:val="Italic"/>
          <w:i w:val="0"/>
        </w:rPr>
        <w:fldChar w:fldCharType="separate"/>
      </w:r>
      <w:r w:rsidR="00C07DF9">
        <w:t xml:space="preserve">Table </w:t>
      </w:r>
      <w:r w:rsidR="00C07DF9">
        <w:rPr>
          <w:noProof/>
        </w:rPr>
        <w:t>4</w:t>
      </w:r>
      <w:r w:rsidR="00C07DF9">
        <w:noBreakHyphen/>
      </w:r>
      <w:r w:rsidR="00C07DF9">
        <w:rPr>
          <w:noProof/>
        </w:rPr>
        <w:t>17</w:t>
      </w:r>
      <w:r>
        <w:rPr>
          <w:rStyle w:val="Italic"/>
          <w:i w:val="0"/>
        </w:rPr>
        <w:fldChar w:fldCharType="end"/>
      </w:r>
      <w:r>
        <w:rPr>
          <w:rStyle w:val="Italic"/>
          <w:i w:val="0"/>
        </w:rPr>
        <w:t xml:space="preserve">). In this format, the fields are separated by a </w:t>
      </w:r>
      <w:r>
        <w:t>pipe symbol (|) instead of beginning in specified columns. Example records in this format are provided below.</w:t>
      </w:r>
      <w:r w:rsidDel="00150A09">
        <w:t xml:space="preserve"> </w:t>
      </w:r>
    </w:p>
    <w:p w14:paraId="06273480" w14:textId="77777777" w:rsidR="000C48E4" w:rsidRDefault="000C48E4">
      <w:pPr>
        <w:widowControl/>
        <w:suppressAutoHyphens w:val="0"/>
        <w:autoSpaceDE/>
        <w:autoSpaceDN/>
        <w:adjustRightInd/>
        <w:spacing w:after="160" w:line="259" w:lineRule="auto"/>
        <w:jc w:val="left"/>
        <w:textAlignment w:val="auto"/>
        <w:rPr>
          <w:color w:val="auto"/>
        </w:rPr>
      </w:pPr>
      <w:r>
        <w:br w:type="page"/>
      </w:r>
    </w:p>
    <w:p w14:paraId="66ADF368" w14:textId="77777777" w:rsidR="009B7AED" w:rsidRPr="00F36C9B" w:rsidRDefault="009B7AED" w:rsidP="00F36C9B">
      <w:pPr>
        <w:pStyle w:val="TableLandscapeTable"/>
        <w:spacing w:before="360" w:after="120" w:line="240" w:lineRule="auto"/>
        <w:rPr>
          <w:rFonts w:ascii="Cambria" w:hAnsi="Cambria"/>
          <w:b/>
          <w:sz w:val="26"/>
          <w:szCs w:val="26"/>
        </w:rPr>
      </w:pPr>
      <w:bookmarkStart w:id="3044" w:name="_Hlk113282862"/>
      <w:r w:rsidRPr="00F36C9B">
        <w:rPr>
          <w:rFonts w:ascii="Cambria" w:hAnsi="Cambria"/>
          <w:b/>
          <w:sz w:val="26"/>
          <w:szCs w:val="26"/>
        </w:rPr>
        <w:lastRenderedPageBreak/>
        <w:t>Delimited Format Examples</w:t>
      </w:r>
    </w:p>
    <w:p w14:paraId="09F8695F" w14:textId="77777777" w:rsidR="009B7AED" w:rsidRPr="00F36C9B" w:rsidRDefault="009B7AED" w:rsidP="00F36C9B">
      <w:pPr>
        <w:pStyle w:val="TableLandscapeTable"/>
        <w:spacing w:before="240" w:after="120" w:line="240" w:lineRule="auto"/>
        <w:rPr>
          <w:rFonts w:ascii="Calibri" w:hAnsi="Calibri" w:cs="Calibri"/>
          <w:b/>
        </w:rPr>
      </w:pPr>
      <w:r w:rsidRPr="00F36C9B">
        <w:rPr>
          <w:rFonts w:ascii="Calibri" w:hAnsi="Calibri" w:cs="Calibri"/>
          <w:b/>
        </w:rPr>
        <w:t xml:space="preserve">Class Data for 15 Vehicle Bins with Delimited Fields – Detailed </w:t>
      </w:r>
    </w:p>
    <w:p w14:paraId="19EF0BA0" w14:textId="77777777" w:rsidR="009B7AED" w:rsidRPr="002C595D" w:rsidRDefault="009B7AED" w:rsidP="009B7AED">
      <w:pPr>
        <w:pStyle w:val="TableLandscapeTable"/>
        <w:spacing w:line="240" w:lineRule="auto"/>
        <w:contextualSpacing/>
        <w:rPr>
          <w:rStyle w:val="Italic"/>
          <w:rFonts w:ascii="Calibri" w:hAnsi="Calibri" w:cs="Calibri"/>
          <w:i w:val="0"/>
        </w:rPr>
      </w:pPr>
      <w:r w:rsidRPr="002C595D">
        <w:rPr>
          <w:rStyle w:val="Italic"/>
          <w:rFonts w:ascii="Calibri" w:hAnsi="Calibri" w:cs="Calibri"/>
          <w:i w:val="0"/>
        </w:rPr>
        <w:t>RT|SFIPS|ID|D</w:t>
      </w:r>
      <w:r>
        <w:rPr>
          <w:rStyle w:val="Italic"/>
          <w:rFonts w:ascii="Calibri" w:hAnsi="Calibri" w:cs="Calibri"/>
          <w:i w:val="0"/>
        </w:rPr>
        <w:t>IR</w:t>
      </w:r>
      <w:r w:rsidRPr="002C595D">
        <w:rPr>
          <w:rStyle w:val="Italic"/>
          <w:rFonts w:ascii="Calibri" w:hAnsi="Calibri" w:cs="Calibri"/>
          <w:i w:val="0"/>
        </w:rPr>
        <w:t>|L</w:t>
      </w:r>
      <w:r>
        <w:rPr>
          <w:rStyle w:val="Italic"/>
          <w:rFonts w:ascii="Calibri" w:hAnsi="Calibri" w:cs="Calibri"/>
          <w:i w:val="0"/>
        </w:rPr>
        <w:t>N</w:t>
      </w:r>
      <w:r w:rsidRPr="002C595D">
        <w:rPr>
          <w:rStyle w:val="Italic"/>
          <w:rFonts w:ascii="Calibri" w:hAnsi="Calibri" w:cs="Calibri"/>
          <w:i w:val="0"/>
        </w:rPr>
        <w:t>|Y</w:t>
      </w:r>
      <w:r>
        <w:rPr>
          <w:rStyle w:val="Italic"/>
          <w:rFonts w:ascii="Calibri" w:hAnsi="Calibri" w:cs="Calibri"/>
          <w:i w:val="0"/>
        </w:rPr>
        <w:t>R</w:t>
      </w:r>
      <w:r w:rsidRPr="002C595D">
        <w:rPr>
          <w:rStyle w:val="Italic"/>
          <w:rFonts w:ascii="Calibri" w:hAnsi="Calibri" w:cs="Calibri"/>
          <w:i w:val="0"/>
        </w:rPr>
        <w:t>|M</w:t>
      </w:r>
      <w:r>
        <w:rPr>
          <w:rStyle w:val="Italic"/>
          <w:rFonts w:ascii="Calibri" w:hAnsi="Calibri" w:cs="Calibri"/>
          <w:i w:val="0"/>
        </w:rPr>
        <w:t>OY</w:t>
      </w:r>
      <w:r w:rsidRPr="002C595D">
        <w:rPr>
          <w:rStyle w:val="Italic"/>
          <w:rFonts w:ascii="Calibri" w:hAnsi="Calibri" w:cs="Calibri"/>
          <w:i w:val="0"/>
        </w:rPr>
        <w:t>|D</w:t>
      </w:r>
      <w:r>
        <w:rPr>
          <w:rStyle w:val="Italic"/>
          <w:rFonts w:ascii="Calibri" w:hAnsi="Calibri" w:cs="Calibri"/>
          <w:i w:val="0"/>
        </w:rPr>
        <w:t>OM</w:t>
      </w:r>
      <w:r w:rsidRPr="002C595D">
        <w:rPr>
          <w:rStyle w:val="Italic"/>
          <w:rFonts w:ascii="Calibri" w:hAnsi="Calibri" w:cs="Calibri"/>
          <w:i w:val="0"/>
        </w:rPr>
        <w:t>|H</w:t>
      </w:r>
      <w:r>
        <w:rPr>
          <w:rStyle w:val="Italic"/>
          <w:rFonts w:ascii="Calibri" w:hAnsi="Calibri" w:cs="Calibri"/>
          <w:i w:val="0"/>
        </w:rPr>
        <w:t>OD</w:t>
      </w:r>
      <w:r w:rsidRPr="002C595D">
        <w:rPr>
          <w:rStyle w:val="Italic"/>
          <w:rFonts w:ascii="Calibri" w:hAnsi="Calibri" w:cs="Calibri"/>
          <w:i w:val="0"/>
        </w:rPr>
        <w:t>|I|</w:t>
      </w:r>
      <w:r>
        <w:rPr>
          <w:rStyle w:val="Italic"/>
          <w:rFonts w:ascii="Calibri" w:hAnsi="Calibri" w:cs="Calibri"/>
          <w:i w:val="0"/>
        </w:rPr>
        <w:t>R|</w:t>
      </w:r>
      <w:r w:rsidRPr="002C595D">
        <w:rPr>
          <w:rStyle w:val="Italic"/>
          <w:rFonts w:ascii="Calibri" w:hAnsi="Calibri" w:cs="Calibri"/>
          <w:i w:val="0"/>
        </w:rPr>
        <w:t>T</w:t>
      </w:r>
      <w:r>
        <w:rPr>
          <w:rStyle w:val="Italic"/>
          <w:rFonts w:ascii="Calibri" w:hAnsi="Calibri" w:cs="Calibri"/>
          <w:i w:val="0"/>
        </w:rPr>
        <w:t>VOL</w:t>
      </w:r>
      <w:r w:rsidRPr="002C595D">
        <w:rPr>
          <w:rStyle w:val="Italic"/>
          <w:rFonts w:ascii="Calibri" w:hAnsi="Calibri" w:cs="Calibri"/>
          <w:i w:val="0"/>
        </w:rPr>
        <w:t>|</w:t>
      </w:r>
      <w:bookmarkStart w:id="3045" w:name="_Hlk99704127"/>
      <w:r w:rsidRPr="002C595D">
        <w:rPr>
          <w:rStyle w:val="Italic"/>
          <w:rFonts w:ascii="Calibri" w:hAnsi="Calibri" w:cs="Calibri"/>
          <w:i w:val="0"/>
        </w:rPr>
        <w:t>B</w:t>
      </w:r>
      <w:r>
        <w:rPr>
          <w:rStyle w:val="Italic"/>
          <w:rFonts w:ascii="Calibri" w:hAnsi="Calibri" w:cs="Calibri"/>
          <w:i w:val="0"/>
        </w:rPr>
        <w:t>IN</w:t>
      </w:r>
      <w:bookmarkEnd w:id="3045"/>
      <w:r w:rsidRPr="002C595D">
        <w:rPr>
          <w:rStyle w:val="Italic"/>
          <w:rFonts w:ascii="Calibri" w:hAnsi="Calibri" w:cs="Calibri"/>
          <w:i w:val="0"/>
        </w:rPr>
        <w:t>1|B</w:t>
      </w:r>
      <w:r>
        <w:rPr>
          <w:rStyle w:val="Italic"/>
          <w:rFonts w:ascii="Calibri" w:hAnsi="Calibri" w:cs="Calibri"/>
          <w:i w:val="0"/>
        </w:rPr>
        <w:t>IN</w:t>
      </w:r>
      <w:r w:rsidRPr="002C595D">
        <w:rPr>
          <w:rStyle w:val="Italic"/>
          <w:rFonts w:ascii="Calibri" w:hAnsi="Calibri" w:cs="Calibri"/>
          <w:i w:val="0"/>
        </w:rPr>
        <w:t>2|B</w:t>
      </w:r>
      <w:r>
        <w:rPr>
          <w:rStyle w:val="Italic"/>
          <w:rFonts w:ascii="Calibri" w:hAnsi="Calibri" w:cs="Calibri"/>
          <w:i w:val="0"/>
        </w:rPr>
        <w:t>IN</w:t>
      </w:r>
      <w:r w:rsidRPr="002C595D">
        <w:rPr>
          <w:rStyle w:val="Italic"/>
          <w:rFonts w:ascii="Calibri" w:hAnsi="Calibri" w:cs="Calibri"/>
          <w:i w:val="0"/>
        </w:rPr>
        <w:t>3|B</w:t>
      </w:r>
      <w:r>
        <w:rPr>
          <w:rStyle w:val="Italic"/>
          <w:rFonts w:ascii="Calibri" w:hAnsi="Calibri" w:cs="Calibri"/>
          <w:i w:val="0"/>
        </w:rPr>
        <w:t>IN</w:t>
      </w:r>
      <w:r w:rsidRPr="002C595D">
        <w:rPr>
          <w:rStyle w:val="Italic"/>
          <w:rFonts w:ascii="Calibri" w:hAnsi="Calibri" w:cs="Calibri"/>
          <w:i w:val="0"/>
        </w:rPr>
        <w:t>4|</w:t>
      </w:r>
      <w:r>
        <w:rPr>
          <w:rStyle w:val="Italic"/>
          <w:rFonts w:ascii="Calibri" w:hAnsi="Calibri" w:cs="Calibri"/>
          <w:i w:val="0"/>
        </w:rPr>
        <w:t xml:space="preserve"> BIN</w:t>
      </w:r>
      <w:r w:rsidRPr="002C595D">
        <w:rPr>
          <w:rStyle w:val="Italic"/>
          <w:rFonts w:ascii="Calibri" w:hAnsi="Calibri" w:cs="Calibri"/>
          <w:i w:val="0"/>
        </w:rPr>
        <w:t>5|B</w:t>
      </w:r>
      <w:r>
        <w:rPr>
          <w:rStyle w:val="Italic"/>
          <w:rFonts w:ascii="Calibri" w:hAnsi="Calibri" w:cs="Calibri"/>
          <w:i w:val="0"/>
        </w:rPr>
        <w:t>IN</w:t>
      </w:r>
      <w:r w:rsidRPr="002C595D">
        <w:rPr>
          <w:rStyle w:val="Italic"/>
          <w:rFonts w:ascii="Calibri" w:hAnsi="Calibri" w:cs="Calibri"/>
          <w:i w:val="0"/>
        </w:rPr>
        <w:t>6|B</w:t>
      </w:r>
      <w:r>
        <w:rPr>
          <w:rStyle w:val="Italic"/>
          <w:rFonts w:ascii="Calibri" w:hAnsi="Calibri" w:cs="Calibri"/>
          <w:i w:val="0"/>
        </w:rPr>
        <w:t>IN</w:t>
      </w:r>
      <w:r w:rsidRPr="002C595D">
        <w:rPr>
          <w:rStyle w:val="Italic"/>
          <w:rFonts w:ascii="Calibri" w:hAnsi="Calibri" w:cs="Calibri"/>
          <w:i w:val="0"/>
        </w:rPr>
        <w:t>7|B</w:t>
      </w:r>
      <w:r>
        <w:rPr>
          <w:rStyle w:val="Italic"/>
          <w:rFonts w:ascii="Calibri" w:hAnsi="Calibri" w:cs="Calibri"/>
          <w:i w:val="0"/>
        </w:rPr>
        <w:t>IN</w:t>
      </w:r>
      <w:r w:rsidRPr="002C595D">
        <w:rPr>
          <w:rStyle w:val="Italic"/>
          <w:rFonts w:ascii="Calibri" w:hAnsi="Calibri" w:cs="Calibri"/>
          <w:i w:val="0"/>
        </w:rPr>
        <w:t>8|B</w:t>
      </w:r>
      <w:r>
        <w:rPr>
          <w:rStyle w:val="Italic"/>
          <w:rFonts w:ascii="Calibri" w:hAnsi="Calibri" w:cs="Calibri"/>
          <w:i w:val="0"/>
        </w:rPr>
        <w:t>IN</w:t>
      </w:r>
      <w:r w:rsidRPr="002C595D">
        <w:rPr>
          <w:rStyle w:val="Italic"/>
          <w:rFonts w:ascii="Calibri" w:hAnsi="Calibri" w:cs="Calibri"/>
          <w:i w:val="0"/>
        </w:rPr>
        <w:t>9|B</w:t>
      </w:r>
      <w:r>
        <w:rPr>
          <w:rStyle w:val="Italic"/>
          <w:rFonts w:ascii="Calibri" w:hAnsi="Calibri" w:cs="Calibri"/>
          <w:i w:val="0"/>
        </w:rPr>
        <w:t>IN</w:t>
      </w:r>
      <w:r w:rsidRPr="002C595D">
        <w:rPr>
          <w:rStyle w:val="Italic"/>
          <w:rFonts w:ascii="Calibri" w:hAnsi="Calibri" w:cs="Calibri"/>
          <w:i w:val="0"/>
        </w:rPr>
        <w:t>10|B</w:t>
      </w:r>
      <w:r>
        <w:rPr>
          <w:rStyle w:val="Italic"/>
          <w:rFonts w:ascii="Calibri" w:hAnsi="Calibri" w:cs="Calibri"/>
          <w:i w:val="0"/>
        </w:rPr>
        <w:t>IN</w:t>
      </w:r>
      <w:r w:rsidRPr="002C595D">
        <w:rPr>
          <w:rStyle w:val="Italic"/>
          <w:rFonts w:ascii="Calibri" w:hAnsi="Calibri" w:cs="Calibri"/>
          <w:i w:val="0"/>
        </w:rPr>
        <w:t>11|B</w:t>
      </w:r>
      <w:r>
        <w:rPr>
          <w:rStyle w:val="Italic"/>
          <w:rFonts w:ascii="Calibri" w:hAnsi="Calibri" w:cs="Calibri"/>
          <w:i w:val="0"/>
        </w:rPr>
        <w:t>IN</w:t>
      </w:r>
      <w:r w:rsidRPr="002C595D">
        <w:rPr>
          <w:rStyle w:val="Italic"/>
          <w:rFonts w:ascii="Calibri" w:hAnsi="Calibri" w:cs="Calibri"/>
          <w:i w:val="0"/>
        </w:rPr>
        <w:t>12|B</w:t>
      </w:r>
      <w:r>
        <w:rPr>
          <w:rStyle w:val="Italic"/>
          <w:rFonts w:ascii="Calibri" w:hAnsi="Calibri" w:cs="Calibri"/>
          <w:i w:val="0"/>
        </w:rPr>
        <w:t>IN</w:t>
      </w:r>
      <w:r w:rsidRPr="002C595D">
        <w:rPr>
          <w:rStyle w:val="Italic"/>
          <w:rFonts w:ascii="Calibri" w:hAnsi="Calibri" w:cs="Calibri"/>
          <w:i w:val="0"/>
        </w:rPr>
        <w:t>13|B</w:t>
      </w:r>
      <w:r>
        <w:rPr>
          <w:rStyle w:val="Italic"/>
          <w:rFonts w:ascii="Calibri" w:hAnsi="Calibri" w:cs="Calibri"/>
          <w:i w:val="0"/>
        </w:rPr>
        <w:t>IN</w:t>
      </w:r>
      <w:r w:rsidRPr="002C595D">
        <w:rPr>
          <w:rStyle w:val="Italic"/>
          <w:rFonts w:ascii="Calibri" w:hAnsi="Calibri" w:cs="Calibri"/>
          <w:i w:val="0"/>
        </w:rPr>
        <w:t>14|B</w:t>
      </w:r>
      <w:r>
        <w:rPr>
          <w:rStyle w:val="Italic"/>
          <w:rFonts w:ascii="Calibri" w:hAnsi="Calibri" w:cs="Calibri"/>
          <w:i w:val="0"/>
        </w:rPr>
        <w:t>IN</w:t>
      </w:r>
      <w:r w:rsidRPr="002C595D">
        <w:rPr>
          <w:rStyle w:val="Italic"/>
          <w:rFonts w:ascii="Calibri" w:hAnsi="Calibri" w:cs="Calibri"/>
          <w:i w:val="0"/>
        </w:rPr>
        <w:t>15</w:t>
      </w:r>
    </w:p>
    <w:p w14:paraId="029DAFC0" w14:textId="77777777" w:rsidR="009B7AED" w:rsidRPr="00F36C9B" w:rsidRDefault="009B7AED" w:rsidP="00F36C9B">
      <w:pPr>
        <w:pStyle w:val="TableLandscapeTable"/>
        <w:spacing w:before="240" w:after="120" w:line="240" w:lineRule="auto"/>
        <w:rPr>
          <w:rFonts w:ascii="Calibri" w:hAnsi="Calibri" w:cs="Calibri"/>
          <w:b/>
        </w:rPr>
      </w:pPr>
      <w:r w:rsidRPr="00F36C9B">
        <w:rPr>
          <w:rFonts w:ascii="Calibri" w:hAnsi="Calibri" w:cs="Calibri"/>
          <w:b/>
        </w:rPr>
        <w:t>Hourly Class Data for 15 Class Bins with 2 Directions with No Restrictions</w:t>
      </w:r>
    </w:p>
    <w:p w14:paraId="766C1C2F" w14:textId="77777777" w:rsidR="009B7AED" w:rsidRPr="002C595D" w:rsidRDefault="009B7AED" w:rsidP="009B7AED">
      <w:pPr>
        <w:pStyle w:val="TableLandscapeTable"/>
        <w:spacing w:line="240" w:lineRule="auto"/>
        <w:contextualSpacing/>
        <w:rPr>
          <w:rStyle w:val="Italic"/>
          <w:rFonts w:ascii="Calibri" w:hAnsi="Calibri" w:cs="Calibri"/>
          <w:i w:val="0"/>
        </w:rPr>
      </w:pPr>
      <w:r w:rsidRPr="002C595D">
        <w:rPr>
          <w:rStyle w:val="Italic"/>
          <w:rFonts w:ascii="Calibri" w:hAnsi="Calibri" w:cs="Calibri"/>
          <w:i w:val="0"/>
        </w:rPr>
        <w:t>C|39|XYZ123|3|1|2021|4|25|00||</w:t>
      </w:r>
      <w:r>
        <w:rPr>
          <w:rStyle w:val="Italic"/>
          <w:rFonts w:ascii="Calibri" w:hAnsi="Calibri" w:cs="Calibri"/>
          <w:i w:val="0"/>
        </w:rPr>
        <w:t>0|</w:t>
      </w:r>
      <w:r w:rsidRPr="002C595D">
        <w:rPr>
          <w:rStyle w:val="Italic"/>
          <w:rFonts w:ascii="Calibri" w:hAnsi="Calibri" w:cs="Calibri"/>
          <w:i w:val="0"/>
        </w:rPr>
        <w:t>1</w:t>
      </w:r>
      <w:r>
        <w:rPr>
          <w:rStyle w:val="Italic"/>
          <w:rFonts w:ascii="Calibri" w:hAnsi="Calibri" w:cs="Calibri"/>
          <w:i w:val="0"/>
        </w:rPr>
        <w:t>3</w:t>
      </w:r>
      <w:r w:rsidRPr="002C595D">
        <w:rPr>
          <w:rStyle w:val="Italic"/>
          <w:rFonts w:ascii="Calibri" w:hAnsi="Calibri" w:cs="Calibri"/>
          <w:i w:val="0"/>
        </w:rPr>
        <w:t>2|5|67|13|10|2|3|1|7|16|2|1|1|0|3|1</w:t>
      </w:r>
    </w:p>
    <w:p w14:paraId="2C822333" w14:textId="77777777" w:rsidR="009B7AED" w:rsidRDefault="009B7AED" w:rsidP="009B7AED">
      <w:pPr>
        <w:pStyle w:val="TableLandscapeTable"/>
        <w:spacing w:line="240" w:lineRule="auto"/>
        <w:contextualSpacing/>
        <w:rPr>
          <w:rStyle w:val="Italic"/>
          <w:rFonts w:ascii="Calibri" w:hAnsi="Calibri" w:cs="Calibri"/>
          <w:i w:val="0"/>
        </w:rPr>
      </w:pPr>
      <w:r w:rsidRPr="002C595D">
        <w:rPr>
          <w:rStyle w:val="Italic"/>
          <w:rFonts w:ascii="Calibri" w:hAnsi="Calibri" w:cs="Calibri"/>
          <w:i w:val="0"/>
        </w:rPr>
        <w:t>C|39|XYZ123|7|1|2021|4|25|00||</w:t>
      </w:r>
      <w:r>
        <w:rPr>
          <w:rStyle w:val="Italic"/>
          <w:rFonts w:ascii="Calibri" w:hAnsi="Calibri" w:cs="Calibri"/>
          <w:i w:val="0"/>
        </w:rPr>
        <w:t>0|</w:t>
      </w:r>
      <w:r w:rsidRPr="002C595D">
        <w:rPr>
          <w:rStyle w:val="Italic"/>
          <w:rFonts w:ascii="Calibri" w:hAnsi="Calibri" w:cs="Calibri"/>
          <w:i w:val="0"/>
        </w:rPr>
        <w:t>12</w:t>
      </w:r>
      <w:r>
        <w:rPr>
          <w:rStyle w:val="Italic"/>
          <w:rFonts w:ascii="Calibri" w:hAnsi="Calibri" w:cs="Calibri"/>
          <w:i w:val="0"/>
        </w:rPr>
        <w:t>6</w:t>
      </w:r>
      <w:r w:rsidRPr="002C595D">
        <w:rPr>
          <w:rStyle w:val="Italic"/>
          <w:rFonts w:ascii="Calibri" w:hAnsi="Calibri" w:cs="Calibri"/>
          <w:i w:val="0"/>
        </w:rPr>
        <w:t>|3|63|12|5|4|5|1|10|13|4|3|0|0|1|2</w:t>
      </w:r>
    </w:p>
    <w:p w14:paraId="1D95FC39" w14:textId="77777777" w:rsidR="009B7AED" w:rsidRPr="00F36C9B" w:rsidRDefault="009B7AED" w:rsidP="00F36C9B">
      <w:pPr>
        <w:pStyle w:val="TableLandscapeTable"/>
        <w:spacing w:before="240" w:after="120" w:line="240" w:lineRule="auto"/>
        <w:rPr>
          <w:rFonts w:ascii="Calibri" w:hAnsi="Calibri" w:cs="Calibri"/>
          <w:b/>
        </w:rPr>
      </w:pPr>
      <w:bookmarkStart w:id="3046" w:name="_Toc335642250"/>
      <w:r w:rsidRPr="00F36C9B">
        <w:rPr>
          <w:rFonts w:ascii="Calibri" w:hAnsi="Calibri" w:cs="Calibri"/>
          <w:b/>
        </w:rPr>
        <w:t>15-Minute Class Data for 5 Class Bins with 2 Directions and 4 Lanes with No Restrictions</w:t>
      </w:r>
      <w:bookmarkStart w:id="3047" w:name="_Hlk42502174"/>
    </w:p>
    <w:bookmarkEnd w:id="3044"/>
    <w:p w14:paraId="1DF9CE15" w14:textId="77777777" w:rsidR="009B7AED" w:rsidRPr="002C595D" w:rsidRDefault="009B7AED" w:rsidP="009B7AED">
      <w:pPr>
        <w:pStyle w:val="BodyText-Nospace"/>
        <w:ind w:left="0"/>
        <w:jc w:val="left"/>
        <w:rPr>
          <w:rStyle w:val="Italic"/>
          <w:rFonts w:ascii="Arial Narrow" w:hAnsi="Arial Narrow" w:cs="Arial Narrow"/>
          <w:i w:val="0"/>
        </w:rPr>
      </w:pPr>
      <w:r w:rsidRPr="002C595D">
        <w:rPr>
          <w:rStyle w:val="Italic"/>
          <w:i w:val="0"/>
        </w:rPr>
        <w:t>C|39|ABC123|1|1|2021|4|25|00|1|</w:t>
      </w:r>
      <w:r>
        <w:rPr>
          <w:rStyle w:val="Italic"/>
          <w:i w:val="0"/>
        </w:rPr>
        <w:t>0|96</w:t>
      </w:r>
      <w:r w:rsidRPr="002C595D">
        <w:rPr>
          <w:rStyle w:val="Italic"/>
          <w:i w:val="0"/>
        </w:rPr>
        <w:t xml:space="preserve">|5|67|13|10|1 </w:t>
      </w:r>
    </w:p>
    <w:p w14:paraId="1363B806" w14:textId="77777777" w:rsidR="009B7AED" w:rsidRPr="002C595D" w:rsidRDefault="009B7AED" w:rsidP="009B7AED">
      <w:pPr>
        <w:pStyle w:val="BodyText-Nospace"/>
        <w:ind w:left="0"/>
        <w:rPr>
          <w:rStyle w:val="Italic"/>
          <w:i w:val="0"/>
        </w:rPr>
      </w:pPr>
      <w:r w:rsidRPr="002C595D">
        <w:rPr>
          <w:rStyle w:val="Italic"/>
          <w:i w:val="0"/>
        </w:rPr>
        <w:t>C|39|ABC123|1|2|2021|4|25|00|1|</w:t>
      </w:r>
      <w:r>
        <w:rPr>
          <w:rStyle w:val="Italic"/>
          <w:i w:val="0"/>
        </w:rPr>
        <w:t>0|</w:t>
      </w:r>
      <w:r w:rsidRPr="002C595D">
        <w:rPr>
          <w:rStyle w:val="Italic"/>
          <w:i w:val="0"/>
        </w:rPr>
        <w:t xml:space="preserve">236|10|175|35|14|2 </w:t>
      </w:r>
    </w:p>
    <w:p w14:paraId="73978116" w14:textId="77777777" w:rsidR="009B7AED" w:rsidRPr="002C595D" w:rsidRDefault="009B7AED" w:rsidP="009B7AED">
      <w:pPr>
        <w:pStyle w:val="BodyText-Nospace"/>
        <w:ind w:left="0"/>
        <w:rPr>
          <w:rStyle w:val="Italic"/>
          <w:i w:val="0"/>
        </w:rPr>
      </w:pPr>
      <w:r w:rsidRPr="002C595D">
        <w:rPr>
          <w:rStyle w:val="Italic"/>
          <w:i w:val="0"/>
        </w:rPr>
        <w:t>C|39|ABC123|1|3|2021|4|25|00|1|</w:t>
      </w:r>
      <w:r>
        <w:rPr>
          <w:rStyle w:val="Italic"/>
          <w:i w:val="0"/>
        </w:rPr>
        <w:t>0|</w:t>
      </w:r>
      <w:r w:rsidRPr="002C595D">
        <w:rPr>
          <w:rStyle w:val="Italic"/>
          <w:i w:val="0"/>
        </w:rPr>
        <w:t xml:space="preserve">215|8|168|32|5|2 </w:t>
      </w:r>
    </w:p>
    <w:p w14:paraId="16403111" w14:textId="77777777" w:rsidR="009B7AED" w:rsidRDefault="009B7AED" w:rsidP="009B7AED">
      <w:pPr>
        <w:pStyle w:val="BodyText-Nospace"/>
        <w:ind w:left="0"/>
        <w:rPr>
          <w:rStyle w:val="Italic"/>
          <w:i w:val="0"/>
        </w:rPr>
      </w:pPr>
      <w:r w:rsidRPr="002C595D">
        <w:rPr>
          <w:rStyle w:val="Italic"/>
          <w:i w:val="0"/>
        </w:rPr>
        <w:t>C|39|ABC123|1|4|2021|4|25|00|1|</w:t>
      </w:r>
      <w:r>
        <w:rPr>
          <w:rStyle w:val="Italic"/>
          <w:i w:val="0"/>
        </w:rPr>
        <w:t>0|89</w:t>
      </w:r>
      <w:r w:rsidRPr="002C595D">
        <w:rPr>
          <w:rStyle w:val="Italic"/>
          <w:i w:val="0"/>
        </w:rPr>
        <w:t xml:space="preserve">|4|67|12|4|2 </w:t>
      </w:r>
    </w:p>
    <w:p w14:paraId="37A70742" w14:textId="77777777" w:rsidR="009B7AED" w:rsidRPr="002C595D" w:rsidRDefault="009B7AED" w:rsidP="009B7AED">
      <w:pPr>
        <w:pStyle w:val="BodyText-Nospace"/>
        <w:ind w:left="0"/>
        <w:rPr>
          <w:rStyle w:val="Italic"/>
          <w:i w:val="0"/>
        </w:rPr>
      </w:pPr>
      <w:r w:rsidRPr="002C595D">
        <w:rPr>
          <w:rStyle w:val="Italic"/>
          <w:i w:val="0"/>
        </w:rPr>
        <w:t>C|39|ABC123|5|1|2021|4|25|00|1|</w:t>
      </w:r>
      <w:r>
        <w:rPr>
          <w:rStyle w:val="Italic"/>
          <w:i w:val="0"/>
        </w:rPr>
        <w:t>0|</w:t>
      </w:r>
      <w:r w:rsidRPr="002C595D">
        <w:rPr>
          <w:rStyle w:val="Italic"/>
          <w:i w:val="0"/>
        </w:rPr>
        <w:t xml:space="preserve">102|3|73|14|10|2 </w:t>
      </w:r>
    </w:p>
    <w:p w14:paraId="1DCE3DA7" w14:textId="77777777" w:rsidR="009B7AED" w:rsidRPr="002C595D" w:rsidRDefault="009B7AED" w:rsidP="009B7AED">
      <w:pPr>
        <w:pStyle w:val="BodyText-Nospace"/>
        <w:ind w:left="0"/>
        <w:rPr>
          <w:rStyle w:val="Italic"/>
          <w:i w:val="0"/>
        </w:rPr>
      </w:pPr>
      <w:r w:rsidRPr="002C595D">
        <w:rPr>
          <w:rStyle w:val="Italic"/>
          <w:i w:val="0"/>
        </w:rPr>
        <w:t>C|39|ABC123|5|2|2021|4|25|00|1|</w:t>
      </w:r>
      <w:r>
        <w:rPr>
          <w:rStyle w:val="Italic"/>
          <w:i w:val="0"/>
        </w:rPr>
        <w:t>0|</w:t>
      </w:r>
      <w:r w:rsidRPr="002C595D">
        <w:rPr>
          <w:rStyle w:val="Italic"/>
          <w:i w:val="0"/>
        </w:rPr>
        <w:t xml:space="preserve">235|5|185|30|15|0 </w:t>
      </w:r>
    </w:p>
    <w:p w14:paraId="0C1FFEDF" w14:textId="77777777" w:rsidR="009B7AED" w:rsidRPr="002C595D" w:rsidRDefault="009B7AED" w:rsidP="009B7AED">
      <w:pPr>
        <w:pStyle w:val="BodyText-Nospace"/>
        <w:ind w:left="0"/>
        <w:rPr>
          <w:rStyle w:val="Italic"/>
          <w:i w:val="0"/>
        </w:rPr>
      </w:pPr>
      <w:r w:rsidRPr="002C595D">
        <w:rPr>
          <w:rStyle w:val="Italic"/>
          <w:i w:val="0"/>
        </w:rPr>
        <w:t>C|39|ABC123|5|3|2021|4|25|00|1|</w:t>
      </w:r>
      <w:r>
        <w:rPr>
          <w:rStyle w:val="Italic"/>
          <w:i w:val="0"/>
        </w:rPr>
        <w:t>0|</w:t>
      </w:r>
      <w:r w:rsidRPr="002C595D">
        <w:rPr>
          <w:rStyle w:val="Italic"/>
          <w:i w:val="0"/>
        </w:rPr>
        <w:t xml:space="preserve">230|7|173|36|13|1 </w:t>
      </w:r>
    </w:p>
    <w:p w14:paraId="42816443" w14:textId="77777777" w:rsidR="009B7AED" w:rsidRDefault="009B7AED" w:rsidP="009B7AED">
      <w:pPr>
        <w:pStyle w:val="BodyText-Nospace"/>
        <w:ind w:left="0"/>
        <w:rPr>
          <w:rStyle w:val="Italic"/>
          <w:i w:val="0"/>
        </w:rPr>
      </w:pPr>
      <w:r w:rsidRPr="002C595D">
        <w:rPr>
          <w:rStyle w:val="Italic"/>
          <w:i w:val="0"/>
        </w:rPr>
        <w:t>C|39|ABC123|5|4|2021|4|25|00|1|</w:t>
      </w:r>
      <w:r>
        <w:rPr>
          <w:rStyle w:val="Italic"/>
          <w:i w:val="0"/>
        </w:rPr>
        <w:t>0|</w:t>
      </w:r>
      <w:r w:rsidRPr="002C595D">
        <w:rPr>
          <w:rStyle w:val="Italic"/>
          <w:i w:val="0"/>
        </w:rPr>
        <w:t xml:space="preserve">97|5|67|13|10|2 </w:t>
      </w:r>
    </w:p>
    <w:bookmarkEnd w:id="3047"/>
    <w:p w14:paraId="78F04178" w14:textId="77777777" w:rsidR="009B7AED" w:rsidRPr="002C595D" w:rsidRDefault="009B7AED" w:rsidP="009B7AED">
      <w:pPr>
        <w:pStyle w:val="BodyText-Nospace"/>
        <w:ind w:left="0"/>
        <w:rPr>
          <w:rStyle w:val="Italic"/>
          <w:i w:val="0"/>
        </w:rPr>
      </w:pPr>
      <w:r w:rsidRPr="002C595D">
        <w:rPr>
          <w:rStyle w:val="Italic"/>
          <w:i w:val="0"/>
        </w:rPr>
        <w:t>C|39|ABC123|1|1|2021|4|25|0</w:t>
      </w:r>
      <w:r>
        <w:rPr>
          <w:rStyle w:val="Italic"/>
          <w:i w:val="0"/>
        </w:rPr>
        <w:t>0</w:t>
      </w:r>
      <w:r w:rsidRPr="002C595D">
        <w:rPr>
          <w:rStyle w:val="Italic"/>
          <w:i w:val="0"/>
        </w:rPr>
        <w:t>|</w:t>
      </w:r>
      <w:r>
        <w:rPr>
          <w:rStyle w:val="Italic"/>
          <w:i w:val="0"/>
        </w:rPr>
        <w:t>2</w:t>
      </w:r>
      <w:r w:rsidRPr="002C595D">
        <w:rPr>
          <w:rStyle w:val="Italic"/>
          <w:i w:val="0"/>
        </w:rPr>
        <w:t>|</w:t>
      </w:r>
      <w:r>
        <w:rPr>
          <w:rStyle w:val="Italic"/>
          <w:i w:val="0"/>
        </w:rPr>
        <w:t>0|</w:t>
      </w:r>
      <w:r w:rsidRPr="002C595D">
        <w:rPr>
          <w:rStyle w:val="Italic"/>
          <w:i w:val="0"/>
        </w:rPr>
        <w:t xml:space="preserve">102|4|68|24|6|0 </w:t>
      </w:r>
    </w:p>
    <w:p w14:paraId="340C7E59" w14:textId="77777777" w:rsidR="009B7AED" w:rsidRPr="002C595D" w:rsidRDefault="009B7AED" w:rsidP="009B7AED">
      <w:pPr>
        <w:pStyle w:val="BodyText-Nospace"/>
        <w:ind w:left="0"/>
        <w:rPr>
          <w:rStyle w:val="Italic"/>
          <w:i w:val="0"/>
        </w:rPr>
      </w:pPr>
      <w:r w:rsidRPr="002C595D">
        <w:rPr>
          <w:rStyle w:val="Italic"/>
          <w:i w:val="0"/>
        </w:rPr>
        <w:t>C|39|ABC123|1|2|2021|4|25|0</w:t>
      </w:r>
      <w:r>
        <w:rPr>
          <w:rStyle w:val="Italic"/>
          <w:i w:val="0"/>
        </w:rPr>
        <w:t>0</w:t>
      </w:r>
      <w:r w:rsidRPr="002C595D">
        <w:rPr>
          <w:rStyle w:val="Italic"/>
          <w:i w:val="0"/>
        </w:rPr>
        <w:t>|</w:t>
      </w:r>
      <w:r>
        <w:rPr>
          <w:rStyle w:val="Italic"/>
          <w:i w:val="0"/>
        </w:rPr>
        <w:t>2</w:t>
      </w:r>
      <w:r w:rsidRPr="002C595D">
        <w:rPr>
          <w:rStyle w:val="Italic"/>
          <w:i w:val="0"/>
        </w:rPr>
        <w:t>|</w:t>
      </w:r>
      <w:r>
        <w:rPr>
          <w:rStyle w:val="Italic"/>
          <w:i w:val="0"/>
        </w:rPr>
        <w:t>0|</w:t>
      </w:r>
      <w:r w:rsidRPr="002C595D">
        <w:rPr>
          <w:rStyle w:val="Italic"/>
          <w:i w:val="0"/>
        </w:rPr>
        <w:t>2</w:t>
      </w:r>
      <w:r>
        <w:rPr>
          <w:rStyle w:val="Italic"/>
          <w:i w:val="0"/>
        </w:rPr>
        <w:t>0</w:t>
      </w:r>
      <w:r w:rsidRPr="002C595D">
        <w:rPr>
          <w:rStyle w:val="Italic"/>
          <w:i w:val="0"/>
        </w:rPr>
        <w:t xml:space="preserve">1|3|167|23|7|1 </w:t>
      </w:r>
    </w:p>
    <w:p w14:paraId="5E57E995" w14:textId="77777777" w:rsidR="009B7AED" w:rsidRPr="002C595D" w:rsidRDefault="009B7AED" w:rsidP="009B7AED">
      <w:pPr>
        <w:pStyle w:val="BodyText-Nospace"/>
        <w:ind w:left="0"/>
        <w:rPr>
          <w:rStyle w:val="Italic"/>
          <w:i w:val="0"/>
        </w:rPr>
      </w:pPr>
      <w:r w:rsidRPr="002C595D">
        <w:rPr>
          <w:rStyle w:val="Italic"/>
          <w:i w:val="0"/>
        </w:rPr>
        <w:t>C|39|ABC123|1|3|2021|4|25|0</w:t>
      </w:r>
      <w:r>
        <w:rPr>
          <w:rStyle w:val="Italic"/>
          <w:i w:val="0"/>
        </w:rPr>
        <w:t>0</w:t>
      </w:r>
      <w:r w:rsidRPr="002C595D">
        <w:rPr>
          <w:rStyle w:val="Italic"/>
          <w:i w:val="0"/>
        </w:rPr>
        <w:t>|</w:t>
      </w:r>
      <w:r>
        <w:rPr>
          <w:rStyle w:val="Italic"/>
          <w:i w:val="0"/>
        </w:rPr>
        <w:t>2</w:t>
      </w:r>
      <w:r w:rsidRPr="002C595D">
        <w:rPr>
          <w:rStyle w:val="Italic"/>
          <w:i w:val="0"/>
        </w:rPr>
        <w:t>|</w:t>
      </w:r>
      <w:r>
        <w:rPr>
          <w:rStyle w:val="Italic"/>
          <w:i w:val="0"/>
        </w:rPr>
        <w:t>0|</w:t>
      </w:r>
      <w:r w:rsidRPr="002C595D">
        <w:rPr>
          <w:rStyle w:val="Italic"/>
          <w:i w:val="0"/>
        </w:rPr>
        <w:t xml:space="preserve">192|5|147|30|8|2 </w:t>
      </w:r>
    </w:p>
    <w:p w14:paraId="6DA8DD61" w14:textId="77777777" w:rsidR="009B7AED" w:rsidRDefault="009B7AED" w:rsidP="009B7AED">
      <w:pPr>
        <w:pStyle w:val="BodyText-Nospace"/>
        <w:ind w:left="0"/>
        <w:rPr>
          <w:rStyle w:val="Italic"/>
          <w:i w:val="0"/>
        </w:rPr>
      </w:pPr>
      <w:r w:rsidRPr="002C595D">
        <w:rPr>
          <w:rStyle w:val="Italic"/>
          <w:i w:val="0"/>
        </w:rPr>
        <w:t>C|39|ABC123|1|4|2021|4|25|0</w:t>
      </w:r>
      <w:r>
        <w:rPr>
          <w:rStyle w:val="Italic"/>
          <w:i w:val="0"/>
        </w:rPr>
        <w:t>0</w:t>
      </w:r>
      <w:r w:rsidRPr="002C595D">
        <w:rPr>
          <w:rStyle w:val="Italic"/>
          <w:i w:val="0"/>
        </w:rPr>
        <w:t>|</w:t>
      </w:r>
      <w:r>
        <w:rPr>
          <w:rStyle w:val="Italic"/>
          <w:i w:val="0"/>
        </w:rPr>
        <w:t>2</w:t>
      </w:r>
      <w:r w:rsidRPr="002C595D">
        <w:rPr>
          <w:rStyle w:val="Italic"/>
          <w:i w:val="0"/>
        </w:rPr>
        <w:t>|</w:t>
      </w:r>
      <w:r>
        <w:rPr>
          <w:rStyle w:val="Italic"/>
          <w:i w:val="0"/>
        </w:rPr>
        <w:t>0|</w:t>
      </w:r>
      <w:r w:rsidRPr="002C595D">
        <w:rPr>
          <w:rStyle w:val="Italic"/>
          <w:i w:val="0"/>
        </w:rPr>
        <w:t xml:space="preserve">97|5|65|15|10|2 </w:t>
      </w:r>
    </w:p>
    <w:p w14:paraId="0241D3CB" w14:textId="77777777" w:rsidR="009B7AED" w:rsidRPr="002C595D" w:rsidRDefault="009B7AED" w:rsidP="009B7AED">
      <w:pPr>
        <w:pStyle w:val="BodyText-Nospace"/>
        <w:ind w:left="0"/>
        <w:rPr>
          <w:rStyle w:val="Italic"/>
          <w:i w:val="0"/>
        </w:rPr>
      </w:pPr>
      <w:r w:rsidRPr="002C595D">
        <w:rPr>
          <w:rStyle w:val="Italic"/>
          <w:i w:val="0"/>
        </w:rPr>
        <w:t>C|39|ABC123|5|1|2021|4|25|0</w:t>
      </w:r>
      <w:r>
        <w:rPr>
          <w:rStyle w:val="Italic"/>
          <w:i w:val="0"/>
        </w:rPr>
        <w:t>0</w:t>
      </w:r>
      <w:r w:rsidRPr="002C595D">
        <w:rPr>
          <w:rStyle w:val="Italic"/>
          <w:i w:val="0"/>
        </w:rPr>
        <w:t>|</w:t>
      </w:r>
      <w:r>
        <w:rPr>
          <w:rStyle w:val="Italic"/>
          <w:i w:val="0"/>
        </w:rPr>
        <w:t>2</w:t>
      </w:r>
      <w:r w:rsidRPr="002C595D">
        <w:rPr>
          <w:rStyle w:val="Italic"/>
          <w:i w:val="0"/>
        </w:rPr>
        <w:t>|</w:t>
      </w:r>
      <w:r>
        <w:rPr>
          <w:rStyle w:val="Italic"/>
          <w:i w:val="0"/>
        </w:rPr>
        <w:t>0|</w:t>
      </w:r>
      <w:r w:rsidRPr="002C595D">
        <w:rPr>
          <w:rStyle w:val="Italic"/>
          <w:i w:val="0"/>
        </w:rPr>
        <w:t xml:space="preserve">91|1|64|22|4|0 </w:t>
      </w:r>
    </w:p>
    <w:p w14:paraId="3266C879" w14:textId="77777777" w:rsidR="009B7AED" w:rsidRPr="002C595D" w:rsidRDefault="009B7AED" w:rsidP="009B7AED">
      <w:pPr>
        <w:pStyle w:val="BodyText-Nospace"/>
        <w:ind w:left="0"/>
        <w:rPr>
          <w:rStyle w:val="Italic"/>
          <w:i w:val="0"/>
        </w:rPr>
      </w:pPr>
      <w:r w:rsidRPr="002C595D">
        <w:rPr>
          <w:rStyle w:val="Italic"/>
          <w:i w:val="0"/>
        </w:rPr>
        <w:t>C|39|ABC123|5|2|2021|4|25|0</w:t>
      </w:r>
      <w:r>
        <w:rPr>
          <w:rStyle w:val="Italic"/>
          <w:i w:val="0"/>
        </w:rPr>
        <w:t>0</w:t>
      </w:r>
      <w:r w:rsidRPr="002C595D">
        <w:rPr>
          <w:rStyle w:val="Italic"/>
          <w:i w:val="0"/>
        </w:rPr>
        <w:t>|</w:t>
      </w:r>
      <w:r>
        <w:rPr>
          <w:rStyle w:val="Italic"/>
          <w:i w:val="0"/>
        </w:rPr>
        <w:t>2</w:t>
      </w:r>
      <w:r w:rsidRPr="002C595D">
        <w:rPr>
          <w:rStyle w:val="Italic"/>
          <w:i w:val="0"/>
        </w:rPr>
        <w:t>|</w:t>
      </w:r>
      <w:r>
        <w:rPr>
          <w:rStyle w:val="Italic"/>
          <w:i w:val="0"/>
        </w:rPr>
        <w:t>0|</w:t>
      </w:r>
      <w:r w:rsidRPr="002C595D">
        <w:rPr>
          <w:rStyle w:val="Italic"/>
          <w:i w:val="0"/>
        </w:rPr>
        <w:t xml:space="preserve">179|0|147|26|6|0 </w:t>
      </w:r>
    </w:p>
    <w:p w14:paraId="2C258681" w14:textId="77777777" w:rsidR="009B7AED" w:rsidRPr="002C595D" w:rsidRDefault="009B7AED" w:rsidP="009B7AED">
      <w:pPr>
        <w:pStyle w:val="BodyText-Nospace"/>
        <w:ind w:left="0"/>
        <w:rPr>
          <w:rStyle w:val="Italic"/>
          <w:i w:val="0"/>
        </w:rPr>
      </w:pPr>
      <w:r w:rsidRPr="002C595D">
        <w:rPr>
          <w:rStyle w:val="Italic"/>
          <w:i w:val="0"/>
        </w:rPr>
        <w:t>C|39|ABC123|5|3|2021|4|25|0</w:t>
      </w:r>
      <w:r>
        <w:rPr>
          <w:rStyle w:val="Italic"/>
          <w:i w:val="0"/>
        </w:rPr>
        <w:t>0</w:t>
      </w:r>
      <w:r w:rsidRPr="002C595D">
        <w:rPr>
          <w:rStyle w:val="Italic"/>
          <w:i w:val="0"/>
        </w:rPr>
        <w:t>|</w:t>
      </w:r>
      <w:r>
        <w:rPr>
          <w:rStyle w:val="Italic"/>
          <w:i w:val="0"/>
        </w:rPr>
        <w:t>2</w:t>
      </w:r>
      <w:r w:rsidRPr="002C595D">
        <w:rPr>
          <w:rStyle w:val="Italic"/>
          <w:i w:val="0"/>
        </w:rPr>
        <w:t>|</w:t>
      </w:r>
      <w:r>
        <w:rPr>
          <w:rStyle w:val="Italic"/>
          <w:i w:val="0"/>
        </w:rPr>
        <w:t>0|</w:t>
      </w:r>
      <w:r w:rsidRPr="002C595D">
        <w:rPr>
          <w:rStyle w:val="Italic"/>
          <w:i w:val="0"/>
        </w:rPr>
        <w:t xml:space="preserve">212|5|167|34|4|2 </w:t>
      </w:r>
    </w:p>
    <w:p w14:paraId="36A5C45A" w14:textId="77777777" w:rsidR="009B7AED" w:rsidRDefault="009B7AED" w:rsidP="009B7AED">
      <w:pPr>
        <w:pStyle w:val="BodyText-Nospace"/>
        <w:ind w:left="0"/>
        <w:rPr>
          <w:rStyle w:val="Italic"/>
          <w:i w:val="0"/>
        </w:rPr>
      </w:pPr>
      <w:r w:rsidRPr="002C595D">
        <w:rPr>
          <w:rStyle w:val="Italic"/>
          <w:i w:val="0"/>
        </w:rPr>
        <w:t>C|39|ABC123|5|4|2021|4|25|0</w:t>
      </w:r>
      <w:r>
        <w:rPr>
          <w:rStyle w:val="Italic"/>
          <w:i w:val="0"/>
        </w:rPr>
        <w:t>0</w:t>
      </w:r>
      <w:r w:rsidRPr="002C595D">
        <w:rPr>
          <w:rStyle w:val="Italic"/>
          <w:i w:val="0"/>
        </w:rPr>
        <w:t>|</w:t>
      </w:r>
      <w:r>
        <w:rPr>
          <w:rStyle w:val="Italic"/>
          <w:i w:val="0"/>
        </w:rPr>
        <w:t>2</w:t>
      </w:r>
      <w:r w:rsidRPr="002C595D">
        <w:rPr>
          <w:rStyle w:val="Italic"/>
          <w:i w:val="0"/>
        </w:rPr>
        <w:t>|</w:t>
      </w:r>
      <w:r>
        <w:rPr>
          <w:rStyle w:val="Italic"/>
          <w:i w:val="0"/>
        </w:rPr>
        <w:t>0|</w:t>
      </w:r>
      <w:r w:rsidRPr="002C595D">
        <w:rPr>
          <w:rStyle w:val="Italic"/>
          <w:i w:val="0"/>
        </w:rPr>
        <w:t>7</w:t>
      </w:r>
      <w:r>
        <w:rPr>
          <w:rStyle w:val="Italic"/>
          <w:i w:val="0"/>
        </w:rPr>
        <w:t>8</w:t>
      </w:r>
      <w:r w:rsidRPr="002C595D">
        <w:rPr>
          <w:rStyle w:val="Italic"/>
          <w:i w:val="0"/>
        </w:rPr>
        <w:t xml:space="preserve">|2|57|13|6|0 </w:t>
      </w:r>
    </w:p>
    <w:p w14:paraId="106A8119" w14:textId="77777777" w:rsidR="009B7AED" w:rsidRPr="002C595D" w:rsidRDefault="009B7AED" w:rsidP="009B7AED">
      <w:pPr>
        <w:pStyle w:val="BodyText-Nospace"/>
        <w:ind w:left="0"/>
        <w:rPr>
          <w:rStyle w:val="Italic"/>
          <w:i w:val="0"/>
        </w:rPr>
      </w:pPr>
      <w:r w:rsidRPr="002C595D">
        <w:rPr>
          <w:rStyle w:val="Italic"/>
          <w:i w:val="0"/>
        </w:rPr>
        <w:t>C|39|ABC123|1|1|2021|4|25|0</w:t>
      </w:r>
      <w:r>
        <w:rPr>
          <w:rStyle w:val="Italic"/>
          <w:i w:val="0"/>
        </w:rPr>
        <w:t>0</w:t>
      </w:r>
      <w:r w:rsidRPr="002C595D">
        <w:rPr>
          <w:rStyle w:val="Italic"/>
          <w:i w:val="0"/>
        </w:rPr>
        <w:t>|</w:t>
      </w:r>
      <w:r>
        <w:rPr>
          <w:rStyle w:val="Italic"/>
          <w:i w:val="0"/>
        </w:rPr>
        <w:t>3</w:t>
      </w:r>
      <w:r w:rsidRPr="002C595D">
        <w:rPr>
          <w:rStyle w:val="Italic"/>
          <w:i w:val="0"/>
        </w:rPr>
        <w:t>|</w:t>
      </w:r>
      <w:r>
        <w:rPr>
          <w:rStyle w:val="Italic"/>
          <w:i w:val="0"/>
        </w:rPr>
        <w:t>0|</w:t>
      </w:r>
      <w:r w:rsidRPr="002C595D">
        <w:rPr>
          <w:rStyle w:val="Italic"/>
          <w:i w:val="0"/>
        </w:rPr>
        <w:t xml:space="preserve">102|4|68|24|6|0 </w:t>
      </w:r>
    </w:p>
    <w:p w14:paraId="60E74BBC" w14:textId="77777777" w:rsidR="009B7AED" w:rsidRPr="002C595D" w:rsidRDefault="009B7AED" w:rsidP="009B7AED">
      <w:pPr>
        <w:pStyle w:val="BodyText-Nospace"/>
        <w:ind w:left="0"/>
        <w:rPr>
          <w:rStyle w:val="Italic"/>
          <w:i w:val="0"/>
        </w:rPr>
      </w:pPr>
      <w:r w:rsidRPr="002C595D">
        <w:rPr>
          <w:rStyle w:val="Italic"/>
          <w:i w:val="0"/>
        </w:rPr>
        <w:t>C|39|ABC123|1|2|2021|4|25|0</w:t>
      </w:r>
      <w:r>
        <w:rPr>
          <w:rStyle w:val="Italic"/>
          <w:i w:val="0"/>
        </w:rPr>
        <w:t>0</w:t>
      </w:r>
      <w:r w:rsidRPr="002C595D">
        <w:rPr>
          <w:rStyle w:val="Italic"/>
          <w:i w:val="0"/>
        </w:rPr>
        <w:t>|</w:t>
      </w:r>
      <w:r>
        <w:rPr>
          <w:rStyle w:val="Italic"/>
          <w:i w:val="0"/>
        </w:rPr>
        <w:t>3</w:t>
      </w:r>
      <w:r w:rsidRPr="002C595D">
        <w:rPr>
          <w:rStyle w:val="Italic"/>
          <w:i w:val="0"/>
        </w:rPr>
        <w:t>|</w:t>
      </w:r>
      <w:r>
        <w:rPr>
          <w:rStyle w:val="Italic"/>
          <w:i w:val="0"/>
        </w:rPr>
        <w:t>0|</w:t>
      </w:r>
      <w:r w:rsidRPr="002C595D">
        <w:rPr>
          <w:rStyle w:val="Italic"/>
          <w:i w:val="0"/>
        </w:rPr>
        <w:t>2</w:t>
      </w:r>
      <w:r>
        <w:rPr>
          <w:rStyle w:val="Italic"/>
          <w:i w:val="0"/>
        </w:rPr>
        <w:t>0</w:t>
      </w:r>
      <w:r w:rsidRPr="002C595D">
        <w:rPr>
          <w:rStyle w:val="Italic"/>
          <w:i w:val="0"/>
        </w:rPr>
        <w:t xml:space="preserve">1|3|167|23|7|1 </w:t>
      </w:r>
    </w:p>
    <w:p w14:paraId="24515938" w14:textId="77777777" w:rsidR="009B7AED" w:rsidRPr="002C595D" w:rsidRDefault="009B7AED" w:rsidP="009B7AED">
      <w:pPr>
        <w:pStyle w:val="BodyText-Nospace"/>
        <w:ind w:left="0"/>
        <w:rPr>
          <w:rStyle w:val="Italic"/>
          <w:i w:val="0"/>
        </w:rPr>
      </w:pPr>
      <w:r w:rsidRPr="002C595D">
        <w:rPr>
          <w:rStyle w:val="Italic"/>
          <w:i w:val="0"/>
        </w:rPr>
        <w:t>C|39|ABC123|1|3|2021|4|25|0</w:t>
      </w:r>
      <w:r>
        <w:rPr>
          <w:rStyle w:val="Italic"/>
          <w:i w:val="0"/>
        </w:rPr>
        <w:t>0</w:t>
      </w:r>
      <w:r w:rsidRPr="002C595D">
        <w:rPr>
          <w:rStyle w:val="Italic"/>
          <w:i w:val="0"/>
        </w:rPr>
        <w:t>|</w:t>
      </w:r>
      <w:r>
        <w:rPr>
          <w:rStyle w:val="Italic"/>
          <w:i w:val="0"/>
        </w:rPr>
        <w:t>3</w:t>
      </w:r>
      <w:r w:rsidRPr="002C595D">
        <w:rPr>
          <w:rStyle w:val="Italic"/>
          <w:i w:val="0"/>
        </w:rPr>
        <w:t>|</w:t>
      </w:r>
      <w:r>
        <w:rPr>
          <w:rStyle w:val="Italic"/>
          <w:i w:val="0"/>
        </w:rPr>
        <w:t>0|</w:t>
      </w:r>
      <w:r w:rsidRPr="002C595D">
        <w:rPr>
          <w:rStyle w:val="Italic"/>
          <w:i w:val="0"/>
        </w:rPr>
        <w:t xml:space="preserve">192|5|147|30|8|2 </w:t>
      </w:r>
    </w:p>
    <w:p w14:paraId="5FD87EBA" w14:textId="77777777" w:rsidR="009B7AED" w:rsidRDefault="009B7AED" w:rsidP="009B7AED">
      <w:pPr>
        <w:pStyle w:val="BodyText-Nospace"/>
        <w:ind w:left="0"/>
        <w:rPr>
          <w:rStyle w:val="Italic"/>
          <w:i w:val="0"/>
        </w:rPr>
      </w:pPr>
      <w:r w:rsidRPr="002C595D">
        <w:rPr>
          <w:rStyle w:val="Italic"/>
          <w:i w:val="0"/>
        </w:rPr>
        <w:t>C|39|ABC123|1|4|2021|4|25|0</w:t>
      </w:r>
      <w:r>
        <w:rPr>
          <w:rStyle w:val="Italic"/>
          <w:i w:val="0"/>
        </w:rPr>
        <w:t>0</w:t>
      </w:r>
      <w:r w:rsidRPr="002C595D">
        <w:rPr>
          <w:rStyle w:val="Italic"/>
          <w:i w:val="0"/>
        </w:rPr>
        <w:t>|</w:t>
      </w:r>
      <w:r>
        <w:rPr>
          <w:rStyle w:val="Italic"/>
          <w:i w:val="0"/>
        </w:rPr>
        <w:t>3</w:t>
      </w:r>
      <w:r w:rsidRPr="002C595D">
        <w:rPr>
          <w:rStyle w:val="Italic"/>
          <w:i w:val="0"/>
        </w:rPr>
        <w:t>|</w:t>
      </w:r>
      <w:r>
        <w:rPr>
          <w:rStyle w:val="Italic"/>
          <w:i w:val="0"/>
        </w:rPr>
        <w:t>0|</w:t>
      </w:r>
      <w:r w:rsidRPr="002C595D">
        <w:rPr>
          <w:rStyle w:val="Italic"/>
          <w:i w:val="0"/>
        </w:rPr>
        <w:t xml:space="preserve">97|5|65|15|10|2 </w:t>
      </w:r>
    </w:p>
    <w:p w14:paraId="0F82870E" w14:textId="77777777" w:rsidR="009B7AED" w:rsidRPr="002C595D" w:rsidRDefault="009B7AED" w:rsidP="009B7AED">
      <w:pPr>
        <w:pStyle w:val="BodyText-Nospace"/>
        <w:ind w:left="0"/>
        <w:rPr>
          <w:rStyle w:val="Italic"/>
          <w:i w:val="0"/>
        </w:rPr>
      </w:pPr>
      <w:r w:rsidRPr="002C595D">
        <w:rPr>
          <w:rStyle w:val="Italic"/>
          <w:i w:val="0"/>
        </w:rPr>
        <w:t>C|39|ABC123|5|1|2021|4|25|0</w:t>
      </w:r>
      <w:r>
        <w:rPr>
          <w:rStyle w:val="Italic"/>
          <w:i w:val="0"/>
        </w:rPr>
        <w:t>0</w:t>
      </w:r>
      <w:r w:rsidRPr="002C595D">
        <w:rPr>
          <w:rStyle w:val="Italic"/>
          <w:i w:val="0"/>
        </w:rPr>
        <w:t>|</w:t>
      </w:r>
      <w:r>
        <w:rPr>
          <w:rStyle w:val="Italic"/>
          <w:i w:val="0"/>
        </w:rPr>
        <w:t>3</w:t>
      </w:r>
      <w:r w:rsidRPr="002C595D">
        <w:rPr>
          <w:rStyle w:val="Italic"/>
          <w:i w:val="0"/>
        </w:rPr>
        <w:t>|</w:t>
      </w:r>
      <w:r>
        <w:rPr>
          <w:rStyle w:val="Italic"/>
          <w:i w:val="0"/>
        </w:rPr>
        <w:t>0|</w:t>
      </w:r>
      <w:r w:rsidRPr="002C595D">
        <w:rPr>
          <w:rStyle w:val="Italic"/>
          <w:i w:val="0"/>
        </w:rPr>
        <w:t xml:space="preserve">91|1|64|22|4|0 </w:t>
      </w:r>
    </w:p>
    <w:p w14:paraId="1D83E3A1" w14:textId="77777777" w:rsidR="009B7AED" w:rsidRPr="002C595D" w:rsidRDefault="009B7AED" w:rsidP="009B7AED">
      <w:pPr>
        <w:pStyle w:val="BodyText-Nospace"/>
        <w:ind w:left="0"/>
        <w:rPr>
          <w:rStyle w:val="Italic"/>
          <w:i w:val="0"/>
        </w:rPr>
      </w:pPr>
      <w:r w:rsidRPr="002C595D">
        <w:rPr>
          <w:rStyle w:val="Italic"/>
          <w:i w:val="0"/>
        </w:rPr>
        <w:t>C|39|ABC123|5|2|2021|4|25|0</w:t>
      </w:r>
      <w:r>
        <w:rPr>
          <w:rStyle w:val="Italic"/>
          <w:i w:val="0"/>
        </w:rPr>
        <w:t>0</w:t>
      </w:r>
      <w:r w:rsidRPr="002C595D">
        <w:rPr>
          <w:rStyle w:val="Italic"/>
          <w:i w:val="0"/>
        </w:rPr>
        <w:t>|</w:t>
      </w:r>
      <w:r>
        <w:rPr>
          <w:rStyle w:val="Italic"/>
          <w:i w:val="0"/>
        </w:rPr>
        <w:t>3</w:t>
      </w:r>
      <w:r w:rsidRPr="002C595D">
        <w:rPr>
          <w:rStyle w:val="Italic"/>
          <w:i w:val="0"/>
        </w:rPr>
        <w:t>|</w:t>
      </w:r>
      <w:r>
        <w:rPr>
          <w:rStyle w:val="Italic"/>
          <w:i w:val="0"/>
        </w:rPr>
        <w:t>0|</w:t>
      </w:r>
      <w:r w:rsidRPr="002C595D">
        <w:rPr>
          <w:rStyle w:val="Italic"/>
          <w:i w:val="0"/>
        </w:rPr>
        <w:t xml:space="preserve">179|0|147|26|6|0 </w:t>
      </w:r>
    </w:p>
    <w:p w14:paraId="67C04C29" w14:textId="77777777" w:rsidR="009B7AED" w:rsidRPr="002C595D" w:rsidRDefault="009B7AED" w:rsidP="009B7AED">
      <w:pPr>
        <w:pStyle w:val="BodyText-Nospace"/>
        <w:ind w:left="0"/>
        <w:rPr>
          <w:rStyle w:val="Italic"/>
          <w:i w:val="0"/>
        </w:rPr>
      </w:pPr>
      <w:r w:rsidRPr="002C595D">
        <w:rPr>
          <w:rStyle w:val="Italic"/>
          <w:i w:val="0"/>
        </w:rPr>
        <w:t>C|39|ABC123|5|3|2021|4|25|0</w:t>
      </w:r>
      <w:r>
        <w:rPr>
          <w:rStyle w:val="Italic"/>
          <w:i w:val="0"/>
        </w:rPr>
        <w:t>0</w:t>
      </w:r>
      <w:r w:rsidRPr="002C595D">
        <w:rPr>
          <w:rStyle w:val="Italic"/>
          <w:i w:val="0"/>
        </w:rPr>
        <w:t>|</w:t>
      </w:r>
      <w:r>
        <w:rPr>
          <w:rStyle w:val="Italic"/>
          <w:i w:val="0"/>
        </w:rPr>
        <w:t>3</w:t>
      </w:r>
      <w:r w:rsidRPr="002C595D">
        <w:rPr>
          <w:rStyle w:val="Italic"/>
          <w:i w:val="0"/>
        </w:rPr>
        <w:t>|</w:t>
      </w:r>
      <w:r>
        <w:rPr>
          <w:rStyle w:val="Italic"/>
          <w:i w:val="0"/>
        </w:rPr>
        <w:t>0|</w:t>
      </w:r>
      <w:r w:rsidRPr="002C595D">
        <w:rPr>
          <w:rStyle w:val="Italic"/>
          <w:i w:val="0"/>
        </w:rPr>
        <w:t xml:space="preserve">212|5|167|34|4|2 </w:t>
      </w:r>
    </w:p>
    <w:p w14:paraId="5736B555" w14:textId="77777777" w:rsidR="009B7AED" w:rsidRDefault="009B7AED" w:rsidP="009B7AED">
      <w:pPr>
        <w:pStyle w:val="BodyText-Nospace"/>
        <w:ind w:left="0"/>
        <w:rPr>
          <w:rStyle w:val="Italic"/>
          <w:i w:val="0"/>
        </w:rPr>
      </w:pPr>
      <w:r w:rsidRPr="002C595D">
        <w:rPr>
          <w:rStyle w:val="Italic"/>
          <w:i w:val="0"/>
        </w:rPr>
        <w:t>C|39|ABC123|5|4|2021|4|25|0</w:t>
      </w:r>
      <w:r>
        <w:rPr>
          <w:rStyle w:val="Italic"/>
          <w:i w:val="0"/>
        </w:rPr>
        <w:t>0</w:t>
      </w:r>
      <w:r w:rsidRPr="002C595D">
        <w:rPr>
          <w:rStyle w:val="Italic"/>
          <w:i w:val="0"/>
        </w:rPr>
        <w:t>|</w:t>
      </w:r>
      <w:r>
        <w:rPr>
          <w:rStyle w:val="Italic"/>
          <w:i w:val="0"/>
        </w:rPr>
        <w:t>3</w:t>
      </w:r>
      <w:r w:rsidRPr="002C595D">
        <w:rPr>
          <w:rStyle w:val="Italic"/>
          <w:i w:val="0"/>
        </w:rPr>
        <w:t>|</w:t>
      </w:r>
      <w:r>
        <w:rPr>
          <w:rStyle w:val="Italic"/>
          <w:i w:val="0"/>
        </w:rPr>
        <w:t>0|</w:t>
      </w:r>
      <w:r w:rsidRPr="002C595D">
        <w:rPr>
          <w:rStyle w:val="Italic"/>
          <w:i w:val="0"/>
        </w:rPr>
        <w:t>7</w:t>
      </w:r>
      <w:r>
        <w:rPr>
          <w:rStyle w:val="Italic"/>
          <w:i w:val="0"/>
        </w:rPr>
        <w:t>8</w:t>
      </w:r>
      <w:r w:rsidRPr="002C595D">
        <w:rPr>
          <w:rStyle w:val="Italic"/>
          <w:i w:val="0"/>
        </w:rPr>
        <w:t>|2|57|13|6|0</w:t>
      </w:r>
    </w:p>
    <w:p w14:paraId="68D7620E" w14:textId="77777777" w:rsidR="009B7AED" w:rsidRPr="002C595D" w:rsidRDefault="009B7AED" w:rsidP="009B7AED">
      <w:pPr>
        <w:pStyle w:val="BodyText-Nospace"/>
        <w:ind w:left="0"/>
        <w:rPr>
          <w:rStyle w:val="Italic"/>
          <w:i w:val="0"/>
        </w:rPr>
      </w:pPr>
      <w:r w:rsidRPr="002C595D">
        <w:rPr>
          <w:rStyle w:val="Italic"/>
          <w:i w:val="0"/>
        </w:rPr>
        <w:t>C|39|ABC123|1|1|2021|4|25|0</w:t>
      </w:r>
      <w:r>
        <w:rPr>
          <w:rStyle w:val="Italic"/>
          <w:i w:val="0"/>
        </w:rPr>
        <w:t>0</w:t>
      </w:r>
      <w:r w:rsidRPr="002C595D">
        <w:rPr>
          <w:rStyle w:val="Italic"/>
          <w:i w:val="0"/>
        </w:rPr>
        <w:t>|</w:t>
      </w:r>
      <w:r>
        <w:rPr>
          <w:rStyle w:val="Italic"/>
          <w:i w:val="0"/>
        </w:rPr>
        <w:t>4</w:t>
      </w:r>
      <w:r w:rsidRPr="002C595D">
        <w:rPr>
          <w:rStyle w:val="Italic"/>
          <w:i w:val="0"/>
        </w:rPr>
        <w:t>|</w:t>
      </w:r>
      <w:r>
        <w:rPr>
          <w:rStyle w:val="Italic"/>
          <w:i w:val="0"/>
        </w:rPr>
        <w:t>0|</w:t>
      </w:r>
      <w:r w:rsidRPr="002C595D">
        <w:rPr>
          <w:rStyle w:val="Italic"/>
          <w:i w:val="0"/>
        </w:rPr>
        <w:t xml:space="preserve">102|4|68|24|6|0 </w:t>
      </w:r>
    </w:p>
    <w:p w14:paraId="29D9ADAC" w14:textId="77777777" w:rsidR="009B7AED" w:rsidRPr="002C595D" w:rsidRDefault="009B7AED" w:rsidP="009B7AED">
      <w:pPr>
        <w:pStyle w:val="BodyText-Nospace"/>
        <w:ind w:left="0"/>
        <w:rPr>
          <w:rStyle w:val="Italic"/>
          <w:i w:val="0"/>
        </w:rPr>
      </w:pPr>
      <w:r w:rsidRPr="002C595D">
        <w:rPr>
          <w:rStyle w:val="Italic"/>
          <w:i w:val="0"/>
        </w:rPr>
        <w:t>C|39|ABC123|1|2|2021|4|25|0</w:t>
      </w:r>
      <w:r>
        <w:rPr>
          <w:rStyle w:val="Italic"/>
          <w:i w:val="0"/>
        </w:rPr>
        <w:t>0</w:t>
      </w:r>
      <w:r w:rsidRPr="002C595D">
        <w:rPr>
          <w:rStyle w:val="Italic"/>
          <w:i w:val="0"/>
        </w:rPr>
        <w:t>|</w:t>
      </w:r>
      <w:r>
        <w:rPr>
          <w:rStyle w:val="Italic"/>
          <w:i w:val="0"/>
        </w:rPr>
        <w:t>4</w:t>
      </w:r>
      <w:r w:rsidRPr="002C595D">
        <w:rPr>
          <w:rStyle w:val="Italic"/>
          <w:i w:val="0"/>
        </w:rPr>
        <w:t>|</w:t>
      </w:r>
      <w:r>
        <w:rPr>
          <w:rStyle w:val="Italic"/>
          <w:i w:val="0"/>
        </w:rPr>
        <w:t>0|</w:t>
      </w:r>
      <w:r w:rsidRPr="002C595D">
        <w:rPr>
          <w:rStyle w:val="Italic"/>
          <w:i w:val="0"/>
        </w:rPr>
        <w:t>2</w:t>
      </w:r>
      <w:r>
        <w:rPr>
          <w:rStyle w:val="Italic"/>
          <w:i w:val="0"/>
        </w:rPr>
        <w:t>0</w:t>
      </w:r>
      <w:r w:rsidRPr="002C595D">
        <w:rPr>
          <w:rStyle w:val="Italic"/>
          <w:i w:val="0"/>
        </w:rPr>
        <w:t xml:space="preserve">1|3|167|23|7|1 </w:t>
      </w:r>
    </w:p>
    <w:p w14:paraId="1EE85942" w14:textId="77777777" w:rsidR="009B7AED" w:rsidRPr="002C595D" w:rsidRDefault="009B7AED" w:rsidP="009B7AED">
      <w:pPr>
        <w:pStyle w:val="BodyText-Nospace"/>
        <w:ind w:left="0"/>
        <w:rPr>
          <w:rStyle w:val="Italic"/>
          <w:i w:val="0"/>
        </w:rPr>
      </w:pPr>
      <w:r w:rsidRPr="002C595D">
        <w:rPr>
          <w:rStyle w:val="Italic"/>
          <w:i w:val="0"/>
        </w:rPr>
        <w:t>C|39|ABC123|1|3|2021|4|25|0</w:t>
      </w:r>
      <w:r>
        <w:rPr>
          <w:rStyle w:val="Italic"/>
          <w:i w:val="0"/>
        </w:rPr>
        <w:t>0</w:t>
      </w:r>
      <w:r w:rsidRPr="002C595D">
        <w:rPr>
          <w:rStyle w:val="Italic"/>
          <w:i w:val="0"/>
        </w:rPr>
        <w:t>|</w:t>
      </w:r>
      <w:r>
        <w:rPr>
          <w:rStyle w:val="Italic"/>
          <w:i w:val="0"/>
        </w:rPr>
        <w:t>4</w:t>
      </w:r>
      <w:r w:rsidRPr="002C595D">
        <w:rPr>
          <w:rStyle w:val="Italic"/>
          <w:i w:val="0"/>
        </w:rPr>
        <w:t>|</w:t>
      </w:r>
      <w:r>
        <w:rPr>
          <w:rStyle w:val="Italic"/>
          <w:i w:val="0"/>
        </w:rPr>
        <w:t>0|</w:t>
      </w:r>
      <w:r w:rsidRPr="002C595D">
        <w:rPr>
          <w:rStyle w:val="Italic"/>
          <w:i w:val="0"/>
        </w:rPr>
        <w:t xml:space="preserve">192|5|147|30|8|2 </w:t>
      </w:r>
    </w:p>
    <w:p w14:paraId="52B4EE2D" w14:textId="77777777" w:rsidR="009B7AED" w:rsidRDefault="009B7AED" w:rsidP="009B7AED">
      <w:pPr>
        <w:pStyle w:val="BodyText-Nospace"/>
        <w:ind w:left="0"/>
        <w:rPr>
          <w:rStyle w:val="Italic"/>
          <w:i w:val="0"/>
        </w:rPr>
      </w:pPr>
      <w:r w:rsidRPr="002C595D">
        <w:rPr>
          <w:rStyle w:val="Italic"/>
          <w:i w:val="0"/>
        </w:rPr>
        <w:t>C|39|ABC123|1|4|2021|4|25|0</w:t>
      </w:r>
      <w:r>
        <w:rPr>
          <w:rStyle w:val="Italic"/>
          <w:i w:val="0"/>
        </w:rPr>
        <w:t>0</w:t>
      </w:r>
      <w:r w:rsidRPr="002C595D">
        <w:rPr>
          <w:rStyle w:val="Italic"/>
          <w:i w:val="0"/>
        </w:rPr>
        <w:t>|</w:t>
      </w:r>
      <w:r>
        <w:rPr>
          <w:rStyle w:val="Italic"/>
          <w:i w:val="0"/>
        </w:rPr>
        <w:t>4</w:t>
      </w:r>
      <w:r w:rsidRPr="002C595D">
        <w:rPr>
          <w:rStyle w:val="Italic"/>
          <w:i w:val="0"/>
        </w:rPr>
        <w:t>|</w:t>
      </w:r>
      <w:r>
        <w:rPr>
          <w:rStyle w:val="Italic"/>
          <w:i w:val="0"/>
        </w:rPr>
        <w:t>0|</w:t>
      </w:r>
      <w:r w:rsidRPr="002C595D">
        <w:rPr>
          <w:rStyle w:val="Italic"/>
          <w:i w:val="0"/>
        </w:rPr>
        <w:t xml:space="preserve">97|5|65|15|10|2 </w:t>
      </w:r>
    </w:p>
    <w:p w14:paraId="02220CD8" w14:textId="77777777" w:rsidR="009B7AED" w:rsidRPr="002C595D" w:rsidRDefault="009B7AED" w:rsidP="009B7AED">
      <w:pPr>
        <w:pStyle w:val="BodyText-Nospace"/>
        <w:ind w:left="0"/>
        <w:rPr>
          <w:rStyle w:val="Italic"/>
          <w:i w:val="0"/>
        </w:rPr>
      </w:pPr>
      <w:r w:rsidRPr="002C595D">
        <w:rPr>
          <w:rStyle w:val="Italic"/>
          <w:i w:val="0"/>
        </w:rPr>
        <w:t>C|39|ABC123|5|1|2021|4|25|0</w:t>
      </w:r>
      <w:r>
        <w:rPr>
          <w:rStyle w:val="Italic"/>
          <w:i w:val="0"/>
        </w:rPr>
        <w:t>0</w:t>
      </w:r>
      <w:r w:rsidRPr="002C595D">
        <w:rPr>
          <w:rStyle w:val="Italic"/>
          <w:i w:val="0"/>
        </w:rPr>
        <w:t>|</w:t>
      </w:r>
      <w:r>
        <w:rPr>
          <w:rStyle w:val="Italic"/>
          <w:i w:val="0"/>
        </w:rPr>
        <w:t>4</w:t>
      </w:r>
      <w:r w:rsidRPr="002C595D">
        <w:rPr>
          <w:rStyle w:val="Italic"/>
          <w:i w:val="0"/>
        </w:rPr>
        <w:t>|</w:t>
      </w:r>
      <w:r>
        <w:rPr>
          <w:rStyle w:val="Italic"/>
          <w:i w:val="0"/>
        </w:rPr>
        <w:t>0|</w:t>
      </w:r>
      <w:r w:rsidRPr="002C595D">
        <w:rPr>
          <w:rStyle w:val="Italic"/>
          <w:i w:val="0"/>
        </w:rPr>
        <w:t xml:space="preserve">91|1|64|22|4|0 </w:t>
      </w:r>
    </w:p>
    <w:p w14:paraId="6F535B6F" w14:textId="77777777" w:rsidR="009B7AED" w:rsidRPr="002C595D" w:rsidRDefault="009B7AED" w:rsidP="009B7AED">
      <w:pPr>
        <w:pStyle w:val="BodyText-Nospace"/>
        <w:ind w:left="0"/>
        <w:rPr>
          <w:rStyle w:val="Italic"/>
          <w:i w:val="0"/>
        </w:rPr>
      </w:pPr>
      <w:r w:rsidRPr="002C595D">
        <w:rPr>
          <w:rStyle w:val="Italic"/>
          <w:i w:val="0"/>
        </w:rPr>
        <w:t>C|39|ABC123|5|2|2021|4|25|0</w:t>
      </w:r>
      <w:r>
        <w:rPr>
          <w:rStyle w:val="Italic"/>
          <w:i w:val="0"/>
        </w:rPr>
        <w:t>0</w:t>
      </w:r>
      <w:r w:rsidRPr="002C595D">
        <w:rPr>
          <w:rStyle w:val="Italic"/>
          <w:i w:val="0"/>
        </w:rPr>
        <w:t>|</w:t>
      </w:r>
      <w:r>
        <w:rPr>
          <w:rStyle w:val="Italic"/>
          <w:i w:val="0"/>
        </w:rPr>
        <w:t>4</w:t>
      </w:r>
      <w:r w:rsidRPr="002C595D">
        <w:rPr>
          <w:rStyle w:val="Italic"/>
          <w:i w:val="0"/>
        </w:rPr>
        <w:t>|</w:t>
      </w:r>
      <w:r>
        <w:rPr>
          <w:rStyle w:val="Italic"/>
          <w:i w:val="0"/>
        </w:rPr>
        <w:t>0|</w:t>
      </w:r>
      <w:r w:rsidRPr="002C595D">
        <w:rPr>
          <w:rStyle w:val="Italic"/>
          <w:i w:val="0"/>
        </w:rPr>
        <w:t xml:space="preserve">179|0|147|26|6|0 </w:t>
      </w:r>
    </w:p>
    <w:p w14:paraId="6BE7AE88" w14:textId="77777777" w:rsidR="009B7AED" w:rsidRPr="002C595D" w:rsidRDefault="009B7AED" w:rsidP="009B7AED">
      <w:pPr>
        <w:pStyle w:val="BodyText-Nospace"/>
        <w:ind w:left="0"/>
        <w:rPr>
          <w:rStyle w:val="Italic"/>
          <w:i w:val="0"/>
        </w:rPr>
      </w:pPr>
      <w:r w:rsidRPr="002C595D">
        <w:rPr>
          <w:rStyle w:val="Italic"/>
          <w:i w:val="0"/>
        </w:rPr>
        <w:t>C|39|ABC123|5|3|2021|4|25|0</w:t>
      </w:r>
      <w:r>
        <w:rPr>
          <w:rStyle w:val="Italic"/>
          <w:i w:val="0"/>
        </w:rPr>
        <w:t>0</w:t>
      </w:r>
      <w:r w:rsidRPr="002C595D">
        <w:rPr>
          <w:rStyle w:val="Italic"/>
          <w:i w:val="0"/>
        </w:rPr>
        <w:t>|</w:t>
      </w:r>
      <w:r>
        <w:rPr>
          <w:rStyle w:val="Italic"/>
          <w:i w:val="0"/>
        </w:rPr>
        <w:t>4</w:t>
      </w:r>
      <w:r w:rsidRPr="002C595D">
        <w:rPr>
          <w:rStyle w:val="Italic"/>
          <w:i w:val="0"/>
        </w:rPr>
        <w:t>|</w:t>
      </w:r>
      <w:r>
        <w:rPr>
          <w:rStyle w:val="Italic"/>
          <w:i w:val="0"/>
        </w:rPr>
        <w:t>0|</w:t>
      </w:r>
      <w:r w:rsidRPr="002C595D">
        <w:rPr>
          <w:rStyle w:val="Italic"/>
          <w:i w:val="0"/>
        </w:rPr>
        <w:t xml:space="preserve">212|5|167|34|4|2 </w:t>
      </w:r>
    </w:p>
    <w:p w14:paraId="321F75E4" w14:textId="37FD2B7A" w:rsidR="000C48E4" w:rsidRDefault="009B7AED" w:rsidP="009B7AED">
      <w:pPr>
        <w:pStyle w:val="BodyText-Nospace"/>
        <w:ind w:left="0"/>
        <w:rPr>
          <w:rStyle w:val="Italic"/>
          <w:i w:val="0"/>
        </w:rPr>
      </w:pPr>
      <w:r w:rsidRPr="002C595D">
        <w:rPr>
          <w:rStyle w:val="Italic"/>
          <w:i w:val="0"/>
        </w:rPr>
        <w:t>C|39|ABC123|5|4|2021|4|25|0</w:t>
      </w:r>
      <w:r>
        <w:rPr>
          <w:rStyle w:val="Italic"/>
          <w:i w:val="0"/>
        </w:rPr>
        <w:t>0</w:t>
      </w:r>
      <w:r w:rsidRPr="002C595D">
        <w:rPr>
          <w:rStyle w:val="Italic"/>
          <w:i w:val="0"/>
        </w:rPr>
        <w:t>|</w:t>
      </w:r>
      <w:r>
        <w:rPr>
          <w:rStyle w:val="Italic"/>
          <w:i w:val="0"/>
        </w:rPr>
        <w:t>4</w:t>
      </w:r>
      <w:r w:rsidRPr="002C595D">
        <w:rPr>
          <w:rStyle w:val="Italic"/>
          <w:i w:val="0"/>
        </w:rPr>
        <w:t>|</w:t>
      </w:r>
      <w:r>
        <w:rPr>
          <w:rStyle w:val="Italic"/>
          <w:i w:val="0"/>
        </w:rPr>
        <w:t>0|</w:t>
      </w:r>
      <w:r w:rsidRPr="002C595D">
        <w:rPr>
          <w:rStyle w:val="Italic"/>
          <w:i w:val="0"/>
        </w:rPr>
        <w:t>7</w:t>
      </w:r>
      <w:r>
        <w:rPr>
          <w:rStyle w:val="Italic"/>
          <w:i w:val="0"/>
        </w:rPr>
        <w:t>8</w:t>
      </w:r>
      <w:r w:rsidRPr="002C595D">
        <w:rPr>
          <w:rStyle w:val="Italic"/>
          <w:i w:val="0"/>
        </w:rPr>
        <w:t>|2|57|13|6|0</w:t>
      </w:r>
    </w:p>
    <w:p w14:paraId="0679C728" w14:textId="77777777" w:rsidR="000C48E4" w:rsidRDefault="000C48E4">
      <w:pPr>
        <w:widowControl/>
        <w:suppressAutoHyphens w:val="0"/>
        <w:autoSpaceDE/>
        <w:autoSpaceDN/>
        <w:adjustRightInd/>
        <w:spacing w:after="160" w:line="259" w:lineRule="auto"/>
        <w:jc w:val="left"/>
        <w:textAlignment w:val="auto"/>
        <w:rPr>
          <w:rStyle w:val="Italic"/>
          <w:i w:val="0"/>
        </w:rPr>
      </w:pPr>
      <w:r>
        <w:rPr>
          <w:rStyle w:val="Italic"/>
          <w:i w:val="0"/>
        </w:rPr>
        <w:br w:type="page"/>
      </w:r>
    </w:p>
    <w:p w14:paraId="7BFA879D" w14:textId="30F1DCD6" w:rsidR="009B7AED" w:rsidRPr="001546EF" w:rsidRDefault="009B7AED">
      <w:pPr>
        <w:pStyle w:val="Heading2"/>
      </w:pPr>
      <w:bookmarkStart w:id="3048" w:name="_Toc349905108"/>
      <w:bookmarkStart w:id="3049" w:name="_Toc363656156"/>
      <w:bookmarkStart w:id="3050" w:name="_Toc450638947"/>
      <w:bookmarkStart w:id="3051" w:name="_Toc63976752"/>
      <w:bookmarkStart w:id="3052" w:name="_Toc68864957"/>
      <w:bookmarkStart w:id="3053" w:name="_Toc109301285"/>
      <w:bookmarkStart w:id="3054" w:name="_Toc109333019"/>
      <w:bookmarkStart w:id="3055" w:name="_Toc109333612"/>
      <w:bookmarkStart w:id="3056" w:name="_Toc113281110"/>
      <w:bookmarkStart w:id="3057" w:name="_Toc114474743"/>
      <w:bookmarkStart w:id="3058" w:name="_Toc118205698"/>
      <w:r w:rsidRPr="001546EF">
        <w:lastRenderedPageBreak/>
        <w:t>Weight Data Format</w:t>
      </w:r>
      <w:bookmarkEnd w:id="3029"/>
      <w:bookmarkEnd w:id="3046"/>
      <w:bookmarkEnd w:id="3048"/>
      <w:bookmarkEnd w:id="3049"/>
      <w:bookmarkEnd w:id="3050"/>
      <w:r w:rsidRPr="001546EF">
        <w:t xml:space="preserve"> (</w:t>
      </w:r>
      <w:r>
        <w:t>F</w:t>
      </w:r>
      <w:r w:rsidRPr="001546EF">
        <w:t xml:space="preserve">ixed </w:t>
      </w:r>
      <w:r>
        <w:t>W</w:t>
      </w:r>
      <w:r w:rsidRPr="001546EF">
        <w:t xml:space="preserve">idth or </w:t>
      </w:r>
      <w:r>
        <w:t>P</w:t>
      </w:r>
      <w:r w:rsidRPr="001546EF">
        <w:t xml:space="preserve">ipe </w:t>
      </w:r>
      <w:r>
        <w:t>D</w:t>
      </w:r>
      <w:r w:rsidRPr="001546EF">
        <w:t>elimited)</w:t>
      </w:r>
      <w:bookmarkEnd w:id="3051"/>
      <w:bookmarkEnd w:id="3052"/>
      <w:bookmarkEnd w:id="3053"/>
      <w:bookmarkEnd w:id="3054"/>
      <w:bookmarkEnd w:id="3055"/>
      <w:bookmarkEnd w:id="3056"/>
      <w:bookmarkEnd w:id="3057"/>
      <w:bookmarkEnd w:id="3058"/>
    </w:p>
    <w:p w14:paraId="55317F6E" w14:textId="440D5ECE" w:rsidR="009B7AED" w:rsidRDefault="009B7AED" w:rsidP="00A35EAF">
      <w:pPr>
        <w:pStyle w:val="BodyText"/>
      </w:pPr>
      <w:r>
        <w:t>The Weight Data Format is the mechanism currently used to submit weight data to TMAS. FHWA prefers that States submit weight data using the Individual Vehicle Record Formats (IVR) described in Section 4.7. Weight data should be submitted using the “W” or “Z” variants of the IVR record format (Sections 4.7.4 and 4.7.5, respectively).</w:t>
      </w:r>
    </w:p>
    <w:p w14:paraId="66F2804A" w14:textId="4FFADB3A" w:rsidR="009B7AED" w:rsidRDefault="009B7AED" w:rsidP="00A35EAF">
      <w:pPr>
        <w:pStyle w:val="BodyText"/>
      </w:pPr>
      <w:r>
        <w:t>For States still wishing to use the current Weight Data Format, a description of that file format is as follows. Each file submitted in this format contains one record for each vehicle. Each record describes that vehicle’s axle weights and axle spacings.</w:t>
      </w:r>
      <w:r w:rsidRPr="003947A3">
        <w:t xml:space="preserve"> </w:t>
      </w:r>
      <w:r>
        <w:t>Agencies have the option to</w:t>
      </w:r>
      <w:r w:rsidRPr="003947A3">
        <w:t xml:space="preserve"> submit all vehicle types in weight da</w:t>
      </w:r>
      <w:r>
        <w:t>ta format as opposed to</w:t>
      </w:r>
      <w:r w:rsidRPr="003947A3">
        <w:t xml:space="preserve"> just sending in classes 4-13.</w:t>
      </w:r>
    </w:p>
    <w:p w14:paraId="00309537" w14:textId="77777777" w:rsidR="009B7AED" w:rsidRDefault="009B7AED" w:rsidP="00A119E0">
      <w:pPr>
        <w:pStyle w:val="CallOut"/>
      </w:pPr>
      <w:r>
        <w:rPr>
          <w:bCs/>
        </w:rPr>
        <w:t>I</w:t>
      </w:r>
      <w:r w:rsidRPr="00C36998">
        <w:t>f a more</w:t>
      </w:r>
      <w:r>
        <w:t>-</w:t>
      </w:r>
      <w:r w:rsidRPr="00C36998">
        <w:t>than</w:t>
      </w:r>
      <w:r>
        <w:t>-</w:t>
      </w:r>
      <w:r w:rsidRPr="00C36998">
        <w:t xml:space="preserve">6-digit station ID is used for the associated station format, </w:t>
      </w:r>
      <w:r>
        <w:t>the pipe-</w:t>
      </w:r>
      <w:r w:rsidRPr="00C36998">
        <w:t xml:space="preserve">delimited format must be used for the </w:t>
      </w:r>
      <w:r>
        <w:t>weight</w:t>
      </w:r>
      <w:r w:rsidRPr="00C36998">
        <w:t xml:space="preserve"> data</w:t>
      </w:r>
      <w:r>
        <w:t>,</w:t>
      </w:r>
      <w:r w:rsidRPr="00C36998">
        <w:t xml:space="preserve"> and the same number of digits </w:t>
      </w:r>
      <w:r>
        <w:t xml:space="preserve">for the station ID </w:t>
      </w:r>
      <w:r w:rsidRPr="00C36998">
        <w:t xml:space="preserve">need to be provided </w:t>
      </w:r>
      <w:r>
        <w:t>o</w:t>
      </w:r>
      <w:r w:rsidRPr="00C36998">
        <w:t>n th</w:t>
      </w:r>
      <w:r>
        <w:t>e weight records</w:t>
      </w:r>
      <w:r w:rsidRPr="00C36998">
        <w:t>.</w:t>
      </w:r>
    </w:p>
    <w:p w14:paraId="62D91BE5" w14:textId="77777777" w:rsidR="009B7AED" w:rsidRDefault="009B7AED" w:rsidP="00A35EAF">
      <w:pPr>
        <w:pStyle w:val="BodyText"/>
      </w:pPr>
      <w:r>
        <w:t>As a reminder, all weight data are to use English units.</w:t>
      </w:r>
    </w:p>
    <w:p w14:paraId="3E1013E2" w14:textId="77777777" w:rsidR="009B7AED" w:rsidRPr="001546EF" w:rsidRDefault="009B7AED">
      <w:pPr>
        <w:pStyle w:val="Heading3"/>
      </w:pPr>
      <w:bookmarkStart w:id="3059" w:name="_Toc63976753"/>
      <w:bookmarkStart w:id="3060" w:name="_Toc109301286"/>
      <w:bookmarkStart w:id="3061" w:name="_Toc109333020"/>
      <w:bookmarkStart w:id="3062" w:name="_Toc109333613"/>
      <w:bookmarkStart w:id="3063" w:name="_Toc113281111"/>
      <w:bookmarkStart w:id="3064" w:name="_Toc118205699"/>
      <w:r w:rsidRPr="001546EF">
        <w:t>File Naming Recommendation</w:t>
      </w:r>
      <w:bookmarkEnd w:id="3059"/>
      <w:bookmarkEnd w:id="3060"/>
      <w:bookmarkEnd w:id="3061"/>
      <w:bookmarkEnd w:id="3062"/>
      <w:bookmarkEnd w:id="3063"/>
      <w:bookmarkEnd w:id="3064"/>
    </w:p>
    <w:p w14:paraId="09D7985A" w14:textId="66D915BD" w:rsidR="009B7AED" w:rsidRDefault="009B7AED" w:rsidP="00A35EAF">
      <w:pPr>
        <w:pStyle w:val="BodyText"/>
      </w:pPr>
      <w:r>
        <w:t>It is recommended that the file extension .WGT be used for all Weight data files.</w:t>
      </w:r>
      <w:r w:rsidR="004D4172">
        <w:t xml:space="preserve"> </w:t>
      </w:r>
      <w:r>
        <w:t xml:space="preserve">The filename should be descriptive to facilitate the deciphering of the file and its contents. </w:t>
      </w:r>
    </w:p>
    <w:p w14:paraId="2EFC609B" w14:textId="77777777" w:rsidR="009B7AED" w:rsidRPr="00677E20" w:rsidRDefault="009B7AED" w:rsidP="00A35EAF">
      <w:pPr>
        <w:pStyle w:val="Example"/>
      </w:pPr>
      <w:r w:rsidRPr="00677E20">
        <w:t>An example of the file naming convention for the Weight record is:</w:t>
      </w:r>
    </w:p>
    <w:p w14:paraId="2312DEB8" w14:textId="77777777" w:rsidR="009B7AED" w:rsidRPr="00677E20" w:rsidRDefault="009B7AED" w:rsidP="00A35EAF">
      <w:pPr>
        <w:pStyle w:val="Example"/>
      </w:pPr>
      <w:r w:rsidRPr="00677E20">
        <w:t xml:space="preserve"> ssabcxyzmmyyyy.WGT</w:t>
      </w:r>
    </w:p>
    <w:p w14:paraId="25F70C77" w14:textId="77777777" w:rsidR="009B7AED" w:rsidRPr="001546EF" w:rsidRDefault="009B7AED">
      <w:pPr>
        <w:pStyle w:val="Heading3"/>
      </w:pPr>
      <w:bookmarkStart w:id="3065" w:name="_Toc63976754"/>
      <w:bookmarkStart w:id="3066" w:name="_Toc109301287"/>
      <w:bookmarkStart w:id="3067" w:name="_Toc109333021"/>
      <w:bookmarkStart w:id="3068" w:name="_Toc109333614"/>
      <w:bookmarkStart w:id="3069" w:name="_Toc113281112"/>
      <w:bookmarkStart w:id="3070" w:name="_Toc118205700"/>
      <w:r>
        <w:t xml:space="preserve">Weight – </w:t>
      </w:r>
      <w:r w:rsidRPr="001546EF">
        <w:t>Fixed</w:t>
      </w:r>
      <w:r>
        <w:t>-</w:t>
      </w:r>
      <w:r w:rsidRPr="001546EF">
        <w:t>width Format</w:t>
      </w:r>
      <w:bookmarkEnd w:id="3065"/>
      <w:bookmarkEnd w:id="3066"/>
      <w:bookmarkEnd w:id="3067"/>
      <w:bookmarkEnd w:id="3068"/>
      <w:bookmarkEnd w:id="3069"/>
      <w:bookmarkEnd w:id="3070"/>
    </w:p>
    <w:p w14:paraId="11A5FFFC" w14:textId="51161687" w:rsidR="009B7AED" w:rsidRDefault="009B7AED" w:rsidP="00A35EAF">
      <w:pPr>
        <w:pStyle w:val="BodyText"/>
      </w:pPr>
      <w:r>
        <w:t xml:space="preserve">The fixed-width column data element format is the legacy TMAS data format. States can continue to submit data in such format. However, States can elect to submit the weight data via the new </w:t>
      </w:r>
      <w:r w:rsidR="00031AC7">
        <w:t>pipe-</w:t>
      </w:r>
      <w:r>
        <w:t>delimited file format described in Section 4.6.3.</w:t>
      </w:r>
    </w:p>
    <w:p w14:paraId="285A165A" w14:textId="21DEE2FB" w:rsidR="009B7AED" w:rsidRDefault="00464453" w:rsidP="00A35EAF">
      <w:pPr>
        <w:pStyle w:val="BodyText"/>
      </w:pPr>
      <w:r>
        <w:fldChar w:fldCharType="begin"/>
      </w:r>
      <w:r>
        <w:instrText xml:space="preserve"> REF _Ref113274750 </w:instrText>
      </w:r>
      <w:r>
        <w:fldChar w:fldCharType="separate"/>
      </w:r>
      <w:r w:rsidR="00C07DF9" w:rsidRPr="003232CF">
        <w:t xml:space="preserve">Table </w:t>
      </w:r>
      <w:r w:rsidR="00C07DF9">
        <w:rPr>
          <w:noProof/>
        </w:rPr>
        <w:t>4</w:t>
      </w:r>
      <w:r w:rsidR="00C07DF9">
        <w:noBreakHyphen/>
      </w:r>
      <w:r w:rsidR="00C07DF9">
        <w:rPr>
          <w:noProof/>
        </w:rPr>
        <w:t>20</w:t>
      </w:r>
      <w:r>
        <w:rPr>
          <w:noProof/>
        </w:rPr>
        <w:fldChar w:fldCharType="end"/>
      </w:r>
      <w:r w:rsidR="009B7AED">
        <w:t xml:space="preserve"> summarizes the Weight fixed-width column record format.</w:t>
      </w:r>
    </w:p>
    <w:p w14:paraId="23185031" w14:textId="266870D5" w:rsidR="009B7AED" w:rsidRDefault="009B7AED" w:rsidP="000F2A7A">
      <w:pPr>
        <w:pStyle w:val="TMGTableCaption"/>
      </w:pPr>
      <w:bookmarkStart w:id="3071" w:name="_Ref113274750"/>
      <w:bookmarkStart w:id="3072" w:name="_Toc109333457"/>
      <w:bookmarkStart w:id="3073" w:name="_Toc109333785"/>
      <w:bookmarkStart w:id="3074" w:name="_Toc113282525"/>
      <w:bookmarkStart w:id="3075" w:name="_Toc114474862"/>
      <w:bookmarkStart w:id="3076" w:name="_Toc120631168"/>
      <w:r w:rsidRPr="003232CF">
        <w:t xml:space="preserve">Table </w:t>
      </w:r>
      <w:fldSimple w:instr=" STYLEREF 1 \s ">
        <w:r w:rsidR="00C07DF9">
          <w:rPr>
            <w:noProof/>
          </w:rPr>
          <w:t>4</w:t>
        </w:r>
      </w:fldSimple>
      <w:r>
        <w:noBreakHyphen/>
      </w:r>
      <w:fldSimple w:instr=" SEQ Table \* ARABIC \s 1 ">
        <w:r w:rsidR="00C07DF9">
          <w:rPr>
            <w:noProof/>
          </w:rPr>
          <w:t>20</w:t>
        </w:r>
      </w:fldSimple>
      <w:bookmarkEnd w:id="3071"/>
      <w:r w:rsidR="00627DD7">
        <w:t>.</w:t>
      </w:r>
      <w:r w:rsidRPr="003232CF">
        <w:t xml:space="preserve"> Weight Record</w:t>
      </w:r>
      <w:r>
        <w:t xml:space="preserve"> – </w:t>
      </w:r>
      <w:r w:rsidRPr="003232CF">
        <w:t>Fixed</w:t>
      </w:r>
      <w:r>
        <w:t>-</w:t>
      </w:r>
      <w:r w:rsidRPr="003232CF">
        <w:t>Width</w:t>
      </w:r>
      <w:r>
        <w:t xml:space="preserve"> Format</w:t>
      </w:r>
      <w:bookmarkEnd w:id="3072"/>
      <w:bookmarkEnd w:id="3073"/>
      <w:bookmarkEnd w:id="3074"/>
      <w:bookmarkEnd w:id="3075"/>
      <w:bookmarkEnd w:id="3076"/>
    </w:p>
    <w:tbl>
      <w:tblPr>
        <w:tblStyle w:val="TableGrid"/>
        <w:tblW w:w="9360" w:type="dxa"/>
        <w:jc w:val="center"/>
        <w:tblCellMar>
          <w:left w:w="86" w:type="dxa"/>
          <w:right w:w="86" w:type="dxa"/>
        </w:tblCellMar>
        <w:tblLook w:val="04A0" w:firstRow="1" w:lastRow="0" w:firstColumn="1" w:lastColumn="0" w:noHBand="0" w:noVBand="1"/>
      </w:tblPr>
      <w:tblGrid>
        <w:gridCol w:w="805"/>
        <w:gridCol w:w="1080"/>
        <w:gridCol w:w="900"/>
        <w:gridCol w:w="3427"/>
        <w:gridCol w:w="1479"/>
        <w:gridCol w:w="1669"/>
      </w:tblGrid>
      <w:tr w:rsidR="003D76E2" w14:paraId="6F5E219D" w14:textId="77777777" w:rsidTr="008219F2">
        <w:trPr>
          <w:tblHeader/>
          <w:jc w:val="center"/>
        </w:trPr>
        <w:tc>
          <w:tcPr>
            <w:tcW w:w="805" w:type="dxa"/>
            <w:tcBorders>
              <w:right w:val="single" w:sz="4" w:space="0" w:color="FFFFFF" w:themeColor="background1"/>
            </w:tcBorders>
            <w:shd w:val="clear" w:color="auto" w:fill="1F3864"/>
          </w:tcPr>
          <w:p w14:paraId="4269D0CB" w14:textId="16136AC4" w:rsidR="003D76E2" w:rsidRDefault="003D76E2" w:rsidP="003D76E2">
            <w:pPr>
              <w:pStyle w:val="TMGTableTextHeader"/>
            </w:pPr>
            <w:r w:rsidRPr="00162A2C">
              <w:rPr>
                <w:rFonts w:eastAsiaTheme="minorEastAsia"/>
              </w:rPr>
              <w:t>Field</w:t>
            </w:r>
          </w:p>
        </w:tc>
        <w:tc>
          <w:tcPr>
            <w:tcW w:w="1080" w:type="dxa"/>
            <w:tcBorders>
              <w:left w:val="single" w:sz="4" w:space="0" w:color="FFFFFF" w:themeColor="background1"/>
              <w:right w:val="single" w:sz="4" w:space="0" w:color="FFFFFF" w:themeColor="background1"/>
            </w:tcBorders>
            <w:shd w:val="clear" w:color="auto" w:fill="1F3864"/>
          </w:tcPr>
          <w:p w14:paraId="707BDE46" w14:textId="01F394AF" w:rsidR="003D76E2" w:rsidRDefault="003D76E2" w:rsidP="003D76E2">
            <w:pPr>
              <w:pStyle w:val="TMGTableTextHeader"/>
              <w:rPr>
                <w:rFonts w:eastAsia="MS Mincho"/>
              </w:rPr>
            </w:pPr>
            <w:r w:rsidRPr="00162A2C">
              <w:rPr>
                <w:rFonts w:eastAsiaTheme="minorEastAsia"/>
              </w:rPr>
              <w:t>Columns</w:t>
            </w:r>
          </w:p>
        </w:tc>
        <w:tc>
          <w:tcPr>
            <w:tcW w:w="900" w:type="dxa"/>
            <w:tcBorders>
              <w:left w:val="single" w:sz="4" w:space="0" w:color="FFFFFF" w:themeColor="background1"/>
              <w:right w:val="single" w:sz="4" w:space="0" w:color="FFFFFF" w:themeColor="background1"/>
            </w:tcBorders>
            <w:shd w:val="clear" w:color="auto" w:fill="1F3864"/>
          </w:tcPr>
          <w:p w14:paraId="5B0B1E29" w14:textId="789BA8E1" w:rsidR="003D76E2" w:rsidRDefault="003D76E2" w:rsidP="003D76E2">
            <w:pPr>
              <w:pStyle w:val="TMGTableTextHeader"/>
              <w:rPr>
                <w:rFonts w:eastAsia="MS Mincho"/>
              </w:rPr>
            </w:pPr>
            <w:r w:rsidRPr="00162A2C">
              <w:rPr>
                <w:rFonts w:eastAsiaTheme="minorEastAsia"/>
              </w:rPr>
              <w:t>Width</w:t>
            </w:r>
          </w:p>
        </w:tc>
        <w:tc>
          <w:tcPr>
            <w:tcW w:w="3427" w:type="dxa"/>
            <w:tcBorders>
              <w:left w:val="single" w:sz="4" w:space="0" w:color="FFFFFF" w:themeColor="background1"/>
              <w:right w:val="single" w:sz="4" w:space="0" w:color="FFFFFF" w:themeColor="background1"/>
            </w:tcBorders>
            <w:shd w:val="clear" w:color="auto" w:fill="1F3864"/>
          </w:tcPr>
          <w:p w14:paraId="5490F91D" w14:textId="06AABF7F" w:rsidR="003D76E2" w:rsidRDefault="003D76E2" w:rsidP="003D76E2">
            <w:pPr>
              <w:pStyle w:val="TMGTableTextHeader"/>
              <w:rPr>
                <w:rFonts w:eastAsia="MS Mincho"/>
              </w:rPr>
            </w:pPr>
            <w:r w:rsidRPr="00162A2C">
              <w:rPr>
                <w:rFonts w:eastAsiaTheme="minorEastAsia"/>
              </w:rPr>
              <w:t>Description</w:t>
            </w:r>
          </w:p>
        </w:tc>
        <w:tc>
          <w:tcPr>
            <w:tcW w:w="1479" w:type="dxa"/>
            <w:tcBorders>
              <w:left w:val="single" w:sz="4" w:space="0" w:color="FFFFFF" w:themeColor="background1"/>
              <w:right w:val="single" w:sz="4" w:space="0" w:color="FFFFFF" w:themeColor="background1"/>
            </w:tcBorders>
            <w:shd w:val="clear" w:color="auto" w:fill="1F3864"/>
          </w:tcPr>
          <w:p w14:paraId="58B1AECA" w14:textId="5F812A00" w:rsidR="003D76E2" w:rsidRDefault="003D76E2" w:rsidP="003D76E2">
            <w:pPr>
              <w:pStyle w:val="TMGTableTextHeader"/>
              <w:rPr>
                <w:rFonts w:eastAsia="MS Mincho"/>
              </w:rPr>
            </w:pPr>
            <w:r w:rsidRPr="00162A2C">
              <w:rPr>
                <w:rFonts w:eastAsiaTheme="minorEastAsia"/>
              </w:rPr>
              <w:t>Type</w:t>
            </w:r>
          </w:p>
        </w:tc>
        <w:tc>
          <w:tcPr>
            <w:tcW w:w="1669" w:type="dxa"/>
            <w:tcBorders>
              <w:left w:val="single" w:sz="4" w:space="0" w:color="FFFFFF" w:themeColor="background1"/>
            </w:tcBorders>
            <w:shd w:val="clear" w:color="auto" w:fill="1F3864"/>
          </w:tcPr>
          <w:p w14:paraId="574AE5C9" w14:textId="79352B0C" w:rsidR="003D76E2" w:rsidRDefault="003D76E2" w:rsidP="003D76E2">
            <w:pPr>
              <w:pStyle w:val="TMGTableTextHeader"/>
            </w:pPr>
            <w:r w:rsidRPr="00162A2C">
              <w:rPr>
                <w:rFonts w:eastAsiaTheme="minorEastAsia"/>
              </w:rPr>
              <w:t>Importance</w:t>
            </w:r>
          </w:p>
        </w:tc>
      </w:tr>
      <w:tr w:rsidR="003D76E2" w14:paraId="3FBC9285" w14:textId="77777777" w:rsidTr="00657FF5">
        <w:trPr>
          <w:jc w:val="center"/>
        </w:trPr>
        <w:tc>
          <w:tcPr>
            <w:tcW w:w="805" w:type="dxa"/>
          </w:tcPr>
          <w:p w14:paraId="093C7CD3" w14:textId="26A8D498" w:rsidR="003D76E2" w:rsidRPr="00C251E9" w:rsidRDefault="003D76E2" w:rsidP="00657FF5">
            <w:pPr>
              <w:pStyle w:val="TMGTableText"/>
              <w:spacing w:before="10" w:after="10"/>
              <w:ind w:left="0" w:right="144"/>
              <w:jc w:val="right"/>
              <w:rPr>
                <w:b/>
                <w:bCs/>
              </w:rPr>
            </w:pPr>
            <w:r w:rsidRPr="0051590D">
              <w:rPr>
                <w:rFonts w:eastAsiaTheme="minorEastAsia"/>
              </w:rPr>
              <w:t>1</w:t>
            </w:r>
          </w:p>
        </w:tc>
        <w:tc>
          <w:tcPr>
            <w:tcW w:w="1080" w:type="dxa"/>
          </w:tcPr>
          <w:p w14:paraId="708D56A2" w14:textId="35F0922D" w:rsidR="003D76E2" w:rsidRPr="004859C8" w:rsidRDefault="003D76E2" w:rsidP="00657FF5">
            <w:pPr>
              <w:pStyle w:val="TMGTableText"/>
              <w:spacing w:before="10" w:after="10"/>
              <w:ind w:left="0"/>
              <w:jc w:val="center"/>
            </w:pPr>
            <w:r w:rsidRPr="0051590D">
              <w:rPr>
                <w:rFonts w:eastAsiaTheme="minorEastAsia"/>
              </w:rPr>
              <w:t>1</w:t>
            </w:r>
          </w:p>
        </w:tc>
        <w:tc>
          <w:tcPr>
            <w:tcW w:w="900" w:type="dxa"/>
          </w:tcPr>
          <w:p w14:paraId="79417697" w14:textId="6924A2B6" w:rsidR="003D76E2" w:rsidRPr="004859C8" w:rsidRDefault="003D76E2" w:rsidP="00657FF5">
            <w:pPr>
              <w:pStyle w:val="TMGTableText"/>
              <w:spacing w:before="10" w:after="10"/>
              <w:ind w:left="0"/>
              <w:jc w:val="center"/>
            </w:pPr>
            <w:r w:rsidRPr="0051590D">
              <w:rPr>
                <w:rFonts w:eastAsiaTheme="minorEastAsia"/>
              </w:rPr>
              <w:t>1</w:t>
            </w:r>
          </w:p>
        </w:tc>
        <w:tc>
          <w:tcPr>
            <w:tcW w:w="3427" w:type="dxa"/>
          </w:tcPr>
          <w:p w14:paraId="5F6F74DE" w14:textId="3D82FC34" w:rsidR="003D76E2" w:rsidRPr="004859C8" w:rsidRDefault="003D76E2" w:rsidP="003228C0">
            <w:pPr>
              <w:pStyle w:val="TMGTableText"/>
              <w:spacing w:before="10" w:after="10"/>
              <w:ind w:left="0"/>
            </w:pPr>
            <w:r w:rsidRPr="0051590D">
              <w:rPr>
                <w:rFonts w:eastAsiaTheme="minorEastAsia"/>
              </w:rPr>
              <w:t>Record Type</w:t>
            </w:r>
            <w:r>
              <w:rPr>
                <w:rFonts w:eastAsiaTheme="minorEastAsia"/>
              </w:rPr>
              <w:t xml:space="preserve"> (RT)</w:t>
            </w:r>
          </w:p>
        </w:tc>
        <w:tc>
          <w:tcPr>
            <w:tcW w:w="1479" w:type="dxa"/>
          </w:tcPr>
          <w:p w14:paraId="51E345C9" w14:textId="651239CB" w:rsidR="003D76E2" w:rsidRPr="004859C8" w:rsidRDefault="003D76E2" w:rsidP="00B71607">
            <w:pPr>
              <w:pStyle w:val="TMGTableText"/>
              <w:spacing w:before="10" w:after="10"/>
              <w:ind w:left="0"/>
              <w:jc w:val="center"/>
            </w:pPr>
            <w:r>
              <w:rPr>
                <w:rFonts w:eastAsiaTheme="minorEastAsia"/>
              </w:rPr>
              <w:t>Alphanumeric</w:t>
            </w:r>
          </w:p>
        </w:tc>
        <w:tc>
          <w:tcPr>
            <w:tcW w:w="1669" w:type="dxa"/>
          </w:tcPr>
          <w:p w14:paraId="1E806C04" w14:textId="074017F6" w:rsidR="003D76E2" w:rsidRPr="00C251E9" w:rsidRDefault="003D76E2" w:rsidP="00B71607">
            <w:pPr>
              <w:pStyle w:val="TMGTableText"/>
              <w:spacing w:before="10" w:after="10"/>
              <w:ind w:left="0"/>
              <w:jc w:val="center"/>
            </w:pPr>
            <w:r>
              <w:rPr>
                <w:rFonts w:eastAsiaTheme="minorEastAsia"/>
              </w:rPr>
              <w:t>Required</w:t>
            </w:r>
          </w:p>
        </w:tc>
      </w:tr>
      <w:tr w:rsidR="003D76E2" w14:paraId="10137A2C" w14:textId="77777777" w:rsidTr="00657FF5">
        <w:trPr>
          <w:jc w:val="center"/>
        </w:trPr>
        <w:tc>
          <w:tcPr>
            <w:tcW w:w="805" w:type="dxa"/>
          </w:tcPr>
          <w:p w14:paraId="404DD394" w14:textId="40E3EB78" w:rsidR="003D76E2" w:rsidRPr="00C251E9" w:rsidRDefault="003D76E2" w:rsidP="00657FF5">
            <w:pPr>
              <w:pStyle w:val="TMGTableText"/>
              <w:spacing w:before="10" w:after="10"/>
              <w:ind w:left="0" w:right="144"/>
              <w:jc w:val="right"/>
              <w:rPr>
                <w:b/>
                <w:bCs/>
              </w:rPr>
            </w:pPr>
            <w:r w:rsidRPr="0051590D">
              <w:rPr>
                <w:rFonts w:eastAsiaTheme="minorEastAsia"/>
              </w:rPr>
              <w:t>2</w:t>
            </w:r>
          </w:p>
        </w:tc>
        <w:tc>
          <w:tcPr>
            <w:tcW w:w="1080" w:type="dxa"/>
          </w:tcPr>
          <w:p w14:paraId="04BAB7C0" w14:textId="02CD2FCB" w:rsidR="003D76E2" w:rsidRPr="004859C8" w:rsidRDefault="003D76E2" w:rsidP="00657FF5">
            <w:pPr>
              <w:pStyle w:val="TMGTableText"/>
              <w:spacing w:before="10" w:after="10"/>
              <w:ind w:left="0"/>
              <w:jc w:val="center"/>
            </w:pPr>
            <w:r w:rsidRPr="0051590D">
              <w:rPr>
                <w:rFonts w:eastAsiaTheme="minorEastAsia"/>
              </w:rPr>
              <w:t>2-3</w:t>
            </w:r>
          </w:p>
        </w:tc>
        <w:tc>
          <w:tcPr>
            <w:tcW w:w="900" w:type="dxa"/>
          </w:tcPr>
          <w:p w14:paraId="0A27F235" w14:textId="14AF2004" w:rsidR="003D76E2" w:rsidRPr="004859C8" w:rsidRDefault="003D76E2" w:rsidP="00657FF5">
            <w:pPr>
              <w:pStyle w:val="TMGTableText"/>
              <w:spacing w:before="10" w:after="10"/>
              <w:ind w:left="0"/>
              <w:jc w:val="center"/>
            </w:pPr>
            <w:r w:rsidRPr="0051590D">
              <w:rPr>
                <w:rFonts w:eastAsiaTheme="minorEastAsia"/>
              </w:rPr>
              <w:t>2</w:t>
            </w:r>
          </w:p>
        </w:tc>
        <w:tc>
          <w:tcPr>
            <w:tcW w:w="3427" w:type="dxa"/>
          </w:tcPr>
          <w:p w14:paraId="39838A3C" w14:textId="1D6C05CF" w:rsidR="003D76E2" w:rsidRPr="004859C8" w:rsidRDefault="003D76E2" w:rsidP="003228C0">
            <w:pPr>
              <w:pStyle w:val="TMGTableText"/>
              <w:spacing w:before="10" w:after="10"/>
              <w:ind w:left="0"/>
            </w:pPr>
            <w:r w:rsidRPr="0051590D">
              <w:rPr>
                <w:rFonts w:eastAsiaTheme="minorEastAsia"/>
              </w:rPr>
              <w:t>FIPS State Code</w:t>
            </w:r>
            <w:r>
              <w:rPr>
                <w:rFonts w:eastAsiaTheme="minorEastAsia"/>
              </w:rPr>
              <w:t xml:space="preserve"> (SFIPS)</w:t>
            </w:r>
          </w:p>
        </w:tc>
        <w:tc>
          <w:tcPr>
            <w:tcW w:w="1479" w:type="dxa"/>
          </w:tcPr>
          <w:p w14:paraId="065AF55E" w14:textId="5427A433" w:rsidR="003D76E2" w:rsidRPr="004859C8" w:rsidRDefault="003D76E2" w:rsidP="00B71607">
            <w:pPr>
              <w:pStyle w:val="TMGTableText"/>
              <w:spacing w:before="10" w:after="10"/>
              <w:ind w:left="0"/>
              <w:jc w:val="center"/>
            </w:pPr>
            <w:r>
              <w:rPr>
                <w:rFonts w:eastAsiaTheme="minorEastAsia"/>
              </w:rPr>
              <w:t>Integer</w:t>
            </w:r>
          </w:p>
        </w:tc>
        <w:tc>
          <w:tcPr>
            <w:tcW w:w="1669" w:type="dxa"/>
          </w:tcPr>
          <w:p w14:paraId="49DF2176" w14:textId="0FD315BE" w:rsidR="003D76E2" w:rsidRPr="00C251E9" w:rsidRDefault="003D76E2" w:rsidP="00B71607">
            <w:pPr>
              <w:pStyle w:val="TMGTableText"/>
              <w:spacing w:before="10" w:after="10"/>
              <w:ind w:left="0"/>
              <w:jc w:val="center"/>
            </w:pPr>
            <w:r>
              <w:rPr>
                <w:rFonts w:eastAsiaTheme="minorEastAsia"/>
              </w:rPr>
              <w:t>Required</w:t>
            </w:r>
          </w:p>
        </w:tc>
      </w:tr>
      <w:tr w:rsidR="003D76E2" w14:paraId="025A05FB" w14:textId="77777777" w:rsidTr="00657FF5">
        <w:trPr>
          <w:jc w:val="center"/>
        </w:trPr>
        <w:tc>
          <w:tcPr>
            <w:tcW w:w="805" w:type="dxa"/>
          </w:tcPr>
          <w:p w14:paraId="731AE473" w14:textId="2FF5CC00" w:rsidR="003D76E2" w:rsidRPr="00C251E9" w:rsidRDefault="003D76E2" w:rsidP="00657FF5">
            <w:pPr>
              <w:pStyle w:val="TMGTableText"/>
              <w:spacing w:before="10" w:after="10"/>
              <w:ind w:left="0" w:right="144"/>
              <w:jc w:val="right"/>
              <w:rPr>
                <w:b/>
                <w:bCs/>
              </w:rPr>
            </w:pPr>
            <w:r w:rsidRPr="0051590D">
              <w:rPr>
                <w:rFonts w:eastAsiaTheme="minorEastAsia"/>
              </w:rPr>
              <w:t>3</w:t>
            </w:r>
          </w:p>
        </w:tc>
        <w:tc>
          <w:tcPr>
            <w:tcW w:w="1080" w:type="dxa"/>
          </w:tcPr>
          <w:p w14:paraId="69BB0AE2" w14:textId="039FFBC3" w:rsidR="003D76E2" w:rsidRPr="004859C8" w:rsidRDefault="003D76E2" w:rsidP="00657FF5">
            <w:pPr>
              <w:pStyle w:val="TMGTableText"/>
              <w:spacing w:before="10" w:after="10"/>
              <w:ind w:left="0"/>
              <w:jc w:val="center"/>
            </w:pPr>
            <w:r w:rsidRPr="0051590D">
              <w:rPr>
                <w:rFonts w:eastAsiaTheme="minorEastAsia"/>
              </w:rPr>
              <w:t>4-9</w:t>
            </w:r>
          </w:p>
        </w:tc>
        <w:tc>
          <w:tcPr>
            <w:tcW w:w="900" w:type="dxa"/>
          </w:tcPr>
          <w:p w14:paraId="479D6AB9" w14:textId="2B8A2090" w:rsidR="003D76E2" w:rsidRPr="004859C8" w:rsidRDefault="003D76E2" w:rsidP="00657FF5">
            <w:pPr>
              <w:pStyle w:val="TMGTableText"/>
              <w:spacing w:before="10" w:after="10"/>
              <w:ind w:left="0"/>
              <w:jc w:val="center"/>
            </w:pPr>
            <w:r w:rsidRPr="0051590D">
              <w:rPr>
                <w:rFonts w:eastAsiaTheme="minorEastAsia"/>
              </w:rPr>
              <w:t>6</w:t>
            </w:r>
          </w:p>
        </w:tc>
        <w:tc>
          <w:tcPr>
            <w:tcW w:w="3427" w:type="dxa"/>
          </w:tcPr>
          <w:p w14:paraId="7D142740" w14:textId="6D0FFB0B" w:rsidR="003D76E2" w:rsidRPr="004859C8" w:rsidRDefault="003D76E2" w:rsidP="003228C0">
            <w:pPr>
              <w:pStyle w:val="TMGTableText"/>
              <w:spacing w:before="10" w:after="10"/>
              <w:ind w:left="0"/>
            </w:pPr>
            <w:r w:rsidRPr="0051590D">
              <w:rPr>
                <w:rFonts w:eastAsiaTheme="minorEastAsia"/>
              </w:rPr>
              <w:t>Station ID</w:t>
            </w:r>
            <w:r>
              <w:rPr>
                <w:rFonts w:eastAsiaTheme="minorEastAsia"/>
              </w:rPr>
              <w:t xml:space="preserve"> (ID)</w:t>
            </w:r>
          </w:p>
        </w:tc>
        <w:tc>
          <w:tcPr>
            <w:tcW w:w="1479" w:type="dxa"/>
          </w:tcPr>
          <w:p w14:paraId="0932BF9C" w14:textId="191EC0D2" w:rsidR="003D76E2" w:rsidRPr="004859C8" w:rsidRDefault="003D76E2" w:rsidP="00B71607">
            <w:pPr>
              <w:pStyle w:val="TMGTableText"/>
              <w:spacing w:before="10" w:after="10"/>
              <w:ind w:left="0"/>
              <w:jc w:val="center"/>
            </w:pPr>
            <w:r>
              <w:rPr>
                <w:rFonts w:eastAsiaTheme="minorEastAsia"/>
              </w:rPr>
              <w:t>Alphanumeric</w:t>
            </w:r>
          </w:p>
        </w:tc>
        <w:tc>
          <w:tcPr>
            <w:tcW w:w="1669" w:type="dxa"/>
          </w:tcPr>
          <w:p w14:paraId="7AED72CC" w14:textId="4BD7FA73" w:rsidR="003D76E2" w:rsidRPr="00C251E9" w:rsidRDefault="003D76E2" w:rsidP="00B71607">
            <w:pPr>
              <w:pStyle w:val="TMGTableText"/>
              <w:spacing w:before="10" w:after="10"/>
              <w:ind w:left="0"/>
              <w:jc w:val="center"/>
            </w:pPr>
            <w:r>
              <w:rPr>
                <w:rFonts w:eastAsiaTheme="minorEastAsia"/>
              </w:rPr>
              <w:t>Required</w:t>
            </w:r>
          </w:p>
        </w:tc>
      </w:tr>
      <w:tr w:rsidR="003D76E2" w14:paraId="07106EAB" w14:textId="77777777" w:rsidTr="00657FF5">
        <w:trPr>
          <w:jc w:val="center"/>
        </w:trPr>
        <w:tc>
          <w:tcPr>
            <w:tcW w:w="805" w:type="dxa"/>
          </w:tcPr>
          <w:p w14:paraId="0288FA10" w14:textId="37AFF687" w:rsidR="003D76E2" w:rsidRPr="00C251E9" w:rsidRDefault="003D76E2" w:rsidP="00657FF5">
            <w:pPr>
              <w:pStyle w:val="TMGTableText"/>
              <w:spacing w:before="10" w:after="10"/>
              <w:ind w:left="0" w:right="144"/>
              <w:jc w:val="right"/>
              <w:rPr>
                <w:b/>
                <w:bCs/>
              </w:rPr>
            </w:pPr>
            <w:r w:rsidRPr="0051590D">
              <w:rPr>
                <w:rFonts w:eastAsiaTheme="minorEastAsia"/>
              </w:rPr>
              <w:t>4</w:t>
            </w:r>
          </w:p>
        </w:tc>
        <w:tc>
          <w:tcPr>
            <w:tcW w:w="1080" w:type="dxa"/>
          </w:tcPr>
          <w:p w14:paraId="5BEDE8D0" w14:textId="74917055" w:rsidR="003D76E2" w:rsidRPr="004859C8" w:rsidRDefault="003D76E2" w:rsidP="00657FF5">
            <w:pPr>
              <w:pStyle w:val="TMGTableText"/>
              <w:spacing w:before="10" w:after="10"/>
              <w:ind w:left="0"/>
              <w:jc w:val="center"/>
            </w:pPr>
            <w:r w:rsidRPr="0051590D">
              <w:rPr>
                <w:rFonts w:eastAsiaTheme="minorEastAsia"/>
              </w:rPr>
              <w:t>10</w:t>
            </w:r>
          </w:p>
        </w:tc>
        <w:tc>
          <w:tcPr>
            <w:tcW w:w="900" w:type="dxa"/>
          </w:tcPr>
          <w:p w14:paraId="51096BD3" w14:textId="0A8F5E2D" w:rsidR="003D76E2" w:rsidRPr="004859C8" w:rsidRDefault="003D76E2" w:rsidP="00657FF5">
            <w:pPr>
              <w:pStyle w:val="TMGTableText"/>
              <w:spacing w:before="10" w:after="10"/>
              <w:ind w:left="0"/>
              <w:jc w:val="center"/>
            </w:pPr>
            <w:r w:rsidRPr="0051590D">
              <w:rPr>
                <w:rFonts w:eastAsiaTheme="minorEastAsia"/>
              </w:rPr>
              <w:t>1</w:t>
            </w:r>
          </w:p>
        </w:tc>
        <w:tc>
          <w:tcPr>
            <w:tcW w:w="3427" w:type="dxa"/>
          </w:tcPr>
          <w:p w14:paraId="717A5C95" w14:textId="391C8A0A" w:rsidR="003D76E2" w:rsidRPr="004859C8" w:rsidRDefault="003D76E2" w:rsidP="003228C0">
            <w:pPr>
              <w:pStyle w:val="TMGTableText"/>
              <w:spacing w:before="10" w:after="10"/>
              <w:ind w:left="0"/>
            </w:pPr>
            <w:r w:rsidRPr="0051590D">
              <w:rPr>
                <w:rFonts w:eastAsiaTheme="minorEastAsia"/>
              </w:rPr>
              <w:t xml:space="preserve">Direction of Travel </w:t>
            </w:r>
            <w:r>
              <w:rPr>
                <w:rFonts w:eastAsiaTheme="minorEastAsia"/>
              </w:rPr>
              <w:t>(DIR)</w:t>
            </w:r>
          </w:p>
        </w:tc>
        <w:tc>
          <w:tcPr>
            <w:tcW w:w="1479" w:type="dxa"/>
          </w:tcPr>
          <w:p w14:paraId="7E3EC5A6" w14:textId="16E8631F" w:rsidR="003D76E2" w:rsidRPr="004859C8" w:rsidRDefault="003D76E2" w:rsidP="00B71607">
            <w:pPr>
              <w:pStyle w:val="TMGTableText"/>
              <w:spacing w:before="10" w:after="10"/>
              <w:ind w:left="0"/>
              <w:jc w:val="center"/>
            </w:pPr>
            <w:r w:rsidRPr="00FE386D">
              <w:rPr>
                <w:rFonts w:eastAsiaTheme="minorEastAsia"/>
              </w:rPr>
              <w:t>Integer</w:t>
            </w:r>
          </w:p>
        </w:tc>
        <w:tc>
          <w:tcPr>
            <w:tcW w:w="1669" w:type="dxa"/>
          </w:tcPr>
          <w:p w14:paraId="49316585" w14:textId="6C2F6CA8" w:rsidR="003D76E2" w:rsidRPr="00C251E9" w:rsidRDefault="003D76E2" w:rsidP="00B71607">
            <w:pPr>
              <w:pStyle w:val="TMGTableText"/>
              <w:spacing w:before="10" w:after="10"/>
              <w:ind w:left="0"/>
              <w:jc w:val="center"/>
            </w:pPr>
            <w:r>
              <w:rPr>
                <w:rFonts w:eastAsiaTheme="minorEastAsia"/>
              </w:rPr>
              <w:t>Required</w:t>
            </w:r>
          </w:p>
        </w:tc>
      </w:tr>
      <w:tr w:rsidR="003D76E2" w14:paraId="66AC910C" w14:textId="77777777" w:rsidTr="00657FF5">
        <w:trPr>
          <w:jc w:val="center"/>
        </w:trPr>
        <w:tc>
          <w:tcPr>
            <w:tcW w:w="805" w:type="dxa"/>
          </w:tcPr>
          <w:p w14:paraId="2E7A22E8" w14:textId="72686569" w:rsidR="003D76E2" w:rsidRPr="00C251E9" w:rsidRDefault="003D76E2" w:rsidP="00657FF5">
            <w:pPr>
              <w:pStyle w:val="TMGTableText"/>
              <w:spacing w:before="10" w:after="10"/>
              <w:ind w:left="0" w:right="144"/>
              <w:jc w:val="right"/>
              <w:rPr>
                <w:b/>
                <w:bCs/>
              </w:rPr>
            </w:pPr>
            <w:r w:rsidRPr="0051590D">
              <w:rPr>
                <w:rFonts w:eastAsiaTheme="minorEastAsia"/>
              </w:rPr>
              <w:t>5</w:t>
            </w:r>
          </w:p>
        </w:tc>
        <w:tc>
          <w:tcPr>
            <w:tcW w:w="1080" w:type="dxa"/>
          </w:tcPr>
          <w:p w14:paraId="1E99EBD6" w14:textId="2A075B11" w:rsidR="003D76E2" w:rsidRPr="004859C8" w:rsidRDefault="003D76E2" w:rsidP="00657FF5">
            <w:pPr>
              <w:pStyle w:val="TMGTableText"/>
              <w:spacing w:before="10" w:after="10"/>
              <w:ind w:left="0"/>
              <w:jc w:val="center"/>
            </w:pPr>
            <w:r w:rsidRPr="0051590D">
              <w:rPr>
                <w:rFonts w:eastAsiaTheme="minorEastAsia"/>
              </w:rPr>
              <w:t>11</w:t>
            </w:r>
          </w:p>
        </w:tc>
        <w:tc>
          <w:tcPr>
            <w:tcW w:w="900" w:type="dxa"/>
          </w:tcPr>
          <w:p w14:paraId="11F92425" w14:textId="773D60A2" w:rsidR="003D76E2" w:rsidRPr="004859C8" w:rsidRDefault="003D76E2" w:rsidP="00657FF5">
            <w:pPr>
              <w:pStyle w:val="TMGTableText"/>
              <w:spacing w:before="10" w:after="10"/>
              <w:ind w:left="0"/>
              <w:jc w:val="center"/>
            </w:pPr>
            <w:r w:rsidRPr="0051590D">
              <w:rPr>
                <w:rFonts w:eastAsiaTheme="minorEastAsia"/>
              </w:rPr>
              <w:t>1</w:t>
            </w:r>
          </w:p>
        </w:tc>
        <w:tc>
          <w:tcPr>
            <w:tcW w:w="3427" w:type="dxa"/>
          </w:tcPr>
          <w:p w14:paraId="1DEC6A26" w14:textId="08B10F4E" w:rsidR="003D76E2" w:rsidRPr="004859C8" w:rsidRDefault="003D76E2" w:rsidP="003228C0">
            <w:pPr>
              <w:pStyle w:val="TMGTableText"/>
              <w:spacing w:before="10" w:after="10"/>
              <w:ind w:left="0"/>
            </w:pPr>
            <w:r w:rsidRPr="0051590D">
              <w:rPr>
                <w:rFonts w:eastAsiaTheme="minorEastAsia"/>
              </w:rPr>
              <w:t>Lane of Travel</w:t>
            </w:r>
            <w:r>
              <w:rPr>
                <w:rFonts w:eastAsiaTheme="minorEastAsia"/>
              </w:rPr>
              <w:t xml:space="preserve"> (LN)</w:t>
            </w:r>
          </w:p>
        </w:tc>
        <w:tc>
          <w:tcPr>
            <w:tcW w:w="1479" w:type="dxa"/>
          </w:tcPr>
          <w:p w14:paraId="11B0EAF4" w14:textId="0BA4DEE8" w:rsidR="003D76E2" w:rsidRPr="004859C8" w:rsidRDefault="003D76E2" w:rsidP="00B71607">
            <w:pPr>
              <w:pStyle w:val="TMGTableText"/>
              <w:spacing w:before="10" w:after="10"/>
              <w:ind w:left="0"/>
              <w:jc w:val="center"/>
            </w:pPr>
            <w:r w:rsidRPr="00FE386D">
              <w:rPr>
                <w:rFonts w:eastAsiaTheme="minorEastAsia"/>
              </w:rPr>
              <w:t>Integer</w:t>
            </w:r>
          </w:p>
        </w:tc>
        <w:tc>
          <w:tcPr>
            <w:tcW w:w="1669" w:type="dxa"/>
          </w:tcPr>
          <w:p w14:paraId="4B32607E" w14:textId="4F082D44" w:rsidR="003D76E2" w:rsidRPr="00C251E9" w:rsidRDefault="003D76E2" w:rsidP="00B71607">
            <w:pPr>
              <w:pStyle w:val="TMGTableText"/>
              <w:spacing w:before="10" w:after="10"/>
              <w:ind w:left="0"/>
              <w:jc w:val="center"/>
            </w:pPr>
            <w:r>
              <w:rPr>
                <w:rFonts w:eastAsiaTheme="minorEastAsia"/>
              </w:rPr>
              <w:t>Required</w:t>
            </w:r>
          </w:p>
        </w:tc>
      </w:tr>
      <w:tr w:rsidR="003D76E2" w14:paraId="0A4D55E1" w14:textId="77777777" w:rsidTr="00657FF5">
        <w:trPr>
          <w:jc w:val="center"/>
        </w:trPr>
        <w:tc>
          <w:tcPr>
            <w:tcW w:w="805" w:type="dxa"/>
          </w:tcPr>
          <w:p w14:paraId="57373156" w14:textId="226C7344" w:rsidR="003D76E2" w:rsidRPr="00C251E9" w:rsidRDefault="003D76E2" w:rsidP="00657FF5">
            <w:pPr>
              <w:pStyle w:val="TMGTableText"/>
              <w:spacing w:before="10" w:after="10"/>
              <w:ind w:left="0" w:right="144"/>
              <w:jc w:val="right"/>
              <w:rPr>
                <w:b/>
                <w:bCs/>
              </w:rPr>
            </w:pPr>
            <w:r w:rsidRPr="0051590D">
              <w:rPr>
                <w:rFonts w:eastAsiaTheme="minorEastAsia"/>
              </w:rPr>
              <w:t>6</w:t>
            </w:r>
          </w:p>
        </w:tc>
        <w:tc>
          <w:tcPr>
            <w:tcW w:w="1080" w:type="dxa"/>
          </w:tcPr>
          <w:p w14:paraId="7B6CA7C0" w14:textId="358EC900" w:rsidR="003D76E2" w:rsidRPr="004859C8" w:rsidRDefault="003D76E2" w:rsidP="00657FF5">
            <w:pPr>
              <w:pStyle w:val="TMGTableText"/>
              <w:spacing w:before="10" w:after="10"/>
              <w:ind w:left="0"/>
              <w:jc w:val="center"/>
            </w:pPr>
            <w:r w:rsidRPr="0051590D">
              <w:rPr>
                <w:rFonts w:eastAsiaTheme="minorEastAsia"/>
              </w:rPr>
              <w:t>12-15</w:t>
            </w:r>
          </w:p>
        </w:tc>
        <w:tc>
          <w:tcPr>
            <w:tcW w:w="900" w:type="dxa"/>
          </w:tcPr>
          <w:p w14:paraId="126C6617" w14:textId="41C1E1E9" w:rsidR="003D76E2" w:rsidRPr="004859C8" w:rsidRDefault="003D76E2" w:rsidP="00657FF5">
            <w:pPr>
              <w:pStyle w:val="TMGTableText"/>
              <w:spacing w:before="10" w:after="10"/>
              <w:ind w:left="0"/>
              <w:jc w:val="center"/>
            </w:pPr>
            <w:r w:rsidRPr="0051590D">
              <w:rPr>
                <w:rFonts w:eastAsiaTheme="minorEastAsia"/>
              </w:rPr>
              <w:t>4</w:t>
            </w:r>
          </w:p>
        </w:tc>
        <w:tc>
          <w:tcPr>
            <w:tcW w:w="3427" w:type="dxa"/>
          </w:tcPr>
          <w:p w14:paraId="63954536" w14:textId="46048A7A" w:rsidR="003D76E2" w:rsidRPr="004859C8" w:rsidRDefault="003D76E2" w:rsidP="003228C0">
            <w:pPr>
              <w:pStyle w:val="TMGTableText"/>
              <w:spacing w:before="10" w:after="10"/>
              <w:ind w:left="0"/>
            </w:pPr>
            <w:r w:rsidRPr="0051590D">
              <w:rPr>
                <w:rFonts w:eastAsiaTheme="minorEastAsia"/>
              </w:rPr>
              <w:t>Year of Data</w:t>
            </w:r>
            <w:r>
              <w:rPr>
                <w:rFonts w:eastAsiaTheme="minorEastAsia"/>
              </w:rPr>
              <w:t xml:space="preserve"> (YR)</w:t>
            </w:r>
          </w:p>
        </w:tc>
        <w:tc>
          <w:tcPr>
            <w:tcW w:w="1479" w:type="dxa"/>
          </w:tcPr>
          <w:p w14:paraId="708D260B" w14:textId="37413433" w:rsidR="003D76E2" w:rsidRPr="004859C8" w:rsidRDefault="003D76E2" w:rsidP="00B71607">
            <w:pPr>
              <w:pStyle w:val="TMGTableText"/>
              <w:spacing w:before="10" w:after="10"/>
              <w:ind w:left="0"/>
              <w:jc w:val="center"/>
            </w:pPr>
            <w:r w:rsidRPr="00FE386D">
              <w:rPr>
                <w:rFonts w:eastAsiaTheme="minorEastAsia"/>
              </w:rPr>
              <w:t>Integer</w:t>
            </w:r>
          </w:p>
        </w:tc>
        <w:tc>
          <w:tcPr>
            <w:tcW w:w="1669" w:type="dxa"/>
          </w:tcPr>
          <w:p w14:paraId="71F976BE" w14:textId="5B7C661D" w:rsidR="003D76E2" w:rsidRPr="00C251E9" w:rsidRDefault="003D76E2" w:rsidP="00B71607">
            <w:pPr>
              <w:pStyle w:val="TMGTableText"/>
              <w:spacing w:before="10" w:after="10"/>
              <w:ind w:left="0"/>
              <w:jc w:val="center"/>
            </w:pPr>
            <w:r>
              <w:rPr>
                <w:rFonts w:eastAsiaTheme="minorEastAsia"/>
              </w:rPr>
              <w:t>Required</w:t>
            </w:r>
          </w:p>
        </w:tc>
      </w:tr>
      <w:tr w:rsidR="003D76E2" w14:paraId="0D5200EE" w14:textId="77777777" w:rsidTr="00657FF5">
        <w:trPr>
          <w:jc w:val="center"/>
        </w:trPr>
        <w:tc>
          <w:tcPr>
            <w:tcW w:w="805" w:type="dxa"/>
          </w:tcPr>
          <w:p w14:paraId="3994CB49" w14:textId="4E663B5A" w:rsidR="003D76E2" w:rsidRPr="00C251E9" w:rsidRDefault="003D76E2" w:rsidP="00657FF5">
            <w:pPr>
              <w:pStyle w:val="TMGTableText"/>
              <w:spacing w:before="10" w:after="10"/>
              <w:ind w:left="0" w:right="144"/>
              <w:jc w:val="right"/>
              <w:rPr>
                <w:b/>
                <w:bCs/>
              </w:rPr>
            </w:pPr>
            <w:r w:rsidRPr="0051590D">
              <w:rPr>
                <w:rFonts w:eastAsiaTheme="minorEastAsia"/>
              </w:rPr>
              <w:t>7</w:t>
            </w:r>
          </w:p>
        </w:tc>
        <w:tc>
          <w:tcPr>
            <w:tcW w:w="1080" w:type="dxa"/>
          </w:tcPr>
          <w:p w14:paraId="1C47708F" w14:textId="42FFDD36" w:rsidR="003D76E2" w:rsidRPr="004859C8" w:rsidRDefault="003D76E2" w:rsidP="00657FF5">
            <w:pPr>
              <w:pStyle w:val="TMGTableText"/>
              <w:spacing w:before="10" w:after="10"/>
              <w:ind w:left="0"/>
              <w:jc w:val="center"/>
            </w:pPr>
            <w:r w:rsidRPr="0051590D">
              <w:rPr>
                <w:rFonts w:eastAsiaTheme="minorEastAsia"/>
              </w:rPr>
              <w:t>16-17</w:t>
            </w:r>
          </w:p>
        </w:tc>
        <w:tc>
          <w:tcPr>
            <w:tcW w:w="900" w:type="dxa"/>
          </w:tcPr>
          <w:p w14:paraId="7BB5EAE6" w14:textId="6CD64192" w:rsidR="003D76E2" w:rsidRPr="004859C8" w:rsidRDefault="003D76E2" w:rsidP="00657FF5">
            <w:pPr>
              <w:pStyle w:val="TMGTableText"/>
              <w:spacing w:before="10" w:after="10"/>
              <w:ind w:left="0"/>
              <w:jc w:val="center"/>
            </w:pPr>
            <w:r w:rsidRPr="0051590D">
              <w:rPr>
                <w:rFonts w:eastAsiaTheme="minorEastAsia"/>
              </w:rPr>
              <w:t>2</w:t>
            </w:r>
          </w:p>
        </w:tc>
        <w:tc>
          <w:tcPr>
            <w:tcW w:w="3427" w:type="dxa"/>
          </w:tcPr>
          <w:p w14:paraId="0D01684D" w14:textId="729E7FE3" w:rsidR="003D76E2" w:rsidRPr="004859C8" w:rsidRDefault="003D76E2" w:rsidP="003228C0">
            <w:pPr>
              <w:pStyle w:val="TMGTableText"/>
              <w:spacing w:before="10" w:after="10"/>
              <w:ind w:left="0"/>
            </w:pPr>
            <w:r w:rsidRPr="0051590D">
              <w:rPr>
                <w:rFonts w:eastAsiaTheme="minorEastAsia"/>
              </w:rPr>
              <w:t xml:space="preserve">Month of </w:t>
            </w:r>
            <w:r>
              <w:rPr>
                <w:rFonts w:eastAsiaTheme="minorEastAsia"/>
              </w:rPr>
              <w:t>Year (MOY)</w:t>
            </w:r>
          </w:p>
        </w:tc>
        <w:tc>
          <w:tcPr>
            <w:tcW w:w="1479" w:type="dxa"/>
          </w:tcPr>
          <w:p w14:paraId="0A0B176F" w14:textId="459D1F6D" w:rsidR="003D76E2" w:rsidRPr="004859C8" w:rsidRDefault="003D76E2" w:rsidP="00B71607">
            <w:pPr>
              <w:pStyle w:val="TMGTableText"/>
              <w:spacing w:before="10" w:after="10"/>
              <w:ind w:left="0"/>
              <w:jc w:val="center"/>
            </w:pPr>
            <w:r w:rsidRPr="00FE386D">
              <w:rPr>
                <w:rFonts w:eastAsiaTheme="minorEastAsia"/>
              </w:rPr>
              <w:t>Integer</w:t>
            </w:r>
          </w:p>
        </w:tc>
        <w:tc>
          <w:tcPr>
            <w:tcW w:w="1669" w:type="dxa"/>
          </w:tcPr>
          <w:p w14:paraId="668EBF69" w14:textId="37CB6B18" w:rsidR="003D76E2" w:rsidRPr="00C251E9" w:rsidRDefault="003D76E2" w:rsidP="00B71607">
            <w:pPr>
              <w:pStyle w:val="TMGTableText"/>
              <w:spacing w:before="10" w:after="10"/>
              <w:ind w:left="0"/>
              <w:jc w:val="center"/>
            </w:pPr>
            <w:r>
              <w:rPr>
                <w:rFonts w:eastAsiaTheme="minorEastAsia"/>
              </w:rPr>
              <w:t>Required</w:t>
            </w:r>
          </w:p>
        </w:tc>
      </w:tr>
      <w:tr w:rsidR="003D76E2" w14:paraId="1153382B" w14:textId="77777777" w:rsidTr="00657FF5">
        <w:trPr>
          <w:jc w:val="center"/>
        </w:trPr>
        <w:tc>
          <w:tcPr>
            <w:tcW w:w="805" w:type="dxa"/>
          </w:tcPr>
          <w:p w14:paraId="3BED4F40" w14:textId="11D85109" w:rsidR="003D76E2" w:rsidRPr="00C251E9" w:rsidRDefault="003D76E2" w:rsidP="00657FF5">
            <w:pPr>
              <w:pStyle w:val="TMGTableText"/>
              <w:spacing w:before="10" w:after="10"/>
              <w:ind w:left="0" w:right="144"/>
              <w:jc w:val="right"/>
              <w:rPr>
                <w:b/>
                <w:bCs/>
              </w:rPr>
            </w:pPr>
            <w:r w:rsidRPr="0051590D">
              <w:rPr>
                <w:rFonts w:eastAsiaTheme="minorEastAsia"/>
              </w:rPr>
              <w:t>8</w:t>
            </w:r>
          </w:p>
        </w:tc>
        <w:tc>
          <w:tcPr>
            <w:tcW w:w="1080" w:type="dxa"/>
          </w:tcPr>
          <w:p w14:paraId="1A061A80" w14:textId="32A98D87" w:rsidR="003D76E2" w:rsidRPr="004859C8" w:rsidRDefault="003D76E2" w:rsidP="00657FF5">
            <w:pPr>
              <w:pStyle w:val="TMGTableText"/>
              <w:spacing w:before="10" w:after="10"/>
              <w:ind w:left="0"/>
              <w:jc w:val="center"/>
            </w:pPr>
            <w:r w:rsidRPr="0051590D">
              <w:rPr>
                <w:rFonts w:eastAsiaTheme="minorEastAsia"/>
              </w:rPr>
              <w:t>18-19</w:t>
            </w:r>
          </w:p>
        </w:tc>
        <w:tc>
          <w:tcPr>
            <w:tcW w:w="900" w:type="dxa"/>
          </w:tcPr>
          <w:p w14:paraId="77336894" w14:textId="2DA743EB" w:rsidR="003D76E2" w:rsidRPr="004859C8" w:rsidRDefault="003D76E2" w:rsidP="00657FF5">
            <w:pPr>
              <w:pStyle w:val="TMGTableText"/>
              <w:spacing w:before="10" w:after="10"/>
              <w:ind w:left="0"/>
              <w:jc w:val="center"/>
            </w:pPr>
            <w:r w:rsidRPr="0051590D">
              <w:rPr>
                <w:rFonts w:eastAsiaTheme="minorEastAsia"/>
              </w:rPr>
              <w:t>2</w:t>
            </w:r>
          </w:p>
        </w:tc>
        <w:tc>
          <w:tcPr>
            <w:tcW w:w="3427" w:type="dxa"/>
          </w:tcPr>
          <w:p w14:paraId="0A3FEBEE" w14:textId="04E559FA" w:rsidR="003D76E2" w:rsidRPr="004859C8" w:rsidRDefault="003D76E2" w:rsidP="003228C0">
            <w:pPr>
              <w:pStyle w:val="TMGTableText"/>
              <w:spacing w:before="10" w:after="10"/>
              <w:ind w:left="0"/>
            </w:pPr>
            <w:r w:rsidRPr="0051590D">
              <w:rPr>
                <w:rFonts w:eastAsiaTheme="minorEastAsia"/>
              </w:rPr>
              <w:t xml:space="preserve">Day of </w:t>
            </w:r>
            <w:r>
              <w:rPr>
                <w:rFonts w:eastAsiaTheme="minorEastAsia"/>
              </w:rPr>
              <w:t>Month (DOM)</w:t>
            </w:r>
          </w:p>
        </w:tc>
        <w:tc>
          <w:tcPr>
            <w:tcW w:w="1479" w:type="dxa"/>
          </w:tcPr>
          <w:p w14:paraId="514ACE2B" w14:textId="6DB989DC" w:rsidR="003D76E2" w:rsidRPr="004859C8" w:rsidRDefault="003D76E2" w:rsidP="00B71607">
            <w:pPr>
              <w:pStyle w:val="TMGTableText"/>
              <w:spacing w:before="10" w:after="10"/>
              <w:ind w:left="0"/>
              <w:jc w:val="center"/>
            </w:pPr>
            <w:r w:rsidRPr="00FE386D">
              <w:rPr>
                <w:rFonts w:eastAsiaTheme="minorEastAsia"/>
              </w:rPr>
              <w:t>Integer</w:t>
            </w:r>
          </w:p>
        </w:tc>
        <w:tc>
          <w:tcPr>
            <w:tcW w:w="1669" w:type="dxa"/>
          </w:tcPr>
          <w:p w14:paraId="3DD4371D" w14:textId="01EAA60D" w:rsidR="003D76E2" w:rsidRPr="00C251E9" w:rsidRDefault="003D76E2" w:rsidP="00B71607">
            <w:pPr>
              <w:pStyle w:val="TMGTableText"/>
              <w:spacing w:before="10" w:after="10"/>
              <w:ind w:left="0"/>
              <w:jc w:val="center"/>
            </w:pPr>
            <w:r>
              <w:rPr>
                <w:rFonts w:eastAsiaTheme="minorEastAsia"/>
              </w:rPr>
              <w:t>Required</w:t>
            </w:r>
          </w:p>
        </w:tc>
      </w:tr>
      <w:tr w:rsidR="003D76E2" w14:paraId="1E467550" w14:textId="77777777" w:rsidTr="00657FF5">
        <w:trPr>
          <w:jc w:val="center"/>
        </w:trPr>
        <w:tc>
          <w:tcPr>
            <w:tcW w:w="805" w:type="dxa"/>
          </w:tcPr>
          <w:p w14:paraId="5E8101C9" w14:textId="21F0EE35" w:rsidR="003D76E2" w:rsidRPr="00C251E9" w:rsidRDefault="003D76E2" w:rsidP="00657FF5">
            <w:pPr>
              <w:pStyle w:val="TMGTableText"/>
              <w:spacing w:before="10" w:after="10"/>
              <w:ind w:left="0" w:right="144"/>
              <w:jc w:val="right"/>
              <w:rPr>
                <w:b/>
                <w:bCs/>
              </w:rPr>
            </w:pPr>
            <w:r w:rsidRPr="0051590D">
              <w:rPr>
                <w:rFonts w:eastAsiaTheme="minorEastAsia"/>
              </w:rPr>
              <w:t>9</w:t>
            </w:r>
          </w:p>
        </w:tc>
        <w:tc>
          <w:tcPr>
            <w:tcW w:w="1080" w:type="dxa"/>
          </w:tcPr>
          <w:p w14:paraId="162E6CA4" w14:textId="32EF248C" w:rsidR="003D76E2" w:rsidRPr="004859C8" w:rsidRDefault="003D76E2" w:rsidP="00657FF5">
            <w:pPr>
              <w:pStyle w:val="TMGTableText"/>
              <w:spacing w:before="10" w:after="10"/>
              <w:ind w:left="0"/>
              <w:jc w:val="center"/>
            </w:pPr>
            <w:r w:rsidRPr="0051590D">
              <w:rPr>
                <w:rFonts w:eastAsiaTheme="minorEastAsia"/>
              </w:rPr>
              <w:t>20-21</w:t>
            </w:r>
          </w:p>
        </w:tc>
        <w:tc>
          <w:tcPr>
            <w:tcW w:w="900" w:type="dxa"/>
          </w:tcPr>
          <w:p w14:paraId="0E0A8348" w14:textId="1B59EFAB" w:rsidR="003D76E2" w:rsidRPr="004859C8" w:rsidRDefault="003D76E2" w:rsidP="00657FF5">
            <w:pPr>
              <w:pStyle w:val="TMGTableText"/>
              <w:spacing w:before="10" w:after="10"/>
              <w:ind w:left="0"/>
              <w:jc w:val="center"/>
            </w:pPr>
            <w:r w:rsidRPr="0051590D">
              <w:rPr>
                <w:rFonts w:eastAsiaTheme="minorEastAsia"/>
              </w:rPr>
              <w:t>2</w:t>
            </w:r>
          </w:p>
        </w:tc>
        <w:tc>
          <w:tcPr>
            <w:tcW w:w="3427" w:type="dxa"/>
          </w:tcPr>
          <w:p w14:paraId="445B215F" w14:textId="644C40AC" w:rsidR="003D76E2" w:rsidRPr="004859C8" w:rsidRDefault="003D76E2" w:rsidP="003228C0">
            <w:pPr>
              <w:pStyle w:val="TMGTableText"/>
              <w:spacing w:before="10" w:after="10"/>
              <w:ind w:left="0"/>
            </w:pPr>
            <w:r w:rsidRPr="0051590D">
              <w:rPr>
                <w:rFonts w:eastAsiaTheme="minorEastAsia"/>
              </w:rPr>
              <w:t>Hour of Da</w:t>
            </w:r>
            <w:r>
              <w:rPr>
                <w:rFonts w:eastAsiaTheme="minorEastAsia"/>
              </w:rPr>
              <w:t>y (HOD)</w:t>
            </w:r>
          </w:p>
        </w:tc>
        <w:tc>
          <w:tcPr>
            <w:tcW w:w="1479" w:type="dxa"/>
          </w:tcPr>
          <w:p w14:paraId="771C0689" w14:textId="5C59E03F" w:rsidR="003D76E2" w:rsidRPr="004859C8" w:rsidRDefault="003D76E2" w:rsidP="00B71607">
            <w:pPr>
              <w:pStyle w:val="TMGTableText"/>
              <w:spacing w:before="10" w:after="10"/>
              <w:ind w:left="0"/>
              <w:jc w:val="center"/>
            </w:pPr>
            <w:r w:rsidRPr="00FE386D">
              <w:rPr>
                <w:rFonts w:eastAsiaTheme="minorEastAsia"/>
              </w:rPr>
              <w:t>Integer</w:t>
            </w:r>
          </w:p>
        </w:tc>
        <w:tc>
          <w:tcPr>
            <w:tcW w:w="1669" w:type="dxa"/>
          </w:tcPr>
          <w:p w14:paraId="0933AB7C" w14:textId="7EFCC1F3" w:rsidR="003D76E2" w:rsidRPr="00C251E9" w:rsidRDefault="003D76E2" w:rsidP="00B71607">
            <w:pPr>
              <w:pStyle w:val="TMGTableText"/>
              <w:spacing w:before="10" w:after="10"/>
              <w:ind w:left="0"/>
              <w:jc w:val="center"/>
            </w:pPr>
            <w:r>
              <w:rPr>
                <w:rFonts w:eastAsiaTheme="minorEastAsia"/>
              </w:rPr>
              <w:t>Required</w:t>
            </w:r>
          </w:p>
        </w:tc>
      </w:tr>
      <w:tr w:rsidR="003D76E2" w14:paraId="45D8C7FB" w14:textId="77777777" w:rsidTr="00657FF5">
        <w:trPr>
          <w:jc w:val="center"/>
        </w:trPr>
        <w:tc>
          <w:tcPr>
            <w:tcW w:w="805" w:type="dxa"/>
          </w:tcPr>
          <w:p w14:paraId="1DE6BB59" w14:textId="41A98B27" w:rsidR="003D76E2" w:rsidRPr="00C251E9" w:rsidRDefault="003D76E2" w:rsidP="00657FF5">
            <w:pPr>
              <w:pStyle w:val="TMGTableText"/>
              <w:spacing w:before="10" w:after="10"/>
              <w:ind w:left="0" w:right="144"/>
              <w:jc w:val="right"/>
              <w:rPr>
                <w:b/>
                <w:bCs/>
              </w:rPr>
            </w:pPr>
            <w:r w:rsidRPr="0051590D">
              <w:rPr>
                <w:rFonts w:eastAsiaTheme="minorEastAsia"/>
              </w:rPr>
              <w:t>10</w:t>
            </w:r>
          </w:p>
        </w:tc>
        <w:tc>
          <w:tcPr>
            <w:tcW w:w="1080" w:type="dxa"/>
          </w:tcPr>
          <w:p w14:paraId="37ADF6EF" w14:textId="204C2505" w:rsidR="003D76E2" w:rsidRPr="004859C8" w:rsidRDefault="003D76E2" w:rsidP="00657FF5">
            <w:pPr>
              <w:pStyle w:val="TMGTableText"/>
              <w:spacing w:before="10" w:after="10"/>
              <w:ind w:left="0"/>
              <w:jc w:val="center"/>
            </w:pPr>
            <w:r w:rsidRPr="0051590D">
              <w:rPr>
                <w:rFonts w:eastAsiaTheme="minorEastAsia"/>
              </w:rPr>
              <w:t>22-23</w:t>
            </w:r>
          </w:p>
        </w:tc>
        <w:tc>
          <w:tcPr>
            <w:tcW w:w="900" w:type="dxa"/>
          </w:tcPr>
          <w:p w14:paraId="27E7121B" w14:textId="24350018" w:rsidR="003D76E2" w:rsidRPr="004859C8" w:rsidRDefault="003D76E2" w:rsidP="00657FF5">
            <w:pPr>
              <w:pStyle w:val="TMGTableText"/>
              <w:spacing w:before="10" w:after="10"/>
              <w:ind w:left="0"/>
              <w:jc w:val="center"/>
            </w:pPr>
            <w:r w:rsidRPr="0051590D">
              <w:rPr>
                <w:rFonts w:eastAsiaTheme="minorEastAsia"/>
              </w:rPr>
              <w:t>2</w:t>
            </w:r>
          </w:p>
        </w:tc>
        <w:tc>
          <w:tcPr>
            <w:tcW w:w="3427" w:type="dxa"/>
          </w:tcPr>
          <w:p w14:paraId="66AE6322" w14:textId="205152F1" w:rsidR="003D76E2" w:rsidRPr="004859C8" w:rsidRDefault="003D76E2" w:rsidP="003228C0">
            <w:pPr>
              <w:pStyle w:val="TMGTableText"/>
              <w:spacing w:before="10" w:after="10"/>
              <w:ind w:left="0"/>
            </w:pPr>
            <w:r w:rsidRPr="0051590D">
              <w:rPr>
                <w:rFonts w:eastAsiaTheme="minorEastAsia"/>
              </w:rPr>
              <w:t>Vehicle Class</w:t>
            </w:r>
            <w:r>
              <w:rPr>
                <w:rFonts w:eastAsiaTheme="minorEastAsia"/>
              </w:rPr>
              <w:t xml:space="preserve"> (CLS)</w:t>
            </w:r>
          </w:p>
        </w:tc>
        <w:tc>
          <w:tcPr>
            <w:tcW w:w="1479" w:type="dxa"/>
          </w:tcPr>
          <w:p w14:paraId="4B1DFA93" w14:textId="6AE7A032" w:rsidR="003D76E2" w:rsidRPr="004859C8" w:rsidRDefault="003D76E2" w:rsidP="00B71607">
            <w:pPr>
              <w:pStyle w:val="TMGTableText"/>
              <w:spacing w:before="10" w:after="10"/>
              <w:ind w:left="0"/>
              <w:jc w:val="center"/>
            </w:pPr>
            <w:r w:rsidRPr="00FE386D">
              <w:rPr>
                <w:rFonts w:eastAsiaTheme="minorEastAsia"/>
              </w:rPr>
              <w:t>Integer</w:t>
            </w:r>
          </w:p>
        </w:tc>
        <w:tc>
          <w:tcPr>
            <w:tcW w:w="1669" w:type="dxa"/>
          </w:tcPr>
          <w:p w14:paraId="5822B078" w14:textId="52F9844A" w:rsidR="003D76E2" w:rsidRPr="00C251E9" w:rsidRDefault="003D76E2" w:rsidP="00B71607">
            <w:pPr>
              <w:pStyle w:val="TMGTableText"/>
              <w:spacing w:before="10" w:after="10"/>
              <w:ind w:left="0"/>
              <w:jc w:val="center"/>
            </w:pPr>
            <w:r>
              <w:rPr>
                <w:rFonts w:eastAsiaTheme="minorEastAsia"/>
              </w:rPr>
              <w:t>Required</w:t>
            </w:r>
          </w:p>
        </w:tc>
      </w:tr>
      <w:tr w:rsidR="003D76E2" w14:paraId="27D274E4" w14:textId="77777777" w:rsidTr="00657FF5">
        <w:trPr>
          <w:trHeight w:val="107"/>
          <w:jc w:val="center"/>
        </w:trPr>
        <w:tc>
          <w:tcPr>
            <w:tcW w:w="805" w:type="dxa"/>
          </w:tcPr>
          <w:p w14:paraId="4E6ABC98" w14:textId="263C596C" w:rsidR="003D76E2" w:rsidRPr="00C251E9" w:rsidRDefault="003D76E2" w:rsidP="00657FF5">
            <w:pPr>
              <w:pStyle w:val="TMGTableText"/>
              <w:spacing w:before="10" w:after="10"/>
              <w:ind w:left="0" w:right="144"/>
              <w:jc w:val="right"/>
              <w:rPr>
                <w:b/>
                <w:bCs/>
              </w:rPr>
            </w:pPr>
            <w:r w:rsidRPr="0051590D">
              <w:rPr>
                <w:rFonts w:eastAsiaTheme="minorEastAsia"/>
              </w:rPr>
              <w:t>11</w:t>
            </w:r>
          </w:p>
        </w:tc>
        <w:tc>
          <w:tcPr>
            <w:tcW w:w="1080" w:type="dxa"/>
          </w:tcPr>
          <w:p w14:paraId="6FD20448" w14:textId="743F462B" w:rsidR="003D76E2" w:rsidRPr="004859C8" w:rsidRDefault="003D76E2" w:rsidP="00657FF5">
            <w:pPr>
              <w:pStyle w:val="TMGTableText"/>
              <w:spacing w:before="10" w:after="10"/>
              <w:ind w:left="0"/>
              <w:jc w:val="center"/>
            </w:pPr>
            <w:r w:rsidRPr="0051590D">
              <w:rPr>
                <w:rFonts w:eastAsiaTheme="minorEastAsia"/>
              </w:rPr>
              <w:t>24-26</w:t>
            </w:r>
          </w:p>
        </w:tc>
        <w:tc>
          <w:tcPr>
            <w:tcW w:w="900" w:type="dxa"/>
          </w:tcPr>
          <w:p w14:paraId="66FB4207" w14:textId="3A73D9D4" w:rsidR="003D76E2" w:rsidRPr="004859C8" w:rsidRDefault="003D76E2" w:rsidP="00657FF5">
            <w:pPr>
              <w:pStyle w:val="TMGTableText"/>
              <w:spacing w:before="10" w:after="10"/>
              <w:ind w:left="0"/>
              <w:jc w:val="center"/>
            </w:pPr>
            <w:r w:rsidRPr="0051590D">
              <w:rPr>
                <w:rFonts w:eastAsiaTheme="minorEastAsia"/>
              </w:rPr>
              <w:t>3</w:t>
            </w:r>
          </w:p>
        </w:tc>
        <w:tc>
          <w:tcPr>
            <w:tcW w:w="3427" w:type="dxa"/>
          </w:tcPr>
          <w:p w14:paraId="5020FAC2" w14:textId="09787DC0" w:rsidR="003D76E2" w:rsidRPr="004859C8" w:rsidRDefault="003D76E2" w:rsidP="003228C0">
            <w:pPr>
              <w:pStyle w:val="TMGTableText"/>
              <w:spacing w:before="10" w:after="10"/>
              <w:ind w:left="0"/>
            </w:pPr>
            <w:r w:rsidRPr="0051590D">
              <w:rPr>
                <w:rFonts w:eastAsiaTheme="minorEastAsia"/>
              </w:rPr>
              <w:t>Open</w:t>
            </w:r>
            <w:r>
              <w:rPr>
                <w:rFonts w:eastAsiaTheme="minorEastAsia"/>
              </w:rPr>
              <w:t xml:space="preserve"> (O)</w:t>
            </w:r>
          </w:p>
        </w:tc>
        <w:tc>
          <w:tcPr>
            <w:tcW w:w="1479" w:type="dxa"/>
          </w:tcPr>
          <w:p w14:paraId="1C40B3C1" w14:textId="6E7CD928" w:rsidR="003D76E2" w:rsidRPr="004859C8" w:rsidRDefault="003D76E2" w:rsidP="00B71607">
            <w:pPr>
              <w:pStyle w:val="TMGTableText"/>
              <w:spacing w:before="10" w:after="10"/>
              <w:ind w:left="0"/>
              <w:jc w:val="center"/>
            </w:pPr>
            <w:r w:rsidRPr="00FE386D">
              <w:rPr>
                <w:rFonts w:eastAsiaTheme="minorEastAsia"/>
              </w:rPr>
              <w:t>Integer</w:t>
            </w:r>
          </w:p>
        </w:tc>
        <w:tc>
          <w:tcPr>
            <w:tcW w:w="1669" w:type="dxa"/>
          </w:tcPr>
          <w:p w14:paraId="793CAD54" w14:textId="46A3CC64" w:rsidR="003D76E2" w:rsidRPr="00C251E9" w:rsidRDefault="003D76E2" w:rsidP="00B71607">
            <w:pPr>
              <w:pStyle w:val="TMGTableText"/>
              <w:spacing w:before="10" w:after="10"/>
              <w:ind w:left="0"/>
              <w:jc w:val="center"/>
            </w:pPr>
            <w:r w:rsidRPr="0051590D">
              <w:rPr>
                <w:rFonts w:eastAsiaTheme="minorEastAsia"/>
              </w:rPr>
              <w:t>O</w:t>
            </w:r>
            <w:r>
              <w:rPr>
                <w:rFonts w:eastAsiaTheme="minorEastAsia"/>
              </w:rPr>
              <w:t>ptional</w:t>
            </w:r>
          </w:p>
        </w:tc>
      </w:tr>
      <w:tr w:rsidR="003D76E2" w14:paraId="72530E29" w14:textId="77777777" w:rsidTr="00657FF5">
        <w:trPr>
          <w:jc w:val="center"/>
        </w:trPr>
        <w:tc>
          <w:tcPr>
            <w:tcW w:w="805" w:type="dxa"/>
          </w:tcPr>
          <w:p w14:paraId="661ACC48" w14:textId="14E4F1B8" w:rsidR="003D76E2" w:rsidRPr="00C251E9" w:rsidRDefault="003D76E2" w:rsidP="00657FF5">
            <w:pPr>
              <w:pStyle w:val="TMGTableText"/>
              <w:spacing w:before="10" w:after="10"/>
              <w:ind w:left="0" w:right="144"/>
              <w:jc w:val="right"/>
              <w:rPr>
                <w:b/>
                <w:bCs/>
              </w:rPr>
            </w:pPr>
            <w:r w:rsidRPr="0051590D">
              <w:rPr>
                <w:rFonts w:eastAsiaTheme="minorEastAsia"/>
              </w:rPr>
              <w:t>12</w:t>
            </w:r>
          </w:p>
        </w:tc>
        <w:tc>
          <w:tcPr>
            <w:tcW w:w="1080" w:type="dxa"/>
          </w:tcPr>
          <w:p w14:paraId="2D1BE191" w14:textId="2E19EE12" w:rsidR="003D76E2" w:rsidRPr="004859C8" w:rsidRDefault="003D76E2" w:rsidP="00657FF5">
            <w:pPr>
              <w:pStyle w:val="TMGTableText"/>
              <w:spacing w:before="10" w:after="10"/>
              <w:ind w:left="0"/>
              <w:jc w:val="center"/>
            </w:pPr>
            <w:r w:rsidRPr="0051590D">
              <w:rPr>
                <w:rFonts w:eastAsiaTheme="minorEastAsia"/>
              </w:rPr>
              <w:t>27-</w:t>
            </w:r>
            <w:r w:rsidRPr="00677E20">
              <w:t>3</w:t>
            </w:r>
            <w:r>
              <w:t>2</w:t>
            </w:r>
          </w:p>
        </w:tc>
        <w:tc>
          <w:tcPr>
            <w:tcW w:w="900" w:type="dxa"/>
          </w:tcPr>
          <w:p w14:paraId="21A9315F" w14:textId="33CEF44B" w:rsidR="003D76E2" w:rsidRPr="004859C8" w:rsidRDefault="003D76E2" w:rsidP="00657FF5">
            <w:pPr>
              <w:pStyle w:val="TMGTableText"/>
              <w:spacing w:before="10" w:after="10"/>
              <w:ind w:left="0"/>
              <w:jc w:val="center"/>
            </w:pPr>
            <w:r>
              <w:t>6</w:t>
            </w:r>
          </w:p>
        </w:tc>
        <w:tc>
          <w:tcPr>
            <w:tcW w:w="3427" w:type="dxa"/>
          </w:tcPr>
          <w:p w14:paraId="72D7DE1A" w14:textId="257EAD3A" w:rsidR="003D76E2" w:rsidRPr="004859C8" w:rsidRDefault="003D76E2" w:rsidP="003228C0">
            <w:pPr>
              <w:pStyle w:val="TMGTableText"/>
              <w:spacing w:before="10" w:after="10"/>
              <w:ind w:left="0"/>
            </w:pPr>
            <w:r w:rsidRPr="0051590D">
              <w:rPr>
                <w:rFonts w:eastAsiaTheme="minorEastAsia"/>
              </w:rPr>
              <w:t>Total Weight of Vehicle</w:t>
            </w:r>
            <w:r>
              <w:rPr>
                <w:rFonts w:eastAsiaTheme="minorEastAsia"/>
              </w:rPr>
              <w:t xml:space="preserve"> (GVW)</w:t>
            </w:r>
          </w:p>
        </w:tc>
        <w:tc>
          <w:tcPr>
            <w:tcW w:w="1479" w:type="dxa"/>
          </w:tcPr>
          <w:p w14:paraId="5E708E6B" w14:textId="07C84498" w:rsidR="003D76E2" w:rsidRPr="004859C8" w:rsidRDefault="003D76E2" w:rsidP="00B71607">
            <w:pPr>
              <w:pStyle w:val="TMGTableText"/>
              <w:spacing w:before="10" w:after="10"/>
              <w:ind w:left="0"/>
              <w:jc w:val="center"/>
            </w:pPr>
            <w:r w:rsidRPr="00FE386D">
              <w:rPr>
                <w:rFonts w:eastAsiaTheme="minorEastAsia"/>
              </w:rPr>
              <w:t>Integer</w:t>
            </w:r>
          </w:p>
        </w:tc>
        <w:tc>
          <w:tcPr>
            <w:tcW w:w="1669" w:type="dxa"/>
          </w:tcPr>
          <w:p w14:paraId="1F148C32" w14:textId="28FC2960" w:rsidR="003D76E2" w:rsidRPr="00C251E9" w:rsidRDefault="003D76E2" w:rsidP="00B71607">
            <w:pPr>
              <w:pStyle w:val="TMGTableText"/>
              <w:spacing w:before="10" w:after="10"/>
              <w:ind w:left="0"/>
              <w:jc w:val="center"/>
            </w:pPr>
            <w:r>
              <w:rPr>
                <w:rFonts w:eastAsiaTheme="minorEastAsia"/>
              </w:rPr>
              <w:t>Required</w:t>
            </w:r>
          </w:p>
        </w:tc>
      </w:tr>
      <w:tr w:rsidR="003D76E2" w14:paraId="5A4C15AC" w14:textId="77777777" w:rsidTr="00657FF5">
        <w:trPr>
          <w:jc w:val="center"/>
        </w:trPr>
        <w:tc>
          <w:tcPr>
            <w:tcW w:w="805" w:type="dxa"/>
          </w:tcPr>
          <w:p w14:paraId="38E4C566" w14:textId="6CCC1D84" w:rsidR="003D76E2" w:rsidRPr="00C251E9" w:rsidRDefault="003D76E2" w:rsidP="00657FF5">
            <w:pPr>
              <w:pStyle w:val="TMGTableText"/>
              <w:spacing w:before="10" w:after="10"/>
              <w:ind w:left="0" w:right="144"/>
              <w:jc w:val="right"/>
              <w:rPr>
                <w:b/>
                <w:bCs/>
              </w:rPr>
            </w:pPr>
            <w:r w:rsidRPr="0051590D">
              <w:rPr>
                <w:rFonts w:eastAsiaTheme="minorEastAsia"/>
              </w:rPr>
              <w:t>13</w:t>
            </w:r>
          </w:p>
        </w:tc>
        <w:tc>
          <w:tcPr>
            <w:tcW w:w="1080" w:type="dxa"/>
          </w:tcPr>
          <w:p w14:paraId="3B75B671" w14:textId="6D954264" w:rsidR="003D76E2" w:rsidRPr="004859C8" w:rsidRDefault="003D76E2" w:rsidP="00657FF5">
            <w:pPr>
              <w:pStyle w:val="TMGTableText"/>
              <w:spacing w:before="10" w:after="10"/>
              <w:ind w:left="0"/>
              <w:jc w:val="center"/>
            </w:pPr>
            <w:r w:rsidRPr="00677E20">
              <w:t>3</w:t>
            </w:r>
            <w:r>
              <w:t>3</w:t>
            </w:r>
            <w:r w:rsidRPr="00677E20">
              <w:t>-3</w:t>
            </w:r>
            <w:r>
              <w:t>4</w:t>
            </w:r>
          </w:p>
        </w:tc>
        <w:tc>
          <w:tcPr>
            <w:tcW w:w="900" w:type="dxa"/>
          </w:tcPr>
          <w:p w14:paraId="2DE4F3DB" w14:textId="1220F6D5" w:rsidR="003D76E2" w:rsidRPr="004859C8" w:rsidRDefault="003D76E2" w:rsidP="00657FF5">
            <w:pPr>
              <w:pStyle w:val="TMGTableText"/>
              <w:spacing w:before="10" w:after="10"/>
              <w:ind w:left="0"/>
              <w:jc w:val="center"/>
            </w:pPr>
            <w:r w:rsidRPr="0051590D">
              <w:rPr>
                <w:rFonts w:eastAsiaTheme="minorEastAsia"/>
              </w:rPr>
              <w:t>2</w:t>
            </w:r>
          </w:p>
        </w:tc>
        <w:tc>
          <w:tcPr>
            <w:tcW w:w="3427" w:type="dxa"/>
          </w:tcPr>
          <w:p w14:paraId="436BD420" w14:textId="15AA10A3" w:rsidR="003D76E2" w:rsidRPr="004859C8" w:rsidRDefault="003D76E2" w:rsidP="003228C0">
            <w:pPr>
              <w:pStyle w:val="TMGTableText"/>
              <w:spacing w:before="10" w:after="10"/>
              <w:ind w:left="0"/>
            </w:pPr>
            <w:r w:rsidRPr="0051590D">
              <w:rPr>
                <w:rFonts w:eastAsiaTheme="minorEastAsia"/>
              </w:rPr>
              <w:t>Number of Axles</w:t>
            </w:r>
            <w:r>
              <w:rPr>
                <w:rFonts w:eastAsiaTheme="minorEastAsia"/>
              </w:rPr>
              <w:t xml:space="preserve"> (NAX)</w:t>
            </w:r>
          </w:p>
        </w:tc>
        <w:tc>
          <w:tcPr>
            <w:tcW w:w="1479" w:type="dxa"/>
          </w:tcPr>
          <w:p w14:paraId="1AB5B8FA" w14:textId="384D0D17" w:rsidR="003D76E2" w:rsidRPr="004859C8" w:rsidRDefault="003D76E2" w:rsidP="00B71607">
            <w:pPr>
              <w:pStyle w:val="TMGTableText"/>
              <w:spacing w:before="10" w:after="10"/>
              <w:ind w:left="0"/>
              <w:jc w:val="center"/>
            </w:pPr>
            <w:r w:rsidRPr="00FE386D">
              <w:rPr>
                <w:rFonts w:eastAsiaTheme="minorEastAsia"/>
              </w:rPr>
              <w:t>Integer</w:t>
            </w:r>
          </w:p>
        </w:tc>
        <w:tc>
          <w:tcPr>
            <w:tcW w:w="1669" w:type="dxa"/>
          </w:tcPr>
          <w:p w14:paraId="48861122" w14:textId="7EFBF6F4" w:rsidR="003D76E2" w:rsidRPr="00C251E9" w:rsidRDefault="003D76E2" w:rsidP="00B71607">
            <w:pPr>
              <w:pStyle w:val="TMGTableText"/>
              <w:spacing w:before="10" w:after="10"/>
              <w:ind w:left="0"/>
              <w:jc w:val="center"/>
            </w:pPr>
            <w:r>
              <w:rPr>
                <w:rFonts w:eastAsiaTheme="minorEastAsia"/>
              </w:rPr>
              <w:t>Required</w:t>
            </w:r>
          </w:p>
        </w:tc>
      </w:tr>
      <w:tr w:rsidR="003D76E2" w14:paraId="6FE00459" w14:textId="77777777" w:rsidTr="00657FF5">
        <w:trPr>
          <w:jc w:val="center"/>
        </w:trPr>
        <w:tc>
          <w:tcPr>
            <w:tcW w:w="805" w:type="dxa"/>
          </w:tcPr>
          <w:p w14:paraId="1F6ED620" w14:textId="233DF969" w:rsidR="003D76E2" w:rsidRPr="00C251E9" w:rsidRDefault="003D76E2" w:rsidP="00657FF5">
            <w:pPr>
              <w:pStyle w:val="TMGTableText"/>
              <w:spacing w:before="10" w:after="10"/>
              <w:ind w:left="0" w:right="144"/>
              <w:jc w:val="right"/>
              <w:rPr>
                <w:b/>
                <w:bCs/>
              </w:rPr>
            </w:pPr>
            <w:r w:rsidRPr="0051590D">
              <w:rPr>
                <w:rFonts w:eastAsiaTheme="minorEastAsia"/>
              </w:rPr>
              <w:t>14</w:t>
            </w:r>
          </w:p>
        </w:tc>
        <w:tc>
          <w:tcPr>
            <w:tcW w:w="1080" w:type="dxa"/>
          </w:tcPr>
          <w:p w14:paraId="7A193B99" w14:textId="1B95F3E8" w:rsidR="003D76E2" w:rsidRPr="004859C8" w:rsidRDefault="003D76E2" w:rsidP="00657FF5">
            <w:pPr>
              <w:pStyle w:val="TMGTableText"/>
              <w:spacing w:before="10" w:after="10"/>
              <w:ind w:left="0"/>
              <w:jc w:val="center"/>
            </w:pPr>
            <w:r w:rsidRPr="0051590D">
              <w:rPr>
                <w:rFonts w:eastAsiaTheme="minorEastAsia"/>
              </w:rPr>
              <w:t>35</w:t>
            </w:r>
            <w:r w:rsidRPr="00677E20">
              <w:t>-3</w:t>
            </w:r>
            <w:r>
              <w:t>9</w:t>
            </w:r>
          </w:p>
        </w:tc>
        <w:tc>
          <w:tcPr>
            <w:tcW w:w="900" w:type="dxa"/>
          </w:tcPr>
          <w:p w14:paraId="351062B4" w14:textId="62BADF0D" w:rsidR="003D76E2" w:rsidRPr="004859C8" w:rsidRDefault="003D76E2" w:rsidP="00657FF5">
            <w:pPr>
              <w:pStyle w:val="TMGTableText"/>
              <w:spacing w:before="10" w:after="10"/>
              <w:ind w:left="0"/>
              <w:jc w:val="center"/>
            </w:pPr>
            <w:r>
              <w:t>5</w:t>
            </w:r>
          </w:p>
        </w:tc>
        <w:tc>
          <w:tcPr>
            <w:tcW w:w="3427" w:type="dxa"/>
          </w:tcPr>
          <w:p w14:paraId="50A772A0" w14:textId="360BD269" w:rsidR="003D76E2" w:rsidRPr="004859C8" w:rsidRDefault="003D76E2" w:rsidP="003228C0">
            <w:pPr>
              <w:pStyle w:val="TMGTableText"/>
              <w:spacing w:before="10" w:after="10"/>
              <w:ind w:left="0"/>
            </w:pPr>
            <w:r w:rsidRPr="0051590D">
              <w:rPr>
                <w:rFonts w:eastAsiaTheme="minorEastAsia"/>
              </w:rPr>
              <w:t>Axle Weight 1</w:t>
            </w:r>
            <w:r>
              <w:rPr>
                <w:rFonts w:eastAsiaTheme="minorEastAsia"/>
              </w:rPr>
              <w:t xml:space="preserve"> (AW1)</w:t>
            </w:r>
          </w:p>
        </w:tc>
        <w:tc>
          <w:tcPr>
            <w:tcW w:w="1479" w:type="dxa"/>
          </w:tcPr>
          <w:p w14:paraId="42E538CB" w14:textId="7E93D411" w:rsidR="003D76E2" w:rsidRPr="004859C8" w:rsidRDefault="003D76E2" w:rsidP="00B71607">
            <w:pPr>
              <w:pStyle w:val="TMGTableText"/>
              <w:spacing w:before="10" w:after="10"/>
              <w:ind w:left="0"/>
              <w:jc w:val="center"/>
            </w:pPr>
            <w:r w:rsidRPr="00FE386D">
              <w:rPr>
                <w:rFonts w:eastAsiaTheme="minorEastAsia"/>
              </w:rPr>
              <w:t>Integer</w:t>
            </w:r>
          </w:p>
        </w:tc>
        <w:tc>
          <w:tcPr>
            <w:tcW w:w="1669" w:type="dxa"/>
          </w:tcPr>
          <w:p w14:paraId="6EC0A753" w14:textId="083B8CC9" w:rsidR="003D76E2" w:rsidRPr="00C251E9" w:rsidRDefault="003D76E2" w:rsidP="00B71607">
            <w:pPr>
              <w:pStyle w:val="TMGTableText"/>
              <w:spacing w:before="10" w:after="10"/>
              <w:ind w:left="0"/>
              <w:jc w:val="center"/>
            </w:pPr>
            <w:r>
              <w:rPr>
                <w:rFonts w:eastAsiaTheme="minorEastAsia"/>
              </w:rPr>
              <w:t>Required</w:t>
            </w:r>
          </w:p>
        </w:tc>
      </w:tr>
      <w:tr w:rsidR="003D76E2" w14:paraId="28581930" w14:textId="77777777" w:rsidTr="00657FF5">
        <w:trPr>
          <w:jc w:val="center"/>
        </w:trPr>
        <w:tc>
          <w:tcPr>
            <w:tcW w:w="805" w:type="dxa"/>
          </w:tcPr>
          <w:p w14:paraId="76279F9D" w14:textId="6F94B131" w:rsidR="003D76E2" w:rsidRPr="00C251E9" w:rsidRDefault="003D76E2" w:rsidP="00657FF5">
            <w:pPr>
              <w:pStyle w:val="TMGTableText"/>
              <w:spacing w:before="10" w:after="10"/>
              <w:ind w:left="0" w:right="144"/>
              <w:jc w:val="right"/>
              <w:rPr>
                <w:b/>
                <w:bCs/>
              </w:rPr>
            </w:pPr>
            <w:r w:rsidRPr="0051590D">
              <w:rPr>
                <w:rFonts w:eastAsiaTheme="minorEastAsia"/>
              </w:rPr>
              <w:t>15</w:t>
            </w:r>
          </w:p>
        </w:tc>
        <w:tc>
          <w:tcPr>
            <w:tcW w:w="1080" w:type="dxa"/>
          </w:tcPr>
          <w:p w14:paraId="69233B8D" w14:textId="365E8B27" w:rsidR="003D76E2" w:rsidRPr="004859C8" w:rsidRDefault="003D76E2" w:rsidP="00657FF5">
            <w:pPr>
              <w:pStyle w:val="TMGTableText"/>
              <w:spacing w:before="10" w:after="10"/>
              <w:ind w:left="0"/>
              <w:jc w:val="center"/>
            </w:pPr>
            <w:r>
              <w:t>40</w:t>
            </w:r>
            <w:r w:rsidRPr="00677E20">
              <w:t>-</w:t>
            </w:r>
            <w:r>
              <w:t>43</w:t>
            </w:r>
          </w:p>
        </w:tc>
        <w:tc>
          <w:tcPr>
            <w:tcW w:w="900" w:type="dxa"/>
          </w:tcPr>
          <w:p w14:paraId="07B07142" w14:textId="640D35CD" w:rsidR="003D76E2" w:rsidRPr="004859C8" w:rsidRDefault="003D76E2" w:rsidP="00657FF5">
            <w:pPr>
              <w:pStyle w:val="TMGTableText"/>
              <w:spacing w:before="10" w:after="10"/>
              <w:ind w:left="0"/>
              <w:jc w:val="center"/>
            </w:pPr>
            <w:r w:rsidRPr="0051590D">
              <w:rPr>
                <w:rFonts w:eastAsiaTheme="minorEastAsia"/>
              </w:rPr>
              <w:t>4</w:t>
            </w:r>
          </w:p>
        </w:tc>
        <w:tc>
          <w:tcPr>
            <w:tcW w:w="3427" w:type="dxa"/>
          </w:tcPr>
          <w:p w14:paraId="16F5AD12" w14:textId="69D5E31F" w:rsidR="003D76E2" w:rsidRPr="004859C8" w:rsidRDefault="003D76E2" w:rsidP="003228C0">
            <w:pPr>
              <w:pStyle w:val="TMGTableText"/>
              <w:spacing w:before="10" w:after="10"/>
              <w:ind w:left="0"/>
            </w:pPr>
            <w:r w:rsidRPr="0051590D">
              <w:rPr>
                <w:rFonts w:eastAsiaTheme="minorEastAsia"/>
              </w:rPr>
              <w:t>Axles 1-2 Spacing</w:t>
            </w:r>
            <w:r>
              <w:rPr>
                <w:rFonts w:eastAsiaTheme="minorEastAsia"/>
              </w:rPr>
              <w:t xml:space="preserve"> (ASP1)</w:t>
            </w:r>
          </w:p>
        </w:tc>
        <w:tc>
          <w:tcPr>
            <w:tcW w:w="1479" w:type="dxa"/>
          </w:tcPr>
          <w:p w14:paraId="69FD58F0" w14:textId="4D76FA72" w:rsidR="003D76E2" w:rsidRPr="004859C8" w:rsidRDefault="003D76E2" w:rsidP="00B71607">
            <w:pPr>
              <w:pStyle w:val="TMGTableText"/>
              <w:spacing w:before="10" w:after="10"/>
              <w:ind w:left="0"/>
              <w:jc w:val="center"/>
            </w:pPr>
            <w:r w:rsidRPr="00FE386D">
              <w:rPr>
                <w:rFonts w:eastAsiaTheme="minorEastAsia"/>
              </w:rPr>
              <w:t>Integer</w:t>
            </w:r>
          </w:p>
        </w:tc>
        <w:tc>
          <w:tcPr>
            <w:tcW w:w="1669" w:type="dxa"/>
          </w:tcPr>
          <w:p w14:paraId="3749E161" w14:textId="6872CD9D" w:rsidR="003D76E2" w:rsidRPr="00C251E9" w:rsidRDefault="003D76E2" w:rsidP="00B71607">
            <w:pPr>
              <w:pStyle w:val="TMGTableText"/>
              <w:spacing w:before="10" w:after="10"/>
              <w:ind w:left="0"/>
              <w:jc w:val="center"/>
            </w:pPr>
            <w:r>
              <w:rPr>
                <w:rFonts w:eastAsiaTheme="minorEastAsia"/>
              </w:rPr>
              <w:t>Required</w:t>
            </w:r>
          </w:p>
        </w:tc>
      </w:tr>
      <w:tr w:rsidR="003228C0" w14:paraId="5325C4BC" w14:textId="77777777" w:rsidTr="00657FF5">
        <w:trPr>
          <w:jc w:val="center"/>
        </w:trPr>
        <w:tc>
          <w:tcPr>
            <w:tcW w:w="805" w:type="dxa"/>
          </w:tcPr>
          <w:p w14:paraId="5F0EDC08" w14:textId="5F15B786" w:rsidR="003228C0" w:rsidRPr="00C251E9" w:rsidRDefault="003228C0" w:rsidP="00657FF5">
            <w:pPr>
              <w:pStyle w:val="TMGTableText"/>
              <w:spacing w:before="10" w:after="10"/>
              <w:ind w:left="0" w:right="144"/>
              <w:jc w:val="right"/>
              <w:rPr>
                <w:b/>
                <w:bCs/>
              </w:rPr>
            </w:pPr>
            <w:r w:rsidRPr="0051590D">
              <w:rPr>
                <w:rFonts w:eastAsiaTheme="minorEastAsia"/>
              </w:rPr>
              <w:t>16</w:t>
            </w:r>
          </w:p>
        </w:tc>
        <w:tc>
          <w:tcPr>
            <w:tcW w:w="1080" w:type="dxa"/>
          </w:tcPr>
          <w:p w14:paraId="581BF8D2" w14:textId="5F2E8A1C" w:rsidR="003228C0" w:rsidRPr="004859C8" w:rsidRDefault="003228C0" w:rsidP="00657FF5">
            <w:pPr>
              <w:pStyle w:val="TMGTableText"/>
              <w:spacing w:before="10" w:after="10"/>
              <w:ind w:left="0"/>
              <w:jc w:val="center"/>
            </w:pPr>
            <w:r w:rsidRPr="00677E20">
              <w:t>4</w:t>
            </w:r>
            <w:r>
              <w:t>4</w:t>
            </w:r>
            <w:r w:rsidRPr="00677E20">
              <w:t>-4</w:t>
            </w:r>
            <w:r>
              <w:t>8</w:t>
            </w:r>
          </w:p>
        </w:tc>
        <w:tc>
          <w:tcPr>
            <w:tcW w:w="900" w:type="dxa"/>
          </w:tcPr>
          <w:p w14:paraId="442568EE" w14:textId="17754CBC" w:rsidR="003228C0" w:rsidRPr="004859C8" w:rsidRDefault="003228C0" w:rsidP="00657FF5">
            <w:pPr>
              <w:pStyle w:val="TMGTableText"/>
              <w:spacing w:before="10" w:after="10"/>
              <w:ind w:left="0"/>
              <w:jc w:val="center"/>
            </w:pPr>
            <w:r>
              <w:t>5</w:t>
            </w:r>
          </w:p>
        </w:tc>
        <w:tc>
          <w:tcPr>
            <w:tcW w:w="3427" w:type="dxa"/>
          </w:tcPr>
          <w:p w14:paraId="6A3747BA" w14:textId="0A0D85BE" w:rsidR="003228C0" w:rsidRPr="004859C8" w:rsidRDefault="003228C0" w:rsidP="003228C0">
            <w:pPr>
              <w:pStyle w:val="TMGTableText"/>
              <w:spacing w:before="10" w:after="10"/>
              <w:ind w:left="0"/>
            </w:pPr>
            <w:r w:rsidRPr="0051590D">
              <w:rPr>
                <w:rFonts w:eastAsiaTheme="minorEastAsia"/>
              </w:rPr>
              <w:t>Axle Weight 2</w:t>
            </w:r>
            <w:r>
              <w:rPr>
                <w:rFonts w:eastAsiaTheme="minorEastAsia"/>
              </w:rPr>
              <w:t xml:space="preserve"> (AW2)</w:t>
            </w:r>
          </w:p>
        </w:tc>
        <w:tc>
          <w:tcPr>
            <w:tcW w:w="1479" w:type="dxa"/>
          </w:tcPr>
          <w:p w14:paraId="65C79F88" w14:textId="43D07B67" w:rsidR="003228C0" w:rsidRPr="004859C8" w:rsidRDefault="003228C0" w:rsidP="00B71607">
            <w:pPr>
              <w:pStyle w:val="TMGTableText"/>
              <w:spacing w:before="10" w:after="10"/>
              <w:ind w:left="0"/>
              <w:jc w:val="center"/>
            </w:pPr>
            <w:r w:rsidRPr="00FE386D">
              <w:rPr>
                <w:rFonts w:eastAsiaTheme="minorEastAsia"/>
              </w:rPr>
              <w:t>Integer</w:t>
            </w:r>
          </w:p>
        </w:tc>
        <w:tc>
          <w:tcPr>
            <w:tcW w:w="1669" w:type="dxa"/>
          </w:tcPr>
          <w:p w14:paraId="36401300" w14:textId="301AECCB" w:rsidR="003228C0" w:rsidRPr="00C251E9" w:rsidRDefault="003228C0" w:rsidP="00B71607">
            <w:pPr>
              <w:pStyle w:val="TMGTableText"/>
              <w:spacing w:before="10" w:after="10"/>
              <w:ind w:left="0"/>
              <w:jc w:val="center"/>
            </w:pPr>
            <w:r>
              <w:rPr>
                <w:rFonts w:eastAsiaTheme="minorEastAsia"/>
              </w:rPr>
              <w:t>Required</w:t>
            </w:r>
          </w:p>
        </w:tc>
      </w:tr>
      <w:tr w:rsidR="003228C0" w14:paraId="64F71E30" w14:textId="77777777" w:rsidTr="00657FF5">
        <w:trPr>
          <w:jc w:val="center"/>
        </w:trPr>
        <w:tc>
          <w:tcPr>
            <w:tcW w:w="805" w:type="dxa"/>
          </w:tcPr>
          <w:p w14:paraId="22B31401" w14:textId="13FB0170" w:rsidR="003228C0" w:rsidRPr="00C251E9" w:rsidRDefault="003228C0" w:rsidP="00657FF5">
            <w:pPr>
              <w:pStyle w:val="TMGTableText"/>
              <w:spacing w:before="10" w:after="10"/>
              <w:ind w:left="0" w:right="144"/>
              <w:jc w:val="right"/>
              <w:rPr>
                <w:b/>
                <w:bCs/>
              </w:rPr>
            </w:pPr>
            <w:r w:rsidRPr="0051590D">
              <w:rPr>
                <w:rFonts w:eastAsiaTheme="minorEastAsia"/>
              </w:rPr>
              <w:t>17</w:t>
            </w:r>
          </w:p>
        </w:tc>
        <w:tc>
          <w:tcPr>
            <w:tcW w:w="1080" w:type="dxa"/>
          </w:tcPr>
          <w:p w14:paraId="4B1330F2" w14:textId="1F72E96D" w:rsidR="003228C0" w:rsidRPr="004859C8" w:rsidRDefault="003228C0" w:rsidP="00657FF5">
            <w:pPr>
              <w:pStyle w:val="TMGTableText"/>
              <w:spacing w:before="10" w:after="10"/>
              <w:ind w:left="0"/>
              <w:jc w:val="center"/>
            </w:pPr>
            <w:r w:rsidRPr="00677E20">
              <w:t>4</w:t>
            </w:r>
            <w:r>
              <w:t>9</w:t>
            </w:r>
            <w:r w:rsidRPr="00677E20">
              <w:t>-</w:t>
            </w:r>
            <w:r>
              <w:t>52</w:t>
            </w:r>
          </w:p>
        </w:tc>
        <w:tc>
          <w:tcPr>
            <w:tcW w:w="900" w:type="dxa"/>
          </w:tcPr>
          <w:p w14:paraId="3A4991CD" w14:textId="1671B5DE" w:rsidR="003228C0" w:rsidRPr="004859C8" w:rsidRDefault="003228C0" w:rsidP="00657FF5">
            <w:pPr>
              <w:pStyle w:val="TMGTableText"/>
              <w:spacing w:before="10" w:after="10"/>
              <w:ind w:left="0"/>
              <w:jc w:val="center"/>
            </w:pPr>
            <w:r w:rsidRPr="0051590D">
              <w:rPr>
                <w:rFonts w:eastAsiaTheme="minorEastAsia"/>
              </w:rPr>
              <w:t>4</w:t>
            </w:r>
          </w:p>
        </w:tc>
        <w:tc>
          <w:tcPr>
            <w:tcW w:w="3427" w:type="dxa"/>
          </w:tcPr>
          <w:p w14:paraId="336B2FCD" w14:textId="235AD320" w:rsidR="003228C0" w:rsidRPr="004859C8" w:rsidRDefault="003228C0" w:rsidP="003228C0">
            <w:pPr>
              <w:pStyle w:val="TMGTableText"/>
              <w:spacing w:before="10" w:after="10"/>
              <w:ind w:left="0"/>
            </w:pPr>
            <w:r w:rsidRPr="0051590D">
              <w:rPr>
                <w:rFonts w:eastAsiaTheme="minorEastAsia"/>
              </w:rPr>
              <w:t>Axles 2-3 Spacing</w:t>
            </w:r>
            <w:r>
              <w:rPr>
                <w:rFonts w:eastAsiaTheme="minorEastAsia"/>
              </w:rPr>
              <w:t xml:space="preserve"> (ASP2)</w:t>
            </w:r>
          </w:p>
        </w:tc>
        <w:tc>
          <w:tcPr>
            <w:tcW w:w="1479" w:type="dxa"/>
          </w:tcPr>
          <w:p w14:paraId="3215AC82" w14:textId="6E62456B" w:rsidR="003228C0" w:rsidRPr="004859C8" w:rsidRDefault="003228C0" w:rsidP="00B71607">
            <w:pPr>
              <w:pStyle w:val="TMGTableText"/>
              <w:spacing w:before="10" w:after="10"/>
              <w:ind w:left="0"/>
              <w:jc w:val="center"/>
            </w:pPr>
            <w:r w:rsidRPr="00FE386D">
              <w:rPr>
                <w:rFonts w:eastAsiaTheme="minorEastAsia"/>
              </w:rPr>
              <w:t>Integer</w:t>
            </w:r>
          </w:p>
        </w:tc>
        <w:tc>
          <w:tcPr>
            <w:tcW w:w="1669" w:type="dxa"/>
          </w:tcPr>
          <w:p w14:paraId="0487B353" w14:textId="4B0E0F0F" w:rsidR="003228C0" w:rsidRPr="00C251E9" w:rsidRDefault="003228C0" w:rsidP="00B71607">
            <w:pPr>
              <w:pStyle w:val="TMGTableText"/>
              <w:spacing w:before="10" w:after="10"/>
              <w:ind w:left="0"/>
              <w:jc w:val="center"/>
            </w:pPr>
            <w:r>
              <w:rPr>
                <w:rFonts w:eastAsiaTheme="minorEastAsia"/>
              </w:rPr>
              <w:t>Req.</w:t>
            </w:r>
            <w:r w:rsidRPr="0051590D">
              <w:rPr>
                <w:rFonts w:eastAsiaTheme="minorEastAsia"/>
              </w:rPr>
              <w:t>/O</w:t>
            </w:r>
            <w:r>
              <w:rPr>
                <w:rFonts w:eastAsiaTheme="minorEastAsia"/>
              </w:rPr>
              <w:t>pt.</w:t>
            </w:r>
          </w:p>
        </w:tc>
      </w:tr>
      <w:tr w:rsidR="003228C0" w14:paraId="6380817A" w14:textId="77777777" w:rsidTr="00657FF5">
        <w:trPr>
          <w:jc w:val="center"/>
        </w:trPr>
        <w:tc>
          <w:tcPr>
            <w:tcW w:w="805" w:type="dxa"/>
          </w:tcPr>
          <w:p w14:paraId="3ADD00BF" w14:textId="75648F95" w:rsidR="003228C0" w:rsidRPr="00C251E9" w:rsidRDefault="003228C0" w:rsidP="00657FF5">
            <w:pPr>
              <w:pStyle w:val="TMGTableText"/>
              <w:spacing w:before="10" w:after="10"/>
              <w:ind w:left="0" w:right="144"/>
              <w:jc w:val="right"/>
              <w:rPr>
                <w:b/>
                <w:bCs/>
              </w:rPr>
            </w:pPr>
            <w:r w:rsidRPr="0051590D">
              <w:rPr>
                <w:rFonts w:eastAsiaTheme="minorEastAsia"/>
              </w:rPr>
              <w:lastRenderedPageBreak/>
              <w:t>18</w:t>
            </w:r>
          </w:p>
        </w:tc>
        <w:tc>
          <w:tcPr>
            <w:tcW w:w="1080" w:type="dxa"/>
          </w:tcPr>
          <w:p w14:paraId="4B72849D" w14:textId="2DE53EDE" w:rsidR="003228C0" w:rsidRPr="004859C8" w:rsidRDefault="003228C0" w:rsidP="00657FF5">
            <w:pPr>
              <w:pStyle w:val="TMGTableText"/>
              <w:spacing w:before="10" w:after="10"/>
              <w:ind w:left="0"/>
              <w:jc w:val="center"/>
            </w:pPr>
            <w:r>
              <w:t>53</w:t>
            </w:r>
            <w:r w:rsidRPr="00677E20">
              <w:t>-</w:t>
            </w:r>
            <w:r>
              <w:t>57</w:t>
            </w:r>
          </w:p>
        </w:tc>
        <w:tc>
          <w:tcPr>
            <w:tcW w:w="900" w:type="dxa"/>
          </w:tcPr>
          <w:p w14:paraId="03566417" w14:textId="4EA98850" w:rsidR="003228C0" w:rsidRPr="004859C8" w:rsidRDefault="003228C0" w:rsidP="00657FF5">
            <w:pPr>
              <w:pStyle w:val="TMGTableText"/>
              <w:spacing w:before="10" w:after="10"/>
              <w:ind w:left="0"/>
              <w:jc w:val="center"/>
            </w:pPr>
            <w:r>
              <w:t>5</w:t>
            </w:r>
          </w:p>
        </w:tc>
        <w:tc>
          <w:tcPr>
            <w:tcW w:w="3427" w:type="dxa"/>
          </w:tcPr>
          <w:p w14:paraId="244A6CCC" w14:textId="58DF51B5" w:rsidR="003228C0" w:rsidRPr="004859C8" w:rsidRDefault="003228C0" w:rsidP="003228C0">
            <w:pPr>
              <w:pStyle w:val="TMGTableText"/>
              <w:spacing w:before="10" w:after="10"/>
              <w:ind w:left="0"/>
            </w:pPr>
            <w:r w:rsidRPr="0051590D">
              <w:rPr>
                <w:rFonts w:eastAsiaTheme="minorEastAsia"/>
              </w:rPr>
              <w:t>Axle Weight 3</w:t>
            </w:r>
            <w:r>
              <w:rPr>
                <w:rFonts w:eastAsiaTheme="minorEastAsia"/>
              </w:rPr>
              <w:t xml:space="preserve"> (AW3)</w:t>
            </w:r>
          </w:p>
        </w:tc>
        <w:tc>
          <w:tcPr>
            <w:tcW w:w="1479" w:type="dxa"/>
          </w:tcPr>
          <w:p w14:paraId="563C888D" w14:textId="0A4E7522" w:rsidR="003228C0" w:rsidRPr="004859C8" w:rsidRDefault="003228C0" w:rsidP="00B71607">
            <w:pPr>
              <w:pStyle w:val="TMGTableText"/>
              <w:spacing w:before="10" w:after="10"/>
              <w:ind w:left="0"/>
              <w:jc w:val="center"/>
            </w:pPr>
            <w:r w:rsidRPr="00FE386D">
              <w:rPr>
                <w:rFonts w:eastAsiaTheme="minorEastAsia"/>
              </w:rPr>
              <w:t>Integer</w:t>
            </w:r>
          </w:p>
        </w:tc>
        <w:tc>
          <w:tcPr>
            <w:tcW w:w="1669" w:type="dxa"/>
          </w:tcPr>
          <w:p w14:paraId="6B4F7D22" w14:textId="7EF04DCC" w:rsidR="003228C0" w:rsidRPr="00C251E9" w:rsidRDefault="003228C0" w:rsidP="00B71607">
            <w:pPr>
              <w:pStyle w:val="TMGTableText"/>
              <w:spacing w:before="10" w:after="10"/>
              <w:ind w:left="0"/>
              <w:jc w:val="center"/>
            </w:pPr>
            <w:r>
              <w:rPr>
                <w:rFonts w:eastAsiaTheme="minorEastAsia"/>
              </w:rPr>
              <w:t>Req.</w:t>
            </w:r>
            <w:r w:rsidRPr="0051590D">
              <w:rPr>
                <w:rFonts w:eastAsiaTheme="minorEastAsia"/>
              </w:rPr>
              <w:t>/O</w:t>
            </w:r>
            <w:r>
              <w:rPr>
                <w:rFonts w:eastAsiaTheme="minorEastAsia"/>
              </w:rPr>
              <w:t>pt.</w:t>
            </w:r>
          </w:p>
        </w:tc>
      </w:tr>
      <w:tr w:rsidR="003228C0" w14:paraId="04C96421" w14:textId="77777777" w:rsidTr="00657FF5">
        <w:trPr>
          <w:jc w:val="center"/>
        </w:trPr>
        <w:tc>
          <w:tcPr>
            <w:tcW w:w="805" w:type="dxa"/>
          </w:tcPr>
          <w:p w14:paraId="03B9C461" w14:textId="63E59101" w:rsidR="003228C0" w:rsidRPr="00C251E9" w:rsidRDefault="003228C0" w:rsidP="00657FF5">
            <w:pPr>
              <w:pStyle w:val="TMGTableText"/>
              <w:spacing w:before="10" w:after="10"/>
              <w:ind w:left="0" w:right="144"/>
              <w:jc w:val="right"/>
              <w:rPr>
                <w:b/>
                <w:bCs/>
              </w:rPr>
            </w:pPr>
            <w:r w:rsidRPr="0051590D">
              <w:rPr>
                <w:rFonts w:eastAsiaTheme="minorEastAsia"/>
              </w:rPr>
              <w:t>19</w:t>
            </w:r>
          </w:p>
        </w:tc>
        <w:tc>
          <w:tcPr>
            <w:tcW w:w="1080" w:type="dxa"/>
          </w:tcPr>
          <w:p w14:paraId="08AF69C0" w14:textId="78F8C3FA" w:rsidR="003228C0" w:rsidRPr="004859C8" w:rsidRDefault="003228C0" w:rsidP="00657FF5">
            <w:pPr>
              <w:pStyle w:val="TMGTableText"/>
              <w:spacing w:before="10" w:after="10"/>
              <w:ind w:left="0"/>
              <w:jc w:val="center"/>
            </w:pPr>
            <w:r w:rsidRPr="00677E20">
              <w:t>5</w:t>
            </w:r>
            <w:r>
              <w:t>8</w:t>
            </w:r>
            <w:r w:rsidRPr="00677E20">
              <w:t>-</w:t>
            </w:r>
            <w:r>
              <w:t>61</w:t>
            </w:r>
          </w:p>
        </w:tc>
        <w:tc>
          <w:tcPr>
            <w:tcW w:w="900" w:type="dxa"/>
          </w:tcPr>
          <w:p w14:paraId="4C789A2E" w14:textId="7A834E3F" w:rsidR="003228C0" w:rsidRPr="004859C8" w:rsidRDefault="003228C0" w:rsidP="00657FF5">
            <w:pPr>
              <w:pStyle w:val="TMGTableText"/>
              <w:spacing w:before="10" w:after="10"/>
              <w:ind w:left="0"/>
              <w:jc w:val="center"/>
            </w:pPr>
            <w:r w:rsidRPr="0051590D">
              <w:rPr>
                <w:rFonts w:eastAsiaTheme="minorEastAsia"/>
              </w:rPr>
              <w:t>4</w:t>
            </w:r>
          </w:p>
        </w:tc>
        <w:tc>
          <w:tcPr>
            <w:tcW w:w="3427" w:type="dxa"/>
          </w:tcPr>
          <w:p w14:paraId="49BFAFBA" w14:textId="1A5DAD9E" w:rsidR="003228C0" w:rsidRPr="004859C8" w:rsidRDefault="003228C0" w:rsidP="003228C0">
            <w:pPr>
              <w:pStyle w:val="TMGTableText"/>
              <w:spacing w:before="10" w:after="10"/>
              <w:ind w:left="0"/>
            </w:pPr>
            <w:r w:rsidRPr="0051590D">
              <w:rPr>
                <w:rFonts w:eastAsiaTheme="minorEastAsia"/>
              </w:rPr>
              <w:t>Axles 3-4 Spacing</w:t>
            </w:r>
            <w:r>
              <w:rPr>
                <w:rFonts w:eastAsiaTheme="minorEastAsia"/>
              </w:rPr>
              <w:t xml:space="preserve"> (ASP3)</w:t>
            </w:r>
          </w:p>
        </w:tc>
        <w:tc>
          <w:tcPr>
            <w:tcW w:w="1479" w:type="dxa"/>
          </w:tcPr>
          <w:p w14:paraId="59C54451" w14:textId="16DA3B13" w:rsidR="003228C0" w:rsidRPr="004859C8" w:rsidRDefault="003228C0" w:rsidP="00B71607">
            <w:pPr>
              <w:pStyle w:val="TMGTableText"/>
              <w:spacing w:before="10" w:after="10"/>
              <w:ind w:left="0"/>
              <w:jc w:val="center"/>
            </w:pPr>
            <w:r w:rsidRPr="00FE386D">
              <w:rPr>
                <w:rFonts w:eastAsiaTheme="minorEastAsia"/>
              </w:rPr>
              <w:t>Integer</w:t>
            </w:r>
          </w:p>
        </w:tc>
        <w:tc>
          <w:tcPr>
            <w:tcW w:w="1669" w:type="dxa"/>
          </w:tcPr>
          <w:p w14:paraId="7FDAB7C8" w14:textId="4D1915FA" w:rsidR="003228C0" w:rsidRPr="00C251E9" w:rsidRDefault="003228C0" w:rsidP="00B71607">
            <w:pPr>
              <w:pStyle w:val="TMGTableText"/>
              <w:spacing w:before="10" w:after="10"/>
              <w:ind w:left="0"/>
              <w:jc w:val="center"/>
            </w:pPr>
            <w:r>
              <w:rPr>
                <w:rFonts w:eastAsiaTheme="minorEastAsia"/>
              </w:rPr>
              <w:t>Req.</w:t>
            </w:r>
            <w:r w:rsidRPr="0051590D">
              <w:rPr>
                <w:rFonts w:eastAsiaTheme="minorEastAsia"/>
              </w:rPr>
              <w:t>/O</w:t>
            </w:r>
            <w:r>
              <w:rPr>
                <w:rFonts w:eastAsiaTheme="minorEastAsia"/>
              </w:rPr>
              <w:t>pt.</w:t>
            </w:r>
          </w:p>
        </w:tc>
      </w:tr>
      <w:tr w:rsidR="003228C0" w14:paraId="0B486A40" w14:textId="77777777" w:rsidTr="00657FF5">
        <w:trPr>
          <w:jc w:val="center"/>
        </w:trPr>
        <w:tc>
          <w:tcPr>
            <w:tcW w:w="805" w:type="dxa"/>
          </w:tcPr>
          <w:p w14:paraId="2A0A5FC5" w14:textId="566CFC00" w:rsidR="003228C0" w:rsidRPr="00C251E9" w:rsidRDefault="003228C0" w:rsidP="00657FF5">
            <w:pPr>
              <w:pStyle w:val="TMGTableText"/>
              <w:spacing w:before="10" w:after="10"/>
              <w:ind w:left="0" w:right="144"/>
              <w:jc w:val="right"/>
              <w:rPr>
                <w:b/>
                <w:bCs/>
              </w:rPr>
            </w:pPr>
            <w:r w:rsidRPr="0051590D">
              <w:rPr>
                <w:rFonts w:eastAsiaTheme="minorEastAsia"/>
              </w:rPr>
              <w:t>20</w:t>
            </w:r>
          </w:p>
        </w:tc>
        <w:tc>
          <w:tcPr>
            <w:tcW w:w="1080" w:type="dxa"/>
          </w:tcPr>
          <w:p w14:paraId="6B08CE79" w14:textId="2E0C6039" w:rsidR="003228C0" w:rsidRPr="004859C8" w:rsidRDefault="003228C0" w:rsidP="00657FF5">
            <w:pPr>
              <w:pStyle w:val="TMGTableText"/>
              <w:spacing w:before="10" w:after="10"/>
              <w:ind w:left="0"/>
              <w:jc w:val="center"/>
            </w:pPr>
            <w:r>
              <w:t>62</w:t>
            </w:r>
            <w:r w:rsidRPr="00677E20">
              <w:t>-6</w:t>
            </w:r>
            <w:r>
              <w:t>6</w:t>
            </w:r>
          </w:p>
        </w:tc>
        <w:tc>
          <w:tcPr>
            <w:tcW w:w="900" w:type="dxa"/>
          </w:tcPr>
          <w:p w14:paraId="4BE5E3DA" w14:textId="2BD4247A" w:rsidR="003228C0" w:rsidRPr="004859C8" w:rsidRDefault="003228C0" w:rsidP="00657FF5">
            <w:pPr>
              <w:pStyle w:val="TMGTableText"/>
              <w:spacing w:before="10" w:after="10"/>
              <w:ind w:left="0"/>
              <w:jc w:val="center"/>
            </w:pPr>
            <w:r>
              <w:t>5</w:t>
            </w:r>
          </w:p>
        </w:tc>
        <w:tc>
          <w:tcPr>
            <w:tcW w:w="3427" w:type="dxa"/>
          </w:tcPr>
          <w:p w14:paraId="4D63119D" w14:textId="048837E3" w:rsidR="003228C0" w:rsidRPr="004859C8" w:rsidRDefault="003228C0" w:rsidP="003228C0">
            <w:pPr>
              <w:pStyle w:val="TMGTableText"/>
              <w:spacing w:before="10" w:after="10"/>
              <w:ind w:left="0"/>
            </w:pPr>
            <w:r w:rsidRPr="0051590D">
              <w:rPr>
                <w:rFonts w:eastAsiaTheme="minorEastAsia"/>
              </w:rPr>
              <w:t>Axle Weight 4</w:t>
            </w:r>
            <w:r>
              <w:rPr>
                <w:rFonts w:eastAsiaTheme="minorEastAsia"/>
              </w:rPr>
              <w:t xml:space="preserve"> (AW4)</w:t>
            </w:r>
          </w:p>
        </w:tc>
        <w:tc>
          <w:tcPr>
            <w:tcW w:w="1479" w:type="dxa"/>
          </w:tcPr>
          <w:p w14:paraId="6CA791B1" w14:textId="78D4B197" w:rsidR="003228C0" w:rsidRPr="004859C8" w:rsidRDefault="003228C0" w:rsidP="00B71607">
            <w:pPr>
              <w:pStyle w:val="TMGTableText"/>
              <w:spacing w:before="10" w:after="10"/>
              <w:ind w:left="0"/>
              <w:jc w:val="center"/>
            </w:pPr>
            <w:r w:rsidRPr="00FE386D">
              <w:rPr>
                <w:rFonts w:eastAsiaTheme="minorEastAsia"/>
              </w:rPr>
              <w:t>Integer</w:t>
            </w:r>
          </w:p>
        </w:tc>
        <w:tc>
          <w:tcPr>
            <w:tcW w:w="1669" w:type="dxa"/>
          </w:tcPr>
          <w:p w14:paraId="738D3573" w14:textId="12ADDB8E" w:rsidR="003228C0" w:rsidRPr="00C251E9" w:rsidRDefault="003228C0" w:rsidP="00B71607">
            <w:pPr>
              <w:pStyle w:val="TMGTableText"/>
              <w:spacing w:before="10" w:after="10"/>
              <w:ind w:left="0"/>
              <w:jc w:val="center"/>
            </w:pPr>
            <w:r>
              <w:rPr>
                <w:rFonts w:eastAsiaTheme="minorEastAsia"/>
              </w:rPr>
              <w:t>Req.</w:t>
            </w:r>
            <w:r w:rsidRPr="0051590D">
              <w:rPr>
                <w:rFonts w:eastAsiaTheme="minorEastAsia"/>
              </w:rPr>
              <w:t>/O</w:t>
            </w:r>
            <w:r>
              <w:rPr>
                <w:rFonts w:eastAsiaTheme="minorEastAsia"/>
              </w:rPr>
              <w:t>pt.</w:t>
            </w:r>
          </w:p>
        </w:tc>
      </w:tr>
      <w:tr w:rsidR="003228C0" w14:paraId="7BE92D58" w14:textId="77777777" w:rsidTr="00657FF5">
        <w:trPr>
          <w:jc w:val="center"/>
        </w:trPr>
        <w:tc>
          <w:tcPr>
            <w:tcW w:w="805" w:type="dxa"/>
          </w:tcPr>
          <w:p w14:paraId="39555DC2" w14:textId="638AB98E" w:rsidR="003228C0" w:rsidRPr="00C251E9" w:rsidRDefault="003228C0" w:rsidP="00657FF5">
            <w:pPr>
              <w:pStyle w:val="TMGTableText"/>
              <w:spacing w:before="10" w:after="10"/>
              <w:ind w:left="0" w:right="144"/>
              <w:jc w:val="right"/>
              <w:rPr>
                <w:b/>
                <w:bCs/>
              </w:rPr>
            </w:pPr>
            <w:r w:rsidRPr="0051590D">
              <w:rPr>
                <w:rFonts w:eastAsiaTheme="minorEastAsia"/>
              </w:rPr>
              <w:t>21</w:t>
            </w:r>
          </w:p>
        </w:tc>
        <w:tc>
          <w:tcPr>
            <w:tcW w:w="1080" w:type="dxa"/>
          </w:tcPr>
          <w:p w14:paraId="1AFAAF8C" w14:textId="5BFD6436" w:rsidR="003228C0" w:rsidRPr="004859C8" w:rsidRDefault="003228C0" w:rsidP="00657FF5">
            <w:pPr>
              <w:pStyle w:val="TMGTableText"/>
              <w:spacing w:before="10" w:after="10"/>
              <w:ind w:left="0"/>
              <w:jc w:val="center"/>
            </w:pPr>
            <w:r>
              <w:t>6</w:t>
            </w:r>
            <w:r w:rsidRPr="00677E20">
              <w:t>7-</w:t>
            </w:r>
            <w:r>
              <w:t>70</w:t>
            </w:r>
          </w:p>
        </w:tc>
        <w:tc>
          <w:tcPr>
            <w:tcW w:w="900" w:type="dxa"/>
          </w:tcPr>
          <w:p w14:paraId="1E2D600F" w14:textId="22FA4D7A" w:rsidR="003228C0" w:rsidRPr="004859C8" w:rsidRDefault="003228C0" w:rsidP="00657FF5">
            <w:pPr>
              <w:pStyle w:val="TMGTableText"/>
              <w:spacing w:before="10" w:after="10"/>
              <w:ind w:left="0"/>
              <w:jc w:val="center"/>
            </w:pPr>
            <w:r w:rsidRPr="0051590D">
              <w:rPr>
                <w:rFonts w:eastAsiaTheme="minorEastAsia"/>
              </w:rPr>
              <w:t>4</w:t>
            </w:r>
          </w:p>
        </w:tc>
        <w:tc>
          <w:tcPr>
            <w:tcW w:w="3427" w:type="dxa"/>
          </w:tcPr>
          <w:p w14:paraId="4DCADCE4" w14:textId="777AFD56" w:rsidR="003228C0" w:rsidRPr="004859C8" w:rsidRDefault="003228C0" w:rsidP="003228C0">
            <w:pPr>
              <w:pStyle w:val="TMGTableText"/>
              <w:spacing w:before="10" w:after="10"/>
              <w:ind w:left="0"/>
            </w:pPr>
            <w:r w:rsidRPr="0051590D">
              <w:rPr>
                <w:rFonts w:eastAsiaTheme="minorEastAsia"/>
              </w:rPr>
              <w:t>Axles 4-5 Spacing</w:t>
            </w:r>
            <w:r>
              <w:rPr>
                <w:rFonts w:eastAsiaTheme="minorEastAsia"/>
              </w:rPr>
              <w:t xml:space="preserve"> (ASP4)</w:t>
            </w:r>
          </w:p>
        </w:tc>
        <w:tc>
          <w:tcPr>
            <w:tcW w:w="1479" w:type="dxa"/>
          </w:tcPr>
          <w:p w14:paraId="7A88EE91" w14:textId="4455B90A" w:rsidR="003228C0" w:rsidRPr="004859C8" w:rsidRDefault="003228C0" w:rsidP="00B71607">
            <w:pPr>
              <w:pStyle w:val="TMGTableText"/>
              <w:spacing w:before="10" w:after="10"/>
              <w:ind w:left="0"/>
              <w:jc w:val="center"/>
            </w:pPr>
            <w:r w:rsidRPr="00FE386D">
              <w:rPr>
                <w:rFonts w:eastAsiaTheme="minorEastAsia"/>
              </w:rPr>
              <w:t>Integer</w:t>
            </w:r>
          </w:p>
        </w:tc>
        <w:tc>
          <w:tcPr>
            <w:tcW w:w="1669" w:type="dxa"/>
          </w:tcPr>
          <w:p w14:paraId="72352569" w14:textId="27A88495" w:rsidR="003228C0" w:rsidRPr="00C251E9" w:rsidRDefault="003228C0" w:rsidP="00B71607">
            <w:pPr>
              <w:pStyle w:val="TMGTableText"/>
              <w:spacing w:before="10" w:after="10"/>
              <w:ind w:left="0"/>
              <w:jc w:val="center"/>
            </w:pPr>
            <w:r>
              <w:rPr>
                <w:rFonts w:eastAsiaTheme="minorEastAsia"/>
              </w:rPr>
              <w:t>Req.</w:t>
            </w:r>
            <w:r w:rsidRPr="0051590D">
              <w:rPr>
                <w:rFonts w:eastAsiaTheme="minorEastAsia"/>
              </w:rPr>
              <w:t>/O</w:t>
            </w:r>
            <w:r>
              <w:rPr>
                <w:rFonts w:eastAsiaTheme="minorEastAsia"/>
              </w:rPr>
              <w:t>pt.</w:t>
            </w:r>
          </w:p>
        </w:tc>
      </w:tr>
      <w:tr w:rsidR="003228C0" w14:paraId="69F59B13" w14:textId="77777777" w:rsidTr="00657FF5">
        <w:trPr>
          <w:jc w:val="center"/>
        </w:trPr>
        <w:tc>
          <w:tcPr>
            <w:tcW w:w="805" w:type="dxa"/>
          </w:tcPr>
          <w:p w14:paraId="3F978B0D" w14:textId="06F31AB4" w:rsidR="003228C0" w:rsidRPr="00C251E9" w:rsidRDefault="003228C0" w:rsidP="00657FF5">
            <w:pPr>
              <w:pStyle w:val="TMGTableText"/>
              <w:spacing w:before="10" w:after="10"/>
              <w:ind w:left="0" w:right="144"/>
              <w:jc w:val="right"/>
              <w:rPr>
                <w:b/>
                <w:bCs/>
              </w:rPr>
            </w:pPr>
            <w:r w:rsidRPr="0051590D">
              <w:rPr>
                <w:rFonts w:eastAsiaTheme="minorEastAsia"/>
              </w:rPr>
              <w:t>22</w:t>
            </w:r>
          </w:p>
        </w:tc>
        <w:tc>
          <w:tcPr>
            <w:tcW w:w="1080" w:type="dxa"/>
          </w:tcPr>
          <w:p w14:paraId="33BE42F2" w14:textId="37542550" w:rsidR="003228C0" w:rsidRPr="004859C8" w:rsidRDefault="003228C0" w:rsidP="00657FF5">
            <w:pPr>
              <w:pStyle w:val="TMGTableText"/>
              <w:spacing w:before="10" w:after="10"/>
              <w:ind w:left="0"/>
              <w:jc w:val="center"/>
            </w:pPr>
            <w:r>
              <w:t>7</w:t>
            </w:r>
            <w:r w:rsidRPr="00677E20">
              <w:t>1-</w:t>
            </w:r>
            <w:r>
              <w:t>75</w:t>
            </w:r>
          </w:p>
        </w:tc>
        <w:tc>
          <w:tcPr>
            <w:tcW w:w="900" w:type="dxa"/>
          </w:tcPr>
          <w:p w14:paraId="251B13DC" w14:textId="32283133" w:rsidR="003228C0" w:rsidRPr="004859C8" w:rsidRDefault="003228C0" w:rsidP="00657FF5">
            <w:pPr>
              <w:pStyle w:val="TMGTableText"/>
              <w:spacing w:before="10" w:after="10"/>
              <w:ind w:left="0"/>
              <w:jc w:val="center"/>
            </w:pPr>
            <w:r>
              <w:t>5</w:t>
            </w:r>
          </w:p>
        </w:tc>
        <w:tc>
          <w:tcPr>
            <w:tcW w:w="3427" w:type="dxa"/>
          </w:tcPr>
          <w:p w14:paraId="1AD59F83" w14:textId="4AF441C6" w:rsidR="003228C0" w:rsidRPr="004859C8" w:rsidRDefault="003228C0" w:rsidP="003228C0">
            <w:pPr>
              <w:pStyle w:val="TMGTableText"/>
              <w:spacing w:before="10" w:after="10"/>
              <w:ind w:left="0"/>
            </w:pPr>
            <w:r w:rsidRPr="0051590D">
              <w:rPr>
                <w:rFonts w:eastAsiaTheme="minorEastAsia"/>
              </w:rPr>
              <w:t>Axle Weight 5</w:t>
            </w:r>
            <w:r>
              <w:rPr>
                <w:rFonts w:eastAsiaTheme="minorEastAsia"/>
              </w:rPr>
              <w:t xml:space="preserve"> (AW5)</w:t>
            </w:r>
          </w:p>
        </w:tc>
        <w:tc>
          <w:tcPr>
            <w:tcW w:w="1479" w:type="dxa"/>
          </w:tcPr>
          <w:p w14:paraId="10552E19" w14:textId="178C3760" w:rsidR="003228C0" w:rsidRPr="004859C8" w:rsidRDefault="003228C0" w:rsidP="00B71607">
            <w:pPr>
              <w:pStyle w:val="TMGTableText"/>
              <w:spacing w:before="10" w:after="10"/>
              <w:ind w:left="0"/>
              <w:jc w:val="center"/>
            </w:pPr>
            <w:r w:rsidRPr="00FE386D">
              <w:rPr>
                <w:rFonts w:eastAsiaTheme="minorEastAsia"/>
              </w:rPr>
              <w:t>Integer</w:t>
            </w:r>
          </w:p>
        </w:tc>
        <w:tc>
          <w:tcPr>
            <w:tcW w:w="1669" w:type="dxa"/>
          </w:tcPr>
          <w:p w14:paraId="2ED62FD4" w14:textId="79352DAC" w:rsidR="003228C0" w:rsidRPr="00C251E9" w:rsidRDefault="003228C0" w:rsidP="00B71607">
            <w:pPr>
              <w:pStyle w:val="TMGTableText"/>
              <w:spacing w:before="10" w:after="10"/>
              <w:ind w:left="0"/>
              <w:jc w:val="center"/>
            </w:pPr>
            <w:r>
              <w:rPr>
                <w:rFonts w:eastAsiaTheme="minorEastAsia"/>
              </w:rPr>
              <w:t>Req.</w:t>
            </w:r>
            <w:r w:rsidRPr="0051590D">
              <w:rPr>
                <w:rFonts w:eastAsiaTheme="minorEastAsia"/>
              </w:rPr>
              <w:t>/O</w:t>
            </w:r>
            <w:r>
              <w:rPr>
                <w:rFonts w:eastAsiaTheme="minorEastAsia"/>
              </w:rPr>
              <w:t>pt.</w:t>
            </w:r>
          </w:p>
        </w:tc>
      </w:tr>
      <w:tr w:rsidR="003228C0" w14:paraId="551460FC" w14:textId="77777777" w:rsidTr="00657FF5">
        <w:trPr>
          <w:jc w:val="center"/>
        </w:trPr>
        <w:tc>
          <w:tcPr>
            <w:tcW w:w="805" w:type="dxa"/>
          </w:tcPr>
          <w:p w14:paraId="4D364AFE" w14:textId="08260A7C" w:rsidR="003228C0" w:rsidRPr="00C251E9" w:rsidRDefault="003228C0" w:rsidP="00657FF5">
            <w:pPr>
              <w:pStyle w:val="TMGTableText"/>
              <w:spacing w:before="10" w:after="10"/>
              <w:ind w:left="0" w:right="144"/>
              <w:jc w:val="right"/>
              <w:rPr>
                <w:b/>
                <w:bCs/>
              </w:rPr>
            </w:pPr>
            <w:r w:rsidRPr="0051590D">
              <w:rPr>
                <w:rFonts w:eastAsiaTheme="minorEastAsia"/>
              </w:rPr>
              <w:t>23</w:t>
            </w:r>
          </w:p>
        </w:tc>
        <w:tc>
          <w:tcPr>
            <w:tcW w:w="1080" w:type="dxa"/>
          </w:tcPr>
          <w:p w14:paraId="36E7E18B" w14:textId="366CF936" w:rsidR="003228C0" w:rsidRPr="004859C8" w:rsidRDefault="003228C0" w:rsidP="00657FF5">
            <w:pPr>
              <w:pStyle w:val="TMGTableText"/>
              <w:spacing w:before="10" w:after="10"/>
              <w:ind w:left="0"/>
              <w:jc w:val="center"/>
            </w:pPr>
            <w:r>
              <w:t>7</w:t>
            </w:r>
            <w:r w:rsidRPr="00677E20">
              <w:t>6-7</w:t>
            </w:r>
            <w:r>
              <w:t>9</w:t>
            </w:r>
          </w:p>
        </w:tc>
        <w:tc>
          <w:tcPr>
            <w:tcW w:w="900" w:type="dxa"/>
          </w:tcPr>
          <w:p w14:paraId="78C46137" w14:textId="0DA14F02" w:rsidR="003228C0" w:rsidRPr="004859C8" w:rsidRDefault="003228C0" w:rsidP="00657FF5">
            <w:pPr>
              <w:pStyle w:val="TMGTableText"/>
              <w:spacing w:before="10" w:after="10"/>
              <w:ind w:left="0"/>
              <w:jc w:val="center"/>
            </w:pPr>
            <w:r w:rsidRPr="0051590D">
              <w:rPr>
                <w:rFonts w:eastAsiaTheme="minorEastAsia"/>
              </w:rPr>
              <w:t>4</w:t>
            </w:r>
          </w:p>
        </w:tc>
        <w:tc>
          <w:tcPr>
            <w:tcW w:w="3427" w:type="dxa"/>
          </w:tcPr>
          <w:p w14:paraId="20D28560" w14:textId="0060B0A9" w:rsidR="003228C0" w:rsidRPr="004859C8" w:rsidRDefault="003228C0" w:rsidP="003228C0">
            <w:pPr>
              <w:pStyle w:val="TMGTableText"/>
              <w:spacing w:before="10" w:after="10"/>
              <w:ind w:left="0"/>
            </w:pPr>
            <w:r w:rsidRPr="0051590D">
              <w:rPr>
                <w:rFonts w:eastAsiaTheme="minorEastAsia"/>
              </w:rPr>
              <w:t>Axles 5-6 Spacing</w:t>
            </w:r>
            <w:r>
              <w:rPr>
                <w:rFonts w:eastAsiaTheme="minorEastAsia"/>
              </w:rPr>
              <w:t xml:space="preserve"> (ASP5)</w:t>
            </w:r>
          </w:p>
        </w:tc>
        <w:tc>
          <w:tcPr>
            <w:tcW w:w="1479" w:type="dxa"/>
          </w:tcPr>
          <w:p w14:paraId="47537A3C" w14:textId="1865E7F6" w:rsidR="003228C0" w:rsidRPr="004859C8" w:rsidRDefault="003228C0" w:rsidP="00B71607">
            <w:pPr>
              <w:pStyle w:val="TMGTableText"/>
              <w:spacing w:before="10" w:after="10"/>
              <w:ind w:left="0"/>
              <w:jc w:val="center"/>
            </w:pPr>
            <w:r w:rsidRPr="00FE386D">
              <w:rPr>
                <w:rFonts w:eastAsiaTheme="minorEastAsia"/>
              </w:rPr>
              <w:t>Integer</w:t>
            </w:r>
          </w:p>
        </w:tc>
        <w:tc>
          <w:tcPr>
            <w:tcW w:w="1669" w:type="dxa"/>
          </w:tcPr>
          <w:p w14:paraId="688518C6" w14:textId="1880946C" w:rsidR="003228C0" w:rsidRPr="00C251E9" w:rsidRDefault="003228C0" w:rsidP="00B71607">
            <w:pPr>
              <w:pStyle w:val="TMGTableText"/>
              <w:spacing w:before="10" w:after="10"/>
              <w:ind w:left="0"/>
              <w:jc w:val="center"/>
            </w:pPr>
            <w:r>
              <w:rPr>
                <w:rFonts w:eastAsiaTheme="minorEastAsia"/>
              </w:rPr>
              <w:t>Req.</w:t>
            </w:r>
            <w:r w:rsidRPr="0051590D">
              <w:rPr>
                <w:rFonts w:eastAsiaTheme="minorEastAsia"/>
              </w:rPr>
              <w:t>/O</w:t>
            </w:r>
            <w:r>
              <w:rPr>
                <w:rFonts w:eastAsiaTheme="minorEastAsia"/>
              </w:rPr>
              <w:t>pt.</w:t>
            </w:r>
          </w:p>
        </w:tc>
      </w:tr>
      <w:tr w:rsidR="003228C0" w14:paraId="3CE1D8BE" w14:textId="77777777" w:rsidTr="00657FF5">
        <w:trPr>
          <w:jc w:val="center"/>
        </w:trPr>
        <w:tc>
          <w:tcPr>
            <w:tcW w:w="805" w:type="dxa"/>
          </w:tcPr>
          <w:p w14:paraId="6B437521" w14:textId="17CAC318" w:rsidR="003228C0" w:rsidRPr="00C251E9" w:rsidRDefault="003228C0" w:rsidP="00657FF5">
            <w:pPr>
              <w:pStyle w:val="TMGTableText"/>
              <w:spacing w:before="10" w:after="10"/>
              <w:ind w:left="0" w:right="144"/>
              <w:jc w:val="right"/>
              <w:rPr>
                <w:b/>
                <w:bCs/>
              </w:rPr>
            </w:pPr>
            <w:r w:rsidRPr="0051590D">
              <w:rPr>
                <w:rFonts w:eastAsiaTheme="minorEastAsia"/>
              </w:rPr>
              <w:t>24</w:t>
            </w:r>
          </w:p>
        </w:tc>
        <w:tc>
          <w:tcPr>
            <w:tcW w:w="1080" w:type="dxa"/>
          </w:tcPr>
          <w:p w14:paraId="15F16615" w14:textId="58AB1CCE" w:rsidR="003228C0" w:rsidRPr="004859C8" w:rsidRDefault="003228C0" w:rsidP="00657FF5">
            <w:pPr>
              <w:pStyle w:val="TMGTableText"/>
              <w:spacing w:before="10" w:after="10"/>
              <w:ind w:left="0"/>
              <w:jc w:val="center"/>
            </w:pPr>
            <w:r w:rsidRPr="00677E20">
              <w:t>8</w:t>
            </w:r>
            <w:r>
              <w:t>0</w:t>
            </w:r>
            <w:r w:rsidRPr="00677E20">
              <w:t>-</w:t>
            </w:r>
            <w:r>
              <w:t>84</w:t>
            </w:r>
          </w:p>
        </w:tc>
        <w:tc>
          <w:tcPr>
            <w:tcW w:w="900" w:type="dxa"/>
          </w:tcPr>
          <w:p w14:paraId="68E5E71A" w14:textId="377CF9DD" w:rsidR="003228C0" w:rsidRPr="004859C8" w:rsidRDefault="003228C0" w:rsidP="00657FF5">
            <w:pPr>
              <w:pStyle w:val="TMGTableText"/>
              <w:spacing w:before="10" w:after="10"/>
              <w:ind w:left="0"/>
              <w:jc w:val="center"/>
            </w:pPr>
            <w:r>
              <w:t>5</w:t>
            </w:r>
          </w:p>
        </w:tc>
        <w:tc>
          <w:tcPr>
            <w:tcW w:w="3427" w:type="dxa"/>
          </w:tcPr>
          <w:p w14:paraId="56DFC87B" w14:textId="508A55F8" w:rsidR="003228C0" w:rsidRPr="004859C8" w:rsidRDefault="003228C0" w:rsidP="003228C0">
            <w:pPr>
              <w:pStyle w:val="TMGTableText"/>
              <w:spacing w:before="10" w:after="10"/>
              <w:ind w:left="0"/>
            </w:pPr>
            <w:r w:rsidRPr="0051590D">
              <w:rPr>
                <w:rFonts w:eastAsiaTheme="minorEastAsia"/>
              </w:rPr>
              <w:t>Axle Weight 6</w:t>
            </w:r>
            <w:r>
              <w:rPr>
                <w:rFonts w:eastAsiaTheme="minorEastAsia"/>
              </w:rPr>
              <w:t xml:space="preserve"> (AW6)</w:t>
            </w:r>
          </w:p>
        </w:tc>
        <w:tc>
          <w:tcPr>
            <w:tcW w:w="1479" w:type="dxa"/>
          </w:tcPr>
          <w:p w14:paraId="621AF012" w14:textId="6610FE42" w:rsidR="003228C0" w:rsidRPr="004859C8" w:rsidRDefault="003228C0" w:rsidP="00B71607">
            <w:pPr>
              <w:pStyle w:val="TMGTableText"/>
              <w:spacing w:before="10" w:after="10"/>
              <w:ind w:left="0"/>
              <w:jc w:val="center"/>
            </w:pPr>
            <w:r w:rsidRPr="00FE386D">
              <w:rPr>
                <w:rFonts w:eastAsiaTheme="minorEastAsia"/>
              </w:rPr>
              <w:t>Integer</w:t>
            </w:r>
          </w:p>
        </w:tc>
        <w:tc>
          <w:tcPr>
            <w:tcW w:w="1669" w:type="dxa"/>
          </w:tcPr>
          <w:p w14:paraId="3E78D721" w14:textId="34F70AC9" w:rsidR="003228C0" w:rsidRPr="00C251E9" w:rsidRDefault="003228C0" w:rsidP="00B71607">
            <w:pPr>
              <w:pStyle w:val="TMGTableText"/>
              <w:spacing w:before="10" w:after="10"/>
              <w:ind w:left="0"/>
              <w:jc w:val="center"/>
            </w:pPr>
            <w:r>
              <w:rPr>
                <w:rFonts w:eastAsiaTheme="minorEastAsia"/>
              </w:rPr>
              <w:t>Req.</w:t>
            </w:r>
            <w:r w:rsidRPr="0051590D">
              <w:rPr>
                <w:rFonts w:eastAsiaTheme="minorEastAsia"/>
              </w:rPr>
              <w:t>/O</w:t>
            </w:r>
            <w:r>
              <w:rPr>
                <w:rFonts w:eastAsiaTheme="minorEastAsia"/>
              </w:rPr>
              <w:t>pt.</w:t>
            </w:r>
          </w:p>
        </w:tc>
      </w:tr>
      <w:tr w:rsidR="003228C0" w14:paraId="3C896332" w14:textId="77777777" w:rsidTr="00657FF5">
        <w:trPr>
          <w:jc w:val="center"/>
        </w:trPr>
        <w:tc>
          <w:tcPr>
            <w:tcW w:w="805" w:type="dxa"/>
          </w:tcPr>
          <w:p w14:paraId="579B7366" w14:textId="04658E93" w:rsidR="003228C0" w:rsidRPr="00C251E9" w:rsidRDefault="003228C0" w:rsidP="00657FF5">
            <w:pPr>
              <w:pStyle w:val="TMGTableText"/>
              <w:spacing w:before="10" w:after="10"/>
              <w:ind w:left="0" w:right="144"/>
              <w:jc w:val="right"/>
              <w:rPr>
                <w:b/>
                <w:bCs/>
              </w:rPr>
            </w:pPr>
            <w:r w:rsidRPr="0051590D">
              <w:rPr>
                <w:rFonts w:eastAsiaTheme="minorEastAsia"/>
              </w:rPr>
              <w:t>25</w:t>
            </w:r>
          </w:p>
        </w:tc>
        <w:tc>
          <w:tcPr>
            <w:tcW w:w="1080" w:type="dxa"/>
          </w:tcPr>
          <w:p w14:paraId="01A70506" w14:textId="471B50CE" w:rsidR="003228C0" w:rsidRPr="004859C8" w:rsidRDefault="003228C0" w:rsidP="00657FF5">
            <w:pPr>
              <w:pStyle w:val="TMGTableText"/>
              <w:spacing w:before="10" w:after="10"/>
              <w:ind w:left="0"/>
              <w:jc w:val="center"/>
            </w:pPr>
            <w:r>
              <w:t>85</w:t>
            </w:r>
            <w:r w:rsidRPr="00677E20">
              <w:t>-</w:t>
            </w:r>
            <w:r>
              <w:t>88</w:t>
            </w:r>
          </w:p>
        </w:tc>
        <w:tc>
          <w:tcPr>
            <w:tcW w:w="900" w:type="dxa"/>
          </w:tcPr>
          <w:p w14:paraId="7F78590B" w14:textId="7DF7B989" w:rsidR="003228C0" w:rsidRPr="004859C8" w:rsidRDefault="003228C0" w:rsidP="00657FF5">
            <w:pPr>
              <w:pStyle w:val="TMGTableText"/>
              <w:spacing w:before="10" w:after="10"/>
              <w:ind w:left="0"/>
              <w:jc w:val="center"/>
            </w:pPr>
            <w:r w:rsidRPr="0051590D">
              <w:rPr>
                <w:rFonts w:eastAsiaTheme="minorEastAsia"/>
              </w:rPr>
              <w:t>4</w:t>
            </w:r>
          </w:p>
        </w:tc>
        <w:tc>
          <w:tcPr>
            <w:tcW w:w="3427" w:type="dxa"/>
          </w:tcPr>
          <w:p w14:paraId="46FCFF19" w14:textId="2395C0A5" w:rsidR="003228C0" w:rsidRPr="004859C8" w:rsidRDefault="003228C0" w:rsidP="003228C0">
            <w:pPr>
              <w:pStyle w:val="TMGTableText"/>
              <w:spacing w:before="10" w:after="10"/>
              <w:ind w:left="0"/>
            </w:pPr>
            <w:r w:rsidRPr="0051590D">
              <w:rPr>
                <w:rFonts w:eastAsiaTheme="minorEastAsia"/>
              </w:rPr>
              <w:t>Axles 6-7 Spacing</w:t>
            </w:r>
            <w:r>
              <w:rPr>
                <w:rFonts w:eastAsiaTheme="minorEastAsia"/>
              </w:rPr>
              <w:t xml:space="preserve"> (ASP6)</w:t>
            </w:r>
          </w:p>
        </w:tc>
        <w:tc>
          <w:tcPr>
            <w:tcW w:w="1479" w:type="dxa"/>
          </w:tcPr>
          <w:p w14:paraId="72D32A16" w14:textId="430C47CB" w:rsidR="003228C0" w:rsidRPr="004859C8" w:rsidRDefault="003228C0" w:rsidP="00B71607">
            <w:pPr>
              <w:pStyle w:val="TMGTableText"/>
              <w:spacing w:before="10" w:after="10"/>
              <w:ind w:left="0"/>
              <w:jc w:val="center"/>
            </w:pPr>
            <w:r w:rsidRPr="00FE386D">
              <w:rPr>
                <w:rFonts w:eastAsiaTheme="minorEastAsia"/>
              </w:rPr>
              <w:t>Integer</w:t>
            </w:r>
          </w:p>
        </w:tc>
        <w:tc>
          <w:tcPr>
            <w:tcW w:w="1669" w:type="dxa"/>
          </w:tcPr>
          <w:p w14:paraId="2A027D30" w14:textId="492B0605" w:rsidR="003228C0" w:rsidRPr="00C251E9" w:rsidRDefault="003228C0" w:rsidP="00B71607">
            <w:pPr>
              <w:pStyle w:val="TMGTableText"/>
              <w:spacing w:before="10" w:after="10"/>
              <w:ind w:left="0"/>
              <w:jc w:val="center"/>
            </w:pPr>
            <w:r>
              <w:rPr>
                <w:rFonts w:eastAsiaTheme="minorEastAsia"/>
              </w:rPr>
              <w:t>Req.</w:t>
            </w:r>
            <w:r w:rsidRPr="0051590D">
              <w:rPr>
                <w:rFonts w:eastAsiaTheme="minorEastAsia"/>
              </w:rPr>
              <w:t>/O</w:t>
            </w:r>
            <w:r>
              <w:rPr>
                <w:rFonts w:eastAsiaTheme="minorEastAsia"/>
              </w:rPr>
              <w:t>pt.</w:t>
            </w:r>
          </w:p>
        </w:tc>
      </w:tr>
      <w:tr w:rsidR="003228C0" w14:paraId="2933EEC0" w14:textId="77777777" w:rsidTr="00657FF5">
        <w:trPr>
          <w:jc w:val="center"/>
        </w:trPr>
        <w:tc>
          <w:tcPr>
            <w:tcW w:w="805" w:type="dxa"/>
          </w:tcPr>
          <w:p w14:paraId="1457CDD6" w14:textId="707FA11A" w:rsidR="003228C0" w:rsidRPr="00C251E9" w:rsidRDefault="003228C0" w:rsidP="00657FF5">
            <w:pPr>
              <w:pStyle w:val="TMGTableText"/>
              <w:spacing w:before="10" w:after="10"/>
              <w:ind w:left="0" w:right="144"/>
              <w:jc w:val="right"/>
              <w:rPr>
                <w:b/>
                <w:bCs/>
              </w:rPr>
            </w:pPr>
            <w:r w:rsidRPr="0051590D">
              <w:rPr>
                <w:rFonts w:eastAsiaTheme="minorEastAsia"/>
              </w:rPr>
              <w:t>26</w:t>
            </w:r>
          </w:p>
        </w:tc>
        <w:tc>
          <w:tcPr>
            <w:tcW w:w="1080" w:type="dxa"/>
          </w:tcPr>
          <w:p w14:paraId="0780432B" w14:textId="6B545D7A" w:rsidR="003228C0" w:rsidRPr="004859C8" w:rsidRDefault="003228C0" w:rsidP="00657FF5">
            <w:pPr>
              <w:pStyle w:val="TMGTableText"/>
              <w:spacing w:before="10" w:after="10"/>
              <w:ind w:left="0"/>
              <w:jc w:val="center"/>
            </w:pPr>
            <w:r>
              <w:t>89</w:t>
            </w:r>
            <w:r w:rsidRPr="00677E20">
              <w:t>-</w:t>
            </w:r>
            <w:r>
              <w:t>93</w:t>
            </w:r>
          </w:p>
        </w:tc>
        <w:tc>
          <w:tcPr>
            <w:tcW w:w="900" w:type="dxa"/>
          </w:tcPr>
          <w:p w14:paraId="5E9D737B" w14:textId="1E92F50D" w:rsidR="003228C0" w:rsidRPr="004859C8" w:rsidRDefault="003228C0" w:rsidP="00657FF5">
            <w:pPr>
              <w:pStyle w:val="TMGTableText"/>
              <w:spacing w:before="10" w:after="10"/>
              <w:ind w:left="0"/>
              <w:jc w:val="center"/>
            </w:pPr>
            <w:r>
              <w:t>5</w:t>
            </w:r>
          </w:p>
        </w:tc>
        <w:tc>
          <w:tcPr>
            <w:tcW w:w="3427" w:type="dxa"/>
          </w:tcPr>
          <w:p w14:paraId="59640BA0" w14:textId="06CFC493" w:rsidR="003228C0" w:rsidRPr="004859C8" w:rsidRDefault="003228C0" w:rsidP="003228C0">
            <w:pPr>
              <w:pStyle w:val="TMGTableText"/>
              <w:spacing w:before="10" w:after="10"/>
              <w:ind w:left="0"/>
            </w:pPr>
            <w:r w:rsidRPr="0051590D">
              <w:rPr>
                <w:rFonts w:eastAsiaTheme="minorEastAsia"/>
              </w:rPr>
              <w:t>Axle Weight 7</w:t>
            </w:r>
            <w:r>
              <w:rPr>
                <w:rFonts w:eastAsiaTheme="minorEastAsia"/>
              </w:rPr>
              <w:t xml:space="preserve"> (AW7)</w:t>
            </w:r>
          </w:p>
        </w:tc>
        <w:tc>
          <w:tcPr>
            <w:tcW w:w="1479" w:type="dxa"/>
          </w:tcPr>
          <w:p w14:paraId="6E1EE013" w14:textId="6BB4EE80" w:rsidR="003228C0" w:rsidRPr="004859C8" w:rsidRDefault="003228C0" w:rsidP="00B71607">
            <w:pPr>
              <w:pStyle w:val="TMGTableText"/>
              <w:spacing w:before="10" w:after="10"/>
              <w:ind w:left="0"/>
              <w:jc w:val="center"/>
            </w:pPr>
            <w:r w:rsidRPr="00FE386D">
              <w:rPr>
                <w:rFonts w:eastAsiaTheme="minorEastAsia"/>
              </w:rPr>
              <w:t>Integer</w:t>
            </w:r>
          </w:p>
        </w:tc>
        <w:tc>
          <w:tcPr>
            <w:tcW w:w="1669" w:type="dxa"/>
          </w:tcPr>
          <w:p w14:paraId="318728C6" w14:textId="172EA00F" w:rsidR="003228C0" w:rsidRPr="00C251E9" w:rsidRDefault="003228C0" w:rsidP="00B71607">
            <w:pPr>
              <w:pStyle w:val="TMGTableText"/>
              <w:spacing w:before="10" w:after="10"/>
              <w:ind w:left="0"/>
              <w:jc w:val="center"/>
            </w:pPr>
            <w:r>
              <w:rPr>
                <w:rFonts w:eastAsiaTheme="minorEastAsia"/>
              </w:rPr>
              <w:t>Req.</w:t>
            </w:r>
            <w:r w:rsidRPr="0051590D">
              <w:rPr>
                <w:rFonts w:eastAsiaTheme="minorEastAsia"/>
              </w:rPr>
              <w:t>/O</w:t>
            </w:r>
            <w:r>
              <w:rPr>
                <w:rFonts w:eastAsiaTheme="minorEastAsia"/>
              </w:rPr>
              <w:t>pt.</w:t>
            </w:r>
          </w:p>
        </w:tc>
      </w:tr>
      <w:tr w:rsidR="003228C0" w14:paraId="59549BF9" w14:textId="77777777" w:rsidTr="00657FF5">
        <w:trPr>
          <w:jc w:val="center"/>
        </w:trPr>
        <w:tc>
          <w:tcPr>
            <w:tcW w:w="805" w:type="dxa"/>
          </w:tcPr>
          <w:p w14:paraId="1BE5B7C8" w14:textId="72BF2727" w:rsidR="003228C0" w:rsidRPr="00C251E9" w:rsidRDefault="003228C0" w:rsidP="00657FF5">
            <w:pPr>
              <w:pStyle w:val="TMGTableText"/>
              <w:spacing w:before="10" w:after="10"/>
              <w:ind w:left="0" w:right="144"/>
              <w:jc w:val="right"/>
              <w:rPr>
                <w:b/>
                <w:bCs/>
              </w:rPr>
            </w:pPr>
            <w:r w:rsidRPr="0051590D">
              <w:rPr>
                <w:rFonts w:eastAsiaTheme="minorEastAsia"/>
              </w:rPr>
              <w:t>27</w:t>
            </w:r>
          </w:p>
        </w:tc>
        <w:tc>
          <w:tcPr>
            <w:tcW w:w="1080" w:type="dxa"/>
          </w:tcPr>
          <w:p w14:paraId="56C82389" w14:textId="2A4DFCDA" w:rsidR="003228C0" w:rsidRPr="004859C8" w:rsidRDefault="003228C0" w:rsidP="00657FF5">
            <w:pPr>
              <w:pStyle w:val="TMGTableText"/>
              <w:spacing w:before="10" w:after="10"/>
              <w:ind w:left="0"/>
              <w:jc w:val="center"/>
            </w:pPr>
            <w:r>
              <w:t>94</w:t>
            </w:r>
            <w:r w:rsidRPr="00677E20">
              <w:t>-</w:t>
            </w:r>
            <w:r>
              <w:t>97</w:t>
            </w:r>
          </w:p>
        </w:tc>
        <w:tc>
          <w:tcPr>
            <w:tcW w:w="900" w:type="dxa"/>
          </w:tcPr>
          <w:p w14:paraId="57081B3B" w14:textId="0CEA1070" w:rsidR="003228C0" w:rsidRPr="004859C8" w:rsidRDefault="003228C0" w:rsidP="00657FF5">
            <w:pPr>
              <w:pStyle w:val="TMGTableText"/>
              <w:spacing w:before="10" w:after="10"/>
              <w:ind w:left="0"/>
              <w:jc w:val="center"/>
            </w:pPr>
            <w:r w:rsidRPr="0051590D">
              <w:rPr>
                <w:rFonts w:eastAsiaTheme="minorEastAsia"/>
              </w:rPr>
              <w:t>4</w:t>
            </w:r>
          </w:p>
        </w:tc>
        <w:tc>
          <w:tcPr>
            <w:tcW w:w="3427" w:type="dxa"/>
          </w:tcPr>
          <w:p w14:paraId="6D0985D1" w14:textId="0A8558FB" w:rsidR="003228C0" w:rsidRPr="004859C8" w:rsidRDefault="003228C0" w:rsidP="003228C0">
            <w:pPr>
              <w:pStyle w:val="TMGTableText"/>
              <w:spacing w:before="10" w:after="10"/>
              <w:ind w:left="0"/>
            </w:pPr>
            <w:r w:rsidRPr="0051590D">
              <w:rPr>
                <w:rFonts w:eastAsiaTheme="minorEastAsia"/>
              </w:rPr>
              <w:t>Axles 7-8 Spacing</w:t>
            </w:r>
            <w:r>
              <w:rPr>
                <w:rFonts w:eastAsiaTheme="minorEastAsia"/>
              </w:rPr>
              <w:t xml:space="preserve"> (ASP7)</w:t>
            </w:r>
          </w:p>
        </w:tc>
        <w:tc>
          <w:tcPr>
            <w:tcW w:w="1479" w:type="dxa"/>
          </w:tcPr>
          <w:p w14:paraId="215F8589" w14:textId="38B342D1" w:rsidR="003228C0" w:rsidRPr="004859C8" w:rsidRDefault="003228C0" w:rsidP="00B71607">
            <w:pPr>
              <w:pStyle w:val="TMGTableText"/>
              <w:spacing w:before="10" w:after="10"/>
              <w:ind w:left="0"/>
              <w:jc w:val="center"/>
            </w:pPr>
            <w:r w:rsidRPr="00FE386D">
              <w:rPr>
                <w:rFonts w:eastAsiaTheme="minorEastAsia"/>
              </w:rPr>
              <w:t>Integer</w:t>
            </w:r>
          </w:p>
        </w:tc>
        <w:tc>
          <w:tcPr>
            <w:tcW w:w="1669" w:type="dxa"/>
          </w:tcPr>
          <w:p w14:paraId="68928DBE" w14:textId="50171727" w:rsidR="003228C0" w:rsidRPr="00C251E9" w:rsidRDefault="003228C0" w:rsidP="00B71607">
            <w:pPr>
              <w:pStyle w:val="TMGTableText"/>
              <w:spacing w:before="10" w:after="10"/>
              <w:ind w:left="0"/>
              <w:jc w:val="center"/>
            </w:pPr>
            <w:r>
              <w:rPr>
                <w:rFonts w:eastAsiaTheme="minorEastAsia"/>
              </w:rPr>
              <w:t>Req.</w:t>
            </w:r>
            <w:r w:rsidRPr="0051590D">
              <w:rPr>
                <w:rFonts w:eastAsiaTheme="minorEastAsia"/>
              </w:rPr>
              <w:t>/O</w:t>
            </w:r>
            <w:r>
              <w:rPr>
                <w:rFonts w:eastAsiaTheme="minorEastAsia"/>
              </w:rPr>
              <w:t>pt.</w:t>
            </w:r>
          </w:p>
        </w:tc>
      </w:tr>
      <w:tr w:rsidR="003228C0" w14:paraId="01D2F002" w14:textId="77777777" w:rsidTr="00657FF5">
        <w:trPr>
          <w:jc w:val="center"/>
        </w:trPr>
        <w:tc>
          <w:tcPr>
            <w:tcW w:w="805" w:type="dxa"/>
          </w:tcPr>
          <w:p w14:paraId="4153ABD8" w14:textId="20E01B19" w:rsidR="003228C0" w:rsidRPr="00C251E9" w:rsidRDefault="003228C0" w:rsidP="00657FF5">
            <w:pPr>
              <w:pStyle w:val="TMGTableText"/>
              <w:spacing w:before="10" w:after="10"/>
              <w:ind w:left="0" w:right="144"/>
              <w:jc w:val="right"/>
              <w:rPr>
                <w:b/>
                <w:bCs/>
              </w:rPr>
            </w:pPr>
            <w:r w:rsidRPr="0051590D">
              <w:rPr>
                <w:rFonts w:eastAsiaTheme="minorEastAsia"/>
              </w:rPr>
              <w:t>28</w:t>
            </w:r>
          </w:p>
        </w:tc>
        <w:tc>
          <w:tcPr>
            <w:tcW w:w="1080" w:type="dxa"/>
          </w:tcPr>
          <w:p w14:paraId="41F45104" w14:textId="507C3F16" w:rsidR="003228C0" w:rsidRPr="004859C8" w:rsidRDefault="003228C0" w:rsidP="00657FF5">
            <w:pPr>
              <w:pStyle w:val="TMGTableText"/>
              <w:spacing w:before="10" w:after="10"/>
              <w:ind w:left="0"/>
              <w:jc w:val="center"/>
            </w:pPr>
            <w:r>
              <w:t>98</w:t>
            </w:r>
            <w:r w:rsidRPr="00677E20">
              <w:t>-</w:t>
            </w:r>
            <w:r>
              <w:t>102</w:t>
            </w:r>
          </w:p>
        </w:tc>
        <w:tc>
          <w:tcPr>
            <w:tcW w:w="900" w:type="dxa"/>
          </w:tcPr>
          <w:p w14:paraId="54D4CE3C" w14:textId="498D00E3" w:rsidR="003228C0" w:rsidRPr="004859C8" w:rsidRDefault="003228C0" w:rsidP="00657FF5">
            <w:pPr>
              <w:pStyle w:val="TMGTableText"/>
              <w:spacing w:before="10" w:after="10"/>
              <w:ind w:left="0"/>
              <w:jc w:val="center"/>
            </w:pPr>
            <w:r>
              <w:t>5</w:t>
            </w:r>
          </w:p>
        </w:tc>
        <w:tc>
          <w:tcPr>
            <w:tcW w:w="3427" w:type="dxa"/>
          </w:tcPr>
          <w:p w14:paraId="02F8AE17" w14:textId="4167F2C2" w:rsidR="003228C0" w:rsidRPr="004859C8" w:rsidRDefault="003228C0" w:rsidP="003228C0">
            <w:pPr>
              <w:pStyle w:val="TMGTableText"/>
              <w:spacing w:before="10" w:after="10"/>
              <w:ind w:left="0"/>
            </w:pPr>
            <w:r w:rsidRPr="0051590D">
              <w:rPr>
                <w:rFonts w:eastAsiaTheme="minorEastAsia"/>
              </w:rPr>
              <w:t>Axle Weight 8</w:t>
            </w:r>
            <w:r>
              <w:rPr>
                <w:rFonts w:eastAsiaTheme="minorEastAsia"/>
              </w:rPr>
              <w:t xml:space="preserve"> (AW8)</w:t>
            </w:r>
          </w:p>
        </w:tc>
        <w:tc>
          <w:tcPr>
            <w:tcW w:w="1479" w:type="dxa"/>
          </w:tcPr>
          <w:p w14:paraId="193B571D" w14:textId="4BD8E4B4" w:rsidR="003228C0" w:rsidRPr="004859C8" w:rsidRDefault="003228C0" w:rsidP="00B71607">
            <w:pPr>
              <w:pStyle w:val="TMGTableText"/>
              <w:spacing w:before="10" w:after="10"/>
              <w:ind w:left="0"/>
              <w:jc w:val="center"/>
            </w:pPr>
            <w:r w:rsidRPr="00FE386D">
              <w:rPr>
                <w:rFonts w:eastAsiaTheme="minorEastAsia"/>
              </w:rPr>
              <w:t>Integer</w:t>
            </w:r>
          </w:p>
        </w:tc>
        <w:tc>
          <w:tcPr>
            <w:tcW w:w="1669" w:type="dxa"/>
          </w:tcPr>
          <w:p w14:paraId="1489B434" w14:textId="5ACA9A44" w:rsidR="003228C0" w:rsidRPr="00C251E9" w:rsidRDefault="003228C0" w:rsidP="00B71607">
            <w:pPr>
              <w:pStyle w:val="TMGTableText"/>
              <w:spacing w:before="10" w:after="10"/>
              <w:ind w:left="0"/>
              <w:jc w:val="center"/>
            </w:pPr>
            <w:r>
              <w:rPr>
                <w:rFonts w:eastAsiaTheme="minorEastAsia"/>
              </w:rPr>
              <w:t>Req.</w:t>
            </w:r>
            <w:r w:rsidRPr="0051590D">
              <w:rPr>
                <w:rFonts w:eastAsiaTheme="minorEastAsia"/>
              </w:rPr>
              <w:t>/O</w:t>
            </w:r>
            <w:r>
              <w:rPr>
                <w:rFonts w:eastAsiaTheme="minorEastAsia"/>
              </w:rPr>
              <w:t>pt.</w:t>
            </w:r>
          </w:p>
        </w:tc>
      </w:tr>
      <w:tr w:rsidR="003228C0" w14:paraId="335ADAE4" w14:textId="77777777" w:rsidTr="00657FF5">
        <w:trPr>
          <w:jc w:val="center"/>
        </w:trPr>
        <w:tc>
          <w:tcPr>
            <w:tcW w:w="805" w:type="dxa"/>
          </w:tcPr>
          <w:p w14:paraId="66F1B796" w14:textId="298D0A7B" w:rsidR="003228C0" w:rsidRPr="00C251E9" w:rsidRDefault="003228C0" w:rsidP="00657FF5">
            <w:pPr>
              <w:pStyle w:val="TMGTableText"/>
              <w:spacing w:before="10" w:after="10"/>
              <w:ind w:left="0" w:right="144"/>
              <w:jc w:val="right"/>
              <w:rPr>
                <w:b/>
                <w:bCs/>
              </w:rPr>
            </w:pPr>
            <w:r w:rsidRPr="0051590D">
              <w:rPr>
                <w:rFonts w:eastAsiaTheme="minorEastAsia"/>
              </w:rPr>
              <w:t>29</w:t>
            </w:r>
          </w:p>
        </w:tc>
        <w:tc>
          <w:tcPr>
            <w:tcW w:w="1080" w:type="dxa"/>
          </w:tcPr>
          <w:p w14:paraId="621CDE64" w14:textId="22D7DA1E" w:rsidR="003228C0" w:rsidRPr="004859C8" w:rsidRDefault="003228C0" w:rsidP="00657FF5">
            <w:pPr>
              <w:pStyle w:val="TMGTableText"/>
              <w:spacing w:before="10" w:after="10"/>
              <w:ind w:left="0"/>
              <w:jc w:val="center"/>
            </w:pPr>
            <w:r>
              <w:t>103</w:t>
            </w:r>
            <w:r w:rsidRPr="00677E20">
              <w:t>-</w:t>
            </w:r>
            <w:r>
              <w:t>106</w:t>
            </w:r>
          </w:p>
        </w:tc>
        <w:tc>
          <w:tcPr>
            <w:tcW w:w="900" w:type="dxa"/>
          </w:tcPr>
          <w:p w14:paraId="088C878F" w14:textId="4DD764AC" w:rsidR="003228C0" w:rsidRPr="004859C8" w:rsidRDefault="003228C0" w:rsidP="00657FF5">
            <w:pPr>
              <w:pStyle w:val="TMGTableText"/>
              <w:spacing w:before="10" w:after="10"/>
              <w:ind w:left="0"/>
              <w:jc w:val="center"/>
            </w:pPr>
            <w:r w:rsidRPr="0051590D">
              <w:rPr>
                <w:rFonts w:eastAsiaTheme="minorEastAsia"/>
              </w:rPr>
              <w:t>4</w:t>
            </w:r>
          </w:p>
        </w:tc>
        <w:tc>
          <w:tcPr>
            <w:tcW w:w="3427" w:type="dxa"/>
          </w:tcPr>
          <w:p w14:paraId="12393BA3" w14:textId="5B3E0807" w:rsidR="003228C0" w:rsidRPr="004859C8" w:rsidRDefault="003228C0" w:rsidP="003228C0">
            <w:pPr>
              <w:pStyle w:val="TMGTableText"/>
              <w:spacing w:before="10" w:after="10"/>
              <w:ind w:left="0"/>
            </w:pPr>
            <w:r w:rsidRPr="0051590D">
              <w:rPr>
                <w:rFonts w:eastAsiaTheme="minorEastAsia"/>
              </w:rPr>
              <w:t>Axles 8-9 Spacing</w:t>
            </w:r>
            <w:r>
              <w:rPr>
                <w:rFonts w:eastAsiaTheme="minorEastAsia"/>
              </w:rPr>
              <w:t xml:space="preserve"> (ASP8)</w:t>
            </w:r>
          </w:p>
        </w:tc>
        <w:tc>
          <w:tcPr>
            <w:tcW w:w="1479" w:type="dxa"/>
          </w:tcPr>
          <w:p w14:paraId="38B1A904" w14:textId="75C6E3CF" w:rsidR="003228C0" w:rsidRPr="004859C8" w:rsidRDefault="003228C0" w:rsidP="00B71607">
            <w:pPr>
              <w:pStyle w:val="TMGTableText"/>
              <w:spacing w:before="10" w:after="10"/>
              <w:ind w:left="0"/>
              <w:jc w:val="center"/>
            </w:pPr>
            <w:r w:rsidRPr="00FE386D">
              <w:rPr>
                <w:rFonts w:eastAsiaTheme="minorEastAsia"/>
              </w:rPr>
              <w:t>Integer</w:t>
            </w:r>
          </w:p>
        </w:tc>
        <w:tc>
          <w:tcPr>
            <w:tcW w:w="1669" w:type="dxa"/>
          </w:tcPr>
          <w:p w14:paraId="12ADDF43" w14:textId="6A1E7249" w:rsidR="003228C0" w:rsidRPr="00C251E9" w:rsidRDefault="003228C0" w:rsidP="00B71607">
            <w:pPr>
              <w:pStyle w:val="TMGTableText"/>
              <w:spacing w:before="10" w:after="10"/>
              <w:ind w:left="0"/>
              <w:jc w:val="center"/>
            </w:pPr>
            <w:r>
              <w:rPr>
                <w:rFonts w:eastAsiaTheme="minorEastAsia"/>
              </w:rPr>
              <w:t>Req.</w:t>
            </w:r>
            <w:r w:rsidRPr="0051590D">
              <w:rPr>
                <w:rFonts w:eastAsiaTheme="minorEastAsia"/>
              </w:rPr>
              <w:t>/O</w:t>
            </w:r>
            <w:r>
              <w:rPr>
                <w:rFonts w:eastAsiaTheme="minorEastAsia"/>
              </w:rPr>
              <w:t>pt.</w:t>
            </w:r>
          </w:p>
        </w:tc>
      </w:tr>
      <w:tr w:rsidR="003228C0" w14:paraId="18CD4259" w14:textId="77777777" w:rsidTr="00657FF5">
        <w:trPr>
          <w:jc w:val="center"/>
        </w:trPr>
        <w:tc>
          <w:tcPr>
            <w:tcW w:w="805" w:type="dxa"/>
          </w:tcPr>
          <w:p w14:paraId="7220D50C" w14:textId="2D133E8D" w:rsidR="003228C0" w:rsidRPr="00C251E9" w:rsidRDefault="003228C0" w:rsidP="00657FF5">
            <w:pPr>
              <w:pStyle w:val="TMGTableText"/>
              <w:spacing w:before="10" w:after="10"/>
              <w:ind w:left="0" w:right="144"/>
              <w:jc w:val="right"/>
              <w:rPr>
                <w:b/>
                <w:bCs/>
              </w:rPr>
            </w:pPr>
            <w:r w:rsidRPr="0051590D">
              <w:rPr>
                <w:rFonts w:eastAsiaTheme="minorEastAsia"/>
              </w:rPr>
              <w:t>30</w:t>
            </w:r>
          </w:p>
        </w:tc>
        <w:tc>
          <w:tcPr>
            <w:tcW w:w="1080" w:type="dxa"/>
          </w:tcPr>
          <w:p w14:paraId="709A2B16" w14:textId="56536D81" w:rsidR="003228C0" w:rsidRPr="004859C8" w:rsidRDefault="003228C0" w:rsidP="00657FF5">
            <w:pPr>
              <w:pStyle w:val="TMGTableText"/>
              <w:spacing w:before="10" w:after="10"/>
              <w:ind w:left="0"/>
              <w:jc w:val="center"/>
            </w:pPr>
            <w:r>
              <w:t>107</w:t>
            </w:r>
            <w:r w:rsidRPr="00677E20">
              <w:t>-</w:t>
            </w:r>
            <w:r>
              <w:t>111</w:t>
            </w:r>
          </w:p>
        </w:tc>
        <w:tc>
          <w:tcPr>
            <w:tcW w:w="900" w:type="dxa"/>
          </w:tcPr>
          <w:p w14:paraId="6573E366" w14:textId="599CD63D" w:rsidR="003228C0" w:rsidRPr="004859C8" w:rsidRDefault="003228C0" w:rsidP="00657FF5">
            <w:pPr>
              <w:pStyle w:val="TMGTableText"/>
              <w:spacing w:before="10" w:after="10"/>
              <w:ind w:left="0"/>
              <w:jc w:val="center"/>
            </w:pPr>
            <w:r>
              <w:t>5</w:t>
            </w:r>
          </w:p>
        </w:tc>
        <w:tc>
          <w:tcPr>
            <w:tcW w:w="3427" w:type="dxa"/>
          </w:tcPr>
          <w:p w14:paraId="29E7BC5D" w14:textId="70D3BCF8" w:rsidR="003228C0" w:rsidRPr="004859C8" w:rsidRDefault="003228C0" w:rsidP="003228C0">
            <w:pPr>
              <w:pStyle w:val="TMGTableText"/>
              <w:spacing w:before="10" w:after="10"/>
              <w:ind w:left="0"/>
            </w:pPr>
            <w:r w:rsidRPr="0051590D">
              <w:rPr>
                <w:rFonts w:eastAsiaTheme="minorEastAsia"/>
              </w:rPr>
              <w:t>Axle Weight 9</w:t>
            </w:r>
            <w:r>
              <w:rPr>
                <w:rFonts w:eastAsiaTheme="minorEastAsia"/>
              </w:rPr>
              <w:t xml:space="preserve"> (AW9)</w:t>
            </w:r>
          </w:p>
        </w:tc>
        <w:tc>
          <w:tcPr>
            <w:tcW w:w="1479" w:type="dxa"/>
          </w:tcPr>
          <w:p w14:paraId="3A31FC60" w14:textId="06057BFF" w:rsidR="003228C0" w:rsidRPr="004859C8" w:rsidRDefault="003228C0" w:rsidP="00B71607">
            <w:pPr>
              <w:pStyle w:val="TMGTableText"/>
              <w:spacing w:before="10" w:after="10"/>
              <w:ind w:left="0"/>
              <w:jc w:val="center"/>
            </w:pPr>
            <w:r w:rsidRPr="00FE386D">
              <w:rPr>
                <w:rFonts w:eastAsiaTheme="minorEastAsia"/>
              </w:rPr>
              <w:t>Integer</w:t>
            </w:r>
          </w:p>
        </w:tc>
        <w:tc>
          <w:tcPr>
            <w:tcW w:w="1669" w:type="dxa"/>
          </w:tcPr>
          <w:p w14:paraId="2AABB862" w14:textId="1B728988" w:rsidR="003228C0" w:rsidRPr="00C251E9" w:rsidRDefault="003228C0" w:rsidP="00B71607">
            <w:pPr>
              <w:pStyle w:val="TMGTableText"/>
              <w:spacing w:before="10" w:after="10"/>
              <w:ind w:left="0"/>
              <w:jc w:val="center"/>
            </w:pPr>
            <w:r>
              <w:rPr>
                <w:rFonts w:eastAsiaTheme="minorEastAsia"/>
              </w:rPr>
              <w:t>Req.</w:t>
            </w:r>
            <w:r w:rsidRPr="0051590D">
              <w:rPr>
                <w:rFonts w:eastAsiaTheme="minorEastAsia"/>
              </w:rPr>
              <w:t>/O</w:t>
            </w:r>
            <w:r>
              <w:rPr>
                <w:rFonts w:eastAsiaTheme="minorEastAsia"/>
              </w:rPr>
              <w:t>pt.</w:t>
            </w:r>
          </w:p>
        </w:tc>
      </w:tr>
      <w:tr w:rsidR="003228C0" w14:paraId="649F6529" w14:textId="77777777" w:rsidTr="00657FF5">
        <w:trPr>
          <w:jc w:val="center"/>
        </w:trPr>
        <w:tc>
          <w:tcPr>
            <w:tcW w:w="805" w:type="dxa"/>
          </w:tcPr>
          <w:p w14:paraId="20000594" w14:textId="4FEB0AF4" w:rsidR="003228C0" w:rsidRPr="00C251E9" w:rsidRDefault="003228C0" w:rsidP="00657FF5">
            <w:pPr>
              <w:pStyle w:val="TMGTableText"/>
              <w:spacing w:before="10" w:after="10"/>
              <w:ind w:left="0" w:right="144"/>
              <w:jc w:val="right"/>
              <w:rPr>
                <w:b/>
                <w:bCs/>
              </w:rPr>
            </w:pPr>
            <w:r w:rsidRPr="0051590D">
              <w:rPr>
                <w:rFonts w:eastAsiaTheme="minorEastAsia"/>
              </w:rPr>
              <w:t>31</w:t>
            </w:r>
          </w:p>
        </w:tc>
        <w:tc>
          <w:tcPr>
            <w:tcW w:w="1080" w:type="dxa"/>
          </w:tcPr>
          <w:p w14:paraId="3BE2C50D" w14:textId="07100511" w:rsidR="003228C0" w:rsidRPr="004859C8" w:rsidRDefault="003228C0" w:rsidP="00657FF5">
            <w:pPr>
              <w:pStyle w:val="TMGTableText"/>
              <w:spacing w:before="10" w:after="10"/>
              <w:ind w:left="0"/>
              <w:jc w:val="center"/>
            </w:pPr>
            <w:r>
              <w:t>11</w:t>
            </w:r>
            <w:r w:rsidRPr="00677E20">
              <w:t>2-</w:t>
            </w:r>
            <w:r>
              <w:t>11</w:t>
            </w:r>
            <w:r w:rsidRPr="00677E20">
              <w:t>5</w:t>
            </w:r>
          </w:p>
        </w:tc>
        <w:tc>
          <w:tcPr>
            <w:tcW w:w="900" w:type="dxa"/>
          </w:tcPr>
          <w:p w14:paraId="05AE513D" w14:textId="0C9F092A" w:rsidR="003228C0" w:rsidRPr="004859C8" w:rsidRDefault="003228C0" w:rsidP="00657FF5">
            <w:pPr>
              <w:pStyle w:val="TMGTableText"/>
              <w:spacing w:before="10" w:after="10"/>
              <w:ind w:left="0"/>
              <w:jc w:val="center"/>
            </w:pPr>
            <w:r w:rsidRPr="0051590D">
              <w:rPr>
                <w:rFonts w:eastAsiaTheme="minorEastAsia"/>
              </w:rPr>
              <w:t>4</w:t>
            </w:r>
          </w:p>
        </w:tc>
        <w:tc>
          <w:tcPr>
            <w:tcW w:w="3427" w:type="dxa"/>
          </w:tcPr>
          <w:p w14:paraId="0B6F544D" w14:textId="4C2F3546" w:rsidR="003228C0" w:rsidRPr="004859C8" w:rsidRDefault="003228C0" w:rsidP="003228C0">
            <w:pPr>
              <w:pStyle w:val="TMGTableText"/>
              <w:spacing w:before="10" w:after="10"/>
              <w:ind w:left="0"/>
            </w:pPr>
            <w:r w:rsidRPr="0051590D">
              <w:rPr>
                <w:rFonts w:eastAsiaTheme="minorEastAsia"/>
              </w:rPr>
              <w:t>Axles 9-10 Spacing</w:t>
            </w:r>
            <w:r>
              <w:rPr>
                <w:rFonts w:eastAsiaTheme="minorEastAsia"/>
              </w:rPr>
              <w:t xml:space="preserve"> (ASP9)</w:t>
            </w:r>
          </w:p>
        </w:tc>
        <w:tc>
          <w:tcPr>
            <w:tcW w:w="1479" w:type="dxa"/>
          </w:tcPr>
          <w:p w14:paraId="4901B7DB" w14:textId="4A1B8DEE" w:rsidR="003228C0" w:rsidRPr="004859C8" w:rsidRDefault="003228C0" w:rsidP="00B71607">
            <w:pPr>
              <w:pStyle w:val="TMGTableText"/>
              <w:spacing w:before="10" w:after="10"/>
              <w:ind w:left="0"/>
              <w:jc w:val="center"/>
            </w:pPr>
            <w:r w:rsidRPr="00FE386D">
              <w:rPr>
                <w:rFonts w:eastAsiaTheme="minorEastAsia"/>
              </w:rPr>
              <w:t>Integer</w:t>
            </w:r>
          </w:p>
        </w:tc>
        <w:tc>
          <w:tcPr>
            <w:tcW w:w="1669" w:type="dxa"/>
          </w:tcPr>
          <w:p w14:paraId="61F73B00" w14:textId="1E20B296" w:rsidR="003228C0" w:rsidRPr="00C251E9" w:rsidRDefault="003228C0" w:rsidP="00B71607">
            <w:pPr>
              <w:pStyle w:val="TMGTableText"/>
              <w:spacing w:before="10" w:after="10"/>
              <w:ind w:left="0"/>
              <w:jc w:val="center"/>
            </w:pPr>
            <w:r>
              <w:rPr>
                <w:rFonts w:eastAsiaTheme="minorEastAsia"/>
              </w:rPr>
              <w:t>Req.</w:t>
            </w:r>
            <w:r w:rsidRPr="0051590D">
              <w:rPr>
                <w:rFonts w:eastAsiaTheme="minorEastAsia"/>
              </w:rPr>
              <w:t>/O</w:t>
            </w:r>
            <w:r>
              <w:rPr>
                <w:rFonts w:eastAsiaTheme="minorEastAsia"/>
              </w:rPr>
              <w:t>pt.</w:t>
            </w:r>
          </w:p>
        </w:tc>
      </w:tr>
      <w:tr w:rsidR="003228C0" w14:paraId="4B5FD8BB" w14:textId="77777777" w:rsidTr="00657FF5">
        <w:trPr>
          <w:jc w:val="center"/>
        </w:trPr>
        <w:tc>
          <w:tcPr>
            <w:tcW w:w="805" w:type="dxa"/>
          </w:tcPr>
          <w:p w14:paraId="4A2D2F16" w14:textId="676FF723" w:rsidR="003228C0" w:rsidRPr="00C251E9" w:rsidRDefault="003228C0" w:rsidP="00657FF5">
            <w:pPr>
              <w:pStyle w:val="TMGTableText"/>
              <w:spacing w:before="10" w:after="10"/>
              <w:ind w:left="0" w:right="144"/>
              <w:jc w:val="right"/>
              <w:rPr>
                <w:b/>
                <w:bCs/>
              </w:rPr>
            </w:pPr>
            <w:r w:rsidRPr="0051590D">
              <w:rPr>
                <w:rFonts w:eastAsiaTheme="minorEastAsia"/>
              </w:rPr>
              <w:t>32</w:t>
            </w:r>
          </w:p>
        </w:tc>
        <w:tc>
          <w:tcPr>
            <w:tcW w:w="1080" w:type="dxa"/>
          </w:tcPr>
          <w:p w14:paraId="42744BDD" w14:textId="4D68E0F7" w:rsidR="003228C0" w:rsidRPr="004859C8" w:rsidRDefault="003228C0" w:rsidP="00657FF5">
            <w:pPr>
              <w:pStyle w:val="TMGTableText"/>
              <w:spacing w:before="10" w:after="10"/>
              <w:ind w:left="0"/>
              <w:jc w:val="center"/>
            </w:pPr>
            <w:r>
              <w:t>11</w:t>
            </w:r>
            <w:r w:rsidRPr="00677E20">
              <w:t>6-</w:t>
            </w:r>
            <w:r>
              <w:t>120</w:t>
            </w:r>
          </w:p>
        </w:tc>
        <w:tc>
          <w:tcPr>
            <w:tcW w:w="900" w:type="dxa"/>
          </w:tcPr>
          <w:p w14:paraId="028F3435" w14:textId="4B8B491C" w:rsidR="003228C0" w:rsidRPr="004859C8" w:rsidRDefault="003228C0" w:rsidP="00657FF5">
            <w:pPr>
              <w:pStyle w:val="TMGTableText"/>
              <w:spacing w:before="10" w:after="10"/>
              <w:ind w:left="0"/>
              <w:jc w:val="center"/>
            </w:pPr>
            <w:r>
              <w:t>5</w:t>
            </w:r>
          </w:p>
        </w:tc>
        <w:tc>
          <w:tcPr>
            <w:tcW w:w="3427" w:type="dxa"/>
          </w:tcPr>
          <w:p w14:paraId="4AD27D57" w14:textId="398087CC" w:rsidR="003228C0" w:rsidRPr="004859C8" w:rsidRDefault="003228C0" w:rsidP="003228C0">
            <w:pPr>
              <w:pStyle w:val="TMGTableText"/>
              <w:spacing w:before="10" w:after="10"/>
              <w:ind w:left="0"/>
            </w:pPr>
            <w:r w:rsidRPr="0051590D">
              <w:rPr>
                <w:rFonts w:eastAsiaTheme="minorEastAsia"/>
              </w:rPr>
              <w:t>Axle Weight 10</w:t>
            </w:r>
            <w:r>
              <w:rPr>
                <w:rFonts w:eastAsiaTheme="minorEastAsia"/>
              </w:rPr>
              <w:t xml:space="preserve"> (AW10)</w:t>
            </w:r>
          </w:p>
        </w:tc>
        <w:tc>
          <w:tcPr>
            <w:tcW w:w="1479" w:type="dxa"/>
          </w:tcPr>
          <w:p w14:paraId="081F5345" w14:textId="12E661AC" w:rsidR="003228C0" w:rsidRPr="004859C8" w:rsidRDefault="003228C0" w:rsidP="00B71607">
            <w:pPr>
              <w:pStyle w:val="TMGTableText"/>
              <w:spacing w:before="10" w:after="10"/>
              <w:ind w:left="0"/>
              <w:jc w:val="center"/>
            </w:pPr>
            <w:r w:rsidRPr="00FE386D">
              <w:rPr>
                <w:rFonts w:eastAsiaTheme="minorEastAsia"/>
              </w:rPr>
              <w:t>Integer</w:t>
            </w:r>
          </w:p>
        </w:tc>
        <w:tc>
          <w:tcPr>
            <w:tcW w:w="1669" w:type="dxa"/>
          </w:tcPr>
          <w:p w14:paraId="34CA2E52" w14:textId="2B3DBEAE" w:rsidR="003228C0" w:rsidRPr="00C251E9" w:rsidRDefault="003228C0" w:rsidP="00B71607">
            <w:pPr>
              <w:pStyle w:val="TMGTableText"/>
              <w:spacing w:before="10" w:after="10"/>
              <w:ind w:left="0"/>
              <w:jc w:val="center"/>
            </w:pPr>
            <w:r>
              <w:rPr>
                <w:rFonts w:eastAsiaTheme="minorEastAsia"/>
              </w:rPr>
              <w:t>Req.</w:t>
            </w:r>
            <w:r w:rsidRPr="0051590D">
              <w:rPr>
                <w:rFonts w:eastAsiaTheme="minorEastAsia"/>
              </w:rPr>
              <w:t>/O</w:t>
            </w:r>
            <w:r>
              <w:rPr>
                <w:rFonts w:eastAsiaTheme="minorEastAsia"/>
              </w:rPr>
              <w:t>pt.</w:t>
            </w:r>
          </w:p>
        </w:tc>
      </w:tr>
      <w:tr w:rsidR="003228C0" w14:paraId="1F4D6371" w14:textId="77777777" w:rsidTr="00657FF5">
        <w:trPr>
          <w:jc w:val="center"/>
        </w:trPr>
        <w:tc>
          <w:tcPr>
            <w:tcW w:w="805" w:type="dxa"/>
          </w:tcPr>
          <w:p w14:paraId="6DF117F2" w14:textId="7AC8DFB7" w:rsidR="003228C0" w:rsidRPr="00C251E9" w:rsidRDefault="003228C0" w:rsidP="00657FF5">
            <w:pPr>
              <w:pStyle w:val="TMGTableText"/>
              <w:spacing w:before="10" w:after="10"/>
              <w:ind w:left="0" w:right="144"/>
              <w:jc w:val="right"/>
              <w:rPr>
                <w:b/>
                <w:bCs/>
              </w:rPr>
            </w:pPr>
            <w:r w:rsidRPr="0051590D">
              <w:rPr>
                <w:rFonts w:eastAsiaTheme="minorEastAsia"/>
              </w:rPr>
              <w:t>33</w:t>
            </w:r>
          </w:p>
        </w:tc>
        <w:tc>
          <w:tcPr>
            <w:tcW w:w="1080" w:type="dxa"/>
          </w:tcPr>
          <w:p w14:paraId="553096E0" w14:textId="073B6CC4" w:rsidR="003228C0" w:rsidRPr="004859C8" w:rsidRDefault="003228C0" w:rsidP="00657FF5">
            <w:pPr>
              <w:pStyle w:val="TMGTableText"/>
              <w:spacing w:before="10" w:after="10"/>
              <w:ind w:left="0"/>
              <w:jc w:val="center"/>
            </w:pPr>
            <w:r>
              <w:t>121</w:t>
            </w:r>
            <w:r w:rsidRPr="00677E20">
              <w:t>-1</w:t>
            </w:r>
            <w:r>
              <w:t>24</w:t>
            </w:r>
          </w:p>
        </w:tc>
        <w:tc>
          <w:tcPr>
            <w:tcW w:w="900" w:type="dxa"/>
          </w:tcPr>
          <w:p w14:paraId="4418E1DF" w14:textId="0DC8434B" w:rsidR="003228C0" w:rsidRPr="004859C8" w:rsidRDefault="003228C0" w:rsidP="00657FF5">
            <w:pPr>
              <w:pStyle w:val="TMGTableText"/>
              <w:spacing w:before="10" w:after="10"/>
              <w:ind w:left="0"/>
              <w:jc w:val="center"/>
            </w:pPr>
            <w:r w:rsidRPr="0051590D">
              <w:rPr>
                <w:rFonts w:eastAsiaTheme="minorEastAsia"/>
              </w:rPr>
              <w:t>4</w:t>
            </w:r>
          </w:p>
        </w:tc>
        <w:tc>
          <w:tcPr>
            <w:tcW w:w="3427" w:type="dxa"/>
          </w:tcPr>
          <w:p w14:paraId="099E0154" w14:textId="56CA4E8A" w:rsidR="003228C0" w:rsidRPr="004859C8" w:rsidRDefault="003228C0" w:rsidP="003228C0">
            <w:pPr>
              <w:pStyle w:val="TMGTableText"/>
              <w:spacing w:before="10" w:after="10"/>
              <w:ind w:left="0"/>
            </w:pPr>
            <w:r w:rsidRPr="0051590D">
              <w:rPr>
                <w:rFonts w:eastAsiaTheme="minorEastAsia"/>
              </w:rPr>
              <w:t>Axles 10-11 Spacing</w:t>
            </w:r>
            <w:r>
              <w:rPr>
                <w:rFonts w:eastAsiaTheme="minorEastAsia"/>
              </w:rPr>
              <w:t xml:space="preserve"> (ASP10)</w:t>
            </w:r>
          </w:p>
        </w:tc>
        <w:tc>
          <w:tcPr>
            <w:tcW w:w="1479" w:type="dxa"/>
          </w:tcPr>
          <w:p w14:paraId="0DA5BAC7" w14:textId="2A33EA1D" w:rsidR="003228C0" w:rsidRPr="004859C8" w:rsidRDefault="003228C0" w:rsidP="00B71607">
            <w:pPr>
              <w:pStyle w:val="TMGTableText"/>
              <w:spacing w:before="10" w:after="10"/>
              <w:ind w:left="0"/>
              <w:jc w:val="center"/>
            </w:pPr>
            <w:r w:rsidRPr="00FE386D">
              <w:rPr>
                <w:rFonts w:eastAsiaTheme="minorEastAsia"/>
              </w:rPr>
              <w:t>Integer</w:t>
            </w:r>
          </w:p>
        </w:tc>
        <w:tc>
          <w:tcPr>
            <w:tcW w:w="1669" w:type="dxa"/>
          </w:tcPr>
          <w:p w14:paraId="29FB0DCE" w14:textId="24A9162E" w:rsidR="003228C0" w:rsidRPr="00C251E9" w:rsidRDefault="003228C0" w:rsidP="00B71607">
            <w:pPr>
              <w:pStyle w:val="TMGTableText"/>
              <w:spacing w:before="10" w:after="10"/>
              <w:ind w:left="0"/>
              <w:jc w:val="center"/>
            </w:pPr>
            <w:r>
              <w:rPr>
                <w:rFonts w:eastAsiaTheme="minorEastAsia"/>
              </w:rPr>
              <w:t>Req.</w:t>
            </w:r>
            <w:r w:rsidRPr="0051590D">
              <w:rPr>
                <w:rFonts w:eastAsiaTheme="minorEastAsia"/>
              </w:rPr>
              <w:t>/O</w:t>
            </w:r>
            <w:r>
              <w:rPr>
                <w:rFonts w:eastAsiaTheme="minorEastAsia"/>
              </w:rPr>
              <w:t>pt.</w:t>
            </w:r>
          </w:p>
        </w:tc>
      </w:tr>
      <w:tr w:rsidR="003228C0" w14:paraId="709FB6C0" w14:textId="77777777" w:rsidTr="00657FF5">
        <w:trPr>
          <w:jc w:val="center"/>
        </w:trPr>
        <w:tc>
          <w:tcPr>
            <w:tcW w:w="805" w:type="dxa"/>
          </w:tcPr>
          <w:p w14:paraId="4B8CD140" w14:textId="05C4ACAB" w:rsidR="003228C0" w:rsidRPr="00C251E9" w:rsidRDefault="003228C0" w:rsidP="00657FF5">
            <w:pPr>
              <w:pStyle w:val="TMGTableText"/>
              <w:spacing w:before="10" w:after="10"/>
              <w:ind w:left="0" w:right="144"/>
              <w:jc w:val="right"/>
              <w:rPr>
                <w:b/>
                <w:bCs/>
              </w:rPr>
            </w:pPr>
            <w:r w:rsidRPr="0051590D">
              <w:rPr>
                <w:rFonts w:eastAsiaTheme="minorEastAsia"/>
              </w:rPr>
              <w:t>34</w:t>
            </w:r>
          </w:p>
        </w:tc>
        <w:tc>
          <w:tcPr>
            <w:tcW w:w="1080" w:type="dxa"/>
          </w:tcPr>
          <w:p w14:paraId="7444522D" w14:textId="6520DA4F" w:rsidR="003228C0" w:rsidRPr="004859C8" w:rsidRDefault="003228C0" w:rsidP="00657FF5">
            <w:pPr>
              <w:pStyle w:val="TMGTableText"/>
              <w:spacing w:before="10" w:after="10"/>
              <w:ind w:left="0"/>
              <w:jc w:val="center"/>
            </w:pPr>
            <w:r w:rsidRPr="00677E20">
              <w:t>1</w:t>
            </w:r>
            <w:r>
              <w:t>25</w:t>
            </w:r>
            <w:r w:rsidRPr="00677E20">
              <w:t>-1</w:t>
            </w:r>
            <w:r>
              <w:t>29</w:t>
            </w:r>
          </w:p>
        </w:tc>
        <w:tc>
          <w:tcPr>
            <w:tcW w:w="900" w:type="dxa"/>
          </w:tcPr>
          <w:p w14:paraId="7C117597" w14:textId="3863FFC3" w:rsidR="003228C0" w:rsidRPr="004859C8" w:rsidRDefault="003228C0" w:rsidP="00657FF5">
            <w:pPr>
              <w:pStyle w:val="TMGTableText"/>
              <w:spacing w:before="10" w:after="10"/>
              <w:ind w:left="0"/>
              <w:jc w:val="center"/>
            </w:pPr>
            <w:r>
              <w:t>5</w:t>
            </w:r>
          </w:p>
        </w:tc>
        <w:tc>
          <w:tcPr>
            <w:tcW w:w="3427" w:type="dxa"/>
          </w:tcPr>
          <w:p w14:paraId="44D91BC4" w14:textId="6F57A75D" w:rsidR="003228C0" w:rsidRPr="004859C8" w:rsidRDefault="003228C0" w:rsidP="003228C0">
            <w:pPr>
              <w:pStyle w:val="TMGTableText"/>
              <w:spacing w:before="10" w:after="10"/>
              <w:ind w:left="0"/>
            </w:pPr>
            <w:r w:rsidRPr="0051590D">
              <w:rPr>
                <w:rFonts w:eastAsiaTheme="minorEastAsia"/>
              </w:rPr>
              <w:t>Axle Weight 11</w:t>
            </w:r>
            <w:r>
              <w:rPr>
                <w:rFonts w:eastAsiaTheme="minorEastAsia"/>
              </w:rPr>
              <w:t xml:space="preserve"> (AW11)</w:t>
            </w:r>
          </w:p>
        </w:tc>
        <w:tc>
          <w:tcPr>
            <w:tcW w:w="1479" w:type="dxa"/>
          </w:tcPr>
          <w:p w14:paraId="580AF60F" w14:textId="10BC9E96" w:rsidR="003228C0" w:rsidRPr="004859C8" w:rsidRDefault="003228C0" w:rsidP="00B71607">
            <w:pPr>
              <w:pStyle w:val="TMGTableText"/>
              <w:spacing w:before="10" w:after="10"/>
              <w:ind w:left="0"/>
              <w:jc w:val="center"/>
            </w:pPr>
            <w:r w:rsidRPr="00FE386D">
              <w:rPr>
                <w:rFonts w:eastAsiaTheme="minorEastAsia"/>
              </w:rPr>
              <w:t>Integer</w:t>
            </w:r>
          </w:p>
        </w:tc>
        <w:tc>
          <w:tcPr>
            <w:tcW w:w="1669" w:type="dxa"/>
          </w:tcPr>
          <w:p w14:paraId="378E7EB5" w14:textId="2F1CA773" w:rsidR="003228C0" w:rsidRPr="00C251E9" w:rsidRDefault="003228C0" w:rsidP="00B71607">
            <w:pPr>
              <w:pStyle w:val="TMGTableText"/>
              <w:spacing w:before="10" w:after="10"/>
              <w:ind w:left="0"/>
              <w:jc w:val="center"/>
            </w:pPr>
            <w:r>
              <w:rPr>
                <w:rFonts w:eastAsiaTheme="minorEastAsia"/>
              </w:rPr>
              <w:t>Req.</w:t>
            </w:r>
            <w:r w:rsidRPr="0051590D">
              <w:rPr>
                <w:rFonts w:eastAsiaTheme="minorEastAsia"/>
              </w:rPr>
              <w:t>/O</w:t>
            </w:r>
            <w:r>
              <w:rPr>
                <w:rFonts w:eastAsiaTheme="minorEastAsia"/>
              </w:rPr>
              <w:t>pt.</w:t>
            </w:r>
          </w:p>
        </w:tc>
      </w:tr>
      <w:tr w:rsidR="003228C0" w14:paraId="61ADE80F" w14:textId="77777777" w:rsidTr="00657FF5">
        <w:trPr>
          <w:jc w:val="center"/>
        </w:trPr>
        <w:tc>
          <w:tcPr>
            <w:tcW w:w="805" w:type="dxa"/>
          </w:tcPr>
          <w:p w14:paraId="685DE204" w14:textId="7950C123" w:rsidR="003228C0" w:rsidRPr="00C251E9" w:rsidRDefault="003228C0" w:rsidP="00657FF5">
            <w:pPr>
              <w:pStyle w:val="TMGTableText"/>
              <w:spacing w:before="10" w:after="10"/>
              <w:ind w:left="0" w:right="144"/>
              <w:jc w:val="right"/>
              <w:rPr>
                <w:b/>
                <w:bCs/>
              </w:rPr>
            </w:pPr>
            <w:r w:rsidRPr="0051590D">
              <w:rPr>
                <w:rFonts w:eastAsiaTheme="minorEastAsia"/>
              </w:rPr>
              <w:t>35</w:t>
            </w:r>
          </w:p>
        </w:tc>
        <w:tc>
          <w:tcPr>
            <w:tcW w:w="1080" w:type="dxa"/>
          </w:tcPr>
          <w:p w14:paraId="74B4A4D1" w14:textId="2A0E5E2B" w:rsidR="003228C0" w:rsidRPr="004859C8" w:rsidRDefault="003228C0" w:rsidP="00657FF5">
            <w:pPr>
              <w:pStyle w:val="TMGTableText"/>
              <w:spacing w:before="10" w:after="10"/>
              <w:ind w:left="0"/>
              <w:jc w:val="center"/>
            </w:pPr>
            <w:r w:rsidRPr="00677E20">
              <w:t>1</w:t>
            </w:r>
            <w:r>
              <w:t>3</w:t>
            </w:r>
            <w:r w:rsidRPr="00677E20">
              <w:t>0-1</w:t>
            </w:r>
            <w:r>
              <w:t>33</w:t>
            </w:r>
          </w:p>
        </w:tc>
        <w:tc>
          <w:tcPr>
            <w:tcW w:w="900" w:type="dxa"/>
          </w:tcPr>
          <w:p w14:paraId="5123DF4F" w14:textId="043F543E" w:rsidR="003228C0" w:rsidRPr="004859C8" w:rsidRDefault="003228C0" w:rsidP="00657FF5">
            <w:pPr>
              <w:pStyle w:val="TMGTableText"/>
              <w:spacing w:before="10" w:after="10"/>
              <w:ind w:left="0"/>
              <w:jc w:val="center"/>
            </w:pPr>
            <w:r w:rsidRPr="0051590D">
              <w:rPr>
                <w:rFonts w:eastAsiaTheme="minorEastAsia"/>
              </w:rPr>
              <w:t>4</w:t>
            </w:r>
          </w:p>
        </w:tc>
        <w:tc>
          <w:tcPr>
            <w:tcW w:w="3427" w:type="dxa"/>
          </w:tcPr>
          <w:p w14:paraId="683ABD6D" w14:textId="0C8F7FFB" w:rsidR="003228C0" w:rsidRPr="004859C8" w:rsidRDefault="003228C0" w:rsidP="003228C0">
            <w:pPr>
              <w:pStyle w:val="TMGTableText"/>
              <w:spacing w:before="10" w:after="10"/>
              <w:ind w:left="0"/>
            </w:pPr>
            <w:r w:rsidRPr="0051590D">
              <w:rPr>
                <w:rFonts w:eastAsiaTheme="minorEastAsia"/>
              </w:rPr>
              <w:t>Axles 11-12 Spacing</w:t>
            </w:r>
            <w:r>
              <w:rPr>
                <w:rFonts w:eastAsiaTheme="minorEastAsia"/>
              </w:rPr>
              <w:t xml:space="preserve"> (ASP11)</w:t>
            </w:r>
          </w:p>
        </w:tc>
        <w:tc>
          <w:tcPr>
            <w:tcW w:w="1479" w:type="dxa"/>
          </w:tcPr>
          <w:p w14:paraId="3081F5BC" w14:textId="782D6F29" w:rsidR="003228C0" w:rsidRPr="004859C8" w:rsidRDefault="003228C0" w:rsidP="00B71607">
            <w:pPr>
              <w:pStyle w:val="TMGTableText"/>
              <w:spacing w:before="10" w:after="10"/>
              <w:ind w:left="0"/>
              <w:jc w:val="center"/>
            </w:pPr>
            <w:r w:rsidRPr="00FE386D">
              <w:rPr>
                <w:rFonts w:eastAsiaTheme="minorEastAsia"/>
              </w:rPr>
              <w:t>Integer</w:t>
            </w:r>
          </w:p>
        </w:tc>
        <w:tc>
          <w:tcPr>
            <w:tcW w:w="1669" w:type="dxa"/>
          </w:tcPr>
          <w:p w14:paraId="04BCFFCC" w14:textId="020E73D4" w:rsidR="003228C0" w:rsidRPr="00C251E9" w:rsidRDefault="003228C0" w:rsidP="00B71607">
            <w:pPr>
              <w:pStyle w:val="TMGTableText"/>
              <w:spacing w:before="10" w:after="10"/>
              <w:ind w:left="0"/>
              <w:jc w:val="center"/>
            </w:pPr>
            <w:r>
              <w:rPr>
                <w:rFonts w:eastAsiaTheme="minorEastAsia"/>
              </w:rPr>
              <w:t>Req.</w:t>
            </w:r>
            <w:r w:rsidRPr="0051590D">
              <w:rPr>
                <w:rFonts w:eastAsiaTheme="minorEastAsia"/>
              </w:rPr>
              <w:t>/O</w:t>
            </w:r>
            <w:r>
              <w:rPr>
                <w:rFonts w:eastAsiaTheme="minorEastAsia"/>
              </w:rPr>
              <w:t>pt.</w:t>
            </w:r>
          </w:p>
        </w:tc>
      </w:tr>
      <w:tr w:rsidR="003228C0" w14:paraId="1EAFD320" w14:textId="77777777" w:rsidTr="00657FF5">
        <w:trPr>
          <w:jc w:val="center"/>
        </w:trPr>
        <w:tc>
          <w:tcPr>
            <w:tcW w:w="805" w:type="dxa"/>
          </w:tcPr>
          <w:p w14:paraId="0F27F43D" w14:textId="7F7E5046" w:rsidR="003228C0" w:rsidRPr="00C251E9" w:rsidRDefault="003228C0" w:rsidP="00657FF5">
            <w:pPr>
              <w:pStyle w:val="TMGTableText"/>
              <w:spacing w:before="10" w:after="10"/>
              <w:ind w:left="0" w:right="144"/>
              <w:jc w:val="right"/>
              <w:rPr>
                <w:b/>
                <w:bCs/>
              </w:rPr>
            </w:pPr>
            <w:r w:rsidRPr="0051590D">
              <w:rPr>
                <w:rFonts w:eastAsiaTheme="minorEastAsia"/>
              </w:rPr>
              <w:t>36</w:t>
            </w:r>
          </w:p>
        </w:tc>
        <w:tc>
          <w:tcPr>
            <w:tcW w:w="1080" w:type="dxa"/>
          </w:tcPr>
          <w:p w14:paraId="0AD17C2A" w14:textId="2BDA797B" w:rsidR="003228C0" w:rsidRPr="004859C8" w:rsidRDefault="003228C0" w:rsidP="00657FF5">
            <w:pPr>
              <w:pStyle w:val="TMGTableText"/>
              <w:spacing w:before="10" w:after="10"/>
              <w:ind w:left="0"/>
              <w:jc w:val="center"/>
            </w:pPr>
            <w:r w:rsidRPr="00677E20">
              <w:t>1</w:t>
            </w:r>
            <w:r>
              <w:t>34</w:t>
            </w:r>
            <w:r w:rsidRPr="00677E20">
              <w:t>-1</w:t>
            </w:r>
            <w:r>
              <w:t>38</w:t>
            </w:r>
          </w:p>
        </w:tc>
        <w:tc>
          <w:tcPr>
            <w:tcW w:w="900" w:type="dxa"/>
          </w:tcPr>
          <w:p w14:paraId="21950CFC" w14:textId="77732B63" w:rsidR="003228C0" w:rsidRPr="004859C8" w:rsidRDefault="003228C0" w:rsidP="00657FF5">
            <w:pPr>
              <w:pStyle w:val="TMGTableText"/>
              <w:spacing w:before="10" w:after="10"/>
              <w:ind w:left="0"/>
              <w:jc w:val="center"/>
            </w:pPr>
            <w:r>
              <w:t>5</w:t>
            </w:r>
          </w:p>
        </w:tc>
        <w:tc>
          <w:tcPr>
            <w:tcW w:w="3427" w:type="dxa"/>
          </w:tcPr>
          <w:p w14:paraId="6E1FDC16" w14:textId="18546EA7" w:rsidR="003228C0" w:rsidRPr="004859C8" w:rsidRDefault="003228C0" w:rsidP="003228C0">
            <w:pPr>
              <w:pStyle w:val="TMGTableText"/>
              <w:spacing w:before="10" w:after="10"/>
              <w:ind w:left="0"/>
            </w:pPr>
            <w:r w:rsidRPr="0051590D">
              <w:rPr>
                <w:rFonts w:eastAsiaTheme="minorEastAsia"/>
              </w:rPr>
              <w:t>Axle Weight 12</w:t>
            </w:r>
            <w:r>
              <w:rPr>
                <w:rFonts w:eastAsiaTheme="minorEastAsia"/>
              </w:rPr>
              <w:t xml:space="preserve"> (AW12)</w:t>
            </w:r>
          </w:p>
        </w:tc>
        <w:tc>
          <w:tcPr>
            <w:tcW w:w="1479" w:type="dxa"/>
          </w:tcPr>
          <w:p w14:paraId="574B2F34" w14:textId="7A25AF8B" w:rsidR="003228C0" w:rsidRPr="004859C8" w:rsidRDefault="003228C0" w:rsidP="00B71607">
            <w:pPr>
              <w:pStyle w:val="TMGTableText"/>
              <w:spacing w:before="10" w:after="10"/>
              <w:ind w:left="0"/>
              <w:jc w:val="center"/>
            </w:pPr>
            <w:r w:rsidRPr="00FE386D">
              <w:rPr>
                <w:rFonts w:eastAsiaTheme="minorEastAsia"/>
              </w:rPr>
              <w:t>Integer</w:t>
            </w:r>
          </w:p>
        </w:tc>
        <w:tc>
          <w:tcPr>
            <w:tcW w:w="1669" w:type="dxa"/>
          </w:tcPr>
          <w:p w14:paraId="7A5EB76D" w14:textId="12CC4E27" w:rsidR="003228C0" w:rsidRPr="00C251E9" w:rsidRDefault="003228C0" w:rsidP="00B71607">
            <w:pPr>
              <w:pStyle w:val="TMGTableText"/>
              <w:spacing w:before="10" w:after="10"/>
              <w:ind w:left="0"/>
              <w:jc w:val="center"/>
            </w:pPr>
            <w:r>
              <w:rPr>
                <w:rFonts w:eastAsiaTheme="minorEastAsia"/>
              </w:rPr>
              <w:t>Req.</w:t>
            </w:r>
            <w:r w:rsidRPr="0051590D">
              <w:rPr>
                <w:rFonts w:eastAsiaTheme="minorEastAsia"/>
              </w:rPr>
              <w:t>/O</w:t>
            </w:r>
            <w:r>
              <w:rPr>
                <w:rFonts w:eastAsiaTheme="minorEastAsia"/>
              </w:rPr>
              <w:t>pt.</w:t>
            </w:r>
          </w:p>
        </w:tc>
      </w:tr>
      <w:tr w:rsidR="003228C0" w14:paraId="5671B047" w14:textId="77777777" w:rsidTr="00657FF5">
        <w:trPr>
          <w:jc w:val="center"/>
        </w:trPr>
        <w:tc>
          <w:tcPr>
            <w:tcW w:w="805" w:type="dxa"/>
          </w:tcPr>
          <w:p w14:paraId="2E5A2FC8" w14:textId="42DEDBF3" w:rsidR="003228C0" w:rsidRPr="00C251E9" w:rsidRDefault="003228C0" w:rsidP="00657FF5">
            <w:pPr>
              <w:pStyle w:val="TMGTableText"/>
              <w:spacing w:before="10" w:after="10"/>
              <w:ind w:left="0" w:right="144"/>
              <w:jc w:val="right"/>
              <w:rPr>
                <w:b/>
                <w:bCs/>
              </w:rPr>
            </w:pPr>
            <w:r w:rsidRPr="0051590D">
              <w:rPr>
                <w:rFonts w:eastAsiaTheme="minorEastAsia"/>
              </w:rPr>
              <w:t>37</w:t>
            </w:r>
          </w:p>
        </w:tc>
        <w:tc>
          <w:tcPr>
            <w:tcW w:w="1080" w:type="dxa"/>
          </w:tcPr>
          <w:p w14:paraId="54E7D1B7" w14:textId="7AA8D270" w:rsidR="003228C0" w:rsidRPr="004859C8" w:rsidRDefault="003228C0" w:rsidP="00657FF5">
            <w:pPr>
              <w:pStyle w:val="TMGTableText"/>
              <w:spacing w:before="10" w:after="10"/>
              <w:ind w:left="0"/>
              <w:jc w:val="center"/>
            </w:pPr>
            <w:r w:rsidRPr="00677E20">
              <w:t>1</w:t>
            </w:r>
            <w:r>
              <w:t>39</w:t>
            </w:r>
            <w:r w:rsidRPr="00677E20">
              <w:t>-1</w:t>
            </w:r>
            <w:r>
              <w:t>42</w:t>
            </w:r>
          </w:p>
        </w:tc>
        <w:tc>
          <w:tcPr>
            <w:tcW w:w="900" w:type="dxa"/>
          </w:tcPr>
          <w:p w14:paraId="5C652CF3" w14:textId="399E18BC" w:rsidR="003228C0" w:rsidRPr="004859C8" w:rsidRDefault="003228C0" w:rsidP="00657FF5">
            <w:pPr>
              <w:pStyle w:val="TMGTableText"/>
              <w:spacing w:before="10" w:after="10"/>
              <w:ind w:left="0"/>
              <w:jc w:val="center"/>
            </w:pPr>
            <w:r w:rsidRPr="0051590D">
              <w:rPr>
                <w:rFonts w:eastAsiaTheme="minorEastAsia"/>
              </w:rPr>
              <w:t>4</w:t>
            </w:r>
          </w:p>
        </w:tc>
        <w:tc>
          <w:tcPr>
            <w:tcW w:w="3427" w:type="dxa"/>
          </w:tcPr>
          <w:p w14:paraId="307A4D74" w14:textId="0127BC7E" w:rsidR="003228C0" w:rsidRPr="004859C8" w:rsidRDefault="003228C0" w:rsidP="003228C0">
            <w:pPr>
              <w:pStyle w:val="TMGTableText"/>
              <w:spacing w:before="10" w:after="10"/>
              <w:ind w:left="0"/>
            </w:pPr>
            <w:r w:rsidRPr="0051590D">
              <w:rPr>
                <w:rFonts w:eastAsiaTheme="minorEastAsia"/>
              </w:rPr>
              <w:t>Axles 12-13 Spacing</w:t>
            </w:r>
            <w:r>
              <w:rPr>
                <w:rFonts w:eastAsiaTheme="minorEastAsia"/>
              </w:rPr>
              <w:t xml:space="preserve"> (ASP12)</w:t>
            </w:r>
          </w:p>
        </w:tc>
        <w:tc>
          <w:tcPr>
            <w:tcW w:w="1479" w:type="dxa"/>
          </w:tcPr>
          <w:p w14:paraId="5EFA398C" w14:textId="6C76D93B" w:rsidR="003228C0" w:rsidRPr="004859C8" w:rsidRDefault="003228C0" w:rsidP="00B71607">
            <w:pPr>
              <w:pStyle w:val="TMGTableText"/>
              <w:spacing w:before="10" w:after="10"/>
              <w:ind w:left="0"/>
              <w:jc w:val="center"/>
            </w:pPr>
            <w:r w:rsidRPr="00FE386D">
              <w:rPr>
                <w:rFonts w:eastAsiaTheme="minorEastAsia"/>
              </w:rPr>
              <w:t>Integer</w:t>
            </w:r>
          </w:p>
        </w:tc>
        <w:tc>
          <w:tcPr>
            <w:tcW w:w="1669" w:type="dxa"/>
          </w:tcPr>
          <w:p w14:paraId="407EAAF8" w14:textId="267893C3" w:rsidR="003228C0" w:rsidRPr="00C251E9" w:rsidRDefault="003228C0" w:rsidP="00B71607">
            <w:pPr>
              <w:pStyle w:val="TMGTableText"/>
              <w:spacing w:before="10" w:after="10"/>
              <w:ind w:left="0"/>
              <w:jc w:val="center"/>
            </w:pPr>
            <w:r>
              <w:rPr>
                <w:rFonts w:eastAsiaTheme="minorEastAsia"/>
              </w:rPr>
              <w:t>Req.</w:t>
            </w:r>
            <w:r w:rsidRPr="0051590D">
              <w:rPr>
                <w:rFonts w:eastAsiaTheme="minorEastAsia"/>
              </w:rPr>
              <w:t>/O</w:t>
            </w:r>
            <w:r>
              <w:rPr>
                <w:rFonts w:eastAsiaTheme="minorEastAsia"/>
              </w:rPr>
              <w:t>pt.</w:t>
            </w:r>
          </w:p>
        </w:tc>
      </w:tr>
      <w:tr w:rsidR="003228C0" w14:paraId="69888EF8" w14:textId="77777777" w:rsidTr="00657FF5">
        <w:trPr>
          <w:jc w:val="center"/>
        </w:trPr>
        <w:tc>
          <w:tcPr>
            <w:tcW w:w="805" w:type="dxa"/>
          </w:tcPr>
          <w:p w14:paraId="56429657" w14:textId="7AC9716F" w:rsidR="003228C0" w:rsidRPr="00C251E9" w:rsidRDefault="003228C0" w:rsidP="00657FF5">
            <w:pPr>
              <w:pStyle w:val="TMGTableText"/>
              <w:spacing w:before="10" w:after="10"/>
              <w:ind w:left="0" w:right="144"/>
              <w:jc w:val="right"/>
              <w:rPr>
                <w:b/>
                <w:bCs/>
              </w:rPr>
            </w:pPr>
            <w:r w:rsidRPr="0051590D">
              <w:rPr>
                <w:rFonts w:eastAsiaTheme="minorEastAsia"/>
              </w:rPr>
              <w:t>38</w:t>
            </w:r>
          </w:p>
        </w:tc>
        <w:tc>
          <w:tcPr>
            <w:tcW w:w="1080" w:type="dxa"/>
          </w:tcPr>
          <w:p w14:paraId="538E75D3" w14:textId="1D11A81C" w:rsidR="003228C0" w:rsidRPr="004859C8" w:rsidRDefault="003228C0" w:rsidP="00657FF5">
            <w:pPr>
              <w:pStyle w:val="TMGTableText"/>
              <w:spacing w:before="10" w:after="10"/>
              <w:ind w:left="0"/>
              <w:jc w:val="center"/>
            </w:pPr>
            <w:r w:rsidRPr="00677E20">
              <w:t>1</w:t>
            </w:r>
            <w:r>
              <w:t>43</w:t>
            </w:r>
            <w:r w:rsidRPr="00677E20">
              <w:t>-1</w:t>
            </w:r>
            <w:r>
              <w:t>47</w:t>
            </w:r>
          </w:p>
        </w:tc>
        <w:tc>
          <w:tcPr>
            <w:tcW w:w="900" w:type="dxa"/>
          </w:tcPr>
          <w:p w14:paraId="1B4B00E9" w14:textId="496B0C85" w:rsidR="003228C0" w:rsidRPr="004859C8" w:rsidRDefault="003228C0" w:rsidP="00657FF5">
            <w:pPr>
              <w:pStyle w:val="TMGTableText"/>
              <w:spacing w:before="10" w:after="10"/>
              <w:ind w:left="0"/>
              <w:jc w:val="center"/>
            </w:pPr>
            <w:r>
              <w:t>5</w:t>
            </w:r>
          </w:p>
        </w:tc>
        <w:tc>
          <w:tcPr>
            <w:tcW w:w="3427" w:type="dxa"/>
          </w:tcPr>
          <w:p w14:paraId="276EBBA5" w14:textId="2ACC15B2" w:rsidR="003228C0" w:rsidRPr="004859C8" w:rsidRDefault="003228C0" w:rsidP="003228C0">
            <w:pPr>
              <w:pStyle w:val="TMGTableText"/>
              <w:spacing w:before="10" w:after="10"/>
              <w:ind w:left="0"/>
            </w:pPr>
            <w:r w:rsidRPr="0051590D">
              <w:rPr>
                <w:rFonts w:eastAsiaTheme="minorEastAsia"/>
              </w:rPr>
              <w:t>Axle Weight 13</w:t>
            </w:r>
            <w:r>
              <w:rPr>
                <w:rFonts w:eastAsiaTheme="minorEastAsia"/>
              </w:rPr>
              <w:t xml:space="preserve"> (AW13)</w:t>
            </w:r>
          </w:p>
        </w:tc>
        <w:tc>
          <w:tcPr>
            <w:tcW w:w="1479" w:type="dxa"/>
          </w:tcPr>
          <w:p w14:paraId="5E2169FA" w14:textId="72691D29" w:rsidR="003228C0" w:rsidRPr="004859C8" w:rsidRDefault="003228C0" w:rsidP="00B71607">
            <w:pPr>
              <w:pStyle w:val="TMGTableText"/>
              <w:spacing w:before="10" w:after="10"/>
              <w:ind w:left="0"/>
              <w:jc w:val="center"/>
            </w:pPr>
            <w:r w:rsidRPr="00FE386D">
              <w:rPr>
                <w:rFonts w:eastAsiaTheme="minorEastAsia"/>
              </w:rPr>
              <w:t>Integer</w:t>
            </w:r>
          </w:p>
        </w:tc>
        <w:tc>
          <w:tcPr>
            <w:tcW w:w="1669" w:type="dxa"/>
          </w:tcPr>
          <w:p w14:paraId="16E1A521" w14:textId="4590A362" w:rsidR="003228C0" w:rsidRPr="00C251E9" w:rsidRDefault="003228C0" w:rsidP="00B71607">
            <w:pPr>
              <w:pStyle w:val="TMGTableText"/>
              <w:spacing w:before="10" w:after="10"/>
              <w:ind w:left="0"/>
              <w:jc w:val="center"/>
            </w:pPr>
            <w:r>
              <w:rPr>
                <w:rFonts w:eastAsiaTheme="minorEastAsia"/>
              </w:rPr>
              <w:t>Req.</w:t>
            </w:r>
            <w:r w:rsidRPr="0051590D">
              <w:rPr>
                <w:rFonts w:eastAsiaTheme="minorEastAsia"/>
              </w:rPr>
              <w:t>/O</w:t>
            </w:r>
            <w:r>
              <w:rPr>
                <w:rFonts w:eastAsiaTheme="minorEastAsia"/>
              </w:rPr>
              <w:t>pt.</w:t>
            </w:r>
          </w:p>
        </w:tc>
      </w:tr>
    </w:tbl>
    <w:p w14:paraId="36E8F435" w14:textId="77777777" w:rsidR="009B7AED" w:rsidRDefault="009B7AED" w:rsidP="003228C0">
      <w:pPr>
        <w:pStyle w:val="Source"/>
        <w:spacing w:before="60" w:after="60"/>
        <w:ind w:left="540" w:hanging="540"/>
      </w:pPr>
      <w:r>
        <w:t>Note:</w:t>
      </w:r>
      <w:r>
        <w:tab/>
        <w:t xml:space="preserve">Fields designated as </w:t>
      </w:r>
      <w:r>
        <w:rPr>
          <w:rStyle w:val="Italic"/>
          <w:iCs/>
        </w:rPr>
        <w:t>Required</w:t>
      </w:r>
      <w:r>
        <w:t xml:space="preserve"> must be reported.</w:t>
      </w:r>
    </w:p>
    <w:p w14:paraId="21ED6BB9" w14:textId="77777777" w:rsidR="009B7AED" w:rsidRDefault="009B7AED" w:rsidP="003228C0">
      <w:pPr>
        <w:pStyle w:val="Source"/>
        <w:spacing w:before="60" w:after="60"/>
        <w:ind w:left="540" w:hanging="540"/>
      </w:pPr>
      <w:r>
        <w:tab/>
        <w:t xml:space="preserve">Fields designated as </w:t>
      </w:r>
      <w:r>
        <w:rPr>
          <w:rStyle w:val="Italic"/>
          <w:iCs/>
        </w:rPr>
        <w:t>Optional</w:t>
      </w:r>
      <w:r>
        <w:t xml:space="preserve"> are not required to be reported.</w:t>
      </w:r>
    </w:p>
    <w:p w14:paraId="2C4A6336" w14:textId="77777777" w:rsidR="009B7AED" w:rsidRDefault="009B7AED" w:rsidP="003228C0">
      <w:pPr>
        <w:pStyle w:val="Source"/>
        <w:spacing w:before="60" w:after="60"/>
        <w:ind w:left="540" w:hanging="540"/>
      </w:pPr>
      <w:r>
        <w:tab/>
        <w:t xml:space="preserve">Fields designated as </w:t>
      </w:r>
      <w:r>
        <w:rPr>
          <w:rStyle w:val="Italic"/>
          <w:iCs/>
        </w:rPr>
        <w:t>Required/Optional</w:t>
      </w:r>
      <w:r>
        <w:t xml:space="preserve"> could be either required or optional based on values used for other related fields.</w:t>
      </w:r>
    </w:p>
    <w:p w14:paraId="3CCCE1A3" w14:textId="035ED854" w:rsidR="009B7AED" w:rsidRDefault="009B7AED" w:rsidP="003228C0">
      <w:pPr>
        <w:pStyle w:val="Source"/>
        <w:spacing w:before="60" w:after="60"/>
      </w:pPr>
      <w:r>
        <w:t>The number of axles determines the number of axle weight and spacing fields.</w:t>
      </w:r>
    </w:p>
    <w:p w14:paraId="1AF90DF2" w14:textId="689DBBFF" w:rsidR="009B7AED" w:rsidRDefault="009B7AED" w:rsidP="003228C0">
      <w:pPr>
        <w:pStyle w:val="Source"/>
        <w:spacing w:before="60" w:after="60"/>
      </w:pPr>
      <w:r>
        <w:t>For those vehicles with fourteen or more axles, add the appropriate number of additional fields.</w:t>
      </w:r>
    </w:p>
    <w:p w14:paraId="5F98CDAF" w14:textId="0642094C" w:rsidR="00F36C9B" w:rsidRDefault="009B7AED" w:rsidP="003228C0">
      <w:pPr>
        <w:pStyle w:val="Source"/>
        <w:spacing w:before="60" w:after="60"/>
      </w:pPr>
      <w:r>
        <w:t>Additional axle spacing and axle weight fields may be added in the same manner if needed up to a maximum of 25 axles per record.</w:t>
      </w:r>
    </w:p>
    <w:p w14:paraId="0417AB70" w14:textId="77777777" w:rsidR="009B7AED" w:rsidRDefault="009B7AED" w:rsidP="00A35EAF">
      <w:pPr>
        <w:pStyle w:val="BodyText"/>
      </w:pPr>
      <w:r>
        <w:t>The fields for the weight record are:</w:t>
      </w:r>
    </w:p>
    <w:p w14:paraId="1B189AA4" w14:textId="77777777" w:rsidR="009B7AED" w:rsidRDefault="009B7AED">
      <w:pPr>
        <w:pStyle w:val="ListCS1BulletsandNumbering"/>
        <w:numPr>
          <w:ilvl w:val="0"/>
          <w:numId w:val="48"/>
        </w:numPr>
        <w:spacing w:before="0" w:after="120"/>
        <w:ind w:left="648"/>
      </w:pPr>
      <w:r>
        <w:t>Record Type (Column 1) –</w:t>
      </w:r>
      <w:r w:rsidRPr="00832A39">
        <w:rPr>
          <w:rStyle w:val="Italic"/>
          <w:iCs/>
        </w:rPr>
        <w:t xml:space="preserve"> </w:t>
      </w:r>
      <w:r>
        <w:rPr>
          <w:rStyle w:val="Italic"/>
          <w:iCs/>
        </w:rPr>
        <w:t>Required</w:t>
      </w:r>
    </w:p>
    <w:p w14:paraId="19F14CD6" w14:textId="77777777" w:rsidR="009B7AED" w:rsidRDefault="009B7AED" w:rsidP="00657FF5">
      <w:pPr>
        <w:pStyle w:val="BulletcontinuedBulletsandNumbering"/>
        <w:tabs>
          <w:tab w:val="clear" w:pos="1440"/>
        </w:tabs>
        <w:ind w:left="648"/>
      </w:pPr>
      <w:r>
        <w:t>W = Truck weight record (Code the letter “W” in the first column.)</w:t>
      </w:r>
    </w:p>
    <w:p w14:paraId="591D7D9D" w14:textId="77777777" w:rsidR="009B7AED" w:rsidRDefault="009B7AED">
      <w:pPr>
        <w:pStyle w:val="ListCS1BulletsandNumbering"/>
        <w:numPr>
          <w:ilvl w:val="0"/>
          <w:numId w:val="48"/>
        </w:numPr>
        <w:spacing w:before="0" w:after="120"/>
        <w:ind w:left="648"/>
      </w:pPr>
      <w:r w:rsidRPr="00657FF5">
        <w:t>FIPS</w:t>
      </w:r>
      <w:r>
        <w:rPr>
          <w:rStyle w:val="Bold"/>
        </w:rPr>
        <w:t xml:space="preserve"> State Code</w:t>
      </w:r>
      <w:r>
        <w:t xml:space="preserve"> (Columns 2-3) –</w:t>
      </w:r>
      <w:r>
        <w:rPr>
          <w:rStyle w:val="Italic"/>
          <w:iCs/>
        </w:rPr>
        <w:t xml:space="preserve"> </w:t>
      </w:r>
      <w:r>
        <w:rPr>
          <w:rStyle w:val="bolditalic"/>
        </w:rPr>
        <w:t>Required</w:t>
      </w:r>
      <w:r>
        <w:t xml:space="preserve"> </w:t>
      </w:r>
    </w:p>
    <w:p w14:paraId="5B68E200" w14:textId="4397A490" w:rsidR="009B7AED" w:rsidRDefault="009B7AED" w:rsidP="00657FF5">
      <w:pPr>
        <w:pStyle w:val="BulletcontinuedBulletsandNumbering"/>
        <w:tabs>
          <w:tab w:val="clear" w:pos="1440"/>
        </w:tabs>
        <w:ind w:left="648"/>
      </w:pPr>
      <w:r>
        <w:t xml:space="preserve">See </w:t>
      </w:r>
      <w:r w:rsidR="00031AC7">
        <w:t>S</w:t>
      </w:r>
      <w:r>
        <w:t>ection 4.2, Field #2.</w:t>
      </w:r>
    </w:p>
    <w:p w14:paraId="61B2FE67" w14:textId="0A707C92" w:rsidR="009B7AED" w:rsidRDefault="009B7AED">
      <w:pPr>
        <w:pStyle w:val="ListCS1BulletsandNumbering"/>
        <w:numPr>
          <w:ilvl w:val="0"/>
          <w:numId w:val="48"/>
        </w:numPr>
        <w:spacing w:before="0" w:after="120"/>
        <w:ind w:left="648"/>
      </w:pPr>
      <w:r>
        <w:rPr>
          <w:rStyle w:val="Bold"/>
        </w:rPr>
        <w:t>Station Identification</w:t>
      </w:r>
      <w:r>
        <w:t xml:space="preserve"> (Columns 4-9) –</w:t>
      </w:r>
      <w:r>
        <w:rPr>
          <w:rStyle w:val="Italic"/>
          <w:iCs/>
        </w:rPr>
        <w:t xml:space="preserve"> </w:t>
      </w:r>
      <w:r>
        <w:rPr>
          <w:rStyle w:val="bolditalic"/>
        </w:rPr>
        <w:t>Required</w:t>
      </w:r>
      <w:r>
        <w:t xml:space="preserve"> </w:t>
      </w:r>
    </w:p>
    <w:p w14:paraId="2AD69E8B" w14:textId="772E8B44" w:rsidR="009B7AED" w:rsidRDefault="009B7AED" w:rsidP="00657FF5">
      <w:pPr>
        <w:pStyle w:val="BulletcontinuedBulletsandNumbering"/>
        <w:tabs>
          <w:tab w:val="clear" w:pos="1440"/>
        </w:tabs>
        <w:ind w:left="648"/>
      </w:pPr>
      <w:r>
        <w:t xml:space="preserve">See </w:t>
      </w:r>
      <w:r w:rsidR="00031AC7">
        <w:t>S</w:t>
      </w:r>
      <w:r>
        <w:t>ection 4.2, Field #3.</w:t>
      </w:r>
    </w:p>
    <w:p w14:paraId="068D0E45" w14:textId="0CFF6154" w:rsidR="009B7AED" w:rsidRDefault="009B7AED" w:rsidP="00A35EAF">
      <w:pPr>
        <w:pStyle w:val="BodyText"/>
      </w:pPr>
      <w:r>
        <w:t>This field should be right-justified with unused columns zero-filled.</w:t>
      </w:r>
    </w:p>
    <w:p w14:paraId="6C692363" w14:textId="77777777" w:rsidR="009B7AED" w:rsidRDefault="009B7AED">
      <w:pPr>
        <w:pStyle w:val="ListCS1BulletsandNumbering"/>
        <w:numPr>
          <w:ilvl w:val="0"/>
          <w:numId w:val="48"/>
        </w:numPr>
        <w:spacing w:before="0" w:after="120"/>
        <w:ind w:left="648"/>
      </w:pPr>
      <w:r w:rsidRPr="00657FF5">
        <w:t>Direction</w:t>
      </w:r>
      <w:r>
        <w:rPr>
          <w:rStyle w:val="Bold"/>
        </w:rPr>
        <w:t xml:space="preserve"> of Travel Code</w:t>
      </w:r>
      <w:r>
        <w:t xml:space="preserve"> (Column 10) –</w:t>
      </w:r>
      <w:r>
        <w:rPr>
          <w:rStyle w:val="Italic"/>
          <w:iCs/>
        </w:rPr>
        <w:t xml:space="preserve"> </w:t>
      </w:r>
      <w:r>
        <w:rPr>
          <w:rStyle w:val="bolditalic"/>
        </w:rPr>
        <w:t>Required</w:t>
      </w:r>
      <w:r>
        <w:t xml:space="preserve"> </w:t>
      </w:r>
    </w:p>
    <w:p w14:paraId="187F8142" w14:textId="067944F7" w:rsidR="009B7AED" w:rsidRDefault="009B7AED" w:rsidP="00657FF5">
      <w:pPr>
        <w:pStyle w:val="BulletcontinuedBulletsandNumbering"/>
        <w:tabs>
          <w:tab w:val="clear" w:pos="1440"/>
        </w:tabs>
        <w:ind w:left="648"/>
      </w:pPr>
      <w:r>
        <w:t xml:space="preserve">See </w:t>
      </w:r>
      <w:r w:rsidR="00031AC7">
        <w:t>S</w:t>
      </w:r>
      <w:r>
        <w:t>ection 4.2, Field #4.</w:t>
      </w:r>
    </w:p>
    <w:p w14:paraId="6E8E70DA" w14:textId="77777777" w:rsidR="009B7AED" w:rsidRDefault="009B7AED">
      <w:pPr>
        <w:pStyle w:val="ListCS1BulletsandNumbering"/>
        <w:numPr>
          <w:ilvl w:val="0"/>
          <w:numId w:val="48"/>
        </w:numPr>
        <w:spacing w:before="0" w:after="120"/>
        <w:ind w:left="648"/>
      </w:pPr>
      <w:r w:rsidRPr="00657FF5">
        <w:t>Lane</w:t>
      </w:r>
      <w:r>
        <w:rPr>
          <w:rStyle w:val="Bold"/>
        </w:rPr>
        <w:t xml:space="preserve"> of Travel</w:t>
      </w:r>
      <w:r>
        <w:t xml:space="preserve"> (Column 11) –</w:t>
      </w:r>
      <w:r>
        <w:rPr>
          <w:rStyle w:val="Italic"/>
          <w:iCs/>
        </w:rPr>
        <w:t xml:space="preserve"> </w:t>
      </w:r>
      <w:r>
        <w:rPr>
          <w:rStyle w:val="bolditalic"/>
        </w:rPr>
        <w:t>Required</w:t>
      </w:r>
      <w:r>
        <w:t xml:space="preserve"> </w:t>
      </w:r>
    </w:p>
    <w:p w14:paraId="698C5E05" w14:textId="37DDA93A" w:rsidR="009B7AED" w:rsidRDefault="009B7AED" w:rsidP="00657FF5">
      <w:pPr>
        <w:pStyle w:val="BulletcontinuedBulletsandNumbering"/>
        <w:tabs>
          <w:tab w:val="clear" w:pos="1440"/>
        </w:tabs>
        <w:ind w:left="648"/>
      </w:pPr>
      <w:r>
        <w:t xml:space="preserve">See </w:t>
      </w:r>
      <w:r w:rsidR="00031AC7">
        <w:t>S</w:t>
      </w:r>
      <w:r>
        <w:t>ection 4.2, Field #5.</w:t>
      </w:r>
    </w:p>
    <w:p w14:paraId="48FFC55A" w14:textId="3771419B" w:rsidR="000C48E4" w:rsidRDefault="009B7AED" w:rsidP="00657FF5">
      <w:pPr>
        <w:pStyle w:val="BulletcontinuedBulletsandNumbering"/>
        <w:tabs>
          <w:tab w:val="clear" w:pos="1440"/>
        </w:tabs>
        <w:ind w:left="648"/>
        <w:rPr>
          <w:rStyle w:val="Italic"/>
          <w:i w:val="0"/>
        </w:rPr>
      </w:pPr>
      <w:r>
        <w:t xml:space="preserve">Note: The Station ID, Direction of Travel, and Lane of Travel make up the Station Code. </w:t>
      </w:r>
      <w:r w:rsidRPr="00322C74">
        <w:rPr>
          <w:rStyle w:val="Italic"/>
          <w:i w:val="0"/>
        </w:rPr>
        <w:t>There should be one Station Description record per Station Code.</w:t>
      </w:r>
    </w:p>
    <w:p w14:paraId="0EEEB69F" w14:textId="77777777" w:rsidR="000C48E4" w:rsidRDefault="000C48E4">
      <w:pPr>
        <w:widowControl/>
        <w:suppressAutoHyphens w:val="0"/>
        <w:autoSpaceDE/>
        <w:autoSpaceDN/>
        <w:adjustRightInd/>
        <w:spacing w:after="160" w:line="259" w:lineRule="auto"/>
        <w:jc w:val="left"/>
        <w:textAlignment w:val="auto"/>
        <w:rPr>
          <w:rStyle w:val="Italic"/>
          <w:i w:val="0"/>
          <w:color w:val="auto"/>
        </w:rPr>
      </w:pPr>
      <w:r>
        <w:rPr>
          <w:rStyle w:val="Italic"/>
          <w:i w:val="0"/>
        </w:rPr>
        <w:br w:type="page"/>
      </w:r>
    </w:p>
    <w:p w14:paraId="1742D7E1" w14:textId="77777777" w:rsidR="009B7AED" w:rsidRDefault="009B7AED">
      <w:pPr>
        <w:pStyle w:val="ListCS1BulletsandNumbering"/>
        <w:numPr>
          <w:ilvl w:val="0"/>
          <w:numId w:val="48"/>
        </w:numPr>
        <w:spacing w:before="0" w:after="120"/>
        <w:ind w:left="648"/>
      </w:pPr>
      <w:r w:rsidRPr="00657FF5">
        <w:lastRenderedPageBreak/>
        <w:t>Year</w:t>
      </w:r>
      <w:r>
        <w:rPr>
          <w:rStyle w:val="Bold"/>
        </w:rPr>
        <w:t xml:space="preserve"> of Data</w:t>
      </w:r>
      <w:r>
        <w:t xml:space="preserve"> (Columns 12-15) –</w:t>
      </w:r>
      <w:r>
        <w:rPr>
          <w:rStyle w:val="Italic"/>
          <w:iCs/>
        </w:rPr>
        <w:t xml:space="preserve"> </w:t>
      </w:r>
      <w:r>
        <w:rPr>
          <w:rStyle w:val="bolditalic"/>
        </w:rPr>
        <w:t>Required</w:t>
      </w:r>
      <w:r>
        <w:t xml:space="preserve"> </w:t>
      </w:r>
    </w:p>
    <w:p w14:paraId="7A607F78" w14:textId="3B45723C" w:rsidR="009B7AED" w:rsidRDefault="009B7AED" w:rsidP="00657FF5">
      <w:pPr>
        <w:pStyle w:val="BulletcontinuedBulletsandNumbering"/>
        <w:tabs>
          <w:tab w:val="clear" w:pos="1440"/>
        </w:tabs>
        <w:ind w:left="648"/>
      </w:pPr>
      <w:r>
        <w:t xml:space="preserve">See </w:t>
      </w:r>
      <w:r w:rsidR="00031AC7">
        <w:t>S</w:t>
      </w:r>
      <w:r>
        <w:t>ection 4.2, Field #6.</w:t>
      </w:r>
    </w:p>
    <w:p w14:paraId="6307094A" w14:textId="77777777" w:rsidR="009B7AED" w:rsidRDefault="009B7AED">
      <w:pPr>
        <w:pStyle w:val="ListCS1BulletsandNumbering"/>
        <w:numPr>
          <w:ilvl w:val="0"/>
          <w:numId w:val="48"/>
        </w:numPr>
        <w:spacing w:before="0" w:after="120"/>
        <w:ind w:left="648"/>
      </w:pPr>
      <w:r w:rsidRPr="00657FF5">
        <w:t>Month</w:t>
      </w:r>
      <w:r>
        <w:rPr>
          <w:rStyle w:val="Bold"/>
        </w:rPr>
        <w:t xml:space="preserve"> of Data </w:t>
      </w:r>
      <w:r>
        <w:t>(Columns 16-17) –</w:t>
      </w:r>
      <w:r>
        <w:rPr>
          <w:rStyle w:val="Italic"/>
          <w:iCs/>
        </w:rPr>
        <w:t xml:space="preserve"> </w:t>
      </w:r>
      <w:r>
        <w:rPr>
          <w:rStyle w:val="bolditalic"/>
        </w:rPr>
        <w:t>Required</w:t>
      </w:r>
      <w:r>
        <w:t xml:space="preserve"> </w:t>
      </w:r>
    </w:p>
    <w:p w14:paraId="1FFC4EE6" w14:textId="0CA35C68" w:rsidR="009B7AED" w:rsidRDefault="009B7AED" w:rsidP="00657FF5">
      <w:pPr>
        <w:pStyle w:val="BulletcontinuedBulletsandNumbering"/>
        <w:tabs>
          <w:tab w:val="clear" w:pos="1440"/>
        </w:tabs>
        <w:ind w:left="648"/>
      </w:pPr>
      <w:r>
        <w:t xml:space="preserve">See </w:t>
      </w:r>
      <w:r w:rsidR="00031AC7">
        <w:t>S</w:t>
      </w:r>
      <w:r>
        <w:t>ection 4.3, Field #8.</w:t>
      </w:r>
    </w:p>
    <w:p w14:paraId="2D6BA06D" w14:textId="77777777" w:rsidR="009B7AED" w:rsidRDefault="009B7AED">
      <w:pPr>
        <w:pStyle w:val="ListCS1BulletsandNumbering"/>
        <w:numPr>
          <w:ilvl w:val="0"/>
          <w:numId w:val="48"/>
        </w:numPr>
        <w:spacing w:before="0" w:after="120"/>
        <w:ind w:left="648"/>
      </w:pPr>
      <w:r w:rsidRPr="00657FF5">
        <w:t>Day</w:t>
      </w:r>
      <w:r>
        <w:rPr>
          <w:rStyle w:val="Bold"/>
        </w:rPr>
        <w:t xml:space="preserve"> of Data</w:t>
      </w:r>
      <w:r>
        <w:t xml:space="preserve"> (Columns 18-19) –</w:t>
      </w:r>
      <w:r>
        <w:rPr>
          <w:rStyle w:val="Italic"/>
          <w:iCs/>
        </w:rPr>
        <w:t xml:space="preserve"> </w:t>
      </w:r>
      <w:r>
        <w:rPr>
          <w:rStyle w:val="bolditalic"/>
        </w:rPr>
        <w:t>Required</w:t>
      </w:r>
      <w:r>
        <w:t xml:space="preserve"> </w:t>
      </w:r>
    </w:p>
    <w:p w14:paraId="14F64B65" w14:textId="54CF5AB7" w:rsidR="009B7AED" w:rsidRDefault="009B7AED" w:rsidP="00657FF5">
      <w:pPr>
        <w:pStyle w:val="BulletcontinuedBulletsandNumbering"/>
        <w:tabs>
          <w:tab w:val="clear" w:pos="1440"/>
        </w:tabs>
        <w:ind w:left="648"/>
      </w:pPr>
      <w:r>
        <w:t xml:space="preserve">See </w:t>
      </w:r>
      <w:r w:rsidR="00031AC7">
        <w:t>S</w:t>
      </w:r>
      <w:r>
        <w:t>ection 4.3, Field #9.</w:t>
      </w:r>
    </w:p>
    <w:p w14:paraId="47B71458" w14:textId="77777777" w:rsidR="009B7AED" w:rsidRDefault="009B7AED">
      <w:pPr>
        <w:pStyle w:val="ListCS1BulletsandNumbering"/>
        <w:numPr>
          <w:ilvl w:val="0"/>
          <w:numId w:val="48"/>
        </w:numPr>
        <w:spacing w:before="0" w:after="120"/>
        <w:ind w:left="648"/>
      </w:pPr>
      <w:r w:rsidRPr="00657FF5">
        <w:t>Hour</w:t>
      </w:r>
      <w:r>
        <w:rPr>
          <w:rStyle w:val="Bold"/>
        </w:rPr>
        <w:t xml:space="preserve"> of Data</w:t>
      </w:r>
      <w:r>
        <w:t xml:space="preserve"> (Columns 20-21) –</w:t>
      </w:r>
      <w:r>
        <w:rPr>
          <w:rStyle w:val="Italic"/>
          <w:iCs/>
        </w:rPr>
        <w:t xml:space="preserve"> </w:t>
      </w:r>
      <w:r>
        <w:rPr>
          <w:rStyle w:val="bolditalic"/>
        </w:rPr>
        <w:t>Required</w:t>
      </w:r>
    </w:p>
    <w:p w14:paraId="559445B7" w14:textId="77777777" w:rsidR="009B7AED" w:rsidRDefault="009B7AED" w:rsidP="00657FF5">
      <w:pPr>
        <w:pStyle w:val="BulletcontinuedBulletsandNumbering"/>
        <w:tabs>
          <w:tab w:val="clear" w:pos="1440"/>
        </w:tabs>
        <w:ind w:left="648"/>
      </w:pPr>
      <w:r>
        <w:t>Code the beginning of the hour in which the count was taken:</w:t>
      </w:r>
    </w:p>
    <w:p w14:paraId="34435DD7" w14:textId="77777777" w:rsidR="009B7AED" w:rsidRDefault="009B7AED" w:rsidP="00657FF5">
      <w:pPr>
        <w:pStyle w:val="BulletcontinuedBulletsandNumbering"/>
        <w:tabs>
          <w:tab w:val="clear" w:pos="1440"/>
        </w:tabs>
        <w:ind w:left="648"/>
      </w:pPr>
      <w:r>
        <w:t>00 = after 00:00 to 01:00</w:t>
      </w:r>
    </w:p>
    <w:p w14:paraId="1773CB36" w14:textId="77777777" w:rsidR="009B7AED" w:rsidRDefault="009B7AED" w:rsidP="00657FF5">
      <w:pPr>
        <w:pStyle w:val="BulletcontinuedBulletsandNumbering"/>
        <w:tabs>
          <w:tab w:val="clear" w:pos="1440"/>
        </w:tabs>
        <w:ind w:left="648"/>
      </w:pPr>
      <w:r>
        <w:t>01 = after 01:00 to 02:00</w:t>
      </w:r>
    </w:p>
    <w:p w14:paraId="5047A2BE" w14:textId="77777777" w:rsidR="009B7AED" w:rsidRDefault="009B7AED" w:rsidP="00657FF5">
      <w:pPr>
        <w:pStyle w:val="BulletcontinuedBulletsandNumbering"/>
        <w:tabs>
          <w:tab w:val="clear" w:pos="1440"/>
        </w:tabs>
        <w:ind w:left="648"/>
      </w:pPr>
      <w:r>
        <w:t>...</w:t>
      </w:r>
    </w:p>
    <w:p w14:paraId="673B41D7" w14:textId="77777777" w:rsidR="009B7AED" w:rsidRDefault="009B7AED" w:rsidP="00657FF5">
      <w:pPr>
        <w:pStyle w:val="BulletcontinuedBulletsandNumbering"/>
        <w:tabs>
          <w:tab w:val="clear" w:pos="1440"/>
        </w:tabs>
        <w:ind w:left="648"/>
      </w:pPr>
      <w:r>
        <w:t>22 = after 22:00 to 23:00</w:t>
      </w:r>
    </w:p>
    <w:p w14:paraId="6759C7BE" w14:textId="77777777" w:rsidR="009B7AED" w:rsidRDefault="009B7AED" w:rsidP="00657FF5">
      <w:pPr>
        <w:pStyle w:val="BulletcontinuedBulletsandNumbering"/>
        <w:tabs>
          <w:tab w:val="clear" w:pos="1440"/>
        </w:tabs>
        <w:ind w:left="648"/>
      </w:pPr>
      <w:r>
        <w:t>23 = after 23:00 to 24:00</w:t>
      </w:r>
    </w:p>
    <w:p w14:paraId="7A50C0C7" w14:textId="5BD8EA5D" w:rsidR="009B7AED" w:rsidRDefault="009B7AED">
      <w:pPr>
        <w:pStyle w:val="ListCS1BulletsandNumbering"/>
        <w:numPr>
          <w:ilvl w:val="0"/>
          <w:numId w:val="48"/>
        </w:numPr>
        <w:spacing w:before="0" w:after="120"/>
        <w:ind w:left="648"/>
      </w:pPr>
      <w:r w:rsidRPr="00657FF5">
        <w:t>Vehicle</w:t>
      </w:r>
      <w:r>
        <w:rPr>
          <w:rStyle w:val="Bold"/>
        </w:rPr>
        <w:t xml:space="preserve"> Class</w:t>
      </w:r>
      <w:r>
        <w:t xml:space="preserve"> (Columns 22-23) –</w:t>
      </w:r>
      <w:r>
        <w:rPr>
          <w:rStyle w:val="Italic"/>
          <w:iCs/>
        </w:rPr>
        <w:t xml:space="preserve"> </w:t>
      </w:r>
      <w:r>
        <w:rPr>
          <w:rStyle w:val="bolditalic"/>
        </w:rPr>
        <w:t>Required</w:t>
      </w:r>
    </w:p>
    <w:p w14:paraId="07007CB2" w14:textId="2BA3D79D" w:rsidR="009B7AED" w:rsidRDefault="009B7AED" w:rsidP="00657FF5">
      <w:pPr>
        <w:pStyle w:val="BulletcontinuedBulletsandNumbering"/>
        <w:tabs>
          <w:tab w:val="clear" w:pos="1440"/>
        </w:tabs>
        <w:ind w:left="648"/>
      </w:pPr>
      <w:r>
        <w:t>Enter the class of the vehicle from FHWA Vehicle Classes 1 to 13. (Note: vehicles from classes 1 - 3 are ordinarily omitted from weight data submittals.)</w:t>
      </w:r>
    </w:p>
    <w:p w14:paraId="38BC6971" w14:textId="3F09E986" w:rsidR="00657FF5" w:rsidRDefault="009B7AED" w:rsidP="00657FF5">
      <w:pPr>
        <w:pStyle w:val="BulletcontinuedBulletsandNumbering"/>
        <w:tabs>
          <w:tab w:val="clear" w:pos="1440"/>
        </w:tabs>
        <w:ind w:left="648"/>
      </w:pPr>
      <w:r>
        <w:t xml:space="preserve">A dummy vehicle class of ‘m’ indicates that weight data for this hour are missing. A dummy vehicle class of ‘d’ indicates that weight data for this hour are not missing, and thus if there are no weight records for the hour, then there were no trucks during that hour. Without these indications, no weight records for an hour might be interpreted to mean that the WIM system was not working. </w:t>
      </w:r>
    </w:p>
    <w:p w14:paraId="2F25F768" w14:textId="77777777" w:rsidR="009B7AED" w:rsidRDefault="009B7AED">
      <w:pPr>
        <w:pStyle w:val="ListCS1BulletsandNumbering"/>
        <w:numPr>
          <w:ilvl w:val="0"/>
          <w:numId w:val="48"/>
        </w:numPr>
        <w:spacing w:before="0" w:after="120"/>
        <w:ind w:left="648"/>
      </w:pPr>
      <w:r w:rsidRPr="00657FF5">
        <w:t>Open</w:t>
      </w:r>
      <w:r>
        <w:t xml:space="preserve"> (Columns 24-26) –</w:t>
      </w:r>
      <w:r>
        <w:rPr>
          <w:rStyle w:val="Italic"/>
          <w:iCs/>
        </w:rPr>
        <w:t xml:space="preserve"> </w:t>
      </w:r>
      <w:r>
        <w:rPr>
          <w:rStyle w:val="bolditalic"/>
        </w:rPr>
        <w:t>Optional</w:t>
      </w:r>
    </w:p>
    <w:p w14:paraId="5E912513" w14:textId="7EBFC121" w:rsidR="00657FF5" w:rsidRDefault="009B7AED" w:rsidP="00657FF5">
      <w:pPr>
        <w:pStyle w:val="BulletcontinuedBulletsandNumbering"/>
        <w:tabs>
          <w:tab w:val="clear" w:pos="1440"/>
        </w:tabs>
        <w:ind w:left="648"/>
      </w:pPr>
      <w:r>
        <w:t>This field is for special studies or State use such as for vehicle speed (miles per hour) or pavement temperature (degrees Fahrenheit).</w:t>
      </w:r>
    </w:p>
    <w:p w14:paraId="01483102" w14:textId="282AF664" w:rsidR="009B7AED" w:rsidRDefault="009B7AED">
      <w:pPr>
        <w:pStyle w:val="ListCS1BulletsandNumbering"/>
        <w:numPr>
          <w:ilvl w:val="0"/>
          <w:numId w:val="48"/>
        </w:numPr>
        <w:spacing w:before="0" w:after="120"/>
        <w:ind w:left="648"/>
      </w:pPr>
      <w:r>
        <w:t>Total Weight of Vehicle (Columns 27-</w:t>
      </w:r>
      <w:r w:rsidRPr="00677E20">
        <w:t>3</w:t>
      </w:r>
      <w:r>
        <w:t>2</w:t>
      </w:r>
      <w:r w:rsidRPr="00677E20">
        <w:t xml:space="preserve">) </w:t>
      </w:r>
      <w:r w:rsidR="00F901F1">
        <w:t>–</w:t>
      </w:r>
      <w:r>
        <w:rPr>
          <w:rStyle w:val="Italic"/>
          <w:iCs/>
        </w:rPr>
        <w:t xml:space="preserve"> Required</w:t>
      </w:r>
    </w:p>
    <w:p w14:paraId="498CCACE" w14:textId="77777777" w:rsidR="009B7AED" w:rsidRDefault="009B7AED" w:rsidP="00657FF5">
      <w:pPr>
        <w:pStyle w:val="BulletcontinuedBulletsandNumbering"/>
        <w:tabs>
          <w:tab w:val="clear" w:pos="1440"/>
        </w:tabs>
        <w:ind w:left="648"/>
      </w:pPr>
      <w:r>
        <w:t xml:space="preserve">Enter the gross vehicle weight to the nearest pound. For example, 110,200.2 lbs. would be reported in the field as 110200. There are no decimals or commas used in the field. This should equal the sum of all the axle weights except for rounding. </w:t>
      </w:r>
    </w:p>
    <w:p w14:paraId="394D19B4" w14:textId="77777777" w:rsidR="009B7AED" w:rsidRDefault="009B7AED">
      <w:pPr>
        <w:pStyle w:val="ListCS1BulletsandNumbering"/>
        <w:numPr>
          <w:ilvl w:val="0"/>
          <w:numId w:val="48"/>
        </w:numPr>
        <w:spacing w:before="0" w:after="120"/>
        <w:ind w:left="648"/>
      </w:pPr>
      <w:r w:rsidRPr="00657FF5">
        <w:t>Number</w:t>
      </w:r>
      <w:r>
        <w:rPr>
          <w:rStyle w:val="Bold"/>
        </w:rPr>
        <w:t xml:space="preserve"> of Axles</w:t>
      </w:r>
      <w:r>
        <w:t xml:space="preserve"> (Columns </w:t>
      </w:r>
      <w:r w:rsidRPr="00677E20">
        <w:t>3</w:t>
      </w:r>
      <w:r>
        <w:t>3</w:t>
      </w:r>
      <w:r w:rsidRPr="00677E20">
        <w:t>-3</w:t>
      </w:r>
      <w:r>
        <w:t>4) –</w:t>
      </w:r>
      <w:r>
        <w:rPr>
          <w:rStyle w:val="Italic"/>
          <w:iCs/>
        </w:rPr>
        <w:t xml:space="preserve"> </w:t>
      </w:r>
      <w:r>
        <w:rPr>
          <w:rStyle w:val="bolditalic"/>
        </w:rPr>
        <w:t>Required</w:t>
      </w:r>
    </w:p>
    <w:p w14:paraId="5DDFDDAA" w14:textId="77777777" w:rsidR="009B7AED" w:rsidRDefault="009B7AED" w:rsidP="00657FF5">
      <w:pPr>
        <w:pStyle w:val="BulletcontinuedBulletsandNumbering"/>
        <w:tabs>
          <w:tab w:val="clear" w:pos="1440"/>
        </w:tabs>
        <w:ind w:left="648"/>
      </w:pPr>
      <w:r>
        <w:t>Enter the total number of axles in use by the vehicle (including any trailers).</w:t>
      </w:r>
    </w:p>
    <w:p w14:paraId="7047A356" w14:textId="77777777" w:rsidR="009B7AED" w:rsidRDefault="009B7AED" w:rsidP="00657FF5">
      <w:pPr>
        <w:pStyle w:val="BulletcontinuedBulletsandNumbering"/>
        <w:tabs>
          <w:tab w:val="clear" w:pos="1440"/>
        </w:tabs>
        <w:ind w:left="648"/>
      </w:pPr>
      <w:r>
        <w:t xml:space="preserve">The number of axles determines how many axle weight and spacing fields will be expected on each record. </w:t>
      </w:r>
      <w:r>
        <w:rPr>
          <w:rStyle w:val="Bold"/>
        </w:rPr>
        <w:t>As a reminder, the axle weight and spacing fields should be reported in English units.</w:t>
      </w:r>
      <w:r>
        <w:t xml:space="preserve"> The rest of the record alternates between axle weights and axle spacings, starting from the front of the vehicle. Axle weights are to the nearest pound. Axle spacings are to the nearest tenth of a foot. All values should be right-justified with leading blanks as needed.</w:t>
      </w:r>
    </w:p>
    <w:p w14:paraId="7493B029" w14:textId="2F571F23" w:rsidR="009B7AED" w:rsidRDefault="009B7AED" w:rsidP="00657FF5">
      <w:pPr>
        <w:pStyle w:val="BulletcontinuedBulletsandNumbering"/>
        <w:tabs>
          <w:tab w:val="clear" w:pos="1440"/>
        </w:tabs>
        <w:ind w:left="648"/>
      </w:pPr>
      <w:r>
        <w:t xml:space="preserve">Quality control (QC) checks should be performed on the axle weights and spacings. </w:t>
      </w:r>
    </w:p>
    <w:p w14:paraId="60DA04D6" w14:textId="77777777" w:rsidR="009B7AED" w:rsidRDefault="009B7AED" w:rsidP="00A119E0">
      <w:pPr>
        <w:pStyle w:val="CallOut"/>
      </w:pPr>
      <w:r w:rsidRPr="0016438E">
        <w:t>Axle weights are to</w:t>
      </w:r>
      <w:r>
        <w:t xml:space="preserve"> be reported to</w:t>
      </w:r>
      <w:r w:rsidRPr="0016438E">
        <w:t xml:space="preserve"> the nearest pound. Axle spacings are</w:t>
      </w:r>
      <w:r>
        <w:t xml:space="preserve"> reported</w:t>
      </w:r>
      <w:r w:rsidRPr="0016438E">
        <w:t xml:space="preserve"> to the nearest tenth of a foot. All values should be right-justified with leading blanks as needed</w:t>
      </w:r>
    </w:p>
    <w:p w14:paraId="26F86DF8" w14:textId="1309B257" w:rsidR="009B7AED" w:rsidRDefault="009B7AED">
      <w:pPr>
        <w:pStyle w:val="ListCS1BulletsandNumbering"/>
        <w:numPr>
          <w:ilvl w:val="0"/>
          <w:numId w:val="48"/>
        </w:numPr>
        <w:spacing w:before="0" w:after="120"/>
        <w:ind w:left="648"/>
      </w:pPr>
      <w:r w:rsidRPr="00657FF5">
        <w:t>Axle</w:t>
      </w:r>
      <w:r>
        <w:rPr>
          <w:rStyle w:val="Bold"/>
        </w:rPr>
        <w:t xml:space="preserve"> Weight 1</w:t>
      </w:r>
      <w:r>
        <w:t xml:space="preserve"> (Columns 35-39</w:t>
      </w:r>
      <w:r w:rsidRPr="00677E20">
        <w:t xml:space="preserve">) </w:t>
      </w:r>
      <w:r w:rsidR="00F901F1">
        <w:t>–</w:t>
      </w:r>
      <w:r>
        <w:rPr>
          <w:rStyle w:val="Italic"/>
          <w:iCs/>
        </w:rPr>
        <w:t xml:space="preserve"> </w:t>
      </w:r>
      <w:r>
        <w:rPr>
          <w:rStyle w:val="bolditalic"/>
        </w:rPr>
        <w:t>Required</w:t>
      </w:r>
    </w:p>
    <w:p w14:paraId="239F8FF9" w14:textId="390A2943" w:rsidR="009B7AED" w:rsidRDefault="009B7AED">
      <w:pPr>
        <w:pStyle w:val="ListCS1BulletsandNumbering"/>
        <w:numPr>
          <w:ilvl w:val="0"/>
          <w:numId w:val="48"/>
        </w:numPr>
        <w:spacing w:before="0" w:after="120"/>
        <w:ind w:left="648"/>
      </w:pPr>
      <w:r>
        <w:t>Axles 1-2 Spacing (Columns 40-43</w:t>
      </w:r>
      <w:r w:rsidRPr="00677E20">
        <w:t xml:space="preserve">) </w:t>
      </w:r>
      <w:r w:rsidR="00F901F1">
        <w:t>–</w:t>
      </w:r>
      <w:r>
        <w:rPr>
          <w:rStyle w:val="Italic"/>
          <w:iCs/>
        </w:rPr>
        <w:t xml:space="preserve"> Required</w:t>
      </w:r>
    </w:p>
    <w:p w14:paraId="3B6304DF" w14:textId="321131B8" w:rsidR="009B7AED" w:rsidRDefault="009B7AED">
      <w:pPr>
        <w:pStyle w:val="ListCS1BulletsandNumbering"/>
        <w:numPr>
          <w:ilvl w:val="0"/>
          <w:numId w:val="48"/>
        </w:numPr>
        <w:spacing w:before="0" w:after="120"/>
        <w:ind w:left="648"/>
      </w:pPr>
      <w:r w:rsidRPr="00657FF5">
        <w:t>Axle</w:t>
      </w:r>
      <w:r>
        <w:rPr>
          <w:rStyle w:val="Bold"/>
        </w:rPr>
        <w:t xml:space="preserve"> Weight 2</w:t>
      </w:r>
      <w:r>
        <w:t xml:space="preserve"> (Columns 44-48</w:t>
      </w:r>
      <w:r w:rsidRPr="00677E20">
        <w:t xml:space="preserve">) </w:t>
      </w:r>
      <w:r w:rsidR="00F901F1">
        <w:t>–</w:t>
      </w:r>
      <w:r>
        <w:rPr>
          <w:rStyle w:val="Italic"/>
          <w:iCs/>
        </w:rPr>
        <w:t xml:space="preserve"> </w:t>
      </w:r>
      <w:r>
        <w:rPr>
          <w:rStyle w:val="bolditalic"/>
        </w:rPr>
        <w:t>Required</w:t>
      </w:r>
    </w:p>
    <w:p w14:paraId="60BEA871" w14:textId="77777777" w:rsidR="009B7AED" w:rsidRDefault="009B7AED">
      <w:pPr>
        <w:pStyle w:val="ListCS1BulletsandNumbering"/>
        <w:numPr>
          <w:ilvl w:val="0"/>
          <w:numId w:val="48"/>
        </w:numPr>
        <w:spacing w:before="0" w:after="120"/>
        <w:ind w:left="648"/>
      </w:pPr>
      <w:r>
        <w:lastRenderedPageBreak/>
        <w:t xml:space="preserve">Axles 2-3 Spacing (Columns 49-52) – </w:t>
      </w:r>
      <w:r>
        <w:rPr>
          <w:rStyle w:val="Italic"/>
          <w:iCs/>
        </w:rPr>
        <w:t>Required/Optional</w:t>
      </w:r>
    </w:p>
    <w:p w14:paraId="0D50D131" w14:textId="5432C929" w:rsidR="009B7AED" w:rsidRDefault="009B7AED">
      <w:pPr>
        <w:pStyle w:val="ListCS1BulletsandNumbering"/>
        <w:numPr>
          <w:ilvl w:val="0"/>
          <w:numId w:val="48"/>
        </w:numPr>
        <w:spacing w:before="0" w:after="120"/>
        <w:ind w:left="648"/>
      </w:pPr>
      <w:r>
        <w:t xml:space="preserve">Axle Weight 3 (Columns 53-57) – </w:t>
      </w:r>
      <w:r>
        <w:rPr>
          <w:rStyle w:val="Italic"/>
          <w:iCs/>
        </w:rPr>
        <w:t>Required/Optional</w:t>
      </w:r>
    </w:p>
    <w:p w14:paraId="70760BFB" w14:textId="1EC0CFAF" w:rsidR="009B7AED" w:rsidRDefault="009B7AED">
      <w:pPr>
        <w:pStyle w:val="ListCS1BulletsandNumbering"/>
        <w:numPr>
          <w:ilvl w:val="0"/>
          <w:numId w:val="48"/>
        </w:numPr>
        <w:spacing w:before="0" w:after="120"/>
        <w:ind w:left="648"/>
      </w:pPr>
      <w:r>
        <w:t>Axles 3-4 Spacing (Columns 58-61</w:t>
      </w:r>
      <w:r w:rsidRPr="00677E20">
        <w:t xml:space="preserve">) </w:t>
      </w:r>
      <w:r w:rsidR="00F901F1">
        <w:t>–</w:t>
      </w:r>
      <w:r>
        <w:rPr>
          <w:rStyle w:val="Italic"/>
          <w:iCs/>
        </w:rPr>
        <w:t xml:space="preserve"> Required/Optional</w:t>
      </w:r>
    </w:p>
    <w:p w14:paraId="7BB68B73" w14:textId="763B94F0" w:rsidR="009B7AED" w:rsidRDefault="009B7AED">
      <w:pPr>
        <w:pStyle w:val="ListCS1BulletsandNumbering"/>
        <w:numPr>
          <w:ilvl w:val="0"/>
          <w:numId w:val="48"/>
        </w:numPr>
        <w:spacing w:before="0" w:after="120"/>
        <w:ind w:left="648"/>
        <w:rPr>
          <w:rStyle w:val="Italic"/>
          <w:iCs/>
        </w:rPr>
      </w:pPr>
      <w:r>
        <w:t>Axle Weight 4 (Columns 62-66</w:t>
      </w:r>
      <w:r w:rsidRPr="00677E20">
        <w:t xml:space="preserve">) </w:t>
      </w:r>
      <w:r w:rsidR="00F901F1">
        <w:t>–</w:t>
      </w:r>
      <w:r>
        <w:rPr>
          <w:rStyle w:val="Italic"/>
          <w:iCs/>
        </w:rPr>
        <w:t xml:space="preserve"> Required/Optional</w:t>
      </w:r>
    </w:p>
    <w:p w14:paraId="2510B0F1" w14:textId="4E5AA5F0" w:rsidR="009B7AED" w:rsidRDefault="009B7AED">
      <w:pPr>
        <w:pStyle w:val="ListCS1BulletsandNumbering"/>
        <w:numPr>
          <w:ilvl w:val="0"/>
          <w:numId w:val="48"/>
        </w:numPr>
        <w:spacing w:before="0" w:after="120"/>
        <w:ind w:left="648"/>
        <w:rPr>
          <w:rStyle w:val="Italic"/>
          <w:iCs/>
        </w:rPr>
      </w:pPr>
      <w:r>
        <w:t>Axles 4-5 Spacing (Columns 67-70</w:t>
      </w:r>
      <w:r w:rsidRPr="00677E20">
        <w:t xml:space="preserve">) </w:t>
      </w:r>
      <w:r w:rsidR="00F901F1">
        <w:t>–</w:t>
      </w:r>
      <w:r>
        <w:rPr>
          <w:rStyle w:val="Italic"/>
          <w:iCs/>
        </w:rPr>
        <w:t xml:space="preserve"> Required/Optional</w:t>
      </w:r>
    </w:p>
    <w:p w14:paraId="0C60D243" w14:textId="751A81CF" w:rsidR="009B7AED" w:rsidRDefault="009B7AED">
      <w:pPr>
        <w:pStyle w:val="ListCS1BulletsandNumbering"/>
        <w:numPr>
          <w:ilvl w:val="0"/>
          <w:numId w:val="48"/>
        </w:numPr>
        <w:spacing w:before="0" w:after="120"/>
        <w:ind w:left="648"/>
        <w:rPr>
          <w:rStyle w:val="Italic"/>
          <w:iCs/>
        </w:rPr>
      </w:pPr>
      <w:r>
        <w:t>Axle Weight 5 (Columns 71-75</w:t>
      </w:r>
      <w:r w:rsidRPr="00677E20">
        <w:t xml:space="preserve">) </w:t>
      </w:r>
      <w:r w:rsidR="00F901F1">
        <w:t>–</w:t>
      </w:r>
      <w:r>
        <w:rPr>
          <w:rStyle w:val="Italic"/>
          <w:iCs/>
        </w:rPr>
        <w:t xml:space="preserve"> Required/Optional</w:t>
      </w:r>
    </w:p>
    <w:p w14:paraId="796F1D77" w14:textId="4AC8F426" w:rsidR="009B7AED" w:rsidRDefault="009B7AED">
      <w:pPr>
        <w:pStyle w:val="ListCS1BulletsandNumbering"/>
        <w:numPr>
          <w:ilvl w:val="0"/>
          <w:numId w:val="48"/>
        </w:numPr>
        <w:spacing w:before="0" w:after="120"/>
        <w:ind w:left="648"/>
        <w:rPr>
          <w:rStyle w:val="Italic"/>
          <w:iCs/>
        </w:rPr>
      </w:pPr>
      <w:r>
        <w:t>Axles 5-6 Spacing (Columns 76-79</w:t>
      </w:r>
      <w:r w:rsidRPr="00677E20">
        <w:t xml:space="preserve">) </w:t>
      </w:r>
      <w:r w:rsidR="00F901F1">
        <w:t>–</w:t>
      </w:r>
      <w:r>
        <w:rPr>
          <w:rStyle w:val="Italic"/>
          <w:iCs/>
        </w:rPr>
        <w:t xml:space="preserve"> Required/Optional</w:t>
      </w:r>
    </w:p>
    <w:p w14:paraId="36CA6939" w14:textId="5D1FA614" w:rsidR="009B7AED" w:rsidRDefault="009B7AED">
      <w:pPr>
        <w:pStyle w:val="ListCS1BulletsandNumbering"/>
        <w:numPr>
          <w:ilvl w:val="0"/>
          <w:numId w:val="48"/>
        </w:numPr>
        <w:spacing w:before="0" w:after="120"/>
        <w:ind w:left="648"/>
        <w:rPr>
          <w:rStyle w:val="Italic"/>
          <w:iCs/>
        </w:rPr>
      </w:pPr>
      <w:r>
        <w:t>Axle Weight 6 (Columns 80-84</w:t>
      </w:r>
      <w:r w:rsidRPr="00677E20">
        <w:t xml:space="preserve">) </w:t>
      </w:r>
      <w:r w:rsidR="00F901F1">
        <w:t>–</w:t>
      </w:r>
      <w:r>
        <w:rPr>
          <w:rStyle w:val="Italic"/>
          <w:iCs/>
        </w:rPr>
        <w:t xml:space="preserve"> Required/Optional</w:t>
      </w:r>
    </w:p>
    <w:p w14:paraId="0E338774" w14:textId="1D983054" w:rsidR="009B7AED" w:rsidRDefault="009B7AED">
      <w:pPr>
        <w:pStyle w:val="ListCS1BulletsandNumbering"/>
        <w:numPr>
          <w:ilvl w:val="0"/>
          <w:numId w:val="48"/>
        </w:numPr>
        <w:spacing w:before="0" w:after="120"/>
        <w:ind w:left="648"/>
        <w:rPr>
          <w:rStyle w:val="Italic"/>
          <w:iCs/>
        </w:rPr>
      </w:pPr>
      <w:r>
        <w:t>Axles 6-7 Spacing (Columns 85-88</w:t>
      </w:r>
      <w:r w:rsidRPr="00677E20">
        <w:t xml:space="preserve">) </w:t>
      </w:r>
      <w:r w:rsidR="00F901F1">
        <w:t>–</w:t>
      </w:r>
      <w:r>
        <w:rPr>
          <w:rStyle w:val="Italic"/>
          <w:iCs/>
        </w:rPr>
        <w:t xml:space="preserve"> Required/Optional</w:t>
      </w:r>
    </w:p>
    <w:p w14:paraId="69E01526" w14:textId="2AD170BC" w:rsidR="009B7AED" w:rsidRDefault="009B7AED">
      <w:pPr>
        <w:pStyle w:val="ListCS1BulletsandNumbering"/>
        <w:numPr>
          <w:ilvl w:val="0"/>
          <w:numId w:val="48"/>
        </w:numPr>
        <w:spacing w:before="0" w:after="120"/>
        <w:ind w:left="648"/>
        <w:rPr>
          <w:rStyle w:val="Italic"/>
          <w:iCs/>
        </w:rPr>
      </w:pPr>
      <w:r>
        <w:t>Axle Weight 7 (Columns 89-93</w:t>
      </w:r>
      <w:r w:rsidRPr="00677E20">
        <w:t xml:space="preserve">) </w:t>
      </w:r>
      <w:r w:rsidR="00F901F1">
        <w:t>–</w:t>
      </w:r>
      <w:r>
        <w:rPr>
          <w:rStyle w:val="Italic"/>
          <w:iCs/>
        </w:rPr>
        <w:t xml:space="preserve"> Required/Optional</w:t>
      </w:r>
    </w:p>
    <w:p w14:paraId="549852DB" w14:textId="408B9A19" w:rsidR="009B7AED" w:rsidRDefault="009B7AED">
      <w:pPr>
        <w:pStyle w:val="ListCS1BulletsandNumbering"/>
        <w:numPr>
          <w:ilvl w:val="0"/>
          <w:numId w:val="48"/>
        </w:numPr>
        <w:spacing w:before="0" w:after="120"/>
        <w:ind w:left="648"/>
        <w:rPr>
          <w:rStyle w:val="Italic"/>
          <w:iCs/>
        </w:rPr>
      </w:pPr>
      <w:r>
        <w:t>Axles 7-8 Spacing (Columns 94-97</w:t>
      </w:r>
      <w:r w:rsidRPr="00677E20">
        <w:t xml:space="preserve">) </w:t>
      </w:r>
      <w:r w:rsidR="00F901F1">
        <w:t>–</w:t>
      </w:r>
      <w:r>
        <w:rPr>
          <w:rStyle w:val="Italic"/>
          <w:iCs/>
        </w:rPr>
        <w:t xml:space="preserve"> Required/Optional</w:t>
      </w:r>
    </w:p>
    <w:p w14:paraId="72AF85A7" w14:textId="1C1D72A8" w:rsidR="009B7AED" w:rsidRDefault="009B7AED">
      <w:pPr>
        <w:pStyle w:val="ListCS1BulletsandNumbering"/>
        <w:numPr>
          <w:ilvl w:val="0"/>
          <w:numId w:val="48"/>
        </w:numPr>
        <w:spacing w:before="0" w:after="120"/>
        <w:ind w:left="648"/>
        <w:rPr>
          <w:rStyle w:val="Italic"/>
          <w:iCs/>
        </w:rPr>
      </w:pPr>
      <w:r>
        <w:t>Axle Weight 8 (Columns 98-102</w:t>
      </w:r>
      <w:r w:rsidRPr="00677E20">
        <w:t xml:space="preserve">) </w:t>
      </w:r>
      <w:r w:rsidR="00F901F1">
        <w:t>–</w:t>
      </w:r>
      <w:r>
        <w:rPr>
          <w:rStyle w:val="Italic"/>
          <w:iCs/>
        </w:rPr>
        <w:t xml:space="preserve"> Required/Optional</w:t>
      </w:r>
    </w:p>
    <w:p w14:paraId="52A75FA9" w14:textId="49057A89" w:rsidR="009B7AED" w:rsidRDefault="009B7AED">
      <w:pPr>
        <w:pStyle w:val="ListCS1BulletsandNumbering"/>
        <w:numPr>
          <w:ilvl w:val="0"/>
          <w:numId w:val="48"/>
        </w:numPr>
        <w:spacing w:before="0" w:after="120"/>
        <w:ind w:left="648"/>
        <w:rPr>
          <w:rStyle w:val="Italic"/>
          <w:iCs/>
        </w:rPr>
      </w:pPr>
      <w:r>
        <w:t>Axles 8-9 Spacing (Columns 103-106</w:t>
      </w:r>
      <w:r w:rsidRPr="00677E20">
        <w:t xml:space="preserve">) </w:t>
      </w:r>
      <w:r w:rsidR="00F901F1">
        <w:t>–</w:t>
      </w:r>
      <w:r>
        <w:rPr>
          <w:rStyle w:val="Italic"/>
          <w:iCs/>
        </w:rPr>
        <w:t xml:space="preserve"> Required/Optional</w:t>
      </w:r>
    </w:p>
    <w:p w14:paraId="7A0DCA4E" w14:textId="50F53576" w:rsidR="009B7AED" w:rsidRDefault="009B7AED">
      <w:pPr>
        <w:pStyle w:val="ListCS1BulletsandNumbering"/>
        <w:numPr>
          <w:ilvl w:val="0"/>
          <w:numId w:val="48"/>
        </w:numPr>
        <w:spacing w:before="0" w:after="120"/>
        <w:ind w:left="648"/>
        <w:rPr>
          <w:rStyle w:val="Italic"/>
          <w:iCs/>
        </w:rPr>
      </w:pPr>
      <w:r>
        <w:t>Axle Weight 9 (Columns 107-111</w:t>
      </w:r>
      <w:r w:rsidRPr="00677E20">
        <w:t xml:space="preserve">) </w:t>
      </w:r>
      <w:r w:rsidR="00F901F1">
        <w:t>–</w:t>
      </w:r>
      <w:r>
        <w:rPr>
          <w:rStyle w:val="Italic"/>
          <w:iCs/>
        </w:rPr>
        <w:t xml:space="preserve"> Required/Optional</w:t>
      </w:r>
    </w:p>
    <w:p w14:paraId="7E171276" w14:textId="2BA461F6" w:rsidR="009B7AED" w:rsidRDefault="009B7AED">
      <w:pPr>
        <w:pStyle w:val="ListCS1BulletsandNumbering"/>
        <w:numPr>
          <w:ilvl w:val="0"/>
          <w:numId w:val="48"/>
        </w:numPr>
        <w:spacing w:before="0" w:after="120"/>
        <w:ind w:left="648"/>
        <w:rPr>
          <w:rStyle w:val="Italic"/>
          <w:iCs/>
        </w:rPr>
      </w:pPr>
      <w:r>
        <w:t>Axles 9-10 Spacing (Columns 112-115</w:t>
      </w:r>
      <w:r w:rsidRPr="00677E20">
        <w:t xml:space="preserve">) </w:t>
      </w:r>
      <w:r w:rsidR="00F901F1">
        <w:t>–</w:t>
      </w:r>
      <w:r>
        <w:rPr>
          <w:rStyle w:val="Italic"/>
          <w:iCs/>
        </w:rPr>
        <w:t xml:space="preserve"> Required/Optional</w:t>
      </w:r>
    </w:p>
    <w:p w14:paraId="562C2A15" w14:textId="56E63CE0" w:rsidR="009B7AED" w:rsidRDefault="009B7AED">
      <w:pPr>
        <w:pStyle w:val="ListCS1BulletsandNumbering"/>
        <w:numPr>
          <w:ilvl w:val="0"/>
          <w:numId w:val="48"/>
        </w:numPr>
        <w:spacing w:before="0" w:after="120"/>
        <w:ind w:left="648"/>
        <w:rPr>
          <w:rStyle w:val="Italic"/>
          <w:iCs/>
        </w:rPr>
      </w:pPr>
      <w:r>
        <w:t>Axle Weight 10 (Columns 116-120</w:t>
      </w:r>
      <w:r w:rsidRPr="00677E20">
        <w:t xml:space="preserve">) </w:t>
      </w:r>
      <w:r w:rsidR="00F901F1">
        <w:t>–</w:t>
      </w:r>
      <w:r>
        <w:rPr>
          <w:rStyle w:val="Italic"/>
          <w:iCs/>
        </w:rPr>
        <w:t xml:space="preserve"> Required/Optional</w:t>
      </w:r>
    </w:p>
    <w:p w14:paraId="77575326" w14:textId="5FB96336" w:rsidR="009B7AED" w:rsidRDefault="009B7AED">
      <w:pPr>
        <w:pStyle w:val="ListCS1BulletsandNumbering"/>
        <w:numPr>
          <w:ilvl w:val="0"/>
          <w:numId w:val="48"/>
        </w:numPr>
        <w:spacing w:before="0" w:after="120"/>
        <w:ind w:left="648"/>
      </w:pPr>
      <w:r>
        <w:t>Axles 10-11 Spacing (Columns 121-124</w:t>
      </w:r>
      <w:r w:rsidRPr="00677E20">
        <w:t xml:space="preserve">) </w:t>
      </w:r>
      <w:r w:rsidR="00F901F1">
        <w:t>–</w:t>
      </w:r>
      <w:r>
        <w:rPr>
          <w:rStyle w:val="Italic"/>
          <w:iCs/>
        </w:rPr>
        <w:t xml:space="preserve"> </w:t>
      </w:r>
      <w:r w:rsidRPr="00322C74">
        <w:rPr>
          <w:i/>
          <w:iCs/>
        </w:rPr>
        <w:t>Required/Optional</w:t>
      </w:r>
    </w:p>
    <w:p w14:paraId="6C1DCBBE" w14:textId="2467D1B0" w:rsidR="009B7AED" w:rsidRDefault="009B7AED">
      <w:pPr>
        <w:pStyle w:val="ListCS1BulletsandNumbering"/>
        <w:numPr>
          <w:ilvl w:val="0"/>
          <w:numId w:val="48"/>
        </w:numPr>
        <w:spacing w:before="0" w:after="120"/>
        <w:ind w:left="648"/>
        <w:rPr>
          <w:rStyle w:val="Italic"/>
          <w:iCs/>
        </w:rPr>
      </w:pPr>
      <w:r>
        <w:t>Axle Weight 11 (Columns 125-129</w:t>
      </w:r>
      <w:r w:rsidRPr="00677E20">
        <w:t xml:space="preserve">) </w:t>
      </w:r>
      <w:r w:rsidR="00F901F1">
        <w:t>–</w:t>
      </w:r>
      <w:r>
        <w:rPr>
          <w:rStyle w:val="Italic"/>
          <w:iCs/>
        </w:rPr>
        <w:t xml:space="preserve"> Required/Optional</w:t>
      </w:r>
    </w:p>
    <w:p w14:paraId="4E1E2A70" w14:textId="7FDECDAF" w:rsidR="009B7AED" w:rsidRDefault="009B7AED">
      <w:pPr>
        <w:pStyle w:val="ListCS1BulletsandNumbering"/>
        <w:numPr>
          <w:ilvl w:val="0"/>
          <w:numId w:val="48"/>
        </w:numPr>
        <w:spacing w:before="0" w:after="120"/>
        <w:ind w:left="648"/>
        <w:rPr>
          <w:rStyle w:val="Italic"/>
          <w:iCs/>
        </w:rPr>
      </w:pPr>
      <w:r>
        <w:t>Axles 11-12 Spacing (Columns 130-133</w:t>
      </w:r>
      <w:r w:rsidRPr="00677E20">
        <w:t xml:space="preserve">) </w:t>
      </w:r>
      <w:r w:rsidR="00F901F1">
        <w:t>–</w:t>
      </w:r>
      <w:r>
        <w:rPr>
          <w:rStyle w:val="Italic"/>
          <w:iCs/>
        </w:rPr>
        <w:t xml:space="preserve"> Required/Optional</w:t>
      </w:r>
    </w:p>
    <w:p w14:paraId="764EF29C" w14:textId="7F281CCE" w:rsidR="009B7AED" w:rsidRDefault="009B7AED">
      <w:pPr>
        <w:pStyle w:val="ListCS1BulletsandNumbering"/>
        <w:numPr>
          <w:ilvl w:val="0"/>
          <w:numId w:val="48"/>
        </w:numPr>
        <w:spacing w:before="0" w:after="120"/>
        <w:ind w:left="648"/>
        <w:rPr>
          <w:rStyle w:val="Italic"/>
          <w:iCs/>
        </w:rPr>
      </w:pPr>
      <w:r>
        <w:t>Axle Weight 12 (Columns 134-138</w:t>
      </w:r>
      <w:r w:rsidRPr="00677E20">
        <w:t xml:space="preserve">) </w:t>
      </w:r>
      <w:r w:rsidR="00F901F1">
        <w:t>–</w:t>
      </w:r>
      <w:r>
        <w:rPr>
          <w:rStyle w:val="Italic"/>
          <w:iCs/>
        </w:rPr>
        <w:t xml:space="preserve"> Required/Optional</w:t>
      </w:r>
    </w:p>
    <w:p w14:paraId="4DBE4867" w14:textId="41AD790B" w:rsidR="009B7AED" w:rsidRDefault="009B7AED">
      <w:pPr>
        <w:pStyle w:val="ListCS1BulletsandNumbering"/>
        <w:numPr>
          <w:ilvl w:val="0"/>
          <w:numId w:val="48"/>
        </w:numPr>
        <w:spacing w:before="0" w:after="120"/>
        <w:ind w:left="648"/>
        <w:rPr>
          <w:rStyle w:val="Italic"/>
          <w:iCs/>
        </w:rPr>
      </w:pPr>
      <w:r>
        <w:t>Axles 12-13 Spacing (Columns 139-142</w:t>
      </w:r>
      <w:r w:rsidRPr="00677E20">
        <w:t xml:space="preserve">) </w:t>
      </w:r>
      <w:r w:rsidR="00F901F1">
        <w:t>–</w:t>
      </w:r>
      <w:r>
        <w:rPr>
          <w:rStyle w:val="Italic"/>
          <w:iCs/>
        </w:rPr>
        <w:t xml:space="preserve"> Required/Optional</w:t>
      </w:r>
    </w:p>
    <w:p w14:paraId="17EC6978" w14:textId="0C7061FF" w:rsidR="009B7AED" w:rsidRPr="00651482" w:rsidRDefault="009B7AED">
      <w:pPr>
        <w:pStyle w:val="ListCS1BulletsandNumbering"/>
        <w:numPr>
          <w:ilvl w:val="0"/>
          <w:numId w:val="48"/>
        </w:numPr>
        <w:spacing w:before="0" w:after="120"/>
        <w:ind w:left="648"/>
        <w:rPr>
          <w:rStyle w:val="Italic"/>
          <w:iCs/>
        </w:rPr>
      </w:pPr>
      <w:r>
        <w:t>Axle Weight 13 (Columns 143-147</w:t>
      </w:r>
      <w:r w:rsidRPr="00677E20">
        <w:t xml:space="preserve">) </w:t>
      </w:r>
      <w:r w:rsidR="00F901F1">
        <w:t>–</w:t>
      </w:r>
      <w:r>
        <w:rPr>
          <w:rStyle w:val="Italic"/>
          <w:iCs/>
        </w:rPr>
        <w:t xml:space="preserve"> Required/Optional</w:t>
      </w:r>
    </w:p>
    <w:p w14:paraId="2BBA2F11" w14:textId="77777777" w:rsidR="009B7AED" w:rsidRDefault="009B7AED" w:rsidP="00A119E0">
      <w:pPr>
        <w:pStyle w:val="CallOut"/>
      </w:pPr>
      <w:r w:rsidRPr="0016438E">
        <w:t>A</w:t>
      </w:r>
      <w:r>
        <w:t>dditional axle spacing and a</w:t>
      </w:r>
      <w:r w:rsidRPr="0016438E">
        <w:t>xle weight</w:t>
      </w:r>
      <w:r>
        <w:t xml:space="preserve"> fields may be added in the same manner if needed up to a maximum of 25 axles per record</w:t>
      </w:r>
    </w:p>
    <w:p w14:paraId="20AC6CCE" w14:textId="77777777" w:rsidR="009B7AED" w:rsidRDefault="009B7AED" w:rsidP="009B7AED">
      <w:pPr>
        <w:pStyle w:val="CaptionTableTable"/>
        <w:sectPr w:rsidR="009B7AED" w:rsidSect="003C28DA">
          <w:headerReference w:type="even" r:id="rId180"/>
          <w:headerReference w:type="default" r:id="rId181"/>
          <w:footerReference w:type="even" r:id="rId182"/>
          <w:footerReference w:type="default" r:id="rId183"/>
          <w:pgSz w:w="12240" w:h="15840" w:code="1"/>
          <w:pgMar w:top="1440" w:right="1440" w:bottom="1152" w:left="1440" w:header="720" w:footer="576" w:gutter="0"/>
          <w:pgNumType w:chapStyle="1"/>
          <w:cols w:space="720"/>
          <w:noEndnote/>
        </w:sectPr>
      </w:pPr>
    </w:p>
    <w:p w14:paraId="11D6D535" w14:textId="47268C7F" w:rsidR="009B7AED" w:rsidRDefault="009B7AED" w:rsidP="00657FF5">
      <w:pPr>
        <w:pStyle w:val="BodyText"/>
        <w:rPr>
          <w:b/>
          <w:bCs/>
          <w:smallCaps/>
        </w:rPr>
      </w:pPr>
      <w:bookmarkStart w:id="3077" w:name="_Toc109333458"/>
      <w:bookmarkStart w:id="3078" w:name="_Toc109333786"/>
      <w:r>
        <w:lastRenderedPageBreak/>
        <w:t xml:space="preserve">Example Weight records are shown </w:t>
      </w:r>
      <w:r w:rsidRPr="00997170">
        <w:t xml:space="preserve">in </w:t>
      </w:r>
      <w:r w:rsidR="00464453">
        <w:fldChar w:fldCharType="begin"/>
      </w:r>
      <w:r w:rsidR="00464453">
        <w:instrText xml:space="preserve"> REF _Ref113274901  \* MERGEFORMAT </w:instrText>
      </w:r>
      <w:r w:rsidR="00464453">
        <w:fldChar w:fldCharType="separate"/>
      </w:r>
      <w:r w:rsidR="00C07DF9" w:rsidRPr="00657FF5">
        <w:t xml:space="preserve">Table </w:t>
      </w:r>
      <w:r w:rsidR="00C07DF9">
        <w:rPr>
          <w:noProof/>
        </w:rPr>
        <w:t>4</w:t>
      </w:r>
      <w:r w:rsidR="00C07DF9" w:rsidRPr="00657FF5">
        <w:rPr>
          <w:noProof/>
        </w:rPr>
        <w:noBreakHyphen/>
      </w:r>
      <w:r w:rsidR="00C07DF9">
        <w:rPr>
          <w:noProof/>
        </w:rPr>
        <w:t>21</w:t>
      </w:r>
      <w:r w:rsidR="00464453">
        <w:rPr>
          <w:noProof/>
        </w:rPr>
        <w:fldChar w:fldCharType="end"/>
      </w:r>
      <w:r>
        <w:t>.</w:t>
      </w:r>
    </w:p>
    <w:p w14:paraId="0CCBA7A1" w14:textId="261BD6D5" w:rsidR="009B7AED" w:rsidRPr="00657FF5" w:rsidRDefault="009B7AED" w:rsidP="00657FF5">
      <w:pPr>
        <w:pStyle w:val="TMGTableCaption"/>
      </w:pPr>
      <w:bookmarkStart w:id="3079" w:name="_Ref113274901"/>
      <w:bookmarkStart w:id="3080" w:name="_Toc113282526"/>
      <w:bookmarkStart w:id="3081" w:name="_Toc114474863"/>
      <w:bookmarkStart w:id="3082" w:name="_Toc120631169"/>
      <w:r w:rsidRPr="00657FF5">
        <w:t xml:space="preserve">Table </w:t>
      </w:r>
      <w:fldSimple w:instr=" STYLEREF 1 \s ">
        <w:r w:rsidR="00C07DF9">
          <w:rPr>
            <w:noProof/>
          </w:rPr>
          <w:t>4</w:t>
        </w:r>
      </w:fldSimple>
      <w:r w:rsidRPr="00657FF5">
        <w:noBreakHyphen/>
      </w:r>
      <w:fldSimple w:instr=" SEQ Table \* ARABIC \s 1 ">
        <w:r w:rsidR="00C07DF9">
          <w:rPr>
            <w:noProof/>
          </w:rPr>
          <w:t>21</w:t>
        </w:r>
      </w:fldSimple>
      <w:bookmarkEnd w:id="3079"/>
      <w:r w:rsidR="00627DD7">
        <w:t>.</w:t>
      </w:r>
      <w:r w:rsidRPr="00657FF5">
        <w:t xml:space="preserve"> Weight Record Example – Fixed-Width Format</w:t>
      </w:r>
      <w:bookmarkEnd w:id="3077"/>
      <w:bookmarkEnd w:id="3078"/>
      <w:bookmarkEnd w:id="3080"/>
      <w:bookmarkEnd w:id="3081"/>
      <w:bookmarkEnd w:id="3082"/>
    </w:p>
    <w:p w14:paraId="7BEA95E4" w14:textId="77777777" w:rsidR="009B7AED" w:rsidRPr="003232CF" w:rsidRDefault="009B7AED" w:rsidP="009B7AED">
      <w:pPr>
        <w:pStyle w:val="BodyTextLandscape"/>
      </w:pPr>
      <w:r w:rsidRPr="00F153DC">
        <w:rPr>
          <w:rStyle w:val="Bold"/>
        </w:rPr>
        <w:t>WEIGHT SITE WEIGHT FILE</w:t>
      </w:r>
    </w:p>
    <w:tbl>
      <w:tblPr>
        <w:tblStyle w:val="TMGTable"/>
        <w:tblW w:w="13104"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firstRow="1" w:lastRow="0" w:firstColumn="0" w:lastColumn="0" w:noHBand="1" w:noVBand="1"/>
      </w:tblPr>
      <w:tblGrid>
        <w:gridCol w:w="1166"/>
        <w:gridCol w:w="511"/>
        <w:gridCol w:w="428"/>
        <w:gridCol w:w="816"/>
        <w:gridCol w:w="359"/>
        <w:gridCol w:w="359"/>
        <w:gridCol w:w="655"/>
        <w:gridCol w:w="655"/>
        <w:gridCol w:w="655"/>
        <w:gridCol w:w="655"/>
        <w:gridCol w:w="655"/>
        <w:gridCol w:w="655"/>
        <w:gridCol w:w="815"/>
        <w:gridCol w:w="655"/>
        <w:gridCol w:w="700"/>
        <w:gridCol w:w="655"/>
        <w:gridCol w:w="700"/>
        <w:gridCol w:w="655"/>
        <w:gridCol w:w="700"/>
        <w:gridCol w:w="655"/>
      </w:tblGrid>
      <w:tr w:rsidR="009B7AED" w:rsidRPr="000C48E4" w14:paraId="341E6939" w14:textId="77777777" w:rsidTr="00E1261E">
        <w:trPr>
          <w:cnfStyle w:val="100000000000" w:firstRow="1" w:lastRow="0" w:firstColumn="0" w:lastColumn="0" w:oddVBand="0" w:evenVBand="0" w:oddHBand="0" w:evenHBand="0" w:firstRowFirstColumn="0" w:firstRowLastColumn="0" w:lastRowFirstColumn="0" w:lastRowLastColumn="0"/>
          <w:trHeight w:val="20"/>
        </w:trPr>
        <w:tc>
          <w:tcPr>
            <w:tcW w:w="1165" w:type="dxa"/>
          </w:tcPr>
          <w:p w14:paraId="718533D3" w14:textId="77777777" w:rsidR="009B7AED" w:rsidRPr="000C48E4" w:rsidRDefault="009B7AED" w:rsidP="002841D0">
            <w:pPr>
              <w:pStyle w:val="TMGTable1"/>
              <w:spacing w:before="10" w:after="10"/>
              <w:jc w:val="left"/>
              <w:rPr>
                <w:rStyle w:val="Bold"/>
                <w:rFonts w:ascii="Calibri" w:hAnsi="Calibri" w:cs="Calibri"/>
                <w:b w:val="0"/>
                <w:bCs w:val="0"/>
                <w:sz w:val="20"/>
                <w:szCs w:val="20"/>
              </w:rPr>
            </w:pPr>
            <w:r w:rsidRPr="000C48E4">
              <w:rPr>
                <w:rStyle w:val="Bold"/>
                <w:rFonts w:ascii="Calibri" w:hAnsi="Calibri" w:cs="Calibri"/>
                <w:sz w:val="20"/>
                <w:szCs w:val="20"/>
              </w:rPr>
              <w:t>Column Number:</w:t>
            </w:r>
          </w:p>
        </w:tc>
        <w:tc>
          <w:tcPr>
            <w:tcW w:w="510" w:type="dxa"/>
          </w:tcPr>
          <w:p w14:paraId="1E222A5A" w14:textId="77777777" w:rsidR="009B7AED" w:rsidRPr="000C48E4" w:rsidRDefault="009B7AED" w:rsidP="002841D0">
            <w:pPr>
              <w:pStyle w:val="TMGTable1"/>
              <w:spacing w:before="10" w:after="10"/>
              <w:rPr>
                <w:rStyle w:val="Bold"/>
                <w:rFonts w:ascii="Calibri" w:hAnsi="Calibri" w:cs="Calibri"/>
                <w:b w:val="0"/>
                <w:bCs w:val="0"/>
                <w:sz w:val="20"/>
                <w:szCs w:val="20"/>
              </w:rPr>
            </w:pPr>
            <w:r w:rsidRPr="000C48E4">
              <w:rPr>
                <w:rStyle w:val="Bold"/>
                <w:rFonts w:ascii="Calibri" w:hAnsi="Calibri" w:cs="Calibri"/>
                <w:sz w:val="20"/>
                <w:szCs w:val="20"/>
              </w:rPr>
              <w:t>1</w:t>
            </w:r>
          </w:p>
        </w:tc>
        <w:tc>
          <w:tcPr>
            <w:tcW w:w="0" w:type="auto"/>
          </w:tcPr>
          <w:p w14:paraId="1FBF8C8C" w14:textId="77777777" w:rsidR="009B7AED" w:rsidRPr="000C48E4" w:rsidRDefault="009B7AED" w:rsidP="002841D0">
            <w:pPr>
              <w:pStyle w:val="TMGTable1"/>
              <w:spacing w:before="10" w:after="10"/>
              <w:rPr>
                <w:rStyle w:val="Bold"/>
                <w:rFonts w:ascii="Calibri" w:hAnsi="Calibri" w:cs="Calibri"/>
                <w:b w:val="0"/>
                <w:bCs w:val="0"/>
                <w:sz w:val="20"/>
                <w:szCs w:val="20"/>
              </w:rPr>
            </w:pPr>
            <w:r w:rsidRPr="000C48E4">
              <w:rPr>
                <w:rStyle w:val="Bold"/>
                <w:rFonts w:ascii="Calibri" w:hAnsi="Calibri" w:cs="Calibri"/>
                <w:sz w:val="20"/>
                <w:szCs w:val="20"/>
              </w:rPr>
              <w:t>2-3</w:t>
            </w:r>
          </w:p>
        </w:tc>
        <w:tc>
          <w:tcPr>
            <w:tcW w:w="0" w:type="auto"/>
          </w:tcPr>
          <w:p w14:paraId="127FA623" w14:textId="77777777" w:rsidR="009B7AED" w:rsidRPr="000C48E4" w:rsidRDefault="009B7AED" w:rsidP="002841D0">
            <w:pPr>
              <w:pStyle w:val="TMGTable1"/>
              <w:spacing w:before="10" w:after="10"/>
              <w:rPr>
                <w:rStyle w:val="Bold"/>
                <w:rFonts w:ascii="Calibri" w:hAnsi="Calibri" w:cs="Calibri"/>
                <w:b w:val="0"/>
                <w:bCs w:val="0"/>
                <w:sz w:val="20"/>
                <w:szCs w:val="20"/>
              </w:rPr>
            </w:pPr>
            <w:r w:rsidRPr="000C48E4">
              <w:rPr>
                <w:rStyle w:val="Bold"/>
                <w:rFonts w:ascii="Calibri" w:hAnsi="Calibri" w:cs="Calibri"/>
                <w:sz w:val="20"/>
                <w:szCs w:val="20"/>
              </w:rPr>
              <w:t>4-9</w:t>
            </w:r>
          </w:p>
        </w:tc>
        <w:tc>
          <w:tcPr>
            <w:tcW w:w="0" w:type="auto"/>
          </w:tcPr>
          <w:p w14:paraId="461546EF" w14:textId="77777777" w:rsidR="009B7AED" w:rsidRPr="000C48E4" w:rsidRDefault="009B7AED" w:rsidP="002841D0">
            <w:pPr>
              <w:pStyle w:val="TMGTable1"/>
              <w:spacing w:before="10" w:after="10"/>
              <w:rPr>
                <w:rStyle w:val="Bold"/>
                <w:rFonts w:ascii="Calibri" w:hAnsi="Calibri" w:cs="Calibri"/>
                <w:b w:val="0"/>
                <w:bCs w:val="0"/>
                <w:sz w:val="20"/>
                <w:szCs w:val="20"/>
              </w:rPr>
            </w:pPr>
            <w:r w:rsidRPr="000C48E4">
              <w:rPr>
                <w:rStyle w:val="Bold"/>
                <w:rFonts w:ascii="Calibri" w:hAnsi="Calibri" w:cs="Calibri"/>
                <w:sz w:val="20"/>
                <w:szCs w:val="20"/>
              </w:rPr>
              <w:t>10</w:t>
            </w:r>
          </w:p>
        </w:tc>
        <w:tc>
          <w:tcPr>
            <w:tcW w:w="0" w:type="auto"/>
          </w:tcPr>
          <w:p w14:paraId="394F1DD6" w14:textId="77777777" w:rsidR="009B7AED" w:rsidRPr="000C48E4" w:rsidRDefault="009B7AED" w:rsidP="002841D0">
            <w:pPr>
              <w:pStyle w:val="TMGTable1"/>
              <w:spacing w:before="10" w:after="10"/>
              <w:rPr>
                <w:rStyle w:val="Bold"/>
                <w:rFonts w:ascii="Calibri" w:hAnsi="Calibri" w:cs="Calibri"/>
                <w:b w:val="0"/>
                <w:bCs w:val="0"/>
                <w:sz w:val="20"/>
                <w:szCs w:val="20"/>
              </w:rPr>
            </w:pPr>
            <w:r w:rsidRPr="000C48E4">
              <w:rPr>
                <w:rStyle w:val="Bold"/>
                <w:rFonts w:ascii="Calibri" w:hAnsi="Calibri" w:cs="Calibri"/>
                <w:sz w:val="20"/>
                <w:szCs w:val="20"/>
              </w:rPr>
              <w:t>11</w:t>
            </w:r>
          </w:p>
        </w:tc>
        <w:tc>
          <w:tcPr>
            <w:tcW w:w="0" w:type="auto"/>
          </w:tcPr>
          <w:p w14:paraId="2B385A82" w14:textId="77777777" w:rsidR="009B7AED" w:rsidRPr="000C48E4" w:rsidRDefault="009B7AED" w:rsidP="002841D0">
            <w:pPr>
              <w:pStyle w:val="TMGTable1"/>
              <w:spacing w:before="10" w:after="10"/>
              <w:rPr>
                <w:rStyle w:val="Bold"/>
                <w:rFonts w:ascii="Calibri" w:hAnsi="Calibri" w:cs="Calibri"/>
                <w:b w:val="0"/>
                <w:bCs w:val="0"/>
                <w:sz w:val="20"/>
                <w:szCs w:val="20"/>
              </w:rPr>
            </w:pPr>
            <w:r w:rsidRPr="000C48E4">
              <w:rPr>
                <w:rStyle w:val="Bold"/>
                <w:rFonts w:ascii="Calibri" w:hAnsi="Calibri" w:cs="Calibri"/>
                <w:sz w:val="20"/>
                <w:szCs w:val="20"/>
              </w:rPr>
              <w:t>12-15</w:t>
            </w:r>
          </w:p>
        </w:tc>
        <w:tc>
          <w:tcPr>
            <w:tcW w:w="0" w:type="auto"/>
          </w:tcPr>
          <w:p w14:paraId="2BF4F6CF" w14:textId="77777777" w:rsidR="009B7AED" w:rsidRPr="000C48E4" w:rsidRDefault="009B7AED" w:rsidP="002841D0">
            <w:pPr>
              <w:pStyle w:val="TMGTable1"/>
              <w:spacing w:before="10" w:after="10"/>
              <w:rPr>
                <w:rStyle w:val="Bold"/>
                <w:rFonts w:ascii="Calibri" w:hAnsi="Calibri" w:cs="Calibri"/>
                <w:b w:val="0"/>
                <w:bCs w:val="0"/>
                <w:sz w:val="20"/>
                <w:szCs w:val="20"/>
              </w:rPr>
            </w:pPr>
            <w:r w:rsidRPr="000C48E4">
              <w:rPr>
                <w:rStyle w:val="Bold"/>
                <w:rFonts w:ascii="Calibri" w:hAnsi="Calibri" w:cs="Calibri"/>
                <w:sz w:val="20"/>
                <w:szCs w:val="20"/>
              </w:rPr>
              <w:t>16-17</w:t>
            </w:r>
          </w:p>
        </w:tc>
        <w:tc>
          <w:tcPr>
            <w:tcW w:w="0" w:type="auto"/>
          </w:tcPr>
          <w:p w14:paraId="6FAD24E9" w14:textId="77777777" w:rsidR="009B7AED" w:rsidRPr="000C48E4" w:rsidRDefault="009B7AED" w:rsidP="002841D0">
            <w:pPr>
              <w:pStyle w:val="TMGTable1"/>
              <w:spacing w:before="10" w:after="10"/>
              <w:rPr>
                <w:rStyle w:val="Bold"/>
                <w:rFonts w:ascii="Calibri" w:hAnsi="Calibri" w:cs="Calibri"/>
                <w:b w:val="0"/>
                <w:bCs w:val="0"/>
                <w:sz w:val="20"/>
                <w:szCs w:val="20"/>
              </w:rPr>
            </w:pPr>
            <w:r w:rsidRPr="000C48E4">
              <w:rPr>
                <w:rStyle w:val="Bold"/>
                <w:rFonts w:ascii="Calibri" w:hAnsi="Calibri" w:cs="Calibri"/>
                <w:sz w:val="20"/>
                <w:szCs w:val="20"/>
              </w:rPr>
              <w:t>18-19</w:t>
            </w:r>
          </w:p>
        </w:tc>
        <w:tc>
          <w:tcPr>
            <w:tcW w:w="0" w:type="auto"/>
          </w:tcPr>
          <w:p w14:paraId="606DE3F2" w14:textId="77777777" w:rsidR="009B7AED" w:rsidRPr="000C48E4" w:rsidRDefault="009B7AED" w:rsidP="002841D0">
            <w:pPr>
              <w:pStyle w:val="TMGTable1"/>
              <w:spacing w:before="10" w:after="10"/>
              <w:rPr>
                <w:rStyle w:val="Bold"/>
                <w:rFonts w:ascii="Calibri" w:hAnsi="Calibri" w:cs="Calibri"/>
                <w:b w:val="0"/>
                <w:bCs w:val="0"/>
                <w:sz w:val="20"/>
                <w:szCs w:val="20"/>
              </w:rPr>
            </w:pPr>
            <w:r w:rsidRPr="000C48E4">
              <w:rPr>
                <w:rStyle w:val="Bold"/>
                <w:rFonts w:ascii="Calibri" w:hAnsi="Calibri" w:cs="Calibri"/>
                <w:sz w:val="20"/>
                <w:szCs w:val="20"/>
              </w:rPr>
              <w:t>20-21</w:t>
            </w:r>
          </w:p>
        </w:tc>
        <w:tc>
          <w:tcPr>
            <w:tcW w:w="0" w:type="auto"/>
          </w:tcPr>
          <w:p w14:paraId="72CEAAEE" w14:textId="77777777" w:rsidR="009B7AED" w:rsidRPr="000C48E4" w:rsidRDefault="009B7AED" w:rsidP="002841D0">
            <w:pPr>
              <w:pStyle w:val="TMGTable1"/>
              <w:spacing w:before="10" w:after="10"/>
              <w:rPr>
                <w:rStyle w:val="Bold"/>
                <w:rFonts w:ascii="Calibri" w:hAnsi="Calibri" w:cs="Calibri"/>
                <w:b w:val="0"/>
                <w:bCs w:val="0"/>
                <w:sz w:val="20"/>
                <w:szCs w:val="20"/>
              </w:rPr>
            </w:pPr>
            <w:r w:rsidRPr="000C48E4">
              <w:rPr>
                <w:rStyle w:val="Bold"/>
                <w:rFonts w:ascii="Calibri" w:hAnsi="Calibri" w:cs="Calibri"/>
                <w:sz w:val="20"/>
                <w:szCs w:val="20"/>
              </w:rPr>
              <w:t>22-23</w:t>
            </w:r>
          </w:p>
        </w:tc>
        <w:tc>
          <w:tcPr>
            <w:tcW w:w="0" w:type="auto"/>
          </w:tcPr>
          <w:p w14:paraId="7D805B80" w14:textId="77777777" w:rsidR="009B7AED" w:rsidRPr="000C48E4" w:rsidRDefault="009B7AED" w:rsidP="002841D0">
            <w:pPr>
              <w:pStyle w:val="TMGTable1"/>
              <w:spacing w:before="10" w:after="10"/>
              <w:rPr>
                <w:rStyle w:val="Bold"/>
                <w:rFonts w:ascii="Calibri" w:hAnsi="Calibri" w:cs="Calibri"/>
                <w:b w:val="0"/>
                <w:bCs w:val="0"/>
                <w:sz w:val="20"/>
                <w:szCs w:val="20"/>
              </w:rPr>
            </w:pPr>
            <w:r w:rsidRPr="000C48E4">
              <w:rPr>
                <w:rStyle w:val="Bold"/>
                <w:rFonts w:ascii="Calibri" w:hAnsi="Calibri" w:cs="Calibri"/>
                <w:sz w:val="20"/>
                <w:szCs w:val="20"/>
              </w:rPr>
              <w:t>24-26</w:t>
            </w:r>
          </w:p>
        </w:tc>
        <w:tc>
          <w:tcPr>
            <w:tcW w:w="0" w:type="auto"/>
          </w:tcPr>
          <w:p w14:paraId="40434532" w14:textId="77777777" w:rsidR="009B7AED" w:rsidRPr="000C48E4" w:rsidRDefault="009B7AED" w:rsidP="002841D0">
            <w:pPr>
              <w:pStyle w:val="TMGTable1"/>
              <w:spacing w:before="10" w:after="10"/>
              <w:rPr>
                <w:rStyle w:val="Bold"/>
                <w:rFonts w:ascii="Calibri" w:hAnsi="Calibri" w:cs="Calibri"/>
                <w:b w:val="0"/>
                <w:bCs w:val="0"/>
                <w:sz w:val="20"/>
                <w:szCs w:val="20"/>
              </w:rPr>
            </w:pPr>
            <w:r w:rsidRPr="000C48E4">
              <w:rPr>
                <w:rStyle w:val="Bold"/>
                <w:rFonts w:ascii="Calibri" w:hAnsi="Calibri" w:cs="Calibri"/>
                <w:sz w:val="20"/>
                <w:szCs w:val="20"/>
              </w:rPr>
              <w:t>27-32</w:t>
            </w:r>
          </w:p>
        </w:tc>
        <w:tc>
          <w:tcPr>
            <w:tcW w:w="0" w:type="auto"/>
          </w:tcPr>
          <w:p w14:paraId="6FC26734" w14:textId="77777777" w:rsidR="009B7AED" w:rsidRPr="000C48E4" w:rsidRDefault="009B7AED" w:rsidP="002841D0">
            <w:pPr>
              <w:pStyle w:val="TMGTable1"/>
              <w:spacing w:before="10" w:after="10"/>
              <w:rPr>
                <w:rStyle w:val="Bold"/>
                <w:rFonts w:ascii="Calibri" w:hAnsi="Calibri" w:cs="Calibri"/>
                <w:b w:val="0"/>
                <w:bCs w:val="0"/>
                <w:sz w:val="20"/>
                <w:szCs w:val="20"/>
              </w:rPr>
            </w:pPr>
            <w:r w:rsidRPr="000C48E4">
              <w:rPr>
                <w:rStyle w:val="Bold"/>
                <w:rFonts w:ascii="Calibri" w:hAnsi="Calibri" w:cs="Calibri"/>
                <w:sz w:val="20"/>
                <w:szCs w:val="20"/>
              </w:rPr>
              <w:t>33-34</w:t>
            </w:r>
          </w:p>
        </w:tc>
        <w:tc>
          <w:tcPr>
            <w:tcW w:w="0" w:type="auto"/>
          </w:tcPr>
          <w:p w14:paraId="0FFE2024" w14:textId="77777777" w:rsidR="009B7AED" w:rsidRPr="000C48E4" w:rsidRDefault="009B7AED" w:rsidP="002841D0">
            <w:pPr>
              <w:pStyle w:val="TMGTable1"/>
              <w:spacing w:before="10" w:after="10"/>
              <w:rPr>
                <w:rStyle w:val="Bold"/>
                <w:rFonts w:ascii="Calibri" w:hAnsi="Calibri" w:cs="Calibri"/>
                <w:b w:val="0"/>
                <w:bCs w:val="0"/>
                <w:sz w:val="20"/>
                <w:szCs w:val="20"/>
              </w:rPr>
            </w:pPr>
            <w:r w:rsidRPr="000C48E4">
              <w:rPr>
                <w:rStyle w:val="Bold"/>
                <w:rFonts w:ascii="Calibri" w:hAnsi="Calibri" w:cs="Calibri"/>
                <w:sz w:val="20"/>
                <w:szCs w:val="20"/>
              </w:rPr>
              <w:t>35-39</w:t>
            </w:r>
          </w:p>
        </w:tc>
        <w:tc>
          <w:tcPr>
            <w:tcW w:w="0" w:type="auto"/>
          </w:tcPr>
          <w:p w14:paraId="2323CE6F" w14:textId="77777777" w:rsidR="009B7AED" w:rsidRPr="000C48E4" w:rsidRDefault="009B7AED" w:rsidP="002841D0">
            <w:pPr>
              <w:pStyle w:val="TMGTable1"/>
              <w:spacing w:before="10" w:after="10"/>
              <w:rPr>
                <w:rStyle w:val="Bold"/>
                <w:rFonts w:ascii="Calibri" w:hAnsi="Calibri" w:cs="Calibri"/>
                <w:b w:val="0"/>
                <w:bCs w:val="0"/>
                <w:sz w:val="20"/>
                <w:szCs w:val="20"/>
              </w:rPr>
            </w:pPr>
            <w:r w:rsidRPr="000C48E4">
              <w:rPr>
                <w:rStyle w:val="Bold"/>
                <w:rFonts w:ascii="Calibri" w:hAnsi="Calibri" w:cs="Calibri"/>
                <w:sz w:val="20"/>
                <w:szCs w:val="20"/>
              </w:rPr>
              <w:t>40-43</w:t>
            </w:r>
          </w:p>
        </w:tc>
        <w:tc>
          <w:tcPr>
            <w:tcW w:w="0" w:type="auto"/>
          </w:tcPr>
          <w:p w14:paraId="2FB34B7F" w14:textId="77777777" w:rsidR="009B7AED" w:rsidRPr="000C48E4" w:rsidRDefault="009B7AED" w:rsidP="002841D0">
            <w:pPr>
              <w:pStyle w:val="TMGTable1"/>
              <w:spacing w:before="10" w:after="10"/>
              <w:rPr>
                <w:rStyle w:val="Bold"/>
                <w:rFonts w:ascii="Calibri" w:hAnsi="Calibri" w:cs="Calibri"/>
                <w:b w:val="0"/>
                <w:bCs w:val="0"/>
                <w:sz w:val="20"/>
                <w:szCs w:val="20"/>
              </w:rPr>
            </w:pPr>
            <w:r w:rsidRPr="000C48E4">
              <w:rPr>
                <w:rStyle w:val="Bold"/>
                <w:rFonts w:ascii="Calibri" w:hAnsi="Calibri" w:cs="Calibri"/>
                <w:sz w:val="20"/>
                <w:szCs w:val="20"/>
              </w:rPr>
              <w:t>44-48</w:t>
            </w:r>
          </w:p>
        </w:tc>
        <w:tc>
          <w:tcPr>
            <w:tcW w:w="0" w:type="auto"/>
          </w:tcPr>
          <w:p w14:paraId="0C641271" w14:textId="77777777" w:rsidR="009B7AED" w:rsidRPr="000C48E4" w:rsidRDefault="009B7AED" w:rsidP="002841D0">
            <w:pPr>
              <w:pStyle w:val="TMGTable1"/>
              <w:spacing w:before="10" w:after="10"/>
              <w:rPr>
                <w:rStyle w:val="Bold"/>
                <w:rFonts w:ascii="Calibri" w:hAnsi="Calibri" w:cs="Calibri"/>
                <w:b w:val="0"/>
                <w:bCs w:val="0"/>
                <w:sz w:val="20"/>
                <w:szCs w:val="20"/>
              </w:rPr>
            </w:pPr>
            <w:r w:rsidRPr="000C48E4">
              <w:rPr>
                <w:rStyle w:val="Bold"/>
                <w:rFonts w:ascii="Calibri" w:hAnsi="Calibri" w:cs="Calibri"/>
                <w:sz w:val="20"/>
                <w:szCs w:val="20"/>
              </w:rPr>
              <w:t>49-52</w:t>
            </w:r>
          </w:p>
        </w:tc>
        <w:tc>
          <w:tcPr>
            <w:tcW w:w="0" w:type="auto"/>
          </w:tcPr>
          <w:p w14:paraId="76244194" w14:textId="77777777" w:rsidR="009B7AED" w:rsidRPr="000C48E4" w:rsidRDefault="009B7AED" w:rsidP="002841D0">
            <w:pPr>
              <w:pStyle w:val="TMGTable1"/>
              <w:spacing w:before="10" w:after="10"/>
              <w:rPr>
                <w:rStyle w:val="Bold"/>
                <w:rFonts w:ascii="Calibri" w:hAnsi="Calibri" w:cs="Calibri"/>
                <w:b w:val="0"/>
                <w:bCs w:val="0"/>
                <w:sz w:val="20"/>
                <w:szCs w:val="20"/>
              </w:rPr>
            </w:pPr>
            <w:r w:rsidRPr="000C48E4">
              <w:rPr>
                <w:rStyle w:val="Bold"/>
                <w:rFonts w:ascii="Calibri" w:hAnsi="Calibri" w:cs="Calibri"/>
                <w:sz w:val="20"/>
                <w:szCs w:val="20"/>
              </w:rPr>
              <w:t>53-57</w:t>
            </w:r>
          </w:p>
        </w:tc>
        <w:tc>
          <w:tcPr>
            <w:tcW w:w="0" w:type="auto"/>
          </w:tcPr>
          <w:p w14:paraId="67F4C45F" w14:textId="77777777" w:rsidR="009B7AED" w:rsidRPr="000C48E4" w:rsidRDefault="009B7AED" w:rsidP="002841D0">
            <w:pPr>
              <w:pStyle w:val="TMGTable1"/>
              <w:spacing w:before="10" w:after="10"/>
              <w:rPr>
                <w:rStyle w:val="Bold"/>
                <w:rFonts w:ascii="Calibri" w:hAnsi="Calibri" w:cs="Calibri"/>
                <w:b w:val="0"/>
                <w:bCs w:val="0"/>
                <w:sz w:val="20"/>
                <w:szCs w:val="20"/>
              </w:rPr>
            </w:pPr>
            <w:r w:rsidRPr="000C48E4">
              <w:rPr>
                <w:rStyle w:val="Bold"/>
                <w:rFonts w:ascii="Calibri" w:hAnsi="Calibri" w:cs="Calibri"/>
                <w:sz w:val="20"/>
                <w:szCs w:val="20"/>
              </w:rPr>
              <w:t>58-61</w:t>
            </w:r>
          </w:p>
        </w:tc>
      </w:tr>
      <w:tr w:rsidR="009B7AED" w:rsidRPr="000C48E4" w14:paraId="2F56C8F7" w14:textId="77777777" w:rsidTr="00E1261E">
        <w:trPr>
          <w:trHeight w:val="20"/>
        </w:trPr>
        <w:tc>
          <w:tcPr>
            <w:tcW w:w="1165" w:type="dxa"/>
          </w:tcPr>
          <w:p w14:paraId="0DB77B17" w14:textId="77777777" w:rsidR="009B7AED" w:rsidRPr="000C48E4" w:rsidRDefault="009B7AED" w:rsidP="002841D0">
            <w:pPr>
              <w:pStyle w:val="TMGTable1"/>
              <w:spacing w:before="10" w:after="10"/>
              <w:jc w:val="left"/>
              <w:rPr>
                <w:rStyle w:val="Bold"/>
                <w:rFonts w:ascii="Calibri" w:hAnsi="Calibri" w:cs="Calibri"/>
                <w:bCs/>
                <w:sz w:val="20"/>
                <w:szCs w:val="20"/>
              </w:rPr>
            </w:pPr>
            <w:r w:rsidRPr="000C48E4">
              <w:rPr>
                <w:rStyle w:val="Bold"/>
                <w:rFonts w:ascii="Calibri" w:hAnsi="Calibri" w:cs="Calibri"/>
                <w:sz w:val="20"/>
                <w:szCs w:val="20"/>
              </w:rPr>
              <w:t>Content 01 Example:</w:t>
            </w:r>
          </w:p>
        </w:tc>
        <w:tc>
          <w:tcPr>
            <w:tcW w:w="510" w:type="dxa"/>
          </w:tcPr>
          <w:p w14:paraId="52F9CA7E"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W</w:t>
            </w:r>
          </w:p>
        </w:tc>
        <w:tc>
          <w:tcPr>
            <w:tcW w:w="0" w:type="auto"/>
          </w:tcPr>
          <w:p w14:paraId="53DA12E6"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17</w:t>
            </w:r>
          </w:p>
        </w:tc>
        <w:tc>
          <w:tcPr>
            <w:tcW w:w="0" w:type="auto"/>
          </w:tcPr>
          <w:p w14:paraId="7013D433"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018115</w:t>
            </w:r>
          </w:p>
        </w:tc>
        <w:tc>
          <w:tcPr>
            <w:tcW w:w="0" w:type="auto"/>
          </w:tcPr>
          <w:p w14:paraId="43C08FC7"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3</w:t>
            </w:r>
          </w:p>
        </w:tc>
        <w:tc>
          <w:tcPr>
            <w:tcW w:w="0" w:type="auto"/>
          </w:tcPr>
          <w:p w14:paraId="4D58AAD2"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1</w:t>
            </w:r>
          </w:p>
        </w:tc>
        <w:tc>
          <w:tcPr>
            <w:tcW w:w="0" w:type="auto"/>
          </w:tcPr>
          <w:p w14:paraId="5D9E18D9"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2012</w:t>
            </w:r>
          </w:p>
        </w:tc>
        <w:tc>
          <w:tcPr>
            <w:tcW w:w="0" w:type="auto"/>
          </w:tcPr>
          <w:p w14:paraId="152C1F84"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11</w:t>
            </w:r>
          </w:p>
        </w:tc>
        <w:tc>
          <w:tcPr>
            <w:tcW w:w="0" w:type="auto"/>
          </w:tcPr>
          <w:p w14:paraId="58C1C6E5"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07</w:t>
            </w:r>
          </w:p>
        </w:tc>
        <w:tc>
          <w:tcPr>
            <w:tcW w:w="0" w:type="auto"/>
          </w:tcPr>
          <w:p w14:paraId="1CF82505"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16</w:t>
            </w:r>
          </w:p>
        </w:tc>
        <w:tc>
          <w:tcPr>
            <w:tcW w:w="0" w:type="auto"/>
          </w:tcPr>
          <w:p w14:paraId="76B104E2"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09</w:t>
            </w:r>
          </w:p>
        </w:tc>
        <w:tc>
          <w:tcPr>
            <w:tcW w:w="0" w:type="auto"/>
          </w:tcPr>
          <w:p w14:paraId="00154AAA"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Blank</w:t>
            </w:r>
          </w:p>
        </w:tc>
        <w:tc>
          <w:tcPr>
            <w:tcW w:w="0" w:type="auto"/>
          </w:tcPr>
          <w:p w14:paraId="4BDE1946"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057886</w:t>
            </w:r>
          </w:p>
        </w:tc>
        <w:tc>
          <w:tcPr>
            <w:tcW w:w="0" w:type="auto"/>
          </w:tcPr>
          <w:p w14:paraId="227C7124"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05</w:t>
            </w:r>
          </w:p>
        </w:tc>
        <w:tc>
          <w:tcPr>
            <w:tcW w:w="0" w:type="auto"/>
          </w:tcPr>
          <w:p w14:paraId="1B0D49F9"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11210</w:t>
            </w:r>
          </w:p>
        </w:tc>
        <w:tc>
          <w:tcPr>
            <w:tcW w:w="0" w:type="auto"/>
          </w:tcPr>
          <w:p w14:paraId="67DB8B67"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0151</w:t>
            </w:r>
          </w:p>
        </w:tc>
        <w:tc>
          <w:tcPr>
            <w:tcW w:w="0" w:type="auto"/>
          </w:tcPr>
          <w:p w14:paraId="6C7FE63A"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12300</w:t>
            </w:r>
          </w:p>
        </w:tc>
        <w:tc>
          <w:tcPr>
            <w:tcW w:w="0" w:type="auto"/>
          </w:tcPr>
          <w:p w14:paraId="01B029EC"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0045</w:t>
            </w:r>
          </w:p>
        </w:tc>
        <w:tc>
          <w:tcPr>
            <w:tcW w:w="0" w:type="auto"/>
          </w:tcPr>
          <w:p w14:paraId="5E44F71C"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13730</w:t>
            </w:r>
          </w:p>
        </w:tc>
        <w:tc>
          <w:tcPr>
            <w:tcW w:w="0" w:type="auto"/>
          </w:tcPr>
          <w:p w14:paraId="16C8C5BE"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0214</w:t>
            </w:r>
          </w:p>
        </w:tc>
      </w:tr>
      <w:tr w:rsidR="009B7AED" w:rsidRPr="000C48E4" w14:paraId="0B0577D1" w14:textId="77777777" w:rsidTr="00E1261E">
        <w:trPr>
          <w:trHeight w:val="20"/>
        </w:trPr>
        <w:tc>
          <w:tcPr>
            <w:tcW w:w="1165" w:type="dxa"/>
          </w:tcPr>
          <w:p w14:paraId="2F687563" w14:textId="77777777" w:rsidR="009B7AED" w:rsidRPr="000C48E4" w:rsidRDefault="009B7AED" w:rsidP="002841D0">
            <w:pPr>
              <w:pStyle w:val="TMGTable1"/>
              <w:spacing w:before="10" w:after="10"/>
              <w:jc w:val="left"/>
              <w:rPr>
                <w:rStyle w:val="Bold"/>
                <w:rFonts w:ascii="Calibri" w:hAnsi="Calibri" w:cs="Calibri"/>
                <w:bCs/>
                <w:sz w:val="20"/>
                <w:szCs w:val="20"/>
              </w:rPr>
            </w:pPr>
            <w:r w:rsidRPr="000C48E4">
              <w:rPr>
                <w:rStyle w:val="Bold"/>
                <w:rFonts w:ascii="Calibri" w:hAnsi="Calibri" w:cs="Calibri"/>
                <w:sz w:val="20"/>
                <w:szCs w:val="20"/>
              </w:rPr>
              <w:t>Content 02 Example:</w:t>
            </w:r>
          </w:p>
        </w:tc>
        <w:tc>
          <w:tcPr>
            <w:tcW w:w="510" w:type="dxa"/>
          </w:tcPr>
          <w:p w14:paraId="556C1FA5"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W</w:t>
            </w:r>
          </w:p>
        </w:tc>
        <w:tc>
          <w:tcPr>
            <w:tcW w:w="0" w:type="auto"/>
          </w:tcPr>
          <w:p w14:paraId="3006DE20"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17</w:t>
            </w:r>
          </w:p>
        </w:tc>
        <w:tc>
          <w:tcPr>
            <w:tcW w:w="0" w:type="auto"/>
          </w:tcPr>
          <w:p w14:paraId="12843BA8"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018115</w:t>
            </w:r>
          </w:p>
        </w:tc>
        <w:tc>
          <w:tcPr>
            <w:tcW w:w="0" w:type="auto"/>
          </w:tcPr>
          <w:p w14:paraId="75F16130"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3</w:t>
            </w:r>
          </w:p>
        </w:tc>
        <w:tc>
          <w:tcPr>
            <w:tcW w:w="0" w:type="auto"/>
          </w:tcPr>
          <w:p w14:paraId="482A6161"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1</w:t>
            </w:r>
          </w:p>
        </w:tc>
        <w:tc>
          <w:tcPr>
            <w:tcW w:w="0" w:type="auto"/>
          </w:tcPr>
          <w:p w14:paraId="1CE6924B"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2012</w:t>
            </w:r>
          </w:p>
        </w:tc>
        <w:tc>
          <w:tcPr>
            <w:tcW w:w="0" w:type="auto"/>
          </w:tcPr>
          <w:p w14:paraId="548708BC"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11</w:t>
            </w:r>
          </w:p>
        </w:tc>
        <w:tc>
          <w:tcPr>
            <w:tcW w:w="0" w:type="auto"/>
          </w:tcPr>
          <w:p w14:paraId="5B66E4B2"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07</w:t>
            </w:r>
          </w:p>
        </w:tc>
        <w:tc>
          <w:tcPr>
            <w:tcW w:w="0" w:type="auto"/>
          </w:tcPr>
          <w:p w14:paraId="156056AF"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16</w:t>
            </w:r>
          </w:p>
        </w:tc>
        <w:tc>
          <w:tcPr>
            <w:tcW w:w="0" w:type="auto"/>
          </w:tcPr>
          <w:p w14:paraId="2BEA3F22"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04</w:t>
            </w:r>
          </w:p>
        </w:tc>
        <w:tc>
          <w:tcPr>
            <w:tcW w:w="0" w:type="auto"/>
          </w:tcPr>
          <w:p w14:paraId="5484C0BC"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Blank</w:t>
            </w:r>
          </w:p>
        </w:tc>
        <w:tc>
          <w:tcPr>
            <w:tcW w:w="0" w:type="auto"/>
          </w:tcPr>
          <w:p w14:paraId="03E2CDC8"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018351</w:t>
            </w:r>
          </w:p>
        </w:tc>
        <w:tc>
          <w:tcPr>
            <w:tcW w:w="0" w:type="auto"/>
          </w:tcPr>
          <w:p w14:paraId="2EFD3132"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02</w:t>
            </w:r>
          </w:p>
        </w:tc>
        <w:tc>
          <w:tcPr>
            <w:tcW w:w="0" w:type="auto"/>
          </w:tcPr>
          <w:p w14:paraId="42552634"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08522</w:t>
            </w:r>
          </w:p>
        </w:tc>
        <w:tc>
          <w:tcPr>
            <w:tcW w:w="0" w:type="auto"/>
          </w:tcPr>
          <w:p w14:paraId="57A766F7"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0252</w:t>
            </w:r>
          </w:p>
        </w:tc>
        <w:tc>
          <w:tcPr>
            <w:tcW w:w="0" w:type="auto"/>
          </w:tcPr>
          <w:p w14:paraId="4C25F5E9"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09829</w:t>
            </w:r>
          </w:p>
        </w:tc>
        <w:tc>
          <w:tcPr>
            <w:tcW w:w="0" w:type="auto"/>
          </w:tcPr>
          <w:p w14:paraId="6757BFDD"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Blank</w:t>
            </w:r>
          </w:p>
        </w:tc>
        <w:tc>
          <w:tcPr>
            <w:tcW w:w="0" w:type="auto"/>
          </w:tcPr>
          <w:p w14:paraId="2C68616B"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Blank</w:t>
            </w:r>
          </w:p>
        </w:tc>
        <w:tc>
          <w:tcPr>
            <w:tcW w:w="0" w:type="auto"/>
          </w:tcPr>
          <w:p w14:paraId="3B6E216F"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Blank</w:t>
            </w:r>
          </w:p>
        </w:tc>
      </w:tr>
      <w:tr w:rsidR="009B7AED" w:rsidRPr="000C48E4" w14:paraId="468BAF2C" w14:textId="77777777" w:rsidTr="00E1261E">
        <w:trPr>
          <w:trHeight w:val="20"/>
        </w:trPr>
        <w:tc>
          <w:tcPr>
            <w:tcW w:w="1165" w:type="dxa"/>
          </w:tcPr>
          <w:p w14:paraId="6BD25441" w14:textId="77777777" w:rsidR="009B7AED" w:rsidRPr="000C48E4" w:rsidRDefault="009B7AED" w:rsidP="002841D0">
            <w:pPr>
              <w:pStyle w:val="TMGTable1"/>
              <w:spacing w:before="10" w:after="10"/>
              <w:jc w:val="left"/>
              <w:rPr>
                <w:rStyle w:val="Bold"/>
                <w:rFonts w:ascii="Calibri" w:hAnsi="Calibri" w:cs="Calibri"/>
                <w:bCs/>
                <w:sz w:val="20"/>
                <w:szCs w:val="20"/>
              </w:rPr>
            </w:pPr>
            <w:r w:rsidRPr="000C48E4">
              <w:rPr>
                <w:rStyle w:val="Bold"/>
                <w:rFonts w:ascii="Calibri" w:hAnsi="Calibri" w:cs="Calibri"/>
                <w:sz w:val="20"/>
                <w:szCs w:val="20"/>
              </w:rPr>
              <w:t>Content 03 Example:</w:t>
            </w:r>
          </w:p>
        </w:tc>
        <w:tc>
          <w:tcPr>
            <w:tcW w:w="510" w:type="dxa"/>
          </w:tcPr>
          <w:p w14:paraId="7EF73ED1"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W</w:t>
            </w:r>
          </w:p>
        </w:tc>
        <w:tc>
          <w:tcPr>
            <w:tcW w:w="0" w:type="auto"/>
          </w:tcPr>
          <w:p w14:paraId="6E31C5D8"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17</w:t>
            </w:r>
          </w:p>
        </w:tc>
        <w:tc>
          <w:tcPr>
            <w:tcW w:w="0" w:type="auto"/>
          </w:tcPr>
          <w:p w14:paraId="067FDB4B"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018115</w:t>
            </w:r>
          </w:p>
        </w:tc>
        <w:tc>
          <w:tcPr>
            <w:tcW w:w="0" w:type="auto"/>
          </w:tcPr>
          <w:p w14:paraId="720C8E68"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3</w:t>
            </w:r>
          </w:p>
        </w:tc>
        <w:tc>
          <w:tcPr>
            <w:tcW w:w="0" w:type="auto"/>
          </w:tcPr>
          <w:p w14:paraId="66C01487"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1</w:t>
            </w:r>
          </w:p>
        </w:tc>
        <w:tc>
          <w:tcPr>
            <w:tcW w:w="0" w:type="auto"/>
          </w:tcPr>
          <w:p w14:paraId="71E07CD8"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2012</w:t>
            </w:r>
          </w:p>
        </w:tc>
        <w:tc>
          <w:tcPr>
            <w:tcW w:w="0" w:type="auto"/>
          </w:tcPr>
          <w:p w14:paraId="4C2269B2"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11</w:t>
            </w:r>
          </w:p>
        </w:tc>
        <w:tc>
          <w:tcPr>
            <w:tcW w:w="0" w:type="auto"/>
          </w:tcPr>
          <w:p w14:paraId="5F3DBBFC"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07</w:t>
            </w:r>
          </w:p>
        </w:tc>
        <w:tc>
          <w:tcPr>
            <w:tcW w:w="0" w:type="auto"/>
          </w:tcPr>
          <w:p w14:paraId="5E61A915"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16</w:t>
            </w:r>
          </w:p>
        </w:tc>
        <w:tc>
          <w:tcPr>
            <w:tcW w:w="0" w:type="auto"/>
          </w:tcPr>
          <w:p w14:paraId="63A0721A"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06</w:t>
            </w:r>
          </w:p>
        </w:tc>
        <w:tc>
          <w:tcPr>
            <w:tcW w:w="0" w:type="auto"/>
          </w:tcPr>
          <w:p w14:paraId="1D4649BB"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Blank</w:t>
            </w:r>
          </w:p>
        </w:tc>
        <w:tc>
          <w:tcPr>
            <w:tcW w:w="0" w:type="auto"/>
          </w:tcPr>
          <w:p w14:paraId="2C874F32"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047289</w:t>
            </w:r>
          </w:p>
        </w:tc>
        <w:tc>
          <w:tcPr>
            <w:tcW w:w="0" w:type="auto"/>
          </w:tcPr>
          <w:p w14:paraId="5DF5F6D9"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03</w:t>
            </w:r>
          </w:p>
        </w:tc>
        <w:tc>
          <w:tcPr>
            <w:tcW w:w="0" w:type="auto"/>
          </w:tcPr>
          <w:p w14:paraId="400BB9D3"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09818</w:t>
            </w:r>
          </w:p>
        </w:tc>
        <w:tc>
          <w:tcPr>
            <w:tcW w:w="0" w:type="auto"/>
          </w:tcPr>
          <w:p w14:paraId="1CE4A913"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0131</w:t>
            </w:r>
          </w:p>
        </w:tc>
        <w:tc>
          <w:tcPr>
            <w:tcW w:w="0" w:type="auto"/>
          </w:tcPr>
          <w:p w14:paraId="0B36F414"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19125</w:t>
            </w:r>
          </w:p>
        </w:tc>
        <w:tc>
          <w:tcPr>
            <w:tcW w:w="0" w:type="auto"/>
          </w:tcPr>
          <w:p w14:paraId="563E6341"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0046</w:t>
            </w:r>
          </w:p>
        </w:tc>
        <w:tc>
          <w:tcPr>
            <w:tcW w:w="0" w:type="auto"/>
          </w:tcPr>
          <w:p w14:paraId="32729319"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18346</w:t>
            </w:r>
          </w:p>
        </w:tc>
        <w:tc>
          <w:tcPr>
            <w:tcW w:w="0" w:type="auto"/>
          </w:tcPr>
          <w:p w14:paraId="708201CB" w14:textId="77777777" w:rsidR="009B7AED" w:rsidRPr="000C48E4" w:rsidRDefault="009B7AED" w:rsidP="002841D0">
            <w:pPr>
              <w:pStyle w:val="TMGTable1"/>
              <w:spacing w:before="10" w:after="10"/>
              <w:rPr>
                <w:rStyle w:val="Bold"/>
                <w:rFonts w:ascii="Calibri" w:hAnsi="Calibri" w:cs="Calibri"/>
                <w:b/>
                <w:bCs/>
                <w:sz w:val="20"/>
                <w:szCs w:val="20"/>
              </w:rPr>
            </w:pPr>
            <w:r w:rsidRPr="000C48E4">
              <w:rPr>
                <w:rStyle w:val="Bold"/>
                <w:rFonts w:ascii="Calibri" w:hAnsi="Calibri" w:cs="Calibri"/>
                <w:sz w:val="20"/>
                <w:szCs w:val="20"/>
              </w:rPr>
              <w:t>Blank</w:t>
            </w:r>
          </w:p>
        </w:tc>
      </w:tr>
    </w:tbl>
    <w:p w14:paraId="77CC1082" w14:textId="77777777" w:rsidR="009B7AED" w:rsidRPr="00D4282A" w:rsidRDefault="009B7AED" w:rsidP="00D4282A">
      <w:pPr>
        <w:pStyle w:val="BodyText"/>
        <w:spacing w:before="120"/>
        <w:rPr>
          <w:rStyle w:val="Italic"/>
          <w:iCs/>
        </w:rPr>
      </w:pPr>
      <w:r w:rsidRPr="00F153DC">
        <w:rPr>
          <w:rStyle w:val="Italic"/>
          <w:iCs/>
        </w:rPr>
        <w:t>continued</w:t>
      </w:r>
    </w:p>
    <w:tbl>
      <w:tblPr>
        <w:tblStyle w:val="TMGTable"/>
        <w:tblW w:w="11758"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165"/>
        <w:gridCol w:w="814"/>
        <w:gridCol w:w="815"/>
        <w:gridCol w:w="815"/>
        <w:gridCol w:w="815"/>
        <w:gridCol w:w="815"/>
        <w:gridCol w:w="815"/>
        <w:gridCol w:w="814"/>
        <w:gridCol w:w="815"/>
        <w:gridCol w:w="815"/>
        <w:gridCol w:w="815"/>
        <w:gridCol w:w="815"/>
        <w:gridCol w:w="815"/>
        <w:gridCol w:w="815"/>
      </w:tblGrid>
      <w:tr w:rsidR="00D4282A" w:rsidRPr="00D4282A" w14:paraId="0D94CDCF" w14:textId="77777777" w:rsidTr="00E1261E">
        <w:trPr>
          <w:cnfStyle w:val="100000000000" w:firstRow="1" w:lastRow="0" w:firstColumn="0" w:lastColumn="0" w:oddVBand="0" w:evenVBand="0" w:oddHBand="0" w:evenHBand="0" w:firstRowFirstColumn="0" w:firstRowLastColumn="0" w:lastRowFirstColumn="0" w:lastRowLastColumn="0"/>
          <w:trHeight w:val="20"/>
        </w:trPr>
        <w:tc>
          <w:tcPr>
            <w:tcW w:w="1165" w:type="dxa"/>
          </w:tcPr>
          <w:p w14:paraId="6AA25026" w14:textId="77777777" w:rsidR="009B7AED" w:rsidRPr="00D4282A" w:rsidRDefault="009B7AED" w:rsidP="002841D0">
            <w:pPr>
              <w:pStyle w:val="TMGTable1"/>
              <w:spacing w:before="10" w:after="10"/>
              <w:jc w:val="left"/>
              <w:rPr>
                <w:rFonts w:ascii="Calibri" w:hAnsi="Calibri" w:cs="Calibri"/>
                <w:b w:val="0"/>
                <w:bCs w:val="0"/>
                <w:sz w:val="20"/>
                <w:szCs w:val="20"/>
              </w:rPr>
            </w:pPr>
            <w:r w:rsidRPr="00D4282A">
              <w:rPr>
                <w:rStyle w:val="Bold"/>
                <w:rFonts w:ascii="Calibri" w:hAnsi="Calibri" w:cs="Calibri"/>
                <w:sz w:val="20"/>
                <w:szCs w:val="20"/>
              </w:rPr>
              <w:t>Column Number:</w:t>
            </w:r>
          </w:p>
        </w:tc>
        <w:tc>
          <w:tcPr>
            <w:tcW w:w="814" w:type="dxa"/>
          </w:tcPr>
          <w:p w14:paraId="6FE9A4A2" w14:textId="77777777" w:rsidR="009B7AED" w:rsidRPr="00D4282A" w:rsidRDefault="009B7AED" w:rsidP="002841D0">
            <w:pPr>
              <w:pStyle w:val="TMGTable1"/>
              <w:spacing w:before="10" w:after="10"/>
              <w:rPr>
                <w:rStyle w:val="Bold"/>
                <w:rFonts w:ascii="Calibri" w:hAnsi="Calibri" w:cs="Calibri"/>
                <w:b w:val="0"/>
                <w:bCs w:val="0"/>
                <w:sz w:val="20"/>
                <w:szCs w:val="20"/>
              </w:rPr>
            </w:pPr>
            <w:r w:rsidRPr="00D4282A">
              <w:rPr>
                <w:rStyle w:val="Bold"/>
                <w:rFonts w:ascii="Calibri" w:hAnsi="Calibri" w:cs="Calibri"/>
                <w:sz w:val="20"/>
                <w:szCs w:val="20"/>
              </w:rPr>
              <w:t>62-66</w:t>
            </w:r>
          </w:p>
        </w:tc>
        <w:tc>
          <w:tcPr>
            <w:tcW w:w="815" w:type="dxa"/>
          </w:tcPr>
          <w:p w14:paraId="715DCB17" w14:textId="77777777" w:rsidR="009B7AED" w:rsidRPr="00D4282A" w:rsidRDefault="009B7AED" w:rsidP="002841D0">
            <w:pPr>
              <w:pStyle w:val="TMGTable1"/>
              <w:spacing w:before="10" w:after="10"/>
              <w:rPr>
                <w:rStyle w:val="Bold"/>
                <w:rFonts w:ascii="Calibri" w:hAnsi="Calibri" w:cs="Calibri"/>
                <w:b w:val="0"/>
                <w:bCs w:val="0"/>
                <w:sz w:val="20"/>
                <w:szCs w:val="20"/>
              </w:rPr>
            </w:pPr>
            <w:r w:rsidRPr="00D4282A">
              <w:rPr>
                <w:rStyle w:val="Bold"/>
                <w:rFonts w:ascii="Calibri" w:hAnsi="Calibri" w:cs="Calibri"/>
                <w:sz w:val="20"/>
                <w:szCs w:val="20"/>
              </w:rPr>
              <w:t>67-70</w:t>
            </w:r>
          </w:p>
        </w:tc>
        <w:tc>
          <w:tcPr>
            <w:tcW w:w="815" w:type="dxa"/>
          </w:tcPr>
          <w:p w14:paraId="36453574" w14:textId="77777777" w:rsidR="009B7AED" w:rsidRPr="00D4282A" w:rsidRDefault="009B7AED" w:rsidP="002841D0">
            <w:pPr>
              <w:pStyle w:val="TMGTable1"/>
              <w:spacing w:before="10" w:after="10"/>
              <w:rPr>
                <w:rStyle w:val="Bold"/>
                <w:rFonts w:ascii="Calibri" w:hAnsi="Calibri" w:cs="Calibri"/>
                <w:b w:val="0"/>
                <w:bCs w:val="0"/>
                <w:sz w:val="20"/>
                <w:szCs w:val="20"/>
              </w:rPr>
            </w:pPr>
            <w:r w:rsidRPr="00D4282A">
              <w:rPr>
                <w:rStyle w:val="Bold"/>
                <w:rFonts w:ascii="Calibri" w:hAnsi="Calibri" w:cs="Calibri"/>
                <w:sz w:val="20"/>
                <w:szCs w:val="20"/>
              </w:rPr>
              <w:t>71-75</w:t>
            </w:r>
          </w:p>
        </w:tc>
        <w:tc>
          <w:tcPr>
            <w:tcW w:w="815" w:type="dxa"/>
          </w:tcPr>
          <w:p w14:paraId="182085F9" w14:textId="77777777" w:rsidR="009B7AED" w:rsidRPr="00D4282A" w:rsidRDefault="009B7AED" w:rsidP="002841D0">
            <w:pPr>
              <w:pStyle w:val="TMGTable1"/>
              <w:spacing w:before="10" w:after="10"/>
              <w:rPr>
                <w:rStyle w:val="Bold"/>
                <w:rFonts w:ascii="Calibri" w:hAnsi="Calibri" w:cs="Calibri"/>
                <w:b w:val="0"/>
                <w:bCs w:val="0"/>
                <w:sz w:val="20"/>
                <w:szCs w:val="20"/>
              </w:rPr>
            </w:pPr>
            <w:r w:rsidRPr="00D4282A">
              <w:rPr>
                <w:rStyle w:val="Bold"/>
                <w:rFonts w:ascii="Calibri" w:hAnsi="Calibri" w:cs="Calibri"/>
                <w:sz w:val="20"/>
                <w:szCs w:val="20"/>
              </w:rPr>
              <w:t>76-79</w:t>
            </w:r>
          </w:p>
        </w:tc>
        <w:tc>
          <w:tcPr>
            <w:tcW w:w="815" w:type="dxa"/>
          </w:tcPr>
          <w:p w14:paraId="32C06B56" w14:textId="77777777" w:rsidR="009B7AED" w:rsidRPr="00D4282A" w:rsidRDefault="009B7AED" w:rsidP="002841D0">
            <w:pPr>
              <w:pStyle w:val="TMGTable1"/>
              <w:spacing w:before="10" w:after="10"/>
              <w:rPr>
                <w:rFonts w:ascii="Calibri" w:hAnsi="Calibri" w:cs="Calibri"/>
                <w:b w:val="0"/>
                <w:bCs w:val="0"/>
                <w:sz w:val="20"/>
                <w:szCs w:val="20"/>
              </w:rPr>
            </w:pPr>
            <w:r w:rsidRPr="00D4282A">
              <w:rPr>
                <w:rFonts w:ascii="Calibri" w:hAnsi="Calibri" w:cs="Calibri"/>
                <w:sz w:val="20"/>
                <w:szCs w:val="20"/>
              </w:rPr>
              <w:t>80-84</w:t>
            </w:r>
          </w:p>
        </w:tc>
        <w:tc>
          <w:tcPr>
            <w:tcW w:w="815" w:type="dxa"/>
          </w:tcPr>
          <w:p w14:paraId="1AE29FD5" w14:textId="77777777" w:rsidR="009B7AED" w:rsidRPr="00D4282A" w:rsidRDefault="009B7AED" w:rsidP="002841D0">
            <w:pPr>
              <w:pStyle w:val="TMGTable1"/>
              <w:spacing w:before="10" w:after="10"/>
              <w:rPr>
                <w:rFonts w:ascii="Calibri" w:hAnsi="Calibri" w:cs="Calibri"/>
                <w:b w:val="0"/>
                <w:bCs w:val="0"/>
                <w:sz w:val="20"/>
                <w:szCs w:val="20"/>
              </w:rPr>
            </w:pPr>
            <w:r w:rsidRPr="00D4282A">
              <w:rPr>
                <w:rFonts w:ascii="Calibri" w:hAnsi="Calibri" w:cs="Calibri"/>
                <w:sz w:val="20"/>
                <w:szCs w:val="20"/>
              </w:rPr>
              <w:t>85-88</w:t>
            </w:r>
          </w:p>
        </w:tc>
        <w:tc>
          <w:tcPr>
            <w:tcW w:w="814" w:type="dxa"/>
          </w:tcPr>
          <w:p w14:paraId="031A5CD7" w14:textId="77777777" w:rsidR="009B7AED" w:rsidRPr="00D4282A" w:rsidRDefault="009B7AED" w:rsidP="002841D0">
            <w:pPr>
              <w:pStyle w:val="TMGTable1"/>
              <w:spacing w:before="10" w:after="10"/>
              <w:rPr>
                <w:rFonts w:ascii="Calibri" w:hAnsi="Calibri" w:cs="Calibri"/>
                <w:b w:val="0"/>
                <w:bCs w:val="0"/>
                <w:sz w:val="20"/>
                <w:szCs w:val="20"/>
              </w:rPr>
            </w:pPr>
            <w:r w:rsidRPr="00D4282A">
              <w:rPr>
                <w:rFonts w:ascii="Calibri" w:hAnsi="Calibri" w:cs="Calibri"/>
                <w:sz w:val="20"/>
                <w:szCs w:val="20"/>
              </w:rPr>
              <w:t>89-93</w:t>
            </w:r>
          </w:p>
        </w:tc>
        <w:tc>
          <w:tcPr>
            <w:tcW w:w="815" w:type="dxa"/>
          </w:tcPr>
          <w:p w14:paraId="256848E6" w14:textId="77777777" w:rsidR="009B7AED" w:rsidRPr="00D4282A" w:rsidRDefault="009B7AED" w:rsidP="002841D0">
            <w:pPr>
              <w:pStyle w:val="TMGTable1"/>
              <w:spacing w:before="10" w:after="10"/>
              <w:rPr>
                <w:rFonts w:ascii="Calibri" w:hAnsi="Calibri" w:cs="Calibri"/>
                <w:b w:val="0"/>
                <w:bCs w:val="0"/>
                <w:sz w:val="20"/>
                <w:szCs w:val="20"/>
              </w:rPr>
            </w:pPr>
            <w:r w:rsidRPr="00D4282A">
              <w:rPr>
                <w:rFonts w:ascii="Calibri" w:hAnsi="Calibri" w:cs="Calibri"/>
                <w:sz w:val="20"/>
                <w:szCs w:val="20"/>
              </w:rPr>
              <w:t>94-97</w:t>
            </w:r>
          </w:p>
        </w:tc>
        <w:tc>
          <w:tcPr>
            <w:tcW w:w="815" w:type="dxa"/>
          </w:tcPr>
          <w:p w14:paraId="2CC15A27" w14:textId="77777777" w:rsidR="009B7AED" w:rsidRPr="00D4282A" w:rsidRDefault="009B7AED" w:rsidP="002841D0">
            <w:pPr>
              <w:pStyle w:val="TMGTable1"/>
              <w:spacing w:before="10" w:after="10"/>
              <w:rPr>
                <w:rFonts w:ascii="Calibri" w:hAnsi="Calibri" w:cs="Calibri"/>
                <w:b w:val="0"/>
                <w:bCs w:val="0"/>
                <w:sz w:val="20"/>
                <w:szCs w:val="20"/>
              </w:rPr>
            </w:pPr>
            <w:r w:rsidRPr="00D4282A">
              <w:rPr>
                <w:rFonts w:ascii="Calibri" w:hAnsi="Calibri" w:cs="Calibri"/>
                <w:sz w:val="20"/>
                <w:szCs w:val="20"/>
              </w:rPr>
              <w:t>98-102</w:t>
            </w:r>
          </w:p>
        </w:tc>
        <w:tc>
          <w:tcPr>
            <w:tcW w:w="815" w:type="dxa"/>
          </w:tcPr>
          <w:p w14:paraId="10AC564C" w14:textId="77777777" w:rsidR="009B7AED" w:rsidRPr="00D4282A" w:rsidRDefault="009B7AED" w:rsidP="002841D0">
            <w:pPr>
              <w:pStyle w:val="TMGTable1"/>
              <w:spacing w:before="10" w:after="10"/>
              <w:rPr>
                <w:rFonts w:ascii="Calibri" w:hAnsi="Calibri" w:cs="Calibri"/>
                <w:b w:val="0"/>
                <w:bCs w:val="0"/>
                <w:sz w:val="20"/>
                <w:szCs w:val="20"/>
              </w:rPr>
            </w:pPr>
            <w:r w:rsidRPr="00D4282A">
              <w:rPr>
                <w:rFonts w:ascii="Calibri" w:hAnsi="Calibri" w:cs="Calibri"/>
                <w:sz w:val="20"/>
                <w:szCs w:val="20"/>
              </w:rPr>
              <w:t>103-106</w:t>
            </w:r>
          </w:p>
        </w:tc>
        <w:tc>
          <w:tcPr>
            <w:tcW w:w="815" w:type="dxa"/>
          </w:tcPr>
          <w:p w14:paraId="3E776A11" w14:textId="77777777" w:rsidR="009B7AED" w:rsidRPr="00D4282A" w:rsidRDefault="009B7AED" w:rsidP="002841D0">
            <w:pPr>
              <w:pStyle w:val="TMGTable1"/>
              <w:spacing w:before="10" w:after="10"/>
              <w:rPr>
                <w:rFonts w:ascii="Calibri" w:hAnsi="Calibri" w:cs="Calibri"/>
                <w:b w:val="0"/>
                <w:bCs w:val="0"/>
                <w:sz w:val="20"/>
                <w:szCs w:val="20"/>
              </w:rPr>
            </w:pPr>
            <w:r w:rsidRPr="00D4282A">
              <w:rPr>
                <w:rFonts w:ascii="Calibri" w:hAnsi="Calibri" w:cs="Calibri"/>
                <w:sz w:val="20"/>
                <w:szCs w:val="20"/>
              </w:rPr>
              <w:t>107-111</w:t>
            </w:r>
          </w:p>
        </w:tc>
        <w:tc>
          <w:tcPr>
            <w:tcW w:w="815" w:type="dxa"/>
          </w:tcPr>
          <w:p w14:paraId="062CDA75" w14:textId="77777777" w:rsidR="009B7AED" w:rsidRPr="00D4282A" w:rsidRDefault="009B7AED" w:rsidP="002841D0">
            <w:pPr>
              <w:pStyle w:val="TMGTable1"/>
              <w:spacing w:before="10" w:after="10"/>
              <w:rPr>
                <w:rFonts w:ascii="Calibri" w:hAnsi="Calibri" w:cs="Calibri"/>
                <w:b w:val="0"/>
                <w:bCs w:val="0"/>
                <w:sz w:val="20"/>
                <w:szCs w:val="20"/>
              </w:rPr>
            </w:pPr>
            <w:r w:rsidRPr="00D4282A">
              <w:rPr>
                <w:rFonts w:ascii="Calibri" w:hAnsi="Calibri" w:cs="Calibri"/>
                <w:sz w:val="20"/>
                <w:szCs w:val="20"/>
              </w:rPr>
              <w:t>112-115</w:t>
            </w:r>
          </w:p>
        </w:tc>
        <w:tc>
          <w:tcPr>
            <w:tcW w:w="815" w:type="dxa"/>
          </w:tcPr>
          <w:p w14:paraId="01C56A89" w14:textId="77777777" w:rsidR="009B7AED" w:rsidRPr="00D4282A" w:rsidRDefault="009B7AED" w:rsidP="002841D0">
            <w:pPr>
              <w:pStyle w:val="TMGTable1"/>
              <w:spacing w:before="10" w:after="10"/>
              <w:rPr>
                <w:rFonts w:ascii="Calibri" w:hAnsi="Calibri" w:cs="Calibri"/>
                <w:b w:val="0"/>
                <w:bCs w:val="0"/>
                <w:sz w:val="20"/>
                <w:szCs w:val="20"/>
              </w:rPr>
            </w:pPr>
            <w:r w:rsidRPr="00D4282A">
              <w:rPr>
                <w:rFonts w:ascii="Calibri" w:hAnsi="Calibri" w:cs="Calibri"/>
                <w:sz w:val="20"/>
                <w:szCs w:val="20"/>
              </w:rPr>
              <w:t>116-120</w:t>
            </w:r>
          </w:p>
        </w:tc>
      </w:tr>
      <w:tr w:rsidR="00D4282A" w:rsidRPr="00D4282A" w14:paraId="0B331003" w14:textId="77777777" w:rsidTr="00E1261E">
        <w:trPr>
          <w:trHeight w:val="252"/>
        </w:trPr>
        <w:tc>
          <w:tcPr>
            <w:tcW w:w="1165" w:type="dxa"/>
          </w:tcPr>
          <w:p w14:paraId="20A82EFB" w14:textId="77777777" w:rsidR="009B7AED" w:rsidRPr="00D4282A" w:rsidRDefault="009B7AED" w:rsidP="002841D0">
            <w:pPr>
              <w:pStyle w:val="TMGTable1"/>
              <w:spacing w:before="10" w:after="10"/>
              <w:jc w:val="left"/>
              <w:rPr>
                <w:rStyle w:val="Bold"/>
                <w:rFonts w:ascii="Calibri" w:hAnsi="Calibri" w:cs="Calibri"/>
                <w:bCs/>
                <w:sz w:val="20"/>
                <w:szCs w:val="20"/>
              </w:rPr>
            </w:pPr>
            <w:r w:rsidRPr="00D4282A">
              <w:rPr>
                <w:rStyle w:val="Bold"/>
                <w:rFonts w:ascii="Calibri" w:hAnsi="Calibri" w:cs="Calibri"/>
                <w:sz w:val="20"/>
                <w:szCs w:val="20"/>
              </w:rPr>
              <w:t>Content 01 Example:</w:t>
            </w:r>
          </w:p>
        </w:tc>
        <w:tc>
          <w:tcPr>
            <w:tcW w:w="814" w:type="dxa"/>
          </w:tcPr>
          <w:p w14:paraId="6F1F272D" w14:textId="77777777" w:rsidR="009B7AED" w:rsidRPr="00D4282A" w:rsidRDefault="009B7AED" w:rsidP="002841D0">
            <w:pPr>
              <w:pStyle w:val="TMGTable1"/>
              <w:spacing w:before="10" w:after="10"/>
              <w:rPr>
                <w:rStyle w:val="Bold"/>
                <w:rFonts w:ascii="Calibri" w:hAnsi="Calibri" w:cs="Calibri"/>
                <w:b/>
                <w:bCs/>
                <w:sz w:val="20"/>
                <w:szCs w:val="20"/>
              </w:rPr>
            </w:pPr>
            <w:r w:rsidRPr="00D4282A">
              <w:rPr>
                <w:rStyle w:val="Bold"/>
                <w:rFonts w:ascii="Calibri" w:hAnsi="Calibri" w:cs="Calibri"/>
                <w:sz w:val="20"/>
                <w:szCs w:val="20"/>
              </w:rPr>
              <w:t>09815</w:t>
            </w:r>
          </w:p>
        </w:tc>
        <w:tc>
          <w:tcPr>
            <w:tcW w:w="815" w:type="dxa"/>
          </w:tcPr>
          <w:p w14:paraId="192EDAF1" w14:textId="77777777" w:rsidR="009B7AED" w:rsidRPr="00D4282A" w:rsidRDefault="009B7AED" w:rsidP="002841D0">
            <w:pPr>
              <w:pStyle w:val="TMGTable1"/>
              <w:spacing w:before="10" w:after="10"/>
              <w:rPr>
                <w:rStyle w:val="Bold"/>
                <w:rFonts w:ascii="Calibri" w:hAnsi="Calibri" w:cs="Calibri"/>
                <w:b/>
                <w:bCs/>
                <w:sz w:val="20"/>
                <w:szCs w:val="20"/>
              </w:rPr>
            </w:pPr>
            <w:r w:rsidRPr="00D4282A">
              <w:rPr>
                <w:rStyle w:val="Bold"/>
                <w:rFonts w:ascii="Calibri" w:hAnsi="Calibri" w:cs="Calibri"/>
                <w:sz w:val="20"/>
                <w:szCs w:val="20"/>
              </w:rPr>
              <w:t>0048</w:t>
            </w:r>
          </w:p>
        </w:tc>
        <w:tc>
          <w:tcPr>
            <w:tcW w:w="815" w:type="dxa"/>
          </w:tcPr>
          <w:p w14:paraId="3592111D" w14:textId="77777777" w:rsidR="009B7AED" w:rsidRPr="00D4282A" w:rsidRDefault="009B7AED" w:rsidP="002841D0">
            <w:pPr>
              <w:pStyle w:val="TMGTable1"/>
              <w:spacing w:before="10" w:after="10"/>
              <w:rPr>
                <w:rStyle w:val="Bold"/>
                <w:rFonts w:ascii="Calibri" w:hAnsi="Calibri" w:cs="Calibri"/>
                <w:b/>
                <w:bCs/>
                <w:sz w:val="20"/>
                <w:szCs w:val="20"/>
              </w:rPr>
            </w:pPr>
            <w:r w:rsidRPr="00D4282A">
              <w:rPr>
                <w:rStyle w:val="Bold"/>
                <w:rFonts w:ascii="Calibri" w:hAnsi="Calibri" w:cs="Calibri"/>
                <w:sz w:val="20"/>
                <w:szCs w:val="20"/>
              </w:rPr>
              <w:t>10831</w:t>
            </w:r>
          </w:p>
        </w:tc>
        <w:tc>
          <w:tcPr>
            <w:tcW w:w="815" w:type="dxa"/>
          </w:tcPr>
          <w:p w14:paraId="3FA75CE7" w14:textId="77777777" w:rsidR="009B7AED" w:rsidRPr="00D4282A" w:rsidRDefault="009B7AED" w:rsidP="002841D0">
            <w:pPr>
              <w:pStyle w:val="TMGTable1"/>
              <w:spacing w:before="10" w:after="10"/>
              <w:rPr>
                <w:rStyle w:val="Bold"/>
                <w:rFonts w:ascii="Calibri" w:hAnsi="Calibri" w:cs="Calibri"/>
                <w:b/>
                <w:bCs/>
                <w:sz w:val="20"/>
                <w:szCs w:val="20"/>
              </w:rPr>
            </w:pPr>
            <w:r w:rsidRPr="00D4282A">
              <w:rPr>
                <w:rStyle w:val="Bold"/>
                <w:rFonts w:ascii="Calibri" w:hAnsi="Calibri" w:cs="Calibri"/>
                <w:sz w:val="20"/>
                <w:szCs w:val="20"/>
              </w:rPr>
              <w:t>Blank</w:t>
            </w:r>
          </w:p>
        </w:tc>
        <w:tc>
          <w:tcPr>
            <w:tcW w:w="815" w:type="dxa"/>
          </w:tcPr>
          <w:p w14:paraId="12A3DBD1" w14:textId="77777777" w:rsidR="009B7AED" w:rsidRPr="00D4282A" w:rsidRDefault="009B7AED" w:rsidP="002841D0">
            <w:pPr>
              <w:pStyle w:val="TMGTable1"/>
              <w:spacing w:before="10" w:after="10"/>
              <w:rPr>
                <w:rStyle w:val="Bold"/>
                <w:rFonts w:ascii="Calibri" w:hAnsi="Calibri" w:cs="Calibri"/>
                <w:b/>
                <w:bCs/>
                <w:sz w:val="20"/>
                <w:szCs w:val="20"/>
              </w:rPr>
            </w:pPr>
            <w:r w:rsidRPr="00D4282A">
              <w:rPr>
                <w:rStyle w:val="Bold"/>
                <w:rFonts w:ascii="Calibri" w:hAnsi="Calibri" w:cs="Calibri"/>
                <w:sz w:val="20"/>
                <w:szCs w:val="20"/>
              </w:rPr>
              <w:t>Blank</w:t>
            </w:r>
          </w:p>
        </w:tc>
        <w:tc>
          <w:tcPr>
            <w:tcW w:w="815" w:type="dxa"/>
          </w:tcPr>
          <w:p w14:paraId="3334A8DC" w14:textId="77777777" w:rsidR="009B7AED" w:rsidRPr="00D4282A" w:rsidRDefault="009B7AED" w:rsidP="002841D0">
            <w:pPr>
              <w:pStyle w:val="TMGTable1"/>
              <w:spacing w:before="10" w:after="10"/>
              <w:rPr>
                <w:rStyle w:val="Bold"/>
                <w:rFonts w:ascii="Calibri" w:hAnsi="Calibri" w:cs="Calibri"/>
                <w:b/>
                <w:bCs/>
                <w:sz w:val="20"/>
                <w:szCs w:val="20"/>
              </w:rPr>
            </w:pPr>
            <w:r w:rsidRPr="00D4282A">
              <w:rPr>
                <w:rStyle w:val="Bold"/>
                <w:rFonts w:ascii="Calibri" w:hAnsi="Calibri" w:cs="Calibri"/>
                <w:sz w:val="20"/>
                <w:szCs w:val="20"/>
              </w:rPr>
              <w:t>Blank</w:t>
            </w:r>
          </w:p>
        </w:tc>
        <w:tc>
          <w:tcPr>
            <w:tcW w:w="814" w:type="dxa"/>
          </w:tcPr>
          <w:p w14:paraId="063EC1CA" w14:textId="77777777" w:rsidR="009B7AED" w:rsidRPr="00D4282A" w:rsidRDefault="009B7AED" w:rsidP="002841D0">
            <w:pPr>
              <w:pStyle w:val="TMGTable1"/>
              <w:spacing w:before="10" w:after="10"/>
              <w:rPr>
                <w:rStyle w:val="Bold"/>
                <w:rFonts w:ascii="Calibri" w:hAnsi="Calibri" w:cs="Calibri"/>
                <w:b/>
                <w:bCs/>
                <w:sz w:val="20"/>
                <w:szCs w:val="20"/>
              </w:rPr>
            </w:pPr>
            <w:r w:rsidRPr="00D4282A">
              <w:rPr>
                <w:rStyle w:val="Bold"/>
                <w:rFonts w:ascii="Calibri" w:hAnsi="Calibri" w:cs="Calibri"/>
                <w:sz w:val="20"/>
                <w:szCs w:val="20"/>
              </w:rPr>
              <w:t>Blank</w:t>
            </w:r>
          </w:p>
        </w:tc>
        <w:tc>
          <w:tcPr>
            <w:tcW w:w="815" w:type="dxa"/>
          </w:tcPr>
          <w:p w14:paraId="309D08E6" w14:textId="77777777" w:rsidR="009B7AED" w:rsidRPr="00D4282A" w:rsidRDefault="009B7AED" w:rsidP="002841D0">
            <w:pPr>
              <w:pStyle w:val="TMGTable1"/>
              <w:spacing w:before="10" w:after="10"/>
              <w:rPr>
                <w:rStyle w:val="Bold"/>
                <w:rFonts w:ascii="Calibri" w:hAnsi="Calibri" w:cs="Calibri"/>
                <w:b/>
                <w:bCs/>
                <w:sz w:val="20"/>
                <w:szCs w:val="20"/>
              </w:rPr>
            </w:pPr>
            <w:r w:rsidRPr="00D4282A">
              <w:rPr>
                <w:rStyle w:val="Bold"/>
                <w:rFonts w:ascii="Calibri" w:hAnsi="Calibri" w:cs="Calibri"/>
                <w:sz w:val="20"/>
                <w:szCs w:val="20"/>
              </w:rPr>
              <w:t>Blank</w:t>
            </w:r>
          </w:p>
        </w:tc>
        <w:tc>
          <w:tcPr>
            <w:tcW w:w="815" w:type="dxa"/>
          </w:tcPr>
          <w:p w14:paraId="136B20F8" w14:textId="77777777" w:rsidR="009B7AED" w:rsidRPr="00D4282A" w:rsidRDefault="009B7AED" w:rsidP="002841D0">
            <w:pPr>
              <w:pStyle w:val="TMGTable1"/>
              <w:spacing w:before="10" w:after="10"/>
              <w:rPr>
                <w:rStyle w:val="Bold"/>
                <w:rFonts w:ascii="Calibri" w:hAnsi="Calibri" w:cs="Calibri"/>
                <w:b/>
                <w:bCs/>
                <w:sz w:val="20"/>
                <w:szCs w:val="20"/>
              </w:rPr>
            </w:pPr>
            <w:r w:rsidRPr="00D4282A">
              <w:rPr>
                <w:rStyle w:val="Bold"/>
                <w:rFonts w:ascii="Calibri" w:hAnsi="Calibri" w:cs="Calibri"/>
                <w:sz w:val="20"/>
                <w:szCs w:val="20"/>
              </w:rPr>
              <w:t>Blank</w:t>
            </w:r>
          </w:p>
        </w:tc>
        <w:tc>
          <w:tcPr>
            <w:tcW w:w="815" w:type="dxa"/>
          </w:tcPr>
          <w:p w14:paraId="0FDC9387" w14:textId="77777777" w:rsidR="009B7AED" w:rsidRPr="00D4282A" w:rsidRDefault="009B7AED" w:rsidP="002841D0">
            <w:pPr>
              <w:pStyle w:val="TMGTable1"/>
              <w:spacing w:before="10" w:after="10"/>
              <w:rPr>
                <w:rStyle w:val="Bold"/>
                <w:rFonts w:ascii="Calibri" w:hAnsi="Calibri" w:cs="Calibri"/>
                <w:b/>
                <w:bCs/>
                <w:sz w:val="20"/>
                <w:szCs w:val="20"/>
              </w:rPr>
            </w:pPr>
            <w:r w:rsidRPr="00D4282A">
              <w:rPr>
                <w:rStyle w:val="Bold"/>
                <w:rFonts w:ascii="Calibri" w:hAnsi="Calibri" w:cs="Calibri"/>
                <w:sz w:val="20"/>
                <w:szCs w:val="20"/>
              </w:rPr>
              <w:t>Blank</w:t>
            </w:r>
          </w:p>
        </w:tc>
        <w:tc>
          <w:tcPr>
            <w:tcW w:w="815" w:type="dxa"/>
          </w:tcPr>
          <w:p w14:paraId="1C1455D2" w14:textId="77777777" w:rsidR="009B7AED" w:rsidRPr="00D4282A" w:rsidRDefault="009B7AED" w:rsidP="002841D0">
            <w:pPr>
              <w:pStyle w:val="TMGTable1"/>
              <w:spacing w:before="10" w:after="10"/>
              <w:rPr>
                <w:rStyle w:val="Bold"/>
                <w:rFonts w:ascii="Calibri" w:hAnsi="Calibri" w:cs="Calibri"/>
                <w:b/>
                <w:bCs/>
                <w:sz w:val="20"/>
                <w:szCs w:val="20"/>
              </w:rPr>
            </w:pPr>
            <w:r w:rsidRPr="00D4282A">
              <w:rPr>
                <w:rStyle w:val="Bold"/>
                <w:rFonts w:ascii="Calibri" w:hAnsi="Calibri" w:cs="Calibri"/>
                <w:sz w:val="20"/>
                <w:szCs w:val="20"/>
              </w:rPr>
              <w:t>Blank</w:t>
            </w:r>
          </w:p>
        </w:tc>
        <w:tc>
          <w:tcPr>
            <w:tcW w:w="815" w:type="dxa"/>
          </w:tcPr>
          <w:p w14:paraId="532D2078" w14:textId="77777777" w:rsidR="009B7AED" w:rsidRPr="00D4282A" w:rsidRDefault="009B7AED" w:rsidP="002841D0">
            <w:pPr>
              <w:pStyle w:val="TMGTable1"/>
              <w:spacing w:before="10" w:after="10"/>
              <w:rPr>
                <w:rStyle w:val="Bold"/>
                <w:rFonts w:ascii="Calibri" w:hAnsi="Calibri" w:cs="Calibri"/>
                <w:b/>
                <w:bCs/>
                <w:sz w:val="20"/>
                <w:szCs w:val="20"/>
              </w:rPr>
            </w:pPr>
            <w:r w:rsidRPr="00D4282A">
              <w:rPr>
                <w:rStyle w:val="Bold"/>
                <w:rFonts w:ascii="Calibri" w:hAnsi="Calibri" w:cs="Calibri"/>
                <w:sz w:val="20"/>
                <w:szCs w:val="20"/>
              </w:rPr>
              <w:t>Blank</w:t>
            </w:r>
          </w:p>
        </w:tc>
        <w:tc>
          <w:tcPr>
            <w:tcW w:w="815" w:type="dxa"/>
          </w:tcPr>
          <w:p w14:paraId="05438ADE" w14:textId="77777777" w:rsidR="009B7AED" w:rsidRPr="00D4282A" w:rsidRDefault="009B7AED" w:rsidP="002841D0">
            <w:pPr>
              <w:pStyle w:val="TMGTable1"/>
              <w:spacing w:before="10" w:after="10"/>
              <w:rPr>
                <w:rStyle w:val="Bold"/>
                <w:rFonts w:ascii="Calibri" w:hAnsi="Calibri" w:cs="Calibri"/>
                <w:b/>
                <w:bCs/>
                <w:sz w:val="20"/>
                <w:szCs w:val="20"/>
              </w:rPr>
            </w:pPr>
            <w:r w:rsidRPr="00D4282A">
              <w:rPr>
                <w:rStyle w:val="Bold"/>
                <w:rFonts w:ascii="Calibri" w:hAnsi="Calibri" w:cs="Calibri"/>
                <w:sz w:val="20"/>
                <w:szCs w:val="20"/>
              </w:rPr>
              <w:t>Blank</w:t>
            </w:r>
          </w:p>
        </w:tc>
      </w:tr>
      <w:tr w:rsidR="00D4282A" w:rsidRPr="00D4282A" w14:paraId="3F0D141D" w14:textId="77777777" w:rsidTr="00E1261E">
        <w:trPr>
          <w:trHeight w:val="20"/>
        </w:trPr>
        <w:tc>
          <w:tcPr>
            <w:tcW w:w="1165" w:type="dxa"/>
          </w:tcPr>
          <w:p w14:paraId="40FA00C2" w14:textId="77777777" w:rsidR="009B7AED" w:rsidRPr="00D4282A" w:rsidRDefault="009B7AED" w:rsidP="002841D0">
            <w:pPr>
              <w:pStyle w:val="TMGTable1"/>
              <w:spacing w:before="10" w:after="10"/>
              <w:jc w:val="left"/>
              <w:rPr>
                <w:rStyle w:val="Bold"/>
                <w:rFonts w:ascii="Calibri" w:hAnsi="Calibri" w:cs="Calibri"/>
                <w:bCs/>
                <w:sz w:val="20"/>
                <w:szCs w:val="20"/>
              </w:rPr>
            </w:pPr>
            <w:r w:rsidRPr="00D4282A">
              <w:rPr>
                <w:rStyle w:val="Bold"/>
                <w:rFonts w:ascii="Calibri" w:hAnsi="Calibri" w:cs="Calibri"/>
                <w:sz w:val="20"/>
                <w:szCs w:val="20"/>
              </w:rPr>
              <w:t>Content 02 Example:</w:t>
            </w:r>
          </w:p>
        </w:tc>
        <w:tc>
          <w:tcPr>
            <w:tcW w:w="814" w:type="dxa"/>
          </w:tcPr>
          <w:p w14:paraId="51FBD8C2" w14:textId="77777777" w:rsidR="009B7AED" w:rsidRPr="00D4282A" w:rsidRDefault="009B7AED" w:rsidP="002841D0">
            <w:pPr>
              <w:pStyle w:val="TMGTable1"/>
              <w:spacing w:before="10" w:after="10"/>
              <w:rPr>
                <w:rStyle w:val="Bold"/>
                <w:rFonts w:ascii="Calibri" w:hAnsi="Calibri" w:cs="Calibri"/>
                <w:b/>
                <w:bCs/>
                <w:sz w:val="20"/>
                <w:szCs w:val="20"/>
              </w:rPr>
            </w:pPr>
            <w:r w:rsidRPr="00D4282A">
              <w:rPr>
                <w:rStyle w:val="Bold"/>
                <w:rFonts w:ascii="Calibri" w:hAnsi="Calibri" w:cs="Calibri"/>
                <w:sz w:val="20"/>
                <w:szCs w:val="20"/>
              </w:rPr>
              <w:t>Blank</w:t>
            </w:r>
          </w:p>
        </w:tc>
        <w:tc>
          <w:tcPr>
            <w:tcW w:w="815" w:type="dxa"/>
          </w:tcPr>
          <w:p w14:paraId="45B772DA" w14:textId="77777777" w:rsidR="009B7AED" w:rsidRPr="00D4282A" w:rsidRDefault="009B7AED" w:rsidP="002841D0">
            <w:pPr>
              <w:pStyle w:val="TMGTable1"/>
              <w:spacing w:before="10" w:after="10"/>
              <w:rPr>
                <w:rStyle w:val="Bold"/>
                <w:rFonts w:ascii="Calibri" w:hAnsi="Calibri" w:cs="Calibri"/>
                <w:b/>
                <w:bCs/>
                <w:sz w:val="20"/>
                <w:szCs w:val="20"/>
              </w:rPr>
            </w:pPr>
            <w:r w:rsidRPr="00D4282A">
              <w:rPr>
                <w:rStyle w:val="Bold"/>
                <w:rFonts w:ascii="Calibri" w:hAnsi="Calibri" w:cs="Calibri"/>
                <w:sz w:val="20"/>
                <w:szCs w:val="20"/>
              </w:rPr>
              <w:t>Blank</w:t>
            </w:r>
          </w:p>
        </w:tc>
        <w:tc>
          <w:tcPr>
            <w:tcW w:w="815" w:type="dxa"/>
          </w:tcPr>
          <w:p w14:paraId="29BDF003" w14:textId="77777777" w:rsidR="009B7AED" w:rsidRPr="00D4282A" w:rsidRDefault="009B7AED" w:rsidP="002841D0">
            <w:pPr>
              <w:pStyle w:val="TMGTable1"/>
              <w:spacing w:before="10" w:after="10"/>
              <w:rPr>
                <w:rStyle w:val="Bold"/>
                <w:rFonts w:ascii="Calibri" w:hAnsi="Calibri" w:cs="Calibri"/>
                <w:b/>
                <w:bCs/>
                <w:sz w:val="20"/>
                <w:szCs w:val="20"/>
              </w:rPr>
            </w:pPr>
            <w:r w:rsidRPr="00D4282A">
              <w:rPr>
                <w:rStyle w:val="Bold"/>
                <w:rFonts w:ascii="Calibri" w:hAnsi="Calibri" w:cs="Calibri"/>
                <w:sz w:val="20"/>
                <w:szCs w:val="20"/>
              </w:rPr>
              <w:t>Blank</w:t>
            </w:r>
          </w:p>
        </w:tc>
        <w:tc>
          <w:tcPr>
            <w:tcW w:w="815" w:type="dxa"/>
          </w:tcPr>
          <w:p w14:paraId="76AD5C42" w14:textId="77777777" w:rsidR="009B7AED" w:rsidRPr="00D4282A" w:rsidRDefault="009B7AED" w:rsidP="002841D0">
            <w:pPr>
              <w:pStyle w:val="TMGTable1"/>
              <w:spacing w:before="10" w:after="10"/>
              <w:rPr>
                <w:rStyle w:val="Bold"/>
                <w:rFonts w:ascii="Calibri" w:hAnsi="Calibri" w:cs="Calibri"/>
                <w:b/>
                <w:bCs/>
                <w:sz w:val="20"/>
                <w:szCs w:val="20"/>
              </w:rPr>
            </w:pPr>
            <w:r w:rsidRPr="00D4282A">
              <w:rPr>
                <w:rStyle w:val="Bold"/>
                <w:rFonts w:ascii="Calibri" w:hAnsi="Calibri" w:cs="Calibri"/>
                <w:sz w:val="20"/>
                <w:szCs w:val="20"/>
              </w:rPr>
              <w:t>Blank</w:t>
            </w:r>
          </w:p>
        </w:tc>
        <w:tc>
          <w:tcPr>
            <w:tcW w:w="815" w:type="dxa"/>
          </w:tcPr>
          <w:p w14:paraId="73B94084" w14:textId="77777777" w:rsidR="009B7AED" w:rsidRPr="00D4282A" w:rsidRDefault="009B7AED" w:rsidP="002841D0">
            <w:pPr>
              <w:pStyle w:val="TMGTable1"/>
              <w:spacing w:before="10" w:after="10"/>
              <w:rPr>
                <w:rStyle w:val="Bold"/>
                <w:rFonts w:ascii="Calibri" w:hAnsi="Calibri" w:cs="Calibri"/>
                <w:b/>
                <w:bCs/>
                <w:sz w:val="20"/>
                <w:szCs w:val="20"/>
              </w:rPr>
            </w:pPr>
            <w:r w:rsidRPr="00D4282A">
              <w:rPr>
                <w:rStyle w:val="Bold"/>
                <w:rFonts w:ascii="Calibri" w:hAnsi="Calibri" w:cs="Calibri"/>
                <w:sz w:val="20"/>
                <w:szCs w:val="20"/>
              </w:rPr>
              <w:t>Blank</w:t>
            </w:r>
          </w:p>
        </w:tc>
        <w:tc>
          <w:tcPr>
            <w:tcW w:w="815" w:type="dxa"/>
          </w:tcPr>
          <w:p w14:paraId="24ED0190" w14:textId="77777777" w:rsidR="009B7AED" w:rsidRPr="00D4282A" w:rsidRDefault="009B7AED" w:rsidP="002841D0">
            <w:pPr>
              <w:pStyle w:val="TMGTable1"/>
              <w:spacing w:before="10" w:after="10"/>
              <w:rPr>
                <w:rStyle w:val="Bold"/>
                <w:rFonts w:ascii="Calibri" w:hAnsi="Calibri" w:cs="Calibri"/>
                <w:b/>
                <w:bCs/>
                <w:sz w:val="20"/>
                <w:szCs w:val="20"/>
              </w:rPr>
            </w:pPr>
            <w:r w:rsidRPr="00D4282A">
              <w:rPr>
                <w:rStyle w:val="Bold"/>
                <w:rFonts w:ascii="Calibri" w:hAnsi="Calibri" w:cs="Calibri"/>
                <w:sz w:val="20"/>
                <w:szCs w:val="20"/>
              </w:rPr>
              <w:t>Blank</w:t>
            </w:r>
          </w:p>
        </w:tc>
        <w:tc>
          <w:tcPr>
            <w:tcW w:w="814" w:type="dxa"/>
          </w:tcPr>
          <w:p w14:paraId="3361C3A9" w14:textId="77777777" w:rsidR="009B7AED" w:rsidRPr="00D4282A" w:rsidRDefault="009B7AED" w:rsidP="002841D0">
            <w:pPr>
              <w:pStyle w:val="TMGTable1"/>
              <w:spacing w:before="10" w:after="10"/>
              <w:rPr>
                <w:rStyle w:val="Bold"/>
                <w:rFonts w:ascii="Calibri" w:hAnsi="Calibri" w:cs="Calibri"/>
                <w:b/>
                <w:bCs/>
                <w:sz w:val="20"/>
                <w:szCs w:val="20"/>
              </w:rPr>
            </w:pPr>
            <w:r w:rsidRPr="00D4282A">
              <w:rPr>
                <w:rStyle w:val="Bold"/>
                <w:rFonts w:ascii="Calibri" w:hAnsi="Calibri" w:cs="Calibri"/>
                <w:sz w:val="20"/>
                <w:szCs w:val="20"/>
              </w:rPr>
              <w:t>Blank</w:t>
            </w:r>
          </w:p>
        </w:tc>
        <w:tc>
          <w:tcPr>
            <w:tcW w:w="815" w:type="dxa"/>
          </w:tcPr>
          <w:p w14:paraId="489BF5C6" w14:textId="77777777" w:rsidR="009B7AED" w:rsidRPr="00D4282A" w:rsidRDefault="009B7AED" w:rsidP="002841D0">
            <w:pPr>
              <w:pStyle w:val="TMGTable1"/>
              <w:spacing w:before="10" w:after="10"/>
              <w:rPr>
                <w:rStyle w:val="Bold"/>
                <w:rFonts w:ascii="Calibri" w:hAnsi="Calibri" w:cs="Calibri"/>
                <w:b/>
                <w:bCs/>
                <w:sz w:val="20"/>
                <w:szCs w:val="20"/>
              </w:rPr>
            </w:pPr>
            <w:r w:rsidRPr="00D4282A">
              <w:rPr>
                <w:rStyle w:val="Bold"/>
                <w:rFonts w:ascii="Calibri" w:hAnsi="Calibri" w:cs="Calibri"/>
                <w:sz w:val="20"/>
                <w:szCs w:val="20"/>
              </w:rPr>
              <w:t>Blank</w:t>
            </w:r>
          </w:p>
        </w:tc>
        <w:tc>
          <w:tcPr>
            <w:tcW w:w="815" w:type="dxa"/>
          </w:tcPr>
          <w:p w14:paraId="22307C6E" w14:textId="77777777" w:rsidR="009B7AED" w:rsidRPr="00D4282A" w:rsidRDefault="009B7AED" w:rsidP="002841D0">
            <w:pPr>
              <w:pStyle w:val="TMGTable1"/>
              <w:spacing w:before="10" w:after="10"/>
              <w:rPr>
                <w:rStyle w:val="Bold"/>
                <w:rFonts w:ascii="Calibri" w:hAnsi="Calibri" w:cs="Calibri"/>
                <w:b/>
                <w:bCs/>
                <w:sz w:val="20"/>
                <w:szCs w:val="20"/>
              </w:rPr>
            </w:pPr>
            <w:r w:rsidRPr="00D4282A">
              <w:rPr>
                <w:rStyle w:val="Bold"/>
                <w:rFonts w:ascii="Calibri" w:hAnsi="Calibri" w:cs="Calibri"/>
                <w:sz w:val="20"/>
                <w:szCs w:val="20"/>
              </w:rPr>
              <w:t>Blank</w:t>
            </w:r>
          </w:p>
        </w:tc>
        <w:tc>
          <w:tcPr>
            <w:tcW w:w="815" w:type="dxa"/>
          </w:tcPr>
          <w:p w14:paraId="39225716" w14:textId="77777777" w:rsidR="009B7AED" w:rsidRPr="00D4282A" w:rsidRDefault="009B7AED" w:rsidP="002841D0">
            <w:pPr>
              <w:pStyle w:val="TMGTable1"/>
              <w:spacing w:before="10" w:after="10"/>
              <w:rPr>
                <w:rStyle w:val="Bold"/>
                <w:rFonts w:ascii="Calibri" w:hAnsi="Calibri" w:cs="Calibri"/>
                <w:b/>
                <w:bCs/>
                <w:sz w:val="20"/>
                <w:szCs w:val="20"/>
              </w:rPr>
            </w:pPr>
            <w:r w:rsidRPr="00D4282A">
              <w:rPr>
                <w:rStyle w:val="Bold"/>
                <w:rFonts w:ascii="Calibri" w:hAnsi="Calibri" w:cs="Calibri"/>
                <w:sz w:val="20"/>
                <w:szCs w:val="20"/>
              </w:rPr>
              <w:t>Blank</w:t>
            </w:r>
          </w:p>
        </w:tc>
        <w:tc>
          <w:tcPr>
            <w:tcW w:w="815" w:type="dxa"/>
          </w:tcPr>
          <w:p w14:paraId="7573B9A3" w14:textId="77777777" w:rsidR="009B7AED" w:rsidRPr="00D4282A" w:rsidRDefault="009B7AED" w:rsidP="002841D0">
            <w:pPr>
              <w:pStyle w:val="TMGTable1"/>
              <w:spacing w:before="10" w:after="10"/>
              <w:rPr>
                <w:rStyle w:val="Bold"/>
                <w:rFonts w:ascii="Calibri" w:hAnsi="Calibri" w:cs="Calibri"/>
                <w:b/>
                <w:bCs/>
                <w:sz w:val="20"/>
                <w:szCs w:val="20"/>
              </w:rPr>
            </w:pPr>
            <w:r w:rsidRPr="00D4282A">
              <w:rPr>
                <w:rStyle w:val="Bold"/>
                <w:rFonts w:ascii="Calibri" w:hAnsi="Calibri" w:cs="Calibri"/>
                <w:sz w:val="20"/>
                <w:szCs w:val="20"/>
              </w:rPr>
              <w:t>Blank</w:t>
            </w:r>
          </w:p>
        </w:tc>
        <w:tc>
          <w:tcPr>
            <w:tcW w:w="815" w:type="dxa"/>
          </w:tcPr>
          <w:p w14:paraId="73A58977" w14:textId="77777777" w:rsidR="009B7AED" w:rsidRPr="00D4282A" w:rsidRDefault="009B7AED" w:rsidP="002841D0">
            <w:pPr>
              <w:pStyle w:val="TMGTable1"/>
              <w:spacing w:before="10" w:after="10"/>
              <w:rPr>
                <w:rStyle w:val="Bold"/>
                <w:rFonts w:ascii="Calibri" w:hAnsi="Calibri" w:cs="Calibri"/>
                <w:b/>
                <w:bCs/>
                <w:sz w:val="20"/>
                <w:szCs w:val="20"/>
              </w:rPr>
            </w:pPr>
            <w:r w:rsidRPr="00D4282A">
              <w:rPr>
                <w:rStyle w:val="Bold"/>
                <w:rFonts w:ascii="Calibri" w:hAnsi="Calibri" w:cs="Calibri"/>
                <w:sz w:val="20"/>
                <w:szCs w:val="20"/>
              </w:rPr>
              <w:t>Blank</w:t>
            </w:r>
          </w:p>
        </w:tc>
        <w:tc>
          <w:tcPr>
            <w:tcW w:w="815" w:type="dxa"/>
          </w:tcPr>
          <w:p w14:paraId="30977FC2" w14:textId="77777777" w:rsidR="009B7AED" w:rsidRPr="00D4282A" w:rsidRDefault="009B7AED" w:rsidP="002841D0">
            <w:pPr>
              <w:pStyle w:val="TMGTable1"/>
              <w:spacing w:before="10" w:after="10"/>
              <w:rPr>
                <w:rStyle w:val="Bold"/>
                <w:rFonts w:ascii="Calibri" w:hAnsi="Calibri" w:cs="Calibri"/>
                <w:b/>
                <w:bCs/>
                <w:sz w:val="20"/>
                <w:szCs w:val="20"/>
              </w:rPr>
            </w:pPr>
            <w:r w:rsidRPr="00D4282A">
              <w:rPr>
                <w:rStyle w:val="Bold"/>
                <w:rFonts w:ascii="Calibri" w:hAnsi="Calibri" w:cs="Calibri"/>
                <w:sz w:val="20"/>
                <w:szCs w:val="20"/>
              </w:rPr>
              <w:t>Blank</w:t>
            </w:r>
          </w:p>
        </w:tc>
      </w:tr>
      <w:tr w:rsidR="00D4282A" w:rsidRPr="00D4282A" w14:paraId="0A62DB14" w14:textId="77777777" w:rsidTr="00E1261E">
        <w:trPr>
          <w:trHeight w:val="20"/>
        </w:trPr>
        <w:tc>
          <w:tcPr>
            <w:tcW w:w="1165" w:type="dxa"/>
          </w:tcPr>
          <w:p w14:paraId="73C95FD1" w14:textId="77777777" w:rsidR="009B7AED" w:rsidRPr="00D4282A" w:rsidRDefault="009B7AED" w:rsidP="002841D0">
            <w:pPr>
              <w:pStyle w:val="TMGTable1"/>
              <w:spacing w:before="10" w:after="10"/>
              <w:jc w:val="left"/>
              <w:rPr>
                <w:rStyle w:val="Bold"/>
                <w:rFonts w:ascii="Calibri" w:hAnsi="Calibri" w:cs="Calibri"/>
                <w:bCs/>
                <w:sz w:val="20"/>
                <w:szCs w:val="20"/>
              </w:rPr>
            </w:pPr>
            <w:r w:rsidRPr="00D4282A">
              <w:rPr>
                <w:rStyle w:val="Bold"/>
                <w:rFonts w:ascii="Calibri" w:hAnsi="Calibri" w:cs="Calibri"/>
                <w:sz w:val="20"/>
                <w:szCs w:val="20"/>
              </w:rPr>
              <w:t>Content 03 Example:</w:t>
            </w:r>
          </w:p>
        </w:tc>
        <w:tc>
          <w:tcPr>
            <w:tcW w:w="814" w:type="dxa"/>
          </w:tcPr>
          <w:p w14:paraId="0F6DD97A" w14:textId="77777777" w:rsidR="009B7AED" w:rsidRPr="00D4282A" w:rsidRDefault="009B7AED" w:rsidP="002841D0">
            <w:pPr>
              <w:pStyle w:val="TMGTable1"/>
              <w:spacing w:before="10" w:after="10"/>
              <w:rPr>
                <w:rStyle w:val="Bold"/>
                <w:rFonts w:ascii="Calibri" w:hAnsi="Calibri" w:cs="Calibri"/>
                <w:b/>
                <w:bCs/>
                <w:sz w:val="20"/>
                <w:szCs w:val="20"/>
              </w:rPr>
            </w:pPr>
            <w:r w:rsidRPr="00D4282A">
              <w:rPr>
                <w:rStyle w:val="Bold"/>
                <w:rFonts w:ascii="Calibri" w:hAnsi="Calibri" w:cs="Calibri"/>
                <w:sz w:val="20"/>
                <w:szCs w:val="20"/>
              </w:rPr>
              <w:t>Blank</w:t>
            </w:r>
          </w:p>
        </w:tc>
        <w:tc>
          <w:tcPr>
            <w:tcW w:w="815" w:type="dxa"/>
          </w:tcPr>
          <w:p w14:paraId="043CDD3D" w14:textId="77777777" w:rsidR="009B7AED" w:rsidRPr="00D4282A" w:rsidRDefault="009B7AED" w:rsidP="002841D0">
            <w:pPr>
              <w:pStyle w:val="TMGTable1"/>
              <w:spacing w:before="10" w:after="10"/>
              <w:rPr>
                <w:rStyle w:val="Bold"/>
                <w:rFonts w:ascii="Calibri" w:hAnsi="Calibri" w:cs="Calibri"/>
                <w:b/>
                <w:bCs/>
                <w:sz w:val="20"/>
                <w:szCs w:val="20"/>
              </w:rPr>
            </w:pPr>
            <w:r w:rsidRPr="00D4282A">
              <w:rPr>
                <w:rStyle w:val="Bold"/>
                <w:rFonts w:ascii="Calibri" w:hAnsi="Calibri" w:cs="Calibri"/>
                <w:sz w:val="20"/>
                <w:szCs w:val="20"/>
              </w:rPr>
              <w:t>Blank</w:t>
            </w:r>
          </w:p>
        </w:tc>
        <w:tc>
          <w:tcPr>
            <w:tcW w:w="815" w:type="dxa"/>
          </w:tcPr>
          <w:p w14:paraId="2E001E51" w14:textId="77777777" w:rsidR="009B7AED" w:rsidRPr="00D4282A" w:rsidRDefault="009B7AED" w:rsidP="002841D0">
            <w:pPr>
              <w:pStyle w:val="TMGTable1"/>
              <w:spacing w:before="10" w:after="10"/>
              <w:rPr>
                <w:rStyle w:val="Bold"/>
                <w:rFonts w:ascii="Calibri" w:hAnsi="Calibri" w:cs="Calibri"/>
                <w:b/>
                <w:bCs/>
                <w:sz w:val="20"/>
                <w:szCs w:val="20"/>
              </w:rPr>
            </w:pPr>
            <w:r w:rsidRPr="00D4282A">
              <w:rPr>
                <w:rStyle w:val="Bold"/>
                <w:rFonts w:ascii="Calibri" w:hAnsi="Calibri" w:cs="Calibri"/>
                <w:sz w:val="20"/>
                <w:szCs w:val="20"/>
              </w:rPr>
              <w:t>Blank</w:t>
            </w:r>
          </w:p>
        </w:tc>
        <w:tc>
          <w:tcPr>
            <w:tcW w:w="815" w:type="dxa"/>
          </w:tcPr>
          <w:p w14:paraId="5597C2E5" w14:textId="77777777" w:rsidR="009B7AED" w:rsidRPr="00D4282A" w:rsidRDefault="009B7AED" w:rsidP="002841D0">
            <w:pPr>
              <w:pStyle w:val="TMGTable1"/>
              <w:spacing w:before="10" w:after="10"/>
              <w:rPr>
                <w:rStyle w:val="Bold"/>
                <w:rFonts w:ascii="Calibri" w:hAnsi="Calibri" w:cs="Calibri"/>
                <w:b/>
                <w:bCs/>
                <w:sz w:val="20"/>
                <w:szCs w:val="20"/>
              </w:rPr>
            </w:pPr>
            <w:r w:rsidRPr="00D4282A">
              <w:rPr>
                <w:rStyle w:val="Bold"/>
                <w:rFonts w:ascii="Calibri" w:hAnsi="Calibri" w:cs="Calibri"/>
                <w:sz w:val="20"/>
                <w:szCs w:val="20"/>
              </w:rPr>
              <w:t>Blank</w:t>
            </w:r>
          </w:p>
        </w:tc>
        <w:tc>
          <w:tcPr>
            <w:tcW w:w="815" w:type="dxa"/>
          </w:tcPr>
          <w:p w14:paraId="3A1CB13F" w14:textId="77777777" w:rsidR="009B7AED" w:rsidRPr="00D4282A" w:rsidRDefault="009B7AED" w:rsidP="002841D0">
            <w:pPr>
              <w:pStyle w:val="TMGTable1"/>
              <w:spacing w:before="10" w:after="10"/>
              <w:rPr>
                <w:rStyle w:val="Bold"/>
                <w:rFonts w:ascii="Calibri" w:hAnsi="Calibri" w:cs="Calibri"/>
                <w:b/>
                <w:bCs/>
                <w:sz w:val="20"/>
                <w:szCs w:val="20"/>
              </w:rPr>
            </w:pPr>
            <w:r w:rsidRPr="00D4282A">
              <w:rPr>
                <w:rStyle w:val="Bold"/>
                <w:rFonts w:ascii="Calibri" w:hAnsi="Calibri" w:cs="Calibri"/>
                <w:sz w:val="20"/>
                <w:szCs w:val="20"/>
              </w:rPr>
              <w:t>Blank</w:t>
            </w:r>
          </w:p>
        </w:tc>
        <w:tc>
          <w:tcPr>
            <w:tcW w:w="815" w:type="dxa"/>
          </w:tcPr>
          <w:p w14:paraId="79C8807F" w14:textId="77777777" w:rsidR="009B7AED" w:rsidRPr="00D4282A" w:rsidRDefault="009B7AED" w:rsidP="002841D0">
            <w:pPr>
              <w:pStyle w:val="TMGTable1"/>
              <w:spacing w:before="10" w:after="10"/>
              <w:rPr>
                <w:rStyle w:val="Bold"/>
                <w:rFonts w:ascii="Calibri" w:hAnsi="Calibri" w:cs="Calibri"/>
                <w:b/>
                <w:bCs/>
                <w:sz w:val="20"/>
                <w:szCs w:val="20"/>
              </w:rPr>
            </w:pPr>
            <w:r w:rsidRPr="00D4282A">
              <w:rPr>
                <w:rStyle w:val="Bold"/>
                <w:rFonts w:ascii="Calibri" w:hAnsi="Calibri" w:cs="Calibri"/>
                <w:sz w:val="20"/>
                <w:szCs w:val="20"/>
              </w:rPr>
              <w:t>Blank</w:t>
            </w:r>
          </w:p>
        </w:tc>
        <w:tc>
          <w:tcPr>
            <w:tcW w:w="814" w:type="dxa"/>
          </w:tcPr>
          <w:p w14:paraId="1BF67456" w14:textId="77777777" w:rsidR="009B7AED" w:rsidRPr="00D4282A" w:rsidRDefault="009B7AED" w:rsidP="002841D0">
            <w:pPr>
              <w:pStyle w:val="TMGTable1"/>
              <w:spacing w:before="10" w:after="10"/>
              <w:rPr>
                <w:rStyle w:val="Bold"/>
                <w:rFonts w:ascii="Calibri" w:hAnsi="Calibri" w:cs="Calibri"/>
                <w:b/>
                <w:bCs/>
                <w:sz w:val="20"/>
                <w:szCs w:val="20"/>
              </w:rPr>
            </w:pPr>
            <w:r w:rsidRPr="00D4282A">
              <w:rPr>
                <w:rStyle w:val="Bold"/>
                <w:rFonts w:ascii="Calibri" w:hAnsi="Calibri" w:cs="Calibri"/>
                <w:sz w:val="20"/>
                <w:szCs w:val="20"/>
              </w:rPr>
              <w:t>Blank</w:t>
            </w:r>
          </w:p>
        </w:tc>
        <w:tc>
          <w:tcPr>
            <w:tcW w:w="815" w:type="dxa"/>
          </w:tcPr>
          <w:p w14:paraId="58D9C5CE" w14:textId="77777777" w:rsidR="009B7AED" w:rsidRPr="00D4282A" w:rsidRDefault="009B7AED" w:rsidP="002841D0">
            <w:pPr>
              <w:pStyle w:val="TMGTable1"/>
              <w:spacing w:before="10" w:after="10"/>
              <w:rPr>
                <w:rStyle w:val="Bold"/>
                <w:rFonts w:ascii="Calibri" w:hAnsi="Calibri" w:cs="Calibri"/>
                <w:b/>
                <w:bCs/>
                <w:sz w:val="20"/>
                <w:szCs w:val="20"/>
              </w:rPr>
            </w:pPr>
            <w:r w:rsidRPr="00D4282A">
              <w:rPr>
                <w:rStyle w:val="Bold"/>
                <w:rFonts w:ascii="Calibri" w:hAnsi="Calibri" w:cs="Calibri"/>
                <w:sz w:val="20"/>
                <w:szCs w:val="20"/>
              </w:rPr>
              <w:t>Blank</w:t>
            </w:r>
          </w:p>
        </w:tc>
        <w:tc>
          <w:tcPr>
            <w:tcW w:w="815" w:type="dxa"/>
          </w:tcPr>
          <w:p w14:paraId="35866360" w14:textId="77777777" w:rsidR="009B7AED" w:rsidRPr="00D4282A" w:rsidRDefault="009B7AED" w:rsidP="002841D0">
            <w:pPr>
              <w:pStyle w:val="TMGTable1"/>
              <w:spacing w:before="10" w:after="10"/>
              <w:rPr>
                <w:rStyle w:val="Bold"/>
                <w:rFonts w:ascii="Calibri" w:hAnsi="Calibri" w:cs="Calibri"/>
                <w:b/>
                <w:bCs/>
                <w:sz w:val="20"/>
                <w:szCs w:val="20"/>
              </w:rPr>
            </w:pPr>
            <w:r w:rsidRPr="00D4282A">
              <w:rPr>
                <w:rStyle w:val="Bold"/>
                <w:rFonts w:ascii="Calibri" w:hAnsi="Calibri" w:cs="Calibri"/>
                <w:sz w:val="20"/>
                <w:szCs w:val="20"/>
              </w:rPr>
              <w:t>Blank</w:t>
            </w:r>
          </w:p>
        </w:tc>
        <w:tc>
          <w:tcPr>
            <w:tcW w:w="815" w:type="dxa"/>
          </w:tcPr>
          <w:p w14:paraId="7F9F3728" w14:textId="77777777" w:rsidR="009B7AED" w:rsidRPr="00D4282A" w:rsidRDefault="009B7AED" w:rsidP="002841D0">
            <w:pPr>
              <w:pStyle w:val="TMGTable1"/>
              <w:spacing w:before="10" w:after="10"/>
              <w:rPr>
                <w:rStyle w:val="Bold"/>
                <w:rFonts w:ascii="Calibri" w:hAnsi="Calibri" w:cs="Calibri"/>
                <w:b/>
                <w:bCs/>
                <w:sz w:val="20"/>
                <w:szCs w:val="20"/>
              </w:rPr>
            </w:pPr>
            <w:r w:rsidRPr="00D4282A">
              <w:rPr>
                <w:rStyle w:val="Bold"/>
                <w:rFonts w:ascii="Calibri" w:hAnsi="Calibri" w:cs="Calibri"/>
                <w:sz w:val="20"/>
                <w:szCs w:val="20"/>
              </w:rPr>
              <w:t>Blank</w:t>
            </w:r>
          </w:p>
        </w:tc>
        <w:tc>
          <w:tcPr>
            <w:tcW w:w="815" w:type="dxa"/>
          </w:tcPr>
          <w:p w14:paraId="1A13FF35" w14:textId="77777777" w:rsidR="009B7AED" w:rsidRPr="00D4282A" w:rsidRDefault="009B7AED" w:rsidP="002841D0">
            <w:pPr>
              <w:pStyle w:val="TMGTable1"/>
              <w:spacing w:before="10" w:after="10"/>
              <w:rPr>
                <w:rStyle w:val="Bold"/>
                <w:rFonts w:ascii="Calibri" w:hAnsi="Calibri" w:cs="Calibri"/>
                <w:b/>
                <w:bCs/>
                <w:sz w:val="20"/>
                <w:szCs w:val="20"/>
              </w:rPr>
            </w:pPr>
            <w:r w:rsidRPr="00D4282A">
              <w:rPr>
                <w:rStyle w:val="Bold"/>
                <w:rFonts w:ascii="Calibri" w:hAnsi="Calibri" w:cs="Calibri"/>
                <w:sz w:val="20"/>
                <w:szCs w:val="20"/>
              </w:rPr>
              <w:t>Blank</w:t>
            </w:r>
          </w:p>
        </w:tc>
        <w:tc>
          <w:tcPr>
            <w:tcW w:w="815" w:type="dxa"/>
          </w:tcPr>
          <w:p w14:paraId="0C324988" w14:textId="77777777" w:rsidR="009B7AED" w:rsidRPr="00D4282A" w:rsidRDefault="009B7AED" w:rsidP="002841D0">
            <w:pPr>
              <w:pStyle w:val="TMGTable1"/>
              <w:spacing w:before="10" w:after="10"/>
              <w:rPr>
                <w:rStyle w:val="Bold"/>
                <w:rFonts w:ascii="Calibri" w:hAnsi="Calibri" w:cs="Calibri"/>
                <w:b/>
                <w:bCs/>
                <w:sz w:val="20"/>
                <w:szCs w:val="20"/>
              </w:rPr>
            </w:pPr>
            <w:r w:rsidRPr="00D4282A">
              <w:rPr>
                <w:rStyle w:val="Bold"/>
                <w:rFonts w:ascii="Calibri" w:hAnsi="Calibri" w:cs="Calibri"/>
                <w:sz w:val="20"/>
                <w:szCs w:val="20"/>
              </w:rPr>
              <w:t>Blank</w:t>
            </w:r>
          </w:p>
        </w:tc>
        <w:tc>
          <w:tcPr>
            <w:tcW w:w="815" w:type="dxa"/>
          </w:tcPr>
          <w:p w14:paraId="003B9F81" w14:textId="77777777" w:rsidR="009B7AED" w:rsidRPr="00D4282A" w:rsidRDefault="009B7AED" w:rsidP="002841D0">
            <w:pPr>
              <w:pStyle w:val="TMGTable1"/>
              <w:spacing w:before="10" w:after="10"/>
              <w:rPr>
                <w:rStyle w:val="Bold"/>
                <w:rFonts w:ascii="Calibri" w:hAnsi="Calibri" w:cs="Calibri"/>
                <w:b/>
                <w:bCs/>
                <w:sz w:val="20"/>
                <w:szCs w:val="20"/>
              </w:rPr>
            </w:pPr>
            <w:r w:rsidRPr="00D4282A">
              <w:rPr>
                <w:rStyle w:val="Bold"/>
                <w:rFonts w:ascii="Calibri" w:hAnsi="Calibri" w:cs="Calibri"/>
                <w:sz w:val="20"/>
                <w:szCs w:val="20"/>
              </w:rPr>
              <w:t>Blank</w:t>
            </w:r>
          </w:p>
        </w:tc>
      </w:tr>
    </w:tbl>
    <w:p w14:paraId="0D7B3F20" w14:textId="77777777" w:rsidR="009B7AED" w:rsidRPr="00F153DC" w:rsidRDefault="009B7AED" w:rsidP="00D4282A">
      <w:pPr>
        <w:pStyle w:val="BodyText"/>
        <w:spacing w:before="120"/>
      </w:pPr>
      <w:r w:rsidRPr="00F153DC">
        <w:rPr>
          <w:rStyle w:val="Italic"/>
          <w:iCs/>
        </w:rPr>
        <w:t>continued</w:t>
      </w:r>
    </w:p>
    <w:tbl>
      <w:tblPr>
        <w:tblStyle w:val="TMGTable"/>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165"/>
        <w:gridCol w:w="855"/>
        <w:gridCol w:w="855"/>
        <w:gridCol w:w="855"/>
        <w:gridCol w:w="855"/>
        <w:gridCol w:w="855"/>
        <w:gridCol w:w="855"/>
      </w:tblGrid>
      <w:tr w:rsidR="009B7AED" w:rsidRPr="00D4282A" w14:paraId="12E461DF" w14:textId="77777777" w:rsidTr="00E1261E">
        <w:trPr>
          <w:cnfStyle w:val="100000000000" w:firstRow="1" w:lastRow="0" w:firstColumn="0" w:lastColumn="0" w:oddVBand="0" w:evenVBand="0" w:oddHBand="0" w:evenHBand="0" w:firstRowFirstColumn="0" w:firstRowLastColumn="0" w:lastRowFirstColumn="0" w:lastRowLastColumn="0"/>
          <w:trHeight w:val="20"/>
        </w:trPr>
        <w:tc>
          <w:tcPr>
            <w:tcW w:w="1165" w:type="dxa"/>
          </w:tcPr>
          <w:p w14:paraId="4C315A99" w14:textId="77777777" w:rsidR="009B7AED" w:rsidRPr="00D4282A" w:rsidRDefault="009B7AED" w:rsidP="002841D0">
            <w:pPr>
              <w:pStyle w:val="TMGTable1"/>
              <w:spacing w:before="10" w:after="10"/>
              <w:jc w:val="left"/>
              <w:rPr>
                <w:rFonts w:asciiTheme="minorHAnsi" w:hAnsiTheme="minorHAnsi" w:cstheme="minorHAnsi"/>
                <w:b w:val="0"/>
                <w:bCs w:val="0"/>
                <w:sz w:val="20"/>
                <w:szCs w:val="20"/>
              </w:rPr>
            </w:pPr>
            <w:r w:rsidRPr="00D4282A">
              <w:rPr>
                <w:rStyle w:val="Bold"/>
                <w:rFonts w:asciiTheme="minorHAnsi" w:hAnsiTheme="minorHAnsi" w:cstheme="minorHAnsi"/>
                <w:sz w:val="20"/>
                <w:szCs w:val="20"/>
              </w:rPr>
              <w:t>Column Number:</w:t>
            </w:r>
          </w:p>
        </w:tc>
        <w:tc>
          <w:tcPr>
            <w:tcW w:w="855" w:type="dxa"/>
          </w:tcPr>
          <w:p w14:paraId="1C6D8214" w14:textId="77777777" w:rsidR="009B7AED" w:rsidRPr="00D4282A" w:rsidRDefault="009B7AED" w:rsidP="002841D0">
            <w:pPr>
              <w:pStyle w:val="TMGTable1"/>
              <w:spacing w:before="10" w:after="10"/>
              <w:rPr>
                <w:rFonts w:asciiTheme="minorHAnsi" w:hAnsiTheme="minorHAnsi" w:cstheme="minorHAnsi"/>
                <w:b w:val="0"/>
                <w:bCs w:val="0"/>
                <w:sz w:val="20"/>
                <w:szCs w:val="20"/>
              </w:rPr>
            </w:pPr>
            <w:r w:rsidRPr="00D4282A">
              <w:rPr>
                <w:rFonts w:asciiTheme="minorHAnsi" w:hAnsiTheme="minorHAnsi" w:cstheme="minorHAnsi"/>
                <w:sz w:val="20"/>
                <w:szCs w:val="20"/>
              </w:rPr>
              <w:t>121-124</w:t>
            </w:r>
          </w:p>
        </w:tc>
        <w:tc>
          <w:tcPr>
            <w:tcW w:w="855" w:type="dxa"/>
          </w:tcPr>
          <w:p w14:paraId="3023F702" w14:textId="77777777" w:rsidR="009B7AED" w:rsidRPr="00D4282A" w:rsidRDefault="009B7AED" w:rsidP="002841D0">
            <w:pPr>
              <w:pStyle w:val="TMGTable1"/>
              <w:spacing w:before="10" w:after="10"/>
              <w:rPr>
                <w:rFonts w:asciiTheme="minorHAnsi" w:hAnsiTheme="minorHAnsi" w:cstheme="minorHAnsi"/>
                <w:b w:val="0"/>
                <w:bCs w:val="0"/>
                <w:sz w:val="20"/>
                <w:szCs w:val="20"/>
              </w:rPr>
            </w:pPr>
            <w:r w:rsidRPr="00D4282A">
              <w:rPr>
                <w:rFonts w:asciiTheme="minorHAnsi" w:hAnsiTheme="minorHAnsi" w:cstheme="minorHAnsi"/>
                <w:sz w:val="20"/>
                <w:szCs w:val="20"/>
              </w:rPr>
              <w:t>125-129</w:t>
            </w:r>
          </w:p>
        </w:tc>
        <w:tc>
          <w:tcPr>
            <w:tcW w:w="855" w:type="dxa"/>
          </w:tcPr>
          <w:p w14:paraId="6EC7D4FA" w14:textId="77777777" w:rsidR="009B7AED" w:rsidRPr="00D4282A" w:rsidRDefault="009B7AED" w:rsidP="002841D0">
            <w:pPr>
              <w:pStyle w:val="TMGTable1"/>
              <w:spacing w:before="10" w:after="10"/>
              <w:rPr>
                <w:rFonts w:asciiTheme="minorHAnsi" w:hAnsiTheme="minorHAnsi" w:cstheme="minorHAnsi"/>
                <w:b w:val="0"/>
                <w:bCs w:val="0"/>
                <w:sz w:val="20"/>
                <w:szCs w:val="20"/>
              </w:rPr>
            </w:pPr>
            <w:r w:rsidRPr="00D4282A">
              <w:rPr>
                <w:rFonts w:asciiTheme="minorHAnsi" w:hAnsiTheme="minorHAnsi" w:cstheme="minorHAnsi"/>
                <w:sz w:val="20"/>
                <w:szCs w:val="20"/>
              </w:rPr>
              <w:t>130-133</w:t>
            </w:r>
          </w:p>
        </w:tc>
        <w:tc>
          <w:tcPr>
            <w:tcW w:w="855" w:type="dxa"/>
          </w:tcPr>
          <w:p w14:paraId="03425F14" w14:textId="77777777" w:rsidR="009B7AED" w:rsidRPr="00D4282A" w:rsidRDefault="009B7AED" w:rsidP="002841D0">
            <w:pPr>
              <w:pStyle w:val="TMGTable1"/>
              <w:spacing w:before="10" w:after="10"/>
              <w:rPr>
                <w:rFonts w:asciiTheme="minorHAnsi" w:hAnsiTheme="minorHAnsi" w:cstheme="minorHAnsi"/>
                <w:b w:val="0"/>
                <w:bCs w:val="0"/>
                <w:sz w:val="20"/>
                <w:szCs w:val="20"/>
              </w:rPr>
            </w:pPr>
            <w:r w:rsidRPr="00D4282A">
              <w:rPr>
                <w:rFonts w:asciiTheme="minorHAnsi" w:hAnsiTheme="minorHAnsi" w:cstheme="minorHAnsi"/>
                <w:sz w:val="20"/>
                <w:szCs w:val="20"/>
              </w:rPr>
              <w:t>134-138</w:t>
            </w:r>
          </w:p>
        </w:tc>
        <w:tc>
          <w:tcPr>
            <w:tcW w:w="855" w:type="dxa"/>
          </w:tcPr>
          <w:p w14:paraId="2446373E" w14:textId="77777777" w:rsidR="009B7AED" w:rsidRPr="00D4282A" w:rsidRDefault="009B7AED" w:rsidP="002841D0">
            <w:pPr>
              <w:pStyle w:val="TMGTable1"/>
              <w:spacing w:before="10" w:after="10"/>
              <w:rPr>
                <w:rFonts w:asciiTheme="minorHAnsi" w:hAnsiTheme="minorHAnsi" w:cstheme="minorHAnsi"/>
                <w:b w:val="0"/>
                <w:bCs w:val="0"/>
                <w:sz w:val="20"/>
                <w:szCs w:val="20"/>
              </w:rPr>
            </w:pPr>
            <w:r w:rsidRPr="00D4282A">
              <w:rPr>
                <w:rFonts w:asciiTheme="minorHAnsi" w:hAnsiTheme="minorHAnsi" w:cstheme="minorHAnsi"/>
                <w:sz w:val="20"/>
                <w:szCs w:val="20"/>
              </w:rPr>
              <w:t>139-142</w:t>
            </w:r>
          </w:p>
        </w:tc>
        <w:tc>
          <w:tcPr>
            <w:tcW w:w="855" w:type="dxa"/>
          </w:tcPr>
          <w:p w14:paraId="34C2091D" w14:textId="77777777" w:rsidR="009B7AED" w:rsidRPr="00D4282A" w:rsidRDefault="009B7AED" w:rsidP="002841D0">
            <w:pPr>
              <w:pStyle w:val="TMGTable1"/>
              <w:spacing w:before="10" w:after="10"/>
              <w:rPr>
                <w:rFonts w:asciiTheme="minorHAnsi" w:hAnsiTheme="minorHAnsi" w:cstheme="minorHAnsi"/>
                <w:b w:val="0"/>
                <w:bCs w:val="0"/>
                <w:sz w:val="20"/>
                <w:szCs w:val="20"/>
              </w:rPr>
            </w:pPr>
            <w:r w:rsidRPr="00D4282A">
              <w:rPr>
                <w:rFonts w:asciiTheme="minorHAnsi" w:hAnsiTheme="minorHAnsi" w:cstheme="minorHAnsi"/>
                <w:sz w:val="20"/>
                <w:szCs w:val="20"/>
              </w:rPr>
              <w:t>143-147</w:t>
            </w:r>
          </w:p>
        </w:tc>
      </w:tr>
      <w:tr w:rsidR="009B7AED" w:rsidRPr="00D4282A" w14:paraId="64B2F790" w14:textId="77777777" w:rsidTr="00E1261E">
        <w:trPr>
          <w:trHeight w:val="252"/>
        </w:trPr>
        <w:tc>
          <w:tcPr>
            <w:tcW w:w="1165" w:type="dxa"/>
          </w:tcPr>
          <w:p w14:paraId="5E8B74A9" w14:textId="77777777" w:rsidR="009B7AED" w:rsidRPr="00D4282A" w:rsidRDefault="009B7AED" w:rsidP="002841D0">
            <w:pPr>
              <w:pStyle w:val="TMGTable1"/>
              <w:spacing w:before="10" w:after="10"/>
              <w:jc w:val="left"/>
              <w:rPr>
                <w:rStyle w:val="Bold"/>
                <w:rFonts w:asciiTheme="minorHAnsi" w:hAnsiTheme="minorHAnsi" w:cstheme="minorHAnsi"/>
                <w:bCs/>
                <w:sz w:val="20"/>
                <w:szCs w:val="20"/>
              </w:rPr>
            </w:pPr>
            <w:r w:rsidRPr="00D4282A">
              <w:rPr>
                <w:rStyle w:val="Bold"/>
                <w:rFonts w:asciiTheme="minorHAnsi" w:hAnsiTheme="minorHAnsi" w:cstheme="minorHAnsi"/>
                <w:sz w:val="20"/>
                <w:szCs w:val="20"/>
              </w:rPr>
              <w:t>Content 01 Example:</w:t>
            </w:r>
          </w:p>
        </w:tc>
        <w:tc>
          <w:tcPr>
            <w:tcW w:w="855" w:type="dxa"/>
          </w:tcPr>
          <w:p w14:paraId="270770A1" w14:textId="77777777" w:rsidR="009B7AED" w:rsidRPr="00D4282A" w:rsidRDefault="009B7AED" w:rsidP="002841D0">
            <w:pPr>
              <w:pStyle w:val="TMGTable1"/>
              <w:spacing w:before="10" w:after="10"/>
              <w:rPr>
                <w:rStyle w:val="Bold"/>
                <w:rFonts w:asciiTheme="minorHAnsi" w:hAnsiTheme="minorHAnsi" w:cstheme="minorHAnsi"/>
                <w:sz w:val="20"/>
                <w:szCs w:val="20"/>
              </w:rPr>
            </w:pPr>
            <w:r w:rsidRPr="00D4282A">
              <w:rPr>
                <w:rStyle w:val="Bold"/>
                <w:rFonts w:asciiTheme="minorHAnsi" w:hAnsiTheme="minorHAnsi" w:cstheme="minorHAnsi"/>
                <w:sz w:val="20"/>
                <w:szCs w:val="20"/>
              </w:rPr>
              <w:t>Blank</w:t>
            </w:r>
          </w:p>
        </w:tc>
        <w:tc>
          <w:tcPr>
            <w:tcW w:w="855" w:type="dxa"/>
          </w:tcPr>
          <w:p w14:paraId="6378A648" w14:textId="77777777" w:rsidR="009B7AED" w:rsidRPr="00D4282A" w:rsidRDefault="009B7AED" w:rsidP="002841D0">
            <w:pPr>
              <w:pStyle w:val="TMGTable1"/>
              <w:spacing w:before="10" w:after="10"/>
              <w:rPr>
                <w:rStyle w:val="Bold"/>
                <w:rFonts w:asciiTheme="minorHAnsi" w:hAnsiTheme="minorHAnsi" w:cstheme="minorHAnsi"/>
                <w:sz w:val="20"/>
                <w:szCs w:val="20"/>
              </w:rPr>
            </w:pPr>
            <w:r w:rsidRPr="00D4282A">
              <w:rPr>
                <w:rStyle w:val="Bold"/>
                <w:rFonts w:asciiTheme="minorHAnsi" w:hAnsiTheme="minorHAnsi" w:cstheme="minorHAnsi"/>
                <w:sz w:val="20"/>
                <w:szCs w:val="20"/>
              </w:rPr>
              <w:t>Blank</w:t>
            </w:r>
          </w:p>
        </w:tc>
        <w:tc>
          <w:tcPr>
            <w:tcW w:w="855" w:type="dxa"/>
          </w:tcPr>
          <w:p w14:paraId="268FF12C" w14:textId="77777777" w:rsidR="009B7AED" w:rsidRPr="00D4282A" w:rsidRDefault="009B7AED" w:rsidP="002841D0">
            <w:pPr>
              <w:pStyle w:val="TMGTable1"/>
              <w:spacing w:before="10" w:after="10"/>
              <w:rPr>
                <w:rStyle w:val="Bold"/>
                <w:rFonts w:asciiTheme="minorHAnsi" w:hAnsiTheme="minorHAnsi" w:cstheme="minorHAnsi"/>
                <w:b/>
                <w:bCs/>
                <w:sz w:val="20"/>
                <w:szCs w:val="20"/>
              </w:rPr>
            </w:pPr>
            <w:r w:rsidRPr="00D4282A">
              <w:rPr>
                <w:rStyle w:val="Bold"/>
                <w:rFonts w:asciiTheme="minorHAnsi" w:hAnsiTheme="minorHAnsi" w:cstheme="minorHAnsi"/>
                <w:sz w:val="20"/>
                <w:szCs w:val="20"/>
              </w:rPr>
              <w:t>Blank</w:t>
            </w:r>
          </w:p>
        </w:tc>
        <w:tc>
          <w:tcPr>
            <w:tcW w:w="855" w:type="dxa"/>
          </w:tcPr>
          <w:p w14:paraId="7B23F6BA" w14:textId="77777777" w:rsidR="009B7AED" w:rsidRPr="00D4282A" w:rsidRDefault="009B7AED" w:rsidP="002841D0">
            <w:pPr>
              <w:pStyle w:val="TMGTable1"/>
              <w:spacing w:before="10" w:after="10"/>
              <w:rPr>
                <w:rStyle w:val="Bold"/>
                <w:rFonts w:asciiTheme="minorHAnsi" w:hAnsiTheme="minorHAnsi" w:cstheme="minorHAnsi"/>
                <w:b/>
                <w:bCs/>
                <w:sz w:val="20"/>
                <w:szCs w:val="20"/>
              </w:rPr>
            </w:pPr>
            <w:r w:rsidRPr="00D4282A">
              <w:rPr>
                <w:rStyle w:val="Bold"/>
                <w:rFonts w:asciiTheme="minorHAnsi" w:hAnsiTheme="minorHAnsi" w:cstheme="minorHAnsi"/>
                <w:sz w:val="20"/>
                <w:szCs w:val="20"/>
              </w:rPr>
              <w:t>Blank</w:t>
            </w:r>
          </w:p>
        </w:tc>
        <w:tc>
          <w:tcPr>
            <w:tcW w:w="855" w:type="dxa"/>
          </w:tcPr>
          <w:p w14:paraId="2DBD444B" w14:textId="77777777" w:rsidR="009B7AED" w:rsidRPr="00D4282A" w:rsidRDefault="009B7AED" w:rsidP="002841D0">
            <w:pPr>
              <w:pStyle w:val="TMGTable1"/>
              <w:spacing w:before="10" w:after="10"/>
              <w:rPr>
                <w:rStyle w:val="Bold"/>
                <w:rFonts w:asciiTheme="minorHAnsi" w:hAnsiTheme="minorHAnsi" w:cstheme="minorHAnsi"/>
                <w:b/>
                <w:bCs/>
                <w:sz w:val="20"/>
                <w:szCs w:val="20"/>
              </w:rPr>
            </w:pPr>
            <w:r w:rsidRPr="00D4282A">
              <w:rPr>
                <w:rStyle w:val="Bold"/>
                <w:rFonts w:asciiTheme="minorHAnsi" w:hAnsiTheme="minorHAnsi" w:cstheme="minorHAnsi"/>
                <w:sz w:val="20"/>
                <w:szCs w:val="20"/>
              </w:rPr>
              <w:t>Blank</w:t>
            </w:r>
          </w:p>
        </w:tc>
        <w:tc>
          <w:tcPr>
            <w:tcW w:w="855" w:type="dxa"/>
          </w:tcPr>
          <w:p w14:paraId="50F1BB80" w14:textId="77777777" w:rsidR="009B7AED" w:rsidRPr="00D4282A" w:rsidRDefault="009B7AED" w:rsidP="002841D0">
            <w:pPr>
              <w:pStyle w:val="TMGTable1"/>
              <w:spacing w:before="10" w:after="10"/>
              <w:rPr>
                <w:rStyle w:val="Bold"/>
                <w:rFonts w:asciiTheme="minorHAnsi" w:hAnsiTheme="minorHAnsi" w:cstheme="minorHAnsi"/>
                <w:b/>
                <w:bCs/>
                <w:sz w:val="20"/>
                <w:szCs w:val="20"/>
              </w:rPr>
            </w:pPr>
            <w:r w:rsidRPr="00D4282A">
              <w:rPr>
                <w:rStyle w:val="Bold"/>
                <w:rFonts w:asciiTheme="minorHAnsi" w:hAnsiTheme="minorHAnsi" w:cstheme="minorHAnsi"/>
                <w:sz w:val="20"/>
                <w:szCs w:val="20"/>
              </w:rPr>
              <w:t>Blank</w:t>
            </w:r>
          </w:p>
        </w:tc>
      </w:tr>
      <w:tr w:rsidR="009B7AED" w:rsidRPr="00D4282A" w14:paraId="129F6B89" w14:textId="77777777" w:rsidTr="00E1261E">
        <w:trPr>
          <w:trHeight w:val="20"/>
        </w:trPr>
        <w:tc>
          <w:tcPr>
            <w:tcW w:w="1165" w:type="dxa"/>
          </w:tcPr>
          <w:p w14:paraId="40D035E4" w14:textId="77777777" w:rsidR="009B7AED" w:rsidRPr="00D4282A" w:rsidRDefault="009B7AED" w:rsidP="002841D0">
            <w:pPr>
              <w:pStyle w:val="TMGTable1"/>
              <w:spacing w:before="10" w:after="10"/>
              <w:jc w:val="left"/>
              <w:rPr>
                <w:rStyle w:val="Bold"/>
                <w:rFonts w:asciiTheme="minorHAnsi" w:hAnsiTheme="minorHAnsi" w:cstheme="minorHAnsi"/>
                <w:bCs/>
                <w:sz w:val="20"/>
                <w:szCs w:val="20"/>
              </w:rPr>
            </w:pPr>
            <w:r w:rsidRPr="00D4282A">
              <w:rPr>
                <w:rStyle w:val="Bold"/>
                <w:rFonts w:asciiTheme="minorHAnsi" w:hAnsiTheme="minorHAnsi" w:cstheme="minorHAnsi"/>
                <w:sz w:val="20"/>
                <w:szCs w:val="20"/>
              </w:rPr>
              <w:t>Content 02 Example:</w:t>
            </w:r>
          </w:p>
        </w:tc>
        <w:tc>
          <w:tcPr>
            <w:tcW w:w="855" w:type="dxa"/>
          </w:tcPr>
          <w:p w14:paraId="0EB038DC" w14:textId="77777777" w:rsidR="009B7AED" w:rsidRPr="00D4282A" w:rsidRDefault="009B7AED" w:rsidP="002841D0">
            <w:pPr>
              <w:pStyle w:val="TMGTable1"/>
              <w:spacing w:before="10" w:after="10"/>
              <w:rPr>
                <w:rStyle w:val="Bold"/>
                <w:rFonts w:asciiTheme="minorHAnsi" w:hAnsiTheme="minorHAnsi" w:cstheme="minorHAnsi"/>
                <w:sz w:val="20"/>
                <w:szCs w:val="20"/>
              </w:rPr>
            </w:pPr>
            <w:r w:rsidRPr="00D4282A">
              <w:rPr>
                <w:rStyle w:val="Bold"/>
                <w:rFonts w:asciiTheme="minorHAnsi" w:hAnsiTheme="minorHAnsi" w:cstheme="minorHAnsi"/>
                <w:sz w:val="20"/>
                <w:szCs w:val="20"/>
              </w:rPr>
              <w:t>Blank</w:t>
            </w:r>
          </w:p>
        </w:tc>
        <w:tc>
          <w:tcPr>
            <w:tcW w:w="855" w:type="dxa"/>
          </w:tcPr>
          <w:p w14:paraId="1981F8E9" w14:textId="77777777" w:rsidR="009B7AED" w:rsidRPr="00D4282A" w:rsidRDefault="009B7AED" w:rsidP="002841D0">
            <w:pPr>
              <w:pStyle w:val="TMGTable1"/>
              <w:spacing w:before="10" w:after="10"/>
              <w:rPr>
                <w:rStyle w:val="Bold"/>
                <w:rFonts w:asciiTheme="minorHAnsi" w:hAnsiTheme="minorHAnsi" w:cstheme="minorHAnsi"/>
                <w:sz w:val="20"/>
                <w:szCs w:val="20"/>
              </w:rPr>
            </w:pPr>
            <w:r w:rsidRPr="00D4282A">
              <w:rPr>
                <w:rStyle w:val="Bold"/>
                <w:rFonts w:asciiTheme="minorHAnsi" w:hAnsiTheme="minorHAnsi" w:cstheme="minorHAnsi"/>
                <w:sz w:val="20"/>
                <w:szCs w:val="20"/>
              </w:rPr>
              <w:t>Blank</w:t>
            </w:r>
          </w:p>
        </w:tc>
        <w:tc>
          <w:tcPr>
            <w:tcW w:w="855" w:type="dxa"/>
          </w:tcPr>
          <w:p w14:paraId="2A36C3D5" w14:textId="77777777" w:rsidR="009B7AED" w:rsidRPr="00D4282A" w:rsidRDefault="009B7AED" w:rsidP="002841D0">
            <w:pPr>
              <w:pStyle w:val="TMGTable1"/>
              <w:spacing w:before="10" w:after="10"/>
              <w:rPr>
                <w:rStyle w:val="Bold"/>
                <w:rFonts w:asciiTheme="minorHAnsi" w:hAnsiTheme="minorHAnsi" w:cstheme="minorHAnsi"/>
                <w:b/>
                <w:bCs/>
                <w:sz w:val="20"/>
                <w:szCs w:val="20"/>
              </w:rPr>
            </w:pPr>
            <w:r w:rsidRPr="00D4282A">
              <w:rPr>
                <w:rStyle w:val="Bold"/>
                <w:rFonts w:asciiTheme="minorHAnsi" w:hAnsiTheme="minorHAnsi" w:cstheme="minorHAnsi"/>
                <w:sz w:val="20"/>
                <w:szCs w:val="20"/>
              </w:rPr>
              <w:t>Blank</w:t>
            </w:r>
          </w:p>
        </w:tc>
        <w:tc>
          <w:tcPr>
            <w:tcW w:w="855" w:type="dxa"/>
          </w:tcPr>
          <w:p w14:paraId="12039D45" w14:textId="77777777" w:rsidR="009B7AED" w:rsidRPr="00D4282A" w:rsidRDefault="009B7AED" w:rsidP="002841D0">
            <w:pPr>
              <w:pStyle w:val="TMGTable1"/>
              <w:spacing w:before="10" w:after="10"/>
              <w:rPr>
                <w:rStyle w:val="Bold"/>
                <w:rFonts w:asciiTheme="minorHAnsi" w:hAnsiTheme="minorHAnsi" w:cstheme="minorHAnsi"/>
                <w:b/>
                <w:bCs/>
                <w:sz w:val="20"/>
                <w:szCs w:val="20"/>
              </w:rPr>
            </w:pPr>
            <w:r w:rsidRPr="00D4282A">
              <w:rPr>
                <w:rStyle w:val="Bold"/>
                <w:rFonts w:asciiTheme="minorHAnsi" w:hAnsiTheme="minorHAnsi" w:cstheme="minorHAnsi"/>
                <w:sz w:val="20"/>
                <w:szCs w:val="20"/>
              </w:rPr>
              <w:t>Blank</w:t>
            </w:r>
          </w:p>
        </w:tc>
        <w:tc>
          <w:tcPr>
            <w:tcW w:w="855" w:type="dxa"/>
          </w:tcPr>
          <w:p w14:paraId="2FB52035" w14:textId="77777777" w:rsidR="009B7AED" w:rsidRPr="00D4282A" w:rsidRDefault="009B7AED" w:rsidP="002841D0">
            <w:pPr>
              <w:pStyle w:val="TMGTable1"/>
              <w:spacing w:before="10" w:after="10"/>
              <w:rPr>
                <w:rStyle w:val="Bold"/>
                <w:rFonts w:asciiTheme="minorHAnsi" w:hAnsiTheme="minorHAnsi" w:cstheme="minorHAnsi"/>
                <w:b/>
                <w:bCs/>
                <w:sz w:val="20"/>
                <w:szCs w:val="20"/>
              </w:rPr>
            </w:pPr>
            <w:r w:rsidRPr="00D4282A">
              <w:rPr>
                <w:rStyle w:val="Bold"/>
                <w:rFonts w:asciiTheme="minorHAnsi" w:hAnsiTheme="minorHAnsi" w:cstheme="minorHAnsi"/>
                <w:sz w:val="20"/>
                <w:szCs w:val="20"/>
              </w:rPr>
              <w:t>Blank</w:t>
            </w:r>
          </w:p>
        </w:tc>
        <w:tc>
          <w:tcPr>
            <w:tcW w:w="855" w:type="dxa"/>
          </w:tcPr>
          <w:p w14:paraId="52A15750" w14:textId="77777777" w:rsidR="009B7AED" w:rsidRPr="00D4282A" w:rsidRDefault="009B7AED" w:rsidP="002841D0">
            <w:pPr>
              <w:pStyle w:val="TMGTable1"/>
              <w:spacing w:before="10" w:after="10"/>
              <w:rPr>
                <w:rStyle w:val="Bold"/>
                <w:rFonts w:asciiTheme="minorHAnsi" w:hAnsiTheme="minorHAnsi" w:cstheme="minorHAnsi"/>
                <w:b/>
                <w:bCs/>
                <w:sz w:val="20"/>
                <w:szCs w:val="20"/>
              </w:rPr>
            </w:pPr>
            <w:r w:rsidRPr="00D4282A">
              <w:rPr>
                <w:rStyle w:val="Bold"/>
                <w:rFonts w:asciiTheme="minorHAnsi" w:hAnsiTheme="minorHAnsi" w:cstheme="minorHAnsi"/>
                <w:sz w:val="20"/>
                <w:szCs w:val="20"/>
              </w:rPr>
              <w:t>Blank</w:t>
            </w:r>
          </w:p>
        </w:tc>
      </w:tr>
      <w:tr w:rsidR="009B7AED" w:rsidRPr="00D4282A" w14:paraId="27E301F7" w14:textId="77777777" w:rsidTr="00E1261E">
        <w:trPr>
          <w:trHeight w:val="20"/>
        </w:trPr>
        <w:tc>
          <w:tcPr>
            <w:tcW w:w="1165" w:type="dxa"/>
          </w:tcPr>
          <w:p w14:paraId="08ED2796" w14:textId="77777777" w:rsidR="009B7AED" w:rsidRPr="00D4282A" w:rsidRDefault="009B7AED" w:rsidP="002841D0">
            <w:pPr>
              <w:pStyle w:val="TMGTable1"/>
              <w:spacing w:before="10" w:after="10"/>
              <w:jc w:val="left"/>
              <w:rPr>
                <w:rStyle w:val="Bold"/>
                <w:rFonts w:asciiTheme="minorHAnsi" w:hAnsiTheme="minorHAnsi" w:cstheme="minorHAnsi"/>
                <w:bCs/>
                <w:sz w:val="20"/>
                <w:szCs w:val="20"/>
              </w:rPr>
            </w:pPr>
            <w:r w:rsidRPr="00D4282A">
              <w:rPr>
                <w:rStyle w:val="Bold"/>
                <w:rFonts w:asciiTheme="minorHAnsi" w:hAnsiTheme="minorHAnsi" w:cstheme="minorHAnsi"/>
                <w:sz w:val="20"/>
                <w:szCs w:val="20"/>
              </w:rPr>
              <w:t>Content 03 Example:</w:t>
            </w:r>
          </w:p>
        </w:tc>
        <w:tc>
          <w:tcPr>
            <w:tcW w:w="855" w:type="dxa"/>
          </w:tcPr>
          <w:p w14:paraId="0D145D8B" w14:textId="77777777" w:rsidR="009B7AED" w:rsidRPr="00D4282A" w:rsidRDefault="009B7AED" w:rsidP="002841D0">
            <w:pPr>
              <w:pStyle w:val="TMGTable1"/>
              <w:spacing w:before="10" w:after="10"/>
              <w:rPr>
                <w:rStyle w:val="Bold"/>
                <w:rFonts w:asciiTheme="minorHAnsi" w:hAnsiTheme="minorHAnsi" w:cstheme="minorHAnsi"/>
                <w:sz w:val="20"/>
                <w:szCs w:val="20"/>
              </w:rPr>
            </w:pPr>
            <w:r w:rsidRPr="00D4282A">
              <w:rPr>
                <w:rStyle w:val="Bold"/>
                <w:rFonts w:asciiTheme="minorHAnsi" w:hAnsiTheme="minorHAnsi" w:cstheme="minorHAnsi"/>
                <w:sz w:val="20"/>
                <w:szCs w:val="20"/>
              </w:rPr>
              <w:t>Blank</w:t>
            </w:r>
          </w:p>
        </w:tc>
        <w:tc>
          <w:tcPr>
            <w:tcW w:w="855" w:type="dxa"/>
          </w:tcPr>
          <w:p w14:paraId="61554BE0" w14:textId="77777777" w:rsidR="009B7AED" w:rsidRPr="00D4282A" w:rsidRDefault="009B7AED" w:rsidP="002841D0">
            <w:pPr>
              <w:pStyle w:val="TMGTable1"/>
              <w:spacing w:before="10" w:after="10"/>
              <w:rPr>
                <w:rStyle w:val="Bold"/>
                <w:rFonts w:asciiTheme="minorHAnsi" w:hAnsiTheme="minorHAnsi" w:cstheme="minorHAnsi"/>
                <w:sz w:val="20"/>
                <w:szCs w:val="20"/>
              </w:rPr>
            </w:pPr>
            <w:r w:rsidRPr="00D4282A">
              <w:rPr>
                <w:rStyle w:val="Bold"/>
                <w:rFonts w:asciiTheme="minorHAnsi" w:hAnsiTheme="minorHAnsi" w:cstheme="minorHAnsi"/>
                <w:sz w:val="20"/>
                <w:szCs w:val="20"/>
              </w:rPr>
              <w:t>Blank</w:t>
            </w:r>
          </w:p>
        </w:tc>
        <w:tc>
          <w:tcPr>
            <w:tcW w:w="855" w:type="dxa"/>
          </w:tcPr>
          <w:p w14:paraId="204CBAED" w14:textId="77777777" w:rsidR="009B7AED" w:rsidRPr="00D4282A" w:rsidRDefault="009B7AED" w:rsidP="002841D0">
            <w:pPr>
              <w:pStyle w:val="TMGTable1"/>
              <w:spacing w:before="10" w:after="10"/>
              <w:rPr>
                <w:rStyle w:val="Bold"/>
                <w:rFonts w:asciiTheme="minorHAnsi" w:hAnsiTheme="minorHAnsi" w:cstheme="minorHAnsi"/>
                <w:b/>
                <w:bCs/>
                <w:sz w:val="20"/>
                <w:szCs w:val="20"/>
              </w:rPr>
            </w:pPr>
            <w:r w:rsidRPr="00D4282A">
              <w:rPr>
                <w:rStyle w:val="Bold"/>
                <w:rFonts w:asciiTheme="minorHAnsi" w:hAnsiTheme="minorHAnsi" w:cstheme="minorHAnsi"/>
                <w:sz w:val="20"/>
                <w:szCs w:val="20"/>
              </w:rPr>
              <w:t>Blank</w:t>
            </w:r>
          </w:p>
        </w:tc>
        <w:tc>
          <w:tcPr>
            <w:tcW w:w="855" w:type="dxa"/>
          </w:tcPr>
          <w:p w14:paraId="3AABD4D0" w14:textId="77777777" w:rsidR="009B7AED" w:rsidRPr="00D4282A" w:rsidRDefault="009B7AED" w:rsidP="002841D0">
            <w:pPr>
              <w:pStyle w:val="TMGTable1"/>
              <w:spacing w:before="10" w:after="10"/>
              <w:rPr>
                <w:rStyle w:val="Bold"/>
                <w:rFonts w:asciiTheme="minorHAnsi" w:hAnsiTheme="minorHAnsi" w:cstheme="minorHAnsi"/>
                <w:b/>
                <w:bCs/>
                <w:sz w:val="20"/>
                <w:szCs w:val="20"/>
              </w:rPr>
            </w:pPr>
            <w:r w:rsidRPr="00D4282A">
              <w:rPr>
                <w:rStyle w:val="Bold"/>
                <w:rFonts w:asciiTheme="minorHAnsi" w:hAnsiTheme="minorHAnsi" w:cstheme="minorHAnsi"/>
                <w:sz w:val="20"/>
                <w:szCs w:val="20"/>
              </w:rPr>
              <w:t>Blank</w:t>
            </w:r>
          </w:p>
        </w:tc>
        <w:tc>
          <w:tcPr>
            <w:tcW w:w="855" w:type="dxa"/>
          </w:tcPr>
          <w:p w14:paraId="6D100AAC" w14:textId="77777777" w:rsidR="009B7AED" w:rsidRPr="00D4282A" w:rsidRDefault="009B7AED" w:rsidP="002841D0">
            <w:pPr>
              <w:pStyle w:val="TMGTable1"/>
              <w:spacing w:before="10" w:after="10"/>
              <w:rPr>
                <w:rStyle w:val="Bold"/>
                <w:rFonts w:asciiTheme="minorHAnsi" w:hAnsiTheme="minorHAnsi" w:cstheme="minorHAnsi"/>
                <w:b/>
                <w:bCs/>
                <w:sz w:val="20"/>
                <w:szCs w:val="20"/>
              </w:rPr>
            </w:pPr>
            <w:r w:rsidRPr="00D4282A">
              <w:rPr>
                <w:rStyle w:val="Bold"/>
                <w:rFonts w:asciiTheme="minorHAnsi" w:hAnsiTheme="minorHAnsi" w:cstheme="minorHAnsi"/>
                <w:sz w:val="20"/>
                <w:szCs w:val="20"/>
              </w:rPr>
              <w:t>Blank</w:t>
            </w:r>
          </w:p>
        </w:tc>
        <w:tc>
          <w:tcPr>
            <w:tcW w:w="855" w:type="dxa"/>
          </w:tcPr>
          <w:p w14:paraId="1B7663E5" w14:textId="77777777" w:rsidR="009B7AED" w:rsidRPr="00D4282A" w:rsidRDefault="009B7AED" w:rsidP="002841D0">
            <w:pPr>
              <w:pStyle w:val="TMGTable1"/>
              <w:spacing w:before="10" w:after="10"/>
              <w:rPr>
                <w:rStyle w:val="Bold"/>
                <w:rFonts w:asciiTheme="minorHAnsi" w:hAnsiTheme="minorHAnsi" w:cstheme="minorHAnsi"/>
                <w:b/>
                <w:bCs/>
                <w:sz w:val="20"/>
                <w:szCs w:val="20"/>
              </w:rPr>
            </w:pPr>
            <w:r w:rsidRPr="00D4282A">
              <w:rPr>
                <w:rStyle w:val="Bold"/>
                <w:rFonts w:asciiTheme="minorHAnsi" w:hAnsiTheme="minorHAnsi" w:cstheme="minorHAnsi"/>
                <w:sz w:val="20"/>
                <w:szCs w:val="20"/>
              </w:rPr>
              <w:t>Blank</w:t>
            </w:r>
          </w:p>
        </w:tc>
      </w:tr>
    </w:tbl>
    <w:p w14:paraId="4ACF15EE" w14:textId="77777777" w:rsidR="009B7AED" w:rsidRDefault="009B7AED" w:rsidP="009B7AED">
      <w:pPr>
        <w:pStyle w:val="TableLandscapeTable"/>
        <w:spacing w:before="0"/>
        <w:rPr>
          <w:rFonts w:ascii="Calibri" w:hAnsi="Calibri" w:cs="Calibri"/>
        </w:rPr>
      </w:pPr>
    </w:p>
    <w:p w14:paraId="3F0B2892" w14:textId="77777777" w:rsidR="00657FF5" w:rsidRDefault="00657FF5" w:rsidP="000F2A7A">
      <w:pPr>
        <w:pStyle w:val="BodyText"/>
        <w:sectPr w:rsidR="00657FF5" w:rsidSect="00657FF5">
          <w:headerReference w:type="even" r:id="rId184"/>
          <w:headerReference w:type="default" r:id="rId185"/>
          <w:footerReference w:type="even" r:id="rId186"/>
          <w:footerReference w:type="default" r:id="rId187"/>
          <w:pgSz w:w="15840" w:h="12240" w:code="1"/>
          <w:pgMar w:top="1440" w:right="1152" w:bottom="1440" w:left="1440" w:header="720" w:footer="576" w:gutter="0"/>
          <w:pgNumType w:chapStyle="1"/>
          <w:cols w:space="720"/>
          <w:noEndnote/>
          <w:docGrid w:linePitch="272"/>
        </w:sectPr>
      </w:pPr>
    </w:p>
    <w:p w14:paraId="79350EF8" w14:textId="259E9F75" w:rsidR="009B7AED" w:rsidRPr="003232CF" w:rsidRDefault="009B7AED" w:rsidP="000043CF">
      <w:pPr>
        <w:pStyle w:val="BodyText"/>
        <w:spacing w:after="240"/>
      </w:pPr>
      <w:r>
        <w:lastRenderedPageBreak/>
        <w:t xml:space="preserve">In the Weight Record examples listed above, the Vehicle Class field (columns 22-23) indicates either class 09 (semi-trailer), class 04 (bus), or class 06 (dump-truck; 3-axle single unit) as illustrated below in </w:t>
      </w:r>
      <w:fldSimple w:instr=" REF _Ref111036568 ">
        <w:r w:rsidR="00C07DF9" w:rsidRPr="003232CF">
          <w:t xml:space="preserve">Figure </w:t>
        </w:r>
        <w:r w:rsidR="00C07DF9">
          <w:rPr>
            <w:noProof/>
          </w:rPr>
          <w:t>4</w:t>
        </w:r>
        <w:r w:rsidR="00C07DF9">
          <w:noBreakHyphen/>
        </w:r>
        <w:r w:rsidR="00C07DF9">
          <w:rPr>
            <w:noProof/>
          </w:rPr>
          <w:t>2</w:t>
        </w:r>
      </w:fldSimple>
      <w:r>
        <w:t>.</w:t>
      </w:r>
    </w:p>
    <w:tbl>
      <w:tblPr>
        <w:tblStyle w:val="TableGrid"/>
        <w:tblW w:w="4248" w:type="dxa"/>
        <w:jc w:val="center"/>
        <w:tblLayout w:type="fixed"/>
        <w:tblLook w:val="00A0" w:firstRow="1" w:lastRow="0" w:firstColumn="1" w:lastColumn="0" w:noHBand="0" w:noVBand="0"/>
      </w:tblPr>
      <w:tblGrid>
        <w:gridCol w:w="1769"/>
        <w:gridCol w:w="2479"/>
      </w:tblGrid>
      <w:tr w:rsidR="009B7AED" w:rsidRPr="00BF2E8D" w14:paraId="3D5E0A30" w14:textId="77777777" w:rsidTr="000043CF">
        <w:trPr>
          <w:trHeight w:val="864"/>
          <w:jc w:val="center"/>
        </w:trPr>
        <w:tc>
          <w:tcPr>
            <w:tcW w:w="1769" w:type="dxa"/>
            <w:vMerge w:val="restart"/>
          </w:tcPr>
          <w:p w14:paraId="038C3D4E" w14:textId="77777777" w:rsidR="009B7AED" w:rsidRPr="00BF2E8D" w:rsidRDefault="009B7AED" w:rsidP="000043CF">
            <w:pPr>
              <w:pStyle w:val="TableLandscapeTable"/>
              <w:spacing w:before="0" w:line="240" w:lineRule="auto"/>
            </w:pPr>
            <w:r w:rsidRPr="00BF2E8D">
              <w:t>Class 9</w:t>
            </w:r>
          </w:p>
          <w:p w14:paraId="642178CA" w14:textId="1B1F4A76" w:rsidR="009B7AED" w:rsidRPr="00BF2E8D" w:rsidRDefault="009B7AED" w:rsidP="000043CF">
            <w:pPr>
              <w:pStyle w:val="TableLandscapeTable"/>
              <w:spacing w:before="0" w:line="240" w:lineRule="auto"/>
            </w:pPr>
            <w:r w:rsidRPr="00BF2E8D">
              <w:t>5-</w:t>
            </w:r>
            <w:r>
              <w:t>a</w:t>
            </w:r>
            <w:r w:rsidRPr="00BF2E8D">
              <w:t xml:space="preserve">xle tractor </w:t>
            </w:r>
            <w:r>
              <w:t>s</w:t>
            </w:r>
            <w:r w:rsidRPr="00BF2E8D">
              <w:t>emitrailer</w:t>
            </w:r>
          </w:p>
        </w:tc>
        <w:tc>
          <w:tcPr>
            <w:tcW w:w="2479" w:type="dxa"/>
            <w:vAlign w:val="center"/>
          </w:tcPr>
          <w:p w14:paraId="7323BEDD" w14:textId="77777777" w:rsidR="009B7AED" w:rsidRPr="00BF2E8D" w:rsidRDefault="009B7AED" w:rsidP="000043CF">
            <w:pPr>
              <w:pStyle w:val="TableLandscapeTable"/>
              <w:spacing w:before="0" w:line="240" w:lineRule="auto"/>
            </w:pPr>
            <w:r>
              <w:rPr>
                <w:noProof/>
              </w:rPr>
              <w:drawing>
                <wp:inline distT="0" distB="0" distL="0" distR="0" wp14:anchorId="316B353F" wp14:editId="1C935A1A">
                  <wp:extent cx="1028700" cy="330200"/>
                  <wp:effectExtent l="25400" t="0" r="0" b="0"/>
                  <wp:docPr id="224" name="Picture 8" descr="This is a selection of the FHWA vehicle classification chart. Class 9 are 5-axle tractor semitrailers. Class four are buses. Class 6 are three-axle single unit vehicles includes mixer trucks, box trucks, and flatb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8" descr="This is a selection of the FHWA vehicle classification chart. Class 9 are 5-axle tractor semitrailers. Class four are buses. Class 6 are three-axle single unit vehicles includes mixer trucks, box trucks, and flatbeds."/>
                          <pic:cNvPicPr/>
                        </pic:nvPicPr>
                        <pic:blipFill>
                          <a:blip r:embed="rId126" cstate="email">
                            <a:extLst>
                              <a:ext uri="{28A0092B-C50C-407E-A947-70E740481C1C}">
                                <a14:useLocalDpi xmlns:a14="http://schemas.microsoft.com/office/drawing/2010/main"/>
                              </a:ext>
                            </a:extLst>
                          </a:blip>
                          <a:stretch>
                            <a:fillRect/>
                          </a:stretch>
                        </pic:blipFill>
                        <pic:spPr>
                          <a:xfrm>
                            <a:off x="0" y="0"/>
                            <a:ext cx="1028700" cy="330200"/>
                          </a:xfrm>
                          <a:prstGeom prst="rect">
                            <a:avLst/>
                          </a:prstGeom>
                        </pic:spPr>
                      </pic:pic>
                    </a:graphicData>
                  </a:graphic>
                </wp:inline>
              </w:drawing>
            </w:r>
          </w:p>
        </w:tc>
      </w:tr>
      <w:tr w:rsidR="009B7AED" w:rsidRPr="00BF2E8D" w14:paraId="7EEAA2DE" w14:textId="77777777" w:rsidTr="000043CF">
        <w:trPr>
          <w:trHeight w:val="864"/>
          <w:jc w:val="center"/>
        </w:trPr>
        <w:tc>
          <w:tcPr>
            <w:tcW w:w="1769" w:type="dxa"/>
            <w:vMerge/>
          </w:tcPr>
          <w:p w14:paraId="5BB9AE79" w14:textId="77777777" w:rsidR="009B7AED" w:rsidRPr="00BF2E8D" w:rsidRDefault="009B7AED" w:rsidP="000043CF">
            <w:pPr>
              <w:pStyle w:val="TableLandscapeTable"/>
              <w:spacing w:before="0" w:line="240" w:lineRule="auto"/>
            </w:pPr>
          </w:p>
        </w:tc>
        <w:tc>
          <w:tcPr>
            <w:tcW w:w="2479" w:type="dxa"/>
            <w:vAlign w:val="center"/>
          </w:tcPr>
          <w:p w14:paraId="7D674C64" w14:textId="77777777" w:rsidR="009B7AED" w:rsidRPr="00BF2E8D" w:rsidRDefault="009B7AED" w:rsidP="000043CF">
            <w:pPr>
              <w:pStyle w:val="TableLandscapeTable"/>
              <w:spacing w:before="0" w:line="240" w:lineRule="auto"/>
            </w:pPr>
            <w:r>
              <w:rPr>
                <w:noProof/>
              </w:rPr>
              <w:drawing>
                <wp:inline distT="0" distB="0" distL="0" distR="0" wp14:anchorId="3B160396" wp14:editId="3FC66F88">
                  <wp:extent cx="1028700" cy="330200"/>
                  <wp:effectExtent l="19050" t="0" r="0" b="0"/>
                  <wp:docPr id="225"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9">
                            <a:extLst>
                              <a:ext uri="{C183D7F6-B498-43B3-948B-1728B52AA6E4}">
                                <adec:decorative xmlns:adec="http://schemas.microsoft.com/office/drawing/2017/decorative" val="1"/>
                              </a:ext>
                            </a:extLst>
                          </pic:cNvPr>
                          <pic:cNvPicPr/>
                        </pic:nvPicPr>
                        <pic:blipFill>
                          <a:blip r:embed="rId128" cstate="email">
                            <a:extLst>
                              <a:ext uri="{28A0092B-C50C-407E-A947-70E740481C1C}">
                                <a14:useLocalDpi xmlns:a14="http://schemas.microsoft.com/office/drawing/2010/main"/>
                              </a:ext>
                            </a:extLst>
                          </a:blip>
                          <a:stretch>
                            <a:fillRect/>
                          </a:stretch>
                        </pic:blipFill>
                        <pic:spPr>
                          <a:xfrm>
                            <a:off x="0" y="0"/>
                            <a:ext cx="1028700" cy="330200"/>
                          </a:xfrm>
                          <a:prstGeom prst="rect">
                            <a:avLst/>
                          </a:prstGeom>
                        </pic:spPr>
                      </pic:pic>
                    </a:graphicData>
                  </a:graphic>
                </wp:inline>
              </w:drawing>
            </w:r>
          </w:p>
        </w:tc>
      </w:tr>
      <w:tr w:rsidR="009B7AED" w:rsidRPr="00BF2E8D" w14:paraId="3A8060BF" w14:textId="77777777" w:rsidTr="000043CF">
        <w:trPr>
          <w:trHeight w:val="864"/>
          <w:jc w:val="center"/>
        </w:trPr>
        <w:tc>
          <w:tcPr>
            <w:tcW w:w="1769" w:type="dxa"/>
            <w:vMerge w:val="restart"/>
          </w:tcPr>
          <w:p w14:paraId="0A77194F" w14:textId="77777777" w:rsidR="009B7AED" w:rsidRPr="00BF2E8D" w:rsidRDefault="009B7AED" w:rsidP="000043CF">
            <w:pPr>
              <w:pStyle w:val="TableLandscapeTable"/>
              <w:spacing w:before="0" w:line="240" w:lineRule="auto"/>
            </w:pPr>
            <w:r w:rsidRPr="00BF2E8D">
              <w:t>Class 4</w:t>
            </w:r>
          </w:p>
          <w:p w14:paraId="1612AC84" w14:textId="77777777" w:rsidR="009B7AED" w:rsidRPr="00BF2E8D" w:rsidRDefault="009B7AED" w:rsidP="000043CF">
            <w:pPr>
              <w:pStyle w:val="TableLandscapeTable"/>
              <w:spacing w:before="0" w:line="240" w:lineRule="auto"/>
            </w:pPr>
            <w:r w:rsidRPr="00BF2E8D">
              <w:t>Bus</w:t>
            </w:r>
          </w:p>
        </w:tc>
        <w:tc>
          <w:tcPr>
            <w:tcW w:w="2479" w:type="dxa"/>
            <w:vAlign w:val="center"/>
          </w:tcPr>
          <w:p w14:paraId="6570FBFF" w14:textId="77777777" w:rsidR="009B7AED" w:rsidRPr="00BF2E8D" w:rsidRDefault="009B7AED" w:rsidP="000043CF">
            <w:pPr>
              <w:pStyle w:val="TableLandscapeTable"/>
              <w:spacing w:before="0" w:line="240" w:lineRule="auto"/>
            </w:pPr>
            <w:r>
              <w:rPr>
                <w:noProof/>
              </w:rPr>
              <w:drawing>
                <wp:inline distT="0" distB="0" distL="0" distR="0" wp14:anchorId="14CFC59C" wp14:editId="0A858831">
                  <wp:extent cx="884786" cy="312516"/>
                  <wp:effectExtent l="25400" t="0" r="4214" b="0"/>
                  <wp:docPr id="226"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18">
                            <a:extLst>
                              <a:ext uri="{C183D7F6-B498-43B3-948B-1728B52AA6E4}">
                                <adec:decorative xmlns:adec="http://schemas.microsoft.com/office/drawing/2017/decorative" val="1"/>
                              </a:ext>
                            </a:extLst>
                          </pic:cNvPr>
                          <pic:cNvPicPr/>
                        </pic:nvPicPr>
                        <pic:blipFill>
                          <a:blip r:embed="rId129" cstate="email">
                            <a:extLst>
                              <a:ext uri="{28A0092B-C50C-407E-A947-70E740481C1C}">
                                <a14:useLocalDpi xmlns:a14="http://schemas.microsoft.com/office/drawing/2010/main"/>
                              </a:ext>
                            </a:extLst>
                          </a:blip>
                          <a:srcRect l="13466"/>
                          <a:stretch>
                            <a:fillRect/>
                          </a:stretch>
                        </pic:blipFill>
                        <pic:spPr>
                          <a:xfrm>
                            <a:off x="0" y="0"/>
                            <a:ext cx="884786" cy="312516"/>
                          </a:xfrm>
                          <a:prstGeom prst="rect">
                            <a:avLst/>
                          </a:prstGeom>
                        </pic:spPr>
                      </pic:pic>
                    </a:graphicData>
                  </a:graphic>
                </wp:inline>
              </w:drawing>
            </w:r>
          </w:p>
        </w:tc>
      </w:tr>
      <w:tr w:rsidR="009B7AED" w:rsidRPr="00BF2E8D" w14:paraId="6E2EE302" w14:textId="77777777" w:rsidTr="000043CF">
        <w:trPr>
          <w:trHeight w:val="864"/>
          <w:jc w:val="center"/>
        </w:trPr>
        <w:tc>
          <w:tcPr>
            <w:tcW w:w="1769" w:type="dxa"/>
            <w:vMerge/>
          </w:tcPr>
          <w:p w14:paraId="6A0C4392" w14:textId="77777777" w:rsidR="009B7AED" w:rsidRPr="00BF2E8D" w:rsidRDefault="009B7AED" w:rsidP="000043CF">
            <w:pPr>
              <w:pStyle w:val="TableLandscapeTable"/>
              <w:spacing w:before="0" w:line="240" w:lineRule="auto"/>
            </w:pPr>
          </w:p>
        </w:tc>
        <w:tc>
          <w:tcPr>
            <w:tcW w:w="2479" w:type="dxa"/>
            <w:vAlign w:val="center"/>
          </w:tcPr>
          <w:p w14:paraId="73891D1D" w14:textId="77777777" w:rsidR="009B7AED" w:rsidRPr="00BF2E8D" w:rsidRDefault="009B7AED" w:rsidP="000043CF">
            <w:pPr>
              <w:pStyle w:val="TableLandscapeTable"/>
              <w:spacing w:before="0" w:line="240" w:lineRule="auto"/>
            </w:pPr>
            <w:r>
              <w:rPr>
                <w:noProof/>
              </w:rPr>
              <w:drawing>
                <wp:inline distT="0" distB="0" distL="0" distR="0" wp14:anchorId="088A768D" wp14:editId="0EE53742">
                  <wp:extent cx="879520" cy="312517"/>
                  <wp:effectExtent l="25400" t="0" r="9480" b="0"/>
                  <wp:docPr id="227" name="Picture 2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a:extLst>
                              <a:ext uri="{C183D7F6-B498-43B3-948B-1728B52AA6E4}">
                                <adec:decorative xmlns:adec="http://schemas.microsoft.com/office/drawing/2017/decorative" val="1"/>
                              </a:ext>
                            </a:extLst>
                          </pic:cNvPr>
                          <pic:cNvPicPr/>
                        </pic:nvPicPr>
                        <pic:blipFill>
                          <a:blip r:embed="rId131" cstate="email">
                            <a:extLst>
                              <a:ext uri="{28A0092B-C50C-407E-A947-70E740481C1C}">
                                <a14:useLocalDpi xmlns:a14="http://schemas.microsoft.com/office/drawing/2010/main"/>
                              </a:ext>
                            </a:extLst>
                          </a:blip>
                          <a:srcRect l="13466"/>
                          <a:stretch>
                            <a:fillRect/>
                          </a:stretch>
                        </pic:blipFill>
                        <pic:spPr>
                          <a:xfrm>
                            <a:off x="0" y="0"/>
                            <a:ext cx="879520" cy="312517"/>
                          </a:xfrm>
                          <a:prstGeom prst="rect">
                            <a:avLst/>
                          </a:prstGeom>
                        </pic:spPr>
                      </pic:pic>
                    </a:graphicData>
                  </a:graphic>
                </wp:inline>
              </w:drawing>
            </w:r>
          </w:p>
        </w:tc>
      </w:tr>
      <w:tr w:rsidR="009B7AED" w:rsidRPr="00BF2E8D" w14:paraId="404E7F9C" w14:textId="77777777" w:rsidTr="000043CF">
        <w:trPr>
          <w:trHeight w:val="962"/>
          <w:jc w:val="center"/>
        </w:trPr>
        <w:tc>
          <w:tcPr>
            <w:tcW w:w="1769" w:type="dxa"/>
            <w:vMerge/>
          </w:tcPr>
          <w:p w14:paraId="17C7BF23" w14:textId="77777777" w:rsidR="009B7AED" w:rsidRPr="00BF2E8D" w:rsidRDefault="009B7AED" w:rsidP="000043CF">
            <w:pPr>
              <w:pStyle w:val="TableLandscapeTable"/>
              <w:spacing w:before="0" w:line="240" w:lineRule="auto"/>
            </w:pPr>
          </w:p>
        </w:tc>
        <w:tc>
          <w:tcPr>
            <w:tcW w:w="2479" w:type="dxa"/>
            <w:vAlign w:val="center"/>
          </w:tcPr>
          <w:p w14:paraId="64FC5B7C" w14:textId="77777777" w:rsidR="009B7AED" w:rsidRPr="00BF2E8D" w:rsidRDefault="009B7AED" w:rsidP="000043CF">
            <w:pPr>
              <w:pStyle w:val="TableLandscapeTable"/>
              <w:spacing w:before="0" w:line="240" w:lineRule="auto"/>
            </w:pPr>
            <w:r>
              <w:rPr>
                <w:noProof/>
              </w:rPr>
              <w:drawing>
                <wp:inline distT="0" distB="0" distL="0" distR="0" wp14:anchorId="720F3917" wp14:editId="46498E4F">
                  <wp:extent cx="878175" cy="462988"/>
                  <wp:effectExtent l="25400" t="0" r="10825" b="0"/>
                  <wp:docPr id="22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0">
                            <a:extLst>
                              <a:ext uri="{C183D7F6-B498-43B3-948B-1728B52AA6E4}">
                                <adec:decorative xmlns:adec="http://schemas.microsoft.com/office/drawing/2017/decorative" val="1"/>
                              </a:ext>
                            </a:extLst>
                          </pic:cNvPr>
                          <pic:cNvPicPr/>
                        </pic:nvPicPr>
                        <pic:blipFill>
                          <a:blip r:embed="rId133" cstate="email">
                            <a:extLst>
                              <a:ext uri="{28A0092B-C50C-407E-A947-70E740481C1C}">
                                <a14:useLocalDpi xmlns:a14="http://schemas.microsoft.com/office/drawing/2010/main"/>
                              </a:ext>
                            </a:extLst>
                          </a:blip>
                          <a:srcRect l="13466"/>
                          <a:stretch>
                            <a:fillRect/>
                          </a:stretch>
                        </pic:blipFill>
                        <pic:spPr>
                          <a:xfrm>
                            <a:off x="0" y="0"/>
                            <a:ext cx="878175" cy="462988"/>
                          </a:xfrm>
                          <a:prstGeom prst="rect">
                            <a:avLst/>
                          </a:prstGeom>
                        </pic:spPr>
                      </pic:pic>
                    </a:graphicData>
                  </a:graphic>
                </wp:inline>
              </w:drawing>
            </w:r>
          </w:p>
        </w:tc>
      </w:tr>
      <w:tr w:rsidR="009B7AED" w:rsidRPr="00BF2E8D" w14:paraId="4362C382" w14:textId="77777777" w:rsidTr="000043CF">
        <w:trPr>
          <w:trHeight w:val="864"/>
          <w:jc w:val="center"/>
        </w:trPr>
        <w:tc>
          <w:tcPr>
            <w:tcW w:w="1769" w:type="dxa"/>
            <w:vMerge w:val="restart"/>
          </w:tcPr>
          <w:p w14:paraId="1E825C2A" w14:textId="77777777" w:rsidR="009B7AED" w:rsidRPr="00BF2E8D" w:rsidRDefault="009B7AED" w:rsidP="000043CF">
            <w:pPr>
              <w:pStyle w:val="TableLandscapeTable"/>
              <w:spacing w:before="0" w:line="240" w:lineRule="auto"/>
            </w:pPr>
            <w:r w:rsidRPr="00BF2E8D">
              <w:t>Class 6</w:t>
            </w:r>
          </w:p>
          <w:p w14:paraId="0A167E98" w14:textId="77777777" w:rsidR="009B7AED" w:rsidRPr="00BF2E8D" w:rsidRDefault="009B7AED" w:rsidP="000043CF">
            <w:pPr>
              <w:pStyle w:val="TableLandscapeTable"/>
              <w:spacing w:before="0" w:line="240" w:lineRule="auto"/>
            </w:pPr>
            <w:r>
              <w:t>3-</w:t>
            </w:r>
            <w:r w:rsidRPr="00BF2E8D">
              <w:t>axle, single unit</w:t>
            </w:r>
          </w:p>
        </w:tc>
        <w:tc>
          <w:tcPr>
            <w:tcW w:w="2479" w:type="dxa"/>
            <w:vAlign w:val="center"/>
          </w:tcPr>
          <w:p w14:paraId="1C033DB3" w14:textId="77777777" w:rsidR="009B7AED" w:rsidRPr="00BF2E8D" w:rsidRDefault="009B7AED" w:rsidP="000043CF">
            <w:pPr>
              <w:pStyle w:val="TableLandscapeTable"/>
              <w:spacing w:before="0" w:line="240" w:lineRule="auto"/>
            </w:pPr>
            <w:r>
              <w:rPr>
                <w:noProof/>
              </w:rPr>
              <w:drawing>
                <wp:inline distT="0" distB="0" distL="0" distR="0" wp14:anchorId="2FFFAE14" wp14:editId="41CBE629">
                  <wp:extent cx="786130" cy="462280"/>
                  <wp:effectExtent l="25400" t="0" r="1270" b="0"/>
                  <wp:docPr id="229" name="Picture 1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183">
                            <a:extLst>
                              <a:ext uri="{C183D7F6-B498-43B3-948B-1728B52AA6E4}">
                                <adec:decorative xmlns:adec="http://schemas.microsoft.com/office/drawing/2017/decorative" val="1"/>
                              </a:ext>
                            </a:extLst>
                          </pic:cNvPr>
                          <pic:cNvPicPr/>
                        </pic:nvPicPr>
                        <pic:blipFill>
                          <a:blip r:embed="rId188" cstate="email">
                            <a:extLst>
                              <a:ext uri="{28A0092B-C50C-407E-A947-70E740481C1C}">
                                <a14:useLocalDpi xmlns:a14="http://schemas.microsoft.com/office/drawing/2010/main"/>
                              </a:ext>
                            </a:extLst>
                          </a:blip>
                          <a:stretch>
                            <a:fillRect/>
                          </a:stretch>
                        </pic:blipFill>
                        <pic:spPr>
                          <a:xfrm>
                            <a:off x="0" y="0"/>
                            <a:ext cx="786130" cy="462280"/>
                          </a:xfrm>
                          <a:prstGeom prst="rect">
                            <a:avLst/>
                          </a:prstGeom>
                        </pic:spPr>
                      </pic:pic>
                    </a:graphicData>
                  </a:graphic>
                </wp:inline>
              </w:drawing>
            </w:r>
          </w:p>
        </w:tc>
      </w:tr>
      <w:tr w:rsidR="009B7AED" w:rsidRPr="00BF2E8D" w14:paraId="64221742" w14:textId="77777777" w:rsidTr="000043CF">
        <w:trPr>
          <w:trHeight w:val="864"/>
          <w:jc w:val="center"/>
        </w:trPr>
        <w:tc>
          <w:tcPr>
            <w:tcW w:w="1769" w:type="dxa"/>
            <w:vMerge/>
          </w:tcPr>
          <w:p w14:paraId="3EF33701" w14:textId="77777777" w:rsidR="009B7AED" w:rsidRPr="00BF2E8D" w:rsidRDefault="009B7AED" w:rsidP="000043CF">
            <w:pPr>
              <w:pStyle w:val="TableLandscapeTable"/>
              <w:spacing w:before="0" w:line="240" w:lineRule="auto"/>
            </w:pPr>
          </w:p>
        </w:tc>
        <w:tc>
          <w:tcPr>
            <w:tcW w:w="2479" w:type="dxa"/>
            <w:vAlign w:val="center"/>
          </w:tcPr>
          <w:p w14:paraId="139206F8" w14:textId="77777777" w:rsidR="009B7AED" w:rsidRPr="00BF2E8D" w:rsidRDefault="009B7AED" w:rsidP="000043CF">
            <w:pPr>
              <w:pStyle w:val="TableLandscapeTable"/>
              <w:spacing w:before="0" w:line="240" w:lineRule="auto"/>
            </w:pPr>
            <w:r>
              <w:rPr>
                <w:noProof/>
              </w:rPr>
              <w:drawing>
                <wp:inline distT="0" distB="0" distL="0" distR="0" wp14:anchorId="0D6405D3" wp14:editId="47D7EDD5">
                  <wp:extent cx="786130" cy="349250"/>
                  <wp:effectExtent l="25400" t="0" r="1270" b="0"/>
                  <wp:docPr id="230" name="Picture 1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184">
                            <a:extLst>
                              <a:ext uri="{C183D7F6-B498-43B3-948B-1728B52AA6E4}">
                                <adec:decorative xmlns:adec="http://schemas.microsoft.com/office/drawing/2017/decorative" val="1"/>
                              </a:ext>
                            </a:extLst>
                          </pic:cNvPr>
                          <pic:cNvPicPr/>
                        </pic:nvPicPr>
                        <pic:blipFill>
                          <a:blip r:embed="rId189" cstate="email">
                            <a:extLst>
                              <a:ext uri="{28A0092B-C50C-407E-A947-70E740481C1C}">
                                <a14:useLocalDpi xmlns:a14="http://schemas.microsoft.com/office/drawing/2010/main"/>
                              </a:ext>
                            </a:extLst>
                          </a:blip>
                          <a:stretch>
                            <a:fillRect/>
                          </a:stretch>
                        </pic:blipFill>
                        <pic:spPr>
                          <a:xfrm>
                            <a:off x="0" y="0"/>
                            <a:ext cx="786130" cy="349250"/>
                          </a:xfrm>
                          <a:prstGeom prst="rect">
                            <a:avLst/>
                          </a:prstGeom>
                        </pic:spPr>
                      </pic:pic>
                    </a:graphicData>
                  </a:graphic>
                </wp:inline>
              </w:drawing>
            </w:r>
          </w:p>
        </w:tc>
      </w:tr>
      <w:tr w:rsidR="009B7AED" w:rsidRPr="00BF2E8D" w14:paraId="47B86515" w14:textId="77777777" w:rsidTr="000043CF">
        <w:trPr>
          <w:trHeight w:val="864"/>
          <w:jc w:val="center"/>
        </w:trPr>
        <w:tc>
          <w:tcPr>
            <w:tcW w:w="1769" w:type="dxa"/>
            <w:vMerge/>
          </w:tcPr>
          <w:p w14:paraId="0AE31D8A" w14:textId="77777777" w:rsidR="009B7AED" w:rsidRPr="00BF2E8D" w:rsidRDefault="009B7AED" w:rsidP="000043CF">
            <w:pPr>
              <w:pStyle w:val="TableLandscapeTable"/>
              <w:spacing w:before="0" w:line="240" w:lineRule="auto"/>
            </w:pPr>
          </w:p>
        </w:tc>
        <w:tc>
          <w:tcPr>
            <w:tcW w:w="2479" w:type="dxa"/>
            <w:vAlign w:val="center"/>
          </w:tcPr>
          <w:p w14:paraId="45F0F373" w14:textId="77777777" w:rsidR="009B7AED" w:rsidRPr="00BF2E8D" w:rsidRDefault="009B7AED" w:rsidP="000043CF">
            <w:pPr>
              <w:pStyle w:val="TableLandscapeTable"/>
              <w:spacing w:before="0" w:line="240" w:lineRule="auto"/>
            </w:pPr>
            <w:r>
              <w:rPr>
                <w:noProof/>
              </w:rPr>
              <w:drawing>
                <wp:inline distT="0" distB="0" distL="0" distR="0" wp14:anchorId="22ECCD8B" wp14:editId="7FE9CFDA">
                  <wp:extent cx="515904" cy="258592"/>
                  <wp:effectExtent l="19050" t="0" r="0" b="0"/>
                  <wp:docPr id="231" name="Picture 1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185">
                            <a:extLst>
                              <a:ext uri="{C183D7F6-B498-43B3-948B-1728B52AA6E4}">
                                <adec:decorative xmlns:adec="http://schemas.microsoft.com/office/drawing/2017/decorative" val="1"/>
                              </a:ext>
                            </a:extLst>
                          </pic:cNvPr>
                          <pic:cNvPicPr/>
                        </pic:nvPicPr>
                        <pic:blipFill>
                          <a:blip r:embed="rId190" cstate="email">
                            <a:extLst>
                              <a:ext uri="{28A0092B-C50C-407E-A947-70E740481C1C}">
                                <a14:useLocalDpi xmlns:a14="http://schemas.microsoft.com/office/drawing/2010/main"/>
                              </a:ext>
                            </a:extLst>
                          </a:blip>
                          <a:srcRect l="34895"/>
                          <a:stretch>
                            <a:fillRect/>
                          </a:stretch>
                        </pic:blipFill>
                        <pic:spPr>
                          <a:xfrm>
                            <a:off x="0" y="0"/>
                            <a:ext cx="515904" cy="258592"/>
                          </a:xfrm>
                          <a:prstGeom prst="rect">
                            <a:avLst/>
                          </a:prstGeom>
                        </pic:spPr>
                      </pic:pic>
                    </a:graphicData>
                  </a:graphic>
                </wp:inline>
              </w:drawing>
            </w:r>
          </w:p>
        </w:tc>
      </w:tr>
    </w:tbl>
    <w:p w14:paraId="080ABC76" w14:textId="7D6C0D2B" w:rsidR="009B7AED" w:rsidRDefault="009B7AED" w:rsidP="000043CF">
      <w:pPr>
        <w:pStyle w:val="Source"/>
        <w:ind w:left="2520"/>
      </w:pPr>
      <w:r>
        <w:t>Source:</w:t>
      </w:r>
      <w:r w:rsidR="0061163F">
        <w:t xml:space="preserve"> </w:t>
      </w:r>
      <w:r w:rsidR="000043CF">
        <w:t xml:space="preserve"> </w:t>
      </w:r>
      <w:r>
        <w:t>Federal Highway Administration.</w:t>
      </w:r>
    </w:p>
    <w:p w14:paraId="656F0F31" w14:textId="1AF39197" w:rsidR="000F2A7A" w:rsidRDefault="000F2A7A" w:rsidP="000F2A7A">
      <w:pPr>
        <w:pStyle w:val="TMGFigureCaption"/>
      </w:pPr>
      <w:bookmarkStart w:id="3083" w:name="_Ref111036568"/>
      <w:bookmarkStart w:id="3084" w:name="_Toc113282548"/>
      <w:bookmarkStart w:id="3085" w:name="_Toc114474808"/>
      <w:bookmarkStart w:id="3086" w:name="_Toc120626581"/>
      <w:r w:rsidRPr="003232CF">
        <w:t xml:space="preserve">Figure </w:t>
      </w:r>
      <w:fldSimple w:instr=" STYLEREF 1 \s ">
        <w:r w:rsidR="00C07DF9">
          <w:rPr>
            <w:noProof/>
          </w:rPr>
          <w:t>4</w:t>
        </w:r>
      </w:fldSimple>
      <w:r>
        <w:noBreakHyphen/>
      </w:r>
      <w:fldSimple w:instr=" SEQ Figure \* ARABIC \s 1 ">
        <w:r w:rsidR="00C07DF9">
          <w:rPr>
            <w:noProof/>
          </w:rPr>
          <w:t>2</w:t>
        </w:r>
      </w:fldSimple>
      <w:bookmarkEnd w:id="3083"/>
      <w:r w:rsidR="007F2D82">
        <w:t>.</w:t>
      </w:r>
      <w:r w:rsidRPr="003232CF">
        <w:t xml:space="preserve"> </w:t>
      </w:r>
      <w:r>
        <w:t xml:space="preserve">Illustration of Class </w:t>
      </w:r>
      <w:r w:rsidRPr="003232CF">
        <w:t>09 - Semi-Truck,</w:t>
      </w:r>
      <w:r w:rsidR="000043CF">
        <w:br/>
      </w:r>
      <w:r w:rsidRPr="003232CF">
        <w:t xml:space="preserve">04 - Bus, </w:t>
      </w:r>
      <w:r>
        <w:t xml:space="preserve">and </w:t>
      </w:r>
      <w:r w:rsidRPr="003232CF">
        <w:t>06</w:t>
      </w:r>
      <w:r>
        <w:t xml:space="preserve"> </w:t>
      </w:r>
      <w:r w:rsidRPr="003232CF">
        <w:t>-</w:t>
      </w:r>
      <w:r>
        <w:t xml:space="preserve"> </w:t>
      </w:r>
      <w:r w:rsidRPr="003232CF">
        <w:t>Dump-Truck</w:t>
      </w:r>
      <w:bookmarkEnd w:id="3084"/>
      <w:bookmarkEnd w:id="3085"/>
      <w:bookmarkEnd w:id="3086"/>
    </w:p>
    <w:p w14:paraId="7ADA8E62" w14:textId="77777777" w:rsidR="009B7AED" w:rsidRPr="001546EF" w:rsidRDefault="009B7AED">
      <w:pPr>
        <w:pStyle w:val="Heading3"/>
      </w:pPr>
      <w:bookmarkStart w:id="3087" w:name="_Toc63976755"/>
      <w:bookmarkStart w:id="3088" w:name="_Toc109301288"/>
      <w:bookmarkStart w:id="3089" w:name="_Toc109333022"/>
      <w:bookmarkStart w:id="3090" w:name="_Toc109333615"/>
      <w:bookmarkStart w:id="3091" w:name="_Toc113281113"/>
      <w:bookmarkStart w:id="3092" w:name="_Toc118205701"/>
      <w:r w:rsidRPr="001546EF">
        <w:t>Weight Data</w:t>
      </w:r>
      <w:bookmarkEnd w:id="3087"/>
      <w:r w:rsidRPr="001546EF">
        <w:t xml:space="preserve"> </w:t>
      </w:r>
      <w:r>
        <w:t>– Pipe-Delimited Format</w:t>
      </w:r>
      <w:bookmarkEnd w:id="3088"/>
      <w:bookmarkEnd w:id="3089"/>
      <w:bookmarkEnd w:id="3090"/>
      <w:bookmarkEnd w:id="3091"/>
      <w:bookmarkEnd w:id="3092"/>
    </w:p>
    <w:p w14:paraId="2D9543B5" w14:textId="7D6FA0E3" w:rsidR="009B7AED" w:rsidRDefault="009B7AED" w:rsidP="00A35EAF">
      <w:pPr>
        <w:pStyle w:val="BodyText"/>
        <w:rPr>
          <w:b/>
          <w:bCs/>
          <w:smallCaps/>
        </w:rPr>
        <w:sectPr w:rsidR="009B7AED" w:rsidSect="003C28DA">
          <w:headerReference w:type="even" r:id="rId191"/>
          <w:headerReference w:type="default" r:id="rId192"/>
          <w:footerReference w:type="even" r:id="rId193"/>
          <w:footerReference w:type="default" r:id="rId194"/>
          <w:pgSz w:w="12240" w:h="15840" w:code="1"/>
          <w:pgMar w:top="1440" w:right="1440" w:bottom="1152" w:left="1440" w:header="720" w:footer="576" w:gutter="0"/>
          <w:pgNumType w:chapStyle="1"/>
          <w:cols w:space="720"/>
          <w:noEndnote/>
        </w:sectPr>
      </w:pPr>
      <w:r>
        <w:t xml:space="preserve">State highway agencies can submit the weight data using the pipe-delimited format. The key difference between the fixed-width format and the pipe-delimited format is that with the pipe-delimited file, data elements no longer need to match the starting and ending columns. Length of data elements can be equal or shorter than the specified lengths. </w:t>
      </w:r>
      <w:r>
        <w:rPr>
          <w:rStyle w:val="Italic"/>
          <w:i w:val="0"/>
        </w:rPr>
        <w:t xml:space="preserve">The field order for the pipe-delimited format is identical to the order for the fixed-width format (see </w:t>
      </w:r>
      <w:r>
        <w:rPr>
          <w:rStyle w:val="Italic"/>
          <w:i w:val="0"/>
        </w:rPr>
        <w:fldChar w:fldCharType="begin"/>
      </w:r>
      <w:r>
        <w:rPr>
          <w:rStyle w:val="Italic"/>
          <w:i w:val="0"/>
        </w:rPr>
        <w:instrText xml:space="preserve"> REF _Ref113274750 </w:instrText>
      </w:r>
      <w:r>
        <w:rPr>
          <w:rStyle w:val="Italic"/>
          <w:i w:val="0"/>
        </w:rPr>
        <w:fldChar w:fldCharType="separate"/>
      </w:r>
      <w:r w:rsidR="00C07DF9" w:rsidRPr="003232CF">
        <w:t xml:space="preserve">Table </w:t>
      </w:r>
      <w:r w:rsidR="00C07DF9">
        <w:rPr>
          <w:noProof/>
        </w:rPr>
        <w:t>4</w:t>
      </w:r>
      <w:r w:rsidR="00C07DF9">
        <w:noBreakHyphen/>
      </w:r>
      <w:r w:rsidR="00C07DF9">
        <w:rPr>
          <w:noProof/>
        </w:rPr>
        <w:t>20</w:t>
      </w:r>
      <w:r>
        <w:rPr>
          <w:rStyle w:val="Italic"/>
          <w:i w:val="0"/>
        </w:rPr>
        <w:fldChar w:fldCharType="end"/>
      </w:r>
      <w:r>
        <w:rPr>
          <w:rStyle w:val="Italic"/>
          <w:i w:val="0"/>
        </w:rPr>
        <w:t xml:space="preserve">). In this format, the fields are separated by a </w:t>
      </w:r>
      <w:r>
        <w:t>pipe symbol (|) instead of beginning in specified columns. Example records in this format are provided below.</w:t>
      </w:r>
      <w:r w:rsidR="004D4172">
        <w:t xml:space="preserve"> </w:t>
      </w:r>
    </w:p>
    <w:p w14:paraId="52534534" w14:textId="77777777" w:rsidR="009B7AED" w:rsidRPr="00F6519D" w:rsidRDefault="009B7AED" w:rsidP="00F6519D">
      <w:pPr>
        <w:pStyle w:val="TableLandscapeTable"/>
        <w:spacing w:before="0" w:after="120" w:line="240" w:lineRule="auto"/>
        <w:rPr>
          <w:rFonts w:ascii="Cambria" w:hAnsi="Cambria" w:cs="Calibri"/>
          <w:b/>
          <w:bCs/>
          <w:sz w:val="26"/>
          <w:szCs w:val="26"/>
        </w:rPr>
      </w:pPr>
      <w:bookmarkStart w:id="3093" w:name="_Hlk113282916"/>
      <w:r w:rsidRPr="00F6519D">
        <w:rPr>
          <w:rFonts w:ascii="Cambria" w:hAnsi="Cambria" w:cs="Calibri"/>
          <w:b/>
          <w:bCs/>
          <w:sz w:val="26"/>
          <w:szCs w:val="26"/>
        </w:rPr>
        <w:lastRenderedPageBreak/>
        <w:t>Delimited Format Examples</w:t>
      </w:r>
    </w:p>
    <w:p w14:paraId="1B582CD7" w14:textId="77777777" w:rsidR="009B7AED" w:rsidRPr="00F6519D" w:rsidRDefault="009B7AED" w:rsidP="00F6519D">
      <w:pPr>
        <w:pStyle w:val="TableLandscapeTable"/>
        <w:spacing w:before="240" w:after="120" w:line="240" w:lineRule="auto"/>
        <w:rPr>
          <w:rFonts w:ascii="Calibri" w:hAnsi="Calibri" w:cs="Calibri"/>
          <w:b/>
          <w:bCs/>
        </w:rPr>
      </w:pPr>
      <w:r w:rsidRPr="00F6519D">
        <w:rPr>
          <w:rStyle w:val="Italic"/>
          <w:rFonts w:ascii="Calibri" w:hAnsi="Calibri" w:cs="Calibri"/>
          <w:b/>
          <w:i w:val="0"/>
          <w:sz w:val="22"/>
          <w:szCs w:val="22"/>
        </w:rPr>
        <w:t>Weight Format – Detailed</w:t>
      </w:r>
    </w:p>
    <w:p w14:paraId="20BCEFC0" w14:textId="77777777" w:rsidR="009B7AED" w:rsidRPr="008560EA" w:rsidRDefault="009B7AED" w:rsidP="009B7AED">
      <w:pPr>
        <w:pStyle w:val="BodyText-Nospace"/>
        <w:ind w:left="0"/>
        <w:rPr>
          <w:rStyle w:val="Italic"/>
          <w:i w:val="0"/>
        </w:rPr>
      </w:pPr>
      <w:bookmarkStart w:id="3094" w:name="_Hlk42510985"/>
      <w:r w:rsidRPr="008560EA">
        <w:rPr>
          <w:rStyle w:val="Italic"/>
          <w:i w:val="0"/>
        </w:rPr>
        <w:t>R</w:t>
      </w:r>
      <w:r>
        <w:rPr>
          <w:rStyle w:val="Italic"/>
          <w:i w:val="0"/>
        </w:rPr>
        <w:t>T</w:t>
      </w:r>
      <w:r w:rsidRPr="008560EA">
        <w:rPr>
          <w:rStyle w:val="Italic"/>
          <w:i w:val="0"/>
        </w:rPr>
        <w:t>|SFIPS|ID|D</w:t>
      </w:r>
      <w:r>
        <w:rPr>
          <w:rStyle w:val="Italic"/>
          <w:i w:val="0"/>
        </w:rPr>
        <w:t>IR</w:t>
      </w:r>
      <w:r w:rsidRPr="008560EA">
        <w:rPr>
          <w:rStyle w:val="Italic"/>
          <w:i w:val="0"/>
        </w:rPr>
        <w:t>|L</w:t>
      </w:r>
      <w:r>
        <w:rPr>
          <w:rStyle w:val="Italic"/>
          <w:i w:val="0"/>
        </w:rPr>
        <w:t>N</w:t>
      </w:r>
      <w:r w:rsidRPr="008560EA">
        <w:rPr>
          <w:rStyle w:val="Italic"/>
          <w:i w:val="0"/>
        </w:rPr>
        <w:t>|YR|MO</w:t>
      </w:r>
      <w:r>
        <w:rPr>
          <w:rStyle w:val="Italic"/>
          <w:i w:val="0"/>
        </w:rPr>
        <w:t>Y</w:t>
      </w:r>
      <w:r w:rsidRPr="008560EA">
        <w:rPr>
          <w:rStyle w:val="Italic"/>
          <w:i w:val="0"/>
        </w:rPr>
        <w:t>|D</w:t>
      </w:r>
      <w:r>
        <w:rPr>
          <w:rStyle w:val="Italic"/>
          <w:i w:val="0"/>
        </w:rPr>
        <w:t>OM</w:t>
      </w:r>
      <w:r w:rsidRPr="008560EA">
        <w:rPr>
          <w:rStyle w:val="Italic"/>
          <w:i w:val="0"/>
        </w:rPr>
        <w:t>|H</w:t>
      </w:r>
      <w:r>
        <w:rPr>
          <w:rStyle w:val="Italic"/>
          <w:i w:val="0"/>
        </w:rPr>
        <w:t>OD</w:t>
      </w:r>
      <w:r w:rsidRPr="008560EA">
        <w:rPr>
          <w:rStyle w:val="Italic"/>
          <w:i w:val="0"/>
        </w:rPr>
        <w:t>|CLS|O|GVW|NAX|</w:t>
      </w:r>
      <w:r>
        <w:rPr>
          <w:rStyle w:val="Italic"/>
          <w:i w:val="0"/>
        </w:rPr>
        <w:t>A</w:t>
      </w:r>
      <w:r w:rsidRPr="008560EA">
        <w:rPr>
          <w:rStyle w:val="Italic"/>
          <w:i w:val="0"/>
        </w:rPr>
        <w:t>W1|</w:t>
      </w:r>
      <w:r>
        <w:rPr>
          <w:rStyle w:val="Italic"/>
          <w:i w:val="0"/>
        </w:rPr>
        <w:t>A</w:t>
      </w:r>
      <w:r w:rsidRPr="008560EA">
        <w:rPr>
          <w:rStyle w:val="Italic"/>
          <w:i w:val="0"/>
        </w:rPr>
        <w:t>SP1|</w:t>
      </w:r>
      <w:r>
        <w:rPr>
          <w:rStyle w:val="Italic"/>
          <w:i w:val="0"/>
        </w:rPr>
        <w:t>A</w:t>
      </w:r>
      <w:r w:rsidRPr="008560EA">
        <w:rPr>
          <w:rStyle w:val="Italic"/>
          <w:i w:val="0"/>
        </w:rPr>
        <w:t>W2|</w:t>
      </w:r>
      <w:r>
        <w:rPr>
          <w:rStyle w:val="Italic"/>
          <w:i w:val="0"/>
        </w:rPr>
        <w:t>A</w:t>
      </w:r>
      <w:r w:rsidRPr="008560EA">
        <w:rPr>
          <w:rStyle w:val="Italic"/>
          <w:i w:val="0"/>
        </w:rPr>
        <w:t>SP2|</w:t>
      </w:r>
      <w:r>
        <w:rPr>
          <w:rStyle w:val="Italic"/>
          <w:i w:val="0"/>
        </w:rPr>
        <w:t>A</w:t>
      </w:r>
      <w:r w:rsidRPr="008560EA">
        <w:rPr>
          <w:rStyle w:val="Italic"/>
          <w:i w:val="0"/>
        </w:rPr>
        <w:t>W3|</w:t>
      </w:r>
      <w:r>
        <w:rPr>
          <w:rStyle w:val="Italic"/>
          <w:i w:val="0"/>
        </w:rPr>
        <w:t>A</w:t>
      </w:r>
      <w:r w:rsidRPr="008560EA">
        <w:rPr>
          <w:rStyle w:val="Italic"/>
          <w:i w:val="0"/>
        </w:rPr>
        <w:t>SP3|</w:t>
      </w:r>
      <w:r>
        <w:rPr>
          <w:rStyle w:val="Italic"/>
          <w:i w:val="0"/>
        </w:rPr>
        <w:t>A</w:t>
      </w:r>
      <w:r w:rsidRPr="008560EA">
        <w:rPr>
          <w:rStyle w:val="Italic"/>
          <w:i w:val="0"/>
        </w:rPr>
        <w:t>W4|</w:t>
      </w:r>
      <w:r>
        <w:rPr>
          <w:rStyle w:val="Italic"/>
          <w:i w:val="0"/>
        </w:rPr>
        <w:t>A</w:t>
      </w:r>
      <w:r w:rsidRPr="008560EA">
        <w:rPr>
          <w:rStyle w:val="Italic"/>
          <w:i w:val="0"/>
        </w:rPr>
        <w:t>SP4|</w:t>
      </w:r>
      <w:r>
        <w:rPr>
          <w:rStyle w:val="Italic"/>
          <w:i w:val="0"/>
        </w:rPr>
        <w:t>A</w:t>
      </w:r>
      <w:r w:rsidRPr="008560EA">
        <w:rPr>
          <w:rStyle w:val="Italic"/>
          <w:i w:val="0"/>
        </w:rPr>
        <w:t>W5|</w:t>
      </w:r>
      <w:r>
        <w:rPr>
          <w:rStyle w:val="Italic"/>
          <w:i w:val="0"/>
        </w:rPr>
        <w:t>A</w:t>
      </w:r>
      <w:r w:rsidRPr="008560EA">
        <w:rPr>
          <w:rStyle w:val="Italic"/>
          <w:i w:val="0"/>
        </w:rPr>
        <w:t>SP5|</w:t>
      </w:r>
      <w:r>
        <w:rPr>
          <w:rStyle w:val="Italic"/>
          <w:i w:val="0"/>
        </w:rPr>
        <w:t>A</w:t>
      </w:r>
      <w:r w:rsidRPr="008560EA">
        <w:rPr>
          <w:rStyle w:val="Italic"/>
          <w:i w:val="0"/>
        </w:rPr>
        <w:t>W6|</w:t>
      </w:r>
      <w:r>
        <w:rPr>
          <w:rStyle w:val="Italic"/>
          <w:i w:val="0"/>
        </w:rPr>
        <w:t>A</w:t>
      </w:r>
      <w:r w:rsidRPr="008560EA">
        <w:rPr>
          <w:rStyle w:val="Italic"/>
          <w:i w:val="0"/>
        </w:rPr>
        <w:t>SP6|</w:t>
      </w:r>
      <w:r>
        <w:rPr>
          <w:rStyle w:val="Italic"/>
          <w:i w:val="0"/>
        </w:rPr>
        <w:t>A</w:t>
      </w:r>
      <w:r w:rsidRPr="008560EA">
        <w:rPr>
          <w:rStyle w:val="Italic"/>
          <w:i w:val="0"/>
        </w:rPr>
        <w:t>W7|</w:t>
      </w:r>
      <w:r>
        <w:rPr>
          <w:rStyle w:val="Italic"/>
          <w:i w:val="0"/>
        </w:rPr>
        <w:t>A</w:t>
      </w:r>
      <w:r w:rsidRPr="008560EA">
        <w:rPr>
          <w:rStyle w:val="Italic"/>
          <w:i w:val="0"/>
        </w:rPr>
        <w:t>SP7|</w:t>
      </w:r>
      <w:r>
        <w:rPr>
          <w:rStyle w:val="Italic"/>
          <w:i w:val="0"/>
        </w:rPr>
        <w:t>A</w:t>
      </w:r>
      <w:r w:rsidRPr="008560EA">
        <w:rPr>
          <w:rStyle w:val="Italic"/>
          <w:i w:val="0"/>
        </w:rPr>
        <w:t>W8…</w:t>
      </w:r>
    </w:p>
    <w:p w14:paraId="264577F2" w14:textId="77777777" w:rsidR="009B7AED" w:rsidRPr="00F6519D" w:rsidRDefault="009B7AED" w:rsidP="00F6519D">
      <w:pPr>
        <w:pStyle w:val="TableLandscapeTable"/>
        <w:spacing w:before="240" w:after="120" w:line="240" w:lineRule="auto"/>
        <w:rPr>
          <w:rStyle w:val="Italic"/>
          <w:rFonts w:ascii="Calibri" w:hAnsi="Calibri" w:cs="Calibri"/>
          <w:b/>
          <w:i w:val="0"/>
          <w:sz w:val="22"/>
          <w:szCs w:val="22"/>
        </w:rPr>
      </w:pPr>
      <w:bookmarkStart w:id="3095" w:name="_Hlk113283003"/>
      <w:r w:rsidRPr="00F6519D">
        <w:rPr>
          <w:rStyle w:val="Italic"/>
          <w:rFonts w:ascii="Calibri" w:hAnsi="Calibri" w:cs="Calibri"/>
          <w:b/>
          <w:i w:val="0"/>
          <w:sz w:val="22"/>
          <w:szCs w:val="22"/>
        </w:rPr>
        <w:t>2-Lane Roadway with 9 Individual Vehicles Recorded</w:t>
      </w:r>
    </w:p>
    <w:bookmarkEnd w:id="3093"/>
    <w:bookmarkEnd w:id="3094"/>
    <w:bookmarkEnd w:id="3095"/>
    <w:p w14:paraId="52174F9C" w14:textId="77777777" w:rsidR="009B7AED" w:rsidRPr="008560EA" w:rsidRDefault="009B7AED" w:rsidP="009B7AED">
      <w:pPr>
        <w:pStyle w:val="BodyText-Nospace"/>
        <w:ind w:left="0"/>
        <w:rPr>
          <w:rStyle w:val="Italic"/>
          <w:i w:val="0"/>
        </w:rPr>
      </w:pPr>
      <w:r w:rsidRPr="008560EA">
        <w:rPr>
          <w:rStyle w:val="Italic"/>
          <w:i w:val="0"/>
        </w:rPr>
        <w:t>W|35|123456|3|1|2021|4|25|00|9||61837|5|10500|145|12000|43|12500|210|13450|46</w:t>
      </w:r>
      <w:r>
        <w:rPr>
          <w:rStyle w:val="Italic"/>
          <w:i w:val="0"/>
        </w:rPr>
        <w:t>|</w:t>
      </w:r>
      <w:r w:rsidRPr="008560EA">
        <w:rPr>
          <w:rStyle w:val="Italic"/>
          <w:i w:val="0"/>
        </w:rPr>
        <w:t>13387</w:t>
      </w:r>
    </w:p>
    <w:p w14:paraId="63560590" w14:textId="77777777" w:rsidR="009B7AED" w:rsidRPr="008560EA" w:rsidRDefault="009B7AED" w:rsidP="009B7AED">
      <w:pPr>
        <w:pStyle w:val="BodyText-Nospace"/>
        <w:ind w:left="0"/>
        <w:rPr>
          <w:rStyle w:val="Italic"/>
          <w:i w:val="0"/>
        </w:rPr>
      </w:pPr>
      <w:r w:rsidRPr="008560EA">
        <w:rPr>
          <w:rStyle w:val="Italic"/>
          <w:i w:val="0"/>
        </w:rPr>
        <w:t>W|35|123456|7|1|2021|4|25|00|5||14874|2|8462|185|6412</w:t>
      </w:r>
    </w:p>
    <w:p w14:paraId="762042BF" w14:textId="77777777" w:rsidR="009B7AED" w:rsidRPr="008560EA" w:rsidRDefault="009B7AED" w:rsidP="009B7AED">
      <w:pPr>
        <w:pStyle w:val="BodyText-Nospace"/>
        <w:ind w:left="0"/>
        <w:rPr>
          <w:rStyle w:val="Italic"/>
          <w:i w:val="0"/>
        </w:rPr>
      </w:pPr>
      <w:r w:rsidRPr="008560EA">
        <w:rPr>
          <w:rStyle w:val="Italic"/>
          <w:i w:val="0"/>
        </w:rPr>
        <w:t>W|35|123456|3|1|2021|4|25|00|4||25886|3|9750|240|7680|45|8456</w:t>
      </w:r>
    </w:p>
    <w:p w14:paraId="4EAD86A2" w14:textId="77777777" w:rsidR="009B7AED" w:rsidRPr="008560EA" w:rsidRDefault="009B7AED" w:rsidP="009B7AED">
      <w:pPr>
        <w:pStyle w:val="BodyText-Nospace"/>
        <w:ind w:left="0"/>
        <w:rPr>
          <w:rStyle w:val="Italic"/>
          <w:i w:val="0"/>
        </w:rPr>
      </w:pPr>
      <w:r w:rsidRPr="008560EA">
        <w:rPr>
          <w:rStyle w:val="Italic"/>
          <w:i w:val="0"/>
        </w:rPr>
        <w:t>W|35|123456|3|1|2021|4|25|00|9||54828|5|9873|135|11678|42|10985|23|11245|45|11047</w:t>
      </w:r>
    </w:p>
    <w:p w14:paraId="7212C865" w14:textId="77777777" w:rsidR="009B7AED" w:rsidRPr="008560EA" w:rsidRDefault="009B7AED" w:rsidP="009B7AED">
      <w:pPr>
        <w:pStyle w:val="BodyText-Nospace"/>
        <w:ind w:left="0"/>
        <w:rPr>
          <w:rStyle w:val="Italic"/>
          <w:i w:val="0"/>
        </w:rPr>
      </w:pPr>
      <w:r w:rsidRPr="008560EA">
        <w:rPr>
          <w:rStyle w:val="Italic"/>
          <w:i w:val="0"/>
        </w:rPr>
        <w:t>W|35|123456|7|1|2021|4|25|00|8||40561|4|9504|130|11546|205|9728|45|9783</w:t>
      </w:r>
    </w:p>
    <w:p w14:paraId="559EB8D6" w14:textId="77777777" w:rsidR="009B7AED" w:rsidRPr="008560EA" w:rsidRDefault="009B7AED" w:rsidP="009B7AED">
      <w:pPr>
        <w:pStyle w:val="BodyText-Nospace"/>
        <w:ind w:left="0"/>
        <w:rPr>
          <w:rStyle w:val="Italic"/>
          <w:i w:val="0"/>
        </w:rPr>
      </w:pPr>
      <w:r w:rsidRPr="008560EA">
        <w:rPr>
          <w:rStyle w:val="Italic"/>
          <w:i w:val="0"/>
        </w:rPr>
        <w:t>W|35|123456|3|1|2021|4|25|00|9||70044|5|11620|165|12895|43|12530|220|16750|82|16249</w:t>
      </w:r>
    </w:p>
    <w:p w14:paraId="4525C42E" w14:textId="77777777" w:rsidR="009B7AED" w:rsidRPr="008560EA" w:rsidRDefault="009B7AED" w:rsidP="009B7AED">
      <w:pPr>
        <w:pStyle w:val="BodyText-Nospace"/>
        <w:ind w:left="0"/>
        <w:rPr>
          <w:rStyle w:val="Italic"/>
          <w:i w:val="0"/>
        </w:rPr>
      </w:pPr>
      <w:r w:rsidRPr="008560EA">
        <w:rPr>
          <w:rStyle w:val="Italic"/>
          <w:i w:val="0"/>
        </w:rPr>
        <w:t>W|35|123456|7|1|2021|4|25|00|10||79973|6|11463|145|10486|43|10876|43|10562|240|18045|46|18541</w:t>
      </w:r>
    </w:p>
    <w:p w14:paraId="54E3FBC4" w14:textId="77777777" w:rsidR="009B7AED" w:rsidRPr="008560EA" w:rsidRDefault="009B7AED" w:rsidP="009B7AED">
      <w:pPr>
        <w:pStyle w:val="BodyText-Nospace"/>
        <w:ind w:left="0"/>
        <w:rPr>
          <w:rStyle w:val="Italic"/>
          <w:i w:val="0"/>
        </w:rPr>
      </w:pPr>
      <w:r w:rsidRPr="008560EA">
        <w:rPr>
          <w:rStyle w:val="Italic"/>
          <w:i w:val="0"/>
        </w:rPr>
        <w:t>W|35|123456|7|1|2021|4|25|01|13||71753|8|10876|138|9540|42|9163|42|9405|180|8741|46|8523|160|7652|46|7853</w:t>
      </w:r>
    </w:p>
    <w:p w14:paraId="493E6CFD" w14:textId="77777777" w:rsidR="009B7AED" w:rsidRDefault="009B7AED" w:rsidP="009B7AED">
      <w:pPr>
        <w:pStyle w:val="BodyText-Nospace"/>
        <w:ind w:left="0"/>
        <w:rPr>
          <w:rStyle w:val="Italic"/>
          <w:i w:val="0"/>
        </w:rPr>
      </w:pPr>
      <w:r w:rsidRPr="008560EA">
        <w:rPr>
          <w:rStyle w:val="Italic"/>
          <w:i w:val="0"/>
        </w:rPr>
        <w:t>W|35|123456|3|1|2021|4|25|01|9||72741|5|11231|165|14780|43|15345|275|15245|46|16140</w:t>
      </w:r>
    </w:p>
    <w:p w14:paraId="259DBBC0" w14:textId="77777777" w:rsidR="00F6519D" w:rsidRDefault="00F6519D" w:rsidP="009B7AED">
      <w:pPr>
        <w:widowControl/>
        <w:suppressAutoHyphens w:val="0"/>
        <w:autoSpaceDE/>
        <w:autoSpaceDN/>
        <w:adjustRightInd/>
        <w:spacing w:line="259" w:lineRule="auto"/>
        <w:jc w:val="left"/>
        <w:textAlignment w:val="auto"/>
        <w:rPr>
          <w:rStyle w:val="Italic"/>
          <w:i w:val="0"/>
        </w:rPr>
        <w:sectPr w:rsidR="00F6519D" w:rsidSect="0026055C">
          <w:headerReference w:type="default" r:id="rId195"/>
          <w:footerReference w:type="even" r:id="rId196"/>
          <w:footerReference w:type="default" r:id="rId197"/>
          <w:pgSz w:w="15840" w:h="12240" w:orient="landscape" w:code="1"/>
          <w:pgMar w:top="1440" w:right="1152" w:bottom="1440" w:left="1440" w:header="720" w:footer="576" w:gutter="0"/>
          <w:pgNumType w:chapStyle="1"/>
          <w:cols w:space="720"/>
          <w:noEndnote/>
          <w:docGrid w:linePitch="272"/>
        </w:sectPr>
      </w:pPr>
    </w:p>
    <w:p w14:paraId="1BA804E8" w14:textId="75440F97" w:rsidR="009B7AED" w:rsidRPr="001546EF" w:rsidRDefault="009B7AED">
      <w:pPr>
        <w:pStyle w:val="Heading2"/>
        <w:spacing w:before="0"/>
      </w:pPr>
      <w:bookmarkStart w:id="3096" w:name="_Toc349905109"/>
      <w:bookmarkStart w:id="3097" w:name="_Toc335642251"/>
      <w:bookmarkStart w:id="3098" w:name="_Toc363656157"/>
      <w:bookmarkStart w:id="3099" w:name="_Toc450638948"/>
      <w:bookmarkStart w:id="3100" w:name="_Toc63976756"/>
      <w:bookmarkStart w:id="3101" w:name="_Toc68864958"/>
      <w:bookmarkStart w:id="3102" w:name="_Toc109301289"/>
      <w:bookmarkStart w:id="3103" w:name="_Toc109333023"/>
      <w:bookmarkStart w:id="3104" w:name="_Toc109333616"/>
      <w:bookmarkStart w:id="3105" w:name="_Toc113281114"/>
      <w:bookmarkStart w:id="3106" w:name="_Toc114474744"/>
      <w:bookmarkStart w:id="3107" w:name="_Toc118205702"/>
      <w:r w:rsidRPr="001546EF">
        <w:lastRenderedPageBreak/>
        <w:t xml:space="preserve">Detailed </w:t>
      </w:r>
      <w:r>
        <w:t>Individual Vehicle Record</w:t>
      </w:r>
      <w:r w:rsidRPr="001546EF">
        <w:t xml:space="preserve"> (</w:t>
      </w:r>
      <w:r>
        <w:t>IVR</w:t>
      </w:r>
      <w:r w:rsidRPr="001546EF">
        <w:t xml:space="preserve">) Data Format </w:t>
      </w:r>
      <w:bookmarkEnd w:id="3096"/>
      <w:bookmarkEnd w:id="3097"/>
      <w:bookmarkEnd w:id="3098"/>
      <w:bookmarkEnd w:id="3099"/>
      <w:r w:rsidRPr="001546EF">
        <w:t>(</w:t>
      </w:r>
      <w:r>
        <w:t>F</w:t>
      </w:r>
      <w:r w:rsidRPr="001546EF">
        <w:t xml:space="preserve">ixed </w:t>
      </w:r>
      <w:r>
        <w:t>W</w:t>
      </w:r>
      <w:r w:rsidRPr="001546EF">
        <w:t xml:space="preserve">idth or </w:t>
      </w:r>
      <w:r>
        <w:t>P</w:t>
      </w:r>
      <w:r w:rsidRPr="001546EF">
        <w:t xml:space="preserve">ipe </w:t>
      </w:r>
      <w:r>
        <w:t>D</w:t>
      </w:r>
      <w:r w:rsidRPr="001546EF">
        <w:t>elimited)</w:t>
      </w:r>
      <w:bookmarkEnd w:id="3100"/>
      <w:bookmarkEnd w:id="3101"/>
      <w:bookmarkEnd w:id="3102"/>
      <w:bookmarkEnd w:id="3103"/>
      <w:bookmarkEnd w:id="3104"/>
      <w:bookmarkEnd w:id="3105"/>
      <w:bookmarkEnd w:id="3106"/>
      <w:bookmarkEnd w:id="3107"/>
    </w:p>
    <w:p w14:paraId="17D0FBB8" w14:textId="508D12C7" w:rsidR="009B7AED" w:rsidRPr="00877387" w:rsidRDefault="009B7AED" w:rsidP="00A35EAF">
      <w:pPr>
        <w:pStyle w:val="BodyText"/>
      </w:pPr>
      <w:r w:rsidRPr="00877387">
        <w:t xml:space="preserve">As an </w:t>
      </w:r>
      <w:r w:rsidRPr="00877387">
        <w:rPr>
          <w:i/>
          <w:iCs/>
          <w:spacing w:val="-2"/>
        </w:rPr>
        <w:t>optional</w:t>
      </w:r>
      <w:r w:rsidRPr="00877387">
        <w:t xml:space="preserve"> </w:t>
      </w:r>
      <w:r>
        <w:t xml:space="preserve">and recommended </w:t>
      </w:r>
      <w:r w:rsidRPr="00877387">
        <w:t>way to submit traffic monitoring data to FHWA, State</w:t>
      </w:r>
      <w:r>
        <w:t xml:space="preserve"> and local</w:t>
      </w:r>
      <w:r w:rsidRPr="00877387">
        <w:t xml:space="preserve"> highway agencies may submit </w:t>
      </w:r>
      <w:r>
        <w:t xml:space="preserve">traffic </w:t>
      </w:r>
      <w:r w:rsidRPr="00877387">
        <w:t xml:space="preserve">volume, speed, vehicle classification, and vehicle weight data as individual vehicle records </w:t>
      </w:r>
      <w:r>
        <w:t xml:space="preserve">(IVR) </w:t>
      </w:r>
      <w:r w:rsidRPr="00877387">
        <w:t xml:space="preserve">rather than using the more traditional formats described earlier in this chapter. TMAS will accept </w:t>
      </w:r>
      <w:r>
        <w:t>IVRs</w:t>
      </w:r>
      <w:r w:rsidRPr="00877387">
        <w:t xml:space="preserve"> in the formats described below. </w:t>
      </w:r>
    </w:p>
    <w:p w14:paraId="4755879A" w14:textId="5CCFA943" w:rsidR="009B7AED" w:rsidRPr="00877387" w:rsidRDefault="009B7AED" w:rsidP="00A35EAF">
      <w:pPr>
        <w:pStyle w:val="BodyText"/>
      </w:pPr>
      <w:r>
        <w:t>IVRs</w:t>
      </w:r>
      <w:r w:rsidRPr="00877387">
        <w:t xml:space="preserve"> require more disk space than aggregated records, but they also allow much more detailed analysis of traffic patterns. </w:t>
      </w:r>
      <w:r>
        <w:t>Agencie</w:t>
      </w:r>
      <w:r w:rsidRPr="00877387">
        <w:t xml:space="preserve">s are encouraged to submit data in these </w:t>
      </w:r>
      <w:r>
        <w:t xml:space="preserve">IVR </w:t>
      </w:r>
      <w:r w:rsidRPr="00877387">
        <w:t xml:space="preserve">formats whenever possible. While these types of records are not necessary for all data collection efforts, having a sample of such records available for use permits the investigation of several key traffic flow and vehicle characteristics (e.g., vehicle gap analysis, speed by class, and changes in axle spacing distributions) that are not possible when only aggregate traffic records are stored. </w:t>
      </w:r>
    </w:p>
    <w:p w14:paraId="373FFCE8" w14:textId="65A57AE0" w:rsidR="009B7AED" w:rsidRPr="00877387" w:rsidRDefault="009B7AED" w:rsidP="00A35EAF">
      <w:pPr>
        <w:pStyle w:val="BodyText"/>
      </w:pPr>
      <w:r w:rsidRPr="00877387">
        <w:t xml:space="preserve">The submission of one </w:t>
      </w:r>
      <w:r>
        <w:t>IVR</w:t>
      </w:r>
      <w:r w:rsidRPr="00877387">
        <w:t xml:space="preserve"> data file will:</w:t>
      </w:r>
    </w:p>
    <w:p w14:paraId="2CD62194" w14:textId="735B482D" w:rsidR="009B7AED" w:rsidRPr="00877387" w:rsidRDefault="009B7AED">
      <w:pPr>
        <w:pStyle w:val="TMGBullet"/>
      </w:pPr>
      <w:r w:rsidRPr="00877387">
        <w:t>Meet all of the FHWA reporting needs for the TMS</w:t>
      </w:r>
      <w:r>
        <w:t>.</w:t>
      </w:r>
    </w:p>
    <w:p w14:paraId="2DD307AE" w14:textId="17EB34EA" w:rsidR="009B7AED" w:rsidRPr="00877387" w:rsidRDefault="009B7AED">
      <w:pPr>
        <w:pStyle w:val="TMGBullet"/>
      </w:pPr>
      <w:r w:rsidRPr="00877387">
        <w:t>Allow for more detailed QC checks to be performed</w:t>
      </w:r>
      <w:r>
        <w:t>.</w:t>
      </w:r>
    </w:p>
    <w:p w14:paraId="13DA5AAE" w14:textId="575BE24C" w:rsidR="009B7AED" w:rsidRDefault="009B7AED">
      <w:pPr>
        <w:pStyle w:val="TMGBullet"/>
      </w:pPr>
      <w:r w:rsidRPr="00877387">
        <w:t>Provide better quality data for use in national statistics.</w:t>
      </w:r>
    </w:p>
    <w:p w14:paraId="3AD58F17" w14:textId="408CCC7D" w:rsidR="009B7AED" w:rsidRDefault="009B7AED" w:rsidP="00A119E0">
      <w:pPr>
        <w:pStyle w:val="CallOut"/>
      </w:pPr>
      <w:r w:rsidRPr="00C36998">
        <w:t>If a more</w:t>
      </w:r>
      <w:r>
        <w:t>-</w:t>
      </w:r>
      <w:r w:rsidRPr="00C36998">
        <w:t>than</w:t>
      </w:r>
      <w:r>
        <w:t>-</w:t>
      </w:r>
      <w:r w:rsidRPr="00C36998">
        <w:t xml:space="preserve">6-digit station ID is used for the associated station format, </w:t>
      </w:r>
      <w:r>
        <w:t>the pipe-</w:t>
      </w:r>
      <w:r w:rsidRPr="00C36998">
        <w:t xml:space="preserve">delimited format must be used for the </w:t>
      </w:r>
      <w:r>
        <w:t>IVR</w:t>
      </w:r>
      <w:r w:rsidRPr="00C36998">
        <w:t xml:space="preserve"> data</w:t>
      </w:r>
      <w:r>
        <w:t>,</w:t>
      </w:r>
      <w:r w:rsidRPr="00C36998">
        <w:t xml:space="preserve"> and the same number of digits </w:t>
      </w:r>
      <w:r>
        <w:t xml:space="preserve">for the station ID </w:t>
      </w:r>
      <w:r w:rsidRPr="00C36998">
        <w:t xml:space="preserve">need to be provided </w:t>
      </w:r>
      <w:r>
        <w:t>o</w:t>
      </w:r>
      <w:r w:rsidRPr="00C36998">
        <w:t xml:space="preserve">n </w:t>
      </w:r>
      <w:r>
        <w:t>the IVR records</w:t>
      </w:r>
      <w:r w:rsidRPr="00C36998">
        <w:t>.</w:t>
      </w:r>
    </w:p>
    <w:p w14:paraId="2DDF42F1" w14:textId="29F83CF4" w:rsidR="009B7AED" w:rsidRPr="00877387" w:rsidRDefault="00C93C19" w:rsidP="00A35EAF">
      <w:pPr>
        <w:pStyle w:val="BodyText"/>
      </w:pPr>
      <w:r>
        <w:rPr>
          <w:noProof/>
        </w:rPr>
        <mc:AlternateContent>
          <mc:Choice Requires="wps">
            <w:drawing>
              <wp:anchor distT="45720" distB="45720" distL="114300" distR="114300" simplePos="0" relativeHeight="251729920" behindDoc="0" locked="0" layoutInCell="1" allowOverlap="1" wp14:anchorId="5D0EB4B2" wp14:editId="340CA6D8">
                <wp:simplePos x="0" y="0"/>
                <wp:positionH relativeFrom="margin">
                  <wp:posOffset>2390563</wp:posOffset>
                </wp:positionH>
                <wp:positionV relativeFrom="paragraph">
                  <wp:posOffset>22860</wp:posOffset>
                </wp:positionV>
                <wp:extent cx="3581400" cy="1554480"/>
                <wp:effectExtent l="0" t="0" r="0" b="762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0" cy="1554480"/>
                        </a:xfrm>
                        <a:prstGeom prst="rect">
                          <a:avLst/>
                        </a:prstGeom>
                        <a:solidFill>
                          <a:srgbClr val="FFFFFF"/>
                        </a:solidFill>
                        <a:ln w="9525">
                          <a:noFill/>
                          <a:miter lim="800000"/>
                          <a:headEnd/>
                          <a:tailEnd/>
                        </a:ln>
                      </wps:spPr>
                      <wps:txbx>
                        <w:txbxContent>
                          <w:p w14:paraId="3D9788E5" w14:textId="401DF4B4" w:rsidR="00C93C19" w:rsidRDefault="00C93C19" w:rsidP="00C93C19">
                            <w:pPr>
                              <w:pStyle w:val="TMGTableCaption"/>
                              <w:spacing w:before="0"/>
                            </w:pPr>
                            <w:bookmarkStart w:id="3108" w:name="_Ref113275243"/>
                            <w:bookmarkStart w:id="3109" w:name="_Toc109333459"/>
                            <w:bookmarkStart w:id="3110" w:name="_Toc109333787"/>
                            <w:bookmarkStart w:id="3111" w:name="_Toc113282527"/>
                            <w:bookmarkStart w:id="3112" w:name="_Toc114474864"/>
                            <w:bookmarkStart w:id="3113" w:name="_Toc120631170"/>
                            <w:bookmarkStart w:id="3114" w:name="_Hlk114664032"/>
                            <w:r>
                              <w:t xml:space="preserve">Table </w:t>
                            </w:r>
                            <w:fldSimple w:instr=" STYLEREF 1 \s ">
                              <w:r w:rsidR="00FC0E95">
                                <w:rPr>
                                  <w:noProof/>
                                </w:rPr>
                                <w:t>4</w:t>
                              </w:r>
                            </w:fldSimple>
                            <w:r>
                              <w:noBreakHyphen/>
                            </w:r>
                            <w:fldSimple w:instr=" SEQ Table \* ARABIC \s 1 ">
                              <w:r w:rsidR="00FC0E95">
                                <w:rPr>
                                  <w:noProof/>
                                </w:rPr>
                                <w:t>22</w:t>
                              </w:r>
                            </w:fldSimple>
                            <w:bookmarkEnd w:id="3108"/>
                            <w:r w:rsidR="00523F14">
                              <w:t>.</w:t>
                            </w:r>
                            <w:r>
                              <w:t xml:space="preserve"> </w:t>
                            </w:r>
                            <w:r w:rsidRPr="00D46E0E">
                              <w:t xml:space="preserve">Units </w:t>
                            </w:r>
                            <w:r>
                              <w:t>o</w:t>
                            </w:r>
                            <w:r w:rsidRPr="00D46E0E">
                              <w:t>f Measurement</w:t>
                            </w:r>
                            <w:bookmarkEnd w:id="3109"/>
                            <w:bookmarkEnd w:id="3110"/>
                            <w:bookmarkEnd w:id="3111"/>
                            <w:bookmarkEnd w:id="3112"/>
                            <w:bookmarkEnd w:id="3113"/>
                          </w:p>
                          <w:tbl>
                            <w:tblPr>
                              <w:tblStyle w:val="TableGrid"/>
                              <w:tblW w:w="5575" w:type="dxa"/>
                              <w:tblCellMar>
                                <w:left w:w="86" w:type="dxa"/>
                                <w:right w:w="86" w:type="dxa"/>
                              </w:tblCellMar>
                              <w:tblLook w:val="04A0" w:firstRow="1" w:lastRow="0" w:firstColumn="1" w:lastColumn="0" w:noHBand="0" w:noVBand="1"/>
                            </w:tblPr>
                            <w:tblGrid>
                              <w:gridCol w:w="1795"/>
                              <w:gridCol w:w="1800"/>
                              <w:gridCol w:w="1980"/>
                            </w:tblGrid>
                            <w:tr w:rsidR="00C93C19" w14:paraId="5C7C7C31" w14:textId="77777777" w:rsidTr="009447E9">
                              <w:tc>
                                <w:tcPr>
                                  <w:tcW w:w="1795" w:type="dxa"/>
                                  <w:tcBorders>
                                    <w:right w:val="single" w:sz="4" w:space="0" w:color="FFFFFF" w:themeColor="background1"/>
                                  </w:tcBorders>
                                  <w:shd w:val="clear" w:color="auto" w:fill="1F3864"/>
                                </w:tcPr>
                                <w:p w14:paraId="796B81DE" w14:textId="77777777" w:rsidR="00C93C19" w:rsidRDefault="00C93C19" w:rsidP="00C93C19">
                                  <w:pPr>
                                    <w:pStyle w:val="TMGTableTextHeader"/>
                                  </w:pPr>
                                  <w:r w:rsidRPr="00162A2C">
                                    <w:rPr>
                                      <w:rFonts w:eastAsiaTheme="minorEastAsia"/>
                                    </w:rPr>
                                    <w:t>Measure</w:t>
                                  </w:r>
                                </w:p>
                              </w:tc>
                              <w:tc>
                                <w:tcPr>
                                  <w:tcW w:w="1800" w:type="dxa"/>
                                  <w:tcBorders>
                                    <w:left w:val="single" w:sz="4" w:space="0" w:color="FFFFFF" w:themeColor="background1"/>
                                    <w:right w:val="single" w:sz="4" w:space="0" w:color="FFFFFF" w:themeColor="background1"/>
                                  </w:tcBorders>
                                  <w:shd w:val="clear" w:color="auto" w:fill="1F3864"/>
                                </w:tcPr>
                                <w:p w14:paraId="2C622932" w14:textId="77777777" w:rsidR="00C93C19" w:rsidRDefault="00C93C19" w:rsidP="00C93C19">
                                  <w:pPr>
                                    <w:pStyle w:val="TMGTableTextHeader"/>
                                    <w:rPr>
                                      <w:rFonts w:eastAsia="MS Mincho"/>
                                    </w:rPr>
                                  </w:pPr>
                                  <w:r w:rsidRPr="00162A2C">
                                    <w:rPr>
                                      <w:rFonts w:eastAsiaTheme="minorEastAsia"/>
                                    </w:rPr>
                                    <w:t>Unit</w:t>
                                  </w:r>
                                </w:p>
                              </w:tc>
                              <w:tc>
                                <w:tcPr>
                                  <w:tcW w:w="1980" w:type="dxa"/>
                                  <w:tcBorders>
                                    <w:left w:val="single" w:sz="4" w:space="0" w:color="FFFFFF" w:themeColor="background1"/>
                                  </w:tcBorders>
                                  <w:shd w:val="clear" w:color="auto" w:fill="1F3864"/>
                                </w:tcPr>
                                <w:p w14:paraId="4CD32D45" w14:textId="77777777" w:rsidR="00C93C19" w:rsidRDefault="00C93C19" w:rsidP="00C93C19">
                                  <w:pPr>
                                    <w:pStyle w:val="TMGTableTextHeader"/>
                                  </w:pPr>
                                  <w:r w:rsidRPr="00162A2C">
                                    <w:rPr>
                                      <w:rFonts w:eastAsiaTheme="minorEastAsia"/>
                                    </w:rPr>
                                    <w:t>Resolution Reported</w:t>
                                  </w:r>
                                </w:p>
                              </w:tc>
                            </w:tr>
                            <w:tr w:rsidR="00C93C19" w14:paraId="718348A6" w14:textId="77777777" w:rsidTr="009447E9">
                              <w:tc>
                                <w:tcPr>
                                  <w:tcW w:w="1795" w:type="dxa"/>
                                </w:tcPr>
                                <w:p w14:paraId="2EB5529F" w14:textId="77777777" w:rsidR="00C93C19" w:rsidRPr="00C251E9" w:rsidRDefault="00C93C19" w:rsidP="00C93C19">
                                  <w:pPr>
                                    <w:pStyle w:val="TMGTableText"/>
                                    <w:rPr>
                                      <w:b/>
                                      <w:bCs/>
                                    </w:rPr>
                                  </w:pPr>
                                  <w:r w:rsidRPr="00162A2C">
                                    <w:rPr>
                                      <w:rFonts w:eastAsiaTheme="minorEastAsia"/>
                                    </w:rPr>
                                    <w:t>Weight</w:t>
                                  </w:r>
                                </w:p>
                              </w:tc>
                              <w:tc>
                                <w:tcPr>
                                  <w:tcW w:w="1800" w:type="dxa"/>
                                </w:tcPr>
                                <w:p w14:paraId="7D2F6A09" w14:textId="77777777" w:rsidR="00C93C19" w:rsidRPr="004859C8" w:rsidRDefault="00C93C19" w:rsidP="00C93C19">
                                  <w:pPr>
                                    <w:pStyle w:val="TMGTableText"/>
                                  </w:pPr>
                                  <w:r w:rsidRPr="00162A2C">
                                    <w:t>Pounds</w:t>
                                  </w:r>
                                </w:p>
                              </w:tc>
                              <w:tc>
                                <w:tcPr>
                                  <w:tcW w:w="1980" w:type="dxa"/>
                                </w:tcPr>
                                <w:p w14:paraId="1F03D807" w14:textId="77777777" w:rsidR="00C93C19" w:rsidRPr="00C251E9" w:rsidRDefault="00C93C19" w:rsidP="00C93C19">
                                  <w:pPr>
                                    <w:pStyle w:val="TMGTableText"/>
                                  </w:pPr>
                                  <w:r w:rsidRPr="00162A2C">
                                    <w:t>Pound</w:t>
                                  </w:r>
                                </w:p>
                              </w:tc>
                            </w:tr>
                            <w:tr w:rsidR="00C93C19" w14:paraId="5299D1B2" w14:textId="77777777" w:rsidTr="009447E9">
                              <w:tc>
                                <w:tcPr>
                                  <w:tcW w:w="1795" w:type="dxa"/>
                                </w:tcPr>
                                <w:p w14:paraId="54870CC7" w14:textId="77777777" w:rsidR="00C93C19" w:rsidRPr="00C251E9" w:rsidRDefault="00C93C19" w:rsidP="00C93C19">
                                  <w:pPr>
                                    <w:pStyle w:val="TMGTableText"/>
                                    <w:rPr>
                                      <w:b/>
                                      <w:bCs/>
                                    </w:rPr>
                                  </w:pPr>
                                  <w:r w:rsidRPr="00162A2C">
                                    <w:t xml:space="preserve">Vehicle </w:t>
                                  </w:r>
                                  <w:r w:rsidRPr="00162A2C">
                                    <w:rPr>
                                      <w:rFonts w:eastAsiaTheme="minorEastAsia"/>
                                    </w:rPr>
                                    <w:t>Length</w:t>
                                  </w:r>
                                </w:p>
                              </w:tc>
                              <w:tc>
                                <w:tcPr>
                                  <w:tcW w:w="1800" w:type="dxa"/>
                                </w:tcPr>
                                <w:p w14:paraId="5C020D87" w14:textId="77777777" w:rsidR="00C93C19" w:rsidRPr="004859C8" w:rsidRDefault="00C93C19" w:rsidP="00C93C19">
                                  <w:pPr>
                                    <w:pStyle w:val="TMGTableText"/>
                                  </w:pPr>
                                  <w:r w:rsidRPr="00162A2C">
                                    <w:rPr>
                                      <w:rFonts w:eastAsiaTheme="minorEastAsia"/>
                                    </w:rPr>
                                    <w:t>Feet</w:t>
                                  </w:r>
                                </w:p>
                              </w:tc>
                              <w:tc>
                                <w:tcPr>
                                  <w:tcW w:w="1980" w:type="dxa"/>
                                </w:tcPr>
                                <w:p w14:paraId="55CDC8B6" w14:textId="77777777" w:rsidR="00C93C19" w:rsidRPr="00C251E9" w:rsidRDefault="00C93C19" w:rsidP="00C93C19">
                                  <w:pPr>
                                    <w:pStyle w:val="TMGTableText"/>
                                  </w:pPr>
                                  <w:r w:rsidRPr="00162A2C">
                                    <w:rPr>
                                      <w:rFonts w:eastAsiaTheme="minorEastAsia"/>
                                    </w:rPr>
                                    <w:t>Tenths of feet</w:t>
                                  </w:r>
                                </w:p>
                              </w:tc>
                            </w:tr>
                            <w:tr w:rsidR="00C93C19" w14:paraId="3E245E8F" w14:textId="77777777" w:rsidTr="009447E9">
                              <w:tc>
                                <w:tcPr>
                                  <w:tcW w:w="1795" w:type="dxa"/>
                                </w:tcPr>
                                <w:p w14:paraId="720E82DC" w14:textId="77777777" w:rsidR="00C93C19" w:rsidRPr="00C251E9" w:rsidRDefault="00C93C19" w:rsidP="00C93C19">
                                  <w:pPr>
                                    <w:pStyle w:val="TMGTableText"/>
                                    <w:rPr>
                                      <w:b/>
                                      <w:bCs/>
                                    </w:rPr>
                                  </w:pPr>
                                  <w:r w:rsidRPr="00162A2C">
                                    <w:rPr>
                                      <w:rFonts w:eastAsiaTheme="minorEastAsia"/>
                                    </w:rPr>
                                    <w:t>Speed</w:t>
                                  </w:r>
                                </w:p>
                              </w:tc>
                              <w:tc>
                                <w:tcPr>
                                  <w:tcW w:w="1800" w:type="dxa"/>
                                </w:tcPr>
                                <w:p w14:paraId="31BF3306" w14:textId="77777777" w:rsidR="00C93C19" w:rsidRPr="004859C8" w:rsidRDefault="00C93C19" w:rsidP="00C93C19">
                                  <w:pPr>
                                    <w:pStyle w:val="TMGTableText"/>
                                  </w:pPr>
                                  <w:r w:rsidRPr="00162A2C">
                                    <w:rPr>
                                      <w:rFonts w:eastAsiaTheme="minorEastAsia"/>
                                    </w:rPr>
                                    <w:t>Mph</w:t>
                                  </w:r>
                                </w:p>
                              </w:tc>
                              <w:tc>
                                <w:tcPr>
                                  <w:tcW w:w="1980" w:type="dxa"/>
                                </w:tcPr>
                                <w:p w14:paraId="0F1545D3" w14:textId="77777777" w:rsidR="00C93C19" w:rsidRPr="00C251E9" w:rsidRDefault="00C93C19" w:rsidP="00C93C19">
                                  <w:pPr>
                                    <w:pStyle w:val="TMGTableText"/>
                                  </w:pPr>
                                  <w:r w:rsidRPr="00162A2C">
                                    <w:rPr>
                                      <w:rFonts w:eastAsiaTheme="minorEastAsia"/>
                                    </w:rPr>
                                    <w:t>Tenths of mph</w:t>
                                  </w:r>
                                </w:p>
                              </w:tc>
                            </w:tr>
                            <w:tr w:rsidR="00C93C19" w14:paraId="78383221" w14:textId="77777777" w:rsidTr="009447E9">
                              <w:tc>
                                <w:tcPr>
                                  <w:tcW w:w="1795" w:type="dxa"/>
                                </w:tcPr>
                                <w:p w14:paraId="144C628D" w14:textId="77777777" w:rsidR="00C93C19" w:rsidRPr="00C251E9" w:rsidRDefault="00C93C19" w:rsidP="00C93C19">
                                  <w:pPr>
                                    <w:pStyle w:val="TMGTableText"/>
                                    <w:rPr>
                                      <w:b/>
                                      <w:bCs/>
                                    </w:rPr>
                                  </w:pPr>
                                  <w:r w:rsidRPr="00162A2C">
                                    <w:rPr>
                                      <w:rFonts w:eastAsiaTheme="minorEastAsia"/>
                                    </w:rPr>
                                    <w:t>Temperature</w:t>
                                  </w:r>
                                </w:p>
                              </w:tc>
                              <w:tc>
                                <w:tcPr>
                                  <w:tcW w:w="1800" w:type="dxa"/>
                                </w:tcPr>
                                <w:p w14:paraId="516D8374" w14:textId="77777777" w:rsidR="00C93C19" w:rsidRPr="004859C8" w:rsidRDefault="00C93C19" w:rsidP="00C93C19">
                                  <w:pPr>
                                    <w:pStyle w:val="TMGTableText"/>
                                  </w:pPr>
                                  <w:r w:rsidRPr="00162A2C">
                                    <w:rPr>
                                      <w:rFonts w:eastAsiaTheme="minorEastAsia"/>
                                    </w:rPr>
                                    <w:t>Degrees Fahrenheit</w:t>
                                  </w:r>
                                </w:p>
                              </w:tc>
                              <w:tc>
                                <w:tcPr>
                                  <w:tcW w:w="1980" w:type="dxa"/>
                                </w:tcPr>
                                <w:p w14:paraId="7158D6E0" w14:textId="77777777" w:rsidR="00C93C19" w:rsidRPr="00C251E9" w:rsidRDefault="00C93C19" w:rsidP="00C93C19">
                                  <w:pPr>
                                    <w:pStyle w:val="TMGTableText"/>
                                  </w:pPr>
                                  <w:r w:rsidRPr="00162A2C">
                                    <w:rPr>
                                      <w:rFonts w:eastAsiaTheme="minorEastAsia"/>
                                    </w:rPr>
                                    <w:t>Degrees</w:t>
                                  </w:r>
                                </w:p>
                              </w:tc>
                            </w:tr>
                            <w:tr w:rsidR="00C93C19" w14:paraId="52C63CCE" w14:textId="77777777" w:rsidTr="009447E9">
                              <w:tc>
                                <w:tcPr>
                                  <w:tcW w:w="1795" w:type="dxa"/>
                                </w:tcPr>
                                <w:p w14:paraId="1EE8056A" w14:textId="77777777" w:rsidR="00C93C19" w:rsidRPr="00C251E9" w:rsidRDefault="00C93C19" w:rsidP="00C93C19">
                                  <w:pPr>
                                    <w:pStyle w:val="TMGTableText"/>
                                    <w:rPr>
                                      <w:b/>
                                      <w:bCs/>
                                    </w:rPr>
                                  </w:pPr>
                                  <w:r w:rsidRPr="00162A2C">
                                    <w:rPr>
                                      <w:rFonts w:eastAsiaTheme="minorEastAsia"/>
                                    </w:rPr>
                                    <w:t>Time</w:t>
                                  </w:r>
                                </w:p>
                              </w:tc>
                              <w:tc>
                                <w:tcPr>
                                  <w:tcW w:w="1800" w:type="dxa"/>
                                </w:tcPr>
                                <w:p w14:paraId="46247CDD" w14:textId="77777777" w:rsidR="00C93C19" w:rsidRPr="004859C8" w:rsidRDefault="00C93C19" w:rsidP="00C93C19">
                                  <w:pPr>
                                    <w:pStyle w:val="TMGTableText"/>
                                  </w:pPr>
                                  <w:r w:rsidRPr="00162A2C">
                                    <w:rPr>
                                      <w:rFonts w:eastAsiaTheme="minorEastAsia"/>
                                    </w:rPr>
                                    <w:t>Seconds</w:t>
                                  </w:r>
                                </w:p>
                              </w:tc>
                              <w:tc>
                                <w:tcPr>
                                  <w:tcW w:w="1980" w:type="dxa"/>
                                </w:tcPr>
                                <w:p w14:paraId="00D6FD76" w14:textId="77777777" w:rsidR="00C93C19" w:rsidRPr="00C251E9" w:rsidRDefault="00C93C19" w:rsidP="00C93C19">
                                  <w:pPr>
                                    <w:pStyle w:val="TMGTableText"/>
                                  </w:pPr>
                                  <w:r w:rsidRPr="00162A2C">
                                    <w:rPr>
                                      <w:rFonts w:eastAsiaTheme="minorEastAsia"/>
                                    </w:rPr>
                                    <w:t>Hundredth of second</w:t>
                                  </w:r>
                                </w:p>
                              </w:tc>
                            </w:tr>
                            <w:tr w:rsidR="00C93C19" w14:paraId="35BA4D3B" w14:textId="77777777" w:rsidTr="009447E9">
                              <w:tc>
                                <w:tcPr>
                                  <w:tcW w:w="1795" w:type="dxa"/>
                                </w:tcPr>
                                <w:p w14:paraId="1A1799BC" w14:textId="77777777" w:rsidR="00C93C19" w:rsidRPr="00C251E9" w:rsidRDefault="00C93C19" w:rsidP="00C93C19">
                                  <w:pPr>
                                    <w:pStyle w:val="TMGTableText"/>
                                    <w:rPr>
                                      <w:b/>
                                      <w:bCs/>
                                    </w:rPr>
                                  </w:pPr>
                                  <w:r w:rsidRPr="00162A2C">
                                    <w:rPr>
                                      <w:rFonts w:eastAsiaTheme="minorEastAsia"/>
                                    </w:rPr>
                                    <w:t>Inter-Axle Spacing</w:t>
                                  </w:r>
                                </w:p>
                              </w:tc>
                              <w:tc>
                                <w:tcPr>
                                  <w:tcW w:w="1800" w:type="dxa"/>
                                </w:tcPr>
                                <w:p w14:paraId="167179A5" w14:textId="77777777" w:rsidR="00C93C19" w:rsidRPr="004859C8" w:rsidRDefault="00C93C19" w:rsidP="00C93C19">
                                  <w:pPr>
                                    <w:pStyle w:val="TMGTableText"/>
                                  </w:pPr>
                                  <w:r w:rsidRPr="00162A2C">
                                    <w:rPr>
                                      <w:rFonts w:eastAsiaTheme="minorEastAsia"/>
                                    </w:rPr>
                                    <w:t>Feet</w:t>
                                  </w:r>
                                </w:p>
                              </w:tc>
                              <w:tc>
                                <w:tcPr>
                                  <w:tcW w:w="1980" w:type="dxa"/>
                                </w:tcPr>
                                <w:p w14:paraId="1A547933" w14:textId="77777777" w:rsidR="00C93C19" w:rsidRPr="00C251E9" w:rsidRDefault="00C93C19" w:rsidP="00C93C19">
                                  <w:pPr>
                                    <w:pStyle w:val="TMGTableText"/>
                                  </w:pPr>
                                  <w:r w:rsidRPr="00162A2C">
                                    <w:rPr>
                                      <w:rFonts w:eastAsiaTheme="minorEastAsia"/>
                                    </w:rPr>
                                    <w:t>Tenths of feet</w:t>
                                  </w:r>
                                </w:p>
                              </w:tc>
                            </w:tr>
                            <w:bookmarkEnd w:id="3114"/>
                          </w:tbl>
                          <w:p w14:paraId="5A60B6AF" w14:textId="77777777" w:rsidR="003C6CCB" w:rsidRDefault="003C6CCB" w:rsidP="003C6CCB"/>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D0EB4B2" id="_x0000_s1122" type="#_x0000_t202" style="position:absolute;margin-left:188.25pt;margin-top:1.8pt;width:282pt;height:122.4pt;z-index:251729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" stroked="f">
                <v:textbox inset="0,0,0,0">
                  <w:txbxContent>
                    <w:p w14:paraId="3D9788E5" w14:textId="401DF4B4" w:rsidR="00C93C19" w:rsidRDefault="00C93C19" w:rsidP="00C93C19">
                      <w:pPr>
                        <w:pStyle w:val="TMGTableCaption"/>
                        <w:spacing w:before="0"/>
                      </w:pPr>
                      <w:bookmarkStart w:id="3115" w:name="_Ref113275243"/>
                      <w:bookmarkStart w:id="3116" w:name="_Toc109333459"/>
                      <w:bookmarkStart w:id="3117" w:name="_Toc109333787"/>
                      <w:bookmarkStart w:id="3118" w:name="_Toc113282527"/>
                      <w:bookmarkStart w:id="3119" w:name="_Toc114474864"/>
                      <w:bookmarkStart w:id="3120" w:name="_Toc120631170"/>
                      <w:bookmarkStart w:id="3121" w:name="_Hlk114664032"/>
                      <w:r>
                        <w:t xml:space="preserve">Table </w:t>
                      </w:r>
                      <w:fldSimple w:instr=" STYLEREF 1 \s ">
                        <w:r w:rsidR="00FC0E95">
                          <w:rPr>
                            <w:noProof/>
                          </w:rPr>
                          <w:t>4</w:t>
                        </w:r>
                      </w:fldSimple>
                      <w:r>
                        <w:noBreakHyphen/>
                      </w:r>
                      <w:fldSimple w:instr=" SEQ Table \* ARABIC \s 1 ">
                        <w:r w:rsidR="00FC0E95">
                          <w:rPr>
                            <w:noProof/>
                          </w:rPr>
                          <w:t>22</w:t>
                        </w:r>
                      </w:fldSimple>
                      <w:bookmarkEnd w:id="3115"/>
                      <w:r w:rsidR="00523F14">
                        <w:t>.</w:t>
                      </w:r>
                      <w:r>
                        <w:t xml:space="preserve"> </w:t>
                      </w:r>
                      <w:r w:rsidRPr="00D46E0E">
                        <w:t xml:space="preserve">Units </w:t>
                      </w:r>
                      <w:r>
                        <w:t>o</w:t>
                      </w:r>
                      <w:r w:rsidRPr="00D46E0E">
                        <w:t>f Measurement</w:t>
                      </w:r>
                      <w:bookmarkEnd w:id="3116"/>
                      <w:bookmarkEnd w:id="3117"/>
                      <w:bookmarkEnd w:id="3118"/>
                      <w:bookmarkEnd w:id="3119"/>
                      <w:bookmarkEnd w:id="3120"/>
                    </w:p>
                    <w:tbl>
                      <w:tblPr>
                        <w:tblStyle w:val="TableGrid"/>
                        <w:tblW w:w="5575" w:type="dxa"/>
                        <w:tblCellMar>
                          <w:left w:w="86" w:type="dxa"/>
                          <w:right w:w="86" w:type="dxa"/>
                        </w:tblCellMar>
                        <w:tblLook w:val="04A0" w:firstRow="1" w:lastRow="0" w:firstColumn="1" w:lastColumn="0" w:noHBand="0" w:noVBand="1"/>
                      </w:tblPr>
                      <w:tblGrid>
                        <w:gridCol w:w="1795"/>
                        <w:gridCol w:w="1800"/>
                        <w:gridCol w:w="1980"/>
                      </w:tblGrid>
                      <w:tr w:rsidR="00C93C19" w14:paraId="5C7C7C31" w14:textId="77777777" w:rsidTr="009447E9">
                        <w:tc>
                          <w:tcPr>
                            <w:tcW w:w="1795" w:type="dxa"/>
                            <w:tcBorders>
                              <w:right w:val="single" w:sz="4" w:space="0" w:color="FFFFFF" w:themeColor="background1"/>
                            </w:tcBorders>
                            <w:shd w:val="clear" w:color="auto" w:fill="1F3864"/>
                          </w:tcPr>
                          <w:p w14:paraId="796B81DE" w14:textId="77777777" w:rsidR="00C93C19" w:rsidRDefault="00C93C19" w:rsidP="00C93C19">
                            <w:pPr>
                              <w:pStyle w:val="TMGTableTextHeader"/>
                            </w:pPr>
                            <w:r w:rsidRPr="00162A2C">
                              <w:rPr>
                                <w:rFonts w:eastAsiaTheme="minorEastAsia"/>
                              </w:rPr>
                              <w:t>Measure</w:t>
                            </w:r>
                          </w:p>
                        </w:tc>
                        <w:tc>
                          <w:tcPr>
                            <w:tcW w:w="1800" w:type="dxa"/>
                            <w:tcBorders>
                              <w:left w:val="single" w:sz="4" w:space="0" w:color="FFFFFF" w:themeColor="background1"/>
                              <w:right w:val="single" w:sz="4" w:space="0" w:color="FFFFFF" w:themeColor="background1"/>
                            </w:tcBorders>
                            <w:shd w:val="clear" w:color="auto" w:fill="1F3864"/>
                          </w:tcPr>
                          <w:p w14:paraId="2C622932" w14:textId="77777777" w:rsidR="00C93C19" w:rsidRDefault="00C93C19" w:rsidP="00C93C19">
                            <w:pPr>
                              <w:pStyle w:val="TMGTableTextHeader"/>
                              <w:rPr>
                                <w:rFonts w:eastAsia="MS Mincho"/>
                              </w:rPr>
                            </w:pPr>
                            <w:r w:rsidRPr="00162A2C">
                              <w:rPr>
                                <w:rFonts w:eastAsiaTheme="minorEastAsia"/>
                              </w:rPr>
                              <w:t>Unit</w:t>
                            </w:r>
                          </w:p>
                        </w:tc>
                        <w:tc>
                          <w:tcPr>
                            <w:tcW w:w="1980" w:type="dxa"/>
                            <w:tcBorders>
                              <w:left w:val="single" w:sz="4" w:space="0" w:color="FFFFFF" w:themeColor="background1"/>
                            </w:tcBorders>
                            <w:shd w:val="clear" w:color="auto" w:fill="1F3864"/>
                          </w:tcPr>
                          <w:p w14:paraId="4CD32D45" w14:textId="77777777" w:rsidR="00C93C19" w:rsidRDefault="00C93C19" w:rsidP="00C93C19">
                            <w:pPr>
                              <w:pStyle w:val="TMGTableTextHeader"/>
                            </w:pPr>
                            <w:r w:rsidRPr="00162A2C">
                              <w:rPr>
                                <w:rFonts w:eastAsiaTheme="minorEastAsia"/>
                              </w:rPr>
                              <w:t>Resolution Reported</w:t>
                            </w:r>
                          </w:p>
                        </w:tc>
                      </w:tr>
                      <w:tr w:rsidR="00C93C19" w14:paraId="718348A6" w14:textId="77777777" w:rsidTr="009447E9">
                        <w:tc>
                          <w:tcPr>
                            <w:tcW w:w="1795" w:type="dxa"/>
                          </w:tcPr>
                          <w:p w14:paraId="2EB5529F" w14:textId="77777777" w:rsidR="00C93C19" w:rsidRPr="00C251E9" w:rsidRDefault="00C93C19" w:rsidP="00C93C19">
                            <w:pPr>
                              <w:pStyle w:val="TMGTableText"/>
                              <w:rPr>
                                <w:b/>
                                <w:bCs/>
                              </w:rPr>
                            </w:pPr>
                            <w:r w:rsidRPr="00162A2C">
                              <w:rPr>
                                <w:rFonts w:eastAsiaTheme="minorEastAsia"/>
                              </w:rPr>
                              <w:t>Weight</w:t>
                            </w:r>
                          </w:p>
                        </w:tc>
                        <w:tc>
                          <w:tcPr>
                            <w:tcW w:w="1800" w:type="dxa"/>
                          </w:tcPr>
                          <w:p w14:paraId="7D2F6A09" w14:textId="77777777" w:rsidR="00C93C19" w:rsidRPr="004859C8" w:rsidRDefault="00C93C19" w:rsidP="00C93C19">
                            <w:pPr>
                              <w:pStyle w:val="TMGTableText"/>
                            </w:pPr>
                            <w:r w:rsidRPr="00162A2C">
                              <w:t>Pounds</w:t>
                            </w:r>
                          </w:p>
                        </w:tc>
                        <w:tc>
                          <w:tcPr>
                            <w:tcW w:w="1980" w:type="dxa"/>
                          </w:tcPr>
                          <w:p w14:paraId="1F03D807" w14:textId="77777777" w:rsidR="00C93C19" w:rsidRPr="00C251E9" w:rsidRDefault="00C93C19" w:rsidP="00C93C19">
                            <w:pPr>
                              <w:pStyle w:val="TMGTableText"/>
                            </w:pPr>
                            <w:r w:rsidRPr="00162A2C">
                              <w:t>Pound</w:t>
                            </w:r>
                          </w:p>
                        </w:tc>
                      </w:tr>
                      <w:tr w:rsidR="00C93C19" w14:paraId="5299D1B2" w14:textId="77777777" w:rsidTr="009447E9">
                        <w:tc>
                          <w:tcPr>
                            <w:tcW w:w="1795" w:type="dxa"/>
                          </w:tcPr>
                          <w:p w14:paraId="54870CC7" w14:textId="77777777" w:rsidR="00C93C19" w:rsidRPr="00C251E9" w:rsidRDefault="00C93C19" w:rsidP="00C93C19">
                            <w:pPr>
                              <w:pStyle w:val="TMGTableText"/>
                              <w:rPr>
                                <w:b/>
                                <w:bCs/>
                              </w:rPr>
                            </w:pPr>
                            <w:r w:rsidRPr="00162A2C">
                              <w:t xml:space="preserve">Vehicle </w:t>
                            </w:r>
                            <w:r w:rsidRPr="00162A2C">
                              <w:rPr>
                                <w:rFonts w:eastAsiaTheme="minorEastAsia"/>
                              </w:rPr>
                              <w:t>Length</w:t>
                            </w:r>
                          </w:p>
                        </w:tc>
                        <w:tc>
                          <w:tcPr>
                            <w:tcW w:w="1800" w:type="dxa"/>
                          </w:tcPr>
                          <w:p w14:paraId="5C020D87" w14:textId="77777777" w:rsidR="00C93C19" w:rsidRPr="004859C8" w:rsidRDefault="00C93C19" w:rsidP="00C93C19">
                            <w:pPr>
                              <w:pStyle w:val="TMGTableText"/>
                            </w:pPr>
                            <w:r w:rsidRPr="00162A2C">
                              <w:rPr>
                                <w:rFonts w:eastAsiaTheme="minorEastAsia"/>
                              </w:rPr>
                              <w:t>Feet</w:t>
                            </w:r>
                          </w:p>
                        </w:tc>
                        <w:tc>
                          <w:tcPr>
                            <w:tcW w:w="1980" w:type="dxa"/>
                          </w:tcPr>
                          <w:p w14:paraId="55CDC8B6" w14:textId="77777777" w:rsidR="00C93C19" w:rsidRPr="00C251E9" w:rsidRDefault="00C93C19" w:rsidP="00C93C19">
                            <w:pPr>
                              <w:pStyle w:val="TMGTableText"/>
                            </w:pPr>
                            <w:r w:rsidRPr="00162A2C">
                              <w:rPr>
                                <w:rFonts w:eastAsiaTheme="minorEastAsia"/>
                              </w:rPr>
                              <w:t>Tenths of feet</w:t>
                            </w:r>
                          </w:p>
                        </w:tc>
                      </w:tr>
                      <w:tr w:rsidR="00C93C19" w14:paraId="3E245E8F" w14:textId="77777777" w:rsidTr="009447E9">
                        <w:tc>
                          <w:tcPr>
                            <w:tcW w:w="1795" w:type="dxa"/>
                          </w:tcPr>
                          <w:p w14:paraId="720E82DC" w14:textId="77777777" w:rsidR="00C93C19" w:rsidRPr="00C251E9" w:rsidRDefault="00C93C19" w:rsidP="00C93C19">
                            <w:pPr>
                              <w:pStyle w:val="TMGTableText"/>
                              <w:rPr>
                                <w:b/>
                                <w:bCs/>
                              </w:rPr>
                            </w:pPr>
                            <w:r w:rsidRPr="00162A2C">
                              <w:rPr>
                                <w:rFonts w:eastAsiaTheme="minorEastAsia"/>
                              </w:rPr>
                              <w:t>Speed</w:t>
                            </w:r>
                          </w:p>
                        </w:tc>
                        <w:tc>
                          <w:tcPr>
                            <w:tcW w:w="1800" w:type="dxa"/>
                          </w:tcPr>
                          <w:p w14:paraId="31BF3306" w14:textId="77777777" w:rsidR="00C93C19" w:rsidRPr="004859C8" w:rsidRDefault="00C93C19" w:rsidP="00C93C19">
                            <w:pPr>
                              <w:pStyle w:val="TMGTableText"/>
                            </w:pPr>
                            <w:r w:rsidRPr="00162A2C">
                              <w:rPr>
                                <w:rFonts w:eastAsiaTheme="minorEastAsia"/>
                              </w:rPr>
                              <w:t>Mph</w:t>
                            </w:r>
                          </w:p>
                        </w:tc>
                        <w:tc>
                          <w:tcPr>
                            <w:tcW w:w="1980" w:type="dxa"/>
                          </w:tcPr>
                          <w:p w14:paraId="0F1545D3" w14:textId="77777777" w:rsidR="00C93C19" w:rsidRPr="00C251E9" w:rsidRDefault="00C93C19" w:rsidP="00C93C19">
                            <w:pPr>
                              <w:pStyle w:val="TMGTableText"/>
                            </w:pPr>
                            <w:r w:rsidRPr="00162A2C">
                              <w:rPr>
                                <w:rFonts w:eastAsiaTheme="minorEastAsia"/>
                              </w:rPr>
                              <w:t>Tenths of mph</w:t>
                            </w:r>
                          </w:p>
                        </w:tc>
                      </w:tr>
                      <w:tr w:rsidR="00C93C19" w14:paraId="78383221" w14:textId="77777777" w:rsidTr="009447E9">
                        <w:tc>
                          <w:tcPr>
                            <w:tcW w:w="1795" w:type="dxa"/>
                          </w:tcPr>
                          <w:p w14:paraId="144C628D" w14:textId="77777777" w:rsidR="00C93C19" w:rsidRPr="00C251E9" w:rsidRDefault="00C93C19" w:rsidP="00C93C19">
                            <w:pPr>
                              <w:pStyle w:val="TMGTableText"/>
                              <w:rPr>
                                <w:b/>
                                <w:bCs/>
                              </w:rPr>
                            </w:pPr>
                            <w:r w:rsidRPr="00162A2C">
                              <w:rPr>
                                <w:rFonts w:eastAsiaTheme="minorEastAsia"/>
                              </w:rPr>
                              <w:t>Temperature</w:t>
                            </w:r>
                          </w:p>
                        </w:tc>
                        <w:tc>
                          <w:tcPr>
                            <w:tcW w:w="1800" w:type="dxa"/>
                          </w:tcPr>
                          <w:p w14:paraId="516D8374" w14:textId="77777777" w:rsidR="00C93C19" w:rsidRPr="004859C8" w:rsidRDefault="00C93C19" w:rsidP="00C93C19">
                            <w:pPr>
                              <w:pStyle w:val="TMGTableText"/>
                            </w:pPr>
                            <w:r w:rsidRPr="00162A2C">
                              <w:rPr>
                                <w:rFonts w:eastAsiaTheme="minorEastAsia"/>
                              </w:rPr>
                              <w:t>Degrees Fahrenheit</w:t>
                            </w:r>
                          </w:p>
                        </w:tc>
                        <w:tc>
                          <w:tcPr>
                            <w:tcW w:w="1980" w:type="dxa"/>
                          </w:tcPr>
                          <w:p w14:paraId="7158D6E0" w14:textId="77777777" w:rsidR="00C93C19" w:rsidRPr="00C251E9" w:rsidRDefault="00C93C19" w:rsidP="00C93C19">
                            <w:pPr>
                              <w:pStyle w:val="TMGTableText"/>
                            </w:pPr>
                            <w:r w:rsidRPr="00162A2C">
                              <w:rPr>
                                <w:rFonts w:eastAsiaTheme="minorEastAsia"/>
                              </w:rPr>
                              <w:t>Degrees</w:t>
                            </w:r>
                          </w:p>
                        </w:tc>
                      </w:tr>
                      <w:tr w:rsidR="00C93C19" w14:paraId="52C63CCE" w14:textId="77777777" w:rsidTr="009447E9">
                        <w:tc>
                          <w:tcPr>
                            <w:tcW w:w="1795" w:type="dxa"/>
                          </w:tcPr>
                          <w:p w14:paraId="1EE8056A" w14:textId="77777777" w:rsidR="00C93C19" w:rsidRPr="00C251E9" w:rsidRDefault="00C93C19" w:rsidP="00C93C19">
                            <w:pPr>
                              <w:pStyle w:val="TMGTableText"/>
                              <w:rPr>
                                <w:b/>
                                <w:bCs/>
                              </w:rPr>
                            </w:pPr>
                            <w:r w:rsidRPr="00162A2C">
                              <w:rPr>
                                <w:rFonts w:eastAsiaTheme="minorEastAsia"/>
                              </w:rPr>
                              <w:t>Time</w:t>
                            </w:r>
                          </w:p>
                        </w:tc>
                        <w:tc>
                          <w:tcPr>
                            <w:tcW w:w="1800" w:type="dxa"/>
                          </w:tcPr>
                          <w:p w14:paraId="46247CDD" w14:textId="77777777" w:rsidR="00C93C19" w:rsidRPr="004859C8" w:rsidRDefault="00C93C19" w:rsidP="00C93C19">
                            <w:pPr>
                              <w:pStyle w:val="TMGTableText"/>
                            </w:pPr>
                            <w:r w:rsidRPr="00162A2C">
                              <w:rPr>
                                <w:rFonts w:eastAsiaTheme="minorEastAsia"/>
                              </w:rPr>
                              <w:t>Seconds</w:t>
                            </w:r>
                          </w:p>
                        </w:tc>
                        <w:tc>
                          <w:tcPr>
                            <w:tcW w:w="1980" w:type="dxa"/>
                          </w:tcPr>
                          <w:p w14:paraId="00D6FD76" w14:textId="77777777" w:rsidR="00C93C19" w:rsidRPr="00C251E9" w:rsidRDefault="00C93C19" w:rsidP="00C93C19">
                            <w:pPr>
                              <w:pStyle w:val="TMGTableText"/>
                            </w:pPr>
                            <w:r w:rsidRPr="00162A2C">
                              <w:rPr>
                                <w:rFonts w:eastAsiaTheme="minorEastAsia"/>
                              </w:rPr>
                              <w:t>Hundredth of second</w:t>
                            </w:r>
                          </w:p>
                        </w:tc>
                      </w:tr>
                      <w:tr w:rsidR="00C93C19" w14:paraId="35BA4D3B" w14:textId="77777777" w:rsidTr="009447E9">
                        <w:tc>
                          <w:tcPr>
                            <w:tcW w:w="1795" w:type="dxa"/>
                          </w:tcPr>
                          <w:p w14:paraId="1A1799BC" w14:textId="77777777" w:rsidR="00C93C19" w:rsidRPr="00C251E9" w:rsidRDefault="00C93C19" w:rsidP="00C93C19">
                            <w:pPr>
                              <w:pStyle w:val="TMGTableText"/>
                              <w:rPr>
                                <w:b/>
                                <w:bCs/>
                              </w:rPr>
                            </w:pPr>
                            <w:r w:rsidRPr="00162A2C">
                              <w:rPr>
                                <w:rFonts w:eastAsiaTheme="minorEastAsia"/>
                              </w:rPr>
                              <w:t>Inter-Axle Spacing</w:t>
                            </w:r>
                          </w:p>
                        </w:tc>
                        <w:tc>
                          <w:tcPr>
                            <w:tcW w:w="1800" w:type="dxa"/>
                          </w:tcPr>
                          <w:p w14:paraId="167179A5" w14:textId="77777777" w:rsidR="00C93C19" w:rsidRPr="004859C8" w:rsidRDefault="00C93C19" w:rsidP="00C93C19">
                            <w:pPr>
                              <w:pStyle w:val="TMGTableText"/>
                            </w:pPr>
                            <w:r w:rsidRPr="00162A2C">
                              <w:rPr>
                                <w:rFonts w:eastAsiaTheme="minorEastAsia"/>
                              </w:rPr>
                              <w:t>Feet</w:t>
                            </w:r>
                          </w:p>
                        </w:tc>
                        <w:tc>
                          <w:tcPr>
                            <w:tcW w:w="1980" w:type="dxa"/>
                          </w:tcPr>
                          <w:p w14:paraId="1A547933" w14:textId="77777777" w:rsidR="00C93C19" w:rsidRPr="00C251E9" w:rsidRDefault="00C93C19" w:rsidP="00C93C19">
                            <w:pPr>
                              <w:pStyle w:val="TMGTableText"/>
                            </w:pPr>
                            <w:r w:rsidRPr="00162A2C">
                              <w:rPr>
                                <w:rFonts w:eastAsiaTheme="minorEastAsia"/>
                              </w:rPr>
                              <w:t>Tenths of feet</w:t>
                            </w:r>
                          </w:p>
                        </w:tc>
                      </w:tr>
                      <w:bookmarkEnd w:id="3121"/>
                    </w:tbl>
                    <w:p w14:paraId="5A60B6AF" w14:textId="77777777" w:rsidR="003C6CCB" w:rsidRDefault="003C6CCB" w:rsidP="003C6CCB"/>
                  </w:txbxContent>
                </v:textbox>
                <w10:wrap type="square" anchorx="margin"/>
              </v:shape>
            </w:pict>
          </mc:Fallback>
        </mc:AlternateContent>
      </w:r>
      <w:fldSimple w:instr=" REF _Ref113275243 ">
        <w:r w:rsidR="00C07DF9">
          <w:t xml:space="preserve">Table </w:t>
        </w:r>
        <w:r w:rsidR="00C07DF9">
          <w:rPr>
            <w:noProof/>
          </w:rPr>
          <w:t>4</w:t>
        </w:r>
        <w:r w:rsidR="00C07DF9">
          <w:noBreakHyphen/>
        </w:r>
        <w:r w:rsidR="00C07DF9">
          <w:rPr>
            <w:noProof/>
          </w:rPr>
          <w:t>22</w:t>
        </w:r>
      </w:fldSimple>
      <w:r w:rsidR="009B7AED">
        <w:t xml:space="preserve"> </w:t>
      </w:r>
      <w:r w:rsidR="009B7AED" w:rsidRPr="00877387">
        <w:t>provides a quick reference for the units of measurement to be reported for weight, length, speed, and temperature.</w:t>
      </w:r>
    </w:p>
    <w:p w14:paraId="6509F74E" w14:textId="1D7A3724" w:rsidR="009B7AED" w:rsidRPr="00877387" w:rsidRDefault="009B7AED" w:rsidP="00A35EAF">
      <w:pPr>
        <w:pStyle w:val="BodyText"/>
      </w:pPr>
      <w:r w:rsidRPr="00877387">
        <w:t xml:space="preserve">Individual vehicle records can be collected by a variety of different traffic monitoring devices and technologies. However, the type of data collected for each passing vehicle differs when these alternative technologies are used. Consequently, FHWA has developed five different variations of the </w:t>
      </w:r>
      <w:r>
        <w:t>Individual Vehicle Record</w:t>
      </w:r>
      <w:r w:rsidRPr="00877387">
        <w:t xml:space="preserve"> </w:t>
      </w:r>
      <w:r>
        <w:t>f</w:t>
      </w:r>
      <w:r w:rsidRPr="00877387">
        <w:t>ormat. Each of these variations corresponds to a specific type of data collection device. All of the formats use a fixed</w:t>
      </w:r>
      <w:r>
        <w:t>-width</w:t>
      </w:r>
      <w:r w:rsidRPr="00877387">
        <w:t xml:space="preserve"> record structure, and the first 28 columns of data are the same for all five record formats. The </w:t>
      </w:r>
      <w:r>
        <w:t>final</w:t>
      </w:r>
      <w:r w:rsidRPr="00877387">
        <w:t xml:space="preserve"> column contains a variable that describes the type of data contained in that record. After the first </w:t>
      </w:r>
      <w:r>
        <w:t>33</w:t>
      </w:r>
      <w:r w:rsidRPr="00877387">
        <w:t xml:space="preserve"> columns, the remainder of each vehicle record differs based on the type and amount of data collected by that device for that vehicle. </w:t>
      </w:r>
    </w:p>
    <w:p w14:paraId="4A6152D0" w14:textId="57AE7FCD" w:rsidR="009B7AED" w:rsidRPr="00877387" w:rsidRDefault="009B7AED" w:rsidP="00A35EAF">
      <w:pPr>
        <w:pStyle w:val="BodyText"/>
      </w:pPr>
      <w:r w:rsidRPr="00877387">
        <w:t xml:space="preserve">The five different versions of the </w:t>
      </w:r>
      <w:r>
        <w:t>Individual Vehicle Record</w:t>
      </w:r>
      <w:r w:rsidRPr="00877387">
        <w:t xml:space="preserve"> Format </w:t>
      </w:r>
      <w:r w:rsidRPr="00B47C69">
        <w:t xml:space="preserve">(variant letter to use) </w:t>
      </w:r>
      <w:r w:rsidRPr="00877387">
        <w:t xml:space="preserve">are </w:t>
      </w:r>
      <w:r>
        <w:t>described in the following sections</w:t>
      </w:r>
      <w:r w:rsidRPr="00877387">
        <w:t>:</w:t>
      </w:r>
    </w:p>
    <w:p w14:paraId="12B2C97C" w14:textId="77777777" w:rsidR="009B7AED" w:rsidRPr="00E354AB" w:rsidRDefault="009B7AED">
      <w:pPr>
        <w:pStyle w:val="TMGBullet"/>
      </w:pPr>
      <w:r w:rsidRPr="00E354AB">
        <w:t>Traffic Volume Only Format (V)</w:t>
      </w:r>
    </w:p>
    <w:p w14:paraId="6FE85E4E" w14:textId="77777777" w:rsidR="009B7AED" w:rsidRPr="00E354AB" w:rsidRDefault="009B7AED">
      <w:pPr>
        <w:pStyle w:val="TMGBullet"/>
      </w:pPr>
      <w:r w:rsidRPr="00E354AB">
        <w:t>Speed, Length Classification Data Formats (T)</w:t>
      </w:r>
    </w:p>
    <w:p w14:paraId="4076C262" w14:textId="77777777" w:rsidR="009B7AED" w:rsidRPr="00E354AB" w:rsidRDefault="009B7AED">
      <w:pPr>
        <w:pStyle w:val="TMGBullet"/>
      </w:pPr>
      <w:bookmarkStart w:id="3122" w:name="_Hlk55572021"/>
      <w:r w:rsidRPr="00E354AB">
        <w:t>Axle Classification Data Format (C)</w:t>
      </w:r>
      <w:bookmarkEnd w:id="3122"/>
    </w:p>
    <w:p w14:paraId="270C00BF" w14:textId="77777777" w:rsidR="009B7AED" w:rsidRPr="00E354AB" w:rsidRDefault="009B7AED">
      <w:pPr>
        <w:pStyle w:val="TMGBullet"/>
      </w:pPr>
      <w:bookmarkStart w:id="3123" w:name="_Hlk55572198"/>
      <w:r w:rsidRPr="00E354AB">
        <w:t>Weight Data Format for Reporting Axle Weights (W)</w:t>
      </w:r>
      <w:bookmarkEnd w:id="3123"/>
    </w:p>
    <w:p w14:paraId="12855C62" w14:textId="67CD23BB" w:rsidR="009B7AED" w:rsidRPr="00877387" w:rsidRDefault="009B7AED">
      <w:pPr>
        <w:pStyle w:val="TMGBullet"/>
      </w:pPr>
      <w:bookmarkStart w:id="3124" w:name="_Hlk55572367"/>
      <w:r w:rsidRPr="00E354AB">
        <w:t>Vehicle Classification and Wheel Weights (Z)</w:t>
      </w:r>
      <w:bookmarkEnd w:id="3124"/>
    </w:p>
    <w:p w14:paraId="2135C989" w14:textId="77777777" w:rsidR="009B7AED" w:rsidRDefault="009B7AED" w:rsidP="00A35EAF">
      <w:pPr>
        <w:pStyle w:val="BodyText"/>
      </w:pPr>
      <w:r w:rsidRPr="00877387">
        <w:t xml:space="preserve">Each of these record formats is described in detail below. In all cases, each format uses one record for each vehicle observation. All units are given in English units (pounds for weight, </w:t>
      </w:r>
      <w:r>
        <w:t xml:space="preserve">tenths of </w:t>
      </w:r>
      <w:r w:rsidRPr="00877387">
        <w:t xml:space="preserve">feet for distance, </w:t>
      </w:r>
      <w:r>
        <w:t xml:space="preserve">tenths of </w:t>
      </w:r>
      <w:r w:rsidRPr="00877387">
        <w:t xml:space="preserve">miles per hour for speed, and degrees Fahrenheit for temperature). All unused entries are to be blank filled. </w:t>
      </w:r>
    </w:p>
    <w:p w14:paraId="27814D82" w14:textId="43E0BBA3" w:rsidR="009B7AED" w:rsidRPr="00877387" w:rsidRDefault="009B7AED" w:rsidP="00A35EAF">
      <w:pPr>
        <w:pStyle w:val="BodyText"/>
      </w:pPr>
      <w:r w:rsidRPr="00877387">
        <w:t xml:space="preserve">A dummy vehicle </w:t>
      </w:r>
      <w:r>
        <w:t>signature</w:t>
      </w:r>
      <w:r w:rsidRPr="00877387">
        <w:t xml:space="preserve"> of ‘m’ indicates that </w:t>
      </w:r>
      <w:r>
        <w:t>traffic</w:t>
      </w:r>
      <w:r w:rsidRPr="00877387">
        <w:t xml:space="preserve"> data for </w:t>
      </w:r>
      <w:r>
        <w:t>an</w:t>
      </w:r>
      <w:r w:rsidRPr="00877387">
        <w:t xml:space="preserve"> hour are missing. A dummy vehicle </w:t>
      </w:r>
      <w:r>
        <w:t>signature</w:t>
      </w:r>
      <w:r w:rsidRPr="00877387">
        <w:t xml:space="preserve"> of ‘d’ indicates that </w:t>
      </w:r>
      <w:r>
        <w:t>traffic</w:t>
      </w:r>
      <w:r w:rsidRPr="00877387">
        <w:t xml:space="preserve"> data for this hour are not missing, and th</w:t>
      </w:r>
      <w:r>
        <w:t>ere were no</w:t>
      </w:r>
      <w:r w:rsidRPr="00877387">
        <w:t xml:space="preserve"> </w:t>
      </w:r>
      <w:r>
        <w:t>IVR</w:t>
      </w:r>
      <w:r w:rsidRPr="00877387">
        <w:t xml:space="preserve"> records for the hour. Without </w:t>
      </w:r>
      <w:r w:rsidRPr="00877387">
        <w:lastRenderedPageBreak/>
        <w:t xml:space="preserve">these indications, no </w:t>
      </w:r>
      <w:r>
        <w:t>IVR</w:t>
      </w:r>
      <w:r w:rsidRPr="00877387">
        <w:t xml:space="preserve"> records for an hour might be interpreted to mean that the </w:t>
      </w:r>
      <w:r>
        <w:t>traffic</w:t>
      </w:r>
      <w:r w:rsidRPr="00877387">
        <w:t xml:space="preserve"> system was not working. </w:t>
      </w:r>
      <w:r>
        <w:t>These dummy records can be utilized for any of the IVR variants.</w:t>
      </w:r>
    </w:p>
    <w:p w14:paraId="26874BAB" w14:textId="77777777" w:rsidR="009B7AED" w:rsidRPr="00877387" w:rsidRDefault="009B7AED" w:rsidP="00A35EAF">
      <w:pPr>
        <w:pStyle w:val="BodyText"/>
      </w:pPr>
      <w:r w:rsidRPr="00877387">
        <w:t xml:space="preserve">The first </w:t>
      </w:r>
      <w:r>
        <w:t>33</w:t>
      </w:r>
      <w:r w:rsidRPr="00877387">
        <w:t xml:space="preserve"> columns contain the same information</w:t>
      </w:r>
      <w:r>
        <w:t xml:space="preserve"> (with unique direction, lane, date, time, and signature codes)</w:t>
      </w:r>
      <w:r w:rsidRPr="00877387">
        <w:t xml:space="preserve"> for all individual vehicle records.</w:t>
      </w:r>
    </w:p>
    <w:p w14:paraId="2F6EB7FD" w14:textId="081D8849" w:rsidR="009B7AED" w:rsidRPr="00877387" w:rsidRDefault="009B7AED" w:rsidP="00B71607">
      <w:pPr>
        <w:pStyle w:val="Example"/>
      </w:pPr>
      <w:r w:rsidRPr="00877387">
        <w:t xml:space="preserve">An example of the file naming convention for the </w:t>
      </w:r>
      <w:r>
        <w:t>Individual Vehicle Record</w:t>
      </w:r>
      <w:r w:rsidRPr="00877387">
        <w:t xml:space="preserve"> record is:</w:t>
      </w:r>
    </w:p>
    <w:p w14:paraId="459528B8" w14:textId="77777777" w:rsidR="009B7AED" w:rsidRPr="007462AB" w:rsidRDefault="009B7AED" w:rsidP="00B71607">
      <w:pPr>
        <w:pStyle w:val="Example"/>
      </w:pPr>
      <w:r w:rsidRPr="00877387">
        <w:t>ssabcxyzmmyyyy.</w:t>
      </w:r>
      <w:r>
        <w:t>IVR</w:t>
      </w:r>
    </w:p>
    <w:p w14:paraId="06480373" w14:textId="700204A6" w:rsidR="009B7AED" w:rsidRPr="003C2C6D" w:rsidRDefault="009B7AED">
      <w:pPr>
        <w:pStyle w:val="Heading3"/>
      </w:pPr>
      <w:bookmarkStart w:id="3125" w:name="_Toc335642252"/>
      <w:bookmarkStart w:id="3126" w:name="_Toc63976757"/>
      <w:bookmarkStart w:id="3127" w:name="_Toc109301290"/>
      <w:bookmarkStart w:id="3128" w:name="_Toc109333024"/>
      <w:bookmarkStart w:id="3129" w:name="_Toc109333617"/>
      <w:bookmarkStart w:id="3130" w:name="_Toc113281115"/>
      <w:bookmarkStart w:id="3131" w:name="_Toc118205703"/>
      <w:r w:rsidRPr="003C2C6D">
        <w:t>Traffic Volume Only Format (V)</w:t>
      </w:r>
      <w:bookmarkEnd w:id="3125"/>
      <w:bookmarkEnd w:id="3126"/>
      <w:bookmarkEnd w:id="3127"/>
      <w:bookmarkEnd w:id="3128"/>
      <w:bookmarkEnd w:id="3129"/>
      <w:bookmarkEnd w:id="3130"/>
      <w:bookmarkEnd w:id="3131"/>
    </w:p>
    <w:p w14:paraId="13B8F5C6" w14:textId="2E30B77C" w:rsidR="009B7AED" w:rsidRPr="00877387" w:rsidRDefault="00464453" w:rsidP="00A35EAF">
      <w:pPr>
        <w:pStyle w:val="BodyText"/>
      </w:pPr>
      <w:r>
        <w:fldChar w:fldCharType="begin"/>
      </w:r>
      <w:r>
        <w:instrText xml:space="preserve"> REF _Ref113275319 </w:instrText>
      </w:r>
      <w:r>
        <w:fldChar w:fldCharType="separate"/>
      </w:r>
      <w:r w:rsidR="00C07DF9">
        <w:t xml:space="preserve">Table </w:t>
      </w:r>
      <w:r w:rsidR="00C07DF9">
        <w:rPr>
          <w:noProof/>
        </w:rPr>
        <w:t>4</w:t>
      </w:r>
      <w:r w:rsidR="00C07DF9">
        <w:noBreakHyphen/>
      </w:r>
      <w:r w:rsidR="00C07DF9">
        <w:rPr>
          <w:noProof/>
        </w:rPr>
        <w:t>23</w:t>
      </w:r>
      <w:r>
        <w:rPr>
          <w:noProof/>
        </w:rPr>
        <w:fldChar w:fldCharType="end"/>
      </w:r>
      <w:r w:rsidR="009B7AED">
        <w:t xml:space="preserve"> </w:t>
      </w:r>
      <w:r w:rsidR="009B7AED" w:rsidRPr="00877387">
        <w:t>describe</w:t>
      </w:r>
      <w:r w:rsidR="009B7AED">
        <w:t>s</w:t>
      </w:r>
      <w:r w:rsidR="009B7AED" w:rsidRPr="00877387">
        <w:t xml:space="preserve"> the data to be included in the first 28 columns of all </w:t>
      </w:r>
      <w:r w:rsidR="009B7AED">
        <w:t>Individual Vehicle Record</w:t>
      </w:r>
      <w:r w:rsidR="009B7AED" w:rsidRPr="00877387">
        <w:t xml:space="preserve"> records submitted to FHWA, regardless of which one of the five record types is being submitted.</w:t>
      </w:r>
    </w:p>
    <w:p w14:paraId="39B959BD" w14:textId="73F2B731" w:rsidR="009B7AED" w:rsidRDefault="009B7AED" w:rsidP="000F2A7A">
      <w:pPr>
        <w:pStyle w:val="TMGTableCaption"/>
      </w:pPr>
      <w:bookmarkStart w:id="3132" w:name="_Ref113275319"/>
      <w:bookmarkStart w:id="3133" w:name="_Toc109333460"/>
      <w:bookmarkStart w:id="3134" w:name="_Toc109333788"/>
      <w:bookmarkStart w:id="3135" w:name="_Toc113282528"/>
      <w:bookmarkStart w:id="3136" w:name="_Toc114474865"/>
      <w:bookmarkStart w:id="3137" w:name="_Toc120631171"/>
      <w:r>
        <w:t xml:space="preserve">Table </w:t>
      </w:r>
      <w:fldSimple w:instr=" STYLEREF 1 \s ">
        <w:r w:rsidR="00C07DF9">
          <w:rPr>
            <w:noProof/>
          </w:rPr>
          <w:t>4</w:t>
        </w:r>
      </w:fldSimple>
      <w:r>
        <w:noBreakHyphen/>
      </w:r>
      <w:fldSimple w:instr=" SEQ Table \* ARABIC \s 1 ">
        <w:r w:rsidR="00C07DF9">
          <w:rPr>
            <w:noProof/>
          </w:rPr>
          <w:t>23</w:t>
        </w:r>
      </w:fldSimple>
      <w:bookmarkEnd w:id="3132"/>
      <w:r w:rsidR="00523F14">
        <w:t>.</w:t>
      </w:r>
      <w:r>
        <w:t xml:space="preserve"> </w:t>
      </w:r>
      <w:r w:rsidRPr="002C554C">
        <w:t xml:space="preserve">Individual Vehicle Record Collected </w:t>
      </w:r>
      <w:r w:rsidR="003C2C6D">
        <w:t>b</w:t>
      </w:r>
      <w:r w:rsidRPr="002C554C">
        <w:t xml:space="preserve">y Volume Device (V Variant) </w:t>
      </w:r>
      <w:r>
        <w:t xml:space="preserve">– </w:t>
      </w:r>
      <w:r w:rsidRPr="002C554C">
        <w:t>Fixed</w:t>
      </w:r>
      <w:r>
        <w:t xml:space="preserve">-Width </w:t>
      </w:r>
      <w:r w:rsidR="003C2C6D">
        <w:t>F</w:t>
      </w:r>
      <w:r>
        <w:t>ormat</w:t>
      </w:r>
      <w:bookmarkEnd w:id="3133"/>
      <w:bookmarkEnd w:id="3134"/>
      <w:bookmarkEnd w:id="3135"/>
      <w:bookmarkEnd w:id="3136"/>
      <w:bookmarkEnd w:id="3137"/>
    </w:p>
    <w:tbl>
      <w:tblPr>
        <w:tblStyle w:val="TableGrid"/>
        <w:tblW w:w="9360" w:type="dxa"/>
        <w:jc w:val="center"/>
        <w:tblCellMar>
          <w:left w:w="86" w:type="dxa"/>
          <w:right w:w="86" w:type="dxa"/>
        </w:tblCellMar>
        <w:tblLook w:val="04A0" w:firstRow="1" w:lastRow="0" w:firstColumn="1" w:lastColumn="0" w:noHBand="0" w:noVBand="1"/>
      </w:tblPr>
      <w:tblGrid>
        <w:gridCol w:w="715"/>
        <w:gridCol w:w="900"/>
        <w:gridCol w:w="1080"/>
        <w:gridCol w:w="3487"/>
        <w:gridCol w:w="1486"/>
        <w:gridCol w:w="1692"/>
      </w:tblGrid>
      <w:tr w:rsidR="003E5501" w14:paraId="22A03F7B" w14:textId="77777777" w:rsidTr="009447E9">
        <w:trPr>
          <w:tblHeader/>
          <w:jc w:val="center"/>
        </w:trPr>
        <w:tc>
          <w:tcPr>
            <w:tcW w:w="715" w:type="dxa"/>
            <w:tcBorders>
              <w:right w:val="single" w:sz="4" w:space="0" w:color="FFFFFF" w:themeColor="background1"/>
            </w:tcBorders>
            <w:shd w:val="clear" w:color="auto" w:fill="1F3864"/>
          </w:tcPr>
          <w:p w14:paraId="6C72676C" w14:textId="77777777" w:rsidR="003E5501" w:rsidRDefault="003E5501" w:rsidP="009447E9">
            <w:pPr>
              <w:pStyle w:val="TMGTableTextHeader"/>
            </w:pPr>
            <w:r w:rsidRPr="00AB1C33">
              <w:rPr>
                <w:rFonts w:eastAsiaTheme="minorEastAsia"/>
                <w:color w:val="F2F2F2" w:themeColor="background1" w:themeShade="F2"/>
              </w:rPr>
              <w:t>Field</w:t>
            </w:r>
          </w:p>
        </w:tc>
        <w:tc>
          <w:tcPr>
            <w:tcW w:w="900" w:type="dxa"/>
            <w:tcBorders>
              <w:left w:val="single" w:sz="4" w:space="0" w:color="FFFFFF" w:themeColor="background1"/>
              <w:right w:val="single" w:sz="4" w:space="0" w:color="FFFFFF" w:themeColor="background1"/>
            </w:tcBorders>
            <w:shd w:val="clear" w:color="auto" w:fill="1F3864"/>
          </w:tcPr>
          <w:p w14:paraId="7BF68CA6" w14:textId="77777777" w:rsidR="003E5501" w:rsidRDefault="003E5501" w:rsidP="009447E9">
            <w:pPr>
              <w:pStyle w:val="TMGTableTextHeader"/>
              <w:rPr>
                <w:rFonts w:eastAsia="MS Mincho"/>
              </w:rPr>
            </w:pPr>
            <w:r w:rsidRPr="00AB1C33">
              <w:rPr>
                <w:rFonts w:eastAsiaTheme="minorEastAsia"/>
                <w:color w:val="F2F2F2" w:themeColor="background1" w:themeShade="F2"/>
              </w:rPr>
              <w:t>Columns</w:t>
            </w:r>
          </w:p>
        </w:tc>
        <w:tc>
          <w:tcPr>
            <w:tcW w:w="1080" w:type="dxa"/>
            <w:tcBorders>
              <w:left w:val="single" w:sz="4" w:space="0" w:color="FFFFFF" w:themeColor="background1"/>
              <w:right w:val="single" w:sz="4" w:space="0" w:color="FFFFFF" w:themeColor="background1"/>
            </w:tcBorders>
            <w:shd w:val="clear" w:color="auto" w:fill="1F3864"/>
          </w:tcPr>
          <w:p w14:paraId="3C7EA43B" w14:textId="77777777" w:rsidR="003E5501" w:rsidRDefault="003E5501" w:rsidP="009447E9">
            <w:pPr>
              <w:pStyle w:val="TMGTableTextHeader"/>
              <w:rPr>
                <w:rFonts w:eastAsia="MS Mincho"/>
              </w:rPr>
            </w:pPr>
            <w:r w:rsidRPr="00AB1C33">
              <w:rPr>
                <w:rFonts w:eastAsiaTheme="minorEastAsia"/>
                <w:color w:val="F2F2F2" w:themeColor="background1" w:themeShade="F2"/>
              </w:rPr>
              <w:t>Width</w:t>
            </w:r>
          </w:p>
        </w:tc>
        <w:tc>
          <w:tcPr>
            <w:tcW w:w="3487" w:type="dxa"/>
            <w:tcBorders>
              <w:left w:val="single" w:sz="4" w:space="0" w:color="FFFFFF" w:themeColor="background1"/>
              <w:right w:val="single" w:sz="4" w:space="0" w:color="FFFFFF" w:themeColor="background1"/>
            </w:tcBorders>
            <w:shd w:val="clear" w:color="auto" w:fill="1F3864"/>
          </w:tcPr>
          <w:p w14:paraId="616F42E0" w14:textId="77777777" w:rsidR="003E5501" w:rsidRDefault="003E5501" w:rsidP="009447E9">
            <w:pPr>
              <w:pStyle w:val="TMGTableTextHeader"/>
              <w:rPr>
                <w:rFonts w:eastAsia="MS Mincho"/>
              </w:rPr>
            </w:pPr>
            <w:r w:rsidRPr="00AB1C33">
              <w:rPr>
                <w:rFonts w:eastAsiaTheme="minorEastAsia"/>
                <w:color w:val="F2F2F2" w:themeColor="background1" w:themeShade="F2"/>
              </w:rPr>
              <w:t>Description</w:t>
            </w:r>
          </w:p>
        </w:tc>
        <w:tc>
          <w:tcPr>
            <w:tcW w:w="1486" w:type="dxa"/>
            <w:tcBorders>
              <w:left w:val="single" w:sz="4" w:space="0" w:color="FFFFFF" w:themeColor="background1"/>
              <w:right w:val="single" w:sz="4" w:space="0" w:color="FFFFFF" w:themeColor="background1"/>
            </w:tcBorders>
            <w:shd w:val="clear" w:color="auto" w:fill="1F3864"/>
          </w:tcPr>
          <w:p w14:paraId="0465643E" w14:textId="77777777" w:rsidR="003E5501" w:rsidRDefault="003E5501" w:rsidP="009447E9">
            <w:pPr>
              <w:pStyle w:val="TMGTableTextHeader"/>
              <w:rPr>
                <w:rFonts w:eastAsia="MS Mincho"/>
              </w:rPr>
            </w:pPr>
            <w:r w:rsidRPr="00AB1C33">
              <w:rPr>
                <w:rFonts w:eastAsiaTheme="minorEastAsia"/>
                <w:color w:val="F2F2F2" w:themeColor="background1" w:themeShade="F2"/>
              </w:rPr>
              <w:t>Type</w:t>
            </w:r>
          </w:p>
        </w:tc>
        <w:tc>
          <w:tcPr>
            <w:tcW w:w="1692" w:type="dxa"/>
            <w:tcBorders>
              <w:left w:val="single" w:sz="4" w:space="0" w:color="FFFFFF" w:themeColor="background1"/>
            </w:tcBorders>
            <w:shd w:val="clear" w:color="auto" w:fill="1F3864"/>
          </w:tcPr>
          <w:p w14:paraId="40C36255" w14:textId="77777777" w:rsidR="003E5501" w:rsidRDefault="003E5501" w:rsidP="009447E9">
            <w:pPr>
              <w:pStyle w:val="TMGTableTextHeader"/>
            </w:pPr>
            <w:r w:rsidRPr="00AB1C33">
              <w:rPr>
                <w:rFonts w:eastAsiaTheme="minorEastAsia"/>
                <w:color w:val="F2F2F2" w:themeColor="background1" w:themeShade="F2"/>
              </w:rPr>
              <w:t>Importance</w:t>
            </w:r>
          </w:p>
        </w:tc>
      </w:tr>
      <w:tr w:rsidR="003E5501" w14:paraId="20FB8906" w14:textId="77777777" w:rsidTr="008A6793">
        <w:trPr>
          <w:jc w:val="center"/>
        </w:trPr>
        <w:tc>
          <w:tcPr>
            <w:tcW w:w="715" w:type="dxa"/>
          </w:tcPr>
          <w:p w14:paraId="78B01B09" w14:textId="4FB9CAAB" w:rsidR="003E5501" w:rsidRPr="00C251E9" w:rsidRDefault="003E5501" w:rsidP="003E5501">
            <w:pPr>
              <w:pStyle w:val="TMGTableText"/>
              <w:ind w:left="0" w:right="144"/>
              <w:jc w:val="right"/>
              <w:rPr>
                <w:b/>
                <w:bCs/>
              </w:rPr>
            </w:pPr>
            <w:r w:rsidRPr="00877387">
              <w:rPr>
                <w:rFonts w:eastAsiaTheme="minorEastAsia"/>
              </w:rPr>
              <w:t>1</w:t>
            </w:r>
          </w:p>
        </w:tc>
        <w:tc>
          <w:tcPr>
            <w:tcW w:w="900" w:type="dxa"/>
          </w:tcPr>
          <w:p w14:paraId="170A21CE" w14:textId="25A0DC69" w:rsidR="003E5501" w:rsidRPr="004859C8" w:rsidRDefault="003E5501" w:rsidP="003E5501">
            <w:pPr>
              <w:pStyle w:val="TMGTableText"/>
              <w:jc w:val="center"/>
            </w:pPr>
            <w:r w:rsidRPr="00877387">
              <w:rPr>
                <w:rFonts w:eastAsiaTheme="minorEastAsia"/>
              </w:rPr>
              <w:t>1</w:t>
            </w:r>
          </w:p>
        </w:tc>
        <w:tc>
          <w:tcPr>
            <w:tcW w:w="1080" w:type="dxa"/>
          </w:tcPr>
          <w:p w14:paraId="7ABFA749" w14:textId="27347D44" w:rsidR="003E5501" w:rsidRPr="004859C8" w:rsidRDefault="003E5501" w:rsidP="003E5501">
            <w:pPr>
              <w:pStyle w:val="TMGTableText"/>
              <w:jc w:val="center"/>
            </w:pPr>
            <w:r w:rsidRPr="00877387">
              <w:rPr>
                <w:rFonts w:eastAsiaTheme="minorEastAsia"/>
              </w:rPr>
              <w:t>1</w:t>
            </w:r>
          </w:p>
        </w:tc>
        <w:tc>
          <w:tcPr>
            <w:tcW w:w="3487" w:type="dxa"/>
          </w:tcPr>
          <w:p w14:paraId="2581985A" w14:textId="23B65A5E" w:rsidR="003E5501" w:rsidRPr="004859C8" w:rsidRDefault="003E5501" w:rsidP="003E5501">
            <w:pPr>
              <w:pStyle w:val="TMGTableText"/>
            </w:pPr>
            <w:r w:rsidRPr="00877387">
              <w:rPr>
                <w:rFonts w:eastAsiaTheme="minorEastAsia"/>
              </w:rPr>
              <w:t>Record Type (RT)</w:t>
            </w:r>
          </w:p>
        </w:tc>
        <w:tc>
          <w:tcPr>
            <w:tcW w:w="1486" w:type="dxa"/>
          </w:tcPr>
          <w:p w14:paraId="77BE7FD8" w14:textId="25B598A0" w:rsidR="003E5501" w:rsidRPr="004859C8" w:rsidRDefault="003E5501" w:rsidP="00B71607">
            <w:pPr>
              <w:pStyle w:val="TMGTableText"/>
              <w:jc w:val="center"/>
            </w:pPr>
            <w:r>
              <w:rPr>
                <w:rFonts w:eastAsiaTheme="minorEastAsia"/>
              </w:rPr>
              <w:t>Alphanumeric</w:t>
            </w:r>
          </w:p>
        </w:tc>
        <w:tc>
          <w:tcPr>
            <w:tcW w:w="1692" w:type="dxa"/>
          </w:tcPr>
          <w:p w14:paraId="623B88CA" w14:textId="42ACE8BF" w:rsidR="003E5501" w:rsidRPr="00C251E9" w:rsidRDefault="003E5501" w:rsidP="00B71607">
            <w:pPr>
              <w:pStyle w:val="TMGTableText"/>
              <w:jc w:val="center"/>
            </w:pPr>
            <w:r>
              <w:rPr>
                <w:rFonts w:eastAsiaTheme="minorEastAsia"/>
              </w:rPr>
              <w:t>Required</w:t>
            </w:r>
          </w:p>
        </w:tc>
      </w:tr>
      <w:tr w:rsidR="003E5501" w14:paraId="7AE5E99A" w14:textId="77777777" w:rsidTr="008A6793">
        <w:trPr>
          <w:jc w:val="center"/>
        </w:trPr>
        <w:tc>
          <w:tcPr>
            <w:tcW w:w="715" w:type="dxa"/>
          </w:tcPr>
          <w:p w14:paraId="6CC46446" w14:textId="7E69D12F" w:rsidR="003E5501" w:rsidRPr="00C251E9" w:rsidRDefault="003E5501" w:rsidP="003E5501">
            <w:pPr>
              <w:pStyle w:val="TMGTableText"/>
              <w:ind w:left="0" w:right="144"/>
              <w:jc w:val="right"/>
              <w:rPr>
                <w:b/>
                <w:bCs/>
              </w:rPr>
            </w:pPr>
            <w:r w:rsidRPr="00877387">
              <w:rPr>
                <w:rFonts w:eastAsiaTheme="minorEastAsia"/>
              </w:rPr>
              <w:t>2</w:t>
            </w:r>
          </w:p>
        </w:tc>
        <w:tc>
          <w:tcPr>
            <w:tcW w:w="900" w:type="dxa"/>
          </w:tcPr>
          <w:p w14:paraId="4547BB01" w14:textId="3C8AE432" w:rsidR="003E5501" w:rsidRPr="004859C8" w:rsidRDefault="003E5501" w:rsidP="003E5501">
            <w:pPr>
              <w:pStyle w:val="TMGTableText"/>
              <w:jc w:val="center"/>
            </w:pPr>
            <w:r w:rsidRPr="00877387">
              <w:rPr>
                <w:rFonts w:eastAsiaTheme="minorEastAsia"/>
              </w:rPr>
              <w:t>2-3</w:t>
            </w:r>
          </w:p>
        </w:tc>
        <w:tc>
          <w:tcPr>
            <w:tcW w:w="1080" w:type="dxa"/>
          </w:tcPr>
          <w:p w14:paraId="6BDDECA7" w14:textId="37613033" w:rsidR="003E5501" w:rsidRPr="004859C8" w:rsidRDefault="003E5501" w:rsidP="003E5501">
            <w:pPr>
              <w:pStyle w:val="TMGTableText"/>
              <w:jc w:val="center"/>
            </w:pPr>
            <w:r w:rsidRPr="00877387">
              <w:rPr>
                <w:rFonts w:eastAsiaTheme="minorEastAsia"/>
              </w:rPr>
              <w:t>2</w:t>
            </w:r>
          </w:p>
        </w:tc>
        <w:tc>
          <w:tcPr>
            <w:tcW w:w="3487" w:type="dxa"/>
          </w:tcPr>
          <w:p w14:paraId="3BCCB3F6" w14:textId="2682ECCB" w:rsidR="003E5501" w:rsidRPr="004859C8" w:rsidRDefault="003E5501" w:rsidP="003E5501">
            <w:pPr>
              <w:pStyle w:val="TMGTableText"/>
            </w:pPr>
            <w:r w:rsidRPr="00877387">
              <w:rPr>
                <w:rFonts w:eastAsiaTheme="minorEastAsia"/>
              </w:rPr>
              <w:t>State FIPS Code (SFIPS)</w:t>
            </w:r>
          </w:p>
        </w:tc>
        <w:tc>
          <w:tcPr>
            <w:tcW w:w="1486" w:type="dxa"/>
          </w:tcPr>
          <w:p w14:paraId="3720B06C" w14:textId="07C3008A" w:rsidR="003E5501" w:rsidRPr="004859C8" w:rsidRDefault="003E5501" w:rsidP="00B71607">
            <w:pPr>
              <w:pStyle w:val="TMGTableText"/>
              <w:jc w:val="center"/>
            </w:pPr>
            <w:r>
              <w:rPr>
                <w:rFonts w:eastAsiaTheme="minorEastAsia"/>
              </w:rPr>
              <w:t>Integer</w:t>
            </w:r>
          </w:p>
        </w:tc>
        <w:tc>
          <w:tcPr>
            <w:tcW w:w="1692" w:type="dxa"/>
          </w:tcPr>
          <w:p w14:paraId="7C1CE0B8" w14:textId="5EF86AF9" w:rsidR="003E5501" w:rsidRPr="00C251E9" w:rsidRDefault="003E5501" w:rsidP="00B71607">
            <w:pPr>
              <w:pStyle w:val="TMGTableText"/>
              <w:jc w:val="center"/>
            </w:pPr>
            <w:r>
              <w:rPr>
                <w:rFonts w:eastAsiaTheme="minorEastAsia"/>
              </w:rPr>
              <w:t>Required</w:t>
            </w:r>
          </w:p>
        </w:tc>
      </w:tr>
      <w:tr w:rsidR="003E5501" w14:paraId="2891B824" w14:textId="77777777" w:rsidTr="008A6793">
        <w:trPr>
          <w:jc w:val="center"/>
        </w:trPr>
        <w:tc>
          <w:tcPr>
            <w:tcW w:w="715" w:type="dxa"/>
          </w:tcPr>
          <w:p w14:paraId="613FB566" w14:textId="7B2CBF2D" w:rsidR="003E5501" w:rsidRPr="00C251E9" w:rsidRDefault="003E5501" w:rsidP="003E5501">
            <w:pPr>
              <w:pStyle w:val="TMGTableText"/>
              <w:ind w:left="0" w:right="144"/>
              <w:jc w:val="right"/>
              <w:rPr>
                <w:b/>
                <w:bCs/>
              </w:rPr>
            </w:pPr>
            <w:r w:rsidRPr="00877387">
              <w:rPr>
                <w:rFonts w:eastAsiaTheme="minorEastAsia"/>
              </w:rPr>
              <w:t>3</w:t>
            </w:r>
          </w:p>
        </w:tc>
        <w:tc>
          <w:tcPr>
            <w:tcW w:w="900" w:type="dxa"/>
          </w:tcPr>
          <w:p w14:paraId="641EFF04" w14:textId="7EAF10B0" w:rsidR="003E5501" w:rsidRPr="004859C8" w:rsidRDefault="003E5501" w:rsidP="003E5501">
            <w:pPr>
              <w:pStyle w:val="TMGTableText"/>
              <w:jc w:val="center"/>
            </w:pPr>
            <w:r w:rsidRPr="00877387">
              <w:rPr>
                <w:rFonts w:eastAsiaTheme="minorEastAsia"/>
              </w:rPr>
              <w:t>4-9</w:t>
            </w:r>
          </w:p>
        </w:tc>
        <w:tc>
          <w:tcPr>
            <w:tcW w:w="1080" w:type="dxa"/>
          </w:tcPr>
          <w:p w14:paraId="142A2B0D" w14:textId="1D202D25" w:rsidR="003E5501" w:rsidRPr="004859C8" w:rsidRDefault="003E5501" w:rsidP="003E5501">
            <w:pPr>
              <w:pStyle w:val="TMGTableText"/>
              <w:jc w:val="center"/>
            </w:pPr>
            <w:r w:rsidRPr="00877387">
              <w:rPr>
                <w:rFonts w:eastAsiaTheme="minorEastAsia"/>
              </w:rPr>
              <w:t>6</w:t>
            </w:r>
          </w:p>
        </w:tc>
        <w:tc>
          <w:tcPr>
            <w:tcW w:w="3487" w:type="dxa"/>
          </w:tcPr>
          <w:p w14:paraId="30C24919" w14:textId="7670ABFF" w:rsidR="003E5501" w:rsidRPr="004859C8" w:rsidRDefault="003E5501" w:rsidP="003E5501">
            <w:pPr>
              <w:pStyle w:val="TMGTableText"/>
            </w:pPr>
            <w:r w:rsidRPr="00877387">
              <w:rPr>
                <w:rFonts w:eastAsiaTheme="minorEastAsia"/>
              </w:rPr>
              <w:t>Station ID (ID)</w:t>
            </w:r>
          </w:p>
        </w:tc>
        <w:tc>
          <w:tcPr>
            <w:tcW w:w="1486" w:type="dxa"/>
          </w:tcPr>
          <w:p w14:paraId="287B007A" w14:textId="5B834162" w:rsidR="003E5501" w:rsidRPr="004859C8" w:rsidRDefault="003E5501" w:rsidP="00B71607">
            <w:pPr>
              <w:pStyle w:val="TMGTableText"/>
              <w:jc w:val="center"/>
            </w:pPr>
            <w:r>
              <w:rPr>
                <w:rFonts w:eastAsiaTheme="minorEastAsia"/>
              </w:rPr>
              <w:t>Alphanumeric</w:t>
            </w:r>
          </w:p>
        </w:tc>
        <w:tc>
          <w:tcPr>
            <w:tcW w:w="1692" w:type="dxa"/>
          </w:tcPr>
          <w:p w14:paraId="11CE0B3C" w14:textId="55702E3B" w:rsidR="003E5501" w:rsidRPr="00C251E9" w:rsidRDefault="003E5501" w:rsidP="00B71607">
            <w:pPr>
              <w:pStyle w:val="TMGTableText"/>
              <w:jc w:val="center"/>
            </w:pPr>
            <w:r>
              <w:rPr>
                <w:rFonts w:eastAsiaTheme="minorEastAsia"/>
              </w:rPr>
              <w:t>Required</w:t>
            </w:r>
          </w:p>
        </w:tc>
      </w:tr>
      <w:tr w:rsidR="003E5501" w14:paraId="52F8D8D0" w14:textId="77777777" w:rsidTr="008A6793">
        <w:trPr>
          <w:jc w:val="center"/>
        </w:trPr>
        <w:tc>
          <w:tcPr>
            <w:tcW w:w="715" w:type="dxa"/>
          </w:tcPr>
          <w:p w14:paraId="79521185" w14:textId="4BAA8146" w:rsidR="003E5501" w:rsidRPr="00C251E9" w:rsidRDefault="003E5501" w:rsidP="003E5501">
            <w:pPr>
              <w:pStyle w:val="TMGTableText"/>
              <w:ind w:left="0" w:right="144"/>
              <w:jc w:val="right"/>
              <w:rPr>
                <w:b/>
                <w:bCs/>
              </w:rPr>
            </w:pPr>
            <w:r w:rsidRPr="00877387">
              <w:rPr>
                <w:rFonts w:eastAsiaTheme="minorEastAsia"/>
              </w:rPr>
              <w:t>4</w:t>
            </w:r>
          </w:p>
        </w:tc>
        <w:tc>
          <w:tcPr>
            <w:tcW w:w="900" w:type="dxa"/>
          </w:tcPr>
          <w:p w14:paraId="5C77105A" w14:textId="672E2D39" w:rsidR="003E5501" w:rsidRPr="004859C8" w:rsidRDefault="003E5501" w:rsidP="003E5501">
            <w:pPr>
              <w:pStyle w:val="TMGTableText"/>
              <w:jc w:val="center"/>
            </w:pPr>
            <w:r w:rsidRPr="00877387">
              <w:rPr>
                <w:rFonts w:eastAsiaTheme="minorEastAsia"/>
              </w:rPr>
              <w:t>10</w:t>
            </w:r>
          </w:p>
        </w:tc>
        <w:tc>
          <w:tcPr>
            <w:tcW w:w="1080" w:type="dxa"/>
          </w:tcPr>
          <w:p w14:paraId="5EBB4268" w14:textId="7189D8E4" w:rsidR="003E5501" w:rsidRPr="004859C8" w:rsidRDefault="003E5501" w:rsidP="003E5501">
            <w:pPr>
              <w:pStyle w:val="TMGTableText"/>
              <w:jc w:val="center"/>
            </w:pPr>
            <w:r w:rsidRPr="00877387">
              <w:rPr>
                <w:rFonts w:eastAsiaTheme="minorEastAsia"/>
              </w:rPr>
              <w:t>1</w:t>
            </w:r>
          </w:p>
        </w:tc>
        <w:tc>
          <w:tcPr>
            <w:tcW w:w="3487" w:type="dxa"/>
          </w:tcPr>
          <w:p w14:paraId="50EF7755" w14:textId="5052A654" w:rsidR="003E5501" w:rsidRPr="004859C8" w:rsidRDefault="003E5501" w:rsidP="003E5501">
            <w:pPr>
              <w:pStyle w:val="TMGTableText"/>
            </w:pPr>
            <w:r w:rsidRPr="00877387">
              <w:rPr>
                <w:rFonts w:eastAsiaTheme="minorEastAsia"/>
              </w:rPr>
              <w:t>Direction of Travel (D</w:t>
            </w:r>
            <w:r>
              <w:rPr>
                <w:rFonts w:eastAsiaTheme="minorEastAsia"/>
              </w:rPr>
              <w:t>IR</w:t>
            </w:r>
            <w:r w:rsidRPr="00877387">
              <w:rPr>
                <w:rFonts w:eastAsiaTheme="minorEastAsia"/>
              </w:rPr>
              <w:t>)</w:t>
            </w:r>
          </w:p>
        </w:tc>
        <w:tc>
          <w:tcPr>
            <w:tcW w:w="1486" w:type="dxa"/>
          </w:tcPr>
          <w:p w14:paraId="0DC1D2C5" w14:textId="0DC3B5F7" w:rsidR="003E5501" w:rsidRPr="004859C8" w:rsidRDefault="003E5501" w:rsidP="00B71607">
            <w:pPr>
              <w:pStyle w:val="TMGTableText"/>
              <w:jc w:val="center"/>
            </w:pPr>
            <w:r w:rsidRPr="00C402A0">
              <w:rPr>
                <w:rFonts w:eastAsiaTheme="minorEastAsia"/>
              </w:rPr>
              <w:t>Integer</w:t>
            </w:r>
          </w:p>
        </w:tc>
        <w:tc>
          <w:tcPr>
            <w:tcW w:w="1692" w:type="dxa"/>
          </w:tcPr>
          <w:p w14:paraId="5FBF8FB4" w14:textId="28288937" w:rsidR="003E5501" w:rsidRPr="00C251E9" w:rsidRDefault="003E5501" w:rsidP="00B71607">
            <w:pPr>
              <w:pStyle w:val="TMGTableText"/>
              <w:jc w:val="center"/>
            </w:pPr>
            <w:r>
              <w:rPr>
                <w:rFonts w:eastAsiaTheme="minorEastAsia"/>
              </w:rPr>
              <w:t>Required</w:t>
            </w:r>
          </w:p>
        </w:tc>
      </w:tr>
      <w:tr w:rsidR="003E5501" w14:paraId="35342A2D" w14:textId="77777777" w:rsidTr="008A6793">
        <w:trPr>
          <w:jc w:val="center"/>
        </w:trPr>
        <w:tc>
          <w:tcPr>
            <w:tcW w:w="715" w:type="dxa"/>
          </w:tcPr>
          <w:p w14:paraId="2FA27709" w14:textId="3624DD92" w:rsidR="003E5501" w:rsidRPr="00C251E9" w:rsidRDefault="003E5501" w:rsidP="003E5501">
            <w:pPr>
              <w:pStyle w:val="TMGTableText"/>
              <w:ind w:left="0" w:right="144"/>
              <w:jc w:val="right"/>
              <w:rPr>
                <w:b/>
                <w:bCs/>
              </w:rPr>
            </w:pPr>
            <w:r w:rsidRPr="00877387">
              <w:rPr>
                <w:rFonts w:eastAsiaTheme="minorEastAsia"/>
              </w:rPr>
              <w:t>5</w:t>
            </w:r>
          </w:p>
        </w:tc>
        <w:tc>
          <w:tcPr>
            <w:tcW w:w="900" w:type="dxa"/>
          </w:tcPr>
          <w:p w14:paraId="06BD5516" w14:textId="3F54F4AB" w:rsidR="003E5501" w:rsidRPr="004859C8" w:rsidRDefault="003E5501" w:rsidP="003E5501">
            <w:pPr>
              <w:pStyle w:val="TMGTableText"/>
              <w:jc w:val="center"/>
            </w:pPr>
            <w:r w:rsidRPr="00877387">
              <w:rPr>
                <w:rFonts w:eastAsiaTheme="minorEastAsia"/>
              </w:rPr>
              <w:t>11</w:t>
            </w:r>
          </w:p>
        </w:tc>
        <w:tc>
          <w:tcPr>
            <w:tcW w:w="1080" w:type="dxa"/>
          </w:tcPr>
          <w:p w14:paraId="2875E50A" w14:textId="393B1AAA" w:rsidR="003E5501" w:rsidRPr="004859C8" w:rsidRDefault="003E5501" w:rsidP="003E5501">
            <w:pPr>
              <w:pStyle w:val="TMGTableText"/>
              <w:jc w:val="center"/>
            </w:pPr>
            <w:r w:rsidRPr="00877387">
              <w:rPr>
                <w:rFonts w:eastAsiaTheme="minorEastAsia"/>
              </w:rPr>
              <w:t>1</w:t>
            </w:r>
          </w:p>
        </w:tc>
        <w:tc>
          <w:tcPr>
            <w:tcW w:w="3487" w:type="dxa"/>
          </w:tcPr>
          <w:p w14:paraId="4DE08560" w14:textId="2B7ABDBB" w:rsidR="003E5501" w:rsidRPr="004859C8" w:rsidRDefault="003E5501" w:rsidP="003E5501">
            <w:pPr>
              <w:pStyle w:val="TMGTableText"/>
            </w:pPr>
            <w:r w:rsidRPr="00877387">
              <w:rPr>
                <w:rFonts w:eastAsiaTheme="minorEastAsia"/>
              </w:rPr>
              <w:t>Lane of Travel (L</w:t>
            </w:r>
            <w:r>
              <w:rPr>
                <w:rFonts w:eastAsiaTheme="minorEastAsia"/>
              </w:rPr>
              <w:t>N</w:t>
            </w:r>
            <w:r w:rsidRPr="00877387">
              <w:rPr>
                <w:rFonts w:eastAsiaTheme="minorEastAsia"/>
              </w:rPr>
              <w:t>)</w:t>
            </w:r>
          </w:p>
        </w:tc>
        <w:tc>
          <w:tcPr>
            <w:tcW w:w="1486" w:type="dxa"/>
          </w:tcPr>
          <w:p w14:paraId="39699E6C" w14:textId="1ECD7DD6" w:rsidR="003E5501" w:rsidRPr="004859C8" w:rsidRDefault="003E5501" w:rsidP="00B71607">
            <w:pPr>
              <w:pStyle w:val="TMGTableText"/>
              <w:jc w:val="center"/>
            </w:pPr>
            <w:r w:rsidRPr="00916254">
              <w:rPr>
                <w:rFonts w:eastAsiaTheme="minorEastAsia"/>
              </w:rPr>
              <w:t>Integer</w:t>
            </w:r>
          </w:p>
        </w:tc>
        <w:tc>
          <w:tcPr>
            <w:tcW w:w="1692" w:type="dxa"/>
          </w:tcPr>
          <w:p w14:paraId="23EF7A51" w14:textId="4C61387C" w:rsidR="003E5501" w:rsidRPr="00C251E9" w:rsidRDefault="003E5501" w:rsidP="00B71607">
            <w:pPr>
              <w:pStyle w:val="TMGTableText"/>
              <w:jc w:val="center"/>
            </w:pPr>
            <w:r>
              <w:rPr>
                <w:rFonts w:eastAsiaTheme="minorEastAsia"/>
              </w:rPr>
              <w:t>Required</w:t>
            </w:r>
          </w:p>
        </w:tc>
      </w:tr>
      <w:tr w:rsidR="003E5501" w14:paraId="41AD9D40" w14:textId="77777777" w:rsidTr="008A6793">
        <w:trPr>
          <w:jc w:val="center"/>
        </w:trPr>
        <w:tc>
          <w:tcPr>
            <w:tcW w:w="715" w:type="dxa"/>
          </w:tcPr>
          <w:p w14:paraId="2D42D565" w14:textId="48C0BA4C" w:rsidR="003E5501" w:rsidRPr="00C251E9" w:rsidRDefault="003E5501" w:rsidP="003E5501">
            <w:pPr>
              <w:pStyle w:val="TMGTableText"/>
              <w:ind w:left="0" w:right="144"/>
              <w:jc w:val="right"/>
              <w:rPr>
                <w:b/>
                <w:bCs/>
              </w:rPr>
            </w:pPr>
            <w:r w:rsidRPr="00877387">
              <w:rPr>
                <w:rFonts w:eastAsiaTheme="minorEastAsia"/>
              </w:rPr>
              <w:t>6</w:t>
            </w:r>
          </w:p>
        </w:tc>
        <w:tc>
          <w:tcPr>
            <w:tcW w:w="900" w:type="dxa"/>
          </w:tcPr>
          <w:p w14:paraId="78013D62" w14:textId="24B7D9DE" w:rsidR="003E5501" w:rsidRPr="004859C8" w:rsidRDefault="003E5501" w:rsidP="003E5501">
            <w:pPr>
              <w:pStyle w:val="TMGTableText"/>
              <w:jc w:val="center"/>
            </w:pPr>
            <w:r>
              <w:rPr>
                <w:rFonts w:eastAsiaTheme="minorEastAsia"/>
              </w:rPr>
              <w:t>1</w:t>
            </w:r>
            <w:r w:rsidRPr="00877387">
              <w:rPr>
                <w:rFonts w:eastAsiaTheme="minorEastAsia"/>
              </w:rPr>
              <w:t>2-15</w:t>
            </w:r>
          </w:p>
        </w:tc>
        <w:tc>
          <w:tcPr>
            <w:tcW w:w="1080" w:type="dxa"/>
          </w:tcPr>
          <w:p w14:paraId="629CD38F" w14:textId="3C2DCE79" w:rsidR="003E5501" w:rsidRPr="004859C8" w:rsidRDefault="003E5501" w:rsidP="003E5501">
            <w:pPr>
              <w:pStyle w:val="TMGTableText"/>
              <w:jc w:val="center"/>
            </w:pPr>
            <w:r w:rsidRPr="00877387">
              <w:rPr>
                <w:rFonts w:eastAsiaTheme="minorEastAsia"/>
              </w:rPr>
              <w:t>4</w:t>
            </w:r>
          </w:p>
        </w:tc>
        <w:tc>
          <w:tcPr>
            <w:tcW w:w="3487" w:type="dxa"/>
          </w:tcPr>
          <w:p w14:paraId="356CF1A3" w14:textId="4456D3F8" w:rsidR="003E5501" w:rsidRPr="004859C8" w:rsidRDefault="003E5501" w:rsidP="003E5501">
            <w:pPr>
              <w:pStyle w:val="TMGTableText"/>
            </w:pPr>
            <w:r w:rsidRPr="00877387">
              <w:rPr>
                <w:rFonts w:eastAsiaTheme="minorEastAsia"/>
              </w:rPr>
              <w:t>Year of Data (YR)</w:t>
            </w:r>
          </w:p>
        </w:tc>
        <w:tc>
          <w:tcPr>
            <w:tcW w:w="1486" w:type="dxa"/>
          </w:tcPr>
          <w:p w14:paraId="2F7EC824" w14:textId="520EAD08" w:rsidR="003E5501" w:rsidRPr="004859C8" w:rsidRDefault="003E5501" w:rsidP="00B71607">
            <w:pPr>
              <w:pStyle w:val="TMGTableText"/>
              <w:jc w:val="center"/>
            </w:pPr>
            <w:r w:rsidRPr="00916254">
              <w:rPr>
                <w:rFonts w:eastAsiaTheme="minorEastAsia"/>
              </w:rPr>
              <w:t>Integer</w:t>
            </w:r>
          </w:p>
        </w:tc>
        <w:tc>
          <w:tcPr>
            <w:tcW w:w="1692" w:type="dxa"/>
          </w:tcPr>
          <w:p w14:paraId="2DD0E352" w14:textId="1810E0E1" w:rsidR="003E5501" w:rsidRPr="00C251E9" w:rsidRDefault="003E5501" w:rsidP="00B71607">
            <w:pPr>
              <w:pStyle w:val="TMGTableText"/>
              <w:jc w:val="center"/>
            </w:pPr>
            <w:r>
              <w:rPr>
                <w:rFonts w:eastAsiaTheme="minorEastAsia"/>
              </w:rPr>
              <w:t>Required</w:t>
            </w:r>
          </w:p>
        </w:tc>
      </w:tr>
      <w:tr w:rsidR="003E5501" w14:paraId="2C8A2FEC" w14:textId="77777777" w:rsidTr="008A6793">
        <w:trPr>
          <w:jc w:val="center"/>
        </w:trPr>
        <w:tc>
          <w:tcPr>
            <w:tcW w:w="715" w:type="dxa"/>
          </w:tcPr>
          <w:p w14:paraId="3C767FA2" w14:textId="5A8FCA77" w:rsidR="003E5501" w:rsidRPr="00C251E9" w:rsidRDefault="003E5501" w:rsidP="003E5501">
            <w:pPr>
              <w:pStyle w:val="TMGTableText"/>
              <w:ind w:left="0" w:right="144"/>
              <w:jc w:val="right"/>
              <w:rPr>
                <w:b/>
                <w:bCs/>
              </w:rPr>
            </w:pPr>
            <w:r w:rsidRPr="00877387">
              <w:rPr>
                <w:rFonts w:eastAsiaTheme="minorEastAsia"/>
              </w:rPr>
              <w:t>7</w:t>
            </w:r>
          </w:p>
        </w:tc>
        <w:tc>
          <w:tcPr>
            <w:tcW w:w="900" w:type="dxa"/>
          </w:tcPr>
          <w:p w14:paraId="290B4C75" w14:textId="59570FF2" w:rsidR="003E5501" w:rsidRPr="004859C8" w:rsidRDefault="003E5501" w:rsidP="003E5501">
            <w:pPr>
              <w:pStyle w:val="TMGTableText"/>
              <w:jc w:val="center"/>
            </w:pPr>
            <w:r w:rsidRPr="00877387">
              <w:rPr>
                <w:rFonts w:eastAsiaTheme="minorEastAsia"/>
              </w:rPr>
              <w:t>16-17</w:t>
            </w:r>
          </w:p>
        </w:tc>
        <w:tc>
          <w:tcPr>
            <w:tcW w:w="1080" w:type="dxa"/>
          </w:tcPr>
          <w:p w14:paraId="3180FFD8" w14:textId="7C0B9326" w:rsidR="003E5501" w:rsidRPr="004859C8" w:rsidRDefault="003E5501" w:rsidP="003E5501">
            <w:pPr>
              <w:pStyle w:val="TMGTableText"/>
              <w:jc w:val="center"/>
            </w:pPr>
            <w:r w:rsidRPr="00877387">
              <w:rPr>
                <w:rFonts w:eastAsiaTheme="minorEastAsia"/>
              </w:rPr>
              <w:t>2</w:t>
            </w:r>
          </w:p>
        </w:tc>
        <w:tc>
          <w:tcPr>
            <w:tcW w:w="3487" w:type="dxa"/>
          </w:tcPr>
          <w:p w14:paraId="3CE3C50E" w14:textId="631909A5" w:rsidR="003E5501" w:rsidRPr="004859C8" w:rsidRDefault="003E5501" w:rsidP="003E5501">
            <w:pPr>
              <w:pStyle w:val="TMGTableText"/>
            </w:pPr>
            <w:r w:rsidRPr="00877387">
              <w:rPr>
                <w:rFonts w:eastAsiaTheme="minorEastAsia"/>
              </w:rPr>
              <w:t>Month of Year (MOY)</w:t>
            </w:r>
          </w:p>
        </w:tc>
        <w:tc>
          <w:tcPr>
            <w:tcW w:w="1486" w:type="dxa"/>
          </w:tcPr>
          <w:p w14:paraId="090B7DC9" w14:textId="5293EE0F" w:rsidR="003E5501" w:rsidRPr="004859C8" w:rsidRDefault="003E5501" w:rsidP="00B71607">
            <w:pPr>
              <w:pStyle w:val="TMGTableText"/>
              <w:jc w:val="center"/>
            </w:pPr>
            <w:r w:rsidRPr="00916254">
              <w:rPr>
                <w:rFonts w:eastAsiaTheme="minorEastAsia"/>
              </w:rPr>
              <w:t>Integer</w:t>
            </w:r>
          </w:p>
        </w:tc>
        <w:tc>
          <w:tcPr>
            <w:tcW w:w="1692" w:type="dxa"/>
          </w:tcPr>
          <w:p w14:paraId="18E53760" w14:textId="10209D9A" w:rsidR="003E5501" w:rsidRPr="00C251E9" w:rsidRDefault="003E5501" w:rsidP="00B71607">
            <w:pPr>
              <w:pStyle w:val="TMGTableText"/>
              <w:jc w:val="center"/>
            </w:pPr>
            <w:r>
              <w:rPr>
                <w:rFonts w:eastAsiaTheme="minorEastAsia"/>
              </w:rPr>
              <w:t>Required</w:t>
            </w:r>
          </w:p>
        </w:tc>
      </w:tr>
      <w:tr w:rsidR="003E5501" w14:paraId="5499F86A" w14:textId="77777777" w:rsidTr="008A6793">
        <w:trPr>
          <w:jc w:val="center"/>
        </w:trPr>
        <w:tc>
          <w:tcPr>
            <w:tcW w:w="715" w:type="dxa"/>
          </w:tcPr>
          <w:p w14:paraId="4C5D469A" w14:textId="4E4AE2DA" w:rsidR="003E5501" w:rsidRPr="00C251E9" w:rsidRDefault="003E5501" w:rsidP="003E5501">
            <w:pPr>
              <w:pStyle w:val="TMGTableText"/>
              <w:ind w:left="0" w:right="144"/>
              <w:jc w:val="right"/>
              <w:rPr>
                <w:b/>
                <w:bCs/>
              </w:rPr>
            </w:pPr>
            <w:r w:rsidRPr="00877387">
              <w:rPr>
                <w:rFonts w:eastAsiaTheme="minorEastAsia"/>
              </w:rPr>
              <w:t>8</w:t>
            </w:r>
          </w:p>
        </w:tc>
        <w:tc>
          <w:tcPr>
            <w:tcW w:w="900" w:type="dxa"/>
          </w:tcPr>
          <w:p w14:paraId="316A61EE" w14:textId="29EDB118" w:rsidR="003E5501" w:rsidRPr="004859C8" w:rsidRDefault="003E5501" w:rsidP="003E5501">
            <w:pPr>
              <w:pStyle w:val="TMGTableText"/>
              <w:jc w:val="center"/>
            </w:pPr>
            <w:r w:rsidRPr="00877387">
              <w:rPr>
                <w:rFonts w:eastAsiaTheme="minorEastAsia"/>
              </w:rPr>
              <w:t>18-19</w:t>
            </w:r>
          </w:p>
        </w:tc>
        <w:tc>
          <w:tcPr>
            <w:tcW w:w="1080" w:type="dxa"/>
          </w:tcPr>
          <w:p w14:paraId="593BB516" w14:textId="1EAFAEC7" w:rsidR="003E5501" w:rsidRPr="004859C8" w:rsidRDefault="003E5501" w:rsidP="003E5501">
            <w:pPr>
              <w:pStyle w:val="TMGTableText"/>
              <w:jc w:val="center"/>
            </w:pPr>
            <w:r w:rsidRPr="00877387">
              <w:rPr>
                <w:rFonts w:eastAsiaTheme="minorEastAsia"/>
              </w:rPr>
              <w:t>2</w:t>
            </w:r>
          </w:p>
        </w:tc>
        <w:tc>
          <w:tcPr>
            <w:tcW w:w="3487" w:type="dxa"/>
          </w:tcPr>
          <w:p w14:paraId="629EEDB9" w14:textId="54D0BF97" w:rsidR="003E5501" w:rsidRPr="004859C8" w:rsidRDefault="003E5501" w:rsidP="003E5501">
            <w:pPr>
              <w:pStyle w:val="TMGTableText"/>
            </w:pPr>
            <w:r w:rsidRPr="00877387">
              <w:rPr>
                <w:rFonts w:eastAsiaTheme="minorEastAsia"/>
              </w:rPr>
              <w:t>Day of Month (DOM)</w:t>
            </w:r>
          </w:p>
        </w:tc>
        <w:tc>
          <w:tcPr>
            <w:tcW w:w="1486" w:type="dxa"/>
          </w:tcPr>
          <w:p w14:paraId="0612BF28" w14:textId="6752DFA4" w:rsidR="003E5501" w:rsidRPr="004859C8" w:rsidRDefault="003E5501" w:rsidP="00B71607">
            <w:pPr>
              <w:pStyle w:val="TMGTableText"/>
              <w:jc w:val="center"/>
            </w:pPr>
            <w:r w:rsidRPr="00916254">
              <w:rPr>
                <w:rFonts w:eastAsiaTheme="minorEastAsia"/>
              </w:rPr>
              <w:t>Integer</w:t>
            </w:r>
          </w:p>
        </w:tc>
        <w:tc>
          <w:tcPr>
            <w:tcW w:w="1692" w:type="dxa"/>
          </w:tcPr>
          <w:p w14:paraId="183C190E" w14:textId="715A83F9" w:rsidR="003E5501" w:rsidRPr="00C251E9" w:rsidRDefault="003E5501" w:rsidP="00B71607">
            <w:pPr>
              <w:pStyle w:val="TMGTableText"/>
              <w:jc w:val="center"/>
            </w:pPr>
            <w:r>
              <w:rPr>
                <w:rFonts w:eastAsiaTheme="minorEastAsia"/>
              </w:rPr>
              <w:t>Required</w:t>
            </w:r>
          </w:p>
        </w:tc>
      </w:tr>
      <w:tr w:rsidR="003E5501" w14:paraId="0CDB03A4" w14:textId="77777777" w:rsidTr="008A6793">
        <w:trPr>
          <w:jc w:val="center"/>
        </w:trPr>
        <w:tc>
          <w:tcPr>
            <w:tcW w:w="715" w:type="dxa"/>
          </w:tcPr>
          <w:p w14:paraId="31DBDB8B" w14:textId="3885C8CA" w:rsidR="003E5501" w:rsidRPr="00C251E9" w:rsidRDefault="003E5501" w:rsidP="003E5501">
            <w:pPr>
              <w:pStyle w:val="TMGTableText"/>
              <w:ind w:left="0" w:right="144"/>
              <w:jc w:val="right"/>
              <w:rPr>
                <w:b/>
                <w:bCs/>
              </w:rPr>
            </w:pPr>
            <w:r w:rsidRPr="00877387">
              <w:rPr>
                <w:rFonts w:eastAsiaTheme="minorEastAsia"/>
              </w:rPr>
              <w:t>9</w:t>
            </w:r>
          </w:p>
        </w:tc>
        <w:tc>
          <w:tcPr>
            <w:tcW w:w="900" w:type="dxa"/>
          </w:tcPr>
          <w:p w14:paraId="5A821F96" w14:textId="7F74C56C" w:rsidR="003E5501" w:rsidRPr="004859C8" w:rsidRDefault="003E5501" w:rsidP="003E5501">
            <w:pPr>
              <w:pStyle w:val="TMGTableText"/>
              <w:jc w:val="center"/>
            </w:pPr>
            <w:r w:rsidRPr="00877387">
              <w:rPr>
                <w:rFonts w:eastAsiaTheme="minorEastAsia"/>
              </w:rPr>
              <w:t>20-21</w:t>
            </w:r>
          </w:p>
        </w:tc>
        <w:tc>
          <w:tcPr>
            <w:tcW w:w="1080" w:type="dxa"/>
          </w:tcPr>
          <w:p w14:paraId="4D02B142" w14:textId="3DC6AA7C" w:rsidR="003E5501" w:rsidRPr="004859C8" w:rsidRDefault="003E5501" w:rsidP="003E5501">
            <w:pPr>
              <w:pStyle w:val="TMGTableText"/>
              <w:jc w:val="center"/>
            </w:pPr>
            <w:r w:rsidRPr="00877387">
              <w:rPr>
                <w:rFonts w:eastAsiaTheme="minorEastAsia"/>
              </w:rPr>
              <w:t>2</w:t>
            </w:r>
          </w:p>
        </w:tc>
        <w:tc>
          <w:tcPr>
            <w:tcW w:w="3487" w:type="dxa"/>
          </w:tcPr>
          <w:p w14:paraId="7B56FCCD" w14:textId="09872068" w:rsidR="003E5501" w:rsidRPr="004859C8" w:rsidRDefault="003E5501" w:rsidP="003E5501">
            <w:pPr>
              <w:pStyle w:val="TMGTableText"/>
            </w:pPr>
            <w:r w:rsidRPr="00877387">
              <w:rPr>
                <w:rFonts w:eastAsiaTheme="minorEastAsia"/>
              </w:rPr>
              <w:t>Hour of Day (HOD)</w:t>
            </w:r>
          </w:p>
        </w:tc>
        <w:tc>
          <w:tcPr>
            <w:tcW w:w="1486" w:type="dxa"/>
          </w:tcPr>
          <w:p w14:paraId="532D3DC8" w14:textId="1FF2E297" w:rsidR="003E5501" w:rsidRPr="004859C8" w:rsidRDefault="003E5501" w:rsidP="00B71607">
            <w:pPr>
              <w:pStyle w:val="TMGTableText"/>
              <w:jc w:val="center"/>
            </w:pPr>
            <w:r w:rsidRPr="00916254">
              <w:rPr>
                <w:rFonts w:eastAsiaTheme="minorEastAsia"/>
              </w:rPr>
              <w:t>Integer</w:t>
            </w:r>
          </w:p>
        </w:tc>
        <w:tc>
          <w:tcPr>
            <w:tcW w:w="1692" w:type="dxa"/>
          </w:tcPr>
          <w:p w14:paraId="09A7FE7F" w14:textId="43EB8629" w:rsidR="003E5501" w:rsidRPr="00C251E9" w:rsidRDefault="003E5501" w:rsidP="00B71607">
            <w:pPr>
              <w:pStyle w:val="TMGTableText"/>
              <w:jc w:val="center"/>
            </w:pPr>
            <w:r>
              <w:rPr>
                <w:rFonts w:eastAsiaTheme="minorEastAsia"/>
              </w:rPr>
              <w:t>Required</w:t>
            </w:r>
          </w:p>
        </w:tc>
      </w:tr>
      <w:tr w:rsidR="003E5501" w14:paraId="5B8DFF35" w14:textId="77777777" w:rsidTr="008A6793">
        <w:trPr>
          <w:jc w:val="center"/>
        </w:trPr>
        <w:tc>
          <w:tcPr>
            <w:tcW w:w="715" w:type="dxa"/>
          </w:tcPr>
          <w:p w14:paraId="49275237" w14:textId="3D869B6D" w:rsidR="003E5501" w:rsidRPr="00C251E9" w:rsidRDefault="003E5501" w:rsidP="003E5501">
            <w:pPr>
              <w:pStyle w:val="TMGTableText"/>
              <w:ind w:left="0" w:right="144"/>
              <w:jc w:val="right"/>
              <w:rPr>
                <w:b/>
                <w:bCs/>
              </w:rPr>
            </w:pPr>
            <w:r w:rsidRPr="00877387">
              <w:rPr>
                <w:rFonts w:eastAsiaTheme="minorEastAsia"/>
              </w:rPr>
              <w:t>10</w:t>
            </w:r>
          </w:p>
        </w:tc>
        <w:tc>
          <w:tcPr>
            <w:tcW w:w="900" w:type="dxa"/>
          </w:tcPr>
          <w:p w14:paraId="0489E532" w14:textId="700577D7" w:rsidR="003E5501" w:rsidRPr="004859C8" w:rsidRDefault="003E5501" w:rsidP="003E5501">
            <w:pPr>
              <w:pStyle w:val="TMGTableText"/>
              <w:jc w:val="center"/>
            </w:pPr>
            <w:r w:rsidRPr="00877387">
              <w:rPr>
                <w:rFonts w:eastAsiaTheme="minorEastAsia"/>
              </w:rPr>
              <w:t>22-23</w:t>
            </w:r>
          </w:p>
        </w:tc>
        <w:tc>
          <w:tcPr>
            <w:tcW w:w="1080" w:type="dxa"/>
          </w:tcPr>
          <w:p w14:paraId="392A6124" w14:textId="1CD36BBE" w:rsidR="003E5501" w:rsidRPr="004859C8" w:rsidRDefault="003E5501" w:rsidP="003E5501">
            <w:pPr>
              <w:pStyle w:val="TMGTableText"/>
              <w:jc w:val="center"/>
            </w:pPr>
            <w:r w:rsidRPr="00877387">
              <w:rPr>
                <w:rFonts w:eastAsiaTheme="minorEastAsia"/>
              </w:rPr>
              <w:t>2</w:t>
            </w:r>
          </w:p>
        </w:tc>
        <w:tc>
          <w:tcPr>
            <w:tcW w:w="3487" w:type="dxa"/>
          </w:tcPr>
          <w:p w14:paraId="29DD81D7" w14:textId="75D91C94" w:rsidR="003E5501" w:rsidRPr="004859C8" w:rsidRDefault="003E5501" w:rsidP="003E5501">
            <w:pPr>
              <w:pStyle w:val="TMGTableText"/>
            </w:pPr>
            <w:r w:rsidRPr="00877387">
              <w:rPr>
                <w:rFonts w:eastAsiaTheme="minorEastAsia"/>
              </w:rPr>
              <w:t>Minute of Hour (MOH)</w:t>
            </w:r>
          </w:p>
        </w:tc>
        <w:tc>
          <w:tcPr>
            <w:tcW w:w="1486" w:type="dxa"/>
          </w:tcPr>
          <w:p w14:paraId="31CACDD4" w14:textId="252A61B0" w:rsidR="003E5501" w:rsidRPr="004859C8" w:rsidRDefault="003E5501" w:rsidP="00B71607">
            <w:pPr>
              <w:pStyle w:val="TMGTableText"/>
              <w:jc w:val="center"/>
            </w:pPr>
            <w:r w:rsidRPr="00916254">
              <w:rPr>
                <w:rFonts w:eastAsiaTheme="minorEastAsia"/>
              </w:rPr>
              <w:t>Integer</w:t>
            </w:r>
          </w:p>
        </w:tc>
        <w:tc>
          <w:tcPr>
            <w:tcW w:w="1692" w:type="dxa"/>
          </w:tcPr>
          <w:p w14:paraId="4C4704BF" w14:textId="65F26398" w:rsidR="003E5501" w:rsidRPr="00C251E9" w:rsidRDefault="003E5501" w:rsidP="00B71607">
            <w:pPr>
              <w:pStyle w:val="TMGTableText"/>
              <w:jc w:val="center"/>
            </w:pPr>
            <w:r>
              <w:rPr>
                <w:rFonts w:eastAsiaTheme="minorEastAsia"/>
              </w:rPr>
              <w:t>Required</w:t>
            </w:r>
          </w:p>
        </w:tc>
      </w:tr>
      <w:tr w:rsidR="003E5501" w14:paraId="338D7A83" w14:textId="77777777" w:rsidTr="008A6793">
        <w:trPr>
          <w:jc w:val="center"/>
        </w:trPr>
        <w:tc>
          <w:tcPr>
            <w:tcW w:w="715" w:type="dxa"/>
          </w:tcPr>
          <w:p w14:paraId="71847CB4" w14:textId="1EE3A313" w:rsidR="003E5501" w:rsidRPr="00C251E9" w:rsidRDefault="003E5501" w:rsidP="003E5501">
            <w:pPr>
              <w:pStyle w:val="TMGTableText"/>
              <w:ind w:left="0" w:right="144"/>
              <w:jc w:val="right"/>
              <w:rPr>
                <w:b/>
                <w:bCs/>
              </w:rPr>
            </w:pPr>
            <w:r w:rsidRPr="00877387">
              <w:rPr>
                <w:rFonts w:eastAsiaTheme="minorEastAsia"/>
              </w:rPr>
              <w:t>11</w:t>
            </w:r>
          </w:p>
        </w:tc>
        <w:tc>
          <w:tcPr>
            <w:tcW w:w="900" w:type="dxa"/>
          </w:tcPr>
          <w:p w14:paraId="02B0E72D" w14:textId="1DF3D61D" w:rsidR="003E5501" w:rsidRPr="004859C8" w:rsidRDefault="003E5501" w:rsidP="003E5501">
            <w:pPr>
              <w:pStyle w:val="TMGTableText"/>
              <w:jc w:val="center"/>
            </w:pPr>
            <w:r w:rsidRPr="00877387">
              <w:rPr>
                <w:rFonts w:eastAsiaTheme="minorEastAsia"/>
              </w:rPr>
              <w:t>24-25</w:t>
            </w:r>
          </w:p>
        </w:tc>
        <w:tc>
          <w:tcPr>
            <w:tcW w:w="1080" w:type="dxa"/>
          </w:tcPr>
          <w:p w14:paraId="57A15E78" w14:textId="2E69D194" w:rsidR="003E5501" w:rsidRPr="004859C8" w:rsidRDefault="003E5501" w:rsidP="003E5501">
            <w:pPr>
              <w:pStyle w:val="TMGTableText"/>
              <w:jc w:val="center"/>
            </w:pPr>
            <w:r w:rsidRPr="00877387">
              <w:rPr>
                <w:rFonts w:eastAsiaTheme="minorEastAsia"/>
              </w:rPr>
              <w:t>2</w:t>
            </w:r>
          </w:p>
        </w:tc>
        <w:tc>
          <w:tcPr>
            <w:tcW w:w="3487" w:type="dxa"/>
          </w:tcPr>
          <w:p w14:paraId="64B2197B" w14:textId="2C99F9B4" w:rsidR="003E5501" w:rsidRPr="004859C8" w:rsidRDefault="003E5501" w:rsidP="003E5501">
            <w:pPr>
              <w:pStyle w:val="TMGTableText"/>
            </w:pPr>
            <w:r>
              <w:rPr>
                <w:rFonts w:eastAsiaTheme="minorEastAsia"/>
              </w:rPr>
              <w:t>S</w:t>
            </w:r>
            <w:r w:rsidRPr="00877387">
              <w:rPr>
                <w:rFonts w:eastAsiaTheme="minorEastAsia"/>
              </w:rPr>
              <w:t>econd of Minute (SOM)</w:t>
            </w:r>
          </w:p>
        </w:tc>
        <w:tc>
          <w:tcPr>
            <w:tcW w:w="1486" w:type="dxa"/>
          </w:tcPr>
          <w:p w14:paraId="1F886624" w14:textId="2A0D2730" w:rsidR="003E5501" w:rsidRPr="004859C8" w:rsidRDefault="003E5501" w:rsidP="00B71607">
            <w:pPr>
              <w:pStyle w:val="TMGTableText"/>
              <w:jc w:val="center"/>
            </w:pPr>
            <w:r w:rsidRPr="00916254">
              <w:rPr>
                <w:rFonts w:eastAsiaTheme="minorEastAsia"/>
              </w:rPr>
              <w:t>Integer</w:t>
            </w:r>
          </w:p>
        </w:tc>
        <w:tc>
          <w:tcPr>
            <w:tcW w:w="1692" w:type="dxa"/>
          </w:tcPr>
          <w:p w14:paraId="4EC3407A" w14:textId="55A52A23" w:rsidR="003E5501" w:rsidRPr="00C251E9" w:rsidRDefault="003E5501" w:rsidP="00B71607">
            <w:pPr>
              <w:pStyle w:val="TMGTableText"/>
              <w:jc w:val="center"/>
            </w:pPr>
            <w:r>
              <w:rPr>
                <w:rFonts w:eastAsiaTheme="minorEastAsia"/>
              </w:rPr>
              <w:t>Required</w:t>
            </w:r>
          </w:p>
        </w:tc>
      </w:tr>
      <w:tr w:rsidR="003E5501" w14:paraId="263A69EE" w14:textId="77777777" w:rsidTr="008A6793">
        <w:trPr>
          <w:jc w:val="center"/>
        </w:trPr>
        <w:tc>
          <w:tcPr>
            <w:tcW w:w="715" w:type="dxa"/>
          </w:tcPr>
          <w:p w14:paraId="55A1C689" w14:textId="3C4E686B" w:rsidR="003E5501" w:rsidRPr="00C251E9" w:rsidRDefault="003E5501" w:rsidP="003E5501">
            <w:pPr>
              <w:pStyle w:val="TMGTableText"/>
              <w:ind w:left="0" w:right="144"/>
              <w:jc w:val="right"/>
              <w:rPr>
                <w:b/>
                <w:bCs/>
              </w:rPr>
            </w:pPr>
            <w:r w:rsidRPr="00877387">
              <w:rPr>
                <w:rFonts w:eastAsiaTheme="minorEastAsia"/>
              </w:rPr>
              <w:t>12</w:t>
            </w:r>
          </w:p>
        </w:tc>
        <w:tc>
          <w:tcPr>
            <w:tcW w:w="900" w:type="dxa"/>
          </w:tcPr>
          <w:p w14:paraId="3A4A5288" w14:textId="27089356" w:rsidR="003E5501" w:rsidRPr="004859C8" w:rsidRDefault="003E5501" w:rsidP="003E5501">
            <w:pPr>
              <w:pStyle w:val="TMGTableText"/>
              <w:jc w:val="center"/>
            </w:pPr>
            <w:r w:rsidRPr="00877387">
              <w:rPr>
                <w:rFonts w:eastAsiaTheme="minorEastAsia"/>
              </w:rPr>
              <w:t>26-27</w:t>
            </w:r>
          </w:p>
        </w:tc>
        <w:tc>
          <w:tcPr>
            <w:tcW w:w="1080" w:type="dxa"/>
          </w:tcPr>
          <w:p w14:paraId="504D004D" w14:textId="0F090224" w:rsidR="003E5501" w:rsidRPr="004859C8" w:rsidRDefault="003E5501" w:rsidP="003E5501">
            <w:pPr>
              <w:pStyle w:val="TMGTableText"/>
              <w:jc w:val="center"/>
            </w:pPr>
            <w:r w:rsidRPr="00877387">
              <w:rPr>
                <w:rFonts w:eastAsiaTheme="minorEastAsia"/>
              </w:rPr>
              <w:t>2</w:t>
            </w:r>
          </w:p>
        </w:tc>
        <w:tc>
          <w:tcPr>
            <w:tcW w:w="3487" w:type="dxa"/>
          </w:tcPr>
          <w:p w14:paraId="35115C18" w14:textId="67A3E5E2" w:rsidR="003E5501" w:rsidRPr="004859C8" w:rsidRDefault="003E5501" w:rsidP="003E5501">
            <w:pPr>
              <w:pStyle w:val="TMGTableText"/>
            </w:pPr>
            <w:r w:rsidRPr="00877387">
              <w:rPr>
                <w:rFonts w:eastAsiaTheme="minorEastAsia"/>
              </w:rPr>
              <w:t>Sub Second of Second (SSOS)</w:t>
            </w:r>
          </w:p>
        </w:tc>
        <w:tc>
          <w:tcPr>
            <w:tcW w:w="1486" w:type="dxa"/>
          </w:tcPr>
          <w:p w14:paraId="7606E18D" w14:textId="15B701E5" w:rsidR="003E5501" w:rsidRPr="004859C8" w:rsidRDefault="003E5501" w:rsidP="00B71607">
            <w:pPr>
              <w:pStyle w:val="TMGTableText"/>
              <w:jc w:val="center"/>
            </w:pPr>
            <w:r w:rsidRPr="00916254">
              <w:rPr>
                <w:rFonts w:eastAsiaTheme="minorEastAsia"/>
              </w:rPr>
              <w:t>Integer</w:t>
            </w:r>
          </w:p>
        </w:tc>
        <w:tc>
          <w:tcPr>
            <w:tcW w:w="1692" w:type="dxa"/>
          </w:tcPr>
          <w:p w14:paraId="0107E074" w14:textId="28D06C29" w:rsidR="003E5501" w:rsidRPr="00C251E9" w:rsidRDefault="003E5501" w:rsidP="00B71607">
            <w:pPr>
              <w:pStyle w:val="TMGTableText"/>
              <w:jc w:val="center"/>
            </w:pPr>
            <w:r>
              <w:rPr>
                <w:rFonts w:eastAsiaTheme="minorEastAsia"/>
              </w:rPr>
              <w:t>Required</w:t>
            </w:r>
          </w:p>
        </w:tc>
      </w:tr>
      <w:tr w:rsidR="003E5501" w14:paraId="4FC9E391" w14:textId="77777777" w:rsidTr="008A6793">
        <w:trPr>
          <w:jc w:val="center"/>
        </w:trPr>
        <w:tc>
          <w:tcPr>
            <w:tcW w:w="715" w:type="dxa"/>
          </w:tcPr>
          <w:p w14:paraId="29FE943F" w14:textId="5ED21CB0" w:rsidR="003E5501" w:rsidRPr="00C251E9" w:rsidRDefault="003E5501" w:rsidP="003E5501">
            <w:pPr>
              <w:pStyle w:val="TMGTableText"/>
              <w:ind w:left="0" w:right="144"/>
              <w:jc w:val="right"/>
              <w:rPr>
                <w:b/>
                <w:bCs/>
              </w:rPr>
            </w:pPr>
            <w:r w:rsidRPr="00877387">
              <w:rPr>
                <w:rFonts w:eastAsiaTheme="minorEastAsia"/>
              </w:rPr>
              <w:t>13</w:t>
            </w:r>
          </w:p>
        </w:tc>
        <w:tc>
          <w:tcPr>
            <w:tcW w:w="900" w:type="dxa"/>
          </w:tcPr>
          <w:p w14:paraId="268A107D" w14:textId="3DA363D4" w:rsidR="003E5501" w:rsidRPr="004859C8" w:rsidRDefault="003E5501" w:rsidP="003E5501">
            <w:pPr>
              <w:pStyle w:val="TMGTableText"/>
              <w:jc w:val="center"/>
            </w:pPr>
            <w:r w:rsidRPr="00877387">
              <w:rPr>
                <w:rFonts w:eastAsiaTheme="minorEastAsia"/>
              </w:rPr>
              <w:t>28</w:t>
            </w:r>
          </w:p>
        </w:tc>
        <w:tc>
          <w:tcPr>
            <w:tcW w:w="1080" w:type="dxa"/>
          </w:tcPr>
          <w:p w14:paraId="19A75435" w14:textId="40399854" w:rsidR="003E5501" w:rsidRPr="004859C8" w:rsidRDefault="003E5501" w:rsidP="003E5501">
            <w:pPr>
              <w:pStyle w:val="TMGTableText"/>
              <w:jc w:val="center"/>
            </w:pPr>
            <w:r w:rsidRPr="00877387">
              <w:rPr>
                <w:rFonts w:eastAsiaTheme="minorEastAsia"/>
              </w:rPr>
              <w:t>1</w:t>
            </w:r>
          </w:p>
        </w:tc>
        <w:tc>
          <w:tcPr>
            <w:tcW w:w="3487" w:type="dxa"/>
          </w:tcPr>
          <w:p w14:paraId="43562758" w14:textId="768CDF99" w:rsidR="003E5501" w:rsidRPr="004859C8" w:rsidRDefault="003E5501" w:rsidP="003E5501">
            <w:pPr>
              <w:pStyle w:val="TMGTableText"/>
            </w:pPr>
            <w:r w:rsidRPr="00877387">
              <w:t>Type of Base Counting Device</w:t>
            </w:r>
            <w:r>
              <w:t xml:space="preserve"> (V)</w:t>
            </w:r>
          </w:p>
        </w:tc>
        <w:tc>
          <w:tcPr>
            <w:tcW w:w="1486" w:type="dxa"/>
          </w:tcPr>
          <w:p w14:paraId="5B3031FF" w14:textId="13268B38" w:rsidR="003E5501" w:rsidRPr="004859C8" w:rsidRDefault="003E5501" w:rsidP="00B71607">
            <w:pPr>
              <w:pStyle w:val="TMGTableText"/>
              <w:jc w:val="center"/>
            </w:pPr>
            <w:r w:rsidRPr="00BB62A5">
              <w:t>Alphanumeric</w:t>
            </w:r>
          </w:p>
        </w:tc>
        <w:tc>
          <w:tcPr>
            <w:tcW w:w="1692" w:type="dxa"/>
          </w:tcPr>
          <w:p w14:paraId="62FAEFAE" w14:textId="48B797B8" w:rsidR="003E5501" w:rsidRPr="00C251E9" w:rsidRDefault="003E5501" w:rsidP="00B71607">
            <w:pPr>
              <w:pStyle w:val="TMGTableText"/>
              <w:jc w:val="center"/>
            </w:pPr>
            <w:r>
              <w:rPr>
                <w:rFonts w:eastAsiaTheme="minorEastAsia"/>
              </w:rPr>
              <w:t>Required</w:t>
            </w:r>
          </w:p>
        </w:tc>
      </w:tr>
      <w:tr w:rsidR="003E5501" w14:paraId="3D7B6661" w14:textId="77777777" w:rsidTr="008A6793">
        <w:trPr>
          <w:jc w:val="center"/>
        </w:trPr>
        <w:tc>
          <w:tcPr>
            <w:tcW w:w="715" w:type="dxa"/>
          </w:tcPr>
          <w:p w14:paraId="40200472" w14:textId="46444669" w:rsidR="003E5501" w:rsidRPr="00C251E9" w:rsidRDefault="003E5501" w:rsidP="003E5501">
            <w:pPr>
              <w:pStyle w:val="TMGTableText"/>
              <w:ind w:left="0" w:right="144"/>
              <w:jc w:val="right"/>
              <w:rPr>
                <w:b/>
                <w:bCs/>
              </w:rPr>
            </w:pPr>
            <w:r w:rsidRPr="00877387">
              <w:rPr>
                <w:rFonts w:eastAsiaTheme="minorEastAsia"/>
              </w:rPr>
              <w:t>14</w:t>
            </w:r>
          </w:p>
        </w:tc>
        <w:tc>
          <w:tcPr>
            <w:tcW w:w="900" w:type="dxa"/>
          </w:tcPr>
          <w:p w14:paraId="27574E46" w14:textId="444DF872" w:rsidR="003E5501" w:rsidRPr="004859C8" w:rsidRDefault="003E5501" w:rsidP="003E5501">
            <w:pPr>
              <w:pStyle w:val="TMGTableText"/>
              <w:jc w:val="center"/>
            </w:pPr>
            <w:r w:rsidRPr="00877387">
              <w:rPr>
                <w:rFonts w:eastAsiaTheme="minorEastAsia"/>
              </w:rPr>
              <w:t>29-33</w:t>
            </w:r>
          </w:p>
        </w:tc>
        <w:tc>
          <w:tcPr>
            <w:tcW w:w="1080" w:type="dxa"/>
          </w:tcPr>
          <w:p w14:paraId="5B62AA7F" w14:textId="7E410022" w:rsidR="003E5501" w:rsidRPr="004859C8" w:rsidRDefault="003E5501" w:rsidP="003E5501">
            <w:pPr>
              <w:pStyle w:val="TMGTableText"/>
              <w:jc w:val="center"/>
            </w:pPr>
            <w:r w:rsidRPr="00877387">
              <w:rPr>
                <w:rFonts w:eastAsiaTheme="minorEastAsia"/>
              </w:rPr>
              <w:t>5</w:t>
            </w:r>
          </w:p>
        </w:tc>
        <w:tc>
          <w:tcPr>
            <w:tcW w:w="3487" w:type="dxa"/>
          </w:tcPr>
          <w:p w14:paraId="7333A685" w14:textId="1EAF0693" w:rsidR="003E5501" w:rsidRPr="004859C8" w:rsidRDefault="003E5501" w:rsidP="003E5501">
            <w:pPr>
              <w:pStyle w:val="TMGTableText"/>
            </w:pPr>
            <w:r w:rsidRPr="00877387">
              <w:rPr>
                <w:rFonts w:eastAsiaTheme="minorEastAsia"/>
              </w:rPr>
              <w:t>Vehicle Signature/Other Use (VS)</w:t>
            </w:r>
          </w:p>
        </w:tc>
        <w:tc>
          <w:tcPr>
            <w:tcW w:w="1486" w:type="dxa"/>
          </w:tcPr>
          <w:p w14:paraId="1F883B19" w14:textId="3B9BF05F" w:rsidR="003E5501" w:rsidRPr="004859C8" w:rsidRDefault="003E5501" w:rsidP="00B71607">
            <w:pPr>
              <w:pStyle w:val="TMGTableText"/>
              <w:jc w:val="center"/>
            </w:pPr>
            <w:r w:rsidRPr="00916254">
              <w:rPr>
                <w:rFonts w:eastAsiaTheme="minorEastAsia"/>
              </w:rPr>
              <w:t>Integer</w:t>
            </w:r>
          </w:p>
        </w:tc>
        <w:tc>
          <w:tcPr>
            <w:tcW w:w="1692" w:type="dxa"/>
          </w:tcPr>
          <w:p w14:paraId="484FEE72" w14:textId="6861447A" w:rsidR="003E5501" w:rsidRPr="00C251E9" w:rsidRDefault="003E5501" w:rsidP="00B71607">
            <w:pPr>
              <w:pStyle w:val="TMGTableText"/>
              <w:jc w:val="center"/>
            </w:pPr>
            <w:r w:rsidRPr="00877387">
              <w:rPr>
                <w:rFonts w:eastAsiaTheme="minorEastAsia"/>
              </w:rPr>
              <w:t>O</w:t>
            </w:r>
            <w:r>
              <w:rPr>
                <w:rFonts w:eastAsiaTheme="minorEastAsia"/>
              </w:rPr>
              <w:t>ptional</w:t>
            </w:r>
          </w:p>
        </w:tc>
      </w:tr>
    </w:tbl>
    <w:p w14:paraId="008F8B1C" w14:textId="6F7B392B" w:rsidR="009B7AED" w:rsidRDefault="009B7AED" w:rsidP="003D3F68">
      <w:pPr>
        <w:pStyle w:val="Source"/>
        <w:ind w:left="540" w:hanging="540"/>
      </w:pPr>
      <w:r>
        <w:t>Note:</w:t>
      </w:r>
      <w:r>
        <w:tab/>
        <w:t xml:space="preserve">Fields designated as </w:t>
      </w:r>
      <w:r>
        <w:rPr>
          <w:rStyle w:val="Italic"/>
          <w:iCs/>
        </w:rPr>
        <w:t>Required</w:t>
      </w:r>
      <w:r>
        <w:t xml:space="preserve"> must be reported.</w:t>
      </w:r>
    </w:p>
    <w:p w14:paraId="1DD8542A" w14:textId="77777777" w:rsidR="009B7AED" w:rsidRDefault="009B7AED" w:rsidP="003D3F68">
      <w:pPr>
        <w:pStyle w:val="Source"/>
        <w:ind w:left="540" w:hanging="540"/>
      </w:pPr>
      <w:r>
        <w:tab/>
        <w:t xml:space="preserve">Fields designated as </w:t>
      </w:r>
      <w:r>
        <w:rPr>
          <w:rStyle w:val="Italic"/>
          <w:iCs/>
        </w:rPr>
        <w:t>Optional</w:t>
      </w:r>
      <w:r>
        <w:t xml:space="preserve"> are not required to be reported.</w:t>
      </w:r>
    </w:p>
    <w:p w14:paraId="0F21A26F" w14:textId="77777777" w:rsidR="009B7AED" w:rsidRDefault="009B7AED" w:rsidP="00B71607">
      <w:pPr>
        <w:pStyle w:val="Source"/>
        <w:spacing w:after="360"/>
        <w:ind w:left="547" w:hanging="547"/>
      </w:pPr>
      <w:r>
        <w:tab/>
        <w:t xml:space="preserve">Fields designated as </w:t>
      </w:r>
      <w:r>
        <w:rPr>
          <w:rStyle w:val="Italic"/>
          <w:iCs/>
        </w:rPr>
        <w:t>Required/Optional</w:t>
      </w:r>
      <w:r>
        <w:t xml:space="preserve"> could be either required or optional based on values used for other related fields.</w:t>
      </w:r>
    </w:p>
    <w:p w14:paraId="18612CC5" w14:textId="77777777" w:rsidR="009B7AED" w:rsidRPr="00877387" w:rsidRDefault="009B7AED">
      <w:pPr>
        <w:numPr>
          <w:ilvl w:val="0"/>
          <w:numId w:val="49"/>
        </w:numPr>
        <w:spacing w:after="120"/>
        <w:ind w:left="648"/>
      </w:pPr>
      <w:r w:rsidRPr="00877387">
        <w:t>Record Type (Column 1) –</w:t>
      </w:r>
      <w:r w:rsidRPr="00877387">
        <w:rPr>
          <w:i/>
          <w:iCs/>
        </w:rPr>
        <w:t xml:space="preserve"> </w:t>
      </w:r>
      <w:r>
        <w:rPr>
          <w:i/>
          <w:iCs/>
        </w:rPr>
        <w:t>Required</w:t>
      </w:r>
    </w:p>
    <w:p w14:paraId="62FF3261" w14:textId="4799E84D" w:rsidR="009B7AED" w:rsidRPr="00877387" w:rsidRDefault="009B7AED" w:rsidP="003E5501">
      <w:pPr>
        <w:tabs>
          <w:tab w:val="left" w:pos="1440"/>
        </w:tabs>
        <w:spacing w:after="120"/>
        <w:ind w:left="648"/>
      </w:pPr>
      <w:r w:rsidRPr="00877387">
        <w:t xml:space="preserve">I = Individual Vehicle Record </w:t>
      </w:r>
    </w:p>
    <w:p w14:paraId="733CAD42" w14:textId="77777777" w:rsidR="009B7AED" w:rsidRPr="00877387" w:rsidRDefault="009B7AED">
      <w:pPr>
        <w:numPr>
          <w:ilvl w:val="0"/>
          <w:numId w:val="49"/>
        </w:numPr>
        <w:spacing w:after="120"/>
        <w:ind w:left="648"/>
      </w:pPr>
      <w:r w:rsidRPr="00877387">
        <w:t>FIPS State Code (Columns 2-3) –</w:t>
      </w:r>
      <w:r w:rsidRPr="00877387">
        <w:rPr>
          <w:i/>
          <w:iCs/>
        </w:rPr>
        <w:t xml:space="preserve"> </w:t>
      </w:r>
      <w:r>
        <w:rPr>
          <w:bCs/>
          <w:i/>
          <w:iCs/>
        </w:rPr>
        <w:t>Required</w:t>
      </w:r>
      <w:r w:rsidRPr="00877387">
        <w:t xml:space="preserve"> </w:t>
      </w:r>
    </w:p>
    <w:p w14:paraId="79CFA26D" w14:textId="462FD04A" w:rsidR="009B7AED" w:rsidRPr="00877387" w:rsidRDefault="009B7AED" w:rsidP="003E5501">
      <w:pPr>
        <w:tabs>
          <w:tab w:val="left" w:pos="1440"/>
        </w:tabs>
        <w:spacing w:after="120"/>
        <w:ind w:left="648"/>
      </w:pPr>
      <w:r w:rsidRPr="00877387">
        <w:t xml:space="preserve">See </w:t>
      </w:r>
      <w:r w:rsidR="00031AC7">
        <w:t>S</w:t>
      </w:r>
      <w:r w:rsidRPr="00877387">
        <w:t xml:space="preserve">ection </w:t>
      </w:r>
      <w:r>
        <w:t>4</w:t>
      </w:r>
      <w:r w:rsidRPr="00877387">
        <w:t>.2, Field #2.</w:t>
      </w:r>
    </w:p>
    <w:p w14:paraId="2D972DB4" w14:textId="7671A6A3" w:rsidR="009B7AED" w:rsidRPr="00877387" w:rsidRDefault="009B7AED">
      <w:pPr>
        <w:numPr>
          <w:ilvl w:val="0"/>
          <w:numId w:val="49"/>
        </w:numPr>
        <w:spacing w:after="120"/>
        <w:ind w:left="648"/>
      </w:pPr>
      <w:r w:rsidRPr="00877387">
        <w:t>Station Identification (Columns 4-9) –</w:t>
      </w:r>
      <w:r w:rsidRPr="00877387">
        <w:rPr>
          <w:i/>
          <w:iCs/>
        </w:rPr>
        <w:t xml:space="preserve"> </w:t>
      </w:r>
      <w:r>
        <w:rPr>
          <w:bCs/>
          <w:i/>
          <w:iCs/>
        </w:rPr>
        <w:t>Required</w:t>
      </w:r>
      <w:r w:rsidRPr="00877387">
        <w:t xml:space="preserve"> </w:t>
      </w:r>
    </w:p>
    <w:p w14:paraId="1BC120D8" w14:textId="172DBB0C" w:rsidR="009B7AED" w:rsidRPr="00877387" w:rsidRDefault="009B7AED" w:rsidP="003E5501">
      <w:pPr>
        <w:tabs>
          <w:tab w:val="left" w:pos="1440"/>
        </w:tabs>
        <w:spacing w:after="120"/>
        <w:ind w:left="648"/>
      </w:pPr>
      <w:r w:rsidRPr="00877387">
        <w:t xml:space="preserve">See </w:t>
      </w:r>
      <w:r w:rsidR="00031AC7">
        <w:t>S</w:t>
      </w:r>
      <w:r w:rsidRPr="00877387">
        <w:t xml:space="preserve">ection </w:t>
      </w:r>
      <w:r>
        <w:t>4</w:t>
      </w:r>
      <w:r w:rsidRPr="00877387">
        <w:t>.2, Field #3.</w:t>
      </w:r>
    </w:p>
    <w:p w14:paraId="5B15B8C3" w14:textId="77777777" w:rsidR="009B7AED" w:rsidRPr="00877387" w:rsidRDefault="009B7AED" w:rsidP="003E5501">
      <w:pPr>
        <w:tabs>
          <w:tab w:val="left" w:pos="1440"/>
        </w:tabs>
        <w:spacing w:after="120"/>
        <w:ind w:left="648"/>
      </w:pPr>
      <w:r w:rsidRPr="00877387">
        <w:t>This field should be right-justified with unused columns zero-filled.</w:t>
      </w:r>
    </w:p>
    <w:p w14:paraId="6B5DF6D1" w14:textId="77777777" w:rsidR="009B7AED" w:rsidRPr="00877387" w:rsidRDefault="009B7AED">
      <w:pPr>
        <w:numPr>
          <w:ilvl w:val="0"/>
          <w:numId w:val="49"/>
        </w:numPr>
        <w:spacing w:after="120"/>
        <w:ind w:left="648"/>
      </w:pPr>
      <w:r w:rsidRPr="00877387">
        <w:t>Direction of Travel Code (Column 10) –</w:t>
      </w:r>
      <w:r w:rsidRPr="00877387">
        <w:rPr>
          <w:i/>
          <w:iCs/>
        </w:rPr>
        <w:t xml:space="preserve"> </w:t>
      </w:r>
      <w:r>
        <w:rPr>
          <w:bCs/>
          <w:i/>
          <w:iCs/>
        </w:rPr>
        <w:t>Required</w:t>
      </w:r>
      <w:r w:rsidRPr="00877387">
        <w:t xml:space="preserve"> </w:t>
      </w:r>
    </w:p>
    <w:p w14:paraId="0ED291EF" w14:textId="13A61DDF" w:rsidR="00380FE6" w:rsidRDefault="009B7AED" w:rsidP="003E5501">
      <w:pPr>
        <w:tabs>
          <w:tab w:val="left" w:pos="1440"/>
        </w:tabs>
        <w:spacing w:after="120"/>
        <w:ind w:left="648"/>
      </w:pPr>
      <w:r w:rsidRPr="00877387">
        <w:t xml:space="preserve">See </w:t>
      </w:r>
      <w:r w:rsidR="00031AC7">
        <w:t>S</w:t>
      </w:r>
      <w:r w:rsidRPr="00877387">
        <w:t xml:space="preserve">ection </w:t>
      </w:r>
      <w:r>
        <w:t>4</w:t>
      </w:r>
      <w:r w:rsidRPr="00877387">
        <w:t>.2, Field #4.</w:t>
      </w:r>
    </w:p>
    <w:p w14:paraId="556CC085" w14:textId="77777777" w:rsidR="00380FE6" w:rsidRDefault="00380FE6">
      <w:pPr>
        <w:widowControl/>
        <w:suppressAutoHyphens w:val="0"/>
        <w:autoSpaceDE/>
        <w:autoSpaceDN/>
        <w:adjustRightInd/>
        <w:spacing w:after="160" w:line="259" w:lineRule="auto"/>
        <w:jc w:val="left"/>
        <w:textAlignment w:val="auto"/>
      </w:pPr>
      <w:r>
        <w:br w:type="page"/>
      </w:r>
    </w:p>
    <w:p w14:paraId="3F3547C7" w14:textId="77777777" w:rsidR="009B7AED" w:rsidRPr="00877387" w:rsidRDefault="009B7AED">
      <w:pPr>
        <w:numPr>
          <w:ilvl w:val="0"/>
          <w:numId w:val="49"/>
        </w:numPr>
        <w:spacing w:after="120"/>
        <w:ind w:left="648"/>
      </w:pPr>
      <w:r w:rsidRPr="00877387">
        <w:lastRenderedPageBreak/>
        <w:t>Lane of Travel (Column 11) –</w:t>
      </w:r>
      <w:r w:rsidRPr="00877387">
        <w:rPr>
          <w:i/>
          <w:iCs/>
        </w:rPr>
        <w:t xml:space="preserve"> </w:t>
      </w:r>
      <w:r>
        <w:rPr>
          <w:bCs/>
          <w:i/>
          <w:iCs/>
        </w:rPr>
        <w:t>Required</w:t>
      </w:r>
      <w:r w:rsidRPr="00877387">
        <w:t xml:space="preserve"> </w:t>
      </w:r>
    </w:p>
    <w:p w14:paraId="7A0F81D8" w14:textId="07C850F9" w:rsidR="009B7AED" w:rsidRPr="00877387" w:rsidRDefault="009B7AED" w:rsidP="003E5501">
      <w:pPr>
        <w:tabs>
          <w:tab w:val="left" w:pos="1440"/>
        </w:tabs>
        <w:spacing w:after="120"/>
        <w:ind w:left="648"/>
      </w:pPr>
      <w:r w:rsidRPr="00877387">
        <w:t xml:space="preserve">See </w:t>
      </w:r>
      <w:r w:rsidR="00031AC7">
        <w:t>S</w:t>
      </w:r>
      <w:r w:rsidRPr="00877387">
        <w:t xml:space="preserve">ection </w:t>
      </w:r>
      <w:r>
        <w:t>4</w:t>
      </w:r>
      <w:r w:rsidRPr="00877387">
        <w:t>.2, Field #5.</w:t>
      </w:r>
    </w:p>
    <w:p w14:paraId="3FF53288" w14:textId="77777777" w:rsidR="009B7AED" w:rsidRPr="00322C74" w:rsidRDefault="009B7AED" w:rsidP="00083ADA">
      <w:pPr>
        <w:tabs>
          <w:tab w:val="left" w:pos="1440"/>
        </w:tabs>
        <w:spacing w:after="120"/>
        <w:ind w:left="648"/>
        <w:jc w:val="left"/>
      </w:pPr>
      <w:r w:rsidRPr="00877387">
        <w:t xml:space="preserve">Note: The Station ID, Direction of Travel, and Lane of Travel make up the Station Code. </w:t>
      </w:r>
      <w:r w:rsidRPr="00322C74">
        <w:t>There should be one Station Description record per Station Code.</w:t>
      </w:r>
    </w:p>
    <w:p w14:paraId="3CA05702" w14:textId="77777777" w:rsidR="009B7AED" w:rsidRPr="00877387" w:rsidRDefault="009B7AED">
      <w:pPr>
        <w:numPr>
          <w:ilvl w:val="0"/>
          <w:numId w:val="49"/>
        </w:numPr>
        <w:spacing w:after="120"/>
        <w:ind w:left="648"/>
      </w:pPr>
      <w:r w:rsidRPr="00877387">
        <w:t>Year of Data (Columns 12-15) –</w:t>
      </w:r>
      <w:r w:rsidRPr="00877387">
        <w:rPr>
          <w:i/>
          <w:iCs/>
        </w:rPr>
        <w:t xml:space="preserve"> </w:t>
      </w:r>
      <w:r>
        <w:rPr>
          <w:bCs/>
          <w:i/>
          <w:iCs/>
        </w:rPr>
        <w:t>Required</w:t>
      </w:r>
      <w:r w:rsidRPr="00877387">
        <w:t xml:space="preserve"> </w:t>
      </w:r>
    </w:p>
    <w:p w14:paraId="6E36CC21" w14:textId="189A6432" w:rsidR="009B7AED" w:rsidRPr="00877387" w:rsidRDefault="009B7AED" w:rsidP="003E5501">
      <w:pPr>
        <w:tabs>
          <w:tab w:val="left" w:pos="1440"/>
        </w:tabs>
        <w:spacing w:after="120"/>
        <w:ind w:left="648"/>
      </w:pPr>
      <w:r w:rsidRPr="00877387">
        <w:t xml:space="preserve">See </w:t>
      </w:r>
      <w:r w:rsidR="00031AC7">
        <w:t>S</w:t>
      </w:r>
      <w:r w:rsidRPr="00877387">
        <w:t xml:space="preserve">ection </w:t>
      </w:r>
      <w:r>
        <w:t>4</w:t>
      </w:r>
      <w:r w:rsidRPr="00877387">
        <w:t>.2, Field #6.</w:t>
      </w:r>
    </w:p>
    <w:p w14:paraId="4741F71D" w14:textId="77777777" w:rsidR="009B7AED" w:rsidRPr="00877387" w:rsidRDefault="009B7AED">
      <w:pPr>
        <w:numPr>
          <w:ilvl w:val="0"/>
          <w:numId w:val="49"/>
        </w:numPr>
        <w:spacing w:after="120"/>
        <w:ind w:left="648"/>
      </w:pPr>
      <w:r w:rsidRPr="00877387">
        <w:t xml:space="preserve">Month of </w:t>
      </w:r>
      <w:r>
        <w:t>Year</w:t>
      </w:r>
      <w:r w:rsidRPr="00877387">
        <w:t xml:space="preserve"> (Columns 16-17) –</w:t>
      </w:r>
      <w:r w:rsidRPr="00877387">
        <w:rPr>
          <w:i/>
          <w:iCs/>
        </w:rPr>
        <w:t xml:space="preserve"> </w:t>
      </w:r>
      <w:r>
        <w:rPr>
          <w:bCs/>
          <w:i/>
          <w:iCs/>
        </w:rPr>
        <w:t>Required</w:t>
      </w:r>
    </w:p>
    <w:p w14:paraId="48B1E761" w14:textId="5D292F95" w:rsidR="009B7AED" w:rsidRPr="00877387" w:rsidRDefault="009B7AED" w:rsidP="003E5501">
      <w:pPr>
        <w:tabs>
          <w:tab w:val="left" w:pos="1440"/>
        </w:tabs>
        <w:spacing w:after="120"/>
        <w:ind w:left="648"/>
      </w:pPr>
      <w:r w:rsidRPr="00877387">
        <w:t xml:space="preserve">See </w:t>
      </w:r>
      <w:r w:rsidR="00031AC7">
        <w:t>S</w:t>
      </w:r>
      <w:r w:rsidRPr="00877387">
        <w:t xml:space="preserve">ection </w:t>
      </w:r>
      <w:r>
        <w:t>4</w:t>
      </w:r>
      <w:r w:rsidRPr="00877387">
        <w:t>.3, Field #8.</w:t>
      </w:r>
    </w:p>
    <w:p w14:paraId="6C0657E4" w14:textId="77777777" w:rsidR="009B7AED" w:rsidRPr="00877387" w:rsidRDefault="009B7AED">
      <w:pPr>
        <w:numPr>
          <w:ilvl w:val="0"/>
          <w:numId w:val="49"/>
        </w:numPr>
        <w:spacing w:after="120"/>
        <w:ind w:left="648"/>
      </w:pPr>
      <w:r w:rsidRPr="00877387">
        <w:t xml:space="preserve">Day of </w:t>
      </w:r>
      <w:r>
        <w:t>Month</w:t>
      </w:r>
      <w:r w:rsidRPr="00877387">
        <w:t xml:space="preserve"> (Columns 18-19) –</w:t>
      </w:r>
      <w:r w:rsidRPr="00877387">
        <w:rPr>
          <w:i/>
          <w:iCs/>
        </w:rPr>
        <w:t xml:space="preserve"> </w:t>
      </w:r>
      <w:r>
        <w:rPr>
          <w:rStyle w:val="bolditalic"/>
        </w:rPr>
        <w:t>Required</w:t>
      </w:r>
      <w:r w:rsidRPr="00877387">
        <w:t xml:space="preserve"> </w:t>
      </w:r>
    </w:p>
    <w:p w14:paraId="4A66B5FF" w14:textId="6EBD864B" w:rsidR="009B7AED" w:rsidRPr="00877387" w:rsidRDefault="009B7AED" w:rsidP="003E5501">
      <w:pPr>
        <w:tabs>
          <w:tab w:val="left" w:pos="1440"/>
        </w:tabs>
        <w:spacing w:after="120"/>
        <w:ind w:left="648"/>
      </w:pPr>
      <w:r w:rsidRPr="00877387">
        <w:t xml:space="preserve">See </w:t>
      </w:r>
      <w:r w:rsidR="00CD6721">
        <w:t>Section</w:t>
      </w:r>
      <w:r w:rsidRPr="00877387">
        <w:t xml:space="preserve"> </w:t>
      </w:r>
      <w:r>
        <w:t>4</w:t>
      </w:r>
      <w:r w:rsidRPr="00877387">
        <w:t>.3, Field #9.</w:t>
      </w:r>
    </w:p>
    <w:p w14:paraId="6160CE54" w14:textId="77777777" w:rsidR="009B7AED" w:rsidRPr="00877387" w:rsidRDefault="009B7AED">
      <w:pPr>
        <w:numPr>
          <w:ilvl w:val="0"/>
          <w:numId w:val="49"/>
        </w:numPr>
        <w:spacing w:after="120"/>
        <w:ind w:left="648"/>
      </w:pPr>
      <w:r w:rsidRPr="00877387">
        <w:t xml:space="preserve">Hour of Day (Columns 20-21) – </w:t>
      </w:r>
      <w:r>
        <w:rPr>
          <w:rStyle w:val="bolditalic"/>
        </w:rPr>
        <w:t>Required</w:t>
      </w:r>
    </w:p>
    <w:p w14:paraId="59D84C6C" w14:textId="77777777" w:rsidR="009B7AED" w:rsidRPr="00877387" w:rsidRDefault="009B7AED" w:rsidP="003E5501">
      <w:pPr>
        <w:tabs>
          <w:tab w:val="left" w:pos="1440"/>
        </w:tabs>
        <w:spacing w:after="120"/>
        <w:ind w:left="648"/>
      </w:pPr>
      <w:r w:rsidRPr="00877387">
        <w:t>hh = Hour in which record was taken</w:t>
      </w:r>
    </w:p>
    <w:p w14:paraId="59F8B841" w14:textId="77777777" w:rsidR="009B7AED" w:rsidRPr="00877387" w:rsidRDefault="009B7AED" w:rsidP="003E5501">
      <w:pPr>
        <w:tabs>
          <w:tab w:val="left" w:pos="1440"/>
        </w:tabs>
        <w:spacing w:after="120"/>
        <w:ind w:left="648"/>
      </w:pPr>
      <w:r w:rsidRPr="00877387">
        <w:t>Code the beginning of the hour (digits 20-21) in which the record was taken:</w:t>
      </w:r>
    </w:p>
    <w:p w14:paraId="35C17A78" w14:textId="77777777" w:rsidR="009B7AED" w:rsidRPr="00877387" w:rsidRDefault="009B7AED" w:rsidP="00380FE6">
      <w:pPr>
        <w:tabs>
          <w:tab w:val="left" w:pos="1440"/>
        </w:tabs>
        <w:spacing w:after="120"/>
        <w:ind w:left="936"/>
      </w:pPr>
      <w:r w:rsidRPr="00877387">
        <w:t>00 = after 00:00 to 01:00</w:t>
      </w:r>
    </w:p>
    <w:p w14:paraId="5A8413CD" w14:textId="77777777" w:rsidR="009B7AED" w:rsidRPr="00877387" w:rsidRDefault="009B7AED" w:rsidP="00380FE6">
      <w:pPr>
        <w:tabs>
          <w:tab w:val="left" w:pos="1440"/>
        </w:tabs>
        <w:spacing w:after="120"/>
        <w:ind w:left="936"/>
      </w:pPr>
      <w:r w:rsidRPr="00877387">
        <w:t>01 = after 01:00 to 02:00</w:t>
      </w:r>
    </w:p>
    <w:p w14:paraId="17F880E2" w14:textId="77777777" w:rsidR="009B7AED" w:rsidRPr="00877387" w:rsidRDefault="009B7AED" w:rsidP="00380FE6">
      <w:pPr>
        <w:tabs>
          <w:tab w:val="left" w:pos="1440"/>
        </w:tabs>
        <w:spacing w:after="120"/>
        <w:ind w:left="936"/>
      </w:pPr>
      <w:r w:rsidRPr="00877387">
        <w:t>...</w:t>
      </w:r>
    </w:p>
    <w:p w14:paraId="337516AC" w14:textId="77777777" w:rsidR="009B7AED" w:rsidRPr="00877387" w:rsidRDefault="009B7AED" w:rsidP="00380FE6">
      <w:pPr>
        <w:tabs>
          <w:tab w:val="left" w:pos="1440"/>
        </w:tabs>
        <w:spacing w:after="120"/>
        <w:ind w:left="936"/>
      </w:pPr>
      <w:r w:rsidRPr="00877387">
        <w:t>22 = after 22:00 to 23:00</w:t>
      </w:r>
    </w:p>
    <w:p w14:paraId="2DF3A3A5" w14:textId="77777777" w:rsidR="009B7AED" w:rsidRPr="00877387" w:rsidRDefault="009B7AED" w:rsidP="00380FE6">
      <w:pPr>
        <w:tabs>
          <w:tab w:val="left" w:pos="1440"/>
        </w:tabs>
        <w:spacing w:after="120"/>
        <w:ind w:left="936"/>
      </w:pPr>
      <w:r w:rsidRPr="00877387">
        <w:t>23 = after 23:00 to 24:00</w:t>
      </w:r>
    </w:p>
    <w:p w14:paraId="76D9BEA4" w14:textId="77777777" w:rsidR="009B7AED" w:rsidRPr="00877387" w:rsidRDefault="009B7AED">
      <w:pPr>
        <w:numPr>
          <w:ilvl w:val="0"/>
          <w:numId w:val="49"/>
        </w:numPr>
        <w:spacing w:after="120"/>
        <w:ind w:left="648"/>
      </w:pPr>
      <w:r w:rsidRPr="00877387">
        <w:t>Minute of Hour of Data (Columns 22-23)</w:t>
      </w:r>
    </w:p>
    <w:p w14:paraId="1A738148" w14:textId="77777777" w:rsidR="009B7AED" w:rsidRPr="00877387" w:rsidRDefault="009B7AED" w:rsidP="003E5501">
      <w:pPr>
        <w:tabs>
          <w:tab w:val="left" w:pos="1440"/>
        </w:tabs>
        <w:spacing w:after="120"/>
        <w:ind w:left="648"/>
      </w:pPr>
      <w:r w:rsidRPr="00877387">
        <w:t>mm = Minute in which record was taken</w:t>
      </w:r>
    </w:p>
    <w:p w14:paraId="5C33699E" w14:textId="77777777" w:rsidR="009B7AED" w:rsidRPr="00877387" w:rsidRDefault="009B7AED" w:rsidP="003E5501">
      <w:pPr>
        <w:tabs>
          <w:tab w:val="left" w:pos="1440"/>
        </w:tabs>
        <w:spacing w:after="120"/>
        <w:ind w:left="648"/>
      </w:pPr>
      <w:r w:rsidRPr="00877387">
        <w:t>Code the beginning of the minute (digits 22-23) in which the record was taken:</w:t>
      </w:r>
    </w:p>
    <w:p w14:paraId="3B67B0A9" w14:textId="77777777" w:rsidR="009B7AED" w:rsidRPr="00877387" w:rsidRDefault="009B7AED" w:rsidP="00380FE6">
      <w:pPr>
        <w:tabs>
          <w:tab w:val="left" w:pos="1440"/>
        </w:tabs>
        <w:spacing w:after="120"/>
        <w:ind w:left="936"/>
      </w:pPr>
      <w:r w:rsidRPr="00877387">
        <w:t>00 = 0 minute to less than 1 minute</w:t>
      </w:r>
    </w:p>
    <w:p w14:paraId="13F10A34" w14:textId="77777777" w:rsidR="009B7AED" w:rsidRPr="00877387" w:rsidRDefault="009B7AED" w:rsidP="00380FE6">
      <w:pPr>
        <w:tabs>
          <w:tab w:val="left" w:pos="1440"/>
        </w:tabs>
        <w:spacing w:after="120"/>
        <w:ind w:left="936"/>
      </w:pPr>
      <w:r w:rsidRPr="00877387">
        <w:t>01 = 1 minute to less than 2 minutes</w:t>
      </w:r>
    </w:p>
    <w:p w14:paraId="21213952" w14:textId="77777777" w:rsidR="009B7AED" w:rsidRPr="00877387" w:rsidRDefault="009B7AED" w:rsidP="00380FE6">
      <w:pPr>
        <w:tabs>
          <w:tab w:val="left" w:pos="1440"/>
        </w:tabs>
        <w:spacing w:after="120"/>
        <w:ind w:left="936"/>
      </w:pPr>
      <w:r w:rsidRPr="00877387">
        <w:t>...</w:t>
      </w:r>
    </w:p>
    <w:p w14:paraId="12A0BCC2" w14:textId="77777777" w:rsidR="009B7AED" w:rsidRPr="00877387" w:rsidRDefault="009B7AED" w:rsidP="00380FE6">
      <w:pPr>
        <w:tabs>
          <w:tab w:val="left" w:pos="1440"/>
        </w:tabs>
        <w:spacing w:after="120"/>
        <w:ind w:left="936"/>
      </w:pPr>
      <w:r w:rsidRPr="00877387">
        <w:t>58 = 58 minutes to less than 59 minutes</w:t>
      </w:r>
    </w:p>
    <w:p w14:paraId="3B761A45" w14:textId="77777777" w:rsidR="009B7AED" w:rsidRPr="00877387" w:rsidRDefault="009B7AED" w:rsidP="00380FE6">
      <w:pPr>
        <w:tabs>
          <w:tab w:val="left" w:pos="1440"/>
        </w:tabs>
        <w:spacing w:after="120"/>
        <w:ind w:left="936"/>
      </w:pPr>
      <w:r w:rsidRPr="00877387">
        <w:t>59 = 59 minutes to less than 60 minutes</w:t>
      </w:r>
    </w:p>
    <w:p w14:paraId="3CDAA0F5" w14:textId="77777777" w:rsidR="009B7AED" w:rsidRPr="00DC4FD8" w:rsidRDefault="009B7AED">
      <w:pPr>
        <w:numPr>
          <w:ilvl w:val="0"/>
          <w:numId w:val="49"/>
        </w:numPr>
        <w:spacing w:after="120"/>
        <w:ind w:left="648"/>
        <w:rPr>
          <w:vanish/>
        </w:rPr>
      </w:pPr>
      <w:r w:rsidRPr="00877387">
        <w:t>Second of Minute of Data (Columns 24-25)</w:t>
      </w:r>
    </w:p>
    <w:p w14:paraId="2A5DB351" w14:textId="77777777" w:rsidR="009B7AED" w:rsidRPr="00877387" w:rsidRDefault="009B7AED" w:rsidP="003E5501">
      <w:pPr>
        <w:tabs>
          <w:tab w:val="left" w:pos="1440"/>
        </w:tabs>
        <w:spacing w:after="120"/>
        <w:ind w:left="648"/>
      </w:pPr>
      <w:r w:rsidRPr="00877387">
        <w:t>ss = Second in which record was taken</w:t>
      </w:r>
    </w:p>
    <w:p w14:paraId="67B4FBDF" w14:textId="77777777" w:rsidR="009B7AED" w:rsidRPr="00877387" w:rsidRDefault="009B7AED" w:rsidP="003E5501">
      <w:pPr>
        <w:tabs>
          <w:tab w:val="left" w:pos="1440"/>
        </w:tabs>
        <w:spacing w:after="120"/>
        <w:ind w:left="648"/>
      </w:pPr>
      <w:r w:rsidRPr="00877387">
        <w:t>Code the beginning of the second (digits 24-25) in which the record was taken:</w:t>
      </w:r>
    </w:p>
    <w:p w14:paraId="252F84DD" w14:textId="77777777" w:rsidR="009B7AED" w:rsidRPr="00877387" w:rsidRDefault="009B7AED" w:rsidP="00380FE6">
      <w:pPr>
        <w:tabs>
          <w:tab w:val="left" w:pos="1440"/>
        </w:tabs>
        <w:spacing w:after="120"/>
        <w:ind w:left="936"/>
      </w:pPr>
      <w:r w:rsidRPr="00877387">
        <w:t>00 = 0 second to less than 1 second</w:t>
      </w:r>
    </w:p>
    <w:p w14:paraId="2B08C683" w14:textId="77777777" w:rsidR="009B7AED" w:rsidRPr="00877387" w:rsidRDefault="009B7AED" w:rsidP="00380FE6">
      <w:pPr>
        <w:tabs>
          <w:tab w:val="left" w:pos="1440"/>
        </w:tabs>
        <w:spacing w:after="120"/>
        <w:ind w:left="936"/>
      </w:pPr>
      <w:r w:rsidRPr="00877387">
        <w:t>01 = 1 second to less than 2 seconds</w:t>
      </w:r>
    </w:p>
    <w:p w14:paraId="0AB45A39" w14:textId="77777777" w:rsidR="009B7AED" w:rsidRPr="00877387" w:rsidRDefault="009B7AED" w:rsidP="00380FE6">
      <w:pPr>
        <w:tabs>
          <w:tab w:val="left" w:pos="1440"/>
        </w:tabs>
        <w:spacing w:after="120"/>
        <w:ind w:left="936"/>
      </w:pPr>
      <w:r w:rsidRPr="00877387">
        <w:t>...</w:t>
      </w:r>
    </w:p>
    <w:p w14:paraId="43F5ECE3" w14:textId="77777777" w:rsidR="009B7AED" w:rsidRPr="00877387" w:rsidRDefault="009B7AED" w:rsidP="00380FE6">
      <w:pPr>
        <w:tabs>
          <w:tab w:val="left" w:pos="1440"/>
        </w:tabs>
        <w:spacing w:after="120"/>
        <w:ind w:left="936"/>
      </w:pPr>
      <w:r w:rsidRPr="00877387">
        <w:t>58 = 58 seconds to less than 59 seconds</w:t>
      </w:r>
    </w:p>
    <w:p w14:paraId="4C8D9270" w14:textId="5BA27FA5" w:rsidR="00380FE6" w:rsidRDefault="009B7AED" w:rsidP="00380FE6">
      <w:pPr>
        <w:tabs>
          <w:tab w:val="left" w:pos="1440"/>
        </w:tabs>
        <w:spacing w:after="120"/>
        <w:ind w:left="936"/>
      </w:pPr>
      <w:r w:rsidRPr="00877387">
        <w:t>59 = 59 seconds to less than 60 seconds</w:t>
      </w:r>
    </w:p>
    <w:p w14:paraId="0407B609" w14:textId="77777777" w:rsidR="00380FE6" w:rsidRDefault="00380FE6">
      <w:pPr>
        <w:widowControl/>
        <w:suppressAutoHyphens w:val="0"/>
        <w:autoSpaceDE/>
        <w:autoSpaceDN/>
        <w:adjustRightInd/>
        <w:spacing w:after="160" w:line="259" w:lineRule="auto"/>
        <w:jc w:val="left"/>
        <w:textAlignment w:val="auto"/>
      </w:pPr>
      <w:r>
        <w:br w:type="page"/>
      </w:r>
    </w:p>
    <w:p w14:paraId="6E37A196" w14:textId="3CFBE828" w:rsidR="009B7AED" w:rsidRPr="00FC0E95" w:rsidRDefault="009B7AED" w:rsidP="00FC0E95">
      <w:pPr>
        <w:numPr>
          <w:ilvl w:val="0"/>
          <w:numId w:val="49"/>
        </w:numPr>
        <w:spacing w:after="120"/>
        <w:ind w:left="648"/>
      </w:pPr>
      <w:r w:rsidRPr="00877387">
        <w:lastRenderedPageBreak/>
        <w:t>Sub-Second of Data (Columns 26-27)</w:t>
      </w:r>
    </w:p>
    <w:p w14:paraId="673EDB98" w14:textId="77777777" w:rsidR="009B7AED" w:rsidRPr="00877387" w:rsidRDefault="009B7AED" w:rsidP="003E5501">
      <w:pPr>
        <w:tabs>
          <w:tab w:val="left" w:pos="1440"/>
        </w:tabs>
        <w:spacing w:after="120"/>
        <w:ind w:left="648"/>
      </w:pPr>
      <w:r w:rsidRPr="00877387">
        <w:t>ff = Fraction of a second to the nearest hundredth of a second in which the record was taken</w:t>
      </w:r>
    </w:p>
    <w:p w14:paraId="717B49D5" w14:textId="77777777" w:rsidR="009B7AED" w:rsidRPr="00877387" w:rsidRDefault="009B7AED" w:rsidP="003E5501">
      <w:pPr>
        <w:tabs>
          <w:tab w:val="left" w:pos="1440"/>
        </w:tabs>
        <w:spacing w:after="120"/>
        <w:ind w:left="648"/>
      </w:pPr>
      <w:r w:rsidRPr="00877387">
        <w:t>Code the fraction of a second to the nearest hundredth second (digits 26-27) in which the record was taken:</w:t>
      </w:r>
    </w:p>
    <w:p w14:paraId="21CC54A3" w14:textId="77777777" w:rsidR="009B7AED" w:rsidRPr="00877387" w:rsidRDefault="009B7AED" w:rsidP="00380FE6">
      <w:pPr>
        <w:tabs>
          <w:tab w:val="left" w:pos="1440"/>
        </w:tabs>
        <w:spacing w:after="120"/>
        <w:ind w:left="936"/>
      </w:pPr>
      <w:r w:rsidRPr="00877387">
        <w:t>00 = 00 hundredth seconds to less than 01 hundredth seconds</w:t>
      </w:r>
    </w:p>
    <w:p w14:paraId="36D7A631" w14:textId="77777777" w:rsidR="009B7AED" w:rsidRPr="00877387" w:rsidRDefault="009B7AED" w:rsidP="00380FE6">
      <w:pPr>
        <w:tabs>
          <w:tab w:val="left" w:pos="1440"/>
        </w:tabs>
        <w:spacing w:after="120"/>
        <w:ind w:left="936"/>
      </w:pPr>
      <w:r w:rsidRPr="00877387">
        <w:t>01 = 01 hundredth seconds to less than 02 hundredth seconds</w:t>
      </w:r>
    </w:p>
    <w:p w14:paraId="0A0F6964" w14:textId="77777777" w:rsidR="009B7AED" w:rsidRPr="00877387" w:rsidRDefault="009B7AED" w:rsidP="00380FE6">
      <w:pPr>
        <w:tabs>
          <w:tab w:val="left" w:pos="1440"/>
        </w:tabs>
        <w:spacing w:after="120"/>
        <w:ind w:left="936"/>
      </w:pPr>
      <w:r w:rsidRPr="00877387">
        <w:t>…</w:t>
      </w:r>
    </w:p>
    <w:p w14:paraId="0C4ACEAA" w14:textId="77777777" w:rsidR="009B7AED" w:rsidRPr="00877387" w:rsidRDefault="009B7AED" w:rsidP="00380FE6">
      <w:pPr>
        <w:tabs>
          <w:tab w:val="left" w:pos="1440"/>
        </w:tabs>
        <w:spacing w:after="120"/>
        <w:ind w:left="936"/>
      </w:pPr>
      <w:r w:rsidRPr="00877387">
        <w:t>98 = 98 hundredth seconds to less than 99 hundredth seconds</w:t>
      </w:r>
    </w:p>
    <w:p w14:paraId="2CE6FF1D" w14:textId="77777777" w:rsidR="009B7AED" w:rsidRPr="00877387" w:rsidRDefault="009B7AED" w:rsidP="00380FE6">
      <w:pPr>
        <w:tabs>
          <w:tab w:val="left" w:pos="1440"/>
        </w:tabs>
        <w:spacing w:after="120"/>
        <w:ind w:left="936"/>
      </w:pPr>
      <w:r w:rsidRPr="00877387">
        <w:t>99 = 99 hundredth seconds to less than 100 hundredth seconds</w:t>
      </w:r>
    </w:p>
    <w:p w14:paraId="34D5CD95" w14:textId="11AF9EF3" w:rsidR="009B7AED" w:rsidRPr="00FC0E95" w:rsidRDefault="009B7AED" w:rsidP="00FC0E95">
      <w:pPr>
        <w:numPr>
          <w:ilvl w:val="0"/>
          <w:numId w:val="49"/>
        </w:numPr>
        <w:spacing w:after="120"/>
        <w:ind w:left="648"/>
        <w:rPr>
          <w:i/>
          <w:iCs/>
        </w:rPr>
      </w:pPr>
      <w:r w:rsidRPr="00877387">
        <w:t>Type of Base Counting Device (Column 28) –</w:t>
      </w:r>
      <w:r w:rsidRPr="00FC0E95">
        <w:t xml:space="preserve"> </w:t>
      </w:r>
      <w:r w:rsidRPr="00FC0E95">
        <w:rPr>
          <w:i/>
          <w:iCs/>
        </w:rPr>
        <w:t>Required</w:t>
      </w:r>
    </w:p>
    <w:p w14:paraId="7645F09E" w14:textId="77777777" w:rsidR="009B7AED" w:rsidRPr="00877387" w:rsidRDefault="009B7AED" w:rsidP="00FC0E95">
      <w:pPr>
        <w:tabs>
          <w:tab w:val="left" w:pos="1440"/>
        </w:tabs>
        <w:spacing w:after="120"/>
        <w:ind w:left="648"/>
        <w:jc w:val="left"/>
      </w:pPr>
      <w:r w:rsidRPr="00877387">
        <w:t xml:space="preserve">This alphanumeric field details the type of counting device recording the individual record formats, and the type of data contained in this record. The value in this field affects the length of the record being read (the </w:t>
      </w:r>
      <w:r>
        <w:t xml:space="preserve">software reads the </w:t>
      </w:r>
      <w:r w:rsidRPr="00877387">
        <w:t xml:space="preserve">number of columns </w:t>
      </w:r>
      <w:r>
        <w:t>that is</w:t>
      </w:r>
      <w:r w:rsidRPr="00877387">
        <w:t xml:space="preserve"> expect</w:t>
      </w:r>
      <w:r>
        <w:t>ed</w:t>
      </w:r>
      <w:r w:rsidRPr="00877387">
        <w:t xml:space="preserve"> to exist), as well as the definition of the data contained in subsequent columns. Code the correct value for type of traffic counting device. </w:t>
      </w:r>
    </w:p>
    <w:p w14:paraId="742CD162" w14:textId="77777777" w:rsidR="009B7AED" w:rsidRPr="00877387" w:rsidRDefault="009B7AED" w:rsidP="003E5501">
      <w:pPr>
        <w:tabs>
          <w:tab w:val="left" w:pos="1440"/>
        </w:tabs>
        <w:spacing w:after="120"/>
        <w:ind w:left="648"/>
      </w:pPr>
      <w:r w:rsidRPr="00877387">
        <w:t>V = volume only type of device (the expected number of columns is 3</w:t>
      </w:r>
      <w:r>
        <w:t>3</w:t>
      </w:r>
      <w:r w:rsidRPr="00877387">
        <w:t>)</w:t>
      </w:r>
    </w:p>
    <w:p w14:paraId="7669A3B2" w14:textId="0112C529" w:rsidR="009B7AED" w:rsidRPr="00877387" w:rsidRDefault="009B7AED">
      <w:pPr>
        <w:numPr>
          <w:ilvl w:val="0"/>
          <w:numId w:val="49"/>
        </w:numPr>
        <w:spacing w:after="120"/>
        <w:ind w:left="648"/>
      </w:pPr>
      <w:r w:rsidRPr="00877387">
        <w:t xml:space="preserve">Vehicle Signature or Other Use Field (Columns 29-33) – </w:t>
      </w:r>
      <w:r w:rsidRPr="00877387">
        <w:rPr>
          <w:i/>
          <w:iCs/>
        </w:rPr>
        <w:t>Optional</w:t>
      </w:r>
    </w:p>
    <w:p w14:paraId="4DB9D0AF" w14:textId="77777777" w:rsidR="009B7AED" w:rsidRPr="00A25FC4" w:rsidRDefault="009B7AED" w:rsidP="003E5501">
      <w:pPr>
        <w:tabs>
          <w:tab w:val="left" w:pos="1440"/>
        </w:tabs>
        <w:spacing w:after="120"/>
        <w:ind w:left="648"/>
      </w:pPr>
      <w:r w:rsidRPr="00A25FC4">
        <w:t xml:space="preserve">Enter the vehicle unique loop or magnetic signature using the right-most digits first. </w:t>
      </w:r>
    </w:p>
    <w:p w14:paraId="6C87AE80" w14:textId="77777777" w:rsidR="009B7AED" w:rsidRPr="00A25FC4" w:rsidRDefault="009B7AED" w:rsidP="003E5501">
      <w:pPr>
        <w:tabs>
          <w:tab w:val="left" w:pos="1440"/>
        </w:tabs>
        <w:spacing w:after="120"/>
        <w:ind w:left="648"/>
      </w:pPr>
      <w:r w:rsidRPr="00A25FC4">
        <w:t xml:space="preserve">Digit 1 (Column 29) contains the vehicle type code: </w:t>
      </w:r>
    </w:p>
    <w:p w14:paraId="2C3E580A" w14:textId="77777777" w:rsidR="009B7AED" w:rsidRPr="00A25FC4" w:rsidRDefault="009B7AED" w:rsidP="00380FE6">
      <w:pPr>
        <w:tabs>
          <w:tab w:val="left" w:pos="1440"/>
        </w:tabs>
        <w:spacing w:after="120"/>
        <w:ind w:left="936"/>
      </w:pPr>
      <w:r w:rsidRPr="00A25FC4">
        <w:t>Motorcycle (FHWA Class 1) =1</w:t>
      </w:r>
    </w:p>
    <w:p w14:paraId="6EC45511" w14:textId="77777777" w:rsidR="009B7AED" w:rsidRPr="00A25FC4" w:rsidRDefault="009B7AED" w:rsidP="00380FE6">
      <w:pPr>
        <w:tabs>
          <w:tab w:val="left" w:pos="1440"/>
        </w:tabs>
        <w:spacing w:after="120"/>
        <w:ind w:left="936"/>
      </w:pPr>
      <w:r w:rsidRPr="00A25FC4">
        <w:t>Passenger car (FHWA Class 2) = 2</w:t>
      </w:r>
    </w:p>
    <w:p w14:paraId="7D005A6B" w14:textId="77777777" w:rsidR="009B7AED" w:rsidRPr="00A25FC4" w:rsidRDefault="009B7AED" w:rsidP="00380FE6">
      <w:pPr>
        <w:tabs>
          <w:tab w:val="left" w:pos="1440"/>
        </w:tabs>
        <w:spacing w:after="120"/>
        <w:ind w:left="936"/>
      </w:pPr>
      <w:r w:rsidRPr="00A25FC4">
        <w:t>Light Truck (FHWA Class 3) = 3</w:t>
      </w:r>
    </w:p>
    <w:p w14:paraId="1199B4C8" w14:textId="77777777" w:rsidR="009B7AED" w:rsidRPr="00A25FC4" w:rsidRDefault="009B7AED" w:rsidP="00380FE6">
      <w:pPr>
        <w:tabs>
          <w:tab w:val="left" w:pos="1440"/>
        </w:tabs>
        <w:spacing w:after="120"/>
        <w:ind w:left="936"/>
      </w:pPr>
      <w:r w:rsidRPr="00A25FC4">
        <w:t>Bus (FHWA Class 4) = 4</w:t>
      </w:r>
    </w:p>
    <w:p w14:paraId="50B92483" w14:textId="77777777" w:rsidR="009B7AED" w:rsidRPr="00A25FC4" w:rsidRDefault="009B7AED" w:rsidP="00380FE6">
      <w:pPr>
        <w:tabs>
          <w:tab w:val="left" w:pos="1440"/>
        </w:tabs>
        <w:spacing w:after="120"/>
        <w:ind w:left="936"/>
      </w:pPr>
      <w:r w:rsidRPr="00A25FC4">
        <w:t>Single</w:t>
      </w:r>
      <w:r>
        <w:t>-</w:t>
      </w:r>
      <w:r w:rsidRPr="00A25FC4">
        <w:t xml:space="preserve">unit </w:t>
      </w:r>
      <w:r>
        <w:t>vehicle</w:t>
      </w:r>
      <w:r w:rsidRPr="00A25FC4">
        <w:t xml:space="preserve"> (FHWA Classes 5, 6, and 7) = 5</w:t>
      </w:r>
    </w:p>
    <w:p w14:paraId="69BA96D8" w14:textId="77777777" w:rsidR="009B7AED" w:rsidRPr="00A25FC4" w:rsidRDefault="009B7AED" w:rsidP="00380FE6">
      <w:pPr>
        <w:tabs>
          <w:tab w:val="left" w:pos="1440"/>
        </w:tabs>
        <w:spacing w:after="120"/>
        <w:ind w:left="936"/>
      </w:pPr>
      <w:r>
        <w:t>S</w:t>
      </w:r>
      <w:r>
        <w:rPr>
          <w:rFonts w:eastAsiaTheme="minorEastAsia"/>
        </w:rPr>
        <w:t xml:space="preserve">ingle-trailer </w:t>
      </w:r>
      <w:r w:rsidRPr="003E5501">
        <w:t>combination</w:t>
      </w:r>
      <w:r w:rsidRPr="00F43125">
        <w:rPr>
          <w:rFonts w:eastAsiaTheme="minorEastAsia"/>
        </w:rPr>
        <w:t xml:space="preserve"> vehicle</w:t>
      </w:r>
      <w:r>
        <w:rPr>
          <w:rFonts w:eastAsiaTheme="minorEastAsia"/>
        </w:rPr>
        <w:t xml:space="preserve"> </w:t>
      </w:r>
      <w:r w:rsidRPr="00A25FC4">
        <w:t xml:space="preserve">(FHWA Classes 8, 9, and 10) = 6 </w:t>
      </w:r>
    </w:p>
    <w:p w14:paraId="3639D3D5" w14:textId="77777777" w:rsidR="009B7AED" w:rsidRDefault="009B7AED" w:rsidP="00380FE6">
      <w:pPr>
        <w:tabs>
          <w:tab w:val="left" w:pos="1440"/>
        </w:tabs>
        <w:spacing w:after="120"/>
        <w:ind w:left="936"/>
      </w:pPr>
      <w:r>
        <w:rPr>
          <w:rFonts w:eastAsiaTheme="minorEastAsia"/>
        </w:rPr>
        <w:t>Multiple-</w:t>
      </w:r>
      <w:r w:rsidRPr="003E5501">
        <w:t>trailer</w:t>
      </w:r>
      <w:r>
        <w:rPr>
          <w:rFonts w:eastAsiaTheme="minorEastAsia"/>
        </w:rPr>
        <w:t xml:space="preserve"> </w:t>
      </w:r>
      <w:r w:rsidRPr="00F43125">
        <w:rPr>
          <w:rFonts w:eastAsiaTheme="minorEastAsia"/>
        </w:rPr>
        <w:t>combination vehicle</w:t>
      </w:r>
      <w:r>
        <w:rPr>
          <w:rFonts w:eastAsiaTheme="minorEastAsia"/>
        </w:rPr>
        <w:t xml:space="preserve"> </w:t>
      </w:r>
      <w:r w:rsidRPr="00A25FC4">
        <w:t>(FHWA Classes 11, 12, and 13) = 7</w:t>
      </w:r>
    </w:p>
    <w:p w14:paraId="6380536A" w14:textId="77777777" w:rsidR="009B7AED" w:rsidRDefault="009B7AED" w:rsidP="00380FE6">
      <w:pPr>
        <w:tabs>
          <w:tab w:val="left" w:pos="1440"/>
        </w:tabs>
        <w:spacing w:after="120"/>
        <w:ind w:left="936"/>
      </w:pPr>
      <w:r>
        <w:t>Utilize a “m” as a dummy record when counts are missing for the given hour</w:t>
      </w:r>
    </w:p>
    <w:p w14:paraId="4D0CFCD2" w14:textId="77777777" w:rsidR="009B7AED" w:rsidRPr="00A25FC4" w:rsidRDefault="009B7AED" w:rsidP="00083ADA">
      <w:pPr>
        <w:tabs>
          <w:tab w:val="left" w:pos="1440"/>
        </w:tabs>
        <w:spacing w:after="120"/>
        <w:ind w:left="936"/>
        <w:jc w:val="left"/>
      </w:pPr>
      <w:r>
        <w:t>Utilize a “d” as a dummy record when counts were not present for the given hour but the traffic device was working.</w:t>
      </w:r>
    </w:p>
    <w:p w14:paraId="064BF309" w14:textId="4B14590E" w:rsidR="009B7AED" w:rsidRDefault="009B7AED" w:rsidP="00083ADA">
      <w:pPr>
        <w:tabs>
          <w:tab w:val="left" w:pos="1440"/>
        </w:tabs>
        <w:spacing w:after="120"/>
        <w:ind w:left="648"/>
        <w:jc w:val="left"/>
      </w:pPr>
      <w:r>
        <w:t>Digit 2 (Column 30) – the # of axles for the vehicle.</w:t>
      </w:r>
      <w:r w:rsidR="004D4172">
        <w:t xml:space="preserve"> </w:t>
      </w:r>
      <w:r>
        <w:t>If more than 9 axles are observed, code alphanumerically, where 10 = A, 11 = B, etc.</w:t>
      </w:r>
    </w:p>
    <w:p w14:paraId="2AB76594" w14:textId="25AD2D81" w:rsidR="009B7AED" w:rsidRDefault="009B7AED" w:rsidP="003E5501">
      <w:pPr>
        <w:tabs>
          <w:tab w:val="left" w:pos="1440"/>
        </w:tabs>
        <w:spacing w:after="120"/>
        <w:ind w:left="648"/>
      </w:pPr>
      <w:r>
        <w:t xml:space="preserve">Digit 3 (Column 31) – body type (body style defined by FHWA in </w:t>
      </w:r>
      <w:r w:rsidR="00464453">
        <w:fldChar w:fldCharType="begin"/>
      </w:r>
      <w:r w:rsidR="00464453">
        <w:instrText xml:space="preserve"> REF _Ref113275382  \* MERGEFORMAT </w:instrText>
      </w:r>
      <w:r w:rsidR="00464453">
        <w:fldChar w:fldCharType="separate"/>
      </w:r>
      <w:r w:rsidR="00C07DF9" w:rsidRPr="005B1E6D">
        <w:t xml:space="preserve">Table </w:t>
      </w:r>
      <w:r w:rsidR="00C07DF9">
        <w:rPr>
          <w:noProof/>
        </w:rPr>
        <w:t>4</w:t>
      </w:r>
      <w:r w:rsidR="00C07DF9" w:rsidRPr="005B1E6D">
        <w:rPr>
          <w:noProof/>
        </w:rPr>
        <w:noBreakHyphen/>
      </w:r>
      <w:r w:rsidR="00C07DF9">
        <w:rPr>
          <w:noProof/>
        </w:rPr>
        <w:t>24</w:t>
      </w:r>
      <w:r w:rsidR="00464453">
        <w:rPr>
          <w:noProof/>
        </w:rPr>
        <w:fldChar w:fldCharType="end"/>
      </w:r>
      <w:r>
        <w:t xml:space="preserve"> </w:t>
      </w:r>
      <w:r w:rsidRPr="008A0629">
        <w:t>and</w:t>
      </w:r>
      <w:r w:rsidR="00C432AD">
        <w:t xml:space="preserve"> </w:t>
      </w:r>
      <w:r w:rsidR="00C432AD">
        <w:fldChar w:fldCharType="begin"/>
      </w:r>
      <w:r w:rsidR="00C432AD">
        <w:instrText xml:space="preserve"> REF _Ref116032802 \h </w:instrText>
      </w:r>
      <w:r w:rsidR="00C432AD">
        <w:fldChar w:fldCharType="separate"/>
      </w:r>
      <w:r w:rsidR="00C07DF9" w:rsidRPr="005B1A35">
        <w:t xml:space="preserve">Table </w:t>
      </w:r>
      <w:r w:rsidR="00C07DF9">
        <w:rPr>
          <w:noProof/>
        </w:rPr>
        <w:t>4</w:t>
      </w:r>
      <w:r w:rsidR="00C07DF9">
        <w:noBreakHyphen/>
      </w:r>
      <w:r w:rsidR="00C07DF9">
        <w:rPr>
          <w:noProof/>
        </w:rPr>
        <w:t>25</w:t>
      </w:r>
      <w:r w:rsidR="00C432AD">
        <w:fldChar w:fldCharType="end"/>
      </w:r>
      <w:r>
        <w:t>)</w:t>
      </w:r>
    </w:p>
    <w:p w14:paraId="58C0B947" w14:textId="2C39B129" w:rsidR="009B7AED" w:rsidRDefault="009B7AED" w:rsidP="003E5501">
      <w:pPr>
        <w:tabs>
          <w:tab w:val="left" w:pos="1440"/>
        </w:tabs>
        <w:spacing w:after="120"/>
        <w:ind w:left="648"/>
      </w:pPr>
      <w:r>
        <w:t xml:space="preserve">Digit 4 (Column 32) – specific body style (body style defined by FHWA in </w:t>
      </w:r>
      <w:r w:rsidR="00464453">
        <w:fldChar w:fldCharType="begin"/>
      </w:r>
      <w:r w:rsidR="00464453">
        <w:instrText xml:space="preserve"> REF _Ref113275382  \* MERGEFORMAT </w:instrText>
      </w:r>
      <w:r w:rsidR="00464453">
        <w:fldChar w:fldCharType="separate"/>
      </w:r>
      <w:r w:rsidR="00C07DF9" w:rsidRPr="005B1E6D">
        <w:t xml:space="preserve">Table </w:t>
      </w:r>
      <w:r w:rsidR="00C07DF9">
        <w:rPr>
          <w:noProof/>
        </w:rPr>
        <w:t>4</w:t>
      </w:r>
      <w:r w:rsidR="00C07DF9" w:rsidRPr="005B1E6D">
        <w:rPr>
          <w:noProof/>
        </w:rPr>
        <w:noBreakHyphen/>
      </w:r>
      <w:r w:rsidR="00C07DF9">
        <w:rPr>
          <w:noProof/>
        </w:rPr>
        <w:t>24</w:t>
      </w:r>
      <w:r w:rsidR="00464453">
        <w:rPr>
          <w:noProof/>
        </w:rPr>
        <w:fldChar w:fldCharType="end"/>
      </w:r>
      <w:r>
        <w:t xml:space="preserve"> </w:t>
      </w:r>
      <w:r w:rsidRPr="008A0629">
        <w:t>and</w:t>
      </w:r>
      <w:r w:rsidR="00C432AD">
        <w:t xml:space="preserve"> </w:t>
      </w:r>
      <w:r w:rsidR="00C432AD">
        <w:fldChar w:fldCharType="begin"/>
      </w:r>
      <w:r w:rsidR="00C432AD">
        <w:instrText xml:space="preserve"> REF _Ref116032802 \h </w:instrText>
      </w:r>
      <w:r w:rsidR="00C432AD">
        <w:fldChar w:fldCharType="separate"/>
      </w:r>
      <w:r w:rsidR="00C07DF9" w:rsidRPr="005B1A35">
        <w:t xml:space="preserve">Table </w:t>
      </w:r>
      <w:r w:rsidR="00C07DF9">
        <w:rPr>
          <w:noProof/>
        </w:rPr>
        <w:t>4</w:t>
      </w:r>
      <w:r w:rsidR="00C07DF9">
        <w:noBreakHyphen/>
      </w:r>
      <w:r w:rsidR="00C07DF9">
        <w:rPr>
          <w:noProof/>
        </w:rPr>
        <w:t>25</w:t>
      </w:r>
      <w:r w:rsidR="00C432AD">
        <w:fldChar w:fldCharType="end"/>
      </w:r>
      <w:r>
        <w:t xml:space="preserve">) </w:t>
      </w:r>
    </w:p>
    <w:p w14:paraId="7490C2D0" w14:textId="77777777" w:rsidR="009B7AED" w:rsidRDefault="009B7AED" w:rsidP="003E5501">
      <w:pPr>
        <w:tabs>
          <w:tab w:val="left" w:pos="1440"/>
        </w:tabs>
        <w:spacing w:after="120"/>
        <w:ind w:left="648"/>
      </w:pPr>
      <w:r>
        <w:t>Digit 5 (Column 33) – pulling additional part attribute</w:t>
      </w:r>
    </w:p>
    <w:p w14:paraId="708EA696" w14:textId="14EC98E3" w:rsidR="009B7AED" w:rsidRDefault="009B7AED" w:rsidP="00380FE6">
      <w:pPr>
        <w:tabs>
          <w:tab w:val="left" w:pos="1440"/>
        </w:tabs>
        <w:spacing w:after="120"/>
        <w:ind w:left="936"/>
      </w:pPr>
      <w:r>
        <w:t>0 = No additional part</w:t>
      </w:r>
    </w:p>
    <w:p w14:paraId="2B99C09B" w14:textId="53B1F928" w:rsidR="009B7AED" w:rsidRDefault="009B7AED" w:rsidP="00380FE6">
      <w:pPr>
        <w:tabs>
          <w:tab w:val="left" w:pos="1440"/>
        </w:tabs>
        <w:spacing w:after="120"/>
        <w:ind w:left="936"/>
      </w:pPr>
      <w:r>
        <w:t>1 = FHWA 1, FHWA 2, FHWA 3 pulling a trailer/platform/vehicle/etc.</w:t>
      </w:r>
    </w:p>
    <w:p w14:paraId="447EB461" w14:textId="6DB05250" w:rsidR="009B7AED" w:rsidRDefault="009B7AED" w:rsidP="00380FE6">
      <w:pPr>
        <w:tabs>
          <w:tab w:val="left" w:pos="1440"/>
        </w:tabs>
        <w:spacing w:after="120"/>
        <w:ind w:left="936"/>
      </w:pPr>
      <w:r>
        <w:t>3 = Single unit truck (FHWA 4-7) pulling a FHWA 2/FHWA 3/tractor/single unit truck</w:t>
      </w:r>
    </w:p>
    <w:p w14:paraId="4BDABE4F" w14:textId="2052BEA6" w:rsidR="009B7AED" w:rsidRDefault="009B7AED" w:rsidP="00380FE6">
      <w:pPr>
        <w:tabs>
          <w:tab w:val="left" w:pos="1440"/>
        </w:tabs>
        <w:spacing w:after="120"/>
        <w:ind w:left="936"/>
      </w:pPr>
      <w:r>
        <w:t>5 = Single unit truck (FHWA 4-7) or Combination unit truck pulling an auto trailer</w:t>
      </w:r>
    </w:p>
    <w:p w14:paraId="21C3CB12" w14:textId="2168BC40" w:rsidR="009B7AED" w:rsidRDefault="009B7AED" w:rsidP="00380FE6">
      <w:pPr>
        <w:tabs>
          <w:tab w:val="left" w:pos="1440"/>
        </w:tabs>
        <w:spacing w:after="120"/>
        <w:ind w:left="936"/>
      </w:pPr>
      <w:r>
        <w:t>7 = Single unit truck (FHWA 4-7) pulling a trailer/platform (trailer truck type)</w:t>
      </w:r>
    </w:p>
    <w:p w14:paraId="6F523A5E" w14:textId="4A0AA3D7" w:rsidR="009B7AED" w:rsidRDefault="009B7AED" w:rsidP="00380FE6">
      <w:pPr>
        <w:tabs>
          <w:tab w:val="left" w:pos="1440"/>
        </w:tabs>
        <w:spacing w:after="120"/>
        <w:ind w:left="936"/>
      </w:pPr>
      <w:r>
        <w:t>9 = Others</w:t>
      </w:r>
    </w:p>
    <w:p w14:paraId="40961744" w14:textId="1A2385A9" w:rsidR="00380FE6" w:rsidRDefault="009B7AED" w:rsidP="00083ADA">
      <w:pPr>
        <w:tabs>
          <w:tab w:val="left" w:pos="1440"/>
        </w:tabs>
        <w:spacing w:after="120"/>
        <w:ind w:left="648"/>
        <w:jc w:val="left"/>
      </w:pPr>
      <w:r w:rsidRPr="009A7097">
        <w:lastRenderedPageBreak/>
        <w:t>This</w:t>
      </w:r>
      <w:r>
        <w:t xml:space="preserve"> signature</w:t>
      </w:r>
      <w:r w:rsidRPr="009A7097">
        <w:t xml:space="preserve"> field can also be used for other purposes such as vehicle overhang, vehicle width, or other uses. Blank fill all unused columns. For any distance measurement (English)</w:t>
      </w:r>
      <w:r>
        <w:t>,</w:t>
      </w:r>
      <w:r w:rsidRPr="009A7097">
        <w:t xml:space="preserve"> the decimal is implied to be between columns 3</w:t>
      </w:r>
      <w:r>
        <w:t>2</w:t>
      </w:r>
      <w:r w:rsidRPr="009A7097">
        <w:t xml:space="preserve"> and 3</w:t>
      </w:r>
      <w:r>
        <w:t>3</w:t>
      </w:r>
      <w:r w:rsidRPr="009A7097">
        <w:t xml:space="preserve"> (</w:t>
      </w:r>
      <w:r>
        <w:t>X</w:t>
      </w:r>
      <w:r w:rsidRPr="009A7097">
        <w:t>XXX.X)</w:t>
      </w:r>
    </w:p>
    <w:p w14:paraId="590773ED" w14:textId="7F952E11" w:rsidR="009B7AED" w:rsidRPr="005B1E6D" w:rsidRDefault="009B7AED" w:rsidP="005B1E6D">
      <w:pPr>
        <w:pStyle w:val="TMGTableCaption"/>
      </w:pPr>
      <w:bookmarkStart w:id="3138" w:name="_Ref113275382"/>
      <w:bookmarkStart w:id="3139" w:name="_Toc109333461"/>
      <w:bookmarkStart w:id="3140" w:name="_Toc109333789"/>
      <w:bookmarkStart w:id="3141" w:name="_Toc113282529"/>
      <w:bookmarkStart w:id="3142" w:name="_Toc114474866"/>
      <w:bookmarkStart w:id="3143" w:name="_Toc120631172"/>
      <w:r w:rsidRPr="005B1E6D">
        <w:t xml:space="preserve">Table </w:t>
      </w:r>
      <w:fldSimple w:instr=" STYLEREF 1 \s ">
        <w:r w:rsidR="00C07DF9">
          <w:rPr>
            <w:noProof/>
          </w:rPr>
          <w:t>4</w:t>
        </w:r>
      </w:fldSimple>
      <w:r w:rsidRPr="005B1E6D">
        <w:noBreakHyphen/>
      </w:r>
      <w:fldSimple w:instr=" SEQ Table \* ARABIC \s 1 ">
        <w:r w:rsidR="00C07DF9">
          <w:rPr>
            <w:noProof/>
          </w:rPr>
          <w:t>24</w:t>
        </w:r>
      </w:fldSimple>
      <w:bookmarkEnd w:id="3138"/>
      <w:r w:rsidR="00523F14">
        <w:t>.</w:t>
      </w:r>
      <w:r w:rsidRPr="005B1E6D">
        <w:t xml:space="preserve"> Individual Codes for Class and Body Type 1&lt;5</w:t>
      </w:r>
      <w:bookmarkEnd w:id="3139"/>
      <w:bookmarkEnd w:id="3140"/>
      <w:bookmarkEnd w:id="3141"/>
      <w:bookmarkEnd w:id="3142"/>
      <w:bookmarkEnd w:id="3143"/>
    </w:p>
    <w:tbl>
      <w:tblPr>
        <w:tblStyle w:val="TMGTable10"/>
        <w:tblW w:w="9360" w:type="dxa"/>
        <w:tblLook w:val="04A0" w:firstRow="1" w:lastRow="0" w:firstColumn="1" w:lastColumn="0" w:noHBand="0" w:noVBand="1"/>
      </w:tblPr>
      <w:tblGrid>
        <w:gridCol w:w="890"/>
        <w:gridCol w:w="1710"/>
        <w:gridCol w:w="817"/>
        <w:gridCol w:w="5943"/>
      </w:tblGrid>
      <w:tr w:rsidR="009B7AED" w:rsidRPr="00380FE6" w14:paraId="53F338B9" w14:textId="77777777" w:rsidTr="00701BE1">
        <w:trPr>
          <w:cnfStyle w:val="100000000000" w:firstRow="1" w:lastRow="0" w:firstColumn="0" w:lastColumn="0" w:oddVBand="0" w:evenVBand="0" w:oddHBand="0" w:evenHBand="0" w:firstRowFirstColumn="0" w:firstRowLastColumn="0" w:lastRowFirstColumn="0" w:lastRowLastColumn="0"/>
          <w:trHeight w:val="300"/>
        </w:trPr>
        <w:tc>
          <w:tcPr>
            <w:tcW w:w="890" w:type="dxa"/>
            <w:noWrap/>
            <w:hideMark/>
          </w:tcPr>
          <w:p w14:paraId="0DF73E57" w14:textId="77777777" w:rsidR="009B7AED" w:rsidRPr="00380FE6" w:rsidRDefault="009B7AED" w:rsidP="00380FE6">
            <w:pPr>
              <w:pStyle w:val="TMGTableTextHeader"/>
            </w:pPr>
            <w:r w:rsidRPr="00380FE6">
              <w:t>Code 3</w:t>
            </w:r>
          </w:p>
        </w:tc>
        <w:tc>
          <w:tcPr>
            <w:tcW w:w="1710" w:type="dxa"/>
            <w:hideMark/>
          </w:tcPr>
          <w:p w14:paraId="611F5104" w14:textId="21A08BDC" w:rsidR="009B7AED" w:rsidRPr="00380FE6" w:rsidRDefault="009B7AED" w:rsidP="00380FE6">
            <w:pPr>
              <w:pStyle w:val="TMGTableTextHeader"/>
            </w:pPr>
            <w:r w:rsidRPr="00380FE6">
              <w:t xml:space="preserve">Body </w:t>
            </w:r>
            <w:r w:rsidR="00380FE6">
              <w:t>T</w:t>
            </w:r>
            <w:r w:rsidRPr="00380FE6">
              <w:t>ype</w:t>
            </w:r>
            <w:r w:rsidR="005B1E6D">
              <w:br/>
            </w:r>
            <w:r w:rsidRPr="00380FE6">
              <w:t xml:space="preserve">(Body </w:t>
            </w:r>
            <w:r w:rsidR="00380FE6">
              <w:t>S</w:t>
            </w:r>
            <w:r w:rsidRPr="00380FE6">
              <w:t>tyle)</w:t>
            </w:r>
          </w:p>
        </w:tc>
        <w:tc>
          <w:tcPr>
            <w:tcW w:w="817" w:type="dxa"/>
            <w:noWrap/>
            <w:hideMark/>
          </w:tcPr>
          <w:p w14:paraId="0973F640" w14:textId="77777777" w:rsidR="009B7AED" w:rsidRPr="00380FE6" w:rsidRDefault="009B7AED" w:rsidP="00380FE6">
            <w:pPr>
              <w:pStyle w:val="TMGTableTextHeader"/>
            </w:pPr>
            <w:r w:rsidRPr="00380FE6">
              <w:t>Code 4</w:t>
            </w:r>
          </w:p>
        </w:tc>
        <w:tc>
          <w:tcPr>
            <w:tcW w:w="5943" w:type="dxa"/>
            <w:noWrap/>
            <w:hideMark/>
          </w:tcPr>
          <w:p w14:paraId="40BAA907" w14:textId="475484F9" w:rsidR="009B7AED" w:rsidRPr="00380FE6" w:rsidRDefault="009B7AED" w:rsidP="00380FE6">
            <w:pPr>
              <w:pStyle w:val="TMGTableTextHeader"/>
            </w:pPr>
            <w:r w:rsidRPr="00380FE6">
              <w:t xml:space="preserve">Specific </w:t>
            </w:r>
            <w:r w:rsidR="00380FE6">
              <w:t>B</w:t>
            </w:r>
            <w:r w:rsidRPr="00380FE6">
              <w:t xml:space="preserve">ody </w:t>
            </w:r>
            <w:r w:rsidR="00380FE6">
              <w:t>T</w:t>
            </w:r>
            <w:r w:rsidRPr="00380FE6">
              <w:t xml:space="preserve">ype (Specific </w:t>
            </w:r>
            <w:r w:rsidR="00380FE6">
              <w:t>B</w:t>
            </w:r>
            <w:r w:rsidRPr="00380FE6">
              <w:t xml:space="preserve">ody </w:t>
            </w:r>
            <w:r w:rsidR="00380FE6">
              <w:t>S</w:t>
            </w:r>
            <w:r w:rsidRPr="00380FE6">
              <w:t>tyle)</w:t>
            </w:r>
          </w:p>
        </w:tc>
      </w:tr>
      <w:tr w:rsidR="009B7AED" w:rsidRPr="00380FE6" w14:paraId="7419A306" w14:textId="77777777" w:rsidTr="00701BE1">
        <w:trPr>
          <w:trHeight w:val="260"/>
        </w:trPr>
        <w:tc>
          <w:tcPr>
            <w:tcW w:w="890" w:type="dxa"/>
            <w:noWrap/>
            <w:hideMark/>
          </w:tcPr>
          <w:p w14:paraId="34D4007A" w14:textId="77777777" w:rsidR="009B7AED" w:rsidRPr="00220FFB" w:rsidRDefault="009B7AED" w:rsidP="00220FFB">
            <w:pPr>
              <w:pStyle w:val="TMGTableText"/>
              <w:jc w:val="center"/>
              <w:rPr>
                <w:b/>
                <w:bCs/>
              </w:rPr>
            </w:pPr>
            <w:r w:rsidRPr="00220FFB">
              <w:rPr>
                <w:b/>
                <w:bCs/>
              </w:rPr>
              <w:t>0</w:t>
            </w:r>
          </w:p>
        </w:tc>
        <w:tc>
          <w:tcPr>
            <w:tcW w:w="1710" w:type="dxa"/>
            <w:hideMark/>
          </w:tcPr>
          <w:p w14:paraId="4423180B" w14:textId="77777777" w:rsidR="009B7AED" w:rsidRPr="00380FE6" w:rsidRDefault="009B7AED" w:rsidP="005B1E6D">
            <w:pPr>
              <w:pStyle w:val="TMGTableText"/>
            </w:pPr>
            <w:r w:rsidRPr="00380FE6">
              <w:t>Blocked (may be blocked or N/A)</w:t>
            </w:r>
          </w:p>
        </w:tc>
        <w:tc>
          <w:tcPr>
            <w:tcW w:w="817" w:type="dxa"/>
            <w:noWrap/>
            <w:hideMark/>
          </w:tcPr>
          <w:p w14:paraId="115E4207" w14:textId="77777777" w:rsidR="009B7AED" w:rsidRPr="00380FE6" w:rsidRDefault="009B7AED" w:rsidP="005B1E6D">
            <w:pPr>
              <w:pStyle w:val="TMGTableText"/>
              <w:jc w:val="center"/>
            </w:pPr>
            <w:r w:rsidRPr="00380FE6">
              <w:t>0</w:t>
            </w:r>
          </w:p>
        </w:tc>
        <w:tc>
          <w:tcPr>
            <w:tcW w:w="5943" w:type="dxa"/>
            <w:noWrap/>
            <w:hideMark/>
          </w:tcPr>
          <w:p w14:paraId="6817CCD3" w14:textId="77777777" w:rsidR="009B7AED" w:rsidRPr="00380FE6" w:rsidRDefault="009B7AED" w:rsidP="005B1E6D">
            <w:pPr>
              <w:pStyle w:val="TMGTableText"/>
            </w:pPr>
            <w:r w:rsidRPr="00380FE6">
              <w:t>N/A</w:t>
            </w:r>
          </w:p>
        </w:tc>
      </w:tr>
      <w:tr w:rsidR="009B7AED" w:rsidRPr="00380FE6" w14:paraId="6B39A980" w14:textId="77777777" w:rsidTr="00701BE1">
        <w:trPr>
          <w:trHeight w:val="300"/>
        </w:trPr>
        <w:tc>
          <w:tcPr>
            <w:tcW w:w="890" w:type="dxa"/>
            <w:vMerge w:val="restart"/>
            <w:noWrap/>
            <w:hideMark/>
          </w:tcPr>
          <w:p w14:paraId="16901E5C" w14:textId="77777777" w:rsidR="009B7AED" w:rsidRPr="00220FFB" w:rsidRDefault="009B7AED" w:rsidP="00220FFB">
            <w:pPr>
              <w:pStyle w:val="TMGTableText"/>
              <w:jc w:val="center"/>
              <w:rPr>
                <w:b/>
                <w:bCs/>
              </w:rPr>
            </w:pPr>
            <w:r w:rsidRPr="00220FFB">
              <w:rPr>
                <w:b/>
                <w:bCs/>
              </w:rPr>
              <w:t>1</w:t>
            </w:r>
          </w:p>
        </w:tc>
        <w:tc>
          <w:tcPr>
            <w:tcW w:w="1710" w:type="dxa"/>
            <w:vMerge w:val="restart"/>
            <w:hideMark/>
          </w:tcPr>
          <w:p w14:paraId="31E96898" w14:textId="77777777" w:rsidR="009B7AED" w:rsidRPr="00380FE6" w:rsidRDefault="009B7AED" w:rsidP="005B1E6D">
            <w:pPr>
              <w:pStyle w:val="TMGTableText"/>
            </w:pPr>
            <w:r w:rsidRPr="00380FE6">
              <w:t>Motorcycles (FHWA1)</w:t>
            </w:r>
          </w:p>
        </w:tc>
        <w:tc>
          <w:tcPr>
            <w:tcW w:w="817" w:type="dxa"/>
            <w:noWrap/>
            <w:hideMark/>
          </w:tcPr>
          <w:p w14:paraId="625E5965" w14:textId="77777777" w:rsidR="009B7AED" w:rsidRPr="00380FE6" w:rsidRDefault="009B7AED" w:rsidP="005B1E6D">
            <w:pPr>
              <w:pStyle w:val="TMGTableText"/>
              <w:jc w:val="center"/>
            </w:pPr>
            <w:r w:rsidRPr="00380FE6">
              <w:t>0</w:t>
            </w:r>
          </w:p>
        </w:tc>
        <w:tc>
          <w:tcPr>
            <w:tcW w:w="5943" w:type="dxa"/>
            <w:noWrap/>
            <w:hideMark/>
          </w:tcPr>
          <w:p w14:paraId="58987126" w14:textId="77777777" w:rsidR="009B7AED" w:rsidRPr="00380FE6" w:rsidRDefault="009B7AED" w:rsidP="005B1E6D">
            <w:pPr>
              <w:pStyle w:val="TMGTableText"/>
            </w:pPr>
            <w:r w:rsidRPr="00380FE6">
              <w:t>Blocked</w:t>
            </w:r>
          </w:p>
        </w:tc>
      </w:tr>
      <w:tr w:rsidR="009B7AED" w:rsidRPr="00380FE6" w14:paraId="381A8FE9" w14:textId="77777777" w:rsidTr="00701BE1">
        <w:trPr>
          <w:trHeight w:val="300"/>
        </w:trPr>
        <w:tc>
          <w:tcPr>
            <w:tcW w:w="890" w:type="dxa"/>
            <w:vMerge/>
            <w:hideMark/>
          </w:tcPr>
          <w:p w14:paraId="1E288684" w14:textId="77777777" w:rsidR="009B7AED" w:rsidRPr="00220FFB" w:rsidRDefault="009B7AED" w:rsidP="00220FFB">
            <w:pPr>
              <w:pStyle w:val="TMGTableText"/>
              <w:jc w:val="center"/>
              <w:rPr>
                <w:b/>
                <w:bCs/>
              </w:rPr>
            </w:pPr>
          </w:p>
        </w:tc>
        <w:tc>
          <w:tcPr>
            <w:tcW w:w="1710" w:type="dxa"/>
            <w:vMerge/>
            <w:hideMark/>
          </w:tcPr>
          <w:p w14:paraId="13BD48E7" w14:textId="77777777" w:rsidR="009B7AED" w:rsidRPr="00380FE6" w:rsidRDefault="009B7AED" w:rsidP="005B1E6D">
            <w:pPr>
              <w:pStyle w:val="TMGTableText"/>
            </w:pPr>
          </w:p>
        </w:tc>
        <w:tc>
          <w:tcPr>
            <w:tcW w:w="817" w:type="dxa"/>
            <w:noWrap/>
            <w:hideMark/>
          </w:tcPr>
          <w:p w14:paraId="5FA27C50" w14:textId="77777777" w:rsidR="009B7AED" w:rsidRPr="00380FE6" w:rsidRDefault="009B7AED" w:rsidP="005B1E6D">
            <w:pPr>
              <w:pStyle w:val="TMGTableText"/>
              <w:jc w:val="center"/>
            </w:pPr>
            <w:r w:rsidRPr="00380FE6">
              <w:t>1</w:t>
            </w:r>
          </w:p>
        </w:tc>
        <w:tc>
          <w:tcPr>
            <w:tcW w:w="5943" w:type="dxa"/>
            <w:noWrap/>
            <w:hideMark/>
          </w:tcPr>
          <w:p w14:paraId="77880451" w14:textId="77777777" w:rsidR="009B7AED" w:rsidRPr="00380FE6" w:rsidRDefault="009B7AED" w:rsidP="005B1E6D">
            <w:pPr>
              <w:pStyle w:val="TMGTableText"/>
            </w:pPr>
            <w:r w:rsidRPr="00380FE6">
              <w:t>Moped, Motorcycle</w:t>
            </w:r>
          </w:p>
        </w:tc>
      </w:tr>
      <w:tr w:rsidR="009B7AED" w:rsidRPr="00380FE6" w14:paraId="012D5959" w14:textId="77777777" w:rsidTr="00701BE1">
        <w:trPr>
          <w:trHeight w:val="300"/>
        </w:trPr>
        <w:tc>
          <w:tcPr>
            <w:tcW w:w="890" w:type="dxa"/>
            <w:vMerge/>
            <w:hideMark/>
          </w:tcPr>
          <w:p w14:paraId="6E0FBA7A" w14:textId="77777777" w:rsidR="009B7AED" w:rsidRPr="00220FFB" w:rsidRDefault="009B7AED" w:rsidP="00220FFB">
            <w:pPr>
              <w:pStyle w:val="TMGTableText"/>
              <w:jc w:val="center"/>
              <w:rPr>
                <w:b/>
                <w:bCs/>
              </w:rPr>
            </w:pPr>
          </w:p>
        </w:tc>
        <w:tc>
          <w:tcPr>
            <w:tcW w:w="1710" w:type="dxa"/>
            <w:vMerge/>
            <w:hideMark/>
          </w:tcPr>
          <w:p w14:paraId="6C71DC8B" w14:textId="77777777" w:rsidR="009B7AED" w:rsidRPr="00380FE6" w:rsidRDefault="009B7AED" w:rsidP="005B1E6D">
            <w:pPr>
              <w:pStyle w:val="TMGTableText"/>
            </w:pPr>
          </w:p>
        </w:tc>
        <w:tc>
          <w:tcPr>
            <w:tcW w:w="817" w:type="dxa"/>
            <w:noWrap/>
            <w:hideMark/>
          </w:tcPr>
          <w:p w14:paraId="6726B502" w14:textId="77777777" w:rsidR="009B7AED" w:rsidRPr="00380FE6" w:rsidRDefault="009B7AED" w:rsidP="005B1E6D">
            <w:pPr>
              <w:pStyle w:val="TMGTableText"/>
              <w:jc w:val="center"/>
            </w:pPr>
            <w:r w:rsidRPr="00380FE6">
              <w:t>2</w:t>
            </w:r>
          </w:p>
        </w:tc>
        <w:tc>
          <w:tcPr>
            <w:tcW w:w="5943" w:type="dxa"/>
            <w:noWrap/>
            <w:hideMark/>
          </w:tcPr>
          <w:p w14:paraId="52FAF8F3" w14:textId="77777777" w:rsidR="009B7AED" w:rsidRPr="00380FE6" w:rsidRDefault="009B7AED" w:rsidP="005B1E6D">
            <w:pPr>
              <w:pStyle w:val="TMGTableText"/>
            </w:pPr>
            <w:r w:rsidRPr="00380FE6">
              <w:t>2-front tire motorcycle</w:t>
            </w:r>
          </w:p>
        </w:tc>
      </w:tr>
      <w:tr w:rsidR="009B7AED" w:rsidRPr="00380FE6" w14:paraId="6FB1E282" w14:textId="77777777" w:rsidTr="00701BE1">
        <w:trPr>
          <w:trHeight w:val="300"/>
        </w:trPr>
        <w:tc>
          <w:tcPr>
            <w:tcW w:w="890" w:type="dxa"/>
            <w:vMerge/>
            <w:hideMark/>
          </w:tcPr>
          <w:p w14:paraId="43C9615B" w14:textId="77777777" w:rsidR="009B7AED" w:rsidRPr="00220FFB" w:rsidRDefault="009B7AED" w:rsidP="00220FFB">
            <w:pPr>
              <w:pStyle w:val="TMGTableText"/>
              <w:jc w:val="center"/>
              <w:rPr>
                <w:b/>
                <w:bCs/>
              </w:rPr>
            </w:pPr>
          </w:p>
        </w:tc>
        <w:tc>
          <w:tcPr>
            <w:tcW w:w="1710" w:type="dxa"/>
            <w:vMerge/>
            <w:hideMark/>
          </w:tcPr>
          <w:p w14:paraId="1FA8B87A" w14:textId="77777777" w:rsidR="009B7AED" w:rsidRPr="00380FE6" w:rsidRDefault="009B7AED" w:rsidP="005B1E6D">
            <w:pPr>
              <w:pStyle w:val="TMGTableText"/>
            </w:pPr>
          </w:p>
        </w:tc>
        <w:tc>
          <w:tcPr>
            <w:tcW w:w="817" w:type="dxa"/>
            <w:noWrap/>
            <w:hideMark/>
          </w:tcPr>
          <w:p w14:paraId="26B9EC26" w14:textId="77777777" w:rsidR="009B7AED" w:rsidRPr="00380FE6" w:rsidRDefault="009B7AED" w:rsidP="005B1E6D">
            <w:pPr>
              <w:pStyle w:val="TMGTableText"/>
              <w:jc w:val="center"/>
            </w:pPr>
            <w:r w:rsidRPr="00380FE6">
              <w:t>3</w:t>
            </w:r>
          </w:p>
        </w:tc>
        <w:tc>
          <w:tcPr>
            <w:tcW w:w="5943" w:type="dxa"/>
            <w:noWrap/>
            <w:hideMark/>
          </w:tcPr>
          <w:p w14:paraId="45A540C0" w14:textId="77777777" w:rsidR="009B7AED" w:rsidRPr="00380FE6" w:rsidRDefault="009B7AED" w:rsidP="005B1E6D">
            <w:pPr>
              <w:pStyle w:val="TMGTableText"/>
            </w:pPr>
            <w:r w:rsidRPr="00380FE6">
              <w:t>2-rear tire motorcycle</w:t>
            </w:r>
          </w:p>
        </w:tc>
      </w:tr>
      <w:tr w:rsidR="009B7AED" w:rsidRPr="00380FE6" w14:paraId="3FBD595A" w14:textId="77777777" w:rsidTr="00701BE1">
        <w:trPr>
          <w:trHeight w:val="300"/>
        </w:trPr>
        <w:tc>
          <w:tcPr>
            <w:tcW w:w="890" w:type="dxa"/>
            <w:vMerge/>
            <w:hideMark/>
          </w:tcPr>
          <w:p w14:paraId="164B907D" w14:textId="77777777" w:rsidR="009B7AED" w:rsidRPr="00220FFB" w:rsidRDefault="009B7AED" w:rsidP="00220FFB">
            <w:pPr>
              <w:pStyle w:val="TMGTableText"/>
              <w:jc w:val="center"/>
              <w:rPr>
                <w:b/>
                <w:bCs/>
              </w:rPr>
            </w:pPr>
          </w:p>
        </w:tc>
        <w:tc>
          <w:tcPr>
            <w:tcW w:w="1710" w:type="dxa"/>
            <w:vMerge/>
            <w:hideMark/>
          </w:tcPr>
          <w:p w14:paraId="6BF2B73E" w14:textId="77777777" w:rsidR="009B7AED" w:rsidRPr="00380FE6" w:rsidRDefault="009B7AED" w:rsidP="005B1E6D">
            <w:pPr>
              <w:pStyle w:val="TMGTableText"/>
            </w:pPr>
          </w:p>
        </w:tc>
        <w:tc>
          <w:tcPr>
            <w:tcW w:w="817" w:type="dxa"/>
            <w:noWrap/>
            <w:hideMark/>
          </w:tcPr>
          <w:p w14:paraId="596CA954" w14:textId="77777777" w:rsidR="009B7AED" w:rsidRPr="00380FE6" w:rsidRDefault="009B7AED" w:rsidP="005B1E6D">
            <w:pPr>
              <w:pStyle w:val="TMGTableText"/>
              <w:jc w:val="center"/>
            </w:pPr>
            <w:r w:rsidRPr="00380FE6">
              <w:t>4</w:t>
            </w:r>
          </w:p>
        </w:tc>
        <w:tc>
          <w:tcPr>
            <w:tcW w:w="5943" w:type="dxa"/>
            <w:noWrap/>
            <w:hideMark/>
          </w:tcPr>
          <w:p w14:paraId="38A8D342" w14:textId="77777777" w:rsidR="009B7AED" w:rsidRPr="00380FE6" w:rsidRDefault="009B7AED" w:rsidP="005B1E6D">
            <w:pPr>
              <w:pStyle w:val="TMGTableText"/>
            </w:pPr>
            <w:r w:rsidRPr="00380FE6">
              <w:t>Sidecar motorcycle</w:t>
            </w:r>
          </w:p>
        </w:tc>
      </w:tr>
      <w:tr w:rsidR="009B7AED" w:rsidRPr="00380FE6" w14:paraId="47ABC9F5" w14:textId="77777777" w:rsidTr="00701BE1">
        <w:trPr>
          <w:trHeight w:val="300"/>
        </w:trPr>
        <w:tc>
          <w:tcPr>
            <w:tcW w:w="890" w:type="dxa"/>
            <w:vMerge/>
            <w:hideMark/>
          </w:tcPr>
          <w:p w14:paraId="5E19AB62" w14:textId="77777777" w:rsidR="009B7AED" w:rsidRPr="00220FFB" w:rsidRDefault="009B7AED" w:rsidP="00220FFB">
            <w:pPr>
              <w:pStyle w:val="TMGTableText"/>
              <w:jc w:val="center"/>
              <w:rPr>
                <w:b/>
                <w:bCs/>
              </w:rPr>
            </w:pPr>
          </w:p>
        </w:tc>
        <w:tc>
          <w:tcPr>
            <w:tcW w:w="1710" w:type="dxa"/>
            <w:vMerge/>
            <w:hideMark/>
          </w:tcPr>
          <w:p w14:paraId="19D0B8B4" w14:textId="77777777" w:rsidR="009B7AED" w:rsidRPr="00380FE6" w:rsidRDefault="009B7AED" w:rsidP="005B1E6D">
            <w:pPr>
              <w:pStyle w:val="TMGTableText"/>
            </w:pPr>
          </w:p>
        </w:tc>
        <w:tc>
          <w:tcPr>
            <w:tcW w:w="817" w:type="dxa"/>
            <w:noWrap/>
            <w:hideMark/>
          </w:tcPr>
          <w:p w14:paraId="774A8CA8" w14:textId="77777777" w:rsidR="009B7AED" w:rsidRPr="00380FE6" w:rsidRDefault="009B7AED" w:rsidP="005B1E6D">
            <w:pPr>
              <w:pStyle w:val="TMGTableText"/>
              <w:jc w:val="center"/>
            </w:pPr>
            <w:r w:rsidRPr="00380FE6">
              <w:t>9</w:t>
            </w:r>
          </w:p>
        </w:tc>
        <w:tc>
          <w:tcPr>
            <w:tcW w:w="5943" w:type="dxa"/>
            <w:noWrap/>
            <w:hideMark/>
          </w:tcPr>
          <w:p w14:paraId="0202FCE0" w14:textId="77777777" w:rsidR="009B7AED" w:rsidRPr="00380FE6" w:rsidRDefault="009B7AED" w:rsidP="005B1E6D">
            <w:pPr>
              <w:pStyle w:val="TMGTableText"/>
            </w:pPr>
            <w:r w:rsidRPr="00380FE6">
              <w:t>Others</w:t>
            </w:r>
          </w:p>
        </w:tc>
      </w:tr>
      <w:tr w:rsidR="009B7AED" w:rsidRPr="00380FE6" w14:paraId="22BC89AF" w14:textId="77777777" w:rsidTr="00701BE1">
        <w:trPr>
          <w:trHeight w:val="300"/>
        </w:trPr>
        <w:tc>
          <w:tcPr>
            <w:tcW w:w="890" w:type="dxa"/>
            <w:vMerge w:val="restart"/>
            <w:noWrap/>
            <w:hideMark/>
          </w:tcPr>
          <w:p w14:paraId="246F98C5" w14:textId="77777777" w:rsidR="009B7AED" w:rsidRPr="00220FFB" w:rsidRDefault="009B7AED" w:rsidP="00220FFB">
            <w:pPr>
              <w:pStyle w:val="TMGTableText"/>
              <w:jc w:val="center"/>
              <w:rPr>
                <w:b/>
                <w:bCs/>
              </w:rPr>
            </w:pPr>
            <w:r w:rsidRPr="00220FFB">
              <w:rPr>
                <w:b/>
                <w:bCs/>
              </w:rPr>
              <w:t>2</w:t>
            </w:r>
          </w:p>
        </w:tc>
        <w:tc>
          <w:tcPr>
            <w:tcW w:w="1710" w:type="dxa"/>
            <w:vMerge w:val="restart"/>
            <w:hideMark/>
          </w:tcPr>
          <w:p w14:paraId="68448319" w14:textId="77777777" w:rsidR="009B7AED" w:rsidRPr="00380FE6" w:rsidRDefault="009B7AED" w:rsidP="005B1E6D">
            <w:pPr>
              <w:pStyle w:val="TMGTableText"/>
            </w:pPr>
            <w:r w:rsidRPr="00380FE6">
              <w:t>Passenger car (FHWA2)</w:t>
            </w:r>
          </w:p>
        </w:tc>
        <w:tc>
          <w:tcPr>
            <w:tcW w:w="817" w:type="dxa"/>
            <w:noWrap/>
            <w:hideMark/>
          </w:tcPr>
          <w:p w14:paraId="27664581" w14:textId="77777777" w:rsidR="009B7AED" w:rsidRPr="00380FE6" w:rsidRDefault="009B7AED" w:rsidP="005B1E6D">
            <w:pPr>
              <w:pStyle w:val="TMGTableText"/>
              <w:jc w:val="center"/>
            </w:pPr>
            <w:r w:rsidRPr="00380FE6">
              <w:t>0</w:t>
            </w:r>
          </w:p>
        </w:tc>
        <w:tc>
          <w:tcPr>
            <w:tcW w:w="5943" w:type="dxa"/>
            <w:noWrap/>
            <w:hideMark/>
          </w:tcPr>
          <w:p w14:paraId="19851D2A" w14:textId="77777777" w:rsidR="009B7AED" w:rsidRPr="00380FE6" w:rsidRDefault="009B7AED" w:rsidP="005B1E6D">
            <w:pPr>
              <w:pStyle w:val="TMGTableText"/>
            </w:pPr>
            <w:r w:rsidRPr="00380FE6">
              <w:t>Blocked</w:t>
            </w:r>
          </w:p>
        </w:tc>
      </w:tr>
      <w:tr w:rsidR="009B7AED" w:rsidRPr="00380FE6" w14:paraId="51C4395C" w14:textId="77777777" w:rsidTr="00701BE1">
        <w:trPr>
          <w:trHeight w:val="300"/>
        </w:trPr>
        <w:tc>
          <w:tcPr>
            <w:tcW w:w="890" w:type="dxa"/>
            <w:vMerge/>
            <w:hideMark/>
          </w:tcPr>
          <w:p w14:paraId="35FAC59B" w14:textId="77777777" w:rsidR="009B7AED" w:rsidRPr="00220FFB" w:rsidRDefault="009B7AED" w:rsidP="00220FFB">
            <w:pPr>
              <w:pStyle w:val="TMGTableText"/>
              <w:jc w:val="center"/>
              <w:rPr>
                <w:b/>
                <w:bCs/>
              </w:rPr>
            </w:pPr>
          </w:p>
        </w:tc>
        <w:tc>
          <w:tcPr>
            <w:tcW w:w="1710" w:type="dxa"/>
            <w:vMerge/>
            <w:hideMark/>
          </w:tcPr>
          <w:p w14:paraId="707BACA3" w14:textId="77777777" w:rsidR="009B7AED" w:rsidRPr="00380FE6" w:rsidRDefault="009B7AED" w:rsidP="005B1E6D">
            <w:pPr>
              <w:pStyle w:val="TMGTableText"/>
            </w:pPr>
          </w:p>
        </w:tc>
        <w:tc>
          <w:tcPr>
            <w:tcW w:w="817" w:type="dxa"/>
            <w:noWrap/>
            <w:hideMark/>
          </w:tcPr>
          <w:p w14:paraId="539AE78B" w14:textId="77777777" w:rsidR="009B7AED" w:rsidRPr="00380FE6" w:rsidRDefault="009B7AED" w:rsidP="005B1E6D">
            <w:pPr>
              <w:pStyle w:val="TMGTableText"/>
              <w:jc w:val="center"/>
            </w:pPr>
            <w:r w:rsidRPr="00380FE6">
              <w:t>1</w:t>
            </w:r>
          </w:p>
        </w:tc>
        <w:tc>
          <w:tcPr>
            <w:tcW w:w="5943" w:type="dxa"/>
            <w:noWrap/>
            <w:hideMark/>
          </w:tcPr>
          <w:p w14:paraId="78B1A2EC" w14:textId="77777777" w:rsidR="009B7AED" w:rsidRPr="00380FE6" w:rsidRDefault="009B7AED" w:rsidP="005B1E6D">
            <w:pPr>
              <w:pStyle w:val="TMGTableText"/>
            </w:pPr>
            <w:r w:rsidRPr="00380FE6">
              <w:t>Sedan/SUV/Minivan (up to 8 seats)/Coupe/Sta. wagon/Sports car/Jeep</w:t>
            </w:r>
          </w:p>
        </w:tc>
      </w:tr>
      <w:tr w:rsidR="009B7AED" w:rsidRPr="00380FE6" w14:paraId="679D836F" w14:textId="77777777" w:rsidTr="00701BE1">
        <w:trPr>
          <w:trHeight w:val="300"/>
        </w:trPr>
        <w:tc>
          <w:tcPr>
            <w:tcW w:w="890" w:type="dxa"/>
            <w:vMerge/>
            <w:hideMark/>
          </w:tcPr>
          <w:p w14:paraId="6FD9618D" w14:textId="77777777" w:rsidR="009B7AED" w:rsidRPr="00220FFB" w:rsidRDefault="009B7AED" w:rsidP="00220FFB">
            <w:pPr>
              <w:pStyle w:val="TMGTableText"/>
              <w:jc w:val="center"/>
              <w:rPr>
                <w:b/>
                <w:bCs/>
              </w:rPr>
            </w:pPr>
          </w:p>
        </w:tc>
        <w:tc>
          <w:tcPr>
            <w:tcW w:w="1710" w:type="dxa"/>
            <w:vMerge/>
            <w:hideMark/>
          </w:tcPr>
          <w:p w14:paraId="018043FB" w14:textId="77777777" w:rsidR="009B7AED" w:rsidRPr="00380FE6" w:rsidRDefault="009B7AED" w:rsidP="005B1E6D">
            <w:pPr>
              <w:pStyle w:val="TMGTableText"/>
            </w:pPr>
          </w:p>
        </w:tc>
        <w:tc>
          <w:tcPr>
            <w:tcW w:w="817" w:type="dxa"/>
            <w:noWrap/>
            <w:hideMark/>
          </w:tcPr>
          <w:p w14:paraId="30BC9B13" w14:textId="77777777" w:rsidR="009B7AED" w:rsidRPr="00380FE6" w:rsidRDefault="009B7AED" w:rsidP="005B1E6D">
            <w:pPr>
              <w:pStyle w:val="TMGTableText"/>
              <w:jc w:val="center"/>
            </w:pPr>
            <w:r w:rsidRPr="00380FE6">
              <w:t>9</w:t>
            </w:r>
          </w:p>
        </w:tc>
        <w:tc>
          <w:tcPr>
            <w:tcW w:w="5943" w:type="dxa"/>
            <w:noWrap/>
            <w:hideMark/>
          </w:tcPr>
          <w:p w14:paraId="4E95E5CB" w14:textId="77777777" w:rsidR="009B7AED" w:rsidRPr="00380FE6" w:rsidRDefault="009B7AED" w:rsidP="005B1E6D">
            <w:pPr>
              <w:pStyle w:val="TMGTableText"/>
            </w:pPr>
            <w:r w:rsidRPr="00380FE6">
              <w:t>Others</w:t>
            </w:r>
          </w:p>
        </w:tc>
      </w:tr>
      <w:tr w:rsidR="009B7AED" w:rsidRPr="00380FE6" w14:paraId="20FF2403" w14:textId="77777777" w:rsidTr="00701BE1">
        <w:trPr>
          <w:trHeight w:val="300"/>
        </w:trPr>
        <w:tc>
          <w:tcPr>
            <w:tcW w:w="890" w:type="dxa"/>
            <w:vMerge w:val="restart"/>
            <w:noWrap/>
            <w:hideMark/>
          </w:tcPr>
          <w:p w14:paraId="20C82406" w14:textId="77777777" w:rsidR="009B7AED" w:rsidRPr="00220FFB" w:rsidRDefault="009B7AED" w:rsidP="00220FFB">
            <w:pPr>
              <w:pStyle w:val="TMGTableText"/>
              <w:jc w:val="center"/>
              <w:rPr>
                <w:b/>
                <w:bCs/>
              </w:rPr>
            </w:pPr>
            <w:r w:rsidRPr="00220FFB">
              <w:rPr>
                <w:b/>
                <w:bCs/>
              </w:rPr>
              <w:t>3</w:t>
            </w:r>
          </w:p>
        </w:tc>
        <w:tc>
          <w:tcPr>
            <w:tcW w:w="1710" w:type="dxa"/>
            <w:vMerge w:val="restart"/>
            <w:hideMark/>
          </w:tcPr>
          <w:p w14:paraId="391AC6D5" w14:textId="77777777" w:rsidR="009B7AED" w:rsidRPr="00380FE6" w:rsidRDefault="009B7AED" w:rsidP="005B1E6D">
            <w:pPr>
              <w:pStyle w:val="TMGTableText"/>
            </w:pPr>
            <w:r w:rsidRPr="00380FE6">
              <w:t>Non-passenger car (FHWA3)</w:t>
            </w:r>
          </w:p>
        </w:tc>
        <w:tc>
          <w:tcPr>
            <w:tcW w:w="817" w:type="dxa"/>
            <w:noWrap/>
            <w:hideMark/>
          </w:tcPr>
          <w:p w14:paraId="534AAC40" w14:textId="77777777" w:rsidR="009B7AED" w:rsidRPr="00380FE6" w:rsidRDefault="009B7AED" w:rsidP="005B1E6D">
            <w:pPr>
              <w:pStyle w:val="TMGTableText"/>
              <w:jc w:val="center"/>
            </w:pPr>
            <w:r w:rsidRPr="00380FE6">
              <w:t>0</w:t>
            </w:r>
          </w:p>
        </w:tc>
        <w:tc>
          <w:tcPr>
            <w:tcW w:w="5943" w:type="dxa"/>
            <w:noWrap/>
            <w:hideMark/>
          </w:tcPr>
          <w:p w14:paraId="72BEE90A" w14:textId="77777777" w:rsidR="009B7AED" w:rsidRPr="00380FE6" w:rsidRDefault="009B7AED" w:rsidP="005B1E6D">
            <w:pPr>
              <w:pStyle w:val="TMGTableText"/>
            </w:pPr>
            <w:r w:rsidRPr="00380FE6">
              <w:t>Blocked</w:t>
            </w:r>
          </w:p>
        </w:tc>
      </w:tr>
      <w:tr w:rsidR="009B7AED" w:rsidRPr="00380FE6" w14:paraId="683A2AEE" w14:textId="77777777" w:rsidTr="00701BE1">
        <w:trPr>
          <w:trHeight w:val="300"/>
        </w:trPr>
        <w:tc>
          <w:tcPr>
            <w:tcW w:w="890" w:type="dxa"/>
            <w:vMerge/>
            <w:hideMark/>
          </w:tcPr>
          <w:p w14:paraId="771558D5" w14:textId="77777777" w:rsidR="009B7AED" w:rsidRPr="00220FFB" w:rsidRDefault="009B7AED" w:rsidP="00220FFB">
            <w:pPr>
              <w:pStyle w:val="TMGTableText"/>
              <w:jc w:val="center"/>
              <w:rPr>
                <w:b/>
                <w:bCs/>
              </w:rPr>
            </w:pPr>
          </w:p>
        </w:tc>
        <w:tc>
          <w:tcPr>
            <w:tcW w:w="1710" w:type="dxa"/>
            <w:vMerge/>
            <w:hideMark/>
          </w:tcPr>
          <w:p w14:paraId="08FDEA1B" w14:textId="77777777" w:rsidR="009B7AED" w:rsidRPr="00380FE6" w:rsidRDefault="009B7AED" w:rsidP="005B1E6D">
            <w:pPr>
              <w:pStyle w:val="TMGTableText"/>
            </w:pPr>
          </w:p>
        </w:tc>
        <w:tc>
          <w:tcPr>
            <w:tcW w:w="817" w:type="dxa"/>
            <w:noWrap/>
            <w:hideMark/>
          </w:tcPr>
          <w:p w14:paraId="100AB1B4" w14:textId="77777777" w:rsidR="009B7AED" w:rsidRPr="00380FE6" w:rsidRDefault="009B7AED" w:rsidP="005B1E6D">
            <w:pPr>
              <w:pStyle w:val="TMGTableText"/>
              <w:jc w:val="center"/>
            </w:pPr>
            <w:r w:rsidRPr="00380FE6">
              <w:t>1</w:t>
            </w:r>
          </w:p>
        </w:tc>
        <w:tc>
          <w:tcPr>
            <w:tcW w:w="5943" w:type="dxa"/>
            <w:noWrap/>
            <w:hideMark/>
          </w:tcPr>
          <w:p w14:paraId="054FFA18" w14:textId="77777777" w:rsidR="009B7AED" w:rsidRPr="00380FE6" w:rsidRDefault="009B7AED" w:rsidP="005B1E6D">
            <w:pPr>
              <w:pStyle w:val="TMGTableText"/>
            </w:pPr>
            <w:r w:rsidRPr="00380FE6">
              <w:t>Pickup, non-full-size</w:t>
            </w:r>
          </w:p>
        </w:tc>
      </w:tr>
      <w:tr w:rsidR="009B7AED" w:rsidRPr="00380FE6" w14:paraId="553B0F63" w14:textId="77777777" w:rsidTr="00701BE1">
        <w:trPr>
          <w:trHeight w:val="300"/>
        </w:trPr>
        <w:tc>
          <w:tcPr>
            <w:tcW w:w="890" w:type="dxa"/>
            <w:vMerge/>
            <w:hideMark/>
          </w:tcPr>
          <w:p w14:paraId="1A8DDFDA" w14:textId="77777777" w:rsidR="009B7AED" w:rsidRPr="00220FFB" w:rsidRDefault="009B7AED" w:rsidP="00220FFB">
            <w:pPr>
              <w:pStyle w:val="TMGTableText"/>
              <w:jc w:val="center"/>
              <w:rPr>
                <w:b/>
                <w:bCs/>
              </w:rPr>
            </w:pPr>
          </w:p>
        </w:tc>
        <w:tc>
          <w:tcPr>
            <w:tcW w:w="1710" w:type="dxa"/>
            <w:vMerge/>
            <w:hideMark/>
          </w:tcPr>
          <w:p w14:paraId="4FD17D8B" w14:textId="77777777" w:rsidR="009B7AED" w:rsidRPr="00380FE6" w:rsidRDefault="009B7AED" w:rsidP="005B1E6D">
            <w:pPr>
              <w:pStyle w:val="TMGTableText"/>
            </w:pPr>
          </w:p>
        </w:tc>
        <w:tc>
          <w:tcPr>
            <w:tcW w:w="817" w:type="dxa"/>
            <w:noWrap/>
            <w:hideMark/>
          </w:tcPr>
          <w:p w14:paraId="32CA250C" w14:textId="77777777" w:rsidR="009B7AED" w:rsidRPr="00380FE6" w:rsidRDefault="009B7AED" w:rsidP="005B1E6D">
            <w:pPr>
              <w:pStyle w:val="TMGTableText"/>
              <w:jc w:val="center"/>
            </w:pPr>
            <w:r w:rsidRPr="00380FE6">
              <w:t>3</w:t>
            </w:r>
          </w:p>
        </w:tc>
        <w:tc>
          <w:tcPr>
            <w:tcW w:w="5943" w:type="dxa"/>
            <w:noWrap/>
            <w:hideMark/>
          </w:tcPr>
          <w:p w14:paraId="0FFC1840" w14:textId="77777777" w:rsidR="009B7AED" w:rsidRPr="00380FE6" w:rsidRDefault="009B7AED" w:rsidP="005B1E6D">
            <w:pPr>
              <w:pStyle w:val="TMGTableText"/>
            </w:pPr>
            <w:r w:rsidRPr="00380FE6">
              <w:t>Pickup, modified</w:t>
            </w:r>
          </w:p>
        </w:tc>
      </w:tr>
      <w:tr w:rsidR="009B7AED" w:rsidRPr="00380FE6" w14:paraId="7AEC3E63" w14:textId="77777777" w:rsidTr="00701BE1">
        <w:trPr>
          <w:trHeight w:val="300"/>
        </w:trPr>
        <w:tc>
          <w:tcPr>
            <w:tcW w:w="890" w:type="dxa"/>
            <w:vMerge/>
            <w:hideMark/>
          </w:tcPr>
          <w:p w14:paraId="55CA3563" w14:textId="77777777" w:rsidR="009B7AED" w:rsidRPr="00220FFB" w:rsidRDefault="009B7AED" w:rsidP="00220FFB">
            <w:pPr>
              <w:pStyle w:val="TMGTableText"/>
              <w:jc w:val="center"/>
              <w:rPr>
                <w:b/>
                <w:bCs/>
              </w:rPr>
            </w:pPr>
          </w:p>
        </w:tc>
        <w:tc>
          <w:tcPr>
            <w:tcW w:w="1710" w:type="dxa"/>
            <w:vMerge/>
            <w:hideMark/>
          </w:tcPr>
          <w:p w14:paraId="496EEA6F" w14:textId="77777777" w:rsidR="009B7AED" w:rsidRPr="00380FE6" w:rsidRDefault="009B7AED" w:rsidP="005B1E6D">
            <w:pPr>
              <w:pStyle w:val="TMGTableText"/>
            </w:pPr>
          </w:p>
        </w:tc>
        <w:tc>
          <w:tcPr>
            <w:tcW w:w="817" w:type="dxa"/>
            <w:noWrap/>
            <w:hideMark/>
          </w:tcPr>
          <w:p w14:paraId="3F248B80" w14:textId="77777777" w:rsidR="009B7AED" w:rsidRPr="00380FE6" w:rsidRDefault="009B7AED" w:rsidP="005B1E6D">
            <w:pPr>
              <w:pStyle w:val="TMGTableText"/>
              <w:jc w:val="center"/>
            </w:pPr>
            <w:r w:rsidRPr="00380FE6">
              <w:t>4</w:t>
            </w:r>
          </w:p>
        </w:tc>
        <w:tc>
          <w:tcPr>
            <w:tcW w:w="5943" w:type="dxa"/>
            <w:noWrap/>
            <w:hideMark/>
          </w:tcPr>
          <w:p w14:paraId="78088BE8" w14:textId="77777777" w:rsidR="009B7AED" w:rsidRPr="00380FE6" w:rsidRDefault="009B7AED" w:rsidP="005B1E6D">
            <w:pPr>
              <w:pStyle w:val="TMGTableText"/>
            </w:pPr>
            <w:r w:rsidRPr="00380FE6">
              <w:t>Panel van/Passenger van (9-15 seats)</w:t>
            </w:r>
          </w:p>
        </w:tc>
      </w:tr>
      <w:tr w:rsidR="009B7AED" w:rsidRPr="00380FE6" w14:paraId="54B0E0BC" w14:textId="77777777" w:rsidTr="00701BE1">
        <w:trPr>
          <w:trHeight w:val="300"/>
        </w:trPr>
        <w:tc>
          <w:tcPr>
            <w:tcW w:w="890" w:type="dxa"/>
            <w:vMerge/>
          </w:tcPr>
          <w:p w14:paraId="54224696" w14:textId="77777777" w:rsidR="009B7AED" w:rsidRPr="00220FFB" w:rsidRDefault="009B7AED" w:rsidP="00220FFB">
            <w:pPr>
              <w:pStyle w:val="TMGTableText"/>
              <w:jc w:val="center"/>
              <w:rPr>
                <w:b/>
                <w:bCs/>
              </w:rPr>
            </w:pPr>
          </w:p>
        </w:tc>
        <w:tc>
          <w:tcPr>
            <w:tcW w:w="1710" w:type="dxa"/>
            <w:vMerge/>
          </w:tcPr>
          <w:p w14:paraId="41FAD49D" w14:textId="77777777" w:rsidR="009B7AED" w:rsidRPr="00380FE6" w:rsidRDefault="009B7AED" w:rsidP="005B1E6D">
            <w:pPr>
              <w:pStyle w:val="TMGTableText"/>
            </w:pPr>
          </w:p>
        </w:tc>
        <w:tc>
          <w:tcPr>
            <w:tcW w:w="817" w:type="dxa"/>
            <w:noWrap/>
          </w:tcPr>
          <w:p w14:paraId="4EBB68FF" w14:textId="77777777" w:rsidR="009B7AED" w:rsidRPr="00380FE6" w:rsidRDefault="009B7AED" w:rsidP="005B1E6D">
            <w:pPr>
              <w:pStyle w:val="TMGTableText"/>
              <w:jc w:val="center"/>
            </w:pPr>
            <w:r w:rsidRPr="00380FE6">
              <w:t>5</w:t>
            </w:r>
          </w:p>
        </w:tc>
        <w:tc>
          <w:tcPr>
            <w:tcW w:w="5943" w:type="dxa"/>
            <w:noWrap/>
          </w:tcPr>
          <w:p w14:paraId="06B7CFF0" w14:textId="77777777" w:rsidR="009B7AED" w:rsidRPr="00380FE6" w:rsidRDefault="009B7AED" w:rsidP="005B1E6D">
            <w:pPr>
              <w:pStyle w:val="TMGTableText"/>
            </w:pPr>
            <w:r w:rsidRPr="00380FE6">
              <w:t>Limousine (e.g., Car limousine, SUV limousine, Hummer limousine)</w:t>
            </w:r>
          </w:p>
        </w:tc>
      </w:tr>
      <w:tr w:rsidR="009B7AED" w:rsidRPr="00380FE6" w14:paraId="13CEBA8E" w14:textId="77777777" w:rsidTr="00701BE1">
        <w:trPr>
          <w:trHeight w:val="300"/>
        </w:trPr>
        <w:tc>
          <w:tcPr>
            <w:tcW w:w="890" w:type="dxa"/>
            <w:vMerge/>
            <w:hideMark/>
          </w:tcPr>
          <w:p w14:paraId="20AA6F21" w14:textId="77777777" w:rsidR="009B7AED" w:rsidRPr="00220FFB" w:rsidRDefault="009B7AED" w:rsidP="00220FFB">
            <w:pPr>
              <w:pStyle w:val="TMGTableText"/>
              <w:jc w:val="center"/>
              <w:rPr>
                <w:b/>
                <w:bCs/>
              </w:rPr>
            </w:pPr>
          </w:p>
        </w:tc>
        <w:tc>
          <w:tcPr>
            <w:tcW w:w="1710" w:type="dxa"/>
            <w:vMerge/>
            <w:hideMark/>
          </w:tcPr>
          <w:p w14:paraId="45760EDE" w14:textId="77777777" w:rsidR="009B7AED" w:rsidRPr="00380FE6" w:rsidRDefault="009B7AED" w:rsidP="005B1E6D">
            <w:pPr>
              <w:pStyle w:val="TMGTableText"/>
            </w:pPr>
          </w:p>
        </w:tc>
        <w:tc>
          <w:tcPr>
            <w:tcW w:w="817" w:type="dxa"/>
            <w:noWrap/>
            <w:hideMark/>
          </w:tcPr>
          <w:p w14:paraId="5D25383B" w14:textId="77777777" w:rsidR="009B7AED" w:rsidRPr="00380FE6" w:rsidRDefault="009B7AED" w:rsidP="005B1E6D">
            <w:pPr>
              <w:pStyle w:val="TMGTableText"/>
              <w:jc w:val="center"/>
            </w:pPr>
            <w:r w:rsidRPr="00380FE6">
              <w:t>6</w:t>
            </w:r>
          </w:p>
        </w:tc>
        <w:tc>
          <w:tcPr>
            <w:tcW w:w="5943" w:type="dxa"/>
            <w:noWrap/>
            <w:hideMark/>
          </w:tcPr>
          <w:p w14:paraId="77EB2A9D" w14:textId="77777777" w:rsidR="009B7AED" w:rsidRPr="00380FE6" w:rsidRDefault="009B7AED" w:rsidP="005B1E6D">
            <w:pPr>
              <w:pStyle w:val="TMGTableText"/>
            </w:pPr>
            <w:r w:rsidRPr="00380FE6">
              <w:t>Mini motorhome/Minibus</w:t>
            </w:r>
          </w:p>
        </w:tc>
      </w:tr>
      <w:tr w:rsidR="009B7AED" w:rsidRPr="00380FE6" w14:paraId="48F05FD6" w14:textId="77777777" w:rsidTr="00701BE1">
        <w:trPr>
          <w:trHeight w:val="300"/>
        </w:trPr>
        <w:tc>
          <w:tcPr>
            <w:tcW w:w="890" w:type="dxa"/>
            <w:vMerge/>
            <w:hideMark/>
          </w:tcPr>
          <w:p w14:paraId="7CD79440" w14:textId="77777777" w:rsidR="009B7AED" w:rsidRPr="00220FFB" w:rsidRDefault="009B7AED" w:rsidP="00220FFB">
            <w:pPr>
              <w:pStyle w:val="TMGTableText"/>
              <w:jc w:val="center"/>
              <w:rPr>
                <w:b/>
                <w:bCs/>
              </w:rPr>
            </w:pPr>
          </w:p>
        </w:tc>
        <w:tc>
          <w:tcPr>
            <w:tcW w:w="1710" w:type="dxa"/>
            <w:vMerge/>
            <w:hideMark/>
          </w:tcPr>
          <w:p w14:paraId="755F6411" w14:textId="77777777" w:rsidR="009B7AED" w:rsidRPr="00380FE6" w:rsidRDefault="009B7AED" w:rsidP="005B1E6D">
            <w:pPr>
              <w:pStyle w:val="TMGTableText"/>
            </w:pPr>
          </w:p>
        </w:tc>
        <w:tc>
          <w:tcPr>
            <w:tcW w:w="817" w:type="dxa"/>
            <w:noWrap/>
            <w:hideMark/>
          </w:tcPr>
          <w:p w14:paraId="678ED416" w14:textId="77777777" w:rsidR="009B7AED" w:rsidRPr="00380FE6" w:rsidRDefault="009B7AED" w:rsidP="005B1E6D">
            <w:pPr>
              <w:pStyle w:val="TMGTableText"/>
              <w:jc w:val="center"/>
            </w:pPr>
            <w:r w:rsidRPr="00380FE6">
              <w:t>8</w:t>
            </w:r>
          </w:p>
        </w:tc>
        <w:tc>
          <w:tcPr>
            <w:tcW w:w="5943" w:type="dxa"/>
            <w:noWrap/>
            <w:hideMark/>
          </w:tcPr>
          <w:p w14:paraId="6D6B5031" w14:textId="77777777" w:rsidR="009B7AED" w:rsidRPr="00380FE6" w:rsidRDefault="009B7AED" w:rsidP="005B1E6D">
            <w:pPr>
              <w:pStyle w:val="TMGTableText"/>
            </w:pPr>
            <w:r w:rsidRPr="00380FE6">
              <w:t>Ambulance</w:t>
            </w:r>
          </w:p>
        </w:tc>
      </w:tr>
      <w:tr w:rsidR="009B7AED" w:rsidRPr="00380FE6" w14:paraId="1BB22BDE" w14:textId="77777777" w:rsidTr="00701BE1">
        <w:trPr>
          <w:trHeight w:val="300"/>
        </w:trPr>
        <w:tc>
          <w:tcPr>
            <w:tcW w:w="890" w:type="dxa"/>
            <w:vMerge/>
            <w:hideMark/>
          </w:tcPr>
          <w:p w14:paraId="48996E48" w14:textId="77777777" w:rsidR="009B7AED" w:rsidRPr="00220FFB" w:rsidRDefault="009B7AED" w:rsidP="00220FFB">
            <w:pPr>
              <w:pStyle w:val="TMGTableText"/>
              <w:jc w:val="center"/>
              <w:rPr>
                <w:b/>
                <w:bCs/>
              </w:rPr>
            </w:pPr>
          </w:p>
        </w:tc>
        <w:tc>
          <w:tcPr>
            <w:tcW w:w="1710" w:type="dxa"/>
            <w:vMerge/>
            <w:hideMark/>
          </w:tcPr>
          <w:p w14:paraId="41289C51" w14:textId="77777777" w:rsidR="009B7AED" w:rsidRPr="00380FE6" w:rsidRDefault="009B7AED" w:rsidP="005B1E6D">
            <w:pPr>
              <w:pStyle w:val="TMGTableText"/>
            </w:pPr>
          </w:p>
        </w:tc>
        <w:tc>
          <w:tcPr>
            <w:tcW w:w="817" w:type="dxa"/>
            <w:noWrap/>
            <w:hideMark/>
          </w:tcPr>
          <w:p w14:paraId="4E01B94D" w14:textId="77777777" w:rsidR="009B7AED" w:rsidRPr="00380FE6" w:rsidRDefault="009B7AED" w:rsidP="005B1E6D">
            <w:pPr>
              <w:pStyle w:val="TMGTableText"/>
              <w:jc w:val="center"/>
            </w:pPr>
            <w:r w:rsidRPr="00380FE6">
              <w:t>9</w:t>
            </w:r>
          </w:p>
        </w:tc>
        <w:tc>
          <w:tcPr>
            <w:tcW w:w="5943" w:type="dxa"/>
            <w:noWrap/>
            <w:hideMark/>
          </w:tcPr>
          <w:p w14:paraId="332E8BB3" w14:textId="77777777" w:rsidR="009B7AED" w:rsidRPr="00380FE6" w:rsidRDefault="009B7AED" w:rsidP="005B1E6D">
            <w:pPr>
              <w:pStyle w:val="TMGTableText"/>
            </w:pPr>
            <w:r w:rsidRPr="00380FE6">
              <w:t>Others</w:t>
            </w:r>
          </w:p>
        </w:tc>
      </w:tr>
      <w:tr w:rsidR="009B7AED" w:rsidRPr="00380FE6" w14:paraId="08699988" w14:textId="77777777" w:rsidTr="00701BE1">
        <w:trPr>
          <w:trHeight w:val="300"/>
        </w:trPr>
        <w:tc>
          <w:tcPr>
            <w:tcW w:w="890" w:type="dxa"/>
            <w:vMerge w:val="restart"/>
            <w:noWrap/>
            <w:hideMark/>
          </w:tcPr>
          <w:p w14:paraId="1D49B553" w14:textId="77777777" w:rsidR="009B7AED" w:rsidRPr="00220FFB" w:rsidRDefault="009B7AED" w:rsidP="00220FFB">
            <w:pPr>
              <w:pStyle w:val="TMGTableText"/>
              <w:jc w:val="center"/>
              <w:rPr>
                <w:b/>
                <w:bCs/>
              </w:rPr>
            </w:pPr>
            <w:r w:rsidRPr="00220FFB">
              <w:rPr>
                <w:b/>
                <w:bCs/>
              </w:rPr>
              <w:t>4</w:t>
            </w:r>
          </w:p>
        </w:tc>
        <w:tc>
          <w:tcPr>
            <w:tcW w:w="1710" w:type="dxa"/>
            <w:vMerge w:val="restart"/>
            <w:noWrap/>
            <w:hideMark/>
          </w:tcPr>
          <w:p w14:paraId="2FBDE42E" w14:textId="77777777" w:rsidR="009B7AED" w:rsidRPr="00380FE6" w:rsidRDefault="009B7AED" w:rsidP="005B1E6D">
            <w:pPr>
              <w:pStyle w:val="TMGTableText"/>
            </w:pPr>
            <w:r w:rsidRPr="00380FE6">
              <w:t>Bus (FHWA 4)</w:t>
            </w:r>
          </w:p>
        </w:tc>
        <w:tc>
          <w:tcPr>
            <w:tcW w:w="817" w:type="dxa"/>
            <w:noWrap/>
            <w:hideMark/>
          </w:tcPr>
          <w:p w14:paraId="22E786F0" w14:textId="77777777" w:rsidR="009B7AED" w:rsidRPr="00380FE6" w:rsidRDefault="009B7AED" w:rsidP="005B1E6D">
            <w:pPr>
              <w:pStyle w:val="TMGTableText"/>
              <w:jc w:val="center"/>
            </w:pPr>
            <w:r w:rsidRPr="00380FE6">
              <w:t>0</w:t>
            </w:r>
          </w:p>
        </w:tc>
        <w:tc>
          <w:tcPr>
            <w:tcW w:w="5943" w:type="dxa"/>
            <w:noWrap/>
            <w:hideMark/>
          </w:tcPr>
          <w:p w14:paraId="273070F1" w14:textId="77777777" w:rsidR="009B7AED" w:rsidRPr="00380FE6" w:rsidRDefault="009B7AED" w:rsidP="005B1E6D">
            <w:pPr>
              <w:pStyle w:val="TMGTableText"/>
            </w:pPr>
            <w:r w:rsidRPr="00380FE6">
              <w:t>Blocked</w:t>
            </w:r>
          </w:p>
        </w:tc>
      </w:tr>
      <w:tr w:rsidR="009B7AED" w:rsidRPr="00380FE6" w14:paraId="162B02E5" w14:textId="77777777" w:rsidTr="00701BE1">
        <w:trPr>
          <w:trHeight w:val="300"/>
        </w:trPr>
        <w:tc>
          <w:tcPr>
            <w:tcW w:w="890" w:type="dxa"/>
            <w:vMerge/>
            <w:hideMark/>
          </w:tcPr>
          <w:p w14:paraId="5633B0ED" w14:textId="77777777" w:rsidR="009B7AED" w:rsidRPr="00220FFB" w:rsidRDefault="009B7AED" w:rsidP="00220FFB">
            <w:pPr>
              <w:pStyle w:val="TMGTableText"/>
              <w:jc w:val="center"/>
              <w:rPr>
                <w:b/>
                <w:bCs/>
              </w:rPr>
            </w:pPr>
          </w:p>
        </w:tc>
        <w:tc>
          <w:tcPr>
            <w:tcW w:w="1710" w:type="dxa"/>
            <w:vMerge/>
            <w:hideMark/>
          </w:tcPr>
          <w:p w14:paraId="1817489F" w14:textId="77777777" w:rsidR="009B7AED" w:rsidRPr="00380FE6" w:rsidRDefault="009B7AED" w:rsidP="005B1E6D">
            <w:pPr>
              <w:pStyle w:val="TMGTableText"/>
            </w:pPr>
          </w:p>
        </w:tc>
        <w:tc>
          <w:tcPr>
            <w:tcW w:w="817" w:type="dxa"/>
            <w:noWrap/>
            <w:hideMark/>
          </w:tcPr>
          <w:p w14:paraId="5049AB0A" w14:textId="77777777" w:rsidR="009B7AED" w:rsidRPr="00380FE6" w:rsidRDefault="009B7AED" w:rsidP="005B1E6D">
            <w:pPr>
              <w:pStyle w:val="TMGTableText"/>
              <w:jc w:val="center"/>
            </w:pPr>
            <w:r w:rsidRPr="00380FE6">
              <w:t>1</w:t>
            </w:r>
          </w:p>
        </w:tc>
        <w:tc>
          <w:tcPr>
            <w:tcW w:w="5943" w:type="dxa"/>
            <w:noWrap/>
            <w:hideMark/>
          </w:tcPr>
          <w:p w14:paraId="35339013" w14:textId="77777777" w:rsidR="009B7AED" w:rsidRPr="00380FE6" w:rsidRDefault="009B7AED" w:rsidP="005B1E6D">
            <w:pPr>
              <w:pStyle w:val="TMGTableText"/>
            </w:pPr>
            <w:r w:rsidRPr="00380FE6">
              <w:t>School, small</w:t>
            </w:r>
          </w:p>
        </w:tc>
      </w:tr>
      <w:tr w:rsidR="009B7AED" w:rsidRPr="00380FE6" w14:paraId="25218CB8" w14:textId="77777777" w:rsidTr="00701BE1">
        <w:trPr>
          <w:trHeight w:val="300"/>
        </w:trPr>
        <w:tc>
          <w:tcPr>
            <w:tcW w:w="890" w:type="dxa"/>
            <w:vMerge/>
            <w:hideMark/>
          </w:tcPr>
          <w:p w14:paraId="0B1AC471" w14:textId="77777777" w:rsidR="009B7AED" w:rsidRPr="00220FFB" w:rsidRDefault="009B7AED" w:rsidP="00220FFB">
            <w:pPr>
              <w:pStyle w:val="TMGTableText"/>
              <w:jc w:val="center"/>
              <w:rPr>
                <w:b/>
                <w:bCs/>
              </w:rPr>
            </w:pPr>
          </w:p>
        </w:tc>
        <w:tc>
          <w:tcPr>
            <w:tcW w:w="1710" w:type="dxa"/>
            <w:vMerge/>
            <w:hideMark/>
          </w:tcPr>
          <w:p w14:paraId="1CEECDD6" w14:textId="77777777" w:rsidR="009B7AED" w:rsidRPr="00380FE6" w:rsidRDefault="009B7AED" w:rsidP="005B1E6D">
            <w:pPr>
              <w:pStyle w:val="TMGTableText"/>
            </w:pPr>
          </w:p>
        </w:tc>
        <w:tc>
          <w:tcPr>
            <w:tcW w:w="817" w:type="dxa"/>
            <w:noWrap/>
            <w:hideMark/>
          </w:tcPr>
          <w:p w14:paraId="105B59B8" w14:textId="77777777" w:rsidR="009B7AED" w:rsidRPr="00380FE6" w:rsidRDefault="009B7AED" w:rsidP="005B1E6D">
            <w:pPr>
              <w:pStyle w:val="TMGTableText"/>
              <w:jc w:val="center"/>
            </w:pPr>
            <w:r w:rsidRPr="00380FE6">
              <w:t>2</w:t>
            </w:r>
          </w:p>
        </w:tc>
        <w:tc>
          <w:tcPr>
            <w:tcW w:w="5943" w:type="dxa"/>
            <w:noWrap/>
            <w:hideMark/>
          </w:tcPr>
          <w:p w14:paraId="1B8DAC8E" w14:textId="77777777" w:rsidR="009B7AED" w:rsidRPr="00380FE6" w:rsidRDefault="009B7AED" w:rsidP="005B1E6D">
            <w:pPr>
              <w:pStyle w:val="TMGTableText"/>
            </w:pPr>
            <w:r w:rsidRPr="00380FE6">
              <w:t>School, mid/large</w:t>
            </w:r>
          </w:p>
        </w:tc>
      </w:tr>
      <w:tr w:rsidR="009B7AED" w:rsidRPr="00380FE6" w14:paraId="091876C8" w14:textId="77777777" w:rsidTr="00701BE1">
        <w:trPr>
          <w:trHeight w:val="300"/>
        </w:trPr>
        <w:tc>
          <w:tcPr>
            <w:tcW w:w="890" w:type="dxa"/>
            <w:vMerge/>
            <w:hideMark/>
          </w:tcPr>
          <w:p w14:paraId="13202D1D" w14:textId="77777777" w:rsidR="009B7AED" w:rsidRPr="00220FFB" w:rsidRDefault="009B7AED" w:rsidP="00220FFB">
            <w:pPr>
              <w:pStyle w:val="TMGTableText"/>
              <w:jc w:val="center"/>
              <w:rPr>
                <w:b/>
                <w:bCs/>
              </w:rPr>
            </w:pPr>
          </w:p>
        </w:tc>
        <w:tc>
          <w:tcPr>
            <w:tcW w:w="1710" w:type="dxa"/>
            <w:vMerge/>
            <w:hideMark/>
          </w:tcPr>
          <w:p w14:paraId="546F62D6" w14:textId="77777777" w:rsidR="009B7AED" w:rsidRPr="00380FE6" w:rsidRDefault="009B7AED" w:rsidP="005B1E6D">
            <w:pPr>
              <w:pStyle w:val="TMGTableText"/>
            </w:pPr>
          </w:p>
        </w:tc>
        <w:tc>
          <w:tcPr>
            <w:tcW w:w="817" w:type="dxa"/>
            <w:noWrap/>
            <w:hideMark/>
          </w:tcPr>
          <w:p w14:paraId="502F9983" w14:textId="77777777" w:rsidR="009B7AED" w:rsidRPr="00380FE6" w:rsidRDefault="009B7AED" w:rsidP="005B1E6D">
            <w:pPr>
              <w:pStyle w:val="TMGTableText"/>
              <w:jc w:val="center"/>
            </w:pPr>
            <w:r w:rsidRPr="00380FE6">
              <w:t>3</w:t>
            </w:r>
          </w:p>
        </w:tc>
        <w:tc>
          <w:tcPr>
            <w:tcW w:w="5943" w:type="dxa"/>
            <w:noWrap/>
            <w:hideMark/>
          </w:tcPr>
          <w:p w14:paraId="4D211466" w14:textId="77777777" w:rsidR="009B7AED" w:rsidRPr="00380FE6" w:rsidRDefault="009B7AED" w:rsidP="005B1E6D">
            <w:pPr>
              <w:pStyle w:val="TMGTableText"/>
            </w:pPr>
            <w:r w:rsidRPr="00380FE6">
              <w:t>City bus, small</w:t>
            </w:r>
          </w:p>
        </w:tc>
      </w:tr>
      <w:tr w:rsidR="009B7AED" w:rsidRPr="00380FE6" w14:paraId="3DD8CB2D" w14:textId="77777777" w:rsidTr="00701BE1">
        <w:trPr>
          <w:trHeight w:val="300"/>
        </w:trPr>
        <w:tc>
          <w:tcPr>
            <w:tcW w:w="890" w:type="dxa"/>
            <w:vMerge/>
            <w:hideMark/>
          </w:tcPr>
          <w:p w14:paraId="0A919573" w14:textId="77777777" w:rsidR="009B7AED" w:rsidRPr="00220FFB" w:rsidRDefault="009B7AED" w:rsidP="00220FFB">
            <w:pPr>
              <w:pStyle w:val="TMGTableText"/>
              <w:jc w:val="center"/>
              <w:rPr>
                <w:b/>
                <w:bCs/>
              </w:rPr>
            </w:pPr>
          </w:p>
        </w:tc>
        <w:tc>
          <w:tcPr>
            <w:tcW w:w="1710" w:type="dxa"/>
            <w:vMerge/>
            <w:hideMark/>
          </w:tcPr>
          <w:p w14:paraId="0E1F1880" w14:textId="77777777" w:rsidR="009B7AED" w:rsidRPr="00380FE6" w:rsidRDefault="009B7AED" w:rsidP="005B1E6D">
            <w:pPr>
              <w:pStyle w:val="TMGTableText"/>
            </w:pPr>
          </w:p>
        </w:tc>
        <w:tc>
          <w:tcPr>
            <w:tcW w:w="817" w:type="dxa"/>
            <w:noWrap/>
            <w:hideMark/>
          </w:tcPr>
          <w:p w14:paraId="59FB910F" w14:textId="77777777" w:rsidR="009B7AED" w:rsidRPr="00380FE6" w:rsidRDefault="009B7AED" w:rsidP="005B1E6D">
            <w:pPr>
              <w:pStyle w:val="TMGTableText"/>
              <w:jc w:val="center"/>
            </w:pPr>
            <w:r w:rsidRPr="00380FE6">
              <w:t>4</w:t>
            </w:r>
          </w:p>
        </w:tc>
        <w:tc>
          <w:tcPr>
            <w:tcW w:w="5943" w:type="dxa"/>
            <w:noWrap/>
            <w:hideMark/>
          </w:tcPr>
          <w:p w14:paraId="22F8CCE2" w14:textId="77777777" w:rsidR="009B7AED" w:rsidRPr="00380FE6" w:rsidRDefault="009B7AED" w:rsidP="005B1E6D">
            <w:pPr>
              <w:pStyle w:val="TMGTableText"/>
            </w:pPr>
            <w:r w:rsidRPr="00380FE6">
              <w:t>City bus, mid/large</w:t>
            </w:r>
          </w:p>
        </w:tc>
      </w:tr>
      <w:tr w:rsidR="009B7AED" w:rsidRPr="00380FE6" w14:paraId="02CE9312" w14:textId="77777777" w:rsidTr="00701BE1">
        <w:trPr>
          <w:trHeight w:val="300"/>
        </w:trPr>
        <w:tc>
          <w:tcPr>
            <w:tcW w:w="890" w:type="dxa"/>
            <w:vMerge/>
            <w:hideMark/>
          </w:tcPr>
          <w:p w14:paraId="40F7455B" w14:textId="77777777" w:rsidR="009B7AED" w:rsidRPr="00220FFB" w:rsidRDefault="009B7AED" w:rsidP="00220FFB">
            <w:pPr>
              <w:pStyle w:val="TMGTableText"/>
              <w:jc w:val="center"/>
              <w:rPr>
                <w:b/>
                <w:bCs/>
              </w:rPr>
            </w:pPr>
          </w:p>
        </w:tc>
        <w:tc>
          <w:tcPr>
            <w:tcW w:w="1710" w:type="dxa"/>
            <w:vMerge/>
            <w:hideMark/>
          </w:tcPr>
          <w:p w14:paraId="692C7CE3" w14:textId="77777777" w:rsidR="009B7AED" w:rsidRPr="00380FE6" w:rsidRDefault="009B7AED" w:rsidP="005B1E6D">
            <w:pPr>
              <w:pStyle w:val="TMGTableText"/>
            </w:pPr>
          </w:p>
        </w:tc>
        <w:tc>
          <w:tcPr>
            <w:tcW w:w="817" w:type="dxa"/>
            <w:noWrap/>
            <w:hideMark/>
          </w:tcPr>
          <w:p w14:paraId="6ABFFF95" w14:textId="77777777" w:rsidR="009B7AED" w:rsidRPr="00380FE6" w:rsidRDefault="009B7AED" w:rsidP="005B1E6D">
            <w:pPr>
              <w:pStyle w:val="TMGTableText"/>
              <w:jc w:val="center"/>
            </w:pPr>
            <w:r w:rsidRPr="00380FE6">
              <w:t>5</w:t>
            </w:r>
          </w:p>
        </w:tc>
        <w:tc>
          <w:tcPr>
            <w:tcW w:w="5943" w:type="dxa"/>
            <w:noWrap/>
            <w:hideMark/>
          </w:tcPr>
          <w:p w14:paraId="62BCDF47" w14:textId="77777777" w:rsidR="009B7AED" w:rsidRPr="00380FE6" w:rsidRDefault="009B7AED" w:rsidP="005B1E6D">
            <w:pPr>
              <w:pStyle w:val="TMGTableText"/>
            </w:pPr>
            <w:r w:rsidRPr="00380FE6">
              <w:t>City bus, articulated</w:t>
            </w:r>
          </w:p>
        </w:tc>
      </w:tr>
      <w:tr w:rsidR="009B7AED" w:rsidRPr="00380FE6" w14:paraId="7DD14A66" w14:textId="77777777" w:rsidTr="00701BE1">
        <w:trPr>
          <w:trHeight w:val="300"/>
        </w:trPr>
        <w:tc>
          <w:tcPr>
            <w:tcW w:w="890" w:type="dxa"/>
            <w:vMerge/>
            <w:hideMark/>
          </w:tcPr>
          <w:p w14:paraId="49ECB8B5" w14:textId="77777777" w:rsidR="009B7AED" w:rsidRPr="00220FFB" w:rsidRDefault="009B7AED" w:rsidP="00220FFB">
            <w:pPr>
              <w:pStyle w:val="TMGTableText"/>
              <w:jc w:val="center"/>
              <w:rPr>
                <w:b/>
                <w:bCs/>
              </w:rPr>
            </w:pPr>
          </w:p>
        </w:tc>
        <w:tc>
          <w:tcPr>
            <w:tcW w:w="1710" w:type="dxa"/>
            <w:vMerge/>
            <w:hideMark/>
          </w:tcPr>
          <w:p w14:paraId="1976E72D" w14:textId="77777777" w:rsidR="009B7AED" w:rsidRPr="00380FE6" w:rsidRDefault="009B7AED" w:rsidP="005B1E6D">
            <w:pPr>
              <w:pStyle w:val="TMGTableText"/>
            </w:pPr>
          </w:p>
        </w:tc>
        <w:tc>
          <w:tcPr>
            <w:tcW w:w="817" w:type="dxa"/>
            <w:noWrap/>
            <w:hideMark/>
          </w:tcPr>
          <w:p w14:paraId="018F77A7" w14:textId="77777777" w:rsidR="009B7AED" w:rsidRPr="00380FE6" w:rsidRDefault="009B7AED" w:rsidP="005B1E6D">
            <w:pPr>
              <w:pStyle w:val="TMGTableText"/>
              <w:jc w:val="center"/>
            </w:pPr>
            <w:r w:rsidRPr="00380FE6">
              <w:t>6</w:t>
            </w:r>
          </w:p>
        </w:tc>
        <w:tc>
          <w:tcPr>
            <w:tcW w:w="5943" w:type="dxa"/>
            <w:noWrap/>
            <w:hideMark/>
          </w:tcPr>
          <w:p w14:paraId="77EDEE06" w14:textId="77777777" w:rsidR="009B7AED" w:rsidRPr="00380FE6" w:rsidRDefault="009B7AED" w:rsidP="005B1E6D">
            <w:pPr>
              <w:pStyle w:val="TMGTableText"/>
            </w:pPr>
            <w:r w:rsidRPr="00380FE6">
              <w:t>Motorcoach (e.g., Greyhound)</w:t>
            </w:r>
          </w:p>
        </w:tc>
      </w:tr>
      <w:tr w:rsidR="009B7AED" w:rsidRPr="00380FE6" w14:paraId="6B727095" w14:textId="77777777" w:rsidTr="00701BE1">
        <w:trPr>
          <w:trHeight w:val="300"/>
        </w:trPr>
        <w:tc>
          <w:tcPr>
            <w:tcW w:w="890" w:type="dxa"/>
            <w:vMerge/>
            <w:hideMark/>
          </w:tcPr>
          <w:p w14:paraId="612017EC" w14:textId="77777777" w:rsidR="009B7AED" w:rsidRPr="00220FFB" w:rsidRDefault="009B7AED" w:rsidP="00220FFB">
            <w:pPr>
              <w:pStyle w:val="TMGTableText"/>
              <w:jc w:val="center"/>
              <w:rPr>
                <w:b/>
                <w:bCs/>
              </w:rPr>
            </w:pPr>
          </w:p>
        </w:tc>
        <w:tc>
          <w:tcPr>
            <w:tcW w:w="1710" w:type="dxa"/>
            <w:vMerge/>
            <w:hideMark/>
          </w:tcPr>
          <w:p w14:paraId="2742B617" w14:textId="77777777" w:rsidR="009B7AED" w:rsidRPr="00380FE6" w:rsidRDefault="009B7AED" w:rsidP="005B1E6D">
            <w:pPr>
              <w:pStyle w:val="TMGTableText"/>
            </w:pPr>
          </w:p>
        </w:tc>
        <w:tc>
          <w:tcPr>
            <w:tcW w:w="817" w:type="dxa"/>
            <w:noWrap/>
            <w:hideMark/>
          </w:tcPr>
          <w:p w14:paraId="455065C6" w14:textId="77777777" w:rsidR="009B7AED" w:rsidRPr="00380FE6" w:rsidRDefault="009B7AED" w:rsidP="005B1E6D">
            <w:pPr>
              <w:pStyle w:val="TMGTableText"/>
              <w:jc w:val="center"/>
            </w:pPr>
            <w:r w:rsidRPr="00380FE6">
              <w:t>7</w:t>
            </w:r>
          </w:p>
        </w:tc>
        <w:tc>
          <w:tcPr>
            <w:tcW w:w="5943" w:type="dxa"/>
            <w:noWrap/>
            <w:hideMark/>
          </w:tcPr>
          <w:p w14:paraId="385D3978" w14:textId="77777777" w:rsidR="009B7AED" w:rsidRPr="00380FE6" w:rsidRDefault="009B7AED" w:rsidP="005B1E6D">
            <w:pPr>
              <w:pStyle w:val="TMGTableText"/>
            </w:pPr>
            <w:r w:rsidRPr="00380FE6">
              <w:t>Shuttle bus (16 or more seats)</w:t>
            </w:r>
          </w:p>
        </w:tc>
      </w:tr>
      <w:tr w:rsidR="009B7AED" w:rsidRPr="00380FE6" w14:paraId="2BFDC740" w14:textId="77777777" w:rsidTr="00701BE1">
        <w:trPr>
          <w:trHeight w:val="300"/>
        </w:trPr>
        <w:tc>
          <w:tcPr>
            <w:tcW w:w="890" w:type="dxa"/>
            <w:vMerge/>
            <w:hideMark/>
          </w:tcPr>
          <w:p w14:paraId="2055E29E" w14:textId="77777777" w:rsidR="009B7AED" w:rsidRPr="00220FFB" w:rsidRDefault="009B7AED" w:rsidP="00220FFB">
            <w:pPr>
              <w:pStyle w:val="TMGTableText"/>
              <w:jc w:val="center"/>
              <w:rPr>
                <w:b/>
                <w:bCs/>
              </w:rPr>
            </w:pPr>
          </w:p>
        </w:tc>
        <w:tc>
          <w:tcPr>
            <w:tcW w:w="1710" w:type="dxa"/>
            <w:vMerge/>
            <w:hideMark/>
          </w:tcPr>
          <w:p w14:paraId="19E37CD3" w14:textId="77777777" w:rsidR="009B7AED" w:rsidRPr="00380FE6" w:rsidRDefault="009B7AED" w:rsidP="005B1E6D">
            <w:pPr>
              <w:pStyle w:val="TMGTableText"/>
            </w:pPr>
          </w:p>
        </w:tc>
        <w:tc>
          <w:tcPr>
            <w:tcW w:w="817" w:type="dxa"/>
            <w:noWrap/>
            <w:hideMark/>
          </w:tcPr>
          <w:p w14:paraId="473871AF" w14:textId="77777777" w:rsidR="009B7AED" w:rsidRPr="00380FE6" w:rsidRDefault="009B7AED" w:rsidP="005B1E6D">
            <w:pPr>
              <w:pStyle w:val="TMGTableText"/>
              <w:jc w:val="center"/>
            </w:pPr>
            <w:r w:rsidRPr="00380FE6">
              <w:t>9</w:t>
            </w:r>
          </w:p>
        </w:tc>
        <w:tc>
          <w:tcPr>
            <w:tcW w:w="5943" w:type="dxa"/>
            <w:noWrap/>
            <w:hideMark/>
          </w:tcPr>
          <w:p w14:paraId="5B6E27E8" w14:textId="77777777" w:rsidR="009B7AED" w:rsidRPr="00380FE6" w:rsidRDefault="009B7AED" w:rsidP="005B1E6D">
            <w:pPr>
              <w:pStyle w:val="TMGTableText"/>
            </w:pPr>
            <w:r w:rsidRPr="00380FE6">
              <w:t>Others</w:t>
            </w:r>
          </w:p>
        </w:tc>
      </w:tr>
      <w:tr w:rsidR="009B7AED" w:rsidRPr="00380FE6" w14:paraId="7717620A" w14:textId="77777777" w:rsidTr="00701BE1">
        <w:trPr>
          <w:trHeight w:val="53"/>
        </w:trPr>
        <w:tc>
          <w:tcPr>
            <w:tcW w:w="890" w:type="dxa"/>
            <w:noWrap/>
            <w:hideMark/>
          </w:tcPr>
          <w:p w14:paraId="41D19F2B" w14:textId="77777777" w:rsidR="009B7AED" w:rsidRPr="00220FFB" w:rsidRDefault="009B7AED" w:rsidP="00220FFB">
            <w:pPr>
              <w:pStyle w:val="TMGTableText"/>
              <w:jc w:val="center"/>
              <w:rPr>
                <w:b/>
                <w:bCs/>
              </w:rPr>
            </w:pPr>
            <w:r w:rsidRPr="00220FFB">
              <w:rPr>
                <w:b/>
                <w:bCs/>
              </w:rPr>
              <w:t>9</w:t>
            </w:r>
          </w:p>
        </w:tc>
        <w:tc>
          <w:tcPr>
            <w:tcW w:w="1710" w:type="dxa"/>
            <w:hideMark/>
          </w:tcPr>
          <w:p w14:paraId="21D401F3" w14:textId="77777777" w:rsidR="009B7AED" w:rsidRPr="00380FE6" w:rsidRDefault="009B7AED" w:rsidP="005B1E6D">
            <w:pPr>
              <w:pStyle w:val="TMGTableText"/>
            </w:pPr>
            <w:r w:rsidRPr="00380FE6">
              <w:t>Bicycle</w:t>
            </w:r>
          </w:p>
        </w:tc>
        <w:tc>
          <w:tcPr>
            <w:tcW w:w="817" w:type="dxa"/>
            <w:noWrap/>
            <w:hideMark/>
          </w:tcPr>
          <w:p w14:paraId="5D5B8C23" w14:textId="77777777" w:rsidR="009B7AED" w:rsidRPr="00380FE6" w:rsidRDefault="009B7AED" w:rsidP="005B1E6D">
            <w:pPr>
              <w:pStyle w:val="TMGTableText"/>
              <w:jc w:val="center"/>
            </w:pPr>
            <w:r w:rsidRPr="00380FE6">
              <w:t>0</w:t>
            </w:r>
          </w:p>
        </w:tc>
        <w:tc>
          <w:tcPr>
            <w:tcW w:w="5943" w:type="dxa"/>
            <w:noWrap/>
            <w:hideMark/>
          </w:tcPr>
          <w:p w14:paraId="1C1BF1C9" w14:textId="77777777" w:rsidR="009B7AED" w:rsidRPr="00380FE6" w:rsidRDefault="009B7AED" w:rsidP="005B1E6D">
            <w:pPr>
              <w:pStyle w:val="TMGTableText"/>
            </w:pPr>
            <w:r w:rsidRPr="00380FE6">
              <w:t>N/A</w:t>
            </w:r>
          </w:p>
        </w:tc>
      </w:tr>
    </w:tbl>
    <w:p w14:paraId="6E36E023" w14:textId="77777777" w:rsidR="005B1E6D" w:rsidRDefault="005B1E6D">
      <w:pPr>
        <w:widowControl/>
        <w:suppressAutoHyphens w:val="0"/>
        <w:autoSpaceDE/>
        <w:autoSpaceDN/>
        <w:adjustRightInd/>
        <w:spacing w:after="160" w:line="259" w:lineRule="auto"/>
        <w:jc w:val="left"/>
        <w:textAlignment w:val="auto"/>
        <w:rPr>
          <w:b/>
          <w:bCs/>
          <w:sz w:val="22"/>
        </w:rPr>
      </w:pPr>
      <w:bookmarkStart w:id="3144" w:name="_Ref113275391"/>
      <w:bookmarkStart w:id="3145" w:name="_Toc109333462"/>
      <w:bookmarkStart w:id="3146" w:name="_Toc109333790"/>
      <w:bookmarkStart w:id="3147" w:name="_Toc113282530"/>
      <w:bookmarkStart w:id="3148" w:name="_Toc114474867"/>
      <w:r>
        <w:br w:type="page"/>
      </w:r>
    </w:p>
    <w:p w14:paraId="50FBE4AE" w14:textId="187D61BC" w:rsidR="009B7AED" w:rsidRPr="005B1A35" w:rsidRDefault="009B7AED" w:rsidP="000F2A7A">
      <w:pPr>
        <w:pStyle w:val="TMGTableCaption"/>
      </w:pPr>
      <w:bookmarkStart w:id="3149" w:name="_Ref116032802"/>
      <w:bookmarkStart w:id="3150" w:name="_Toc120631173"/>
      <w:r w:rsidRPr="005B1A35">
        <w:lastRenderedPageBreak/>
        <w:t xml:space="preserve">Table </w:t>
      </w:r>
      <w:fldSimple w:instr=" STYLEREF 1 \s ">
        <w:r w:rsidR="00C07DF9">
          <w:rPr>
            <w:noProof/>
          </w:rPr>
          <w:t>4</w:t>
        </w:r>
      </w:fldSimple>
      <w:r>
        <w:noBreakHyphen/>
      </w:r>
      <w:fldSimple w:instr=" SEQ Table \* ARABIC \s 1 ">
        <w:r w:rsidR="00C07DF9">
          <w:rPr>
            <w:noProof/>
          </w:rPr>
          <w:t>25</w:t>
        </w:r>
      </w:fldSimple>
      <w:bookmarkEnd w:id="3144"/>
      <w:bookmarkEnd w:id="3149"/>
      <w:r w:rsidR="00523F14">
        <w:t>.</w:t>
      </w:r>
      <w:r w:rsidRPr="005B1A35">
        <w:t xml:space="preserve"> I</w:t>
      </w:r>
      <w:r w:rsidR="000A73FE">
        <w:t xml:space="preserve">ndividual Codes for </w:t>
      </w:r>
      <w:r w:rsidRPr="005B1A35">
        <w:t>C</w:t>
      </w:r>
      <w:r w:rsidR="000A73FE">
        <w:t xml:space="preserve">lass and </w:t>
      </w:r>
      <w:r w:rsidRPr="005B1A35">
        <w:t>B</w:t>
      </w:r>
      <w:r w:rsidR="000A73FE">
        <w:t>ody Type</w:t>
      </w:r>
      <w:r w:rsidRPr="005B1A35">
        <w:t xml:space="preserve"> </w:t>
      </w:r>
      <w:r w:rsidR="000A73FE">
        <w:t>when Code</w:t>
      </w:r>
      <w:r w:rsidRPr="005B1A35">
        <w:t xml:space="preserve"> 1&gt;</w:t>
      </w:r>
      <w:r>
        <w:t>=</w:t>
      </w:r>
      <w:r w:rsidRPr="005B1A35">
        <w:t>5</w:t>
      </w:r>
      <w:bookmarkEnd w:id="3145"/>
      <w:bookmarkEnd w:id="3146"/>
      <w:bookmarkEnd w:id="3147"/>
      <w:bookmarkEnd w:id="3148"/>
      <w:bookmarkEnd w:id="3150"/>
    </w:p>
    <w:tbl>
      <w:tblPr>
        <w:tblStyle w:val="TMGTable10"/>
        <w:tblW w:w="9355" w:type="dxa"/>
        <w:tblLook w:val="04A0" w:firstRow="1" w:lastRow="0" w:firstColumn="1" w:lastColumn="0" w:noHBand="0" w:noVBand="1"/>
      </w:tblPr>
      <w:tblGrid>
        <w:gridCol w:w="810"/>
        <w:gridCol w:w="1345"/>
        <w:gridCol w:w="810"/>
        <w:gridCol w:w="6390"/>
      </w:tblGrid>
      <w:tr w:rsidR="009B7AED" w:rsidRPr="00676B98" w14:paraId="687D13D9" w14:textId="77777777" w:rsidTr="00701BE1">
        <w:trPr>
          <w:cnfStyle w:val="100000000000" w:firstRow="1" w:lastRow="0" w:firstColumn="0" w:lastColumn="0" w:oddVBand="0" w:evenVBand="0" w:oddHBand="0" w:evenHBand="0" w:firstRowFirstColumn="0" w:firstRowLastColumn="0" w:lastRowFirstColumn="0" w:lastRowLastColumn="0"/>
          <w:trHeight w:val="300"/>
        </w:trPr>
        <w:tc>
          <w:tcPr>
            <w:tcW w:w="810" w:type="dxa"/>
            <w:noWrap/>
            <w:hideMark/>
          </w:tcPr>
          <w:p w14:paraId="6A102F28" w14:textId="77777777" w:rsidR="009B7AED" w:rsidRPr="00676B98" w:rsidRDefault="009B7AED" w:rsidP="005B1E6D">
            <w:pPr>
              <w:widowControl/>
              <w:suppressAutoHyphens w:val="0"/>
              <w:autoSpaceDE/>
              <w:autoSpaceDN/>
              <w:adjustRightInd/>
              <w:jc w:val="center"/>
              <w:textAlignment w:val="auto"/>
              <w:rPr>
                <w:b/>
                <w:bCs/>
                <w:color w:val="FFFFFF" w:themeColor="background1"/>
              </w:rPr>
            </w:pPr>
            <w:r w:rsidRPr="00676B98">
              <w:rPr>
                <w:b/>
                <w:bCs/>
                <w:color w:val="FFFFFF" w:themeColor="background1"/>
              </w:rPr>
              <w:t>Code 3</w:t>
            </w:r>
          </w:p>
        </w:tc>
        <w:tc>
          <w:tcPr>
            <w:tcW w:w="1345" w:type="dxa"/>
            <w:hideMark/>
          </w:tcPr>
          <w:p w14:paraId="09EE0BAB" w14:textId="5E26FE08" w:rsidR="009B7AED" w:rsidRPr="00676B98" w:rsidRDefault="009B7AED" w:rsidP="005B1E6D">
            <w:pPr>
              <w:widowControl/>
              <w:suppressAutoHyphens w:val="0"/>
              <w:autoSpaceDE/>
              <w:autoSpaceDN/>
              <w:adjustRightInd/>
              <w:jc w:val="center"/>
              <w:textAlignment w:val="auto"/>
              <w:rPr>
                <w:b/>
                <w:bCs/>
                <w:color w:val="FFFFFF" w:themeColor="background1"/>
              </w:rPr>
            </w:pPr>
            <w:r w:rsidRPr="00676B98">
              <w:rPr>
                <w:b/>
                <w:bCs/>
                <w:color w:val="FFFFFF" w:themeColor="background1"/>
              </w:rPr>
              <w:t xml:space="preserve">Body </w:t>
            </w:r>
            <w:r w:rsidR="005B1E6D">
              <w:rPr>
                <w:b/>
                <w:bCs/>
                <w:color w:val="FFFFFF" w:themeColor="background1"/>
              </w:rPr>
              <w:t>T</w:t>
            </w:r>
            <w:r w:rsidRPr="00676B98">
              <w:rPr>
                <w:b/>
                <w:bCs/>
                <w:color w:val="FFFFFF" w:themeColor="background1"/>
              </w:rPr>
              <w:t xml:space="preserve">ype (Body </w:t>
            </w:r>
            <w:r w:rsidR="005B1E6D">
              <w:rPr>
                <w:b/>
                <w:bCs/>
                <w:color w:val="FFFFFF" w:themeColor="background1"/>
              </w:rPr>
              <w:t>S</w:t>
            </w:r>
            <w:r w:rsidRPr="00676B98">
              <w:rPr>
                <w:b/>
                <w:bCs/>
                <w:color w:val="FFFFFF" w:themeColor="background1"/>
              </w:rPr>
              <w:t>tyle)</w:t>
            </w:r>
          </w:p>
        </w:tc>
        <w:tc>
          <w:tcPr>
            <w:tcW w:w="810" w:type="dxa"/>
            <w:noWrap/>
            <w:hideMark/>
          </w:tcPr>
          <w:p w14:paraId="0C425573" w14:textId="77777777" w:rsidR="009B7AED" w:rsidRPr="00676B98" w:rsidRDefault="009B7AED" w:rsidP="005B1E6D">
            <w:pPr>
              <w:widowControl/>
              <w:suppressAutoHyphens w:val="0"/>
              <w:autoSpaceDE/>
              <w:autoSpaceDN/>
              <w:adjustRightInd/>
              <w:jc w:val="center"/>
              <w:textAlignment w:val="auto"/>
              <w:rPr>
                <w:rFonts w:asciiTheme="minorHAnsi" w:hAnsiTheme="minorHAnsi" w:cstheme="minorHAnsi"/>
                <w:b/>
                <w:bCs/>
                <w:color w:val="FFFFFF" w:themeColor="background1"/>
              </w:rPr>
            </w:pPr>
            <w:r w:rsidRPr="00676B98">
              <w:rPr>
                <w:rFonts w:asciiTheme="minorHAnsi" w:hAnsiTheme="minorHAnsi" w:cstheme="minorHAnsi"/>
                <w:b/>
                <w:bCs/>
                <w:color w:val="FFFFFF" w:themeColor="background1"/>
              </w:rPr>
              <w:t>Code 4</w:t>
            </w:r>
          </w:p>
        </w:tc>
        <w:tc>
          <w:tcPr>
            <w:tcW w:w="6390" w:type="dxa"/>
            <w:noWrap/>
            <w:hideMark/>
          </w:tcPr>
          <w:p w14:paraId="67D4C456" w14:textId="06E94815" w:rsidR="009B7AED" w:rsidRPr="00676B98" w:rsidRDefault="009B7AED" w:rsidP="005B1E6D">
            <w:pPr>
              <w:widowControl/>
              <w:suppressAutoHyphens w:val="0"/>
              <w:autoSpaceDE/>
              <w:autoSpaceDN/>
              <w:adjustRightInd/>
              <w:jc w:val="center"/>
              <w:textAlignment w:val="auto"/>
              <w:rPr>
                <w:b/>
                <w:bCs/>
                <w:color w:val="FFFFFF" w:themeColor="background1"/>
              </w:rPr>
            </w:pPr>
            <w:r w:rsidRPr="00676B98">
              <w:rPr>
                <w:b/>
                <w:bCs/>
                <w:color w:val="FFFFFF" w:themeColor="background1"/>
              </w:rPr>
              <w:t xml:space="preserve">Specific </w:t>
            </w:r>
            <w:r w:rsidR="005B1E6D">
              <w:rPr>
                <w:b/>
                <w:bCs/>
                <w:color w:val="FFFFFF" w:themeColor="background1"/>
              </w:rPr>
              <w:t>B</w:t>
            </w:r>
            <w:r w:rsidRPr="00676B98">
              <w:rPr>
                <w:b/>
                <w:bCs/>
                <w:color w:val="FFFFFF" w:themeColor="background1"/>
              </w:rPr>
              <w:t xml:space="preserve">ody </w:t>
            </w:r>
            <w:r w:rsidR="005B1E6D">
              <w:rPr>
                <w:b/>
                <w:bCs/>
                <w:color w:val="FFFFFF" w:themeColor="background1"/>
              </w:rPr>
              <w:t>T</w:t>
            </w:r>
            <w:r w:rsidRPr="00676B98">
              <w:rPr>
                <w:b/>
                <w:bCs/>
                <w:color w:val="FFFFFF" w:themeColor="background1"/>
              </w:rPr>
              <w:t xml:space="preserve">ype (Specific </w:t>
            </w:r>
            <w:r w:rsidR="005B1E6D">
              <w:rPr>
                <w:b/>
                <w:bCs/>
                <w:color w:val="FFFFFF" w:themeColor="background1"/>
              </w:rPr>
              <w:t>B</w:t>
            </w:r>
            <w:r w:rsidRPr="00676B98">
              <w:rPr>
                <w:b/>
                <w:bCs/>
                <w:color w:val="FFFFFF" w:themeColor="background1"/>
              </w:rPr>
              <w:t xml:space="preserve">ody </w:t>
            </w:r>
            <w:r w:rsidR="005B1E6D">
              <w:rPr>
                <w:b/>
                <w:bCs/>
                <w:color w:val="FFFFFF" w:themeColor="background1"/>
              </w:rPr>
              <w:t>S</w:t>
            </w:r>
            <w:r w:rsidRPr="00676B98">
              <w:rPr>
                <w:b/>
                <w:bCs/>
                <w:color w:val="FFFFFF" w:themeColor="background1"/>
              </w:rPr>
              <w:t>tyle)</w:t>
            </w:r>
          </w:p>
        </w:tc>
      </w:tr>
      <w:tr w:rsidR="009B7AED" w:rsidRPr="00676B98" w14:paraId="44B1D609" w14:textId="77777777" w:rsidTr="00701BE1">
        <w:trPr>
          <w:trHeight w:val="63"/>
        </w:trPr>
        <w:tc>
          <w:tcPr>
            <w:tcW w:w="810" w:type="dxa"/>
            <w:noWrap/>
            <w:hideMark/>
          </w:tcPr>
          <w:p w14:paraId="216F484C" w14:textId="77777777" w:rsidR="009B7AED" w:rsidRPr="00220FFB" w:rsidRDefault="009B7AED" w:rsidP="005B1E6D">
            <w:pPr>
              <w:pStyle w:val="TMGTableText"/>
              <w:jc w:val="center"/>
              <w:rPr>
                <w:b/>
                <w:bCs/>
              </w:rPr>
            </w:pPr>
            <w:r w:rsidRPr="00220FFB">
              <w:rPr>
                <w:b/>
                <w:bCs/>
              </w:rPr>
              <w:t>0</w:t>
            </w:r>
          </w:p>
        </w:tc>
        <w:tc>
          <w:tcPr>
            <w:tcW w:w="1345" w:type="dxa"/>
            <w:noWrap/>
            <w:hideMark/>
          </w:tcPr>
          <w:p w14:paraId="453544A1" w14:textId="77777777" w:rsidR="009B7AED" w:rsidRPr="00676B98" w:rsidRDefault="009B7AED" w:rsidP="005B1E6D">
            <w:pPr>
              <w:pStyle w:val="TMGTableText"/>
            </w:pPr>
            <w:r w:rsidRPr="00676B98">
              <w:t>Blocked</w:t>
            </w:r>
          </w:p>
        </w:tc>
        <w:tc>
          <w:tcPr>
            <w:tcW w:w="810" w:type="dxa"/>
            <w:noWrap/>
            <w:hideMark/>
          </w:tcPr>
          <w:p w14:paraId="2796B719" w14:textId="77777777" w:rsidR="009B7AED" w:rsidRPr="00676B98" w:rsidRDefault="009B7AED" w:rsidP="005B1E6D">
            <w:pPr>
              <w:pStyle w:val="TMGTableText"/>
              <w:jc w:val="center"/>
            </w:pPr>
            <w:r w:rsidRPr="00676B98">
              <w:t>0</w:t>
            </w:r>
          </w:p>
        </w:tc>
        <w:tc>
          <w:tcPr>
            <w:tcW w:w="6390" w:type="dxa"/>
            <w:noWrap/>
            <w:hideMark/>
          </w:tcPr>
          <w:p w14:paraId="5BFAEF0E" w14:textId="77777777" w:rsidR="009B7AED" w:rsidRPr="00676B98" w:rsidRDefault="009B7AED" w:rsidP="005B1E6D">
            <w:pPr>
              <w:pStyle w:val="TMGTableText"/>
            </w:pPr>
            <w:r w:rsidRPr="00676B98">
              <w:t>Blocked</w:t>
            </w:r>
          </w:p>
        </w:tc>
      </w:tr>
      <w:tr w:rsidR="009B7AED" w:rsidRPr="00676B98" w14:paraId="05454E2D" w14:textId="77777777" w:rsidTr="00701BE1">
        <w:trPr>
          <w:trHeight w:val="63"/>
        </w:trPr>
        <w:tc>
          <w:tcPr>
            <w:tcW w:w="810" w:type="dxa"/>
            <w:vMerge w:val="restart"/>
            <w:noWrap/>
            <w:hideMark/>
          </w:tcPr>
          <w:p w14:paraId="756CEAF6" w14:textId="77777777" w:rsidR="009B7AED" w:rsidRPr="00220FFB" w:rsidRDefault="009B7AED" w:rsidP="005B1E6D">
            <w:pPr>
              <w:pStyle w:val="TMGTableText"/>
              <w:jc w:val="center"/>
              <w:rPr>
                <w:b/>
                <w:bCs/>
              </w:rPr>
            </w:pPr>
            <w:r w:rsidRPr="00220FFB">
              <w:rPr>
                <w:b/>
                <w:bCs/>
              </w:rPr>
              <w:t>1</w:t>
            </w:r>
          </w:p>
        </w:tc>
        <w:tc>
          <w:tcPr>
            <w:tcW w:w="1345" w:type="dxa"/>
            <w:vMerge w:val="restart"/>
            <w:noWrap/>
            <w:hideMark/>
          </w:tcPr>
          <w:p w14:paraId="6E7EDB72" w14:textId="77777777" w:rsidR="009B7AED" w:rsidRPr="00676B98" w:rsidRDefault="009B7AED" w:rsidP="005B1E6D">
            <w:pPr>
              <w:pStyle w:val="TMGTableText"/>
            </w:pPr>
            <w:r w:rsidRPr="00676B98">
              <w:t>Van</w:t>
            </w:r>
          </w:p>
        </w:tc>
        <w:tc>
          <w:tcPr>
            <w:tcW w:w="810" w:type="dxa"/>
            <w:noWrap/>
            <w:hideMark/>
          </w:tcPr>
          <w:p w14:paraId="13B59CD4" w14:textId="77777777" w:rsidR="009B7AED" w:rsidRPr="00676B98" w:rsidRDefault="009B7AED" w:rsidP="005B1E6D">
            <w:pPr>
              <w:pStyle w:val="TMGTableText"/>
              <w:jc w:val="center"/>
            </w:pPr>
            <w:r w:rsidRPr="00676B98">
              <w:t>0</w:t>
            </w:r>
          </w:p>
        </w:tc>
        <w:tc>
          <w:tcPr>
            <w:tcW w:w="6390" w:type="dxa"/>
            <w:noWrap/>
            <w:hideMark/>
          </w:tcPr>
          <w:p w14:paraId="394E2099" w14:textId="77777777" w:rsidR="009B7AED" w:rsidRPr="00676B98" w:rsidRDefault="009B7AED" w:rsidP="005B1E6D">
            <w:pPr>
              <w:pStyle w:val="TMGTableText"/>
            </w:pPr>
            <w:r w:rsidRPr="00676B98">
              <w:t>Blocked</w:t>
            </w:r>
          </w:p>
        </w:tc>
      </w:tr>
      <w:tr w:rsidR="009B7AED" w:rsidRPr="00676B98" w14:paraId="1F59F085" w14:textId="77777777" w:rsidTr="00701BE1">
        <w:trPr>
          <w:trHeight w:val="300"/>
        </w:trPr>
        <w:tc>
          <w:tcPr>
            <w:tcW w:w="810" w:type="dxa"/>
            <w:vMerge/>
            <w:hideMark/>
          </w:tcPr>
          <w:p w14:paraId="4ED4B77D" w14:textId="77777777" w:rsidR="009B7AED" w:rsidRPr="00676B98" w:rsidRDefault="009B7AED" w:rsidP="005B1E6D">
            <w:pPr>
              <w:pStyle w:val="TMGTableText"/>
              <w:jc w:val="center"/>
            </w:pPr>
          </w:p>
        </w:tc>
        <w:tc>
          <w:tcPr>
            <w:tcW w:w="1345" w:type="dxa"/>
            <w:vMerge/>
            <w:hideMark/>
          </w:tcPr>
          <w:p w14:paraId="51901784" w14:textId="77777777" w:rsidR="009B7AED" w:rsidRPr="00676B98" w:rsidRDefault="009B7AED" w:rsidP="005B1E6D">
            <w:pPr>
              <w:pStyle w:val="TMGTableText"/>
            </w:pPr>
          </w:p>
        </w:tc>
        <w:tc>
          <w:tcPr>
            <w:tcW w:w="810" w:type="dxa"/>
            <w:noWrap/>
            <w:hideMark/>
          </w:tcPr>
          <w:p w14:paraId="1FE30C61" w14:textId="77777777" w:rsidR="009B7AED" w:rsidRPr="00676B98" w:rsidRDefault="009B7AED" w:rsidP="005B1E6D">
            <w:pPr>
              <w:pStyle w:val="TMGTableText"/>
              <w:jc w:val="center"/>
            </w:pPr>
            <w:r w:rsidRPr="00676B98">
              <w:t>1</w:t>
            </w:r>
          </w:p>
        </w:tc>
        <w:tc>
          <w:tcPr>
            <w:tcW w:w="6390" w:type="dxa"/>
            <w:noWrap/>
            <w:hideMark/>
          </w:tcPr>
          <w:p w14:paraId="645EAE84" w14:textId="641198EC" w:rsidR="009B7AED" w:rsidRPr="00676B98" w:rsidRDefault="009B7AED" w:rsidP="005B1E6D">
            <w:pPr>
              <w:pStyle w:val="TMGTableText"/>
            </w:pPr>
            <w:r w:rsidRPr="00676B98">
              <w:t>Enclosed van/Open-top/Grain van/Curtain-side/Beverage van</w:t>
            </w:r>
            <w:r w:rsidR="003D18A1">
              <w:br/>
            </w:r>
            <w:r w:rsidRPr="00676B98">
              <w:t>(for Code 1 &lt;= 6 only)</w:t>
            </w:r>
          </w:p>
        </w:tc>
      </w:tr>
      <w:tr w:rsidR="009B7AED" w:rsidRPr="00676B98" w14:paraId="68CE0F10" w14:textId="77777777" w:rsidTr="00701BE1">
        <w:trPr>
          <w:trHeight w:val="63"/>
        </w:trPr>
        <w:tc>
          <w:tcPr>
            <w:tcW w:w="810" w:type="dxa"/>
            <w:vMerge/>
            <w:hideMark/>
          </w:tcPr>
          <w:p w14:paraId="586CEDBD" w14:textId="77777777" w:rsidR="009B7AED" w:rsidRPr="00676B98" w:rsidRDefault="009B7AED" w:rsidP="005B1E6D">
            <w:pPr>
              <w:pStyle w:val="TMGTableText"/>
              <w:jc w:val="center"/>
            </w:pPr>
          </w:p>
        </w:tc>
        <w:tc>
          <w:tcPr>
            <w:tcW w:w="1345" w:type="dxa"/>
            <w:vMerge/>
            <w:hideMark/>
          </w:tcPr>
          <w:p w14:paraId="65E95A2D" w14:textId="77777777" w:rsidR="009B7AED" w:rsidRPr="00676B98" w:rsidRDefault="009B7AED" w:rsidP="005B1E6D">
            <w:pPr>
              <w:pStyle w:val="TMGTableText"/>
            </w:pPr>
          </w:p>
        </w:tc>
        <w:tc>
          <w:tcPr>
            <w:tcW w:w="810" w:type="dxa"/>
            <w:noWrap/>
            <w:hideMark/>
          </w:tcPr>
          <w:p w14:paraId="44356D7A" w14:textId="77777777" w:rsidR="009B7AED" w:rsidRPr="00676B98" w:rsidRDefault="009B7AED" w:rsidP="005B1E6D">
            <w:pPr>
              <w:pStyle w:val="TMGTableText"/>
              <w:jc w:val="center"/>
            </w:pPr>
            <w:r w:rsidRPr="00676B98">
              <w:t>2</w:t>
            </w:r>
          </w:p>
        </w:tc>
        <w:tc>
          <w:tcPr>
            <w:tcW w:w="6390" w:type="dxa"/>
            <w:noWrap/>
            <w:hideMark/>
          </w:tcPr>
          <w:p w14:paraId="50B5C832" w14:textId="77777777" w:rsidR="009B7AED" w:rsidRPr="00676B98" w:rsidRDefault="009B7AED" w:rsidP="005B1E6D">
            <w:pPr>
              <w:pStyle w:val="TMGTableText"/>
            </w:pPr>
            <w:r w:rsidRPr="00676B98">
              <w:t>Delivery/Multi-stop/Step van</w:t>
            </w:r>
          </w:p>
        </w:tc>
      </w:tr>
      <w:tr w:rsidR="009B7AED" w:rsidRPr="00676B98" w14:paraId="460B3A20" w14:textId="77777777" w:rsidTr="00701BE1">
        <w:trPr>
          <w:trHeight w:val="63"/>
        </w:trPr>
        <w:tc>
          <w:tcPr>
            <w:tcW w:w="810" w:type="dxa"/>
            <w:vMerge/>
            <w:hideMark/>
          </w:tcPr>
          <w:p w14:paraId="4424BE0A" w14:textId="77777777" w:rsidR="009B7AED" w:rsidRPr="00676B98" w:rsidRDefault="009B7AED" w:rsidP="005B1E6D">
            <w:pPr>
              <w:pStyle w:val="TMGTableText"/>
              <w:jc w:val="center"/>
            </w:pPr>
          </w:p>
        </w:tc>
        <w:tc>
          <w:tcPr>
            <w:tcW w:w="1345" w:type="dxa"/>
            <w:vMerge/>
            <w:hideMark/>
          </w:tcPr>
          <w:p w14:paraId="509B6EAE" w14:textId="77777777" w:rsidR="009B7AED" w:rsidRPr="00676B98" w:rsidRDefault="009B7AED" w:rsidP="005B1E6D">
            <w:pPr>
              <w:pStyle w:val="TMGTableText"/>
            </w:pPr>
          </w:p>
        </w:tc>
        <w:tc>
          <w:tcPr>
            <w:tcW w:w="810" w:type="dxa"/>
            <w:noWrap/>
            <w:hideMark/>
          </w:tcPr>
          <w:p w14:paraId="75F1FC5F" w14:textId="77777777" w:rsidR="009B7AED" w:rsidRPr="00676B98" w:rsidRDefault="009B7AED" w:rsidP="005B1E6D">
            <w:pPr>
              <w:pStyle w:val="TMGTableText"/>
              <w:jc w:val="center"/>
            </w:pPr>
            <w:r w:rsidRPr="00676B98">
              <w:t>3</w:t>
            </w:r>
          </w:p>
        </w:tc>
        <w:tc>
          <w:tcPr>
            <w:tcW w:w="6390" w:type="dxa"/>
            <w:noWrap/>
            <w:hideMark/>
          </w:tcPr>
          <w:p w14:paraId="5F6BCFAE" w14:textId="77777777" w:rsidR="009B7AED" w:rsidRPr="00676B98" w:rsidRDefault="009B7AED" w:rsidP="005B1E6D">
            <w:pPr>
              <w:pStyle w:val="TMGTableText"/>
            </w:pPr>
            <w:r w:rsidRPr="00676B98">
              <w:t>Drop-frame van/Furniture van (for Code 1 &gt;= 6 only)</w:t>
            </w:r>
          </w:p>
        </w:tc>
      </w:tr>
      <w:tr w:rsidR="009B7AED" w:rsidRPr="00676B98" w14:paraId="620B207B" w14:textId="77777777" w:rsidTr="00701BE1">
        <w:trPr>
          <w:trHeight w:val="63"/>
        </w:trPr>
        <w:tc>
          <w:tcPr>
            <w:tcW w:w="810" w:type="dxa"/>
            <w:vMerge/>
            <w:hideMark/>
          </w:tcPr>
          <w:p w14:paraId="37C1B764" w14:textId="77777777" w:rsidR="009B7AED" w:rsidRPr="00676B98" w:rsidRDefault="009B7AED" w:rsidP="005B1E6D">
            <w:pPr>
              <w:pStyle w:val="TMGTableText"/>
              <w:jc w:val="center"/>
            </w:pPr>
          </w:p>
        </w:tc>
        <w:tc>
          <w:tcPr>
            <w:tcW w:w="1345" w:type="dxa"/>
            <w:vMerge/>
            <w:hideMark/>
          </w:tcPr>
          <w:p w14:paraId="1DA54209" w14:textId="77777777" w:rsidR="009B7AED" w:rsidRPr="00676B98" w:rsidRDefault="009B7AED" w:rsidP="005B1E6D">
            <w:pPr>
              <w:pStyle w:val="TMGTableText"/>
            </w:pPr>
          </w:p>
        </w:tc>
        <w:tc>
          <w:tcPr>
            <w:tcW w:w="810" w:type="dxa"/>
            <w:noWrap/>
            <w:hideMark/>
          </w:tcPr>
          <w:p w14:paraId="67E30A6A" w14:textId="77777777" w:rsidR="009B7AED" w:rsidRPr="00676B98" w:rsidRDefault="009B7AED" w:rsidP="005B1E6D">
            <w:pPr>
              <w:pStyle w:val="TMGTableText"/>
              <w:jc w:val="center"/>
            </w:pPr>
            <w:r w:rsidRPr="00676B98">
              <w:t>4</w:t>
            </w:r>
          </w:p>
        </w:tc>
        <w:tc>
          <w:tcPr>
            <w:tcW w:w="6390" w:type="dxa"/>
            <w:noWrap/>
            <w:hideMark/>
          </w:tcPr>
          <w:p w14:paraId="0C1378BA" w14:textId="77777777" w:rsidR="009B7AED" w:rsidRPr="00676B98" w:rsidRDefault="009B7AED" w:rsidP="005B1E6D">
            <w:pPr>
              <w:pStyle w:val="TMGTableText"/>
            </w:pPr>
            <w:r w:rsidRPr="00676B98">
              <w:t>Tilt van (for Code 1 &gt;= 6 only)</w:t>
            </w:r>
          </w:p>
        </w:tc>
      </w:tr>
      <w:tr w:rsidR="009B7AED" w:rsidRPr="00676B98" w14:paraId="4324C54E" w14:textId="77777777" w:rsidTr="00701BE1">
        <w:trPr>
          <w:trHeight w:val="63"/>
        </w:trPr>
        <w:tc>
          <w:tcPr>
            <w:tcW w:w="810" w:type="dxa"/>
            <w:vMerge/>
            <w:hideMark/>
          </w:tcPr>
          <w:p w14:paraId="5FE9EF44" w14:textId="77777777" w:rsidR="009B7AED" w:rsidRPr="00676B98" w:rsidRDefault="009B7AED" w:rsidP="005B1E6D">
            <w:pPr>
              <w:pStyle w:val="TMGTableText"/>
              <w:jc w:val="center"/>
            </w:pPr>
          </w:p>
        </w:tc>
        <w:tc>
          <w:tcPr>
            <w:tcW w:w="1345" w:type="dxa"/>
            <w:vMerge/>
            <w:hideMark/>
          </w:tcPr>
          <w:p w14:paraId="2C8CE2B7" w14:textId="77777777" w:rsidR="009B7AED" w:rsidRPr="00676B98" w:rsidRDefault="009B7AED" w:rsidP="005B1E6D">
            <w:pPr>
              <w:pStyle w:val="TMGTableText"/>
            </w:pPr>
          </w:p>
        </w:tc>
        <w:tc>
          <w:tcPr>
            <w:tcW w:w="810" w:type="dxa"/>
            <w:noWrap/>
            <w:hideMark/>
          </w:tcPr>
          <w:p w14:paraId="33E2463F" w14:textId="77777777" w:rsidR="009B7AED" w:rsidRPr="00676B98" w:rsidRDefault="009B7AED" w:rsidP="005B1E6D">
            <w:pPr>
              <w:pStyle w:val="TMGTableText"/>
              <w:jc w:val="center"/>
            </w:pPr>
            <w:r w:rsidRPr="00676B98">
              <w:t>5</w:t>
            </w:r>
          </w:p>
        </w:tc>
        <w:tc>
          <w:tcPr>
            <w:tcW w:w="6390" w:type="dxa"/>
            <w:noWrap/>
            <w:hideMark/>
          </w:tcPr>
          <w:p w14:paraId="0AADA878" w14:textId="77777777" w:rsidR="009B7AED" w:rsidRPr="00676B98" w:rsidRDefault="009B7AED" w:rsidP="005B1E6D">
            <w:pPr>
              <w:pStyle w:val="TMGTableText"/>
            </w:pPr>
            <w:r w:rsidRPr="00676B98">
              <w:t>Same type vans (for Code 1 = 7 only)</w:t>
            </w:r>
          </w:p>
        </w:tc>
      </w:tr>
      <w:tr w:rsidR="009B7AED" w:rsidRPr="00676B98" w14:paraId="27359AA8" w14:textId="77777777" w:rsidTr="00701BE1">
        <w:trPr>
          <w:trHeight w:val="63"/>
        </w:trPr>
        <w:tc>
          <w:tcPr>
            <w:tcW w:w="810" w:type="dxa"/>
            <w:vMerge/>
            <w:hideMark/>
          </w:tcPr>
          <w:p w14:paraId="74B226A3" w14:textId="77777777" w:rsidR="009B7AED" w:rsidRPr="00676B98" w:rsidRDefault="009B7AED" w:rsidP="005B1E6D">
            <w:pPr>
              <w:pStyle w:val="TMGTableText"/>
              <w:jc w:val="center"/>
            </w:pPr>
          </w:p>
        </w:tc>
        <w:tc>
          <w:tcPr>
            <w:tcW w:w="1345" w:type="dxa"/>
            <w:vMerge/>
            <w:hideMark/>
          </w:tcPr>
          <w:p w14:paraId="71812B3B" w14:textId="77777777" w:rsidR="009B7AED" w:rsidRPr="00676B98" w:rsidRDefault="009B7AED" w:rsidP="005B1E6D">
            <w:pPr>
              <w:pStyle w:val="TMGTableText"/>
            </w:pPr>
          </w:p>
        </w:tc>
        <w:tc>
          <w:tcPr>
            <w:tcW w:w="810" w:type="dxa"/>
            <w:noWrap/>
            <w:hideMark/>
          </w:tcPr>
          <w:p w14:paraId="0364658E" w14:textId="77777777" w:rsidR="009B7AED" w:rsidRPr="00676B98" w:rsidRDefault="009B7AED" w:rsidP="005B1E6D">
            <w:pPr>
              <w:pStyle w:val="TMGTableText"/>
              <w:jc w:val="center"/>
            </w:pPr>
            <w:r w:rsidRPr="00676B98">
              <w:t>6</w:t>
            </w:r>
          </w:p>
        </w:tc>
        <w:tc>
          <w:tcPr>
            <w:tcW w:w="6390" w:type="dxa"/>
            <w:noWrap/>
            <w:hideMark/>
          </w:tcPr>
          <w:p w14:paraId="3D98BA73" w14:textId="77777777" w:rsidR="009B7AED" w:rsidRPr="00676B98" w:rsidRDefault="009B7AED" w:rsidP="005B1E6D">
            <w:pPr>
              <w:pStyle w:val="TMGTableText"/>
            </w:pPr>
            <w:r w:rsidRPr="00676B98">
              <w:t>Different type vans (for Code 1 = 7 only)</w:t>
            </w:r>
          </w:p>
        </w:tc>
      </w:tr>
      <w:tr w:rsidR="009B7AED" w:rsidRPr="00676B98" w14:paraId="2F68F377" w14:textId="77777777" w:rsidTr="00701BE1">
        <w:trPr>
          <w:trHeight w:val="63"/>
        </w:trPr>
        <w:tc>
          <w:tcPr>
            <w:tcW w:w="810" w:type="dxa"/>
            <w:vMerge/>
            <w:hideMark/>
          </w:tcPr>
          <w:p w14:paraId="4E7AE071" w14:textId="77777777" w:rsidR="009B7AED" w:rsidRPr="00676B98" w:rsidRDefault="009B7AED" w:rsidP="005B1E6D">
            <w:pPr>
              <w:pStyle w:val="TMGTableText"/>
              <w:jc w:val="center"/>
            </w:pPr>
          </w:p>
        </w:tc>
        <w:tc>
          <w:tcPr>
            <w:tcW w:w="1345" w:type="dxa"/>
            <w:vMerge/>
            <w:hideMark/>
          </w:tcPr>
          <w:p w14:paraId="5B013ED8" w14:textId="77777777" w:rsidR="009B7AED" w:rsidRPr="00676B98" w:rsidRDefault="009B7AED" w:rsidP="005B1E6D">
            <w:pPr>
              <w:pStyle w:val="TMGTableText"/>
            </w:pPr>
          </w:p>
        </w:tc>
        <w:tc>
          <w:tcPr>
            <w:tcW w:w="810" w:type="dxa"/>
            <w:noWrap/>
            <w:hideMark/>
          </w:tcPr>
          <w:p w14:paraId="59D4BE9B" w14:textId="77777777" w:rsidR="009B7AED" w:rsidRPr="00676B98" w:rsidRDefault="009B7AED" w:rsidP="005B1E6D">
            <w:pPr>
              <w:pStyle w:val="TMGTableText"/>
              <w:jc w:val="center"/>
            </w:pPr>
            <w:r w:rsidRPr="00676B98">
              <w:t>9</w:t>
            </w:r>
          </w:p>
        </w:tc>
        <w:tc>
          <w:tcPr>
            <w:tcW w:w="6390" w:type="dxa"/>
            <w:noWrap/>
            <w:hideMark/>
          </w:tcPr>
          <w:p w14:paraId="51A12DDA" w14:textId="77777777" w:rsidR="009B7AED" w:rsidRPr="00676B98" w:rsidRDefault="009B7AED" w:rsidP="005B1E6D">
            <w:pPr>
              <w:pStyle w:val="TMGTableText"/>
            </w:pPr>
            <w:r w:rsidRPr="00676B98">
              <w:t>Others</w:t>
            </w:r>
          </w:p>
        </w:tc>
      </w:tr>
      <w:tr w:rsidR="009B7AED" w:rsidRPr="00676B98" w14:paraId="59DCDE94" w14:textId="77777777" w:rsidTr="00701BE1">
        <w:trPr>
          <w:trHeight w:val="63"/>
        </w:trPr>
        <w:tc>
          <w:tcPr>
            <w:tcW w:w="810" w:type="dxa"/>
            <w:vMerge w:val="restart"/>
            <w:noWrap/>
            <w:hideMark/>
          </w:tcPr>
          <w:p w14:paraId="6850EBF4" w14:textId="77777777" w:rsidR="009B7AED" w:rsidRPr="00220FFB" w:rsidRDefault="009B7AED" w:rsidP="005B1E6D">
            <w:pPr>
              <w:pStyle w:val="TMGTableText"/>
              <w:jc w:val="center"/>
              <w:rPr>
                <w:b/>
                <w:bCs/>
              </w:rPr>
            </w:pPr>
            <w:r w:rsidRPr="00220FFB">
              <w:rPr>
                <w:b/>
                <w:bCs/>
              </w:rPr>
              <w:t>2</w:t>
            </w:r>
          </w:p>
        </w:tc>
        <w:tc>
          <w:tcPr>
            <w:tcW w:w="1345" w:type="dxa"/>
            <w:vMerge w:val="restart"/>
            <w:noWrap/>
            <w:hideMark/>
          </w:tcPr>
          <w:p w14:paraId="0378D3AD" w14:textId="77777777" w:rsidR="009B7AED" w:rsidRPr="00676B98" w:rsidRDefault="009B7AED" w:rsidP="005B1E6D">
            <w:pPr>
              <w:pStyle w:val="TMGTableText"/>
            </w:pPr>
            <w:r w:rsidRPr="00676B98">
              <w:t>Platform</w:t>
            </w:r>
          </w:p>
        </w:tc>
        <w:tc>
          <w:tcPr>
            <w:tcW w:w="810" w:type="dxa"/>
            <w:noWrap/>
            <w:hideMark/>
          </w:tcPr>
          <w:p w14:paraId="4D5D33C4" w14:textId="77777777" w:rsidR="009B7AED" w:rsidRPr="00676B98" w:rsidRDefault="009B7AED" w:rsidP="005B1E6D">
            <w:pPr>
              <w:pStyle w:val="TMGTableText"/>
              <w:jc w:val="center"/>
            </w:pPr>
            <w:r w:rsidRPr="00676B98">
              <w:t>0</w:t>
            </w:r>
          </w:p>
        </w:tc>
        <w:tc>
          <w:tcPr>
            <w:tcW w:w="6390" w:type="dxa"/>
            <w:noWrap/>
            <w:hideMark/>
          </w:tcPr>
          <w:p w14:paraId="0B97CE95" w14:textId="77777777" w:rsidR="009B7AED" w:rsidRPr="00676B98" w:rsidRDefault="009B7AED" w:rsidP="005B1E6D">
            <w:pPr>
              <w:pStyle w:val="TMGTableText"/>
            </w:pPr>
            <w:r w:rsidRPr="00676B98">
              <w:t>Blocked</w:t>
            </w:r>
          </w:p>
        </w:tc>
      </w:tr>
      <w:tr w:rsidR="009B7AED" w:rsidRPr="00676B98" w14:paraId="69213727" w14:textId="77777777" w:rsidTr="00701BE1">
        <w:trPr>
          <w:trHeight w:val="63"/>
        </w:trPr>
        <w:tc>
          <w:tcPr>
            <w:tcW w:w="810" w:type="dxa"/>
            <w:vMerge/>
            <w:hideMark/>
          </w:tcPr>
          <w:p w14:paraId="0953B34E" w14:textId="77777777" w:rsidR="009B7AED" w:rsidRPr="00220FFB" w:rsidRDefault="009B7AED" w:rsidP="005B1E6D">
            <w:pPr>
              <w:pStyle w:val="TMGTableText"/>
              <w:jc w:val="center"/>
              <w:rPr>
                <w:b/>
                <w:bCs/>
              </w:rPr>
            </w:pPr>
          </w:p>
        </w:tc>
        <w:tc>
          <w:tcPr>
            <w:tcW w:w="1345" w:type="dxa"/>
            <w:vMerge/>
            <w:hideMark/>
          </w:tcPr>
          <w:p w14:paraId="6B125B26" w14:textId="77777777" w:rsidR="009B7AED" w:rsidRPr="00676B98" w:rsidRDefault="009B7AED" w:rsidP="005B1E6D">
            <w:pPr>
              <w:pStyle w:val="TMGTableText"/>
            </w:pPr>
          </w:p>
        </w:tc>
        <w:tc>
          <w:tcPr>
            <w:tcW w:w="810" w:type="dxa"/>
            <w:noWrap/>
            <w:hideMark/>
          </w:tcPr>
          <w:p w14:paraId="3A3FBA44" w14:textId="77777777" w:rsidR="009B7AED" w:rsidRPr="00676B98" w:rsidRDefault="009B7AED" w:rsidP="005B1E6D">
            <w:pPr>
              <w:pStyle w:val="TMGTableText"/>
              <w:jc w:val="center"/>
            </w:pPr>
            <w:r w:rsidRPr="00676B98">
              <w:t>1</w:t>
            </w:r>
          </w:p>
        </w:tc>
        <w:tc>
          <w:tcPr>
            <w:tcW w:w="6390" w:type="dxa"/>
            <w:noWrap/>
            <w:hideMark/>
          </w:tcPr>
          <w:p w14:paraId="39D9871D" w14:textId="77777777" w:rsidR="009B7AED" w:rsidRPr="00676B98" w:rsidRDefault="009B7AED" w:rsidP="005B1E6D">
            <w:pPr>
              <w:pStyle w:val="TMGTableText"/>
            </w:pPr>
            <w:r w:rsidRPr="00676B98">
              <w:t>Basic platform/Double deck platform</w:t>
            </w:r>
          </w:p>
        </w:tc>
      </w:tr>
      <w:tr w:rsidR="009B7AED" w:rsidRPr="00676B98" w14:paraId="384C95A5" w14:textId="77777777" w:rsidTr="00701BE1">
        <w:trPr>
          <w:trHeight w:val="63"/>
        </w:trPr>
        <w:tc>
          <w:tcPr>
            <w:tcW w:w="810" w:type="dxa"/>
            <w:vMerge/>
            <w:hideMark/>
          </w:tcPr>
          <w:p w14:paraId="3A4DC848" w14:textId="77777777" w:rsidR="009B7AED" w:rsidRPr="00220FFB" w:rsidRDefault="009B7AED" w:rsidP="005B1E6D">
            <w:pPr>
              <w:pStyle w:val="TMGTableText"/>
              <w:jc w:val="center"/>
              <w:rPr>
                <w:b/>
                <w:bCs/>
              </w:rPr>
            </w:pPr>
          </w:p>
        </w:tc>
        <w:tc>
          <w:tcPr>
            <w:tcW w:w="1345" w:type="dxa"/>
            <w:vMerge/>
            <w:hideMark/>
          </w:tcPr>
          <w:p w14:paraId="55094853" w14:textId="77777777" w:rsidR="009B7AED" w:rsidRPr="00676B98" w:rsidRDefault="009B7AED" w:rsidP="005B1E6D">
            <w:pPr>
              <w:pStyle w:val="TMGTableText"/>
            </w:pPr>
          </w:p>
        </w:tc>
        <w:tc>
          <w:tcPr>
            <w:tcW w:w="810" w:type="dxa"/>
            <w:noWrap/>
            <w:hideMark/>
          </w:tcPr>
          <w:p w14:paraId="60286DA5" w14:textId="77777777" w:rsidR="009B7AED" w:rsidRPr="00676B98" w:rsidRDefault="009B7AED" w:rsidP="005B1E6D">
            <w:pPr>
              <w:pStyle w:val="TMGTableText"/>
              <w:jc w:val="center"/>
            </w:pPr>
            <w:r w:rsidRPr="00676B98">
              <w:t>2</w:t>
            </w:r>
          </w:p>
        </w:tc>
        <w:tc>
          <w:tcPr>
            <w:tcW w:w="6390" w:type="dxa"/>
            <w:noWrap/>
            <w:hideMark/>
          </w:tcPr>
          <w:p w14:paraId="0A033673" w14:textId="77777777" w:rsidR="009B7AED" w:rsidRPr="00676B98" w:rsidRDefault="009B7AED" w:rsidP="005B1E6D">
            <w:pPr>
              <w:pStyle w:val="TMGTableText"/>
            </w:pPr>
            <w:r w:rsidRPr="00676B98">
              <w:t>Low Boy Platform/Gooseneck</w:t>
            </w:r>
          </w:p>
        </w:tc>
      </w:tr>
      <w:tr w:rsidR="009B7AED" w:rsidRPr="00676B98" w14:paraId="522B0576" w14:textId="77777777" w:rsidTr="00701BE1">
        <w:trPr>
          <w:trHeight w:val="63"/>
        </w:trPr>
        <w:tc>
          <w:tcPr>
            <w:tcW w:w="810" w:type="dxa"/>
            <w:vMerge/>
            <w:hideMark/>
          </w:tcPr>
          <w:p w14:paraId="6D15B9CC" w14:textId="77777777" w:rsidR="009B7AED" w:rsidRPr="00220FFB" w:rsidRDefault="009B7AED" w:rsidP="005B1E6D">
            <w:pPr>
              <w:pStyle w:val="TMGTableText"/>
              <w:jc w:val="center"/>
              <w:rPr>
                <w:b/>
                <w:bCs/>
              </w:rPr>
            </w:pPr>
          </w:p>
        </w:tc>
        <w:tc>
          <w:tcPr>
            <w:tcW w:w="1345" w:type="dxa"/>
            <w:vMerge/>
            <w:hideMark/>
          </w:tcPr>
          <w:p w14:paraId="7585C5A9" w14:textId="77777777" w:rsidR="009B7AED" w:rsidRPr="00676B98" w:rsidRDefault="009B7AED" w:rsidP="005B1E6D">
            <w:pPr>
              <w:pStyle w:val="TMGTableText"/>
            </w:pPr>
          </w:p>
        </w:tc>
        <w:tc>
          <w:tcPr>
            <w:tcW w:w="810" w:type="dxa"/>
            <w:noWrap/>
            <w:hideMark/>
          </w:tcPr>
          <w:p w14:paraId="27FCDCA8" w14:textId="77777777" w:rsidR="009B7AED" w:rsidRPr="00676B98" w:rsidRDefault="009B7AED" w:rsidP="005B1E6D">
            <w:pPr>
              <w:pStyle w:val="TMGTableText"/>
              <w:jc w:val="center"/>
            </w:pPr>
            <w:r w:rsidRPr="00676B98">
              <w:t>3</w:t>
            </w:r>
          </w:p>
        </w:tc>
        <w:tc>
          <w:tcPr>
            <w:tcW w:w="6390" w:type="dxa"/>
            <w:noWrap/>
            <w:hideMark/>
          </w:tcPr>
          <w:p w14:paraId="2AA9E10A" w14:textId="77777777" w:rsidR="009B7AED" w:rsidRPr="00676B98" w:rsidRDefault="009B7AED" w:rsidP="005B1E6D">
            <w:pPr>
              <w:pStyle w:val="TMGTableText"/>
            </w:pPr>
            <w:r w:rsidRPr="00676B98">
              <w:t>Platform with device at front end</w:t>
            </w:r>
          </w:p>
        </w:tc>
      </w:tr>
      <w:tr w:rsidR="009B7AED" w:rsidRPr="00676B98" w14:paraId="60516243" w14:textId="77777777" w:rsidTr="00701BE1">
        <w:trPr>
          <w:trHeight w:val="63"/>
        </w:trPr>
        <w:tc>
          <w:tcPr>
            <w:tcW w:w="810" w:type="dxa"/>
            <w:vMerge/>
            <w:hideMark/>
          </w:tcPr>
          <w:p w14:paraId="577D6EFC" w14:textId="77777777" w:rsidR="009B7AED" w:rsidRPr="00220FFB" w:rsidRDefault="009B7AED" w:rsidP="005B1E6D">
            <w:pPr>
              <w:pStyle w:val="TMGTableText"/>
              <w:jc w:val="center"/>
              <w:rPr>
                <w:b/>
                <w:bCs/>
              </w:rPr>
            </w:pPr>
          </w:p>
        </w:tc>
        <w:tc>
          <w:tcPr>
            <w:tcW w:w="1345" w:type="dxa"/>
            <w:vMerge/>
            <w:hideMark/>
          </w:tcPr>
          <w:p w14:paraId="0217A1B4" w14:textId="77777777" w:rsidR="009B7AED" w:rsidRPr="00676B98" w:rsidRDefault="009B7AED" w:rsidP="005B1E6D">
            <w:pPr>
              <w:pStyle w:val="TMGTableText"/>
            </w:pPr>
          </w:p>
        </w:tc>
        <w:tc>
          <w:tcPr>
            <w:tcW w:w="810" w:type="dxa"/>
            <w:noWrap/>
            <w:hideMark/>
          </w:tcPr>
          <w:p w14:paraId="5FA315EF" w14:textId="77777777" w:rsidR="009B7AED" w:rsidRPr="00676B98" w:rsidRDefault="009B7AED" w:rsidP="005B1E6D">
            <w:pPr>
              <w:pStyle w:val="TMGTableText"/>
              <w:jc w:val="center"/>
            </w:pPr>
            <w:r w:rsidRPr="00676B98">
              <w:t>4</w:t>
            </w:r>
          </w:p>
        </w:tc>
        <w:tc>
          <w:tcPr>
            <w:tcW w:w="6390" w:type="dxa"/>
            <w:noWrap/>
            <w:hideMark/>
          </w:tcPr>
          <w:p w14:paraId="0E8D5DBA" w14:textId="77777777" w:rsidR="009B7AED" w:rsidRPr="00676B98" w:rsidRDefault="009B7AED" w:rsidP="005B1E6D">
            <w:pPr>
              <w:pStyle w:val="TMGTableText"/>
            </w:pPr>
            <w:r w:rsidRPr="00676B98">
              <w:t>Platform with device at rear end</w:t>
            </w:r>
          </w:p>
        </w:tc>
      </w:tr>
      <w:tr w:rsidR="009B7AED" w:rsidRPr="00676B98" w14:paraId="5D96AD59" w14:textId="77777777" w:rsidTr="00701BE1">
        <w:trPr>
          <w:trHeight w:val="63"/>
        </w:trPr>
        <w:tc>
          <w:tcPr>
            <w:tcW w:w="810" w:type="dxa"/>
            <w:vMerge/>
            <w:hideMark/>
          </w:tcPr>
          <w:p w14:paraId="2D339F4C" w14:textId="77777777" w:rsidR="009B7AED" w:rsidRPr="00220FFB" w:rsidRDefault="009B7AED" w:rsidP="005B1E6D">
            <w:pPr>
              <w:pStyle w:val="TMGTableText"/>
              <w:jc w:val="center"/>
              <w:rPr>
                <w:b/>
                <w:bCs/>
              </w:rPr>
            </w:pPr>
          </w:p>
        </w:tc>
        <w:tc>
          <w:tcPr>
            <w:tcW w:w="1345" w:type="dxa"/>
            <w:vMerge/>
            <w:hideMark/>
          </w:tcPr>
          <w:p w14:paraId="30730339" w14:textId="77777777" w:rsidR="009B7AED" w:rsidRPr="00676B98" w:rsidRDefault="009B7AED" w:rsidP="005B1E6D">
            <w:pPr>
              <w:pStyle w:val="TMGTableText"/>
            </w:pPr>
          </w:p>
        </w:tc>
        <w:tc>
          <w:tcPr>
            <w:tcW w:w="810" w:type="dxa"/>
            <w:noWrap/>
            <w:hideMark/>
          </w:tcPr>
          <w:p w14:paraId="474F68AA" w14:textId="77777777" w:rsidR="009B7AED" w:rsidRPr="00676B98" w:rsidRDefault="009B7AED" w:rsidP="005B1E6D">
            <w:pPr>
              <w:pStyle w:val="TMGTableText"/>
              <w:jc w:val="center"/>
            </w:pPr>
            <w:r w:rsidRPr="00676B98">
              <w:t>9</w:t>
            </w:r>
          </w:p>
        </w:tc>
        <w:tc>
          <w:tcPr>
            <w:tcW w:w="6390" w:type="dxa"/>
            <w:noWrap/>
            <w:hideMark/>
          </w:tcPr>
          <w:p w14:paraId="4C6F1C1F" w14:textId="77777777" w:rsidR="009B7AED" w:rsidRPr="00676B98" w:rsidRDefault="009B7AED" w:rsidP="005B1E6D">
            <w:pPr>
              <w:pStyle w:val="TMGTableText"/>
            </w:pPr>
            <w:r w:rsidRPr="00676B98">
              <w:t>Others</w:t>
            </w:r>
          </w:p>
        </w:tc>
      </w:tr>
      <w:tr w:rsidR="009B7AED" w:rsidRPr="00676B98" w14:paraId="776DB528" w14:textId="77777777" w:rsidTr="00701BE1">
        <w:trPr>
          <w:trHeight w:val="63"/>
        </w:trPr>
        <w:tc>
          <w:tcPr>
            <w:tcW w:w="810" w:type="dxa"/>
            <w:vMerge w:val="restart"/>
            <w:noWrap/>
            <w:hideMark/>
          </w:tcPr>
          <w:p w14:paraId="7885123C" w14:textId="77777777" w:rsidR="009B7AED" w:rsidRPr="00220FFB" w:rsidRDefault="009B7AED" w:rsidP="005B1E6D">
            <w:pPr>
              <w:pStyle w:val="TMGTableText"/>
              <w:jc w:val="center"/>
              <w:rPr>
                <w:b/>
                <w:bCs/>
              </w:rPr>
            </w:pPr>
            <w:r w:rsidRPr="00220FFB">
              <w:rPr>
                <w:b/>
                <w:bCs/>
              </w:rPr>
              <w:t>3</w:t>
            </w:r>
          </w:p>
        </w:tc>
        <w:tc>
          <w:tcPr>
            <w:tcW w:w="1345" w:type="dxa"/>
            <w:vMerge w:val="restart"/>
            <w:noWrap/>
            <w:hideMark/>
          </w:tcPr>
          <w:p w14:paraId="24197F03" w14:textId="77777777" w:rsidR="009B7AED" w:rsidRPr="00676B98" w:rsidRDefault="009B7AED" w:rsidP="005B1E6D">
            <w:pPr>
              <w:pStyle w:val="TMGTableText"/>
            </w:pPr>
            <w:r w:rsidRPr="00676B98">
              <w:t>Tank</w:t>
            </w:r>
            <w:r>
              <w:t>er</w:t>
            </w:r>
          </w:p>
        </w:tc>
        <w:tc>
          <w:tcPr>
            <w:tcW w:w="810" w:type="dxa"/>
            <w:noWrap/>
            <w:hideMark/>
          </w:tcPr>
          <w:p w14:paraId="012A4945" w14:textId="77777777" w:rsidR="009B7AED" w:rsidRPr="00676B98" w:rsidRDefault="009B7AED" w:rsidP="005B1E6D">
            <w:pPr>
              <w:pStyle w:val="TMGTableText"/>
              <w:jc w:val="center"/>
            </w:pPr>
            <w:r w:rsidRPr="00676B98">
              <w:t>0</w:t>
            </w:r>
          </w:p>
        </w:tc>
        <w:tc>
          <w:tcPr>
            <w:tcW w:w="6390" w:type="dxa"/>
            <w:noWrap/>
            <w:hideMark/>
          </w:tcPr>
          <w:p w14:paraId="4E4991DD" w14:textId="77777777" w:rsidR="009B7AED" w:rsidRPr="00676B98" w:rsidRDefault="009B7AED" w:rsidP="005B1E6D">
            <w:pPr>
              <w:pStyle w:val="TMGTableText"/>
            </w:pPr>
            <w:r w:rsidRPr="00676B98">
              <w:t>Blocked</w:t>
            </w:r>
          </w:p>
        </w:tc>
      </w:tr>
      <w:tr w:rsidR="009B7AED" w:rsidRPr="00676B98" w14:paraId="4DCA4944" w14:textId="77777777" w:rsidTr="00701BE1">
        <w:trPr>
          <w:trHeight w:val="63"/>
        </w:trPr>
        <w:tc>
          <w:tcPr>
            <w:tcW w:w="810" w:type="dxa"/>
            <w:vMerge/>
            <w:hideMark/>
          </w:tcPr>
          <w:p w14:paraId="46CBBE16" w14:textId="77777777" w:rsidR="009B7AED" w:rsidRPr="00220FFB" w:rsidRDefault="009B7AED" w:rsidP="005B1E6D">
            <w:pPr>
              <w:pStyle w:val="TMGTableText"/>
              <w:jc w:val="center"/>
              <w:rPr>
                <w:b/>
                <w:bCs/>
              </w:rPr>
            </w:pPr>
          </w:p>
        </w:tc>
        <w:tc>
          <w:tcPr>
            <w:tcW w:w="1345" w:type="dxa"/>
            <w:vMerge/>
            <w:hideMark/>
          </w:tcPr>
          <w:p w14:paraId="114823E4" w14:textId="77777777" w:rsidR="009B7AED" w:rsidRPr="00676B98" w:rsidRDefault="009B7AED" w:rsidP="005B1E6D">
            <w:pPr>
              <w:pStyle w:val="TMGTableText"/>
            </w:pPr>
          </w:p>
        </w:tc>
        <w:tc>
          <w:tcPr>
            <w:tcW w:w="810" w:type="dxa"/>
            <w:noWrap/>
            <w:hideMark/>
          </w:tcPr>
          <w:p w14:paraId="1795A9C3" w14:textId="77777777" w:rsidR="009B7AED" w:rsidRPr="00676B98" w:rsidRDefault="009B7AED" w:rsidP="005B1E6D">
            <w:pPr>
              <w:pStyle w:val="TMGTableText"/>
              <w:jc w:val="center"/>
            </w:pPr>
            <w:r w:rsidRPr="00676B98">
              <w:t>1</w:t>
            </w:r>
          </w:p>
        </w:tc>
        <w:tc>
          <w:tcPr>
            <w:tcW w:w="6390" w:type="dxa"/>
            <w:noWrap/>
            <w:hideMark/>
          </w:tcPr>
          <w:p w14:paraId="639E5FB3" w14:textId="77777777" w:rsidR="009B7AED" w:rsidRPr="00676B98" w:rsidRDefault="009B7AED" w:rsidP="005B1E6D">
            <w:pPr>
              <w:pStyle w:val="TMGTableText"/>
            </w:pPr>
            <w:r w:rsidRPr="00676B98">
              <w:t>Chemical truck/Gas truck/Septic truck</w:t>
            </w:r>
          </w:p>
        </w:tc>
      </w:tr>
      <w:tr w:rsidR="009B7AED" w:rsidRPr="00676B98" w14:paraId="22FFE6D0" w14:textId="77777777" w:rsidTr="00701BE1">
        <w:trPr>
          <w:trHeight w:val="63"/>
        </w:trPr>
        <w:tc>
          <w:tcPr>
            <w:tcW w:w="810" w:type="dxa"/>
            <w:vMerge/>
            <w:hideMark/>
          </w:tcPr>
          <w:p w14:paraId="64699D7A" w14:textId="77777777" w:rsidR="009B7AED" w:rsidRPr="00220FFB" w:rsidRDefault="009B7AED" w:rsidP="005B1E6D">
            <w:pPr>
              <w:pStyle w:val="TMGTableText"/>
              <w:jc w:val="center"/>
              <w:rPr>
                <w:b/>
                <w:bCs/>
              </w:rPr>
            </w:pPr>
          </w:p>
        </w:tc>
        <w:tc>
          <w:tcPr>
            <w:tcW w:w="1345" w:type="dxa"/>
            <w:vMerge/>
            <w:hideMark/>
          </w:tcPr>
          <w:p w14:paraId="42CB411D" w14:textId="77777777" w:rsidR="009B7AED" w:rsidRPr="00676B98" w:rsidRDefault="009B7AED" w:rsidP="005B1E6D">
            <w:pPr>
              <w:pStyle w:val="TMGTableText"/>
            </w:pPr>
          </w:p>
        </w:tc>
        <w:tc>
          <w:tcPr>
            <w:tcW w:w="810" w:type="dxa"/>
            <w:noWrap/>
            <w:hideMark/>
          </w:tcPr>
          <w:p w14:paraId="0A8DCFAD" w14:textId="77777777" w:rsidR="009B7AED" w:rsidRPr="00676B98" w:rsidRDefault="009B7AED" w:rsidP="005B1E6D">
            <w:pPr>
              <w:pStyle w:val="TMGTableText"/>
              <w:jc w:val="center"/>
            </w:pPr>
            <w:r w:rsidRPr="00676B98">
              <w:t>3</w:t>
            </w:r>
          </w:p>
        </w:tc>
        <w:tc>
          <w:tcPr>
            <w:tcW w:w="6390" w:type="dxa"/>
            <w:noWrap/>
            <w:hideMark/>
          </w:tcPr>
          <w:p w14:paraId="7D64E707" w14:textId="77777777" w:rsidR="009B7AED" w:rsidRPr="00676B98" w:rsidRDefault="009B7AED" w:rsidP="005B1E6D">
            <w:pPr>
              <w:pStyle w:val="TMGTableText"/>
            </w:pPr>
            <w:r w:rsidRPr="00676B98">
              <w:t>Dry bulk truck/Pneumatic truck</w:t>
            </w:r>
          </w:p>
        </w:tc>
      </w:tr>
      <w:tr w:rsidR="009B7AED" w:rsidRPr="00676B98" w14:paraId="3D707259" w14:textId="77777777" w:rsidTr="00701BE1">
        <w:trPr>
          <w:trHeight w:val="63"/>
        </w:trPr>
        <w:tc>
          <w:tcPr>
            <w:tcW w:w="810" w:type="dxa"/>
            <w:vMerge/>
            <w:hideMark/>
          </w:tcPr>
          <w:p w14:paraId="4E46895C" w14:textId="77777777" w:rsidR="009B7AED" w:rsidRPr="00220FFB" w:rsidRDefault="009B7AED" w:rsidP="005B1E6D">
            <w:pPr>
              <w:pStyle w:val="TMGTableText"/>
              <w:jc w:val="center"/>
              <w:rPr>
                <w:b/>
                <w:bCs/>
              </w:rPr>
            </w:pPr>
          </w:p>
        </w:tc>
        <w:tc>
          <w:tcPr>
            <w:tcW w:w="1345" w:type="dxa"/>
            <w:vMerge/>
            <w:hideMark/>
          </w:tcPr>
          <w:p w14:paraId="0310796C" w14:textId="77777777" w:rsidR="009B7AED" w:rsidRPr="005B1E6D" w:rsidRDefault="009B7AED" w:rsidP="005B1E6D">
            <w:pPr>
              <w:pStyle w:val="TMGTableText"/>
            </w:pPr>
          </w:p>
        </w:tc>
        <w:tc>
          <w:tcPr>
            <w:tcW w:w="810" w:type="dxa"/>
            <w:noWrap/>
            <w:hideMark/>
          </w:tcPr>
          <w:p w14:paraId="2A0EE666" w14:textId="77777777" w:rsidR="009B7AED" w:rsidRPr="005B1E6D" w:rsidRDefault="009B7AED" w:rsidP="005B1E6D">
            <w:pPr>
              <w:pStyle w:val="TMGTableText"/>
              <w:jc w:val="center"/>
            </w:pPr>
            <w:r w:rsidRPr="005B1E6D">
              <w:t>9</w:t>
            </w:r>
          </w:p>
        </w:tc>
        <w:tc>
          <w:tcPr>
            <w:tcW w:w="6390" w:type="dxa"/>
            <w:noWrap/>
            <w:hideMark/>
          </w:tcPr>
          <w:p w14:paraId="18A99972" w14:textId="77777777" w:rsidR="009B7AED" w:rsidRPr="00676B98" w:rsidRDefault="009B7AED" w:rsidP="005B1E6D">
            <w:pPr>
              <w:pStyle w:val="TMGTableText"/>
            </w:pPr>
            <w:r w:rsidRPr="00676B98">
              <w:t>Others</w:t>
            </w:r>
          </w:p>
        </w:tc>
      </w:tr>
      <w:tr w:rsidR="009B7AED" w:rsidRPr="00676B98" w14:paraId="2D5BAA8B" w14:textId="77777777" w:rsidTr="00701BE1">
        <w:trPr>
          <w:trHeight w:val="63"/>
        </w:trPr>
        <w:tc>
          <w:tcPr>
            <w:tcW w:w="810" w:type="dxa"/>
            <w:vMerge w:val="restart"/>
            <w:noWrap/>
            <w:hideMark/>
          </w:tcPr>
          <w:p w14:paraId="1DDF8232" w14:textId="77777777" w:rsidR="009B7AED" w:rsidRPr="00220FFB" w:rsidRDefault="009B7AED" w:rsidP="005B1E6D">
            <w:pPr>
              <w:pStyle w:val="TMGTableText"/>
              <w:jc w:val="center"/>
              <w:rPr>
                <w:b/>
                <w:bCs/>
              </w:rPr>
            </w:pPr>
            <w:r w:rsidRPr="00220FFB">
              <w:rPr>
                <w:b/>
                <w:bCs/>
              </w:rPr>
              <w:t>5</w:t>
            </w:r>
          </w:p>
        </w:tc>
        <w:tc>
          <w:tcPr>
            <w:tcW w:w="1345" w:type="dxa"/>
            <w:vMerge w:val="restart"/>
            <w:noWrap/>
            <w:hideMark/>
          </w:tcPr>
          <w:p w14:paraId="2292850B" w14:textId="77777777" w:rsidR="009B7AED" w:rsidRPr="005B1E6D" w:rsidRDefault="009B7AED" w:rsidP="005B1E6D">
            <w:pPr>
              <w:pStyle w:val="TMGTableText"/>
            </w:pPr>
            <w:r w:rsidRPr="005B1E6D">
              <w:t>Service Truck</w:t>
            </w:r>
          </w:p>
        </w:tc>
        <w:tc>
          <w:tcPr>
            <w:tcW w:w="810" w:type="dxa"/>
            <w:noWrap/>
            <w:hideMark/>
          </w:tcPr>
          <w:p w14:paraId="6A06B868" w14:textId="77777777" w:rsidR="009B7AED" w:rsidRPr="005B1E6D" w:rsidRDefault="009B7AED" w:rsidP="005B1E6D">
            <w:pPr>
              <w:pStyle w:val="TMGTableText"/>
              <w:jc w:val="center"/>
            </w:pPr>
            <w:r w:rsidRPr="005B1E6D">
              <w:t>0</w:t>
            </w:r>
          </w:p>
        </w:tc>
        <w:tc>
          <w:tcPr>
            <w:tcW w:w="6390" w:type="dxa"/>
            <w:noWrap/>
            <w:hideMark/>
          </w:tcPr>
          <w:p w14:paraId="1EDD5D94" w14:textId="77777777" w:rsidR="009B7AED" w:rsidRPr="00676B98" w:rsidRDefault="009B7AED" w:rsidP="005B1E6D">
            <w:pPr>
              <w:pStyle w:val="TMGTableText"/>
            </w:pPr>
            <w:r w:rsidRPr="00676B98">
              <w:t>Blocked</w:t>
            </w:r>
          </w:p>
        </w:tc>
      </w:tr>
      <w:tr w:rsidR="009B7AED" w:rsidRPr="00676B98" w14:paraId="41FB2407" w14:textId="77777777" w:rsidTr="00701BE1">
        <w:trPr>
          <w:trHeight w:val="63"/>
        </w:trPr>
        <w:tc>
          <w:tcPr>
            <w:tcW w:w="810" w:type="dxa"/>
            <w:vMerge/>
            <w:hideMark/>
          </w:tcPr>
          <w:p w14:paraId="30AA5DAE" w14:textId="77777777" w:rsidR="009B7AED" w:rsidRPr="00220FFB" w:rsidRDefault="009B7AED" w:rsidP="005B1E6D">
            <w:pPr>
              <w:pStyle w:val="TMGTableText"/>
              <w:jc w:val="center"/>
              <w:rPr>
                <w:b/>
                <w:bCs/>
              </w:rPr>
            </w:pPr>
          </w:p>
        </w:tc>
        <w:tc>
          <w:tcPr>
            <w:tcW w:w="1345" w:type="dxa"/>
            <w:vMerge/>
            <w:hideMark/>
          </w:tcPr>
          <w:p w14:paraId="12D8A51F" w14:textId="77777777" w:rsidR="009B7AED" w:rsidRPr="005B1E6D" w:rsidRDefault="009B7AED" w:rsidP="005B1E6D">
            <w:pPr>
              <w:pStyle w:val="TMGTableText"/>
            </w:pPr>
          </w:p>
        </w:tc>
        <w:tc>
          <w:tcPr>
            <w:tcW w:w="810" w:type="dxa"/>
            <w:noWrap/>
            <w:hideMark/>
          </w:tcPr>
          <w:p w14:paraId="1C433FA0" w14:textId="77777777" w:rsidR="009B7AED" w:rsidRPr="005B1E6D" w:rsidRDefault="009B7AED" w:rsidP="005B1E6D">
            <w:pPr>
              <w:pStyle w:val="TMGTableText"/>
              <w:jc w:val="center"/>
            </w:pPr>
            <w:r w:rsidRPr="005B1E6D">
              <w:t>1</w:t>
            </w:r>
          </w:p>
        </w:tc>
        <w:tc>
          <w:tcPr>
            <w:tcW w:w="6390" w:type="dxa"/>
            <w:noWrap/>
            <w:hideMark/>
          </w:tcPr>
          <w:p w14:paraId="5AEC9ACA" w14:textId="77777777" w:rsidR="009B7AED" w:rsidRPr="00676B98" w:rsidRDefault="009B7AED" w:rsidP="005B1E6D">
            <w:pPr>
              <w:pStyle w:val="TMGTableText"/>
            </w:pPr>
            <w:r w:rsidRPr="00676B98">
              <w:t>2-axle 6-tire Pickup</w:t>
            </w:r>
          </w:p>
        </w:tc>
      </w:tr>
      <w:tr w:rsidR="009B7AED" w:rsidRPr="00676B98" w14:paraId="7D725C4A" w14:textId="77777777" w:rsidTr="00701BE1">
        <w:trPr>
          <w:trHeight w:val="63"/>
        </w:trPr>
        <w:tc>
          <w:tcPr>
            <w:tcW w:w="810" w:type="dxa"/>
            <w:vMerge/>
            <w:hideMark/>
          </w:tcPr>
          <w:p w14:paraId="5AA208EB" w14:textId="77777777" w:rsidR="009B7AED" w:rsidRPr="00220FFB" w:rsidRDefault="009B7AED" w:rsidP="005B1E6D">
            <w:pPr>
              <w:pStyle w:val="TMGTableText"/>
              <w:jc w:val="center"/>
              <w:rPr>
                <w:b/>
                <w:bCs/>
              </w:rPr>
            </w:pPr>
          </w:p>
        </w:tc>
        <w:tc>
          <w:tcPr>
            <w:tcW w:w="1345" w:type="dxa"/>
            <w:vMerge/>
            <w:hideMark/>
          </w:tcPr>
          <w:p w14:paraId="153CFA30" w14:textId="77777777" w:rsidR="009B7AED" w:rsidRPr="005B1E6D" w:rsidRDefault="009B7AED" w:rsidP="005B1E6D">
            <w:pPr>
              <w:pStyle w:val="TMGTableText"/>
            </w:pPr>
          </w:p>
        </w:tc>
        <w:tc>
          <w:tcPr>
            <w:tcW w:w="810" w:type="dxa"/>
            <w:noWrap/>
            <w:hideMark/>
          </w:tcPr>
          <w:p w14:paraId="5F56BC9B" w14:textId="77777777" w:rsidR="009B7AED" w:rsidRPr="005B1E6D" w:rsidRDefault="009B7AED" w:rsidP="005B1E6D">
            <w:pPr>
              <w:pStyle w:val="TMGTableText"/>
              <w:jc w:val="center"/>
            </w:pPr>
            <w:r w:rsidRPr="005B1E6D">
              <w:t>2</w:t>
            </w:r>
          </w:p>
        </w:tc>
        <w:tc>
          <w:tcPr>
            <w:tcW w:w="6390" w:type="dxa"/>
            <w:noWrap/>
            <w:hideMark/>
          </w:tcPr>
          <w:p w14:paraId="1D8E76DA" w14:textId="77777777" w:rsidR="009B7AED" w:rsidRPr="00676B98" w:rsidRDefault="009B7AED" w:rsidP="005B1E6D">
            <w:pPr>
              <w:pStyle w:val="TMGTableText"/>
            </w:pPr>
            <w:r w:rsidRPr="00676B98">
              <w:t>Concrete mixer</w:t>
            </w:r>
          </w:p>
        </w:tc>
      </w:tr>
      <w:tr w:rsidR="009B7AED" w:rsidRPr="00676B98" w14:paraId="2626BAC2" w14:textId="77777777" w:rsidTr="00701BE1">
        <w:trPr>
          <w:trHeight w:val="63"/>
        </w:trPr>
        <w:tc>
          <w:tcPr>
            <w:tcW w:w="810" w:type="dxa"/>
            <w:vMerge/>
            <w:hideMark/>
          </w:tcPr>
          <w:p w14:paraId="274B6D95" w14:textId="77777777" w:rsidR="009B7AED" w:rsidRPr="00220FFB" w:rsidRDefault="009B7AED" w:rsidP="005B1E6D">
            <w:pPr>
              <w:pStyle w:val="TMGTableText"/>
              <w:jc w:val="center"/>
              <w:rPr>
                <w:b/>
                <w:bCs/>
              </w:rPr>
            </w:pPr>
          </w:p>
        </w:tc>
        <w:tc>
          <w:tcPr>
            <w:tcW w:w="1345" w:type="dxa"/>
            <w:vMerge/>
            <w:hideMark/>
          </w:tcPr>
          <w:p w14:paraId="13B7B9C9" w14:textId="77777777" w:rsidR="009B7AED" w:rsidRPr="005B1E6D" w:rsidRDefault="009B7AED" w:rsidP="005B1E6D">
            <w:pPr>
              <w:pStyle w:val="TMGTableText"/>
            </w:pPr>
          </w:p>
        </w:tc>
        <w:tc>
          <w:tcPr>
            <w:tcW w:w="810" w:type="dxa"/>
            <w:noWrap/>
            <w:hideMark/>
          </w:tcPr>
          <w:p w14:paraId="0A5F0088" w14:textId="77777777" w:rsidR="009B7AED" w:rsidRPr="005B1E6D" w:rsidRDefault="009B7AED" w:rsidP="005B1E6D">
            <w:pPr>
              <w:pStyle w:val="TMGTableText"/>
              <w:jc w:val="center"/>
            </w:pPr>
            <w:r w:rsidRPr="005B1E6D">
              <w:t>3</w:t>
            </w:r>
          </w:p>
        </w:tc>
        <w:tc>
          <w:tcPr>
            <w:tcW w:w="6390" w:type="dxa"/>
            <w:noWrap/>
            <w:hideMark/>
          </w:tcPr>
          <w:p w14:paraId="79A410D5" w14:textId="77777777" w:rsidR="009B7AED" w:rsidRPr="00676B98" w:rsidRDefault="009B7AED" w:rsidP="005B1E6D">
            <w:pPr>
              <w:pStyle w:val="TMGTableText"/>
            </w:pPr>
            <w:r w:rsidRPr="00676B98">
              <w:t>Bucket/Wrecker/Winch</w:t>
            </w:r>
          </w:p>
        </w:tc>
      </w:tr>
      <w:tr w:rsidR="009B7AED" w:rsidRPr="00676B98" w14:paraId="58DA40FA" w14:textId="77777777" w:rsidTr="00701BE1">
        <w:trPr>
          <w:trHeight w:val="63"/>
        </w:trPr>
        <w:tc>
          <w:tcPr>
            <w:tcW w:w="810" w:type="dxa"/>
            <w:vMerge/>
            <w:hideMark/>
          </w:tcPr>
          <w:p w14:paraId="36D77639" w14:textId="77777777" w:rsidR="009B7AED" w:rsidRPr="00220FFB" w:rsidRDefault="009B7AED" w:rsidP="005B1E6D">
            <w:pPr>
              <w:pStyle w:val="TMGTableText"/>
              <w:jc w:val="center"/>
              <w:rPr>
                <w:b/>
                <w:bCs/>
              </w:rPr>
            </w:pPr>
          </w:p>
        </w:tc>
        <w:tc>
          <w:tcPr>
            <w:tcW w:w="1345" w:type="dxa"/>
            <w:vMerge/>
            <w:hideMark/>
          </w:tcPr>
          <w:p w14:paraId="02DF4912" w14:textId="77777777" w:rsidR="009B7AED" w:rsidRPr="005B1E6D" w:rsidRDefault="009B7AED" w:rsidP="005B1E6D">
            <w:pPr>
              <w:pStyle w:val="TMGTableText"/>
            </w:pPr>
          </w:p>
        </w:tc>
        <w:tc>
          <w:tcPr>
            <w:tcW w:w="810" w:type="dxa"/>
            <w:noWrap/>
            <w:hideMark/>
          </w:tcPr>
          <w:p w14:paraId="4B02DB48" w14:textId="77777777" w:rsidR="009B7AED" w:rsidRPr="005B1E6D" w:rsidRDefault="009B7AED" w:rsidP="005B1E6D">
            <w:pPr>
              <w:pStyle w:val="TMGTableText"/>
              <w:jc w:val="center"/>
            </w:pPr>
            <w:r w:rsidRPr="005B1E6D">
              <w:t>4</w:t>
            </w:r>
          </w:p>
        </w:tc>
        <w:tc>
          <w:tcPr>
            <w:tcW w:w="6390" w:type="dxa"/>
            <w:noWrap/>
            <w:hideMark/>
          </w:tcPr>
          <w:p w14:paraId="47A32549" w14:textId="77777777" w:rsidR="009B7AED" w:rsidRPr="00676B98" w:rsidRDefault="009B7AED" w:rsidP="005B1E6D">
            <w:pPr>
              <w:pStyle w:val="TMGTableText"/>
            </w:pPr>
            <w:r w:rsidRPr="00676B98">
              <w:t>Garbage truck</w:t>
            </w:r>
          </w:p>
        </w:tc>
      </w:tr>
      <w:tr w:rsidR="009B7AED" w:rsidRPr="00676B98" w14:paraId="4D7A1329" w14:textId="77777777" w:rsidTr="00701BE1">
        <w:trPr>
          <w:trHeight w:val="63"/>
        </w:trPr>
        <w:tc>
          <w:tcPr>
            <w:tcW w:w="810" w:type="dxa"/>
            <w:vMerge/>
            <w:hideMark/>
          </w:tcPr>
          <w:p w14:paraId="47FBA065" w14:textId="77777777" w:rsidR="009B7AED" w:rsidRPr="00220FFB" w:rsidRDefault="009B7AED" w:rsidP="005B1E6D">
            <w:pPr>
              <w:pStyle w:val="TMGTableText"/>
              <w:jc w:val="center"/>
              <w:rPr>
                <w:b/>
                <w:bCs/>
              </w:rPr>
            </w:pPr>
          </w:p>
        </w:tc>
        <w:tc>
          <w:tcPr>
            <w:tcW w:w="1345" w:type="dxa"/>
            <w:vMerge/>
            <w:hideMark/>
          </w:tcPr>
          <w:p w14:paraId="1B4519E9" w14:textId="77777777" w:rsidR="009B7AED" w:rsidRPr="005B1E6D" w:rsidRDefault="009B7AED" w:rsidP="005B1E6D">
            <w:pPr>
              <w:pStyle w:val="TMGTableText"/>
            </w:pPr>
          </w:p>
        </w:tc>
        <w:tc>
          <w:tcPr>
            <w:tcW w:w="810" w:type="dxa"/>
            <w:noWrap/>
            <w:hideMark/>
          </w:tcPr>
          <w:p w14:paraId="44FFC39B" w14:textId="77777777" w:rsidR="009B7AED" w:rsidRPr="005B1E6D" w:rsidRDefault="009B7AED" w:rsidP="005B1E6D">
            <w:pPr>
              <w:pStyle w:val="TMGTableText"/>
              <w:jc w:val="center"/>
            </w:pPr>
            <w:r w:rsidRPr="005B1E6D">
              <w:t>5</w:t>
            </w:r>
          </w:p>
        </w:tc>
        <w:tc>
          <w:tcPr>
            <w:tcW w:w="6390" w:type="dxa"/>
            <w:noWrap/>
            <w:hideMark/>
          </w:tcPr>
          <w:p w14:paraId="22FFE17C" w14:textId="77777777" w:rsidR="009B7AED" w:rsidRPr="00676B98" w:rsidRDefault="009B7AED" w:rsidP="005B1E6D">
            <w:pPr>
              <w:pStyle w:val="TMGTableText"/>
            </w:pPr>
            <w:r w:rsidRPr="00676B98">
              <w:t>Flatbed tow truck (single/Double deck)</w:t>
            </w:r>
          </w:p>
        </w:tc>
      </w:tr>
      <w:tr w:rsidR="009B7AED" w:rsidRPr="00676B98" w14:paraId="73290B07" w14:textId="77777777" w:rsidTr="00701BE1">
        <w:trPr>
          <w:trHeight w:val="63"/>
        </w:trPr>
        <w:tc>
          <w:tcPr>
            <w:tcW w:w="810" w:type="dxa"/>
            <w:vMerge/>
            <w:hideMark/>
          </w:tcPr>
          <w:p w14:paraId="5F3DDFD0" w14:textId="77777777" w:rsidR="009B7AED" w:rsidRPr="00220FFB" w:rsidRDefault="009B7AED" w:rsidP="005B1E6D">
            <w:pPr>
              <w:pStyle w:val="TMGTableText"/>
              <w:jc w:val="center"/>
              <w:rPr>
                <w:b/>
                <w:bCs/>
              </w:rPr>
            </w:pPr>
          </w:p>
        </w:tc>
        <w:tc>
          <w:tcPr>
            <w:tcW w:w="1345" w:type="dxa"/>
            <w:vMerge/>
            <w:hideMark/>
          </w:tcPr>
          <w:p w14:paraId="63C0192F" w14:textId="77777777" w:rsidR="009B7AED" w:rsidRPr="005B1E6D" w:rsidRDefault="009B7AED" w:rsidP="005B1E6D">
            <w:pPr>
              <w:pStyle w:val="TMGTableText"/>
            </w:pPr>
          </w:p>
        </w:tc>
        <w:tc>
          <w:tcPr>
            <w:tcW w:w="810" w:type="dxa"/>
            <w:noWrap/>
            <w:hideMark/>
          </w:tcPr>
          <w:p w14:paraId="5B930C1F" w14:textId="77777777" w:rsidR="009B7AED" w:rsidRPr="005B1E6D" w:rsidRDefault="009B7AED" w:rsidP="005B1E6D">
            <w:pPr>
              <w:pStyle w:val="TMGTableText"/>
              <w:jc w:val="center"/>
            </w:pPr>
            <w:r w:rsidRPr="005B1E6D">
              <w:t>6</w:t>
            </w:r>
          </w:p>
        </w:tc>
        <w:tc>
          <w:tcPr>
            <w:tcW w:w="6390" w:type="dxa"/>
            <w:noWrap/>
            <w:hideMark/>
          </w:tcPr>
          <w:p w14:paraId="3344D841" w14:textId="77777777" w:rsidR="009B7AED" w:rsidRPr="00676B98" w:rsidRDefault="009B7AED" w:rsidP="005B1E6D">
            <w:pPr>
              <w:pStyle w:val="TMGTableText"/>
            </w:pPr>
            <w:r w:rsidRPr="00676B98">
              <w:t>Crane/Concrete pumper truck/Oil rig</w:t>
            </w:r>
          </w:p>
        </w:tc>
      </w:tr>
      <w:tr w:rsidR="009B7AED" w:rsidRPr="00676B98" w14:paraId="6A5117DB" w14:textId="77777777" w:rsidTr="00701BE1">
        <w:trPr>
          <w:trHeight w:val="63"/>
        </w:trPr>
        <w:tc>
          <w:tcPr>
            <w:tcW w:w="810" w:type="dxa"/>
            <w:vMerge/>
            <w:hideMark/>
          </w:tcPr>
          <w:p w14:paraId="08990E72" w14:textId="77777777" w:rsidR="009B7AED" w:rsidRPr="00220FFB" w:rsidRDefault="009B7AED" w:rsidP="005B1E6D">
            <w:pPr>
              <w:pStyle w:val="TMGTableText"/>
              <w:jc w:val="center"/>
              <w:rPr>
                <w:b/>
                <w:bCs/>
              </w:rPr>
            </w:pPr>
          </w:p>
        </w:tc>
        <w:tc>
          <w:tcPr>
            <w:tcW w:w="1345" w:type="dxa"/>
            <w:vMerge/>
            <w:hideMark/>
          </w:tcPr>
          <w:p w14:paraId="72CBEB7A" w14:textId="77777777" w:rsidR="009B7AED" w:rsidRPr="005B1E6D" w:rsidRDefault="009B7AED" w:rsidP="005B1E6D">
            <w:pPr>
              <w:pStyle w:val="TMGTableText"/>
            </w:pPr>
          </w:p>
        </w:tc>
        <w:tc>
          <w:tcPr>
            <w:tcW w:w="810" w:type="dxa"/>
            <w:noWrap/>
            <w:hideMark/>
          </w:tcPr>
          <w:p w14:paraId="14158CC7" w14:textId="77777777" w:rsidR="009B7AED" w:rsidRPr="005B1E6D" w:rsidRDefault="009B7AED" w:rsidP="005B1E6D">
            <w:pPr>
              <w:pStyle w:val="TMGTableText"/>
              <w:jc w:val="center"/>
            </w:pPr>
            <w:r w:rsidRPr="005B1E6D">
              <w:t>7</w:t>
            </w:r>
          </w:p>
        </w:tc>
        <w:tc>
          <w:tcPr>
            <w:tcW w:w="6390" w:type="dxa"/>
            <w:noWrap/>
            <w:hideMark/>
          </w:tcPr>
          <w:p w14:paraId="19C65FAC" w14:textId="77777777" w:rsidR="009B7AED" w:rsidRPr="00676B98" w:rsidRDefault="009B7AED" w:rsidP="005B1E6D">
            <w:pPr>
              <w:pStyle w:val="TMGTableText"/>
            </w:pPr>
            <w:r w:rsidRPr="00676B98">
              <w:t>Ambulance/Fire truck</w:t>
            </w:r>
          </w:p>
        </w:tc>
      </w:tr>
      <w:tr w:rsidR="009B7AED" w:rsidRPr="00676B98" w14:paraId="30B6A029" w14:textId="77777777" w:rsidTr="00701BE1">
        <w:trPr>
          <w:trHeight w:val="63"/>
        </w:trPr>
        <w:tc>
          <w:tcPr>
            <w:tcW w:w="810" w:type="dxa"/>
            <w:vMerge/>
            <w:hideMark/>
          </w:tcPr>
          <w:p w14:paraId="440D2C9C" w14:textId="77777777" w:rsidR="009B7AED" w:rsidRPr="00220FFB" w:rsidRDefault="009B7AED" w:rsidP="005B1E6D">
            <w:pPr>
              <w:pStyle w:val="TMGTableText"/>
              <w:jc w:val="center"/>
              <w:rPr>
                <w:b/>
                <w:bCs/>
              </w:rPr>
            </w:pPr>
          </w:p>
        </w:tc>
        <w:tc>
          <w:tcPr>
            <w:tcW w:w="1345" w:type="dxa"/>
            <w:vMerge/>
            <w:hideMark/>
          </w:tcPr>
          <w:p w14:paraId="487546C5" w14:textId="77777777" w:rsidR="009B7AED" w:rsidRPr="005B1E6D" w:rsidRDefault="009B7AED" w:rsidP="005B1E6D">
            <w:pPr>
              <w:pStyle w:val="TMGTableText"/>
            </w:pPr>
          </w:p>
        </w:tc>
        <w:tc>
          <w:tcPr>
            <w:tcW w:w="810" w:type="dxa"/>
            <w:noWrap/>
            <w:hideMark/>
          </w:tcPr>
          <w:p w14:paraId="5628D532" w14:textId="77777777" w:rsidR="009B7AED" w:rsidRPr="005B1E6D" w:rsidRDefault="009B7AED" w:rsidP="005B1E6D">
            <w:pPr>
              <w:pStyle w:val="TMGTableText"/>
              <w:jc w:val="center"/>
            </w:pPr>
            <w:r w:rsidRPr="005B1E6D">
              <w:t>9</w:t>
            </w:r>
          </w:p>
        </w:tc>
        <w:tc>
          <w:tcPr>
            <w:tcW w:w="6390" w:type="dxa"/>
            <w:noWrap/>
            <w:hideMark/>
          </w:tcPr>
          <w:p w14:paraId="7787D300" w14:textId="0C490044" w:rsidR="009B7AED" w:rsidRPr="00676B98" w:rsidRDefault="009B7AED" w:rsidP="005B1E6D">
            <w:pPr>
              <w:pStyle w:val="TMGTableText"/>
            </w:pPr>
            <w:r w:rsidRPr="00676B98">
              <w:t>Other Utility truck (Landscaping/Street sweeper/etc</w:t>
            </w:r>
            <w:r w:rsidR="003D18A1">
              <w:t>.</w:t>
            </w:r>
            <w:r w:rsidRPr="00676B98">
              <w:t>)</w:t>
            </w:r>
          </w:p>
        </w:tc>
      </w:tr>
      <w:tr w:rsidR="009B7AED" w:rsidRPr="00676B98" w14:paraId="63AB3675" w14:textId="77777777" w:rsidTr="00701BE1">
        <w:trPr>
          <w:trHeight w:val="63"/>
        </w:trPr>
        <w:tc>
          <w:tcPr>
            <w:tcW w:w="810" w:type="dxa"/>
            <w:vMerge w:val="restart"/>
            <w:noWrap/>
            <w:hideMark/>
          </w:tcPr>
          <w:p w14:paraId="692B13CB" w14:textId="77777777" w:rsidR="009B7AED" w:rsidRPr="00220FFB" w:rsidRDefault="009B7AED" w:rsidP="005B1E6D">
            <w:pPr>
              <w:pStyle w:val="TMGTableText"/>
              <w:jc w:val="center"/>
              <w:rPr>
                <w:b/>
                <w:bCs/>
              </w:rPr>
            </w:pPr>
            <w:r w:rsidRPr="00220FFB">
              <w:rPr>
                <w:b/>
                <w:bCs/>
              </w:rPr>
              <w:t>6</w:t>
            </w:r>
          </w:p>
        </w:tc>
        <w:tc>
          <w:tcPr>
            <w:tcW w:w="1345" w:type="dxa"/>
            <w:vMerge w:val="restart"/>
            <w:noWrap/>
            <w:hideMark/>
          </w:tcPr>
          <w:p w14:paraId="34A336DA" w14:textId="77777777" w:rsidR="009B7AED" w:rsidRPr="005B1E6D" w:rsidRDefault="009B7AED" w:rsidP="005B1E6D">
            <w:pPr>
              <w:pStyle w:val="TMGTableText"/>
            </w:pPr>
            <w:r w:rsidRPr="005B1E6D">
              <w:t>Semi-tractor</w:t>
            </w:r>
          </w:p>
        </w:tc>
        <w:tc>
          <w:tcPr>
            <w:tcW w:w="810" w:type="dxa"/>
            <w:noWrap/>
            <w:hideMark/>
          </w:tcPr>
          <w:p w14:paraId="747C1672" w14:textId="77777777" w:rsidR="009B7AED" w:rsidRPr="005B1E6D" w:rsidRDefault="009B7AED" w:rsidP="005B1E6D">
            <w:pPr>
              <w:pStyle w:val="TMGTableText"/>
              <w:jc w:val="center"/>
            </w:pPr>
            <w:r w:rsidRPr="005B1E6D">
              <w:t>0</w:t>
            </w:r>
          </w:p>
        </w:tc>
        <w:tc>
          <w:tcPr>
            <w:tcW w:w="6390" w:type="dxa"/>
            <w:noWrap/>
            <w:hideMark/>
          </w:tcPr>
          <w:p w14:paraId="5775F7AB" w14:textId="77777777" w:rsidR="009B7AED" w:rsidRPr="00676B98" w:rsidRDefault="009B7AED" w:rsidP="005B1E6D">
            <w:pPr>
              <w:pStyle w:val="TMGTableText"/>
            </w:pPr>
            <w:r w:rsidRPr="00676B98">
              <w:t>Blocked</w:t>
            </w:r>
          </w:p>
        </w:tc>
      </w:tr>
      <w:tr w:rsidR="009B7AED" w:rsidRPr="00676B98" w14:paraId="7AF1DEF3" w14:textId="77777777" w:rsidTr="00701BE1">
        <w:trPr>
          <w:trHeight w:val="63"/>
        </w:trPr>
        <w:tc>
          <w:tcPr>
            <w:tcW w:w="810" w:type="dxa"/>
            <w:vMerge/>
            <w:hideMark/>
          </w:tcPr>
          <w:p w14:paraId="3A551074" w14:textId="77777777" w:rsidR="009B7AED" w:rsidRPr="00220FFB" w:rsidRDefault="009B7AED" w:rsidP="005B1E6D">
            <w:pPr>
              <w:pStyle w:val="TMGTableText"/>
              <w:jc w:val="center"/>
              <w:rPr>
                <w:b/>
                <w:bCs/>
              </w:rPr>
            </w:pPr>
          </w:p>
        </w:tc>
        <w:tc>
          <w:tcPr>
            <w:tcW w:w="1345" w:type="dxa"/>
            <w:vMerge/>
            <w:hideMark/>
          </w:tcPr>
          <w:p w14:paraId="6C6505D5" w14:textId="77777777" w:rsidR="009B7AED" w:rsidRPr="005B1E6D" w:rsidRDefault="009B7AED" w:rsidP="005B1E6D">
            <w:pPr>
              <w:pStyle w:val="TMGTableText"/>
            </w:pPr>
          </w:p>
        </w:tc>
        <w:tc>
          <w:tcPr>
            <w:tcW w:w="810" w:type="dxa"/>
            <w:noWrap/>
            <w:hideMark/>
          </w:tcPr>
          <w:p w14:paraId="7A9DB875" w14:textId="77777777" w:rsidR="009B7AED" w:rsidRPr="005B1E6D" w:rsidRDefault="009B7AED" w:rsidP="005B1E6D">
            <w:pPr>
              <w:pStyle w:val="TMGTableText"/>
              <w:jc w:val="center"/>
            </w:pPr>
            <w:r w:rsidRPr="005B1E6D">
              <w:t>1</w:t>
            </w:r>
          </w:p>
        </w:tc>
        <w:tc>
          <w:tcPr>
            <w:tcW w:w="6390" w:type="dxa"/>
            <w:noWrap/>
            <w:hideMark/>
          </w:tcPr>
          <w:p w14:paraId="0FBA58EB" w14:textId="77777777" w:rsidR="009B7AED" w:rsidRPr="00676B98" w:rsidRDefault="009B7AED" w:rsidP="005B1E6D">
            <w:pPr>
              <w:pStyle w:val="TMGTableText"/>
            </w:pPr>
            <w:r w:rsidRPr="00676B98">
              <w:t>Conventional cab/Day cab</w:t>
            </w:r>
          </w:p>
        </w:tc>
      </w:tr>
      <w:tr w:rsidR="009B7AED" w:rsidRPr="00676B98" w14:paraId="6C335D2B" w14:textId="77777777" w:rsidTr="00701BE1">
        <w:trPr>
          <w:trHeight w:val="63"/>
        </w:trPr>
        <w:tc>
          <w:tcPr>
            <w:tcW w:w="810" w:type="dxa"/>
            <w:vMerge/>
            <w:hideMark/>
          </w:tcPr>
          <w:p w14:paraId="2C02F73B" w14:textId="77777777" w:rsidR="009B7AED" w:rsidRPr="00220FFB" w:rsidRDefault="009B7AED" w:rsidP="005B1E6D">
            <w:pPr>
              <w:pStyle w:val="TMGTableText"/>
              <w:jc w:val="center"/>
              <w:rPr>
                <w:b/>
                <w:bCs/>
              </w:rPr>
            </w:pPr>
          </w:p>
        </w:tc>
        <w:tc>
          <w:tcPr>
            <w:tcW w:w="1345" w:type="dxa"/>
            <w:vMerge/>
            <w:hideMark/>
          </w:tcPr>
          <w:p w14:paraId="08D35C18" w14:textId="77777777" w:rsidR="009B7AED" w:rsidRPr="005B1E6D" w:rsidRDefault="009B7AED" w:rsidP="005B1E6D">
            <w:pPr>
              <w:pStyle w:val="TMGTableText"/>
            </w:pPr>
          </w:p>
        </w:tc>
        <w:tc>
          <w:tcPr>
            <w:tcW w:w="810" w:type="dxa"/>
            <w:noWrap/>
            <w:hideMark/>
          </w:tcPr>
          <w:p w14:paraId="2F80A70A" w14:textId="77777777" w:rsidR="009B7AED" w:rsidRPr="005B1E6D" w:rsidRDefault="009B7AED" w:rsidP="005B1E6D">
            <w:pPr>
              <w:pStyle w:val="TMGTableText"/>
              <w:jc w:val="center"/>
            </w:pPr>
            <w:r w:rsidRPr="005B1E6D">
              <w:t>2</w:t>
            </w:r>
          </w:p>
        </w:tc>
        <w:tc>
          <w:tcPr>
            <w:tcW w:w="6390" w:type="dxa"/>
            <w:noWrap/>
            <w:hideMark/>
          </w:tcPr>
          <w:p w14:paraId="7594E573" w14:textId="77777777" w:rsidR="009B7AED" w:rsidRPr="00676B98" w:rsidRDefault="009B7AED" w:rsidP="005B1E6D">
            <w:pPr>
              <w:pStyle w:val="TMGTableText"/>
            </w:pPr>
            <w:r w:rsidRPr="00676B98">
              <w:t>Extended cab/Sleeping cab</w:t>
            </w:r>
          </w:p>
        </w:tc>
      </w:tr>
      <w:tr w:rsidR="009B7AED" w:rsidRPr="00676B98" w14:paraId="719D5864" w14:textId="77777777" w:rsidTr="00701BE1">
        <w:trPr>
          <w:trHeight w:val="63"/>
        </w:trPr>
        <w:tc>
          <w:tcPr>
            <w:tcW w:w="810" w:type="dxa"/>
            <w:vMerge/>
            <w:hideMark/>
          </w:tcPr>
          <w:p w14:paraId="098A2626" w14:textId="77777777" w:rsidR="009B7AED" w:rsidRPr="00220FFB" w:rsidRDefault="009B7AED" w:rsidP="005B1E6D">
            <w:pPr>
              <w:pStyle w:val="TMGTableText"/>
              <w:jc w:val="center"/>
              <w:rPr>
                <w:b/>
                <w:bCs/>
              </w:rPr>
            </w:pPr>
          </w:p>
        </w:tc>
        <w:tc>
          <w:tcPr>
            <w:tcW w:w="1345" w:type="dxa"/>
            <w:vMerge/>
            <w:hideMark/>
          </w:tcPr>
          <w:p w14:paraId="13E62619" w14:textId="77777777" w:rsidR="009B7AED" w:rsidRPr="005B1E6D" w:rsidRDefault="009B7AED" w:rsidP="005B1E6D">
            <w:pPr>
              <w:pStyle w:val="TMGTableText"/>
            </w:pPr>
          </w:p>
        </w:tc>
        <w:tc>
          <w:tcPr>
            <w:tcW w:w="810" w:type="dxa"/>
            <w:noWrap/>
            <w:hideMark/>
          </w:tcPr>
          <w:p w14:paraId="7F503996" w14:textId="77777777" w:rsidR="009B7AED" w:rsidRPr="005B1E6D" w:rsidRDefault="009B7AED" w:rsidP="005B1E6D">
            <w:pPr>
              <w:pStyle w:val="TMGTableText"/>
              <w:jc w:val="center"/>
            </w:pPr>
            <w:r w:rsidRPr="005B1E6D">
              <w:t>3</w:t>
            </w:r>
          </w:p>
        </w:tc>
        <w:tc>
          <w:tcPr>
            <w:tcW w:w="6390" w:type="dxa"/>
            <w:noWrap/>
            <w:hideMark/>
          </w:tcPr>
          <w:p w14:paraId="43BE2BA6" w14:textId="77777777" w:rsidR="009B7AED" w:rsidRPr="00676B98" w:rsidRDefault="009B7AED" w:rsidP="005B1E6D">
            <w:pPr>
              <w:pStyle w:val="TMGTableText"/>
            </w:pPr>
            <w:r w:rsidRPr="00676B98">
              <w:t>Cab-Over Engine (COE) cab</w:t>
            </w:r>
          </w:p>
        </w:tc>
      </w:tr>
      <w:tr w:rsidR="009B7AED" w:rsidRPr="00676B98" w14:paraId="41A60B32" w14:textId="77777777" w:rsidTr="00701BE1">
        <w:trPr>
          <w:trHeight w:val="63"/>
        </w:trPr>
        <w:tc>
          <w:tcPr>
            <w:tcW w:w="810" w:type="dxa"/>
            <w:vMerge/>
            <w:hideMark/>
          </w:tcPr>
          <w:p w14:paraId="3C54F368" w14:textId="77777777" w:rsidR="009B7AED" w:rsidRPr="00220FFB" w:rsidRDefault="009B7AED" w:rsidP="005B1E6D">
            <w:pPr>
              <w:pStyle w:val="TMGTableText"/>
              <w:jc w:val="center"/>
              <w:rPr>
                <w:b/>
                <w:bCs/>
              </w:rPr>
            </w:pPr>
          </w:p>
        </w:tc>
        <w:tc>
          <w:tcPr>
            <w:tcW w:w="1345" w:type="dxa"/>
            <w:vMerge/>
            <w:hideMark/>
          </w:tcPr>
          <w:p w14:paraId="220AB905" w14:textId="77777777" w:rsidR="009B7AED" w:rsidRPr="005B1E6D" w:rsidRDefault="009B7AED" w:rsidP="005B1E6D">
            <w:pPr>
              <w:pStyle w:val="TMGTableText"/>
            </w:pPr>
          </w:p>
        </w:tc>
        <w:tc>
          <w:tcPr>
            <w:tcW w:w="810" w:type="dxa"/>
            <w:noWrap/>
            <w:hideMark/>
          </w:tcPr>
          <w:p w14:paraId="1068BF4C" w14:textId="77777777" w:rsidR="009B7AED" w:rsidRPr="005B1E6D" w:rsidRDefault="009B7AED" w:rsidP="005B1E6D">
            <w:pPr>
              <w:pStyle w:val="TMGTableText"/>
              <w:jc w:val="center"/>
            </w:pPr>
            <w:r w:rsidRPr="005B1E6D">
              <w:t>9</w:t>
            </w:r>
          </w:p>
        </w:tc>
        <w:tc>
          <w:tcPr>
            <w:tcW w:w="6390" w:type="dxa"/>
            <w:noWrap/>
            <w:hideMark/>
          </w:tcPr>
          <w:p w14:paraId="1D7F8F38" w14:textId="77777777" w:rsidR="009B7AED" w:rsidRPr="00676B98" w:rsidRDefault="009B7AED" w:rsidP="005B1E6D">
            <w:pPr>
              <w:pStyle w:val="TMGTableText"/>
            </w:pPr>
            <w:r w:rsidRPr="00676B98">
              <w:t>Others</w:t>
            </w:r>
          </w:p>
        </w:tc>
      </w:tr>
      <w:tr w:rsidR="009B7AED" w:rsidRPr="00676B98" w14:paraId="2AC17FF4" w14:textId="77777777" w:rsidTr="00701BE1">
        <w:trPr>
          <w:trHeight w:val="63"/>
        </w:trPr>
        <w:tc>
          <w:tcPr>
            <w:tcW w:w="810" w:type="dxa"/>
            <w:vMerge w:val="restart"/>
            <w:noWrap/>
            <w:hideMark/>
          </w:tcPr>
          <w:p w14:paraId="1A084B51" w14:textId="77777777" w:rsidR="009B7AED" w:rsidRPr="00220FFB" w:rsidRDefault="009B7AED" w:rsidP="005B1E6D">
            <w:pPr>
              <w:pStyle w:val="TMGTableText"/>
              <w:jc w:val="center"/>
              <w:rPr>
                <w:b/>
                <w:bCs/>
              </w:rPr>
            </w:pPr>
            <w:r w:rsidRPr="00220FFB">
              <w:rPr>
                <w:b/>
                <w:bCs/>
              </w:rPr>
              <w:t>7</w:t>
            </w:r>
          </w:p>
        </w:tc>
        <w:tc>
          <w:tcPr>
            <w:tcW w:w="1345" w:type="dxa"/>
            <w:vMerge w:val="restart"/>
            <w:noWrap/>
            <w:hideMark/>
          </w:tcPr>
          <w:p w14:paraId="4B3E2736" w14:textId="77777777" w:rsidR="009B7AED" w:rsidRPr="005B1E6D" w:rsidRDefault="009B7AED" w:rsidP="005B1E6D">
            <w:pPr>
              <w:pStyle w:val="TMGTableText"/>
            </w:pPr>
            <w:r w:rsidRPr="005B1E6D">
              <w:t>Intermodal chassis</w:t>
            </w:r>
          </w:p>
        </w:tc>
        <w:tc>
          <w:tcPr>
            <w:tcW w:w="810" w:type="dxa"/>
            <w:noWrap/>
            <w:hideMark/>
          </w:tcPr>
          <w:p w14:paraId="2A7312B8" w14:textId="77777777" w:rsidR="009B7AED" w:rsidRPr="005B1E6D" w:rsidRDefault="009B7AED" w:rsidP="005B1E6D">
            <w:pPr>
              <w:pStyle w:val="TMGTableText"/>
              <w:jc w:val="center"/>
            </w:pPr>
            <w:r w:rsidRPr="005B1E6D">
              <w:t>0</w:t>
            </w:r>
          </w:p>
        </w:tc>
        <w:tc>
          <w:tcPr>
            <w:tcW w:w="6390" w:type="dxa"/>
            <w:noWrap/>
            <w:hideMark/>
          </w:tcPr>
          <w:p w14:paraId="1BA1D6FE" w14:textId="77777777" w:rsidR="009B7AED" w:rsidRPr="00676B98" w:rsidRDefault="009B7AED" w:rsidP="005B1E6D">
            <w:pPr>
              <w:pStyle w:val="TMGTableText"/>
            </w:pPr>
            <w:r w:rsidRPr="00676B98">
              <w:t>Blocked</w:t>
            </w:r>
          </w:p>
        </w:tc>
      </w:tr>
      <w:tr w:rsidR="009B7AED" w:rsidRPr="00676B98" w14:paraId="34B3CE13" w14:textId="77777777" w:rsidTr="00701BE1">
        <w:trPr>
          <w:trHeight w:val="63"/>
        </w:trPr>
        <w:tc>
          <w:tcPr>
            <w:tcW w:w="810" w:type="dxa"/>
            <w:vMerge/>
            <w:hideMark/>
          </w:tcPr>
          <w:p w14:paraId="5C567786" w14:textId="77777777" w:rsidR="009B7AED" w:rsidRPr="005B1E6D" w:rsidRDefault="009B7AED" w:rsidP="005B1E6D">
            <w:pPr>
              <w:pStyle w:val="TMGTableText"/>
              <w:jc w:val="center"/>
            </w:pPr>
          </w:p>
        </w:tc>
        <w:tc>
          <w:tcPr>
            <w:tcW w:w="1345" w:type="dxa"/>
            <w:vMerge/>
            <w:hideMark/>
          </w:tcPr>
          <w:p w14:paraId="7C343F3F" w14:textId="77777777" w:rsidR="009B7AED" w:rsidRPr="005B1E6D" w:rsidRDefault="009B7AED" w:rsidP="005B1E6D">
            <w:pPr>
              <w:pStyle w:val="TMGTableText"/>
            </w:pPr>
          </w:p>
        </w:tc>
        <w:tc>
          <w:tcPr>
            <w:tcW w:w="810" w:type="dxa"/>
            <w:noWrap/>
            <w:hideMark/>
          </w:tcPr>
          <w:p w14:paraId="7B6B3F7B" w14:textId="77777777" w:rsidR="009B7AED" w:rsidRPr="005B1E6D" w:rsidRDefault="009B7AED" w:rsidP="005B1E6D">
            <w:pPr>
              <w:pStyle w:val="TMGTableText"/>
              <w:jc w:val="center"/>
            </w:pPr>
            <w:r w:rsidRPr="005B1E6D">
              <w:t>1</w:t>
            </w:r>
          </w:p>
        </w:tc>
        <w:tc>
          <w:tcPr>
            <w:tcW w:w="6390" w:type="dxa"/>
            <w:noWrap/>
            <w:hideMark/>
          </w:tcPr>
          <w:p w14:paraId="5C6F4B97" w14:textId="77777777" w:rsidR="009B7AED" w:rsidRPr="00676B98" w:rsidRDefault="009B7AED" w:rsidP="005B1E6D">
            <w:pPr>
              <w:pStyle w:val="TMGTableText"/>
            </w:pPr>
            <w:r w:rsidRPr="00676B98">
              <w:t>20 ft (1TEU) box container</w:t>
            </w:r>
          </w:p>
        </w:tc>
      </w:tr>
      <w:tr w:rsidR="009B7AED" w:rsidRPr="00676B98" w14:paraId="6807173C" w14:textId="77777777" w:rsidTr="00701BE1">
        <w:trPr>
          <w:trHeight w:val="63"/>
        </w:trPr>
        <w:tc>
          <w:tcPr>
            <w:tcW w:w="810" w:type="dxa"/>
            <w:vMerge/>
            <w:hideMark/>
          </w:tcPr>
          <w:p w14:paraId="70F59028" w14:textId="77777777" w:rsidR="009B7AED" w:rsidRPr="005B1E6D" w:rsidRDefault="009B7AED" w:rsidP="005B1E6D">
            <w:pPr>
              <w:pStyle w:val="TMGTableText"/>
              <w:jc w:val="center"/>
            </w:pPr>
          </w:p>
        </w:tc>
        <w:tc>
          <w:tcPr>
            <w:tcW w:w="1345" w:type="dxa"/>
            <w:vMerge/>
            <w:hideMark/>
          </w:tcPr>
          <w:p w14:paraId="17A845E5" w14:textId="77777777" w:rsidR="009B7AED" w:rsidRPr="005B1E6D" w:rsidRDefault="009B7AED" w:rsidP="005B1E6D">
            <w:pPr>
              <w:pStyle w:val="TMGTableText"/>
            </w:pPr>
          </w:p>
        </w:tc>
        <w:tc>
          <w:tcPr>
            <w:tcW w:w="810" w:type="dxa"/>
            <w:noWrap/>
            <w:hideMark/>
          </w:tcPr>
          <w:p w14:paraId="2D8E234E" w14:textId="77777777" w:rsidR="009B7AED" w:rsidRPr="005B1E6D" w:rsidRDefault="009B7AED" w:rsidP="005B1E6D">
            <w:pPr>
              <w:pStyle w:val="TMGTableText"/>
              <w:jc w:val="center"/>
            </w:pPr>
            <w:r w:rsidRPr="005B1E6D">
              <w:t>2</w:t>
            </w:r>
          </w:p>
        </w:tc>
        <w:tc>
          <w:tcPr>
            <w:tcW w:w="6390" w:type="dxa"/>
            <w:noWrap/>
            <w:hideMark/>
          </w:tcPr>
          <w:p w14:paraId="40ED3B42" w14:textId="77777777" w:rsidR="009B7AED" w:rsidRPr="00676B98" w:rsidRDefault="009B7AED" w:rsidP="005B1E6D">
            <w:pPr>
              <w:pStyle w:val="TMGTableText"/>
            </w:pPr>
            <w:r w:rsidRPr="00676B98">
              <w:t>40 ft (2TEU)/53 ft box container</w:t>
            </w:r>
          </w:p>
        </w:tc>
      </w:tr>
      <w:tr w:rsidR="009B7AED" w:rsidRPr="00676B98" w14:paraId="73331353" w14:textId="77777777" w:rsidTr="00701BE1">
        <w:trPr>
          <w:trHeight w:val="63"/>
        </w:trPr>
        <w:tc>
          <w:tcPr>
            <w:tcW w:w="810" w:type="dxa"/>
            <w:vMerge/>
            <w:hideMark/>
          </w:tcPr>
          <w:p w14:paraId="731344D7" w14:textId="77777777" w:rsidR="009B7AED" w:rsidRPr="005B1E6D" w:rsidRDefault="009B7AED" w:rsidP="005B1E6D">
            <w:pPr>
              <w:pStyle w:val="TMGTableText"/>
              <w:jc w:val="center"/>
            </w:pPr>
          </w:p>
        </w:tc>
        <w:tc>
          <w:tcPr>
            <w:tcW w:w="1345" w:type="dxa"/>
            <w:vMerge/>
            <w:hideMark/>
          </w:tcPr>
          <w:p w14:paraId="4544E976" w14:textId="77777777" w:rsidR="009B7AED" w:rsidRPr="005B1E6D" w:rsidRDefault="009B7AED" w:rsidP="005B1E6D">
            <w:pPr>
              <w:pStyle w:val="TMGTableText"/>
            </w:pPr>
          </w:p>
        </w:tc>
        <w:tc>
          <w:tcPr>
            <w:tcW w:w="810" w:type="dxa"/>
            <w:noWrap/>
            <w:hideMark/>
          </w:tcPr>
          <w:p w14:paraId="7FBD295B" w14:textId="77777777" w:rsidR="009B7AED" w:rsidRPr="005B1E6D" w:rsidRDefault="009B7AED" w:rsidP="005B1E6D">
            <w:pPr>
              <w:pStyle w:val="TMGTableText"/>
              <w:jc w:val="center"/>
            </w:pPr>
            <w:r w:rsidRPr="005B1E6D">
              <w:t>5</w:t>
            </w:r>
          </w:p>
        </w:tc>
        <w:tc>
          <w:tcPr>
            <w:tcW w:w="6390" w:type="dxa"/>
            <w:noWrap/>
            <w:hideMark/>
          </w:tcPr>
          <w:p w14:paraId="16E891EE" w14:textId="77777777" w:rsidR="009B7AED" w:rsidRPr="00676B98" w:rsidRDefault="009B7AED" w:rsidP="005B1E6D">
            <w:pPr>
              <w:pStyle w:val="TMGTableText"/>
            </w:pPr>
            <w:r w:rsidRPr="00676B98">
              <w:t>Same type containers (for Code 1 = 7 only)</w:t>
            </w:r>
          </w:p>
        </w:tc>
      </w:tr>
      <w:tr w:rsidR="009B7AED" w:rsidRPr="00676B98" w14:paraId="121B3B1F" w14:textId="77777777" w:rsidTr="00701BE1">
        <w:trPr>
          <w:trHeight w:val="63"/>
        </w:trPr>
        <w:tc>
          <w:tcPr>
            <w:tcW w:w="810" w:type="dxa"/>
            <w:vMerge/>
            <w:hideMark/>
          </w:tcPr>
          <w:p w14:paraId="09795C61" w14:textId="77777777" w:rsidR="009B7AED" w:rsidRPr="005B1E6D" w:rsidRDefault="009B7AED" w:rsidP="005B1E6D">
            <w:pPr>
              <w:pStyle w:val="TMGTableText"/>
              <w:jc w:val="center"/>
            </w:pPr>
          </w:p>
        </w:tc>
        <w:tc>
          <w:tcPr>
            <w:tcW w:w="1345" w:type="dxa"/>
            <w:vMerge/>
            <w:hideMark/>
          </w:tcPr>
          <w:p w14:paraId="0FD9A738" w14:textId="77777777" w:rsidR="009B7AED" w:rsidRPr="005B1E6D" w:rsidRDefault="009B7AED" w:rsidP="005B1E6D">
            <w:pPr>
              <w:pStyle w:val="TMGTableText"/>
            </w:pPr>
          </w:p>
        </w:tc>
        <w:tc>
          <w:tcPr>
            <w:tcW w:w="810" w:type="dxa"/>
            <w:noWrap/>
            <w:hideMark/>
          </w:tcPr>
          <w:p w14:paraId="2BF0C8BE" w14:textId="77777777" w:rsidR="009B7AED" w:rsidRPr="005B1E6D" w:rsidRDefault="009B7AED" w:rsidP="005B1E6D">
            <w:pPr>
              <w:pStyle w:val="TMGTableText"/>
              <w:jc w:val="center"/>
            </w:pPr>
            <w:r w:rsidRPr="005B1E6D">
              <w:t>6</w:t>
            </w:r>
          </w:p>
        </w:tc>
        <w:tc>
          <w:tcPr>
            <w:tcW w:w="6390" w:type="dxa"/>
            <w:noWrap/>
            <w:hideMark/>
          </w:tcPr>
          <w:p w14:paraId="4F51D9BE" w14:textId="77777777" w:rsidR="009B7AED" w:rsidRPr="00676B98" w:rsidRDefault="009B7AED" w:rsidP="005B1E6D">
            <w:pPr>
              <w:pStyle w:val="TMGTableText"/>
            </w:pPr>
            <w:r w:rsidRPr="00676B98">
              <w:t>Different type containers (for Code 1 = 7 only)</w:t>
            </w:r>
          </w:p>
        </w:tc>
      </w:tr>
      <w:tr w:rsidR="009B7AED" w:rsidRPr="00676B98" w14:paraId="75A5538E" w14:textId="77777777" w:rsidTr="00701BE1">
        <w:trPr>
          <w:trHeight w:val="63"/>
        </w:trPr>
        <w:tc>
          <w:tcPr>
            <w:tcW w:w="810" w:type="dxa"/>
            <w:vMerge/>
            <w:hideMark/>
          </w:tcPr>
          <w:p w14:paraId="39B7D9B9" w14:textId="77777777" w:rsidR="009B7AED" w:rsidRPr="005B1E6D" w:rsidRDefault="009B7AED" w:rsidP="005B1E6D">
            <w:pPr>
              <w:pStyle w:val="TMGTableText"/>
              <w:jc w:val="center"/>
            </w:pPr>
          </w:p>
        </w:tc>
        <w:tc>
          <w:tcPr>
            <w:tcW w:w="1345" w:type="dxa"/>
            <w:vMerge/>
            <w:hideMark/>
          </w:tcPr>
          <w:p w14:paraId="5D28504B" w14:textId="77777777" w:rsidR="009B7AED" w:rsidRPr="005B1E6D" w:rsidRDefault="009B7AED" w:rsidP="005B1E6D">
            <w:pPr>
              <w:pStyle w:val="TMGTableText"/>
            </w:pPr>
          </w:p>
        </w:tc>
        <w:tc>
          <w:tcPr>
            <w:tcW w:w="810" w:type="dxa"/>
            <w:noWrap/>
            <w:hideMark/>
          </w:tcPr>
          <w:p w14:paraId="6E9D2F06" w14:textId="77777777" w:rsidR="009B7AED" w:rsidRPr="005B1E6D" w:rsidRDefault="009B7AED" w:rsidP="005B1E6D">
            <w:pPr>
              <w:pStyle w:val="TMGTableText"/>
              <w:jc w:val="center"/>
            </w:pPr>
            <w:r w:rsidRPr="005B1E6D">
              <w:t>7</w:t>
            </w:r>
          </w:p>
        </w:tc>
        <w:tc>
          <w:tcPr>
            <w:tcW w:w="6390" w:type="dxa"/>
            <w:noWrap/>
            <w:hideMark/>
          </w:tcPr>
          <w:p w14:paraId="1F21FAF5" w14:textId="77777777" w:rsidR="009B7AED" w:rsidRPr="00676B98" w:rsidRDefault="009B7AED" w:rsidP="005B1E6D">
            <w:pPr>
              <w:pStyle w:val="TMGTableText"/>
            </w:pPr>
            <w:r w:rsidRPr="00676B98">
              <w:t>Container chassis only</w:t>
            </w:r>
          </w:p>
        </w:tc>
      </w:tr>
      <w:tr w:rsidR="009B7AED" w:rsidRPr="00676B98" w14:paraId="17FA6678" w14:textId="77777777" w:rsidTr="00701BE1">
        <w:trPr>
          <w:trHeight w:val="63"/>
        </w:trPr>
        <w:tc>
          <w:tcPr>
            <w:tcW w:w="810" w:type="dxa"/>
            <w:vMerge/>
            <w:hideMark/>
          </w:tcPr>
          <w:p w14:paraId="62836485" w14:textId="77777777" w:rsidR="009B7AED" w:rsidRPr="005B1E6D" w:rsidRDefault="009B7AED" w:rsidP="005B1E6D">
            <w:pPr>
              <w:pStyle w:val="TMGTableText"/>
              <w:jc w:val="center"/>
            </w:pPr>
          </w:p>
        </w:tc>
        <w:tc>
          <w:tcPr>
            <w:tcW w:w="1345" w:type="dxa"/>
            <w:vMerge/>
            <w:hideMark/>
          </w:tcPr>
          <w:p w14:paraId="65B43EEC" w14:textId="77777777" w:rsidR="009B7AED" w:rsidRPr="005B1E6D" w:rsidRDefault="009B7AED" w:rsidP="005B1E6D">
            <w:pPr>
              <w:pStyle w:val="TMGTableText"/>
            </w:pPr>
          </w:p>
        </w:tc>
        <w:tc>
          <w:tcPr>
            <w:tcW w:w="810" w:type="dxa"/>
            <w:noWrap/>
            <w:hideMark/>
          </w:tcPr>
          <w:p w14:paraId="4EDEC032" w14:textId="77777777" w:rsidR="009B7AED" w:rsidRPr="005B1E6D" w:rsidRDefault="009B7AED" w:rsidP="005B1E6D">
            <w:pPr>
              <w:pStyle w:val="TMGTableText"/>
              <w:jc w:val="center"/>
            </w:pPr>
            <w:r w:rsidRPr="005B1E6D">
              <w:t>9</w:t>
            </w:r>
          </w:p>
        </w:tc>
        <w:tc>
          <w:tcPr>
            <w:tcW w:w="6390" w:type="dxa"/>
            <w:noWrap/>
            <w:hideMark/>
          </w:tcPr>
          <w:p w14:paraId="52801D8C" w14:textId="77777777" w:rsidR="009B7AED" w:rsidRPr="00676B98" w:rsidRDefault="009B7AED" w:rsidP="005B1E6D">
            <w:pPr>
              <w:pStyle w:val="TMGTableText"/>
            </w:pPr>
            <w:r w:rsidRPr="00676B98">
              <w:t>Others</w:t>
            </w:r>
          </w:p>
        </w:tc>
      </w:tr>
      <w:tr w:rsidR="009B7AED" w:rsidRPr="00676B98" w14:paraId="02E78F8F" w14:textId="77777777" w:rsidTr="00701BE1">
        <w:trPr>
          <w:trHeight w:val="63"/>
        </w:trPr>
        <w:tc>
          <w:tcPr>
            <w:tcW w:w="810" w:type="dxa"/>
            <w:vMerge w:val="restart"/>
            <w:noWrap/>
            <w:hideMark/>
          </w:tcPr>
          <w:p w14:paraId="7C39BE91" w14:textId="77777777" w:rsidR="009B7AED" w:rsidRPr="00220FFB" w:rsidRDefault="009B7AED" w:rsidP="00FD24CC">
            <w:pPr>
              <w:pStyle w:val="TMGTableText"/>
              <w:pageBreakBefore/>
              <w:ind w:left="0"/>
              <w:jc w:val="center"/>
              <w:rPr>
                <w:b/>
                <w:bCs/>
              </w:rPr>
            </w:pPr>
            <w:r w:rsidRPr="00220FFB">
              <w:rPr>
                <w:b/>
                <w:bCs/>
              </w:rPr>
              <w:lastRenderedPageBreak/>
              <w:t>8</w:t>
            </w:r>
          </w:p>
        </w:tc>
        <w:tc>
          <w:tcPr>
            <w:tcW w:w="1345" w:type="dxa"/>
            <w:vMerge w:val="restart"/>
            <w:noWrap/>
            <w:hideMark/>
          </w:tcPr>
          <w:p w14:paraId="4E50AAA0" w14:textId="77777777" w:rsidR="009B7AED" w:rsidRPr="00676B98" w:rsidRDefault="009B7AED" w:rsidP="005B1E6D">
            <w:pPr>
              <w:pStyle w:val="TMGTableText"/>
            </w:pPr>
            <w:r w:rsidRPr="00676B98">
              <w:t>Dump</w:t>
            </w:r>
          </w:p>
        </w:tc>
        <w:tc>
          <w:tcPr>
            <w:tcW w:w="810" w:type="dxa"/>
            <w:noWrap/>
            <w:hideMark/>
          </w:tcPr>
          <w:p w14:paraId="07AE8FF9" w14:textId="77777777" w:rsidR="009B7AED" w:rsidRPr="00676B98" w:rsidRDefault="009B7AED" w:rsidP="005B1E6D">
            <w:pPr>
              <w:pStyle w:val="TMGTableText"/>
              <w:jc w:val="center"/>
            </w:pPr>
            <w:r w:rsidRPr="00676B98">
              <w:t>0</w:t>
            </w:r>
          </w:p>
        </w:tc>
        <w:tc>
          <w:tcPr>
            <w:tcW w:w="6390" w:type="dxa"/>
            <w:noWrap/>
            <w:hideMark/>
          </w:tcPr>
          <w:p w14:paraId="4ED600BF" w14:textId="77777777" w:rsidR="009B7AED" w:rsidRPr="00676B98" w:rsidRDefault="009B7AED" w:rsidP="005B1E6D">
            <w:pPr>
              <w:pStyle w:val="TMGTableText"/>
            </w:pPr>
            <w:r w:rsidRPr="00676B98">
              <w:t>Blocked</w:t>
            </w:r>
          </w:p>
        </w:tc>
      </w:tr>
      <w:tr w:rsidR="009B7AED" w:rsidRPr="00676B98" w14:paraId="21CDA4F0" w14:textId="77777777" w:rsidTr="00701BE1">
        <w:trPr>
          <w:trHeight w:val="63"/>
        </w:trPr>
        <w:tc>
          <w:tcPr>
            <w:tcW w:w="810" w:type="dxa"/>
            <w:vMerge/>
            <w:hideMark/>
          </w:tcPr>
          <w:p w14:paraId="087B1135" w14:textId="77777777" w:rsidR="009B7AED" w:rsidRPr="00220FFB" w:rsidRDefault="009B7AED" w:rsidP="005B1E6D">
            <w:pPr>
              <w:pStyle w:val="TMGTableText"/>
              <w:jc w:val="center"/>
              <w:rPr>
                <w:b/>
                <w:bCs/>
              </w:rPr>
            </w:pPr>
          </w:p>
        </w:tc>
        <w:tc>
          <w:tcPr>
            <w:tcW w:w="1345" w:type="dxa"/>
            <w:vMerge/>
            <w:hideMark/>
          </w:tcPr>
          <w:p w14:paraId="744FD0D4" w14:textId="77777777" w:rsidR="009B7AED" w:rsidRPr="00676B98" w:rsidRDefault="009B7AED" w:rsidP="005B1E6D">
            <w:pPr>
              <w:pStyle w:val="TMGTableText"/>
            </w:pPr>
          </w:p>
        </w:tc>
        <w:tc>
          <w:tcPr>
            <w:tcW w:w="810" w:type="dxa"/>
            <w:noWrap/>
            <w:hideMark/>
          </w:tcPr>
          <w:p w14:paraId="350B5D27" w14:textId="77777777" w:rsidR="009B7AED" w:rsidRPr="00676B98" w:rsidRDefault="009B7AED" w:rsidP="005B1E6D">
            <w:pPr>
              <w:pStyle w:val="TMGTableText"/>
              <w:jc w:val="center"/>
            </w:pPr>
            <w:r w:rsidRPr="00676B98">
              <w:t>1</w:t>
            </w:r>
          </w:p>
        </w:tc>
        <w:tc>
          <w:tcPr>
            <w:tcW w:w="6390" w:type="dxa"/>
            <w:noWrap/>
            <w:hideMark/>
          </w:tcPr>
          <w:p w14:paraId="10016D60" w14:textId="77777777" w:rsidR="009B7AED" w:rsidRPr="00676B98" w:rsidRDefault="009B7AED" w:rsidP="005B1E6D">
            <w:pPr>
              <w:pStyle w:val="TMGTableText"/>
            </w:pPr>
            <w:r w:rsidRPr="00676B98">
              <w:t>End/Side dump</w:t>
            </w:r>
          </w:p>
        </w:tc>
      </w:tr>
      <w:tr w:rsidR="009B7AED" w:rsidRPr="00676B98" w14:paraId="6F35EF33" w14:textId="77777777" w:rsidTr="00701BE1">
        <w:trPr>
          <w:trHeight w:val="63"/>
        </w:trPr>
        <w:tc>
          <w:tcPr>
            <w:tcW w:w="810" w:type="dxa"/>
            <w:vMerge/>
            <w:hideMark/>
          </w:tcPr>
          <w:p w14:paraId="693D5357" w14:textId="77777777" w:rsidR="009B7AED" w:rsidRPr="00220FFB" w:rsidRDefault="009B7AED" w:rsidP="005B1E6D">
            <w:pPr>
              <w:pStyle w:val="TMGTableText"/>
              <w:jc w:val="center"/>
              <w:rPr>
                <w:b/>
                <w:bCs/>
              </w:rPr>
            </w:pPr>
          </w:p>
        </w:tc>
        <w:tc>
          <w:tcPr>
            <w:tcW w:w="1345" w:type="dxa"/>
            <w:vMerge/>
            <w:hideMark/>
          </w:tcPr>
          <w:p w14:paraId="70B32DBC" w14:textId="77777777" w:rsidR="009B7AED" w:rsidRPr="00676B98" w:rsidRDefault="009B7AED" w:rsidP="005B1E6D">
            <w:pPr>
              <w:pStyle w:val="TMGTableText"/>
            </w:pPr>
          </w:p>
        </w:tc>
        <w:tc>
          <w:tcPr>
            <w:tcW w:w="810" w:type="dxa"/>
            <w:noWrap/>
            <w:hideMark/>
          </w:tcPr>
          <w:p w14:paraId="24EE6C2D" w14:textId="77777777" w:rsidR="009B7AED" w:rsidRPr="00676B98" w:rsidRDefault="009B7AED" w:rsidP="005B1E6D">
            <w:pPr>
              <w:pStyle w:val="TMGTableText"/>
              <w:jc w:val="center"/>
            </w:pPr>
            <w:r w:rsidRPr="00676B98">
              <w:t>2</w:t>
            </w:r>
          </w:p>
        </w:tc>
        <w:tc>
          <w:tcPr>
            <w:tcW w:w="6390" w:type="dxa"/>
            <w:noWrap/>
            <w:hideMark/>
          </w:tcPr>
          <w:p w14:paraId="69B8BCF5" w14:textId="77777777" w:rsidR="009B7AED" w:rsidRPr="00676B98" w:rsidRDefault="009B7AED" w:rsidP="005B1E6D">
            <w:pPr>
              <w:pStyle w:val="TMGTableText"/>
            </w:pPr>
            <w:r w:rsidRPr="00676B98">
              <w:t>Bottom/Belly dump</w:t>
            </w:r>
          </w:p>
        </w:tc>
      </w:tr>
      <w:tr w:rsidR="009B7AED" w:rsidRPr="00676B98" w14:paraId="23D7B96C" w14:textId="77777777" w:rsidTr="00701BE1">
        <w:trPr>
          <w:trHeight w:val="63"/>
        </w:trPr>
        <w:tc>
          <w:tcPr>
            <w:tcW w:w="810" w:type="dxa"/>
            <w:vMerge/>
            <w:hideMark/>
          </w:tcPr>
          <w:p w14:paraId="03265C76" w14:textId="77777777" w:rsidR="009B7AED" w:rsidRPr="00220FFB" w:rsidRDefault="009B7AED" w:rsidP="005B1E6D">
            <w:pPr>
              <w:pStyle w:val="TMGTableText"/>
              <w:jc w:val="center"/>
              <w:rPr>
                <w:b/>
                <w:bCs/>
              </w:rPr>
            </w:pPr>
          </w:p>
        </w:tc>
        <w:tc>
          <w:tcPr>
            <w:tcW w:w="1345" w:type="dxa"/>
            <w:vMerge/>
            <w:hideMark/>
          </w:tcPr>
          <w:p w14:paraId="71B5C1C1" w14:textId="77777777" w:rsidR="009B7AED" w:rsidRPr="00676B98" w:rsidRDefault="009B7AED" w:rsidP="005B1E6D">
            <w:pPr>
              <w:pStyle w:val="TMGTableText"/>
            </w:pPr>
          </w:p>
        </w:tc>
        <w:tc>
          <w:tcPr>
            <w:tcW w:w="810" w:type="dxa"/>
            <w:noWrap/>
            <w:hideMark/>
          </w:tcPr>
          <w:p w14:paraId="64D6ED5E" w14:textId="77777777" w:rsidR="009B7AED" w:rsidRPr="00676B98" w:rsidRDefault="009B7AED" w:rsidP="005B1E6D">
            <w:pPr>
              <w:pStyle w:val="TMGTableText"/>
              <w:jc w:val="center"/>
            </w:pPr>
            <w:r w:rsidRPr="00676B98">
              <w:t>9</w:t>
            </w:r>
          </w:p>
        </w:tc>
        <w:tc>
          <w:tcPr>
            <w:tcW w:w="6390" w:type="dxa"/>
            <w:noWrap/>
            <w:hideMark/>
          </w:tcPr>
          <w:p w14:paraId="245D216B" w14:textId="77777777" w:rsidR="009B7AED" w:rsidRPr="00676B98" w:rsidRDefault="009B7AED" w:rsidP="005B1E6D">
            <w:pPr>
              <w:pStyle w:val="TMGTableText"/>
            </w:pPr>
            <w:r w:rsidRPr="00676B98">
              <w:t>Others</w:t>
            </w:r>
          </w:p>
        </w:tc>
      </w:tr>
      <w:tr w:rsidR="009B7AED" w:rsidRPr="00676B98" w14:paraId="54142B4E" w14:textId="77777777" w:rsidTr="00701BE1">
        <w:trPr>
          <w:trHeight w:val="63"/>
        </w:trPr>
        <w:tc>
          <w:tcPr>
            <w:tcW w:w="810" w:type="dxa"/>
            <w:vMerge w:val="restart"/>
            <w:noWrap/>
            <w:hideMark/>
          </w:tcPr>
          <w:p w14:paraId="25F13CE0" w14:textId="77777777" w:rsidR="009B7AED" w:rsidRPr="00220FFB" w:rsidRDefault="009B7AED" w:rsidP="005B1E6D">
            <w:pPr>
              <w:pStyle w:val="TMGTableText"/>
              <w:jc w:val="center"/>
              <w:rPr>
                <w:b/>
                <w:bCs/>
              </w:rPr>
            </w:pPr>
            <w:r w:rsidRPr="00220FFB">
              <w:rPr>
                <w:b/>
                <w:bCs/>
              </w:rPr>
              <w:t>9</w:t>
            </w:r>
          </w:p>
        </w:tc>
        <w:tc>
          <w:tcPr>
            <w:tcW w:w="1345" w:type="dxa"/>
            <w:vMerge w:val="restart"/>
            <w:noWrap/>
            <w:hideMark/>
          </w:tcPr>
          <w:p w14:paraId="32B932A5" w14:textId="77777777" w:rsidR="009B7AED" w:rsidRPr="00676B98" w:rsidRDefault="009B7AED" w:rsidP="005B1E6D">
            <w:pPr>
              <w:pStyle w:val="TMGTableText"/>
            </w:pPr>
            <w:r w:rsidRPr="00676B98">
              <w:t>Other specialty</w:t>
            </w:r>
          </w:p>
        </w:tc>
        <w:tc>
          <w:tcPr>
            <w:tcW w:w="810" w:type="dxa"/>
            <w:noWrap/>
            <w:hideMark/>
          </w:tcPr>
          <w:p w14:paraId="05D8B28C" w14:textId="77777777" w:rsidR="009B7AED" w:rsidRPr="00676B98" w:rsidRDefault="009B7AED" w:rsidP="005B1E6D">
            <w:pPr>
              <w:pStyle w:val="TMGTableText"/>
              <w:jc w:val="center"/>
            </w:pPr>
            <w:r w:rsidRPr="00676B98">
              <w:t>0</w:t>
            </w:r>
          </w:p>
        </w:tc>
        <w:tc>
          <w:tcPr>
            <w:tcW w:w="6390" w:type="dxa"/>
            <w:noWrap/>
            <w:hideMark/>
          </w:tcPr>
          <w:p w14:paraId="654646BA" w14:textId="77777777" w:rsidR="009B7AED" w:rsidRPr="00676B98" w:rsidRDefault="009B7AED" w:rsidP="005B1E6D">
            <w:pPr>
              <w:pStyle w:val="TMGTableText"/>
            </w:pPr>
            <w:r w:rsidRPr="00676B98">
              <w:t>Blocked</w:t>
            </w:r>
          </w:p>
        </w:tc>
      </w:tr>
      <w:tr w:rsidR="009B7AED" w:rsidRPr="00676B98" w14:paraId="28192459" w14:textId="77777777" w:rsidTr="00701BE1">
        <w:trPr>
          <w:trHeight w:val="63"/>
        </w:trPr>
        <w:tc>
          <w:tcPr>
            <w:tcW w:w="810" w:type="dxa"/>
            <w:vMerge/>
            <w:hideMark/>
          </w:tcPr>
          <w:p w14:paraId="24CE3218" w14:textId="77777777" w:rsidR="009B7AED" w:rsidRPr="00676B98" w:rsidRDefault="009B7AED" w:rsidP="005B1E6D">
            <w:pPr>
              <w:pStyle w:val="TMGTableText"/>
            </w:pPr>
          </w:p>
        </w:tc>
        <w:tc>
          <w:tcPr>
            <w:tcW w:w="1345" w:type="dxa"/>
            <w:vMerge/>
            <w:hideMark/>
          </w:tcPr>
          <w:p w14:paraId="156485A2" w14:textId="77777777" w:rsidR="009B7AED" w:rsidRPr="00676B98" w:rsidRDefault="009B7AED" w:rsidP="005B1E6D">
            <w:pPr>
              <w:pStyle w:val="TMGTableText"/>
            </w:pPr>
          </w:p>
        </w:tc>
        <w:tc>
          <w:tcPr>
            <w:tcW w:w="810" w:type="dxa"/>
            <w:noWrap/>
            <w:hideMark/>
          </w:tcPr>
          <w:p w14:paraId="4C675332" w14:textId="77777777" w:rsidR="009B7AED" w:rsidRPr="00676B98" w:rsidRDefault="009B7AED" w:rsidP="005B1E6D">
            <w:pPr>
              <w:pStyle w:val="TMGTableText"/>
              <w:jc w:val="center"/>
            </w:pPr>
            <w:r w:rsidRPr="00676B98">
              <w:t>1</w:t>
            </w:r>
          </w:p>
        </w:tc>
        <w:tc>
          <w:tcPr>
            <w:tcW w:w="6390" w:type="dxa"/>
            <w:noWrap/>
            <w:hideMark/>
          </w:tcPr>
          <w:p w14:paraId="32EF799C" w14:textId="77777777" w:rsidR="009B7AED" w:rsidRPr="00676B98" w:rsidRDefault="009B7AED" w:rsidP="005B1E6D">
            <w:pPr>
              <w:pStyle w:val="TMGTableText"/>
            </w:pPr>
            <w:r w:rsidRPr="00676B98">
              <w:t>Auto Carrier</w:t>
            </w:r>
          </w:p>
        </w:tc>
      </w:tr>
      <w:tr w:rsidR="009B7AED" w:rsidRPr="00676B98" w14:paraId="66163438" w14:textId="77777777" w:rsidTr="00701BE1">
        <w:trPr>
          <w:trHeight w:val="63"/>
        </w:trPr>
        <w:tc>
          <w:tcPr>
            <w:tcW w:w="810" w:type="dxa"/>
            <w:vMerge/>
            <w:hideMark/>
          </w:tcPr>
          <w:p w14:paraId="67943987" w14:textId="77777777" w:rsidR="009B7AED" w:rsidRPr="00676B98" w:rsidRDefault="009B7AED" w:rsidP="005B1E6D">
            <w:pPr>
              <w:pStyle w:val="TMGTableText"/>
            </w:pPr>
          </w:p>
        </w:tc>
        <w:tc>
          <w:tcPr>
            <w:tcW w:w="1345" w:type="dxa"/>
            <w:vMerge/>
            <w:hideMark/>
          </w:tcPr>
          <w:p w14:paraId="3C6FF005" w14:textId="77777777" w:rsidR="009B7AED" w:rsidRPr="00676B98" w:rsidRDefault="009B7AED" w:rsidP="005B1E6D">
            <w:pPr>
              <w:pStyle w:val="TMGTableText"/>
            </w:pPr>
          </w:p>
        </w:tc>
        <w:tc>
          <w:tcPr>
            <w:tcW w:w="810" w:type="dxa"/>
            <w:noWrap/>
            <w:hideMark/>
          </w:tcPr>
          <w:p w14:paraId="2D57D2F3" w14:textId="77777777" w:rsidR="009B7AED" w:rsidRPr="00676B98" w:rsidRDefault="009B7AED" w:rsidP="005B1E6D">
            <w:pPr>
              <w:pStyle w:val="TMGTableText"/>
              <w:jc w:val="center"/>
            </w:pPr>
            <w:r w:rsidRPr="00676B98">
              <w:t>2</w:t>
            </w:r>
          </w:p>
        </w:tc>
        <w:tc>
          <w:tcPr>
            <w:tcW w:w="6390" w:type="dxa"/>
            <w:noWrap/>
            <w:hideMark/>
          </w:tcPr>
          <w:p w14:paraId="1D4473AB" w14:textId="77777777" w:rsidR="009B7AED" w:rsidRPr="00676B98" w:rsidRDefault="009B7AED" w:rsidP="005B1E6D">
            <w:pPr>
              <w:pStyle w:val="TMGTableText"/>
            </w:pPr>
            <w:r w:rsidRPr="00676B98">
              <w:t>Mini motorhome</w:t>
            </w:r>
          </w:p>
        </w:tc>
      </w:tr>
      <w:tr w:rsidR="009B7AED" w:rsidRPr="00676B98" w14:paraId="2F3F9C6A" w14:textId="77777777" w:rsidTr="00701BE1">
        <w:trPr>
          <w:trHeight w:val="63"/>
        </w:trPr>
        <w:tc>
          <w:tcPr>
            <w:tcW w:w="810" w:type="dxa"/>
            <w:vMerge/>
            <w:hideMark/>
          </w:tcPr>
          <w:p w14:paraId="7CDE4505" w14:textId="77777777" w:rsidR="009B7AED" w:rsidRPr="00676B98" w:rsidRDefault="009B7AED" w:rsidP="005B1E6D">
            <w:pPr>
              <w:pStyle w:val="TMGTableText"/>
            </w:pPr>
          </w:p>
        </w:tc>
        <w:tc>
          <w:tcPr>
            <w:tcW w:w="1345" w:type="dxa"/>
            <w:vMerge/>
            <w:hideMark/>
          </w:tcPr>
          <w:p w14:paraId="760ADA9B" w14:textId="77777777" w:rsidR="009B7AED" w:rsidRPr="00676B98" w:rsidRDefault="009B7AED" w:rsidP="005B1E6D">
            <w:pPr>
              <w:pStyle w:val="TMGTableText"/>
            </w:pPr>
          </w:p>
        </w:tc>
        <w:tc>
          <w:tcPr>
            <w:tcW w:w="810" w:type="dxa"/>
            <w:noWrap/>
            <w:hideMark/>
          </w:tcPr>
          <w:p w14:paraId="19716E03" w14:textId="77777777" w:rsidR="009B7AED" w:rsidRPr="00676B98" w:rsidRDefault="009B7AED" w:rsidP="005B1E6D">
            <w:pPr>
              <w:pStyle w:val="TMGTableText"/>
              <w:jc w:val="center"/>
            </w:pPr>
            <w:r w:rsidRPr="00676B98">
              <w:t>3</w:t>
            </w:r>
          </w:p>
        </w:tc>
        <w:tc>
          <w:tcPr>
            <w:tcW w:w="6390" w:type="dxa"/>
            <w:noWrap/>
            <w:hideMark/>
          </w:tcPr>
          <w:p w14:paraId="2F962CC0" w14:textId="77777777" w:rsidR="009B7AED" w:rsidRPr="00676B98" w:rsidRDefault="009B7AED" w:rsidP="005B1E6D">
            <w:pPr>
              <w:pStyle w:val="TMGTableText"/>
            </w:pPr>
            <w:r w:rsidRPr="00676B98">
              <w:t>Full size motorhome</w:t>
            </w:r>
          </w:p>
        </w:tc>
      </w:tr>
      <w:tr w:rsidR="009B7AED" w:rsidRPr="00676B98" w14:paraId="0588C3C6" w14:textId="77777777" w:rsidTr="00701BE1">
        <w:trPr>
          <w:trHeight w:val="63"/>
        </w:trPr>
        <w:tc>
          <w:tcPr>
            <w:tcW w:w="810" w:type="dxa"/>
            <w:vMerge/>
            <w:hideMark/>
          </w:tcPr>
          <w:p w14:paraId="3660601B" w14:textId="77777777" w:rsidR="009B7AED" w:rsidRPr="00676B98" w:rsidRDefault="009B7AED" w:rsidP="005B1E6D">
            <w:pPr>
              <w:pStyle w:val="TMGTableText"/>
            </w:pPr>
          </w:p>
        </w:tc>
        <w:tc>
          <w:tcPr>
            <w:tcW w:w="1345" w:type="dxa"/>
            <w:vMerge/>
            <w:hideMark/>
          </w:tcPr>
          <w:p w14:paraId="2A53BE3B" w14:textId="77777777" w:rsidR="009B7AED" w:rsidRPr="00676B98" w:rsidRDefault="009B7AED" w:rsidP="005B1E6D">
            <w:pPr>
              <w:pStyle w:val="TMGTableText"/>
            </w:pPr>
          </w:p>
        </w:tc>
        <w:tc>
          <w:tcPr>
            <w:tcW w:w="810" w:type="dxa"/>
            <w:noWrap/>
            <w:hideMark/>
          </w:tcPr>
          <w:p w14:paraId="69B5AFC7" w14:textId="77777777" w:rsidR="009B7AED" w:rsidRPr="00676B98" w:rsidRDefault="009B7AED" w:rsidP="005B1E6D">
            <w:pPr>
              <w:pStyle w:val="TMGTableText"/>
              <w:jc w:val="center"/>
            </w:pPr>
            <w:r w:rsidRPr="00676B98">
              <w:t>4</w:t>
            </w:r>
          </w:p>
        </w:tc>
        <w:tc>
          <w:tcPr>
            <w:tcW w:w="6390" w:type="dxa"/>
            <w:noWrap/>
            <w:hideMark/>
          </w:tcPr>
          <w:p w14:paraId="7A255708" w14:textId="77777777" w:rsidR="009B7AED" w:rsidRPr="00676B98" w:rsidRDefault="009B7AED" w:rsidP="005B1E6D">
            <w:pPr>
              <w:pStyle w:val="TMGTableText"/>
            </w:pPr>
            <w:r w:rsidRPr="00676B98">
              <w:t>Livestock</w:t>
            </w:r>
          </w:p>
        </w:tc>
      </w:tr>
      <w:tr w:rsidR="009B7AED" w:rsidRPr="00676B98" w14:paraId="26E81B35" w14:textId="77777777" w:rsidTr="00701BE1">
        <w:trPr>
          <w:trHeight w:val="63"/>
        </w:trPr>
        <w:tc>
          <w:tcPr>
            <w:tcW w:w="810" w:type="dxa"/>
            <w:vMerge/>
            <w:hideMark/>
          </w:tcPr>
          <w:p w14:paraId="6ACB2BC3" w14:textId="77777777" w:rsidR="009B7AED" w:rsidRPr="00676B98" w:rsidRDefault="009B7AED" w:rsidP="005B1E6D">
            <w:pPr>
              <w:pStyle w:val="TMGTableText"/>
            </w:pPr>
          </w:p>
        </w:tc>
        <w:tc>
          <w:tcPr>
            <w:tcW w:w="1345" w:type="dxa"/>
            <w:vMerge/>
            <w:hideMark/>
          </w:tcPr>
          <w:p w14:paraId="0F5AD7D2" w14:textId="77777777" w:rsidR="009B7AED" w:rsidRPr="00676B98" w:rsidRDefault="009B7AED" w:rsidP="005B1E6D">
            <w:pPr>
              <w:pStyle w:val="TMGTableText"/>
            </w:pPr>
          </w:p>
        </w:tc>
        <w:tc>
          <w:tcPr>
            <w:tcW w:w="810" w:type="dxa"/>
            <w:noWrap/>
            <w:hideMark/>
          </w:tcPr>
          <w:p w14:paraId="2B16500F" w14:textId="77777777" w:rsidR="009B7AED" w:rsidRPr="00676B98" w:rsidRDefault="009B7AED" w:rsidP="005B1E6D">
            <w:pPr>
              <w:pStyle w:val="TMGTableText"/>
              <w:jc w:val="center"/>
            </w:pPr>
            <w:r w:rsidRPr="00676B98">
              <w:t>5</w:t>
            </w:r>
          </w:p>
        </w:tc>
        <w:tc>
          <w:tcPr>
            <w:tcW w:w="6390" w:type="dxa"/>
            <w:noWrap/>
            <w:hideMark/>
          </w:tcPr>
          <w:p w14:paraId="120A0ED7" w14:textId="77777777" w:rsidR="009B7AED" w:rsidRPr="00676B98" w:rsidRDefault="009B7AED" w:rsidP="005B1E6D">
            <w:pPr>
              <w:pStyle w:val="TMGTableText"/>
            </w:pPr>
            <w:r w:rsidRPr="00676B98">
              <w:t>Logging/Pipe/Pole</w:t>
            </w:r>
          </w:p>
        </w:tc>
      </w:tr>
      <w:tr w:rsidR="009B7AED" w:rsidRPr="00676B98" w14:paraId="643239F2" w14:textId="77777777" w:rsidTr="00701BE1">
        <w:trPr>
          <w:trHeight w:val="63"/>
        </w:trPr>
        <w:tc>
          <w:tcPr>
            <w:tcW w:w="810" w:type="dxa"/>
            <w:vMerge/>
            <w:hideMark/>
          </w:tcPr>
          <w:p w14:paraId="31689693" w14:textId="77777777" w:rsidR="009B7AED" w:rsidRPr="00676B98" w:rsidRDefault="009B7AED" w:rsidP="005B1E6D">
            <w:pPr>
              <w:pStyle w:val="TMGTableText"/>
            </w:pPr>
          </w:p>
        </w:tc>
        <w:tc>
          <w:tcPr>
            <w:tcW w:w="1345" w:type="dxa"/>
            <w:vMerge/>
            <w:hideMark/>
          </w:tcPr>
          <w:p w14:paraId="14654279" w14:textId="77777777" w:rsidR="009B7AED" w:rsidRPr="00676B98" w:rsidRDefault="009B7AED" w:rsidP="005B1E6D">
            <w:pPr>
              <w:pStyle w:val="TMGTableText"/>
            </w:pPr>
          </w:p>
        </w:tc>
        <w:tc>
          <w:tcPr>
            <w:tcW w:w="810" w:type="dxa"/>
            <w:noWrap/>
            <w:hideMark/>
          </w:tcPr>
          <w:p w14:paraId="0BB3D0DC" w14:textId="77777777" w:rsidR="009B7AED" w:rsidRPr="00676B98" w:rsidRDefault="009B7AED" w:rsidP="005B1E6D">
            <w:pPr>
              <w:pStyle w:val="TMGTableText"/>
              <w:jc w:val="center"/>
            </w:pPr>
            <w:r w:rsidRPr="00676B98">
              <w:t>6</w:t>
            </w:r>
          </w:p>
        </w:tc>
        <w:tc>
          <w:tcPr>
            <w:tcW w:w="6390" w:type="dxa"/>
            <w:noWrap/>
            <w:hideMark/>
          </w:tcPr>
          <w:p w14:paraId="0C60448B" w14:textId="77777777" w:rsidR="009B7AED" w:rsidRPr="00676B98" w:rsidRDefault="009B7AED" w:rsidP="005B1E6D">
            <w:pPr>
              <w:pStyle w:val="TMGTableText"/>
            </w:pPr>
            <w:r w:rsidRPr="00676B98">
              <w:t>Agriculture</w:t>
            </w:r>
          </w:p>
        </w:tc>
      </w:tr>
      <w:tr w:rsidR="009B7AED" w:rsidRPr="00676B98" w14:paraId="39EA1BD5" w14:textId="77777777" w:rsidTr="00701BE1">
        <w:trPr>
          <w:trHeight w:val="63"/>
        </w:trPr>
        <w:tc>
          <w:tcPr>
            <w:tcW w:w="810" w:type="dxa"/>
            <w:vMerge/>
            <w:hideMark/>
          </w:tcPr>
          <w:p w14:paraId="75E5F49E" w14:textId="77777777" w:rsidR="009B7AED" w:rsidRPr="00676B98" w:rsidRDefault="009B7AED" w:rsidP="005B1E6D">
            <w:pPr>
              <w:pStyle w:val="TMGTableText"/>
            </w:pPr>
          </w:p>
        </w:tc>
        <w:tc>
          <w:tcPr>
            <w:tcW w:w="1345" w:type="dxa"/>
            <w:vMerge/>
            <w:hideMark/>
          </w:tcPr>
          <w:p w14:paraId="11E64D55" w14:textId="77777777" w:rsidR="009B7AED" w:rsidRPr="00676B98" w:rsidRDefault="009B7AED" w:rsidP="005B1E6D">
            <w:pPr>
              <w:pStyle w:val="TMGTableText"/>
            </w:pPr>
          </w:p>
        </w:tc>
        <w:tc>
          <w:tcPr>
            <w:tcW w:w="810" w:type="dxa"/>
            <w:noWrap/>
            <w:hideMark/>
          </w:tcPr>
          <w:p w14:paraId="4B317A23" w14:textId="77777777" w:rsidR="009B7AED" w:rsidRPr="00676B98" w:rsidRDefault="009B7AED" w:rsidP="005B1E6D">
            <w:pPr>
              <w:pStyle w:val="TMGTableText"/>
              <w:jc w:val="center"/>
            </w:pPr>
            <w:r w:rsidRPr="00676B98">
              <w:t>9</w:t>
            </w:r>
          </w:p>
        </w:tc>
        <w:tc>
          <w:tcPr>
            <w:tcW w:w="6390" w:type="dxa"/>
            <w:noWrap/>
            <w:hideMark/>
          </w:tcPr>
          <w:p w14:paraId="44277CC3" w14:textId="77777777" w:rsidR="009B7AED" w:rsidRPr="00676B98" w:rsidRDefault="009B7AED" w:rsidP="005B1E6D">
            <w:pPr>
              <w:pStyle w:val="TMGTableText"/>
            </w:pPr>
            <w:r w:rsidRPr="00676B98">
              <w:t>Others (e.g., Armored personnel carrier)</w:t>
            </w:r>
          </w:p>
        </w:tc>
      </w:tr>
    </w:tbl>
    <w:p w14:paraId="12AB61A6" w14:textId="1609CA65" w:rsidR="009B7AED" w:rsidRDefault="009B7AED" w:rsidP="00FD24CC">
      <w:pPr>
        <w:pStyle w:val="BodyText"/>
        <w:spacing w:before="360"/>
        <w:rPr>
          <w:b/>
          <w:bCs/>
          <w:smallCaps/>
        </w:rPr>
      </w:pPr>
      <w:bookmarkStart w:id="3151" w:name="_Toc109333463"/>
      <w:bookmarkStart w:id="3152" w:name="_Toc109333791"/>
      <w:r>
        <w:t xml:space="preserve">Example V Variant records are shown </w:t>
      </w:r>
      <w:r w:rsidRPr="008A0629">
        <w:t xml:space="preserve">in </w:t>
      </w:r>
      <w:r w:rsidR="00464453">
        <w:fldChar w:fldCharType="begin"/>
      </w:r>
      <w:r w:rsidR="00464453">
        <w:instrText xml:space="preserve"> REF _Ref113275547  \* MERGEFORMAT </w:instrText>
      </w:r>
      <w:r w:rsidR="00464453">
        <w:fldChar w:fldCharType="separate"/>
      </w:r>
      <w:r w:rsidR="00C07DF9" w:rsidRPr="00135D36">
        <w:t xml:space="preserve">Table </w:t>
      </w:r>
      <w:r w:rsidR="00C07DF9">
        <w:rPr>
          <w:noProof/>
        </w:rPr>
        <w:t>4</w:t>
      </w:r>
      <w:r w:rsidR="00C07DF9">
        <w:rPr>
          <w:noProof/>
        </w:rPr>
        <w:noBreakHyphen/>
        <w:t>26</w:t>
      </w:r>
      <w:r w:rsidR="00464453">
        <w:rPr>
          <w:noProof/>
        </w:rPr>
        <w:fldChar w:fldCharType="end"/>
      </w:r>
      <w:r w:rsidRPr="008A0629">
        <w:t>.</w:t>
      </w:r>
    </w:p>
    <w:p w14:paraId="1BAF64BC" w14:textId="409D48B6" w:rsidR="009B7AED" w:rsidRPr="00135D36" w:rsidRDefault="009B7AED" w:rsidP="00736AF3">
      <w:pPr>
        <w:pStyle w:val="TMGTableCaption"/>
      </w:pPr>
      <w:bookmarkStart w:id="3153" w:name="_Ref113275547"/>
      <w:bookmarkStart w:id="3154" w:name="_Toc113282531"/>
      <w:bookmarkStart w:id="3155" w:name="_Toc114474868"/>
      <w:bookmarkStart w:id="3156" w:name="_Toc120631174"/>
      <w:r w:rsidRPr="00135D36">
        <w:t xml:space="preserve">Table </w:t>
      </w:r>
      <w:fldSimple w:instr=" STYLEREF 1 \s ">
        <w:r w:rsidR="00C07DF9">
          <w:rPr>
            <w:noProof/>
          </w:rPr>
          <w:t>4</w:t>
        </w:r>
      </w:fldSimple>
      <w:r>
        <w:noBreakHyphen/>
      </w:r>
      <w:fldSimple w:instr=" SEQ Table \* ARABIC \s 1 ">
        <w:r w:rsidR="00C07DF9">
          <w:rPr>
            <w:noProof/>
          </w:rPr>
          <w:t>26</w:t>
        </w:r>
      </w:fldSimple>
      <w:bookmarkEnd w:id="3153"/>
      <w:r>
        <w:t>. Individual Vehicle Record (</w:t>
      </w:r>
      <w:r w:rsidRPr="00135D36">
        <w:t>Volume Site</w:t>
      </w:r>
      <w:r>
        <w:t>) Example</w:t>
      </w:r>
      <w:r w:rsidRPr="00135D36">
        <w:t xml:space="preserve"> (South</w:t>
      </w:r>
      <w:r>
        <w:t>b</w:t>
      </w:r>
      <w:r w:rsidRPr="00135D36">
        <w:t>ound Lane 1, Note</w:t>
      </w:r>
      <w:r>
        <w:t xml:space="preserve"> </w:t>
      </w:r>
      <w:r w:rsidRPr="00135D36">
        <w:t>–</w:t>
      </w:r>
      <w:r>
        <w:t xml:space="preserve"> </w:t>
      </w:r>
      <w:r w:rsidRPr="00135D36">
        <w:t xml:space="preserve">Record Length Ends With </w:t>
      </w:r>
      <w:r>
        <w:t>5</w:t>
      </w:r>
      <w:r w:rsidRPr="00135D36">
        <w:t xml:space="preserve"> Blanks)</w:t>
      </w:r>
      <w:r>
        <w:t xml:space="preserve"> – Fixed-Width </w:t>
      </w:r>
      <w:r w:rsidRPr="00135D36">
        <w:t>Format</w:t>
      </w:r>
      <w:bookmarkEnd w:id="3154"/>
      <w:bookmarkEnd w:id="3155"/>
      <w:bookmarkEnd w:id="3156"/>
      <w:r>
        <w:t xml:space="preserve"> </w:t>
      </w:r>
      <w:bookmarkEnd w:id="3151"/>
      <w:bookmarkEnd w:id="3152"/>
    </w:p>
    <w:tbl>
      <w:tblPr>
        <w:tblStyle w:val="TableGrid"/>
        <w:tblW w:w="9360" w:type="dxa"/>
        <w:jc w:val="center"/>
        <w:tblLayout w:type="fixed"/>
        <w:tblLook w:val="04A0" w:firstRow="1" w:lastRow="0" w:firstColumn="1" w:lastColumn="0" w:noHBand="0" w:noVBand="1"/>
      </w:tblPr>
      <w:tblGrid>
        <w:gridCol w:w="1120"/>
        <w:gridCol w:w="288"/>
        <w:gridCol w:w="486"/>
        <w:gridCol w:w="837"/>
        <w:gridCol w:w="423"/>
        <w:gridCol w:w="423"/>
        <w:gridCol w:w="669"/>
        <w:gridCol w:w="670"/>
        <w:gridCol w:w="670"/>
        <w:gridCol w:w="670"/>
        <w:gridCol w:w="670"/>
        <w:gridCol w:w="670"/>
        <w:gridCol w:w="670"/>
        <w:gridCol w:w="423"/>
        <w:gridCol w:w="671"/>
      </w:tblGrid>
      <w:tr w:rsidR="0026055C" w:rsidRPr="0026055C" w14:paraId="39F63FBD" w14:textId="77777777" w:rsidTr="0026055C">
        <w:trPr>
          <w:jc w:val="center"/>
        </w:trPr>
        <w:tc>
          <w:tcPr>
            <w:tcW w:w="1120" w:type="dxa"/>
          </w:tcPr>
          <w:p w14:paraId="32B835A6" w14:textId="77777777" w:rsidR="009B7AED" w:rsidRPr="0026055C" w:rsidRDefault="009B7AED" w:rsidP="004156EA">
            <w:pPr>
              <w:pStyle w:val="BodyFHWA"/>
              <w:ind w:left="0"/>
              <w:rPr>
                <w:rFonts w:cs="Calibri"/>
                <w:b/>
                <w:bCs/>
              </w:rPr>
            </w:pPr>
            <w:r w:rsidRPr="0026055C">
              <w:rPr>
                <w:rFonts w:cs="Calibri"/>
                <w:b/>
                <w:bCs/>
              </w:rPr>
              <w:t>Column Number:</w:t>
            </w:r>
          </w:p>
        </w:tc>
        <w:tc>
          <w:tcPr>
            <w:tcW w:w="288" w:type="dxa"/>
            <w:vAlign w:val="center"/>
          </w:tcPr>
          <w:p w14:paraId="5FEEE15E" w14:textId="77777777" w:rsidR="009B7AED" w:rsidRPr="0026055C" w:rsidRDefault="009B7AED" w:rsidP="0026055C">
            <w:pPr>
              <w:pStyle w:val="BodyFHWA"/>
              <w:ind w:left="0"/>
              <w:jc w:val="center"/>
              <w:rPr>
                <w:rFonts w:cs="Calibri"/>
                <w:b/>
                <w:bCs/>
              </w:rPr>
            </w:pPr>
            <w:r w:rsidRPr="0026055C">
              <w:rPr>
                <w:rFonts w:cs="Calibri"/>
                <w:b/>
                <w:bCs/>
              </w:rPr>
              <w:t>1</w:t>
            </w:r>
          </w:p>
        </w:tc>
        <w:tc>
          <w:tcPr>
            <w:tcW w:w="486" w:type="dxa"/>
            <w:vAlign w:val="center"/>
          </w:tcPr>
          <w:p w14:paraId="6A48B899" w14:textId="77777777" w:rsidR="009B7AED" w:rsidRPr="0026055C" w:rsidRDefault="009B7AED" w:rsidP="0026055C">
            <w:pPr>
              <w:pStyle w:val="BodyFHWA"/>
              <w:ind w:left="0"/>
              <w:jc w:val="center"/>
              <w:rPr>
                <w:rFonts w:cs="Calibri"/>
                <w:b/>
                <w:bCs/>
              </w:rPr>
            </w:pPr>
            <w:r w:rsidRPr="0026055C">
              <w:rPr>
                <w:rFonts w:cs="Calibri"/>
                <w:b/>
                <w:bCs/>
              </w:rPr>
              <w:t>2-3</w:t>
            </w:r>
          </w:p>
        </w:tc>
        <w:tc>
          <w:tcPr>
            <w:tcW w:w="837" w:type="dxa"/>
            <w:vAlign w:val="center"/>
          </w:tcPr>
          <w:p w14:paraId="02DEC38A" w14:textId="77777777" w:rsidR="009B7AED" w:rsidRPr="0026055C" w:rsidRDefault="009B7AED" w:rsidP="0026055C">
            <w:pPr>
              <w:pStyle w:val="BodyFHWA"/>
              <w:ind w:left="0"/>
              <w:jc w:val="center"/>
              <w:rPr>
                <w:rFonts w:cs="Calibri"/>
                <w:b/>
                <w:bCs/>
              </w:rPr>
            </w:pPr>
            <w:r w:rsidRPr="0026055C">
              <w:rPr>
                <w:rFonts w:cs="Calibri"/>
                <w:b/>
                <w:bCs/>
              </w:rPr>
              <w:t>4-9</w:t>
            </w:r>
          </w:p>
        </w:tc>
        <w:tc>
          <w:tcPr>
            <w:tcW w:w="423" w:type="dxa"/>
            <w:vAlign w:val="center"/>
          </w:tcPr>
          <w:p w14:paraId="37004592" w14:textId="77777777" w:rsidR="009B7AED" w:rsidRPr="0026055C" w:rsidRDefault="009B7AED" w:rsidP="0026055C">
            <w:pPr>
              <w:pStyle w:val="BodyFHWA"/>
              <w:ind w:left="0"/>
              <w:jc w:val="center"/>
              <w:rPr>
                <w:rFonts w:cs="Calibri"/>
                <w:b/>
                <w:bCs/>
              </w:rPr>
            </w:pPr>
            <w:r w:rsidRPr="0026055C">
              <w:rPr>
                <w:rFonts w:cs="Calibri"/>
                <w:b/>
                <w:bCs/>
              </w:rPr>
              <w:t>10</w:t>
            </w:r>
          </w:p>
        </w:tc>
        <w:tc>
          <w:tcPr>
            <w:tcW w:w="423" w:type="dxa"/>
            <w:vAlign w:val="center"/>
          </w:tcPr>
          <w:p w14:paraId="2079D3FA" w14:textId="77777777" w:rsidR="009B7AED" w:rsidRPr="0026055C" w:rsidRDefault="009B7AED" w:rsidP="0026055C">
            <w:pPr>
              <w:pStyle w:val="BodyFHWA"/>
              <w:ind w:left="0"/>
              <w:jc w:val="center"/>
              <w:rPr>
                <w:rFonts w:cs="Calibri"/>
                <w:b/>
                <w:bCs/>
              </w:rPr>
            </w:pPr>
            <w:r w:rsidRPr="0026055C">
              <w:rPr>
                <w:rFonts w:cs="Calibri"/>
                <w:b/>
                <w:bCs/>
              </w:rPr>
              <w:t>11</w:t>
            </w:r>
          </w:p>
        </w:tc>
        <w:tc>
          <w:tcPr>
            <w:tcW w:w="669" w:type="dxa"/>
            <w:vAlign w:val="center"/>
          </w:tcPr>
          <w:p w14:paraId="7CC5D171" w14:textId="77777777" w:rsidR="009B7AED" w:rsidRPr="0026055C" w:rsidRDefault="009B7AED" w:rsidP="0026055C">
            <w:pPr>
              <w:pStyle w:val="BodyFHWA"/>
              <w:ind w:left="0"/>
              <w:jc w:val="center"/>
              <w:rPr>
                <w:rFonts w:cs="Calibri"/>
                <w:b/>
                <w:bCs/>
              </w:rPr>
            </w:pPr>
            <w:r w:rsidRPr="0026055C">
              <w:rPr>
                <w:rFonts w:cs="Calibri"/>
                <w:b/>
                <w:bCs/>
              </w:rPr>
              <w:t>12-15</w:t>
            </w:r>
          </w:p>
        </w:tc>
        <w:tc>
          <w:tcPr>
            <w:tcW w:w="670" w:type="dxa"/>
            <w:vAlign w:val="center"/>
          </w:tcPr>
          <w:p w14:paraId="4C00E206" w14:textId="77777777" w:rsidR="009B7AED" w:rsidRPr="0026055C" w:rsidRDefault="009B7AED" w:rsidP="0026055C">
            <w:pPr>
              <w:pStyle w:val="BodyFHWA"/>
              <w:ind w:left="0"/>
              <w:jc w:val="center"/>
              <w:rPr>
                <w:rFonts w:cs="Calibri"/>
                <w:b/>
                <w:bCs/>
              </w:rPr>
            </w:pPr>
            <w:r w:rsidRPr="0026055C">
              <w:rPr>
                <w:rFonts w:cs="Calibri"/>
                <w:b/>
                <w:bCs/>
              </w:rPr>
              <w:t>16-17</w:t>
            </w:r>
          </w:p>
        </w:tc>
        <w:tc>
          <w:tcPr>
            <w:tcW w:w="670" w:type="dxa"/>
            <w:vAlign w:val="center"/>
          </w:tcPr>
          <w:p w14:paraId="58EBD153" w14:textId="77777777" w:rsidR="009B7AED" w:rsidRPr="0026055C" w:rsidRDefault="009B7AED" w:rsidP="0026055C">
            <w:pPr>
              <w:pStyle w:val="BodyFHWA"/>
              <w:ind w:left="0"/>
              <w:jc w:val="center"/>
              <w:rPr>
                <w:rFonts w:cs="Calibri"/>
                <w:b/>
                <w:bCs/>
              </w:rPr>
            </w:pPr>
            <w:r w:rsidRPr="0026055C">
              <w:rPr>
                <w:rFonts w:cs="Calibri"/>
                <w:b/>
                <w:bCs/>
              </w:rPr>
              <w:t>18-19</w:t>
            </w:r>
          </w:p>
        </w:tc>
        <w:tc>
          <w:tcPr>
            <w:tcW w:w="670" w:type="dxa"/>
            <w:vAlign w:val="center"/>
          </w:tcPr>
          <w:p w14:paraId="69CA527D" w14:textId="77777777" w:rsidR="009B7AED" w:rsidRPr="0026055C" w:rsidRDefault="009B7AED" w:rsidP="0026055C">
            <w:pPr>
              <w:pStyle w:val="BodyFHWA"/>
              <w:ind w:left="0"/>
              <w:jc w:val="center"/>
              <w:rPr>
                <w:rFonts w:cs="Calibri"/>
                <w:b/>
                <w:bCs/>
              </w:rPr>
            </w:pPr>
            <w:r w:rsidRPr="0026055C">
              <w:rPr>
                <w:rFonts w:cs="Calibri"/>
                <w:b/>
                <w:bCs/>
              </w:rPr>
              <w:t>20-21</w:t>
            </w:r>
          </w:p>
        </w:tc>
        <w:tc>
          <w:tcPr>
            <w:tcW w:w="670" w:type="dxa"/>
            <w:vAlign w:val="center"/>
          </w:tcPr>
          <w:p w14:paraId="11CB707C" w14:textId="77777777" w:rsidR="009B7AED" w:rsidRPr="0026055C" w:rsidRDefault="009B7AED" w:rsidP="0026055C">
            <w:pPr>
              <w:pStyle w:val="BodyFHWA"/>
              <w:ind w:left="0"/>
              <w:jc w:val="center"/>
              <w:rPr>
                <w:rFonts w:cs="Calibri"/>
                <w:b/>
                <w:bCs/>
              </w:rPr>
            </w:pPr>
            <w:r w:rsidRPr="0026055C">
              <w:rPr>
                <w:rFonts w:cs="Calibri"/>
                <w:b/>
                <w:bCs/>
              </w:rPr>
              <w:t>22-23</w:t>
            </w:r>
          </w:p>
        </w:tc>
        <w:tc>
          <w:tcPr>
            <w:tcW w:w="670" w:type="dxa"/>
            <w:vAlign w:val="center"/>
          </w:tcPr>
          <w:p w14:paraId="44A70E2D" w14:textId="77777777" w:rsidR="009B7AED" w:rsidRPr="0026055C" w:rsidRDefault="009B7AED" w:rsidP="0026055C">
            <w:pPr>
              <w:pStyle w:val="BodyFHWA"/>
              <w:ind w:left="0"/>
              <w:jc w:val="center"/>
              <w:rPr>
                <w:rFonts w:cs="Calibri"/>
                <w:b/>
                <w:bCs/>
              </w:rPr>
            </w:pPr>
            <w:r w:rsidRPr="0026055C">
              <w:rPr>
                <w:rFonts w:cs="Calibri"/>
                <w:b/>
                <w:bCs/>
              </w:rPr>
              <w:t>24-25</w:t>
            </w:r>
          </w:p>
        </w:tc>
        <w:tc>
          <w:tcPr>
            <w:tcW w:w="670" w:type="dxa"/>
            <w:vAlign w:val="center"/>
          </w:tcPr>
          <w:p w14:paraId="57D7B8FA" w14:textId="77777777" w:rsidR="009B7AED" w:rsidRPr="0026055C" w:rsidRDefault="009B7AED" w:rsidP="0026055C">
            <w:pPr>
              <w:pStyle w:val="BodyFHWA"/>
              <w:ind w:left="0"/>
              <w:jc w:val="center"/>
              <w:rPr>
                <w:rFonts w:cs="Calibri"/>
                <w:b/>
                <w:bCs/>
              </w:rPr>
            </w:pPr>
            <w:r w:rsidRPr="0026055C">
              <w:rPr>
                <w:rFonts w:cs="Calibri"/>
                <w:b/>
                <w:bCs/>
              </w:rPr>
              <w:t>26-27</w:t>
            </w:r>
          </w:p>
        </w:tc>
        <w:tc>
          <w:tcPr>
            <w:tcW w:w="423" w:type="dxa"/>
            <w:vAlign w:val="center"/>
          </w:tcPr>
          <w:p w14:paraId="09E0267D" w14:textId="77777777" w:rsidR="009B7AED" w:rsidRPr="0026055C" w:rsidRDefault="009B7AED" w:rsidP="0026055C">
            <w:pPr>
              <w:pStyle w:val="BodyFHWA"/>
              <w:ind w:left="0"/>
              <w:jc w:val="center"/>
              <w:rPr>
                <w:rFonts w:cs="Calibri"/>
                <w:b/>
                <w:bCs/>
              </w:rPr>
            </w:pPr>
            <w:r w:rsidRPr="0026055C">
              <w:rPr>
                <w:rFonts w:cs="Calibri"/>
                <w:b/>
                <w:bCs/>
              </w:rPr>
              <w:t>28</w:t>
            </w:r>
          </w:p>
        </w:tc>
        <w:tc>
          <w:tcPr>
            <w:tcW w:w="671" w:type="dxa"/>
            <w:vAlign w:val="center"/>
          </w:tcPr>
          <w:p w14:paraId="773150D0" w14:textId="77777777" w:rsidR="009B7AED" w:rsidRPr="0026055C" w:rsidRDefault="009B7AED" w:rsidP="0026055C">
            <w:pPr>
              <w:pStyle w:val="BodyFHWA"/>
              <w:ind w:left="0"/>
              <w:jc w:val="center"/>
              <w:rPr>
                <w:rFonts w:cs="Calibri"/>
                <w:b/>
                <w:bCs/>
              </w:rPr>
            </w:pPr>
            <w:r w:rsidRPr="0026055C">
              <w:rPr>
                <w:rFonts w:cs="Calibri"/>
                <w:b/>
                <w:bCs/>
              </w:rPr>
              <w:t>29-33</w:t>
            </w:r>
          </w:p>
        </w:tc>
      </w:tr>
      <w:tr w:rsidR="0026055C" w:rsidRPr="0026055C" w14:paraId="183A5CCE" w14:textId="77777777" w:rsidTr="0026055C">
        <w:trPr>
          <w:jc w:val="center"/>
        </w:trPr>
        <w:tc>
          <w:tcPr>
            <w:tcW w:w="1120" w:type="dxa"/>
            <w:vAlign w:val="center"/>
          </w:tcPr>
          <w:p w14:paraId="36F7F906" w14:textId="77777777" w:rsidR="009B7AED" w:rsidRPr="0026055C" w:rsidRDefault="009B7AED" w:rsidP="004156EA">
            <w:pPr>
              <w:pStyle w:val="BodyFHWA"/>
              <w:ind w:left="0"/>
              <w:rPr>
                <w:rFonts w:cs="Calibri"/>
              </w:rPr>
            </w:pPr>
            <w:r w:rsidRPr="0026055C">
              <w:rPr>
                <w:rStyle w:val="Bold"/>
                <w:rFonts w:cs="Calibri"/>
              </w:rPr>
              <w:t>Content 01 Example:</w:t>
            </w:r>
          </w:p>
        </w:tc>
        <w:tc>
          <w:tcPr>
            <w:tcW w:w="288" w:type="dxa"/>
            <w:vAlign w:val="center"/>
          </w:tcPr>
          <w:p w14:paraId="621919F8" w14:textId="77777777" w:rsidR="009B7AED" w:rsidRPr="0026055C" w:rsidRDefault="009B7AED" w:rsidP="0026055C">
            <w:pPr>
              <w:pStyle w:val="BodyFHWA"/>
              <w:ind w:left="0"/>
              <w:jc w:val="center"/>
              <w:rPr>
                <w:rFonts w:cs="Calibri"/>
              </w:rPr>
            </w:pPr>
            <w:r w:rsidRPr="0026055C">
              <w:rPr>
                <w:rFonts w:eastAsiaTheme="minorEastAsia" w:cs="Calibri"/>
              </w:rPr>
              <w:t>I</w:t>
            </w:r>
          </w:p>
        </w:tc>
        <w:tc>
          <w:tcPr>
            <w:tcW w:w="486" w:type="dxa"/>
            <w:vAlign w:val="center"/>
          </w:tcPr>
          <w:p w14:paraId="7806212C" w14:textId="77777777" w:rsidR="009B7AED" w:rsidRPr="0026055C" w:rsidRDefault="009B7AED" w:rsidP="0026055C">
            <w:pPr>
              <w:pStyle w:val="BodyFHWA"/>
              <w:ind w:left="0"/>
              <w:jc w:val="center"/>
              <w:rPr>
                <w:rFonts w:cs="Calibri"/>
              </w:rPr>
            </w:pPr>
            <w:r w:rsidRPr="0026055C">
              <w:rPr>
                <w:rFonts w:eastAsiaTheme="minorEastAsia" w:cs="Calibri"/>
              </w:rPr>
              <w:t>17</w:t>
            </w:r>
          </w:p>
        </w:tc>
        <w:tc>
          <w:tcPr>
            <w:tcW w:w="837" w:type="dxa"/>
            <w:vAlign w:val="center"/>
          </w:tcPr>
          <w:p w14:paraId="1E338C46" w14:textId="77777777" w:rsidR="009B7AED" w:rsidRPr="0026055C" w:rsidRDefault="009B7AED" w:rsidP="0026055C">
            <w:pPr>
              <w:pStyle w:val="BodyFHWA"/>
              <w:ind w:left="0"/>
              <w:jc w:val="center"/>
              <w:rPr>
                <w:rFonts w:cs="Calibri"/>
              </w:rPr>
            </w:pPr>
            <w:r w:rsidRPr="0026055C">
              <w:rPr>
                <w:rFonts w:eastAsiaTheme="minorEastAsia" w:cs="Calibri"/>
              </w:rPr>
              <w:t>018116</w:t>
            </w:r>
          </w:p>
        </w:tc>
        <w:tc>
          <w:tcPr>
            <w:tcW w:w="423" w:type="dxa"/>
            <w:vAlign w:val="center"/>
          </w:tcPr>
          <w:p w14:paraId="3A991380" w14:textId="77777777" w:rsidR="009B7AED" w:rsidRPr="0026055C" w:rsidRDefault="009B7AED" w:rsidP="0026055C">
            <w:pPr>
              <w:pStyle w:val="BodyFHWA"/>
              <w:ind w:left="0"/>
              <w:jc w:val="center"/>
              <w:rPr>
                <w:rFonts w:cs="Calibri"/>
              </w:rPr>
            </w:pPr>
            <w:r w:rsidRPr="0026055C">
              <w:rPr>
                <w:rFonts w:eastAsiaTheme="minorEastAsia" w:cs="Calibri"/>
              </w:rPr>
              <w:t>5</w:t>
            </w:r>
          </w:p>
        </w:tc>
        <w:tc>
          <w:tcPr>
            <w:tcW w:w="423" w:type="dxa"/>
            <w:vAlign w:val="center"/>
          </w:tcPr>
          <w:p w14:paraId="1D8DE693" w14:textId="77777777" w:rsidR="009B7AED" w:rsidRPr="0026055C" w:rsidRDefault="009B7AED" w:rsidP="0026055C">
            <w:pPr>
              <w:pStyle w:val="BodyFHWA"/>
              <w:ind w:left="0"/>
              <w:jc w:val="center"/>
              <w:rPr>
                <w:rFonts w:cs="Calibri"/>
              </w:rPr>
            </w:pPr>
            <w:r w:rsidRPr="0026055C">
              <w:rPr>
                <w:rFonts w:eastAsiaTheme="minorEastAsia" w:cs="Calibri"/>
              </w:rPr>
              <w:t>1</w:t>
            </w:r>
          </w:p>
        </w:tc>
        <w:tc>
          <w:tcPr>
            <w:tcW w:w="669" w:type="dxa"/>
            <w:vAlign w:val="center"/>
          </w:tcPr>
          <w:p w14:paraId="67D35D68" w14:textId="77777777" w:rsidR="009B7AED" w:rsidRPr="0026055C" w:rsidRDefault="009B7AED" w:rsidP="0026055C">
            <w:pPr>
              <w:pStyle w:val="BodyFHWA"/>
              <w:ind w:left="0"/>
              <w:jc w:val="center"/>
              <w:rPr>
                <w:rFonts w:cs="Calibri"/>
              </w:rPr>
            </w:pPr>
            <w:r w:rsidRPr="0026055C">
              <w:rPr>
                <w:rFonts w:eastAsiaTheme="minorEastAsia" w:cs="Calibri"/>
              </w:rPr>
              <w:t>2022</w:t>
            </w:r>
          </w:p>
        </w:tc>
        <w:tc>
          <w:tcPr>
            <w:tcW w:w="670" w:type="dxa"/>
            <w:vAlign w:val="center"/>
          </w:tcPr>
          <w:p w14:paraId="32B34DFA" w14:textId="77777777" w:rsidR="009B7AED" w:rsidRPr="0026055C" w:rsidRDefault="009B7AED" w:rsidP="0026055C">
            <w:pPr>
              <w:pStyle w:val="BodyFHWA"/>
              <w:ind w:left="0"/>
              <w:jc w:val="center"/>
              <w:rPr>
                <w:rFonts w:cs="Calibri"/>
              </w:rPr>
            </w:pPr>
            <w:r w:rsidRPr="0026055C">
              <w:rPr>
                <w:rFonts w:eastAsiaTheme="minorEastAsia" w:cs="Calibri"/>
              </w:rPr>
              <w:t>11</w:t>
            </w:r>
          </w:p>
        </w:tc>
        <w:tc>
          <w:tcPr>
            <w:tcW w:w="670" w:type="dxa"/>
            <w:vAlign w:val="center"/>
          </w:tcPr>
          <w:p w14:paraId="23C33894" w14:textId="77777777" w:rsidR="009B7AED" w:rsidRPr="0026055C" w:rsidRDefault="009B7AED" w:rsidP="0026055C">
            <w:pPr>
              <w:pStyle w:val="BodyFHWA"/>
              <w:ind w:left="0"/>
              <w:jc w:val="center"/>
              <w:rPr>
                <w:rFonts w:cs="Calibri"/>
              </w:rPr>
            </w:pPr>
            <w:r w:rsidRPr="0026055C">
              <w:rPr>
                <w:rFonts w:eastAsiaTheme="minorEastAsia" w:cs="Calibri"/>
              </w:rPr>
              <w:t>07</w:t>
            </w:r>
          </w:p>
        </w:tc>
        <w:tc>
          <w:tcPr>
            <w:tcW w:w="670" w:type="dxa"/>
            <w:vAlign w:val="center"/>
          </w:tcPr>
          <w:p w14:paraId="135E478E" w14:textId="77777777" w:rsidR="009B7AED" w:rsidRPr="0026055C" w:rsidRDefault="009B7AED" w:rsidP="0026055C">
            <w:pPr>
              <w:pStyle w:val="BodyFHWA"/>
              <w:ind w:left="0"/>
              <w:jc w:val="center"/>
              <w:rPr>
                <w:rFonts w:cs="Calibri"/>
              </w:rPr>
            </w:pPr>
            <w:r w:rsidRPr="0026055C">
              <w:rPr>
                <w:rFonts w:eastAsiaTheme="minorEastAsia" w:cs="Calibri"/>
              </w:rPr>
              <w:t>13</w:t>
            </w:r>
          </w:p>
        </w:tc>
        <w:tc>
          <w:tcPr>
            <w:tcW w:w="670" w:type="dxa"/>
            <w:vAlign w:val="center"/>
          </w:tcPr>
          <w:p w14:paraId="22EBD87F"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28</w:t>
            </w:r>
          </w:p>
        </w:tc>
        <w:tc>
          <w:tcPr>
            <w:tcW w:w="670" w:type="dxa"/>
            <w:vAlign w:val="center"/>
          </w:tcPr>
          <w:p w14:paraId="4CDD45AB"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46</w:t>
            </w:r>
          </w:p>
        </w:tc>
        <w:tc>
          <w:tcPr>
            <w:tcW w:w="670" w:type="dxa"/>
            <w:vAlign w:val="center"/>
          </w:tcPr>
          <w:p w14:paraId="5FC6A08A"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87</w:t>
            </w:r>
          </w:p>
        </w:tc>
        <w:tc>
          <w:tcPr>
            <w:tcW w:w="423" w:type="dxa"/>
            <w:vAlign w:val="center"/>
          </w:tcPr>
          <w:p w14:paraId="6209ABCB" w14:textId="77777777" w:rsidR="009B7AED" w:rsidRPr="0026055C" w:rsidRDefault="009B7AED" w:rsidP="0026055C">
            <w:pPr>
              <w:pStyle w:val="BodyFHWA"/>
              <w:ind w:left="0"/>
              <w:jc w:val="center"/>
              <w:rPr>
                <w:rFonts w:cs="Calibri"/>
              </w:rPr>
            </w:pPr>
            <w:r w:rsidRPr="0026055C">
              <w:rPr>
                <w:rFonts w:eastAsiaTheme="minorEastAsia" w:cs="Calibri"/>
              </w:rPr>
              <w:t>V</w:t>
            </w:r>
          </w:p>
        </w:tc>
        <w:tc>
          <w:tcPr>
            <w:tcW w:w="671" w:type="dxa"/>
            <w:vAlign w:val="center"/>
          </w:tcPr>
          <w:p w14:paraId="28106689" w14:textId="77777777" w:rsidR="009B7AED" w:rsidRPr="0026055C" w:rsidRDefault="009B7AED" w:rsidP="0026055C">
            <w:pPr>
              <w:pStyle w:val="BodyFHWA"/>
              <w:ind w:left="0"/>
              <w:jc w:val="center"/>
              <w:rPr>
                <w:rFonts w:cs="Calibri"/>
              </w:rPr>
            </w:pPr>
            <w:r w:rsidRPr="0026055C">
              <w:rPr>
                <w:rFonts w:eastAsiaTheme="minorEastAsia" w:cs="Calibri"/>
              </w:rPr>
              <w:t>Blank</w:t>
            </w:r>
          </w:p>
        </w:tc>
      </w:tr>
      <w:tr w:rsidR="0026055C" w:rsidRPr="0026055C" w14:paraId="46A3AE8B" w14:textId="77777777" w:rsidTr="0026055C">
        <w:trPr>
          <w:jc w:val="center"/>
        </w:trPr>
        <w:tc>
          <w:tcPr>
            <w:tcW w:w="1120" w:type="dxa"/>
            <w:vAlign w:val="center"/>
          </w:tcPr>
          <w:p w14:paraId="120705CF" w14:textId="77777777" w:rsidR="009B7AED" w:rsidRPr="0026055C" w:rsidRDefault="009B7AED" w:rsidP="004156EA">
            <w:pPr>
              <w:pStyle w:val="BodyFHWA"/>
              <w:ind w:left="0"/>
              <w:rPr>
                <w:rFonts w:cs="Calibri"/>
              </w:rPr>
            </w:pPr>
            <w:r w:rsidRPr="0026055C">
              <w:rPr>
                <w:rStyle w:val="Bold"/>
                <w:rFonts w:cs="Calibri"/>
              </w:rPr>
              <w:t>Content 02 Example:</w:t>
            </w:r>
          </w:p>
        </w:tc>
        <w:tc>
          <w:tcPr>
            <w:tcW w:w="288" w:type="dxa"/>
            <w:vAlign w:val="center"/>
          </w:tcPr>
          <w:p w14:paraId="327687CE" w14:textId="77777777" w:rsidR="009B7AED" w:rsidRPr="0026055C" w:rsidRDefault="009B7AED" w:rsidP="0026055C">
            <w:pPr>
              <w:pStyle w:val="BodyFHWA"/>
              <w:ind w:left="0"/>
              <w:jc w:val="center"/>
              <w:rPr>
                <w:rFonts w:cs="Calibri"/>
              </w:rPr>
            </w:pPr>
            <w:r w:rsidRPr="0026055C">
              <w:rPr>
                <w:rFonts w:eastAsiaTheme="minorEastAsia" w:cs="Calibri"/>
              </w:rPr>
              <w:t>I</w:t>
            </w:r>
          </w:p>
        </w:tc>
        <w:tc>
          <w:tcPr>
            <w:tcW w:w="486" w:type="dxa"/>
            <w:vAlign w:val="center"/>
          </w:tcPr>
          <w:p w14:paraId="0844A6C2" w14:textId="77777777" w:rsidR="009B7AED" w:rsidRPr="0026055C" w:rsidRDefault="009B7AED" w:rsidP="0026055C">
            <w:pPr>
              <w:pStyle w:val="BodyFHWA"/>
              <w:ind w:left="0"/>
              <w:jc w:val="center"/>
              <w:rPr>
                <w:rFonts w:cs="Calibri"/>
              </w:rPr>
            </w:pPr>
            <w:r w:rsidRPr="0026055C">
              <w:rPr>
                <w:rFonts w:eastAsiaTheme="minorEastAsia" w:cs="Calibri"/>
              </w:rPr>
              <w:t>17</w:t>
            </w:r>
          </w:p>
        </w:tc>
        <w:tc>
          <w:tcPr>
            <w:tcW w:w="837" w:type="dxa"/>
            <w:vAlign w:val="center"/>
          </w:tcPr>
          <w:p w14:paraId="4CBE0770" w14:textId="77777777" w:rsidR="009B7AED" w:rsidRPr="0026055C" w:rsidRDefault="009B7AED" w:rsidP="0026055C">
            <w:pPr>
              <w:pStyle w:val="BodyFHWA"/>
              <w:ind w:left="0"/>
              <w:jc w:val="center"/>
              <w:rPr>
                <w:rFonts w:cs="Calibri"/>
              </w:rPr>
            </w:pPr>
            <w:r w:rsidRPr="0026055C">
              <w:rPr>
                <w:rFonts w:eastAsiaTheme="minorEastAsia" w:cs="Calibri"/>
              </w:rPr>
              <w:t>018116</w:t>
            </w:r>
          </w:p>
        </w:tc>
        <w:tc>
          <w:tcPr>
            <w:tcW w:w="423" w:type="dxa"/>
            <w:vAlign w:val="center"/>
          </w:tcPr>
          <w:p w14:paraId="31303EE9" w14:textId="77777777" w:rsidR="009B7AED" w:rsidRPr="0026055C" w:rsidRDefault="009B7AED" w:rsidP="0026055C">
            <w:pPr>
              <w:pStyle w:val="BodyFHWA"/>
              <w:ind w:left="0"/>
              <w:jc w:val="center"/>
              <w:rPr>
                <w:rFonts w:cs="Calibri"/>
              </w:rPr>
            </w:pPr>
            <w:r w:rsidRPr="0026055C">
              <w:rPr>
                <w:rFonts w:eastAsiaTheme="minorEastAsia" w:cs="Calibri"/>
              </w:rPr>
              <w:t>5</w:t>
            </w:r>
          </w:p>
        </w:tc>
        <w:tc>
          <w:tcPr>
            <w:tcW w:w="423" w:type="dxa"/>
            <w:vAlign w:val="center"/>
          </w:tcPr>
          <w:p w14:paraId="22EA47B7" w14:textId="77777777" w:rsidR="009B7AED" w:rsidRPr="0026055C" w:rsidRDefault="009B7AED" w:rsidP="0026055C">
            <w:pPr>
              <w:pStyle w:val="BodyFHWA"/>
              <w:ind w:left="0"/>
              <w:jc w:val="center"/>
              <w:rPr>
                <w:rFonts w:cs="Calibri"/>
              </w:rPr>
            </w:pPr>
            <w:r w:rsidRPr="0026055C">
              <w:rPr>
                <w:rFonts w:eastAsiaTheme="minorEastAsia" w:cs="Calibri"/>
              </w:rPr>
              <w:t>1</w:t>
            </w:r>
          </w:p>
        </w:tc>
        <w:tc>
          <w:tcPr>
            <w:tcW w:w="669" w:type="dxa"/>
            <w:vAlign w:val="center"/>
          </w:tcPr>
          <w:p w14:paraId="10CDED82" w14:textId="77777777" w:rsidR="009B7AED" w:rsidRPr="0026055C" w:rsidRDefault="009B7AED" w:rsidP="0026055C">
            <w:pPr>
              <w:pStyle w:val="BodyFHWA"/>
              <w:ind w:left="0"/>
              <w:jc w:val="center"/>
              <w:rPr>
                <w:rFonts w:cs="Calibri"/>
              </w:rPr>
            </w:pPr>
            <w:r w:rsidRPr="0026055C">
              <w:rPr>
                <w:rFonts w:eastAsiaTheme="minorEastAsia" w:cs="Calibri"/>
              </w:rPr>
              <w:t>2022</w:t>
            </w:r>
          </w:p>
        </w:tc>
        <w:tc>
          <w:tcPr>
            <w:tcW w:w="670" w:type="dxa"/>
            <w:vAlign w:val="center"/>
          </w:tcPr>
          <w:p w14:paraId="471D4647" w14:textId="77777777" w:rsidR="009B7AED" w:rsidRPr="0026055C" w:rsidRDefault="009B7AED" w:rsidP="0026055C">
            <w:pPr>
              <w:pStyle w:val="BodyFHWA"/>
              <w:ind w:left="0"/>
              <w:jc w:val="center"/>
              <w:rPr>
                <w:rFonts w:cs="Calibri"/>
              </w:rPr>
            </w:pPr>
            <w:r w:rsidRPr="0026055C">
              <w:rPr>
                <w:rFonts w:eastAsiaTheme="minorEastAsia" w:cs="Calibri"/>
              </w:rPr>
              <w:t>11</w:t>
            </w:r>
          </w:p>
        </w:tc>
        <w:tc>
          <w:tcPr>
            <w:tcW w:w="670" w:type="dxa"/>
            <w:vAlign w:val="center"/>
          </w:tcPr>
          <w:p w14:paraId="491DF885" w14:textId="77777777" w:rsidR="009B7AED" w:rsidRPr="0026055C" w:rsidRDefault="009B7AED" w:rsidP="0026055C">
            <w:pPr>
              <w:pStyle w:val="BodyFHWA"/>
              <w:ind w:left="0"/>
              <w:jc w:val="center"/>
              <w:rPr>
                <w:rFonts w:cs="Calibri"/>
              </w:rPr>
            </w:pPr>
            <w:r w:rsidRPr="0026055C">
              <w:rPr>
                <w:rFonts w:eastAsiaTheme="minorEastAsia" w:cs="Calibri"/>
              </w:rPr>
              <w:t>07</w:t>
            </w:r>
          </w:p>
        </w:tc>
        <w:tc>
          <w:tcPr>
            <w:tcW w:w="670" w:type="dxa"/>
            <w:vAlign w:val="center"/>
          </w:tcPr>
          <w:p w14:paraId="1DD3E148" w14:textId="77777777" w:rsidR="009B7AED" w:rsidRPr="0026055C" w:rsidRDefault="009B7AED" w:rsidP="0026055C">
            <w:pPr>
              <w:pStyle w:val="BodyFHWA"/>
              <w:ind w:left="0"/>
              <w:jc w:val="center"/>
              <w:rPr>
                <w:rFonts w:cs="Calibri"/>
              </w:rPr>
            </w:pPr>
            <w:r w:rsidRPr="0026055C">
              <w:rPr>
                <w:rFonts w:eastAsiaTheme="minorEastAsia" w:cs="Calibri"/>
              </w:rPr>
              <w:t>13</w:t>
            </w:r>
          </w:p>
        </w:tc>
        <w:tc>
          <w:tcPr>
            <w:tcW w:w="670" w:type="dxa"/>
            <w:vAlign w:val="center"/>
          </w:tcPr>
          <w:p w14:paraId="64764E43"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34</w:t>
            </w:r>
          </w:p>
        </w:tc>
        <w:tc>
          <w:tcPr>
            <w:tcW w:w="670" w:type="dxa"/>
            <w:vAlign w:val="center"/>
          </w:tcPr>
          <w:p w14:paraId="29A548A4"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50</w:t>
            </w:r>
          </w:p>
        </w:tc>
        <w:tc>
          <w:tcPr>
            <w:tcW w:w="670" w:type="dxa"/>
            <w:vAlign w:val="center"/>
          </w:tcPr>
          <w:p w14:paraId="44E08F6C"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54</w:t>
            </w:r>
          </w:p>
        </w:tc>
        <w:tc>
          <w:tcPr>
            <w:tcW w:w="423" w:type="dxa"/>
            <w:vAlign w:val="center"/>
          </w:tcPr>
          <w:p w14:paraId="75EB05E3" w14:textId="77777777" w:rsidR="009B7AED" w:rsidRPr="0026055C" w:rsidRDefault="009B7AED" w:rsidP="0026055C">
            <w:pPr>
              <w:pStyle w:val="BodyFHWA"/>
              <w:ind w:left="0"/>
              <w:jc w:val="center"/>
              <w:rPr>
                <w:rFonts w:cs="Calibri"/>
              </w:rPr>
            </w:pPr>
            <w:r w:rsidRPr="0026055C">
              <w:rPr>
                <w:rFonts w:eastAsiaTheme="minorEastAsia" w:cs="Calibri"/>
              </w:rPr>
              <w:t>V</w:t>
            </w:r>
          </w:p>
        </w:tc>
        <w:tc>
          <w:tcPr>
            <w:tcW w:w="671" w:type="dxa"/>
            <w:vAlign w:val="center"/>
          </w:tcPr>
          <w:p w14:paraId="544DC5A2" w14:textId="77777777" w:rsidR="009B7AED" w:rsidRPr="0026055C" w:rsidRDefault="009B7AED" w:rsidP="0026055C">
            <w:pPr>
              <w:pStyle w:val="BodyFHWA"/>
              <w:ind w:left="0"/>
              <w:jc w:val="center"/>
              <w:rPr>
                <w:rFonts w:cs="Calibri"/>
              </w:rPr>
            </w:pPr>
            <w:r w:rsidRPr="0026055C">
              <w:rPr>
                <w:rFonts w:eastAsiaTheme="minorEastAsia" w:cs="Calibri"/>
              </w:rPr>
              <w:t>Blank</w:t>
            </w:r>
          </w:p>
        </w:tc>
      </w:tr>
      <w:tr w:rsidR="0026055C" w:rsidRPr="0026055C" w14:paraId="03B46221" w14:textId="77777777" w:rsidTr="0026055C">
        <w:trPr>
          <w:jc w:val="center"/>
        </w:trPr>
        <w:tc>
          <w:tcPr>
            <w:tcW w:w="1120" w:type="dxa"/>
            <w:vAlign w:val="center"/>
          </w:tcPr>
          <w:p w14:paraId="106BEA68" w14:textId="77777777" w:rsidR="009B7AED" w:rsidRPr="0026055C" w:rsidRDefault="009B7AED" w:rsidP="004156EA">
            <w:pPr>
              <w:pStyle w:val="BodyFHWA"/>
              <w:ind w:left="0"/>
              <w:rPr>
                <w:rFonts w:cs="Calibri"/>
              </w:rPr>
            </w:pPr>
            <w:r w:rsidRPr="0026055C">
              <w:rPr>
                <w:rStyle w:val="Bold"/>
                <w:rFonts w:cs="Calibri"/>
              </w:rPr>
              <w:t>Content 03 Example:</w:t>
            </w:r>
          </w:p>
        </w:tc>
        <w:tc>
          <w:tcPr>
            <w:tcW w:w="288" w:type="dxa"/>
            <w:vAlign w:val="center"/>
          </w:tcPr>
          <w:p w14:paraId="170C5E71" w14:textId="77777777" w:rsidR="009B7AED" w:rsidRPr="0026055C" w:rsidRDefault="009B7AED" w:rsidP="0026055C">
            <w:pPr>
              <w:pStyle w:val="BodyFHWA"/>
              <w:ind w:left="0"/>
              <w:jc w:val="center"/>
              <w:rPr>
                <w:rFonts w:cs="Calibri"/>
              </w:rPr>
            </w:pPr>
            <w:r w:rsidRPr="0026055C">
              <w:rPr>
                <w:rFonts w:eastAsiaTheme="minorEastAsia" w:cs="Calibri"/>
              </w:rPr>
              <w:t>I</w:t>
            </w:r>
          </w:p>
        </w:tc>
        <w:tc>
          <w:tcPr>
            <w:tcW w:w="486" w:type="dxa"/>
            <w:vAlign w:val="center"/>
          </w:tcPr>
          <w:p w14:paraId="508FD38A" w14:textId="77777777" w:rsidR="009B7AED" w:rsidRPr="0026055C" w:rsidRDefault="009B7AED" w:rsidP="0026055C">
            <w:pPr>
              <w:pStyle w:val="BodyFHWA"/>
              <w:ind w:left="0"/>
              <w:jc w:val="center"/>
              <w:rPr>
                <w:rFonts w:cs="Calibri"/>
              </w:rPr>
            </w:pPr>
            <w:r w:rsidRPr="0026055C">
              <w:rPr>
                <w:rFonts w:eastAsiaTheme="minorEastAsia" w:cs="Calibri"/>
              </w:rPr>
              <w:t>17</w:t>
            </w:r>
          </w:p>
        </w:tc>
        <w:tc>
          <w:tcPr>
            <w:tcW w:w="837" w:type="dxa"/>
            <w:vAlign w:val="center"/>
          </w:tcPr>
          <w:p w14:paraId="38B341B4" w14:textId="77777777" w:rsidR="009B7AED" w:rsidRPr="0026055C" w:rsidRDefault="009B7AED" w:rsidP="0026055C">
            <w:pPr>
              <w:pStyle w:val="BodyFHWA"/>
              <w:ind w:left="0"/>
              <w:jc w:val="center"/>
              <w:rPr>
                <w:rFonts w:cs="Calibri"/>
              </w:rPr>
            </w:pPr>
            <w:r w:rsidRPr="0026055C">
              <w:rPr>
                <w:rFonts w:eastAsiaTheme="minorEastAsia" w:cs="Calibri"/>
              </w:rPr>
              <w:t>018116</w:t>
            </w:r>
          </w:p>
        </w:tc>
        <w:tc>
          <w:tcPr>
            <w:tcW w:w="423" w:type="dxa"/>
            <w:vAlign w:val="center"/>
          </w:tcPr>
          <w:p w14:paraId="4FEC77CC" w14:textId="77777777" w:rsidR="009B7AED" w:rsidRPr="0026055C" w:rsidRDefault="009B7AED" w:rsidP="0026055C">
            <w:pPr>
              <w:pStyle w:val="BodyFHWA"/>
              <w:ind w:left="0"/>
              <w:jc w:val="center"/>
              <w:rPr>
                <w:rFonts w:cs="Calibri"/>
              </w:rPr>
            </w:pPr>
            <w:r w:rsidRPr="0026055C">
              <w:rPr>
                <w:rFonts w:eastAsiaTheme="minorEastAsia" w:cs="Calibri"/>
              </w:rPr>
              <w:t>5</w:t>
            </w:r>
          </w:p>
        </w:tc>
        <w:tc>
          <w:tcPr>
            <w:tcW w:w="423" w:type="dxa"/>
            <w:vAlign w:val="center"/>
          </w:tcPr>
          <w:p w14:paraId="3DBCAC0B" w14:textId="77777777" w:rsidR="009B7AED" w:rsidRPr="0026055C" w:rsidRDefault="009B7AED" w:rsidP="0026055C">
            <w:pPr>
              <w:pStyle w:val="BodyFHWA"/>
              <w:ind w:left="0"/>
              <w:jc w:val="center"/>
              <w:rPr>
                <w:rFonts w:cs="Calibri"/>
              </w:rPr>
            </w:pPr>
            <w:r w:rsidRPr="0026055C">
              <w:rPr>
                <w:rFonts w:eastAsiaTheme="minorEastAsia" w:cs="Calibri"/>
              </w:rPr>
              <w:t>1</w:t>
            </w:r>
          </w:p>
        </w:tc>
        <w:tc>
          <w:tcPr>
            <w:tcW w:w="669" w:type="dxa"/>
            <w:vAlign w:val="center"/>
          </w:tcPr>
          <w:p w14:paraId="0A210129" w14:textId="77777777" w:rsidR="009B7AED" w:rsidRPr="0026055C" w:rsidRDefault="009B7AED" w:rsidP="0026055C">
            <w:pPr>
              <w:pStyle w:val="BodyFHWA"/>
              <w:ind w:left="0"/>
              <w:jc w:val="center"/>
              <w:rPr>
                <w:rFonts w:cs="Calibri"/>
              </w:rPr>
            </w:pPr>
            <w:r w:rsidRPr="0026055C">
              <w:rPr>
                <w:rFonts w:eastAsiaTheme="minorEastAsia" w:cs="Calibri"/>
              </w:rPr>
              <w:t>2022</w:t>
            </w:r>
          </w:p>
        </w:tc>
        <w:tc>
          <w:tcPr>
            <w:tcW w:w="670" w:type="dxa"/>
            <w:vAlign w:val="center"/>
          </w:tcPr>
          <w:p w14:paraId="2F36293C" w14:textId="77777777" w:rsidR="009B7AED" w:rsidRPr="0026055C" w:rsidRDefault="009B7AED" w:rsidP="0026055C">
            <w:pPr>
              <w:pStyle w:val="BodyFHWA"/>
              <w:ind w:left="0"/>
              <w:jc w:val="center"/>
              <w:rPr>
                <w:rFonts w:cs="Calibri"/>
              </w:rPr>
            </w:pPr>
            <w:r w:rsidRPr="0026055C">
              <w:rPr>
                <w:rFonts w:eastAsiaTheme="minorEastAsia" w:cs="Calibri"/>
              </w:rPr>
              <w:t>11</w:t>
            </w:r>
          </w:p>
        </w:tc>
        <w:tc>
          <w:tcPr>
            <w:tcW w:w="670" w:type="dxa"/>
            <w:vAlign w:val="center"/>
          </w:tcPr>
          <w:p w14:paraId="4BD8A422" w14:textId="77777777" w:rsidR="009B7AED" w:rsidRPr="0026055C" w:rsidRDefault="009B7AED" w:rsidP="0026055C">
            <w:pPr>
              <w:pStyle w:val="BodyFHWA"/>
              <w:ind w:left="0"/>
              <w:jc w:val="center"/>
              <w:rPr>
                <w:rFonts w:cs="Calibri"/>
              </w:rPr>
            </w:pPr>
            <w:r w:rsidRPr="0026055C">
              <w:rPr>
                <w:rFonts w:eastAsiaTheme="minorEastAsia" w:cs="Calibri"/>
              </w:rPr>
              <w:t>07</w:t>
            </w:r>
          </w:p>
        </w:tc>
        <w:tc>
          <w:tcPr>
            <w:tcW w:w="670" w:type="dxa"/>
            <w:vAlign w:val="center"/>
          </w:tcPr>
          <w:p w14:paraId="511D952D" w14:textId="77777777" w:rsidR="009B7AED" w:rsidRPr="0026055C" w:rsidRDefault="009B7AED" w:rsidP="0026055C">
            <w:pPr>
              <w:pStyle w:val="BodyFHWA"/>
              <w:ind w:left="0"/>
              <w:jc w:val="center"/>
              <w:rPr>
                <w:rFonts w:cs="Calibri"/>
              </w:rPr>
            </w:pPr>
            <w:r w:rsidRPr="0026055C">
              <w:rPr>
                <w:rFonts w:eastAsiaTheme="minorEastAsia" w:cs="Calibri"/>
              </w:rPr>
              <w:t>13</w:t>
            </w:r>
          </w:p>
        </w:tc>
        <w:tc>
          <w:tcPr>
            <w:tcW w:w="670" w:type="dxa"/>
            <w:vAlign w:val="center"/>
          </w:tcPr>
          <w:p w14:paraId="76F0BD9B"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38</w:t>
            </w:r>
          </w:p>
        </w:tc>
        <w:tc>
          <w:tcPr>
            <w:tcW w:w="670" w:type="dxa"/>
            <w:vAlign w:val="center"/>
          </w:tcPr>
          <w:p w14:paraId="0CA6D07C"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31</w:t>
            </w:r>
          </w:p>
        </w:tc>
        <w:tc>
          <w:tcPr>
            <w:tcW w:w="670" w:type="dxa"/>
            <w:vAlign w:val="center"/>
          </w:tcPr>
          <w:p w14:paraId="7698CB2F"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89</w:t>
            </w:r>
          </w:p>
        </w:tc>
        <w:tc>
          <w:tcPr>
            <w:tcW w:w="423" w:type="dxa"/>
            <w:vAlign w:val="center"/>
          </w:tcPr>
          <w:p w14:paraId="5EB7B55F" w14:textId="77777777" w:rsidR="009B7AED" w:rsidRPr="0026055C" w:rsidRDefault="009B7AED" w:rsidP="0026055C">
            <w:pPr>
              <w:pStyle w:val="BodyFHWA"/>
              <w:ind w:left="0"/>
              <w:jc w:val="center"/>
              <w:rPr>
                <w:rFonts w:cs="Calibri"/>
              </w:rPr>
            </w:pPr>
            <w:r w:rsidRPr="0026055C">
              <w:rPr>
                <w:rFonts w:eastAsiaTheme="minorEastAsia" w:cs="Calibri"/>
              </w:rPr>
              <w:t>V</w:t>
            </w:r>
          </w:p>
        </w:tc>
        <w:tc>
          <w:tcPr>
            <w:tcW w:w="671" w:type="dxa"/>
            <w:vAlign w:val="center"/>
          </w:tcPr>
          <w:p w14:paraId="48B5DB8C" w14:textId="77777777" w:rsidR="009B7AED" w:rsidRPr="0026055C" w:rsidRDefault="009B7AED" w:rsidP="0026055C">
            <w:pPr>
              <w:pStyle w:val="BodyFHWA"/>
              <w:ind w:left="0"/>
              <w:jc w:val="center"/>
              <w:rPr>
                <w:rFonts w:cs="Calibri"/>
              </w:rPr>
            </w:pPr>
            <w:r w:rsidRPr="0026055C">
              <w:rPr>
                <w:rFonts w:eastAsiaTheme="minorEastAsia" w:cs="Calibri"/>
              </w:rPr>
              <w:t>Blank</w:t>
            </w:r>
          </w:p>
        </w:tc>
      </w:tr>
    </w:tbl>
    <w:p w14:paraId="21DD71D7" w14:textId="068CA888" w:rsidR="009B7AED" w:rsidRDefault="009B7AED" w:rsidP="003D18A1">
      <w:pPr>
        <w:pStyle w:val="CallOut"/>
        <w:spacing w:before="360"/>
      </w:pPr>
      <w:r w:rsidRPr="00480504">
        <w:t>All units are given in English units</w:t>
      </w:r>
      <w:r>
        <w:t xml:space="preserve"> with vehicle length in tenths of feet, inter-axle spacing in tenths of feet, axle weights in </w:t>
      </w:r>
      <w:r w:rsidRPr="00480504">
        <w:t>pounds</w:t>
      </w:r>
      <w:r>
        <w:t>,</w:t>
      </w:r>
      <w:r w:rsidRPr="00480504">
        <w:t xml:space="preserve"> </w:t>
      </w:r>
      <w:r>
        <w:t xml:space="preserve">tenths of </w:t>
      </w:r>
      <w:r w:rsidRPr="00480504">
        <w:t>miles per hour for speed, and degrees Fahrenheit for temperature.</w:t>
      </w:r>
      <w:r w:rsidR="004D4172">
        <w:t xml:space="preserve"> </w:t>
      </w:r>
      <w:r w:rsidRPr="00480504">
        <w:t>All unused entries are to be blank filled</w:t>
      </w:r>
      <w:r>
        <w:t>.</w:t>
      </w:r>
    </w:p>
    <w:p w14:paraId="70BD717B" w14:textId="75E55C15" w:rsidR="00B71607" w:rsidRDefault="009B7AED" w:rsidP="00A35EAF">
      <w:pPr>
        <w:pStyle w:val="BodyText"/>
      </w:pPr>
      <w:r>
        <w:t xml:space="preserve">State highway agencies can submit the IVR (V variant) data using the pipe-delimited format. The key difference between the fixed-width format and the pipe-delimited format is that with the pipe-delimited file, data elements no longer need to match the starting and ending columns. Length of data elements can be equal or shorter than the specified lengths. </w:t>
      </w:r>
      <w:r>
        <w:rPr>
          <w:rStyle w:val="Italic"/>
          <w:i w:val="0"/>
        </w:rPr>
        <w:t xml:space="preserve">The field order for the pipe-delimited format is identical to the order for the fixed-width format (see </w:t>
      </w:r>
      <w:r>
        <w:rPr>
          <w:rStyle w:val="Italic"/>
          <w:i w:val="0"/>
        </w:rPr>
        <w:fldChar w:fldCharType="begin"/>
      </w:r>
      <w:r>
        <w:rPr>
          <w:rStyle w:val="Italic"/>
          <w:i w:val="0"/>
        </w:rPr>
        <w:instrText xml:space="preserve"> REF _Ref113275319 </w:instrText>
      </w:r>
      <w:r>
        <w:rPr>
          <w:rStyle w:val="Italic"/>
          <w:i w:val="0"/>
        </w:rPr>
        <w:fldChar w:fldCharType="separate"/>
      </w:r>
      <w:r w:rsidR="00C07DF9">
        <w:t xml:space="preserve">Table </w:t>
      </w:r>
      <w:r w:rsidR="00C07DF9">
        <w:rPr>
          <w:noProof/>
        </w:rPr>
        <w:t>4</w:t>
      </w:r>
      <w:r w:rsidR="00C07DF9">
        <w:noBreakHyphen/>
      </w:r>
      <w:r w:rsidR="00C07DF9">
        <w:rPr>
          <w:noProof/>
        </w:rPr>
        <w:t>23</w:t>
      </w:r>
      <w:r>
        <w:rPr>
          <w:rStyle w:val="Italic"/>
          <w:i w:val="0"/>
        </w:rPr>
        <w:fldChar w:fldCharType="end"/>
      </w:r>
      <w:r>
        <w:rPr>
          <w:rStyle w:val="Italic"/>
          <w:i w:val="0"/>
        </w:rPr>
        <w:t xml:space="preserve">). In this format, the fields are separated by a </w:t>
      </w:r>
      <w:r>
        <w:t>pipe symbol (|) instead of beginning in specified columns. Example records in this format are provided below.</w:t>
      </w:r>
      <w:bookmarkStart w:id="3157" w:name="_Toc335642253"/>
    </w:p>
    <w:p w14:paraId="37A67650" w14:textId="77777777" w:rsidR="00B71607" w:rsidRDefault="00B71607">
      <w:pPr>
        <w:widowControl/>
        <w:suppressAutoHyphens w:val="0"/>
        <w:autoSpaceDE/>
        <w:autoSpaceDN/>
        <w:adjustRightInd/>
        <w:spacing w:after="160" w:line="259" w:lineRule="auto"/>
        <w:jc w:val="left"/>
        <w:textAlignment w:val="auto"/>
        <w:rPr>
          <w:color w:val="auto"/>
        </w:rPr>
      </w:pPr>
      <w:r>
        <w:br w:type="page"/>
      </w:r>
    </w:p>
    <w:p w14:paraId="2EB768B5" w14:textId="77777777" w:rsidR="009B7AED" w:rsidRPr="003D18A1" w:rsidRDefault="009B7AED" w:rsidP="00B71607">
      <w:pPr>
        <w:jc w:val="left"/>
        <w:rPr>
          <w:rFonts w:ascii="Cambria" w:hAnsi="Cambria"/>
          <w:b/>
          <w:sz w:val="26"/>
          <w:szCs w:val="26"/>
        </w:rPr>
      </w:pPr>
      <w:bookmarkStart w:id="3158" w:name="_Hlk113283029"/>
      <w:r w:rsidRPr="003D18A1">
        <w:rPr>
          <w:rFonts w:ascii="Cambria" w:hAnsi="Cambria"/>
          <w:b/>
          <w:sz w:val="26"/>
          <w:szCs w:val="26"/>
        </w:rPr>
        <w:lastRenderedPageBreak/>
        <w:t>Delimited Format Examples</w:t>
      </w:r>
    </w:p>
    <w:p w14:paraId="4D38A652" w14:textId="77777777" w:rsidR="009B7AED" w:rsidRPr="003D18A1" w:rsidRDefault="009B7AED" w:rsidP="00FD24CC">
      <w:pPr>
        <w:spacing w:before="240" w:after="120"/>
        <w:rPr>
          <w:rFonts w:ascii="Cambria" w:hAnsi="Cambria"/>
          <w:b/>
          <w:sz w:val="22"/>
          <w:szCs w:val="22"/>
        </w:rPr>
      </w:pPr>
      <w:r w:rsidRPr="003D18A1">
        <w:rPr>
          <w:rFonts w:ascii="Cambria" w:hAnsi="Cambria"/>
          <w:b/>
          <w:sz w:val="22"/>
          <w:szCs w:val="22"/>
        </w:rPr>
        <w:t>Volume Format – Detailed</w:t>
      </w:r>
    </w:p>
    <w:p w14:paraId="115164F8" w14:textId="77777777" w:rsidR="009B7AED" w:rsidRPr="008560EA" w:rsidRDefault="009B7AED" w:rsidP="009B7AED">
      <w:r w:rsidRPr="008560EA">
        <w:t>R</w:t>
      </w:r>
      <w:r>
        <w:t>T</w:t>
      </w:r>
      <w:r w:rsidRPr="008560EA">
        <w:t>|SFIPS|ID|D</w:t>
      </w:r>
      <w:r>
        <w:t>IR</w:t>
      </w:r>
      <w:r w:rsidRPr="008560EA">
        <w:t>|L</w:t>
      </w:r>
      <w:r>
        <w:t>N</w:t>
      </w:r>
      <w:r w:rsidRPr="008560EA">
        <w:t>|YR|MOY|DOM|HOD|MOH|SOM|SSOS|V|VS|</w:t>
      </w:r>
    </w:p>
    <w:p w14:paraId="7A9B3503" w14:textId="77777777" w:rsidR="009B7AED" w:rsidRPr="003D18A1" w:rsidRDefault="009B7AED" w:rsidP="00FD24CC">
      <w:pPr>
        <w:spacing w:before="240" w:after="120"/>
        <w:rPr>
          <w:rFonts w:ascii="Cambria" w:hAnsi="Cambria"/>
          <w:b/>
          <w:sz w:val="22"/>
          <w:szCs w:val="22"/>
        </w:rPr>
      </w:pPr>
      <w:r w:rsidRPr="003D18A1">
        <w:rPr>
          <w:rFonts w:ascii="Cambria" w:hAnsi="Cambria"/>
          <w:b/>
          <w:sz w:val="22"/>
          <w:szCs w:val="22"/>
        </w:rPr>
        <w:t>8-Lane Roadway with 12 Individual Vehicles Recorded (No Vehicle Signatures Reported)</w:t>
      </w:r>
    </w:p>
    <w:p w14:paraId="2F4DB9C3" w14:textId="77777777" w:rsidR="009B7AED" w:rsidRPr="008560EA" w:rsidRDefault="009B7AED" w:rsidP="009B7AED">
      <w:bookmarkStart w:id="3159" w:name="_Hlk42855029"/>
      <w:bookmarkEnd w:id="3158"/>
      <w:r w:rsidRPr="008560EA">
        <w:t>I|18|123|3|4|2021|4|25|2|12|5|31|V||</w:t>
      </w:r>
    </w:p>
    <w:p w14:paraId="53DC497A" w14:textId="77777777" w:rsidR="009B7AED" w:rsidRPr="008560EA" w:rsidRDefault="009B7AED" w:rsidP="009B7AED">
      <w:r w:rsidRPr="008560EA">
        <w:t>I|18|123|7|3|2021|4|25|2|12|5|37|V||</w:t>
      </w:r>
    </w:p>
    <w:p w14:paraId="44FBACC7" w14:textId="77777777" w:rsidR="009B7AED" w:rsidRPr="008560EA" w:rsidRDefault="009B7AED" w:rsidP="009B7AED">
      <w:r w:rsidRPr="008560EA">
        <w:t>I|18|123|3|2|2021|4|25|2|12|7|4|V||</w:t>
      </w:r>
    </w:p>
    <w:p w14:paraId="062037DF" w14:textId="77777777" w:rsidR="009B7AED" w:rsidRPr="008560EA" w:rsidRDefault="009B7AED" w:rsidP="009B7AED">
      <w:r w:rsidRPr="008560EA">
        <w:t>I|18|123|3|1|2021|4|25|2|12|8|23|V||</w:t>
      </w:r>
    </w:p>
    <w:p w14:paraId="1D0C16DE" w14:textId="77777777" w:rsidR="009B7AED" w:rsidRPr="008560EA" w:rsidRDefault="009B7AED" w:rsidP="009B7AED">
      <w:r w:rsidRPr="008560EA">
        <w:t>I|18|123|7|1|2021|4|25|2|12|9|89|V||</w:t>
      </w:r>
    </w:p>
    <w:p w14:paraId="73D6069B" w14:textId="77777777" w:rsidR="009B7AED" w:rsidRPr="008560EA" w:rsidRDefault="009B7AED" w:rsidP="009B7AED">
      <w:r w:rsidRPr="008560EA">
        <w:t>I|18|123|3|1|2021|4|25|2|12|12|15|V||</w:t>
      </w:r>
    </w:p>
    <w:p w14:paraId="74C85ED8" w14:textId="77777777" w:rsidR="009B7AED" w:rsidRPr="008560EA" w:rsidRDefault="009B7AED" w:rsidP="009B7AED">
      <w:r w:rsidRPr="008560EA">
        <w:t>I|18|123|7|1|2021|4|25|2|12|15|85|V||</w:t>
      </w:r>
    </w:p>
    <w:p w14:paraId="45EB6C18" w14:textId="77777777" w:rsidR="009B7AED" w:rsidRPr="008560EA" w:rsidRDefault="009B7AED" w:rsidP="009B7AED">
      <w:r w:rsidRPr="008560EA">
        <w:t>I|18|123|7|3|2021|4|25|2|12|15|92|V||</w:t>
      </w:r>
    </w:p>
    <w:p w14:paraId="739EB6A6" w14:textId="77777777" w:rsidR="009B7AED" w:rsidRPr="008560EA" w:rsidRDefault="009B7AED" w:rsidP="009B7AED">
      <w:r w:rsidRPr="008560EA">
        <w:t>I|18|123|7|3|2021|4|25|2|12|17|14|V||</w:t>
      </w:r>
    </w:p>
    <w:p w14:paraId="2AD1E7A8" w14:textId="77777777" w:rsidR="009B7AED" w:rsidRPr="008560EA" w:rsidRDefault="009B7AED" w:rsidP="009B7AED">
      <w:r w:rsidRPr="008560EA">
        <w:t>I|18|123|7|2|2021|4|25|2|12|17|90|V||</w:t>
      </w:r>
    </w:p>
    <w:p w14:paraId="51B0DA7E" w14:textId="77777777" w:rsidR="009B7AED" w:rsidRPr="008560EA" w:rsidRDefault="009B7AED" w:rsidP="009B7AED">
      <w:pPr>
        <w:spacing w:before="80" w:after="120" w:line="240" w:lineRule="atLeast"/>
      </w:pPr>
      <w:r w:rsidRPr="008560EA">
        <w:t>I|18|123|3|3|2021|4|25|2|12|18|1|V||</w:t>
      </w:r>
    </w:p>
    <w:p w14:paraId="08BAF209" w14:textId="654D0A0D" w:rsidR="009B7AED" w:rsidRPr="001546EF" w:rsidRDefault="009B7AED">
      <w:pPr>
        <w:pStyle w:val="Heading3"/>
      </w:pPr>
      <w:bookmarkStart w:id="3160" w:name="_Toc63976758"/>
      <w:bookmarkStart w:id="3161" w:name="_Toc109301291"/>
      <w:bookmarkStart w:id="3162" w:name="_Toc109333025"/>
      <w:bookmarkStart w:id="3163" w:name="_Toc109333618"/>
      <w:bookmarkStart w:id="3164" w:name="_Toc113281116"/>
      <w:bookmarkStart w:id="3165" w:name="_Toc118205704"/>
      <w:bookmarkEnd w:id="3159"/>
      <w:r w:rsidRPr="001546EF">
        <w:t>Speed</w:t>
      </w:r>
      <w:r>
        <w:t xml:space="preserve"> and</w:t>
      </w:r>
      <w:r w:rsidRPr="001546EF">
        <w:t xml:space="preserve"> Length Classification Data Format (T)</w:t>
      </w:r>
      <w:bookmarkEnd w:id="3160"/>
      <w:bookmarkEnd w:id="3161"/>
      <w:bookmarkEnd w:id="3162"/>
      <w:bookmarkEnd w:id="3163"/>
      <w:bookmarkEnd w:id="3164"/>
      <w:bookmarkEnd w:id="3165"/>
    </w:p>
    <w:p w14:paraId="06E40A15" w14:textId="1798D871" w:rsidR="009B7AED" w:rsidRDefault="009B7AED" w:rsidP="00A35EAF">
      <w:pPr>
        <w:pStyle w:val="BodyText"/>
      </w:pPr>
      <w:r>
        <w:t xml:space="preserve">This section includes </w:t>
      </w:r>
      <w:r w:rsidRPr="009A78C8">
        <w:t>columns 3</w:t>
      </w:r>
      <w:r>
        <w:t>4</w:t>
      </w:r>
      <w:r w:rsidRPr="009A78C8">
        <w:t>-4</w:t>
      </w:r>
      <w:r>
        <w:t>5</w:t>
      </w:r>
      <w:r w:rsidRPr="009A78C8">
        <w:t xml:space="preserve"> for all formats containing Vehicle Classification Data –</w:t>
      </w:r>
      <w:r>
        <w:t xml:space="preserve"> i</w:t>
      </w:r>
      <w:r w:rsidRPr="009A78C8">
        <w:t xml:space="preserve">ncluding </w:t>
      </w:r>
      <w:r>
        <w:t>f</w:t>
      </w:r>
      <w:r w:rsidRPr="009A78C8">
        <w:t>ormats C, W, and Z</w:t>
      </w:r>
      <w:bookmarkEnd w:id="3157"/>
      <w:r>
        <w:t xml:space="preserve">. </w:t>
      </w:r>
    </w:p>
    <w:p w14:paraId="75636DB1" w14:textId="44014C24" w:rsidR="009B7AED" w:rsidRPr="00877387" w:rsidRDefault="009B7AED" w:rsidP="00A35EAF">
      <w:pPr>
        <w:pStyle w:val="BodyText"/>
      </w:pPr>
      <w:r w:rsidRPr="009A78C8">
        <w:t>To submit individual vehicle records that also contain vehicle speed data for each of those vehicles, use the above data format for the first 28 columns, place the letter “T” in column 28, and optionally add vehicle signature data in columns 29-3</w:t>
      </w:r>
      <w:r>
        <w:t>3</w:t>
      </w:r>
      <w:r w:rsidRPr="009A78C8">
        <w:t>, then add data to columns 3</w:t>
      </w:r>
      <w:r>
        <w:t>4</w:t>
      </w:r>
      <w:r w:rsidRPr="009A78C8">
        <w:t xml:space="preserve"> to 4</w:t>
      </w:r>
      <w:r>
        <w:t>5</w:t>
      </w:r>
      <w:r w:rsidRPr="009A78C8">
        <w:t xml:space="preserve"> as described below</w:t>
      </w:r>
      <w:r>
        <w:t xml:space="preserve"> in </w:t>
      </w:r>
      <w:fldSimple w:instr=" REF _Ref113277660 ">
        <w:r w:rsidR="00C07DF9" w:rsidRPr="00904AEA">
          <w:t xml:space="preserve">Table </w:t>
        </w:r>
        <w:r w:rsidR="00C07DF9">
          <w:rPr>
            <w:noProof/>
          </w:rPr>
          <w:t>4</w:t>
        </w:r>
        <w:r w:rsidR="00C07DF9">
          <w:noBreakHyphen/>
        </w:r>
        <w:r w:rsidR="00C07DF9">
          <w:rPr>
            <w:noProof/>
          </w:rPr>
          <w:t>27</w:t>
        </w:r>
      </w:fldSimple>
      <w:r w:rsidRPr="009A78C8">
        <w:t>. Blank fill all columns for which data are not available.</w:t>
      </w:r>
      <w:r w:rsidRPr="00877387">
        <w:t xml:space="preserve"> </w:t>
      </w:r>
    </w:p>
    <w:p w14:paraId="027403A2" w14:textId="052B1F3C" w:rsidR="009B7AED" w:rsidRDefault="009B7AED" w:rsidP="00B71607">
      <w:pPr>
        <w:pStyle w:val="TMGTableCaption"/>
        <w:spacing w:before="200"/>
      </w:pPr>
      <w:bookmarkStart w:id="3166" w:name="_Ref113277660"/>
      <w:bookmarkStart w:id="3167" w:name="_Toc109333464"/>
      <w:bookmarkStart w:id="3168" w:name="_Toc109333792"/>
      <w:bookmarkStart w:id="3169" w:name="_Toc113282532"/>
      <w:bookmarkStart w:id="3170" w:name="_Toc114474869"/>
      <w:bookmarkStart w:id="3171" w:name="_Toc120631175"/>
      <w:r w:rsidRPr="00904AEA">
        <w:t xml:space="preserve">Table </w:t>
      </w:r>
      <w:fldSimple w:instr=" STYLEREF 1 \s ">
        <w:r w:rsidR="00C07DF9">
          <w:rPr>
            <w:noProof/>
          </w:rPr>
          <w:t>4</w:t>
        </w:r>
      </w:fldSimple>
      <w:r>
        <w:noBreakHyphen/>
      </w:r>
      <w:fldSimple w:instr=" SEQ Table \* ARABIC \s 1 ">
        <w:r w:rsidR="00C07DF9">
          <w:rPr>
            <w:noProof/>
          </w:rPr>
          <w:t>27</w:t>
        </w:r>
      </w:fldSimple>
      <w:bookmarkEnd w:id="3166"/>
      <w:r>
        <w:t>. Speed</w:t>
      </w:r>
      <w:r w:rsidRPr="00904AEA">
        <w:t xml:space="preserve"> </w:t>
      </w:r>
      <w:r>
        <w:t>and Length Classification</w:t>
      </w:r>
      <w:r w:rsidRPr="00904AEA">
        <w:t xml:space="preserve"> </w:t>
      </w:r>
      <w:r>
        <w:t xml:space="preserve">Individual Vehicle Record (T Variant) – </w:t>
      </w:r>
      <w:r w:rsidR="003D3F68">
        <w:t>F</w:t>
      </w:r>
      <w:r>
        <w:t>ixed-width</w:t>
      </w:r>
      <w:r w:rsidRPr="00904AEA">
        <w:t xml:space="preserve"> Format</w:t>
      </w:r>
      <w:bookmarkEnd w:id="3167"/>
      <w:bookmarkEnd w:id="3168"/>
      <w:bookmarkEnd w:id="3169"/>
      <w:bookmarkEnd w:id="3170"/>
      <w:bookmarkEnd w:id="3171"/>
    </w:p>
    <w:tbl>
      <w:tblPr>
        <w:tblStyle w:val="TableGrid"/>
        <w:tblW w:w="9360" w:type="dxa"/>
        <w:jc w:val="center"/>
        <w:tblCellMar>
          <w:left w:w="86" w:type="dxa"/>
          <w:right w:w="86" w:type="dxa"/>
        </w:tblCellMar>
        <w:tblLook w:val="04A0" w:firstRow="1" w:lastRow="0" w:firstColumn="1" w:lastColumn="0" w:noHBand="0" w:noVBand="1"/>
      </w:tblPr>
      <w:tblGrid>
        <w:gridCol w:w="715"/>
        <w:gridCol w:w="900"/>
        <w:gridCol w:w="1080"/>
        <w:gridCol w:w="4050"/>
        <w:gridCol w:w="1350"/>
        <w:gridCol w:w="1265"/>
      </w:tblGrid>
      <w:tr w:rsidR="001253EE" w14:paraId="0FD58689" w14:textId="77777777" w:rsidTr="00B71607">
        <w:trPr>
          <w:trHeight w:val="52"/>
          <w:tblHeader/>
          <w:jc w:val="center"/>
        </w:trPr>
        <w:tc>
          <w:tcPr>
            <w:tcW w:w="715" w:type="dxa"/>
            <w:tcBorders>
              <w:right w:val="single" w:sz="4" w:space="0" w:color="FFFFFF" w:themeColor="background1"/>
            </w:tcBorders>
            <w:shd w:val="clear" w:color="auto" w:fill="1F3864"/>
          </w:tcPr>
          <w:p w14:paraId="7AB8DBF7" w14:textId="5C99FDBE" w:rsidR="001253EE" w:rsidRDefault="001253EE" w:rsidP="00B71607">
            <w:pPr>
              <w:pStyle w:val="TMGTableTextHeader"/>
              <w:spacing w:before="10" w:after="0"/>
              <w:ind w:left="0"/>
            </w:pPr>
            <w:r w:rsidRPr="00AB1C33">
              <w:rPr>
                <w:rFonts w:eastAsiaTheme="minorEastAsia"/>
                <w:color w:val="F2F2F2" w:themeColor="background1" w:themeShade="F2"/>
              </w:rPr>
              <w:t>Field</w:t>
            </w:r>
          </w:p>
        </w:tc>
        <w:tc>
          <w:tcPr>
            <w:tcW w:w="900" w:type="dxa"/>
            <w:tcBorders>
              <w:left w:val="single" w:sz="4" w:space="0" w:color="FFFFFF" w:themeColor="background1"/>
              <w:right w:val="single" w:sz="4" w:space="0" w:color="FFFFFF" w:themeColor="background1"/>
            </w:tcBorders>
            <w:shd w:val="clear" w:color="auto" w:fill="1F3864"/>
          </w:tcPr>
          <w:p w14:paraId="20DB8E24" w14:textId="1AA83F16" w:rsidR="001253EE" w:rsidRDefault="001253EE" w:rsidP="00B71607">
            <w:pPr>
              <w:pStyle w:val="TMGTableTextHeader"/>
              <w:spacing w:before="10" w:after="0"/>
              <w:ind w:left="0"/>
              <w:rPr>
                <w:rFonts w:eastAsia="MS Mincho"/>
              </w:rPr>
            </w:pPr>
            <w:r w:rsidRPr="00AB1C33">
              <w:rPr>
                <w:rFonts w:eastAsiaTheme="minorEastAsia"/>
                <w:color w:val="F2F2F2" w:themeColor="background1" w:themeShade="F2"/>
              </w:rPr>
              <w:t>Columns</w:t>
            </w:r>
          </w:p>
        </w:tc>
        <w:tc>
          <w:tcPr>
            <w:tcW w:w="1080" w:type="dxa"/>
            <w:tcBorders>
              <w:left w:val="single" w:sz="4" w:space="0" w:color="FFFFFF" w:themeColor="background1"/>
              <w:right w:val="single" w:sz="4" w:space="0" w:color="FFFFFF" w:themeColor="background1"/>
            </w:tcBorders>
            <w:shd w:val="clear" w:color="auto" w:fill="1F3864"/>
          </w:tcPr>
          <w:p w14:paraId="21E8B4DA" w14:textId="4388F965" w:rsidR="001253EE" w:rsidRDefault="001253EE" w:rsidP="00B71607">
            <w:pPr>
              <w:pStyle w:val="TMGTableTextHeader"/>
              <w:spacing w:before="10" w:after="0"/>
              <w:ind w:left="0"/>
              <w:rPr>
                <w:rFonts w:eastAsia="MS Mincho"/>
              </w:rPr>
            </w:pPr>
            <w:r w:rsidRPr="00AB1C33">
              <w:rPr>
                <w:rFonts w:eastAsiaTheme="minorEastAsia"/>
                <w:color w:val="F2F2F2" w:themeColor="background1" w:themeShade="F2"/>
              </w:rPr>
              <w:t>Width</w:t>
            </w:r>
          </w:p>
        </w:tc>
        <w:tc>
          <w:tcPr>
            <w:tcW w:w="4050" w:type="dxa"/>
            <w:tcBorders>
              <w:left w:val="single" w:sz="4" w:space="0" w:color="FFFFFF" w:themeColor="background1"/>
              <w:right w:val="single" w:sz="4" w:space="0" w:color="FFFFFF" w:themeColor="background1"/>
            </w:tcBorders>
            <w:shd w:val="clear" w:color="auto" w:fill="1F3864"/>
          </w:tcPr>
          <w:p w14:paraId="776EC464" w14:textId="78D47FB0" w:rsidR="001253EE" w:rsidRDefault="001253EE" w:rsidP="00B71607">
            <w:pPr>
              <w:pStyle w:val="TMGTableTextHeader"/>
              <w:spacing w:before="10" w:after="0"/>
              <w:ind w:left="0"/>
              <w:rPr>
                <w:rFonts w:eastAsia="MS Mincho"/>
              </w:rPr>
            </w:pPr>
            <w:r w:rsidRPr="00AB1C33">
              <w:rPr>
                <w:rFonts w:eastAsiaTheme="minorEastAsia"/>
                <w:color w:val="F2F2F2" w:themeColor="background1" w:themeShade="F2"/>
              </w:rPr>
              <w:t>Description</w:t>
            </w:r>
          </w:p>
        </w:tc>
        <w:tc>
          <w:tcPr>
            <w:tcW w:w="1350" w:type="dxa"/>
            <w:tcBorders>
              <w:left w:val="single" w:sz="4" w:space="0" w:color="FFFFFF" w:themeColor="background1"/>
              <w:right w:val="single" w:sz="4" w:space="0" w:color="FFFFFF" w:themeColor="background1"/>
            </w:tcBorders>
            <w:shd w:val="clear" w:color="auto" w:fill="1F3864"/>
          </w:tcPr>
          <w:p w14:paraId="6F712F2E" w14:textId="0B3387A4" w:rsidR="001253EE" w:rsidRDefault="001253EE" w:rsidP="00B71607">
            <w:pPr>
              <w:pStyle w:val="TMGTableTextHeader"/>
              <w:spacing w:before="10" w:after="0"/>
              <w:ind w:left="0"/>
              <w:rPr>
                <w:rFonts w:eastAsia="MS Mincho"/>
              </w:rPr>
            </w:pPr>
            <w:r w:rsidRPr="00AB1C33">
              <w:rPr>
                <w:rFonts w:eastAsiaTheme="minorEastAsia"/>
                <w:color w:val="F2F2F2" w:themeColor="background1" w:themeShade="F2"/>
              </w:rPr>
              <w:t>Type</w:t>
            </w:r>
          </w:p>
        </w:tc>
        <w:tc>
          <w:tcPr>
            <w:tcW w:w="1265" w:type="dxa"/>
            <w:tcBorders>
              <w:left w:val="single" w:sz="4" w:space="0" w:color="FFFFFF" w:themeColor="background1"/>
            </w:tcBorders>
            <w:shd w:val="clear" w:color="auto" w:fill="1F3864"/>
          </w:tcPr>
          <w:p w14:paraId="66D18B2F" w14:textId="52E74611" w:rsidR="001253EE" w:rsidRDefault="001253EE" w:rsidP="00B71607">
            <w:pPr>
              <w:pStyle w:val="TMGTableTextHeader"/>
              <w:spacing w:before="10" w:after="0"/>
              <w:ind w:left="0"/>
            </w:pPr>
            <w:r w:rsidRPr="00AB1C33">
              <w:rPr>
                <w:rFonts w:eastAsiaTheme="minorEastAsia"/>
                <w:color w:val="F2F2F2" w:themeColor="background1" w:themeShade="F2"/>
              </w:rPr>
              <w:t>Importance</w:t>
            </w:r>
          </w:p>
        </w:tc>
      </w:tr>
      <w:tr w:rsidR="001253EE" w14:paraId="3EC72714" w14:textId="77777777" w:rsidTr="00B71607">
        <w:trPr>
          <w:jc w:val="center"/>
        </w:trPr>
        <w:tc>
          <w:tcPr>
            <w:tcW w:w="715" w:type="dxa"/>
            <w:vAlign w:val="center"/>
          </w:tcPr>
          <w:p w14:paraId="0D96DDEF" w14:textId="334317C6" w:rsidR="001253EE" w:rsidRPr="00220FFB" w:rsidRDefault="001253EE" w:rsidP="00B71607">
            <w:pPr>
              <w:pStyle w:val="TMGTableText"/>
              <w:spacing w:before="10" w:after="0"/>
              <w:ind w:left="0" w:right="144"/>
              <w:jc w:val="right"/>
              <w:rPr>
                <w:b/>
                <w:bCs/>
              </w:rPr>
            </w:pPr>
            <w:r w:rsidRPr="00220FFB">
              <w:rPr>
                <w:rFonts w:eastAsiaTheme="minorEastAsia"/>
                <w:b/>
                <w:bCs/>
              </w:rPr>
              <w:t>1</w:t>
            </w:r>
          </w:p>
        </w:tc>
        <w:tc>
          <w:tcPr>
            <w:tcW w:w="900" w:type="dxa"/>
            <w:vAlign w:val="center"/>
          </w:tcPr>
          <w:p w14:paraId="6FCCDB16" w14:textId="2FF3CFFC" w:rsidR="001253EE" w:rsidRPr="004859C8" w:rsidRDefault="001253EE" w:rsidP="00B71607">
            <w:pPr>
              <w:pStyle w:val="TMGTableText"/>
              <w:spacing w:before="10" w:after="0"/>
              <w:jc w:val="center"/>
            </w:pPr>
            <w:r w:rsidRPr="00877387">
              <w:rPr>
                <w:rFonts w:eastAsiaTheme="minorEastAsia"/>
              </w:rPr>
              <w:t>1</w:t>
            </w:r>
          </w:p>
        </w:tc>
        <w:tc>
          <w:tcPr>
            <w:tcW w:w="1080" w:type="dxa"/>
            <w:vAlign w:val="center"/>
          </w:tcPr>
          <w:p w14:paraId="20FDBCDA" w14:textId="377ED435" w:rsidR="001253EE" w:rsidRPr="004859C8" w:rsidRDefault="001253EE" w:rsidP="00B71607">
            <w:pPr>
              <w:pStyle w:val="TMGTableText"/>
              <w:spacing w:before="10" w:after="0"/>
              <w:jc w:val="center"/>
            </w:pPr>
            <w:r w:rsidRPr="00877387">
              <w:rPr>
                <w:rFonts w:eastAsiaTheme="minorEastAsia"/>
              </w:rPr>
              <w:t>1</w:t>
            </w:r>
          </w:p>
        </w:tc>
        <w:tc>
          <w:tcPr>
            <w:tcW w:w="4050" w:type="dxa"/>
          </w:tcPr>
          <w:p w14:paraId="4142B35D" w14:textId="179FD10B" w:rsidR="001253EE" w:rsidRPr="004859C8" w:rsidRDefault="001253EE" w:rsidP="00B71607">
            <w:pPr>
              <w:pStyle w:val="TMGTableText"/>
              <w:spacing w:before="10" w:after="0"/>
            </w:pPr>
            <w:r w:rsidRPr="00877387">
              <w:rPr>
                <w:rFonts w:eastAsiaTheme="minorEastAsia"/>
              </w:rPr>
              <w:t>Record Type (R</w:t>
            </w:r>
            <w:r>
              <w:rPr>
                <w:rFonts w:eastAsiaTheme="minorEastAsia"/>
              </w:rPr>
              <w:t>T</w:t>
            </w:r>
            <w:r w:rsidRPr="00877387">
              <w:rPr>
                <w:rFonts w:eastAsiaTheme="minorEastAsia"/>
              </w:rPr>
              <w:t>)</w:t>
            </w:r>
          </w:p>
        </w:tc>
        <w:tc>
          <w:tcPr>
            <w:tcW w:w="1350" w:type="dxa"/>
            <w:vAlign w:val="center"/>
          </w:tcPr>
          <w:p w14:paraId="36E7CB28" w14:textId="69235A07" w:rsidR="001253EE" w:rsidRPr="004859C8" w:rsidRDefault="001253EE" w:rsidP="00B71607">
            <w:pPr>
              <w:pStyle w:val="TMGTableText"/>
              <w:spacing w:before="10" w:after="0"/>
              <w:jc w:val="center"/>
            </w:pPr>
            <w:r w:rsidRPr="008E3CC3">
              <w:t>Alphanumeric</w:t>
            </w:r>
          </w:p>
        </w:tc>
        <w:tc>
          <w:tcPr>
            <w:tcW w:w="1265" w:type="dxa"/>
            <w:vAlign w:val="center"/>
          </w:tcPr>
          <w:p w14:paraId="099F492E" w14:textId="0C419FE1" w:rsidR="001253EE" w:rsidRPr="00C251E9" w:rsidRDefault="001253EE" w:rsidP="00B71607">
            <w:pPr>
              <w:pStyle w:val="TMGTableText"/>
              <w:spacing w:before="10" w:after="0"/>
              <w:jc w:val="center"/>
            </w:pPr>
            <w:r>
              <w:rPr>
                <w:rFonts w:eastAsiaTheme="minorEastAsia"/>
              </w:rPr>
              <w:t>Required</w:t>
            </w:r>
          </w:p>
        </w:tc>
      </w:tr>
      <w:tr w:rsidR="001253EE" w14:paraId="1B21AAFF" w14:textId="77777777" w:rsidTr="00B71607">
        <w:trPr>
          <w:jc w:val="center"/>
        </w:trPr>
        <w:tc>
          <w:tcPr>
            <w:tcW w:w="715" w:type="dxa"/>
            <w:vAlign w:val="center"/>
          </w:tcPr>
          <w:p w14:paraId="7932FB09" w14:textId="4C9F2C57" w:rsidR="001253EE" w:rsidRPr="00220FFB" w:rsidRDefault="001253EE" w:rsidP="00B71607">
            <w:pPr>
              <w:pStyle w:val="TMGTableText"/>
              <w:spacing w:before="10" w:after="0"/>
              <w:ind w:left="0" w:right="144"/>
              <w:jc w:val="right"/>
              <w:rPr>
                <w:b/>
                <w:bCs/>
              </w:rPr>
            </w:pPr>
            <w:r w:rsidRPr="00220FFB">
              <w:rPr>
                <w:rFonts w:eastAsiaTheme="minorEastAsia"/>
                <w:b/>
                <w:bCs/>
              </w:rPr>
              <w:t>2</w:t>
            </w:r>
          </w:p>
        </w:tc>
        <w:tc>
          <w:tcPr>
            <w:tcW w:w="900" w:type="dxa"/>
            <w:vAlign w:val="center"/>
          </w:tcPr>
          <w:p w14:paraId="33D58121" w14:textId="1174E8E3" w:rsidR="001253EE" w:rsidRPr="004859C8" w:rsidRDefault="001253EE" w:rsidP="00B71607">
            <w:pPr>
              <w:pStyle w:val="TMGTableText"/>
              <w:spacing w:before="10" w:after="0"/>
              <w:jc w:val="center"/>
            </w:pPr>
            <w:r w:rsidRPr="00877387">
              <w:rPr>
                <w:rFonts w:eastAsiaTheme="minorEastAsia"/>
              </w:rPr>
              <w:t>2-3</w:t>
            </w:r>
          </w:p>
        </w:tc>
        <w:tc>
          <w:tcPr>
            <w:tcW w:w="1080" w:type="dxa"/>
            <w:vAlign w:val="center"/>
          </w:tcPr>
          <w:p w14:paraId="20C7A861" w14:textId="4D1719CA" w:rsidR="001253EE" w:rsidRPr="004859C8" w:rsidRDefault="001253EE" w:rsidP="00B71607">
            <w:pPr>
              <w:pStyle w:val="TMGTableText"/>
              <w:spacing w:before="10" w:after="0"/>
              <w:jc w:val="center"/>
            </w:pPr>
            <w:r w:rsidRPr="00877387">
              <w:rPr>
                <w:rFonts w:eastAsiaTheme="minorEastAsia"/>
              </w:rPr>
              <w:t>2</w:t>
            </w:r>
          </w:p>
        </w:tc>
        <w:tc>
          <w:tcPr>
            <w:tcW w:w="4050" w:type="dxa"/>
          </w:tcPr>
          <w:p w14:paraId="26935F77" w14:textId="0A45459C" w:rsidR="001253EE" w:rsidRPr="004859C8" w:rsidRDefault="001253EE" w:rsidP="00B71607">
            <w:pPr>
              <w:pStyle w:val="TMGTableText"/>
              <w:spacing w:before="10" w:after="0"/>
            </w:pPr>
            <w:r w:rsidRPr="00877387">
              <w:rPr>
                <w:rFonts w:eastAsiaTheme="minorEastAsia"/>
              </w:rPr>
              <w:t>State FIPS Code (SFIPS)</w:t>
            </w:r>
          </w:p>
        </w:tc>
        <w:tc>
          <w:tcPr>
            <w:tcW w:w="1350" w:type="dxa"/>
            <w:vAlign w:val="center"/>
          </w:tcPr>
          <w:p w14:paraId="7EC223FB" w14:textId="1E8C2261" w:rsidR="001253EE" w:rsidRPr="004859C8" w:rsidRDefault="001253EE" w:rsidP="00B71607">
            <w:pPr>
              <w:pStyle w:val="TMGTableText"/>
              <w:spacing w:before="10" w:after="0"/>
              <w:jc w:val="center"/>
            </w:pPr>
            <w:r w:rsidRPr="008E3CC3">
              <w:t>Integer</w:t>
            </w:r>
          </w:p>
        </w:tc>
        <w:tc>
          <w:tcPr>
            <w:tcW w:w="1265" w:type="dxa"/>
            <w:vAlign w:val="center"/>
          </w:tcPr>
          <w:p w14:paraId="77A54A56" w14:textId="010F9944" w:rsidR="001253EE" w:rsidRPr="00C251E9" w:rsidRDefault="001253EE" w:rsidP="00B71607">
            <w:pPr>
              <w:pStyle w:val="TMGTableText"/>
              <w:spacing w:before="10" w:after="0"/>
              <w:jc w:val="center"/>
            </w:pPr>
            <w:r>
              <w:rPr>
                <w:rFonts w:eastAsiaTheme="minorEastAsia"/>
              </w:rPr>
              <w:t>Required</w:t>
            </w:r>
          </w:p>
        </w:tc>
      </w:tr>
      <w:tr w:rsidR="001253EE" w14:paraId="0986FC27" w14:textId="77777777" w:rsidTr="00B71607">
        <w:trPr>
          <w:jc w:val="center"/>
        </w:trPr>
        <w:tc>
          <w:tcPr>
            <w:tcW w:w="715" w:type="dxa"/>
            <w:vAlign w:val="center"/>
          </w:tcPr>
          <w:p w14:paraId="2948DCD7" w14:textId="4E7777C1" w:rsidR="001253EE" w:rsidRPr="00220FFB" w:rsidRDefault="001253EE" w:rsidP="00B71607">
            <w:pPr>
              <w:pStyle w:val="TMGTableText"/>
              <w:spacing w:before="10" w:after="0"/>
              <w:ind w:left="0" w:right="144"/>
              <w:jc w:val="right"/>
              <w:rPr>
                <w:b/>
                <w:bCs/>
              </w:rPr>
            </w:pPr>
            <w:r w:rsidRPr="00220FFB">
              <w:rPr>
                <w:rFonts w:eastAsiaTheme="minorEastAsia"/>
                <w:b/>
                <w:bCs/>
              </w:rPr>
              <w:t>3</w:t>
            </w:r>
          </w:p>
        </w:tc>
        <w:tc>
          <w:tcPr>
            <w:tcW w:w="900" w:type="dxa"/>
            <w:vAlign w:val="center"/>
          </w:tcPr>
          <w:p w14:paraId="6B4CFB9F" w14:textId="583A0DD7" w:rsidR="001253EE" w:rsidRPr="004859C8" w:rsidRDefault="001253EE" w:rsidP="00B71607">
            <w:pPr>
              <w:pStyle w:val="TMGTableText"/>
              <w:spacing w:before="10" w:after="0"/>
              <w:jc w:val="center"/>
            </w:pPr>
            <w:r w:rsidRPr="00877387">
              <w:rPr>
                <w:rFonts w:eastAsiaTheme="minorEastAsia"/>
              </w:rPr>
              <w:t>4-9</w:t>
            </w:r>
          </w:p>
        </w:tc>
        <w:tc>
          <w:tcPr>
            <w:tcW w:w="1080" w:type="dxa"/>
            <w:vAlign w:val="center"/>
          </w:tcPr>
          <w:p w14:paraId="035DE299" w14:textId="4631D788" w:rsidR="001253EE" w:rsidRPr="004859C8" w:rsidRDefault="001253EE" w:rsidP="00B71607">
            <w:pPr>
              <w:pStyle w:val="TMGTableText"/>
              <w:spacing w:before="10" w:after="0"/>
              <w:jc w:val="center"/>
            </w:pPr>
            <w:r w:rsidRPr="00877387">
              <w:rPr>
                <w:rFonts w:eastAsiaTheme="minorEastAsia"/>
              </w:rPr>
              <w:t>6</w:t>
            </w:r>
          </w:p>
        </w:tc>
        <w:tc>
          <w:tcPr>
            <w:tcW w:w="4050" w:type="dxa"/>
          </w:tcPr>
          <w:p w14:paraId="43CAC759" w14:textId="012661DD" w:rsidR="001253EE" w:rsidRPr="004859C8" w:rsidRDefault="001253EE" w:rsidP="00B71607">
            <w:pPr>
              <w:pStyle w:val="TMGTableText"/>
              <w:spacing w:before="10" w:after="0"/>
            </w:pPr>
            <w:r w:rsidRPr="00877387">
              <w:rPr>
                <w:rFonts w:eastAsiaTheme="minorEastAsia"/>
              </w:rPr>
              <w:t>Station ID (ID)</w:t>
            </w:r>
          </w:p>
        </w:tc>
        <w:tc>
          <w:tcPr>
            <w:tcW w:w="1350" w:type="dxa"/>
            <w:vAlign w:val="center"/>
          </w:tcPr>
          <w:p w14:paraId="554E6AE9" w14:textId="38850C84" w:rsidR="001253EE" w:rsidRPr="004859C8" w:rsidRDefault="001253EE" w:rsidP="00B71607">
            <w:pPr>
              <w:pStyle w:val="TMGTableText"/>
              <w:spacing w:before="10" w:after="0"/>
              <w:jc w:val="center"/>
            </w:pPr>
            <w:r w:rsidRPr="008E3CC3">
              <w:t>Alphanumeric</w:t>
            </w:r>
          </w:p>
        </w:tc>
        <w:tc>
          <w:tcPr>
            <w:tcW w:w="1265" w:type="dxa"/>
            <w:vAlign w:val="center"/>
          </w:tcPr>
          <w:p w14:paraId="3C6854B8" w14:textId="633DE464" w:rsidR="001253EE" w:rsidRPr="00C251E9" w:rsidRDefault="001253EE" w:rsidP="00B71607">
            <w:pPr>
              <w:pStyle w:val="TMGTableText"/>
              <w:spacing w:before="10" w:after="0"/>
              <w:jc w:val="center"/>
            </w:pPr>
            <w:r>
              <w:rPr>
                <w:rFonts w:eastAsiaTheme="minorEastAsia"/>
              </w:rPr>
              <w:t>Required</w:t>
            </w:r>
          </w:p>
        </w:tc>
      </w:tr>
      <w:tr w:rsidR="001253EE" w14:paraId="00E3F971" w14:textId="77777777" w:rsidTr="00B71607">
        <w:trPr>
          <w:jc w:val="center"/>
        </w:trPr>
        <w:tc>
          <w:tcPr>
            <w:tcW w:w="715" w:type="dxa"/>
            <w:vAlign w:val="center"/>
          </w:tcPr>
          <w:p w14:paraId="2E08E543" w14:textId="586FBDB9" w:rsidR="001253EE" w:rsidRPr="00220FFB" w:rsidRDefault="001253EE" w:rsidP="00B71607">
            <w:pPr>
              <w:pStyle w:val="TMGTableText"/>
              <w:spacing w:before="10" w:after="0"/>
              <w:ind w:left="0" w:right="144"/>
              <w:jc w:val="right"/>
              <w:rPr>
                <w:b/>
                <w:bCs/>
              </w:rPr>
            </w:pPr>
            <w:r w:rsidRPr="00220FFB">
              <w:rPr>
                <w:rFonts w:eastAsiaTheme="minorEastAsia"/>
                <w:b/>
                <w:bCs/>
              </w:rPr>
              <w:t>4</w:t>
            </w:r>
          </w:p>
        </w:tc>
        <w:tc>
          <w:tcPr>
            <w:tcW w:w="900" w:type="dxa"/>
            <w:vAlign w:val="center"/>
          </w:tcPr>
          <w:p w14:paraId="264FFD47" w14:textId="51CE438A" w:rsidR="001253EE" w:rsidRPr="004859C8" w:rsidRDefault="001253EE" w:rsidP="00B71607">
            <w:pPr>
              <w:pStyle w:val="TMGTableText"/>
              <w:spacing w:before="10" w:after="0"/>
              <w:jc w:val="center"/>
            </w:pPr>
            <w:r w:rsidRPr="00877387">
              <w:rPr>
                <w:rFonts w:eastAsiaTheme="minorEastAsia"/>
              </w:rPr>
              <w:t>10</w:t>
            </w:r>
          </w:p>
        </w:tc>
        <w:tc>
          <w:tcPr>
            <w:tcW w:w="1080" w:type="dxa"/>
            <w:vAlign w:val="center"/>
          </w:tcPr>
          <w:p w14:paraId="65B460A3" w14:textId="7101DD19" w:rsidR="001253EE" w:rsidRPr="004859C8" w:rsidRDefault="001253EE" w:rsidP="00B71607">
            <w:pPr>
              <w:pStyle w:val="TMGTableText"/>
              <w:spacing w:before="10" w:after="0"/>
              <w:jc w:val="center"/>
            </w:pPr>
            <w:r w:rsidRPr="00877387">
              <w:rPr>
                <w:rFonts w:eastAsiaTheme="minorEastAsia"/>
              </w:rPr>
              <w:t>1</w:t>
            </w:r>
          </w:p>
        </w:tc>
        <w:tc>
          <w:tcPr>
            <w:tcW w:w="4050" w:type="dxa"/>
          </w:tcPr>
          <w:p w14:paraId="53EC30DE" w14:textId="6F8BEB5C" w:rsidR="001253EE" w:rsidRPr="004859C8" w:rsidRDefault="001253EE" w:rsidP="00B71607">
            <w:pPr>
              <w:pStyle w:val="TMGTableText"/>
              <w:spacing w:before="10" w:after="0"/>
            </w:pPr>
            <w:r w:rsidRPr="00877387">
              <w:rPr>
                <w:rFonts w:eastAsiaTheme="minorEastAsia"/>
              </w:rPr>
              <w:t>Direction of Travel (D</w:t>
            </w:r>
            <w:r>
              <w:rPr>
                <w:rFonts w:eastAsiaTheme="minorEastAsia"/>
              </w:rPr>
              <w:t>IR</w:t>
            </w:r>
            <w:r w:rsidRPr="00877387">
              <w:rPr>
                <w:rFonts w:eastAsiaTheme="minorEastAsia"/>
              </w:rPr>
              <w:t>)</w:t>
            </w:r>
          </w:p>
        </w:tc>
        <w:tc>
          <w:tcPr>
            <w:tcW w:w="1350" w:type="dxa"/>
            <w:vAlign w:val="center"/>
          </w:tcPr>
          <w:p w14:paraId="271BA4D1" w14:textId="65D11C2F" w:rsidR="001253EE" w:rsidRPr="004859C8" w:rsidRDefault="001253EE" w:rsidP="00B71607">
            <w:pPr>
              <w:pStyle w:val="TMGTableText"/>
              <w:spacing w:before="10" w:after="0"/>
              <w:jc w:val="center"/>
            </w:pPr>
            <w:r w:rsidRPr="008E3CC3">
              <w:t>Integer</w:t>
            </w:r>
          </w:p>
        </w:tc>
        <w:tc>
          <w:tcPr>
            <w:tcW w:w="1265" w:type="dxa"/>
            <w:vAlign w:val="center"/>
          </w:tcPr>
          <w:p w14:paraId="6A8EBC8A" w14:textId="22332958" w:rsidR="001253EE" w:rsidRPr="00C251E9" w:rsidRDefault="001253EE" w:rsidP="00B71607">
            <w:pPr>
              <w:pStyle w:val="TMGTableText"/>
              <w:spacing w:before="10" w:after="0"/>
              <w:jc w:val="center"/>
            </w:pPr>
            <w:r>
              <w:rPr>
                <w:rFonts w:eastAsiaTheme="minorEastAsia"/>
              </w:rPr>
              <w:t>Required</w:t>
            </w:r>
          </w:p>
        </w:tc>
      </w:tr>
      <w:tr w:rsidR="001253EE" w14:paraId="764133A4" w14:textId="77777777" w:rsidTr="00B71607">
        <w:trPr>
          <w:jc w:val="center"/>
        </w:trPr>
        <w:tc>
          <w:tcPr>
            <w:tcW w:w="715" w:type="dxa"/>
            <w:vAlign w:val="center"/>
          </w:tcPr>
          <w:p w14:paraId="15617EAB" w14:textId="1FC5C886" w:rsidR="001253EE" w:rsidRPr="00220FFB" w:rsidRDefault="001253EE" w:rsidP="00B71607">
            <w:pPr>
              <w:pStyle w:val="TMGTableText"/>
              <w:spacing w:before="10" w:after="0"/>
              <w:ind w:left="0" w:right="144"/>
              <w:jc w:val="right"/>
              <w:rPr>
                <w:b/>
                <w:bCs/>
              </w:rPr>
            </w:pPr>
            <w:r w:rsidRPr="00220FFB">
              <w:rPr>
                <w:rFonts w:eastAsiaTheme="minorEastAsia"/>
                <w:b/>
                <w:bCs/>
              </w:rPr>
              <w:t>5</w:t>
            </w:r>
          </w:p>
        </w:tc>
        <w:tc>
          <w:tcPr>
            <w:tcW w:w="900" w:type="dxa"/>
            <w:vAlign w:val="center"/>
          </w:tcPr>
          <w:p w14:paraId="58451181" w14:textId="01AA6EF6" w:rsidR="001253EE" w:rsidRPr="004859C8" w:rsidRDefault="001253EE" w:rsidP="00B71607">
            <w:pPr>
              <w:pStyle w:val="TMGTableText"/>
              <w:spacing w:before="10" w:after="0"/>
              <w:jc w:val="center"/>
            </w:pPr>
            <w:r w:rsidRPr="00877387">
              <w:rPr>
                <w:rFonts w:eastAsiaTheme="minorEastAsia"/>
              </w:rPr>
              <w:t>11</w:t>
            </w:r>
          </w:p>
        </w:tc>
        <w:tc>
          <w:tcPr>
            <w:tcW w:w="1080" w:type="dxa"/>
            <w:vAlign w:val="center"/>
          </w:tcPr>
          <w:p w14:paraId="6CBD6238" w14:textId="026F8247" w:rsidR="001253EE" w:rsidRPr="004859C8" w:rsidRDefault="001253EE" w:rsidP="00B71607">
            <w:pPr>
              <w:pStyle w:val="TMGTableText"/>
              <w:spacing w:before="10" w:after="0"/>
              <w:jc w:val="center"/>
            </w:pPr>
            <w:r w:rsidRPr="00877387">
              <w:rPr>
                <w:rFonts w:eastAsiaTheme="minorEastAsia"/>
              </w:rPr>
              <w:t>1</w:t>
            </w:r>
          </w:p>
        </w:tc>
        <w:tc>
          <w:tcPr>
            <w:tcW w:w="4050" w:type="dxa"/>
          </w:tcPr>
          <w:p w14:paraId="386DEED0" w14:textId="0AE58609" w:rsidR="001253EE" w:rsidRPr="004859C8" w:rsidRDefault="001253EE" w:rsidP="00B71607">
            <w:pPr>
              <w:pStyle w:val="TMGTableText"/>
              <w:spacing w:before="10" w:after="0"/>
            </w:pPr>
            <w:r w:rsidRPr="00877387">
              <w:rPr>
                <w:rFonts w:eastAsiaTheme="minorEastAsia"/>
              </w:rPr>
              <w:t>Lane of Travel (L</w:t>
            </w:r>
            <w:r>
              <w:rPr>
                <w:rFonts w:eastAsiaTheme="minorEastAsia"/>
              </w:rPr>
              <w:t>N</w:t>
            </w:r>
            <w:r w:rsidRPr="00877387">
              <w:rPr>
                <w:rFonts w:eastAsiaTheme="minorEastAsia"/>
              </w:rPr>
              <w:t>)</w:t>
            </w:r>
          </w:p>
        </w:tc>
        <w:tc>
          <w:tcPr>
            <w:tcW w:w="1350" w:type="dxa"/>
            <w:vAlign w:val="center"/>
          </w:tcPr>
          <w:p w14:paraId="6C6F6DC3" w14:textId="2253C023" w:rsidR="001253EE" w:rsidRPr="004859C8" w:rsidRDefault="001253EE" w:rsidP="00B71607">
            <w:pPr>
              <w:pStyle w:val="TMGTableText"/>
              <w:spacing w:before="10" w:after="0"/>
              <w:jc w:val="center"/>
            </w:pPr>
            <w:r w:rsidRPr="005436EF">
              <w:t>Integer</w:t>
            </w:r>
          </w:p>
        </w:tc>
        <w:tc>
          <w:tcPr>
            <w:tcW w:w="1265" w:type="dxa"/>
            <w:vAlign w:val="center"/>
          </w:tcPr>
          <w:p w14:paraId="09D2C7A1" w14:textId="01FECBC4" w:rsidR="001253EE" w:rsidRPr="00C251E9" w:rsidRDefault="001253EE" w:rsidP="00B71607">
            <w:pPr>
              <w:pStyle w:val="TMGTableText"/>
              <w:spacing w:before="10" w:after="0"/>
              <w:jc w:val="center"/>
            </w:pPr>
            <w:r>
              <w:rPr>
                <w:rFonts w:eastAsiaTheme="minorEastAsia"/>
              </w:rPr>
              <w:t>Required</w:t>
            </w:r>
          </w:p>
        </w:tc>
      </w:tr>
      <w:tr w:rsidR="001253EE" w14:paraId="1F4D7C2A" w14:textId="77777777" w:rsidTr="00B71607">
        <w:trPr>
          <w:jc w:val="center"/>
        </w:trPr>
        <w:tc>
          <w:tcPr>
            <w:tcW w:w="715" w:type="dxa"/>
            <w:vAlign w:val="center"/>
          </w:tcPr>
          <w:p w14:paraId="072E3D0A" w14:textId="26DBBF53" w:rsidR="001253EE" w:rsidRPr="00220FFB" w:rsidRDefault="001253EE" w:rsidP="00B71607">
            <w:pPr>
              <w:pStyle w:val="TMGTableText"/>
              <w:spacing w:before="10" w:after="0"/>
              <w:ind w:left="0" w:right="144"/>
              <w:jc w:val="right"/>
              <w:rPr>
                <w:b/>
                <w:bCs/>
              </w:rPr>
            </w:pPr>
            <w:r w:rsidRPr="00220FFB">
              <w:rPr>
                <w:rFonts w:eastAsiaTheme="minorEastAsia"/>
                <w:b/>
                <w:bCs/>
              </w:rPr>
              <w:t>6</w:t>
            </w:r>
          </w:p>
        </w:tc>
        <w:tc>
          <w:tcPr>
            <w:tcW w:w="900" w:type="dxa"/>
            <w:vAlign w:val="center"/>
          </w:tcPr>
          <w:p w14:paraId="13E86255" w14:textId="57479192" w:rsidR="001253EE" w:rsidRPr="004859C8" w:rsidRDefault="001253EE" w:rsidP="00B71607">
            <w:pPr>
              <w:pStyle w:val="TMGTableText"/>
              <w:spacing w:before="10" w:after="0"/>
              <w:jc w:val="center"/>
            </w:pPr>
            <w:r w:rsidRPr="00877387">
              <w:rPr>
                <w:rFonts w:eastAsiaTheme="minorEastAsia"/>
              </w:rPr>
              <w:t>12-15</w:t>
            </w:r>
          </w:p>
        </w:tc>
        <w:tc>
          <w:tcPr>
            <w:tcW w:w="1080" w:type="dxa"/>
            <w:vAlign w:val="center"/>
          </w:tcPr>
          <w:p w14:paraId="5511051C" w14:textId="6FA86447" w:rsidR="001253EE" w:rsidRPr="004859C8" w:rsidRDefault="001253EE" w:rsidP="00B71607">
            <w:pPr>
              <w:pStyle w:val="TMGTableText"/>
              <w:spacing w:before="10" w:after="0"/>
              <w:jc w:val="center"/>
            </w:pPr>
            <w:r w:rsidRPr="00877387">
              <w:rPr>
                <w:rFonts w:eastAsiaTheme="minorEastAsia"/>
              </w:rPr>
              <w:t>4</w:t>
            </w:r>
          </w:p>
        </w:tc>
        <w:tc>
          <w:tcPr>
            <w:tcW w:w="4050" w:type="dxa"/>
          </w:tcPr>
          <w:p w14:paraId="08FDDFC9" w14:textId="2A1BFA9F" w:rsidR="001253EE" w:rsidRPr="004859C8" w:rsidRDefault="001253EE" w:rsidP="00B71607">
            <w:pPr>
              <w:pStyle w:val="TMGTableText"/>
              <w:spacing w:before="10" w:after="0"/>
            </w:pPr>
            <w:r w:rsidRPr="00877387">
              <w:rPr>
                <w:rFonts w:eastAsiaTheme="minorEastAsia"/>
              </w:rPr>
              <w:t>Year of Data (YR)</w:t>
            </w:r>
          </w:p>
        </w:tc>
        <w:tc>
          <w:tcPr>
            <w:tcW w:w="1350" w:type="dxa"/>
            <w:vAlign w:val="center"/>
          </w:tcPr>
          <w:p w14:paraId="0E7EE8FB" w14:textId="0E6A5EEF" w:rsidR="001253EE" w:rsidRPr="004859C8" w:rsidRDefault="001253EE" w:rsidP="00B71607">
            <w:pPr>
              <w:pStyle w:val="TMGTableText"/>
              <w:spacing w:before="10" w:after="0"/>
              <w:jc w:val="center"/>
            </w:pPr>
            <w:r w:rsidRPr="005436EF">
              <w:t>Integer</w:t>
            </w:r>
          </w:p>
        </w:tc>
        <w:tc>
          <w:tcPr>
            <w:tcW w:w="1265" w:type="dxa"/>
            <w:vAlign w:val="center"/>
          </w:tcPr>
          <w:p w14:paraId="35BC992F" w14:textId="21C8C101" w:rsidR="001253EE" w:rsidRPr="00C251E9" w:rsidRDefault="001253EE" w:rsidP="00B71607">
            <w:pPr>
              <w:pStyle w:val="TMGTableText"/>
              <w:spacing w:before="10" w:after="0"/>
              <w:jc w:val="center"/>
            </w:pPr>
            <w:r>
              <w:rPr>
                <w:rFonts w:eastAsiaTheme="minorEastAsia"/>
              </w:rPr>
              <w:t>Required</w:t>
            </w:r>
          </w:p>
        </w:tc>
      </w:tr>
      <w:tr w:rsidR="001253EE" w14:paraId="43DF1E1D" w14:textId="77777777" w:rsidTr="00B71607">
        <w:trPr>
          <w:jc w:val="center"/>
        </w:trPr>
        <w:tc>
          <w:tcPr>
            <w:tcW w:w="715" w:type="dxa"/>
            <w:vAlign w:val="center"/>
          </w:tcPr>
          <w:p w14:paraId="50ADE03D" w14:textId="2DA11676" w:rsidR="001253EE" w:rsidRPr="00220FFB" w:rsidRDefault="001253EE" w:rsidP="00B71607">
            <w:pPr>
              <w:pStyle w:val="TMGTableText"/>
              <w:spacing w:before="10" w:after="0"/>
              <w:ind w:left="0" w:right="144"/>
              <w:jc w:val="right"/>
              <w:rPr>
                <w:b/>
                <w:bCs/>
              </w:rPr>
            </w:pPr>
            <w:r w:rsidRPr="00220FFB">
              <w:rPr>
                <w:rFonts w:eastAsiaTheme="minorEastAsia"/>
                <w:b/>
                <w:bCs/>
              </w:rPr>
              <w:t>7</w:t>
            </w:r>
          </w:p>
        </w:tc>
        <w:tc>
          <w:tcPr>
            <w:tcW w:w="900" w:type="dxa"/>
            <w:vAlign w:val="center"/>
          </w:tcPr>
          <w:p w14:paraId="3980584E" w14:textId="17E77134" w:rsidR="001253EE" w:rsidRPr="004859C8" w:rsidRDefault="001253EE" w:rsidP="00B71607">
            <w:pPr>
              <w:pStyle w:val="TMGTableText"/>
              <w:spacing w:before="10" w:after="0"/>
              <w:jc w:val="center"/>
            </w:pPr>
            <w:r w:rsidRPr="00877387">
              <w:rPr>
                <w:rFonts w:eastAsiaTheme="minorEastAsia"/>
              </w:rPr>
              <w:t>16-17</w:t>
            </w:r>
          </w:p>
        </w:tc>
        <w:tc>
          <w:tcPr>
            <w:tcW w:w="1080" w:type="dxa"/>
            <w:vAlign w:val="center"/>
          </w:tcPr>
          <w:p w14:paraId="0BC88181" w14:textId="24EEA48B" w:rsidR="001253EE" w:rsidRPr="004859C8" w:rsidRDefault="001253EE" w:rsidP="00B71607">
            <w:pPr>
              <w:pStyle w:val="TMGTableText"/>
              <w:spacing w:before="10" w:after="0"/>
              <w:jc w:val="center"/>
            </w:pPr>
            <w:r w:rsidRPr="00877387">
              <w:rPr>
                <w:rFonts w:eastAsiaTheme="minorEastAsia"/>
              </w:rPr>
              <w:t>2</w:t>
            </w:r>
          </w:p>
        </w:tc>
        <w:tc>
          <w:tcPr>
            <w:tcW w:w="4050" w:type="dxa"/>
          </w:tcPr>
          <w:p w14:paraId="261CEB2F" w14:textId="722B3B5D" w:rsidR="001253EE" w:rsidRPr="004859C8" w:rsidRDefault="001253EE" w:rsidP="00B71607">
            <w:pPr>
              <w:pStyle w:val="TMGTableText"/>
              <w:spacing w:before="10" w:after="0"/>
            </w:pPr>
            <w:r w:rsidRPr="00877387">
              <w:rPr>
                <w:rFonts w:eastAsiaTheme="minorEastAsia"/>
              </w:rPr>
              <w:t>Month of Year (MOY)</w:t>
            </w:r>
          </w:p>
        </w:tc>
        <w:tc>
          <w:tcPr>
            <w:tcW w:w="1350" w:type="dxa"/>
            <w:vAlign w:val="center"/>
          </w:tcPr>
          <w:p w14:paraId="3E774231" w14:textId="7F915AF0" w:rsidR="001253EE" w:rsidRPr="004859C8" w:rsidRDefault="001253EE" w:rsidP="00B71607">
            <w:pPr>
              <w:pStyle w:val="TMGTableText"/>
              <w:spacing w:before="10" w:after="0"/>
              <w:jc w:val="center"/>
            </w:pPr>
            <w:r w:rsidRPr="005436EF">
              <w:t>Integer</w:t>
            </w:r>
          </w:p>
        </w:tc>
        <w:tc>
          <w:tcPr>
            <w:tcW w:w="1265" w:type="dxa"/>
            <w:vAlign w:val="center"/>
          </w:tcPr>
          <w:p w14:paraId="00331CA9" w14:textId="065AA8A5" w:rsidR="001253EE" w:rsidRPr="00C251E9" w:rsidRDefault="001253EE" w:rsidP="00B71607">
            <w:pPr>
              <w:pStyle w:val="TMGTableText"/>
              <w:spacing w:before="10" w:after="0"/>
              <w:jc w:val="center"/>
            </w:pPr>
            <w:r>
              <w:rPr>
                <w:rFonts w:eastAsiaTheme="minorEastAsia"/>
              </w:rPr>
              <w:t>Required</w:t>
            </w:r>
          </w:p>
        </w:tc>
      </w:tr>
      <w:tr w:rsidR="001253EE" w14:paraId="7690F605" w14:textId="77777777" w:rsidTr="00B71607">
        <w:trPr>
          <w:jc w:val="center"/>
        </w:trPr>
        <w:tc>
          <w:tcPr>
            <w:tcW w:w="715" w:type="dxa"/>
            <w:vAlign w:val="center"/>
          </w:tcPr>
          <w:p w14:paraId="43A3344D" w14:textId="5F04745E" w:rsidR="001253EE" w:rsidRPr="00220FFB" w:rsidRDefault="001253EE" w:rsidP="00B71607">
            <w:pPr>
              <w:pStyle w:val="TMGTableText"/>
              <w:spacing w:before="10" w:after="0"/>
              <w:ind w:left="0" w:right="144"/>
              <w:jc w:val="right"/>
              <w:rPr>
                <w:b/>
                <w:bCs/>
              </w:rPr>
            </w:pPr>
            <w:r w:rsidRPr="00220FFB">
              <w:rPr>
                <w:rFonts w:eastAsiaTheme="minorEastAsia"/>
                <w:b/>
                <w:bCs/>
              </w:rPr>
              <w:t>8</w:t>
            </w:r>
          </w:p>
        </w:tc>
        <w:tc>
          <w:tcPr>
            <w:tcW w:w="900" w:type="dxa"/>
            <w:vAlign w:val="center"/>
          </w:tcPr>
          <w:p w14:paraId="671A45C9" w14:textId="48F11D5A" w:rsidR="001253EE" w:rsidRPr="004859C8" w:rsidRDefault="001253EE" w:rsidP="00B71607">
            <w:pPr>
              <w:pStyle w:val="TMGTableText"/>
              <w:spacing w:before="10" w:after="0"/>
              <w:jc w:val="center"/>
            </w:pPr>
            <w:r w:rsidRPr="00877387">
              <w:rPr>
                <w:rFonts w:eastAsiaTheme="minorEastAsia"/>
              </w:rPr>
              <w:t>18-19</w:t>
            </w:r>
          </w:p>
        </w:tc>
        <w:tc>
          <w:tcPr>
            <w:tcW w:w="1080" w:type="dxa"/>
            <w:vAlign w:val="center"/>
          </w:tcPr>
          <w:p w14:paraId="75F42BB9" w14:textId="64FFF26A" w:rsidR="001253EE" w:rsidRPr="004859C8" w:rsidRDefault="001253EE" w:rsidP="00B71607">
            <w:pPr>
              <w:pStyle w:val="TMGTableText"/>
              <w:spacing w:before="10" w:after="0"/>
              <w:jc w:val="center"/>
            </w:pPr>
            <w:r w:rsidRPr="00877387">
              <w:rPr>
                <w:rFonts w:eastAsiaTheme="minorEastAsia"/>
              </w:rPr>
              <w:t>2</w:t>
            </w:r>
          </w:p>
        </w:tc>
        <w:tc>
          <w:tcPr>
            <w:tcW w:w="4050" w:type="dxa"/>
          </w:tcPr>
          <w:p w14:paraId="333E5424" w14:textId="4A03BBDA" w:rsidR="001253EE" w:rsidRPr="004859C8" w:rsidRDefault="001253EE" w:rsidP="00B71607">
            <w:pPr>
              <w:pStyle w:val="TMGTableText"/>
              <w:spacing w:before="10" w:after="0"/>
            </w:pPr>
            <w:r w:rsidRPr="00877387">
              <w:rPr>
                <w:rFonts w:eastAsiaTheme="minorEastAsia"/>
              </w:rPr>
              <w:t>Day of Month (DOM)</w:t>
            </w:r>
          </w:p>
        </w:tc>
        <w:tc>
          <w:tcPr>
            <w:tcW w:w="1350" w:type="dxa"/>
            <w:vAlign w:val="center"/>
          </w:tcPr>
          <w:p w14:paraId="792EAD56" w14:textId="0C4A70E4" w:rsidR="001253EE" w:rsidRPr="004859C8" w:rsidRDefault="001253EE" w:rsidP="00B71607">
            <w:pPr>
              <w:pStyle w:val="TMGTableText"/>
              <w:spacing w:before="10" w:after="0"/>
              <w:jc w:val="center"/>
            </w:pPr>
            <w:r w:rsidRPr="005436EF">
              <w:t>Integer</w:t>
            </w:r>
          </w:p>
        </w:tc>
        <w:tc>
          <w:tcPr>
            <w:tcW w:w="1265" w:type="dxa"/>
            <w:vAlign w:val="center"/>
          </w:tcPr>
          <w:p w14:paraId="0EBCA84B" w14:textId="1ED99460" w:rsidR="001253EE" w:rsidRPr="00C251E9" w:rsidRDefault="001253EE" w:rsidP="00B71607">
            <w:pPr>
              <w:pStyle w:val="TMGTableText"/>
              <w:spacing w:before="10" w:after="0"/>
              <w:jc w:val="center"/>
            </w:pPr>
            <w:r>
              <w:rPr>
                <w:rFonts w:eastAsiaTheme="minorEastAsia"/>
              </w:rPr>
              <w:t>Required</w:t>
            </w:r>
          </w:p>
        </w:tc>
      </w:tr>
      <w:tr w:rsidR="001253EE" w14:paraId="12F39149" w14:textId="77777777" w:rsidTr="00B71607">
        <w:trPr>
          <w:jc w:val="center"/>
        </w:trPr>
        <w:tc>
          <w:tcPr>
            <w:tcW w:w="715" w:type="dxa"/>
            <w:vAlign w:val="center"/>
          </w:tcPr>
          <w:p w14:paraId="26788EE6" w14:textId="1C1DED89" w:rsidR="001253EE" w:rsidRPr="00220FFB" w:rsidRDefault="001253EE" w:rsidP="00B71607">
            <w:pPr>
              <w:pStyle w:val="TMGTableText"/>
              <w:spacing w:before="10" w:after="0"/>
              <w:ind w:left="0" w:right="144"/>
              <w:jc w:val="right"/>
              <w:rPr>
                <w:b/>
                <w:bCs/>
              </w:rPr>
            </w:pPr>
            <w:r w:rsidRPr="00220FFB">
              <w:rPr>
                <w:rFonts w:eastAsiaTheme="minorEastAsia"/>
                <w:b/>
                <w:bCs/>
              </w:rPr>
              <w:t>9</w:t>
            </w:r>
          </w:p>
        </w:tc>
        <w:tc>
          <w:tcPr>
            <w:tcW w:w="900" w:type="dxa"/>
            <w:vAlign w:val="center"/>
          </w:tcPr>
          <w:p w14:paraId="7A0EE4B1" w14:textId="432E5F43" w:rsidR="001253EE" w:rsidRPr="004859C8" w:rsidRDefault="001253EE" w:rsidP="00B71607">
            <w:pPr>
              <w:pStyle w:val="TMGTableText"/>
              <w:spacing w:before="10" w:after="0"/>
              <w:jc w:val="center"/>
            </w:pPr>
            <w:r w:rsidRPr="00877387">
              <w:rPr>
                <w:rFonts w:eastAsiaTheme="minorEastAsia"/>
              </w:rPr>
              <w:t>20-21</w:t>
            </w:r>
          </w:p>
        </w:tc>
        <w:tc>
          <w:tcPr>
            <w:tcW w:w="1080" w:type="dxa"/>
            <w:vAlign w:val="center"/>
          </w:tcPr>
          <w:p w14:paraId="28686405" w14:textId="6509538C" w:rsidR="001253EE" w:rsidRPr="004859C8" w:rsidRDefault="001253EE" w:rsidP="00B71607">
            <w:pPr>
              <w:pStyle w:val="TMGTableText"/>
              <w:spacing w:before="10" w:after="0"/>
              <w:jc w:val="center"/>
            </w:pPr>
            <w:r w:rsidRPr="00877387">
              <w:rPr>
                <w:rFonts w:eastAsiaTheme="minorEastAsia"/>
              </w:rPr>
              <w:t>2</w:t>
            </w:r>
          </w:p>
        </w:tc>
        <w:tc>
          <w:tcPr>
            <w:tcW w:w="4050" w:type="dxa"/>
          </w:tcPr>
          <w:p w14:paraId="47D1E843" w14:textId="31D70344" w:rsidR="001253EE" w:rsidRPr="004859C8" w:rsidRDefault="001253EE" w:rsidP="00B71607">
            <w:pPr>
              <w:pStyle w:val="TMGTableText"/>
              <w:spacing w:before="10" w:after="0"/>
            </w:pPr>
            <w:r w:rsidRPr="00877387">
              <w:rPr>
                <w:rFonts w:eastAsiaTheme="minorEastAsia"/>
              </w:rPr>
              <w:t>Hour of Day</w:t>
            </w:r>
            <w:r>
              <w:rPr>
                <w:rFonts w:eastAsiaTheme="minorEastAsia"/>
              </w:rPr>
              <w:t xml:space="preserve"> </w:t>
            </w:r>
            <w:r w:rsidRPr="00877387">
              <w:rPr>
                <w:rFonts w:eastAsiaTheme="minorEastAsia"/>
              </w:rPr>
              <w:t>(HOD)</w:t>
            </w:r>
          </w:p>
        </w:tc>
        <w:tc>
          <w:tcPr>
            <w:tcW w:w="1350" w:type="dxa"/>
            <w:vAlign w:val="center"/>
          </w:tcPr>
          <w:p w14:paraId="5AC82103" w14:textId="20A526A4" w:rsidR="001253EE" w:rsidRPr="004859C8" w:rsidRDefault="001253EE" w:rsidP="00B71607">
            <w:pPr>
              <w:pStyle w:val="TMGTableText"/>
              <w:spacing w:before="10" w:after="0"/>
              <w:jc w:val="center"/>
            </w:pPr>
            <w:r w:rsidRPr="005436EF">
              <w:t>Integer</w:t>
            </w:r>
          </w:p>
        </w:tc>
        <w:tc>
          <w:tcPr>
            <w:tcW w:w="1265" w:type="dxa"/>
            <w:vAlign w:val="center"/>
          </w:tcPr>
          <w:p w14:paraId="4AA765A7" w14:textId="7AC81A5F" w:rsidR="001253EE" w:rsidRPr="00C251E9" w:rsidRDefault="001253EE" w:rsidP="00B71607">
            <w:pPr>
              <w:pStyle w:val="TMGTableText"/>
              <w:spacing w:before="10" w:after="0"/>
              <w:jc w:val="center"/>
            </w:pPr>
            <w:r>
              <w:rPr>
                <w:rFonts w:eastAsiaTheme="minorEastAsia"/>
              </w:rPr>
              <w:t>Required</w:t>
            </w:r>
          </w:p>
        </w:tc>
      </w:tr>
      <w:tr w:rsidR="001253EE" w14:paraId="27534CF6" w14:textId="77777777" w:rsidTr="00B71607">
        <w:trPr>
          <w:jc w:val="center"/>
        </w:trPr>
        <w:tc>
          <w:tcPr>
            <w:tcW w:w="715" w:type="dxa"/>
            <w:vAlign w:val="center"/>
          </w:tcPr>
          <w:p w14:paraId="31AD84DA" w14:textId="69A8A293" w:rsidR="001253EE" w:rsidRPr="00220FFB" w:rsidRDefault="001253EE" w:rsidP="00B71607">
            <w:pPr>
              <w:pStyle w:val="TMGTableText"/>
              <w:spacing w:before="10" w:after="0"/>
              <w:ind w:left="0" w:right="144"/>
              <w:jc w:val="right"/>
              <w:rPr>
                <w:b/>
                <w:bCs/>
              </w:rPr>
            </w:pPr>
            <w:r w:rsidRPr="00220FFB">
              <w:rPr>
                <w:rFonts w:eastAsiaTheme="minorEastAsia"/>
                <w:b/>
                <w:bCs/>
              </w:rPr>
              <w:t>10</w:t>
            </w:r>
          </w:p>
        </w:tc>
        <w:tc>
          <w:tcPr>
            <w:tcW w:w="900" w:type="dxa"/>
            <w:vAlign w:val="center"/>
          </w:tcPr>
          <w:p w14:paraId="68CE76EF" w14:textId="0571C92F" w:rsidR="001253EE" w:rsidRPr="004859C8" w:rsidRDefault="001253EE" w:rsidP="00B71607">
            <w:pPr>
              <w:pStyle w:val="TMGTableText"/>
              <w:spacing w:before="10" w:after="0"/>
              <w:jc w:val="center"/>
            </w:pPr>
            <w:r w:rsidRPr="00877387">
              <w:rPr>
                <w:rFonts w:eastAsiaTheme="minorEastAsia"/>
              </w:rPr>
              <w:t>22-23</w:t>
            </w:r>
          </w:p>
        </w:tc>
        <w:tc>
          <w:tcPr>
            <w:tcW w:w="1080" w:type="dxa"/>
            <w:vAlign w:val="center"/>
          </w:tcPr>
          <w:p w14:paraId="53B5A390" w14:textId="793FB323" w:rsidR="001253EE" w:rsidRPr="004859C8" w:rsidRDefault="001253EE" w:rsidP="00B71607">
            <w:pPr>
              <w:pStyle w:val="TMGTableText"/>
              <w:spacing w:before="10" w:after="0"/>
              <w:jc w:val="center"/>
            </w:pPr>
            <w:r w:rsidRPr="00877387">
              <w:rPr>
                <w:rFonts w:eastAsiaTheme="minorEastAsia"/>
              </w:rPr>
              <w:t>2</w:t>
            </w:r>
          </w:p>
        </w:tc>
        <w:tc>
          <w:tcPr>
            <w:tcW w:w="4050" w:type="dxa"/>
          </w:tcPr>
          <w:p w14:paraId="7A50A500" w14:textId="1BC84638" w:rsidR="001253EE" w:rsidRPr="004859C8" w:rsidRDefault="001253EE" w:rsidP="00B71607">
            <w:pPr>
              <w:pStyle w:val="TMGTableText"/>
              <w:spacing w:before="10" w:after="0"/>
            </w:pPr>
            <w:r w:rsidRPr="00877387">
              <w:rPr>
                <w:rFonts w:eastAsiaTheme="minorEastAsia"/>
              </w:rPr>
              <w:t>Minute of Hour (MOH)</w:t>
            </w:r>
          </w:p>
        </w:tc>
        <w:tc>
          <w:tcPr>
            <w:tcW w:w="1350" w:type="dxa"/>
            <w:vAlign w:val="center"/>
          </w:tcPr>
          <w:p w14:paraId="02D6DB1A" w14:textId="6D3A9999" w:rsidR="001253EE" w:rsidRPr="004859C8" w:rsidRDefault="001253EE" w:rsidP="00B71607">
            <w:pPr>
              <w:pStyle w:val="TMGTableText"/>
              <w:spacing w:before="10" w:after="0"/>
              <w:jc w:val="center"/>
            </w:pPr>
            <w:r w:rsidRPr="005436EF">
              <w:t>Integer</w:t>
            </w:r>
          </w:p>
        </w:tc>
        <w:tc>
          <w:tcPr>
            <w:tcW w:w="1265" w:type="dxa"/>
            <w:vAlign w:val="center"/>
          </w:tcPr>
          <w:p w14:paraId="07A02FB8" w14:textId="7C2378D1" w:rsidR="001253EE" w:rsidRPr="00C251E9" w:rsidRDefault="001253EE" w:rsidP="00B71607">
            <w:pPr>
              <w:pStyle w:val="TMGTableText"/>
              <w:spacing w:before="10" w:after="0"/>
              <w:jc w:val="center"/>
            </w:pPr>
            <w:r>
              <w:rPr>
                <w:rFonts w:eastAsiaTheme="minorEastAsia"/>
              </w:rPr>
              <w:t>Required</w:t>
            </w:r>
          </w:p>
        </w:tc>
      </w:tr>
      <w:tr w:rsidR="001253EE" w14:paraId="6704099D" w14:textId="77777777" w:rsidTr="00B71607">
        <w:trPr>
          <w:jc w:val="center"/>
        </w:trPr>
        <w:tc>
          <w:tcPr>
            <w:tcW w:w="715" w:type="dxa"/>
            <w:vAlign w:val="center"/>
          </w:tcPr>
          <w:p w14:paraId="64B39BBB" w14:textId="77DEDC0A" w:rsidR="001253EE" w:rsidRPr="00220FFB" w:rsidRDefault="001253EE" w:rsidP="00B71607">
            <w:pPr>
              <w:pStyle w:val="TMGTableText"/>
              <w:spacing w:before="10" w:after="0"/>
              <w:ind w:left="0" w:right="144"/>
              <w:jc w:val="right"/>
              <w:rPr>
                <w:b/>
                <w:bCs/>
              </w:rPr>
            </w:pPr>
            <w:r w:rsidRPr="00220FFB">
              <w:rPr>
                <w:rFonts w:eastAsiaTheme="minorEastAsia"/>
                <w:b/>
                <w:bCs/>
              </w:rPr>
              <w:t>11</w:t>
            </w:r>
          </w:p>
        </w:tc>
        <w:tc>
          <w:tcPr>
            <w:tcW w:w="900" w:type="dxa"/>
            <w:vAlign w:val="center"/>
          </w:tcPr>
          <w:p w14:paraId="596A46AC" w14:textId="3BAC5E0D" w:rsidR="001253EE" w:rsidRPr="004859C8" w:rsidRDefault="001253EE" w:rsidP="00B71607">
            <w:pPr>
              <w:pStyle w:val="TMGTableText"/>
              <w:spacing w:before="10" w:after="0"/>
              <w:jc w:val="center"/>
            </w:pPr>
            <w:r w:rsidRPr="00877387">
              <w:rPr>
                <w:rFonts w:eastAsiaTheme="minorEastAsia"/>
              </w:rPr>
              <w:t>24-25</w:t>
            </w:r>
          </w:p>
        </w:tc>
        <w:tc>
          <w:tcPr>
            <w:tcW w:w="1080" w:type="dxa"/>
            <w:vAlign w:val="center"/>
          </w:tcPr>
          <w:p w14:paraId="5D262A58" w14:textId="5EA0DA49" w:rsidR="001253EE" w:rsidRPr="004859C8" w:rsidRDefault="001253EE" w:rsidP="00B71607">
            <w:pPr>
              <w:pStyle w:val="TMGTableText"/>
              <w:spacing w:before="10" w:after="0"/>
              <w:jc w:val="center"/>
            </w:pPr>
            <w:r w:rsidRPr="00877387">
              <w:rPr>
                <w:rFonts w:eastAsiaTheme="minorEastAsia"/>
              </w:rPr>
              <w:t>2</w:t>
            </w:r>
          </w:p>
        </w:tc>
        <w:tc>
          <w:tcPr>
            <w:tcW w:w="4050" w:type="dxa"/>
          </w:tcPr>
          <w:p w14:paraId="1C336775" w14:textId="5BE2F9E2" w:rsidR="001253EE" w:rsidRPr="004859C8" w:rsidRDefault="001253EE" w:rsidP="00B71607">
            <w:pPr>
              <w:pStyle w:val="TMGTableText"/>
              <w:spacing w:before="10" w:after="0"/>
            </w:pPr>
            <w:r w:rsidRPr="00877387">
              <w:rPr>
                <w:rFonts w:eastAsiaTheme="minorEastAsia"/>
              </w:rPr>
              <w:t>Second of Minute (SOM)</w:t>
            </w:r>
          </w:p>
        </w:tc>
        <w:tc>
          <w:tcPr>
            <w:tcW w:w="1350" w:type="dxa"/>
            <w:vAlign w:val="center"/>
          </w:tcPr>
          <w:p w14:paraId="7B14C626" w14:textId="2D994B5D" w:rsidR="001253EE" w:rsidRPr="004859C8" w:rsidRDefault="001253EE" w:rsidP="00B71607">
            <w:pPr>
              <w:pStyle w:val="TMGTableText"/>
              <w:spacing w:before="10" w:after="0"/>
              <w:jc w:val="center"/>
            </w:pPr>
            <w:r w:rsidRPr="005436EF">
              <w:t>Integer</w:t>
            </w:r>
          </w:p>
        </w:tc>
        <w:tc>
          <w:tcPr>
            <w:tcW w:w="1265" w:type="dxa"/>
            <w:vAlign w:val="center"/>
          </w:tcPr>
          <w:p w14:paraId="6702870E" w14:textId="6CECF6B7" w:rsidR="001253EE" w:rsidRPr="00C251E9" w:rsidRDefault="001253EE" w:rsidP="00B71607">
            <w:pPr>
              <w:pStyle w:val="TMGTableText"/>
              <w:spacing w:before="10" w:after="0"/>
              <w:jc w:val="center"/>
            </w:pPr>
            <w:r>
              <w:rPr>
                <w:rFonts w:eastAsiaTheme="minorEastAsia"/>
              </w:rPr>
              <w:t>Required</w:t>
            </w:r>
          </w:p>
        </w:tc>
      </w:tr>
      <w:tr w:rsidR="001253EE" w14:paraId="32B4BFC9" w14:textId="77777777" w:rsidTr="00B71607">
        <w:trPr>
          <w:jc w:val="center"/>
        </w:trPr>
        <w:tc>
          <w:tcPr>
            <w:tcW w:w="715" w:type="dxa"/>
            <w:vAlign w:val="center"/>
          </w:tcPr>
          <w:p w14:paraId="005659D9" w14:textId="59C1B2B4" w:rsidR="001253EE" w:rsidRPr="00220FFB" w:rsidRDefault="001253EE" w:rsidP="00B71607">
            <w:pPr>
              <w:pStyle w:val="TMGTableText"/>
              <w:spacing w:before="10" w:after="0"/>
              <w:ind w:left="0" w:right="144"/>
              <w:jc w:val="right"/>
              <w:rPr>
                <w:b/>
                <w:bCs/>
              </w:rPr>
            </w:pPr>
            <w:r w:rsidRPr="00220FFB">
              <w:rPr>
                <w:rFonts w:eastAsiaTheme="minorEastAsia"/>
                <w:b/>
                <w:bCs/>
              </w:rPr>
              <w:t>12</w:t>
            </w:r>
          </w:p>
        </w:tc>
        <w:tc>
          <w:tcPr>
            <w:tcW w:w="900" w:type="dxa"/>
            <w:vAlign w:val="center"/>
          </w:tcPr>
          <w:p w14:paraId="0BC18272" w14:textId="76F196B4" w:rsidR="001253EE" w:rsidRPr="004859C8" w:rsidRDefault="001253EE" w:rsidP="00B71607">
            <w:pPr>
              <w:pStyle w:val="TMGTableText"/>
              <w:spacing w:before="10" w:after="0"/>
              <w:jc w:val="center"/>
            </w:pPr>
            <w:r w:rsidRPr="00877387">
              <w:rPr>
                <w:rFonts w:eastAsiaTheme="minorEastAsia"/>
              </w:rPr>
              <w:t>26-27</w:t>
            </w:r>
          </w:p>
        </w:tc>
        <w:tc>
          <w:tcPr>
            <w:tcW w:w="1080" w:type="dxa"/>
            <w:vAlign w:val="center"/>
          </w:tcPr>
          <w:p w14:paraId="19B61421" w14:textId="2D2F6623" w:rsidR="001253EE" w:rsidRPr="004859C8" w:rsidRDefault="001253EE" w:rsidP="00B71607">
            <w:pPr>
              <w:pStyle w:val="TMGTableText"/>
              <w:spacing w:before="10" w:after="0"/>
              <w:jc w:val="center"/>
            </w:pPr>
            <w:r w:rsidRPr="00877387">
              <w:rPr>
                <w:rFonts w:eastAsiaTheme="minorEastAsia"/>
              </w:rPr>
              <w:t>2</w:t>
            </w:r>
          </w:p>
        </w:tc>
        <w:tc>
          <w:tcPr>
            <w:tcW w:w="4050" w:type="dxa"/>
          </w:tcPr>
          <w:p w14:paraId="792EE721" w14:textId="0E6E122D" w:rsidR="001253EE" w:rsidRPr="004859C8" w:rsidRDefault="001253EE" w:rsidP="00B71607">
            <w:pPr>
              <w:pStyle w:val="TMGTableText"/>
              <w:spacing w:before="10" w:after="0"/>
            </w:pPr>
            <w:r w:rsidRPr="00877387">
              <w:rPr>
                <w:rFonts w:eastAsiaTheme="minorEastAsia"/>
              </w:rPr>
              <w:t>Sub Second of Second (SSOS)</w:t>
            </w:r>
          </w:p>
        </w:tc>
        <w:tc>
          <w:tcPr>
            <w:tcW w:w="1350" w:type="dxa"/>
            <w:vAlign w:val="center"/>
          </w:tcPr>
          <w:p w14:paraId="1765D3F1" w14:textId="2FBC0A70" w:rsidR="001253EE" w:rsidRPr="004859C8" w:rsidRDefault="001253EE" w:rsidP="00B71607">
            <w:pPr>
              <w:pStyle w:val="TMGTableText"/>
              <w:spacing w:before="10" w:after="0"/>
              <w:jc w:val="center"/>
            </w:pPr>
            <w:r w:rsidRPr="005436EF">
              <w:t>Integer</w:t>
            </w:r>
          </w:p>
        </w:tc>
        <w:tc>
          <w:tcPr>
            <w:tcW w:w="1265" w:type="dxa"/>
            <w:vAlign w:val="center"/>
          </w:tcPr>
          <w:p w14:paraId="3880727C" w14:textId="5BE9261B" w:rsidR="001253EE" w:rsidRPr="00C251E9" w:rsidRDefault="001253EE" w:rsidP="00B71607">
            <w:pPr>
              <w:pStyle w:val="TMGTableText"/>
              <w:spacing w:before="10" w:after="0"/>
              <w:jc w:val="center"/>
            </w:pPr>
            <w:r>
              <w:rPr>
                <w:rFonts w:eastAsiaTheme="minorEastAsia"/>
              </w:rPr>
              <w:t>Required</w:t>
            </w:r>
          </w:p>
        </w:tc>
      </w:tr>
      <w:tr w:rsidR="001253EE" w14:paraId="649889B0" w14:textId="77777777" w:rsidTr="00B71607">
        <w:trPr>
          <w:trHeight w:val="52"/>
          <w:jc w:val="center"/>
        </w:trPr>
        <w:tc>
          <w:tcPr>
            <w:tcW w:w="715" w:type="dxa"/>
            <w:vAlign w:val="center"/>
          </w:tcPr>
          <w:p w14:paraId="5D183208" w14:textId="1A67B539" w:rsidR="001253EE" w:rsidRPr="00220FFB" w:rsidRDefault="001253EE" w:rsidP="00B71607">
            <w:pPr>
              <w:pStyle w:val="TMGTableText"/>
              <w:spacing w:before="10" w:after="0"/>
              <w:ind w:left="0" w:right="144"/>
              <w:jc w:val="right"/>
              <w:rPr>
                <w:b/>
                <w:bCs/>
              </w:rPr>
            </w:pPr>
            <w:r w:rsidRPr="00220FFB">
              <w:rPr>
                <w:rFonts w:eastAsiaTheme="minorEastAsia"/>
                <w:b/>
                <w:bCs/>
              </w:rPr>
              <w:t>13</w:t>
            </w:r>
          </w:p>
        </w:tc>
        <w:tc>
          <w:tcPr>
            <w:tcW w:w="900" w:type="dxa"/>
            <w:vAlign w:val="center"/>
          </w:tcPr>
          <w:p w14:paraId="04444D14" w14:textId="17A01643" w:rsidR="001253EE" w:rsidRPr="004859C8" w:rsidRDefault="001253EE" w:rsidP="00B71607">
            <w:pPr>
              <w:pStyle w:val="TMGTableText"/>
              <w:spacing w:before="10" w:after="0"/>
              <w:jc w:val="center"/>
            </w:pPr>
            <w:r w:rsidRPr="00877387">
              <w:rPr>
                <w:rFonts w:eastAsiaTheme="minorEastAsia"/>
              </w:rPr>
              <w:t>28</w:t>
            </w:r>
          </w:p>
        </w:tc>
        <w:tc>
          <w:tcPr>
            <w:tcW w:w="1080" w:type="dxa"/>
            <w:vAlign w:val="center"/>
          </w:tcPr>
          <w:p w14:paraId="4B4DA885" w14:textId="7382D7E9" w:rsidR="001253EE" w:rsidRPr="004859C8" w:rsidRDefault="001253EE" w:rsidP="00B71607">
            <w:pPr>
              <w:pStyle w:val="TMGTableText"/>
              <w:spacing w:before="10" w:after="0"/>
              <w:jc w:val="center"/>
            </w:pPr>
            <w:r w:rsidRPr="00877387">
              <w:rPr>
                <w:rFonts w:eastAsiaTheme="minorEastAsia"/>
              </w:rPr>
              <w:t>1</w:t>
            </w:r>
          </w:p>
        </w:tc>
        <w:tc>
          <w:tcPr>
            <w:tcW w:w="4050" w:type="dxa"/>
          </w:tcPr>
          <w:p w14:paraId="7D46CF41" w14:textId="7DA20219" w:rsidR="001253EE" w:rsidRPr="004859C8" w:rsidRDefault="001253EE" w:rsidP="00B71607">
            <w:pPr>
              <w:pStyle w:val="TMGTableText"/>
              <w:spacing w:before="10" w:after="0"/>
            </w:pPr>
            <w:r w:rsidRPr="00877387">
              <w:rPr>
                <w:rFonts w:eastAsiaTheme="minorEastAsia"/>
              </w:rPr>
              <w:t>T</w:t>
            </w:r>
          </w:p>
        </w:tc>
        <w:tc>
          <w:tcPr>
            <w:tcW w:w="1350" w:type="dxa"/>
            <w:vAlign w:val="center"/>
          </w:tcPr>
          <w:p w14:paraId="2089E1C2" w14:textId="4B376E0B" w:rsidR="001253EE" w:rsidRPr="004859C8" w:rsidRDefault="001253EE" w:rsidP="00B71607">
            <w:pPr>
              <w:pStyle w:val="TMGTableText"/>
              <w:spacing w:before="10" w:after="0"/>
              <w:jc w:val="center"/>
            </w:pPr>
            <w:r w:rsidRPr="00BB62A5">
              <w:t>Alphanumeric</w:t>
            </w:r>
          </w:p>
        </w:tc>
        <w:tc>
          <w:tcPr>
            <w:tcW w:w="1265" w:type="dxa"/>
            <w:vAlign w:val="center"/>
          </w:tcPr>
          <w:p w14:paraId="64A68DBD" w14:textId="28858AAB" w:rsidR="001253EE" w:rsidRPr="00C251E9" w:rsidRDefault="001253EE" w:rsidP="00B71607">
            <w:pPr>
              <w:pStyle w:val="TMGTableText"/>
              <w:spacing w:before="10" w:after="0"/>
              <w:jc w:val="center"/>
            </w:pPr>
            <w:r>
              <w:rPr>
                <w:rFonts w:eastAsiaTheme="minorEastAsia"/>
              </w:rPr>
              <w:t>Required</w:t>
            </w:r>
          </w:p>
        </w:tc>
      </w:tr>
      <w:tr w:rsidR="001253EE" w14:paraId="48A0F970" w14:textId="77777777" w:rsidTr="00B71607">
        <w:trPr>
          <w:jc w:val="center"/>
        </w:trPr>
        <w:tc>
          <w:tcPr>
            <w:tcW w:w="715" w:type="dxa"/>
            <w:vAlign w:val="center"/>
          </w:tcPr>
          <w:p w14:paraId="66B3E222" w14:textId="26258077" w:rsidR="001253EE" w:rsidRPr="00220FFB" w:rsidRDefault="001253EE" w:rsidP="00B71607">
            <w:pPr>
              <w:pStyle w:val="TMGTableText"/>
              <w:spacing w:before="10" w:after="0"/>
              <w:ind w:left="0" w:right="144"/>
              <w:jc w:val="right"/>
              <w:rPr>
                <w:b/>
                <w:bCs/>
              </w:rPr>
            </w:pPr>
            <w:r w:rsidRPr="00220FFB">
              <w:rPr>
                <w:rFonts w:eastAsiaTheme="minorEastAsia"/>
                <w:b/>
                <w:bCs/>
              </w:rPr>
              <w:t>14</w:t>
            </w:r>
          </w:p>
        </w:tc>
        <w:tc>
          <w:tcPr>
            <w:tcW w:w="900" w:type="dxa"/>
            <w:vAlign w:val="center"/>
          </w:tcPr>
          <w:p w14:paraId="1DF72BBD" w14:textId="07BE0D81" w:rsidR="001253EE" w:rsidRPr="004859C8" w:rsidRDefault="001253EE" w:rsidP="00B71607">
            <w:pPr>
              <w:pStyle w:val="TMGTableText"/>
              <w:spacing w:before="10" w:after="0"/>
              <w:jc w:val="center"/>
            </w:pPr>
            <w:r w:rsidRPr="00877387">
              <w:rPr>
                <w:rFonts w:eastAsiaTheme="minorEastAsia"/>
              </w:rPr>
              <w:t>29-33</w:t>
            </w:r>
          </w:p>
        </w:tc>
        <w:tc>
          <w:tcPr>
            <w:tcW w:w="1080" w:type="dxa"/>
            <w:vAlign w:val="center"/>
          </w:tcPr>
          <w:p w14:paraId="2E55BA7E" w14:textId="2118D127" w:rsidR="001253EE" w:rsidRPr="004859C8" w:rsidRDefault="001253EE" w:rsidP="00B71607">
            <w:pPr>
              <w:pStyle w:val="TMGTableText"/>
              <w:spacing w:before="10" w:after="0"/>
              <w:jc w:val="center"/>
            </w:pPr>
            <w:r w:rsidRPr="00877387">
              <w:rPr>
                <w:rFonts w:eastAsiaTheme="minorEastAsia"/>
              </w:rPr>
              <w:t>5</w:t>
            </w:r>
          </w:p>
        </w:tc>
        <w:tc>
          <w:tcPr>
            <w:tcW w:w="4050" w:type="dxa"/>
          </w:tcPr>
          <w:p w14:paraId="29E03C88" w14:textId="501C7CFD" w:rsidR="001253EE" w:rsidRPr="004859C8" w:rsidRDefault="001253EE" w:rsidP="00B71607">
            <w:pPr>
              <w:pStyle w:val="TMGTableText"/>
              <w:spacing w:before="10" w:after="0"/>
            </w:pPr>
            <w:r w:rsidRPr="00877387">
              <w:rPr>
                <w:rFonts w:eastAsiaTheme="minorEastAsia"/>
              </w:rPr>
              <w:t>Vehicle Signature/Other Use (VS)</w:t>
            </w:r>
          </w:p>
        </w:tc>
        <w:tc>
          <w:tcPr>
            <w:tcW w:w="1350" w:type="dxa"/>
            <w:vAlign w:val="center"/>
          </w:tcPr>
          <w:p w14:paraId="1A7EEF32" w14:textId="6FF3DC1C" w:rsidR="001253EE" w:rsidRPr="004859C8" w:rsidRDefault="001253EE" w:rsidP="00B71607">
            <w:pPr>
              <w:pStyle w:val="TMGTableText"/>
              <w:spacing w:before="10" w:after="0"/>
              <w:jc w:val="center"/>
            </w:pPr>
            <w:r w:rsidRPr="005436EF">
              <w:t>Integer</w:t>
            </w:r>
          </w:p>
        </w:tc>
        <w:tc>
          <w:tcPr>
            <w:tcW w:w="1265" w:type="dxa"/>
            <w:vAlign w:val="center"/>
          </w:tcPr>
          <w:p w14:paraId="12AB1713" w14:textId="79501514" w:rsidR="001253EE" w:rsidRPr="00C251E9" w:rsidRDefault="001253EE" w:rsidP="00B71607">
            <w:pPr>
              <w:pStyle w:val="TMGTableText"/>
              <w:spacing w:before="10" w:after="0"/>
              <w:jc w:val="center"/>
            </w:pPr>
            <w:r w:rsidRPr="00877387">
              <w:rPr>
                <w:rFonts w:eastAsiaTheme="minorEastAsia"/>
              </w:rPr>
              <w:t>O</w:t>
            </w:r>
            <w:r>
              <w:rPr>
                <w:rFonts w:eastAsiaTheme="minorEastAsia"/>
              </w:rPr>
              <w:t>ptional</w:t>
            </w:r>
          </w:p>
        </w:tc>
      </w:tr>
      <w:tr w:rsidR="001253EE" w14:paraId="5B0A5C3E" w14:textId="77777777" w:rsidTr="00B71607">
        <w:trPr>
          <w:jc w:val="center"/>
        </w:trPr>
        <w:tc>
          <w:tcPr>
            <w:tcW w:w="715" w:type="dxa"/>
            <w:vAlign w:val="center"/>
          </w:tcPr>
          <w:p w14:paraId="2EFB4CDC" w14:textId="1045AAA9" w:rsidR="001253EE" w:rsidRPr="00220FFB" w:rsidRDefault="001253EE" w:rsidP="00B71607">
            <w:pPr>
              <w:pStyle w:val="TMGTableText"/>
              <w:spacing w:before="10" w:after="0"/>
              <w:ind w:left="0" w:right="144"/>
              <w:jc w:val="right"/>
              <w:rPr>
                <w:b/>
                <w:bCs/>
              </w:rPr>
            </w:pPr>
            <w:r w:rsidRPr="00220FFB">
              <w:rPr>
                <w:rFonts w:eastAsiaTheme="minorEastAsia"/>
                <w:b/>
                <w:bCs/>
              </w:rPr>
              <w:t>15</w:t>
            </w:r>
          </w:p>
        </w:tc>
        <w:tc>
          <w:tcPr>
            <w:tcW w:w="900" w:type="dxa"/>
            <w:vAlign w:val="center"/>
          </w:tcPr>
          <w:p w14:paraId="79C05315" w14:textId="5BB0DBC0" w:rsidR="001253EE" w:rsidRPr="004859C8" w:rsidRDefault="001253EE" w:rsidP="00B71607">
            <w:pPr>
              <w:pStyle w:val="TMGTableText"/>
              <w:spacing w:before="10" w:after="0"/>
              <w:jc w:val="center"/>
            </w:pPr>
            <w:r w:rsidRPr="00877387">
              <w:rPr>
                <w:rFonts w:eastAsiaTheme="minorEastAsia"/>
              </w:rPr>
              <w:t>34-37</w:t>
            </w:r>
          </w:p>
        </w:tc>
        <w:tc>
          <w:tcPr>
            <w:tcW w:w="1080" w:type="dxa"/>
            <w:vAlign w:val="center"/>
          </w:tcPr>
          <w:p w14:paraId="6240518D" w14:textId="2AEB4418" w:rsidR="001253EE" w:rsidRPr="004859C8" w:rsidRDefault="001253EE" w:rsidP="00B71607">
            <w:pPr>
              <w:pStyle w:val="TMGTableText"/>
              <w:spacing w:before="10" w:after="0"/>
              <w:jc w:val="center"/>
            </w:pPr>
            <w:r w:rsidRPr="00877387">
              <w:rPr>
                <w:rFonts w:eastAsiaTheme="minorEastAsia"/>
              </w:rPr>
              <w:t>4</w:t>
            </w:r>
          </w:p>
        </w:tc>
        <w:tc>
          <w:tcPr>
            <w:tcW w:w="4050" w:type="dxa"/>
          </w:tcPr>
          <w:p w14:paraId="5885710D" w14:textId="1EA0236A" w:rsidR="001253EE" w:rsidRPr="004859C8" w:rsidRDefault="001253EE" w:rsidP="00B71607">
            <w:pPr>
              <w:pStyle w:val="TMGTableText"/>
              <w:spacing w:before="10" w:after="0"/>
            </w:pPr>
            <w:r w:rsidRPr="00877387">
              <w:rPr>
                <w:rFonts w:eastAsiaTheme="minorEastAsia"/>
              </w:rPr>
              <w:t>Vehicle Speed (SPD)</w:t>
            </w:r>
          </w:p>
        </w:tc>
        <w:tc>
          <w:tcPr>
            <w:tcW w:w="1350" w:type="dxa"/>
            <w:vAlign w:val="center"/>
          </w:tcPr>
          <w:p w14:paraId="124EEFF8" w14:textId="007B530F" w:rsidR="001253EE" w:rsidRPr="004859C8" w:rsidRDefault="001253EE" w:rsidP="00B71607">
            <w:pPr>
              <w:pStyle w:val="TMGTableText"/>
              <w:spacing w:before="10" w:after="0"/>
              <w:jc w:val="center"/>
            </w:pPr>
            <w:r w:rsidRPr="005436EF">
              <w:t>Integer</w:t>
            </w:r>
          </w:p>
        </w:tc>
        <w:tc>
          <w:tcPr>
            <w:tcW w:w="1265" w:type="dxa"/>
            <w:vAlign w:val="center"/>
          </w:tcPr>
          <w:p w14:paraId="7958B450" w14:textId="162E06BF" w:rsidR="001253EE" w:rsidRPr="00C251E9" w:rsidRDefault="001253EE" w:rsidP="00B71607">
            <w:pPr>
              <w:pStyle w:val="TMGTableText"/>
              <w:spacing w:before="10" w:after="0"/>
              <w:jc w:val="center"/>
            </w:pPr>
            <w:r>
              <w:rPr>
                <w:rFonts w:eastAsiaTheme="minorEastAsia"/>
              </w:rPr>
              <w:t>Required</w:t>
            </w:r>
          </w:p>
        </w:tc>
      </w:tr>
      <w:tr w:rsidR="001253EE" w14:paraId="00510A24" w14:textId="77777777" w:rsidTr="00B71607">
        <w:trPr>
          <w:jc w:val="center"/>
        </w:trPr>
        <w:tc>
          <w:tcPr>
            <w:tcW w:w="715" w:type="dxa"/>
            <w:vAlign w:val="center"/>
          </w:tcPr>
          <w:p w14:paraId="05E04A1C" w14:textId="7EC58BE0" w:rsidR="001253EE" w:rsidRPr="00220FFB" w:rsidRDefault="001253EE" w:rsidP="00B71607">
            <w:pPr>
              <w:pStyle w:val="TMGTableText"/>
              <w:spacing w:before="10" w:after="0"/>
              <w:ind w:left="0" w:right="144"/>
              <w:jc w:val="right"/>
              <w:rPr>
                <w:b/>
                <w:bCs/>
              </w:rPr>
            </w:pPr>
            <w:r w:rsidRPr="00220FFB">
              <w:rPr>
                <w:rFonts w:eastAsiaTheme="minorEastAsia"/>
                <w:b/>
                <w:bCs/>
              </w:rPr>
              <w:t>16</w:t>
            </w:r>
          </w:p>
        </w:tc>
        <w:tc>
          <w:tcPr>
            <w:tcW w:w="900" w:type="dxa"/>
            <w:vAlign w:val="center"/>
          </w:tcPr>
          <w:p w14:paraId="0887CBC6" w14:textId="7B940872" w:rsidR="001253EE" w:rsidRPr="004859C8" w:rsidRDefault="001253EE" w:rsidP="00B71607">
            <w:pPr>
              <w:pStyle w:val="TMGTableText"/>
              <w:spacing w:before="10" w:after="0"/>
              <w:jc w:val="center"/>
            </w:pPr>
            <w:r w:rsidRPr="00877387">
              <w:rPr>
                <w:rFonts w:eastAsiaTheme="minorEastAsia"/>
              </w:rPr>
              <w:t>38-39</w:t>
            </w:r>
          </w:p>
        </w:tc>
        <w:tc>
          <w:tcPr>
            <w:tcW w:w="1080" w:type="dxa"/>
            <w:vAlign w:val="center"/>
          </w:tcPr>
          <w:p w14:paraId="5CA12CDB" w14:textId="7914ED94" w:rsidR="001253EE" w:rsidRPr="004859C8" w:rsidRDefault="001253EE" w:rsidP="00B71607">
            <w:pPr>
              <w:pStyle w:val="TMGTableText"/>
              <w:spacing w:before="10" w:after="0"/>
              <w:jc w:val="center"/>
            </w:pPr>
            <w:r w:rsidRPr="00877387">
              <w:rPr>
                <w:rFonts w:eastAsiaTheme="minorEastAsia"/>
              </w:rPr>
              <w:t>2</w:t>
            </w:r>
          </w:p>
        </w:tc>
        <w:tc>
          <w:tcPr>
            <w:tcW w:w="4050" w:type="dxa"/>
          </w:tcPr>
          <w:p w14:paraId="2E42B883" w14:textId="32EB43D2" w:rsidR="001253EE" w:rsidRPr="004859C8" w:rsidRDefault="001253EE" w:rsidP="00B71607">
            <w:pPr>
              <w:pStyle w:val="TMGTableText"/>
              <w:spacing w:before="10" w:after="0"/>
            </w:pPr>
            <w:r w:rsidRPr="00877387">
              <w:rPr>
                <w:rFonts w:eastAsiaTheme="minorEastAsia"/>
              </w:rPr>
              <w:t>Vehicle Classification (CLS)</w:t>
            </w:r>
          </w:p>
        </w:tc>
        <w:tc>
          <w:tcPr>
            <w:tcW w:w="1350" w:type="dxa"/>
            <w:vAlign w:val="center"/>
          </w:tcPr>
          <w:p w14:paraId="50AD3C33" w14:textId="0695AF47" w:rsidR="001253EE" w:rsidRPr="004859C8" w:rsidRDefault="001253EE" w:rsidP="00B71607">
            <w:pPr>
              <w:pStyle w:val="TMGTableText"/>
              <w:spacing w:before="10" w:after="0"/>
              <w:jc w:val="center"/>
            </w:pPr>
            <w:r w:rsidRPr="005436EF">
              <w:t>Integer</w:t>
            </w:r>
          </w:p>
        </w:tc>
        <w:tc>
          <w:tcPr>
            <w:tcW w:w="1265" w:type="dxa"/>
            <w:vAlign w:val="center"/>
          </w:tcPr>
          <w:p w14:paraId="20EB5CBA" w14:textId="3771DE0E" w:rsidR="001253EE" w:rsidRPr="00C251E9" w:rsidRDefault="001253EE" w:rsidP="00B71607">
            <w:pPr>
              <w:pStyle w:val="TMGTableText"/>
              <w:spacing w:before="10" w:after="0"/>
              <w:jc w:val="center"/>
            </w:pPr>
            <w:r>
              <w:rPr>
                <w:rFonts w:eastAsiaTheme="minorEastAsia"/>
              </w:rPr>
              <w:t>Req.</w:t>
            </w:r>
            <w:r w:rsidRPr="00877387">
              <w:rPr>
                <w:rFonts w:eastAsiaTheme="minorEastAsia"/>
              </w:rPr>
              <w:t>/O</w:t>
            </w:r>
            <w:r>
              <w:rPr>
                <w:rFonts w:eastAsiaTheme="minorEastAsia"/>
              </w:rPr>
              <w:t>pt.</w:t>
            </w:r>
          </w:p>
        </w:tc>
      </w:tr>
      <w:tr w:rsidR="001253EE" w14:paraId="57E79CBD" w14:textId="77777777" w:rsidTr="00B71607">
        <w:trPr>
          <w:jc w:val="center"/>
        </w:trPr>
        <w:tc>
          <w:tcPr>
            <w:tcW w:w="715" w:type="dxa"/>
            <w:vAlign w:val="center"/>
          </w:tcPr>
          <w:p w14:paraId="647026DB" w14:textId="26609FD2" w:rsidR="001253EE" w:rsidRPr="00220FFB" w:rsidRDefault="001253EE" w:rsidP="00B71607">
            <w:pPr>
              <w:pStyle w:val="TMGTableText"/>
              <w:spacing w:before="10" w:after="0"/>
              <w:ind w:left="0" w:right="144"/>
              <w:jc w:val="right"/>
              <w:rPr>
                <w:b/>
                <w:bCs/>
              </w:rPr>
            </w:pPr>
            <w:r w:rsidRPr="00220FFB">
              <w:rPr>
                <w:rFonts w:eastAsiaTheme="minorEastAsia"/>
                <w:b/>
                <w:bCs/>
              </w:rPr>
              <w:t>17</w:t>
            </w:r>
          </w:p>
        </w:tc>
        <w:tc>
          <w:tcPr>
            <w:tcW w:w="900" w:type="dxa"/>
            <w:vAlign w:val="center"/>
          </w:tcPr>
          <w:p w14:paraId="3D8F8F94" w14:textId="63E001DF" w:rsidR="001253EE" w:rsidRPr="004859C8" w:rsidRDefault="001253EE" w:rsidP="00B71607">
            <w:pPr>
              <w:pStyle w:val="TMGTableText"/>
              <w:spacing w:before="10" w:after="0"/>
              <w:jc w:val="center"/>
            </w:pPr>
            <w:r>
              <w:rPr>
                <w:rFonts w:eastAsiaTheme="minorEastAsia"/>
              </w:rPr>
              <w:t>40-41</w:t>
            </w:r>
          </w:p>
        </w:tc>
        <w:tc>
          <w:tcPr>
            <w:tcW w:w="1080" w:type="dxa"/>
            <w:vAlign w:val="center"/>
          </w:tcPr>
          <w:p w14:paraId="4783E972" w14:textId="23B4A5E6" w:rsidR="001253EE" w:rsidRPr="004859C8" w:rsidRDefault="001253EE" w:rsidP="00B71607">
            <w:pPr>
              <w:pStyle w:val="TMGTableText"/>
              <w:spacing w:before="10" w:after="0"/>
              <w:jc w:val="center"/>
            </w:pPr>
            <w:r w:rsidRPr="00877387">
              <w:rPr>
                <w:rFonts w:eastAsiaTheme="minorEastAsia"/>
              </w:rPr>
              <w:t>2</w:t>
            </w:r>
          </w:p>
        </w:tc>
        <w:tc>
          <w:tcPr>
            <w:tcW w:w="4050" w:type="dxa"/>
          </w:tcPr>
          <w:p w14:paraId="2A9F9B99" w14:textId="644D32E2" w:rsidR="001253EE" w:rsidRPr="004859C8" w:rsidRDefault="001253EE" w:rsidP="00B71607">
            <w:pPr>
              <w:pStyle w:val="TMGTableText"/>
              <w:spacing w:before="10" w:after="0"/>
            </w:pPr>
            <w:r w:rsidRPr="00877387">
              <w:rPr>
                <w:rFonts w:eastAsiaTheme="minorEastAsia"/>
              </w:rPr>
              <w:t>Number of Axles (NAX)</w:t>
            </w:r>
          </w:p>
        </w:tc>
        <w:tc>
          <w:tcPr>
            <w:tcW w:w="1350" w:type="dxa"/>
            <w:vAlign w:val="center"/>
          </w:tcPr>
          <w:p w14:paraId="4821069C" w14:textId="00A5E923" w:rsidR="001253EE" w:rsidRPr="004859C8" w:rsidRDefault="001253EE" w:rsidP="00B71607">
            <w:pPr>
              <w:pStyle w:val="TMGTableText"/>
              <w:spacing w:before="10" w:after="0"/>
              <w:jc w:val="center"/>
            </w:pPr>
            <w:r w:rsidRPr="005436EF">
              <w:t>Integer</w:t>
            </w:r>
          </w:p>
        </w:tc>
        <w:tc>
          <w:tcPr>
            <w:tcW w:w="1265" w:type="dxa"/>
            <w:vAlign w:val="center"/>
          </w:tcPr>
          <w:p w14:paraId="36077A32" w14:textId="77ED9FCE" w:rsidR="001253EE" w:rsidRPr="00C251E9" w:rsidRDefault="001253EE" w:rsidP="00B71607">
            <w:pPr>
              <w:pStyle w:val="TMGTableText"/>
              <w:spacing w:before="10" w:after="0"/>
              <w:jc w:val="center"/>
            </w:pPr>
            <w:r>
              <w:rPr>
                <w:rFonts w:eastAsiaTheme="minorEastAsia"/>
              </w:rPr>
              <w:t>Req.</w:t>
            </w:r>
            <w:r w:rsidRPr="00877387">
              <w:rPr>
                <w:rFonts w:eastAsiaTheme="minorEastAsia"/>
              </w:rPr>
              <w:t>/O</w:t>
            </w:r>
            <w:r>
              <w:rPr>
                <w:rFonts w:eastAsiaTheme="minorEastAsia"/>
              </w:rPr>
              <w:t>pt.</w:t>
            </w:r>
          </w:p>
        </w:tc>
      </w:tr>
      <w:tr w:rsidR="001253EE" w14:paraId="544FE2AF" w14:textId="77777777" w:rsidTr="00B71607">
        <w:trPr>
          <w:jc w:val="center"/>
        </w:trPr>
        <w:tc>
          <w:tcPr>
            <w:tcW w:w="715" w:type="dxa"/>
            <w:vAlign w:val="center"/>
          </w:tcPr>
          <w:p w14:paraId="75A9C5E3" w14:textId="72189599" w:rsidR="001253EE" w:rsidRPr="00220FFB" w:rsidRDefault="001253EE" w:rsidP="00B71607">
            <w:pPr>
              <w:pStyle w:val="TMGTableText"/>
              <w:spacing w:before="10" w:after="0"/>
              <w:ind w:left="0" w:right="144"/>
              <w:jc w:val="right"/>
              <w:rPr>
                <w:b/>
                <w:bCs/>
              </w:rPr>
            </w:pPr>
            <w:r w:rsidRPr="00220FFB">
              <w:rPr>
                <w:rFonts w:eastAsiaTheme="minorEastAsia"/>
                <w:b/>
                <w:bCs/>
              </w:rPr>
              <w:t>18</w:t>
            </w:r>
          </w:p>
        </w:tc>
        <w:tc>
          <w:tcPr>
            <w:tcW w:w="900" w:type="dxa"/>
            <w:vAlign w:val="center"/>
          </w:tcPr>
          <w:p w14:paraId="0D1979B9" w14:textId="34300C63" w:rsidR="001253EE" w:rsidRPr="004859C8" w:rsidRDefault="001253EE" w:rsidP="00B71607">
            <w:pPr>
              <w:pStyle w:val="TMGTableText"/>
              <w:spacing w:before="10" w:after="0"/>
              <w:jc w:val="center"/>
            </w:pPr>
            <w:r w:rsidRPr="00877387">
              <w:rPr>
                <w:rFonts w:eastAsiaTheme="minorEastAsia"/>
              </w:rPr>
              <w:t>42-45</w:t>
            </w:r>
          </w:p>
        </w:tc>
        <w:tc>
          <w:tcPr>
            <w:tcW w:w="1080" w:type="dxa"/>
            <w:vAlign w:val="center"/>
          </w:tcPr>
          <w:p w14:paraId="255F632F" w14:textId="32580AE8" w:rsidR="001253EE" w:rsidRPr="004859C8" w:rsidRDefault="001253EE" w:rsidP="00B71607">
            <w:pPr>
              <w:pStyle w:val="TMGTableText"/>
              <w:spacing w:before="10" w:after="0"/>
              <w:jc w:val="center"/>
            </w:pPr>
            <w:r>
              <w:rPr>
                <w:rFonts w:eastAsiaTheme="minorEastAsia"/>
              </w:rPr>
              <w:t>4</w:t>
            </w:r>
          </w:p>
        </w:tc>
        <w:tc>
          <w:tcPr>
            <w:tcW w:w="4050" w:type="dxa"/>
          </w:tcPr>
          <w:p w14:paraId="576CC5A9" w14:textId="76A7310F" w:rsidR="001253EE" w:rsidRPr="004859C8" w:rsidRDefault="001253EE" w:rsidP="00B71607">
            <w:pPr>
              <w:pStyle w:val="TMGTableText"/>
              <w:spacing w:before="10" w:after="0"/>
            </w:pPr>
            <w:r w:rsidRPr="00877387">
              <w:rPr>
                <w:rFonts w:eastAsiaTheme="minorEastAsia"/>
              </w:rPr>
              <w:t>Total Vehicle Length (bumper to bumper</w:t>
            </w:r>
            <w:r>
              <w:rPr>
                <w:rFonts w:eastAsiaTheme="minorEastAsia"/>
              </w:rPr>
              <w:t>)</w:t>
            </w:r>
            <w:r w:rsidRPr="00877387">
              <w:rPr>
                <w:rFonts w:eastAsiaTheme="minorEastAsia"/>
              </w:rPr>
              <w:t xml:space="preserve"> (TVL)</w:t>
            </w:r>
          </w:p>
        </w:tc>
        <w:tc>
          <w:tcPr>
            <w:tcW w:w="1350" w:type="dxa"/>
            <w:vAlign w:val="center"/>
          </w:tcPr>
          <w:p w14:paraId="02E7B818" w14:textId="0711F0EF" w:rsidR="001253EE" w:rsidRPr="004859C8" w:rsidRDefault="001253EE" w:rsidP="00B71607">
            <w:pPr>
              <w:pStyle w:val="TMGTableText"/>
              <w:spacing w:before="10" w:after="0"/>
              <w:jc w:val="center"/>
            </w:pPr>
            <w:r w:rsidRPr="005436EF">
              <w:t>Integer</w:t>
            </w:r>
          </w:p>
        </w:tc>
        <w:tc>
          <w:tcPr>
            <w:tcW w:w="1265" w:type="dxa"/>
            <w:vAlign w:val="center"/>
          </w:tcPr>
          <w:p w14:paraId="3FF5D096" w14:textId="5654A444" w:rsidR="001253EE" w:rsidRPr="00C251E9" w:rsidRDefault="001253EE" w:rsidP="00B71607">
            <w:pPr>
              <w:pStyle w:val="TMGTableText"/>
              <w:spacing w:before="10" w:after="0"/>
              <w:jc w:val="center"/>
            </w:pPr>
            <w:r>
              <w:rPr>
                <w:rFonts w:eastAsiaTheme="minorEastAsia"/>
              </w:rPr>
              <w:t>Req.</w:t>
            </w:r>
            <w:r w:rsidRPr="00877387">
              <w:rPr>
                <w:rFonts w:eastAsiaTheme="minorEastAsia"/>
              </w:rPr>
              <w:t>/O</w:t>
            </w:r>
            <w:r>
              <w:rPr>
                <w:rFonts w:eastAsiaTheme="minorEastAsia"/>
              </w:rPr>
              <w:t>pt.</w:t>
            </w:r>
          </w:p>
        </w:tc>
      </w:tr>
    </w:tbl>
    <w:p w14:paraId="0D907723" w14:textId="77777777" w:rsidR="009B7AED" w:rsidRDefault="009B7AED" w:rsidP="00B71607">
      <w:pPr>
        <w:pStyle w:val="Source"/>
        <w:spacing w:before="0" w:after="0"/>
        <w:ind w:left="547" w:hanging="547"/>
      </w:pPr>
      <w:r>
        <w:t>Note:</w:t>
      </w:r>
      <w:r>
        <w:tab/>
        <w:t xml:space="preserve">R=Required, O=Optional, R/O=Required/Optional, </w:t>
      </w:r>
    </w:p>
    <w:p w14:paraId="7A371F1A" w14:textId="77777777" w:rsidR="009B7AED" w:rsidRDefault="009B7AED" w:rsidP="00B71607">
      <w:pPr>
        <w:pStyle w:val="Source"/>
        <w:spacing w:before="0" w:after="0"/>
        <w:ind w:left="547" w:hanging="547"/>
      </w:pPr>
      <w:r>
        <w:tab/>
        <w:t xml:space="preserve">Fields designated as </w:t>
      </w:r>
      <w:r>
        <w:rPr>
          <w:rStyle w:val="Italic"/>
          <w:iCs/>
        </w:rPr>
        <w:t>Required</w:t>
      </w:r>
      <w:r>
        <w:t xml:space="preserve"> must be reported.</w:t>
      </w:r>
    </w:p>
    <w:p w14:paraId="2FB11ACA" w14:textId="77777777" w:rsidR="009B7AED" w:rsidRDefault="009B7AED" w:rsidP="00B71607">
      <w:pPr>
        <w:pStyle w:val="Source"/>
        <w:spacing w:before="0" w:after="0"/>
        <w:ind w:left="547" w:hanging="547"/>
      </w:pPr>
      <w:r>
        <w:tab/>
        <w:t xml:space="preserve">Fields designated as </w:t>
      </w:r>
      <w:r>
        <w:rPr>
          <w:rStyle w:val="Italic"/>
          <w:iCs/>
        </w:rPr>
        <w:t>Optional</w:t>
      </w:r>
      <w:r>
        <w:t xml:space="preserve"> are not required to be reported.</w:t>
      </w:r>
    </w:p>
    <w:p w14:paraId="385D720D" w14:textId="534E754D" w:rsidR="003D18A1" w:rsidRDefault="009B7AED" w:rsidP="00B71607">
      <w:pPr>
        <w:pStyle w:val="Source"/>
        <w:spacing w:before="0" w:after="0"/>
        <w:ind w:left="547" w:hanging="547"/>
      </w:pPr>
      <w:r>
        <w:tab/>
        <w:t xml:space="preserve">Fields designated as </w:t>
      </w:r>
      <w:r>
        <w:rPr>
          <w:rStyle w:val="Italic"/>
          <w:iCs/>
        </w:rPr>
        <w:t>Required/Optional</w:t>
      </w:r>
      <w:r>
        <w:t xml:space="preserve"> could be either required or optional based on values used for other related fields.</w:t>
      </w:r>
    </w:p>
    <w:p w14:paraId="73ED3F2D" w14:textId="2CEC4484" w:rsidR="009B7AED" w:rsidRPr="003D18A1" w:rsidRDefault="009B7AED" w:rsidP="003D18A1">
      <w:pPr>
        <w:spacing w:before="240" w:after="120"/>
        <w:rPr>
          <w:rFonts w:ascii="Cambria" w:hAnsi="Cambria"/>
          <w:b/>
          <w:sz w:val="22"/>
          <w:szCs w:val="22"/>
        </w:rPr>
      </w:pPr>
      <w:r w:rsidRPr="003D18A1">
        <w:rPr>
          <w:rFonts w:ascii="Cambria" w:hAnsi="Cambria"/>
          <w:b/>
          <w:sz w:val="22"/>
          <w:szCs w:val="22"/>
        </w:rPr>
        <w:lastRenderedPageBreak/>
        <w:t xml:space="preserve">For Fields 1 – 14 </w:t>
      </w:r>
      <w:r w:rsidR="00083ADA">
        <w:rPr>
          <w:rFonts w:ascii="Cambria" w:hAnsi="Cambria"/>
          <w:b/>
          <w:sz w:val="22"/>
          <w:szCs w:val="22"/>
        </w:rPr>
        <w:t>D</w:t>
      </w:r>
      <w:r w:rsidRPr="003D18A1">
        <w:rPr>
          <w:rFonts w:ascii="Cambria" w:hAnsi="Cambria"/>
          <w:b/>
          <w:sz w:val="22"/>
          <w:szCs w:val="22"/>
        </w:rPr>
        <w:t xml:space="preserve">escriptions, see V </w:t>
      </w:r>
      <w:r w:rsidR="00083ADA">
        <w:rPr>
          <w:rFonts w:ascii="Cambria" w:hAnsi="Cambria"/>
          <w:b/>
          <w:sz w:val="22"/>
          <w:szCs w:val="22"/>
        </w:rPr>
        <w:t>V</w:t>
      </w:r>
      <w:r w:rsidRPr="003D18A1">
        <w:rPr>
          <w:rFonts w:ascii="Cambria" w:hAnsi="Cambria"/>
          <w:b/>
          <w:sz w:val="22"/>
          <w:szCs w:val="22"/>
        </w:rPr>
        <w:t xml:space="preserve">ariant </w:t>
      </w:r>
      <w:r w:rsidR="00083ADA">
        <w:rPr>
          <w:rFonts w:ascii="Cambria" w:hAnsi="Cambria"/>
          <w:b/>
          <w:sz w:val="22"/>
          <w:szCs w:val="22"/>
        </w:rPr>
        <w:t>D</w:t>
      </w:r>
      <w:r w:rsidRPr="003D18A1">
        <w:rPr>
          <w:rFonts w:ascii="Cambria" w:hAnsi="Cambria"/>
          <w:b/>
          <w:sz w:val="22"/>
          <w:szCs w:val="22"/>
        </w:rPr>
        <w:t>escriptions.</w:t>
      </w:r>
    </w:p>
    <w:p w14:paraId="6F9D951C" w14:textId="125C0785" w:rsidR="009B7AED" w:rsidRPr="00877387" w:rsidRDefault="009B7AED">
      <w:pPr>
        <w:numPr>
          <w:ilvl w:val="0"/>
          <w:numId w:val="49"/>
        </w:numPr>
        <w:spacing w:after="120"/>
        <w:ind w:left="648"/>
        <w:jc w:val="left"/>
      </w:pPr>
      <w:r w:rsidRPr="00877387">
        <w:t xml:space="preserve">Vehicle Speed (Columns 34-37) – </w:t>
      </w:r>
      <w:r>
        <w:rPr>
          <w:i/>
          <w:iCs/>
        </w:rPr>
        <w:t>Required</w:t>
      </w:r>
    </w:p>
    <w:p w14:paraId="0B6E4571" w14:textId="77777777" w:rsidR="009B7AED" w:rsidRPr="00877387" w:rsidRDefault="009B7AED" w:rsidP="00B71607">
      <w:pPr>
        <w:tabs>
          <w:tab w:val="left" w:pos="1440"/>
        </w:tabs>
        <w:spacing w:after="120"/>
        <w:ind w:left="648"/>
        <w:jc w:val="left"/>
      </w:pPr>
      <w:r>
        <w:t>T</w:t>
      </w:r>
      <w:r w:rsidRPr="00877387">
        <w:t>he speed of the vehicle to the nearest tenth of a mph. The decimal is implied between digits 3</w:t>
      </w:r>
      <w:r>
        <w:t>6</w:t>
      </w:r>
      <w:r w:rsidRPr="00877387">
        <w:t xml:space="preserve"> and 3</w:t>
      </w:r>
      <w:r>
        <w:t>7</w:t>
      </w:r>
      <w:r w:rsidRPr="00877387">
        <w:t>. Blank fill if unused.</w:t>
      </w:r>
    </w:p>
    <w:p w14:paraId="206AB3AE" w14:textId="56D8AF76" w:rsidR="009B7AED" w:rsidRPr="00877387" w:rsidRDefault="009B7AED" w:rsidP="00B71607">
      <w:pPr>
        <w:tabs>
          <w:tab w:val="left" w:pos="1440"/>
        </w:tabs>
        <w:spacing w:after="120"/>
        <w:ind w:left="648"/>
        <w:jc w:val="left"/>
      </w:pPr>
      <w:r w:rsidRPr="00877387">
        <w:t>Example – for a 104.1 mph vehicle, it would be coded as 1041.</w:t>
      </w:r>
      <w:r w:rsidR="004D4172">
        <w:t xml:space="preserve"> </w:t>
      </w:r>
      <w:r w:rsidRPr="00877387">
        <w:t>For 55.0 mph, it would be coded 0550.</w:t>
      </w:r>
    </w:p>
    <w:p w14:paraId="387BD375" w14:textId="5576A664" w:rsidR="009B7AED" w:rsidRPr="00877387" w:rsidRDefault="009B7AED">
      <w:pPr>
        <w:numPr>
          <w:ilvl w:val="0"/>
          <w:numId w:val="49"/>
        </w:numPr>
        <w:spacing w:after="120"/>
        <w:ind w:left="648"/>
        <w:jc w:val="left"/>
      </w:pPr>
      <w:r w:rsidRPr="00877387">
        <w:t xml:space="preserve">Vehicle Classification (Columns 38-39) – </w:t>
      </w:r>
      <w:r>
        <w:rPr>
          <w:bCs/>
          <w:i/>
          <w:iCs/>
        </w:rPr>
        <w:t>Required</w:t>
      </w:r>
      <w:r w:rsidRPr="00877387">
        <w:rPr>
          <w:bCs/>
          <w:i/>
          <w:iCs/>
        </w:rPr>
        <w:t>/Optional</w:t>
      </w:r>
      <w:r w:rsidRPr="00877387">
        <w:t xml:space="preserve"> according to the following: </w:t>
      </w:r>
      <w:r>
        <w:t>Required</w:t>
      </w:r>
      <w:r w:rsidRPr="00877387">
        <w:t xml:space="preserve"> for C, W and Z devices, Optional for T devices</w:t>
      </w:r>
    </w:p>
    <w:p w14:paraId="016C00A8" w14:textId="77777777" w:rsidR="009B7AED" w:rsidRPr="00877387" w:rsidRDefault="009B7AED" w:rsidP="00B71607">
      <w:pPr>
        <w:tabs>
          <w:tab w:val="left" w:pos="1440"/>
        </w:tabs>
        <w:spacing w:after="120"/>
        <w:ind w:left="648"/>
        <w:jc w:val="left"/>
      </w:pPr>
      <w:r>
        <w:t>T</w:t>
      </w:r>
      <w:r w:rsidRPr="00877387">
        <w:t xml:space="preserve">he classification of the vehicle from FHWA classes 1 to 13. Blank fill if unused. </w:t>
      </w:r>
    </w:p>
    <w:p w14:paraId="2761D5A5" w14:textId="77777777" w:rsidR="009B7AED" w:rsidRPr="00877387" w:rsidRDefault="009B7AED">
      <w:pPr>
        <w:numPr>
          <w:ilvl w:val="0"/>
          <w:numId w:val="49"/>
        </w:numPr>
        <w:spacing w:after="120"/>
        <w:ind w:left="648"/>
        <w:jc w:val="left"/>
      </w:pPr>
      <w:r w:rsidRPr="00877387">
        <w:t xml:space="preserve">Number of Axles (Columns 40-41) – </w:t>
      </w:r>
      <w:r>
        <w:rPr>
          <w:bCs/>
          <w:i/>
          <w:iCs/>
        </w:rPr>
        <w:t>Required</w:t>
      </w:r>
      <w:r w:rsidRPr="00877387">
        <w:rPr>
          <w:bCs/>
          <w:i/>
          <w:iCs/>
        </w:rPr>
        <w:t>/Optional</w:t>
      </w:r>
      <w:r w:rsidRPr="00877387">
        <w:t xml:space="preserve"> according to the following: </w:t>
      </w:r>
      <w:r>
        <w:t>Required</w:t>
      </w:r>
      <w:r w:rsidRPr="00877387">
        <w:t xml:space="preserve"> for C, W and Z devices, Optional for T devices</w:t>
      </w:r>
    </w:p>
    <w:p w14:paraId="6F4DDFA6" w14:textId="77777777" w:rsidR="009B7AED" w:rsidRPr="00877387" w:rsidRDefault="009B7AED" w:rsidP="00B71607">
      <w:pPr>
        <w:tabs>
          <w:tab w:val="left" w:pos="1440"/>
        </w:tabs>
        <w:spacing w:after="120"/>
        <w:ind w:left="648"/>
        <w:jc w:val="left"/>
      </w:pPr>
      <w:r>
        <w:t>T</w:t>
      </w:r>
      <w:r w:rsidRPr="00877387">
        <w:t>he total number of detected axles in use by the vehicle (including any trailers). Blank fill if unused.</w:t>
      </w:r>
    </w:p>
    <w:p w14:paraId="1989DE4D" w14:textId="77777777" w:rsidR="009B7AED" w:rsidRPr="00877387" w:rsidRDefault="009B7AED" w:rsidP="00B71607">
      <w:pPr>
        <w:tabs>
          <w:tab w:val="left" w:pos="1440"/>
        </w:tabs>
        <w:spacing w:after="120"/>
        <w:ind w:left="648"/>
        <w:jc w:val="left"/>
      </w:pPr>
      <w:r w:rsidRPr="00877387">
        <w:t>Note –</w:t>
      </w:r>
      <w:r w:rsidRPr="00877387">
        <w:rPr>
          <w:i/>
          <w:iCs/>
        </w:rPr>
        <w:t xml:space="preserve"> </w:t>
      </w:r>
      <w:r w:rsidRPr="00877387">
        <w:t xml:space="preserve">for the number of axles on the recorded vehicle, the data items related to those axles (in record formats C, W, and Z) shall be classified as </w:t>
      </w:r>
      <w:r>
        <w:t>Required</w:t>
      </w:r>
      <w:r w:rsidRPr="00877387">
        <w:t>. Otherwise, the remainder of the fields through column 4</w:t>
      </w:r>
      <w:r>
        <w:t>5</w:t>
      </w:r>
      <w:r w:rsidRPr="00877387">
        <w:t xml:space="preserve"> should be blank filled. The record should end after column 4</w:t>
      </w:r>
      <w:r>
        <w:t>5</w:t>
      </w:r>
      <w:r w:rsidRPr="00877387">
        <w:t xml:space="preserve"> if no axle spacing data are available (record formats C, W, and Z). </w:t>
      </w:r>
    </w:p>
    <w:p w14:paraId="5921FCEC" w14:textId="265C0CBF" w:rsidR="009B7AED" w:rsidRPr="00877387" w:rsidRDefault="009B7AED">
      <w:pPr>
        <w:numPr>
          <w:ilvl w:val="0"/>
          <w:numId w:val="49"/>
        </w:numPr>
        <w:spacing w:after="120"/>
        <w:ind w:left="648"/>
        <w:jc w:val="left"/>
        <w:rPr>
          <w:bCs/>
          <w:i/>
          <w:iCs/>
        </w:rPr>
      </w:pPr>
      <w:r w:rsidRPr="00877387">
        <w:t xml:space="preserve">Total Vehicle Length (bumper to bumper) (Columns 42-45) – </w:t>
      </w:r>
      <w:r>
        <w:rPr>
          <w:i/>
          <w:iCs/>
        </w:rPr>
        <w:t>Required</w:t>
      </w:r>
      <w:r w:rsidRPr="00877387">
        <w:rPr>
          <w:i/>
          <w:iCs/>
        </w:rPr>
        <w:t>/</w:t>
      </w:r>
      <w:r w:rsidRPr="00877387">
        <w:rPr>
          <w:bCs/>
          <w:i/>
          <w:iCs/>
        </w:rPr>
        <w:t>Optional</w:t>
      </w:r>
    </w:p>
    <w:p w14:paraId="07F0D87B" w14:textId="77777777" w:rsidR="009B7AED" w:rsidRPr="00877387" w:rsidRDefault="009B7AED" w:rsidP="00B71607">
      <w:pPr>
        <w:tabs>
          <w:tab w:val="left" w:pos="1440"/>
        </w:tabs>
        <w:spacing w:after="120"/>
        <w:ind w:left="648"/>
        <w:jc w:val="left"/>
      </w:pPr>
      <w:r>
        <w:t>T</w:t>
      </w:r>
      <w:r w:rsidRPr="00877387">
        <w:t>he total length of the vehicle from bumper to bumper to the nearest tenth of a foot. The decimal is implied between digits 4</w:t>
      </w:r>
      <w:r>
        <w:t>4</w:t>
      </w:r>
      <w:r w:rsidRPr="00877387">
        <w:t xml:space="preserve"> to 4</w:t>
      </w:r>
      <w:r>
        <w:t>5</w:t>
      </w:r>
      <w:r w:rsidRPr="00877387">
        <w:t xml:space="preserve">. If no total vehicle length is available blank fill this field. </w:t>
      </w:r>
    </w:p>
    <w:p w14:paraId="3DADABFE" w14:textId="77777777" w:rsidR="009B7AED" w:rsidRPr="00877387" w:rsidRDefault="009B7AED" w:rsidP="00B71607">
      <w:pPr>
        <w:tabs>
          <w:tab w:val="left" w:pos="1440"/>
        </w:tabs>
        <w:spacing w:after="120"/>
        <w:ind w:left="648"/>
        <w:jc w:val="left"/>
      </w:pPr>
      <w:r w:rsidRPr="00877387">
        <w:t>If the data being submitted do not contain axle spacing information, the data record should be 4</w:t>
      </w:r>
      <w:r>
        <w:t>5</w:t>
      </w:r>
      <w:r w:rsidRPr="00877387">
        <w:t xml:space="preserve"> characters in length. </w:t>
      </w:r>
    </w:p>
    <w:p w14:paraId="45004E0B" w14:textId="14B52F96" w:rsidR="009B7AED" w:rsidRPr="00680301" w:rsidRDefault="009B7AED" w:rsidP="003D18A1">
      <w:pPr>
        <w:pStyle w:val="BodyText"/>
        <w:rPr>
          <w:b/>
          <w:bCs/>
          <w:smallCaps/>
        </w:rPr>
      </w:pPr>
      <w:bookmarkStart w:id="3172" w:name="_Toc63976946"/>
      <w:bookmarkStart w:id="3173" w:name="_Toc68874133"/>
      <w:r>
        <w:t xml:space="preserve">Example T Variant records are </w:t>
      </w:r>
      <w:r w:rsidRPr="00680301">
        <w:t xml:space="preserve">shown in </w:t>
      </w:r>
      <w:r w:rsidR="00464453">
        <w:fldChar w:fldCharType="begin"/>
      </w:r>
      <w:r w:rsidR="00464453">
        <w:instrText xml:space="preserve"> REF _Ref113277887  \* MERGE</w:instrText>
      </w:r>
      <w:r w:rsidR="00464453">
        <w:instrText xml:space="preserve">FORMAT </w:instrText>
      </w:r>
      <w:r w:rsidR="00464453">
        <w:fldChar w:fldCharType="separate"/>
      </w:r>
      <w:r w:rsidR="00C07DF9">
        <w:t xml:space="preserve">Table </w:t>
      </w:r>
      <w:r w:rsidR="00C07DF9">
        <w:rPr>
          <w:noProof/>
        </w:rPr>
        <w:t>4</w:t>
      </w:r>
      <w:r w:rsidR="00C07DF9">
        <w:rPr>
          <w:noProof/>
        </w:rPr>
        <w:noBreakHyphen/>
        <w:t>28</w:t>
      </w:r>
      <w:r w:rsidR="00464453">
        <w:rPr>
          <w:noProof/>
        </w:rPr>
        <w:fldChar w:fldCharType="end"/>
      </w:r>
      <w:r w:rsidRPr="00680301">
        <w:t>.</w:t>
      </w:r>
    </w:p>
    <w:p w14:paraId="2F3DE2FE" w14:textId="0E8BD04F" w:rsidR="009B7AED" w:rsidRDefault="009B7AED" w:rsidP="00736AF3">
      <w:pPr>
        <w:pStyle w:val="TMGTableCaption"/>
      </w:pPr>
      <w:bookmarkStart w:id="3174" w:name="_Ref113277887"/>
      <w:bookmarkStart w:id="3175" w:name="_Toc113282533"/>
      <w:bookmarkStart w:id="3176" w:name="_Toc114474870"/>
      <w:bookmarkStart w:id="3177" w:name="_Toc120631176"/>
      <w:bookmarkEnd w:id="3172"/>
      <w:bookmarkEnd w:id="3173"/>
      <w:r>
        <w:t xml:space="preserve">Table </w:t>
      </w:r>
      <w:fldSimple w:instr=" STYLEREF 1 \s ">
        <w:r w:rsidR="00C07DF9">
          <w:rPr>
            <w:noProof/>
          </w:rPr>
          <w:t>4</w:t>
        </w:r>
      </w:fldSimple>
      <w:r>
        <w:noBreakHyphen/>
      </w:r>
      <w:fldSimple w:instr=" SEQ Table \* ARABIC \s 1 ">
        <w:r w:rsidR="00C07DF9">
          <w:rPr>
            <w:noProof/>
          </w:rPr>
          <w:t>28</w:t>
        </w:r>
      </w:fldSimple>
      <w:bookmarkEnd w:id="3174"/>
      <w:r>
        <w:t>. Individual Vehicle Record (Speed</w:t>
      </w:r>
      <w:r w:rsidRPr="00135D36">
        <w:t xml:space="preserve"> Site</w:t>
      </w:r>
      <w:r>
        <w:t>) Example</w:t>
      </w:r>
      <w:r w:rsidRPr="00135D36">
        <w:t xml:space="preserve"> </w:t>
      </w:r>
      <w:r w:rsidRPr="0081442D">
        <w:t>(North</w:t>
      </w:r>
      <w:r>
        <w:t>b</w:t>
      </w:r>
      <w:r w:rsidRPr="0081442D">
        <w:t xml:space="preserve">ound Lane 2) </w:t>
      </w:r>
      <w:r>
        <w:t>– Fixed-Width</w:t>
      </w:r>
      <w:r w:rsidRPr="0081442D">
        <w:t xml:space="preserve"> Format</w:t>
      </w:r>
      <w:bookmarkEnd w:id="3175"/>
      <w:bookmarkEnd w:id="3176"/>
      <w:bookmarkEnd w:id="3177"/>
    </w:p>
    <w:tbl>
      <w:tblPr>
        <w:tblStyle w:val="TableGrid"/>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8" w:type="dxa"/>
          <w:right w:w="58" w:type="dxa"/>
        </w:tblCellMar>
        <w:tblLook w:val="04A0" w:firstRow="1" w:lastRow="0" w:firstColumn="1" w:lastColumn="0" w:noHBand="0" w:noVBand="1"/>
      </w:tblPr>
      <w:tblGrid>
        <w:gridCol w:w="1039"/>
        <w:gridCol w:w="306"/>
        <w:gridCol w:w="417"/>
        <w:gridCol w:w="875"/>
        <w:gridCol w:w="337"/>
        <w:gridCol w:w="429"/>
        <w:gridCol w:w="666"/>
        <w:gridCol w:w="666"/>
        <w:gridCol w:w="657"/>
        <w:gridCol w:w="675"/>
        <w:gridCol w:w="666"/>
        <w:gridCol w:w="684"/>
        <w:gridCol w:w="693"/>
        <w:gridCol w:w="502"/>
        <w:gridCol w:w="748"/>
      </w:tblGrid>
      <w:tr w:rsidR="009B7AED" w:rsidRPr="0026055C" w14:paraId="0181762B" w14:textId="77777777" w:rsidTr="00D4282A">
        <w:trPr>
          <w:jc w:val="center"/>
        </w:trPr>
        <w:tc>
          <w:tcPr>
            <w:tcW w:w="1039" w:type="dxa"/>
          </w:tcPr>
          <w:p w14:paraId="7439FCB1" w14:textId="77777777" w:rsidR="009B7AED" w:rsidRPr="0026055C" w:rsidRDefault="009B7AED" w:rsidP="00FA2032">
            <w:pPr>
              <w:pStyle w:val="BodyFHWA"/>
              <w:ind w:left="0"/>
              <w:rPr>
                <w:rFonts w:cs="Calibri"/>
                <w:b/>
                <w:bCs/>
              </w:rPr>
            </w:pPr>
            <w:bookmarkStart w:id="3178" w:name="_Toc335642254"/>
            <w:r w:rsidRPr="0026055C">
              <w:rPr>
                <w:rFonts w:cs="Calibri"/>
                <w:b/>
                <w:bCs/>
              </w:rPr>
              <w:t>Column Number:</w:t>
            </w:r>
          </w:p>
        </w:tc>
        <w:tc>
          <w:tcPr>
            <w:tcW w:w="306" w:type="dxa"/>
            <w:vAlign w:val="center"/>
          </w:tcPr>
          <w:p w14:paraId="6FA00B02" w14:textId="77777777" w:rsidR="009B7AED" w:rsidRPr="0026055C" w:rsidRDefault="009B7AED" w:rsidP="0026055C">
            <w:pPr>
              <w:pStyle w:val="BodyFHWA"/>
              <w:ind w:left="0"/>
              <w:jc w:val="center"/>
              <w:rPr>
                <w:rFonts w:cs="Calibri"/>
                <w:b/>
                <w:bCs/>
              </w:rPr>
            </w:pPr>
            <w:r w:rsidRPr="0026055C">
              <w:rPr>
                <w:rFonts w:cs="Calibri"/>
                <w:b/>
                <w:bCs/>
              </w:rPr>
              <w:t>1</w:t>
            </w:r>
          </w:p>
        </w:tc>
        <w:tc>
          <w:tcPr>
            <w:tcW w:w="417" w:type="dxa"/>
            <w:vAlign w:val="center"/>
          </w:tcPr>
          <w:p w14:paraId="69D33D8A" w14:textId="77777777" w:rsidR="009B7AED" w:rsidRPr="0026055C" w:rsidRDefault="009B7AED" w:rsidP="0026055C">
            <w:pPr>
              <w:pStyle w:val="BodyFHWA"/>
              <w:ind w:left="0"/>
              <w:jc w:val="center"/>
              <w:rPr>
                <w:rFonts w:cs="Calibri"/>
                <w:b/>
                <w:bCs/>
              </w:rPr>
            </w:pPr>
            <w:r w:rsidRPr="0026055C">
              <w:rPr>
                <w:rFonts w:cs="Calibri"/>
                <w:b/>
                <w:bCs/>
              </w:rPr>
              <w:t>2-3</w:t>
            </w:r>
          </w:p>
        </w:tc>
        <w:tc>
          <w:tcPr>
            <w:tcW w:w="875" w:type="dxa"/>
            <w:vAlign w:val="center"/>
          </w:tcPr>
          <w:p w14:paraId="67ECD409" w14:textId="77777777" w:rsidR="009B7AED" w:rsidRPr="0026055C" w:rsidRDefault="009B7AED" w:rsidP="0026055C">
            <w:pPr>
              <w:pStyle w:val="BodyFHWA"/>
              <w:ind w:left="0"/>
              <w:jc w:val="center"/>
              <w:rPr>
                <w:rFonts w:cs="Calibri"/>
                <w:b/>
                <w:bCs/>
              </w:rPr>
            </w:pPr>
            <w:r w:rsidRPr="0026055C">
              <w:rPr>
                <w:rFonts w:cs="Calibri"/>
                <w:b/>
                <w:bCs/>
              </w:rPr>
              <w:t>4-9</w:t>
            </w:r>
          </w:p>
        </w:tc>
        <w:tc>
          <w:tcPr>
            <w:tcW w:w="337" w:type="dxa"/>
            <w:vAlign w:val="center"/>
          </w:tcPr>
          <w:p w14:paraId="038F559C" w14:textId="77777777" w:rsidR="009B7AED" w:rsidRPr="0026055C" w:rsidRDefault="009B7AED" w:rsidP="0026055C">
            <w:pPr>
              <w:pStyle w:val="BodyFHWA"/>
              <w:ind w:left="0"/>
              <w:jc w:val="center"/>
              <w:rPr>
                <w:rFonts w:cs="Calibri"/>
                <w:b/>
                <w:bCs/>
              </w:rPr>
            </w:pPr>
            <w:r w:rsidRPr="0026055C">
              <w:rPr>
                <w:rFonts w:cs="Calibri"/>
                <w:b/>
                <w:bCs/>
              </w:rPr>
              <w:t>10</w:t>
            </w:r>
          </w:p>
        </w:tc>
        <w:tc>
          <w:tcPr>
            <w:tcW w:w="429" w:type="dxa"/>
            <w:vAlign w:val="center"/>
          </w:tcPr>
          <w:p w14:paraId="2CD3EA36" w14:textId="77777777" w:rsidR="009B7AED" w:rsidRPr="0026055C" w:rsidRDefault="009B7AED" w:rsidP="0026055C">
            <w:pPr>
              <w:pStyle w:val="BodyFHWA"/>
              <w:ind w:left="0"/>
              <w:jc w:val="center"/>
              <w:rPr>
                <w:rFonts w:cs="Calibri"/>
                <w:b/>
                <w:bCs/>
              </w:rPr>
            </w:pPr>
            <w:r w:rsidRPr="0026055C">
              <w:rPr>
                <w:rFonts w:cs="Calibri"/>
                <w:b/>
                <w:bCs/>
              </w:rPr>
              <w:t>11</w:t>
            </w:r>
          </w:p>
        </w:tc>
        <w:tc>
          <w:tcPr>
            <w:tcW w:w="666" w:type="dxa"/>
            <w:vAlign w:val="center"/>
          </w:tcPr>
          <w:p w14:paraId="58CCD75B" w14:textId="77777777" w:rsidR="009B7AED" w:rsidRPr="0026055C" w:rsidRDefault="009B7AED" w:rsidP="0026055C">
            <w:pPr>
              <w:pStyle w:val="BodyFHWA"/>
              <w:ind w:left="0"/>
              <w:jc w:val="center"/>
              <w:rPr>
                <w:rFonts w:cs="Calibri"/>
                <w:b/>
                <w:bCs/>
              </w:rPr>
            </w:pPr>
            <w:r w:rsidRPr="0026055C">
              <w:rPr>
                <w:rFonts w:cs="Calibri"/>
                <w:b/>
                <w:bCs/>
              </w:rPr>
              <w:t>12-15</w:t>
            </w:r>
          </w:p>
        </w:tc>
        <w:tc>
          <w:tcPr>
            <w:tcW w:w="666" w:type="dxa"/>
            <w:vAlign w:val="center"/>
          </w:tcPr>
          <w:p w14:paraId="456EB1AC" w14:textId="77777777" w:rsidR="009B7AED" w:rsidRPr="0026055C" w:rsidRDefault="009B7AED" w:rsidP="0026055C">
            <w:pPr>
              <w:pStyle w:val="BodyFHWA"/>
              <w:ind w:left="0"/>
              <w:jc w:val="center"/>
              <w:rPr>
                <w:rFonts w:cs="Calibri"/>
                <w:b/>
                <w:bCs/>
              </w:rPr>
            </w:pPr>
            <w:r w:rsidRPr="0026055C">
              <w:rPr>
                <w:rFonts w:cs="Calibri"/>
                <w:b/>
                <w:bCs/>
              </w:rPr>
              <w:t>16-17</w:t>
            </w:r>
          </w:p>
        </w:tc>
        <w:tc>
          <w:tcPr>
            <w:tcW w:w="657" w:type="dxa"/>
            <w:vAlign w:val="center"/>
          </w:tcPr>
          <w:p w14:paraId="42A2F7BD" w14:textId="77777777" w:rsidR="009B7AED" w:rsidRPr="0026055C" w:rsidRDefault="009B7AED" w:rsidP="0026055C">
            <w:pPr>
              <w:pStyle w:val="BodyFHWA"/>
              <w:ind w:left="0"/>
              <w:jc w:val="center"/>
              <w:rPr>
                <w:rFonts w:cs="Calibri"/>
                <w:b/>
                <w:bCs/>
              </w:rPr>
            </w:pPr>
            <w:r w:rsidRPr="0026055C">
              <w:rPr>
                <w:rFonts w:cs="Calibri"/>
                <w:b/>
                <w:bCs/>
              </w:rPr>
              <w:t>18-19</w:t>
            </w:r>
          </w:p>
        </w:tc>
        <w:tc>
          <w:tcPr>
            <w:tcW w:w="675" w:type="dxa"/>
            <w:vAlign w:val="center"/>
          </w:tcPr>
          <w:p w14:paraId="0106E8DA" w14:textId="77777777" w:rsidR="009B7AED" w:rsidRPr="0026055C" w:rsidRDefault="009B7AED" w:rsidP="0026055C">
            <w:pPr>
              <w:pStyle w:val="BodyFHWA"/>
              <w:ind w:left="0"/>
              <w:jc w:val="center"/>
              <w:rPr>
                <w:rFonts w:cs="Calibri"/>
                <w:b/>
                <w:bCs/>
              </w:rPr>
            </w:pPr>
            <w:r w:rsidRPr="0026055C">
              <w:rPr>
                <w:rFonts w:cs="Calibri"/>
                <w:b/>
                <w:bCs/>
              </w:rPr>
              <w:t>20-21</w:t>
            </w:r>
          </w:p>
        </w:tc>
        <w:tc>
          <w:tcPr>
            <w:tcW w:w="666" w:type="dxa"/>
            <w:vAlign w:val="center"/>
          </w:tcPr>
          <w:p w14:paraId="011FA8D9" w14:textId="77777777" w:rsidR="009B7AED" w:rsidRPr="0026055C" w:rsidRDefault="009B7AED" w:rsidP="0026055C">
            <w:pPr>
              <w:pStyle w:val="BodyFHWA"/>
              <w:ind w:left="0"/>
              <w:jc w:val="center"/>
              <w:rPr>
                <w:rFonts w:cs="Calibri"/>
                <w:b/>
                <w:bCs/>
              </w:rPr>
            </w:pPr>
            <w:r w:rsidRPr="0026055C">
              <w:rPr>
                <w:rFonts w:cs="Calibri"/>
                <w:b/>
                <w:bCs/>
              </w:rPr>
              <w:t>22-23</w:t>
            </w:r>
          </w:p>
        </w:tc>
        <w:tc>
          <w:tcPr>
            <w:tcW w:w="684" w:type="dxa"/>
            <w:vAlign w:val="center"/>
          </w:tcPr>
          <w:p w14:paraId="369D4268" w14:textId="77777777" w:rsidR="009B7AED" w:rsidRPr="0026055C" w:rsidRDefault="009B7AED" w:rsidP="0026055C">
            <w:pPr>
              <w:pStyle w:val="BodyFHWA"/>
              <w:ind w:left="0"/>
              <w:jc w:val="center"/>
              <w:rPr>
                <w:rFonts w:cs="Calibri"/>
                <w:b/>
                <w:bCs/>
              </w:rPr>
            </w:pPr>
            <w:r w:rsidRPr="0026055C">
              <w:rPr>
                <w:rFonts w:cs="Calibri"/>
                <w:b/>
                <w:bCs/>
              </w:rPr>
              <w:t>24-25</w:t>
            </w:r>
          </w:p>
        </w:tc>
        <w:tc>
          <w:tcPr>
            <w:tcW w:w="693" w:type="dxa"/>
            <w:vAlign w:val="center"/>
          </w:tcPr>
          <w:p w14:paraId="4A097040" w14:textId="77777777" w:rsidR="009B7AED" w:rsidRPr="0026055C" w:rsidRDefault="009B7AED" w:rsidP="0026055C">
            <w:pPr>
              <w:pStyle w:val="BodyFHWA"/>
              <w:ind w:left="0"/>
              <w:jc w:val="center"/>
              <w:rPr>
                <w:rFonts w:cs="Calibri"/>
                <w:b/>
                <w:bCs/>
              </w:rPr>
            </w:pPr>
            <w:r w:rsidRPr="0026055C">
              <w:rPr>
                <w:rFonts w:cs="Calibri"/>
                <w:b/>
                <w:bCs/>
              </w:rPr>
              <w:t>26-27</w:t>
            </w:r>
          </w:p>
        </w:tc>
        <w:tc>
          <w:tcPr>
            <w:tcW w:w="502" w:type="dxa"/>
            <w:vAlign w:val="center"/>
          </w:tcPr>
          <w:p w14:paraId="67241805" w14:textId="77777777" w:rsidR="009B7AED" w:rsidRPr="0026055C" w:rsidRDefault="009B7AED" w:rsidP="0026055C">
            <w:pPr>
              <w:pStyle w:val="BodyFHWA"/>
              <w:ind w:left="0"/>
              <w:jc w:val="center"/>
              <w:rPr>
                <w:rFonts w:cs="Calibri"/>
                <w:b/>
                <w:bCs/>
              </w:rPr>
            </w:pPr>
            <w:r w:rsidRPr="0026055C">
              <w:rPr>
                <w:rFonts w:cs="Calibri"/>
                <w:b/>
                <w:bCs/>
              </w:rPr>
              <w:t>28</w:t>
            </w:r>
          </w:p>
        </w:tc>
        <w:tc>
          <w:tcPr>
            <w:tcW w:w="748" w:type="dxa"/>
            <w:vAlign w:val="center"/>
          </w:tcPr>
          <w:p w14:paraId="6EBA70AC" w14:textId="77777777" w:rsidR="009B7AED" w:rsidRPr="0026055C" w:rsidRDefault="009B7AED" w:rsidP="0026055C">
            <w:pPr>
              <w:pStyle w:val="BodyFHWA"/>
              <w:ind w:left="0"/>
              <w:jc w:val="center"/>
              <w:rPr>
                <w:rFonts w:cs="Calibri"/>
                <w:b/>
                <w:bCs/>
              </w:rPr>
            </w:pPr>
            <w:r w:rsidRPr="0026055C">
              <w:rPr>
                <w:rFonts w:cs="Calibri"/>
                <w:b/>
                <w:bCs/>
              </w:rPr>
              <w:t>29-33</w:t>
            </w:r>
          </w:p>
        </w:tc>
      </w:tr>
      <w:tr w:rsidR="009B7AED" w:rsidRPr="0026055C" w14:paraId="4A88FC5B" w14:textId="77777777" w:rsidTr="00D4282A">
        <w:trPr>
          <w:trHeight w:val="56"/>
          <w:jc w:val="center"/>
        </w:trPr>
        <w:tc>
          <w:tcPr>
            <w:tcW w:w="1039" w:type="dxa"/>
            <w:vAlign w:val="center"/>
          </w:tcPr>
          <w:p w14:paraId="5E9EF083" w14:textId="77777777" w:rsidR="009B7AED" w:rsidRPr="0026055C" w:rsidRDefault="009B7AED" w:rsidP="00FA2032">
            <w:pPr>
              <w:pStyle w:val="BodyFHWA"/>
              <w:ind w:left="0"/>
              <w:rPr>
                <w:rStyle w:val="Bold"/>
                <w:rFonts w:cs="Calibri"/>
              </w:rPr>
            </w:pPr>
            <w:r w:rsidRPr="0026055C">
              <w:rPr>
                <w:rStyle w:val="Bold"/>
                <w:rFonts w:cs="Calibri"/>
              </w:rPr>
              <w:t>Content 01 Example:</w:t>
            </w:r>
          </w:p>
        </w:tc>
        <w:tc>
          <w:tcPr>
            <w:tcW w:w="306" w:type="dxa"/>
            <w:vAlign w:val="center"/>
          </w:tcPr>
          <w:p w14:paraId="127DC7D5"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I</w:t>
            </w:r>
          </w:p>
        </w:tc>
        <w:tc>
          <w:tcPr>
            <w:tcW w:w="417" w:type="dxa"/>
            <w:vAlign w:val="center"/>
          </w:tcPr>
          <w:p w14:paraId="7E67E714"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17</w:t>
            </w:r>
          </w:p>
        </w:tc>
        <w:tc>
          <w:tcPr>
            <w:tcW w:w="875" w:type="dxa"/>
            <w:vAlign w:val="center"/>
          </w:tcPr>
          <w:p w14:paraId="7318ED03"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018117</w:t>
            </w:r>
          </w:p>
        </w:tc>
        <w:tc>
          <w:tcPr>
            <w:tcW w:w="337" w:type="dxa"/>
            <w:vAlign w:val="center"/>
          </w:tcPr>
          <w:p w14:paraId="1E498AF2"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1</w:t>
            </w:r>
          </w:p>
        </w:tc>
        <w:tc>
          <w:tcPr>
            <w:tcW w:w="429" w:type="dxa"/>
            <w:vAlign w:val="center"/>
          </w:tcPr>
          <w:p w14:paraId="06642D53"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2</w:t>
            </w:r>
          </w:p>
        </w:tc>
        <w:tc>
          <w:tcPr>
            <w:tcW w:w="666" w:type="dxa"/>
            <w:vAlign w:val="center"/>
          </w:tcPr>
          <w:p w14:paraId="4C2B8099"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2012</w:t>
            </w:r>
          </w:p>
        </w:tc>
        <w:tc>
          <w:tcPr>
            <w:tcW w:w="666" w:type="dxa"/>
            <w:vAlign w:val="center"/>
          </w:tcPr>
          <w:p w14:paraId="3BF1574E"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11</w:t>
            </w:r>
          </w:p>
        </w:tc>
        <w:tc>
          <w:tcPr>
            <w:tcW w:w="657" w:type="dxa"/>
            <w:vAlign w:val="center"/>
          </w:tcPr>
          <w:p w14:paraId="34AF307D"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07</w:t>
            </w:r>
          </w:p>
        </w:tc>
        <w:tc>
          <w:tcPr>
            <w:tcW w:w="675" w:type="dxa"/>
            <w:vAlign w:val="center"/>
          </w:tcPr>
          <w:p w14:paraId="3FE40D7E"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09</w:t>
            </w:r>
          </w:p>
        </w:tc>
        <w:tc>
          <w:tcPr>
            <w:tcW w:w="666" w:type="dxa"/>
            <w:vAlign w:val="center"/>
          </w:tcPr>
          <w:p w14:paraId="2AE66BB3"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24</w:t>
            </w:r>
          </w:p>
        </w:tc>
        <w:tc>
          <w:tcPr>
            <w:tcW w:w="684" w:type="dxa"/>
            <w:vAlign w:val="center"/>
          </w:tcPr>
          <w:p w14:paraId="64BE6C18"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58</w:t>
            </w:r>
          </w:p>
        </w:tc>
        <w:tc>
          <w:tcPr>
            <w:tcW w:w="693" w:type="dxa"/>
            <w:vAlign w:val="center"/>
          </w:tcPr>
          <w:p w14:paraId="7845CC27"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38</w:t>
            </w:r>
          </w:p>
        </w:tc>
        <w:tc>
          <w:tcPr>
            <w:tcW w:w="502" w:type="dxa"/>
            <w:vAlign w:val="center"/>
          </w:tcPr>
          <w:p w14:paraId="28B5E28A"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T</w:t>
            </w:r>
          </w:p>
        </w:tc>
        <w:tc>
          <w:tcPr>
            <w:tcW w:w="748" w:type="dxa"/>
            <w:vAlign w:val="center"/>
          </w:tcPr>
          <w:p w14:paraId="64C09109"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Blank</w:t>
            </w:r>
          </w:p>
        </w:tc>
      </w:tr>
      <w:tr w:rsidR="009B7AED" w:rsidRPr="0026055C" w14:paraId="29FF815E" w14:textId="77777777" w:rsidTr="00D4282A">
        <w:trPr>
          <w:jc w:val="center"/>
        </w:trPr>
        <w:tc>
          <w:tcPr>
            <w:tcW w:w="1039" w:type="dxa"/>
            <w:vAlign w:val="center"/>
          </w:tcPr>
          <w:p w14:paraId="04461318" w14:textId="77777777" w:rsidR="009B7AED" w:rsidRPr="0026055C" w:rsidRDefault="009B7AED" w:rsidP="00FA2032">
            <w:pPr>
              <w:pStyle w:val="BodyFHWA"/>
              <w:ind w:left="0"/>
              <w:rPr>
                <w:rStyle w:val="Bold"/>
                <w:rFonts w:cs="Calibri"/>
              </w:rPr>
            </w:pPr>
            <w:r w:rsidRPr="0026055C">
              <w:rPr>
                <w:rStyle w:val="Bold"/>
                <w:rFonts w:cs="Calibri"/>
              </w:rPr>
              <w:t>Content 02 Example:</w:t>
            </w:r>
          </w:p>
        </w:tc>
        <w:tc>
          <w:tcPr>
            <w:tcW w:w="306" w:type="dxa"/>
            <w:vAlign w:val="center"/>
          </w:tcPr>
          <w:p w14:paraId="0F571FA4"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I</w:t>
            </w:r>
          </w:p>
        </w:tc>
        <w:tc>
          <w:tcPr>
            <w:tcW w:w="417" w:type="dxa"/>
            <w:vAlign w:val="center"/>
          </w:tcPr>
          <w:p w14:paraId="1C659898"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17</w:t>
            </w:r>
          </w:p>
        </w:tc>
        <w:tc>
          <w:tcPr>
            <w:tcW w:w="875" w:type="dxa"/>
            <w:vAlign w:val="center"/>
          </w:tcPr>
          <w:p w14:paraId="009BB3AC"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018117</w:t>
            </w:r>
          </w:p>
        </w:tc>
        <w:tc>
          <w:tcPr>
            <w:tcW w:w="337" w:type="dxa"/>
            <w:vAlign w:val="center"/>
          </w:tcPr>
          <w:p w14:paraId="704886A7"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1</w:t>
            </w:r>
          </w:p>
        </w:tc>
        <w:tc>
          <w:tcPr>
            <w:tcW w:w="429" w:type="dxa"/>
            <w:vAlign w:val="center"/>
          </w:tcPr>
          <w:p w14:paraId="2962A537"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2</w:t>
            </w:r>
          </w:p>
        </w:tc>
        <w:tc>
          <w:tcPr>
            <w:tcW w:w="666" w:type="dxa"/>
            <w:vAlign w:val="center"/>
          </w:tcPr>
          <w:p w14:paraId="4868E740"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2012</w:t>
            </w:r>
          </w:p>
        </w:tc>
        <w:tc>
          <w:tcPr>
            <w:tcW w:w="666" w:type="dxa"/>
            <w:vAlign w:val="center"/>
          </w:tcPr>
          <w:p w14:paraId="7B7C6BE5"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11</w:t>
            </w:r>
          </w:p>
        </w:tc>
        <w:tc>
          <w:tcPr>
            <w:tcW w:w="657" w:type="dxa"/>
            <w:vAlign w:val="center"/>
          </w:tcPr>
          <w:p w14:paraId="6F4434BD"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07</w:t>
            </w:r>
          </w:p>
        </w:tc>
        <w:tc>
          <w:tcPr>
            <w:tcW w:w="675" w:type="dxa"/>
            <w:vAlign w:val="center"/>
          </w:tcPr>
          <w:p w14:paraId="26A81CF0"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09</w:t>
            </w:r>
          </w:p>
        </w:tc>
        <w:tc>
          <w:tcPr>
            <w:tcW w:w="666" w:type="dxa"/>
            <w:vAlign w:val="center"/>
          </w:tcPr>
          <w:p w14:paraId="1A6AFAC8"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33</w:t>
            </w:r>
          </w:p>
        </w:tc>
        <w:tc>
          <w:tcPr>
            <w:tcW w:w="684" w:type="dxa"/>
            <w:vAlign w:val="center"/>
          </w:tcPr>
          <w:p w14:paraId="15238B19"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12</w:t>
            </w:r>
          </w:p>
        </w:tc>
        <w:tc>
          <w:tcPr>
            <w:tcW w:w="693" w:type="dxa"/>
            <w:vAlign w:val="center"/>
          </w:tcPr>
          <w:p w14:paraId="0F9BF9A7"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78</w:t>
            </w:r>
          </w:p>
        </w:tc>
        <w:tc>
          <w:tcPr>
            <w:tcW w:w="502" w:type="dxa"/>
            <w:vAlign w:val="center"/>
          </w:tcPr>
          <w:p w14:paraId="6DC53EA7"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T</w:t>
            </w:r>
          </w:p>
        </w:tc>
        <w:tc>
          <w:tcPr>
            <w:tcW w:w="748" w:type="dxa"/>
            <w:vAlign w:val="center"/>
          </w:tcPr>
          <w:p w14:paraId="43017558"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Blank</w:t>
            </w:r>
          </w:p>
        </w:tc>
      </w:tr>
      <w:tr w:rsidR="009B7AED" w:rsidRPr="0026055C" w14:paraId="48D521FF" w14:textId="77777777" w:rsidTr="00D4282A">
        <w:trPr>
          <w:trHeight w:val="63"/>
          <w:jc w:val="center"/>
        </w:trPr>
        <w:tc>
          <w:tcPr>
            <w:tcW w:w="1039" w:type="dxa"/>
            <w:vAlign w:val="center"/>
          </w:tcPr>
          <w:p w14:paraId="4A12C92A" w14:textId="77777777" w:rsidR="009B7AED" w:rsidRPr="0026055C" w:rsidRDefault="009B7AED" w:rsidP="00FA2032">
            <w:pPr>
              <w:pStyle w:val="BodyFHWA"/>
              <w:ind w:left="0"/>
              <w:rPr>
                <w:rStyle w:val="Bold"/>
                <w:rFonts w:cs="Calibri"/>
              </w:rPr>
            </w:pPr>
            <w:r w:rsidRPr="0026055C">
              <w:rPr>
                <w:rStyle w:val="Bold"/>
                <w:rFonts w:cs="Calibri"/>
              </w:rPr>
              <w:t>Content 03 Example:</w:t>
            </w:r>
          </w:p>
        </w:tc>
        <w:tc>
          <w:tcPr>
            <w:tcW w:w="306" w:type="dxa"/>
            <w:vAlign w:val="center"/>
          </w:tcPr>
          <w:p w14:paraId="4DBC3E2D"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I</w:t>
            </w:r>
          </w:p>
        </w:tc>
        <w:tc>
          <w:tcPr>
            <w:tcW w:w="417" w:type="dxa"/>
            <w:vAlign w:val="center"/>
          </w:tcPr>
          <w:p w14:paraId="49AA3018"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17</w:t>
            </w:r>
          </w:p>
        </w:tc>
        <w:tc>
          <w:tcPr>
            <w:tcW w:w="875" w:type="dxa"/>
            <w:vAlign w:val="center"/>
          </w:tcPr>
          <w:p w14:paraId="2103EA34"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018117</w:t>
            </w:r>
          </w:p>
        </w:tc>
        <w:tc>
          <w:tcPr>
            <w:tcW w:w="337" w:type="dxa"/>
            <w:vAlign w:val="center"/>
          </w:tcPr>
          <w:p w14:paraId="2E3C8C6E"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1</w:t>
            </w:r>
          </w:p>
        </w:tc>
        <w:tc>
          <w:tcPr>
            <w:tcW w:w="429" w:type="dxa"/>
            <w:vAlign w:val="center"/>
          </w:tcPr>
          <w:p w14:paraId="63E432FF"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2</w:t>
            </w:r>
          </w:p>
        </w:tc>
        <w:tc>
          <w:tcPr>
            <w:tcW w:w="666" w:type="dxa"/>
            <w:vAlign w:val="center"/>
          </w:tcPr>
          <w:p w14:paraId="44855513"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2012</w:t>
            </w:r>
          </w:p>
        </w:tc>
        <w:tc>
          <w:tcPr>
            <w:tcW w:w="666" w:type="dxa"/>
            <w:vAlign w:val="center"/>
          </w:tcPr>
          <w:p w14:paraId="4A1D9E15"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11</w:t>
            </w:r>
          </w:p>
        </w:tc>
        <w:tc>
          <w:tcPr>
            <w:tcW w:w="657" w:type="dxa"/>
            <w:vAlign w:val="center"/>
          </w:tcPr>
          <w:p w14:paraId="6D465FD9"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07</w:t>
            </w:r>
          </w:p>
        </w:tc>
        <w:tc>
          <w:tcPr>
            <w:tcW w:w="675" w:type="dxa"/>
            <w:vAlign w:val="center"/>
          </w:tcPr>
          <w:p w14:paraId="3FD7E7F7"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09</w:t>
            </w:r>
          </w:p>
        </w:tc>
        <w:tc>
          <w:tcPr>
            <w:tcW w:w="666" w:type="dxa"/>
            <w:vAlign w:val="center"/>
          </w:tcPr>
          <w:p w14:paraId="58EACA5E"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42</w:t>
            </w:r>
          </w:p>
        </w:tc>
        <w:tc>
          <w:tcPr>
            <w:tcW w:w="684" w:type="dxa"/>
            <w:vAlign w:val="center"/>
          </w:tcPr>
          <w:p w14:paraId="4262579B"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14</w:t>
            </w:r>
          </w:p>
        </w:tc>
        <w:tc>
          <w:tcPr>
            <w:tcW w:w="693" w:type="dxa"/>
            <w:vAlign w:val="center"/>
          </w:tcPr>
          <w:p w14:paraId="51C7BEE2"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36</w:t>
            </w:r>
          </w:p>
        </w:tc>
        <w:tc>
          <w:tcPr>
            <w:tcW w:w="502" w:type="dxa"/>
            <w:vAlign w:val="center"/>
          </w:tcPr>
          <w:p w14:paraId="76F2BB51"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T</w:t>
            </w:r>
          </w:p>
        </w:tc>
        <w:tc>
          <w:tcPr>
            <w:tcW w:w="748" w:type="dxa"/>
            <w:vAlign w:val="center"/>
          </w:tcPr>
          <w:p w14:paraId="5908FCBF" w14:textId="77777777" w:rsidR="009B7AED" w:rsidRPr="0026055C" w:rsidRDefault="009B7AED" w:rsidP="0026055C">
            <w:pPr>
              <w:pStyle w:val="BodyFHWA"/>
              <w:ind w:left="0"/>
              <w:jc w:val="center"/>
              <w:rPr>
                <w:rFonts w:eastAsiaTheme="minorEastAsia" w:cs="Calibri"/>
              </w:rPr>
            </w:pPr>
            <w:r w:rsidRPr="0026055C">
              <w:rPr>
                <w:rFonts w:eastAsiaTheme="minorEastAsia" w:cs="Calibri"/>
              </w:rPr>
              <w:t>Blank</w:t>
            </w:r>
          </w:p>
        </w:tc>
      </w:tr>
    </w:tbl>
    <w:p w14:paraId="33862215" w14:textId="2B1A4396" w:rsidR="009B7AED" w:rsidRPr="00F153DC" w:rsidRDefault="009B7AED" w:rsidP="0026055C">
      <w:pPr>
        <w:pStyle w:val="BodyText"/>
        <w:spacing w:before="120"/>
      </w:pPr>
      <w:r w:rsidRPr="00F153DC">
        <w:rPr>
          <w:rStyle w:val="Italic"/>
          <w:iCs/>
        </w:rPr>
        <w:t>continued</w:t>
      </w:r>
    </w:p>
    <w:tbl>
      <w:tblPr>
        <w:tblStyle w:val="TableGrid"/>
        <w:tblW w:w="43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8" w:type="dxa"/>
          <w:right w:w="58" w:type="dxa"/>
        </w:tblCellMar>
        <w:tblLook w:val="04A0" w:firstRow="1" w:lastRow="0" w:firstColumn="1" w:lastColumn="0" w:noHBand="0" w:noVBand="1"/>
      </w:tblPr>
      <w:tblGrid>
        <w:gridCol w:w="1039"/>
        <w:gridCol w:w="1126"/>
        <w:gridCol w:w="720"/>
        <w:gridCol w:w="720"/>
        <w:gridCol w:w="720"/>
      </w:tblGrid>
      <w:tr w:rsidR="009B7AED" w:rsidRPr="00D4282A" w14:paraId="0E8FA361" w14:textId="77777777" w:rsidTr="00D4282A">
        <w:tc>
          <w:tcPr>
            <w:tcW w:w="1039" w:type="dxa"/>
            <w:vAlign w:val="center"/>
          </w:tcPr>
          <w:p w14:paraId="3BD64F6E" w14:textId="77777777" w:rsidR="009B7AED" w:rsidRPr="00D4282A" w:rsidRDefault="009B7AED" w:rsidP="00FA2032">
            <w:pPr>
              <w:pStyle w:val="BodyFHWA"/>
              <w:ind w:left="0"/>
              <w:rPr>
                <w:rFonts w:cs="Calibri"/>
                <w:b/>
                <w:bCs/>
              </w:rPr>
            </w:pPr>
            <w:r w:rsidRPr="00D4282A">
              <w:rPr>
                <w:rFonts w:cs="Calibri"/>
                <w:b/>
                <w:bCs/>
              </w:rPr>
              <w:t>Column Number:</w:t>
            </w:r>
          </w:p>
        </w:tc>
        <w:tc>
          <w:tcPr>
            <w:tcW w:w="1126" w:type="dxa"/>
            <w:vAlign w:val="center"/>
          </w:tcPr>
          <w:p w14:paraId="27B1F399" w14:textId="77777777" w:rsidR="009B7AED" w:rsidRPr="00D4282A" w:rsidRDefault="009B7AED" w:rsidP="0026055C">
            <w:pPr>
              <w:pStyle w:val="BodyFHWA"/>
              <w:ind w:left="0"/>
              <w:jc w:val="center"/>
              <w:rPr>
                <w:rFonts w:cs="Calibri"/>
                <w:b/>
                <w:bCs/>
              </w:rPr>
            </w:pPr>
            <w:r w:rsidRPr="00D4282A">
              <w:rPr>
                <w:rFonts w:cs="Calibri"/>
                <w:b/>
                <w:bCs/>
              </w:rPr>
              <w:t>34-37</w:t>
            </w:r>
          </w:p>
        </w:tc>
        <w:tc>
          <w:tcPr>
            <w:tcW w:w="720" w:type="dxa"/>
            <w:vAlign w:val="center"/>
          </w:tcPr>
          <w:p w14:paraId="70DAF6BE" w14:textId="77777777" w:rsidR="009B7AED" w:rsidRPr="00D4282A" w:rsidRDefault="009B7AED" w:rsidP="0026055C">
            <w:pPr>
              <w:pStyle w:val="BodyFHWA"/>
              <w:ind w:left="0"/>
              <w:jc w:val="center"/>
              <w:rPr>
                <w:rFonts w:cs="Calibri"/>
                <w:b/>
                <w:bCs/>
              </w:rPr>
            </w:pPr>
            <w:r w:rsidRPr="00D4282A">
              <w:rPr>
                <w:rFonts w:cs="Calibri"/>
                <w:b/>
                <w:bCs/>
              </w:rPr>
              <w:t>38-39</w:t>
            </w:r>
          </w:p>
        </w:tc>
        <w:tc>
          <w:tcPr>
            <w:tcW w:w="720" w:type="dxa"/>
            <w:vAlign w:val="center"/>
          </w:tcPr>
          <w:p w14:paraId="1B38BFC7" w14:textId="77777777" w:rsidR="009B7AED" w:rsidRPr="00D4282A" w:rsidRDefault="009B7AED" w:rsidP="0026055C">
            <w:pPr>
              <w:pStyle w:val="BodyFHWA"/>
              <w:ind w:left="0"/>
              <w:jc w:val="center"/>
              <w:rPr>
                <w:rFonts w:cs="Calibri"/>
                <w:b/>
                <w:bCs/>
              </w:rPr>
            </w:pPr>
            <w:r w:rsidRPr="00D4282A">
              <w:rPr>
                <w:rFonts w:cs="Calibri"/>
                <w:b/>
                <w:bCs/>
              </w:rPr>
              <w:t>40-41</w:t>
            </w:r>
          </w:p>
        </w:tc>
        <w:tc>
          <w:tcPr>
            <w:tcW w:w="720" w:type="dxa"/>
            <w:vAlign w:val="center"/>
          </w:tcPr>
          <w:p w14:paraId="6B21E65E" w14:textId="77777777" w:rsidR="009B7AED" w:rsidRPr="00D4282A" w:rsidRDefault="009B7AED" w:rsidP="0026055C">
            <w:pPr>
              <w:pStyle w:val="BodyFHWA"/>
              <w:ind w:left="0"/>
              <w:jc w:val="center"/>
              <w:rPr>
                <w:rFonts w:cs="Calibri"/>
                <w:b/>
                <w:bCs/>
              </w:rPr>
            </w:pPr>
            <w:r w:rsidRPr="00D4282A">
              <w:rPr>
                <w:rFonts w:cs="Calibri"/>
                <w:b/>
                <w:bCs/>
              </w:rPr>
              <w:t>42-45</w:t>
            </w:r>
          </w:p>
        </w:tc>
      </w:tr>
      <w:tr w:rsidR="009B7AED" w:rsidRPr="00D4282A" w14:paraId="38E3F8D7" w14:textId="77777777" w:rsidTr="00D4282A">
        <w:tc>
          <w:tcPr>
            <w:tcW w:w="1039" w:type="dxa"/>
            <w:vAlign w:val="center"/>
          </w:tcPr>
          <w:p w14:paraId="377B8433" w14:textId="77777777" w:rsidR="009B7AED" w:rsidRPr="00D4282A" w:rsidRDefault="009B7AED" w:rsidP="00FA2032">
            <w:pPr>
              <w:pStyle w:val="BodyFHWA"/>
              <w:ind w:left="0"/>
              <w:rPr>
                <w:rStyle w:val="Bold"/>
                <w:rFonts w:cs="Calibri"/>
              </w:rPr>
            </w:pPr>
            <w:r w:rsidRPr="00D4282A">
              <w:rPr>
                <w:rStyle w:val="Bold"/>
                <w:rFonts w:cs="Calibri"/>
              </w:rPr>
              <w:t>Content 01 Example:</w:t>
            </w:r>
          </w:p>
        </w:tc>
        <w:tc>
          <w:tcPr>
            <w:tcW w:w="1126" w:type="dxa"/>
            <w:vAlign w:val="center"/>
          </w:tcPr>
          <w:p w14:paraId="188B68B4" w14:textId="77777777" w:rsidR="009B7AED" w:rsidRPr="00D4282A" w:rsidRDefault="009B7AED" w:rsidP="0026055C">
            <w:pPr>
              <w:pStyle w:val="BodyFHWA"/>
              <w:ind w:left="0"/>
              <w:jc w:val="center"/>
              <w:rPr>
                <w:rFonts w:eastAsiaTheme="minorEastAsia" w:cs="Calibri"/>
                <w:color w:val="auto"/>
              </w:rPr>
            </w:pPr>
            <w:r w:rsidRPr="00D4282A">
              <w:rPr>
                <w:rFonts w:eastAsiaTheme="minorEastAsia" w:cs="Calibri"/>
                <w:color w:val="auto"/>
              </w:rPr>
              <w:t>0624</w:t>
            </w:r>
          </w:p>
        </w:tc>
        <w:tc>
          <w:tcPr>
            <w:tcW w:w="720" w:type="dxa"/>
            <w:vAlign w:val="center"/>
          </w:tcPr>
          <w:p w14:paraId="373C8281" w14:textId="77777777" w:rsidR="009B7AED" w:rsidRPr="00D4282A" w:rsidRDefault="009B7AED" w:rsidP="0026055C">
            <w:pPr>
              <w:pStyle w:val="BodyFHWA"/>
              <w:ind w:left="0"/>
              <w:jc w:val="center"/>
              <w:rPr>
                <w:rFonts w:eastAsiaTheme="minorEastAsia" w:cs="Calibri"/>
                <w:color w:val="auto"/>
              </w:rPr>
            </w:pPr>
            <w:r w:rsidRPr="00D4282A">
              <w:rPr>
                <w:rFonts w:eastAsiaTheme="minorEastAsia" w:cs="Calibri"/>
                <w:color w:val="auto"/>
              </w:rPr>
              <w:t>03</w:t>
            </w:r>
          </w:p>
        </w:tc>
        <w:tc>
          <w:tcPr>
            <w:tcW w:w="720" w:type="dxa"/>
            <w:vAlign w:val="center"/>
          </w:tcPr>
          <w:p w14:paraId="276762C9" w14:textId="77777777" w:rsidR="009B7AED" w:rsidRPr="00D4282A" w:rsidRDefault="009B7AED" w:rsidP="0026055C">
            <w:pPr>
              <w:pStyle w:val="BodyFHWA"/>
              <w:ind w:left="0"/>
              <w:jc w:val="center"/>
              <w:rPr>
                <w:rFonts w:eastAsiaTheme="minorEastAsia" w:cs="Calibri"/>
                <w:color w:val="auto"/>
              </w:rPr>
            </w:pPr>
            <w:r w:rsidRPr="00D4282A">
              <w:rPr>
                <w:rFonts w:eastAsiaTheme="minorEastAsia" w:cs="Calibri"/>
                <w:color w:val="auto"/>
              </w:rPr>
              <w:t>02</w:t>
            </w:r>
          </w:p>
        </w:tc>
        <w:tc>
          <w:tcPr>
            <w:tcW w:w="720" w:type="dxa"/>
            <w:vAlign w:val="center"/>
          </w:tcPr>
          <w:p w14:paraId="44457D47" w14:textId="77777777" w:rsidR="009B7AED" w:rsidRPr="00D4282A" w:rsidRDefault="009B7AED" w:rsidP="0026055C">
            <w:pPr>
              <w:pStyle w:val="BodyFHWA"/>
              <w:ind w:left="0"/>
              <w:jc w:val="center"/>
              <w:rPr>
                <w:rFonts w:eastAsiaTheme="minorEastAsia" w:cs="Calibri"/>
                <w:color w:val="auto"/>
              </w:rPr>
            </w:pPr>
            <w:r w:rsidRPr="00D4282A">
              <w:rPr>
                <w:rFonts w:eastAsiaTheme="minorEastAsia" w:cs="Calibri"/>
                <w:color w:val="auto"/>
              </w:rPr>
              <w:t>0163</w:t>
            </w:r>
          </w:p>
        </w:tc>
      </w:tr>
      <w:tr w:rsidR="009B7AED" w:rsidRPr="00D4282A" w14:paraId="2454939A" w14:textId="77777777" w:rsidTr="00D4282A">
        <w:tc>
          <w:tcPr>
            <w:tcW w:w="1039" w:type="dxa"/>
            <w:vAlign w:val="center"/>
          </w:tcPr>
          <w:p w14:paraId="1CCE271A" w14:textId="77777777" w:rsidR="009B7AED" w:rsidRPr="00D4282A" w:rsidRDefault="009B7AED" w:rsidP="00FA2032">
            <w:pPr>
              <w:pStyle w:val="BodyFHWA"/>
              <w:ind w:left="0"/>
              <w:rPr>
                <w:rStyle w:val="Bold"/>
                <w:rFonts w:cs="Calibri"/>
              </w:rPr>
            </w:pPr>
            <w:r w:rsidRPr="00D4282A">
              <w:rPr>
                <w:rStyle w:val="Bold"/>
                <w:rFonts w:cs="Calibri"/>
              </w:rPr>
              <w:t>Content 02 Example:</w:t>
            </w:r>
          </w:p>
        </w:tc>
        <w:tc>
          <w:tcPr>
            <w:tcW w:w="1126" w:type="dxa"/>
            <w:vAlign w:val="center"/>
          </w:tcPr>
          <w:p w14:paraId="2BBEBF80" w14:textId="77777777" w:rsidR="009B7AED" w:rsidRPr="00D4282A" w:rsidRDefault="009B7AED" w:rsidP="0026055C">
            <w:pPr>
              <w:pStyle w:val="BodyFHWA"/>
              <w:ind w:left="0"/>
              <w:jc w:val="center"/>
              <w:rPr>
                <w:rFonts w:eastAsiaTheme="minorEastAsia" w:cs="Calibri"/>
                <w:color w:val="auto"/>
              </w:rPr>
            </w:pPr>
            <w:r w:rsidRPr="00D4282A">
              <w:rPr>
                <w:rFonts w:eastAsiaTheme="minorEastAsia" w:cs="Calibri"/>
                <w:color w:val="auto"/>
              </w:rPr>
              <w:t>0613</w:t>
            </w:r>
          </w:p>
        </w:tc>
        <w:tc>
          <w:tcPr>
            <w:tcW w:w="720" w:type="dxa"/>
            <w:vAlign w:val="center"/>
          </w:tcPr>
          <w:p w14:paraId="4FC56E09" w14:textId="77777777" w:rsidR="009B7AED" w:rsidRPr="00D4282A" w:rsidRDefault="009B7AED" w:rsidP="0026055C">
            <w:pPr>
              <w:pStyle w:val="BodyFHWA"/>
              <w:ind w:left="0"/>
              <w:jc w:val="center"/>
              <w:rPr>
                <w:rFonts w:eastAsiaTheme="minorEastAsia" w:cs="Calibri"/>
                <w:color w:val="auto"/>
              </w:rPr>
            </w:pPr>
            <w:r w:rsidRPr="00D4282A">
              <w:rPr>
                <w:rFonts w:eastAsiaTheme="minorEastAsia" w:cs="Calibri"/>
                <w:color w:val="auto"/>
              </w:rPr>
              <w:t>09</w:t>
            </w:r>
          </w:p>
        </w:tc>
        <w:tc>
          <w:tcPr>
            <w:tcW w:w="720" w:type="dxa"/>
            <w:vAlign w:val="center"/>
          </w:tcPr>
          <w:p w14:paraId="641B359F" w14:textId="77777777" w:rsidR="009B7AED" w:rsidRPr="00D4282A" w:rsidRDefault="009B7AED" w:rsidP="0026055C">
            <w:pPr>
              <w:pStyle w:val="BodyFHWA"/>
              <w:ind w:left="0"/>
              <w:jc w:val="center"/>
              <w:rPr>
                <w:rFonts w:eastAsiaTheme="minorEastAsia" w:cs="Calibri"/>
                <w:color w:val="auto"/>
              </w:rPr>
            </w:pPr>
            <w:r w:rsidRPr="00D4282A">
              <w:rPr>
                <w:rFonts w:eastAsiaTheme="minorEastAsia" w:cs="Calibri"/>
                <w:color w:val="auto"/>
              </w:rPr>
              <w:t>05</w:t>
            </w:r>
          </w:p>
        </w:tc>
        <w:tc>
          <w:tcPr>
            <w:tcW w:w="720" w:type="dxa"/>
            <w:vAlign w:val="center"/>
          </w:tcPr>
          <w:p w14:paraId="02E4F340" w14:textId="77777777" w:rsidR="009B7AED" w:rsidRPr="00D4282A" w:rsidRDefault="009B7AED" w:rsidP="0026055C">
            <w:pPr>
              <w:pStyle w:val="BodyFHWA"/>
              <w:ind w:left="0"/>
              <w:jc w:val="center"/>
              <w:rPr>
                <w:rFonts w:eastAsiaTheme="minorEastAsia" w:cs="Calibri"/>
                <w:color w:val="auto"/>
              </w:rPr>
            </w:pPr>
            <w:r w:rsidRPr="00D4282A">
              <w:rPr>
                <w:rFonts w:eastAsiaTheme="minorEastAsia" w:cs="Calibri"/>
                <w:color w:val="auto"/>
              </w:rPr>
              <w:t>0691</w:t>
            </w:r>
          </w:p>
        </w:tc>
      </w:tr>
      <w:tr w:rsidR="009B7AED" w:rsidRPr="00D4282A" w14:paraId="54076D8D" w14:textId="77777777" w:rsidTr="00D4282A">
        <w:tc>
          <w:tcPr>
            <w:tcW w:w="1039" w:type="dxa"/>
            <w:vAlign w:val="center"/>
          </w:tcPr>
          <w:p w14:paraId="5BAF3B03" w14:textId="77777777" w:rsidR="009B7AED" w:rsidRPr="00D4282A" w:rsidRDefault="009B7AED" w:rsidP="00FA2032">
            <w:pPr>
              <w:pStyle w:val="BodyFHWA"/>
              <w:ind w:left="0"/>
              <w:rPr>
                <w:rStyle w:val="Bold"/>
                <w:rFonts w:cs="Calibri"/>
              </w:rPr>
            </w:pPr>
            <w:r w:rsidRPr="00D4282A">
              <w:rPr>
                <w:rStyle w:val="Bold"/>
                <w:rFonts w:cs="Calibri"/>
              </w:rPr>
              <w:t>Content 03 Example:</w:t>
            </w:r>
          </w:p>
        </w:tc>
        <w:tc>
          <w:tcPr>
            <w:tcW w:w="1126" w:type="dxa"/>
            <w:vAlign w:val="center"/>
          </w:tcPr>
          <w:p w14:paraId="6C77B82E" w14:textId="77777777" w:rsidR="009B7AED" w:rsidRPr="00D4282A" w:rsidRDefault="009B7AED" w:rsidP="0026055C">
            <w:pPr>
              <w:pStyle w:val="BodyFHWA"/>
              <w:ind w:left="0"/>
              <w:jc w:val="center"/>
              <w:rPr>
                <w:rFonts w:eastAsiaTheme="minorEastAsia" w:cs="Calibri"/>
                <w:color w:val="auto"/>
              </w:rPr>
            </w:pPr>
            <w:r w:rsidRPr="00D4282A">
              <w:rPr>
                <w:rFonts w:eastAsiaTheme="minorEastAsia" w:cs="Calibri"/>
                <w:color w:val="auto"/>
              </w:rPr>
              <w:t>0648</w:t>
            </w:r>
          </w:p>
        </w:tc>
        <w:tc>
          <w:tcPr>
            <w:tcW w:w="720" w:type="dxa"/>
            <w:vAlign w:val="center"/>
          </w:tcPr>
          <w:p w14:paraId="47E1B199" w14:textId="77777777" w:rsidR="009B7AED" w:rsidRPr="00D4282A" w:rsidRDefault="009B7AED" w:rsidP="0026055C">
            <w:pPr>
              <w:pStyle w:val="BodyFHWA"/>
              <w:ind w:left="0"/>
              <w:jc w:val="center"/>
              <w:rPr>
                <w:rFonts w:eastAsiaTheme="minorEastAsia" w:cs="Calibri"/>
                <w:color w:val="auto"/>
              </w:rPr>
            </w:pPr>
            <w:r w:rsidRPr="00D4282A">
              <w:rPr>
                <w:rFonts w:eastAsiaTheme="minorEastAsia" w:cs="Calibri"/>
                <w:color w:val="auto"/>
              </w:rPr>
              <w:t>02</w:t>
            </w:r>
          </w:p>
        </w:tc>
        <w:tc>
          <w:tcPr>
            <w:tcW w:w="720" w:type="dxa"/>
            <w:vAlign w:val="center"/>
          </w:tcPr>
          <w:p w14:paraId="38672235" w14:textId="77777777" w:rsidR="009B7AED" w:rsidRPr="00D4282A" w:rsidRDefault="009B7AED" w:rsidP="0026055C">
            <w:pPr>
              <w:pStyle w:val="BodyFHWA"/>
              <w:ind w:left="0"/>
              <w:jc w:val="center"/>
              <w:rPr>
                <w:rFonts w:eastAsiaTheme="minorEastAsia" w:cs="Calibri"/>
                <w:color w:val="auto"/>
              </w:rPr>
            </w:pPr>
            <w:r w:rsidRPr="00D4282A">
              <w:rPr>
                <w:rFonts w:eastAsiaTheme="minorEastAsia" w:cs="Calibri"/>
                <w:color w:val="auto"/>
              </w:rPr>
              <w:t>02</w:t>
            </w:r>
          </w:p>
        </w:tc>
        <w:tc>
          <w:tcPr>
            <w:tcW w:w="720" w:type="dxa"/>
            <w:vAlign w:val="center"/>
          </w:tcPr>
          <w:p w14:paraId="67982D1C" w14:textId="77777777" w:rsidR="009B7AED" w:rsidRPr="00D4282A" w:rsidRDefault="009B7AED" w:rsidP="0026055C">
            <w:pPr>
              <w:pStyle w:val="BodyFHWA"/>
              <w:ind w:left="0"/>
              <w:jc w:val="center"/>
              <w:rPr>
                <w:rFonts w:eastAsiaTheme="minorEastAsia" w:cs="Calibri"/>
                <w:color w:val="auto"/>
              </w:rPr>
            </w:pPr>
            <w:r w:rsidRPr="00D4282A">
              <w:rPr>
                <w:rFonts w:eastAsiaTheme="minorEastAsia" w:cs="Calibri"/>
                <w:color w:val="auto"/>
              </w:rPr>
              <w:t>0097</w:t>
            </w:r>
          </w:p>
        </w:tc>
      </w:tr>
    </w:tbl>
    <w:p w14:paraId="4CCE3AC4" w14:textId="7083AC22" w:rsidR="009B7AED" w:rsidRDefault="009B7AED" w:rsidP="003D18A1">
      <w:pPr>
        <w:pStyle w:val="BodyText"/>
        <w:spacing w:before="360"/>
      </w:pPr>
      <w:r>
        <w:t xml:space="preserve">State highway agencies can submit the IVR (T variant) data using the pipe-delimited format. The key difference between the fixed-width format and the pipe-delimited format is that with the pipe-delimited file, data elements no longer need to match the starting and ending columns. Length of data elements can be equal or shorter than the specified lengths. </w:t>
      </w:r>
      <w:r>
        <w:rPr>
          <w:rStyle w:val="Italic"/>
          <w:i w:val="0"/>
        </w:rPr>
        <w:t xml:space="preserve">The field order for the pipe-delimited format is identical to the order for the fixed-width </w:t>
      </w:r>
      <w:r>
        <w:rPr>
          <w:rStyle w:val="Italic"/>
          <w:i w:val="0"/>
        </w:rPr>
        <w:lastRenderedPageBreak/>
        <w:t xml:space="preserve">format (see </w:t>
      </w:r>
      <w:r>
        <w:rPr>
          <w:rStyle w:val="Italic"/>
          <w:i w:val="0"/>
        </w:rPr>
        <w:fldChar w:fldCharType="begin"/>
      </w:r>
      <w:r>
        <w:rPr>
          <w:rStyle w:val="Italic"/>
          <w:i w:val="0"/>
        </w:rPr>
        <w:instrText xml:space="preserve"> REF _Ref113277660 </w:instrText>
      </w:r>
      <w:r w:rsidR="003D18A1">
        <w:rPr>
          <w:rStyle w:val="Italic"/>
          <w:i w:val="0"/>
        </w:rPr>
        <w:instrText xml:space="preserve"> \* MERGEFORMAT </w:instrText>
      </w:r>
      <w:r>
        <w:rPr>
          <w:rStyle w:val="Italic"/>
          <w:i w:val="0"/>
        </w:rPr>
        <w:fldChar w:fldCharType="separate"/>
      </w:r>
      <w:r w:rsidR="00C07DF9" w:rsidRPr="00904AEA">
        <w:t xml:space="preserve">Table </w:t>
      </w:r>
      <w:r w:rsidR="00C07DF9">
        <w:rPr>
          <w:noProof/>
        </w:rPr>
        <w:t>4</w:t>
      </w:r>
      <w:r w:rsidR="00C07DF9">
        <w:rPr>
          <w:noProof/>
        </w:rPr>
        <w:noBreakHyphen/>
        <w:t>27</w:t>
      </w:r>
      <w:r>
        <w:rPr>
          <w:rStyle w:val="Italic"/>
          <w:i w:val="0"/>
        </w:rPr>
        <w:fldChar w:fldCharType="end"/>
      </w:r>
      <w:r>
        <w:rPr>
          <w:rStyle w:val="Italic"/>
          <w:i w:val="0"/>
        </w:rPr>
        <w:t xml:space="preserve">). In this format, the fields are separated by a </w:t>
      </w:r>
      <w:r>
        <w:t>pipe symbol (|) instead of beginning in specified columns. Example records in this format are provided below.</w:t>
      </w:r>
    </w:p>
    <w:p w14:paraId="1EB143C7" w14:textId="77777777" w:rsidR="009B7AED" w:rsidRPr="003D18A1" w:rsidRDefault="009B7AED" w:rsidP="003D18A1">
      <w:pPr>
        <w:spacing w:before="240" w:after="120"/>
        <w:jc w:val="left"/>
        <w:rPr>
          <w:rFonts w:ascii="Cambria" w:hAnsi="Cambria"/>
          <w:b/>
          <w:sz w:val="26"/>
          <w:szCs w:val="26"/>
        </w:rPr>
      </w:pPr>
      <w:r w:rsidRPr="003D18A1">
        <w:rPr>
          <w:rFonts w:ascii="Cambria" w:hAnsi="Cambria"/>
          <w:b/>
          <w:sz w:val="26"/>
          <w:szCs w:val="26"/>
        </w:rPr>
        <w:t>Delimited Format Examples</w:t>
      </w:r>
    </w:p>
    <w:p w14:paraId="3EF6781E" w14:textId="77777777" w:rsidR="009B7AED" w:rsidRPr="003D18A1" w:rsidRDefault="009B7AED" w:rsidP="003D18A1">
      <w:pPr>
        <w:spacing w:before="240" w:after="120"/>
        <w:rPr>
          <w:rFonts w:ascii="Cambria" w:hAnsi="Cambria"/>
          <w:b/>
          <w:sz w:val="22"/>
          <w:szCs w:val="22"/>
        </w:rPr>
      </w:pPr>
      <w:r w:rsidRPr="003D18A1">
        <w:rPr>
          <w:rFonts w:ascii="Cambria" w:hAnsi="Cambria"/>
          <w:b/>
          <w:sz w:val="22"/>
          <w:szCs w:val="22"/>
        </w:rPr>
        <w:t>Speed Format – Detailed</w:t>
      </w:r>
    </w:p>
    <w:p w14:paraId="106AE726" w14:textId="77777777" w:rsidR="009B7AED" w:rsidRPr="008560EA" w:rsidRDefault="009B7AED" w:rsidP="009B7AED">
      <w:r w:rsidRPr="008560EA">
        <w:t>R</w:t>
      </w:r>
      <w:r>
        <w:t>T</w:t>
      </w:r>
      <w:r w:rsidRPr="008560EA">
        <w:t>|SFIPS|ID|D</w:t>
      </w:r>
      <w:r>
        <w:t>IR</w:t>
      </w:r>
      <w:r w:rsidRPr="008560EA">
        <w:t>|L</w:t>
      </w:r>
      <w:r>
        <w:t>N</w:t>
      </w:r>
      <w:r w:rsidRPr="008560EA">
        <w:t>|YR|M</w:t>
      </w:r>
      <w:r>
        <w:t>O</w:t>
      </w:r>
      <w:r w:rsidRPr="008560EA">
        <w:t>Y|D</w:t>
      </w:r>
      <w:r>
        <w:t>O</w:t>
      </w:r>
      <w:r w:rsidRPr="008560EA">
        <w:t>M|H</w:t>
      </w:r>
      <w:r>
        <w:t>O</w:t>
      </w:r>
      <w:r w:rsidRPr="008560EA">
        <w:t>D|M</w:t>
      </w:r>
      <w:r>
        <w:t>O</w:t>
      </w:r>
      <w:r w:rsidRPr="008560EA">
        <w:t>H|S</w:t>
      </w:r>
      <w:r>
        <w:t>O</w:t>
      </w:r>
      <w:r w:rsidRPr="008560EA">
        <w:t>M|SS</w:t>
      </w:r>
      <w:r>
        <w:t>OS</w:t>
      </w:r>
      <w:r w:rsidRPr="008560EA">
        <w:t>|T|VS|SPD|CLS|NAX|TVL|</w:t>
      </w:r>
    </w:p>
    <w:p w14:paraId="58552843" w14:textId="77777777" w:rsidR="009B7AED" w:rsidRPr="003D18A1" w:rsidRDefault="009B7AED" w:rsidP="00220FFB">
      <w:pPr>
        <w:spacing w:before="240" w:after="120"/>
        <w:jc w:val="left"/>
        <w:rPr>
          <w:rFonts w:ascii="Cambria" w:hAnsi="Cambria"/>
          <w:b/>
          <w:sz w:val="22"/>
          <w:szCs w:val="22"/>
        </w:rPr>
      </w:pPr>
      <w:r w:rsidRPr="003D18A1">
        <w:rPr>
          <w:rFonts w:ascii="Cambria" w:hAnsi="Cambria"/>
          <w:b/>
          <w:sz w:val="22"/>
          <w:szCs w:val="22"/>
        </w:rPr>
        <w:t xml:space="preserve">6-lane Roadway with 12 individual vehicles recorded (No Vehicle Signatures, Vehicle classifications, Number of axles or Total Vehicle Lengths reported) </w:t>
      </w:r>
    </w:p>
    <w:p w14:paraId="55F67D69" w14:textId="77777777" w:rsidR="009B7AED" w:rsidRPr="008560EA" w:rsidRDefault="009B7AED" w:rsidP="009B7AED">
      <w:r w:rsidRPr="008560EA">
        <w:t>I|15|ABC123|1|3|2021|4|25|2|12|5|31|T||554||||</w:t>
      </w:r>
    </w:p>
    <w:p w14:paraId="6C3614A3" w14:textId="77777777" w:rsidR="009B7AED" w:rsidRPr="008560EA" w:rsidRDefault="009B7AED" w:rsidP="009B7AED">
      <w:r w:rsidRPr="008560EA">
        <w:t>I|15|ABC123|5|3|2021|4|25|2|12|5|37|T||762||||</w:t>
      </w:r>
    </w:p>
    <w:p w14:paraId="71C295D7" w14:textId="77777777" w:rsidR="009B7AED" w:rsidRPr="008560EA" w:rsidRDefault="009B7AED" w:rsidP="009B7AED">
      <w:r w:rsidRPr="008560EA">
        <w:t>I|15|ABC123|1|2|2021|4|25|2|12|7|4|T||605||||</w:t>
      </w:r>
    </w:p>
    <w:p w14:paraId="50FB5736" w14:textId="77777777" w:rsidR="009B7AED" w:rsidRPr="008560EA" w:rsidRDefault="009B7AED" w:rsidP="009B7AED">
      <w:r w:rsidRPr="008560EA">
        <w:t>I|15|ABC123|1|1|2021|4|25|2|12|8|23|T||600||||</w:t>
      </w:r>
    </w:p>
    <w:p w14:paraId="554D8111" w14:textId="77777777" w:rsidR="009B7AED" w:rsidRPr="008560EA" w:rsidRDefault="009B7AED" w:rsidP="009B7AED">
      <w:r w:rsidRPr="008560EA">
        <w:t>I|15|ABC123|5|1|2021|4|25|2|12|9|89|T||552||||</w:t>
      </w:r>
    </w:p>
    <w:p w14:paraId="195D49D6" w14:textId="77777777" w:rsidR="009B7AED" w:rsidRPr="008560EA" w:rsidRDefault="009B7AED" w:rsidP="009B7AED">
      <w:r w:rsidRPr="008560EA">
        <w:t>I|15|ABC123|1|1|2021|4|25|2|12|12|15|T||571||||</w:t>
      </w:r>
    </w:p>
    <w:p w14:paraId="2AE6565C" w14:textId="77777777" w:rsidR="009B7AED" w:rsidRPr="008560EA" w:rsidRDefault="009B7AED" w:rsidP="009B7AED">
      <w:r w:rsidRPr="008560EA">
        <w:t>I|15|ABC123|5|1|2021|4|25|2|12|15|85|T||557||||</w:t>
      </w:r>
    </w:p>
    <w:p w14:paraId="618BC310" w14:textId="77777777" w:rsidR="009B7AED" w:rsidRPr="008560EA" w:rsidRDefault="009B7AED" w:rsidP="009B7AED">
      <w:r w:rsidRPr="008560EA">
        <w:t>I|15|ABC123|5|3|2021|4|25|2|12|15|92|T||721||||</w:t>
      </w:r>
    </w:p>
    <w:p w14:paraId="49C72D21" w14:textId="77777777" w:rsidR="009B7AED" w:rsidRPr="008560EA" w:rsidRDefault="009B7AED" w:rsidP="009B7AED">
      <w:r w:rsidRPr="008560EA">
        <w:t>I|15|ABC123|5|3|2021|4|25|2|12|17|14|T||728||||</w:t>
      </w:r>
    </w:p>
    <w:p w14:paraId="791B2F8A" w14:textId="77777777" w:rsidR="009B7AED" w:rsidRPr="008560EA" w:rsidRDefault="009B7AED" w:rsidP="009B7AED">
      <w:r w:rsidRPr="008560EA">
        <w:t>I|15|ABC123|5|2|2021|4|25|2|12|17|90|T||654||||</w:t>
      </w:r>
    </w:p>
    <w:p w14:paraId="22FBB832" w14:textId="77777777" w:rsidR="009B7AED" w:rsidRPr="008560EA" w:rsidRDefault="009B7AED" w:rsidP="003F0602">
      <w:r w:rsidRPr="008560EA">
        <w:t>I|15|ABC123|1|3|2021|4|25|2|12|18|1|T||570||||</w:t>
      </w:r>
    </w:p>
    <w:p w14:paraId="2DD621C5" w14:textId="77777777" w:rsidR="009B7AED" w:rsidRPr="008560EA" w:rsidRDefault="009B7AED" w:rsidP="003F0602">
      <w:r w:rsidRPr="008560EA">
        <w:t>I|15|ABC123|1|2|2021|4|25|2|12|19|34|T||611|||</w:t>
      </w:r>
    </w:p>
    <w:p w14:paraId="0ADA409C" w14:textId="460A4954" w:rsidR="009B7AED" w:rsidRPr="001546EF" w:rsidRDefault="009B7AED">
      <w:pPr>
        <w:pStyle w:val="Heading3"/>
      </w:pPr>
      <w:bookmarkStart w:id="3179" w:name="_Toc63976759"/>
      <w:bookmarkStart w:id="3180" w:name="_Toc109301292"/>
      <w:bookmarkStart w:id="3181" w:name="_Toc109333026"/>
      <w:bookmarkStart w:id="3182" w:name="_Toc109333619"/>
      <w:bookmarkStart w:id="3183" w:name="_Toc113281117"/>
      <w:bookmarkStart w:id="3184" w:name="_Toc118205705"/>
      <w:r w:rsidRPr="001546EF">
        <w:t xml:space="preserve">Axle </w:t>
      </w:r>
      <w:r w:rsidR="00961D1C">
        <w:t>C</w:t>
      </w:r>
      <w:r w:rsidRPr="001546EF">
        <w:t xml:space="preserve">lassification </w:t>
      </w:r>
      <w:r w:rsidR="00961D1C">
        <w:t>D</w:t>
      </w:r>
      <w:r w:rsidRPr="001546EF">
        <w:t xml:space="preserve">ata </w:t>
      </w:r>
      <w:r w:rsidR="00961D1C">
        <w:t>F</w:t>
      </w:r>
      <w:r w:rsidRPr="001546EF">
        <w:t>ormat (C)</w:t>
      </w:r>
      <w:bookmarkEnd w:id="3178"/>
      <w:bookmarkEnd w:id="3179"/>
      <w:bookmarkEnd w:id="3180"/>
      <w:bookmarkEnd w:id="3181"/>
      <w:bookmarkEnd w:id="3182"/>
      <w:bookmarkEnd w:id="3183"/>
      <w:bookmarkEnd w:id="3184"/>
    </w:p>
    <w:p w14:paraId="71ED636E" w14:textId="13FD42A0" w:rsidR="009B7AED" w:rsidRPr="00460C57" w:rsidRDefault="009B7AED" w:rsidP="00961D1C">
      <w:pPr>
        <w:pStyle w:val="BodyText"/>
        <w:rPr>
          <w:b/>
          <w:bCs/>
        </w:rPr>
      </w:pPr>
      <w:r w:rsidRPr="00460C57">
        <w:t xml:space="preserve">This section only applies to those individual records designated with a “C” in Field 13, column 28. </w:t>
      </w:r>
      <w:r>
        <w:t xml:space="preserve">The data to be included are described in </w:t>
      </w:r>
      <w:r w:rsidR="00464453">
        <w:fldChar w:fldCharType="begin"/>
      </w:r>
      <w:r w:rsidR="00464453">
        <w:instrText xml:space="preserve"> REF _Ref113278225  \* MERGEFORMAT </w:instrText>
      </w:r>
      <w:r w:rsidR="00464453">
        <w:fldChar w:fldCharType="separate"/>
      </w:r>
      <w:r w:rsidR="00C07DF9">
        <w:t xml:space="preserve">Table </w:t>
      </w:r>
      <w:r w:rsidR="00C07DF9">
        <w:rPr>
          <w:noProof/>
        </w:rPr>
        <w:t>4</w:t>
      </w:r>
      <w:r w:rsidR="00C07DF9">
        <w:rPr>
          <w:noProof/>
        </w:rPr>
        <w:noBreakHyphen/>
        <w:t>29</w:t>
      </w:r>
      <w:r w:rsidR="00464453">
        <w:rPr>
          <w:noProof/>
        </w:rPr>
        <w:fldChar w:fldCharType="end"/>
      </w:r>
      <w:r w:rsidRPr="00460C57">
        <w:t>.</w:t>
      </w:r>
    </w:p>
    <w:p w14:paraId="3B0C6D18" w14:textId="77777777" w:rsidR="009B7AED" w:rsidRPr="00877387" w:rsidRDefault="009B7AED" w:rsidP="00A35EAF">
      <w:pPr>
        <w:pStyle w:val="BodyText"/>
      </w:pPr>
      <w:r w:rsidRPr="00877387">
        <w:t xml:space="preserve">The “C” variant of the </w:t>
      </w:r>
      <w:r>
        <w:t>Individual Vehicle Record</w:t>
      </w:r>
      <w:r w:rsidRPr="00877387">
        <w:t xml:space="preserve"> format is used to describe the vehicle characteristics (number and spacing of axles) of traffic observed by axle sensing vehicle classification devices. It is a variable length record, where the length (number of columns) of the record is controlled by the number of axles being reported for each vehicle. The number of axles associated with each vehicle is given in columns </w:t>
      </w:r>
      <w:r>
        <w:t>40</w:t>
      </w:r>
      <w:r w:rsidRPr="00877387">
        <w:t xml:space="preserve"> and 4</w:t>
      </w:r>
      <w:r>
        <w:t>1</w:t>
      </w:r>
      <w:r w:rsidRPr="00877387">
        <w:t xml:space="preserve"> as described above. This value is used by the TMAS software reading the record to determine how many columns remain to be read in each record. Do NOT zero fill additional columns beyond those required to report the observed axles for each vehicle. </w:t>
      </w:r>
    </w:p>
    <w:p w14:paraId="66C20E8E" w14:textId="77777777" w:rsidR="009B7AED" w:rsidRPr="00877387" w:rsidRDefault="009B7AED" w:rsidP="00A35EAF">
      <w:pPr>
        <w:pStyle w:val="BodyText"/>
      </w:pPr>
      <w:r w:rsidRPr="00877387">
        <w:t xml:space="preserve">The maximum record size allowed for “C” formatted records is </w:t>
      </w:r>
      <w:r>
        <w:t>141</w:t>
      </w:r>
      <w:r w:rsidRPr="00877387">
        <w:t xml:space="preserve"> columns. A record this long is needed only if a single vehicle has 25 axles. The number of columns included in each record can be computed with the following formula.</w:t>
      </w:r>
    </w:p>
    <w:p w14:paraId="3DB53973" w14:textId="77777777" w:rsidR="009B7AED" w:rsidRPr="00877387" w:rsidRDefault="009B7AED" w:rsidP="00A35EAF">
      <w:pPr>
        <w:pStyle w:val="BodyText"/>
      </w:pPr>
      <w:r w:rsidRPr="00877387">
        <w:t>Last column = ((</w:t>
      </w:r>
      <w:r w:rsidRPr="00877387">
        <w:rPr>
          <w:i/>
          <w:iCs/>
        </w:rPr>
        <w:t>number of axles</w:t>
      </w:r>
      <w:r w:rsidRPr="00877387">
        <w:t xml:space="preserve"> - 1) × 4) + 4</w:t>
      </w:r>
      <w:r>
        <w:t>5</w:t>
      </w:r>
    </w:p>
    <w:p w14:paraId="6C69BEC6" w14:textId="77B24335" w:rsidR="004605FE" w:rsidRDefault="009B7AED" w:rsidP="00A35EAF">
      <w:pPr>
        <w:pStyle w:val="BodyText"/>
      </w:pPr>
      <w:r w:rsidRPr="00877387">
        <w:t xml:space="preserve">Where: </w:t>
      </w:r>
      <w:r w:rsidRPr="00877387">
        <w:rPr>
          <w:i/>
          <w:iCs/>
        </w:rPr>
        <w:t>number of axles</w:t>
      </w:r>
      <w:r w:rsidRPr="00877387">
        <w:t xml:space="preserve"> is the value found in columns </w:t>
      </w:r>
      <w:r>
        <w:t>40</w:t>
      </w:r>
      <w:r w:rsidRPr="00877387">
        <w:t xml:space="preserve"> and 4</w:t>
      </w:r>
      <w:r>
        <w:t>1</w:t>
      </w:r>
      <w:r w:rsidRPr="00877387">
        <w:t xml:space="preserve"> of that record</w:t>
      </w:r>
      <w:bookmarkStart w:id="3185" w:name="_Toc63976947"/>
      <w:r>
        <w:t>.</w:t>
      </w:r>
      <w:bookmarkEnd w:id="3185"/>
    </w:p>
    <w:p w14:paraId="0CC94C48" w14:textId="77777777" w:rsidR="004605FE" w:rsidRDefault="004605FE">
      <w:pPr>
        <w:widowControl/>
        <w:suppressAutoHyphens w:val="0"/>
        <w:autoSpaceDE/>
        <w:autoSpaceDN/>
        <w:adjustRightInd/>
        <w:spacing w:after="160" w:line="259" w:lineRule="auto"/>
        <w:jc w:val="left"/>
        <w:textAlignment w:val="auto"/>
        <w:rPr>
          <w:color w:val="auto"/>
        </w:rPr>
      </w:pPr>
      <w:r>
        <w:br w:type="page"/>
      </w:r>
    </w:p>
    <w:p w14:paraId="2FC8B581" w14:textId="03778B37" w:rsidR="009B7AED" w:rsidRDefault="009B7AED" w:rsidP="00736AF3">
      <w:pPr>
        <w:pStyle w:val="TMGTableCaption"/>
      </w:pPr>
      <w:bookmarkStart w:id="3186" w:name="_Ref113278225"/>
      <w:bookmarkStart w:id="3187" w:name="_Toc113282534"/>
      <w:bookmarkStart w:id="3188" w:name="_Toc114474871"/>
      <w:bookmarkStart w:id="3189" w:name="_Toc120631177"/>
      <w:r>
        <w:lastRenderedPageBreak/>
        <w:t xml:space="preserve">Table </w:t>
      </w:r>
      <w:fldSimple w:instr=" STYLEREF 1 \s ">
        <w:r w:rsidR="00C07DF9">
          <w:rPr>
            <w:noProof/>
          </w:rPr>
          <w:t>4</w:t>
        </w:r>
      </w:fldSimple>
      <w:r>
        <w:noBreakHyphen/>
      </w:r>
      <w:fldSimple w:instr=" SEQ Table \* ARABIC \s 1 ">
        <w:r w:rsidR="00C07DF9">
          <w:rPr>
            <w:noProof/>
          </w:rPr>
          <w:t>29</w:t>
        </w:r>
      </w:fldSimple>
      <w:bookmarkEnd w:id="3186"/>
      <w:r>
        <w:t xml:space="preserve">. </w:t>
      </w:r>
      <w:r w:rsidRPr="009E359C">
        <w:t>Individual Vehicle Record by Classification (Axle) Device (C Variant) – Fixed width</w:t>
      </w:r>
      <w:bookmarkEnd w:id="3187"/>
      <w:bookmarkEnd w:id="3188"/>
      <w:bookmarkEnd w:id="3189"/>
    </w:p>
    <w:tbl>
      <w:tblPr>
        <w:tblStyle w:val="TableGrid"/>
        <w:tblW w:w="9360" w:type="dxa"/>
        <w:jc w:val="center"/>
        <w:tblCellMar>
          <w:left w:w="86" w:type="dxa"/>
          <w:right w:w="86" w:type="dxa"/>
        </w:tblCellMar>
        <w:tblLook w:val="04A0" w:firstRow="1" w:lastRow="0" w:firstColumn="1" w:lastColumn="0" w:noHBand="0" w:noVBand="1"/>
      </w:tblPr>
      <w:tblGrid>
        <w:gridCol w:w="625"/>
        <w:gridCol w:w="1434"/>
        <w:gridCol w:w="808"/>
        <w:gridCol w:w="4010"/>
        <w:gridCol w:w="1309"/>
        <w:gridCol w:w="1174"/>
      </w:tblGrid>
      <w:tr w:rsidR="00220FFB" w14:paraId="70B934AE" w14:textId="77777777" w:rsidTr="00B739E1">
        <w:trPr>
          <w:tblHeader/>
          <w:jc w:val="center"/>
        </w:trPr>
        <w:tc>
          <w:tcPr>
            <w:tcW w:w="625" w:type="dxa"/>
            <w:tcBorders>
              <w:right w:val="single" w:sz="4" w:space="0" w:color="FFFFFF" w:themeColor="background1"/>
            </w:tcBorders>
            <w:shd w:val="clear" w:color="auto" w:fill="1F3864"/>
          </w:tcPr>
          <w:p w14:paraId="344DEB29" w14:textId="464A71EB" w:rsidR="00220FFB" w:rsidRDefault="00220FFB" w:rsidP="00220FFB">
            <w:pPr>
              <w:pStyle w:val="TMGTableTextHeader"/>
            </w:pPr>
            <w:r w:rsidRPr="00640FCD">
              <w:rPr>
                <w:rFonts w:eastAsiaTheme="minorEastAsia"/>
                <w:color w:val="F2F2F2" w:themeColor="background1" w:themeShade="F2"/>
              </w:rPr>
              <w:t>Field</w:t>
            </w:r>
          </w:p>
        </w:tc>
        <w:tc>
          <w:tcPr>
            <w:tcW w:w="1440" w:type="dxa"/>
            <w:tcBorders>
              <w:left w:val="single" w:sz="4" w:space="0" w:color="FFFFFF" w:themeColor="background1"/>
              <w:right w:val="single" w:sz="4" w:space="0" w:color="FFFFFF" w:themeColor="background1"/>
            </w:tcBorders>
            <w:shd w:val="clear" w:color="auto" w:fill="1F3864"/>
          </w:tcPr>
          <w:p w14:paraId="2C43606F" w14:textId="1504975E" w:rsidR="00220FFB" w:rsidRDefault="00220FFB" w:rsidP="00220FFB">
            <w:pPr>
              <w:pStyle w:val="TMGTableTextHeader"/>
              <w:rPr>
                <w:rFonts w:eastAsia="MS Mincho"/>
              </w:rPr>
            </w:pPr>
            <w:r w:rsidRPr="00640FCD">
              <w:rPr>
                <w:rFonts w:eastAsiaTheme="minorEastAsia"/>
                <w:color w:val="F2F2F2" w:themeColor="background1" w:themeShade="F2"/>
              </w:rPr>
              <w:t>Columns</w:t>
            </w:r>
          </w:p>
        </w:tc>
        <w:tc>
          <w:tcPr>
            <w:tcW w:w="810" w:type="dxa"/>
            <w:tcBorders>
              <w:left w:val="single" w:sz="4" w:space="0" w:color="FFFFFF" w:themeColor="background1"/>
              <w:right w:val="single" w:sz="4" w:space="0" w:color="FFFFFF" w:themeColor="background1"/>
            </w:tcBorders>
            <w:shd w:val="clear" w:color="auto" w:fill="1F3864"/>
          </w:tcPr>
          <w:p w14:paraId="2FD74250" w14:textId="7B74F82A" w:rsidR="00220FFB" w:rsidRDefault="00220FFB" w:rsidP="00220FFB">
            <w:pPr>
              <w:pStyle w:val="TMGTableTextHeader"/>
              <w:rPr>
                <w:rFonts w:eastAsia="MS Mincho"/>
              </w:rPr>
            </w:pPr>
            <w:r w:rsidRPr="00640FCD">
              <w:rPr>
                <w:rFonts w:eastAsiaTheme="minorEastAsia"/>
                <w:color w:val="F2F2F2" w:themeColor="background1" w:themeShade="F2"/>
              </w:rPr>
              <w:t>Width</w:t>
            </w:r>
          </w:p>
        </w:tc>
        <w:tc>
          <w:tcPr>
            <w:tcW w:w="4050" w:type="dxa"/>
            <w:tcBorders>
              <w:left w:val="single" w:sz="4" w:space="0" w:color="FFFFFF" w:themeColor="background1"/>
              <w:right w:val="single" w:sz="4" w:space="0" w:color="FFFFFF" w:themeColor="background1"/>
            </w:tcBorders>
            <w:shd w:val="clear" w:color="auto" w:fill="1F3864"/>
          </w:tcPr>
          <w:p w14:paraId="7017D58B" w14:textId="1E31CEA3" w:rsidR="00220FFB" w:rsidRDefault="00220FFB" w:rsidP="00220FFB">
            <w:pPr>
              <w:pStyle w:val="TMGTableTextHeader"/>
              <w:rPr>
                <w:rFonts w:eastAsia="MS Mincho"/>
              </w:rPr>
            </w:pPr>
            <w:r w:rsidRPr="00640FCD">
              <w:rPr>
                <w:rFonts w:eastAsiaTheme="minorEastAsia"/>
                <w:color w:val="F2F2F2" w:themeColor="background1" w:themeShade="F2"/>
              </w:rPr>
              <w:t>Description</w:t>
            </w:r>
          </w:p>
        </w:tc>
        <w:tc>
          <w:tcPr>
            <w:tcW w:w="1260" w:type="dxa"/>
            <w:tcBorders>
              <w:left w:val="single" w:sz="4" w:space="0" w:color="FFFFFF" w:themeColor="background1"/>
              <w:right w:val="single" w:sz="4" w:space="0" w:color="FFFFFF" w:themeColor="background1"/>
            </w:tcBorders>
            <w:shd w:val="clear" w:color="auto" w:fill="1F3864"/>
          </w:tcPr>
          <w:p w14:paraId="5D683792" w14:textId="284102B4" w:rsidR="00220FFB" w:rsidRDefault="00220FFB" w:rsidP="00220FFB">
            <w:pPr>
              <w:pStyle w:val="TMGTableTextHeader"/>
              <w:rPr>
                <w:rFonts w:eastAsia="MS Mincho"/>
              </w:rPr>
            </w:pPr>
            <w:r w:rsidRPr="00640FCD">
              <w:rPr>
                <w:rFonts w:eastAsiaTheme="minorEastAsia"/>
                <w:color w:val="F2F2F2" w:themeColor="background1" w:themeShade="F2"/>
              </w:rPr>
              <w:t>Type</w:t>
            </w:r>
          </w:p>
        </w:tc>
        <w:tc>
          <w:tcPr>
            <w:tcW w:w="1175" w:type="dxa"/>
            <w:tcBorders>
              <w:left w:val="single" w:sz="4" w:space="0" w:color="FFFFFF" w:themeColor="background1"/>
            </w:tcBorders>
            <w:shd w:val="clear" w:color="auto" w:fill="1F3864"/>
          </w:tcPr>
          <w:p w14:paraId="0228C278" w14:textId="794CE323" w:rsidR="00220FFB" w:rsidRDefault="00220FFB" w:rsidP="00220FFB">
            <w:pPr>
              <w:pStyle w:val="TMGTableTextHeader"/>
            </w:pPr>
            <w:r>
              <w:rPr>
                <w:rFonts w:eastAsiaTheme="minorEastAsia"/>
                <w:color w:val="F2F2F2" w:themeColor="background1" w:themeShade="F2"/>
              </w:rPr>
              <w:t>Importance</w:t>
            </w:r>
          </w:p>
        </w:tc>
      </w:tr>
      <w:tr w:rsidR="00220FFB" w14:paraId="6CED0950" w14:textId="77777777" w:rsidTr="004605FE">
        <w:trPr>
          <w:jc w:val="center"/>
        </w:trPr>
        <w:tc>
          <w:tcPr>
            <w:tcW w:w="625" w:type="dxa"/>
          </w:tcPr>
          <w:p w14:paraId="0C26F52C" w14:textId="410FA331" w:rsidR="00220FFB" w:rsidRPr="00220FFB" w:rsidRDefault="00220FFB" w:rsidP="00220FFB">
            <w:pPr>
              <w:pStyle w:val="TMGTableText"/>
              <w:ind w:left="0" w:right="144"/>
              <w:jc w:val="right"/>
              <w:rPr>
                <w:b/>
                <w:bCs/>
              </w:rPr>
            </w:pPr>
            <w:r w:rsidRPr="0008619D">
              <w:rPr>
                <w:rFonts w:eastAsiaTheme="minorEastAsia"/>
                <w:b/>
                <w:bCs/>
              </w:rPr>
              <w:t>1</w:t>
            </w:r>
          </w:p>
        </w:tc>
        <w:tc>
          <w:tcPr>
            <w:tcW w:w="1440" w:type="dxa"/>
          </w:tcPr>
          <w:p w14:paraId="4D984A10" w14:textId="0FF46772" w:rsidR="00220FFB" w:rsidRPr="004859C8" w:rsidRDefault="00220FFB" w:rsidP="00220FFB">
            <w:pPr>
              <w:pStyle w:val="TMGTableText"/>
              <w:jc w:val="center"/>
            </w:pPr>
            <w:r w:rsidRPr="00877387">
              <w:rPr>
                <w:rFonts w:eastAsiaTheme="minorEastAsia"/>
              </w:rPr>
              <w:t>1</w:t>
            </w:r>
          </w:p>
        </w:tc>
        <w:tc>
          <w:tcPr>
            <w:tcW w:w="810" w:type="dxa"/>
          </w:tcPr>
          <w:p w14:paraId="665E20AD" w14:textId="2E312F52" w:rsidR="00220FFB" w:rsidRPr="004859C8" w:rsidRDefault="00220FFB" w:rsidP="00220FFB">
            <w:pPr>
              <w:pStyle w:val="TMGTableText"/>
              <w:jc w:val="center"/>
            </w:pPr>
            <w:r w:rsidRPr="00877387">
              <w:rPr>
                <w:rFonts w:eastAsiaTheme="minorEastAsia"/>
              </w:rPr>
              <w:t>1</w:t>
            </w:r>
          </w:p>
        </w:tc>
        <w:tc>
          <w:tcPr>
            <w:tcW w:w="4050" w:type="dxa"/>
          </w:tcPr>
          <w:p w14:paraId="44187705" w14:textId="2FF12B64" w:rsidR="00220FFB" w:rsidRPr="004859C8" w:rsidRDefault="00220FFB" w:rsidP="00220FFB">
            <w:pPr>
              <w:pStyle w:val="TMGTableText"/>
            </w:pPr>
            <w:r w:rsidRPr="00877387">
              <w:rPr>
                <w:rFonts w:eastAsiaTheme="minorEastAsia"/>
              </w:rPr>
              <w:t>Record Type (R</w:t>
            </w:r>
            <w:r>
              <w:rPr>
                <w:rFonts w:eastAsiaTheme="minorEastAsia"/>
              </w:rPr>
              <w:t>T</w:t>
            </w:r>
            <w:r w:rsidRPr="00877387">
              <w:rPr>
                <w:rFonts w:eastAsiaTheme="minorEastAsia"/>
              </w:rPr>
              <w:t>)</w:t>
            </w:r>
          </w:p>
        </w:tc>
        <w:tc>
          <w:tcPr>
            <w:tcW w:w="1260" w:type="dxa"/>
            <w:vAlign w:val="center"/>
          </w:tcPr>
          <w:p w14:paraId="799AE36A" w14:textId="521A638F" w:rsidR="00220FFB" w:rsidRPr="004859C8" w:rsidRDefault="00220FFB" w:rsidP="004605FE">
            <w:pPr>
              <w:pStyle w:val="TMGTableText"/>
              <w:jc w:val="center"/>
            </w:pPr>
            <w:r w:rsidRPr="00C26BD2">
              <w:t>Alphanumeric</w:t>
            </w:r>
          </w:p>
        </w:tc>
        <w:tc>
          <w:tcPr>
            <w:tcW w:w="1175" w:type="dxa"/>
            <w:vAlign w:val="center"/>
          </w:tcPr>
          <w:p w14:paraId="4613493A" w14:textId="596A42AF" w:rsidR="00220FFB" w:rsidRPr="00C251E9" w:rsidRDefault="00220FFB" w:rsidP="004605FE">
            <w:pPr>
              <w:pStyle w:val="TMGTableText"/>
              <w:jc w:val="center"/>
            </w:pPr>
            <w:r>
              <w:rPr>
                <w:rFonts w:eastAsiaTheme="minorEastAsia"/>
              </w:rPr>
              <w:t>Required</w:t>
            </w:r>
          </w:p>
        </w:tc>
      </w:tr>
      <w:tr w:rsidR="00220FFB" w14:paraId="7A347718" w14:textId="77777777" w:rsidTr="004605FE">
        <w:trPr>
          <w:jc w:val="center"/>
        </w:trPr>
        <w:tc>
          <w:tcPr>
            <w:tcW w:w="625" w:type="dxa"/>
          </w:tcPr>
          <w:p w14:paraId="5C8B3AB2" w14:textId="5C8D1654" w:rsidR="00220FFB" w:rsidRPr="00220FFB" w:rsidRDefault="00220FFB" w:rsidP="00220FFB">
            <w:pPr>
              <w:pStyle w:val="TMGTableText"/>
              <w:ind w:left="0" w:right="144"/>
              <w:jc w:val="right"/>
              <w:rPr>
                <w:b/>
                <w:bCs/>
              </w:rPr>
            </w:pPr>
            <w:r w:rsidRPr="0008619D">
              <w:rPr>
                <w:rFonts w:eastAsiaTheme="minorEastAsia"/>
                <w:b/>
                <w:bCs/>
              </w:rPr>
              <w:t>2</w:t>
            </w:r>
          </w:p>
        </w:tc>
        <w:tc>
          <w:tcPr>
            <w:tcW w:w="1440" w:type="dxa"/>
          </w:tcPr>
          <w:p w14:paraId="6457A996" w14:textId="2B9E7DCB" w:rsidR="00220FFB" w:rsidRPr="004859C8" w:rsidRDefault="00220FFB" w:rsidP="00220FFB">
            <w:pPr>
              <w:pStyle w:val="TMGTableText"/>
              <w:jc w:val="center"/>
            </w:pPr>
            <w:r w:rsidRPr="00877387">
              <w:rPr>
                <w:rFonts w:eastAsiaTheme="minorEastAsia"/>
              </w:rPr>
              <w:t>2-3</w:t>
            </w:r>
          </w:p>
        </w:tc>
        <w:tc>
          <w:tcPr>
            <w:tcW w:w="810" w:type="dxa"/>
          </w:tcPr>
          <w:p w14:paraId="1211C10D" w14:textId="7A4C9016" w:rsidR="00220FFB" w:rsidRPr="004859C8" w:rsidRDefault="00220FFB" w:rsidP="00220FFB">
            <w:pPr>
              <w:pStyle w:val="TMGTableText"/>
              <w:jc w:val="center"/>
            </w:pPr>
            <w:r w:rsidRPr="00877387">
              <w:rPr>
                <w:rFonts w:eastAsiaTheme="minorEastAsia"/>
              </w:rPr>
              <w:t>2</w:t>
            </w:r>
          </w:p>
        </w:tc>
        <w:tc>
          <w:tcPr>
            <w:tcW w:w="4050" w:type="dxa"/>
          </w:tcPr>
          <w:p w14:paraId="4E27D63B" w14:textId="664096CC" w:rsidR="00220FFB" w:rsidRPr="004859C8" w:rsidRDefault="00220FFB" w:rsidP="00220FFB">
            <w:pPr>
              <w:pStyle w:val="TMGTableText"/>
            </w:pPr>
            <w:r w:rsidRPr="00877387">
              <w:rPr>
                <w:rFonts w:eastAsiaTheme="minorEastAsia"/>
              </w:rPr>
              <w:t>State FIPS Code (SFIPS)</w:t>
            </w:r>
          </w:p>
        </w:tc>
        <w:tc>
          <w:tcPr>
            <w:tcW w:w="1260" w:type="dxa"/>
            <w:vAlign w:val="center"/>
          </w:tcPr>
          <w:p w14:paraId="69526C59" w14:textId="56E60539" w:rsidR="00220FFB" w:rsidRPr="004859C8" w:rsidRDefault="00220FFB" w:rsidP="004605FE">
            <w:pPr>
              <w:pStyle w:val="TMGTableText"/>
              <w:jc w:val="center"/>
            </w:pPr>
            <w:r w:rsidRPr="00C26BD2">
              <w:t>Integer</w:t>
            </w:r>
          </w:p>
        </w:tc>
        <w:tc>
          <w:tcPr>
            <w:tcW w:w="1175" w:type="dxa"/>
            <w:vAlign w:val="center"/>
          </w:tcPr>
          <w:p w14:paraId="1A138726" w14:textId="516331E0" w:rsidR="00220FFB" w:rsidRPr="00C251E9" w:rsidRDefault="00220FFB" w:rsidP="004605FE">
            <w:pPr>
              <w:pStyle w:val="TMGTableText"/>
              <w:jc w:val="center"/>
            </w:pPr>
            <w:r>
              <w:rPr>
                <w:rFonts w:eastAsiaTheme="minorEastAsia"/>
              </w:rPr>
              <w:t>Required</w:t>
            </w:r>
          </w:p>
        </w:tc>
      </w:tr>
      <w:tr w:rsidR="00220FFB" w14:paraId="31DC5639" w14:textId="77777777" w:rsidTr="004605FE">
        <w:trPr>
          <w:jc w:val="center"/>
        </w:trPr>
        <w:tc>
          <w:tcPr>
            <w:tcW w:w="625" w:type="dxa"/>
          </w:tcPr>
          <w:p w14:paraId="49C9E00F" w14:textId="657D33DE" w:rsidR="00220FFB" w:rsidRPr="00220FFB" w:rsidRDefault="00220FFB" w:rsidP="00220FFB">
            <w:pPr>
              <w:pStyle w:val="TMGTableText"/>
              <w:ind w:left="0" w:right="144"/>
              <w:jc w:val="right"/>
              <w:rPr>
                <w:b/>
                <w:bCs/>
              </w:rPr>
            </w:pPr>
            <w:r w:rsidRPr="0008619D">
              <w:rPr>
                <w:rFonts w:eastAsiaTheme="minorEastAsia"/>
                <w:b/>
                <w:bCs/>
              </w:rPr>
              <w:t>3</w:t>
            </w:r>
          </w:p>
        </w:tc>
        <w:tc>
          <w:tcPr>
            <w:tcW w:w="1440" w:type="dxa"/>
          </w:tcPr>
          <w:p w14:paraId="60A58187" w14:textId="0F3BAF28" w:rsidR="00220FFB" w:rsidRPr="004859C8" w:rsidRDefault="00220FFB" w:rsidP="00220FFB">
            <w:pPr>
              <w:pStyle w:val="TMGTableText"/>
              <w:jc w:val="center"/>
            </w:pPr>
            <w:r w:rsidRPr="00877387">
              <w:rPr>
                <w:rFonts w:eastAsiaTheme="minorEastAsia"/>
              </w:rPr>
              <w:t>4-9</w:t>
            </w:r>
          </w:p>
        </w:tc>
        <w:tc>
          <w:tcPr>
            <w:tcW w:w="810" w:type="dxa"/>
          </w:tcPr>
          <w:p w14:paraId="48670F54" w14:textId="7FBB4D65" w:rsidR="00220FFB" w:rsidRPr="004859C8" w:rsidRDefault="00220FFB" w:rsidP="00220FFB">
            <w:pPr>
              <w:pStyle w:val="TMGTableText"/>
              <w:jc w:val="center"/>
            </w:pPr>
            <w:r w:rsidRPr="00877387">
              <w:rPr>
                <w:rFonts w:eastAsiaTheme="minorEastAsia"/>
              </w:rPr>
              <w:t>6</w:t>
            </w:r>
          </w:p>
        </w:tc>
        <w:tc>
          <w:tcPr>
            <w:tcW w:w="4050" w:type="dxa"/>
          </w:tcPr>
          <w:p w14:paraId="34C3E9F3" w14:textId="4F9520EA" w:rsidR="00220FFB" w:rsidRPr="004859C8" w:rsidRDefault="00220FFB" w:rsidP="00220FFB">
            <w:pPr>
              <w:pStyle w:val="TMGTableText"/>
            </w:pPr>
            <w:r w:rsidRPr="00877387">
              <w:rPr>
                <w:rFonts w:eastAsiaTheme="minorEastAsia"/>
              </w:rPr>
              <w:t>Station ID (ID)</w:t>
            </w:r>
          </w:p>
        </w:tc>
        <w:tc>
          <w:tcPr>
            <w:tcW w:w="1260" w:type="dxa"/>
            <w:vAlign w:val="center"/>
          </w:tcPr>
          <w:p w14:paraId="5AF2E059" w14:textId="271C895A" w:rsidR="00220FFB" w:rsidRPr="004859C8" w:rsidRDefault="00220FFB" w:rsidP="004605FE">
            <w:pPr>
              <w:pStyle w:val="TMGTableText"/>
              <w:jc w:val="center"/>
            </w:pPr>
            <w:r w:rsidRPr="00C26BD2">
              <w:t>Alphanumeric</w:t>
            </w:r>
          </w:p>
        </w:tc>
        <w:tc>
          <w:tcPr>
            <w:tcW w:w="1175" w:type="dxa"/>
            <w:vAlign w:val="center"/>
          </w:tcPr>
          <w:p w14:paraId="3295A4B4" w14:textId="0CCDFB18" w:rsidR="00220FFB" w:rsidRPr="00C251E9" w:rsidRDefault="00220FFB" w:rsidP="004605FE">
            <w:pPr>
              <w:pStyle w:val="TMGTableText"/>
              <w:jc w:val="center"/>
            </w:pPr>
            <w:r>
              <w:rPr>
                <w:rFonts w:eastAsiaTheme="minorEastAsia"/>
              </w:rPr>
              <w:t>Required</w:t>
            </w:r>
          </w:p>
        </w:tc>
      </w:tr>
      <w:tr w:rsidR="00220FFB" w14:paraId="60480738" w14:textId="77777777" w:rsidTr="004605FE">
        <w:trPr>
          <w:jc w:val="center"/>
        </w:trPr>
        <w:tc>
          <w:tcPr>
            <w:tcW w:w="625" w:type="dxa"/>
          </w:tcPr>
          <w:p w14:paraId="6CE49176" w14:textId="55268070" w:rsidR="00220FFB" w:rsidRPr="00220FFB" w:rsidRDefault="00220FFB" w:rsidP="00220FFB">
            <w:pPr>
              <w:pStyle w:val="TMGTableText"/>
              <w:ind w:left="0" w:right="144"/>
              <w:jc w:val="right"/>
              <w:rPr>
                <w:b/>
                <w:bCs/>
              </w:rPr>
            </w:pPr>
            <w:r w:rsidRPr="0008619D">
              <w:rPr>
                <w:rFonts w:eastAsiaTheme="minorEastAsia"/>
                <w:b/>
                <w:bCs/>
              </w:rPr>
              <w:t>4</w:t>
            </w:r>
          </w:p>
        </w:tc>
        <w:tc>
          <w:tcPr>
            <w:tcW w:w="1440" w:type="dxa"/>
          </w:tcPr>
          <w:p w14:paraId="17AD4405" w14:textId="411A35C9" w:rsidR="00220FFB" w:rsidRPr="004859C8" w:rsidRDefault="00220FFB" w:rsidP="00220FFB">
            <w:pPr>
              <w:pStyle w:val="TMGTableText"/>
              <w:jc w:val="center"/>
            </w:pPr>
            <w:r w:rsidRPr="00877387">
              <w:rPr>
                <w:rFonts w:eastAsiaTheme="minorEastAsia"/>
              </w:rPr>
              <w:t>10</w:t>
            </w:r>
          </w:p>
        </w:tc>
        <w:tc>
          <w:tcPr>
            <w:tcW w:w="810" w:type="dxa"/>
          </w:tcPr>
          <w:p w14:paraId="6D1739DF" w14:textId="258E257B" w:rsidR="00220FFB" w:rsidRPr="004859C8" w:rsidRDefault="00220FFB" w:rsidP="00220FFB">
            <w:pPr>
              <w:pStyle w:val="TMGTableText"/>
              <w:jc w:val="center"/>
            </w:pPr>
            <w:r w:rsidRPr="00877387">
              <w:rPr>
                <w:rFonts w:eastAsiaTheme="minorEastAsia"/>
              </w:rPr>
              <w:t>1</w:t>
            </w:r>
          </w:p>
        </w:tc>
        <w:tc>
          <w:tcPr>
            <w:tcW w:w="4050" w:type="dxa"/>
          </w:tcPr>
          <w:p w14:paraId="2F1419D9" w14:textId="5940A1C5" w:rsidR="00220FFB" w:rsidRPr="004859C8" w:rsidRDefault="00220FFB" w:rsidP="00220FFB">
            <w:pPr>
              <w:pStyle w:val="TMGTableText"/>
            </w:pPr>
            <w:r w:rsidRPr="00877387">
              <w:rPr>
                <w:rFonts w:eastAsiaTheme="minorEastAsia"/>
              </w:rPr>
              <w:t>Direction of Travel (D</w:t>
            </w:r>
            <w:r>
              <w:rPr>
                <w:rFonts w:eastAsiaTheme="minorEastAsia"/>
              </w:rPr>
              <w:t>IR</w:t>
            </w:r>
            <w:r w:rsidRPr="00877387">
              <w:rPr>
                <w:rFonts w:eastAsiaTheme="minorEastAsia"/>
              </w:rPr>
              <w:t>)</w:t>
            </w:r>
          </w:p>
        </w:tc>
        <w:tc>
          <w:tcPr>
            <w:tcW w:w="1260" w:type="dxa"/>
            <w:vAlign w:val="center"/>
          </w:tcPr>
          <w:p w14:paraId="31305ACC" w14:textId="1F8AE45A" w:rsidR="00220FFB" w:rsidRPr="004859C8" w:rsidRDefault="00220FFB" w:rsidP="004605FE">
            <w:pPr>
              <w:pStyle w:val="TMGTableText"/>
              <w:jc w:val="center"/>
            </w:pPr>
            <w:r w:rsidRPr="00C26BD2">
              <w:t>Integer</w:t>
            </w:r>
          </w:p>
        </w:tc>
        <w:tc>
          <w:tcPr>
            <w:tcW w:w="1175" w:type="dxa"/>
            <w:vAlign w:val="center"/>
          </w:tcPr>
          <w:p w14:paraId="27180A18" w14:textId="2E6705BF" w:rsidR="00220FFB" w:rsidRPr="00C251E9" w:rsidRDefault="00220FFB" w:rsidP="004605FE">
            <w:pPr>
              <w:pStyle w:val="TMGTableText"/>
              <w:jc w:val="center"/>
            </w:pPr>
            <w:r>
              <w:rPr>
                <w:rFonts w:eastAsiaTheme="minorEastAsia"/>
              </w:rPr>
              <w:t>Required</w:t>
            </w:r>
          </w:p>
        </w:tc>
      </w:tr>
      <w:tr w:rsidR="00220FFB" w14:paraId="7BCBC1D2" w14:textId="77777777" w:rsidTr="004605FE">
        <w:trPr>
          <w:jc w:val="center"/>
        </w:trPr>
        <w:tc>
          <w:tcPr>
            <w:tcW w:w="625" w:type="dxa"/>
          </w:tcPr>
          <w:p w14:paraId="4649DAA4" w14:textId="41543AF1" w:rsidR="00220FFB" w:rsidRPr="00220FFB" w:rsidRDefault="00220FFB" w:rsidP="00220FFB">
            <w:pPr>
              <w:pStyle w:val="TMGTableText"/>
              <w:ind w:left="0" w:right="144"/>
              <w:jc w:val="right"/>
              <w:rPr>
                <w:b/>
                <w:bCs/>
              </w:rPr>
            </w:pPr>
            <w:r w:rsidRPr="0008619D">
              <w:rPr>
                <w:rFonts w:eastAsiaTheme="minorEastAsia"/>
                <w:b/>
                <w:bCs/>
              </w:rPr>
              <w:t>5</w:t>
            </w:r>
          </w:p>
        </w:tc>
        <w:tc>
          <w:tcPr>
            <w:tcW w:w="1440" w:type="dxa"/>
          </w:tcPr>
          <w:p w14:paraId="1A55A39E" w14:textId="5765FF20" w:rsidR="00220FFB" w:rsidRPr="004859C8" w:rsidRDefault="00220FFB" w:rsidP="00220FFB">
            <w:pPr>
              <w:pStyle w:val="TMGTableText"/>
              <w:jc w:val="center"/>
            </w:pPr>
            <w:r w:rsidRPr="00877387">
              <w:rPr>
                <w:rFonts w:eastAsiaTheme="minorEastAsia"/>
              </w:rPr>
              <w:t>11</w:t>
            </w:r>
          </w:p>
        </w:tc>
        <w:tc>
          <w:tcPr>
            <w:tcW w:w="810" w:type="dxa"/>
          </w:tcPr>
          <w:p w14:paraId="6272964D" w14:textId="7EF944B7" w:rsidR="00220FFB" w:rsidRPr="004859C8" w:rsidRDefault="00220FFB" w:rsidP="00220FFB">
            <w:pPr>
              <w:pStyle w:val="TMGTableText"/>
              <w:jc w:val="center"/>
            </w:pPr>
            <w:r w:rsidRPr="00877387">
              <w:rPr>
                <w:rFonts w:eastAsiaTheme="minorEastAsia"/>
              </w:rPr>
              <w:t>1</w:t>
            </w:r>
          </w:p>
        </w:tc>
        <w:tc>
          <w:tcPr>
            <w:tcW w:w="4050" w:type="dxa"/>
          </w:tcPr>
          <w:p w14:paraId="60FCE0C3" w14:textId="3BCE155F" w:rsidR="00220FFB" w:rsidRPr="004859C8" w:rsidRDefault="00220FFB" w:rsidP="00220FFB">
            <w:pPr>
              <w:pStyle w:val="TMGTableText"/>
            </w:pPr>
            <w:r w:rsidRPr="00877387">
              <w:rPr>
                <w:rFonts w:eastAsiaTheme="minorEastAsia"/>
              </w:rPr>
              <w:t>Lane of Travel (L</w:t>
            </w:r>
            <w:r>
              <w:rPr>
                <w:rFonts w:eastAsiaTheme="minorEastAsia"/>
              </w:rPr>
              <w:t>N</w:t>
            </w:r>
            <w:r w:rsidRPr="00877387">
              <w:rPr>
                <w:rFonts w:eastAsiaTheme="minorEastAsia"/>
              </w:rPr>
              <w:t>)</w:t>
            </w:r>
          </w:p>
        </w:tc>
        <w:tc>
          <w:tcPr>
            <w:tcW w:w="1260" w:type="dxa"/>
            <w:vAlign w:val="center"/>
          </w:tcPr>
          <w:p w14:paraId="60477C0B" w14:textId="6C169EC6" w:rsidR="00220FFB" w:rsidRPr="004859C8" w:rsidRDefault="00220FFB" w:rsidP="004605FE">
            <w:pPr>
              <w:pStyle w:val="TMGTableText"/>
              <w:jc w:val="center"/>
            </w:pPr>
            <w:r w:rsidRPr="00C26BD2">
              <w:t>Integer</w:t>
            </w:r>
          </w:p>
        </w:tc>
        <w:tc>
          <w:tcPr>
            <w:tcW w:w="1175" w:type="dxa"/>
            <w:vAlign w:val="center"/>
          </w:tcPr>
          <w:p w14:paraId="316E9EB8" w14:textId="3AD5F3C9" w:rsidR="00220FFB" w:rsidRPr="00C251E9" w:rsidRDefault="00220FFB" w:rsidP="004605FE">
            <w:pPr>
              <w:pStyle w:val="TMGTableText"/>
              <w:jc w:val="center"/>
            </w:pPr>
            <w:r>
              <w:rPr>
                <w:rFonts w:eastAsiaTheme="minorEastAsia"/>
              </w:rPr>
              <w:t>Required</w:t>
            </w:r>
          </w:p>
        </w:tc>
      </w:tr>
      <w:tr w:rsidR="00220FFB" w14:paraId="041227DD" w14:textId="77777777" w:rsidTr="004605FE">
        <w:trPr>
          <w:jc w:val="center"/>
        </w:trPr>
        <w:tc>
          <w:tcPr>
            <w:tcW w:w="625" w:type="dxa"/>
          </w:tcPr>
          <w:p w14:paraId="52D79258" w14:textId="3CF6488D" w:rsidR="00220FFB" w:rsidRPr="00220FFB" w:rsidRDefault="00220FFB" w:rsidP="00220FFB">
            <w:pPr>
              <w:pStyle w:val="TMGTableText"/>
              <w:ind w:left="0" w:right="144"/>
              <w:jc w:val="right"/>
              <w:rPr>
                <w:b/>
                <w:bCs/>
              </w:rPr>
            </w:pPr>
            <w:r w:rsidRPr="0008619D">
              <w:rPr>
                <w:rFonts w:eastAsiaTheme="minorEastAsia"/>
                <w:b/>
                <w:bCs/>
              </w:rPr>
              <w:t>6</w:t>
            </w:r>
          </w:p>
        </w:tc>
        <w:tc>
          <w:tcPr>
            <w:tcW w:w="1440" w:type="dxa"/>
          </w:tcPr>
          <w:p w14:paraId="331619F4" w14:textId="4F4A1D97" w:rsidR="00220FFB" w:rsidRPr="004859C8" w:rsidRDefault="00220FFB" w:rsidP="00220FFB">
            <w:pPr>
              <w:pStyle w:val="TMGTableText"/>
              <w:jc w:val="center"/>
            </w:pPr>
            <w:r w:rsidRPr="00877387">
              <w:rPr>
                <w:rFonts w:eastAsiaTheme="minorEastAsia"/>
              </w:rPr>
              <w:t>12-15</w:t>
            </w:r>
          </w:p>
        </w:tc>
        <w:tc>
          <w:tcPr>
            <w:tcW w:w="810" w:type="dxa"/>
          </w:tcPr>
          <w:p w14:paraId="71EE7343" w14:textId="695E17EC" w:rsidR="00220FFB" w:rsidRPr="004859C8" w:rsidRDefault="00220FFB" w:rsidP="00220FFB">
            <w:pPr>
              <w:pStyle w:val="TMGTableText"/>
              <w:jc w:val="center"/>
            </w:pPr>
            <w:r w:rsidRPr="00877387">
              <w:rPr>
                <w:rFonts w:eastAsiaTheme="minorEastAsia"/>
              </w:rPr>
              <w:t>4</w:t>
            </w:r>
          </w:p>
        </w:tc>
        <w:tc>
          <w:tcPr>
            <w:tcW w:w="4050" w:type="dxa"/>
          </w:tcPr>
          <w:p w14:paraId="63C8D86F" w14:textId="59C8B26B" w:rsidR="00220FFB" w:rsidRPr="004859C8" w:rsidRDefault="00220FFB" w:rsidP="00220FFB">
            <w:pPr>
              <w:pStyle w:val="TMGTableText"/>
            </w:pPr>
            <w:r w:rsidRPr="00877387">
              <w:rPr>
                <w:rFonts w:eastAsiaTheme="minorEastAsia"/>
              </w:rPr>
              <w:t>Year of Data (YR)</w:t>
            </w:r>
          </w:p>
        </w:tc>
        <w:tc>
          <w:tcPr>
            <w:tcW w:w="1260" w:type="dxa"/>
            <w:vAlign w:val="center"/>
          </w:tcPr>
          <w:p w14:paraId="2B240759" w14:textId="03718C1D" w:rsidR="00220FFB" w:rsidRPr="004859C8" w:rsidRDefault="00220FFB" w:rsidP="004605FE">
            <w:pPr>
              <w:pStyle w:val="TMGTableText"/>
              <w:jc w:val="center"/>
            </w:pPr>
            <w:r w:rsidRPr="00C26BD2">
              <w:t>Integer</w:t>
            </w:r>
          </w:p>
        </w:tc>
        <w:tc>
          <w:tcPr>
            <w:tcW w:w="1175" w:type="dxa"/>
            <w:vAlign w:val="center"/>
          </w:tcPr>
          <w:p w14:paraId="203A9FD3" w14:textId="3618F4D3" w:rsidR="00220FFB" w:rsidRPr="00C251E9" w:rsidRDefault="00220FFB" w:rsidP="004605FE">
            <w:pPr>
              <w:pStyle w:val="TMGTableText"/>
              <w:jc w:val="center"/>
            </w:pPr>
            <w:r>
              <w:rPr>
                <w:rFonts w:eastAsiaTheme="minorEastAsia"/>
              </w:rPr>
              <w:t>Required</w:t>
            </w:r>
          </w:p>
        </w:tc>
      </w:tr>
      <w:tr w:rsidR="00220FFB" w14:paraId="715E5708" w14:textId="77777777" w:rsidTr="004605FE">
        <w:trPr>
          <w:jc w:val="center"/>
        </w:trPr>
        <w:tc>
          <w:tcPr>
            <w:tcW w:w="625" w:type="dxa"/>
          </w:tcPr>
          <w:p w14:paraId="47900454" w14:textId="767516A5" w:rsidR="00220FFB" w:rsidRPr="00220FFB" w:rsidRDefault="00220FFB" w:rsidP="00220FFB">
            <w:pPr>
              <w:pStyle w:val="TMGTableText"/>
              <w:ind w:left="0" w:right="144"/>
              <w:jc w:val="right"/>
              <w:rPr>
                <w:b/>
                <w:bCs/>
              </w:rPr>
            </w:pPr>
            <w:r w:rsidRPr="0008619D">
              <w:rPr>
                <w:rFonts w:eastAsiaTheme="minorEastAsia"/>
                <w:b/>
                <w:bCs/>
              </w:rPr>
              <w:t>7</w:t>
            </w:r>
          </w:p>
        </w:tc>
        <w:tc>
          <w:tcPr>
            <w:tcW w:w="1440" w:type="dxa"/>
          </w:tcPr>
          <w:p w14:paraId="7B02E972" w14:textId="04F2A989" w:rsidR="00220FFB" w:rsidRPr="004859C8" w:rsidRDefault="00220FFB" w:rsidP="00220FFB">
            <w:pPr>
              <w:pStyle w:val="TMGTableText"/>
              <w:jc w:val="center"/>
            </w:pPr>
            <w:r w:rsidRPr="00877387">
              <w:rPr>
                <w:rFonts w:eastAsiaTheme="minorEastAsia"/>
              </w:rPr>
              <w:t>16-17</w:t>
            </w:r>
          </w:p>
        </w:tc>
        <w:tc>
          <w:tcPr>
            <w:tcW w:w="810" w:type="dxa"/>
          </w:tcPr>
          <w:p w14:paraId="39C2BFF0" w14:textId="6C5EAE54" w:rsidR="00220FFB" w:rsidRPr="004859C8" w:rsidRDefault="00220FFB" w:rsidP="00220FFB">
            <w:pPr>
              <w:pStyle w:val="TMGTableText"/>
              <w:jc w:val="center"/>
            </w:pPr>
            <w:r w:rsidRPr="00877387">
              <w:rPr>
                <w:rFonts w:eastAsiaTheme="minorEastAsia"/>
              </w:rPr>
              <w:t>2</w:t>
            </w:r>
          </w:p>
        </w:tc>
        <w:tc>
          <w:tcPr>
            <w:tcW w:w="4050" w:type="dxa"/>
          </w:tcPr>
          <w:p w14:paraId="7F4A2809" w14:textId="0752CA40" w:rsidR="00220FFB" w:rsidRPr="004859C8" w:rsidRDefault="00220FFB" w:rsidP="00220FFB">
            <w:pPr>
              <w:pStyle w:val="TMGTableText"/>
            </w:pPr>
            <w:r w:rsidRPr="00877387">
              <w:rPr>
                <w:rFonts w:eastAsiaTheme="minorEastAsia"/>
              </w:rPr>
              <w:t>Month of Year</w:t>
            </w:r>
            <w:r>
              <w:rPr>
                <w:rFonts w:eastAsiaTheme="minorEastAsia"/>
              </w:rPr>
              <w:t xml:space="preserve"> </w:t>
            </w:r>
            <w:r w:rsidRPr="00877387">
              <w:rPr>
                <w:rFonts w:eastAsiaTheme="minorEastAsia"/>
              </w:rPr>
              <w:t>(MOY)</w:t>
            </w:r>
          </w:p>
        </w:tc>
        <w:tc>
          <w:tcPr>
            <w:tcW w:w="1260" w:type="dxa"/>
            <w:vAlign w:val="center"/>
          </w:tcPr>
          <w:p w14:paraId="5AEED6E8" w14:textId="0E25A4F0" w:rsidR="00220FFB" w:rsidRPr="004859C8" w:rsidRDefault="00220FFB" w:rsidP="004605FE">
            <w:pPr>
              <w:pStyle w:val="TMGTableText"/>
              <w:jc w:val="center"/>
            </w:pPr>
            <w:r w:rsidRPr="00C26BD2">
              <w:t>Integer</w:t>
            </w:r>
          </w:p>
        </w:tc>
        <w:tc>
          <w:tcPr>
            <w:tcW w:w="1175" w:type="dxa"/>
            <w:vAlign w:val="center"/>
          </w:tcPr>
          <w:p w14:paraId="17B76304" w14:textId="55353AB1" w:rsidR="00220FFB" w:rsidRPr="00C251E9" w:rsidRDefault="00220FFB" w:rsidP="004605FE">
            <w:pPr>
              <w:pStyle w:val="TMGTableText"/>
              <w:jc w:val="center"/>
            </w:pPr>
            <w:r>
              <w:rPr>
                <w:rFonts w:eastAsiaTheme="minorEastAsia"/>
              </w:rPr>
              <w:t>Required</w:t>
            </w:r>
          </w:p>
        </w:tc>
      </w:tr>
      <w:tr w:rsidR="00220FFB" w14:paraId="5FA5B43A" w14:textId="77777777" w:rsidTr="004605FE">
        <w:trPr>
          <w:jc w:val="center"/>
        </w:trPr>
        <w:tc>
          <w:tcPr>
            <w:tcW w:w="625" w:type="dxa"/>
          </w:tcPr>
          <w:p w14:paraId="4B3DD228" w14:textId="76197848" w:rsidR="00220FFB" w:rsidRPr="00220FFB" w:rsidRDefault="00220FFB" w:rsidP="00220FFB">
            <w:pPr>
              <w:pStyle w:val="TMGTableText"/>
              <w:ind w:left="0" w:right="144"/>
              <w:jc w:val="right"/>
              <w:rPr>
                <w:b/>
                <w:bCs/>
              </w:rPr>
            </w:pPr>
            <w:r w:rsidRPr="0008619D">
              <w:rPr>
                <w:rFonts w:eastAsiaTheme="minorEastAsia"/>
                <w:b/>
                <w:bCs/>
              </w:rPr>
              <w:t>8</w:t>
            </w:r>
          </w:p>
        </w:tc>
        <w:tc>
          <w:tcPr>
            <w:tcW w:w="1440" w:type="dxa"/>
          </w:tcPr>
          <w:p w14:paraId="1DB412F0" w14:textId="4A285625" w:rsidR="00220FFB" w:rsidRPr="004859C8" w:rsidRDefault="00220FFB" w:rsidP="00220FFB">
            <w:pPr>
              <w:pStyle w:val="TMGTableText"/>
              <w:jc w:val="center"/>
            </w:pPr>
            <w:r w:rsidRPr="00877387">
              <w:rPr>
                <w:rFonts w:eastAsiaTheme="minorEastAsia"/>
              </w:rPr>
              <w:t>18-19</w:t>
            </w:r>
          </w:p>
        </w:tc>
        <w:tc>
          <w:tcPr>
            <w:tcW w:w="810" w:type="dxa"/>
          </w:tcPr>
          <w:p w14:paraId="204742D4" w14:textId="087DAA2D" w:rsidR="00220FFB" w:rsidRPr="004859C8" w:rsidRDefault="00220FFB" w:rsidP="00220FFB">
            <w:pPr>
              <w:pStyle w:val="TMGTableText"/>
              <w:jc w:val="center"/>
            </w:pPr>
            <w:r w:rsidRPr="00877387">
              <w:rPr>
                <w:rFonts w:eastAsiaTheme="minorEastAsia"/>
              </w:rPr>
              <w:t>2</w:t>
            </w:r>
          </w:p>
        </w:tc>
        <w:tc>
          <w:tcPr>
            <w:tcW w:w="4050" w:type="dxa"/>
          </w:tcPr>
          <w:p w14:paraId="68DB76FC" w14:textId="57F646EE" w:rsidR="00220FFB" w:rsidRPr="004859C8" w:rsidRDefault="00220FFB" w:rsidP="00220FFB">
            <w:pPr>
              <w:pStyle w:val="TMGTableText"/>
            </w:pPr>
            <w:r w:rsidRPr="00877387">
              <w:rPr>
                <w:rFonts w:eastAsiaTheme="minorEastAsia"/>
              </w:rPr>
              <w:t>Day of Month (DOM)</w:t>
            </w:r>
          </w:p>
        </w:tc>
        <w:tc>
          <w:tcPr>
            <w:tcW w:w="1260" w:type="dxa"/>
            <w:vAlign w:val="center"/>
          </w:tcPr>
          <w:p w14:paraId="467095B0" w14:textId="1E0BF659" w:rsidR="00220FFB" w:rsidRPr="004859C8" w:rsidRDefault="00220FFB" w:rsidP="004605FE">
            <w:pPr>
              <w:pStyle w:val="TMGTableText"/>
              <w:jc w:val="center"/>
            </w:pPr>
            <w:r w:rsidRPr="00C26BD2">
              <w:t>Integer</w:t>
            </w:r>
          </w:p>
        </w:tc>
        <w:tc>
          <w:tcPr>
            <w:tcW w:w="1175" w:type="dxa"/>
            <w:vAlign w:val="center"/>
          </w:tcPr>
          <w:p w14:paraId="682B493E" w14:textId="4BF67EA9" w:rsidR="00220FFB" w:rsidRPr="00C251E9" w:rsidRDefault="00220FFB" w:rsidP="004605FE">
            <w:pPr>
              <w:pStyle w:val="TMGTableText"/>
              <w:jc w:val="center"/>
            </w:pPr>
            <w:r>
              <w:rPr>
                <w:rFonts w:eastAsiaTheme="minorEastAsia"/>
              </w:rPr>
              <w:t>Required</w:t>
            </w:r>
          </w:p>
        </w:tc>
      </w:tr>
      <w:tr w:rsidR="00220FFB" w14:paraId="52FA3967" w14:textId="77777777" w:rsidTr="004605FE">
        <w:trPr>
          <w:jc w:val="center"/>
        </w:trPr>
        <w:tc>
          <w:tcPr>
            <w:tcW w:w="625" w:type="dxa"/>
          </w:tcPr>
          <w:p w14:paraId="72FFF3B4" w14:textId="4A65FA6D" w:rsidR="00220FFB" w:rsidRPr="00220FFB" w:rsidRDefault="00220FFB" w:rsidP="00220FFB">
            <w:pPr>
              <w:pStyle w:val="TMGTableText"/>
              <w:ind w:left="0" w:right="144"/>
              <w:jc w:val="right"/>
              <w:rPr>
                <w:b/>
                <w:bCs/>
              </w:rPr>
            </w:pPr>
            <w:r w:rsidRPr="0008619D">
              <w:rPr>
                <w:rFonts w:eastAsiaTheme="minorEastAsia"/>
                <w:b/>
                <w:bCs/>
              </w:rPr>
              <w:t>9</w:t>
            </w:r>
          </w:p>
        </w:tc>
        <w:tc>
          <w:tcPr>
            <w:tcW w:w="1440" w:type="dxa"/>
          </w:tcPr>
          <w:p w14:paraId="60352A0A" w14:textId="45450A0E" w:rsidR="00220FFB" w:rsidRPr="004859C8" w:rsidRDefault="00220FFB" w:rsidP="00220FFB">
            <w:pPr>
              <w:pStyle w:val="TMGTableText"/>
              <w:jc w:val="center"/>
            </w:pPr>
            <w:r w:rsidRPr="00877387">
              <w:rPr>
                <w:rFonts w:eastAsiaTheme="minorEastAsia"/>
              </w:rPr>
              <w:t>20-21</w:t>
            </w:r>
          </w:p>
        </w:tc>
        <w:tc>
          <w:tcPr>
            <w:tcW w:w="810" w:type="dxa"/>
          </w:tcPr>
          <w:p w14:paraId="729A9FF7" w14:textId="049F887E" w:rsidR="00220FFB" w:rsidRPr="004859C8" w:rsidRDefault="00220FFB" w:rsidP="00220FFB">
            <w:pPr>
              <w:pStyle w:val="TMGTableText"/>
              <w:jc w:val="center"/>
            </w:pPr>
            <w:r w:rsidRPr="00877387">
              <w:rPr>
                <w:rFonts w:eastAsiaTheme="minorEastAsia"/>
              </w:rPr>
              <w:t>2</w:t>
            </w:r>
          </w:p>
        </w:tc>
        <w:tc>
          <w:tcPr>
            <w:tcW w:w="4050" w:type="dxa"/>
          </w:tcPr>
          <w:p w14:paraId="30F7BADF" w14:textId="7743EF3C" w:rsidR="00220FFB" w:rsidRPr="004859C8" w:rsidRDefault="00220FFB" w:rsidP="00220FFB">
            <w:pPr>
              <w:pStyle w:val="TMGTableText"/>
            </w:pPr>
            <w:r w:rsidRPr="00877387">
              <w:rPr>
                <w:rFonts w:eastAsiaTheme="minorEastAsia"/>
              </w:rPr>
              <w:t>Hour of Day (HOD)</w:t>
            </w:r>
          </w:p>
        </w:tc>
        <w:tc>
          <w:tcPr>
            <w:tcW w:w="1260" w:type="dxa"/>
            <w:vAlign w:val="center"/>
          </w:tcPr>
          <w:p w14:paraId="2AC8C578" w14:textId="043DCA1C" w:rsidR="00220FFB" w:rsidRPr="004859C8" w:rsidRDefault="00220FFB" w:rsidP="004605FE">
            <w:pPr>
              <w:pStyle w:val="TMGTableText"/>
              <w:jc w:val="center"/>
            </w:pPr>
            <w:r w:rsidRPr="00C26BD2">
              <w:t>Integer</w:t>
            </w:r>
          </w:p>
        </w:tc>
        <w:tc>
          <w:tcPr>
            <w:tcW w:w="1175" w:type="dxa"/>
            <w:vAlign w:val="center"/>
          </w:tcPr>
          <w:p w14:paraId="734C58DE" w14:textId="517F4AA5" w:rsidR="00220FFB" w:rsidRPr="00C251E9" w:rsidRDefault="00220FFB" w:rsidP="004605FE">
            <w:pPr>
              <w:pStyle w:val="TMGTableText"/>
              <w:jc w:val="center"/>
            </w:pPr>
            <w:r>
              <w:rPr>
                <w:rFonts w:eastAsiaTheme="minorEastAsia"/>
              </w:rPr>
              <w:t>Required</w:t>
            </w:r>
          </w:p>
        </w:tc>
      </w:tr>
      <w:tr w:rsidR="00220FFB" w14:paraId="36821EFB" w14:textId="77777777" w:rsidTr="004605FE">
        <w:trPr>
          <w:jc w:val="center"/>
        </w:trPr>
        <w:tc>
          <w:tcPr>
            <w:tcW w:w="625" w:type="dxa"/>
          </w:tcPr>
          <w:p w14:paraId="64790EE4" w14:textId="1B5F77CE" w:rsidR="00220FFB" w:rsidRPr="00220FFB" w:rsidRDefault="00220FFB" w:rsidP="00220FFB">
            <w:pPr>
              <w:pStyle w:val="TMGTableText"/>
              <w:ind w:left="0" w:right="144"/>
              <w:jc w:val="right"/>
              <w:rPr>
                <w:b/>
                <w:bCs/>
              </w:rPr>
            </w:pPr>
            <w:r w:rsidRPr="0008619D">
              <w:rPr>
                <w:rFonts w:eastAsiaTheme="minorEastAsia"/>
                <w:b/>
                <w:bCs/>
              </w:rPr>
              <w:t>10</w:t>
            </w:r>
          </w:p>
        </w:tc>
        <w:tc>
          <w:tcPr>
            <w:tcW w:w="1440" w:type="dxa"/>
          </w:tcPr>
          <w:p w14:paraId="133D1EF1" w14:textId="3883E7D6" w:rsidR="00220FFB" w:rsidRPr="004859C8" w:rsidRDefault="00220FFB" w:rsidP="00220FFB">
            <w:pPr>
              <w:pStyle w:val="TMGTableText"/>
              <w:jc w:val="center"/>
            </w:pPr>
            <w:r w:rsidRPr="00877387">
              <w:rPr>
                <w:rFonts w:eastAsiaTheme="minorEastAsia"/>
              </w:rPr>
              <w:t>22-23</w:t>
            </w:r>
          </w:p>
        </w:tc>
        <w:tc>
          <w:tcPr>
            <w:tcW w:w="810" w:type="dxa"/>
          </w:tcPr>
          <w:p w14:paraId="2AD8BC6C" w14:textId="3761D9F4" w:rsidR="00220FFB" w:rsidRPr="004859C8" w:rsidRDefault="00220FFB" w:rsidP="00220FFB">
            <w:pPr>
              <w:pStyle w:val="TMGTableText"/>
              <w:jc w:val="center"/>
            </w:pPr>
            <w:r w:rsidRPr="00877387">
              <w:rPr>
                <w:rFonts w:eastAsiaTheme="minorEastAsia"/>
              </w:rPr>
              <w:t>2</w:t>
            </w:r>
          </w:p>
        </w:tc>
        <w:tc>
          <w:tcPr>
            <w:tcW w:w="4050" w:type="dxa"/>
          </w:tcPr>
          <w:p w14:paraId="57C14FE7" w14:textId="3FF33DFB" w:rsidR="00220FFB" w:rsidRPr="004859C8" w:rsidRDefault="00220FFB" w:rsidP="00220FFB">
            <w:pPr>
              <w:pStyle w:val="TMGTableText"/>
            </w:pPr>
            <w:r w:rsidRPr="00877387">
              <w:rPr>
                <w:rFonts w:eastAsiaTheme="minorEastAsia"/>
              </w:rPr>
              <w:t>Minute of Hour (MOH)</w:t>
            </w:r>
          </w:p>
        </w:tc>
        <w:tc>
          <w:tcPr>
            <w:tcW w:w="1260" w:type="dxa"/>
            <w:vAlign w:val="center"/>
          </w:tcPr>
          <w:p w14:paraId="2E233480" w14:textId="719DA5F0" w:rsidR="00220FFB" w:rsidRPr="004859C8" w:rsidRDefault="00220FFB" w:rsidP="004605FE">
            <w:pPr>
              <w:pStyle w:val="TMGTableText"/>
              <w:jc w:val="center"/>
            </w:pPr>
            <w:r w:rsidRPr="00C26BD2">
              <w:t>Integer</w:t>
            </w:r>
          </w:p>
        </w:tc>
        <w:tc>
          <w:tcPr>
            <w:tcW w:w="1175" w:type="dxa"/>
            <w:vAlign w:val="center"/>
          </w:tcPr>
          <w:p w14:paraId="17A1D557" w14:textId="47F3EDA2" w:rsidR="00220FFB" w:rsidRPr="00C251E9" w:rsidRDefault="00220FFB" w:rsidP="004605FE">
            <w:pPr>
              <w:pStyle w:val="TMGTableText"/>
              <w:jc w:val="center"/>
            </w:pPr>
            <w:r>
              <w:rPr>
                <w:rFonts w:eastAsiaTheme="minorEastAsia"/>
              </w:rPr>
              <w:t>Required</w:t>
            </w:r>
          </w:p>
        </w:tc>
      </w:tr>
      <w:tr w:rsidR="00220FFB" w14:paraId="5467A518" w14:textId="77777777" w:rsidTr="004605FE">
        <w:trPr>
          <w:jc w:val="center"/>
        </w:trPr>
        <w:tc>
          <w:tcPr>
            <w:tcW w:w="625" w:type="dxa"/>
          </w:tcPr>
          <w:p w14:paraId="38EB5BC0" w14:textId="48FB2842" w:rsidR="00220FFB" w:rsidRPr="00220FFB" w:rsidRDefault="00220FFB" w:rsidP="00220FFB">
            <w:pPr>
              <w:pStyle w:val="TMGTableText"/>
              <w:ind w:left="0" w:right="144"/>
              <w:jc w:val="right"/>
              <w:rPr>
                <w:b/>
                <w:bCs/>
              </w:rPr>
            </w:pPr>
            <w:r w:rsidRPr="0008619D">
              <w:rPr>
                <w:rFonts w:eastAsiaTheme="minorEastAsia"/>
                <w:b/>
                <w:bCs/>
              </w:rPr>
              <w:t>11</w:t>
            </w:r>
          </w:p>
        </w:tc>
        <w:tc>
          <w:tcPr>
            <w:tcW w:w="1440" w:type="dxa"/>
          </w:tcPr>
          <w:p w14:paraId="382BA30D" w14:textId="66443F72" w:rsidR="00220FFB" w:rsidRPr="004859C8" w:rsidRDefault="00220FFB" w:rsidP="00220FFB">
            <w:pPr>
              <w:pStyle w:val="TMGTableText"/>
              <w:jc w:val="center"/>
            </w:pPr>
            <w:r w:rsidRPr="00877387">
              <w:rPr>
                <w:rFonts w:eastAsiaTheme="minorEastAsia"/>
              </w:rPr>
              <w:t>24-25</w:t>
            </w:r>
          </w:p>
        </w:tc>
        <w:tc>
          <w:tcPr>
            <w:tcW w:w="810" w:type="dxa"/>
          </w:tcPr>
          <w:p w14:paraId="7D1AFC71" w14:textId="6342DF97" w:rsidR="00220FFB" w:rsidRPr="004859C8" w:rsidRDefault="00220FFB" w:rsidP="00220FFB">
            <w:pPr>
              <w:pStyle w:val="TMGTableText"/>
              <w:jc w:val="center"/>
            </w:pPr>
            <w:r w:rsidRPr="00877387">
              <w:rPr>
                <w:rFonts w:eastAsiaTheme="minorEastAsia"/>
              </w:rPr>
              <w:t>2</w:t>
            </w:r>
          </w:p>
        </w:tc>
        <w:tc>
          <w:tcPr>
            <w:tcW w:w="4050" w:type="dxa"/>
          </w:tcPr>
          <w:p w14:paraId="0F536946" w14:textId="17888245" w:rsidR="00220FFB" w:rsidRPr="004859C8" w:rsidRDefault="00220FFB" w:rsidP="00220FFB">
            <w:pPr>
              <w:pStyle w:val="TMGTableText"/>
            </w:pPr>
            <w:r w:rsidRPr="00877387">
              <w:rPr>
                <w:rFonts w:eastAsiaTheme="minorEastAsia"/>
              </w:rPr>
              <w:t>Second of Minute (SOM)</w:t>
            </w:r>
          </w:p>
        </w:tc>
        <w:tc>
          <w:tcPr>
            <w:tcW w:w="1260" w:type="dxa"/>
            <w:vAlign w:val="center"/>
          </w:tcPr>
          <w:p w14:paraId="0DFA5D67" w14:textId="6AFA3F72" w:rsidR="00220FFB" w:rsidRPr="004859C8" w:rsidRDefault="00220FFB" w:rsidP="004605FE">
            <w:pPr>
              <w:pStyle w:val="TMGTableText"/>
              <w:jc w:val="center"/>
            </w:pPr>
            <w:r w:rsidRPr="00C26BD2">
              <w:t>Integer</w:t>
            </w:r>
          </w:p>
        </w:tc>
        <w:tc>
          <w:tcPr>
            <w:tcW w:w="1175" w:type="dxa"/>
            <w:vAlign w:val="center"/>
          </w:tcPr>
          <w:p w14:paraId="58DDEA05" w14:textId="1D60E2F7" w:rsidR="00220FFB" w:rsidRPr="00C251E9" w:rsidRDefault="00220FFB" w:rsidP="004605FE">
            <w:pPr>
              <w:pStyle w:val="TMGTableText"/>
              <w:jc w:val="center"/>
            </w:pPr>
            <w:r>
              <w:rPr>
                <w:rFonts w:eastAsiaTheme="minorEastAsia"/>
              </w:rPr>
              <w:t>Required</w:t>
            </w:r>
          </w:p>
        </w:tc>
      </w:tr>
      <w:tr w:rsidR="00220FFB" w14:paraId="34D837FB" w14:textId="77777777" w:rsidTr="004605FE">
        <w:trPr>
          <w:jc w:val="center"/>
        </w:trPr>
        <w:tc>
          <w:tcPr>
            <w:tcW w:w="625" w:type="dxa"/>
          </w:tcPr>
          <w:p w14:paraId="665DBA3E" w14:textId="28EFDC99" w:rsidR="00220FFB" w:rsidRPr="00220FFB" w:rsidRDefault="00220FFB" w:rsidP="00220FFB">
            <w:pPr>
              <w:pStyle w:val="TMGTableText"/>
              <w:ind w:left="0" w:right="144"/>
              <w:jc w:val="right"/>
              <w:rPr>
                <w:b/>
                <w:bCs/>
              </w:rPr>
            </w:pPr>
            <w:r w:rsidRPr="0008619D">
              <w:rPr>
                <w:rFonts w:eastAsiaTheme="minorEastAsia"/>
                <w:b/>
                <w:bCs/>
              </w:rPr>
              <w:t>12</w:t>
            </w:r>
          </w:p>
        </w:tc>
        <w:tc>
          <w:tcPr>
            <w:tcW w:w="1440" w:type="dxa"/>
          </w:tcPr>
          <w:p w14:paraId="34BEB743" w14:textId="14EE9C45" w:rsidR="00220FFB" w:rsidRPr="004859C8" w:rsidRDefault="00220FFB" w:rsidP="00220FFB">
            <w:pPr>
              <w:pStyle w:val="TMGTableText"/>
              <w:jc w:val="center"/>
            </w:pPr>
            <w:r w:rsidRPr="00877387">
              <w:rPr>
                <w:rFonts w:eastAsiaTheme="minorEastAsia"/>
              </w:rPr>
              <w:t>26-27</w:t>
            </w:r>
          </w:p>
        </w:tc>
        <w:tc>
          <w:tcPr>
            <w:tcW w:w="810" w:type="dxa"/>
          </w:tcPr>
          <w:p w14:paraId="13895DE8" w14:textId="20EDCFDF" w:rsidR="00220FFB" w:rsidRPr="004859C8" w:rsidRDefault="00220FFB" w:rsidP="00220FFB">
            <w:pPr>
              <w:pStyle w:val="TMGTableText"/>
              <w:jc w:val="center"/>
            </w:pPr>
            <w:r w:rsidRPr="00877387">
              <w:rPr>
                <w:rFonts w:eastAsiaTheme="minorEastAsia"/>
              </w:rPr>
              <w:t>2</w:t>
            </w:r>
          </w:p>
        </w:tc>
        <w:tc>
          <w:tcPr>
            <w:tcW w:w="4050" w:type="dxa"/>
          </w:tcPr>
          <w:p w14:paraId="17E45B96" w14:textId="5E4C5874" w:rsidR="00220FFB" w:rsidRPr="004859C8" w:rsidRDefault="00220FFB" w:rsidP="00220FFB">
            <w:pPr>
              <w:pStyle w:val="TMGTableText"/>
            </w:pPr>
            <w:r w:rsidRPr="00877387">
              <w:rPr>
                <w:rFonts w:eastAsiaTheme="minorEastAsia"/>
              </w:rPr>
              <w:t>Sub Second</w:t>
            </w:r>
            <w:r>
              <w:rPr>
                <w:rFonts w:eastAsiaTheme="minorEastAsia"/>
              </w:rPr>
              <w:t xml:space="preserve"> of Second</w:t>
            </w:r>
            <w:r w:rsidRPr="00877387">
              <w:rPr>
                <w:rFonts w:eastAsiaTheme="minorEastAsia"/>
              </w:rPr>
              <w:t xml:space="preserve"> (SSOS)</w:t>
            </w:r>
          </w:p>
        </w:tc>
        <w:tc>
          <w:tcPr>
            <w:tcW w:w="1260" w:type="dxa"/>
            <w:vAlign w:val="center"/>
          </w:tcPr>
          <w:p w14:paraId="2E9A35DA" w14:textId="31EA4E0E" w:rsidR="00220FFB" w:rsidRPr="004859C8" w:rsidRDefault="00220FFB" w:rsidP="004605FE">
            <w:pPr>
              <w:pStyle w:val="TMGTableText"/>
              <w:jc w:val="center"/>
            </w:pPr>
            <w:r w:rsidRPr="00C26BD2">
              <w:t>Integer</w:t>
            </w:r>
          </w:p>
        </w:tc>
        <w:tc>
          <w:tcPr>
            <w:tcW w:w="1175" w:type="dxa"/>
            <w:vAlign w:val="center"/>
          </w:tcPr>
          <w:p w14:paraId="6D10B40D" w14:textId="04C148DB" w:rsidR="00220FFB" w:rsidRPr="00C251E9" w:rsidRDefault="00220FFB" w:rsidP="004605FE">
            <w:pPr>
              <w:pStyle w:val="TMGTableText"/>
              <w:jc w:val="center"/>
            </w:pPr>
            <w:r>
              <w:rPr>
                <w:rFonts w:eastAsiaTheme="minorEastAsia"/>
              </w:rPr>
              <w:t>Required</w:t>
            </w:r>
          </w:p>
        </w:tc>
      </w:tr>
      <w:tr w:rsidR="00220FFB" w14:paraId="66A71515" w14:textId="77777777" w:rsidTr="004605FE">
        <w:trPr>
          <w:jc w:val="center"/>
        </w:trPr>
        <w:tc>
          <w:tcPr>
            <w:tcW w:w="625" w:type="dxa"/>
          </w:tcPr>
          <w:p w14:paraId="2D254162" w14:textId="06149DE7" w:rsidR="00220FFB" w:rsidRPr="00220FFB" w:rsidRDefault="00220FFB" w:rsidP="00220FFB">
            <w:pPr>
              <w:pStyle w:val="TMGTableText"/>
              <w:ind w:left="0" w:right="144"/>
              <w:jc w:val="right"/>
              <w:rPr>
                <w:b/>
                <w:bCs/>
              </w:rPr>
            </w:pPr>
            <w:r w:rsidRPr="0008619D">
              <w:rPr>
                <w:rFonts w:eastAsiaTheme="minorEastAsia"/>
                <w:b/>
                <w:bCs/>
              </w:rPr>
              <w:t>13</w:t>
            </w:r>
          </w:p>
        </w:tc>
        <w:tc>
          <w:tcPr>
            <w:tcW w:w="1440" w:type="dxa"/>
          </w:tcPr>
          <w:p w14:paraId="094A1390" w14:textId="5FFA5E10" w:rsidR="00220FFB" w:rsidRPr="004859C8" w:rsidRDefault="00220FFB" w:rsidP="00220FFB">
            <w:pPr>
              <w:pStyle w:val="TMGTableText"/>
              <w:jc w:val="center"/>
            </w:pPr>
            <w:r w:rsidRPr="00877387">
              <w:rPr>
                <w:rFonts w:eastAsiaTheme="minorEastAsia"/>
              </w:rPr>
              <w:t>28</w:t>
            </w:r>
          </w:p>
        </w:tc>
        <w:tc>
          <w:tcPr>
            <w:tcW w:w="810" w:type="dxa"/>
          </w:tcPr>
          <w:p w14:paraId="79DD2F4F" w14:textId="22F78007" w:rsidR="00220FFB" w:rsidRPr="004859C8" w:rsidRDefault="00220FFB" w:rsidP="00220FFB">
            <w:pPr>
              <w:pStyle w:val="TMGTableText"/>
              <w:jc w:val="center"/>
            </w:pPr>
            <w:r w:rsidRPr="00877387">
              <w:rPr>
                <w:rFonts w:eastAsiaTheme="minorEastAsia"/>
              </w:rPr>
              <w:t>1</w:t>
            </w:r>
          </w:p>
        </w:tc>
        <w:tc>
          <w:tcPr>
            <w:tcW w:w="4050" w:type="dxa"/>
          </w:tcPr>
          <w:p w14:paraId="356CEC26" w14:textId="0BF75BD2" w:rsidR="00220FFB" w:rsidRPr="004859C8" w:rsidRDefault="00220FFB" w:rsidP="00220FFB">
            <w:pPr>
              <w:pStyle w:val="TMGTableText"/>
            </w:pPr>
            <w:r w:rsidRPr="00877387">
              <w:rPr>
                <w:rFonts w:eastAsiaTheme="minorEastAsia"/>
              </w:rPr>
              <w:t>C</w:t>
            </w:r>
          </w:p>
        </w:tc>
        <w:tc>
          <w:tcPr>
            <w:tcW w:w="1260" w:type="dxa"/>
            <w:vAlign w:val="center"/>
          </w:tcPr>
          <w:p w14:paraId="2EAC50C9" w14:textId="2B8A4183" w:rsidR="00220FFB" w:rsidRPr="004859C8" w:rsidRDefault="00220FFB" w:rsidP="004605FE">
            <w:pPr>
              <w:pStyle w:val="TMGTableText"/>
              <w:jc w:val="center"/>
            </w:pPr>
            <w:r w:rsidRPr="00C26BD2">
              <w:t>Alphanumeric</w:t>
            </w:r>
          </w:p>
        </w:tc>
        <w:tc>
          <w:tcPr>
            <w:tcW w:w="1175" w:type="dxa"/>
            <w:vAlign w:val="center"/>
          </w:tcPr>
          <w:p w14:paraId="23A406D6" w14:textId="71FFF73C" w:rsidR="00220FFB" w:rsidRPr="00C251E9" w:rsidRDefault="00220FFB" w:rsidP="004605FE">
            <w:pPr>
              <w:pStyle w:val="TMGTableText"/>
              <w:jc w:val="center"/>
            </w:pPr>
            <w:r>
              <w:rPr>
                <w:rFonts w:eastAsiaTheme="minorEastAsia"/>
              </w:rPr>
              <w:t>Required</w:t>
            </w:r>
          </w:p>
        </w:tc>
      </w:tr>
      <w:tr w:rsidR="00220FFB" w14:paraId="6D2FE67F" w14:textId="77777777" w:rsidTr="004605FE">
        <w:trPr>
          <w:jc w:val="center"/>
        </w:trPr>
        <w:tc>
          <w:tcPr>
            <w:tcW w:w="625" w:type="dxa"/>
          </w:tcPr>
          <w:p w14:paraId="27357D69" w14:textId="03BC9EEE" w:rsidR="00220FFB" w:rsidRPr="00220FFB" w:rsidRDefault="00220FFB" w:rsidP="00220FFB">
            <w:pPr>
              <w:pStyle w:val="TMGTableText"/>
              <w:ind w:left="0" w:right="144"/>
              <w:jc w:val="right"/>
              <w:rPr>
                <w:b/>
                <w:bCs/>
              </w:rPr>
            </w:pPr>
            <w:r w:rsidRPr="0008619D">
              <w:rPr>
                <w:rFonts w:eastAsiaTheme="minorEastAsia"/>
                <w:b/>
                <w:bCs/>
              </w:rPr>
              <w:t>14</w:t>
            </w:r>
          </w:p>
        </w:tc>
        <w:tc>
          <w:tcPr>
            <w:tcW w:w="1440" w:type="dxa"/>
          </w:tcPr>
          <w:p w14:paraId="4A18EA01" w14:textId="7629B3C0" w:rsidR="00220FFB" w:rsidRPr="004859C8" w:rsidRDefault="00220FFB" w:rsidP="00220FFB">
            <w:pPr>
              <w:pStyle w:val="TMGTableText"/>
              <w:jc w:val="center"/>
            </w:pPr>
            <w:r w:rsidRPr="00877387">
              <w:rPr>
                <w:rFonts w:eastAsiaTheme="minorEastAsia"/>
              </w:rPr>
              <w:t>29-33</w:t>
            </w:r>
          </w:p>
        </w:tc>
        <w:tc>
          <w:tcPr>
            <w:tcW w:w="810" w:type="dxa"/>
          </w:tcPr>
          <w:p w14:paraId="38D5FF6E" w14:textId="38E1BBCB" w:rsidR="00220FFB" w:rsidRPr="004859C8" w:rsidRDefault="00220FFB" w:rsidP="00220FFB">
            <w:pPr>
              <w:pStyle w:val="TMGTableText"/>
              <w:jc w:val="center"/>
            </w:pPr>
            <w:r w:rsidRPr="00877387">
              <w:rPr>
                <w:rFonts w:eastAsiaTheme="minorEastAsia"/>
              </w:rPr>
              <w:t>5</w:t>
            </w:r>
          </w:p>
        </w:tc>
        <w:tc>
          <w:tcPr>
            <w:tcW w:w="4050" w:type="dxa"/>
          </w:tcPr>
          <w:p w14:paraId="04B4FB5A" w14:textId="46EE3C14" w:rsidR="00220FFB" w:rsidRPr="004859C8" w:rsidRDefault="00220FFB" w:rsidP="00220FFB">
            <w:pPr>
              <w:pStyle w:val="TMGTableText"/>
            </w:pPr>
            <w:r w:rsidRPr="00877387">
              <w:rPr>
                <w:rFonts w:eastAsiaTheme="minorEastAsia"/>
              </w:rPr>
              <w:t>Vehicle Signature/Other Use (VS)</w:t>
            </w:r>
          </w:p>
        </w:tc>
        <w:tc>
          <w:tcPr>
            <w:tcW w:w="1260" w:type="dxa"/>
            <w:vAlign w:val="center"/>
          </w:tcPr>
          <w:p w14:paraId="2E1B5DC0" w14:textId="3C83A33B" w:rsidR="00220FFB" w:rsidRPr="004859C8" w:rsidRDefault="00220FFB" w:rsidP="004605FE">
            <w:pPr>
              <w:pStyle w:val="TMGTableText"/>
              <w:jc w:val="center"/>
            </w:pPr>
            <w:r w:rsidRPr="00C26BD2">
              <w:t>Integer</w:t>
            </w:r>
          </w:p>
        </w:tc>
        <w:tc>
          <w:tcPr>
            <w:tcW w:w="1175" w:type="dxa"/>
            <w:vAlign w:val="center"/>
          </w:tcPr>
          <w:p w14:paraId="6AE84F1C" w14:textId="2119F1B7" w:rsidR="00220FFB" w:rsidRPr="00C251E9" w:rsidRDefault="00220FFB" w:rsidP="004605FE">
            <w:pPr>
              <w:pStyle w:val="TMGTableText"/>
              <w:jc w:val="center"/>
            </w:pPr>
            <w:r w:rsidRPr="00877387">
              <w:rPr>
                <w:rFonts w:eastAsiaTheme="minorEastAsia"/>
              </w:rPr>
              <w:t>O</w:t>
            </w:r>
            <w:r>
              <w:rPr>
                <w:rFonts w:eastAsiaTheme="minorEastAsia"/>
              </w:rPr>
              <w:t>ptional</w:t>
            </w:r>
          </w:p>
        </w:tc>
      </w:tr>
      <w:tr w:rsidR="00220FFB" w14:paraId="2D5509C2" w14:textId="77777777" w:rsidTr="004605FE">
        <w:trPr>
          <w:jc w:val="center"/>
        </w:trPr>
        <w:tc>
          <w:tcPr>
            <w:tcW w:w="625" w:type="dxa"/>
          </w:tcPr>
          <w:p w14:paraId="732CC8DF" w14:textId="7B5AC6CE" w:rsidR="00220FFB" w:rsidRPr="00220FFB" w:rsidRDefault="00220FFB" w:rsidP="00220FFB">
            <w:pPr>
              <w:pStyle w:val="TMGTableText"/>
              <w:ind w:left="0" w:right="144"/>
              <w:jc w:val="right"/>
              <w:rPr>
                <w:b/>
                <w:bCs/>
              </w:rPr>
            </w:pPr>
            <w:r w:rsidRPr="0008619D">
              <w:rPr>
                <w:rFonts w:eastAsiaTheme="minorEastAsia"/>
                <w:b/>
                <w:bCs/>
              </w:rPr>
              <w:t>15</w:t>
            </w:r>
          </w:p>
        </w:tc>
        <w:tc>
          <w:tcPr>
            <w:tcW w:w="1440" w:type="dxa"/>
          </w:tcPr>
          <w:p w14:paraId="1822F685" w14:textId="6489B80E" w:rsidR="00220FFB" w:rsidRPr="004859C8" w:rsidRDefault="00220FFB" w:rsidP="00220FFB">
            <w:pPr>
              <w:pStyle w:val="TMGTableText"/>
              <w:jc w:val="center"/>
            </w:pPr>
            <w:r w:rsidRPr="00877387">
              <w:rPr>
                <w:rFonts w:eastAsiaTheme="minorEastAsia"/>
              </w:rPr>
              <w:t>34-37</w:t>
            </w:r>
          </w:p>
        </w:tc>
        <w:tc>
          <w:tcPr>
            <w:tcW w:w="810" w:type="dxa"/>
          </w:tcPr>
          <w:p w14:paraId="10580830" w14:textId="1266EE98" w:rsidR="00220FFB" w:rsidRPr="004859C8" w:rsidRDefault="00220FFB" w:rsidP="00220FFB">
            <w:pPr>
              <w:pStyle w:val="TMGTableText"/>
              <w:jc w:val="center"/>
            </w:pPr>
            <w:r w:rsidRPr="00877387">
              <w:rPr>
                <w:rFonts w:eastAsiaTheme="minorEastAsia"/>
              </w:rPr>
              <w:t>4</w:t>
            </w:r>
          </w:p>
        </w:tc>
        <w:tc>
          <w:tcPr>
            <w:tcW w:w="4050" w:type="dxa"/>
          </w:tcPr>
          <w:p w14:paraId="1C3ED1F0" w14:textId="11DBFA37" w:rsidR="00220FFB" w:rsidRPr="004859C8" w:rsidRDefault="00220FFB" w:rsidP="00220FFB">
            <w:pPr>
              <w:pStyle w:val="TMGTableText"/>
            </w:pPr>
            <w:r w:rsidRPr="00877387">
              <w:rPr>
                <w:rFonts w:eastAsiaTheme="minorEastAsia"/>
              </w:rPr>
              <w:t>Vehicle Speed (SPD)</w:t>
            </w:r>
          </w:p>
        </w:tc>
        <w:tc>
          <w:tcPr>
            <w:tcW w:w="1260" w:type="dxa"/>
            <w:vAlign w:val="center"/>
          </w:tcPr>
          <w:p w14:paraId="31089604" w14:textId="3F1ABDE9" w:rsidR="00220FFB" w:rsidRPr="004859C8" w:rsidRDefault="00220FFB" w:rsidP="004605FE">
            <w:pPr>
              <w:pStyle w:val="TMGTableText"/>
              <w:jc w:val="center"/>
            </w:pPr>
            <w:r w:rsidRPr="00C26BD2">
              <w:t>Integer</w:t>
            </w:r>
          </w:p>
        </w:tc>
        <w:tc>
          <w:tcPr>
            <w:tcW w:w="1175" w:type="dxa"/>
            <w:vAlign w:val="center"/>
          </w:tcPr>
          <w:p w14:paraId="316FE947" w14:textId="7FF47ABE" w:rsidR="00220FFB" w:rsidRPr="00C251E9" w:rsidRDefault="00220FFB" w:rsidP="004605FE">
            <w:pPr>
              <w:pStyle w:val="TMGTableText"/>
              <w:jc w:val="center"/>
            </w:pPr>
            <w:r>
              <w:rPr>
                <w:rFonts w:eastAsiaTheme="minorEastAsia"/>
              </w:rPr>
              <w:t>Required</w:t>
            </w:r>
          </w:p>
        </w:tc>
      </w:tr>
      <w:tr w:rsidR="00220FFB" w14:paraId="3D4DFA6C" w14:textId="77777777" w:rsidTr="004605FE">
        <w:trPr>
          <w:jc w:val="center"/>
        </w:trPr>
        <w:tc>
          <w:tcPr>
            <w:tcW w:w="625" w:type="dxa"/>
          </w:tcPr>
          <w:p w14:paraId="47D9CB5F" w14:textId="64986F69" w:rsidR="00220FFB" w:rsidRPr="00220FFB" w:rsidRDefault="00220FFB" w:rsidP="00220FFB">
            <w:pPr>
              <w:pStyle w:val="TMGTableText"/>
              <w:ind w:left="0" w:right="144"/>
              <w:jc w:val="right"/>
              <w:rPr>
                <w:b/>
                <w:bCs/>
              </w:rPr>
            </w:pPr>
            <w:r w:rsidRPr="0008619D">
              <w:rPr>
                <w:rFonts w:eastAsiaTheme="minorEastAsia"/>
                <w:b/>
                <w:bCs/>
              </w:rPr>
              <w:t>16</w:t>
            </w:r>
          </w:p>
        </w:tc>
        <w:tc>
          <w:tcPr>
            <w:tcW w:w="1440" w:type="dxa"/>
          </w:tcPr>
          <w:p w14:paraId="095BCADD" w14:textId="46F6F5DF" w:rsidR="00220FFB" w:rsidRPr="004859C8" w:rsidRDefault="00220FFB" w:rsidP="00220FFB">
            <w:pPr>
              <w:pStyle w:val="TMGTableText"/>
              <w:jc w:val="center"/>
            </w:pPr>
            <w:r w:rsidRPr="00877387">
              <w:rPr>
                <w:rFonts w:eastAsiaTheme="minorEastAsia"/>
              </w:rPr>
              <w:t>38-39</w:t>
            </w:r>
          </w:p>
        </w:tc>
        <w:tc>
          <w:tcPr>
            <w:tcW w:w="810" w:type="dxa"/>
          </w:tcPr>
          <w:p w14:paraId="2182417A" w14:textId="0B4346FA" w:rsidR="00220FFB" w:rsidRPr="004859C8" w:rsidRDefault="00220FFB" w:rsidP="00220FFB">
            <w:pPr>
              <w:pStyle w:val="TMGTableText"/>
              <w:jc w:val="center"/>
            </w:pPr>
            <w:r w:rsidRPr="00877387">
              <w:rPr>
                <w:rFonts w:eastAsiaTheme="minorEastAsia"/>
              </w:rPr>
              <w:t>2</w:t>
            </w:r>
          </w:p>
        </w:tc>
        <w:tc>
          <w:tcPr>
            <w:tcW w:w="4050" w:type="dxa"/>
          </w:tcPr>
          <w:p w14:paraId="1D1699D9" w14:textId="2F06ABEE" w:rsidR="00220FFB" w:rsidRPr="004859C8" w:rsidRDefault="00220FFB" w:rsidP="00220FFB">
            <w:pPr>
              <w:pStyle w:val="TMGTableText"/>
            </w:pPr>
            <w:r w:rsidRPr="00877387">
              <w:rPr>
                <w:rFonts w:eastAsiaTheme="minorEastAsia"/>
              </w:rPr>
              <w:t>Vehicle Classification (CLS)</w:t>
            </w:r>
          </w:p>
        </w:tc>
        <w:tc>
          <w:tcPr>
            <w:tcW w:w="1260" w:type="dxa"/>
            <w:vAlign w:val="center"/>
          </w:tcPr>
          <w:p w14:paraId="0718D9F9" w14:textId="2DFE8B66" w:rsidR="00220FFB" w:rsidRPr="004859C8" w:rsidRDefault="00220FFB" w:rsidP="004605FE">
            <w:pPr>
              <w:pStyle w:val="TMGTableText"/>
              <w:jc w:val="center"/>
            </w:pPr>
            <w:r w:rsidRPr="00C26BD2">
              <w:t>Integer</w:t>
            </w:r>
          </w:p>
        </w:tc>
        <w:tc>
          <w:tcPr>
            <w:tcW w:w="1175" w:type="dxa"/>
            <w:vAlign w:val="center"/>
          </w:tcPr>
          <w:p w14:paraId="5F6EEB83" w14:textId="19369BE7" w:rsidR="00220FFB" w:rsidRPr="00C251E9" w:rsidRDefault="00220FFB" w:rsidP="004605FE">
            <w:pPr>
              <w:pStyle w:val="TMGTableText"/>
              <w:jc w:val="center"/>
            </w:pPr>
            <w:r>
              <w:rPr>
                <w:rFonts w:eastAsiaTheme="minorEastAsia"/>
              </w:rPr>
              <w:t>Required</w:t>
            </w:r>
          </w:p>
        </w:tc>
      </w:tr>
      <w:tr w:rsidR="00220FFB" w14:paraId="0D90C701" w14:textId="77777777" w:rsidTr="004605FE">
        <w:trPr>
          <w:jc w:val="center"/>
        </w:trPr>
        <w:tc>
          <w:tcPr>
            <w:tcW w:w="625" w:type="dxa"/>
          </w:tcPr>
          <w:p w14:paraId="7F5B5C1A" w14:textId="5F07AA35" w:rsidR="00220FFB" w:rsidRPr="00220FFB" w:rsidRDefault="00220FFB" w:rsidP="00220FFB">
            <w:pPr>
              <w:pStyle w:val="TMGTableText"/>
              <w:ind w:left="0" w:right="144"/>
              <w:jc w:val="right"/>
              <w:rPr>
                <w:b/>
                <w:bCs/>
              </w:rPr>
            </w:pPr>
            <w:r w:rsidRPr="0008619D">
              <w:rPr>
                <w:rFonts w:eastAsiaTheme="minorEastAsia"/>
                <w:b/>
                <w:bCs/>
              </w:rPr>
              <w:t>17</w:t>
            </w:r>
          </w:p>
        </w:tc>
        <w:tc>
          <w:tcPr>
            <w:tcW w:w="1440" w:type="dxa"/>
          </w:tcPr>
          <w:p w14:paraId="6EE94488" w14:textId="4419A36C" w:rsidR="00220FFB" w:rsidRPr="004859C8" w:rsidRDefault="00220FFB" w:rsidP="00220FFB">
            <w:pPr>
              <w:pStyle w:val="TMGTableText"/>
              <w:jc w:val="center"/>
            </w:pPr>
            <w:r w:rsidRPr="00877387">
              <w:rPr>
                <w:rFonts w:eastAsiaTheme="minorEastAsia"/>
              </w:rPr>
              <w:t>40-41</w:t>
            </w:r>
          </w:p>
        </w:tc>
        <w:tc>
          <w:tcPr>
            <w:tcW w:w="810" w:type="dxa"/>
          </w:tcPr>
          <w:p w14:paraId="05F7159D" w14:textId="269F3CDA" w:rsidR="00220FFB" w:rsidRPr="004859C8" w:rsidRDefault="00220FFB" w:rsidP="00220FFB">
            <w:pPr>
              <w:pStyle w:val="TMGTableText"/>
              <w:jc w:val="center"/>
            </w:pPr>
            <w:r w:rsidRPr="00877387">
              <w:rPr>
                <w:rFonts w:eastAsiaTheme="minorEastAsia"/>
              </w:rPr>
              <w:t>2</w:t>
            </w:r>
          </w:p>
        </w:tc>
        <w:tc>
          <w:tcPr>
            <w:tcW w:w="4050" w:type="dxa"/>
          </w:tcPr>
          <w:p w14:paraId="7304D36A" w14:textId="45EE5023" w:rsidR="00220FFB" w:rsidRPr="004859C8" w:rsidRDefault="00220FFB" w:rsidP="00220FFB">
            <w:pPr>
              <w:pStyle w:val="TMGTableText"/>
            </w:pPr>
            <w:r w:rsidRPr="00877387">
              <w:rPr>
                <w:rFonts w:eastAsiaTheme="minorEastAsia"/>
              </w:rPr>
              <w:t>Number of Axles (NAX)</w:t>
            </w:r>
          </w:p>
        </w:tc>
        <w:tc>
          <w:tcPr>
            <w:tcW w:w="1260" w:type="dxa"/>
            <w:vAlign w:val="center"/>
          </w:tcPr>
          <w:p w14:paraId="1B2F903B" w14:textId="6285197E" w:rsidR="00220FFB" w:rsidRPr="004859C8" w:rsidRDefault="00220FFB" w:rsidP="004605FE">
            <w:pPr>
              <w:pStyle w:val="TMGTableText"/>
              <w:jc w:val="center"/>
            </w:pPr>
            <w:r w:rsidRPr="00C26BD2">
              <w:t>Integer</w:t>
            </w:r>
          </w:p>
        </w:tc>
        <w:tc>
          <w:tcPr>
            <w:tcW w:w="1175" w:type="dxa"/>
            <w:vAlign w:val="center"/>
          </w:tcPr>
          <w:p w14:paraId="0ABCF1B1" w14:textId="272FDB41" w:rsidR="00220FFB" w:rsidRPr="00C251E9" w:rsidRDefault="00220FFB" w:rsidP="004605FE">
            <w:pPr>
              <w:pStyle w:val="TMGTableText"/>
              <w:jc w:val="center"/>
            </w:pPr>
            <w:r>
              <w:rPr>
                <w:rFonts w:eastAsiaTheme="minorEastAsia"/>
              </w:rPr>
              <w:t>Required</w:t>
            </w:r>
          </w:p>
        </w:tc>
      </w:tr>
      <w:tr w:rsidR="00220FFB" w14:paraId="6720B135" w14:textId="77777777" w:rsidTr="004605FE">
        <w:trPr>
          <w:jc w:val="center"/>
        </w:trPr>
        <w:tc>
          <w:tcPr>
            <w:tcW w:w="625" w:type="dxa"/>
            <w:vAlign w:val="center"/>
          </w:tcPr>
          <w:p w14:paraId="3D0A0240" w14:textId="71FB1657" w:rsidR="00220FFB" w:rsidRPr="00220FFB" w:rsidRDefault="00220FFB" w:rsidP="00B739E1">
            <w:pPr>
              <w:pStyle w:val="TMGTableText"/>
              <w:ind w:left="0" w:right="144"/>
              <w:jc w:val="right"/>
              <w:rPr>
                <w:b/>
                <w:bCs/>
              </w:rPr>
            </w:pPr>
            <w:r w:rsidRPr="0008619D">
              <w:rPr>
                <w:rFonts w:eastAsiaTheme="minorEastAsia"/>
                <w:b/>
                <w:bCs/>
              </w:rPr>
              <w:t>18</w:t>
            </w:r>
          </w:p>
        </w:tc>
        <w:tc>
          <w:tcPr>
            <w:tcW w:w="1440" w:type="dxa"/>
            <w:vAlign w:val="center"/>
          </w:tcPr>
          <w:p w14:paraId="440537FA" w14:textId="4894FD9E" w:rsidR="00220FFB" w:rsidRPr="004859C8" w:rsidRDefault="00220FFB" w:rsidP="00B739E1">
            <w:pPr>
              <w:pStyle w:val="TMGTableText"/>
              <w:jc w:val="center"/>
            </w:pPr>
            <w:r w:rsidRPr="00877387">
              <w:rPr>
                <w:rFonts w:eastAsiaTheme="minorEastAsia"/>
              </w:rPr>
              <w:t>42-45</w:t>
            </w:r>
          </w:p>
        </w:tc>
        <w:tc>
          <w:tcPr>
            <w:tcW w:w="810" w:type="dxa"/>
            <w:vAlign w:val="center"/>
          </w:tcPr>
          <w:p w14:paraId="17414CC9" w14:textId="16D2738A" w:rsidR="00220FFB" w:rsidRPr="004859C8" w:rsidRDefault="00220FFB" w:rsidP="00B739E1">
            <w:pPr>
              <w:pStyle w:val="TMGTableText"/>
              <w:jc w:val="center"/>
            </w:pPr>
            <w:r w:rsidRPr="00877387">
              <w:rPr>
                <w:rFonts w:eastAsiaTheme="minorEastAsia"/>
              </w:rPr>
              <w:t>4</w:t>
            </w:r>
          </w:p>
        </w:tc>
        <w:tc>
          <w:tcPr>
            <w:tcW w:w="4050" w:type="dxa"/>
            <w:vAlign w:val="center"/>
          </w:tcPr>
          <w:p w14:paraId="3F2B8220" w14:textId="22A72025" w:rsidR="00220FFB" w:rsidRPr="004859C8" w:rsidRDefault="00220FFB" w:rsidP="00B739E1">
            <w:pPr>
              <w:pStyle w:val="TMGTableText"/>
            </w:pPr>
            <w:r w:rsidRPr="00877387">
              <w:rPr>
                <w:rFonts w:eastAsiaTheme="minorEastAsia"/>
              </w:rPr>
              <w:t>Total Vehicle Length (bumper to bumper) (TVL)</w:t>
            </w:r>
          </w:p>
        </w:tc>
        <w:tc>
          <w:tcPr>
            <w:tcW w:w="1260" w:type="dxa"/>
            <w:vAlign w:val="center"/>
          </w:tcPr>
          <w:p w14:paraId="032BEDEE" w14:textId="0088E8F6" w:rsidR="00220FFB" w:rsidRPr="004859C8" w:rsidRDefault="00220FFB" w:rsidP="004605FE">
            <w:pPr>
              <w:pStyle w:val="TMGTableText"/>
              <w:jc w:val="center"/>
            </w:pPr>
            <w:r w:rsidRPr="00C26BD2">
              <w:t>Integer</w:t>
            </w:r>
          </w:p>
        </w:tc>
        <w:tc>
          <w:tcPr>
            <w:tcW w:w="1175" w:type="dxa"/>
            <w:vAlign w:val="center"/>
          </w:tcPr>
          <w:p w14:paraId="475370F1" w14:textId="1F5DDDB7" w:rsidR="00220FFB" w:rsidRPr="00C251E9" w:rsidRDefault="00220FFB" w:rsidP="004605FE">
            <w:pPr>
              <w:pStyle w:val="TMGTableText"/>
              <w:jc w:val="center"/>
            </w:pPr>
            <w:r w:rsidRPr="00877387">
              <w:rPr>
                <w:rFonts w:eastAsiaTheme="minorEastAsia"/>
              </w:rPr>
              <w:t>O</w:t>
            </w:r>
            <w:r>
              <w:rPr>
                <w:rFonts w:eastAsiaTheme="minorEastAsia"/>
              </w:rPr>
              <w:t>ptional</w:t>
            </w:r>
          </w:p>
        </w:tc>
      </w:tr>
      <w:tr w:rsidR="00220FFB" w14:paraId="3967ED3C" w14:textId="77777777" w:rsidTr="004605FE">
        <w:trPr>
          <w:jc w:val="center"/>
        </w:trPr>
        <w:tc>
          <w:tcPr>
            <w:tcW w:w="625" w:type="dxa"/>
            <w:vAlign w:val="center"/>
          </w:tcPr>
          <w:p w14:paraId="61AA83C1" w14:textId="6F0F7FBC" w:rsidR="00220FFB" w:rsidRPr="00220FFB" w:rsidRDefault="00220FFB" w:rsidP="00B739E1">
            <w:pPr>
              <w:pStyle w:val="TMGTableText"/>
              <w:ind w:left="0" w:right="144"/>
              <w:jc w:val="right"/>
              <w:rPr>
                <w:b/>
                <w:bCs/>
              </w:rPr>
            </w:pPr>
            <w:r w:rsidRPr="0008619D">
              <w:rPr>
                <w:rFonts w:eastAsiaTheme="minorEastAsia"/>
                <w:b/>
                <w:bCs/>
              </w:rPr>
              <w:t>19</w:t>
            </w:r>
          </w:p>
        </w:tc>
        <w:tc>
          <w:tcPr>
            <w:tcW w:w="1440" w:type="dxa"/>
            <w:vAlign w:val="center"/>
          </w:tcPr>
          <w:p w14:paraId="658D796C" w14:textId="40A434DD" w:rsidR="00220FFB" w:rsidRPr="004859C8" w:rsidRDefault="00220FFB" w:rsidP="00B739E1">
            <w:pPr>
              <w:pStyle w:val="TMGTableText"/>
              <w:jc w:val="center"/>
            </w:pPr>
            <w:r w:rsidRPr="00877387">
              <w:rPr>
                <w:rFonts w:eastAsiaTheme="minorEastAsia"/>
              </w:rPr>
              <w:t>46-49</w:t>
            </w:r>
          </w:p>
        </w:tc>
        <w:tc>
          <w:tcPr>
            <w:tcW w:w="810" w:type="dxa"/>
            <w:vAlign w:val="center"/>
          </w:tcPr>
          <w:p w14:paraId="7F781D2A" w14:textId="768CD12F" w:rsidR="00220FFB" w:rsidRPr="004859C8" w:rsidRDefault="00220FFB" w:rsidP="00B739E1">
            <w:pPr>
              <w:pStyle w:val="TMGTableText"/>
              <w:jc w:val="center"/>
            </w:pPr>
            <w:r w:rsidRPr="00877387">
              <w:rPr>
                <w:rFonts w:eastAsiaTheme="minorEastAsia"/>
              </w:rPr>
              <w:t>4</w:t>
            </w:r>
          </w:p>
        </w:tc>
        <w:tc>
          <w:tcPr>
            <w:tcW w:w="4050" w:type="dxa"/>
          </w:tcPr>
          <w:p w14:paraId="3E03DAE8" w14:textId="1341DC2E" w:rsidR="00220FFB" w:rsidRPr="004859C8" w:rsidRDefault="00220FFB" w:rsidP="00220FFB">
            <w:pPr>
              <w:pStyle w:val="TMGTableText"/>
            </w:pPr>
            <w:r w:rsidRPr="00877387">
              <w:rPr>
                <w:rFonts w:eastAsiaTheme="minorEastAsia"/>
              </w:rPr>
              <w:t>Axles 1-2 Spacing (ASP1)</w:t>
            </w:r>
          </w:p>
        </w:tc>
        <w:tc>
          <w:tcPr>
            <w:tcW w:w="1260" w:type="dxa"/>
            <w:vAlign w:val="center"/>
          </w:tcPr>
          <w:p w14:paraId="34F1B97E" w14:textId="60A89DF6" w:rsidR="00220FFB" w:rsidRPr="004859C8" w:rsidRDefault="00220FFB" w:rsidP="004605FE">
            <w:pPr>
              <w:pStyle w:val="TMGTableText"/>
              <w:jc w:val="center"/>
            </w:pPr>
            <w:r w:rsidRPr="00C26BD2">
              <w:t>Integer</w:t>
            </w:r>
          </w:p>
        </w:tc>
        <w:tc>
          <w:tcPr>
            <w:tcW w:w="1175" w:type="dxa"/>
            <w:vAlign w:val="center"/>
          </w:tcPr>
          <w:p w14:paraId="3865EDFE" w14:textId="3FC0CA9F" w:rsidR="00220FFB" w:rsidRPr="00C251E9" w:rsidRDefault="00220FFB" w:rsidP="004605FE">
            <w:pPr>
              <w:pStyle w:val="TMGTableText"/>
              <w:jc w:val="center"/>
            </w:pPr>
            <w:r>
              <w:rPr>
                <w:rFonts w:eastAsiaTheme="minorEastAsia"/>
              </w:rPr>
              <w:t>Required</w:t>
            </w:r>
          </w:p>
        </w:tc>
      </w:tr>
      <w:tr w:rsidR="00220FFB" w14:paraId="3E12E3FB" w14:textId="77777777" w:rsidTr="004605FE">
        <w:trPr>
          <w:jc w:val="center"/>
        </w:trPr>
        <w:tc>
          <w:tcPr>
            <w:tcW w:w="625" w:type="dxa"/>
            <w:vAlign w:val="center"/>
          </w:tcPr>
          <w:p w14:paraId="6304E6F8" w14:textId="622A10F3" w:rsidR="00220FFB" w:rsidRPr="00220FFB" w:rsidRDefault="00220FFB" w:rsidP="00B739E1">
            <w:pPr>
              <w:pStyle w:val="TMGTableText"/>
              <w:ind w:left="0" w:right="144"/>
              <w:jc w:val="right"/>
              <w:rPr>
                <w:b/>
                <w:bCs/>
              </w:rPr>
            </w:pPr>
            <w:r w:rsidRPr="0008619D">
              <w:rPr>
                <w:rFonts w:eastAsiaTheme="minorEastAsia"/>
                <w:b/>
                <w:bCs/>
              </w:rPr>
              <w:t>20</w:t>
            </w:r>
          </w:p>
        </w:tc>
        <w:tc>
          <w:tcPr>
            <w:tcW w:w="1440" w:type="dxa"/>
            <w:vAlign w:val="center"/>
          </w:tcPr>
          <w:p w14:paraId="4E1D9F92" w14:textId="02D9164B" w:rsidR="00220FFB" w:rsidRPr="004859C8" w:rsidRDefault="00220FFB" w:rsidP="00B739E1">
            <w:pPr>
              <w:pStyle w:val="TMGTableText"/>
              <w:jc w:val="center"/>
            </w:pPr>
            <w:r w:rsidRPr="00877387">
              <w:rPr>
                <w:rFonts w:eastAsiaTheme="minorEastAsia"/>
              </w:rPr>
              <w:t>50-53</w:t>
            </w:r>
          </w:p>
        </w:tc>
        <w:tc>
          <w:tcPr>
            <w:tcW w:w="810" w:type="dxa"/>
            <w:vAlign w:val="center"/>
          </w:tcPr>
          <w:p w14:paraId="617F77F5" w14:textId="5D38F0D2" w:rsidR="00220FFB" w:rsidRPr="004859C8" w:rsidRDefault="00220FFB" w:rsidP="00B739E1">
            <w:pPr>
              <w:pStyle w:val="TMGTableText"/>
              <w:jc w:val="center"/>
            </w:pPr>
            <w:r w:rsidRPr="00877387">
              <w:rPr>
                <w:rFonts w:eastAsiaTheme="minorEastAsia"/>
              </w:rPr>
              <w:t>4</w:t>
            </w:r>
          </w:p>
        </w:tc>
        <w:tc>
          <w:tcPr>
            <w:tcW w:w="4050" w:type="dxa"/>
          </w:tcPr>
          <w:p w14:paraId="7229DCA0" w14:textId="6C7B7D42" w:rsidR="00220FFB" w:rsidRPr="004859C8" w:rsidRDefault="00220FFB" w:rsidP="00220FFB">
            <w:pPr>
              <w:pStyle w:val="TMGTableText"/>
            </w:pPr>
            <w:r w:rsidRPr="00877387">
              <w:rPr>
                <w:rFonts w:eastAsiaTheme="minorEastAsia"/>
              </w:rPr>
              <w:t>Axles 2-3 Spacing (ASP2)</w:t>
            </w:r>
          </w:p>
        </w:tc>
        <w:tc>
          <w:tcPr>
            <w:tcW w:w="1260" w:type="dxa"/>
            <w:vAlign w:val="center"/>
          </w:tcPr>
          <w:p w14:paraId="4B01D22C" w14:textId="58813D11" w:rsidR="00220FFB" w:rsidRPr="004859C8" w:rsidRDefault="00220FFB" w:rsidP="004605FE">
            <w:pPr>
              <w:pStyle w:val="TMGTableText"/>
              <w:jc w:val="center"/>
            </w:pPr>
            <w:r w:rsidRPr="00C26BD2">
              <w:t>Integer</w:t>
            </w:r>
          </w:p>
        </w:tc>
        <w:tc>
          <w:tcPr>
            <w:tcW w:w="1175" w:type="dxa"/>
            <w:vAlign w:val="center"/>
          </w:tcPr>
          <w:p w14:paraId="1FE8B921" w14:textId="7110AB2F" w:rsidR="00220FFB" w:rsidRPr="00C251E9" w:rsidRDefault="00220FFB"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220FFB" w14:paraId="4A2D9B67" w14:textId="77777777" w:rsidTr="004605FE">
        <w:trPr>
          <w:jc w:val="center"/>
        </w:trPr>
        <w:tc>
          <w:tcPr>
            <w:tcW w:w="625" w:type="dxa"/>
            <w:vAlign w:val="center"/>
          </w:tcPr>
          <w:p w14:paraId="75C0E87A" w14:textId="4E2C7012" w:rsidR="00220FFB" w:rsidRPr="00220FFB" w:rsidRDefault="00220FFB" w:rsidP="00B739E1">
            <w:pPr>
              <w:pStyle w:val="TMGTableText"/>
              <w:ind w:left="0" w:right="144"/>
              <w:jc w:val="right"/>
              <w:rPr>
                <w:b/>
                <w:bCs/>
              </w:rPr>
            </w:pPr>
            <w:r w:rsidRPr="0008619D">
              <w:rPr>
                <w:rFonts w:eastAsiaTheme="minorEastAsia"/>
                <w:b/>
                <w:bCs/>
              </w:rPr>
              <w:t>21</w:t>
            </w:r>
          </w:p>
        </w:tc>
        <w:tc>
          <w:tcPr>
            <w:tcW w:w="1440" w:type="dxa"/>
            <w:vAlign w:val="center"/>
          </w:tcPr>
          <w:p w14:paraId="04A3776D" w14:textId="19D43064" w:rsidR="00220FFB" w:rsidRPr="004859C8" w:rsidRDefault="00220FFB" w:rsidP="00B739E1">
            <w:pPr>
              <w:pStyle w:val="TMGTableText"/>
              <w:jc w:val="center"/>
            </w:pPr>
            <w:r w:rsidRPr="00877387">
              <w:rPr>
                <w:rFonts w:eastAsiaTheme="minorEastAsia"/>
              </w:rPr>
              <w:t>54-57</w:t>
            </w:r>
          </w:p>
        </w:tc>
        <w:tc>
          <w:tcPr>
            <w:tcW w:w="810" w:type="dxa"/>
            <w:vAlign w:val="center"/>
          </w:tcPr>
          <w:p w14:paraId="0E2941AE" w14:textId="7C513B99" w:rsidR="00220FFB" w:rsidRPr="004859C8" w:rsidRDefault="00220FFB" w:rsidP="00B739E1">
            <w:pPr>
              <w:pStyle w:val="TMGTableText"/>
              <w:jc w:val="center"/>
            </w:pPr>
            <w:r w:rsidRPr="00877387">
              <w:rPr>
                <w:rFonts w:eastAsiaTheme="minorEastAsia"/>
              </w:rPr>
              <w:t>4</w:t>
            </w:r>
          </w:p>
        </w:tc>
        <w:tc>
          <w:tcPr>
            <w:tcW w:w="4050" w:type="dxa"/>
          </w:tcPr>
          <w:p w14:paraId="5FC962B6" w14:textId="53686387" w:rsidR="00220FFB" w:rsidRPr="004859C8" w:rsidRDefault="00220FFB" w:rsidP="00220FFB">
            <w:pPr>
              <w:pStyle w:val="TMGTableText"/>
            </w:pPr>
            <w:r w:rsidRPr="00877387">
              <w:rPr>
                <w:rFonts w:eastAsiaTheme="minorEastAsia"/>
              </w:rPr>
              <w:t>Axles 3-4 Spacing (ASP3)</w:t>
            </w:r>
          </w:p>
        </w:tc>
        <w:tc>
          <w:tcPr>
            <w:tcW w:w="1260" w:type="dxa"/>
            <w:vAlign w:val="center"/>
          </w:tcPr>
          <w:p w14:paraId="4BDCCA4A" w14:textId="66BF1120" w:rsidR="00220FFB" w:rsidRPr="004859C8" w:rsidRDefault="00220FFB" w:rsidP="004605FE">
            <w:pPr>
              <w:pStyle w:val="TMGTableText"/>
              <w:jc w:val="center"/>
            </w:pPr>
            <w:r w:rsidRPr="00C26BD2">
              <w:t>Integer</w:t>
            </w:r>
          </w:p>
        </w:tc>
        <w:tc>
          <w:tcPr>
            <w:tcW w:w="1175" w:type="dxa"/>
            <w:vAlign w:val="center"/>
          </w:tcPr>
          <w:p w14:paraId="7049617B" w14:textId="4B00E5B8" w:rsidR="00220FFB" w:rsidRPr="00C251E9" w:rsidRDefault="00220FFB"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220FFB" w14:paraId="4DD67919" w14:textId="77777777" w:rsidTr="004605FE">
        <w:trPr>
          <w:jc w:val="center"/>
        </w:trPr>
        <w:tc>
          <w:tcPr>
            <w:tcW w:w="625" w:type="dxa"/>
            <w:vAlign w:val="center"/>
          </w:tcPr>
          <w:p w14:paraId="52AF91AA" w14:textId="7C79AFAA" w:rsidR="00220FFB" w:rsidRPr="00220FFB" w:rsidRDefault="00220FFB" w:rsidP="00B739E1">
            <w:pPr>
              <w:pStyle w:val="TMGTableText"/>
              <w:ind w:left="0" w:right="144"/>
              <w:jc w:val="right"/>
              <w:rPr>
                <w:b/>
                <w:bCs/>
              </w:rPr>
            </w:pPr>
            <w:r w:rsidRPr="0008619D">
              <w:rPr>
                <w:rFonts w:eastAsiaTheme="minorEastAsia"/>
                <w:b/>
                <w:bCs/>
              </w:rPr>
              <w:t>22</w:t>
            </w:r>
          </w:p>
        </w:tc>
        <w:tc>
          <w:tcPr>
            <w:tcW w:w="1440" w:type="dxa"/>
            <w:vAlign w:val="center"/>
          </w:tcPr>
          <w:p w14:paraId="3473F908" w14:textId="6354F535" w:rsidR="00220FFB" w:rsidRPr="004859C8" w:rsidRDefault="00220FFB" w:rsidP="00B739E1">
            <w:pPr>
              <w:pStyle w:val="TMGTableText"/>
              <w:jc w:val="center"/>
            </w:pPr>
            <w:r w:rsidRPr="00877387">
              <w:rPr>
                <w:rFonts w:eastAsiaTheme="minorEastAsia"/>
              </w:rPr>
              <w:t>58-61</w:t>
            </w:r>
          </w:p>
        </w:tc>
        <w:tc>
          <w:tcPr>
            <w:tcW w:w="810" w:type="dxa"/>
            <w:vAlign w:val="center"/>
          </w:tcPr>
          <w:p w14:paraId="60256C50" w14:textId="4D4FD42F" w:rsidR="00220FFB" w:rsidRPr="004859C8" w:rsidRDefault="00220FFB" w:rsidP="00B739E1">
            <w:pPr>
              <w:pStyle w:val="TMGTableText"/>
              <w:jc w:val="center"/>
            </w:pPr>
            <w:r w:rsidRPr="00877387">
              <w:rPr>
                <w:rFonts w:eastAsiaTheme="minorEastAsia"/>
              </w:rPr>
              <w:t>4</w:t>
            </w:r>
          </w:p>
        </w:tc>
        <w:tc>
          <w:tcPr>
            <w:tcW w:w="4050" w:type="dxa"/>
          </w:tcPr>
          <w:p w14:paraId="16B9330C" w14:textId="0A8BF86D" w:rsidR="00220FFB" w:rsidRPr="004859C8" w:rsidRDefault="00220FFB" w:rsidP="00220FFB">
            <w:pPr>
              <w:pStyle w:val="TMGTableText"/>
            </w:pPr>
            <w:r w:rsidRPr="00877387">
              <w:rPr>
                <w:rFonts w:eastAsiaTheme="minorEastAsia"/>
              </w:rPr>
              <w:t>Axles 4-5 Spacing (ASP4</w:t>
            </w:r>
            <w:r>
              <w:rPr>
                <w:rFonts w:eastAsiaTheme="minorEastAsia"/>
              </w:rPr>
              <w:t>)</w:t>
            </w:r>
          </w:p>
        </w:tc>
        <w:tc>
          <w:tcPr>
            <w:tcW w:w="1260" w:type="dxa"/>
            <w:vAlign w:val="center"/>
          </w:tcPr>
          <w:p w14:paraId="59E8221C" w14:textId="36C62FE9" w:rsidR="00220FFB" w:rsidRPr="004859C8" w:rsidRDefault="00220FFB" w:rsidP="004605FE">
            <w:pPr>
              <w:pStyle w:val="TMGTableText"/>
              <w:jc w:val="center"/>
            </w:pPr>
            <w:r w:rsidRPr="00C26BD2">
              <w:t>Integer</w:t>
            </w:r>
          </w:p>
        </w:tc>
        <w:tc>
          <w:tcPr>
            <w:tcW w:w="1175" w:type="dxa"/>
            <w:vAlign w:val="center"/>
          </w:tcPr>
          <w:p w14:paraId="39716257" w14:textId="6C28CDF7" w:rsidR="00220FFB" w:rsidRPr="00C251E9" w:rsidRDefault="00220FFB"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220FFB" w14:paraId="5E02752D" w14:textId="77777777" w:rsidTr="004605FE">
        <w:trPr>
          <w:jc w:val="center"/>
        </w:trPr>
        <w:tc>
          <w:tcPr>
            <w:tcW w:w="625" w:type="dxa"/>
            <w:vAlign w:val="center"/>
          </w:tcPr>
          <w:p w14:paraId="28EBC42C" w14:textId="74727224" w:rsidR="00220FFB" w:rsidRPr="00220FFB" w:rsidRDefault="00220FFB" w:rsidP="00B739E1">
            <w:pPr>
              <w:pStyle w:val="TMGTableText"/>
              <w:ind w:left="0" w:right="144"/>
              <w:jc w:val="right"/>
              <w:rPr>
                <w:b/>
                <w:bCs/>
              </w:rPr>
            </w:pPr>
            <w:r w:rsidRPr="0008619D">
              <w:rPr>
                <w:rFonts w:eastAsiaTheme="minorEastAsia"/>
                <w:b/>
                <w:bCs/>
              </w:rPr>
              <w:t>23</w:t>
            </w:r>
          </w:p>
        </w:tc>
        <w:tc>
          <w:tcPr>
            <w:tcW w:w="1440" w:type="dxa"/>
            <w:vAlign w:val="center"/>
          </w:tcPr>
          <w:p w14:paraId="77D19BB4" w14:textId="6591C131" w:rsidR="00220FFB" w:rsidRPr="004859C8" w:rsidRDefault="00220FFB" w:rsidP="00B739E1">
            <w:pPr>
              <w:pStyle w:val="TMGTableText"/>
              <w:jc w:val="center"/>
            </w:pPr>
            <w:r w:rsidRPr="00877387">
              <w:rPr>
                <w:rFonts w:eastAsiaTheme="minorEastAsia"/>
              </w:rPr>
              <w:t>62-65</w:t>
            </w:r>
          </w:p>
        </w:tc>
        <w:tc>
          <w:tcPr>
            <w:tcW w:w="810" w:type="dxa"/>
            <w:vAlign w:val="center"/>
          </w:tcPr>
          <w:p w14:paraId="3F4F52C9" w14:textId="23AD6738" w:rsidR="00220FFB" w:rsidRPr="004859C8" w:rsidRDefault="00220FFB" w:rsidP="00B739E1">
            <w:pPr>
              <w:pStyle w:val="TMGTableText"/>
              <w:jc w:val="center"/>
            </w:pPr>
            <w:r w:rsidRPr="00877387">
              <w:rPr>
                <w:rFonts w:eastAsiaTheme="minorEastAsia"/>
              </w:rPr>
              <w:t>4</w:t>
            </w:r>
          </w:p>
        </w:tc>
        <w:tc>
          <w:tcPr>
            <w:tcW w:w="4050" w:type="dxa"/>
          </w:tcPr>
          <w:p w14:paraId="6127AF60" w14:textId="4E5D90D5" w:rsidR="00220FFB" w:rsidRPr="004859C8" w:rsidRDefault="00220FFB" w:rsidP="00220FFB">
            <w:pPr>
              <w:pStyle w:val="TMGTableText"/>
            </w:pPr>
            <w:r w:rsidRPr="00877387">
              <w:rPr>
                <w:rFonts w:eastAsiaTheme="minorEastAsia"/>
              </w:rPr>
              <w:t>Axles 5-6 Spacing (ASP5)</w:t>
            </w:r>
          </w:p>
        </w:tc>
        <w:tc>
          <w:tcPr>
            <w:tcW w:w="1260" w:type="dxa"/>
            <w:vAlign w:val="center"/>
          </w:tcPr>
          <w:p w14:paraId="4A7FE538" w14:textId="768A0BC6" w:rsidR="00220FFB" w:rsidRPr="004859C8" w:rsidRDefault="00220FFB" w:rsidP="004605FE">
            <w:pPr>
              <w:pStyle w:val="TMGTableText"/>
              <w:jc w:val="center"/>
            </w:pPr>
            <w:r w:rsidRPr="00C26BD2">
              <w:t>Integer</w:t>
            </w:r>
          </w:p>
        </w:tc>
        <w:tc>
          <w:tcPr>
            <w:tcW w:w="1175" w:type="dxa"/>
            <w:vAlign w:val="center"/>
          </w:tcPr>
          <w:p w14:paraId="27896C0A" w14:textId="28F2A750" w:rsidR="00220FFB" w:rsidRPr="00C251E9" w:rsidRDefault="00220FFB"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220FFB" w14:paraId="1FB7CC5E" w14:textId="77777777" w:rsidTr="004605FE">
        <w:trPr>
          <w:jc w:val="center"/>
        </w:trPr>
        <w:tc>
          <w:tcPr>
            <w:tcW w:w="625" w:type="dxa"/>
            <w:vAlign w:val="center"/>
          </w:tcPr>
          <w:p w14:paraId="50F80B9C" w14:textId="00096FA0" w:rsidR="00220FFB" w:rsidRPr="00220FFB" w:rsidRDefault="00220FFB" w:rsidP="00B739E1">
            <w:pPr>
              <w:pStyle w:val="TMGTableText"/>
              <w:ind w:left="0" w:right="144"/>
              <w:jc w:val="right"/>
              <w:rPr>
                <w:b/>
                <w:bCs/>
              </w:rPr>
            </w:pPr>
            <w:r w:rsidRPr="0008619D">
              <w:rPr>
                <w:rFonts w:eastAsiaTheme="minorEastAsia"/>
                <w:b/>
                <w:bCs/>
              </w:rPr>
              <w:t>24</w:t>
            </w:r>
          </w:p>
        </w:tc>
        <w:tc>
          <w:tcPr>
            <w:tcW w:w="1440" w:type="dxa"/>
            <w:vAlign w:val="center"/>
          </w:tcPr>
          <w:p w14:paraId="56E24E44" w14:textId="050BEC26" w:rsidR="00220FFB" w:rsidRPr="004859C8" w:rsidRDefault="00220FFB" w:rsidP="00B739E1">
            <w:pPr>
              <w:pStyle w:val="TMGTableText"/>
              <w:jc w:val="center"/>
            </w:pPr>
            <w:r w:rsidRPr="00877387">
              <w:rPr>
                <w:rFonts w:eastAsiaTheme="minorEastAsia"/>
              </w:rPr>
              <w:t>66-69</w:t>
            </w:r>
          </w:p>
        </w:tc>
        <w:tc>
          <w:tcPr>
            <w:tcW w:w="810" w:type="dxa"/>
            <w:vAlign w:val="center"/>
          </w:tcPr>
          <w:p w14:paraId="42E16470" w14:textId="356F28ED" w:rsidR="00220FFB" w:rsidRPr="004859C8" w:rsidRDefault="00220FFB" w:rsidP="00B739E1">
            <w:pPr>
              <w:pStyle w:val="TMGTableText"/>
              <w:jc w:val="center"/>
            </w:pPr>
            <w:r w:rsidRPr="00877387">
              <w:rPr>
                <w:rFonts w:eastAsiaTheme="minorEastAsia"/>
              </w:rPr>
              <w:t>4</w:t>
            </w:r>
          </w:p>
        </w:tc>
        <w:tc>
          <w:tcPr>
            <w:tcW w:w="4050" w:type="dxa"/>
          </w:tcPr>
          <w:p w14:paraId="5BD6FF71" w14:textId="0481D94C" w:rsidR="00220FFB" w:rsidRPr="004859C8" w:rsidRDefault="00220FFB" w:rsidP="00220FFB">
            <w:pPr>
              <w:pStyle w:val="TMGTableText"/>
            </w:pPr>
            <w:r w:rsidRPr="00877387">
              <w:rPr>
                <w:rFonts w:eastAsiaTheme="minorEastAsia"/>
              </w:rPr>
              <w:t>Axles 6-7 Spacing (ASP6)</w:t>
            </w:r>
          </w:p>
        </w:tc>
        <w:tc>
          <w:tcPr>
            <w:tcW w:w="1260" w:type="dxa"/>
            <w:vAlign w:val="center"/>
          </w:tcPr>
          <w:p w14:paraId="62127B53" w14:textId="0479E7AB" w:rsidR="00220FFB" w:rsidRPr="004859C8" w:rsidRDefault="00220FFB" w:rsidP="004605FE">
            <w:pPr>
              <w:pStyle w:val="TMGTableText"/>
              <w:jc w:val="center"/>
            </w:pPr>
            <w:r w:rsidRPr="00C26BD2">
              <w:t>Integer</w:t>
            </w:r>
          </w:p>
        </w:tc>
        <w:tc>
          <w:tcPr>
            <w:tcW w:w="1175" w:type="dxa"/>
            <w:vAlign w:val="center"/>
          </w:tcPr>
          <w:p w14:paraId="7A1200DB" w14:textId="53B9414B" w:rsidR="00220FFB" w:rsidRPr="00C251E9" w:rsidRDefault="00220FFB"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220FFB" w14:paraId="236AA5BA" w14:textId="77777777" w:rsidTr="004605FE">
        <w:trPr>
          <w:jc w:val="center"/>
        </w:trPr>
        <w:tc>
          <w:tcPr>
            <w:tcW w:w="625" w:type="dxa"/>
            <w:vAlign w:val="center"/>
          </w:tcPr>
          <w:p w14:paraId="0C92FF8A" w14:textId="050AC09A" w:rsidR="00220FFB" w:rsidRPr="00220FFB" w:rsidRDefault="00220FFB" w:rsidP="00B739E1">
            <w:pPr>
              <w:pStyle w:val="TMGTableText"/>
              <w:ind w:left="0" w:right="144"/>
              <w:jc w:val="right"/>
              <w:rPr>
                <w:b/>
                <w:bCs/>
              </w:rPr>
            </w:pPr>
            <w:r w:rsidRPr="0008619D">
              <w:rPr>
                <w:rFonts w:eastAsiaTheme="minorEastAsia"/>
                <w:b/>
                <w:bCs/>
              </w:rPr>
              <w:t>25</w:t>
            </w:r>
          </w:p>
        </w:tc>
        <w:tc>
          <w:tcPr>
            <w:tcW w:w="1440" w:type="dxa"/>
            <w:vAlign w:val="center"/>
          </w:tcPr>
          <w:p w14:paraId="7E6215D7" w14:textId="088B8C12" w:rsidR="00220FFB" w:rsidRPr="004859C8" w:rsidRDefault="00220FFB" w:rsidP="00B739E1">
            <w:pPr>
              <w:pStyle w:val="TMGTableText"/>
              <w:jc w:val="center"/>
            </w:pPr>
            <w:r w:rsidRPr="00877387">
              <w:rPr>
                <w:rFonts w:eastAsiaTheme="minorEastAsia"/>
              </w:rPr>
              <w:t>70-73</w:t>
            </w:r>
          </w:p>
        </w:tc>
        <w:tc>
          <w:tcPr>
            <w:tcW w:w="810" w:type="dxa"/>
            <w:vAlign w:val="center"/>
          </w:tcPr>
          <w:p w14:paraId="13ECC89A" w14:textId="6C8943E3" w:rsidR="00220FFB" w:rsidRPr="004859C8" w:rsidRDefault="00220FFB" w:rsidP="00B739E1">
            <w:pPr>
              <w:pStyle w:val="TMGTableText"/>
              <w:jc w:val="center"/>
            </w:pPr>
            <w:r w:rsidRPr="00877387">
              <w:rPr>
                <w:rFonts w:eastAsiaTheme="minorEastAsia"/>
              </w:rPr>
              <w:t>4</w:t>
            </w:r>
          </w:p>
        </w:tc>
        <w:tc>
          <w:tcPr>
            <w:tcW w:w="4050" w:type="dxa"/>
          </w:tcPr>
          <w:p w14:paraId="7DD87A35" w14:textId="68FE41E4" w:rsidR="00220FFB" w:rsidRPr="004859C8" w:rsidRDefault="00220FFB" w:rsidP="00220FFB">
            <w:pPr>
              <w:pStyle w:val="TMGTableText"/>
            </w:pPr>
            <w:r w:rsidRPr="00877387">
              <w:rPr>
                <w:rFonts w:eastAsiaTheme="minorEastAsia"/>
              </w:rPr>
              <w:t>Axles 7-8 Spacing (ASP7)</w:t>
            </w:r>
          </w:p>
        </w:tc>
        <w:tc>
          <w:tcPr>
            <w:tcW w:w="1260" w:type="dxa"/>
            <w:vAlign w:val="center"/>
          </w:tcPr>
          <w:p w14:paraId="74D54148" w14:textId="7D32AD5A" w:rsidR="00220FFB" w:rsidRPr="004859C8" w:rsidRDefault="00220FFB" w:rsidP="004605FE">
            <w:pPr>
              <w:pStyle w:val="TMGTableText"/>
              <w:jc w:val="center"/>
            </w:pPr>
            <w:r w:rsidRPr="00C26BD2">
              <w:t>Integer</w:t>
            </w:r>
          </w:p>
        </w:tc>
        <w:tc>
          <w:tcPr>
            <w:tcW w:w="1175" w:type="dxa"/>
            <w:vAlign w:val="center"/>
          </w:tcPr>
          <w:p w14:paraId="34365514" w14:textId="1C315A9F" w:rsidR="00220FFB" w:rsidRPr="00C251E9" w:rsidRDefault="00220FFB"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220FFB" w14:paraId="55B1C3F7" w14:textId="77777777" w:rsidTr="004605FE">
        <w:trPr>
          <w:jc w:val="center"/>
        </w:trPr>
        <w:tc>
          <w:tcPr>
            <w:tcW w:w="625" w:type="dxa"/>
            <w:vAlign w:val="center"/>
          </w:tcPr>
          <w:p w14:paraId="7C0ABF88" w14:textId="3F687B0B" w:rsidR="00220FFB" w:rsidRPr="00220FFB" w:rsidRDefault="00220FFB" w:rsidP="00B739E1">
            <w:pPr>
              <w:pStyle w:val="TMGTableText"/>
              <w:ind w:left="0" w:right="144"/>
              <w:jc w:val="right"/>
              <w:rPr>
                <w:b/>
                <w:bCs/>
              </w:rPr>
            </w:pPr>
            <w:r w:rsidRPr="0008619D">
              <w:rPr>
                <w:rFonts w:eastAsiaTheme="minorEastAsia"/>
                <w:b/>
                <w:bCs/>
              </w:rPr>
              <w:t>26</w:t>
            </w:r>
          </w:p>
        </w:tc>
        <w:tc>
          <w:tcPr>
            <w:tcW w:w="1440" w:type="dxa"/>
            <w:vAlign w:val="center"/>
          </w:tcPr>
          <w:p w14:paraId="4362BD44" w14:textId="264523D3" w:rsidR="00220FFB" w:rsidRPr="004859C8" w:rsidRDefault="00220FFB" w:rsidP="00B739E1">
            <w:pPr>
              <w:pStyle w:val="TMGTableText"/>
              <w:jc w:val="center"/>
            </w:pPr>
            <w:r w:rsidRPr="00877387">
              <w:rPr>
                <w:rFonts w:eastAsiaTheme="minorEastAsia"/>
              </w:rPr>
              <w:t>74-77</w:t>
            </w:r>
          </w:p>
        </w:tc>
        <w:tc>
          <w:tcPr>
            <w:tcW w:w="810" w:type="dxa"/>
            <w:vAlign w:val="center"/>
          </w:tcPr>
          <w:p w14:paraId="3E03B318" w14:textId="457C0C6D" w:rsidR="00220FFB" w:rsidRPr="004859C8" w:rsidRDefault="00220FFB" w:rsidP="00B739E1">
            <w:pPr>
              <w:pStyle w:val="TMGTableText"/>
              <w:jc w:val="center"/>
            </w:pPr>
            <w:r w:rsidRPr="00877387">
              <w:rPr>
                <w:rFonts w:eastAsiaTheme="minorEastAsia"/>
              </w:rPr>
              <w:t>4</w:t>
            </w:r>
          </w:p>
        </w:tc>
        <w:tc>
          <w:tcPr>
            <w:tcW w:w="4050" w:type="dxa"/>
          </w:tcPr>
          <w:p w14:paraId="2EFA6DF2" w14:textId="42F582F8" w:rsidR="00220FFB" w:rsidRPr="004859C8" w:rsidRDefault="00220FFB" w:rsidP="00220FFB">
            <w:pPr>
              <w:pStyle w:val="TMGTableText"/>
            </w:pPr>
            <w:r w:rsidRPr="00877387">
              <w:rPr>
                <w:rFonts w:eastAsiaTheme="minorEastAsia"/>
              </w:rPr>
              <w:t>Axles 8-9 Spacing (ASP8)</w:t>
            </w:r>
          </w:p>
        </w:tc>
        <w:tc>
          <w:tcPr>
            <w:tcW w:w="1260" w:type="dxa"/>
            <w:vAlign w:val="center"/>
          </w:tcPr>
          <w:p w14:paraId="5858A8AA" w14:textId="5FAE47F9" w:rsidR="00220FFB" w:rsidRPr="004859C8" w:rsidRDefault="00220FFB" w:rsidP="004605FE">
            <w:pPr>
              <w:pStyle w:val="TMGTableText"/>
              <w:jc w:val="center"/>
            </w:pPr>
            <w:r w:rsidRPr="00C26BD2">
              <w:t>Integer</w:t>
            </w:r>
          </w:p>
        </w:tc>
        <w:tc>
          <w:tcPr>
            <w:tcW w:w="1175" w:type="dxa"/>
            <w:vAlign w:val="center"/>
          </w:tcPr>
          <w:p w14:paraId="5C4B7419" w14:textId="3C0BFA2B" w:rsidR="00220FFB" w:rsidRPr="00C251E9" w:rsidRDefault="00220FFB"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220FFB" w14:paraId="685A436B" w14:textId="77777777" w:rsidTr="004605FE">
        <w:trPr>
          <w:jc w:val="center"/>
        </w:trPr>
        <w:tc>
          <w:tcPr>
            <w:tcW w:w="625" w:type="dxa"/>
            <w:vAlign w:val="center"/>
          </w:tcPr>
          <w:p w14:paraId="3240A5A3" w14:textId="32890DE0" w:rsidR="00220FFB" w:rsidRPr="00220FFB" w:rsidRDefault="00220FFB" w:rsidP="00B739E1">
            <w:pPr>
              <w:pStyle w:val="TMGTableText"/>
              <w:ind w:left="0" w:right="144"/>
              <w:jc w:val="right"/>
              <w:rPr>
                <w:b/>
                <w:bCs/>
              </w:rPr>
            </w:pPr>
            <w:r w:rsidRPr="0008619D">
              <w:rPr>
                <w:rFonts w:eastAsiaTheme="minorEastAsia"/>
                <w:b/>
                <w:bCs/>
              </w:rPr>
              <w:t>27</w:t>
            </w:r>
          </w:p>
        </w:tc>
        <w:tc>
          <w:tcPr>
            <w:tcW w:w="1440" w:type="dxa"/>
            <w:vAlign w:val="center"/>
          </w:tcPr>
          <w:p w14:paraId="751F1A61" w14:textId="4EE62470" w:rsidR="00220FFB" w:rsidRPr="004859C8" w:rsidRDefault="00220FFB" w:rsidP="00B739E1">
            <w:pPr>
              <w:pStyle w:val="TMGTableText"/>
              <w:jc w:val="center"/>
            </w:pPr>
            <w:r w:rsidRPr="00877387">
              <w:rPr>
                <w:rFonts w:eastAsiaTheme="minorEastAsia"/>
              </w:rPr>
              <w:t>78-81</w:t>
            </w:r>
          </w:p>
        </w:tc>
        <w:tc>
          <w:tcPr>
            <w:tcW w:w="810" w:type="dxa"/>
            <w:vAlign w:val="center"/>
          </w:tcPr>
          <w:p w14:paraId="4543F5F9" w14:textId="6E10C343" w:rsidR="00220FFB" w:rsidRPr="004859C8" w:rsidRDefault="00220FFB" w:rsidP="00B739E1">
            <w:pPr>
              <w:pStyle w:val="TMGTableText"/>
              <w:jc w:val="center"/>
            </w:pPr>
            <w:r w:rsidRPr="00877387">
              <w:rPr>
                <w:rFonts w:eastAsiaTheme="minorEastAsia"/>
              </w:rPr>
              <w:t>4</w:t>
            </w:r>
          </w:p>
        </w:tc>
        <w:tc>
          <w:tcPr>
            <w:tcW w:w="4050" w:type="dxa"/>
          </w:tcPr>
          <w:p w14:paraId="5B401950" w14:textId="141FD4BB" w:rsidR="00220FFB" w:rsidRPr="004859C8" w:rsidRDefault="00220FFB" w:rsidP="00220FFB">
            <w:pPr>
              <w:pStyle w:val="TMGTableText"/>
            </w:pPr>
            <w:r w:rsidRPr="00877387">
              <w:rPr>
                <w:rFonts w:eastAsiaTheme="minorEastAsia"/>
              </w:rPr>
              <w:t>Axles 9-10 Spacing (ASP9)</w:t>
            </w:r>
          </w:p>
        </w:tc>
        <w:tc>
          <w:tcPr>
            <w:tcW w:w="1260" w:type="dxa"/>
            <w:vAlign w:val="center"/>
          </w:tcPr>
          <w:p w14:paraId="4517F352" w14:textId="2430D949" w:rsidR="00220FFB" w:rsidRPr="004859C8" w:rsidRDefault="00220FFB" w:rsidP="004605FE">
            <w:pPr>
              <w:pStyle w:val="TMGTableText"/>
              <w:jc w:val="center"/>
            </w:pPr>
            <w:r w:rsidRPr="00C26BD2">
              <w:t>Integer</w:t>
            </w:r>
          </w:p>
        </w:tc>
        <w:tc>
          <w:tcPr>
            <w:tcW w:w="1175" w:type="dxa"/>
            <w:vAlign w:val="center"/>
          </w:tcPr>
          <w:p w14:paraId="42DE61C9" w14:textId="010C86B6" w:rsidR="00220FFB" w:rsidRPr="00C251E9" w:rsidRDefault="00220FFB"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220FFB" w14:paraId="33727DE4" w14:textId="77777777" w:rsidTr="004605FE">
        <w:trPr>
          <w:jc w:val="center"/>
        </w:trPr>
        <w:tc>
          <w:tcPr>
            <w:tcW w:w="625" w:type="dxa"/>
            <w:vAlign w:val="center"/>
          </w:tcPr>
          <w:p w14:paraId="1B8341BD" w14:textId="5898A8A4" w:rsidR="00220FFB" w:rsidRPr="00220FFB" w:rsidRDefault="00220FFB" w:rsidP="00B739E1">
            <w:pPr>
              <w:pStyle w:val="TMGTableText"/>
              <w:ind w:left="0" w:right="144"/>
              <w:jc w:val="right"/>
              <w:rPr>
                <w:b/>
                <w:bCs/>
              </w:rPr>
            </w:pPr>
            <w:r w:rsidRPr="0008619D">
              <w:rPr>
                <w:rFonts w:eastAsiaTheme="minorEastAsia"/>
                <w:b/>
                <w:bCs/>
              </w:rPr>
              <w:t>28</w:t>
            </w:r>
          </w:p>
        </w:tc>
        <w:tc>
          <w:tcPr>
            <w:tcW w:w="1440" w:type="dxa"/>
            <w:vAlign w:val="center"/>
          </w:tcPr>
          <w:p w14:paraId="157DC12F" w14:textId="738A8214" w:rsidR="00220FFB" w:rsidRPr="004859C8" w:rsidRDefault="00220FFB" w:rsidP="00B739E1">
            <w:pPr>
              <w:pStyle w:val="TMGTableText"/>
              <w:jc w:val="center"/>
            </w:pPr>
            <w:r w:rsidRPr="00877387">
              <w:rPr>
                <w:rFonts w:eastAsiaTheme="minorEastAsia"/>
              </w:rPr>
              <w:t>82-85</w:t>
            </w:r>
          </w:p>
        </w:tc>
        <w:tc>
          <w:tcPr>
            <w:tcW w:w="810" w:type="dxa"/>
            <w:vAlign w:val="center"/>
          </w:tcPr>
          <w:p w14:paraId="1468F388" w14:textId="23AD3127" w:rsidR="00220FFB" w:rsidRPr="004859C8" w:rsidRDefault="00220FFB" w:rsidP="00B739E1">
            <w:pPr>
              <w:pStyle w:val="TMGTableText"/>
              <w:jc w:val="center"/>
            </w:pPr>
            <w:r w:rsidRPr="00877387">
              <w:rPr>
                <w:rFonts w:eastAsiaTheme="minorEastAsia"/>
              </w:rPr>
              <w:t>4</w:t>
            </w:r>
          </w:p>
        </w:tc>
        <w:tc>
          <w:tcPr>
            <w:tcW w:w="4050" w:type="dxa"/>
          </w:tcPr>
          <w:p w14:paraId="19535883" w14:textId="4643709F" w:rsidR="00220FFB" w:rsidRPr="004859C8" w:rsidRDefault="00220FFB" w:rsidP="00220FFB">
            <w:pPr>
              <w:pStyle w:val="TMGTableText"/>
            </w:pPr>
            <w:r w:rsidRPr="00877387">
              <w:rPr>
                <w:rFonts w:eastAsiaTheme="minorEastAsia"/>
              </w:rPr>
              <w:t>Axles 10-11 Spacing (ASP10)</w:t>
            </w:r>
          </w:p>
        </w:tc>
        <w:tc>
          <w:tcPr>
            <w:tcW w:w="1260" w:type="dxa"/>
            <w:vAlign w:val="center"/>
          </w:tcPr>
          <w:p w14:paraId="2D776498" w14:textId="24445A3B" w:rsidR="00220FFB" w:rsidRPr="004859C8" w:rsidRDefault="00220FFB" w:rsidP="004605FE">
            <w:pPr>
              <w:pStyle w:val="TMGTableText"/>
              <w:jc w:val="center"/>
            </w:pPr>
            <w:r w:rsidRPr="00C26BD2">
              <w:t>Integer</w:t>
            </w:r>
          </w:p>
        </w:tc>
        <w:tc>
          <w:tcPr>
            <w:tcW w:w="1175" w:type="dxa"/>
            <w:vAlign w:val="center"/>
          </w:tcPr>
          <w:p w14:paraId="585AEE3D" w14:textId="6D46546F" w:rsidR="00220FFB" w:rsidRPr="00C251E9" w:rsidRDefault="00220FFB"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220FFB" w14:paraId="54F7E21B" w14:textId="77777777" w:rsidTr="004605FE">
        <w:trPr>
          <w:jc w:val="center"/>
        </w:trPr>
        <w:tc>
          <w:tcPr>
            <w:tcW w:w="625" w:type="dxa"/>
            <w:vAlign w:val="center"/>
          </w:tcPr>
          <w:p w14:paraId="37F09796" w14:textId="3E221FB5" w:rsidR="00220FFB" w:rsidRPr="00220FFB" w:rsidRDefault="00220FFB" w:rsidP="00B739E1">
            <w:pPr>
              <w:pStyle w:val="TMGTableText"/>
              <w:ind w:left="0" w:right="144"/>
              <w:jc w:val="right"/>
              <w:rPr>
                <w:b/>
                <w:bCs/>
              </w:rPr>
            </w:pPr>
            <w:r w:rsidRPr="0008619D">
              <w:rPr>
                <w:rFonts w:eastAsiaTheme="minorEastAsia"/>
                <w:b/>
                <w:bCs/>
              </w:rPr>
              <w:t>29</w:t>
            </w:r>
          </w:p>
        </w:tc>
        <w:tc>
          <w:tcPr>
            <w:tcW w:w="1440" w:type="dxa"/>
            <w:vAlign w:val="center"/>
          </w:tcPr>
          <w:p w14:paraId="23F437BA" w14:textId="3E27467C" w:rsidR="00220FFB" w:rsidRPr="004859C8" w:rsidRDefault="00220FFB" w:rsidP="00B739E1">
            <w:pPr>
              <w:pStyle w:val="TMGTableText"/>
              <w:jc w:val="center"/>
            </w:pPr>
            <w:r w:rsidRPr="00877387">
              <w:rPr>
                <w:rFonts w:eastAsiaTheme="minorEastAsia"/>
              </w:rPr>
              <w:t>86-89</w:t>
            </w:r>
          </w:p>
        </w:tc>
        <w:tc>
          <w:tcPr>
            <w:tcW w:w="810" w:type="dxa"/>
            <w:vAlign w:val="center"/>
          </w:tcPr>
          <w:p w14:paraId="6B0A9310" w14:textId="03C7D3D3" w:rsidR="00220FFB" w:rsidRPr="004859C8" w:rsidRDefault="00220FFB" w:rsidP="00B739E1">
            <w:pPr>
              <w:pStyle w:val="TMGTableText"/>
              <w:jc w:val="center"/>
            </w:pPr>
            <w:r w:rsidRPr="00877387">
              <w:rPr>
                <w:rFonts w:eastAsiaTheme="minorEastAsia"/>
              </w:rPr>
              <w:t>4</w:t>
            </w:r>
          </w:p>
        </w:tc>
        <w:tc>
          <w:tcPr>
            <w:tcW w:w="4050" w:type="dxa"/>
          </w:tcPr>
          <w:p w14:paraId="0FB8CB5F" w14:textId="2415F1CA" w:rsidR="00220FFB" w:rsidRPr="004859C8" w:rsidRDefault="00220FFB" w:rsidP="00220FFB">
            <w:pPr>
              <w:pStyle w:val="TMGTableText"/>
            </w:pPr>
            <w:r w:rsidRPr="00877387">
              <w:rPr>
                <w:rFonts w:eastAsiaTheme="minorEastAsia"/>
              </w:rPr>
              <w:t>Axles 11-12 Spacing (ASP11)</w:t>
            </w:r>
          </w:p>
        </w:tc>
        <w:tc>
          <w:tcPr>
            <w:tcW w:w="1260" w:type="dxa"/>
            <w:vAlign w:val="center"/>
          </w:tcPr>
          <w:p w14:paraId="3F5EA70C" w14:textId="78E98555" w:rsidR="00220FFB" w:rsidRPr="004859C8" w:rsidRDefault="00220FFB" w:rsidP="004605FE">
            <w:pPr>
              <w:pStyle w:val="TMGTableText"/>
              <w:jc w:val="center"/>
            </w:pPr>
            <w:r w:rsidRPr="00C26BD2">
              <w:t>Integer</w:t>
            </w:r>
          </w:p>
        </w:tc>
        <w:tc>
          <w:tcPr>
            <w:tcW w:w="1175" w:type="dxa"/>
            <w:vAlign w:val="center"/>
          </w:tcPr>
          <w:p w14:paraId="2D3B3F4B" w14:textId="31ACFB80" w:rsidR="00220FFB" w:rsidRPr="00C251E9" w:rsidRDefault="00220FFB"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220FFB" w14:paraId="15DC53D2" w14:textId="77777777" w:rsidTr="004605FE">
        <w:trPr>
          <w:jc w:val="center"/>
        </w:trPr>
        <w:tc>
          <w:tcPr>
            <w:tcW w:w="625" w:type="dxa"/>
            <w:vAlign w:val="center"/>
          </w:tcPr>
          <w:p w14:paraId="44AA190C" w14:textId="54392D73" w:rsidR="00220FFB" w:rsidRPr="00220FFB" w:rsidRDefault="00220FFB" w:rsidP="00B739E1">
            <w:pPr>
              <w:pStyle w:val="TMGTableText"/>
              <w:ind w:left="0" w:right="144"/>
              <w:jc w:val="right"/>
              <w:rPr>
                <w:b/>
                <w:bCs/>
              </w:rPr>
            </w:pPr>
            <w:r w:rsidRPr="0008619D">
              <w:rPr>
                <w:rFonts w:eastAsiaTheme="minorEastAsia"/>
                <w:b/>
                <w:bCs/>
              </w:rPr>
              <w:t>30+</w:t>
            </w:r>
          </w:p>
        </w:tc>
        <w:tc>
          <w:tcPr>
            <w:tcW w:w="1440" w:type="dxa"/>
            <w:vAlign w:val="center"/>
          </w:tcPr>
          <w:p w14:paraId="4C8FC922" w14:textId="30916759" w:rsidR="00220FFB" w:rsidRPr="004859C8" w:rsidRDefault="00220FFB" w:rsidP="00B739E1">
            <w:pPr>
              <w:pStyle w:val="TMGTableText"/>
              <w:jc w:val="center"/>
            </w:pPr>
            <w:r>
              <w:rPr>
                <w:rFonts w:eastAsiaTheme="minorEastAsia"/>
                <w:spacing w:val="-2"/>
              </w:rPr>
              <w:t xml:space="preserve">Use </w:t>
            </w:r>
            <w:r w:rsidRPr="00877387">
              <w:rPr>
                <w:rFonts w:eastAsiaTheme="minorEastAsia"/>
                <w:spacing w:val="-4"/>
              </w:rPr>
              <w:t>additional spacing in 4-digit increments up to 25 axles</w:t>
            </w:r>
          </w:p>
        </w:tc>
        <w:tc>
          <w:tcPr>
            <w:tcW w:w="810" w:type="dxa"/>
            <w:vAlign w:val="center"/>
          </w:tcPr>
          <w:p w14:paraId="43240D25" w14:textId="3C32FECF" w:rsidR="00220FFB" w:rsidRPr="004859C8" w:rsidRDefault="00220FFB" w:rsidP="00B739E1">
            <w:pPr>
              <w:pStyle w:val="TMGTableText"/>
            </w:pPr>
          </w:p>
        </w:tc>
        <w:tc>
          <w:tcPr>
            <w:tcW w:w="4050" w:type="dxa"/>
            <w:vAlign w:val="center"/>
          </w:tcPr>
          <w:p w14:paraId="59191E94" w14:textId="673D780A" w:rsidR="00220FFB" w:rsidRPr="004859C8" w:rsidRDefault="00220FFB" w:rsidP="00B739E1">
            <w:pPr>
              <w:pStyle w:val="TMGTableText"/>
            </w:pPr>
          </w:p>
        </w:tc>
        <w:tc>
          <w:tcPr>
            <w:tcW w:w="1260" w:type="dxa"/>
            <w:vAlign w:val="center"/>
          </w:tcPr>
          <w:p w14:paraId="33B70150" w14:textId="5536A19D" w:rsidR="00220FFB" w:rsidRPr="004859C8" w:rsidRDefault="00220FFB" w:rsidP="004605FE">
            <w:pPr>
              <w:pStyle w:val="TMGTableText"/>
              <w:jc w:val="center"/>
            </w:pPr>
            <w:r w:rsidRPr="00C26BD2">
              <w:t>Integer</w:t>
            </w:r>
          </w:p>
        </w:tc>
        <w:tc>
          <w:tcPr>
            <w:tcW w:w="1175" w:type="dxa"/>
            <w:vAlign w:val="center"/>
          </w:tcPr>
          <w:p w14:paraId="0EBA22F9" w14:textId="2BE2ED89" w:rsidR="00220FFB" w:rsidRPr="00C251E9" w:rsidRDefault="00220FFB" w:rsidP="004605FE">
            <w:pPr>
              <w:pStyle w:val="TMGTableText"/>
              <w:jc w:val="center"/>
            </w:pPr>
            <w:r>
              <w:rPr>
                <w:rFonts w:eastAsiaTheme="minorEastAsia"/>
              </w:rPr>
              <w:t>Req.</w:t>
            </w:r>
            <w:r w:rsidRPr="00877387">
              <w:rPr>
                <w:rFonts w:eastAsiaTheme="minorEastAsia"/>
              </w:rPr>
              <w:t>/O</w:t>
            </w:r>
            <w:r>
              <w:rPr>
                <w:rFonts w:eastAsiaTheme="minorEastAsia"/>
              </w:rPr>
              <w:t>pt.</w:t>
            </w:r>
          </w:p>
        </w:tc>
      </w:tr>
    </w:tbl>
    <w:p w14:paraId="632871BE" w14:textId="77777777" w:rsidR="009B7AED" w:rsidRDefault="009B7AED" w:rsidP="00220FFB">
      <w:pPr>
        <w:pStyle w:val="Source"/>
        <w:spacing w:before="60" w:after="60"/>
        <w:ind w:left="540" w:hanging="540"/>
      </w:pPr>
      <w:r>
        <w:t>Note:</w:t>
      </w:r>
      <w:r>
        <w:tab/>
        <w:t xml:space="preserve">R=Required, O=Optional, R/O=Required/Optional, </w:t>
      </w:r>
    </w:p>
    <w:p w14:paraId="21A06050" w14:textId="77777777" w:rsidR="009B7AED" w:rsidRDefault="009B7AED" w:rsidP="00220FFB">
      <w:pPr>
        <w:pStyle w:val="Source"/>
        <w:spacing w:before="60" w:after="60"/>
        <w:ind w:left="540" w:hanging="540"/>
      </w:pPr>
      <w:r>
        <w:tab/>
        <w:t xml:space="preserve">Fields designated as </w:t>
      </w:r>
      <w:r>
        <w:rPr>
          <w:rStyle w:val="Italic"/>
          <w:iCs/>
        </w:rPr>
        <w:t>Required</w:t>
      </w:r>
      <w:r>
        <w:t xml:space="preserve"> must be reported.</w:t>
      </w:r>
    </w:p>
    <w:p w14:paraId="209BB22F" w14:textId="77777777" w:rsidR="009B7AED" w:rsidRDefault="009B7AED" w:rsidP="00220FFB">
      <w:pPr>
        <w:pStyle w:val="Source"/>
        <w:spacing w:before="60" w:after="60"/>
        <w:ind w:left="540" w:hanging="540"/>
      </w:pPr>
      <w:r>
        <w:tab/>
        <w:t xml:space="preserve">Fields designated as </w:t>
      </w:r>
      <w:r>
        <w:rPr>
          <w:rStyle w:val="Italic"/>
          <w:iCs/>
        </w:rPr>
        <w:t>Optional</w:t>
      </w:r>
      <w:r>
        <w:t xml:space="preserve"> are not required to be reported.</w:t>
      </w:r>
    </w:p>
    <w:p w14:paraId="100F75BE" w14:textId="77777777" w:rsidR="009B7AED" w:rsidRDefault="009B7AED" w:rsidP="00220FFB">
      <w:pPr>
        <w:pStyle w:val="Source"/>
        <w:spacing w:before="60" w:after="60"/>
        <w:ind w:left="540" w:hanging="540"/>
      </w:pPr>
      <w:r>
        <w:tab/>
        <w:t xml:space="preserve">Fields designated as </w:t>
      </w:r>
      <w:r>
        <w:rPr>
          <w:rStyle w:val="Italic"/>
          <w:iCs/>
        </w:rPr>
        <w:t>Required/Optional</w:t>
      </w:r>
      <w:r>
        <w:t xml:space="preserve"> could be either required or optional based on values used for other related fields.</w:t>
      </w:r>
    </w:p>
    <w:p w14:paraId="2346694D" w14:textId="77777777" w:rsidR="004605FE" w:rsidRDefault="004605FE">
      <w:pPr>
        <w:widowControl/>
        <w:suppressAutoHyphens w:val="0"/>
        <w:autoSpaceDE/>
        <w:autoSpaceDN/>
        <w:adjustRightInd/>
        <w:spacing w:after="160" w:line="259" w:lineRule="auto"/>
        <w:jc w:val="left"/>
        <w:textAlignment w:val="auto"/>
        <w:rPr>
          <w:color w:val="auto"/>
        </w:rPr>
      </w:pPr>
      <w:r>
        <w:br w:type="page"/>
      </w:r>
    </w:p>
    <w:p w14:paraId="3C24A422" w14:textId="1A17EF5C" w:rsidR="009B7AED" w:rsidRPr="00460C57" w:rsidRDefault="009B7AED" w:rsidP="00A35EAF">
      <w:pPr>
        <w:pStyle w:val="BodyText"/>
      </w:pPr>
      <w:r w:rsidRPr="00877387">
        <w:lastRenderedPageBreak/>
        <w:t xml:space="preserve">The definitions of the data to be </w:t>
      </w:r>
      <w:r w:rsidRPr="00460C57">
        <w:t xml:space="preserve">contained in columns 1 – 45 for the “C” format are described </w:t>
      </w:r>
      <w:r>
        <w:t>in Section 4.7.1</w:t>
      </w:r>
      <w:r w:rsidRPr="00460C57">
        <w:t>. The data to be included in columns 46 and later are defined as follows:</w:t>
      </w:r>
    </w:p>
    <w:p w14:paraId="3CD6920B" w14:textId="77777777" w:rsidR="009B7AED" w:rsidRPr="00460C57" w:rsidRDefault="009B7AED">
      <w:pPr>
        <w:numPr>
          <w:ilvl w:val="0"/>
          <w:numId w:val="49"/>
        </w:numPr>
        <w:spacing w:after="120"/>
        <w:ind w:left="648"/>
      </w:pPr>
      <w:r w:rsidRPr="00460C57">
        <w:t xml:space="preserve">Axle 1 to 2 Spacing (Columns 46-49) – </w:t>
      </w:r>
      <w:r w:rsidRPr="00460C57">
        <w:rPr>
          <w:i/>
        </w:rPr>
        <w:t>Required for C, W, and Z record variants</w:t>
      </w:r>
    </w:p>
    <w:p w14:paraId="0EAD75C2" w14:textId="77777777" w:rsidR="009B7AED" w:rsidRPr="00460C57" w:rsidRDefault="009B7AED" w:rsidP="00083ADA">
      <w:pPr>
        <w:tabs>
          <w:tab w:val="left" w:pos="1440"/>
        </w:tabs>
        <w:spacing w:after="120"/>
        <w:ind w:left="648"/>
        <w:jc w:val="left"/>
      </w:pPr>
      <w:r w:rsidRPr="00460C57">
        <w:t xml:space="preserve">Enter the total spacing between axles 1 and 2 as a right-justified value, in units of feet. All axle spacings are reported in tenths of a foot with an implied decimal between digits 3 and 4. For example, an axle spacing of 9.6 feet would be entered as “0096.” </w:t>
      </w:r>
    </w:p>
    <w:p w14:paraId="2F8B4B13" w14:textId="77777777" w:rsidR="009B7AED" w:rsidRPr="00460C57" w:rsidRDefault="009B7AED">
      <w:pPr>
        <w:numPr>
          <w:ilvl w:val="0"/>
          <w:numId w:val="49"/>
        </w:numPr>
        <w:spacing w:after="120"/>
        <w:ind w:left="648"/>
      </w:pPr>
      <w:r w:rsidRPr="00460C57">
        <w:t xml:space="preserve">Axle 2 to 3 Spacing (Columns 50-53) – </w:t>
      </w:r>
      <w:r w:rsidRPr="00460C57">
        <w:rPr>
          <w:i/>
          <w:iCs/>
        </w:rPr>
        <w:t>Required/Optional</w:t>
      </w:r>
    </w:p>
    <w:p w14:paraId="0DCBE934" w14:textId="77777777" w:rsidR="009B7AED" w:rsidRPr="00460C57" w:rsidRDefault="009B7AED" w:rsidP="003E5501">
      <w:pPr>
        <w:tabs>
          <w:tab w:val="left" w:pos="1440"/>
        </w:tabs>
        <w:spacing w:after="120"/>
        <w:ind w:left="648"/>
      </w:pPr>
      <w:r w:rsidRPr="00460C57">
        <w:t xml:space="preserve">Enter the total spacing between axles 2 and 3 as a right-justified, value, in units of feet. </w:t>
      </w:r>
    </w:p>
    <w:p w14:paraId="62BE2670" w14:textId="77777777" w:rsidR="009B7AED" w:rsidRPr="00460C57" w:rsidRDefault="009B7AED">
      <w:pPr>
        <w:numPr>
          <w:ilvl w:val="0"/>
          <w:numId w:val="49"/>
        </w:numPr>
        <w:spacing w:after="120"/>
        <w:ind w:left="648"/>
      </w:pPr>
      <w:r w:rsidRPr="00460C57">
        <w:t xml:space="preserve">Axle 3 to 4 Spacing (Columns 54-57) – </w:t>
      </w:r>
      <w:r w:rsidRPr="00460C57">
        <w:rPr>
          <w:i/>
          <w:iCs/>
        </w:rPr>
        <w:t>Required/Optional</w:t>
      </w:r>
    </w:p>
    <w:p w14:paraId="33D57985" w14:textId="77777777" w:rsidR="009B7AED" w:rsidRPr="00460C57" w:rsidRDefault="009B7AED" w:rsidP="003E5501">
      <w:pPr>
        <w:tabs>
          <w:tab w:val="left" w:pos="1440"/>
        </w:tabs>
        <w:spacing w:after="120"/>
        <w:ind w:left="648"/>
      </w:pPr>
      <w:r w:rsidRPr="00460C57">
        <w:t xml:space="preserve">Enter the total spacing between axles 3 and 4 as a right-justified, value, in units of feet. </w:t>
      </w:r>
    </w:p>
    <w:p w14:paraId="1FA3AD33" w14:textId="77777777" w:rsidR="009B7AED" w:rsidRPr="00460C57" w:rsidRDefault="009B7AED">
      <w:pPr>
        <w:numPr>
          <w:ilvl w:val="0"/>
          <w:numId w:val="49"/>
        </w:numPr>
        <w:spacing w:after="120"/>
        <w:ind w:left="648"/>
      </w:pPr>
      <w:r w:rsidRPr="00460C57">
        <w:t>Axle 4 to 5 Spacing (Columns 58-61) – Required/Optional</w:t>
      </w:r>
    </w:p>
    <w:p w14:paraId="653834BF" w14:textId="77777777" w:rsidR="009B7AED" w:rsidRPr="00460C57" w:rsidRDefault="009B7AED" w:rsidP="003E5501">
      <w:pPr>
        <w:tabs>
          <w:tab w:val="left" w:pos="1440"/>
        </w:tabs>
        <w:spacing w:after="120"/>
        <w:ind w:left="648"/>
      </w:pPr>
      <w:r w:rsidRPr="00460C57">
        <w:t xml:space="preserve">Enter the total spacing between axles 4 and 5 as a right-justified, value, in units of feet. </w:t>
      </w:r>
    </w:p>
    <w:p w14:paraId="384C7E92" w14:textId="77777777" w:rsidR="009B7AED" w:rsidRPr="00460C57" w:rsidRDefault="009B7AED">
      <w:pPr>
        <w:numPr>
          <w:ilvl w:val="0"/>
          <w:numId w:val="49"/>
        </w:numPr>
        <w:spacing w:after="120"/>
        <w:ind w:left="648"/>
      </w:pPr>
      <w:r w:rsidRPr="00460C57">
        <w:t xml:space="preserve">Axle 5 to 6 Spacing (Columns 62-65) – </w:t>
      </w:r>
      <w:r w:rsidRPr="00460C57">
        <w:rPr>
          <w:i/>
          <w:iCs/>
        </w:rPr>
        <w:t>Required/Optional</w:t>
      </w:r>
    </w:p>
    <w:p w14:paraId="69A07231" w14:textId="77777777" w:rsidR="009B7AED" w:rsidRPr="00460C57" w:rsidRDefault="009B7AED" w:rsidP="003E5501">
      <w:pPr>
        <w:tabs>
          <w:tab w:val="left" w:pos="1440"/>
        </w:tabs>
        <w:spacing w:after="120"/>
        <w:ind w:left="648"/>
      </w:pPr>
      <w:r w:rsidRPr="00460C57">
        <w:t xml:space="preserve">Enter the total spacing between axles 5 and 6 as a right-justified, value, in units of feet. </w:t>
      </w:r>
    </w:p>
    <w:p w14:paraId="4B49A2C2" w14:textId="77777777" w:rsidR="009B7AED" w:rsidRPr="00460C57" w:rsidRDefault="009B7AED">
      <w:pPr>
        <w:numPr>
          <w:ilvl w:val="0"/>
          <w:numId w:val="49"/>
        </w:numPr>
        <w:spacing w:after="120"/>
        <w:ind w:left="648"/>
      </w:pPr>
      <w:r w:rsidRPr="00460C57">
        <w:t xml:space="preserve">Axle 6 to 7 Spacing (Columns 66-69) – </w:t>
      </w:r>
      <w:r w:rsidRPr="00460C57">
        <w:rPr>
          <w:i/>
          <w:iCs/>
        </w:rPr>
        <w:t>Required/Optional</w:t>
      </w:r>
    </w:p>
    <w:p w14:paraId="62F5C7F6" w14:textId="77777777" w:rsidR="009B7AED" w:rsidRPr="00460C57" w:rsidRDefault="009B7AED" w:rsidP="003E5501">
      <w:pPr>
        <w:tabs>
          <w:tab w:val="left" w:pos="1440"/>
        </w:tabs>
        <w:spacing w:after="120"/>
        <w:ind w:left="648"/>
      </w:pPr>
      <w:r w:rsidRPr="00460C57">
        <w:t xml:space="preserve">Enter the total spacing between axles 6 and 7 as a right-justified, value, in units of feet. </w:t>
      </w:r>
    </w:p>
    <w:p w14:paraId="0A052042" w14:textId="77777777" w:rsidR="009B7AED" w:rsidRPr="00460C57" w:rsidRDefault="009B7AED">
      <w:pPr>
        <w:numPr>
          <w:ilvl w:val="0"/>
          <w:numId w:val="49"/>
        </w:numPr>
        <w:spacing w:after="120"/>
        <w:ind w:left="648"/>
      </w:pPr>
      <w:r w:rsidRPr="00460C57">
        <w:t xml:space="preserve">Axle 7 to 8 Spacing (Columns 70-73) – </w:t>
      </w:r>
      <w:r w:rsidRPr="00460C57">
        <w:rPr>
          <w:i/>
          <w:iCs/>
        </w:rPr>
        <w:t>Required/Optional</w:t>
      </w:r>
    </w:p>
    <w:p w14:paraId="01B32912" w14:textId="77777777" w:rsidR="009B7AED" w:rsidRPr="00460C57" w:rsidRDefault="009B7AED" w:rsidP="003E5501">
      <w:pPr>
        <w:tabs>
          <w:tab w:val="left" w:pos="1440"/>
        </w:tabs>
        <w:spacing w:after="120"/>
        <w:ind w:left="648"/>
      </w:pPr>
      <w:r w:rsidRPr="00460C57">
        <w:t xml:space="preserve">Enter the total spacing between axles 7 and 8 as a right-justified, value, in units of feet. </w:t>
      </w:r>
    </w:p>
    <w:p w14:paraId="513B47A4" w14:textId="77777777" w:rsidR="009B7AED" w:rsidRPr="00460C57" w:rsidRDefault="009B7AED">
      <w:pPr>
        <w:numPr>
          <w:ilvl w:val="0"/>
          <w:numId w:val="49"/>
        </w:numPr>
        <w:spacing w:after="120"/>
        <w:ind w:left="648"/>
      </w:pPr>
      <w:r w:rsidRPr="00460C57">
        <w:t>Axle 8 to 9 Spacing (Columns 74-77) –</w:t>
      </w:r>
      <w:r w:rsidRPr="00460C57">
        <w:rPr>
          <w:i/>
          <w:iCs/>
        </w:rPr>
        <w:t xml:space="preserve"> Required/Optional</w:t>
      </w:r>
    </w:p>
    <w:p w14:paraId="6A384FF2" w14:textId="77777777" w:rsidR="009B7AED" w:rsidRPr="00460C57" w:rsidRDefault="009B7AED" w:rsidP="003E5501">
      <w:pPr>
        <w:tabs>
          <w:tab w:val="left" w:pos="1440"/>
        </w:tabs>
        <w:spacing w:after="120"/>
        <w:ind w:left="648"/>
      </w:pPr>
      <w:r w:rsidRPr="00460C57">
        <w:t xml:space="preserve">Enter the total spacing between axles 8 and 9 as a right-justified, value, in units of feet. </w:t>
      </w:r>
    </w:p>
    <w:p w14:paraId="0D5FE0F1" w14:textId="77777777" w:rsidR="009B7AED" w:rsidRPr="00460C57" w:rsidRDefault="009B7AED">
      <w:pPr>
        <w:numPr>
          <w:ilvl w:val="0"/>
          <w:numId w:val="49"/>
        </w:numPr>
        <w:spacing w:after="120"/>
        <w:ind w:left="648"/>
      </w:pPr>
      <w:r w:rsidRPr="00460C57">
        <w:t xml:space="preserve">Axle 9 to 10 Spacing (Columns 78-81) – </w:t>
      </w:r>
      <w:r w:rsidRPr="00460C57">
        <w:rPr>
          <w:i/>
          <w:iCs/>
        </w:rPr>
        <w:t>Required/Optional</w:t>
      </w:r>
    </w:p>
    <w:p w14:paraId="324531DA" w14:textId="77777777" w:rsidR="009B7AED" w:rsidRPr="00460C57" w:rsidRDefault="009B7AED" w:rsidP="003E5501">
      <w:pPr>
        <w:tabs>
          <w:tab w:val="left" w:pos="1440"/>
        </w:tabs>
        <w:spacing w:after="120"/>
        <w:ind w:left="648"/>
      </w:pPr>
      <w:r w:rsidRPr="00460C57">
        <w:t xml:space="preserve">Enter the total spacing between axles 9 and 10 as a right-justified, value, in units of feet. </w:t>
      </w:r>
    </w:p>
    <w:p w14:paraId="239649CB" w14:textId="77777777" w:rsidR="009B7AED" w:rsidRPr="00460C57" w:rsidRDefault="009B7AED">
      <w:pPr>
        <w:numPr>
          <w:ilvl w:val="0"/>
          <w:numId w:val="49"/>
        </w:numPr>
        <w:spacing w:after="120"/>
        <w:ind w:left="648"/>
      </w:pPr>
      <w:r w:rsidRPr="00460C57">
        <w:t xml:space="preserve">Axle 10 to 11 Spacing (Columns 82-85) – </w:t>
      </w:r>
      <w:r w:rsidRPr="00460C57">
        <w:rPr>
          <w:i/>
          <w:iCs/>
        </w:rPr>
        <w:t>Required/Optional</w:t>
      </w:r>
    </w:p>
    <w:p w14:paraId="5799C32B" w14:textId="77777777" w:rsidR="009B7AED" w:rsidRPr="00460C57" w:rsidRDefault="009B7AED" w:rsidP="003E5501">
      <w:pPr>
        <w:tabs>
          <w:tab w:val="left" w:pos="1440"/>
        </w:tabs>
        <w:spacing w:after="120"/>
        <w:ind w:left="648"/>
      </w:pPr>
      <w:r w:rsidRPr="00460C57">
        <w:t xml:space="preserve">Enter the total spacing between axles 10 and 11 as a right-justified, value, in units of feet. </w:t>
      </w:r>
    </w:p>
    <w:p w14:paraId="40E11AF8" w14:textId="77777777" w:rsidR="009B7AED" w:rsidRPr="00460C57" w:rsidRDefault="009B7AED">
      <w:pPr>
        <w:numPr>
          <w:ilvl w:val="0"/>
          <w:numId w:val="49"/>
        </w:numPr>
        <w:spacing w:after="120"/>
        <w:ind w:left="648"/>
      </w:pPr>
      <w:r w:rsidRPr="00460C57">
        <w:t xml:space="preserve">Axle 11 to 12 Spacing (Columns 86-89) – </w:t>
      </w:r>
      <w:r w:rsidRPr="00460C57">
        <w:rPr>
          <w:i/>
          <w:iCs/>
        </w:rPr>
        <w:t>Required/Optional</w:t>
      </w:r>
    </w:p>
    <w:p w14:paraId="16D46779" w14:textId="77777777" w:rsidR="009B7AED" w:rsidRPr="00460C57" w:rsidRDefault="009B7AED" w:rsidP="003E5501">
      <w:pPr>
        <w:tabs>
          <w:tab w:val="left" w:pos="1440"/>
        </w:tabs>
        <w:spacing w:after="120"/>
        <w:ind w:left="648"/>
      </w:pPr>
      <w:r w:rsidRPr="00460C57">
        <w:t xml:space="preserve">Enter the total spacing between axles 11 and 12 as a right-justified, value, in units of feet. </w:t>
      </w:r>
    </w:p>
    <w:p w14:paraId="6D925C74" w14:textId="77777777" w:rsidR="009B7AED" w:rsidRPr="00877387" w:rsidRDefault="009B7AED" w:rsidP="00083ADA">
      <w:pPr>
        <w:tabs>
          <w:tab w:val="left" w:pos="1440"/>
        </w:tabs>
        <w:spacing w:after="120"/>
        <w:ind w:left="648"/>
        <w:jc w:val="left"/>
      </w:pPr>
      <w:r w:rsidRPr="00460C57">
        <w:t>Each additional axle space measurement is allocated four columns. The maximum allowed number of axles is 25, which results in a maximum record length of 141</w:t>
      </w:r>
      <w:r w:rsidRPr="00877387">
        <w:t xml:space="preserve"> columns. </w:t>
      </w:r>
    </w:p>
    <w:p w14:paraId="2FEACA23" w14:textId="19F1FA74" w:rsidR="009B7AED" w:rsidRPr="00894382" w:rsidRDefault="009B7AED" w:rsidP="00B739E1">
      <w:pPr>
        <w:pStyle w:val="BodyText"/>
        <w:rPr>
          <w:b/>
          <w:bCs/>
          <w:smallCaps/>
        </w:rPr>
      </w:pPr>
      <w:bookmarkStart w:id="3190" w:name="_Toc364071211"/>
      <w:bookmarkStart w:id="3191" w:name="_Toc450646944"/>
      <w:r>
        <w:t xml:space="preserve">Example C Variant records are </w:t>
      </w:r>
      <w:r w:rsidRPr="00680301">
        <w:t xml:space="preserve">shown </w:t>
      </w:r>
      <w:r w:rsidRPr="00894382">
        <w:t xml:space="preserve">in </w:t>
      </w:r>
      <w:r w:rsidR="00464453">
        <w:fldChar w:fldCharType="begin"/>
      </w:r>
      <w:r w:rsidR="00464453">
        <w:instrText xml:space="preserve"> REF _Ref113278567  \* M</w:instrText>
      </w:r>
      <w:r w:rsidR="00464453">
        <w:instrText xml:space="preserve">ERGEFORMAT </w:instrText>
      </w:r>
      <w:r w:rsidR="00464453">
        <w:fldChar w:fldCharType="separate"/>
      </w:r>
      <w:r w:rsidR="00C07DF9">
        <w:t xml:space="preserve">Table </w:t>
      </w:r>
      <w:r w:rsidR="00C07DF9">
        <w:rPr>
          <w:noProof/>
        </w:rPr>
        <w:t>4</w:t>
      </w:r>
      <w:r w:rsidR="00C07DF9">
        <w:rPr>
          <w:noProof/>
        </w:rPr>
        <w:noBreakHyphen/>
        <w:t>30</w:t>
      </w:r>
      <w:r w:rsidR="00464453">
        <w:rPr>
          <w:noProof/>
        </w:rPr>
        <w:fldChar w:fldCharType="end"/>
      </w:r>
      <w:r w:rsidRPr="00894382">
        <w:t>.</w:t>
      </w:r>
    </w:p>
    <w:p w14:paraId="5D59619A" w14:textId="77777777" w:rsidR="009B7AED" w:rsidRDefault="009B7AED" w:rsidP="009B7AED">
      <w:pPr>
        <w:keepNext/>
        <w:spacing w:before="360" w:after="120"/>
        <w:contextualSpacing/>
        <w:rPr>
          <w:b/>
          <w:bCs/>
          <w:smallCaps/>
          <w:sz w:val="24"/>
          <w:szCs w:val="22"/>
        </w:rPr>
        <w:sectPr w:rsidR="009B7AED" w:rsidSect="003C28DA">
          <w:headerReference w:type="even" r:id="rId198"/>
          <w:headerReference w:type="default" r:id="rId199"/>
          <w:footerReference w:type="even" r:id="rId200"/>
          <w:footerReference w:type="default" r:id="rId201"/>
          <w:pgSz w:w="12240" w:h="15840" w:code="1"/>
          <w:pgMar w:top="1440" w:right="1440" w:bottom="1152" w:left="1440" w:header="720" w:footer="576" w:gutter="0"/>
          <w:pgNumType w:chapStyle="1"/>
          <w:cols w:space="720"/>
          <w:noEndnote/>
          <w:docGrid w:linePitch="272"/>
        </w:sectPr>
      </w:pPr>
    </w:p>
    <w:p w14:paraId="49023653" w14:textId="7EFCC8FB" w:rsidR="009B7AED" w:rsidRDefault="009B7AED" w:rsidP="00B739E1">
      <w:pPr>
        <w:pStyle w:val="TMGTableCaption"/>
        <w:spacing w:before="0"/>
      </w:pPr>
      <w:bookmarkStart w:id="3192" w:name="_Ref113278567"/>
      <w:bookmarkStart w:id="3193" w:name="_Toc113282535"/>
      <w:bookmarkStart w:id="3194" w:name="_Toc114474872"/>
      <w:bookmarkStart w:id="3195" w:name="_Toc120631178"/>
      <w:bookmarkEnd w:id="3190"/>
      <w:bookmarkEnd w:id="3191"/>
      <w:r>
        <w:lastRenderedPageBreak/>
        <w:t xml:space="preserve">Table </w:t>
      </w:r>
      <w:fldSimple w:instr=" STYLEREF 1 \s ">
        <w:r w:rsidR="00C07DF9">
          <w:rPr>
            <w:noProof/>
          </w:rPr>
          <w:t>4</w:t>
        </w:r>
      </w:fldSimple>
      <w:r>
        <w:noBreakHyphen/>
      </w:r>
      <w:fldSimple w:instr=" SEQ Table \* ARABIC \s 1 ">
        <w:r w:rsidR="00C07DF9">
          <w:rPr>
            <w:noProof/>
          </w:rPr>
          <w:t>30</w:t>
        </w:r>
      </w:fldSimple>
      <w:bookmarkEnd w:id="3192"/>
      <w:r>
        <w:t>. Individual Vehicle Record (Classification</w:t>
      </w:r>
      <w:r w:rsidRPr="00135D36">
        <w:t xml:space="preserve"> Site</w:t>
      </w:r>
      <w:r>
        <w:t>) Example</w:t>
      </w:r>
      <w:r w:rsidRPr="00135D36">
        <w:t xml:space="preserve"> </w:t>
      </w:r>
      <w:r w:rsidRPr="005F2802">
        <w:t>(East</w:t>
      </w:r>
      <w:r>
        <w:t>b</w:t>
      </w:r>
      <w:r w:rsidRPr="005F2802">
        <w:t xml:space="preserve">ound Lane 4) </w:t>
      </w:r>
      <w:r>
        <w:t>– Fixed-Width</w:t>
      </w:r>
      <w:r w:rsidRPr="005F2802">
        <w:t xml:space="preserve"> Format</w:t>
      </w:r>
      <w:bookmarkEnd w:id="3193"/>
      <w:bookmarkEnd w:id="3194"/>
      <w:bookmarkEnd w:id="3195"/>
    </w:p>
    <w:tbl>
      <w:tblPr>
        <w:tblStyle w:val="TMGTable"/>
        <w:tblW w:w="1296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1039"/>
        <w:gridCol w:w="243"/>
        <w:gridCol w:w="423"/>
        <w:gridCol w:w="733"/>
        <w:gridCol w:w="342"/>
        <w:gridCol w:w="360"/>
        <w:gridCol w:w="630"/>
        <w:gridCol w:w="630"/>
        <w:gridCol w:w="630"/>
        <w:gridCol w:w="630"/>
        <w:gridCol w:w="630"/>
        <w:gridCol w:w="630"/>
        <w:gridCol w:w="630"/>
        <w:gridCol w:w="360"/>
        <w:gridCol w:w="630"/>
        <w:gridCol w:w="630"/>
        <w:gridCol w:w="630"/>
        <w:gridCol w:w="630"/>
        <w:gridCol w:w="630"/>
        <w:gridCol w:w="630"/>
        <w:gridCol w:w="630"/>
        <w:gridCol w:w="640"/>
      </w:tblGrid>
      <w:tr w:rsidR="00D4282A" w:rsidRPr="00D4282A" w14:paraId="7088BF0D" w14:textId="77777777" w:rsidTr="00E1261E">
        <w:trPr>
          <w:cnfStyle w:val="100000000000" w:firstRow="1" w:lastRow="0" w:firstColumn="0" w:lastColumn="0" w:oddVBand="0" w:evenVBand="0" w:oddHBand="0" w:evenHBand="0" w:firstRowFirstColumn="0" w:firstRowLastColumn="0" w:lastRowFirstColumn="0" w:lastRowLastColumn="0"/>
          <w:trHeight w:val="466"/>
        </w:trPr>
        <w:tc>
          <w:tcPr>
            <w:tcW w:w="1039" w:type="dxa"/>
            <w:vAlign w:val="top"/>
          </w:tcPr>
          <w:p w14:paraId="74EADEC6" w14:textId="77777777" w:rsidR="009B7AED" w:rsidRPr="00D4282A" w:rsidRDefault="009B7AED" w:rsidP="00D4282A">
            <w:pPr>
              <w:pStyle w:val="BodyFHWA"/>
              <w:spacing w:before="10" w:after="10"/>
              <w:ind w:left="0"/>
              <w:rPr>
                <w:rFonts w:eastAsiaTheme="minorEastAsia" w:cs="Calibri"/>
                <w:b w:val="0"/>
                <w:bCs w:val="0"/>
              </w:rPr>
            </w:pPr>
            <w:r w:rsidRPr="00D4282A">
              <w:rPr>
                <w:rFonts w:eastAsiaTheme="minorEastAsia" w:cs="Calibri"/>
              </w:rPr>
              <w:t>Column Number:</w:t>
            </w:r>
          </w:p>
        </w:tc>
        <w:tc>
          <w:tcPr>
            <w:tcW w:w="243" w:type="dxa"/>
          </w:tcPr>
          <w:p w14:paraId="71713CDA" w14:textId="77777777" w:rsidR="009B7AED" w:rsidRPr="00D4282A" w:rsidRDefault="009B7AED" w:rsidP="00D4282A">
            <w:pPr>
              <w:pStyle w:val="BodyFHWA"/>
              <w:spacing w:before="10" w:after="10"/>
              <w:ind w:left="0"/>
              <w:jc w:val="center"/>
              <w:rPr>
                <w:rFonts w:eastAsiaTheme="minorEastAsia" w:cs="Calibri"/>
                <w:b w:val="0"/>
                <w:bCs w:val="0"/>
              </w:rPr>
            </w:pPr>
            <w:r w:rsidRPr="00D4282A">
              <w:rPr>
                <w:rFonts w:eastAsiaTheme="minorEastAsia" w:cs="Calibri"/>
              </w:rPr>
              <w:t>1</w:t>
            </w:r>
          </w:p>
        </w:tc>
        <w:tc>
          <w:tcPr>
            <w:tcW w:w="423" w:type="dxa"/>
          </w:tcPr>
          <w:p w14:paraId="203858D4" w14:textId="77777777" w:rsidR="009B7AED" w:rsidRPr="00D4282A" w:rsidRDefault="009B7AED" w:rsidP="00D4282A">
            <w:pPr>
              <w:pStyle w:val="BodyFHWA"/>
              <w:spacing w:before="10" w:after="10"/>
              <w:ind w:left="0"/>
              <w:jc w:val="center"/>
              <w:rPr>
                <w:rFonts w:eastAsiaTheme="minorEastAsia" w:cs="Calibri"/>
                <w:b w:val="0"/>
                <w:bCs w:val="0"/>
              </w:rPr>
            </w:pPr>
            <w:r w:rsidRPr="00D4282A">
              <w:rPr>
                <w:rFonts w:eastAsiaTheme="minorEastAsia" w:cs="Calibri"/>
              </w:rPr>
              <w:t>2-3</w:t>
            </w:r>
          </w:p>
        </w:tc>
        <w:tc>
          <w:tcPr>
            <w:tcW w:w="733" w:type="dxa"/>
          </w:tcPr>
          <w:p w14:paraId="2CB48A91" w14:textId="77777777" w:rsidR="009B7AED" w:rsidRPr="00D4282A" w:rsidRDefault="009B7AED" w:rsidP="00D4282A">
            <w:pPr>
              <w:pStyle w:val="BodyFHWA"/>
              <w:spacing w:before="10" w:after="10"/>
              <w:ind w:left="0"/>
              <w:jc w:val="center"/>
              <w:rPr>
                <w:rFonts w:eastAsiaTheme="minorEastAsia" w:cs="Calibri"/>
                <w:b w:val="0"/>
                <w:bCs w:val="0"/>
              </w:rPr>
            </w:pPr>
            <w:r w:rsidRPr="00D4282A">
              <w:rPr>
                <w:rFonts w:eastAsiaTheme="minorEastAsia" w:cs="Calibri"/>
              </w:rPr>
              <w:t>4-9</w:t>
            </w:r>
          </w:p>
        </w:tc>
        <w:tc>
          <w:tcPr>
            <w:tcW w:w="342" w:type="dxa"/>
          </w:tcPr>
          <w:p w14:paraId="2534B671" w14:textId="77777777" w:rsidR="009B7AED" w:rsidRPr="00D4282A" w:rsidRDefault="009B7AED" w:rsidP="00D4282A">
            <w:pPr>
              <w:pStyle w:val="BodyFHWA"/>
              <w:spacing w:before="10" w:after="10"/>
              <w:ind w:left="0"/>
              <w:jc w:val="center"/>
              <w:rPr>
                <w:rFonts w:eastAsiaTheme="minorEastAsia" w:cs="Calibri"/>
                <w:b w:val="0"/>
                <w:bCs w:val="0"/>
              </w:rPr>
            </w:pPr>
            <w:r w:rsidRPr="00D4282A">
              <w:rPr>
                <w:rFonts w:eastAsiaTheme="minorEastAsia" w:cs="Calibri"/>
              </w:rPr>
              <w:t>10</w:t>
            </w:r>
          </w:p>
        </w:tc>
        <w:tc>
          <w:tcPr>
            <w:tcW w:w="360" w:type="dxa"/>
          </w:tcPr>
          <w:p w14:paraId="7247D7C0" w14:textId="77777777" w:rsidR="009B7AED" w:rsidRPr="00D4282A" w:rsidRDefault="009B7AED" w:rsidP="00D4282A">
            <w:pPr>
              <w:pStyle w:val="BodyFHWA"/>
              <w:spacing w:before="10" w:after="10"/>
              <w:ind w:left="0"/>
              <w:jc w:val="center"/>
              <w:rPr>
                <w:rFonts w:eastAsiaTheme="minorEastAsia" w:cs="Calibri"/>
                <w:b w:val="0"/>
                <w:bCs w:val="0"/>
              </w:rPr>
            </w:pPr>
            <w:r w:rsidRPr="00D4282A">
              <w:rPr>
                <w:rFonts w:eastAsiaTheme="minorEastAsia" w:cs="Calibri"/>
              </w:rPr>
              <w:t>11</w:t>
            </w:r>
          </w:p>
        </w:tc>
        <w:tc>
          <w:tcPr>
            <w:tcW w:w="630" w:type="dxa"/>
          </w:tcPr>
          <w:p w14:paraId="492CE4A0" w14:textId="77777777" w:rsidR="009B7AED" w:rsidRPr="00D4282A" w:rsidRDefault="009B7AED" w:rsidP="00D4282A">
            <w:pPr>
              <w:pStyle w:val="BodyFHWA"/>
              <w:spacing w:before="10" w:after="10"/>
              <w:ind w:left="0"/>
              <w:jc w:val="center"/>
              <w:rPr>
                <w:rFonts w:eastAsiaTheme="minorEastAsia" w:cs="Calibri"/>
                <w:b w:val="0"/>
                <w:bCs w:val="0"/>
              </w:rPr>
            </w:pPr>
            <w:r w:rsidRPr="00D4282A">
              <w:rPr>
                <w:rFonts w:eastAsiaTheme="minorEastAsia" w:cs="Calibri"/>
              </w:rPr>
              <w:t>12-15</w:t>
            </w:r>
          </w:p>
        </w:tc>
        <w:tc>
          <w:tcPr>
            <w:tcW w:w="630" w:type="dxa"/>
          </w:tcPr>
          <w:p w14:paraId="5A4B9BF9" w14:textId="77777777" w:rsidR="009B7AED" w:rsidRPr="00D4282A" w:rsidRDefault="009B7AED" w:rsidP="00D4282A">
            <w:pPr>
              <w:pStyle w:val="BodyFHWA"/>
              <w:spacing w:before="10" w:after="10"/>
              <w:ind w:left="0"/>
              <w:jc w:val="center"/>
              <w:rPr>
                <w:rFonts w:eastAsiaTheme="minorEastAsia" w:cs="Calibri"/>
                <w:b w:val="0"/>
                <w:bCs w:val="0"/>
              </w:rPr>
            </w:pPr>
            <w:r w:rsidRPr="00D4282A">
              <w:rPr>
                <w:rFonts w:eastAsiaTheme="minorEastAsia" w:cs="Calibri"/>
              </w:rPr>
              <w:t>16-17</w:t>
            </w:r>
          </w:p>
        </w:tc>
        <w:tc>
          <w:tcPr>
            <w:tcW w:w="630" w:type="dxa"/>
          </w:tcPr>
          <w:p w14:paraId="21AB9519" w14:textId="77777777" w:rsidR="009B7AED" w:rsidRPr="00D4282A" w:rsidRDefault="009B7AED" w:rsidP="00D4282A">
            <w:pPr>
              <w:pStyle w:val="BodyFHWA"/>
              <w:spacing w:before="10" w:after="10"/>
              <w:ind w:left="0"/>
              <w:jc w:val="center"/>
              <w:rPr>
                <w:rFonts w:eastAsiaTheme="minorEastAsia" w:cs="Calibri"/>
                <w:b w:val="0"/>
              </w:rPr>
            </w:pPr>
            <w:r w:rsidRPr="00D4282A">
              <w:rPr>
                <w:rFonts w:eastAsiaTheme="minorEastAsia" w:cs="Calibri"/>
              </w:rPr>
              <w:t>18-19</w:t>
            </w:r>
          </w:p>
        </w:tc>
        <w:tc>
          <w:tcPr>
            <w:tcW w:w="630" w:type="dxa"/>
          </w:tcPr>
          <w:p w14:paraId="4E839A4D" w14:textId="77777777" w:rsidR="009B7AED" w:rsidRPr="00D4282A" w:rsidRDefault="009B7AED" w:rsidP="00D4282A">
            <w:pPr>
              <w:pStyle w:val="BodyFHWA"/>
              <w:spacing w:before="10" w:after="10"/>
              <w:ind w:left="0"/>
              <w:jc w:val="center"/>
              <w:rPr>
                <w:rFonts w:eastAsiaTheme="minorEastAsia" w:cs="Calibri"/>
                <w:b w:val="0"/>
              </w:rPr>
            </w:pPr>
            <w:r w:rsidRPr="00D4282A">
              <w:rPr>
                <w:rFonts w:eastAsiaTheme="minorEastAsia" w:cs="Calibri"/>
              </w:rPr>
              <w:t>20-21</w:t>
            </w:r>
          </w:p>
        </w:tc>
        <w:tc>
          <w:tcPr>
            <w:tcW w:w="630" w:type="dxa"/>
          </w:tcPr>
          <w:p w14:paraId="29C35AFC" w14:textId="77777777" w:rsidR="009B7AED" w:rsidRPr="00D4282A" w:rsidRDefault="009B7AED" w:rsidP="00D4282A">
            <w:pPr>
              <w:pStyle w:val="BodyFHWA"/>
              <w:spacing w:before="10" w:after="10"/>
              <w:ind w:left="0"/>
              <w:jc w:val="center"/>
              <w:rPr>
                <w:rFonts w:eastAsiaTheme="minorEastAsia" w:cs="Calibri"/>
                <w:b w:val="0"/>
              </w:rPr>
            </w:pPr>
            <w:r w:rsidRPr="00D4282A">
              <w:rPr>
                <w:rFonts w:eastAsiaTheme="minorEastAsia" w:cs="Calibri"/>
              </w:rPr>
              <w:t>22-23</w:t>
            </w:r>
          </w:p>
        </w:tc>
        <w:tc>
          <w:tcPr>
            <w:tcW w:w="630" w:type="dxa"/>
          </w:tcPr>
          <w:p w14:paraId="46863550" w14:textId="77777777" w:rsidR="009B7AED" w:rsidRPr="00D4282A" w:rsidRDefault="009B7AED" w:rsidP="00D4282A">
            <w:pPr>
              <w:pStyle w:val="BodyFHWA"/>
              <w:spacing w:before="10" w:after="10"/>
              <w:ind w:left="0"/>
              <w:jc w:val="center"/>
              <w:rPr>
                <w:rFonts w:eastAsiaTheme="minorEastAsia" w:cs="Calibri"/>
                <w:b w:val="0"/>
              </w:rPr>
            </w:pPr>
            <w:r w:rsidRPr="00D4282A">
              <w:rPr>
                <w:rFonts w:eastAsiaTheme="minorEastAsia" w:cs="Calibri"/>
              </w:rPr>
              <w:t>24-25</w:t>
            </w:r>
          </w:p>
        </w:tc>
        <w:tc>
          <w:tcPr>
            <w:tcW w:w="630" w:type="dxa"/>
          </w:tcPr>
          <w:p w14:paraId="25B807A5" w14:textId="77777777" w:rsidR="009B7AED" w:rsidRPr="00D4282A" w:rsidRDefault="009B7AED" w:rsidP="00D4282A">
            <w:pPr>
              <w:pStyle w:val="BodyFHWA"/>
              <w:spacing w:before="10" w:after="10"/>
              <w:ind w:left="0"/>
              <w:jc w:val="center"/>
              <w:rPr>
                <w:rFonts w:eastAsiaTheme="minorEastAsia" w:cs="Calibri"/>
                <w:b w:val="0"/>
              </w:rPr>
            </w:pPr>
            <w:r w:rsidRPr="00D4282A">
              <w:rPr>
                <w:rFonts w:eastAsiaTheme="minorEastAsia" w:cs="Calibri"/>
              </w:rPr>
              <w:t>26-27</w:t>
            </w:r>
          </w:p>
        </w:tc>
        <w:tc>
          <w:tcPr>
            <w:tcW w:w="360" w:type="dxa"/>
          </w:tcPr>
          <w:p w14:paraId="200A06A8" w14:textId="77777777" w:rsidR="009B7AED" w:rsidRPr="00D4282A" w:rsidRDefault="009B7AED" w:rsidP="00D4282A">
            <w:pPr>
              <w:pStyle w:val="BodyFHWA"/>
              <w:spacing w:before="10" w:after="10"/>
              <w:ind w:left="0"/>
              <w:jc w:val="center"/>
              <w:rPr>
                <w:rFonts w:eastAsiaTheme="minorEastAsia" w:cs="Calibri"/>
                <w:b w:val="0"/>
              </w:rPr>
            </w:pPr>
            <w:r w:rsidRPr="00D4282A">
              <w:rPr>
                <w:rFonts w:eastAsiaTheme="minorEastAsia" w:cs="Calibri"/>
              </w:rPr>
              <w:t>28</w:t>
            </w:r>
          </w:p>
        </w:tc>
        <w:tc>
          <w:tcPr>
            <w:tcW w:w="630" w:type="dxa"/>
          </w:tcPr>
          <w:p w14:paraId="3BAE19F9" w14:textId="77777777" w:rsidR="009B7AED" w:rsidRPr="00D4282A" w:rsidRDefault="009B7AED" w:rsidP="00D4282A">
            <w:pPr>
              <w:pStyle w:val="BodyFHWA"/>
              <w:spacing w:before="10" w:after="10"/>
              <w:ind w:left="0"/>
              <w:jc w:val="center"/>
              <w:rPr>
                <w:rFonts w:eastAsiaTheme="minorEastAsia" w:cs="Calibri"/>
                <w:b w:val="0"/>
              </w:rPr>
            </w:pPr>
            <w:r w:rsidRPr="00D4282A">
              <w:rPr>
                <w:rFonts w:eastAsiaTheme="minorEastAsia" w:cs="Calibri"/>
              </w:rPr>
              <w:t>29-33</w:t>
            </w:r>
          </w:p>
        </w:tc>
        <w:tc>
          <w:tcPr>
            <w:tcW w:w="630" w:type="dxa"/>
          </w:tcPr>
          <w:p w14:paraId="21272F1D" w14:textId="77777777" w:rsidR="009B7AED" w:rsidRPr="00D4282A" w:rsidRDefault="009B7AED" w:rsidP="00D4282A">
            <w:pPr>
              <w:pStyle w:val="BodyFHWA"/>
              <w:spacing w:before="10" w:after="10"/>
              <w:ind w:left="0"/>
              <w:jc w:val="center"/>
              <w:rPr>
                <w:rFonts w:eastAsiaTheme="minorEastAsia" w:cs="Calibri"/>
                <w:b w:val="0"/>
              </w:rPr>
            </w:pPr>
            <w:r w:rsidRPr="00D4282A">
              <w:rPr>
                <w:rFonts w:eastAsiaTheme="minorEastAsia" w:cs="Calibri"/>
              </w:rPr>
              <w:t>34-37</w:t>
            </w:r>
          </w:p>
        </w:tc>
        <w:tc>
          <w:tcPr>
            <w:tcW w:w="630" w:type="dxa"/>
          </w:tcPr>
          <w:p w14:paraId="77473436" w14:textId="77777777" w:rsidR="009B7AED" w:rsidRPr="00D4282A" w:rsidRDefault="009B7AED" w:rsidP="00D4282A">
            <w:pPr>
              <w:pStyle w:val="BodyFHWA"/>
              <w:spacing w:before="10" w:after="10"/>
              <w:ind w:left="0"/>
              <w:jc w:val="center"/>
              <w:rPr>
                <w:rFonts w:eastAsiaTheme="minorEastAsia" w:cs="Calibri"/>
                <w:b w:val="0"/>
              </w:rPr>
            </w:pPr>
            <w:r w:rsidRPr="00D4282A">
              <w:rPr>
                <w:rFonts w:eastAsiaTheme="minorEastAsia" w:cs="Calibri"/>
              </w:rPr>
              <w:t>40-41</w:t>
            </w:r>
          </w:p>
        </w:tc>
        <w:tc>
          <w:tcPr>
            <w:tcW w:w="630" w:type="dxa"/>
          </w:tcPr>
          <w:p w14:paraId="01AB032B" w14:textId="77777777" w:rsidR="009B7AED" w:rsidRPr="00D4282A" w:rsidRDefault="009B7AED" w:rsidP="00D4282A">
            <w:pPr>
              <w:pStyle w:val="BodyFHWA"/>
              <w:spacing w:before="10" w:after="10"/>
              <w:ind w:left="0"/>
              <w:jc w:val="center"/>
              <w:rPr>
                <w:rFonts w:eastAsiaTheme="minorEastAsia" w:cs="Calibri"/>
                <w:b w:val="0"/>
              </w:rPr>
            </w:pPr>
            <w:r w:rsidRPr="00D4282A">
              <w:rPr>
                <w:rFonts w:eastAsiaTheme="minorEastAsia" w:cs="Calibri"/>
              </w:rPr>
              <w:t>42-45</w:t>
            </w:r>
          </w:p>
        </w:tc>
        <w:tc>
          <w:tcPr>
            <w:tcW w:w="630" w:type="dxa"/>
          </w:tcPr>
          <w:p w14:paraId="18A52C5D" w14:textId="77777777" w:rsidR="009B7AED" w:rsidRPr="00D4282A" w:rsidRDefault="009B7AED" w:rsidP="00D4282A">
            <w:pPr>
              <w:pStyle w:val="BodyFHWA"/>
              <w:spacing w:before="10" w:after="10"/>
              <w:ind w:left="0"/>
              <w:jc w:val="center"/>
              <w:rPr>
                <w:rFonts w:eastAsiaTheme="minorEastAsia" w:cs="Calibri"/>
                <w:b w:val="0"/>
              </w:rPr>
            </w:pPr>
            <w:r w:rsidRPr="00D4282A">
              <w:rPr>
                <w:rFonts w:eastAsiaTheme="minorEastAsia" w:cs="Calibri"/>
              </w:rPr>
              <w:t>46-49</w:t>
            </w:r>
          </w:p>
        </w:tc>
        <w:tc>
          <w:tcPr>
            <w:tcW w:w="630" w:type="dxa"/>
          </w:tcPr>
          <w:p w14:paraId="13A3B7EB" w14:textId="77777777" w:rsidR="009B7AED" w:rsidRPr="00D4282A" w:rsidRDefault="009B7AED" w:rsidP="00D4282A">
            <w:pPr>
              <w:pStyle w:val="BodyFHWA"/>
              <w:spacing w:before="10" w:after="10"/>
              <w:ind w:left="0"/>
              <w:jc w:val="center"/>
              <w:rPr>
                <w:rFonts w:eastAsiaTheme="minorEastAsia" w:cs="Calibri"/>
                <w:b w:val="0"/>
              </w:rPr>
            </w:pPr>
            <w:r w:rsidRPr="00D4282A">
              <w:rPr>
                <w:rFonts w:eastAsiaTheme="minorEastAsia" w:cs="Calibri"/>
              </w:rPr>
              <w:t>50-53</w:t>
            </w:r>
          </w:p>
        </w:tc>
        <w:tc>
          <w:tcPr>
            <w:tcW w:w="630" w:type="dxa"/>
          </w:tcPr>
          <w:p w14:paraId="0AD36B78" w14:textId="77777777" w:rsidR="009B7AED" w:rsidRPr="00D4282A" w:rsidRDefault="009B7AED" w:rsidP="00D4282A">
            <w:pPr>
              <w:pStyle w:val="BodyFHWA"/>
              <w:spacing w:before="10" w:after="10"/>
              <w:ind w:left="0"/>
              <w:jc w:val="center"/>
              <w:rPr>
                <w:rFonts w:eastAsiaTheme="minorEastAsia" w:cs="Calibri"/>
                <w:b w:val="0"/>
              </w:rPr>
            </w:pPr>
            <w:r w:rsidRPr="00D4282A">
              <w:rPr>
                <w:rFonts w:eastAsiaTheme="minorEastAsia" w:cs="Calibri"/>
              </w:rPr>
              <w:t>54-57</w:t>
            </w:r>
          </w:p>
        </w:tc>
        <w:tc>
          <w:tcPr>
            <w:tcW w:w="640" w:type="dxa"/>
          </w:tcPr>
          <w:p w14:paraId="6BCE9DCD" w14:textId="77777777" w:rsidR="009B7AED" w:rsidRPr="00D4282A" w:rsidRDefault="009B7AED" w:rsidP="00D4282A">
            <w:pPr>
              <w:pStyle w:val="BodyFHWA"/>
              <w:spacing w:before="10" w:after="10"/>
              <w:ind w:left="0"/>
              <w:jc w:val="center"/>
              <w:rPr>
                <w:rFonts w:eastAsiaTheme="minorEastAsia" w:cs="Calibri"/>
                <w:b w:val="0"/>
              </w:rPr>
            </w:pPr>
            <w:r w:rsidRPr="00D4282A">
              <w:rPr>
                <w:rFonts w:eastAsiaTheme="minorEastAsia" w:cs="Calibri"/>
              </w:rPr>
              <w:t>58-61</w:t>
            </w:r>
          </w:p>
        </w:tc>
      </w:tr>
      <w:tr w:rsidR="00D4282A" w:rsidRPr="00D4282A" w14:paraId="2D29C2BF" w14:textId="77777777" w:rsidTr="00E1261E">
        <w:trPr>
          <w:trHeight w:val="20"/>
        </w:trPr>
        <w:tc>
          <w:tcPr>
            <w:tcW w:w="1039" w:type="dxa"/>
          </w:tcPr>
          <w:p w14:paraId="4916400C" w14:textId="77777777" w:rsidR="009B7AED" w:rsidRPr="00D4282A" w:rsidRDefault="009B7AED" w:rsidP="00D4282A">
            <w:pPr>
              <w:pStyle w:val="BodyFHWA"/>
              <w:spacing w:before="10" w:after="10"/>
              <w:ind w:left="0"/>
              <w:rPr>
                <w:rFonts w:eastAsiaTheme="minorEastAsia" w:cs="Calibri"/>
              </w:rPr>
            </w:pPr>
            <w:r w:rsidRPr="00D4282A">
              <w:rPr>
                <w:rStyle w:val="Bold"/>
                <w:rFonts w:cs="Calibri"/>
              </w:rPr>
              <w:t>Content 01 Example:</w:t>
            </w:r>
          </w:p>
        </w:tc>
        <w:tc>
          <w:tcPr>
            <w:tcW w:w="243" w:type="dxa"/>
          </w:tcPr>
          <w:p w14:paraId="75A3DC9B"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I</w:t>
            </w:r>
          </w:p>
        </w:tc>
        <w:tc>
          <w:tcPr>
            <w:tcW w:w="423" w:type="dxa"/>
          </w:tcPr>
          <w:p w14:paraId="2A5314C1"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17</w:t>
            </w:r>
          </w:p>
        </w:tc>
        <w:tc>
          <w:tcPr>
            <w:tcW w:w="733" w:type="dxa"/>
          </w:tcPr>
          <w:p w14:paraId="50500010"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018118</w:t>
            </w:r>
          </w:p>
        </w:tc>
        <w:tc>
          <w:tcPr>
            <w:tcW w:w="342" w:type="dxa"/>
          </w:tcPr>
          <w:p w14:paraId="281F3863"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3</w:t>
            </w:r>
          </w:p>
        </w:tc>
        <w:tc>
          <w:tcPr>
            <w:tcW w:w="360" w:type="dxa"/>
          </w:tcPr>
          <w:p w14:paraId="50C2E7E2"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4</w:t>
            </w:r>
          </w:p>
        </w:tc>
        <w:tc>
          <w:tcPr>
            <w:tcW w:w="630" w:type="dxa"/>
          </w:tcPr>
          <w:p w14:paraId="6046B299"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2012</w:t>
            </w:r>
          </w:p>
        </w:tc>
        <w:tc>
          <w:tcPr>
            <w:tcW w:w="630" w:type="dxa"/>
          </w:tcPr>
          <w:p w14:paraId="133E8E32"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11</w:t>
            </w:r>
          </w:p>
        </w:tc>
        <w:tc>
          <w:tcPr>
            <w:tcW w:w="630" w:type="dxa"/>
          </w:tcPr>
          <w:p w14:paraId="61E1DC3E"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07</w:t>
            </w:r>
          </w:p>
        </w:tc>
        <w:tc>
          <w:tcPr>
            <w:tcW w:w="630" w:type="dxa"/>
          </w:tcPr>
          <w:p w14:paraId="30CB2CB0"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18</w:t>
            </w:r>
          </w:p>
        </w:tc>
        <w:tc>
          <w:tcPr>
            <w:tcW w:w="630" w:type="dxa"/>
          </w:tcPr>
          <w:p w14:paraId="7D7E2092"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58</w:t>
            </w:r>
          </w:p>
        </w:tc>
        <w:tc>
          <w:tcPr>
            <w:tcW w:w="630" w:type="dxa"/>
          </w:tcPr>
          <w:p w14:paraId="6AB46990"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33</w:t>
            </w:r>
          </w:p>
        </w:tc>
        <w:tc>
          <w:tcPr>
            <w:tcW w:w="630" w:type="dxa"/>
          </w:tcPr>
          <w:p w14:paraId="2642A224"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48</w:t>
            </w:r>
          </w:p>
        </w:tc>
        <w:tc>
          <w:tcPr>
            <w:tcW w:w="360" w:type="dxa"/>
          </w:tcPr>
          <w:p w14:paraId="6552F6F9"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C</w:t>
            </w:r>
          </w:p>
        </w:tc>
        <w:tc>
          <w:tcPr>
            <w:tcW w:w="630" w:type="dxa"/>
          </w:tcPr>
          <w:p w14:paraId="3AD99BA1"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Blank</w:t>
            </w:r>
          </w:p>
        </w:tc>
        <w:tc>
          <w:tcPr>
            <w:tcW w:w="630" w:type="dxa"/>
          </w:tcPr>
          <w:p w14:paraId="49343BEA"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0582</w:t>
            </w:r>
          </w:p>
        </w:tc>
        <w:tc>
          <w:tcPr>
            <w:tcW w:w="630" w:type="dxa"/>
          </w:tcPr>
          <w:p w14:paraId="73EB6455"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04</w:t>
            </w:r>
          </w:p>
        </w:tc>
        <w:tc>
          <w:tcPr>
            <w:tcW w:w="630" w:type="dxa"/>
          </w:tcPr>
          <w:p w14:paraId="28751966"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0584</w:t>
            </w:r>
          </w:p>
        </w:tc>
        <w:tc>
          <w:tcPr>
            <w:tcW w:w="630" w:type="dxa"/>
          </w:tcPr>
          <w:p w14:paraId="2F5C3619"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0135</w:t>
            </w:r>
          </w:p>
        </w:tc>
        <w:tc>
          <w:tcPr>
            <w:tcW w:w="630" w:type="dxa"/>
          </w:tcPr>
          <w:p w14:paraId="7F9420F7"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0251</w:t>
            </w:r>
          </w:p>
        </w:tc>
        <w:tc>
          <w:tcPr>
            <w:tcW w:w="630" w:type="dxa"/>
          </w:tcPr>
          <w:p w14:paraId="70C1934C"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0048</w:t>
            </w:r>
          </w:p>
        </w:tc>
        <w:tc>
          <w:tcPr>
            <w:tcW w:w="640" w:type="dxa"/>
          </w:tcPr>
          <w:p w14:paraId="4D3CB648" w14:textId="77777777" w:rsidR="009B7AED" w:rsidRPr="00D4282A" w:rsidRDefault="009B7AED" w:rsidP="00D4282A">
            <w:pPr>
              <w:pStyle w:val="BodyFHWA"/>
              <w:spacing w:before="10" w:after="10"/>
              <w:ind w:left="0"/>
              <w:jc w:val="center"/>
              <w:rPr>
                <w:rFonts w:eastAsiaTheme="minorEastAsia" w:cs="Calibri"/>
                <w:color w:val="auto"/>
              </w:rPr>
            </w:pPr>
            <w:r w:rsidRPr="00D4282A">
              <w:rPr>
                <w:rFonts w:eastAsiaTheme="minorEastAsia" w:cs="Calibri"/>
              </w:rPr>
              <w:t>Blank</w:t>
            </w:r>
          </w:p>
        </w:tc>
      </w:tr>
      <w:tr w:rsidR="00D4282A" w:rsidRPr="00D4282A" w14:paraId="7ED24B11" w14:textId="77777777" w:rsidTr="00E1261E">
        <w:trPr>
          <w:trHeight w:val="20"/>
        </w:trPr>
        <w:tc>
          <w:tcPr>
            <w:tcW w:w="1039" w:type="dxa"/>
          </w:tcPr>
          <w:p w14:paraId="3620E404" w14:textId="77777777" w:rsidR="009B7AED" w:rsidRPr="00D4282A" w:rsidRDefault="009B7AED" w:rsidP="00D4282A">
            <w:pPr>
              <w:pStyle w:val="BodyFHWA"/>
              <w:spacing w:before="10" w:after="10"/>
              <w:ind w:left="0"/>
              <w:rPr>
                <w:rFonts w:eastAsiaTheme="minorEastAsia" w:cs="Calibri"/>
              </w:rPr>
            </w:pPr>
            <w:r w:rsidRPr="00D4282A">
              <w:rPr>
                <w:rStyle w:val="Bold"/>
                <w:rFonts w:cs="Calibri"/>
              </w:rPr>
              <w:t>Content 02 Example:</w:t>
            </w:r>
          </w:p>
        </w:tc>
        <w:tc>
          <w:tcPr>
            <w:tcW w:w="243" w:type="dxa"/>
          </w:tcPr>
          <w:p w14:paraId="26D843FF"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I</w:t>
            </w:r>
          </w:p>
        </w:tc>
        <w:tc>
          <w:tcPr>
            <w:tcW w:w="423" w:type="dxa"/>
          </w:tcPr>
          <w:p w14:paraId="51B55F9C"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17</w:t>
            </w:r>
          </w:p>
        </w:tc>
        <w:tc>
          <w:tcPr>
            <w:tcW w:w="733" w:type="dxa"/>
          </w:tcPr>
          <w:p w14:paraId="3621B293"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018118</w:t>
            </w:r>
          </w:p>
        </w:tc>
        <w:tc>
          <w:tcPr>
            <w:tcW w:w="342" w:type="dxa"/>
          </w:tcPr>
          <w:p w14:paraId="45CC6F25"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3</w:t>
            </w:r>
          </w:p>
        </w:tc>
        <w:tc>
          <w:tcPr>
            <w:tcW w:w="360" w:type="dxa"/>
          </w:tcPr>
          <w:p w14:paraId="4ED0ABB1"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4</w:t>
            </w:r>
          </w:p>
        </w:tc>
        <w:tc>
          <w:tcPr>
            <w:tcW w:w="630" w:type="dxa"/>
          </w:tcPr>
          <w:p w14:paraId="3657898E"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2012</w:t>
            </w:r>
          </w:p>
        </w:tc>
        <w:tc>
          <w:tcPr>
            <w:tcW w:w="630" w:type="dxa"/>
          </w:tcPr>
          <w:p w14:paraId="5744E7C6"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11</w:t>
            </w:r>
          </w:p>
        </w:tc>
        <w:tc>
          <w:tcPr>
            <w:tcW w:w="630" w:type="dxa"/>
          </w:tcPr>
          <w:p w14:paraId="097C72F2"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07</w:t>
            </w:r>
          </w:p>
        </w:tc>
        <w:tc>
          <w:tcPr>
            <w:tcW w:w="630" w:type="dxa"/>
          </w:tcPr>
          <w:p w14:paraId="0652637E"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18</w:t>
            </w:r>
          </w:p>
        </w:tc>
        <w:tc>
          <w:tcPr>
            <w:tcW w:w="630" w:type="dxa"/>
          </w:tcPr>
          <w:p w14:paraId="21BF8762"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59</w:t>
            </w:r>
          </w:p>
        </w:tc>
        <w:tc>
          <w:tcPr>
            <w:tcW w:w="630" w:type="dxa"/>
          </w:tcPr>
          <w:p w14:paraId="4BB96D54"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57</w:t>
            </w:r>
          </w:p>
        </w:tc>
        <w:tc>
          <w:tcPr>
            <w:tcW w:w="630" w:type="dxa"/>
          </w:tcPr>
          <w:p w14:paraId="23A4083C"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75</w:t>
            </w:r>
          </w:p>
        </w:tc>
        <w:tc>
          <w:tcPr>
            <w:tcW w:w="360" w:type="dxa"/>
          </w:tcPr>
          <w:p w14:paraId="66DC9BAB"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C</w:t>
            </w:r>
          </w:p>
        </w:tc>
        <w:tc>
          <w:tcPr>
            <w:tcW w:w="630" w:type="dxa"/>
          </w:tcPr>
          <w:p w14:paraId="384CDFF7"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Blank</w:t>
            </w:r>
          </w:p>
        </w:tc>
        <w:tc>
          <w:tcPr>
            <w:tcW w:w="630" w:type="dxa"/>
          </w:tcPr>
          <w:p w14:paraId="7838CF55"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0627</w:t>
            </w:r>
          </w:p>
        </w:tc>
        <w:tc>
          <w:tcPr>
            <w:tcW w:w="630" w:type="dxa"/>
          </w:tcPr>
          <w:p w14:paraId="3676F075"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02</w:t>
            </w:r>
          </w:p>
        </w:tc>
        <w:tc>
          <w:tcPr>
            <w:tcW w:w="630" w:type="dxa"/>
          </w:tcPr>
          <w:p w14:paraId="0BF386A8"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0102</w:t>
            </w:r>
          </w:p>
        </w:tc>
        <w:tc>
          <w:tcPr>
            <w:tcW w:w="630" w:type="dxa"/>
          </w:tcPr>
          <w:p w14:paraId="18819FD1"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0076</w:t>
            </w:r>
          </w:p>
        </w:tc>
        <w:tc>
          <w:tcPr>
            <w:tcW w:w="630" w:type="dxa"/>
          </w:tcPr>
          <w:p w14:paraId="3FDCE506" w14:textId="77777777" w:rsidR="009B7AED" w:rsidRPr="00D4282A" w:rsidRDefault="009B7AED" w:rsidP="00D4282A">
            <w:pPr>
              <w:pStyle w:val="BodyFHWA"/>
              <w:spacing w:before="10" w:after="10"/>
              <w:ind w:left="0"/>
              <w:jc w:val="center"/>
              <w:rPr>
                <w:rFonts w:eastAsiaTheme="minorEastAsia" w:cs="Calibri"/>
                <w:color w:val="auto"/>
              </w:rPr>
            </w:pPr>
            <w:r w:rsidRPr="00D4282A">
              <w:rPr>
                <w:rFonts w:eastAsiaTheme="minorEastAsia" w:cs="Calibri"/>
              </w:rPr>
              <w:t>Blank</w:t>
            </w:r>
          </w:p>
        </w:tc>
        <w:tc>
          <w:tcPr>
            <w:tcW w:w="630" w:type="dxa"/>
          </w:tcPr>
          <w:p w14:paraId="184AF7B1" w14:textId="77777777" w:rsidR="009B7AED" w:rsidRPr="00D4282A" w:rsidRDefault="009B7AED" w:rsidP="00D4282A">
            <w:pPr>
              <w:pStyle w:val="BodyFHWA"/>
              <w:spacing w:before="10" w:after="10"/>
              <w:ind w:left="0"/>
              <w:jc w:val="center"/>
              <w:rPr>
                <w:rFonts w:eastAsiaTheme="minorEastAsia" w:cs="Calibri"/>
                <w:color w:val="auto"/>
              </w:rPr>
            </w:pPr>
            <w:r w:rsidRPr="00D4282A">
              <w:rPr>
                <w:rFonts w:eastAsiaTheme="minorEastAsia" w:cs="Calibri"/>
              </w:rPr>
              <w:t>Blank</w:t>
            </w:r>
          </w:p>
        </w:tc>
        <w:tc>
          <w:tcPr>
            <w:tcW w:w="640" w:type="dxa"/>
          </w:tcPr>
          <w:p w14:paraId="0F0CF2FB" w14:textId="77777777" w:rsidR="009B7AED" w:rsidRPr="00D4282A" w:rsidRDefault="009B7AED" w:rsidP="00D4282A">
            <w:pPr>
              <w:pStyle w:val="BodyFHWA"/>
              <w:spacing w:before="10" w:after="10"/>
              <w:ind w:left="0"/>
              <w:jc w:val="center"/>
              <w:rPr>
                <w:rFonts w:eastAsiaTheme="minorEastAsia" w:cs="Calibri"/>
                <w:color w:val="auto"/>
              </w:rPr>
            </w:pPr>
            <w:r w:rsidRPr="00D4282A">
              <w:rPr>
                <w:rFonts w:eastAsiaTheme="minorEastAsia" w:cs="Calibri"/>
              </w:rPr>
              <w:t>Blank</w:t>
            </w:r>
          </w:p>
        </w:tc>
      </w:tr>
      <w:tr w:rsidR="00D4282A" w:rsidRPr="00D4282A" w14:paraId="2EF65B6F" w14:textId="77777777" w:rsidTr="00E1261E">
        <w:trPr>
          <w:trHeight w:val="430"/>
        </w:trPr>
        <w:tc>
          <w:tcPr>
            <w:tcW w:w="1039" w:type="dxa"/>
          </w:tcPr>
          <w:p w14:paraId="6496BABE" w14:textId="77777777" w:rsidR="009B7AED" w:rsidRPr="00D4282A" w:rsidRDefault="009B7AED" w:rsidP="00D4282A">
            <w:pPr>
              <w:pStyle w:val="BodyFHWA"/>
              <w:spacing w:before="10" w:after="10"/>
              <w:ind w:left="0"/>
              <w:rPr>
                <w:rFonts w:eastAsiaTheme="minorEastAsia" w:cs="Calibri"/>
              </w:rPr>
            </w:pPr>
            <w:r w:rsidRPr="00D4282A">
              <w:rPr>
                <w:rStyle w:val="Bold"/>
                <w:rFonts w:cs="Calibri"/>
              </w:rPr>
              <w:t>Content 03 Example:</w:t>
            </w:r>
          </w:p>
        </w:tc>
        <w:tc>
          <w:tcPr>
            <w:tcW w:w="243" w:type="dxa"/>
          </w:tcPr>
          <w:p w14:paraId="0586F6B3"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I</w:t>
            </w:r>
          </w:p>
        </w:tc>
        <w:tc>
          <w:tcPr>
            <w:tcW w:w="423" w:type="dxa"/>
          </w:tcPr>
          <w:p w14:paraId="25B2E52E"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17</w:t>
            </w:r>
          </w:p>
        </w:tc>
        <w:tc>
          <w:tcPr>
            <w:tcW w:w="733" w:type="dxa"/>
          </w:tcPr>
          <w:p w14:paraId="5B0ED95F"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018118</w:t>
            </w:r>
          </w:p>
        </w:tc>
        <w:tc>
          <w:tcPr>
            <w:tcW w:w="342" w:type="dxa"/>
          </w:tcPr>
          <w:p w14:paraId="63B5EC2C"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3</w:t>
            </w:r>
          </w:p>
        </w:tc>
        <w:tc>
          <w:tcPr>
            <w:tcW w:w="360" w:type="dxa"/>
          </w:tcPr>
          <w:p w14:paraId="55324BF2"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4</w:t>
            </w:r>
          </w:p>
        </w:tc>
        <w:tc>
          <w:tcPr>
            <w:tcW w:w="630" w:type="dxa"/>
          </w:tcPr>
          <w:p w14:paraId="05985557"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2012</w:t>
            </w:r>
          </w:p>
        </w:tc>
        <w:tc>
          <w:tcPr>
            <w:tcW w:w="630" w:type="dxa"/>
          </w:tcPr>
          <w:p w14:paraId="400E9697"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11</w:t>
            </w:r>
          </w:p>
        </w:tc>
        <w:tc>
          <w:tcPr>
            <w:tcW w:w="630" w:type="dxa"/>
          </w:tcPr>
          <w:p w14:paraId="0AB3EA3D"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07</w:t>
            </w:r>
          </w:p>
        </w:tc>
        <w:tc>
          <w:tcPr>
            <w:tcW w:w="630" w:type="dxa"/>
          </w:tcPr>
          <w:p w14:paraId="332DCF4C"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19</w:t>
            </w:r>
          </w:p>
        </w:tc>
        <w:tc>
          <w:tcPr>
            <w:tcW w:w="630" w:type="dxa"/>
          </w:tcPr>
          <w:p w14:paraId="7F7665BB"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00</w:t>
            </w:r>
          </w:p>
        </w:tc>
        <w:tc>
          <w:tcPr>
            <w:tcW w:w="630" w:type="dxa"/>
          </w:tcPr>
          <w:p w14:paraId="7C29AFF0"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13</w:t>
            </w:r>
          </w:p>
        </w:tc>
        <w:tc>
          <w:tcPr>
            <w:tcW w:w="630" w:type="dxa"/>
          </w:tcPr>
          <w:p w14:paraId="664F97E0"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58</w:t>
            </w:r>
          </w:p>
        </w:tc>
        <w:tc>
          <w:tcPr>
            <w:tcW w:w="360" w:type="dxa"/>
          </w:tcPr>
          <w:p w14:paraId="168258CD"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C</w:t>
            </w:r>
          </w:p>
        </w:tc>
        <w:tc>
          <w:tcPr>
            <w:tcW w:w="630" w:type="dxa"/>
          </w:tcPr>
          <w:p w14:paraId="21955D95"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Blank</w:t>
            </w:r>
          </w:p>
        </w:tc>
        <w:tc>
          <w:tcPr>
            <w:tcW w:w="630" w:type="dxa"/>
          </w:tcPr>
          <w:p w14:paraId="7A33DDF0"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0606</w:t>
            </w:r>
          </w:p>
        </w:tc>
        <w:tc>
          <w:tcPr>
            <w:tcW w:w="630" w:type="dxa"/>
          </w:tcPr>
          <w:p w14:paraId="32D644F6"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08</w:t>
            </w:r>
          </w:p>
        </w:tc>
        <w:tc>
          <w:tcPr>
            <w:tcW w:w="630" w:type="dxa"/>
          </w:tcPr>
          <w:p w14:paraId="6120661C"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0845</w:t>
            </w:r>
          </w:p>
        </w:tc>
        <w:tc>
          <w:tcPr>
            <w:tcW w:w="630" w:type="dxa"/>
          </w:tcPr>
          <w:p w14:paraId="32FA2AB9"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0152</w:t>
            </w:r>
          </w:p>
        </w:tc>
        <w:tc>
          <w:tcPr>
            <w:tcW w:w="630" w:type="dxa"/>
          </w:tcPr>
          <w:p w14:paraId="4245B9EC"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0043</w:t>
            </w:r>
          </w:p>
        </w:tc>
        <w:tc>
          <w:tcPr>
            <w:tcW w:w="630" w:type="dxa"/>
          </w:tcPr>
          <w:p w14:paraId="07FA6DDA"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0154</w:t>
            </w:r>
          </w:p>
        </w:tc>
        <w:tc>
          <w:tcPr>
            <w:tcW w:w="640" w:type="dxa"/>
          </w:tcPr>
          <w:p w14:paraId="2D54F2E1" w14:textId="77777777" w:rsidR="009B7AED" w:rsidRPr="00D4282A" w:rsidRDefault="009B7AED" w:rsidP="00D4282A">
            <w:pPr>
              <w:pStyle w:val="BodyFHWA"/>
              <w:spacing w:before="10" w:after="10"/>
              <w:ind w:left="0"/>
              <w:jc w:val="center"/>
              <w:rPr>
                <w:rFonts w:eastAsiaTheme="minorEastAsia" w:cs="Calibri"/>
              </w:rPr>
            </w:pPr>
            <w:r w:rsidRPr="00D4282A">
              <w:rPr>
                <w:rFonts w:eastAsiaTheme="minorEastAsia" w:cs="Calibri"/>
              </w:rPr>
              <w:t>0045</w:t>
            </w:r>
          </w:p>
        </w:tc>
      </w:tr>
    </w:tbl>
    <w:p w14:paraId="3C1E85EB" w14:textId="77777777" w:rsidR="009B7AED" w:rsidRPr="00877387" w:rsidRDefault="009B7AED" w:rsidP="00D4282A">
      <w:pPr>
        <w:spacing w:before="120" w:after="120"/>
      </w:pPr>
      <w:r w:rsidRPr="00877387">
        <w:rPr>
          <w:i/>
          <w:iCs/>
        </w:rPr>
        <w:t>continued</w:t>
      </w:r>
    </w:p>
    <w:tbl>
      <w:tblPr>
        <w:tblStyle w:val="TMGTable"/>
        <w:tblW w:w="6395"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1085"/>
        <w:gridCol w:w="758"/>
        <w:gridCol w:w="759"/>
        <w:gridCol w:w="758"/>
        <w:gridCol w:w="759"/>
        <w:gridCol w:w="758"/>
        <w:gridCol w:w="759"/>
        <w:gridCol w:w="759"/>
      </w:tblGrid>
      <w:tr w:rsidR="009B7AED" w:rsidRPr="00D4282A" w14:paraId="0CF4EEEF" w14:textId="77777777" w:rsidTr="00E1261E">
        <w:trPr>
          <w:cnfStyle w:val="100000000000" w:firstRow="1" w:lastRow="0" w:firstColumn="0" w:lastColumn="0" w:oddVBand="0" w:evenVBand="0" w:oddHBand="0" w:evenHBand="0" w:firstRowFirstColumn="0" w:firstRowLastColumn="0" w:lastRowFirstColumn="0" w:lastRowLastColumn="0"/>
          <w:trHeight w:val="61"/>
        </w:trPr>
        <w:tc>
          <w:tcPr>
            <w:tcW w:w="1085" w:type="dxa"/>
          </w:tcPr>
          <w:p w14:paraId="7A0464FB" w14:textId="77777777" w:rsidR="009B7AED" w:rsidRPr="00D4282A" w:rsidRDefault="009B7AED" w:rsidP="00D4282A">
            <w:pPr>
              <w:pStyle w:val="TableTextDense"/>
              <w:spacing w:before="10" w:after="10" w:line="240" w:lineRule="auto"/>
              <w:contextualSpacing w:val="0"/>
              <w:rPr>
                <w:rFonts w:ascii="Calibri" w:hAnsi="Calibri" w:cs="Calibri"/>
                <w:b w:val="0"/>
                <w:bCs w:val="0"/>
                <w:sz w:val="20"/>
                <w:szCs w:val="20"/>
              </w:rPr>
            </w:pPr>
            <w:r w:rsidRPr="00D4282A">
              <w:rPr>
                <w:rFonts w:ascii="Calibri" w:hAnsi="Calibri" w:cs="Calibri"/>
                <w:sz w:val="20"/>
                <w:szCs w:val="20"/>
              </w:rPr>
              <w:t>Column Number:</w:t>
            </w:r>
          </w:p>
        </w:tc>
        <w:tc>
          <w:tcPr>
            <w:tcW w:w="758" w:type="dxa"/>
          </w:tcPr>
          <w:p w14:paraId="15A2DE82" w14:textId="77777777" w:rsidR="009B7AED" w:rsidRPr="00D4282A" w:rsidRDefault="009B7AED" w:rsidP="00D4282A">
            <w:pPr>
              <w:pStyle w:val="TableTextDense"/>
              <w:spacing w:before="10" w:after="10" w:line="240" w:lineRule="auto"/>
              <w:contextualSpacing w:val="0"/>
              <w:rPr>
                <w:rFonts w:ascii="Calibri" w:hAnsi="Calibri" w:cs="Calibri"/>
                <w:b w:val="0"/>
                <w:bCs w:val="0"/>
                <w:sz w:val="20"/>
                <w:szCs w:val="20"/>
              </w:rPr>
            </w:pPr>
            <w:r w:rsidRPr="00D4282A">
              <w:rPr>
                <w:rFonts w:ascii="Calibri" w:hAnsi="Calibri" w:cs="Calibri"/>
                <w:sz w:val="20"/>
                <w:szCs w:val="20"/>
              </w:rPr>
              <w:t>62-65</w:t>
            </w:r>
          </w:p>
        </w:tc>
        <w:tc>
          <w:tcPr>
            <w:tcW w:w="759" w:type="dxa"/>
          </w:tcPr>
          <w:p w14:paraId="243ED54E" w14:textId="77777777" w:rsidR="009B7AED" w:rsidRPr="00D4282A" w:rsidRDefault="009B7AED" w:rsidP="00D4282A">
            <w:pPr>
              <w:pStyle w:val="TableTextDense"/>
              <w:spacing w:before="10" w:after="10" w:line="240" w:lineRule="auto"/>
              <w:contextualSpacing w:val="0"/>
              <w:rPr>
                <w:rFonts w:ascii="Calibri" w:hAnsi="Calibri" w:cs="Calibri"/>
                <w:b w:val="0"/>
                <w:bCs w:val="0"/>
                <w:sz w:val="20"/>
                <w:szCs w:val="20"/>
              </w:rPr>
            </w:pPr>
            <w:r w:rsidRPr="00D4282A">
              <w:rPr>
                <w:rFonts w:ascii="Calibri" w:hAnsi="Calibri" w:cs="Calibri"/>
                <w:sz w:val="20"/>
                <w:szCs w:val="20"/>
              </w:rPr>
              <w:t>66-69</w:t>
            </w:r>
          </w:p>
        </w:tc>
        <w:tc>
          <w:tcPr>
            <w:tcW w:w="758" w:type="dxa"/>
          </w:tcPr>
          <w:p w14:paraId="1989CE08" w14:textId="77777777" w:rsidR="009B7AED" w:rsidRPr="00D4282A" w:rsidRDefault="009B7AED" w:rsidP="00D4282A">
            <w:pPr>
              <w:pStyle w:val="TableTextDense"/>
              <w:spacing w:before="10" w:after="10" w:line="240" w:lineRule="auto"/>
              <w:contextualSpacing w:val="0"/>
              <w:rPr>
                <w:rFonts w:ascii="Calibri" w:hAnsi="Calibri" w:cs="Calibri"/>
                <w:b w:val="0"/>
                <w:bCs w:val="0"/>
                <w:sz w:val="20"/>
                <w:szCs w:val="20"/>
              </w:rPr>
            </w:pPr>
            <w:r w:rsidRPr="00D4282A">
              <w:rPr>
                <w:rFonts w:ascii="Calibri" w:hAnsi="Calibri" w:cs="Calibri"/>
                <w:sz w:val="20"/>
                <w:szCs w:val="20"/>
              </w:rPr>
              <w:t>70-73</w:t>
            </w:r>
          </w:p>
        </w:tc>
        <w:tc>
          <w:tcPr>
            <w:tcW w:w="759" w:type="dxa"/>
          </w:tcPr>
          <w:p w14:paraId="56B1C154" w14:textId="77777777" w:rsidR="009B7AED" w:rsidRPr="00D4282A" w:rsidRDefault="009B7AED" w:rsidP="00D4282A">
            <w:pPr>
              <w:pStyle w:val="TableTextDense"/>
              <w:spacing w:before="10" w:after="10" w:line="240" w:lineRule="auto"/>
              <w:contextualSpacing w:val="0"/>
              <w:rPr>
                <w:rFonts w:ascii="Calibri" w:hAnsi="Calibri" w:cs="Calibri"/>
                <w:b w:val="0"/>
                <w:bCs w:val="0"/>
                <w:sz w:val="20"/>
                <w:szCs w:val="20"/>
              </w:rPr>
            </w:pPr>
            <w:r w:rsidRPr="00D4282A">
              <w:rPr>
                <w:rFonts w:ascii="Calibri" w:hAnsi="Calibri" w:cs="Calibri"/>
                <w:sz w:val="20"/>
                <w:szCs w:val="20"/>
              </w:rPr>
              <w:t>74-77</w:t>
            </w:r>
          </w:p>
        </w:tc>
        <w:tc>
          <w:tcPr>
            <w:tcW w:w="758" w:type="dxa"/>
          </w:tcPr>
          <w:p w14:paraId="7C5284BC" w14:textId="77777777" w:rsidR="009B7AED" w:rsidRPr="00D4282A" w:rsidRDefault="009B7AED" w:rsidP="00D4282A">
            <w:pPr>
              <w:pStyle w:val="TableTextDense"/>
              <w:spacing w:before="10" w:after="10" w:line="240" w:lineRule="auto"/>
              <w:contextualSpacing w:val="0"/>
              <w:rPr>
                <w:rFonts w:ascii="Calibri" w:hAnsi="Calibri" w:cs="Calibri"/>
                <w:b w:val="0"/>
                <w:bCs w:val="0"/>
                <w:sz w:val="20"/>
                <w:szCs w:val="20"/>
              </w:rPr>
            </w:pPr>
            <w:r w:rsidRPr="00D4282A">
              <w:rPr>
                <w:rFonts w:ascii="Calibri" w:hAnsi="Calibri" w:cs="Calibri"/>
                <w:sz w:val="20"/>
                <w:szCs w:val="20"/>
              </w:rPr>
              <w:t>78-81</w:t>
            </w:r>
          </w:p>
        </w:tc>
        <w:tc>
          <w:tcPr>
            <w:tcW w:w="759" w:type="dxa"/>
          </w:tcPr>
          <w:p w14:paraId="04BB1C9B" w14:textId="77777777" w:rsidR="009B7AED" w:rsidRPr="00D4282A" w:rsidRDefault="009B7AED" w:rsidP="00D4282A">
            <w:pPr>
              <w:pStyle w:val="TableTextDense"/>
              <w:spacing w:before="10" w:after="10" w:line="240" w:lineRule="auto"/>
              <w:contextualSpacing w:val="0"/>
              <w:rPr>
                <w:rFonts w:ascii="Calibri" w:hAnsi="Calibri" w:cs="Calibri"/>
                <w:b w:val="0"/>
                <w:bCs w:val="0"/>
                <w:sz w:val="20"/>
                <w:szCs w:val="20"/>
              </w:rPr>
            </w:pPr>
            <w:r w:rsidRPr="00D4282A">
              <w:rPr>
                <w:rFonts w:ascii="Calibri" w:hAnsi="Calibri" w:cs="Calibri"/>
                <w:sz w:val="20"/>
                <w:szCs w:val="20"/>
              </w:rPr>
              <w:t>82-85</w:t>
            </w:r>
          </w:p>
        </w:tc>
        <w:tc>
          <w:tcPr>
            <w:tcW w:w="759" w:type="dxa"/>
          </w:tcPr>
          <w:p w14:paraId="194526F9" w14:textId="77777777" w:rsidR="009B7AED" w:rsidRPr="00D4282A" w:rsidRDefault="009B7AED" w:rsidP="00D4282A">
            <w:pPr>
              <w:pStyle w:val="TableTextDense"/>
              <w:spacing w:before="10" w:after="10" w:line="240" w:lineRule="auto"/>
              <w:contextualSpacing w:val="0"/>
              <w:rPr>
                <w:rFonts w:ascii="Calibri" w:hAnsi="Calibri" w:cs="Calibri"/>
                <w:b w:val="0"/>
                <w:bCs w:val="0"/>
                <w:sz w:val="20"/>
                <w:szCs w:val="20"/>
              </w:rPr>
            </w:pPr>
            <w:r w:rsidRPr="00D4282A">
              <w:rPr>
                <w:rFonts w:ascii="Calibri" w:hAnsi="Calibri" w:cs="Calibri"/>
                <w:sz w:val="20"/>
                <w:szCs w:val="20"/>
              </w:rPr>
              <w:t>86-89</w:t>
            </w:r>
          </w:p>
        </w:tc>
      </w:tr>
      <w:tr w:rsidR="009B7AED" w:rsidRPr="00D4282A" w14:paraId="431CBA3B" w14:textId="77777777" w:rsidTr="00E1261E">
        <w:trPr>
          <w:trHeight w:val="61"/>
        </w:trPr>
        <w:tc>
          <w:tcPr>
            <w:tcW w:w="1085" w:type="dxa"/>
          </w:tcPr>
          <w:p w14:paraId="2B7EFD73" w14:textId="77777777" w:rsidR="009B7AED" w:rsidRPr="00D4282A" w:rsidRDefault="009B7AED" w:rsidP="00D4282A">
            <w:pPr>
              <w:pStyle w:val="TableTextDense"/>
              <w:spacing w:before="10" w:after="10" w:line="240" w:lineRule="auto"/>
              <w:contextualSpacing w:val="0"/>
              <w:rPr>
                <w:rFonts w:ascii="Calibri" w:hAnsi="Calibri" w:cs="Calibri"/>
                <w:sz w:val="20"/>
                <w:szCs w:val="20"/>
              </w:rPr>
            </w:pPr>
            <w:r w:rsidRPr="00D4282A">
              <w:rPr>
                <w:rStyle w:val="Bold"/>
                <w:rFonts w:ascii="Calibri" w:hAnsi="Calibri" w:cs="Calibri"/>
                <w:sz w:val="20"/>
                <w:szCs w:val="20"/>
              </w:rPr>
              <w:t>Content 01 Example:</w:t>
            </w:r>
          </w:p>
        </w:tc>
        <w:tc>
          <w:tcPr>
            <w:tcW w:w="758" w:type="dxa"/>
          </w:tcPr>
          <w:p w14:paraId="41CDE837" w14:textId="77777777" w:rsidR="009B7AED" w:rsidRPr="00D4282A" w:rsidRDefault="009B7AED" w:rsidP="00D4282A">
            <w:pPr>
              <w:pStyle w:val="TableTextDense"/>
              <w:spacing w:before="10" w:after="10" w:line="240" w:lineRule="auto"/>
              <w:contextualSpacing w:val="0"/>
              <w:rPr>
                <w:rFonts w:ascii="Calibri" w:hAnsi="Calibri" w:cs="Calibri"/>
                <w:sz w:val="20"/>
                <w:szCs w:val="20"/>
              </w:rPr>
            </w:pPr>
            <w:r w:rsidRPr="00D4282A">
              <w:rPr>
                <w:rFonts w:ascii="Calibri" w:hAnsi="Calibri" w:cs="Calibri"/>
                <w:sz w:val="20"/>
                <w:szCs w:val="20"/>
              </w:rPr>
              <w:t>Blank</w:t>
            </w:r>
          </w:p>
        </w:tc>
        <w:tc>
          <w:tcPr>
            <w:tcW w:w="759" w:type="dxa"/>
          </w:tcPr>
          <w:p w14:paraId="13524BBE" w14:textId="77777777" w:rsidR="009B7AED" w:rsidRPr="00D4282A" w:rsidRDefault="009B7AED" w:rsidP="00D4282A">
            <w:pPr>
              <w:pStyle w:val="TableTextDense"/>
              <w:spacing w:before="10" w:after="10" w:line="240" w:lineRule="auto"/>
              <w:contextualSpacing w:val="0"/>
              <w:rPr>
                <w:rFonts w:ascii="Calibri" w:hAnsi="Calibri" w:cs="Calibri"/>
                <w:sz w:val="20"/>
                <w:szCs w:val="20"/>
              </w:rPr>
            </w:pPr>
            <w:r w:rsidRPr="00D4282A">
              <w:rPr>
                <w:rFonts w:ascii="Calibri" w:hAnsi="Calibri" w:cs="Calibri"/>
                <w:sz w:val="20"/>
                <w:szCs w:val="20"/>
              </w:rPr>
              <w:t>Blank</w:t>
            </w:r>
          </w:p>
        </w:tc>
        <w:tc>
          <w:tcPr>
            <w:tcW w:w="758" w:type="dxa"/>
          </w:tcPr>
          <w:p w14:paraId="57306F9F" w14:textId="77777777" w:rsidR="009B7AED" w:rsidRPr="00D4282A" w:rsidRDefault="009B7AED" w:rsidP="00D4282A">
            <w:pPr>
              <w:pStyle w:val="TableTextDense"/>
              <w:spacing w:before="10" w:after="10" w:line="240" w:lineRule="auto"/>
              <w:contextualSpacing w:val="0"/>
              <w:rPr>
                <w:rFonts w:ascii="Calibri" w:hAnsi="Calibri" w:cs="Calibri"/>
                <w:sz w:val="20"/>
                <w:szCs w:val="20"/>
              </w:rPr>
            </w:pPr>
            <w:r w:rsidRPr="00D4282A">
              <w:rPr>
                <w:rFonts w:ascii="Calibri" w:hAnsi="Calibri" w:cs="Calibri"/>
                <w:sz w:val="20"/>
                <w:szCs w:val="20"/>
              </w:rPr>
              <w:t>Blank</w:t>
            </w:r>
          </w:p>
        </w:tc>
        <w:tc>
          <w:tcPr>
            <w:tcW w:w="759" w:type="dxa"/>
          </w:tcPr>
          <w:p w14:paraId="7836F80E" w14:textId="77777777" w:rsidR="009B7AED" w:rsidRPr="00D4282A" w:rsidRDefault="009B7AED" w:rsidP="00D4282A">
            <w:pPr>
              <w:pStyle w:val="TableTextDense"/>
              <w:spacing w:before="10" w:after="10" w:line="240" w:lineRule="auto"/>
              <w:contextualSpacing w:val="0"/>
              <w:rPr>
                <w:rFonts w:ascii="Calibri" w:hAnsi="Calibri" w:cs="Calibri"/>
                <w:sz w:val="20"/>
                <w:szCs w:val="20"/>
              </w:rPr>
            </w:pPr>
            <w:r w:rsidRPr="00D4282A">
              <w:rPr>
                <w:rFonts w:ascii="Calibri" w:hAnsi="Calibri" w:cs="Calibri"/>
                <w:sz w:val="20"/>
                <w:szCs w:val="20"/>
              </w:rPr>
              <w:t>Blank</w:t>
            </w:r>
          </w:p>
        </w:tc>
        <w:tc>
          <w:tcPr>
            <w:tcW w:w="758" w:type="dxa"/>
          </w:tcPr>
          <w:p w14:paraId="6FD7345C" w14:textId="77777777" w:rsidR="009B7AED" w:rsidRPr="00D4282A" w:rsidRDefault="009B7AED" w:rsidP="00D4282A">
            <w:pPr>
              <w:pStyle w:val="TableTextDense"/>
              <w:spacing w:before="10" w:after="10" w:line="240" w:lineRule="auto"/>
              <w:contextualSpacing w:val="0"/>
              <w:rPr>
                <w:rFonts w:ascii="Calibri" w:hAnsi="Calibri" w:cs="Calibri"/>
                <w:sz w:val="20"/>
                <w:szCs w:val="20"/>
              </w:rPr>
            </w:pPr>
            <w:r w:rsidRPr="00D4282A">
              <w:rPr>
                <w:rFonts w:ascii="Calibri" w:hAnsi="Calibri" w:cs="Calibri"/>
                <w:sz w:val="20"/>
                <w:szCs w:val="20"/>
              </w:rPr>
              <w:t>Blank</w:t>
            </w:r>
          </w:p>
        </w:tc>
        <w:tc>
          <w:tcPr>
            <w:tcW w:w="759" w:type="dxa"/>
          </w:tcPr>
          <w:p w14:paraId="2E009041" w14:textId="77777777" w:rsidR="009B7AED" w:rsidRPr="00D4282A" w:rsidRDefault="009B7AED" w:rsidP="00D4282A">
            <w:pPr>
              <w:pStyle w:val="TableTextDense"/>
              <w:spacing w:before="10" w:after="10" w:line="240" w:lineRule="auto"/>
              <w:contextualSpacing w:val="0"/>
              <w:rPr>
                <w:rFonts w:ascii="Calibri" w:hAnsi="Calibri" w:cs="Calibri"/>
                <w:sz w:val="20"/>
                <w:szCs w:val="20"/>
              </w:rPr>
            </w:pPr>
            <w:r w:rsidRPr="00D4282A">
              <w:rPr>
                <w:rFonts w:ascii="Calibri" w:hAnsi="Calibri" w:cs="Calibri"/>
                <w:sz w:val="20"/>
                <w:szCs w:val="20"/>
              </w:rPr>
              <w:t>Blank</w:t>
            </w:r>
          </w:p>
        </w:tc>
        <w:tc>
          <w:tcPr>
            <w:tcW w:w="759" w:type="dxa"/>
          </w:tcPr>
          <w:p w14:paraId="66AAD791" w14:textId="77777777" w:rsidR="009B7AED" w:rsidRPr="00D4282A" w:rsidRDefault="009B7AED" w:rsidP="00D4282A">
            <w:pPr>
              <w:pStyle w:val="TableTextDense"/>
              <w:spacing w:before="10" w:after="10" w:line="240" w:lineRule="auto"/>
              <w:contextualSpacing w:val="0"/>
              <w:rPr>
                <w:rFonts w:ascii="Calibri" w:hAnsi="Calibri" w:cs="Calibri"/>
                <w:sz w:val="20"/>
                <w:szCs w:val="20"/>
              </w:rPr>
            </w:pPr>
            <w:r w:rsidRPr="00D4282A">
              <w:rPr>
                <w:rFonts w:ascii="Calibri" w:hAnsi="Calibri" w:cs="Calibri"/>
                <w:sz w:val="20"/>
                <w:szCs w:val="20"/>
              </w:rPr>
              <w:t>Blank</w:t>
            </w:r>
          </w:p>
        </w:tc>
      </w:tr>
      <w:tr w:rsidR="009B7AED" w:rsidRPr="00D4282A" w14:paraId="14C9A01E" w14:textId="77777777" w:rsidTr="00E1261E">
        <w:trPr>
          <w:trHeight w:val="61"/>
        </w:trPr>
        <w:tc>
          <w:tcPr>
            <w:tcW w:w="1085" w:type="dxa"/>
          </w:tcPr>
          <w:p w14:paraId="40213A22" w14:textId="77777777" w:rsidR="009B7AED" w:rsidRPr="00D4282A" w:rsidRDefault="009B7AED" w:rsidP="00D4282A">
            <w:pPr>
              <w:pStyle w:val="TableTextDense"/>
              <w:spacing w:before="10" w:after="10" w:line="240" w:lineRule="auto"/>
              <w:contextualSpacing w:val="0"/>
              <w:rPr>
                <w:rFonts w:ascii="Calibri" w:hAnsi="Calibri" w:cs="Calibri"/>
                <w:sz w:val="20"/>
                <w:szCs w:val="20"/>
              </w:rPr>
            </w:pPr>
            <w:r w:rsidRPr="00D4282A">
              <w:rPr>
                <w:rStyle w:val="Bold"/>
                <w:rFonts w:ascii="Calibri" w:hAnsi="Calibri" w:cs="Calibri"/>
                <w:sz w:val="20"/>
                <w:szCs w:val="20"/>
              </w:rPr>
              <w:t>Content 02 Example:</w:t>
            </w:r>
          </w:p>
        </w:tc>
        <w:tc>
          <w:tcPr>
            <w:tcW w:w="758" w:type="dxa"/>
          </w:tcPr>
          <w:p w14:paraId="55BFF5E1" w14:textId="77777777" w:rsidR="009B7AED" w:rsidRPr="00D4282A" w:rsidRDefault="009B7AED" w:rsidP="00D4282A">
            <w:pPr>
              <w:pStyle w:val="TableTextDense"/>
              <w:spacing w:before="10" w:after="10" w:line="240" w:lineRule="auto"/>
              <w:contextualSpacing w:val="0"/>
              <w:rPr>
                <w:rFonts w:ascii="Calibri" w:hAnsi="Calibri" w:cs="Calibri"/>
                <w:sz w:val="20"/>
                <w:szCs w:val="20"/>
              </w:rPr>
            </w:pPr>
            <w:r w:rsidRPr="00D4282A">
              <w:rPr>
                <w:rFonts w:ascii="Calibri" w:hAnsi="Calibri" w:cs="Calibri"/>
                <w:sz w:val="20"/>
                <w:szCs w:val="20"/>
              </w:rPr>
              <w:t>Blank</w:t>
            </w:r>
          </w:p>
        </w:tc>
        <w:tc>
          <w:tcPr>
            <w:tcW w:w="759" w:type="dxa"/>
          </w:tcPr>
          <w:p w14:paraId="4048962D" w14:textId="77777777" w:rsidR="009B7AED" w:rsidRPr="00D4282A" w:rsidRDefault="009B7AED" w:rsidP="00D4282A">
            <w:pPr>
              <w:pStyle w:val="TableTextDense"/>
              <w:spacing w:before="10" w:after="10" w:line="240" w:lineRule="auto"/>
              <w:contextualSpacing w:val="0"/>
              <w:rPr>
                <w:rFonts w:ascii="Calibri" w:hAnsi="Calibri" w:cs="Calibri"/>
                <w:sz w:val="20"/>
                <w:szCs w:val="20"/>
              </w:rPr>
            </w:pPr>
            <w:r w:rsidRPr="00D4282A">
              <w:rPr>
                <w:rFonts w:ascii="Calibri" w:hAnsi="Calibri" w:cs="Calibri"/>
                <w:sz w:val="20"/>
                <w:szCs w:val="20"/>
              </w:rPr>
              <w:t>Blank</w:t>
            </w:r>
          </w:p>
        </w:tc>
        <w:tc>
          <w:tcPr>
            <w:tcW w:w="758" w:type="dxa"/>
          </w:tcPr>
          <w:p w14:paraId="3BB6033B" w14:textId="77777777" w:rsidR="009B7AED" w:rsidRPr="00D4282A" w:rsidRDefault="009B7AED" w:rsidP="00D4282A">
            <w:pPr>
              <w:pStyle w:val="TableTextDense"/>
              <w:spacing w:before="10" w:after="10" w:line="240" w:lineRule="auto"/>
              <w:contextualSpacing w:val="0"/>
              <w:rPr>
                <w:rFonts w:ascii="Calibri" w:hAnsi="Calibri" w:cs="Calibri"/>
                <w:sz w:val="20"/>
                <w:szCs w:val="20"/>
              </w:rPr>
            </w:pPr>
            <w:r w:rsidRPr="00D4282A">
              <w:rPr>
                <w:rFonts w:ascii="Calibri" w:hAnsi="Calibri" w:cs="Calibri"/>
                <w:sz w:val="20"/>
                <w:szCs w:val="20"/>
              </w:rPr>
              <w:t>Blank</w:t>
            </w:r>
          </w:p>
        </w:tc>
        <w:tc>
          <w:tcPr>
            <w:tcW w:w="759" w:type="dxa"/>
          </w:tcPr>
          <w:p w14:paraId="50A6C1D4" w14:textId="77777777" w:rsidR="009B7AED" w:rsidRPr="00D4282A" w:rsidRDefault="009B7AED" w:rsidP="00D4282A">
            <w:pPr>
              <w:pStyle w:val="TableTextDense"/>
              <w:spacing w:before="10" w:after="10" w:line="240" w:lineRule="auto"/>
              <w:contextualSpacing w:val="0"/>
              <w:rPr>
                <w:rFonts w:ascii="Calibri" w:hAnsi="Calibri" w:cs="Calibri"/>
                <w:sz w:val="20"/>
                <w:szCs w:val="20"/>
              </w:rPr>
            </w:pPr>
            <w:r w:rsidRPr="00D4282A">
              <w:rPr>
                <w:rFonts w:ascii="Calibri" w:hAnsi="Calibri" w:cs="Calibri"/>
                <w:sz w:val="20"/>
                <w:szCs w:val="20"/>
              </w:rPr>
              <w:t>Blank</w:t>
            </w:r>
          </w:p>
        </w:tc>
        <w:tc>
          <w:tcPr>
            <w:tcW w:w="758" w:type="dxa"/>
          </w:tcPr>
          <w:p w14:paraId="2866C23A" w14:textId="77777777" w:rsidR="009B7AED" w:rsidRPr="00D4282A" w:rsidRDefault="009B7AED" w:rsidP="00D4282A">
            <w:pPr>
              <w:pStyle w:val="TableTextDense"/>
              <w:spacing w:before="10" w:after="10" w:line="240" w:lineRule="auto"/>
              <w:contextualSpacing w:val="0"/>
              <w:rPr>
                <w:rFonts w:ascii="Calibri" w:hAnsi="Calibri" w:cs="Calibri"/>
                <w:sz w:val="20"/>
                <w:szCs w:val="20"/>
              </w:rPr>
            </w:pPr>
            <w:r w:rsidRPr="00D4282A">
              <w:rPr>
                <w:rFonts w:ascii="Calibri" w:hAnsi="Calibri" w:cs="Calibri"/>
                <w:sz w:val="20"/>
                <w:szCs w:val="20"/>
              </w:rPr>
              <w:t>Blank</w:t>
            </w:r>
          </w:p>
        </w:tc>
        <w:tc>
          <w:tcPr>
            <w:tcW w:w="759" w:type="dxa"/>
          </w:tcPr>
          <w:p w14:paraId="0935E73E" w14:textId="77777777" w:rsidR="009B7AED" w:rsidRPr="00D4282A" w:rsidRDefault="009B7AED" w:rsidP="00D4282A">
            <w:pPr>
              <w:pStyle w:val="TableTextDense"/>
              <w:spacing w:before="10" w:after="10" w:line="240" w:lineRule="auto"/>
              <w:contextualSpacing w:val="0"/>
              <w:rPr>
                <w:rFonts w:ascii="Calibri" w:hAnsi="Calibri" w:cs="Calibri"/>
                <w:sz w:val="20"/>
                <w:szCs w:val="20"/>
              </w:rPr>
            </w:pPr>
            <w:r w:rsidRPr="00D4282A">
              <w:rPr>
                <w:rFonts w:ascii="Calibri" w:hAnsi="Calibri" w:cs="Calibri"/>
                <w:sz w:val="20"/>
                <w:szCs w:val="20"/>
              </w:rPr>
              <w:t>Blank</w:t>
            </w:r>
          </w:p>
        </w:tc>
        <w:tc>
          <w:tcPr>
            <w:tcW w:w="759" w:type="dxa"/>
          </w:tcPr>
          <w:p w14:paraId="73F4E387" w14:textId="77777777" w:rsidR="009B7AED" w:rsidRPr="00D4282A" w:rsidRDefault="009B7AED" w:rsidP="00D4282A">
            <w:pPr>
              <w:pStyle w:val="TableTextDense"/>
              <w:spacing w:before="10" w:after="10" w:line="240" w:lineRule="auto"/>
              <w:contextualSpacing w:val="0"/>
              <w:rPr>
                <w:rFonts w:ascii="Calibri" w:hAnsi="Calibri" w:cs="Calibri"/>
                <w:sz w:val="20"/>
                <w:szCs w:val="20"/>
              </w:rPr>
            </w:pPr>
            <w:r w:rsidRPr="00D4282A">
              <w:rPr>
                <w:rFonts w:ascii="Calibri" w:hAnsi="Calibri" w:cs="Calibri"/>
                <w:sz w:val="20"/>
                <w:szCs w:val="20"/>
              </w:rPr>
              <w:t>Blank</w:t>
            </w:r>
          </w:p>
        </w:tc>
      </w:tr>
      <w:tr w:rsidR="009B7AED" w:rsidRPr="00D4282A" w14:paraId="11C8E2B5" w14:textId="77777777" w:rsidTr="00E1261E">
        <w:trPr>
          <w:trHeight w:val="61"/>
        </w:trPr>
        <w:tc>
          <w:tcPr>
            <w:tcW w:w="1085" w:type="dxa"/>
          </w:tcPr>
          <w:p w14:paraId="16104BEF" w14:textId="77777777" w:rsidR="009B7AED" w:rsidRPr="00D4282A" w:rsidRDefault="009B7AED" w:rsidP="00D4282A">
            <w:pPr>
              <w:pStyle w:val="TableTextDense"/>
              <w:spacing w:before="10" w:after="10" w:line="240" w:lineRule="auto"/>
              <w:contextualSpacing w:val="0"/>
              <w:rPr>
                <w:rFonts w:ascii="Calibri" w:hAnsi="Calibri" w:cs="Calibri"/>
                <w:sz w:val="20"/>
                <w:szCs w:val="20"/>
              </w:rPr>
            </w:pPr>
            <w:r w:rsidRPr="00D4282A">
              <w:rPr>
                <w:rStyle w:val="Bold"/>
                <w:rFonts w:ascii="Calibri" w:hAnsi="Calibri" w:cs="Calibri"/>
                <w:sz w:val="20"/>
                <w:szCs w:val="20"/>
              </w:rPr>
              <w:t>Content 03 Example:</w:t>
            </w:r>
          </w:p>
        </w:tc>
        <w:tc>
          <w:tcPr>
            <w:tcW w:w="758" w:type="dxa"/>
          </w:tcPr>
          <w:p w14:paraId="0A3DC9AC" w14:textId="77777777" w:rsidR="009B7AED" w:rsidRPr="00D4282A" w:rsidRDefault="009B7AED" w:rsidP="00D4282A">
            <w:pPr>
              <w:pStyle w:val="TableTextDense"/>
              <w:spacing w:before="10" w:after="10" w:line="240" w:lineRule="auto"/>
              <w:contextualSpacing w:val="0"/>
              <w:rPr>
                <w:rFonts w:ascii="Calibri" w:hAnsi="Calibri" w:cs="Calibri"/>
                <w:sz w:val="20"/>
                <w:szCs w:val="20"/>
              </w:rPr>
            </w:pPr>
            <w:r w:rsidRPr="00D4282A">
              <w:rPr>
                <w:rFonts w:ascii="Calibri" w:hAnsi="Calibri" w:cs="Calibri"/>
                <w:sz w:val="20"/>
                <w:szCs w:val="20"/>
              </w:rPr>
              <w:t>0128</w:t>
            </w:r>
          </w:p>
        </w:tc>
        <w:tc>
          <w:tcPr>
            <w:tcW w:w="759" w:type="dxa"/>
          </w:tcPr>
          <w:p w14:paraId="7F6E87A6" w14:textId="77777777" w:rsidR="009B7AED" w:rsidRPr="00D4282A" w:rsidRDefault="009B7AED" w:rsidP="00D4282A">
            <w:pPr>
              <w:pStyle w:val="TableTextDense"/>
              <w:spacing w:before="10" w:after="10" w:line="240" w:lineRule="auto"/>
              <w:contextualSpacing w:val="0"/>
              <w:rPr>
                <w:rFonts w:ascii="Calibri" w:hAnsi="Calibri" w:cs="Calibri"/>
                <w:sz w:val="20"/>
                <w:szCs w:val="20"/>
              </w:rPr>
            </w:pPr>
            <w:r w:rsidRPr="00D4282A">
              <w:rPr>
                <w:rFonts w:ascii="Calibri" w:hAnsi="Calibri" w:cs="Calibri"/>
                <w:sz w:val="20"/>
                <w:szCs w:val="20"/>
              </w:rPr>
              <w:t>0147</w:t>
            </w:r>
          </w:p>
        </w:tc>
        <w:tc>
          <w:tcPr>
            <w:tcW w:w="758" w:type="dxa"/>
          </w:tcPr>
          <w:p w14:paraId="4E56E609" w14:textId="77777777" w:rsidR="009B7AED" w:rsidRPr="00D4282A" w:rsidRDefault="009B7AED" w:rsidP="00D4282A">
            <w:pPr>
              <w:pStyle w:val="TableTextDense"/>
              <w:spacing w:before="10" w:after="10" w:line="240" w:lineRule="auto"/>
              <w:contextualSpacing w:val="0"/>
              <w:rPr>
                <w:rFonts w:ascii="Calibri" w:hAnsi="Calibri" w:cs="Calibri"/>
                <w:sz w:val="20"/>
                <w:szCs w:val="20"/>
              </w:rPr>
            </w:pPr>
            <w:r w:rsidRPr="00D4282A">
              <w:rPr>
                <w:rFonts w:ascii="Calibri" w:hAnsi="Calibri" w:cs="Calibri"/>
                <w:sz w:val="20"/>
                <w:szCs w:val="20"/>
              </w:rPr>
              <w:t>0046</w:t>
            </w:r>
          </w:p>
        </w:tc>
        <w:tc>
          <w:tcPr>
            <w:tcW w:w="759" w:type="dxa"/>
          </w:tcPr>
          <w:p w14:paraId="76C3D57C" w14:textId="77777777" w:rsidR="009B7AED" w:rsidRPr="00D4282A" w:rsidRDefault="009B7AED" w:rsidP="00D4282A">
            <w:pPr>
              <w:pStyle w:val="TableTextDense"/>
              <w:spacing w:before="10" w:after="10" w:line="240" w:lineRule="auto"/>
              <w:contextualSpacing w:val="0"/>
              <w:rPr>
                <w:rFonts w:ascii="Calibri" w:hAnsi="Calibri" w:cs="Calibri"/>
                <w:sz w:val="20"/>
                <w:szCs w:val="20"/>
              </w:rPr>
            </w:pPr>
            <w:r w:rsidRPr="00D4282A">
              <w:rPr>
                <w:rFonts w:ascii="Calibri" w:hAnsi="Calibri" w:cs="Calibri"/>
                <w:sz w:val="20"/>
                <w:szCs w:val="20"/>
              </w:rPr>
              <w:t>Blank</w:t>
            </w:r>
          </w:p>
        </w:tc>
        <w:tc>
          <w:tcPr>
            <w:tcW w:w="758" w:type="dxa"/>
          </w:tcPr>
          <w:p w14:paraId="51E1FDAB" w14:textId="77777777" w:rsidR="009B7AED" w:rsidRPr="00D4282A" w:rsidRDefault="009B7AED" w:rsidP="00D4282A">
            <w:pPr>
              <w:pStyle w:val="TableTextDense"/>
              <w:spacing w:before="10" w:after="10" w:line="240" w:lineRule="auto"/>
              <w:contextualSpacing w:val="0"/>
              <w:rPr>
                <w:rFonts w:ascii="Calibri" w:hAnsi="Calibri" w:cs="Calibri"/>
                <w:sz w:val="20"/>
                <w:szCs w:val="20"/>
              </w:rPr>
            </w:pPr>
            <w:r w:rsidRPr="00D4282A">
              <w:rPr>
                <w:rFonts w:ascii="Calibri" w:hAnsi="Calibri" w:cs="Calibri"/>
                <w:sz w:val="20"/>
                <w:szCs w:val="20"/>
              </w:rPr>
              <w:t>Blank</w:t>
            </w:r>
          </w:p>
        </w:tc>
        <w:tc>
          <w:tcPr>
            <w:tcW w:w="759" w:type="dxa"/>
          </w:tcPr>
          <w:p w14:paraId="65CD5A44" w14:textId="77777777" w:rsidR="009B7AED" w:rsidRPr="00D4282A" w:rsidRDefault="009B7AED" w:rsidP="00D4282A">
            <w:pPr>
              <w:pStyle w:val="TableTextDense"/>
              <w:spacing w:before="10" w:after="10" w:line="240" w:lineRule="auto"/>
              <w:contextualSpacing w:val="0"/>
              <w:rPr>
                <w:rFonts w:ascii="Calibri" w:hAnsi="Calibri" w:cs="Calibri"/>
                <w:sz w:val="20"/>
                <w:szCs w:val="20"/>
              </w:rPr>
            </w:pPr>
            <w:r w:rsidRPr="00D4282A">
              <w:rPr>
                <w:rFonts w:ascii="Calibri" w:hAnsi="Calibri" w:cs="Calibri"/>
                <w:sz w:val="20"/>
                <w:szCs w:val="20"/>
              </w:rPr>
              <w:t>Blank</w:t>
            </w:r>
          </w:p>
        </w:tc>
        <w:tc>
          <w:tcPr>
            <w:tcW w:w="759" w:type="dxa"/>
          </w:tcPr>
          <w:p w14:paraId="120CD80B" w14:textId="77777777" w:rsidR="009B7AED" w:rsidRPr="00D4282A" w:rsidRDefault="009B7AED" w:rsidP="00D4282A">
            <w:pPr>
              <w:pStyle w:val="TableTextDense"/>
              <w:spacing w:before="10" w:after="10" w:line="240" w:lineRule="auto"/>
              <w:contextualSpacing w:val="0"/>
              <w:rPr>
                <w:rFonts w:ascii="Calibri" w:hAnsi="Calibri" w:cs="Calibri"/>
                <w:sz w:val="20"/>
                <w:szCs w:val="20"/>
              </w:rPr>
            </w:pPr>
            <w:r w:rsidRPr="00D4282A">
              <w:rPr>
                <w:rFonts w:ascii="Calibri" w:hAnsi="Calibri" w:cs="Calibri"/>
                <w:sz w:val="20"/>
                <w:szCs w:val="20"/>
              </w:rPr>
              <w:t>Blank</w:t>
            </w:r>
          </w:p>
        </w:tc>
      </w:tr>
    </w:tbl>
    <w:p w14:paraId="48B17CBB" w14:textId="0E04D2BF" w:rsidR="00D4282A" w:rsidRDefault="009B7AED" w:rsidP="00B739E1">
      <w:pPr>
        <w:pStyle w:val="BodyText"/>
        <w:spacing w:before="360"/>
      </w:pPr>
      <w:r>
        <w:t xml:space="preserve">State highway agencies can submit the IVR (C variant) data using the pipe-delimited format. The key difference between the fixed-width format and the pipe-delimited format is that with the pipe-delimited file, data elements no longer need to match the starting and ending columns. Length of data elements can be equal or shorter than the specified lengths. </w:t>
      </w:r>
      <w:r>
        <w:rPr>
          <w:rStyle w:val="Italic"/>
          <w:i w:val="0"/>
        </w:rPr>
        <w:t xml:space="preserve">The field order for the pipe-delimited format is identical to the order for the fixed-width format (see </w:t>
      </w:r>
      <w:r>
        <w:rPr>
          <w:rStyle w:val="Italic"/>
          <w:i w:val="0"/>
        </w:rPr>
        <w:fldChar w:fldCharType="begin"/>
      </w:r>
      <w:r>
        <w:rPr>
          <w:rStyle w:val="Italic"/>
          <w:i w:val="0"/>
        </w:rPr>
        <w:instrText xml:space="preserve"> REF _Ref113278225 </w:instrText>
      </w:r>
      <w:r>
        <w:rPr>
          <w:rStyle w:val="Italic"/>
          <w:i w:val="0"/>
        </w:rPr>
        <w:fldChar w:fldCharType="separate"/>
      </w:r>
      <w:r w:rsidR="00C07DF9">
        <w:t xml:space="preserve">Table </w:t>
      </w:r>
      <w:r w:rsidR="00C07DF9">
        <w:rPr>
          <w:noProof/>
        </w:rPr>
        <w:t>4</w:t>
      </w:r>
      <w:r w:rsidR="00C07DF9">
        <w:noBreakHyphen/>
      </w:r>
      <w:r w:rsidR="00C07DF9">
        <w:rPr>
          <w:noProof/>
        </w:rPr>
        <w:t>29</w:t>
      </w:r>
      <w:r>
        <w:rPr>
          <w:rStyle w:val="Italic"/>
          <w:i w:val="0"/>
        </w:rPr>
        <w:fldChar w:fldCharType="end"/>
      </w:r>
      <w:r>
        <w:rPr>
          <w:rStyle w:val="Italic"/>
          <w:i w:val="0"/>
        </w:rPr>
        <w:t xml:space="preserve">). </w:t>
      </w:r>
      <w:r w:rsidR="00F901F1">
        <w:rPr>
          <w:rStyle w:val="Italic"/>
          <w:i w:val="0"/>
        </w:rPr>
        <w:br/>
      </w:r>
      <w:r>
        <w:rPr>
          <w:rStyle w:val="Italic"/>
          <w:i w:val="0"/>
        </w:rPr>
        <w:t xml:space="preserve">In this format, the fields are separated by a </w:t>
      </w:r>
      <w:r>
        <w:t>pipe symbol (|) instead of beginning in specified columns. Example records in this format are provided below.</w:t>
      </w:r>
    </w:p>
    <w:p w14:paraId="0E247B98" w14:textId="77777777" w:rsidR="00D4282A" w:rsidRDefault="00D4282A">
      <w:pPr>
        <w:widowControl/>
        <w:suppressAutoHyphens w:val="0"/>
        <w:autoSpaceDE/>
        <w:autoSpaceDN/>
        <w:adjustRightInd/>
        <w:spacing w:after="160" w:line="259" w:lineRule="auto"/>
        <w:jc w:val="left"/>
        <w:textAlignment w:val="auto"/>
        <w:rPr>
          <w:color w:val="auto"/>
        </w:rPr>
      </w:pPr>
      <w:r>
        <w:br w:type="page"/>
      </w:r>
    </w:p>
    <w:p w14:paraId="29B0805B" w14:textId="77777777" w:rsidR="009B7AED" w:rsidRPr="00B739E1" w:rsidRDefault="009B7AED" w:rsidP="00B739E1">
      <w:pPr>
        <w:spacing w:before="240" w:after="120"/>
        <w:rPr>
          <w:rFonts w:ascii="Cambria" w:hAnsi="Cambria"/>
          <w:b/>
          <w:sz w:val="26"/>
          <w:szCs w:val="26"/>
        </w:rPr>
      </w:pPr>
      <w:r w:rsidRPr="00B739E1">
        <w:rPr>
          <w:rFonts w:ascii="Cambria" w:hAnsi="Cambria"/>
          <w:b/>
          <w:sz w:val="26"/>
          <w:szCs w:val="26"/>
        </w:rPr>
        <w:lastRenderedPageBreak/>
        <w:t>Delimited Format Examples</w:t>
      </w:r>
    </w:p>
    <w:p w14:paraId="7338DA81" w14:textId="77777777" w:rsidR="009B7AED" w:rsidRPr="00B739E1" w:rsidRDefault="009B7AED" w:rsidP="00B739E1">
      <w:pPr>
        <w:spacing w:before="240" w:after="120"/>
        <w:rPr>
          <w:rFonts w:ascii="Cambria" w:hAnsi="Cambria"/>
          <w:b/>
          <w:sz w:val="22"/>
          <w:szCs w:val="22"/>
        </w:rPr>
      </w:pPr>
      <w:r w:rsidRPr="00B739E1">
        <w:rPr>
          <w:rFonts w:ascii="Cambria" w:hAnsi="Cambria"/>
          <w:b/>
          <w:sz w:val="22"/>
          <w:szCs w:val="22"/>
        </w:rPr>
        <w:t>Classification Format – Detailed</w:t>
      </w:r>
    </w:p>
    <w:p w14:paraId="67237096" w14:textId="77777777" w:rsidR="009B7AED" w:rsidRPr="00877387" w:rsidRDefault="009B7AED" w:rsidP="009B7AED">
      <w:r w:rsidRPr="00877387">
        <w:t>R</w:t>
      </w:r>
      <w:r>
        <w:t>T</w:t>
      </w:r>
      <w:r w:rsidRPr="00877387">
        <w:t>|SFIPS|ID|D</w:t>
      </w:r>
      <w:r>
        <w:t>IR</w:t>
      </w:r>
      <w:r w:rsidRPr="00877387">
        <w:t>|L</w:t>
      </w:r>
      <w:r>
        <w:t>N</w:t>
      </w:r>
      <w:r w:rsidRPr="00877387">
        <w:t>|YR|MOY|DOM|HOD|MOH|SOM|SSOS|C|VS| SPD|CLS|NAX|TVL|ASP1|ASP2|ASP3|ASP4|ASP5|…|ASP10|ASP11|</w:t>
      </w:r>
    </w:p>
    <w:p w14:paraId="6B9EEEE4" w14:textId="77777777" w:rsidR="009B7AED" w:rsidRPr="00B739E1" w:rsidRDefault="009B7AED" w:rsidP="00B739E1">
      <w:pPr>
        <w:spacing w:before="240" w:after="120"/>
        <w:rPr>
          <w:rFonts w:ascii="Cambria" w:hAnsi="Cambria"/>
          <w:b/>
          <w:sz w:val="22"/>
          <w:szCs w:val="22"/>
        </w:rPr>
      </w:pPr>
      <w:r w:rsidRPr="00B739E1">
        <w:rPr>
          <w:rFonts w:ascii="Cambria" w:hAnsi="Cambria"/>
          <w:b/>
          <w:sz w:val="22"/>
          <w:szCs w:val="22"/>
        </w:rPr>
        <w:t>4-Lane Roadway with 12 Individual Vehicles Recorded</w:t>
      </w:r>
    </w:p>
    <w:p w14:paraId="4B3F93FE" w14:textId="77777777" w:rsidR="009B7AED" w:rsidRPr="00877387" w:rsidRDefault="009B7AED" w:rsidP="009B7AED">
      <w:r w:rsidRPr="00877387">
        <w:t>I|32|AB456|1|1|2021|4|25|2|12|5|31|C||554|</w:t>
      </w:r>
      <w:r>
        <w:t>3</w:t>
      </w:r>
      <w:r w:rsidRPr="00877387">
        <w:t>|</w:t>
      </w:r>
      <w:r>
        <w:t>2</w:t>
      </w:r>
      <w:r w:rsidRPr="00877387">
        <w:t>|</w:t>
      </w:r>
      <w:r>
        <w:t>135</w:t>
      </w:r>
      <w:r w:rsidRPr="00877387">
        <w:t>|</w:t>
      </w:r>
      <w:r>
        <w:t>112</w:t>
      </w:r>
    </w:p>
    <w:p w14:paraId="611D5827" w14:textId="77777777" w:rsidR="009B7AED" w:rsidRPr="00877387" w:rsidRDefault="009B7AED" w:rsidP="009B7AED">
      <w:r w:rsidRPr="00877387">
        <w:t>I|32|AB456|5|1|2021|4|25|2|12|5|37|C||762|</w:t>
      </w:r>
      <w:r>
        <w:t>2</w:t>
      </w:r>
      <w:r w:rsidRPr="00877387">
        <w:t>|</w:t>
      </w:r>
      <w:r>
        <w:t>2</w:t>
      </w:r>
      <w:r w:rsidRPr="00877387">
        <w:t>|</w:t>
      </w:r>
      <w:r>
        <w:t>113</w:t>
      </w:r>
      <w:r w:rsidRPr="00877387">
        <w:t>|</w:t>
      </w:r>
      <w:r>
        <w:t>98</w:t>
      </w:r>
    </w:p>
    <w:p w14:paraId="3DCBCB0D" w14:textId="77777777" w:rsidR="009B7AED" w:rsidRPr="00877387" w:rsidRDefault="009B7AED" w:rsidP="009B7AED">
      <w:r w:rsidRPr="00877387">
        <w:t>I|32|AB456|1|2|2021|4|25|2|12|7|4|C||605|</w:t>
      </w:r>
      <w:r>
        <w:t>6</w:t>
      </w:r>
      <w:r w:rsidRPr="00877387">
        <w:t>|</w:t>
      </w:r>
      <w:r>
        <w:t>3</w:t>
      </w:r>
      <w:r w:rsidRPr="00877387">
        <w:t>|</w:t>
      </w:r>
      <w:r>
        <w:t>245</w:t>
      </w:r>
      <w:r w:rsidRPr="00877387">
        <w:t>|</w:t>
      </w:r>
      <w:r>
        <w:t>150|45</w:t>
      </w:r>
    </w:p>
    <w:p w14:paraId="4E39875D" w14:textId="77777777" w:rsidR="009B7AED" w:rsidRPr="00877387" w:rsidRDefault="009B7AED" w:rsidP="009B7AED">
      <w:r w:rsidRPr="00877387">
        <w:t>I|32|AB456|1|1|2021|4|25|2|12|8|23|C||600|</w:t>
      </w:r>
      <w:r>
        <w:t>4</w:t>
      </w:r>
      <w:r w:rsidRPr="00877387">
        <w:t>|</w:t>
      </w:r>
      <w:r>
        <w:t>2</w:t>
      </w:r>
      <w:r w:rsidRPr="00877387">
        <w:t>|</w:t>
      </w:r>
      <w:r>
        <w:t>354</w:t>
      </w:r>
      <w:r w:rsidRPr="00877387">
        <w:t>|</w:t>
      </w:r>
      <w:r>
        <w:t>230</w:t>
      </w:r>
    </w:p>
    <w:p w14:paraId="100AEC3B" w14:textId="77777777" w:rsidR="009B7AED" w:rsidRPr="00877387" w:rsidRDefault="009B7AED" w:rsidP="009B7AED">
      <w:r w:rsidRPr="00877387">
        <w:t>I|32|AB456|5|1|2021|4|25|2|12|9|89|C||552|</w:t>
      </w:r>
      <w:r>
        <w:t>9</w:t>
      </w:r>
      <w:r w:rsidRPr="00877387">
        <w:t>|</w:t>
      </w:r>
      <w:r>
        <w:t>5</w:t>
      </w:r>
      <w:r w:rsidRPr="00877387">
        <w:t>|</w:t>
      </w:r>
      <w:r>
        <w:t>680</w:t>
      </w:r>
      <w:r w:rsidRPr="00877387">
        <w:t>|</w:t>
      </w:r>
      <w:r>
        <w:t>155|43|260|47</w:t>
      </w:r>
    </w:p>
    <w:p w14:paraId="0E154710" w14:textId="77777777" w:rsidR="009B7AED" w:rsidRPr="00877387" w:rsidRDefault="009B7AED" w:rsidP="009B7AED">
      <w:r w:rsidRPr="00877387">
        <w:t>I|32|AB456|1|1|2021|4|25|2|12|12|15|C||571|</w:t>
      </w:r>
      <w:r>
        <w:t>9</w:t>
      </w:r>
      <w:r w:rsidRPr="00877387">
        <w:t>|</w:t>
      </w:r>
      <w:r>
        <w:t>5</w:t>
      </w:r>
      <w:r w:rsidRPr="00877387">
        <w:t>|</w:t>
      </w:r>
      <w:r>
        <w:t>695</w:t>
      </w:r>
      <w:r w:rsidRPr="00877387">
        <w:t>|</w:t>
      </w:r>
      <w:r>
        <w:t>140|43|200|46</w:t>
      </w:r>
    </w:p>
    <w:p w14:paraId="6153EA0E" w14:textId="77777777" w:rsidR="009B7AED" w:rsidRPr="00877387" w:rsidRDefault="009B7AED" w:rsidP="009B7AED">
      <w:r w:rsidRPr="00877387">
        <w:t>I|32|AB456|5|1|2021|4|25|2|12|15|85|C||557|</w:t>
      </w:r>
      <w:r>
        <w:t>3</w:t>
      </w:r>
      <w:r w:rsidRPr="00877387">
        <w:t>|</w:t>
      </w:r>
      <w:r>
        <w:t>2</w:t>
      </w:r>
      <w:r w:rsidRPr="00877387">
        <w:t>|</w:t>
      </w:r>
      <w:r>
        <w:t>154</w:t>
      </w:r>
      <w:r w:rsidRPr="00877387">
        <w:t>|</w:t>
      </w:r>
      <w:r>
        <w:t>128</w:t>
      </w:r>
    </w:p>
    <w:p w14:paraId="6B471298" w14:textId="77777777" w:rsidR="009B7AED" w:rsidRPr="00877387" w:rsidRDefault="009B7AED" w:rsidP="009B7AED">
      <w:r w:rsidRPr="00877387">
        <w:t>I|32|AB456|1|</w:t>
      </w:r>
      <w:r>
        <w:t>2</w:t>
      </w:r>
      <w:r w:rsidRPr="00877387">
        <w:t>|2021|4|25|2|12|15|92|C||721|</w:t>
      </w:r>
      <w:r>
        <w:t>5</w:t>
      </w:r>
      <w:r w:rsidRPr="00877387">
        <w:t>|</w:t>
      </w:r>
      <w:r>
        <w:t>2</w:t>
      </w:r>
      <w:r w:rsidRPr="00877387">
        <w:t>|</w:t>
      </w:r>
      <w:r>
        <w:t>215</w:t>
      </w:r>
      <w:r w:rsidRPr="00877387">
        <w:t>|</w:t>
      </w:r>
      <w:r>
        <w:t>178</w:t>
      </w:r>
    </w:p>
    <w:p w14:paraId="20A1468F" w14:textId="77777777" w:rsidR="009B7AED" w:rsidRPr="00877387" w:rsidRDefault="009B7AED" w:rsidP="009B7AED">
      <w:r w:rsidRPr="00877387">
        <w:t>I|32|AB456|5|1|2021|4|25|2|12|17|14|C||728|</w:t>
      </w:r>
      <w:r>
        <w:t>2</w:t>
      </w:r>
      <w:r w:rsidRPr="00877387">
        <w:t>|</w:t>
      </w:r>
      <w:r>
        <w:t>2</w:t>
      </w:r>
      <w:r w:rsidRPr="00877387">
        <w:t>|</w:t>
      </w:r>
      <w:r>
        <w:t>120</w:t>
      </w:r>
      <w:r w:rsidRPr="00877387">
        <w:t>|</w:t>
      </w:r>
      <w:r>
        <w:t>87</w:t>
      </w:r>
    </w:p>
    <w:p w14:paraId="661CA0CE" w14:textId="77777777" w:rsidR="009B7AED" w:rsidRPr="00877387" w:rsidRDefault="009B7AED" w:rsidP="009B7AED">
      <w:r w:rsidRPr="00877387">
        <w:t>I|32|AB456|5|2|2021|4|25|2|12|17|90|C||654|</w:t>
      </w:r>
      <w:r>
        <w:t>2</w:t>
      </w:r>
      <w:r w:rsidRPr="00877387">
        <w:t>|</w:t>
      </w:r>
      <w:r>
        <w:t>2</w:t>
      </w:r>
      <w:r w:rsidRPr="00877387">
        <w:t>|</w:t>
      </w:r>
      <w:r>
        <w:t>123</w:t>
      </w:r>
      <w:r w:rsidRPr="00877387">
        <w:t>|</w:t>
      </w:r>
      <w:r>
        <w:t>93</w:t>
      </w:r>
    </w:p>
    <w:p w14:paraId="7351FC43" w14:textId="77777777" w:rsidR="009B7AED" w:rsidRPr="00877387" w:rsidRDefault="009B7AED" w:rsidP="009B7AED">
      <w:r w:rsidRPr="00877387">
        <w:t>I|32|AB456|1|2|2021|4|25|2|12|18|1|C||570|</w:t>
      </w:r>
      <w:r>
        <w:t>9</w:t>
      </w:r>
      <w:r w:rsidRPr="00877387">
        <w:t>|</w:t>
      </w:r>
      <w:r>
        <w:t>5</w:t>
      </w:r>
      <w:r w:rsidRPr="00877387">
        <w:t>|</w:t>
      </w:r>
      <w:r>
        <w:t>651|160</w:t>
      </w:r>
      <w:r w:rsidRPr="00877387">
        <w:t>|</w:t>
      </w:r>
      <w:r>
        <w:t>44|190|100</w:t>
      </w:r>
    </w:p>
    <w:p w14:paraId="2B479917" w14:textId="77777777" w:rsidR="009B7AED" w:rsidRPr="00877387" w:rsidRDefault="009B7AED" w:rsidP="009B7AED">
      <w:pPr>
        <w:spacing w:before="80" w:after="120" w:line="240" w:lineRule="atLeast"/>
      </w:pPr>
      <w:r w:rsidRPr="00877387">
        <w:t>I|15|AB</w:t>
      </w:r>
      <w:r>
        <w:t>456</w:t>
      </w:r>
      <w:r w:rsidRPr="00877387">
        <w:t>|1|2|2021|4|25|2|12|19|34|</w:t>
      </w:r>
      <w:r>
        <w:t>C</w:t>
      </w:r>
      <w:r w:rsidRPr="00877387">
        <w:t>||611|</w:t>
      </w:r>
      <w:r>
        <w:t>3</w:t>
      </w:r>
      <w:r w:rsidRPr="00877387">
        <w:t>|</w:t>
      </w:r>
      <w:r>
        <w:t>2</w:t>
      </w:r>
      <w:r w:rsidRPr="00877387">
        <w:t>|</w:t>
      </w:r>
      <w:r>
        <w:t>135|112</w:t>
      </w:r>
    </w:p>
    <w:p w14:paraId="74C8DFD8" w14:textId="77777777" w:rsidR="009B7AED" w:rsidRPr="00877387" w:rsidRDefault="009B7AED" w:rsidP="009B7AED">
      <w:pPr>
        <w:rPr>
          <w:b/>
        </w:rPr>
        <w:sectPr w:rsidR="009B7AED" w:rsidRPr="00877387" w:rsidSect="00B739E1">
          <w:headerReference w:type="even" r:id="rId202"/>
          <w:headerReference w:type="default" r:id="rId203"/>
          <w:footerReference w:type="even" r:id="rId204"/>
          <w:footerReference w:type="default" r:id="rId205"/>
          <w:pgSz w:w="15840" w:h="12240" w:code="1"/>
          <w:pgMar w:top="1440" w:right="1152" w:bottom="1440" w:left="1440" w:header="720" w:footer="576" w:gutter="0"/>
          <w:pgNumType w:chapStyle="1"/>
          <w:cols w:space="720"/>
          <w:noEndnote/>
          <w:docGrid w:linePitch="272"/>
        </w:sectPr>
      </w:pPr>
    </w:p>
    <w:p w14:paraId="59404F2A" w14:textId="61D68E82" w:rsidR="009B7AED" w:rsidRPr="001546EF" w:rsidRDefault="009B7AED">
      <w:pPr>
        <w:pStyle w:val="Heading3"/>
        <w:spacing w:before="0"/>
      </w:pPr>
      <w:bookmarkStart w:id="3196" w:name="_Toc335642255"/>
      <w:bookmarkStart w:id="3197" w:name="_Toc63976760"/>
      <w:bookmarkStart w:id="3198" w:name="_Toc109301293"/>
      <w:bookmarkStart w:id="3199" w:name="_Toc109333027"/>
      <w:bookmarkStart w:id="3200" w:name="_Toc109333620"/>
      <w:bookmarkStart w:id="3201" w:name="_Toc113281118"/>
      <w:bookmarkStart w:id="3202" w:name="_Toc118205706"/>
      <w:r w:rsidRPr="001546EF">
        <w:lastRenderedPageBreak/>
        <w:t xml:space="preserve">Weight </w:t>
      </w:r>
      <w:r w:rsidR="00961D1C">
        <w:t>D</w:t>
      </w:r>
      <w:r w:rsidRPr="001546EF">
        <w:t xml:space="preserve">ata </w:t>
      </w:r>
      <w:r w:rsidR="00961D1C">
        <w:t>F</w:t>
      </w:r>
      <w:r w:rsidRPr="001546EF">
        <w:t xml:space="preserve">ormat for </w:t>
      </w:r>
      <w:r w:rsidR="00961D1C">
        <w:t>R</w:t>
      </w:r>
      <w:r w:rsidRPr="001546EF">
        <w:t xml:space="preserve">eporting </w:t>
      </w:r>
      <w:r w:rsidR="00961D1C">
        <w:t>A</w:t>
      </w:r>
      <w:r w:rsidRPr="001546EF">
        <w:t xml:space="preserve">xle </w:t>
      </w:r>
      <w:r w:rsidR="00961D1C">
        <w:t>W</w:t>
      </w:r>
      <w:r w:rsidRPr="001546EF">
        <w:t>eights (W)</w:t>
      </w:r>
      <w:bookmarkEnd w:id="3196"/>
      <w:bookmarkEnd w:id="3197"/>
      <w:bookmarkEnd w:id="3198"/>
      <w:bookmarkEnd w:id="3199"/>
      <w:bookmarkEnd w:id="3200"/>
      <w:bookmarkEnd w:id="3201"/>
      <w:bookmarkEnd w:id="3202"/>
    </w:p>
    <w:p w14:paraId="1329D51A" w14:textId="5628E609" w:rsidR="009B7AED" w:rsidRPr="00CA3BAD" w:rsidRDefault="009B7AED" w:rsidP="00B739E1">
      <w:pPr>
        <w:pStyle w:val="BodyText"/>
        <w:rPr>
          <w:b/>
          <w:bCs/>
        </w:rPr>
      </w:pPr>
      <w:r w:rsidRPr="00CA3BAD">
        <w:t xml:space="preserve">This section only applies to those individual records designated with a W in Field 13, Column 28. </w:t>
      </w:r>
      <w:r w:rsidR="00464453">
        <w:fldChar w:fldCharType="begin"/>
      </w:r>
      <w:r w:rsidR="00464453">
        <w:instrText xml:space="preserve"> REF _Ref113278927  \* MERGEFORMAT </w:instrText>
      </w:r>
      <w:r w:rsidR="00464453">
        <w:fldChar w:fldCharType="separate"/>
      </w:r>
      <w:r w:rsidR="00C07DF9">
        <w:t xml:space="preserve">Table </w:t>
      </w:r>
      <w:r w:rsidR="00C07DF9">
        <w:rPr>
          <w:noProof/>
        </w:rPr>
        <w:t>4</w:t>
      </w:r>
      <w:r w:rsidR="00C07DF9">
        <w:rPr>
          <w:noProof/>
        </w:rPr>
        <w:noBreakHyphen/>
        <w:t>31</w:t>
      </w:r>
      <w:r w:rsidR="00464453">
        <w:rPr>
          <w:noProof/>
        </w:rPr>
        <w:fldChar w:fldCharType="end"/>
      </w:r>
      <w:r>
        <w:t xml:space="preserve"> describes the data to be included.</w:t>
      </w:r>
    </w:p>
    <w:p w14:paraId="46E10DED" w14:textId="17D237C1" w:rsidR="009B7AED" w:rsidRPr="00877387" w:rsidRDefault="009B7AED" w:rsidP="00A35EAF">
      <w:pPr>
        <w:pStyle w:val="BodyText"/>
      </w:pPr>
      <w:r w:rsidRPr="00877387">
        <w:t xml:space="preserve">This variation of the individual record format (the “W” record format) is used to describe the number, spacing, and weight of axles for traffic observed by weigh-in-motion scales. The “W variant” is a variable length record, where the length (number of columns) of the record is controlled by the number of axles being reported for each vehicle. The number of axles associated with each vehicle is given in columns </w:t>
      </w:r>
      <w:r>
        <w:t>40</w:t>
      </w:r>
      <w:r w:rsidRPr="00877387">
        <w:t xml:space="preserve"> and 4</w:t>
      </w:r>
      <w:r>
        <w:t>1</w:t>
      </w:r>
      <w:r w:rsidRPr="00877387">
        <w:t xml:space="preserve"> as described above. This value is used by the TMAS software reading the record to determine how many columns should be read in each record. Do</w:t>
      </w:r>
      <w:r w:rsidR="00F901F1">
        <w:t> </w:t>
      </w:r>
      <w:r w:rsidRPr="00877387">
        <w:t xml:space="preserve">NOT zero fill additional columns beyond those required to report the observed axles for each vehicle. </w:t>
      </w:r>
    </w:p>
    <w:p w14:paraId="42E021E0" w14:textId="5F184F2F" w:rsidR="009B7AED" w:rsidRPr="00877387" w:rsidRDefault="009B7AED" w:rsidP="00A35EAF">
      <w:pPr>
        <w:pStyle w:val="BodyText"/>
      </w:pPr>
      <w:r w:rsidRPr="00877387">
        <w:t xml:space="preserve">A dummy vehicle </w:t>
      </w:r>
      <w:r>
        <w:t xml:space="preserve">signature </w:t>
      </w:r>
      <w:r w:rsidRPr="00877387">
        <w:t xml:space="preserve">of ‘m’ indicates that </w:t>
      </w:r>
      <w:r>
        <w:t>traffic</w:t>
      </w:r>
      <w:r w:rsidRPr="00877387">
        <w:t xml:space="preserve"> data for this hour are missing. A dummy vehicle </w:t>
      </w:r>
      <w:r>
        <w:t>signature</w:t>
      </w:r>
      <w:r w:rsidRPr="00877387">
        <w:t xml:space="preserve"> of ‘d’ indicates that </w:t>
      </w:r>
      <w:r>
        <w:t>traffic</w:t>
      </w:r>
      <w:r w:rsidRPr="00877387">
        <w:t xml:space="preserve"> data for this hour are not missing, and thus if there are no </w:t>
      </w:r>
      <w:r>
        <w:t>traffic</w:t>
      </w:r>
      <w:r w:rsidRPr="00877387">
        <w:t xml:space="preserve"> records for the hour, then there were no trucks during that hour. Without these indications, no </w:t>
      </w:r>
      <w:r>
        <w:t>traffic</w:t>
      </w:r>
      <w:r w:rsidRPr="00877387">
        <w:t xml:space="preserve"> records for an hour might be interpreted to mean that the </w:t>
      </w:r>
      <w:r>
        <w:t>traffic</w:t>
      </w:r>
      <w:r w:rsidRPr="00877387">
        <w:t xml:space="preserve"> system was not working. </w:t>
      </w:r>
    </w:p>
    <w:p w14:paraId="2B8073FB" w14:textId="77777777" w:rsidR="009B7AED" w:rsidRPr="00877387" w:rsidRDefault="009B7AED" w:rsidP="00A35EAF">
      <w:pPr>
        <w:pStyle w:val="BodyText"/>
      </w:pPr>
      <w:r w:rsidRPr="00877387">
        <w:t>The maximum record size permitted for “W” formatted records is 2</w:t>
      </w:r>
      <w:r>
        <w:t>70</w:t>
      </w:r>
      <w:r w:rsidRPr="00877387">
        <w:t xml:space="preserve"> columns. A record this long is needed only if a single vehicle has 25 axles. The number of columns included in each record can be computed with the following formula.</w:t>
      </w:r>
    </w:p>
    <w:p w14:paraId="79EE2358" w14:textId="77777777" w:rsidR="009B7AED" w:rsidRPr="00877387" w:rsidRDefault="009B7AED" w:rsidP="00A35EAF">
      <w:pPr>
        <w:pStyle w:val="BodyText"/>
      </w:pPr>
      <w:r w:rsidRPr="00877387">
        <w:t>Last column = ((number of axles - 1) × 9) + 5</w:t>
      </w:r>
      <w:r>
        <w:t>4</w:t>
      </w:r>
    </w:p>
    <w:p w14:paraId="3FCEEBE4" w14:textId="77777777" w:rsidR="009B7AED" w:rsidRPr="00877387" w:rsidRDefault="009B7AED" w:rsidP="00A35EAF">
      <w:pPr>
        <w:pStyle w:val="BodyText"/>
      </w:pPr>
      <w:r w:rsidRPr="00877387">
        <w:t xml:space="preserve">Where: </w:t>
      </w:r>
    </w:p>
    <w:p w14:paraId="003C6CAA" w14:textId="77777777" w:rsidR="009B7AED" w:rsidRPr="00877387" w:rsidRDefault="009B7AED" w:rsidP="00A35EAF">
      <w:pPr>
        <w:pStyle w:val="BodyText"/>
      </w:pPr>
      <w:r w:rsidRPr="00877387">
        <w:t xml:space="preserve">number of axles is the value found in columns </w:t>
      </w:r>
      <w:r>
        <w:t>40</w:t>
      </w:r>
      <w:r w:rsidRPr="00877387">
        <w:t xml:space="preserve"> and 4</w:t>
      </w:r>
      <w:r>
        <w:t>1</w:t>
      </w:r>
      <w:r w:rsidRPr="00877387">
        <w:t xml:space="preserve"> of that record. Based on this ‘last column’ calculation, some optional fields could become </w:t>
      </w:r>
      <w:r>
        <w:t>required</w:t>
      </w:r>
      <w:r w:rsidRPr="00877387">
        <w:t xml:space="preserve"> if it is determined that more than 2 axles are on the given vehicle being reported in the record.</w:t>
      </w:r>
    </w:p>
    <w:p w14:paraId="29215947" w14:textId="13C1B655" w:rsidR="009B7AED" w:rsidRDefault="009B7AED" w:rsidP="00736AF3">
      <w:pPr>
        <w:pStyle w:val="TMGTableCaption"/>
      </w:pPr>
      <w:bookmarkStart w:id="3203" w:name="_Ref113278927"/>
      <w:bookmarkStart w:id="3204" w:name="_Toc113282536"/>
      <w:bookmarkStart w:id="3205" w:name="_Toc114474873"/>
      <w:bookmarkStart w:id="3206" w:name="_Toc120631179"/>
      <w:r>
        <w:t xml:space="preserve">Table </w:t>
      </w:r>
      <w:fldSimple w:instr=" STYLEREF 1 \s ">
        <w:r w:rsidR="00C07DF9">
          <w:rPr>
            <w:noProof/>
          </w:rPr>
          <w:t>4</w:t>
        </w:r>
      </w:fldSimple>
      <w:r>
        <w:noBreakHyphen/>
      </w:r>
      <w:fldSimple w:instr=" SEQ Table \* ARABIC \s 1 ">
        <w:r w:rsidR="00C07DF9">
          <w:rPr>
            <w:noProof/>
          </w:rPr>
          <w:t>31</w:t>
        </w:r>
      </w:fldSimple>
      <w:bookmarkEnd w:id="3203"/>
      <w:r>
        <w:t xml:space="preserve">. </w:t>
      </w:r>
      <w:r w:rsidRPr="00B03829">
        <w:t xml:space="preserve">Individual Vehicle Record by Weight (Axle) Device (W Variant) – Fixed Width </w:t>
      </w:r>
      <w:r w:rsidR="003F0602">
        <w:t>F</w:t>
      </w:r>
      <w:r w:rsidRPr="00B03829">
        <w:t>ormat</w:t>
      </w:r>
      <w:bookmarkEnd w:id="3204"/>
      <w:bookmarkEnd w:id="3205"/>
      <w:bookmarkEnd w:id="3206"/>
    </w:p>
    <w:tbl>
      <w:tblPr>
        <w:tblStyle w:val="TableGrid"/>
        <w:tblW w:w="9360" w:type="dxa"/>
        <w:jc w:val="center"/>
        <w:tblCellMar>
          <w:left w:w="86" w:type="dxa"/>
          <w:right w:w="86" w:type="dxa"/>
        </w:tblCellMar>
        <w:tblLook w:val="04A0" w:firstRow="1" w:lastRow="0" w:firstColumn="1" w:lastColumn="0" w:noHBand="0" w:noVBand="1"/>
      </w:tblPr>
      <w:tblGrid>
        <w:gridCol w:w="625"/>
        <w:gridCol w:w="2070"/>
        <w:gridCol w:w="810"/>
        <w:gridCol w:w="3379"/>
        <w:gridCol w:w="1309"/>
        <w:gridCol w:w="1167"/>
      </w:tblGrid>
      <w:tr w:rsidR="003F0602" w14:paraId="1DE33D92" w14:textId="77777777" w:rsidTr="001C3CA1">
        <w:trPr>
          <w:tblHeader/>
          <w:jc w:val="center"/>
        </w:trPr>
        <w:tc>
          <w:tcPr>
            <w:tcW w:w="625" w:type="dxa"/>
            <w:tcBorders>
              <w:right w:val="single" w:sz="4" w:space="0" w:color="FFFFFF" w:themeColor="background1"/>
            </w:tcBorders>
            <w:shd w:val="clear" w:color="auto" w:fill="1F3864"/>
          </w:tcPr>
          <w:p w14:paraId="09F21260" w14:textId="77777777" w:rsidR="003F0602" w:rsidRDefault="003F0602" w:rsidP="009447E9">
            <w:pPr>
              <w:pStyle w:val="TMGTableTextHeader"/>
            </w:pPr>
            <w:r w:rsidRPr="00640FCD">
              <w:rPr>
                <w:rFonts w:eastAsiaTheme="minorEastAsia"/>
                <w:color w:val="F2F2F2" w:themeColor="background1" w:themeShade="F2"/>
              </w:rPr>
              <w:t>Field</w:t>
            </w:r>
          </w:p>
        </w:tc>
        <w:tc>
          <w:tcPr>
            <w:tcW w:w="2070" w:type="dxa"/>
            <w:tcBorders>
              <w:left w:val="single" w:sz="4" w:space="0" w:color="FFFFFF" w:themeColor="background1"/>
              <w:right w:val="single" w:sz="4" w:space="0" w:color="FFFFFF" w:themeColor="background1"/>
            </w:tcBorders>
            <w:shd w:val="clear" w:color="auto" w:fill="1F3864"/>
          </w:tcPr>
          <w:p w14:paraId="26B7A047" w14:textId="77777777" w:rsidR="003F0602" w:rsidRDefault="003F0602" w:rsidP="009447E9">
            <w:pPr>
              <w:pStyle w:val="TMGTableTextHeader"/>
              <w:rPr>
                <w:rFonts w:eastAsia="MS Mincho"/>
              </w:rPr>
            </w:pPr>
            <w:r w:rsidRPr="00640FCD">
              <w:rPr>
                <w:rFonts w:eastAsiaTheme="minorEastAsia"/>
                <w:color w:val="F2F2F2" w:themeColor="background1" w:themeShade="F2"/>
              </w:rPr>
              <w:t>Columns</w:t>
            </w:r>
          </w:p>
        </w:tc>
        <w:tc>
          <w:tcPr>
            <w:tcW w:w="810" w:type="dxa"/>
            <w:tcBorders>
              <w:left w:val="single" w:sz="4" w:space="0" w:color="FFFFFF" w:themeColor="background1"/>
              <w:right w:val="single" w:sz="4" w:space="0" w:color="FFFFFF" w:themeColor="background1"/>
            </w:tcBorders>
            <w:shd w:val="clear" w:color="auto" w:fill="1F3864"/>
          </w:tcPr>
          <w:p w14:paraId="6D8C8E7E" w14:textId="77777777" w:rsidR="003F0602" w:rsidRDefault="003F0602" w:rsidP="009447E9">
            <w:pPr>
              <w:pStyle w:val="TMGTableTextHeader"/>
              <w:rPr>
                <w:rFonts w:eastAsia="MS Mincho"/>
              </w:rPr>
            </w:pPr>
            <w:r w:rsidRPr="00640FCD">
              <w:rPr>
                <w:rFonts w:eastAsiaTheme="minorEastAsia"/>
                <w:color w:val="F2F2F2" w:themeColor="background1" w:themeShade="F2"/>
              </w:rPr>
              <w:t>Width</w:t>
            </w:r>
          </w:p>
        </w:tc>
        <w:tc>
          <w:tcPr>
            <w:tcW w:w="3379" w:type="dxa"/>
            <w:tcBorders>
              <w:left w:val="single" w:sz="4" w:space="0" w:color="FFFFFF" w:themeColor="background1"/>
              <w:right w:val="single" w:sz="4" w:space="0" w:color="FFFFFF" w:themeColor="background1"/>
            </w:tcBorders>
            <w:shd w:val="clear" w:color="auto" w:fill="1F3864"/>
          </w:tcPr>
          <w:p w14:paraId="44437BA6" w14:textId="77777777" w:rsidR="003F0602" w:rsidRDefault="003F0602" w:rsidP="009447E9">
            <w:pPr>
              <w:pStyle w:val="TMGTableTextHeader"/>
              <w:rPr>
                <w:rFonts w:eastAsia="MS Mincho"/>
              </w:rPr>
            </w:pPr>
            <w:r w:rsidRPr="00640FCD">
              <w:rPr>
                <w:rFonts w:eastAsiaTheme="minorEastAsia"/>
                <w:color w:val="F2F2F2" w:themeColor="background1" w:themeShade="F2"/>
              </w:rPr>
              <w:t>Description</w:t>
            </w:r>
          </w:p>
        </w:tc>
        <w:tc>
          <w:tcPr>
            <w:tcW w:w="1309" w:type="dxa"/>
            <w:tcBorders>
              <w:left w:val="single" w:sz="4" w:space="0" w:color="FFFFFF" w:themeColor="background1"/>
              <w:right w:val="single" w:sz="4" w:space="0" w:color="FFFFFF" w:themeColor="background1"/>
            </w:tcBorders>
            <w:shd w:val="clear" w:color="auto" w:fill="1F3864"/>
          </w:tcPr>
          <w:p w14:paraId="6BEB5D27" w14:textId="77777777" w:rsidR="003F0602" w:rsidRDefault="003F0602" w:rsidP="009447E9">
            <w:pPr>
              <w:pStyle w:val="TMGTableTextHeader"/>
              <w:rPr>
                <w:rFonts w:eastAsia="MS Mincho"/>
              </w:rPr>
            </w:pPr>
            <w:r w:rsidRPr="00640FCD">
              <w:rPr>
                <w:rFonts w:eastAsiaTheme="minorEastAsia"/>
                <w:color w:val="F2F2F2" w:themeColor="background1" w:themeShade="F2"/>
              </w:rPr>
              <w:t>Type</w:t>
            </w:r>
          </w:p>
        </w:tc>
        <w:tc>
          <w:tcPr>
            <w:tcW w:w="1167" w:type="dxa"/>
            <w:tcBorders>
              <w:left w:val="single" w:sz="4" w:space="0" w:color="FFFFFF" w:themeColor="background1"/>
            </w:tcBorders>
            <w:shd w:val="clear" w:color="auto" w:fill="1F3864"/>
          </w:tcPr>
          <w:p w14:paraId="3F6196CE" w14:textId="77777777" w:rsidR="003F0602" w:rsidRDefault="003F0602" w:rsidP="009447E9">
            <w:pPr>
              <w:pStyle w:val="TMGTableTextHeader"/>
            </w:pPr>
            <w:r>
              <w:rPr>
                <w:rFonts w:eastAsiaTheme="minorEastAsia"/>
                <w:color w:val="F2F2F2" w:themeColor="background1" w:themeShade="F2"/>
              </w:rPr>
              <w:t>Importance</w:t>
            </w:r>
          </w:p>
        </w:tc>
      </w:tr>
      <w:tr w:rsidR="001C3CA1" w14:paraId="70953186" w14:textId="77777777" w:rsidTr="004605FE">
        <w:trPr>
          <w:jc w:val="center"/>
        </w:trPr>
        <w:tc>
          <w:tcPr>
            <w:tcW w:w="625" w:type="dxa"/>
          </w:tcPr>
          <w:p w14:paraId="31BDD09F" w14:textId="173AE1BE" w:rsidR="001C3CA1" w:rsidRPr="00220FFB" w:rsidRDefault="001C3CA1" w:rsidP="001C3CA1">
            <w:pPr>
              <w:pStyle w:val="TMGTableText"/>
              <w:ind w:left="0" w:right="144"/>
              <w:jc w:val="right"/>
              <w:rPr>
                <w:b/>
                <w:bCs/>
              </w:rPr>
            </w:pPr>
            <w:r w:rsidRPr="00877387">
              <w:rPr>
                <w:rFonts w:eastAsiaTheme="minorEastAsia"/>
              </w:rPr>
              <w:t>1</w:t>
            </w:r>
          </w:p>
        </w:tc>
        <w:tc>
          <w:tcPr>
            <w:tcW w:w="2070" w:type="dxa"/>
          </w:tcPr>
          <w:p w14:paraId="59F941A5" w14:textId="48F2E261" w:rsidR="001C3CA1" w:rsidRPr="004859C8" w:rsidRDefault="001C3CA1" w:rsidP="001C3CA1">
            <w:pPr>
              <w:pStyle w:val="TMGTableText"/>
              <w:jc w:val="center"/>
            </w:pPr>
            <w:r w:rsidRPr="00877387">
              <w:rPr>
                <w:rFonts w:eastAsiaTheme="minorEastAsia"/>
              </w:rPr>
              <w:t>1</w:t>
            </w:r>
          </w:p>
        </w:tc>
        <w:tc>
          <w:tcPr>
            <w:tcW w:w="810" w:type="dxa"/>
          </w:tcPr>
          <w:p w14:paraId="4A5847A2" w14:textId="28E39176" w:rsidR="001C3CA1" w:rsidRPr="004859C8" w:rsidRDefault="001C3CA1" w:rsidP="001C3CA1">
            <w:pPr>
              <w:pStyle w:val="TMGTableText"/>
              <w:jc w:val="center"/>
            </w:pPr>
            <w:r w:rsidRPr="00877387">
              <w:rPr>
                <w:rFonts w:eastAsiaTheme="minorEastAsia"/>
              </w:rPr>
              <w:t>1</w:t>
            </w:r>
          </w:p>
        </w:tc>
        <w:tc>
          <w:tcPr>
            <w:tcW w:w="3379" w:type="dxa"/>
          </w:tcPr>
          <w:p w14:paraId="37C0F2E2" w14:textId="3D5016C3" w:rsidR="001C3CA1" w:rsidRPr="004859C8" w:rsidRDefault="001C3CA1" w:rsidP="001C3CA1">
            <w:pPr>
              <w:pStyle w:val="TMGTableText"/>
            </w:pPr>
            <w:r w:rsidRPr="00877387">
              <w:rPr>
                <w:rFonts w:eastAsiaTheme="minorEastAsia"/>
              </w:rPr>
              <w:t>Record Type (R</w:t>
            </w:r>
            <w:r>
              <w:rPr>
                <w:rFonts w:eastAsiaTheme="minorEastAsia"/>
              </w:rPr>
              <w:t>T</w:t>
            </w:r>
            <w:r w:rsidRPr="00877387">
              <w:rPr>
                <w:rFonts w:eastAsiaTheme="minorEastAsia"/>
              </w:rPr>
              <w:t>)</w:t>
            </w:r>
          </w:p>
        </w:tc>
        <w:tc>
          <w:tcPr>
            <w:tcW w:w="1309" w:type="dxa"/>
            <w:vAlign w:val="center"/>
          </w:tcPr>
          <w:p w14:paraId="0032AA90" w14:textId="448607D6" w:rsidR="001C3CA1" w:rsidRPr="004859C8" w:rsidRDefault="001C3CA1" w:rsidP="004605FE">
            <w:pPr>
              <w:pStyle w:val="TMGTableText"/>
              <w:jc w:val="center"/>
            </w:pPr>
            <w:r w:rsidRPr="00D63947">
              <w:t>Alphanumeric</w:t>
            </w:r>
          </w:p>
        </w:tc>
        <w:tc>
          <w:tcPr>
            <w:tcW w:w="1167" w:type="dxa"/>
            <w:vAlign w:val="center"/>
          </w:tcPr>
          <w:p w14:paraId="32C5FD5A" w14:textId="64E78424" w:rsidR="001C3CA1" w:rsidRPr="00C251E9" w:rsidRDefault="001C3CA1" w:rsidP="004605FE">
            <w:pPr>
              <w:pStyle w:val="TMGTableText"/>
              <w:jc w:val="center"/>
            </w:pPr>
            <w:r>
              <w:rPr>
                <w:rFonts w:eastAsiaTheme="minorEastAsia"/>
              </w:rPr>
              <w:t>Required</w:t>
            </w:r>
          </w:p>
        </w:tc>
      </w:tr>
      <w:tr w:rsidR="001C3CA1" w14:paraId="24655AFE" w14:textId="77777777" w:rsidTr="004605FE">
        <w:trPr>
          <w:jc w:val="center"/>
        </w:trPr>
        <w:tc>
          <w:tcPr>
            <w:tcW w:w="625" w:type="dxa"/>
          </w:tcPr>
          <w:p w14:paraId="2699C303" w14:textId="20C54C65" w:rsidR="001C3CA1" w:rsidRPr="00220FFB" w:rsidRDefault="001C3CA1" w:rsidP="001C3CA1">
            <w:pPr>
              <w:pStyle w:val="TMGTableText"/>
              <w:ind w:left="0" w:right="144"/>
              <w:jc w:val="right"/>
              <w:rPr>
                <w:b/>
                <w:bCs/>
              </w:rPr>
            </w:pPr>
            <w:r w:rsidRPr="00877387">
              <w:rPr>
                <w:rFonts w:eastAsiaTheme="minorEastAsia"/>
              </w:rPr>
              <w:t>2</w:t>
            </w:r>
          </w:p>
        </w:tc>
        <w:tc>
          <w:tcPr>
            <w:tcW w:w="2070" w:type="dxa"/>
          </w:tcPr>
          <w:p w14:paraId="73DB2221" w14:textId="4C108712" w:rsidR="001C3CA1" w:rsidRPr="004859C8" w:rsidRDefault="001C3CA1" w:rsidP="001C3CA1">
            <w:pPr>
              <w:pStyle w:val="TMGTableText"/>
              <w:jc w:val="center"/>
            </w:pPr>
            <w:r w:rsidRPr="00877387">
              <w:rPr>
                <w:rFonts w:eastAsiaTheme="minorEastAsia"/>
              </w:rPr>
              <w:t>2-3</w:t>
            </w:r>
          </w:p>
        </w:tc>
        <w:tc>
          <w:tcPr>
            <w:tcW w:w="810" w:type="dxa"/>
          </w:tcPr>
          <w:p w14:paraId="38B9363D" w14:textId="311AA936" w:rsidR="001C3CA1" w:rsidRPr="004859C8" w:rsidRDefault="001C3CA1" w:rsidP="001C3CA1">
            <w:pPr>
              <w:pStyle w:val="TMGTableText"/>
              <w:jc w:val="center"/>
            </w:pPr>
            <w:r w:rsidRPr="00877387">
              <w:rPr>
                <w:rFonts w:eastAsiaTheme="minorEastAsia"/>
              </w:rPr>
              <w:t>2</w:t>
            </w:r>
          </w:p>
        </w:tc>
        <w:tc>
          <w:tcPr>
            <w:tcW w:w="3379" w:type="dxa"/>
          </w:tcPr>
          <w:p w14:paraId="34628B84" w14:textId="66DA5721" w:rsidR="001C3CA1" w:rsidRPr="004859C8" w:rsidRDefault="001C3CA1" w:rsidP="001C3CA1">
            <w:pPr>
              <w:pStyle w:val="TMGTableText"/>
            </w:pPr>
            <w:r w:rsidRPr="00877387">
              <w:rPr>
                <w:rFonts w:eastAsiaTheme="minorEastAsia"/>
              </w:rPr>
              <w:t>State FIPS Code (SFIPS)</w:t>
            </w:r>
          </w:p>
        </w:tc>
        <w:tc>
          <w:tcPr>
            <w:tcW w:w="1309" w:type="dxa"/>
            <w:vAlign w:val="center"/>
          </w:tcPr>
          <w:p w14:paraId="438F1A20" w14:textId="614D7703" w:rsidR="001C3CA1" w:rsidRPr="004859C8" w:rsidRDefault="001C3CA1" w:rsidP="004605FE">
            <w:pPr>
              <w:pStyle w:val="TMGTableText"/>
              <w:jc w:val="center"/>
            </w:pPr>
            <w:r w:rsidRPr="00D63947">
              <w:t>Integer</w:t>
            </w:r>
          </w:p>
        </w:tc>
        <w:tc>
          <w:tcPr>
            <w:tcW w:w="1167" w:type="dxa"/>
            <w:vAlign w:val="center"/>
          </w:tcPr>
          <w:p w14:paraId="63EA08ED" w14:textId="73DB88C0" w:rsidR="001C3CA1" w:rsidRPr="00C251E9" w:rsidRDefault="001C3CA1" w:rsidP="004605FE">
            <w:pPr>
              <w:pStyle w:val="TMGTableText"/>
              <w:jc w:val="center"/>
            </w:pPr>
            <w:r>
              <w:rPr>
                <w:rFonts w:eastAsiaTheme="minorEastAsia"/>
              </w:rPr>
              <w:t>Required</w:t>
            </w:r>
          </w:p>
        </w:tc>
      </w:tr>
      <w:tr w:rsidR="001C3CA1" w14:paraId="6308C97C" w14:textId="77777777" w:rsidTr="004605FE">
        <w:trPr>
          <w:jc w:val="center"/>
        </w:trPr>
        <w:tc>
          <w:tcPr>
            <w:tcW w:w="625" w:type="dxa"/>
          </w:tcPr>
          <w:p w14:paraId="5F609584" w14:textId="481A25B6" w:rsidR="001C3CA1" w:rsidRPr="00220FFB" w:rsidRDefault="001C3CA1" w:rsidP="001C3CA1">
            <w:pPr>
              <w:pStyle w:val="TMGTableText"/>
              <w:ind w:left="0" w:right="144"/>
              <w:jc w:val="right"/>
              <w:rPr>
                <w:b/>
                <w:bCs/>
              </w:rPr>
            </w:pPr>
            <w:r w:rsidRPr="00877387">
              <w:rPr>
                <w:rFonts w:eastAsiaTheme="minorEastAsia"/>
              </w:rPr>
              <w:t>3</w:t>
            </w:r>
          </w:p>
        </w:tc>
        <w:tc>
          <w:tcPr>
            <w:tcW w:w="2070" w:type="dxa"/>
          </w:tcPr>
          <w:p w14:paraId="1754E197" w14:textId="2E25899D" w:rsidR="001C3CA1" w:rsidRPr="004859C8" w:rsidRDefault="001C3CA1" w:rsidP="001C3CA1">
            <w:pPr>
              <w:pStyle w:val="TMGTableText"/>
              <w:jc w:val="center"/>
            </w:pPr>
            <w:r w:rsidRPr="00877387">
              <w:rPr>
                <w:rFonts w:eastAsiaTheme="minorEastAsia"/>
              </w:rPr>
              <w:t>4-9</w:t>
            </w:r>
          </w:p>
        </w:tc>
        <w:tc>
          <w:tcPr>
            <w:tcW w:w="810" w:type="dxa"/>
          </w:tcPr>
          <w:p w14:paraId="2E5F2244" w14:textId="711D2559" w:rsidR="001C3CA1" w:rsidRPr="004859C8" w:rsidRDefault="001C3CA1" w:rsidP="001C3CA1">
            <w:pPr>
              <w:pStyle w:val="TMGTableText"/>
              <w:jc w:val="center"/>
            </w:pPr>
            <w:r w:rsidRPr="00877387">
              <w:rPr>
                <w:rFonts w:eastAsiaTheme="minorEastAsia"/>
              </w:rPr>
              <w:t>6</w:t>
            </w:r>
          </w:p>
        </w:tc>
        <w:tc>
          <w:tcPr>
            <w:tcW w:w="3379" w:type="dxa"/>
          </w:tcPr>
          <w:p w14:paraId="12B25E54" w14:textId="062EB4F5" w:rsidR="001C3CA1" w:rsidRPr="004859C8" w:rsidRDefault="001C3CA1" w:rsidP="001C3CA1">
            <w:pPr>
              <w:pStyle w:val="TMGTableText"/>
            </w:pPr>
            <w:r w:rsidRPr="00877387">
              <w:rPr>
                <w:rFonts w:eastAsiaTheme="minorEastAsia"/>
              </w:rPr>
              <w:t>Station ID (ID)</w:t>
            </w:r>
          </w:p>
        </w:tc>
        <w:tc>
          <w:tcPr>
            <w:tcW w:w="1309" w:type="dxa"/>
            <w:vAlign w:val="center"/>
          </w:tcPr>
          <w:p w14:paraId="5FD964E6" w14:textId="48E0C497" w:rsidR="001C3CA1" w:rsidRPr="004859C8" w:rsidRDefault="001C3CA1" w:rsidP="004605FE">
            <w:pPr>
              <w:pStyle w:val="TMGTableText"/>
              <w:jc w:val="center"/>
            </w:pPr>
            <w:r w:rsidRPr="00D63947">
              <w:t>Alphanumeric</w:t>
            </w:r>
          </w:p>
        </w:tc>
        <w:tc>
          <w:tcPr>
            <w:tcW w:w="1167" w:type="dxa"/>
            <w:vAlign w:val="center"/>
          </w:tcPr>
          <w:p w14:paraId="3200C816" w14:textId="71E2A76C" w:rsidR="001C3CA1" w:rsidRPr="00C251E9" w:rsidRDefault="001C3CA1" w:rsidP="004605FE">
            <w:pPr>
              <w:pStyle w:val="TMGTableText"/>
              <w:jc w:val="center"/>
            </w:pPr>
            <w:r>
              <w:rPr>
                <w:rFonts w:eastAsiaTheme="minorEastAsia"/>
              </w:rPr>
              <w:t>Required</w:t>
            </w:r>
          </w:p>
        </w:tc>
      </w:tr>
      <w:tr w:rsidR="001C3CA1" w14:paraId="37209D57" w14:textId="77777777" w:rsidTr="004605FE">
        <w:trPr>
          <w:jc w:val="center"/>
        </w:trPr>
        <w:tc>
          <w:tcPr>
            <w:tcW w:w="625" w:type="dxa"/>
          </w:tcPr>
          <w:p w14:paraId="63267D8D" w14:textId="1F3DE0E2" w:rsidR="001C3CA1" w:rsidRPr="00220FFB" w:rsidRDefault="001C3CA1" w:rsidP="001C3CA1">
            <w:pPr>
              <w:pStyle w:val="TMGTableText"/>
              <w:ind w:left="0" w:right="144"/>
              <w:jc w:val="right"/>
              <w:rPr>
                <w:b/>
                <w:bCs/>
              </w:rPr>
            </w:pPr>
            <w:r w:rsidRPr="00877387">
              <w:rPr>
                <w:rFonts w:eastAsiaTheme="minorEastAsia"/>
              </w:rPr>
              <w:t>4</w:t>
            </w:r>
          </w:p>
        </w:tc>
        <w:tc>
          <w:tcPr>
            <w:tcW w:w="2070" w:type="dxa"/>
          </w:tcPr>
          <w:p w14:paraId="56AB6C74" w14:textId="23E90150" w:rsidR="001C3CA1" w:rsidRPr="004859C8" w:rsidRDefault="001C3CA1" w:rsidP="001C3CA1">
            <w:pPr>
              <w:pStyle w:val="TMGTableText"/>
              <w:jc w:val="center"/>
            </w:pPr>
            <w:r w:rsidRPr="00877387">
              <w:rPr>
                <w:rFonts w:eastAsiaTheme="minorEastAsia"/>
              </w:rPr>
              <w:t>10</w:t>
            </w:r>
          </w:p>
        </w:tc>
        <w:tc>
          <w:tcPr>
            <w:tcW w:w="810" w:type="dxa"/>
          </w:tcPr>
          <w:p w14:paraId="096C7D01" w14:textId="3CE43148" w:rsidR="001C3CA1" w:rsidRPr="004859C8" w:rsidRDefault="001C3CA1" w:rsidP="001C3CA1">
            <w:pPr>
              <w:pStyle w:val="TMGTableText"/>
              <w:jc w:val="center"/>
            </w:pPr>
            <w:r w:rsidRPr="00877387">
              <w:rPr>
                <w:rFonts w:eastAsiaTheme="minorEastAsia"/>
              </w:rPr>
              <w:t>1</w:t>
            </w:r>
          </w:p>
        </w:tc>
        <w:tc>
          <w:tcPr>
            <w:tcW w:w="3379" w:type="dxa"/>
          </w:tcPr>
          <w:p w14:paraId="22044131" w14:textId="19435B1E" w:rsidR="001C3CA1" w:rsidRPr="004859C8" w:rsidRDefault="001C3CA1" w:rsidP="001C3CA1">
            <w:pPr>
              <w:pStyle w:val="TMGTableText"/>
            </w:pPr>
            <w:r w:rsidRPr="00877387">
              <w:rPr>
                <w:rFonts w:eastAsiaTheme="minorEastAsia"/>
              </w:rPr>
              <w:t>Direction of Travel (D</w:t>
            </w:r>
            <w:r>
              <w:rPr>
                <w:rFonts w:eastAsiaTheme="minorEastAsia"/>
              </w:rPr>
              <w:t>IR</w:t>
            </w:r>
            <w:r w:rsidRPr="00877387">
              <w:rPr>
                <w:rFonts w:eastAsiaTheme="minorEastAsia"/>
              </w:rPr>
              <w:t>)</w:t>
            </w:r>
          </w:p>
        </w:tc>
        <w:tc>
          <w:tcPr>
            <w:tcW w:w="1309" w:type="dxa"/>
            <w:vAlign w:val="center"/>
          </w:tcPr>
          <w:p w14:paraId="1845C6A0" w14:textId="480B5E12" w:rsidR="001C3CA1" w:rsidRPr="004859C8" w:rsidRDefault="001C3CA1" w:rsidP="004605FE">
            <w:pPr>
              <w:pStyle w:val="TMGTableText"/>
              <w:jc w:val="center"/>
            </w:pPr>
            <w:r w:rsidRPr="00D63947">
              <w:t>Integer</w:t>
            </w:r>
          </w:p>
        </w:tc>
        <w:tc>
          <w:tcPr>
            <w:tcW w:w="1167" w:type="dxa"/>
            <w:vAlign w:val="center"/>
          </w:tcPr>
          <w:p w14:paraId="47E1A916" w14:textId="7724C003" w:rsidR="001C3CA1" w:rsidRPr="00C251E9" w:rsidRDefault="001C3CA1" w:rsidP="004605FE">
            <w:pPr>
              <w:pStyle w:val="TMGTableText"/>
              <w:jc w:val="center"/>
            </w:pPr>
            <w:r>
              <w:rPr>
                <w:rFonts w:eastAsiaTheme="minorEastAsia"/>
              </w:rPr>
              <w:t>Required</w:t>
            </w:r>
          </w:p>
        </w:tc>
      </w:tr>
      <w:tr w:rsidR="001C3CA1" w14:paraId="3A9FF7AB" w14:textId="77777777" w:rsidTr="004605FE">
        <w:trPr>
          <w:jc w:val="center"/>
        </w:trPr>
        <w:tc>
          <w:tcPr>
            <w:tcW w:w="625" w:type="dxa"/>
          </w:tcPr>
          <w:p w14:paraId="7940DF1B" w14:textId="57E72D5F" w:rsidR="001C3CA1" w:rsidRPr="00220FFB" w:rsidRDefault="001C3CA1" w:rsidP="001C3CA1">
            <w:pPr>
              <w:pStyle w:val="TMGTableText"/>
              <w:ind w:left="0" w:right="144"/>
              <w:jc w:val="right"/>
              <w:rPr>
                <w:b/>
                <w:bCs/>
              </w:rPr>
            </w:pPr>
            <w:r w:rsidRPr="00877387">
              <w:rPr>
                <w:rFonts w:eastAsiaTheme="minorEastAsia"/>
              </w:rPr>
              <w:t>5</w:t>
            </w:r>
          </w:p>
        </w:tc>
        <w:tc>
          <w:tcPr>
            <w:tcW w:w="2070" w:type="dxa"/>
          </w:tcPr>
          <w:p w14:paraId="48BBFA1B" w14:textId="5AC48022" w:rsidR="001C3CA1" w:rsidRPr="004859C8" w:rsidRDefault="001C3CA1" w:rsidP="001C3CA1">
            <w:pPr>
              <w:pStyle w:val="TMGTableText"/>
              <w:jc w:val="center"/>
            </w:pPr>
            <w:r w:rsidRPr="00877387">
              <w:rPr>
                <w:rFonts w:eastAsiaTheme="minorEastAsia"/>
              </w:rPr>
              <w:t>11</w:t>
            </w:r>
          </w:p>
        </w:tc>
        <w:tc>
          <w:tcPr>
            <w:tcW w:w="810" w:type="dxa"/>
          </w:tcPr>
          <w:p w14:paraId="6E76BBD7" w14:textId="3F748466" w:rsidR="001C3CA1" w:rsidRPr="004859C8" w:rsidRDefault="001C3CA1" w:rsidP="001C3CA1">
            <w:pPr>
              <w:pStyle w:val="TMGTableText"/>
              <w:jc w:val="center"/>
            </w:pPr>
            <w:r w:rsidRPr="00877387">
              <w:rPr>
                <w:rFonts w:eastAsiaTheme="minorEastAsia"/>
              </w:rPr>
              <w:t>1</w:t>
            </w:r>
          </w:p>
        </w:tc>
        <w:tc>
          <w:tcPr>
            <w:tcW w:w="3379" w:type="dxa"/>
          </w:tcPr>
          <w:p w14:paraId="5C1125BC" w14:textId="7408140B" w:rsidR="001C3CA1" w:rsidRPr="004859C8" w:rsidRDefault="001C3CA1" w:rsidP="001C3CA1">
            <w:pPr>
              <w:pStyle w:val="TMGTableText"/>
            </w:pPr>
            <w:r w:rsidRPr="00877387">
              <w:rPr>
                <w:rFonts w:eastAsiaTheme="minorEastAsia"/>
              </w:rPr>
              <w:t>Lane of Travel (L</w:t>
            </w:r>
            <w:r>
              <w:rPr>
                <w:rFonts w:eastAsiaTheme="minorEastAsia"/>
              </w:rPr>
              <w:t>N</w:t>
            </w:r>
            <w:r w:rsidRPr="00877387">
              <w:rPr>
                <w:rFonts w:eastAsiaTheme="minorEastAsia"/>
              </w:rPr>
              <w:t>)</w:t>
            </w:r>
          </w:p>
        </w:tc>
        <w:tc>
          <w:tcPr>
            <w:tcW w:w="1309" w:type="dxa"/>
            <w:vAlign w:val="center"/>
          </w:tcPr>
          <w:p w14:paraId="18E1763D" w14:textId="74F5E5C6" w:rsidR="001C3CA1" w:rsidRPr="004859C8" w:rsidRDefault="001C3CA1" w:rsidP="004605FE">
            <w:pPr>
              <w:pStyle w:val="TMGTableText"/>
              <w:jc w:val="center"/>
            </w:pPr>
            <w:r w:rsidRPr="00F135C3">
              <w:t>Integer</w:t>
            </w:r>
          </w:p>
        </w:tc>
        <w:tc>
          <w:tcPr>
            <w:tcW w:w="1167" w:type="dxa"/>
            <w:vAlign w:val="center"/>
          </w:tcPr>
          <w:p w14:paraId="1C81CCF1" w14:textId="187CDFD5" w:rsidR="001C3CA1" w:rsidRPr="00C251E9" w:rsidRDefault="001C3CA1" w:rsidP="004605FE">
            <w:pPr>
              <w:pStyle w:val="TMGTableText"/>
              <w:jc w:val="center"/>
            </w:pPr>
            <w:r>
              <w:rPr>
                <w:rFonts w:eastAsiaTheme="minorEastAsia"/>
              </w:rPr>
              <w:t>Required</w:t>
            </w:r>
          </w:p>
        </w:tc>
      </w:tr>
      <w:tr w:rsidR="001C3CA1" w14:paraId="36AC1CF4" w14:textId="77777777" w:rsidTr="004605FE">
        <w:trPr>
          <w:jc w:val="center"/>
        </w:trPr>
        <w:tc>
          <w:tcPr>
            <w:tcW w:w="625" w:type="dxa"/>
          </w:tcPr>
          <w:p w14:paraId="25ED24DA" w14:textId="09A3AE72" w:rsidR="001C3CA1" w:rsidRPr="00220FFB" w:rsidRDefault="001C3CA1" w:rsidP="001C3CA1">
            <w:pPr>
              <w:pStyle w:val="TMGTableText"/>
              <w:ind w:left="0" w:right="144"/>
              <w:jc w:val="right"/>
              <w:rPr>
                <w:b/>
                <w:bCs/>
              </w:rPr>
            </w:pPr>
            <w:r w:rsidRPr="00877387">
              <w:rPr>
                <w:rFonts w:eastAsiaTheme="minorEastAsia"/>
              </w:rPr>
              <w:t>6</w:t>
            </w:r>
          </w:p>
        </w:tc>
        <w:tc>
          <w:tcPr>
            <w:tcW w:w="2070" w:type="dxa"/>
          </w:tcPr>
          <w:p w14:paraId="15AB8ED9" w14:textId="67680A80" w:rsidR="001C3CA1" w:rsidRPr="004859C8" w:rsidRDefault="001C3CA1" w:rsidP="001C3CA1">
            <w:pPr>
              <w:pStyle w:val="TMGTableText"/>
              <w:jc w:val="center"/>
            </w:pPr>
            <w:r w:rsidRPr="00877387">
              <w:rPr>
                <w:rFonts w:eastAsiaTheme="minorEastAsia"/>
              </w:rPr>
              <w:t>12-15</w:t>
            </w:r>
          </w:p>
        </w:tc>
        <w:tc>
          <w:tcPr>
            <w:tcW w:w="810" w:type="dxa"/>
          </w:tcPr>
          <w:p w14:paraId="7193D187" w14:textId="1D67CE75" w:rsidR="001C3CA1" w:rsidRPr="004859C8" w:rsidRDefault="001C3CA1" w:rsidP="001C3CA1">
            <w:pPr>
              <w:pStyle w:val="TMGTableText"/>
              <w:jc w:val="center"/>
            </w:pPr>
            <w:r w:rsidRPr="00877387">
              <w:rPr>
                <w:rFonts w:eastAsiaTheme="minorEastAsia"/>
              </w:rPr>
              <w:t>4</w:t>
            </w:r>
          </w:p>
        </w:tc>
        <w:tc>
          <w:tcPr>
            <w:tcW w:w="3379" w:type="dxa"/>
          </w:tcPr>
          <w:p w14:paraId="4EDA18CF" w14:textId="32681EF2" w:rsidR="001C3CA1" w:rsidRPr="004859C8" w:rsidRDefault="001C3CA1" w:rsidP="001C3CA1">
            <w:pPr>
              <w:pStyle w:val="TMGTableText"/>
            </w:pPr>
            <w:r w:rsidRPr="00877387">
              <w:rPr>
                <w:rFonts w:eastAsiaTheme="minorEastAsia"/>
              </w:rPr>
              <w:t>Year of Data (YR)</w:t>
            </w:r>
          </w:p>
        </w:tc>
        <w:tc>
          <w:tcPr>
            <w:tcW w:w="1309" w:type="dxa"/>
            <w:vAlign w:val="center"/>
          </w:tcPr>
          <w:p w14:paraId="1FF6A547" w14:textId="5F77E57B" w:rsidR="001C3CA1" w:rsidRPr="004859C8" w:rsidRDefault="001C3CA1" w:rsidP="004605FE">
            <w:pPr>
              <w:pStyle w:val="TMGTableText"/>
              <w:jc w:val="center"/>
            </w:pPr>
            <w:r w:rsidRPr="00F135C3">
              <w:t>Integer</w:t>
            </w:r>
          </w:p>
        </w:tc>
        <w:tc>
          <w:tcPr>
            <w:tcW w:w="1167" w:type="dxa"/>
            <w:vAlign w:val="center"/>
          </w:tcPr>
          <w:p w14:paraId="542F53BB" w14:textId="15AB8909" w:rsidR="001C3CA1" w:rsidRPr="00C251E9" w:rsidRDefault="001C3CA1" w:rsidP="004605FE">
            <w:pPr>
              <w:pStyle w:val="TMGTableText"/>
              <w:jc w:val="center"/>
            </w:pPr>
            <w:r>
              <w:rPr>
                <w:rFonts w:eastAsiaTheme="minorEastAsia"/>
              </w:rPr>
              <w:t>Required</w:t>
            </w:r>
          </w:p>
        </w:tc>
      </w:tr>
      <w:tr w:rsidR="001C3CA1" w14:paraId="3D8D10A6" w14:textId="77777777" w:rsidTr="004605FE">
        <w:trPr>
          <w:jc w:val="center"/>
        </w:trPr>
        <w:tc>
          <w:tcPr>
            <w:tcW w:w="625" w:type="dxa"/>
          </w:tcPr>
          <w:p w14:paraId="03DF8553" w14:textId="70B4E094" w:rsidR="001C3CA1" w:rsidRPr="00220FFB" w:rsidRDefault="001C3CA1" w:rsidP="001C3CA1">
            <w:pPr>
              <w:pStyle w:val="TMGTableText"/>
              <w:ind w:left="0" w:right="144"/>
              <w:jc w:val="right"/>
              <w:rPr>
                <w:b/>
                <w:bCs/>
              </w:rPr>
            </w:pPr>
            <w:r w:rsidRPr="00877387">
              <w:rPr>
                <w:rFonts w:eastAsiaTheme="minorEastAsia"/>
              </w:rPr>
              <w:t>7</w:t>
            </w:r>
          </w:p>
        </w:tc>
        <w:tc>
          <w:tcPr>
            <w:tcW w:w="2070" w:type="dxa"/>
          </w:tcPr>
          <w:p w14:paraId="310A7BF9" w14:textId="66188473" w:rsidR="001C3CA1" w:rsidRPr="004859C8" w:rsidRDefault="001C3CA1" w:rsidP="001C3CA1">
            <w:pPr>
              <w:pStyle w:val="TMGTableText"/>
              <w:jc w:val="center"/>
            </w:pPr>
            <w:r w:rsidRPr="00877387">
              <w:rPr>
                <w:rFonts w:eastAsiaTheme="minorEastAsia"/>
              </w:rPr>
              <w:t>16-17</w:t>
            </w:r>
          </w:p>
        </w:tc>
        <w:tc>
          <w:tcPr>
            <w:tcW w:w="810" w:type="dxa"/>
          </w:tcPr>
          <w:p w14:paraId="7A42C97C" w14:textId="559E2530" w:rsidR="001C3CA1" w:rsidRPr="004859C8" w:rsidRDefault="001C3CA1" w:rsidP="001C3CA1">
            <w:pPr>
              <w:pStyle w:val="TMGTableText"/>
              <w:jc w:val="center"/>
            </w:pPr>
            <w:r w:rsidRPr="00877387">
              <w:rPr>
                <w:rFonts w:eastAsiaTheme="minorEastAsia"/>
              </w:rPr>
              <w:t>2</w:t>
            </w:r>
          </w:p>
        </w:tc>
        <w:tc>
          <w:tcPr>
            <w:tcW w:w="3379" w:type="dxa"/>
          </w:tcPr>
          <w:p w14:paraId="6F388591" w14:textId="2F05947B" w:rsidR="001C3CA1" w:rsidRPr="004859C8" w:rsidRDefault="001C3CA1" w:rsidP="001C3CA1">
            <w:pPr>
              <w:pStyle w:val="TMGTableText"/>
            </w:pPr>
            <w:r w:rsidRPr="00877387">
              <w:rPr>
                <w:rFonts w:eastAsiaTheme="minorEastAsia"/>
              </w:rPr>
              <w:t>Month of Year (MOY)</w:t>
            </w:r>
          </w:p>
        </w:tc>
        <w:tc>
          <w:tcPr>
            <w:tcW w:w="1309" w:type="dxa"/>
            <w:vAlign w:val="center"/>
          </w:tcPr>
          <w:p w14:paraId="6668FEB0" w14:textId="041DF7B2" w:rsidR="001C3CA1" w:rsidRPr="004859C8" w:rsidRDefault="001C3CA1" w:rsidP="004605FE">
            <w:pPr>
              <w:pStyle w:val="TMGTableText"/>
              <w:jc w:val="center"/>
            </w:pPr>
            <w:r w:rsidRPr="00F135C3">
              <w:t>Integer</w:t>
            </w:r>
          </w:p>
        </w:tc>
        <w:tc>
          <w:tcPr>
            <w:tcW w:w="1167" w:type="dxa"/>
            <w:vAlign w:val="center"/>
          </w:tcPr>
          <w:p w14:paraId="64FF9F3F" w14:textId="0CB4264F" w:rsidR="001C3CA1" w:rsidRPr="00C251E9" w:rsidRDefault="001C3CA1" w:rsidP="004605FE">
            <w:pPr>
              <w:pStyle w:val="TMGTableText"/>
              <w:jc w:val="center"/>
            </w:pPr>
            <w:r>
              <w:rPr>
                <w:rFonts w:eastAsiaTheme="minorEastAsia"/>
              </w:rPr>
              <w:t>Required</w:t>
            </w:r>
          </w:p>
        </w:tc>
      </w:tr>
      <w:tr w:rsidR="001C3CA1" w14:paraId="076E5BDF" w14:textId="77777777" w:rsidTr="004605FE">
        <w:trPr>
          <w:jc w:val="center"/>
        </w:trPr>
        <w:tc>
          <w:tcPr>
            <w:tcW w:w="625" w:type="dxa"/>
          </w:tcPr>
          <w:p w14:paraId="67C48532" w14:textId="762E527A" w:rsidR="001C3CA1" w:rsidRPr="00220FFB" w:rsidRDefault="001C3CA1" w:rsidP="001C3CA1">
            <w:pPr>
              <w:pStyle w:val="TMGTableText"/>
              <w:ind w:left="0" w:right="144"/>
              <w:jc w:val="right"/>
              <w:rPr>
                <w:b/>
                <w:bCs/>
              </w:rPr>
            </w:pPr>
            <w:r w:rsidRPr="00877387">
              <w:rPr>
                <w:rFonts w:eastAsiaTheme="minorEastAsia"/>
              </w:rPr>
              <w:t>8</w:t>
            </w:r>
          </w:p>
        </w:tc>
        <w:tc>
          <w:tcPr>
            <w:tcW w:w="2070" w:type="dxa"/>
          </w:tcPr>
          <w:p w14:paraId="7936C7A5" w14:textId="6A1F11D9" w:rsidR="001C3CA1" w:rsidRPr="004859C8" w:rsidRDefault="001C3CA1" w:rsidP="001C3CA1">
            <w:pPr>
              <w:pStyle w:val="TMGTableText"/>
              <w:jc w:val="center"/>
            </w:pPr>
            <w:r w:rsidRPr="00877387">
              <w:rPr>
                <w:rFonts w:eastAsiaTheme="minorEastAsia"/>
              </w:rPr>
              <w:t>18-19</w:t>
            </w:r>
          </w:p>
        </w:tc>
        <w:tc>
          <w:tcPr>
            <w:tcW w:w="810" w:type="dxa"/>
          </w:tcPr>
          <w:p w14:paraId="45960824" w14:textId="44FC91AA" w:rsidR="001C3CA1" w:rsidRPr="004859C8" w:rsidRDefault="001C3CA1" w:rsidP="001C3CA1">
            <w:pPr>
              <w:pStyle w:val="TMGTableText"/>
              <w:jc w:val="center"/>
            </w:pPr>
            <w:r w:rsidRPr="00877387">
              <w:rPr>
                <w:rFonts w:eastAsiaTheme="minorEastAsia"/>
              </w:rPr>
              <w:t>2</w:t>
            </w:r>
          </w:p>
        </w:tc>
        <w:tc>
          <w:tcPr>
            <w:tcW w:w="3379" w:type="dxa"/>
          </w:tcPr>
          <w:p w14:paraId="27C32904" w14:textId="286D0CD0" w:rsidR="001C3CA1" w:rsidRPr="004859C8" w:rsidRDefault="001C3CA1" w:rsidP="001C3CA1">
            <w:pPr>
              <w:pStyle w:val="TMGTableText"/>
            </w:pPr>
            <w:r w:rsidRPr="00877387">
              <w:rPr>
                <w:rFonts w:eastAsiaTheme="minorEastAsia"/>
              </w:rPr>
              <w:t>Day of Month (DOM)</w:t>
            </w:r>
          </w:p>
        </w:tc>
        <w:tc>
          <w:tcPr>
            <w:tcW w:w="1309" w:type="dxa"/>
            <w:vAlign w:val="center"/>
          </w:tcPr>
          <w:p w14:paraId="0509536D" w14:textId="7A914A2C" w:rsidR="001C3CA1" w:rsidRPr="004859C8" w:rsidRDefault="001C3CA1" w:rsidP="004605FE">
            <w:pPr>
              <w:pStyle w:val="TMGTableText"/>
              <w:jc w:val="center"/>
            </w:pPr>
            <w:r w:rsidRPr="00F135C3">
              <w:t>Integer</w:t>
            </w:r>
          </w:p>
        </w:tc>
        <w:tc>
          <w:tcPr>
            <w:tcW w:w="1167" w:type="dxa"/>
            <w:vAlign w:val="center"/>
          </w:tcPr>
          <w:p w14:paraId="51D22F53" w14:textId="32D7662F" w:rsidR="001C3CA1" w:rsidRPr="00C251E9" w:rsidRDefault="001C3CA1" w:rsidP="004605FE">
            <w:pPr>
              <w:pStyle w:val="TMGTableText"/>
              <w:jc w:val="center"/>
            </w:pPr>
            <w:r>
              <w:rPr>
                <w:rFonts w:eastAsiaTheme="minorEastAsia"/>
              </w:rPr>
              <w:t>Required</w:t>
            </w:r>
          </w:p>
        </w:tc>
      </w:tr>
      <w:tr w:rsidR="001C3CA1" w14:paraId="4BC50E65" w14:textId="77777777" w:rsidTr="004605FE">
        <w:trPr>
          <w:jc w:val="center"/>
        </w:trPr>
        <w:tc>
          <w:tcPr>
            <w:tcW w:w="625" w:type="dxa"/>
          </w:tcPr>
          <w:p w14:paraId="2FC72FE3" w14:textId="0C77D7A5" w:rsidR="001C3CA1" w:rsidRPr="00220FFB" w:rsidRDefault="001C3CA1" w:rsidP="001C3CA1">
            <w:pPr>
              <w:pStyle w:val="TMGTableText"/>
              <w:ind w:left="0" w:right="144"/>
              <w:jc w:val="right"/>
              <w:rPr>
                <w:b/>
                <w:bCs/>
              </w:rPr>
            </w:pPr>
            <w:r w:rsidRPr="00877387">
              <w:rPr>
                <w:rFonts w:eastAsiaTheme="minorEastAsia"/>
              </w:rPr>
              <w:t>9</w:t>
            </w:r>
          </w:p>
        </w:tc>
        <w:tc>
          <w:tcPr>
            <w:tcW w:w="2070" w:type="dxa"/>
          </w:tcPr>
          <w:p w14:paraId="0784E1F3" w14:textId="6C987BC0" w:rsidR="001C3CA1" w:rsidRPr="004859C8" w:rsidRDefault="001C3CA1" w:rsidP="001C3CA1">
            <w:pPr>
              <w:pStyle w:val="TMGTableText"/>
              <w:jc w:val="center"/>
            </w:pPr>
            <w:r w:rsidRPr="00877387">
              <w:rPr>
                <w:rFonts w:eastAsiaTheme="minorEastAsia"/>
              </w:rPr>
              <w:t>20-21</w:t>
            </w:r>
          </w:p>
        </w:tc>
        <w:tc>
          <w:tcPr>
            <w:tcW w:w="810" w:type="dxa"/>
          </w:tcPr>
          <w:p w14:paraId="0FDCC986" w14:textId="30D07866" w:rsidR="001C3CA1" w:rsidRPr="004859C8" w:rsidRDefault="001C3CA1" w:rsidP="001C3CA1">
            <w:pPr>
              <w:pStyle w:val="TMGTableText"/>
              <w:jc w:val="center"/>
            </w:pPr>
            <w:r w:rsidRPr="00877387">
              <w:rPr>
                <w:rFonts w:eastAsiaTheme="minorEastAsia"/>
              </w:rPr>
              <w:t>2</w:t>
            </w:r>
          </w:p>
        </w:tc>
        <w:tc>
          <w:tcPr>
            <w:tcW w:w="3379" w:type="dxa"/>
          </w:tcPr>
          <w:p w14:paraId="242BCD88" w14:textId="48A7C070" w:rsidR="001C3CA1" w:rsidRPr="004859C8" w:rsidRDefault="001C3CA1" w:rsidP="001C3CA1">
            <w:pPr>
              <w:pStyle w:val="TMGTableText"/>
            </w:pPr>
            <w:r w:rsidRPr="00877387">
              <w:rPr>
                <w:rFonts w:eastAsiaTheme="minorEastAsia"/>
              </w:rPr>
              <w:t>Hour of Day (HOD)</w:t>
            </w:r>
          </w:p>
        </w:tc>
        <w:tc>
          <w:tcPr>
            <w:tcW w:w="1309" w:type="dxa"/>
            <w:vAlign w:val="center"/>
          </w:tcPr>
          <w:p w14:paraId="3F78A88F" w14:textId="668E6B4B" w:rsidR="001C3CA1" w:rsidRPr="004859C8" w:rsidRDefault="001C3CA1" w:rsidP="004605FE">
            <w:pPr>
              <w:pStyle w:val="TMGTableText"/>
              <w:jc w:val="center"/>
            </w:pPr>
            <w:r w:rsidRPr="00F135C3">
              <w:t>Integer</w:t>
            </w:r>
          </w:p>
        </w:tc>
        <w:tc>
          <w:tcPr>
            <w:tcW w:w="1167" w:type="dxa"/>
            <w:vAlign w:val="center"/>
          </w:tcPr>
          <w:p w14:paraId="12E73ABD" w14:textId="00B6F796" w:rsidR="001C3CA1" w:rsidRPr="00C251E9" w:rsidRDefault="001C3CA1" w:rsidP="004605FE">
            <w:pPr>
              <w:pStyle w:val="TMGTableText"/>
              <w:jc w:val="center"/>
            </w:pPr>
            <w:r>
              <w:rPr>
                <w:rFonts w:eastAsiaTheme="minorEastAsia"/>
              </w:rPr>
              <w:t>Required</w:t>
            </w:r>
          </w:p>
        </w:tc>
      </w:tr>
      <w:tr w:rsidR="001C3CA1" w14:paraId="72182545" w14:textId="77777777" w:rsidTr="004605FE">
        <w:trPr>
          <w:jc w:val="center"/>
        </w:trPr>
        <w:tc>
          <w:tcPr>
            <w:tcW w:w="625" w:type="dxa"/>
          </w:tcPr>
          <w:p w14:paraId="61C61933" w14:textId="0644F915" w:rsidR="001C3CA1" w:rsidRPr="00220FFB" w:rsidRDefault="001C3CA1" w:rsidP="001C3CA1">
            <w:pPr>
              <w:pStyle w:val="TMGTableText"/>
              <w:ind w:left="0" w:right="144"/>
              <w:jc w:val="right"/>
              <w:rPr>
                <w:b/>
                <w:bCs/>
              </w:rPr>
            </w:pPr>
            <w:r w:rsidRPr="00877387">
              <w:rPr>
                <w:rFonts w:eastAsiaTheme="minorEastAsia"/>
              </w:rPr>
              <w:t>10</w:t>
            </w:r>
          </w:p>
        </w:tc>
        <w:tc>
          <w:tcPr>
            <w:tcW w:w="2070" w:type="dxa"/>
          </w:tcPr>
          <w:p w14:paraId="07C19192" w14:textId="1F1447F7" w:rsidR="001C3CA1" w:rsidRPr="004859C8" w:rsidRDefault="001C3CA1" w:rsidP="001C3CA1">
            <w:pPr>
              <w:pStyle w:val="TMGTableText"/>
              <w:jc w:val="center"/>
            </w:pPr>
            <w:r w:rsidRPr="00877387">
              <w:rPr>
                <w:rFonts w:eastAsiaTheme="minorEastAsia"/>
              </w:rPr>
              <w:t>22-23</w:t>
            </w:r>
          </w:p>
        </w:tc>
        <w:tc>
          <w:tcPr>
            <w:tcW w:w="810" w:type="dxa"/>
          </w:tcPr>
          <w:p w14:paraId="27FA51ED" w14:textId="68198994" w:rsidR="001C3CA1" w:rsidRPr="004859C8" w:rsidRDefault="001C3CA1" w:rsidP="001C3CA1">
            <w:pPr>
              <w:pStyle w:val="TMGTableText"/>
              <w:jc w:val="center"/>
            </w:pPr>
            <w:r w:rsidRPr="00587C2E">
              <w:rPr>
                <w:rFonts w:eastAsiaTheme="minorEastAsia"/>
              </w:rPr>
              <w:t>2</w:t>
            </w:r>
          </w:p>
        </w:tc>
        <w:tc>
          <w:tcPr>
            <w:tcW w:w="3379" w:type="dxa"/>
          </w:tcPr>
          <w:p w14:paraId="4925BA4D" w14:textId="36BFF22F" w:rsidR="001C3CA1" w:rsidRPr="004859C8" w:rsidRDefault="001C3CA1" w:rsidP="001C3CA1">
            <w:pPr>
              <w:pStyle w:val="TMGTableText"/>
            </w:pPr>
            <w:r w:rsidRPr="00877387">
              <w:rPr>
                <w:rFonts w:eastAsiaTheme="minorEastAsia"/>
              </w:rPr>
              <w:t>Minute of Hour (MOH)</w:t>
            </w:r>
          </w:p>
        </w:tc>
        <w:tc>
          <w:tcPr>
            <w:tcW w:w="1309" w:type="dxa"/>
            <w:vAlign w:val="center"/>
          </w:tcPr>
          <w:p w14:paraId="47690792" w14:textId="7CBAB728" w:rsidR="001C3CA1" w:rsidRPr="004859C8" w:rsidRDefault="001C3CA1" w:rsidP="004605FE">
            <w:pPr>
              <w:pStyle w:val="TMGTableText"/>
              <w:jc w:val="center"/>
            </w:pPr>
            <w:r w:rsidRPr="00F135C3">
              <w:t>Integer</w:t>
            </w:r>
          </w:p>
        </w:tc>
        <w:tc>
          <w:tcPr>
            <w:tcW w:w="1167" w:type="dxa"/>
            <w:vAlign w:val="center"/>
          </w:tcPr>
          <w:p w14:paraId="23543F96" w14:textId="221181AE" w:rsidR="001C3CA1" w:rsidRPr="00C251E9" w:rsidRDefault="001C3CA1" w:rsidP="004605FE">
            <w:pPr>
              <w:pStyle w:val="TMGTableText"/>
              <w:jc w:val="center"/>
            </w:pPr>
            <w:r>
              <w:rPr>
                <w:rFonts w:eastAsiaTheme="minorEastAsia"/>
              </w:rPr>
              <w:t>Required</w:t>
            </w:r>
          </w:p>
        </w:tc>
      </w:tr>
      <w:tr w:rsidR="001C3CA1" w14:paraId="036AD4B6" w14:textId="77777777" w:rsidTr="004605FE">
        <w:trPr>
          <w:jc w:val="center"/>
        </w:trPr>
        <w:tc>
          <w:tcPr>
            <w:tcW w:w="625" w:type="dxa"/>
          </w:tcPr>
          <w:p w14:paraId="235AC8B8" w14:textId="505270E1" w:rsidR="001C3CA1" w:rsidRPr="00220FFB" w:rsidRDefault="001C3CA1" w:rsidP="001C3CA1">
            <w:pPr>
              <w:pStyle w:val="TMGTableText"/>
              <w:ind w:left="0" w:right="144"/>
              <w:jc w:val="right"/>
              <w:rPr>
                <w:b/>
                <w:bCs/>
              </w:rPr>
            </w:pPr>
            <w:r w:rsidRPr="00877387">
              <w:rPr>
                <w:rFonts w:eastAsiaTheme="minorEastAsia"/>
              </w:rPr>
              <w:t>11</w:t>
            </w:r>
          </w:p>
        </w:tc>
        <w:tc>
          <w:tcPr>
            <w:tcW w:w="2070" w:type="dxa"/>
          </w:tcPr>
          <w:p w14:paraId="6CD31009" w14:textId="05C13F2F" w:rsidR="001C3CA1" w:rsidRPr="004859C8" w:rsidRDefault="001C3CA1" w:rsidP="001C3CA1">
            <w:pPr>
              <w:pStyle w:val="TMGTableText"/>
              <w:jc w:val="center"/>
            </w:pPr>
            <w:r w:rsidRPr="00877387">
              <w:rPr>
                <w:rFonts w:eastAsiaTheme="minorEastAsia"/>
              </w:rPr>
              <w:t>24-25</w:t>
            </w:r>
          </w:p>
        </w:tc>
        <w:tc>
          <w:tcPr>
            <w:tcW w:w="810" w:type="dxa"/>
          </w:tcPr>
          <w:p w14:paraId="781B1743" w14:textId="61A1A093" w:rsidR="001C3CA1" w:rsidRPr="004859C8" w:rsidRDefault="001C3CA1" w:rsidP="001C3CA1">
            <w:pPr>
              <w:pStyle w:val="TMGTableText"/>
              <w:jc w:val="center"/>
            </w:pPr>
            <w:r w:rsidRPr="00587C2E">
              <w:rPr>
                <w:rFonts w:eastAsiaTheme="minorEastAsia"/>
              </w:rPr>
              <w:t>2</w:t>
            </w:r>
          </w:p>
        </w:tc>
        <w:tc>
          <w:tcPr>
            <w:tcW w:w="3379" w:type="dxa"/>
          </w:tcPr>
          <w:p w14:paraId="4258580E" w14:textId="109A1194" w:rsidR="001C3CA1" w:rsidRPr="004859C8" w:rsidRDefault="001C3CA1" w:rsidP="001C3CA1">
            <w:pPr>
              <w:pStyle w:val="TMGTableText"/>
            </w:pPr>
            <w:r w:rsidRPr="00877387">
              <w:rPr>
                <w:rFonts w:eastAsiaTheme="minorEastAsia"/>
              </w:rPr>
              <w:t>Second of Minute (SOM)</w:t>
            </w:r>
          </w:p>
        </w:tc>
        <w:tc>
          <w:tcPr>
            <w:tcW w:w="1309" w:type="dxa"/>
            <w:vAlign w:val="center"/>
          </w:tcPr>
          <w:p w14:paraId="5236EE85" w14:textId="01A11D02" w:rsidR="001C3CA1" w:rsidRPr="004859C8" w:rsidRDefault="001C3CA1" w:rsidP="004605FE">
            <w:pPr>
              <w:pStyle w:val="TMGTableText"/>
              <w:jc w:val="center"/>
            </w:pPr>
            <w:r w:rsidRPr="00F135C3">
              <w:t>Integer</w:t>
            </w:r>
          </w:p>
        </w:tc>
        <w:tc>
          <w:tcPr>
            <w:tcW w:w="1167" w:type="dxa"/>
            <w:vAlign w:val="center"/>
          </w:tcPr>
          <w:p w14:paraId="20695190" w14:textId="1CE278B8" w:rsidR="001C3CA1" w:rsidRPr="00C251E9" w:rsidRDefault="001C3CA1" w:rsidP="004605FE">
            <w:pPr>
              <w:pStyle w:val="TMGTableText"/>
              <w:jc w:val="center"/>
            </w:pPr>
            <w:r>
              <w:rPr>
                <w:rFonts w:eastAsiaTheme="minorEastAsia"/>
              </w:rPr>
              <w:t>Required</w:t>
            </w:r>
          </w:p>
        </w:tc>
      </w:tr>
      <w:tr w:rsidR="001C3CA1" w14:paraId="36911938" w14:textId="77777777" w:rsidTr="004605FE">
        <w:trPr>
          <w:jc w:val="center"/>
        </w:trPr>
        <w:tc>
          <w:tcPr>
            <w:tcW w:w="625" w:type="dxa"/>
          </w:tcPr>
          <w:p w14:paraId="346F03F6" w14:textId="373DFE04" w:rsidR="001C3CA1" w:rsidRPr="00220FFB" w:rsidRDefault="001C3CA1" w:rsidP="001C3CA1">
            <w:pPr>
              <w:pStyle w:val="TMGTableText"/>
              <w:ind w:left="0" w:right="144"/>
              <w:jc w:val="right"/>
              <w:rPr>
                <w:b/>
                <w:bCs/>
              </w:rPr>
            </w:pPr>
            <w:r w:rsidRPr="00877387">
              <w:rPr>
                <w:rFonts w:eastAsiaTheme="minorEastAsia"/>
              </w:rPr>
              <w:t>12</w:t>
            </w:r>
          </w:p>
        </w:tc>
        <w:tc>
          <w:tcPr>
            <w:tcW w:w="2070" w:type="dxa"/>
          </w:tcPr>
          <w:p w14:paraId="21F7D6E6" w14:textId="6046B642" w:rsidR="001C3CA1" w:rsidRPr="004859C8" w:rsidRDefault="001C3CA1" w:rsidP="001C3CA1">
            <w:pPr>
              <w:pStyle w:val="TMGTableText"/>
              <w:jc w:val="center"/>
            </w:pPr>
            <w:r w:rsidRPr="00877387">
              <w:rPr>
                <w:rFonts w:eastAsiaTheme="minorEastAsia"/>
              </w:rPr>
              <w:t>26-27</w:t>
            </w:r>
          </w:p>
        </w:tc>
        <w:tc>
          <w:tcPr>
            <w:tcW w:w="810" w:type="dxa"/>
          </w:tcPr>
          <w:p w14:paraId="3BFC09ED" w14:textId="13CAD932" w:rsidR="001C3CA1" w:rsidRPr="004859C8" w:rsidRDefault="001C3CA1" w:rsidP="001C3CA1">
            <w:pPr>
              <w:pStyle w:val="TMGTableText"/>
              <w:jc w:val="center"/>
            </w:pPr>
            <w:r w:rsidRPr="00587C2E">
              <w:rPr>
                <w:rFonts w:eastAsiaTheme="minorEastAsia"/>
              </w:rPr>
              <w:t>2</w:t>
            </w:r>
          </w:p>
        </w:tc>
        <w:tc>
          <w:tcPr>
            <w:tcW w:w="3379" w:type="dxa"/>
          </w:tcPr>
          <w:p w14:paraId="4F1590CE" w14:textId="67FB171F" w:rsidR="001C3CA1" w:rsidRPr="004859C8" w:rsidRDefault="001C3CA1" w:rsidP="001C3CA1">
            <w:pPr>
              <w:pStyle w:val="TMGTableText"/>
            </w:pPr>
            <w:r w:rsidRPr="00877387">
              <w:rPr>
                <w:rFonts w:eastAsiaTheme="minorEastAsia"/>
              </w:rPr>
              <w:t>Sub Second of Second (SSOS)</w:t>
            </w:r>
          </w:p>
        </w:tc>
        <w:tc>
          <w:tcPr>
            <w:tcW w:w="1309" w:type="dxa"/>
            <w:vAlign w:val="center"/>
          </w:tcPr>
          <w:p w14:paraId="09610229" w14:textId="26B2F6CD" w:rsidR="001C3CA1" w:rsidRPr="004859C8" w:rsidRDefault="001C3CA1" w:rsidP="004605FE">
            <w:pPr>
              <w:pStyle w:val="TMGTableText"/>
              <w:jc w:val="center"/>
            </w:pPr>
            <w:r w:rsidRPr="00F135C3">
              <w:t>Integer</w:t>
            </w:r>
          </w:p>
        </w:tc>
        <w:tc>
          <w:tcPr>
            <w:tcW w:w="1167" w:type="dxa"/>
            <w:vAlign w:val="center"/>
          </w:tcPr>
          <w:p w14:paraId="699C91C5" w14:textId="3AB2D796" w:rsidR="001C3CA1" w:rsidRPr="00C251E9" w:rsidRDefault="001C3CA1" w:rsidP="004605FE">
            <w:pPr>
              <w:pStyle w:val="TMGTableText"/>
              <w:jc w:val="center"/>
            </w:pPr>
            <w:r>
              <w:rPr>
                <w:rFonts w:eastAsiaTheme="minorEastAsia"/>
              </w:rPr>
              <w:t>Required</w:t>
            </w:r>
          </w:p>
        </w:tc>
      </w:tr>
      <w:tr w:rsidR="001C3CA1" w14:paraId="1625ABA9" w14:textId="77777777" w:rsidTr="004605FE">
        <w:trPr>
          <w:jc w:val="center"/>
        </w:trPr>
        <w:tc>
          <w:tcPr>
            <w:tcW w:w="625" w:type="dxa"/>
          </w:tcPr>
          <w:p w14:paraId="77814D56" w14:textId="7A056969" w:rsidR="001C3CA1" w:rsidRPr="00220FFB" w:rsidRDefault="001C3CA1" w:rsidP="001C3CA1">
            <w:pPr>
              <w:pStyle w:val="TMGTableText"/>
              <w:ind w:left="0" w:right="144"/>
              <w:jc w:val="right"/>
              <w:rPr>
                <w:b/>
                <w:bCs/>
              </w:rPr>
            </w:pPr>
            <w:r w:rsidRPr="00877387">
              <w:rPr>
                <w:rFonts w:eastAsiaTheme="minorEastAsia"/>
              </w:rPr>
              <w:t>13</w:t>
            </w:r>
          </w:p>
        </w:tc>
        <w:tc>
          <w:tcPr>
            <w:tcW w:w="2070" w:type="dxa"/>
          </w:tcPr>
          <w:p w14:paraId="3680CDD6" w14:textId="3CA9CBC5" w:rsidR="001C3CA1" w:rsidRPr="004859C8" w:rsidRDefault="001C3CA1" w:rsidP="001C3CA1">
            <w:pPr>
              <w:pStyle w:val="TMGTableText"/>
              <w:jc w:val="center"/>
            </w:pPr>
            <w:r w:rsidRPr="00877387">
              <w:rPr>
                <w:rFonts w:eastAsiaTheme="minorEastAsia"/>
              </w:rPr>
              <w:t>28</w:t>
            </w:r>
          </w:p>
        </w:tc>
        <w:tc>
          <w:tcPr>
            <w:tcW w:w="810" w:type="dxa"/>
          </w:tcPr>
          <w:p w14:paraId="06654C4F" w14:textId="58FB0A53" w:rsidR="001C3CA1" w:rsidRPr="004859C8" w:rsidRDefault="001C3CA1" w:rsidP="001C3CA1">
            <w:pPr>
              <w:pStyle w:val="TMGTableText"/>
              <w:jc w:val="center"/>
            </w:pPr>
            <w:r w:rsidRPr="00587C2E">
              <w:rPr>
                <w:rFonts w:eastAsiaTheme="minorEastAsia"/>
              </w:rPr>
              <w:t>1</w:t>
            </w:r>
          </w:p>
        </w:tc>
        <w:tc>
          <w:tcPr>
            <w:tcW w:w="3379" w:type="dxa"/>
          </w:tcPr>
          <w:p w14:paraId="772D23B3" w14:textId="31C7F01D" w:rsidR="001C3CA1" w:rsidRPr="004859C8" w:rsidRDefault="001C3CA1" w:rsidP="001C3CA1">
            <w:pPr>
              <w:pStyle w:val="TMGTableText"/>
            </w:pPr>
            <w:r w:rsidRPr="00877387">
              <w:rPr>
                <w:rFonts w:eastAsiaTheme="minorEastAsia"/>
              </w:rPr>
              <w:t>W</w:t>
            </w:r>
          </w:p>
        </w:tc>
        <w:tc>
          <w:tcPr>
            <w:tcW w:w="1309" w:type="dxa"/>
            <w:vAlign w:val="center"/>
          </w:tcPr>
          <w:p w14:paraId="19BF824A" w14:textId="5E5359D5" w:rsidR="001C3CA1" w:rsidRPr="004859C8" w:rsidRDefault="001C3CA1" w:rsidP="004605FE">
            <w:pPr>
              <w:pStyle w:val="TMGTableText"/>
              <w:jc w:val="center"/>
            </w:pPr>
            <w:r w:rsidRPr="00F67EF2">
              <w:rPr>
                <w:rFonts w:eastAsiaTheme="minorEastAsia"/>
              </w:rPr>
              <w:t>Alphanumeric</w:t>
            </w:r>
          </w:p>
        </w:tc>
        <w:tc>
          <w:tcPr>
            <w:tcW w:w="1167" w:type="dxa"/>
            <w:vAlign w:val="center"/>
          </w:tcPr>
          <w:p w14:paraId="62F618E3" w14:textId="3EAA1D4A" w:rsidR="001C3CA1" w:rsidRPr="00C251E9" w:rsidRDefault="001C3CA1" w:rsidP="004605FE">
            <w:pPr>
              <w:pStyle w:val="TMGTableText"/>
              <w:jc w:val="center"/>
            </w:pPr>
            <w:r>
              <w:rPr>
                <w:rFonts w:eastAsiaTheme="minorEastAsia"/>
              </w:rPr>
              <w:t>Required</w:t>
            </w:r>
          </w:p>
        </w:tc>
      </w:tr>
      <w:tr w:rsidR="001C3CA1" w14:paraId="79DDF6C2" w14:textId="77777777" w:rsidTr="004605FE">
        <w:trPr>
          <w:jc w:val="center"/>
        </w:trPr>
        <w:tc>
          <w:tcPr>
            <w:tcW w:w="625" w:type="dxa"/>
          </w:tcPr>
          <w:p w14:paraId="3E373B26" w14:textId="1F3282B7" w:rsidR="001C3CA1" w:rsidRPr="00220FFB" w:rsidRDefault="001C3CA1" w:rsidP="001C3CA1">
            <w:pPr>
              <w:pStyle w:val="TMGTableText"/>
              <w:ind w:left="0" w:right="144"/>
              <w:jc w:val="right"/>
              <w:rPr>
                <w:b/>
                <w:bCs/>
              </w:rPr>
            </w:pPr>
            <w:r w:rsidRPr="00877387">
              <w:rPr>
                <w:rFonts w:eastAsiaTheme="minorEastAsia"/>
              </w:rPr>
              <w:t>14</w:t>
            </w:r>
          </w:p>
        </w:tc>
        <w:tc>
          <w:tcPr>
            <w:tcW w:w="2070" w:type="dxa"/>
          </w:tcPr>
          <w:p w14:paraId="67E508F4" w14:textId="6FCD705B" w:rsidR="001C3CA1" w:rsidRPr="004859C8" w:rsidRDefault="001C3CA1" w:rsidP="001C3CA1">
            <w:pPr>
              <w:pStyle w:val="TMGTableText"/>
              <w:jc w:val="center"/>
            </w:pPr>
            <w:r w:rsidRPr="00877387">
              <w:rPr>
                <w:rFonts w:eastAsiaTheme="minorEastAsia"/>
              </w:rPr>
              <w:t>29-33</w:t>
            </w:r>
          </w:p>
        </w:tc>
        <w:tc>
          <w:tcPr>
            <w:tcW w:w="810" w:type="dxa"/>
          </w:tcPr>
          <w:p w14:paraId="589564E9" w14:textId="375C5702" w:rsidR="001C3CA1" w:rsidRPr="004859C8" w:rsidRDefault="001C3CA1" w:rsidP="001C3CA1">
            <w:pPr>
              <w:pStyle w:val="TMGTableText"/>
              <w:jc w:val="center"/>
            </w:pPr>
            <w:r w:rsidRPr="00587C2E">
              <w:rPr>
                <w:rFonts w:eastAsiaTheme="minorEastAsia"/>
              </w:rPr>
              <w:t>5</w:t>
            </w:r>
          </w:p>
        </w:tc>
        <w:tc>
          <w:tcPr>
            <w:tcW w:w="3379" w:type="dxa"/>
          </w:tcPr>
          <w:p w14:paraId="764D2A8A" w14:textId="6C82BC9E" w:rsidR="001C3CA1" w:rsidRPr="004859C8" w:rsidRDefault="001C3CA1" w:rsidP="001C3CA1">
            <w:pPr>
              <w:pStyle w:val="TMGTableText"/>
            </w:pPr>
            <w:r w:rsidRPr="00877387">
              <w:rPr>
                <w:rFonts w:eastAsiaTheme="minorEastAsia"/>
              </w:rPr>
              <w:t>Vehicle Signature/Other Use (VS)</w:t>
            </w:r>
          </w:p>
        </w:tc>
        <w:tc>
          <w:tcPr>
            <w:tcW w:w="1309" w:type="dxa"/>
            <w:vAlign w:val="center"/>
          </w:tcPr>
          <w:p w14:paraId="0965DF8E" w14:textId="6E8AF1E1" w:rsidR="001C3CA1" w:rsidRPr="004859C8" w:rsidRDefault="001C3CA1" w:rsidP="004605FE">
            <w:pPr>
              <w:pStyle w:val="TMGTableText"/>
              <w:jc w:val="center"/>
            </w:pPr>
            <w:r w:rsidRPr="00294F6A">
              <w:t>Integer</w:t>
            </w:r>
          </w:p>
        </w:tc>
        <w:tc>
          <w:tcPr>
            <w:tcW w:w="1167" w:type="dxa"/>
            <w:vAlign w:val="center"/>
          </w:tcPr>
          <w:p w14:paraId="243E01F6" w14:textId="636E47F0" w:rsidR="001C3CA1" w:rsidRPr="00C251E9" w:rsidRDefault="001C3CA1" w:rsidP="004605FE">
            <w:pPr>
              <w:pStyle w:val="TMGTableText"/>
              <w:jc w:val="center"/>
            </w:pPr>
            <w:r w:rsidRPr="00877387">
              <w:rPr>
                <w:rFonts w:eastAsiaTheme="minorEastAsia"/>
              </w:rPr>
              <w:t>O</w:t>
            </w:r>
            <w:r>
              <w:rPr>
                <w:rFonts w:eastAsiaTheme="minorEastAsia"/>
              </w:rPr>
              <w:t>ptional</w:t>
            </w:r>
          </w:p>
        </w:tc>
      </w:tr>
      <w:tr w:rsidR="001C3CA1" w14:paraId="0639FCE2" w14:textId="77777777" w:rsidTr="004605FE">
        <w:trPr>
          <w:jc w:val="center"/>
        </w:trPr>
        <w:tc>
          <w:tcPr>
            <w:tcW w:w="625" w:type="dxa"/>
          </w:tcPr>
          <w:p w14:paraId="535059C0" w14:textId="18CA9E21" w:rsidR="001C3CA1" w:rsidRPr="00220FFB" w:rsidRDefault="001C3CA1" w:rsidP="001C3CA1">
            <w:pPr>
              <w:pStyle w:val="TMGTableText"/>
              <w:ind w:left="0" w:right="144"/>
              <w:jc w:val="right"/>
              <w:rPr>
                <w:b/>
                <w:bCs/>
              </w:rPr>
            </w:pPr>
            <w:r w:rsidRPr="00877387">
              <w:rPr>
                <w:rFonts w:eastAsiaTheme="minorEastAsia"/>
              </w:rPr>
              <w:t>15</w:t>
            </w:r>
          </w:p>
        </w:tc>
        <w:tc>
          <w:tcPr>
            <w:tcW w:w="2070" w:type="dxa"/>
          </w:tcPr>
          <w:p w14:paraId="4C8FFC88" w14:textId="30210698" w:rsidR="001C3CA1" w:rsidRPr="004859C8" w:rsidRDefault="001C3CA1" w:rsidP="001C3CA1">
            <w:pPr>
              <w:pStyle w:val="TMGTableText"/>
              <w:jc w:val="center"/>
            </w:pPr>
            <w:r w:rsidRPr="00877387">
              <w:rPr>
                <w:rFonts w:eastAsiaTheme="minorEastAsia"/>
              </w:rPr>
              <w:t>34-37</w:t>
            </w:r>
          </w:p>
        </w:tc>
        <w:tc>
          <w:tcPr>
            <w:tcW w:w="810" w:type="dxa"/>
          </w:tcPr>
          <w:p w14:paraId="4AD7C8D2" w14:textId="7E06CE4E" w:rsidR="001C3CA1" w:rsidRPr="004859C8" w:rsidRDefault="001C3CA1" w:rsidP="001C3CA1">
            <w:pPr>
              <w:pStyle w:val="TMGTableText"/>
              <w:jc w:val="center"/>
            </w:pPr>
            <w:r w:rsidRPr="00587C2E">
              <w:rPr>
                <w:rFonts w:eastAsiaTheme="minorEastAsia"/>
              </w:rPr>
              <w:t>4</w:t>
            </w:r>
          </w:p>
        </w:tc>
        <w:tc>
          <w:tcPr>
            <w:tcW w:w="3379" w:type="dxa"/>
          </w:tcPr>
          <w:p w14:paraId="533FEAD8" w14:textId="6625856A" w:rsidR="001C3CA1" w:rsidRPr="004859C8" w:rsidRDefault="001C3CA1" w:rsidP="001C3CA1">
            <w:pPr>
              <w:pStyle w:val="TMGTableText"/>
            </w:pPr>
            <w:r w:rsidRPr="00877387">
              <w:rPr>
                <w:rFonts w:eastAsiaTheme="minorEastAsia"/>
              </w:rPr>
              <w:t>Vehicle Speed (SPD)</w:t>
            </w:r>
          </w:p>
        </w:tc>
        <w:tc>
          <w:tcPr>
            <w:tcW w:w="1309" w:type="dxa"/>
            <w:vAlign w:val="center"/>
          </w:tcPr>
          <w:p w14:paraId="5621300B" w14:textId="487C0FBF" w:rsidR="001C3CA1" w:rsidRPr="004859C8" w:rsidRDefault="001C3CA1" w:rsidP="004605FE">
            <w:pPr>
              <w:pStyle w:val="TMGTableText"/>
              <w:jc w:val="center"/>
            </w:pPr>
            <w:r w:rsidRPr="00294F6A">
              <w:t>Integer</w:t>
            </w:r>
          </w:p>
        </w:tc>
        <w:tc>
          <w:tcPr>
            <w:tcW w:w="1167" w:type="dxa"/>
            <w:vAlign w:val="center"/>
          </w:tcPr>
          <w:p w14:paraId="523CEC17" w14:textId="5A74DCDD" w:rsidR="001C3CA1" w:rsidRPr="00C251E9" w:rsidRDefault="001C3CA1" w:rsidP="004605FE">
            <w:pPr>
              <w:pStyle w:val="TMGTableText"/>
              <w:jc w:val="center"/>
            </w:pPr>
            <w:r>
              <w:rPr>
                <w:rFonts w:eastAsiaTheme="minorEastAsia"/>
              </w:rPr>
              <w:t>Required</w:t>
            </w:r>
          </w:p>
        </w:tc>
      </w:tr>
      <w:tr w:rsidR="001C3CA1" w14:paraId="03CCAA83" w14:textId="77777777" w:rsidTr="004605FE">
        <w:trPr>
          <w:jc w:val="center"/>
        </w:trPr>
        <w:tc>
          <w:tcPr>
            <w:tcW w:w="625" w:type="dxa"/>
          </w:tcPr>
          <w:p w14:paraId="79A72B5C" w14:textId="5049F941" w:rsidR="001C3CA1" w:rsidRPr="00220FFB" w:rsidRDefault="001C3CA1" w:rsidP="001C3CA1">
            <w:pPr>
              <w:pStyle w:val="TMGTableText"/>
              <w:ind w:left="0" w:right="144"/>
              <w:jc w:val="right"/>
              <w:rPr>
                <w:b/>
                <w:bCs/>
              </w:rPr>
            </w:pPr>
            <w:r w:rsidRPr="00877387">
              <w:rPr>
                <w:rFonts w:eastAsiaTheme="minorEastAsia"/>
              </w:rPr>
              <w:t>16</w:t>
            </w:r>
          </w:p>
        </w:tc>
        <w:tc>
          <w:tcPr>
            <w:tcW w:w="2070" w:type="dxa"/>
          </w:tcPr>
          <w:p w14:paraId="1D3770A5" w14:textId="40EC0CD4" w:rsidR="001C3CA1" w:rsidRPr="004859C8" w:rsidRDefault="001C3CA1" w:rsidP="001C3CA1">
            <w:pPr>
              <w:pStyle w:val="TMGTableText"/>
              <w:jc w:val="center"/>
            </w:pPr>
            <w:r w:rsidRPr="00877387">
              <w:rPr>
                <w:rFonts w:eastAsiaTheme="minorEastAsia"/>
              </w:rPr>
              <w:t>38-39</w:t>
            </w:r>
          </w:p>
        </w:tc>
        <w:tc>
          <w:tcPr>
            <w:tcW w:w="810" w:type="dxa"/>
          </w:tcPr>
          <w:p w14:paraId="72E9261B" w14:textId="3AB4EF2B" w:rsidR="001C3CA1" w:rsidRPr="004859C8" w:rsidRDefault="001C3CA1" w:rsidP="001C3CA1">
            <w:pPr>
              <w:pStyle w:val="TMGTableText"/>
              <w:jc w:val="center"/>
            </w:pPr>
            <w:r w:rsidRPr="00587C2E">
              <w:rPr>
                <w:rFonts w:eastAsiaTheme="minorEastAsia"/>
              </w:rPr>
              <w:t>2</w:t>
            </w:r>
          </w:p>
        </w:tc>
        <w:tc>
          <w:tcPr>
            <w:tcW w:w="3379" w:type="dxa"/>
          </w:tcPr>
          <w:p w14:paraId="7567D48A" w14:textId="4A480968" w:rsidR="001C3CA1" w:rsidRPr="004859C8" w:rsidRDefault="001C3CA1" w:rsidP="001C3CA1">
            <w:pPr>
              <w:pStyle w:val="TMGTableText"/>
            </w:pPr>
            <w:r w:rsidRPr="00877387">
              <w:rPr>
                <w:rFonts w:eastAsiaTheme="minorEastAsia"/>
              </w:rPr>
              <w:t>Vehicle Classification (CLS)</w:t>
            </w:r>
          </w:p>
        </w:tc>
        <w:tc>
          <w:tcPr>
            <w:tcW w:w="1309" w:type="dxa"/>
            <w:vAlign w:val="center"/>
          </w:tcPr>
          <w:p w14:paraId="2B51A05B" w14:textId="489DAAE1" w:rsidR="001C3CA1" w:rsidRPr="004859C8" w:rsidRDefault="001C3CA1" w:rsidP="004605FE">
            <w:pPr>
              <w:pStyle w:val="TMGTableText"/>
              <w:jc w:val="center"/>
            </w:pPr>
            <w:r w:rsidRPr="00294F6A">
              <w:t>Integer</w:t>
            </w:r>
          </w:p>
        </w:tc>
        <w:tc>
          <w:tcPr>
            <w:tcW w:w="1167" w:type="dxa"/>
            <w:vAlign w:val="center"/>
          </w:tcPr>
          <w:p w14:paraId="75817E06" w14:textId="63B15A3E" w:rsidR="001C3CA1" w:rsidRPr="00C251E9" w:rsidRDefault="001C3CA1" w:rsidP="004605FE">
            <w:pPr>
              <w:pStyle w:val="TMGTableText"/>
              <w:jc w:val="center"/>
            </w:pPr>
            <w:r>
              <w:rPr>
                <w:rFonts w:eastAsiaTheme="minorEastAsia"/>
              </w:rPr>
              <w:t>Required</w:t>
            </w:r>
          </w:p>
        </w:tc>
      </w:tr>
      <w:tr w:rsidR="001C3CA1" w14:paraId="578E2CAD" w14:textId="77777777" w:rsidTr="004605FE">
        <w:trPr>
          <w:jc w:val="center"/>
        </w:trPr>
        <w:tc>
          <w:tcPr>
            <w:tcW w:w="625" w:type="dxa"/>
          </w:tcPr>
          <w:p w14:paraId="5DB620A8" w14:textId="25DFFAEE" w:rsidR="001C3CA1" w:rsidRPr="00220FFB" w:rsidRDefault="001C3CA1" w:rsidP="001C3CA1">
            <w:pPr>
              <w:pStyle w:val="TMGTableText"/>
              <w:ind w:left="0" w:right="144"/>
              <w:jc w:val="right"/>
              <w:rPr>
                <w:b/>
                <w:bCs/>
              </w:rPr>
            </w:pPr>
            <w:r w:rsidRPr="00877387">
              <w:rPr>
                <w:rFonts w:eastAsiaTheme="minorEastAsia"/>
              </w:rPr>
              <w:t>17</w:t>
            </w:r>
          </w:p>
        </w:tc>
        <w:tc>
          <w:tcPr>
            <w:tcW w:w="2070" w:type="dxa"/>
          </w:tcPr>
          <w:p w14:paraId="2F0FA84C" w14:textId="1CAA4059" w:rsidR="001C3CA1" w:rsidRPr="004859C8" w:rsidRDefault="001C3CA1" w:rsidP="001C3CA1">
            <w:pPr>
              <w:pStyle w:val="TMGTableText"/>
              <w:jc w:val="center"/>
            </w:pPr>
            <w:r w:rsidRPr="00877387">
              <w:rPr>
                <w:rFonts w:eastAsiaTheme="minorEastAsia"/>
              </w:rPr>
              <w:t>40-41</w:t>
            </w:r>
          </w:p>
        </w:tc>
        <w:tc>
          <w:tcPr>
            <w:tcW w:w="810" w:type="dxa"/>
          </w:tcPr>
          <w:p w14:paraId="06B8283B" w14:textId="4A735F89" w:rsidR="001C3CA1" w:rsidRPr="004859C8" w:rsidRDefault="001C3CA1" w:rsidP="001C3CA1">
            <w:pPr>
              <w:pStyle w:val="TMGTableText"/>
              <w:jc w:val="center"/>
            </w:pPr>
            <w:r w:rsidRPr="00587C2E">
              <w:rPr>
                <w:rFonts w:eastAsiaTheme="minorEastAsia"/>
              </w:rPr>
              <w:t>2</w:t>
            </w:r>
          </w:p>
        </w:tc>
        <w:tc>
          <w:tcPr>
            <w:tcW w:w="3379" w:type="dxa"/>
          </w:tcPr>
          <w:p w14:paraId="61EC10E2" w14:textId="4724F65E" w:rsidR="001C3CA1" w:rsidRPr="004859C8" w:rsidRDefault="001C3CA1" w:rsidP="001C3CA1">
            <w:pPr>
              <w:pStyle w:val="TMGTableText"/>
            </w:pPr>
            <w:r w:rsidRPr="00877387">
              <w:rPr>
                <w:rFonts w:eastAsiaTheme="minorEastAsia"/>
              </w:rPr>
              <w:t>Number of Axles (NAX)</w:t>
            </w:r>
          </w:p>
        </w:tc>
        <w:tc>
          <w:tcPr>
            <w:tcW w:w="1309" w:type="dxa"/>
            <w:vAlign w:val="center"/>
          </w:tcPr>
          <w:p w14:paraId="3850A9CF" w14:textId="700C47B1" w:rsidR="001C3CA1" w:rsidRPr="004859C8" w:rsidRDefault="001C3CA1" w:rsidP="004605FE">
            <w:pPr>
              <w:pStyle w:val="TMGTableText"/>
              <w:jc w:val="center"/>
            </w:pPr>
            <w:r w:rsidRPr="00294F6A">
              <w:t>Integer</w:t>
            </w:r>
          </w:p>
        </w:tc>
        <w:tc>
          <w:tcPr>
            <w:tcW w:w="1167" w:type="dxa"/>
            <w:vAlign w:val="center"/>
          </w:tcPr>
          <w:p w14:paraId="098F3FC5" w14:textId="22273F73" w:rsidR="001C3CA1" w:rsidRPr="00C251E9" w:rsidRDefault="001C3CA1" w:rsidP="004605FE">
            <w:pPr>
              <w:pStyle w:val="TMGTableText"/>
              <w:jc w:val="center"/>
            </w:pPr>
            <w:r>
              <w:rPr>
                <w:rFonts w:eastAsiaTheme="minorEastAsia"/>
              </w:rPr>
              <w:t>Required</w:t>
            </w:r>
          </w:p>
        </w:tc>
      </w:tr>
      <w:tr w:rsidR="001C3CA1" w14:paraId="4357D450" w14:textId="77777777" w:rsidTr="004605FE">
        <w:trPr>
          <w:jc w:val="center"/>
        </w:trPr>
        <w:tc>
          <w:tcPr>
            <w:tcW w:w="625" w:type="dxa"/>
            <w:vAlign w:val="center"/>
          </w:tcPr>
          <w:p w14:paraId="0454C6F6" w14:textId="56B9D2DA" w:rsidR="001C3CA1" w:rsidRPr="00220FFB" w:rsidRDefault="001C3CA1" w:rsidP="000A73FE">
            <w:pPr>
              <w:pStyle w:val="TMGTableText"/>
              <w:ind w:left="0" w:right="144"/>
              <w:jc w:val="right"/>
              <w:rPr>
                <w:b/>
                <w:bCs/>
              </w:rPr>
            </w:pPr>
            <w:r w:rsidRPr="00877387">
              <w:rPr>
                <w:rFonts w:eastAsiaTheme="minorEastAsia"/>
              </w:rPr>
              <w:t>18</w:t>
            </w:r>
          </w:p>
        </w:tc>
        <w:tc>
          <w:tcPr>
            <w:tcW w:w="2070" w:type="dxa"/>
            <w:vAlign w:val="center"/>
          </w:tcPr>
          <w:p w14:paraId="4361843D" w14:textId="31DAD840" w:rsidR="001C3CA1" w:rsidRPr="004859C8" w:rsidRDefault="001C3CA1" w:rsidP="000A73FE">
            <w:pPr>
              <w:pStyle w:val="TMGTableText"/>
              <w:jc w:val="center"/>
            </w:pPr>
            <w:r w:rsidRPr="00877387">
              <w:rPr>
                <w:rFonts w:eastAsiaTheme="minorEastAsia"/>
              </w:rPr>
              <w:t>42-45</w:t>
            </w:r>
          </w:p>
        </w:tc>
        <w:tc>
          <w:tcPr>
            <w:tcW w:w="810" w:type="dxa"/>
            <w:vAlign w:val="center"/>
          </w:tcPr>
          <w:p w14:paraId="0F1AECD5" w14:textId="33A6EE09" w:rsidR="001C3CA1" w:rsidRPr="004859C8" w:rsidRDefault="001C3CA1" w:rsidP="000A73FE">
            <w:pPr>
              <w:pStyle w:val="TMGTableText"/>
              <w:jc w:val="center"/>
            </w:pPr>
            <w:r w:rsidRPr="00587C2E">
              <w:rPr>
                <w:rFonts w:eastAsiaTheme="minorEastAsia"/>
              </w:rPr>
              <w:t>4</w:t>
            </w:r>
          </w:p>
        </w:tc>
        <w:tc>
          <w:tcPr>
            <w:tcW w:w="3379" w:type="dxa"/>
          </w:tcPr>
          <w:p w14:paraId="16FC6499" w14:textId="2606A07E" w:rsidR="001C3CA1" w:rsidRPr="004859C8" w:rsidRDefault="001C3CA1" w:rsidP="001C3CA1">
            <w:pPr>
              <w:pStyle w:val="TMGTableText"/>
            </w:pPr>
            <w:r w:rsidRPr="00877387">
              <w:rPr>
                <w:rFonts w:eastAsiaTheme="minorEastAsia"/>
              </w:rPr>
              <w:t>Total Vehicle Length (bumper to bumper) (TVL)</w:t>
            </w:r>
          </w:p>
        </w:tc>
        <w:tc>
          <w:tcPr>
            <w:tcW w:w="1309" w:type="dxa"/>
            <w:vAlign w:val="center"/>
          </w:tcPr>
          <w:p w14:paraId="6BAC046A" w14:textId="6747D7B7" w:rsidR="001C3CA1" w:rsidRPr="004859C8" w:rsidRDefault="001C3CA1" w:rsidP="004605FE">
            <w:pPr>
              <w:pStyle w:val="TMGTableText"/>
              <w:jc w:val="center"/>
            </w:pPr>
            <w:r w:rsidRPr="00294F6A">
              <w:t>Integer</w:t>
            </w:r>
          </w:p>
        </w:tc>
        <w:tc>
          <w:tcPr>
            <w:tcW w:w="1167" w:type="dxa"/>
            <w:vAlign w:val="center"/>
          </w:tcPr>
          <w:p w14:paraId="4132579C" w14:textId="4A2B6E6F" w:rsidR="001C3CA1" w:rsidRPr="00C251E9" w:rsidRDefault="001C3CA1" w:rsidP="004605FE">
            <w:pPr>
              <w:pStyle w:val="TMGTableText"/>
              <w:jc w:val="center"/>
            </w:pPr>
            <w:r w:rsidRPr="00877387">
              <w:rPr>
                <w:rFonts w:eastAsiaTheme="minorEastAsia"/>
              </w:rPr>
              <w:t>O</w:t>
            </w:r>
            <w:r>
              <w:rPr>
                <w:rFonts w:eastAsiaTheme="minorEastAsia"/>
              </w:rPr>
              <w:t>ptional</w:t>
            </w:r>
          </w:p>
        </w:tc>
      </w:tr>
      <w:tr w:rsidR="001C3CA1" w14:paraId="068D4F63" w14:textId="77777777" w:rsidTr="004605FE">
        <w:trPr>
          <w:jc w:val="center"/>
        </w:trPr>
        <w:tc>
          <w:tcPr>
            <w:tcW w:w="625" w:type="dxa"/>
          </w:tcPr>
          <w:p w14:paraId="1B78D655" w14:textId="7F3861D3" w:rsidR="001C3CA1" w:rsidRPr="00220FFB" w:rsidRDefault="001C3CA1" w:rsidP="001C3CA1">
            <w:pPr>
              <w:pStyle w:val="TMGTableText"/>
              <w:ind w:left="0" w:right="144"/>
              <w:jc w:val="right"/>
              <w:rPr>
                <w:b/>
                <w:bCs/>
              </w:rPr>
            </w:pPr>
            <w:r w:rsidRPr="00877387">
              <w:rPr>
                <w:rFonts w:eastAsiaTheme="minorEastAsia"/>
              </w:rPr>
              <w:t>19</w:t>
            </w:r>
          </w:p>
        </w:tc>
        <w:tc>
          <w:tcPr>
            <w:tcW w:w="2070" w:type="dxa"/>
          </w:tcPr>
          <w:p w14:paraId="05C3497C" w14:textId="310DE320" w:rsidR="001C3CA1" w:rsidRPr="004859C8" w:rsidRDefault="001C3CA1" w:rsidP="001C3CA1">
            <w:pPr>
              <w:pStyle w:val="TMGTableText"/>
              <w:jc w:val="center"/>
            </w:pPr>
            <w:r w:rsidRPr="00877387">
              <w:rPr>
                <w:rFonts w:eastAsiaTheme="minorEastAsia"/>
              </w:rPr>
              <w:t>46-48</w:t>
            </w:r>
          </w:p>
        </w:tc>
        <w:tc>
          <w:tcPr>
            <w:tcW w:w="810" w:type="dxa"/>
          </w:tcPr>
          <w:p w14:paraId="2FE6BBEA" w14:textId="7CCF05AF" w:rsidR="001C3CA1" w:rsidRPr="004859C8" w:rsidRDefault="001C3CA1" w:rsidP="001C3CA1">
            <w:pPr>
              <w:pStyle w:val="TMGTableText"/>
              <w:jc w:val="center"/>
            </w:pPr>
            <w:r w:rsidRPr="00587C2E">
              <w:rPr>
                <w:rFonts w:eastAsiaTheme="minorEastAsia"/>
              </w:rPr>
              <w:t>3</w:t>
            </w:r>
          </w:p>
        </w:tc>
        <w:tc>
          <w:tcPr>
            <w:tcW w:w="3379" w:type="dxa"/>
          </w:tcPr>
          <w:p w14:paraId="41C3DDBE" w14:textId="2D19FA38" w:rsidR="001C3CA1" w:rsidRPr="004859C8" w:rsidRDefault="001C3CA1" w:rsidP="001C3CA1">
            <w:pPr>
              <w:pStyle w:val="TMGTableText"/>
            </w:pPr>
            <w:r w:rsidRPr="00877387">
              <w:rPr>
                <w:rFonts w:eastAsiaTheme="minorEastAsia"/>
              </w:rPr>
              <w:t>Pavement Temperature (PT)</w:t>
            </w:r>
          </w:p>
        </w:tc>
        <w:tc>
          <w:tcPr>
            <w:tcW w:w="1309" w:type="dxa"/>
            <w:vAlign w:val="center"/>
          </w:tcPr>
          <w:p w14:paraId="121EA4C8" w14:textId="58A102B2" w:rsidR="001C3CA1" w:rsidRPr="004859C8" w:rsidRDefault="001C3CA1" w:rsidP="004605FE">
            <w:pPr>
              <w:pStyle w:val="TMGTableText"/>
              <w:jc w:val="center"/>
            </w:pPr>
            <w:r w:rsidRPr="003C79E7">
              <w:t>Integer</w:t>
            </w:r>
          </w:p>
        </w:tc>
        <w:tc>
          <w:tcPr>
            <w:tcW w:w="1167" w:type="dxa"/>
            <w:vAlign w:val="center"/>
          </w:tcPr>
          <w:p w14:paraId="3CA44F91" w14:textId="33F14407" w:rsidR="001C3CA1" w:rsidRPr="00C251E9" w:rsidRDefault="001C3CA1" w:rsidP="004605FE">
            <w:pPr>
              <w:pStyle w:val="TMGTableText"/>
              <w:jc w:val="center"/>
            </w:pPr>
            <w:r w:rsidRPr="00877387">
              <w:rPr>
                <w:rFonts w:eastAsiaTheme="minorEastAsia"/>
              </w:rPr>
              <w:t>O</w:t>
            </w:r>
            <w:r>
              <w:rPr>
                <w:rFonts w:eastAsiaTheme="minorEastAsia"/>
              </w:rPr>
              <w:t>ptional</w:t>
            </w:r>
          </w:p>
        </w:tc>
      </w:tr>
      <w:tr w:rsidR="001C3CA1" w14:paraId="3C94B31A" w14:textId="77777777" w:rsidTr="004605FE">
        <w:trPr>
          <w:jc w:val="center"/>
        </w:trPr>
        <w:tc>
          <w:tcPr>
            <w:tcW w:w="625" w:type="dxa"/>
          </w:tcPr>
          <w:p w14:paraId="762B370B" w14:textId="49CB8075" w:rsidR="001C3CA1" w:rsidRPr="00220FFB" w:rsidRDefault="001C3CA1" w:rsidP="001C3CA1">
            <w:pPr>
              <w:pStyle w:val="TMGTableText"/>
              <w:ind w:left="0" w:right="144"/>
              <w:jc w:val="right"/>
              <w:rPr>
                <w:b/>
                <w:bCs/>
              </w:rPr>
            </w:pPr>
            <w:r w:rsidRPr="00877387">
              <w:rPr>
                <w:rFonts w:eastAsiaTheme="minorEastAsia"/>
              </w:rPr>
              <w:t>20</w:t>
            </w:r>
          </w:p>
        </w:tc>
        <w:tc>
          <w:tcPr>
            <w:tcW w:w="2070" w:type="dxa"/>
          </w:tcPr>
          <w:p w14:paraId="72EB9608" w14:textId="1F0BE006" w:rsidR="001C3CA1" w:rsidRPr="004859C8" w:rsidRDefault="001C3CA1" w:rsidP="001C3CA1">
            <w:pPr>
              <w:pStyle w:val="TMGTableText"/>
              <w:jc w:val="center"/>
            </w:pPr>
            <w:r>
              <w:rPr>
                <w:rFonts w:eastAsiaTheme="minorEastAsia"/>
              </w:rPr>
              <w:t>49-54</w:t>
            </w:r>
          </w:p>
        </w:tc>
        <w:tc>
          <w:tcPr>
            <w:tcW w:w="810" w:type="dxa"/>
            <w:vAlign w:val="center"/>
          </w:tcPr>
          <w:p w14:paraId="52E7A69E" w14:textId="259DFFA7" w:rsidR="001C3CA1" w:rsidRPr="004859C8" w:rsidRDefault="001C3CA1" w:rsidP="001C3CA1">
            <w:pPr>
              <w:pStyle w:val="TMGTableText"/>
              <w:jc w:val="center"/>
            </w:pPr>
            <w:r w:rsidRPr="00587C2E">
              <w:rPr>
                <w:rFonts w:eastAsiaTheme="minorEastAsia"/>
              </w:rPr>
              <w:t>6</w:t>
            </w:r>
          </w:p>
        </w:tc>
        <w:tc>
          <w:tcPr>
            <w:tcW w:w="3379" w:type="dxa"/>
          </w:tcPr>
          <w:p w14:paraId="1BEFE307" w14:textId="3965695C" w:rsidR="001C3CA1" w:rsidRPr="004859C8" w:rsidRDefault="001C3CA1" w:rsidP="001C3CA1">
            <w:pPr>
              <w:pStyle w:val="TMGTableText"/>
            </w:pPr>
            <w:r w:rsidRPr="00877387">
              <w:rPr>
                <w:rFonts w:eastAsiaTheme="minorEastAsia"/>
              </w:rPr>
              <w:t>Gross Vehicle Weight (GVW)</w:t>
            </w:r>
          </w:p>
        </w:tc>
        <w:tc>
          <w:tcPr>
            <w:tcW w:w="1309" w:type="dxa"/>
            <w:vAlign w:val="center"/>
          </w:tcPr>
          <w:p w14:paraId="5CE53F09" w14:textId="0287B10A" w:rsidR="001C3CA1" w:rsidRPr="004859C8" w:rsidRDefault="001C3CA1" w:rsidP="004605FE">
            <w:pPr>
              <w:pStyle w:val="TMGTableText"/>
              <w:jc w:val="center"/>
            </w:pPr>
            <w:r w:rsidRPr="003C79E7">
              <w:t>Integer</w:t>
            </w:r>
          </w:p>
        </w:tc>
        <w:tc>
          <w:tcPr>
            <w:tcW w:w="1167" w:type="dxa"/>
            <w:vAlign w:val="center"/>
          </w:tcPr>
          <w:p w14:paraId="61B01EA6" w14:textId="2A9F6C1B" w:rsidR="001C3CA1" w:rsidRPr="00C251E9" w:rsidRDefault="001C3CA1" w:rsidP="004605FE">
            <w:pPr>
              <w:pStyle w:val="TMGTableText"/>
              <w:jc w:val="center"/>
            </w:pPr>
            <w:r>
              <w:rPr>
                <w:rFonts w:eastAsiaTheme="minorEastAsia"/>
              </w:rPr>
              <w:t>Required</w:t>
            </w:r>
          </w:p>
        </w:tc>
      </w:tr>
      <w:tr w:rsidR="001C3CA1" w14:paraId="5D8D80DB" w14:textId="77777777" w:rsidTr="004605FE">
        <w:trPr>
          <w:jc w:val="center"/>
        </w:trPr>
        <w:tc>
          <w:tcPr>
            <w:tcW w:w="625" w:type="dxa"/>
          </w:tcPr>
          <w:p w14:paraId="2FA7BC65" w14:textId="74BE35C7" w:rsidR="001C3CA1" w:rsidRPr="00220FFB" w:rsidRDefault="001C3CA1" w:rsidP="001C3CA1">
            <w:pPr>
              <w:pStyle w:val="TMGTableText"/>
              <w:ind w:left="0" w:right="144"/>
              <w:jc w:val="right"/>
              <w:rPr>
                <w:b/>
                <w:bCs/>
              </w:rPr>
            </w:pPr>
            <w:r w:rsidRPr="00877387">
              <w:rPr>
                <w:rFonts w:eastAsiaTheme="minorEastAsia"/>
              </w:rPr>
              <w:lastRenderedPageBreak/>
              <w:t>21</w:t>
            </w:r>
          </w:p>
        </w:tc>
        <w:tc>
          <w:tcPr>
            <w:tcW w:w="2070" w:type="dxa"/>
          </w:tcPr>
          <w:p w14:paraId="50F34143" w14:textId="40220868" w:rsidR="001C3CA1" w:rsidRPr="004859C8" w:rsidRDefault="001C3CA1" w:rsidP="001C3CA1">
            <w:pPr>
              <w:pStyle w:val="TMGTableText"/>
              <w:jc w:val="center"/>
            </w:pPr>
            <w:r>
              <w:rPr>
                <w:rFonts w:eastAsiaTheme="minorEastAsia"/>
              </w:rPr>
              <w:t>55-59</w:t>
            </w:r>
          </w:p>
        </w:tc>
        <w:tc>
          <w:tcPr>
            <w:tcW w:w="810" w:type="dxa"/>
            <w:vAlign w:val="center"/>
          </w:tcPr>
          <w:p w14:paraId="1F1B87A0" w14:textId="74A95405" w:rsidR="001C3CA1" w:rsidRPr="004859C8" w:rsidRDefault="001C3CA1" w:rsidP="001C3CA1">
            <w:pPr>
              <w:pStyle w:val="TMGTableText"/>
              <w:jc w:val="center"/>
            </w:pPr>
            <w:r w:rsidRPr="00587C2E">
              <w:t>5</w:t>
            </w:r>
          </w:p>
        </w:tc>
        <w:tc>
          <w:tcPr>
            <w:tcW w:w="3379" w:type="dxa"/>
          </w:tcPr>
          <w:p w14:paraId="7E2EC842" w14:textId="1F0946A5" w:rsidR="001C3CA1" w:rsidRPr="004859C8" w:rsidRDefault="001C3CA1" w:rsidP="001C3CA1">
            <w:pPr>
              <w:pStyle w:val="TMGTableText"/>
            </w:pPr>
            <w:r w:rsidRPr="00877387">
              <w:rPr>
                <w:rFonts w:eastAsiaTheme="minorEastAsia"/>
              </w:rPr>
              <w:t>Axle Weight 1 (AW1)</w:t>
            </w:r>
          </w:p>
        </w:tc>
        <w:tc>
          <w:tcPr>
            <w:tcW w:w="1309" w:type="dxa"/>
            <w:vAlign w:val="center"/>
          </w:tcPr>
          <w:p w14:paraId="63C58296" w14:textId="41E7E11D" w:rsidR="001C3CA1" w:rsidRPr="004859C8" w:rsidRDefault="001C3CA1" w:rsidP="004605FE">
            <w:pPr>
              <w:pStyle w:val="TMGTableText"/>
              <w:jc w:val="center"/>
            </w:pPr>
            <w:r w:rsidRPr="003C79E7">
              <w:t>Integer</w:t>
            </w:r>
          </w:p>
        </w:tc>
        <w:tc>
          <w:tcPr>
            <w:tcW w:w="1167" w:type="dxa"/>
            <w:vAlign w:val="center"/>
          </w:tcPr>
          <w:p w14:paraId="2B2FA303" w14:textId="77B3DFB6" w:rsidR="001C3CA1" w:rsidRPr="00C251E9" w:rsidRDefault="001C3CA1" w:rsidP="004605FE">
            <w:pPr>
              <w:pStyle w:val="TMGTableText"/>
              <w:jc w:val="center"/>
            </w:pPr>
            <w:r>
              <w:rPr>
                <w:rFonts w:eastAsiaTheme="minorEastAsia"/>
              </w:rPr>
              <w:t>Required</w:t>
            </w:r>
          </w:p>
        </w:tc>
      </w:tr>
      <w:tr w:rsidR="001C3CA1" w14:paraId="41BFC015" w14:textId="77777777" w:rsidTr="004605FE">
        <w:trPr>
          <w:jc w:val="center"/>
        </w:trPr>
        <w:tc>
          <w:tcPr>
            <w:tcW w:w="625" w:type="dxa"/>
          </w:tcPr>
          <w:p w14:paraId="18953870" w14:textId="4A9A4293" w:rsidR="001C3CA1" w:rsidRPr="00220FFB" w:rsidRDefault="001C3CA1" w:rsidP="001C3CA1">
            <w:pPr>
              <w:pStyle w:val="TMGTableText"/>
              <w:ind w:left="0" w:right="144"/>
              <w:jc w:val="right"/>
              <w:rPr>
                <w:b/>
                <w:bCs/>
              </w:rPr>
            </w:pPr>
            <w:r w:rsidRPr="00877387">
              <w:rPr>
                <w:rFonts w:eastAsiaTheme="minorEastAsia"/>
              </w:rPr>
              <w:t>22</w:t>
            </w:r>
          </w:p>
        </w:tc>
        <w:tc>
          <w:tcPr>
            <w:tcW w:w="2070" w:type="dxa"/>
          </w:tcPr>
          <w:p w14:paraId="2FA2E33A" w14:textId="1AF8EC2E" w:rsidR="001C3CA1" w:rsidRPr="004859C8" w:rsidRDefault="001C3CA1" w:rsidP="001C3CA1">
            <w:pPr>
              <w:pStyle w:val="TMGTableText"/>
              <w:jc w:val="center"/>
            </w:pPr>
            <w:r>
              <w:t>60-63</w:t>
            </w:r>
          </w:p>
        </w:tc>
        <w:tc>
          <w:tcPr>
            <w:tcW w:w="810" w:type="dxa"/>
            <w:vAlign w:val="center"/>
          </w:tcPr>
          <w:p w14:paraId="16F3E6F0" w14:textId="5A894DF7" w:rsidR="001C3CA1" w:rsidRPr="004859C8" w:rsidRDefault="001C3CA1" w:rsidP="001C3CA1">
            <w:pPr>
              <w:pStyle w:val="TMGTableText"/>
              <w:jc w:val="center"/>
            </w:pPr>
            <w:r w:rsidRPr="00587C2E">
              <w:rPr>
                <w:rFonts w:eastAsiaTheme="minorEastAsia"/>
              </w:rPr>
              <w:t>4</w:t>
            </w:r>
          </w:p>
        </w:tc>
        <w:tc>
          <w:tcPr>
            <w:tcW w:w="3379" w:type="dxa"/>
          </w:tcPr>
          <w:p w14:paraId="25EF47E0" w14:textId="6080F1D7" w:rsidR="001C3CA1" w:rsidRPr="004859C8" w:rsidRDefault="001C3CA1" w:rsidP="001C3CA1">
            <w:pPr>
              <w:pStyle w:val="TMGTableText"/>
            </w:pPr>
            <w:r w:rsidRPr="00877387">
              <w:rPr>
                <w:rFonts w:eastAsiaTheme="minorEastAsia"/>
              </w:rPr>
              <w:t>Axles 1-2 Spacing (ASP1)</w:t>
            </w:r>
          </w:p>
        </w:tc>
        <w:tc>
          <w:tcPr>
            <w:tcW w:w="1309" w:type="dxa"/>
            <w:vAlign w:val="center"/>
          </w:tcPr>
          <w:p w14:paraId="67A5292D" w14:textId="4DCAC1A3" w:rsidR="001C3CA1" w:rsidRPr="004859C8" w:rsidRDefault="001C3CA1" w:rsidP="004605FE">
            <w:pPr>
              <w:pStyle w:val="TMGTableText"/>
              <w:jc w:val="center"/>
            </w:pPr>
            <w:r w:rsidRPr="003C79E7">
              <w:t>Integer</w:t>
            </w:r>
          </w:p>
        </w:tc>
        <w:tc>
          <w:tcPr>
            <w:tcW w:w="1167" w:type="dxa"/>
            <w:vAlign w:val="center"/>
          </w:tcPr>
          <w:p w14:paraId="46298428" w14:textId="76735FB4" w:rsidR="001C3CA1" w:rsidRPr="00C251E9" w:rsidRDefault="001C3CA1" w:rsidP="004605FE">
            <w:pPr>
              <w:pStyle w:val="TMGTableText"/>
              <w:jc w:val="center"/>
            </w:pPr>
            <w:r>
              <w:rPr>
                <w:rFonts w:eastAsiaTheme="minorEastAsia"/>
              </w:rPr>
              <w:t>Required</w:t>
            </w:r>
          </w:p>
        </w:tc>
      </w:tr>
      <w:tr w:rsidR="001C3CA1" w14:paraId="45D3522E" w14:textId="77777777" w:rsidTr="004605FE">
        <w:trPr>
          <w:jc w:val="center"/>
        </w:trPr>
        <w:tc>
          <w:tcPr>
            <w:tcW w:w="625" w:type="dxa"/>
          </w:tcPr>
          <w:p w14:paraId="7438BF64" w14:textId="432B8642" w:rsidR="001C3CA1" w:rsidRPr="00220FFB" w:rsidRDefault="001C3CA1" w:rsidP="001C3CA1">
            <w:pPr>
              <w:pStyle w:val="TMGTableText"/>
              <w:ind w:left="0" w:right="144"/>
              <w:jc w:val="right"/>
              <w:rPr>
                <w:b/>
                <w:bCs/>
              </w:rPr>
            </w:pPr>
            <w:r w:rsidRPr="00877387">
              <w:rPr>
                <w:rFonts w:eastAsiaTheme="minorEastAsia"/>
              </w:rPr>
              <w:t>23</w:t>
            </w:r>
          </w:p>
        </w:tc>
        <w:tc>
          <w:tcPr>
            <w:tcW w:w="2070" w:type="dxa"/>
          </w:tcPr>
          <w:p w14:paraId="40135065" w14:textId="77CA7434" w:rsidR="001C3CA1" w:rsidRPr="004859C8" w:rsidRDefault="001C3CA1" w:rsidP="001C3CA1">
            <w:pPr>
              <w:pStyle w:val="TMGTableText"/>
              <w:jc w:val="center"/>
            </w:pPr>
            <w:r>
              <w:rPr>
                <w:rFonts w:eastAsiaTheme="minorEastAsia"/>
              </w:rPr>
              <w:t>64-68</w:t>
            </w:r>
          </w:p>
        </w:tc>
        <w:tc>
          <w:tcPr>
            <w:tcW w:w="810" w:type="dxa"/>
            <w:vAlign w:val="center"/>
          </w:tcPr>
          <w:p w14:paraId="40001047" w14:textId="2CD8F41D" w:rsidR="001C3CA1" w:rsidRPr="004859C8" w:rsidRDefault="001C3CA1" w:rsidP="001C3CA1">
            <w:pPr>
              <w:pStyle w:val="TMGTableText"/>
              <w:jc w:val="center"/>
            </w:pPr>
            <w:r w:rsidRPr="00587C2E">
              <w:t>5</w:t>
            </w:r>
          </w:p>
        </w:tc>
        <w:tc>
          <w:tcPr>
            <w:tcW w:w="3379" w:type="dxa"/>
          </w:tcPr>
          <w:p w14:paraId="5D7D489C" w14:textId="1A19D4E1" w:rsidR="001C3CA1" w:rsidRPr="004859C8" w:rsidRDefault="001C3CA1" w:rsidP="001C3CA1">
            <w:pPr>
              <w:pStyle w:val="TMGTableText"/>
            </w:pPr>
            <w:r w:rsidRPr="00877387">
              <w:rPr>
                <w:rFonts w:eastAsiaTheme="minorEastAsia"/>
              </w:rPr>
              <w:t>Axle Weight 2 (AW2)</w:t>
            </w:r>
          </w:p>
        </w:tc>
        <w:tc>
          <w:tcPr>
            <w:tcW w:w="1309" w:type="dxa"/>
            <w:vAlign w:val="center"/>
          </w:tcPr>
          <w:p w14:paraId="2A577A31" w14:textId="6C087522" w:rsidR="001C3CA1" w:rsidRPr="004859C8" w:rsidRDefault="001C3CA1" w:rsidP="004605FE">
            <w:pPr>
              <w:pStyle w:val="TMGTableText"/>
              <w:jc w:val="center"/>
            </w:pPr>
            <w:r w:rsidRPr="003C79E7">
              <w:t>Integer</w:t>
            </w:r>
          </w:p>
        </w:tc>
        <w:tc>
          <w:tcPr>
            <w:tcW w:w="1167" w:type="dxa"/>
            <w:vAlign w:val="center"/>
          </w:tcPr>
          <w:p w14:paraId="78F76464" w14:textId="1B827870" w:rsidR="001C3CA1" w:rsidRPr="00C251E9" w:rsidRDefault="001C3CA1" w:rsidP="004605FE">
            <w:pPr>
              <w:pStyle w:val="TMGTableText"/>
              <w:jc w:val="center"/>
            </w:pPr>
            <w:r>
              <w:rPr>
                <w:rFonts w:eastAsiaTheme="minorEastAsia"/>
              </w:rPr>
              <w:t>Required</w:t>
            </w:r>
          </w:p>
        </w:tc>
      </w:tr>
      <w:tr w:rsidR="001C3CA1" w14:paraId="448D5D06" w14:textId="77777777" w:rsidTr="004605FE">
        <w:trPr>
          <w:jc w:val="center"/>
        </w:trPr>
        <w:tc>
          <w:tcPr>
            <w:tcW w:w="625" w:type="dxa"/>
          </w:tcPr>
          <w:p w14:paraId="5704804F" w14:textId="7753277E" w:rsidR="001C3CA1" w:rsidRPr="00220FFB" w:rsidRDefault="001C3CA1" w:rsidP="001C3CA1">
            <w:pPr>
              <w:pStyle w:val="TMGTableText"/>
              <w:ind w:left="0" w:right="144"/>
              <w:jc w:val="right"/>
              <w:rPr>
                <w:b/>
                <w:bCs/>
              </w:rPr>
            </w:pPr>
            <w:r w:rsidRPr="00877387">
              <w:rPr>
                <w:rFonts w:eastAsiaTheme="minorEastAsia"/>
              </w:rPr>
              <w:t>24</w:t>
            </w:r>
          </w:p>
        </w:tc>
        <w:tc>
          <w:tcPr>
            <w:tcW w:w="2070" w:type="dxa"/>
          </w:tcPr>
          <w:p w14:paraId="62BB291E" w14:textId="4C1EFF90" w:rsidR="001C3CA1" w:rsidRPr="004859C8" w:rsidRDefault="001C3CA1" w:rsidP="001C3CA1">
            <w:pPr>
              <w:pStyle w:val="TMGTableText"/>
              <w:jc w:val="center"/>
            </w:pPr>
            <w:r>
              <w:t>69-72</w:t>
            </w:r>
          </w:p>
        </w:tc>
        <w:tc>
          <w:tcPr>
            <w:tcW w:w="810" w:type="dxa"/>
            <w:vAlign w:val="center"/>
          </w:tcPr>
          <w:p w14:paraId="41255C9C" w14:textId="5C3F1BA4" w:rsidR="001C3CA1" w:rsidRPr="004859C8" w:rsidRDefault="001C3CA1" w:rsidP="001C3CA1">
            <w:pPr>
              <w:pStyle w:val="TMGTableText"/>
              <w:jc w:val="center"/>
            </w:pPr>
            <w:r w:rsidRPr="00587C2E">
              <w:rPr>
                <w:rFonts w:eastAsiaTheme="minorEastAsia"/>
              </w:rPr>
              <w:t>4</w:t>
            </w:r>
          </w:p>
        </w:tc>
        <w:tc>
          <w:tcPr>
            <w:tcW w:w="3379" w:type="dxa"/>
          </w:tcPr>
          <w:p w14:paraId="515E980D" w14:textId="7C1444BB" w:rsidR="001C3CA1" w:rsidRPr="004859C8" w:rsidRDefault="001C3CA1" w:rsidP="001C3CA1">
            <w:pPr>
              <w:pStyle w:val="TMGTableText"/>
            </w:pPr>
            <w:r w:rsidRPr="00877387">
              <w:rPr>
                <w:rFonts w:eastAsiaTheme="minorEastAsia"/>
              </w:rPr>
              <w:t>Axles 2-3 Spacing (ASP2)</w:t>
            </w:r>
          </w:p>
        </w:tc>
        <w:tc>
          <w:tcPr>
            <w:tcW w:w="1309" w:type="dxa"/>
            <w:vAlign w:val="center"/>
          </w:tcPr>
          <w:p w14:paraId="34FBFA39" w14:textId="309DB830" w:rsidR="001C3CA1" w:rsidRPr="004859C8" w:rsidRDefault="001C3CA1" w:rsidP="004605FE">
            <w:pPr>
              <w:pStyle w:val="TMGTableText"/>
              <w:jc w:val="center"/>
            </w:pPr>
            <w:r w:rsidRPr="003C79E7">
              <w:t>Integer</w:t>
            </w:r>
          </w:p>
        </w:tc>
        <w:tc>
          <w:tcPr>
            <w:tcW w:w="1167" w:type="dxa"/>
            <w:vAlign w:val="center"/>
          </w:tcPr>
          <w:p w14:paraId="41BB2BD5" w14:textId="2DAFE5D3" w:rsidR="001C3CA1" w:rsidRPr="00C251E9" w:rsidRDefault="001C3CA1"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1C3CA1" w14:paraId="1036ACC1" w14:textId="77777777" w:rsidTr="004605FE">
        <w:trPr>
          <w:jc w:val="center"/>
        </w:trPr>
        <w:tc>
          <w:tcPr>
            <w:tcW w:w="625" w:type="dxa"/>
          </w:tcPr>
          <w:p w14:paraId="7E36966D" w14:textId="5010A811" w:rsidR="001C3CA1" w:rsidRPr="00220FFB" w:rsidRDefault="001C3CA1" w:rsidP="001C3CA1">
            <w:pPr>
              <w:pStyle w:val="TMGTableText"/>
              <w:ind w:left="0" w:right="144"/>
              <w:jc w:val="right"/>
              <w:rPr>
                <w:b/>
                <w:bCs/>
              </w:rPr>
            </w:pPr>
            <w:r w:rsidRPr="00877387">
              <w:rPr>
                <w:rFonts w:eastAsiaTheme="minorEastAsia"/>
              </w:rPr>
              <w:t>25</w:t>
            </w:r>
          </w:p>
        </w:tc>
        <w:tc>
          <w:tcPr>
            <w:tcW w:w="2070" w:type="dxa"/>
          </w:tcPr>
          <w:p w14:paraId="0F35DF58" w14:textId="2A0C7AE7" w:rsidR="001C3CA1" w:rsidRPr="004859C8" w:rsidRDefault="001C3CA1" w:rsidP="001C3CA1">
            <w:pPr>
              <w:pStyle w:val="TMGTableText"/>
              <w:jc w:val="center"/>
            </w:pPr>
            <w:r>
              <w:t>73-77</w:t>
            </w:r>
          </w:p>
        </w:tc>
        <w:tc>
          <w:tcPr>
            <w:tcW w:w="810" w:type="dxa"/>
            <w:vAlign w:val="center"/>
          </w:tcPr>
          <w:p w14:paraId="20C5DD4E" w14:textId="3BD3CAE2" w:rsidR="001C3CA1" w:rsidRPr="004859C8" w:rsidRDefault="001C3CA1" w:rsidP="001C3CA1">
            <w:pPr>
              <w:pStyle w:val="TMGTableText"/>
              <w:jc w:val="center"/>
            </w:pPr>
            <w:r w:rsidRPr="00587C2E">
              <w:t>5</w:t>
            </w:r>
          </w:p>
        </w:tc>
        <w:tc>
          <w:tcPr>
            <w:tcW w:w="3379" w:type="dxa"/>
          </w:tcPr>
          <w:p w14:paraId="61C7C4DD" w14:textId="471B0735" w:rsidR="001C3CA1" w:rsidRPr="004859C8" w:rsidRDefault="001C3CA1" w:rsidP="001C3CA1">
            <w:pPr>
              <w:pStyle w:val="TMGTableText"/>
            </w:pPr>
            <w:r w:rsidRPr="00877387">
              <w:rPr>
                <w:rFonts w:eastAsiaTheme="minorEastAsia"/>
              </w:rPr>
              <w:t>Axle Weight 3 (AW3)</w:t>
            </w:r>
          </w:p>
        </w:tc>
        <w:tc>
          <w:tcPr>
            <w:tcW w:w="1309" w:type="dxa"/>
            <w:vAlign w:val="center"/>
          </w:tcPr>
          <w:p w14:paraId="47D82FB8" w14:textId="72F0648D" w:rsidR="001C3CA1" w:rsidRPr="004859C8" w:rsidRDefault="001C3CA1" w:rsidP="004605FE">
            <w:pPr>
              <w:pStyle w:val="TMGTableText"/>
              <w:jc w:val="center"/>
            </w:pPr>
            <w:r w:rsidRPr="003C79E7">
              <w:t>Integer</w:t>
            </w:r>
          </w:p>
        </w:tc>
        <w:tc>
          <w:tcPr>
            <w:tcW w:w="1167" w:type="dxa"/>
            <w:vAlign w:val="center"/>
          </w:tcPr>
          <w:p w14:paraId="4BAB9317" w14:textId="0B4E6F6F" w:rsidR="001C3CA1" w:rsidRPr="00C251E9" w:rsidRDefault="001C3CA1"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1C3CA1" w14:paraId="50701A51" w14:textId="77777777" w:rsidTr="004605FE">
        <w:trPr>
          <w:jc w:val="center"/>
        </w:trPr>
        <w:tc>
          <w:tcPr>
            <w:tcW w:w="625" w:type="dxa"/>
          </w:tcPr>
          <w:p w14:paraId="37DCDBE8" w14:textId="5B15B2B0" w:rsidR="001C3CA1" w:rsidRPr="00220FFB" w:rsidRDefault="001C3CA1" w:rsidP="001C3CA1">
            <w:pPr>
              <w:pStyle w:val="TMGTableText"/>
              <w:ind w:left="0" w:right="144"/>
              <w:jc w:val="right"/>
              <w:rPr>
                <w:b/>
                <w:bCs/>
              </w:rPr>
            </w:pPr>
            <w:r w:rsidRPr="00877387">
              <w:rPr>
                <w:rFonts w:eastAsiaTheme="minorEastAsia"/>
              </w:rPr>
              <w:t>26</w:t>
            </w:r>
          </w:p>
        </w:tc>
        <w:tc>
          <w:tcPr>
            <w:tcW w:w="2070" w:type="dxa"/>
          </w:tcPr>
          <w:p w14:paraId="2EED2F2F" w14:textId="6A750112" w:rsidR="001C3CA1" w:rsidRPr="004859C8" w:rsidRDefault="001C3CA1" w:rsidP="001C3CA1">
            <w:pPr>
              <w:pStyle w:val="TMGTableText"/>
              <w:jc w:val="center"/>
            </w:pPr>
            <w:r>
              <w:t>78-81</w:t>
            </w:r>
          </w:p>
        </w:tc>
        <w:tc>
          <w:tcPr>
            <w:tcW w:w="810" w:type="dxa"/>
            <w:vAlign w:val="center"/>
          </w:tcPr>
          <w:p w14:paraId="5C37DC6A" w14:textId="25B70866" w:rsidR="001C3CA1" w:rsidRPr="004859C8" w:rsidRDefault="001C3CA1" w:rsidP="001C3CA1">
            <w:pPr>
              <w:pStyle w:val="TMGTableText"/>
              <w:jc w:val="center"/>
            </w:pPr>
            <w:r w:rsidRPr="00587C2E">
              <w:rPr>
                <w:rFonts w:eastAsiaTheme="minorEastAsia"/>
              </w:rPr>
              <w:t>4</w:t>
            </w:r>
          </w:p>
        </w:tc>
        <w:tc>
          <w:tcPr>
            <w:tcW w:w="3379" w:type="dxa"/>
          </w:tcPr>
          <w:p w14:paraId="660FAD24" w14:textId="79CA0A5E" w:rsidR="001C3CA1" w:rsidRPr="004859C8" w:rsidRDefault="001C3CA1" w:rsidP="001C3CA1">
            <w:pPr>
              <w:pStyle w:val="TMGTableText"/>
            </w:pPr>
            <w:r w:rsidRPr="00877387">
              <w:rPr>
                <w:rFonts w:eastAsiaTheme="minorEastAsia"/>
              </w:rPr>
              <w:t>Axles 3-4 Spacing (ASP3)</w:t>
            </w:r>
          </w:p>
        </w:tc>
        <w:tc>
          <w:tcPr>
            <w:tcW w:w="1309" w:type="dxa"/>
            <w:vAlign w:val="center"/>
          </w:tcPr>
          <w:p w14:paraId="027227BB" w14:textId="56FCA5C4" w:rsidR="001C3CA1" w:rsidRPr="004859C8" w:rsidRDefault="001C3CA1" w:rsidP="004605FE">
            <w:pPr>
              <w:pStyle w:val="TMGTableText"/>
              <w:jc w:val="center"/>
            </w:pPr>
            <w:r w:rsidRPr="003C79E7">
              <w:t>Integer</w:t>
            </w:r>
          </w:p>
        </w:tc>
        <w:tc>
          <w:tcPr>
            <w:tcW w:w="1167" w:type="dxa"/>
            <w:vAlign w:val="center"/>
          </w:tcPr>
          <w:p w14:paraId="706AE8C1" w14:textId="35704684" w:rsidR="001C3CA1" w:rsidRPr="00C251E9" w:rsidRDefault="001C3CA1"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1C3CA1" w14:paraId="5B895AFD" w14:textId="77777777" w:rsidTr="004605FE">
        <w:trPr>
          <w:jc w:val="center"/>
        </w:trPr>
        <w:tc>
          <w:tcPr>
            <w:tcW w:w="625" w:type="dxa"/>
          </w:tcPr>
          <w:p w14:paraId="24D73583" w14:textId="2F4E0887" w:rsidR="001C3CA1" w:rsidRPr="00220FFB" w:rsidRDefault="001C3CA1" w:rsidP="001C3CA1">
            <w:pPr>
              <w:pStyle w:val="TMGTableText"/>
              <w:ind w:left="0" w:right="144"/>
              <w:jc w:val="right"/>
              <w:rPr>
                <w:b/>
                <w:bCs/>
              </w:rPr>
            </w:pPr>
            <w:r w:rsidRPr="00877387">
              <w:rPr>
                <w:rFonts w:eastAsiaTheme="minorEastAsia"/>
              </w:rPr>
              <w:t>27</w:t>
            </w:r>
          </w:p>
        </w:tc>
        <w:tc>
          <w:tcPr>
            <w:tcW w:w="2070" w:type="dxa"/>
          </w:tcPr>
          <w:p w14:paraId="6F2CB96E" w14:textId="5FA9DCF6" w:rsidR="001C3CA1" w:rsidRPr="004859C8" w:rsidRDefault="001C3CA1" w:rsidP="001C3CA1">
            <w:pPr>
              <w:pStyle w:val="TMGTableText"/>
              <w:jc w:val="center"/>
            </w:pPr>
            <w:r>
              <w:t>82-86</w:t>
            </w:r>
          </w:p>
        </w:tc>
        <w:tc>
          <w:tcPr>
            <w:tcW w:w="810" w:type="dxa"/>
            <w:vAlign w:val="center"/>
          </w:tcPr>
          <w:p w14:paraId="21D29ECF" w14:textId="128EB2DF" w:rsidR="001C3CA1" w:rsidRPr="004859C8" w:rsidRDefault="001C3CA1" w:rsidP="001C3CA1">
            <w:pPr>
              <w:pStyle w:val="TMGTableText"/>
              <w:jc w:val="center"/>
            </w:pPr>
            <w:r w:rsidRPr="00587C2E">
              <w:t>5</w:t>
            </w:r>
          </w:p>
        </w:tc>
        <w:tc>
          <w:tcPr>
            <w:tcW w:w="3379" w:type="dxa"/>
          </w:tcPr>
          <w:p w14:paraId="282329C4" w14:textId="0770BEE7" w:rsidR="001C3CA1" w:rsidRPr="004859C8" w:rsidRDefault="001C3CA1" w:rsidP="001C3CA1">
            <w:pPr>
              <w:pStyle w:val="TMGTableText"/>
            </w:pPr>
            <w:r w:rsidRPr="00877387">
              <w:rPr>
                <w:rFonts w:eastAsiaTheme="minorEastAsia"/>
              </w:rPr>
              <w:t>Axle Weight 4 (AW4)</w:t>
            </w:r>
          </w:p>
        </w:tc>
        <w:tc>
          <w:tcPr>
            <w:tcW w:w="1309" w:type="dxa"/>
            <w:vAlign w:val="center"/>
          </w:tcPr>
          <w:p w14:paraId="68061161" w14:textId="0B5845A4" w:rsidR="001C3CA1" w:rsidRPr="004859C8" w:rsidRDefault="001C3CA1" w:rsidP="004605FE">
            <w:pPr>
              <w:pStyle w:val="TMGTableText"/>
              <w:jc w:val="center"/>
            </w:pPr>
            <w:r w:rsidRPr="003C79E7">
              <w:t>Integer</w:t>
            </w:r>
          </w:p>
        </w:tc>
        <w:tc>
          <w:tcPr>
            <w:tcW w:w="1167" w:type="dxa"/>
            <w:vAlign w:val="center"/>
          </w:tcPr>
          <w:p w14:paraId="4BD59386" w14:textId="54744E03" w:rsidR="001C3CA1" w:rsidRPr="00C251E9" w:rsidRDefault="001C3CA1"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1C3CA1" w14:paraId="7375371E" w14:textId="77777777" w:rsidTr="004605FE">
        <w:trPr>
          <w:jc w:val="center"/>
        </w:trPr>
        <w:tc>
          <w:tcPr>
            <w:tcW w:w="625" w:type="dxa"/>
          </w:tcPr>
          <w:p w14:paraId="1C8E21F6" w14:textId="0CE1B417" w:rsidR="001C3CA1" w:rsidRPr="00220FFB" w:rsidRDefault="001C3CA1" w:rsidP="001C3CA1">
            <w:pPr>
              <w:pStyle w:val="TMGTableText"/>
              <w:ind w:left="0" w:right="144"/>
              <w:jc w:val="right"/>
              <w:rPr>
                <w:b/>
                <w:bCs/>
              </w:rPr>
            </w:pPr>
            <w:r w:rsidRPr="00877387">
              <w:rPr>
                <w:rFonts w:eastAsiaTheme="minorEastAsia"/>
              </w:rPr>
              <w:t>28</w:t>
            </w:r>
          </w:p>
        </w:tc>
        <w:tc>
          <w:tcPr>
            <w:tcW w:w="2070" w:type="dxa"/>
          </w:tcPr>
          <w:p w14:paraId="13B9968A" w14:textId="49C69884" w:rsidR="001C3CA1" w:rsidRPr="004859C8" w:rsidRDefault="001C3CA1" w:rsidP="001C3CA1">
            <w:pPr>
              <w:pStyle w:val="TMGTableText"/>
              <w:jc w:val="center"/>
            </w:pPr>
            <w:bookmarkStart w:id="3207" w:name="_Hlk99614298"/>
            <w:r>
              <w:t>87-90</w:t>
            </w:r>
            <w:bookmarkEnd w:id="3207"/>
          </w:p>
        </w:tc>
        <w:tc>
          <w:tcPr>
            <w:tcW w:w="810" w:type="dxa"/>
            <w:vAlign w:val="center"/>
          </w:tcPr>
          <w:p w14:paraId="51D0DA23" w14:textId="62D5E8B3" w:rsidR="001C3CA1" w:rsidRPr="004859C8" w:rsidRDefault="001C3CA1" w:rsidP="001C3CA1">
            <w:pPr>
              <w:pStyle w:val="TMGTableText"/>
              <w:jc w:val="center"/>
            </w:pPr>
            <w:r w:rsidRPr="00587C2E">
              <w:rPr>
                <w:rFonts w:eastAsiaTheme="minorEastAsia"/>
              </w:rPr>
              <w:t>4</w:t>
            </w:r>
          </w:p>
        </w:tc>
        <w:tc>
          <w:tcPr>
            <w:tcW w:w="3379" w:type="dxa"/>
          </w:tcPr>
          <w:p w14:paraId="544D5EC9" w14:textId="434D18AF" w:rsidR="001C3CA1" w:rsidRPr="004859C8" w:rsidRDefault="001C3CA1" w:rsidP="001C3CA1">
            <w:pPr>
              <w:pStyle w:val="TMGTableText"/>
            </w:pPr>
            <w:r w:rsidRPr="00877387">
              <w:rPr>
                <w:rFonts w:eastAsiaTheme="minorEastAsia"/>
              </w:rPr>
              <w:t>Axles 4-5 Spacing (ASP4)</w:t>
            </w:r>
          </w:p>
        </w:tc>
        <w:tc>
          <w:tcPr>
            <w:tcW w:w="1309" w:type="dxa"/>
            <w:vAlign w:val="center"/>
          </w:tcPr>
          <w:p w14:paraId="373A1857" w14:textId="7FB8BC80" w:rsidR="001C3CA1" w:rsidRPr="004859C8" w:rsidRDefault="001C3CA1" w:rsidP="004605FE">
            <w:pPr>
              <w:pStyle w:val="TMGTableText"/>
              <w:jc w:val="center"/>
            </w:pPr>
            <w:r w:rsidRPr="003C79E7">
              <w:t>Integer</w:t>
            </w:r>
          </w:p>
        </w:tc>
        <w:tc>
          <w:tcPr>
            <w:tcW w:w="1167" w:type="dxa"/>
            <w:vAlign w:val="center"/>
          </w:tcPr>
          <w:p w14:paraId="4AC49AD8" w14:textId="6D246CEA" w:rsidR="001C3CA1" w:rsidRPr="00C251E9" w:rsidRDefault="001C3CA1"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1C3CA1" w14:paraId="3B9AA303" w14:textId="77777777" w:rsidTr="004605FE">
        <w:trPr>
          <w:jc w:val="center"/>
        </w:trPr>
        <w:tc>
          <w:tcPr>
            <w:tcW w:w="625" w:type="dxa"/>
          </w:tcPr>
          <w:p w14:paraId="72D07441" w14:textId="297334EF" w:rsidR="001C3CA1" w:rsidRPr="00220FFB" w:rsidRDefault="001C3CA1" w:rsidP="001C3CA1">
            <w:pPr>
              <w:pStyle w:val="TMGTableText"/>
              <w:ind w:left="0" w:right="144"/>
              <w:jc w:val="right"/>
              <w:rPr>
                <w:b/>
                <w:bCs/>
              </w:rPr>
            </w:pPr>
            <w:r w:rsidRPr="00877387">
              <w:rPr>
                <w:rFonts w:eastAsiaTheme="minorEastAsia"/>
              </w:rPr>
              <w:t>29</w:t>
            </w:r>
          </w:p>
        </w:tc>
        <w:tc>
          <w:tcPr>
            <w:tcW w:w="2070" w:type="dxa"/>
          </w:tcPr>
          <w:p w14:paraId="4208D348" w14:textId="43C28C44" w:rsidR="001C3CA1" w:rsidRPr="004859C8" w:rsidRDefault="001C3CA1" w:rsidP="001C3CA1">
            <w:pPr>
              <w:pStyle w:val="TMGTableText"/>
              <w:jc w:val="center"/>
            </w:pPr>
            <w:r>
              <w:t>91-95</w:t>
            </w:r>
          </w:p>
        </w:tc>
        <w:tc>
          <w:tcPr>
            <w:tcW w:w="810" w:type="dxa"/>
            <w:vAlign w:val="center"/>
          </w:tcPr>
          <w:p w14:paraId="679E39C2" w14:textId="198BE592" w:rsidR="001C3CA1" w:rsidRPr="004859C8" w:rsidRDefault="001C3CA1" w:rsidP="001C3CA1">
            <w:pPr>
              <w:pStyle w:val="TMGTableText"/>
              <w:jc w:val="center"/>
            </w:pPr>
            <w:r w:rsidRPr="00587C2E">
              <w:t>5</w:t>
            </w:r>
          </w:p>
        </w:tc>
        <w:tc>
          <w:tcPr>
            <w:tcW w:w="3379" w:type="dxa"/>
          </w:tcPr>
          <w:p w14:paraId="3C1AC80E" w14:textId="26F2D5DA" w:rsidR="001C3CA1" w:rsidRPr="004859C8" w:rsidRDefault="001C3CA1" w:rsidP="001C3CA1">
            <w:pPr>
              <w:pStyle w:val="TMGTableText"/>
            </w:pPr>
            <w:r w:rsidRPr="00877387">
              <w:rPr>
                <w:rFonts w:eastAsiaTheme="minorEastAsia"/>
              </w:rPr>
              <w:t>Axle Weight 5 (AW5)</w:t>
            </w:r>
          </w:p>
        </w:tc>
        <w:tc>
          <w:tcPr>
            <w:tcW w:w="1309" w:type="dxa"/>
            <w:vAlign w:val="center"/>
          </w:tcPr>
          <w:p w14:paraId="6A798F3C" w14:textId="4D02CE6E" w:rsidR="001C3CA1" w:rsidRPr="004859C8" w:rsidRDefault="001C3CA1" w:rsidP="004605FE">
            <w:pPr>
              <w:pStyle w:val="TMGTableText"/>
              <w:jc w:val="center"/>
            </w:pPr>
            <w:r w:rsidRPr="003C79E7">
              <w:t>Integer</w:t>
            </w:r>
          </w:p>
        </w:tc>
        <w:tc>
          <w:tcPr>
            <w:tcW w:w="1167" w:type="dxa"/>
            <w:vAlign w:val="center"/>
          </w:tcPr>
          <w:p w14:paraId="5478DBF2" w14:textId="7FB641AD" w:rsidR="001C3CA1" w:rsidRPr="00C251E9" w:rsidRDefault="001C3CA1"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1C3CA1" w14:paraId="79DE918E" w14:textId="77777777" w:rsidTr="004605FE">
        <w:trPr>
          <w:jc w:val="center"/>
        </w:trPr>
        <w:tc>
          <w:tcPr>
            <w:tcW w:w="625" w:type="dxa"/>
          </w:tcPr>
          <w:p w14:paraId="5E4E748B" w14:textId="0E028362" w:rsidR="001C3CA1" w:rsidRPr="00220FFB" w:rsidRDefault="001C3CA1" w:rsidP="001C3CA1">
            <w:pPr>
              <w:pStyle w:val="TMGTableText"/>
              <w:ind w:left="0" w:right="144"/>
              <w:jc w:val="right"/>
              <w:rPr>
                <w:b/>
                <w:bCs/>
              </w:rPr>
            </w:pPr>
            <w:r w:rsidRPr="00877387">
              <w:rPr>
                <w:rFonts w:eastAsiaTheme="minorEastAsia"/>
              </w:rPr>
              <w:t>30</w:t>
            </w:r>
          </w:p>
        </w:tc>
        <w:tc>
          <w:tcPr>
            <w:tcW w:w="2070" w:type="dxa"/>
          </w:tcPr>
          <w:p w14:paraId="02D9CF91" w14:textId="1177120F" w:rsidR="001C3CA1" w:rsidRPr="004859C8" w:rsidRDefault="001C3CA1" w:rsidP="001C3CA1">
            <w:pPr>
              <w:pStyle w:val="TMGTableText"/>
              <w:jc w:val="center"/>
            </w:pPr>
            <w:bookmarkStart w:id="3208" w:name="_Hlk99614357"/>
            <w:r>
              <w:t>96-99</w:t>
            </w:r>
            <w:bookmarkEnd w:id="3208"/>
          </w:p>
        </w:tc>
        <w:tc>
          <w:tcPr>
            <w:tcW w:w="810" w:type="dxa"/>
            <w:vAlign w:val="center"/>
          </w:tcPr>
          <w:p w14:paraId="78FCA3B2" w14:textId="1FFC798E" w:rsidR="001C3CA1" w:rsidRPr="004859C8" w:rsidRDefault="001C3CA1" w:rsidP="001C3CA1">
            <w:pPr>
              <w:pStyle w:val="TMGTableText"/>
              <w:jc w:val="center"/>
            </w:pPr>
            <w:r w:rsidRPr="00587C2E">
              <w:rPr>
                <w:rFonts w:eastAsiaTheme="minorEastAsia"/>
              </w:rPr>
              <w:t>4</w:t>
            </w:r>
          </w:p>
        </w:tc>
        <w:tc>
          <w:tcPr>
            <w:tcW w:w="3379" w:type="dxa"/>
          </w:tcPr>
          <w:p w14:paraId="0F20E273" w14:textId="33D00797" w:rsidR="001C3CA1" w:rsidRPr="004859C8" w:rsidRDefault="001C3CA1" w:rsidP="001C3CA1">
            <w:pPr>
              <w:pStyle w:val="TMGTableText"/>
            </w:pPr>
            <w:r w:rsidRPr="00877387">
              <w:rPr>
                <w:rFonts w:eastAsiaTheme="minorEastAsia"/>
              </w:rPr>
              <w:t>Axles 5-6 Spacing (ASP5)</w:t>
            </w:r>
          </w:p>
        </w:tc>
        <w:tc>
          <w:tcPr>
            <w:tcW w:w="1309" w:type="dxa"/>
            <w:vAlign w:val="center"/>
          </w:tcPr>
          <w:p w14:paraId="7B9C06DA" w14:textId="4EBFFEE0" w:rsidR="001C3CA1" w:rsidRPr="004859C8" w:rsidRDefault="001C3CA1" w:rsidP="004605FE">
            <w:pPr>
              <w:pStyle w:val="TMGTableText"/>
              <w:jc w:val="center"/>
            </w:pPr>
            <w:r w:rsidRPr="003C79E7">
              <w:t>Integer</w:t>
            </w:r>
          </w:p>
        </w:tc>
        <w:tc>
          <w:tcPr>
            <w:tcW w:w="1167" w:type="dxa"/>
            <w:vAlign w:val="center"/>
          </w:tcPr>
          <w:p w14:paraId="2BBFD86D" w14:textId="36A1BB1B" w:rsidR="001C3CA1" w:rsidRPr="00C251E9" w:rsidRDefault="001C3CA1"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1C3CA1" w14:paraId="14B8CED6" w14:textId="77777777" w:rsidTr="004605FE">
        <w:trPr>
          <w:jc w:val="center"/>
        </w:trPr>
        <w:tc>
          <w:tcPr>
            <w:tcW w:w="625" w:type="dxa"/>
          </w:tcPr>
          <w:p w14:paraId="106F36DD" w14:textId="75DCA1CF" w:rsidR="001C3CA1" w:rsidRPr="00220FFB" w:rsidRDefault="001C3CA1" w:rsidP="001C3CA1">
            <w:pPr>
              <w:pStyle w:val="TMGTableText"/>
              <w:ind w:left="0" w:right="144"/>
              <w:jc w:val="right"/>
              <w:rPr>
                <w:b/>
                <w:bCs/>
              </w:rPr>
            </w:pPr>
            <w:r w:rsidRPr="00877387">
              <w:rPr>
                <w:rFonts w:eastAsiaTheme="minorEastAsia"/>
              </w:rPr>
              <w:t>31</w:t>
            </w:r>
          </w:p>
        </w:tc>
        <w:tc>
          <w:tcPr>
            <w:tcW w:w="2070" w:type="dxa"/>
          </w:tcPr>
          <w:p w14:paraId="15986F50" w14:textId="2C386E9F" w:rsidR="001C3CA1" w:rsidRPr="004859C8" w:rsidRDefault="001C3CA1" w:rsidP="001C3CA1">
            <w:pPr>
              <w:pStyle w:val="TMGTableText"/>
              <w:jc w:val="center"/>
            </w:pPr>
            <w:bookmarkStart w:id="3209" w:name="_Hlk99614384"/>
            <w:r>
              <w:t>100-104</w:t>
            </w:r>
            <w:bookmarkEnd w:id="3209"/>
          </w:p>
        </w:tc>
        <w:tc>
          <w:tcPr>
            <w:tcW w:w="810" w:type="dxa"/>
            <w:vAlign w:val="center"/>
          </w:tcPr>
          <w:p w14:paraId="13F31E4A" w14:textId="0BF89D4F" w:rsidR="001C3CA1" w:rsidRPr="004859C8" w:rsidRDefault="001C3CA1" w:rsidP="001C3CA1">
            <w:pPr>
              <w:pStyle w:val="TMGTableText"/>
              <w:jc w:val="center"/>
            </w:pPr>
            <w:r w:rsidRPr="00587C2E">
              <w:t>5</w:t>
            </w:r>
          </w:p>
        </w:tc>
        <w:tc>
          <w:tcPr>
            <w:tcW w:w="3379" w:type="dxa"/>
          </w:tcPr>
          <w:p w14:paraId="70DDC8A2" w14:textId="5BB7A77B" w:rsidR="001C3CA1" w:rsidRPr="004859C8" w:rsidRDefault="001C3CA1" w:rsidP="001C3CA1">
            <w:pPr>
              <w:pStyle w:val="TMGTableText"/>
            </w:pPr>
            <w:r w:rsidRPr="00877387">
              <w:rPr>
                <w:rFonts w:eastAsiaTheme="minorEastAsia"/>
              </w:rPr>
              <w:t>Axle Weight 6 (AW6)</w:t>
            </w:r>
          </w:p>
        </w:tc>
        <w:tc>
          <w:tcPr>
            <w:tcW w:w="1309" w:type="dxa"/>
            <w:vAlign w:val="center"/>
          </w:tcPr>
          <w:p w14:paraId="0766E132" w14:textId="2FA0F3F9" w:rsidR="001C3CA1" w:rsidRPr="004859C8" w:rsidRDefault="001C3CA1" w:rsidP="004605FE">
            <w:pPr>
              <w:pStyle w:val="TMGTableText"/>
              <w:jc w:val="center"/>
            </w:pPr>
            <w:r w:rsidRPr="003C79E7">
              <w:t>Integer</w:t>
            </w:r>
          </w:p>
        </w:tc>
        <w:tc>
          <w:tcPr>
            <w:tcW w:w="1167" w:type="dxa"/>
            <w:vAlign w:val="center"/>
          </w:tcPr>
          <w:p w14:paraId="10D9F5D6" w14:textId="4CBC6C93" w:rsidR="001C3CA1" w:rsidRPr="00C251E9" w:rsidRDefault="001C3CA1"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1C3CA1" w14:paraId="2B12B8A4" w14:textId="77777777" w:rsidTr="004605FE">
        <w:trPr>
          <w:jc w:val="center"/>
        </w:trPr>
        <w:tc>
          <w:tcPr>
            <w:tcW w:w="625" w:type="dxa"/>
          </w:tcPr>
          <w:p w14:paraId="366C8A99" w14:textId="739E2A6D" w:rsidR="001C3CA1" w:rsidRPr="00220FFB" w:rsidRDefault="001C3CA1" w:rsidP="001C3CA1">
            <w:pPr>
              <w:pStyle w:val="TMGTableText"/>
              <w:ind w:left="0" w:right="144"/>
              <w:jc w:val="right"/>
              <w:rPr>
                <w:b/>
                <w:bCs/>
              </w:rPr>
            </w:pPr>
            <w:r w:rsidRPr="00877387">
              <w:rPr>
                <w:rFonts w:eastAsiaTheme="minorEastAsia"/>
              </w:rPr>
              <w:t>32</w:t>
            </w:r>
          </w:p>
        </w:tc>
        <w:tc>
          <w:tcPr>
            <w:tcW w:w="2070" w:type="dxa"/>
          </w:tcPr>
          <w:p w14:paraId="7D0DE79F" w14:textId="15CE8E70" w:rsidR="001C3CA1" w:rsidRPr="004859C8" w:rsidRDefault="001C3CA1" w:rsidP="001C3CA1">
            <w:pPr>
              <w:pStyle w:val="TMGTableText"/>
              <w:jc w:val="center"/>
            </w:pPr>
            <w:r>
              <w:t>105-108</w:t>
            </w:r>
          </w:p>
        </w:tc>
        <w:tc>
          <w:tcPr>
            <w:tcW w:w="810" w:type="dxa"/>
            <w:vAlign w:val="center"/>
          </w:tcPr>
          <w:p w14:paraId="197BA903" w14:textId="303B1576" w:rsidR="001C3CA1" w:rsidRPr="004859C8" w:rsidRDefault="001C3CA1" w:rsidP="001C3CA1">
            <w:pPr>
              <w:pStyle w:val="TMGTableText"/>
              <w:jc w:val="center"/>
            </w:pPr>
            <w:r w:rsidRPr="00587C2E">
              <w:rPr>
                <w:rFonts w:eastAsiaTheme="minorEastAsia"/>
              </w:rPr>
              <w:t>4</w:t>
            </w:r>
          </w:p>
        </w:tc>
        <w:tc>
          <w:tcPr>
            <w:tcW w:w="3379" w:type="dxa"/>
          </w:tcPr>
          <w:p w14:paraId="380FA172" w14:textId="65B3213D" w:rsidR="001C3CA1" w:rsidRPr="004859C8" w:rsidRDefault="001C3CA1" w:rsidP="001C3CA1">
            <w:pPr>
              <w:pStyle w:val="TMGTableText"/>
            </w:pPr>
            <w:r w:rsidRPr="00877387">
              <w:rPr>
                <w:rFonts w:eastAsiaTheme="minorEastAsia"/>
              </w:rPr>
              <w:t>Axles 6-7 Spacing (ASP6)</w:t>
            </w:r>
          </w:p>
        </w:tc>
        <w:tc>
          <w:tcPr>
            <w:tcW w:w="1309" w:type="dxa"/>
            <w:vAlign w:val="center"/>
          </w:tcPr>
          <w:p w14:paraId="4AB16596" w14:textId="240F050B" w:rsidR="001C3CA1" w:rsidRPr="004859C8" w:rsidRDefault="001C3CA1" w:rsidP="004605FE">
            <w:pPr>
              <w:pStyle w:val="TMGTableText"/>
              <w:jc w:val="center"/>
            </w:pPr>
            <w:r w:rsidRPr="003C79E7">
              <w:t>Integer</w:t>
            </w:r>
          </w:p>
        </w:tc>
        <w:tc>
          <w:tcPr>
            <w:tcW w:w="1167" w:type="dxa"/>
            <w:vAlign w:val="center"/>
          </w:tcPr>
          <w:p w14:paraId="1292F6CC" w14:textId="6F412F57" w:rsidR="001C3CA1" w:rsidRPr="00C251E9" w:rsidRDefault="001C3CA1"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1C3CA1" w14:paraId="160A20BA" w14:textId="77777777" w:rsidTr="004605FE">
        <w:trPr>
          <w:jc w:val="center"/>
        </w:trPr>
        <w:tc>
          <w:tcPr>
            <w:tcW w:w="625" w:type="dxa"/>
          </w:tcPr>
          <w:p w14:paraId="3D9B0682" w14:textId="32C20D39" w:rsidR="001C3CA1" w:rsidRPr="00220FFB" w:rsidRDefault="001C3CA1" w:rsidP="001C3CA1">
            <w:pPr>
              <w:pStyle w:val="TMGTableText"/>
              <w:ind w:left="0" w:right="144"/>
              <w:jc w:val="right"/>
              <w:rPr>
                <w:b/>
                <w:bCs/>
              </w:rPr>
            </w:pPr>
            <w:r w:rsidRPr="00877387">
              <w:rPr>
                <w:rFonts w:eastAsiaTheme="minorEastAsia"/>
              </w:rPr>
              <w:t>33</w:t>
            </w:r>
          </w:p>
        </w:tc>
        <w:tc>
          <w:tcPr>
            <w:tcW w:w="2070" w:type="dxa"/>
          </w:tcPr>
          <w:p w14:paraId="7F5581A3" w14:textId="59821DD8" w:rsidR="001C3CA1" w:rsidRPr="004859C8" w:rsidRDefault="001C3CA1" w:rsidP="001C3CA1">
            <w:pPr>
              <w:pStyle w:val="TMGTableText"/>
              <w:jc w:val="center"/>
            </w:pPr>
            <w:r>
              <w:t>109-113</w:t>
            </w:r>
          </w:p>
        </w:tc>
        <w:tc>
          <w:tcPr>
            <w:tcW w:w="810" w:type="dxa"/>
            <w:vAlign w:val="center"/>
          </w:tcPr>
          <w:p w14:paraId="0E5B574F" w14:textId="6FBFD503" w:rsidR="001C3CA1" w:rsidRPr="004859C8" w:rsidRDefault="001C3CA1" w:rsidP="001C3CA1">
            <w:pPr>
              <w:pStyle w:val="TMGTableText"/>
              <w:jc w:val="center"/>
            </w:pPr>
            <w:r w:rsidRPr="00587C2E">
              <w:t>5</w:t>
            </w:r>
          </w:p>
        </w:tc>
        <w:tc>
          <w:tcPr>
            <w:tcW w:w="3379" w:type="dxa"/>
          </w:tcPr>
          <w:p w14:paraId="6131265F" w14:textId="2D5BC35C" w:rsidR="001C3CA1" w:rsidRPr="004859C8" w:rsidRDefault="001C3CA1" w:rsidP="001C3CA1">
            <w:pPr>
              <w:pStyle w:val="TMGTableText"/>
            </w:pPr>
            <w:r w:rsidRPr="00877387">
              <w:rPr>
                <w:rFonts w:eastAsiaTheme="minorEastAsia"/>
              </w:rPr>
              <w:t>Axle Weight 7 (AW7)</w:t>
            </w:r>
          </w:p>
        </w:tc>
        <w:tc>
          <w:tcPr>
            <w:tcW w:w="1309" w:type="dxa"/>
            <w:vAlign w:val="center"/>
          </w:tcPr>
          <w:p w14:paraId="3599FEF4" w14:textId="34627039" w:rsidR="001C3CA1" w:rsidRPr="004859C8" w:rsidRDefault="001C3CA1" w:rsidP="004605FE">
            <w:pPr>
              <w:pStyle w:val="TMGTableText"/>
              <w:jc w:val="center"/>
            </w:pPr>
            <w:r w:rsidRPr="003C79E7">
              <w:t>Integer</w:t>
            </w:r>
          </w:p>
        </w:tc>
        <w:tc>
          <w:tcPr>
            <w:tcW w:w="1167" w:type="dxa"/>
            <w:vAlign w:val="center"/>
          </w:tcPr>
          <w:p w14:paraId="6FD69474" w14:textId="3F77FF57" w:rsidR="001C3CA1" w:rsidRPr="00C251E9" w:rsidRDefault="001C3CA1"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1C3CA1" w14:paraId="6C977559" w14:textId="77777777" w:rsidTr="004605FE">
        <w:trPr>
          <w:jc w:val="center"/>
        </w:trPr>
        <w:tc>
          <w:tcPr>
            <w:tcW w:w="625" w:type="dxa"/>
          </w:tcPr>
          <w:p w14:paraId="2607B8E1" w14:textId="798B9521" w:rsidR="001C3CA1" w:rsidRPr="00220FFB" w:rsidRDefault="001C3CA1" w:rsidP="001C3CA1">
            <w:pPr>
              <w:pStyle w:val="TMGTableText"/>
              <w:ind w:left="0" w:right="144"/>
              <w:jc w:val="right"/>
              <w:rPr>
                <w:b/>
                <w:bCs/>
              </w:rPr>
            </w:pPr>
            <w:r w:rsidRPr="00877387">
              <w:rPr>
                <w:rFonts w:eastAsiaTheme="minorEastAsia"/>
              </w:rPr>
              <w:t>34</w:t>
            </w:r>
          </w:p>
        </w:tc>
        <w:tc>
          <w:tcPr>
            <w:tcW w:w="2070" w:type="dxa"/>
          </w:tcPr>
          <w:p w14:paraId="114C52F4" w14:textId="7AE4FBBC" w:rsidR="001C3CA1" w:rsidRPr="004859C8" w:rsidRDefault="001C3CA1" w:rsidP="001C3CA1">
            <w:pPr>
              <w:pStyle w:val="TMGTableText"/>
              <w:jc w:val="center"/>
            </w:pPr>
            <w:bookmarkStart w:id="3210" w:name="_Hlk99614664"/>
            <w:r>
              <w:t>114-117</w:t>
            </w:r>
            <w:bookmarkEnd w:id="3210"/>
          </w:p>
        </w:tc>
        <w:tc>
          <w:tcPr>
            <w:tcW w:w="810" w:type="dxa"/>
            <w:vAlign w:val="center"/>
          </w:tcPr>
          <w:p w14:paraId="38170B7F" w14:textId="3D9A591A" w:rsidR="001C3CA1" w:rsidRPr="004859C8" w:rsidRDefault="001C3CA1" w:rsidP="001C3CA1">
            <w:pPr>
              <w:pStyle w:val="TMGTableText"/>
              <w:jc w:val="center"/>
            </w:pPr>
            <w:r w:rsidRPr="00587C2E">
              <w:rPr>
                <w:rFonts w:eastAsiaTheme="minorEastAsia"/>
              </w:rPr>
              <w:t>4</w:t>
            </w:r>
          </w:p>
        </w:tc>
        <w:tc>
          <w:tcPr>
            <w:tcW w:w="3379" w:type="dxa"/>
          </w:tcPr>
          <w:p w14:paraId="6720CB18" w14:textId="65591362" w:rsidR="001C3CA1" w:rsidRPr="004859C8" w:rsidRDefault="001C3CA1" w:rsidP="001C3CA1">
            <w:pPr>
              <w:pStyle w:val="TMGTableText"/>
            </w:pPr>
            <w:r w:rsidRPr="00877387">
              <w:rPr>
                <w:rFonts w:eastAsiaTheme="minorEastAsia"/>
              </w:rPr>
              <w:t>Axles 7-8 Spacing (ASP7)</w:t>
            </w:r>
          </w:p>
        </w:tc>
        <w:tc>
          <w:tcPr>
            <w:tcW w:w="1309" w:type="dxa"/>
            <w:vAlign w:val="center"/>
          </w:tcPr>
          <w:p w14:paraId="701C4E41" w14:textId="254987BF" w:rsidR="001C3CA1" w:rsidRPr="004859C8" w:rsidRDefault="001C3CA1" w:rsidP="004605FE">
            <w:pPr>
              <w:pStyle w:val="TMGTableText"/>
              <w:jc w:val="center"/>
            </w:pPr>
            <w:r w:rsidRPr="003C79E7">
              <w:t>Integer</w:t>
            </w:r>
          </w:p>
        </w:tc>
        <w:tc>
          <w:tcPr>
            <w:tcW w:w="1167" w:type="dxa"/>
            <w:vAlign w:val="center"/>
          </w:tcPr>
          <w:p w14:paraId="08F2FB18" w14:textId="10E96881" w:rsidR="001C3CA1" w:rsidRPr="00C251E9" w:rsidRDefault="001C3CA1"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1C3CA1" w14:paraId="15B76B7E" w14:textId="77777777" w:rsidTr="004605FE">
        <w:trPr>
          <w:jc w:val="center"/>
        </w:trPr>
        <w:tc>
          <w:tcPr>
            <w:tcW w:w="625" w:type="dxa"/>
          </w:tcPr>
          <w:p w14:paraId="69001950" w14:textId="655AE697" w:rsidR="001C3CA1" w:rsidRPr="00220FFB" w:rsidRDefault="001C3CA1" w:rsidP="001C3CA1">
            <w:pPr>
              <w:pStyle w:val="TMGTableText"/>
              <w:ind w:left="0" w:right="144"/>
              <w:jc w:val="right"/>
              <w:rPr>
                <w:b/>
                <w:bCs/>
              </w:rPr>
            </w:pPr>
            <w:r w:rsidRPr="00877387">
              <w:rPr>
                <w:rFonts w:eastAsiaTheme="minorEastAsia"/>
              </w:rPr>
              <w:t>35</w:t>
            </w:r>
          </w:p>
        </w:tc>
        <w:tc>
          <w:tcPr>
            <w:tcW w:w="2070" w:type="dxa"/>
          </w:tcPr>
          <w:p w14:paraId="43D805D4" w14:textId="6B4D24DD" w:rsidR="001C3CA1" w:rsidRPr="004859C8" w:rsidRDefault="001C3CA1" w:rsidP="001C3CA1">
            <w:pPr>
              <w:pStyle w:val="TMGTableText"/>
              <w:jc w:val="center"/>
            </w:pPr>
            <w:bookmarkStart w:id="3211" w:name="_Hlk99614739"/>
            <w:r>
              <w:t>118-122</w:t>
            </w:r>
            <w:bookmarkEnd w:id="3211"/>
          </w:p>
        </w:tc>
        <w:tc>
          <w:tcPr>
            <w:tcW w:w="810" w:type="dxa"/>
            <w:vAlign w:val="center"/>
          </w:tcPr>
          <w:p w14:paraId="516461D8" w14:textId="098C35B7" w:rsidR="001C3CA1" w:rsidRPr="004859C8" w:rsidRDefault="001C3CA1" w:rsidP="001C3CA1">
            <w:pPr>
              <w:pStyle w:val="TMGTableText"/>
              <w:jc w:val="center"/>
            </w:pPr>
            <w:r w:rsidRPr="00587C2E">
              <w:t>5</w:t>
            </w:r>
          </w:p>
        </w:tc>
        <w:tc>
          <w:tcPr>
            <w:tcW w:w="3379" w:type="dxa"/>
          </w:tcPr>
          <w:p w14:paraId="130A6E6B" w14:textId="62F551AB" w:rsidR="001C3CA1" w:rsidRPr="004859C8" w:rsidRDefault="001C3CA1" w:rsidP="001C3CA1">
            <w:pPr>
              <w:pStyle w:val="TMGTableText"/>
            </w:pPr>
            <w:r w:rsidRPr="00877387">
              <w:rPr>
                <w:rFonts w:eastAsiaTheme="minorEastAsia"/>
              </w:rPr>
              <w:t>Axle Weight 8 (AW8)</w:t>
            </w:r>
          </w:p>
        </w:tc>
        <w:tc>
          <w:tcPr>
            <w:tcW w:w="1309" w:type="dxa"/>
            <w:vAlign w:val="center"/>
          </w:tcPr>
          <w:p w14:paraId="123AB546" w14:textId="784B030E" w:rsidR="001C3CA1" w:rsidRPr="004859C8" w:rsidRDefault="001C3CA1" w:rsidP="004605FE">
            <w:pPr>
              <w:pStyle w:val="TMGTableText"/>
              <w:jc w:val="center"/>
            </w:pPr>
            <w:r w:rsidRPr="003C79E7">
              <w:t>Integer</w:t>
            </w:r>
          </w:p>
        </w:tc>
        <w:tc>
          <w:tcPr>
            <w:tcW w:w="1167" w:type="dxa"/>
            <w:vAlign w:val="center"/>
          </w:tcPr>
          <w:p w14:paraId="7148ECF5" w14:textId="70C12C8A" w:rsidR="001C3CA1" w:rsidRPr="00C251E9" w:rsidRDefault="001C3CA1"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1C3CA1" w14:paraId="77A8D28D" w14:textId="77777777" w:rsidTr="004605FE">
        <w:trPr>
          <w:jc w:val="center"/>
        </w:trPr>
        <w:tc>
          <w:tcPr>
            <w:tcW w:w="625" w:type="dxa"/>
          </w:tcPr>
          <w:p w14:paraId="4CD539BB" w14:textId="7D6F0A17" w:rsidR="001C3CA1" w:rsidRPr="00220FFB" w:rsidRDefault="001C3CA1" w:rsidP="001C3CA1">
            <w:pPr>
              <w:pStyle w:val="TMGTableText"/>
              <w:ind w:left="0" w:right="144"/>
              <w:jc w:val="right"/>
              <w:rPr>
                <w:b/>
                <w:bCs/>
              </w:rPr>
            </w:pPr>
            <w:r w:rsidRPr="00877387">
              <w:rPr>
                <w:rFonts w:eastAsiaTheme="minorEastAsia"/>
              </w:rPr>
              <w:t>36</w:t>
            </w:r>
          </w:p>
        </w:tc>
        <w:tc>
          <w:tcPr>
            <w:tcW w:w="2070" w:type="dxa"/>
          </w:tcPr>
          <w:p w14:paraId="2B1492FA" w14:textId="27E31C94" w:rsidR="001C3CA1" w:rsidRPr="004859C8" w:rsidRDefault="001C3CA1" w:rsidP="001C3CA1">
            <w:pPr>
              <w:pStyle w:val="TMGTableText"/>
              <w:jc w:val="center"/>
            </w:pPr>
            <w:bookmarkStart w:id="3212" w:name="_Hlk99614776"/>
            <w:r>
              <w:t>123-126</w:t>
            </w:r>
            <w:bookmarkEnd w:id="3212"/>
          </w:p>
        </w:tc>
        <w:tc>
          <w:tcPr>
            <w:tcW w:w="810" w:type="dxa"/>
            <w:vAlign w:val="center"/>
          </w:tcPr>
          <w:p w14:paraId="4F5744B4" w14:textId="4ECC15EF" w:rsidR="001C3CA1" w:rsidRPr="004859C8" w:rsidRDefault="001C3CA1" w:rsidP="001C3CA1">
            <w:pPr>
              <w:pStyle w:val="TMGTableText"/>
              <w:jc w:val="center"/>
            </w:pPr>
            <w:r w:rsidRPr="00587C2E">
              <w:rPr>
                <w:rFonts w:eastAsiaTheme="minorEastAsia"/>
              </w:rPr>
              <w:t>4</w:t>
            </w:r>
          </w:p>
        </w:tc>
        <w:tc>
          <w:tcPr>
            <w:tcW w:w="3379" w:type="dxa"/>
          </w:tcPr>
          <w:p w14:paraId="61F39CF5" w14:textId="06724633" w:rsidR="001C3CA1" w:rsidRPr="004859C8" w:rsidRDefault="001C3CA1" w:rsidP="001C3CA1">
            <w:pPr>
              <w:pStyle w:val="TMGTableText"/>
            </w:pPr>
            <w:r w:rsidRPr="00877387">
              <w:rPr>
                <w:rFonts w:eastAsiaTheme="minorEastAsia"/>
              </w:rPr>
              <w:t>Axles 8-9 Spacing (ASP8)</w:t>
            </w:r>
          </w:p>
        </w:tc>
        <w:tc>
          <w:tcPr>
            <w:tcW w:w="1309" w:type="dxa"/>
            <w:vAlign w:val="center"/>
          </w:tcPr>
          <w:p w14:paraId="59D94E9A" w14:textId="68FBB3DE" w:rsidR="001C3CA1" w:rsidRPr="004859C8" w:rsidRDefault="001C3CA1" w:rsidP="004605FE">
            <w:pPr>
              <w:pStyle w:val="TMGTableText"/>
              <w:jc w:val="center"/>
            </w:pPr>
            <w:r w:rsidRPr="003C79E7">
              <w:t>Integer</w:t>
            </w:r>
          </w:p>
        </w:tc>
        <w:tc>
          <w:tcPr>
            <w:tcW w:w="1167" w:type="dxa"/>
            <w:vAlign w:val="center"/>
          </w:tcPr>
          <w:p w14:paraId="00A93D7F" w14:textId="1B304556" w:rsidR="001C3CA1" w:rsidRPr="00C251E9" w:rsidRDefault="001C3CA1"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1C3CA1" w14:paraId="189EB31C" w14:textId="77777777" w:rsidTr="004605FE">
        <w:trPr>
          <w:jc w:val="center"/>
        </w:trPr>
        <w:tc>
          <w:tcPr>
            <w:tcW w:w="625" w:type="dxa"/>
          </w:tcPr>
          <w:p w14:paraId="6019B122" w14:textId="25E0A71F" w:rsidR="001C3CA1" w:rsidRPr="00220FFB" w:rsidRDefault="001C3CA1" w:rsidP="001C3CA1">
            <w:pPr>
              <w:pStyle w:val="TMGTableText"/>
              <w:ind w:left="0" w:right="144"/>
              <w:jc w:val="right"/>
              <w:rPr>
                <w:b/>
                <w:bCs/>
              </w:rPr>
            </w:pPr>
            <w:r w:rsidRPr="00877387">
              <w:rPr>
                <w:rFonts w:eastAsiaTheme="minorEastAsia"/>
              </w:rPr>
              <w:t>37</w:t>
            </w:r>
          </w:p>
        </w:tc>
        <w:tc>
          <w:tcPr>
            <w:tcW w:w="2070" w:type="dxa"/>
          </w:tcPr>
          <w:p w14:paraId="54AD603C" w14:textId="3678108D" w:rsidR="001C3CA1" w:rsidRPr="004859C8" w:rsidRDefault="001C3CA1" w:rsidP="001C3CA1">
            <w:pPr>
              <w:pStyle w:val="TMGTableText"/>
              <w:jc w:val="center"/>
            </w:pPr>
            <w:bookmarkStart w:id="3213" w:name="_Hlk99614821"/>
            <w:r>
              <w:t>127-131</w:t>
            </w:r>
            <w:bookmarkEnd w:id="3213"/>
          </w:p>
        </w:tc>
        <w:tc>
          <w:tcPr>
            <w:tcW w:w="810" w:type="dxa"/>
            <w:vAlign w:val="center"/>
          </w:tcPr>
          <w:p w14:paraId="1A51B371" w14:textId="371FC538" w:rsidR="001C3CA1" w:rsidRPr="004859C8" w:rsidRDefault="001C3CA1" w:rsidP="001C3CA1">
            <w:pPr>
              <w:pStyle w:val="TMGTableText"/>
              <w:jc w:val="center"/>
            </w:pPr>
            <w:r w:rsidRPr="00587C2E">
              <w:t>5</w:t>
            </w:r>
          </w:p>
        </w:tc>
        <w:tc>
          <w:tcPr>
            <w:tcW w:w="3379" w:type="dxa"/>
          </w:tcPr>
          <w:p w14:paraId="4B5DC121" w14:textId="58DDC092" w:rsidR="001C3CA1" w:rsidRPr="004859C8" w:rsidRDefault="001C3CA1" w:rsidP="001C3CA1">
            <w:pPr>
              <w:pStyle w:val="TMGTableText"/>
            </w:pPr>
            <w:r w:rsidRPr="00877387">
              <w:rPr>
                <w:rFonts w:eastAsiaTheme="minorEastAsia"/>
              </w:rPr>
              <w:t>Axle Weight 9 (AW9)</w:t>
            </w:r>
          </w:p>
        </w:tc>
        <w:tc>
          <w:tcPr>
            <w:tcW w:w="1309" w:type="dxa"/>
            <w:vAlign w:val="center"/>
          </w:tcPr>
          <w:p w14:paraId="66C6E8FA" w14:textId="4E3188F7" w:rsidR="001C3CA1" w:rsidRPr="004859C8" w:rsidRDefault="001C3CA1" w:rsidP="004605FE">
            <w:pPr>
              <w:pStyle w:val="TMGTableText"/>
              <w:jc w:val="center"/>
            </w:pPr>
            <w:r w:rsidRPr="003C79E7">
              <w:t>Integer</w:t>
            </w:r>
          </w:p>
        </w:tc>
        <w:tc>
          <w:tcPr>
            <w:tcW w:w="1167" w:type="dxa"/>
            <w:vAlign w:val="center"/>
          </w:tcPr>
          <w:p w14:paraId="77E49E6D" w14:textId="5D604318" w:rsidR="001C3CA1" w:rsidRPr="00C251E9" w:rsidRDefault="001C3CA1"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1C3CA1" w14:paraId="3E56E267" w14:textId="77777777" w:rsidTr="004605FE">
        <w:trPr>
          <w:jc w:val="center"/>
        </w:trPr>
        <w:tc>
          <w:tcPr>
            <w:tcW w:w="625" w:type="dxa"/>
          </w:tcPr>
          <w:p w14:paraId="10EC9AD8" w14:textId="50FAE7FA" w:rsidR="001C3CA1" w:rsidRPr="00220FFB" w:rsidRDefault="001C3CA1" w:rsidP="001C3CA1">
            <w:pPr>
              <w:pStyle w:val="TMGTableText"/>
              <w:ind w:left="0" w:right="144"/>
              <w:jc w:val="right"/>
              <w:rPr>
                <w:b/>
                <w:bCs/>
              </w:rPr>
            </w:pPr>
            <w:r w:rsidRPr="00877387">
              <w:rPr>
                <w:rFonts w:eastAsiaTheme="minorEastAsia"/>
              </w:rPr>
              <w:t>38</w:t>
            </w:r>
          </w:p>
        </w:tc>
        <w:tc>
          <w:tcPr>
            <w:tcW w:w="2070" w:type="dxa"/>
          </w:tcPr>
          <w:p w14:paraId="5FFD0943" w14:textId="44A2501D" w:rsidR="001C3CA1" w:rsidRPr="004859C8" w:rsidRDefault="001C3CA1" w:rsidP="001C3CA1">
            <w:pPr>
              <w:pStyle w:val="TMGTableText"/>
              <w:jc w:val="center"/>
            </w:pPr>
            <w:r>
              <w:t>132-135</w:t>
            </w:r>
          </w:p>
        </w:tc>
        <w:tc>
          <w:tcPr>
            <w:tcW w:w="810" w:type="dxa"/>
            <w:vAlign w:val="center"/>
          </w:tcPr>
          <w:p w14:paraId="09594368" w14:textId="21E850C3" w:rsidR="001C3CA1" w:rsidRPr="004859C8" w:rsidRDefault="001C3CA1" w:rsidP="001C3CA1">
            <w:pPr>
              <w:pStyle w:val="TMGTableText"/>
              <w:jc w:val="center"/>
            </w:pPr>
            <w:r w:rsidRPr="00587C2E">
              <w:rPr>
                <w:rFonts w:eastAsiaTheme="minorEastAsia"/>
              </w:rPr>
              <w:t>4</w:t>
            </w:r>
          </w:p>
        </w:tc>
        <w:tc>
          <w:tcPr>
            <w:tcW w:w="3379" w:type="dxa"/>
          </w:tcPr>
          <w:p w14:paraId="407BAE1E" w14:textId="686F15B7" w:rsidR="001C3CA1" w:rsidRPr="004859C8" w:rsidRDefault="001C3CA1" w:rsidP="001C3CA1">
            <w:pPr>
              <w:pStyle w:val="TMGTableText"/>
            </w:pPr>
            <w:r w:rsidRPr="00877387">
              <w:rPr>
                <w:rFonts w:eastAsiaTheme="minorEastAsia"/>
              </w:rPr>
              <w:t>Axles 9-10 Spacing (ASP9)</w:t>
            </w:r>
          </w:p>
        </w:tc>
        <w:tc>
          <w:tcPr>
            <w:tcW w:w="1309" w:type="dxa"/>
            <w:vAlign w:val="center"/>
          </w:tcPr>
          <w:p w14:paraId="63D39DB9" w14:textId="08A0F543" w:rsidR="001C3CA1" w:rsidRPr="004859C8" w:rsidRDefault="001C3CA1" w:rsidP="004605FE">
            <w:pPr>
              <w:pStyle w:val="TMGTableText"/>
              <w:jc w:val="center"/>
            </w:pPr>
            <w:r w:rsidRPr="003C79E7">
              <w:t>Integer</w:t>
            </w:r>
          </w:p>
        </w:tc>
        <w:tc>
          <w:tcPr>
            <w:tcW w:w="1167" w:type="dxa"/>
            <w:vAlign w:val="center"/>
          </w:tcPr>
          <w:p w14:paraId="4856A077" w14:textId="21EDAE69" w:rsidR="001C3CA1" w:rsidRPr="00C251E9" w:rsidRDefault="001C3CA1"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1C3CA1" w14:paraId="79EA7819" w14:textId="77777777" w:rsidTr="004605FE">
        <w:trPr>
          <w:jc w:val="center"/>
        </w:trPr>
        <w:tc>
          <w:tcPr>
            <w:tcW w:w="625" w:type="dxa"/>
          </w:tcPr>
          <w:p w14:paraId="7CD5A4CF" w14:textId="3648A5EC" w:rsidR="001C3CA1" w:rsidRPr="00220FFB" w:rsidRDefault="001C3CA1" w:rsidP="001C3CA1">
            <w:pPr>
              <w:pStyle w:val="TMGTableText"/>
              <w:ind w:left="0" w:right="144"/>
              <w:jc w:val="right"/>
              <w:rPr>
                <w:b/>
                <w:bCs/>
              </w:rPr>
            </w:pPr>
            <w:r w:rsidRPr="00877387">
              <w:rPr>
                <w:rFonts w:eastAsiaTheme="minorEastAsia"/>
              </w:rPr>
              <w:t>39</w:t>
            </w:r>
          </w:p>
        </w:tc>
        <w:tc>
          <w:tcPr>
            <w:tcW w:w="2070" w:type="dxa"/>
          </w:tcPr>
          <w:p w14:paraId="2B208998" w14:textId="1C1215EB" w:rsidR="001C3CA1" w:rsidRPr="004859C8" w:rsidRDefault="001C3CA1" w:rsidP="001C3CA1">
            <w:pPr>
              <w:pStyle w:val="TMGTableText"/>
              <w:jc w:val="center"/>
            </w:pPr>
            <w:bookmarkStart w:id="3214" w:name="_Hlk99614880"/>
            <w:r>
              <w:t>136-140</w:t>
            </w:r>
            <w:bookmarkEnd w:id="3214"/>
          </w:p>
        </w:tc>
        <w:tc>
          <w:tcPr>
            <w:tcW w:w="810" w:type="dxa"/>
            <w:vAlign w:val="center"/>
          </w:tcPr>
          <w:p w14:paraId="1A4B5161" w14:textId="7CDFA146" w:rsidR="001C3CA1" w:rsidRPr="004859C8" w:rsidRDefault="001C3CA1" w:rsidP="001C3CA1">
            <w:pPr>
              <w:pStyle w:val="TMGTableText"/>
              <w:jc w:val="center"/>
            </w:pPr>
            <w:r w:rsidRPr="00587C2E">
              <w:t>5</w:t>
            </w:r>
          </w:p>
        </w:tc>
        <w:tc>
          <w:tcPr>
            <w:tcW w:w="3379" w:type="dxa"/>
          </w:tcPr>
          <w:p w14:paraId="567DC2D0" w14:textId="2A3AF085" w:rsidR="001C3CA1" w:rsidRPr="004859C8" w:rsidRDefault="001C3CA1" w:rsidP="001C3CA1">
            <w:pPr>
              <w:pStyle w:val="TMGTableText"/>
            </w:pPr>
            <w:r w:rsidRPr="00877387">
              <w:rPr>
                <w:rFonts w:eastAsiaTheme="minorEastAsia"/>
              </w:rPr>
              <w:t>Axle Weight 10 (AW10)</w:t>
            </w:r>
          </w:p>
        </w:tc>
        <w:tc>
          <w:tcPr>
            <w:tcW w:w="1309" w:type="dxa"/>
            <w:vAlign w:val="center"/>
          </w:tcPr>
          <w:p w14:paraId="31A797D4" w14:textId="3229DBFC" w:rsidR="001C3CA1" w:rsidRPr="004859C8" w:rsidRDefault="001C3CA1" w:rsidP="004605FE">
            <w:pPr>
              <w:pStyle w:val="TMGTableText"/>
              <w:jc w:val="center"/>
            </w:pPr>
            <w:r w:rsidRPr="003C79E7">
              <w:t>Integer</w:t>
            </w:r>
          </w:p>
        </w:tc>
        <w:tc>
          <w:tcPr>
            <w:tcW w:w="1167" w:type="dxa"/>
            <w:vAlign w:val="center"/>
          </w:tcPr>
          <w:p w14:paraId="057879EF" w14:textId="0AE918D5" w:rsidR="001C3CA1" w:rsidRPr="00C251E9" w:rsidRDefault="001C3CA1"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1C3CA1" w14:paraId="4E970C38" w14:textId="77777777" w:rsidTr="004605FE">
        <w:trPr>
          <w:jc w:val="center"/>
        </w:trPr>
        <w:tc>
          <w:tcPr>
            <w:tcW w:w="625" w:type="dxa"/>
          </w:tcPr>
          <w:p w14:paraId="511B3662" w14:textId="2B6A6564" w:rsidR="001C3CA1" w:rsidRPr="00220FFB" w:rsidRDefault="001C3CA1" w:rsidP="001C3CA1">
            <w:pPr>
              <w:pStyle w:val="TMGTableText"/>
              <w:ind w:left="0" w:right="144"/>
              <w:jc w:val="right"/>
              <w:rPr>
                <w:b/>
                <w:bCs/>
              </w:rPr>
            </w:pPr>
            <w:r w:rsidRPr="00877387">
              <w:rPr>
                <w:rFonts w:eastAsiaTheme="minorEastAsia"/>
              </w:rPr>
              <w:t>40</w:t>
            </w:r>
          </w:p>
        </w:tc>
        <w:tc>
          <w:tcPr>
            <w:tcW w:w="2070" w:type="dxa"/>
          </w:tcPr>
          <w:p w14:paraId="1C021E27" w14:textId="2BC08825" w:rsidR="001C3CA1" w:rsidRPr="004859C8" w:rsidRDefault="001C3CA1" w:rsidP="001C3CA1">
            <w:pPr>
              <w:pStyle w:val="TMGTableText"/>
              <w:jc w:val="center"/>
            </w:pPr>
            <w:bookmarkStart w:id="3215" w:name="_Hlk99614913"/>
            <w:r>
              <w:t>141-144</w:t>
            </w:r>
            <w:bookmarkEnd w:id="3215"/>
          </w:p>
        </w:tc>
        <w:tc>
          <w:tcPr>
            <w:tcW w:w="810" w:type="dxa"/>
            <w:vAlign w:val="center"/>
          </w:tcPr>
          <w:p w14:paraId="184B7BC3" w14:textId="1433AC9D" w:rsidR="001C3CA1" w:rsidRPr="004859C8" w:rsidRDefault="001C3CA1" w:rsidP="001C3CA1">
            <w:pPr>
              <w:pStyle w:val="TMGTableText"/>
              <w:jc w:val="center"/>
            </w:pPr>
            <w:r w:rsidRPr="00587C2E">
              <w:rPr>
                <w:rFonts w:eastAsiaTheme="minorEastAsia"/>
              </w:rPr>
              <w:t>4</w:t>
            </w:r>
          </w:p>
        </w:tc>
        <w:tc>
          <w:tcPr>
            <w:tcW w:w="3379" w:type="dxa"/>
          </w:tcPr>
          <w:p w14:paraId="22D7A728" w14:textId="1D71CD37" w:rsidR="001C3CA1" w:rsidRPr="004859C8" w:rsidRDefault="001C3CA1" w:rsidP="001C3CA1">
            <w:pPr>
              <w:pStyle w:val="TMGTableText"/>
            </w:pPr>
            <w:r w:rsidRPr="00877387">
              <w:rPr>
                <w:rFonts w:eastAsiaTheme="minorEastAsia"/>
              </w:rPr>
              <w:t>Axles 10-11 Spacing (ASP10)</w:t>
            </w:r>
          </w:p>
        </w:tc>
        <w:tc>
          <w:tcPr>
            <w:tcW w:w="1309" w:type="dxa"/>
            <w:vAlign w:val="center"/>
          </w:tcPr>
          <w:p w14:paraId="46346FAA" w14:textId="31DA8A14" w:rsidR="001C3CA1" w:rsidRPr="004859C8" w:rsidRDefault="001C3CA1" w:rsidP="004605FE">
            <w:pPr>
              <w:pStyle w:val="TMGTableText"/>
              <w:jc w:val="center"/>
            </w:pPr>
            <w:r w:rsidRPr="003C79E7">
              <w:t>Integer</w:t>
            </w:r>
          </w:p>
        </w:tc>
        <w:tc>
          <w:tcPr>
            <w:tcW w:w="1167" w:type="dxa"/>
            <w:vAlign w:val="center"/>
          </w:tcPr>
          <w:p w14:paraId="64ACA732" w14:textId="27EFE59A" w:rsidR="001C3CA1" w:rsidRPr="00C251E9" w:rsidRDefault="001C3CA1"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1C3CA1" w14:paraId="5B74024E" w14:textId="77777777" w:rsidTr="004605FE">
        <w:trPr>
          <w:jc w:val="center"/>
        </w:trPr>
        <w:tc>
          <w:tcPr>
            <w:tcW w:w="625" w:type="dxa"/>
          </w:tcPr>
          <w:p w14:paraId="08423ED4" w14:textId="20908CB6" w:rsidR="001C3CA1" w:rsidRPr="00220FFB" w:rsidRDefault="001C3CA1" w:rsidP="001C3CA1">
            <w:pPr>
              <w:pStyle w:val="TMGTableText"/>
              <w:ind w:left="0" w:right="144"/>
              <w:jc w:val="right"/>
              <w:rPr>
                <w:b/>
                <w:bCs/>
              </w:rPr>
            </w:pPr>
            <w:r w:rsidRPr="00877387">
              <w:rPr>
                <w:rFonts w:eastAsiaTheme="minorEastAsia"/>
              </w:rPr>
              <w:t>41</w:t>
            </w:r>
          </w:p>
        </w:tc>
        <w:tc>
          <w:tcPr>
            <w:tcW w:w="2070" w:type="dxa"/>
          </w:tcPr>
          <w:p w14:paraId="7070F6EC" w14:textId="6472DF7B" w:rsidR="001C3CA1" w:rsidRPr="004859C8" w:rsidRDefault="001C3CA1" w:rsidP="001C3CA1">
            <w:pPr>
              <w:pStyle w:val="TMGTableText"/>
              <w:jc w:val="center"/>
            </w:pPr>
            <w:r>
              <w:t>145-149</w:t>
            </w:r>
          </w:p>
        </w:tc>
        <w:tc>
          <w:tcPr>
            <w:tcW w:w="810" w:type="dxa"/>
            <w:vAlign w:val="center"/>
          </w:tcPr>
          <w:p w14:paraId="38BDA682" w14:textId="25F468D2" w:rsidR="001C3CA1" w:rsidRPr="004859C8" w:rsidRDefault="001C3CA1" w:rsidP="001C3CA1">
            <w:pPr>
              <w:pStyle w:val="TMGTableText"/>
              <w:jc w:val="center"/>
            </w:pPr>
            <w:r w:rsidRPr="00587C2E">
              <w:t>5</w:t>
            </w:r>
          </w:p>
        </w:tc>
        <w:tc>
          <w:tcPr>
            <w:tcW w:w="3379" w:type="dxa"/>
          </w:tcPr>
          <w:p w14:paraId="5EA99CEB" w14:textId="2C6612C9" w:rsidR="001C3CA1" w:rsidRPr="004859C8" w:rsidRDefault="001C3CA1" w:rsidP="001C3CA1">
            <w:pPr>
              <w:pStyle w:val="TMGTableText"/>
            </w:pPr>
            <w:r w:rsidRPr="00877387">
              <w:rPr>
                <w:rFonts w:eastAsiaTheme="minorEastAsia"/>
              </w:rPr>
              <w:t>Axle Weight 11 (AW11)</w:t>
            </w:r>
          </w:p>
        </w:tc>
        <w:tc>
          <w:tcPr>
            <w:tcW w:w="1309" w:type="dxa"/>
            <w:vAlign w:val="center"/>
          </w:tcPr>
          <w:p w14:paraId="2BF5DF74" w14:textId="62EB8255" w:rsidR="001C3CA1" w:rsidRPr="004859C8" w:rsidRDefault="001C3CA1" w:rsidP="004605FE">
            <w:pPr>
              <w:pStyle w:val="TMGTableText"/>
              <w:jc w:val="center"/>
            </w:pPr>
            <w:r w:rsidRPr="003C79E7">
              <w:t>Integer</w:t>
            </w:r>
          </w:p>
        </w:tc>
        <w:tc>
          <w:tcPr>
            <w:tcW w:w="1167" w:type="dxa"/>
            <w:vAlign w:val="center"/>
          </w:tcPr>
          <w:p w14:paraId="128A3731" w14:textId="7FF3E47F" w:rsidR="001C3CA1" w:rsidRPr="00C251E9" w:rsidRDefault="001C3CA1"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1C3CA1" w14:paraId="67E06E70" w14:textId="77777777" w:rsidTr="004605FE">
        <w:trPr>
          <w:jc w:val="center"/>
        </w:trPr>
        <w:tc>
          <w:tcPr>
            <w:tcW w:w="625" w:type="dxa"/>
          </w:tcPr>
          <w:p w14:paraId="4AF4433B" w14:textId="4A91D260" w:rsidR="001C3CA1" w:rsidRPr="00220FFB" w:rsidRDefault="001C3CA1" w:rsidP="001C3CA1">
            <w:pPr>
              <w:pStyle w:val="TMGTableText"/>
              <w:ind w:left="0" w:right="144"/>
              <w:jc w:val="right"/>
              <w:rPr>
                <w:b/>
                <w:bCs/>
              </w:rPr>
            </w:pPr>
            <w:r w:rsidRPr="00877387">
              <w:rPr>
                <w:rFonts w:eastAsiaTheme="minorEastAsia"/>
              </w:rPr>
              <w:t>42</w:t>
            </w:r>
          </w:p>
        </w:tc>
        <w:tc>
          <w:tcPr>
            <w:tcW w:w="2070" w:type="dxa"/>
          </w:tcPr>
          <w:p w14:paraId="17C40AF9" w14:textId="574078A0" w:rsidR="001C3CA1" w:rsidRPr="004859C8" w:rsidRDefault="001C3CA1" w:rsidP="001C3CA1">
            <w:pPr>
              <w:pStyle w:val="TMGTableText"/>
              <w:jc w:val="center"/>
            </w:pPr>
            <w:r>
              <w:t>150-153</w:t>
            </w:r>
          </w:p>
        </w:tc>
        <w:tc>
          <w:tcPr>
            <w:tcW w:w="810" w:type="dxa"/>
            <w:vAlign w:val="center"/>
          </w:tcPr>
          <w:p w14:paraId="56E5B272" w14:textId="5F608477" w:rsidR="001C3CA1" w:rsidRPr="004859C8" w:rsidRDefault="001C3CA1" w:rsidP="001C3CA1">
            <w:pPr>
              <w:pStyle w:val="TMGTableText"/>
              <w:jc w:val="center"/>
            </w:pPr>
            <w:r w:rsidRPr="00587C2E">
              <w:rPr>
                <w:rFonts w:eastAsiaTheme="minorEastAsia"/>
              </w:rPr>
              <w:t>4</w:t>
            </w:r>
          </w:p>
        </w:tc>
        <w:tc>
          <w:tcPr>
            <w:tcW w:w="3379" w:type="dxa"/>
          </w:tcPr>
          <w:p w14:paraId="44FB9DE6" w14:textId="14C6AA1E" w:rsidR="001C3CA1" w:rsidRPr="004859C8" w:rsidRDefault="001C3CA1" w:rsidP="001C3CA1">
            <w:pPr>
              <w:pStyle w:val="TMGTableText"/>
            </w:pPr>
            <w:r w:rsidRPr="00877387">
              <w:rPr>
                <w:rFonts w:eastAsiaTheme="minorEastAsia"/>
              </w:rPr>
              <w:t>Axles 11-12 Spacing (ASP11)</w:t>
            </w:r>
          </w:p>
        </w:tc>
        <w:tc>
          <w:tcPr>
            <w:tcW w:w="1309" w:type="dxa"/>
            <w:vAlign w:val="center"/>
          </w:tcPr>
          <w:p w14:paraId="03E55C45" w14:textId="2478EF0E" w:rsidR="001C3CA1" w:rsidRPr="004859C8" w:rsidRDefault="001C3CA1" w:rsidP="004605FE">
            <w:pPr>
              <w:pStyle w:val="TMGTableText"/>
              <w:jc w:val="center"/>
            </w:pPr>
            <w:r w:rsidRPr="003C79E7">
              <w:t>Integer</w:t>
            </w:r>
          </w:p>
        </w:tc>
        <w:tc>
          <w:tcPr>
            <w:tcW w:w="1167" w:type="dxa"/>
            <w:vAlign w:val="center"/>
          </w:tcPr>
          <w:p w14:paraId="11118322" w14:textId="4E77C1BA" w:rsidR="001C3CA1" w:rsidRPr="00C251E9" w:rsidRDefault="001C3CA1"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1C3CA1" w14:paraId="51E39E7D" w14:textId="77777777" w:rsidTr="004605FE">
        <w:trPr>
          <w:jc w:val="center"/>
        </w:trPr>
        <w:tc>
          <w:tcPr>
            <w:tcW w:w="625" w:type="dxa"/>
          </w:tcPr>
          <w:p w14:paraId="749E14BB" w14:textId="634FEE03" w:rsidR="001C3CA1" w:rsidRPr="00220FFB" w:rsidRDefault="001C3CA1" w:rsidP="001C3CA1">
            <w:pPr>
              <w:pStyle w:val="TMGTableText"/>
              <w:ind w:left="0" w:right="144"/>
              <w:jc w:val="right"/>
              <w:rPr>
                <w:b/>
                <w:bCs/>
              </w:rPr>
            </w:pPr>
            <w:r w:rsidRPr="00877387">
              <w:rPr>
                <w:rFonts w:eastAsiaTheme="minorEastAsia"/>
              </w:rPr>
              <w:t>43</w:t>
            </w:r>
          </w:p>
        </w:tc>
        <w:tc>
          <w:tcPr>
            <w:tcW w:w="2070" w:type="dxa"/>
          </w:tcPr>
          <w:p w14:paraId="6F8E439D" w14:textId="0C6AC315" w:rsidR="001C3CA1" w:rsidRPr="004859C8" w:rsidRDefault="001C3CA1" w:rsidP="001C3CA1">
            <w:pPr>
              <w:pStyle w:val="TMGTableText"/>
              <w:jc w:val="center"/>
            </w:pPr>
            <w:r>
              <w:t>154-158</w:t>
            </w:r>
          </w:p>
        </w:tc>
        <w:tc>
          <w:tcPr>
            <w:tcW w:w="810" w:type="dxa"/>
            <w:vAlign w:val="center"/>
          </w:tcPr>
          <w:p w14:paraId="3FC4DDA3" w14:textId="76CAB5DF" w:rsidR="001C3CA1" w:rsidRPr="004859C8" w:rsidRDefault="001C3CA1" w:rsidP="001C3CA1">
            <w:pPr>
              <w:pStyle w:val="TMGTableText"/>
              <w:jc w:val="center"/>
            </w:pPr>
            <w:r w:rsidRPr="00587C2E">
              <w:t>5</w:t>
            </w:r>
          </w:p>
        </w:tc>
        <w:tc>
          <w:tcPr>
            <w:tcW w:w="3379" w:type="dxa"/>
          </w:tcPr>
          <w:p w14:paraId="7E779CF0" w14:textId="59B02385" w:rsidR="001C3CA1" w:rsidRPr="004859C8" w:rsidRDefault="001C3CA1" w:rsidP="001C3CA1">
            <w:pPr>
              <w:pStyle w:val="TMGTableText"/>
            </w:pPr>
            <w:r w:rsidRPr="00877387">
              <w:rPr>
                <w:rFonts w:eastAsiaTheme="minorEastAsia"/>
              </w:rPr>
              <w:t>Axle Weight 12 (AW1</w:t>
            </w:r>
            <w:r>
              <w:rPr>
                <w:rFonts w:eastAsiaTheme="minorEastAsia"/>
              </w:rPr>
              <w:t>2</w:t>
            </w:r>
            <w:r w:rsidRPr="00877387">
              <w:rPr>
                <w:rFonts w:eastAsiaTheme="minorEastAsia"/>
              </w:rPr>
              <w:t>)</w:t>
            </w:r>
          </w:p>
        </w:tc>
        <w:tc>
          <w:tcPr>
            <w:tcW w:w="1309" w:type="dxa"/>
            <w:vAlign w:val="center"/>
          </w:tcPr>
          <w:p w14:paraId="4DCCA483" w14:textId="554F9ABA" w:rsidR="001C3CA1" w:rsidRPr="004859C8" w:rsidRDefault="001C3CA1" w:rsidP="004605FE">
            <w:pPr>
              <w:pStyle w:val="TMGTableText"/>
              <w:jc w:val="center"/>
            </w:pPr>
            <w:r w:rsidRPr="003C79E7">
              <w:t>Integer</w:t>
            </w:r>
          </w:p>
        </w:tc>
        <w:tc>
          <w:tcPr>
            <w:tcW w:w="1167" w:type="dxa"/>
            <w:vAlign w:val="center"/>
          </w:tcPr>
          <w:p w14:paraId="3ED02336" w14:textId="69EFC39C" w:rsidR="001C3CA1" w:rsidRPr="00C251E9" w:rsidRDefault="001C3CA1"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1C3CA1" w14:paraId="675237C4" w14:textId="77777777" w:rsidTr="004605FE">
        <w:trPr>
          <w:jc w:val="center"/>
        </w:trPr>
        <w:tc>
          <w:tcPr>
            <w:tcW w:w="625" w:type="dxa"/>
            <w:vAlign w:val="center"/>
          </w:tcPr>
          <w:p w14:paraId="690A3ED6" w14:textId="2E30230C" w:rsidR="001C3CA1" w:rsidRPr="00220FFB" w:rsidRDefault="001C3CA1" w:rsidP="001C3CA1">
            <w:pPr>
              <w:pStyle w:val="TMGTableText"/>
              <w:ind w:left="0" w:right="144"/>
              <w:jc w:val="center"/>
              <w:rPr>
                <w:b/>
                <w:bCs/>
              </w:rPr>
            </w:pPr>
            <w:r w:rsidRPr="00877387">
              <w:rPr>
                <w:rFonts w:eastAsiaTheme="minorEastAsia"/>
              </w:rPr>
              <w:t>44+</w:t>
            </w:r>
          </w:p>
        </w:tc>
        <w:tc>
          <w:tcPr>
            <w:tcW w:w="2070" w:type="dxa"/>
          </w:tcPr>
          <w:p w14:paraId="4919982B" w14:textId="07BD4201" w:rsidR="001C3CA1" w:rsidRPr="004859C8" w:rsidRDefault="001C3CA1" w:rsidP="001C3CA1">
            <w:pPr>
              <w:pStyle w:val="TMGTableText"/>
              <w:jc w:val="center"/>
            </w:pPr>
            <w:r w:rsidRPr="00877387">
              <w:rPr>
                <w:rFonts w:eastAsiaTheme="minorEastAsia"/>
              </w:rPr>
              <w:t>Use additional spacing in 4-digit increments up to 25 axles</w:t>
            </w:r>
          </w:p>
        </w:tc>
        <w:tc>
          <w:tcPr>
            <w:tcW w:w="810" w:type="dxa"/>
            <w:vAlign w:val="center"/>
          </w:tcPr>
          <w:p w14:paraId="75EF9032" w14:textId="0299CE26" w:rsidR="001C3CA1" w:rsidRPr="004859C8" w:rsidRDefault="001C3CA1" w:rsidP="001C3CA1">
            <w:pPr>
              <w:pStyle w:val="TMGTableText"/>
              <w:jc w:val="center"/>
            </w:pPr>
            <w:r w:rsidRPr="00587C2E">
              <w:rPr>
                <w:rFonts w:eastAsiaTheme="minorEastAsia"/>
              </w:rPr>
              <w:t>4</w:t>
            </w:r>
          </w:p>
        </w:tc>
        <w:tc>
          <w:tcPr>
            <w:tcW w:w="3379" w:type="dxa"/>
            <w:vAlign w:val="center"/>
          </w:tcPr>
          <w:p w14:paraId="027BC18F" w14:textId="61863A9B" w:rsidR="001C3CA1" w:rsidRPr="004859C8" w:rsidRDefault="001C3CA1" w:rsidP="001C3CA1">
            <w:pPr>
              <w:pStyle w:val="TMGTableText"/>
            </w:pPr>
            <w:r w:rsidRPr="00877387">
              <w:rPr>
                <w:rFonts w:eastAsiaTheme="minorEastAsia"/>
              </w:rPr>
              <w:t>Use additional spacing in 4-digit increments up to 25 axles</w:t>
            </w:r>
          </w:p>
        </w:tc>
        <w:tc>
          <w:tcPr>
            <w:tcW w:w="1309" w:type="dxa"/>
            <w:vAlign w:val="center"/>
          </w:tcPr>
          <w:p w14:paraId="60BD33EF" w14:textId="75832BFE" w:rsidR="001C3CA1" w:rsidRPr="004859C8" w:rsidRDefault="001C3CA1" w:rsidP="004605FE">
            <w:pPr>
              <w:pStyle w:val="TMGTableText"/>
              <w:jc w:val="center"/>
            </w:pPr>
            <w:r w:rsidRPr="003C79E7">
              <w:t>Integer</w:t>
            </w:r>
          </w:p>
        </w:tc>
        <w:tc>
          <w:tcPr>
            <w:tcW w:w="1167" w:type="dxa"/>
            <w:vAlign w:val="center"/>
          </w:tcPr>
          <w:p w14:paraId="557E3F60" w14:textId="443B9E64" w:rsidR="001C3CA1" w:rsidRPr="00C251E9" w:rsidRDefault="001C3CA1"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1C3CA1" w14:paraId="20A5CD4F" w14:textId="77777777" w:rsidTr="004605FE">
        <w:trPr>
          <w:jc w:val="center"/>
        </w:trPr>
        <w:tc>
          <w:tcPr>
            <w:tcW w:w="625" w:type="dxa"/>
            <w:vAlign w:val="center"/>
          </w:tcPr>
          <w:p w14:paraId="0C894A53" w14:textId="3E384A8E" w:rsidR="001C3CA1" w:rsidRPr="00220FFB" w:rsidRDefault="001C3CA1" w:rsidP="001C3CA1">
            <w:pPr>
              <w:pStyle w:val="TMGTableText"/>
              <w:ind w:left="0" w:right="144"/>
              <w:jc w:val="center"/>
              <w:rPr>
                <w:b/>
                <w:bCs/>
              </w:rPr>
            </w:pPr>
            <w:r w:rsidRPr="00877387">
              <w:rPr>
                <w:rFonts w:eastAsiaTheme="minorEastAsia"/>
              </w:rPr>
              <w:t>45+</w:t>
            </w:r>
          </w:p>
        </w:tc>
        <w:tc>
          <w:tcPr>
            <w:tcW w:w="2070" w:type="dxa"/>
          </w:tcPr>
          <w:p w14:paraId="09F4F96B" w14:textId="1090F677" w:rsidR="001C3CA1" w:rsidRPr="004859C8" w:rsidRDefault="001C3CA1" w:rsidP="001C3CA1">
            <w:pPr>
              <w:pStyle w:val="TMGTableText"/>
              <w:jc w:val="center"/>
            </w:pPr>
            <w:r w:rsidRPr="00877387">
              <w:rPr>
                <w:rFonts w:eastAsiaTheme="minorEastAsia"/>
              </w:rPr>
              <w:t xml:space="preserve">Use additional weights in </w:t>
            </w:r>
            <w:r w:rsidRPr="00877387">
              <w:t>5</w:t>
            </w:r>
            <w:r w:rsidRPr="00877387">
              <w:rPr>
                <w:rFonts w:eastAsiaTheme="minorEastAsia"/>
              </w:rPr>
              <w:t>-digit increments up to 25 axles</w:t>
            </w:r>
          </w:p>
        </w:tc>
        <w:tc>
          <w:tcPr>
            <w:tcW w:w="810" w:type="dxa"/>
            <w:vAlign w:val="center"/>
          </w:tcPr>
          <w:p w14:paraId="1611383E" w14:textId="244BF4A5" w:rsidR="001C3CA1" w:rsidRPr="004859C8" w:rsidRDefault="001C3CA1" w:rsidP="001C3CA1">
            <w:pPr>
              <w:pStyle w:val="TMGTableText"/>
              <w:jc w:val="center"/>
            </w:pPr>
            <w:r w:rsidRPr="00587C2E">
              <w:rPr>
                <w:rFonts w:eastAsiaTheme="minorEastAsia"/>
              </w:rPr>
              <w:t>5</w:t>
            </w:r>
          </w:p>
        </w:tc>
        <w:tc>
          <w:tcPr>
            <w:tcW w:w="3379" w:type="dxa"/>
            <w:vAlign w:val="center"/>
          </w:tcPr>
          <w:p w14:paraId="2DA7691B" w14:textId="10F52760" w:rsidR="001C3CA1" w:rsidRPr="004859C8" w:rsidRDefault="001C3CA1" w:rsidP="001C3CA1">
            <w:pPr>
              <w:pStyle w:val="TMGTableText"/>
            </w:pPr>
            <w:r w:rsidRPr="00877387">
              <w:rPr>
                <w:rFonts w:eastAsiaTheme="minorEastAsia"/>
              </w:rPr>
              <w:t xml:space="preserve">Use additional weights in </w:t>
            </w:r>
            <w:r w:rsidRPr="00877387">
              <w:t>5</w:t>
            </w:r>
            <w:r w:rsidRPr="00877387">
              <w:rPr>
                <w:rFonts w:eastAsiaTheme="minorEastAsia"/>
              </w:rPr>
              <w:t>-digit increments up to 25 axles</w:t>
            </w:r>
          </w:p>
        </w:tc>
        <w:tc>
          <w:tcPr>
            <w:tcW w:w="1309" w:type="dxa"/>
            <w:vAlign w:val="center"/>
          </w:tcPr>
          <w:p w14:paraId="0A780EB3" w14:textId="27F441A7" w:rsidR="001C3CA1" w:rsidRPr="004859C8" w:rsidRDefault="001C3CA1" w:rsidP="004605FE">
            <w:pPr>
              <w:pStyle w:val="TMGTableText"/>
              <w:jc w:val="center"/>
            </w:pPr>
            <w:r w:rsidRPr="003C79E7">
              <w:t>Integer</w:t>
            </w:r>
          </w:p>
        </w:tc>
        <w:tc>
          <w:tcPr>
            <w:tcW w:w="1167" w:type="dxa"/>
            <w:vAlign w:val="center"/>
          </w:tcPr>
          <w:p w14:paraId="3AD88CFE" w14:textId="60876AD9" w:rsidR="001C3CA1" w:rsidRPr="00C251E9" w:rsidRDefault="001C3CA1" w:rsidP="004605FE">
            <w:pPr>
              <w:pStyle w:val="TMGTableText"/>
              <w:jc w:val="center"/>
            </w:pPr>
            <w:r>
              <w:rPr>
                <w:rFonts w:eastAsiaTheme="minorEastAsia"/>
              </w:rPr>
              <w:t>Req.</w:t>
            </w:r>
            <w:r w:rsidRPr="00877387">
              <w:rPr>
                <w:rFonts w:eastAsiaTheme="minorEastAsia"/>
              </w:rPr>
              <w:t>/O</w:t>
            </w:r>
            <w:r>
              <w:rPr>
                <w:rFonts w:eastAsiaTheme="minorEastAsia"/>
              </w:rPr>
              <w:t>pt.</w:t>
            </w:r>
          </w:p>
        </w:tc>
      </w:tr>
    </w:tbl>
    <w:p w14:paraId="1A09A72B" w14:textId="77777777" w:rsidR="009B7AED" w:rsidRDefault="009B7AED" w:rsidP="00B739E1">
      <w:pPr>
        <w:pStyle w:val="Source"/>
        <w:spacing w:before="60" w:after="60"/>
        <w:ind w:left="547" w:hanging="547"/>
      </w:pPr>
      <w:r>
        <w:t>Note:</w:t>
      </w:r>
      <w:r>
        <w:tab/>
        <w:t xml:space="preserve">R=Required, O=Optional, R/O=Required/Optional, </w:t>
      </w:r>
    </w:p>
    <w:p w14:paraId="7F5EC993" w14:textId="77777777" w:rsidR="009B7AED" w:rsidRDefault="009B7AED" w:rsidP="00B739E1">
      <w:pPr>
        <w:pStyle w:val="Source"/>
        <w:spacing w:before="60" w:after="60"/>
        <w:ind w:left="547" w:hanging="547"/>
      </w:pPr>
      <w:r>
        <w:tab/>
        <w:t xml:space="preserve">Fields designated as </w:t>
      </w:r>
      <w:r>
        <w:rPr>
          <w:rStyle w:val="Italic"/>
          <w:iCs/>
        </w:rPr>
        <w:t>Required</w:t>
      </w:r>
      <w:r>
        <w:t xml:space="preserve"> must be reported.</w:t>
      </w:r>
    </w:p>
    <w:p w14:paraId="72680C01" w14:textId="77777777" w:rsidR="009B7AED" w:rsidRDefault="009B7AED" w:rsidP="00B739E1">
      <w:pPr>
        <w:pStyle w:val="Source"/>
        <w:spacing w:before="60" w:after="60"/>
        <w:ind w:left="547" w:hanging="547"/>
      </w:pPr>
      <w:r>
        <w:tab/>
        <w:t xml:space="preserve">Fields designated as </w:t>
      </w:r>
      <w:r>
        <w:rPr>
          <w:rStyle w:val="Italic"/>
          <w:iCs/>
        </w:rPr>
        <w:t>Optional</w:t>
      </w:r>
      <w:r>
        <w:t xml:space="preserve"> are not required to be reported.</w:t>
      </w:r>
    </w:p>
    <w:p w14:paraId="1CA16918" w14:textId="77777777" w:rsidR="009B7AED" w:rsidRDefault="009B7AED" w:rsidP="003F0602">
      <w:pPr>
        <w:pStyle w:val="Source"/>
        <w:spacing w:before="60" w:after="360"/>
        <w:ind w:left="547" w:hanging="547"/>
      </w:pPr>
      <w:r>
        <w:tab/>
        <w:t xml:space="preserve">Fields designated as </w:t>
      </w:r>
      <w:r>
        <w:rPr>
          <w:rStyle w:val="Italic"/>
          <w:iCs/>
        </w:rPr>
        <w:t>Required/Optional</w:t>
      </w:r>
      <w:r>
        <w:t xml:space="preserve"> could be either required or optional based on values used for other related fields.</w:t>
      </w:r>
    </w:p>
    <w:p w14:paraId="77497264" w14:textId="125D3E61" w:rsidR="009B7AED" w:rsidRPr="00877387" w:rsidRDefault="009B7AED" w:rsidP="00A35EAF">
      <w:pPr>
        <w:pStyle w:val="BodyText"/>
      </w:pPr>
      <w:r w:rsidRPr="00877387">
        <w:t xml:space="preserve">The data to be provided in columns 1 – </w:t>
      </w:r>
      <w:r>
        <w:t>45</w:t>
      </w:r>
      <w:r w:rsidRPr="00877387">
        <w:t xml:space="preserve"> are described earlier in </w:t>
      </w:r>
      <w:r w:rsidR="00530921">
        <w:t>S</w:t>
      </w:r>
      <w:r w:rsidRPr="00877387">
        <w:t xml:space="preserve">ections </w:t>
      </w:r>
      <w:r>
        <w:t>4</w:t>
      </w:r>
      <w:r w:rsidRPr="00877387">
        <w:t xml:space="preserve">.7.1 and </w:t>
      </w:r>
      <w:r>
        <w:t>4</w:t>
      </w:r>
      <w:r w:rsidRPr="00877387">
        <w:t>.7.2.</w:t>
      </w:r>
      <w:r w:rsidRPr="00DD07E7">
        <w:rPr>
          <w:b/>
          <w:bCs/>
        </w:rPr>
        <w:t xml:space="preserve"> </w:t>
      </w:r>
      <w:r w:rsidRPr="00877387">
        <w:t xml:space="preserve">The data to be included in columns </w:t>
      </w:r>
      <w:r>
        <w:t>46</w:t>
      </w:r>
      <w:r w:rsidRPr="00877387">
        <w:t xml:space="preserve"> and later are defined as follows:</w:t>
      </w:r>
    </w:p>
    <w:p w14:paraId="57B65AC4" w14:textId="623BE6C7" w:rsidR="009B7AED" w:rsidRDefault="009B7AED">
      <w:pPr>
        <w:pStyle w:val="ListParagraph"/>
        <w:numPr>
          <w:ilvl w:val="0"/>
          <w:numId w:val="106"/>
        </w:numPr>
        <w:spacing w:after="120"/>
        <w:ind w:left="648"/>
        <w:rPr>
          <w:i/>
          <w:iCs/>
        </w:rPr>
      </w:pPr>
      <w:r w:rsidRPr="00877387">
        <w:t xml:space="preserve">Pavement Temperature (Columns 46-48) – </w:t>
      </w:r>
      <w:r w:rsidRPr="00877387">
        <w:rPr>
          <w:i/>
          <w:iCs/>
        </w:rPr>
        <w:t>Optional</w:t>
      </w:r>
    </w:p>
    <w:p w14:paraId="09C4F589" w14:textId="77777777" w:rsidR="009B7AED" w:rsidRPr="00546799" w:rsidRDefault="009B7AED" w:rsidP="004605FE">
      <w:pPr>
        <w:tabs>
          <w:tab w:val="left" w:pos="1440"/>
        </w:tabs>
        <w:spacing w:after="120"/>
        <w:ind w:left="648"/>
        <w:jc w:val="left"/>
      </w:pPr>
      <w:r w:rsidRPr="00546799">
        <w:t>Enter the pavement temperature rounded to the nearest integer Fahrenheit value. A negative sign may be placed in column 4</w:t>
      </w:r>
      <w:r>
        <w:t>6</w:t>
      </w:r>
      <w:r w:rsidRPr="00546799">
        <w:t xml:space="preserve"> if appropriate. If the pavement temperature is unknown blank fill these digits.</w:t>
      </w:r>
    </w:p>
    <w:p w14:paraId="640C448F" w14:textId="64E9380D" w:rsidR="009B7AED" w:rsidRPr="00877387" w:rsidRDefault="009B7AED">
      <w:pPr>
        <w:pStyle w:val="ListParagraph"/>
        <w:numPr>
          <w:ilvl w:val="0"/>
          <w:numId w:val="106"/>
        </w:numPr>
        <w:spacing w:after="120"/>
        <w:ind w:left="648"/>
      </w:pPr>
      <w:r w:rsidRPr="00877387">
        <w:t>Gross Vehicle Weight (Columns 49-54)</w:t>
      </w:r>
      <w:r>
        <w:t xml:space="preserve"> – </w:t>
      </w:r>
      <w:r w:rsidRPr="006437A8">
        <w:rPr>
          <w:i/>
          <w:iCs/>
        </w:rPr>
        <w:t>Required</w:t>
      </w:r>
    </w:p>
    <w:p w14:paraId="45AF2034" w14:textId="211620AC" w:rsidR="001C3CA1" w:rsidRDefault="009B7AED" w:rsidP="004605FE">
      <w:pPr>
        <w:tabs>
          <w:tab w:val="left" w:pos="1440"/>
        </w:tabs>
        <w:spacing w:after="120"/>
        <w:ind w:left="648"/>
        <w:jc w:val="left"/>
      </w:pPr>
      <w:r w:rsidRPr="00546799">
        <w:t>Enter the total vehicle weight (GVW) as a right-justified, decimal value, in units of pounds. For example, the axle weight measured as 90,250 pounds could be entered as “_ 90250” or as “090250” (where “_” represents a blank space.) This value should equal the sum of all of the individual axle weights.</w:t>
      </w:r>
    </w:p>
    <w:p w14:paraId="68F02DD0" w14:textId="77777777" w:rsidR="001C3CA1" w:rsidRDefault="001C3CA1">
      <w:pPr>
        <w:widowControl/>
        <w:suppressAutoHyphens w:val="0"/>
        <w:autoSpaceDE/>
        <w:autoSpaceDN/>
        <w:adjustRightInd/>
        <w:spacing w:after="160" w:line="259" w:lineRule="auto"/>
        <w:jc w:val="left"/>
        <w:textAlignment w:val="auto"/>
        <w:rPr>
          <w:color w:val="auto"/>
        </w:rPr>
      </w:pPr>
      <w:r>
        <w:br w:type="page"/>
      </w:r>
    </w:p>
    <w:p w14:paraId="6A734733" w14:textId="15814197" w:rsidR="009B7AED" w:rsidRPr="00877387" w:rsidRDefault="009B7AED">
      <w:pPr>
        <w:pStyle w:val="ListParagraph"/>
        <w:numPr>
          <w:ilvl w:val="0"/>
          <w:numId w:val="106"/>
        </w:numPr>
        <w:spacing w:after="120"/>
        <w:ind w:left="648"/>
      </w:pPr>
      <w:r w:rsidRPr="00877387">
        <w:lastRenderedPageBreak/>
        <w:t xml:space="preserve">Axle Weight 1 (Columns </w:t>
      </w:r>
      <w:r>
        <w:rPr>
          <w:rFonts w:eastAsiaTheme="minorEastAsia"/>
        </w:rPr>
        <w:t>55-59</w:t>
      </w:r>
      <w:r w:rsidRPr="00877387">
        <w:t xml:space="preserve">) – </w:t>
      </w:r>
      <w:r>
        <w:rPr>
          <w:i/>
          <w:iCs/>
        </w:rPr>
        <w:t>Required</w:t>
      </w:r>
    </w:p>
    <w:p w14:paraId="637F6756" w14:textId="77777777" w:rsidR="009B7AED" w:rsidRPr="008F7197" w:rsidRDefault="009B7AED" w:rsidP="004605FE">
      <w:pPr>
        <w:tabs>
          <w:tab w:val="left" w:pos="1440"/>
        </w:tabs>
        <w:spacing w:after="120"/>
        <w:ind w:left="648"/>
        <w:jc w:val="left"/>
      </w:pPr>
      <w:r w:rsidRPr="00546799">
        <w:t>Enter the total axle 1 weight as a right-justified</w:t>
      </w:r>
      <w:r w:rsidRPr="008F7197">
        <w:t xml:space="preserve">, decimal value, in units of pounds. For example, the axle weight measured as 9,120 pounds could be entered as “_ 9120” or as “09120” (where “_” represents a blank space.) </w:t>
      </w:r>
    </w:p>
    <w:p w14:paraId="29AC3917" w14:textId="7B3C7F87" w:rsidR="009B7AED" w:rsidRPr="008F7197" w:rsidRDefault="009B7AED">
      <w:pPr>
        <w:pStyle w:val="ListParagraph"/>
        <w:numPr>
          <w:ilvl w:val="0"/>
          <w:numId w:val="106"/>
        </w:numPr>
        <w:spacing w:after="120"/>
        <w:ind w:left="648"/>
      </w:pPr>
      <w:r w:rsidRPr="008F7197">
        <w:t xml:space="preserve">Axle 1 to 2 Spacing (Columns 60-63) – </w:t>
      </w:r>
      <w:r w:rsidRPr="008F7197">
        <w:rPr>
          <w:i/>
          <w:iCs/>
        </w:rPr>
        <w:t>Required</w:t>
      </w:r>
    </w:p>
    <w:p w14:paraId="4F1701F1" w14:textId="77777777" w:rsidR="009B7AED" w:rsidRPr="008F7197" w:rsidRDefault="009B7AED" w:rsidP="004605FE">
      <w:pPr>
        <w:tabs>
          <w:tab w:val="left" w:pos="1440"/>
        </w:tabs>
        <w:spacing w:after="120"/>
        <w:ind w:left="648"/>
        <w:jc w:val="left"/>
      </w:pPr>
      <w:r w:rsidRPr="008F7197">
        <w:t>Enter the total spacing between axles 1 and 2 as a right-justified value, in units of tenths of feet. All axle spacings are reported with an implied decimal between digits 3 and 4. For example, an axle spacing of 11.35 feet would be entered as ”0114” or “_114” and an axle spacing of 9.6 feet would be entered as “0096” or “__96” (where “_” represents a blank space).</w:t>
      </w:r>
    </w:p>
    <w:p w14:paraId="40B26B8B" w14:textId="04F4CEAE" w:rsidR="009B7AED" w:rsidRPr="008F7197" w:rsidRDefault="009B7AED">
      <w:pPr>
        <w:pStyle w:val="ListParagraph"/>
        <w:numPr>
          <w:ilvl w:val="0"/>
          <w:numId w:val="106"/>
        </w:numPr>
        <w:spacing w:after="120"/>
        <w:ind w:left="648"/>
      </w:pPr>
      <w:r w:rsidRPr="008F7197">
        <w:t xml:space="preserve">Axle Weight 2 (Columns </w:t>
      </w:r>
      <w:r w:rsidRPr="008F7197">
        <w:rPr>
          <w:rFonts w:eastAsiaTheme="minorEastAsia"/>
        </w:rPr>
        <w:t>64-68</w:t>
      </w:r>
      <w:r w:rsidRPr="008F7197">
        <w:t xml:space="preserve">) – </w:t>
      </w:r>
      <w:r w:rsidRPr="008F7197">
        <w:rPr>
          <w:i/>
          <w:iCs/>
        </w:rPr>
        <w:t>Required</w:t>
      </w:r>
    </w:p>
    <w:p w14:paraId="17D48A0B" w14:textId="77777777" w:rsidR="009B7AED" w:rsidRPr="008F7197" w:rsidRDefault="009B7AED" w:rsidP="00BF0D1E">
      <w:pPr>
        <w:tabs>
          <w:tab w:val="left" w:pos="1440"/>
        </w:tabs>
        <w:spacing w:after="120"/>
        <w:ind w:left="648"/>
      </w:pPr>
      <w:r w:rsidRPr="008F7197">
        <w:t xml:space="preserve">Enter the total axle 2 weight as a </w:t>
      </w:r>
      <w:r w:rsidRPr="008F7197">
        <w:rPr>
          <w:spacing w:val="-2"/>
        </w:rPr>
        <w:t>right-justified</w:t>
      </w:r>
      <w:r w:rsidRPr="008F7197">
        <w:t xml:space="preserve"> value, in units of pounds.</w:t>
      </w:r>
    </w:p>
    <w:p w14:paraId="4FC0739B" w14:textId="41918FE3" w:rsidR="009B7AED" w:rsidRPr="008F7197" w:rsidRDefault="009B7AED">
      <w:pPr>
        <w:pStyle w:val="ListParagraph"/>
        <w:numPr>
          <w:ilvl w:val="0"/>
          <w:numId w:val="106"/>
        </w:numPr>
        <w:spacing w:after="120"/>
        <w:ind w:left="648"/>
      </w:pPr>
      <w:r w:rsidRPr="008F7197">
        <w:t xml:space="preserve">Axle 2 to 3 Spacing (Columns 69-72) – </w:t>
      </w:r>
      <w:r w:rsidRPr="008F7197">
        <w:rPr>
          <w:i/>
          <w:iCs/>
        </w:rPr>
        <w:t>Required/Optional</w:t>
      </w:r>
    </w:p>
    <w:p w14:paraId="251FD036" w14:textId="77777777" w:rsidR="009B7AED" w:rsidRPr="008F7197" w:rsidRDefault="009B7AED" w:rsidP="00BF0D1E">
      <w:pPr>
        <w:tabs>
          <w:tab w:val="left" w:pos="1440"/>
        </w:tabs>
        <w:spacing w:after="120"/>
        <w:ind w:left="648"/>
      </w:pPr>
      <w:r w:rsidRPr="008F7197">
        <w:t>Enter the total spacing between axles 2 and 3 as a right-justified value, in units of tenths of feet.</w:t>
      </w:r>
    </w:p>
    <w:p w14:paraId="5083655B" w14:textId="3CD63113" w:rsidR="009B7AED" w:rsidRPr="008F7197" w:rsidRDefault="009B7AED">
      <w:pPr>
        <w:pStyle w:val="ListParagraph"/>
        <w:numPr>
          <w:ilvl w:val="0"/>
          <w:numId w:val="106"/>
        </w:numPr>
        <w:spacing w:after="120"/>
        <w:ind w:left="648"/>
      </w:pPr>
      <w:r w:rsidRPr="008F7197">
        <w:t xml:space="preserve">Axle Weight 3 (Columns 73-77) – </w:t>
      </w:r>
      <w:r w:rsidRPr="008F7197">
        <w:rPr>
          <w:i/>
          <w:iCs/>
        </w:rPr>
        <w:t>Required/Optional</w:t>
      </w:r>
    </w:p>
    <w:p w14:paraId="5BD447AC" w14:textId="77777777" w:rsidR="009B7AED" w:rsidRPr="008F7197" w:rsidRDefault="009B7AED" w:rsidP="00BF0D1E">
      <w:pPr>
        <w:tabs>
          <w:tab w:val="left" w:pos="1440"/>
        </w:tabs>
        <w:spacing w:after="120"/>
        <w:ind w:left="648"/>
      </w:pPr>
      <w:r w:rsidRPr="008F7197">
        <w:t>Enter the total axle 3 weight as a right-justified, decimal value, in units of pounds.</w:t>
      </w:r>
    </w:p>
    <w:p w14:paraId="79CE75BC" w14:textId="299A5EBA" w:rsidR="009B7AED" w:rsidRPr="008F7197" w:rsidRDefault="009B7AED">
      <w:pPr>
        <w:pStyle w:val="ListParagraph"/>
        <w:numPr>
          <w:ilvl w:val="0"/>
          <w:numId w:val="106"/>
        </w:numPr>
        <w:spacing w:after="120"/>
        <w:ind w:left="648"/>
      </w:pPr>
      <w:r w:rsidRPr="008F7197">
        <w:t xml:space="preserve">Axle 3 to 4 Spacing (Columns 78-81) – </w:t>
      </w:r>
      <w:r w:rsidRPr="008F7197">
        <w:rPr>
          <w:i/>
          <w:iCs/>
        </w:rPr>
        <w:t>Required/Optional</w:t>
      </w:r>
    </w:p>
    <w:p w14:paraId="0087AEDA" w14:textId="77777777" w:rsidR="009B7AED" w:rsidRPr="008F7197" w:rsidRDefault="009B7AED" w:rsidP="00BF0D1E">
      <w:pPr>
        <w:tabs>
          <w:tab w:val="left" w:pos="1440"/>
        </w:tabs>
        <w:spacing w:after="120"/>
        <w:ind w:left="648"/>
      </w:pPr>
      <w:r w:rsidRPr="008F7197">
        <w:t>Enter the total spacing between axles 3 and 4 as a right-justified value, in units of tenths of feet.</w:t>
      </w:r>
    </w:p>
    <w:p w14:paraId="704B96EB" w14:textId="06B04DF7" w:rsidR="009B7AED" w:rsidRPr="008F7197" w:rsidRDefault="009B7AED">
      <w:pPr>
        <w:pStyle w:val="ListParagraph"/>
        <w:numPr>
          <w:ilvl w:val="0"/>
          <w:numId w:val="106"/>
        </w:numPr>
        <w:spacing w:after="120"/>
        <w:ind w:left="648"/>
      </w:pPr>
      <w:r w:rsidRPr="008F7197">
        <w:t xml:space="preserve">Axle Weight 4 (Columns 82-86) – </w:t>
      </w:r>
      <w:r w:rsidRPr="008F7197">
        <w:rPr>
          <w:i/>
          <w:iCs/>
        </w:rPr>
        <w:t>Required/Optional</w:t>
      </w:r>
    </w:p>
    <w:p w14:paraId="1EE99848" w14:textId="77777777" w:rsidR="009B7AED" w:rsidRPr="008F7197" w:rsidRDefault="009B7AED" w:rsidP="00BF0D1E">
      <w:pPr>
        <w:tabs>
          <w:tab w:val="left" w:pos="1440"/>
        </w:tabs>
        <w:spacing w:after="120"/>
        <w:ind w:left="648"/>
      </w:pPr>
      <w:r w:rsidRPr="008F7197">
        <w:t xml:space="preserve">Enter the total axle 4 weight as a </w:t>
      </w:r>
      <w:r w:rsidRPr="008F7197">
        <w:rPr>
          <w:spacing w:val="-2"/>
        </w:rPr>
        <w:t>right-justified</w:t>
      </w:r>
      <w:r w:rsidRPr="008F7197">
        <w:t>, value, in units of pounds.</w:t>
      </w:r>
    </w:p>
    <w:p w14:paraId="0283B82F" w14:textId="6EE9A3FF" w:rsidR="009B7AED" w:rsidRPr="008F7197" w:rsidRDefault="009B7AED">
      <w:pPr>
        <w:pStyle w:val="ListParagraph"/>
        <w:numPr>
          <w:ilvl w:val="0"/>
          <w:numId w:val="106"/>
        </w:numPr>
        <w:spacing w:after="120"/>
        <w:ind w:left="648"/>
      </w:pPr>
      <w:r w:rsidRPr="008F7197">
        <w:t xml:space="preserve">Axle 4 to 5 Spacing (Columns 87-90) – </w:t>
      </w:r>
      <w:r w:rsidRPr="008F7197">
        <w:rPr>
          <w:i/>
          <w:iCs/>
        </w:rPr>
        <w:t>Required/Optional</w:t>
      </w:r>
    </w:p>
    <w:p w14:paraId="123D9521" w14:textId="77777777" w:rsidR="009B7AED" w:rsidRPr="008F7197" w:rsidRDefault="009B7AED" w:rsidP="00BF0D1E">
      <w:pPr>
        <w:tabs>
          <w:tab w:val="left" w:pos="1440"/>
        </w:tabs>
        <w:spacing w:after="120"/>
        <w:ind w:left="648"/>
      </w:pPr>
      <w:r w:rsidRPr="008F7197">
        <w:t>Enter the total spacing between axles 4 and 5 as a right-justified value, in units of tenths of feet.</w:t>
      </w:r>
    </w:p>
    <w:p w14:paraId="5F8ED35A" w14:textId="47908B45" w:rsidR="009B7AED" w:rsidRPr="008F7197" w:rsidRDefault="009B7AED">
      <w:pPr>
        <w:pStyle w:val="ListParagraph"/>
        <w:numPr>
          <w:ilvl w:val="0"/>
          <w:numId w:val="106"/>
        </w:numPr>
        <w:spacing w:after="120"/>
        <w:ind w:left="648"/>
      </w:pPr>
      <w:r w:rsidRPr="008F7197">
        <w:t xml:space="preserve">Axle Weight 5 (Columns 91-95) – </w:t>
      </w:r>
      <w:r w:rsidRPr="008F7197">
        <w:rPr>
          <w:i/>
          <w:iCs/>
        </w:rPr>
        <w:t>Required/Optional</w:t>
      </w:r>
    </w:p>
    <w:p w14:paraId="054F15AA" w14:textId="77777777" w:rsidR="009B7AED" w:rsidRPr="008F7197" w:rsidRDefault="009B7AED" w:rsidP="00BF0D1E">
      <w:pPr>
        <w:tabs>
          <w:tab w:val="left" w:pos="1440"/>
        </w:tabs>
        <w:spacing w:after="120"/>
        <w:ind w:left="648"/>
      </w:pPr>
      <w:r w:rsidRPr="008F7197">
        <w:t xml:space="preserve">Enter the total axle 5 weight as a </w:t>
      </w:r>
      <w:r w:rsidRPr="008F7197">
        <w:rPr>
          <w:spacing w:val="-2"/>
        </w:rPr>
        <w:t>right-justified</w:t>
      </w:r>
      <w:r w:rsidRPr="008F7197">
        <w:t xml:space="preserve"> value, in units of pounds.</w:t>
      </w:r>
    </w:p>
    <w:p w14:paraId="45FED8CC" w14:textId="39837C21" w:rsidR="009B7AED" w:rsidRPr="008F7197" w:rsidRDefault="009B7AED">
      <w:pPr>
        <w:pStyle w:val="ListParagraph"/>
        <w:numPr>
          <w:ilvl w:val="0"/>
          <w:numId w:val="106"/>
        </w:numPr>
        <w:spacing w:after="120"/>
        <w:ind w:left="648"/>
      </w:pPr>
      <w:r w:rsidRPr="008F7197">
        <w:t xml:space="preserve">Axle 5 to 6 Spacing (Columns 96-99) – </w:t>
      </w:r>
      <w:r w:rsidRPr="001C3CA1">
        <w:rPr>
          <w:i/>
          <w:iCs/>
        </w:rPr>
        <w:t>Required/Optional</w:t>
      </w:r>
    </w:p>
    <w:p w14:paraId="5CCFF33B" w14:textId="77777777" w:rsidR="009B7AED" w:rsidRPr="008F7197" w:rsidRDefault="009B7AED" w:rsidP="00BF0D1E">
      <w:pPr>
        <w:tabs>
          <w:tab w:val="left" w:pos="1440"/>
        </w:tabs>
        <w:spacing w:after="120"/>
        <w:ind w:left="648"/>
      </w:pPr>
      <w:r w:rsidRPr="008F7197">
        <w:t>Enter the total spacing between axles 5 and 6 as a right-justified value, in units of tenths of feet.</w:t>
      </w:r>
    </w:p>
    <w:p w14:paraId="30B31891" w14:textId="093AD2F0" w:rsidR="009B7AED" w:rsidRPr="008F7197" w:rsidRDefault="009B7AED">
      <w:pPr>
        <w:pStyle w:val="ListParagraph"/>
        <w:numPr>
          <w:ilvl w:val="0"/>
          <w:numId w:val="106"/>
        </w:numPr>
        <w:spacing w:after="120"/>
        <w:ind w:left="648"/>
      </w:pPr>
      <w:r w:rsidRPr="008F7197">
        <w:t xml:space="preserve">Axle Weight 6 (Columns 100-104) – </w:t>
      </w:r>
      <w:r w:rsidRPr="008F7197">
        <w:rPr>
          <w:i/>
          <w:iCs/>
        </w:rPr>
        <w:t>Required/Optional</w:t>
      </w:r>
    </w:p>
    <w:p w14:paraId="61C24F5C" w14:textId="77777777" w:rsidR="009B7AED" w:rsidRPr="008F7197" w:rsidRDefault="009B7AED" w:rsidP="00BF0D1E">
      <w:pPr>
        <w:tabs>
          <w:tab w:val="left" w:pos="1440"/>
        </w:tabs>
        <w:spacing w:after="120"/>
        <w:ind w:left="648"/>
      </w:pPr>
      <w:r w:rsidRPr="008F7197">
        <w:t xml:space="preserve">Enter the total axle 6 weight as a </w:t>
      </w:r>
      <w:r w:rsidRPr="008F7197">
        <w:rPr>
          <w:spacing w:val="-2"/>
        </w:rPr>
        <w:t>right-justified</w:t>
      </w:r>
      <w:r w:rsidRPr="008F7197">
        <w:t xml:space="preserve"> value, in units of pounds.</w:t>
      </w:r>
    </w:p>
    <w:p w14:paraId="766B70B5" w14:textId="77777777" w:rsidR="009B7AED" w:rsidRPr="008F7197" w:rsidRDefault="009B7AED">
      <w:pPr>
        <w:pStyle w:val="ListParagraph"/>
        <w:numPr>
          <w:ilvl w:val="0"/>
          <w:numId w:val="106"/>
        </w:numPr>
        <w:spacing w:after="120"/>
        <w:ind w:left="648"/>
      </w:pPr>
      <w:r w:rsidRPr="008F7197">
        <w:t xml:space="preserve">Axle 6 to 7 Spacing (Columns 105-108) – </w:t>
      </w:r>
      <w:r w:rsidRPr="008F7197">
        <w:rPr>
          <w:i/>
          <w:iCs/>
        </w:rPr>
        <w:t>Required/Optional</w:t>
      </w:r>
    </w:p>
    <w:p w14:paraId="12CFCC5D" w14:textId="77777777" w:rsidR="009B7AED" w:rsidRPr="008F7197" w:rsidRDefault="009B7AED" w:rsidP="00BF0D1E">
      <w:pPr>
        <w:tabs>
          <w:tab w:val="left" w:pos="1440"/>
        </w:tabs>
        <w:spacing w:after="120"/>
        <w:ind w:left="648"/>
      </w:pPr>
      <w:r w:rsidRPr="008F7197">
        <w:t>Enter the total spacing between axles 6 and 7 as a right-justified value, in units of tenths of feet.</w:t>
      </w:r>
    </w:p>
    <w:p w14:paraId="48DFC1F5" w14:textId="30BAFEDB" w:rsidR="009B7AED" w:rsidRPr="008F7197" w:rsidRDefault="009B7AED">
      <w:pPr>
        <w:pStyle w:val="ListParagraph"/>
        <w:numPr>
          <w:ilvl w:val="0"/>
          <w:numId w:val="106"/>
        </w:numPr>
        <w:spacing w:after="120"/>
        <w:ind w:left="648"/>
      </w:pPr>
      <w:r w:rsidRPr="008F7197">
        <w:t xml:space="preserve">Axle Weight 7 (Columns 109-113) – </w:t>
      </w:r>
      <w:r w:rsidRPr="008F7197">
        <w:rPr>
          <w:i/>
          <w:iCs/>
        </w:rPr>
        <w:t>Required/Optional</w:t>
      </w:r>
    </w:p>
    <w:p w14:paraId="4B20BA5B" w14:textId="77777777" w:rsidR="009B7AED" w:rsidRPr="008F7197" w:rsidRDefault="009B7AED" w:rsidP="00BF0D1E">
      <w:pPr>
        <w:tabs>
          <w:tab w:val="left" w:pos="1440"/>
        </w:tabs>
        <w:spacing w:after="120"/>
        <w:ind w:left="648"/>
      </w:pPr>
      <w:r w:rsidRPr="008F7197">
        <w:t xml:space="preserve">Enter the total axle 7 weight as a </w:t>
      </w:r>
      <w:r w:rsidRPr="008F7197">
        <w:rPr>
          <w:spacing w:val="-2"/>
        </w:rPr>
        <w:t>right-justified</w:t>
      </w:r>
      <w:r w:rsidRPr="008F7197">
        <w:t xml:space="preserve"> value, in units of pounds.</w:t>
      </w:r>
    </w:p>
    <w:p w14:paraId="419A138B" w14:textId="3D05DDA9" w:rsidR="009B7AED" w:rsidRPr="008F7197" w:rsidRDefault="009B7AED">
      <w:pPr>
        <w:pStyle w:val="ListParagraph"/>
        <w:numPr>
          <w:ilvl w:val="0"/>
          <w:numId w:val="106"/>
        </w:numPr>
        <w:spacing w:after="120"/>
        <w:ind w:left="648"/>
      </w:pPr>
      <w:r w:rsidRPr="008F7197">
        <w:t xml:space="preserve">Axle 7 to 8 Spacing (Columns 114-117) – </w:t>
      </w:r>
      <w:r w:rsidRPr="008F7197">
        <w:rPr>
          <w:i/>
          <w:iCs/>
        </w:rPr>
        <w:t>Required/Optional</w:t>
      </w:r>
    </w:p>
    <w:p w14:paraId="4EEC9735" w14:textId="77777777" w:rsidR="009B7AED" w:rsidRPr="008F7197" w:rsidRDefault="009B7AED" w:rsidP="00BF0D1E">
      <w:pPr>
        <w:tabs>
          <w:tab w:val="left" w:pos="1440"/>
        </w:tabs>
        <w:spacing w:after="120"/>
        <w:ind w:left="648"/>
      </w:pPr>
      <w:r w:rsidRPr="008F7197">
        <w:t>Enter the total spacing between axles 7 and 8 as a right-justified value, in units of tenths of feet.</w:t>
      </w:r>
    </w:p>
    <w:p w14:paraId="6571B2AE" w14:textId="10CFDDD8" w:rsidR="009B7AED" w:rsidRPr="008F7197" w:rsidRDefault="009B7AED">
      <w:pPr>
        <w:pStyle w:val="ListParagraph"/>
        <w:numPr>
          <w:ilvl w:val="0"/>
          <w:numId w:val="106"/>
        </w:numPr>
        <w:spacing w:after="120"/>
        <w:ind w:left="648"/>
      </w:pPr>
      <w:r w:rsidRPr="008F7197">
        <w:t xml:space="preserve">Axle Weight 8 (Columns 118-122) – </w:t>
      </w:r>
      <w:r w:rsidRPr="008F7197">
        <w:rPr>
          <w:i/>
          <w:iCs/>
        </w:rPr>
        <w:t>Required/Optional</w:t>
      </w:r>
    </w:p>
    <w:p w14:paraId="55E0A2AA" w14:textId="77777777" w:rsidR="009B7AED" w:rsidRPr="008F7197" w:rsidRDefault="009B7AED" w:rsidP="00BF0D1E">
      <w:pPr>
        <w:tabs>
          <w:tab w:val="left" w:pos="1440"/>
        </w:tabs>
        <w:spacing w:after="120"/>
        <w:ind w:left="648"/>
      </w:pPr>
      <w:r w:rsidRPr="008F7197">
        <w:t xml:space="preserve">Enter the total axle 8 weight as a </w:t>
      </w:r>
      <w:r w:rsidRPr="008F7197">
        <w:rPr>
          <w:spacing w:val="-4"/>
        </w:rPr>
        <w:t>right-justified</w:t>
      </w:r>
      <w:r w:rsidRPr="008F7197">
        <w:t xml:space="preserve"> value, in units of pounds.</w:t>
      </w:r>
    </w:p>
    <w:p w14:paraId="25CD2B5A" w14:textId="77777777" w:rsidR="009B7AED" w:rsidRPr="008F7197" w:rsidRDefault="009B7AED">
      <w:pPr>
        <w:pStyle w:val="ListParagraph"/>
        <w:numPr>
          <w:ilvl w:val="0"/>
          <w:numId w:val="106"/>
        </w:numPr>
        <w:spacing w:after="120"/>
        <w:ind w:left="648"/>
      </w:pPr>
      <w:r w:rsidRPr="008F7197">
        <w:t xml:space="preserve">Axle 8 to 9 Spacing (Columns 123-126) – </w:t>
      </w:r>
      <w:r w:rsidRPr="008F7197">
        <w:rPr>
          <w:i/>
          <w:iCs/>
        </w:rPr>
        <w:t>Required/Optional</w:t>
      </w:r>
    </w:p>
    <w:p w14:paraId="4B04DC22" w14:textId="4D6CB752" w:rsidR="00BF0D1E" w:rsidRDefault="009B7AED" w:rsidP="00BF0D1E">
      <w:pPr>
        <w:tabs>
          <w:tab w:val="left" w:pos="1440"/>
        </w:tabs>
        <w:spacing w:after="120"/>
        <w:ind w:left="648"/>
      </w:pPr>
      <w:r w:rsidRPr="008F7197">
        <w:t>Enter the total spacing between axles 8 and 9 as a right-justified value, in units of tenths of feet.</w:t>
      </w:r>
    </w:p>
    <w:p w14:paraId="5EC199AE" w14:textId="77777777" w:rsidR="00BF0D1E" w:rsidRDefault="00BF0D1E">
      <w:pPr>
        <w:widowControl/>
        <w:suppressAutoHyphens w:val="0"/>
        <w:autoSpaceDE/>
        <w:autoSpaceDN/>
        <w:adjustRightInd/>
        <w:spacing w:after="160" w:line="259" w:lineRule="auto"/>
        <w:jc w:val="left"/>
        <w:textAlignment w:val="auto"/>
      </w:pPr>
      <w:r>
        <w:br w:type="page"/>
      </w:r>
    </w:p>
    <w:p w14:paraId="147DE649" w14:textId="4C3721DB" w:rsidR="009B7AED" w:rsidRPr="008F7197" w:rsidRDefault="009B7AED">
      <w:pPr>
        <w:pStyle w:val="ListParagraph"/>
        <w:numPr>
          <w:ilvl w:val="0"/>
          <w:numId w:val="106"/>
        </w:numPr>
        <w:spacing w:after="120"/>
        <w:ind w:left="648"/>
      </w:pPr>
      <w:r w:rsidRPr="008F7197">
        <w:lastRenderedPageBreak/>
        <w:t xml:space="preserve">Axle Weight 9 (Columns 127-131) – </w:t>
      </w:r>
      <w:r w:rsidRPr="008F7197">
        <w:rPr>
          <w:i/>
          <w:iCs/>
        </w:rPr>
        <w:t>Required/Optional</w:t>
      </w:r>
    </w:p>
    <w:p w14:paraId="3CF84182" w14:textId="77777777" w:rsidR="009B7AED" w:rsidRPr="008F7197" w:rsidRDefault="009B7AED" w:rsidP="00BF0D1E">
      <w:pPr>
        <w:tabs>
          <w:tab w:val="left" w:pos="1440"/>
        </w:tabs>
        <w:spacing w:after="120"/>
        <w:ind w:left="648"/>
      </w:pPr>
      <w:r w:rsidRPr="008F7197">
        <w:t xml:space="preserve">Enter the total axle 9 weight as a </w:t>
      </w:r>
      <w:r w:rsidRPr="008F7197">
        <w:rPr>
          <w:spacing w:val="-2"/>
        </w:rPr>
        <w:t>right-justified</w:t>
      </w:r>
      <w:r w:rsidRPr="008F7197">
        <w:t xml:space="preserve"> value, in units of pounds.</w:t>
      </w:r>
    </w:p>
    <w:p w14:paraId="1AF5DA8A" w14:textId="77777777" w:rsidR="009B7AED" w:rsidRPr="008F7197" w:rsidRDefault="009B7AED">
      <w:pPr>
        <w:pStyle w:val="ListParagraph"/>
        <w:numPr>
          <w:ilvl w:val="0"/>
          <w:numId w:val="106"/>
        </w:numPr>
        <w:spacing w:after="120"/>
        <w:ind w:left="648"/>
      </w:pPr>
      <w:r w:rsidRPr="008F7197">
        <w:t xml:space="preserve">Axle 9 to 10 Spacing (Columns 132-135) – </w:t>
      </w:r>
      <w:r w:rsidRPr="008F7197">
        <w:rPr>
          <w:i/>
          <w:iCs/>
        </w:rPr>
        <w:t>Required/Optional</w:t>
      </w:r>
    </w:p>
    <w:p w14:paraId="64CDB074" w14:textId="77777777" w:rsidR="009B7AED" w:rsidRPr="008F7197" w:rsidRDefault="009B7AED" w:rsidP="00BF0D1E">
      <w:pPr>
        <w:tabs>
          <w:tab w:val="left" w:pos="1440"/>
        </w:tabs>
        <w:spacing w:after="120"/>
        <w:ind w:left="648"/>
      </w:pPr>
      <w:r w:rsidRPr="008F7197">
        <w:t>Enter the total spacing between axles 9 and 10 as a right-justified value, in units of tenths of feet.</w:t>
      </w:r>
    </w:p>
    <w:p w14:paraId="41F7478E" w14:textId="7A1A9E64" w:rsidR="009B7AED" w:rsidRPr="008F7197" w:rsidRDefault="009B7AED">
      <w:pPr>
        <w:pStyle w:val="ListParagraph"/>
        <w:numPr>
          <w:ilvl w:val="0"/>
          <w:numId w:val="106"/>
        </w:numPr>
        <w:spacing w:after="120"/>
        <w:ind w:left="648"/>
      </w:pPr>
      <w:r w:rsidRPr="008F7197">
        <w:t xml:space="preserve">Axle Weight 10 (Columns 136-140) – </w:t>
      </w:r>
      <w:r w:rsidRPr="008F7197">
        <w:rPr>
          <w:i/>
          <w:iCs/>
        </w:rPr>
        <w:t>Required/Optional</w:t>
      </w:r>
    </w:p>
    <w:p w14:paraId="4680DE43" w14:textId="77777777" w:rsidR="009B7AED" w:rsidRPr="008F7197" w:rsidRDefault="009B7AED" w:rsidP="00BF0D1E">
      <w:pPr>
        <w:tabs>
          <w:tab w:val="left" w:pos="1440"/>
        </w:tabs>
        <w:spacing w:after="120"/>
        <w:ind w:left="648"/>
      </w:pPr>
      <w:r w:rsidRPr="008F7197">
        <w:t xml:space="preserve">Enter the total axle 10 weight as a </w:t>
      </w:r>
      <w:r w:rsidRPr="008F7197">
        <w:rPr>
          <w:spacing w:val="-4"/>
        </w:rPr>
        <w:t>right-justified</w:t>
      </w:r>
      <w:r w:rsidRPr="008F7197">
        <w:t xml:space="preserve"> value, in units of pounds.</w:t>
      </w:r>
    </w:p>
    <w:p w14:paraId="58DB9BB6" w14:textId="77777777" w:rsidR="009B7AED" w:rsidRPr="008F7197" w:rsidRDefault="009B7AED">
      <w:pPr>
        <w:pStyle w:val="ListParagraph"/>
        <w:numPr>
          <w:ilvl w:val="0"/>
          <w:numId w:val="106"/>
        </w:numPr>
        <w:spacing w:after="120"/>
        <w:ind w:left="648"/>
      </w:pPr>
      <w:r w:rsidRPr="008F7197">
        <w:t xml:space="preserve">Axle 10 to 11 Spacing (Columns 141-144) – </w:t>
      </w:r>
      <w:r w:rsidRPr="008F7197">
        <w:rPr>
          <w:i/>
          <w:iCs/>
        </w:rPr>
        <w:t>Required/Optional</w:t>
      </w:r>
    </w:p>
    <w:p w14:paraId="7BF17A1E" w14:textId="77777777" w:rsidR="009B7AED" w:rsidRPr="00877387" w:rsidRDefault="009B7AED" w:rsidP="00BF0D1E">
      <w:pPr>
        <w:tabs>
          <w:tab w:val="left" w:pos="1440"/>
        </w:tabs>
        <w:spacing w:after="120"/>
        <w:ind w:left="648"/>
      </w:pPr>
      <w:r w:rsidRPr="008F7197">
        <w:t>Enter the total spacing between axles 10 and 11 as a right</w:t>
      </w:r>
      <w:r w:rsidRPr="00877387">
        <w:t>-justified value, in units of tenths of feet.</w:t>
      </w:r>
    </w:p>
    <w:p w14:paraId="79E6CB67" w14:textId="1F54CB54" w:rsidR="009B7AED" w:rsidRPr="00877387" w:rsidRDefault="009B7AED">
      <w:pPr>
        <w:pStyle w:val="ListParagraph"/>
        <w:numPr>
          <w:ilvl w:val="0"/>
          <w:numId w:val="106"/>
        </w:numPr>
        <w:spacing w:after="120"/>
        <w:ind w:left="648"/>
      </w:pPr>
      <w:r w:rsidRPr="00877387">
        <w:t xml:space="preserve">Axle Weight 11 (Columns </w:t>
      </w:r>
      <w:r w:rsidRPr="00EE3E38">
        <w:t>145-149</w:t>
      </w:r>
      <w:r w:rsidRPr="00877387">
        <w:t xml:space="preserve">) </w:t>
      </w:r>
      <w:r w:rsidR="00ED2A81">
        <w:t>–</w:t>
      </w:r>
      <w:r w:rsidRPr="00877387">
        <w:t xml:space="preserve"> </w:t>
      </w:r>
      <w:r w:rsidRPr="007347FA">
        <w:rPr>
          <w:i/>
          <w:iCs/>
        </w:rPr>
        <w:t>Required/Optional</w:t>
      </w:r>
    </w:p>
    <w:p w14:paraId="26162E06" w14:textId="77777777" w:rsidR="009B7AED" w:rsidRPr="00877387" w:rsidRDefault="009B7AED" w:rsidP="00BF0D1E">
      <w:pPr>
        <w:tabs>
          <w:tab w:val="left" w:pos="1440"/>
        </w:tabs>
        <w:spacing w:after="120"/>
        <w:ind w:left="648"/>
      </w:pPr>
      <w:r w:rsidRPr="00877387">
        <w:t>Enter the total axle 11 weight as a right-justified value, in units of pounds.</w:t>
      </w:r>
    </w:p>
    <w:p w14:paraId="3BF05C8B" w14:textId="77777777" w:rsidR="009B7AED" w:rsidRPr="00877387" w:rsidRDefault="009B7AED">
      <w:pPr>
        <w:pStyle w:val="ListParagraph"/>
        <w:numPr>
          <w:ilvl w:val="0"/>
          <w:numId w:val="106"/>
        </w:numPr>
        <w:spacing w:after="120"/>
        <w:ind w:left="648"/>
      </w:pPr>
      <w:r w:rsidRPr="00877387">
        <w:t xml:space="preserve">Axle 11 to 12 Spacing (Columns </w:t>
      </w:r>
      <w:r w:rsidRPr="00EE3E38">
        <w:t>150-153</w:t>
      </w:r>
      <w:r w:rsidRPr="00877387">
        <w:t xml:space="preserve">) – </w:t>
      </w:r>
      <w:r w:rsidRPr="007347FA">
        <w:rPr>
          <w:i/>
          <w:iCs/>
        </w:rPr>
        <w:t>Required/Optional</w:t>
      </w:r>
    </w:p>
    <w:p w14:paraId="0F1B1B76" w14:textId="77777777" w:rsidR="009B7AED" w:rsidRPr="00877387" w:rsidRDefault="009B7AED" w:rsidP="00BF0D1E">
      <w:pPr>
        <w:tabs>
          <w:tab w:val="left" w:pos="1440"/>
        </w:tabs>
        <w:spacing w:after="120"/>
        <w:ind w:left="648"/>
      </w:pPr>
      <w:r w:rsidRPr="00877387">
        <w:t>Enter the total spacing between axles 11 and 12 as a right-justified value, in units of tenths of feet.</w:t>
      </w:r>
    </w:p>
    <w:p w14:paraId="1DF944FA" w14:textId="03766AC6" w:rsidR="009B7AED" w:rsidRPr="00877387" w:rsidRDefault="009B7AED">
      <w:pPr>
        <w:pStyle w:val="ListParagraph"/>
        <w:numPr>
          <w:ilvl w:val="0"/>
          <w:numId w:val="106"/>
        </w:numPr>
        <w:spacing w:after="120"/>
        <w:ind w:left="648"/>
      </w:pPr>
      <w:r w:rsidRPr="00877387">
        <w:t xml:space="preserve">Axle Weight 12 (Columns </w:t>
      </w:r>
      <w:r w:rsidRPr="00EE3E38">
        <w:t>154-158</w:t>
      </w:r>
      <w:r w:rsidRPr="00877387">
        <w:t xml:space="preserve">) – </w:t>
      </w:r>
      <w:r w:rsidRPr="007347FA">
        <w:rPr>
          <w:i/>
          <w:iCs/>
        </w:rPr>
        <w:t>Required/Optional</w:t>
      </w:r>
    </w:p>
    <w:p w14:paraId="7ED7ECC1" w14:textId="77777777" w:rsidR="009B7AED" w:rsidRPr="00877387" w:rsidRDefault="009B7AED" w:rsidP="00BF0D1E">
      <w:pPr>
        <w:tabs>
          <w:tab w:val="left" w:pos="1440"/>
        </w:tabs>
        <w:spacing w:after="120"/>
        <w:ind w:left="648"/>
      </w:pPr>
      <w:r w:rsidRPr="00877387">
        <w:t>Enter the total axle 12 weight as a right-justified value, in units of pounds.</w:t>
      </w:r>
    </w:p>
    <w:p w14:paraId="3CA2A252" w14:textId="77777777" w:rsidR="009B7AED" w:rsidRPr="00877387" w:rsidRDefault="009B7AED" w:rsidP="004605FE">
      <w:pPr>
        <w:tabs>
          <w:tab w:val="left" w:pos="1440"/>
        </w:tabs>
        <w:spacing w:after="120"/>
        <w:ind w:left="648"/>
        <w:jc w:val="left"/>
      </w:pPr>
      <w:r w:rsidRPr="00877387">
        <w:t>For each additional axle beyond the 12th axle, an additional nine columns should be entered. The first four of these columns are the axle spacing to the next axle, followed by the five columns for the weight of that next axle. The maximum number of axles permitted is 25, which uses a record length of 2</w:t>
      </w:r>
      <w:r>
        <w:t>70</w:t>
      </w:r>
      <w:r w:rsidRPr="00877387">
        <w:t xml:space="preserve"> columns. </w:t>
      </w:r>
    </w:p>
    <w:p w14:paraId="1E811625" w14:textId="0B004C8B" w:rsidR="00BF0D1E" w:rsidRDefault="009B7AED" w:rsidP="00833E15">
      <w:pPr>
        <w:pStyle w:val="BodyText"/>
      </w:pPr>
      <w:r>
        <w:t xml:space="preserve">Example W Variant records </w:t>
      </w:r>
      <w:r w:rsidRPr="00833E15">
        <w:t>are</w:t>
      </w:r>
      <w:r>
        <w:t xml:space="preserve"> </w:t>
      </w:r>
      <w:r w:rsidRPr="00CA3BAD">
        <w:t>shown in</w:t>
      </w:r>
      <w:r w:rsidR="00080D0D">
        <w:t xml:space="preserve"> </w:t>
      </w:r>
      <w:r w:rsidR="00833E15">
        <w:fldChar w:fldCharType="begin"/>
      </w:r>
      <w:r w:rsidR="00833E15">
        <w:instrText xml:space="preserve"> REF _Ref113279070 \h </w:instrText>
      </w:r>
      <w:r w:rsidR="00833E15">
        <w:fldChar w:fldCharType="separate"/>
      </w:r>
      <w:r w:rsidR="00C07DF9">
        <w:t xml:space="preserve">Table </w:t>
      </w:r>
      <w:r w:rsidR="00C07DF9">
        <w:rPr>
          <w:noProof/>
        </w:rPr>
        <w:t>4</w:t>
      </w:r>
      <w:r w:rsidR="00C07DF9">
        <w:noBreakHyphen/>
      </w:r>
      <w:r w:rsidR="00C07DF9">
        <w:rPr>
          <w:noProof/>
        </w:rPr>
        <w:t>32</w:t>
      </w:r>
      <w:r w:rsidR="00833E15">
        <w:fldChar w:fldCharType="end"/>
      </w:r>
      <w:r w:rsidR="00080D0D">
        <w:t>.</w:t>
      </w:r>
    </w:p>
    <w:p w14:paraId="371CE097" w14:textId="77777777" w:rsidR="00833E15" w:rsidRDefault="00833E15" w:rsidP="00833E15">
      <w:pPr>
        <w:pStyle w:val="BodyText"/>
      </w:pPr>
    </w:p>
    <w:p w14:paraId="548F752F" w14:textId="3C918EB7" w:rsidR="00833E15" w:rsidRDefault="00833E15" w:rsidP="00833E15">
      <w:pPr>
        <w:pStyle w:val="BodyText"/>
        <w:sectPr w:rsidR="00833E15" w:rsidSect="003C28DA">
          <w:headerReference w:type="even" r:id="rId206"/>
          <w:headerReference w:type="default" r:id="rId207"/>
          <w:footerReference w:type="even" r:id="rId208"/>
          <w:footerReference w:type="default" r:id="rId209"/>
          <w:pgSz w:w="12240" w:h="15840" w:orient="landscape" w:code="1"/>
          <w:pgMar w:top="1440" w:right="1440" w:bottom="1152" w:left="1440" w:header="720" w:footer="576" w:gutter="0"/>
          <w:pgNumType w:chapStyle="1"/>
          <w:cols w:space="720"/>
          <w:noEndnote/>
          <w:docGrid w:linePitch="272"/>
        </w:sectPr>
      </w:pPr>
    </w:p>
    <w:p w14:paraId="060A26DB" w14:textId="6CF4608F" w:rsidR="009B7AED" w:rsidRDefault="009B7AED" w:rsidP="00736AF3">
      <w:pPr>
        <w:pStyle w:val="TMGTableCaption"/>
      </w:pPr>
      <w:bookmarkStart w:id="3216" w:name="_Ref113279070"/>
      <w:bookmarkStart w:id="3217" w:name="_Toc113282537"/>
      <w:bookmarkStart w:id="3218" w:name="_Toc114474874"/>
      <w:bookmarkStart w:id="3219" w:name="_Toc120631180"/>
      <w:r>
        <w:lastRenderedPageBreak/>
        <w:t xml:space="preserve">Table </w:t>
      </w:r>
      <w:fldSimple w:instr=" STYLEREF 1 \s ">
        <w:r w:rsidR="00C07DF9">
          <w:rPr>
            <w:noProof/>
          </w:rPr>
          <w:t>4</w:t>
        </w:r>
      </w:fldSimple>
      <w:r>
        <w:noBreakHyphen/>
      </w:r>
      <w:fldSimple w:instr=" SEQ Table \* ARABIC \s 1 ">
        <w:r w:rsidR="00C07DF9">
          <w:rPr>
            <w:noProof/>
          </w:rPr>
          <w:t>32</w:t>
        </w:r>
      </w:fldSimple>
      <w:bookmarkEnd w:id="3216"/>
      <w:r>
        <w:t>. Individual Vehicle Record (Weight</w:t>
      </w:r>
      <w:r w:rsidRPr="00135D36">
        <w:t xml:space="preserve"> Site</w:t>
      </w:r>
      <w:r>
        <w:t>) Example</w:t>
      </w:r>
      <w:r w:rsidRPr="00135D36">
        <w:t xml:space="preserve"> </w:t>
      </w:r>
      <w:r w:rsidRPr="00477BEA">
        <w:t>(West</w:t>
      </w:r>
      <w:r>
        <w:t>b</w:t>
      </w:r>
      <w:r w:rsidRPr="00477BEA">
        <w:t xml:space="preserve">ound Lane 3) </w:t>
      </w:r>
      <w:r>
        <w:t>–</w:t>
      </w:r>
      <w:r w:rsidR="00BF0D1E">
        <w:br/>
      </w:r>
      <w:r>
        <w:t>Fixed-Width Fo</w:t>
      </w:r>
      <w:r w:rsidRPr="00477BEA">
        <w:t>rmat</w:t>
      </w:r>
      <w:bookmarkEnd w:id="3217"/>
      <w:bookmarkEnd w:id="3218"/>
      <w:bookmarkEnd w:id="3219"/>
    </w:p>
    <w:tbl>
      <w:tblPr>
        <w:tblStyle w:val="TMGTable"/>
        <w:tblW w:w="13135"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1165"/>
        <w:gridCol w:w="585"/>
        <w:gridCol w:w="585"/>
        <w:gridCol w:w="1080"/>
        <w:gridCol w:w="540"/>
        <w:gridCol w:w="540"/>
        <w:gridCol w:w="630"/>
        <w:gridCol w:w="630"/>
        <w:gridCol w:w="630"/>
        <w:gridCol w:w="630"/>
        <w:gridCol w:w="630"/>
        <w:gridCol w:w="630"/>
        <w:gridCol w:w="630"/>
        <w:gridCol w:w="450"/>
        <w:gridCol w:w="630"/>
        <w:gridCol w:w="630"/>
        <w:gridCol w:w="630"/>
        <w:gridCol w:w="630"/>
        <w:gridCol w:w="630"/>
        <w:gridCol w:w="630"/>
      </w:tblGrid>
      <w:tr w:rsidR="00EA31BC" w:rsidRPr="00D4282A" w14:paraId="6AA5EE3B" w14:textId="77777777" w:rsidTr="00E1261E">
        <w:trPr>
          <w:cnfStyle w:val="100000000000" w:firstRow="1" w:lastRow="0" w:firstColumn="0" w:lastColumn="0" w:oddVBand="0" w:evenVBand="0" w:oddHBand="0" w:evenHBand="0" w:firstRowFirstColumn="0" w:firstRowLastColumn="0" w:lastRowFirstColumn="0" w:lastRowLastColumn="0"/>
          <w:trHeight w:val="60"/>
        </w:trPr>
        <w:tc>
          <w:tcPr>
            <w:tcW w:w="1165" w:type="dxa"/>
          </w:tcPr>
          <w:p w14:paraId="4E815282" w14:textId="77777777" w:rsidR="009B7AED" w:rsidRPr="00D4282A" w:rsidRDefault="009B7AED" w:rsidP="00D4282A">
            <w:pPr>
              <w:pStyle w:val="TableTextDense"/>
              <w:spacing w:before="10" w:after="10" w:line="240" w:lineRule="auto"/>
              <w:contextualSpacing w:val="0"/>
              <w:rPr>
                <w:rFonts w:asciiTheme="minorHAnsi" w:hAnsiTheme="minorHAnsi" w:cstheme="minorHAnsi"/>
                <w:b w:val="0"/>
                <w:bCs w:val="0"/>
                <w:sz w:val="20"/>
                <w:szCs w:val="20"/>
              </w:rPr>
            </w:pPr>
            <w:r w:rsidRPr="00D4282A">
              <w:rPr>
                <w:rFonts w:asciiTheme="minorHAnsi" w:hAnsiTheme="minorHAnsi" w:cstheme="minorHAnsi"/>
                <w:sz w:val="20"/>
                <w:szCs w:val="20"/>
              </w:rPr>
              <w:t>Column Number:</w:t>
            </w:r>
          </w:p>
        </w:tc>
        <w:tc>
          <w:tcPr>
            <w:tcW w:w="585" w:type="dxa"/>
          </w:tcPr>
          <w:p w14:paraId="524732D9"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b w:val="0"/>
                <w:bCs w:val="0"/>
                <w:sz w:val="20"/>
                <w:szCs w:val="20"/>
              </w:rPr>
            </w:pPr>
            <w:r w:rsidRPr="00D4282A">
              <w:rPr>
                <w:rFonts w:asciiTheme="minorHAnsi" w:hAnsiTheme="minorHAnsi" w:cstheme="minorHAnsi"/>
                <w:sz w:val="20"/>
                <w:szCs w:val="20"/>
              </w:rPr>
              <w:t>1</w:t>
            </w:r>
          </w:p>
        </w:tc>
        <w:tc>
          <w:tcPr>
            <w:tcW w:w="585" w:type="dxa"/>
          </w:tcPr>
          <w:p w14:paraId="10767EB5"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b w:val="0"/>
                <w:sz w:val="20"/>
                <w:szCs w:val="20"/>
              </w:rPr>
            </w:pPr>
            <w:r w:rsidRPr="00D4282A">
              <w:rPr>
                <w:rFonts w:asciiTheme="minorHAnsi" w:hAnsiTheme="minorHAnsi" w:cstheme="minorHAnsi"/>
                <w:sz w:val="20"/>
                <w:szCs w:val="20"/>
              </w:rPr>
              <w:t>2-3</w:t>
            </w:r>
          </w:p>
        </w:tc>
        <w:tc>
          <w:tcPr>
            <w:tcW w:w="1080" w:type="dxa"/>
          </w:tcPr>
          <w:p w14:paraId="2CE7B15C"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b w:val="0"/>
                <w:sz w:val="20"/>
                <w:szCs w:val="20"/>
              </w:rPr>
            </w:pPr>
            <w:r w:rsidRPr="00D4282A">
              <w:rPr>
                <w:rFonts w:asciiTheme="minorHAnsi" w:hAnsiTheme="minorHAnsi" w:cstheme="minorHAnsi"/>
                <w:sz w:val="20"/>
                <w:szCs w:val="20"/>
              </w:rPr>
              <w:t>4-9</w:t>
            </w:r>
          </w:p>
        </w:tc>
        <w:tc>
          <w:tcPr>
            <w:tcW w:w="540" w:type="dxa"/>
          </w:tcPr>
          <w:p w14:paraId="4F8BD476"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b w:val="0"/>
                <w:sz w:val="20"/>
                <w:szCs w:val="20"/>
              </w:rPr>
            </w:pPr>
            <w:r w:rsidRPr="00D4282A">
              <w:rPr>
                <w:rFonts w:asciiTheme="minorHAnsi" w:hAnsiTheme="minorHAnsi" w:cstheme="minorHAnsi"/>
                <w:sz w:val="20"/>
                <w:szCs w:val="20"/>
              </w:rPr>
              <w:t>10</w:t>
            </w:r>
          </w:p>
        </w:tc>
        <w:tc>
          <w:tcPr>
            <w:tcW w:w="540" w:type="dxa"/>
          </w:tcPr>
          <w:p w14:paraId="42629BFE"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b w:val="0"/>
                <w:sz w:val="20"/>
                <w:szCs w:val="20"/>
              </w:rPr>
            </w:pPr>
            <w:r w:rsidRPr="00D4282A">
              <w:rPr>
                <w:rFonts w:asciiTheme="minorHAnsi" w:hAnsiTheme="minorHAnsi" w:cstheme="minorHAnsi"/>
                <w:sz w:val="20"/>
                <w:szCs w:val="20"/>
              </w:rPr>
              <w:t>11</w:t>
            </w:r>
          </w:p>
        </w:tc>
        <w:tc>
          <w:tcPr>
            <w:tcW w:w="630" w:type="dxa"/>
          </w:tcPr>
          <w:p w14:paraId="5C07330B"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b w:val="0"/>
                <w:sz w:val="20"/>
                <w:szCs w:val="20"/>
              </w:rPr>
            </w:pPr>
            <w:r w:rsidRPr="00D4282A">
              <w:rPr>
                <w:rFonts w:asciiTheme="minorHAnsi" w:hAnsiTheme="minorHAnsi" w:cstheme="minorHAnsi"/>
                <w:sz w:val="20"/>
                <w:szCs w:val="20"/>
              </w:rPr>
              <w:t>12-15</w:t>
            </w:r>
          </w:p>
        </w:tc>
        <w:tc>
          <w:tcPr>
            <w:tcW w:w="630" w:type="dxa"/>
          </w:tcPr>
          <w:p w14:paraId="1B3E09AF"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b w:val="0"/>
                <w:sz w:val="20"/>
                <w:szCs w:val="20"/>
              </w:rPr>
            </w:pPr>
            <w:r w:rsidRPr="00D4282A">
              <w:rPr>
                <w:rFonts w:asciiTheme="minorHAnsi" w:hAnsiTheme="minorHAnsi" w:cstheme="minorHAnsi"/>
                <w:sz w:val="20"/>
                <w:szCs w:val="20"/>
              </w:rPr>
              <w:t>16-17</w:t>
            </w:r>
          </w:p>
        </w:tc>
        <w:tc>
          <w:tcPr>
            <w:tcW w:w="630" w:type="dxa"/>
          </w:tcPr>
          <w:p w14:paraId="36064C80"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b w:val="0"/>
                <w:sz w:val="20"/>
                <w:szCs w:val="20"/>
              </w:rPr>
            </w:pPr>
            <w:r w:rsidRPr="00D4282A">
              <w:rPr>
                <w:rFonts w:asciiTheme="minorHAnsi" w:hAnsiTheme="minorHAnsi" w:cstheme="minorHAnsi"/>
                <w:sz w:val="20"/>
                <w:szCs w:val="20"/>
              </w:rPr>
              <w:t>18-19</w:t>
            </w:r>
          </w:p>
        </w:tc>
        <w:tc>
          <w:tcPr>
            <w:tcW w:w="630" w:type="dxa"/>
          </w:tcPr>
          <w:p w14:paraId="2AB1A0BE"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b w:val="0"/>
                <w:sz w:val="20"/>
                <w:szCs w:val="20"/>
              </w:rPr>
            </w:pPr>
            <w:r w:rsidRPr="00D4282A">
              <w:rPr>
                <w:rFonts w:asciiTheme="minorHAnsi" w:hAnsiTheme="minorHAnsi" w:cstheme="minorHAnsi"/>
                <w:sz w:val="20"/>
                <w:szCs w:val="20"/>
              </w:rPr>
              <w:t>20-21</w:t>
            </w:r>
          </w:p>
        </w:tc>
        <w:tc>
          <w:tcPr>
            <w:tcW w:w="630" w:type="dxa"/>
          </w:tcPr>
          <w:p w14:paraId="7B70757B"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b w:val="0"/>
                <w:sz w:val="20"/>
                <w:szCs w:val="20"/>
              </w:rPr>
            </w:pPr>
            <w:r w:rsidRPr="00D4282A">
              <w:rPr>
                <w:rFonts w:asciiTheme="minorHAnsi" w:hAnsiTheme="minorHAnsi" w:cstheme="minorHAnsi"/>
                <w:sz w:val="20"/>
                <w:szCs w:val="20"/>
              </w:rPr>
              <w:t>22-23</w:t>
            </w:r>
          </w:p>
        </w:tc>
        <w:tc>
          <w:tcPr>
            <w:tcW w:w="630" w:type="dxa"/>
          </w:tcPr>
          <w:p w14:paraId="2457F56F"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b w:val="0"/>
                <w:sz w:val="20"/>
                <w:szCs w:val="20"/>
              </w:rPr>
            </w:pPr>
            <w:r w:rsidRPr="00D4282A">
              <w:rPr>
                <w:rFonts w:asciiTheme="minorHAnsi" w:hAnsiTheme="minorHAnsi" w:cstheme="minorHAnsi"/>
                <w:sz w:val="20"/>
                <w:szCs w:val="20"/>
              </w:rPr>
              <w:t>24-25</w:t>
            </w:r>
          </w:p>
        </w:tc>
        <w:tc>
          <w:tcPr>
            <w:tcW w:w="630" w:type="dxa"/>
          </w:tcPr>
          <w:p w14:paraId="5D6F5FA4"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b w:val="0"/>
                <w:sz w:val="20"/>
                <w:szCs w:val="20"/>
              </w:rPr>
            </w:pPr>
            <w:r w:rsidRPr="00D4282A">
              <w:rPr>
                <w:rFonts w:asciiTheme="minorHAnsi" w:hAnsiTheme="minorHAnsi" w:cstheme="minorHAnsi"/>
                <w:sz w:val="20"/>
                <w:szCs w:val="20"/>
              </w:rPr>
              <w:t>26-27</w:t>
            </w:r>
          </w:p>
        </w:tc>
        <w:tc>
          <w:tcPr>
            <w:tcW w:w="450" w:type="dxa"/>
          </w:tcPr>
          <w:p w14:paraId="14B4F8E3"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b w:val="0"/>
                <w:sz w:val="20"/>
                <w:szCs w:val="20"/>
              </w:rPr>
            </w:pPr>
            <w:r w:rsidRPr="00D4282A">
              <w:rPr>
                <w:rFonts w:asciiTheme="minorHAnsi" w:hAnsiTheme="minorHAnsi" w:cstheme="minorHAnsi"/>
                <w:sz w:val="20"/>
                <w:szCs w:val="20"/>
              </w:rPr>
              <w:t>28</w:t>
            </w:r>
          </w:p>
        </w:tc>
        <w:tc>
          <w:tcPr>
            <w:tcW w:w="630" w:type="dxa"/>
          </w:tcPr>
          <w:p w14:paraId="7DBCDBED"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b w:val="0"/>
                <w:sz w:val="20"/>
                <w:szCs w:val="20"/>
              </w:rPr>
            </w:pPr>
            <w:r w:rsidRPr="00D4282A">
              <w:rPr>
                <w:rFonts w:asciiTheme="minorHAnsi" w:hAnsiTheme="minorHAnsi" w:cstheme="minorHAnsi"/>
                <w:sz w:val="20"/>
                <w:szCs w:val="20"/>
              </w:rPr>
              <w:t>29-33</w:t>
            </w:r>
          </w:p>
        </w:tc>
        <w:tc>
          <w:tcPr>
            <w:tcW w:w="630" w:type="dxa"/>
          </w:tcPr>
          <w:p w14:paraId="514E0D88"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b w:val="0"/>
                <w:sz w:val="20"/>
                <w:szCs w:val="20"/>
              </w:rPr>
            </w:pPr>
            <w:r w:rsidRPr="00D4282A">
              <w:rPr>
                <w:rFonts w:asciiTheme="minorHAnsi" w:hAnsiTheme="minorHAnsi" w:cstheme="minorHAnsi"/>
                <w:sz w:val="20"/>
                <w:szCs w:val="20"/>
              </w:rPr>
              <w:t>34-37</w:t>
            </w:r>
          </w:p>
        </w:tc>
        <w:tc>
          <w:tcPr>
            <w:tcW w:w="630" w:type="dxa"/>
          </w:tcPr>
          <w:p w14:paraId="3A69ECC1"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b w:val="0"/>
                <w:sz w:val="20"/>
                <w:szCs w:val="20"/>
              </w:rPr>
            </w:pPr>
            <w:r w:rsidRPr="00D4282A">
              <w:rPr>
                <w:rFonts w:asciiTheme="minorHAnsi" w:hAnsiTheme="minorHAnsi" w:cstheme="minorHAnsi"/>
                <w:sz w:val="20"/>
                <w:szCs w:val="20"/>
              </w:rPr>
              <w:t>38-39</w:t>
            </w:r>
          </w:p>
        </w:tc>
        <w:tc>
          <w:tcPr>
            <w:tcW w:w="630" w:type="dxa"/>
          </w:tcPr>
          <w:p w14:paraId="0CAC737F"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b w:val="0"/>
                <w:sz w:val="20"/>
                <w:szCs w:val="20"/>
              </w:rPr>
            </w:pPr>
            <w:r w:rsidRPr="00D4282A">
              <w:rPr>
                <w:rFonts w:asciiTheme="minorHAnsi" w:hAnsiTheme="minorHAnsi" w:cstheme="minorHAnsi"/>
                <w:sz w:val="20"/>
                <w:szCs w:val="20"/>
              </w:rPr>
              <w:t>40-41</w:t>
            </w:r>
          </w:p>
        </w:tc>
        <w:tc>
          <w:tcPr>
            <w:tcW w:w="630" w:type="dxa"/>
          </w:tcPr>
          <w:p w14:paraId="4ED77846"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b w:val="0"/>
                <w:sz w:val="20"/>
                <w:szCs w:val="20"/>
              </w:rPr>
            </w:pPr>
            <w:r w:rsidRPr="00D4282A">
              <w:rPr>
                <w:rFonts w:asciiTheme="minorHAnsi" w:hAnsiTheme="minorHAnsi" w:cstheme="minorHAnsi"/>
                <w:sz w:val="20"/>
                <w:szCs w:val="20"/>
              </w:rPr>
              <w:t>42-45</w:t>
            </w:r>
          </w:p>
        </w:tc>
        <w:tc>
          <w:tcPr>
            <w:tcW w:w="630" w:type="dxa"/>
          </w:tcPr>
          <w:p w14:paraId="3B2DE48E"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b w:val="0"/>
                <w:sz w:val="20"/>
                <w:szCs w:val="20"/>
              </w:rPr>
            </w:pPr>
            <w:r w:rsidRPr="00D4282A">
              <w:rPr>
                <w:rFonts w:asciiTheme="minorHAnsi" w:hAnsiTheme="minorHAnsi" w:cstheme="minorHAnsi"/>
                <w:sz w:val="20"/>
                <w:szCs w:val="20"/>
              </w:rPr>
              <w:t>46-48</w:t>
            </w:r>
          </w:p>
        </w:tc>
      </w:tr>
      <w:tr w:rsidR="00EA31BC" w:rsidRPr="00D4282A" w14:paraId="199FD4A0" w14:textId="77777777" w:rsidTr="00E1261E">
        <w:trPr>
          <w:trHeight w:val="295"/>
        </w:trPr>
        <w:tc>
          <w:tcPr>
            <w:tcW w:w="1165" w:type="dxa"/>
          </w:tcPr>
          <w:p w14:paraId="7AB134AE" w14:textId="77777777" w:rsidR="009B7AED" w:rsidRPr="00D4282A" w:rsidRDefault="009B7AED" w:rsidP="00D4282A">
            <w:pPr>
              <w:pStyle w:val="TableTextDense"/>
              <w:spacing w:before="10" w:after="10" w:line="240" w:lineRule="auto"/>
              <w:contextualSpacing w:val="0"/>
              <w:rPr>
                <w:rFonts w:asciiTheme="minorHAnsi" w:hAnsiTheme="minorHAnsi" w:cstheme="minorHAnsi"/>
                <w:sz w:val="20"/>
                <w:szCs w:val="20"/>
              </w:rPr>
            </w:pPr>
            <w:r w:rsidRPr="00D4282A">
              <w:rPr>
                <w:rStyle w:val="Bold"/>
                <w:rFonts w:asciiTheme="minorHAnsi" w:hAnsiTheme="minorHAnsi" w:cstheme="minorHAnsi"/>
                <w:sz w:val="20"/>
                <w:szCs w:val="20"/>
              </w:rPr>
              <w:t>Content 01 Example:</w:t>
            </w:r>
          </w:p>
        </w:tc>
        <w:tc>
          <w:tcPr>
            <w:tcW w:w="585" w:type="dxa"/>
          </w:tcPr>
          <w:p w14:paraId="7B3F02F3"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I</w:t>
            </w:r>
          </w:p>
        </w:tc>
        <w:tc>
          <w:tcPr>
            <w:tcW w:w="585" w:type="dxa"/>
          </w:tcPr>
          <w:p w14:paraId="3B611B57"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17</w:t>
            </w:r>
          </w:p>
        </w:tc>
        <w:tc>
          <w:tcPr>
            <w:tcW w:w="1080" w:type="dxa"/>
          </w:tcPr>
          <w:p w14:paraId="1762A436"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018119</w:t>
            </w:r>
          </w:p>
        </w:tc>
        <w:tc>
          <w:tcPr>
            <w:tcW w:w="540" w:type="dxa"/>
          </w:tcPr>
          <w:p w14:paraId="3E4269A9"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7</w:t>
            </w:r>
          </w:p>
        </w:tc>
        <w:tc>
          <w:tcPr>
            <w:tcW w:w="540" w:type="dxa"/>
          </w:tcPr>
          <w:p w14:paraId="14DC3B29"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3</w:t>
            </w:r>
          </w:p>
        </w:tc>
        <w:tc>
          <w:tcPr>
            <w:tcW w:w="630" w:type="dxa"/>
          </w:tcPr>
          <w:p w14:paraId="5FD6414D"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2012</w:t>
            </w:r>
          </w:p>
        </w:tc>
        <w:tc>
          <w:tcPr>
            <w:tcW w:w="630" w:type="dxa"/>
          </w:tcPr>
          <w:p w14:paraId="399403A9"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11</w:t>
            </w:r>
          </w:p>
        </w:tc>
        <w:tc>
          <w:tcPr>
            <w:tcW w:w="630" w:type="dxa"/>
          </w:tcPr>
          <w:p w14:paraId="7E5D3851"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07</w:t>
            </w:r>
          </w:p>
        </w:tc>
        <w:tc>
          <w:tcPr>
            <w:tcW w:w="630" w:type="dxa"/>
          </w:tcPr>
          <w:p w14:paraId="59467808"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05</w:t>
            </w:r>
          </w:p>
        </w:tc>
        <w:tc>
          <w:tcPr>
            <w:tcW w:w="630" w:type="dxa"/>
          </w:tcPr>
          <w:p w14:paraId="7F77A770"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12</w:t>
            </w:r>
          </w:p>
        </w:tc>
        <w:tc>
          <w:tcPr>
            <w:tcW w:w="630" w:type="dxa"/>
          </w:tcPr>
          <w:p w14:paraId="2C5F8068"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34</w:t>
            </w:r>
          </w:p>
        </w:tc>
        <w:tc>
          <w:tcPr>
            <w:tcW w:w="630" w:type="dxa"/>
          </w:tcPr>
          <w:p w14:paraId="66CDCE0D"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72</w:t>
            </w:r>
          </w:p>
        </w:tc>
        <w:tc>
          <w:tcPr>
            <w:tcW w:w="450" w:type="dxa"/>
          </w:tcPr>
          <w:p w14:paraId="0066B260"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W</w:t>
            </w:r>
          </w:p>
        </w:tc>
        <w:tc>
          <w:tcPr>
            <w:tcW w:w="630" w:type="dxa"/>
          </w:tcPr>
          <w:p w14:paraId="7ED5C4B1"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Blank</w:t>
            </w:r>
          </w:p>
        </w:tc>
        <w:tc>
          <w:tcPr>
            <w:tcW w:w="630" w:type="dxa"/>
          </w:tcPr>
          <w:p w14:paraId="69E7C6DE"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0551</w:t>
            </w:r>
          </w:p>
        </w:tc>
        <w:tc>
          <w:tcPr>
            <w:tcW w:w="630" w:type="dxa"/>
          </w:tcPr>
          <w:p w14:paraId="7BC51194"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03</w:t>
            </w:r>
          </w:p>
        </w:tc>
        <w:tc>
          <w:tcPr>
            <w:tcW w:w="630" w:type="dxa"/>
          </w:tcPr>
          <w:p w14:paraId="52406049"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02</w:t>
            </w:r>
          </w:p>
        </w:tc>
        <w:tc>
          <w:tcPr>
            <w:tcW w:w="630" w:type="dxa"/>
          </w:tcPr>
          <w:p w14:paraId="0ABAC4BD"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0174</w:t>
            </w:r>
          </w:p>
        </w:tc>
        <w:tc>
          <w:tcPr>
            <w:tcW w:w="630" w:type="dxa"/>
          </w:tcPr>
          <w:p w14:paraId="3A1A2F92"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065</w:t>
            </w:r>
          </w:p>
        </w:tc>
      </w:tr>
      <w:tr w:rsidR="00EA31BC" w:rsidRPr="00D4282A" w14:paraId="00197E89" w14:textId="77777777" w:rsidTr="00E1261E">
        <w:trPr>
          <w:trHeight w:val="60"/>
        </w:trPr>
        <w:tc>
          <w:tcPr>
            <w:tcW w:w="1165" w:type="dxa"/>
          </w:tcPr>
          <w:p w14:paraId="23ACB6C6" w14:textId="77777777" w:rsidR="009B7AED" w:rsidRPr="00D4282A" w:rsidRDefault="009B7AED" w:rsidP="00D4282A">
            <w:pPr>
              <w:pStyle w:val="TableTextDense"/>
              <w:spacing w:before="10" w:after="10" w:line="240" w:lineRule="auto"/>
              <w:contextualSpacing w:val="0"/>
              <w:rPr>
                <w:rFonts w:asciiTheme="minorHAnsi" w:hAnsiTheme="minorHAnsi" w:cstheme="minorHAnsi"/>
                <w:sz w:val="20"/>
                <w:szCs w:val="20"/>
              </w:rPr>
            </w:pPr>
            <w:r w:rsidRPr="00D4282A">
              <w:rPr>
                <w:rStyle w:val="Bold"/>
                <w:rFonts w:asciiTheme="minorHAnsi" w:hAnsiTheme="minorHAnsi" w:cstheme="minorHAnsi"/>
                <w:sz w:val="20"/>
                <w:szCs w:val="20"/>
              </w:rPr>
              <w:t>Content 02 Example:</w:t>
            </w:r>
          </w:p>
        </w:tc>
        <w:tc>
          <w:tcPr>
            <w:tcW w:w="585" w:type="dxa"/>
          </w:tcPr>
          <w:p w14:paraId="33EC89B2"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I</w:t>
            </w:r>
          </w:p>
        </w:tc>
        <w:tc>
          <w:tcPr>
            <w:tcW w:w="585" w:type="dxa"/>
          </w:tcPr>
          <w:p w14:paraId="146B3B3F"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17</w:t>
            </w:r>
          </w:p>
        </w:tc>
        <w:tc>
          <w:tcPr>
            <w:tcW w:w="1080" w:type="dxa"/>
          </w:tcPr>
          <w:p w14:paraId="70CCA199"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018119</w:t>
            </w:r>
          </w:p>
        </w:tc>
        <w:tc>
          <w:tcPr>
            <w:tcW w:w="540" w:type="dxa"/>
          </w:tcPr>
          <w:p w14:paraId="75604FE2"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7</w:t>
            </w:r>
          </w:p>
        </w:tc>
        <w:tc>
          <w:tcPr>
            <w:tcW w:w="540" w:type="dxa"/>
          </w:tcPr>
          <w:p w14:paraId="0AE5811F"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3</w:t>
            </w:r>
          </w:p>
        </w:tc>
        <w:tc>
          <w:tcPr>
            <w:tcW w:w="630" w:type="dxa"/>
          </w:tcPr>
          <w:p w14:paraId="21974B05"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2012</w:t>
            </w:r>
          </w:p>
        </w:tc>
        <w:tc>
          <w:tcPr>
            <w:tcW w:w="630" w:type="dxa"/>
          </w:tcPr>
          <w:p w14:paraId="4425C09B"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11</w:t>
            </w:r>
          </w:p>
        </w:tc>
        <w:tc>
          <w:tcPr>
            <w:tcW w:w="630" w:type="dxa"/>
          </w:tcPr>
          <w:p w14:paraId="775AC037"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07</w:t>
            </w:r>
          </w:p>
        </w:tc>
        <w:tc>
          <w:tcPr>
            <w:tcW w:w="630" w:type="dxa"/>
          </w:tcPr>
          <w:p w14:paraId="6F8CE9E0"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05</w:t>
            </w:r>
          </w:p>
        </w:tc>
        <w:tc>
          <w:tcPr>
            <w:tcW w:w="630" w:type="dxa"/>
          </w:tcPr>
          <w:p w14:paraId="0BF525CC"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12</w:t>
            </w:r>
          </w:p>
        </w:tc>
        <w:tc>
          <w:tcPr>
            <w:tcW w:w="630" w:type="dxa"/>
          </w:tcPr>
          <w:p w14:paraId="56B7BA7B"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38</w:t>
            </w:r>
          </w:p>
        </w:tc>
        <w:tc>
          <w:tcPr>
            <w:tcW w:w="630" w:type="dxa"/>
          </w:tcPr>
          <w:p w14:paraId="6179E370"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21</w:t>
            </w:r>
          </w:p>
        </w:tc>
        <w:tc>
          <w:tcPr>
            <w:tcW w:w="450" w:type="dxa"/>
          </w:tcPr>
          <w:p w14:paraId="1C1728F7"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W</w:t>
            </w:r>
          </w:p>
        </w:tc>
        <w:tc>
          <w:tcPr>
            <w:tcW w:w="630" w:type="dxa"/>
          </w:tcPr>
          <w:p w14:paraId="3F8B4713"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Blank</w:t>
            </w:r>
          </w:p>
        </w:tc>
        <w:tc>
          <w:tcPr>
            <w:tcW w:w="630" w:type="dxa"/>
          </w:tcPr>
          <w:p w14:paraId="5D327858"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0572</w:t>
            </w:r>
          </w:p>
        </w:tc>
        <w:tc>
          <w:tcPr>
            <w:tcW w:w="630" w:type="dxa"/>
          </w:tcPr>
          <w:p w14:paraId="743FBD01"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05</w:t>
            </w:r>
          </w:p>
        </w:tc>
        <w:tc>
          <w:tcPr>
            <w:tcW w:w="630" w:type="dxa"/>
          </w:tcPr>
          <w:p w14:paraId="4C42C4ED"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02</w:t>
            </w:r>
          </w:p>
        </w:tc>
        <w:tc>
          <w:tcPr>
            <w:tcW w:w="630" w:type="dxa"/>
          </w:tcPr>
          <w:p w14:paraId="388991CA"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0211</w:t>
            </w:r>
          </w:p>
        </w:tc>
        <w:tc>
          <w:tcPr>
            <w:tcW w:w="630" w:type="dxa"/>
          </w:tcPr>
          <w:p w14:paraId="10AAB61F"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064</w:t>
            </w:r>
          </w:p>
        </w:tc>
      </w:tr>
      <w:tr w:rsidR="00EA31BC" w:rsidRPr="00D4282A" w14:paraId="055F3DCC" w14:textId="77777777" w:rsidTr="00E1261E">
        <w:trPr>
          <w:trHeight w:val="60"/>
        </w:trPr>
        <w:tc>
          <w:tcPr>
            <w:tcW w:w="1165" w:type="dxa"/>
          </w:tcPr>
          <w:p w14:paraId="6D17F4E1" w14:textId="77777777" w:rsidR="009B7AED" w:rsidRPr="00D4282A" w:rsidRDefault="009B7AED" w:rsidP="00D4282A">
            <w:pPr>
              <w:pStyle w:val="TableTextDense"/>
              <w:spacing w:before="10" w:after="10" w:line="240" w:lineRule="auto"/>
              <w:contextualSpacing w:val="0"/>
              <w:rPr>
                <w:rFonts w:asciiTheme="minorHAnsi" w:hAnsiTheme="minorHAnsi" w:cstheme="minorHAnsi"/>
                <w:sz w:val="20"/>
                <w:szCs w:val="20"/>
              </w:rPr>
            </w:pPr>
            <w:r w:rsidRPr="00D4282A">
              <w:rPr>
                <w:rStyle w:val="Bold"/>
                <w:rFonts w:asciiTheme="minorHAnsi" w:hAnsiTheme="minorHAnsi" w:cstheme="minorHAnsi"/>
                <w:sz w:val="20"/>
                <w:szCs w:val="20"/>
              </w:rPr>
              <w:t>Content 03 Example:</w:t>
            </w:r>
          </w:p>
        </w:tc>
        <w:tc>
          <w:tcPr>
            <w:tcW w:w="585" w:type="dxa"/>
          </w:tcPr>
          <w:p w14:paraId="4B1A54E6"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I</w:t>
            </w:r>
          </w:p>
        </w:tc>
        <w:tc>
          <w:tcPr>
            <w:tcW w:w="585" w:type="dxa"/>
          </w:tcPr>
          <w:p w14:paraId="4C37D817"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17</w:t>
            </w:r>
          </w:p>
        </w:tc>
        <w:tc>
          <w:tcPr>
            <w:tcW w:w="1080" w:type="dxa"/>
          </w:tcPr>
          <w:p w14:paraId="1569D0B6"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018119</w:t>
            </w:r>
          </w:p>
        </w:tc>
        <w:tc>
          <w:tcPr>
            <w:tcW w:w="540" w:type="dxa"/>
          </w:tcPr>
          <w:p w14:paraId="17788E3E"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7</w:t>
            </w:r>
          </w:p>
        </w:tc>
        <w:tc>
          <w:tcPr>
            <w:tcW w:w="540" w:type="dxa"/>
          </w:tcPr>
          <w:p w14:paraId="06F595E0"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3</w:t>
            </w:r>
          </w:p>
        </w:tc>
        <w:tc>
          <w:tcPr>
            <w:tcW w:w="630" w:type="dxa"/>
          </w:tcPr>
          <w:p w14:paraId="16837271"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2012</w:t>
            </w:r>
          </w:p>
        </w:tc>
        <w:tc>
          <w:tcPr>
            <w:tcW w:w="630" w:type="dxa"/>
          </w:tcPr>
          <w:p w14:paraId="4BCA1824"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11</w:t>
            </w:r>
          </w:p>
        </w:tc>
        <w:tc>
          <w:tcPr>
            <w:tcW w:w="630" w:type="dxa"/>
          </w:tcPr>
          <w:p w14:paraId="230CF4AC"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07</w:t>
            </w:r>
          </w:p>
        </w:tc>
        <w:tc>
          <w:tcPr>
            <w:tcW w:w="630" w:type="dxa"/>
          </w:tcPr>
          <w:p w14:paraId="43132AEC"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95</w:t>
            </w:r>
          </w:p>
        </w:tc>
        <w:tc>
          <w:tcPr>
            <w:tcW w:w="630" w:type="dxa"/>
          </w:tcPr>
          <w:p w14:paraId="516281AA"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12</w:t>
            </w:r>
          </w:p>
        </w:tc>
        <w:tc>
          <w:tcPr>
            <w:tcW w:w="630" w:type="dxa"/>
          </w:tcPr>
          <w:p w14:paraId="4B15401B"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43</w:t>
            </w:r>
          </w:p>
        </w:tc>
        <w:tc>
          <w:tcPr>
            <w:tcW w:w="630" w:type="dxa"/>
          </w:tcPr>
          <w:p w14:paraId="0949347D"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78</w:t>
            </w:r>
          </w:p>
        </w:tc>
        <w:tc>
          <w:tcPr>
            <w:tcW w:w="450" w:type="dxa"/>
          </w:tcPr>
          <w:p w14:paraId="586F495E"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W</w:t>
            </w:r>
          </w:p>
        </w:tc>
        <w:tc>
          <w:tcPr>
            <w:tcW w:w="630" w:type="dxa"/>
          </w:tcPr>
          <w:p w14:paraId="405E9090"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Blank</w:t>
            </w:r>
          </w:p>
        </w:tc>
        <w:tc>
          <w:tcPr>
            <w:tcW w:w="630" w:type="dxa"/>
          </w:tcPr>
          <w:p w14:paraId="06DCAFFE"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0560</w:t>
            </w:r>
          </w:p>
        </w:tc>
        <w:tc>
          <w:tcPr>
            <w:tcW w:w="630" w:type="dxa"/>
          </w:tcPr>
          <w:p w14:paraId="5B586848"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09</w:t>
            </w:r>
          </w:p>
        </w:tc>
        <w:tc>
          <w:tcPr>
            <w:tcW w:w="630" w:type="dxa"/>
          </w:tcPr>
          <w:p w14:paraId="69A57728"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05</w:t>
            </w:r>
          </w:p>
        </w:tc>
        <w:tc>
          <w:tcPr>
            <w:tcW w:w="630" w:type="dxa"/>
          </w:tcPr>
          <w:p w14:paraId="0BD9340B"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0753</w:t>
            </w:r>
          </w:p>
        </w:tc>
        <w:tc>
          <w:tcPr>
            <w:tcW w:w="630" w:type="dxa"/>
          </w:tcPr>
          <w:p w14:paraId="26AE3CCD" w14:textId="77777777" w:rsidR="009B7AED" w:rsidRPr="00D4282A"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D4282A">
              <w:rPr>
                <w:rFonts w:asciiTheme="minorHAnsi" w:hAnsiTheme="minorHAnsi" w:cstheme="minorHAnsi"/>
                <w:sz w:val="20"/>
                <w:szCs w:val="20"/>
              </w:rPr>
              <w:t>064</w:t>
            </w:r>
          </w:p>
        </w:tc>
      </w:tr>
    </w:tbl>
    <w:p w14:paraId="31D26CDD" w14:textId="77777777" w:rsidR="009B7AED" w:rsidRPr="00EA31BC" w:rsidRDefault="009B7AED" w:rsidP="00EA31BC">
      <w:pPr>
        <w:spacing w:before="120" w:after="120"/>
        <w:rPr>
          <w:i/>
          <w:iCs/>
        </w:rPr>
      </w:pPr>
      <w:r w:rsidRPr="00877387">
        <w:rPr>
          <w:i/>
          <w:iCs/>
        </w:rPr>
        <w:t>continued</w:t>
      </w:r>
    </w:p>
    <w:tbl>
      <w:tblPr>
        <w:tblStyle w:val="TMGTable"/>
        <w:tblW w:w="13135"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1174"/>
        <w:gridCol w:w="797"/>
        <w:gridCol w:w="797"/>
        <w:gridCol w:w="798"/>
        <w:gridCol w:w="797"/>
        <w:gridCol w:w="798"/>
        <w:gridCol w:w="797"/>
        <w:gridCol w:w="797"/>
        <w:gridCol w:w="798"/>
        <w:gridCol w:w="797"/>
        <w:gridCol w:w="798"/>
        <w:gridCol w:w="797"/>
        <w:gridCol w:w="797"/>
        <w:gridCol w:w="798"/>
        <w:gridCol w:w="797"/>
        <w:gridCol w:w="798"/>
      </w:tblGrid>
      <w:tr w:rsidR="009B7AED" w:rsidRPr="00D4282A" w14:paraId="372226F7" w14:textId="77777777" w:rsidTr="00742C62">
        <w:trPr>
          <w:cnfStyle w:val="100000000000" w:firstRow="1" w:lastRow="0" w:firstColumn="0" w:lastColumn="0" w:oddVBand="0" w:evenVBand="0" w:oddHBand="0" w:evenHBand="0" w:firstRowFirstColumn="0" w:firstRowLastColumn="0" w:lastRowFirstColumn="0" w:lastRowLastColumn="0"/>
          <w:trHeight w:val="60"/>
        </w:trPr>
        <w:tc>
          <w:tcPr>
            <w:tcW w:w="1174" w:type="dxa"/>
          </w:tcPr>
          <w:p w14:paraId="70A72523" w14:textId="77777777" w:rsidR="009B7AED" w:rsidRPr="00EA31BC" w:rsidRDefault="009B7AED" w:rsidP="00D4282A">
            <w:pPr>
              <w:pStyle w:val="TableTextDense"/>
              <w:spacing w:before="10" w:after="10" w:line="240" w:lineRule="auto"/>
              <w:contextualSpacing w:val="0"/>
              <w:rPr>
                <w:rFonts w:asciiTheme="minorHAnsi" w:hAnsiTheme="minorHAnsi" w:cstheme="minorHAnsi"/>
                <w:b w:val="0"/>
                <w:bCs w:val="0"/>
                <w:sz w:val="20"/>
                <w:szCs w:val="20"/>
              </w:rPr>
            </w:pPr>
            <w:r w:rsidRPr="00EA31BC">
              <w:rPr>
                <w:rFonts w:asciiTheme="minorHAnsi" w:hAnsiTheme="minorHAnsi" w:cstheme="minorHAnsi"/>
                <w:sz w:val="20"/>
                <w:szCs w:val="20"/>
              </w:rPr>
              <w:t>Column Number:</w:t>
            </w:r>
          </w:p>
        </w:tc>
        <w:tc>
          <w:tcPr>
            <w:tcW w:w="797" w:type="dxa"/>
          </w:tcPr>
          <w:p w14:paraId="57489B29"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b w:val="0"/>
                <w:sz w:val="20"/>
                <w:szCs w:val="20"/>
              </w:rPr>
            </w:pPr>
            <w:r w:rsidRPr="00EA31BC">
              <w:rPr>
                <w:rFonts w:asciiTheme="minorHAnsi" w:hAnsiTheme="minorHAnsi" w:cstheme="minorHAnsi"/>
                <w:sz w:val="20"/>
                <w:szCs w:val="20"/>
              </w:rPr>
              <w:t>49-54</w:t>
            </w:r>
          </w:p>
        </w:tc>
        <w:tc>
          <w:tcPr>
            <w:tcW w:w="797" w:type="dxa"/>
          </w:tcPr>
          <w:p w14:paraId="17756005"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b w:val="0"/>
                <w:sz w:val="20"/>
                <w:szCs w:val="20"/>
              </w:rPr>
            </w:pPr>
            <w:r w:rsidRPr="00EA31BC">
              <w:rPr>
                <w:rFonts w:asciiTheme="minorHAnsi" w:hAnsiTheme="minorHAnsi" w:cstheme="minorHAnsi"/>
                <w:sz w:val="20"/>
                <w:szCs w:val="20"/>
              </w:rPr>
              <w:t>55-59</w:t>
            </w:r>
          </w:p>
        </w:tc>
        <w:tc>
          <w:tcPr>
            <w:tcW w:w="798" w:type="dxa"/>
          </w:tcPr>
          <w:p w14:paraId="0CF1576B"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b w:val="0"/>
                <w:sz w:val="20"/>
                <w:szCs w:val="20"/>
              </w:rPr>
            </w:pPr>
            <w:r w:rsidRPr="00EA31BC">
              <w:rPr>
                <w:rFonts w:asciiTheme="minorHAnsi" w:hAnsiTheme="minorHAnsi" w:cstheme="minorHAnsi"/>
                <w:sz w:val="20"/>
                <w:szCs w:val="20"/>
              </w:rPr>
              <w:t>60-63</w:t>
            </w:r>
          </w:p>
        </w:tc>
        <w:tc>
          <w:tcPr>
            <w:tcW w:w="797" w:type="dxa"/>
          </w:tcPr>
          <w:p w14:paraId="21B34ECF"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b w:val="0"/>
                <w:sz w:val="20"/>
                <w:szCs w:val="20"/>
              </w:rPr>
            </w:pPr>
            <w:r w:rsidRPr="00EA31BC">
              <w:rPr>
                <w:rFonts w:asciiTheme="minorHAnsi" w:hAnsiTheme="minorHAnsi" w:cstheme="minorHAnsi"/>
                <w:sz w:val="20"/>
                <w:szCs w:val="20"/>
              </w:rPr>
              <w:t>64-68</w:t>
            </w:r>
          </w:p>
        </w:tc>
        <w:tc>
          <w:tcPr>
            <w:tcW w:w="798" w:type="dxa"/>
          </w:tcPr>
          <w:p w14:paraId="76E311BE"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b w:val="0"/>
                <w:sz w:val="20"/>
                <w:szCs w:val="20"/>
              </w:rPr>
            </w:pPr>
            <w:r w:rsidRPr="00EA31BC">
              <w:rPr>
                <w:rFonts w:asciiTheme="minorHAnsi" w:hAnsiTheme="minorHAnsi" w:cstheme="minorHAnsi"/>
                <w:sz w:val="20"/>
                <w:szCs w:val="20"/>
              </w:rPr>
              <w:t>69-72</w:t>
            </w:r>
          </w:p>
        </w:tc>
        <w:tc>
          <w:tcPr>
            <w:tcW w:w="797" w:type="dxa"/>
          </w:tcPr>
          <w:p w14:paraId="002CAF39"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b w:val="0"/>
                <w:sz w:val="20"/>
                <w:szCs w:val="20"/>
              </w:rPr>
            </w:pPr>
            <w:r w:rsidRPr="00EA31BC">
              <w:rPr>
                <w:rFonts w:asciiTheme="minorHAnsi" w:hAnsiTheme="minorHAnsi" w:cstheme="minorHAnsi"/>
                <w:sz w:val="20"/>
                <w:szCs w:val="20"/>
              </w:rPr>
              <w:t>73-77</w:t>
            </w:r>
          </w:p>
        </w:tc>
        <w:tc>
          <w:tcPr>
            <w:tcW w:w="797" w:type="dxa"/>
          </w:tcPr>
          <w:p w14:paraId="4D4AC14C"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b w:val="0"/>
                <w:sz w:val="20"/>
                <w:szCs w:val="20"/>
              </w:rPr>
            </w:pPr>
            <w:r w:rsidRPr="00EA31BC">
              <w:rPr>
                <w:rFonts w:asciiTheme="minorHAnsi" w:hAnsiTheme="minorHAnsi" w:cstheme="minorHAnsi"/>
                <w:sz w:val="20"/>
                <w:szCs w:val="20"/>
              </w:rPr>
              <w:t>78-81</w:t>
            </w:r>
          </w:p>
        </w:tc>
        <w:tc>
          <w:tcPr>
            <w:tcW w:w="798" w:type="dxa"/>
          </w:tcPr>
          <w:p w14:paraId="47E6652A"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b w:val="0"/>
                <w:sz w:val="20"/>
                <w:szCs w:val="20"/>
              </w:rPr>
            </w:pPr>
            <w:r w:rsidRPr="00EA31BC">
              <w:rPr>
                <w:rFonts w:asciiTheme="minorHAnsi" w:hAnsiTheme="minorHAnsi" w:cstheme="minorHAnsi"/>
                <w:sz w:val="20"/>
                <w:szCs w:val="20"/>
              </w:rPr>
              <w:t>82-86</w:t>
            </w:r>
          </w:p>
        </w:tc>
        <w:tc>
          <w:tcPr>
            <w:tcW w:w="797" w:type="dxa"/>
          </w:tcPr>
          <w:p w14:paraId="6CC3DB57"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b w:val="0"/>
                <w:sz w:val="20"/>
                <w:szCs w:val="20"/>
              </w:rPr>
            </w:pPr>
            <w:r w:rsidRPr="00EA31BC">
              <w:rPr>
                <w:rFonts w:asciiTheme="minorHAnsi" w:hAnsiTheme="minorHAnsi" w:cstheme="minorHAnsi"/>
                <w:sz w:val="20"/>
                <w:szCs w:val="20"/>
              </w:rPr>
              <w:t>87-90</w:t>
            </w:r>
          </w:p>
        </w:tc>
        <w:tc>
          <w:tcPr>
            <w:tcW w:w="798" w:type="dxa"/>
          </w:tcPr>
          <w:p w14:paraId="30C285B4"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b w:val="0"/>
                <w:sz w:val="20"/>
                <w:szCs w:val="20"/>
              </w:rPr>
            </w:pPr>
            <w:r w:rsidRPr="00EA31BC">
              <w:rPr>
                <w:rFonts w:asciiTheme="minorHAnsi" w:hAnsiTheme="minorHAnsi" w:cstheme="minorHAnsi"/>
                <w:sz w:val="20"/>
                <w:szCs w:val="20"/>
              </w:rPr>
              <w:t>91-95</w:t>
            </w:r>
          </w:p>
        </w:tc>
        <w:tc>
          <w:tcPr>
            <w:tcW w:w="797" w:type="dxa"/>
          </w:tcPr>
          <w:p w14:paraId="31900FDA"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b w:val="0"/>
                <w:sz w:val="20"/>
                <w:szCs w:val="20"/>
              </w:rPr>
            </w:pPr>
            <w:r w:rsidRPr="00EA31BC">
              <w:rPr>
                <w:rFonts w:asciiTheme="minorHAnsi" w:hAnsiTheme="minorHAnsi" w:cstheme="minorHAnsi"/>
                <w:sz w:val="20"/>
                <w:szCs w:val="20"/>
              </w:rPr>
              <w:t>96-99</w:t>
            </w:r>
          </w:p>
        </w:tc>
        <w:tc>
          <w:tcPr>
            <w:tcW w:w="797" w:type="dxa"/>
          </w:tcPr>
          <w:p w14:paraId="7EBCE047"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b w:val="0"/>
                <w:sz w:val="20"/>
                <w:szCs w:val="20"/>
              </w:rPr>
            </w:pPr>
            <w:r w:rsidRPr="00EA31BC">
              <w:rPr>
                <w:rFonts w:asciiTheme="minorHAnsi" w:hAnsiTheme="minorHAnsi" w:cstheme="minorHAnsi"/>
                <w:sz w:val="20"/>
                <w:szCs w:val="20"/>
              </w:rPr>
              <w:t>100-104</w:t>
            </w:r>
          </w:p>
        </w:tc>
        <w:tc>
          <w:tcPr>
            <w:tcW w:w="798" w:type="dxa"/>
          </w:tcPr>
          <w:p w14:paraId="2EF50BF0"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b w:val="0"/>
                <w:sz w:val="20"/>
                <w:szCs w:val="20"/>
              </w:rPr>
            </w:pPr>
            <w:r w:rsidRPr="00EA31BC">
              <w:rPr>
                <w:rFonts w:asciiTheme="minorHAnsi" w:hAnsiTheme="minorHAnsi" w:cstheme="minorHAnsi"/>
                <w:sz w:val="20"/>
                <w:szCs w:val="20"/>
              </w:rPr>
              <w:t>105-108</w:t>
            </w:r>
          </w:p>
        </w:tc>
        <w:tc>
          <w:tcPr>
            <w:tcW w:w="797" w:type="dxa"/>
          </w:tcPr>
          <w:p w14:paraId="09D7D1AE"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b w:val="0"/>
                <w:sz w:val="20"/>
                <w:szCs w:val="20"/>
              </w:rPr>
            </w:pPr>
            <w:r w:rsidRPr="00EA31BC">
              <w:rPr>
                <w:rFonts w:asciiTheme="minorHAnsi" w:hAnsiTheme="minorHAnsi" w:cstheme="minorHAnsi"/>
                <w:sz w:val="20"/>
                <w:szCs w:val="20"/>
              </w:rPr>
              <w:t>109-113</w:t>
            </w:r>
          </w:p>
        </w:tc>
        <w:tc>
          <w:tcPr>
            <w:tcW w:w="798" w:type="dxa"/>
          </w:tcPr>
          <w:p w14:paraId="3793AB5F"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b w:val="0"/>
                <w:sz w:val="20"/>
                <w:szCs w:val="20"/>
              </w:rPr>
            </w:pPr>
            <w:r w:rsidRPr="00EA31BC">
              <w:rPr>
                <w:rFonts w:asciiTheme="minorHAnsi" w:hAnsiTheme="minorHAnsi" w:cstheme="minorHAnsi"/>
                <w:sz w:val="20"/>
                <w:szCs w:val="20"/>
              </w:rPr>
              <w:t>114-117</w:t>
            </w:r>
          </w:p>
        </w:tc>
      </w:tr>
      <w:tr w:rsidR="009B7AED" w:rsidRPr="00D4282A" w14:paraId="3E55BAFF" w14:textId="77777777" w:rsidTr="00742C62">
        <w:trPr>
          <w:trHeight w:val="60"/>
        </w:trPr>
        <w:tc>
          <w:tcPr>
            <w:tcW w:w="1174" w:type="dxa"/>
          </w:tcPr>
          <w:p w14:paraId="343DA833" w14:textId="77777777" w:rsidR="009B7AED" w:rsidRPr="00EA31BC" w:rsidRDefault="009B7AED" w:rsidP="00D4282A">
            <w:pPr>
              <w:pStyle w:val="TableTextDense"/>
              <w:spacing w:before="10" w:after="10" w:line="240" w:lineRule="auto"/>
              <w:contextualSpacing w:val="0"/>
              <w:rPr>
                <w:rFonts w:asciiTheme="minorHAnsi" w:hAnsiTheme="minorHAnsi" w:cstheme="minorHAnsi"/>
                <w:sz w:val="20"/>
                <w:szCs w:val="20"/>
              </w:rPr>
            </w:pPr>
            <w:r w:rsidRPr="00EA31BC">
              <w:rPr>
                <w:rStyle w:val="Bold"/>
                <w:rFonts w:asciiTheme="minorHAnsi" w:hAnsiTheme="minorHAnsi" w:cstheme="minorHAnsi"/>
                <w:sz w:val="20"/>
                <w:szCs w:val="20"/>
              </w:rPr>
              <w:t>Content 01 Example:</w:t>
            </w:r>
          </w:p>
        </w:tc>
        <w:tc>
          <w:tcPr>
            <w:tcW w:w="797" w:type="dxa"/>
          </w:tcPr>
          <w:p w14:paraId="3C6A7788"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EA31BC">
              <w:rPr>
                <w:rFonts w:asciiTheme="minorHAnsi" w:hAnsiTheme="minorHAnsi" w:cstheme="minorHAnsi"/>
                <w:sz w:val="20"/>
                <w:szCs w:val="20"/>
              </w:rPr>
              <w:t>008660</w:t>
            </w:r>
          </w:p>
        </w:tc>
        <w:tc>
          <w:tcPr>
            <w:tcW w:w="797" w:type="dxa"/>
          </w:tcPr>
          <w:p w14:paraId="5B786F6D"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EA31BC">
              <w:rPr>
                <w:rFonts w:asciiTheme="minorHAnsi" w:hAnsiTheme="minorHAnsi" w:cstheme="minorHAnsi"/>
                <w:sz w:val="20"/>
                <w:szCs w:val="20"/>
              </w:rPr>
              <w:t>03215</w:t>
            </w:r>
          </w:p>
        </w:tc>
        <w:tc>
          <w:tcPr>
            <w:tcW w:w="798" w:type="dxa"/>
          </w:tcPr>
          <w:p w14:paraId="36578C54"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EA31BC">
              <w:rPr>
                <w:rFonts w:asciiTheme="minorHAnsi" w:hAnsiTheme="minorHAnsi" w:cstheme="minorHAnsi"/>
                <w:sz w:val="20"/>
                <w:szCs w:val="20"/>
              </w:rPr>
              <w:t>0142</w:t>
            </w:r>
          </w:p>
        </w:tc>
        <w:tc>
          <w:tcPr>
            <w:tcW w:w="797" w:type="dxa"/>
          </w:tcPr>
          <w:p w14:paraId="57AF434A"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EA31BC">
              <w:rPr>
                <w:rFonts w:asciiTheme="minorHAnsi" w:hAnsiTheme="minorHAnsi" w:cstheme="minorHAnsi"/>
                <w:sz w:val="20"/>
                <w:szCs w:val="20"/>
              </w:rPr>
              <w:t>05445</w:t>
            </w:r>
          </w:p>
        </w:tc>
        <w:tc>
          <w:tcPr>
            <w:tcW w:w="798" w:type="dxa"/>
          </w:tcPr>
          <w:p w14:paraId="79B54060"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EA31BC">
              <w:rPr>
                <w:rFonts w:asciiTheme="minorHAnsi" w:hAnsiTheme="minorHAnsi" w:cstheme="minorHAnsi"/>
                <w:sz w:val="20"/>
                <w:szCs w:val="20"/>
              </w:rPr>
              <w:t>Blank</w:t>
            </w:r>
          </w:p>
        </w:tc>
        <w:tc>
          <w:tcPr>
            <w:tcW w:w="797" w:type="dxa"/>
          </w:tcPr>
          <w:p w14:paraId="3973A28E" w14:textId="2EC559C4" w:rsidR="009B7AED" w:rsidRPr="00EA31BC" w:rsidRDefault="00EA31BC" w:rsidP="00EA31BC">
            <w:pPr>
              <w:pStyle w:val="TableTextDense"/>
              <w:spacing w:before="10" w:after="10" w:line="240" w:lineRule="auto"/>
              <w:contextualSpacing w:val="0"/>
              <w:jc w:val="center"/>
              <w:rPr>
                <w:rFonts w:asciiTheme="minorHAnsi" w:hAnsiTheme="minorHAnsi" w:cstheme="minorHAnsi"/>
                <w:sz w:val="20"/>
                <w:szCs w:val="20"/>
              </w:rPr>
            </w:pPr>
            <w:r>
              <w:rPr>
                <w:rFonts w:asciiTheme="minorHAnsi" w:hAnsiTheme="minorHAnsi" w:cstheme="minorHAnsi"/>
                <w:sz w:val="20"/>
                <w:szCs w:val="20"/>
              </w:rPr>
              <w:t>B</w:t>
            </w:r>
            <w:r w:rsidR="009B7AED" w:rsidRPr="00EA31BC">
              <w:rPr>
                <w:rFonts w:asciiTheme="minorHAnsi" w:hAnsiTheme="minorHAnsi" w:cstheme="minorHAnsi"/>
                <w:sz w:val="20"/>
                <w:szCs w:val="20"/>
              </w:rPr>
              <w:t>lank</w:t>
            </w:r>
          </w:p>
        </w:tc>
        <w:tc>
          <w:tcPr>
            <w:tcW w:w="797" w:type="dxa"/>
          </w:tcPr>
          <w:p w14:paraId="242FE8D8"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EA31BC">
              <w:rPr>
                <w:rFonts w:asciiTheme="minorHAnsi" w:hAnsiTheme="minorHAnsi" w:cstheme="minorHAnsi"/>
                <w:sz w:val="20"/>
                <w:szCs w:val="20"/>
              </w:rPr>
              <w:t>Blank</w:t>
            </w:r>
          </w:p>
        </w:tc>
        <w:tc>
          <w:tcPr>
            <w:tcW w:w="798" w:type="dxa"/>
          </w:tcPr>
          <w:p w14:paraId="5D047657"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EA31BC">
              <w:rPr>
                <w:rFonts w:asciiTheme="minorHAnsi" w:hAnsiTheme="minorHAnsi" w:cstheme="minorHAnsi"/>
                <w:sz w:val="20"/>
                <w:szCs w:val="20"/>
              </w:rPr>
              <w:t>Blank</w:t>
            </w:r>
          </w:p>
        </w:tc>
        <w:tc>
          <w:tcPr>
            <w:tcW w:w="797" w:type="dxa"/>
          </w:tcPr>
          <w:p w14:paraId="0F3CD993" w14:textId="4DD66D13" w:rsidR="009B7AED" w:rsidRPr="00EA31BC" w:rsidRDefault="00EA31BC" w:rsidP="00EA31BC">
            <w:pPr>
              <w:pStyle w:val="TableTextDense"/>
              <w:spacing w:before="10" w:after="10" w:line="240" w:lineRule="auto"/>
              <w:contextualSpacing w:val="0"/>
              <w:jc w:val="center"/>
              <w:rPr>
                <w:rFonts w:asciiTheme="minorHAnsi" w:hAnsiTheme="minorHAnsi" w:cstheme="minorHAnsi"/>
                <w:sz w:val="20"/>
                <w:szCs w:val="20"/>
              </w:rPr>
            </w:pPr>
            <w:r>
              <w:rPr>
                <w:rFonts w:asciiTheme="minorHAnsi" w:hAnsiTheme="minorHAnsi" w:cstheme="minorHAnsi"/>
                <w:sz w:val="20"/>
                <w:szCs w:val="20"/>
              </w:rPr>
              <w:t>B</w:t>
            </w:r>
            <w:r w:rsidR="009B7AED" w:rsidRPr="00EA31BC">
              <w:rPr>
                <w:rFonts w:asciiTheme="minorHAnsi" w:hAnsiTheme="minorHAnsi" w:cstheme="minorHAnsi"/>
                <w:sz w:val="20"/>
                <w:szCs w:val="20"/>
              </w:rPr>
              <w:t>lank</w:t>
            </w:r>
          </w:p>
        </w:tc>
        <w:tc>
          <w:tcPr>
            <w:tcW w:w="798" w:type="dxa"/>
          </w:tcPr>
          <w:p w14:paraId="2C739A72"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EA31BC">
              <w:rPr>
                <w:rFonts w:asciiTheme="minorHAnsi" w:hAnsiTheme="minorHAnsi" w:cstheme="minorHAnsi"/>
                <w:sz w:val="20"/>
                <w:szCs w:val="20"/>
              </w:rPr>
              <w:t>Blank</w:t>
            </w:r>
          </w:p>
        </w:tc>
        <w:tc>
          <w:tcPr>
            <w:tcW w:w="797" w:type="dxa"/>
          </w:tcPr>
          <w:p w14:paraId="69F8CA2C"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EA31BC">
              <w:rPr>
                <w:rFonts w:asciiTheme="minorHAnsi" w:hAnsiTheme="minorHAnsi" w:cstheme="minorHAnsi"/>
                <w:sz w:val="20"/>
                <w:szCs w:val="20"/>
              </w:rPr>
              <w:t>Blank</w:t>
            </w:r>
          </w:p>
        </w:tc>
        <w:tc>
          <w:tcPr>
            <w:tcW w:w="797" w:type="dxa"/>
          </w:tcPr>
          <w:p w14:paraId="0870F41F"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EA31BC">
              <w:rPr>
                <w:rFonts w:asciiTheme="minorHAnsi" w:hAnsiTheme="minorHAnsi" w:cstheme="minorHAnsi"/>
                <w:sz w:val="20"/>
                <w:szCs w:val="20"/>
              </w:rPr>
              <w:t>Blank</w:t>
            </w:r>
          </w:p>
        </w:tc>
        <w:tc>
          <w:tcPr>
            <w:tcW w:w="798" w:type="dxa"/>
          </w:tcPr>
          <w:p w14:paraId="7051FF95"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EA31BC">
              <w:rPr>
                <w:rFonts w:asciiTheme="minorHAnsi" w:hAnsiTheme="minorHAnsi" w:cstheme="minorHAnsi"/>
                <w:sz w:val="20"/>
                <w:szCs w:val="20"/>
              </w:rPr>
              <w:t>Blank</w:t>
            </w:r>
          </w:p>
        </w:tc>
        <w:tc>
          <w:tcPr>
            <w:tcW w:w="797" w:type="dxa"/>
          </w:tcPr>
          <w:p w14:paraId="14C6EB6C" w14:textId="0179DC95" w:rsidR="009B7AED" w:rsidRPr="00EA31BC" w:rsidRDefault="00EA31BC" w:rsidP="00EA31BC">
            <w:pPr>
              <w:pStyle w:val="TableTextDense"/>
              <w:spacing w:before="10" w:after="10" w:line="240" w:lineRule="auto"/>
              <w:contextualSpacing w:val="0"/>
              <w:jc w:val="center"/>
              <w:rPr>
                <w:rFonts w:asciiTheme="minorHAnsi" w:hAnsiTheme="minorHAnsi" w:cstheme="minorHAnsi"/>
                <w:sz w:val="20"/>
                <w:szCs w:val="20"/>
              </w:rPr>
            </w:pPr>
            <w:r>
              <w:rPr>
                <w:rFonts w:asciiTheme="minorHAnsi" w:hAnsiTheme="minorHAnsi" w:cstheme="minorHAnsi"/>
                <w:sz w:val="20"/>
                <w:szCs w:val="20"/>
              </w:rPr>
              <w:t>B</w:t>
            </w:r>
            <w:r w:rsidR="009B7AED" w:rsidRPr="00EA31BC">
              <w:rPr>
                <w:rFonts w:asciiTheme="minorHAnsi" w:hAnsiTheme="minorHAnsi" w:cstheme="minorHAnsi"/>
                <w:sz w:val="20"/>
                <w:szCs w:val="20"/>
              </w:rPr>
              <w:t>lank</w:t>
            </w:r>
          </w:p>
        </w:tc>
        <w:tc>
          <w:tcPr>
            <w:tcW w:w="798" w:type="dxa"/>
          </w:tcPr>
          <w:p w14:paraId="2E423E1D"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EA31BC">
              <w:rPr>
                <w:rFonts w:asciiTheme="minorHAnsi" w:hAnsiTheme="minorHAnsi" w:cstheme="minorHAnsi"/>
                <w:sz w:val="20"/>
                <w:szCs w:val="20"/>
              </w:rPr>
              <w:t>Blank</w:t>
            </w:r>
          </w:p>
        </w:tc>
      </w:tr>
      <w:tr w:rsidR="009B7AED" w:rsidRPr="00D4282A" w14:paraId="3A0C1362" w14:textId="77777777" w:rsidTr="00742C62">
        <w:trPr>
          <w:trHeight w:val="60"/>
        </w:trPr>
        <w:tc>
          <w:tcPr>
            <w:tcW w:w="1174" w:type="dxa"/>
          </w:tcPr>
          <w:p w14:paraId="79F3A804" w14:textId="77777777" w:rsidR="009B7AED" w:rsidRPr="00EA31BC" w:rsidRDefault="009B7AED" w:rsidP="00D4282A">
            <w:pPr>
              <w:pStyle w:val="TableTextDense"/>
              <w:spacing w:before="10" w:after="10" w:line="240" w:lineRule="auto"/>
              <w:contextualSpacing w:val="0"/>
              <w:rPr>
                <w:rFonts w:asciiTheme="minorHAnsi" w:hAnsiTheme="minorHAnsi" w:cstheme="minorHAnsi"/>
                <w:sz w:val="20"/>
                <w:szCs w:val="20"/>
              </w:rPr>
            </w:pPr>
            <w:r w:rsidRPr="00EA31BC">
              <w:rPr>
                <w:rStyle w:val="Bold"/>
                <w:rFonts w:asciiTheme="minorHAnsi" w:hAnsiTheme="minorHAnsi" w:cstheme="minorHAnsi"/>
                <w:sz w:val="20"/>
                <w:szCs w:val="20"/>
              </w:rPr>
              <w:t>Content 02 Example:</w:t>
            </w:r>
          </w:p>
        </w:tc>
        <w:tc>
          <w:tcPr>
            <w:tcW w:w="797" w:type="dxa"/>
          </w:tcPr>
          <w:p w14:paraId="1381AA6D"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EA31BC">
              <w:rPr>
                <w:rFonts w:asciiTheme="minorHAnsi" w:hAnsiTheme="minorHAnsi" w:cstheme="minorHAnsi"/>
                <w:sz w:val="20"/>
                <w:szCs w:val="20"/>
              </w:rPr>
              <w:t>012143</w:t>
            </w:r>
          </w:p>
        </w:tc>
        <w:tc>
          <w:tcPr>
            <w:tcW w:w="797" w:type="dxa"/>
          </w:tcPr>
          <w:p w14:paraId="7073CC92"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EA31BC">
              <w:rPr>
                <w:rFonts w:asciiTheme="minorHAnsi" w:hAnsiTheme="minorHAnsi" w:cstheme="minorHAnsi"/>
                <w:sz w:val="20"/>
                <w:szCs w:val="20"/>
              </w:rPr>
              <w:t>05620</w:t>
            </w:r>
          </w:p>
        </w:tc>
        <w:tc>
          <w:tcPr>
            <w:tcW w:w="798" w:type="dxa"/>
          </w:tcPr>
          <w:p w14:paraId="257BE6FD"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EA31BC">
              <w:rPr>
                <w:rFonts w:asciiTheme="minorHAnsi" w:hAnsiTheme="minorHAnsi" w:cstheme="minorHAnsi"/>
                <w:sz w:val="20"/>
                <w:szCs w:val="20"/>
              </w:rPr>
              <w:t>0187</w:t>
            </w:r>
          </w:p>
        </w:tc>
        <w:tc>
          <w:tcPr>
            <w:tcW w:w="797" w:type="dxa"/>
          </w:tcPr>
          <w:p w14:paraId="1D594BC2"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EA31BC">
              <w:rPr>
                <w:rFonts w:asciiTheme="minorHAnsi" w:hAnsiTheme="minorHAnsi" w:cstheme="minorHAnsi"/>
                <w:sz w:val="20"/>
                <w:szCs w:val="20"/>
              </w:rPr>
              <w:t>06523</w:t>
            </w:r>
          </w:p>
        </w:tc>
        <w:tc>
          <w:tcPr>
            <w:tcW w:w="798" w:type="dxa"/>
          </w:tcPr>
          <w:p w14:paraId="05BC0EC6"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EA31BC">
              <w:rPr>
                <w:rFonts w:asciiTheme="minorHAnsi" w:hAnsiTheme="minorHAnsi" w:cstheme="minorHAnsi"/>
                <w:sz w:val="20"/>
                <w:szCs w:val="20"/>
              </w:rPr>
              <w:t>Blank</w:t>
            </w:r>
          </w:p>
        </w:tc>
        <w:tc>
          <w:tcPr>
            <w:tcW w:w="797" w:type="dxa"/>
          </w:tcPr>
          <w:p w14:paraId="1A8F6560" w14:textId="0BD4639A" w:rsidR="009B7AED" w:rsidRPr="00EA31BC" w:rsidRDefault="00EA31BC" w:rsidP="00EA31BC">
            <w:pPr>
              <w:pStyle w:val="TableTextDense"/>
              <w:spacing w:before="10" w:after="10" w:line="240" w:lineRule="auto"/>
              <w:contextualSpacing w:val="0"/>
              <w:jc w:val="center"/>
              <w:rPr>
                <w:rFonts w:asciiTheme="minorHAnsi" w:hAnsiTheme="minorHAnsi" w:cstheme="minorHAnsi"/>
                <w:sz w:val="20"/>
                <w:szCs w:val="20"/>
              </w:rPr>
            </w:pPr>
            <w:r>
              <w:rPr>
                <w:rFonts w:asciiTheme="minorHAnsi" w:hAnsiTheme="minorHAnsi" w:cstheme="minorHAnsi"/>
                <w:sz w:val="20"/>
                <w:szCs w:val="20"/>
              </w:rPr>
              <w:t>B</w:t>
            </w:r>
            <w:r w:rsidR="009B7AED" w:rsidRPr="00EA31BC">
              <w:rPr>
                <w:rFonts w:asciiTheme="minorHAnsi" w:hAnsiTheme="minorHAnsi" w:cstheme="minorHAnsi"/>
                <w:sz w:val="20"/>
                <w:szCs w:val="20"/>
              </w:rPr>
              <w:t>lank</w:t>
            </w:r>
          </w:p>
        </w:tc>
        <w:tc>
          <w:tcPr>
            <w:tcW w:w="797" w:type="dxa"/>
          </w:tcPr>
          <w:p w14:paraId="0A30C422"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EA31BC">
              <w:rPr>
                <w:rFonts w:asciiTheme="minorHAnsi" w:hAnsiTheme="minorHAnsi" w:cstheme="minorHAnsi"/>
                <w:sz w:val="20"/>
                <w:szCs w:val="20"/>
              </w:rPr>
              <w:t>Blank</w:t>
            </w:r>
          </w:p>
        </w:tc>
        <w:tc>
          <w:tcPr>
            <w:tcW w:w="798" w:type="dxa"/>
          </w:tcPr>
          <w:p w14:paraId="0BE0FEEF"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EA31BC">
              <w:rPr>
                <w:rFonts w:asciiTheme="minorHAnsi" w:hAnsiTheme="minorHAnsi" w:cstheme="minorHAnsi"/>
                <w:sz w:val="20"/>
                <w:szCs w:val="20"/>
              </w:rPr>
              <w:t>Blank</w:t>
            </w:r>
          </w:p>
        </w:tc>
        <w:tc>
          <w:tcPr>
            <w:tcW w:w="797" w:type="dxa"/>
          </w:tcPr>
          <w:p w14:paraId="51A0BB3D" w14:textId="393FF543" w:rsidR="009B7AED" w:rsidRPr="00EA31BC" w:rsidRDefault="00EA31BC" w:rsidP="00EA31BC">
            <w:pPr>
              <w:pStyle w:val="TableTextDense"/>
              <w:spacing w:before="10" w:after="10" w:line="240" w:lineRule="auto"/>
              <w:contextualSpacing w:val="0"/>
              <w:jc w:val="center"/>
              <w:rPr>
                <w:rFonts w:asciiTheme="minorHAnsi" w:hAnsiTheme="minorHAnsi" w:cstheme="minorHAnsi"/>
                <w:sz w:val="20"/>
                <w:szCs w:val="20"/>
              </w:rPr>
            </w:pPr>
            <w:r>
              <w:rPr>
                <w:rFonts w:asciiTheme="minorHAnsi" w:hAnsiTheme="minorHAnsi" w:cstheme="minorHAnsi"/>
                <w:sz w:val="20"/>
                <w:szCs w:val="20"/>
              </w:rPr>
              <w:t>B</w:t>
            </w:r>
            <w:r w:rsidR="009B7AED" w:rsidRPr="00EA31BC">
              <w:rPr>
                <w:rFonts w:asciiTheme="minorHAnsi" w:hAnsiTheme="minorHAnsi" w:cstheme="minorHAnsi"/>
                <w:sz w:val="20"/>
                <w:szCs w:val="20"/>
              </w:rPr>
              <w:t>lank</w:t>
            </w:r>
          </w:p>
        </w:tc>
        <w:tc>
          <w:tcPr>
            <w:tcW w:w="798" w:type="dxa"/>
          </w:tcPr>
          <w:p w14:paraId="1E3BF7A4"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EA31BC">
              <w:rPr>
                <w:rFonts w:asciiTheme="minorHAnsi" w:hAnsiTheme="minorHAnsi" w:cstheme="minorHAnsi"/>
                <w:sz w:val="20"/>
                <w:szCs w:val="20"/>
              </w:rPr>
              <w:t>Blank</w:t>
            </w:r>
          </w:p>
        </w:tc>
        <w:tc>
          <w:tcPr>
            <w:tcW w:w="797" w:type="dxa"/>
          </w:tcPr>
          <w:p w14:paraId="7D98184E"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EA31BC">
              <w:rPr>
                <w:rFonts w:asciiTheme="minorHAnsi" w:hAnsiTheme="minorHAnsi" w:cstheme="minorHAnsi"/>
                <w:sz w:val="20"/>
                <w:szCs w:val="20"/>
              </w:rPr>
              <w:t>Blank</w:t>
            </w:r>
          </w:p>
        </w:tc>
        <w:tc>
          <w:tcPr>
            <w:tcW w:w="797" w:type="dxa"/>
          </w:tcPr>
          <w:p w14:paraId="4EE95E59"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EA31BC">
              <w:rPr>
                <w:rFonts w:asciiTheme="minorHAnsi" w:hAnsiTheme="minorHAnsi" w:cstheme="minorHAnsi"/>
                <w:sz w:val="20"/>
                <w:szCs w:val="20"/>
              </w:rPr>
              <w:t>Blank</w:t>
            </w:r>
          </w:p>
        </w:tc>
        <w:tc>
          <w:tcPr>
            <w:tcW w:w="798" w:type="dxa"/>
          </w:tcPr>
          <w:p w14:paraId="69D55977"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EA31BC">
              <w:rPr>
                <w:rFonts w:asciiTheme="minorHAnsi" w:hAnsiTheme="minorHAnsi" w:cstheme="minorHAnsi"/>
                <w:sz w:val="20"/>
                <w:szCs w:val="20"/>
              </w:rPr>
              <w:t>Blank</w:t>
            </w:r>
          </w:p>
        </w:tc>
        <w:tc>
          <w:tcPr>
            <w:tcW w:w="797" w:type="dxa"/>
          </w:tcPr>
          <w:p w14:paraId="38D621F7" w14:textId="6C1E68B5" w:rsidR="009B7AED" w:rsidRPr="00EA31BC" w:rsidRDefault="00EA31BC" w:rsidP="00EA31BC">
            <w:pPr>
              <w:pStyle w:val="TableTextDense"/>
              <w:spacing w:before="10" w:after="10" w:line="240" w:lineRule="auto"/>
              <w:contextualSpacing w:val="0"/>
              <w:jc w:val="center"/>
              <w:rPr>
                <w:rFonts w:asciiTheme="minorHAnsi" w:hAnsiTheme="minorHAnsi" w:cstheme="minorHAnsi"/>
                <w:sz w:val="20"/>
                <w:szCs w:val="20"/>
              </w:rPr>
            </w:pPr>
            <w:r>
              <w:rPr>
                <w:rFonts w:asciiTheme="minorHAnsi" w:hAnsiTheme="minorHAnsi" w:cstheme="minorHAnsi"/>
                <w:sz w:val="20"/>
                <w:szCs w:val="20"/>
              </w:rPr>
              <w:t>B</w:t>
            </w:r>
            <w:r w:rsidR="009B7AED" w:rsidRPr="00EA31BC">
              <w:rPr>
                <w:rFonts w:asciiTheme="minorHAnsi" w:hAnsiTheme="minorHAnsi" w:cstheme="minorHAnsi"/>
                <w:sz w:val="20"/>
                <w:szCs w:val="20"/>
              </w:rPr>
              <w:t>lank</w:t>
            </w:r>
          </w:p>
        </w:tc>
        <w:tc>
          <w:tcPr>
            <w:tcW w:w="798" w:type="dxa"/>
          </w:tcPr>
          <w:p w14:paraId="09E1E49D"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EA31BC">
              <w:rPr>
                <w:rFonts w:asciiTheme="minorHAnsi" w:hAnsiTheme="minorHAnsi" w:cstheme="minorHAnsi"/>
                <w:sz w:val="20"/>
                <w:szCs w:val="20"/>
              </w:rPr>
              <w:t>Blank</w:t>
            </w:r>
          </w:p>
        </w:tc>
      </w:tr>
      <w:tr w:rsidR="009B7AED" w:rsidRPr="00D4282A" w14:paraId="0F36DFA8" w14:textId="77777777" w:rsidTr="00742C62">
        <w:trPr>
          <w:trHeight w:val="60"/>
        </w:trPr>
        <w:tc>
          <w:tcPr>
            <w:tcW w:w="1174" w:type="dxa"/>
          </w:tcPr>
          <w:p w14:paraId="7C5060DA" w14:textId="77777777" w:rsidR="009B7AED" w:rsidRPr="00EA31BC" w:rsidRDefault="009B7AED" w:rsidP="00D4282A">
            <w:pPr>
              <w:pStyle w:val="TableTextDense"/>
              <w:spacing w:before="10" w:after="10" w:line="240" w:lineRule="auto"/>
              <w:contextualSpacing w:val="0"/>
              <w:rPr>
                <w:rFonts w:asciiTheme="minorHAnsi" w:hAnsiTheme="minorHAnsi" w:cstheme="minorHAnsi"/>
                <w:sz w:val="20"/>
                <w:szCs w:val="20"/>
              </w:rPr>
            </w:pPr>
            <w:r w:rsidRPr="00EA31BC">
              <w:rPr>
                <w:rStyle w:val="Bold"/>
                <w:rFonts w:asciiTheme="minorHAnsi" w:hAnsiTheme="minorHAnsi" w:cstheme="minorHAnsi"/>
                <w:sz w:val="20"/>
                <w:szCs w:val="20"/>
              </w:rPr>
              <w:t>Content 03 Example:</w:t>
            </w:r>
          </w:p>
        </w:tc>
        <w:tc>
          <w:tcPr>
            <w:tcW w:w="797" w:type="dxa"/>
          </w:tcPr>
          <w:p w14:paraId="32A08BA0"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EA31BC">
              <w:rPr>
                <w:rFonts w:asciiTheme="minorHAnsi" w:hAnsiTheme="minorHAnsi" w:cstheme="minorHAnsi"/>
                <w:sz w:val="20"/>
                <w:szCs w:val="20"/>
              </w:rPr>
              <w:t>076978</w:t>
            </w:r>
          </w:p>
        </w:tc>
        <w:tc>
          <w:tcPr>
            <w:tcW w:w="797" w:type="dxa"/>
          </w:tcPr>
          <w:p w14:paraId="5419397D"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EA31BC">
              <w:rPr>
                <w:rFonts w:asciiTheme="minorHAnsi" w:hAnsiTheme="minorHAnsi" w:cstheme="minorHAnsi"/>
                <w:sz w:val="20"/>
                <w:szCs w:val="20"/>
              </w:rPr>
              <w:t>12518</w:t>
            </w:r>
          </w:p>
        </w:tc>
        <w:tc>
          <w:tcPr>
            <w:tcW w:w="798" w:type="dxa"/>
          </w:tcPr>
          <w:p w14:paraId="66BF4B5F"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EA31BC">
              <w:rPr>
                <w:rFonts w:asciiTheme="minorHAnsi" w:hAnsiTheme="minorHAnsi" w:cstheme="minorHAnsi"/>
                <w:sz w:val="20"/>
                <w:szCs w:val="20"/>
              </w:rPr>
              <w:t>0152</w:t>
            </w:r>
          </w:p>
        </w:tc>
        <w:tc>
          <w:tcPr>
            <w:tcW w:w="797" w:type="dxa"/>
          </w:tcPr>
          <w:p w14:paraId="53BB68FB"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EA31BC">
              <w:rPr>
                <w:rFonts w:asciiTheme="minorHAnsi" w:hAnsiTheme="minorHAnsi" w:cstheme="minorHAnsi"/>
                <w:sz w:val="20"/>
                <w:szCs w:val="20"/>
              </w:rPr>
              <w:t>15790</w:t>
            </w:r>
          </w:p>
        </w:tc>
        <w:tc>
          <w:tcPr>
            <w:tcW w:w="798" w:type="dxa"/>
          </w:tcPr>
          <w:p w14:paraId="57B74D7C"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EA31BC">
              <w:rPr>
                <w:rFonts w:asciiTheme="minorHAnsi" w:hAnsiTheme="minorHAnsi" w:cstheme="minorHAnsi"/>
                <w:sz w:val="20"/>
                <w:szCs w:val="20"/>
              </w:rPr>
              <w:t>0043</w:t>
            </w:r>
          </w:p>
        </w:tc>
        <w:tc>
          <w:tcPr>
            <w:tcW w:w="797" w:type="dxa"/>
          </w:tcPr>
          <w:p w14:paraId="2E2461E5"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EA31BC">
              <w:rPr>
                <w:rFonts w:asciiTheme="minorHAnsi" w:hAnsiTheme="minorHAnsi" w:cstheme="minorHAnsi"/>
                <w:sz w:val="20"/>
                <w:szCs w:val="20"/>
              </w:rPr>
              <w:t>16250</w:t>
            </w:r>
          </w:p>
        </w:tc>
        <w:tc>
          <w:tcPr>
            <w:tcW w:w="797" w:type="dxa"/>
          </w:tcPr>
          <w:p w14:paraId="44CC4B7C"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EA31BC">
              <w:rPr>
                <w:rFonts w:asciiTheme="minorHAnsi" w:hAnsiTheme="minorHAnsi" w:cstheme="minorHAnsi"/>
                <w:sz w:val="20"/>
                <w:szCs w:val="20"/>
              </w:rPr>
              <w:t>0285</w:t>
            </w:r>
          </w:p>
        </w:tc>
        <w:tc>
          <w:tcPr>
            <w:tcW w:w="798" w:type="dxa"/>
          </w:tcPr>
          <w:p w14:paraId="6C789DD9"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EA31BC">
              <w:rPr>
                <w:rFonts w:asciiTheme="minorHAnsi" w:hAnsiTheme="minorHAnsi" w:cstheme="minorHAnsi"/>
                <w:sz w:val="20"/>
                <w:szCs w:val="20"/>
              </w:rPr>
              <w:t>16535</w:t>
            </w:r>
          </w:p>
        </w:tc>
        <w:tc>
          <w:tcPr>
            <w:tcW w:w="797" w:type="dxa"/>
          </w:tcPr>
          <w:p w14:paraId="6A4C8ACF"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EA31BC">
              <w:rPr>
                <w:rFonts w:asciiTheme="minorHAnsi" w:hAnsiTheme="minorHAnsi" w:cstheme="minorHAnsi"/>
                <w:sz w:val="20"/>
                <w:szCs w:val="20"/>
              </w:rPr>
              <w:t>0085</w:t>
            </w:r>
          </w:p>
        </w:tc>
        <w:tc>
          <w:tcPr>
            <w:tcW w:w="798" w:type="dxa"/>
          </w:tcPr>
          <w:p w14:paraId="15762681"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EA31BC">
              <w:rPr>
                <w:rFonts w:asciiTheme="minorHAnsi" w:hAnsiTheme="minorHAnsi" w:cstheme="minorHAnsi"/>
                <w:sz w:val="20"/>
                <w:szCs w:val="20"/>
              </w:rPr>
              <w:t>15885</w:t>
            </w:r>
          </w:p>
        </w:tc>
        <w:tc>
          <w:tcPr>
            <w:tcW w:w="797" w:type="dxa"/>
          </w:tcPr>
          <w:p w14:paraId="70AFEDA4"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EA31BC">
              <w:rPr>
                <w:rFonts w:asciiTheme="minorHAnsi" w:hAnsiTheme="minorHAnsi" w:cstheme="minorHAnsi"/>
                <w:sz w:val="20"/>
                <w:szCs w:val="20"/>
              </w:rPr>
              <w:t>Blank</w:t>
            </w:r>
          </w:p>
        </w:tc>
        <w:tc>
          <w:tcPr>
            <w:tcW w:w="797" w:type="dxa"/>
          </w:tcPr>
          <w:p w14:paraId="283C910F"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EA31BC">
              <w:rPr>
                <w:rFonts w:asciiTheme="minorHAnsi" w:hAnsiTheme="minorHAnsi" w:cstheme="minorHAnsi"/>
                <w:sz w:val="20"/>
                <w:szCs w:val="20"/>
              </w:rPr>
              <w:t>Blank</w:t>
            </w:r>
          </w:p>
        </w:tc>
        <w:tc>
          <w:tcPr>
            <w:tcW w:w="798" w:type="dxa"/>
          </w:tcPr>
          <w:p w14:paraId="3695B641"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EA31BC">
              <w:rPr>
                <w:rFonts w:asciiTheme="minorHAnsi" w:hAnsiTheme="minorHAnsi" w:cstheme="minorHAnsi"/>
                <w:sz w:val="20"/>
                <w:szCs w:val="20"/>
              </w:rPr>
              <w:t>Blank</w:t>
            </w:r>
          </w:p>
        </w:tc>
        <w:tc>
          <w:tcPr>
            <w:tcW w:w="797" w:type="dxa"/>
          </w:tcPr>
          <w:p w14:paraId="287DB23B"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EA31BC">
              <w:rPr>
                <w:rFonts w:asciiTheme="minorHAnsi" w:hAnsiTheme="minorHAnsi" w:cstheme="minorHAnsi"/>
                <w:sz w:val="20"/>
                <w:szCs w:val="20"/>
              </w:rPr>
              <w:t>blank</w:t>
            </w:r>
          </w:p>
        </w:tc>
        <w:tc>
          <w:tcPr>
            <w:tcW w:w="798" w:type="dxa"/>
          </w:tcPr>
          <w:p w14:paraId="792B5A5F" w14:textId="77777777" w:rsidR="009B7AED" w:rsidRPr="00EA31BC" w:rsidRDefault="009B7AED" w:rsidP="00EA31BC">
            <w:pPr>
              <w:pStyle w:val="TableTextDense"/>
              <w:spacing w:before="10" w:after="10" w:line="240" w:lineRule="auto"/>
              <w:contextualSpacing w:val="0"/>
              <w:jc w:val="center"/>
              <w:rPr>
                <w:rFonts w:asciiTheme="minorHAnsi" w:hAnsiTheme="minorHAnsi" w:cstheme="minorHAnsi"/>
                <w:sz w:val="20"/>
                <w:szCs w:val="20"/>
              </w:rPr>
            </w:pPr>
            <w:r w:rsidRPr="00EA31BC">
              <w:rPr>
                <w:rFonts w:asciiTheme="minorHAnsi" w:hAnsiTheme="minorHAnsi" w:cstheme="minorHAnsi"/>
                <w:sz w:val="20"/>
                <w:szCs w:val="20"/>
              </w:rPr>
              <w:t>Blank</w:t>
            </w:r>
          </w:p>
        </w:tc>
      </w:tr>
    </w:tbl>
    <w:p w14:paraId="472EEE4C" w14:textId="77777777" w:rsidR="009B7AED" w:rsidRPr="00BF0D1E" w:rsidRDefault="009B7AED" w:rsidP="00EA31BC">
      <w:pPr>
        <w:spacing w:before="120" w:after="120"/>
        <w:rPr>
          <w:i/>
          <w:iCs/>
        </w:rPr>
      </w:pPr>
      <w:r w:rsidRPr="00877387">
        <w:rPr>
          <w:i/>
          <w:iCs/>
        </w:rPr>
        <w:t>continued</w:t>
      </w:r>
    </w:p>
    <w:tbl>
      <w:tblPr>
        <w:tblStyle w:val="TMGTable"/>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1165"/>
        <w:gridCol w:w="889"/>
        <w:gridCol w:w="889"/>
        <w:gridCol w:w="890"/>
        <w:gridCol w:w="889"/>
        <w:gridCol w:w="890"/>
        <w:gridCol w:w="889"/>
        <w:gridCol w:w="890"/>
        <w:gridCol w:w="889"/>
        <w:gridCol w:w="890"/>
      </w:tblGrid>
      <w:tr w:rsidR="009B7AED" w:rsidRPr="00D4282A" w14:paraId="111D6126" w14:textId="77777777" w:rsidTr="00742C62">
        <w:trPr>
          <w:cnfStyle w:val="100000000000" w:firstRow="1" w:lastRow="0" w:firstColumn="0" w:lastColumn="0" w:oddVBand="0" w:evenVBand="0" w:oddHBand="0" w:evenHBand="0" w:firstRowFirstColumn="0" w:firstRowLastColumn="0" w:lastRowFirstColumn="0" w:lastRowLastColumn="0"/>
          <w:trHeight w:val="20"/>
        </w:trPr>
        <w:tc>
          <w:tcPr>
            <w:tcW w:w="1165" w:type="dxa"/>
          </w:tcPr>
          <w:p w14:paraId="6E78B146" w14:textId="54C32C84" w:rsidR="009B7AED" w:rsidRPr="00D4282A" w:rsidRDefault="00EA31BC" w:rsidP="00D4282A">
            <w:pPr>
              <w:pStyle w:val="TableTextDense"/>
              <w:spacing w:before="10" w:after="10" w:line="240" w:lineRule="auto"/>
              <w:contextualSpacing w:val="0"/>
              <w:rPr>
                <w:rFonts w:ascii="Calibri" w:hAnsi="Calibri" w:cs="Calibri"/>
                <w:sz w:val="20"/>
                <w:szCs w:val="20"/>
              </w:rPr>
            </w:pPr>
            <w:r w:rsidRPr="00EA31BC">
              <w:rPr>
                <w:rFonts w:asciiTheme="minorHAnsi" w:hAnsiTheme="minorHAnsi" w:cstheme="minorHAnsi"/>
                <w:sz w:val="20"/>
                <w:szCs w:val="20"/>
              </w:rPr>
              <w:t>Column Number:</w:t>
            </w:r>
          </w:p>
        </w:tc>
        <w:tc>
          <w:tcPr>
            <w:tcW w:w="889" w:type="dxa"/>
          </w:tcPr>
          <w:p w14:paraId="2735B834" w14:textId="77777777" w:rsidR="009B7AED" w:rsidRPr="00D4282A" w:rsidRDefault="009B7AED" w:rsidP="00EA31BC">
            <w:pPr>
              <w:pStyle w:val="TableTextDense"/>
              <w:spacing w:before="10" w:after="10" w:line="240" w:lineRule="auto"/>
              <w:contextualSpacing w:val="0"/>
              <w:jc w:val="center"/>
              <w:rPr>
                <w:rFonts w:ascii="Calibri" w:hAnsi="Calibri" w:cs="Calibri"/>
                <w:b w:val="0"/>
                <w:sz w:val="20"/>
                <w:szCs w:val="20"/>
              </w:rPr>
            </w:pPr>
            <w:r w:rsidRPr="00D4282A">
              <w:rPr>
                <w:rFonts w:ascii="Calibri" w:hAnsi="Calibri" w:cs="Calibri"/>
                <w:sz w:val="20"/>
                <w:szCs w:val="20"/>
              </w:rPr>
              <w:t>118-122</w:t>
            </w:r>
          </w:p>
        </w:tc>
        <w:tc>
          <w:tcPr>
            <w:tcW w:w="889" w:type="dxa"/>
          </w:tcPr>
          <w:p w14:paraId="52E85A69" w14:textId="77777777" w:rsidR="009B7AED" w:rsidRPr="00D4282A" w:rsidRDefault="009B7AED" w:rsidP="00EA31BC">
            <w:pPr>
              <w:pStyle w:val="TableTextDense"/>
              <w:spacing w:before="10" w:after="10" w:line="240" w:lineRule="auto"/>
              <w:contextualSpacing w:val="0"/>
              <w:jc w:val="center"/>
              <w:rPr>
                <w:rFonts w:ascii="Calibri" w:hAnsi="Calibri" w:cs="Calibri"/>
                <w:b w:val="0"/>
                <w:sz w:val="20"/>
                <w:szCs w:val="20"/>
              </w:rPr>
            </w:pPr>
            <w:r w:rsidRPr="00D4282A">
              <w:rPr>
                <w:rFonts w:ascii="Calibri" w:hAnsi="Calibri" w:cs="Calibri"/>
                <w:sz w:val="20"/>
                <w:szCs w:val="20"/>
              </w:rPr>
              <w:t>123-126</w:t>
            </w:r>
          </w:p>
        </w:tc>
        <w:tc>
          <w:tcPr>
            <w:tcW w:w="890" w:type="dxa"/>
          </w:tcPr>
          <w:p w14:paraId="36E15ED6" w14:textId="77777777" w:rsidR="009B7AED" w:rsidRPr="00D4282A" w:rsidRDefault="009B7AED" w:rsidP="00EA31BC">
            <w:pPr>
              <w:pStyle w:val="TableTextDense"/>
              <w:spacing w:before="10" w:after="10" w:line="240" w:lineRule="auto"/>
              <w:contextualSpacing w:val="0"/>
              <w:jc w:val="center"/>
              <w:rPr>
                <w:rFonts w:ascii="Calibri" w:hAnsi="Calibri" w:cs="Calibri"/>
                <w:sz w:val="20"/>
                <w:szCs w:val="20"/>
              </w:rPr>
            </w:pPr>
            <w:r w:rsidRPr="00D4282A">
              <w:rPr>
                <w:rFonts w:ascii="Calibri" w:hAnsi="Calibri" w:cs="Calibri"/>
                <w:sz w:val="20"/>
                <w:szCs w:val="20"/>
              </w:rPr>
              <w:t>127-131</w:t>
            </w:r>
          </w:p>
        </w:tc>
        <w:tc>
          <w:tcPr>
            <w:tcW w:w="889" w:type="dxa"/>
          </w:tcPr>
          <w:p w14:paraId="7F0018C5" w14:textId="77777777" w:rsidR="009B7AED" w:rsidRPr="00D4282A" w:rsidRDefault="009B7AED" w:rsidP="00EA31BC">
            <w:pPr>
              <w:pStyle w:val="TableTextDense"/>
              <w:spacing w:before="10" w:after="10" w:line="240" w:lineRule="auto"/>
              <w:contextualSpacing w:val="0"/>
              <w:jc w:val="center"/>
              <w:rPr>
                <w:rFonts w:ascii="Calibri" w:hAnsi="Calibri" w:cs="Calibri"/>
                <w:sz w:val="20"/>
                <w:szCs w:val="20"/>
              </w:rPr>
            </w:pPr>
            <w:r w:rsidRPr="00D4282A">
              <w:rPr>
                <w:rFonts w:ascii="Calibri" w:hAnsi="Calibri" w:cs="Calibri"/>
                <w:sz w:val="20"/>
                <w:szCs w:val="20"/>
              </w:rPr>
              <w:t>132-135</w:t>
            </w:r>
          </w:p>
        </w:tc>
        <w:tc>
          <w:tcPr>
            <w:tcW w:w="890" w:type="dxa"/>
          </w:tcPr>
          <w:p w14:paraId="41C34663" w14:textId="77777777" w:rsidR="009B7AED" w:rsidRPr="00D4282A" w:rsidRDefault="009B7AED" w:rsidP="00EA31BC">
            <w:pPr>
              <w:pStyle w:val="TableTextDense"/>
              <w:spacing w:before="10" w:after="10" w:line="240" w:lineRule="auto"/>
              <w:contextualSpacing w:val="0"/>
              <w:jc w:val="center"/>
              <w:rPr>
                <w:rFonts w:ascii="Calibri" w:hAnsi="Calibri" w:cs="Calibri"/>
                <w:b w:val="0"/>
                <w:bCs w:val="0"/>
                <w:sz w:val="20"/>
                <w:szCs w:val="20"/>
              </w:rPr>
            </w:pPr>
            <w:r w:rsidRPr="00D4282A">
              <w:rPr>
                <w:rFonts w:ascii="Calibri" w:hAnsi="Calibri" w:cs="Calibri"/>
                <w:sz w:val="20"/>
                <w:szCs w:val="20"/>
              </w:rPr>
              <w:t>136-140</w:t>
            </w:r>
          </w:p>
        </w:tc>
        <w:tc>
          <w:tcPr>
            <w:tcW w:w="889" w:type="dxa"/>
          </w:tcPr>
          <w:p w14:paraId="7B701183" w14:textId="77777777" w:rsidR="009B7AED" w:rsidRPr="00D4282A" w:rsidRDefault="009B7AED" w:rsidP="00EA31BC">
            <w:pPr>
              <w:pStyle w:val="TableTextDense"/>
              <w:spacing w:before="10" w:after="10" w:line="240" w:lineRule="auto"/>
              <w:contextualSpacing w:val="0"/>
              <w:jc w:val="center"/>
              <w:rPr>
                <w:rFonts w:ascii="Calibri" w:hAnsi="Calibri" w:cs="Calibri"/>
                <w:b w:val="0"/>
                <w:bCs w:val="0"/>
                <w:sz w:val="20"/>
                <w:szCs w:val="20"/>
              </w:rPr>
            </w:pPr>
            <w:r w:rsidRPr="00D4282A">
              <w:rPr>
                <w:rFonts w:ascii="Calibri" w:hAnsi="Calibri" w:cs="Calibri"/>
                <w:sz w:val="20"/>
                <w:szCs w:val="20"/>
              </w:rPr>
              <w:t>141-144</w:t>
            </w:r>
          </w:p>
        </w:tc>
        <w:tc>
          <w:tcPr>
            <w:tcW w:w="890" w:type="dxa"/>
          </w:tcPr>
          <w:p w14:paraId="155CCEB8" w14:textId="77777777" w:rsidR="009B7AED" w:rsidRPr="00D4282A" w:rsidRDefault="009B7AED" w:rsidP="00EA31BC">
            <w:pPr>
              <w:pStyle w:val="TableTextDense"/>
              <w:spacing w:before="10" w:after="10" w:line="240" w:lineRule="auto"/>
              <w:contextualSpacing w:val="0"/>
              <w:jc w:val="center"/>
              <w:rPr>
                <w:rFonts w:ascii="Calibri" w:hAnsi="Calibri" w:cs="Calibri"/>
                <w:b w:val="0"/>
                <w:bCs w:val="0"/>
                <w:sz w:val="20"/>
                <w:szCs w:val="20"/>
              </w:rPr>
            </w:pPr>
            <w:r w:rsidRPr="00D4282A">
              <w:rPr>
                <w:rFonts w:ascii="Calibri" w:hAnsi="Calibri" w:cs="Calibri"/>
                <w:sz w:val="20"/>
                <w:szCs w:val="20"/>
              </w:rPr>
              <w:t>145-149</w:t>
            </w:r>
          </w:p>
        </w:tc>
        <w:tc>
          <w:tcPr>
            <w:tcW w:w="889" w:type="dxa"/>
          </w:tcPr>
          <w:p w14:paraId="247333B3" w14:textId="77777777" w:rsidR="009B7AED" w:rsidRPr="00D4282A" w:rsidRDefault="009B7AED" w:rsidP="00EA31BC">
            <w:pPr>
              <w:pStyle w:val="TableTextDense"/>
              <w:spacing w:before="10" w:after="10" w:line="240" w:lineRule="auto"/>
              <w:contextualSpacing w:val="0"/>
              <w:jc w:val="center"/>
              <w:rPr>
                <w:rFonts w:ascii="Calibri" w:hAnsi="Calibri" w:cs="Calibri"/>
                <w:b w:val="0"/>
                <w:bCs w:val="0"/>
                <w:sz w:val="20"/>
                <w:szCs w:val="20"/>
              </w:rPr>
            </w:pPr>
            <w:r w:rsidRPr="00D4282A">
              <w:rPr>
                <w:rFonts w:ascii="Calibri" w:hAnsi="Calibri" w:cs="Calibri"/>
                <w:sz w:val="20"/>
                <w:szCs w:val="20"/>
              </w:rPr>
              <w:t>150-153</w:t>
            </w:r>
          </w:p>
        </w:tc>
        <w:tc>
          <w:tcPr>
            <w:tcW w:w="890" w:type="dxa"/>
          </w:tcPr>
          <w:p w14:paraId="72931F1C" w14:textId="77777777" w:rsidR="009B7AED" w:rsidRPr="00D4282A" w:rsidRDefault="009B7AED" w:rsidP="00EA31BC">
            <w:pPr>
              <w:pStyle w:val="TableTextDense"/>
              <w:spacing w:before="10" w:after="10" w:line="240" w:lineRule="auto"/>
              <w:contextualSpacing w:val="0"/>
              <w:jc w:val="center"/>
              <w:rPr>
                <w:rFonts w:ascii="Calibri" w:hAnsi="Calibri" w:cs="Calibri"/>
                <w:b w:val="0"/>
                <w:bCs w:val="0"/>
                <w:sz w:val="20"/>
                <w:szCs w:val="20"/>
              </w:rPr>
            </w:pPr>
            <w:r w:rsidRPr="00D4282A">
              <w:rPr>
                <w:rFonts w:ascii="Calibri" w:hAnsi="Calibri" w:cs="Calibri"/>
                <w:sz w:val="20"/>
                <w:szCs w:val="20"/>
              </w:rPr>
              <w:t>154-158</w:t>
            </w:r>
          </w:p>
        </w:tc>
      </w:tr>
      <w:tr w:rsidR="009B7AED" w:rsidRPr="00D4282A" w14:paraId="6360FF91" w14:textId="77777777" w:rsidTr="00742C62">
        <w:trPr>
          <w:trHeight w:val="20"/>
        </w:trPr>
        <w:tc>
          <w:tcPr>
            <w:tcW w:w="1165" w:type="dxa"/>
          </w:tcPr>
          <w:p w14:paraId="2F24988B" w14:textId="77777777" w:rsidR="009B7AED" w:rsidRPr="00D4282A" w:rsidRDefault="009B7AED" w:rsidP="00D4282A">
            <w:pPr>
              <w:pStyle w:val="TableTextDense"/>
              <w:spacing w:before="10" w:after="10" w:line="240" w:lineRule="auto"/>
              <w:contextualSpacing w:val="0"/>
              <w:rPr>
                <w:rFonts w:ascii="Calibri" w:hAnsi="Calibri" w:cs="Calibri"/>
                <w:sz w:val="20"/>
                <w:szCs w:val="20"/>
              </w:rPr>
            </w:pPr>
            <w:r w:rsidRPr="00D4282A">
              <w:rPr>
                <w:rStyle w:val="Bold"/>
                <w:rFonts w:ascii="Calibri" w:hAnsi="Calibri" w:cs="Calibri"/>
                <w:sz w:val="20"/>
                <w:szCs w:val="20"/>
              </w:rPr>
              <w:t>Content 01 Example:</w:t>
            </w:r>
          </w:p>
        </w:tc>
        <w:tc>
          <w:tcPr>
            <w:tcW w:w="889" w:type="dxa"/>
          </w:tcPr>
          <w:p w14:paraId="29FCC6A4" w14:textId="77777777" w:rsidR="009B7AED" w:rsidRPr="00EA31BC" w:rsidRDefault="009B7AED" w:rsidP="00EA31BC">
            <w:pPr>
              <w:pStyle w:val="TableTextDense"/>
              <w:spacing w:before="10" w:after="10" w:line="240" w:lineRule="auto"/>
              <w:contextualSpacing w:val="0"/>
              <w:jc w:val="center"/>
              <w:rPr>
                <w:rStyle w:val="Bold"/>
                <w:rFonts w:ascii="Calibri" w:hAnsi="Calibri" w:cs="Calibri"/>
                <w:sz w:val="20"/>
                <w:szCs w:val="20"/>
              </w:rPr>
            </w:pPr>
            <w:r w:rsidRPr="00EA31BC">
              <w:rPr>
                <w:rStyle w:val="Bold"/>
                <w:rFonts w:ascii="Calibri" w:hAnsi="Calibri" w:cs="Calibri"/>
                <w:sz w:val="20"/>
                <w:szCs w:val="20"/>
              </w:rPr>
              <w:t>Blank</w:t>
            </w:r>
          </w:p>
        </w:tc>
        <w:tc>
          <w:tcPr>
            <w:tcW w:w="889" w:type="dxa"/>
          </w:tcPr>
          <w:p w14:paraId="615D599E" w14:textId="77777777" w:rsidR="009B7AED" w:rsidRPr="00EA31BC" w:rsidRDefault="009B7AED" w:rsidP="00EA31BC">
            <w:pPr>
              <w:pStyle w:val="TableTextDense"/>
              <w:spacing w:before="10" w:after="10" w:line="240" w:lineRule="auto"/>
              <w:contextualSpacing w:val="0"/>
              <w:jc w:val="center"/>
              <w:rPr>
                <w:rStyle w:val="Bold"/>
                <w:rFonts w:ascii="Calibri" w:hAnsi="Calibri" w:cs="Calibri"/>
                <w:sz w:val="20"/>
                <w:szCs w:val="20"/>
              </w:rPr>
            </w:pPr>
            <w:r w:rsidRPr="00EA31BC">
              <w:rPr>
                <w:rStyle w:val="Bold"/>
                <w:rFonts w:ascii="Calibri" w:hAnsi="Calibri" w:cs="Calibri"/>
                <w:sz w:val="20"/>
                <w:szCs w:val="20"/>
              </w:rPr>
              <w:t>Blank</w:t>
            </w:r>
          </w:p>
        </w:tc>
        <w:tc>
          <w:tcPr>
            <w:tcW w:w="890" w:type="dxa"/>
          </w:tcPr>
          <w:p w14:paraId="5543ECA5" w14:textId="77777777" w:rsidR="009B7AED" w:rsidRPr="00EA31BC" w:rsidRDefault="009B7AED" w:rsidP="00EA31BC">
            <w:pPr>
              <w:pStyle w:val="TableTextDense"/>
              <w:spacing w:before="10" w:after="10" w:line="240" w:lineRule="auto"/>
              <w:contextualSpacing w:val="0"/>
              <w:jc w:val="center"/>
              <w:rPr>
                <w:rStyle w:val="Bold"/>
                <w:rFonts w:ascii="Calibri" w:hAnsi="Calibri" w:cs="Calibri"/>
                <w:sz w:val="20"/>
                <w:szCs w:val="20"/>
              </w:rPr>
            </w:pPr>
            <w:r w:rsidRPr="00EA31BC">
              <w:rPr>
                <w:rStyle w:val="Bold"/>
                <w:rFonts w:ascii="Calibri" w:hAnsi="Calibri" w:cs="Calibri"/>
                <w:sz w:val="20"/>
                <w:szCs w:val="20"/>
              </w:rPr>
              <w:t>Blank</w:t>
            </w:r>
          </w:p>
        </w:tc>
        <w:tc>
          <w:tcPr>
            <w:tcW w:w="889" w:type="dxa"/>
          </w:tcPr>
          <w:p w14:paraId="29DA6583" w14:textId="77777777" w:rsidR="009B7AED" w:rsidRPr="00EA31BC" w:rsidRDefault="009B7AED" w:rsidP="00EA31BC">
            <w:pPr>
              <w:pStyle w:val="TableTextDense"/>
              <w:spacing w:before="10" w:after="10" w:line="240" w:lineRule="auto"/>
              <w:contextualSpacing w:val="0"/>
              <w:jc w:val="center"/>
              <w:rPr>
                <w:rStyle w:val="Bold"/>
                <w:rFonts w:ascii="Calibri" w:hAnsi="Calibri" w:cs="Calibri"/>
                <w:sz w:val="20"/>
                <w:szCs w:val="20"/>
              </w:rPr>
            </w:pPr>
            <w:r w:rsidRPr="00EA31BC">
              <w:rPr>
                <w:rStyle w:val="Bold"/>
                <w:rFonts w:ascii="Calibri" w:hAnsi="Calibri" w:cs="Calibri"/>
                <w:sz w:val="20"/>
                <w:szCs w:val="20"/>
              </w:rPr>
              <w:t>Blank</w:t>
            </w:r>
          </w:p>
        </w:tc>
        <w:tc>
          <w:tcPr>
            <w:tcW w:w="890" w:type="dxa"/>
          </w:tcPr>
          <w:p w14:paraId="3A7517D3" w14:textId="77777777" w:rsidR="009B7AED" w:rsidRPr="00EA31BC" w:rsidRDefault="009B7AED" w:rsidP="00EA31BC">
            <w:pPr>
              <w:pStyle w:val="TableTextDense"/>
              <w:spacing w:before="10" w:after="10" w:line="240" w:lineRule="auto"/>
              <w:contextualSpacing w:val="0"/>
              <w:jc w:val="center"/>
              <w:rPr>
                <w:rStyle w:val="Bold"/>
                <w:rFonts w:ascii="Calibri" w:hAnsi="Calibri" w:cs="Calibri"/>
                <w:sz w:val="20"/>
                <w:szCs w:val="20"/>
              </w:rPr>
            </w:pPr>
            <w:r w:rsidRPr="00EA31BC">
              <w:rPr>
                <w:rStyle w:val="Bold"/>
                <w:rFonts w:ascii="Calibri" w:hAnsi="Calibri" w:cs="Calibri"/>
                <w:sz w:val="20"/>
                <w:szCs w:val="20"/>
              </w:rPr>
              <w:t>Blank</w:t>
            </w:r>
          </w:p>
        </w:tc>
        <w:tc>
          <w:tcPr>
            <w:tcW w:w="889" w:type="dxa"/>
          </w:tcPr>
          <w:p w14:paraId="391FCD33" w14:textId="77777777" w:rsidR="009B7AED" w:rsidRPr="00EA31BC" w:rsidRDefault="009B7AED" w:rsidP="00EA31BC">
            <w:pPr>
              <w:pStyle w:val="TableTextDense"/>
              <w:spacing w:before="10" w:after="10" w:line="240" w:lineRule="auto"/>
              <w:contextualSpacing w:val="0"/>
              <w:jc w:val="center"/>
              <w:rPr>
                <w:rStyle w:val="Bold"/>
                <w:rFonts w:ascii="Calibri" w:hAnsi="Calibri" w:cs="Calibri"/>
                <w:sz w:val="20"/>
                <w:szCs w:val="20"/>
              </w:rPr>
            </w:pPr>
            <w:r w:rsidRPr="00EA31BC">
              <w:rPr>
                <w:rStyle w:val="Bold"/>
                <w:rFonts w:ascii="Calibri" w:hAnsi="Calibri" w:cs="Calibri"/>
                <w:sz w:val="20"/>
                <w:szCs w:val="20"/>
              </w:rPr>
              <w:t>Blank</w:t>
            </w:r>
          </w:p>
        </w:tc>
        <w:tc>
          <w:tcPr>
            <w:tcW w:w="890" w:type="dxa"/>
          </w:tcPr>
          <w:p w14:paraId="140FE550" w14:textId="77777777" w:rsidR="009B7AED" w:rsidRPr="00EA31BC" w:rsidRDefault="009B7AED" w:rsidP="00EA31BC">
            <w:pPr>
              <w:pStyle w:val="TableTextDense"/>
              <w:spacing w:before="10" w:after="10" w:line="240" w:lineRule="auto"/>
              <w:contextualSpacing w:val="0"/>
              <w:jc w:val="center"/>
              <w:rPr>
                <w:rStyle w:val="Bold"/>
                <w:rFonts w:ascii="Calibri" w:hAnsi="Calibri" w:cs="Calibri"/>
                <w:sz w:val="20"/>
                <w:szCs w:val="20"/>
              </w:rPr>
            </w:pPr>
            <w:r w:rsidRPr="00EA31BC">
              <w:rPr>
                <w:rStyle w:val="Bold"/>
                <w:rFonts w:ascii="Calibri" w:hAnsi="Calibri" w:cs="Calibri"/>
                <w:sz w:val="20"/>
                <w:szCs w:val="20"/>
              </w:rPr>
              <w:t>Blank</w:t>
            </w:r>
          </w:p>
        </w:tc>
        <w:tc>
          <w:tcPr>
            <w:tcW w:w="889" w:type="dxa"/>
          </w:tcPr>
          <w:p w14:paraId="40DCE1FD" w14:textId="77777777" w:rsidR="009B7AED" w:rsidRPr="00EA31BC" w:rsidRDefault="009B7AED" w:rsidP="00EA31BC">
            <w:pPr>
              <w:pStyle w:val="TableTextDense"/>
              <w:spacing w:before="10" w:after="10" w:line="240" w:lineRule="auto"/>
              <w:contextualSpacing w:val="0"/>
              <w:jc w:val="center"/>
              <w:rPr>
                <w:rStyle w:val="Bold"/>
                <w:rFonts w:ascii="Calibri" w:hAnsi="Calibri" w:cs="Calibri"/>
                <w:sz w:val="20"/>
                <w:szCs w:val="20"/>
              </w:rPr>
            </w:pPr>
            <w:r w:rsidRPr="00EA31BC">
              <w:rPr>
                <w:rStyle w:val="Bold"/>
                <w:rFonts w:ascii="Calibri" w:hAnsi="Calibri" w:cs="Calibri"/>
                <w:sz w:val="20"/>
                <w:szCs w:val="20"/>
              </w:rPr>
              <w:t>Blank</w:t>
            </w:r>
          </w:p>
        </w:tc>
        <w:tc>
          <w:tcPr>
            <w:tcW w:w="890" w:type="dxa"/>
          </w:tcPr>
          <w:p w14:paraId="74D67C07" w14:textId="77777777" w:rsidR="009B7AED" w:rsidRPr="00EA31BC" w:rsidRDefault="009B7AED" w:rsidP="00EA31BC">
            <w:pPr>
              <w:pStyle w:val="TableTextDense"/>
              <w:spacing w:before="10" w:after="10" w:line="240" w:lineRule="auto"/>
              <w:contextualSpacing w:val="0"/>
              <w:jc w:val="center"/>
              <w:rPr>
                <w:rStyle w:val="Bold"/>
                <w:rFonts w:ascii="Calibri" w:hAnsi="Calibri" w:cs="Calibri"/>
                <w:sz w:val="20"/>
                <w:szCs w:val="20"/>
              </w:rPr>
            </w:pPr>
            <w:r w:rsidRPr="00EA31BC">
              <w:rPr>
                <w:rStyle w:val="Bold"/>
                <w:rFonts w:ascii="Calibri" w:hAnsi="Calibri" w:cs="Calibri"/>
                <w:sz w:val="20"/>
                <w:szCs w:val="20"/>
              </w:rPr>
              <w:t>Blank</w:t>
            </w:r>
          </w:p>
        </w:tc>
      </w:tr>
      <w:tr w:rsidR="009B7AED" w:rsidRPr="00D4282A" w14:paraId="5CC50367" w14:textId="77777777" w:rsidTr="00742C62">
        <w:trPr>
          <w:trHeight w:val="20"/>
        </w:trPr>
        <w:tc>
          <w:tcPr>
            <w:tcW w:w="1165" w:type="dxa"/>
          </w:tcPr>
          <w:p w14:paraId="1B395497" w14:textId="77777777" w:rsidR="009B7AED" w:rsidRPr="00D4282A" w:rsidRDefault="009B7AED" w:rsidP="00D4282A">
            <w:pPr>
              <w:pStyle w:val="TableTextDense"/>
              <w:spacing w:before="10" w:after="10" w:line="240" w:lineRule="auto"/>
              <w:contextualSpacing w:val="0"/>
              <w:rPr>
                <w:rFonts w:ascii="Calibri" w:hAnsi="Calibri" w:cs="Calibri"/>
                <w:sz w:val="20"/>
                <w:szCs w:val="20"/>
              </w:rPr>
            </w:pPr>
            <w:r w:rsidRPr="00D4282A">
              <w:rPr>
                <w:rStyle w:val="Bold"/>
                <w:rFonts w:ascii="Calibri" w:hAnsi="Calibri" w:cs="Calibri"/>
                <w:sz w:val="20"/>
                <w:szCs w:val="20"/>
              </w:rPr>
              <w:t>Content 02 Example:</w:t>
            </w:r>
          </w:p>
        </w:tc>
        <w:tc>
          <w:tcPr>
            <w:tcW w:w="889" w:type="dxa"/>
          </w:tcPr>
          <w:p w14:paraId="016EE273" w14:textId="77777777" w:rsidR="009B7AED" w:rsidRPr="00EA31BC" w:rsidRDefault="009B7AED" w:rsidP="00EA31BC">
            <w:pPr>
              <w:pStyle w:val="TableTextDense"/>
              <w:spacing w:before="10" w:after="10" w:line="240" w:lineRule="auto"/>
              <w:contextualSpacing w:val="0"/>
              <w:jc w:val="center"/>
              <w:rPr>
                <w:rStyle w:val="Bold"/>
                <w:rFonts w:ascii="Calibri" w:hAnsi="Calibri" w:cs="Calibri"/>
                <w:sz w:val="20"/>
                <w:szCs w:val="20"/>
              </w:rPr>
            </w:pPr>
            <w:r w:rsidRPr="00EA31BC">
              <w:rPr>
                <w:rStyle w:val="Bold"/>
                <w:rFonts w:ascii="Calibri" w:hAnsi="Calibri" w:cs="Calibri"/>
                <w:sz w:val="20"/>
                <w:szCs w:val="20"/>
              </w:rPr>
              <w:t>Blank</w:t>
            </w:r>
          </w:p>
        </w:tc>
        <w:tc>
          <w:tcPr>
            <w:tcW w:w="889" w:type="dxa"/>
          </w:tcPr>
          <w:p w14:paraId="15F21518" w14:textId="77777777" w:rsidR="009B7AED" w:rsidRPr="00EA31BC" w:rsidRDefault="009B7AED" w:rsidP="00EA31BC">
            <w:pPr>
              <w:pStyle w:val="TableTextDense"/>
              <w:spacing w:before="10" w:after="10" w:line="240" w:lineRule="auto"/>
              <w:contextualSpacing w:val="0"/>
              <w:jc w:val="center"/>
              <w:rPr>
                <w:rStyle w:val="Bold"/>
                <w:rFonts w:ascii="Calibri" w:hAnsi="Calibri" w:cs="Calibri"/>
                <w:sz w:val="20"/>
                <w:szCs w:val="20"/>
              </w:rPr>
            </w:pPr>
            <w:r w:rsidRPr="00EA31BC">
              <w:rPr>
                <w:rStyle w:val="Bold"/>
                <w:rFonts w:ascii="Calibri" w:hAnsi="Calibri" w:cs="Calibri"/>
                <w:sz w:val="20"/>
                <w:szCs w:val="20"/>
              </w:rPr>
              <w:t>Blank</w:t>
            </w:r>
          </w:p>
        </w:tc>
        <w:tc>
          <w:tcPr>
            <w:tcW w:w="890" w:type="dxa"/>
          </w:tcPr>
          <w:p w14:paraId="031FFFDB" w14:textId="77777777" w:rsidR="009B7AED" w:rsidRPr="00EA31BC" w:rsidRDefault="009B7AED" w:rsidP="00EA31BC">
            <w:pPr>
              <w:pStyle w:val="TableTextDense"/>
              <w:spacing w:before="10" w:after="10" w:line="240" w:lineRule="auto"/>
              <w:contextualSpacing w:val="0"/>
              <w:jc w:val="center"/>
              <w:rPr>
                <w:rStyle w:val="Bold"/>
                <w:rFonts w:ascii="Calibri" w:hAnsi="Calibri" w:cs="Calibri"/>
                <w:sz w:val="20"/>
                <w:szCs w:val="20"/>
              </w:rPr>
            </w:pPr>
            <w:r w:rsidRPr="00EA31BC">
              <w:rPr>
                <w:rStyle w:val="Bold"/>
                <w:rFonts w:ascii="Calibri" w:hAnsi="Calibri" w:cs="Calibri"/>
                <w:sz w:val="20"/>
                <w:szCs w:val="20"/>
              </w:rPr>
              <w:t>Blank</w:t>
            </w:r>
          </w:p>
        </w:tc>
        <w:tc>
          <w:tcPr>
            <w:tcW w:w="889" w:type="dxa"/>
          </w:tcPr>
          <w:p w14:paraId="7DA73422" w14:textId="77777777" w:rsidR="009B7AED" w:rsidRPr="00EA31BC" w:rsidRDefault="009B7AED" w:rsidP="00EA31BC">
            <w:pPr>
              <w:pStyle w:val="TableTextDense"/>
              <w:spacing w:before="10" w:after="10" w:line="240" w:lineRule="auto"/>
              <w:contextualSpacing w:val="0"/>
              <w:jc w:val="center"/>
              <w:rPr>
                <w:rStyle w:val="Bold"/>
                <w:rFonts w:ascii="Calibri" w:hAnsi="Calibri" w:cs="Calibri"/>
                <w:sz w:val="20"/>
                <w:szCs w:val="20"/>
              </w:rPr>
            </w:pPr>
            <w:r w:rsidRPr="00EA31BC">
              <w:rPr>
                <w:rStyle w:val="Bold"/>
                <w:rFonts w:ascii="Calibri" w:hAnsi="Calibri" w:cs="Calibri"/>
                <w:sz w:val="20"/>
                <w:szCs w:val="20"/>
              </w:rPr>
              <w:t>Blank</w:t>
            </w:r>
          </w:p>
        </w:tc>
        <w:tc>
          <w:tcPr>
            <w:tcW w:w="890" w:type="dxa"/>
          </w:tcPr>
          <w:p w14:paraId="1287EE10" w14:textId="77777777" w:rsidR="009B7AED" w:rsidRPr="00EA31BC" w:rsidRDefault="009B7AED" w:rsidP="00EA31BC">
            <w:pPr>
              <w:pStyle w:val="TableTextDense"/>
              <w:spacing w:before="10" w:after="10" w:line="240" w:lineRule="auto"/>
              <w:contextualSpacing w:val="0"/>
              <w:jc w:val="center"/>
              <w:rPr>
                <w:rStyle w:val="Bold"/>
                <w:rFonts w:ascii="Calibri" w:hAnsi="Calibri" w:cs="Calibri"/>
                <w:sz w:val="20"/>
                <w:szCs w:val="20"/>
              </w:rPr>
            </w:pPr>
            <w:r w:rsidRPr="00EA31BC">
              <w:rPr>
                <w:rStyle w:val="Bold"/>
                <w:rFonts w:ascii="Calibri" w:hAnsi="Calibri" w:cs="Calibri"/>
                <w:sz w:val="20"/>
                <w:szCs w:val="20"/>
              </w:rPr>
              <w:t>Blank</w:t>
            </w:r>
          </w:p>
        </w:tc>
        <w:tc>
          <w:tcPr>
            <w:tcW w:w="889" w:type="dxa"/>
          </w:tcPr>
          <w:p w14:paraId="03C48567" w14:textId="77777777" w:rsidR="009B7AED" w:rsidRPr="00EA31BC" w:rsidRDefault="009B7AED" w:rsidP="00EA31BC">
            <w:pPr>
              <w:pStyle w:val="TableTextDense"/>
              <w:spacing w:before="10" w:after="10" w:line="240" w:lineRule="auto"/>
              <w:contextualSpacing w:val="0"/>
              <w:jc w:val="center"/>
              <w:rPr>
                <w:rStyle w:val="Bold"/>
                <w:rFonts w:ascii="Calibri" w:hAnsi="Calibri" w:cs="Calibri"/>
                <w:sz w:val="20"/>
                <w:szCs w:val="20"/>
              </w:rPr>
            </w:pPr>
            <w:r w:rsidRPr="00EA31BC">
              <w:rPr>
                <w:rStyle w:val="Bold"/>
                <w:rFonts w:ascii="Calibri" w:hAnsi="Calibri" w:cs="Calibri"/>
                <w:sz w:val="20"/>
                <w:szCs w:val="20"/>
              </w:rPr>
              <w:t>Blank</w:t>
            </w:r>
          </w:p>
        </w:tc>
        <w:tc>
          <w:tcPr>
            <w:tcW w:w="890" w:type="dxa"/>
          </w:tcPr>
          <w:p w14:paraId="253E6CA1" w14:textId="77777777" w:rsidR="009B7AED" w:rsidRPr="00EA31BC" w:rsidRDefault="009B7AED" w:rsidP="00EA31BC">
            <w:pPr>
              <w:pStyle w:val="TableTextDense"/>
              <w:spacing w:before="10" w:after="10" w:line="240" w:lineRule="auto"/>
              <w:contextualSpacing w:val="0"/>
              <w:jc w:val="center"/>
              <w:rPr>
                <w:rStyle w:val="Bold"/>
                <w:rFonts w:ascii="Calibri" w:hAnsi="Calibri" w:cs="Calibri"/>
                <w:sz w:val="20"/>
                <w:szCs w:val="20"/>
              </w:rPr>
            </w:pPr>
            <w:r w:rsidRPr="00EA31BC">
              <w:rPr>
                <w:rStyle w:val="Bold"/>
                <w:rFonts w:ascii="Calibri" w:hAnsi="Calibri" w:cs="Calibri"/>
                <w:sz w:val="20"/>
                <w:szCs w:val="20"/>
              </w:rPr>
              <w:t>Blank</w:t>
            </w:r>
          </w:p>
        </w:tc>
        <w:tc>
          <w:tcPr>
            <w:tcW w:w="889" w:type="dxa"/>
          </w:tcPr>
          <w:p w14:paraId="66DA1668" w14:textId="77777777" w:rsidR="009B7AED" w:rsidRPr="00EA31BC" w:rsidRDefault="009B7AED" w:rsidP="00EA31BC">
            <w:pPr>
              <w:pStyle w:val="TableTextDense"/>
              <w:spacing w:before="10" w:after="10" w:line="240" w:lineRule="auto"/>
              <w:contextualSpacing w:val="0"/>
              <w:jc w:val="center"/>
              <w:rPr>
                <w:rStyle w:val="Bold"/>
                <w:rFonts w:ascii="Calibri" w:hAnsi="Calibri" w:cs="Calibri"/>
                <w:sz w:val="20"/>
                <w:szCs w:val="20"/>
              </w:rPr>
            </w:pPr>
            <w:r w:rsidRPr="00EA31BC">
              <w:rPr>
                <w:rStyle w:val="Bold"/>
                <w:rFonts w:ascii="Calibri" w:hAnsi="Calibri" w:cs="Calibri"/>
                <w:sz w:val="20"/>
                <w:szCs w:val="20"/>
              </w:rPr>
              <w:t>Blank</w:t>
            </w:r>
          </w:p>
        </w:tc>
        <w:tc>
          <w:tcPr>
            <w:tcW w:w="890" w:type="dxa"/>
          </w:tcPr>
          <w:p w14:paraId="579A7D47" w14:textId="77777777" w:rsidR="009B7AED" w:rsidRPr="00EA31BC" w:rsidRDefault="009B7AED" w:rsidP="00EA31BC">
            <w:pPr>
              <w:pStyle w:val="TableTextDense"/>
              <w:spacing w:before="10" w:after="10" w:line="240" w:lineRule="auto"/>
              <w:contextualSpacing w:val="0"/>
              <w:jc w:val="center"/>
              <w:rPr>
                <w:rStyle w:val="Bold"/>
                <w:rFonts w:ascii="Calibri" w:hAnsi="Calibri" w:cs="Calibri"/>
                <w:sz w:val="20"/>
                <w:szCs w:val="20"/>
              </w:rPr>
            </w:pPr>
            <w:r w:rsidRPr="00EA31BC">
              <w:rPr>
                <w:rStyle w:val="Bold"/>
                <w:rFonts w:ascii="Calibri" w:hAnsi="Calibri" w:cs="Calibri"/>
                <w:sz w:val="20"/>
                <w:szCs w:val="20"/>
              </w:rPr>
              <w:t>Blank</w:t>
            </w:r>
          </w:p>
        </w:tc>
      </w:tr>
      <w:tr w:rsidR="009B7AED" w:rsidRPr="00D4282A" w14:paraId="6BA20898" w14:textId="77777777" w:rsidTr="00742C62">
        <w:trPr>
          <w:trHeight w:val="20"/>
        </w:trPr>
        <w:tc>
          <w:tcPr>
            <w:tcW w:w="1165" w:type="dxa"/>
          </w:tcPr>
          <w:p w14:paraId="0D2074DE" w14:textId="77777777" w:rsidR="009B7AED" w:rsidRPr="00D4282A" w:rsidRDefault="009B7AED" w:rsidP="00D4282A">
            <w:pPr>
              <w:pStyle w:val="TableTextDense"/>
              <w:spacing w:before="10" w:after="10" w:line="240" w:lineRule="auto"/>
              <w:contextualSpacing w:val="0"/>
              <w:rPr>
                <w:rFonts w:ascii="Calibri" w:hAnsi="Calibri" w:cs="Calibri"/>
                <w:sz w:val="20"/>
                <w:szCs w:val="20"/>
              </w:rPr>
            </w:pPr>
            <w:r w:rsidRPr="00D4282A">
              <w:rPr>
                <w:rStyle w:val="Bold"/>
                <w:rFonts w:ascii="Calibri" w:hAnsi="Calibri" w:cs="Calibri"/>
                <w:sz w:val="20"/>
                <w:szCs w:val="20"/>
              </w:rPr>
              <w:t>Content 03 Example:</w:t>
            </w:r>
          </w:p>
        </w:tc>
        <w:tc>
          <w:tcPr>
            <w:tcW w:w="889" w:type="dxa"/>
          </w:tcPr>
          <w:p w14:paraId="31301216" w14:textId="77777777" w:rsidR="009B7AED" w:rsidRPr="00EA31BC" w:rsidRDefault="009B7AED" w:rsidP="00EA31BC">
            <w:pPr>
              <w:pStyle w:val="TableTextDense"/>
              <w:spacing w:before="10" w:after="10" w:line="240" w:lineRule="auto"/>
              <w:contextualSpacing w:val="0"/>
              <w:jc w:val="center"/>
              <w:rPr>
                <w:rStyle w:val="Bold"/>
                <w:rFonts w:ascii="Calibri" w:hAnsi="Calibri" w:cs="Calibri"/>
                <w:sz w:val="20"/>
                <w:szCs w:val="20"/>
              </w:rPr>
            </w:pPr>
            <w:r w:rsidRPr="00EA31BC">
              <w:rPr>
                <w:rStyle w:val="Bold"/>
                <w:rFonts w:ascii="Calibri" w:hAnsi="Calibri" w:cs="Calibri"/>
                <w:sz w:val="20"/>
                <w:szCs w:val="20"/>
              </w:rPr>
              <w:t>Blank</w:t>
            </w:r>
          </w:p>
        </w:tc>
        <w:tc>
          <w:tcPr>
            <w:tcW w:w="889" w:type="dxa"/>
          </w:tcPr>
          <w:p w14:paraId="1C329AA1" w14:textId="77777777" w:rsidR="009B7AED" w:rsidRPr="00EA31BC" w:rsidRDefault="009B7AED" w:rsidP="00EA31BC">
            <w:pPr>
              <w:pStyle w:val="TableTextDense"/>
              <w:spacing w:before="10" w:after="10" w:line="240" w:lineRule="auto"/>
              <w:contextualSpacing w:val="0"/>
              <w:jc w:val="center"/>
              <w:rPr>
                <w:rStyle w:val="Bold"/>
                <w:rFonts w:ascii="Calibri" w:hAnsi="Calibri" w:cs="Calibri"/>
                <w:sz w:val="20"/>
                <w:szCs w:val="20"/>
              </w:rPr>
            </w:pPr>
            <w:r w:rsidRPr="00EA31BC">
              <w:rPr>
                <w:rStyle w:val="Bold"/>
                <w:rFonts w:ascii="Calibri" w:hAnsi="Calibri" w:cs="Calibri"/>
                <w:sz w:val="20"/>
                <w:szCs w:val="20"/>
              </w:rPr>
              <w:t>Blank</w:t>
            </w:r>
          </w:p>
        </w:tc>
        <w:tc>
          <w:tcPr>
            <w:tcW w:w="890" w:type="dxa"/>
          </w:tcPr>
          <w:p w14:paraId="5C62D4A6" w14:textId="77777777" w:rsidR="009B7AED" w:rsidRPr="00EA31BC" w:rsidRDefault="009B7AED" w:rsidP="00EA31BC">
            <w:pPr>
              <w:pStyle w:val="TableTextDense"/>
              <w:spacing w:before="10" w:after="10" w:line="240" w:lineRule="auto"/>
              <w:contextualSpacing w:val="0"/>
              <w:jc w:val="center"/>
              <w:rPr>
                <w:rStyle w:val="Bold"/>
                <w:rFonts w:ascii="Calibri" w:hAnsi="Calibri" w:cs="Calibri"/>
                <w:sz w:val="20"/>
                <w:szCs w:val="20"/>
              </w:rPr>
            </w:pPr>
            <w:r w:rsidRPr="00EA31BC">
              <w:rPr>
                <w:rStyle w:val="Bold"/>
                <w:rFonts w:ascii="Calibri" w:hAnsi="Calibri" w:cs="Calibri"/>
                <w:sz w:val="20"/>
                <w:szCs w:val="20"/>
              </w:rPr>
              <w:t>Blank</w:t>
            </w:r>
          </w:p>
        </w:tc>
        <w:tc>
          <w:tcPr>
            <w:tcW w:w="889" w:type="dxa"/>
          </w:tcPr>
          <w:p w14:paraId="5684CD0E" w14:textId="77777777" w:rsidR="009B7AED" w:rsidRPr="00EA31BC" w:rsidRDefault="009B7AED" w:rsidP="00EA31BC">
            <w:pPr>
              <w:pStyle w:val="TableTextDense"/>
              <w:spacing w:before="10" w:after="10" w:line="240" w:lineRule="auto"/>
              <w:contextualSpacing w:val="0"/>
              <w:jc w:val="center"/>
              <w:rPr>
                <w:rStyle w:val="Bold"/>
                <w:rFonts w:ascii="Calibri" w:hAnsi="Calibri" w:cs="Calibri"/>
                <w:sz w:val="20"/>
                <w:szCs w:val="20"/>
              </w:rPr>
            </w:pPr>
            <w:r w:rsidRPr="00EA31BC">
              <w:rPr>
                <w:rStyle w:val="Bold"/>
                <w:rFonts w:ascii="Calibri" w:hAnsi="Calibri" w:cs="Calibri"/>
                <w:sz w:val="20"/>
                <w:szCs w:val="20"/>
              </w:rPr>
              <w:t>Blank</w:t>
            </w:r>
          </w:p>
        </w:tc>
        <w:tc>
          <w:tcPr>
            <w:tcW w:w="890" w:type="dxa"/>
          </w:tcPr>
          <w:p w14:paraId="3FBB6961" w14:textId="77777777" w:rsidR="009B7AED" w:rsidRPr="00EA31BC" w:rsidRDefault="009B7AED" w:rsidP="00EA31BC">
            <w:pPr>
              <w:pStyle w:val="TableTextDense"/>
              <w:spacing w:before="10" w:after="10" w:line="240" w:lineRule="auto"/>
              <w:contextualSpacing w:val="0"/>
              <w:jc w:val="center"/>
              <w:rPr>
                <w:rStyle w:val="Bold"/>
                <w:rFonts w:ascii="Calibri" w:hAnsi="Calibri" w:cs="Calibri"/>
                <w:sz w:val="20"/>
                <w:szCs w:val="20"/>
              </w:rPr>
            </w:pPr>
            <w:r w:rsidRPr="00EA31BC">
              <w:rPr>
                <w:rStyle w:val="Bold"/>
                <w:rFonts w:ascii="Calibri" w:hAnsi="Calibri" w:cs="Calibri"/>
                <w:sz w:val="20"/>
                <w:szCs w:val="20"/>
              </w:rPr>
              <w:t>Blank</w:t>
            </w:r>
          </w:p>
        </w:tc>
        <w:tc>
          <w:tcPr>
            <w:tcW w:w="889" w:type="dxa"/>
          </w:tcPr>
          <w:p w14:paraId="13C6792B" w14:textId="77777777" w:rsidR="009B7AED" w:rsidRPr="00EA31BC" w:rsidRDefault="009B7AED" w:rsidP="00EA31BC">
            <w:pPr>
              <w:pStyle w:val="TableTextDense"/>
              <w:spacing w:before="10" w:after="10" w:line="240" w:lineRule="auto"/>
              <w:contextualSpacing w:val="0"/>
              <w:jc w:val="center"/>
              <w:rPr>
                <w:rStyle w:val="Bold"/>
                <w:rFonts w:ascii="Calibri" w:hAnsi="Calibri" w:cs="Calibri"/>
                <w:sz w:val="20"/>
                <w:szCs w:val="20"/>
              </w:rPr>
            </w:pPr>
            <w:r w:rsidRPr="00EA31BC">
              <w:rPr>
                <w:rStyle w:val="Bold"/>
                <w:rFonts w:ascii="Calibri" w:hAnsi="Calibri" w:cs="Calibri"/>
                <w:sz w:val="20"/>
                <w:szCs w:val="20"/>
              </w:rPr>
              <w:t>Blank</w:t>
            </w:r>
          </w:p>
        </w:tc>
        <w:tc>
          <w:tcPr>
            <w:tcW w:w="890" w:type="dxa"/>
          </w:tcPr>
          <w:p w14:paraId="402332AC" w14:textId="77777777" w:rsidR="009B7AED" w:rsidRPr="00EA31BC" w:rsidRDefault="009B7AED" w:rsidP="00EA31BC">
            <w:pPr>
              <w:pStyle w:val="TableTextDense"/>
              <w:spacing w:before="10" w:after="10" w:line="240" w:lineRule="auto"/>
              <w:contextualSpacing w:val="0"/>
              <w:jc w:val="center"/>
              <w:rPr>
                <w:rStyle w:val="Bold"/>
                <w:rFonts w:ascii="Calibri" w:hAnsi="Calibri" w:cs="Calibri"/>
                <w:sz w:val="20"/>
                <w:szCs w:val="20"/>
              </w:rPr>
            </w:pPr>
            <w:r w:rsidRPr="00EA31BC">
              <w:rPr>
                <w:rStyle w:val="Bold"/>
                <w:rFonts w:ascii="Calibri" w:hAnsi="Calibri" w:cs="Calibri"/>
                <w:sz w:val="20"/>
                <w:szCs w:val="20"/>
              </w:rPr>
              <w:t>Blank</w:t>
            </w:r>
          </w:p>
        </w:tc>
        <w:tc>
          <w:tcPr>
            <w:tcW w:w="889" w:type="dxa"/>
          </w:tcPr>
          <w:p w14:paraId="215BD856" w14:textId="77777777" w:rsidR="009B7AED" w:rsidRPr="00EA31BC" w:rsidRDefault="009B7AED" w:rsidP="00EA31BC">
            <w:pPr>
              <w:pStyle w:val="TableTextDense"/>
              <w:spacing w:before="10" w:after="10" w:line="240" w:lineRule="auto"/>
              <w:contextualSpacing w:val="0"/>
              <w:jc w:val="center"/>
              <w:rPr>
                <w:rStyle w:val="Bold"/>
                <w:rFonts w:ascii="Calibri" w:hAnsi="Calibri" w:cs="Calibri"/>
                <w:sz w:val="20"/>
                <w:szCs w:val="20"/>
              </w:rPr>
            </w:pPr>
            <w:r w:rsidRPr="00EA31BC">
              <w:rPr>
                <w:rStyle w:val="Bold"/>
                <w:rFonts w:ascii="Calibri" w:hAnsi="Calibri" w:cs="Calibri"/>
                <w:sz w:val="20"/>
                <w:szCs w:val="20"/>
              </w:rPr>
              <w:t>Blank</w:t>
            </w:r>
          </w:p>
        </w:tc>
        <w:tc>
          <w:tcPr>
            <w:tcW w:w="890" w:type="dxa"/>
          </w:tcPr>
          <w:p w14:paraId="5B872BA4" w14:textId="77777777" w:rsidR="009B7AED" w:rsidRPr="00EA31BC" w:rsidRDefault="009B7AED" w:rsidP="00EA31BC">
            <w:pPr>
              <w:pStyle w:val="TableTextDense"/>
              <w:spacing w:before="10" w:after="10" w:line="240" w:lineRule="auto"/>
              <w:contextualSpacing w:val="0"/>
              <w:jc w:val="center"/>
              <w:rPr>
                <w:rStyle w:val="Bold"/>
                <w:rFonts w:ascii="Calibri" w:hAnsi="Calibri" w:cs="Calibri"/>
                <w:sz w:val="20"/>
                <w:szCs w:val="20"/>
              </w:rPr>
            </w:pPr>
            <w:r w:rsidRPr="00EA31BC">
              <w:rPr>
                <w:rStyle w:val="Bold"/>
                <w:rFonts w:ascii="Calibri" w:hAnsi="Calibri" w:cs="Calibri"/>
                <w:sz w:val="20"/>
                <w:szCs w:val="20"/>
              </w:rPr>
              <w:t>Blank</w:t>
            </w:r>
          </w:p>
        </w:tc>
      </w:tr>
    </w:tbl>
    <w:p w14:paraId="42309D24" w14:textId="77777777" w:rsidR="009B7AED" w:rsidRPr="00877387" w:rsidRDefault="009B7AED" w:rsidP="009B7AED">
      <w:pPr>
        <w:spacing w:before="80" w:after="80"/>
        <w:rPr>
          <w:sz w:val="18"/>
          <w:szCs w:val="18"/>
        </w:rPr>
      </w:pPr>
      <w:r w:rsidRPr="00877387">
        <w:rPr>
          <w:sz w:val="18"/>
          <w:szCs w:val="18"/>
        </w:rPr>
        <w:t>Use additional spacing in 4-digit increments up to 25 axles</w:t>
      </w:r>
    </w:p>
    <w:p w14:paraId="5E093389" w14:textId="77777777" w:rsidR="009B7AED" w:rsidRPr="00877387" w:rsidRDefault="009B7AED" w:rsidP="009B7AED">
      <w:pPr>
        <w:spacing w:before="80" w:after="80"/>
        <w:rPr>
          <w:sz w:val="18"/>
          <w:szCs w:val="18"/>
        </w:rPr>
      </w:pPr>
      <w:r w:rsidRPr="00877387">
        <w:rPr>
          <w:sz w:val="18"/>
          <w:szCs w:val="18"/>
        </w:rPr>
        <w:t>Use additional weights in 3-digit increments up to 25 axles</w:t>
      </w:r>
    </w:p>
    <w:p w14:paraId="1E8F5F52" w14:textId="77777777" w:rsidR="00BF0D1E" w:rsidRDefault="00BF0D1E" w:rsidP="009B7AED">
      <w:pPr>
        <w:spacing w:before="80" w:after="120" w:line="240" w:lineRule="atLeast"/>
        <w:sectPr w:rsidR="00BF0D1E" w:rsidSect="00BF0D1E">
          <w:headerReference w:type="even" r:id="rId210"/>
          <w:headerReference w:type="default" r:id="rId211"/>
          <w:footerReference w:type="even" r:id="rId212"/>
          <w:footerReference w:type="default" r:id="rId213"/>
          <w:pgSz w:w="15840" w:h="12240" w:code="1"/>
          <w:pgMar w:top="1440" w:right="1152" w:bottom="1440" w:left="1440" w:header="720" w:footer="576" w:gutter="0"/>
          <w:pgNumType w:chapStyle="1"/>
          <w:cols w:space="720"/>
          <w:noEndnote/>
          <w:docGrid w:linePitch="272"/>
        </w:sectPr>
      </w:pPr>
      <w:bookmarkStart w:id="3220" w:name="_Toc335642256"/>
    </w:p>
    <w:p w14:paraId="220AF739" w14:textId="757D239F" w:rsidR="009B7AED" w:rsidRDefault="009B7AED" w:rsidP="004605FE">
      <w:pPr>
        <w:pStyle w:val="BodyText"/>
      </w:pPr>
      <w:r>
        <w:lastRenderedPageBreak/>
        <w:t xml:space="preserve">State highway agencies can submit the IVR (W variant) data using the pipe-delimited format. The key difference between the fixed-width format and the pipe-delimited format is that with the pipe-delimited file, data elements no longer need to match the starting and ending columns. Length of data elements can be equal or shorter than the specified lengths. </w:t>
      </w:r>
      <w:r>
        <w:rPr>
          <w:rStyle w:val="Italic"/>
          <w:i w:val="0"/>
        </w:rPr>
        <w:t xml:space="preserve">The field order for the pipe-delimited format is identical to the order for the fixed-width format (see </w:t>
      </w:r>
      <w:r>
        <w:rPr>
          <w:rStyle w:val="Italic"/>
          <w:i w:val="0"/>
        </w:rPr>
        <w:fldChar w:fldCharType="begin"/>
      </w:r>
      <w:r>
        <w:rPr>
          <w:rStyle w:val="Italic"/>
          <w:i w:val="0"/>
        </w:rPr>
        <w:instrText xml:space="preserve"> REF _Ref113278927 </w:instrText>
      </w:r>
      <w:r>
        <w:rPr>
          <w:rStyle w:val="Italic"/>
          <w:i w:val="0"/>
        </w:rPr>
        <w:fldChar w:fldCharType="separate"/>
      </w:r>
      <w:r w:rsidR="00C07DF9">
        <w:t xml:space="preserve">Table </w:t>
      </w:r>
      <w:r w:rsidR="00C07DF9">
        <w:rPr>
          <w:noProof/>
        </w:rPr>
        <w:t>4</w:t>
      </w:r>
      <w:r w:rsidR="00C07DF9">
        <w:noBreakHyphen/>
      </w:r>
      <w:r w:rsidR="00C07DF9">
        <w:rPr>
          <w:noProof/>
        </w:rPr>
        <w:t>31</w:t>
      </w:r>
      <w:r>
        <w:rPr>
          <w:rStyle w:val="Italic"/>
          <w:i w:val="0"/>
        </w:rPr>
        <w:fldChar w:fldCharType="end"/>
      </w:r>
      <w:r>
        <w:rPr>
          <w:rStyle w:val="Italic"/>
          <w:i w:val="0"/>
        </w:rPr>
        <w:t xml:space="preserve">). In this format, the fields are separated by a </w:t>
      </w:r>
      <w:r>
        <w:t>pipe symbol (|) instead of beginning in specified columns. Example records in this format are provided below.</w:t>
      </w:r>
    </w:p>
    <w:p w14:paraId="3627040A" w14:textId="77777777" w:rsidR="009B7AED" w:rsidRPr="00BF0D1E" w:rsidRDefault="009B7AED" w:rsidP="00BF0D1E">
      <w:pPr>
        <w:spacing w:before="240" w:after="120"/>
        <w:rPr>
          <w:rFonts w:ascii="Cambria" w:hAnsi="Cambria"/>
          <w:b/>
          <w:sz w:val="26"/>
          <w:szCs w:val="26"/>
        </w:rPr>
      </w:pPr>
      <w:r w:rsidRPr="00BF0D1E">
        <w:rPr>
          <w:rFonts w:ascii="Cambria" w:hAnsi="Cambria"/>
          <w:b/>
          <w:sz w:val="26"/>
          <w:szCs w:val="26"/>
        </w:rPr>
        <w:t>Delimited Format Examples</w:t>
      </w:r>
    </w:p>
    <w:p w14:paraId="5CD70703" w14:textId="77777777" w:rsidR="009B7AED" w:rsidRPr="00BF0D1E" w:rsidRDefault="009B7AED" w:rsidP="00BF0D1E">
      <w:pPr>
        <w:spacing w:before="240" w:after="120"/>
        <w:rPr>
          <w:rFonts w:ascii="Cambria" w:hAnsi="Cambria"/>
          <w:b/>
          <w:sz w:val="22"/>
          <w:szCs w:val="22"/>
        </w:rPr>
      </w:pPr>
      <w:r w:rsidRPr="00BF0D1E">
        <w:rPr>
          <w:rFonts w:ascii="Cambria" w:hAnsi="Cambria"/>
          <w:b/>
          <w:sz w:val="22"/>
          <w:szCs w:val="22"/>
        </w:rPr>
        <w:t>Weight (Axle) Format – Detailed</w:t>
      </w:r>
    </w:p>
    <w:p w14:paraId="4034D42F" w14:textId="77777777" w:rsidR="009B7AED" w:rsidRPr="00877387" w:rsidRDefault="009B7AED" w:rsidP="009B7AED">
      <w:r w:rsidRPr="00877387">
        <w:t>R</w:t>
      </w:r>
      <w:r>
        <w:t>T</w:t>
      </w:r>
      <w:r w:rsidRPr="00877387">
        <w:t>|SFIPS|ID|D</w:t>
      </w:r>
      <w:r>
        <w:t>IR</w:t>
      </w:r>
      <w:r w:rsidRPr="00877387">
        <w:t>|L</w:t>
      </w:r>
      <w:r>
        <w:t>N</w:t>
      </w:r>
      <w:r w:rsidRPr="00877387">
        <w:t>|YR|MOY|DOM|HOD|MOH|SOM|SSOS|W|VS|SPD|CLS|NAX|TVL|PT|GVW|AW1|ASP1|AW2|ASP2|AW3|ASP3|AW4|</w:t>
      </w:r>
      <w:r w:rsidRPr="008A625F">
        <w:t xml:space="preserve"> ASP</w:t>
      </w:r>
      <w:r>
        <w:t>4|</w:t>
      </w:r>
      <w:r w:rsidRPr="00877387">
        <w:t>…|AW1</w:t>
      </w:r>
      <w:r>
        <w:t>1</w:t>
      </w:r>
      <w:r w:rsidRPr="00877387">
        <w:t>|ASP1</w:t>
      </w:r>
      <w:r>
        <w:t>1</w:t>
      </w:r>
      <w:r w:rsidRPr="00877387">
        <w:t>|AW12</w:t>
      </w:r>
      <w:r>
        <w:t>|</w:t>
      </w:r>
      <w:r w:rsidRPr="00877387">
        <w:t>ASP1</w:t>
      </w:r>
      <w:r>
        <w:t>2|…</w:t>
      </w:r>
    </w:p>
    <w:p w14:paraId="798E1E34" w14:textId="77777777" w:rsidR="009B7AED" w:rsidRPr="00BF0D1E" w:rsidRDefault="009B7AED" w:rsidP="00BF0D1E">
      <w:pPr>
        <w:spacing w:before="240" w:after="120"/>
        <w:rPr>
          <w:rFonts w:ascii="Cambria" w:hAnsi="Cambria"/>
          <w:b/>
          <w:sz w:val="22"/>
          <w:szCs w:val="22"/>
        </w:rPr>
      </w:pPr>
      <w:r w:rsidRPr="00BF0D1E">
        <w:rPr>
          <w:rFonts w:ascii="Cambria" w:hAnsi="Cambria"/>
          <w:b/>
          <w:sz w:val="22"/>
          <w:szCs w:val="22"/>
        </w:rPr>
        <w:t>4-Lane Roadway with 15 Individual Vehicles Recorded</w:t>
      </w:r>
    </w:p>
    <w:p w14:paraId="5C29B91C" w14:textId="77777777" w:rsidR="009B7AED" w:rsidRPr="00877387" w:rsidRDefault="009B7AED" w:rsidP="009B7AED">
      <w:r w:rsidRPr="00877387">
        <w:t>I|12|135750|1|1|2021|4|25|2|12|5|31|W|65310|554|9|5|694|70|61837|10500|145|12000|43|12500|310|13450|46|13387</w:t>
      </w:r>
    </w:p>
    <w:p w14:paraId="47AF49B4" w14:textId="77777777" w:rsidR="009B7AED" w:rsidRPr="00877387" w:rsidRDefault="009B7AED" w:rsidP="009B7AED">
      <w:r w:rsidRPr="00877387">
        <w:t>I|12|135760|5|1|2021|4|25|2|12|5|37|W|52810|762|5|2|275|69|14874|8462|185|6412</w:t>
      </w:r>
    </w:p>
    <w:p w14:paraId="2AAB52C3" w14:textId="77777777" w:rsidR="009B7AED" w:rsidRPr="00877387" w:rsidRDefault="009B7AED" w:rsidP="009B7AED">
      <w:r w:rsidRPr="00877387">
        <w:t>I|12|135760|5|2|2021|4|25|2|12|5|68|W|12120|648|1|2|75|69|232|88|53|144</w:t>
      </w:r>
    </w:p>
    <w:p w14:paraId="0992CA8D" w14:textId="77777777" w:rsidR="009B7AED" w:rsidRPr="00877387" w:rsidRDefault="009B7AED" w:rsidP="009B7AED">
      <w:r w:rsidRPr="00877387">
        <w:t>I|12|135760|1|2|2021|4|25|2|12|7|4|W|43460|605|4|3|452|70|25886|9750|246|7680|43|8456</w:t>
      </w:r>
    </w:p>
    <w:p w14:paraId="5F71302E" w14:textId="77777777" w:rsidR="009B7AED" w:rsidRPr="00877387" w:rsidRDefault="009B7AED" w:rsidP="009B7AED">
      <w:r w:rsidRPr="00877387">
        <w:t>I|12|135760|1|1|2021|4|25|2|12|8|23|W|65227|600|9|5|585|70|54828|9873|173|11678|43|10985|300|11245|40|11047</w:t>
      </w:r>
    </w:p>
    <w:p w14:paraId="14522DF4" w14:textId="77777777" w:rsidR="009B7AED" w:rsidRPr="00877387" w:rsidRDefault="009B7AED" w:rsidP="009B7AED">
      <w:r w:rsidRPr="00877387">
        <w:t>I|12|135760|5|2|2021|4|25|2|12|8|68|W|22290|648|2|2|162|69|2438|1890|97|548</w:t>
      </w:r>
    </w:p>
    <w:p w14:paraId="2FB9A9EE" w14:textId="77777777" w:rsidR="009B7AED" w:rsidRPr="00877387" w:rsidRDefault="009B7AED" w:rsidP="009B7AED">
      <w:r w:rsidRPr="00877387">
        <w:t>I|12|135760|5|1|2021|4|25|2|12|9|89|W|64220|552|8|4|429|69|40561|9504|130|11546|175|9728|41|9783</w:t>
      </w:r>
    </w:p>
    <w:p w14:paraId="00B8E376" w14:textId="77777777" w:rsidR="009B7AED" w:rsidRPr="00877387" w:rsidRDefault="009B7AED" w:rsidP="009B7AED">
      <w:r w:rsidRPr="00877387">
        <w:t>I|12|135760|1|1|2021|4|25|2|12|12|15|W|65949|571|9|5|560|70|70044|11620|165|12895|43|12530|230|16750|82|16249</w:t>
      </w:r>
    </w:p>
    <w:p w14:paraId="4FFACABB" w14:textId="77777777" w:rsidR="009B7AED" w:rsidRPr="00877387" w:rsidRDefault="009B7AED" w:rsidP="009B7AED">
      <w:r w:rsidRPr="00877387">
        <w:t>I|12|135760|5|2|2021|4|25|2|12|8|68|W|22219|648|2|2|145|68|</w:t>
      </w:r>
      <w:r>
        <w:t>4</w:t>
      </w:r>
      <w:r w:rsidRPr="00877387">
        <w:t>096|3348|88|748</w:t>
      </w:r>
    </w:p>
    <w:p w14:paraId="63404FDC" w14:textId="77777777" w:rsidR="009B7AED" w:rsidRPr="00877387" w:rsidRDefault="009B7AED" w:rsidP="009B7AED">
      <w:r w:rsidRPr="00877387">
        <w:t>I|12|135760|5|1|2021|4|25|2|12|15|85|W|66227|557|10|6|708|69|79973|11463|152|10486|48|10866|48|10562|355|15995|42|16541</w:t>
      </w:r>
    </w:p>
    <w:p w14:paraId="35448DC1" w14:textId="77777777" w:rsidR="009B7AED" w:rsidRPr="00877387" w:rsidRDefault="009B7AED" w:rsidP="009B7AED">
      <w:r w:rsidRPr="00877387">
        <w:t>I|12|135760|1|2|2021|4|25|2|12|15|92|W|65950|721|9|5|546|70|72741|11231|175|14780|40|15345|235|15245|39|16140</w:t>
      </w:r>
    </w:p>
    <w:p w14:paraId="21FEEEFF" w14:textId="77777777" w:rsidR="009B7AED" w:rsidRPr="00877387" w:rsidRDefault="009B7AED" w:rsidP="009B7AED">
      <w:r w:rsidRPr="00877387">
        <w:t>I|12|135760|1|1|2021|4|25|2|12|17|14|W|32340|728|3|2|213|69|3243|1710|132|1533</w:t>
      </w:r>
    </w:p>
    <w:p w14:paraId="4C2363DC" w14:textId="77777777" w:rsidR="009B7AED" w:rsidRPr="00877387" w:rsidRDefault="009B7AED" w:rsidP="009B7AED">
      <w:r w:rsidRPr="00877387">
        <w:t>I|12|135760|5|2|2021|4|25|2|12|17|90|W|32321|654|3|3|360|68|1</w:t>
      </w:r>
      <w:r>
        <w:t>3</w:t>
      </w:r>
      <w:r w:rsidRPr="00877387">
        <w:t>114|2590|128|2824|167|7700</w:t>
      </w:r>
    </w:p>
    <w:p w14:paraId="04BAC3BF" w14:textId="77777777" w:rsidR="009B7AED" w:rsidRPr="00877387" w:rsidRDefault="009B7AED" w:rsidP="009B7AED">
      <w:r w:rsidRPr="00877387">
        <w:t>I|12|135760|5|1|2021|4|25|2|12|20|54|W|22210|728|2|2|125|69|1884|1088|87|796</w:t>
      </w:r>
    </w:p>
    <w:p w14:paraId="0BF41B2E" w14:textId="77777777" w:rsidR="009B7AED" w:rsidRPr="00877387" w:rsidRDefault="009B7AED" w:rsidP="009B7AED">
      <w:r w:rsidRPr="00877387">
        <w:t>I|12|135760|5|2|2021|4|25|2|12|27|92|W|42420|654|4|2|400|68|22580|14600|241|7980</w:t>
      </w:r>
    </w:p>
    <w:p w14:paraId="2EC36E4E" w14:textId="77777777" w:rsidR="009B7AED" w:rsidRPr="00877387" w:rsidRDefault="009B7AED" w:rsidP="009B7AED">
      <w:pPr>
        <w:rPr>
          <w:b/>
        </w:rPr>
        <w:sectPr w:rsidR="009B7AED" w:rsidRPr="00877387" w:rsidSect="00AC2837">
          <w:headerReference w:type="even" r:id="rId214"/>
          <w:headerReference w:type="default" r:id="rId215"/>
          <w:footerReference w:type="default" r:id="rId216"/>
          <w:pgSz w:w="15840" w:h="12240" w:code="1"/>
          <w:pgMar w:top="1440" w:right="1152" w:bottom="1440" w:left="1440" w:header="720" w:footer="576" w:gutter="0"/>
          <w:pgNumType w:chapStyle="1"/>
          <w:cols w:space="720"/>
          <w:noEndnote/>
          <w:docGrid w:linePitch="272"/>
        </w:sectPr>
      </w:pPr>
    </w:p>
    <w:p w14:paraId="1A6B81D3" w14:textId="6D70B1C4" w:rsidR="009B7AED" w:rsidRPr="001546EF" w:rsidRDefault="009B7AED">
      <w:pPr>
        <w:pStyle w:val="Heading3"/>
        <w:spacing w:before="0"/>
      </w:pPr>
      <w:bookmarkStart w:id="3221" w:name="_Hlk55572453"/>
      <w:bookmarkStart w:id="3222" w:name="_Toc63976761"/>
      <w:bookmarkStart w:id="3223" w:name="_Toc109301294"/>
      <w:bookmarkStart w:id="3224" w:name="_Toc109333028"/>
      <w:bookmarkStart w:id="3225" w:name="_Toc109333621"/>
      <w:bookmarkStart w:id="3226" w:name="_Toc113281119"/>
      <w:bookmarkStart w:id="3227" w:name="_Toc118205707"/>
      <w:r w:rsidRPr="001546EF">
        <w:lastRenderedPageBreak/>
        <w:t>Vehicle Classification and Wheel Weights (Z)</w:t>
      </w:r>
      <w:bookmarkEnd w:id="3220"/>
      <w:bookmarkEnd w:id="3221"/>
      <w:bookmarkEnd w:id="3222"/>
      <w:bookmarkEnd w:id="3223"/>
      <w:bookmarkEnd w:id="3224"/>
      <w:bookmarkEnd w:id="3225"/>
      <w:bookmarkEnd w:id="3226"/>
      <w:bookmarkEnd w:id="3227"/>
    </w:p>
    <w:p w14:paraId="29604D2D" w14:textId="1F0AE336" w:rsidR="009B7AED" w:rsidRPr="00877387" w:rsidRDefault="009B7AED" w:rsidP="00A35EAF">
      <w:pPr>
        <w:pStyle w:val="BodyText"/>
      </w:pPr>
      <w:r w:rsidRPr="00877387">
        <w:t>This section only applies to those individual recor</w:t>
      </w:r>
      <w:r w:rsidRPr="00257FF9">
        <w:t xml:space="preserve">ds designated with a Z in Field 13, column 28. The data to be included are described in </w:t>
      </w:r>
      <w:fldSimple w:instr=" REF _Ref113280017 ">
        <w:r w:rsidR="00C07DF9">
          <w:t xml:space="preserve">Table </w:t>
        </w:r>
        <w:r w:rsidR="00C07DF9">
          <w:rPr>
            <w:noProof/>
          </w:rPr>
          <w:t>4</w:t>
        </w:r>
        <w:r w:rsidR="00C07DF9">
          <w:noBreakHyphen/>
        </w:r>
        <w:r w:rsidR="00C07DF9">
          <w:rPr>
            <w:noProof/>
          </w:rPr>
          <w:t>33</w:t>
        </w:r>
      </w:fldSimple>
      <w:r w:rsidRPr="00257FF9">
        <w:t>.</w:t>
      </w:r>
    </w:p>
    <w:p w14:paraId="6E7D82CC" w14:textId="77777777" w:rsidR="009B7AED" w:rsidRPr="00877387" w:rsidRDefault="009B7AED" w:rsidP="00A35EAF">
      <w:pPr>
        <w:pStyle w:val="BodyText"/>
      </w:pPr>
      <w:r w:rsidRPr="00877387">
        <w:t xml:space="preserve">The “Z” variant of the individual record format is used to describe the number, spacing, and weight of axles for traffic observed by weigh-in-motion scales that measure both left and right axle weights. It differs from the “W” record by the fact that it allows the user to report the left- and right-side wheel path weights independently for each axle. These data are available when independent weight sensors are placed in the two wheel paths, such as is typically the case for bending plate, load cell load scale, and some by wheel path piezo systems. Like the “C” and “W” record variants, the “Z variant” is a variable length record, where the length (number of columns) of the record is controlled by the number of axles being reported for each vehicle. The number of axles associated with each vehicle is given in columns </w:t>
      </w:r>
      <w:r>
        <w:t>40</w:t>
      </w:r>
      <w:r w:rsidRPr="00877387">
        <w:t xml:space="preserve"> and 4</w:t>
      </w:r>
      <w:r>
        <w:t>1</w:t>
      </w:r>
      <w:r w:rsidRPr="00877387">
        <w:t xml:space="preserve"> as described in Section </w:t>
      </w:r>
      <w:r>
        <w:t>4</w:t>
      </w:r>
      <w:r w:rsidRPr="00877387">
        <w:t xml:space="preserve">.7.2. This value is used by the TMAS software reading the record to determine how many columns remain to be read in each record. Do NOT zero fill additional columns beyond those required to report the observed number of axles for each vehicle. </w:t>
      </w:r>
    </w:p>
    <w:p w14:paraId="600FC8F0" w14:textId="77777777" w:rsidR="009B7AED" w:rsidRPr="00877387" w:rsidRDefault="009B7AED" w:rsidP="00A35EAF">
      <w:pPr>
        <w:pStyle w:val="BodyText"/>
      </w:pPr>
      <w:r w:rsidRPr="00877387">
        <w:t xml:space="preserve">The maximum record size permitted for “Z” formatted records is </w:t>
      </w:r>
      <w:r>
        <w:t>404</w:t>
      </w:r>
      <w:r w:rsidRPr="00877387">
        <w:t xml:space="preserve"> columns. A record this long is needed only if a single vehicle has 25 axles. The number of columns included in each record can be computed with the following formula.</w:t>
      </w:r>
    </w:p>
    <w:p w14:paraId="589C90B4" w14:textId="77777777" w:rsidR="009B7AED" w:rsidRPr="00877387" w:rsidRDefault="009B7AED" w:rsidP="00A35EAF">
      <w:pPr>
        <w:pStyle w:val="BodyText"/>
      </w:pPr>
      <w:r w:rsidRPr="00877387">
        <w:t>Last column = (</w:t>
      </w:r>
      <w:r w:rsidRPr="00877387">
        <w:rPr>
          <w:i/>
          <w:iCs/>
        </w:rPr>
        <w:t>number of axles</w:t>
      </w:r>
      <w:r w:rsidRPr="00877387">
        <w:t xml:space="preserve"> × 14) + </w:t>
      </w:r>
      <w:r>
        <w:t>54</w:t>
      </w:r>
    </w:p>
    <w:p w14:paraId="09682A5A" w14:textId="77777777" w:rsidR="009B7AED" w:rsidRPr="00877387" w:rsidRDefault="009B7AED" w:rsidP="00A35EAF">
      <w:pPr>
        <w:pStyle w:val="BodyText"/>
      </w:pPr>
      <w:r w:rsidRPr="00877387">
        <w:t>Where:</w:t>
      </w:r>
    </w:p>
    <w:p w14:paraId="7C2D73D1" w14:textId="77777777" w:rsidR="009B7AED" w:rsidRPr="00877387" w:rsidRDefault="009B7AED" w:rsidP="00A35EAF">
      <w:pPr>
        <w:pStyle w:val="BodyText"/>
      </w:pPr>
      <w:r w:rsidRPr="00877387">
        <w:rPr>
          <w:i/>
          <w:iCs/>
        </w:rPr>
        <w:t xml:space="preserve">number of axles </w:t>
      </w:r>
      <w:r w:rsidRPr="00877387">
        <w:t xml:space="preserve">is the value found in columns </w:t>
      </w:r>
      <w:r>
        <w:t>40</w:t>
      </w:r>
      <w:r w:rsidRPr="00877387">
        <w:t xml:space="preserve"> and 4</w:t>
      </w:r>
      <w:r>
        <w:t>1</w:t>
      </w:r>
      <w:r w:rsidRPr="00877387">
        <w:t xml:space="preserve"> of that record.</w:t>
      </w:r>
    </w:p>
    <w:p w14:paraId="76C110CF" w14:textId="095C6BBE" w:rsidR="009B7AED" w:rsidRDefault="009B7AED" w:rsidP="00736AF3">
      <w:pPr>
        <w:pStyle w:val="TMGTableCaption"/>
      </w:pPr>
      <w:bookmarkStart w:id="3228" w:name="_Ref113280017"/>
      <w:bookmarkStart w:id="3229" w:name="_Toc109333465"/>
      <w:bookmarkStart w:id="3230" w:name="_Toc109333793"/>
      <w:bookmarkStart w:id="3231" w:name="_Toc113282538"/>
      <w:bookmarkStart w:id="3232" w:name="_Toc114474875"/>
      <w:bookmarkStart w:id="3233" w:name="_Toc120631181"/>
      <w:r>
        <w:t xml:space="preserve">Table </w:t>
      </w:r>
      <w:fldSimple w:instr=" STYLEREF 1 \s ">
        <w:r w:rsidR="00C07DF9">
          <w:rPr>
            <w:noProof/>
          </w:rPr>
          <w:t>4</w:t>
        </w:r>
      </w:fldSimple>
      <w:r>
        <w:noBreakHyphen/>
      </w:r>
      <w:fldSimple w:instr=" SEQ Table \* ARABIC \s 1 ">
        <w:r w:rsidR="00C07DF9">
          <w:rPr>
            <w:noProof/>
          </w:rPr>
          <w:t>33</w:t>
        </w:r>
      </w:fldSimple>
      <w:bookmarkEnd w:id="3228"/>
      <w:r>
        <w:t xml:space="preserve">. </w:t>
      </w:r>
      <w:r w:rsidRPr="0039147B">
        <w:t xml:space="preserve">Individual Vehicle Record Collected </w:t>
      </w:r>
      <w:r w:rsidR="00833E15">
        <w:t>b</w:t>
      </w:r>
      <w:r w:rsidRPr="0039147B">
        <w:t xml:space="preserve">y Weight (Left </w:t>
      </w:r>
      <w:r w:rsidR="004605FE">
        <w:t>a</w:t>
      </w:r>
      <w:r w:rsidRPr="0039147B">
        <w:t xml:space="preserve">nd Right) Device (Z Variant) </w:t>
      </w:r>
      <w:r>
        <w:t>–</w:t>
      </w:r>
      <w:r w:rsidR="00AC2837">
        <w:br/>
      </w:r>
      <w:r>
        <w:t>F</w:t>
      </w:r>
      <w:r w:rsidRPr="0039147B">
        <w:t>ixed</w:t>
      </w:r>
      <w:r>
        <w:t>-</w:t>
      </w:r>
      <w:r w:rsidRPr="0039147B">
        <w:t>Width</w:t>
      </w:r>
      <w:r>
        <w:t xml:space="preserve"> Format</w:t>
      </w:r>
      <w:bookmarkEnd w:id="3229"/>
      <w:bookmarkEnd w:id="3230"/>
      <w:bookmarkEnd w:id="3231"/>
      <w:bookmarkEnd w:id="3232"/>
      <w:bookmarkEnd w:id="3233"/>
    </w:p>
    <w:tbl>
      <w:tblPr>
        <w:tblStyle w:val="TableGrid"/>
        <w:tblW w:w="9360" w:type="dxa"/>
        <w:jc w:val="center"/>
        <w:tblCellMar>
          <w:left w:w="86" w:type="dxa"/>
          <w:right w:w="86" w:type="dxa"/>
        </w:tblCellMar>
        <w:tblLook w:val="04A0" w:firstRow="1" w:lastRow="0" w:firstColumn="1" w:lastColumn="0" w:noHBand="0" w:noVBand="1"/>
      </w:tblPr>
      <w:tblGrid>
        <w:gridCol w:w="625"/>
        <w:gridCol w:w="2143"/>
        <w:gridCol w:w="693"/>
        <w:gridCol w:w="3457"/>
        <w:gridCol w:w="1309"/>
        <w:gridCol w:w="1133"/>
      </w:tblGrid>
      <w:tr w:rsidR="00A26E43" w14:paraId="7ADB3750" w14:textId="77777777" w:rsidTr="00A26E43">
        <w:trPr>
          <w:tblHeader/>
          <w:jc w:val="center"/>
        </w:trPr>
        <w:tc>
          <w:tcPr>
            <w:tcW w:w="625" w:type="dxa"/>
            <w:tcBorders>
              <w:right w:val="single" w:sz="4" w:space="0" w:color="FFFFFF" w:themeColor="background1"/>
            </w:tcBorders>
            <w:shd w:val="clear" w:color="auto" w:fill="1F3864"/>
          </w:tcPr>
          <w:p w14:paraId="6C11C95A" w14:textId="461B7E40" w:rsidR="00A26E43" w:rsidRDefault="00A26E43" w:rsidP="00A26E43">
            <w:pPr>
              <w:pStyle w:val="TMGTableTextHeader"/>
            </w:pPr>
            <w:r w:rsidRPr="00FC08C7">
              <w:rPr>
                <w:rFonts w:eastAsiaTheme="minorEastAsia"/>
              </w:rPr>
              <w:t>Field</w:t>
            </w:r>
          </w:p>
        </w:tc>
        <w:tc>
          <w:tcPr>
            <w:tcW w:w="2143" w:type="dxa"/>
            <w:tcBorders>
              <w:left w:val="single" w:sz="4" w:space="0" w:color="FFFFFF" w:themeColor="background1"/>
              <w:right w:val="single" w:sz="4" w:space="0" w:color="FFFFFF" w:themeColor="background1"/>
            </w:tcBorders>
            <w:shd w:val="clear" w:color="auto" w:fill="1F3864"/>
          </w:tcPr>
          <w:p w14:paraId="0166723E" w14:textId="27C728C8" w:rsidR="00A26E43" w:rsidRDefault="00A26E43" w:rsidP="00A26E43">
            <w:pPr>
              <w:pStyle w:val="TMGTableTextHeader"/>
              <w:rPr>
                <w:rFonts w:eastAsia="MS Mincho"/>
              </w:rPr>
            </w:pPr>
            <w:r w:rsidRPr="00FC08C7">
              <w:rPr>
                <w:rFonts w:eastAsiaTheme="minorEastAsia"/>
              </w:rPr>
              <w:t>Columns</w:t>
            </w:r>
          </w:p>
        </w:tc>
        <w:tc>
          <w:tcPr>
            <w:tcW w:w="693" w:type="dxa"/>
            <w:tcBorders>
              <w:left w:val="single" w:sz="4" w:space="0" w:color="FFFFFF" w:themeColor="background1"/>
              <w:right w:val="single" w:sz="4" w:space="0" w:color="FFFFFF" w:themeColor="background1"/>
            </w:tcBorders>
            <w:shd w:val="clear" w:color="auto" w:fill="1F3864"/>
          </w:tcPr>
          <w:p w14:paraId="52396168" w14:textId="1E7437BB" w:rsidR="00A26E43" w:rsidRDefault="00A26E43" w:rsidP="00A26E43">
            <w:pPr>
              <w:pStyle w:val="TMGTableTextHeader"/>
              <w:rPr>
                <w:rFonts w:eastAsia="MS Mincho"/>
              </w:rPr>
            </w:pPr>
            <w:r w:rsidRPr="00FC08C7">
              <w:rPr>
                <w:rFonts w:eastAsiaTheme="minorEastAsia"/>
              </w:rPr>
              <w:t>Width</w:t>
            </w:r>
          </w:p>
        </w:tc>
        <w:tc>
          <w:tcPr>
            <w:tcW w:w="3457" w:type="dxa"/>
            <w:tcBorders>
              <w:left w:val="single" w:sz="4" w:space="0" w:color="FFFFFF" w:themeColor="background1"/>
              <w:right w:val="single" w:sz="4" w:space="0" w:color="FFFFFF" w:themeColor="background1"/>
            </w:tcBorders>
            <w:shd w:val="clear" w:color="auto" w:fill="1F3864"/>
          </w:tcPr>
          <w:p w14:paraId="7E5AA50D" w14:textId="6B8AC7D0" w:rsidR="00A26E43" w:rsidRDefault="00A26E43" w:rsidP="00A26E43">
            <w:pPr>
              <w:pStyle w:val="TMGTableTextHeader"/>
              <w:rPr>
                <w:rFonts w:eastAsia="MS Mincho"/>
              </w:rPr>
            </w:pPr>
            <w:r w:rsidRPr="00FC08C7">
              <w:rPr>
                <w:rFonts w:eastAsiaTheme="minorEastAsia"/>
              </w:rPr>
              <w:t>Description</w:t>
            </w:r>
          </w:p>
        </w:tc>
        <w:tc>
          <w:tcPr>
            <w:tcW w:w="1309" w:type="dxa"/>
            <w:tcBorders>
              <w:left w:val="single" w:sz="4" w:space="0" w:color="FFFFFF" w:themeColor="background1"/>
              <w:right w:val="single" w:sz="4" w:space="0" w:color="FFFFFF" w:themeColor="background1"/>
            </w:tcBorders>
            <w:shd w:val="clear" w:color="auto" w:fill="1F3864"/>
          </w:tcPr>
          <w:p w14:paraId="767AD9F5" w14:textId="46207052" w:rsidR="00A26E43" w:rsidRDefault="00A26E43" w:rsidP="00A26E43">
            <w:pPr>
              <w:pStyle w:val="TMGTableTextHeader"/>
              <w:rPr>
                <w:rFonts w:eastAsia="MS Mincho"/>
              </w:rPr>
            </w:pPr>
            <w:r w:rsidRPr="00FC08C7">
              <w:rPr>
                <w:rFonts w:eastAsiaTheme="minorEastAsia"/>
              </w:rPr>
              <w:t>Type</w:t>
            </w:r>
          </w:p>
        </w:tc>
        <w:tc>
          <w:tcPr>
            <w:tcW w:w="1133" w:type="dxa"/>
            <w:tcBorders>
              <w:left w:val="single" w:sz="4" w:space="0" w:color="FFFFFF" w:themeColor="background1"/>
            </w:tcBorders>
            <w:shd w:val="clear" w:color="auto" w:fill="1F3864"/>
          </w:tcPr>
          <w:p w14:paraId="62087E1E" w14:textId="6581DA12" w:rsidR="00A26E43" w:rsidRDefault="00A26E43" w:rsidP="00A26E43">
            <w:pPr>
              <w:pStyle w:val="TMGTableTextHeader"/>
            </w:pPr>
            <w:r w:rsidRPr="00FC08C7">
              <w:rPr>
                <w:rFonts w:eastAsiaTheme="minorEastAsia"/>
              </w:rPr>
              <w:t>Importance</w:t>
            </w:r>
          </w:p>
        </w:tc>
      </w:tr>
      <w:tr w:rsidR="00A26E43" w14:paraId="7360BAE7" w14:textId="77777777" w:rsidTr="00A26E43">
        <w:trPr>
          <w:jc w:val="center"/>
        </w:trPr>
        <w:tc>
          <w:tcPr>
            <w:tcW w:w="625" w:type="dxa"/>
          </w:tcPr>
          <w:p w14:paraId="46E5DFEA" w14:textId="4EB66086" w:rsidR="00A26E43" w:rsidRPr="00A26E43" w:rsidRDefault="00A26E43" w:rsidP="00A26E43">
            <w:pPr>
              <w:pStyle w:val="TMGTableText"/>
              <w:ind w:left="0" w:right="144"/>
              <w:jc w:val="right"/>
              <w:rPr>
                <w:b/>
                <w:bCs/>
              </w:rPr>
            </w:pPr>
            <w:r w:rsidRPr="00A26E43">
              <w:rPr>
                <w:rFonts w:eastAsiaTheme="minorEastAsia"/>
                <w:b/>
                <w:bCs/>
              </w:rPr>
              <w:t>1</w:t>
            </w:r>
          </w:p>
        </w:tc>
        <w:tc>
          <w:tcPr>
            <w:tcW w:w="2143" w:type="dxa"/>
          </w:tcPr>
          <w:p w14:paraId="7BCBE48D" w14:textId="45A1C454" w:rsidR="00A26E43" w:rsidRPr="004859C8" w:rsidRDefault="00A26E43" w:rsidP="00A26E43">
            <w:pPr>
              <w:pStyle w:val="TMGTableText"/>
              <w:jc w:val="center"/>
            </w:pPr>
            <w:r w:rsidRPr="00877387">
              <w:rPr>
                <w:rFonts w:eastAsiaTheme="minorEastAsia"/>
              </w:rPr>
              <w:t>1</w:t>
            </w:r>
          </w:p>
        </w:tc>
        <w:tc>
          <w:tcPr>
            <w:tcW w:w="693" w:type="dxa"/>
          </w:tcPr>
          <w:p w14:paraId="580BFF8A" w14:textId="69F5A793" w:rsidR="00A26E43" w:rsidRPr="004859C8" w:rsidRDefault="00A26E43" w:rsidP="00A26E43">
            <w:pPr>
              <w:pStyle w:val="TMGTableText"/>
              <w:jc w:val="center"/>
            </w:pPr>
            <w:r w:rsidRPr="00877387">
              <w:rPr>
                <w:rFonts w:eastAsiaTheme="minorEastAsia"/>
              </w:rPr>
              <w:t>1</w:t>
            </w:r>
          </w:p>
        </w:tc>
        <w:tc>
          <w:tcPr>
            <w:tcW w:w="3457" w:type="dxa"/>
            <w:vAlign w:val="center"/>
          </w:tcPr>
          <w:p w14:paraId="5F5736F5" w14:textId="102AA32C" w:rsidR="00A26E43" w:rsidRPr="004859C8" w:rsidRDefault="00A26E43" w:rsidP="00A26E43">
            <w:pPr>
              <w:pStyle w:val="TMGTableText"/>
            </w:pPr>
            <w:r w:rsidRPr="00877387">
              <w:rPr>
                <w:rFonts w:eastAsiaTheme="minorEastAsia"/>
              </w:rPr>
              <w:t>Record Type (R</w:t>
            </w:r>
            <w:r>
              <w:rPr>
                <w:rFonts w:eastAsiaTheme="minorEastAsia"/>
              </w:rPr>
              <w:t>T</w:t>
            </w:r>
            <w:r w:rsidRPr="00877387">
              <w:rPr>
                <w:rFonts w:eastAsiaTheme="minorEastAsia"/>
              </w:rPr>
              <w:t>)</w:t>
            </w:r>
          </w:p>
        </w:tc>
        <w:tc>
          <w:tcPr>
            <w:tcW w:w="1309" w:type="dxa"/>
            <w:vAlign w:val="center"/>
          </w:tcPr>
          <w:p w14:paraId="2FE44F70" w14:textId="4EC2909F" w:rsidR="00A26E43" w:rsidRPr="004859C8" w:rsidRDefault="00A26E43" w:rsidP="004605FE">
            <w:pPr>
              <w:pStyle w:val="TMGTableText"/>
              <w:jc w:val="center"/>
            </w:pPr>
            <w:r w:rsidRPr="000017C8">
              <w:t>Alphanumeric</w:t>
            </w:r>
          </w:p>
        </w:tc>
        <w:tc>
          <w:tcPr>
            <w:tcW w:w="1133" w:type="dxa"/>
            <w:vAlign w:val="center"/>
          </w:tcPr>
          <w:p w14:paraId="64C84DE2" w14:textId="19330219" w:rsidR="00A26E43" w:rsidRPr="00C251E9" w:rsidRDefault="00A26E43" w:rsidP="004605FE">
            <w:pPr>
              <w:pStyle w:val="TMGTableText"/>
              <w:jc w:val="center"/>
            </w:pPr>
            <w:r>
              <w:rPr>
                <w:rFonts w:eastAsiaTheme="minorEastAsia"/>
              </w:rPr>
              <w:t>Required</w:t>
            </w:r>
          </w:p>
        </w:tc>
      </w:tr>
      <w:tr w:rsidR="00A26E43" w14:paraId="6ECA93BE" w14:textId="77777777" w:rsidTr="00A26E43">
        <w:trPr>
          <w:jc w:val="center"/>
        </w:trPr>
        <w:tc>
          <w:tcPr>
            <w:tcW w:w="625" w:type="dxa"/>
          </w:tcPr>
          <w:p w14:paraId="60EF2E05" w14:textId="54E446DB" w:rsidR="00A26E43" w:rsidRPr="00A26E43" w:rsidRDefault="00A26E43" w:rsidP="00A26E43">
            <w:pPr>
              <w:pStyle w:val="TMGTableText"/>
              <w:ind w:left="0" w:right="144"/>
              <w:jc w:val="right"/>
              <w:rPr>
                <w:b/>
                <w:bCs/>
              </w:rPr>
            </w:pPr>
            <w:r w:rsidRPr="00A26E43">
              <w:rPr>
                <w:rFonts w:eastAsiaTheme="minorEastAsia"/>
                <w:b/>
                <w:bCs/>
              </w:rPr>
              <w:t>2</w:t>
            </w:r>
          </w:p>
        </w:tc>
        <w:tc>
          <w:tcPr>
            <w:tcW w:w="2143" w:type="dxa"/>
          </w:tcPr>
          <w:p w14:paraId="52C56AA1" w14:textId="547F2E3A" w:rsidR="00A26E43" w:rsidRPr="004859C8" w:rsidRDefault="00A26E43" w:rsidP="00A26E43">
            <w:pPr>
              <w:pStyle w:val="TMGTableText"/>
              <w:jc w:val="center"/>
            </w:pPr>
            <w:r w:rsidRPr="00877387">
              <w:rPr>
                <w:rFonts w:eastAsiaTheme="minorEastAsia"/>
              </w:rPr>
              <w:t>2-3</w:t>
            </w:r>
          </w:p>
        </w:tc>
        <w:tc>
          <w:tcPr>
            <w:tcW w:w="693" w:type="dxa"/>
          </w:tcPr>
          <w:p w14:paraId="7A988324" w14:textId="2E1D4BC6" w:rsidR="00A26E43" w:rsidRPr="004859C8" w:rsidRDefault="00A26E43" w:rsidP="00A26E43">
            <w:pPr>
              <w:pStyle w:val="TMGTableText"/>
              <w:jc w:val="center"/>
            </w:pPr>
            <w:r w:rsidRPr="00877387">
              <w:rPr>
                <w:rFonts w:eastAsiaTheme="minorEastAsia"/>
              </w:rPr>
              <w:t>2</w:t>
            </w:r>
          </w:p>
        </w:tc>
        <w:tc>
          <w:tcPr>
            <w:tcW w:w="3457" w:type="dxa"/>
            <w:vAlign w:val="center"/>
          </w:tcPr>
          <w:p w14:paraId="47EC086B" w14:textId="34F0C991" w:rsidR="00A26E43" w:rsidRPr="004859C8" w:rsidRDefault="00A26E43" w:rsidP="00A26E43">
            <w:pPr>
              <w:pStyle w:val="TMGTableText"/>
            </w:pPr>
            <w:r w:rsidRPr="00877387">
              <w:rPr>
                <w:rFonts w:eastAsiaTheme="minorEastAsia"/>
              </w:rPr>
              <w:t>State FIPS Code (SFIPS)</w:t>
            </w:r>
          </w:p>
        </w:tc>
        <w:tc>
          <w:tcPr>
            <w:tcW w:w="1309" w:type="dxa"/>
            <w:vAlign w:val="center"/>
          </w:tcPr>
          <w:p w14:paraId="450BD2F4" w14:textId="147182F7" w:rsidR="00A26E43" w:rsidRPr="004859C8" w:rsidRDefault="00A26E43" w:rsidP="004605FE">
            <w:pPr>
              <w:pStyle w:val="TMGTableText"/>
              <w:jc w:val="center"/>
            </w:pPr>
            <w:r w:rsidRPr="000017C8">
              <w:t>Integer</w:t>
            </w:r>
          </w:p>
        </w:tc>
        <w:tc>
          <w:tcPr>
            <w:tcW w:w="1133" w:type="dxa"/>
            <w:vAlign w:val="center"/>
          </w:tcPr>
          <w:p w14:paraId="71A8AB8F" w14:textId="61B9F58D" w:rsidR="00A26E43" w:rsidRPr="00C251E9" w:rsidRDefault="00A26E43" w:rsidP="004605FE">
            <w:pPr>
              <w:pStyle w:val="TMGTableText"/>
              <w:jc w:val="center"/>
            </w:pPr>
            <w:r>
              <w:rPr>
                <w:rFonts w:eastAsiaTheme="minorEastAsia"/>
              </w:rPr>
              <w:t>Required</w:t>
            </w:r>
          </w:p>
        </w:tc>
      </w:tr>
      <w:tr w:rsidR="00A26E43" w14:paraId="38A8EA0D" w14:textId="77777777" w:rsidTr="00A26E43">
        <w:trPr>
          <w:jc w:val="center"/>
        </w:trPr>
        <w:tc>
          <w:tcPr>
            <w:tcW w:w="625" w:type="dxa"/>
          </w:tcPr>
          <w:p w14:paraId="6C92D788" w14:textId="360E086D" w:rsidR="00A26E43" w:rsidRPr="00A26E43" w:rsidRDefault="00A26E43" w:rsidP="00A26E43">
            <w:pPr>
              <w:pStyle w:val="TMGTableText"/>
              <w:ind w:left="0" w:right="144"/>
              <w:jc w:val="right"/>
              <w:rPr>
                <w:b/>
                <w:bCs/>
              </w:rPr>
            </w:pPr>
            <w:r w:rsidRPr="00A26E43">
              <w:rPr>
                <w:rFonts w:eastAsiaTheme="minorEastAsia"/>
                <w:b/>
                <w:bCs/>
              </w:rPr>
              <w:t>3</w:t>
            </w:r>
          </w:p>
        </w:tc>
        <w:tc>
          <w:tcPr>
            <w:tcW w:w="2143" w:type="dxa"/>
          </w:tcPr>
          <w:p w14:paraId="586371D1" w14:textId="53660E25" w:rsidR="00A26E43" w:rsidRPr="004859C8" w:rsidRDefault="00A26E43" w:rsidP="00A26E43">
            <w:pPr>
              <w:pStyle w:val="TMGTableText"/>
              <w:jc w:val="center"/>
            </w:pPr>
            <w:r w:rsidRPr="00877387">
              <w:rPr>
                <w:rFonts w:eastAsiaTheme="minorEastAsia"/>
              </w:rPr>
              <w:t>4-9</w:t>
            </w:r>
          </w:p>
        </w:tc>
        <w:tc>
          <w:tcPr>
            <w:tcW w:w="693" w:type="dxa"/>
          </w:tcPr>
          <w:p w14:paraId="7A12510A" w14:textId="0D398566" w:rsidR="00A26E43" w:rsidRPr="004859C8" w:rsidRDefault="00A26E43" w:rsidP="00A26E43">
            <w:pPr>
              <w:pStyle w:val="TMGTableText"/>
              <w:jc w:val="center"/>
            </w:pPr>
            <w:r w:rsidRPr="00877387">
              <w:rPr>
                <w:rFonts w:eastAsiaTheme="minorEastAsia"/>
              </w:rPr>
              <w:t>6</w:t>
            </w:r>
          </w:p>
        </w:tc>
        <w:tc>
          <w:tcPr>
            <w:tcW w:w="3457" w:type="dxa"/>
            <w:vAlign w:val="center"/>
          </w:tcPr>
          <w:p w14:paraId="2BBBDEFA" w14:textId="72BF595E" w:rsidR="00A26E43" w:rsidRPr="004859C8" w:rsidRDefault="00A26E43" w:rsidP="00A26E43">
            <w:pPr>
              <w:pStyle w:val="TMGTableText"/>
            </w:pPr>
            <w:r w:rsidRPr="00877387">
              <w:rPr>
                <w:rFonts w:eastAsiaTheme="minorEastAsia"/>
              </w:rPr>
              <w:t>Station ID (ID)</w:t>
            </w:r>
          </w:p>
        </w:tc>
        <w:tc>
          <w:tcPr>
            <w:tcW w:w="1309" w:type="dxa"/>
            <w:vAlign w:val="center"/>
          </w:tcPr>
          <w:p w14:paraId="6165D77D" w14:textId="31D457A5" w:rsidR="00A26E43" w:rsidRPr="004859C8" w:rsidRDefault="00A26E43" w:rsidP="004605FE">
            <w:pPr>
              <w:pStyle w:val="TMGTableText"/>
              <w:jc w:val="center"/>
            </w:pPr>
            <w:r w:rsidRPr="000017C8">
              <w:t>Alphanumeric</w:t>
            </w:r>
          </w:p>
        </w:tc>
        <w:tc>
          <w:tcPr>
            <w:tcW w:w="1133" w:type="dxa"/>
            <w:vAlign w:val="center"/>
          </w:tcPr>
          <w:p w14:paraId="1B08B8DE" w14:textId="3A332F61" w:rsidR="00A26E43" w:rsidRPr="00C251E9" w:rsidRDefault="00A26E43" w:rsidP="004605FE">
            <w:pPr>
              <w:pStyle w:val="TMGTableText"/>
              <w:jc w:val="center"/>
            </w:pPr>
            <w:r>
              <w:rPr>
                <w:rFonts w:eastAsiaTheme="minorEastAsia"/>
              </w:rPr>
              <w:t>Required</w:t>
            </w:r>
          </w:p>
        </w:tc>
      </w:tr>
      <w:tr w:rsidR="00A26E43" w14:paraId="3B32D76D" w14:textId="77777777" w:rsidTr="00A26E43">
        <w:trPr>
          <w:jc w:val="center"/>
        </w:trPr>
        <w:tc>
          <w:tcPr>
            <w:tcW w:w="625" w:type="dxa"/>
          </w:tcPr>
          <w:p w14:paraId="4327C08D" w14:textId="58AD7F4B" w:rsidR="00A26E43" w:rsidRPr="00A26E43" w:rsidRDefault="00A26E43" w:rsidP="00A26E43">
            <w:pPr>
              <w:pStyle w:val="TMGTableText"/>
              <w:ind w:left="0" w:right="144"/>
              <w:jc w:val="right"/>
              <w:rPr>
                <w:b/>
                <w:bCs/>
              </w:rPr>
            </w:pPr>
            <w:r w:rsidRPr="00A26E43">
              <w:rPr>
                <w:rFonts w:eastAsiaTheme="minorEastAsia"/>
                <w:b/>
                <w:bCs/>
              </w:rPr>
              <w:t>4</w:t>
            </w:r>
          </w:p>
        </w:tc>
        <w:tc>
          <w:tcPr>
            <w:tcW w:w="2143" w:type="dxa"/>
          </w:tcPr>
          <w:p w14:paraId="6712B42B" w14:textId="12F93F09" w:rsidR="00A26E43" w:rsidRPr="004859C8" w:rsidRDefault="00A26E43" w:rsidP="00A26E43">
            <w:pPr>
              <w:pStyle w:val="TMGTableText"/>
              <w:jc w:val="center"/>
            </w:pPr>
            <w:r w:rsidRPr="00877387">
              <w:rPr>
                <w:rFonts w:eastAsiaTheme="minorEastAsia"/>
              </w:rPr>
              <w:t>10</w:t>
            </w:r>
          </w:p>
        </w:tc>
        <w:tc>
          <w:tcPr>
            <w:tcW w:w="693" w:type="dxa"/>
          </w:tcPr>
          <w:p w14:paraId="5396B262" w14:textId="7EF3E720" w:rsidR="00A26E43" w:rsidRPr="004859C8" w:rsidRDefault="00A26E43" w:rsidP="00A26E43">
            <w:pPr>
              <w:pStyle w:val="TMGTableText"/>
              <w:jc w:val="center"/>
            </w:pPr>
            <w:r w:rsidRPr="00877387">
              <w:rPr>
                <w:rFonts w:eastAsiaTheme="minorEastAsia"/>
              </w:rPr>
              <w:t>1</w:t>
            </w:r>
          </w:p>
        </w:tc>
        <w:tc>
          <w:tcPr>
            <w:tcW w:w="3457" w:type="dxa"/>
            <w:vAlign w:val="center"/>
          </w:tcPr>
          <w:p w14:paraId="57462E7F" w14:textId="6DF6B2EE" w:rsidR="00A26E43" w:rsidRPr="004859C8" w:rsidRDefault="00A26E43" w:rsidP="00A26E43">
            <w:pPr>
              <w:pStyle w:val="TMGTableText"/>
            </w:pPr>
            <w:r w:rsidRPr="00877387">
              <w:rPr>
                <w:rFonts w:eastAsiaTheme="minorEastAsia"/>
              </w:rPr>
              <w:t>Direction of Travel (D</w:t>
            </w:r>
            <w:r>
              <w:rPr>
                <w:rFonts w:eastAsiaTheme="minorEastAsia"/>
              </w:rPr>
              <w:t>IR</w:t>
            </w:r>
            <w:r w:rsidRPr="00877387">
              <w:rPr>
                <w:rFonts w:eastAsiaTheme="minorEastAsia"/>
              </w:rPr>
              <w:t>)</w:t>
            </w:r>
          </w:p>
        </w:tc>
        <w:tc>
          <w:tcPr>
            <w:tcW w:w="1309" w:type="dxa"/>
            <w:vAlign w:val="center"/>
          </w:tcPr>
          <w:p w14:paraId="3A729042" w14:textId="2C3B3B7D" w:rsidR="00A26E43" w:rsidRPr="004859C8" w:rsidRDefault="00A26E43" w:rsidP="004605FE">
            <w:pPr>
              <w:pStyle w:val="TMGTableText"/>
              <w:jc w:val="center"/>
            </w:pPr>
            <w:r w:rsidRPr="000017C8">
              <w:t>Integer</w:t>
            </w:r>
          </w:p>
        </w:tc>
        <w:tc>
          <w:tcPr>
            <w:tcW w:w="1133" w:type="dxa"/>
            <w:vAlign w:val="center"/>
          </w:tcPr>
          <w:p w14:paraId="581510D0" w14:textId="7765FAF4" w:rsidR="00A26E43" w:rsidRPr="00C251E9" w:rsidRDefault="00A26E43" w:rsidP="004605FE">
            <w:pPr>
              <w:pStyle w:val="TMGTableText"/>
              <w:jc w:val="center"/>
            </w:pPr>
            <w:r>
              <w:rPr>
                <w:rFonts w:eastAsiaTheme="minorEastAsia"/>
              </w:rPr>
              <w:t>Required</w:t>
            </w:r>
          </w:p>
        </w:tc>
      </w:tr>
      <w:tr w:rsidR="00A26E43" w14:paraId="021DB4C8" w14:textId="77777777" w:rsidTr="00A26E43">
        <w:trPr>
          <w:jc w:val="center"/>
        </w:trPr>
        <w:tc>
          <w:tcPr>
            <w:tcW w:w="625" w:type="dxa"/>
          </w:tcPr>
          <w:p w14:paraId="287F3E9A" w14:textId="1E596CF6" w:rsidR="00A26E43" w:rsidRPr="00A26E43" w:rsidRDefault="00A26E43" w:rsidP="00A26E43">
            <w:pPr>
              <w:pStyle w:val="TMGTableText"/>
              <w:ind w:left="0" w:right="144"/>
              <w:jc w:val="right"/>
              <w:rPr>
                <w:b/>
                <w:bCs/>
              </w:rPr>
            </w:pPr>
            <w:r w:rsidRPr="00A26E43">
              <w:rPr>
                <w:rFonts w:eastAsiaTheme="minorEastAsia"/>
                <w:b/>
                <w:bCs/>
              </w:rPr>
              <w:t>5</w:t>
            </w:r>
          </w:p>
        </w:tc>
        <w:tc>
          <w:tcPr>
            <w:tcW w:w="2143" w:type="dxa"/>
          </w:tcPr>
          <w:p w14:paraId="349150CB" w14:textId="67B5D8D4" w:rsidR="00A26E43" w:rsidRPr="004859C8" w:rsidRDefault="00A26E43" w:rsidP="00A26E43">
            <w:pPr>
              <w:pStyle w:val="TMGTableText"/>
              <w:jc w:val="center"/>
            </w:pPr>
            <w:r w:rsidRPr="00877387">
              <w:rPr>
                <w:rFonts w:eastAsiaTheme="minorEastAsia"/>
              </w:rPr>
              <w:t>11</w:t>
            </w:r>
          </w:p>
        </w:tc>
        <w:tc>
          <w:tcPr>
            <w:tcW w:w="693" w:type="dxa"/>
          </w:tcPr>
          <w:p w14:paraId="45D55416" w14:textId="464C3773" w:rsidR="00A26E43" w:rsidRPr="004859C8" w:rsidRDefault="00A26E43" w:rsidP="00A26E43">
            <w:pPr>
              <w:pStyle w:val="TMGTableText"/>
              <w:jc w:val="center"/>
            </w:pPr>
            <w:r w:rsidRPr="00877387">
              <w:rPr>
                <w:rFonts w:eastAsiaTheme="minorEastAsia"/>
              </w:rPr>
              <w:t>1</w:t>
            </w:r>
          </w:p>
        </w:tc>
        <w:tc>
          <w:tcPr>
            <w:tcW w:w="3457" w:type="dxa"/>
            <w:vAlign w:val="center"/>
          </w:tcPr>
          <w:p w14:paraId="2407AFC1" w14:textId="74F808F9" w:rsidR="00A26E43" w:rsidRPr="004859C8" w:rsidRDefault="00A26E43" w:rsidP="00A26E43">
            <w:pPr>
              <w:pStyle w:val="TMGTableText"/>
            </w:pPr>
            <w:r w:rsidRPr="00877387">
              <w:rPr>
                <w:rFonts w:eastAsiaTheme="minorEastAsia"/>
              </w:rPr>
              <w:t>Lane of Travel (L</w:t>
            </w:r>
            <w:r>
              <w:rPr>
                <w:rFonts w:eastAsiaTheme="minorEastAsia"/>
              </w:rPr>
              <w:t>N</w:t>
            </w:r>
            <w:r w:rsidRPr="00877387">
              <w:rPr>
                <w:rFonts w:eastAsiaTheme="minorEastAsia"/>
              </w:rPr>
              <w:t>)</w:t>
            </w:r>
          </w:p>
        </w:tc>
        <w:tc>
          <w:tcPr>
            <w:tcW w:w="1309" w:type="dxa"/>
            <w:vAlign w:val="center"/>
          </w:tcPr>
          <w:p w14:paraId="55EE37D5" w14:textId="6A7D1C42" w:rsidR="00A26E43" w:rsidRPr="004859C8" w:rsidRDefault="00A26E43" w:rsidP="004605FE">
            <w:pPr>
              <w:pStyle w:val="TMGTableText"/>
              <w:jc w:val="center"/>
            </w:pPr>
            <w:r w:rsidRPr="005D11F1">
              <w:t>Integer</w:t>
            </w:r>
          </w:p>
        </w:tc>
        <w:tc>
          <w:tcPr>
            <w:tcW w:w="1133" w:type="dxa"/>
            <w:vAlign w:val="center"/>
          </w:tcPr>
          <w:p w14:paraId="2EE0D37A" w14:textId="5CB20E14" w:rsidR="00A26E43" w:rsidRPr="00C251E9" w:rsidRDefault="00A26E43" w:rsidP="004605FE">
            <w:pPr>
              <w:pStyle w:val="TMGTableText"/>
              <w:jc w:val="center"/>
            </w:pPr>
            <w:r>
              <w:rPr>
                <w:rFonts w:eastAsiaTheme="minorEastAsia"/>
              </w:rPr>
              <w:t>Required</w:t>
            </w:r>
          </w:p>
        </w:tc>
      </w:tr>
      <w:tr w:rsidR="00A26E43" w14:paraId="0F2FDFF8" w14:textId="77777777" w:rsidTr="00A26E43">
        <w:trPr>
          <w:jc w:val="center"/>
        </w:trPr>
        <w:tc>
          <w:tcPr>
            <w:tcW w:w="625" w:type="dxa"/>
          </w:tcPr>
          <w:p w14:paraId="48AD1EBE" w14:textId="35D30A01" w:rsidR="00A26E43" w:rsidRPr="00A26E43" w:rsidRDefault="00A26E43" w:rsidP="00A26E43">
            <w:pPr>
              <w:pStyle w:val="TMGTableText"/>
              <w:ind w:left="0" w:right="144"/>
              <w:jc w:val="right"/>
              <w:rPr>
                <w:b/>
                <w:bCs/>
              </w:rPr>
            </w:pPr>
            <w:r w:rsidRPr="00A26E43">
              <w:rPr>
                <w:rFonts w:eastAsiaTheme="minorEastAsia"/>
                <w:b/>
                <w:bCs/>
              </w:rPr>
              <w:t>6</w:t>
            </w:r>
          </w:p>
        </w:tc>
        <w:tc>
          <w:tcPr>
            <w:tcW w:w="2143" w:type="dxa"/>
          </w:tcPr>
          <w:p w14:paraId="348140CF" w14:textId="7C33A20D" w:rsidR="00A26E43" w:rsidRPr="004859C8" w:rsidRDefault="00A26E43" w:rsidP="00A26E43">
            <w:pPr>
              <w:pStyle w:val="TMGTableText"/>
              <w:jc w:val="center"/>
            </w:pPr>
            <w:r w:rsidRPr="00877387">
              <w:rPr>
                <w:rFonts w:eastAsiaTheme="minorEastAsia"/>
              </w:rPr>
              <w:t>12-15</w:t>
            </w:r>
          </w:p>
        </w:tc>
        <w:tc>
          <w:tcPr>
            <w:tcW w:w="693" w:type="dxa"/>
          </w:tcPr>
          <w:p w14:paraId="5DA01140" w14:textId="63DCB6D2" w:rsidR="00A26E43" w:rsidRPr="004859C8" w:rsidRDefault="00A26E43" w:rsidP="00A26E43">
            <w:pPr>
              <w:pStyle w:val="TMGTableText"/>
              <w:jc w:val="center"/>
            </w:pPr>
            <w:r w:rsidRPr="00877387">
              <w:rPr>
                <w:rFonts w:eastAsiaTheme="minorEastAsia"/>
              </w:rPr>
              <w:t>4</w:t>
            </w:r>
          </w:p>
        </w:tc>
        <w:tc>
          <w:tcPr>
            <w:tcW w:w="3457" w:type="dxa"/>
            <w:vAlign w:val="center"/>
          </w:tcPr>
          <w:p w14:paraId="60C2AC19" w14:textId="255E77EC" w:rsidR="00A26E43" w:rsidRPr="004859C8" w:rsidRDefault="00A26E43" w:rsidP="00A26E43">
            <w:pPr>
              <w:pStyle w:val="TMGTableText"/>
            </w:pPr>
            <w:r w:rsidRPr="00877387">
              <w:rPr>
                <w:rFonts w:eastAsiaTheme="minorEastAsia"/>
              </w:rPr>
              <w:t>Year of Data (YR)</w:t>
            </w:r>
          </w:p>
        </w:tc>
        <w:tc>
          <w:tcPr>
            <w:tcW w:w="1309" w:type="dxa"/>
            <w:vAlign w:val="center"/>
          </w:tcPr>
          <w:p w14:paraId="275131D8" w14:textId="342B6636" w:rsidR="00A26E43" w:rsidRPr="004859C8" w:rsidRDefault="00A26E43" w:rsidP="004605FE">
            <w:pPr>
              <w:pStyle w:val="TMGTableText"/>
              <w:jc w:val="center"/>
            </w:pPr>
            <w:r w:rsidRPr="005D11F1">
              <w:t>Integer</w:t>
            </w:r>
          </w:p>
        </w:tc>
        <w:tc>
          <w:tcPr>
            <w:tcW w:w="1133" w:type="dxa"/>
            <w:vAlign w:val="center"/>
          </w:tcPr>
          <w:p w14:paraId="70F2017C" w14:textId="7FFCF869" w:rsidR="00A26E43" w:rsidRPr="00C251E9" w:rsidRDefault="00A26E43" w:rsidP="004605FE">
            <w:pPr>
              <w:pStyle w:val="TMGTableText"/>
              <w:jc w:val="center"/>
            </w:pPr>
            <w:r>
              <w:rPr>
                <w:rFonts w:eastAsiaTheme="minorEastAsia"/>
              </w:rPr>
              <w:t>Required</w:t>
            </w:r>
          </w:p>
        </w:tc>
      </w:tr>
      <w:tr w:rsidR="00A26E43" w14:paraId="34C79B72" w14:textId="77777777" w:rsidTr="00A26E43">
        <w:trPr>
          <w:jc w:val="center"/>
        </w:trPr>
        <w:tc>
          <w:tcPr>
            <w:tcW w:w="625" w:type="dxa"/>
          </w:tcPr>
          <w:p w14:paraId="3AAFF28E" w14:textId="26D2C956" w:rsidR="00A26E43" w:rsidRPr="00A26E43" w:rsidRDefault="00A26E43" w:rsidP="00A26E43">
            <w:pPr>
              <w:pStyle w:val="TMGTableText"/>
              <w:ind w:left="0" w:right="144"/>
              <w:jc w:val="right"/>
              <w:rPr>
                <w:b/>
                <w:bCs/>
              </w:rPr>
            </w:pPr>
            <w:r w:rsidRPr="00A26E43">
              <w:rPr>
                <w:rFonts w:eastAsiaTheme="minorEastAsia"/>
                <w:b/>
                <w:bCs/>
              </w:rPr>
              <w:t>7</w:t>
            </w:r>
          </w:p>
        </w:tc>
        <w:tc>
          <w:tcPr>
            <w:tcW w:w="2143" w:type="dxa"/>
          </w:tcPr>
          <w:p w14:paraId="0AF8F3AD" w14:textId="7F829F03" w:rsidR="00A26E43" w:rsidRPr="004859C8" w:rsidRDefault="00A26E43" w:rsidP="00A26E43">
            <w:pPr>
              <w:pStyle w:val="TMGTableText"/>
              <w:jc w:val="center"/>
            </w:pPr>
            <w:r w:rsidRPr="00877387">
              <w:rPr>
                <w:rFonts w:eastAsiaTheme="minorEastAsia"/>
              </w:rPr>
              <w:t>16-17</w:t>
            </w:r>
          </w:p>
        </w:tc>
        <w:tc>
          <w:tcPr>
            <w:tcW w:w="693" w:type="dxa"/>
            <w:vAlign w:val="center"/>
          </w:tcPr>
          <w:p w14:paraId="0BA8EF45" w14:textId="511B2DD3" w:rsidR="00A26E43" w:rsidRPr="004859C8" w:rsidRDefault="00A26E43" w:rsidP="00A26E43">
            <w:pPr>
              <w:pStyle w:val="TMGTableText"/>
              <w:jc w:val="center"/>
            </w:pPr>
            <w:r w:rsidRPr="00877387">
              <w:rPr>
                <w:rFonts w:eastAsiaTheme="minorEastAsia"/>
              </w:rPr>
              <w:t>2</w:t>
            </w:r>
          </w:p>
        </w:tc>
        <w:tc>
          <w:tcPr>
            <w:tcW w:w="3457" w:type="dxa"/>
            <w:vAlign w:val="center"/>
          </w:tcPr>
          <w:p w14:paraId="6AEFDF1D" w14:textId="1AB9DBAF" w:rsidR="00A26E43" w:rsidRPr="004859C8" w:rsidRDefault="00A26E43" w:rsidP="00A26E43">
            <w:pPr>
              <w:pStyle w:val="TMGTableText"/>
            </w:pPr>
            <w:r w:rsidRPr="00877387">
              <w:rPr>
                <w:rFonts w:eastAsiaTheme="minorEastAsia"/>
              </w:rPr>
              <w:t>Month of Year (MOY)</w:t>
            </w:r>
          </w:p>
        </w:tc>
        <w:tc>
          <w:tcPr>
            <w:tcW w:w="1309" w:type="dxa"/>
            <w:vAlign w:val="center"/>
          </w:tcPr>
          <w:p w14:paraId="0F4F4C75" w14:textId="672D8EDB" w:rsidR="00A26E43" w:rsidRPr="004859C8" w:rsidRDefault="00A26E43" w:rsidP="004605FE">
            <w:pPr>
              <w:pStyle w:val="TMGTableText"/>
              <w:jc w:val="center"/>
            </w:pPr>
            <w:r w:rsidRPr="005D11F1">
              <w:t>Integer</w:t>
            </w:r>
          </w:p>
        </w:tc>
        <w:tc>
          <w:tcPr>
            <w:tcW w:w="1133" w:type="dxa"/>
            <w:vAlign w:val="center"/>
          </w:tcPr>
          <w:p w14:paraId="7034CDC9" w14:textId="59CE4FEF" w:rsidR="00A26E43" w:rsidRPr="00C251E9" w:rsidRDefault="00A26E43" w:rsidP="004605FE">
            <w:pPr>
              <w:pStyle w:val="TMGTableText"/>
              <w:jc w:val="center"/>
            </w:pPr>
            <w:r>
              <w:rPr>
                <w:rFonts w:eastAsiaTheme="minorEastAsia"/>
              </w:rPr>
              <w:t>Required</w:t>
            </w:r>
          </w:p>
        </w:tc>
      </w:tr>
      <w:tr w:rsidR="00A26E43" w14:paraId="1594CD3D" w14:textId="77777777" w:rsidTr="00A26E43">
        <w:trPr>
          <w:jc w:val="center"/>
        </w:trPr>
        <w:tc>
          <w:tcPr>
            <w:tcW w:w="625" w:type="dxa"/>
          </w:tcPr>
          <w:p w14:paraId="68A32EF7" w14:textId="5ADD5EA3" w:rsidR="00A26E43" w:rsidRPr="00A26E43" w:rsidRDefault="00A26E43" w:rsidP="00A26E43">
            <w:pPr>
              <w:pStyle w:val="TMGTableText"/>
              <w:ind w:left="0" w:right="144"/>
              <w:jc w:val="right"/>
              <w:rPr>
                <w:b/>
                <w:bCs/>
              </w:rPr>
            </w:pPr>
            <w:r w:rsidRPr="00A26E43">
              <w:rPr>
                <w:rFonts w:eastAsiaTheme="minorEastAsia"/>
                <w:b/>
                <w:bCs/>
              </w:rPr>
              <w:t>8</w:t>
            </w:r>
          </w:p>
        </w:tc>
        <w:tc>
          <w:tcPr>
            <w:tcW w:w="2143" w:type="dxa"/>
          </w:tcPr>
          <w:p w14:paraId="574DAFAB" w14:textId="798472BF" w:rsidR="00A26E43" w:rsidRPr="004859C8" w:rsidRDefault="00A26E43" w:rsidP="00A26E43">
            <w:pPr>
              <w:pStyle w:val="TMGTableText"/>
              <w:jc w:val="center"/>
            </w:pPr>
            <w:r w:rsidRPr="00877387">
              <w:rPr>
                <w:rFonts w:eastAsiaTheme="minorEastAsia"/>
              </w:rPr>
              <w:t>18-19</w:t>
            </w:r>
          </w:p>
        </w:tc>
        <w:tc>
          <w:tcPr>
            <w:tcW w:w="693" w:type="dxa"/>
            <w:vAlign w:val="center"/>
          </w:tcPr>
          <w:p w14:paraId="5A590936" w14:textId="6932F9ED" w:rsidR="00A26E43" w:rsidRPr="004859C8" w:rsidRDefault="00A26E43" w:rsidP="00A26E43">
            <w:pPr>
              <w:pStyle w:val="TMGTableText"/>
              <w:jc w:val="center"/>
            </w:pPr>
            <w:r w:rsidRPr="00877387">
              <w:rPr>
                <w:rFonts w:eastAsiaTheme="minorEastAsia"/>
              </w:rPr>
              <w:t>2</w:t>
            </w:r>
          </w:p>
        </w:tc>
        <w:tc>
          <w:tcPr>
            <w:tcW w:w="3457" w:type="dxa"/>
            <w:vAlign w:val="center"/>
          </w:tcPr>
          <w:p w14:paraId="24C35182" w14:textId="63AAF2B4" w:rsidR="00A26E43" w:rsidRPr="004859C8" w:rsidRDefault="00A26E43" w:rsidP="00A26E43">
            <w:pPr>
              <w:pStyle w:val="TMGTableText"/>
            </w:pPr>
            <w:r w:rsidRPr="00877387">
              <w:rPr>
                <w:rFonts w:eastAsiaTheme="minorEastAsia"/>
              </w:rPr>
              <w:t>Day of Month (DOM)</w:t>
            </w:r>
          </w:p>
        </w:tc>
        <w:tc>
          <w:tcPr>
            <w:tcW w:w="1309" w:type="dxa"/>
            <w:vAlign w:val="center"/>
          </w:tcPr>
          <w:p w14:paraId="741AA97C" w14:textId="302DDC07" w:rsidR="00A26E43" w:rsidRPr="004859C8" w:rsidRDefault="00A26E43" w:rsidP="004605FE">
            <w:pPr>
              <w:pStyle w:val="TMGTableText"/>
              <w:jc w:val="center"/>
            </w:pPr>
            <w:r w:rsidRPr="005D11F1">
              <w:t>Integer</w:t>
            </w:r>
          </w:p>
        </w:tc>
        <w:tc>
          <w:tcPr>
            <w:tcW w:w="1133" w:type="dxa"/>
            <w:vAlign w:val="center"/>
          </w:tcPr>
          <w:p w14:paraId="3DE50244" w14:textId="6A5EBCF3" w:rsidR="00A26E43" w:rsidRPr="00C251E9" w:rsidRDefault="00A26E43" w:rsidP="004605FE">
            <w:pPr>
              <w:pStyle w:val="TMGTableText"/>
              <w:jc w:val="center"/>
            </w:pPr>
            <w:r>
              <w:rPr>
                <w:rFonts w:eastAsiaTheme="minorEastAsia"/>
              </w:rPr>
              <w:t>Required</w:t>
            </w:r>
          </w:p>
        </w:tc>
      </w:tr>
      <w:tr w:rsidR="00A26E43" w14:paraId="01AED6A7" w14:textId="77777777" w:rsidTr="00A26E43">
        <w:trPr>
          <w:jc w:val="center"/>
        </w:trPr>
        <w:tc>
          <w:tcPr>
            <w:tcW w:w="625" w:type="dxa"/>
          </w:tcPr>
          <w:p w14:paraId="08924B2B" w14:textId="4F83B043" w:rsidR="00A26E43" w:rsidRPr="00A26E43" w:rsidRDefault="00A26E43" w:rsidP="00A26E43">
            <w:pPr>
              <w:pStyle w:val="TMGTableText"/>
              <w:ind w:left="0" w:right="144"/>
              <w:jc w:val="right"/>
              <w:rPr>
                <w:b/>
                <w:bCs/>
              </w:rPr>
            </w:pPr>
            <w:r w:rsidRPr="00A26E43">
              <w:rPr>
                <w:rFonts w:eastAsiaTheme="minorEastAsia"/>
                <w:b/>
                <w:bCs/>
              </w:rPr>
              <w:t>9</w:t>
            </w:r>
          </w:p>
        </w:tc>
        <w:tc>
          <w:tcPr>
            <w:tcW w:w="2143" w:type="dxa"/>
          </w:tcPr>
          <w:p w14:paraId="6F5A7853" w14:textId="0A0DC918" w:rsidR="00A26E43" w:rsidRPr="004859C8" w:rsidRDefault="00A26E43" w:rsidP="00A26E43">
            <w:pPr>
              <w:pStyle w:val="TMGTableText"/>
              <w:jc w:val="center"/>
            </w:pPr>
            <w:r w:rsidRPr="00877387">
              <w:rPr>
                <w:rFonts w:eastAsiaTheme="minorEastAsia"/>
              </w:rPr>
              <w:t>20-21</w:t>
            </w:r>
          </w:p>
        </w:tc>
        <w:tc>
          <w:tcPr>
            <w:tcW w:w="693" w:type="dxa"/>
            <w:vAlign w:val="center"/>
          </w:tcPr>
          <w:p w14:paraId="7CC701D5" w14:textId="4DE84D86" w:rsidR="00A26E43" w:rsidRPr="004859C8" w:rsidRDefault="00A26E43" w:rsidP="00A26E43">
            <w:pPr>
              <w:pStyle w:val="TMGTableText"/>
              <w:jc w:val="center"/>
            </w:pPr>
            <w:r w:rsidRPr="00877387">
              <w:rPr>
                <w:rFonts w:eastAsiaTheme="minorEastAsia"/>
              </w:rPr>
              <w:t>2</w:t>
            </w:r>
          </w:p>
        </w:tc>
        <w:tc>
          <w:tcPr>
            <w:tcW w:w="3457" w:type="dxa"/>
            <w:vAlign w:val="center"/>
          </w:tcPr>
          <w:p w14:paraId="799E47FB" w14:textId="63F2E32C" w:rsidR="00A26E43" w:rsidRPr="004859C8" w:rsidRDefault="00A26E43" w:rsidP="00A26E43">
            <w:pPr>
              <w:pStyle w:val="TMGTableText"/>
            </w:pPr>
            <w:r w:rsidRPr="00877387">
              <w:rPr>
                <w:rFonts w:eastAsiaTheme="minorEastAsia"/>
              </w:rPr>
              <w:t>Hour of Day (HOD)</w:t>
            </w:r>
          </w:p>
        </w:tc>
        <w:tc>
          <w:tcPr>
            <w:tcW w:w="1309" w:type="dxa"/>
            <w:vAlign w:val="center"/>
          </w:tcPr>
          <w:p w14:paraId="483C4EE9" w14:textId="7801F27C" w:rsidR="00A26E43" w:rsidRPr="004859C8" w:rsidRDefault="00A26E43" w:rsidP="004605FE">
            <w:pPr>
              <w:pStyle w:val="TMGTableText"/>
              <w:jc w:val="center"/>
            </w:pPr>
            <w:r w:rsidRPr="005D11F1">
              <w:t>Integer</w:t>
            </w:r>
          </w:p>
        </w:tc>
        <w:tc>
          <w:tcPr>
            <w:tcW w:w="1133" w:type="dxa"/>
            <w:vAlign w:val="center"/>
          </w:tcPr>
          <w:p w14:paraId="4CAC1BAF" w14:textId="7DC087A3" w:rsidR="00A26E43" w:rsidRPr="00C251E9" w:rsidRDefault="00A26E43" w:rsidP="004605FE">
            <w:pPr>
              <w:pStyle w:val="TMGTableText"/>
              <w:jc w:val="center"/>
            </w:pPr>
            <w:r>
              <w:rPr>
                <w:rFonts w:eastAsiaTheme="minorEastAsia"/>
              </w:rPr>
              <w:t>Required</w:t>
            </w:r>
          </w:p>
        </w:tc>
      </w:tr>
      <w:tr w:rsidR="00A26E43" w14:paraId="0E6CAF76" w14:textId="77777777" w:rsidTr="00A26E43">
        <w:trPr>
          <w:jc w:val="center"/>
        </w:trPr>
        <w:tc>
          <w:tcPr>
            <w:tcW w:w="625" w:type="dxa"/>
          </w:tcPr>
          <w:p w14:paraId="2B6D827C" w14:textId="5E207D83" w:rsidR="00A26E43" w:rsidRPr="00A26E43" w:rsidRDefault="00A26E43" w:rsidP="00A26E43">
            <w:pPr>
              <w:pStyle w:val="TMGTableText"/>
              <w:ind w:left="0" w:right="144"/>
              <w:jc w:val="right"/>
              <w:rPr>
                <w:b/>
                <w:bCs/>
              </w:rPr>
            </w:pPr>
            <w:r w:rsidRPr="00A26E43">
              <w:rPr>
                <w:rFonts w:eastAsiaTheme="minorEastAsia"/>
                <w:b/>
                <w:bCs/>
              </w:rPr>
              <w:t>10</w:t>
            </w:r>
          </w:p>
        </w:tc>
        <w:tc>
          <w:tcPr>
            <w:tcW w:w="2143" w:type="dxa"/>
          </w:tcPr>
          <w:p w14:paraId="2333A345" w14:textId="1F7BE9D3" w:rsidR="00A26E43" w:rsidRPr="004859C8" w:rsidRDefault="00A26E43" w:rsidP="00A26E43">
            <w:pPr>
              <w:pStyle w:val="TMGTableText"/>
              <w:jc w:val="center"/>
            </w:pPr>
            <w:r w:rsidRPr="00877387">
              <w:rPr>
                <w:rFonts w:eastAsiaTheme="minorEastAsia"/>
              </w:rPr>
              <w:t>22-23</w:t>
            </w:r>
          </w:p>
        </w:tc>
        <w:tc>
          <w:tcPr>
            <w:tcW w:w="693" w:type="dxa"/>
            <w:vAlign w:val="center"/>
          </w:tcPr>
          <w:p w14:paraId="0F0B5ED8" w14:textId="6FC61852" w:rsidR="00A26E43" w:rsidRPr="004859C8" w:rsidRDefault="00A26E43" w:rsidP="00A26E43">
            <w:pPr>
              <w:pStyle w:val="TMGTableText"/>
              <w:jc w:val="center"/>
            </w:pPr>
            <w:r w:rsidRPr="00877387">
              <w:rPr>
                <w:rFonts w:eastAsiaTheme="minorEastAsia"/>
              </w:rPr>
              <w:t>2</w:t>
            </w:r>
          </w:p>
        </w:tc>
        <w:tc>
          <w:tcPr>
            <w:tcW w:w="3457" w:type="dxa"/>
            <w:vAlign w:val="center"/>
          </w:tcPr>
          <w:p w14:paraId="4242309A" w14:textId="1D9FE55F" w:rsidR="00A26E43" w:rsidRPr="004859C8" w:rsidRDefault="00A26E43" w:rsidP="00A26E43">
            <w:pPr>
              <w:pStyle w:val="TMGTableText"/>
            </w:pPr>
            <w:r w:rsidRPr="00877387">
              <w:rPr>
                <w:rFonts w:eastAsiaTheme="minorEastAsia"/>
              </w:rPr>
              <w:t>Minute of Hour (MOH)</w:t>
            </w:r>
          </w:p>
        </w:tc>
        <w:tc>
          <w:tcPr>
            <w:tcW w:w="1309" w:type="dxa"/>
            <w:vAlign w:val="center"/>
          </w:tcPr>
          <w:p w14:paraId="004F5D44" w14:textId="1A2F306D" w:rsidR="00A26E43" w:rsidRPr="004859C8" w:rsidRDefault="00A26E43" w:rsidP="004605FE">
            <w:pPr>
              <w:pStyle w:val="TMGTableText"/>
              <w:jc w:val="center"/>
            </w:pPr>
            <w:r w:rsidRPr="005D11F1">
              <w:t>Integer</w:t>
            </w:r>
          </w:p>
        </w:tc>
        <w:tc>
          <w:tcPr>
            <w:tcW w:w="1133" w:type="dxa"/>
            <w:vAlign w:val="center"/>
          </w:tcPr>
          <w:p w14:paraId="7FB99A98" w14:textId="1F6180F1" w:rsidR="00A26E43" w:rsidRPr="00C251E9" w:rsidRDefault="00A26E43" w:rsidP="004605FE">
            <w:pPr>
              <w:pStyle w:val="TMGTableText"/>
              <w:jc w:val="center"/>
            </w:pPr>
            <w:r>
              <w:rPr>
                <w:rFonts w:eastAsiaTheme="minorEastAsia"/>
              </w:rPr>
              <w:t>Required</w:t>
            </w:r>
          </w:p>
        </w:tc>
      </w:tr>
      <w:tr w:rsidR="00A26E43" w14:paraId="450BD1EE" w14:textId="77777777" w:rsidTr="00A26E43">
        <w:trPr>
          <w:jc w:val="center"/>
        </w:trPr>
        <w:tc>
          <w:tcPr>
            <w:tcW w:w="625" w:type="dxa"/>
          </w:tcPr>
          <w:p w14:paraId="7A93F57D" w14:textId="2465850B" w:rsidR="00A26E43" w:rsidRPr="00A26E43" w:rsidRDefault="00A26E43" w:rsidP="00A26E43">
            <w:pPr>
              <w:pStyle w:val="TMGTableText"/>
              <w:ind w:left="0" w:right="144"/>
              <w:jc w:val="right"/>
              <w:rPr>
                <w:b/>
                <w:bCs/>
              </w:rPr>
            </w:pPr>
            <w:r w:rsidRPr="00A26E43">
              <w:rPr>
                <w:rFonts w:eastAsiaTheme="minorEastAsia"/>
                <w:b/>
                <w:bCs/>
              </w:rPr>
              <w:t>11</w:t>
            </w:r>
          </w:p>
        </w:tc>
        <w:tc>
          <w:tcPr>
            <w:tcW w:w="2143" w:type="dxa"/>
          </w:tcPr>
          <w:p w14:paraId="193DC262" w14:textId="65ADB868" w:rsidR="00A26E43" w:rsidRPr="004859C8" w:rsidRDefault="00A26E43" w:rsidP="00A26E43">
            <w:pPr>
              <w:pStyle w:val="TMGTableText"/>
              <w:jc w:val="center"/>
            </w:pPr>
            <w:r w:rsidRPr="00877387">
              <w:rPr>
                <w:rFonts w:eastAsiaTheme="minorEastAsia"/>
              </w:rPr>
              <w:t>24-25</w:t>
            </w:r>
          </w:p>
        </w:tc>
        <w:tc>
          <w:tcPr>
            <w:tcW w:w="693" w:type="dxa"/>
            <w:vAlign w:val="center"/>
          </w:tcPr>
          <w:p w14:paraId="7156FABF" w14:textId="54885D93" w:rsidR="00A26E43" w:rsidRPr="004859C8" w:rsidRDefault="00A26E43" w:rsidP="00A26E43">
            <w:pPr>
              <w:pStyle w:val="TMGTableText"/>
              <w:jc w:val="center"/>
            </w:pPr>
            <w:r w:rsidRPr="00877387">
              <w:rPr>
                <w:rFonts w:eastAsiaTheme="minorEastAsia"/>
              </w:rPr>
              <w:t>2</w:t>
            </w:r>
          </w:p>
        </w:tc>
        <w:tc>
          <w:tcPr>
            <w:tcW w:w="3457" w:type="dxa"/>
            <w:vAlign w:val="center"/>
          </w:tcPr>
          <w:p w14:paraId="30DE66BA" w14:textId="0E7AAA8B" w:rsidR="00A26E43" w:rsidRPr="004859C8" w:rsidRDefault="00A26E43" w:rsidP="00A26E43">
            <w:pPr>
              <w:pStyle w:val="TMGTableText"/>
            </w:pPr>
            <w:r w:rsidRPr="00877387">
              <w:rPr>
                <w:rFonts w:eastAsiaTheme="minorEastAsia"/>
              </w:rPr>
              <w:t>Second of Minute (SOM)</w:t>
            </w:r>
          </w:p>
        </w:tc>
        <w:tc>
          <w:tcPr>
            <w:tcW w:w="1309" w:type="dxa"/>
            <w:vAlign w:val="center"/>
          </w:tcPr>
          <w:p w14:paraId="5F17B26E" w14:textId="12ED5DAE" w:rsidR="00A26E43" w:rsidRPr="004859C8" w:rsidRDefault="00A26E43" w:rsidP="004605FE">
            <w:pPr>
              <w:pStyle w:val="TMGTableText"/>
              <w:jc w:val="center"/>
            </w:pPr>
            <w:r w:rsidRPr="005D11F1">
              <w:t>Integer</w:t>
            </w:r>
          </w:p>
        </w:tc>
        <w:tc>
          <w:tcPr>
            <w:tcW w:w="1133" w:type="dxa"/>
            <w:vAlign w:val="center"/>
          </w:tcPr>
          <w:p w14:paraId="2B24FD07" w14:textId="372FA51E" w:rsidR="00A26E43" w:rsidRPr="00C251E9" w:rsidRDefault="00A26E43" w:rsidP="004605FE">
            <w:pPr>
              <w:pStyle w:val="TMGTableText"/>
              <w:jc w:val="center"/>
            </w:pPr>
            <w:r>
              <w:rPr>
                <w:rFonts w:eastAsiaTheme="minorEastAsia"/>
              </w:rPr>
              <w:t>Required</w:t>
            </w:r>
          </w:p>
        </w:tc>
      </w:tr>
      <w:tr w:rsidR="00A26E43" w14:paraId="0AA01D13" w14:textId="77777777" w:rsidTr="00A26E43">
        <w:trPr>
          <w:jc w:val="center"/>
        </w:trPr>
        <w:tc>
          <w:tcPr>
            <w:tcW w:w="625" w:type="dxa"/>
          </w:tcPr>
          <w:p w14:paraId="71816FE0" w14:textId="39DE3F9F" w:rsidR="00A26E43" w:rsidRPr="00A26E43" w:rsidRDefault="00A26E43" w:rsidP="00A26E43">
            <w:pPr>
              <w:pStyle w:val="TMGTableText"/>
              <w:ind w:left="0" w:right="144"/>
              <w:jc w:val="right"/>
              <w:rPr>
                <w:b/>
                <w:bCs/>
              </w:rPr>
            </w:pPr>
            <w:r w:rsidRPr="00A26E43">
              <w:rPr>
                <w:rFonts w:eastAsiaTheme="minorEastAsia"/>
                <w:b/>
                <w:bCs/>
              </w:rPr>
              <w:t>12</w:t>
            </w:r>
          </w:p>
        </w:tc>
        <w:tc>
          <w:tcPr>
            <w:tcW w:w="2143" w:type="dxa"/>
          </w:tcPr>
          <w:p w14:paraId="0DADCB1B" w14:textId="1E3B9ACB" w:rsidR="00A26E43" w:rsidRPr="004859C8" w:rsidRDefault="00A26E43" w:rsidP="00A26E43">
            <w:pPr>
              <w:pStyle w:val="TMGTableText"/>
              <w:jc w:val="center"/>
            </w:pPr>
            <w:r w:rsidRPr="00877387">
              <w:rPr>
                <w:rFonts w:eastAsiaTheme="minorEastAsia"/>
              </w:rPr>
              <w:t>26-27</w:t>
            </w:r>
          </w:p>
        </w:tc>
        <w:tc>
          <w:tcPr>
            <w:tcW w:w="693" w:type="dxa"/>
            <w:vAlign w:val="center"/>
          </w:tcPr>
          <w:p w14:paraId="5F557F7B" w14:textId="6FAE2407" w:rsidR="00A26E43" w:rsidRPr="004859C8" w:rsidRDefault="00A26E43" w:rsidP="00A26E43">
            <w:pPr>
              <w:pStyle w:val="TMGTableText"/>
              <w:jc w:val="center"/>
            </w:pPr>
            <w:r w:rsidRPr="00877387">
              <w:rPr>
                <w:rFonts w:eastAsiaTheme="minorEastAsia"/>
              </w:rPr>
              <w:t>2</w:t>
            </w:r>
          </w:p>
        </w:tc>
        <w:tc>
          <w:tcPr>
            <w:tcW w:w="3457" w:type="dxa"/>
            <w:vAlign w:val="center"/>
          </w:tcPr>
          <w:p w14:paraId="6E08861F" w14:textId="06A908EC" w:rsidR="00A26E43" w:rsidRPr="004859C8" w:rsidRDefault="00A26E43" w:rsidP="00A26E43">
            <w:pPr>
              <w:pStyle w:val="TMGTableText"/>
            </w:pPr>
            <w:r w:rsidRPr="00877387">
              <w:rPr>
                <w:rFonts w:eastAsiaTheme="minorEastAsia"/>
              </w:rPr>
              <w:t>Sub Second of Second (SSOS)</w:t>
            </w:r>
          </w:p>
        </w:tc>
        <w:tc>
          <w:tcPr>
            <w:tcW w:w="1309" w:type="dxa"/>
            <w:vAlign w:val="center"/>
          </w:tcPr>
          <w:p w14:paraId="580E3771" w14:textId="1DC7FA43" w:rsidR="00A26E43" w:rsidRPr="004859C8" w:rsidRDefault="00A26E43" w:rsidP="004605FE">
            <w:pPr>
              <w:pStyle w:val="TMGTableText"/>
              <w:jc w:val="center"/>
            </w:pPr>
            <w:r w:rsidRPr="005D11F1">
              <w:t>Integer</w:t>
            </w:r>
          </w:p>
        </w:tc>
        <w:tc>
          <w:tcPr>
            <w:tcW w:w="1133" w:type="dxa"/>
            <w:vAlign w:val="center"/>
          </w:tcPr>
          <w:p w14:paraId="3471BE59" w14:textId="1BD89C7B" w:rsidR="00A26E43" w:rsidRPr="00C251E9" w:rsidRDefault="00A26E43" w:rsidP="004605FE">
            <w:pPr>
              <w:pStyle w:val="TMGTableText"/>
              <w:jc w:val="center"/>
            </w:pPr>
            <w:r>
              <w:rPr>
                <w:rFonts w:eastAsiaTheme="minorEastAsia"/>
              </w:rPr>
              <w:t>Required</w:t>
            </w:r>
          </w:p>
        </w:tc>
      </w:tr>
      <w:tr w:rsidR="00A26E43" w14:paraId="159539FB" w14:textId="77777777" w:rsidTr="00A26E43">
        <w:trPr>
          <w:jc w:val="center"/>
        </w:trPr>
        <w:tc>
          <w:tcPr>
            <w:tcW w:w="625" w:type="dxa"/>
          </w:tcPr>
          <w:p w14:paraId="3B8812FB" w14:textId="5FF7E0BD" w:rsidR="00A26E43" w:rsidRPr="00A26E43" w:rsidRDefault="00A26E43" w:rsidP="00A26E43">
            <w:pPr>
              <w:pStyle w:val="TMGTableText"/>
              <w:ind w:left="0" w:right="144"/>
              <w:jc w:val="right"/>
              <w:rPr>
                <w:b/>
                <w:bCs/>
              </w:rPr>
            </w:pPr>
            <w:r w:rsidRPr="00A26E43">
              <w:rPr>
                <w:rFonts w:eastAsiaTheme="minorEastAsia"/>
                <w:b/>
                <w:bCs/>
              </w:rPr>
              <w:t>13</w:t>
            </w:r>
          </w:p>
        </w:tc>
        <w:tc>
          <w:tcPr>
            <w:tcW w:w="2143" w:type="dxa"/>
          </w:tcPr>
          <w:p w14:paraId="6E4D000C" w14:textId="4375AC7E" w:rsidR="00A26E43" w:rsidRPr="004859C8" w:rsidRDefault="00A26E43" w:rsidP="00A26E43">
            <w:pPr>
              <w:pStyle w:val="TMGTableText"/>
              <w:jc w:val="center"/>
            </w:pPr>
            <w:r w:rsidRPr="00877387">
              <w:rPr>
                <w:rFonts w:eastAsiaTheme="minorEastAsia"/>
              </w:rPr>
              <w:t>28</w:t>
            </w:r>
          </w:p>
        </w:tc>
        <w:tc>
          <w:tcPr>
            <w:tcW w:w="693" w:type="dxa"/>
            <w:vAlign w:val="center"/>
          </w:tcPr>
          <w:p w14:paraId="1B07B689" w14:textId="146744F4" w:rsidR="00A26E43" w:rsidRPr="004859C8" w:rsidRDefault="00A26E43" w:rsidP="00A26E43">
            <w:pPr>
              <w:pStyle w:val="TMGTableText"/>
              <w:jc w:val="center"/>
            </w:pPr>
            <w:r w:rsidRPr="00877387">
              <w:rPr>
                <w:rFonts w:eastAsiaTheme="minorEastAsia"/>
              </w:rPr>
              <w:t>1</w:t>
            </w:r>
          </w:p>
        </w:tc>
        <w:tc>
          <w:tcPr>
            <w:tcW w:w="3457" w:type="dxa"/>
            <w:vAlign w:val="center"/>
          </w:tcPr>
          <w:p w14:paraId="11F26816" w14:textId="58CCFCB0" w:rsidR="00A26E43" w:rsidRPr="004859C8" w:rsidRDefault="00A26E43" w:rsidP="00A26E43">
            <w:pPr>
              <w:pStyle w:val="TMGTableText"/>
            </w:pPr>
            <w:r w:rsidRPr="00877387">
              <w:rPr>
                <w:rFonts w:eastAsiaTheme="minorEastAsia"/>
              </w:rPr>
              <w:t>Z</w:t>
            </w:r>
          </w:p>
        </w:tc>
        <w:tc>
          <w:tcPr>
            <w:tcW w:w="1309" w:type="dxa"/>
            <w:vAlign w:val="center"/>
          </w:tcPr>
          <w:p w14:paraId="1B8FBDF4" w14:textId="4B06C0AE" w:rsidR="00A26E43" w:rsidRPr="004859C8" w:rsidRDefault="00A26E43" w:rsidP="004605FE">
            <w:pPr>
              <w:pStyle w:val="TMGTableText"/>
              <w:jc w:val="center"/>
            </w:pPr>
            <w:r w:rsidRPr="000017C8">
              <w:t>Alphanumeric</w:t>
            </w:r>
          </w:p>
        </w:tc>
        <w:tc>
          <w:tcPr>
            <w:tcW w:w="1133" w:type="dxa"/>
            <w:vAlign w:val="center"/>
          </w:tcPr>
          <w:p w14:paraId="747708B0" w14:textId="5D1ABDC2" w:rsidR="00A26E43" w:rsidRPr="00C251E9" w:rsidRDefault="00A26E43" w:rsidP="004605FE">
            <w:pPr>
              <w:pStyle w:val="TMGTableText"/>
              <w:jc w:val="center"/>
            </w:pPr>
            <w:r>
              <w:rPr>
                <w:rFonts w:eastAsiaTheme="minorEastAsia"/>
              </w:rPr>
              <w:t>Required</w:t>
            </w:r>
          </w:p>
        </w:tc>
      </w:tr>
      <w:tr w:rsidR="00A26E43" w14:paraId="12090A34" w14:textId="77777777" w:rsidTr="00A26E43">
        <w:trPr>
          <w:jc w:val="center"/>
        </w:trPr>
        <w:tc>
          <w:tcPr>
            <w:tcW w:w="625" w:type="dxa"/>
          </w:tcPr>
          <w:p w14:paraId="18DE1758" w14:textId="65EEA08E" w:rsidR="00A26E43" w:rsidRPr="00A26E43" w:rsidRDefault="00A26E43" w:rsidP="00A26E43">
            <w:pPr>
              <w:pStyle w:val="TMGTableText"/>
              <w:ind w:left="0" w:right="144"/>
              <w:jc w:val="right"/>
              <w:rPr>
                <w:b/>
                <w:bCs/>
              </w:rPr>
            </w:pPr>
            <w:r w:rsidRPr="00A26E43">
              <w:rPr>
                <w:rFonts w:eastAsiaTheme="minorEastAsia"/>
                <w:b/>
                <w:bCs/>
              </w:rPr>
              <w:t>14</w:t>
            </w:r>
          </w:p>
        </w:tc>
        <w:tc>
          <w:tcPr>
            <w:tcW w:w="2143" w:type="dxa"/>
          </w:tcPr>
          <w:p w14:paraId="1B32578C" w14:textId="0E9242B4" w:rsidR="00A26E43" w:rsidRPr="004859C8" w:rsidRDefault="00A26E43" w:rsidP="00A26E43">
            <w:pPr>
              <w:pStyle w:val="TMGTableText"/>
              <w:jc w:val="center"/>
            </w:pPr>
            <w:r w:rsidRPr="00877387">
              <w:rPr>
                <w:rFonts w:eastAsiaTheme="minorEastAsia"/>
              </w:rPr>
              <w:t>29-33</w:t>
            </w:r>
          </w:p>
        </w:tc>
        <w:tc>
          <w:tcPr>
            <w:tcW w:w="693" w:type="dxa"/>
            <w:vAlign w:val="center"/>
          </w:tcPr>
          <w:p w14:paraId="755561C2" w14:textId="1C15A213" w:rsidR="00A26E43" w:rsidRPr="004859C8" w:rsidRDefault="00A26E43" w:rsidP="00A26E43">
            <w:pPr>
              <w:pStyle w:val="TMGTableText"/>
              <w:jc w:val="center"/>
            </w:pPr>
            <w:r w:rsidRPr="00877387">
              <w:rPr>
                <w:rFonts w:eastAsiaTheme="minorEastAsia"/>
              </w:rPr>
              <w:t>5</w:t>
            </w:r>
          </w:p>
        </w:tc>
        <w:tc>
          <w:tcPr>
            <w:tcW w:w="3457" w:type="dxa"/>
            <w:vAlign w:val="center"/>
          </w:tcPr>
          <w:p w14:paraId="67944FC0" w14:textId="04F76C9A" w:rsidR="00A26E43" w:rsidRPr="004859C8" w:rsidRDefault="00A26E43" w:rsidP="00A26E43">
            <w:pPr>
              <w:pStyle w:val="TMGTableText"/>
            </w:pPr>
            <w:r w:rsidRPr="00877387">
              <w:rPr>
                <w:rFonts w:eastAsiaTheme="minorEastAsia"/>
              </w:rPr>
              <w:t>Vehicle Signature/Other Use</w:t>
            </w:r>
            <w:r>
              <w:rPr>
                <w:rFonts w:eastAsiaTheme="minorEastAsia"/>
              </w:rPr>
              <w:t xml:space="preserve"> </w:t>
            </w:r>
            <w:r w:rsidRPr="00877387">
              <w:rPr>
                <w:rFonts w:eastAsiaTheme="minorEastAsia"/>
              </w:rPr>
              <w:t>(VS)</w:t>
            </w:r>
          </w:p>
        </w:tc>
        <w:tc>
          <w:tcPr>
            <w:tcW w:w="1309" w:type="dxa"/>
            <w:vAlign w:val="center"/>
          </w:tcPr>
          <w:p w14:paraId="3FC477C1" w14:textId="230DFE2E" w:rsidR="00A26E43" w:rsidRPr="004859C8" w:rsidRDefault="00A26E43" w:rsidP="004605FE">
            <w:pPr>
              <w:pStyle w:val="TMGTableText"/>
              <w:jc w:val="center"/>
            </w:pPr>
            <w:r w:rsidRPr="00210E38">
              <w:t>Integer</w:t>
            </w:r>
          </w:p>
        </w:tc>
        <w:tc>
          <w:tcPr>
            <w:tcW w:w="1133" w:type="dxa"/>
            <w:vAlign w:val="center"/>
          </w:tcPr>
          <w:p w14:paraId="6F32FC61" w14:textId="6ADCE0F5" w:rsidR="00A26E43" w:rsidRPr="00C251E9" w:rsidRDefault="00A26E43" w:rsidP="004605FE">
            <w:pPr>
              <w:pStyle w:val="TMGTableText"/>
              <w:jc w:val="center"/>
            </w:pPr>
            <w:r w:rsidRPr="00877387">
              <w:rPr>
                <w:rFonts w:eastAsiaTheme="minorEastAsia"/>
              </w:rPr>
              <w:t>O</w:t>
            </w:r>
            <w:r>
              <w:rPr>
                <w:rFonts w:eastAsiaTheme="minorEastAsia"/>
              </w:rPr>
              <w:t>ptional</w:t>
            </w:r>
          </w:p>
        </w:tc>
      </w:tr>
      <w:tr w:rsidR="00A26E43" w14:paraId="73B23C5D" w14:textId="77777777" w:rsidTr="00A26E43">
        <w:trPr>
          <w:jc w:val="center"/>
        </w:trPr>
        <w:tc>
          <w:tcPr>
            <w:tcW w:w="625" w:type="dxa"/>
          </w:tcPr>
          <w:p w14:paraId="7FD93531" w14:textId="36AF0453" w:rsidR="00A26E43" w:rsidRPr="00A26E43" w:rsidRDefault="00A26E43" w:rsidP="00A26E43">
            <w:pPr>
              <w:pStyle w:val="TMGTableText"/>
              <w:ind w:left="0" w:right="144"/>
              <w:jc w:val="right"/>
              <w:rPr>
                <w:b/>
                <w:bCs/>
              </w:rPr>
            </w:pPr>
            <w:r w:rsidRPr="00A26E43">
              <w:rPr>
                <w:rFonts w:eastAsiaTheme="minorEastAsia"/>
                <w:b/>
                <w:bCs/>
              </w:rPr>
              <w:t>15</w:t>
            </w:r>
          </w:p>
        </w:tc>
        <w:tc>
          <w:tcPr>
            <w:tcW w:w="2143" w:type="dxa"/>
          </w:tcPr>
          <w:p w14:paraId="4ADAA3DE" w14:textId="7345BE97" w:rsidR="00A26E43" w:rsidRPr="004859C8" w:rsidRDefault="00A26E43" w:rsidP="00A26E43">
            <w:pPr>
              <w:pStyle w:val="TMGTableText"/>
              <w:jc w:val="center"/>
            </w:pPr>
            <w:r w:rsidRPr="00877387">
              <w:rPr>
                <w:rFonts w:eastAsiaTheme="minorEastAsia"/>
              </w:rPr>
              <w:t>34-37</w:t>
            </w:r>
          </w:p>
        </w:tc>
        <w:tc>
          <w:tcPr>
            <w:tcW w:w="693" w:type="dxa"/>
            <w:vAlign w:val="center"/>
          </w:tcPr>
          <w:p w14:paraId="40CD5A48" w14:textId="55AD89E9" w:rsidR="00A26E43" w:rsidRPr="004859C8" w:rsidRDefault="00A26E43" w:rsidP="00A26E43">
            <w:pPr>
              <w:pStyle w:val="TMGTableText"/>
              <w:jc w:val="center"/>
            </w:pPr>
            <w:r w:rsidRPr="00877387">
              <w:rPr>
                <w:rFonts w:eastAsiaTheme="minorEastAsia"/>
              </w:rPr>
              <w:t>4</w:t>
            </w:r>
          </w:p>
        </w:tc>
        <w:tc>
          <w:tcPr>
            <w:tcW w:w="3457" w:type="dxa"/>
            <w:vAlign w:val="center"/>
          </w:tcPr>
          <w:p w14:paraId="210D65CF" w14:textId="7D908E93" w:rsidR="00A26E43" w:rsidRPr="004859C8" w:rsidRDefault="00A26E43" w:rsidP="00A26E43">
            <w:pPr>
              <w:pStyle w:val="TMGTableText"/>
            </w:pPr>
            <w:r w:rsidRPr="00877387">
              <w:rPr>
                <w:rFonts w:eastAsiaTheme="minorEastAsia"/>
              </w:rPr>
              <w:t>Vehicle Speed (SPD)</w:t>
            </w:r>
          </w:p>
        </w:tc>
        <w:tc>
          <w:tcPr>
            <w:tcW w:w="1309" w:type="dxa"/>
            <w:vAlign w:val="center"/>
          </w:tcPr>
          <w:p w14:paraId="1A076E06" w14:textId="2DBAA2ED" w:rsidR="00A26E43" w:rsidRPr="004859C8" w:rsidRDefault="00A26E43" w:rsidP="004605FE">
            <w:pPr>
              <w:pStyle w:val="TMGTableText"/>
              <w:jc w:val="center"/>
            </w:pPr>
            <w:r w:rsidRPr="00210E38">
              <w:t>Integer</w:t>
            </w:r>
          </w:p>
        </w:tc>
        <w:tc>
          <w:tcPr>
            <w:tcW w:w="1133" w:type="dxa"/>
            <w:vAlign w:val="center"/>
          </w:tcPr>
          <w:p w14:paraId="2A149C05" w14:textId="6C092BF2" w:rsidR="00A26E43" w:rsidRPr="00C251E9" w:rsidRDefault="00A26E43" w:rsidP="004605FE">
            <w:pPr>
              <w:pStyle w:val="TMGTableText"/>
              <w:jc w:val="center"/>
            </w:pPr>
            <w:r>
              <w:rPr>
                <w:rFonts w:eastAsiaTheme="minorEastAsia"/>
              </w:rPr>
              <w:t>Required</w:t>
            </w:r>
          </w:p>
        </w:tc>
      </w:tr>
      <w:tr w:rsidR="00A26E43" w14:paraId="4C437F89" w14:textId="77777777" w:rsidTr="00A26E43">
        <w:trPr>
          <w:jc w:val="center"/>
        </w:trPr>
        <w:tc>
          <w:tcPr>
            <w:tcW w:w="625" w:type="dxa"/>
          </w:tcPr>
          <w:p w14:paraId="17C29FBE" w14:textId="36E7D88D" w:rsidR="00A26E43" w:rsidRPr="00A26E43" w:rsidRDefault="00A26E43" w:rsidP="00A26E43">
            <w:pPr>
              <w:pStyle w:val="TMGTableText"/>
              <w:ind w:left="0" w:right="144"/>
              <w:jc w:val="right"/>
              <w:rPr>
                <w:b/>
                <w:bCs/>
              </w:rPr>
            </w:pPr>
            <w:r w:rsidRPr="00A26E43">
              <w:rPr>
                <w:rFonts w:eastAsiaTheme="minorEastAsia"/>
                <w:b/>
                <w:bCs/>
              </w:rPr>
              <w:t>16</w:t>
            </w:r>
          </w:p>
        </w:tc>
        <w:tc>
          <w:tcPr>
            <w:tcW w:w="2143" w:type="dxa"/>
          </w:tcPr>
          <w:p w14:paraId="2076FB7D" w14:textId="776B79F4" w:rsidR="00A26E43" w:rsidRPr="004859C8" w:rsidRDefault="00A26E43" w:rsidP="00A26E43">
            <w:pPr>
              <w:pStyle w:val="TMGTableText"/>
              <w:jc w:val="center"/>
            </w:pPr>
            <w:r w:rsidRPr="00877387">
              <w:rPr>
                <w:rFonts w:eastAsiaTheme="minorEastAsia"/>
              </w:rPr>
              <w:t>38-39</w:t>
            </w:r>
          </w:p>
        </w:tc>
        <w:tc>
          <w:tcPr>
            <w:tcW w:w="693" w:type="dxa"/>
            <w:vAlign w:val="center"/>
          </w:tcPr>
          <w:p w14:paraId="0F9ABE7C" w14:textId="71327295" w:rsidR="00A26E43" w:rsidRPr="004859C8" w:rsidRDefault="00A26E43" w:rsidP="00A26E43">
            <w:pPr>
              <w:pStyle w:val="TMGTableText"/>
              <w:jc w:val="center"/>
            </w:pPr>
            <w:r w:rsidRPr="00877387">
              <w:rPr>
                <w:rFonts w:eastAsiaTheme="minorEastAsia"/>
              </w:rPr>
              <w:t>2</w:t>
            </w:r>
          </w:p>
        </w:tc>
        <w:tc>
          <w:tcPr>
            <w:tcW w:w="3457" w:type="dxa"/>
            <w:vAlign w:val="center"/>
          </w:tcPr>
          <w:p w14:paraId="3E8A46E1" w14:textId="3762C287" w:rsidR="00A26E43" w:rsidRPr="004859C8" w:rsidRDefault="00A26E43" w:rsidP="00A26E43">
            <w:pPr>
              <w:pStyle w:val="TMGTableText"/>
            </w:pPr>
            <w:r w:rsidRPr="00877387">
              <w:rPr>
                <w:rFonts w:eastAsiaTheme="minorEastAsia"/>
              </w:rPr>
              <w:t>Vehicle Classification (CLS)</w:t>
            </w:r>
          </w:p>
        </w:tc>
        <w:tc>
          <w:tcPr>
            <w:tcW w:w="1309" w:type="dxa"/>
            <w:vAlign w:val="center"/>
          </w:tcPr>
          <w:p w14:paraId="59CE098B" w14:textId="62CD8D62" w:rsidR="00A26E43" w:rsidRPr="004859C8" w:rsidRDefault="00A26E43" w:rsidP="004605FE">
            <w:pPr>
              <w:pStyle w:val="TMGTableText"/>
              <w:jc w:val="center"/>
            </w:pPr>
            <w:r w:rsidRPr="00210E38">
              <w:t>Integer</w:t>
            </w:r>
          </w:p>
        </w:tc>
        <w:tc>
          <w:tcPr>
            <w:tcW w:w="1133" w:type="dxa"/>
            <w:vAlign w:val="center"/>
          </w:tcPr>
          <w:p w14:paraId="5050F13D" w14:textId="02B5C85D" w:rsidR="00A26E43" w:rsidRPr="00C251E9" w:rsidRDefault="00A26E43" w:rsidP="004605FE">
            <w:pPr>
              <w:pStyle w:val="TMGTableText"/>
              <w:jc w:val="center"/>
            </w:pPr>
            <w:r>
              <w:rPr>
                <w:rFonts w:eastAsiaTheme="minorEastAsia"/>
              </w:rPr>
              <w:t>Required</w:t>
            </w:r>
          </w:p>
        </w:tc>
      </w:tr>
      <w:tr w:rsidR="00A26E43" w14:paraId="17041B0B" w14:textId="77777777" w:rsidTr="00A26E43">
        <w:trPr>
          <w:jc w:val="center"/>
        </w:trPr>
        <w:tc>
          <w:tcPr>
            <w:tcW w:w="625" w:type="dxa"/>
          </w:tcPr>
          <w:p w14:paraId="54808475" w14:textId="12D45082" w:rsidR="00A26E43" w:rsidRPr="00A26E43" w:rsidRDefault="00A26E43" w:rsidP="00A26E43">
            <w:pPr>
              <w:pStyle w:val="TMGTableText"/>
              <w:ind w:left="0" w:right="144"/>
              <w:jc w:val="right"/>
              <w:rPr>
                <w:b/>
                <w:bCs/>
              </w:rPr>
            </w:pPr>
            <w:r w:rsidRPr="00A26E43">
              <w:rPr>
                <w:rFonts w:eastAsiaTheme="minorEastAsia"/>
                <w:b/>
                <w:bCs/>
              </w:rPr>
              <w:t>17</w:t>
            </w:r>
          </w:p>
        </w:tc>
        <w:tc>
          <w:tcPr>
            <w:tcW w:w="2143" w:type="dxa"/>
          </w:tcPr>
          <w:p w14:paraId="6166669A" w14:textId="762151F5" w:rsidR="00A26E43" w:rsidRPr="004859C8" w:rsidRDefault="00A26E43" w:rsidP="00A26E43">
            <w:pPr>
              <w:pStyle w:val="TMGTableText"/>
              <w:jc w:val="center"/>
            </w:pPr>
            <w:r w:rsidRPr="00877387">
              <w:rPr>
                <w:rFonts w:eastAsiaTheme="minorEastAsia"/>
              </w:rPr>
              <w:t>40-41</w:t>
            </w:r>
          </w:p>
        </w:tc>
        <w:tc>
          <w:tcPr>
            <w:tcW w:w="693" w:type="dxa"/>
            <w:vAlign w:val="center"/>
          </w:tcPr>
          <w:p w14:paraId="307B0394" w14:textId="775226D3" w:rsidR="00A26E43" w:rsidRPr="004859C8" w:rsidRDefault="00A26E43" w:rsidP="00A26E43">
            <w:pPr>
              <w:pStyle w:val="TMGTableText"/>
              <w:jc w:val="center"/>
            </w:pPr>
            <w:r w:rsidRPr="00877387">
              <w:rPr>
                <w:rFonts w:eastAsiaTheme="minorEastAsia"/>
              </w:rPr>
              <w:t>2</w:t>
            </w:r>
          </w:p>
        </w:tc>
        <w:tc>
          <w:tcPr>
            <w:tcW w:w="3457" w:type="dxa"/>
            <w:vAlign w:val="center"/>
          </w:tcPr>
          <w:p w14:paraId="7A45123D" w14:textId="25A8728D" w:rsidR="00A26E43" w:rsidRPr="004859C8" w:rsidRDefault="00A26E43" w:rsidP="00A26E43">
            <w:pPr>
              <w:pStyle w:val="TMGTableText"/>
            </w:pPr>
            <w:r w:rsidRPr="00877387">
              <w:rPr>
                <w:rFonts w:eastAsiaTheme="minorEastAsia"/>
              </w:rPr>
              <w:t>Number of Axles (NAX)</w:t>
            </w:r>
          </w:p>
        </w:tc>
        <w:tc>
          <w:tcPr>
            <w:tcW w:w="1309" w:type="dxa"/>
            <w:vAlign w:val="center"/>
          </w:tcPr>
          <w:p w14:paraId="46D9A752" w14:textId="4A3F557A" w:rsidR="00A26E43" w:rsidRPr="004859C8" w:rsidRDefault="00A26E43" w:rsidP="004605FE">
            <w:pPr>
              <w:pStyle w:val="TMGTableText"/>
              <w:jc w:val="center"/>
            </w:pPr>
            <w:r w:rsidRPr="00210E38">
              <w:t>Integer</w:t>
            </w:r>
          </w:p>
        </w:tc>
        <w:tc>
          <w:tcPr>
            <w:tcW w:w="1133" w:type="dxa"/>
            <w:vAlign w:val="center"/>
          </w:tcPr>
          <w:p w14:paraId="26F4C3B1" w14:textId="7ABF0362" w:rsidR="00A26E43" w:rsidRPr="00C251E9" w:rsidRDefault="00A26E43" w:rsidP="004605FE">
            <w:pPr>
              <w:pStyle w:val="TMGTableText"/>
              <w:jc w:val="center"/>
            </w:pPr>
            <w:r>
              <w:rPr>
                <w:rFonts w:eastAsiaTheme="minorEastAsia"/>
              </w:rPr>
              <w:t>Required</w:t>
            </w:r>
          </w:p>
        </w:tc>
      </w:tr>
      <w:tr w:rsidR="00A26E43" w14:paraId="6C568131" w14:textId="77777777" w:rsidTr="00A26E43">
        <w:trPr>
          <w:jc w:val="center"/>
        </w:trPr>
        <w:tc>
          <w:tcPr>
            <w:tcW w:w="625" w:type="dxa"/>
            <w:vAlign w:val="center"/>
          </w:tcPr>
          <w:p w14:paraId="138E4240" w14:textId="0CF1AD2F" w:rsidR="00A26E43" w:rsidRPr="00A26E43" w:rsidRDefault="00A26E43" w:rsidP="00A26E43">
            <w:pPr>
              <w:pStyle w:val="TMGTableText"/>
              <w:ind w:left="0" w:right="144"/>
              <w:jc w:val="right"/>
              <w:rPr>
                <w:b/>
                <w:bCs/>
              </w:rPr>
            </w:pPr>
            <w:r w:rsidRPr="00A26E43">
              <w:rPr>
                <w:rFonts w:eastAsiaTheme="minorEastAsia"/>
                <w:b/>
                <w:bCs/>
              </w:rPr>
              <w:t>18</w:t>
            </w:r>
          </w:p>
        </w:tc>
        <w:tc>
          <w:tcPr>
            <w:tcW w:w="2143" w:type="dxa"/>
          </w:tcPr>
          <w:p w14:paraId="53904F24" w14:textId="2E8D8AD0" w:rsidR="00A26E43" w:rsidRPr="004859C8" w:rsidRDefault="00A26E43" w:rsidP="00A26E43">
            <w:pPr>
              <w:pStyle w:val="TMGTableText"/>
              <w:jc w:val="center"/>
            </w:pPr>
            <w:r w:rsidRPr="00877387">
              <w:rPr>
                <w:rFonts w:eastAsiaTheme="minorEastAsia"/>
              </w:rPr>
              <w:t>42-45</w:t>
            </w:r>
          </w:p>
        </w:tc>
        <w:tc>
          <w:tcPr>
            <w:tcW w:w="693" w:type="dxa"/>
            <w:vAlign w:val="center"/>
          </w:tcPr>
          <w:p w14:paraId="6238F344" w14:textId="071323E2" w:rsidR="00A26E43" w:rsidRPr="004859C8" w:rsidRDefault="00A26E43" w:rsidP="00A26E43">
            <w:pPr>
              <w:pStyle w:val="TMGTableText"/>
              <w:jc w:val="center"/>
            </w:pPr>
            <w:r w:rsidRPr="00877387">
              <w:rPr>
                <w:rFonts w:eastAsiaTheme="minorEastAsia"/>
              </w:rPr>
              <w:t>4</w:t>
            </w:r>
          </w:p>
        </w:tc>
        <w:tc>
          <w:tcPr>
            <w:tcW w:w="3457" w:type="dxa"/>
            <w:vAlign w:val="center"/>
          </w:tcPr>
          <w:p w14:paraId="3DD953B7" w14:textId="0454522C" w:rsidR="00A26E43" w:rsidRPr="004859C8" w:rsidRDefault="00A26E43" w:rsidP="00A26E43">
            <w:pPr>
              <w:pStyle w:val="TMGTableText"/>
            </w:pPr>
            <w:r w:rsidRPr="00877387">
              <w:rPr>
                <w:rFonts w:eastAsiaTheme="minorEastAsia"/>
              </w:rPr>
              <w:t>Total Vehicle Length (bumper to bumper) (TVL)</w:t>
            </w:r>
          </w:p>
        </w:tc>
        <w:tc>
          <w:tcPr>
            <w:tcW w:w="1309" w:type="dxa"/>
            <w:vAlign w:val="center"/>
          </w:tcPr>
          <w:p w14:paraId="556D6F6B" w14:textId="31E116E3" w:rsidR="00A26E43" w:rsidRPr="004859C8" w:rsidRDefault="00A26E43" w:rsidP="004605FE">
            <w:pPr>
              <w:pStyle w:val="TMGTableText"/>
              <w:jc w:val="center"/>
            </w:pPr>
            <w:r w:rsidRPr="00210E38">
              <w:t>Integer</w:t>
            </w:r>
          </w:p>
        </w:tc>
        <w:tc>
          <w:tcPr>
            <w:tcW w:w="1133" w:type="dxa"/>
            <w:vAlign w:val="center"/>
          </w:tcPr>
          <w:p w14:paraId="625830D7" w14:textId="2337BF15" w:rsidR="00A26E43" w:rsidRPr="00C251E9" w:rsidRDefault="00A26E43" w:rsidP="004605FE">
            <w:pPr>
              <w:pStyle w:val="TMGTableText"/>
              <w:jc w:val="center"/>
            </w:pPr>
            <w:r w:rsidRPr="00877387">
              <w:rPr>
                <w:rFonts w:eastAsiaTheme="minorEastAsia"/>
              </w:rPr>
              <w:t>O</w:t>
            </w:r>
            <w:r>
              <w:rPr>
                <w:rFonts w:eastAsiaTheme="minorEastAsia"/>
              </w:rPr>
              <w:t>ptional</w:t>
            </w:r>
          </w:p>
        </w:tc>
      </w:tr>
      <w:tr w:rsidR="00A26E43" w14:paraId="3B85C307" w14:textId="77777777" w:rsidTr="00A26E43">
        <w:trPr>
          <w:jc w:val="center"/>
        </w:trPr>
        <w:tc>
          <w:tcPr>
            <w:tcW w:w="625" w:type="dxa"/>
          </w:tcPr>
          <w:p w14:paraId="4DA733E1" w14:textId="2CAA6072" w:rsidR="00A26E43" w:rsidRPr="00A26E43" w:rsidRDefault="00A26E43" w:rsidP="00A26E43">
            <w:pPr>
              <w:pStyle w:val="TMGTableText"/>
              <w:ind w:left="0" w:right="144"/>
              <w:jc w:val="right"/>
              <w:rPr>
                <w:b/>
                <w:bCs/>
              </w:rPr>
            </w:pPr>
            <w:r w:rsidRPr="00A26E43">
              <w:rPr>
                <w:rFonts w:eastAsiaTheme="minorEastAsia"/>
                <w:b/>
                <w:bCs/>
              </w:rPr>
              <w:t>19</w:t>
            </w:r>
          </w:p>
        </w:tc>
        <w:tc>
          <w:tcPr>
            <w:tcW w:w="2143" w:type="dxa"/>
          </w:tcPr>
          <w:p w14:paraId="227E1AFA" w14:textId="1F42CAC2" w:rsidR="00A26E43" w:rsidRPr="004859C8" w:rsidRDefault="00A26E43" w:rsidP="00A26E43">
            <w:pPr>
              <w:pStyle w:val="TMGTableText"/>
              <w:jc w:val="center"/>
            </w:pPr>
            <w:r w:rsidRPr="00877387">
              <w:rPr>
                <w:rFonts w:eastAsiaTheme="minorEastAsia"/>
              </w:rPr>
              <w:t>46-48</w:t>
            </w:r>
          </w:p>
        </w:tc>
        <w:tc>
          <w:tcPr>
            <w:tcW w:w="693" w:type="dxa"/>
            <w:vAlign w:val="center"/>
          </w:tcPr>
          <w:p w14:paraId="5ADDB34C" w14:textId="60694A0B" w:rsidR="00A26E43" w:rsidRPr="004859C8" w:rsidRDefault="00A26E43" w:rsidP="00A26E43">
            <w:pPr>
              <w:pStyle w:val="TMGTableText"/>
              <w:jc w:val="center"/>
            </w:pPr>
            <w:r w:rsidRPr="00877387">
              <w:rPr>
                <w:rFonts w:eastAsiaTheme="minorEastAsia"/>
              </w:rPr>
              <w:t>3</w:t>
            </w:r>
          </w:p>
        </w:tc>
        <w:tc>
          <w:tcPr>
            <w:tcW w:w="3457" w:type="dxa"/>
            <w:vAlign w:val="center"/>
          </w:tcPr>
          <w:p w14:paraId="06345995" w14:textId="424A7278" w:rsidR="00A26E43" w:rsidRPr="004859C8" w:rsidRDefault="00A26E43" w:rsidP="00A26E43">
            <w:pPr>
              <w:pStyle w:val="TMGTableText"/>
            </w:pPr>
            <w:r w:rsidRPr="00877387">
              <w:rPr>
                <w:rFonts w:eastAsiaTheme="minorEastAsia"/>
              </w:rPr>
              <w:t>Pavement Temperature (PT)</w:t>
            </w:r>
          </w:p>
        </w:tc>
        <w:tc>
          <w:tcPr>
            <w:tcW w:w="1309" w:type="dxa"/>
            <w:vAlign w:val="center"/>
          </w:tcPr>
          <w:p w14:paraId="215D5CFB" w14:textId="3D1643B4" w:rsidR="00A26E43" w:rsidRPr="004859C8" w:rsidRDefault="00A26E43" w:rsidP="004605FE">
            <w:pPr>
              <w:pStyle w:val="TMGTableText"/>
              <w:jc w:val="center"/>
            </w:pPr>
            <w:r w:rsidRPr="00210E38">
              <w:t>Integer</w:t>
            </w:r>
          </w:p>
        </w:tc>
        <w:tc>
          <w:tcPr>
            <w:tcW w:w="1133" w:type="dxa"/>
            <w:vAlign w:val="center"/>
          </w:tcPr>
          <w:p w14:paraId="15C4D756" w14:textId="1A302FA1" w:rsidR="00A26E43" w:rsidRPr="00C251E9" w:rsidRDefault="00A26E43" w:rsidP="004605FE">
            <w:pPr>
              <w:pStyle w:val="TMGTableText"/>
              <w:jc w:val="center"/>
            </w:pPr>
            <w:r w:rsidRPr="00877387">
              <w:rPr>
                <w:rFonts w:eastAsiaTheme="minorEastAsia"/>
              </w:rPr>
              <w:t>O</w:t>
            </w:r>
            <w:r>
              <w:rPr>
                <w:rFonts w:eastAsiaTheme="minorEastAsia"/>
              </w:rPr>
              <w:t>ptional</w:t>
            </w:r>
          </w:p>
        </w:tc>
      </w:tr>
      <w:tr w:rsidR="00A26E43" w14:paraId="1030E304" w14:textId="77777777" w:rsidTr="00A26E43">
        <w:trPr>
          <w:jc w:val="center"/>
        </w:trPr>
        <w:tc>
          <w:tcPr>
            <w:tcW w:w="625" w:type="dxa"/>
          </w:tcPr>
          <w:p w14:paraId="1597B3A5" w14:textId="459FE1CB" w:rsidR="00A26E43" w:rsidRPr="00A26E43" w:rsidRDefault="00A26E43" w:rsidP="00A26E43">
            <w:pPr>
              <w:pStyle w:val="TMGTableText"/>
              <w:ind w:left="0" w:right="144"/>
              <w:jc w:val="right"/>
              <w:rPr>
                <w:b/>
                <w:bCs/>
              </w:rPr>
            </w:pPr>
            <w:r w:rsidRPr="00A26E43">
              <w:rPr>
                <w:rFonts w:eastAsiaTheme="minorEastAsia"/>
                <w:b/>
                <w:bCs/>
              </w:rPr>
              <w:t>20</w:t>
            </w:r>
          </w:p>
        </w:tc>
        <w:tc>
          <w:tcPr>
            <w:tcW w:w="2143" w:type="dxa"/>
          </w:tcPr>
          <w:p w14:paraId="77D37B15" w14:textId="21A60C54" w:rsidR="00A26E43" w:rsidRPr="004859C8" w:rsidRDefault="00A26E43" w:rsidP="00A26E43">
            <w:pPr>
              <w:pStyle w:val="TMGTableText"/>
              <w:jc w:val="center"/>
            </w:pPr>
            <w:r w:rsidRPr="00877387">
              <w:rPr>
                <w:rFonts w:eastAsiaTheme="minorEastAsia"/>
              </w:rPr>
              <w:t>49-54</w:t>
            </w:r>
          </w:p>
        </w:tc>
        <w:tc>
          <w:tcPr>
            <w:tcW w:w="693" w:type="dxa"/>
            <w:vAlign w:val="center"/>
          </w:tcPr>
          <w:p w14:paraId="0725D309" w14:textId="7A33B559" w:rsidR="00A26E43" w:rsidRPr="004859C8" w:rsidRDefault="00A26E43" w:rsidP="00A26E43">
            <w:pPr>
              <w:pStyle w:val="TMGTableText"/>
              <w:jc w:val="center"/>
            </w:pPr>
            <w:r w:rsidRPr="00877387">
              <w:rPr>
                <w:rFonts w:eastAsiaTheme="minorEastAsia"/>
              </w:rPr>
              <w:t>6</w:t>
            </w:r>
          </w:p>
        </w:tc>
        <w:tc>
          <w:tcPr>
            <w:tcW w:w="3457" w:type="dxa"/>
            <w:vAlign w:val="center"/>
          </w:tcPr>
          <w:p w14:paraId="511DC43B" w14:textId="2CC1186F" w:rsidR="00A26E43" w:rsidRPr="004859C8" w:rsidRDefault="00A26E43" w:rsidP="00A26E43">
            <w:pPr>
              <w:pStyle w:val="TMGTableText"/>
            </w:pPr>
            <w:r w:rsidRPr="00877387">
              <w:rPr>
                <w:rFonts w:eastAsiaTheme="minorEastAsia"/>
              </w:rPr>
              <w:t>Gross Vehicle Weight (GVW)</w:t>
            </w:r>
          </w:p>
        </w:tc>
        <w:tc>
          <w:tcPr>
            <w:tcW w:w="1309" w:type="dxa"/>
            <w:vAlign w:val="center"/>
          </w:tcPr>
          <w:p w14:paraId="7DFDDB9A" w14:textId="06D332F8" w:rsidR="00A26E43" w:rsidRPr="004859C8" w:rsidRDefault="00A26E43" w:rsidP="004605FE">
            <w:pPr>
              <w:pStyle w:val="TMGTableText"/>
              <w:jc w:val="center"/>
            </w:pPr>
            <w:r w:rsidRPr="00210E38">
              <w:t>Integer</w:t>
            </w:r>
          </w:p>
        </w:tc>
        <w:tc>
          <w:tcPr>
            <w:tcW w:w="1133" w:type="dxa"/>
            <w:vAlign w:val="center"/>
          </w:tcPr>
          <w:p w14:paraId="0EDEB0CA" w14:textId="6F5702FF" w:rsidR="00A26E43" w:rsidRPr="00C251E9" w:rsidRDefault="00A26E43" w:rsidP="004605FE">
            <w:pPr>
              <w:pStyle w:val="TMGTableText"/>
              <w:jc w:val="center"/>
            </w:pPr>
            <w:r>
              <w:rPr>
                <w:rFonts w:eastAsiaTheme="minorEastAsia"/>
              </w:rPr>
              <w:t>Required</w:t>
            </w:r>
          </w:p>
        </w:tc>
      </w:tr>
      <w:tr w:rsidR="00A26E43" w14:paraId="11087B74" w14:textId="77777777" w:rsidTr="00A26E43">
        <w:trPr>
          <w:jc w:val="center"/>
        </w:trPr>
        <w:tc>
          <w:tcPr>
            <w:tcW w:w="625" w:type="dxa"/>
          </w:tcPr>
          <w:p w14:paraId="3E81DBAE" w14:textId="32628538" w:rsidR="00A26E43" w:rsidRPr="00A26E43" w:rsidRDefault="00A26E43" w:rsidP="00A26E43">
            <w:pPr>
              <w:pStyle w:val="TMGTableText"/>
              <w:pageBreakBefore/>
              <w:ind w:left="0" w:right="144"/>
              <w:jc w:val="right"/>
              <w:rPr>
                <w:b/>
                <w:bCs/>
              </w:rPr>
            </w:pPr>
            <w:r w:rsidRPr="00A26E43">
              <w:rPr>
                <w:rFonts w:eastAsiaTheme="minorEastAsia"/>
                <w:b/>
                <w:bCs/>
              </w:rPr>
              <w:lastRenderedPageBreak/>
              <w:t>21</w:t>
            </w:r>
          </w:p>
        </w:tc>
        <w:tc>
          <w:tcPr>
            <w:tcW w:w="2143" w:type="dxa"/>
          </w:tcPr>
          <w:p w14:paraId="16D58A24" w14:textId="089D7842" w:rsidR="00A26E43" w:rsidRPr="004859C8" w:rsidRDefault="00A26E43" w:rsidP="00A26E43">
            <w:pPr>
              <w:pStyle w:val="TMGTableText"/>
              <w:jc w:val="center"/>
            </w:pPr>
            <w:r>
              <w:rPr>
                <w:rFonts w:eastAsiaTheme="minorEastAsia"/>
              </w:rPr>
              <w:t>55-59</w:t>
            </w:r>
          </w:p>
        </w:tc>
        <w:tc>
          <w:tcPr>
            <w:tcW w:w="693" w:type="dxa"/>
            <w:vAlign w:val="center"/>
          </w:tcPr>
          <w:p w14:paraId="19213815" w14:textId="1C1B3753" w:rsidR="00A26E43" w:rsidRPr="004859C8" w:rsidRDefault="00A26E43" w:rsidP="00A26E43">
            <w:pPr>
              <w:pStyle w:val="TMGTableText"/>
              <w:jc w:val="center"/>
            </w:pPr>
            <w:r w:rsidRPr="00877387">
              <w:t>5</w:t>
            </w:r>
          </w:p>
        </w:tc>
        <w:tc>
          <w:tcPr>
            <w:tcW w:w="3457" w:type="dxa"/>
            <w:vAlign w:val="center"/>
          </w:tcPr>
          <w:p w14:paraId="2A714F87" w14:textId="5B26193B" w:rsidR="00A26E43" w:rsidRPr="004859C8" w:rsidRDefault="00A26E43" w:rsidP="00A26E43">
            <w:pPr>
              <w:pStyle w:val="TMGTableText"/>
            </w:pPr>
            <w:r w:rsidRPr="00877387">
              <w:rPr>
                <w:rFonts w:eastAsiaTheme="minorEastAsia"/>
              </w:rPr>
              <w:t>Weight 1 Left Wheel Path (LW1)</w:t>
            </w:r>
          </w:p>
        </w:tc>
        <w:tc>
          <w:tcPr>
            <w:tcW w:w="1309" w:type="dxa"/>
            <w:vAlign w:val="center"/>
          </w:tcPr>
          <w:p w14:paraId="5804B5F9" w14:textId="5FA2E178" w:rsidR="00A26E43" w:rsidRPr="004859C8" w:rsidRDefault="00A26E43" w:rsidP="004605FE">
            <w:pPr>
              <w:pStyle w:val="TMGTableText"/>
              <w:jc w:val="center"/>
            </w:pPr>
            <w:r w:rsidRPr="00210E38">
              <w:t>Integer</w:t>
            </w:r>
          </w:p>
        </w:tc>
        <w:tc>
          <w:tcPr>
            <w:tcW w:w="1133" w:type="dxa"/>
            <w:vAlign w:val="center"/>
          </w:tcPr>
          <w:p w14:paraId="47C5F9AF" w14:textId="06B0AE29" w:rsidR="00A26E43" w:rsidRPr="00C251E9" w:rsidRDefault="00A26E43" w:rsidP="004605FE">
            <w:pPr>
              <w:pStyle w:val="TMGTableText"/>
              <w:jc w:val="center"/>
            </w:pPr>
            <w:r>
              <w:rPr>
                <w:rFonts w:eastAsiaTheme="minorEastAsia"/>
              </w:rPr>
              <w:t>Required</w:t>
            </w:r>
          </w:p>
        </w:tc>
      </w:tr>
      <w:tr w:rsidR="00A26E43" w14:paraId="5A96B0B3" w14:textId="77777777" w:rsidTr="00A26E43">
        <w:trPr>
          <w:jc w:val="center"/>
        </w:trPr>
        <w:tc>
          <w:tcPr>
            <w:tcW w:w="625" w:type="dxa"/>
          </w:tcPr>
          <w:p w14:paraId="0D74D28E" w14:textId="43160E25" w:rsidR="00A26E43" w:rsidRPr="00A26E43" w:rsidRDefault="00A26E43" w:rsidP="00A26E43">
            <w:pPr>
              <w:pStyle w:val="TMGTableText"/>
              <w:ind w:left="0" w:right="144"/>
              <w:jc w:val="right"/>
              <w:rPr>
                <w:b/>
                <w:bCs/>
              </w:rPr>
            </w:pPr>
            <w:r w:rsidRPr="00A26E43">
              <w:rPr>
                <w:rFonts w:eastAsiaTheme="minorEastAsia"/>
                <w:b/>
                <w:bCs/>
              </w:rPr>
              <w:t>22</w:t>
            </w:r>
          </w:p>
        </w:tc>
        <w:tc>
          <w:tcPr>
            <w:tcW w:w="2143" w:type="dxa"/>
          </w:tcPr>
          <w:p w14:paraId="55BE5B04" w14:textId="40298492" w:rsidR="00A26E43" w:rsidRPr="004859C8" w:rsidRDefault="00A26E43" w:rsidP="00A26E43">
            <w:pPr>
              <w:pStyle w:val="TMGTableText"/>
              <w:jc w:val="center"/>
            </w:pPr>
            <w:r>
              <w:rPr>
                <w:rFonts w:eastAsiaTheme="minorEastAsia"/>
              </w:rPr>
              <w:t>60-64</w:t>
            </w:r>
          </w:p>
        </w:tc>
        <w:tc>
          <w:tcPr>
            <w:tcW w:w="693" w:type="dxa"/>
            <w:vAlign w:val="center"/>
          </w:tcPr>
          <w:p w14:paraId="02B68299" w14:textId="13CFBACB" w:rsidR="00A26E43" w:rsidRPr="004859C8" w:rsidRDefault="00A26E43" w:rsidP="00A26E43">
            <w:pPr>
              <w:pStyle w:val="TMGTableText"/>
              <w:jc w:val="center"/>
            </w:pPr>
            <w:r w:rsidRPr="00877387">
              <w:t>5</w:t>
            </w:r>
          </w:p>
        </w:tc>
        <w:tc>
          <w:tcPr>
            <w:tcW w:w="3457" w:type="dxa"/>
            <w:vAlign w:val="center"/>
          </w:tcPr>
          <w:p w14:paraId="2EBCC867" w14:textId="233DCAD9" w:rsidR="00A26E43" w:rsidRPr="004859C8" w:rsidRDefault="00A26E43" w:rsidP="00A26E43">
            <w:pPr>
              <w:pStyle w:val="TMGTableText"/>
            </w:pPr>
            <w:r w:rsidRPr="00877387">
              <w:rPr>
                <w:rFonts w:eastAsiaTheme="minorEastAsia"/>
              </w:rPr>
              <w:t>Weight 1 Right Wheel Path (RW1)</w:t>
            </w:r>
          </w:p>
        </w:tc>
        <w:tc>
          <w:tcPr>
            <w:tcW w:w="1309" w:type="dxa"/>
            <w:vAlign w:val="center"/>
          </w:tcPr>
          <w:p w14:paraId="1B60E054" w14:textId="149BBD27" w:rsidR="00A26E43" w:rsidRPr="004859C8" w:rsidRDefault="00A26E43" w:rsidP="004605FE">
            <w:pPr>
              <w:pStyle w:val="TMGTableText"/>
              <w:jc w:val="center"/>
            </w:pPr>
            <w:r w:rsidRPr="003469C7">
              <w:t>Integer</w:t>
            </w:r>
          </w:p>
        </w:tc>
        <w:tc>
          <w:tcPr>
            <w:tcW w:w="1133" w:type="dxa"/>
            <w:vAlign w:val="center"/>
          </w:tcPr>
          <w:p w14:paraId="6E8AB6E0" w14:textId="35B43E3C" w:rsidR="00A26E43" w:rsidRPr="00C251E9" w:rsidRDefault="00A26E43" w:rsidP="004605FE">
            <w:pPr>
              <w:pStyle w:val="TMGTableText"/>
              <w:jc w:val="center"/>
            </w:pPr>
            <w:r>
              <w:rPr>
                <w:rFonts w:eastAsiaTheme="minorEastAsia"/>
              </w:rPr>
              <w:t>Required</w:t>
            </w:r>
          </w:p>
        </w:tc>
      </w:tr>
      <w:tr w:rsidR="00A26E43" w14:paraId="228FE2B4" w14:textId="77777777" w:rsidTr="00A26E43">
        <w:trPr>
          <w:jc w:val="center"/>
        </w:trPr>
        <w:tc>
          <w:tcPr>
            <w:tcW w:w="625" w:type="dxa"/>
          </w:tcPr>
          <w:p w14:paraId="6205B0A5" w14:textId="5EC45F0F" w:rsidR="00A26E43" w:rsidRPr="00A26E43" w:rsidRDefault="00A26E43" w:rsidP="00A26E43">
            <w:pPr>
              <w:pStyle w:val="TMGTableText"/>
              <w:ind w:left="0" w:right="144"/>
              <w:jc w:val="right"/>
              <w:rPr>
                <w:b/>
                <w:bCs/>
              </w:rPr>
            </w:pPr>
            <w:r w:rsidRPr="00A26E43">
              <w:rPr>
                <w:rFonts w:eastAsiaTheme="minorEastAsia"/>
                <w:b/>
                <w:bCs/>
              </w:rPr>
              <w:t>23</w:t>
            </w:r>
          </w:p>
        </w:tc>
        <w:tc>
          <w:tcPr>
            <w:tcW w:w="2143" w:type="dxa"/>
          </w:tcPr>
          <w:p w14:paraId="0F56A02E" w14:textId="2E7FA56E" w:rsidR="00A26E43" w:rsidRPr="004859C8" w:rsidRDefault="00A26E43" w:rsidP="00A26E43">
            <w:pPr>
              <w:pStyle w:val="TMGTableText"/>
              <w:jc w:val="center"/>
            </w:pPr>
            <w:r>
              <w:t>65-68</w:t>
            </w:r>
          </w:p>
        </w:tc>
        <w:tc>
          <w:tcPr>
            <w:tcW w:w="693" w:type="dxa"/>
            <w:vAlign w:val="center"/>
          </w:tcPr>
          <w:p w14:paraId="094BD051" w14:textId="71FA44C6" w:rsidR="00A26E43" w:rsidRPr="004859C8" w:rsidRDefault="00A26E43" w:rsidP="00A26E43">
            <w:pPr>
              <w:pStyle w:val="TMGTableText"/>
              <w:jc w:val="center"/>
            </w:pPr>
            <w:r w:rsidRPr="00877387">
              <w:rPr>
                <w:rFonts w:eastAsiaTheme="minorEastAsia"/>
              </w:rPr>
              <w:t>4</w:t>
            </w:r>
          </w:p>
        </w:tc>
        <w:tc>
          <w:tcPr>
            <w:tcW w:w="3457" w:type="dxa"/>
            <w:vAlign w:val="center"/>
          </w:tcPr>
          <w:p w14:paraId="3C837178" w14:textId="292D5BA3" w:rsidR="00A26E43" w:rsidRPr="004859C8" w:rsidRDefault="00A26E43" w:rsidP="00A26E43">
            <w:pPr>
              <w:pStyle w:val="TMGTableText"/>
            </w:pPr>
            <w:r w:rsidRPr="00877387">
              <w:rPr>
                <w:rFonts w:eastAsiaTheme="minorEastAsia"/>
              </w:rPr>
              <w:t>Axles 1-2 Spacing (ASP1)</w:t>
            </w:r>
          </w:p>
        </w:tc>
        <w:tc>
          <w:tcPr>
            <w:tcW w:w="1309" w:type="dxa"/>
            <w:vAlign w:val="center"/>
          </w:tcPr>
          <w:p w14:paraId="19A4CB5C" w14:textId="4C2151DC" w:rsidR="00A26E43" w:rsidRPr="004859C8" w:rsidRDefault="00A26E43" w:rsidP="004605FE">
            <w:pPr>
              <w:pStyle w:val="TMGTableText"/>
              <w:jc w:val="center"/>
            </w:pPr>
            <w:r w:rsidRPr="003469C7">
              <w:t>Integer</w:t>
            </w:r>
          </w:p>
        </w:tc>
        <w:tc>
          <w:tcPr>
            <w:tcW w:w="1133" w:type="dxa"/>
            <w:vAlign w:val="center"/>
          </w:tcPr>
          <w:p w14:paraId="621A35D4" w14:textId="354E3000" w:rsidR="00A26E43" w:rsidRPr="00C251E9" w:rsidRDefault="00A26E43" w:rsidP="004605FE">
            <w:pPr>
              <w:pStyle w:val="TMGTableText"/>
              <w:jc w:val="center"/>
            </w:pPr>
            <w:r>
              <w:rPr>
                <w:rFonts w:eastAsiaTheme="minorEastAsia"/>
              </w:rPr>
              <w:t>Required</w:t>
            </w:r>
          </w:p>
        </w:tc>
      </w:tr>
      <w:tr w:rsidR="00A26E43" w14:paraId="3AA5CA73" w14:textId="77777777" w:rsidTr="00A26E43">
        <w:trPr>
          <w:jc w:val="center"/>
        </w:trPr>
        <w:tc>
          <w:tcPr>
            <w:tcW w:w="625" w:type="dxa"/>
          </w:tcPr>
          <w:p w14:paraId="04F8E152" w14:textId="139449FE" w:rsidR="00A26E43" w:rsidRPr="00A26E43" w:rsidRDefault="00A26E43" w:rsidP="00A26E43">
            <w:pPr>
              <w:pStyle w:val="TMGTableText"/>
              <w:ind w:left="0" w:right="144"/>
              <w:jc w:val="right"/>
              <w:rPr>
                <w:b/>
                <w:bCs/>
              </w:rPr>
            </w:pPr>
            <w:r w:rsidRPr="00A26E43">
              <w:rPr>
                <w:rFonts w:eastAsiaTheme="minorEastAsia"/>
                <w:b/>
                <w:bCs/>
              </w:rPr>
              <w:t>24</w:t>
            </w:r>
          </w:p>
        </w:tc>
        <w:tc>
          <w:tcPr>
            <w:tcW w:w="2143" w:type="dxa"/>
          </w:tcPr>
          <w:p w14:paraId="5AE8B6AB" w14:textId="3AE74E85" w:rsidR="00A26E43" w:rsidRPr="004859C8" w:rsidRDefault="00A26E43" w:rsidP="00A26E43">
            <w:pPr>
              <w:pStyle w:val="TMGTableText"/>
              <w:jc w:val="center"/>
            </w:pPr>
            <w:r>
              <w:t>69-73</w:t>
            </w:r>
          </w:p>
        </w:tc>
        <w:tc>
          <w:tcPr>
            <w:tcW w:w="693" w:type="dxa"/>
            <w:vAlign w:val="center"/>
          </w:tcPr>
          <w:p w14:paraId="2CB49A96" w14:textId="56BC1576" w:rsidR="00A26E43" w:rsidRPr="004859C8" w:rsidRDefault="00A26E43" w:rsidP="00A26E43">
            <w:pPr>
              <w:pStyle w:val="TMGTableText"/>
              <w:jc w:val="center"/>
            </w:pPr>
            <w:r w:rsidRPr="00877387">
              <w:t>5</w:t>
            </w:r>
          </w:p>
        </w:tc>
        <w:tc>
          <w:tcPr>
            <w:tcW w:w="3457" w:type="dxa"/>
            <w:vAlign w:val="center"/>
          </w:tcPr>
          <w:p w14:paraId="279B2584" w14:textId="08904535" w:rsidR="00A26E43" w:rsidRPr="004859C8" w:rsidRDefault="00A26E43" w:rsidP="00A26E43">
            <w:pPr>
              <w:pStyle w:val="TMGTableText"/>
            </w:pPr>
            <w:r w:rsidRPr="00877387">
              <w:rPr>
                <w:rFonts w:eastAsiaTheme="minorEastAsia"/>
              </w:rPr>
              <w:t>Weight 2 Left Wheel Path (LW2)</w:t>
            </w:r>
          </w:p>
        </w:tc>
        <w:tc>
          <w:tcPr>
            <w:tcW w:w="1309" w:type="dxa"/>
            <w:vAlign w:val="center"/>
          </w:tcPr>
          <w:p w14:paraId="05FAF533" w14:textId="21BBC6F7" w:rsidR="00A26E43" w:rsidRPr="004859C8" w:rsidRDefault="00A26E43" w:rsidP="004605FE">
            <w:pPr>
              <w:pStyle w:val="TMGTableText"/>
              <w:jc w:val="center"/>
            </w:pPr>
            <w:r w:rsidRPr="003469C7">
              <w:t>Integer</w:t>
            </w:r>
          </w:p>
        </w:tc>
        <w:tc>
          <w:tcPr>
            <w:tcW w:w="1133" w:type="dxa"/>
            <w:vAlign w:val="center"/>
          </w:tcPr>
          <w:p w14:paraId="079D5A81" w14:textId="3BCCBADC" w:rsidR="00A26E43" w:rsidRPr="00C251E9" w:rsidRDefault="00A26E43" w:rsidP="004605FE">
            <w:pPr>
              <w:pStyle w:val="TMGTableText"/>
              <w:jc w:val="center"/>
            </w:pPr>
            <w:r>
              <w:rPr>
                <w:rFonts w:eastAsiaTheme="minorEastAsia"/>
              </w:rPr>
              <w:t>Required</w:t>
            </w:r>
          </w:p>
        </w:tc>
      </w:tr>
      <w:tr w:rsidR="00A26E43" w14:paraId="72B38A02" w14:textId="77777777" w:rsidTr="00A26E43">
        <w:trPr>
          <w:jc w:val="center"/>
        </w:trPr>
        <w:tc>
          <w:tcPr>
            <w:tcW w:w="625" w:type="dxa"/>
          </w:tcPr>
          <w:p w14:paraId="0554717A" w14:textId="38296E8D" w:rsidR="00A26E43" w:rsidRPr="00A26E43" w:rsidRDefault="00A26E43" w:rsidP="00A26E43">
            <w:pPr>
              <w:pStyle w:val="TMGTableText"/>
              <w:ind w:left="0" w:right="144"/>
              <w:jc w:val="right"/>
              <w:rPr>
                <w:b/>
                <w:bCs/>
              </w:rPr>
            </w:pPr>
            <w:r w:rsidRPr="00A26E43">
              <w:rPr>
                <w:rFonts w:eastAsiaTheme="minorEastAsia"/>
                <w:b/>
                <w:bCs/>
              </w:rPr>
              <w:t>25</w:t>
            </w:r>
          </w:p>
        </w:tc>
        <w:tc>
          <w:tcPr>
            <w:tcW w:w="2143" w:type="dxa"/>
          </w:tcPr>
          <w:p w14:paraId="139204AE" w14:textId="2882EEE4" w:rsidR="00A26E43" w:rsidRPr="004859C8" w:rsidRDefault="00A26E43" w:rsidP="00A26E43">
            <w:pPr>
              <w:pStyle w:val="TMGTableText"/>
              <w:jc w:val="center"/>
            </w:pPr>
            <w:r>
              <w:t>74-78</w:t>
            </w:r>
          </w:p>
        </w:tc>
        <w:tc>
          <w:tcPr>
            <w:tcW w:w="693" w:type="dxa"/>
            <w:vAlign w:val="center"/>
          </w:tcPr>
          <w:p w14:paraId="63CA32E4" w14:textId="4213683C" w:rsidR="00A26E43" w:rsidRPr="004859C8" w:rsidRDefault="00A26E43" w:rsidP="00A26E43">
            <w:pPr>
              <w:pStyle w:val="TMGTableText"/>
              <w:jc w:val="center"/>
            </w:pPr>
            <w:r w:rsidRPr="00877387">
              <w:t>5</w:t>
            </w:r>
          </w:p>
        </w:tc>
        <w:tc>
          <w:tcPr>
            <w:tcW w:w="3457" w:type="dxa"/>
            <w:vAlign w:val="center"/>
          </w:tcPr>
          <w:p w14:paraId="5F0F510F" w14:textId="7D92A39B" w:rsidR="00A26E43" w:rsidRPr="004859C8" w:rsidRDefault="00A26E43" w:rsidP="00A26E43">
            <w:pPr>
              <w:pStyle w:val="TMGTableText"/>
            </w:pPr>
            <w:r w:rsidRPr="00877387">
              <w:rPr>
                <w:rFonts w:eastAsiaTheme="minorEastAsia"/>
              </w:rPr>
              <w:t>Weight 2 Right Wheel Path (RW2)</w:t>
            </w:r>
          </w:p>
        </w:tc>
        <w:tc>
          <w:tcPr>
            <w:tcW w:w="1309" w:type="dxa"/>
            <w:vAlign w:val="center"/>
          </w:tcPr>
          <w:p w14:paraId="69A58C6E" w14:textId="7D9B5B07" w:rsidR="00A26E43" w:rsidRPr="004859C8" w:rsidRDefault="00A26E43" w:rsidP="004605FE">
            <w:pPr>
              <w:pStyle w:val="TMGTableText"/>
              <w:jc w:val="center"/>
            </w:pPr>
            <w:r w:rsidRPr="003469C7">
              <w:t>Integer</w:t>
            </w:r>
          </w:p>
        </w:tc>
        <w:tc>
          <w:tcPr>
            <w:tcW w:w="1133" w:type="dxa"/>
            <w:vAlign w:val="center"/>
          </w:tcPr>
          <w:p w14:paraId="0F094BF4" w14:textId="4C002722" w:rsidR="00A26E43" w:rsidRPr="00C251E9" w:rsidRDefault="00A26E43" w:rsidP="004605FE">
            <w:pPr>
              <w:pStyle w:val="TMGTableText"/>
              <w:jc w:val="center"/>
            </w:pPr>
            <w:r>
              <w:rPr>
                <w:rFonts w:eastAsiaTheme="minorEastAsia"/>
              </w:rPr>
              <w:t>Required</w:t>
            </w:r>
          </w:p>
        </w:tc>
      </w:tr>
      <w:tr w:rsidR="00A26E43" w14:paraId="07C54CF1" w14:textId="77777777" w:rsidTr="00A26E43">
        <w:trPr>
          <w:jc w:val="center"/>
        </w:trPr>
        <w:tc>
          <w:tcPr>
            <w:tcW w:w="625" w:type="dxa"/>
          </w:tcPr>
          <w:p w14:paraId="6CC25BAB" w14:textId="3CEA2C7A" w:rsidR="00A26E43" w:rsidRPr="00A26E43" w:rsidRDefault="00A26E43" w:rsidP="00A26E43">
            <w:pPr>
              <w:pStyle w:val="TMGTableText"/>
              <w:ind w:left="0" w:right="144"/>
              <w:jc w:val="right"/>
              <w:rPr>
                <w:b/>
                <w:bCs/>
              </w:rPr>
            </w:pPr>
            <w:r w:rsidRPr="00A26E43">
              <w:rPr>
                <w:rFonts w:eastAsiaTheme="minorEastAsia"/>
                <w:b/>
                <w:bCs/>
              </w:rPr>
              <w:t>26</w:t>
            </w:r>
          </w:p>
        </w:tc>
        <w:tc>
          <w:tcPr>
            <w:tcW w:w="2143" w:type="dxa"/>
          </w:tcPr>
          <w:p w14:paraId="7743B384" w14:textId="7EB91816" w:rsidR="00A26E43" w:rsidRPr="004859C8" w:rsidRDefault="00A26E43" w:rsidP="00A26E43">
            <w:pPr>
              <w:pStyle w:val="TMGTableText"/>
              <w:jc w:val="center"/>
            </w:pPr>
            <w:r>
              <w:t>79-82</w:t>
            </w:r>
          </w:p>
        </w:tc>
        <w:tc>
          <w:tcPr>
            <w:tcW w:w="693" w:type="dxa"/>
            <w:vAlign w:val="center"/>
          </w:tcPr>
          <w:p w14:paraId="7B4ACDA7" w14:textId="1DDE070B" w:rsidR="00A26E43" w:rsidRPr="004859C8" w:rsidRDefault="00A26E43" w:rsidP="00A26E43">
            <w:pPr>
              <w:pStyle w:val="TMGTableText"/>
              <w:jc w:val="center"/>
            </w:pPr>
            <w:r w:rsidRPr="00877387">
              <w:rPr>
                <w:rFonts w:eastAsiaTheme="minorEastAsia"/>
              </w:rPr>
              <w:t>4</w:t>
            </w:r>
          </w:p>
        </w:tc>
        <w:tc>
          <w:tcPr>
            <w:tcW w:w="3457" w:type="dxa"/>
            <w:vAlign w:val="center"/>
          </w:tcPr>
          <w:p w14:paraId="7FC085DC" w14:textId="69C0FEFF" w:rsidR="00A26E43" w:rsidRPr="004859C8" w:rsidRDefault="00A26E43" w:rsidP="00A26E43">
            <w:pPr>
              <w:pStyle w:val="TMGTableText"/>
            </w:pPr>
            <w:r w:rsidRPr="00877387">
              <w:rPr>
                <w:rFonts w:eastAsiaTheme="minorEastAsia"/>
              </w:rPr>
              <w:t>Axles 2-3 Spacing (ASP2)</w:t>
            </w:r>
          </w:p>
        </w:tc>
        <w:tc>
          <w:tcPr>
            <w:tcW w:w="1309" w:type="dxa"/>
            <w:vAlign w:val="center"/>
          </w:tcPr>
          <w:p w14:paraId="17DC556A" w14:textId="2C0359D9" w:rsidR="00A26E43" w:rsidRPr="004859C8" w:rsidRDefault="00A26E43" w:rsidP="004605FE">
            <w:pPr>
              <w:pStyle w:val="TMGTableText"/>
              <w:jc w:val="center"/>
            </w:pPr>
            <w:r w:rsidRPr="003469C7">
              <w:t>Integer</w:t>
            </w:r>
          </w:p>
        </w:tc>
        <w:tc>
          <w:tcPr>
            <w:tcW w:w="1133" w:type="dxa"/>
            <w:vAlign w:val="center"/>
          </w:tcPr>
          <w:p w14:paraId="7AC58D29" w14:textId="179AB22D" w:rsidR="00A26E43" w:rsidRPr="00C251E9" w:rsidRDefault="00A26E43"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A26E43" w14:paraId="43CE6D60" w14:textId="77777777" w:rsidTr="00A26E43">
        <w:trPr>
          <w:jc w:val="center"/>
        </w:trPr>
        <w:tc>
          <w:tcPr>
            <w:tcW w:w="625" w:type="dxa"/>
          </w:tcPr>
          <w:p w14:paraId="37257485" w14:textId="24B221BF" w:rsidR="00A26E43" w:rsidRPr="00A26E43" w:rsidRDefault="00A26E43" w:rsidP="00A26E43">
            <w:pPr>
              <w:pStyle w:val="TMGTableText"/>
              <w:ind w:left="0" w:right="144"/>
              <w:jc w:val="right"/>
              <w:rPr>
                <w:b/>
                <w:bCs/>
              </w:rPr>
            </w:pPr>
            <w:r w:rsidRPr="00A26E43">
              <w:rPr>
                <w:rFonts w:eastAsiaTheme="minorEastAsia"/>
                <w:b/>
                <w:bCs/>
              </w:rPr>
              <w:t>27</w:t>
            </w:r>
          </w:p>
        </w:tc>
        <w:tc>
          <w:tcPr>
            <w:tcW w:w="2143" w:type="dxa"/>
          </w:tcPr>
          <w:p w14:paraId="32F3EA49" w14:textId="60C5551B" w:rsidR="00A26E43" w:rsidRPr="004859C8" w:rsidRDefault="00A26E43" w:rsidP="00A26E43">
            <w:pPr>
              <w:pStyle w:val="TMGTableText"/>
              <w:jc w:val="center"/>
            </w:pPr>
            <w:r>
              <w:t>83-87</w:t>
            </w:r>
          </w:p>
        </w:tc>
        <w:tc>
          <w:tcPr>
            <w:tcW w:w="693" w:type="dxa"/>
            <w:vAlign w:val="center"/>
          </w:tcPr>
          <w:p w14:paraId="526FAF6F" w14:textId="0D5ED9E8" w:rsidR="00A26E43" w:rsidRPr="004859C8" w:rsidRDefault="00A26E43" w:rsidP="00A26E43">
            <w:pPr>
              <w:pStyle w:val="TMGTableText"/>
              <w:jc w:val="center"/>
            </w:pPr>
            <w:r w:rsidRPr="00877387">
              <w:t>5</w:t>
            </w:r>
          </w:p>
        </w:tc>
        <w:tc>
          <w:tcPr>
            <w:tcW w:w="3457" w:type="dxa"/>
            <w:vAlign w:val="center"/>
          </w:tcPr>
          <w:p w14:paraId="21AA2904" w14:textId="0ADA5EBE" w:rsidR="00A26E43" w:rsidRPr="004859C8" w:rsidRDefault="00A26E43" w:rsidP="00A26E43">
            <w:pPr>
              <w:pStyle w:val="TMGTableText"/>
            </w:pPr>
            <w:r w:rsidRPr="00877387">
              <w:rPr>
                <w:rFonts w:eastAsiaTheme="minorEastAsia"/>
              </w:rPr>
              <w:t>Weight 3 Left Wheel Path (LW3)</w:t>
            </w:r>
          </w:p>
        </w:tc>
        <w:tc>
          <w:tcPr>
            <w:tcW w:w="1309" w:type="dxa"/>
            <w:vAlign w:val="center"/>
          </w:tcPr>
          <w:p w14:paraId="17F44351" w14:textId="7671611B" w:rsidR="00A26E43" w:rsidRPr="004859C8" w:rsidRDefault="00A26E43" w:rsidP="004605FE">
            <w:pPr>
              <w:pStyle w:val="TMGTableText"/>
              <w:jc w:val="center"/>
            </w:pPr>
            <w:r w:rsidRPr="003469C7">
              <w:t>Integer</w:t>
            </w:r>
          </w:p>
        </w:tc>
        <w:tc>
          <w:tcPr>
            <w:tcW w:w="1133" w:type="dxa"/>
            <w:vAlign w:val="center"/>
          </w:tcPr>
          <w:p w14:paraId="10C72B22" w14:textId="76A750F3" w:rsidR="00A26E43" w:rsidRPr="00C251E9" w:rsidRDefault="00A26E43"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A26E43" w14:paraId="7983F496" w14:textId="77777777" w:rsidTr="00A26E43">
        <w:trPr>
          <w:jc w:val="center"/>
        </w:trPr>
        <w:tc>
          <w:tcPr>
            <w:tcW w:w="625" w:type="dxa"/>
          </w:tcPr>
          <w:p w14:paraId="6146D44A" w14:textId="0BD97C22" w:rsidR="00A26E43" w:rsidRPr="00A26E43" w:rsidRDefault="00A26E43" w:rsidP="00A26E43">
            <w:pPr>
              <w:pStyle w:val="TMGTableText"/>
              <w:ind w:left="0" w:right="144"/>
              <w:jc w:val="right"/>
              <w:rPr>
                <w:b/>
                <w:bCs/>
              </w:rPr>
            </w:pPr>
            <w:r w:rsidRPr="00A26E43">
              <w:rPr>
                <w:rFonts w:eastAsiaTheme="minorEastAsia"/>
                <w:b/>
                <w:bCs/>
              </w:rPr>
              <w:t>28</w:t>
            </w:r>
          </w:p>
        </w:tc>
        <w:tc>
          <w:tcPr>
            <w:tcW w:w="2143" w:type="dxa"/>
          </w:tcPr>
          <w:p w14:paraId="754B019B" w14:textId="317BCF96" w:rsidR="00A26E43" w:rsidRPr="004859C8" w:rsidRDefault="00A26E43" w:rsidP="00A26E43">
            <w:pPr>
              <w:pStyle w:val="TMGTableText"/>
              <w:jc w:val="center"/>
            </w:pPr>
            <w:r>
              <w:t>88-92</w:t>
            </w:r>
          </w:p>
        </w:tc>
        <w:tc>
          <w:tcPr>
            <w:tcW w:w="693" w:type="dxa"/>
            <w:vAlign w:val="center"/>
          </w:tcPr>
          <w:p w14:paraId="598998A2" w14:textId="75D77FE9" w:rsidR="00A26E43" w:rsidRPr="004859C8" w:rsidRDefault="00A26E43" w:rsidP="00A26E43">
            <w:pPr>
              <w:pStyle w:val="TMGTableText"/>
              <w:jc w:val="center"/>
            </w:pPr>
            <w:r w:rsidRPr="00877387">
              <w:t>5</w:t>
            </w:r>
          </w:p>
        </w:tc>
        <w:tc>
          <w:tcPr>
            <w:tcW w:w="3457" w:type="dxa"/>
            <w:vAlign w:val="center"/>
          </w:tcPr>
          <w:p w14:paraId="0EB16C7A" w14:textId="6753065A" w:rsidR="00A26E43" w:rsidRPr="004859C8" w:rsidRDefault="00A26E43" w:rsidP="00A26E43">
            <w:pPr>
              <w:pStyle w:val="TMGTableText"/>
            </w:pPr>
            <w:r w:rsidRPr="00877387">
              <w:rPr>
                <w:rFonts w:eastAsiaTheme="minorEastAsia"/>
              </w:rPr>
              <w:t>Weight 3 Right Wheel Path (RW3)</w:t>
            </w:r>
          </w:p>
        </w:tc>
        <w:tc>
          <w:tcPr>
            <w:tcW w:w="1309" w:type="dxa"/>
            <w:vAlign w:val="center"/>
          </w:tcPr>
          <w:p w14:paraId="479B2DD5" w14:textId="77279C82" w:rsidR="00A26E43" w:rsidRPr="004859C8" w:rsidRDefault="00A26E43" w:rsidP="004605FE">
            <w:pPr>
              <w:pStyle w:val="TMGTableText"/>
              <w:jc w:val="center"/>
            </w:pPr>
            <w:r w:rsidRPr="003469C7">
              <w:t>Integer</w:t>
            </w:r>
          </w:p>
        </w:tc>
        <w:tc>
          <w:tcPr>
            <w:tcW w:w="1133" w:type="dxa"/>
            <w:vAlign w:val="center"/>
          </w:tcPr>
          <w:p w14:paraId="273A0FFC" w14:textId="45AC240F" w:rsidR="00A26E43" w:rsidRPr="00C251E9" w:rsidRDefault="00A26E43"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A26E43" w14:paraId="2002BAF7" w14:textId="77777777" w:rsidTr="00A26E43">
        <w:trPr>
          <w:jc w:val="center"/>
        </w:trPr>
        <w:tc>
          <w:tcPr>
            <w:tcW w:w="625" w:type="dxa"/>
          </w:tcPr>
          <w:p w14:paraId="564B079E" w14:textId="77F01E99" w:rsidR="00A26E43" w:rsidRPr="00A26E43" w:rsidRDefault="00A26E43" w:rsidP="00A26E43">
            <w:pPr>
              <w:pStyle w:val="TMGTableText"/>
              <w:ind w:left="0" w:right="144"/>
              <w:jc w:val="right"/>
              <w:rPr>
                <w:b/>
                <w:bCs/>
              </w:rPr>
            </w:pPr>
            <w:r w:rsidRPr="00A26E43">
              <w:rPr>
                <w:rFonts w:eastAsiaTheme="minorEastAsia"/>
                <w:b/>
                <w:bCs/>
              </w:rPr>
              <w:t>29</w:t>
            </w:r>
          </w:p>
        </w:tc>
        <w:tc>
          <w:tcPr>
            <w:tcW w:w="2143" w:type="dxa"/>
          </w:tcPr>
          <w:p w14:paraId="17700C3F" w14:textId="51D2DAE7" w:rsidR="00A26E43" w:rsidRPr="004859C8" w:rsidRDefault="00A26E43" w:rsidP="00A26E43">
            <w:pPr>
              <w:pStyle w:val="TMGTableText"/>
              <w:jc w:val="center"/>
            </w:pPr>
            <w:r>
              <w:t>93-96</w:t>
            </w:r>
          </w:p>
        </w:tc>
        <w:tc>
          <w:tcPr>
            <w:tcW w:w="693" w:type="dxa"/>
            <w:vAlign w:val="center"/>
          </w:tcPr>
          <w:p w14:paraId="40928A2E" w14:textId="2124AB8F" w:rsidR="00A26E43" w:rsidRPr="004859C8" w:rsidRDefault="00A26E43" w:rsidP="00A26E43">
            <w:pPr>
              <w:pStyle w:val="TMGTableText"/>
              <w:jc w:val="center"/>
            </w:pPr>
            <w:r w:rsidRPr="00877387">
              <w:rPr>
                <w:rFonts w:eastAsiaTheme="minorEastAsia"/>
              </w:rPr>
              <w:t>4</w:t>
            </w:r>
          </w:p>
        </w:tc>
        <w:tc>
          <w:tcPr>
            <w:tcW w:w="3457" w:type="dxa"/>
            <w:vAlign w:val="center"/>
          </w:tcPr>
          <w:p w14:paraId="50CBD084" w14:textId="16D6460C" w:rsidR="00A26E43" w:rsidRPr="004859C8" w:rsidRDefault="00A26E43" w:rsidP="00A26E43">
            <w:pPr>
              <w:pStyle w:val="TMGTableText"/>
            </w:pPr>
            <w:r w:rsidRPr="00877387">
              <w:rPr>
                <w:rFonts w:eastAsiaTheme="minorEastAsia"/>
              </w:rPr>
              <w:t>Axles 3-4 Spacing (ASP3)</w:t>
            </w:r>
          </w:p>
        </w:tc>
        <w:tc>
          <w:tcPr>
            <w:tcW w:w="1309" w:type="dxa"/>
            <w:vAlign w:val="center"/>
          </w:tcPr>
          <w:p w14:paraId="360B2E92" w14:textId="3549FD92" w:rsidR="00A26E43" w:rsidRPr="004859C8" w:rsidRDefault="00A26E43" w:rsidP="004605FE">
            <w:pPr>
              <w:pStyle w:val="TMGTableText"/>
              <w:jc w:val="center"/>
            </w:pPr>
            <w:r w:rsidRPr="003469C7">
              <w:t>Integer</w:t>
            </w:r>
          </w:p>
        </w:tc>
        <w:tc>
          <w:tcPr>
            <w:tcW w:w="1133" w:type="dxa"/>
            <w:vAlign w:val="center"/>
          </w:tcPr>
          <w:p w14:paraId="66066FFA" w14:textId="7291A141" w:rsidR="00A26E43" w:rsidRPr="00C251E9" w:rsidRDefault="00A26E43"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A26E43" w14:paraId="6033DFDB" w14:textId="77777777" w:rsidTr="00A26E43">
        <w:trPr>
          <w:jc w:val="center"/>
        </w:trPr>
        <w:tc>
          <w:tcPr>
            <w:tcW w:w="625" w:type="dxa"/>
          </w:tcPr>
          <w:p w14:paraId="23CB53D9" w14:textId="57E424EF" w:rsidR="00A26E43" w:rsidRPr="00A26E43" w:rsidRDefault="00A26E43" w:rsidP="00A26E43">
            <w:pPr>
              <w:pStyle w:val="TMGTableText"/>
              <w:ind w:left="0" w:right="144"/>
              <w:jc w:val="right"/>
              <w:rPr>
                <w:b/>
                <w:bCs/>
              </w:rPr>
            </w:pPr>
            <w:r w:rsidRPr="00A26E43">
              <w:rPr>
                <w:rFonts w:eastAsiaTheme="minorEastAsia"/>
                <w:b/>
                <w:bCs/>
              </w:rPr>
              <w:t>30</w:t>
            </w:r>
          </w:p>
        </w:tc>
        <w:tc>
          <w:tcPr>
            <w:tcW w:w="2143" w:type="dxa"/>
          </w:tcPr>
          <w:p w14:paraId="4A5C7590" w14:textId="6669DB6F" w:rsidR="00A26E43" w:rsidRPr="004859C8" w:rsidRDefault="00A26E43" w:rsidP="00A26E43">
            <w:pPr>
              <w:pStyle w:val="TMGTableText"/>
              <w:jc w:val="center"/>
            </w:pPr>
            <w:r>
              <w:t>97-101</w:t>
            </w:r>
          </w:p>
        </w:tc>
        <w:tc>
          <w:tcPr>
            <w:tcW w:w="693" w:type="dxa"/>
            <w:vAlign w:val="center"/>
          </w:tcPr>
          <w:p w14:paraId="5816E4F6" w14:textId="06141FC6" w:rsidR="00A26E43" w:rsidRPr="004859C8" w:rsidRDefault="00A26E43" w:rsidP="00A26E43">
            <w:pPr>
              <w:pStyle w:val="TMGTableText"/>
              <w:jc w:val="center"/>
            </w:pPr>
            <w:r w:rsidRPr="00877387">
              <w:t>5</w:t>
            </w:r>
          </w:p>
        </w:tc>
        <w:tc>
          <w:tcPr>
            <w:tcW w:w="3457" w:type="dxa"/>
            <w:vAlign w:val="center"/>
          </w:tcPr>
          <w:p w14:paraId="015A8E6F" w14:textId="4D13985D" w:rsidR="00A26E43" w:rsidRPr="004859C8" w:rsidRDefault="00A26E43" w:rsidP="00A26E43">
            <w:pPr>
              <w:pStyle w:val="TMGTableText"/>
            </w:pPr>
            <w:r w:rsidRPr="00877387">
              <w:rPr>
                <w:rFonts w:eastAsiaTheme="minorEastAsia"/>
              </w:rPr>
              <w:t>Weight 4 Left Wheel Path (LW4)</w:t>
            </w:r>
          </w:p>
        </w:tc>
        <w:tc>
          <w:tcPr>
            <w:tcW w:w="1309" w:type="dxa"/>
            <w:vAlign w:val="center"/>
          </w:tcPr>
          <w:p w14:paraId="0A16DC5E" w14:textId="03C912C9" w:rsidR="00A26E43" w:rsidRPr="004859C8" w:rsidRDefault="00A26E43" w:rsidP="004605FE">
            <w:pPr>
              <w:pStyle w:val="TMGTableText"/>
              <w:jc w:val="center"/>
            </w:pPr>
            <w:r w:rsidRPr="003469C7">
              <w:t>Integer</w:t>
            </w:r>
          </w:p>
        </w:tc>
        <w:tc>
          <w:tcPr>
            <w:tcW w:w="1133" w:type="dxa"/>
            <w:vAlign w:val="center"/>
          </w:tcPr>
          <w:p w14:paraId="2A10C3CA" w14:textId="53E26B2E" w:rsidR="00A26E43" w:rsidRPr="00C251E9" w:rsidRDefault="00A26E43"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A26E43" w14:paraId="1E01044A" w14:textId="77777777" w:rsidTr="00A26E43">
        <w:trPr>
          <w:jc w:val="center"/>
        </w:trPr>
        <w:tc>
          <w:tcPr>
            <w:tcW w:w="625" w:type="dxa"/>
          </w:tcPr>
          <w:p w14:paraId="411FB0FC" w14:textId="1EA670D3" w:rsidR="00A26E43" w:rsidRPr="00A26E43" w:rsidRDefault="00A26E43" w:rsidP="00A26E43">
            <w:pPr>
              <w:pStyle w:val="TMGTableText"/>
              <w:ind w:left="0" w:right="144"/>
              <w:jc w:val="right"/>
              <w:rPr>
                <w:b/>
                <w:bCs/>
              </w:rPr>
            </w:pPr>
            <w:r w:rsidRPr="00A26E43">
              <w:rPr>
                <w:rFonts w:eastAsiaTheme="minorEastAsia"/>
                <w:b/>
                <w:bCs/>
              </w:rPr>
              <w:t>31</w:t>
            </w:r>
          </w:p>
        </w:tc>
        <w:tc>
          <w:tcPr>
            <w:tcW w:w="2143" w:type="dxa"/>
          </w:tcPr>
          <w:p w14:paraId="77D57C39" w14:textId="72431322" w:rsidR="00A26E43" w:rsidRPr="004859C8" w:rsidRDefault="00A26E43" w:rsidP="00A26E43">
            <w:pPr>
              <w:pStyle w:val="TMGTableText"/>
              <w:jc w:val="center"/>
            </w:pPr>
            <w:r>
              <w:t>102-106</w:t>
            </w:r>
          </w:p>
        </w:tc>
        <w:tc>
          <w:tcPr>
            <w:tcW w:w="693" w:type="dxa"/>
            <w:vAlign w:val="center"/>
          </w:tcPr>
          <w:p w14:paraId="540B9E40" w14:textId="1242004E" w:rsidR="00A26E43" w:rsidRPr="004859C8" w:rsidRDefault="00A26E43" w:rsidP="00A26E43">
            <w:pPr>
              <w:pStyle w:val="TMGTableText"/>
              <w:jc w:val="center"/>
            </w:pPr>
            <w:r w:rsidRPr="00877387">
              <w:t>5</w:t>
            </w:r>
          </w:p>
        </w:tc>
        <w:tc>
          <w:tcPr>
            <w:tcW w:w="3457" w:type="dxa"/>
            <w:vAlign w:val="center"/>
          </w:tcPr>
          <w:p w14:paraId="5CC2EDB7" w14:textId="09127B0B" w:rsidR="00A26E43" w:rsidRPr="004859C8" w:rsidRDefault="00A26E43" w:rsidP="00A26E43">
            <w:pPr>
              <w:pStyle w:val="TMGTableText"/>
            </w:pPr>
            <w:r w:rsidRPr="00877387">
              <w:rPr>
                <w:rFonts w:eastAsiaTheme="minorEastAsia"/>
              </w:rPr>
              <w:t>Weight 4 Right Wheel Path (RW4)</w:t>
            </w:r>
          </w:p>
        </w:tc>
        <w:tc>
          <w:tcPr>
            <w:tcW w:w="1309" w:type="dxa"/>
            <w:vAlign w:val="center"/>
          </w:tcPr>
          <w:p w14:paraId="3D2677F9" w14:textId="25070C25" w:rsidR="00A26E43" w:rsidRPr="004859C8" w:rsidRDefault="00A26E43" w:rsidP="004605FE">
            <w:pPr>
              <w:pStyle w:val="TMGTableText"/>
              <w:jc w:val="center"/>
            </w:pPr>
            <w:r w:rsidRPr="003469C7">
              <w:t>Integer</w:t>
            </w:r>
          </w:p>
        </w:tc>
        <w:tc>
          <w:tcPr>
            <w:tcW w:w="1133" w:type="dxa"/>
            <w:vAlign w:val="center"/>
          </w:tcPr>
          <w:p w14:paraId="07D553EB" w14:textId="1A69B54B" w:rsidR="00A26E43" w:rsidRPr="00C251E9" w:rsidRDefault="00A26E43"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A26E43" w14:paraId="3FF35820" w14:textId="77777777" w:rsidTr="00A26E43">
        <w:trPr>
          <w:jc w:val="center"/>
        </w:trPr>
        <w:tc>
          <w:tcPr>
            <w:tcW w:w="625" w:type="dxa"/>
          </w:tcPr>
          <w:p w14:paraId="280E3AEA" w14:textId="645CCD85" w:rsidR="00A26E43" w:rsidRPr="00A26E43" w:rsidRDefault="00A26E43" w:rsidP="00A26E43">
            <w:pPr>
              <w:pStyle w:val="TMGTableText"/>
              <w:ind w:left="0" w:right="144"/>
              <w:jc w:val="right"/>
              <w:rPr>
                <w:b/>
                <w:bCs/>
              </w:rPr>
            </w:pPr>
            <w:r w:rsidRPr="00A26E43">
              <w:rPr>
                <w:rFonts w:eastAsiaTheme="minorEastAsia"/>
                <w:b/>
                <w:bCs/>
              </w:rPr>
              <w:t>32</w:t>
            </w:r>
          </w:p>
        </w:tc>
        <w:tc>
          <w:tcPr>
            <w:tcW w:w="2143" w:type="dxa"/>
          </w:tcPr>
          <w:p w14:paraId="44F6E70B" w14:textId="574547E6" w:rsidR="00A26E43" w:rsidRPr="004859C8" w:rsidRDefault="00A26E43" w:rsidP="00A26E43">
            <w:pPr>
              <w:pStyle w:val="TMGTableText"/>
              <w:jc w:val="center"/>
            </w:pPr>
            <w:r>
              <w:t>107-110</w:t>
            </w:r>
          </w:p>
        </w:tc>
        <w:tc>
          <w:tcPr>
            <w:tcW w:w="693" w:type="dxa"/>
            <w:vAlign w:val="center"/>
          </w:tcPr>
          <w:p w14:paraId="4F0A6823" w14:textId="17E42191" w:rsidR="00A26E43" w:rsidRPr="004859C8" w:rsidRDefault="00A26E43" w:rsidP="00A26E43">
            <w:pPr>
              <w:pStyle w:val="TMGTableText"/>
              <w:jc w:val="center"/>
            </w:pPr>
            <w:r w:rsidRPr="00877387">
              <w:rPr>
                <w:rFonts w:eastAsiaTheme="minorEastAsia"/>
              </w:rPr>
              <w:t>4</w:t>
            </w:r>
          </w:p>
        </w:tc>
        <w:tc>
          <w:tcPr>
            <w:tcW w:w="3457" w:type="dxa"/>
            <w:vAlign w:val="center"/>
          </w:tcPr>
          <w:p w14:paraId="5D49EA11" w14:textId="25E87771" w:rsidR="00A26E43" w:rsidRPr="004859C8" w:rsidRDefault="00A26E43" w:rsidP="00A26E43">
            <w:pPr>
              <w:pStyle w:val="TMGTableText"/>
            </w:pPr>
            <w:r w:rsidRPr="00877387">
              <w:rPr>
                <w:rFonts w:eastAsiaTheme="minorEastAsia"/>
              </w:rPr>
              <w:t>Axles 4-5 Spacing (ASP4)</w:t>
            </w:r>
          </w:p>
        </w:tc>
        <w:tc>
          <w:tcPr>
            <w:tcW w:w="1309" w:type="dxa"/>
            <w:vAlign w:val="center"/>
          </w:tcPr>
          <w:p w14:paraId="77A588D5" w14:textId="623AF3A1" w:rsidR="00A26E43" w:rsidRPr="004859C8" w:rsidRDefault="00A26E43" w:rsidP="004605FE">
            <w:pPr>
              <w:pStyle w:val="TMGTableText"/>
              <w:jc w:val="center"/>
            </w:pPr>
            <w:r w:rsidRPr="003469C7">
              <w:t>Integer</w:t>
            </w:r>
          </w:p>
        </w:tc>
        <w:tc>
          <w:tcPr>
            <w:tcW w:w="1133" w:type="dxa"/>
            <w:vAlign w:val="center"/>
          </w:tcPr>
          <w:p w14:paraId="247F3A7B" w14:textId="0AA14F91" w:rsidR="00A26E43" w:rsidRPr="00C251E9" w:rsidRDefault="00A26E43"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A26E43" w14:paraId="0F812E3B" w14:textId="77777777" w:rsidTr="00A26E43">
        <w:trPr>
          <w:jc w:val="center"/>
        </w:trPr>
        <w:tc>
          <w:tcPr>
            <w:tcW w:w="625" w:type="dxa"/>
          </w:tcPr>
          <w:p w14:paraId="75889C7D" w14:textId="69762C9D" w:rsidR="00A26E43" w:rsidRPr="00A26E43" w:rsidRDefault="00A26E43" w:rsidP="00A26E43">
            <w:pPr>
              <w:pStyle w:val="TMGTableText"/>
              <w:ind w:left="0" w:right="144"/>
              <w:jc w:val="right"/>
              <w:rPr>
                <w:b/>
                <w:bCs/>
              </w:rPr>
            </w:pPr>
            <w:r w:rsidRPr="00A26E43">
              <w:rPr>
                <w:rFonts w:eastAsiaTheme="minorEastAsia"/>
                <w:b/>
                <w:bCs/>
              </w:rPr>
              <w:t>33</w:t>
            </w:r>
          </w:p>
        </w:tc>
        <w:tc>
          <w:tcPr>
            <w:tcW w:w="2143" w:type="dxa"/>
          </w:tcPr>
          <w:p w14:paraId="14E85196" w14:textId="759A730D" w:rsidR="00A26E43" w:rsidRPr="004859C8" w:rsidRDefault="00A26E43" w:rsidP="00A26E43">
            <w:pPr>
              <w:pStyle w:val="TMGTableText"/>
              <w:jc w:val="center"/>
            </w:pPr>
            <w:r>
              <w:t>111-115</w:t>
            </w:r>
          </w:p>
        </w:tc>
        <w:tc>
          <w:tcPr>
            <w:tcW w:w="693" w:type="dxa"/>
            <w:vAlign w:val="center"/>
          </w:tcPr>
          <w:p w14:paraId="2F8EA9CE" w14:textId="413CA8C4" w:rsidR="00A26E43" w:rsidRPr="004859C8" w:rsidRDefault="00A26E43" w:rsidP="00A26E43">
            <w:pPr>
              <w:pStyle w:val="TMGTableText"/>
              <w:jc w:val="center"/>
            </w:pPr>
            <w:r w:rsidRPr="00877387">
              <w:t>5</w:t>
            </w:r>
          </w:p>
        </w:tc>
        <w:tc>
          <w:tcPr>
            <w:tcW w:w="3457" w:type="dxa"/>
            <w:vAlign w:val="center"/>
          </w:tcPr>
          <w:p w14:paraId="0F15142A" w14:textId="4F234889" w:rsidR="00A26E43" w:rsidRPr="004859C8" w:rsidRDefault="00A26E43" w:rsidP="00A26E43">
            <w:pPr>
              <w:pStyle w:val="TMGTableText"/>
            </w:pPr>
            <w:r w:rsidRPr="00877387">
              <w:rPr>
                <w:rFonts w:eastAsiaTheme="minorEastAsia"/>
              </w:rPr>
              <w:t>Weight 5 Left Wheel Path (LW5)</w:t>
            </w:r>
          </w:p>
        </w:tc>
        <w:tc>
          <w:tcPr>
            <w:tcW w:w="1309" w:type="dxa"/>
            <w:vAlign w:val="center"/>
          </w:tcPr>
          <w:p w14:paraId="36B337F2" w14:textId="17A287BD" w:rsidR="00A26E43" w:rsidRPr="004859C8" w:rsidRDefault="00A26E43" w:rsidP="004605FE">
            <w:pPr>
              <w:pStyle w:val="TMGTableText"/>
              <w:jc w:val="center"/>
            </w:pPr>
            <w:r w:rsidRPr="003469C7">
              <w:t>Integer</w:t>
            </w:r>
          </w:p>
        </w:tc>
        <w:tc>
          <w:tcPr>
            <w:tcW w:w="1133" w:type="dxa"/>
            <w:vAlign w:val="center"/>
          </w:tcPr>
          <w:p w14:paraId="14760A98" w14:textId="513E1A93" w:rsidR="00A26E43" w:rsidRPr="00C251E9" w:rsidRDefault="00A26E43"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A26E43" w14:paraId="6EB68603" w14:textId="77777777" w:rsidTr="00A26E43">
        <w:trPr>
          <w:jc w:val="center"/>
        </w:trPr>
        <w:tc>
          <w:tcPr>
            <w:tcW w:w="625" w:type="dxa"/>
          </w:tcPr>
          <w:p w14:paraId="69D74C12" w14:textId="568E6D17" w:rsidR="00A26E43" w:rsidRPr="00A26E43" w:rsidRDefault="00A26E43" w:rsidP="00A26E43">
            <w:pPr>
              <w:pStyle w:val="TMGTableText"/>
              <w:ind w:left="0" w:right="144"/>
              <w:jc w:val="right"/>
              <w:rPr>
                <w:b/>
                <w:bCs/>
              </w:rPr>
            </w:pPr>
            <w:r w:rsidRPr="00A26E43">
              <w:rPr>
                <w:rFonts w:eastAsiaTheme="minorEastAsia"/>
                <w:b/>
                <w:bCs/>
              </w:rPr>
              <w:t>34</w:t>
            </w:r>
          </w:p>
        </w:tc>
        <w:tc>
          <w:tcPr>
            <w:tcW w:w="2143" w:type="dxa"/>
          </w:tcPr>
          <w:p w14:paraId="038E490D" w14:textId="30FBF694" w:rsidR="00A26E43" w:rsidRPr="004859C8" w:rsidRDefault="00A26E43" w:rsidP="00A26E43">
            <w:pPr>
              <w:pStyle w:val="TMGTableText"/>
              <w:jc w:val="center"/>
            </w:pPr>
            <w:r>
              <w:t>116-120</w:t>
            </w:r>
          </w:p>
        </w:tc>
        <w:tc>
          <w:tcPr>
            <w:tcW w:w="693" w:type="dxa"/>
            <w:vAlign w:val="center"/>
          </w:tcPr>
          <w:p w14:paraId="04952A87" w14:textId="4D2F62D5" w:rsidR="00A26E43" w:rsidRPr="004859C8" w:rsidRDefault="00A26E43" w:rsidP="00A26E43">
            <w:pPr>
              <w:pStyle w:val="TMGTableText"/>
              <w:jc w:val="center"/>
            </w:pPr>
            <w:r w:rsidRPr="00877387">
              <w:t>5</w:t>
            </w:r>
          </w:p>
        </w:tc>
        <w:tc>
          <w:tcPr>
            <w:tcW w:w="3457" w:type="dxa"/>
            <w:vAlign w:val="center"/>
          </w:tcPr>
          <w:p w14:paraId="698D365C" w14:textId="2DEF61C4" w:rsidR="00A26E43" w:rsidRPr="004859C8" w:rsidRDefault="00A26E43" w:rsidP="00A26E43">
            <w:pPr>
              <w:pStyle w:val="TMGTableText"/>
            </w:pPr>
            <w:r w:rsidRPr="00877387">
              <w:rPr>
                <w:rFonts w:eastAsiaTheme="minorEastAsia"/>
              </w:rPr>
              <w:t>Weight 5 Right Wheel Path (RW5)</w:t>
            </w:r>
          </w:p>
        </w:tc>
        <w:tc>
          <w:tcPr>
            <w:tcW w:w="1309" w:type="dxa"/>
            <w:vAlign w:val="center"/>
          </w:tcPr>
          <w:p w14:paraId="696B65E6" w14:textId="5386749E" w:rsidR="00A26E43" w:rsidRPr="004859C8" w:rsidRDefault="00A26E43" w:rsidP="004605FE">
            <w:pPr>
              <w:pStyle w:val="TMGTableText"/>
              <w:jc w:val="center"/>
            </w:pPr>
            <w:r w:rsidRPr="003469C7">
              <w:t>Integer</w:t>
            </w:r>
          </w:p>
        </w:tc>
        <w:tc>
          <w:tcPr>
            <w:tcW w:w="1133" w:type="dxa"/>
            <w:vAlign w:val="center"/>
          </w:tcPr>
          <w:p w14:paraId="583119C5" w14:textId="6834B81F" w:rsidR="00A26E43" w:rsidRPr="00C251E9" w:rsidRDefault="00A26E43"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A26E43" w14:paraId="4F418903" w14:textId="77777777" w:rsidTr="00A26E43">
        <w:trPr>
          <w:jc w:val="center"/>
        </w:trPr>
        <w:tc>
          <w:tcPr>
            <w:tcW w:w="625" w:type="dxa"/>
          </w:tcPr>
          <w:p w14:paraId="6B400D0F" w14:textId="49887E96" w:rsidR="00A26E43" w:rsidRPr="00A26E43" w:rsidRDefault="00A26E43" w:rsidP="00A26E43">
            <w:pPr>
              <w:pStyle w:val="TMGTableText"/>
              <w:ind w:left="0" w:right="144"/>
              <w:jc w:val="right"/>
              <w:rPr>
                <w:rFonts w:eastAsiaTheme="minorEastAsia"/>
                <w:b/>
                <w:bCs/>
              </w:rPr>
            </w:pPr>
            <w:r w:rsidRPr="00A26E43">
              <w:rPr>
                <w:rFonts w:eastAsiaTheme="minorEastAsia"/>
                <w:b/>
                <w:bCs/>
              </w:rPr>
              <w:t>35</w:t>
            </w:r>
          </w:p>
        </w:tc>
        <w:tc>
          <w:tcPr>
            <w:tcW w:w="2143" w:type="dxa"/>
          </w:tcPr>
          <w:p w14:paraId="1341EEEA" w14:textId="146D2DF7" w:rsidR="00A26E43" w:rsidRPr="004859C8" w:rsidRDefault="00A26E43" w:rsidP="00A26E43">
            <w:pPr>
              <w:pStyle w:val="TMGTableText"/>
              <w:jc w:val="center"/>
            </w:pPr>
            <w:r>
              <w:t>121-124</w:t>
            </w:r>
          </w:p>
        </w:tc>
        <w:tc>
          <w:tcPr>
            <w:tcW w:w="693" w:type="dxa"/>
            <w:vAlign w:val="center"/>
          </w:tcPr>
          <w:p w14:paraId="6377413A" w14:textId="3B891EAB" w:rsidR="00A26E43" w:rsidRPr="004859C8" w:rsidRDefault="00A26E43" w:rsidP="00A26E43">
            <w:pPr>
              <w:pStyle w:val="TMGTableText"/>
              <w:jc w:val="center"/>
            </w:pPr>
            <w:r w:rsidRPr="00877387">
              <w:rPr>
                <w:rFonts w:eastAsiaTheme="minorEastAsia"/>
              </w:rPr>
              <w:t>4</w:t>
            </w:r>
          </w:p>
        </w:tc>
        <w:tc>
          <w:tcPr>
            <w:tcW w:w="3457" w:type="dxa"/>
            <w:vAlign w:val="center"/>
          </w:tcPr>
          <w:p w14:paraId="710E2D14" w14:textId="166A59F8" w:rsidR="00A26E43" w:rsidRPr="004859C8" w:rsidRDefault="00A26E43" w:rsidP="00A26E43">
            <w:pPr>
              <w:pStyle w:val="TMGTableText"/>
            </w:pPr>
            <w:r w:rsidRPr="00877387">
              <w:rPr>
                <w:rFonts w:eastAsiaTheme="minorEastAsia"/>
              </w:rPr>
              <w:t>Axles 5-6 Spacing (ASP5)</w:t>
            </w:r>
          </w:p>
        </w:tc>
        <w:tc>
          <w:tcPr>
            <w:tcW w:w="1309" w:type="dxa"/>
            <w:vAlign w:val="center"/>
          </w:tcPr>
          <w:p w14:paraId="47E43E65" w14:textId="090A3C64" w:rsidR="00A26E43" w:rsidRPr="004859C8" w:rsidRDefault="00A26E43" w:rsidP="004605FE">
            <w:pPr>
              <w:pStyle w:val="TMGTableText"/>
              <w:jc w:val="center"/>
            </w:pPr>
            <w:r w:rsidRPr="003469C7">
              <w:t>Integer</w:t>
            </w:r>
          </w:p>
        </w:tc>
        <w:tc>
          <w:tcPr>
            <w:tcW w:w="1133" w:type="dxa"/>
            <w:vAlign w:val="center"/>
          </w:tcPr>
          <w:p w14:paraId="1A3A7259" w14:textId="68BB6BC4" w:rsidR="00A26E43" w:rsidRPr="00C251E9" w:rsidRDefault="00A26E43"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A26E43" w14:paraId="15DFB7A1" w14:textId="77777777" w:rsidTr="00A26E43">
        <w:trPr>
          <w:jc w:val="center"/>
        </w:trPr>
        <w:tc>
          <w:tcPr>
            <w:tcW w:w="625" w:type="dxa"/>
          </w:tcPr>
          <w:p w14:paraId="20321946" w14:textId="4EC5DD8E" w:rsidR="00A26E43" w:rsidRPr="00A26E43" w:rsidRDefault="00A26E43" w:rsidP="00A26E43">
            <w:pPr>
              <w:pStyle w:val="TMGTableText"/>
              <w:ind w:left="0" w:right="144"/>
              <w:jc w:val="right"/>
              <w:rPr>
                <w:rFonts w:eastAsiaTheme="minorEastAsia"/>
                <w:b/>
                <w:bCs/>
              </w:rPr>
            </w:pPr>
            <w:r w:rsidRPr="00A26E43">
              <w:rPr>
                <w:rFonts w:eastAsiaTheme="minorEastAsia"/>
                <w:b/>
                <w:bCs/>
              </w:rPr>
              <w:t>36</w:t>
            </w:r>
          </w:p>
        </w:tc>
        <w:tc>
          <w:tcPr>
            <w:tcW w:w="2143" w:type="dxa"/>
          </w:tcPr>
          <w:p w14:paraId="3D005C76" w14:textId="17D160C3" w:rsidR="00A26E43" w:rsidRPr="004859C8" w:rsidRDefault="00A26E43" w:rsidP="00A26E43">
            <w:pPr>
              <w:pStyle w:val="TMGTableText"/>
              <w:jc w:val="center"/>
            </w:pPr>
            <w:r>
              <w:t>125-129</w:t>
            </w:r>
          </w:p>
        </w:tc>
        <w:tc>
          <w:tcPr>
            <w:tcW w:w="693" w:type="dxa"/>
            <w:vAlign w:val="center"/>
          </w:tcPr>
          <w:p w14:paraId="51E7E006" w14:textId="5679D9F4" w:rsidR="00A26E43" w:rsidRPr="004859C8" w:rsidRDefault="00A26E43" w:rsidP="00A26E43">
            <w:pPr>
              <w:pStyle w:val="TMGTableText"/>
              <w:jc w:val="center"/>
            </w:pPr>
            <w:r w:rsidRPr="00877387">
              <w:t>5</w:t>
            </w:r>
          </w:p>
        </w:tc>
        <w:tc>
          <w:tcPr>
            <w:tcW w:w="3457" w:type="dxa"/>
            <w:vAlign w:val="center"/>
          </w:tcPr>
          <w:p w14:paraId="478A391F" w14:textId="1BAB3990" w:rsidR="00A26E43" w:rsidRPr="004859C8" w:rsidRDefault="00A26E43" w:rsidP="00A26E43">
            <w:pPr>
              <w:pStyle w:val="TMGTableText"/>
            </w:pPr>
            <w:r w:rsidRPr="00877387">
              <w:rPr>
                <w:rFonts w:eastAsiaTheme="minorEastAsia"/>
              </w:rPr>
              <w:t>Weight 6 Left Wheel Path (LW6)</w:t>
            </w:r>
          </w:p>
        </w:tc>
        <w:tc>
          <w:tcPr>
            <w:tcW w:w="1309" w:type="dxa"/>
            <w:vAlign w:val="center"/>
          </w:tcPr>
          <w:p w14:paraId="1CBE262B" w14:textId="12CC0D93" w:rsidR="00A26E43" w:rsidRPr="004859C8" w:rsidRDefault="00A26E43" w:rsidP="004605FE">
            <w:pPr>
              <w:pStyle w:val="TMGTableText"/>
              <w:jc w:val="center"/>
            </w:pPr>
            <w:r w:rsidRPr="003469C7">
              <w:t>Integer</w:t>
            </w:r>
          </w:p>
        </w:tc>
        <w:tc>
          <w:tcPr>
            <w:tcW w:w="1133" w:type="dxa"/>
            <w:vAlign w:val="center"/>
          </w:tcPr>
          <w:p w14:paraId="45CAF32C" w14:textId="39318616" w:rsidR="00A26E43" w:rsidRPr="00C251E9" w:rsidRDefault="00A26E43"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A26E43" w14:paraId="32D8A4F2" w14:textId="77777777" w:rsidTr="00A26E43">
        <w:trPr>
          <w:jc w:val="center"/>
        </w:trPr>
        <w:tc>
          <w:tcPr>
            <w:tcW w:w="625" w:type="dxa"/>
          </w:tcPr>
          <w:p w14:paraId="42944A65" w14:textId="3BF1D0FC" w:rsidR="00A26E43" w:rsidRPr="00A26E43" w:rsidRDefault="00A26E43" w:rsidP="00A26E43">
            <w:pPr>
              <w:pStyle w:val="TMGTableText"/>
              <w:ind w:left="0" w:right="144"/>
              <w:jc w:val="right"/>
              <w:rPr>
                <w:rFonts w:eastAsiaTheme="minorEastAsia"/>
                <w:b/>
                <w:bCs/>
              </w:rPr>
            </w:pPr>
            <w:r w:rsidRPr="00A26E43">
              <w:rPr>
                <w:rFonts w:eastAsiaTheme="minorEastAsia"/>
                <w:b/>
                <w:bCs/>
              </w:rPr>
              <w:t>37</w:t>
            </w:r>
          </w:p>
        </w:tc>
        <w:tc>
          <w:tcPr>
            <w:tcW w:w="2143" w:type="dxa"/>
          </w:tcPr>
          <w:p w14:paraId="4DF6D34A" w14:textId="46EB28F7" w:rsidR="00A26E43" w:rsidRPr="004859C8" w:rsidRDefault="00A26E43" w:rsidP="00A26E43">
            <w:pPr>
              <w:pStyle w:val="TMGTableText"/>
              <w:jc w:val="center"/>
            </w:pPr>
            <w:r>
              <w:t>130-134</w:t>
            </w:r>
          </w:p>
        </w:tc>
        <w:tc>
          <w:tcPr>
            <w:tcW w:w="693" w:type="dxa"/>
            <w:vAlign w:val="center"/>
          </w:tcPr>
          <w:p w14:paraId="1114AC7B" w14:textId="468F6844" w:rsidR="00A26E43" w:rsidRPr="004859C8" w:rsidRDefault="00A26E43" w:rsidP="00A26E43">
            <w:pPr>
              <w:pStyle w:val="TMGTableText"/>
              <w:jc w:val="center"/>
            </w:pPr>
            <w:r w:rsidRPr="00877387">
              <w:t>5</w:t>
            </w:r>
          </w:p>
        </w:tc>
        <w:tc>
          <w:tcPr>
            <w:tcW w:w="3457" w:type="dxa"/>
            <w:vAlign w:val="center"/>
          </w:tcPr>
          <w:p w14:paraId="6129A20E" w14:textId="069FDF0F" w:rsidR="00A26E43" w:rsidRPr="004859C8" w:rsidRDefault="00A26E43" w:rsidP="00A26E43">
            <w:pPr>
              <w:pStyle w:val="TMGTableText"/>
            </w:pPr>
            <w:r w:rsidRPr="00877387">
              <w:rPr>
                <w:rFonts w:eastAsiaTheme="minorEastAsia"/>
              </w:rPr>
              <w:t>Weight 6 Right Wheel Path (RW6)</w:t>
            </w:r>
          </w:p>
        </w:tc>
        <w:tc>
          <w:tcPr>
            <w:tcW w:w="1309" w:type="dxa"/>
            <w:vAlign w:val="center"/>
          </w:tcPr>
          <w:p w14:paraId="153AD5D8" w14:textId="3E3CFA92" w:rsidR="00A26E43" w:rsidRPr="004859C8" w:rsidRDefault="00A26E43" w:rsidP="004605FE">
            <w:pPr>
              <w:pStyle w:val="TMGTableText"/>
              <w:jc w:val="center"/>
            </w:pPr>
            <w:r w:rsidRPr="003469C7">
              <w:t>Integer</w:t>
            </w:r>
          </w:p>
        </w:tc>
        <w:tc>
          <w:tcPr>
            <w:tcW w:w="1133" w:type="dxa"/>
            <w:vAlign w:val="center"/>
          </w:tcPr>
          <w:p w14:paraId="0D2A8262" w14:textId="44658EC0" w:rsidR="00A26E43" w:rsidRPr="00C251E9" w:rsidRDefault="00A26E43"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A26E43" w14:paraId="68E8792C" w14:textId="77777777" w:rsidTr="00A26E43">
        <w:trPr>
          <w:jc w:val="center"/>
        </w:trPr>
        <w:tc>
          <w:tcPr>
            <w:tcW w:w="625" w:type="dxa"/>
          </w:tcPr>
          <w:p w14:paraId="3C3CAC5C" w14:textId="0722422E" w:rsidR="00A26E43" w:rsidRPr="00A26E43" w:rsidRDefault="00A26E43" w:rsidP="00A26E43">
            <w:pPr>
              <w:pStyle w:val="TMGTableText"/>
              <w:ind w:left="0" w:right="144"/>
              <w:jc w:val="right"/>
              <w:rPr>
                <w:rFonts w:eastAsiaTheme="minorEastAsia"/>
                <w:b/>
                <w:bCs/>
              </w:rPr>
            </w:pPr>
            <w:r w:rsidRPr="00A26E43">
              <w:rPr>
                <w:rFonts w:eastAsiaTheme="minorEastAsia"/>
                <w:b/>
                <w:bCs/>
              </w:rPr>
              <w:t>38</w:t>
            </w:r>
          </w:p>
        </w:tc>
        <w:tc>
          <w:tcPr>
            <w:tcW w:w="2143" w:type="dxa"/>
          </w:tcPr>
          <w:p w14:paraId="7EAD1418" w14:textId="48519DCD" w:rsidR="00A26E43" w:rsidRPr="004859C8" w:rsidRDefault="00A26E43" w:rsidP="00A26E43">
            <w:pPr>
              <w:pStyle w:val="TMGTableText"/>
              <w:jc w:val="center"/>
            </w:pPr>
            <w:r>
              <w:t>135-138</w:t>
            </w:r>
          </w:p>
        </w:tc>
        <w:tc>
          <w:tcPr>
            <w:tcW w:w="693" w:type="dxa"/>
            <w:vAlign w:val="center"/>
          </w:tcPr>
          <w:p w14:paraId="50E8D248" w14:textId="7E1F990F" w:rsidR="00A26E43" w:rsidRPr="004859C8" w:rsidRDefault="00A26E43" w:rsidP="00A26E43">
            <w:pPr>
              <w:pStyle w:val="TMGTableText"/>
              <w:jc w:val="center"/>
            </w:pPr>
            <w:r w:rsidRPr="00877387">
              <w:rPr>
                <w:rFonts w:eastAsiaTheme="minorEastAsia"/>
              </w:rPr>
              <w:t>4</w:t>
            </w:r>
          </w:p>
        </w:tc>
        <w:tc>
          <w:tcPr>
            <w:tcW w:w="3457" w:type="dxa"/>
            <w:vAlign w:val="center"/>
          </w:tcPr>
          <w:p w14:paraId="0ED7EDD9" w14:textId="1D3FE19E" w:rsidR="00A26E43" w:rsidRPr="004859C8" w:rsidRDefault="00A26E43" w:rsidP="00A26E43">
            <w:pPr>
              <w:pStyle w:val="TMGTableText"/>
            </w:pPr>
            <w:r w:rsidRPr="00877387">
              <w:rPr>
                <w:rFonts w:eastAsiaTheme="minorEastAsia"/>
              </w:rPr>
              <w:t>Axles 6-7 Spacing (ASP6)</w:t>
            </w:r>
          </w:p>
        </w:tc>
        <w:tc>
          <w:tcPr>
            <w:tcW w:w="1309" w:type="dxa"/>
            <w:vAlign w:val="center"/>
          </w:tcPr>
          <w:p w14:paraId="0CCC6192" w14:textId="36BF25F8" w:rsidR="00A26E43" w:rsidRPr="004859C8" w:rsidRDefault="00A26E43" w:rsidP="004605FE">
            <w:pPr>
              <w:pStyle w:val="TMGTableText"/>
              <w:jc w:val="center"/>
            </w:pPr>
            <w:r w:rsidRPr="003469C7">
              <w:t>Integer</w:t>
            </w:r>
          </w:p>
        </w:tc>
        <w:tc>
          <w:tcPr>
            <w:tcW w:w="1133" w:type="dxa"/>
            <w:vAlign w:val="center"/>
          </w:tcPr>
          <w:p w14:paraId="17C7D94F" w14:textId="5E205E14" w:rsidR="00A26E43" w:rsidRPr="00C251E9" w:rsidRDefault="00A26E43"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A26E43" w14:paraId="10ADF712" w14:textId="77777777" w:rsidTr="00A26E43">
        <w:trPr>
          <w:jc w:val="center"/>
        </w:trPr>
        <w:tc>
          <w:tcPr>
            <w:tcW w:w="625" w:type="dxa"/>
          </w:tcPr>
          <w:p w14:paraId="397D8625" w14:textId="1AC60DF1" w:rsidR="00A26E43" w:rsidRPr="00A26E43" w:rsidRDefault="00A26E43" w:rsidP="00A26E43">
            <w:pPr>
              <w:pStyle w:val="TMGTableText"/>
              <w:ind w:left="0" w:right="144"/>
              <w:jc w:val="right"/>
              <w:rPr>
                <w:rFonts w:eastAsiaTheme="minorEastAsia"/>
                <w:b/>
                <w:bCs/>
              </w:rPr>
            </w:pPr>
            <w:r w:rsidRPr="00A26E43">
              <w:rPr>
                <w:rFonts w:eastAsiaTheme="minorEastAsia"/>
                <w:b/>
                <w:bCs/>
              </w:rPr>
              <w:t>39</w:t>
            </w:r>
          </w:p>
        </w:tc>
        <w:tc>
          <w:tcPr>
            <w:tcW w:w="2143" w:type="dxa"/>
          </w:tcPr>
          <w:p w14:paraId="1F900845" w14:textId="3B11A6E0" w:rsidR="00A26E43" w:rsidRPr="004859C8" w:rsidRDefault="00A26E43" w:rsidP="00A26E43">
            <w:pPr>
              <w:pStyle w:val="TMGTableText"/>
              <w:jc w:val="center"/>
            </w:pPr>
            <w:r>
              <w:t>139-143</w:t>
            </w:r>
          </w:p>
        </w:tc>
        <w:tc>
          <w:tcPr>
            <w:tcW w:w="693" w:type="dxa"/>
            <w:vAlign w:val="center"/>
          </w:tcPr>
          <w:p w14:paraId="7399F5D6" w14:textId="2F3BAE6D" w:rsidR="00A26E43" w:rsidRPr="004859C8" w:rsidRDefault="00A26E43" w:rsidP="00A26E43">
            <w:pPr>
              <w:pStyle w:val="TMGTableText"/>
              <w:jc w:val="center"/>
            </w:pPr>
            <w:r w:rsidRPr="00877387">
              <w:t>5</w:t>
            </w:r>
          </w:p>
        </w:tc>
        <w:tc>
          <w:tcPr>
            <w:tcW w:w="3457" w:type="dxa"/>
            <w:vAlign w:val="center"/>
          </w:tcPr>
          <w:p w14:paraId="74790A7A" w14:textId="1F9F5747" w:rsidR="00A26E43" w:rsidRPr="004859C8" w:rsidRDefault="00A26E43" w:rsidP="00A26E43">
            <w:pPr>
              <w:pStyle w:val="TMGTableText"/>
            </w:pPr>
            <w:r w:rsidRPr="00877387">
              <w:rPr>
                <w:rFonts w:eastAsiaTheme="minorEastAsia"/>
              </w:rPr>
              <w:t>Weight 7 Left Wheel Path (LW7)</w:t>
            </w:r>
          </w:p>
        </w:tc>
        <w:tc>
          <w:tcPr>
            <w:tcW w:w="1309" w:type="dxa"/>
            <w:vAlign w:val="center"/>
          </w:tcPr>
          <w:p w14:paraId="6293CE59" w14:textId="3EE403CD" w:rsidR="00A26E43" w:rsidRPr="004859C8" w:rsidRDefault="00A26E43" w:rsidP="004605FE">
            <w:pPr>
              <w:pStyle w:val="TMGTableText"/>
              <w:jc w:val="center"/>
            </w:pPr>
            <w:r w:rsidRPr="003469C7">
              <w:t>Integer</w:t>
            </w:r>
          </w:p>
        </w:tc>
        <w:tc>
          <w:tcPr>
            <w:tcW w:w="1133" w:type="dxa"/>
            <w:vAlign w:val="center"/>
          </w:tcPr>
          <w:p w14:paraId="5B60190D" w14:textId="4C72B47A" w:rsidR="00A26E43" w:rsidRPr="00C251E9" w:rsidRDefault="00A26E43"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A26E43" w14:paraId="5F61FB26" w14:textId="77777777" w:rsidTr="00A26E43">
        <w:trPr>
          <w:jc w:val="center"/>
        </w:trPr>
        <w:tc>
          <w:tcPr>
            <w:tcW w:w="625" w:type="dxa"/>
          </w:tcPr>
          <w:p w14:paraId="7CEC1DDD" w14:textId="67828076" w:rsidR="00A26E43" w:rsidRPr="00A26E43" w:rsidRDefault="00A26E43" w:rsidP="00A26E43">
            <w:pPr>
              <w:pStyle w:val="TMGTableText"/>
              <w:ind w:left="0" w:right="144"/>
              <w:jc w:val="right"/>
              <w:rPr>
                <w:rFonts w:eastAsiaTheme="minorEastAsia"/>
                <w:b/>
                <w:bCs/>
              </w:rPr>
            </w:pPr>
            <w:r w:rsidRPr="00A26E43">
              <w:rPr>
                <w:rFonts w:eastAsiaTheme="minorEastAsia"/>
                <w:b/>
                <w:bCs/>
              </w:rPr>
              <w:t>40</w:t>
            </w:r>
          </w:p>
        </w:tc>
        <w:tc>
          <w:tcPr>
            <w:tcW w:w="2143" w:type="dxa"/>
          </w:tcPr>
          <w:p w14:paraId="0942AD8F" w14:textId="14872E66" w:rsidR="00A26E43" w:rsidRPr="004859C8" w:rsidRDefault="00A26E43" w:rsidP="00A26E43">
            <w:pPr>
              <w:pStyle w:val="TMGTableText"/>
              <w:jc w:val="center"/>
            </w:pPr>
            <w:r>
              <w:t>144-148</w:t>
            </w:r>
          </w:p>
        </w:tc>
        <w:tc>
          <w:tcPr>
            <w:tcW w:w="693" w:type="dxa"/>
            <w:vAlign w:val="center"/>
          </w:tcPr>
          <w:p w14:paraId="5E090D9B" w14:textId="210BB861" w:rsidR="00A26E43" w:rsidRPr="004859C8" w:rsidRDefault="00A26E43" w:rsidP="00A26E43">
            <w:pPr>
              <w:pStyle w:val="TMGTableText"/>
              <w:jc w:val="center"/>
            </w:pPr>
            <w:r w:rsidRPr="00877387">
              <w:t>5</w:t>
            </w:r>
          </w:p>
        </w:tc>
        <w:tc>
          <w:tcPr>
            <w:tcW w:w="3457" w:type="dxa"/>
            <w:vAlign w:val="center"/>
          </w:tcPr>
          <w:p w14:paraId="1C5BD82A" w14:textId="59AD12FD" w:rsidR="00A26E43" w:rsidRPr="004859C8" w:rsidRDefault="00A26E43" w:rsidP="00A26E43">
            <w:pPr>
              <w:pStyle w:val="TMGTableText"/>
            </w:pPr>
            <w:r w:rsidRPr="00877387">
              <w:rPr>
                <w:rFonts w:eastAsiaTheme="minorEastAsia"/>
              </w:rPr>
              <w:t>Weight 7 Right Wheel Path (RW7)</w:t>
            </w:r>
          </w:p>
        </w:tc>
        <w:tc>
          <w:tcPr>
            <w:tcW w:w="1309" w:type="dxa"/>
            <w:vAlign w:val="center"/>
          </w:tcPr>
          <w:p w14:paraId="0A808978" w14:textId="5FBE6520" w:rsidR="00A26E43" w:rsidRPr="004859C8" w:rsidRDefault="00A26E43" w:rsidP="004605FE">
            <w:pPr>
              <w:pStyle w:val="TMGTableText"/>
              <w:jc w:val="center"/>
            </w:pPr>
            <w:r w:rsidRPr="003469C7">
              <w:t>Integer</w:t>
            </w:r>
          </w:p>
        </w:tc>
        <w:tc>
          <w:tcPr>
            <w:tcW w:w="1133" w:type="dxa"/>
            <w:vAlign w:val="center"/>
          </w:tcPr>
          <w:p w14:paraId="00267BA4" w14:textId="263A6813" w:rsidR="00A26E43" w:rsidRPr="00C251E9" w:rsidRDefault="00A26E43"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A26E43" w14:paraId="69C98B1A" w14:textId="77777777" w:rsidTr="00A26E43">
        <w:trPr>
          <w:jc w:val="center"/>
        </w:trPr>
        <w:tc>
          <w:tcPr>
            <w:tcW w:w="625" w:type="dxa"/>
          </w:tcPr>
          <w:p w14:paraId="4CECBFF7" w14:textId="11910EF2" w:rsidR="00A26E43" w:rsidRPr="00A26E43" w:rsidRDefault="00A26E43" w:rsidP="00A26E43">
            <w:pPr>
              <w:pStyle w:val="TMGTableText"/>
              <w:ind w:left="0" w:right="144"/>
              <w:jc w:val="right"/>
              <w:rPr>
                <w:rFonts w:eastAsiaTheme="minorEastAsia"/>
                <w:b/>
                <w:bCs/>
              </w:rPr>
            </w:pPr>
            <w:r w:rsidRPr="00A26E43">
              <w:rPr>
                <w:rFonts w:eastAsiaTheme="minorEastAsia"/>
                <w:b/>
                <w:bCs/>
              </w:rPr>
              <w:t>41</w:t>
            </w:r>
          </w:p>
        </w:tc>
        <w:tc>
          <w:tcPr>
            <w:tcW w:w="2143" w:type="dxa"/>
          </w:tcPr>
          <w:p w14:paraId="318D42D2" w14:textId="04F70740" w:rsidR="00A26E43" w:rsidRPr="004859C8" w:rsidRDefault="00A26E43" w:rsidP="00A26E43">
            <w:pPr>
              <w:pStyle w:val="TMGTableText"/>
              <w:jc w:val="center"/>
            </w:pPr>
            <w:r>
              <w:t>149-152</w:t>
            </w:r>
          </w:p>
        </w:tc>
        <w:tc>
          <w:tcPr>
            <w:tcW w:w="693" w:type="dxa"/>
            <w:vAlign w:val="center"/>
          </w:tcPr>
          <w:p w14:paraId="13492ED6" w14:textId="13DDD19C" w:rsidR="00A26E43" w:rsidRPr="004859C8" w:rsidRDefault="00A26E43" w:rsidP="00A26E43">
            <w:pPr>
              <w:pStyle w:val="TMGTableText"/>
              <w:jc w:val="center"/>
            </w:pPr>
            <w:r w:rsidRPr="00877387">
              <w:rPr>
                <w:rFonts w:eastAsiaTheme="minorEastAsia"/>
              </w:rPr>
              <w:t>4</w:t>
            </w:r>
          </w:p>
        </w:tc>
        <w:tc>
          <w:tcPr>
            <w:tcW w:w="3457" w:type="dxa"/>
            <w:vAlign w:val="center"/>
          </w:tcPr>
          <w:p w14:paraId="79967239" w14:textId="3FBEF95B" w:rsidR="00A26E43" w:rsidRPr="004859C8" w:rsidRDefault="00A26E43" w:rsidP="00A26E43">
            <w:pPr>
              <w:pStyle w:val="TMGTableText"/>
            </w:pPr>
            <w:r w:rsidRPr="00877387">
              <w:rPr>
                <w:rFonts w:eastAsiaTheme="minorEastAsia"/>
              </w:rPr>
              <w:t>Axles 7-8 Spacing (ASP7)</w:t>
            </w:r>
          </w:p>
        </w:tc>
        <w:tc>
          <w:tcPr>
            <w:tcW w:w="1309" w:type="dxa"/>
            <w:vAlign w:val="center"/>
          </w:tcPr>
          <w:p w14:paraId="1BA8F48A" w14:textId="1C70EDEE" w:rsidR="00A26E43" w:rsidRPr="004859C8" w:rsidRDefault="00A26E43" w:rsidP="004605FE">
            <w:pPr>
              <w:pStyle w:val="TMGTableText"/>
              <w:jc w:val="center"/>
            </w:pPr>
            <w:r w:rsidRPr="003469C7">
              <w:t>Integer</w:t>
            </w:r>
          </w:p>
        </w:tc>
        <w:tc>
          <w:tcPr>
            <w:tcW w:w="1133" w:type="dxa"/>
            <w:vAlign w:val="center"/>
          </w:tcPr>
          <w:p w14:paraId="3BBA011D" w14:textId="33647D15" w:rsidR="00A26E43" w:rsidRPr="00C251E9" w:rsidRDefault="00A26E43"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A26E43" w14:paraId="17865FDF" w14:textId="77777777" w:rsidTr="004605FE">
        <w:trPr>
          <w:jc w:val="center"/>
        </w:trPr>
        <w:tc>
          <w:tcPr>
            <w:tcW w:w="625" w:type="dxa"/>
          </w:tcPr>
          <w:p w14:paraId="73EA4EEA" w14:textId="311F5C41" w:rsidR="00A26E43" w:rsidRPr="00A26E43" w:rsidRDefault="00A26E43" w:rsidP="00A26E43">
            <w:pPr>
              <w:pStyle w:val="TMGTableText"/>
              <w:ind w:left="0" w:right="144"/>
              <w:jc w:val="right"/>
              <w:rPr>
                <w:rFonts w:eastAsiaTheme="minorEastAsia"/>
                <w:b/>
                <w:bCs/>
              </w:rPr>
            </w:pPr>
            <w:r w:rsidRPr="00A26E43">
              <w:rPr>
                <w:rFonts w:eastAsiaTheme="minorEastAsia"/>
                <w:b/>
                <w:bCs/>
              </w:rPr>
              <w:t>42</w:t>
            </w:r>
          </w:p>
        </w:tc>
        <w:tc>
          <w:tcPr>
            <w:tcW w:w="2143" w:type="dxa"/>
          </w:tcPr>
          <w:p w14:paraId="7EE26B7A" w14:textId="1B230A59" w:rsidR="00A26E43" w:rsidRPr="004859C8" w:rsidRDefault="00A26E43" w:rsidP="00A26E43">
            <w:pPr>
              <w:pStyle w:val="TMGTableText"/>
              <w:jc w:val="center"/>
            </w:pPr>
            <w:r>
              <w:t>153-157</w:t>
            </w:r>
          </w:p>
        </w:tc>
        <w:tc>
          <w:tcPr>
            <w:tcW w:w="693" w:type="dxa"/>
            <w:vAlign w:val="center"/>
          </w:tcPr>
          <w:p w14:paraId="4F422CEB" w14:textId="2A50BEEB" w:rsidR="00A26E43" w:rsidRPr="004859C8" w:rsidRDefault="00A26E43" w:rsidP="00A26E43">
            <w:pPr>
              <w:pStyle w:val="TMGTableText"/>
              <w:jc w:val="center"/>
            </w:pPr>
            <w:r w:rsidRPr="00877387">
              <w:t>5</w:t>
            </w:r>
          </w:p>
        </w:tc>
        <w:tc>
          <w:tcPr>
            <w:tcW w:w="3457" w:type="dxa"/>
            <w:vAlign w:val="center"/>
          </w:tcPr>
          <w:p w14:paraId="38C2081E" w14:textId="76B8F4E4" w:rsidR="00A26E43" w:rsidRPr="004859C8" w:rsidRDefault="00A26E43" w:rsidP="00A26E43">
            <w:pPr>
              <w:pStyle w:val="TMGTableText"/>
            </w:pPr>
            <w:r w:rsidRPr="00877387">
              <w:rPr>
                <w:rFonts w:eastAsiaTheme="minorEastAsia"/>
              </w:rPr>
              <w:t>Weight 8 Left Wheel Path (LW8)</w:t>
            </w:r>
          </w:p>
        </w:tc>
        <w:tc>
          <w:tcPr>
            <w:tcW w:w="1309" w:type="dxa"/>
            <w:vAlign w:val="center"/>
          </w:tcPr>
          <w:p w14:paraId="06BE2B16" w14:textId="3097BF86" w:rsidR="00A26E43" w:rsidRPr="004859C8" w:rsidRDefault="00A26E43" w:rsidP="004605FE">
            <w:pPr>
              <w:pStyle w:val="TMGTableText"/>
              <w:jc w:val="center"/>
            </w:pPr>
            <w:r w:rsidRPr="003469C7">
              <w:t>Integer</w:t>
            </w:r>
          </w:p>
        </w:tc>
        <w:tc>
          <w:tcPr>
            <w:tcW w:w="1133" w:type="dxa"/>
            <w:vAlign w:val="center"/>
          </w:tcPr>
          <w:p w14:paraId="4887A9B5" w14:textId="489B3259" w:rsidR="00A26E43" w:rsidRPr="00C251E9" w:rsidRDefault="00A26E43"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A26E43" w14:paraId="7DFF0499" w14:textId="77777777" w:rsidTr="004605FE">
        <w:trPr>
          <w:jc w:val="center"/>
        </w:trPr>
        <w:tc>
          <w:tcPr>
            <w:tcW w:w="625" w:type="dxa"/>
          </w:tcPr>
          <w:p w14:paraId="6EE1B2B3" w14:textId="04E762CB" w:rsidR="00A26E43" w:rsidRPr="00A26E43" w:rsidRDefault="00A26E43" w:rsidP="00A26E43">
            <w:pPr>
              <w:pStyle w:val="TMGTableText"/>
              <w:ind w:left="0" w:right="144"/>
              <w:jc w:val="right"/>
              <w:rPr>
                <w:rFonts w:eastAsiaTheme="minorEastAsia"/>
                <w:b/>
                <w:bCs/>
              </w:rPr>
            </w:pPr>
            <w:r w:rsidRPr="00A26E43">
              <w:rPr>
                <w:rFonts w:eastAsiaTheme="minorEastAsia"/>
                <w:b/>
                <w:bCs/>
              </w:rPr>
              <w:t>43</w:t>
            </w:r>
          </w:p>
        </w:tc>
        <w:tc>
          <w:tcPr>
            <w:tcW w:w="2143" w:type="dxa"/>
          </w:tcPr>
          <w:p w14:paraId="63917656" w14:textId="3BC5ACC9" w:rsidR="00A26E43" w:rsidRPr="004859C8" w:rsidRDefault="00A26E43" w:rsidP="00A26E43">
            <w:pPr>
              <w:pStyle w:val="TMGTableText"/>
              <w:jc w:val="center"/>
            </w:pPr>
            <w:r>
              <w:t>158-162</w:t>
            </w:r>
          </w:p>
        </w:tc>
        <w:tc>
          <w:tcPr>
            <w:tcW w:w="693" w:type="dxa"/>
            <w:vAlign w:val="center"/>
          </w:tcPr>
          <w:p w14:paraId="5E759E14" w14:textId="298266D9" w:rsidR="00A26E43" w:rsidRPr="004859C8" w:rsidRDefault="00A26E43" w:rsidP="00A26E43">
            <w:pPr>
              <w:pStyle w:val="TMGTableText"/>
              <w:jc w:val="center"/>
            </w:pPr>
            <w:r w:rsidRPr="00877387">
              <w:t>5</w:t>
            </w:r>
          </w:p>
        </w:tc>
        <w:tc>
          <w:tcPr>
            <w:tcW w:w="3457" w:type="dxa"/>
            <w:vAlign w:val="center"/>
          </w:tcPr>
          <w:p w14:paraId="613E4120" w14:textId="0AB065C8" w:rsidR="00A26E43" w:rsidRPr="004859C8" w:rsidRDefault="00A26E43" w:rsidP="00A26E43">
            <w:pPr>
              <w:pStyle w:val="TMGTableText"/>
            </w:pPr>
            <w:r w:rsidRPr="00877387">
              <w:rPr>
                <w:rFonts w:eastAsiaTheme="minorEastAsia"/>
              </w:rPr>
              <w:t>Weight 8 Right Wheel Path (RW8)</w:t>
            </w:r>
          </w:p>
        </w:tc>
        <w:tc>
          <w:tcPr>
            <w:tcW w:w="1309" w:type="dxa"/>
            <w:vAlign w:val="center"/>
          </w:tcPr>
          <w:p w14:paraId="2C555CFD" w14:textId="2C3D600E" w:rsidR="00A26E43" w:rsidRPr="004859C8" w:rsidRDefault="00A26E43" w:rsidP="004605FE">
            <w:pPr>
              <w:pStyle w:val="TMGTableText"/>
              <w:jc w:val="center"/>
            </w:pPr>
            <w:r w:rsidRPr="003469C7">
              <w:t>Integer</w:t>
            </w:r>
          </w:p>
        </w:tc>
        <w:tc>
          <w:tcPr>
            <w:tcW w:w="1133" w:type="dxa"/>
            <w:vAlign w:val="center"/>
          </w:tcPr>
          <w:p w14:paraId="61DD331F" w14:textId="499ACDFB" w:rsidR="00A26E43" w:rsidRPr="00C251E9" w:rsidRDefault="00A26E43"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A26E43" w14:paraId="129A7588" w14:textId="77777777" w:rsidTr="004605FE">
        <w:trPr>
          <w:jc w:val="center"/>
        </w:trPr>
        <w:tc>
          <w:tcPr>
            <w:tcW w:w="625" w:type="dxa"/>
          </w:tcPr>
          <w:p w14:paraId="7EBD03E7" w14:textId="52DCE84E" w:rsidR="00A26E43" w:rsidRPr="00A26E43" w:rsidRDefault="00A26E43" w:rsidP="00A26E43">
            <w:pPr>
              <w:pStyle w:val="TMGTableText"/>
              <w:ind w:left="0" w:right="144"/>
              <w:jc w:val="right"/>
              <w:rPr>
                <w:rFonts w:eastAsiaTheme="minorEastAsia"/>
                <w:b/>
                <w:bCs/>
              </w:rPr>
            </w:pPr>
            <w:r w:rsidRPr="00A26E43">
              <w:rPr>
                <w:rFonts w:eastAsiaTheme="minorEastAsia"/>
                <w:b/>
                <w:bCs/>
              </w:rPr>
              <w:t>44</w:t>
            </w:r>
          </w:p>
        </w:tc>
        <w:tc>
          <w:tcPr>
            <w:tcW w:w="2143" w:type="dxa"/>
          </w:tcPr>
          <w:p w14:paraId="344BB2A6" w14:textId="7FC8D52B" w:rsidR="00A26E43" w:rsidRPr="004859C8" w:rsidRDefault="00A26E43" w:rsidP="00A26E43">
            <w:pPr>
              <w:pStyle w:val="TMGTableText"/>
              <w:jc w:val="center"/>
            </w:pPr>
            <w:r>
              <w:t>163-166</w:t>
            </w:r>
          </w:p>
        </w:tc>
        <w:tc>
          <w:tcPr>
            <w:tcW w:w="693" w:type="dxa"/>
            <w:vAlign w:val="center"/>
          </w:tcPr>
          <w:p w14:paraId="57115C5A" w14:textId="56A6D4D8" w:rsidR="00A26E43" w:rsidRPr="004859C8" w:rsidRDefault="00A26E43" w:rsidP="00A26E43">
            <w:pPr>
              <w:pStyle w:val="TMGTableText"/>
              <w:jc w:val="center"/>
            </w:pPr>
            <w:r w:rsidRPr="00877387">
              <w:rPr>
                <w:rFonts w:eastAsiaTheme="minorEastAsia"/>
              </w:rPr>
              <w:t>4</w:t>
            </w:r>
          </w:p>
        </w:tc>
        <w:tc>
          <w:tcPr>
            <w:tcW w:w="3457" w:type="dxa"/>
            <w:vAlign w:val="center"/>
          </w:tcPr>
          <w:p w14:paraId="5010BE90" w14:textId="594056FB" w:rsidR="00A26E43" w:rsidRPr="004859C8" w:rsidRDefault="00A26E43" w:rsidP="00A26E43">
            <w:pPr>
              <w:pStyle w:val="TMGTableText"/>
            </w:pPr>
            <w:r w:rsidRPr="00877387">
              <w:rPr>
                <w:rFonts w:eastAsiaTheme="minorEastAsia"/>
              </w:rPr>
              <w:t>Axles 8-9 Spacing (ASP8)</w:t>
            </w:r>
          </w:p>
        </w:tc>
        <w:tc>
          <w:tcPr>
            <w:tcW w:w="1309" w:type="dxa"/>
            <w:vAlign w:val="center"/>
          </w:tcPr>
          <w:p w14:paraId="2D6B7A4C" w14:textId="1455C656" w:rsidR="00A26E43" w:rsidRPr="004859C8" w:rsidRDefault="00A26E43" w:rsidP="004605FE">
            <w:pPr>
              <w:pStyle w:val="TMGTableText"/>
              <w:jc w:val="center"/>
            </w:pPr>
            <w:r w:rsidRPr="003469C7">
              <w:t>Integer</w:t>
            </w:r>
          </w:p>
        </w:tc>
        <w:tc>
          <w:tcPr>
            <w:tcW w:w="1133" w:type="dxa"/>
            <w:vAlign w:val="center"/>
          </w:tcPr>
          <w:p w14:paraId="0F3F833D" w14:textId="39A67AFA" w:rsidR="00A26E43" w:rsidRPr="00C251E9" w:rsidRDefault="00A26E43"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A26E43" w14:paraId="16156A2A" w14:textId="77777777" w:rsidTr="004605FE">
        <w:trPr>
          <w:jc w:val="center"/>
        </w:trPr>
        <w:tc>
          <w:tcPr>
            <w:tcW w:w="625" w:type="dxa"/>
          </w:tcPr>
          <w:p w14:paraId="32980B4D" w14:textId="42C8A954" w:rsidR="00A26E43" w:rsidRPr="00A26E43" w:rsidRDefault="00A26E43" w:rsidP="00A26E43">
            <w:pPr>
              <w:pStyle w:val="TMGTableText"/>
              <w:ind w:left="0" w:right="144"/>
              <w:jc w:val="right"/>
              <w:rPr>
                <w:rFonts w:eastAsiaTheme="minorEastAsia"/>
                <w:b/>
                <w:bCs/>
              </w:rPr>
            </w:pPr>
            <w:r w:rsidRPr="00A26E43">
              <w:rPr>
                <w:rFonts w:eastAsiaTheme="minorEastAsia"/>
                <w:b/>
                <w:bCs/>
              </w:rPr>
              <w:t>45</w:t>
            </w:r>
          </w:p>
        </w:tc>
        <w:tc>
          <w:tcPr>
            <w:tcW w:w="2143" w:type="dxa"/>
          </w:tcPr>
          <w:p w14:paraId="0DF65720" w14:textId="2714D38F" w:rsidR="00A26E43" w:rsidRPr="004859C8" w:rsidRDefault="00A26E43" w:rsidP="00A26E43">
            <w:pPr>
              <w:pStyle w:val="TMGTableText"/>
              <w:jc w:val="center"/>
            </w:pPr>
            <w:r>
              <w:t>167-171</w:t>
            </w:r>
          </w:p>
        </w:tc>
        <w:tc>
          <w:tcPr>
            <w:tcW w:w="693" w:type="dxa"/>
            <w:vAlign w:val="center"/>
          </w:tcPr>
          <w:p w14:paraId="3E792B69" w14:textId="6504D8D5" w:rsidR="00A26E43" w:rsidRPr="004859C8" w:rsidRDefault="00A26E43" w:rsidP="00A26E43">
            <w:pPr>
              <w:pStyle w:val="TMGTableText"/>
              <w:jc w:val="center"/>
            </w:pPr>
            <w:r w:rsidRPr="00877387">
              <w:t>5</w:t>
            </w:r>
          </w:p>
        </w:tc>
        <w:tc>
          <w:tcPr>
            <w:tcW w:w="3457" w:type="dxa"/>
            <w:vAlign w:val="center"/>
          </w:tcPr>
          <w:p w14:paraId="49832B3E" w14:textId="05FF52F3" w:rsidR="00A26E43" w:rsidRPr="004859C8" w:rsidRDefault="00A26E43" w:rsidP="00A26E43">
            <w:pPr>
              <w:pStyle w:val="TMGTableText"/>
            </w:pPr>
            <w:r w:rsidRPr="00877387">
              <w:rPr>
                <w:rFonts w:eastAsiaTheme="minorEastAsia"/>
              </w:rPr>
              <w:t>Weight 9 Left Wheel Path (LW9)</w:t>
            </w:r>
          </w:p>
        </w:tc>
        <w:tc>
          <w:tcPr>
            <w:tcW w:w="1309" w:type="dxa"/>
            <w:vAlign w:val="center"/>
          </w:tcPr>
          <w:p w14:paraId="481ECA08" w14:textId="2F1DF983" w:rsidR="00A26E43" w:rsidRPr="004859C8" w:rsidRDefault="00A26E43" w:rsidP="004605FE">
            <w:pPr>
              <w:pStyle w:val="TMGTableText"/>
              <w:jc w:val="center"/>
            </w:pPr>
            <w:r w:rsidRPr="003469C7">
              <w:t>Integer</w:t>
            </w:r>
          </w:p>
        </w:tc>
        <w:tc>
          <w:tcPr>
            <w:tcW w:w="1133" w:type="dxa"/>
            <w:vAlign w:val="center"/>
          </w:tcPr>
          <w:p w14:paraId="60396CF2" w14:textId="2BF9EA23" w:rsidR="00A26E43" w:rsidRPr="00C251E9" w:rsidRDefault="00A26E43"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A26E43" w14:paraId="5F315391" w14:textId="77777777" w:rsidTr="004605FE">
        <w:trPr>
          <w:jc w:val="center"/>
        </w:trPr>
        <w:tc>
          <w:tcPr>
            <w:tcW w:w="625" w:type="dxa"/>
          </w:tcPr>
          <w:p w14:paraId="19189CB2" w14:textId="31A6C395" w:rsidR="00A26E43" w:rsidRPr="00A26E43" w:rsidRDefault="00A26E43" w:rsidP="00A26E43">
            <w:pPr>
              <w:pStyle w:val="TMGTableText"/>
              <w:ind w:left="0" w:right="144"/>
              <w:jc w:val="right"/>
              <w:rPr>
                <w:rFonts w:eastAsiaTheme="minorEastAsia"/>
                <w:b/>
                <w:bCs/>
              </w:rPr>
            </w:pPr>
            <w:r w:rsidRPr="00A26E43">
              <w:rPr>
                <w:rFonts w:eastAsiaTheme="minorEastAsia"/>
                <w:b/>
                <w:bCs/>
              </w:rPr>
              <w:t>46</w:t>
            </w:r>
          </w:p>
        </w:tc>
        <w:tc>
          <w:tcPr>
            <w:tcW w:w="2143" w:type="dxa"/>
          </w:tcPr>
          <w:p w14:paraId="6040125B" w14:textId="65A9FDEC" w:rsidR="00A26E43" w:rsidRPr="004859C8" w:rsidRDefault="00A26E43" w:rsidP="00A26E43">
            <w:pPr>
              <w:pStyle w:val="TMGTableText"/>
              <w:jc w:val="center"/>
            </w:pPr>
            <w:r>
              <w:t>172-176</w:t>
            </w:r>
          </w:p>
        </w:tc>
        <w:tc>
          <w:tcPr>
            <w:tcW w:w="693" w:type="dxa"/>
            <w:vAlign w:val="center"/>
          </w:tcPr>
          <w:p w14:paraId="150D2805" w14:textId="457F3BEC" w:rsidR="00A26E43" w:rsidRPr="004859C8" w:rsidRDefault="00A26E43" w:rsidP="00A26E43">
            <w:pPr>
              <w:pStyle w:val="TMGTableText"/>
              <w:jc w:val="center"/>
            </w:pPr>
            <w:r w:rsidRPr="00877387">
              <w:t>5</w:t>
            </w:r>
          </w:p>
        </w:tc>
        <w:tc>
          <w:tcPr>
            <w:tcW w:w="3457" w:type="dxa"/>
            <w:vAlign w:val="center"/>
          </w:tcPr>
          <w:p w14:paraId="34C4FE11" w14:textId="3D2AA9DF" w:rsidR="00A26E43" w:rsidRPr="004859C8" w:rsidRDefault="00A26E43" w:rsidP="00A26E43">
            <w:pPr>
              <w:pStyle w:val="TMGTableText"/>
            </w:pPr>
            <w:r w:rsidRPr="00877387">
              <w:rPr>
                <w:rFonts w:eastAsiaTheme="minorEastAsia"/>
              </w:rPr>
              <w:t>Weight 9 Right Wheel Path (RW9)</w:t>
            </w:r>
          </w:p>
        </w:tc>
        <w:tc>
          <w:tcPr>
            <w:tcW w:w="1309" w:type="dxa"/>
            <w:vAlign w:val="center"/>
          </w:tcPr>
          <w:p w14:paraId="04539923" w14:textId="28C3A163" w:rsidR="00A26E43" w:rsidRPr="004859C8" w:rsidRDefault="00A26E43" w:rsidP="004605FE">
            <w:pPr>
              <w:pStyle w:val="TMGTableText"/>
              <w:jc w:val="center"/>
            </w:pPr>
            <w:r w:rsidRPr="003469C7">
              <w:t>Integer</w:t>
            </w:r>
          </w:p>
        </w:tc>
        <w:tc>
          <w:tcPr>
            <w:tcW w:w="1133" w:type="dxa"/>
            <w:vAlign w:val="center"/>
          </w:tcPr>
          <w:p w14:paraId="162687B8" w14:textId="7413107A" w:rsidR="00A26E43" w:rsidRPr="00C251E9" w:rsidRDefault="00A26E43"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A26E43" w14:paraId="00479DD7" w14:textId="77777777" w:rsidTr="004605FE">
        <w:trPr>
          <w:jc w:val="center"/>
        </w:trPr>
        <w:tc>
          <w:tcPr>
            <w:tcW w:w="625" w:type="dxa"/>
          </w:tcPr>
          <w:p w14:paraId="1306C22C" w14:textId="1A6C1D65" w:rsidR="00A26E43" w:rsidRPr="00A26E43" w:rsidRDefault="00A26E43" w:rsidP="00A26E43">
            <w:pPr>
              <w:pStyle w:val="TMGTableText"/>
              <w:ind w:left="0" w:right="144"/>
              <w:jc w:val="right"/>
              <w:rPr>
                <w:rFonts w:eastAsiaTheme="minorEastAsia"/>
                <w:b/>
                <w:bCs/>
              </w:rPr>
            </w:pPr>
            <w:r w:rsidRPr="00A26E43">
              <w:rPr>
                <w:rFonts w:eastAsiaTheme="minorEastAsia"/>
                <w:b/>
                <w:bCs/>
              </w:rPr>
              <w:t>47</w:t>
            </w:r>
          </w:p>
        </w:tc>
        <w:tc>
          <w:tcPr>
            <w:tcW w:w="2143" w:type="dxa"/>
          </w:tcPr>
          <w:p w14:paraId="0553DEFA" w14:textId="40B075F2" w:rsidR="00A26E43" w:rsidRPr="004859C8" w:rsidRDefault="00A26E43" w:rsidP="00A26E43">
            <w:pPr>
              <w:pStyle w:val="TMGTableText"/>
              <w:jc w:val="center"/>
            </w:pPr>
            <w:r>
              <w:t>177-180</w:t>
            </w:r>
          </w:p>
        </w:tc>
        <w:tc>
          <w:tcPr>
            <w:tcW w:w="693" w:type="dxa"/>
            <w:vAlign w:val="center"/>
          </w:tcPr>
          <w:p w14:paraId="7D9DD580" w14:textId="4CA99EFA" w:rsidR="00A26E43" w:rsidRPr="004859C8" w:rsidRDefault="00A26E43" w:rsidP="00A26E43">
            <w:pPr>
              <w:pStyle w:val="TMGTableText"/>
              <w:jc w:val="center"/>
            </w:pPr>
            <w:r w:rsidRPr="00877387">
              <w:rPr>
                <w:rFonts w:eastAsiaTheme="minorEastAsia"/>
              </w:rPr>
              <w:t>4</w:t>
            </w:r>
          </w:p>
        </w:tc>
        <w:tc>
          <w:tcPr>
            <w:tcW w:w="3457" w:type="dxa"/>
            <w:vAlign w:val="center"/>
          </w:tcPr>
          <w:p w14:paraId="2B148C4B" w14:textId="2244C366" w:rsidR="00A26E43" w:rsidRPr="004859C8" w:rsidRDefault="00A26E43" w:rsidP="00A26E43">
            <w:pPr>
              <w:pStyle w:val="TMGTableText"/>
            </w:pPr>
            <w:r w:rsidRPr="00877387">
              <w:rPr>
                <w:rFonts w:eastAsiaTheme="minorEastAsia"/>
              </w:rPr>
              <w:t>Axles 9-10 Spacing (ASP9)</w:t>
            </w:r>
          </w:p>
        </w:tc>
        <w:tc>
          <w:tcPr>
            <w:tcW w:w="1309" w:type="dxa"/>
            <w:vAlign w:val="center"/>
          </w:tcPr>
          <w:p w14:paraId="4E56F3FC" w14:textId="4308ED15" w:rsidR="00A26E43" w:rsidRPr="004859C8" w:rsidRDefault="00A26E43" w:rsidP="004605FE">
            <w:pPr>
              <w:pStyle w:val="TMGTableText"/>
              <w:jc w:val="center"/>
            </w:pPr>
            <w:r w:rsidRPr="003469C7">
              <w:t>Integer</w:t>
            </w:r>
          </w:p>
        </w:tc>
        <w:tc>
          <w:tcPr>
            <w:tcW w:w="1133" w:type="dxa"/>
            <w:vAlign w:val="center"/>
          </w:tcPr>
          <w:p w14:paraId="78DAE31C" w14:textId="487C0DFA" w:rsidR="00A26E43" w:rsidRPr="00C251E9" w:rsidRDefault="00A26E43"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A26E43" w14:paraId="1D531E20" w14:textId="77777777" w:rsidTr="004605FE">
        <w:trPr>
          <w:jc w:val="center"/>
        </w:trPr>
        <w:tc>
          <w:tcPr>
            <w:tcW w:w="625" w:type="dxa"/>
          </w:tcPr>
          <w:p w14:paraId="4A83DAA1" w14:textId="5A31175F" w:rsidR="00A26E43" w:rsidRPr="00A26E43" w:rsidRDefault="00A26E43" w:rsidP="00A26E43">
            <w:pPr>
              <w:pStyle w:val="TMGTableText"/>
              <w:ind w:left="0" w:right="144"/>
              <w:jc w:val="right"/>
              <w:rPr>
                <w:rFonts w:eastAsiaTheme="minorEastAsia"/>
                <w:b/>
                <w:bCs/>
              </w:rPr>
            </w:pPr>
            <w:r w:rsidRPr="00A26E43">
              <w:rPr>
                <w:rFonts w:eastAsiaTheme="minorEastAsia"/>
                <w:b/>
                <w:bCs/>
              </w:rPr>
              <w:t>48</w:t>
            </w:r>
          </w:p>
        </w:tc>
        <w:tc>
          <w:tcPr>
            <w:tcW w:w="2143" w:type="dxa"/>
          </w:tcPr>
          <w:p w14:paraId="3F67365E" w14:textId="285A7267" w:rsidR="00A26E43" w:rsidRPr="004859C8" w:rsidRDefault="00A26E43" w:rsidP="00A26E43">
            <w:pPr>
              <w:pStyle w:val="TMGTableText"/>
              <w:jc w:val="center"/>
            </w:pPr>
            <w:r>
              <w:t>181-185</w:t>
            </w:r>
          </w:p>
        </w:tc>
        <w:tc>
          <w:tcPr>
            <w:tcW w:w="693" w:type="dxa"/>
            <w:vAlign w:val="center"/>
          </w:tcPr>
          <w:p w14:paraId="759D92DB" w14:textId="30E3998F" w:rsidR="00A26E43" w:rsidRPr="004859C8" w:rsidRDefault="00A26E43" w:rsidP="00A26E43">
            <w:pPr>
              <w:pStyle w:val="TMGTableText"/>
              <w:jc w:val="center"/>
            </w:pPr>
            <w:r w:rsidRPr="00877387">
              <w:t>5</w:t>
            </w:r>
          </w:p>
        </w:tc>
        <w:tc>
          <w:tcPr>
            <w:tcW w:w="3457" w:type="dxa"/>
            <w:vAlign w:val="center"/>
          </w:tcPr>
          <w:p w14:paraId="3917CC2D" w14:textId="2686C902" w:rsidR="00A26E43" w:rsidRPr="004859C8" w:rsidRDefault="00A26E43" w:rsidP="00A26E43">
            <w:pPr>
              <w:pStyle w:val="TMGTableText"/>
            </w:pPr>
            <w:r w:rsidRPr="00877387">
              <w:rPr>
                <w:rFonts w:eastAsiaTheme="minorEastAsia"/>
              </w:rPr>
              <w:t>Weight 10 Left Wheel Path (LW10)</w:t>
            </w:r>
          </w:p>
        </w:tc>
        <w:tc>
          <w:tcPr>
            <w:tcW w:w="1309" w:type="dxa"/>
            <w:vAlign w:val="center"/>
          </w:tcPr>
          <w:p w14:paraId="6100B47C" w14:textId="1BDA2533" w:rsidR="00A26E43" w:rsidRPr="004859C8" w:rsidRDefault="00A26E43" w:rsidP="004605FE">
            <w:pPr>
              <w:pStyle w:val="TMGTableText"/>
              <w:jc w:val="center"/>
            </w:pPr>
            <w:r w:rsidRPr="003469C7">
              <w:t>Integer</w:t>
            </w:r>
          </w:p>
        </w:tc>
        <w:tc>
          <w:tcPr>
            <w:tcW w:w="1133" w:type="dxa"/>
            <w:vAlign w:val="center"/>
          </w:tcPr>
          <w:p w14:paraId="7318E697" w14:textId="1AD1D658" w:rsidR="00A26E43" w:rsidRPr="00C251E9" w:rsidRDefault="00A26E43"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A26E43" w14:paraId="4083E05C" w14:textId="77777777" w:rsidTr="004605FE">
        <w:trPr>
          <w:jc w:val="center"/>
        </w:trPr>
        <w:tc>
          <w:tcPr>
            <w:tcW w:w="625" w:type="dxa"/>
          </w:tcPr>
          <w:p w14:paraId="41116E0B" w14:textId="7F18A603" w:rsidR="00A26E43" w:rsidRPr="00A26E43" w:rsidRDefault="00A26E43" w:rsidP="00A26E43">
            <w:pPr>
              <w:pStyle w:val="TMGTableText"/>
              <w:ind w:left="0" w:right="144"/>
              <w:jc w:val="right"/>
              <w:rPr>
                <w:rFonts w:eastAsiaTheme="minorEastAsia"/>
                <w:b/>
                <w:bCs/>
              </w:rPr>
            </w:pPr>
            <w:r w:rsidRPr="00A26E43">
              <w:rPr>
                <w:rFonts w:eastAsiaTheme="minorEastAsia"/>
                <w:b/>
                <w:bCs/>
              </w:rPr>
              <w:t>49</w:t>
            </w:r>
          </w:p>
        </w:tc>
        <w:tc>
          <w:tcPr>
            <w:tcW w:w="2143" w:type="dxa"/>
          </w:tcPr>
          <w:p w14:paraId="54B764D3" w14:textId="6FA5BC32" w:rsidR="00A26E43" w:rsidRPr="004859C8" w:rsidRDefault="00A26E43" w:rsidP="00A26E43">
            <w:pPr>
              <w:pStyle w:val="TMGTableText"/>
              <w:jc w:val="center"/>
            </w:pPr>
            <w:r>
              <w:t>186-190</w:t>
            </w:r>
          </w:p>
        </w:tc>
        <w:tc>
          <w:tcPr>
            <w:tcW w:w="693" w:type="dxa"/>
            <w:vAlign w:val="center"/>
          </w:tcPr>
          <w:p w14:paraId="1AA3E1C6" w14:textId="4431B4C9" w:rsidR="00A26E43" w:rsidRPr="004859C8" w:rsidRDefault="00A26E43" w:rsidP="00A26E43">
            <w:pPr>
              <w:pStyle w:val="TMGTableText"/>
              <w:jc w:val="center"/>
            </w:pPr>
            <w:r w:rsidRPr="00877387">
              <w:t>5</w:t>
            </w:r>
          </w:p>
        </w:tc>
        <w:tc>
          <w:tcPr>
            <w:tcW w:w="3457" w:type="dxa"/>
            <w:vAlign w:val="center"/>
          </w:tcPr>
          <w:p w14:paraId="1C192AB8" w14:textId="41F16F24" w:rsidR="00A26E43" w:rsidRPr="004859C8" w:rsidRDefault="00A26E43" w:rsidP="00A26E43">
            <w:pPr>
              <w:pStyle w:val="TMGTableText"/>
            </w:pPr>
            <w:r w:rsidRPr="00877387">
              <w:rPr>
                <w:rFonts w:eastAsiaTheme="minorEastAsia"/>
              </w:rPr>
              <w:t>Weight 10 Right Wheel Path (RW10)</w:t>
            </w:r>
          </w:p>
        </w:tc>
        <w:tc>
          <w:tcPr>
            <w:tcW w:w="1309" w:type="dxa"/>
            <w:vAlign w:val="center"/>
          </w:tcPr>
          <w:p w14:paraId="0C889AC1" w14:textId="66419609" w:rsidR="00A26E43" w:rsidRPr="004859C8" w:rsidRDefault="00A26E43" w:rsidP="004605FE">
            <w:pPr>
              <w:pStyle w:val="TMGTableText"/>
              <w:jc w:val="center"/>
            </w:pPr>
            <w:r w:rsidRPr="003469C7">
              <w:t>Integer</w:t>
            </w:r>
          </w:p>
        </w:tc>
        <w:tc>
          <w:tcPr>
            <w:tcW w:w="1133" w:type="dxa"/>
            <w:vAlign w:val="center"/>
          </w:tcPr>
          <w:p w14:paraId="6FA5A3A5" w14:textId="7D25CEED" w:rsidR="00A26E43" w:rsidRPr="00C251E9" w:rsidRDefault="00A26E43"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A26E43" w14:paraId="2DF6B8E1" w14:textId="77777777" w:rsidTr="004605FE">
        <w:trPr>
          <w:jc w:val="center"/>
        </w:trPr>
        <w:tc>
          <w:tcPr>
            <w:tcW w:w="625" w:type="dxa"/>
          </w:tcPr>
          <w:p w14:paraId="73E22621" w14:textId="2E805D60" w:rsidR="00A26E43" w:rsidRPr="00A26E43" w:rsidRDefault="00A26E43" w:rsidP="00A26E43">
            <w:pPr>
              <w:pStyle w:val="TMGTableText"/>
              <w:ind w:left="0" w:right="144"/>
              <w:jc w:val="right"/>
              <w:rPr>
                <w:rFonts w:eastAsiaTheme="minorEastAsia"/>
                <w:b/>
                <w:bCs/>
              </w:rPr>
            </w:pPr>
            <w:r w:rsidRPr="00A26E43">
              <w:rPr>
                <w:rFonts w:eastAsiaTheme="minorEastAsia"/>
                <w:b/>
                <w:bCs/>
              </w:rPr>
              <w:t>50</w:t>
            </w:r>
          </w:p>
        </w:tc>
        <w:tc>
          <w:tcPr>
            <w:tcW w:w="2143" w:type="dxa"/>
          </w:tcPr>
          <w:p w14:paraId="45DDB6F9" w14:textId="0D8AE858" w:rsidR="00A26E43" w:rsidRPr="004859C8" w:rsidRDefault="00A26E43" w:rsidP="00A26E43">
            <w:pPr>
              <w:pStyle w:val="TMGTableText"/>
              <w:jc w:val="center"/>
            </w:pPr>
            <w:r>
              <w:t>191-194</w:t>
            </w:r>
          </w:p>
        </w:tc>
        <w:tc>
          <w:tcPr>
            <w:tcW w:w="693" w:type="dxa"/>
            <w:vAlign w:val="center"/>
          </w:tcPr>
          <w:p w14:paraId="65C15961" w14:textId="250041DA" w:rsidR="00A26E43" w:rsidRPr="004859C8" w:rsidRDefault="00A26E43" w:rsidP="00A26E43">
            <w:pPr>
              <w:pStyle w:val="TMGTableText"/>
              <w:jc w:val="center"/>
            </w:pPr>
            <w:r w:rsidRPr="00877387">
              <w:rPr>
                <w:rFonts w:eastAsiaTheme="minorEastAsia"/>
              </w:rPr>
              <w:t>4</w:t>
            </w:r>
          </w:p>
        </w:tc>
        <w:tc>
          <w:tcPr>
            <w:tcW w:w="3457" w:type="dxa"/>
            <w:vAlign w:val="center"/>
          </w:tcPr>
          <w:p w14:paraId="458EBFCB" w14:textId="15EAFF6C" w:rsidR="00A26E43" w:rsidRPr="004859C8" w:rsidRDefault="00A26E43" w:rsidP="00A26E43">
            <w:pPr>
              <w:pStyle w:val="TMGTableText"/>
            </w:pPr>
            <w:r w:rsidRPr="00877387">
              <w:rPr>
                <w:rFonts w:eastAsiaTheme="minorEastAsia"/>
              </w:rPr>
              <w:t>Axles 10-11 Spacing (ASP10)</w:t>
            </w:r>
          </w:p>
        </w:tc>
        <w:tc>
          <w:tcPr>
            <w:tcW w:w="1309" w:type="dxa"/>
            <w:vAlign w:val="center"/>
          </w:tcPr>
          <w:p w14:paraId="1060BB9F" w14:textId="735580B0" w:rsidR="00A26E43" w:rsidRPr="004859C8" w:rsidRDefault="00A26E43" w:rsidP="004605FE">
            <w:pPr>
              <w:pStyle w:val="TMGTableText"/>
              <w:jc w:val="center"/>
            </w:pPr>
            <w:r w:rsidRPr="003469C7">
              <w:t>Integer</w:t>
            </w:r>
          </w:p>
        </w:tc>
        <w:tc>
          <w:tcPr>
            <w:tcW w:w="1133" w:type="dxa"/>
            <w:vAlign w:val="center"/>
          </w:tcPr>
          <w:p w14:paraId="6A0A7350" w14:textId="3236D174" w:rsidR="00A26E43" w:rsidRPr="00C251E9" w:rsidRDefault="00A26E43"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A26E43" w14:paraId="1E565208" w14:textId="77777777" w:rsidTr="004605FE">
        <w:trPr>
          <w:jc w:val="center"/>
        </w:trPr>
        <w:tc>
          <w:tcPr>
            <w:tcW w:w="625" w:type="dxa"/>
          </w:tcPr>
          <w:p w14:paraId="595DF320" w14:textId="4FB902BA" w:rsidR="00A26E43" w:rsidRPr="00A26E43" w:rsidRDefault="00A26E43" w:rsidP="00A26E43">
            <w:pPr>
              <w:pStyle w:val="TMGTableText"/>
              <w:ind w:left="0" w:right="144"/>
              <w:jc w:val="right"/>
              <w:rPr>
                <w:rFonts w:eastAsiaTheme="minorEastAsia"/>
                <w:b/>
                <w:bCs/>
              </w:rPr>
            </w:pPr>
            <w:r w:rsidRPr="00A26E43">
              <w:rPr>
                <w:rFonts w:eastAsiaTheme="minorEastAsia"/>
                <w:b/>
                <w:bCs/>
              </w:rPr>
              <w:t>51</w:t>
            </w:r>
          </w:p>
        </w:tc>
        <w:tc>
          <w:tcPr>
            <w:tcW w:w="2143" w:type="dxa"/>
          </w:tcPr>
          <w:p w14:paraId="0444E7E6" w14:textId="07AA701E" w:rsidR="00A26E43" w:rsidRPr="004859C8" w:rsidRDefault="00A26E43" w:rsidP="00A26E43">
            <w:pPr>
              <w:pStyle w:val="TMGTableText"/>
              <w:jc w:val="center"/>
            </w:pPr>
            <w:r>
              <w:t>195-199</w:t>
            </w:r>
          </w:p>
        </w:tc>
        <w:tc>
          <w:tcPr>
            <w:tcW w:w="693" w:type="dxa"/>
            <w:vAlign w:val="center"/>
          </w:tcPr>
          <w:p w14:paraId="62810ACA" w14:textId="309BDA82" w:rsidR="00A26E43" w:rsidRPr="004859C8" w:rsidRDefault="00A26E43" w:rsidP="00A26E43">
            <w:pPr>
              <w:pStyle w:val="TMGTableText"/>
              <w:jc w:val="center"/>
            </w:pPr>
            <w:r w:rsidRPr="00877387">
              <w:t>5</w:t>
            </w:r>
          </w:p>
        </w:tc>
        <w:tc>
          <w:tcPr>
            <w:tcW w:w="3457" w:type="dxa"/>
            <w:vAlign w:val="center"/>
          </w:tcPr>
          <w:p w14:paraId="0B87D5FB" w14:textId="661A7C20" w:rsidR="00A26E43" w:rsidRPr="004859C8" w:rsidRDefault="00A26E43" w:rsidP="00A26E43">
            <w:pPr>
              <w:pStyle w:val="TMGTableText"/>
            </w:pPr>
            <w:r w:rsidRPr="00877387">
              <w:rPr>
                <w:rFonts w:eastAsiaTheme="minorEastAsia"/>
              </w:rPr>
              <w:t>Weight 11 Left Wheel Path (LW11)</w:t>
            </w:r>
          </w:p>
        </w:tc>
        <w:tc>
          <w:tcPr>
            <w:tcW w:w="1309" w:type="dxa"/>
            <w:vAlign w:val="center"/>
          </w:tcPr>
          <w:p w14:paraId="7528B58D" w14:textId="2118BBBB" w:rsidR="00A26E43" w:rsidRPr="004859C8" w:rsidRDefault="00A26E43" w:rsidP="004605FE">
            <w:pPr>
              <w:pStyle w:val="TMGTableText"/>
              <w:jc w:val="center"/>
            </w:pPr>
            <w:r w:rsidRPr="003469C7">
              <w:t>Integer</w:t>
            </w:r>
          </w:p>
        </w:tc>
        <w:tc>
          <w:tcPr>
            <w:tcW w:w="1133" w:type="dxa"/>
            <w:vAlign w:val="center"/>
          </w:tcPr>
          <w:p w14:paraId="35C9EB58" w14:textId="4CE6C22F" w:rsidR="00A26E43" w:rsidRPr="00C251E9" w:rsidRDefault="00A26E43"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A26E43" w14:paraId="6C7178F1" w14:textId="77777777" w:rsidTr="004605FE">
        <w:trPr>
          <w:jc w:val="center"/>
        </w:trPr>
        <w:tc>
          <w:tcPr>
            <w:tcW w:w="625" w:type="dxa"/>
          </w:tcPr>
          <w:p w14:paraId="025FC496" w14:textId="4BB46954" w:rsidR="00A26E43" w:rsidRPr="00A26E43" w:rsidRDefault="00A26E43" w:rsidP="00A26E43">
            <w:pPr>
              <w:pStyle w:val="TMGTableText"/>
              <w:ind w:left="0" w:right="144"/>
              <w:jc w:val="right"/>
              <w:rPr>
                <w:rFonts w:eastAsiaTheme="minorEastAsia"/>
                <w:b/>
                <w:bCs/>
              </w:rPr>
            </w:pPr>
            <w:r w:rsidRPr="00A26E43">
              <w:rPr>
                <w:rFonts w:eastAsiaTheme="minorEastAsia"/>
                <w:b/>
                <w:bCs/>
              </w:rPr>
              <w:t>52</w:t>
            </w:r>
          </w:p>
        </w:tc>
        <w:tc>
          <w:tcPr>
            <w:tcW w:w="2143" w:type="dxa"/>
          </w:tcPr>
          <w:p w14:paraId="2F0558FA" w14:textId="633996B4" w:rsidR="00A26E43" w:rsidRPr="004859C8" w:rsidRDefault="00A26E43" w:rsidP="00A26E43">
            <w:pPr>
              <w:pStyle w:val="TMGTableText"/>
              <w:jc w:val="center"/>
            </w:pPr>
            <w:r>
              <w:t>200-204</w:t>
            </w:r>
          </w:p>
        </w:tc>
        <w:tc>
          <w:tcPr>
            <w:tcW w:w="693" w:type="dxa"/>
            <w:vAlign w:val="center"/>
          </w:tcPr>
          <w:p w14:paraId="7B334849" w14:textId="33575367" w:rsidR="00A26E43" w:rsidRPr="004859C8" w:rsidRDefault="00A26E43" w:rsidP="00A26E43">
            <w:pPr>
              <w:pStyle w:val="TMGTableText"/>
              <w:jc w:val="center"/>
            </w:pPr>
            <w:r w:rsidRPr="00877387">
              <w:t>5</w:t>
            </w:r>
          </w:p>
        </w:tc>
        <w:tc>
          <w:tcPr>
            <w:tcW w:w="3457" w:type="dxa"/>
            <w:vAlign w:val="center"/>
          </w:tcPr>
          <w:p w14:paraId="796904B6" w14:textId="3827725B" w:rsidR="00A26E43" w:rsidRPr="004859C8" w:rsidRDefault="00A26E43" w:rsidP="00A26E43">
            <w:pPr>
              <w:pStyle w:val="TMGTableText"/>
            </w:pPr>
            <w:r w:rsidRPr="00877387">
              <w:rPr>
                <w:rFonts w:eastAsiaTheme="minorEastAsia"/>
              </w:rPr>
              <w:t>Weight 11 Right Wheel Path (RW11)</w:t>
            </w:r>
          </w:p>
        </w:tc>
        <w:tc>
          <w:tcPr>
            <w:tcW w:w="1309" w:type="dxa"/>
            <w:vAlign w:val="center"/>
          </w:tcPr>
          <w:p w14:paraId="4CE6C569" w14:textId="5C5AE207" w:rsidR="00A26E43" w:rsidRPr="004859C8" w:rsidRDefault="00A26E43" w:rsidP="004605FE">
            <w:pPr>
              <w:pStyle w:val="TMGTableText"/>
              <w:jc w:val="center"/>
            </w:pPr>
            <w:r w:rsidRPr="003469C7">
              <w:t>Integer</w:t>
            </w:r>
          </w:p>
        </w:tc>
        <w:tc>
          <w:tcPr>
            <w:tcW w:w="1133" w:type="dxa"/>
            <w:vAlign w:val="center"/>
          </w:tcPr>
          <w:p w14:paraId="4C301A65" w14:textId="259DFFA2" w:rsidR="00A26E43" w:rsidRPr="00C251E9" w:rsidRDefault="00A26E43"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A26E43" w14:paraId="1968E145" w14:textId="77777777" w:rsidTr="004605FE">
        <w:trPr>
          <w:jc w:val="center"/>
        </w:trPr>
        <w:tc>
          <w:tcPr>
            <w:tcW w:w="625" w:type="dxa"/>
          </w:tcPr>
          <w:p w14:paraId="13259D61" w14:textId="3964C291" w:rsidR="00A26E43" w:rsidRPr="00A26E43" w:rsidRDefault="00A26E43" w:rsidP="00A26E43">
            <w:pPr>
              <w:pStyle w:val="TMGTableText"/>
              <w:ind w:left="0" w:right="144"/>
              <w:jc w:val="right"/>
              <w:rPr>
                <w:rFonts w:eastAsiaTheme="minorEastAsia"/>
                <w:b/>
                <w:bCs/>
              </w:rPr>
            </w:pPr>
            <w:r w:rsidRPr="00A26E43">
              <w:rPr>
                <w:rFonts w:eastAsiaTheme="minorEastAsia"/>
                <w:b/>
                <w:bCs/>
              </w:rPr>
              <w:t>53</w:t>
            </w:r>
          </w:p>
        </w:tc>
        <w:tc>
          <w:tcPr>
            <w:tcW w:w="2143" w:type="dxa"/>
          </w:tcPr>
          <w:p w14:paraId="25134DA9" w14:textId="698910E9" w:rsidR="00A26E43" w:rsidRPr="004859C8" w:rsidRDefault="00A26E43" w:rsidP="00A26E43">
            <w:pPr>
              <w:pStyle w:val="TMGTableText"/>
              <w:jc w:val="center"/>
            </w:pPr>
            <w:r>
              <w:t>205-208</w:t>
            </w:r>
          </w:p>
        </w:tc>
        <w:tc>
          <w:tcPr>
            <w:tcW w:w="693" w:type="dxa"/>
            <w:vAlign w:val="center"/>
          </w:tcPr>
          <w:p w14:paraId="70970171" w14:textId="4A5AAB7C" w:rsidR="00A26E43" w:rsidRPr="004859C8" w:rsidRDefault="00A26E43" w:rsidP="00A26E43">
            <w:pPr>
              <w:pStyle w:val="TMGTableText"/>
              <w:jc w:val="center"/>
            </w:pPr>
            <w:r w:rsidRPr="00877387">
              <w:rPr>
                <w:rFonts w:eastAsiaTheme="minorEastAsia"/>
              </w:rPr>
              <w:t>4</w:t>
            </w:r>
          </w:p>
        </w:tc>
        <w:tc>
          <w:tcPr>
            <w:tcW w:w="3457" w:type="dxa"/>
            <w:vAlign w:val="center"/>
          </w:tcPr>
          <w:p w14:paraId="6C1F3CF7" w14:textId="1371A305" w:rsidR="00A26E43" w:rsidRPr="004859C8" w:rsidRDefault="00A26E43" w:rsidP="00A26E43">
            <w:pPr>
              <w:pStyle w:val="TMGTableText"/>
            </w:pPr>
            <w:r w:rsidRPr="00877387">
              <w:rPr>
                <w:rFonts w:eastAsiaTheme="minorEastAsia"/>
              </w:rPr>
              <w:t>Axles 11-12 Spacing (ASP11)</w:t>
            </w:r>
          </w:p>
        </w:tc>
        <w:tc>
          <w:tcPr>
            <w:tcW w:w="1309" w:type="dxa"/>
            <w:vAlign w:val="center"/>
          </w:tcPr>
          <w:p w14:paraId="0572C5BF" w14:textId="0987AAAC" w:rsidR="00A26E43" w:rsidRPr="004859C8" w:rsidRDefault="00A26E43" w:rsidP="004605FE">
            <w:pPr>
              <w:pStyle w:val="TMGTableText"/>
              <w:jc w:val="center"/>
            </w:pPr>
            <w:r w:rsidRPr="003469C7">
              <w:t>Integer</w:t>
            </w:r>
          </w:p>
        </w:tc>
        <w:tc>
          <w:tcPr>
            <w:tcW w:w="1133" w:type="dxa"/>
            <w:vAlign w:val="center"/>
          </w:tcPr>
          <w:p w14:paraId="1F18E729" w14:textId="34AB3046" w:rsidR="00A26E43" w:rsidRPr="00C251E9" w:rsidRDefault="00A26E43"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A26E43" w14:paraId="73158A43" w14:textId="77777777" w:rsidTr="004605FE">
        <w:trPr>
          <w:jc w:val="center"/>
        </w:trPr>
        <w:tc>
          <w:tcPr>
            <w:tcW w:w="625" w:type="dxa"/>
          </w:tcPr>
          <w:p w14:paraId="74E7903C" w14:textId="2667B237" w:rsidR="00A26E43" w:rsidRPr="00A26E43" w:rsidRDefault="00A26E43" w:rsidP="00A26E43">
            <w:pPr>
              <w:pStyle w:val="TMGTableText"/>
              <w:ind w:left="0" w:right="144"/>
              <w:jc w:val="right"/>
              <w:rPr>
                <w:rFonts w:eastAsiaTheme="minorEastAsia"/>
                <w:b/>
                <w:bCs/>
              </w:rPr>
            </w:pPr>
            <w:r w:rsidRPr="00A26E43">
              <w:rPr>
                <w:rFonts w:eastAsiaTheme="minorEastAsia"/>
                <w:b/>
                <w:bCs/>
              </w:rPr>
              <w:t>54</w:t>
            </w:r>
          </w:p>
        </w:tc>
        <w:tc>
          <w:tcPr>
            <w:tcW w:w="2143" w:type="dxa"/>
          </w:tcPr>
          <w:p w14:paraId="729544EE" w14:textId="732CB813" w:rsidR="00A26E43" w:rsidRPr="004859C8" w:rsidRDefault="00A26E43" w:rsidP="00A26E43">
            <w:pPr>
              <w:pStyle w:val="TMGTableText"/>
              <w:jc w:val="center"/>
            </w:pPr>
            <w:r>
              <w:t>209-213</w:t>
            </w:r>
          </w:p>
        </w:tc>
        <w:tc>
          <w:tcPr>
            <w:tcW w:w="693" w:type="dxa"/>
            <w:vAlign w:val="center"/>
          </w:tcPr>
          <w:p w14:paraId="63825778" w14:textId="159EB7C7" w:rsidR="00A26E43" w:rsidRPr="004859C8" w:rsidRDefault="00A26E43" w:rsidP="00A26E43">
            <w:pPr>
              <w:pStyle w:val="TMGTableText"/>
              <w:jc w:val="center"/>
            </w:pPr>
            <w:r w:rsidRPr="00877387">
              <w:t>5</w:t>
            </w:r>
          </w:p>
        </w:tc>
        <w:tc>
          <w:tcPr>
            <w:tcW w:w="3457" w:type="dxa"/>
            <w:vAlign w:val="center"/>
          </w:tcPr>
          <w:p w14:paraId="1A627DEC" w14:textId="04FCFEF9" w:rsidR="00A26E43" w:rsidRPr="004859C8" w:rsidRDefault="00A26E43" w:rsidP="00A26E43">
            <w:pPr>
              <w:pStyle w:val="TMGTableText"/>
            </w:pPr>
            <w:r w:rsidRPr="00877387">
              <w:rPr>
                <w:rFonts w:eastAsiaTheme="minorEastAsia"/>
              </w:rPr>
              <w:t>Weight 12 Left Wheel Path (LW12)</w:t>
            </w:r>
          </w:p>
        </w:tc>
        <w:tc>
          <w:tcPr>
            <w:tcW w:w="1309" w:type="dxa"/>
            <w:vAlign w:val="center"/>
          </w:tcPr>
          <w:p w14:paraId="4F858CB7" w14:textId="78CE5A57" w:rsidR="00A26E43" w:rsidRPr="004859C8" w:rsidRDefault="00A26E43" w:rsidP="004605FE">
            <w:pPr>
              <w:pStyle w:val="TMGTableText"/>
              <w:jc w:val="center"/>
            </w:pPr>
            <w:r w:rsidRPr="003469C7">
              <w:t>Integer</w:t>
            </w:r>
          </w:p>
        </w:tc>
        <w:tc>
          <w:tcPr>
            <w:tcW w:w="1133" w:type="dxa"/>
            <w:vAlign w:val="center"/>
          </w:tcPr>
          <w:p w14:paraId="51743B58" w14:textId="1F6CAB2D" w:rsidR="00A26E43" w:rsidRPr="00C251E9" w:rsidRDefault="00A26E43"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A26E43" w14:paraId="666BC275" w14:textId="77777777" w:rsidTr="004605FE">
        <w:trPr>
          <w:jc w:val="center"/>
        </w:trPr>
        <w:tc>
          <w:tcPr>
            <w:tcW w:w="625" w:type="dxa"/>
          </w:tcPr>
          <w:p w14:paraId="49087B90" w14:textId="26EFA2A8" w:rsidR="00A26E43" w:rsidRPr="00A26E43" w:rsidRDefault="00A26E43" w:rsidP="00A26E43">
            <w:pPr>
              <w:pStyle w:val="TMGTableText"/>
              <w:ind w:left="0" w:right="144"/>
              <w:jc w:val="right"/>
              <w:rPr>
                <w:rFonts w:eastAsiaTheme="minorEastAsia"/>
                <w:b/>
                <w:bCs/>
              </w:rPr>
            </w:pPr>
            <w:r w:rsidRPr="00A26E43">
              <w:rPr>
                <w:rFonts w:eastAsiaTheme="minorEastAsia"/>
                <w:b/>
                <w:bCs/>
              </w:rPr>
              <w:t>55</w:t>
            </w:r>
          </w:p>
        </w:tc>
        <w:tc>
          <w:tcPr>
            <w:tcW w:w="2143" w:type="dxa"/>
          </w:tcPr>
          <w:p w14:paraId="6579264A" w14:textId="523FE18B" w:rsidR="00A26E43" w:rsidRPr="004859C8" w:rsidRDefault="00A26E43" w:rsidP="00A26E43">
            <w:pPr>
              <w:pStyle w:val="TMGTableText"/>
              <w:jc w:val="center"/>
            </w:pPr>
            <w:r>
              <w:t>214-218</w:t>
            </w:r>
          </w:p>
        </w:tc>
        <w:tc>
          <w:tcPr>
            <w:tcW w:w="693" w:type="dxa"/>
            <w:vAlign w:val="center"/>
          </w:tcPr>
          <w:p w14:paraId="73BEE30F" w14:textId="77BC7B84" w:rsidR="00A26E43" w:rsidRPr="004859C8" w:rsidRDefault="00A26E43" w:rsidP="00A26E43">
            <w:pPr>
              <w:pStyle w:val="TMGTableText"/>
              <w:jc w:val="center"/>
            </w:pPr>
            <w:r w:rsidRPr="00877387">
              <w:t>5</w:t>
            </w:r>
          </w:p>
        </w:tc>
        <w:tc>
          <w:tcPr>
            <w:tcW w:w="3457" w:type="dxa"/>
            <w:vAlign w:val="center"/>
          </w:tcPr>
          <w:p w14:paraId="7D19B227" w14:textId="14DB77FC" w:rsidR="00A26E43" w:rsidRPr="004859C8" w:rsidRDefault="00A26E43" w:rsidP="00A26E43">
            <w:pPr>
              <w:pStyle w:val="TMGTableText"/>
            </w:pPr>
            <w:r w:rsidRPr="00877387">
              <w:rPr>
                <w:rFonts w:eastAsiaTheme="minorEastAsia"/>
              </w:rPr>
              <w:t>Weight 12 Right Wheel Path (RW12)</w:t>
            </w:r>
          </w:p>
        </w:tc>
        <w:tc>
          <w:tcPr>
            <w:tcW w:w="1309" w:type="dxa"/>
            <w:vAlign w:val="center"/>
          </w:tcPr>
          <w:p w14:paraId="5DD47E2C" w14:textId="4296A9EE" w:rsidR="00A26E43" w:rsidRPr="004859C8" w:rsidRDefault="00A26E43" w:rsidP="004605FE">
            <w:pPr>
              <w:pStyle w:val="TMGTableText"/>
              <w:jc w:val="center"/>
            </w:pPr>
            <w:r w:rsidRPr="003469C7">
              <w:t>Integer</w:t>
            </w:r>
          </w:p>
        </w:tc>
        <w:tc>
          <w:tcPr>
            <w:tcW w:w="1133" w:type="dxa"/>
            <w:vAlign w:val="center"/>
          </w:tcPr>
          <w:p w14:paraId="3BF94F80" w14:textId="2901EFD2" w:rsidR="00A26E43" w:rsidRPr="00C251E9" w:rsidRDefault="00A26E43"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A26E43" w14:paraId="745200E4" w14:textId="77777777" w:rsidTr="004605FE">
        <w:trPr>
          <w:jc w:val="center"/>
        </w:trPr>
        <w:tc>
          <w:tcPr>
            <w:tcW w:w="625" w:type="dxa"/>
            <w:vAlign w:val="center"/>
          </w:tcPr>
          <w:p w14:paraId="6BCDC27F" w14:textId="4A5A1565" w:rsidR="00A26E43" w:rsidRPr="00A26E43" w:rsidRDefault="00A26E43" w:rsidP="00A26E43">
            <w:pPr>
              <w:pStyle w:val="TMGTableText"/>
              <w:ind w:left="0" w:right="144"/>
              <w:jc w:val="right"/>
              <w:rPr>
                <w:rFonts w:eastAsiaTheme="minorEastAsia"/>
                <w:b/>
                <w:bCs/>
              </w:rPr>
            </w:pPr>
            <w:r w:rsidRPr="00A26E43">
              <w:rPr>
                <w:rFonts w:eastAsiaTheme="minorEastAsia"/>
                <w:b/>
                <w:bCs/>
              </w:rPr>
              <w:t>56+</w:t>
            </w:r>
          </w:p>
        </w:tc>
        <w:tc>
          <w:tcPr>
            <w:tcW w:w="2143" w:type="dxa"/>
          </w:tcPr>
          <w:p w14:paraId="4FAB6D5C" w14:textId="7CF38FD1" w:rsidR="00A26E43" w:rsidRPr="004859C8" w:rsidRDefault="00A26E43" w:rsidP="00A26E43">
            <w:pPr>
              <w:pStyle w:val="TMGTableText"/>
              <w:jc w:val="center"/>
            </w:pPr>
            <w:r w:rsidRPr="00966B41">
              <w:rPr>
                <w:rFonts w:eastAsiaTheme="minorEastAsia"/>
              </w:rPr>
              <w:t>Use 4 columns for each axle up to 25 axles (include 10 columns of weight prior to the next axle distance)</w:t>
            </w:r>
          </w:p>
        </w:tc>
        <w:tc>
          <w:tcPr>
            <w:tcW w:w="693" w:type="dxa"/>
            <w:vAlign w:val="center"/>
          </w:tcPr>
          <w:p w14:paraId="7E8F398F" w14:textId="26E133BF" w:rsidR="00A26E43" w:rsidRPr="004859C8" w:rsidRDefault="00A26E43" w:rsidP="00A26E43">
            <w:pPr>
              <w:pStyle w:val="TMGTableText"/>
              <w:jc w:val="center"/>
            </w:pPr>
            <w:r w:rsidRPr="000C4C1A">
              <w:rPr>
                <w:rFonts w:eastAsiaTheme="minorEastAsia" w:cstheme="minorHAnsi"/>
                <w:color w:val="auto"/>
              </w:rPr>
              <w:t>4</w:t>
            </w:r>
          </w:p>
        </w:tc>
        <w:tc>
          <w:tcPr>
            <w:tcW w:w="3457" w:type="dxa"/>
            <w:vAlign w:val="center"/>
          </w:tcPr>
          <w:p w14:paraId="57A02CAB" w14:textId="288AF2BE" w:rsidR="00A26E43" w:rsidRPr="004859C8" w:rsidRDefault="00A26E43" w:rsidP="00A26E43">
            <w:pPr>
              <w:pStyle w:val="TMGTableText"/>
            </w:pPr>
            <w:r w:rsidRPr="00966B41">
              <w:rPr>
                <w:rFonts w:eastAsiaTheme="minorEastAsia" w:cstheme="minorHAnsi"/>
                <w:color w:val="auto"/>
              </w:rPr>
              <w:t>Axle spacing</w:t>
            </w:r>
          </w:p>
        </w:tc>
        <w:tc>
          <w:tcPr>
            <w:tcW w:w="1309" w:type="dxa"/>
            <w:vAlign w:val="center"/>
          </w:tcPr>
          <w:p w14:paraId="36DE7091" w14:textId="758F1A05" w:rsidR="00A26E43" w:rsidRPr="004859C8" w:rsidRDefault="00A26E43" w:rsidP="004605FE">
            <w:pPr>
              <w:pStyle w:val="TMGTableText"/>
              <w:jc w:val="center"/>
            </w:pPr>
            <w:r w:rsidRPr="003469C7">
              <w:t>Integer</w:t>
            </w:r>
          </w:p>
        </w:tc>
        <w:tc>
          <w:tcPr>
            <w:tcW w:w="1133" w:type="dxa"/>
            <w:vAlign w:val="center"/>
          </w:tcPr>
          <w:p w14:paraId="0E91395B" w14:textId="0DE61819" w:rsidR="00A26E43" w:rsidRPr="00C251E9" w:rsidRDefault="00A26E43"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A26E43" w14:paraId="7CE7E957" w14:textId="77777777" w:rsidTr="004605FE">
        <w:trPr>
          <w:jc w:val="center"/>
        </w:trPr>
        <w:tc>
          <w:tcPr>
            <w:tcW w:w="625" w:type="dxa"/>
            <w:vAlign w:val="center"/>
          </w:tcPr>
          <w:p w14:paraId="4DF1B653" w14:textId="4F37284F" w:rsidR="00A26E43" w:rsidRPr="00A26E43" w:rsidRDefault="00A26E43" w:rsidP="00A26E43">
            <w:pPr>
              <w:pStyle w:val="TMGTableText"/>
              <w:ind w:left="0" w:right="144"/>
              <w:jc w:val="right"/>
              <w:rPr>
                <w:rFonts w:eastAsiaTheme="minorEastAsia"/>
                <w:b/>
                <w:bCs/>
              </w:rPr>
            </w:pPr>
            <w:r w:rsidRPr="00A26E43">
              <w:rPr>
                <w:rFonts w:eastAsiaTheme="minorEastAsia"/>
                <w:b/>
                <w:bCs/>
              </w:rPr>
              <w:t>57+</w:t>
            </w:r>
          </w:p>
        </w:tc>
        <w:tc>
          <w:tcPr>
            <w:tcW w:w="2143" w:type="dxa"/>
          </w:tcPr>
          <w:p w14:paraId="4CEC5D6D" w14:textId="12124581" w:rsidR="00A26E43" w:rsidRPr="004859C8" w:rsidRDefault="00A26E43" w:rsidP="00A26E43">
            <w:pPr>
              <w:pStyle w:val="TMGTableText"/>
              <w:jc w:val="center"/>
            </w:pPr>
            <w:r w:rsidRPr="002B1C36">
              <w:rPr>
                <w:rFonts w:eastAsiaTheme="minorEastAsia"/>
                <w:spacing w:val="-6"/>
              </w:rPr>
              <w:t xml:space="preserve">Use </w:t>
            </w:r>
            <w:r w:rsidRPr="002B1C36">
              <w:t>5</w:t>
            </w:r>
            <w:r w:rsidRPr="002B1C36">
              <w:rPr>
                <w:rFonts w:eastAsiaTheme="minorEastAsia"/>
                <w:spacing w:val="-6"/>
              </w:rPr>
              <w:t xml:space="preserve"> additional columns for each additional axle for the left wheel path weight, up to 25 axles</w:t>
            </w:r>
          </w:p>
        </w:tc>
        <w:tc>
          <w:tcPr>
            <w:tcW w:w="693" w:type="dxa"/>
            <w:vAlign w:val="center"/>
          </w:tcPr>
          <w:p w14:paraId="22C8FF2F" w14:textId="6201216E" w:rsidR="00A26E43" w:rsidRPr="004859C8" w:rsidRDefault="00A26E43" w:rsidP="00A26E43">
            <w:pPr>
              <w:pStyle w:val="TMGTableText"/>
              <w:jc w:val="center"/>
            </w:pPr>
            <w:r w:rsidRPr="000C4C1A">
              <w:rPr>
                <w:rFonts w:eastAsiaTheme="minorEastAsia" w:cstheme="minorHAnsi"/>
                <w:color w:val="auto"/>
              </w:rPr>
              <w:t>5</w:t>
            </w:r>
          </w:p>
        </w:tc>
        <w:tc>
          <w:tcPr>
            <w:tcW w:w="3457" w:type="dxa"/>
            <w:vAlign w:val="center"/>
          </w:tcPr>
          <w:p w14:paraId="13F266B9" w14:textId="606C624F" w:rsidR="00A26E43" w:rsidRPr="004859C8" w:rsidRDefault="00A26E43" w:rsidP="00A26E43">
            <w:pPr>
              <w:pStyle w:val="TMGTableText"/>
            </w:pPr>
            <w:r w:rsidRPr="002B1C36">
              <w:rPr>
                <w:rFonts w:eastAsiaTheme="minorEastAsia" w:cstheme="minorHAnsi"/>
                <w:color w:val="auto"/>
              </w:rPr>
              <w:t>Weight Left Wheel Path</w:t>
            </w:r>
          </w:p>
        </w:tc>
        <w:tc>
          <w:tcPr>
            <w:tcW w:w="1309" w:type="dxa"/>
            <w:vAlign w:val="center"/>
          </w:tcPr>
          <w:p w14:paraId="555B86F8" w14:textId="39045960" w:rsidR="00A26E43" w:rsidRPr="004859C8" w:rsidRDefault="00A26E43" w:rsidP="004605FE">
            <w:pPr>
              <w:pStyle w:val="TMGTableText"/>
              <w:jc w:val="center"/>
            </w:pPr>
            <w:r w:rsidRPr="003469C7">
              <w:t>Integer</w:t>
            </w:r>
          </w:p>
        </w:tc>
        <w:tc>
          <w:tcPr>
            <w:tcW w:w="1133" w:type="dxa"/>
            <w:vAlign w:val="center"/>
          </w:tcPr>
          <w:p w14:paraId="3355C80A" w14:textId="76E58832" w:rsidR="00A26E43" w:rsidRPr="00C251E9" w:rsidRDefault="00A26E43" w:rsidP="004605FE">
            <w:pPr>
              <w:pStyle w:val="TMGTableText"/>
              <w:jc w:val="center"/>
            </w:pPr>
            <w:r>
              <w:rPr>
                <w:rFonts w:eastAsiaTheme="minorEastAsia"/>
              </w:rPr>
              <w:t>Req.</w:t>
            </w:r>
            <w:r w:rsidRPr="00877387">
              <w:rPr>
                <w:rFonts w:eastAsiaTheme="minorEastAsia"/>
              </w:rPr>
              <w:t>/O</w:t>
            </w:r>
            <w:r>
              <w:rPr>
                <w:rFonts w:eastAsiaTheme="minorEastAsia"/>
              </w:rPr>
              <w:t>pt.</w:t>
            </w:r>
          </w:p>
        </w:tc>
      </w:tr>
      <w:tr w:rsidR="00A26E43" w14:paraId="56435DC7" w14:textId="77777777" w:rsidTr="004605FE">
        <w:trPr>
          <w:jc w:val="center"/>
        </w:trPr>
        <w:tc>
          <w:tcPr>
            <w:tcW w:w="625" w:type="dxa"/>
            <w:vAlign w:val="center"/>
          </w:tcPr>
          <w:p w14:paraId="5839B71A" w14:textId="5EA6DB93" w:rsidR="00A26E43" w:rsidRPr="00A26E43" w:rsidRDefault="00A26E43" w:rsidP="00A26E43">
            <w:pPr>
              <w:pStyle w:val="TMGTableText"/>
              <w:ind w:left="0" w:right="144"/>
              <w:jc w:val="right"/>
              <w:rPr>
                <w:rFonts w:eastAsiaTheme="minorEastAsia"/>
                <w:b/>
                <w:bCs/>
              </w:rPr>
            </w:pPr>
            <w:r w:rsidRPr="00A26E43">
              <w:rPr>
                <w:rFonts w:eastAsiaTheme="minorEastAsia"/>
                <w:b/>
                <w:bCs/>
              </w:rPr>
              <w:lastRenderedPageBreak/>
              <w:t>58+</w:t>
            </w:r>
          </w:p>
        </w:tc>
        <w:tc>
          <w:tcPr>
            <w:tcW w:w="2143" w:type="dxa"/>
          </w:tcPr>
          <w:p w14:paraId="39323C88" w14:textId="42428885" w:rsidR="00A26E43" w:rsidRPr="004859C8" w:rsidRDefault="00A26E43" w:rsidP="00A26E43">
            <w:pPr>
              <w:pStyle w:val="TMGTableText"/>
              <w:jc w:val="center"/>
            </w:pPr>
            <w:r w:rsidRPr="002B1C36">
              <w:rPr>
                <w:rFonts w:eastAsiaTheme="minorEastAsia"/>
                <w:spacing w:val="-6"/>
              </w:rPr>
              <w:t xml:space="preserve">Use </w:t>
            </w:r>
            <w:r w:rsidRPr="002B1C36">
              <w:t>5</w:t>
            </w:r>
            <w:r w:rsidRPr="002B1C36">
              <w:rPr>
                <w:rFonts w:eastAsiaTheme="minorEastAsia"/>
                <w:spacing w:val="-6"/>
              </w:rPr>
              <w:t xml:space="preserve"> additional columns for each additional axle for the right wheel path weight, up to 25 axles</w:t>
            </w:r>
          </w:p>
        </w:tc>
        <w:tc>
          <w:tcPr>
            <w:tcW w:w="693" w:type="dxa"/>
            <w:vAlign w:val="center"/>
          </w:tcPr>
          <w:p w14:paraId="5749104F" w14:textId="0D7C224C" w:rsidR="00A26E43" w:rsidRPr="004859C8" w:rsidRDefault="00A26E43" w:rsidP="00A26E43">
            <w:pPr>
              <w:pStyle w:val="TMGTableText"/>
              <w:jc w:val="center"/>
            </w:pPr>
            <w:r w:rsidRPr="000C4C1A">
              <w:rPr>
                <w:rFonts w:eastAsiaTheme="minorEastAsia" w:cstheme="minorHAnsi"/>
                <w:color w:val="auto"/>
              </w:rPr>
              <w:t>5</w:t>
            </w:r>
          </w:p>
        </w:tc>
        <w:tc>
          <w:tcPr>
            <w:tcW w:w="3457" w:type="dxa"/>
            <w:vAlign w:val="center"/>
          </w:tcPr>
          <w:p w14:paraId="29039DE9" w14:textId="6E3C7820" w:rsidR="00A26E43" w:rsidRPr="004859C8" w:rsidRDefault="00A26E43" w:rsidP="00A26E43">
            <w:pPr>
              <w:pStyle w:val="TMGTableText"/>
            </w:pPr>
            <w:r w:rsidRPr="002B1C36">
              <w:rPr>
                <w:rFonts w:eastAsiaTheme="minorEastAsia" w:cstheme="minorHAnsi"/>
                <w:color w:val="auto"/>
              </w:rPr>
              <w:t>Weight Right Wheel Path</w:t>
            </w:r>
          </w:p>
        </w:tc>
        <w:tc>
          <w:tcPr>
            <w:tcW w:w="1309" w:type="dxa"/>
            <w:vAlign w:val="center"/>
          </w:tcPr>
          <w:p w14:paraId="0ACDCD1D" w14:textId="20D95E82" w:rsidR="00A26E43" w:rsidRPr="004859C8" w:rsidRDefault="00A26E43" w:rsidP="004605FE">
            <w:pPr>
              <w:pStyle w:val="TMGTableText"/>
              <w:jc w:val="center"/>
            </w:pPr>
            <w:r w:rsidRPr="003469C7">
              <w:t>Integer</w:t>
            </w:r>
          </w:p>
        </w:tc>
        <w:tc>
          <w:tcPr>
            <w:tcW w:w="1133" w:type="dxa"/>
            <w:vAlign w:val="center"/>
          </w:tcPr>
          <w:p w14:paraId="1442805E" w14:textId="4E0B76DE" w:rsidR="00A26E43" w:rsidRPr="00C251E9" w:rsidRDefault="00A26E43" w:rsidP="004605FE">
            <w:pPr>
              <w:pStyle w:val="TMGTableText"/>
              <w:jc w:val="center"/>
            </w:pPr>
            <w:r>
              <w:rPr>
                <w:rFonts w:eastAsiaTheme="minorEastAsia"/>
              </w:rPr>
              <w:t>Req.</w:t>
            </w:r>
            <w:r w:rsidRPr="00877387">
              <w:rPr>
                <w:rFonts w:eastAsiaTheme="minorEastAsia"/>
              </w:rPr>
              <w:t>/O</w:t>
            </w:r>
            <w:r>
              <w:rPr>
                <w:rFonts w:eastAsiaTheme="minorEastAsia"/>
              </w:rPr>
              <w:t>pt.</w:t>
            </w:r>
          </w:p>
        </w:tc>
      </w:tr>
    </w:tbl>
    <w:p w14:paraId="30CA6A6A" w14:textId="77777777" w:rsidR="009B7AED" w:rsidRDefault="009B7AED" w:rsidP="00A26E43">
      <w:pPr>
        <w:pStyle w:val="Source"/>
        <w:spacing w:before="60" w:after="60"/>
        <w:ind w:left="547" w:hanging="547"/>
      </w:pPr>
      <w:r>
        <w:t>Note:</w:t>
      </w:r>
      <w:r>
        <w:tab/>
        <w:t xml:space="preserve">R=Required, O=Optional, R/O=Required/Optional, </w:t>
      </w:r>
    </w:p>
    <w:p w14:paraId="60613069" w14:textId="77777777" w:rsidR="009B7AED" w:rsidRDefault="009B7AED" w:rsidP="00A26E43">
      <w:pPr>
        <w:pStyle w:val="Source"/>
        <w:spacing w:before="60" w:after="60"/>
        <w:ind w:left="547" w:hanging="547"/>
      </w:pPr>
      <w:r>
        <w:tab/>
        <w:t xml:space="preserve">Fields designated as </w:t>
      </w:r>
      <w:r>
        <w:rPr>
          <w:rStyle w:val="Italic"/>
          <w:iCs/>
        </w:rPr>
        <w:t>Required</w:t>
      </w:r>
      <w:r>
        <w:t xml:space="preserve"> must be reported.</w:t>
      </w:r>
    </w:p>
    <w:p w14:paraId="0B8B0610" w14:textId="77777777" w:rsidR="009B7AED" w:rsidRDefault="009B7AED" w:rsidP="00A26E43">
      <w:pPr>
        <w:pStyle w:val="Source"/>
        <w:spacing w:before="60" w:after="60"/>
        <w:ind w:left="547" w:hanging="547"/>
      </w:pPr>
      <w:r>
        <w:tab/>
        <w:t xml:space="preserve">Fields designated as </w:t>
      </w:r>
      <w:r>
        <w:rPr>
          <w:rStyle w:val="Italic"/>
          <w:iCs/>
        </w:rPr>
        <w:t>Optional</w:t>
      </w:r>
      <w:r>
        <w:t xml:space="preserve"> are not required to be reported.</w:t>
      </w:r>
    </w:p>
    <w:p w14:paraId="6F744616" w14:textId="77777777" w:rsidR="009B7AED" w:rsidRPr="00257FF9" w:rsidRDefault="009B7AED" w:rsidP="00A26E43">
      <w:pPr>
        <w:pStyle w:val="Source"/>
        <w:spacing w:before="60" w:after="360"/>
        <w:ind w:left="547" w:hanging="547"/>
      </w:pPr>
      <w:r>
        <w:tab/>
        <w:t xml:space="preserve">Fields designated as </w:t>
      </w:r>
      <w:r>
        <w:rPr>
          <w:rStyle w:val="Italic"/>
          <w:iCs/>
        </w:rPr>
        <w:t>Required/</w:t>
      </w:r>
      <w:r w:rsidRPr="00257FF9">
        <w:rPr>
          <w:rStyle w:val="Italic"/>
          <w:iCs/>
        </w:rPr>
        <w:t>Optional</w:t>
      </w:r>
      <w:r w:rsidRPr="00257FF9">
        <w:t xml:space="preserve"> could be either required or optional based on values used for other related fields.</w:t>
      </w:r>
    </w:p>
    <w:p w14:paraId="5AB1B59F" w14:textId="77777777" w:rsidR="009B7AED" w:rsidRPr="00257FF9" w:rsidRDefault="009B7AED" w:rsidP="004605FE">
      <w:pPr>
        <w:pStyle w:val="BodyText"/>
      </w:pPr>
      <w:r w:rsidRPr="00257FF9">
        <w:t xml:space="preserve">The definitions of the data to be contained in </w:t>
      </w:r>
      <w:r w:rsidRPr="004605FE">
        <w:t>columns</w:t>
      </w:r>
      <w:r w:rsidRPr="00257FF9">
        <w:t xml:space="preserve"> 1 – 37 for the “Z” format are described in Sections 4.7.1 and 4.7.2. The data to be included in columns 46 and later are defined as follows:</w:t>
      </w:r>
    </w:p>
    <w:p w14:paraId="6E9189DF" w14:textId="77777777" w:rsidR="009B7AED" w:rsidRPr="00257FF9" w:rsidRDefault="009B7AED">
      <w:pPr>
        <w:numPr>
          <w:ilvl w:val="0"/>
          <w:numId w:val="98"/>
        </w:numPr>
        <w:spacing w:after="120"/>
        <w:ind w:left="648"/>
      </w:pPr>
      <w:r w:rsidRPr="00257FF9">
        <w:t xml:space="preserve">Pavement Temperature (Columns </w:t>
      </w:r>
      <w:r w:rsidRPr="00257FF9">
        <w:rPr>
          <w:rFonts w:eastAsiaTheme="minorEastAsia"/>
        </w:rPr>
        <w:t>46-48</w:t>
      </w:r>
      <w:r w:rsidRPr="00257FF9">
        <w:t xml:space="preserve">) – </w:t>
      </w:r>
      <w:r w:rsidRPr="00257FF9">
        <w:rPr>
          <w:i/>
          <w:iCs/>
        </w:rPr>
        <w:t>Optional</w:t>
      </w:r>
    </w:p>
    <w:p w14:paraId="60632C8A" w14:textId="77777777" w:rsidR="009B7AED" w:rsidRPr="00257FF9" w:rsidRDefault="009B7AED" w:rsidP="004605FE">
      <w:pPr>
        <w:tabs>
          <w:tab w:val="left" w:pos="1440"/>
        </w:tabs>
        <w:spacing w:after="120"/>
        <w:ind w:left="648"/>
        <w:jc w:val="left"/>
      </w:pPr>
      <w:r w:rsidRPr="00257FF9">
        <w:t>Enter the pavement temperature rounded to the nearest integer Fahrenheit value. A negative sign may be placed in Column 46 if required. If the pavement temperature is unknown blank fill these digits.</w:t>
      </w:r>
    </w:p>
    <w:p w14:paraId="57B0A623" w14:textId="77777777" w:rsidR="009B7AED" w:rsidRPr="00257FF9" w:rsidRDefault="009B7AED">
      <w:pPr>
        <w:numPr>
          <w:ilvl w:val="0"/>
          <w:numId w:val="98"/>
        </w:numPr>
        <w:spacing w:after="120"/>
        <w:ind w:left="648"/>
      </w:pPr>
      <w:r w:rsidRPr="00257FF9">
        <w:t xml:space="preserve">Gross Vehicle Weight (Columns 49-54) – </w:t>
      </w:r>
      <w:r w:rsidRPr="00257FF9">
        <w:rPr>
          <w:i/>
          <w:iCs/>
        </w:rPr>
        <w:t>Required</w:t>
      </w:r>
    </w:p>
    <w:p w14:paraId="2EE27E28" w14:textId="77777777" w:rsidR="009B7AED" w:rsidRPr="00257FF9" w:rsidRDefault="009B7AED" w:rsidP="004605FE">
      <w:pPr>
        <w:tabs>
          <w:tab w:val="left" w:pos="1440"/>
        </w:tabs>
        <w:spacing w:after="120"/>
        <w:ind w:left="648"/>
        <w:jc w:val="left"/>
      </w:pPr>
      <w:r w:rsidRPr="00257FF9">
        <w:t>Enter the total vehicle weight (GVW) as a right-justified, decimal value, in units of pounds. For example, the axle weight measured as 90,210 pounds could be entered as “_ 90210” or as “090210” (where “_” represents a blank space.) This value should equal the sum of all of the individual axle weights.</w:t>
      </w:r>
    </w:p>
    <w:p w14:paraId="420E9E85" w14:textId="77777777" w:rsidR="009B7AED" w:rsidRPr="00257FF9" w:rsidRDefault="009B7AED">
      <w:pPr>
        <w:numPr>
          <w:ilvl w:val="0"/>
          <w:numId w:val="98"/>
        </w:numPr>
        <w:spacing w:after="120"/>
        <w:ind w:left="648"/>
      </w:pPr>
      <w:r w:rsidRPr="00257FF9">
        <w:t xml:space="preserve">Weight 1 Left Wheel Path (Columns </w:t>
      </w:r>
      <w:r w:rsidRPr="00257FF9">
        <w:rPr>
          <w:rFonts w:eastAsiaTheme="minorEastAsia"/>
        </w:rPr>
        <w:t>55-59</w:t>
      </w:r>
      <w:r w:rsidRPr="00257FF9">
        <w:t xml:space="preserve">) – </w:t>
      </w:r>
      <w:r w:rsidRPr="00257FF9">
        <w:rPr>
          <w:i/>
          <w:iCs/>
        </w:rPr>
        <w:t>Required</w:t>
      </w:r>
    </w:p>
    <w:p w14:paraId="45E433ED" w14:textId="77777777" w:rsidR="009B7AED" w:rsidRPr="00257FF9" w:rsidRDefault="009B7AED" w:rsidP="004605FE">
      <w:pPr>
        <w:tabs>
          <w:tab w:val="left" w:pos="1440"/>
        </w:tabs>
        <w:spacing w:after="120"/>
        <w:ind w:left="648"/>
        <w:jc w:val="left"/>
      </w:pPr>
      <w:r w:rsidRPr="00257FF9">
        <w:t xml:space="preserve">Enter the left axle 1 weight as a right-justified value, in units of pounds. For example, the axle weight measured as 9,120 pounds could be entered as ”09120” or “_9120”. </w:t>
      </w:r>
      <w:bookmarkStart w:id="3234" w:name="_Hlk43197050"/>
      <w:r w:rsidRPr="00257FF9">
        <w:t>If no left weight measured leave the field empty.</w:t>
      </w:r>
    </w:p>
    <w:bookmarkEnd w:id="3234"/>
    <w:p w14:paraId="5EA8DC3E" w14:textId="77777777" w:rsidR="009B7AED" w:rsidRPr="00257FF9" w:rsidRDefault="009B7AED">
      <w:pPr>
        <w:numPr>
          <w:ilvl w:val="0"/>
          <w:numId w:val="98"/>
        </w:numPr>
        <w:spacing w:after="120"/>
        <w:ind w:left="648"/>
      </w:pPr>
      <w:r w:rsidRPr="00257FF9">
        <w:t xml:space="preserve">Weight 1 Right Wheel Path (Columns </w:t>
      </w:r>
      <w:r w:rsidRPr="00257FF9">
        <w:rPr>
          <w:rFonts w:eastAsiaTheme="minorEastAsia"/>
        </w:rPr>
        <w:t>60-64</w:t>
      </w:r>
      <w:r w:rsidRPr="00257FF9">
        <w:t xml:space="preserve">) – </w:t>
      </w:r>
      <w:r w:rsidRPr="00257FF9">
        <w:rPr>
          <w:i/>
          <w:iCs/>
        </w:rPr>
        <w:t>Required</w:t>
      </w:r>
    </w:p>
    <w:p w14:paraId="0F162BDD" w14:textId="77777777" w:rsidR="009B7AED" w:rsidRPr="00257FF9" w:rsidRDefault="009B7AED" w:rsidP="004605FE">
      <w:pPr>
        <w:tabs>
          <w:tab w:val="left" w:pos="1440"/>
        </w:tabs>
        <w:spacing w:after="120"/>
        <w:ind w:left="648"/>
        <w:jc w:val="left"/>
      </w:pPr>
      <w:r w:rsidRPr="00257FF9">
        <w:t>Enter the right axle 1 weight as a right-justified value, in units of pounds. If no right weight measured leave the field empty</w:t>
      </w:r>
    </w:p>
    <w:p w14:paraId="609D81FE" w14:textId="77777777" w:rsidR="009B7AED" w:rsidRPr="00257FF9" w:rsidRDefault="009B7AED">
      <w:pPr>
        <w:numPr>
          <w:ilvl w:val="0"/>
          <w:numId w:val="98"/>
        </w:numPr>
        <w:spacing w:after="120"/>
        <w:ind w:left="648"/>
      </w:pPr>
      <w:r w:rsidRPr="00257FF9">
        <w:t xml:space="preserve">Axle 1 to 2 Spacing (Columns 65-68) – </w:t>
      </w:r>
      <w:r w:rsidRPr="00257FF9">
        <w:rPr>
          <w:i/>
          <w:iCs/>
        </w:rPr>
        <w:t>Required</w:t>
      </w:r>
    </w:p>
    <w:p w14:paraId="1590DCC5" w14:textId="77777777" w:rsidR="009B7AED" w:rsidRPr="00257FF9" w:rsidRDefault="009B7AED" w:rsidP="004605FE">
      <w:pPr>
        <w:tabs>
          <w:tab w:val="left" w:pos="1440"/>
        </w:tabs>
        <w:spacing w:after="120"/>
        <w:ind w:left="648"/>
        <w:jc w:val="left"/>
      </w:pPr>
      <w:r w:rsidRPr="00257FF9">
        <w:t>Enter the total spacing between axles 1 and 2 as a right-justified value, in units of tenths of feet. All axle spacings are reported in tenths of a foot with an implied decimal between digits 3 and 4. For example, an axle spacing of 11.35 feet would be entered as ”0114.”</w:t>
      </w:r>
    </w:p>
    <w:p w14:paraId="71722FD4" w14:textId="77777777" w:rsidR="009B7AED" w:rsidRPr="00257FF9" w:rsidRDefault="009B7AED">
      <w:pPr>
        <w:numPr>
          <w:ilvl w:val="0"/>
          <w:numId w:val="98"/>
        </w:numPr>
        <w:spacing w:after="120"/>
        <w:ind w:left="648"/>
        <w:jc w:val="left"/>
      </w:pPr>
      <w:r w:rsidRPr="00257FF9">
        <w:t xml:space="preserve">Weight 2 Left Wheel Path (Columns 69-73) – </w:t>
      </w:r>
      <w:r w:rsidRPr="00257FF9">
        <w:rPr>
          <w:i/>
          <w:iCs/>
        </w:rPr>
        <w:t>Required</w:t>
      </w:r>
    </w:p>
    <w:p w14:paraId="44A1D60C" w14:textId="77777777" w:rsidR="009B7AED" w:rsidRPr="00257FF9" w:rsidRDefault="009B7AED" w:rsidP="004605FE">
      <w:pPr>
        <w:tabs>
          <w:tab w:val="left" w:pos="1440"/>
        </w:tabs>
        <w:spacing w:after="120"/>
        <w:ind w:left="648"/>
        <w:jc w:val="left"/>
      </w:pPr>
      <w:r w:rsidRPr="00257FF9">
        <w:t>Enter the left axle 2 weight as a right-justified value, in units of pounds.</w:t>
      </w:r>
    </w:p>
    <w:p w14:paraId="0F9D51EB" w14:textId="77777777" w:rsidR="009B7AED" w:rsidRPr="00257FF9" w:rsidRDefault="009B7AED">
      <w:pPr>
        <w:numPr>
          <w:ilvl w:val="0"/>
          <w:numId w:val="98"/>
        </w:numPr>
        <w:spacing w:after="120"/>
        <w:ind w:left="648"/>
        <w:jc w:val="left"/>
      </w:pPr>
      <w:r w:rsidRPr="00257FF9">
        <w:t xml:space="preserve">Weight 2 Right Wheel Path (Columns 74-78) – </w:t>
      </w:r>
      <w:r w:rsidRPr="00257FF9">
        <w:rPr>
          <w:i/>
          <w:iCs/>
        </w:rPr>
        <w:t>Required</w:t>
      </w:r>
    </w:p>
    <w:p w14:paraId="215C69C2" w14:textId="77777777" w:rsidR="009B7AED" w:rsidRPr="00257FF9" w:rsidRDefault="009B7AED" w:rsidP="004605FE">
      <w:pPr>
        <w:tabs>
          <w:tab w:val="left" w:pos="1440"/>
        </w:tabs>
        <w:spacing w:after="120"/>
        <w:ind w:left="648"/>
        <w:jc w:val="left"/>
      </w:pPr>
      <w:r w:rsidRPr="00257FF9">
        <w:t>Enter the right axle 2 weight as a right-justified value, in units of pounds.</w:t>
      </w:r>
    </w:p>
    <w:p w14:paraId="7151F298" w14:textId="77777777" w:rsidR="009B7AED" w:rsidRPr="00257FF9" w:rsidRDefault="009B7AED">
      <w:pPr>
        <w:numPr>
          <w:ilvl w:val="0"/>
          <w:numId w:val="98"/>
        </w:numPr>
        <w:spacing w:after="120"/>
        <w:ind w:left="648"/>
        <w:jc w:val="left"/>
      </w:pPr>
      <w:r w:rsidRPr="00257FF9">
        <w:t xml:space="preserve">Axle 2 to 3 Spacing (Columns 79-82) – </w:t>
      </w:r>
      <w:r w:rsidRPr="00257FF9">
        <w:rPr>
          <w:i/>
          <w:iCs/>
        </w:rPr>
        <w:t>Required/Optional</w:t>
      </w:r>
    </w:p>
    <w:p w14:paraId="6FD4971E" w14:textId="77777777" w:rsidR="009B7AED" w:rsidRPr="00257FF9" w:rsidRDefault="009B7AED" w:rsidP="004605FE">
      <w:pPr>
        <w:tabs>
          <w:tab w:val="left" w:pos="1440"/>
        </w:tabs>
        <w:spacing w:after="120"/>
        <w:ind w:left="648"/>
        <w:jc w:val="left"/>
      </w:pPr>
      <w:r w:rsidRPr="00257FF9">
        <w:t>Enter the total spacing between axles 2 and 3 as a right-justified value, in units of tenths of feet.</w:t>
      </w:r>
    </w:p>
    <w:p w14:paraId="49B65B4D" w14:textId="27FA616C" w:rsidR="009B7AED" w:rsidRPr="00257FF9" w:rsidRDefault="009B7AED">
      <w:pPr>
        <w:numPr>
          <w:ilvl w:val="0"/>
          <w:numId w:val="98"/>
        </w:numPr>
        <w:spacing w:after="120"/>
        <w:ind w:left="648"/>
        <w:jc w:val="left"/>
      </w:pPr>
      <w:r w:rsidRPr="00257FF9">
        <w:t xml:space="preserve">Weight 3 Left Wheel Path (Columns 83-87) </w:t>
      </w:r>
      <w:r w:rsidR="00080D0D">
        <w:t>–</w:t>
      </w:r>
      <w:r w:rsidRPr="00257FF9">
        <w:t xml:space="preserve"> </w:t>
      </w:r>
      <w:r w:rsidRPr="00257FF9">
        <w:rPr>
          <w:i/>
          <w:iCs/>
        </w:rPr>
        <w:t>Required/Optional</w:t>
      </w:r>
    </w:p>
    <w:p w14:paraId="73D9671F" w14:textId="77777777" w:rsidR="009B7AED" w:rsidRPr="00257FF9" w:rsidRDefault="009B7AED" w:rsidP="004605FE">
      <w:pPr>
        <w:tabs>
          <w:tab w:val="left" w:pos="1440"/>
        </w:tabs>
        <w:spacing w:after="120"/>
        <w:ind w:left="648"/>
        <w:jc w:val="left"/>
      </w:pPr>
      <w:r w:rsidRPr="00257FF9">
        <w:t>Enter the left axle 3 weight as a right-justified value, in units of pounds.</w:t>
      </w:r>
    </w:p>
    <w:p w14:paraId="7655FB68" w14:textId="77777777" w:rsidR="009B7AED" w:rsidRPr="00257FF9" w:rsidRDefault="009B7AED">
      <w:pPr>
        <w:numPr>
          <w:ilvl w:val="0"/>
          <w:numId w:val="98"/>
        </w:numPr>
        <w:spacing w:after="120"/>
        <w:ind w:left="648"/>
        <w:jc w:val="left"/>
      </w:pPr>
      <w:r w:rsidRPr="00257FF9">
        <w:t xml:space="preserve">Weight 3 Right Wheel Path (Columns 88-92) – </w:t>
      </w:r>
      <w:r w:rsidRPr="00257FF9">
        <w:rPr>
          <w:i/>
          <w:iCs/>
        </w:rPr>
        <w:t>Required/Optional</w:t>
      </w:r>
    </w:p>
    <w:p w14:paraId="5B9ABB64" w14:textId="468491D2" w:rsidR="00136762" w:rsidRDefault="009B7AED" w:rsidP="004605FE">
      <w:pPr>
        <w:tabs>
          <w:tab w:val="left" w:pos="1440"/>
        </w:tabs>
        <w:spacing w:after="120"/>
        <w:ind w:left="648"/>
        <w:jc w:val="left"/>
      </w:pPr>
      <w:r w:rsidRPr="00257FF9">
        <w:t>Enter the right axle 3 weight as a right-justified, decimal value, in units of pounds.</w:t>
      </w:r>
    </w:p>
    <w:p w14:paraId="66DAF1B7" w14:textId="77777777" w:rsidR="00136762" w:rsidRDefault="00136762">
      <w:pPr>
        <w:widowControl/>
        <w:suppressAutoHyphens w:val="0"/>
        <w:autoSpaceDE/>
        <w:autoSpaceDN/>
        <w:adjustRightInd/>
        <w:spacing w:after="160" w:line="259" w:lineRule="auto"/>
        <w:jc w:val="left"/>
        <w:textAlignment w:val="auto"/>
      </w:pPr>
      <w:r>
        <w:br w:type="page"/>
      </w:r>
    </w:p>
    <w:p w14:paraId="5A13D9D9" w14:textId="77777777" w:rsidR="009B7AED" w:rsidRPr="00257FF9" w:rsidRDefault="009B7AED">
      <w:pPr>
        <w:numPr>
          <w:ilvl w:val="0"/>
          <w:numId w:val="98"/>
        </w:numPr>
        <w:spacing w:after="120"/>
        <w:ind w:left="648"/>
        <w:jc w:val="left"/>
      </w:pPr>
      <w:r w:rsidRPr="00257FF9">
        <w:lastRenderedPageBreak/>
        <w:t xml:space="preserve">Axle 3 to 4 Spacing (Columns 93-96) – </w:t>
      </w:r>
      <w:r w:rsidRPr="00257FF9">
        <w:rPr>
          <w:i/>
          <w:iCs/>
        </w:rPr>
        <w:t>Required/Optional</w:t>
      </w:r>
    </w:p>
    <w:p w14:paraId="46993099" w14:textId="77777777" w:rsidR="009B7AED" w:rsidRPr="00257FF9" w:rsidRDefault="009B7AED" w:rsidP="004605FE">
      <w:pPr>
        <w:tabs>
          <w:tab w:val="left" w:pos="1440"/>
        </w:tabs>
        <w:spacing w:after="120"/>
        <w:ind w:left="648"/>
        <w:jc w:val="left"/>
      </w:pPr>
      <w:r w:rsidRPr="00257FF9">
        <w:t>Enter the total spacing between axles 3 and 4 as a right-justified value, in units of tenths of feet.</w:t>
      </w:r>
    </w:p>
    <w:p w14:paraId="7DEA4475" w14:textId="77777777" w:rsidR="009B7AED" w:rsidRPr="00257FF9" w:rsidRDefault="009B7AED">
      <w:pPr>
        <w:numPr>
          <w:ilvl w:val="0"/>
          <w:numId w:val="98"/>
        </w:numPr>
        <w:spacing w:after="120"/>
        <w:ind w:left="648"/>
        <w:jc w:val="left"/>
      </w:pPr>
      <w:r w:rsidRPr="00257FF9">
        <w:t xml:space="preserve">Weight 4 Left Wheel Path (Columns 97-101) – </w:t>
      </w:r>
      <w:r w:rsidRPr="00257FF9">
        <w:rPr>
          <w:i/>
          <w:iCs/>
        </w:rPr>
        <w:t>Required/Optional</w:t>
      </w:r>
    </w:p>
    <w:p w14:paraId="1F512568" w14:textId="77777777" w:rsidR="009B7AED" w:rsidRPr="00257FF9" w:rsidRDefault="009B7AED" w:rsidP="004605FE">
      <w:pPr>
        <w:tabs>
          <w:tab w:val="left" w:pos="1440"/>
        </w:tabs>
        <w:spacing w:after="120"/>
        <w:ind w:left="648"/>
        <w:jc w:val="left"/>
      </w:pPr>
      <w:r w:rsidRPr="00257FF9">
        <w:t>Enter the left axle 4 weight as a right-justified value, in units of pounds.</w:t>
      </w:r>
    </w:p>
    <w:p w14:paraId="0714C5A6" w14:textId="77777777" w:rsidR="009B7AED" w:rsidRPr="00257FF9" w:rsidRDefault="009B7AED">
      <w:pPr>
        <w:numPr>
          <w:ilvl w:val="0"/>
          <w:numId w:val="98"/>
        </w:numPr>
        <w:spacing w:after="120"/>
        <w:ind w:left="648"/>
        <w:jc w:val="left"/>
      </w:pPr>
      <w:r w:rsidRPr="00257FF9">
        <w:t xml:space="preserve">Weight 4 Right Wheel Path (Columns 102-106) – </w:t>
      </w:r>
      <w:r w:rsidRPr="00257FF9">
        <w:rPr>
          <w:i/>
          <w:iCs/>
        </w:rPr>
        <w:t>Required/Optional</w:t>
      </w:r>
    </w:p>
    <w:p w14:paraId="42EF33FE" w14:textId="77777777" w:rsidR="009B7AED" w:rsidRPr="00257FF9" w:rsidRDefault="009B7AED" w:rsidP="004605FE">
      <w:pPr>
        <w:tabs>
          <w:tab w:val="left" w:pos="1440"/>
        </w:tabs>
        <w:spacing w:after="120"/>
        <w:ind w:left="648"/>
        <w:jc w:val="left"/>
      </w:pPr>
      <w:r w:rsidRPr="00257FF9">
        <w:t>Enter the right axle 4 weight as a right-justified value, in units of pounds.</w:t>
      </w:r>
    </w:p>
    <w:p w14:paraId="6DAA6413" w14:textId="77777777" w:rsidR="009B7AED" w:rsidRPr="00257FF9" w:rsidRDefault="009B7AED">
      <w:pPr>
        <w:numPr>
          <w:ilvl w:val="0"/>
          <w:numId w:val="98"/>
        </w:numPr>
        <w:spacing w:after="120"/>
        <w:ind w:left="648"/>
        <w:jc w:val="left"/>
      </w:pPr>
      <w:r w:rsidRPr="00257FF9">
        <w:t xml:space="preserve">Axle 4 to 5 Spacing (Columns 107-110) – </w:t>
      </w:r>
      <w:r w:rsidRPr="00257FF9">
        <w:rPr>
          <w:i/>
          <w:iCs/>
        </w:rPr>
        <w:t>Required/Optional</w:t>
      </w:r>
    </w:p>
    <w:p w14:paraId="3CCE0DB6" w14:textId="77777777" w:rsidR="009B7AED" w:rsidRPr="00257FF9" w:rsidRDefault="009B7AED" w:rsidP="004605FE">
      <w:pPr>
        <w:tabs>
          <w:tab w:val="left" w:pos="1440"/>
        </w:tabs>
        <w:spacing w:after="120"/>
        <w:ind w:left="648"/>
        <w:jc w:val="left"/>
      </w:pPr>
      <w:r w:rsidRPr="00257FF9">
        <w:t>Enter the total spacing between axles 4 and 5 as a right-justified value, in units of tenths of feet.</w:t>
      </w:r>
    </w:p>
    <w:p w14:paraId="47F0CCAB" w14:textId="77777777" w:rsidR="009B7AED" w:rsidRPr="00257FF9" w:rsidRDefault="009B7AED">
      <w:pPr>
        <w:numPr>
          <w:ilvl w:val="0"/>
          <w:numId w:val="98"/>
        </w:numPr>
        <w:spacing w:after="120"/>
        <w:ind w:left="648"/>
        <w:jc w:val="left"/>
      </w:pPr>
      <w:r w:rsidRPr="00257FF9">
        <w:t xml:space="preserve">Weight 5 Left Wheel Path (Columns 111-115) – </w:t>
      </w:r>
      <w:r w:rsidRPr="00257FF9">
        <w:rPr>
          <w:i/>
          <w:iCs/>
        </w:rPr>
        <w:t>Required/Optional</w:t>
      </w:r>
    </w:p>
    <w:p w14:paraId="7BE895E2" w14:textId="77777777" w:rsidR="009B7AED" w:rsidRPr="00257FF9" w:rsidRDefault="009B7AED" w:rsidP="004605FE">
      <w:pPr>
        <w:tabs>
          <w:tab w:val="left" w:pos="1440"/>
        </w:tabs>
        <w:spacing w:after="120"/>
        <w:ind w:left="648"/>
        <w:jc w:val="left"/>
      </w:pPr>
      <w:r w:rsidRPr="00257FF9">
        <w:t>Enter the left axle 5 weight as a right-justified value, in units of pounds.</w:t>
      </w:r>
    </w:p>
    <w:p w14:paraId="24CAF02C" w14:textId="77777777" w:rsidR="009B7AED" w:rsidRPr="00257FF9" w:rsidRDefault="009B7AED">
      <w:pPr>
        <w:numPr>
          <w:ilvl w:val="0"/>
          <w:numId w:val="98"/>
        </w:numPr>
        <w:spacing w:after="120"/>
        <w:ind w:left="648"/>
        <w:jc w:val="left"/>
      </w:pPr>
      <w:r w:rsidRPr="00257FF9">
        <w:t xml:space="preserve">Weight 5 Right Wheel Path (Columns 116-120) – </w:t>
      </w:r>
      <w:r w:rsidRPr="00257FF9">
        <w:rPr>
          <w:i/>
          <w:iCs/>
        </w:rPr>
        <w:t>Required/Optional</w:t>
      </w:r>
    </w:p>
    <w:p w14:paraId="186C7F36" w14:textId="77777777" w:rsidR="009B7AED" w:rsidRPr="00257FF9" w:rsidRDefault="009B7AED" w:rsidP="004605FE">
      <w:pPr>
        <w:tabs>
          <w:tab w:val="left" w:pos="1440"/>
        </w:tabs>
        <w:spacing w:after="120"/>
        <w:ind w:left="648"/>
        <w:jc w:val="left"/>
      </w:pPr>
      <w:r w:rsidRPr="00257FF9">
        <w:t>Enter the right axle 5 weight as a right-justified value, in units of pounds.</w:t>
      </w:r>
    </w:p>
    <w:p w14:paraId="1558E913" w14:textId="77777777" w:rsidR="009B7AED" w:rsidRPr="00257FF9" w:rsidRDefault="009B7AED">
      <w:pPr>
        <w:numPr>
          <w:ilvl w:val="0"/>
          <w:numId w:val="98"/>
        </w:numPr>
        <w:spacing w:after="120"/>
        <w:ind w:left="648"/>
        <w:jc w:val="left"/>
      </w:pPr>
      <w:r w:rsidRPr="00257FF9">
        <w:t>Axle 5 to 6 Spacing (Columns 121-124)</w:t>
      </w:r>
      <w:r w:rsidRPr="00257FF9">
        <w:rPr>
          <w:i/>
          <w:iCs/>
        </w:rPr>
        <w:t xml:space="preserve"> – Required/Optional</w:t>
      </w:r>
    </w:p>
    <w:p w14:paraId="0EF2490F" w14:textId="77777777" w:rsidR="009B7AED" w:rsidRPr="00257FF9" w:rsidRDefault="009B7AED" w:rsidP="004605FE">
      <w:pPr>
        <w:tabs>
          <w:tab w:val="left" w:pos="1440"/>
        </w:tabs>
        <w:spacing w:after="120"/>
        <w:ind w:left="648"/>
        <w:jc w:val="left"/>
      </w:pPr>
      <w:r w:rsidRPr="00257FF9">
        <w:t>Enter the total spacing between axles 5 and 6 as a right-justified value, in units of tenths of feet.</w:t>
      </w:r>
    </w:p>
    <w:p w14:paraId="7FE97F0A" w14:textId="77777777" w:rsidR="009B7AED" w:rsidRPr="00257FF9" w:rsidRDefault="009B7AED">
      <w:pPr>
        <w:numPr>
          <w:ilvl w:val="0"/>
          <w:numId w:val="98"/>
        </w:numPr>
        <w:spacing w:after="120"/>
        <w:ind w:left="648"/>
        <w:jc w:val="left"/>
      </w:pPr>
      <w:r w:rsidRPr="00257FF9">
        <w:t xml:space="preserve">Weight 6 Left Wheel Path (Columns 125-129) </w:t>
      </w:r>
      <w:r w:rsidRPr="00257FF9">
        <w:rPr>
          <w:i/>
          <w:iCs/>
        </w:rPr>
        <w:t>– Required/Optional</w:t>
      </w:r>
    </w:p>
    <w:p w14:paraId="3BBBA47C" w14:textId="77777777" w:rsidR="009B7AED" w:rsidRPr="00257FF9" w:rsidRDefault="009B7AED" w:rsidP="004605FE">
      <w:pPr>
        <w:tabs>
          <w:tab w:val="left" w:pos="1440"/>
        </w:tabs>
        <w:spacing w:after="120"/>
        <w:ind w:left="648"/>
        <w:jc w:val="left"/>
      </w:pPr>
      <w:r w:rsidRPr="00257FF9">
        <w:t>Enter the left axle 6 weight as a right-justified value, in units of pounds.</w:t>
      </w:r>
    </w:p>
    <w:p w14:paraId="28A1FAA5" w14:textId="77777777" w:rsidR="009B7AED" w:rsidRPr="00257FF9" w:rsidRDefault="009B7AED">
      <w:pPr>
        <w:numPr>
          <w:ilvl w:val="0"/>
          <w:numId w:val="98"/>
        </w:numPr>
        <w:spacing w:after="120"/>
        <w:ind w:left="648"/>
        <w:jc w:val="left"/>
      </w:pPr>
      <w:r w:rsidRPr="00257FF9">
        <w:t xml:space="preserve">Weight 6 Right Wheel Path (Columns 130-134) – </w:t>
      </w:r>
      <w:r w:rsidRPr="00257FF9">
        <w:rPr>
          <w:i/>
          <w:iCs/>
        </w:rPr>
        <w:t>Required/Optional</w:t>
      </w:r>
    </w:p>
    <w:p w14:paraId="69195E5C" w14:textId="77777777" w:rsidR="009B7AED" w:rsidRPr="00257FF9" w:rsidRDefault="009B7AED" w:rsidP="004605FE">
      <w:pPr>
        <w:tabs>
          <w:tab w:val="left" w:pos="1440"/>
        </w:tabs>
        <w:spacing w:after="120"/>
        <w:ind w:left="648"/>
        <w:jc w:val="left"/>
      </w:pPr>
      <w:r w:rsidRPr="00257FF9">
        <w:t>Enter the right axle 6 weight as a right-justified value, in units of pounds.</w:t>
      </w:r>
    </w:p>
    <w:p w14:paraId="0D45E823" w14:textId="77777777" w:rsidR="009B7AED" w:rsidRPr="00257FF9" w:rsidRDefault="009B7AED">
      <w:pPr>
        <w:numPr>
          <w:ilvl w:val="0"/>
          <w:numId w:val="98"/>
        </w:numPr>
        <w:spacing w:after="120"/>
        <w:ind w:left="648"/>
        <w:jc w:val="left"/>
      </w:pPr>
      <w:r w:rsidRPr="00257FF9">
        <w:t>Axle 6 to 7 Spacing (Columns 135-138)</w:t>
      </w:r>
      <w:r w:rsidRPr="00257FF9">
        <w:rPr>
          <w:i/>
          <w:iCs/>
        </w:rPr>
        <w:t xml:space="preserve"> – Required/Optional</w:t>
      </w:r>
    </w:p>
    <w:p w14:paraId="4DE72BBB" w14:textId="77777777" w:rsidR="009B7AED" w:rsidRPr="00257FF9" w:rsidRDefault="009B7AED" w:rsidP="004605FE">
      <w:pPr>
        <w:tabs>
          <w:tab w:val="left" w:pos="1440"/>
        </w:tabs>
        <w:spacing w:after="120"/>
        <w:ind w:left="648"/>
        <w:jc w:val="left"/>
      </w:pPr>
      <w:r w:rsidRPr="00257FF9">
        <w:t>Enter the total spacing between axles 6 and 7 as a right-justified value, in units of tenths of feet.</w:t>
      </w:r>
    </w:p>
    <w:p w14:paraId="3885746F" w14:textId="77777777" w:rsidR="009B7AED" w:rsidRPr="00257FF9" w:rsidRDefault="009B7AED">
      <w:pPr>
        <w:numPr>
          <w:ilvl w:val="0"/>
          <w:numId w:val="98"/>
        </w:numPr>
        <w:spacing w:after="120"/>
        <w:ind w:left="648"/>
        <w:jc w:val="left"/>
      </w:pPr>
      <w:r w:rsidRPr="00257FF9">
        <w:t xml:space="preserve">Weight 7 Left Wheel Path (Columns 139-143) </w:t>
      </w:r>
      <w:r w:rsidRPr="00257FF9">
        <w:rPr>
          <w:i/>
          <w:iCs/>
        </w:rPr>
        <w:t>– Required/Optional</w:t>
      </w:r>
    </w:p>
    <w:p w14:paraId="72D09572" w14:textId="77777777" w:rsidR="009B7AED" w:rsidRPr="00257FF9" w:rsidRDefault="009B7AED" w:rsidP="004605FE">
      <w:pPr>
        <w:tabs>
          <w:tab w:val="left" w:pos="1440"/>
        </w:tabs>
        <w:spacing w:after="120"/>
        <w:ind w:left="648"/>
        <w:jc w:val="left"/>
      </w:pPr>
      <w:r w:rsidRPr="00257FF9">
        <w:t>Enter the left axle 7 weight as a right-justified value, in units of pounds.</w:t>
      </w:r>
    </w:p>
    <w:p w14:paraId="47022F6C" w14:textId="77777777" w:rsidR="009B7AED" w:rsidRPr="00257FF9" w:rsidRDefault="009B7AED">
      <w:pPr>
        <w:numPr>
          <w:ilvl w:val="0"/>
          <w:numId w:val="98"/>
        </w:numPr>
        <w:spacing w:after="120"/>
        <w:ind w:left="648"/>
        <w:jc w:val="left"/>
      </w:pPr>
      <w:r w:rsidRPr="00257FF9">
        <w:t xml:space="preserve">Weight 7 Right Wheel Path (Columns 144-148) </w:t>
      </w:r>
      <w:r w:rsidRPr="00257FF9">
        <w:rPr>
          <w:i/>
          <w:iCs/>
        </w:rPr>
        <w:t>– Required/Optional</w:t>
      </w:r>
    </w:p>
    <w:p w14:paraId="39E22990" w14:textId="77777777" w:rsidR="009B7AED" w:rsidRPr="00257FF9" w:rsidRDefault="009B7AED" w:rsidP="004605FE">
      <w:pPr>
        <w:tabs>
          <w:tab w:val="left" w:pos="1440"/>
        </w:tabs>
        <w:spacing w:after="120"/>
        <w:ind w:left="648"/>
        <w:jc w:val="left"/>
      </w:pPr>
      <w:r w:rsidRPr="00257FF9">
        <w:t>Enter the right axle 7 weight as a right-justified value, in units of pounds.</w:t>
      </w:r>
    </w:p>
    <w:p w14:paraId="34613F4C" w14:textId="77777777" w:rsidR="009B7AED" w:rsidRPr="00257FF9" w:rsidRDefault="009B7AED">
      <w:pPr>
        <w:numPr>
          <w:ilvl w:val="0"/>
          <w:numId w:val="98"/>
        </w:numPr>
        <w:spacing w:after="120"/>
        <w:ind w:left="648"/>
        <w:jc w:val="left"/>
      </w:pPr>
      <w:r w:rsidRPr="00257FF9">
        <w:t>Axle 7 to 8 Spacing (Columns 149-152)</w:t>
      </w:r>
      <w:r w:rsidRPr="00257FF9">
        <w:rPr>
          <w:i/>
          <w:iCs/>
        </w:rPr>
        <w:t xml:space="preserve"> – Required/Optional</w:t>
      </w:r>
    </w:p>
    <w:p w14:paraId="11C6131D" w14:textId="77777777" w:rsidR="009B7AED" w:rsidRPr="00257FF9" w:rsidRDefault="009B7AED" w:rsidP="004605FE">
      <w:pPr>
        <w:tabs>
          <w:tab w:val="left" w:pos="1440"/>
        </w:tabs>
        <w:spacing w:after="120"/>
        <w:ind w:left="648"/>
        <w:jc w:val="left"/>
      </w:pPr>
      <w:r w:rsidRPr="00257FF9">
        <w:t>Enter the total spacing between axles 7 and 8 as a right-justified value, in units of tenths of feet.</w:t>
      </w:r>
    </w:p>
    <w:p w14:paraId="76D80477" w14:textId="77777777" w:rsidR="009B7AED" w:rsidRPr="00257FF9" w:rsidRDefault="009B7AED">
      <w:pPr>
        <w:numPr>
          <w:ilvl w:val="0"/>
          <w:numId w:val="98"/>
        </w:numPr>
        <w:spacing w:after="120"/>
        <w:ind w:left="648"/>
        <w:jc w:val="left"/>
      </w:pPr>
      <w:r w:rsidRPr="00257FF9">
        <w:t>Weight 8 Left Wheel Path (Columns 153-157)</w:t>
      </w:r>
      <w:r w:rsidRPr="00257FF9">
        <w:rPr>
          <w:i/>
          <w:iCs/>
        </w:rPr>
        <w:t xml:space="preserve"> – Required/Optional</w:t>
      </w:r>
    </w:p>
    <w:p w14:paraId="58304DA1" w14:textId="77777777" w:rsidR="009B7AED" w:rsidRPr="00257FF9" w:rsidRDefault="009B7AED" w:rsidP="004605FE">
      <w:pPr>
        <w:tabs>
          <w:tab w:val="left" w:pos="1440"/>
        </w:tabs>
        <w:spacing w:after="120"/>
        <w:ind w:left="648"/>
        <w:jc w:val="left"/>
      </w:pPr>
      <w:r w:rsidRPr="00257FF9">
        <w:t>Enter the left axle 8 weight as a right-justified value, in units of pounds.</w:t>
      </w:r>
    </w:p>
    <w:p w14:paraId="501EF1D4" w14:textId="77777777" w:rsidR="009B7AED" w:rsidRPr="00257FF9" w:rsidRDefault="009B7AED">
      <w:pPr>
        <w:numPr>
          <w:ilvl w:val="0"/>
          <w:numId w:val="98"/>
        </w:numPr>
        <w:spacing w:after="120"/>
        <w:ind w:left="648"/>
        <w:jc w:val="left"/>
      </w:pPr>
      <w:r w:rsidRPr="00257FF9">
        <w:t>Weight 8 Right Wheel Path (Columns 158-162)</w:t>
      </w:r>
      <w:r w:rsidRPr="00257FF9">
        <w:rPr>
          <w:i/>
          <w:iCs/>
        </w:rPr>
        <w:t xml:space="preserve"> – Required/Optional</w:t>
      </w:r>
    </w:p>
    <w:p w14:paraId="4E3031C6" w14:textId="77777777" w:rsidR="009B7AED" w:rsidRPr="00257FF9" w:rsidRDefault="009B7AED" w:rsidP="004605FE">
      <w:pPr>
        <w:tabs>
          <w:tab w:val="left" w:pos="1440"/>
        </w:tabs>
        <w:spacing w:after="120"/>
        <w:ind w:left="648"/>
        <w:jc w:val="left"/>
      </w:pPr>
      <w:r w:rsidRPr="00257FF9">
        <w:t>Enter the right axle 8 weight as a right-justified value, in units of pounds.</w:t>
      </w:r>
    </w:p>
    <w:p w14:paraId="29F25804" w14:textId="77777777" w:rsidR="009B7AED" w:rsidRPr="00257FF9" w:rsidRDefault="009B7AED">
      <w:pPr>
        <w:numPr>
          <w:ilvl w:val="0"/>
          <w:numId w:val="98"/>
        </w:numPr>
        <w:spacing w:after="120"/>
        <w:ind w:left="648"/>
        <w:jc w:val="left"/>
      </w:pPr>
      <w:r w:rsidRPr="00257FF9">
        <w:t>Axle 8 to 9 Spacing (Columns 163-166)</w:t>
      </w:r>
      <w:r w:rsidRPr="00257FF9">
        <w:rPr>
          <w:i/>
          <w:iCs/>
        </w:rPr>
        <w:t xml:space="preserve"> – Required/Optional</w:t>
      </w:r>
    </w:p>
    <w:p w14:paraId="5127582F" w14:textId="77777777" w:rsidR="009B7AED" w:rsidRPr="00257FF9" w:rsidRDefault="009B7AED" w:rsidP="004605FE">
      <w:pPr>
        <w:tabs>
          <w:tab w:val="left" w:pos="1440"/>
        </w:tabs>
        <w:spacing w:after="120"/>
        <w:ind w:left="648"/>
        <w:jc w:val="left"/>
      </w:pPr>
      <w:r w:rsidRPr="00257FF9">
        <w:t>Enter the total spacing between axles 8 and 9 as a right-justified value, in units of tenths of feet.</w:t>
      </w:r>
    </w:p>
    <w:p w14:paraId="6D6EEEE5" w14:textId="77777777" w:rsidR="009B7AED" w:rsidRPr="00257FF9" w:rsidRDefault="009B7AED">
      <w:pPr>
        <w:numPr>
          <w:ilvl w:val="0"/>
          <w:numId w:val="98"/>
        </w:numPr>
        <w:spacing w:after="120"/>
        <w:ind w:left="648"/>
        <w:jc w:val="left"/>
      </w:pPr>
      <w:r w:rsidRPr="00257FF9">
        <w:t>Weight 9 Left Wheel Path (Columns 167-171)</w:t>
      </w:r>
      <w:r w:rsidRPr="00257FF9">
        <w:rPr>
          <w:i/>
          <w:iCs/>
        </w:rPr>
        <w:t xml:space="preserve"> – Required/Optional</w:t>
      </w:r>
    </w:p>
    <w:p w14:paraId="53CFAFA4" w14:textId="77777777" w:rsidR="009B7AED" w:rsidRPr="00257FF9" w:rsidRDefault="009B7AED" w:rsidP="004605FE">
      <w:pPr>
        <w:tabs>
          <w:tab w:val="left" w:pos="1440"/>
        </w:tabs>
        <w:spacing w:after="120"/>
        <w:ind w:left="648"/>
        <w:jc w:val="left"/>
      </w:pPr>
      <w:r w:rsidRPr="00257FF9">
        <w:t>Enter the left axle 9 weight as a right-justified value, in units of pounds.</w:t>
      </w:r>
    </w:p>
    <w:p w14:paraId="61920882" w14:textId="77777777" w:rsidR="009B7AED" w:rsidRPr="00257FF9" w:rsidRDefault="009B7AED">
      <w:pPr>
        <w:numPr>
          <w:ilvl w:val="0"/>
          <w:numId w:val="98"/>
        </w:numPr>
        <w:spacing w:after="120"/>
        <w:ind w:left="648"/>
        <w:jc w:val="left"/>
      </w:pPr>
      <w:r w:rsidRPr="00257FF9">
        <w:t xml:space="preserve">Weight 9 Right Wheel Path (Columns 172-176) </w:t>
      </w:r>
      <w:r w:rsidRPr="00257FF9">
        <w:rPr>
          <w:i/>
          <w:iCs/>
        </w:rPr>
        <w:t>– Required/Optional</w:t>
      </w:r>
    </w:p>
    <w:p w14:paraId="3A5D4C94" w14:textId="77777777" w:rsidR="009B7AED" w:rsidRPr="00257FF9" w:rsidRDefault="009B7AED" w:rsidP="004605FE">
      <w:pPr>
        <w:tabs>
          <w:tab w:val="left" w:pos="1440"/>
        </w:tabs>
        <w:spacing w:after="120"/>
        <w:ind w:left="648"/>
        <w:jc w:val="left"/>
      </w:pPr>
      <w:r w:rsidRPr="00257FF9">
        <w:t>Enter the right axle 9 weight as a right-justified value, in units of pounds.</w:t>
      </w:r>
    </w:p>
    <w:p w14:paraId="284F8C14" w14:textId="77777777" w:rsidR="009B7AED" w:rsidRPr="00257FF9" w:rsidRDefault="009B7AED">
      <w:pPr>
        <w:numPr>
          <w:ilvl w:val="0"/>
          <w:numId w:val="98"/>
        </w:numPr>
        <w:spacing w:after="120"/>
        <w:ind w:left="648"/>
        <w:jc w:val="left"/>
      </w:pPr>
      <w:r w:rsidRPr="00257FF9">
        <w:lastRenderedPageBreak/>
        <w:t>Axle 9 to 10 Spacing (Columns 177-180)</w:t>
      </w:r>
      <w:r w:rsidRPr="00257FF9">
        <w:rPr>
          <w:i/>
          <w:iCs/>
        </w:rPr>
        <w:t xml:space="preserve"> – Required/Optional</w:t>
      </w:r>
    </w:p>
    <w:p w14:paraId="0EBDAB98" w14:textId="77777777" w:rsidR="009B7AED" w:rsidRPr="00257FF9" w:rsidRDefault="009B7AED" w:rsidP="004605FE">
      <w:pPr>
        <w:tabs>
          <w:tab w:val="left" w:pos="1440"/>
        </w:tabs>
        <w:spacing w:after="120"/>
        <w:ind w:left="648"/>
        <w:jc w:val="left"/>
      </w:pPr>
      <w:r w:rsidRPr="00257FF9">
        <w:t>Enter the total spacing between axles 9 and 10 as a right-justified value, in units of tenths of feet.</w:t>
      </w:r>
    </w:p>
    <w:p w14:paraId="1D6C8EE8" w14:textId="77777777" w:rsidR="009B7AED" w:rsidRPr="00257FF9" w:rsidRDefault="009B7AED">
      <w:pPr>
        <w:numPr>
          <w:ilvl w:val="0"/>
          <w:numId w:val="98"/>
        </w:numPr>
        <w:spacing w:after="120"/>
        <w:ind w:left="648"/>
        <w:jc w:val="left"/>
      </w:pPr>
      <w:r w:rsidRPr="00257FF9">
        <w:t>Weight 10 Left Wheel Path (Columns 181-185)</w:t>
      </w:r>
      <w:r w:rsidRPr="00257FF9">
        <w:rPr>
          <w:i/>
          <w:iCs/>
        </w:rPr>
        <w:t xml:space="preserve"> – Required/Optional</w:t>
      </w:r>
    </w:p>
    <w:p w14:paraId="68B325F5" w14:textId="77777777" w:rsidR="009B7AED" w:rsidRPr="00257FF9" w:rsidRDefault="009B7AED" w:rsidP="004605FE">
      <w:pPr>
        <w:tabs>
          <w:tab w:val="left" w:pos="1440"/>
        </w:tabs>
        <w:spacing w:after="120"/>
        <w:ind w:left="648"/>
        <w:jc w:val="left"/>
      </w:pPr>
      <w:r w:rsidRPr="00257FF9">
        <w:t>Enter the left axle 10 weight as a right-justified value, in units of pounds.</w:t>
      </w:r>
    </w:p>
    <w:p w14:paraId="3BC41360" w14:textId="77777777" w:rsidR="009B7AED" w:rsidRPr="00257FF9" w:rsidRDefault="009B7AED">
      <w:pPr>
        <w:numPr>
          <w:ilvl w:val="0"/>
          <w:numId w:val="98"/>
        </w:numPr>
        <w:spacing w:after="120"/>
        <w:ind w:left="648"/>
        <w:jc w:val="left"/>
      </w:pPr>
      <w:r w:rsidRPr="00257FF9">
        <w:t xml:space="preserve">Weight 10 Right Wheel Path (Columns 186-190) </w:t>
      </w:r>
      <w:r w:rsidRPr="00257FF9">
        <w:rPr>
          <w:i/>
          <w:iCs/>
        </w:rPr>
        <w:t>– Required/Optional</w:t>
      </w:r>
    </w:p>
    <w:p w14:paraId="6C282EE0" w14:textId="77777777" w:rsidR="009B7AED" w:rsidRPr="00257FF9" w:rsidRDefault="009B7AED" w:rsidP="004605FE">
      <w:pPr>
        <w:tabs>
          <w:tab w:val="left" w:pos="1440"/>
        </w:tabs>
        <w:spacing w:after="120"/>
        <w:ind w:left="648"/>
        <w:jc w:val="left"/>
      </w:pPr>
      <w:r w:rsidRPr="00257FF9">
        <w:t>Enter the right axle 10 weight as a right-justified value, in units of pounds.</w:t>
      </w:r>
    </w:p>
    <w:p w14:paraId="5C9B41E2" w14:textId="77777777" w:rsidR="009B7AED" w:rsidRPr="00257FF9" w:rsidRDefault="009B7AED">
      <w:pPr>
        <w:numPr>
          <w:ilvl w:val="0"/>
          <w:numId w:val="98"/>
        </w:numPr>
        <w:spacing w:after="120"/>
        <w:ind w:left="648"/>
        <w:jc w:val="left"/>
      </w:pPr>
      <w:r w:rsidRPr="00257FF9">
        <w:t>Axle 10 to 11 Spacing (Columns 191-194)</w:t>
      </w:r>
      <w:r w:rsidRPr="00257FF9">
        <w:rPr>
          <w:i/>
          <w:iCs/>
        </w:rPr>
        <w:t xml:space="preserve"> – Required/Optional</w:t>
      </w:r>
    </w:p>
    <w:p w14:paraId="4B3B5457" w14:textId="77777777" w:rsidR="009B7AED" w:rsidRPr="00257FF9" w:rsidRDefault="009B7AED" w:rsidP="004605FE">
      <w:pPr>
        <w:tabs>
          <w:tab w:val="left" w:pos="1440"/>
        </w:tabs>
        <w:spacing w:after="120"/>
        <w:ind w:left="648"/>
        <w:jc w:val="left"/>
      </w:pPr>
      <w:r w:rsidRPr="00257FF9">
        <w:t>Enter the total spacing between axle 10 and 11 as a right-justified value, in units of tenths of feet.</w:t>
      </w:r>
    </w:p>
    <w:p w14:paraId="3E1F7442" w14:textId="77777777" w:rsidR="009B7AED" w:rsidRPr="00257FF9" w:rsidRDefault="009B7AED">
      <w:pPr>
        <w:numPr>
          <w:ilvl w:val="0"/>
          <w:numId w:val="98"/>
        </w:numPr>
        <w:spacing w:after="120"/>
        <w:ind w:left="648"/>
        <w:jc w:val="left"/>
      </w:pPr>
      <w:r w:rsidRPr="00257FF9">
        <w:t xml:space="preserve">Weight 11 Left Wheel Path (Columns 195-199) </w:t>
      </w:r>
      <w:r w:rsidRPr="00257FF9">
        <w:rPr>
          <w:i/>
          <w:iCs/>
        </w:rPr>
        <w:t>– Required/Optional</w:t>
      </w:r>
    </w:p>
    <w:p w14:paraId="57BBDBF8" w14:textId="77777777" w:rsidR="009B7AED" w:rsidRPr="00257FF9" w:rsidRDefault="009B7AED" w:rsidP="004605FE">
      <w:pPr>
        <w:tabs>
          <w:tab w:val="left" w:pos="1440"/>
        </w:tabs>
        <w:spacing w:after="120"/>
        <w:ind w:left="648"/>
        <w:jc w:val="left"/>
      </w:pPr>
      <w:r w:rsidRPr="00257FF9">
        <w:t>Enter the left axle 11 weight as a right-justified value, in units of pounds.</w:t>
      </w:r>
    </w:p>
    <w:p w14:paraId="5CF2AAAF" w14:textId="77777777" w:rsidR="009B7AED" w:rsidRPr="00257FF9" w:rsidRDefault="009B7AED">
      <w:pPr>
        <w:numPr>
          <w:ilvl w:val="0"/>
          <w:numId w:val="98"/>
        </w:numPr>
        <w:spacing w:after="120"/>
        <w:ind w:left="648"/>
        <w:jc w:val="left"/>
      </w:pPr>
      <w:r w:rsidRPr="00257FF9">
        <w:t>Weight 11 Right Wheel Path (Columns 200-204)</w:t>
      </w:r>
      <w:r w:rsidRPr="00257FF9">
        <w:rPr>
          <w:i/>
          <w:iCs/>
        </w:rPr>
        <w:t xml:space="preserve"> – Required/Optional</w:t>
      </w:r>
    </w:p>
    <w:p w14:paraId="648AE37F" w14:textId="77777777" w:rsidR="009B7AED" w:rsidRPr="00257FF9" w:rsidRDefault="009B7AED" w:rsidP="004605FE">
      <w:pPr>
        <w:tabs>
          <w:tab w:val="left" w:pos="1440"/>
        </w:tabs>
        <w:spacing w:after="120"/>
        <w:ind w:left="648"/>
        <w:jc w:val="left"/>
      </w:pPr>
      <w:r w:rsidRPr="00257FF9">
        <w:t>Enter the right axle 11 weight as a right-justified value, in units of pounds.</w:t>
      </w:r>
    </w:p>
    <w:p w14:paraId="3F467CDE" w14:textId="77777777" w:rsidR="009B7AED" w:rsidRPr="00257FF9" w:rsidRDefault="009B7AED">
      <w:pPr>
        <w:numPr>
          <w:ilvl w:val="0"/>
          <w:numId w:val="98"/>
        </w:numPr>
        <w:spacing w:after="120"/>
        <w:ind w:left="648"/>
        <w:jc w:val="left"/>
      </w:pPr>
      <w:r w:rsidRPr="00257FF9">
        <w:t>Axle 11 to 12 Spacing (Columns 205-208)</w:t>
      </w:r>
      <w:r w:rsidRPr="00257FF9">
        <w:rPr>
          <w:i/>
          <w:iCs/>
        </w:rPr>
        <w:t xml:space="preserve"> – Required/Optional</w:t>
      </w:r>
    </w:p>
    <w:p w14:paraId="0E31228C" w14:textId="77777777" w:rsidR="009B7AED" w:rsidRPr="00257FF9" w:rsidRDefault="009B7AED" w:rsidP="004605FE">
      <w:pPr>
        <w:tabs>
          <w:tab w:val="left" w:pos="1440"/>
        </w:tabs>
        <w:spacing w:after="120"/>
        <w:ind w:left="648"/>
        <w:jc w:val="left"/>
      </w:pPr>
      <w:r w:rsidRPr="00257FF9">
        <w:t>Enter the total spacing between axle 11 and 12 as a right-justified value, in units of tenths of feet.</w:t>
      </w:r>
    </w:p>
    <w:p w14:paraId="0E071CCB" w14:textId="77777777" w:rsidR="009B7AED" w:rsidRPr="00257FF9" w:rsidRDefault="009B7AED">
      <w:pPr>
        <w:numPr>
          <w:ilvl w:val="0"/>
          <w:numId w:val="98"/>
        </w:numPr>
        <w:spacing w:after="120"/>
        <w:ind w:left="648"/>
        <w:jc w:val="left"/>
      </w:pPr>
      <w:r w:rsidRPr="00257FF9">
        <w:t>Weight 12 Left Wheel Path (Columns 209-213)</w:t>
      </w:r>
      <w:r w:rsidRPr="00257FF9">
        <w:rPr>
          <w:i/>
          <w:iCs/>
        </w:rPr>
        <w:t xml:space="preserve"> – Required/Optional</w:t>
      </w:r>
    </w:p>
    <w:p w14:paraId="41E8599C" w14:textId="77777777" w:rsidR="009B7AED" w:rsidRPr="00257FF9" w:rsidRDefault="009B7AED" w:rsidP="004605FE">
      <w:pPr>
        <w:tabs>
          <w:tab w:val="left" w:pos="1440"/>
        </w:tabs>
        <w:spacing w:after="120"/>
        <w:ind w:left="648"/>
        <w:jc w:val="left"/>
      </w:pPr>
      <w:r w:rsidRPr="00257FF9">
        <w:t>Enter the total axle 12 weight as a right-justified value, in units of pounds.</w:t>
      </w:r>
    </w:p>
    <w:p w14:paraId="09C2828D" w14:textId="77777777" w:rsidR="009B7AED" w:rsidRPr="00257FF9" w:rsidRDefault="009B7AED">
      <w:pPr>
        <w:numPr>
          <w:ilvl w:val="0"/>
          <w:numId w:val="98"/>
        </w:numPr>
        <w:spacing w:after="120"/>
        <w:ind w:left="648"/>
        <w:jc w:val="left"/>
      </w:pPr>
      <w:r w:rsidRPr="00257FF9">
        <w:t>Weight 12 Right Wheel Path (Columns 214-218)</w:t>
      </w:r>
      <w:r w:rsidRPr="00257FF9">
        <w:rPr>
          <w:i/>
          <w:iCs/>
        </w:rPr>
        <w:t xml:space="preserve"> – Required/Optional</w:t>
      </w:r>
    </w:p>
    <w:p w14:paraId="06171CA4" w14:textId="77777777" w:rsidR="009B7AED" w:rsidRPr="00257FF9" w:rsidRDefault="009B7AED" w:rsidP="004605FE">
      <w:pPr>
        <w:tabs>
          <w:tab w:val="left" w:pos="1440"/>
        </w:tabs>
        <w:spacing w:after="120"/>
        <w:ind w:left="648"/>
        <w:jc w:val="left"/>
      </w:pPr>
      <w:r w:rsidRPr="00257FF9">
        <w:t>Enter the total axle 12 weight as a right-justified value, in units of pounds.</w:t>
      </w:r>
    </w:p>
    <w:p w14:paraId="3FB262A5" w14:textId="77777777" w:rsidR="009B7AED" w:rsidRPr="00877387" w:rsidRDefault="009B7AED" w:rsidP="004605FE">
      <w:pPr>
        <w:tabs>
          <w:tab w:val="left" w:pos="1440"/>
        </w:tabs>
        <w:spacing w:after="120"/>
        <w:ind w:left="648"/>
        <w:jc w:val="left"/>
      </w:pPr>
      <w:r w:rsidRPr="00257FF9">
        <w:t>For each additional axle beyond the twelfth</w:t>
      </w:r>
      <w:r w:rsidRPr="00877387">
        <w:t xml:space="preserve"> axle, an additional </w:t>
      </w:r>
      <w:r>
        <w:t>fourteen</w:t>
      </w:r>
      <w:r w:rsidRPr="00877387">
        <w:t xml:space="preserve"> columns should be entered. The first four of these columns contain the axle spacing to the next axle, followed by five columns for the weight measured in the left wheel path for that axle, followed by five more columns for the weight measured in the right wheel path. The maximum number of axles permitted is 25, which creates a record length of 39</w:t>
      </w:r>
      <w:r>
        <w:t>0</w:t>
      </w:r>
      <w:r w:rsidRPr="00877387">
        <w:t xml:space="preserve"> columns. </w:t>
      </w:r>
    </w:p>
    <w:p w14:paraId="397F2E15" w14:textId="77777777" w:rsidR="009B7AED" w:rsidRPr="00877387" w:rsidRDefault="009B7AED" w:rsidP="009B7AED">
      <w:pPr>
        <w:keepNext/>
        <w:spacing w:after="240"/>
        <w:ind w:left="1426" w:hanging="1440"/>
        <w:contextualSpacing/>
        <w:rPr>
          <w:b/>
          <w:bCs/>
          <w:smallCaps/>
          <w:sz w:val="24"/>
          <w:szCs w:val="22"/>
        </w:rPr>
        <w:sectPr w:rsidR="009B7AED" w:rsidRPr="00877387" w:rsidSect="003C28DA">
          <w:headerReference w:type="even" r:id="rId217"/>
          <w:headerReference w:type="default" r:id="rId218"/>
          <w:footerReference w:type="even" r:id="rId219"/>
          <w:footerReference w:type="default" r:id="rId220"/>
          <w:pgSz w:w="12240" w:h="15840" w:code="1"/>
          <w:pgMar w:top="1440" w:right="1440" w:bottom="1152" w:left="1440" w:header="720" w:footer="576" w:gutter="0"/>
          <w:pgNumType w:chapStyle="1"/>
          <w:cols w:space="720"/>
          <w:noEndnote/>
        </w:sectPr>
      </w:pPr>
    </w:p>
    <w:p w14:paraId="5F17A2CF" w14:textId="13BF6BEE" w:rsidR="009B7AED" w:rsidRDefault="009B7AED" w:rsidP="000070C2">
      <w:pPr>
        <w:pStyle w:val="BodyText"/>
        <w:rPr>
          <w:b/>
          <w:bCs/>
          <w:smallCaps/>
        </w:rPr>
      </w:pPr>
      <w:r>
        <w:lastRenderedPageBreak/>
        <w:t xml:space="preserve">Example Z Variant </w:t>
      </w:r>
      <w:r w:rsidRPr="00257FF9">
        <w:t xml:space="preserve">records are shown in </w:t>
      </w:r>
      <w:r w:rsidR="00464453">
        <w:fldChar w:fldCharType="begin"/>
      </w:r>
      <w:r w:rsidR="00464453">
        <w:instrText xml:space="preserve"> REF _Ref113280108  \* MERGEFORMAT </w:instrText>
      </w:r>
      <w:r w:rsidR="00464453">
        <w:fldChar w:fldCharType="separate"/>
      </w:r>
      <w:r w:rsidR="00C07DF9">
        <w:t xml:space="preserve">Table </w:t>
      </w:r>
      <w:r w:rsidR="00C07DF9">
        <w:rPr>
          <w:noProof/>
        </w:rPr>
        <w:t>4</w:t>
      </w:r>
      <w:r w:rsidR="00C07DF9">
        <w:rPr>
          <w:noProof/>
        </w:rPr>
        <w:noBreakHyphen/>
        <w:t>34</w:t>
      </w:r>
      <w:r w:rsidR="00464453">
        <w:rPr>
          <w:noProof/>
        </w:rPr>
        <w:fldChar w:fldCharType="end"/>
      </w:r>
      <w:r w:rsidRPr="00257FF9">
        <w:t>.</w:t>
      </w:r>
    </w:p>
    <w:p w14:paraId="7A76A150" w14:textId="7D9EB02D" w:rsidR="009B7AED" w:rsidRDefault="009B7AED" w:rsidP="00736AF3">
      <w:pPr>
        <w:pStyle w:val="TMGTableCaption"/>
      </w:pPr>
      <w:bookmarkStart w:id="3235" w:name="_Ref113280108"/>
      <w:bookmarkStart w:id="3236" w:name="_Toc113282539"/>
      <w:bookmarkStart w:id="3237" w:name="_Toc114474876"/>
      <w:bookmarkStart w:id="3238" w:name="_Toc120631182"/>
      <w:r>
        <w:t xml:space="preserve">Table </w:t>
      </w:r>
      <w:fldSimple w:instr=" STYLEREF 1 \s ">
        <w:r w:rsidR="00C07DF9">
          <w:rPr>
            <w:noProof/>
          </w:rPr>
          <w:t>4</w:t>
        </w:r>
      </w:fldSimple>
      <w:r>
        <w:noBreakHyphen/>
      </w:r>
      <w:fldSimple w:instr=" SEQ Table \* ARABIC \s 1 ">
        <w:r w:rsidR="00C07DF9">
          <w:rPr>
            <w:noProof/>
          </w:rPr>
          <w:t>34</w:t>
        </w:r>
      </w:fldSimple>
      <w:bookmarkEnd w:id="3235"/>
      <w:r>
        <w:t>. Individual Vehicle Record (Left and Right</w:t>
      </w:r>
      <w:r w:rsidRPr="00135D36">
        <w:t xml:space="preserve"> Site</w:t>
      </w:r>
      <w:r>
        <w:t>) Example</w:t>
      </w:r>
      <w:r w:rsidRPr="00135D36">
        <w:t xml:space="preserve"> </w:t>
      </w:r>
      <w:r w:rsidRPr="003A1FB8">
        <w:t>(West</w:t>
      </w:r>
      <w:r>
        <w:t>b</w:t>
      </w:r>
      <w:r w:rsidRPr="003A1FB8">
        <w:t xml:space="preserve">ound Lane 1) </w:t>
      </w:r>
      <w:r>
        <w:t>– Fixed-Width</w:t>
      </w:r>
      <w:r w:rsidRPr="003A1FB8">
        <w:t xml:space="preserve"> Format</w:t>
      </w:r>
      <w:bookmarkEnd w:id="3236"/>
      <w:bookmarkEnd w:id="3237"/>
      <w:bookmarkEnd w:id="3238"/>
    </w:p>
    <w:tbl>
      <w:tblPr>
        <w:tblStyle w:val="TMGTable"/>
        <w:tblW w:w="13081"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1075"/>
        <w:gridCol w:w="360"/>
        <w:gridCol w:w="423"/>
        <w:gridCol w:w="738"/>
        <w:gridCol w:w="342"/>
        <w:gridCol w:w="342"/>
        <w:gridCol w:w="614"/>
        <w:gridCol w:w="615"/>
        <w:gridCol w:w="614"/>
        <w:gridCol w:w="615"/>
        <w:gridCol w:w="614"/>
        <w:gridCol w:w="615"/>
        <w:gridCol w:w="615"/>
        <w:gridCol w:w="369"/>
        <w:gridCol w:w="657"/>
        <w:gridCol w:w="745"/>
        <w:gridCol w:w="746"/>
        <w:gridCol w:w="745"/>
        <w:gridCol w:w="746"/>
        <w:gridCol w:w="745"/>
        <w:gridCol w:w="746"/>
      </w:tblGrid>
      <w:tr w:rsidR="00307549" w:rsidRPr="00EA31BC" w14:paraId="7EDAE771" w14:textId="77777777" w:rsidTr="005C1100">
        <w:trPr>
          <w:cnfStyle w:val="100000000000" w:firstRow="1" w:lastRow="0" w:firstColumn="0" w:lastColumn="0" w:oddVBand="0" w:evenVBand="0" w:oddHBand="0" w:evenHBand="0" w:firstRowFirstColumn="0" w:firstRowLastColumn="0" w:lastRowFirstColumn="0" w:lastRowLastColumn="0"/>
          <w:trHeight w:val="60"/>
        </w:trPr>
        <w:tc>
          <w:tcPr>
            <w:tcW w:w="1075" w:type="dxa"/>
          </w:tcPr>
          <w:p w14:paraId="34178475" w14:textId="77777777" w:rsidR="009B7AED" w:rsidRPr="00EA31BC" w:rsidRDefault="009B7AED" w:rsidP="004156EA">
            <w:pPr>
              <w:pStyle w:val="TableTextDense"/>
              <w:rPr>
                <w:rFonts w:asciiTheme="minorHAnsi" w:hAnsiTheme="minorHAnsi" w:cstheme="minorHAnsi"/>
                <w:b w:val="0"/>
                <w:bCs w:val="0"/>
                <w:sz w:val="20"/>
                <w:szCs w:val="20"/>
              </w:rPr>
            </w:pPr>
            <w:r w:rsidRPr="00EA31BC">
              <w:rPr>
                <w:rFonts w:asciiTheme="minorHAnsi" w:hAnsiTheme="minorHAnsi" w:cstheme="minorHAnsi"/>
                <w:sz w:val="20"/>
                <w:szCs w:val="20"/>
              </w:rPr>
              <w:t>Column Number:</w:t>
            </w:r>
          </w:p>
        </w:tc>
        <w:tc>
          <w:tcPr>
            <w:tcW w:w="360" w:type="dxa"/>
          </w:tcPr>
          <w:p w14:paraId="054142DE" w14:textId="77777777" w:rsidR="009B7AED" w:rsidRPr="00EA31BC" w:rsidRDefault="009B7AED" w:rsidP="00307549">
            <w:pPr>
              <w:pStyle w:val="TableTextDense"/>
              <w:jc w:val="center"/>
              <w:rPr>
                <w:rFonts w:asciiTheme="minorHAnsi" w:hAnsiTheme="minorHAnsi" w:cstheme="minorHAnsi"/>
                <w:b w:val="0"/>
                <w:bCs w:val="0"/>
                <w:sz w:val="20"/>
                <w:szCs w:val="20"/>
              </w:rPr>
            </w:pPr>
            <w:r w:rsidRPr="00EA31BC">
              <w:rPr>
                <w:rFonts w:asciiTheme="minorHAnsi" w:hAnsiTheme="minorHAnsi" w:cstheme="minorHAnsi"/>
                <w:sz w:val="20"/>
                <w:szCs w:val="20"/>
              </w:rPr>
              <w:t>1</w:t>
            </w:r>
          </w:p>
        </w:tc>
        <w:tc>
          <w:tcPr>
            <w:tcW w:w="423" w:type="dxa"/>
          </w:tcPr>
          <w:p w14:paraId="33AEE144" w14:textId="77777777" w:rsidR="009B7AED" w:rsidRPr="00EA31BC" w:rsidRDefault="009B7AED" w:rsidP="00307549">
            <w:pPr>
              <w:pStyle w:val="TableTextDense"/>
              <w:jc w:val="center"/>
              <w:rPr>
                <w:rFonts w:asciiTheme="minorHAnsi" w:hAnsiTheme="minorHAnsi" w:cstheme="minorHAnsi"/>
                <w:b w:val="0"/>
                <w:bCs w:val="0"/>
                <w:sz w:val="20"/>
                <w:szCs w:val="20"/>
              </w:rPr>
            </w:pPr>
            <w:r w:rsidRPr="00EA31BC">
              <w:rPr>
                <w:rFonts w:asciiTheme="minorHAnsi" w:hAnsiTheme="minorHAnsi" w:cstheme="minorHAnsi"/>
                <w:sz w:val="20"/>
                <w:szCs w:val="20"/>
              </w:rPr>
              <w:t>2-3</w:t>
            </w:r>
          </w:p>
        </w:tc>
        <w:tc>
          <w:tcPr>
            <w:tcW w:w="738" w:type="dxa"/>
          </w:tcPr>
          <w:p w14:paraId="5704C465" w14:textId="77777777" w:rsidR="009B7AED" w:rsidRPr="00EA31BC" w:rsidRDefault="009B7AED" w:rsidP="00307549">
            <w:pPr>
              <w:pStyle w:val="TableTextDense"/>
              <w:jc w:val="center"/>
              <w:rPr>
                <w:rFonts w:asciiTheme="minorHAnsi" w:hAnsiTheme="minorHAnsi" w:cstheme="minorHAnsi"/>
                <w:b w:val="0"/>
                <w:bCs w:val="0"/>
                <w:sz w:val="20"/>
                <w:szCs w:val="20"/>
              </w:rPr>
            </w:pPr>
            <w:r w:rsidRPr="00EA31BC">
              <w:rPr>
                <w:rFonts w:asciiTheme="minorHAnsi" w:hAnsiTheme="minorHAnsi" w:cstheme="minorHAnsi"/>
                <w:sz w:val="20"/>
                <w:szCs w:val="20"/>
              </w:rPr>
              <w:t>4-9</w:t>
            </w:r>
          </w:p>
        </w:tc>
        <w:tc>
          <w:tcPr>
            <w:tcW w:w="342" w:type="dxa"/>
          </w:tcPr>
          <w:p w14:paraId="6CEF3699" w14:textId="77777777" w:rsidR="009B7AED" w:rsidRPr="00EA31BC" w:rsidRDefault="009B7AED" w:rsidP="00307549">
            <w:pPr>
              <w:pStyle w:val="TableTextDense"/>
              <w:jc w:val="center"/>
              <w:rPr>
                <w:rFonts w:asciiTheme="minorHAnsi" w:hAnsiTheme="minorHAnsi" w:cstheme="minorHAnsi"/>
                <w:b w:val="0"/>
                <w:bCs w:val="0"/>
                <w:sz w:val="20"/>
                <w:szCs w:val="20"/>
              </w:rPr>
            </w:pPr>
            <w:r w:rsidRPr="00EA31BC">
              <w:rPr>
                <w:rFonts w:asciiTheme="minorHAnsi" w:hAnsiTheme="minorHAnsi" w:cstheme="minorHAnsi"/>
                <w:sz w:val="20"/>
                <w:szCs w:val="20"/>
              </w:rPr>
              <w:t>10</w:t>
            </w:r>
          </w:p>
        </w:tc>
        <w:tc>
          <w:tcPr>
            <w:tcW w:w="342" w:type="dxa"/>
          </w:tcPr>
          <w:p w14:paraId="300E789B" w14:textId="77777777" w:rsidR="009B7AED" w:rsidRPr="00EA31BC" w:rsidRDefault="009B7AED" w:rsidP="00307549">
            <w:pPr>
              <w:pStyle w:val="TableTextDense"/>
              <w:jc w:val="center"/>
              <w:rPr>
                <w:rFonts w:asciiTheme="minorHAnsi" w:hAnsiTheme="minorHAnsi" w:cstheme="minorHAnsi"/>
                <w:b w:val="0"/>
                <w:bCs w:val="0"/>
                <w:sz w:val="20"/>
                <w:szCs w:val="20"/>
              </w:rPr>
            </w:pPr>
            <w:r w:rsidRPr="00EA31BC">
              <w:rPr>
                <w:rFonts w:asciiTheme="minorHAnsi" w:hAnsiTheme="minorHAnsi" w:cstheme="minorHAnsi"/>
                <w:sz w:val="20"/>
                <w:szCs w:val="20"/>
              </w:rPr>
              <w:t>11</w:t>
            </w:r>
          </w:p>
        </w:tc>
        <w:tc>
          <w:tcPr>
            <w:tcW w:w="614" w:type="dxa"/>
          </w:tcPr>
          <w:p w14:paraId="363590E0" w14:textId="77777777" w:rsidR="009B7AED" w:rsidRPr="00EA31BC" w:rsidRDefault="009B7AED" w:rsidP="00307549">
            <w:pPr>
              <w:pStyle w:val="TableTextDense"/>
              <w:jc w:val="center"/>
              <w:rPr>
                <w:rFonts w:asciiTheme="minorHAnsi" w:hAnsiTheme="minorHAnsi" w:cstheme="minorHAnsi"/>
                <w:b w:val="0"/>
                <w:bCs w:val="0"/>
                <w:sz w:val="20"/>
                <w:szCs w:val="20"/>
              </w:rPr>
            </w:pPr>
            <w:r w:rsidRPr="00EA31BC">
              <w:rPr>
                <w:rFonts w:asciiTheme="minorHAnsi" w:hAnsiTheme="minorHAnsi" w:cstheme="minorHAnsi"/>
                <w:sz w:val="20"/>
                <w:szCs w:val="20"/>
              </w:rPr>
              <w:t>12-15</w:t>
            </w:r>
          </w:p>
        </w:tc>
        <w:tc>
          <w:tcPr>
            <w:tcW w:w="615" w:type="dxa"/>
          </w:tcPr>
          <w:p w14:paraId="4003AE8D" w14:textId="77777777" w:rsidR="009B7AED" w:rsidRPr="00EA31BC" w:rsidRDefault="009B7AED" w:rsidP="00307549">
            <w:pPr>
              <w:pStyle w:val="TableTextDense"/>
              <w:jc w:val="center"/>
              <w:rPr>
                <w:rFonts w:asciiTheme="minorHAnsi" w:hAnsiTheme="minorHAnsi" w:cstheme="minorHAnsi"/>
                <w:b w:val="0"/>
                <w:bCs w:val="0"/>
                <w:sz w:val="20"/>
                <w:szCs w:val="20"/>
              </w:rPr>
            </w:pPr>
            <w:r w:rsidRPr="00EA31BC">
              <w:rPr>
                <w:rFonts w:asciiTheme="minorHAnsi" w:hAnsiTheme="minorHAnsi" w:cstheme="minorHAnsi"/>
                <w:sz w:val="20"/>
                <w:szCs w:val="20"/>
              </w:rPr>
              <w:t>16-17</w:t>
            </w:r>
          </w:p>
        </w:tc>
        <w:tc>
          <w:tcPr>
            <w:tcW w:w="614" w:type="dxa"/>
          </w:tcPr>
          <w:p w14:paraId="684C3482" w14:textId="77777777" w:rsidR="009B7AED" w:rsidRPr="00EA31BC" w:rsidRDefault="009B7AED" w:rsidP="00307549">
            <w:pPr>
              <w:pStyle w:val="TableTextDense"/>
              <w:jc w:val="center"/>
              <w:rPr>
                <w:rFonts w:asciiTheme="minorHAnsi" w:hAnsiTheme="minorHAnsi" w:cstheme="minorHAnsi"/>
                <w:b w:val="0"/>
                <w:bCs w:val="0"/>
                <w:sz w:val="20"/>
                <w:szCs w:val="20"/>
              </w:rPr>
            </w:pPr>
            <w:r w:rsidRPr="00EA31BC">
              <w:rPr>
                <w:rFonts w:asciiTheme="minorHAnsi" w:hAnsiTheme="minorHAnsi" w:cstheme="minorHAnsi"/>
                <w:sz w:val="20"/>
                <w:szCs w:val="20"/>
              </w:rPr>
              <w:t>18-19</w:t>
            </w:r>
          </w:p>
        </w:tc>
        <w:tc>
          <w:tcPr>
            <w:tcW w:w="615" w:type="dxa"/>
          </w:tcPr>
          <w:p w14:paraId="4E873E89" w14:textId="77777777" w:rsidR="009B7AED" w:rsidRPr="00EA31BC" w:rsidRDefault="009B7AED" w:rsidP="00307549">
            <w:pPr>
              <w:pStyle w:val="TableTextDense"/>
              <w:jc w:val="center"/>
              <w:rPr>
                <w:rFonts w:asciiTheme="minorHAnsi" w:hAnsiTheme="minorHAnsi" w:cstheme="minorHAnsi"/>
                <w:b w:val="0"/>
                <w:bCs w:val="0"/>
                <w:sz w:val="20"/>
                <w:szCs w:val="20"/>
              </w:rPr>
            </w:pPr>
            <w:r w:rsidRPr="00EA31BC">
              <w:rPr>
                <w:rFonts w:asciiTheme="minorHAnsi" w:hAnsiTheme="minorHAnsi" w:cstheme="minorHAnsi"/>
                <w:sz w:val="20"/>
                <w:szCs w:val="20"/>
              </w:rPr>
              <w:t>20-21</w:t>
            </w:r>
          </w:p>
        </w:tc>
        <w:tc>
          <w:tcPr>
            <w:tcW w:w="614" w:type="dxa"/>
          </w:tcPr>
          <w:p w14:paraId="3576E968" w14:textId="77777777" w:rsidR="009B7AED" w:rsidRPr="00EA31BC" w:rsidRDefault="009B7AED" w:rsidP="00307549">
            <w:pPr>
              <w:pStyle w:val="TableTextDense"/>
              <w:jc w:val="center"/>
              <w:rPr>
                <w:rFonts w:asciiTheme="minorHAnsi" w:hAnsiTheme="minorHAnsi" w:cstheme="minorHAnsi"/>
                <w:b w:val="0"/>
                <w:bCs w:val="0"/>
                <w:sz w:val="20"/>
                <w:szCs w:val="20"/>
              </w:rPr>
            </w:pPr>
            <w:r w:rsidRPr="00EA31BC">
              <w:rPr>
                <w:rFonts w:asciiTheme="minorHAnsi" w:hAnsiTheme="minorHAnsi" w:cstheme="minorHAnsi"/>
                <w:sz w:val="20"/>
                <w:szCs w:val="20"/>
              </w:rPr>
              <w:t>22-23</w:t>
            </w:r>
          </w:p>
        </w:tc>
        <w:tc>
          <w:tcPr>
            <w:tcW w:w="615" w:type="dxa"/>
          </w:tcPr>
          <w:p w14:paraId="2DE51A3E" w14:textId="77777777" w:rsidR="009B7AED" w:rsidRPr="00EA31BC" w:rsidRDefault="009B7AED" w:rsidP="00307549">
            <w:pPr>
              <w:pStyle w:val="TableTextDense"/>
              <w:jc w:val="center"/>
              <w:rPr>
                <w:rFonts w:asciiTheme="minorHAnsi" w:hAnsiTheme="minorHAnsi" w:cstheme="minorHAnsi"/>
                <w:b w:val="0"/>
                <w:bCs w:val="0"/>
                <w:sz w:val="20"/>
                <w:szCs w:val="20"/>
              </w:rPr>
            </w:pPr>
            <w:r w:rsidRPr="00EA31BC">
              <w:rPr>
                <w:rFonts w:asciiTheme="minorHAnsi" w:hAnsiTheme="minorHAnsi" w:cstheme="minorHAnsi"/>
                <w:sz w:val="20"/>
                <w:szCs w:val="20"/>
              </w:rPr>
              <w:t>24-25</w:t>
            </w:r>
          </w:p>
        </w:tc>
        <w:tc>
          <w:tcPr>
            <w:tcW w:w="615" w:type="dxa"/>
          </w:tcPr>
          <w:p w14:paraId="492C7FBC" w14:textId="77777777" w:rsidR="009B7AED" w:rsidRPr="00EA31BC" w:rsidRDefault="009B7AED" w:rsidP="00307549">
            <w:pPr>
              <w:pStyle w:val="TableTextDense"/>
              <w:jc w:val="center"/>
              <w:rPr>
                <w:rFonts w:asciiTheme="minorHAnsi" w:hAnsiTheme="minorHAnsi" w:cstheme="minorHAnsi"/>
                <w:b w:val="0"/>
                <w:bCs w:val="0"/>
                <w:sz w:val="20"/>
                <w:szCs w:val="20"/>
              </w:rPr>
            </w:pPr>
            <w:r w:rsidRPr="00EA31BC">
              <w:rPr>
                <w:rFonts w:asciiTheme="minorHAnsi" w:hAnsiTheme="minorHAnsi" w:cstheme="minorHAnsi"/>
                <w:sz w:val="20"/>
                <w:szCs w:val="20"/>
              </w:rPr>
              <w:t>26-27</w:t>
            </w:r>
          </w:p>
        </w:tc>
        <w:tc>
          <w:tcPr>
            <w:tcW w:w="369" w:type="dxa"/>
          </w:tcPr>
          <w:p w14:paraId="4B2D2683" w14:textId="77777777" w:rsidR="009B7AED" w:rsidRPr="00EA31BC" w:rsidRDefault="009B7AED" w:rsidP="00307549">
            <w:pPr>
              <w:pStyle w:val="TableTextDense"/>
              <w:jc w:val="center"/>
              <w:rPr>
                <w:rFonts w:asciiTheme="minorHAnsi" w:hAnsiTheme="minorHAnsi" w:cstheme="minorHAnsi"/>
                <w:b w:val="0"/>
                <w:bCs w:val="0"/>
                <w:sz w:val="20"/>
                <w:szCs w:val="20"/>
              </w:rPr>
            </w:pPr>
            <w:r w:rsidRPr="00EA31BC">
              <w:rPr>
                <w:rFonts w:asciiTheme="minorHAnsi" w:hAnsiTheme="minorHAnsi" w:cstheme="minorHAnsi"/>
                <w:sz w:val="20"/>
                <w:szCs w:val="20"/>
              </w:rPr>
              <w:t>28</w:t>
            </w:r>
          </w:p>
        </w:tc>
        <w:tc>
          <w:tcPr>
            <w:tcW w:w="657" w:type="dxa"/>
          </w:tcPr>
          <w:p w14:paraId="1E2B59EA" w14:textId="77777777" w:rsidR="009B7AED" w:rsidRPr="00EA31BC" w:rsidRDefault="009B7AED" w:rsidP="00307549">
            <w:pPr>
              <w:pStyle w:val="TableTextDense"/>
              <w:jc w:val="center"/>
              <w:rPr>
                <w:rFonts w:asciiTheme="minorHAnsi" w:hAnsiTheme="minorHAnsi" w:cstheme="minorHAnsi"/>
                <w:b w:val="0"/>
                <w:bCs w:val="0"/>
                <w:sz w:val="20"/>
                <w:szCs w:val="20"/>
              </w:rPr>
            </w:pPr>
            <w:r w:rsidRPr="00EA31BC">
              <w:rPr>
                <w:rFonts w:asciiTheme="minorHAnsi" w:hAnsiTheme="minorHAnsi" w:cstheme="minorHAnsi"/>
                <w:sz w:val="20"/>
                <w:szCs w:val="20"/>
              </w:rPr>
              <w:t>29-33</w:t>
            </w:r>
          </w:p>
        </w:tc>
        <w:tc>
          <w:tcPr>
            <w:tcW w:w="745" w:type="dxa"/>
          </w:tcPr>
          <w:p w14:paraId="0025362F" w14:textId="77777777" w:rsidR="009B7AED" w:rsidRPr="00EA31BC" w:rsidRDefault="009B7AED" w:rsidP="00307549">
            <w:pPr>
              <w:pStyle w:val="TableTextDense"/>
              <w:jc w:val="center"/>
              <w:rPr>
                <w:rFonts w:asciiTheme="minorHAnsi" w:hAnsiTheme="minorHAnsi" w:cstheme="minorHAnsi"/>
                <w:b w:val="0"/>
                <w:bCs w:val="0"/>
                <w:sz w:val="20"/>
                <w:szCs w:val="20"/>
              </w:rPr>
            </w:pPr>
            <w:r w:rsidRPr="00EA31BC">
              <w:rPr>
                <w:rFonts w:asciiTheme="minorHAnsi" w:hAnsiTheme="minorHAnsi" w:cstheme="minorHAnsi"/>
                <w:sz w:val="20"/>
                <w:szCs w:val="20"/>
              </w:rPr>
              <w:t>34-37</w:t>
            </w:r>
          </w:p>
        </w:tc>
        <w:tc>
          <w:tcPr>
            <w:tcW w:w="746" w:type="dxa"/>
          </w:tcPr>
          <w:p w14:paraId="2E9C6A30" w14:textId="77777777" w:rsidR="009B7AED" w:rsidRPr="00EA31BC" w:rsidRDefault="009B7AED" w:rsidP="00307549">
            <w:pPr>
              <w:pStyle w:val="TableTextDense"/>
              <w:jc w:val="center"/>
              <w:rPr>
                <w:rFonts w:asciiTheme="minorHAnsi" w:hAnsiTheme="minorHAnsi" w:cstheme="minorHAnsi"/>
                <w:b w:val="0"/>
                <w:bCs w:val="0"/>
                <w:sz w:val="20"/>
                <w:szCs w:val="20"/>
              </w:rPr>
            </w:pPr>
            <w:r w:rsidRPr="00EA31BC">
              <w:rPr>
                <w:rFonts w:asciiTheme="minorHAnsi" w:hAnsiTheme="minorHAnsi" w:cstheme="minorHAnsi"/>
                <w:sz w:val="20"/>
                <w:szCs w:val="20"/>
              </w:rPr>
              <w:t>38-39</w:t>
            </w:r>
          </w:p>
        </w:tc>
        <w:tc>
          <w:tcPr>
            <w:tcW w:w="745" w:type="dxa"/>
          </w:tcPr>
          <w:p w14:paraId="41A2875C" w14:textId="77777777" w:rsidR="009B7AED" w:rsidRPr="00EA31BC" w:rsidRDefault="009B7AED" w:rsidP="00307549">
            <w:pPr>
              <w:pStyle w:val="TableTextDense"/>
              <w:jc w:val="center"/>
              <w:rPr>
                <w:rFonts w:asciiTheme="minorHAnsi" w:hAnsiTheme="minorHAnsi" w:cstheme="minorHAnsi"/>
                <w:b w:val="0"/>
                <w:bCs w:val="0"/>
                <w:sz w:val="20"/>
                <w:szCs w:val="20"/>
              </w:rPr>
            </w:pPr>
            <w:r w:rsidRPr="00EA31BC">
              <w:rPr>
                <w:rFonts w:asciiTheme="minorHAnsi" w:hAnsiTheme="minorHAnsi" w:cstheme="minorHAnsi"/>
                <w:sz w:val="20"/>
                <w:szCs w:val="20"/>
              </w:rPr>
              <w:t>40-41</w:t>
            </w:r>
          </w:p>
        </w:tc>
        <w:tc>
          <w:tcPr>
            <w:tcW w:w="746" w:type="dxa"/>
          </w:tcPr>
          <w:p w14:paraId="132FA712" w14:textId="77777777" w:rsidR="009B7AED" w:rsidRPr="00EA31BC" w:rsidRDefault="009B7AED" w:rsidP="00307549">
            <w:pPr>
              <w:pStyle w:val="TableTextDense"/>
              <w:jc w:val="center"/>
              <w:rPr>
                <w:rFonts w:asciiTheme="minorHAnsi" w:hAnsiTheme="minorHAnsi" w:cstheme="minorHAnsi"/>
                <w:b w:val="0"/>
                <w:bCs w:val="0"/>
                <w:sz w:val="20"/>
                <w:szCs w:val="20"/>
              </w:rPr>
            </w:pPr>
            <w:r w:rsidRPr="00EA31BC">
              <w:rPr>
                <w:rFonts w:asciiTheme="minorHAnsi" w:hAnsiTheme="minorHAnsi" w:cstheme="minorHAnsi"/>
                <w:sz w:val="20"/>
                <w:szCs w:val="20"/>
              </w:rPr>
              <w:t>42-45</w:t>
            </w:r>
          </w:p>
        </w:tc>
        <w:tc>
          <w:tcPr>
            <w:tcW w:w="745" w:type="dxa"/>
          </w:tcPr>
          <w:p w14:paraId="26291E6E" w14:textId="77777777" w:rsidR="009B7AED" w:rsidRPr="00EA31BC" w:rsidRDefault="009B7AED" w:rsidP="00307549">
            <w:pPr>
              <w:pStyle w:val="TableTextDense"/>
              <w:jc w:val="center"/>
              <w:rPr>
                <w:rFonts w:asciiTheme="minorHAnsi" w:hAnsiTheme="minorHAnsi" w:cstheme="minorHAnsi"/>
                <w:b w:val="0"/>
                <w:bCs w:val="0"/>
                <w:sz w:val="20"/>
                <w:szCs w:val="20"/>
              </w:rPr>
            </w:pPr>
            <w:r w:rsidRPr="00EA31BC">
              <w:rPr>
                <w:rFonts w:asciiTheme="minorHAnsi" w:hAnsiTheme="minorHAnsi" w:cstheme="minorHAnsi"/>
                <w:sz w:val="20"/>
                <w:szCs w:val="20"/>
              </w:rPr>
              <w:t>46-48</w:t>
            </w:r>
          </w:p>
        </w:tc>
        <w:tc>
          <w:tcPr>
            <w:tcW w:w="746" w:type="dxa"/>
          </w:tcPr>
          <w:p w14:paraId="128120FB" w14:textId="77777777" w:rsidR="009B7AED" w:rsidRPr="00EA31BC" w:rsidRDefault="009B7AED" w:rsidP="00307549">
            <w:pPr>
              <w:pStyle w:val="TableTextDense"/>
              <w:jc w:val="center"/>
              <w:rPr>
                <w:rFonts w:asciiTheme="minorHAnsi" w:hAnsiTheme="minorHAnsi" w:cstheme="minorHAnsi"/>
                <w:b w:val="0"/>
                <w:bCs w:val="0"/>
                <w:sz w:val="20"/>
                <w:szCs w:val="20"/>
              </w:rPr>
            </w:pPr>
            <w:r w:rsidRPr="00EA31BC">
              <w:rPr>
                <w:rFonts w:asciiTheme="minorHAnsi" w:hAnsiTheme="minorHAnsi" w:cstheme="minorHAnsi"/>
                <w:sz w:val="20"/>
                <w:szCs w:val="20"/>
              </w:rPr>
              <w:t>49-54</w:t>
            </w:r>
          </w:p>
        </w:tc>
      </w:tr>
      <w:tr w:rsidR="00307549" w:rsidRPr="00EA31BC" w14:paraId="297E087A" w14:textId="77777777" w:rsidTr="005C1100">
        <w:trPr>
          <w:trHeight w:val="60"/>
        </w:trPr>
        <w:tc>
          <w:tcPr>
            <w:tcW w:w="1075" w:type="dxa"/>
          </w:tcPr>
          <w:p w14:paraId="2EEDC4FA" w14:textId="77777777" w:rsidR="009B7AED" w:rsidRPr="00EA31BC" w:rsidRDefault="009B7AED" w:rsidP="004156EA">
            <w:pPr>
              <w:pStyle w:val="TableTextDense"/>
              <w:rPr>
                <w:rFonts w:asciiTheme="minorHAnsi" w:hAnsiTheme="minorHAnsi" w:cstheme="minorHAnsi"/>
                <w:sz w:val="20"/>
                <w:szCs w:val="20"/>
              </w:rPr>
            </w:pPr>
            <w:r w:rsidRPr="00EA31BC">
              <w:rPr>
                <w:rFonts w:asciiTheme="minorHAnsi" w:hAnsiTheme="minorHAnsi" w:cstheme="minorHAnsi"/>
                <w:sz w:val="20"/>
                <w:szCs w:val="20"/>
              </w:rPr>
              <w:t>Content 01 Example:</w:t>
            </w:r>
          </w:p>
        </w:tc>
        <w:tc>
          <w:tcPr>
            <w:tcW w:w="360" w:type="dxa"/>
          </w:tcPr>
          <w:p w14:paraId="72AA6616"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Z</w:t>
            </w:r>
          </w:p>
        </w:tc>
        <w:tc>
          <w:tcPr>
            <w:tcW w:w="423" w:type="dxa"/>
          </w:tcPr>
          <w:p w14:paraId="0E1B4DD6"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17</w:t>
            </w:r>
          </w:p>
        </w:tc>
        <w:tc>
          <w:tcPr>
            <w:tcW w:w="738" w:type="dxa"/>
          </w:tcPr>
          <w:p w14:paraId="4885B753"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018119</w:t>
            </w:r>
          </w:p>
        </w:tc>
        <w:tc>
          <w:tcPr>
            <w:tcW w:w="342" w:type="dxa"/>
          </w:tcPr>
          <w:p w14:paraId="4CD6C7EA"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7</w:t>
            </w:r>
          </w:p>
        </w:tc>
        <w:tc>
          <w:tcPr>
            <w:tcW w:w="342" w:type="dxa"/>
          </w:tcPr>
          <w:p w14:paraId="66C030E6"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1</w:t>
            </w:r>
          </w:p>
        </w:tc>
        <w:tc>
          <w:tcPr>
            <w:tcW w:w="614" w:type="dxa"/>
          </w:tcPr>
          <w:p w14:paraId="7620E009"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2021</w:t>
            </w:r>
          </w:p>
        </w:tc>
        <w:tc>
          <w:tcPr>
            <w:tcW w:w="615" w:type="dxa"/>
          </w:tcPr>
          <w:p w14:paraId="663FBC78"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11</w:t>
            </w:r>
          </w:p>
        </w:tc>
        <w:tc>
          <w:tcPr>
            <w:tcW w:w="614" w:type="dxa"/>
          </w:tcPr>
          <w:p w14:paraId="362E2388"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09</w:t>
            </w:r>
          </w:p>
        </w:tc>
        <w:tc>
          <w:tcPr>
            <w:tcW w:w="615" w:type="dxa"/>
          </w:tcPr>
          <w:p w14:paraId="2315ED61"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07</w:t>
            </w:r>
          </w:p>
        </w:tc>
        <w:tc>
          <w:tcPr>
            <w:tcW w:w="614" w:type="dxa"/>
          </w:tcPr>
          <w:p w14:paraId="1B4054F8"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10</w:t>
            </w:r>
          </w:p>
        </w:tc>
        <w:tc>
          <w:tcPr>
            <w:tcW w:w="615" w:type="dxa"/>
          </w:tcPr>
          <w:p w14:paraId="0E086073"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34</w:t>
            </w:r>
          </w:p>
        </w:tc>
        <w:tc>
          <w:tcPr>
            <w:tcW w:w="615" w:type="dxa"/>
          </w:tcPr>
          <w:p w14:paraId="7268D1A6"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74</w:t>
            </w:r>
          </w:p>
        </w:tc>
        <w:tc>
          <w:tcPr>
            <w:tcW w:w="369" w:type="dxa"/>
          </w:tcPr>
          <w:p w14:paraId="3A3FBE26"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Z</w:t>
            </w:r>
          </w:p>
        </w:tc>
        <w:tc>
          <w:tcPr>
            <w:tcW w:w="657" w:type="dxa"/>
          </w:tcPr>
          <w:p w14:paraId="3A6E8090"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Blank</w:t>
            </w:r>
          </w:p>
        </w:tc>
        <w:tc>
          <w:tcPr>
            <w:tcW w:w="745" w:type="dxa"/>
          </w:tcPr>
          <w:p w14:paraId="3C46D61A"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0561</w:t>
            </w:r>
          </w:p>
        </w:tc>
        <w:tc>
          <w:tcPr>
            <w:tcW w:w="746" w:type="dxa"/>
          </w:tcPr>
          <w:p w14:paraId="0490695B"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01</w:t>
            </w:r>
          </w:p>
        </w:tc>
        <w:tc>
          <w:tcPr>
            <w:tcW w:w="745" w:type="dxa"/>
          </w:tcPr>
          <w:p w14:paraId="33268D98"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02</w:t>
            </w:r>
          </w:p>
        </w:tc>
        <w:tc>
          <w:tcPr>
            <w:tcW w:w="746" w:type="dxa"/>
          </w:tcPr>
          <w:p w14:paraId="6912C946"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0074</w:t>
            </w:r>
          </w:p>
        </w:tc>
        <w:tc>
          <w:tcPr>
            <w:tcW w:w="745" w:type="dxa"/>
          </w:tcPr>
          <w:p w14:paraId="10C06018"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071</w:t>
            </w:r>
          </w:p>
        </w:tc>
        <w:tc>
          <w:tcPr>
            <w:tcW w:w="746" w:type="dxa"/>
          </w:tcPr>
          <w:p w14:paraId="3F332E25"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000265</w:t>
            </w:r>
          </w:p>
        </w:tc>
      </w:tr>
      <w:tr w:rsidR="00307549" w:rsidRPr="00EA31BC" w14:paraId="3B641EC3" w14:textId="77777777" w:rsidTr="005C1100">
        <w:trPr>
          <w:trHeight w:val="161"/>
        </w:trPr>
        <w:tc>
          <w:tcPr>
            <w:tcW w:w="1075" w:type="dxa"/>
            <w:vAlign w:val="top"/>
          </w:tcPr>
          <w:p w14:paraId="6317EB49" w14:textId="77777777" w:rsidR="009B7AED" w:rsidRPr="00EA31BC" w:rsidRDefault="009B7AED" w:rsidP="004156EA">
            <w:pPr>
              <w:pStyle w:val="TableTextDense"/>
              <w:rPr>
                <w:rFonts w:asciiTheme="minorHAnsi" w:hAnsiTheme="minorHAnsi" w:cstheme="minorHAnsi"/>
                <w:bCs/>
                <w:sz w:val="20"/>
                <w:szCs w:val="20"/>
              </w:rPr>
            </w:pPr>
            <w:r w:rsidRPr="00EA31BC">
              <w:rPr>
                <w:rFonts w:asciiTheme="minorHAnsi" w:hAnsiTheme="minorHAnsi" w:cstheme="minorHAnsi"/>
                <w:sz w:val="20"/>
                <w:szCs w:val="20"/>
              </w:rPr>
              <w:t>Content 02 Example:</w:t>
            </w:r>
          </w:p>
        </w:tc>
        <w:tc>
          <w:tcPr>
            <w:tcW w:w="360" w:type="dxa"/>
          </w:tcPr>
          <w:p w14:paraId="27AA4DDA"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Z</w:t>
            </w:r>
          </w:p>
        </w:tc>
        <w:tc>
          <w:tcPr>
            <w:tcW w:w="423" w:type="dxa"/>
          </w:tcPr>
          <w:p w14:paraId="4B79611D"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17</w:t>
            </w:r>
          </w:p>
        </w:tc>
        <w:tc>
          <w:tcPr>
            <w:tcW w:w="738" w:type="dxa"/>
          </w:tcPr>
          <w:p w14:paraId="0A8F62DD"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018119</w:t>
            </w:r>
          </w:p>
        </w:tc>
        <w:tc>
          <w:tcPr>
            <w:tcW w:w="342" w:type="dxa"/>
          </w:tcPr>
          <w:p w14:paraId="39D07D25"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7</w:t>
            </w:r>
          </w:p>
        </w:tc>
        <w:tc>
          <w:tcPr>
            <w:tcW w:w="342" w:type="dxa"/>
          </w:tcPr>
          <w:p w14:paraId="0E5DCB83"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1</w:t>
            </w:r>
          </w:p>
        </w:tc>
        <w:tc>
          <w:tcPr>
            <w:tcW w:w="614" w:type="dxa"/>
          </w:tcPr>
          <w:p w14:paraId="3F55169D"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2021</w:t>
            </w:r>
          </w:p>
        </w:tc>
        <w:tc>
          <w:tcPr>
            <w:tcW w:w="615" w:type="dxa"/>
          </w:tcPr>
          <w:p w14:paraId="3E515D73"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11</w:t>
            </w:r>
          </w:p>
        </w:tc>
        <w:tc>
          <w:tcPr>
            <w:tcW w:w="614" w:type="dxa"/>
          </w:tcPr>
          <w:p w14:paraId="527AEB81"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09</w:t>
            </w:r>
          </w:p>
        </w:tc>
        <w:tc>
          <w:tcPr>
            <w:tcW w:w="615" w:type="dxa"/>
          </w:tcPr>
          <w:p w14:paraId="50A98ED3"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07</w:t>
            </w:r>
          </w:p>
        </w:tc>
        <w:tc>
          <w:tcPr>
            <w:tcW w:w="614" w:type="dxa"/>
          </w:tcPr>
          <w:p w14:paraId="13D92220"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10</w:t>
            </w:r>
          </w:p>
        </w:tc>
        <w:tc>
          <w:tcPr>
            <w:tcW w:w="615" w:type="dxa"/>
          </w:tcPr>
          <w:p w14:paraId="0BFEE791"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38</w:t>
            </w:r>
          </w:p>
        </w:tc>
        <w:tc>
          <w:tcPr>
            <w:tcW w:w="615" w:type="dxa"/>
          </w:tcPr>
          <w:p w14:paraId="4D065328"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38</w:t>
            </w:r>
          </w:p>
        </w:tc>
        <w:tc>
          <w:tcPr>
            <w:tcW w:w="369" w:type="dxa"/>
          </w:tcPr>
          <w:p w14:paraId="06B10931"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Z</w:t>
            </w:r>
          </w:p>
        </w:tc>
        <w:tc>
          <w:tcPr>
            <w:tcW w:w="657" w:type="dxa"/>
          </w:tcPr>
          <w:p w14:paraId="50BA403E" w14:textId="77777777" w:rsidR="009B7AED" w:rsidRPr="00EA31BC" w:rsidRDefault="009B7AED" w:rsidP="00307549">
            <w:pPr>
              <w:pStyle w:val="TableTextDense"/>
              <w:jc w:val="center"/>
              <w:rPr>
                <w:rFonts w:asciiTheme="minorHAnsi" w:hAnsiTheme="minorHAnsi" w:cstheme="minorHAnsi"/>
                <w:color w:val="auto"/>
                <w:sz w:val="20"/>
                <w:szCs w:val="20"/>
              </w:rPr>
            </w:pPr>
            <w:r w:rsidRPr="00EA31BC">
              <w:rPr>
                <w:rFonts w:asciiTheme="minorHAnsi" w:hAnsiTheme="minorHAnsi" w:cstheme="minorHAnsi"/>
                <w:sz w:val="20"/>
                <w:szCs w:val="20"/>
              </w:rPr>
              <w:t>Blank</w:t>
            </w:r>
          </w:p>
        </w:tc>
        <w:tc>
          <w:tcPr>
            <w:tcW w:w="745" w:type="dxa"/>
          </w:tcPr>
          <w:p w14:paraId="143F6125"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0605</w:t>
            </w:r>
          </w:p>
        </w:tc>
        <w:tc>
          <w:tcPr>
            <w:tcW w:w="746" w:type="dxa"/>
          </w:tcPr>
          <w:p w14:paraId="5E7E7B04"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02</w:t>
            </w:r>
          </w:p>
        </w:tc>
        <w:tc>
          <w:tcPr>
            <w:tcW w:w="745" w:type="dxa"/>
          </w:tcPr>
          <w:p w14:paraId="35423999"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02</w:t>
            </w:r>
          </w:p>
        </w:tc>
        <w:tc>
          <w:tcPr>
            <w:tcW w:w="746" w:type="dxa"/>
          </w:tcPr>
          <w:p w14:paraId="48A860B3"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0174</w:t>
            </w:r>
          </w:p>
        </w:tc>
        <w:tc>
          <w:tcPr>
            <w:tcW w:w="745" w:type="dxa"/>
          </w:tcPr>
          <w:p w14:paraId="7E927CC1"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071</w:t>
            </w:r>
          </w:p>
        </w:tc>
        <w:tc>
          <w:tcPr>
            <w:tcW w:w="746" w:type="dxa"/>
          </w:tcPr>
          <w:p w14:paraId="54C8EE20"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003130</w:t>
            </w:r>
          </w:p>
        </w:tc>
      </w:tr>
      <w:tr w:rsidR="00307549" w:rsidRPr="00EA31BC" w14:paraId="4A6526AC" w14:textId="77777777" w:rsidTr="005C1100">
        <w:trPr>
          <w:trHeight w:val="60"/>
        </w:trPr>
        <w:tc>
          <w:tcPr>
            <w:tcW w:w="1075" w:type="dxa"/>
            <w:vAlign w:val="top"/>
          </w:tcPr>
          <w:p w14:paraId="0AFCF037" w14:textId="77777777" w:rsidR="009B7AED" w:rsidRPr="00EA31BC" w:rsidRDefault="009B7AED" w:rsidP="004156EA">
            <w:pPr>
              <w:pStyle w:val="TableTextDense"/>
              <w:rPr>
                <w:rFonts w:asciiTheme="minorHAnsi" w:hAnsiTheme="minorHAnsi" w:cstheme="minorHAnsi"/>
                <w:bCs/>
                <w:sz w:val="20"/>
                <w:szCs w:val="20"/>
              </w:rPr>
            </w:pPr>
            <w:r w:rsidRPr="00EA31BC">
              <w:rPr>
                <w:rFonts w:asciiTheme="minorHAnsi" w:hAnsiTheme="minorHAnsi" w:cstheme="minorHAnsi"/>
                <w:sz w:val="20"/>
                <w:szCs w:val="20"/>
              </w:rPr>
              <w:t>Content 03 Example:</w:t>
            </w:r>
          </w:p>
        </w:tc>
        <w:tc>
          <w:tcPr>
            <w:tcW w:w="360" w:type="dxa"/>
          </w:tcPr>
          <w:p w14:paraId="24982B80"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Z</w:t>
            </w:r>
          </w:p>
        </w:tc>
        <w:tc>
          <w:tcPr>
            <w:tcW w:w="423" w:type="dxa"/>
          </w:tcPr>
          <w:p w14:paraId="7CC985D8"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17</w:t>
            </w:r>
          </w:p>
        </w:tc>
        <w:tc>
          <w:tcPr>
            <w:tcW w:w="738" w:type="dxa"/>
          </w:tcPr>
          <w:p w14:paraId="5A20A016"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018119</w:t>
            </w:r>
          </w:p>
        </w:tc>
        <w:tc>
          <w:tcPr>
            <w:tcW w:w="342" w:type="dxa"/>
          </w:tcPr>
          <w:p w14:paraId="30AA4622"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7</w:t>
            </w:r>
          </w:p>
        </w:tc>
        <w:tc>
          <w:tcPr>
            <w:tcW w:w="342" w:type="dxa"/>
          </w:tcPr>
          <w:p w14:paraId="0F514D89"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1</w:t>
            </w:r>
          </w:p>
        </w:tc>
        <w:tc>
          <w:tcPr>
            <w:tcW w:w="614" w:type="dxa"/>
          </w:tcPr>
          <w:p w14:paraId="3D1849AD"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2021</w:t>
            </w:r>
          </w:p>
        </w:tc>
        <w:tc>
          <w:tcPr>
            <w:tcW w:w="615" w:type="dxa"/>
          </w:tcPr>
          <w:p w14:paraId="67CF4192"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11</w:t>
            </w:r>
          </w:p>
        </w:tc>
        <w:tc>
          <w:tcPr>
            <w:tcW w:w="614" w:type="dxa"/>
          </w:tcPr>
          <w:p w14:paraId="15136212"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09</w:t>
            </w:r>
          </w:p>
        </w:tc>
        <w:tc>
          <w:tcPr>
            <w:tcW w:w="615" w:type="dxa"/>
          </w:tcPr>
          <w:p w14:paraId="23A612D3"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07</w:t>
            </w:r>
          </w:p>
        </w:tc>
        <w:tc>
          <w:tcPr>
            <w:tcW w:w="614" w:type="dxa"/>
          </w:tcPr>
          <w:p w14:paraId="352CEAAA"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10</w:t>
            </w:r>
          </w:p>
        </w:tc>
        <w:tc>
          <w:tcPr>
            <w:tcW w:w="615" w:type="dxa"/>
          </w:tcPr>
          <w:p w14:paraId="17335693"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58</w:t>
            </w:r>
          </w:p>
        </w:tc>
        <w:tc>
          <w:tcPr>
            <w:tcW w:w="615" w:type="dxa"/>
          </w:tcPr>
          <w:p w14:paraId="278CFE93"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81</w:t>
            </w:r>
          </w:p>
        </w:tc>
        <w:tc>
          <w:tcPr>
            <w:tcW w:w="369" w:type="dxa"/>
          </w:tcPr>
          <w:p w14:paraId="670F1794"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Z</w:t>
            </w:r>
          </w:p>
        </w:tc>
        <w:tc>
          <w:tcPr>
            <w:tcW w:w="657" w:type="dxa"/>
          </w:tcPr>
          <w:p w14:paraId="49088239" w14:textId="77777777" w:rsidR="009B7AED" w:rsidRPr="00EA31BC" w:rsidRDefault="009B7AED" w:rsidP="00307549">
            <w:pPr>
              <w:pStyle w:val="TableTextDense"/>
              <w:jc w:val="center"/>
              <w:rPr>
                <w:rFonts w:asciiTheme="minorHAnsi" w:hAnsiTheme="minorHAnsi" w:cstheme="minorHAnsi"/>
                <w:color w:val="auto"/>
                <w:sz w:val="20"/>
                <w:szCs w:val="20"/>
              </w:rPr>
            </w:pPr>
            <w:r w:rsidRPr="00EA31BC">
              <w:rPr>
                <w:rFonts w:asciiTheme="minorHAnsi" w:hAnsiTheme="minorHAnsi" w:cstheme="minorHAnsi"/>
                <w:sz w:val="20"/>
                <w:szCs w:val="20"/>
              </w:rPr>
              <w:t>Blank</w:t>
            </w:r>
          </w:p>
        </w:tc>
        <w:tc>
          <w:tcPr>
            <w:tcW w:w="745" w:type="dxa"/>
          </w:tcPr>
          <w:p w14:paraId="6678AF67"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0593</w:t>
            </w:r>
          </w:p>
        </w:tc>
        <w:tc>
          <w:tcPr>
            <w:tcW w:w="746" w:type="dxa"/>
          </w:tcPr>
          <w:p w14:paraId="3EEDF56F"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07</w:t>
            </w:r>
          </w:p>
        </w:tc>
        <w:tc>
          <w:tcPr>
            <w:tcW w:w="745" w:type="dxa"/>
          </w:tcPr>
          <w:p w14:paraId="49ED7632"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04</w:t>
            </w:r>
          </w:p>
        </w:tc>
        <w:tc>
          <w:tcPr>
            <w:tcW w:w="746" w:type="dxa"/>
          </w:tcPr>
          <w:p w14:paraId="35DC31F5"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0174</w:t>
            </w:r>
          </w:p>
        </w:tc>
        <w:tc>
          <w:tcPr>
            <w:tcW w:w="745" w:type="dxa"/>
          </w:tcPr>
          <w:p w14:paraId="5B755D04"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070</w:t>
            </w:r>
          </w:p>
        </w:tc>
        <w:tc>
          <w:tcPr>
            <w:tcW w:w="746" w:type="dxa"/>
          </w:tcPr>
          <w:p w14:paraId="407E5A90"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041061</w:t>
            </w:r>
          </w:p>
        </w:tc>
      </w:tr>
      <w:tr w:rsidR="00307549" w:rsidRPr="00EA31BC" w14:paraId="060EE41B" w14:textId="77777777" w:rsidTr="005C1100">
        <w:trPr>
          <w:trHeight w:val="60"/>
        </w:trPr>
        <w:tc>
          <w:tcPr>
            <w:tcW w:w="1075" w:type="dxa"/>
            <w:vAlign w:val="top"/>
          </w:tcPr>
          <w:p w14:paraId="25895E97" w14:textId="77777777" w:rsidR="009B7AED" w:rsidRPr="00EA31BC" w:rsidRDefault="009B7AED" w:rsidP="004156EA">
            <w:pPr>
              <w:pStyle w:val="TableTextDense"/>
              <w:rPr>
                <w:rFonts w:asciiTheme="minorHAnsi" w:hAnsiTheme="minorHAnsi" w:cstheme="minorHAnsi"/>
                <w:sz w:val="20"/>
                <w:szCs w:val="20"/>
              </w:rPr>
            </w:pPr>
            <w:r w:rsidRPr="00EA31BC">
              <w:rPr>
                <w:rFonts w:asciiTheme="minorHAnsi" w:hAnsiTheme="minorHAnsi" w:cstheme="minorHAnsi"/>
                <w:sz w:val="20"/>
                <w:szCs w:val="20"/>
              </w:rPr>
              <w:t>Content 04 Example:</w:t>
            </w:r>
          </w:p>
        </w:tc>
        <w:tc>
          <w:tcPr>
            <w:tcW w:w="360" w:type="dxa"/>
          </w:tcPr>
          <w:p w14:paraId="21FE92FC"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Z</w:t>
            </w:r>
          </w:p>
        </w:tc>
        <w:tc>
          <w:tcPr>
            <w:tcW w:w="423" w:type="dxa"/>
          </w:tcPr>
          <w:p w14:paraId="3E599601"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17</w:t>
            </w:r>
          </w:p>
        </w:tc>
        <w:tc>
          <w:tcPr>
            <w:tcW w:w="738" w:type="dxa"/>
          </w:tcPr>
          <w:p w14:paraId="0DDC70A5"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018119</w:t>
            </w:r>
          </w:p>
        </w:tc>
        <w:tc>
          <w:tcPr>
            <w:tcW w:w="342" w:type="dxa"/>
          </w:tcPr>
          <w:p w14:paraId="5CDA19F8"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7</w:t>
            </w:r>
          </w:p>
        </w:tc>
        <w:tc>
          <w:tcPr>
            <w:tcW w:w="342" w:type="dxa"/>
          </w:tcPr>
          <w:p w14:paraId="3623297E"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1</w:t>
            </w:r>
          </w:p>
        </w:tc>
        <w:tc>
          <w:tcPr>
            <w:tcW w:w="614" w:type="dxa"/>
          </w:tcPr>
          <w:p w14:paraId="7DFB9DE9"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2021</w:t>
            </w:r>
          </w:p>
        </w:tc>
        <w:tc>
          <w:tcPr>
            <w:tcW w:w="615" w:type="dxa"/>
          </w:tcPr>
          <w:p w14:paraId="38E5FD5D"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11</w:t>
            </w:r>
          </w:p>
        </w:tc>
        <w:tc>
          <w:tcPr>
            <w:tcW w:w="614" w:type="dxa"/>
          </w:tcPr>
          <w:p w14:paraId="6A35AD3A"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09</w:t>
            </w:r>
          </w:p>
        </w:tc>
        <w:tc>
          <w:tcPr>
            <w:tcW w:w="615" w:type="dxa"/>
          </w:tcPr>
          <w:p w14:paraId="28437F1C"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07</w:t>
            </w:r>
          </w:p>
        </w:tc>
        <w:tc>
          <w:tcPr>
            <w:tcW w:w="614" w:type="dxa"/>
          </w:tcPr>
          <w:p w14:paraId="4070245F"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10</w:t>
            </w:r>
          </w:p>
        </w:tc>
        <w:tc>
          <w:tcPr>
            <w:tcW w:w="615" w:type="dxa"/>
          </w:tcPr>
          <w:p w14:paraId="29302A21"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80</w:t>
            </w:r>
          </w:p>
        </w:tc>
        <w:tc>
          <w:tcPr>
            <w:tcW w:w="615" w:type="dxa"/>
          </w:tcPr>
          <w:p w14:paraId="37CCF0C2"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45</w:t>
            </w:r>
          </w:p>
        </w:tc>
        <w:tc>
          <w:tcPr>
            <w:tcW w:w="369" w:type="dxa"/>
          </w:tcPr>
          <w:p w14:paraId="4C3D01DE"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Z</w:t>
            </w:r>
          </w:p>
        </w:tc>
        <w:tc>
          <w:tcPr>
            <w:tcW w:w="657" w:type="dxa"/>
          </w:tcPr>
          <w:p w14:paraId="5B7D6EC0"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Blank</w:t>
            </w:r>
          </w:p>
        </w:tc>
        <w:tc>
          <w:tcPr>
            <w:tcW w:w="745" w:type="dxa"/>
          </w:tcPr>
          <w:p w14:paraId="760E9210"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0585</w:t>
            </w:r>
          </w:p>
        </w:tc>
        <w:tc>
          <w:tcPr>
            <w:tcW w:w="746" w:type="dxa"/>
          </w:tcPr>
          <w:p w14:paraId="2806799B"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10</w:t>
            </w:r>
          </w:p>
        </w:tc>
        <w:tc>
          <w:tcPr>
            <w:tcW w:w="745" w:type="dxa"/>
          </w:tcPr>
          <w:p w14:paraId="1B740AA6"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08</w:t>
            </w:r>
          </w:p>
        </w:tc>
        <w:tc>
          <w:tcPr>
            <w:tcW w:w="746" w:type="dxa"/>
          </w:tcPr>
          <w:p w14:paraId="4DC945E4"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0778</w:t>
            </w:r>
          </w:p>
        </w:tc>
        <w:tc>
          <w:tcPr>
            <w:tcW w:w="745" w:type="dxa"/>
          </w:tcPr>
          <w:p w14:paraId="3D8B0F86"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071</w:t>
            </w:r>
          </w:p>
        </w:tc>
        <w:tc>
          <w:tcPr>
            <w:tcW w:w="746" w:type="dxa"/>
          </w:tcPr>
          <w:p w14:paraId="1ADF5D66"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085300</w:t>
            </w:r>
          </w:p>
        </w:tc>
      </w:tr>
      <w:tr w:rsidR="00307549" w:rsidRPr="00EA31BC" w14:paraId="58FBC5DE" w14:textId="77777777" w:rsidTr="005C1100">
        <w:trPr>
          <w:trHeight w:val="60"/>
        </w:trPr>
        <w:tc>
          <w:tcPr>
            <w:tcW w:w="1075" w:type="dxa"/>
            <w:vAlign w:val="top"/>
          </w:tcPr>
          <w:p w14:paraId="04518F51" w14:textId="77777777" w:rsidR="009B7AED" w:rsidRPr="00EA31BC" w:rsidRDefault="009B7AED" w:rsidP="004156EA">
            <w:pPr>
              <w:pStyle w:val="TableTextDense"/>
              <w:rPr>
                <w:rFonts w:asciiTheme="minorHAnsi" w:hAnsiTheme="minorHAnsi" w:cstheme="minorHAnsi"/>
                <w:sz w:val="20"/>
                <w:szCs w:val="20"/>
              </w:rPr>
            </w:pPr>
            <w:r w:rsidRPr="00EA31BC">
              <w:rPr>
                <w:rFonts w:asciiTheme="minorHAnsi" w:hAnsiTheme="minorHAnsi" w:cstheme="minorHAnsi"/>
                <w:sz w:val="20"/>
                <w:szCs w:val="20"/>
              </w:rPr>
              <w:t>Content 05 Example:</w:t>
            </w:r>
          </w:p>
        </w:tc>
        <w:tc>
          <w:tcPr>
            <w:tcW w:w="360" w:type="dxa"/>
          </w:tcPr>
          <w:p w14:paraId="47F3D00C"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Z</w:t>
            </w:r>
          </w:p>
        </w:tc>
        <w:tc>
          <w:tcPr>
            <w:tcW w:w="423" w:type="dxa"/>
          </w:tcPr>
          <w:p w14:paraId="6F8129FC"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17</w:t>
            </w:r>
          </w:p>
        </w:tc>
        <w:tc>
          <w:tcPr>
            <w:tcW w:w="738" w:type="dxa"/>
          </w:tcPr>
          <w:p w14:paraId="49348947"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018119</w:t>
            </w:r>
          </w:p>
        </w:tc>
        <w:tc>
          <w:tcPr>
            <w:tcW w:w="342" w:type="dxa"/>
          </w:tcPr>
          <w:p w14:paraId="7F8355CF"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7</w:t>
            </w:r>
          </w:p>
        </w:tc>
        <w:tc>
          <w:tcPr>
            <w:tcW w:w="342" w:type="dxa"/>
          </w:tcPr>
          <w:p w14:paraId="6C7FF16A"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1</w:t>
            </w:r>
          </w:p>
        </w:tc>
        <w:tc>
          <w:tcPr>
            <w:tcW w:w="614" w:type="dxa"/>
          </w:tcPr>
          <w:p w14:paraId="035D5C3C"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2021</w:t>
            </w:r>
          </w:p>
        </w:tc>
        <w:tc>
          <w:tcPr>
            <w:tcW w:w="615" w:type="dxa"/>
          </w:tcPr>
          <w:p w14:paraId="2FA80C7D"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11</w:t>
            </w:r>
          </w:p>
        </w:tc>
        <w:tc>
          <w:tcPr>
            <w:tcW w:w="614" w:type="dxa"/>
          </w:tcPr>
          <w:p w14:paraId="5CF3F512"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09</w:t>
            </w:r>
          </w:p>
        </w:tc>
        <w:tc>
          <w:tcPr>
            <w:tcW w:w="615" w:type="dxa"/>
          </w:tcPr>
          <w:p w14:paraId="160D8F54"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07</w:t>
            </w:r>
          </w:p>
        </w:tc>
        <w:tc>
          <w:tcPr>
            <w:tcW w:w="614" w:type="dxa"/>
          </w:tcPr>
          <w:p w14:paraId="2140508D"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20</w:t>
            </w:r>
          </w:p>
        </w:tc>
        <w:tc>
          <w:tcPr>
            <w:tcW w:w="615" w:type="dxa"/>
          </w:tcPr>
          <w:p w14:paraId="3B5EEC31"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25</w:t>
            </w:r>
          </w:p>
        </w:tc>
        <w:tc>
          <w:tcPr>
            <w:tcW w:w="615" w:type="dxa"/>
          </w:tcPr>
          <w:p w14:paraId="4397EBC4"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13</w:t>
            </w:r>
          </w:p>
        </w:tc>
        <w:tc>
          <w:tcPr>
            <w:tcW w:w="369" w:type="dxa"/>
          </w:tcPr>
          <w:p w14:paraId="363CA17C"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Z</w:t>
            </w:r>
          </w:p>
        </w:tc>
        <w:tc>
          <w:tcPr>
            <w:tcW w:w="657" w:type="dxa"/>
          </w:tcPr>
          <w:p w14:paraId="4F0BDF5F"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Blank</w:t>
            </w:r>
          </w:p>
        </w:tc>
        <w:tc>
          <w:tcPr>
            <w:tcW w:w="745" w:type="dxa"/>
          </w:tcPr>
          <w:p w14:paraId="15852ABD"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0601</w:t>
            </w:r>
          </w:p>
        </w:tc>
        <w:tc>
          <w:tcPr>
            <w:tcW w:w="746" w:type="dxa"/>
          </w:tcPr>
          <w:p w14:paraId="30C5455D"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09</w:t>
            </w:r>
          </w:p>
        </w:tc>
        <w:tc>
          <w:tcPr>
            <w:tcW w:w="745" w:type="dxa"/>
          </w:tcPr>
          <w:p w14:paraId="1B02DD2D"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05</w:t>
            </w:r>
          </w:p>
        </w:tc>
        <w:tc>
          <w:tcPr>
            <w:tcW w:w="746" w:type="dxa"/>
          </w:tcPr>
          <w:p w14:paraId="57EBB966"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0652</w:t>
            </w:r>
          </w:p>
        </w:tc>
        <w:tc>
          <w:tcPr>
            <w:tcW w:w="745" w:type="dxa"/>
          </w:tcPr>
          <w:p w14:paraId="093464C9"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070</w:t>
            </w:r>
          </w:p>
        </w:tc>
        <w:tc>
          <w:tcPr>
            <w:tcW w:w="746" w:type="dxa"/>
          </w:tcPr>
          <w:p w14:paraId="3A0B279F" w14:textId="77777777" w:rsidR="009B7AED" w:rsidRPr="00EA31BC" w:rsidRDefault="009B7AED" w:rsidP="00307549">
            <w:pPr>
              <w:pStyle w:val="TableTextDense"/>
              <w:jc w:val="center"/>
              <w:rPr>
                <w:rFonts w:asciiTheme="minorHAnsi" w:hAnsiTheme="minorHAnsi" w:cstheme="minorHAnsi"/>
                <w:sz w:val="20"/>
                <w:szCs w:val="20"/>
              </w:rPr>
            </w:pPr>
            <w:r w:rsidRPr="00EA31BC">
              <w:rPr>
                <w:rFonts w:asciiTheme="minorHAnsi" w:hAnsiTheme="minorHAnsi" w:cstheme="minorHAnsi"/>
                <w:sz w:val="20"/>
                <w:szCs w:val="20"/>
              </w:rPr>
              <w:t>077940</w:t>
            </w:r>
          </w:p>
        </w:tc>
      </w:tr>
    </w:tbl>
    <w:p w14:paraId="4DE2BDF3" w14:textId="77777777" w:rsidR="009B7AED" w:rsidRPr="00A26E43" w:rsidRDefault="009B7AED" w:rsidP="00EA31BC">
      <w:pPr>
        <w:keepNext/>
        <w:widowControl/>
        <w:spacing w:before="120" w:after="120"/>
        <w:rPr>
          <w:i/>
          <w:iCs/>
        </w:rPr>
      </w:pPr>
      <w:r w:rsidRPr="00877387">
        <w:rPr>
          <w:i/>
          <w:iCs/>
        </w:rPr>
        <w:t>continued</w:t>
      </w:r>
    </w:p>
    <w:tbl>
      <w:tblPr>
        <w:tblStyle w:val="TMGTable"/>
        <w:tblW w:w="13063"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1075"/>
        <w:gridCol w:w="739"/>
        <w:gridCol w:w="821"/>
        <w:gridCol w:w="821"/>
        <w:gridCol w:w="821"/>
        <w:gridCol w:w="670"/>
        <w:gridCol w:w="730"/>
        <w:gridCol w:w="730"/>
        <w:gridCol w:w="730"/>
        <w:gridCol w:w="730"/>
        <w:gridCol w:w="866"/>
        <w:gridCol w:w="866"/>
        <w:gridCol w:w="866"/>
        <w:gridCol w:w="866"/>
        <w:gridCol w:w="866"/>
        <w:gridCol w:w="866"/>
      </w:tblGrid>
      <w:tr w:rsidR="009B7AED" w:rsidRPr="00307549" w14:paraId="1F9CDB82" w14:textId="77777777" w:rsidTr="005C1100">
        <w:trPr>
          <w:cnfStyle w:val="100000000000" w:firstRow="1" w:lastRow="0" w:firstColumn="0" w:lastColumn="0" w:oddVBand="0" w:evenVBand="0" w:oddHBand="0" w:evenHBand="0" w:firstRowFirstColumn="0" w:firstRowLastColumn="0" w:lastRowFirstColumn="0" w:lastRowLastColumn="0"/>
          <w:trHeight w:val="60"/>
        </w:trPr>
        <w:tc>
          <w:tcPr>
            <w:tcW w:w="1075" w:type="dxa"/>
          </w:tcPr>
          <w:p w14:paraId="0E9DE720" w14:textId="77777777" w:rsidR="009B7AED" w:rsidRPr="00307549" w:rsidRDefault="009B7AED" w:rsidP="004156EA">
            <w:pPr>
              <w:pStyle w:val="TableTextDense"/>
              <w:rPr>
                <w:rFonts w:asciiTheme="minorHAnsi" w:hAnsiTheme="minorHAnsi" w:cstheme="minorHAnsi"/>
                <w:b w:val="0"/>
                <w:bCs w:val="0"/>
                <w:sz w:val="20"/>
                <w:szCs w:val="20"/>
              </w:rPr>
            </w:pPr>
            <w:r w:rsidRPr="00307549">
              <w:rPr>
                <w:rFonts w:asciiTheme="minorHAnsi" w:hAnsiTheme="minorHAnsi" w:cstheme="minorHAnsi"/>
                <w:sz w:val="20"/>
                <w:szCs w:val="20"/>
              </w:rPr>
              <w:t>Column Number:</w:t>
            </w:r>
          </w:p>
        </w:tc>
        <w:tc>
          <w:tcPr>
            <w:tcW w:w="739" w:type="dxa"/>
          </w:tcPr>
          <w:p w14:paraId="5AB873EA" w14:textId="77777777" w:rsidR="009B7AED" w:rsidRPr="00307549" w:rsidRDefault="009B7AED" w:rsidP="00307549">
            <w:pPr>
              <w:pStyle w:val="TableTextDense"/>
              <w:jc w:val="center"/>
              <w:rPr>
                <w:rFonts w:asciiTheme="minorHAnsi" w:hAnsiTheme="minorHAnsi" w:cstheme="minorHAnsi"/>
                <w:b w:val="0"/>
                <w:bCs w:val="0"/>
                <w:sz w:val="20"/>
                <w:szCs w:val="20"/>
              </w:rPr>
            </w:pPr>
            <w:r w:rsidRPr="00307549">
              <w:rPr>
                <w:rFonts w:asciiTheme="minorHAnsi" w:hAnsiTheme="minorHAnsi" w:cstheme="minorHAnsi"/>
                <w:sz w:val="20"/>
                <w:szCs w:val="20"/>
              </w:rPr>
              <w:t>55-59</w:t>
            </w:r>
          </w:p>
        </w:tc>
        <w:tc>
          <w:tcPr>
            <w:tcW w:w="821" w:type="dxa"/>
          </w:tcPr>
          <w:p w14:paraId="7143C82C" w14:textId="77777777" w:rsidR="009B7AED" w:rsidRPr="00307549" w:rsidRDefault="009B7AED" w:rsidP="00307549">
            <w:pPr>
              <w:pStyle w:val="TableTextDense"/>
              <w:jc w:val="center"/>
              <w:rPr>
                <w:rFonts w:asciiTheme="minorHAnsi" w:hAnsiTheme="minorHAnsi" w:cstheme="minorHAnsi"/>
                <w:b w:val="0"/>
                <w:bCs w:val="0"/>
                <w:sz w:val="20"/>
                <w:szCs w:val="20"/>
              </w:rPr>
            </w:pPr>
            <w:r w:rsidRPr="00307549">
              <w:rPr>
                <w:rFonts w:asciiTheme="minorHAnsi" w:hAnsiTheme="minorHAnsi" w:cstheme="minorHAnsi"/>
                <w:sz w:val="20"/>
                <w:szCs w:val="20"/>
              </w:rPr>
              <w:t>60-64</w:t>
            </w:r>
          </w:p>
        </w:tc>
        <w:tc>
          <w:tcPr>
            <w:tcW w:w="821" w:type="dxa"/>
          </w:tcPr>
          <w:p w14:paraId="50633CF7" w14:textId="77777777" w:rsidR="009B7AED" w:rsidRPr="00307549" w:rsidRDefault="009B7AED" w:rsidP="00307549">
            <w:pPr>
              <w:pStyle w:val="TableTextDense"/>
              <w:jc w:val="center"/>
              <w:rPr>
                <w:rFonts w:asciiTheme="minorHAnsi" w:hAnsiTheme="minorHAnsi" w:cstheme="minorHAnsi"/>
                <w:b w:val="0"/>
                <w:bCs w:val="0"/>
                <w:sz w:val="20"/>
                <w:szCs w:val="20"/>
              </w:rPr>
            </w:pPr>
            <w:r w:rsidRPr="00307549">
              <w:rPr>
                <w:rFonts w:asciiTheme="minorHAnsi" w:hAnsiTheme="minorHAnsi" w:cstheme="minorHAnsi"/>
                <w:sz w:val="20"/>
                <w:szCs w:val="20"/>
              </w:rPr>
              <w:t>65-68</w:t>
            </w:r>
          </w:p>
        </w:tc>
        <w:tc>
          <w:tcPr>
            <w:tcW w:w="821" w:type="dxa"/>
          </w:tcPr>
          <w:p w14:paraId="0A26A8AD" w14:textId="77777777" w:rsidR="009B7AED" w:rsidRPr="00307549" w:rsidRDefault="009B7AED" w:rsidP="00307549">
            <w:pPr>
              <w:pStyle w:val="TableTextDense"/>
              <w:jc w:val="center"/>
              <w:rPr>
                <w:rFonts w:asciiTheme="minorHAnsi" w:hAnsiTheme="minorHAnsi" w:cstheme="minorHAnsi"/>
                <w:b w:val="0"/>
                <w:bCs w:val="0"/>
                <w:sz w:val="20"/>
                <w:szCs w:val="20"/>
              </w:rPr>
            </w:pPr>
            <w:r w:rsidRPr="00307549">
              <w:rPr>
                <w:rFonts w:asciiTheme="minorHAnsi" w:hAnsiTheme="minorHAnsi" w:cstheme="minorHAnsi"/>
                <w:sz w:val="20"/>
                <w:szCs w:val="20"/>
              </w:rPr>
              <w:t>69-73</w:t>
            </w:r>
          </w:p>
        </w:tc>
        <w:tc>
          <w:tcPr>
            <w:tcW w:w="670" w:type="dxa"/>
          </w:tcPr>
          <w:p w14:paraId="08219944" w14:textId="77777777" w:rsidR="009B7AED" w:rsidRPr="00307549" w:rsidRDefault="009B7AED" w:rsidP="00307549">
            <w:pPr>
              <w:pStyle w:val="TableTextDense"/>
              <w:jc w:val="center"/>
              <w:rPr>
                <w:rFonts w:asciiTheme="minorHAnsi" w:hAnsiTheme="minorHAnsi" w:cstheme="minorHAnsi"/>
                <w:b w:val="0"/>
                <w:bCs w:val="0"/>
                <w:sz w:val="20"/>
                <w:szCs w:val="20"/>
              </w:rPr>
            </w:pPr>
            <w:r w:rsidRPr="00307549">
              <w:rPr>
                <w:rFonts w:asciiTheme="minorHAnsi" w:hAnsiTheme="minorHAnsi" w:cstheme="minorHAnsi"/>
                <w:sz w:val="20"/>
                <w:szCs w:val="20"/>
              </w:rPr>
              <w:t>74-78</w:t>
            </w:r>
          </w:p>
        </w:tc>
        <w:tc>
          <w:tcPr>
            <w:tcW w:w="730" w:type="dxa"/>
          </w:tcPr>
          <w:p w14:paraId="0C0183D2" w14:textId="77777777" w:rsidR="009B7AED" w:rsidRPr="00307549" w:rsidRDefault="009B7AED" w:rsidP="00307549">
            <w:pPr>
              <w:pStyle w:val="TableTextDense"/>
              <w:jc w:val="center"/>
              <w:rPr>
                <w:rFonts w:asciiTheme="minorHAnsi" w:hAnsiTheme="minorHAnsi" w:cstheme="minorHAnsi"/>
                <w:b w:val="0"/>
                <w:bCs w:val="0"/>
                <w:sz w:val="20"/>
                <w:szCs w:val="20"/>
              </w:rPr>
            </w:pPr>
            <w:r w:rsidRPr="00307549">
              <w:rPr>
                <w:rFonts w:asciiTheme="minorHAnsi" w:hAnsiTheme="minorHAnsi" w:cstheme="minorHAnsi"/>
                <w:sz w:val="20"/>
                <w:szCs w:val="20"/>
              </w:rPr>
              <w:t>79-82</w:t>
            </w:r>
          </w:p>
        </w:tc>
        <w:tc>
          <w:tcPr>
            <w:tcW w:w="730" w:type="dxa"/>
          </w:tcPr>
          <w:p w14:paraId="312AD905" w14:textId="77777777" w:rsidR="009B7AED" w:rsidRPr="00307549" w:rsidRDefault="009B7AED" w:rsidP="00307549">
            <w:pPr>
              <w:pStyle w:val="TableTextDense"/>
              <w:jc w:val="center"/>
              <w:rPr>
                <w:rFonts w:asciiTheme="minorHAnsi" w:hAnsiTheme="minorHAnsi" w:cstheme="minorHAnsi"/>
                <w:b w:val="0"/>
                <w:bCs w:val="0"/>
                <w:sz w:val="20"/>
                <w:szCs w:val="20"/>
              </w:rPr>
            </w:pPr>
            <w:r w:rsidRPr="00307549">
              <w:rPr>
                <w:rFonts w:asciiTheme="minorHAnsi" w:hAnsiTheme="minorHAnsi" w:cstheme="minorHAnsi"/>
                <w:sz w:val="20"/>
                <w:szCs w:val="20"/>
              </w:rPr>
              <w:t>83-87</w:t>
            </w:r>
          </w:p>
        </w:tc>
        <w:tc>
          <w:tcPr>
            <w:tcW w:w="730" w:type="dxa"/>
          </w:tcPr>
          <w:p w14:paraId="53D46477" w14:textId="77777777" w:rsidR="009B7AED" w:rsidRPr="00307549" w:rsidRDefault="009B7AED" w:rsidP="00307549">
            <w:pPr>
              <w:pStyle w:val="TableTextDense"/>
              <w:jc w:val="center"/>
              <w:rPr>
                <w:rFonts w:asciiTheme="minorHAnsi" w:hAnsiTheme="minorHAnsi" w:cstheme="minorHAnsi"/>
                <w:b w:val="0"/>
                <w:bCs w:val="0"/>
                <w:sz w:val="20"/>
                <w:szCs w:val="20"/>
              </w:rPr>
            </w:pPr>
            <w:r w:rsidRPr="00307549">
              <w:rPr>
                <w:rFonts w:asciiTheme="minorHAnsi" w:hAnsiTheme="minorHAnsi" w:cstheme="minorHAnsi"/>
                <w:sz w:val="20"/>
                <w:szCs w:val="20"/>
              </w:rPr>
              <w:t>88-92</w:t>
            </w:r>
          </w:p>
        </w:tc>
        <w:tc>
          <w:tcPr>
            <w:tcW w:w="730" w:type="dxa"/>
          </w:tcPr>
          <w:p w14:paraId="161F064B" w14:textId="77777777" w:rsidR="009B7AED" w:rsidRPr="00307549" w:rsidRDefault="009B7AED" w:rsidP="00307549">
            <w:pPr>
              <w:pStyle w:val="TableTextDense"/>
              <w:jc w:val="center"/>
              <w:rPr>
                <w:rFonts w:asciiTheme="minorHAnsi" w:hAnsiTheme="minorHAnsi" w:cstheme="minorHAnsi"/>
                <w:b w:val="0"/>
                <w:bCs w:val="0"/>
                <w:sz w:val="20"/>
                <w:szCs w:val="20"/>
              </w:rPr>
            </w:pPr>
            <w:r w:rsidRPr="00307549">
              <w:rPr>
                <w:rFonts w:asciiTheme="minorHAnsi" w:hAnsiTheme="minorHAnsi" w:cstheme="minorHAnsi"/>
                <w:sz w:val="20"/>
                <w:szCs w:val="20"/>
              </w:rPr>
              <w:t>93-96</w:t>
            </w:r>
          </w:p>
        </w:tc>
        <w:tc>
          <w:tcPr>
            <w:tcW w:w="866" w:type="dxa"/>
          </w:tcPr>
          <w:p w14:paraId="3F4135A6" w14:textId="77777777" w:rsidR="009B7AED" w:rsidRPr="00307549" w:rsidRDefault="009B7AED" w:rsidP="00307549">
            <w:pPr>
              <w:pStyle w:val="TableTextDense"/>
              <w:jc w:val="center"/>
              <w:rPr>
                <w:rFonts w:asciiTheme="minorHAnsi" w:hAnsiTheme="minorHAnsi" w:cstheme="minorHAnsi"/>
                <w:b w:val="0"/>
                <w:bCs w:val="0"/>
                <w:sz w:val="20"/>
                <w:szCs w:val="20"/>
              </w:rPr>
            </w:pPr>
            <w:r w:rsidRPr="00307549">
              <w:rPr>
                <w:rFonts w:asciiTheme="minorHAnsi" w:hAnsiTheme="minorHAnsi" w:cstheme="minorHAnsi"/>
                <w:sz w:val="20"/>
                <w:szCs w:val="20"/>
              </w:rPr>
              <w:t>97-101</w:t>
            </w:r>
          </w:p>
        </w:tc>
        <w:tc>
          <w:tcPr>
            <w:tcW w:w="866" w:type="dxa"/>
          </w:tcPr>
          <w:p w14:paraId="43B4094E" w14:textId="77777777" w:rsidR="009B7AED" w:rsidRPr="00307549" w:rsidRDefault="009B7AED" w:rsidP="00307549">
            <w:pPr>
              <w:pStyle w:val="TableTextDense"/>
              <w:jc w:val="center"/>
              <w:rPr>
                <w:rFonts w:asciiTheme="minorHAnsi" w:hAnsiTheme="minorHAnsi" w:cstheme="minorHAnsi"/>
                <w:b w:val="0"/>
                <w:bCs w:val="0"/>
                <w:sz w:val="20"/>
                <w:szCs w:val="20"/>
              </w:rPr>
            </w:pPr>
            <w:r w:rsidRPr="00307549">
              <w:rPr>
                <w:rFonts w:asciiTheme="minorHAnsi" w:hAnsiTheme="minorHAnsi" w:cstheme="minorHAnsi"/>
                <w:sz w:val="20"/>
                <w:szCs w:val="20"/>
              </w:rPr>
              <w:t>102-106</w:t>
            </w:r>
          </w:p>
        </w:tc>
        <w:tc>
          <w:tcPr>
            <w:tcW w:w="866" w:type="dxa"/>
          </w:tcPr>
          <w:p w14:paraId="6CD5D3AB" w14:textId="77777777" w:rsidR="009B7AED" w:rsidRPr="00307549" w:rsidRDefault="009B7AED" w:rsidP="00307549">
            <w:pPr>
              <w:pStyle w:val="TableTextDense"/>
              <w:jc w:val="center"/>
              <w:rPr>
                <w:rFonts w:asciiTheme="minorHAnsi" w:hAnsiTheme="minorHAnsi" w:cstheme="minorHAnsi"/>
                <w:b w:val="0"/>
                <w:bCs w:val="0"/>
                <w:sz w:val="20"/>
                <w:szCs w:val="20"/>
              </w:rPr>
            </w:pPr>
            <w:r w:rsidRPr="00307549">
              <w:rPr>
                <w:rFonts w:asciiTheme="minorHAnsi" w:hAnsiTheme="minorHAnsi" w:cstheme="minorHAnsi"/>
                <w:sz w:val="20"/>
                <w:szCs w:val="20"/>
              </w:rPr>
              <w:t>107-110</w:t>
            </w:r>
          </w:p>
        </w:tc>
        <w:tc>
          <w:tcPr>
            <w:tcW w:w="866" w:type="dxa"/>
          </w:tcPr>
          <w:p w14:paraId="62263B42" w14:textId="77777777" w:rsidR="009B7AED" w:rsidRPr="00307549" w:rsidRDefault="009B7AED" w:rsidP="00307549">
            <w:pPr>
              <w:pStyle w:val="TableTextDense"/>
              <w:jc w:val="center"/>
              <w:rPr>
                <w:rFonts w:asciiTheme="minorHAnsi" w:hAnsiTheme="minorHAnsi" w:cstheme="minorHAnsi"/>
                <w:b w:val="0"/>
                <w:bCs w:val="0"/>
                <w:sz w:val="20"/>
                <w:szCs w:val="20"/>
              </w:rPr>
            </w:pPr>
            <w:r w:rsidRPr="00307549">
              <w:rPr>
                <w:rFonts w:asciiTheme="minorHAnsi" w:hAnsiTheme="minorHAnsi" w:cstheme="minorHAnsi"/>
                <w:sz w:val="20"/>
                <w:szCs w:val="20"/>
              </w:rPr>
              <w:t>111-115</w:t>
            </w:r>
          </w:p>
        </w:tc>
        <w:tc>
          <w:tcPr>
            <w:tcW w:w="866" w:type="dxa"/>
          </w:tcPr>
          <w:p w14:paraId="6FBC41CB" w14:textId="77777777" w:rsidR="009B7AED" w:rsidRPr="00307549" w:rsidRDefault="009B7AED" w:rsidP="00307549">
            <w:pPr>
              <w:pStyle w:val="TableTextDense"/>
              <w:jc w:val="center"/>
              <w:rPr>
                <w:rFonts w:asciiTheme="minorHAnsi" w:hAnsiTheme="minorHAnsi" w:cstheme="minorHAnsi"/>
                <w:b w:val="0"/>
                <w:bCs w:val="0"/>
                <w:sz w:val="20"/>
                <w:szCs w:val="20"/>
              </w:rPr>
            </w:pPr>
            <w:r w:rsidRPr="00307549">
              <w:rPr>
                <w:rFonts w:asciiTheme="minorHAnsi" w:hAnsiTheme="minorHAnsi" w:cstheme="minorHAnsi"/>
                <w:sz w:val="20"/>
                <w:szCs w:val="20"/>
              </w:rPr>
              <w:t>116-120</w:t>
            </w:r>
          </w:p>
        </w:tc>
        <w:tc>
          <w:tcPr>
            <w:tcW w:w="866" w:type="dxa"/>
          </w:tcPr>
          <w:p w14:paraId="2434FB63" w14:textId="77777777" w:rsidR="009B7AED" w:rsidRPr="00307549" w:rsidRDefault="009B7AED" w:rsidP="00307549">
            <w:pPr>
              <w:pStyle w:val="TableTextDense"/>
              <w:jc w:val="center"/>
              <w:rPr>
                <w:rFonts w:asciiTheme="minorHAnsi" w:hAnsiTheme="minorHAnsi" w:cstheme="minorHAnsi"/>
                <w:b w:val="0"/>
                <w:bCs w:val="0"/>
                <w:sz w:val="20"/>
                <w:szCs w:val="20"/>
              </w:rPr>
            </w:pPr>
            <w:r w:rsidRPr="00307549">
              <w:rPr>
                <w:rFonts w:asciiTheme="minorHAnsi" w:hAnsiTheme="minorHAnsi" w:cstheme="minorHAnsi"/>
                <w:sz w:val="20"/>
                <w:szCs w:val="20"/>
              </w:rPr>
              <w:t>121-124</w:t>
            </w:r>
          </w:p>
        </w:tc>
      </w:tr>
      <w:tr w:rsidR="009B7AED" w:rsidRPr="00307549" w14:paraId="6B016B09" w14:textId="77777777" w:rsidTr="005C1100">
        <w:trPr>
          <w:trHeight w:val="60"/>
        </w:trPr>
        <w:tc>
          <w:tcPr>
            <w:tcW w:w="1075" w:type="dxa"/>
          </w:tcPr>
          <w:p w14:paraId="5F9DDC32" w14:textId="77777777" w:rsidR="009B7AED" w:rsidRPr="00307549" w:rsidRDefault="009B7AED" w:rsidP="004156EA">
            <w:pPr>
              <w:pStyle w:val="TableTextDense"/>
              <w:rPr>
                <w:rFonts w:asciiTheme="minorHAnsi" w:hAnsiTheme="minorHAnsi" w:cstheme="minorHAnsi"/>
                <w:sz w:val="20"/>
                <w:szCs w:val="20"/>
              </w:rPr>
            </w:pPr>
            <w:r w:rsidRPr="00307549">
              <w:rPr>
                <w:rFonts w:asciiTheme="minorHAnsi" w:hAnsiTheme="minorHAnsi" w:cstheme="minorHAnsi"/>
                <w:sz w:val="20"/>
                <w:szCs w:val="20"/>
              </w:rPr>
              <w:t>Content 01 Example:</w:t>
            </w:r>
          </w:p>
        </w:tc>
        <w:tc>
          <w:tcPr>
            <w:tcW w:w="739" w:type="dxa"/>
          </w:tcPr>
          <w:p w14:paraId="46155F6D"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00075</w:t>
            </w:r>
          </w:p>
        </w:tc>
        <w:tc>
          <w:tcPr>
            <w:tcW w:w="821" w:type="dxa"/>
          </w:tcPr>
          <w:p w14:paraId="3CFABCB4"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00065</w:t>
            </w:r>
          </w:p>
        </w:tc>
        <w:tc>
          <w:tcPr>
            <w:tcW w:w="821" w:type="dxa"/>
          </w:tcPr>
          <w:p w14:paraId="7A2612A3"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0051</w:t>
            </w:r>
          </w:p>
        </w:tc>
        <w:tc>
          <w:tcPr>
            <w:tcW w:w="821" w:type="dxa"/>
          </w:tcPr>
          <w:p w14:paraId="21A601D6"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00065</w:t>
            </w:r>
          </w:p>
        </w:tc>
        <w:tc>
          <w:tcPr>
            <w:tcW w:w="670" w:type="dxa"/>
          </w:tcPr>
          <w:p w14:paraId="78A123B7"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00060</w:t>
            </w:r>
          </w:p>
        </w:tc>
        <w:tc>
          <w:tcPr>
            <w:tcW w:w="730" w:type="dxa"/>
          </w:tcPr>
          <w:p w14:paraId="58E40D6E"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Blank</w:t>
            </w:r>
          </w:p>
        </w:tc>
        <w:tc>
          <w:tcPr>
            <w:tcW w:w="730" w:type="dxa"/>
          </w:tcPr>
          <w:p w14:paraId="3FE408CE"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Blank</w:t>
            </w:r>
          </w:p>
        </w:tc>
        <w:tc>
          <w:tcPr>
            <w:tcW w:w="730" w:type="dxa"/>
          </w:tcPr>
          <w:p w14:paraId="2A32AA7E"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Blank</w:t>
            </w:r>
          </w:p>
        </w:tc>
        <w:tc>
          <w:tcPr>
            <w:tcW w:w="730" w:type="dxa"/>
          </w:tcPr>
          <w:p w14:paraId="74C36D93"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Blank</w:t>
            </w:r>
          </w:p>
        </w:tc>
        <w:tc>
          <w:tcPr>
            <w:tcW w:w="866" w:type="dxa"/>
          </w:tcPr>
          <w:p w14:paraId="084F9D63"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Blank</w:t>
            </w:r>
          </w:p>
        </w:tc>
        <w:tc>
          <w:tcPr>
            <w:tcW w:w="866" w:type="dxa"/>
          </w:tcPr>
          <w:p w14:paraId="7155918A"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Blank</w:t>
            </w:r>
          </w:p>
        </w:tc>
        <w:tc>
          <w:tcPr>
            <w:tcW w:w="866" w:type="dxa"/>
          </w:tcPr>
          <w:p w14:paraId="7ABD4C45"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Blank</w:t>
            </w:r>
          </w:p>
        </w:tc>
        <w:tc>
          <w:tcPr>
            <w:tcW w:w="866" w:type="dxa"/>
          </w:tcPr>
          <w:p w14:paraId="4B23FE0F"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Blank</w:t>
            </w:r>
          </w:p>
        </w:tc>
        <w:tc>
          <w:tcPr>
            <w:tcW w:w="866" w:type="dxa"/>
          </w:tcPr>
          <w:p w14:paraId="3ED65D31"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Blank</w:t>
            </w:r>
          </w:p>
        </w:tc>
        <w:tc>
          <w:tcPr>
            <w:tcW w:w="866" w:type="dxa"/>
          </w:tcPr>
          <w:p w14:paraId="40C1EF2D"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Blank</w:t>
            </w:r>
          </w:p>
        </w:tc>
      </w:tr>
      <w:tr w:rsidR="009B7AED" w:rsidRPr="00307549" w14:paraId="76662B0E" w14:textId="77777777" w:rsidTr="005C1100">
        <w:trPr>
          <w:trHeight w:val="60"/>
        </w:trPr>
        <w:tc>
          <w:tcPr>
            <w:tcW w:w="1075" w:type="dxa"/>
            <w:vAlign w:val="top"/>
          </w:tcPr>
          <w:p w14:paraId="3074225F" w14:textId="77777777" w:rsidR="009B7AED" w:rsidRPr="00307549" w:rsidRDefault="009B7AED" w:rsidP="004156EA">
            <w:pPr>
              <w:pStyle w:val="TableTextDense"/>
              <w:rPr>
                <w:rFonts w:asciiTheme="minorHAnsi" w:hAnsiTheme="minorHAnsi" w:cstheme="minorHAnsi"/>
                <w:sz w:val="20"/>
                <w:szCs w:val="20"/>
              </w:rPr>
            </w:pPr>
            <w:r w:rsidRPr="00307549">
              <w:rPr>
                <w:rFonts w:asciiTheme="minorHAnsi" w:hAnsiTheme="minorHAnsi" w:cstheme="minorHAnsi"/>
                <w:sz w:val="20"/>
                <w:szCs w:val="20"/>
              </w:rPr>
              <w:t>Content 02 Example:</w:t>
            </w:r>
          </w:p>
        </w:tc>
        <w:tc>
          <w:tcPr>
            <w:tcW w:w="739" w:type="dxa"/>
          </w:tcPr>
          <w:p w14:paraId="725751C7"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00780</w:t>
            </w:r>
          </w:p>
        </w:tc>
        <w:tc>
          <w:tcPr>
            <w:tcW w:w="821" w:type="dxa"/>
          </w:tcPr>
          <w:p w14:paraId="1AE93322"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00770</w:t>
            </w:r>
          </w:p>
        </w:tc>
        <w:tc>
          <w:tcPr>
            <w:tcW w:w="821" w:type="dxa"/>
          </w:tcPr>
          <w:p w14:paraId="7F5B724B"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0078</w:t>
            </w:r>
          </w:p>
        </w:tc>
        <w:tc>
          <w:tcPr>
            <w:tcW w:w="821" w:type="dxa"/>
          </w:tcPr>
          <w:p w14:paraId="723CAA5E"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00800</w:t>
            </w:r>
          </w:p>
        </w:tc>
        <w:tc>
          <w:tcPr>
            <w:tcW w:w="670" w:type="dxa"/>
          </w:tcPr>
          <w:p w14:paraId="1C60D38F"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00780</w:t>
            </w:r>
          </w:p>
        </w:tc>
        <w:tc>
          <w:tcPr>
            <w:tcW w:w="730" w:type="dxa"/>
          </w:tcPr>
          <w:p w14:paraId="49A0CEB8"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Blank</w:t>
            </w:r>
          </w:p>
        </w:tc>
        <w:tc>
          <w:tcPr>
            <w:tcW w:w="730" w:type="dxa"/>
          </w:tcPr>
          <w:p w14:paraId="39274468"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Blank</w:t>
            </w:r>
          </w:p>
        </w:tc>
        <w:tc>
          <w:tcPr>
            <w:tcW w:w="730" w:type="dxa"/>
          </w:tcPr>
          <w:p w14:paraId="32782246"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Blank</w:t>
            </w:r>
          </w:p>
        </w:tc>
        <w:tc>
          <w:tcPr>
            <w:tcW w:w="730" w:type="dxa"/>
          </w:tcPr>
          <w:p w14:paraId="45C79EC3"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Blank</w:t>
            </w:r>
          </w:p>
        </w:tc>
        <w:tc>
          <w:tcPr>
            <w:tcW w:w="866" w:type="dxa"/>
          </w:tcPr>
          <w:p w14:paraId="162275AF"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Blank</w:t>
            </w:r>
          </w:p>
        </w:tc>
        <w:tc>
          <w:tcPr>
            <w:tcW w:w="866" w:type="dxa"/>
          </w:tcPr>
          <w:p w14:paraId="4309820E"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Blank</w:t>
            </w:r>
          </w:p>
        </w:tc>
        <w:tc>
          <w:tcPr>
            <w:tcW w:w="866" w:type="dxa"/>
          </w:tcPr>
          <w:p w14:paraId="5ECF37DD"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Blank</w:t>
            </w:r>
          </w:p>
        </w:tc>
        <w:tc>
          <w:tcPr>
            <w:tcW w:w="866" w:type="dxa"/>
          </w:tcPr>
          <w:p w14:paraId="4E9EFEE3"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Blank</w:t>
            </w:r>
          </w:p>
        </w:tc>
        <w:tc>
          <w:tcPr>
            <w:tcW w:w="866" w:type="dxa"/>
          </w:tcPr>
          <w:p w14:paraId="44A52FFE"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Blank</w:t>
            </w:r>
          </w:p>
        </w:tc>
        <w:tc>
          <w:tcPr>
            <w:tcW w:w="866" w:type="dxa"/>
          </w:tcPr>
          <w:p w14:paraId="102F01D6"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Blank</w:t>
            </w:r>
          </w:p>
        </w:tc>
      </w:tr>
      <w:tr w:rsidR="009B7AED" w:rsidRPr="00307549" w14:paraId="5529D1E9" w14:textId="77777777" w:rsidTr="005C1100">
        <w:trPr>
          <w:trHeight w:val="60"/>
        </w:trPr>
        <w:tc>
          <w:tcPr>
            <w:tcW w:w="1075" w:type="dxa"/>
            <w:vAlign w:val="top"/>
          </w:tcPr>
          <w:p w14:paraId="488EC0C1" w14:textId="77777777" w:rsidR="009B7AED" w:rsidRPr="00307549" w:rsidRDefault="009B7AED" w:rsidP="004156EA">
            <w:pPr>
              <w:pStyle w:val="TableTextDense"/>
              <w:rPr>
                <w:rFonts w:asciiTheme="minorHAnsi" w:hAnsiTheme="minorHAnsi" w:cstheme="minorHAnsi"/>
                <w:sz w:val="20"/>
                <w:szCs w:val="20"/>
              </w:rPr>
            </w:pPr>
            <w:r w:rsidRPr="00307549">
              <w:rPr>
                <w:rFonts w:asciiTheme="minorHAnsi" w:hAnsiTheme="minorHAnsi" w:cstheme="minorHAnsi"/>
                <w:sz w:val="20"/>
                <w:szCs w:val="20"/>
              </w:rPr>
              <w:t>Content 03 Example:</w:t>
            </w:r>
          </w:p>
        </w:tc>
        <w:tc>
          <w:tcPr>
            <w:tcW w:w="739" w:type="dxa"/>
          </w:tcPr>
          <w:p w14:paraId="278591F1"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07335</w:t>
            </w:r>
          </w:p>
        </w:tc>
        <w:tc>
          <w:tcPr>
            <w:tcW w:w="821" w:type="dxa"/>
          </w:tcPr>
          <w:p w14:paraId="4A3C9E9F"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06742</w:t>
            </w:r>
          </w:p>
        </w:tc>
        <w:tc>
          <w:tcPr>
            <w:tcW w:w="821" w:type="dxa"/>
          </w:tcPr>
          <w:p w14:paraId="129E0BF6"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0128</w:t>
            </w:r>
          </w:p>
        </w:tc>
        <w:tc>
          <w:tcPr>
            <w:tcW w:w="821" w:type="dxa"/>
          </w:tcPr>
          <w:p w14:paraId="543D99CF"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03478</w:t>
            </w:r>
          </w:p>
        </w:tc>
        <w:tc>
          <w:tcPr>
            <w:tcW w:w="670" w:type="dxa"/>
          </w:tcPr>
          <w:p w14:paraId="5A4271F0"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03765</w:t>
            </w:r>
          </w:p>
        </w:tc>
        <w:tc>
          <w:tcPr>
            <w:tcW w:w="730" w:type="dxa"/>
          </w:tcPr>
          <w:p w14:paraId="4219F8ED"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0038</w:t>
            </w:r>
          </w:p>
        </w:tc>
        <w:tc>
          <w:tcPr>
            <w:tcW w:w="730" w:type="dxa"/>
          </w:tcPr>
          <w:p w14:paraId="796F75C9"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05200</w:t>
            </w:r>
          </w:p>
        </w:tc>
        <w:tc>
          <w:tcPr>
            <w:tcW w:w="730" w:type="dxa"/>
          </w:tcPr>
          <w:p w14:paraId="44068A1E"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04797</w:t>
            </w:r>
          </w:p>
        </w:tc>
        <w:tc>
          <w:tcPr>
            <w:tcW w:w="730" w:type="dxa"/>
          </w:tcPr>
          <w:p w14:paraId="49ED8288"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0045</w:t>
            </w:r>
          </w:p>
        </w:tc>
        <w:tc>
          <w:tcPr>
            <w:tcW w:w="866" w:type="dxa"/>
          </w:tcPr>
          <w:p w14:paraId="37B568E2"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04935</w:t>
            </w:r>
          </w:p>
        </w:tc>
        <w:tc>
          <w:tcPr>
            <w:tcW w:w="866" w:type="dxa"/>
          </w:tcPr>
          <w:p w14:paraId="458578E6"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04809</w:t>
            </w:r>
          </w:p>
        </w:tc>
        <w:tc>
          <w:tcPr>
            <w:tcW w:w="866" w:type="dxa"/>
          </w:tcPr>
          <w:p w14:paraId="2C7BDE61"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Blank</w:t>
            </w:r>
          </w:p>
        </w:tc>
        <w:tc>
          <w:tcPr>
            <w:tcW w:w="866" w:type="dxa"/>
          </w:tcPr>
          <w:p w14:paraId="270F0C60"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Blank</w:t>
            </w:r>
          </w:p>
        </w:tc>
        <w:tc>
          <w:tcPr>
            <w:tcW w:w="866" w:type="dxa"/>
          </w:tcPr>
          <w:p w14:paraId="075A9040"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Blank</w:t>
            </w:r>
          </w:p>
        </w:tc>
        <w:tc>
          <w:tcPr>
            <w:tcW w:w="866" w:type="dxa"/>
          </w:tcPr>
          <w:p w14:paraId="385CA4C4"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Blank</w:t>
            </w:r>
          </w:p>
        </w:tc>
      </w:tr>
      <w:tr w:rsidR="009B7AED" w:rsidRPr="00307549" w14:paraId="03856C68" w14:textId="77777777" w:rsidTr="005C1100">
        <w:trPr>
          <w:trHeight w:val="60"/>
        </w:trPr>
        <w:tc>
          <w:tcPr>
            <w:tcW w:w="1075" w:type="dxa"/>
            <w:vAlign w:val="top"/>
          </w:tcPr>
          <w:p w14:paraId="4066C843" w14:textId="77777777" w:rsidR="009B7AED" w:rsidRPr="00307549" w:rsidRDefault="009B7AED" w:rsidP="004156EA">
            <w:pPr>
              <w:pStyle w:val="TableTextDense"/>
              <w:rPr>
                <w:rFonts w:asciiTheme="minorHAnsi" w:hAnsiTheme="minorHAnsi" w:cstheme="minorHAnsi"/>
                <w:sz w:val="20"/>
                <w:szCs w:val="20"/>
              </w:rPr>
            </w:pPr>
            <w:r w:rsidRPr="00307549">
              <w:rPr>
                <w:rFonts w:asciiTheme="minorHAnsi" w:hAnsiTheme="minorHAnsi" w:cstheme="minorHAnsi"/>
                <w:sz w:val="20"/>
                <w:szCs w:val="20"/>
              </w:rPr>
              <w:t>Content 04 Example:</w:t>
            </w:r>
          </w:p>
        </w:tc>
        <w:tc>
          <w:tcPr>
            <w:tcW w:w="739" w:type="dxa"/>
          </w:tcPr>
          <w:p w14:paraId="421D8C67"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06025</w:t>
            </w:r>
          </w:p>
        </w:tc>
        <w:tc>
          <w:tcPr>
            <w:tcW w:w="821" w:type="dxa"/>
          </w:tcPr>
          <w:p w14:paraId="02A03200"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06055</w:t>
            </w:r>
          </w:p>
        </w:tc>
        <w:tc>
          <w:tcPr>
            <w:tcW w:w="821" w:type="dxa"/>
          </w:tcPr>
          <w:p w14:paraId="56AAD0A9"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0161</w:t>
            </w:r>
          </w:p>
        </w:tc>
        <w:tc>
          <w:tcPr>
            <w:tcW w:w="821" w:type="dxa"/>
          </w:tcPr>
          <w:p w14:paraId="7213D91B"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05705</w:t>
            </w:r>
          </w:p>
        </w:tc>
        <w:tc>
          <w:tcPr>
            <w:tcW w:w="670" w:type="dxa"/>
          </w:tcPr>
          <w:p w14:paraId="7E7CDF5C"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05885</w:t>
            </w:r>
          </w:p>
        </w:tc>
        <w:tc>
          <w:tcPr>
            <w:tcW w:w="730" w:type="dxa"/>
          </w:tcPr>
          <w:p w14:paraId="1791C4AF"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0042</w:t>
            </w:r>
          </w:p>
        </w:tc>
        <w:tc>
          <w:tcPr>
            <w:tcW w:w="730" w:type="dxa"/>
          </w:tcPr>
          <w:p w14:paraId="4E333594"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05870</w:t>
            </w:r>
          </w:p>
        </w:tc>
        <w:tc>
          <w:tcPr>
            <w:tcW w:w="730" w:type="dxa"/>
          </w:tcPr>
          <w:p w14:paraId="1D9B5DF6"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05940</w:t>
            </w:r>
          </w:p>
        </w:tc>
        <w:tc>
          <w:tcPr>
            <w:tcW w:w="730" w:type="dxa"/>
          </w:tcPr>
          <w:p w14:paraId="6C706F1F"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0042</w:t>
            </w:r>
          </w:p>
        </w:tc>
        <w:tc>
          <w:tcPr>
            <w:tcW w:w="866" w:type="dxa"/>
          </w:tcPr>
          <w:p w14:paraId="3063E06A"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05778</w:t>
            </w:r>
          </w:p>
        </w:tc>
        <w:tc>
          <w:tcPr>
            <w:tcW w:w="866" w:type="dxa"/>
          </w:tcPr>
          <w:p w14:paraId="02A50892" w14:textId="77777777" w:rsidR="009B7AED" w:rsidRPr="00307549" w:rsidDel="00B45920"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05822</w:t>
            </w:r>
          </w:p>
        </w:tc>
        <w:tc>
          <w:tcPr>
            <w:tcW w:w="866" w:type="dxa"/>
          </w:tcPr>
          <w:p w14:paraId="10467626"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0284</w:t>
            </w:r>
          </w:p>
        </w:tc>
        <w:tc>
          <w:tcPr>
            <w:tcW w:w="866" w:type="dxa"/>
          </w:tcPr>
          <w:p w14:paraId="7A2F509E"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04719</w:t>
            </w:r>
          </w:p>
        </w:tc>
        <w:tc>
          <w:tcPr>
            <w:tcW w:w="866" w:type="dxa"/>
          </w:tcPr>
          <w:p w14:paraId="0434B2D1"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04781</w:t>
            </w:r>
          </w:p>
        </w:tc>
        <w:tc>
          <w:tcPr>
            <w:tcW w:w="866" w:type="dxa"/>
          </w:tcPr>
          <w:p w14:paraId="74BCA150"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0043</w:t>
            </w:r>
          </w:p>
        </w:tc>
      </w:tr>
      <w:tr w:rsidR="009B7AED" w:rsidRPr="00307549" w14:paraId="6444D7EC" w14:textId="77777777" w:rsidTr="005C1100">
        <w:trPr>
          <w:trHeight w:val="60"/>
        </w:trPr>
        <w:tc>
          <w:tcPr>
            <w:tcW w:w="1075" w:type="dxa"/>
            <w:vAlign w:val="top"/>
          </w:tcPr>
          <w:p w14:paraId="309C8C74" w14:textId="77777777" w:rsidR="009B7AED" w:rsidRPr="00307549" w:rsidRDefault="009B7AED" w:rsidP="004156EA">
            <w:pPr>
              <w:pStyle w:val="TableTextDense"/>
              <w:rPr>
                <w:rFonts w:asciiTheme="minorHAnsi" w:hAnsiTheme="minorHAnsi" w:cstheme="minorHAnsi"/>
                <w:sz w:val="20"/>
                <w:szCs w:val="20"/>
              </w:rPr>
            </w:pPr>
            <w:r w:rsidRPr="00307549">
              <w:rPr>
                <w:rFonts w:asciiTheme="minorHAnsi" w:hAnsiTheme="minorHAnsi" w:cstheme="minorHAnsi"/>
                <w:sz w:val="20"/>
                <w:szCs w:val="20"/>
              </w:rPr>
              <w:t>Content 05 Example:</w:t>
            </w:r>
          </w:p>
        </w:tc>
        <w:tc>
          <w:tcPr>
            <w:tcW w:w="739" w:type="dxa"/>
          </w:tcPr>
          <w:p w14:paraId="00C4FA3D"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05410</w:t>
            </w:r>
          </w:p>
        </w:tc>
        <w:tc>
          <w:tcPr>
            <w:tcW w:w="821" w:type="dxa"/>
          </w:tcPr>
          <w:p w14:paraId="1FC09D33"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05397</w:t>
            </w:r>
          </w:p>
        </w:tc>
        <w:tc>
          <w:tcPr>
            <w:tcW w:w="821" w:type="dxa"/>
          </w:tcPr>
          <w:p w14:paraId="3B5B795B"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0158</w:t>
            </w:r>
          </w:p>
        </w:tc>
        <w:tc>
          <w:tcPr>
            <w:tcW w:w="821" w:type="dxa"/>
          </w:tcPr>
          <w:p w14:paraId="3F4B7682"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08301</w:t>
            </w:r>
          </w:p>
        </w:tc>
        <w:tc>
          <w:tcPr>
            <w:tcW w:w="670" w:type="dxa"/>
          </w:tcPr>
          <w:p w14:paraId="4D0E1E4F"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08304</w:t>
            </w:r>
          </w:p>
        </w:tc>
        <w:tc>
          <w:tcPr>
            <w:tcW w:w="730" w:type="dxa"/>
          </w:tcPr>
          <w:p w14:paraId="31ADA8AC"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0043</w:t>
            </w:r>
          </w:p>
        </w:tc>
        <w:tc>
          <w:tcPr>
            <w:tcW w:w="730" w:type="dxa"/>
          </w:tcPr>
          <w:p w14:paraId="6E2C9E81"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08305</w:t>
            </w:r>
          </w:p>
        </w:tc>
        <w:tc>
          <w:tcPr>
            <w:tcW w:w="730" w:type="dxa"/>
          </w:tcPr>
          <w:p w14:paraId="40C9BAC4"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08338</w:t>
            </w:r>
          </w:p>
        </w:tc>
        <w:tc>
          <w:tcPr>
            <w:tcW w:w="730" w:type="dxa"/>
          </w:tcPr>
          <w:p w14:paraId="160ECD71"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0257</w:t>
            </w:r>
          </w:p>
        </w:tc>
        <w:tc>
          <w:tcPr>
            <w:tcW w:w="866" w:type="dxa"/>
          </w:tcPr>
          <w:p w14:paraId="50EC3287"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08475</w:t>
            </w:r>
          </w:p>
        </w:tc>
        <w:tc>
          <w:tcPr>
            <w:tcW w:w="866" w:type="dxa"/>
          </w:tcPr>
          <w:p w14:paraId="105B5404" w14:textId="77777777" w:rsidR="009B7AED" w:rsidRPr="00307549" w:rsidDel="00B45920"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08473</w:t>
            </w:r>
          </w:p>
        </w:tc>
        <w:tc>
          <w:tcPr>
            <w:tcW w:w="866" w:type="dxa"/>
          </w:tcPr>
          <w:p w14:paraId="1AB2D14E"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0044</w:t>
            </w:r>
          </w:p>
        </w:tc>
        <w:tc>
          <w:tcPr>
            <w:tcW w:w="866" w:type="dxa"/>
          </w:tcPr>
          <w:p w14:paraId="59146B7C"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08461</w:t>
            </w:r>
          </w:p>
        </w:tc>
        <w:tc>
          <w:tcPr>
            <w:tcW w:w="866" w:type="dxa"/>
          </w:tcPr>
          <w:p w14:paraId="7F6C5F31"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08476</w:t>
            </w:r>
          </w:p>
        </w:tc>
        <w:tc>
          <w:tcPr>
            <w:tcW w:w="866" w:type="dxa"/>
          </w:tcPr>
          <w:p w14:paraId="7B8CD142" w14:textId="77777777" w:rsidR="009B7AED" w:rsidRPr="00307549" w:rsidRDefault="009B7AED" w:rsidP="00307549">
            <w:pPr>
              <w:pStyle w:val="TableTextDense"/>
              <w:jc w:val="center"/>
              <w:rPr>
                <w:rFonts w:asciiTheme="minorHAnsi" w:hAnsiTheme="minorHAnsi" w:cstheme="minorHAnsi"/>
                <w:sz w:val="20"/>
                <w:szCs w:val="20"/>
              </w:rPr>
            </w:pPr>
            <w:r w:rsidRPr="00307549">
              <w:rPr>
                <w:rFonts w:asciiTheme="minorHAnsi" w:hAnsiTheme="minorHAnsi" w:cstheme="minorHAnsi"/>
                <w:sz w:val="20"/>
                <w:szCs w:val="20"/>
              </w:rPr>
              <w:t>Blank</w:t>
            </w:r>
          </w:p>
        </w:tc>
      </w:tr>
    </w:tbl>
    <w:p w14:paraId="1CCC6877" w14:textId="77777777" w:rsidR="00307549" w:rsidRDefault="00307549">
      <w:pPr>
        <w:widowControl/>
        <w:suppressAutoHyphens w:val="0"/>
        <w:autoSpaceDE/>
        <w:autoSpaceDN/>
        <w:adjustRightInd/>
        <w:spacing w:after="160" w:line="259" w:lineRule="auto"/>
        <w:jc w:val="left"/>
        <w:textAlignment w:val="auto"/>
        <w:rPr>
          <w:i/>
          <w:iCs/>
        </w:rPr>
      </w:pPr>
      <w:r>
        <w:rPr>
          <w:i/>
          <w:iCs/>
        </w:rPr>
        <w:br w:type="page"/>
      </w:r>
    </w:p>
    <w:p w14:paraId="401C57D2" w14:textId="3710DBC8" w:rsidR="009B7AED" w:rsidRPr="001B7522" w:rsidRDefault="009B7AED" w:rsidP="00307549">
      <w:pPr>
        <w:keepNext/>
        <w:widowControl/>
        <w:spacing w:after="120"/>
        <w:rPr>
          <w:i/>
          <w:iCs/>
        </w:rPr>
      </w:pPr>
      <w:r w:rsidRPr="001B7522">
        <w:rPr>
          <w:i/>
          <w:iCs/>
        </w:rPr>
        <w:lastRenderedPageBreak/>
        <w:t>continued</w:t>
      </w:r>
    </w:p>
    <w:tbl>
      <w:tblPr>
        <w:tblStyle w:val="TMGTable"/>
        <w:tblW w:w="13045"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1074"/>
        <w:gridCol w:w="798"/>
        <w:gridCol w:w="798"/>
        <w:gridCol w:w="798"/>
        <w:gridCol w:w="798"/>
        <w:gridCol w:w="798"/>
        <w:gridCol w:w="798"/>
        <w:gridCol w:w="798"/>
        <w:gridCol w:w="798"/>
        <w:gridCol w:w="798"/>
        <w:gridCol w:w="798"/>
        <w:gridCol w:w="798"/>
        <w:gridCol w:w="798"/>
        <w:gridCol w:w="798"/>
        <w:gridCol w:w="798"/>
        <w:gridCol w:w="799"/>
      </w:tblGrid>
      <w:tr w:rsidR="000070C2" w:rsidRPr="00EA31BC" w14:paraId="41E3B4F6" w14:textId="77777777" w:rsidTr="005C1100">
        <w:trPr>
          <w:cnfStyle w:val="100000000000" w:firstRow="1" w:lastRow="0" w:firstColumn="0" w:lastColumn="0" w:oddVBand="0" w:evenVBand="0" w:oddHBand="0" w:evenHBand="0" w:firstRowFirstColumn="0" w:firstRowLastColumn="0" w:lastRowFirstColumn="0" w:lastRowLastColumn="0"/>
          <w:trHeight w:val="60"/>
        </w:trPr>
        <w:tc>
          <w:tcPr>
            <w:tcW w:w="1074" w:type="dxa"/>
          </w:tcPr>
          <w:p w14:paraId="1A61DA06" w14:textId="77777777" w:rsidR="009B7AED" w:rsidRPr="00EA31BC" w:rsidRDefault="009B7AED" w:rsidP="004156EA">
            <w:pPr>
              <w:pStyle w:val="TableTextDense"/>
              <w:rPr>
                <w:rFonts w:ascii="Calibri" w:hAnsi="Calibri" w:cs="Calibri"/>
                <w:b w:val="0"/>
                <w:bCs w:val="0"/>
                <w:sz w:val="20"/>
                <w:szCs w:val="20"/>
              </w:rPr>
            </w:pPr>
            <w:r w:rsidRPr="00EA31BC">
              <w:rPr>
                <w:rFonts w:ascii="Calibri" w:hAnsi="Calibri" w:cs="Calibri"/>
                <w:sz w:val="20"/>
                <w:szCs w:val="20"/>
              </w:rPr>
              <w:t>Column Number:</w:t>
            </w:r>
          </w:p>
        </w:tc>
        <w:tc>
          <w:tcPr>
            <w:tcW w:w="798" w:type="dxa"/>
          </w:tcPr>
          <w:p w14:paraId="36F5DDA4" w14:textId="77777777" w:rsidR="009B7AED" w:rsidRPr="00EA31BC" w:rsidRDefault="009B7AED" w:rsidP="00307549">
            <w:pPr>
              <w:pStyle w:val="TableTextDense"/>
              <w:jc w:val="center"/>
              <w:rPr>
                <w:rFonts w:ascii="Calibri" w:hAnsi="Calibri" w:cs="Calibri"/>
                <w:b w:val="0"/>
                <w:bCs w:val="0"/>
                <w:sz w:val="20"/>
                <w:szCs w:val="20"/>
              </w:rPr>
            </w:pPr>
            <w:r w:rsidRPr="00EA31BC">
              <w:rPr>
                <w:rFonts w:ascii="Calibri" w:hAnsi="Calibri" w:cs="Calibri"/>
                <w:sz w:val="20"/>
                <w:szCs w:val="20"/>
              </w:rPr>
              <w:t>125-129</w:t>
            </w:r>
          </w:p>
        </w:tc>
        <w:tc>
          <w:tcPr>
            <w:tcW w:w="798" w:type="dxa"/>
          </w:tcPr>
          <w:p w14:paraId="11449EAB" w14:textId="77777777" w:rsidR="009B7AED" w:rsidRPr="00EA31BC" w:rsidRDefault="009B7AED" w:rsidP="00307549">
            <w:pPr>
              <w:pStyle w:val="TableTextDense"/>
              <w:jc w:val="center"/>
              <w:rPr>
                <w:rFonts w:ascii="Calibri" w:hAnsi="Calibri" w:cs="Calibri"/>
                <w:b w:val="0"/>
                <w:bCs w:val="0"/>
                <w:sz w:val="20"/>
                <w:szCs w:val="20"/>
              </w:rPr>
            </w:pPr>
            <w:r w:rsidRPr="00EA31BC">
              <w:rPr>
                <w:rFonts w:ascii="Calibri" w:hAnsi="Calibri" w:cs="Calibri"/>
                <w:sz w:val="20"/>
                <w:szCs w:val="20"/>
              </w:rPr>
              <w:t>130-134</w:t>
            </w:r>
          </w:p>
        </w:tc>
        <w:tc>
          <w:tcPr>
            <w:tcW w:w="798" w:type="dxa"/>
          </w:tcPr>
          <w:p w14:paraId="1087C18B" w14:textId="77777777" w:rsidR="009B7AED" w:rsidRPr="00EA31BC" w:rsidRDefault="009B7AED" w:rsidP="00307549">
            <w:pPr>
              <w:pStyle w:val="TableTextDense"/>
              <w:jc w:val="center"/>
              <w:rPr>
                <w:rFonts w:ascii="Calibri" w:hAnsi="Calibri" w:cs="Calibri"/>
                <w:b w:val="0"/>
                <w:bCs w:val="0"/>
                <w:sz w:val="20"/>
                <w:szCs w:val="20"/>
              </w:rPr>
            </w:pPr>
            <w:r w:rsidRPr="00EA31BC">
              <w:rPr>
                <w:rFonts w:ascii="Calibri" w:hAnsi="Calibri" w:cs="Calibri"/>
                <w:sz w:val="20"/>
                <w:szCs w:val="20"/>
              </w:rPr>
              <w:t>135-138</w:t>
            </w:r>
          </w:p>
        </w:tc>
        <w:tc>
          <w:tcPr>
            <w:tcW w:w="798" w:type="dxa"/>
          </w:tcPr>
          <w:p w14:paraId="4318A68C" w14:textId="77777777" w:rsidR="009B7AED" w:rsidRPr="00EA31BC" w:rsidRDefault="009B7AED" w:rsidP="00307549">
            <w:pPr>
              <w:pStyle w:val="TableTextDense"/>
              <w:jc w:val="center"/>
              <w:rPr>
                <w:rFonts w:ascii="Calibri" w:hAnsi="Calibri" w:cs="Calibri"/>
                <w:b w:val="0"/>
                <w:bCs w:val="0"/>
                <w:sz w:val="20"/>
                <w:szCs w:val="20"/>
              </w:rPr>
            </w:pPr>
            <w:r w:rsidRPr="00EA31BC">
              <w:rPr>
                <w:rFonts w:ascii="Calibri" w:hAnsi="Calibri" w:cs="Calibri"/>
                <w:sz w:val="20"/>
                <w:szCs w:val="20"/>
              </w:rPr>
              <w:t>139-143</w:t>
            </w:r>
          </w:p>
        </w:tc>
        <w:tc>
          <w:tcPr>
            <w:tcW w:w="798" w:type="dxa"/>
          </w:tcPr>
          <w:p w14:paraId="23BA136A" w14:textId="77777777" w:rsidR="009B7AED" w:rsidRPr="00EA31BC" w:rsidRDefault="009B7AED" w:rsidP="00307549">
            <w:pPr>
              <w:pStyle w:val="TableTextDense"/>
              <w:jc w:val="center"/>
              <w:rPr>
                <w:rFonts w:ascii="Calibri" w:hAnsi="Calibri" w:cs="Calibri"/>
                <w:b w:val="0"/>
                <w:bCs w:val="0"/>
                <w:sz w:val="20"/>
                <w:szCs w:val="20"/>
              </w:rPr>
            </w:pPr>
            <w:r w:rsidRPr="00EA31BC">
              <w:rPr>
                <w:rFonts w:ascii="Calibri" w:hAnsi="Calibri" w:cs="Calibri"/>
                <w:sz w:val="20"/>
                <w:szCs w:val="20"/>
              </w:rPr>
              <w:t>144-148</w:t>
            </w:r>
          </w:p>
        </w:tc>
        <w:tc>
          <w:tcPr>
            <w:tcW w:w="798" w:type="dxa"/>
          </w:tcPr>
          <w:p w14:paraId="34879915" w14:textId="77777777" w:rsidR="009B7AED" w:rsidRPr="00EA31BC" w:rsidRDefault="009B7AED" w:rsidP="00307549">
            <w:pPr>
              <w:pStyle w:val="TableTextDense"/>
              <w:jc w:val="center"/>
              <w:rPr>
                <w:rFonts w:ascii="Calibri" w:hAnsi="Calibri" w:cs="Calibri"/>
                <w:b w:val="0"/>
                <w:bCs w:val="0"/>
                <w:sz w:val="20"/>
                <w:szCs w:val="20"/>
              </w:rPr>
            </w:pPr>
            <w:r w:rsidRPr="00EA31BC">
              <w:rPr>
                <w:rFonts w:ascii="Calibri" w:hAnsi="Calibri" w:cs="Calibri"/>
                <w:sz w:val="20"/>
                <w:szCs w:val="20"/>
              </w:rPr>
              <w:t>149-152</w:t>
            </w:r>
          </w:p>
        </w:tc>
        <w:tc>
          <w:tcPr>
            <w:tcW w:w="798" w:type="dxa"/>
          </w:tcPr>
          <w:p w14:paraId="510890B9" w14:textId="77777777" w:rsidR="009B7AED" w:rsidRPr="00EA31BC" w:rsidRDefault="009B7AED" w:rsidP="00307549">
            <w:pPr>
              <w:pStyle w:val="TableTextDense"/>
              <w:jc w:val="center"/>
              <w:rPr>
                <w:rFonts w:ascii="Calibri" w:hAnsi="Calibri" w:cs="Calibri"/>
                <w:b w:val="0"/>
                <w:bCs w:val="0"/>
                <w:sz w:val="20"/>
                <w:szCs w:val="20"/>
              </w:rPr>
            </w:pPr>
            <w:r w:rsidRPr="00EA31BC">
              <w:rPr>
                <w:rFonts w:ascii="Calibri" w:hAnsi="Calibri" w:cs="Calibri"/>
                <w:sz w:val="20"/>
                <w:szCs w:val="20"/>
              </w:rPr>
              <w:t>153-157</w:t>
            </w:r>
          </w:p>
        </w:tc>
        <w:tc>
          <w:tcPr>
            <w:tcW w:w="798" w:type="dxa"/>
          </w:tcPr>
          <w:p w14:paraId="50A4D7BB" w14:textId="77777777" w:rsidR="009B7AED" w:rsidRPr="00EA31BC" w:rsidRDefault="009B7AED" w:rsidP="00307549">
            <w:pPr>
              <w:pStyle w:val="TableTextDense"/>
              <w:jc w:val="center"/>
              <w:rPr>
                <w:rFonts w:ascii="Calibri" w:hAnsi="Calibri" w:cs="Calibri"/>
                <w:b w:val="0"/>
                <w:bCs w:val="0"/>
                <w:sz w:val="20"/>
                <w:szCs w:val="20"/>
              </w:rPr>
            </w:pPr>
            <w:r w:rsidRPr="00EA31BC">
              <w:rPr>
                <w:rFonts w:ascii="Calibri" w:hAnsi="Calibri" w:cs="Calibri"/>
                <w:sz w:val="20"/>
                <w:szCs w:val="20"/>
              </w:rPr>
              <w:t>158-162</w:t>
            </w:r>
          </w:p>
        </w:tc>
        <w:tc>
          <w:tcPr>
            <w:tcW w:w="798" w:type="dxa"/>
          </w:tcPr>
          <w:p w14:paraId="5EF5088F" w14:textId="77777777" w:rsidR="009B7AED" w:rsidRPr="00EA31BC" w:rsidRDefault="009B7AED" w:rsidP="00307549">
            <w:pPr>
              <w:pStyle w:val="TableTextDense"/>
              <w:jc w:val="center"/>
              <w:rPr>
                <w:rFonts w:ascii="Calibri" w:hAnsi="Calibri" w:cs="Calibri"/>
                <w:b w:val="0"/>
                <w:bCs w:val="0"/>
                <w:sz w:val="20"/>
                <w:szCs w:val="20"/>
              </w:rPr>
            </w:pPr>
            <w:r w:rsidRPr="00EA31BC">
              <w:rPr>
                <w:rFonts w:ascii="Calibri" w:hAnsi="Calibri" w:cs="Calibri"/>
                <w:sz w:val="20"/>
                <w:szCs w:val="20"/>
              </w:rPr>
              <w:t>163-166</w:t>
            </w:r>
          </w:p>
        </w:tc>
        <w:tc>
          <w:tcPr>
            <w:tcW w:w="798" w:type="dxa"/>
          </w:tcPr>
          <w:p w14:paraId="795637CD" w14:textId="77777777" w:rsidR="009B7AED" w:rsidRPr="00EA31BC" w:rsidRDefault="009B7AED" w:rsidP="00307549">
            <w:pPr>
              <w:pStyle w:val="TableTextDense"/>
              <w:jc w:val="center"/>
              <w:rPr>
                <w:rFonts w:ascii="Calibri" w:hAnsi="Calibri" w:cs="Calibri"/>
                <w:b w:val="0"/>
                <w:bCs w:val="0"/>
                <w:sz w:val="20"/>
                <w:szCs w:val="20"/>
              </w:rPr>
            </w:pPr>
            <w:r w:rsidRPr="00EA31BC">
              <w:rPr>
                <w:rFonts w:ascii="Calibri" w:hAnsi="Calibri" w:cs="Calibri"/>
                <w:sz w:val="20"/>
                <w:szCs w:val="20"/>
              </w:rPr>
              <w:t>167-171</w:t>
            </w:r>
          </w:p>
        </w:tc>
        <w:tc>
          <w:tcPr>
            <w:tcW w:w="798" w:type="dxa"/>
          </w:tcPr>
          <w:p w14:paraId="7BA7BC37" w14:textId="77777777" w:rsidR="009B7AED" w:rsidRPr="00EA31BC" w:rsidRDefault="009B7AED" w:rsidP="00307549">
            <w:pPr>
              <w:pStyle w:val="TableTextDense"/>
              <w:jc w:val="center"/>
              <w:rPr>
                <w:rFonts w:ascii="Calibri" w:hAnsi="Calibri" w:cs="Calibri"/>
                <w:b w:val="0"/>
                <w:bCs w:val="0"/>
                <w:sz w:val="20"/>
                <w:szCs w:val="20"/>
              </w:rPr>
            </w:pPr>
            <w:r w:rsidRPr="00EA31BC">
              <w:rPr>
                <w:rFonts w:ascii="Calibri" w:hAnsi="Calibri" w:cs="Calibri"/>
                <w:sz w:val="20"/>
                <w:szCs w:val="20"/>
              </w:rPr>
              <w:t>172-176</w:t>
            </w:r>
          </w:p>
        </w:tc>
        <w:tc>
          <w:tcPr>
            <w:tcW w:w="798" w:type="dxa"/>
          </w:tcPr>
          <w:p w14:paraId="6CEC76D9" w14:textId="77777777" w:rsidR="009B7AED" w:rsidRPr="00EA31BC" w:rsidRDefault="009B7AED" w:rsidP="00307549">
            <w:pPr>
              <w:pStyle w:val="TableTextDense"/>
              <w:jc w:val="center"/>
              <w:rPr>
                <w:rFonts w:ascii="Calibri" w:hAnsi="Calibri" w:cs="Calibri"/>
                <w:b w:val="0"/>
                <w:bCs w:val="0"/>
                <w:sz w:val="20"/>
                <w:szCs w:val="20"/>
              </w:rPr>
            </w:pPr>
            <w:r w:rsidRPr="00EA31BC">
              <w:rPr>
                <w:rFonts w:ascii="Calibri" w:hAnsi="Calibri" w:cs="Calibri"/>
                <w:sz w:val="20"/>
                <w:szCs w:val="20"/>
              </w:rPr>
              <w:t>177-180</w:t>
            </w:r>
          </w:p>
        </w:tc>
        <w:tc>
          <w:tcPr>
            <w:tcW w:w="798" w:type="dxa"/>
          </w:tcPr>
          <w:p w14:paraId="46986030" w14:textId="77777777" w:rsidR="009B7AED" w:rsidRPr="00EA31BC" w:rsidRDefault="009B7AED" w:rsidP="00307549">
            <w:pPr>
              <w:pStyle w:val="TableTextDense"/>
              <w:jc w:val="center"/>
              <w:rPr>
                <w:rFonts w:ascii="Calibri" w:hAnsi="Calibri" w:cs="Calibri"/>
                <w:b w:val="0"/>
                <w:bCs w:val="0"/>
                <w:sz w:val="20"/>
                <w:szCs w:val="20"/>
              </w:rPr>
            </w:pPr>
            <w:r w:rsidRPr="00EA31BC">
              <w:rPr>
                <w:rFonts w:ascii="Calibri" w:hAnsi="Calibri" w:cs="Calibri"/>
                <w:sz w:val="20"/>
                <w:szCs w:val="20"/>
              </w:rPr>
              <w:t>181-185</w:t>
            </w:r>
          </w:p>
        </w:tc>
        <w:tc>
          <w:tcPr>
            <w:tcW w:w="798" w:type="dxa"/>
          </w:tcPr>
          <w:p w14:paraId="5EAEE6EE" w14:textId="77777777" w:rsidR="009B7AED" w:rsidRPr="00EA31BC" w:rsidRDefault="009B7AED" w:rsidP="00307549">
            <w:pPr>
              <w:pStyle w:val="TableTextDense"/>
              <w:jc w:val="center"/>
              <w:rPr>
                <w:rFonts w:ascii="Calibri" w:hAnsi="Calibri" w:cs="Calibri"/>
                <w:b w:val="0"/>
                <w:bCs w:val="0"/>
                <w:sz w:val="20"/>
                <w:szCs w:val="20"/>
              </w:rPr>
            </w:pPr>
            <w:r w:rsidRPr="00EA31BC">
              <w:rPr>
                <w:rFonts w:ascii="Calibri" w:hAnsi="Calibri" w:cs="Calibri"/>
                <w:sz w:val="20"/>
                <w:szCs w:val="20"/>
              </w:rPr>
              <w:t>186-190</w:t>
            </w:r>
          </w:p>
        </w:tc>
        <w:tc>
          <w:tcPr>
            <w:tcW w:w="799" w:type="dxa"/>
          </w:tcPr>
          <w:p w14:paraId="76DE1BF6" w14:textId="77777777" w:rsidR="009B7AED" w:rsidRPr="00EA31BC" w:rsidRDefault="009B7AED" w:rsidP="00307549">
            <w:pPr>
              <w:pStyle w:val="TableTextDense"/>
              <w:jc w:val="center"/>
              <w:rPr>
                <w:rFonts w:ascii="Calibri" w:hAnsi="Calibri" w:cs="Calibri"/>
                <w:b w:val="0"/>
                <w:bCs w:val="0"/>
                <w:sz w:val="20"/>
                <w:szCs w:val="20"/>
              </w:rPr>
            </w:pPr>
            <w:r w:rsidRPr="00EA31BC">
              <w:rPr>
                <w:rFonts w:ascii="Calibri" w:hAnsi="Calibri" w:cs="Calibri"/>
                <w:sz w:val="20"/>
                <w:szCs w:val="20"/>
              </w:rPr>
              <w:t>191-194</w:t>
            </w:r>
          </w:p>
        </w:tc>
      </w:tr>
      <w:tr w:rsidR="000070C2" w:rsidRPr="00EA31BC" w14:paraId="0C40EF66" w14:textId="77777777" w:rsidTr="005C1100">
        <w:trPr>
          <w:trHeight w:val="60"/>
        </w:trPr>
        <w:tc>
          <w:tcPr>
            <w:tcW w:w="1074" w:type="dxa"/>
          </w:tcPr>
          <w:p w14:paraId="57A2204D" w14:textId="77777777" w:rsidR="009B7AED" w:rsidRPr="00307549" w:rsidRDefault="009B7AED" w:rsidP="004156EA">
            <w:pPr>
              <w:pStyle w:val="TableTextDense"/>
              <w:rPr>
                <w:rFonts w:asciiTheme="minorHAnsi" w:hAnsiTheme="minorHAnsi" w:cstheme="minorHAnsi"/>
                <w:sz w:val="20"/>
                <w:szCs w:val="20"/>
              </w:rPr>
            </w:pPr>
            <w:r w:rsidRPr="00307549">
              <w:rPr>
                <w:rFonts w:asciiTheme="minorHAnsi" w:hAnsiTheme="minorHAnsi" w:cstheme="minorHAnsi"/>
                <w:sz w:val="20"/>
                <w:szCs w:val="20"/>
              </w:rPr>
              <w:t>Content 01 Example:</w:t>
            </w:r>
          </w:p>
        </w:tc>
        <w:tc>
          <w:tcPr>
            <w:tcW w:w="798" w:type="dxa"/>
          </w:tcPr>
          <w:p w14:paraId="01BE0923"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72712B0D"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7A8D796C"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20782424"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3C0F2EF4"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2D89111F"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7E629ADD"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27DC10DD"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407FBC70"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7F6CD978"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0DDFC70F"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5CE444AB"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3C2B3321"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60555F1D"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9" w:type="dxa"/>
          </w:tcPr>
          <w:p w14:paraId="462ECB7A"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r>
      <w:tr w:rsidR="000070C2" w:rsidRPr="00EA31BC" w14:paraId="31D0FCD0" w14:textId="77777777" w:rsidTr="005C1100">
        <w:trPr>
          <w:trHeight w:val="60"/>
        </w:trPr>
        <w:tc>
          <w:tcPr>
            <w:tcW w:w="1074" w:type="dxa"/>
            <w:vAlign w:val="top"/>
          </w:tcPr>
          <w:p w14:paraId="322CDAFF" w14:textId="77777777" w:rsidR="009B7AED" w:rsidRPr="00307549" w:rsidRDefault="009B7AED" w:rsidP="004156EA">
            <w:pPr>
              <w:pStyle w:val="TableTextDense"/>
              <w:rPr>
                <w:rFonts w:asciiTheme="minorHAnsi" w:hAnsiTheme="minorHAnsi" w:cstheme="minorHAnsi"/>
                <w:sz w:val="20"/>
                <w:szCs w:val="20"/>
              </w:rPr>
            </w:pPr>
            <w:r w:rsidRPr="00307549">
              <w:rPr>
                <w:rFonts w:asciiTheme="minorHAnsi" w:hAnsiTheme="minorHAnsi" w:cstheme="minorHAnsi"/>
                <w:sz w:val="20"/>
                <w:szCs w:val="20"/>
              </w:rPr>
              <w:t>Content 02 Example:</w:t>
            </w:r>
          </w:p>
        </w:tc>
        <w:tc>
          <w:tcPr>
            <w:tcW w:w="798" w:type="dxa"/>
          </w:tcPr>
          <w:p w14:paraId="7DDA324A"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36C82FED"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38E3786E"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098FEBEE"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715AC660"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42794491"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41483389"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09EDE5D7"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06971F22"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6E920D67"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74190F24"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0066D97C"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04B211D6"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3E630387"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9" w:type="dxa"/>
          </w:tcPr>
          <w:p w14:paraId="778B3083"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r>
      <w:tr w:rsidR="000070C2" w:rsidRPr="00EA31BC" w14:paraId="5E68ED2A" w14:textId="77777777" w:rsidTr="005C1100">
        <w:trPr>
          <w:trHeight w:val="60"/>
        </w:trPr>
        <w:tc>
          <w:tcPr>
            <w:tcW w:w="1074" w:type="dxa"/>
            <w:vAlign w:val="top"/>
          </w:tcPr>
          <w:p w14:paraId="397F8EB4" w14:textId="77777777" w:rsidR="009B7AED" w:rsidRPr="00307549" w:rsidRDefault="009B7AED" w:rsidP="004156EA">
            <w:pPr>
              <w:pStyle w:val="TableTextDense"/>
              <w:rPr>
                <w:rFonts w:asciiTheme="minorHAnsi" w:hAnsiTheme="minorHAnsi" w:cstheme="minorHAnsi"/>
                <w:sz w:val="20"/>
                <w:szCs w:val="20"/>
              </w:rPr>
            </w:pPr>
            <w:r w:rsidRPr="00307549">
              <w:rPr>
                <w:rFonts w:asciiTheme="minorHAnsi" w:hAnsiTheme="minorHAnsi" w:cstheme="minorHAnsi"/>
                <w:sz w:val="20"/>
                <w:szCs w:val="20"/>
              </w:rPr>
              <w:t>Content 03 Example:</w:t>
            </w:r>
          </w:p>
        </w:tc>
        <w:tc>
          <w:tcPr>
            <w:tcW w:w="798" w:type="dxa"/>
          </w:tcPr>
          <w:p w14:paraId="6D9272BE"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2648DDAF"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546D4363"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7EBF0B5F"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0224369F"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42503606"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1A3549DE"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095F9149"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32554382"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0C0BAF97"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375BF3C5"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5DA3A415"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69DA9976"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023E29EC"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9" w:type="dxa"/>
          </w:tcPr>
          <w:p w14:paraId="25DB0559"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r>
      <w:tr w:rsidR="000070C2" w:rsidRPr="00EA31BC" w14:paraId="75DA44E5" w14:textId="77777777" w:rsidTr="005C1100">
        <w:trPr>
          <w:trHeight w:val="60"/>
        </w:trPr>
        <w:tc>
          <w:tcPr>
            <w:tcW w:w="1074" w:type="dxa"/>
            <w:vAlign w:val="top"/>
          </w:tcPr>
          <w:p w14:paraId="7A5F6030" w14:textId="77777777" w:rsidR="009B7AED" w:rsidRPr="00307549" w:rsidRDefault="009B7AED" w:rsidP="004156EA">
            <w:pPr>
              <w:pStyle w:val="TableTextDense"/>
              <w:rPr>
                <w:rFonts w:asciiTheme="minorHAnsi" w:hAnsiTheme="minorHAnsi" w:cstheme="minorHAnsi"/>
                <w:sz w:val="20"/>
                <w:szCs w:val="20"/>
              </w:rPr>
            </w:pPr>
            <w:r w:rsidRPr="00307549">
              <w:rPr>
                <w:rFonts w:asciiTheme="minorHAnsi" w:hAnsiTheme="minorHAnsi" w:cstheme="minorHAnsi"/>
                <w:sz w:val="20"/>
                <w:szCs w:val="20"/>
              </w:rPr>
              <w:t>Content 04 Example:</w:t>
            </w:r>
          </w:p>
        </w:tc>
        <w:tc>
          <w:tcPr>
            <w:tcW w:w="798" w:type="dxa"/>
          </w:tcPr>
          <w:p w14:paraId="37F9FBE9"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04714</w:t>
            </w:r>
          </w:p>
        </w:tc>
        <w:tc>
          <w:tcPr>
            <w:tcW w:w="798" w:type="dxa"/>
          </w:tcPr>
          <w:p w14:paraId="0C41F7D5"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04735</w:t>
            </w:r>
          </w:p>
        </w:tc>
        <w:tc>
          <w:tcPr>
            <w:tcW w:w="798" w:type="dxa"/>
          </w:tcPr>
          <w:p w14:paraId="59CD6637"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0043</w:t>
            </w:r>
          </w:p>
        </w:tc>
        <w:tc>
          <w:tcPr>
            <w:tcW w:w="798" w:type="dxa"/>
          </w:tcPr>
          <w:p w14:paraId="37D742E4"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04820</w:t>
            </w:r>
          </w:p>
        </w:tc>
        <w:tc>
          <w:tcPr>
            <w:tcW w:w="798" w:type="dxa"/>
          </w:tcPr>
          <w:p w14:paraId="582E08C8"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04832</w:t>
            </w:r>
          </w:p>
        </w:tc>
        <w:tc>
          <w:tcPr>
            <w:tcW w:w="798" w:type="dxa"/>
          </w:tcPr>
          <w:p w14:paraId="7913C655"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0043</w:t>
            </w:r>
          </w:p>
        </w:tc>
        <w:tc>
          <w:tcPr>
            <w:tcW w:w="798" w:type="dxa"/>
          </w:tcPr>
          <w:p w14:paraId="06AC9761"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04804</w:t>
            </w:r>
          </w:p>
        </w:tc>
        <w:tc>
          <w:tcPr>
            <w:tcW w:w="798" w:type="dxa"/>
          </w:tcPr>
          <w:p w14:paraId="26381851"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04815</w:t>
            </w:r>
          </w:p>
        </w:tc>
        <w:tc>
          <w:tcPr>
            <w:tcW w:w="798" w:type="dxa"/>
          </w:tcPr>
          <w:p w14:paraId="5109981E"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781D95AE"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22042BCC"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1511070E"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494864AD"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794B0A59"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9" w:type="dxa"/>
          </w:tcPr>
          <w:p w14:paraId="4ED8FFCD"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r>
      <w:tr w:rsidR="000070C2" w:rsidRPr="00EA31BC" w14:paraId="3AD691CC" w14:textId="77777777" w:rsidTr="005C1100">
        <w:trPr>
          <w:trHeight w:val="60"/>
        </w:trPr>
        <w:tc>
          <w:tcPr>
            <w:tcW w:w="1074" w:type="dxa"/>
            <w:vAlign w:val="top"/>
          </w:tcPr>
          <w:p w14:paraId="5191F4D5" w14:textId="77777777" w:rsidR="009B7AED" w:rsidRPr="00307549" w:rsidRDefault="009B7AED" w:rsidP="004156EA">
            <w:pPr>
              <w:pStyle w:val="TableTextDense"/>
              <w:rPr>
                <w:rFonts w:asciiTheme="minorHAnsi" w:hAnsiTheme="minorHAnsi" w:cstheme="minorHAnsi"/>
                <w:sz w:val="20"/>
                <w:szCs w:val="20"/>
              </w:rPr>
            </w:pPr>
            <w:r w:rsidRPr="00307549">
              <w:rPr>
                <w:rFonts w:asciiTheme="minorHAnsi" w:hAnsiTheme="minorHAnsi" w:cstheme="minorHAnsi"/>
                <w:sz w:val="20"/>
                <w:szCs w:val="20"/>
              </w:rPr>
              <w:t>Content 05 Example:</w:t>
            </w:r>
          </w:p>
        </w:tc>
        <w:tc>
          <w:tcPr>
            <w:tcW w:w="798" w:type="dxa"/>
          </w:tcPr>
          <w:p w14:paraId="676A8218"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7C0DB013"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3428D58B"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1D950D17"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7A23EBCA"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4F19ACAD"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27025246"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1F1B10B6"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6C5CE251"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42633337"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72B08D22"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7A234E7B"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3786ABB6"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8" w:type="dxa"/>
          </w:tcPr>
          <w:p w14:paraId="447635AA"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c>
          <w:tcPr>
            <w:tcW w:w="799" w:type="dxa"/>
          </w:tcPr>
          <w:p w14:paraId="05F59EB7" w14:textId="77777777" w:rsidR="009B7AED" w:rsidRPr="00EA31BC" w:rsidRDefault="009B7AED" w:rsidP="00307549">
            <w:pPr>
              <w:pStyle w:val="TableTextDense"/>
              <w:jc w:val="center"/>
              <w:rPr>
                <w:rFonts w:ascii="Calibri" w:hAnsi="Calibri" w:cs="Calibri"/>
                <w:sz w:val="20"/>
                <w:szCs w:val="20"/>
              </w:rPr>
            </w:pPr>
            <w:r w:rsidRPr="00EA31BC">
              <w:rPr>
                <w:rFonts w:ascii="Calibri" w:hAnsi="Calibri" w:cs="Calibri"/>
                <w:sz w:val="20"/>
                <w:szCs w:val="20"/>
              </w:rPr>
              <w:t>Blank</w:t>
            </w:r>
          </w:p>
        </w:tc>
      </w:tr>
    </w:tbl>
    <w:p w14:paraId="54A4053E" w14:textId="77777777" w:rsidR="009B7AED" w:rsidRPr="001B7522" w:rsidRDefault="009B7AED" w:rsidP="00307549">
      <w:pPr>
        <w:keepNext/>
        <w:widowControl/>
        <w:spacing w:before="120" w:after="120"/>
        <w:rPr>
          <w:i/>
          <w:iCs/>
        </w:rPr>
      </w:pPr>
      <w:r w:rsidRPr="001B7522">
        <w:rPr>
          <w:i/>
          <w:iCs/>
        </w:rPr>
        <w:t>continued</w:t>
      </w:r>
    </w:p>
    <w:tbl>
      <w:tblPr>
        <w:tblStyle w:val="TMGTable"/>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1075"/>
        <w:gridCol w:w="972"/>
        <w:gridCol w:w="972"/>
        <w:gridCol w:w="972"/>
        <w:gridCol w:w="972"/>
        <w:gridCol w:w="972"/>
      </w:tblGrid>
      <w:tr w:rsidR="009B7AED" w:rsidRPr="00D644E1" w14:paraId="74EF8BFF" w14:textId="77777777" w:rsidTr="005C1100">
        <w:trPr>
          <w:cnfStyle w:val="100000000000" w:firstRow="1" w:lastRow="0" w:firstColumn="0" w:lastColumn="0" w:oddVBand="0" w:evenVBand="0" w:oddHBand="0" w:evenHBand="0" w:firstRowFirstColumn="0" w:firstRowLastColumn="0" w:lastRowFirstColumn="0" w:lastRowLastColumn="0"/>
          <w:trHeight w:val="60"/>
        </w:trPr>
        <w:tc>
          <w:tcPr>
            <w:tcW w:w="1075" w:type="dxa"/>
          </w:tcPr>
          <w:p w14:paraId="3369F5F7" w14:textId="77777777" w:rsidR="009B7AED" w:rsidRPr="00D26554" w:rsidRDefault="009B7AED" w:rsidP="00307549">
            <w:pPr>
              <w:pStyle w:val="TableTextDense"/>
              <w:spacing w:before="10" w:after="10" w:line="240" w:lineRule="auto"/>
              <w:contextualSpacing w:val="0"/>
              <w:rPr>
                <w:rFonts w:ascii="Calibri" w:hAnsi="Calibri" w:cs="Calibri"/>
                <w:b w:val="0"/>
                <w:bCs w:val="0"/>
                <w:sz w:val="20"/>
                <w:szCs w:val="20"/>
              </w:rPr>
            </w:pPr>
            <w:r w:rsidRPr="00D26554">
              <w:rPr>
                <w:rFonts w:ascii="Calibri" w:hAnsi="Calibri" w:cs="Calibri"/>
                <w:sz w:val="20"/>
                <w:szCs w:val="20"/>
              </w:rPr>
              <w:t>Column Number:</w:t>
            </w:r>
          </w:p>
        </w:tc>
        <w:tc>
          <w:tcPr>
            <w:tcW w:w="972" w:type="dxa"/>
          </w:tcPr>
          <w:p w14:paraId="030DC16D" w14:textId="77777777" w:rsidR="009B7AED" w:rsidRPr="00D26554" w:rsidRDefault="009B7AED" w:rsidP="00307549">
            <w:pPr>
              <w:pStyle w:val="TableTextDense"/>
              <w:spacing w:before="10" w:after="10" w:line="240" w:lineRule="auto"/>
              <w:contextualSpacing w:val="0"/>
              <w:jc w:val="center"/>
              <w:rPr>
                <w:rFonts w:ascii="Calibri" w:hAnsi="Calibri" w:cs="Calibri"/>
                <w:b w:val="0"/>
                <w:bCs w:val="0"/>
                <w:sz w:val="20"/>
                <w:szCs w:val="20"/>
              </w:rPr>
            </w:pPr>
            <w:r w:rsidRPr="00D26554">
              <w:rPr>
                <w:rFonts w:ascii="Calibri" w:hAnsi="Calibri" w:cs="Calibri"/>
                <w:sz w:val="20"/>
                <w:szCs w:val="20"/>
              </w:rPr>
              <w:t>195-199</w:t>
            </w:r>
          </w:p>
        </w:tc>
        <w:tc>
          <w:tcPr>
            <w:tcW w:w="972" w:type="dxa"/>
          </w:tcPr>
          <w:p w14:paraId="41C22B05" w14:textId="77777777" w:rsidR="009B7AED" w:rsidRPr="00D26554" w:rsidRDefault="009B7AED" w:rsidP="00307549">
            <w:pPr>
              <w:pStyle w:val="TableTextDense"/>
              <w:spacing w:before="10" w:after="10" w:line="240" w:lineRule="auto"/>
              <w:contextualSpacing w:val="0"/>
              <w:jc w:val="center"/>
              <w:rPr>
                <w:rFonts w:ascii="Calibri" w:hAnsi="Calibri" w:cs="Calibri"/>
                <w:b w:val="0"/>
                <w:bCs w:val="0"/>
                <w:sz w:val="20"/>
                <w:szCs w:val="20"/>
              </w:rPr>
            </w:pPr>
            <w:r w:rsidRPr="00D26554">
              <w:rPr>
                <w:rFonts w:ascii="Calibri" w:hAnsi="Calibri" w:cs="Calibri"/>
                <w:sz w:val="20"/>
                <w:szCs w:val="20"/>
              </w:rPr>
              <w:t>200-204</w:t>
            </w:r>
          </w:p>
        </w:tc>
        <w:tc>
          <w:tcPr>
            <w:tcW w:w="972" w:type="dxa"/>
          </w:tcPr>
          <w:p w14:paraId="50F9300A" w14:textId="77777777" w:rsidR="009B7AED" w:rsidRPr="00D26554" w:rsidRDefault="009B7AED" w:rsidP="00307549">
            <w:pPr>
              <w:pStyle w:val="TableTextDense"/>
              <w:spacing w:before="10" w:after="10" w:line="240" w:lineRule="auto"/>
              <w:contextualSpacing w:val="0"/>
              <w:jc w:val="center"/>
              <w:rPr>
                <w:rFonts w:ascii="Calibri" w:hAnsi="Calibri" w:cs="Calibri"/>
                <w:b w:val="0"/>
                <w:bCs w:val="0"/>
                <w:sz w:val="20"/>
                <w:szCs w:val="20"/>
              </w:rPr>
            </w:pPr>
            <w:r w:rsidRPr="00D26554">
              <w:rPr>
                <w:rFonts w:ascii="Calibri" w:hAnsi="Calibri" w:cs="Calibri"/>
                <w:sz w:val="20"/>
                <w:szCs w:val="20"/>
              </w:rPr>
              <w:t>205-208</w:t>
            </w:r>
          </w:p>
        </w:tc>
        <w:tc>
          <w:tcPr>
            <w:tcW w:w="972" w:type="dxa"/>
          </w:tcPr>
          <w:p w14:paraId="02B4DC95" w14:textId="77777777" w:rsidR="009B7AED" w:rsidRPr="00D26554" w:rsidRDefault="009B7AED" w:rsidP="00307549">
            <w:pPr>
              <w:pStyle w:val="TableTextDense"/>
              <w:spacing w:before="10" w:after="10" w:line="240" w:lineRule="auto"/>
              <w:contextualSpacing w:val="0"/>
              <w:jc w:val="center"/>
              <w:rPr>
                <w:rFonts w:ascii="Calibri" w:hAnsi="Calibri" w:cs="Calibri"/>
                <w:b w:val="0"/>
                <w:bCs w:val="0"/>
                <w:sz w:val="20"/>
                <w:szCs w:val="20"/>
              </w:rPr>
            </w:pPr>
            <w:r w:rsidRPr="00D26554">
              <w:rPr>
                <w:rFonts w:ascii="Calibri" w:hAnsi="Calibri" w:cs="Calibri"/>
                <w:sz w:val="20"/>
                <w:szCs w:val="20"/>
              </w:rPr>
              <w:t>209-213</w:t>
            </w:r>
          </w:p>
        </w:tc>
        <w:tc>
          <w:tcPr>
            <w:tcW w:w="972" w:type="dxa"/>
          </w:tcPr>
          <w:p w14:paraId="6F7EF7A6" w14:textId="77777777" w:rsidR="009B7AED" w:rsidRPr="00D26554" w:rsidRDefault="009B7AED" w:rsidP="00307549">
            <w:pPr>
              <w:pStyle w:val="TableTextDense"/>
              <w:spacing w:before="10" w:after="10" w:line="240" w:lineRule="auto"/>
              <w:contextualSpacing w:val="0"/>
              <w:jc w:val="center"/>
              <w:rPr>
                <w:rFonts w:ascii="Calibri" w:hAnsi="Calibri" w:cs="Calibri"/>
                <w:b w:val="0"/>
                <w:bCs w:val="0"/>
                <w:sz w:val="20"/>
                <w:szCs w:val="20"/>
              </w:rPr>
            </w:pPr>
            <w:r w:rsidRPr="00D26554">
              <w:rPr>
                <w:rFonts w:ascii="Calibri" w:hAnsi="Calibri" w:cs="Calibri"/>
                <w:sz w:val="20"/>
                <w:szCs w:val="20"/>
              </w:rPr>
              <w:t>214-218</w:t>
            </w:r>
          </w:p>
        </w:tc>
      </w:tr>
      <w:tr w:rsidR="009B7AED" w:rsidRPr="00D644E1" w14:paraId="27E40C9E" w14:textId="77777777" w:rsidTr="005C1100">
        <w:trPr>
          <w:trHeight w:val="60"/>
        </w:trPr>
        <w:tc>
          <w:tcPr>
            <w:tcW w:w="1075" w:type="dxa"/>
          </w:tcPr>
          <w:p w14:paraId="24DAADC0" w14:textId="77777777" w:rsidR="009B7AED" w:rsidRPr="00D26554" w:rsidRDefault="009B7AED" w:rsidP="00307549">
            <w:pPr>
              <w:pStyle w:val="TableTextDense"/>
              <w:spacing w:before="10" w:after="10" w:line="240" w:lineRule="auto"/>
              <w:contextualSpacing w:val="0"/>
              <w:rPr>
                <w:rFonts w:ascii="Calibri" w:hAnsi="Calibri" w:cs="Calibri"/>
                <w:sz w:val="20"/>
                <w:szCs w:val="20"/>
              </w:rPr>
            </w:pPr>
            <w:r w:rsidRPr="00D26554">
              <w:rPr>
                <w:rFonts w:ascii="Calibri" w:hAnsi="Calibri" w:cs="Calibri"/>
                <w:sz w:val="20"/>
                <w:szCs w:val="20"/>
              </w:rPr>
              <w:t>Content 01 Example:</w:t>
            </w:r>
          </w:p>
        </w:tc>
        <w:tc>
          <w:tcPr>
            <w:tcW w:w="972" w:type="dxa"/>
          </w:tcPr>
          <w:p w14:paraId="744858D1" w14:textId="77777777" w:rsidR="009B7AED" w:rsidRPr="00D26554" w:rsidRDefault="009B7AED" w:rsidP="00307549">
            <w:pPr>
              <w:pStyle w:val="TableTextDense"/>
              <w:spacing w:before="10" w:after="10" w:line="240" w:lineRule="auto"/>
              <w:contextualSpacing w:val="0"/>
              <w:jc w:val="center"/>
              <w:rPr>
                <w:rFonts w:ascii="Calibri" w:hAnsi="Calibri" w:cs="Calibri"/>
                <w:sz w:val="20"/>
                <w:szCs w:val="20"/>
              </w:rPr>
            </w:pPr>
            <w:r w:rsidRPr="00D26554">
              <w:rPr>
                <w:rFonts w:ascii="Calibri" w:hAnsi="Calibri" w:cs="Calibri"/>
                <w:sz w:val="20"/>
                <w:szCs w:val="20"/>
              </w:rPr>
              <w:t>Blank</w:t>
            </w:r>
          </w:p>
        </w:tc>
        <w:tc>
          <w:tcPr>
            <w:tcW w:w="972" w:type="dxa"/>
          </w:tcPr>
          <w:p w14:paraId="1684415D" w14:textId="77777777" w:rsidR="009B7AED" w:rsidRPr="00D26554" w:rsidRDefault="009B7AED" w:rsidP="00307549">
            <w:pPr>
              <w:pStyle w:val="TableTextDense"/>
              <w:spacing w:before="10" w:after="10" w:line="240" w:lineRule="auto"/>
              <w:contextualSpacing w:val="0"/>
              <w:jc w:val="center"/>
              <w:rPr>
                <w:rFonts w:ascii="Calibri" w:hAnsi="Calibri" w:cs="Calibri"/>
                <w:sz w:val="20"/>
                <w:szCs w:val="20"/>
              </w:rPr>
            </w:pPr>
            <w:r w:rsidRPr="00D26554">
              <w:rPr>
                <w:rFonts w:ascii="Calibri" w:hAnsi="Calibri" w:cs="Calibri"/>
                <w:sz w:val="20"/>
                <w:szCs w:val="20"/>
              </w:rPr>
              <w:t>Blank</w:t>
            </w:r>
          </w:p>
        </w:tc>
        <w:tc>
          <w:tcPr>
            <w:tcW w:w="972" w:type="dxa"/>
          </w:tcPr>
          <w:p w14:paraId="6ACC54F0" w14:textId="77777777" w:rsidR="009B7AED" w:rsidRPr="00D26554" w:rsidRDefault="009B7AED" w:rsidP="00307549">
            <w:pPr>
              <w:pStyle w:val="TableTextDense"/>
              <w:spacing w:before="10" w:after="10" w:line="240" w:lineRule="auto"/>
              <w:contextualSpacing w:val="0"/>
              <w:jc w:val="center"/>
              <w:rPr>
                <w:rFonts w:ascii="Calibri" w:hAnsi="Calibri" w:cs="Calibri"/>
                <w:sz w:val="20"/>
                <w:szCs w:val="20"/>
              </w:rPr>
            </w:pPr>
            <w:r w:rsidRPr="00D26554">
              <w:rPr>
                <w:rFonts w:ascii="Calibri" w:hAnsi="Calibri" w:cs="Calibri"/>
                <w:sz w:val="20"/>
                <w:szCs w:val="20"/>
              </w:rPr>
              <w:t>Blank</w:t>
            </w:r>
          </w:p>
        </w:tc>
        <w:tc>
          <w:tcPr>
            <w:tcW w:w="972" w:type="dxa"/>
          </w:tcPr>
          <w:p w14:paraId="3BE37851" w14:textId="77777777" w:rsidR="009B7AED" w:rsidRPr="00D26554" w:rsidRDefault="009B7AED" w:rsidP="00307549">
            <w:pPr>
              <w:pStyle w:val="TableTextDense"/>
              <w:spacing w:before="10" w:after="10" w:line="240" w:lineRule="auto"/>
              <w:contextualSpacing w:val="0"/>
              <w:jc w:val="center"/>
              <w:rPr>
                <w:rFonts w:ascii="Calibri" w:hAnsi="Calibri" w:cs="Calibri"/>
                <w:sz w:val="20"/>
                <w:szCs w:val="20"/>
              </w:rPr>
            </w:pPr>
            <w:r w:rsidRPr="00D26554">
              <w:rPr>
                <w:rFonts w:ascii="Calibri" w:hAnsi="Calibri" w:cs="Calibri"/>
                <w:sz w:val="20"/>
                <w:szCs w:val="20"/>
              </w:rPr>
              <w:t>Blank</w:t>
            </w:r>
          </w:p>
        </w:tc>
        <w:tc>
          <w:tcPr>
            <w:tcW w:w="972" w:type="dxa"/>
          </w:tcPr>
          <w:p w14:paraId="208BA274" w14:textId="77777777" w:rsidR="009B7AED" w:rsidRPr="00D26554" w:rsidRDefault="009B7AED" w:rsidP="00307549">
            <w:pPr>
              <w:pStyle w:val="TableTextDense"/>
              <w:spacing w:before="10" w:after="10" w:line="240" w:lineRule="auto"/>
              <w:contextualSpacing w:val="0"/>
              <w:jc w:val="center"/>
              <w:rPr>
                <w:rFonts w:ascii="Calibri" w:hAnsi="Calibri" w:cs="Calibri"/>
                <w:sz w:val="20"/>
                <w:szCs w:val="20"/>
              </w:rPr>
            </w:pPr>
            <w:r w:rsidRPr="00D26554">
              <w:rPr>
                <w:rFonts w:ascii="Calibri" w:hAnsi="Calibri" w:cs="Calibri"/>
                <w:sz w:val="20"/>
                <w:szCs w:val="20"/>
              </w:rPr>
              <w:t>Blank</w:t>
            </w:r>
          </w:p>
        </w:tc>
      </w:tr>
      <w:tr w:rsidR="009B7AED" w:rsidRPr="00D644E1" w14:paraId="2B83CEA2" w14:textId="77777777" w:rsidTr="005C1100">
        <w:trPr>
          <w:trHeight w:val="60"/>
        </w:trPr>
        <w:tc>
          <w:tcPr>
            <w:tcW w:w="1075" w:type="dxa"/>
            <w:vAlign w:val="top"/>
          </w:tcPr>
          <w:p w14:paraId="72C4C005" w14:textId="77777777" w:rsidR="009B7AED" w:rsidRPr="00D26554" w:rsidRDefault="009B7AED" w:rsidP="00307549">
            <w:pPr>
              <w:pStyle w:val="TableTextDense"/>
              <w:spacing w:before="10" w:after="10" w:line="240" w:lineRule="auto"/>
              <w:contextualSpacing w:val="0"/>
              <w:rPr>
                <w:rFonts w:ascii="Calibri" w:hAnsi="Calibri" w:cs="Calibri"/>
                <w:sz w:val="20"/>
                <w:szCs w:val="20"/>
              </w:rPr>
            </w:pPr>
            <w:r w:rsidRPr="00D26554">
              <w:rPr>
                <w:rFonts w:ascii="Calibri" w:hAnsi="Calibri" w:cs="Calibri"/>
                <w:sz w:val="20"/>
                <w:szCs w:val="20"/>
              </w:rPr>
              <w:t>Content 02 Example:</w:t>
            </w:r>
          </w:p>
        </w:tc>
        <w:tc>
          <w:tcPr>
            <w:tcW w:w="972" w:type="dxa"/>
          </w:tcPr>
          <w:p w14:paraId="0107699F" w14:textId="77777777" w:rsidR="009B7AED" w:rsidRPr="00D26554" w:rsidRDefault="009B7AED" w:rsidP="00307549">
            <w:pPr>
              <w:pStyle w:val="TableTextDense"/>
              <w:spacing w:before="10" w:after="10" w:line="240" w:lineRule="auto"/>
              <w:contextualSpacing w:val="0"/>
              <w:jc w:val="center"/>
              <w:rPr>
                <w:rFonts w:ascii="Calibri" w:hAnsi="Calibri" w:cs="Calibri"/>
                <w:sz w:val="20"/>
                <w:szCs w:val="20"/>
              </w:rPr>
            </w:pPr>
            <w:r w:rsidRPr="00D26554">
              <w:rPr>
                <w:rFonts w:ascii="Calibri" w:hAnsi="Calibri" w:cs="Calibri"/>
                <w:sz w:val="20"/>
                <w:szCs w:val="20"/>
              </w:rPr>
              <w:t>Blank</w:t>
            </w:r>
          </w:p>
        </w:tc>
        <w:tc>
          <w:tcPr>
            <w:tcW w:w="972" w:type="dxa"/>
          </w:tcPr>
          <w:p w14:paraId="146B9829" w14:textId="77777777" w:rsidR="009B7AED" w:rsidRPr="00D26554" w:rsidRDefault="009B7AED" w:rsidP="00307549">
            <w:pPr>
              <w:pStyle w:val="TableTextDense"/>
              <w:spacing w:before="10" w:after="10" w:line="240" w:lineRule="auto"/>
              <w:contextualSpacing w:val="0"/>
              <w:jc w:val="center"/>
              <w:rPr>
                <w:rFonts w:ascii="Calibri" w:hAnsi="Calibri" w:cs="Calibri"/>
                <w:sz w:val="20"/>
                <w:szCs w:val="20"/>
              </w:rPr>
            </w:pPr>
            <w:r w:rsidRPr="00D26554">
              <w:rPr>
                <w:rFonts w:ascii="Calibri" w:hAnsi="Calibri" w:cs="Calibri"/>
                <w:sz w:val="20"/>
                <w:szCs w:val="20"/>
              </w:rPr>
              <w:t>Blank</w:t>
            </w:r>
          </w:p>
        </w:tc>
        <w:tc>
          <w:tcPr>
            <w:tcW w:w="972" w:type="dxa"/>
          </w:tcPr>
          <w:p w14:paraId="7EB9147D" w14:textId="77777777" w:rsidR="009B7AED" w:rsidRPr="00D26554" w:rsidRDefault="009B7AED" w:rsidP="00307549">
            <w:pPr>
              <w:pStyle w:val="TableTextDense"/>
              <w:spacing w:before="10" w:after="10" w:line="240" w:lineRule="auto"/>
              <w:contextualSpacing w:val="0"/>
              <w:jc w:val="center"/>
              <w:rPr>
                <w:rFonts w:ascii="Calibri" w:hAnsi="Calibri" w:cs="Calibri"/>
                <w:sz w:val="20"/>
                <w:szCs w:val="20"/>
              </w:rPr>
            </w:pPr>
            <w:r w:rsidRPr="00D26554">
              <w:rPr>
                <w:rFonts w:ascii="Calibri" w:hAnsi="Calibri" w:cs="Calibri"/>
                <w:sz w:val="20"/>
                <w:szCs w:val="20"/>
              </w:rPr>
              <w:t>Blank</w:t>
            </w:r>
          </w:p>
        </w:tc>
        <w:tc>
          <w:tcPr>
            <w:tcW w:w="972" w:type="dxa"/>
          </w:tcPr>
          <w:p w14:paraId="1D540293" w14:textId="77777777" w:rsidR="009B7AED" w:rsidRPr="00D26554" w:rsidRDefault="009B7AED" w:rsidP="00307549">
            <w:pPr>
              <w:pStyle w:val="TableTextDense"/>
              <w:spacing w:before="10" w:after="10" w:line="240" w:lineRule="auto"/>
              <w:contextualSpacing w:val="0"/>
              <w:jc w:val="center"/>
              <w:rPr>
                <w:rFonts w:ascii="Calibri" w:hAnsi="Calibri" w:cs="Calibri"/>
                <w:sz w:val="20"/>
                <w:szCs w:val="20"/>
              </w:rPr>
            </w:pPr>
            <w:r w:rsidRPr="00D26554">
              <w:rPr>
                <w:rFonts w:ascii="Calibri" w:hAnsi="Calibri" w:cs="Calibri"/>
                <w:sz w:val="20"/>
                <w:szCs w:val="20"/>
              </w:rPr>
              <w:t>Blank</w:t>
            </w:r>
          </w:p>
        </w:tc>
        <w:tc>
          <w:tcPr>
            <w:tcW w:w="972" w:type="dxa"/>
          </w:tcPr>
          <w:p w14:paraId="3AF386B6" w14:textId="77777777" w:rsidR="009B7AED" w:rsidRPr="00D26554" w:rsidRDefault="009B7AED" w:rsidP="00307549">
            <w:pPr>
              <w:pStyle w:val="TableTextDense"/>
              <w:spacing w:before="10" w:after="10" w:line="240" w:lineRule="auto"/>
              <w:contextualSpacing w:val="0"/>
              <w:jc w:val="center"/>
              <w:rPr>
                <w:rFonts w:ascii="Calibri" w:hAnsi="Calibri" w:cs="Calibri"/>
                <w:sz w:val="20"/>
                <w:szCs w:val="20"/>
              </w:rPr>
            </w:pPr>
            <w:r w:rsidRPr="00D26554">
              <w:rPr>
                <w:rFonts w:ascii="Calibri" w:hAnsi="Calibri" w:cs="Calibri"/>
                <w:sz w:val="20"/>
                <w:szCs w:val="20"/>
              </w:rPr>
              <w:t>Blank</w:t>
            </w:r>
          </w:p>
        </w:tc>
      </w:tr>
      <w:tr w:rsidR="009B7AED" w:rsidRPr="00D644E1" w14:paraId="040FE8DA" w14:textId="77777777" w:rsidTr="005C1100">
        <w:trPr>
          <w:trHeight w:val="60"/>
        </w:trPr>
        <w:tc>
          <w:tcPr>
            <w:tcW w:w="1075" w:type="dxa"/>
            <w:vAlign w:val="top"/>
          </w:tcPr>
          <w:p w14:paraId="7A9AE082" w14:textId="77777777" w:rsidR="009B7AED" w:rsidRPr="00D26554" w:rsidRDefault="009B7AED" w:rsidP="00307549">
            <w:pPr>
              <w:pStyle w:val="TableTextDense"/>
              <w:spacing w:before="10" w:after="10" w:line="240" w:lineRule="auto"/>
              <w:contextualSpacing w:val="0"/>
              <w:rPr>
                <w:rFonts w:ascii="Calibri" w:hAnsi="Calibri" w:cs="Calibri"/>
                <w:sz w:val="20"/>
                <w:szCs w:val="20"/>
              </w:rPr>
            </w:pPr>
            <w:r w:rsidRPr="00D26554">
              <w:rPr>
                <w:rFonts w:ascii="Calibri" w:hAnsi="Calibri" w:cs="Calibri"/>
                <w:sz w:val="20"/>
                <w:szCs w:val="20"/>
              </w:rPr>
              <w:t>Content 03 Example:</w:t>
            </w:r>
          </w:p>
        </w:tc>
        <w:tc>
          <w:tcPr>
            <w:tcW w:w="972" w:type="dxa"/>
          </w:tcPr>
          <w:p w14:paraId="22A3DC41" w14:textId="77777777" w:rsidR="009B7AED" w:rsidRPr="00D26554" w:rsidRDefault="009B7AED" w:rsidP="00307549">
            <w:pPr>
              <w:pStyle w:val="TableTextDense"/>
              <w:spacing w:before="10" w:after="10" w:line="240" w:lineRule="auto"/>
              <w:contextualSpacing w:val="0"/>
              <w:jc w:val="center"/>
              <w:rPr>
                <w:rFonts w:ascii="Calibri" w:hAnsi="Calibri" w:cs="Calibri"/>
                <w:sz w:val="20"/>
                <w:szCs w:val="20"/>
              </w:rPr>
            </w:pPr>
            <w:r w:rsidRPr="00D26554">
              <w:rPr>
                <w:rFonts w:ascii="Calibri" w:hAnsi="Calibri" w:cs="Calibri"/>
                <w:sz w:val="20"/>
                <w:szCs w:val="20"/>
              </w:rPr>
              <w:t>Blank</w:t>
            </w:r>
          </w:p>
        </w:tc>
        <w:tc>
          <w:tcPr>
            <w:tcW w:w="972" w:type="dxa"/>
          </w:tcPr>
          <w:p w14:paraId="03457B5D" w14:textId="77777777" w:rsidR="009B7AED" w:rsidRPr="00D26554" w:rsidRDefault="009B7AED" w:rsidP="00307549">
            <w:pPr>
              <w:pStyle w:val="TableTextDense"/>
              <w:spacing w:before="10" w:after="10" w:line="240" w:lineRule="auto"/>
              <w:contextualSpacing w:val="0"/>
              <w:jc w:val="center"/>
              <w:rPr>
                <w:rFonts w:ascii="Calibri" w:hAnsi="Calibri" w:cs="Calibri"/>
                <w:sz w:val="20"/>
                <w:szCs w:val="20"/>
              </w:rPr>
            </w:pPr>
            <w:r w:rsidRPr="00D26554">
              <w:rPr>
                <w:rFonts w:ascii="Calibri" w:hAnsi="Calibri" w:cs="Calibri"/>
                <w:sz w:val="20"/>
                <w:szCs w:val="20"/>
              </w:rPr>
              <w:t>Blank</w:t>
            </w:r>
          </w:p>
        </w:tc>
        <w:tc>
          <w:tcPr>
            <w:tcW w:w="972" w:type="dxa"/>
          </w:tcPr>
          <w:p w14:paraId="1B9A58C8" w14:textId="77777777" w:rsidR="009B7AED" w:rsidRPr="00D26554" w:rsidRDefault="009B7AED" w:rsidP="00307549">
            <w:pPr>
              <w:pStyle w:val="TableTextDense"/>
              <w:spacing w:before="10" w:after="10" w:line="240" w:lineRule="auto"/>
              <w:contextualSpacing w:val="0"/>
              <w:jc w:val="center"/>
              <w:rPr>
                <w:rFonts w:ascii="Calibri" w:hAnsi="Calibri" w:cs="Calibri"/>
                <w:sz w:val="20"/>
                <w:szCs w:val="20"/>
              </w:rPr>
            </w:pPr>
            <w:r w:rsidRPr="00D26554">
              <w:rPr>
                <w:rFonts w:ascii="Calibri" w:hAnsi="Calibri" w:cs="Calibri"/>
                <w:sz w:val="20"/>
                <w:szCs w:val="20"/>
              </w:rPr>
              <w:t>Blank</w:t>
            </w:r>
          </w:p>
        </w:tc>
        <w:tc>
          <w:tcPr>
            <w:tcW w:w="972" w:type="dxa"/>
          </w:tcPr>
          <w:p w14:paraId="0B4CBAC4" w14:textId="77777777" w:rsidR="009B7AED" w:rsidRPr="00D26554" w:rsidRDefault="009B7AED" w:rsidP="00307549">
            <w:pPr>
              <w:pStyle w:val="TableTextDense"/>
              <w:spacing w:before="10" w:after="10" w:line="240" w:lineRule="auto"/>
              <w:contextualSpacing w:val="0"/>
              <w:jc w:val="center"/>
              <w:rPr>
                <w:rFonts w:ascii="Calibri" w:hAnsi="Calibri" w:cs="Calibri"/>
                <w:sz w:val="20"/>
                <w:szCs w:val="20"/>
              </w:rPr>
            </w:pPr>
            <w:r w:rsidRPr="00D26554">
              <w:rPr>
                <w:rFonts w:ascii="Calibri" w:hAnsi="Calibri" w:cs="Calibri"/>
                <w:sz w:val="20"/>
                <w:szCs w:val="20"/>
              </w:rPr>
              <w:t>Blank</w:t>
            </w:r>
          </w:p>
        </w:tc>
        <w:tc>
          <w:tcPr>
            <w:tcW w:w="972" w:type="dxa"/>
          </w:tcPr>
          <w:p w14:paraId="19A5ADF9" w14:textId="77777777" w:rsidR="009B7AED" w:rsidRPr="00D26554" w:rsidRDefault="009B7AED" w:rsidP="00307549">
            <w:pPr>
              <w:pStyle w:val="TableTextDense"/>
              <w:spacing w:before="10" w:after="10" w:line="240" w:lineRule="auto"/>
              <w:contextualSpacing w:val="0"/>
              <w:jc w:val="center"/>
              <w:rPr>
                <w:rFonts w:ascii="Calibri" w:hAnsi="Calibri" w:cs="Calibri"/>
                <w:sz w:val="20"/>
                <w:szCs w:val="20"/>
              </w:rPr>
            </w:pPr>
            <w:r w:rsidRPr="00D26554">
              <w:rPr>
                <w:rFonts w:ascii="Calibri" w:hAnsi="Calibri" w:cs="Calibri"/>
                <w:sz w:val="20"/>
                <w:szCs w:val="20"/>
              </w:rPr>
              <w:t>Blank</w:t>
            </w:r>
          </w:p>
        </w:tc>
      </w:tr>
      <w:tr w:rsidR="009B7AED" w:rsidRPr="00D644E1" w14:paraId="71AA54A7" w14:textId="77777777" w:rsidTr="005C1100">
        <w:trPr>
          <w:trHeight w:val="60"/>
        </w:trPr>
        <w:tc>
          <w:tcPr>
            <w:tcW w:w="1075" w:type="dxa"/>
            <w:vAlign w:val="top"/>
          </w:tcPr>
          <w:p w14:paraId="716499EE" w14:textId="77777777" w:rsidR="009B7AED" w:rsidRPr="00D26554" w:rsidRDefault="009B7AED" w:rsidP="00307549">
            <w:pPr>
              <w:pStyle w:val="TableTextDense"/>
              <w:spacing w:before="10" w:after="10" w:line="240" w:lineRule="auto"/>
              <w:contextualSpacing w:val="0"/>
              <w:rPr>
                <w:rFonts w:ascii="Calibri" w:hAnsi="Calibri" w:cs="Calibri"/>
                <w:sz w:val="20"/>
                <w:szCs w:val="20"/>
              </w:rPr>
            </w:pPr>
            <w:r w:rsidRPr="00D26554">
              <w:rPr>
                <w:rFonts w:ascii="Calibri" w:hAnsi="Calibri" w:cs="Calibri"/>
                <w:sz w:val="20"/>
                <w:szCs w:val="20"/>
              </w:rPr>
              <w:t>Content 04 Example:</w:t>
            </w:r>
          </w:p>
        </w:tc>
        <w:tc>
          <w:tcPr>
            <w:tcW w:w="972" w:type="dxa"/>
          </w:tcPr>
          <w:p w14:paraId="3B723C24" w14:textId="77777777" w:rsidR="009B7AED" w:rsidRPr="00D26554" w:rsidRDefault="009B7AED" w:rsidP="00307549">
            <w:pPr>
              <w:pStyle w:val="TableTextDense"/>
              <w:spacing w:before="10" w:after="10" w:line="240" w:lineRule="auto"/>
              <w:contextualSpacing w:val="0"/>
              <w:jc w:val="center"/>
              <w:rPr>
                <w:rFonts w:ascii="Calibri" w:hAnsi="Calibri" w:cs="Calibri"/>
                <w:sz w:val="20"/>
                <w:szCs w:val="20"/>
              </w:rPr>
            </w:pPr>
            <w:r w:rsidRPr="00D26554">
              <w:rPr>
                <w:rFonts w:ascii="Calibri" w:hAnsi="Calibri" w:cs="Calibri"/>
                <w:sz w:val="20"/>
                <w:szCs w:val="20"/>
              </w:rPr>
              <w:t>Blank</w:t>
            </w:r>
          </w:p>
        </w:tc>
        <w:tc>
          <w:tcPr>
            <w:tcW w:w="972" w:type="dxa"/>
          </w:tcPr>
          <w:p w14:paraId="287A1482" w14:textId="77777777" w:rsidR="009B7AED" w:rsidRPr="00D26554" w:rsidRDefault="009B7AED" w:rsidP="00307549">
            <w:pPr>
              <w:pStyle w:val="TableTextDense"/>
              <w:spacing w:before="10" w:after="10" w:line="240" w:lineRule="auto"/>
              <w:contextualSpacing w:val="0"/>
              <w:jc w:val="center"/>
              <w:rPr>
                <w:rFonts w:ascii="Calibri" w:hAnsi="Calibri" w:cs="Calibri"/>
                <w:sz w:val="20"/>
                <w:szCs w:val="20"/>
              </w:rPr>
            </w:pPr>
            <w:r w:rsidRPr="00D26554">
              <w:rPr>
                <w:rFonts w:ascii="Calibri" w:hAnsi="Calibri" w:cs="Calibri"/>
                <w:sz w:val="20"/>
                <w:szCs w:val="20"/>
              </w:rPr>
              <w:t>Blank</w:t>
            </w:r>
          </w:p>
        </w:tc>
        <w:tc>
          <w:tcPr>
            <w:tcW w:w="972" w:type="dxa"/>
          </w:tcPr>
          <w:p w14:paraId="6E719A7D" w14:textId="77777777" w:rsidR="009B7AED" w:rsidRPr="00D26554" w:rsidRDefault="009B7AED" w:rsidP="00307549">
            <w:pPr>
              <w:pStyle w:val="TableTextDense"/>
              <w:spacing w:before="10" w:after="10" w:line="240" w:lineRule="auto"/>
              <w:contextualSpacing w:val="0"/>
              <w:jc w:val="center"/>
              <w:rPr>
                <w:rFonts w:ascii="Calibri" w:hAnsi="Calibri" w:cs="Calibri"/>
                <w:sz w:val="20"/>
                <w:szCs w:val="20"/>
              </w:rPr>
            </w:pPr>
            <w:r w:rsidRPr="00D26554">
              <w:rPr>
                <w:rFonts w:ascii="Calibri" w:hAnsi="Calibri" w:cs="Calibri"/>
                <w:sz w:val="20"/>
                <w:szCs w:val="20"/>
              </w:rPr>
              <w:t>Blank</w:t>
            </w:r>
          </w:p>
        </w:tc>
        <w:tc>
          <w:tcPr>
            <w:tcW w:w="972" w:type="dxa"/>
          </w:tcPr>
          <w:p w14:paraId="17409065" w14:textId="77777777" w:rsidR="009B7AED" w:rsidRPr="00D26554" w:rsidRDefault="009B7AED" w:rsidP="00307549">
            <w:pPr>
              <w:pStyle w:val="TableTextDense"/>
              <w:spacing w:before="10" w:after="10" w:line="240" w:lineRule="auto"/>
              <w:contextualSpacing w:val="0"/>
              <w:jc w:val="center"/>
              <w:rPr>
                <w:rFonts w:ascii="Calibri" w:hAnsi="Calibri" w:cs="Calibri"/>
                <w:sz w:val="20"/>
                <w:szCs w:val="20"/>
              </w:rPr>
            </w:pPr>
            <w:r w:rsidRPr="00D26554">
              <w:rPr>
                <w:rFonts w:ascii="Calibri" w:hAnsi="Calibri" w:cs="Calibri"/>
                <w:sz w:val="20"/>
                <w:szCs w:val="20"/>
              </w:rPr>
              <w:t>Blank</w:t>
            </w:r>
          </w:p>
        </w:tc>
        <w:tc>
          <w:tcPr>
            <w:tcW w:w="972" w:type="dxa"/>
          </w:tcPr>
          <w:p w14:paraId="22F02439" w14:textId="77777777" w:rsidR="009B7AED" w:rsidRPr="00D26554" w:rsidRDefault="009B7AED" w:rsidP="00307549">
            <w:pPr>
              <w:pStyle w:val="TableTextDense"/>
              <w:spacing w:before="10" w:after="10" w:line="240" w:lineRule="auto"/>
              <w:contextualSpacing w:val="0"/>
              <w:jc w:val="center"/>
              <w:rPr>
                <w:rFonts w:ascii="Calibri" w:hAnsi="Calibri" w:cs="Calibri"/>
                <w:sz w:val="20"/>
                <w:szCs w:val="20"/>
              </w:rPr>
            </w:pPr>
            <w:r w:rsidRPr="00D26554">
              <w:rPr>
                <w:rFonts w:ascii="Calibri" w:hAnsi="Calibri" w:cs="Calibri"/>
                <w:sz w:val="20"/>
                <w:szCs w:val="20"/>
              </w:rPr>
              <w:t>Blank</w:t>
            </w:r>
          </w:p>
        </w:tc>
      </w:tr>
      <w:tr w:rsidR="009B7AED" w:rsidRPr="00D644E1" w14:paraId="3E777A86" w14:textId="77777777" w:rsidTr="005C1100">
        <w:trPr>
          <w:trHeight w:val="60"/>
        </w:trPr>
        <w:tc>
          <w:tcPr>
            <w:tcW w:w="1075" w:type="dxa"/>
            <w:vAlign w:val="top"/>
          </w:tcPr>
          <w:p w14:paraId="2E7E827B" w14:textId="77777777" w:rsidR="009B7AED" w:rsidRPr="00D26554" w:rsidRDefault="009B7AED" w:rsidP="00307549">
            <w:pPr>
              <w:pStyle w:val="TableTextDense"/>
              <w:spacing w:before="10" w:after="10" w:line="240" w:lineRule="auto"/>
              <w:contextualSpacing w:val="0"/>
              <w:rPr>
                <w:rFonts w:ascii="Calibri" w:hAnsi="Calibri" w:cs="Calibri"/>
                <w:sz w:val="20"/>
                <w:szCs w:val="20"/>
              </w:rPr>
            </w:pPr>
            <w:r w:rsidRPr="00D26554">
              <w:rPr>
                <w:rFonts w:ascii="Calibri" w:hAnsi="Calibri" w:cs="Calibri"/>
                <w:sz w:val="20"/>
                <w:szCs w:val="20"/>
              </w:rPr>
              <w:t>Content 05 Example:</w:t>
            </w:r>
          </w:p>
        </w:tc>
        <w:tc>
          <w:tcPr>
            <w:tcW w:w="972" w:type="dxa"/>
          </w:tcPr>
          <w:p w14:paraId="46606D3E" w14:textId="77777777" w:rsidR="009B7AED" w:rsidRPr="00D26554" w:rsidRDefault="009B7AED" w:rsidP="00307549">
            <w:pPr>
              <w:pStyle w:val="TableTextDense"/>
              <w:spacing w:before="10" w:after="10" w:line="240" w:lineRule="auto"/>
              <w:contextualSpacing w:val="0"/>
              <w:jc w:val="center"/>
              <w:rPr>
                <w:rFonts w:ascii="Calibri" w:hAnsi="Calibri" w:cs="Calibri"/>
                <w:sz w:val="20"/>
                <w:szCs w:val="20"/>
              </w:rPr>
            </w:pPr>
            <w:r w:rsidRPr="00D26554">
              <w:rPr>
                <w:rFonts w:ascii="Calibri" w:hAnsi="Calibri" w:cs="Calibri"/>
                <w:sz w:val="20"/>
                <w:szCs w:val="20"/>
              </w:rPr>
              <w:t>Blank</w:t>
            </w:r>
          </w:p>
        </w:tc>
        <w:tc>
          <w:tcPr>
            <w:tcW w:w="972" w:type="dxa"/>
          </w:tcPr>
          <w:p w14:paraId="7C4BC514" w14:textId="77777777" w:rsidR="009B7AED" w:rsidRPr="00D26554" w:rsidRDefault="009B7AED" w:rsidP="00307549">
            <w:pPr>
              <w:pStyle w:val="TableTextDense"/>
              <w:spacing w:before="10" w:after="10" w:line="240" w:lineRule="auto"/>
              <w:contextualSpacing w:val="0"/>
              <w:jc w:val="center"/>
              <w:rPr>
                <w:rFonts w:ascii="Calibri" w:hAnsi="Calibri" w:cs="Calibri"/>
                <w:sz w:val="20"/>
                <w:szCs w:val="20"/>
              </w:rPr>
            </w:pPr>
            <w:r w:rsidRPr="00D26554">
              <w:rPr>
                <w:rFonts w:ascii="Calibri" w:hAnsi="Calibri" w:cs="Calibri"/>
                <w:sz w:val="20"/>
                <w:szCs w:val="20"/>
              </w:rPr>
              <w:t>Blank</w:t>
            </w:r>
          </w:p>
        </w:tc>
        <w:tc>
          <w:tcPr>
            <w:tcW w:w="972" w:type="dxa"/>
          </w:tcPr>
          <w:p w14:paraId="01D47D24" w14:textId="77777777" w:rsidR="009B7AED" w:rsidRPr="00D26554" w:rsidRDefault="009B7AED" w:rsidP="00307549">
            <w:pPr>
              <w:pStyle w:val="TableTextDense"/>
              <w:spacing w:before="10" w:after="10" w:line="240" w:lineRule="auto"/>
              <w:contextualSpacing w:val="0"/>
              <w:jc w:val="center"/>
              <w:rPr>
                <w:rFonts w:ascii="Calibri" w:hAnsi="Calibri" w:cs="Calibri"/>
                <w:sz w:val="20"/>
                <w:szCs w:val="20"/>
              </w:rPr>
            </w:pPr>
            <w:r w:rsidRPr="00D26554">
              <w:rPr>
                <w:rFonts w:ascii="Calibri" w:hAnsi="Calibri" w:cs="Calibri"/>
                <w:sz w:val="20"/>
                <w:szCs w:val="20"/>
              </w:rPr>
              <w:t>Blank</w:t>
            </w:r>
          </w:p>
        </w:tc>
        <w:tc>
          <w:tcPr>
            <w:tcW w:w="972" w:type="dxa"/>
          </w:tcPr>
          <w:p w14:paraId="4FD17EB5" w14:textId="77777777" w:rsidR="009B7AED" w:rsidRPr="00D26554" w:rsidRDefault="009B7AED" w:rsidP="00307549">
            <w:pPr>
              <w:pStyle w:val="TableTextDense"/>
              <w:spacing w:before="10" w:after="10" w:line="240" w:lineRule="auto"/>
              <w:contextualSpacing w:val="0"/>
              <w:jc w:val="center"/>
              <w:rPr>
                <w:rFonts w:ascii="Calibri" w:hAnsi="Calibri" w:cs="Calibri"/>
                <w:sz w:val="20"/>
                <w:szCs w:val="20"/>
              </w:rPr>
            </w:pPr>
            <w:r w:rsidRPr="00D26554">
              <w:rPr>
                <w:rFonts w:ascii="Calibri" w:hAnsi="Calibri" w:cs="Calibri"/>
                <w:sz w:val="20"/>
                <w:szCs w:val="20"/>
              </w:rPr>
              <w:t>Blank</w:t>
            </w:r>
          </w:p>
        </w:tc>
        <w:tc>
          <w:tcPr>
            <w:tcW w:w="972" w:type="dxa"/>
          </w:tcPr>
          <w:p w14:paraId="32F6BB2D" w14:textId="77777777" w:rsidR="009B7AED" w:rsidRPr="00D26554" w:rsidRDefault="009B7AED" w:rsidP="00307549">
            <w:pPr>
              <w:pStyle w:val="TableTextDense"/>
              <w:spacing w:before="10" w:after="10" w:line="240" w:lineRule="auto"/>
              <w:contextualSpacing w:val="0"/>
              <w:jc w:val="center"/>
              <w:rPr>
                <w:rFonts w:ascii="Calibri" w:hAnsi="Calibri" w:cs="Calibri"/>
                <w:sz w:val="20"/>
                <w:szCs w:val="20"/>
              </w:rPr>
            </w:pPr>
            <w:r w:rsidRPr="00D26554">
              <w:rPr>
                <w:rFonts w:ascii="Calibri" w:hAnsi="Calibri" w:cs="Calibri"/>
                <w:sz w:val="20"/>
                <w:szCs w:val="20"/>
              </w:rPr>
              <w:t>Blank</w:t>
            </w:r>
          </w:p>
        </w:tc>
      </w:tr>
    </w:tbl>
    <w:p w14:paraId="08A443F8" w14:textId="77777777" w:rsidR="009B7AED" w:rsidRPr="00877387" w:rsidRDefault="009B7AED" w:rsidP="00083ADA">
      <w:pPr>
        <w:spacing w:before="80" w:after="80"/>
        <w:jc w:val="left"/>
      </w:pPr>
      <w:r w:rsidRPr="00877387">
        <w:t xml:space="preserve">Use </w:t>
      </w:r>
      <w:r>
        <w:t>1</w:t>
      </w:r>
      <w:r w:rsidRPr="00877387">
        <w:t xml:space="preserve">4 columns for each </w:t>
      </w:r>
      <w:r>
        <w:t xml:space="preserve">additional </w:t>
      </w:r>
      <w:r w:rsidRPr="00877387">
        <w:t xml:space="preserve">axle </w:t>
      </w:r>
      <w:r>
        <w:t xml:space="preserve">spacing </w:t>
      </w:r>
      <w:r w:rsidRPr="00877387">
        <w:t xml:space="preserve">up to 25 axles (include </w:t>
      </w:r>
      <w:r>
        <w:t>5</w:t>
      </w:r>
      <w:r w:rsidRPr="00877387">
        <w:t xml:space="preserve"> columns of </w:t>
      </w:r>
      <w:r>
        <w:t xml:space="preserve">left </w:t>
      </w:r>
      <w:r w:rsidRPr="00877387">
        <w:t xml:space="preserve">weight </w:t>
      </w:r>
      <w:r>
        <w:t xml:space="preserve">and 5 for the right axle weight </w:t>
      </w:r>
      <w:r w:rsidRPr="00877387">
        <w:t>prior to the next axle distance)</w:t>
      </w:r>
    </w:p>
    <w:p w14:paraId="7BBBACD0" w14:textId="65C7EDC6" w:rsidR="000070C2" w:rsidRDefault="009B7AED" w:rsidP="00083ADA">
      <w:pPr>
        <w:spacing w:before="80" w:after="80"/>
        <w:jc w:val="left"/>
        <w:sectPr w:rsidR="000070C2" w:rsidSect="000070C2">
          <w:headerReference w:type="even" r:id="rId221"/>
          <w:headerReference w:type="default" r:id="rId222"/>
          <w:footerReference w:type="even" r:id="rId223"/>
          <w:footerReference w:type="default" r:id="rId224"/>
          <w:pgSz w:w="15840" w:h="12240" w:code="1"/>
          <w:pgMar w:top="1440" w:right="1152" w:bottom="1440" w:left="1440" w:header="720" w:footer="576" w:gutter="0"/>
          <w:pgNumType w:chapStyle="1"/>
          <w:cols w:space="720"/>
          <w:noEndnote/>
          <w:docGrid w:linePitch="272"/>
        </w:sectPr>
      </w:pPr>
      <w:r>
        <w:t xml:space="preserve">State highway agencies can submit the IVR (Z variant) data using the pipe-delimited format. The key difference between the fixed-width format and the pipe-delimited format is that with the pipe-delimited file, data elements no longer need to match the starting and ending columns. Length of data elements can be equal or shorter than the specified lengths. </w:t>
      </w:r>
      <w:r>
        <w:rPr>
          <w:rStyle w:val="Italic"/>
          <w:i w:val="0"/>
        </w:rPr>
        <w:t xml:space="preserve">The field order for the pipe-delimited format is identical to the order for the fixed-width format (see </w:t>
      </w:r>
      <w:r>
        <w:rPr>
          <w:rStyle w:val="Italic"/>
          <w:i w:val="0"/>
        </w:rPr>
        <w:fldChar w:fldCharType="begin"/>
      </w:r>
      <w:r>
        <w:rPr>
          <w:rStyle w:val="Italic"/>
          <w:i w:val="0"/>
        </w:rPr>
        <w:instrText xml:space="preserve"> REF _Ref113280017 </w:instrText>
      </w:r>
      <w:r w:rsidR="00083ADA">
        <w:rPr>
          <w:rStyle w:val="Italic"/>
          <w:i w:val="0"/>
        </w:rPr>
        <w:instrText xml:space="preserve"> \* MERGEFORMAT </w:instrText>
      </w:r>
      <w:r>
        <w:rPr>
          <w:rStyle w:val="Italic"/>
          <w:i w:val="0"/>
        </w:rPr>
        <w:fldChar w:fldCharType="separate"/>
      </w:r>
      <w:r w:rsidR="00C07DF9">
        <w:t xml:space="preserve">Table </w:t>
      </w:r>
      <w:r w:rsidR="00C07DF9">
        <w:rPr>
          <w:noProof/>
        </w:rPr>
        <w:t>4</w:t>
      </w:r>
      <w:r w:rsidR="00C07DF9">
        <w:rPr>
          <w:noProof/>
        </w:rPr>
        <w:noBreakHyphen/>
        <w:t>33</w:t>
      </w:r>
      <w:r>
        <w:rPr>
          <w:rStyle w:val="Italic"/>
          <w:i w:val="0"/>
        </w:rPr>
        <w:fldChar w:fldCharType="end"/>
      </w:r>
      <w:r>
        <w:rPr>
          <w:rStyle w:val="Italic"/>
          <w:i w:val="0"/>
        </w:rPr>
        <w:t xml:space="preserve">). </w:t>
      </w:r>
      <w:r w:rsidR="00ED2A81">
        <w:rPr>
          <w:rStyle w:val="Italic"/>
          <w:i w:val="0"/>
        </w:rPr>
        <w:br/>
      </w:r>
      <w:r>
        <w:rPr>
          <w:rStyle w:val="Italic"/>
          <w:i w:val="0"/>
        </w:rPr>
        <w:t xml:space="preserve">In this format, the fields are separated by a </w:t>
      </w:r>
      <w:r>
        <w:t>pipe symbol (|) instead of beginning in specified columns. Example records in this format are provided below.</w:t>
      </w:r>
    </w:p>
    <w:p w14:paraId="551FCF86" w14:textId="77777777" w:rsidR="009B7AED" w:rsidRPr="000070C2" w:rsidRDefault="009B7AED" w:rsidP="00A26E43">
      <w:pPr>
        <w:spacing w:after="120"/>
        <w:rPr>
          <w:rFonts w:ascii="Cambria" w:hAnsi="Cambria"/>
          <w:b/>
          <w:sz w:val="26"/>
          <w:szCs w:val="26"/>
        </w:rPr>
      </w:pPr>
      <w:r w:rsidRPr="000070C2">
        <w:rPr>
          <w:rFonts w:ascii="Cambria" w:hAnsi="Cambria"/>
          <w:b/>
          <w:sz w:val="26"/>
          <w:szCs w:val="26"/>
        </w:rPr>
        <w:lastRenderedPageBreak/>
        <w:t>Delimited Format Examples</w:t>
      </w:r>
    </w:p>
    <w:p w14:paraId="1E992193" w14:textId="77777777" w:rsidR="009B7AED" w:rsidRPr="00A26E43" w:rsidRDefault="009B7AED" w:rsidP="00A26E43">
      <w:pPr>
        <w:spacing w:before="240" w:after="120"/>
        <w:rPr>
          <w:rFonts w:ascii="Cambria" w:hAnsi="Cambria"/>
          <w:b/>
          <w:sz w:val="22"/>
          <w:szCs w:val="22"/>
        </w:rPr>
      </w:pPr>
      <w:r w:rsidRPr="00A26E43">
        <w:rPr>
          <w:rFonts w:ascii="Cambria" w:hAnsi="Cambria"/>
          <w:b/>
          <w:sz w:val="22"/>
          <w:szCs w:val="22"/>
        </w:rPr>
        <w:t>Weight (Left and Right) Format – Detailed</w:t>
      </w:r>
    </w:p>
    <w:p w14:paraId="73A9C01E" w14:textId="77777777" w:rsidR="009B7AED" w:rsidRPr="00E53EEE" w:rsidRDefault="009B7AED" w:rsidP="009B7AED">
      <w:pPr>
        <w:rPr>
          <w:bCs/>
        </w:rPr>
      </w:pPr>
      <w:r w:rsidRPr="00E53EEE">
        <w:rPr>
          <w:bCs/>
        </w:rPr>
        <w:t>R</w:t>
      </w:r>
      <w:r>
        <w:rPr>
          <w:bCs/>
        </w:rPr>
        <w:t>T</w:t>
      </w:r>
      <w:r w:rsidRPr="00E53EEE">
        <w:rPr>
          <w:bCs/>
        </w:rPr>
        <w:t>|SFIPS|ID|D</w:t>
      </w:r>
      <w:r>
        <w:rPr>
          <w:bCs/>
        </w:rPr>
        <w:t>IR</w:t>
      </w:r>
      <w:r w:rsidRPr="00E53EEE">
        <w:rPr>
          <w:bCs/>
        </w:rPr>
        <w:t>|L</w:t>
      </w:r>
      <w:r>
        <w:rPr>
          <w:bCs/>
        </w:rPr>
        <w:t>N</w:t>
      </w:r>
      <w:r w:rsidRPr="00E53EEE">
        <w:rPr>
          <w:bCs/>
        </w:rPr>
        <w:t>|YR|MOY|DOM|HOD|MOH|SOM|SSOS|Z|VS|SPD|CLS|NAX|TVL|PT|GVW|LW1|RW1|ASP1|LW2|RW2|ASP2|LW3|RW3|…|ASP12|LW12|RW12|…</w:t>
      </w:r>
    </w:p>
    <w:p w14:paraId="6AF78981" w14:textId="77777777" w:rsidR="009B7AED" w:rsidRPr="00A26E43" w:rsidRDefault="009B7AED" w:rsidP="00A26E43">
      <w:pPr>
        <w:spacing w:before="240" w:after="120"/>
        <w:rPr>
          <w:rFonts w:ascii="Cambria" w:hAnsi="Cambria"/>
          <w:b/>
          <w:sz w:val="22"/>
          <w:szCs w:val="22"/>
        </w:rPr>
      </w:pPr>
      <w:r w:rsidRPr="00A26E43">
        <w:rPr>
          <w:rFonts w:ascii="Cambria" w:hAnsi="Cambria"/>
          <w:b/>
          <w:sz w:val="22"/>
          <w:szCs w:val="22"/>
        </w:rPr>
        <w:t>2-Lane Roadway with 15 Individual Vehicles Recorded</w:t>
      </w:r>
    </w:p>
    <w:p w14:paraId="3563114D" w14:textId="77777777" w:rsidR="009B7AED" w:rsidRPr="00877387" w:rsidRDefault="009B7AED" w:rsidP="009B7AED">
      <w:bookmarkStart w:id="3239" w:name="_Hlk42862454"/>
      <w:r w:rsidRPr="00877387">
        <w:t>I|12|135750|1|1|2021|4|25|2|12|5|31|Z|65310|554|9|5|694|70|61837|5200|5300|145|5995|6005|43|5830|6670|310|6720|6730|46|6695|6694</w:t>
      </w:r>
    </w:p>
    <w:p w14:paraId="349B7F21" w14:textId="77777777" w:rsidR="009B7AED" w:rsidRPr="00877387" w:rsidRDefault="009B7AED" w:rsidP="009B7AED">
      <w:r w:rsidRPr="00877387">
        <w:t>I|12|135760|5|1|2021|4|25|2|12|5|37|Z|52810|762|5|2|275|69|14874|4101|4361|185|3052|3360</w:t>
      </w:r>
    </w:p>
    <w:p w14:paraId="4C68EBC1" w14:textId="77777777" w:rsidR="009B7AED" w:rsidRPr="00877387" w:rsidRDefault="009B7AED" w:rsidP="009B7AED">
      <w:r w:rsidRPr="00877387">
        <w:t>I|12|135760|5|2|2021|4|25|2|12|5|68|Z|12120|648|1|2|75|69|232||88|53||144</w:t>
      </w:r>
    </w:p>
    <w:p w14:paraId="702931FD" w14:textId="77777777" w:rsidR="009B7AED" w:rsidRPr="00877387" w:rsidRDefault="009B7AED" w:rsidP="009B7AED">
      <w:r w:rsidRPr="00877387">
        <w:t>I|12|135760|1|2|2021|4|25|2|12|7|4|Z|43460|605|4|3|452|70|25886|4405|5345|246|3604|4076|43|4046|4410</w:t>
      </w:r>
    </w:p>
    <w:p w14:paraId="776F9FCF" w14:textId="77777777" w:rsidR="009B7AED" w:rsidRPr="00877387" w:rsidRDefault="009B7AED" w:rsidP="009B7AED">
      <w:r w:rsidRPr="00877387">
        <w:t>I|12|135760|1|1|2021|4|25|2|12|8|23|Z|65227|600|9|5|585|70|54828|4507|5366|173|5521|6157|43|5274|5711|300|5505|5740|40|5294|5753</w:t>
      </w:r>
    </w:p>
    <w:p w14:paraId="1052AD6E" w14:textId="77777777" w:rsidR="009B7AED" w:rsidRPr="00877387" w:rsidRDefault="009B7AED" w:rsidP="009B7AED">
      <w:bookmarkStart w:id="3240" w:name="_Hlk43197353"/>
      <w:r w:rsidRPr="00877387">
        <w:t>I|12|135760|5|2|2021|4|25|2|12|8|68|Z|22290|648|2|2|162|69|2438|852|1038|97|261|287|</w:t>
      </w:r>
    </w:p>
    <w:bookmarkEnd w:id="3240"/>
    <w:p w14:paraId="4ED417B9" w14:textId="77777777" w:rsidR="009B7AED" w:rsidRPr="00877387" w:rsidRDefault="009B7AED" w:rsidP="009B7AED">
      <w:r w:rsidRPr="00877387">
        <w:t>I|12|135760|5|1|2021|4|25|2|12|9|89|Z|64220|552|8|4|429|69|40561|4503|5001|130|5438|6108|175|4508|5220|41|4597|5186</w:t>
      </w:r>
    </w:p>
    <w:p w14:paraId="399EE7FA" w14:textId="77777777" w:rsidR="009B7AED" w:rsidRPr="00877387" w:rsidRDefault="009B7AED" w:rsidP="009B7AED">
      <w:r w:rsidRPr="00877387">
        <w:t>I|12|135760|1|1|2021|4|25|2|12|12|15|Z|65949|571|9|5|560|70|70044|5605|6015|165|5947|6948|43|6032|6498|230|8001|8749|82|7943|8306</w:t>
      </w:r>
    </w:p>
    <w:p w14:paraId="20363E82" w14:textId="77777777" w:rsidR="009B7AED" w:rsidRPr="00877387" w:rsidRDefault="009B7AED" w:rsidP="009B7AED">
      <w:r w:rsidRPr="00877387">
        <w:t>I|12|135760|5|2|2021|4|25|2|12|8|68|Z|22219|648|2|2|145|68|3096|1140|1208|88|344|404|</w:t>
      </w:r>
    </w:p>
    <w:p w14:paraId="5C08CF27" w14:textId="77777777" w:rsidR="009B7AED" w:rsidRPr="00877387" w:rsidRDefault="009B7AED" w:rsidP="009B7AED">
      <w:r w:rsidRPr="00877387">
        <w:t>I|12|135760|5|1|2021|4|25|2|12|15|85|Z|66227|557|10|6|708|69|7</w:t>
      </w:r>
      <w:r>
        <w:t>5</w:t>
      </w:r>
      <w:r w:rsidRPr="00877387">
        <w:t>9</w:t>
      </w:r>
      <w:r>
        <w:t>6</w:t>
      </w:r>
      <w:r w:rsidRPr="00877387">
        <w:t>3|5353|6110|152|5006|5480|48|5216|5650|48|5100|5462|355|7899|8146|42|8105|8436</w:t>
      </w:r>
    </w:p>
    <w:p w14:paraId="58FFE169" w14:textId="77777777" w:rsidR="009B7AED" w:rsidRPr="00877387" w:rsidRDefault="009B7AED" w:rsidP="009B7AED">
      <w:r w:rsidRPr="00877387">
        <w:t>I|12|135760|1|2|2021|4|25|2|12|15|92|Z|65950|721|9|5|546|70|72741|5600|5631|175|7357|7423|40|7651|7694|235|7605|7640|39|8023|8117</w:t>
      </w:r>
    </w:p>
    <w:p w14:paraId="6B77559B" w14:textId="77777777" w:rsidR="009B7AED" w:rsidRPr="00877387" w:rsidRDefault="009B7AED" w:rsidP="009B7AED">
      <w:r w:rsidRPr="00877387">
        <w:t>I|12|135760|1|1|2021|4|25|2|12|17|14|Z|32340|728|3|2|213|69|3243|845|865|132|740|793</w:t>
      </w:r>
    </w:p>
    <w:p w14:paraId="5C1BFAB1" w14:textId="77777777" w:rsidR="009B7AED" w:rsidRPr="00877387" w:rsidRDefault="009B7AED" w:rsidP="009B7AED">
      <w:r w:rsidRPr="00877387">
        <w:t>I|12|135760|5|2|2021|4|25|2|12|17|90|Z|32321|654|3|3|</w:t>
      </w:r>
      <w:bookmarkStart w:id="3241" w:name="_Hlk43386024"/>
      <w:r w:rsidRPr="00877387">
        <w:t>360|68|14114|</w:t>
      </w:r>
      <w:bookmarkEnd w:id="3241"/>
      <w:r w:rsidRPr="00877387">
        <w:t>1250|1340|128|1874|1950|167|3781|3919</w:t>
      </w:r>
    </w:p>
    <w:p w14:paraId="386D3AFB" w14:textId="77777777" w:rsidR="009B7AED" w:rsidRPr="00877387" w:rsidRDefault="009B7AED" w:rsidP="009B7AED">
      <w:r w:rsidRPr="00877387">
        <w:t>I|12|135760|5|1|2021|4|25|2|12|20|54|Z|22210|728|2|2|125|69|1884|531|557|87|391|405</w:t>
      </w:r>
    </w:p>
    <w:p w14:paraId="517C917D" w14:textId="77777777" w:rsidR="009B7AED" w:rsidRPr="00877387" w:rsidRDefault="009B7AED" w:rsidP="009B7AED">
      <w:pPr>
        <w:rPr>
          <w:b/>
        </w:rPr>
      </w:pPr>
      <w:r w:rsidRPr="00877387">
        <w:t>I|12|135760|5|2|2021|4|25|2|12|27|92|Z|42420|654|4|2|400|68|22580|7320|7280|241|3952|4028</w:t>
      </w:r>
    </w:p>
    <w:p w14:paraId="32E64E3D" w14:textId="77777777" w:rsidR="009B7AED" w:rsidRPr="00877387" w:rsidRDefault="009B7AED" w:rsidP="009B7AED">
      <w:pPr>
        <w:rPr>
          <w:b/>
        </w:rPr>
      </w:pPr>
    </w:p>
    <w:bookmarkEnd w:id="3239"/>
    <w:p w14:paraId="48544E3B" w14:textId="77777777" w:rsidR="009B7AED" w:rsidRPr="00877387" w:rsidRDefault="009B7AED" w:rsidP="009B7AED">
      <w:pPr>
        <w:rPr>
          <w:b/>
        </w:rPr>
      </w:pPr>
    </w:p>
    <w:p w14:paraId="6549FFA1" w14:textId="77777777" w:rsidR="009B7AED" w:rsidRDefault="009B7AED" w:rsidP="00B854E1">
      <w:pPr>
        <w:pStyle w:val="Source"/>
        <w:sectPr w:rsidR="009B7AED" w:rsidSect="000070C2">
          <w:headerReference w:type="default" r:id="rId225"/>
          <w:footerReference w:type="default" r:id="rId226"/>
          <w:pgSz w:w="15840" w:h="12240" w:code="1"/>
          <w:pgMar w:top="1440" w:right="1152" w:bottom="1440" w:left="1440" w:header="720" w:footer="576" w:gutter="0"/>
          <w:pgNumType w:chapStyle="1"/>
          <w:cols w:space="720"/>
          <w:noEndnote/>
          <w:docGrid w:linePitch="272"/>
        </w:sectPr>
      </w:pPr>
    </w:p>
    <w:p w14:paraId="62E0A74A" w14:textId="480205DE" w:rsidR="009B7AED" w:rsidRPr="001546EF" w:rsidRDefault="009B7AED">
      <w:pPr>
        <w:pStyle w:val="Heading2"/>
        <w:spacing w:before="0"/>
      </w:pPr>
      <w:bookmarkStart w:id="3242" w:name="_Toc63976763"/>
      <w:bookmarkStart w:id="3243" w:name="_Toc68864960"/>
      <w:bookmarkStart w:id="3244" w:name="_Toc109301296"/>
      <w:bookmarkStart w:id="3245" w:name="_Toc109333030"/>
      <w:bookmarkStart w:id="3246" w:name="_Toc109333623"/>
      <w:bookmarkStart w:id="3247" w:name="_Toc113281120"/>
      <w:bookmarkStart w:id="3248" w:name="_Toc114474745"/>
      <w:bookmarkStart w:id="3249" w:name="_Toc118205708"/>
      <w:bookmarkStart w:id="3250" w:name="_Toc349905111"/>
      <w:bookmarkStart w:id="3251" w:name="_Toc335642258"/>
      <w:bookmarkStart w:id="3252" w:name="_Toc363656159"/>
      <w:bookmarkStart w:id="3253" w:name="_Toc450638950"/>
      <w:r w:rsidRPr="001546EF">
        <w:lastRenderedPageBreak/>
        <w:t>Micromobility Count Station Description Data Format (Fixed</w:t>
      </w:r>
      <w:r w:rsidR="00ED2A81">
        <w:t> </w:t>
      </w:r>
      <w:r w:rsidRPr="001546EF">
        <w:t>Width Or Pipe Delimited)</w:t>
      </w:r>
      <w:bookmarkEnd w:id="3242"/>
      <w:bookmarkEnd w:id="3243"/>
      <w:bookmarkEnd w:id="3244"/>
      <w:bookmarkEnd w:id="3245"/>
      <w:bookmarkEnd w:id="3246"/>
      <w:bookmarkEnd w:id="3247"/>
      <w:bookmarkEnd w:id="3248"/>
      <w:bookmarkEnd w:id="3249"/>
    </w:p>
    <w:p w14:paraId="5F7EBFFC" w14:textId="10A7E85F" w:rsidR="009B7AED" w:rsidRPr="00D96273" w:rsidRDefault="009B7AED" w:rsidP="00A35EAF">
      <w:pPr>
        <w:pStyle w:val="BodyText"/>
      </w:pPr>
      <w:r w:rsidRPr="00D96273">
        <w:t xml:space="preserve">Collecting and reporting on </w:t>
      </w:r>
      <w:r>
        <w:t xml:space="preserve">micromobility </w:t>
      </w:r>
      <w:r w:rsidRPr="00D96273">
        <w:t>travel is growing in importance, due to the significant efforts being made to encourage the use of more active modes of transportation (</w:t>
      </w:r>
      <w:r>
        <w:t xml:space="preserve">e.g., </w:t>
      </w:r>
      <w:r w:rsidRPr="00D96273">
        <w:t>walking</w:t>
      </w:r>
      <w:r>
        <w:t xml:space="preserve">, </w:t>
      </w:r>
      <w:r w:rsidRPr="00D96273">
        <w:t>biking</w:t>
      </w:r>
      <w:r>
        <w:t>, scootering, battery-powered devices</w:t>
      </w:r>
      <w:r w:rsidRPr="00D96273">
        <w:t>) in order to gain a variety of health, financial, and environmental benefits. It is</w:t>
      </w:r>
      <w:r w:rsidR="00ED2A81">
        <w:t>,</w:t>
      </w:r>
      <w:r w:rsidRPr="00D96273">
        <w:t xml:space="preserve"> therefore, important to be able to track changes in the amount of walking</w:t>
      </w:r>
      <w:r>
        <w:t xml:space="preserve">, </w:t>
      </w:r>
      <w:r w:rsidRPr="00D96273">
        <w:t>biking</w:t>
      </w:r>
      <w:r>
        <w:t>, scootering, etc.</w:t>
      </w:r>
      <w:r w:rsidRPr="00D96273">
        <w:t xml:space="preserve"> that result from changes in public attitudes and land uses, the implementation of new policies, and the construction of new facilities.</w:t>
      </w:r>
    </w:p>
    <w:p w14:paraId="1C981B4A" w14:textId="77777777" w:rsidR="009B7AED" w:rsidRPr="00D96273" w:rsidRDefault="009B7AED" w:rsidP="00A35EAF">
      <w:pPr>
        <w:pStyle w:val="BodyText"/>
      </w:pPr>
      <w:r w:rsidRPr="00D96273">
        <w:t xml:space="preserve">Two record formats are defined for submitting </w:t>
      </w:r>
      <w:r>
        <w:t xml:space="preserve">micromobility </w:t>
      </w:r>
      <w:r w:rsidRPr="00D96273">
        <w:t xml:space="preserve">data: </w:t>
      </w:r>
    </w:p>
    <w:p w14:paraId="125B9936" w14:textId="5ED1E7D5" w:rsidR="009B7AED" w:rsidRPr="00D51972" w:rsidRDefault="009B7AED">
      <w:pPr>
        <w:pStyle w:val="TMGBullet"/>
      </w:pPr>
      <w:r w:rsidRPr="00D51972">
        <w:t>Count Station Description Record</w:t>
      </w:r>
      <w:r>
        <w:t>.</w:t>
      </w:r>
    </w:p>
    <w:p w14:paraId="5F11705A" w14:textId="35B7C9B2" w:rsidR="009B7AED" w:rsidRPr="00D51972" w:rsidRDefault="009B7AED">
      <w:pPr>
        <w:pStyle w:val="TMGBullet"/>
      </w:pPr>
      <w:r w:rsidRPr="00D51972">
        <w:t>Micromobility Count Record.</w:t>
      </w:r>
    </w:p>
    <w:p w14:paraId="3B100E54" w14:textId="4BB10FFB" w:rsidR="009B7AED" w:rsidRPr="00D96273" w:rsidRDefault="009B7AED" w:rsidP="00A35EAF">
      <w:pPr>
        <w:pStyle w:val="BodyText"/>
      </w:pPr>
      <w:r w:rsidRPr="00D96273">
        <w:t>The Count Station Description Record parameters are described in this section, and Section </w:t>
      </w:r>
      <w:r>
        <w:t>4</w:t>
      </w:r>
      <w:r w:rsidRPr="00D96273">
        <w:t>.</w:t>
      </w:r>
      <w:r w:rsidR="00530921">
        <w:t>9</w:t>
      </w:r>
      <w:r w:rsidRPr="00D96273">
        <w:t xml:space="preserve"> describes the requirements for the </w:t>
      </w:r>
      <w:r>
        <w:t xml:space="preserve">Micromobility </w:t>
      </w:r>
      <w:r w:rsidRPr="00D96273">
        <w:t>Count Record.</w:t>
      </w:r>
    </w:p>
    <w:p w14:paraId="720279FD" w14:textId="13CFBDE1" w:rsidR="009B7AED" w:rsidRPr="00D96273" w:rsidRDefault="009B7AED" w:rsidP="00A35EAF">
      <w:pPr>
        <w:pStyle w:val="BodyText"/>
      </w:pPr>
      <w:r w:rsidRPr="00D96273">
        <w:t xml:space="preserve">The </w:t>
      </w:r>
      <w:r>
        <w:t xml:space="preserve">Micromobility </w:t>
      </w:r>
      <w:r w:rsidRPr="00D96273">
        <w:t xml:space="preserve">Count Station Description </w:t>
      </w:r>
      <w:r>
        <w:t>r</w:t>
      </w:r>
      <w:r w:rsidRPr="00D96273">
        <w:t xml:space="preserve">ecord is needed for reporting all </w:t>
      </w:r>
      <w:r>
        <w:t xml:space="preserve">micromobility </w:t>
      </w:r>
      <w:r w:rsidRPr="00D96273">
        <w:t>data to FHWA.</w:t>
      </w:r>
      <w:r w:rsidR="004D4172">
        <w:t xml:space="preserve"> </w:t>
      </w:r>
      <w:r w:rsidRPr="00D96273">
        <w:t xml:space="preserve">If a </w:t>
      </w:r>
      <w:r>
        <w:t xml:space="preserve">Micromobility </w:t>
      </w:r>
      <w:r w:rsidRPr="00D96273">
        <w:t xml:space="preserve">Station Description record is omitted, any succeeding records containing </w:t>
      </w:r>
      <w:r>
        <w:t xml:space="preserve">micromobility </w:t>
      </w:r>
      <w:r w:rsidRPr="00D96273">
        <w:t xml:space="preserve">data will not be processed by the TMAS software. The </w:t>
      </w:r>
      <w:r>
        <w:t xml:space="preserve">Micromobility </w:t>
      </w:r>
      <w:r w:rsidRPr="00D96273">
        <w:t xml:space="preserve">Count Station Description file contains one record per traffic monitoring station for each facility type and </w:t>
      </w:r>
      <w:r>
        <w:t xml:space="preserve">micromobility </w:t>
      </w:r>
      <w:r w:rsidRPr="00D96273">
        <w:t xml:space="preserve">travel mode counted. In addition, updated station records can be submitted at any time during the year if an equipment change occurs at a site, which would result in a different type of data being submitted </w:t>
      </w:r>
      <w:r>
        <w:t>for</w:t>
      </w:r>
      <w:r w:rsidRPr="00D96273">
        <w:t xml:space="preserve"> that location. </w:t>
      </w:r>
    </w:p>
    <w:p w14:paraId="640ED811" w14:textId="77777777" w:rsidR="009B7AED" w:rsidRPr="00D96273" w:rsidRDefault="009B7AED" w:rsidP="00A35EAF">
      <w:pPr>
        <w:pStyle w:val="BodyText"/>
      </w:pPr>
      <w:r w:rsidRPr="00D96273">
        <w:t xml:space="preserve">Because the locations of some </w:t>
      </w:r>
      <w:r>
        <w:t xml:space="preserve">micromobility </w:t>
      </w:r>
      <w:r w:rsidRPr="00D96273">
        <w:t>counts can be hard to describe, additional guidance has been provided by FHWA in the form of a large number of examples. These examples can be found in the report,</w:t>
      </w:r>
      <w:r w:rsidRPr="00D96273">
        <w:rPr>
          <w:rFonts w:cs="Times New Roman"/>
          <w:bCs/>
          <w:smallCaps/>
          <w:color w:val="333333"/>
          <w:sz w:val="44"/>
          <w:szCs w:val="24"/>
        </w:rPr>
        <w:t xml:space="preserve"> </w:t>
      </w:r>
      <w:r w:rsidRPr="00D96273">
        <w:rPr>
          <w:i/>
        </w:rPr>
        <w:t xml:space="preserve">Coding Non‐Motorized Station Location Information in the 2016 Traffic Monitoring Guide Format </w:t>
      </w:r>
      <w:r w:rsidRPr="00D96273">
        <w:t>which is available on the FHWA Traffic Monitoring Guide website: http://www.fhwa.dot.gov/policyinformation/tmguide/</w:t>
      </w:r>
    </w:p>
    <w:p w14:paraId="2883F971" w14:textId="77777777" w:rsidR="009B7AED" w:rsidRPr="00D96273" w:rsidRDefault="009B7AED" w:rsidP="00A35EAF">
      <w:pPr>
        <w:pStyle w:val="BodyText"/>
      </w:pPr>
      <w:r w:rsidRPr="00D96273">
        <w:t>The TMAS software retains all approved station records as of December 31</w:t>
      </w:r>
      <w:r w:rsidRPr="00D96273">
        <w:rPr>
          <w:vertAlign w:val="superscript"/>
        </w:rPr>
        <w:t>st</w:t>
      </w:r>
      <w:r w:rsidRPr="00D96273">
        <w:t xml:space="preserve"> of each year. FHWA recommends that a yearly review of all station record fields be conducted to ensure the records are current and reflect what is in the field.</w:t>
      </w:r>
    </w:p>
    <w:p w14:paraId="6A0521CA" w14:textId="23B4150A" w:rsidR="009B7AED" w:rsidRPr="00D96273" w:rsidRDefault="009B7AED" w:rsidP="000070C2">
      <w:pPr>
        <w:pStyle w:val="Example"/>
      </w:pPr>
      <w:r w:rsidRPr="00D96273">
        <w:t xml:space="preserve">An example file naming convention for the </w:t>
      </w:r>
      <w:r>
        <w:t xml:space="preserve">Micromobility </w:t>
      </w:r>
      <w:r w:rsidRPr="00D96273">
        <w:t xml:space="preserve">Station Description </w:t>
      </w:r>
      <w:r>
        <w:t>r</w:t>
      </w:r>
      <w:r w:rsidRPr="00D96273">
        <w:t>ecord is:</w:t>
      </w:r>
    </w:p>
    <w:p w14:paraId="61EE35FF" w14:textId="5CD1E7EF" w:rsidR="009B7AED" w:rsidRPr="00D96273" w:rsidRDefault="009B7AED" w:rsidP="000070C2">
      <w:pPr>
        <w:pStyle w:val="Example"/>
      </w:pPr>
      <w:r w:rsidRPr="00D96273">
        <w:t>ssabcxyzmmyyyy.SNM</w:t>
      </w:r>
    </w:p>
    <w:p w14:paraId="0A9A5BE5" w14:textId="434EAEC1" w:rsidR="009B7AED" w:rsidRPr="00D96273" w:rsidRDefault="009B7AED" w:rsidP="00A35EAF">
      <w:pPr>
        <w:pStyle w:val="BodyText"/>
      </w:pPr>
      <w:r w:rsidRPr="00D96273">
        <w:t xml:space="preserve">The </w:t>
      </w:r>
      <w:r>
        <w:t xml:space="preserve">micromobility </w:t>
      </w:r>
      <w:r w:rsidRPr="00D96273">
        <w:t xml:space="preserve">record formats should be </w:t>
      </w:r>
      <w:r>
        <w:t xml:space="preserve">minimally </w:t>
      </w:r>
      <w:r w:rsidRPr="00D96273">
        <w:t>submitted to FHWA on a quarterly basis.</w:t>
      </w:r>
      <w:r w:rsidR="004D4172">
        <w:t xml:space="preserve"> </w:t>
      </w:r>
      <w:r w:rsidRPr="00D96273">
        <w:t>TMAS (</w:t>
      </w:r>
      <w:r>
        <w:t>Version</w:t>
      </w:r>
      <w:r w:rsidR="005D6955">
        <w:t> </w:t>
      </w:r>
      <w:r>
        <w:t>2.8</w:t>
      </w:r>
      <w:r w:rsidRPr="00D96273">
        <w:t xml:space="preserve">) </w:t>
      </w:r>
      <w:r>
        <w:t>processes</w:t>
      </w:r>
      <w:r w:rsidRPr="00D96273">
        <w:t xml:space="preserve"> pedestrian and bicycle data formats and </w:t>
      </w:r>
      <w:r>
        <w:t xml:space="preserve">provides data </w:t>
      </w:r>
      <w:r w:rsidRPr="00D96273">
        <w:t>reporting.</w:t>
      </w:r>
    </w:p>
    <w:p w14:paraId="5EC41504" w14:textId="00D452BD" w:rsidR="009B7AED" w:rsidRDefault="00464453" w:rsidP="00A35EAF">
      <w:pPr>
        <w:pStyle w:val="BodyText"/>
      </w:pPr>
      <w:r>
        <w:fldChar w:fldCharType="begin"/>
      </w:r>
      <w:r>
        <w:instrText xml:space="preserve"> REF _Ref113280228 </w:instrText>
      </w:r>
      <w:r>
        <w:fldChar w:fldCharType="separate"/>
      </w:r>
      <w:r w:rsidR="00C07DF9">
        <w:t xml:space="preserve">Table </w:t>
      </w:r>
      <w:r w:rsidR="00C07DF9">
        <w:rPr>
          <w:noProof/>
        </w:rPr>
        <w:t>4</w:t>
      </w:r>
      <w:r w:rsidR="00C07DF9">
        <w:noBreakHyphen/>
      </w:r>
      <w:r w:rsidR="00C07DF9">
        <w:rPr>
          <w:noProof/>
        </w:rPr>
        <w:t>35</w:t>
      </w:r>
      <w:r>
        <w:rPr>
          <w:noProof/>
        </w:rPr>
        <w:fldChar w:fldCharType="end"/>
      </w:r>
      <w:r w:rsidR="009B7AED">
        <w:t xml:space="preserve"> </w:t>
      </w:r>
      <w:r w:rsidR="009B7AED" w:rsidRPr="00D96273">
        <w:t xml:space="preserve">summarizes the </w:t>
      </w:r>
      <w:r w:rsidR="009B7AED">
        <w:t xml:space="preserve">Micromobility </w:t>
      </w:r>
      <w:r w:rsidR="009B7AED" w:rsidRPr="00D96273">
        <w:t>Count Station Description record format.</w:t>
      </w:r>
    </w:p>
    <w:p w14:paraId="23671678" w14:textId="2B4A5178" w:rsidR="009B7AED" w:rsidRDefault="009B7AED" w:rsidP="00736AF3">
      <w:pPr>
        <w:pStyle w:val="TMGTableCaption"/>
      </w:pPr>
      <w:bookmarkStart w:id="3254" w:name="_Ref113280228"/>
      <w:bookmarkStart w:id="3255" w:name="_Toc113282540"/>
      <w:bookmarkStart w:id="3256" w:name="_Toc114474877"/>
      <w:bookmarkStart w:id="3257" w:name="_Toc120631183"/>
      <w:r>
        <w:t xml:space="preserve">Table </w:t>
      </w:r>
      <w:fldSimple w:instr=" STYLEREF 1 \s ">
        <w:r w:rsidR="00C07DF9">
          <w:rPr>
            <w:noProof/>
          </w:rPr>
          <w:t>4</w:t>
        </w:r>
      </w:fldSimple>
      <w:r>
        <w:noBreakHyphen/>
      </w:r>
      <w:fldSimple w:instr=" SEQ Table \* ARABIC \s 1 ">
        <w:r w:rsidR="00C07DF9">
          <w:rPr>
            <w:noProof/>
          </w:rPr>
          <w:t>35</w:t>
        </w:r>
      </w:fldSimple>
      <w:bookmarkEnd w:id="3254"/>
      <w:r>
        <w:t xml:space="preserve">. </w:t>
      </w:r>
      <w:r w:rsidRPr="00F8602C">
        <w:t>Micromobility Count Station Description Record – Fixed</w:t>
      </w:r>
      <w:r>
        <w:t>-</w:t>
      </w:r>
      <w:r w:rsidRPr="00F8602C">
        <w:t>Width Format</w:t>
      </w:r>
      <w:bookmarkEnd w:id="3255"/>
      <w:bookmarkEnd w:id="3256"/>
      <w:bookmarkEnd w:id="3257"/>
    </w:p>
    <w:tbl>
      <w:tblPr>
        <w:tblStyle w:val="TableGrid"/>
        <w:tblW w:w="9360" w:type="dxa"/>
        <w:jc w:val="center"/>
        <w:tblCellMar>
          <w:left w:w="86" w:type="dxa"/>
          <w:right w:w="86" w:type="dxa"/>
        </w:tblCellMar>
        <w:tblLook w:val="04A0" w:firstRow="1" w:lastRow="0" w:firstColumn="1" w:lastColumn="0" w:noHBand="0" w:noVBand="1"/>
      </w:tblPr>
      <w:tblGrid>
        <w:gridCol w:w="625"/>
        <w:gridCol w:w="1170"/>
        <w:gridCol w:w="720"/>
        <w:gridCol w:w="4403"/>
        <w:gridCol w:w="1309"/>
        <w:gridCol w:w="1133"/>
      </w:tblGrid>
      <w:tr w:rsidR="005D6955" w14:paraId="5265D653" w14:textId="77777777" w:rsidTr="005D6955">
        <w:trPr>
          <w:tblHeader/>
          <w:jc w:val="center"/>
        </w:trPr>
        <w:tc>
          <w:tcPr>
            <w:tcW w:w="625" w:type="dxa"/>
            <w:tcBorders>
              <w:right w:val="single" w:sz="4" w:space="0" w:color="FFFFFF" w:themeColor="background1"/>
            </w:tcBorders>
            <w:shd w:val="clear" w:color="auto" w:fill="1F3864"/>
          </w:tcPr>
          <w:p w14:paraId="12581DDF" w14:textId="0CCFC706" w:rsidR="005D6955" w:rsidRDefault="005D6955" w:rsidP="005D6955">
            <w:pPr>
              <w:pStyle w:val="TMGTableTextHeader"/>
            </w:pPr>
            <w:r w:rsidRPr="00D170BD">
              <w:rPr>
                <w:rFonts w:eastAsiaTheme="minorEastAsia"/>
              </w:rPr>
              <w:t>Field</w:t>
            </w:r>
          </w:p>
        </w:tc>
        <w:tc>
          <w:tcPr>
            <w:tcW w:w="1170" w:type="dxa"/>
            <w:tcBorders>
              <w:left w:val="single" w:sz="4" w:space="0" w:color="FFFFFF" w:themeColor="background1"/>
              <w:right w:val="single" w:sz="4" w:space="0" w:color="FFFFFF" w:themeColor="background1"/>
            </w:tcBorders>
            <w:shd w:val="clear" w:color="auto" w:fill="1F3864"/>
          </w:tcPr>
          <w:p w14:paraId="597EAE88" w14:textId="1A12E6E8" w:rsidR="005D6955" w:rsidRDefault="005D6955" w:rsidP="005D6955">
            <w:pPr>
              <w:pStyle w:val="TMGTableTextHeader"/>
              <w:rPr>
                <w:rFonts w:eastAsia="MS Mincho"/>
              </w:rPr>
            </w:pPr>
            <w:r w:rsidRPr="00D170BD">
              <w:rPr>
                <w:rFonts w:eastAsiaTheme="minorEastAsia"/>
              </w:rPr>
              <w:t>Columns</w:t>
            </w:r>
          </w:p>
        </w:tc>
        <w:tc>
          <w:tcPr>
            <w:tcW w:w="720" w:type="dxa"/>
            <w:tcBorders>
              <w:left w:val="single" w:sz="4" w:space="0" w:color="FFFFFF" w:themeColor="background1"/>
              <w:right w:val="single" w:sz="4" w:space="0" w:color="FFFFFF" w:themeColor="background1"/>
            </w:tcBorders>
            <w:shd w:val="clear" w:color="auto" w:fill="1F3864"/>
          </w:tcPr>
          <w:p w14:paraId="6BFA6BEC" w14:textId="62310ED2" w:rsidR="005D6955" w:rsidRDefault="005D6955" w:rsidP="005D6955">
            <w:pPr>
              <w:pStyle w:val="TMGTableTextHeader"/>
              <w:rPr>
                <w:rFonts w:eastAsia="MS Mincho"/>
              </w:rPr>
            </w:pPr>
            <w:r w:rsidRPr="00D170BD">
              <w:rPr>
                <w:rFonts w:eastAsiaTheme="minorEastAsia"/>
              </w:rPr>
              <w:t>Width</w:t>
            </w:r>
          </w:p>
        </w:tc>
        <w:tc>
          <w:tcPr>
            <w:tcW w:w="4403" w:type="dxa"/>
            <w:tcBorders>
              <w:left w:val="single" w:sz="4" w:space="0" w:color="FFFFFF" w:themeColor="background1"/>
              <w:right w:val="single" w:sz="4" w:space="0" w:color="FFFFFF" w:themeColor="background1"/>
            </w:tcBorders>
            <w:shd w:val="clear" w:color="auto" w:fill="1F3864"/>
          </w:tcPr>
          <w:p w14:paraId="010B38BF" w14:textId="0F128581" w:rsidR="005D6955" w:rsidRDefault="005D6955" w:rsidP="005D6955">
            <w:pPr>
              <w:pStyle w:val="TMGTableTextHeader"/>
              <w:rPr>
                <w:rFonts w:eastAsia="MS Mincho"/>
              </w:rPr>
            </w:pPr>
            <w:r w:rsidRPr="00D170BD">
              <w:rPr>
                <w:rFonts w:eastAsiaTheme="minorEastAsia"/>
              </w:rPr>
              <w:t>Description</w:t>
            </w:r>
          </w:p>
        </w:tc>
        <w:tc>
          <w:tcPr>
            <w:tcW w:w="1309" w:type="dxa"/>
            <w:tcBorders>
              <w:left w:val="single" w:sz="4" w:space="0" w:color="FFFFFF" w:themeColor="background1"/>
              <w:right w:val="single" w:sz="4" w:space="0" w:color="FFFFFF" w:themeColor="background1"/>
            </w:tcBorders>
            <w:shd w:val="clear" w:color="auto" w:fill="1F3864"/>
          </w:tcPr>
          <w:p w14:paraId="268C9C2E" w14:textId="549858F7" w:rsidR="005D6955" w:rsidRDefault="005D6955" w:rsidP="005D6955">
            <w:pPr>
              <w:pStyle w:val="TMGTableTextHeader"/>
              <w:rPr>
                <w:rFonts w:eastAsia="MS Mincho"/>
              </w:rPr>
            </w:pPr>
            <w:r w:rsidRPr="00D170BD">
              <w:rPr>
                <w:rFonts w:eastAsiaTheme="minorEastAsia"/>
              </w:rPr>
              <w:t>Type</w:t>
            </w:r>
          </w:p>
        </w:tc>
        <w:tc>
          <w:tcPr>
            <w:tcW w:w="1133" w:type="dxa"/>
            <w:tcBorders>
              <w:left w:val="single" w:sz="4" w:space="0" w:color="FFFFFF" w:themeColor="background1"/>
            </w:tcBorders>
            <w:shd w:val="clear" w:color="auto" w:fill="1F3864"/>
          </w:tcPr>
          <w:p w14:paraId="7B504B4E" w14:textId="7399D0EC" w:rsidR="005D6955" w:rsidRDefault="005D6955" w:rsidP="005D6955">
            <w:pPr>
              <w:pStyle w:val="TMGTableTextHeader"/>
            </w:pPr>
            <w:r>
              <w:rPr>
                <w:rFonts w:eastAsiaTheme="minorEastAsia"/>
              </w:rPr>
              <w:t>Importance</w:t>
            </w:r>
          </w:p>
        </w:tc>
      </w:tr>
      <w:tr w:rsidR="005D6955" w14:paraId="3EBCBD55" w14:textId="77777777" w:rsidTr="005D6955">
        <w:trPr>
          <w:jc w:val="center"/>
        </w:trPr>
        <w:tc>
          <w:tcPr>
            <w:tcW w:w="625" w:type="dxa"/>
          </w:tcPr>
          <w:p w14:paraId="27DC0E70" w14:textId="461A93D5" w:rsidR="005D6955" w:rsidRPr="005D6955" w:rsidRDefault="005D6955" w:rsidP="005D6955">
            <w:pPr>
              <w:pStyle w:val="TMGTableText"/>
              <w:ind w:left="0" w:right="144"/>
              <w:jc w:val="right"/>
              <w:rPr>
                <w:b/>
                <w:bCs/>
              </w:rPr>
            </w:pPr>
            <w:r w:rsidRPr="005D6955">
              <w:rPr>
                <w:rFonts w:eastAsiaTheme="minorEastAsia"/>
                <w:b/>
                <w:bCs/>
              </w:rPr>
              <w:t>1</w:t>
            </w:r>
          </w:p>
        </w:tc>
        <w:tc>
          <w:tcPr>
            <w:tcW w:w="1170" w:type="dxa"/>
          </w:tcPr>
          <w:p w14:paraId="4022A1D3" w14:textId="04A63C8E" w:rsidR="005D6955" w:rsidRPr="004859C8" w:rsidRDefault="005D6955" w:rsidP="005D6955">
            <w:pPr>
              <w:pStyle w:val="TMGTableText"/>
              <w:jc w:val="center"/>
            </w:pPr>
            <w:r w:rsidRPr="00D96273">
              <w:rPr>
                <w:rFonts w:eastAsiaTheme="minorEastAsia"/>
              </w:rPr>
              <w:t>1</w:t>
            </w:r>
          </w:p>
        </w:tc>
        <w:tc>
          <w:tcPr>
            <w:tcW w:w="720" w:type="dxa"/>
          </w:tcPr>
          <w:p w14:paraId="0BA6EBE7" w14:textId="786DD5D2" w:rsidR="005D6955" w:rsidRPr="004859C8" w:rsidRDefault="005D6955" w:rsidP="005D6955">
            <w:pPr>
              <w:pStyle w:val="TMGTableText"/>
              <w:jc w:val="center"/>
            </w:pPr>
            <w:r w:rsidRPr="00D96273">
              <w:rPr>
                <w:rFonts w:eastAsiaTheme="minorEastAsia"/>
              </w:rPr>
              <w:t>1</w:t>
            </w:r>
          </w:p>
        </w:tc>
        <w:tc>
          <w:tcPr>
            <w:tcW w:w="4403" w:type="dxa"/>
          </w:tcPr>
          <w:p w14:paraId="1DB4C500" w14:textId="28B0C902" w:rsidR="005D6955" w:rsidRPr="004859C8" w:rsidRDefault="005D6955" w:rsidP="005D6955">
            <w:pPr>
              <w:pStyle w:val="TMGTableText"/>
            </w:pPr>
            <w:r>
              <w:rPr>
                <w:rFonts w:eastAsiaTheme="minorEastAsia"/>
              </w:rPr>
              <w:t>Record Type (RT)</w:t>
            </w:r>
          </w:p>
        </w:tc>
        <w:tc>
          <w:tcPr>
            <w:tcW w:w="1309" w:type="dxa"/>
          </w:tcPr>
          <w:p w14:paraId="3AF660CD" w14:textId="211C24F9" w:rsidR="005D6955" w:rsidRPr="004859C8" w:rsidRDefault="005D6955" w:rsidP="001123AA">
            <w:pPr>
              <w:pStyle w:val="TMGTableText"/>
              <w:jc w:val="center"/>
            </w:pPr>
            <w:r>
              <w:rPr>
                <w:rFonts w:eastAsiaTheme="minorEastAsia"/>
              </w:rPr>
              <w:t>Alphanumeric</w:t>
            </w:r>
          </w:p>
        </w:tc>
        <w:tc>
          <w:tcPr>
            <w:tcW w:w="1133" w:type="dxa"/>
          </w:tcPr>
          <w:p w14:paraId="18EC5D1C" w14:textId="4FC336BA" w:rsidR="005D6955" w:rsidRPr="00C251E9" w:rsidRDefault="005D6955" w:rsidP="001123AA">
            <w:pPr>
              <w:pStyle w:val="TMGTableText"/>
              <w:jc w:val="center"/>
            </w:pPr>
            <w:r>
              <w:rPr>
                <w:rFonts w:eastAsiaTheme="minorEastAsia"/>
              </w:rPr>
              <w:t>Required</w:t>
            </w:r>
          </w:p>
        </w:tc>
      </w:tr>
      <w:tr w:rsidR="005D6955" w14:paraId="1A501FF4" w14:textId="77777777" w:rsidTr="005D6955">
        <w:trPr>
          <w:jc w:val="center"/>
        </w:trPr>
        <w:tc>
          <w:tcPr>
            <w:tcW w:w="625" w:type="dxa"/>
          </w:tcPr>
          <w:p w14:paraId="69B84EA0" w14:textId="0F176859" w:rsidR="005D6955" w:rsidRPr="005D6955" w:rsidRDefault="005D6955" w:rsidP="005D6955">
            <w:pPr>
              <w:pStyle w:val="TMGTableText"/>
              <w:ind w:left="0" w:right="144"/>
              <w:jc w:val="right"/>
              <w:rPr>
                <w:b/>
                <w:bCs/>
              </w:rPr>
            </w:pPr>
            <w:r w:rsidRPr="005D6955">
              <w:rPr>
                <w:rFonts w:eastAsiaTheme="minorEastAsia"/>
                <w:b/>
                <w:bCs/>
              </w:rPr>
              <w:t>2</w:t>
            </w:r>
          </w:p>
        </w:tc>
        <w:tc>
          <w:tcPr>
            <w:tcW w:w="1170" w:type="dxa"/>
          </w:tcPr>
          <w:p w14:paraId="5EAD4DC7" w14:textId="100ACB98" w:rsidR="005D6955" w:rsidRPr="004859C8" w:rsidRDefault="005D6955" w:rsidP="005D6955">
            <w:pPr>
              <w:pStyle w:val="TMGTableText"/>
              <w:jc w:val="center"/>
            </w:pPr>
            <w:r w:rsidRPr="00D96273">
              <w:rPr>
                <w:rFonts w:eastAsiaTheme="minorEastAsia"/>
              </w:rPr>
              <w:t>2-3</w:t>
            </w:r>
          </w:p>
        </w:tc>
        <w:tc>
          <w:tcPr>
            <w:tcW w:w="720" w:type="dxa"/>
          </w:tcPr>
          <w:p w14:paraId="398DBC96" w14:textId="09312E9C" w:rsidR="005D6955" w:rsidRPr="004859C8" w:rsidRDefault="005D6955" w:rsidP="005D6955">
            <w:pPr>
              <w:pStyle w:val="TMGTableText"/>
              <w:jc w:val="center"/>
            </w:pPr>
            <w:r w:rsidRPr="00D96273">
              <w:rPr>
                <w:rFonts w:eastAsiaTheme="minorEastAsia"/>
              </w:rPr>
              <w:t>2</w:t>
            </w:r>
          </w:p>
        </w:tc>
        <w:tc>
          <w:tcPr>
            <w:tcW w:w="4403" w:type="dxa"/>
          </w:tcPr>
          <w:p w14:paraId="0D88928C" w14:textId="3ED5C67A" w:rsidR="005D6955" w:rsidRPr="004859C8" w:rsidRDefault="005D6955" w:rsidP="005D6955">
            <w:pPr>
              <w:pStyle w:val="TMGTableText"/>
            </w:pPr>
            <w:r w:rsidRPr="00D96273">
              <w:rPr>
                <w:rFonts w:eastAsiaTheme="minorEastAsia"/>
              </w:rPr>
              <w:t>State FIPS Code</w:t>
            </w:r>
            <w:r>
              <w:rPr>
                <w:rFonts w:eastAsiaTheme="minorEastAsia"/>
              </w:rPr>
              <w:t xml:space="preserve"> (SFIPS)</w:t>
            </w:r>
          </w:p>
        </w:tc>
        <w:tc>
          <w:tcPr>
            <w:tcW w:w="1309" w:type="dxa"/>
          </w:tcPr>
          <w:p w14:paraId="4B6AC659" w14:textId="2A2C0BD1" w:rsidR="005D6955" w:rsidRPr="004859C8" w:rsidRDefault="005D6955" w:rsidP="001123AA">
            <w:pPr>
              <w:pStyle w:val="TMGTableText"/>
              <w:jc w:val="center"/>
            </w:pPr>
            <w:r>
              <w:rPr>
                <w:rFonts w:eastAsiaTheme="minorEastAsia"/>
              </w:rPr>
              <w:t>Integer</w:t>
            </w:r>
          </w:p>
        </w:tc>
        <w:tc>
          <w:tcPr>
            <w:tcW w:w="1133" w:type="dxa"/>
          </w:tcPr>
          <w:p w14:paraId="5A4814BB" w14:textId="76CE0E10" w:rsidR="005D6955" w:rsidRPr="00C251E9" w:rsidRDefault="005D6955" w:rsidP="001123AA">
            <w:pPr>
              <w:pStyle w:val="TMGTableText"/>
              <w:jc w:val="center"/>
            </w:pPr>
            <w:r>
              <w:rPr>
                <w:rFonts w:eastAsiaTheme="minorEastAsia"/>
              </w:rPr>
              <w:t>Required</w:t>
            </w:r>
          </w:p>
        </w:tc>
      </w:tr>
      <w:tr w:rsidR="005D6955" w14:paraId="6270A370" w14:textId="77777777" w:rsidTr="005D6955">
        <w:trPr>
          <w:jc w:val="center"/>
        </w:trPr>
        <w:tc>
          <w:tcPr>
            <w:tcW w:w="625" w:type="dxa"/>
          </w:tcPr>
          <w:p w14:paraId="0EE69B33" w14:textId="59FE8468" w:rsidR="005D6955" w:rsidRPr="005D6955" w:rsidRDefault="005D6955" w:rsidP="005D6955">
            <w:pPr>
              <w:pStyle w:val="TMGTableText"/>
              <w:ind w:left="0" w:right="144"/>
              <w:jc w:val="right"/>
              <w:rPr>
                <w:b/>
                <w:bCs/>
              </w:rPr>
            </w:pPr>
            <w:r w:rsidRPr="005D6955">
              <w:rPr>
                <w:rFonts w:eastAsiaTheme="minorEastAsia"/>
                <w:b/>
                <w:bCs/>
              </w:rPr>
              <w:t>3</w:t>
            </w:r>
          </w:p>
        </w:tc>
        <w:tc>
          <w:tcPr>
            <w:tcW w:w="1170" w:type="dxa"/>
          </w:tcPr>
          <w:p w14:paraId="3FDCB8E9" w14:textId="142A68B8" w:rsidR="005D6955" w:rsidRPr="004859C8" w:rsidRDefault="005D6955" w:rsidP="005D6955">
            <w:pPr>
              <w:pStyle w:val="TMGTableText"/>
              <w:jc w:val="center"/>
            </w:pPr>
            <w:r w:rsidRPr="00D96273">
              <w:rPr>
                <w:rFonts w:eastAsiaTheme="minorEastAsia"/>
              </w:rPr>
              <w:t>4-6</w:t>
            </w:r>
          </w:p>
        </w:tc>
        <w:tc>
          <w:tcPr>
            <w:tcW w:w="720" w:type="dxa"/>
          </w:tcPr>
          <w:p w14:paraId="11AEA421" w14:textId="3A0013A4" w:rsidR="005D6955" w:rsidRPr="004859C8" w:rsidRDefault="005D6955" w:rsidP="005D6955">
            <w:pPr>
              <w:pStyle w:val="TMGTableText"/>
              <w:jc w:val="center"/>
            </w:pPr>
            <w:r w:rsidRPr="00D96273">
              <w:rPr>
                <w:rFonts w:eastAsiaTheme="minorEastAsia"/>
              </w:rPr>
              <w:t>3</w:t>
            </w:r>
          </w:p>
        </w:tc>
        <w:tc>
          <w:tcPr>
            <w:tcW w:w="4403" w:type="dxa"/>
          </w:tcPr>
          <w:p w14:paraId="73DB4586" w14:textId="2FFE4848" w:rsidR="005D6955" w:rsidRPr="004859C8" w:rsidRDefault="005D6955" w:rsidP="005D6955">
            <w:pPr>
              <w:pStyle w:val="TMGTableText"/>
            </w:pPr>
            <w:r w:rsidRPr="00D96273">
              <w:rPr>
                <w:rFonts w:eastAsiaTheme="minorEastAsia"/>
              </w:rPr>
              <w:t>County FIPS Code</w:t>
            </w:r>
            <w:r>
              <w:rPr>
                <w:rFonts w:eastAsiaTheme="minorEastAsia"/>
              </w:rPr>
              <w:t xml:space="preserve"> (CFIPS)</w:t>
            </w:r>
          </w:p>
        </w:tc>
        <w:tc>
          <w:tcPr>
            <w:tcW w:w="1309" w:type="dxa"/>
          </w:tcPr>
          <w:p w14:paraId="3E072715" w14:textId="4927B37E" w:rsidR="005D6955" w:rsidRPr="004859C8" w:rsidRDefault="005D6955" w:rsidP="001123AA">
            <w:pPr>
              <w:pStyle w:val="TMGTableText"/>
              <w:jc w:val="center"/>
            </w:pPr>
            <w:r>
              <w:rPr>
                <w:rFonts w:eastAsiaTheme="minorEastAsia"/>
              </w:rPr>
              <w:t>Integer</w:t>
            </w:r>
          </w:p>
        </w:tc>
        <w:tc>
          <w:tcPr>
            <w:tcW w:w="1133" w:type="dxa"/>
          </w:tcPr>
          <w:p w14:paraId="33731EC8" w14:textId="131DD19A" w:rsidR="005D6955" w:rsidRPr="00C251E9" w:rsidRDefault="005D6955" w:rsidP="001123AA">
            <w:pPr>
              <w:pStyle w:val="TMGTableText"/>
              <w:jc w:val="center"/>
            </w:pPr>
            <w:r>
              <w:rPr>
                <w:rFonts w:eastAsiaTheme="minorEastAsia"/>
              </w:rPr>
              <w:t>Required</w:t>
            </w:r>
          </w:p>
        </w:tc>
      </w:tr>
      <w:tr w:rsidR="005D6955" w14:paraId="6BB601B5" w14:textId="77777777" w:rsidTr="005D6955">
        <w:trPr>
          <w:jc w:val="center"/>
        </w:trPr>
        <w:tc>
          <w:tcPr>
            <w:tcW w:w="625" w:type="dxa"/>
          </w:tcPr>
          <w:p w14:paraId="163AF627" w14:textId="79FEB8D7" w:rsidR="005D6955" w:rsidRPr="005D6955" w:rsidRDefault="005D6955" w:rsidP="005D6955">
            <w:pPr>
              <w:pStyle w:val="TMGTableText"/>
              <w:ind w:left="0" w:right="144"/>
              <w:jc w:val="right"/>
              <w:rPr>
                <w:b/>
                <w:bCs/>
              </w:rPr>
            </w:pPr>
            <w:r w:rsidRPr="005D6955">
              <w:rPr>
                <w:rFonts w:eastAsiaTheme="minorEastAsia"/>
                <w:b/>
                <w:bCs/>
              </w:rPr>
              <w:t>4</w:t>
            </w:r>
          </w:p>
        </w:tc>
        <w:tc>
          <w:tcPr>
            <w:tcW w:w="1170" w:type="dxa"/>
          </w:tcPr>
          <w:p w14:paraId="6F01F04F" w14:textId="3C05FD47" w:rsidR="005D6955" w:rsidRPr="004859C8" w:rsidRDefault="005D6955" w:rsidP="005D6955">
            <w:pPr>
              <w:pStyle w:val="TMGTableText"/>
              <w:jc w:val="center"/>
            </w:pPr>
            <w:r w:rsidRPr="00D96273">
              <w:rPr>
                <w:rFonts w:eastAsiaTheme="minorEastAsia"/>
              </w:rPr>
              <w:t>7-12</w:t>
            </w:r>
          </w:p>
        </w:tc>
        <w:tc>
          <w:tcPr>
            <w:tcW w:w="720" w:type="dxa"/>
          </w:tcPr>
          <w:p w14:paraId="386D051B" w14:textId="4CD2594B" w:rsidR="005D6955" w:rsidRPr="004859C8" w:rsidRDefault="005D6955" w:rsidP="005D6955">
            <w:pPr>
              <w:pStyle w:val="TMGTableText"/>
              <w:jc w:val="center"/>
            </w:pPr>
            <w:r w:rsidRPr="00D96273">
              <w:rPr>
                <w:rFonts w:eastAsiaTheme="minorEastAsia"/>
              </w:rPr>
              <w:t>6</w:t>
            </w:r>
          </w:p>
        </w:tc>
        <w:tc>
          <w:tcPr>
            <w:tcW w:w="4403" w:type="dxa"/>
          </w:tcPr>
          <w:p w14:paraId="4969A0C5" w14:textId="3CB87D8B" w:rsidR="005D6955" w:rsidRPr="004859C8" w:rsidRDefault="005D6955" w:rsidP="005D6955">
            <w:pPr>
              <w:pStyle w:val="TMGTableText"/>
            </w:pPr>
            <w:r w:rsidRPr="00D96273">
              <w:rPr>
                <w:rFonts w:eastAsiaTheme="minorEastAsia"/>
              </w:rPr>
              <w:t xml:space="preserve">Station </w:t>
            </w:r>
            <w:r>
              <w:rPr>
                <w:rFonts w:eastAsiaTheme="minorEastAsia"/>
              </w:rPr>
              <w:t>Identification (</w:t>
            </w:r>
            <w:r w:rsidRPr="00D96273">
              <w:rPr>
                <w:rFonts w:eastAsiaTheme="minorEastAsia"/>
              </w:rPr>
              <w:t>ID</w:t>
            </w:r>
            <w:r>
              <w:rPr>
                <w:rFonts w:eastAsiaTheme="minorEastAsia"/>
              </w:rPr>
              <w:t>)</w:t>
            </w:r>
          </w:p>
        </w:tc>
        <w:tc>
          <w:tcPr>
            <w:tcW w:w="1309" w:type="dxa"/>
          </w:tcPr>
          <w:p w14:paraId="744975BD" w14:textId="0CB51B89" w:rsidR="005D6955" w:rsidRPr="004859C8" w:rsidRDefault="005D6955" w:rsidP="001123AA">
            <w:pPr>
              <w:pStyle w:val="TMGTableText"/>
              <w:jc w:val="center"/>
            </w:pPr>
            <w:r>
              <w:rPr>
                <w:rFonts w:eastAsiaTheme="minorEastAsia"/>
              </w:rPr>
              <w:t>Alphanumeric</w:t>
            </w:r>
          </w:p>
        </w:tc>
        <w:tc>
          <w:tcPr>
            <w:tcW w:w="1133" w:type="dxa"/>
          </w:tcPr>
          <w:p w14:paraId="4136BB23" w14:textId="1AEE08AD" w:rsidR="005D6955" w:rsidRPr="00C251E9" w:rsidRDefault="005D6955" w:rsidP="001123AA">
            <w:pPr>
              <w:pStyle w:val="TMGTableText"/>
              <w:jc w:val="center"/>
            </w:pPr>
            <w:r>
              <w:rPr>
                <w:rFonts w:eastAsiaTheme="minorEastAsia"/>
              </w:rPr>
              <w:t>Required</w:t>
            </w:r>
          </w:p>
        </w:tc>
      </w:tr>
      <w:tr w:rsidR="005D6955" w14:paraId="026CEE0E" w14:textId="77777777" w:rsidTr="005D6955">
        <w:trPr>
          <w:jc w:val="center"/>
        </w:trPr>
        <w:tc>
          <w:tcPr>
            <w:tcW w:w="625" w:type="dxa"/>
          </w:tcPr>
          <w:p w14:paraId="406C6E58" w14:textId="38CF8746" w:rsidR="005D6955" w:rsidRPr="005D6955" w:rsidRDefault="005D6955" w:rsidP="005D6955">
            <w:pPr>
              <w:pStyle w:val="TMGTableText"/>
              <w:ind w:left="0" w:right="144"/>
              <w:jc w:val="right"/>
              <w:rPr>
                <w:b/>
                <w:bCs/>
              </w:rPr>
            </w:pPr>
            <w:r w:rsidRPr="005D6955">
              <w:rPr>
                <w:rFonts w:eastAsiaTheme="minorEastAsia"/>
                <w:b/>
                <w:bCs/>
              </w:rPr>
              <w:t>5</w:t>
            </w:r>
          </w:p>
        </w:tc>
        <w:tc>
          <w:tcPr>
            <w:tcW w:w="1170" w:type="dxa"/>
          </w:tcPr>
          <w:p w14:paraId="1AD20DE6" w14:textId="0C856BA3" w:rsidR="005D6955" w:rsidRPr="004859C8" w:rsidRDefault="005D6955" w:rsidP="005D6955">
            <w:pPr>
              <w:pStyle w:val="TMGTableText"/>
              <w:jc w:val="center"/>
            </w:pPr>
            <w:r w:rsidRPr="00D96273">
              <w:rPr>
                <w:rFonts w:eastAsiaTheme="minorEastAsia"/>
              </w:rPr>
              <w:t>13-14</w:t>
            </w:r>
          </w:p>
        </w:tc>
        <w:tc>
          <w:tcPr>
            <w:tcW w:w="720" w:type="dxa"/>
          </w:tcPr>
          <w:p w14:paraId="076BE190" w14:textId="757F1292" w:rsidR="005D6955" w:rsidRPr="004859C8" w:rsidRDefault="005D6955" w:rsidP="005D6955">
            <w:pPr>
              <w:pStyle w:val="TMGTableText"/>
              <w:jc w:val="center"/>
            </w:pPr>
            <w:r w:rsidRPr="00D96273">
              <w:rPr>
                <w:rFonts w:eastAsiaTheme="minorEastAsia"/>
              </w:rPr>
              <w:t>2</w:t>
            </w:r>
          </w:p>
        </w:tc>
        <w:tc>
          <w:tcPr>
            <w:tcW w:w="4403" w:type="dxa"/>
          </w:tcPr>
          <w:p w14:paraId="50B8FCD8" w14:textId="26F85A62" w:rsidR="005D6955" w:rsidRPr="004859C8" w:rsidRDefault="005D6955" w:rsidP="005D6955">
            <w:pPr>
              <w:pStyle w:val="TMGTableText"/>
            </w:pPr>
            <w:r w:rsidRPr="00D96273">
              <w:rPr>
                <w:rFonts w:eastAsiaTheme="minorEastAsia"/>
              </w:rPr>
              <w:t xml:space="preserve">(Functional) </w:t>
            </w:r>
            <w:r>
              <w:rPr>
                <w:rFonts w:eastAsiaTheme="minorEastAsia"/>
              </w:rPr>
              <w:t>C</w:t>
            </w:r>
            <w:r w:rsidRPr="00D96273">
              <w:rPr>
                <w:rFonts w:eastAsiaTheme="minorEastAsia"/>
              </w:rPr>
              <w:t xml:space="preserve">lassification of </w:t>
            </w:r>
            <w:r>
              <w:rPr>
                <w:rFonts w:eastAsiaTheme="minorEastAsia"/>
              </w:rPr>
              <w:t>R</w:t>
            </w:r>
            <w:r w:rsidRPr="00D96273">
              <w:rPr>
                <w:rFonts w:eastAsiaTheme="minorEastAsia"/>
              </w:rPr>
              <w:t>oad (expanded)</w:t>
            </w:r>
            <w:r>
              <w:rPr>
                <w:rFonts w:eastAsiaTheme="minorEastAsia"/>
              </w:rPr>
              <w:t xml:space="preserve"> (FC)</w:t>
            </w:r>
          </w:p>
        </w:tc>
        <w:tc>
          <w:tcPr>
            <w:tcW w:w="1309" w:type="dxa"/>
          </w:tcPr>
          <w:p w14:paraId="63C8D8C3" w14:textId="20B03872" w:rsidR="005D6955" w:rsidRPr="004859C8" w:rsidRDefault="005D6955" w:rsidP="001123AA">
            <w:pPr>
              <w:pStyle w:val="TMGTableText"/>
              <w:jc w:val="center"/>
            </w:pPr>
            <w:r w:rsidRPr="00973A1D">
              <w:rPr>
                <w:rFonts w:eastAsiaTheme="minorEastAsia"/>
              </w:rPr>
              <w:t>Alphanumeric</w:t>
            </w:r>
          </w:p>
        </w:tc>
        <w:tc>
          <w:tcPr>
            <w:tcW w:w="1133" w:type="dxa"/>
          </w:tcPr>
          <w:p w14:paraId="2B309911" w14:textId="237234E6" w:rsidR="005D6955" w:rsidRPr="00C251E9" w:rsidRDefault="005D6955" w:rsidP="001123AA">
            <w:pPr>
              <w:pStyle w:val="TMGTableText"/>
              <w:jc w:val="center"/>
            </w:pPr>
            <w:r>
              <w:rPr>
                <w:rFonts w:eastAsiaTheme="minorEastAsia"/>
              </w:rPr>
              <w:t>Required</w:t>
            </w:r>
          </w:p>
        </w:tc>
      </w:tr>
      <w:tr w:rsidR="005D6955" w14:paraId="0DA16B52" w14:textId="77777777" w:rsidTr="005D6955">
        <w:trPr>
          <w:jc w:val="center"/>
        </w:trPr>
        <w:tc>
          <w:tcPr>
            <w:tcW w:w="625" w:type="dxa"/>
          </w:tcPr>
          <w:p w14:paraId="27F55080" w14:textId="6F6419F8" w:rsidR="005D6955" w:rsidRPr="005D6955" w:rsidRDefault="005D6955" w:rsidP="005D6955">
            <w:pPr>
              <w:pStyle w:val="TMGTableText"/>
              <w:ind w:left="0" w:right="144"/>
              <w:jc w:val="right"/>
              <w:rPr>
                <w:b/>
                <w:bCs/>
              </w:rPr>
            </w:pPr>
            <w:r w:rsidRPr="005D6955">
              <w:rPr>
                <w:rFonts w:eastAsiaTheme="minorEastAsia"/>
                <w:b/>
                <w:bCs/>
              </w:rPr>
              <w:t>6</w:t>
            </w:r>
          </w:p>
        </w:tc>
        <w:tc>
          <w:tcPr>
            <w:tcW w:w="1170" w:type="dxa"/>
          </w:tcPr>
          <w:p w14:paraId="091E07F0" w14:textId="6E4524B2" w:rsidR="005D6955" w:rsidRPr="004859C8" w:rsidRDefault="005D6955" w:rsidP="005D6955">
            <w:pPr>
              <w:pStyle w:val="TMGTableText"/>
              <w:jc w:val="center"/>
            </w:pPr>
            <w:r w:rsidRPr="00D96273">
              <w:rPr>
                <w:rFonts w:eastAsiaTheme="minorEastAsia"/>
              </w:rPr>
              <w:t>15</w:t>
            </w:r>
          </w:p>
        </w:tc>
        <w:tc>
          <w:tcPr>
            <w:tcW w:w="720" w:type="dxa"/>
          </w:tcPr>
          <w:p w14:paraId="6023269A" w14:textId="6D9DA630" w:rsidR="005D6955" w:rsidRPr="004859C8" w:rsidRDefault="005D6955" w:rsidP="005D6955">
            <w:pPr>
              <w:pStyle w:val="TMGTableText"/>
              <w:jc w:val="center"/>
            </w:pPr>
            <w:r w:rsidRPr="00D96273">
              <w:rPr>
                <w:rFonts w:eastAsiaTheme="minorEastAsia"/>
              </w:rPr>
              <w:t>1</w:t>
            </w:r>
          </w:p>
        </w:tc>
        <w:tc>
          <w:tcPr>
            <w:tcW w:w="4403" w:type="dxa"/>
          </w:tcPr>
          <w:p w14:paraId="3F8CC66D" w14:textId="53FD846F" w:rsidR="005D6955" w:rsidRPr="004859C8" w:rsidRDefault="005D6955" w:rsidP="005D6955">
            <w:pPr>
              <w:pStyle w:val="TMGTableText"/>
            </w:pPr>
            <w:r w:rsidRPr="00D96273">
              <w:rPr>
                <w:rFonts w:eastAsiaTheme="minorEastAsia"/>
              </w:rPr>
              <w:t>Direction of Route</w:t>
            </w:r>
            <w:r>
              <w:rPr>
                <w:rFonts w:eastAsiaTheme="minorEastAsia"/>
              </w:rPr>
              <w:t xml:space="preserve"> (D)</w:t>
            </w:r>
          </w:p>
        </w:tc>
        <w:tc>
          <w:tcPr>
            <w:tcW w:w="1309" w:type="dxa"/>
          </w:tcPr>
          <w:p w14:paraId="16A50D54" w14:textId="3FCE800C" w:rsidR="005D6955" w:rsidRPr="004859C8" w:rsidRDefault="005D6955" w:rsidP="001123AA">
            <w:pPr>
              <w:pStyle w:val="TMGTableText"/>
              <w:jc w:val="center"/>
            </w:pPr>
            <w:r>
              <w:rPr>
                <w:rFonts w:eastAsiaTheme="minorEastAsia"/>
              </w:rPr>
              <w:t>Integer</w:t>
            </w:r>
          </w:p>
        </w:tc>
        <w:tc>
          <w:tcPr>
            <w:tcW w:w="1133" w:type="dxa"/>
          </w:tcPr>
          <w:p w14:paraId="54FD1F2A" w14:textId="70133183" w:rsidR="005D6955" w:rsidRPr="00C251E9" w:rsidRDefault="005D6955" w:rsidP="001123AA">
            <w:pPr>
              <w:pStyle w:val="TMGTableText"/>
              <w:jc w:val="center"/>
            </w:pPr>
            <w:r>
              <w:rPr>
                <w:rFonts w:eastAsiaTheme="minorEastAsia"/>
              </w:rPr>
              <w:t>Required</w:t>
            </w:r>
          </w:p>
        </w:tc>
      </w:tr>
      <w:tr w:rsidR="005D6955" w14:paraId="706F7A26" w14:textId="77777777" w:rsidTr="005D6955">
        <w:trPr>
          <w:jc w:val="center"/>
        </w:trPr>
        <w:tc>
          <w:tcPr>
            <w:tcW w:w="625" w:type="dxa"/>
          </w:tcPr>
          <w:p w14:paraId="049EF332" w14:textId="2B5F50AC" w:rsidR="005D6955" w:rsidRPr="005D6955" w:rsidRDefault="005D6955" w:rsidP="005D6955">
            <w:pPr>
              <w:pStyle w:val="TMGTableText"/>
              <w:ind w:left="0" w:right="144"/>
              <w:jc w:val="right"/>
              <w:rPr>
                <w:b/>
                <w:bCs/>
              </w:rPr>
            </w:pPr>
            <w:r w:rsidRPr="005D6955">
              <w:rPr>
                <w:rFonts w:eastAsiaTheme="minorEastAsia"/>
                <w:b/>
                <w:bCs/>
              </w:rPr>
              <w:t>7</w:t>
            </w:r>
          </w:p>
        </w:tc>
        <w:tc>
          <w:tcPr>
            <w:tcW w:w="1170" w:type="dxa"/>
          </w:tcPr>
          <w:p w14:paraId="60E486CD" w14:textId="02A6A77C" w:rsidR="005D6955" w:rsidRPr="004859C8" w:rsidRDefault="005D6955" w:rsidP="005D6955">
            <w:pPr>
              <w:pStyle w:val="TMGTableText"/>
              <w:jc w:val="center"/>
            </w:pPr>
            <w:r w:rsidRPr="00D96273">
              <w:rPr>
                <w:rFonts w:eastAsiaTheme="minorEastAsia"/>
              </w:rPr>
              <w:t>16</w:t>
            </w:r>
          </w:p>
        </w:tc>
        <w:tc>
          <w:tcPr>
            <w:tcW w:w="720" w:type="dxa"/>
          </w:tcPr>
          <w:p w14:paraId="3A1444CF" w14:textId="4E740116" w:rsidR="005D6955" w:rsidRPr="004859C8" w:rsidRDefault="005D6955" w:rsidP="005D6955">
            <w:pPr>
              <w:pStyle w:val="TMGTableText"/>
              <w:jc w:val="center"/>
            </w:pPr>
            <w:r w:rsidRPr="00D96273">
              <w:rPr>
                <w:rFonts w:eastAsiaTheme="minorEastAsia"/>
              </w:rPr>
              <w:t>1</w:t>
            </w:r>
          </w:p>
        </w:tc>
        <w:tc>
          <w:tcPr>
            <w:tcW w:w="4403" w:type="dxa"/>
          </w:tcPr>
          <w:p w14:paraId="36A086FA" w14:textId="535A75F2" w:rsidR="005D6955" w:rsidRPr="004859C8" w:rsidRDefault="005D6955" w:rsidP="005D6955">
            <w:pPr>
              <w:pStyle w:val="TMGTableText"/>
            </w:pPr>
            <w:r w:rsidRPr="00D96273">
              <w:rPr>
                <w:rFonts w:eastAsiaTheme="minorEastAsia"/>
              </w:rPr>
              <w:t xml:space="preserve">Location of </w:t>
            </w:r>
            <w:r>
              <w:rPr>
                <w:rFonts w:eastAsiaTheme="minorEastAsia"/>
              </w:rPr>
              <w:t>C</w:t>
            </w:r>
            <w:r w:rsidRPr="00D96273">
              <w:rPr>
                <w:rFonts w:eastAsiaTheme="minorEastAsia"/>
              </w:rPr>
              <w:t xml:space="preserve">ount </w:t>
            </w:r>
            <w:r>
              <w:rPr>
                <w:rFonts w:eastAsiaTheme="minorEastAsia"/>
              </w:rPr>
              <w:t>R</w:t>
            </w:r>
            <w:r w:rsidRPr="00D96273">
              <w:rPr>
                <w:rFonts w:eastAsiaTheme="minorEastAsia"/>
              </w:rPr>
              <w:t xml:space="preserve">elative to </w:t>
            </w:r>
            <w:r>
              <w:rPr>
                <w:rFonts w:eastAsiaTheme="minorEastAsia"/>
              </w:rPr>
              <w:t>R</w:t>
            </w:r>
            <w:r w:rsidRPr="00D96273">
              <w:rPr>
                <w:rFonts w:eastAsiaTheme="minorEastAsia"/>
              </w:rPr>
              <w:t>oadway</w:t>
            </w:r>
            <w:r>
              <w:rPr>
                <w:rFonts w:eastAsiaTheme="minorEastAsia"/>
              </w:rPr>
              <w:t xml:space="preserve"> (LOC)</w:t>
            </w:r>
          </w:p>
        </w:tc>
        <w:tc>
          <w:tcPr>
            <w:tcW w:w="1309" w:type="dxa"/>
          </w:tcPr>
          <w:p w14:paraId="4766ED20" w14:textId="506BA44C" w:rsidR="005D6955" w:rsidRPr="004859C8" w:rsidRDefault="005D6955" w:rsidP="001123AA">
            <w:pPr>
              <w:pStyle w:val="TMGTableText"/>
              <w:jc w:val="center"/>
            </w:pPr>
            <w:r>
              <w:rPr>
                <w:rFonts w:eastAsiaTheme="minorEastAsia"/>
              </w:rPr>
              <w:t>Integer</w:t>
            </w:r>
          </w:p>
        </w:tc>
        <w:tc>
          <w:tcPr>
            <w:tcW w:w="1133" w:type="dxa"/>
          </w:tcPr>
          <w:p w14:paraId="52A3C954" w14:textId="4C8ADA37" w:rsidR="005D6955" w:rsidRPr="00C251E9" w:rsidRDefault="005D6955" w:rsidP="001123AA">
            <w:pPr>
              <w:pStyle w:val="TMGTableText"/>
              <w:jc w:val="center"/>
            </w:pPr>
            <w:r>
              <w:rPr>
                <w:rFonts w:eastAsiaTheme="minorEastAsia"/>
              </w:rPr>
              <w:t>Required</w:t>
            </w:r>
          </w:p>
        </w:tc>
      </w:tr>
      <w:tr w:rsidR="005D6955" w14:paraId="70B14EE9" w14:textId="77777777" w:rsidTr="005D6955">
        <w:trPr>
          <w:jc w:val="center"/>
        </w:trPr>
        <w:tc>
          <w:tcPr>
            <w:tcW w:w="625" w:type="dxa"/>
          </w:tcPr>
          <w:p w14:paraId="7FADED73" w14:textId="05E24B52" w:rsidR="005D6955" w:rsidRPr="005D6955" w:rsidRDefault="005D6955" w:rsidP="005D6955">
            <w:pPr>
              <w:pStyle w:val="TMGTableText"/>
              <w:ind w:left="0" w:right="144"/>
              <w:jc w:val="right"/>
              <w:rPr>
                <w:b/>
                <w:bCs/>
              </w:rPr>
            </w:pPr>
            <w:r w:rsidRPr="005D6955">
              <w:rPr>
                <w:rFonts w:eastAsiaTheme="minorEastAsia"/>
                <w:b/>
                <w:bCs/>
              </w:rPr>
              <w:t>8</w:t>
            </w:r>
          </w:p>
        </w:tc>
        <w:tc>
          <w:tcPr>
            <w:tcW w:w="1170" w:type="dxa"/>
          </w:tcPr>
          <w:p w14:paraId="4E7B597A" w14:textId="55704C60" w:rsidR="005D6955" w:rsidRPr="004859C8" w:rsidRDefault="005D6955" w:rsidP="005D6955">
            <w:pPr>
              <w:pStyle w:val="TMGTableText"/>
              <w:jc w:val="center"/>
            </w:pPr>
            <w:r w:rsidRPr="00D96273">
              <w:rPr>
                <w:rFonts w:eastAsiaTheme="minorEastAsia"/>
              </w:rPr>
              <w:t>17</w:t>
            </w:r>
          </w:p>
        </w:tc>
        <w:tc>
          <w:tcPr>
            <w:tcW w:w="720" w:type="dxa"/>
          </w:tcPr>
          <w:p w14:paraId="6D246B2B" w14:textId="502ED292" w:rsidR="005D6955" w:rsidRPr="004859C8" w:rsidRDefault="005D6955" w:rsidP="005D6955">
            <w:pPr>
              <w:pStyle w:val="TMGTableText"/>
              <w:jc w:val="center"/>
            </w:pPr>
            <w:r w:rsidRPr="00D96273">
              <w:rPr>
                <w:rFonts w:eastAsiaTheme="minorEastAsia"/>
              </w:rPr>
              <w:t>1</w:t>
            </w:r>
          </w:p>
        </w:tc>
        <w:tc>
          <w:tcPr>
            <w:tcW w:w="4403" w:type="dxa"/>
          </w:tcPr>
          <w:p w14:paraId="29304643" w14:textId="2F5100C2" w:rsidR="005D6955" w:rsidRPr="004859C8" w:rsidRDefault="005D6955" w:rsidP="005D6955">
            <w:pPr>
              <w:pStyle w:val="TMGTableText"/>
            </w:pPr>
            <w:r w:rsidRPr="00D96273">
              <w:rPr>
                <w:rFonts w:eastAsiaTheme="minorEastAsia"/>
              </w:rPr>
              <w:t>Direction of Movement</w:t>
            </w:r>
          </w:p>
        </w:tc>
        <w:tc>
          <w:tcPr>
            <w:tcW w:w="1309" w:type="dxa"/>
          </w:tcPr>
          <w:p w14:paraId="3C0432B6" w14:textId="5196E486" w:rsidR="005D6955" w:rsidRPr="004859C8" w:rsidRDefault="005D6955" w:rsidP="001123AA">
            <w:pPr>
              <w:pStyle w:val="TMGTableText"/>
              <w:jc w:val="center"/>
            </w:pPr>
            <w:r>
              <w:rPr>
                <w:rFonts w:eastAsiaTheme="minorEastAsia"/>
              </w:rPr>
              <w:t>Integer</w:t>
            </w:r>
          </w:p>
        </w:tc>
        <w:tc>
          <w:tcPr>
            <w:tcW w:w="1133" w:type="dxa"/>
          </w:tcPr>
          <w:p w14:paraId="081A36B4" w14:textId="24C9BE8D" w:rsidR="005D6955" w:rsidRPr="00C251E9" w:rsidRDefault="005D6955" w:rsidP="001123AA">
            <w:pPr>
              <w:pStyle w:val="TMGTableText"/>
              <w:jc w:val="center"/>
            </w:pPr>
            <w:r>
              <w:rPr>
                <w:rFonts w:eastAsiaTheme="minorEastAsia"/>
              </w:rPr>
              <w:t>Required</w:t>
            </w:r>
          </w:p>
        </w:tc>
      </w:tr>
      <w:tr w:rsidR="005D6955" w14:paraId="20E44D8B" w14:textId="77777777" w:rsidTr="005D6955">
        <w:trPr>
          <w:jc w:val="center"/>
        </w:trPr>
        <w:tc>
          <w:tcPr>
            <w:tcW w:w="625" w:type="dxa"/>
          </w:tcPr>
          <w:p w14:paraId="5D2D3156" w14:textId="6A9FE0D7" w:rsidR="005D6955" w:rsidRPr="005D6955" w:rsidRDefault="005D6955" w:rsidP="005D6955">
            <w:pPr>
              <w:pStyle w:val="TMGTableText"/>
              <w:ind w:left="0" w:right="144"/>
              <w:jc w:val="right"/>
              <w:rPr>
                <w:b/>
                <w:bCs/>
              </w:rPr>
            </w:pPr>
            <w:r w:rsidRPr="005D6955">
              <w:rPr>
                <w:rFonts w:eastAsiaTheme="minorEastAsia"/>
                <w:b/>
                <w:bCs/>
              </w:rPr>
              <w:t>9</w:t>
            </w:r>
          </w:p>
        </w:tc>
        <w:tc>
          <w:tcPr>
            <w:tcW w:w="1170" w:type="dxa"/>
          </w:tcPr>
          <w:p w14:paraId="29CA9147" w14:textId="12818C19" w:rsidR="005D6955" w:rsidRPr="004859C8" w:rsidRDefault="005D6955" w:rsidP="005D6955">
            <w:pPr>
              <w:pStyle w:val="TMGTableText"/>
              <w:jc w:val="center"/>
            </w:pPr>
            <w:r w:rsidRPr="00D96273">
              <w:rPr>
                <w:rFonts w:eastAsiaTheme="minorEastAsia"/>
              </w:rPr>
              <w:t>18</w:t>
            </w:r>
          </w:p>
        </w:tc>
        <w:tc>
          <w:tcPr>
            <w:tcW w:w="720" w:type="dxa"/>
          </w:tcPr>
          <w:p w14:paraId="5B340CE2" w14:textId="0EE85574" w:rsidR="005D6955" w:rsidRPr="004859C8" w:rsidRDefault="005D6955" w:rsidP="005D6955">
            <w:pPr>
              <w:pStyle w:val="TMGTableText"/>
              <w:jc w:val="center"/>
            </w:pPr>
            <w:r w:rsidRPr="00D96273">
              <w:rPr>
                <w:rFonts w:eastAsiaTheme="minorEastAsia"/>
              </w:rPr>
              <w:t>1</w:t>
            </w:r>
          </w:p>
        </w:tc>
        <w:tc>
          <w:tcPr>
            <w:tcW w:w="4403" w:type="dxa"/>
          </w:tcPr>
          <w:p w14:paraId="76DF2DDD" w14:textId="022309BA" w:rsidR="005D6955" w:rsidRPr="004859C8" w:rsidRDefault="005D6955" w:rsidP="005D6955">
            <w:pPr>
              <w:pStyle w:val="TMGTableText"/>
            </w:pPr>
            <w:r w:rsidRPr="00D96273">
              <w:rPr>
                <w:rFonts w:eastAsiaTheme="minorEastAsia"/>
              </w:rPr>
              <w:t>Facility Type</w:t>
            </w:r>
            <w:r>
              <w:rPr>
                <w:rFonts w:eastAsiaTheme="minorEastAsia"/>
              </w:rPr>
              <w:t xml:space="preserve"> (FT)</w:t>
            </w:r>
          </w:p>
        </w:tc>
        <w:tc>
          <w:tcPr>
            <w:tcW w:w="1309" w:type="dxa"/>
          </w:tcPr>
          <w:p w14:paraId="6AEF6979" w14:textId="1538DC18" w:rsidR="005D6955" w:rsidRPr="004859C8" w:rsidRDefault="005D6955" w:rsidP="001123AA">
            <w:pPr>
              <w:pStyle w:val="TMGTableText"/>
              <w:jc w:val="center"/>
            </w:pPr>
            <w:r w:rsidRPr="00D73A55">
              <w:rPr>
                <w:rFonts w:eastAsiaTheme="minorEastAsia"/>
              </w:rPr>
              <w:t>Integer</w:t>
            </w:r>
          </w:p>
        </w:tc>
        <w:tc>
          <w:tcPr>
            <w:tcW w:w="1133" w:type="dxa"/>
          </w:tcPr>
          <w:p w14:paraId="7DAE4043" w14:textId="41604F0D" w:rsidR="005D6955" w:rsidRPr="00C251E9" w:rsidRDefault="005D6955" w:rsidP="001123AA">
            <w:pPr>
              <w:pStyle w:val="TMGTableText"/>
              <w:jc w:val="center"/>
            </w:pPr>
            <w:r>
              <w:rPr>
                <w:rFonts w:eastAsiaTheme="minorEastAsia"/>
              </w:rPr>
              <w:t>Required</w:t>
            </w:r>
          </w:p>
        </w:tc>
      </w:tr>
      <w:tr w:rsidR="005D6955" w14:paraId="4AF4B143" w14:textId="77777777" w:rsidTr="005D6955">
        <w:trPr>
          <w:jc w:val="center"/>
        </w:trPr>
        <w:tc>
          <w:tcPr>
            <w:tcW w:w="625" w:type="dxa"/>
          </w:tcPr>
          <w:p w14:paraId="717F8311" w14:textId="26C57765" w:rsidR="005D6955" w:rsidRPr="005D6955" w:rsidRDefault="005D6955" w:rsidP="005D6955">
            <w:pPr>
              <w:pStyle w:val="TMGTableText"/>
              <w:ind w:left="0" w:right="144"/>
              <w:jc w:val="right"/>
              <w:rPr>
                <w:b/>
                <w:bCs/>
              </w:rPr>
            </w:pPr>
            <w:r w:rsidRPr="005D6955">
              <w:rPr>
                <w:rFonts w:eastAsiaTheme="minorEastAsia"/>
                <w:b/>
                <w:bCs/>
              </w:rPr>
              <w:t>10</w:t>
            </w:r>
          </w:p>
        </w:tc>
        <w:tc>
          <w:tcPr>
            <w:tcW w:w="1170" w:type="dxa"/>
          </w:tcPr>
          <w:p w14:paraId="43D41E82" w14:textId="00823716" w:rsidR="005D6955" w:rsidRPr="004859C8" w:rsidRDefault="005D6955" w:rsidP="005D6955">
            <w:pPr>
              <w:pStyle w:val="TMGTableText"/>
              <w:jc w:val="center"/>
            </w:pPr>
            <w:r w:rsidRPr="00D96273">
              <w:rPr>
                <w:rFonts w:eastAsiaTheme="minorEastAsia"/>
              </w:rPr>
              <w:t>19</w:t>
            </w:r>
          </w:p>
        </w:tc>
        <w:tc>
          <w:tcPr>
            <w:tcW w:w="720" w:type="dxa"/>
          </w:tcPr>
          <w:p w14:paraId="3BA33A77" w14:textId="1E87EEDB" w:rsidR="005D6955" w:rsidRPr="004859C8" w:rsidRDefault="005D6955" w:rsidP="005D6955">
            <w:pPr>
              <w:pStyle w:val="TMGTableText"/>
              <w:jc w:val="center"/>
            </w:pPr>
            <w:r w:rsidRPr="00D96273">
              <w:rPr>
                <w:rFonts w:eastAsiaTheme="minorEastAsia"/>
              </w:rPr>
              <w:t>1</w:t>
            </w:r>
          </w:p>
        </w:tc>
        <w:tc>
          <w:tcPr>
            <w:tcW w:w="4403" w:type="dxa"/>
          </w:tcPr>
          <w:p w14:paraId="0006CDE3" w14:textId="5FE31350" w:rsidR="005D6955" w:rsidRPr="004859C8" w:rsidRDefault="005D6955" w:rsidP="005D6955">
            <w:pPr>
              <w:pStyle w:val="TMGTableText"/>
            </w:pPr>
            <w:r w:rsidRPr="00D96273">
              <w:rPr>
                <w:rFonts w:eastAsiaTheme="minorEastAsia"/>
              </w:rPr>
              <w:t>Intersection</w:t>
            </w:r>
            <w:r>
              <w:rPr>
                <w:rFonts w:eastAsiaTheme="minorEastAsia"/>
              </w:rPr>
              <w:t xml:space="preserve"> (INT)</w:t>
            </w:r>
          </w:p>
        </w:tc>
        <w:tc>
          <w:tcPr>
            <w:tcW w:w="1309" w:type="dxa"/>
          </w:tcPr>
          <w:p w14:paraId="20152B19" w14:textId="2568BB8B" w:rsidR="005D6955" w:rsidRPr="004859C8" w:rsidRDefault="005D6955" w:rsidP="001123AA">
            <w:pPr>
              <w:pStyle w:val="TMGTableText"/>
              <w:jc w:val="center"/>
            </w:pPr>
            <w:r w:rsidRPr="00D73A55">
              <w:rPr>
                <w:rFonts w:eastAsiaTheme="minorEastAsia"/>
              </w:rPr>
              <w:t>Integer</w:t>
            </w:r>
          </w:p>
        </w:tc>
        <w:tc>
          <w:tcPr>
            <w:tcW w:w="1133" w:type="dxa"/>
          </w:tcPr>
          <w:p w14:paraId="6723294F" w14:textId="3DEF8CA0" w:rsidR="005D6955" w:rsidRPr="00C251E9" w:rsidRDefault="005D6955" w:rsidP="001123AA">
            <w:pPr>
              <w:pStyle w:val="TMGTableText"/>
              <w:jc w:val="center"/>
            </w:pPr>
            <w:r w:rsidRPr="00D96273">
              <w:rPr>
                <w:rFonts w:eastAsiaTheme="minorEastAsia"/>
              </w:rPr>
              <w:t>O</w:t>
            </w:r>
            <w:r>
              <w:rPr>
                <w:rFonts w:eastAsiaTheme="minorEastAsia"/>
              </w:rPr>
              <w:t>ptional</w:t>
            </w:r>
          </w:p>
        </w:tc>
      </w:tr>
      <w:tr w:rsidR="005D6955" w14:paraId="55CDF546" w14:textId="77777777" w:rsidTr="005D6955">
        <w:trPr>
          <w:jc w:val="center"/>
        </w:trPr>
        <w:tc>
          <w:tcPr>
            <w:tcW w:w="625" w:type="dxa"/>
          </w:tcPr>
          <w:p w14:paraId="284130F5" w14:textId="60BB1151" w:rsidR="005D6955" w:rsidRPr="005D6955" w:rsidRDefault="005D6955" w:rsidP="005D6955">
            <w:pPr>
              <w:pStyle w:val="TMGTableText"/>
              <w:ind w:left="0" w:right="144"/>
              <w:jc w:val="right"/>
              <w:rPr>
                <w:b/>
                <w:bCs/>
              </w:rPr>
            </w:pPr>
            <w:r w:rsidRPr="005D6955">
              <w:rPr>
                <w:rFonts w:eastAsiaTheme="minorEastAsia"/>
                <w:b/>
                <w:bCs/>
              </w:rPr>
              <w:lastRenderedPageBreak/>
              <w:t>11</w:t>
            </w:r>
          </w:p>
        </w:tc>
        <w:tc>
          <w:tcPr>
            <w:tcW w:w="1170" w:type="dxa"/>
          </w:tcPr>
          <w:p w14:paraId="67FFE3C5" w14:textId="03942E2B" w:rsidR="005D6955" w:rsidRPr="004859C8" w:rsidRDefault="005D6955" w:rsidP="005D6955">
            <w:pPr>
              <w:pStyle w:val="TMGTableText"/>
              <w:jc w:val="center"/>
            </w:pPr>
            <w:r w:rsidRPr="00D96273">
              <w:rPr>
                <w:rFonts w:eastAsiaTheme="minorEastAsia"/>
              </w:rPr>
              <w:t>20</w:t>
            </w:r>
          </w:p>
        </w:tc>
        <w:tc>
          <w:tcPr>
            <w:tcW w:w="720" w:type="dxa"/>
          </w:tcPr>
          <w:p w14:paraId="5ED1E251" w14:textId="66BBD4A7" w:rsidR="005D6955" w:rsidRPr="004859C8" w:rsidRDefault="005D6955" w:rsidP="005D6955">
            <w:pPr>
              <w:pStyle w:val="TMGTableText"/>
              <w:jc w:val="center"/>
            </w:pPr>
            <w:r w:rsidRPr="00D96273">
              <w:rPr>
                <w:rFonts w:eastAsiaTheme="minorEastAsia"/>
              </w:rPr>
              <w:t>1</w:t>
            </w:r>
          </w:p>
        </w:tc>
        <w:tc>
          <w:tcPr>
            <w:tcW w:w="4403" w:type="dxa"/>
          </w:tcPr>
          <w:p w14:paraId="34E430E4" w14:textId="4ED9EAE0" w:rsidR="005D6955" w:rsidRPr="004859C8" w:rsidRDefault="005D6955" w:rsidP="005D6955">
            <w:pPr>
              <w:pStyle w:val="TMGTableText"/>
            </w:pPr>
            <w:r w:rsidRPr="00D96273">
              <w:rPr>
                <w:rFonts w:eastAsiaTheme="minorEastAsia"/>
              </w:rPr>
              <w:t xml:space="preserve">Type of </w:t>
            </w:r>
            <w:r>
              <w:rPr>
                <w:rFonts w:eastAsiaTheme="minorEastAsia"/>
              </w:rPr>
              <w:t>C</w:t>
            </w:r>
            <w:r w:rsidRPr="00D96273">
              <w:rPr>
                <w:rFonts w:eastAsiaTheme="minorEastAsia"/>
              </w:rPr>
              <w:t>ount (bike/pedestrian/both)</w:t>
            </w:r>
            <w:r>
              <w:rPr>
                <w:rFonts w:eastAsiaTheme="minorEastAsia"/>
              </w:rPr>
              <w:t xml:space="preserve"> (TOC)</w:t>
            </w:r>
          </w:p>
        </w:tc>
        <w:tc>
          <w:tcPr>
            <w:tcW w:w="1309" w:type="dxa"/>
          </w:tcPr>
          <w:p w14:paraId="31347126" w14:textId="191475E9" w:rsidR="005D6955" w:rsidRPr="004859C8" w:rsidRDefault="005D6955" w:rsidP="001123AA">
            <w:pPr>
              <w:pStyle w:val="TMGTableText"/>
              <w:jc w:val="center"/>
            </w:pPr>
            <w:r w:rsidRPr="00D73A55">
              <w:rPr>
                <w:rFonts w:eastAsiaTheme="minorEastAsia"/>
              </w:rPr>
              <w:t>Integer</w:t>
            </w:r>
          </w:p>
        </w:tc>
        <w:tc>
          <w:tcPr>
            <w:tcW w:w="1133" w:type="dxa"/>
          </w:tcPr>
          <w:p w14:paraId="43E57BDF" w14:textId="40FC19A7" w:rsidR="005D6955" w:rsidRPr="00C251E9" w:rsidRDefault="005D6955" w:rsidP="001123AA">
            <w:pPr>
              <w:pStyle w:val="TMGTableText"/>
              <w:jc w:val="center"/>
            </w:pPr>
            <w:r>
              <w:rPr>
                <w:rFonts w:eastAsiaTheme="minorEastAsia"/>
              </w:rPr>
              <w:t>Required</w:t>
            </w:r>
          </w:p>
        </w:tc>
      </w:tr>
      <w:tr w:rsidR="005D6955" w14:paraId="5B3F49D4" w14:textId="77777777" w:rsidTr="005D6955">
        <w:trPr>
          <w:jc w:val="center"/>
        </w:trPr>
        <w:tc>
          <w:tcPr>
            <w:tcW w:w="625" w:type="dxa"/>
          </w:tcPr>
          <w:p w14:paraId="59476169" w14:textId="2270E360" w:rsidR="005D6955" w:rsidRPr="005D6955" w:rsidRDefault="005D6955" w:rsidP="005D6955">
            <w:pPr>
              <w:pStyle w:val="TMGTableText"/>
              <w:ind w:left="0" w:right="144"/>
              <w:jc w:val="right"/>
              <w:rPr>
                <w:b/>
                <w:bCs/>
              </w:rPr>
            </w:pPr>
            <w:r w:rsidRPr="005D6955">
              <w:rPr>
                <w:rFonts w:eastAsiaTheme="minorEastAsia"/>
                <w:b/>
                <w:bCs/>
              </w:rPr>
              <w:t>12</w:t>
            </w:r>
          </w:p>
        </w:tc>
        <w:tc>
          <w:tcPr>
            <w:tcW w:w="1170" w:type="dxa"/>
          </w:tcPr>
          <w:p w14:paraId="2270D0F6" w14:textId="5FCFAD32" w:rsidR="005D6955" w:rsidRPr="004859C8" w:rsidRDefault="005D6955" w:rsidP="005D6955">
            <w:pPr>
              <w:pStyle w:val="TMGTableText"/>
              <w:jc w:val="center"/>
            </w:pPr>
            <w:r w:rsidRPr="00D96273">
              <w:rPr>
                <w:rFonts w:eastAsiaTheme="minorEastAsia"/>
              </w:rPr>
              <w:t>21</w:t>
            </w:r>
          </w:p>
        </w:tc>
        <w:tc>
          <w:tcPr>
            <w:tcW w:w="720" w:type="dxa"/>
          </w:tcPr>
          <w:p w14:paraId="5D0D42B6" w14:textId="3D343067" w:rsidR="005D6955" w:rsidRPr="004859C8" w:rsidRDefault="005D6955" w:rsidP="005D6955">
            <w:pPr>
              <w:pStyle w:val="TMGTableText"/>
              <w:jc w:val="center"/>
            </w:pPr>
            <w:r w:rsidRPr="00D96273">
              <w:rPr>
                <w:rFonts w:eastAsiaTheme="minorEastAsia"/>
              </w:rPr>
              <w:t>1</w:t>
            </w:r>
          </w:p>
        </w:tc>
        <w:tc>
          <w:tcPr>
            <w:tcW w:w="4403" w:type="dxa"/>
          </w:tcPr>
          <w:p w14:paraId="60C515AF" w14:textId="1631C613" w:rsidR="005D6955" w:rsidRPr="004859C8" w:rsidRDefault="005D6955" w:rsidP="005D6955">
            <w:pPr>
              <w:pStyle w:val="TMGTableText"/>
            </w:pPr>
            <w:r w:rsidRPr="00D96273">
              <w:rPr>
                <w:rFonts w:eastAsiaTheme="minorEastAsia"/>
              </w:rPr>
              <w:t>Method of Counting</w:t>
            </w:r>
            <w:r>
              <w:rPr>
                <w:rFonts w:eastAsiaTheme="minorEastAsia"/>
              </w:rPr>
              <w:t xml:space="preserve"> (MOC)</w:t>
            </w:r>
          </w:p>
        </w:tc>
        <w:tc>
          <w:tcPr>
            <w:tcW w:w="1309" w:type="dxa"/>
          </w:tcPr>
          <w:p w14:paraId="03DDC50D" w14:textId="0E887489" w:rsidR="005D6955" w:rsidRPr="004859C8" w:rsidRDefault="005D6955" w:rsidP="001123AA">
            <w:pPr>
              <w:pStyle w:val="TMGTableText"/>
              <w:jc w:val="center"/>
            </w:pPr>
            <w:r w:rsidRPr="00D73A55">
              <w:rPr>
                <w:rFonts w:eastAsiaTheme="minorEastAsia"/>
              </w:rPr>
              <w:t>Integer</w:t>
            </w:r>
          </w:p>
        </w:tc>
        <w:tc>
          <w:tcPr>
            <w:tcW w:w="1133" w:type="dxa"/>
          </w:tcPr>
          <w:p w14:paraId="6DDD3B78" w14:textId="23EB7700" w:rsidR="005D6955" w:rsidRPr="00C251E9" w:rsidRDefault="005D6955" w:rsidP="001123AA">
            <w:pPr>
              <w:pStyle w:val="TMGTableText"/>
              <w:jc w:val="center"/>
            </w:pPr>
            <w:r>
              <w:rPr>
                <w:rFonts w:eastAsiaTheme="minorEastAsia"/>
              </w:rPr>
              <w:t>Required</w:t>
            </w:r>
          </w:p>
        </w:tc>
      </w:tr>
      <w:tr w:rsidR="005D6955" w14:paraId="78FB36A0" w14:textId="77777777" w:rsidTr="005D6955">
        <w:trPr>
          <w:jc w:val="center"/>
        </w:trPr>
        <w:tc>
          <w:tcPr>
            <w:tcW w:w="625" w:type="dxa"/>
          </w:tcPr>
          <w:p w14:paraId="26001EC3" w14:textId="1B40FC91" w:rsidR="005D6955" w:rsidRPr="005D6955" w:rsidRDefault="005D6955" w:rsidP="005D6955">
            <w:pPr>
              <w:pStyle w:val="TMGTableText"/>
              <w:ind w:left="0" w:right="144"/>
              <w:jc w:val="right"/>
              <w:rPr>
                <w:b/>
                <w:bCs/>
              </w:rPr>
            </w:pPr>
            <w:r w:rsidRPr="005D6955">
              <w:rPr>
                <w:rFonts w:eastAsiaTheme="minorEastAsia"/>
                <w:b/>
                <w:bCs/>
              </w:rPr>
              <w:t>13</w:t>
            </w:r>
          </w:p>
        </w:tc>
        <w:tc>
          <w:tcPr>
            <w:tcW w:w="1170" w:type="dxa"/>
          </w:tcPr>
          <w:p w14:paraId="6DA8E306" w14:textId="2725F7AE" w:rsidR="005D6955" w:rsidRPr="004859C8" w:rsidRDefault="005D6955" w:rsidP="005D6955">
            <w:pPr>
              <w:pStyle w:val="TMGTableText"/>
              <w:jc w:val="center"/>
            </w:pPr>
            <w:r w:rsidRPr="00D96273">
              <w:rPr>
                <w:rFonts w:eastAsiaTheme="minorEastAsia"/>
              </w:rPr>
              <w:t>22</w:t>
            </w:r>
          </w:p>
        </w:tc>
        <w:tc>
          <w:tcPr>
            <w:tcW w:w="720" w:type="dxa"/>
          </w:tcPr>
          <w:p w14:paraId="031A4243" w14:textId="769BA01B" w:rsidR="005D6955" w:rsidRPr="004859C8" w:rsidRDefault="005D6955" w:rsidP="005D6955">
            <w:pPr>
              <w:pStyle w:val="TMGTableText"/>
              <w:jc w:val="center"/>
            </w:pPr>
            <w:r w:rsidRPr="00D96273">
              <w:rPr>
                <w:rFonts w:eastAsiaTheme="minorEastAsia"/>
              </w:rPr>
              <w:t>1</w:t>
            </w:r>
          </w:p>
        </w:tc>
        <w:tc>
          <w:tcPr>
            <w:tcW w:w="4403" w:type="dxa"/>
          </w:tcPr>
          <w:p w14:paraId="216CB92B" w14:textId="4B5A1A1A" w:rsidR="005D6955" w:rsidRPr="004859C8" w:rsidRDefault="005D6955" w:rsidP="005D6955">
            <w:pPr>
              <w:pStyle w:val="TMGTableText"/>
            </w:pPr>
            <w:r w:rsidRPr="00D96273">
              <w:rPr>
                <w:rFonts w:eastAsiaTheme="minorEastAsia"/>
              </w:rPr>
              <w:t>Type of Sensor</w:t>
            </w:r>
            <w:r>
              <w:rPr>
                <w:rFonts w:eastAsiaTheme="minorEastAsia"/>
              </w:rPr>
              <w:t xml:space="preserve"> (TS1)</w:t>
            </w:r>
          </w:p>
        </w:tc>
        <w:tc>
          <w:tcPr>
            <w:tcW w:w="1309" w:type="dxa"/>
          </w:tcPr>
          <w:p w14:paraId="63085C45" w14:textId="5AA83FAB" w:rsidR="005D6955" w:rsidRPr="004859C8" w:rsidRDefault="005D6955" w:rsidP="001123AA">
            <w:pPr>
              <w:pStyle w:val="TMGTableText"/>
              <w:jc w:val="center"/>
            </w:pPr>
            <w:r>
              <w:rPr>
                <w:rFonts w:eastAsiaTheme="minorEastAsia"/>
              </w:rPr>
              <w:t>Alphanumeric</w:t>
            </w:r>
          </w:p>
        </w:tc>
        <w:tc>
          <w:tcPr>
            <w:tcW w:w="1133" w:type="dxa"/>
          </w:tcPr>
          <w:p w14:paraId="52C8B601" w14:textId="039F765D" w:rsidR="005D6955" w:rsidRPr="00C251E9" w:rsidRDefault="005D6955" w:rsidP="001123AA">
            <w:pPr>
              <w:pStyle w:val="TMGTableText"/>
              <w:jc w:val="center"/>
            </w:pPr>
            <w:r w:rsidRPr="00D96273">
              <w:rPr>
                <w:rFonts w:eastAsiaTheme="minorEastAsia"/>
              </w:rPr>
              <w:t>O</w:t>
            </w:r>
            <w:r>
              <w:rPr>
                <w:rFonts w:eastAsiaTheme="minorEastAsia"/>
              </w:rPr>
              <w:t>ptional</w:t>
            </w:r>
          </w:p>
        </w:tc>
      </w:tr>
      <w:tr w:rsidR="005D6955" w14:paraId="48D1E89A" w14:textId="77777777" w:rsidTr="005D6955">
        <w:trPr>
          <w:jc w:val="center"/>
        </w:trPr>
        <w:tc>
          <w:tcPr>
            <w:tcW w:w="625" w:type="dxa"/>
          </w:tcPr>
          <w:p w14:paraId="586B9867" w14:textId="178C8F33" w:rsidR="005D6955" w:rsidRPr="005D6955" w:rsidRDefault="005D6955" w:rsidP="005D6955">
            <w:pPr>
              <w:pStyle w:val="TMGTableText"/>
              <w:ind w:left="0" w:right="144"/>
              <w:jc w:val="right"/>
              <w:rPr>
                <w:b/>
                <w:bCs/>
              </w:rPr>
            </w:pPr>
            <w:r w:rsidRPr="005D6955">
              <w:rPr>
                <w:rFonts w:eastAsiaTheme="minorEastAsia"/>
                <w:b/>
                <w:bCs/>
              </w:rPr>
              <w:t>14</w:t>
            </w:r>
          </w:p>
        </w:tc>
        <w:tc>
          <w:tcPr>
            <w:tcW w:w="1170" w:type="dxa"/>
          </w:tcPr>
          <w:p w14:paraId="32C2800F" w14:textId="065E60F6" w:rsidR="005D6955" w:rsidRPr="004859C8" w:rsidRDefault="005D6955" w:rsidP="005D6955">
            <w:pPr>
              <w:pStyle w:val="TMGTableText"/>
              <w:jc w:val="center"/>
            </w:pPr>
            <w:r w:rsidRPr="00D96273">
              <w:rPr>
                <w:rFonts w:eastAsiaTheme="minorEastAsia"/>
              </w:rPr>
              <w:t>23-26</w:t>
            </w:r>
          </w:p>
        </w:tc>
        <w:tc>
          <w:tcPr>
            <w:tcW w:w="720" w:type="dxa"/>
          </w:tcPr>
          <w:p w14:paraId="6AB794B7" w14:textId="6DBA7124" w:rsidR="005D6955" w:rsidRPr="004859C8" w:rsidRDefault="005D6955" w:rsidP="005D6955">
            <w:pPr>
              <w:pStyle w:val="TMGTableText"/>
              <w:jc w:val="center"/>
            </w:pPr>
            <w:r w:rsidRPr="00D96273">
              <w:rPr>
                <w:rFonts w:eastAsiaTheme="minorEastAsia"/>
              </w:rPr>
              <w:t>4</w:t>
            </w:r>
          </w:p>
        </w:tc>
        <w:tc>
          <w:tcPr>
            <w:tcW w:w="4403" w:type="dxa"/>
          </w:tcPr>
          <w:p w14:paraId="1FD12572" w14:textId="24935FA0" w:rsidR="005D6955" w:rsidRPr="004859C8" w:rsidRDefault="005D6955" w:rsidP="005D6955">
            <w:pPr>
              <w:pStyle w:val="TMGTableText"/>
            </w:pPr>
            <w:r w:rsidRPr="00D96273">
              <w:rPr>
                <w:rFonts w:eastAsiaTheme="minorEastAsia"/>
              </w:rPr>
              <w:t xml:space="preserve">Year of </w:t>
            </w:r>
            <w:r>
              <w:rPr>
                <w:rFonts w:eastAsiaTheme="minorEastAsia"/>
              </w:rPr>
              <w:t>D</w:t>
            </w:r>
            <w:r w:rsidRPr="00D96273">
              <w:rPr>
                <w:rFonts w:eastAsiaTheme="minorEastAsia"/>
              </w:rPr>
              <w:t>ata</w:t>
            </w:r>
            <w:r>
              <w:rPr>
                <w:rFonts w:eastAsiaTheme="minorEastAsia"/>
              </w:rPr>
              <w:t xml:space="preserve"> (YR)</w:t>
            </w:r>
          </w:p>
        </w:tc>
        <w:tc>
          <w:tcPr>
            <w:tcW w:w="1309" w:type="dxa"/>
          </w:tcPr>
          <w:p w14:paraId="35964EA5" w14:textId="44C8462E" w:rsidR="005D6955" w:rsidRPr="004859C8" w:rsidRDefault="005D6955" w:rsidP="001123AA">
            <w:pPr>
              <w:pStyle w:val="TMGTableText"/>
              <w:jc w:val="center"/>
            </w:pPr>
            <w:r w:rsidRPr="00B75504">
              <w:rPr>
                <w:rFonts w:eastAsiaTheme="minorEastAsia"/>
              </w:rPr>
              <w:t>Integer</w:t>
            </w:r>
          </w:p>
        </w:tc>
        <w:tc>
          <w:tcPr>
            <w:tcW w:w="1133" w:type="dxa"/>
          </w:tcPr>
          <w:p w14:paraId="6253EDAD" w14:textId="5239305F" w:rsidR="005D6955" w:rsidRPr="00C251E9" w:rsidRDefault="005D6955" w:rsidP="001123AA">
            <w:pPr>
              <w:pStyle w:val="TMGTableText"/>
              <w:jc w:val="center"/>
            </w:pPr>
            <w:r>
              <w:rPr>
                <w:rFonts w:eastAsiaTheme="minorEastAsia"/>
              </w:rPr>
              <w:t>Required</w:t>
            </w:r>
          </w:p>
        </w:tc>
      </w:tr>
      <w:tr w:rsidR="005D6955" w14:paraId="037838B2" w14:textId="77777777" w:rsidTr="005D6955">
        <w:trPr>
          <w:jc w:val="center"/>
        </w:trPr>
        <w:tc>
          <w:tcPr>
            <w:tcW w:w="625" w:type="dxa"/>
          </w:tcPr>
          <w:p w14:paraId="37D54538" w14:textId="7701884C" w:rsidR="005D6955" w:rsidRPr="005D6955" w:rsidRDefault="005D6955" w:rsidP="005D6955">
            <w:pPr>
              <w:pStyle w:val="TMGTableText"/>
              <w:ind w:left="0" w:right="144"/>
              <w:jc w:val="right"/>
              <w:rPr>
                <w:b/>
                <w:bCs/>
              </w:rPr>
            </w:pPr>
            <w:r w:rsidRPr="005D6955">
              <w:rPr>
                <w:rFonts w:eastAsiaTheme="minorEastAsia"/>
                <w:b/>
                <w:bCs/>
              </w:rPr>
              <w:t>15</w:t>
            </w:r>
          </w:p>
        </w:tc>
        <w:tc>
          <w:tcPr>
            <w:tcW w:w="1170" w:type="dxa"/>
          </w:tcPr>
          <w:p w14:paraId="0BCD570E" w14:textId="10D6B902" w:rsidR="005D6955" w:rsidRPr="004859C8" w:rsidRDefault="005D6955" w:rsidP="005D6955">
            <w:pPr>
              <w:pStyle w:val="TMGTableText"/>
              <w:jc w:val="center"/>
            </w:pPr>
            <w:r w:rsidRPr="00D96273">
              <w:rPr>
                <w:rFonts w:eastAsiaTheme="minorEastAsia"/>
              </w:rPr>
              <w:t>27</w:t>
            </w:r>
          </w:p>
        </w:tc>
        <w:tc>
          <w:tcPr>
            <w:tcW w:w="720" w:type="dxa"/>
          </w:tcPr>
          <w:p w14:paraId="5F91622A" w14:textId="18843CB3" w:rsidR="005D6955" w:rsidRPr="004859C8" w:rsidRDefault="005D6955" w:rsidP="005D6955">
            <w:pPr>
              <w:pStyle w:val="TMGTableText"/>
              <w:jc w:val="center"/>
            </w:pPr>
            <w:r w:rsidRPr="00D96273">
              <w:rPr>
                <w:rFonts w:eastAsiaTheme="minorEastAsia"/>
              </w:rPr>
              <w:t>1</w:t>
            </w:r>
          </w:p>
        </w:tc>
        <w:tc>
          <w:tcPr>
            <w:tcW w:w="4403" w:type="dxa"/>
          </w:tcPr>
          <w:p w14:paraId="676FDA4B" w14:textId="241950A2" w:rsidR="005D6955" w:rsidRPr="004859C8" w:rsidRDefault="005D6955" w:rsidP="005D6955">
            <w:pPr>
              <w:pStyle w:val="TMGTableText"/>
            </w:pPr>
            <w:r w:rsidRPr="00D96273">
              <w:rPr>
                <w:rFonts w:eastAsiaTheme="minorEastAsia"/>
              </w:rPr>
              <w:t>Factor Group 1</w:t>
            </w:r>
            <w:r>
              <w:rPr>
                <w:rFonts w:eastAsiaTheme="minorEastAsia"/>
              </w:rPr>
              <w:t xml:space="preserve"> (FG1)</w:t>
            </w:r>
          </w:p>
        </w:tc>
        <w:tc>
          <w:tcPr>
            <w:tcW w:w="1309" w:type="dxa"/>
          </w:tcPr>
          <w:p w14:paraId="491664CF" w14:textId="7A3713C4" w:rsidR="005D6955" w:rsidRPr="004859C8" w:rsidRDefault="005D6955" w:rsidP="001123AA">
            <w:pPr>
              <w:pStyle w:val="TMGTableText"/>
              <w:jc w:val="center"/>
            </w:pPr>
            <w:r w:rsidRPr="00B75504">
              <w:rPr>
                <w:rFonts w:eastAsiaTheme="minorEastAsia"/>
              </w:rPr>
              <w:t>Integer</w:t>
            </w:r>
          </w:p>
        </w:tc>
        <w:tc>
          <w:tcPr>
            <w:tcW w:w="1133" w:type="dxa"/>
          </w:tcPr>
          <w:p w14:paraId="7B2632CF" w14:textId="2DFE39E5" w:rsidR="005D6955" w:rsidRPr="00C251E9" w:rsidRDefault="005D6955" w:rsidP="001123AA">
            <w:pPr>
              <w:pStyle w:val="TMGTableText"/>
              <w:jc w:val="center"/>
            </w:pPr>
            <w:r w:rsidRPr="00D96273">
              <w:rPr>
                <w:rFonts w:eastAsiaTheme="minorEastAsia"/>
              </w:rPr>
              <w:t>O</w:t>
            </w:r>
            <w:r>
              <w:rPr>
                <w:rFonts w:eastAsiaTheme="minorEastAsia"/>
              </w:rPr>
              <w:t>ptional</w:t>
            </w:r>
          </w:p>
        </w:tc>
      </w:tr>
      <w:tr w:rsidR="005D6955" w14:paraId="42995C79" w14:textId="77777777" w:rsidTr="005D6955">
        <w:trPr>
          <w:jc w:val="center"/>
        </w:trPr>
        <w:tc>
          <w:tcPr>
            <w:tcW w:w="625" w:type="dxa"/>
          </w:tcPr>
          <w:p w14:paraId="3623C421" w14:textId="0CFFCB0E" w:rsidR="005D6955" w:rsidRPr="005D6955" w:rsidRDefault="005D6955" w:rsidP="005D6955">
            <w:pPr>
              <w:pStyle w:val="TMGTableText"/>
              <w:ind w:left="0" w:right="144"/>
              <w:jc w:val="right"/>
              <w:rPr>
                <w:b/>
                <w:bCs/>
              </w:rPr>
            </w:pPr>
            <w:r w:rsidRPr="005D6955">
              <w:rPr>
                <w:rFonts w:eastAsiaTheme="minorEastAsia"/>
                <w:b/>
                <w:bCs/>
              </w:rPr>
              <w:t>16</w:t>
            </w:r>
          </w:p>
        </w:tc>
        <w:tc>
          <w:tcPr>
            <w:tcW w:w="1170" w:type="dxa"/>
          </w:tcPr>
          <w:p w14:paraId="1527FA10" w14:textId="4C1D88CA" w:rsidR="005D6955" w:rsidRPr="004859C8" w:rsidRDefault="005D6955" w:rsidP="005D6955">
            <w:pPr>
              <w:pStyle w:val="TMGTableText"/>
              <w:jc w:val="center"/>
            </w:pPr>
            <w:r w:rsidRPr="00D96273">
              <w:rPr>
                <w:rFonts w:eastAsiaTheme="minorEastAsia"/>
              </w:rPr>
              <w:t>28</w:t>
            </w:r>
          </w:p>
        </w:tc>
        <w:tc>
          <w:tcPr>
            <w:tcW w:w="720" w:type="dxa"/>
          </w:tcPr>
          <w:p w14:paraId="39B0E3A5" w14:textId="241589C5" w:rsidR="005D6955" w:rsidRPr="004859C8" w:rsidRDefault="005D6955" w:rsidP="005D6955">
            <w:pPr>
              <w:pStyle w:val="TMGTableText"/>
              <w:jc w:val="center"/>
            </w:pPr>
            <w:r w:rsidRPr="00D96273">
              <w:rPr>
                <w:rFonts w:eastAsiaTheme="minorEastAsia"/>
              </w:rPr>
              <w:t>1</w:t>
            </w:r>
          </w:p>
        </w:tc>
        <w:tc>
          <w:tcPr>
            <w:tcW w:w="4403" w:type="dxa"/>
          </w:tcPr>
          <w:p w14:paraId="521A14BF" w14:textId="695322FB" w:rsidR="005D6955" w:rsidRPr="004859C8" w:rsidRDefault="005D6955" w:rsidP="005D6955">
            <w:pPr>
              <w:pStyle w:val="TMGTableText"/>
            </w:pPr>
            <w:r w:rsidRPr="00D96273">
              <w:rPr>
                <w:rFonts w:eastAsiaTheme="minorEastAsia"/>
              </w:rPr>
              <w:t>Factor Group 2</w:t>
            </w:r>
            <w:r>
              <w:rPr>
                <w:rFonts w:eastAsiaTheme="minorEastAsia"/>
              </w:rPr>
              <w:t xml:space="preserve"> (FG2)</w:t>
            </w:r>
          </w:p>
        </w:tc>
        <w:tc>
          <w:tcPr>
            <w:tcW w:w="1309" w:type="dxa"/>
          </w:tcPr>
          <w:p w14:paraId="4D9ABB21" w14:textId="3571DDE9" w:rsidR="005D6955" w:rsidRPr="004859C8" w:rsidRDefault="005D6955" w:rsidP="001123AA">
            <w:pPr>
              <w:pStyle w:val="TMGTableText"/>
              <w:jc w:val="center"/>
            </w:pPr>
            <w:r w:rsidRPr="00587AF1">
              <w:rPr>
                <w:rFonts w:eastAsiaTheme="minorEastAsia"/>
              </w:rPr>
              <w:t>Integer</w:t>
            </w:r>
          </w:p>
        </w:tc>
        <w:tc>
          <w:tcPr>
            <w:tcW w:w="1133" w:type="dxa"/>
          </w:tcPr>
          <w:p w14:paraId="4409AF5D" w14:textId="6C5B0E9B" w:rsidR="005D6955" w:rsidRPr="00C251E9" w:rsidRDefault="005D6955" w:rsidP="001123AA">
            <w:pPr>
              <w:pStyle w:val="TMGTableText"/>
              <w:jc w:val="center"/>
            </w:pPr>
            <w:r w:rsidRPr="00D96273">
              <w:rPr>
                <w:rFonts w:eastAsiaTheme="minorEastAsia"/>
              </w:rPr>
              <w:t>O</w:t>
            </w:r>
            <w:r>
              <w:rPr>
                <w:rFonts w:eastAsiaTheme="minorEastAsia"/>
              </w:rPr>
              <w:t>ptional</w:t>
            </w:r>
          </w:p>
        </w:tc>
      </w:tr>
      <w:tr w:rsidR="005D6955" w14:paraId="7DFACCAE" w14:textId="77777777" w:rsidTr="005D6955">
        <w:trPr>
          <w:jc w:val="center"/>
        </w:trPr>
        <w:tc>
          <w:tcPr>
            <w:tcW w:w="625" w:type="dxa"/>
          </w:tcPr>
          <w:p w14:paraId="107D780F" w14:textId="7C4C3DC7" w:rsidR="005D6955" w:rsidRPr="005D6955" w:rsidRDefault="005D6955" w:rsidP="005D6955">
            <w:pPr>
              <w:pStyle w:val="TMGTableText"/>
              <w:ind w:left="0" w:right="144"/>
              <w:jc w:val="right"/>
              <w:rPr>
                <w:b/>
                <w:bCs/>
              </w:rPr>
            </w:pPr>
            <w:r w:rsidRPr="005D6955">
              <w:rPr>
                <w:rFonts w:eastAsiaTheme="minorEastAsia"/>
                <w:b/>
                <w:bCs/>
              </w:rPr>
              <w:t>17</w:t>
            </w:r>
          </w:p>
        </w:tc>
        <w:tc>
          <w:tcPr>
            <w:tcW w:w="1170" w:type="dxa"/>
          </w:tcPr>
          <w:p w14:paraId="387392B8" w14:textId="13EAE3AC" w:rsidR="005D6955" w:rsidRPr="004859C8" w:rsidRDefault="005D6955" w:rsidP="005D6955">
            <w:pPr>
              <w:pStyle w:val="TMGTableText"/>
              <w:jc w:val="center"/>
            </w:pPr>
            <w:r w:rsidRPr="00D96273">
              <w:rPr>
                <w:rFonts w:eastAsiaTheme="minorEastAsia"/>
              </w:rPr>
              <w:t>29</w:t>
            </w:r>
          </w:p>
        </w:tc>
        <w:tc>
          <w:tcPr>
            <w:tcW w:w="720" w:type="dxa"/>
          </w:tcPr>
          <w:p w14:paraId="44D06A52" w14:textId="352CF203" w:rsidR="005D6955" w:rsidRPr="004859C8" w:rsidRDefault="005D6955" w:rsidP="005D6955">
            <w:pPr>
              <w:pStyle w:val="TMGTableText"/>
              <w:jc w:val="center"/>
            </w:pPr>
            <w:r w:rsidRPr="00D96273">
              <w:rPr>
                <w:rFonts w:eastAsiaTheme="minorEastAsia"/>
              </w:rPr>
              <w:t>1</w:t>
            </w:r>
          </w:p>
        </w:tc>
        <w:tc>
          <w:tcPr>
            <w:tcW w:w="4403" w:type="dxa"/>
          </w:tcPr>
          <w:p w14:paraId="0A8B9E97" w14:textId="184D1D3B" w:rsidR="005D6955" w:rsidRPr="004859C8" w:rsidRDefault="005D6955" w:rsidP="005D6955">
            <w:pPr>
              <w:pStyle w:val="TMGTableText"/>
            </w:pPr>
            <w:r w:rsidRPr="00D96273">
              <w:rPr>
                <w:rFonts w:eastAsiaTheme="minorEastAsia"/>
              </w:rPr>
              <w:t>Factor Group 3</w:t>
            </w:r>
            <w:r>
              <w:rPr>
                <w:rFonts w:eastAsiaTheme="minorEastAsia"/>
              </w:rPr>
              <w:t xml:space="preserve"> (FG3)</w:t>
            </w:r>
          </w:p>
        </w:tc>
        <w:tc>
          <w:tcPr>
            <w:tcW w:w="1309" w:type="dxa"/>
          </w:tcPr>
          <w:p w14:paraId="294FAF52" w14:textId="6167267D" w:rsidR="005D6955" w:rsidRPr="004859C8" w:rsidRDefault="005D6955" w:rsidP="001123AA">
            <w:pPr>
              <w:pStyle w:val="TMGTableText"/>
              <w:jc w:val="center"/>
            </w:pPr>
            <w:r w:rsidRPr="00587AF1">
              <w:rPr>
                <w:rFonts w:eastAsiaTheme="minorEastAsia"/>
              </w:rPr>
              <w:t>Integer</w:t>
            </w:r>
          </w:p>
        </w:tc>
        <w:tc>
          <w:tcPr>
            <w:tcW w:w="1133" w:type="dxa"/>
          </w:tcPr>
          <w:p w14:paraId="7105938F" w14:textId="4D3C833E" w:rsidR="005D6955" w:rsidRPr="00C251E9" w:rsidRDefault="005D6955" w:rsidP="001123AA">
            <w:pPr>
              <w:pStyle w:val="TMGTableText"/>
              <w:jc w:val="center"/>
            </w:pPr>
            <w:r w:rsidRPr="00D96273">
              <w:rPr>
                <w:rFonts w:eastAsiaTheme="minorEastAsia"/>
              </w:rPr>
              <w:t>O</w:t>
            </w:r>
            <w:r>
              <w:rPr>
                <w:rFonts w:eastAsiaTheme="minorEastAsia"/>
              </w:rPr>
              <w:t>ptional</w:t>
            </w:r>
          </w:p>
        </w:tc>
      </w:tr>
      <w:tr w:rsidR="005D6955" w14:paraId="066F2183" w14:textId="77777777" w:rsidTr="005D6955">
        <w:trPr>
          <w:jc w:val="center"/>
        </w:trPr>
        <w:tc>
          <w:tcPr>
            <w:tcW w:w="625" w:type="dxa"/>
          </w:tcPr>
          <w:p w14:paraId="198B399B" w14:textId="2583C8B4" w:rsidR="005D6955" w:rsidRPr="005D6955" w:rsidRDefault="005D6955" w:rsidP="005D6955">
            <w:pPr>
              <w:pStyle w:val="TMGTableText"/>
              <w:ind w:left="0" w:right="144"/>
              <w:jc w:val="right"/>
              <w:rPr>
                <w:b/>
                <w:bCs/>
              </w:rPr>
            </w:pPr>
            <w:r w:rsidRPr="005D6955">
              <w:rPr>
                <w:rFonts w:eastAsiaTheme="minorEastAsia"/>
                <w:b/>
                <w:bCs/>
              </w:rPr>
              <w:t>18</w:t>
            </w:r>
          </w:p>
        </w:tc>
        <w:tc>
          <w:tcPr>
            <w:tcW w:w="1170" w:type="dxa"/>
          </w:tcPr>
          <w:p w14:paraId="0D2DB5AB" w14:textId="4BB75970" w:rsidR="005D6955" w:rsidRPr="004859C8" w:rsidRDefault="005D6955" w:rsidP="005D6955">
            <w:pPr>
              <w:pStyle w:val="TMGTableText"/>
              <w:jc w:val="center"/>
            </w:pPr>
            <w:r w:rsidRPr="00D96273">
              <w:rPr>
                <w:rFonts w:eastAsiaTheme="minorEastAsia"/>
              </w:rPr>
              <w:t>30</w:t>
            </w:r>
          </w:p>
        </w:tc>
        <w:tc>
          <w:tcPr>
            <w:tcW w:w="720" w:type="dxa"/>
          </w:tcPr>
          <w:p w14:paraId="2D9F2A1A" w14:textId="53EEF26E" w:rsidR="005D6955" w:rsidRPr="004859C8" w:rsidRDefault="005D6955" w:rsidP="005D6955">
            <w:pPr>
              <w:pStyle w:val="TMGTableText"/>
              <w:jc w:val="center"/>
            </w:pPr>
            <w:r w:rsidRPr="00D96273">
              <w:rPr>
                <w:rFonts w:eastAsiaTheme="minorEastAsia"/>
              </w:rPr>
              <w:t>1</w:t>
            </w:r>
          </w:p>
        </w:tc>
        <w:tc>
          <w:tcPr>
            <w:tcW w:w="4403" w:type="dxa"/>
          </w:tcPr>
          <w:p w14:paraId="4E1EFE23" w14:textId="10D75083" w:rsidR="005D6955" w:rsidRPr="004859C8" w:rsidRDefault="005D6955" w:rsidP="005D6955">
            <w:pPr>
              <w:pStyle w:val="TMGTableText"/>
            </w:pPr>
            <w:r w:rsidRPr="00D96273">
              <w:rPr>
                <w:rFonts w:eastAsiaTheme="minorEastAsia"/>
              </w:rPr>
              <w:t>Factor Group 4</w:t>
            </w:r>
            <w:r>
              <w:rPr>
                <w:rFonts w:eastAsiaTheme="minorEastAsia"/>
              </w:rPr>
              <w:t xml:space="preserve"> (FG4)</w:t>
            </w:r>
          </w:p>
        </w:tc>
        <w:tc>
          <w:tcPr>
            <w:tcW w:w="1309" w:type="dxa"/>
          </w:tcPr>
          <w:p w14:paraId="160864A0" w14:textId="2F38704E" w:rsidR="005D6955" w:rsidRPr="004859C8" w:rsidRDefault="005D6955" w:rsidP="001123AA">
            <w:pPr>
              <w:pStyle w:val="TMGTableText"/>
              <w:jc w:val="center"/>
            </w:pPr>
            <w:r w:rsidRPr="00587AF1">
              <w:rPr>
                <w:rFonts w:eastAsiaTheme="minorEastAsia"/>
              </w:rPr>
              <w:t>Integer</w:t>
            </w:r>
          </w:p>
        </w:tc>
        <w:tc>
          <w:tcPr>
            <w:tcW w:w="1133" w:type="dxa"/>
          </w:tcPr>
          <w:p w14:paraId="5B0914C8" w14:textId="23393B73" w:rsidR="005D6955" w:rsidRPr="00C251E9" w:rsidRDefault="005D6955" w:rsidP="001123AA">
            <w:pPr>
              <w:pStyle w:val="TMGTableText"/>
              <w:jc w:val="center"/>
            </w:pPr>
            <w:r w:rsidRPr="00D96273">
              <w:rPr>
                <w:rFonts w:eastAsiaTheme="minorEastAsia"/>
              </w:rPr>
              <w:t>O</w:t>
            </w:r>
            <w:r>
              <w:rPr>
                <w:rFonts w:eastAsiaTheme="minorEastAsia"/>
              </w:rPr>
              <w:t>ptional</w:t>
            </w:r>
          </w:p>
        </w:tc>
      </w:tr>
      <w:tr w:rsidR="005D6955" w14:paraId="5CCAD2B9" w14:textId="77777777" w:rsidTr="005D6955">
        <w:trPr>
          <w:jc w:val="center"/>
        </w:trPr>
        <w:tc>
          <w:tcPr>
            <w:tcW w:w="625" w:type="dxa"/>
          </w:tcPr>
          <w:p w14:paraId="706564CC" w14:textId="65AA7FD2" w:rsidR="005D6955" w:rsidRPr="005D6955" w:rsidRDefault="005D6955" w:rsidP="005D6955">
            <w:pPr>
              <w:pStyle w:val="TMGTableText"/>
              <w:ind w:left="0" w:right="144"/>
              <w:jc w:val="right"/>
              <w:rPr>
                <w:b/>
                <w:bCs/>
              </w:rPr>
            </w:pPr>
            <w:r w:rsidRPr="005D6955">
              <w:rPr>
                <w:rFonts w:eastAsiaTheme="minorEastAsia"/>
                <w:b/>
                <w:bCs/>
              </w:rPr>
              <w:t>19</w:t>
            </w:r>
          </w:p>
        </w:tc>
        <w:tc>
          <w:tcPr>
            <w:tcW w:w="1170" w:type="dxa"/>
          </w:tcPr>
          <w:p w14:paraId="7CD8C783" w14:textId="58F67B59" w:rsidR="005D6955" w:rsidRPr="004859C8" w:rsidRDefault="005D6955" w:rsidP="005D6955">
            <w:pPr>
              <w:pStyle w:val="TMGTableText"/>
              <w:jc w:val="center"/>
            </w:pPr>
            <w:r w:rsidRPr="00D96273">
              <w:rPr>
                <w:rFonts w:eastAsiaTheme="minorEastAsia"/>
              </w:rPr>
              <w:t>31</w:t>
            </w:r>
          </w:p>
        </w:tc>
        <w:tc>
          <w:tcPr>
            <w:tcW w:w="720" w:type="dxa"/>
          </w:tcPr>
          <w:p w14:paraId="236AF1E4" w14:textId="02E6D9EE" w:rsidR="005D6955" w:rsidRPr="004859C8" w:rsidRDefault="005D6955" w:rsidP="005D6955">
            <w:pPr>
              <w:pStyle w:val="TMGTableText"/>
              <w:jc w:val="center"/>
            </w:pPr>
            <w:r w:rsidRPr="00D96273">
              <w:rPr>
                <w:rFonts w:eastAsiaTheme="minorEastAsia"/>
              </w:rPr>
              <w:t>1</w:t>
            </w:r>
          </w:p>
        </w:tc>
        <w:tc>
          <w:tcPr>
            <w:tcW w:w="4403" w:type="dxa"/>
          </w:tcPr>
          <w:p w14:paraId="58CE70B3" w14:textId="6D4335B5" w:rsidR="005D6955" w:rsidRPr="004859C8" w:rsidRDefault="005D6955" w:rsidP="005D6955">
            <w:pPr>
              <w:pStyle w:val="TMGTableText"/>
            </w:pPr>
            <w:r w:rsidRPr="00D96273">
              <w:rPr>
                <w:rFonts w:eastAsiaTheme="minorEastAsia"/>
              </w:rPr>
              <w:t>Factor Group 5</w:t>
            </w:r>
            <w:r>
              <w:rPr>
                <w:rFonts w:eastAsiaTheme="minorEastAsia"/>
              </w:rPr>
              <w:t xml:space="preserve"> (FG5)</w:t>
            </w:r>
          </w:p>
        </w:tc>
        <w:tc>
          <w:tcPr>
            <w:tcW w:w="1309" w:type="dxa"/>
          </w:tcPr>
          <w:p w14:paraId="02C657B3" w14:textId="46704E14" w:rsidR="005D6955" w:rsidRPr="004859C8" w:rsidRDefault="005D6955" w:rsidP="001123AA">
            <w:pPr>
              <w:pStyle w:val="TMGTableText"/>
              <w:jc w:val="center"/>
            </w:pPr>
            <w:r w:rsidRPr="00587AF1">
              <w:rPr>
                <w:rFonts w:eastAsiaTheme="minorEastAsia"/>
              </w:rPr>
              <w:t>Integer</w:t>
            </w:r>
          </w:p>
        </w:tc>
        <w:tc>
          <w:tcPr>
            <w:tcW w:w="1133" w:type="dxa"/>
          </w:tcPr>
          <w:p w14:paraId="0E1F2B3F" w14:textId="5D702044" w:rsidR="005D6955" w:rsidRPr="00C251E9" w:rsidRDefault="005D6955" w:rsidP="001123AA">
            <w:pPr>
              <w:pStyle w:val="TMGTableText"/>
              <w:jc w:val="center"/>
            </w:pPr>
            <w:r w:rsidRPr="00D96273">
              <w:rPr>
                <w:rFonts w:eastAsiaTheme="minorEastAsia"/>
              </w:rPr>
              <w:t>O</w:t>
            </w:r>
            <w:r>
              <w:rPr>
                <w:rFonts w:eastAsiaTheme="minorEastAsia"/>
              </w:rPr>
              <w:t>ptional</w:t>
            </w:r>
          </w:p>
        </w:tc>
      </w:tr>
      <w:tr w:rsidR="005D6955" w14:paraId="586CA735" w14:textId="77777777" w:rsidTr="005D6955">
        <w:trPr>
          <w:jc w:val="center"/>
        </w:trPr>
        <w:tc>
          <w:tcPr>
            <w:tcW w:w="625" w:type="dxa"/>
          </w:tcPr>
          <w:p w14:paraId="6C02F4F2" w14:textId="3192CA17" w:rsidR="005D6955" w:rsidRPr="005D6955" w:rsidRDefault="005D6955" w:rsidP="005D6955">
            <w:pPr>
              <w:pStyle w:val="TMGTableText"/>
              <w:ind w:left="0" w:right="144"/>
              <w:jc w:val="right"/>
              <w:rPr>
                <w:b/>
                <w:bCs/>
              </w:rPr>
            </w:pPr>
            <w:r w:rsidRPr="005D6955">
              <w:rPr>
                <w:rFonts w:eastAsiaTheme="minorEastAsia"/>
                <w:b/>
                <w:bCs/>
              </w:rPr>
              <w:t>20</w:t>
            </w:r>
          </w:p>
        </w:tc>
        <w:tc>
          <w:tcPr>
            <w:tcW w:w="1170" w:type="dxa"/>
          </w:tcPr>
          <w:p w14:paraId="487BDDC7" w14:textId="675F91B8" w:rsidR="005D6955" w:rsidRPr="004859C8" w:rsidRDefault="005D6955" w:rsidP="005D6955">
            <w:pPr>
              <w:pStyle w:val="TMGTableText"/>
              <w:jc w:val="center"/>
            </w:pPr>
            <w:r w:rsidRPr="00D96273">
              <w:rPr>
                <w:rFonts w:eastAsiaTheme="minorEastAsia"/>
              </w:rPr>
              <w:t>32</w:t>
            </w:r>
          </w:p>
        </w:tc>
        <w:tc>
          <w:tcPr>
            <w:tcW w:w="720" w:type="dxa"/>
          </w:tcPr>
          <w:p w14:paraId="52F7EA7E" w14:textId="586636FB" w:rsidR="005D6955" w:rsidRPr="004859C8" w:rsidRDefault="005D6955" w:rsidP="005D6955">
            <w:pPr>
              <w:pStyle w:val="TMGTableText"/>
              <w:jc w:val="center"/>
            </w:pPr>
            <w:r w:rsidRPr="00D96273">
              <w:rPr>
                <w:rFonts w:eastAsiaTheme="minorEastAsia"/>
              </w:rPr>
              <w:t>1</w:t>
            </w:r>
          </w:p>
        </w:tc>
        <w:tc>
          <w:tcPr>
            <w:tcW w:w="4403" w:type="dxa"/>
          </w:tcPr>
          <w:p w14:paraId="0BEBBD64" w14:textId="64580DAE" w:rsidR="005D6955" w:rsidRPr="004859C8" w:rsidRDefault="005D6955" w:rsidP="005D6955">
            <w:pPr>
              <w:pStyle w:val="TMGTableText"/>
            </w:pPr>
            <w:r w:rsidRPr="00D96273">
              <w:rPr>
                <w:rFonts w:eastAsiaTheme="minorEastAsia"/>
              </w:rPr>
              <w:t>Primary Count Purpose</w:t>
            </w:r>
            <w:r>
              <w:rPr>
                <w:rFonts w:eastAsiaTheme="minorEastAsia"/>
              </w:rPr>
              <w:t xml:space="preserve"> (PCP)</w:t>
            </w:r>
          </w:p>
        </w:tc>
        <w:tc>
          <w:tcPr>
            <w:tcW w:w="1309" w:type="dxa"/>
          </w:tcPr>
          <w:p w14:paraId="6DCD6218" w14:textId="2111A587" w:rsidR="005D6955" w:rsidRPr="004859C8" w:rsidRDefault="005D6955" w:rsidP="001123AA">
            <w:pPr>
              <w:pStyle w:val="TMGTableText"/>
              <w:jc w:val="center"/>
            </w:pPr>
            <w:r>
              <w:rPr>
                <w:rFonts w:eastAsiaTheme="minorEastAsia"/>
              </w:rPr>
              <w:t>Alphanumeric</w:t>
            </w:r>
          </w:p>
        </w:tc>
        <w:tc>
          <w:tcPr>
            <w:tcW w:w="1133" w:type="dxa"/>
          </w:tcPr>
          <w:p w14:paraId="7B391878" w14:textId="3D07F34D" w:rsidR="005D6955" w:rsidRPr="00C251E9" w:rsidRDefault="005D6955" w:rsidP="001123AA">
            <w:pPr>
              <w:pStyle w:val="TMGTableText"/>
              <w:jc w:val="center"/>
            </w:pPr>
            <w:r w:rsidRPr="00D96273">
              <w:rPr>
                <w:rFonts w:eastAsiaTheme="minorEastAsia"/>
              </w:rPr>
              <w:t>O</w:t>
            </w:r>
            <w:r>
              <w:rPr>
                <w:rFonts w:eastAsiaTheme="minorEastAsia"/>
              </w:rPr>
              <w:t>ptional</w:t>
            </w:r>
          </w:p>
        </w:tc>
      </w:tr>
      <w:tr w:rsidR="005D6955" w14:paraId="74949E82" w14:textId="77777777" w:rsidTr="005D6955">
        <w:trPr>
          <w:jc w:val="center"/>
        </w:trPr>
        <w:tc>
          <w:tcPr>
            <w:tcW w:w="625" w:type="dxa"/>
          </w:tcPr>
          <w:p w14:paraId="5B578095" w14:textId="73B1BA5E" w:rsidR="005D6955" w:rsidRPr="005D6955" w:rsidRDefault="005D6955" w:rsidP="005D6955">
            <w:pPr>
              <w:pStyle w:val="TMGTableText"/>
              <w:ind w:left="0" w:right="144"/>
              <w:jc w:val="right"/>
              <w:rPr>
                <w:b/>
                <w:bCs/>
              </w:rPr>
            </w:pPr>
            <w:r w:rsidRPr="005D6955">
              <w:rPr>
                <w:rFonts w:eastAsiaTheme="minorEastAsia"/>
                <w:b/>
                <w:bCs/>
              </w:rPr>
              <w:t>21</w:t>
            </w:r>
          </w:p>
        </w:tc>
        <w:tc>
          <w:tcPr>
            <w:tcW w:w="1170" w:type="dxa"/>
          </w:tcPr>
          <w:p w14:paraId="46ECB649" w14:textId="0447AE6D" w:rsidR="005D6955" w:rsidRPr="004859C8" w:rsidRDefault="005D6955" w:rsidP="005D6955">
            <w:pPr>
              <w:pStyle w:val="TMGTableText"/>
              <w:jc w:val="center"/>
            </w:pPr>
            <w:r w:rsidRPr="00D96273">
              <w:rPr>
                <w:rFonts w:eastAsiaTheme="minorEastAsia"/>
              </w:rPr>
              <w:t>33-34</w:t>
            </w:r>
          </w:p>
        </w:tc>
        <w:tc>
          <w:tcPr>
            <w:tcW w:w="720" w:type="dxa"/>
          </w:tcPr>
          <w:p w14:paraId="0219E66A" w14:textId="4CFB2BE4" w:rsidR="005D6955" w:rsidRPr="004859C8" w:rsidRDefault="005D6955" w:rsidP="005D6955">
            <w:pPr>
              <w:pStyle w:val="TMGTableText"/>
              <w:jc w:val="center"/>
            </w:pPr>
            <w:r w:rsidRPr="00D96273">
              <w:rPr>
                <w:rFonts w:eastAsiaTheme="minorEastAsia"/>
              </w:rPr>
              <w:t>2</w:t>
            </w:r>
          </w:p>
        </w:tc>
        <w:tc>
          <w:tcPr>
            <w:tcW w:w="4403" w:type="dxa"/>
          </w:tcPr>
          <w:p w14:paraId="36A92675" w14:textId="5ACFAEAE" w:rsidR="005D6955" w:rsidRPr="004859C8" w:rsidRDefault="005D6955" w:rsidP="005D6955">
            <w:pPr>
              <w:pStyle w:val="TMGTableText"/>
            </w:pPr>
            <w:r w:rsidRPr="00D96273">
              <w:rPr>
                <w:rFonts w:eastAsiaTheme="minorEastAsia"/>
              </w:rPr>
              <w:t>Posted Speed Limit</w:t>
            </w:r>
            <w:r>
              <w:rPr>
                <w:rFonts w:eastAsiaTheme="minorEastAsia"/>
              </w:rPr>
              <w:t xml:space="preserve"> (PSL)</w:t>
            </w:r>
          </w:p>
        </w:tc>
        <w:tc>
          <w:tcPr>
            <w:tcW w:w="1309" w:type="dxa"/>
          </w:tcPr>
          <w:p w14:paraId="123527F5" w14:textId="6C6D35C8" w:rsidR="005D6955" w:rsidRPr="004859C8" w:rsidRDefault="005D6955" w:rsidP="001123AA">
            <w:pPr>
              <w:pStyle w:val="TMGTableText"/>
              <w:jc w:val="center"/>
            </w:pPr>
            <w:r w:rsidRPr="00247A90">
              <w:rPr>
                <w:rFonts w:eastAsiaTheme="minorEastAsia"/>
              </w:rPr>
              <w:t>Integer</w:t>
            </w:r>
          </w:p>
        </w:tc>
        <w:tc>
          <w:tcPr>
            <w:tcW w:w="1133" w:type="dxa"/>
          </w:tcPr>
          <w:p w14:paraId="1C4A9721" w14:textId="34B51B10" w:rsidR="005D6955" w:rsidRPr="00C251E9" w:rsidRDefault="005D6955" w:rsidP="001123AA">
            <w:pPr>
              <w:pStyle w:val="TMGTableText"/>
              <w:jc w:val="center"/>
            </w:pPr>
            <w:r w:rsidRPr="00D96273">
              <w:rPr>
                <w:rFonts w:eastAsiaTheme="minorEastAsia"/>
              </w:rPr>
              <w:t>O</w:t>
            </w:r>
            <w:r>
              <w:rPr>
                <w:rFonts w:eastAsiaTheme="minorEastAsia"/>
              </w:rPr>
              <w:t>ptional</w:t>
            </w:r>
          </w:p>
        </w:tc>
      </w:tr>
      <w:tr w:rsidR="005D6955" w14:paraId="6437913D" w14:textId="77777777" w:rsidTr="005D6955">
        <w:trPr>
          <w:jc w:val="center"/>
        </w:trPr>
        <w:tc>
          <w:tcPr>
            <w:tcW w:w="625" w:type="dxa"/>
          </w:tcPr>
          <w:p w14:paraId="0491D30C" w14:textId="22DC13C0" w:rsidR="005D6955" w:rsidRPr="005D6955" w:rsidRDefault="005D6955" w:rsidP="005D6955">
            <w:pPr>
              <w:pStyle w:val="TMGTableText"/>
              <w:ind w:left="0" w:right="144"/>
              <w:jc w:val="right"/>
              <w:rPr>
                <w:b/>
                <w:bCs/>
              </w:rPr>
            </w:pPr>
            <w:r w:rsidRPr="005D6955">
              <w:rPr>
                <w:rFonts w:eastAsiaTheme="minorEastAsia"/>
                <w:b/>
                <w:bCs/>
              </w:rPr>
              <w:t>22</w:t>
            </w:r>
          </w:p>
        </w:tc>
        <w:tc>
          <w:tcPr>
            <w:tcW w:w="1170" w:type="dxa"/>
          </w:tcPr>
          <w:p w14:paraId="695A2389" w14:textId="6FEE658B" w:rsidR="005D6955" w:rsidRPr="004859C8" w:rsidRDefault="005D6955" w:rsidP="005D6955">
            <w:pPr>
              <w:pStyle w:val="TMGTableText"/>
              <w:jc w:val="center"/>
            </w:pPr>
            <w:r w:rsidRPr="00D96273">
              <w:rPr>
                <w:rFonts w:eastAsiaTheme="minorEastAsia"/>
              </w:rPr>
              <w:t>35-38</w:t>
            </w:r>
          </w:p>
        </w:tc>
        <w:tc>
          <w:tcPr>
            <w:tcW w:w="720" w:type="dxa"/>
          </w:tcPr>
          <w:p w14:paraId="4212371B" w14:textId="27BA7990" w:rsidR="005D6955" w:rsidRPr="004859C8" w:rsidRDefault="005D6955" w:rsidP="005D6955">
            <w:pPr>
              <w:pStyle w:val="TMGTableText"/>
              <w:jc w:val="center"/>
            </w:pPr>
            <w:r w:rsidRPr="00D96273">
              <w:rPr>
                <w:rFonts w:eastAsiaTheme="minorEastAsia"/>
              </w:rPr>
              <w:t>4</w:t>
            </w:r>
          </w:p>
        </w:tc>
        <w:tc>
          <w:tcPr>
            <w:tcW w:w="4403" w:type="dxa"/>
          </w:tcPr>
          <w:p w14:paraId="4FD8D5B5" w14:textId="37D64ABA" w:rsidR="005D6955" w:rsidRPr="004859C8" w:rsidRDefault="005D6955" w:rsidP="005D6955">
            <w:pPr>
              <w:pStyle w:val="TMGTableText"/>
            </w:pPr>
            <w:r w:rsidRPr="00D96273">
              <w:rPr>
                <w:rFonts w:eastAsiaTheme="minorEastAsia"/>
              </w:rPr>
              <w:t>Year Station Established</w:t>
            </w:r>
            <w:r>
              <w:rPr>
                <w:rFonts w:eastAsiaTheme="minorEastAsia"/>
              </w:rPr>
              <w:t xml:space="preserve"> (YREST)</w:t>
            </w:r>
          </w:p>
        </w:tc>
        <w:tc>
          <w:tcPr>
            <w:tcW w:w="1309" w:type="dxa"/>
          </w:tcPr>
          <w:p w14:paraId="4C8B64DC" w14:textId="32FD8B00" w:rsidR="005D6955" w:rsidRPr="004859C8" w:rsidRDefault="005D6955" w:rsidP="001123AA">
            <w:pPr>
              <w:pStyle w:val="TMGTableText"/>
              <w:jc w:val="center"/>
            </w:pPr>
            <w:r w:rsidRPr="00247A90">
              <w:rPr>
                <w:rFonts w:eastAsiaTheme="minorEastAsia"/>
              </w:rPr>
              <w:t>Integer</w:t>
            </w:r>
          </w:p>
        </w:tc>
        <w:tc>
          <w:tcPr>
            <w:tcW w:w="1133" w:type="dxa"/>
          </w:tcPr>
          <w:p w14:paraId="1AA9192D" w14:textId="43CA5924" w:rsidR="005D6955" w:rsidRPr="00C251E9" w:rsidRDefault="005D6955" w:rsidP="001123AA">
            <w:pPr>
              <w:pStyle w:val="TMGTableText"/>
              <w:jc w:val="center"/>
            </w:pPr>
            <w:r>
              <w:rPr>
                <w:rFonts w:eastAsiaTheme="minorEastAsia"/>
              </w:rPr>
              <w:t>Required</w:t>
            </w:r>
          </w:p>
        </w:tc>
      </w:tr>
      <w:tr w:rsidR="005D6955" w14:paraId="07ABF1C2" w14:textId="77777777" w:rsidTr="005D6955">
        <w:trPr>
          <w:jc w:val="center"/>
        </w:trPr>
        <w:tc>
          <w:tcPr>
            <w:tcW w:w="625" w:type="dxa"/>
          </w:tcPr>
          <w:p w14:paraId="42CBAC59" w14:textId="44CA8143" w:rsidR="005D6955" w:rsidRPr="005D6955" w:rsidRDefault="005D6955" w:rsidP="005D6955">
            <w:pPr>
              <w:pStyle w:val="TMGTableText"/>
              <w:ind w:left="0" w:right="144"/>
              <w:jc w:val="right"/>
              <w:rPr>
                <w:b/>
                <w:bCs/>
              </w:rPr>
            </w:pPr>
            <w:r w:rsidRPr="005D6955">
              <w:rPr>
                <w:rFonts w:eastAsiaTheme="minorEastAsia"/>
                <w:b/>
                <w:bCs/>
              </w:rPr>
              <w:t>23</w:t>
            </w:r>
          </w:p>
        </w:tc>
        <w:tc>
          <w:tcPr>
            <w:tcW w:w="1170" w:type="dxa"/>
          </w:tcPr>
          <w:p w14:paraId="1A9FAE59" w14:textId="27CDB03F" w:rsidR="005D6955" w:rsidRPr="004859C8" w:rsidRDefault="005D6955" w:rsidP="005D6955">
            <w:pPr>
              <w:pStyle w:val="TMGTableText"/>
              <w:jc w:val="center"/>
            </w:pPr>
            <w:r w:rsidRPr="00D96273">
              <w:rPr>
                <w:rFonts w:eastAsiaTheme="minorEastAsia"/>
              </w:rPr>
              <w:t>39-42</w:t>
            </w:r>
          </w:p>
        </w:tc>
        <w:tc>
          <w:tcPr>
            <w:tcW w:w="720" w:type="dxa"/>
          </w:tcPr>
          <w:p w14:paraId="7AF041E7" w14:textId="18EF309D" w:rsidR="005D6955" w:rsidRPr="004859C8" w:rsidRDefault="005D6955" w:rsidP="005D6955">
            <w:pPr>
              <w:pStyle w:val="TMGTableText"/>
              <w:jc w:val="center"/>
            </w:pPr>
            <w:r w:rsidRPr="00D96273">
              <w:rPr>
                <w:rFonts w:eastAsiaTheme="minorEastAsia"/>
              </w:rPr>
              <w:t>4</w:t>
            </w:r>
          </w:p>
        </w:tc>
        <w:tc>
          <w:tcPr>
            <w:tcW w:w="4403" w:type="dxa"/>
          </w:tcPr>
          <w:p w14:paraId="6E1D363F" w14:textId="2B28B4B4" w:rsidR="005D6955" w:rsidRPr="004859C8" w:rsidRDefault="005D6955" w:rsidP="005D6955">
            <w:pPr>
              <w:pStyle w:val="TMGTableText"/>
            </w:pPr>
            <w:r w:rsidRPr="00D96273">
              <w:rPr>
                <w:rFonts w:eastAsiaTheme="minorEastAsia"/>
              </w:rPr>
              <w:t>Year Station Discontinued</w:t>
            </w:r>
            <w:r>
              <w:rPr>
                <w:rFonts w:eastAsiaTheme="minorEastAsia"/>
              </w:rPr>
              <w:t xml:space="preserve"> (YRDIS)</w:t>
            </w:r>
          </w:p>
        </w:tc>
        <w:tc>
          <w:tcPr>
            <w:tcW w:w="1309" w:type="dxa"/>
          </w:tcPr>
          <w:p w14:paraId="71B70E7D" w14:textId="53A923AC" w:rsidR="005D6955" w:rsidRPr="004859C8" w:rsidRDefault="005D6955" w:rsidP="001123AA">
            <w:pPr>
              <w:pStyle w:val="TMGTableText"/>
              <w:jc w:val="center"/>
            </w:pPr>
            <w:r w:rsidRPr="00247A90">
              <w:rPr>
                <w:rFonts w:eastAsiaTheme="minorEastAsia"/>
              </w:rPr>
              <w:t>Integer</w:t>
            </w:r>
          </w:p>
        </w:tc>
        <w:tc>
          <w:tcPr>
            <w:tcW w:w="1133" w:type="dxa"/>
          </w:tcPr>
          <w:p w14:paraId="16B3B824" w14:textId="1ACA65DD" w:rsidR="005D6955" w:rsidRPr="00C251E9" w:rsidRDefault="005D6955" w:rsidP="001123AA">
            <w:pPr>
              <w:pStyle w:val="TMGTableText"/>
              <w:jc w:val="center"/>
            </w:pPr>
            <w:r w:rsidRPr="00D96273">
              <w:rPr>
                <w:rFonts w:eastAsiaTheme="minorEastAsia"/>
              </w:rPr>
              <w:t>O</w:t>
            </w:r>
            <w:r>
              <w:rPr>
                <w:rFonts w:eastAsiaTheme="minorEastAsia"/>
              </w:rPr>
              <w:t>ptional</w:t>
            </w:r>
          </w:p>
        </w:tc>
      </w:tr>
      <w:tr w:rsidR="005D6955" w14:paraId="2E87F3B7" w14:textId="77777777" w:rsidTr="005D6955">
        <w:trPr>
          <w:jc w:val="center"/>
        </w:trPr>
        <w:tc>
          <w:tcPr>
            <w:tcW w:w="625" w:type="dxa"/>
          </w:tcPr>
          <w:p w14:paraId="6A664730" w14:textId="61B283BC" w:rsidR="005D6955" w:rsidRPr="005D6955" w:rsidRDefault="005D6955" w:rsidP="005D6955">
            <w:pPr>
              <w:pStyle w:val="TMGTableText"/>
              <w:ind w:left="0" w:right="144"/>
              <w:jc w:val="right"/>
              <w:rPr>
                <w:b/>
                <w:bCs/>
              </w:rPr>
            </w:pPr>
            <w:r w:rsidRPr="005D6955">
              <w:rPr>
                <w:rFonts w:eastAsiaTheme="minorEastAsia"/>
                <w:b/>
                <w:bCs/>
              </w:rPr>
              <w:t>24</w:t>
            </w:r>
          </w:p>
        </w:tc>
        <w:tc>
          <w:tcPr>
            <w:tcW w:w="1170" w:type="dxa"/>
          </w:tcPr>
          <w:p w14:paraId="70C5E09D" w14:textId="1874A2D5" w:rsidR="005D6955" w:rsidRPr="004859C8" w:rsidRDefault="005D6955" w:rsidP="005D6955">
            <w:pPr>
              <w:pStyle w:val="TMGTableText"/>
              <w:jc w:val="center"/>
            </w:pPr>
            <w:r w:rsidRPr="00D96273">
              <w:rPr>
                <w:rFonts w:eastAsiaTheme="minorEastAsia"/>
              </w:rPr>
              <w:t>4</w:t>
            </w:r>
            <w:r>
              <w:rPr>
                <w:rFonts w:eastAsiaTheme="minorEastAsia"/>
              </w:rPr>
              <w:t>3</w:t>
            </w:r>
            <w:r w:rsidRPr="00D96273">
              <w:rPr>
                <w:rFonts w:eastAsiaTheme="minorEastAsia"/>
              </w:rPr>
              <w:t>-</w:t>
            </w:r>
            <w:r>
              <w:rPr>
                <w:rFonts w:eastAsiaTheme="minorEastAsia"/>
              </w:rPr>
              <w:t>53</w:t>
            </w:r>
          </w:p>
        </w:tc>
        <w:tc>
          <w:tcPr>
            <w:tcW w:w="720" w:type="dxa"/>
          </w:tcPr>
          <w:p w14:paraId="7246E19D" w14:textId="4D978F8F" w:rsidR="005D6955" w:rsidRPr="004859C8" w:rsidRDefault="005D6955" w:rsidP="005D6955">
            <w:pPr>
              <w:pStyle w:val="TMGTableText"/>
              <w:jc w:val="center"/>
            </w:pPr>
            <w:r>
              <w:rPr>
                <w:rFonts w:eastAsiaTheme="minorEastAsia"/>
              </w:rPr>
              <w:t>11</w:t>
            </w:r>
          </w:p>
        </w:tc>
        <w:tc>
          <w:tcPr>
            <w:tcW w:w="4403" w:type="dxa"/>
          </w:tcPr>
          <w:p w14:paraId="244A4A89" w14:textId="4A6B340B" w:rsidR="005D6955" w:rsidRPr="004859C8" w:rsidRDefault="005D6955" w:rsidP="005D6955">
            <w:pPr>
              <w:pStyle w:val="TMGTableText"/>
            </w:pPr>
            <w:r w:rsidRPr="00D96273">
              <w:rPr>
                <w:rFonts w:eastAsiaTheme="minorEastAsia"/>
              </w:rPr>
              <w:t>Latitude</w:t>
            </w:r>
            <w:r>
              <w:rPr>
                <w:rFonts w:eastAsiaTheme="minorEastAsia"/>
              </w:rPr>
              <w:t xml:space="preserve"> (LAT)</w:t>
            </w:r>
          </w:p>
        </w:tc>
        <w:tc>
          <w:tcPr>
            <w:tcW w:w="1309" w:type="dxa"/>
          </w:tcPr>
          <w:p w14:paraId="511A1F0B" w14:textId="0DB874B3" w:rsidR="005D6955" w:rsidRPr="004859C8" w:rsidRDefault="005D6955" w:rsidP="001123AA">
            <w:pPr>
              <w:pStyle w:val="TMGTableText"/>
              <w:jc w:val="center"/>
            </w:pPr>
            <w:r>
              <w:rPr>
                <w:rFonts w:eastAsiaTheme="minorEastAsia"/>
              </w:rPr>
              <w:t>Decimal</w:t>
            </w:r>
          </w:p>
        </w:tc>
        <w:tc>
          <w:tcPr>
            <w:tcW w:w="1133" w:type="dxa"/>
          </w:tcPr>
          <w:p w14:paraId="7225C874" w14:textId="78619D50" w:rsidR="005D6955" w:rsidRPr="00C251E9" w:rsidRDefault="005D6955" w:rsidP="001123AA">
            <w:pPr>
              <w:pStyle w:val="TMGTableText"/>
              <w:jc w:val="center"/>
            </w:pPr>
            <w:r>
              <w:rPr>
                <w:rFonts w:eastAsiaTheme="minorEastAsia"/>
              </w:rPr>
              <w:t>Required</w:t>
            </w:r>
          </w:p>
        </w:tc>
      </w:tr>
      <w:tr w:rsidR="005D6955" w14:paraId="58E0F000" w14:textId="77777777" w:rsidTr="005D6955">
        <w:trPr>
          <w:jc w:val="center"/>
        </w:trPr>
        <w:tc>
          <w:tcPr>
            <w:tcW w:w="625" w:type="dxa"/>
          </w:tcPr>
          <w:p w14:paraId="309D8AC6" w14:textId="53DCFF4C" w:rsidR="005D6955" w:rsidRPr="005D6955" w:rsidRDefault="005D6955" w:rsidP="005D6955">
            <w:pPr>
              <w:pStyle w:val="TMGTableText"/>
              <w:ind w:left="0" w:right="144"/>
              <w:jc w:val="right"/>
              <w:rPr>
                <w:b/>
                <w:bCs/>
              </w:rPr>
            </w:pPr>
            <w:r w:rsidRPr="005D6955">
              <w:rPr>
                <w:rFonts w:eastAsiaTheme="minorEastAsia"/>
                <w:b/>
                <w:bCs/>
              </w:rPr>
              <w:t>25</w:t>
            </w:r>
          </w:p>
        </w:tc>
        <w:tc>
          <w:tcPr>
            <w:tcW w:w="1170" w:type="dxa"/>
          </w:tcPr>
          <w:p w14:paraId="26E198DC" w14:textId="603ADC8D" w:rsidR="005D6955" w:rsidRPr="004859C8" w:rsidRDefault="005D6955" w:rsidP="005D6955">
            <w:pPr>
              <w:pStyle w:val="TMGTableText"/>
              <w:jc w:val="center"/>
            </w:pPr>
            <w:r w:rsidRPr="00D96273">
              <w:rPr>
                <w:rFonts w:eastAsiaTheme="minorEastAsia"/>
              </w:rPr>
              <w:t>5</w:t>
            </w:r>
            <w:r>
              <w:rPr>
                <w:rFonts w:eastAsiaTheme="minorEastAsia"/>
              </w:rPr>
              <w:t>4</w:t>
            </w:r>
            <w:r w:rsidRPr="00D96273">
              <w:rPr>
                <w:rFonts w:eastAsiaTheme="minorEastAsia"/>
              </w:rPr>
              <w:t>-</w:t>
            </w:r>
            <w:r>
              <w:rPr>
                <w:rFonts w:eastAsiaTheme="minorEastAsia"/>
              </w:rPr>
              <w:t>64</w:t>
            </w:r>
          </w:p>
        </w:tc>
        <w:tc>
          <w:tcPr>
            <w:tcW w:w="720" w:type="dxa"/>
          </w:tcPr>
          <w:p w14:paraId="37B1FBFA" w14:textId="4D2BF42C" w:rsidR="005D6955" w:rsidRPr="004859C8" w:rsidRDefault="005D6955" w:rsidP="005D6955">
            <w:pPr>
              <w:pStyle w:val="TMGTableText"/>
              <w:jc w:val="center"/>
            </w:pPr>
            <w:r>
              <w:rPr>
                <w:rFonts w:eastAsiaTheme="minorEastAsia"/>
              </w:rPr>
              <w:t>11</w:t>
            </w:r>
          </w:p>
        </w:tc>
        <w:tc>
          <w:tcPr>
            <w:tcW w:w="4403" w:type="dxa"/>
          </w:tcPr>
          <w:p w14:paraId="421C674F" w14:textId="2A432BDB" w:rsidR="005D6955" w:rsidRPr="004859C8" w:rsidRDefault="005D6955" w:rsidP="005D6955">
            <w:pPr>
              <w:pStyle w:val="TMGTableText"/>
            </w:pPr>
            <w:r w:rsidRPr="00D96273">
              <w:rPr>
                <w:rFonts w:eastAsiaTheme="minorEastAsia"/>
              </w:rPr>
              <w:t>Longitude</w:t>
            </w:r>
            <w:r>
              <w:rPr>
                <w:rFonts w:eastAsiaTheme="minorEastAsia"/>
              </w:rPr>
              <w:t xml:space="preserve"> (LON)</w:t>
            </w:r>
          </w:p>
        </w:tc>
        <w:tc>
          <w:tcPr>
            <w:tcW w:w="1309" w:type="dxa"/>
          </w:tcPr>
          <w:p w14:paraId="56B41219" w14:textId="6DF62B4D" w:rsidR="005D6955" w:rsidRPr="004859C8" w:rsidRDefault="005D6955" w:rsidP="001123AA">
            <w:pPr>
              <w:pStyle w:val="TMGTableText"/>
              <w:jc w:val="center"/>
            </w:pPr>
            <w:r>
              <w:rPr>
                <w:rFonts w:eastAsiaTheme="minorEastAsia"/>
              </w:rPr>
              <w:t>Decimal</w:t>
            </w:r>
          </w:p>
        </w:tc>
        <w:tc>
          <w:tcPr>
            <w:tcW w:w="1133" w:type="dxa"/>
          </w:tcPr>
          <w:p w14:paraId="55271F19" w14:textId="17E81266" w:rsidR="005D6955" w:rsidRPr="00C251E9" w:rsidRDefault="005D6955" w:rsidP="001123AA">
            <w:pPr>
              <w:pStyle w:val="TMGTableText"/>
              <w:jc w:val="center"/>
            </w:pPr>
            <w:r>
              <w:rPr>
                <w:rFonts w:eastAsiaTheme="minorEastAsia"/>
              </w:rPr>
              <w:t>Required</w:t>
            </w:r>
          </w:p>
        </w:tc>
      </w:tr>
      <w:tr w:rsidR="005D6955" w14:paraId="5EA9133B" w14:textId="77777777" w:rsidTr="005D6955">
        <w:trPr>
          <w:jc w:val="center"/>
        </w:trPr>
        <w:tc>
          <w:tcPr>
            <w:tcW w:w="625" w:type="dxa"/>
          </w:tcPr>
          <w:p w14:paraId="48641BBF" w14:textId="3D169C69" w:rsidR="005D6955" w:rsidRPr="005D6955" w:rsidRDefault="005D6955" w:rsidP="005D6955">
            <w:pPr>
              <w:pStyle w:val="TMGTableText"/>
              <w:ind w:left="0" w:right="144"/>
              <w:jc w:val="right"/>
              <w:rPr>
                <w:b/>
                <w:bCs/>
              </w:rPr>
            </w:pPr>
            <w:r w:rsidRPr="005D6955">
              <w:rPr>
                <w:rFonts w:eastAsiaTheme="minorEastAsia"/>
                <w:b/>
                <w:bCs/>
              </w:rPr>
              <w:t>26</w:t>
            </w:r>
          </w:p>
        </w:tc>
        <w:tc>
          <w:tcPr>
            <w:tcW w:w="1170" w:type="dxa"/>
          </w:tcPr>
          <w:p w14:paraId="43894FDE" w14:textId="277B3B51" w:rsidR="005D6955" w:rsidRPr="004859C8" w:rsidRDefault="005D6955" w:rsidP="005D6955">
            <w:pPr>
              <w:pStyle w:val="TMGTableText"/>
              <w:jc w:val="center"/>
            </w:pPr>
            <w:r w:rsidRPr="00D96273">
              <w:rPr>
                <w:rFonts w:eastAsiaTheme="minorEastAsia"/>
              </w:rPr>
              <w:t>6</w:t>
            </w:r>
            <w:r>
              <w:rPr>
                <w:rFonts w:eastAsiaTheme="minorEastAsia"/>
              </w:rPr>
              <w:t>5</w:t>
            </w:r>
            <w:r w:rsidRPr="00D96273">
              <w:rPr>
                <w:rFonts w:eastAsiaTheme="minorEastAsia"/>
              </w:rPr>
              <w:t>-6</w:t>
            </w:r>
            <w:r>
              <w:rPr>
                <w:rFonts w:eastAsiaTheme="minorEastAsia"/>
              </w:rPr>
              <w:t>6</w:t>
            </w:r>
          </w:p>
        </w:tc>
        <w:tc>
          <w:tcPr>
            <w:tcW w:w="720" w:type="dxa"/>
          </w:tcPr>
          <w:p w14:paraId="05C9DD8E" w14:textId="3D9F5DBB" w:rsidR="005D6955" w:rsidRPr="004859C8" w:rsidRDefault="005D6955" w:rsidP="005D6955">
            <w:pPr>
              <w:pStyle w:val="TMGTableText"/>
              <w:jc w:val="center"/>
            </w:pPr>
            <w:r w:rsidRPr="00D96273">
              <w:rPr>
                <w:rFonts w:eastAsiaTheme="minorEastAsia"/>
              </w:rPr>
              <w:t>2</w:t>
            </w:r>
          </w:p>
        </w:tc>
        <w:tc>
          <w:tcPr>
            <w:tcW w:w="4403" w:type="dxa"/>
          </w:tcPr>
          <w:p w14:paraId="2C454543" w14:textId="25DB9777" w:rsidR="005D6955" w:rsidRPr="004859C8" w:rsidRDefault="005D6955" w:rsidP="005D6955">
            <w:pPr>
              <w:pStyle w:val="TMGTableText"/>
            </w:pPr>
            <w:r w:rsidRPr="00D96273">
              <w:rPr>
                <w:rFonts w:eastAsiaTheme="minorEastAsia"/>
              </w:rPr>
              <w:t>Posted Route Signing</w:t>
            </w:r>
            <w:r>
              <w:rPr>
                <w:rFonts w:eastAsiaTheme="minorEastAsia"/>
              </w:rPr>
              <w:t xml:space="preserve"> (PRS)</w:t>
            </w:r>
          </w:p>
        </w:tc>
        <w:tc>
          <w:tcPr>
            <w:tcW w:w="1309" w:type="dxa"/>
          </w:tcPr>
          <w:p w14:paraId="787EE969" w14:textId="744E8379" w:rsidR="005D6955" w:rsidRPr="004859C8" w:rsidRDefault="005D6955" w:rsidP="001123AA">
            <w:pPr>
              <w:pStyle w:val="TMGTableText"/>
              <w:jc w:val="center"/>
            </w:pPr>
            <w:r w:rsidRPr="00247A90">
              <w:rPr>
                <w:rFonts w:eastAsiaTheme="minorEastAsia"/>
              </w:rPr>
              <w:t>Integer</w:t>
            </w:r>
          </w:p>
        </w:tc>
        <w:tc>
          <w:tcPr>
            <w:tcW w:w="1133" w:type="dxa"/>
          </w:tcPr>
          <w:p w14:paraId="37CD6BB0" w14:textId="0316B198" w:rsidR="005D6955" w:rsidRPr="00C251E9" w:rsidRDefault="005D6955" w:rsidP="001123AA">
            <w:pPr>
              <w:pStyle w:val="TMGTableText"/>
              <w:jc w:val="center"/>
            </w:pPr>
            <w:r w:rsidRPr="00D96273">
              <w:rPr>
                <w:rFonts w:eastAsiaTheme="minorEastAsia"/>
              </w:rPr>
              <w:t>O</w:t>
            </w:r>
            <w:r>
              <w:rPr>
                <w:rFonts w:eastAsiaTheme="minorEastAsia"/>
              </w:rPr>
              <w:t>ptional</w:t>
            </w:r>
          </w:p>
        </w:tc>
      </w:tr>
      <w:tr w:rsidR="005D6955" w14:paraId="630542D3" w14:textId="77777777" w:rsidTr="005D6955">
        <w:trPr>
          <w:jc w:val="center"/>
        </w:trPr>
        <w:tc>
          <w:tcPr>
            <w:tcW w:w="625" w:type="dxa"/>
          </w:tcPr>
          <w:p w14:paraId="1753A58A" w14:textId="18A7D8C8" w:rsidR="005D6955" w:rsidRPr="005D6955" w:rsidRDefault="005D6955" w:rsidP="005D6955">
            <w:pPr>
              <w:pStyle w:val="TMGTableText"/>
              <w:ind w:left="0" w:right="144"/>
              <w:jc w:val="right"/>
              <w:rPr>
                <w:b/>
                <w:bCs/>
              </w:rPr>
            </w:pPr>
            <w:r w:rsidRPr="005D6955">
              <w:rPr>
                <w:rFonts w:eastAsiaTheme="minorEastAsia"/>
                <w:b/>
                <w:bCs/>
              </w:rPr>
              <w:t>27</w:t>
            </w:r>
          </w:p>
        </w:tc>
        <w:tc>
          <w:tcPr>
            <w:tcW w:w="1170" w:type="dxa"/>
          </w:tcPr>
          <w:p w14:paraId="7F025035" w14:textId="7A342BD9" w:rsidR="005D6955" w:rsidRPr="004859C8" w:rsidRDefault="005D6955" w:rsidP="005D6955">
            <w:pPr>
              <w:pStyle w:val="TMGTableText"/>
              <w:jc w:val="center"/>
            </w:pPr>
            <w:r w:rsidRPr="00D96273">
              <w:rPr>
                <w:rFonts w:eastAsiaTheme="minorEastAsia"/>
              </w:rPr>
              <w:t>6</w:t>
            </w:r>
            <w:r>
              <w:rPr>
                <w:rFonts w:eastAsiaTheme="minorEastAsia"/>
              </w:rPr>
              <w:t>7</w:t>
            </w:r>
            <w:r w:rsidRPr="00D96273">
              <w:rPr>
                <w:rFonts w:eastAsiaTheme="minorEastAsia"/>
              </w:rPr>
              <w:t>-</w:t>
            </w:r>
            <w:r>
              <w:rPr>
                <w:rFonts w:eastAsiaTheme="minorEastAsia"/>
              </w:rPr>
              <w:t>74</w:t>
            </w:r>
          </w:p>
        </w:tc>
        <w:tc>
          <w:tcPr>
            <w:tcW w:w="720" w:type="dxa"/>
          </w:tcPr>
          <w:p w14:paraId="16CC007C" w14:textId="3E8327B5" w:rsidR="005D6955" w:rsidRPr="004859C8" w:rsidRDefault="005D6955" w:rsidP="005D6955">
            <w:pPr>
              <w:pStyle w:val="TMGTableText"/>
              <w:jc w:val="center"/>
            </w:pPr>
            <w:r w:rsidRPr="00D96273">
              <w:rPr>
                <w:rFonts w:eastAsiaTheme="minorEastAsia"/>
              </w:rPr>
              <w:t>8</w:t>
            </w:r>
          </w:p>
        </w:tc>
        <w:tc>
          <w:tcPr>
            <w:tcW w:w="4403" w:type="dxa"/>
          </w:tcPr>
          <w:p w14:paraId="2B3B5902" w14:textId="4897189B" w:rsidR="005D6955" w:rsidRPr="004859C8" w:rsidRDefault="005D6955" w:rsidP="005D6955">
            <w:pPr>
              <w:pStyle w:val="TMGTableText"/>
            </w:pPr>
            <w:r w:rsidRPr="00D96273">
              <w:rPr>
                <w:rFonts w:eastAsiaTheme="minorEastAsia"/>
              </w:rPr>
              <w:t>Posted Signed Route Number</w:t>
            </w:r>
            <w:r>
              <w:rPr>
                <w:rFonts w:eastAsiaTheme="minorEastAsia"/>
              </w:rPr>
              <w:t xml:space="preserve"> (PRSN)</w:t>
            </w:r>
          </w:p>
        </w:tc>
        <w:tc>
          <w:tcPr>
            <w:tcW w:w="1309" w:type="dxa"/>
          </w:tcPr>
          <w:p w14:paraId="1ED271E7" w14:textId="6797C195" w:rsidR="005D6955" w:rsidRPr="004859C8" w:rsidRDefault="005D6955" w:rsidP="001123AA">
            <w:pPr>
              <w:pStyle w:val="TMGTableText"/>
              <w:jc w:val="center"/>
            </w:pPr>
            <w:r w:rsidRPr="00247A90">
              <w:rPr>
                <w:rFonts w:eastAsiaTheme="minorEastAsia"/>
              </w:rPr>
              <w:t>Integer</w:t>
            </w:r>
          </w:p>
        </w:tc>
        <w:tc>
          <w:tcPr>
            <w:tcW w:w="1133" w:type="dxa"/>
          </w:tcPr>
          <w:p w14:paraId="0A686C09" w14:textId="43EA51B6" w:rsidR="005D6955" w:rsidRPr="00C251E9" w:rsidRDefault="005D6955" w:rsidP="001123AA">
            <w:pPr>
              <w:pStyle w:val="TMGTableText"/>
              <w:jc w:val="center"/>
            </w:pPr>
            <w:r w:rsidRPr="00D96273">
              <w:rPr>
                <w:rFonts w:eastAsiaTheme="minorEastAsia"/>
              </w:rPr>
              <w:t>O</w:t>
            </w:r>
            <w:r>
              <w:rPr>
                <w:rFonts w:eastAsiaTheme="minorEastAsia"/>
              </w:rPr>
              <w:t>ptional</w:t>
            </w:r>
          </w:p>
        </w:tc>
      </w:tr>
      <w:tr w:rsidR="005D6955" w14:paraId="6AC80959" w14:textId="77777777" w:rsidTr="005D6955">
        <w:trPr>
          <w:jc w:val="center"/>
        </w:trPr>
        <w:tc>
          <w:tcPr>
            <w:tcW w:w="625" w:type="dxa"/>
          </w:tcPr>
          <w:p w14:paraId="5BE18346" w14:textId="0F4D9221" w:rsidR="005D6955" w:rsidRPr="005D6955" w:rsidRDefault="005D6955" w:rsidP="005D6955">
            <w:pPr>
              <w:pStyle w:val="TMGTableText"/>
              <w:ind w:left="0" w:right="144"/>
              <w:jc w:val="right"/>
              <w:rPr>
                <w:b/>
                <w:bCs/>
              </w:rPr>
            </w:pPr>
            <w:r w:rsidRPr="005D6955">
              <w:rPr>
                <w:rFonts w:eastAsiaTheme="minorEastAsia"/>
                <w:b/>
                <w:bCs/>
              </w:rPr>
              <w:t>28</w:t>
            </w:r>
          </w:p>
        </w:tc>
        <w:tc>
          <w:tcPr>
            <w:tcW w:w="1170" w:type="dxa"/>
          </w:tcPr>
          <w:p w14:paraId="75760079" w14:textId="2DEBBBC1" w:rsidR="005D6955" w:rsidRPr="004859C8" w:rsidRDefault="005D6955" w:rsidP="005D6955">
            <w:pPr>
              <w:pStyle w:val="TMGTableText"/>
              <w:jc w:val="center"/>
            </w:pPr>
            <w:r>
              <w:rPr>
                <w:rFonts w:eastAsiaTheme="minorEastAsia"/>
              </w:rPr>
              <w:t>75</w:t>
            </w:r>
            <w:r w:rsidRPr="00D96273">
              <w:rPr>
                <w:rFonts w:eastAsiaTheme="minorEastAsia"/>
              </w:rPr>
              <w:t>-1</w:t>
            </w:r>
            <w:r>
              <w:rPr>
                <w:rFonts w:eastAsiaTheme="minorEastAsia"/>
              </w:rPr>
              <w:t>24</w:t>
            </w:r>
          </w:p>
        </w:tc>
        <w:tc>
          <w:tcPr>
            <w:tcW w:w="720" w:type="dxa"/>
          </w:tcPr>
          <w:p w14:paraId="4AFD1F50" w14:textId="478EA4B1" w:rsidR="005D6955" w:rsidRPr="004859C8" w:rsidRDefault="005D6955" w:rsidP="005D6955">
            <w:pPr>
              <w:pStyle w:val="TMGTableText"/>
              <w:jc w:val="center"/>
            </w:pPr>
            <w:r w:rsidRPr="00D96273">
              <w:rPr>
                <w:rFonts w:eastAsiaTheme="minorEastAsia"/>
              </w:rPr>
              <w:t>50</w:t>
            </w:r>
          </w:p>
        </w:tc>
        <w:tc>
          <w:tcPr>
            <w:tcW w:w="4403" w:type="dxa"/>
          </w:tcPr>
          <w:p w14:paraId="6BA7158E" w14:textId="46510260" w:rsidR="005D6955" w:rsidRPr="004859C8" w:rsidRDefault="005D6955" w:rsidP="005D6955">
            <w:pPr>
              <w:pStyle w:val="TMGTableText"/>
            </w:pPr>
            <w:r w:rsidRPr="00D96273">
              <w:rPr>
                <w:rFonts w:eastAsiaTheme="minorEastAsia"/>
              </w:rPr>
              <w:t xml:space="preserve">Station </w:t>
            </w:r>
            <w:r>
              <w:rPr>
                <w:rFonts w:eastAsiaTheme="minorEastAsia"/>
              </w:rPr>
              <w:t>L</w:t>
            </w:r>
            <w:r w:rsidRPr="00D96273">
              <w:rPr>
                <w:rFonts w:eastAsiaTheme="minorEastAsia"/>
              </w:rPr>
              <w:t>ocation</w:t>
            </w:r>
            <w:r>
              <w:rPr>
                <w:rFonts w:eastAsiaTheme="minorEastAsia"/>
              </w:rPr>
              <w:t xml:space="preserve"> (STALOC)</w:t>
            </w:r>
          </w:p>
        </w:tc>
        <w:tc>
          <w:tcPr>
            <w:tcW w:w="1309" w:type="dxa"/>
          </w:tcPr>
          <w:p w14:paraId="03F2CC18" w14:textId="2CD5022E" w:rsidR="005D6955" w:rsidRPr="004859C8" w:rsidRDefault="005D6955" w:rsidP="001123AA">
            <w:pPr>
              <w:pStyle w:val="TMGTableText"/>
              <w:jc w:val="center"/>
            </w:pPr>
            <w:r w:rsidRPr="00963803">
              <w:rPr>
                <w:rFonts w:eastAsiaTheme="minorEastAsia"/>
              </w:rPr>
              <w:t>Alphanumeric</w:t>
            </w:r>
          </w:p>
        </w:tc>
        <w:tc>
          <w:tcPr>
            <w:tcW w:w="1133" w:type="dxa"/>
          </w:tcPr>
          <w:p w14:paraId="148C7097" w14:textId="02C1685F" w:rsidR="005D6955" w:rsidRPr="00C251E9" w:rsidRDefault="005D6955" w:rsidP="001123AA">
            <w:pPr>
              <w:pStyle w:val="TMGTableText"/>
              <w:jc w:val="center"/>
            </w:pPr>
            <w:r w:rsidRPr="00D96273">
              <w:rPr>
                <w:rFonts w:eastAsiaTheme="minorEastAsia"/>
              </w:rPr>
              <w:t>O</w:t>
            </w:r>
            <w:r>
              <w:rPr>
                <w:rFonts w:eastAsiaTheme="minorEastAsia"/>
              </w:rPr>
              <w:t>ptional</w:t>
            </w:r>
          </w:p>
        </w:tc>
      </w:tr>
      <w:tr w:rsidR="005D6955" w14:paraId="7550223B" w14:textId="77777777" w:rsidTr="005D6955">
        <w:trPr>
          <w:jc w:val="center"/>
        </w:trPr>
        <w:tc>
          <w:tcPr>
            <w:tcW w:w="625" w:type="dxa"/>
          </w:tcPr>
          <w:p w14:paraId="342F455A" w14:textId="647F76E2" w:rsidR="005D6955" w:rsidRPr="005D6955" w:rsidRDefault="005D6955" w:rsidP="005D6955">
            <w:pPr>
              <w:pStyle w:val="TMGTableText"/>
              <w:ind w:left="0" w:right="144"/>
              <w:jc w:val="right"/>
              <w:rPr>
                <w:rFonts w:eastAsiaTheme="minorEastAsia"/>
                <w:b/>
                <w:bCs/>
              </w:rPr>
            </w:pPr>
            <w:r w:rsidRPr="005D6955">
              <w:rPr>
                <w:rFonts w:eastAsiaTheme="minorEastAsia"/>
                <w:b/>
                <w:bCs/>
              </w:rPr>
              <w:t>29</w:t>
            </w:r>
          </w:p>
        </w:tc>
        <w:tc>
          <w:tcPr>
            <w:tcW w:w="1170" w:type="dxa"/>
          </w:tcPr>
          <w:p w14:paraId="14846404" w14:textId="09009DD0" w:rsidR="005D6955" w:rsidRPr="004859C8" w:rsidRDefault="005D6955" w:rsidP="005D6955">
            <w:pPr>
              <w:pStyle w:val="TMGTableText"/>
              <w:jc w:val="center"/>
            </w:pPr>
            <w:r w:rsidRPr="00D96273">
              <w:rPr>
                <w:rFonts w:eastAsiaTheme="minorEastAsia"/>
              </w:rPr>
              <w:t>1</w:t>
            </w:r>
            <w:r>
              <w:rPr>
                <w:rFonts w:eastAsiaTheme="minorEastAsia"/>
              </w:rPr>
              <w:t>25</w:t>
            </w:r>
            <w:r w:rsidRPr="00D96273">
              <w:rPr>
                <w:rFonts w:eastAsiaTheme="minorEastAsia"/>
              </w:rPr>
              <w:t>-</w:t>
            </w:r>
            <w:r>
              <w:rPr>
                <w:rFonts w:eastAsiaTheme="minorEastAsia"/>
              </w:rPr>
              <w:t>175</w:t>
            </w:r>
          </w:p>
        </w:tc>
        <w:tc>
          <w:tcPr>
            <w:tcW w:w="720" w:type="dxa"/>
          </w:tcPr>
          <w:p w14:paraId="35FDAA85" w14:textId="77B2E2A4" w:rsidR="005D6955" w:rsidRPr="004859C8" w:rsidRDefault="005D6955" w:rsidP="005D6955">
            <w:pPr>
              <w:pStyle w:val="TMGTableText"/>
              <w:jc w:val="center"/>
            </w:pPr>
            <w:r w:rsidRPr="00D96273">
              <w:rPr>
                <w:rFonts w:eastAsiaTheme="minorEastAsia"/>
              </w:rPr>
              <w:t>51</w:t>
            </w:r>
          </w:p>
        </w:tc>
        <w:tc>
          <w:tcPr>
            <w:tcW w:w="4403" w:type="dxa"/>
          </w:tcPr>
          <w:p w14:paraId="5F838B94" w14:textId="24ADA29E" w:rsidR="005D6955" w:rsidRPr="004859C8" w:rsidRDefault="005D6955" w:rsidP="005D6955">
            <w:pPr>
              <w:pStyle w:val="TMGTableText"/>
            </w:pPr>
            <w:r w:rsidRPr="00D96273">
              <w:rPr>
                <w:rFonts w:eastAsiaTheme="minorEastAsia"/>
              </w:rPr>
              <w:t>Other Notes</w:t>
            </w:r>
            <w:r>
              <w:rPr>
                <w:rFonts w:eastAsiaTheme="minorEastAsia"/>
              </w:rPr>
              <w:t xml:space="preserve"> (OTHER)</w:t>
            </w:r>
          </w:p>
        </w:tc>
        <w:tc>
          <w:tcPr>
            <w:tcW w:w="1309" w:type="dxa"/>
          </w:tcPr>
          <w:p w14:paraId="548E8FBF" w14:textId="344456C0" w:rsidR="005D6955" w:rsidRPr="004859C8" w:rsidRDefault="005D6955" w:rsidP="001123AA">
            <w:pPr>
              <w:pStyle w:val="TMGTableText"/>
              <w:jc w:val="center"/>
            </w:pPr>
            <w:r w:rsidRPr="00963803">
              <w:rPr>
                <w:rFonts w:eastAsiaTheme="minorEastAsia"/>
              </w:rPr>
              <w:t>Alphanumeric</w:t>
            </w:r>
          </w:p>
        </w:tc>
        <w:tc>
          <w:tcPr>
            <w:tcW w:w="1133" w:type="dxa"/>
          </w:tcPr>
          <w:p w14:paraId="7C2D6A33" w14:textId="3CC0C4F0" w:rsidR="005D6955" w:rsidRPr="00C251E9" w:rsidRDefault="005D6955" w:rsidP="001123AA">
            <w:pPr>
              <w:pStyle w:val="TMGTableText"/>
              <w:jc w:val="center"/>
            </w:pPr>
            <w:r w:rsidRPr="00D96273">
              <w:rPr>
                <w:rFonts w:eastAsiaTheme="minorEastAsia"/>
              </w:rPr>
              <w:t>O</w:t>
            </w:r>
            <w:r>
              <w:rPr>
                <w:rFonts w:eastAsiaTheme="minorEastAsia"/>
              </w:rPr>
              <w:t>ptional</w:t>
            </w:r>
          </w:p>
        </w:tc>
      </w:tr>
    </w:tbl>
    <w:p w14:paraId="39CD7BD3" w14:textId="77777777" w:rsidR="009B7AED" w:rsidRDefault="009B7AED" w:rsidP="005D6955">
      <w:pPr>
        <w:pStyle w:val="Source"/>
        <w:spacing w:before="60" w:after="60"/>
        <w:ind w:left="547" w:hanging="547"/>
      </w:pPr>
      <w:r>
        <w:t>Note:</w:t>
      </w:r>
      <w:r>
        <w:tab/>
        <w:t xml:space="preserve">R=Required, O=Optional, R/O=Required/Optional, </w:t>
      </w:r>
    </w:p>
    <w:p w14:paraId="1B1415D0" w14:textId="77777777" w:rsidR="009B7AED" w:rsidRDefault="009B7AED" w:rsidP="005D6955">
      <w:pPr>
        <w:pStyle w:val="Source"/>
        <w:spacing w:before="60" w:after="60"/>
        <w:ind w:left="547" w:hanging="547"/>
      </w:pPr>
      <w:r>
        <w:tab/>
        <w:t xml:space="preserve">Fields designated as </w:t>
      </w:r>
      <w:r>
        <w:rPr>
          <w:rStyle w:val="Italic"/>
          <w:iCs/>
        </w:rPr>
        <w:t>Required</w:t>
      </w:r>
      <w:r>
        <w:t xml:space="preserve"> must be reported.</w:t>
      </w:r>
    </w:p>
    <w:p w14:paraId="6C957CF7" w14:textId="4DBD5EFF" w:rsidR="009B7AED" w:rsidRDefault="009B7AED" w:rsidP="005D6955">
      <w:pPr>
        <w:pStyle w:val="Source"/>
        <w:spacing w:before="60" w:after="60"/>
        <w:ind w:left="547" w:hanging="547"/>
      </w:pPr>
      <w:r>
        <w:tab/>
        <w:t xml:space="preserve">Fields designated as </w:t>
      </w:r>
      <w:r>
        <w:rPr>
          <w:rStyle w:val="Italic"/>
          <w:iCs/>
        </w:rPr>
        <w:t>Optional</w:t>
      </w:r>
      <w:r>
        <w:t xml:space="preserve"> are not required to be reported.</w:t>
      </w:r>
    </w:p>
    <w:p w14:paraId="3DE7F69C" w14:textId="06511A04" w:rsidR="009B7AED" w:rsidRDefault="009B7AED" w:rsidP="005D6955">
      <w:pPr>
        <w:pStyle w:val="Source"/>
        <w:spacing w:before="60" w:after="360"/>
        <w:ind w:left="547" w:hanging="547"/>
      </w:pPr>
      <w:r>
        <w:tab/>
        <w:t xml:space="preserve">Fields designated as </w:t>
      </w:r>
      <w:r>
        <w:rPr>
          <w:rStyle w:val="Italic"/>
          <w:iCs/>
        </w:rPr>
        <w:t>Required/Optional</w:t>
      </w:r>
      <w:r>
        <w:t xml:space="preserve"> could be either required or optional based on values used for other related fields.</w:t>
      </w:r>
    </w:p>
    <w:p w14:paraId="06EC8149" w14:textId="39D321AE" w:rsidR="009B7AED" w:rsidRPr="00D96273" w:rsidRDefault="009B7AED" w:rsidP="00A35EAF">
      <w:pPr>
        <w:pStyle w:val="BodyText"/>
      </w:pPr>
      <w:r w:rsidRPr="00D96273">
        <w:t>The fields for the</w:t>
      </w:r>
      <w:r>
        <w:t xml:space="preserve"> Micromobility Count</w:t>
      </w:r>
      <w:r w:rsidRPr="00D96273">
        <w:t xml:space="preserve"> Station Description record are</w:t>
      </w:r>
      <w:r>
        <w:t xml:space="preserve"> </w:t>
      </w:r>
      <w:r w:rsidRPr="00D514A0">
        <w:t xml:space="preserve">(note that the data items used in both the </w:t>
      </w:r>
      <w:r>
        <w:t>Micromobility Count</w:t>
      </w:r>
      <w:r w:rsidRPr="00D96273">
        <w:t xml:space="preserve"> Station Description</w:t>
      </w:r>
      <w:r w:rsidRPr="00D514A0">
        <w:t xml:space="preserve"> </w:t>
      </w:r>
      <w:r>
        <w:t>r</w:t>
      </w:r>
      <w:r w:rsidRPr="00D514A0">
        <w:t xml:space="preserve">ecord and the Station Description </w:t>
      </w:r>
      <w:r>
        <w:t>r</w:t>
      </w:r>
      <w:r w:rsidRPr="00D514A0">
        <w:t>ecord are not redefined below, but simply referenced to the earlier definitions in Section 4.2</w:t>
      </w:r>
      <w:r>
        <w:t>:</w:t>
      </w:r>
    </w:p>
    <w:p w14:paraId="3A28935A" w14:textId="784B0559" w:rsidR="009B7AED" w:rsidRPr="00D96273" w:rsidRDefault="009B7AED">
      <w:pPr>
        <w:numPr>
          <w:ilvl w:val="0"/>
          <w:numId w:val="50"/>
        </w:numPr>
        <w:spacing w:after="120"/>
        <w:ind w:left="648"/>
      </w:pPr>
      <w:r>
        <w:t xml:space="preserve">Micromobility </w:t>
      </w:r>
      <w:r w:rsidRPr="00D96273">
        <w:t xml:space="preserve">station/location record type (Column 1) – </w:t>
      </w:r>
      <w:r>
        <w:rPr>
          <w:i/>
          <w:iCs/>
        </w:rPr>
        <w:t>Required</w:t>
      </w:r>
    </w:p>
    <w:p w14:paraId="41A9C8A0" w14:textId="125C489B" w:rsidR="009B7AED" w:rsidRPr="00D96273" w:rsidRDefault="009B7AED" w:rsidP="00C91F91">
      <w:pPr>
        <w:tabs>
          <w:tab w:val="left" w:pos="1440"/>
        </w:tabs>
        <w:spacing w:before="80" w:after="120"/>
        <w:ind w:left="648"/>
        <w:jc w:val="left"/>
      </w:pPr>
      <w:r>
        <w:t>L = Micromobility Count</w:t>
      </w:r>
      <w:r w:rsidRPr="00D96273">
        <w:t xml:space="preserve"> Station Description</w:t>
      </w:r>
      <w:r w:rsidRPr="00D514A0">
        <w:t xml:space="preserve"> </w:t>
      </w:r>
      <w:r>
        <w:t>record (Code the value “L” in the first column.)</w:t>
      </w:r>
      <w:r w:rsidRPr="00D96273" w:rsidDel="005C26D7">
        <w:t xml:space="preserve"> </w:t>
      </w:r>
    </w:p>
    <w:p w14:paraId="29826F4E" w14:textId="53E21A4C" w:rsidR="009B7AED" w:rsidRPr="00D96273" w:rsidRDefault="009B7AED">
      <w:pPr>
        <w:numPr>
          <w:ilvl w:val="0"/>
          <w:numId w:val="50"/>
        </w:numPr>
        <w:spacing w:after="120"/>
        <w:ind w:left="648"/>
        <w:jc w:val="left"/>
      </w:pPr>
      <w:r w:rsidRPr="00D96273">
        <w:t xml:space="preserve">State FIPS Code (Columns 2-3) </w:t>
      </w:r>
      <w:r>
        <w:t xml:space="preserve">– See </w:t>
      </w:r>
      <w:r w:rsidR="00530921">
        <w:t>S</w:t>
      </w:r>
      <w:r>
        <w:t xml:space="preserve">ection 4.2, Field #2. – </w:t>
      </w:r>
      <w:r>
        <w:rPr>
          <w:rStyle w:val="bolditalic"/>
        </w:rPr>
        <w:t>Required</w:t>
      </w:r>
    </w:p>
    <w:p w14:paraId="0BF4BA43" w14:textId="3A6AEF31" w:rsidR="009B7AED" w:rsidRPr="00D96273" w:rsidRDefault="009B7AED">
      <w:pPr>
        <w:numPr>
          <w:ilvl w:val="0"/>
          <w:numId w:val="50"/>
        </w:numPr>
        <w:spacing w:after="120"/>
        <w:ind w:left="648"/>
        <w:jc w:val="left"/>
      </w:pPr>
      <w:r w:rsidRPr="00D96273">
        <w:t xml:space="preserve">County FIPS Code (Columns 4-6) – </w:t>
      </w:r>
      <w:r>
        <w:t xml:space="preserve">See </w:t>
      </w:r>
      <w:r w:rsidR="00530921">
        <w:t>S</w:t>
      </w:r>
      <w:r>
        <w:t xml:space="preserve">ection 4.2, Field #18. – </w:t>
      </w:r>
      <w:r>
        <w:rPr>
          <w:i/>
          <w:iCs/>
        </w:rPr>
        <w:t>Required</w:t>
      </w:r>
    </w:p>
    <w:p w14:paraId="469A5549" w14:textId="1382C9BC" w:rsidR="009B7AED" w:rsidRPr="00D96273" w:rsidRDefault="00561667">
      <w:pPr>
        <w:numPr>
          <w:ilvl w:val="0"/>
          <w:numId w:val="50"/>
        </w:numPr>
        <w:spacing w:after="120"/>
        <w:ind w:left="648"/>
        <w:jc w:val="left"/>
      </w:pPr>
      <w:r>
        <w:rPr>
          <w:noProof/>
        </w:rPr>
        <mc:AlternateContent>
          <mc:Choice Requires="wps">
            <w:drawing>
              <wp:anchor distT="45720" distB="45720" distL="114300" distR="114300" simplePos="0" relativeHeight="251731968" behindDoc="0" locked="0" layoutInCell="1" allowOverlap="1" wp14:anchorId="1D9503D2" wp14:editId="76DAD904">
                <wp:simplePos x="0" y="0"/>
                <wp:positionH relativeFrom="margin">
                  <wp:posOffset>2581910</wp:posOffset>
                </wp:positionH>
                <wp:positionV relativeFrom="paragraph">
                  <wp:posOffset>47202</wp:posOffset>
                </wp:positionV>
                <wp:extent cx="3411220" cy="2141855"/>
                <wp:effectExtent l="0" t="0" r="0" b="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1220" cy="2141855"/>
                        </a:xfrm>
                        <a:prstGeom prst="rect">
                          <a:avLst/>
                        </a:prstGeom>
                        <a:solidFill>
                          <a:srgbClr val="FFFFFF"/>
                        </a:solidFill>
                        <a:ln w="9525">
                          <a:noFill/>
                          <a:miter lim="800000"/>
                          <a:headEnd/>
                          <a:tailEnd/>
                        </a:ln>
                      </wps:spPr>
                      <wps:txbx>
                        <w:txbxContent>
                          <w:p w14:paraId="64B5EE15" w14:textId="794D5585" w:rsidR="00561667" w:rsidRDefault="00561667" w:rsidP="00561667">
                            <w:pPr>
                              <w:pStyle w:val="TMGTableCaption"/>
                              <w:spacing w:before="0"/>
                            </w:pPr>
                            <w:bookmarkStart w:id="3258" w:name="_Ref113280337"/>
                            <w:bookmarkStart w:id="3259" w:name="_Toc109333466"/>
                            <w:bookmarkStart w:id="3260" w:name="_Toc109333794"/>
                            <w:bookmarkStart w:id="3261" w:name="_Toc113282541"/>
                            <w:bookmarkStart w:id="3262" w:name="_Toc114474878"/>
                            <w:bookmarkStart w:id="3263" w:name="_Toc120631184"/>
                            <w:r w:rsidRPr="00521214">
                              <w:t xml:space="preserve">Table </w:t>
                            </w:r>
                            <w:fldSimple w:instr=" STYLEREF 1 \s ">
                              <w:r w:rsidR="00FC0E95">
                                <w:rPr>
                                  <w:noProof/>
                                </w:rPr>
                                <w:t>4</w:t>
                              </w:r>
                            </w:fldSimple>
                            <w:r>
                              <w:noBreakHyphen/>
                            </w:r>
                            <w:fldSimple w:instr=" SEQ Table \* ARABIC \s 1 ">
                              <w:r w:rsidR="00FC0E95">
                                <w:rPr>
                                  <w:noProof/>
                                </w:rPr>
                                <w:t>36</w:t>
                              </w:r>
                            </w:fldSimple>
                            <w:bookmarkEnd w:id="3258"/>
                            <w:r>
                              <w:t xml:space="preserve">. </w:t>
                            </w:r>
                            <w:r w:rsidRPr="00521214">
                              <w:t>Classification Codes</w:t>
                            </w:r>
                            <w:bookmarkEnd w:id="3259"/>
                            <w:bookmarkEnd w:id="3260"/>
                            <w:bookmarkEnd w:id="3261"/>
                            <w:bookmarkEnd w:id="3262"/>
                            <w:bookmarkEnd w:id="3263"/>
                          </w:p>
                          <w:tbl>
                            <w:tblPr>
                              <w:tblStyle w:val="TableGrid"/>
                              <w:tblW w:w="5305" w:type="dxa"/>
                              <w:tblCellMar>
                                <w:left w:w="86" w:type="dxa"/>
                                <w:right w:w="86" w:type="dxa"/>
                              </w:tblCellMar>
                              <w:tblLook w:val="04A0" w:firstRow="1" w:lastRow="0" w:firstColumn="1" w:lastColumn="0" w:noHBand="0" w:noVBand="1"/>
                            </w:tblPr>
                            <w:tblGrid>
                              <w:gridCol w:w="715"/>
                              <w:gridCol w:w="4590"/>
                            </w:tblGrid>
                            <w:tr w:rsidR="00561667" w14:paraId="28367F6F" w14:textId="77777777" w:rsidTr="009447E9">
                              <w:tc>
                                <w:tcPr>
                                  <w:tcW w:w="715" w:type="dxa"/>
                                  <w:tcBorders>
                                    <w:right w:val="single" w:sz="4" w:space="0" w:color="FFFFFF" w:themeColor="background1"/>
                                  </w:tcBorders>
                                  <w:shd w:val="clear" w:color="auto" w:fill="1F3864"/>
                                </w:tcPr>
                                <w:p w14:paraId="327B8D39" w14:textId="77777777" w:rsidR="00561667" w:rsidRDefault="00561667" w:rsidP="00561667">
                                  <w:pPr>
                                    <w:pStyle w:val="TMGTableTextHeader"/>
                                  </w:pPr>
                                  <w:r w:rsidRPr="00521214">
                                    <w:rPr>
                                      <w:rFonts w:eastAsiaTheme="minorEastAsia"/>
                                    </w:rPr>
                                    <w:t>Code</w:t>
                                  </w:r>
                                </w:p>
                              </w:tc>
                              <w:tc>
                                <w:tcPr>
                                  <w:tcW w:w="4590" w:type="dxa"/>
                                  <w:tcBorders>
                                    <w:left w:val="single" w:sz="4" w:space="0" w:color="FFFFFF" w:themeColor="background1"/>
                                  </w:tcBorders>
                                  <w:shd w:val="clear" w:color="auto" w:fill="1F3864"/>
                                </w:tcPr>
                                <w:p w14:paraId="48E58545" w14:textId="77777777" w:rsidR="00561667" w:rsidRDefault="00561667" w:rsidP="00561667">
                                  <w:pPr>
                                    <w:pStyle w:val="TMGTableTextHeader"/>
                                  </w:pPr>
                                  <w:r w:rsidRPr="00521214">
                                    <w:rPr>
                                      <w:rFonts w:eastAsiaTheme="minorEastAsia"/>
                                    </w:rPr>
                                    <w:t>Classification</w:t>
                                  </w:r>
                                </w:p>
                              </w:tc>
                            </w:tr>
                            <w:tr w:rsidR="00561667" w14:paraId="3A1CAE71" w14:textId="77777777" w:rsidTr="009447E9">
                              <w:tc>
                                <w:tcPr>
                                  <w:tcW w:w="715" w:type="dxa"/>
                                </w:tcPr>
                                <w:p w14:paraId="4DC39738" w14:textId="77777777" w:rsidR="00561667" w:rsidRPr="00561667" w:rsidRDefault="00561667" w:rsidP="00561667">
                                  <w:pPr>
                                    <w:pStyle w:val="TMGTableText"/>
                                    <w:jc w:val="center"/>
                                    <w:rPr>
                                      <w:b/>
                                      <w:bCs/>
                                    </w:rPr>
                                  </w:pPr>
                                  <w:r w:rsidRPr="00561667">
                                    <w:rPr>
                                      <w:rFonts w:eastAsiaTheme="minorEastAsia"/>
                                      <w:b/>
                                      <w:bCs/>
                                    </w:rPr>
                                    <w:t>1</w:t>
                                  </w:r>
                                </w:p>
                              </w:tc>
                              <w:tc>
                                <w:tcPr>
                                  <w:tcW w:w="4590" w:type="dxa"/>
                                </w:tcPr>
                                <w:p w14:paraId="638D2DA3" w14:textId="77777777" w:rsidR="00561667" w:rsidRPr="00C251E9" w:rsidRDefault="00561667" w:rsidP="00561667">
                                  <w:pPr>
                                    <w:pStyle w:val="TMGTableText"/>
                                  </w:pPr>
                                  <w:r w:rsidRPr="00521214">
                                    <w:rPr>
                                      <w:rFonts w:eastAsiaTheme="minorEastAsia"/>
                                    </w:rPr>
                                    <w:t>Interstate</w:t>
                                  </w:r>
                                </w:p>
                              </w:tc>
                            </w:tr>
                            <w:tr w:rsidR="00561667" w14:paraId="628D72E1" w14:textId="77777777" w:rsidTr="009447E9">
                              <w:tc>
                                <w:tcPr>
                                  <w:tcW w:w="715" w:type="dxa"/>
                                </w:tcPr>
                                <w:p w14:paraId="795CF1ED" w14:textId="77777777" w:rsidR="00561667" w:rsidRPr="00561667" w:rsidRDefault="00561667" w:rsidP="00561667">
                                  <w:pPr>
                                    <w:pStyle w:val="TMGTableText"/>
                                    <w:jc w:val="center"/>
                                    <w:rPr>
                                      <w:b/>
                                      <w:bCs/>
                                    </w:rPr>
                                  </w:pPr>
                                  <w:r w:rsidRPr="00561667">
                                    <w:rPr>
                                      <w:rFonts w:eastAsiaTheme="minorEastAsia"/>
                                      <w:b/>
                                      <w:bCs/>
                                    </w:rPr>
                                    <w:t>2</w:t>
                                  </w:r>
                                </w:p>
                              </w:tc>
                              <w:tc>
                                <w:tcPr>
                                  <w:tcW w:w="4590" w:type="dxa"/>
                                </w:tcPr>
                                <w:p w14:paraId="7DB9F8DF" w14:textId="77777777" w:rsidR="00561667" w:rsidRPr="00C251E9" w:rsidRDefault="00561667" w:rsidP="00561667">
                                  <w:pPr>
                                    <w:pStyle w:val="TMGTableText"/>
                                  </w:pPr>
                                  <w:r w:rsidRPr="00521214">
                                    <w:rPr>
                                      <w:rFonts w:eastAsiaTheme="minorEastAsia"/>
                                    </w:rPr>
                                    <w:t>Principal Arterial – Other Freeways and Expressways</w:t>
                                  </w:r>
                                </w:p>
                              </w:tc>
                            </w:tr>
                            <w:tr w:rsidR="00561667" w14:paraId="2B12E15D" w14:textId="77777777" w:rsidTr="009447E9">
                              <w:tc>
                                <w:tcPr>
                                  <w:tcW w:w="715" w:type="dxa"/>
                                </w:tcPr>
                                <w:p w14:paraId="677D02EB" w14:textId="77777777" w:rsidR="00561667" w:rsidRPr="00561667" w:rsidRDefault="00561667" w:rsidP="00561667">
                                  <w:pPr>
                                    <w:pStyle w:val="TMGTableText"/>
                                    <w:jc w:val="center"/>
                                    <w:rPr>
                                      <w:b/>
                                      <w:bCs/>
                                    </w:rPr>
                                  </w:pPr>
                                  <w:r w:rsidRPr="00561667">
                                    <w:rPr>
                                      <w:rFonts w:eastAsiaTheme="minorEastAsia"/>
                                      <w:b/>
                                      <w:bCs/>
                                    </w:rPr>
                                    <w:t>3</w:t>
                                  </w:r>
                                </w:p>
                              </w:tc>
                              <w:tc>
                                <w:tcPr>
                                  <w:tcW w:w="4590" w:type="dxa"/>
                                </w:tcPr>
                                <w:p w14:paraId="41E5E1C4" w14:textId="77777777" w:rsidR="00561667" w:rsidRPr="00C251E9" w:rsidRDefault="00561667" w:rsidP="00561667">
                                  <w:pPr>
                                    <w:pStyle w:val="TMGTableText"/>
                                  </w:pPr>
                                  <w:r w:rsidRPr="00521214">
                                    <w:rPr>
                                      <w:rFonts w:eastAsiaTheme="minorEastAsia"/>
                                    </w:rPr>
                                    <w:t>Principal Arterial – Other</w:t>
                                  </w:r>
                                </w:p>
                              </w:tc>
                            </w:tr>
                            <w:tr w:rsidR="00561667" w14:paraId="3E8F29DA" w14:textId="77777777" w:rsidTr="009447E9">
                              <w:tc>
                                <w:tcPr>
                                  <w:tcW w:w="715" w:type="dxa"/>
                                </w:tcPr>
                                <w:p w14:paraId="0E5C795D" w14:textId="77777777" w:rsidR="00561667" w:rsidRPr="00561667" w:rsidRDefault="00561667" w:rsidP="00561667">
                                  <w:pPr>
                                    <w:pStyle w:val="TMGTableText"/>
                                    <w:jc w:val="center"/>
                                    <w:rPr>
                                      <w:b/>
                                      <w:bCs/>
                                    </w:rPr>
                                  </w:pPr>
                                  <w:r w:rsidRPr="00561667">
                                    <w:rPr>
                                      <w:rFonts w:eastAsiaTheme="minorEastAsia"/>
                                      <w:b/>
                                      <w:bCs/>
                                    </w:rPr>
                                    <w:t>4</w:t>
                                  </w:r>
                                </w:p>
                              </w:tc>
                              <w:tc>
                                <w:tcPr>
                                  <w:tcW w:w="4590" w:type="dxa"/>
                                </w:tcPr>
                                <w:p w14:paraId="0CA8B0B1" w14:textId="77777777" w:rsidR="00561667" w:rsidRPr="00C251E9" w:rsidRDefault="00561667" w:rsidP="00561667">
                                  <w:pPr>
                                    <w:pStyle w:val="TMGTableText"/>
                                  </w:pPr>
                                  <w:r w:rsidRPr="00521214">
                                    <w:rPr>
                                      <w:rFonts w:eastAsiaTheme="minorEastAsia"/>
                                    </w:rPr>
                                    <w:t>Minor Arterial</w:t>
                                  </w:r>
                                </w:p>
                              </w:tc>
                            </w:tr>
                            <w:tr w:rsidR="00561667" w14:paraId="2DEDD4B1" w14:textId="77777777" w:rsidTr="009447E9">
                              <w:tc>
                                <w:tcPr>
                                  <w:tcW w:w="715" w:type="dxa"/>
                                </w:tcPr>
                                <w:p w14:paraId="154568D7" w14:textId="77777777" w:rsidR="00561667" w:rsidRPr="00561667" w:rsidRDefault="00561667" w:rsidP="00561667">
                                  <w:pPr>
                                    <w:pStyle w:val="TMGTableText"/>
                                    <w:jc w:val="center"/>
                                    <w:rPr>
                                      <w:b/>
                                      <w:bCs/>
                                    </w:rPr>
                                  </w:pPr>
                                  <w:r w:rsidRPr="00561667">
                                    <w:rPr>
                                      <w:rFonts w:eastAsiaTheme="minorEastAsia"/>
                                      <w:b/>
                                      <w:bCs/>
                                    </w:rPr>
                                    <w:t>5</w:t>
                                  </w:r>
                                </w:p>
                              </w:tc>
                              <w:tc>
                                <w:tcPr>
                                  <w:tcW w:w="4590" w:type="dxa"/>
                                </w:tcPr>
                                <w:p w14:paraId="22D3AF03" w14:textId="77777777" w:rsidR="00561667" w:rsidRPr="00C251E9" w:rsidRDefault="00561667" w:rsidP="00561667">
                                  <w:pPr>
                                    <w:pStyle w:val="TMGTableText"/>
                                  </w:pPr>
                                  <w:r w:rsidRPr="00521214">
                                    <w:rPr>
                                      <w:rFonts w:eastAsiaTheme="minorEastAsia"/>
                                    </w:rPr>
                                    <w:t>Major Collector</w:t>
                                  </w:r>
                                </w:p>
                              </w:tc>
                            </w:tr>
                            <w:tr w:rsidR="00561667" w14:paraId="5D378CD5" w14:textId="77777777" w:rsidTr="009447E9">
                              <w:tc>
                                <w:tcPr>
                                  <w:tcW w:w="715" w:type="dxa"/>
                                </w:tcPr>
                                <w:p w14:paraId="18055289" w14:textId="77777777" w:rsidR="00561667" w:rsidRPr="00561667" w:rsidRDefault="00561667" w:rsidP="00561667">
                                  <w:pPr>
                                    <w:pStyle w:val="TMGTableText"/>
                                    <w:jc w:val="center"/>
                                    <w:rPr>
                                      <w:b/>
                                      <w:bCs/>
                                    </w:rPr>
                                  </w:pPr>
                                  <w:r w:rsidRPr="00561667">
                                    <w:rPr>
                                      <w:rFonts w:eastAsiaTheme="minorEastAsia"/>
                                      <w:b/>
                                      <w:bCs/>
                                    </w:rPr>
                                    <w:t>6</w:t>
                                  </w:r>
                                </w:p>
                              </w:tc>
                              <w:tc>
                                <w:tcPr>
                                  <w:tcW w:w="4590" w:type="dxa"/>
                                </w:tcPr>
                                <w:p w14:paraId="1F3C0925" w14:textId="77777777" w:rsidR="00561667" w:rsidRPr="00C251E9" w:rsidRDefault="00561667" w:rsidP="00561667">
                                  <w:pPr>
                                    <w:pStyle w:val="TMGTableText"/>
                                  </w:pPr>
                                  <w:r w:rsidRPr="00521214">
                                    <w:rPr>
                                      <w:rFonts w:eastAsiaTheme="minorEastAsia"/>
                                    </w:rPr>
                                    <w:t>Minor Collector</w:t>
                                  </w:r>
                                </w:p>
                              </w:tc>
                            </w:tr>
                            <w:tr w:rsidR="00561667" w14:paraId="4E7CAF52" w14:textId="77777777" w:rsidTr="009447E9">
                              <w:tc>
                                <w:tcPr>
                                  <w:tcW w:w="715" w:type="dxa"/>
                                </w:tcPr>
                                <w:p w14:paraId="3722B0A7" w14:textId="77777777" w:rsidR="00561667" w:rsidRPr="00561667" w:rsidRDefault="00561667" w:rsidP="00561667">
                                  <w:pPr>
                                    <w:pStyle w:val="TMGTableText"/>
                                    <w:jc w:val="center"/>
                                    <w:rPr>
                                      <w:b/>
                                      <w:bCs/>
                                    </w:rPr>
                                  </w:pPr>
                                  <w:r w:rsidRPr="00561667">
                                    <w:rPr>
                                      <w:rFonts w:eastAsiaTheme="minorEastAsia"/>
                                      <w:b/>
                                      <w:bCs/>
                                    </w:rPr>
                                    <w:t>7</w:t>
                                  </w:r>
                                </w:p>
                              </w:tc>
                              <w:tc>
                                <w:tcPr>
                                  <w:tcW w:w="4590" w:type="dxa"/>
                                </w:tcPr>
                                <w:p w14:paraId="48DFD860" w14:textId="77777777" w:rsidR="00561667" w:rsidRPr="00C251E9" w:rsidRDefault="00561667" w:rsidP="00561667">
                                  <w:pPr>
                                    <w:pStyle w:val="TMGTableText"/>
                                  </w:pPr>
                                  <w:r w:rsidRPr="00521214">
                                    <w:rPr>
                                      <w:rFonts w:eastAsiaTheme="minorEastAsia"/>
                                    </w:rPr>
                                    <w:t>Local</w:t>
                                  </w:r>
                                </w:p>
                              </w:tc>
                            </w:tr>
                            <w:tr w:rsidR="00561667" w14:paraId="652A2C93" w14:textId="77777777" w:rsidTr="009447E9">
                              <w:tc>
                                <w:tcPr>
                                  <w:tcW w:w="715" w:type="dxa"/>
                                </w:tcPr>
                                <w:p w14:paraId="205EAB77" w14:textId="77777777" w:rsidR="00561667" w:rsidRPr="00561667" w:rsidRDefault="00561667" w:rsidP="00561667">
                                  <w:pPr>
                                    <w:pStyle w:val="TMGTableText"/>
                                    <w:jc w:val="center"/>
                                    <w:rPr>
                                      <w:b/>
                                      <w:bCs/>
                                    </w:rPr>
                                  </w:pPr>
                                  <w:r w:rsidRPr="00561667">
                                    <w:rPr>
                                      <w:rFonts w:eastAsiaTheme="minorEastAsia"/>
                                      <w:b/>
                                      <w:bCs/>
                                    </w:rPr>
                                    <w:t>8</w:t>
                                  </w:r>
                                </w:p>
                              </w:tc>
                              <w:tc>
                                <w:tcPr>
                                  <w:tcW w:w="4590" w:type="dxa"/>
                                </w:tcPr>
                                <w:p w14:paraId="6AE4C36D" w14:textId="77777777" w:rsidR="00561667" w:rsidRPr="00C251E9" w:rsidRDefault="00561667" w:rsidP="00561667">
                                  <w:pPr>
                                    <w:pStyle w:val="TMGTableText"/>
                                  </w:pPr>
                                  <w:r w:rsidRPr="00521214">
                                    <w:rPr>
                                      <w:rFonts w:eastAsiaTheme="minorEastAsia"/>
                                    </w:rPr>
                                    <w:t>Trail or Shared</w:t>
                                  </w:r>
                                  <w:r>
                                    <w:rPr>
                                      <w:rFonts w:eastAsiaTheme="minorEastAsia"/>
                                    </w:rPr>
                                    <w:t>-</w:t>
                                  </w:r>
                                  <w:r w:rsidRPr="00521214">
                                    <w:rPr>
                                      <w:rFonts w:eastAsiaTheme="minorEastAsia"/>
                                    </w:rPr>
                                    <w:t>Use Path (independent alignment)</w:t>
                                  </w:r>
                                </w:p>
                              </w:tc>
                            </w:tr>
                            <w:tr w:rsidR="00561667" w14:paraId="421252FF" w14:textId="77777777" w:rsidTr="009447E9">
                              <w:tc>
                                <w:tcPr>
                                  <w:tcW w:w="715" w:type="dxa"/>
                                </w:tcPr>
                                <w:p w14:paraId="1DFCE689" w14:textId="77777777" w:rsidR="00561667" w:rsidRPr="00561667" w:rsidRDefault="00561667" w:rsidP="00561667">
                                  <w:pPr>
                                    <w:pStyle w:val="TMGTableText"/>
                                    <w:jc w:val="center"/>
                                    <w:rPr>
                                      <w:b/>
                                      <w:bCs/>
                                    </w:rPr>
                                  </w:pPr>
                                  <w:r w:rsidRPr="00561667">
                                    <w:rPr>
                                      <w:rFonts w:eastAsiaTheme="minorEastAsia"/>
                                      <w:b/>
                                      <w:bCs/>
                                    </w:rPr>
                                    <w:t>9</w:t>
                                  </w:r>
                                </w:p>
                              </w:tc>
                              <w:tc>
                                <w:tcPr>
                                  <w:tcW w:w="4590" w:type="dxa"/>
                                </w:tcPr>
                                <w:p w14:paraId="0A24D52A" w14:textId="77777777" w:rsidR="00561667" w:rsidRPr="00C251E9" w:rsidRDefault="00561667" w:rsidP="00561667">
                                  <w:pPr>
                                    <w:pStyle w:val="TMGTableText"/>
                                  </w:pPr>
                                  <w:r w:rsidRPr="00521214">
                                    <w:rPr>
                                      <w:rFonts w:eastAsiaTheme="minorEastAsia"/>
                                    </w:rPr>
                                    <w:t>Other Facility Type</w:t>
                                  </w:r>
                                </w:p>
                              </w:tc>
                            </w:tr>
                          </w:tbl>
                          <w:p w14:paraId="6FD0F54A" w14:textId="77777777" w:rsidR="00561667" w:rsidRDefault="00561667" w:rsidP="00561667"/>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D9503D2" id="_x0000_s1123" type="#_x0000_t202" style="position:absolute;left:0;text-align:left;margin-left:203.3pt;margin-top:3.7pt;width:268.6pt;height:168.65pt;z-index:251731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" stroked="f">
                <v:textbox inset="0,0,0,0">
                  <w:txbxContent>
                    <w:p w14:paraId="64B5EE15" w14:textId="794D5585" w:rsidR="00561667" w:rsidRDefault="00561667" w:rsidP="00561667">
                      <w:pPr>
                        <w:pStyle w:val="TMGTableCaption"/>
                        <w:spacing w:before="0"/>
                      </w:pPr>
                      <w:bookmarkStart w:id="3264" w:name="_Ref113280337"/>
                      <w:bookmarkStart w:id="3265" w:name="_Toc109333466"/>
                      <w:bookmarkStart w:id="3266" w:name="_Toc109333794"/>
                      <w:bookmarkStart w:id="3267" w:name="_Toc113282541"/>
                      <w:bookmarkStart w:id="3268" w:name="_Toc114474878"/>
                      <w:bookmarkStart w:id="3269" w:name="_Toc120631184"/>
                      <w:r w:rsidRPr="00521214">
                        <w:t xml:space="preserve">Table </w:t>
                      </w:r>
                      <w:fldSimple w:instr=" STYLEREF 1 \s ">
                        <w:r w:rsidR="00FC0E95">
                          <w:rPr>
                            <w:noProof/>
                          </w:rPr>
                          <w:t>4</w:t>
                        </w:r>
                      </w:fldSimple>
                      <w:r>
                        <w:noBreakHyphen/>
                      </w:r>
                      <w:fldSimple w:instr=" SEQ Table \* ARABIC \s 1 ">
                        <w:r w:rsidR="00FC0E95">
                          <w:rPr>
                            <w:noProof/>
                          </w:rPr>
                          <w:t>36</w:t>
                        </w:r>
                      </w:fldSimple>
                      <w:bookmarkEnd w:id="3264"/>
                      <w:r>
                        <w:t xml:space="preserve">. </w:t>
                      </w:r>
                      <w:r w:rsidRPr="00521214">
                        <w:t>Classification Codes</w:t>
                      </w:r>
                      <w:bookmarkEnd w:id="3265"/>
                      <w:bookmarkEnd w:id="3266"/>
                      <w:bookmarkEnd w:id="3267"/>
                      <w:bookmarkEnd w:id="3268"/>
                      <w:bookmarkEnd w:id="3269"/>
                    </w:p>
                    <w:tbl>
                      <w:tblPr>
                        <w:tblStyle w:val="TableGrid"/>
                        <w:tblW w:w="5305" w:type="dxa"/>
                        <w:tblCellMar>
                          <w:left w:w="86" w:type="dxa"/>
                          <w:right w:w="86" w:type="dxa"/>
                        </w:tblCellMar>
                        <w:tblLook w:val="04A0" w:firstRow="1" w:lastRow="0" w:firstColumn="1" w:lastColumn="0" w:noHBand="0" w:noVBand="1"/>
                      </w:tblPr>
                      <w:tblGrid>
                        <w:gridCol w:w="715"/>
                        <w:gridCol w:w="4590"/>
                      </w:tblGrid>
                      <w:tr w:rsidR="00561667" w14:paraId="28367F6F" w14:textId="77777777" w:rsidTr="009447E9">
                        <w:tc>
                          <w:tcPr>
                            <w:tcW w:w="715" w:type="dxa"/>
                            <w:tcBorders>
                              <w:right w:val="single" w:sz="4" w:space="0" w:color="FFFFFF" w:themeColor="background1"/>
                            </w:tcBorders>
                            <w:shd w:val="clear" w:color="auto" w:fill="1F3864"/>
                          </w:tcPr>
                          <w:p w14:paraId="327B8D39" w14:textId="77777777" w:rsidR="00561667" w:rsidRDefault="00561667" w:rsidP="00561667">
                            <w:pPr>
                              <w:pStyle w:val="TMGTableTextHeader"/>
                            </w:pPr>
                            <w:r w:rsidRPr="00521214">
                              <w:rPr>
                                <w:rFonts w:eastAsiaTheme="minorEastAsia"/>
                              </w:rPr>
                              <w:t>Code</w:t>
                            </w:r>
                          </w:p>
                        </w:tc>
                        <w:tc>
                          <w:tcPr>
                            <w:tcW w:w="4590" w:type="dxa"/>
                            <w:tcBorders>
                              <w:left w:val="single" w:sz="4" w:space="0" w:color="FFFFFF" w:themeColor="background1"/>
                            </w:tcBorders>
                            <w:shd w:val="clear" w:color="auto" w:fill="1F3864"/>
                          </w:tcPr>
                          <w:p w14:paraId="48E58545" w14:textId="77777777" w:rsidR="00561667" w:rsidRDefault="00561667" w:rsidP="00561667">
                            <w:pPr>
                              <w:pStyle w:val="TMGTableTextHeader"/>
                            </w:pPr>
                            <w:r w:rsidRPr="00521214">
                              <w:rPr>
                                <w:rFonts w:eastAsiaTheme="minorEastAsia"/>
                              </w:rPr>
                              <w:t>Classification</w:t>
                            </w:r>
                          </w:p>
                        </w:tc>
                      </w:tr>
                      <w:tr w:rsidR="00561667" w14:paraId="3A1CAE71" w14:textId="77777777" w:rsidTr="009447E9">
                        <w:tc>
                          <w:tcPr>
                            <w:tcW w:w="715" w:type="dxa"/>
                          </w:tcPr>
                          <w:p w14:paraId="4DC39738" w14:textId="77777777" w:rsidR="00561667" w:rsidRPr="00561667" w:rsidRDefault="00561667" w:rsidP="00561667">
                            <w:pPr>
                              <w:pStyle w:val="TMGTableText"/>
                              <w:jc w:val="center"/>
                              <w:rPr>
                                <w:b/>
                                <w:bCs/>
                              </w:rPr>
                            </w:pPr>
                            <w:r w:rsidRPr="00561667">
                              <w:rPr>
                                <w:rFonts w:eastAsiaTheme="minorEastAsia"/>
                                <w:b/>
                                <w:bCs/>
                              </w:rPr>
                              <w:t>1</w:t>
                            </w:r>
                          </w:p>
                        </w:tc>
                        <w:tc>
                          <w:tcPr>
                            <w:tcW w:w="4590" w:type="dxa"/>
                          </w:tcPr>
                          <w:p w14:paraId="638D2DA3" w14:textId="77777777" w:rsidR="00561667" w:rsidRPr="00C251E9" w:rsidRDefault="00561667" w:rsidP="00561667">
                            <w:pPr>
                              <w:pStyle w:val="TMGTableText"/>
                            </w:pPr>
                            <w:r w:rsidRPr="00521214">
                              <w:rPr>
                                <w:rFonts w:eastAsiaTheme="minorEastAsia"/>
                              </w:rPr>
                              <w:t>Interstate</w:t>
                            </w:r>
                          </w:p>
                        </w:tc>
                      </w:tr>
                      <w:tr w:rsidR="00561667" w14:paraId="628D72E1" w14:textId="77777777" w:rsidTr="009447E9">
                        <w:tc>
                          <w:tcPr>
                            <w:tcW w:w="715" w:type="dxa"/>
                          </w:tcPr>
                          <w:p w14:paraId="795CF1ED" w14:textId="77777777" w:rsidR="00561667" w:rsidRPr="00561667" w:rsidRDefault="00561667" w:rsidP="00561667">
                            <w:pPr>
                              <w:pStyle w:val="TMGTableText"/>
                              <w:jc w:val="center"/>
                              <w:rPr>
                                <w:b/>
                                <w:bCs/>
                              </w:rPr>
                            </w:pPr>
                            <w:r w:rsidRPr="00561667">
                              <w:rPr>
                                <w:rFonts w:eastAsiaTheme="minorEastAsia"/>
                                <w:b/>
                                <w:bCs/>
                              </w:rPr>
                              <w:t>2</w:t>
                            </w:r>
                          </w:p>
                        </w:tc>
                        <w:tc>
                          <w:tcPr>
                            <w:tcW w:w="4590" w:type="dxa"/>
                          </w:tcPr>
                          <w:p w14:paraId="7DB9F8DF" w14:textId="77777777" w:rsidR="00561667" w:rsidRPr="00C251E9" w:rsidRDefault="00561667" w:rsidP="00561667">
                            <w:pPr>
                              <w:pStyle w:val="TMGTableText"/>
                            </w:pPr>
                            <w:r w:rsidRPr="00521214">
                              <w:rPr>
                                <w:rFonts w:eastAsiaTheme="minorEastAsia"/>
                              </w:rPr>
                              <w:t>Principal Arterial – Other Freeways and Expressways</w:t>
                            </w:r>
                          </w:p>
                        </w:tc>
                      </w:tr>
                      <w:tr w:rsidR="00561667" w14:paraId="2B12E15D" w14:textId="77777777" w:rsidTr="009447E9">
                        <w:tc>
                          <w:tcPr>
                            <w:tcW w:w="715" w:type="dxa"/>
                          </w:tcPr>
                          <w:p w14:paraId="677D02EB" w14:textId="77777777" w:rsidR="00561667" w:rsidRPr="00561667" w:rsidRDefault="00561667" w:rsidP="00561667">
                            <w:pPr>
                              <w:pStyle w:val="TMGTableText"/>
                              <w:jc w:val="center"/>
                              <w:rPr>
                                <w:b/>
                                <w:bCs/>
                              </w:rPr>
                            </w:pPr>
                            <w:r w:rsidRPr="00561667">
                              <w:rPr>
                                <w:rFonts w:eastAsiaTheme="minorEastAsia"/>
                                <w:b/>
                                <w:bCs/>
                              </w:rPr>
                              <w:t>3</w:t>
                            </w:r>
                          </w:p>
                        </w:tc>
                        <w:tc>
                          <w:tcPr>
                            <w:tcW w:w="4590" w:type="dxa"/>
                          </w:tcPr>
                          <w:p w14:paraId="41E5E1C4" w14:textId="77777777" w:rsidR="00561667" w:rsidRPr="00C251E9" w:rsidRDefault="00561667" w:rsidP="00561667">
                            <w:pPr>
                              <w:pStyle w:val="TMGTableText"/>
                            </w:pPr>
                            <w:r w:rsidRPr="00521214">
                              <w:rPr>
                                <w:rFonts w:eastAsiaTheme="minorEastAsia"/>
                              </w:rPr>
                              <w:t>Principal Arterial – Other</w:t>
                            </w:r>
                          </w:p>
                        </w:tc>
                      </w:tr>
                      <w:tr w:rsidR="00561667" w14:paraId="3E8F29DA" w14:textId="77777777" w:rsidTr="009447E9">
                        <w:tc>
                          <w:tcPr>
                            <w:tcW w:w="715" w:type="dxa"/>
                          </w:tcPr>
                          <w:p w14:paraId="0E5C795D" w14:textId="77777777" w:rsidR="00561667" w:rsidRPr="00561667" w:rsidRDefault="00561667" w:rsidP="00561667">
                            <w:pPr>
                              <w:pStyle w:val="TMGTableText"/>
                              <w:jc w:val="center"/>
                              <w:rPr>
                                <w:b/>
                                <w:bCs/>
                              </w:rPr>
                            </w:pPr>
                            <w:r w:rsidRPr="00561667">
                              <w:rPr>
                                <w:rFonts w:eastAsiaTheme="minorEastAsia"/>
                                <w:b/>
                                <w:bCs/>
                              </w:rPr>
                              <w:t>4</w:t>
                            </w:r>
                          </w:p>
                        </w:tc>
                        <w:tc>
                          <w:tcPr>
                            <w:tcW w:w="4590" w:type="dxa"/>
                          </w:tcPr>
                          <w:p w14:paraId="0CA8B0B1" w14:textId="77777777" w:rsidR="00561667" w:rsidRPr="00C251E9" w:rsidRDefault="00561667" w:rsidP="00561667">
                            <w:pPr>
                              <w:pStyle w:val="TMGTableText"/>
                            </w:pPr>
                            <w:r w:rsidRPr="00521214">
                              <w:rPr>
                                <w:rFonts w:eastAsiaTheme="minorEastAsia"/>
                              </w:rPr>
                              <w:t>Minor Arterial</w:t>
                            </w:r>
                          </w:p>
                        </w:tc>
                      </w:tr>
                      <w:tr w:rsidR="00561667" w14:paraId="2DEDD4B1" w14:textId="77777777" w:rsidTr="009447E9">
                        <w:tc>
                          <w:tcPr>
                            <w:tcW w:w="715" w:type="dxa"/>
                          </w:tcPr>
                          <w:p w14:paraId="154568D7" w14:textId="77777777" w:rsidR="00561667" w:rsidRPr="00561667" w:rsidRDefault="00561667" w:rsidP="00561667">
                            <w:pPr>
                              <w:pStyle w:val="TMGTableText"/>
                              <w:jc w:val="center"/>
                              <w:rPr>
                                <w:b/>
                                <w:bCs/>
                              </w:rPr>
                            </w:pPr>
                            <w:r w:rsidRPr="00561667">
                              <w:rPr>
                                <w:rFonts w:eastAsiaTheme="minorEastAsia"/>
                                <w:b/>
                                <w:bCs/>
                              </w:rPr>
                              <w:t>5</w:t>
                            </w:r>
                          </w:p>
                        </w:tc>
                        <w:tc>
                          <w:tcPr>
                            <w:tcW w:w="4590" w:type="dxa"/>
                          </w:tcPr>
                          <w:p w14:paraId="22D3AF03" w14:textId="77777777" w:rsidR="00561667" w:rsidRPr="00C251E9" w:rsidRDefault="00561667" w:rsidP="00561667">
                            <w:pPr>
                              <w:pStyle w:val="TMGTableText"/>
                            </w:pPr>
                            <w:r w:rsidRPr="00521214">
                              <w:rPr>
                                <w:rFonts w:eastAsiaTheme="minorEastAsia"/>
                              </w:rPr>
                              <w:t>Major Collector</w:t>
                            </w:r>
                          </w:p>
                        </w:tc>
                      </w:tr>
                      <w:tr w:rsidR="00561667" w14:paraId="5D378CD5" w14:textId="77777777" w:rsidTr="009447E9">
                        <w:tc>
                          <w:tcPr>
                            <w:tcW w:w="715" w:type="dxa"/>
                          </w:tcPr>
                          <w:p w14:paraId="18055289" w14:textId="77777777" w:rsidR="00561667" w:rsidRPr="00561667" w:rsidRDefault="00561667" w:rsidP="00561667">
                            <w:pPr>
                              <w:pStyle w:val="TMGTableText"/>
                              <w:jc w:val="center"/>
                              <w:rPr>
                                <w:b/>
                                <w:bCs/>
                              </w:rPr>
                            </w:pPr>
                            <w:r w:rsidRPr="00561667">
                              <w:rPr>
                                <w:rFonts w:eastAsiaTheme="minorEastAsia"/>
                                <w:b/>
                                <w:bCs/>
                              </w:rPr>
                              <w:t>6</w:t>
                            </w:r>
                          </w:p>
                        </w:tc>
                        <w:tc>
                          <w:tcPr>
                            <w:tcW w:w="4590" w:type="dxa"/>
                          </w:tcPr>
                          <w:p w14:paraId="1F3C0925" w14:textId="77777777" w:rsidR="00561667" w:rsidRPr="00C251E9" w:rsidRDefault="00561667" w:rsidP="00561667">
                            <w:pPr>
                              <w:pStyle w:val="TMGTableText"/>
                            </w:pPr>
                            <w:r w:rsidRPr="00521214">
                              <w:rPr>
                                <w:rFonts w:eastAsiaTheme="minorEastAsia"/>
                              </w:rPr>
                              <w:t>Minor Collector</w:t>
                            </w:r>
                          </w:p>
                        </w:tc>
                      </w:tr>
                      <w:tr w:rsidR="00561667" w14:paraId="4E7CAF52" w14:textId="77777777" w:rsidTr="009447E9">
                        <w:tc>
                          <w:tcPr>
                            <w:tcW w:w="715" w:type="dxa"/>
                          </w:tcPr>
                          <w:p w14:paraId="3722B0A7" w14:textId="77777777" w:rsidR="00561667" w:rsidRPr="00561667" w:rsidRDefault="00561667" w:rsidP="00561667">
                            <w:pPr>
                              <w:pStyle w:val="TMGTableText"/>
                              <w:jc w:val="center"/>
                              <w:rPr>
                                <w:b/>
                                <w:bCs/>
                              </w:rPr>
                            </w:pPr>
                            <w:r w:rsidRPr="00561667">
                              <w:rPr>
                                <w:rFonts w:eastAsiaTheme="minorEastAsia"/>
                                <w:b/>
                                <w:bCs/>
                              </w:rPr>
                              <w:t>7</w:t>
                            </w:r>
                          </w:p>
                        </w:tc>
                        <w:tc>
                          <w:tcPr>
                            <w:tcW w:w="4590" w:type="dxa"/>
                          </w:tcPr>
                          <w:p w14:paraId="48DFD860" w14:textId="77777777" w:rsidR="00561667" w:rsidRPr="00C251E9" w:rsidRDefault="00561667" w:rsidP="00561667">
                            <w:pPr>
                              <w:pStyle w:val="TMGTableText"/>
                            </w:pPr>
                            <w:r w:rsidRPr="00521214">
                              <w:rPr>
                                <w:rFonts w:eastAsiaTheme="minorEastAsia"/>
                              </w:rPr>
                              <w:t>Local</w:t>
                            </w:r>
                          </w:p>
                        </w:tc>
                      </w:tr>
                      <w:tr w:rsidR="00561667" w14:paraId="652A2C93" w14:textId="77777777" w:rsidTr="009447E9">
                        <w:tc>
                          <w:tcPr>
                            <w:tcW w:w="715" w:type="dxa"/>
                          </w:tcPr>
                          <w:p w14:paraId="205EAB77" w14:textId="77777777" w:rsidR="00561667" w:rsidRPr="00561667" w:rsidRDefault="00561667" w:rsidP="00561667">
                            <w:pPr>
                              <w:pStyle w:val="TMGTableText"/>
                              <w:jc w:val="center"/>
                              <w:rPr>
                                <w:b/>
                                <w:bCs/>
                              </w:rPr>
                            </w:pPr>
                            <w:r w:rsidRPr="00561667">
                              <w:rPr>
                                <w:rFonts w:eastAsiaTheme="minorEastAsia"/>
                                <w:b/>
                                <w:bCs/>
                              </w:rPr>
                              <w:t>8</w:t>
                            </w:r>
                          </w:p>
                        </w:tc>
                        <w:tc>
                          <w:tcPr>
                            <w:tcW w:w="4590" w:type="dxa"/>
                          </w:tcPr>
                          <w:p w14:paraId="6AE4C36D" w14:textId="77777777" w:rsidR="00561667" w:rsidRPr="00C251E9" w:rsidRDefault="00561667" w:rsidP="00561667">
                            <w:pPr>
                              <w:pStyle w:val="TMGTableText"/>
                            </w:pPr>
                            <w:r w:rsidRPr="00521214">
                              <w:rPr>
                                <w:rFonts w:eastAsiaTheme="minorEastAsia"/>
                              </w:rPr>
                              <w:t>Trail or Shared</w:t>
                            </w:r>
                            <w:r>
                              <w:rPr>
                                <w:rFonts w:eastAsiaTheme="minorEastAsia"/>
                              </w:rPr>
                              <w:t>-</w:t>
                            </w:r>
                            <w:r w:rsidRPr="00521214">
                              <w:rPr>
                                <w:rFonts w:eastAsiaTheme="minorEastAsia"/>
                              </w:rPr>
                              <w:t>Use Path (independent alignment)</w:t>
                            </w:r>
                          </w:p>
                        </w:tc>
                      </w:tr>
                      <w:tr w:rsidR="00561667" w14:paraId="421252FF" w14:textId="77777777" w:rsidTr="009447E9">
                        <w:tc>
                          <w:tcPr>
                            <w:tcW w:w="715" w:type="dxa"/>
                          </w:tcPr>
                          <w:p w14:paraId="1DFCE689" w14:textId="77777777" w:rsidR="00561667" w:rsidRPr="00561667" w:rsidRDefault="00561667" w:rsidP="00561667">
                            <w:pPr>
                              <w:pStyle w:val="TMGTableText"/>
                              <w:jc w:val="center"/>
                              <w:rPr>
                                <w:b/>
                                <w:bCs/>
                              </w:rPr>
                            </w:pPr>
                            <w:r w:rsidRPr="00561667">
                              <w:rPr>
                                <w:rFonts w:eastAsiaTheme="minorEastAsia"/>
                                <w:b/>
                                <w:bCs/>
                              </w:rPr>
                              <w:t>9</w:t>
                            </w:r>
                          </w:p>
                        </w:tc>
                        <w:tc>
                          <w:tcPr>
                            <w:tcW w:w="4590" w:type="dxa"/>
                          </w:tcPr>
                          <w:p w14:paraId="0A24D52A" w14:textId="77777777" w:rsidR="00561667" w:rsidRPr="00C251E9" w:rsidRDefault="00561667" w:rsidP="00561667">
                            <w:pPr>
                              <w:pStyle w:val="TMGTableText"/>
                            </w:pPr>
                            <w:r w:rsidRPr="00521214">
                              <w:rPr>
                                <w:rFonts w:eastAsiaTheme="minorEastAsia"/>
                              </w:rPr>
                              <w:t>Other Facility Type</w:t>
                            </w:r>
                          </w:p>
                        </w:tc>
                      </w:tr>
                    </w:tbl>
                    <w:p w14:paraId="6FD0F54A" w14:textId="77777777" w:rsidR="00561667" w:rsidRDefault="00561667" w:rsidP="00561667"/>
                  </w:txbxContent>
                </v:textbox>
                <w10:wrap type="square" anchorx="margin"/>
              </v:shape>
            </w:pict>
          </mc:Fallback>
        </mc:AlternateContent>
      </w:r>
      <w:r w:rsidR="009B7AED" w:rsidRPr="00D96273">
        <w:t xml:space="preserve">Station ID (Columns 7-12) </w:t>
      </w:r>
      <w:r w:rsidR="009B7AED">
        <w:t>–</w:t>
      </w:r>
      <w:r w:rsidR="009B7AED" w:rsidRPr="00D96273">
        <w:t xml:space="preserve"> </w:t>
      </w:r>
      <w:r w:rsidR="009B7AED">
        <w:t xml:space="preserve">See </w:t>
      </w:r>
      <w:r w:rsidR="00530921">
        <w:t>S</w:t>
      </w:r>
      <w:r w:rsidR="009B7AED">
        <w:t xml:space="preserve">ection 4.2, Field #3. – </w:t>
      </w:r>
      <w:r w:rsidR="009B7AED">
        <w:rPr>
          <w:i/>
        </w:rPr>
        <w:t>Required</w:t>
      </w:r>
    </w:p>
    <w:p w14:paraId="29C6AD29" w14:textId="2A203097" w:rsidR="009B7AED" w:rsidRPr="00D96273" w:rsidRDefault="009B7AED">
      <w:pPr>
        <w:numPr>
          <w:ilvl w:val="0"/>
          <w:numId w:val="50"/>
        </w:numPr>
        <w:spacing w:after="120"/>
        <w:ind w:left="648"/>
        <w:jc w:val="left"/>
      </w:pPr>
      <w:r w:rsidRPr="00D96273">
        <w:t xml:space="preserve">Functional Classification of Road (expanded) (Columns 13-14) – </w:t>
      </w:r>
      <w:r>
        <w:rPr>
          <w:i/>
        </w:rPr>
        <w:t>Required</w:t>
      </w:r>
    </w:p>
    <w:p w14:paraId="45EDB6FD" w14:textId="1C17D6B7" w:rsidR="00C91F91" w:rsidRDefault="00464453" w:rsidP="00C91F91">
      <w:pPr>
        <w:tabs>
          <w:tab w:val="left" w:pos="1440"/>
        </w:tabs>
        <w:spacing w:before="80" w:after="120"/>
        <w:ind w:left="648"/>
        <w:jc w:val="left"/>
      </w:pPr>
      <w:r>
        <w:fldChar w:fldCharType="begin"/>
      </w:r>
      <w:r>
        <w:instrText xml:space="preserve"> REF _Ref113280337 </w:instrText>
      </w:r>
      <w:r>
        <w:fldChar w:fldCharType="separate"/>
      </w:r>
      <w:r w:rsidR="00C07DF9" w:rsidRPr="00521214">
        <w:t xml:space="preserve">Table </w:t>
      </w:r>
      <w:r w:rsidR="00C07DF9">
        <w:rPr>
          <w:noProof/>
        </w:rPr>
        <w:t>4</w:t>
      </w:r>
      <w:r w:rsidR="00C07DF9">
        <w:noBreakHyphen/>
      </w:r>
      <w:r w:rsidR="00C07DF9">
        <w:rPr>
          <w:noProof/>
        </w:rPr>
        <w:t>36</w:t>
      </w:r>
      <w:r>
        <w:rPr>
          <w:noProof/>
        </w:rPr>
        <w:fldChar w:fldCharType="end"/>
      </w:r>
      <w:r w:rsidR="009B7AED">
        <w:t xml:space="preserve"> </w:t>
      </w:r>
      <w:r w:rsidR="009B7AED" w:rsidRPr="00D96273">
        <w:t>lists the current U.S. DOT functional classification system, but also adds categories for trail or shared</w:t>
      </w:r>
      <w:r w:rsidR="009B7AED">
        <w:t>-</w:t>
      </w:r>
      <w:r w:rsidR="009B7AED" w:rsidRPr="00D96273">
        <w:t xml:space="preserve">use path, as well as general activity count (i.e., for pedestrian counts in an open area like the Mall in Washington, D.C.). It is used in association with a second variable (Field 9, Facility Type) that indicates for roads whether the </w:t>
      </w:r>
      <w:r w:rsidR="009B7AED" w:rsidRPr="00D96273">
        <w:lastRenderedPageBreak/>
        <w:t xml:space="preserve">count was made on the main roadway, on a sidewalk, or on a special lane intended for use exclusively by </w:t>
      </w:r>
      <w:r w:rsidR="009B7AED">
        <w:t>micromobility ve</w:t>
      </w:r>
      <w:r w:rsidR="009B7AED" w:rsidRPr="00D96273">
        <w:t>hicles (e.g., bike lane). In addition, the second column of this field is used to indicate whether the count is taken in an urban or rural area.</w:t>
      </w:r>
      <w:r w:rsidR="004D4172">
        <w:t xml:space="preserve"> </w:t>
      </w:r>
      <w:r w:rsidR="009B7AED" w:rsidRPr="00D96273">
        <w:t>Column 14 should contain either an “R” for rural or “U” for urban.</w:t>
      </w:r>
      <w:r w:rsidR="004D4172">
        <w:t xml:space="preserve"> </w:t>
      </w:r>
      <w:r w:rsidR="009B7AED" w:rsidRPr="00D96273">
        <w:t xml:space="preserve">Thus, a code of 8U indicates that the count was taken on a Trail or Shared Use Path in an </w:t>
      </w:r>
      <w:r w:rsidR="00815D09">
        <w:rPr>
          <w:noProof/>
        </w:rPr>
        <mc:AlternateContent>
          <mc:Choice Requires="wps">
            <w:drawing>
              <wp:anchor distT="45720" distB="45720" distL="114300" distR="114300" simplePos="0" relativeHeight="251734016" behindDoc="0" locked="0" layoutInCell="1" allowOverlap="1" wp14:anchorId="375AA1AD" wp14:editId="64935505">
                <wp:simplePos x="0" y="0"/>
                <wp:positionH relativeFrom="margin">
                  <wp:posOffset>3486150</wp:posOffset>
                </wp:positionH>
                <wp:positionV relativeFrom="paragraph">
                  <wp:posOffset>857885</wp:posOffset>
                </wp:positionV>
                <wp:extent cx="2480310" cy="2632710"/>
                <wp:effectExtent l="0" t="0" r="0" b="0"/>
                <wp:wrapSquare wrapText="bothSides"/>
                <wp:docPr id="358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0310" cy="2632710"/>
                        </a:xfrm>
                        <a:prstGeom prst="rect">
                          <a:avLst/>
                        </a:prstGeom>
                        <a:solidFill>
                          <a:srgbClr val="FFFFFF"/>
                        </a:solidFill>
                        <a:ln w="9525">
                          <a:noFill/>
                          <a:miter lim="800000"/>
                          <a:headEnd/>
                          <a:tailEnd/>
                        </a:ln>
                      </wps:spPr>
                      <wps:txbx>
                        <w:txbxContent>
                          <w:p w14:paraId="552A6869" w14:textId="1561A614" w:rsidR="00561667" w:rsidRDefault="00561667" w:rsidP="00561667">
                            <w:pPr>
                              <w:pStyle w:val="TMGTableCaption"/>
                              <w:spacing w:before="0"/>
                            </w:pPr>
                            <w:bookmarkStart w:id="3270" w:name="_Ref113280390"/>
                            <w:bookmarkStart w:id="3271" w:name="_Toc109333467"/>
                            <w:bookmarkStart w:id="3272" w:name="_Toc109333795"/>
                            <w:bookmarkStart w:id="3273" w:name="_Toc113282542"/>
                            <w:bookmarkStart w:id="3274" w:name="_Toc114474879"/>
                            <w:bookmarkStart w:id="3275" w:name="_Toc120631185"/>
                            <w:r w:rsidRPr="00521214">
                              <w:t xml:space="preserve">Table </w:t>
                            </w:r>
                            <w:fldSimple w:instr=" STYLEREF 1 \s ">
                              <w:r w:rsidR="00FC0E95">
                                <w:rPr>
                                  <w:noProof/>
                                </w:rPr>
                                <w:t>4</w:t>
                              </w:r>
                            </w:fldSimple>
                            <w:r>
                              <w:noBreakHyphen/>
                            </w:r>
                            <w:fldSimple w:instr=" SEQ Table \* ARABIC \s 1 ">
                              <w:r w:rsidR="00FC0E95">
                                <w:rPr>
                                  <w:noProof/>
                                </w:rPr>
                                <w:t>37</w:t>
                              </w:r>
                            </w:fldSimple>
                            <w:bookmarkEnd w:id="3270"/>
                            <w:r>
                              <w:t xml:space="preserve">. </w:t>
                            </w:r>
                            <w:r w:rsidRPr="00521214">
                              <w:t xml:space="preserve">Direction </w:t>
                            </w:r>
                            <w:r w:rsidR="00815D09">
                              <w:t>o</w:t>
                            </w:r>
                            <w:r w:rsidRPr="00521214">
                              <w:t>f Route Codes</w:t>
                            </w:r>
                            <w:bookmarkEnd w:id="3271"/>
                            <w:bookmarkEnd w:id="3272"/>
                            <w:bookmarkEnd w:id="3273"/>
                            <w:bookmarkEnd w:id="3274"/>
                            <w:bookmarkEnd w:id="3275"/>
                          </w:p>
                          <w:tbl>
                            <w:tblPr>
                              <w:tblStyle w:val="TableGrid"/>
                              <w:tblW w:w="3865" w:type="dxa"/>
                              <w:tblCellMar>
                                <w:left w:w="86" w:type="dxa"/>
                                <w:right w:w="86" w:type="dxa"/>
                              </w:tblCellMar>
                              <w:tblLook w:val="04A0" w:firstRow="1" w:lastRow="0" w:firstColumn="1" w:lastColumn="0" w:noHBand="0" w:noVBand="1"/>
                            </w:tblPr>
                            <w:tblGrid>
                              <w:gridCol w:w="625"/>
                              <w:gridCol w:w="3240"/>
                            </w:tblGrid>
                            <w:tr w:rsidR="00561667" w14:paraId="44C9B1A2" w14:textId="77777777" w:rsidTr="00815D09">
                              <w:tc>
                                <w:tcPr>
                                  <w:tcW w:w="625" w:type="dxa"/>
                                  <w:tcBorders>
                                    <w:right w:val="single" w:sz="4" w:space="0" w:color="FFFFFF" w:themeColor="background1"/>
                                  </w:tcBorders>
                                  <w:shd w:val="clear" w:color="auto" w:fill="1F3864"/>
                                </w:tcPr>
                                <w:p w14:paraId="56F4713D" w14:textId="77777777" w:rsidR="00561667" w:rsidRDefault="00561667" w:rsidP="00561667">
                                  <w:pPr>
                                    <w:pStyle w:val="TMGTableTextHeader"/>
                                  </w:pPr>
                                  <w:r w:rsidRPr="00521214">
                                    <w:rPr>
                                      <w:rFonts w:eastAsiaTheme="minorEastAsia"/>
                                    </w:rPr>
                                    <w:t>Code</w:t>
                                  </w:r>
                                </w:p>
                              </w:tc>
                              <w:tc>
                                <w:tcPr>
                                  <w:tcW w:w="3240" w:type="dxa"/>
                                  <w:tcBorders>
                                    <w:left w:val="single" w:sz="4" w:space="0" w:color="FFFFFF" w:themeColor="background1"/>
                                  </w:tcBorders>
                                  <w:shd w:val="clear" w:color="auto" w:fill="1F3864"/>
                                </w:tcPr>
                                <w:p w14:paraId="7AA91CFB" w14:textId="1912EA1E" w:rsidR="00561667" w:rsidRDefault="00815D09" w:rsidP="00561667">
                                  <w:pPr>
                                    <w:pStyle w:val="TMGTableTextHeader"/>
                                  </w:pPr>
                                  <w:r>
                                    <w:rPr>
                                      <w:rFonts w:eastAsiaTheme="minorEastAsia"/>
                                    </w:rPr>
                                    <w:t>Direction</w:t>
                                  </w:r>
                                </w:p>
                              </w:tc>
                            </w:tr>
                            <w:tr w:rsidR="00815D09" w14:paraId="3B1A060A" w14:textId="77777777" w:rsidTr="00B0553F">
                              <w:tc>
                                <w:tcPr>
                                  <w:tcW w:w="625" w:type="dxa"/>
                                  <w:vAlign w:val="center"/>
                                </w:tcPr>
                                <w:p w14:paraId="08B075C9" w14:textId="269FF1A4" w:rsidR="00815D09" w:rsidRPr="00B0553F" w:rsidRDefault="00815D09" w:rsidP="00B0553F">
                                  <w:pPr>
                                    <w:pStyle w:val="TMGTableText"/>
                                    <w:jc w:val="center"/>
                                    <w:rPr>
                                      <w:b/>
                                      <w:bCs/>
                                    </w:rPr>
                                  </w:pPr>
                                  <w:r w:rsidRPr="00B0553F">
                                    <w:rPr>
                                      <w:rFonts w:eastAsiaTheme="minorEastAsia"/>
                                      <w:b/>
                                      <w:bCs/>
                                    </w:rPr>
                                    <w:t>0</w:t>
                                  </w:r>
                                </w:p>
                              </w:tc>
                              <w:tc>
                                <w:tcPr>
                                  <w:tcW w:w="3240" w:type="dxa"/>
                                </w:tcPr>
                                <w:p w14:paraId="74A36301" w14:textId="6105E00A" w:rsidR="00815D09" w:rsidRPr="00C251E9" w:rsidRDefault="00815D09" w:rsidP="00815D09">
                                  <w:pPr>
                                    <w:pStyle w:val="TMGTableText"/>
                                  </w:pPr>
                                  <w:r w:rsidRPr="00521214">
                                    <w:rPr>
                                      <w:rFonts w:eastAsiaTheme="minorEastAsia"/>
                                    </w:rPr>
                                    <w:t>East-West or Southeast-Northwest combined (volume stations only)</w:t>
                                  </w:r>
                                </w:p>
                              </w:tc>
                            </w:tr>
                            <w:tr w:rsidR="00815D09" w14:paraId="71F821A7" w14:textId="77777777" w:rsidTr="00B0553F">
                              <w:tc>
                                <w:tcPr>
                                  <w:tcW w:w="625" w:type="dxa"/>
                                  <w:vAlign w:val="center"/>
                                </w:tcPr>
                                <w:p w14:paraId="70667E07" w14:textId="3970DA11" w:rsidR="00815D09" w:rsidRPr="00B0553F" w:rsidRDefault="00815D09" w:rsidP="00B0553F">
                                  <w:pPr>
                                    <w:pStyle w:val="TMGTableText"/>
                                    <w:jc w:val="center"/>
                                    <w:rPr>
                                      <w:b/>
                                      <w:bCs/>
                                    </w:rPr>
                                  </w:pPr>
                                  <w:r w:rsidRPr="00B0553F">
                                    <w:rPr>
                                      <w:rFonts w:eastAsiaTheme="minorEastAsia"/>
                                      <w:b/>
                                      <w:bCs/>
                                    </w:rPr>
                                    <w:t>1</w:t>
                                  </w:r>
                                </w:p>
                              </w:tc>
                              <w:tc>
                                <w:tcPr>
                                  <w:tcW w:w="3240" w:type="dxa"/>
                                </w:tcPr>
                                <w:p w14:paraId="26FDCEED" w14:textId="396A905F" w:rsidR="00815D09" w:rsidRPr="00C251E9" w:rsidRDefault="00815D09" w:rsidP="00815D09">
                                  <w:pPr>
                                    <w:pStyle w:val="TMGTableText"/>
                                  </w:pPr>
                                  <w:r w:rsidRPr="00521214">
                                    <w:rPr>
                                      <w:rFonts w:eastAsiaTheme="minorEastAsia"/>
                                    </w:rPr>
                                    <w:t>North</w:t>
                                  </w:r>
                                </w:p>
                              </w:tc>
                            </w:tr>
                            <w:tr w:rsidR="00815D09" w14:paraId="62B30D8D" w14:textId="77777777" w:rsidTr="00B0553F">
                              <w:tc>
                                <w:tcPr>
                                  <w:tcW w:w="625" w:type="dxa"/>
                                  <w:vAlign w:val="center"/>
                                </w:tcPr>
                                <w:p w14:paraId="572FEF6A" w14:textId="48317051" w:rsidR="00815D09" w:rsidRPr="00B0553F" w:rsidRDefault="00815D09" w:rsidP="00B0553F">
                                  <w:pPr>
                                    <w:pStyle w:val="TMGTableText"/>
                                    <w:jc w:val="center"/>
                                    <w:rPr>
                                      <w:b/>
                                      <w:bCs/>
                                    </w:rPr>
                                  </w:pPr>
                                  <w:r w:rsidRPr="00B0553F">
                                    <w:rPr>
                                      <w:rFonts w:eastAsiaTheme="minorEastAsia"/>
                                      <w:b/>
                                      <w:bCs/>
                                    </w:rPr>
                                    <w:t>2</w:t>
                                  </w:r>
                                </w:p>
                              </w:tc>
                              <w:tc>
                                <w:tcPr>
                                  <w:tcW w:w="3240" w:type="dxa"/>
                                </w:tcPr>
                                <w:p w14:paraId="65009723" w14:textId="2BAEAB2B" w:rsidR="00815D09" w:rsidRPr="00C251E9" w:rsidRDefault="00815D09" w:rsidP="00815D09">
                                  <w:pPr>
                                    <w:pStyle w:val="TMGTableText"/>
                                  </w:pPr>
                                  <w:r w:rsidRPr="00521214">
                                    <w:rPr>
                                      <w:rFonts w:eastAsiaTheme="minorEastAsia"/>
                                    </w:rPr>
                                    <w:t>Northeast</w:t>
                                  </w:r>
                                </w:p>
                              </w:tc>
                            </w:tr>
                            <w:tr w:rsidR="00815D09" w14:paraId="706DA3BB" w14:textId="77777777" w:rsidTr="00B0553F">
                              <w:tc>
                                <w:tcPr>
                                  <w:tcW w:w="625" w:type="dxa"/>
                                  <w:vAlign w:val="center"/>
                                </w:tcPr>
                                <w:p w14:paraId="0A1BD363" w14:textId="66E95EFE" w:rsidR="00815D09" w:rsidRPr="00B0553F" w:rsidRDefault="00815D09" w:rsidP="00B0553F">
                                  <w:pPr>
                                    <w:pStyle w:val="TMGTableText"/>
                                    <w:jc w:val="center"/>
                                    <w:rPr>
                                      <w:b/>
                                      <w:bCs/>
                                    </w:rPr>
                                  </w:pPr>
                                  <w:r w:rsidRPr="00B0553F">
                                    <w:rPr>
                                      <w:rFonts w:eastAsiaTheme="minorEastAsia"/>
                                      <w:b/>
                                      <w:bCs/>
                                    </w:rPr>
                                    <w:t>3</w:t>
                                  </w:r>
                                </w:p>
                              </w:tc>
                              <w:tc>
                                <w:tcPr>
                                  <w:tcW w:w="3240" w:type="dxa"/>
                                </w:tcPr>
                                <w:p w14:paraId="6889256D" w14:textId="21EE3654" w:rsidR="00815D09" w:rsidRPr="00C251E9" w:rsidRDefault="00815D09" w:rsidP="00815D09">
                                  <w:pPr>
                                    <w:pStyle w:val="TMGTableText"/>
                                  </w:pPr>
                                  <w:r w:rsidRPr="00521214">
                                    <w:rPr>
                                      <w:rFonts w:eastAsiaTheme="minorEastAsia"/>
                                    </w:rPr>
                                    <w:t>East</w:t>
                                  </w:r>
                                </w:p>
                              </w:tc>
                            </w:tr>
                            <w:tr w:rsidR="00815D09" w14:paraId="3B1C6674" w14:textId="77777777" w:rsidTr="00B0553F">
                              <w:tc>
                                <w:tcPr>
                                  <w:tcW w:w="625" w:type="dxa"/>
                                  <w:vAlign w:val="center"/>
                                </w:tcPr>
                                <w:p w14:paraId="392F34AB" w14:textId="4AA6F840" w:rsidR="00815D09" w:rsidRPr="00B0553F" w:rsidRDefault="00815D09" w:rsidP="00B0553F">
                                  <w:pPr>
                                    <w:pStyle w:val="TMGTableText"/>
                                    <w:jc w:val="center"/>
                                    <w:rPr>
                                      <w:b/>
                                      <w:bCs/>
                                    </w:rPr>
                                  </w:pPr>
                                  <w:r w:rsidRPr="00B0553F">
                                    <w:rPr>
                                      <w:rFonts w:eastAsiaTheme="minorEastAsia"/>
                                      <w:b/>
                                      <w:bCs/>
                                    </w:rPr>
                                    <w:t>4</w:t>
                                  </w:r>
                                </w:p>
                              </w:tc>
                              <w:tc>
                                <w:tcPr>
                                  <w:tcW w:w="3240" w:type="dxa"/>
                                </w:tcPr>
                                <w:p w14:paraId="63046826" w14:textId="028E90E3" w:rsidR="00815D09" w:rsidRPr="00C251E9" w:rsidRDefault="00815D09" w:rsidP="00815D09">
                                  <w:pPr>
                                    <w:pStyle w:val="TMGTableText"/>
                                  </w:pPr>
                                  <w:r w:rsidRPr="00521214">
                                    <w:rPr>
                                      <w:rFonts w:eastAsiaTheme="minorEastAsia"/>
                                    </w:rPr>
                                    <w:t>Southeast</w:t>
                                  </w:r>
                                </w:p>
                              </w:tc>
                            </w:tr>
                            <w:tr w:rsidR="00815D09" w14:paraId="07E568B9" w14:textId="77777777" w:rsidTr="00B0553F">
                              <w:tc>
                                <w:tcPr>
                                  <w:tcW w:w="625" w:type="dxa"/>
                                  <w:vAlign w:val="center"/>
                                </w:tcPr>
                                <w:p w14:paraId="4B933227" w14:textId="3258FB94" w:rsidR="00815D09" w:rsidRPr="00B0553F" w:rsidRDefault="00815D09" w:rsidP="00B0553F">
                                  <w:pPr>
                                    <w:pStyle w:val="TMGTableText"/>
                                    <w:jc w:val="center"/>
                                    <w:rPr>
                                      <w:b/>
                                      <w:bCs/>
                                    </w:rPr>
                                  </w:pPr>
                                  <w:r w:rsidRPr="00B0553F">
                                    <w:rPr>
                                      <w:rFonts w:eastAsiaTheme="minorEastAsia"/>
                                      <w:b/>
                                      <w:bCs/>
                                    </w:rPr>
                                    <w:t>5</w:t>
                                  </w:r>
                                </w:p>
                              </w:tc>
                              <w:tc>
                                <w:tcPr>
                                  <w:tcW w:w="3240" w:type="dxa"/>
                                </w:tcPr>
                                <w:p w14:paraId="68F7DCFB" w14:textId="1AB82F91" w:rsidR="00815D09" w:rsidRPr="00C251E9" w:rsidRDefault="00815D09" w:rsidP="00815D09">
                                  <w:pPr>
                                    <w:pStyle w:val="TMGTableText"/>
                                  </w:pPr>
                                  <w:r w:rsidRPr="00521214">
                                    <w:rPr>
                                      <w:rFonts w:eastAsiaTheme="minorEastAsia"/>
                                    </w:rPr>
                                    <w:t>South</w:t>
                                  </w:r>
                                </w:p>
                              </w:tc>
                            </w:tr>
                            <w:tr w:rsidR="00815D09" w14:paraId="30485A7F" w14:textId="77777777" w:rsidTr="00B0553F">
                              <w:tc>
                                <w:tcPr>
                                  <w:tcW w:w="625" w:type="dxa"/>
                                  <w:vAlign w:val="center"/>
                                </w:tcPr>
                                <w:p w14:paraId="4B54D3A3" w14:textId="27058D24" w:rsidR="00815D09" w:rsidRPr="00B0553F" w:rsidRDefault="00815D09" w:rsidP="00B0553F">
                                  <w:pPr>
                                    <w:pStyle w:val="TMGTableText"/>
                                    <w:jc w:val="center"/>
                                    <w:rPr>
                                      <w:b/>
                                      <w:bCs/>
                                    </w:rPr>
                                  </w:pPr>
                                  <w:r w:rsidRPr="00B0553F">
                                    <w:rPr>
                                      <w:rFonts w:eastAsiaTheme="minorEastAsia"/>
                                      <w:b/>
                                      <w:bCs/>
                                    </w:rPr>
                                    <w:t>6</w:t>
                                  </w:r>
                                </w:p>
                              </w:tc>
                              <w:tc>
                                <w:tcPr>
                                  <w:tcW w:w="3240" w:type="dxa"/>
                                </w:tcPr>
                                <w:p w14:paraId="1047DF25" w14:textId="1B047226" w:rsidR="00815D09" w:rsidRPr="00C251E9" w:rsidRDefault="00815D09" w:rsidP="00815D09">
                                  <w:pPr>
                                    <w:pStyle w:val="TMGTableText"/>
                                  </w:pPr>
                                  <w:r w:rsidRPr="00521214">
                                    <w:rPr>
                                      <w:rFonts w:eastAsiaTheme="minorEastAsia"/>
                                    </w:rPr>
                                    <w:t>Southwest</w:t>
                                  </w:r>
                                </w:p>
                              </w:tc>
                            </w:tr>
                            <w:tr w:rsidR="00815D09" w14:paraId="139EAA21" w14:textId="77777777" w:rsidTr="00B0553F">
                              <w:tc>
                                <w:tcPr>
                                  <w:tcW w:w="625" w:type="dxa"/>
                                  <w:vAlign w:val="center"/>
                                </w:tcPr>
                                <w:p w14:paraId="06EF2507" w14:textId="149BEE01" w:rsidR="00815D09" w:rsidRPr="00B0553F" w:rsidRDefault="00815D09" w:rsidP="00B0553F">
                                  <w:pPr>
                                    <w:pStyle w:val="TMGTableText"/>
                                    <w:jc w:val="center"/>
                                    <w:rPr>
                                      <w:b/>
                                      <w:bCs/>
                                    </w:rPr>
                                  </w:pPr>
                                  <w:r w:rsidRPr="00B0553F">
                                    <w:rPr>
                                      <w:rFonts w:eastAsiaTheme="minorEastAsia"/>
                                      <w:b/>
                                      <w:bCs/>
                                    </w:rPr>
                                    <w:t>7</w:t>
                                  </w:r>
                                </w:p>
                              </w:tc>
                              <w:tc>
                                <w:tcPr>
                                  <w:tcW w:w="3240" w:type="dxa"/>
                                </w:tcPr>
                                <w:p w14:paraId="1F6C2A47" w14:textId="3D0659CE" w:rsidR="00815D09" w:rsidRPr="00C251E9" w:rsidRDefault="00815D09" w:rsidP="00815D09">
                                  <w:pPr>
                                    <w:pStyle w:val="TMGTableText"/>
                                  </w:pPr>
                                  <w:r w:rsidRPr="00521214">
                                    <w:rPr>
                                      <w:rFonts w:eastAsiaTheme="minorEastAsia"/>
                                    </w:rPr>
                                    <w:t>West</w:t>
                                  </w:r>
                                </w:p>
                              </w:tc>
                            </w:tr>
                            <w:tr w:rsidR="00815D09" w14:paraId="15F59F93" w14:textId="77777777" w:rsidTr="00B0553F">
                              <w:tc>
                                <w:tcPr>
                                  <w:tcW w:w="625" w:type="dxa"/>
                                  <w:vAlign w:val="center"/>
                                </w:tcPr>
                                <w:p w14:paraId="48F180A4" w14:textId="37B00B94" w:rsidR="00815D09" w:rsidRPr="00B0553F" w:rsidRDefault="00815D09" w:rsidP="00B0553F">
                                  <w:pPr>
                                    <w:pStyle w:val="TMGTableText"/>
                                    <w:jc w:val="center"/>
                                    <w:rPr>
                                      <w:b/>
                                      <w:bCs/>
                                    </w:rPr>
                                  </w:pPr>
                                  <w:r w:rsidRPr="00B0553F">
                                    <w:rPr>
                                      <w:rFonts w:eastAsiaTheme="minorEastAsia"/>
                                      <w:b/>
                                      <w:bCs/>
                                    </w:rPr>
                                    <w:t>8</w:t>
                                  </w:r>
                                </w:p>
                              </w:tc>
                              <w:tc>
                                <w:tcPr>
                                  <w:tcW w:w="3240" w:type="dxa"/>
                                </w:tcPr>
                                <w:p w14:paraId="73E0E672" w14:textId="77B8FB23" w:rsidR="00815D09" w:rsidRPr="00C251E9" w:rsidRDefault="00815D09" w:rsidP="00815D09">
                                  <w:pPr>
                                    <w:pStyle w:val="TMGTableText"/>
                                  </w:pPr>
                                  <w:r w:rsidRPr="00521214">
                                    <w:rPr>
                                      <w:rFonts w:eastAsiaTheme="minorEastAsia"/>
                                    </w:rPr>
                                    <w:t>Northwest</w:t>
                                  </w:r>
                                </w:p>
                              </w:tc>
                            </w:tr>
                            <w:tr w:rsidR="00815D09" w14:paraId="2B345CA1" w14:textId="77777777" w:rsidTr="00B0553F">
                              <w:tc>
                                <w:tcPr>
                                  <w:tcW w:w="625" w:type="dxa"/>
                                  <w:vAlign w:val="center"/>
                                </w:tcPr>
                                <w:p w14:paraId="0AF77D22" w14:textId="0E876DC5" w:rsidR="00815D09" w:rsidRPr="00B0553F" w:rsidRDefault="00815D09" w:rsidP="00B0553F">
                                  <w:pPr>
                                    <w:pStyle w:val="TMGTableText"/>
                                    <w:jc w:val="center"/>
                                    <w:rPr>
                                      <w:b/>
                                      <w:bCs/>
                                    </w:rPr>
                                  </w:pPr>
                                  <w:r w:rsidRPr="00B0553F">
                                    <w:rPr>
                                      <w:rFonts w:eastAsiaTheme="minorEastAsia"/>
                                      <w:b/>
                                      <w:bCs/>
                                    </w:rPr>
                                    <w:t>9</w:t>
                                  </w:r>
                                </w:p>
                              </w:tc>
                              <w:tc>
                                <w:tcPr>
                                  <w:tcW w:w="3240" w:type="dxa"/>
                                </w:tcPr>
                                <w:p w14:paraId="538833B4" w14:textId="7C8AE260" w:rsidR="00815D09" w:rsidRPr="00C251E9" w:rsidRDefault="00815D09" w:rsidP="00815D09">
                                  <w:pPr>
                                    <w:pStyle w:val="TMGTableText"/>
                                  </w:pPr>
                                  <w:r w:rsidRPr="00521214">
                                    <w:rPr>
                                      <w:rFonts w:eastAsiaTheme="minorEastAsia"/>
                                    </w:rPr>
                                    <w:t>North-South or Northeast-Southwest combined (volume stations only)</w:t>
                                  </w:r>
                                </w:p>
                              </w:tc>
                            </w:tr>
                          </w:tbl>
                          <w:p w14:paraId="12D256F8" w14:textId="77777777" w:rsidR="00561667" w:rsidRDefault="00561667" w:rsidP="00561667"/>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75AA1AD" id="_x0000_s1124" type="#_x0000_t202" style="position:absolute;left:0;text-align:left;margin-left:274.5pt;margin-top:67.55pt;width:195.3pt;height:207.3pt;z-index:251734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" stroked="f">
                <v:textbox inset="0,0,0,0">
                  <w:txbxContent>
                    <w:p w14:paraId="552A6869" w14:textId="1561A614" w:rsidR="00561667" w:rsidRDefault="00561667" w:rsidP="00561667">
                      <w:pPr>
                        <w:pStyle w:val="TMGTableCaption"/>
                        <w:spacing w:before="0"/>
                      </w:pPr>
                      <w:bookmarkStart w:id="3276" w:name="_Ref113280390"/>
                      <w:bookmarkStart w:id="3277" w:name="_Toc109333467"/>
                      <w:bookmarkStart w:id="3278" w:name="_Toc109333795"/>
                      <w:bookmarkStart w:id="3279" w:name="_Toc113282542"/>
                      <w:bookmarkStart w:id="3280" w:name="_Toc114474879"/>
                      <w:bookmarkStart w:id="3281" w:name="_Toc120631185"/>
                      <w:r w:rsidRPr="00521214">
                        <w:t xml:space="preserve">Table </w:t>
                      </w:r>
                      <w:fldSimple w:instr=" STYLEREF 1 \s ">
                        <w:r w:rsidR="00FC0E95">
                          <w:rPr>
                            <w:noProof/>
                          </w:rPr>
                          <w:t>4</w:t>
                        </w:r>
                      </w:fldSimple>
                      <w:r>
                        <w:noBreakHyphen/>
                      </w:r>
                      <w:fldSimple w:instr=" SEQ Table \* ARABIC \s 1 ">
                        <w:r w:rsidR="00FC0E95">
                          <w:rPr>
                            <w:noProof/>
                          </w:rPr>
                          <w:t>37</w:t>
                        </w:r>
                      </w:fldSimple>
                      <w:bookmarkEnd w:id="3276"/>
                      <w:r>
                        <w:t xml:space="preserve">. </w:t>
                      </w:r>
                      <w:r w:rsidRPr="00521214">
                        <w:t xml:space="preserve">Direction </w:t>
                      </w:r>
                      <w:r w:rsidR="00815D09">
                        <w:t>o</w:t>
                      </w:r>
                      <w:r w:rsidRPr="00521214">
                        <w:t>f Route Codes</w:t>
                      </w:r>
                      <w:bookmarkEnd w:id="3277"/>
                      <w:bookmarkEnd w:id="3278"/>
                      <w:bookmarkEnd w:id="3279"/>
                      <w:bookmarkEnd w:id="3280"/>
                      <w:bookmarkEnd w:id="3281"/>
                    </w:p>
                    <w:tbl>
                      <w:tblPr>
                        <w:tblStyle w:val="TableGrid"/>
                        <w:tblW w:w="3865" w:type="dxa"/>
                        <w:tblCellMar>
                          <w:left w:w="86" w:type="dxa"/>
                          <w:right w:w="86" w:type="dxa"/>
                        </w:tblCellMar>
                        <w:tblLook w:val="04A0" w:firstRow="1" w:lastRow="0" w:firstColumn="1" w:lastColumn="0" w:noHBand="0" w:noVBand="1"/>
                      </w:tblPr>
                      <w:tblGrid>
                        <w:gridCol w:w="625"/>
                        <w:gridCol w:w="3240"/>
                      </w:tblGrid>
                      <w:tr w:rsidR="00561667" w14:paraId="44C9B1A2" w14:textId="77777777" w:rsidTr="00815D09">
                        <w:tc>
                          <w:tcPr>
                            <w:tcW w:w="625" w:type="dxa"/>
                            <w:tcBorders>
                              <w:right w:val="single" w:sz="4" w:space="0" w:color="FFFFFF" w:themeColor="background1"/>
                            </w:tcBorders>
                            <w:shd w:val="clear" w:color="auto" w:fill="1F3864"/>
                          </w:tcPr>
                          <w:p w14:paraId="56F4713D" w14:textId="77777777" w:rsidR="00561667" w:rsidRDefault="00561667" w:rsidP="00561667">
                            <w:pPr>
                              <w:pStyle w:val="TMGTableTextHeader"/>
                            </w:pPr>
                            <w:r w:rsidRPr="00521214">
                              <w:rPr>
                                <w:rFonts w:eastAsiaTheme="minorEastAsia"/>
                              </w:rPr>
                              <w:t>Code</w:t>
                            </w:r>
                          </w:p>
                        </w:tc>
                        <w:tc>
                          <w:tcPr>
                            <w:tcW w:w="3240" w:type="dxa"/>
                            <w:tcBorders>
                              <w:left w:val="single" w:sz="4" w:space="0" w:color="FFFFFF" w:themeColor="background1"/>
                            </w:tcBorders>
                            <w:shd w:val="clear" w:color="auto" w:fill="1F3864"/>
                          </w:tcPr>
                          <w:p w14:paraId="7AA91CFB" w14:textId="1912EA1E" w:rsidR="00561667" w:rsidRDefault="00815D09" w:rsidP="00561667">
                            <w:pPr>
                              <w:pStyle w:val="TMGTableTextHeader"/>
                            </w:pPr>
                            <w:r>
                              <w:rPr>
                                <w:rFonts w:eastAsiaTheme="minorEastAsia"/>
                              </w:rPr>
                              <w:t>Direction</w:t>
                            </w:r>
                          </w:p>
                        </w:tc>
                      </w:tr>
                      <w:tr w:rsidR="00815D09" w14:paraId="3B1A060A" w14:textId="77777777" w:rsidTr="00B0553F">
                        <w:tc>
                          <w:tcPr>
                            <w:tcW w:w="625" w:type="dxa"/>
                            <w:vAlign w:val="center"/>
                          </w:tcPr>
                          <w:p w14:paraId="08B075C9" w14:textId="269FF1A4" w:rsidR="00815D09" w:rsidRPr="00B0553F" w:rsidRDefault="00815D09" w:rsidP="00B0553F">
                            <w:pPr>
                              <w:pStyle w:val="TMGTableText"/>
                              <w:jc w:val="center"/>
                              <w:rPr>
                                <w:b/>
                                <w:bCs/>
                              </w:rPr>
                            </w:pPr>
                            <w:r w:rsidRPr="00B0553F">
                              <w:rPr>
                                <w:rFonts w:eastAsiaTheme="minorEastAsia"/>
                                <w:b/>
                                <w:bCs/>
                              </w:rPr>
                              <w:t>0</w:t>
                            </w:r>
                          </w:p>
                        </w:tc>
                        <w:tc>
                          <w:tcPr>
                            <w:tcW w:w="3240" w:type="dxa"/>
                          </w:tcPr>
                          <w:p w14:paraId="74A36301" w14:textId="6105E00A" w:rsidR="00815D09" w:rsidRPr="00C251E9" w:rsidRDefault="00815D09" w:rsidP="00815D09">
                            <w:pPr>
                              <w:pStyle w:val="TMGTableText"/>
                            </w:pPr>
                            <w:r w:rsidRPr="00521214">
                              <w:rPr>
                                <w:rFonts w:eastAsiaTheme="minorEastAsia"/>
                              </w:rPr>
                              <w:t>East-West or Southeast-Northwest combined (volume stations only)</w:t>
                            </w:r>
                          </w:p>
                        </w:tc>
                      </w:tr>
                      <w:tr w:rsidR="00815D09" w14:paraId="71F821A7" w14:textId="77777777" w:rsidTr="00B0553F">
                        <w:tc>
                          <w:tcPr>
                            <w:tcW w:w="625" w:type="dxa"/>
                            <w:vAlign w:val="center"/>
                          </w:tcPr>
                          <w:p w14:paraId="70667E07" w14:textId="3970DA11" w:rsidR="00815D09" w:rsidRPr="00B0553F" w:rsidRDefault="00815D09" w:rsidP="00B0553F">
                            <w:pPr>
                              <w:pStyle w:val="TMGTableText"/>
                              <w:jc w:val="center"/>
                              <w:rPr>
                                <w:b/>
                                <w:bCs/>
                              </w:rPr>
                            </w:pPr>
                            <w:r w:rsidRPr="00B0553F">
                              <w:rPr>
                                <w:rFonts w:eastAsiaTheme="minorEastAsia"/>
                                <w:b/>
                                <w:bCs/>
                              </w:rPr>
                              <w:t>1</w:t>
                            </w:r>
                          </w:p>
                        </w:tc>
                        <w:tc>
                          <w:tcPr>
                            <w:tcW w:w="3240" w:type="dxa"/>
                          </w:tcPr>
                          <w:p w14:paraId="26FDCEED" w14:textId="396A905F" w:rsidR="00815D09" w:rsidRPr="00C251E9" w:rsidRDefault="00815D09" w:rsidP="00815D09">
                            <w:pPr>
                              <w:pStyle w:val="TMGTableText"/>
                            </w:pPr>
                            <w:r w:rsidRPr="00521214">
                              <w:rPr>
                                <w:rFonts w:eastAsiaTheme="minorEastAsia"/>
                              </w:rPr>
                              <w:t>North</w:t>
                            </w:r>
                          </w:p>
                        </w:tc>
                      </w:tr>
                      <w:tr w:rsidR="00815D09" w14:paraId="62B30D8D" w14:textId="77777777" w:rsidTr="00B0553F">
                        <w:tc>
                          <w:tcPr>
                            <w:tcW w:w="625" w:type="dxa"/>
                            <w:vAlign w:val="center"/>
                          </w:tcPr>
                          <w:p w14:paraId="572FEF6A" w14:textId="48317051" w:rsidR="00815D09" w:rsidRPr="00B0553F" w:rsidRDefault="00815D09" w:rsidP="00B0553F">
                            <w:pPr>
                              <w:pStyle w:val="TMGTableText"/>
                              <w:jc w:val="center"/>
                              <w:rPr>
                                <w:b/>
                                <w:bCs/>
                              </w:rPr>
                            </w:pPr>
                            <w:r w:rsidRPr="00B0553F">
                              <w:rPr>
                                <w:rFonts w:eastAsiaTheme="minorEastAsia"/>
                                <w:b/>
                                <w:bCs/>
                              </w:rPr>
                              <w:t>2</w:t>
                            </w:r>
                          </w:p>
                        </w:tc>
                        <w:tc>
                          <w:tcPr>
                            <w:tcW w:w="3240" w:type="dxa"/>
                          </w:tcPr>
                          <w:p w14:paraId="65009723" w14:textId="2BAEAB2B" w:rsidR="00815D09" w:rsidRPr="00C251E9" w:rsidRDefault="00815D09" w:rsidP="00815D09">
                            <w:pPr>
                              <w:pStyle w:val="TMGTableText"/>
                            </w:pPr>
                            <w:r w:rsidRPr="00521214">
                              <w:rPr>
                                <w:rFonts w:eastAsiaTheme="minorEastAsia"/>
                              </w:rPr>
                              <w:t>Northeast</w:t>
                            </w:r>
                          </w:p>
                        </w:tc>
                      </w:tr>
                      <w:tr w:rsidR="00815D09" w14:paraId="706DA3BB" w14:textId="77777777" w:rsidTr="00B0553F">
                        <w:tc>
                          <w:tcPr>
                            <w:tcW w:w="625" w:type="dxa"/>
                            <w:vAlign w:val="center"/>
                          </w:tcPr>
                          <w:p w14:paraId="0A1BD363" w14:textId="66E95EFE" w:rsidR="00815D09" w:rsidRPr="00B0553F" w:rsidRDefault="00815D09" w:rsidP="00B0553F">
                            <w:pPr>
                              <w:pStyle w:val="TMGTableText"/>
                              <w:jc w:val="center"/>
                              <w:rPr>
                                <w:b/>
                                <w:bCs/>
                              </w:rPr>
                            </w:pPr>
                            <w:r w:rsidRPr="00B0553F">
                              <w:rPr>
                                <w:rFonts w:eastAsiaTheme="minorEastAsia"/>
                                <w:b/>
                                <w:bCs/>
                              </w:rPr>
                              <w:t>3</w:t>
                            </w:r>
                          </w:p>
                        </w:tc>
                        <w:tc>
                          <w:tcPr>
                            <w:tcW w:w="3240" w:type="dxa"/>
                          </w:tcPr>
                          <w:p w14:paraId="6889256D" w14:textId="21EE3654" w:rsidR="00815D09" w:rsidRPr="00C251E9" w:rsidRDefault="00815D09" w:rsidP="00815D09">
                            <w:pPr>
                              <w:pStyle w:val="TMGTableText"/>
                            </w:pPr>
                            <w:r w:rsidRPr="00521214">
                              <w:rPr>
                                <w:rFonts w:eastAsiaTheme="minorEastAsia"/>
                              </w:rPr>
                              <w:t>East</w:t>
                            </w:r>
                          </w:p>
                        </w:tc>
                      </w:tr>
                      <w:tr w:rsidR="00815D09" w14:paraId="3B1C6674" w14:textId="77777777" w:rsidTr="00B0553F">
                        <w:tc>
                          <w:tcPr>
                            <w:tcW w:w="625" w:type="dxa"/>
                            <w:vAlign w:val="center"/>
                          </w:tcPr>
                          <w:p w14:paraId="392F34AB" w14:textId="4AA6F840" w:rsidR="00815D09" w:rsidRPr="00B0553F" w:rsidRDefault="00815D09" w:rsidP="00B0553F">
                            <w:pPr>
                              <w:pStyle w:val="TMGTableText"/>
                              <w:jc w:val="center"/>
                              <w:rPr>
                                <w:b/>
                                <w:bCs/>
                              </w:rPr>
                            </w:pPr>
                            <w:r w:rsidRPr="00B0553F">
                              <w:rPr>
                                <w:rFonts w:eastAsiaTheme="minorEastAsia"/>
                                <w:b/>
                                <w:bCs/>
                              </w:rPr>
                              <w:t>4</w:t>
                            </w:r>
                          </w:p>
                        </w:tc>
                        <w:tc>
                          <w:tcPr>
                            <w:tcW w:w="3240" w:type="dxa"/>
                          </w:tcPr>
                          <w:p w14:paraId="63046826" w14:textId="028E90E3" w:rsidR="00815D09" w:rsidRPr="00C251E9" w:rsidRDefault="00815D09" w:rsidP="00815D09">
                            <w:pPr>
                              <w:pStyle w:val="TMGTableText"/>
                            </w:pPr>
                            <w:r w:rsidRPr="00521214">
                              <w:rPr>
                                <w:rFonts w:eastAsiaTheme="minorEastAsia"/>
                              </w:rPr>
                              <w:t>Southeast</w:t>
                            </w:r>
                          </w:p>
                        </w:tc>
                      </w:tr>
                      <w:tr w:rsidR="00815D09" w14:paraId="07E568B9" w14:textId="77777777" w:rsidTr="00B0553F">
                        <w:tc>
                          <w:tcPr>
                            <w:tcW w:w="625" w:type="dxa"/>
                            <w:vAlign w:val="center"/>
                          </w:tcPr>
                          <w:p w14:paraId="4B933227" w14:textId="3258FB94" w:rsidR="00815D09" w:rsidRPr="00B0553F" w:rsidRDefault="00815D09" w:rsidP="00B0553F">
                            <w:pPr>
                              <w:pStyle w:val="TMGTableText"/>
                              <w:jc w:val="center"/>
                              <w:rPr>
                                <w:b/>
                                <w:bCs/>
                              </w:rPr>
                            </w:pPr>
                            <w:r w:rsidRPr="00B0553F">
                              <w:rPr>
                                <w:rFonts w:eastAsiaTheme="minorEastAsia"/>
                                <w:b/>
                                <w:bCs/>
                              </w:rPr>
                              <w:t>5</w:t>
                            </w:r>
                          </w:p>
                        </w:tc>
                        <w:tc>
                          <w:tcPr>
                            <w:tcW w:w="3240" w:type="dxa"/>
                          </w:tcPr>
                          <w:p w14:paraId="68F7DCFB" w14:textId="1AB82F91" w:rsidR="00815D09" w:rsidRPr="00C251E9" w:rsidRDefault="00815D09" w:rsidP="00815D09">
                            <w:pPr>
                              <w:pStyle w:val="TMGTableText"/>
                            </w:pPr>
                            <w:r w:rsidRPr="00521214">
                              <w:rPr>
                                <w:rFonts w:eastAsiaTheme="minorEastAsia"/>
                              </w:rPr>
                              <w:t>South</w:t>
                            </w:r>
                          </w:p>
                        </w:tc>
                      </w:tr>
                      <w:tr w:rsidR="00815D09" w14:paraId="30485A7F" w14:textId="77777777" w:rsidTr="00B0553F">
                        <w:tc>
                          <w:tcPr>
                            <w:tcW w:w="625" w:type="dxa"/>
                            <w:vAlign w:val="center"/>
                          </w:tcPr>
                          <w:p w14:paraId="4B54D3A3" w14:textId="27058D24" w:rsidR="00815D09" w:rsidRPr="00B0553F" w:rsidRDefault="00815D09" w:rsidP="00B0553F">
                            <w:pPr>
                              <w:pStyle w:val="TMGTableText"/>
                              <w:jc w:val="center"/>
                              <w:rPr>
                                <w:b/>
                                <w:bCs/>
                              </w:rPr>
                            </w:pPr>
                            <w:r w:rsidRPr="00B0553F">
                              <w:rPr>
                                <w:rFonts w:eastAsiaTheme="minorEastAsia"/>
                                <w:b/>
                                <w:bCs/>
                              </w:rPr>
                              <w:t>6</w:t>
                            </w:r>
                          </w:p>
                        </w:tc>
                        <w:tc>
                          <w:tcPr>
                            <w:tcW w:w="3240" w:type="dxa"/>
                          </w:tcPr>
                          <w:p w14:paraId="1047DF25" w14:textId="1B047226" w:rsidR="00815D09" w:rsidRPr="00C251E9" w:rsidRDefault="00815D09" w:rsidP="00815D09">
                            <w:pPr>
                              <w:pStyle w:val="TMGTableText"/>
                            </w:pPr>
                            <w:r w:rsidRPr="00521214">
                              <w:rPr>
                                <w:rFonts w:eastAsiaTheme="minorEastAsia"/>
                              </w:rPr>
                              <w:t>Southwest</w:t>
                            </w:r>
                          </w:p>
                        </w:tc>
                      </w:tr>
                      <w:tr w:rsidR="00815D09" w14:paraId="139EAA21" w14:textId="77777777" w:rsidTr="00B0553F">
                        <w:tc>
                          <w:tcPr>
                            <w:tcW w:w="625" w:type="dxa"/>
                            <w:vAlign w:val="center"/>
                          </w:tcPr>
                          <w:p w14:paraId="06EF2507" w14:textId="149BEE01" w:rsidR="00815D09" w:rsidRPr="00B0553F" w:rsidRDefault="00815D09" w:rsidP="00B0553F">
                            <w:pPr>
                              <w:pStyle w:val="TMGTableText"/>
                              <w:jc w:val="center"/>
                              <w:rPr>
                                <w:b/>
                                <w:bCs/>
                              </w:rPr>
                            </w:pPr>
                            <w:r w:rsidRPr="00B0553F">
                              <w:rPr>
                                <w:rFonts w:eastAsiaTheme="minorEastAsia"/>
                                <w:b/>
                                <w:bCs/>
                              </w:rPr>
                              <w:t>7</w:t>
                            </w:r>
                          </w:p>
                        </w:tc>
                        <w:tc>
                          <w:tcPr>
                            <w:tcW w:w="3240" w:type="dxa"/>
                          </w:tcPr>
                          <w:p w14:paraId="1F6C2A47" w14:textId="3D0659CE" w:rsidR="00815D09" w:rsidRPr="00C251E9" w:rsidRDefault="00815D09" w:rsidP="00815D09">
                            <w:pPr>
                              <w:pStyle w:val="TMGTableText"/>
                            </w:pPr>
                            <w:r w:rsidRPr="00521214">
                              <w:rPr>
                                <w:rFonts w:eastAsiaTheme="minorEastAsia"/>
                              </w:rPr>
                              <w:t>West</w:t>
                            </w:r>
                          </w:p>
                        </w:tc>
                      </w:tr>
                      <w:tr w:rsidR="00815D09" w14:paraId="15F59F93" w14:textId="77777777" w:rsidTr="00B0553F">
                        <w:tc>
                          <w:tcPr>
                            <w:tcW w:w="625" w:type="dxa"/>
                            <w:vAlign w:val="center"/>
                          </w:tcPr>
                          <w:p w14:paraId="48F180A4" w14:textId="37B00B94" w:rsidR="00815D09" w:rsidRPr="00B0553F" w:rsidRDefault="00815D09" w:rsidP="00B0553F">
                            <w:pPr>
                              <w:pStyle w:val="TMGTableText"/>
                              <w:jc w:val="center"/>
                              <w:rPr>
                                <w:b/>
                                <w:bCs/>
                              </w:rPr>
                            </w:pPr>
                            <w:r w:rsidRPr="00B0553F">
                              <w:rPr>
                                <w:rFonts w:eastAsiaTheme="minorEastAsia"/>
                                <w:b/>
                                <w:bCs/>
                              </w:rPr>
                              <w:t>8</w:t>
                            </w:r>
                          </w:p>
                        </w:tc>
                        <w:tc>
                          <w:tcPr>
                            <w:tcW w:w="3240" w:type="dxa"/>
                          </w:tcPr>
                          <w:p w14:paraId="73E0E672" w14:textId="77B8FB23" w:rsidR="00815D09" w:rsidRPr="00C251E9" w:rsidRDefault="00815D09" w:rsidP="00815D09">
                            <w:pPr>
                              <w:pStyle w:val="TMGTableText"/>
                            </w:pPr>
                            <w:r w:rsidRPr="00521214">
                              <w:rPr>
                                <w:rFonts w:eastAsiaTheme="minorEastAsia"/>
                              </w:rPr>
                              <w:t>Northwest</w:t>
                            </w:r>
                          </w:p>
                        </w:tc>
                      </w:tr>
                      <w:tr w:rsidR="00815D09" w14:paraId="2B345CA1" w14:textId="77777777" w:rsidTr="00B0553F">
                        <w:tc>
                          <w:tcPr>
                            <w:tcW w:w="625" w:type="dxa"/>
                            <w:vAlign w:val="center"/>
                          </w:tcPr>
                          <w:p w14:paraId="0AF77D22" w14:textId="0E876DC5" w:rsidR="00815D09" w:rsidRPr="00B0553F" w:rsidRDefault="00815D09" w:rsidP="00B0553F">
                            <w:pPr>
                              <w:pStyle w:val="TMGTableText"/>
                              <w:jc w:val="center"/>
                              <w:rPr>
                                <w:b/>
                                <w:bCs/>
                              </w:rPr>
                            </w:pPr>
                            <w:r w:rsidRPr="00B0553F">
                              <w:rPr>
                                <w:rFonts w:eastAsiaTheme="minorEastAsia"/>
                                <w:b/>
                                <w:bCs/>
                              </w:rPr>
                              <w:t>9</w:t>
                            </w:r>
                          </w:p>
                        </w:tc>
                        <w:tc>
                          <w:tcPr>
                            <w:tcW w:w="3240" w:type="dxa"/>
                          </w:tcPr>
                          <w:p w14:paraId="538833B4" w14:textId="7C8AE260" w:rsidR="00815D09" w:rsidRPr="00C251E9" w:rsidRDefault="00815D09" w:rsidP="00815D09">
                            <w:pPr>
                              <w:pStyle w:val="TMGTableText"/>
                            </w:pPr>
                            <w:r w:rsidRPr="00521214">
                              <w:rPr>
                                <w:rFonts w:eastAsiaTheme="minorEastAsia"/>
                              </w:rPr>
                              <w:t>North-South or Northeast-Southwest combined (volume stations only)</w:t>
                            </w:r>
                          </w:p>
                        </w:tc>
                      </w:tr>
                    </w:tbl>
                    <w:p w14:paraId="12D256F8" w14:textId="77777777" w:rsidR="00561667" w:rsidRDefault="00561667" w:rsidP="00561667"/>
                  </w:txbxContent>
                </v:textbox>
                <w10:wrap type="square" anchorx="margin"/>
              </v:shape>
            </w:pict>
          </mc:Fallback>
        </mc:AlternateContent>
      </w:r>
      <w:r w:rsidR="009B7AED" w:rsidRPr="00D96273">
        <w:t>urban area.</w:t>
      </w:r>
      <w:r w:rsidR="004D4172">
        <w:t xml:space="preserve"> </w:t>
      </w:r>
    </w:p>
    <w:p w14:paraId="250BD476" w14:textId="017657F0" w:rsidR="009B7AED" w:rsidRPr="00D96273" w:rsidRDefault="009B7AED">
      <w:pPr>
        <w:numPr>
          <w:ilvl w:val="0"/>
          <w:numId w:val="50"/>
        </w:numPr>
        <w:spacing w:after="120"/>
        <w:ind w:left="648"/>
      </w:pPr>
      <w:r w:rsidRPr="00D96273">
        <w:t xml:space="preserve">Direction of Route (Column 15) – </w:t>
      </w:r>
      <w:r>
        <w:rPr>
          <w:i/>
          <w:iCs/>
        </w:rPr>
        <w:t>Required</w:t>
      </w:r>
    </w:p>
    <w:p w14:paraId="51E266A4" w14:textId="662A6132" w:rsidR="009B7AED" w:rsidRPr="00D96273" w:rsidRDefault="009B7AED" w:rsidP="00C91F91">
      <w:pPr>
        <w:tabs>
          <w:tab w:val="left" w:pos="1440"/>
        </w:tabs>
        <w:spacing w:before="80" w:after="120"/>
        <w:ind w:left="648"/>
        <w:jc w:val="left"/>
      </w:pPr>
      <w:r w:rsidRPr="00D96273">
        <w:t>This is the geographic orientation of the main roadway. Note that a north/south roadway can be coded as</w:t>
      </w:r>
      <w:r w:rsidRPr="001B7522">
        <w:rPr>
          <w:b/>
          <w:bCs/>
        </w:rPr>
        <w:t xml:space="preserve"> either</w:t>
      </w:r>
      <w:r w:rsidRPr="00D96273">
        <w:t xml:space="preserve"> a </w:t>
      </w:r>
      <w:r>
        <w:t>1</w:t>
      </w:r>
      <w:r w:rsidRPr="00D96273">
        <w:t xml:space="preserve"> or as a </w:t>
      </w:r>
      <w:r>
        <w:t>5</w:t>
      </w:r>
      <w:r w:rsidRPr="00D96273">
        <w:t xml:space="preserve"> but the selection of the direction affects how the “Location of Count Relative to Roadway” variable (the next variable) is coded in order to effectively define the location and direction of the </w:t>
      </w:r>
      <w:r>
        <w:t xml:space="preserve">micromobility </w:t>
      </w:r>
      <w:r w:rsidRPr="00D96273">
        <w:t>count. Direction of Route should be chosen carefully so field collectors and users of the count data can easily comprehend where and in what direction counts are collected at this station. Valid codes for Direction o</w:t>
      </w:r>
      <w:r>
        <w:t xml:space="preserve">f Route are listed in </w:t>
      </w:r>
      <w:fldSimple w:instr=" REF _Ref113280390 ">
        <w:r w:rsidR="00C07DF9" w:rsidRPr="00521214">
          <w:t xml:space="preserve">Table </w:t>
        </w:r>
        <w:r w:rsidR="00C07DF9">
          <w:rPr>
            <w:noProof/>
          </w:rPr>
          <w:t>4</w:t>
        </w:r>
        <w:r w:rsidR="00C07DF9">
          <w:noBreakHyphen/>
        </w:r>
        <w:r w:rsidR="00C07DF9">
          <w:rPr>
            <w:noProof/>
          </w:rPr>
          <w:t>37</w:t>
        </w:r>
      </w:fldSimple>
      <w:r w:rsidRPr="00D96273">
        <w:t>.</w:t>
      </w:r>
    </w:p>
    <w:p w14:paraId="75888F1F" w14:textId="215AC7A0" w:rsidR="009B7AED" w:rsidRPr="00D96273" w:rsidRDefault="009B7AED" w:rsidP="00C91F91">
      <w:pPr>
        <w:tabs>
          <w:tab w:val="left" w:pos="1440"/>
        </w:tabs>
        <w:spacing w:before="80" w:after="120"/>
        <w:ind w:left="648"/>
        <w:jc w:val="left"/>
      </w:pPr>
      <w:r w:rsidRPr="00D96273">
        <w:t xml:space="preserve">Note: For a </w:t>
      </w:r>
      <w:r>
        <w:t xml:space="preserve">general type of micromobility count </w:t>
      </w:r>
      <w:r w:rsidRPr="00D96273">
        <w:t>(Functional Class coded as “9”), Direction of Route may be coded as either “0” or “9”.</w:t>
      </w:r>
    </w:p>
    <w:p w14:paraId="2A58A7C6" w14:textId="77777777" w:rsidR="009B7AED" w:rsidRPr="00D96273" w:rsidRDefault="009B7AED">
      <w:pPr>
        <w:numPr>
          <w:ilvl w:val="0"/>
          <w:numId w:val="50"/>
        </w:numPr>
        <w:spacing w:after="120"/>
        <w:ind w:left="648"/>
        <w:jc w:val="left"/>
      </w:pPr>
      <w:r w:rsidRPr="00D96273">
        <w:t xml:space="preserve">Location of Count Relative to Roadway (Column 16) – </w:t>
      </w:r>
      <w:r>
        <w:rPr>
          <w:i/>
          <w:iCs/>
        </w:rPr>
        <w:t>Required</w:t>
      </w:r>
    </w:p>
    <w:p w14:paraId="262930C5" w14:textId="77777777" w:rsidR="009B7AED" w:rsidRPr="00D96273" w:rsidRDefault="009B7AED" w:rsidP="00C91F91">
      <w:pPr>
        <w:pStyle w:val="BodyText"/>
        <w:ind w:left="648"/>
      </w:pPr>
      <w:r w:rsidRPr="00D96273">
        <w:t xml:space="preserve">1 = the count is taken on the side of the road for the listed Direction of Route </w:t>
      </w:r>
    </w:p>
    <w:p w14:paraId="1540C73E" w14:textId="77777777" w:rsidR="009B7AED" w:rsidRPr="00D96273" w:rsidRDefault="009B7AED" w:rsidP="00C91F91">
      <w:pPr>
        <w:pStyle w:val="BodyText"/>
        <w:ind w:left="648"/>
      </w:pPr>
      <w:r w:rsidRPr="00D96273">
        <w:t>2 = the count is taken on the opposite side of the road from the listed direction (i.e., the side with on-coming traffic, given the listed Direction of Route)</w:t>
      </w:r>
    </w:p>
    <w:p w14:paraId="7128488C" w14:textId="77777777" w:rsidR="009B7AED" w:rsidRPr="00D96273" w:rsidRDefault="009B7AED" w:rsidP="00C91F91">
      <w:pPr>
        <w:pStyle w:val="BodyText"/>
        <w:ind w:left="648"/>
      </w:pPr>
      <w:r w:rsidRPr="00D96273">
        <w:t>3 = both sides of the road combined (appropriate for example, if counting a trail or other shared use path, or for a “</w:t>
      </w:r>
      <w:r>
        <w:t>Other Facility Type</w:t>
      </w:r>
      <w:r w:rsidRPr="00D96273">
        <w:t>” where Functional Class is coded as “9”)</w:t>
      </w:r>
    </w:p>
    <w:p w14:paraId="31741773" w14:textId="77777777" w:rsidR="009B7AED" w:rsidRPr="00D96273" w:rsidRDefault="009B7AED" w:rsidP="00C91F91">
      <w:pPr>
        <w:pStyle w:val="BodyText"/>
        <w:ind w:left="648"/>
      </w:pPr>
      <w:r w:rsidRPr="00D96273">
        <w:t>4 = traffic moving perpendicular to the roadway (that is, crossing the street). Note: If Field 7 is set to 4 (traffic moving perpendicular to the roadway), then Field 8, “Direction of Movement” must have a value of 3, 5, or 6 (both ways, left to right, or right to left)</w:t>
      </w:r>
    </w:p>
    <w:p w14:paraId="4DB46288" w14:textId="77777777" w:rsidR="009B7AED" w:rsidRDefault="009B7AED" w:rsidP="00C91F91">
      <w:pPr>
        <w:pStyle w:val="BodyText"/>
        <w:ind w:left="648"/>
      </w:pPr>
      <w:r w:rsidRPr="00D96273">
        <w:t xml:space="preserve">Example: If you code the Direction of Route as “North” and are in fact facing in that northbound direction, a “1” for this variable would indicate that you are counting on the right (eastern) side of the road; a “2” would indicate you are counting </w:t>
      </w:r>
      <w:r>
        <w:t xml:space="preserve">micromobility </w:t>
      </w:r>
      <w:r w:rsidRPr="00D96273">
        <w:t xml:space="preserve">traffic on the left (western) side of the road; a “3” would indicate that you are counting all </w:t>
      </w:r>
      <w:r>
        <w:t xml:space="preserve">micromobility </w:t>
      </w:r>
      <w:r w:rsidRPr="00D96273">
        <w:t>traffic, regardless of which side of the road (which would be appropriate, for example, on a trail or other shared use path). For that same facility, if Direction of Route were coded as “South” then a count performed on the eastern side of the road would be coded as a “2”, since it would be on the opposite side of the road for vehicle traveling southbound.</w:t>
      </w:r>
    </w:p>
    <w:p w14:paraId="1C34C763" w14:textId="77777777" w:rsidR="009B7AED" w:rsidRPr="00D96273" w:rsidRDefault="009B7AED">
      <w:pPr>
        <w:numPr>
          <w:ilvl w:val="0"/>
          <w:numId w:val="50"/>
        </w:numPr>
        <w:spacing w:after="120"/>
        <w:ind w:left="648"/>
      </w:pPr>
      <w:r w:rsidRPr="00D96273">
        <w:t xml:space="preserve">Direction of Movement (Column 17) – </w:t>
      </w:r>
      <w:r>
        <w:rPr>
          <w:i/>
          <w:iCs/>
        </w:rPr>
        <w:t>Required</w:t>
      </w:r>
    </w:p>
    <w:p w14:paraId="2FD1DB7C" w14:textId="77777777" w:rsidR="009B7AED" w:rsidRPr="00A25FC4" w:rsidRDefault="009B7AED" w:rsidP="00C91F91">
      <w:pPr>
        <w:pStyle w:val="BodyText"/>
        <w:ind w:left="648"/>
      </w:pPr>
      <w:r w:rsidRPr="00A25FC4">
        <w:t>1 = travel monitored only occurring in the Direction of Route</w:t>
      </w:r>
    </w:p>
    <w:p w14:paraId="20DDF891" w14:textId="77777777" w:rsidR="009B7AED" w:rsidRPr="00A25FC4" w:rsidRDefault="009B7AED" w:rsidP="00C91F91">
      <w:pPr>
        <w:pStyle w:val="BodyText"/>
        <w:ind w:left="648"/>
      </w:pPr>
      <w:r w:rsidRPr="00A25FC4">
        <w:t>2 = travel monitored only occurring opposite to the Direction of Route</w:t>
      </w:r>
    </w:p>
    <w:p w14:paraId="7E95A851" w14:textId="77777777" w:rsidR="009B7AED" w:rsidRPr="00A25FC4" w:rsidRDefault="009B7AED" w:rsidP="00C91F91">
      <w:pPr>
        <w:pStyle w:val="BodyText"/>
        <w:ind w:left="648"/>
      </w:pPr>
      <w:r w:rsidRPr="00A25FC4">
        <w:t>3 = travel in both (all) directions</w:t>
      </w:r>
    </w:p>
    <w:p w14:paraId="4E671CDE" w14:textId="77777777" w:rsidR="009B7AED" w:rsidRPr="00A25FC4" w:rsidRDefault="009B7AED" w:rsidP="00C91F91">
      <w:pPr>
        <w:pStyle w:val="BodyText"/>
        <w:ind w:left="648"/>
      </w:pPr>
      <w:r w:rsidRPr="00A25FC4">
        <w:t>4 = travel at an intersection that includes all movements (e.g., the sum of movements on all four crosswalks, or all movements occurring during a pedestrian scramble (or “Barnes Dance”) phase. Note: The “Intersection” variable should also be coded as a “1” or “2” if this variable is coded as a “4”. For a “General Activity Count” that includes all movements in all directions (Functional Class coded as “9”, Direction of Route coded as “0” or “9”), code Direction of Movement as a “3” “all directions”</w:t>
      </w:r>
    </w:p>
    <w:p w14:paraId="64CB4AC9" w14:textId="77777777" w:rsidR="009B7AED" w:rsidRPr="00A25FC4" w:rsidRDefault="009B7AED" w:rsidP="00C91F91">
      <w:pPr>
        <w:pStyle w:val="BodyText"/>
        <w:ind w:left="648"/>
      </w:pPr>
      <w:r w:rsidRPr="00A25FC4">
        <w:lastRenderedPageBreak/>
        <w:t>5 = Travel monitored perpendicular to Direction of Route, crossing from Left to Right (facing Direction of Route)</w:t>
      </w:r>
    </w:p>
    <w:p w14:paraId="6600EE90" w14:textId="77777777" w:rsidR="009B7AED" w:rsidRPr="00A25FC4" w:rsidRDefault="009B7AED" w:rsidP="00C91F91">
      <w:pPr>
        <w:pStyle w:val="BodyText"/>
        <w:ind w:left="648"/>
      </w:pPr>
      <w:r w:rsidRPr="00A25FC4">
        <w:t>6 = Travel monitored perpendicular to Direction of Route, crossing from Right to Left (facing Direction of Route)</w:t>
      </w:r>
    </w:p>
    <w:p w14:paraId="4CCCF995" w14:textId="77777777" w:rsidR="009B7AED" w:rsidRPr="00A25FC4" w:rsidRDefault="009B7AED" w:rsidP="00C91F91">
      <w:pPr>
        <w:pStyle w:val="BodyText"/>
        <w:ind w:left="648"/>
      </w:pPr>
      <w:r w:rsidRPr="00A25FC4">
        <w:t>Note: To actually understand where a count is being taken (what side of the road, and which directions of movement are being counted) it is necessary to look at all three variables, Direction of Route, Location of Count Relative to Roadway, and Direction of Movement. It may also be necessary to look at the Facility Type variable immediately below.</w:t>
      </w:r>
    </w:p>
    <w:p w14:paraId="6E8F98DA" w14:textId="4ABC85BB" w:rsidR="009B7AED" w:rsidRPr="00A25FC4" w:rsidRDefault="009B7AED" w:rsidP="00C91F91">
      <w:pPr>
        <w:pStyle w:val="BodyText"/>
        <w:ind w:left="648"/>
      </w:pPr>
      <w:r w:rsidRPr="00A25FC4">
        <w:t>Note: If this field is set to either of the perpendicular codes (“5” or “6”), then Field 7 (Location of Count Relative to Roadway) must be set to “4” (perpendicular to roadway).</w:t>
      </w:r>
      <w:r w:rsidR="004D4172">
        <w:t xml:space="preserve"> </w:t>
      </w:r>
    </w:p>
    <w:p w14:paraId="15E7C73A" w14:textId="77777777" w:rsidR="009B7AED" w:rsidRPr="00D96273" w:rsidRDefault="009B7AED">
      <w:pPr>
        <w:numPr>
          <w:ilvl w:val="0"/>
          <w:numId w:val="50"/>
        </w:numPr>
        <w:spacing w:after="120"/>
        <w:ind w:left="648"/>
      </w:pPr>
      <w:r w:rsidRPr="00D96273">
        <w:t xml:space="preserve">Facility Type (Column 18) – </w:t>
      </w:r>
      <w:r>
        <w:rPr>
          <w:i/>
          <w:iCs/>
        </w:rPr>
        <w:t>Required</w:t>
      </w:r>
    </w:p>
    <w:p w14:paraId="77D2C26D" w14:textId="77777777" w:rsidR="009B7AED" w:rsidRPr="00A25FC4" w:rsidRDefault="009B7AED" w:rsidP="00C91F91">
      <w:pPr>
        <w:pStyle w:val="BodyText"/>
        <w:ind w:left="648"/>
      </w:pPr>
      <w:r w:rsidRPr="00A25FC4">
        <w:t>Indicates where the count was taken relative to the primary right-of-way:</w:t>
      </w:r>
    </w:p>
    <w:p w14:paraId="6B79BEF0" w14:textId="77777777" w:rsidR="009B7AED" w:rsidRPr="00A25FC4" w:rsidRDefault="009B7AED" w:rsidP="00C91F91">
      <w:pPr>
        <w:pStyle w:val="BodyText"/>
        <w:ind w:left="648"/>
      </w:pPr>
      <w:r w:rsidRPr="00A25FC4">
        <w:t>0 = On a trail not intended for on-road motor vehicles (may accommodate snowmobiles or other off-road motorized vehicles) and not within the right of way of an adjacent road (Functional Classification 8 is intended for this Facility Type.)</w:t>
      </w:r>
    </w:p>
    <w:p w14:paraId="389EFA65" w14:textId="77777777" w:rsidR="009B7AED" w:rsidRPr="00A25FC4" w:rsidRDefault="009B7AED" w:rsidP="00C91F91">
      <w:pPr>
        <w:pStyle w:val="BodyText"/>
        <w:ind w:left="648"/>
      </w:pPr>
      <w:r w:rsidRPr="00A25FC4">
        <w:t>1 = in a shared roadway lane (including roadways designated as “bicycle boulevards” or “neighborhood greenways”)</w:t>
      </w:r>
    </w:p>
    <w:p w14:paraId="45F8BC3F" w14:textId="77777777" w:rsidR="009B7AED" w:rsidRPr="00A25FC4" w:rsidRDefault="009B7AED" w:rsidP="00C91F91">
      <w:pPr>
        <w:pStyle w:val="BodyText"/>
        <w:ind w:left="648"/>
      </w:pPr>
      <w:r w:rsidRPr="00A25FC4">
        <w:t>2 = exclusively in a crosswalk</w:t>
      </w:r>
    </w:p>
    <w:p w14:paraId="725AA8A1" w14:textId="77777777" w:rsidR="009B7AED" w:rsidRPr="00A25FC4" w:rsidRDefault="009B7AED" w:rsidP="00C91F91">
      <w:pPr>
        <w:pStyle w:val="BodyText"/>
        <w:ind w:left="648"/>
      </w:pPr>
      <w:r w:rsidRPr="00A25FC4">
        <w:t>3 = on a sidewalk intended primarily or exclusively for pedestrians</w:t>
      </w:r>
    </w:p>
    <w:p w14:paraId="1B043056" w14:textId="77777777" w:rsidR="009B7AED" w:rsidRPr="00A25FC4" w:rsidRDefault="009B7AED" w:rsidP="00C91F91">
      <w:pPr>
        <w:pStyle w:val="BodyText"/>
        <w:ind w:left="648"/>
      </w:pPr>
      <w:r w:rsidRPr="00A25FC4">
        <w:t>4 = in a striped (painted) bicycle lane (with no vertical separation or parking area separating adjacent motorized traffic; if there is such a separator, code “7”</w:t>
      </w:r>
    </w:p>
    <w:p w14:paraId="0ABF12DC" w14:textId="77777777" w:rsidR="009B7AED" w:rsidRPr="00A25FC4" w:rsidRDefault="009B7AED" w:rsidP="00C91F91">
      <w:pPr>
        <w:pStyle w:val="BodyText"/>
        <w:ind w:left="648"/>
      </w:pPr>
      <w:r w:rsidRPr="00A25FC4">
        <w:t>5 = on an overpass intended to allow micromobility traffic to pass over a roadway</w:t>
      </w:r>
    </w:p>
    <w:p w14:paraId="5F433D90" w14:textId="77777777" w:rsidR="009B7AED" w:rsidRPr="00A25FC4" w:rsidRDefault="009B7AED" w:rsidP="00C91F91">
      <w:pPr>
        <w:pStyle w:val="BodyText"/>
        <w:ind w:left="648"/>
      </w:pPr>
      <w:r w:rsidRPr="00A25FC4">
        <w:t>6 = in an underpass intended to allow micromobility traffic to pass under a roadway</w:t>
      </w:r>
    </w:p>
    <w:p w14:paraId="319DADA2" w14:textId="77777777" w:rsidR="009B7AED" w:rsidRPr="00A25FC4" w:rsidRDefault="009B7AED" w:rsidP="00C91F91">
      <w:pPr>
        <w:pStyle w:val="BodyText"/>
        <w:ind w:left="648"/>
      </w:pPr>
      <w:r w:rsidRPr="00A25FC4">
        <w:t>7 = in a physically separated bicycle lane (distinguished from “4” by being separated by landscaping, curb, bollards, flexible delineators, parked motor vehicles, or other vertical element from an immediately adjacent motorized roadway lane, distinguished from “8” by being marked for bicycle travel exclusively)</w:t>
      </w:r>
    </w:p>
    <w:p w14:paraId="091ADE0C" w14:textId="77777777" w:rsidR="009B7AED" w:rsidRPr="00A25FC4" w:rsidRDefault="009B7AED" w:rsidP="00C91F91">
      <w:pPr>
        <w:pStyle w:val="BodyText"/>
        <w:ind w:left="648"/>
      </w:pPr>
      <w:r w:rsidRPr="00A25FC4">
        <w:t>8 = on a side-path intended primarily for shared use by bicycles and pedestrians, occurring in a roadway right of way or immediately adjacent to a roadway (distinguished from "3" by explicitly</w:t>
      </w:r>
      <w:r>
        <w:t xml:space="preserve"> </w:t>
      </w:r>
      <w:r w:rsidRPr="00A25FC4">
        <w:t>allowing bicycles; distinguished from "0" by being associated with a roadway; distinguished from "7" by allowing pedestrians)</w:t>
      </w:r>
    </w:p>
    <w:p w14:paraId="66C51CB1" w14:textId="77777777" w:rsidR="009B7AED" w:rsidRPr="00A25FC4" w:rsidRDefault="009B7AED" w:rsidP="00C91F91">
      <w:pPr>
        <w:pStyle w:val="BodyText"/>
        <w:ind w:left="648"/>
      </w:pPr>
      <w:r w:rsidRPr="00A25FC4">
        <w:t>9 = general area (for general area count, with no facility explicitly designated)</w:t>
      </w:r>
    </w:p>
    <w:p w14:paraId="32EAA431" w14:textId="77777777" w:rsidR="009B7AED" w:rsidRPr="00A25FC4" w:rsidRDefault="009B7AED" w:rsidP="00C91F91">
      <w:pPr>
        <w:pStyle w:val="BodyText"/>
        <w:ind w:left="648"/>
      </w:pPr>
      <w:r w:rsidRPr="00A25FC4">
        <w:t>A = Shared trail right of way. (Note: Coding “A” rather than “0” for a trail would indicate the trail is potentially open to motor vehicles such as a fire road in a national forest.)</w:t>
      </w:r>
    </w:p>
    <w:p w14:paraId="6EA9C93C" w14:textId="77777777" w:rsidR="009B7AED" w:rsidRPr="00A25FC4" w:rsidRDefault="009B7AED" w:rsidP="00C91F91">
      <w:pPr>
        <w:pStyle w:val="BodyText"/>
        <w:ind w:left="648"/>
      </w:pPr>
      <w:r w:rsidRPr="00A25FC4">
        <w:t>B = On a roadway shoulder not exclusively intended for bicycle or pedestrian travel. (Note: Coding “B” rather than “4” would indicate that the count was taken on a roadway shoulder that is not explicitly marked as only for bicycles.)</w:t>
      </w:r>
    </w:p>
    <w:p w14:paraId="0299F00C" w14:textId="5BA68426" w:rsidR="00815D09" w:rsidRDefault="009B7AED" w:rsidP="00C91F91">
      <w:pPr>
        <w:pStyle w:val="BodyText"/>
        <w:ind w:left="648"/>
      </w:pPr>
      <w:r w:rsidRPr="00A25FC4">
        <w:t>Note 1: If “perpendicular to traffic” (“4”) is selected in “Location of Count Relative to Roadway” variable and the “Facility Type” variable is coded as “in roadway right of way” (“1”) then the count</w:t>
      </w:r>
      <w:r w:rsidRPr="00D96273">
        <w:t xml:space="preserve"> includes ALL people crossing a roadway. If “exclusively in a crosswalk” (“2”) is indicated, then only those in the crosswalk (or directly next to the crosswalk) are being counted. This coding differentiation is designed to indicate if all pedestrians crossing a street within a given block (including jaywalkers) are being counted, or whether only pedestrians using a marked crosswalk are being counted.</w:t>
      </w:r>
    </w:p>
    <w:p w14:paraId="1E289693" w14:textId="77777777" w:rsidR="00815D09" w:rsidRDefault="00815D09">
      <w:pPr>
        <w:widowControl/>
        <w:suppressAutoHyphens w:val="0"/>
        <w:autoSpaceDE/>
        <w:autoSpaceDN/>
        <w:adjustRightInd/>
        <w:spacing w:after="160" w:line="259" w:lineRule="auto"/>
        <w:jc w:val="left"/>
        <w:textAlignment w:val="auto"/>
        <w:rPr>
          <w:color w:val="auto"/>
        </w:rPr>
      </w:pPr>
      <w:r>
        <w:br w:type="page"/>
      </w:r>
    </w:p>
    <w:p w14:paraId="669AA98A" w14:textId="77777777" w:rsidR="009B7AED" w:rsidRPr="00D96273" w:rsidRDefault="009B7AED">
      <w:pPr>
        <w:numPr>
          <w:ilvl w:val="0"/>
          <w:numId w:val="50"/>
        </w:numPr>
        <w:spacing w:after="120"/>
        <w:ind w:left="648"/>
      </w:pPr>
      <w:r w:rsidRPr="00D96273">
        <w:lastRenderedPageBreak/>
        <w:t xml:space="preserve">Intersection (Column 19) – </w:t>
      </w:r>
      <w:r w:rsidRPr="00D96273">
        <w:rPr>
          <w:i/>
          <w:iCs/>
        </w:rPr>
        <w:t>Optional</w:t>
      </w:r>
      <w:r w:rsidRPr="00D96273">
        <w:t xml:space="preserve"> </w:t>
      </w:r>
    </w:p>
    <w:p w14:paraId="56670147" w14:textId="77777777" w:rsidR="009B7AED" w:rsidRPr="00D96273" w:rsidRDefault="009B7AED" w:rsidP="00C91F91">
      <w:pPr>
        <w:pStyle w:val="BodyText"/>
        <w:ind w:left="648"/>
      </w:pPr>
      <w:r w:rsidRPr="00D96273">
        <w:t>0 = count is NOT taken at an intersection</w:t>
      </w:r>
    </w:p>
    <w:p w14:paraId="48A8F216" w14:textId="77777777" w:rsidR="009B7AED" w:rsidRPr="00D96273" w:rsidRDefault="009B7AED" w:rsidP="00C91F91">
      <w:pPr>
        <w:pStyle w:val="BodyText"/>
        <w:ind w:left="648"/>
      </w:pPr>
      <w:r w:rsidRPr="00D96273">
        <w:t xml:space="preserve">1 = count is taken at an intersection (but not an intersection with a roundabout or </w:t>
      </w:r>
    </w:p>
    <w:p w14:paraId="145C020C" w14:textId="77777777" w:rsidR="009B7AED" w:rsidRPr="00D96273" w:rsidRDefault="009B7AED" w:rsidP="00C91F91">
      <w:pPr>
        <w:pStyle w:val="BodyText"/>
        <w:ind w:left="648"/>
      </w:pPr>
      <w:r w:rsidRPr="00D96273">
        <w:t>traffic circle)</w:t>
      </w:r>
    </w:p>
    <w:p w14:paraId="28C747D9" w14:textId="77777777" w:rsidR="009B7AED" w:rsidRPr="00D96273" w:rsidRDefault="009B7AED" w:rsidP="00C91F91">
      <w:pPr>
        <w:pStyle w:val="BodyText"/>
        <w:ind w:left="648"/>
      </w:pPr>
      <w:r w:rsidRPr="00D96273">
        <w:t>2 = count taken at an intersection with a roundabout or traffic circle</w:t>
      </w:r>
    </w:p>
    <w:p w14:paraId="001C203C" w14:textId="77777777" w:rsidR="009B7AED" w:rsidRPr="00D96273" w:rsidRDefault="009B7AED">
      <w:pPr>
        <w:numPr>
          <w:ilvl w:val="0"/>
          <w:numId w:val="50"/>
        </w:numPr>
        <w:spacing w:after="120"/>
        <w:ind w:left="648"/>
      </w:pPr>
      <w:r w:rsidRPr="00D96273">
        <w:t xml:space="preserve">Type of Count (Column 20) – </w:t>
      </w:r>
      <w:r>
        <w:rPr>
          <w:i/>
          <w:iCs/>
        </w:rPr>
        <w:t>Required</w:t>
      </w:r>
      <w:r w:rsidRPr="00D96273">
        <w:t xml:space="preserve"> </w:t>
      </w:r>
    </w:p>
    <w:p w14:paraId="520D4D73" w14:textId="77777777" w:rsidR="009B7AED" w:rsidRPr="00D96273" w:rsidRDefault="009B7AED" w:rsidP="00C91F91">
      <w:pPr>
        <w:pStyle w:val="BodyText"/>
        <w:ind w:left="648"/>
      </w:pPr>
      <w:r w:rsidRPr="00D96273">
        <w:t xml:space="preserve">1 = pedestrians (only) </w:t>
      </w:r>
    </w:p>
    <w:p w14:paraId="636122B2" w14:textId="77777777" w:rsidR="009B7AED" w:rsidRPr="00D96273" w:rsidRDefault="009B7AED" w:rsidP="00C91F91">
      <w:pPr>
        <w:pStyle w:val="BodyText"/>
        <w:ind w:left="648"/>
      </w:pPr>
      <w:r w:rsidRPr="00D96273">
        <w:t xml:space="preserve">2 = bicycles (only, but including eBikes) </w:t>
      </w:r>
    </w:p>
    <w:p w14:paraId="207D00CD" w14:textId="77777777" w:rsidR="009B7AED" w:rsidRPr="00D96273" w:rsidRDefault="009B7AED" w:rsidP="00C91F91">
      <w:pPr>
        <w:pStyle w:val="BodyText"/>
        <w:ind w:left="648"/>
      </w:pPr>
      <w:r w:rsidRPr="00D96273">
        <w:t>3 = equestrians (only), “persons riding a horse or other animal”</w:t>
      </w:r>
    </w:p>
    <w:p w14:paraId="76946ECB" w14:textId="77777777" w:rsidR="009B7AED" w:rsidRPr="00D96273" w:rsidRDefault="009B7AED" w:rsidP="00C91F91">
      <w:pPr>
        <w:pStyle w:val="BodyText"/>
        <w:ind w:left="648"/>
      </w:pPr>
      <w:r w:rsidRPr="00D96273">
        <w:t>4 = persons using wheelchairs (including powered wheelchairs)</w:t>
      </w:r>
    </w:p>
    <w:p w14:paraId="376B5609" w14:textId="77777777" w:rsidR="009B7AED" w:rsidRPr="00D96273" w:rsidRDefault="009B7AED" w:rsidP="00C91F91">
      <w:pPr>
        <w:pStyle w:val="BodyText"/>
        <w:ind w:left="648"/>
      </w:pPr>
      <w:r w:rsidRPr="00D96273">
        <w:t>5 = persons using other mobility devices (scooters, skates, skateboards, Segway®, hoverboards, etc.)</w:t>
      </w:r>
    </w:p>
    <w:p w14:paraId="2BD06D83" w14:textId="77777777" w:rsidR="009B7AED" w:rsidRPr="00D96273" w:rsidRDefault="009B7AED" w:rsidP="00C91F91">
      <w:pPr>
        <w:pStyle w:val="BodyText"/>
        <w:ind w:left="648"/>
      </w:pPr>
      <w:r w:rsidRPr="00D96273">
        <w:t>6 = motorized vehicles on a trail (e.g.</w:t>
      </w:r>
      <w:r>
        <w:t>,</w:t>
      </w:r>
      <w:r w:rsidRPr="00D96273">
        <w:t xml:space="preserve"> snowmobiles, all-terrain vehicles, etc., specify in Field 32, Other Notes); implies Facility Type “0”</w:t>
      </w:r>
    </w:p>
    <w:p w14:paraId="7606170C" w14:textId="77777777" w:rsidR="009B7AED" w:rsidRPr="00D96273" w:rsidRDefault="009B7AED" w:rsidP="00C91F91">
      <w:pPr>
        <w:pStyle w:val="BodyText"/>
        <w:ind w:left="648"/>
      </w:pPr>
      <w:r w:rsidRPr="00D96273">
        <w:t>7 = all bicycles and pedestrians (sum of codes 1 and 2)</w:t>
      </w:r>
    </w:p>
    <w:p w14:paraId="62AF2D1B" w14:textId="77777777" w:rsidR="009B7AED" w:rsidRPr="00D96273" w:rsidRDefault="009B7AED" w:rsidP="00C91F91">
      <w:pPr>
        <w:pStyle w:val="BodyText"/>
        <w:ind w:left="648"/>
      </w:pPr>
      <w:r w:rsidRPr="00D96273">
        <w:t xml:space="preserve">8 = all </w:t>
      </w:r>
      <w:r>
        <w:t xml:space="preserve">micromobility </w:t>
      </w:r>
      <w:r w:rsidRPr="00D96273">
        <w:t>traffic on the facility (sum of codes 1 through 5)</w:t>
      </w:r>
    </w:p>
    <w:p w14:paraId="7562477C" w14:textId="77777777" w:rsidR="009B7AED" w:rsidRPr="00D96273" w:rsidRDefault="009B7AED" w:rsidP="00C91F91">
      <w:pPr>
        <w:pStyle w:val="BodyText"/>
        <w:ind w:left="648"/>
      </w:pPr>
      <w:r w:rsidRPr="00D96273">
        <w:t>9 = all traffic on a trail (sum of codes 1 through 6)</w:t>
      </w:r>
    </w:p>
    <w:p w14:paraId="565D68B7" w14:textId="77777777" w:rsidR="009B7AED" w:rsidRPr="00D96273" w:rsidRDefault="009B7AED" w:rsidP="00C91F91">
      <w:pPr>
        <w:pStyle w:val="BodyText"/>
        <w:ind w:left="648"/>
      </w:pPr>
      <w:r w:rsidRPr="00D96273">
        <w:t>0 = other animals (e.g., pack mules, deer, or migrating caribou; specify in Field 32, Other Notes)</w:t>
      </w:r>
    </w:p>
    <w:p w14:paraId="58871A4F" w14:textId="77777777" w:rsidR="009B7AED" w:rsidRPr="00D96273" w:rsidRDefault="009B7AED">
      <w:pPr>
        <w:numPr>
          <w:ilvl w:val="0"/>
          <w:numId w:val="50"/>
        </w:numPr>
        <w:spacing w:after="120"/>
        <w:ind w:left="648"/>
      </w:pPr>
      <w:r w:rsidRPr="00D96273">
        <w:t xml:space="preserve">Method of Counting (Column 21) – </w:t>
      </w:r>
      <w:r>
        <w:rPr>
          <w:i/>
          <w:iCs/>
        </w:rPr>
        <w:t>Required</w:t>
      </w:r>
      <w:r w:rsidRPr="00D96273">
        <w:t xml:space="preserve"> </w:t>
      </w:r>
    </w:p>
    <w:p w14:paraId="52091CC5" w14:textId="77777777" w:rsidR="009B7AED" w:rsidRPr="00D96273" w:rsidRDefault="009B7AED" w:rsidP="00C91F91">
      <w:pPr>
        <w:pStyle w:val="BodyText"/>
        <w:ind w:left="648"/>
      </w:pPr>
      <w:r w:rsidRPr="00D96273">
        <w:t>1 = Human observation (manual), including human-analyzed video</w:t>
      </w:r>
    </w:p>
    <w:p w14:paraId="42A183C3" w14:textId="77777777" w:rsidR="009B7AED" w:rsidRPr="00D96273" w:rsidRDefault="009B7AED" w:rsidP="00C91F91">
      <w:pPr>
        <w:pStyle w:val="BodyText"/>
        <w:ind w:left="648"/>
      </w:pPr>
      <w:r w:rsidRPr="00D96273">
        <w:t>2 = Portable traffic recording device</w:t>
      </w:r>
    </w:p>
    <w:p w14:paraId="4948B3A5" w14:textId="77777777" w:rsidR="009B7AED" w:rsidRPr="00D96273" w:rsidRDefault="009B7AED" w:rsidP="00C91F91">
      <w:pPr>
        <w:pStyle w:val="BodyText"/>
        <w:ind w:left="648"/>
      </w:pPr>
      <w:r w:rsidRPr="00D96273">
        <w:t>3 = Permanent continuous count station (CCS)</w:t>
      </w:r>
    </w:p>
    <w:p w14:paraId="052098B0" w14:textId="77777777" w:rsidR="009B7AED" w:rsidRPr="00D96273" w:rsidRDefault="009B7AED">
      <w:pPr>
        <w:numPr>
          <w:ilvl w:val="0"/>
          <w:numId w:val="50"/>
        </w:numPr>
        <w:spacing w:after="120"/>
        <w:ind w:left="648"/>
      </w:pPr>
      <w:r w:rsidRPr="00D96273">
        <w:t xml:space="preserve">Type of Sensor (Column 22) – </w:t>
      </w:r>
      <w:r w:rsidRPr="00D96273">
        <w:rPr>
          <w:i/>
          <w:iCs/>
        </w:rPr>
        <w:t>Optional</w:t>
      </w:r>
    </w:p>
    <w:p w14:paraId="4E8E3FF3" w14:textId="77777777" w:rsidR="009B7AED" w:rsidRPr="00D96273" w:rsidRDefault="009B7AED" w:rsidP="00C91F91">
      <w:pPr>
        <w:pStyle w:val="BodyText"/>
        <w:ind w:left="648"/>
      </w:pPr>
      <w:r w:rsidRPr="00D96273">
        <w:t>Indicate the type of sensor used for detection.</w:t>
      </w:r>
    </w:p>
    <w:p w14:paraId="423826F7" w14:textId="237DB4A5" w:rsidR="009B7AED" w:rsidRPr="00D96273" w:rsidRDefault="009B7AED" w:rsidP="00C91F91">
      <w:pPr>
        <w:pStyle w:val="BodyText"/>
        <w:ind w:left="648"/>
      </w:pPr>
      <w:r w:rsidRPr="00D96273">
        <w:t xml:space="preserve">9 = Multiple types of sensors are used at this location; different counts may use different sensors (see the individual count records for the sensors used for specific counts). </w:t>
      </w:r>
      <w:r w:rsidRPr="00D96273">
        <w:rPr>
          <w:i/>
        </w:rPr>
        <w:t>Note: if a more specific type is indicated in the Station Description, it implies that all counts reported for the station were collected with that type of sensor.</w:t>
      </w:r>
      <w:r w:rsidR="004D4172">
        <w:rPr>
          <w:i/>
        </w:rPr>
        <w:t xml:space="preserve"> </w:t>
      </w:r>
      <w:r w:rsidRPr="00D96273">
        <w:rPr>
          <w:i/>
        </w:rPr>
        <w:t>Count records will be required to have the same type of sensor.</w:t>
      </w:r>
    </w:p>
    <w:p w14:paraId="7F3BBBD3" w14:textId="77777777" w:rsidR="009B7AED" w:rsidRPr="00D96273" w:rsidRDefault="009B7AED" w:rsidP="00C91F91">
      <w:pPr>
        <w:pStyle w:val="BodyText"/>
        <w:ind w:left="648"/>
      </w:pPr>
      <w:r w:rsidRPr="00D96273">
        <w:t>H = Human observation (manual)</w:t>
      </w:r>
    </w:p>
    <w:p w14:paraId="31A195A6" w14:textId="77777777" w:rsidR="009B7AED" w:rsidRPr="00D96273" w:rsidRDefault="009B7AED" w:rsidP="00C91F91">
      <w:pPr>
        <w:pStyle w:val="BodyText"/>
        <w:ind w:left="648"/>
      </w:pPr>
      <w:r w:rsidRPr="00D96273">
        <w:t>I = Infrared (passive)</w:t>
      </w:r>
    </w:p>
    <w:p w14:paraId="1EF6CEDC" w14:textId="77777777" w:rsidR="009B7AED" w:rsidRPr="00D96273" w:rsidRDefault="009B7AED" w:rsidP="00C91F91">
      <w:pPr>
        <w:pStyle w:val="BodyText"/>
        <w:ind w:left="648"/>
      </w:pPr>
      <w:r w:rsidRPr="00D96273">
        <w:t>2 = Active Infrared (requires a target on other side of facility being monitored)</w:t>
      </w:r>
    </w:p>
    <w:p w14:paraId="7D6A8152" w14:textId="77777777" w:rsidR="009B7AED" w:rsidRPr="00D96273" w:rsidRDefault="009B7AED" w:rsidP="00C91F91">
      <w:pPr>
        <w:pStyle w:val="BodyText"/>
        <w:ind w:left="648"/>
      </w:pPr>
      <w:r w:rsidRPr="00D96273">
        <w:t>K = Laser/Lidar</w:t>
      </w:r>
    </w:p>
    <w:p w14:paraId="79F017DA" w14:textId="77777777" w:rsidR="009B7AED" w:rsidRPr="00D96273" w:rsidRDefault="009B7AED" w:rsidP="00C91F91">
      <w:pPr>
        <w:pStyle w:val="BodyText"/>
        <w:ind w:left="648"/>
      </w:pPr>
      <w:r w:rsidRPr="00D96273">
        <w:t>L = Inductive loop</w:t>
      </w:r>
    </w:p>
    <w:p w14:paraId="0AD00A26" w14:textId="583982ED" w:rsidR="009B7AED" w:rsidRPr="00D96273" w:rsidRDefault="009B7AED" w:rsidP="00C91F91">
      <w:pPr>
        <w:pStyle w:val="BodyText"/>
        <w:ind w:left="648"/>
      </w:pPr>
      <w:r w:rsidRPr="00D96273">
        <w:t>M = Magnetometer</w:t>
      </w:r>
    </w:p>
    <w:p w14:paraId="6A220255" w14:textId="77777777" w:rsidR="009B7AED" w:rsidRPr="00D96273" w:rsidRDefault="009B7AED" w:rsidP="00C91F91">
      <w:pPr>
        <w:pStyle w:val="BodyText"/>
        <w:ind w:left="648"/>
      </w:pPr>
      <w:r w:rsidRPr="00D96273">
        <w:t>P = Piezoelectric</w:t>
      </w:r>
    </w:p>
    <w:p w14:paraId="35C06F5D" w14:textId="77777777" w:rsidR="009B7AED" w:rsidRPr="00D96273" w:rsidRDefault="009B7AED" w:rsidP="00C91F91">
      <w:pPr>
        <w:pStyle w:val="BodyText"/>
        <w:ind w:left="648"/>
      </w:pPr>
      <w:r w:rsidRPr="00D96273">
        <w:t xml:space="preserve">Q = Quartz piezoelectric </w:t>
      </w:r>
    </w:p>
    <w:p w14:paraId="327D1F9F" w14:textId="77777777" w:rsidR="009B7AED" w:rsidRPr="00D96273" w:rsidRDefault="009B7AED" w:rsidP="00C91F91">
      <w:pPr>
        <w:pStyle w:val="BodyText"/>
        <w:ind w:left="648"/>
      </w:pPr>
      <w:r w:rsidRPr="00D96273">
        <w:t>R = Air tube</w:t>
      </w:r>
    </w:p>
    <w:p w14:paraId="0532F2A1" w14:textId="77777777" w:rsidR="009B7AED" w:rsidRPr="00D96273" w:rsidRDefault="009B7AED" w:rsidP="00C91F91">
      <w:pPr>
        <w:pStyle w:val="BodyText"/>
        <w:ind w:left="648"/>
      </w:pPr>
      <w:r w:rsidRPr="00D96273">
        <w:t>S = Sonic/acoustic</w:t>
      </w:r>
    </w:p>
    <w:p w14:paraId="0E92B221" w14:textId="77777777" w:rsidR="009B7AED" w:rsidRPr="00D96273" w:rsidRDefault="009B7AED" w:rsidP="00C91F91">
      <w:pPr>
        <w:pStyle w:val="BodyText"/>
        <w:ind w:left="648"/>
      </w:pPr>
      <w:r w:rsidRPr="00D96273">
        <w:t>T = Tape switch</w:t>
      </w:r>
    </w:p>
    <w:p w14:paraId="2CC852D6" w14:textId="77777777" w:rsidR="009B7AED" w:rsidRPr="00D96273" w:rsidRDefault="009B7AED" w:rsidP="00C91F91">
      <w:pPr>
        <w:pStyle w:val="BodyText"/>
        <w:ind w:left="648"/>
      </w:pPr>
      <w:r w:rsidRPr="00D96273">
        <w:lastRenderedPageBreak/>
        <w:t>3 = other pressure sensor/mat</w:t>
      </w:r>
    </w:p>
    <w:p w14:paraId="1C1EB416" w14:textId="77777777" w:rsidR="009B7AED" w:rsidRPr="00D96273" w:rsidRDefault="009B7AED" w:rsidP="00C91F91">
      <w:pPr>
        <w:pStyle w:val="BodyText"/>
        <w:ind w:left="648"/>
      </w:pPr>
      <w:r w:rsidRPr="00D96273">
        <w:t>U = Ultrasonic</w:t>
      </w:r>
    </w:p>
    <w:p w14:paraId="60EF6963" w14:textId="77777777" w:rsidR="009B7AED" w:rsidRPr="00D96273" w:rsidRDefault="009B7AED" w:rsidP="00C91F91">
      <w:pPr>
        <w:pStyle w:val="BodyText"/>
        <w:ind w:left="648"/>
      </w:pPr>
      <w:r w:rsidRPr="00D96273">
        <w:t>V = Video image (with automated or semi-automated conversion of images to counts)</w:t>
      </w:r>
    </w:p>
    <w:p w14:paraId="5BAADA0C" w14:textId="77777777" w:rsidR="009B7AED" w:rsidRPr="00D96273" w:rsidRDefault="009B7AED" w:rsidP="00C91F91">
      <w:pPr>
        <w:pStyle w:val="BodyText"/>
        <w:ind w:left="648"/>
      </w:pPr>
      <w:r w:rsidRPr="00D96273">
        <w:t>1 = Video image with manual reduction of images to counts performed at a later time</w:t>
      </w:r>
    </w:p>
    <w:p w14:paraId="447BEB74" w14:textId="77777777" w:rsidR="009B7AED" w:rsidRPr="00D96273" w:rsidRDefault="009B7AED" w:rsidP="00C91F91">
      <w:pPr>
        <w:pStyle w:val="BodyText"/>
        <w:ind w:left="648"/>
      </w:pPr>
      <w:r w:rsidRPr="00D96273">
        <w:t>W = Microwave (radar)</w:t>
      </w:r>
    </w:p>
    <w:p w14:paraId="6104ACF6" w14:textId="77777777" w:rsidR="009B7AED" w:rsidRPr="00D96273" w:rsidRDefault="009B7AED" w:rsidP="00C91F91">
      <w:pPr>
        <w:pStyle w:val="BodyText"/>
        <w:ind w:left="648"/>
      </w:pPr>
      <w:r w:rsidRPr="00D96273">
        <w:t>X = Radio wave (radar)</w:t>
      </w:r>
    </w:p>
    <w:p w14:paraId="0B6C41D2" w14:textId="77777777" w:rsidR="009B7AED" w:rsidRPr="00D96273" w:rsidRDefault="009B7AED" w:rsidP="00C91F91">
      <w:pPr>
        <w:pStyle w:val="BodyText"/>
        <w:ind w:left="648"/>
      </w:pPr>
      <w:r w:rsidRPr="00D96273">
        <w:t>Z = Other</w:t>
      </w:r>
    </w:p>
    <w:p w14:paraId="5325D0B5" w14:textId="61C20B22" w:rsidR="009B7AED" w:rsidRPr="00D96273" w:rsidRDefault="009B7AED">
      <w:pPr>
        <w:numPr>
          <w:ilvl w:val="0"/>
          <w:numId w:val="50"/>
        </w:numPr>
        <w:spacing w:after="120"/>
        <w:ind w:left="648"/>
      </w:pPr>
      <w:r w:rsidRPr="00D96273">
        <w:t xml:space="preserve">Year of Data (Columns 23-26) – </w:t>
      </w:r>
      <w:r>
        <w:t xml:space="preserve">See </w:t>
      </w:r>
      <w:r w:rsidR="00530921">
        <w:t>S</w:t>
      </w:r>
      <w:r>
        <w:t xml:space="preserve">ection 4.2, Field #6. – </w:t>
      </w:r>
      <w:r>
        <w:rPr>
          <w:i/>
          <w:iCs/>
        </w:rPr>
        <w:t>Required</w:t>
      </w:r>
      <w:r w:rsidRPr="00D96273">
        <w:t xml:space="preserve"> </w:t>
      </w:r>
    </w:p>
    <w:p w14:paraId="6CC48B2A" w14:textId="77777777" w:rsidR="009B7AED" w:rsidRPr="00D96273" w:rsidRDefault="009B7AED" w:rsidP="00C91F91">
      <w:pPr>
        <w:pStyle w:val="BodyText"/>
        <w:ind w:left="648"/>
      </w:pPr>
      <w:r w:rsidRPr="00D96273">
        <w:t>FACTOR GROUPS: A total of five single</w:t>
      </w:r>
      <w:r>
        <w:t>-</w:t>
      </w:r>
      <w:r w:rsidRPr="00D96273">
        <w:t xml:space="preserve">digit fields are provided so that States can list the identifiers used to factor the count provided. The values in these records are </w:t>
      </w:r>
      <w:r>
        <w:t xml:space="preserve">agency-specific and </w:t>
      </w:r>
      <w:r w:rsidRPr="00D96273">
        <w:t>not the factors themselves, but simply identifiers of the factor groups used. The factors are used to convert short</w:t>
      </w:r>
      <w:r>
        <w:t>-</w:t>
      </w:r>
      <w:r w:rsidRPr="00D96273">
        <w:t xml:space="preserve">duration counts to estimates of daily travel or annual travel. </w:t>
      </w:r>
    </w:p>
    <w:p w14:paraId="4B1BBB2D" w14:textId="77777777" w:rsidR="009B7AED" w:rsidRPr="00D96273" w:rsidRDefault="009B7AED" w:rsidP="00C91F91">
      <w:pPr>
        <w:pStyle w:val="BodyText"/>
        <w:ind w:left="648"/>
      </w:pPr>
      <w:r w:rsidRPr="00D96273">
        <w:t>In the case of permanent continuous count locations these identifiers describe which factor group that count location belongs to, so that these adjustment factors can be computed. States and other submitting agencies can use the text field in the “Other Notes” variable at the end of this record to further describe the factor groups to which the site is assigned. At this time, the use of these factor groups is both optional and flexible. A submitting agency may assign each factor identifier to purposes as the agency sees fit.</w:t>
      </w:r>
    </w:p>
    <w:p w14:paraId="01E87D00" w14:textId="77777777" w:rsidR="009B7AED" w:rsidRPr="00D96273" w:rsidRDefault="009B7AED">
      <w:pPr>
        <w:numPr>
          <w:ilvl w:val="0"/>
          <w:numId w:val="50"/>
        </w:numPr>
        <w:spacing w:after="120"/>
        <w:ind w:left="648"/>
      </w:pPr>
      <w:r w:rsidRPr="00D96273">
        <w:t xml:space="preserve">Factor Group 1 (Column 27) – </w:t>
      </w:r>
      <w:r w:rsidRPr="00D96273">
        <w:rPr>
          <w:i/>
          <w:iCs/>
        </w:rPr>
        <w:t>Optional</w:t>
      </w:r>
    </w:p>
    <w:p w14:paraId="4F101FB2" w14:textId="77777777" w:rsidR="009B7AED" w:rsidRPr="00D96273" w:rsidRDefault="009B7AED" w:rsidP="00C91F91">
      <w:pPr>
        <w:pStyle w:val="BodyText"/>
        <w:ind w:left="648"/>
      </w:pPr>
      <w:r w:rsidRPr="00D96273">
        <w:t>The first of five allowable (but optional) variables that allow identification of a factor group.</w:t>
      </w:r>
      <w:r w:rsidRPr="00D96273" w:rsidDel="007E7590">
        <w:t xml:space="preserve"> </w:t>
      </w:r>
      <w:r w:rsidRPr="00D96273">
        <w:t>For example, this first factor group could be used to identify this site’s time-of-day pattern, but it does not have to be used for that purpose.</w:t>
      </w:r>
    </w:p>
    <w:p w14:paraId="389CE06F" w14:textId="77777777" w:rsidR="009B7AED" w:rsidRPr="00D96273" w:rsidRDefault="009B7AED">
      <w:pPr>
        <w:numPr>
          <w:ilvl w:val="0"/>
          <w:numId w:val="50"/>
        </w:numPr>
        <w:spacing w:after="120"/>
        <w:ind w:left="648"/>
      </w:pPr>
      <w:r w:rsidRPr="00D96273">
        <w:t xml:space="preserve">Factor Group 2 (Column 28) – </w:t>
      </w:r>
      <w:r w:rsidRPr="00D96273">
        <w:rPr>
          <w:i/>
          <w:iCs/>
        </w:rPr>
        <w:t>Optional</w:t>
      </w:r>
    </w:p>
    <w:p w14:paraId="755ADAF6" w14:textId="77777777" w:rsidR="009B7AED" w:rsidRPr="00D96273" w:rsidRDefault="009B7AED" w:rsidP="00C91F91">
      <w:pPr>
        <w:pStyle w:val="BodyText"/>
        <w:ind w:left="648"/>
      </w:pPr>
      <w:r w:rsidRPr="00D96273">
        <w:t>The second of five allowable (but optional) variables that allow identification of a factor group. For example, this second factor group could be used to identify day-of-week (DOW) patterns distinguishing a commuter route or a recreational route, but it does not have to be used for that purpose.</w:t>
      </w:r>
    </w:p>
    <w:p w14:paraId="398F0B00" w14:textId="77777777" w:rsidR="009B7AED" w:rsidRPr="00D96273" w:rsidRDefault="009B7AED">
      <w:pPr>
        <w:numPr>
          <w:ilvl w:val="0"/>
          <w:numId w:val="50"/>
        </w:numPr>
        <w:spacing w:after="120"/>
        <w:ind w:left="648"/>
      </w:pPr>
      <w:r w:rsidRPr="00D96273">
        <w:t xml:space="preserve">Factor Group 3 (Column 29) – </w:t>
      </w:r>
      <w:r w:rsidRPr="00D96273">
        <w:rPr>
          <w:i/>
          <w:iCs/>
        </w:rPr>
        <w:t>Optional</w:t>
      </w:r>
    </w:p>
    <w:p w14:paraId="3FA5CDC0" w14:textId="77777777" w:rsidR="009B7AED" w:rsidRPr="00D96273" w:rsidRDefault="009B7AED" w:rsidP="00C91F91">
      <w:pPr>
        <w:pStyle w:val="BodyText"/>
        <w:ind w:left="648"/>
      </w:pPr>
      <w:r w:rsidRPr="00D96273">
        <w:t>The third of five allowable (but optional) variables that allow identification of a factor group.</w:t>
      </w:r>
      <w:r w:rsidRPr="00D96273" w:rsidDel="00D77FF3">
        <w:t xml:space="preserve"> </w:t>
      </w:r>
      <w:r w:rsidRPr="00D96273">
        <w:t>For example, this third factor group could be used to identify monthly or seasonal patterns, but it does not have to be used for that purpose.</w:t>
      </w:r>
    </w:p>
    <w:p w14:paraId="56D314EB" w14:textId="77777777" w:rsidR="009B7AED" w:rsidRPr="00D96273" w:rsidRDefault="009B7AED">
      <w:pPr>
        <w:numPr>
          <w:ilvl w:val="0"/>
          <w:numId w:val="50"/>
        </w:numPr>
        <w:spacing w:after="120"/>
        <w:ind w:left="648"/>
      </w:pPr>
      <w:r w:rsidRPr="00D96273">
        <w:t xml:space="preserve">Factor Group 4 (Column 30) – </w:t>
      </w:r>
      <w:r w:rsidRPr="00D96273">
        <w:rPr>
          <w:i/>
          <w:iCs/>
        </w:rPr>
        <w:t>Optional</w:t>
      </w:r>
    </w:p>
    <w:p w14:paraId="7AD650DC" w14:textId="77777777" w:rsidR="009B7AED" w:rsidRPr="00521214" w:rsidRDefault="009B7AED" w:rsidP="00C91F91">
      <w:pPr>
        <w:pStyle w:val="BodyText"/>
        <w:ind w:left="648"/>
      </w:pPr>
      <w:r w:rsidRPr="00521214">
        <w:t>The fourth of five allowable (but optional) variables that allow identification of a factor group. For example, this factor group could be used to identify equipment adjustment patterns needed because of the specific type of equipment being used, but it does not have to be used for that purpose.)</w:t>
      </w:r>
    </w:p>
    <w:p w14:paraId="0AE911CB" w14:textId="77777777" w:rsidR="009B7AED" w:rsidRPr="00D96273" w:rsidRDefault="009B7AED">
      <w:pPr>
        <w:numPr>
          <w:ilvl w:val="0"/>
          <w:numId w:val="50"/>
        </w:numPr>
        <w:spacing w:after="120"/>
        <w:ind w:left="648"/>
      </w:pPr>
      <w:r w:rsidRPr="00D96273">
        <w:t xml:space="preserve">Factor Group 5 (Column 31) – </w:t>
      </w:r>
      <w:r w:rsidRPr="00D96273">
        <w:rPr>
          <w:i/>
          <w:iCs/>
        </w:rPr>
        <w:t>Optional</w:t>
      </w:r>
    </w:p>
    <w:p w14:paraId="2A5C549E" w14:textId="77777777" w:rsidR="009B7AED" w:rsidRPr="00521214" w:rsidRDefault="009B7AED" w:rsidP="00C91F91">
      <w:pPr>
        <w:pStyle w:val="BodyText"/>
        <w:ind w:left="648"/>
      </w:pPr>
      <w:r w:rsidRPr="00521214">
        <w:t>The fifth of five allowable (but optional) variables that allow identification of a factor group. For example, this factor group could be used for adjustments due to the type of weather being experienced during the count but does not have to be used for that purpose.)</w:t>
      </w:r>
    </w:p>
    <w:p w14:paraId="3326E9E5" w14:textId="77777777" w:rsidR="009B7AED" w:rsidRPr="00D96273" w:rsidRDefault="009B7AED">
      <w:pPr>
        <w:numPr>
          <w:ilvl w:val="0"/>
          <w:numId w:val="50"/>
        </w:numPr>
        <w:spacing w:after="120"/>
        <w:ind w:left="648"/>
      </w:pPr>
      <w:r w:rsidRPr="00D96273">
        <w:t xml:space="preserve">Primary Count Purpose – (Column 32) – </w:t>
      </w:r>
      <w:r w:rsidRPr="00D96273">
        <w:rPr>
          <w:i/>
          <w:iCs/>
        </w:rPr>
        <w:t>Optional</w:t>
      </w:r>
    </w:p>
    <w:p w14:paraId="76E7CE61" w14:textId="77777777" w:rsidR="009B7AED" w:rsidRPr="00521214" w:rsidRDefault="009B7AED" w:rsidP="00C91F91">
      <w:pPr>
        <w:pStyle w:val="BodyText"/>
        <w:ind w:left="648"/>
      </w:pPr>
      <w:r w:rsidRPr="00521214">
        <w:t>This field indicates the primary purpose for installing the station and hence which organization is responsible for it and supplies the data.</w:t>
      </w:r>
    </w:p>
    <w:p w14:paraId="35E5576D" w14:textId="77777777" w:rsidR="009B7AED" w:rsidRPr="00521214" w:rsidRDefault="009B7AED" w:rsidP="00C91F91">
      <w:pPr>
        <w:pStyle w:val="BodyText"/>
        <w:ind w:left="648"/>
      </w:pPr>
      <w:r w:rsidRPr="00521214">
        <w:t>O = Operations and facility management purposes</w:t>
      </w:r>
    </w:p>
    <w:p w14:paraId="3A57B190" w14:textId="77777777" w:rsidR="009B7AED" w:rsidRPr="00521214" w:rsidRDefault="009B7AED" w:rsidP="00C91F91">
      <w:pPr>
        <w:pStyle w:val="BodyText"/>
        <w:ind w:left="648"/>
      </w:pPr>
      <w:r w:rsidRPr="00521214">
        <w:t>P = Planning or statistical reporting purposes</w:t>
      </w:r>
    </w:p>
    <w:p w14:paraId="5143A74B" w14:textId="77777777" w:rsidR="009B7AED" w:rsidRPr="00521214" w:rsidRDefault="009B7AED" w:rsidP="00C91F91">
      <w:pPr>
        <w:pStyle w:val="BodyText"/>
        <w:ind w:left="648"/>
      </w:pPr>
      <w:r w:rsidRPr="00521214">
        <w:lastRenderedPageBreak/>
        <w:t xml:space="preserve">R = Research purposes </w:t>
      </w:r>
    </w:p>
    <w:p w14:paraId="2B75DB1D" w14:textId="77777777" w:rsidR="009B7AED" w:rsidRPr="00521214" w:rsidRDefault="009B7AED" w:rsidP="00C91F91">
      <w:pPr>
        <w:pStyle w:val="BodyText"/>
        <w:ind w:left="648"/>
      </w:pPr>
      <w:r w:rsidRPr="00521214">
        <w:t>S = Count taken as part of a Safe Route to School data collection effort</w:t>
      </w:r>
    </w:p>
    <w:p w14:paraId="6363AC78" w14:textId="77777777" w:rsidR="009B7AED" w:rsidRPr="00521214" w:rsidRDefault="009B7AED" w:rsidP="00C91F91">
      <w:pPr>
        <w:pStyle w:val="BodyText"/>
        <w:ind w:left="648"/>
      </w:pPr>
      <w:r w:rsidRPr="00521214">
        <w:t>L = Facility design and project evaluation purposes</w:t>
      </w:r>
    </w:p>
    <w:p w14:paraId="01DC55A2" w14:textId="77777777" w:rsidR="009B7AED" w:rsidRPr="00521214" w:rsidRDefault="009B7AED" w:rsidP="00C91F91">
      <w:pPr>
        <w:pStyle w:val="BodyText"/>
        <w:ind w:left="648"/>
      </w:pPr>
      <w:r w:rsidRPr="00521214">
        <w:t>E = Enforcement purposes</w:t>
      </w:r>
    </w:p>
    <w:p w14:paraId="7CCDD9C0" w14:textId="77777777" w:rsidR="009B7AED" w:rsidRPr="00D96273" w:rsidRDefault="009B7AED">
      <w:pPr>
        <w:numPr>
          <w:ilvl w:val="0"/>
          <w:numId w:val="50"/>
        </w:numPr>
        <w:spacing w:after="120"/>
        <w:ind w:left="648"/>
      </w:pPr>
      <w:r w:rsidRPr="00D96273">
        <w:t xml:space="preserve">Posted Speed Limit (Columns 33-34) – </w:t>
      </w:r>
      <w:r w:rsidRPr="00D96273">
        <w:rPr>
          <w:i/>
          <w:iCs/>
        </w:rPr>
        <w:t>Optional</w:t>
      </w:r>
    </w:p>
    <w:p w14:paraId="002799E9" w14:textId="77777777" w:rsidR="009B7AED" w:rsidRPr="00D96273" w:rsidRDefault="009B7AED" w:rsidP="00C91F91">
      <w:pPr>
        <w:pStyle w:val="BodyText"/>
        <w:ind w:left="648"/>
      </w:pPr>
      <w:r w:rsidRPr="00D96273">
        <w:t>If count is taken on a facility with posted speed limit indicate that limit in miles per hour. Otherwise leave blank.</w:t>
      </w:r>
    </w:p>
    <w:p w14:paraId="0A482D21" w14:textId="568B0D9B" w:rsidR="009B7AED" w:rsidRPr="00D96273" w:rsidRDefault="009B7AED">
      <w:pPr>
        <w:numPr>
          <w:ilvl w:val="0"/>
          <w:numId w:val="50"/>
        </w:numPr>
        <w:spacing w:after="120"/>
        <w:ind w:left="648"/>
      </w:pPr>
      <w:r w:rsidRPr="00D96273">
        <w:t xml:space="preserve">Year Station Established (Columns 35-38) – </w:t>
      </w:r>
      <w:r>
        <w:t xml:space="preserve">See </w:t>
      </w:r>
      <w:r w:rsidR="00530921">
        <w:t>S</w:t>
      </w:r>
      <w:r>
        <w:t xml:space="preserve">ection 4.2, Field #16. – </w:t>
      </w:r>
      <w:r>
        <w:rPr>
          <w:i/>
          <w:iCs/>
        </w:rPr>
        <w:t>Required</w:t>
      </w:r>
      <w:r w:rsidRPr="00D96273">
        <w:t xml:space="preserve"> </w:t>
      </w:r>
    </w:p>
    <w:p w14:paraId="0DF80849" w14:textId="2130F960" w:rsidR="009B7AED" w:rsidRPr="00D96273" w:rsidRDefault="009B7AED">
      <w:pPr>
        <w:numPr>
          <w:ilvl w:val="0"/>
          <w:numId w:val="50"/>
        </w:numPr>
        <w:spacing w:after="120"/>
        <w:ind w:left="648"/>
      </w:pPr>
      <w:r w:rsidRPr="00D96273">
        <w:t xml:space="preserve">Year Station Discontinued (Columns 39-42) – </w:t>
      </w:r>
      <w:r>
        <w:t xml:space="preserve">See </w:t>
      </w:r>
      <w:r w:rsidR="00530921">
        <w:t>S</w:t>
      </w:r>
      <w:r>
        <w:t xml:space="preserve">ection 4.2, Field #17. – </w:t>
      </w:r>
      <w:r w:rsidRPr="00D96273">
        <w:rPr>
          <w:i/>
          <w:iCs/>
        </w:rPr>
        <w:t>Optional</w:t>
      </w:r>
    </w:p>
    <w:p w14:paraId="7F628A55" w14:textId="79D97235" w:rsidR="009B7AED" w:rsidRPr="00D96273" w:rsidRDefault="009B7AED">
      <w:pPr>
        <w:numPr>
          <w:ilvl w:val="0"/>
          <w:numId w:val="50"/>
        </w:numPr>
        <w:spacing w:after="120"/>
        <w:ind w:left="648"/>
      </w:pPr>
      <w:r w:rsidRPr="00D96273">
        <w:t>Latitude (Columns 4</w:t>
      </w:r>
      <w:r>
        <w:t>3</w:t>
      </w:r>
      <w:r w:rsidRPr="00D96273">
        <w:t>-5</w:t>
      </w:r>
      <w:r>
        <w:t>3</w:t>
      </w:r>
      <w:r w:rsidRPr="00D96273">
        <w:t xml:space="preserve">) – </w:t>
      </w:r>
      <w:r>
        <w:t xml:space="preserve">See </w:t>
      </w:r>
      <w:r w:rsidR="00530921">
        <w:t>S</w:t>
      </w:r>
      <w:r>
        <w:t xml:space="preserve">ection 4.2, Field #13. – </w:t>
      </w:r>
      <w:r>
        <w:rPr>
          <w:i/>
        </w:rPr>
        <w:t>Required</w:t>
      </w:r>
    </w:p>
    <w:p w14:paraId="0261EE2F" w14:textId="4D1D0F03" w:rsidR="009B7AED" w:rsidRPr="00D96273" w:rsidRDefault="009B7AED">
      <w:pPr>
        <w:numPr>
          <w:ilvl w:val="0"/>
          <w:numId w:val="50"/>
        </w:numPr>
        <w:spacing w:after="120"/>
        <w:ind w:left="648"/>
      </w:pPr>
      <w:r w:rsidRPr="00D96273">
        <w:t xml:space="preserve">Longitude (Columns </w:t>
      </w:r>
      <w:r w:rsidRPr="00D96273">
        <w:rPr>
          <w:rFonts w:eastAsiaTheme="minorEastAsia"/>
        </w:rPr>
        <w:t>5</w:t>
      </w:r>
      <w:r>
        <w:rPr>
          <w:rFonts w:eastAsiaTheme="minorEastAsia"/>
        </w:rPr>
        <w:t>4</w:t>
      </w:r>
      <w:r w:rsidRPr="00D96273">
        <w:rPr>
          <w:rFonts w:eastAsiaTheme="minorEastAsia"/>
        </w:rPr>
        <w:t>-</w:t>
      </w:r>
      <w:r>
        <w:rPr>
          <w:rFonts w:eastAsiaTheme="minorEastAsia"/>
        </w:rPr>
        <w:t>64</w:t>
      </w:r>
      <w:r w:rsidRPr="00D96273">
        <w:t xml:space="preserve">) – </w:t>
      </w:r>
      <w:r>
        <w:t xml:space="preserve">See </w:t>
      </w:r>
      <w:r w:rsidR="00530921">
        <w:t>S</w:t>
      </w:r>
      <w:r>
        <w:t xml:space="preserve">ection 4.2, Field #14. – </w:t>
      </w:r>
      <w:r>
        <w:rPr>
          <w:i/>
        </w:rPr>
        <w:t>Required</w:t>
      </w:r>
    </w:p>
    <w:p w14:paraId="01FB305C" w14:textId="7A02CF01" w:rsidR="009B7AED" w:rsidRPr="00D96273" w:rsidRDefault="000A73FE">
      <w:pPr>
        <w:numPr>
          <w:ilvl w:val="0"/>
          <w:numId w:val="50"/>
        </w:numPr>
        <w:spacing w:after="120"/>
        <w:ind w:left="648"/>
      </w:pPr>
      <w:r>
        <w:rPr>
          <w:noProof/>
        </w:rPr>
        <mc:AlternateContent>
          <mc:Choice Requires="wps">
            <w:drawing>
              <wp:anchor distT="45720" distB="45720" distL="114300" distR="114300" simplePos="0" relativeHeight="251736064" behindDoc="0" locked="0" layoutInCell="1" allowOverlap="1" wp14:anchorId="39488E7D" wp14:editId="7F5DA222">
                <wp:simplePos x="0" y="0"/>
                <wp:positionH relativeFrom="margin">
                  <wp:posOffset>3305810</wp:posOffset>
                </wp:positionH>
                <wp:positionV relativeFrom="paragraph">
                  <wp:posOffset>49318</wp:posOffset>
                </wp:positionV>
                <wp:extent cx="2679065" cy="2697480"/>
                <wp:effectExtent l="0" t="0" r="6985" b="7620"/>
                <wp:wrapSquare wrapText="bothSides"/>
                <wp:docPr id="358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065" cy="2697480"/>
                        </a:xfrm>
                        <a:prstGeom prst="rect">
                          <a:avLst/>
                        </a:prstGeom>
                        <a:solidFill>
                          <a:srgbClr val="FFFFFF"/>
                        </a:solidFill>
                        <a:ln w="9525">
                          <a:noFill/>
                          <a:miter lim="800000"/>
                          <a:headEnd/>
                          <a:tailEnd/>
                        </a:ln>
                      </wps:spPr>
                      <wps:txbx>
                        <w:txbxContent>
                          <w:p w14:paraId="6F1DAFD6" w14:textId="2F106526" w:rsidR="00815D09" w:rsidRDefault="00815D09" w:rsidP="00815D09">
                            <w:pPr>
                              <w:pStyle w:val="TMGTableCaption"/>
                              <w:spacing w:before="0"/>
                            </w:pPr>
                            <w:bookmarkStart w:id="3282" w:name="_Ref113280428"/>
                            <w:bookmarkStart w:id="3283" w:name="_Toc109333468"/>
                            <w:bookmarkStart w:id="3284" w:name="_Toc109333796"/>
                            <w:bookmarkStart w:id="3285" w:name="_Toc113282543"/>
                            <w:bookmarkStart w:id="3286" w:name="_Toc114474880"/>
                            <w:bookmarkStart w:id="3287" w:name="_Toc120631186"/>
                            <w:r w:rsidRPr="00A96F44">
                              <w:t xml:space="preserve">Table </w:t>
                            </w:r>
                            <w:fldSimple w:instr=" STYLEREF 1 \s ">
                              <w:r w:rsidR="00FC0E95">
                                <w:rPr>
                                  <w:noProof/>
                                </w:rPr>
                                <w:t>4</w:t>
                              </w:r>
                            </w:fldSimple>
                            <w:r>
                              <w:noBreakHyphen/>
                            </w:r>
                            <w:fldSimple w:instr=" SEQ Table \* ARABIC \s 1 ">
                              <w:r w:rsidR="00FC0E95">
                                <w:rPr>
                                  <w:noProof/>
                                </w:rPr>
                                <w:t>38</w:t>
                              </w:r>
                            </w:fldSimple>
                            <w:bookmarkEnd w:id="3282"/>
                            <w:r>
                              <w:t>.</w:t>
                            </w:r>
                            <w:r w:rsidRPr="00A96F44">
                              <w:t xml:space="preserve"> Posted Route Signing Codes</w:t>
                            </w:r>
                            <w:bookmarkEnd w:id="3283"/>
                            <w:bookmarkEnd w:id="3284"/>
                            <w:bookmarkEnd w:id="3285"/>
                            <w:bookmarkEnd w:id="3286"/>
                            <w:bookmarkEnd w:id="3287"/>
                          </w:p>
                          <w:tbl>
                            <w:tblPr>
                              <w:tblStyle w:val="TableGrid"/>
                              <w:tblW w:w="4135" w:type="dxa"/>
                              <w:tblCellMar>
                                <w:left w:w="86" w:type="dxa"/>
                                <w:right w:w="86" w:type="dxa"/>
                              </w:tblCellMar>
                              <w:tblLook w:val="04A0" w:firstRow="1" w:lastRow="0" w:firstColumn="1" w:lastColumn="0" w:noHBand="0" w:noVBand="1"/>
                            </w:tblPr>
                            <w:tblGrid>
                              <w:gridCol w:w="625"/>
                              <w:gridCol w:w="3510"/>
                            </w:tblGrid>
                            <w:tr w:rsidR="00815D09" w14:paraId="5CB9941F" w14:textId="77777777" w:rsidTr="00815D09">
                              <w:tc>
                                <w:tcPr>
                                  <w:tcW w:w="625" w:type="dxa"/>
                                  <w:tcBorders>
                                    <w:right w:val="single" w:sz="4" w:space="0" w:color="FFFFFF" w:themeColor="background1"/>
                                  </w:tcBorders>
                                  <w:shd w:val="clear" w:color="auto" w:fill="1F3864"/>
                                </w:tcPr>
                                <w:p w14:paraId="60EF9D26" w14:textId="77777777" w:rsidR="00815D09" w:rsidRDefault="00815D09" w:rsidP="00561667">
                                  <w:pPr>
                                    <w:pStyle w:val="TMGTableTextHeader"/>
                                  </w:pPr>
                                  <w:r w:rsidRPr="00521214">
                                    <w:rPr>
                                      <w:rFonts w:eastAsiaTheme="minorEastAsia"/>
                                    </w:rPr>
                                    <w:t>Code</w:t>
                                  </w:r>
                                </w:p>
                              </w:tc>
                              <w:tc>
                                <w:tcPr>
                                  <w:tcW w:w="3510" w:type="dxa"/>
                                  <w:tcBorders>
                                    <w:left w:val="single" w:sz="4" w:space="0" w:color="FFFFFF" w:themeColor="background1"/>
                                  </w:tcBorders>
                                  <w:shd w:val="clear" w:color="auto" w:fill="1F3864"/>
                                </w:tcPr>
                                <w:p w14:paraId="636CB71C" w14:textId="1639AB7A" w:rsidR="00815D09" w:rsidRDefault="00815D09" w:rsidP="00561667">
                                  <w:pPr>
                                    <w:pStyle w:val="TMGTableTextHeader"/>
                                  </w:pPr>
                                  <w:r>
                                    <w:rPr>
                                      <w:rFonts w:eastAsiaTheme="minorEastAsia"/>
                                    </w:rPr>
                                    <w:t>Description</w:t>
                                  </w:r>
                                </w:p>
                              </w:tc>
                            </w:tr>
                            <w:tr w:rsidR="00815D09" w14:paraId="43EB0A25" w14:textId="77777777" w:rsidTr="00815D09">
                              <w:tc>
                                <w:tcPr>
                                  <w:tcW w:w="625" w:type="dxa"/>
                                </w:tcPr>
                                <w:p w14:paraId="56745921" w14:textId="33AD4881" w:rsidR="00815D09" w:rsidRPr="00561667" w:rsidRDefault="00815D09" w:rsidP="00815D09">
                                  <w:pPr>
                                    <w:pStyle w:val="TMGTableText"/>
                                    <w:jc w:val="center"/>
                                    <w:rPr>
                                      <w:b/>
                                      <w:bCs/>
                                    </w:rPr>
                                  </w:pPr>
                                  <w:r w:rsidRPr="00A96F44">
                                    <w:rPr>
                                      <w:rFonts w:eastAsiaTheme="minorEastAsia"/>
                                      <w:b/>
                                      <w:bCs/>
                                    </w:rPr>
                                    <w:t>1</w:t>
                                  </w:r>
                                </w:p>
                              </w:tc>
                              <w:tc>
                                <w:tcPr>
                                  <w:tcW w:w="3510" w:type="dxa"/>
                                </w:tcPr>
                                <w:p w14:paraId="488C2818" w14:textId="74AB9707" w:rsidR="00815D09" w:rsidRPr="00C251E9" w:rsidRDefault="00815D09" w:rsidP="00815D09">
                                  <w:pPr>
                                    <w:pStyle w:val="TMGTableText"/>
                                  </w:pPr>
                                  <w:r w:rsidRPr="00A96F44">
                                    <w:rPr>
                                      <w:rFonts w:eastAsiaTheme="minorEastAsia"/>
                                    </w:rPr>
                                    <w:t>Not signed</w:t>
                                  </w:r>
                                </w:p>
                              </w:tc>
                            </w:tr>
                            <w:tr w:rsidR="00815D09" w14:paraId="23620292" w14:textId="77777777" w:rsidTr="00815D09">
                              <w:tc>
                                <w:tcPr>
                                  <w:tcW w:w="625" w:type="dxa"/>
                                </w:tcPr>
                                <w:p w14:paraId="2AF0F6B9" w14:textId="74E4B74A" w:rsidR="00815D09" w:rsidRPr="00561667" w:rsidRDefault="00815D09" w:rsidP="00815D09">
                                  <w:pPr>
                                    <w:pStyle w:val="TMGTableText"/>
                                    <w:jc w:val="center"/>
                                    <w:rPr>
                                      <w:b/>
                                      <w:bCs/>
                                    </w:rPr>
                                  </w:pPr>
                                  <w:r w:rsidRPr="00A96F44">
                                    <w:rPr>
                                      <w:rFonts w:eastAsiaTheme="minorEastAsia"/>
                                      <w:b/>
                                      <w:bCs/>
                                    </w:rPr>
                                    <w:t>2</w:t>
                                  </w:r>
                                </w:p>
                              </w:tc>
                              <w:tc>
                                <w:tcPr>
                                  <w:tcW w:w="3510" w:type="dxa"/>
                                </w:tcPr>
                                <w:p w14:paraId="7935E368" w14:textId="305C7996" w:rsidR="00815D09" w:rsidRPr="00C251E9" w:rsidRDefault="00815D09" w:rsidP="00815D09">
                                  <w:pPr>
                                    <w:pStyle w:val="TMGTableText"/>
                                  </w:pPr>
                                  <w:r w:rsidRPr="00A96F44">
                                    <w:rPr>
                                      <w:rFonts w:eastAsiaTheme="minorEastAsia"/>
                                    </w:rPr>
                                    <w:t>Interstate</w:t>
                                  </w:r>
                                </w:p>
                              </w:tc>
                            </w:tr>
                            <w:tr w:rsidR="00815D09" w14:paraId="5A80D057" w14:textId="77777777" w:rsidTr="00815D09">
                              <w:tc>
                                <w:tcPr>
                                  <w:tcW w:w="625" w:type="dxa"/>
                                </w:tcPr>
                                <w:p w14:paraId="02096333" w14:textId="3A4E73F0" w:rsidR="00815D09" w:rsidRPr="00561667" w:rsidRDefault="00815D09" w:rsidP="00815D09">
                                  <w:pPr>
                                    <w:pStyle w:val="TMGTableText"/>
                                    <w:jc w:val="center"/>
                                    <w:rPr>
                                      <w:b/>
                                      <w:bCs/>
                                    </w:rPr>
                                  </w:pPr>
                                  <w:r w:rsidRPr="00A96F44">
                                    <w:rPr>
                                      <w:rFonts w:eastAsiaTheme="minorEastAsia"/>
                                      <w:b/>
                                      <w:bCs/>
                                    </w:rPr>
                                    <w:t>3</w:t>
                                  </w:r>
                                </w:p>
                              </w:tc>
                              <w:tc>
                                <w:tcPr>
                                  <w:tcW w:w="3510" w:type="dxa"/>
                                </w:tcPr>
                                <w:p w14:paraId="3D2F4BEE" w14:textId="3C1821A7" w:rsidR="00815D09" w:rsidRPr="00C251E9" w:rsidRDefault="00815D09" w:rsidP="00815D09">
                                  <w:pPr>
                                    <w:pStyle w:val="TMGTableText"/>
                                  </w:pPr>
                                  <w:r w:rsidRPr="00A96F44">
                                    <w:rPr>
                                      <w:rFonts w:eastAsiaTheme="minorEastAsia"/>
                                    </w:rPr>
                                    <w:t>U.S.</w:t>
                                  </w:r>
                                </w:p>
                              </w:tc>
                            </w:tr>
                            <w:tr w:rsidR="00815D09" w14:paraId="440BB3D2" w14:textId="77777777" w:rsidTr="00815D09">
                              <w:tc>
                                <w:tcPr>
                                  <w:tcW w:w="625" w:type="dxa"/>
                                </w:tcPr>
                                <w:p w14:paraId="1AC57326" w14:textId="34ED5BD9" w:rsidR="00815D09" w:rsidRPr="00561667" w:rsidRDefault="00815D09" w:rsidP="00815D09">
                                  <w:pPr>
                                    <w:pStyle w:val="TMGTableText"/>
                                    <w:jc w:val="center"/>
                                    <w:rPr>
                                      <w:b/>
                                      <w:bCs/>
                                    </w:rPr>
                                  </w:pPr>
                                  <w:r w:rsidRPr="00A96F44">
                                    <w:rPr>
                                      <w:rFonts w:eastAsiaTheme="minorEastAsia"/>
                                      <w:b/>
                                      <w:bCs/>
                                    </w:rPr>
                                    <w:t>4</w:t>
                                  </w:r>
                                </w:p>
                              </w:tc>
                              <w:tc>
                                <w:tcPr>
                                  <w:tcW w:w="3510" w:type="dxa"/>
                                </w:tcPr>
                                <w:p w14:paraId="23DF2E9B" w14:textId="65B9B5CF" w:rsidR="00815D09" w:rsidRPr="00C251E9" w:rsidRDefault="00815D09" w:rsidP="00815D09">
                                  <w:pPr>
                                    <w:pStyle w:val="TMGTableText"/>
                                  </w:pPr>
                                  <w:r w:rsidRPr="00A96F44">
                                    <w:rPr>
                                      <w:rFonts w:eastAsiaTheme="minorEastAsia"/>
                                    </w:rPr>
                                    <w:t>State</w:t>
                                  </w:r>
                                </w:p>
                              </w:tc>
                            </w:tr>
                            <w:tr w:rsidR="00815D09" w14:paraId="7009BECA" w14:textId="77777777" w:rsidTr="00815D09">
                              <w:tc>
                                <w:tcPr>
                                  <w:tcW w:w="625" w:type="dxa"/>
                                </w:tcPr>
                                <w:p w14:paraId="2B5CD147" w14:textId="2080C0DC" w:rsidR="00815D09" w:rsidRPr="00521214" w:rsidRDefault="00815D09" w:rsidP="00815D09">
                                  <w:pPr>
                                    <w:pStyle w:val="TMGTableText"/>
                                    <w:jc w:val="center"/>
                                    <w:rPr>
                                      <w:rFonts w:eastAsiaTheme="minorEastAsia"/>
                                    </w:rPr>
                                  </w:pPr>
                                  <w:r w:rsidRPr="00A96F44">
                                    <w:rPr>
                                      <w:rFonts w:eastAsiaTheme="minorEastAsia"/>
                                      <w:b/>
                                      <w:bCs/>
                                    </w:rPr>
                                    <w:t>5</w:t>
                                  </w:r>
                                </w:p>
                              </w:tc>
                              <w:tc>
                                <w:tcPr>
                                  <w:tcW w:w="3510" w:type="dxa"/>
                                </w:tcPr>
                                <w:p w14:paraId="22D56829" w14:textId="067378AA" w:rsidR="00815D09" w:rsidRPr="00521214" w:rsidRDefault="00815D09" w:rsidP="00815D09">
                                  <w:pPr>
                                    <w:pStyle w:val="TMGTableText"/>
                                    <w:rPr>
                                      <w:rFonts w:eastAsiaTheme="minorEastAsia"/>
                                    </w:rPr>
                                  </w:pPr>
                                  <w:r w:rsidRPr="00A96F44">
                                    <w:rPr>
                                      <w:rFonts w:eastAsiaTheme="minorEastAsia"/>
                                    </w:rPr>
                                    <w:t>Off-Interstate Business Marker</w:t>
                                  </w:r>
                                </w:p>
                              </w:tc>
                            </w:tr>
                            <w:tr w:rsidR="00815D09" w14:paraId="11CE389E" w14:textId="77777777" w:rsidTr="00815D09">
                              <w:tc>
                                <w:tcPr>
                                  <w:tcW w:w="625" w:type="dxa"/>
                                </w:tcPr>
                                <w:p w14:paraId="3577F4E5" w14:textId="16E8C2D7" w:rsidR="00815D09" w:rsidRPr="00521214" w:rsidRDefault="00815D09" w:rsidP="00815D09">
                                  <w:pPr>
                                    <w:pStyle w:val="TMGTableText"/>
                                    <w:jc w:val="center"/>
                                    <w:rPr>
                                      <w:rFonts w:eastAsiaTheme="minorEastAsia"/>
                                    </w:rPr>
                                  </w:pPr>
                                  <w:r w:rsidRPr="00A96F44">
                                    <w:rPr>
                                      <w:rFonts w:eastAsiaTheme="minorEastAsia"/>
                                      <w:b/>
                                      <w:bCs/>
                                    </w:rPr>
                                    <w:t>6</w:t>
                                  </w:r>
                                </w:p>
                              </w:tc>
                              <w:tc>
                                <w:tcPr>
                                  <w:tcW w:w="3510" w:type="dxa"/>
                                </w:tcPr>
                                <w:p w14:paraId="55FACE6E" w14:textId="7A87649B" w:rsidR="00815D09" w:rsidRPr="00521214" w:rsidRDefault="00815D09" w:rsidP="00815D09">
                                  <w:pPr>
                                    <w:pStyle w:val="TMGTableText"/>
                                    <w:rPr>
                                      <w:rFonts w:eastAsiaTheme="minorEastAsia"/>
                                    </w:rPr>
                                  </w:pPr>
                                  <w:r w:rsidRPr="00A96F44">
                                    <w:rPr>
                                      <w:rFonts w:eastAsiaTheme="minorEastAsia"/>
                                    </w:rPr>
                                    <w:t>County</w:t>
                                  </w:r>
                                </w:p>
                              </w:tc>
                            </w:tr>
                            <w:tr w:rsidR="00815D09" w14:paraId="6D03FB4F" w14:textId="77777777" w:rsidTr="00815D09">
                              <w:tc>
                                <w:tcPr>
                                  <w:tcW w:w="625" w:type="dxa"/>
                                </w:tcPr>
                                <w:p w14:paraId="52C4D6E4" w14:textId="372B787C" w:rsidR="00815D09" w:rsidRPr="00521214" w:rsidRDefault="00815D09" w:rsidP="00815D09">
                                  <w:pPr>
                                    <w:pStyle w:val="TMGTableText"/>
                                    <w:jc w:val="center"/>
                                    <w:rPr>
                                      <w:rFonts w:eastAsiaTheme="minorEastAsia"/>
                                    </w:rPr>
                                  </w:pPr>
                                  <w:r w:rsidRPr="00A96F44">
                                    <w:rPr>
                                      <w:rFonts w:eastAsiaTheme="minorEastAsia"/>
                                      <w:b/>
                                      <w:bCs/>
                                    </w:rPr>
                                    <w:t>7</w:t>
                                  </w:r>
                                </w:p>
                              </w:tc>
                              <w:tc>
                                <w:tcPr>
                                  <w:tcW w:w="3510" w:type="dxa"/>
                                </w:tcPr>
                                <w:p w14:paraId="6474B9AD" w14:textId="19B9EF5C" w:rsidR="00815D09" w:rsidRPr="00521214" w:rsidRDefault="00815D09" w:rsidP="00815D09">
                                  <w:pPr>
                                    <w:pStyle w:val="TMGTableText"/>
                                    <w:rPr>
                                      <w:rFonts w:eastAsiaTheme="minorEastAsia"/>
                                    </w:rPr>
                                  </w:pPr>
                                  <w:r w:rsidRPr="00A96F44">
                                    <w:rPr>
                                      <w:rFonts w:eastAsiaTheme="minorEastAsia"/>
                                    </w:rPr>
                                    <w:t>Township</w:t>
                                  </w:r>
                                </w:p>
                              </w:tc>
                            </w:tr>
                            <w:tr w:rsidR="00815D09" w14:paraId="6CD1D7CC" w14:textId="77777777" w:rsidTr="00815D09">
                              <w:tc>
                                <w:tcPr>
                                  <w:tcW w:w="625" w:type="dxa"/>
                                </w:tcPr>
                                <w:p w14:paraId="1CCEEDC3" w14:textId="2FF8AA70" w:rsidR="00815D09" w:rsidRPr="00561667" w:rsidRDefault="00815D09" w:rsidP="00815D09">
                                  <w:pPr>
                                    <w:pStyle w:val="TMGTableText"/>
                                    <w:jc w:val="center"/>
                                    <w:rPr>
                                      <w:b/>
                                      <w:bCs/>
                                    </w:rPr>
                                  </w:pPr>
                                  <w:r w:rsidRPr="00A96F44">
                                    <w:rPr>
                                      <w:rFonts w:eastAsiaTheme="minorEastAsia"/>
                                      <w:b/>
                                      <w:bCs/>
                                    </w:rPr>
                                    <w:t>8</w:t>
                                  </w:r>
                                </w:p>
                              </w:tc>
                              <w:tc>
                                <w:tcPr>
                                  <w:tcW w:w="3510" w:type="dxa"/>
                                </w:tcPr>
                                <w:p w14:paraId="49842024" w14:textId="6E911928" w:rsidR="00815D09" w:rsidRPr="00C251E9" w:rsidRDefault="00815D09" w:rsidP="00815D09">
                                  <w:pPr>
                                    <w:pStyle w:val="TMGTableText"/>
                                  </w:pPr>
                                  <w:r w:rsidRPr="00A96F44">
                                    <w:rPr>
                                      <w:rFonts w:eastAsiaTheme="minorEastAsia"/>
                                    </w:rPr>
                                    <w:t>Municipal</w:t>
                                  </w:r>
                                </w:p>
                              </w:tc>
                            </w:tr>
                            <w:tr w:rsidR="00815D09" w14:paraId="72D04ACC" w14:textId="77777777" w:rsidTr="00815D09">
                              <w:tc>
                                <w:tcPr>
                                  <w:tcW w:w="625" w:type="dxa"/>
                                </w:tcPr>
                                <w:p w14:paraId="49509B54" w14:textId="551453DC" w:rsidR="00815D09" w:rsidRPr="00561667" w:rsidRDefault="00815D09" w:rsidP="00815D09">
                                  <w:pPr>
                                    <w:pStyle w:val="TMGTableText"/>
                                    <w:jc w:val="center"/>
                                    <w:rPr>
                                      <w:b/>
                                      <w:bCs/>
                                    </w:rPr>
                                  </w:pPr>
                                  <w:r w:rsidRPr="00A96F44">
                                    <w:rPr>
                                      <w:rFonts w:eastAsiaTheme="minorEastAsia"/>
                                      <w:b/>
                                      <w:bCs/>
                                    </w:rPr>
                                    <w:t>9</w:t>
                                  </w:r>
                                </w:p>
                              </w:tc>
                              <w:tc>
                                <w:tcPr>
                                  <w:tcW w:w="3510" w:type="dxa"/>
                                </w:tcPr>
                                <w:p w14:paraId="3463C6D9" w14:textId="03647EC4" w:rsidR="00815D09" w:rsidRPr="00C251E9" w:rsidRDefault="00815D09" w:rsidP="00815D09">
                                  <w:pPr>
                                    <w:pStyle w:val="TMGTableText"/>
                                  </w:pPr>
                                  <w:r w:rsidRPr="00A96F44">
                                    <w:rPr>
                                      <w:rFonts w:eastAsiaTheme="minorEastAsia"/>
                                    </w:rPr>
                                    <w:t>Parkway Marker or Forest Route Marker</w:t>
                                  </w:r>
                                </w:p>
                              </w:tc>
                            </w:tr>
                            <w:tr w:rsidR="00815D09" w14:paraId="3F7825C3" w14:textId="77777777" w:rsidTr="00815D09">
                              <w:tc>
                                <w:tcPr>
                                  <w:tcW w:w="625" w:type="dxa"/>
                                </w:tcPr>
                                <w:p w14:paraId="3BD25764" w14:textId="144D854B" w:rsidR="00815D09" w:rsidRPr="00561667" w:rsidRDefault="00815D09" w:rsidP="00815D09">
                                  <w:pPr>
                                    <w:pStyle w:val="TMGTableText"/>
                                    <w:jc w:val="center"/>
                                    <w:rPr>
                                      <w:b/>
                                      <w:bCs/>
                                    </w:rPr>
                                  </w:pPr>
                                  <w:r w:rsidRPr="00A96F44">
                                    <w:rPr>
                                      <w:rFonts w:eastAsiaTheme="minorEastAsia"/>
                                      <w:b/>
                                      <w:bCs/>
                                    </w:rPr>
                                    <w:t>10</w:t>
                                  </w:r>
                                </w:p>
                              </w:tc>
                              <w:tc>
                                <w:tcPr>
                                  <w:tcW w:w="3510" w:type="dxa"/>
                                </w:tcPr>
                                <w:p w14:paraId="0F6F64BB" w14:textId="675E09D1" w:rsidR="00815D09" w:rsidRPr="00C251E9" w:rsidRDefault="00815D09" w:rsidP="00815D09">
                                  <w:pPr>
                                    <w:pStyle w:val="TMGTableText"/>
                                  </w:pPr>
                                  <w:r w:rsidRPr="00A96F44">
                                    <w:rPr>
                                      <w:rFonts w:eastAsiaTheme="minorEastAsia"/>
                                    </w:rPr>
                                    <w:t>US Bicycle Route</w:t>
                                  </w:r>
                                </w:p>
                              </w:tc>
                            </w:tr>
                            <w:tr w:rsidR="00815D09" w14:paraId="076C58B4" w14:textId="77777777" w:rsidTr="00815D09">
                              <w:tc>
                                <w:tcPr>
                                  <w:tcW w:w="625" w:type="dxa"/>
                                </w:tcPr>
                                <w:p w14:paraId="7F4D7CC8" w14:textId="5887390B" w:rsidR="00815D09" w:rsidRPr="00561667" w:rsidRDefault="00815D09" w:rsidP="00815D09">
                                  <w:pPr>
                                    <w:pStyle w:val="TMGTableText"/>
                                    <w:jc w:val="center"/>
                                    <w:rPr>
                                      <w:b/>
                                      <w:bCs/>
                                    </w:rPr>
                                  </w:pPr>
                                  <w:r w:rsidRPr="00A96F44">
                                    <w:rPr>
                                      <w:rFonts w:eastAsiaTheme="minorEastAsia"/>
                                      <w:b/>
                                      <w:bCs/>
                                    </w:rPr>
                                    <w:t>11</w:t>
                                  </w:r>
                                </w:p>
                              </w:tc>
                              <w:tc>
                                <w:tcPr>
                                  <w:tcW w:w="3510" w:type="dxa"/>
                                </w:tcPr>
                                <w:p w14:paraId="5AB907C8" w14:textId="73FC0DE1" w:rsidR="00815D09" w:rsidRPr="00C251E9" w:rsidRDefault="00815D09" w:rsidP="00815D09">
                                  <w:pPr>
                                    <w:pStyle w:val="TMGTableText"/>
                                  </w:pPr>
                                  <w:r w:rsidRPr="00A96F44">
                                    <w:rPr>
                                      <w:rFonts w:eastAsiaTheme="minorEastAsia"/>
                                    </w:rPr>
                                    <w:t>State or Local Bicycle Route</w:t>
                                  </w:r>
                                </w:p>
                              </w:tc>
                            </w:tr>
                            <w:tr w:rsidR="00815D09" w14:paraId="54EF3A1A" w14:textId="77777777" w:rsidTr="00815D09">
                              <w:tc>
                                <w:tcPr>
                                  <w:tcW w:w="625" w:type="dxa"/>
                                </w:tcPr>
                                <w:p w14:paraId="6293AB15" w14:textId="4023C9B7" w:rsidR="00815D09" w:rsidRPr="00561667" w:rsidRDefault="00815D09" w:rsidP="00815D09">
                                  <w:pPr>
                                    <w:pStyle w:val="TMGTableText"/>
                                    <w:jc w:val="center"/>
                                    <w:rPr>
                                      <w:b/>
                                      <w:bCs/>
                                    </w:rPr>
                                  </w:pPr>
                                  <w:r w:rsidRPr="00A96F44">
                                    <w:rPr>
                                      <w:rFonts w:eastAsiaTheme="minorEastAsia"/>
                                      <w:b/>
                                      <w:bCs/>
                                    </w:rPr>
                                    <w:t>12</w:t>
                                  </w:r>
                                </w:p>
                              </w:tc>
                              <w:tc>
                                <w:tcPr>
                                  <w:tcW w:w="3510" w:type="dxa"/>
                                </w:tcPr>
                                <w:p w14:paraId="56173F96" w14:textId="33EF5FB1" w:rsidR="00815D09" w:rsidRPr="00C251E9" w:rsidRDefault="00815D09" w:rsidP="00815D09">
                                  <w:pPr>
                                    <w:pStyle w:val="TMGTableText"/>
                                  </w:pPr>
                                  <w:r w:rsidRPr="00A96F44">
                                    <w:rPr>
                                      <w:rFonts w:eastAsiaTheme="minorEastAsia"/>
                                    </w:rPr>
                                    <w:t>None of the above</w:t>
                                  </w:r>
                                </w:p>
                              </w:tc>
                            </w:tr>
                          </w:tbl>
                          <w:p w14:paraId="7894E4C3" w14:textId="77777777" w:rsidR="00815D09" w:rsidRDefault="00815D09" w:rsidP="00815D09"/>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9488E7D" id="_x0000_s1125" type="#_x0000_t202" style="position:absolute;left:0;text-align:left;margin-left:260.3pt;margin-top:3.9pt;width:210.95pt;height:212.4pt;z-index:251736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" stroked="f">
                <v:textbox inset="0,0,0,0">
                  <w:txbxContent>
                    <w:p w14:paraId="6F1DAFD6" w14:textId="2F106526" w:rsidR="00815D09" w:rsidRDefault="00815D09" w:rsidP="00815D09">
                      <w:pPr>
                        <w:pStyle w:val="TMGTableCaption"/>
                        <w:spacing w:before="0"/>
                      </w:pPr>
                      <w:bookmarkStart w:id="3288" w:name="_Ref113280428"/>
                      <w:bookmarkStart w:id="3289" w:name="_Toc109333468"/>
                      <w:bookmarkStart w:id="3290" w:name="_Toc109333796"/>
                      <w:bookmarkStart w:id="3291" w:name="_Toc113282543"/>
                      <w:bookmarkStart w:id="3292" w:name="_Toc114474880"/>
                      <w:bookmarkStart w:id="3293" w:name="_Toc120631186"/>
                      <w:r w:rsidRPr="00A96F44">
                        <w:t xml:space="preserve">Table </w:t>
                      </w:r>
                      <w:fldSimple w:instr=" STYLEREF 1 \s ">
                        <w:r w:rsidR="00FC0E95">
                          <w:rPr>
                            <w:noProof/>
                          </w:rPr>
                          <w:t>4</w:t>
                        </w:r>
                      </w:fldSimple>
                      <w:r>
                        <w:noBreakHyphen/>
                      </w:r>
                      <w:fldSimple w:instr=" SEQ Table \* ARABIC \s 1 ">
                        <w:r w:rsidR="00FC0E95">
                          <w:rPr>
                            <w:noProof/>
                          </w:rPr>
                          <w:t>38</w:t>
                        </w:r>
                      </w:fldSimple>
                      <w:bookmarkEnd w:id="3288"/>
                      <w:r>
                        <w:t>.</w:t>
                      </w:r>
                      <w:r w:rsidRPr="00A96F44">
                        <w:t xml:space="preserve"> Posted Route Signing Codes</w:t>
                      </w:r>
                      <w:bookmarkEnd w:id="3289"/>
                      <w:bookmarkEnd w:id="3290"/>
                      <w:bookmarkEnd w:id="3291"/>
                      <w:bookmarkEnd w:id="3292"/>
                      <w:bookmarkEnd w:id="3293"/>
                    </w:p>
                    <w:tbl>
                      <w:tblPr>
                        <w:tblStyle w:val="TableGrid"/>
                        <w:tblW w:w="4135" w:type="dxa"/>
                        <w:tblCellMar>
                          <w:left w:w="86" w:type="dxa"/>
                          <w:right w:w="86" w:type="dxa"/>
                        </w:tblCellMar>
                        <w:tblLook w:val="04A0" w:firstRow="1" w:lastRow="0" w:firstColumn="1" w:lastColumn="0" w:noHBand="0" w:noVBand="1"/>
                      </w:tblPr>
                      <w:tblGrid>
                        <w:gridCol w:w="625"/>
                        <w:gridCol w:w="3510"/>
                      </w:tblGrid>
                      <w:tr w:rsidR="00815D09" w14:paraId="5CB9941F" w14:textId="77777777" w:rsidTr="00815D09">
                        <w:tc>
                          <w:tcPr>
                            <w:tcW w:w="625" w:type="dxa"/>
                            <w:tcBorders>
                              <w:right w:val="single" w:sz="4" w:space="0" w:color="FFFFFF" w:themeColor="background1"/>
                            </w:tcBorders>
                            <w:shd w:val="clear" w:color="auto" w:fill="1F3864"/>
                          </w:tcPr>
                          <w:p w14:paraId="60EF9D26" w14:textId="77777777" w:rsidR="00815D09" w:rsidRDefault="00815D09" w:rsidP="00561667">
                            <w:pPr>
                              <w:pStyle w:val="TMGTableTextHeader"/>
                            </w:pPr>
                            <w:r w:rsidRPr="00521214">
                              <w:rPr>
                                <w:rFonts w:eastAsiaTheme="minorEastAsia"/>
                              </w:rPr>
                              <w:t>Code</w:t>
                            </w:r>
                          </w:p>
                        </w:tc>
                        <w:tc>
                          <w:tcPr>
                            <w:tcW w:w="3510" w:type="dxa"/>
                            <w:tcBorders>
                              <w:left w:val="single" w:sz="4" w:space="0" w:color="FFFFFF" w:themeColor="background1"/>
                            </w:tcBorders>
                            <w:shd w:val="clear" w:color="auto" w:fill="1F3864"/>
                          </w:tcPr>
                          <w:p w14:paraId="636CB71C" w14:textId="1639AB7A" w:rsidR="00815D09" w:rsidRDefault="00815D09" w:rsidP="00561667">
                            <w:pPr>
                              <w:pStyle w:val="TMGTableTextHeader"/>
                            </w:pPr>
                            <w:r>
                              <w:rPr>
                                <w:rFonts w:eastAsiaTheme="minorEastAsia"/>
                              </w:rPr>
                              <w:t>Description</w:t>
                            </w:r>
                          </w:p>
                        </w:tc>
                      </w:tr>
                      <w:tr w:rsidR="00815D09" w14:paraId="43EB0A25" w14:textId="77777777" w:rsidTr="00815D09">
                        <w:tc>
                          <w:tcPr>
                            <w:tcW w:w="625" w:type="dxa"/>
                          </w:tcPr>
                          <w:p w14:paraId="56745921" w14:textId="33AD4881" w:rsidR="00815D09" w:rsidRPr="00561667" w:rsidRDefault="00815D09" w:rsidP="00815D09">
                            <w:pPr>
                              <w:pStyle w:val="TMGTableText"/>
                              <w:jc w:val="center"/>
                              <w:rPr>
                                <w:b/>
                                <w:bCs/>
                              </w:rPr>
                            </w:pPr>
                            <w:r w:rsidRPr="00A96F44">
                              <w:rPr>
                                <w:rFonts w:eastAsiaTheme="minorEastAsia"/>
                                <w:b/>
                                <w:bCs/>
                              </w:rPr>
                              <w:t>1</w:t>
                            </w:r>
                          </w:p>
                        </w:tc>
                        <w:tc>
                          <w:tcPr>
                            <w:tcW w:w="3510" w:type="dxa"/>
                          </w:tcPr>
                          <w:p w14:paraId="488C2818" w14:textId="74AB9707" w:rsidR="00815D09" w:rsidRPr="00C251E9" w:rsidRDefault="00815D09" w:rsidP="00815D09">
                            <w:pPr>
                              <w:pStyle w:val="TMGTableText"/>
                            </w:pPr>
                            <w:r w:rsidRPr="00A96F44">
                              <w:rPr>
                                <w:rFonts w:eastAsiaTheme="minorEastAsia"/>
                              </w:rPr>
                              <w:t>Not signed</w:t>
                            </w:r>
                          </w:p>
                        </w:tc>
                      </w:tr>
                      <w:tr w:rsidR="00815D09" w14:paraId="23620292" w14:textId="77777777" w:rsidTr="00815D09">
                        <w:tc>
                          <w:tcPr>
                            <w:tcW w:w="625" w:type="dxa"/>
                          </w:tcPr>
                          <w:p w14:paraId="2AF0F6B9" w14:textId="74E4B74A" w:rsidR="00815D09" w:rsidRPr="00561667" w:rsidRDefault="00815D09" w:rsidP="00815D09">
                            <w:pPr>
                              <w:pStyle w:val="TMGTableText"/>
                              <w:jc w:val="center"/>
                              <w:rPr>
                                <w:b/>
                                <w:bCs/>
                              </w:rPr>
                            </w:pPr>
                            <w:r w:rsidRPr="00A96F44">
                              <w:rPr>
                                <w:rFonts w:eastAsiaTheme="minorEastAsia"/>
                                <w:b/>
                                <w:bCs/>
                              </w:rPr>
                              <w:t>2</w:t>
                            </w:r>
                          </w:p>
                        </w:tc>
                        <w:tc>
                          <w:tcPr>
                            <w:tcW w:w="3510" w:type="dxa"/>
                          </w:tcPr>
                          <w:p w14:paraId="7935E368" w14:textId="305C7996" w:rsidR="00815D09" w:rsidRPr="00C251E9" w:rsidRDefault="00815D09" w:rsidP="00815D09">
                            <w:pPr>
                              <w:pStyle w:val="TMGTableText"/>
                            </w:pPr>
                            <w:r w:rsidRPr="00A96F44">
                              <w:rPr>
                                <w:rFonts w:eastAsiaTheme="minorEastAsia"/>
                              </w:rPr>
                              <w:t>Interstate</w:t>
                            </w:r>
                          </w:p>
                        </w:tc>
                      </w:tr>
                      <w:tr w:rsidR="00815D09" w14:paraId="5A80D057" w14:textId="77777777" w:rsidTr="00815D09">
                        <w:tc>
                          <w:tcPr>
                            <w:tcW w:w="625" w:type="dxa"/>
                          </w:tcPr>
                          <w:p w14:paraId="02096333" w14:textId="3A4E73F0" w:rsidR="00815D09" w:rsidRPr="00561667" w:rsidRDefault="00815D09" w:rsidP="00815D09">
                            <w:pPr>
                              <w:pStyle w:val="TMGTableText"/>
                              <w:jc w:val="center"/>
                              <w:rPr>
                                <w:b/>
                                <w:bCs/>
                              </w:rPr>
                            </w:pPr>
                            <w:r w:rsidRPr="00A96F44">
                              <w:rPr>
                                <w:rFonts w:eastAsiaTheme="minorEastAsia"/>
                                <w:b/>
                                <w:bCs/>
                              </w:rPr>
                              <w:t>3</w:t>
                            </w:r>
                          </w:p>
                        </w:tc>
                        <w:tc>
                          <w:tcPr>
                            <w:tcW w:w="3510" w:type="dxa"/>
                          </w:tcPr>
                          <w:p w14:paraId="3D2F4BEE" w14:textId="3C1821A7" w:rsidR="00815D09" w:rsidRPr="00C251E9" w:rsidRDefault="00815D09" w:rsidP="00815D09">
                            <w:pPr>
                              <w:pStyle w:val="TMGTableText"/>
                            </w:pPr>
                            <w:r w:rsidRPr="00A96F44">
                              <w:rPr>
                                <w:rFonts w:eastAsiaTheme="minorEastAsia"/>
                              </w:rPr>
                              <w:t>U.S.</w:t>
                            </w:r>
                          </w:p>
                        </w:tc>
                      </w:tr>
                      <w:tr w:rsidR="00815D09" w14:paraId="440BB3D2" w14:textId="77777777" w:rsidTr="00815D09">
                        <w:tc>
                          <w:tcPr>
                            <w:tcW w:w="625" w:type="dxa"/>
                          </w:tcPr>
                          <w:p w14:paraId="1AC57326" w14:textId="34ED5BD9" w:rsidR="00815D09" w:rsidRPr="00561667" w:rsidRDefault="00815D09" w:rsidP="00815D09">
                            <w:pPr>
                              <w:pStyle w:val="TMGTableText"/>
                              <w:jc w:val="center"/>
                              <w:rPr>
                                <w:b/>
                                <w:bCs/>
                              </w:rPr>
                            </w:pPr>
                            <w:r w:rsidRPr="00A96F44">
                              <w:rPr>
                                <w:rFonts w:eastAsiaTheme="minorEastAsia"/>
                                <w:b/>
                                <w:bCs/>
                              </w:rPr>
                              <w:t>4</w:t>
                            </w:r>
                          </w:p>
                        </w:tc>
                        <w:tc>
                          <w:tcPr>
                            <w:tcW w:w="3510" w:type="dxa"/>
                          </w:tcPr>
                          <w:p w14:paraId="23DF2E9B" w14:textId="65B9B5CF" w:rsidR="00815D09" w:rsidRPr="00C251E9" w:rsidRDefault="00815D09" w:rsidP="00815D09">
                            <w:pPr>
                              <w:pStyle w:val="TMGTableText"/>
                            </w:pPr>
                            <w:r w:rsidRPr="00A96F44">
                              <w:rPr>
                                <w:rFonts w:eastAsiaTheme="minorEastAsia"/>
                              </w:rPr>
                              <w:t>State</w:t>
                            </w:r>
                          </w:p>
                        </w:tc>
                      </w:tr>
                      <w:tr w:rsidR="00815D09" w14:paraId="7009BECA" w14:textId="77777777" w:rsidTr="00815D09">
                        <w:tc>
                          <w:tcPr>
                            <w:tcW w:w="625" w:type="dxa"/>
                          </w:tcPr>
                          <w:p w14:paraId="2B5CD147" w14:textId="2080C0DC" w:rsidR="00815D09" w:rsidRPr="00521214" w:rsidRDefault="00815D09" w:rsidP="00815D09">
                            <w:pPr>
                              <w:pStyle w:val="TMGTableText"/>
                              <w:jc w:val="center"/>
                              <w:rPr>
                                <w:rFonts w:eastAsiaTheme="minorEastAsia"/>
                              </w:rPr>
                            </w:pPr>
                            <w:r w:rsidRPr="00A96F44">
                              <w:rPr>
                                <w:rFonts w:eastAsiaTheme="minorEastAsia"/>
                                <w:b/>
                                <w:bCs/>
                              </w:rPr>
                              <w:t>5</w:t>
                            </w:r>
                          </w:p>
                        </w:tc>
                        <w:tc>
                          <w:tcPr>
                            <w:tcW w:w="3510" w:type="dxa"/>
                          </w:tcPr>
                          <w:p w14:paraId="22D56829" w14:textId="067378AA" w:rsidR="00815D09" w:rsidRPr="00521214" w:rsidRDefault="00815D09" w:rsidP="00815D09">
                            <w:pPr>
                              <w:pStyle w:val="TMGTableText"/>
                              <w:rPr>
                                <w:rFonts w:eastAsiaTheme="minorEastAsia"/>
                              </w:rPr>
                            </w:pPr>
                            <w:r w:rsidRPr="00A96F44">
                              <w:rPr>
                                <w:rFonts w:eastAsiaTheme="minorEastAsia"/>
                              </w:rPr>
                              <w:t>Off-Interstate Business Marker</w:t>
                            </w:r>
                          </w:p>
                        </w:tc>
                      </w:tr>
                      <w:tr w:rsidR="00815D09" w14:paraId="11CE389E" w14:textId="77777777" w:rsidTr="00815D09">
                        <w:tc>
                          <w:tcPr>
                            <w:tcW w:w="625" w:type="dxa"/>
                          </w:tcPr>
                          <w:p w14:paraId="3577F4E5" w14:textId="16E8C2D7" w:rsidR="00815D09" w:rsidRPr="00521214" w:rsidRDefault="00815D09" w:rsidP="00815D09">
                            <w:pPr>
                              <w:pStyle w:val="TMGTableText"/>
                              <w:jc w:val="center"/>
                              <w:rPr>
                                <w:rFonts w:eastAsiaTheme="minorEastAsia"/>
                              </w:rPr>
                            </w:pPr>
                            <w:r w:rsidRPr="00A96F44">
                              <w:rPr>
                                <w:rFonts w:eastAsiaTheme="minorEastAsia"/>
                                <w:b/>
                                <w:bCs/>
                              </w:rPr>
                              <w:t>6</w:t>
                            </w:r>
                          </w:p>
                        </w:tc>
                        <w:tc>
                          <w:tcPr>
                            <w:tcW w:w="3510" w:type="dxa"/>
                          </w:tcPr>
                          <w:p w14:paraId="55FACE6E" w14:textId="7A87649B" w:rsidR="00815D09" w:rsidRPr="00521214" w:rsidRDefault="00815D09" w:rsidP="00815D09">
                            <w:pPr>
                              <w:pStyle w:val="TMGTableText"/>
                              <w:rPr>
                                <w:rFonts w:eastAsiaTheme="minorEastAsia"/>
                              </w:rPr>
                            </w:pPr>
                            <w:r w:rsidRPr="00A96F44">
                              <w:rPr>
                                <w:rFonts w:eastAsiaTheme="minorEastAsia"/>
                              </w:rPr>
                              <w:t>County</w:t>
                            </w:r>
                          </w:p>
                        </w:tc>
                      </w:tr>
                      <w:tr w:rsidR="00815D09" w14:paraId="6D03FB4F" w14:textId="77777777" w:rsidTr="00815D09">
                        <w:tc>
                          <w:tcPr>
                            <w:tcW w:w="625" w:type="dxa"/>
                          </w:tcPr>
                          <w:p w14:paraId="52C4D6E4" w14:textId="372B787C" w:rsidR="00815D09" w:rsidRPr="00521214" w:rsidRDefault="00815D09" w:rsidP="00815D09">
                            <w:pPr>
                              <w:pStyle w:val="TMGTableText"/>
                              <w:jc w:val="center"/>
                              <w:rPr>
                                <w:rFonts w:eastAsiaTheme="minorEastAsia"/>
                              </w:rPr>
                            </w:pPr>
                            <w:r w:rsidRPr="00A96F44">
                              <w:rPr>
                                <w:rFonts w:eastAsiaTheme="minorEastAsia"/>
                                <w:b/>
                                <w:bCs/>
                              </w:rPr>
                              <w:t>7</w:t>
                            </w:r>
                          </w:p>
                        </w:tc>
                        <w:tc>
                          <w:tcPr>
                            <w:tcW w:w="3510" w:type="dxa"/>
                          </w:tcPr>
                          <w:p w14:paraId="6474B9AD" w14:textId="19B9EF5C" w:rsidR="00815D09" w:rsidRPr="00521214" w:rsidRDefault="00815D09" w:rsidP="00815D09">
                            <w:pPr>
                              <w:pStyle w:val="TMGTableText"/>
                              <w:rPr>
                                <w:rFonts w:eastAsiaTheme="minorEastAsia"/>
                              </w:rPr>
                            </w:pPr>
                            <w:r w:rsidRPr="00A96F44">
                              <w:rPr>
                                <w:rFonts w:eastAsiaTheme="minorEastAsia"/>
                              </w:rPr>
                              <w:t>Township</w:t>
                            </w:r>
                          </w:p>
                        </w:tc>
                      </w:tr>
                      <w:tr w:rsidR="00815D09" w14:paraId="6CD1D7CC" w14:textId="77777777" w:rsidTr="00815D09">
                        <w:tc>
                          <w:tcPr>
                            <w:tcW w:w="625" w:type="dxa"/>
                          </w:tcPr>
                          <w:p w14:paraId="1CCEEDC3" w14:textId="2FF8AA70" w:rsidR="00815D09" w:rsidRPr="00561667" w:rsidRDefault="00815D09" w:rsidP="00815D09">
                            <w:pPr>
                              <w:pStyle w:val="TMGTableText"/>
                              <w:jc w:val="center"/>
                              <w:rPr>
                                <w:b/>
                                <w:bCs/>
                              </w:rPr>
                            </w:pPr>
                            <w:r w:rsidRPr="00A96F44">
                              <w:rPr>
                                <w:rFonts w:eastAsiaTheme="minorEastAsia"/>
                                <w:b/>
                                <w:bCs/>
                              </w:rPr>
                              <w:t>8</w:t>
                            </w:r>
                          </w:p>
                        </w:tc>
                        <w:tc>
                          <w:tcPr>
                            <w:tcW w:w="3510" w:type="dxa"/>
                          </w:tcPr>
                          <w:p w14:paraId="49842024" w14:textId="6E911928" w:rsidR="00815D09" w:rsidRPr="00C251E9" w:rsidRDefault="00815D09" w:rsidP="00815D09">
                            <w:pPr>
                              <w:pStyle w:val="TMGTableText"/>
                            </w:pPr>
                            <w:r w:rsidRPr="00A96F44">
                              <w:rPr>
                                <w:rFonts w:eastAsiaTheme="minorEastAsia"/>
                              </w:rPr>
                              <w:t>Municipal</w:t>
                            </w:r>
                          </w:p>
                        </w:tc>
                      </w:tr>
                      <w:tr w:rsidR="00815D09" w14:paraId="72D04ACC" w14:textId="77777777" w:rsidTr="00815D09">
                        <w:tc>
                          <w:tcPr>
                            <w:tcW w:w="625" w:type="dxa"/>
                          </w:tcPr>
                          <w:p w14:paraId="49509B54" w14:textId="551453DC" w:rsidR="00815D09" w:rsidRPr="00561667" w:rsidRDefault="00815D09" w:rsidP="00815D09">
                            <w:pPr>
                              <w:pStyle w:val="TMGTableText"/>
                              <w:jc w:val="center"/>
                              <w:rPr>
                                <w:b/>
                                <w:bCs/>
                              </w:rPr>
                            </w:pPr>
                            <w:r w:rsidRPr="00A96F44">
                              <w:rPr>
                                <w:rFonts w:eastAsiaTheme="minorEastAsia"/>
                                <w:b/>
                                <w:bCs/>
                              </w:rPr>
                              <w:t>9</w:t>
                            </w:r>
                          </w:p>
                        </w:tc>
                        <w:tc>
                          <w:tcPr>
                            <w:tcW w:w="3510" w:type="dxa"/>
                          </w:tcPr>
                          <w:p w14:paraId="3463C6D9" w14:textId="03647EC4" w:rsidR="00815D09" w:rsidRPr="00C251E9" w:rsidRDefault="00815D09" w:rsidP="00815D09">
                            <w:pPr>
                              <w:pStyle w:val="TMGTableText"/>
                            </w:pPr>
                            <w:r w:rsidRPr="00A96F44">
                              <w:rPr>
                                <w:rFonts w:eastAsiaTheme="minorEastAsia"/>
                              </w:rPr>
                              <w:t>Parkway Marker or Forest Route Marker</w:t>
                            </w:r>
                          </w:p>
                        </w:tc>
                      </w:tr>
                      <w:tr w:rsidR="00815D09" w14:paraId="3F7825C3" w14:textId="77777777" w:rsidTr="00815D09">
                        <w:tc>
                          <w:tcPr>
                            <w:tcW w:w="625" w:type="dxa"/>
                          </w:tcPr>
                          <w:p w14:paraId="3BD25764" w14:textId="144D854B" w:rsidR="00815D09" w:rsidRPr="00561667" w:rsidRDefault="00815D09" w:rsidP="00815D09">
                            <w:pPr>
                              <w:pStyle w:val="TMGTableText"/>
                              <w:jc w:val="center"/>
                              <w:rPr>
                                <w:b/>
                                <w:bCs/>
                              </w:rPr>
                            </w:pPr>
                            <w:r w:rsidRPr="00A96F44">
                              <w:rPr>
                                <w:rFonts w:eastAsiaTheme="minorEastAsia"/>
                                <w:b/>
                                <w:bCs/>
                              </w:rPr>
                              <w:t>10</w:t>
                            </w:r>
                          </w:p>
                        </w:tc>
                        <w:tc>
                          <w:tcPr>
                            <w:tcW w:w="3510" w:type="dxa"/>
                          </w:tcPr>
                          <w:p w14:paraId="0F6F64BB" w14:textId="675E09D1" w:rsidR="00815D09" w:rsidRPr="00C251E9" w:rsidRDefault="00815D09" w:rsidP="00815D09">
                            <w:pPr>
                              <w:pStyle w:val="TMGTableText"/>
                            </w:pPr>
                            <w:r w:rsidRPr="00A96F44">
                              <w:rPr>
                                <w:rFonts w:eastAsiaTheme="minorEastAsia"/>
                              </w:rPr>
                              <w:t>US Bicycle Route</w:t>
                            </w:r>
                          </w:p>
                        </w:tc>
                      </w:tr>
                      <w:tr w:rsidR="00815D09" w14:paraId="076C58B4" w14:textId="77777777" w:rsidTr="00815D09">
                        <w:tc>
                          <w:tcPr>
                            <w:tcW w:w="625" w:type="dxa"/>
                          </w:tcPr>
                          <w:p w14:paraId="7F4D7CC8" w14:textId="5887390B" w:rsidR="00815D09" w:rsidRPr="00561667" w:rsidRDefault="00815D09" w:rsidP="00815D09">
                            <w:pPr>
                              <w:pStyle w:val="TMGTableText"/>
                              <w:jc w:val="center"/>
                              <w:rPr>
                                <w:b/>
                                <w:bCs/>
                              </w:rPr>
                            </w:pPr>
                            <w:r w:rsidRPr="00A96F44">
                              <w:rPr>
                                <w:rFonts w:eastAsiaTheme="minorEastAsia"/>
                                <w:b/>
                                <w:bCs/>
                              </w:rPr>
                              <w:t>11</w:t>
                            </w:r>
                          </w:p>
                        </w:tc>
                        <w:tc>
                          <w:tcPr>
                            <w:tcW w:w="3510" w:type="dxa"/>
                          </w:tcPr>
                          <w:p w14:paraId="5AB907C8" w14:textId="73FC0DE1" w:rsidR="00815D09" w:rsidRPr="00C251E9" w:rsidRDefault="00815D09" w:rsidP="00815D09">
                            <w:pPr>
                              <w:pStyle w:val="TMGTableText"/>
                            </w:pPr>
                            <w:r w:rsidRPr="00A96F44">
                              <w:rPr>
                                <w:rFonts w:eastAsiaTheme="minorEastAsia"/>
                              </w:rPr>
                              <w:t>State or Local Bicycle Route</w:t>
                            </w:r>
                          </w:p>
                        </w:tc>
                      </w:tr>
                      <w:tr w:rsidR="00815D09" w14:paraId="54EF3A1A" w14:textId="77777777" w:rsidTr="00815D09">
                        <w:tc>
                          <w:tcPr>
                            <w:tcW w:w="625" w:type="dxa"/>
                          </w:tcPr>
                          <w:p w14:paraId="6293AB15" w14:textId="4023C9B7" w:rsidR="00815D09" w:rsidRPr="00561667" w:rsidRDefault="00815D09" w:rsidP="00815D09">
                            <w:pPr>
                              <w:pStyle w:val="TMGTableText"/>
                              <w:jc w:val="center"/>
                              <w:rPr>
                                <w:b/>
                                <w:bCs/>
                              </w:rPr>
                            </w:pPr>
                            <w:r w:rsidRPr="00A96F44">
                              <w:rPr>
                                <w:rFonts w:eastAsiaTheme="minorEastAsia"/>
                                <w:b/>
                                <w:bCs/>
                              </w:rPr>
                              <w:t>12</w:t>
                            </w:r>
                          </w:p>
                        </w:tc>
                        <w:tc>
                          <w:tcPr>
                            <w:tcW w:w="3510" w:type="dxa"/>
                          </w:tcPr>
                          <w:p w14:paraId="56173F96" w14:textId="33EF5FB1" w:rsidR="00815D09" w:rsidRPr="00C251E9" w:rsidRDefault="00815D09" w:rsidP="00815D09">
                            <w:pPr>
                              <w:pStyle w:val="TMGTableText"/>
                            </w:pPr>
                            <w:r w:rsidRPr="00A96F44">
                              <w:rPr>
                                <w:rFonts w:eastAsiaTheme="minorEastAsia"/>
                              </w:rPr>
                              <w:t>None of the above</w:t>
                            </w:r>
                          </w:p>
                        </w:tc>
                      </w:tr>
                    </w:tbl>
                    <w:p w14:paraId="7894E4C3" w14:textId="77777777" w:rsidR="00815D09" w:rsidRDefault="00815D09" w:rsidP="00815D09"/>
                  </w:txbxContent>
                </v:textbox>
                <w10:wrap type="square" anchorx="margin"/>
              </v:shape>
            </w:pict>
          </mc:Fallback>
        </mc:AlternateContent>
      </w:r>
      <w:r w:rsidR="009B7AED" w:rsidRPr="00D96273">
        <w:t xml:space="preserve">Posted Route Signing – (Columns </w:t>
      </w:r>
      <w:r w:rsidR="009B7AED" w:rsidRPr="00D96273">
        <w:rPr>
          <w:rFonts w:eastAsiaTheme="minorEastAsia"/>
        </w:rPr>
        <w:t>6</w:t>
      </w:r>
      <w:r w:rsidR="009B7AED">
        <w:rPr>
          <w:rFonts w:eastAsiaTheme="minorEastAsia"/>
        </w:rPr>
        <w:t>5-66</w:t>
      </w:r>
      <w:r w:rsidR="009B7AED" w:rsidRPr="00D96273">
        <w:t xml:space="preserve">) – </w:t>
      </w:r>
      <w:r w:rsidR="009B7AED" w:rsidRPr="00D96273">
        <w:rPr>
          <w:i/>
        </w:rPr>
        <w:t>Optional</w:t>
      </w:r>
    </w:p>
    <w:p w14:paraId="1C7ADE24" w14:textId="24D4B32A" w:rsidR="009B7AED" w:rsidRDefault="009B7AED" w:rsidP="00C91F91">
      <w:pPr>
        <w:pStyle w:val="BodyText"/>
        <w:ind w:left="648"/>
      </w:pPr>
      <w:r w:rsidRPr="00521214">
        <w:t xml:space="preserve">Based on Route Signing codes in the 2016 HPMS Field Manual (Data Item 18 in HPMS Sections dataset) with extensions for bicycle routes. These codes are shown </w:t>
      </w:r>
      <w:r>
        <w:t xml:space="preserve">in </w:t>
      </w:r>
      <w:fldSimple w:instr=" REF _Ref113280428 ">
        <w:r w:rsidR="00C07DF9" w:rsidRPr="00A96F44">
          <w:t xml:space="preserve">Table </w:t>
        </w:r>
        <w:r w:rsidR="00C07DF9">
          <w:rPr>
            <w:noProof/>
          </w:rPr>
          <w:t>4</w:t>
        </w:r>
        <w:r w:rsidR="00C07DF9">
          <w:noBreakHyphen/>
        </w:r>
        <w:r w:rsidR="00C07DF9">
          <w:rPr>
            <w:noProof/>
          </w:rPr>
          <w:t>38</w:t>
        </w:r>
      </w:fldSimple>
      <w:r w:rsidRPr="00521214">
        <w:t>.</w:t>
      </w:r>
    </w:p>
    <w:p w14:paraId="11095DE4" w14:textId="77777777" w:rsidR="009B7AED" w:rsidRPr="00D96273" w:rsidRDefault="009B7AED">
      <w:pPr>
        <w:numPr>
          <w:ilvl w:val="0"/>
          <w:numId w:val="50"/>
        </w:numPr>
        <w:spacing w:after="120"/>
        <w:ind w:left="648"/>
        <w:jc w:val="left"/>
      </w:pPr>
      <w:r w:rsidRPr="00D96273">
        <w:t xml:space="preserve">Posted Signed Route Number (Columns </w:t>
      </w:r>
      <w:r w:rsidRPr="00D96273">
        <w:rPr>
          <w:rFonts w:eastAsiaTheme="minorEastAsia"/>
        </w:rPr>
        <w:t>6</w:t>
      </w:r>
      <w:r>
        <w:rPr>
          <w:rFonts w:eastAsiaTheme="minorEastAsia"/>
        </w:rPr>
        <w:t>7</w:t>
      </w:r>
      <w:r w:rsidRPr="00D96273">
        <w:rPr>
          <w:rFonts w:eastAsiaTheme="minorEastAsia"/>
        </w:rPr>
        <w:t>-</w:t>
      </w:r>
      <w:r>
        <w:rPr>
          <w:rFonts w:eastAsiaTheme="minorEastAsia"/>
        </w:rPr>
        <w:t>74</w:t>
      </w:r>
      <w:r w:rsidRPr="00D96273">
        <w:t xml:space="preserve">) – </w:t>
      </w:r>
      <w:r w:rsidRPr="00D96273">
        <w:rPr>
          <w:i/>
        </w:rPr>
        <w:t>Optional</w:t>
      </w:r>
    </w:p>
    <w:p w14:paraId="2F63BC6F" w14:textId="77777777" w:rsidR="009B7AED" w:rsidRPr="000862DB" w:rsidRDefault="009B7AED" w:rsidP="00C91F91">
      <w:pPr>
        <w:pStyle w:val="BodyText"/>
        <w:ind w:left="648"/>
      </w:pPr>
      <w:r w:rsidRPr="000862DB">
        <w:t>Leave this field blank if Field 26 Code is blank or 1, Zero-fill this field if Field 26 Code is 12.</w:t>
      </w:r>
    </w:p>
    <w:p w14:paraId="2040C88A" w14:textId="77777777" w:rsidR="009B7AED" w:rsidRPr="00D96273" w:rsidRDefault="009B7AED">
      <w:pPr>
        <w:numPr>
          <w:ilvl w:val="0"/>
          <w:numId w:val="50"/>
        </w:numPr>
        <w:spacing w:after="120"/>
        <w:ind w:left="648"/>
      </w:pPr>
      <w:r w:rsidRPr="00D96273">
        <w:t xml:space="preserve">Station Location (Columns </w:t>
      </w:r>
      <w:r>
        <w:rPr>
          <w:rFonts w:eastAsiaTheme="minorEastAsia"/>
        </w:rPr>
        <w:t>75</w:t>
      </w:r>
      <w:r w:rsidRPr="00D96273">
        <w:rPr>
          <w:rFonts w:eastAsiaTheme="minorEastAsia"/>
        </w:rPr>
        <w:t>-1</w:t>
      </w:r>
      <w:r>
        <w:rPr>
          <w:rFonts w:eastAsiaTheme="minorEastAsia"/>
        </w:rPr>
        <w:t>24</w:t>
      </w:r>
      <w:r w:rsidRPr="00D96273">
        <w:t xml:space="preserve">) – </w:t>
      </w:r>
      <w:r w:rsidRPr="00D96273">
        <w:rPr>
          <w:i/>
        </w:rPr>
        <w:t>Optional</w:t>
      </w:r>
    </w:p>
    <w:p w14:paraId="705A2448" w14:textId="3B3A32B2" w:rsidR="009B7AED" w:rsidRPr="000862DB" w:rsidRDefault="009B7AED" w:rsidP="00C91F91">
      <w:pPr>
        <w:pStyle w:val="BodyText"/>
        <w:ind w:left="648"/>
      </w:pPr>
      <w:r w:rsidRPr="000862DB">
        <w:t>This is an English text entry field. For stations located on a numbered route, enter the name of the nearest major intersecting route, State border, or landmark on State road maps and the distance and direction of</w:t>
      </w:r>
      <w:r w:rsidR="00ED2A81">
        <w:t> </w:t>
      </w:r>
      <w:r w:rsidRPr="000862DB">
        <w:t>the station from that landmark to the station (e.g.,</w:t>
      </w:r>
      <w:r w:rsidR="00ED2A81">
        <w:t> </w:t>
      </w:r>
      <w:r w:rsidRPr="000862DB">
        <w:t>“12 miles south of the Kentucky border”). If the station is located on a city street, enter the city and street name. Abbreviate if necessary. Left justify.</w:t>
      </w:r>
    </w:p>
    <w:p w14:paraId="4D2EC94E" w14:textId="77777777" w:rsidR="009B7AED" w:rsidRPr="00D96273" w:rsidRDefault="009B7AED">
      <w:pPr>
        <w:numPr>
          <w:ilvl w:val="0"/>
          <w:numId w:val="50"/>
        </w:numPr>
        <w:spacing w:after="120"/>
        <w:ind w:left="648"/>
      </w:pPr>
      <w:r w:rsidRPr="00D96273">
        <w:t xml:space="preserve">Other Notes (Columns </w:t>
      </w:r>
      <w:r w:rsidRPr="00880EEB">
        <w:rPr>
          <w:rFonts w:eastAsiaTheme="minorEastAsia"/>
        </w:rPr>
        <w:t>1</w:t>
      </w:r>
      <w:r>
        <w:rPr>
          <w:rFonts w:eastAsiaTheme="minorEastAsia"/>
        </w:rPr>
        <w:t>25</w:t>
      </w:r>
      <w:r w:rsidRPr="00880EEB">
        <w:rPr>
          <w:rFonts w:eastAsiaTheme="minorEastAsia"/>
        </w:rPr>
        <w:t>-</w:t>
      </w:r>
      <w:r>
        <w:rPr>
          <w:rFonts w:eastAsiaTheme="minorEastAsia"/>
        </w:rPr>
        <w:t>175</w:t>
      </w:r>
      <w:r w:rsidRPr="00D96273">
        <w:t xml:space="preserve">) </w:t>
      </w:r>
      <w:r>
        <w:t>–</w:t>
      </w:r>
      <w:r w:rsidRPr="00D96273">
        <w:t xml:space="preserve"> </w:t>
      </w:r>
      <w:r w:rsidRPr="00880EEB">
        <w:rPr>
          <w:i/>
        </w:rPr>
        <w:t>Optional</w:t>
      </w:r>
      <w:r w:rsidRPr="00D96273">
        <w:t xml:space="preserve"> </w:t>
      </w:r>
    </w:p>
    <w:p w14:paraId="16ED8596" w14:textId="1A0CACC8" w:rsidR="009B7AED" w:rsidRPr="00D96273" w:rsidRDefault="009B7AED" w:rsidP="00C91F91">
      <w:pPr>
        <w:pStyle w:val="BodyText"/>
        <w:ind w:left="648"/>
      </w:pPr>
      <w:r w:rsidRPr="00D96273">
        <w:t>This is an English text field that can be used to provide notes to other users of data from this location. For</w:t>
      </w:r>
      <w:r w:rsidR="00ED2A81">
        <w:t> </w:t>
      </w:r>
      <w:r w:rsidRPr="00D96273">
        <w:t>example, it can be used to describe the specific use of factor groups 1 through 5. Also, if Field #11 (Type of Count) is coded as “8” (other animals), indicate the type(s) of animals in this field.</w:t>
      </w:r>
      <w:r w:rsidR="004D4172">
        <w:t xml:space="preserve"> </w:t>
      </w:r>
      <w:r w:rsidRPr="00D96273">
        <w:t xml:space="preserve">In addition, this field should be used to indicate whether the trail or facility being counted is open only to </w:t>
      </w:r>
      <w:r>
        <w:t xml:space="preserve">micromobility </w:t>
      </w:r>
      <w:r w:rsidRPr="00D96273">
        <w:t>traffic for part of the year.</w:t>
      </w:r>
      <w:r w:rsidR="004D4172">
        <w:t xml:space="preserve"> </w:t>
      </w:r>
      <w:r w:rsidRPr="00D96273">
        <w:t xml:space="preserve">For example, a trail in the mountains may be closed as a result of snow accumulation for four months of each year. Including a note such as “Open April to October” will help users understand </w:t>
      </w:r>
      <w:r>
        <w:t>micromobility</w:t>
      </w:r>
      <w:r w:rsidRPr="00D96273">
        <w:t xml:space="preserve"> travel at this location.</w:t>
      </w:r>
    </w:p>
    <w:p w14:paraId="312A9393" w14:textId="61729260" w:rsidR="009B7AED" w:rsidRPr="00D96273" w:rsidRDefault="009B7AED" w:rsidP="00C91F91">
      <w:pPr>
        <w:pStyle w:val="BodyText"/>
        <w:ind w:left="648"/>
      </w:pPr>
    </w:p>
    <w:p w14:paraId="496C3E33" w14:textId="77777777" w:rsidR="009B7AED" w:rsidRPr="00D96273" w:rsidRDefault="009B7AED" w:rsidP="009B7AED">
      <w:pPr>
        <w:keepNext/>
        <w:spacing w:after="240"/>
        <w:ind w:left="1426" w:hanging="1440"/>
        <w:contextualSpacing/>
        <w:rPr>
          <w:b/>
          <w:bCs/>
          <w:smallCaps/>
          <w:sz w:val="24"/>
          <w:szCs w:val="22"/>
        </w:rPr>
        <w:sectPr w:rsidR="009B7AED" w:rsidRPr="00D96273" w:rsidSect="003C28DA">
          <w:headerReference w:type="even" r:id="rId227"/>
          <w:headerReference w:type="default" r:id="rId228"/>
          <w:footerReference w:type="even" r:id="rId229"/>
          <w:footerReference w:type="default" r:id="rId230"/>
          <w:pgSz w:w="12240" w:h="15840" w:code="1"/>
          <w:pgMar w:top="1440" w:right="1440" w:bottom="1152" w:left="1440" w:header="720" w:footer="576" w:gutter="0"/>
          <w:pgNumType w:chapStyle="1"/>
          <w:cols w:space="720"/>
          <w:noEndnote/>
        </w:sectPr>
      </w:pPr>
    </w:p>
    <w:bookmarkStart w:id="3294" w:name="_Ref113280456"/>
    <w:bookmarkStart w:id="3295" w:name="_Toc109333469"/>
    <w:bookmarkStart w:id="3296" w:name="_Toc109333797"/>
    <w:bookmarkStart w:id="3297" w:name="_Toc113282544"/>
    <w:bookmarkStart w:id="3298" w:name="_Toc114474881"/>
    <w:p w14:paraId="036653E8" w14:textId="58F9DCED" w:rsidR="00833E15" w:rsidRDefault="00D322F5" w:rsidP="00833E15">
      <w:pPr>
        <w:pStyle w:val="BodyText"/>
      </w:pPr>
      <w:r>
        <w:lastRenderedPageBreak/>
        <w:fldChar w:fldCharType="begin"/>
      </w:r>
      <w:r>
        <w:instrText xml:space="preserve"> REF _Ref116025465 \h </w:instrText>
      </w:r>
      <w:r>
        <w:fldChar w:fldCharType="separate"/>
      </w:r>
      <w:r w:rsidR="00C07DF9" w:rsidRPr="000862DB">
        <w:t xml:space="preserve">Table </w:t>
      </w:r>
      <w:r w:rsidR="00C07DF9">
        <w:rPr>
          <w:noProof/>
        </w:rPr>
        <w:t>4</w:t>
      </w:r>
      <w:r w:rsidR="00C07DF9">
        <w:noBreakHyphen/>
      </w:r>
      <w:r w:rsidR="00C07DF9">
        <w:rPr>
          <w:noProof/>
        </w:rPr>
        <w:t>39</w:t>
      </w:r>
      <w:r>
        <w:fldChar w:fldCharType="end"/>
      </w:r>
      <w:r>
        <w:t xml:space="preserve"> </w:t>
      </w:r>
      <w:r w:rsidR="00833E15" w:rsidRPr="00D96273">
        <w:t xml:space="preserve">shows an example of the </w:t>
      </w:r>
      <w:r w:rsidR="00833E15">
        <w:t>micromobility c</w:t>
      </w:r>
      <w:r w:rsidR="00833E15" w:rsidRPr="00D96273">
        <w:t>ount station description record.</w:t>
      </w:r>
    </w:p>
    <w:p w14:paraId="589B1586" w14:textId="556518A8" w:rsidR="009B7AED" w:rsidRPr="000862DB" w:rsidRDefault="009B7AED" w:rsidP="00736AF3">
      <w:pPr>
        <w:pStyle w:val="TMGTableCaption"/>
      </w:pPr>
      <w:bookmarkStart w:id="3299" w:name="_Ref116025465"/>
      <w:bookmarkStart w:id="3300" w:name="_Toc120631187"/>
      <w:r w:rsidRPr="000862DB">
        <w:t xml:space="preserve">Table </w:t>
      </w:r>
      <w:fldSimple w:instr=" STYLEREF 1 \s ">
        <w:r w:rsidR="00C07DF9">
          <w:rPr>
            <w:noProof/>
          </w:rPr>
          <w:t>4</w:t>
        </w:r>
      </w:fldSimple>
      <w:r>
        <w:noBreakHyphen/>
      </w:r>
      <w:fldSimple w:instr=" SEQ Table \* ARABIC \s 1 ">
        <w:r w:rsidR="00C07DF9">
          <w:rPr>
            <w:noProof/>
          </w:rPr>
          <w:t>39</w:t>
        </w:r>
      </w:fldSimple>
      <w:bookmarkEnd w:id="3294"/>
      <w:bookmarkEnd w:id="3299"/>
      <w:r>
        <w:t>.</w:t>
      </w:r>
      <w:r w:rsidRPr="000862DB">
        <w:t xml:space="preserve"> Micromobility Count Station Description Record Example</w:t>
      </w:r>
      <w:r>
        <w:t xml:space="preserve"> – Fixed-Width Format</w:t>
      </w:r>
      <w:bookmarkEnd w:id="3295"/>
      <w:bookmarkEnd w:id="3296"/>
      <w:bookmarkEnd w:id="3297"/>
      <w:bookmarkEnd w:id="3298"/>
      <w:bookmarkEnd w:id="3300"/>
    </w:p>
    <w:tbl>
      <w:tblPr>
        <w:tblStyle w:val="TMGTable"/>
        <w:tblW w:w="12941"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981"/>
        <w:gridCol w:w="270"/>
        <w:gridCol w:w="454"/>
        <w:gridCol w:w="450"/>
        <w:gridCol w:w="900"/>
        <w:gridCol w:w="603"/>
        <w:gridCol w:w="441"/>
        <w:gridCol w:w="441"/>
        <w:gridCol w:w="441"/>
        <w:gridCol w:w="441"/>
        <w:gridCol w:w="657"/>
        <w:gridCol w:w="409"/>
        <w:gridCol w:w="414"/>
        <w:gridCol w:w="468"/>
        <w:gridCol w:w="783"/>
        <w:gridCol w:w="684"/>
        <w:gridCol w:w="684"/>
        <w:gridCol w:w="684"/>
        <w:gridCol w:w="684"/>
        <w:gridCol w:w="684"/>
        <w:gridCol w:w="684"/>
        <w:gridCol w:w="684"/>
      </w:tblGrid>
      <w:tr w:rsidR="009B7AED" w:rsidRPr="00307549" w14:paraId="48485AB9" w14:textId="77777777" w:rsidTr="00264716">
        <w:trPr>
          <w:cnfStyle w:val="100000000000" w:firstRow="1" w:lastRow="0" w:firstColumn="0" w:lastColumn="0" w:oddVBand="0" w:evenVBand="0" w:oddHBand="0" w:evenHBand="0" w:firstRowFirstColumn="0" w:firstRowLastColumn="0" w:lastRowFirstColumn="0" w:lastRowLastColumn="0"/>
          <w:trHeight w:val="60"/>
        </w:trPr>
        <w:tc>
          <w:tcPr>
            <w:tcW w:w="981" w:type="dxa"/>
          </w:tcPr>
          <w:p w14:paraId="50959E34" w14:textId="77777777" w:rsidR="009B7AED" w:rsidRPr="00307549" w:rsidRDefault="009B7AED" w:rsidP="00786B05">
            <w:pPr>
              <w:pStyle w:val="TableTextDense"/>
              <w:spacing w:before="10" w:after="10" w:line="240" w:lineRule="auto"/>
              <w:contextualSpacing w:val="0"/>
              <w:rPr>
                <w:rFonts w:ascii="Calibri" w:hAnsi="Calibri" w:cs="Calibri"/>
                <w:b w:val="0"/>
                <w:bCs w:val="0"/>
                <w:sz w:val="20"/>
                <w:szCs w:val="20"/>
              </w:rPr>
            </w:pPr>
            <w:r w:rsidRPr="00307549">
              <w:rPr>
                <w:rFonts w:ascii="Calibri" w:hAnsi="Calibri" w:cs="Calibri"/>
                <w:sz w:val="20"/>
                <w:szCs w:val="20"/>
              </w:rPr>
              <w:t>Column Number:</w:t>
            </w:r>
          </w:p>
        </w:tc>
        <w:tc>
          <w:tcPr>
            <w:tcW w:w="270" w:type="dxa"/>
          </w:tcPr>
          <w:p w14:paraId="16E319A5" w14:textId="77777777" w:rsidR="009B7AED" w:rsidRPr="00307549" w:rsidRDefault="009B7AED" w:rsidP="00786B05">
            <w:pPr>
              <w:pStyle w:val="TableTextDense"/>
              <w:spacing w:before="10" w:after="10" w:line="240" w:lineRule="auto"/>
              <w:contextualSpacing w:val="0"/>
              <w:jc w:val="center"/>
              <w:rPr>
                <w:rFonts w:ascii="Calibri" w:hAnsi="Calibri" w:cs="Calibri"/>
                <w:b w:val="0"/>
                <w:bCs w:val="0"/>
                <w:sz w:val="20"/>
                <w:szCs w:val="20"/>
              </w:rPr>
            </w:pPr>
            <w:r w:rsidRPr="00307549">
              <w:rPr>
                <w:rFonts w:ascii="Calibri" w:hAnsi="Calibri" w:cs="Calibri"/>
                <w:sz w:val="20"/>
                <w:szCs w:val="20"/>
              </w:rPr>
              <w:t>1</w:t>
            </w:r>
          </w:p>
        </w:tc>
        <w:tc>
          <w:tcPr>
            <w:tcW w:w="454" w:type="dxa"/>
          </w:tcPr>
          <w:p w14:paraId="215B7FDF" w14:textId="77777777" w:rsidR="009B7AED" w:rsidRPr="00307549" w:rsidRDefault="009B7AED" w:rsidP="00786B05">
            <w:pPr>
              <w:pStyle w:val="TableTextDense"/>
              <w:spacing w:before="10" w:after="10" w:line="240" w:lineRule="auto"/>
              <w:contextualSpacing w:val="0"/>
              <w:jc w:val="center"/>
              <w:rPr>
                <w:rFonts w:ascii="Calibri" w:hAnsi="Calibri" w:cs="Calibri"/>
                <w:b w:val="0"/>
                <w:bCs w:val="0"/>
                <w:sz w:val="20"/>
                <w:szCs w:val="20"/>
              </w:rPr>
            </w:pPr>
            <w:r w:rsidRPr="00307549">
              <w:rPr>
                <w:rFonts w:ascii="Calibri" w:hAnsi="Calibri" w:cs="Calibri"/>
                <w:sz w:val="20"/>
                <w:szCs w:val="20"/>
              </w:rPr>
              <w:t>2-3</w:t>
            </w:r>
          </w:p>
        </w:tc>
        <w:tc>
          <w:tcPr>
            <w:tcW w:w="450" w:type="dxa"/>
          </w:tcPr>
          <w:p w14:paraId="4E4558F1" w14:textId="77777777" w:rsidR="009B7AED" w:rsidRPr="00307549" w:rsidRDefault="009B7AED" w:rsidP="00786B05">
            <w:pPr>
              <w:pStyle w:val="TableTextDense"/>
              <w:spacing w:before="10" w:after="10" w:line="240" w:lineRule="auto"/>
              <w:contextualSpacing w:val="0"/>
              <w:jc w:val="center"/>
              <w:rPr>
                <w:rFonts w:ascii="Calibri" w:hAnsi="Calibri" w:cs="Calibri"/>
                <w:b w:val="0"/>
                <w:bCs w:val="0"/>
                <w:sz w:val="20"/>
                <w:szCs w:val="20"/>
              </w:rPr>
            </w:pPr>
            <w:r w:rsidRPr="00307549">
              <w:rPr>
                <w:rFonts w:ascii="Calibri" w:hAnsi="Calibri" w:cs="Calibri"/>
                <w:sz w:val="20"/>
                <w:szCs w:val="20"/>
              </w:rPr>
              <w:t>4-6</w:t>
            </w:r>
          </w:p>
        </w:tc>
        <w:tc>
          <w:tcPr>
            <w:tcW w:w="900" w:type="dxa"/>
          </w:tcPr>
          <w:p w14:paraId="5571E19A" w14:textId="77777777" w:rsidR="009B7AED" w:rsidRPr="00307549" w:rsidRDefault="009B7AED" w:rsidP="00786B05">
            <w:pPr>
              <w:pStyle w:val="TableTextDense"/>
              <w:spacing w:before="10" w:after="10" w:line="240" w:lineRule="auto"/>
              <w:contextualSpacing w:val="0"/>
              <w:jc w:val="center"/>
              <w:rPr>
                <w:rFonts w:ascii="Calibri" w:hAnsi="Calibri" w:cs="Calibri"/>
                <w:b w:val="0"/>
                <w:bCs w:val="0"/>
                <w:sz w:val="20"/>
                <w:szCs w:val="20"/>
              </w:rPr>
            </w:pPr>
            <w:r w:rsidRPr="00307549">
              <w:rPr>
                <w:rFonts w:ascii="Calibri" w:hAnsi="Calibri" w:cs="Calibri"/>
                <w:sz w:val="20"/>
                <w:szCs w:val="20"/>
              </w:rPr>
              <w:t>7-12</w:t>
            </w:r>
          </w:p>
        </w:tc>
        <w:tc>
          <w:tcPr>
            <w:tcW w:w="603" w:type="dxa"/>
          </w:tcPr>
          <w:p w14:paraId="0CE8B8CD" w14:textId="77777777" w:rsidR="009B7AED" w:rsidRPr="00307549" w:rsidRDefault="009B7AED" w:rsidP="00786B05">
            <w:pPr>
              <w:pStyle w:val="TableTextDense"/>
              <w:spacing w:before="10" w:after="10" w:line="240" w:lineRule="auto"/>
              <w:contextualSpacing w:val="0"/>
              <w:jc w:val="center"/>
              <w:rPr>
                <w:rFonts w:ascii="Calibri" w:hAnsi="Calibri" w:cs="Calibri"/>
                <w:b w:val="0"/>
                <w:bCs w:val="0"/>
                <w:sz w:val="20"/>
                <w:szCs w:val="20"/>
              </w:rPr>
            </w:pPr>
            <w:r w:rsidRPr="00307549">
              <w:rPr>
                <w:rFonts w:ascii="Calibri" w:hAnsi="Calibri" w:cs="Calibri"/>
                <w:sz w:val="20"/>
                <w:szCs w:val="20"/>
              </w:rPr>
              <w:t>13-14</w:t>
            </w:r>
          </w:p>
        </w:tc>
        <w:tc>
          <w:tcPr>
            <w:tcW w:w="441" w:type="dxa"/>
          </w:tcPr>
          <w:p w14:paraId="57063A82" w14:textId="77777777" w:rsidR="009B7AED" w:rsidRPr="00307549" w:rsidRDefault="009B7AED" w:rsidP="00786B05">
            <w:pPr>
              <w:pStyle w:val="TableTextDense"/>
              <w:spacing w:before="10" w:after="10" w:line="240" w:lineRule="auto"/>
              <w:contextualSpacing w:val="0"/>
              <w:jc w:val="center"/>
              <w:rPr>
                <w:rFonts w:ascii="Calibri" w:hAnsi="Calibri" w:cs="Calibri"/>
                <w:b w:val="0"/>
                <w:bCs w:val="0"/>
                <w:sz w:val="20"/>
                <w:szCs w:val="20"/>
              </w:rPr>
            </w:pPr>
            <w:r w:rsidRPr="00307549">
              <w:rPr>
                <w:rFonts w:ascii="Calibri" w:hAnsi="Calibri" w:cs="Calibri"/>
                <w:sz w:val="20"/>
                <w:szCs w:val="20"/>
              </w:rPr>
              <w:t>15</w:t>
            </w:r>
          </w:p>
        </w:tc>
        <w:tc>
          <w:tcPr>
            <w:tcW w:w="441" w:type="dxa"/>
          </w:tcPr>
          <w:p w14:paraId="24FF633F" w14:textId="77777777" w:rsidR="009B7AED" w:rsidRPr="00307549" w:rsidRDefault="009B7AED" w:rsidP="00786B05">
            <w:pPr>
              <w:pStyle w:val="TableTextDense"/>
              <w:spacing w:before="10" w:after="10" w:line="240" w:lineRule="auto"/>
              <w:contextualSpacing w:val="0"/>
              <w:jc w:val="center"/>
              <w:rPr>
                <w:rFonts w:ascii="Calibri" w:hAnsi="Calibri" w:cs="Calibri"/>
                <w:b w:val="0"/>
                <w:bCs w:val="0"/>
                <w:sz w:val="20"/>
                <w:szCs w:val="20"/>
              </w:rPr>
            </w:pPr>
            <w:r w:rsidRPr="00307549">
              <w:rPr>
                <w:rFonts w:ascii="Calibri" w:hAnsi="Calibri" w:cs="Calibri"/>
                <w:sz w:val="20"/>
                <w:szCs w:val="20"/>
              </w:rPr>
              <w:t>16</w:t>
            </w:r>
          </w:p>
        </w:tc>
        <w:tc>
          <w:tcPr>
            <w:tcW w:w="441" w:type="dxa"/>
          </w:tcPr>
          <w:p w14:paraId="748F2F71" w14:textId="77777777" w:rsidR="009B7AED" w:rsidRPr="00307549" w:rsidRDefault="009B7AED" w:rsidP="00786B05">
            <w:pPr>
              <w:pStyle w:val="TableTextDense"/>
              <w:spacing w:before="10" w:after="10" w:line="240" w:lineRule="auto"/>
              <w:contextualSpacing w:val="0"/>
              <w:jc w:val="center"/>
              <w:rPr>
                <w:rFonts w:ascii="Calibri" w:hAnsi="Calibri" w:cs="Calibri"/>
                <w:b w:val="0"/>
                <w:bCs w:val="0"/>
                <w:sz w:val="20"/>
                <w:szCs w:val="20"/>
              </w:rPr>
            </w:pPr>
            <w:r w:rsidRPr="00307549">
              <w:rPr>
                <w:rFonts w:ascii="Calibri" w:hAnsi="Calibri" w:cs="Calibri"/>
                <w:sz w:val="20"/>
                <w:szCs w:val="20"/>
              </w:rPr>
              <w:t>17</w:t>
            </w:r>
          </w:p>
        </w:tc>
        <w:tc>
          <w:tcPr>
            <w:tcW w:w="441" w:type="dxa"/>
          </w:tcPr>
          <w:p w14:paraId="341BEDCC" w14:textId="77777777" w:rsidR="009B7AED" w:rsidRPr="00307549" w:rsidRDefault="009B7AED" w:rsidP="00786B05">
            <w:pPr>
              <w:pStyle w:val="TableTextDense"/>
              <w:spacing w:before="10" w:after="10" w:line="240" w:lineRule="auto"/>
              <w:contextualSpacing w:val="0"/>
              <w:jc w:val="center"/>
              <w:rPr>
                <w:rFonts w:ascii="Calibri" w:hAnsi="Calibri" w:cs="Calibri"/>
                <w:b w:val="0"/>
                <w:bCs w:val="0"/>
                <w:sz w:val="20"/>
                <w:szCs w:val="20"/>
              </w:rPr>
            </w:pPr>
            <w:r w:rsidRPr="00307549">
              <w:rPr>
                <w:rFonts w:ascii="Calibri" w:hAnsi="Calibri" w:cs="Calibri"/>
                <w:sz w:val="20"/>
                <w:szCs w:val="20"/>
              </w:rPr>
              <w:t>18</w:t>
            </w:r>
          </w:p>
        </w:tc>
        <w:tc>
          <w:tcPr>
            <w:tcW w:w="657" w:type="dxa"/>
          </w:tcPr>
          <w:p w14:paraId="2E7E8CBE" w14:textId="77777777" w:rsidR="009B7AED" w:rsidRPr="00307549" w:rsidRDefault="009B7AED" w:rsidP="00786B05">
            <w:pPr>
              <w:pStyle w:val="TableTextDense"/>
              <w:spacing w:before="10" w:after="10" w:line="240" w:lineRule="auto"/>
              <w:contextualSpacing w:val="0"/>
              <w:jc w:val="center"/>
              <w:rPr>
                <w:rFonts w:ascii="Calibri" w:hAnsi="Calibri" w:cs="Calibri"/>
                <w:b w:val="0"/>
                <w:bCs w:val="0"/>
                <w:sz w:val="20"/>
                <w:szCs w:val="20"/>
              </w:rPr>
            </w:pPr>
            <w:r w:rsidRPr="00307549">
              <w:rPr>
                <w:rFonts w:ascii="Calibri" w:hAnsi="Calibri" w:cs="Calibri"/>
                <w:sz w:val="20"/>
                <w:szCs w:val="20"/>
              </w:rPr>
              <w:t>19</w:t>
            </w:r>
          </w:p>
        </w:tc>
        <w:tc>
          <w:tcPr>
            <w:tcW w:w="409" w:type="dxa"/>
          </w:tcPr>
          <w:p w14:paraId="47EA2280" w14:textId="77777777" w:rsidR="009B7AED" w:rsidRPr="00307549" w:rsidRDefault="009B7AED" w:rsidP="00786B05">
            <w:pPr>
              <w:pStyle w:val="TableTextDense"/>
              <w:spacing w:before="10" w:after="10" w:line="240" w:lineRule="auto"/>
              <w:contextualSpacing w:val="0"/>
              <w:jc w:val="center"/>
              <w:rPr>
                <w:rFonts w:ascii="Calibri" w:hAnsi="Calibri" w:cs="Calibri"/>
                <w:b w:val="0"/>
                <w:bCs w:val="0"/>
                <w:sz w:val="20"/>
                <w:szCs w:val="20"/>
              </w:rPr>
            </w:pPr>
            <w:r w:rsidRPr="00307549">
              <w:rPr>
                <w:rFonts w:ascii="Calibri" w:hAnsi="Calibri" w:cs="Calibri"/>
                <w:sz w:val="20"/>
                <w:szCs w:val="20"/>
              </w:rPr>
              <w:t>20</w:t>
            </w:r>
          </w:p>
        </w:tc>
        <w:tc>
          <w:tcPr>
            <w:tcW w:w="414" w:type="dxa"/>
          </w:tcPr>
          <w:p w14:paraId="7C3A5B4B" w14:textId="77777777" w:rsidR="009B7AED" w:rsidRPr="00307549" w:rsidRDefault="009B7AED" w:rsidP="00786B05">
            <w:pPr>
              <w:pStyle w:val="TableTextDense"/>
              <w:spacing w:before="10" w:after="10" w:line="240" w:lineRule="auto"/>
              <w:contextualSpacing w:val="0"/>
              <w:jc w:val="center"/>
              <w:rPr>
                <w:rFonts w:ascii="Calibri" w:hAnsi="Calibri" w:cs="Calibri"/>
                <w:b w:val="0"/>
                <w:bCs w:val="0"/>
                <w:sz w:val="20"/>
                <w:szCs w:val="20"/>
              </w:rPr>
            </w:pPr>
            <w:r w:rsidRPr="00307549">
              <w:rPr>
                <w:rFonts w:ascii="Calibri" w:hAnsi="Calibri" w:cs="Calibri"/>
                <w:sz w:val="20"/>
                <w:szCs w:val="20"/>
              </w:rPr>
              <w:t>21</w:t>
            </w:r>
          </w:p>
        </w:tc>
        <w:tc>
          <w:tcPr>
            <w:tcW w:w="468" w:type="dxa"/>
          </w:tcPr>
          <w:p w14:paraId="65CD416F" w14:textId="77777777" w:rsidR="009B7AED" w:rsidRPr="00307549" w:rsidRDefault="009B7AED" w:rsidP="00786B05">
            <w:pPr>
              <w:pStyle w:val="TableTextDense"/>
              <w:spacing w:before="10" w:after="10" w:line="240" w:lineRule="auto"/>
              <w:contextualSpacing w:val="0"/>
              <w:jc w:val="center"/>
              <w:rPr>
                <w:rFonts w:ascii="Calibri" w:hAnsi="Calibri" w:cs="Calibri"/>
                <w:b w:val="0"/>
                <w:bCs w:val="0"/>
                <w:sz w:val="20"/>
                <w:szCs w:val="20"/>
              </w:rPr>
            </w:pPr>
            <w:r w:rsidRPr="00307549">
              <w:rPr>
                <w:rFonts w:ascii="Calibri" w:hAnsi="Calibri" w:cs="Calibri"/>
                <w:sz w:val="20"/>
                <w:szCs w:val="20"/>
              </w:rPr>
              <w:t>22</w:t>
            </w:r>
          </w:p>
        </w:tc>
        <w:tc>
          <w:tcPr>
            <w:tcW w:w="783" w:type="dxa"/>
          </w:tcPr>
          <w:p w14:paraId="0E541C77" w14:textId="77777777" w:rsidR="009B7AED" w:rsidRPr="00307549" w:rsidRDefault="009B7AED" w:rsidP="00786B05">
            <w:pPr>
              <w:pStyle w:val="TableTextDense"/>
              <w:spacing w:before="10" w:after="10" w:line="240" w:lineRule="auto"/>
              <w:contextualSpacing w:val="0"/>
              <w:jc w:val="center"/>
              <w:rPr>
                <w:rFonts w:ascii="Calibri" w:hAnsi="Calibri" w:cs="Calibri"/>
                <w:b w:val="0"/>
                <w:bCs w:val="0"/>
                <w:sz w:val="20"/>
                <w:szCs w:val="20"/>
              </w:rPr>
            </w:pPr>
            <w:r w:rsidRPr="00307549">
              <w:rPr>
                <w:rFonts w:ascii="Calibri" w:hAnsi="Calibri" w:cs="Calibri"/>
                <w:sz w:val="20"/>
                <w:szCs w:val="20"/>
              </w:rPr>
              <w:t>23-26</w:t>
            </w:r>
          </w:p>
        </w:tc>
        <w:tc>
          <w:tcPr>
            <w:tcW w:w="684" w:type="dxa"/>
          </w:tcPr>
          <w:p w14:paraId="4BD4AC3D" w14:textId="77777777" w:rsidR="009B7AED" w:rsidRPr="00307549" w:rsidRDefault="009B7AED" w:rsidP="00786B05">
            <w:pPr>
              <w:pStyle w:val="TableTextDense"/>
              <w:spacing w:before="10" w:after="10" w:line="240" w:lineRule="auto"/>
              <w:contextualSpacing w:val="0"/>
              <w:jc w:val="center"/>
              <w:rPr>
                <w:rFonts w:ascii="Calibri" w:hAnsi="Calibri" w:cs="Calibri"/>
                <w:b w:val="0"/>
                <w:bCs w:val="0"/>
                <w:sz w:val="20"/>
                <w:szCs w:val="20"/>
              </w:rPr>
            </w:pPr>
            <w:r w:rsidRPr="00307549">
              <w:rPr>
                <w:rFonts w:ascii="Calibri" w:hAnsi="Calibri" w:cs="Calibri"/>
                <w:sz w:val="20"/>
                <w:szCs w:val="20"/>
              </w:rPr>
              <w:t>27</w:t>
            </w:r>
          </w:p>
        </w:tc>
        <w:tc>
          <w:tcPr>
            <w:tcW w:w="684" w:type="dxa"/>
          </w:tcPr>
          <w:p w14:paraId="38E0840A" w14:textId="77777777" w:rsidR="009B7AED" w:rsidRPr="00307549" w:rsidRDefault="009B7AED" w:rsidP="00786B05">
            <w:pPr>
              <w:pStyle w:val="TableTextDense"/>
              <w:spacing w:before="10" w:after="10" w:line="240" w:lineRule="auto"/>
              <w:contextualSpacing w:val="0"/>
              <w:jc w:val="center"/>
              <w:rPr>
                <w:rFonts w:ascii="Calibri" w:hAnsi="Calibri" w:cs="Calibri"/>
                <w:b w:val="0"/>
                <w:bCs w:val="0"/>
                <w:sz w:val="20"/>
                <w:szCs w:val="20"/>
              </w:rPr>
            </w:pPr>
            <w:r w:rsidRPr="00307549">
              <w:rPr>
                <w:rFonts w:ascii="Calibri" w:hAnsi="Calibri" w:cs="Calibri"/>
                <w:sz w:val="20"/>
                <w:szCs w:val="20"/>
              </w:rPr>
              <w:t>28</w:t>
            </w:r>
          </w:p>
        </w:tc>
        <w:tc>
          <w:tcPr>
            <w:tcW w:w="684" w:type="dxa"/>
          </w:tcPr>
          <w:p w14:paraId="18365258" w14:textId="77777777" w:rsidR="009B7AED" w:rsidRPr="00307549" w:rsidRDefault="009B7AED" w:rsidP="00786B05">
            <w:pPr>
              <w:pStyle w:val="TableTextDense"/>
              <w:spacing w:before="10" w:after="10" w:line="240" w:lineRule="auto"/>
              <w:contextualSpacing w:val="0"/>
              <w:jc w:val="center"/>
              <w:rPr>
                <w:rFonts w:ascii="Calibri" w:hAnsi="Calibri" w:cs="Calibri"/>
                <w:b w:val="0"/>
                <w:bCs w:val="0"/>
                <w:sz w:val="20"/>
                <w:szCs w:val="20"/>
              </w:rPr>
            </w:pPr>
            <w:r w:rsidRPr="00307549">
              <w:rPr>
                <w:rFonts w:ascii="Calibri" w:hAnsi="Calibri" w:cs="Calibri"/>
                <w:sz w:val="20"/>
                <w:szCs w:val="20"/>
              </w:rPr>
              <w:t>29</w:t>
            </w:r>
          </w:p>
        </w:tc>
        <w:tc>
          <w:tcPr>
            <w:tcW w:w="684" w:type="dxa"/>
          </w:tcPr>
          <w:p w14:paraId="7701C438" w14:textId="77777777" w:rsidR="009B7AED" w:rsidRPr="00307549" w:rsidRDefault="009B7AED" w:rsidP="00786B05">
            <w:pPr>
              <w:pStyle w:val="TableTextDense"/>
              <w:spacing w:before="10" w:after="10" w:line="240" w:lineRule="auto"/>
              <w:contextualSpacing w:val="0"/>
              <w:jc w:val="center"/>
              <w:rPr>
                <w:rFonts w:ascii="Calibri" w:hAnsi="Calibri" w:cs="Calibri"/>
                <w:b w:val="0"/>
                <w:bCs w:val="0"/>
                <w:sz w:val="20"/>
                <w:szCs w:val="20"/>
              </w:rPr>
            </w:pPr>
            <w:r w:rsidRPr="00307549">
              <w:rPr>
                <w:rFonts w:ascii="Calibri" w:hAnsi="Calibri" w:cs="Calibri"/>
                <w:sz w:val="20"/>
                <w:szCs w:val="20"/>
              </w:rPr>
              <w:t>30</w:t>
            </w:r>
          </w:p>
        </w:tc>
        <w:tc>
          <w:tcPr>
            <w:tcW w:w="684" w:type="dxa"/>
          </w:tcPr>
          <w:p w14:paraId="19D198C6" w14:textId="77777777" w:rsidR="009B7AED" w:rsidRPr="00307549" w:rsidRDefault="009B7AED" w:rsidP="00786B05">
            <w:pPr>
              <w:pStyle w:val="TableTextDense"/>
              <w:spacing w:before="10" w:after="10" w:line="240" w:lineRule="auto"/>
              <w:contextualSpacing w:val="0"/>
              <w:jc w:val="center"/>
              <w:rPr>
                <w:rFonts w:ascii="Calibri" w:hAnsi="Calibri" w:cs="Calibri"/>
                <w:b w:val="0"/>
                <w:bCs w:val="0"/>
                <w:sz w:val="20"/>
                <w:szCs w:val="20"/>
              </w:rPr>
            </w:pPr>
            <w:r w:rsidRPr="00307549">
              <w:rPr>
                <w:rFonts w:ascii="Calibri" w:hAnsi="Calibri" w:cs="Calibri"/>
                <w:sz w:val="20"/>
                <w:szCs w:val="20"/>
              </w:rPr>
              <w:t>31</w:t>
            </w:r>
          </w:p>
        </w:tc>
        <w:tc>
          <w:tcPr>
            <w:tcW w:w="684" w:type="dxa"/>
          </w:tcPr>
          <w:p w14:paraId="18DEA44C" w14:textId="77777777" w:rsidR="009B7AED" w:rsidRPr="00307549" w:rsidRDefault="009B7AED" w:rsidP="00786B05">
            <w:pPr>
              <w:pStyle w:val="TableTextDense"/>
              <w:spacing w:before="10" w:after="10" w:line="240" w:lineRule="auto"/>
              <w:contextualSpacing w:val="0"/>
              <w:jc w:val="center"/>
              <w:rPr>
                <w:rFonts w:ascii="Calibri" w:hAnsi="Calibri" w:cs="Calibri"/>
                <w:b w:val="0"/>
                <w:bCs w:val="0"/>
                <w:sz w:val="20"/>
                <w:szCs w:val="20"/>
              </w:rPr>
            </w:pPr>
            <w:r w:rsidRPr="00307549">
              <w:rPr>
                <w:rFonts w:ascii="Calibri" w:hAnsi="Calibri" w:cs="Calibri"/>
                <w:sz w:val="20"/>
                <w:szCs w:val="20"/>
              </w:rPr>
              <w:t>32</w:t>
            </w:r>
          </w:p>
        </w:tc>
        <w:tc>
          <w:tcPr>
            <w:tcW w:w="684" w:type="dxa"/>
          </w:tcPr>
          <w:p w14:paraId="3051AC36" w14:textId="77777777" w:rsidR="009B7AED" w:rsidRPr="00307549" w:rsidRDefault="009B7AED" w:rsidP="00786B05">
            <w:pPr>
              <w:pStyle w:val="TableTextDense"/>
              <w:spacing w:before="10" w:after="10" w:line="240" w:lineRule="auto"/>
              <w:contextualSpacing w:val="0"/>
              <w:jc w:val="center"/>
              <w:rPr>
                <w:rFonts w:ascii="Calibri" w:hAnsi="Calibri" w:cs="Calibri"/>
                <w:b w:val="0"/>
                <w:bCs w:val="0"/>
                <w:sz w:val="20"/>
                <w:szCs w:val="20"/>
              </w:rPr>
            </w:pPr>
            <w:r w:rsidRPr="00307549">
              <w:rPr>
                <w:rFonts w:ascii="Calibri" w:hAnsi="Calibri" w:cs="Calibri"/>
                <w:sz w:val="20"/>
                <w:szCs w:val="20"/>
              </w:rPr>
              <w:t>33-34</w:t>
            </w:r>
          </w:p>
        </w:tc>
      </w:tr>
      <w:tr w:rsidR="009B7AED" w:rsidRPr="00307549" w14:paraId="43685986" w14:textId="77777777" w:rsidTr="00264716">
        <w:trPr>
          <w:trHeight w:val="60"/>
        </w:trPr>
        <w:tc>
          <w:tcPr>
            <w:tcW w:w="981" w:type="dxa"/>
          </w:tcPr>
          <w:p w14:paraId="1ACD5383" w14:textId="77777777" w:rsidR="009B7AED" w:rsidRPr="00307549" w:rsidRDefault="009B7AED" w:rsidP="00786B05">
            <w:pPr>
              <w:pStyle w:val="TableTextDense"/>
              <w:spacing w:before="10" w:after="10" w:line="240" w:lineRule="auto"/>
              <w:contextualSpacing w:val="0"/>
              <w:rPr>
                <w:rFonts w:ascii="Calibri" w:hAnsi="Calibri" w:cs="Calibri"/>
                <w:sz w:val="20"/>
                <w:szCs w:val="20"/>
              </w:rPr>
            </w:pPr>
            <w:r w:rsidRPr="00307549">
              <w:rPr>
                <w:rFonts w:ascii="Calibri" w:hAnsi="Calibri" w:cs="Calibri"/>
                <w:sz w:val="20"/>
                <w:szCs w:val="20"/>
              </w:rPr>
              <w:t>Content Example:</w:t>
            </w:r>
          </w:p>
        </w:tc>
        <w:tc>
          <w:tcPr>
            <w:tcW w:w="270" w:type="dxa"/>
          </w:tcPr>
          <w:p w14:paraId="52097612" w14:textId="77777777" w:rsidR="009B7AED" w:rsidRPr="00307549" w:rsidRDefault="009B7AED" w:rsidP="00786B05">
            <w:pPr>
              <w:pStyle w:val="TableTextDense"/>
              <w:spacing w:before="10" w:after="10" w:line="240" w:lineRule="auto"/>
              <w:contextualSpacing w:val="0"/>
              <w:jc w:val="center"/>
              <w:rPr>
                <w:rFonts w:ascii="Calibri" w:hAnsi="Calibri" w:cs="Calibri"/>
                <w:sz w:val="20"/>
                <w:szCs w:val="20"/>
              </w:rPr>
            </w:pPr>
            <w:r w:rsidRPr="00307549">
              <w:rPr>
                <w:rFonts w:ascii="Calibri" w:hAnsi="Calibri" w:cs="Calibri"/>
                <w:sz w:val="20"/>
                <w:szCs w:val="20"/>
              </w:rPr>
              <w:t>L</w:t>
            </w:r>
          </w:p>
        </w:tc>
        <w:tc>
          <w:tcPr>
            <w:tcW w:w="454" w:type="dxa"/>
          </w:tcPr>
          <w:p w14:paraId="50037431" w14:textId="77777777" w:rsidR="009B7AED" w:rsidRPr="00307549" w:rsidRDefault="009B7AED" w:rsidP="00786B05">
            <w:pPr>
              <w:pStyle w:val="TableTextDense"/>
              <w:spacing w:before="10" w:after="10" w:line="240" w:lineRule="auto"/>
              <w:contextualSpacing w:val="0"/>
              <w:jc w:val="center"/>
              <w:rPr>
                <w:rFonts w:ascii="Calibri" w:hAnsi="Calibri" w:cs="Calibri"/>
                <w:sz w:val="20"/>
                <w:szCs w:val="20"/>
              </w:rPr>
            </w:pPr>
            <w:r w:rsidRPr="00307549">
              <w:rPr>
                <w:rFonts w:ascii="Calibri" w:hAnsi="Calibri" w:cs="Calibri"/>
                <w:sz w:val="20"/>
                <w:szCs w:val="20"/>
              </w:rPr>
              <w:t>08</w:t>
            </w:r>
          </w:p>
        </w:tc>
        <w:tc>
          <w:tcPr>
            <w:tcW w:w="450" w:type="dxa"/>
          </w:tcPr>
          <w:p w14:paraId="2F8D6BF8" w14:textId="77777777" w:rsidR="009B7AED" w:rsidRPr="00307549" w:rsidRDefault="009B7AED" w:rsidP="00786B05">
            <w:pPr>
              <w:pStyle w:val="TableTextDense"/>
              <w:spacing w:before="10" w:after="10" w:line="240" w:lineRule="auto"/>
              <w:contextualSpacing w:val="0"/>
              <w:jc w:val="center"/>
              <w:rPr>
                <w:rFonts w:ascii="Calibri" w:hAnsi="Calibri" w:cs="Calibri"/>
                <w:sz w:val="20"/>
                <w:szCs w:val="20"/>
              </w:rPr>
            </w:pPr>
            <w:r w:rsidRPr="00307549">
              <w:rPr>
                <w:rFonts w:ascii="Calibri" w:hAnsi="Calibri" w:cs="Calibri"/>
                <w:sz w:val="20"/>
                <w:szCs w:val="20"/>
              </w:rPr>
              <w:t>045</w:t>
            </w:r>
          </w:p>
        </w:tc>
        <w:tc>
          <w:tcPr>
            <w:tcW w:w="900" w:type="dxa"/>
          </w:tcPr>
          <w:p w14:paraId="5F73DFB6" w14:textId="77777777" w:rsidR="009B7AED" w:rsidRPr="00307549" w:rsidRDefault="009B7AED" w:rsidP="00786B05">
            <w:pPr>
              <w:pStyle w:val="TableTextDense"/>
              <w:spacing w:before="10" w:after="10" w:line="240" w:lineRule="auto"/>
              <w:contextualSpacing w:val="0"/>
              <w:jc w:val="center"/>
              <w:rPr>
                <w:rFonts w:ascii="Calibri" w:hAnsi="Calibri" w:cs="Calibri"/>
                <w:sz w:val="20"/>
                <w:szCs w:val="20"/>
              </w:rPr>
            </w:pPr>
            <w:r w:rsidRPr="00307549">
              <w:rPr>
                <w:rFonts w:ascii="Calibri" w:hAnsi="Calibri" w:cs="Calibri"/>
                <w:sz w:val="20"/>
                <w:szCs w:val="20"/>
              </w:rPr>
              <w:t>GLWLDC</w:t>
            </w:r>
          </w:p>
        </w:tc>
        <w:tc>
          <w:tcPr>
            <w:tcW w:w="603" w:type="dxa"/>
          </w:tcPr>
          <w:p w14:paraId="7B5A220E" w14:textId="77777777" w:rsidR="009B7AED" w:rsidRPr="00307549" w:rsidRDefault="009B7AED" w:rsidP="00786B05">
            <w:pPr>
              <w:pStyle w:val="TableTextDense"/>
              <w:spacing w:before="10" w:after="10" w:line="240" w:lineRule="auto"/>
              <w:contextualSpacing w:val="0"/>
              <w:jc w:val="center"/>
              <w:rPr>
                <w:rFonts w:ascii="Calibri" w:hAnsi="Calibri" w:cs="Calibri"/>
                <w:sz w:val="20"/>
                <w:szCs w:val="20"/>
              </w:rPr>
            </w:pPr>
            <w:r w:rsidRPr="00307549">
              <w:rPr>
                <w:rFonts w:ascii="Calibri" w:hAnsi="Calibri" w:cs="Calibri"/>
                <w:sz w:val="20"/>
                <w:szCs w:val="20"/>
              </w:rPr>
              <w:t>7U</w:t>
            </w:r>
          </w:p>
        </w:tc>
        <w:tc>
          <w:tcPr>
            <w:tcW w:w="441" w:type="dxa"/>
          </w:tcPr>
          <w:p w14:paraId="4BD9643A" w14:textId="77777777" w:rsidR="009B7AED" w:rsidRPr="00307549" w:rsidRDefault="009B7AED" w:rsidP="00786B05">
            <w:pPr>
              <w:pStyle w:val="TableTextDense"/>
              <w:spacing w:before="10" w:after="10" w:line="240" w:lineRule="auto"/>
              <w:contextualSpacing w:val="0"/>
              <w:jc w:val="center"/>
              <w:rPr>
                <w:rFonts w:ascii="Calibri" w:hAnsi="Calibri" w:cs="Calibri"/>
                <w:sz w:val="20"/>
                <w:szCs w:val="20"/>
              </w:rPr>
            </w:pPr>
            <w:r w:rsidRPr="00307549">
              <w:rPr>
                <w:rFonts w:ascii="Calibri" w:hAnsi="Calibri" w:cs="Calibri"/>
                <w:sz w:val="20"/>
                <w:szCs w:val="20"/>
              </w:rPr>
              <w:t>1</w:t>
            </w:r>
          </w:p>
        </w:tc>
        <w:tc>
          <w:tcPr>
            <w:tcW w:w="441" w:type="dxa"/>
          </w:tcPr>
          <w:p w14:paraId="6DE6E9B2" w14:textId="77777777" w:rsidR="009B7AED" w:rsidRPr="00307549" w:rsidRDefault="009B7AED" w:rsidP="00786B05">
            <w:pPr>
              <w:pStyle w:val="TableTextDense"/>
              <w:spacing w:before="10" w:after="10" w:line="240" w:lineRule="auto"/>
              <w:contextualSpacing w:val="0"/>
              <w:jc w:val="center"/>
              <w:rPr>
                <w:rFonts w:ascii="Calibri" w:hAnsi="Calibri" w:cs="Calibri"/>
                <w:sz w:val="20"/>
                <w:szCs w:val="20"/>
              </w:rPr>
            </w:pPr>
            <w:r w:rsidRPr="00307549">
              <w:rPr>
                <w:rFonts w:ascii="Calibri" w:hAnsi="Calibri" w:cs="Calibri"/>
                <w:sz w:val="20"/>
                <w:szCs w:val="20"/>
              </w:rPr>
              <w:t>1</w:t>
            </w:r>
          </w:p>
        </w:tc>
        <w:tc>
          <w:tcPr>
            <w:tcW w:w="441" w:type="dxa"/>
          </w:tcPr>
          <w:p w14:paraId="4EA04FB1" w14:textId="77777777" w:rsidR="009B7AED" w:rsidRPr="00307549" w:rsidRDefault="009B7AED" w:rsidP="00786B05">
            <w:pPr>
              <w:pStyle w:val="TableTextDense"/>
              <w:spacing w:before="10" w:after="10" w:line="240" w:lineRule="auto"/>
              <w:contextualSpacing w:val="0"/>
              <w:jc w:val="center"/>
              <w:rPr>
                <w:rFonts w:ascii="Calibri" w:hAnsi="Calibri" w:cs="Calibri"/>
                <w:sz w:val="20"/>
                <w:szCs w:val="20"/>
              </w:rPr>
            </w:pPr>
            <w:r w:rsidRPr="00307549">
              <w:rPr>
                <w:rFonts w:ascii="Calibri" w:hAnsi="Calibri" w:cs="Calibri"/>
                <w:sz w:val="20"/>
                <w:szCs w:val="20"/>
              </w:rPr>
              <w:t>1</w:t>
            </w:r>
          </w:p>
        </w:tc>
        <w:tc>
          <w:tcPr>
            <w:tcW w:w="441" w:type="dxa"/>
          </w:tcPr>
          <w:p w14:paraId="771E2738" w14:textId="77777777" w:rsidR="009B7AED" w:rsidRPr="00307549" w:rsidRDefault="009B7AED" w:rsidP="00786B05">
            <w:pPr>
              <w:pStyle w:val="TableTextDense"/>
              <w:spacing w:before="10" w:after="10" w:line="240" w:lineRule="auto"/>
              <w:contextualSpacing w:val="0"/>
              <w:jc w:val="center"/>
              <w:rPr>
                <w:rFonts w:ascii="Calibri" w:hAnsi="Calibri" w:cs="Calibri"/>
                <w:sz w:val="20"/>
                <w:szCs w:val="20"/>
              </w:rPr>
            </w:pPr>
            <w:r w:rsidRPr="00307549">
              <w:rPr>
                <w:rFonts w:ascii="Calibri" w:hAnsi="Calibri" w:cs="Calibri"/>
                <w:sz w:val="20"/>
                <w:szCs w:val="20"/>
              </w:rPr>
              <w:t>1</w:t>
            </w:r>
          </w:p>
        </w:tc>
        <w:tc>
          <w:tcPr>
            <w:tcW w:w="657" w:type="dxa"/>
          </w:tcPr>
          <w:p w14:paraId="5AD37B17" w14:textId="77777777" w:rsidR="009B7AED" w:rsidRPr="00307549" w:rsidRDefault="009B7AED" w:rsidP="00786B05">
            <w:pPr>
              <w:pStyle w:val="TableTextDense"/>
              <w:spacing w:before="10" w:after="10" w:line="240" w:lineRule="auto"/>
              <w:contextualSpacing w:val="0"/>
              <w:jc w:val="center"/>
              <w:rPr>
                <w:rFonts w:ascii="Calibri" w:hAnsi="Calibri" w:cs="Calibri"/>
                <w:sz w:val="20"/>
                <w:szCs w:val="20"/>
              </w:rPr>
            </w:pPr>
            <w:r w:rsidRPr="00307549">
              <w:rPr>
                <w:rFonts w:ascii="Calibri" w:hAnsi="Calibri" w:cs="Calibri"/>
                <w:sz w:val="20"/>
                <w:szCs w:val="20"/>
              </w:rPr>
              <w:t>Blank</w:t>
            </w:r>
          </w:p>
        </w:tc>
        <w:tc>
          <w:tcPr>
            <w:tcW w:w="409" w:type="dxa"/>
          </w:tcPr>
          <w:p w14:paraId="7E2602FC" w14:textId="77777777" w:rsidR="009B7AED" w:rsidRPr="00307549" w:rsidRDefault="009B7AED" w:rsidP="00786B05">
            <w:pPr>
              <w:pStyle w:val="TableTextDense"/>
              <w:spacing w:before="10" w:after="10" w:line="240" w:lineRule="auto"/>
              <w:contextualSpacing w:val="0"/>
              <w:jc w:val="center"/>
              <w:rPr>
                <w:rFonts w:ascii="Calibri" w:hAnsi="Calibri" w:cs="Calibri"/>
                <w:sz w:val="20"/>
                <w:szCs w:val="20"/>
              </w:rPr>
            </w:pPr>
            <w:r w:rsidRPr="00307549">
              <w:rPr>
                <w:rFonts w:ascii="Calibri" w:hAnsi="Calibri" w:cs="Calibri"/>
                <w:sz w:val="20"/>
                <w:szCs w:val="20"/>
              </w:rPr>
              <w:t>2</w:t>
            </w:r>
          </w:p>
        </w:tc>
        <w:tc>
          <w:tcPr>
            <w:tcW w:w="414" w:type="dxa"/>
          </w:tcPr>
          <w:p w14:paraId="134D7164" w14:textId="77777777" w:rsidR="009B7AED" w:rsidRPr="00307549" w:rsidRDefault="009B7AED" w:rsidP="00786B05">
            <w:pPr>
              <w:pStyle w:val="TableTextDense"/>
              <w:spacing w:before="10" w:after="10" w:line="240" w:lineRule="auto"/>
              <w:contextualSpacing w:val="0"/>
              <w:jc w:val="center"/>
              <w:rPr>
                <w:rFonts w:ascii="Calibri" w:hAnsi="Calibri" w:cs="Calibri"/>
                <w:sz w:val="20"/>
                <w:szCs w:val="20"/>
              </w:rPr>
            </w:pPr>
            <w:r w:rsidRPr="00307549">
              <w:rPr>
                <w:rFonts w:ascii="Calibri" w:hAnsi="Calibri" w:cs="Calibri"/>
                <w:sz w:val="20"/>
                <w:szCs w:val="20"/>
              </w:rPr>
              <w:t>1</w:t>
            </w:r>
          </w:p>
        </w:tc>
        <w:tc>
          <w:tcPr>
            <w:tcW w:w="468" w:type="dxa"/>
          </w:tcPr>
          <w:p w14:paraId="1D03B5EA" w14:textId="77777777" w:rsidR="009B7AED" w:rsidRPr="00307549" w:rsidRDefault="009B7AED" w:rsidP="00786B05">
            <w:pPr>
              <w:pStyle w:val="TableTextDense"/>
              <w:spacing w:before="10" w:after="10" w:line="240" w:lineRule="auto"/>
              <w:contextualSpacing w:val="0"/>
              <w:jc w:val="center"/>
              <w:rPr>
                <w:rFonts w:ascii="Calibri" w:hAnsi="Calibri" w:cs="Calibri"/>
                <w:sz w:val="20"/>
                <w:szCs w:val="20"/>
              </w:rPr>
            </w:pPr>
            <w:r w:rsidRPr="00307549">
              <w:rPr>
                <w:rFonts w:ascii="Calibri" w:hAnsi="Calibri" w:cs="Calibri"/>
                <w:sz w:val="20"/>
                <w:szCs w:val="20"/>
              </w:rPr>
              <w:t>H</w:t>
            </w:r>
          </w:p>
        </w:tc>
        <w:tc>
          <w:tcPr>
            <w:tcW w:w="783" w:type="dxa"/>
          </w:tcPr>
          <w:p w14:paraId="32668868" w14:textId="77777777" w:rsidR="009B7AED" w:rsidRPr="00307549" w:rsidRDefault="009B7AED" w:rsidP="00786B05">
            <w:pPr>
              <w:pStyle w:val="TableTextDense"/>
              <w:spacing w:before="10" w:after="10" w:line="240" w:lineRule="auto"/>
              <w:contextualSpacing w:val="0"/>
              <w:jc w:val="center"/>
              <w:rPr>
                <w:rFonts w:ascii="Calibri" w:hAnsi="Calibri" w:cs="Calibri"/>
                <w:sz w:val="20"/>
                <w:szCs w:val="20"/>
              </w:rPr>
            </w:pPr>
            <w:r w:rsidRPr="00307549">
              <w:rPr>
                <w:rFonts w:ascii="Calibri" w:hAnsi="Calibri" w:cs="Calibri"/>
                <w:sz w:val="20"/>
                <w:szCs w:val="20"/>
              </w:rPr>
              <w:t>2015</w:t>
            </w:r>
          </w:p>
        </w:tc>
        <w:tc>
          <w:tcPr>
            <w:tcW w:w="684" w:type="dxa"/>
          </w:tcPr>
          <w:p w14:paraId="228BD2AD" w14:textId="77777777" w:rsidR="009B7AED" w:rsidRPr="00307549" w:rsidRDefault="009B7AED" w:rsidP="00786B05">
            <w:pPr>
              <w:pStyle w:val="TableTextDense"/>
              <w:spacing w:before="10" w:after="10" w:line="240" w:lineRule="auto"/>
              <w:contextualSpacing w:val="0"/>
              <w:jc w:val="center"/>
              <w:rPr>
                <w:rFonts w:ascii="Calibri" w:hAnsi="Calibri" w:cs="Calibri"/>
                <w:sz w:val="20"/>
                <w:szCs w:val="20"/>
              </w:rPr>
            </w:pPr>
            <w:r w:rsidRPr="00307549">
              <w:rPr>
                <w:rFonts w:ascii="Calibri" w:hAnsi="Calibri" w:cs="Calibri"/>
                <w:sz w:val="20"/>
                <w:szCs w:val="20"/>
              </w:rPr>
              <w:t>Blank</w:t>
            </w:r>
          </w:p>
        </w:tc>
        <w:tc>
          <w:tcPr>
            <w:tcW w:w="684" w:type="dxa"/>
          </w:tcPr>
          <w:p w14:paraId="691E08F8" w14:textId="77777777" w:rsidR="009B7AED" w:rsidRPr="00307549" w:rsidRDefault="009B7AED" w:rsidP="00786B05">
            <w:pPr>
              <w:pStyle w:val="TableTextDense"/>
              <w:spacing w:before="10" w:after="10" w:line="240" w:lineRule="auto"/>
              <w:contextualSpacing w:val="0"/>
              <w:jc w:val="center"/>
              <w:rPr>
                <w:rFonts w:ascii="Calibri" w:hAnsi="Calibri" w:cs="Calibri"/>
                <w:sz w:val="20"/>
                <w:szCs w:val="20"/>
              </w:rPr>
            </w:pPr>
            <w:r w:rsidRPr="00307549">
              <w:rPr>
                <w:rFonts w:ascii="Calibri" w:hAnsi="Calibri" w:cs="Calibri"/>
                <w:sz w:val="20"/>
                <w:szCs w:val="20"/>
              </w:rPr>
              <w:t>Blank</w:t>
            </w:r>
          </w:p>
        </w:tc>
        <w:tc>
          <w:tcPr>
            <w:tcW w:w="684" w:type="dxa"/>
          </w:tcPr>
          <w:p w14:paraId="404AEEEE" w14:textId="77777777" w:rsidR="009B7AED" w:rsidRPr="00307549" w:rsidRDefault="009B7AED" w:rsidP="00786B05">
            <w:pPr>
              <w:pStyle w:val="TableTextDense"/>
              <w:spacing w:before="10" w:after="10" w:line="240" w:lineRule="auto"/>
              <w:contextualSpacing w:val="0"/>
              <w:jc w:val="center"/>
              <w:rPr>
                <w:rFonts w:ascii="Calibri" w:hAnsi="Calibri" w:cs="Calibri"/>
                <w:sz w:val="20"/>
                <w:szCs w:val="20"/>
              </w:rPr>
            </w:pPr>
            <w:r w:rsidRPr="00307549">
              <w:rPr>
                <w:rFonts w:ascii="Calibri" w:hAnsi="Calibri" w:cs="Calibri"/>
                <w:sz w:val="20"/>
                <w:szCs w:val="20"/>
              </w:rPr>
              <w:t>Blank</w:t>
            </w:r>
          </w:p>
        </w:tc>
        <w:tc>
          <w:tcPr>
            <w:tcW w:w="684" w:type="dxa"/>
          </w:tcPr>
          <w:p w14:paraId="15BCFC53" w14:textId="77777777" w:rsidR="009B7AED" w:rsidRPr="00307549" w:rsidRDefault="009B7AED" w:rsidP="00786B05">
            <w:pPr>
              <w:pStyle w:val="TableTextDense"/>
              <w:spacing w:before="10" w:after="10" w:line="240" w:lineRule="auto"/>
              <w:contextualSpacing w:val="0"/>
              <w:jc w:val="center"/>
              <w:rPr>
                <w:rFonts w:ascii="Calibri" w:hAnsi="Calibri" w:cs="Calibri"/>
                <w:sz w:val="20"/>
                <w:szCs w:val="20"/>
              </w:rPr>
            </w:pPr>
            <w:r w:rsidRPr="00307549">
              <w:rPr>
                <w:rFonts w:ascii="Calibri" w:hAnsi="Calibri" w:cs="Calibri"/>
                <w:sz w:val="20"/>
                <w:szCs w:val="20"/>
              </w:rPr>
              <w:t>Blank</w:t>
            </w:r>
          </w:p>
        </w:tc>
        <w:tc>
          <w:tcPr>
            <w:tcW w:w="684" w:type="dxa"/>
          </w:tcPr>
          <w:p w14:paraId="0E28CA28" w14:textId="77777777" w:rsidR="009B7AED" w:rsidRPr="00307549" w:rsidRDefault="009B7AED" w:rsidP="00786B05">
            <w:pPr>
              <w:pStyle w:val="TableTextDense"/>
              <w:spacing w:before="10" w:after="10" w:line="240" w:lineRule="auto"/>
              <w:contextualSpacing w:val="0"/>
              <w:jc w:val="center"/>
              <w:rPr>
                <w:rFonts w:ascii="Calibri" w:hAnsi="Calibri" w:cs="Calibri"/>
                <w:sz w:val="20"/>
                <w:szCs w:val="20"/>
              </w:rPr>
            </w:pPr>
            <w:r w:rsidRPr="00307549">
              <w:rPr>
                <w:rFonts w:ascii="Calibri" w:hAnsi="Calibri" w:cs="Calibri"/>
                <w:sz w:val="20"/>
                <w:szCs w:val="20"/>
              </w:rPr>
              <w:t>Blank</w:t>
            </w:r>
          </w:p>
        </w:tc>
        <w:tc>
          <w:tcPr>
            <w:tcW w:w="684" w:type="dxa"/>
          </w:tcPr>
          <w:p w14:paraId="4DE01761" w14:textId="77777777" w:rsidR="009B7AED" w:rsidRPr="00307549" w:rsidRDefault="009B7AED" w:rsidP="00786B05">
            <w:pPr>
              <w:pStyle w:val="TableTextDense"/>
              <w:spacing w:before="10" w:after="10" w:line="240" w:lineRule="auto"/>
              <w:contextualSpacing w:val="0"/>
              <w:jc w:val="center"/>
              <w:rPr>
                <w:rFonts w:ascii="Calibri" w:hAnsi="Calibri" w:cs="Calibri"/>
                <w:sz w:val="20"/>
                <w:szCs w:val="20"/>
              </w:rPr>
            </w:pPr>
            <w:r w:rsidRPr="00307549">
              <w:rPr>
                <w:rFonts w:ascii="Calibri" w:hAnsi="Calibri" w:cs="Calibri"/>
                <w:sz w:val="20"/>
                <w:szCs w:val="20"/>
              </w:rPr>
              <w:t>R</w:t>
            </w:r>
          </w:p>
        </w:tc>
        <w:tc>
          <w:tcPr>
            <w:tcW w:w="684" w:type="dxa"/>
          </w:tcPr>
          <w:p w14:paraId="28EDBC95" w14:textId="77777777" w:rsidR="009B7AED" w:rsidRPr="00307549" w:rsidRDefault="009B7AED" w:rsidP="00786B05">
            <w:pPr>
              <w:pStyle w:val="TableTextDense"/>
              <w:spacing w:before="10" w:after="10" w:line="240" w:lineRule="auto"/>
              <w:contextualSpacing w:val="0"/>
              <w:jc w:val="center"/>
              <w:rPr>
                <w:rFonts w:ascii="Calibri" w:hAnsi="Calibri" w:cs="Calibri"/>
                <w:sz w:val="20"/>
                <w:szCs w:val="20"/>
              </w:rPr>
            </w:pPr>
            <w:r w:rsidRPr="00307549">
              <w:rPr>
                <w:rFonts w:ascii="Calibri" w:hAnsi="Calibri" w:cs="Calibri"/>
                <w:sz w:val="20"/>
                <w:szCs w:val="20"/>
              </w:rPr>
              <w:t>25</w:t>
            </w:r>
          </w:p>
        </w:tc>
      </w:tr>
    </w:tbl>
    <w:p w14:paraId="37D74DF0" w14:textId="77777777" w:rsidR="009B7AED" w:rsidRPr="000A73FE" w:rsidRDefault="009B7AED" w:rsidP="00786B05">
      <w:pPr>
        <w:spacing w:before="120" w:after="120"/>
        <w:rPr>
          <w:i/>
          <w:iCs/>
        </w:rPr>
      </w:pPr>
      <w:r w:rsidRPr="00D96273">
        <w:rPr>
          <w:i/>
          <w:iCs/>
        </w:rPr>
        <w:t>continued</w:t>
      </w:r>
    </w:p>
    <w:tbl>
      <w:tblPr>
        <w:tblStyle w:val="TMGTable"/>
        <w:tblW w:w="998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985"/>
        <w:gridCol w:w="805"/>
        <w:gridCol w:w="720"/>
        <w:gridCol w:w="1440"/>
        <w:gridCol w:w="1350"/>
        <w:gridCol w:w="720"/>
        <w:gridCol w:w="810"/>
        <w:gridCol w:w="3150"/>
      </w:tblGrid>
      <w:tr w:rsidR="009B7AED" w:rsidRPr="00307549" w14:paraId="4B15D4CC" w14:textId="77777777" w:rsidTr="00264716">
        <w:trPr>
          <w:cnfStyle w:val="100000000000" w:firstRow="1" w:lastRow="0" w:firstColumn="0" w:lastColumn="0" w:oddVBand="0" w:evenVBand="0" w:oddHBand="0" w:evenHBand="0" w:firstRowFirstColumn="0" w:firstRowLastColumn="0" w:lastRowFirstColumn="0" w:lastRowLastColumn="0"/>
          <w:trHeight w:val="60"/>
        </w:trPr>
        <w:tc>
          <w:tcPr>
            <w:tcW w:w="985" w:type="dxa"/>
          </w:tcPr>
          <w:p w14:paraId="59D5B5A5" w14:textId="77777777" w:rsidR="009B7AED" w:rsidRPr="00307549" w:rsidRDefault="009B7AED" w:rsidP="00786B05">
            <w:pPr>
              <w:pStyle w:val="TableTextDense"/>
              <w:spacing w:before="10" w:after="10" w:line="240" w:lineRule="auto"/>
              <w:rPr>
                <w:rFonts w:ascii="Calibri" w:hAnsi="Calibri" w:cs="Calibri"/>
                <w:b w:val="0"/>
                <w:bCs w:val="0"/>
                <w:sz w:val="20"/>
                <w:szCs w:val="20"/>
              </w:rPr>
            </w:pPr>
            <w:r w:rsidRPr="00307549">
              <w:rPr>
                <w:rFonts w:ascii="Calibri" w:hAnsi="Calibri" w:cs="Calibri"/>
                <w:sz w:val="20"/>
                <w:szCs w:val="20"/>
              </w:rPr>
              <w:t>Column Number:</w:t>
            </w:r>
          </w:p>
        </w:tc>
        <w:tc>
          <w:tcPr>
            <w:tcW w:w="805" w:type="dxa"/>
          </w:tcPr>
          <w:p w14:paraId="76A66363" w14:textId="77777777" w:rsidR="009B7AED" w:rsidRPr="00307549" w:rsidRDefault="009B7AED" w:rsidP="00786B05">
            <w:pPr>
              <w:pStyle w:val="TableTextDense"/>
              <w:spacing w:before="10" w:after="10" w:line="240" w:lineRule="auto"/>
              <w:jc w:val="center"/>
              <w:rPr>
                <w:rFonts w:ascii="Calibri" w:hAnsi="Calibri" w:cs="Calibri"/>
                <w:b w:val="0"/>
                <w:bCs w:val="0"/>
                <w:sz w:val="20"/>
                <w:szCs w:val="20"/>
              </w:rPr>
            </w:pPr>
            <w:r w:rsidRPr="00307549">
              <w:rPr>
                <w:rFonts w:ascii="Calibri" w:hAnsi="Calibri" w:cs="Calibri"/>
                <w:sz w:val="20"/>
                <w:szCs w:val="20"/>
              </w:rPr>
              <w:t>35-38</w:t>
            </w:r>
          </w:p>
        </w:tc>
        <w:tc>
          <w:tcPr>
            <w:tcW w:w="720" w:type="dxa"/>
          </w:tcPr>
          <w:p w14:paraId="683FD51C" w14:textId="77777777" w:rsidR="009B7AED" w:rsidRPr="00307549" w:rsidRDefault="009B7AED" w:rsidP="00786B05">
            <w:pPr>
              <w:pStyle w:val="TableTextDense"/>
              <w:spacing w:before="10" w:after="10" w:line="240" w:lineRule="auto"/>
              <w:jc w:val="center"/>
              <w:rPr>
                <w:rFonts w:ascii="Calibri" w:hAnsi="Calibri" w:cs="Calibri"/>
                <w:b w:val="0"/>
                <w:bCs w:val="0"/>
                <w:sz w:val="20"/>
                <w:szCs w:val="20"/>
              </w:rPr>
            </w:pPr>
            <w:r w:rsidRPr="00307549">
              <w:rPr>
                <w:rFonts w:ascii="Calibri" w:hAnsi="Calibri" w:cs="Calibri"/>
                <w:sz w:val="20"/>
                <w:szCs w:val="20"/>
              </w:rPr>
              <w:t>39-42</w:t>
            </w:r>
          </w:p>
        </w:tc>
        <w:tc>
          <w:tcPr>
            <w:tcW w:w="1440" w:type="dxa"/>
          </w:tcPr>
          <w:p w14:paraId="73DF6EA8" w14:textId="77777777" w:rsidR="009B7AED" w:rsidRPr="00307549" w:rsidRDefault="009B7AED" w:rsidP="00786B05">
            <w:pPr>
              <w:pStyle w:val="TableTextDense"/>
              <w:spacing w:before="10" w:after="10" w:line="240" w:lineRule="auto"/>
              <w:jc w:val="center"/>
              <w:rPr>
                <w:rFonts w:ascii="Calibri" w:hAnsi="Calibri" w:cs="Calibri"/>
                <w:b w:val="0"/>
                <w:bCs w:val="0"/>
                <w:sz w:val="20"/>
                <w:szCs w:val="20"/>
              </w:rPr>
            </w:pPr>
            <w:r w:rsidRPr="00307549">
              <w:rPr>
                <w:rFonts w:ascii="Calibri" w:hAnsi="Calibri" w:cs="Calibri"/>
                <w:sz w:val="20"/>
                <w:szCs w:val="20"/>
              </w:rPr>
              <w:t>43-53</w:t>
            </w:r>
          </w:p>
        </w:tc>
        <w:tc>
          <w:tcPr>
            <w:tcW w:w="1350" w:type="dxa"/>
          </w:tcPr>
          <w:p w14:paraId="5DA51AEA" w14:textId="77777777" w:rsidR="009B7AED" w:rsidRPr="00307549" w:rsidRDefault="009B7AED" w:rsidP="00786B05">
            <w:pPr>
              <w:pStyle w:val="TableTextDense"/>
              <w:spacing w:before="10" w:after="10" w:line="240" w:lineRule="auto"/>
              <w:jc w:val="center"/>
              <w:rPr>
                <w:rFonts w:ascii="Calibri" w:hAnsi="Calibri" w:cs="Calibri"/>
                <w:b w:val="0"/>
                <w:bCs w:val="0"/>
                <w:sz w:val="20"/>
                <w:szCs w:val="20"/>
              </w:rPr>
            </w:pPr>
            <w:r w:rsidRPr="00307549">
              <w:rPr>
                <w:rFonts w:ascii="Calibri" w:hAnsi="Calibri" w:cs="Calibri"/>
                <w:sz w:val="20"/>
                <w:szCs w:val="20"/>
              </w:rPr>
              <w:t>54-64</w:t>
            </w:r>
          </w:p>
        </w:tc>
        <w:tc>
          <w:tcPr>
            <w:tcW w:w="720" w:type="dxa"/>
          </w:tcPr>
          <w:p w14:paraId="220674D3" w14:textId="77777777" w:rsidR="009B7AED" w:rsidRPr="00307549" w:rsidRDefault="009B7AED" w:rsidP="00786B05">
            <w:pPr>
              <w:pStyle w:val="TableTextDense"/>
              <w:spacing w:before="10" w:after="10" w:line="240" w:lineRule="auto"/>
              <w:jc w:val="center"/>
              <w:rPr>
                <w:rFonts w:ascii="Calibri" w:hAnsi="Calibri" w:cs="Calibri"/>
                <w:b w:val="0"/>
                <w:bCs w:val="0"/>
                <w:sz w:val="20"/>
                <w:szCs w:val="20"/>
              </w:rPr>
            </w:pPr>
            <w:r w:rsidRPr="00307549">
              <w:rPr>
                <w:rFonts w:ascii="Calibri" w:hAnsi="Calibri" w:cs="Calibri"/>
                <w:sz w:val="20"/>
                <w:szCs w:val="20"/>
              </w:rPr>
              <w:t>65-66</w:t>
            </w:r>
          </w:p>
        </w:tc>
        <w:tc>
          <w:tcPr>
            <w:tcW w:w="810" w:type="dxa"/>
          </w:tcPr>
          <w:p w14:paraId="6CBC991E" w14:textId="77777777" w:rsidR="009B7AED" w:rsidRPr="00307549" w:rsidRDefault="009B7AED" w:rsidP="00786B05">
            <w:pPr>
              <w:pStyle w:val="TableTextDense"/>
              <w:spacing w:before="10" w:after="10" w:line="240" w:lineRule="auto"/>
              <w:jc w:val="center"/>
              <w:rPr>
                <w:rFonts w:ascii="Calibri" w:hAnsi="Calibri" w:cs="Calibri"/>
                <w:b w:val="0"/>
                <w:bCs w:val="0"/>
                <w:sz w:val="20"/>
                <w:szCs w:val="20"/>
              </w:rPr>
            </w:pPr>
            <w:r w:rsidRPr="00307549">
              <w:rPr>
                <w:rFonts w:ascii="Calibri" w:hAnsi="Calibri" w:cs="Calibri"/>
                <w:sz w:val="20"/>
                <w:szCs w:val="20"/>
              </w:rPr>
              <w:t>67-74</w:t>
            </w:r>
          </w:p>
        </w:tc>
        <w:tc>
          <w:tcPr>
            <w:tcW w:w="3150" w:type="dxa"/>
          </w:tcPr>
          <w:p w14:paraId="1A4B0544" w14:textId="77777777" w:rsidR="009B7AED" w:rsidRPr="00307549" w:rsidRDefault="009B7AED" w:rsidP="00786B05">
            <w:pPr>
              <w:pStyle w:val="TableTextDense"/>
              <w:spacing w:before="10" w:after="10" w:line="240" w:lineRule="auto"/>
              <w:jc w:val="center"/>
              <w:rPr>
                <w:rFonts w:ascii="Calibri" w:hAnsi="Calibri" w:cs="Calibri"/>
                <w:b w:val="0"/>
                <w:bCs w:val="0"/>
                <w:sz w:val="20"/>
                <w:szCs w:val="20"/>
              </w:rPr>
            </w:pPr>
            <w:r w:rsidRPr="00307549">
              <w:rPr>
                <w:rFonts w:ascii="Calibri" w:hAnsi="Calibri" w:cs="Calibri"/>
                <w:sz w:val="20"/>
                <w:szCs w:val="20"/>
              </w:rPr>
              <w:t>75-124</w:t>
            </w:r>
          </w:p>
        </w:tc>
      </w:tr>
      <w:tr w:rsidR="009B7AED" w:rsidRPr="00307549" w14:paraId="2F5E96A7" w14:textId="77777777" w:rsidTr="00264716">
        <w:trPr>
          <w:trHeight w:val="60"/>
        </w:trPr>
        <w:tc>
          <w:tcPr>
            <w:tcW w:w="985" w:type="dxa"/>
          </w:tcPr>
          <w:p w14:paraId="1F9180CF" w14:textId="77777777" w:rsidR="009B7AED" w:rsidRPr="00307549" w:rsidRDefault="009B7AED" w:rsidP="00786B05">
            <w:pPr>
              <w:pStyle w:val="TableTextDense"/>
              <w:spacing w:before="10" w:after="10" w:line="240" w:lineRule="auto"/>
              <w:rPr>
                <w:rFonts w:ascii="Calibri" w:hAnsi="Calibri" w:cs="Calibri"/>
                <w:sz w:val="20"/>
                <w:szCs w:val="20"/>
              </w:rPr>
            </w:pPr>
            <w:r w:rsidRPr="00307549">
              <w:rPr>
                <w:rFonts w:ascii="Calibri" w:hAnsi="Calibri" w:cs="Calibri"/>
                <w:sz w:val="20"/>
                <w:szCs w:val="20"/>
              </w:rPr>
              <w:t>Content Example:</w:t>
            </w:r>
          </w:p>
        </w:tc>
        <w:tc>
          <w:tcPr>
            <w:tcW w:w="805" w:type="dxa"/>
          </w:tcPr>
          <w:p w14:paraId="2C0751DA" w14:textId="77777777" w:rsidR="009B7AED" w:rsidRPr="00307549" w:rsidRDefault="009B7AED" w:rsidP="00786B05">
            <w:pPr>
              <w:pStyle w:val="TableTextDense"/>
              <w:spacing w:before="10" w:after="10" w:line="240" w:lineRule="auto"/>
              <w:jc w:val="center"/>
              <w:rPr>
                <w:rFonts w:ascii="Calibri" w:hAnsi="Calibri" w:cs="Calibri"/>
                <w:sz w:val="20"/>
                <w:szCs w:val="20"/>
              </w:rPr>
            </w:pPr>
            <w:r w:rsidRPr="00307549">
              <w:rPr>
                <w:rFonts w:ascii="Calibri" w:hAnsi="Calibri" w:cs="Calibri"/>
                <w:sz w:val="20"/>
                <w:szCs w:val="20"/>
              </w:rPr>
              <w:t>2010</w:t>
            </w:r>
          </w:p>
        </w:tc>
        <w:tc>
          <w:tcPr>
            <w:tcW w:w="720" w:type="dxa"/>
          </w:tcPr>
          <w:p w14:paraId="2FDBEB11" w14:textId="77777777" w:rsidR="009B7AED" w:rsidRPr="00307549" w:rsidRDefault="009B7AED" w:rsidP="00786B05">
            <w:pPr>
              <w:pStyle w:val="TableTextDense"/>
              <w:spacing w:before="10" w:after="10" w:line="240" w:lineRule="auto"/>
              <w:jc w:val="center"/>
              <w:rPr>
                <w:rFonts w:ascii="Calibri" w:hAnsi="Calibri" w:cs="Calibri"/>
                <w:sz w:val="20"/>
                <w:szCs w:val="20"/>
              </w:rPr>
            </w:pPr>
            <w:r w:rsidRPr="00307549">
              <w:rPr>
                <w:rFonts w:ascii="Calibri" w:hAnsi="Calibri" w:cs="Calibri"/>
                <w:sz w:val="20"/>
                <w:szCs w:val="20"/>
              </w:rPr>
              <w:t>Blank</w:t>
            </w:r>
          </w:p>
        </w:tc>
        <w:tc>
          <w:tcPr>
            <w:tcW w:w="1440" w:type="dxa"/>
          </w:tcPr>
          <w:p w14:paraId="22D5C0F9" w14:textId="77777777" w:rsidR="009B7AED" w:rsidRPr="00307549" w:rsidRDefault="009B7AED" w:rsidP="00786B05">
            <w:pPr>
              <w:pStyle w:val="TableTextDense"/>
              <w:spacing w:before="10" w:after="10" w:line="240" w:lineRule="auto"/>
              <w:jc w:val="center"/>
              <w:rPr>
                <w:rFonts w:ascii="Calibri" w:hAnsi="Calibri" w:cs="Calibri"/>
                <w:sz w:val="20"/>
                <w:szCs w:val="20"/>
              </w:rPr>
            </w:pPr>
            <w:r w:rsidRPr="00307549">
              <w:rPr>
                <w:rFonts w:ascii="Calibri" w:hAnsi="Calibri" w:cs="Calibri"/>
                <w:sz w:val="20"/>
                <w:szCs w:val="20"/>
              </w:rPr>
              <w:t>39.55060000</w:t>
            </w:r>
          </w:p>
        </w:tc>
        <w:tc>
          <w:tcPr>
            <w:tcW w:w="1350" w:type="dxa"/>
          </w:tcPr>
          <w:p w14:paraId="7D58C31B" w14:textId="77777777" w:rsidR="009B7AED" w:rsidRPr="00307549" w:rsidRDefault="009B7AED" w:rsidP="00786B05">
            <w:pPr>
              <w:pStyle w:val="TableTextDense"/>
              <w:spacing w:before="10" w:after="10" w:line="240" w:lineRule="auto"/>
              <w:jc w:val="center"/>
              <w:rPr>
                <w:rFonts w:ascii="Calibri" w:hAnsi="Calibri" w:cs="Calibri"/>
                <w:sz w:val="20"/>
                <w:szCs w:val="20"/>
              </w:rPr>
            </w:pPr>
            <w:r w:rsidRPr="00307549">
              <w:rPr>
                <w:rFonts w:ascii="Calibri" w:hAnsi="Calibri" w:cs="Calibri"/>
                <w:sz w:val="20"/>
                <w:szCs w:val="20"/>
              </w:rPr>
              <w:t>-107.324851</w:t>
            </w:r>
          </w:p>
        </w:tc>
        <w:tc>
          <w:tcPr>
            <w:tcW w:w="720" w:type="dxa"/>
          </w:tcPr>
          <w:p w14:paraId="5141DAEB" w14:textId="77777777" w:rsidR="009B7AED" w:rsidRPr="00307549" w:rsidRDefault="009B7AED" w:rsidP="00786B05">
            <w:pPr>
              <w:pStyle w:val="TableTextDense"/>
              <w:spacing w:before="10" w:after="10" w:line="240" w:lineRule="auto"/>
              <w:jc w:val="center"/>
              <w:rPr>
                <w:rFonts w:ascii="Calibri" w:hAnsi="Calibri" w:cs="Calibri"/>
                <w:sz w:val="20"/>
                <w:szCs w:val="20"/>
              </w:rPr>
            </w:pPr>
            <w:r w:rsidRPr="00307549">
              <w:rPr>
                <w:rFonts w:ascii="Calibri" w:hAnsi="Calibri" w:cs="Calibri"/>
                <w:sz w:val="20"/>
                <w:szCs w:val="20"/>
              </w:rPr>
              <w:t>01</w:t>
            </w:r>
          </w:p>
        </w:tc>
        <w:tc>
          <w:tcPr>
            <w:tcW w:w="810" w:type="dxa"/>
          </w:tcPr>
          <w:p w14:paraId="667849CD" w14:textId="77777777" w:rsidR="009B7AED" w:rsidRPr="00307549" w:rsidRDefault="009B7AED" w:rsidP="00786B05">
            <w:pPr>
              <w:pStyle w:val="TableTextDense"/>
              <w:spacing w:before="10" w:after="10" w:line="240" w:lineRule="auto"/>
              <w:jc w:val="center"/>
              <w:rPr>
                <w:rFonts w:ascii="Calibri" w:hAnsi="Calibri" w:cs="Calibri"/>
                <w:sz w:val="20"/>
                <w:szCs w:val="20"/>
              </w:rPr>
            </w:pPr>
            <w:r w:rsidRPr="00307549">
              <w:rPr>
                <w:rFonts w:ascii="Calibri" w:hAnsi="Calibri" w:cs="Calibri"/>
                <w:sz w:val="20"/>
                <w:szCs w:val="20"/>
              </w:rPr>
              <w:t>Blank</w:t>
            </w:r>
          </w:p>
        </w:tc>
        <w:tc>
          <w:tcPr>
            <w:tcW w:w="3150" w:type="dxa"/>
          </w:tcPr>
          <w:p w14:paraId="2FB434E9" w14:textId="77777777" w:rsidR="009B7AED" w:rsidRPr="00307549" w:rsidRDefault="009B7AED" w:rsidP="00786B05">
            <w:pPr>
              <w:pStyle w:val="TableTextDense"/>
              <w:spacing w:before="10" w:after="10" w:line="240" w:lineRule="auto"/>
              <w:jc w:val="center"/>
              <w:rPr>
                <w:rFonts w:ascii="Calibri" w:hAnsi="Calibri" w:cs="Calibri"/>
                <w:sz w:val="20"/>
                <w:szCs w:val="20"/>
              </w:rPr>
            </w:pPr>
            <w:r w:rsidRPr="00307549">
              <w:rPr>
                <w:rFonts w:ascii="Calibri" w:hAnsi="Calibri" w:cs="Calibri"/>
                <w:sz w:val="20"/>
                <w:szCs w:val="20"/>
              </w:rPr>
              <w:t>Pine Street northbound ˽ ˽ …</w:t>
            </w:r>
          </w:p>
        </w:tc>
      </w:tr>
    </w:tbl>
    <w:p w14:paraId="5AC64D7F" w14:textId="77777777" w:rsidR="009B7AED" w:rsidRPr="00D96273" w:rsidRDefault="009B7AED" w:rsidP="009B7AED">
      <w:pPr>
        <w:spacing w:before="80" w:after="120" w:line="240" w:lineRule="atLeast"/>
        <w:rPr>
          <w:rFonts w:ascii="Arial Unicode MS" w:eastAsia="Arial Unicode MS" w:hAnsi="Arial Unicode MS" w:cs="Arial Unicode MS"/>
          <w:iCs/>
        </w:rPr>
      </w:pPr>
      <w:r w:rsidRPr="00D96273">
        <w:rPr>
          <w:rFonts w:asciiTheme="minorHAnsi" w:eastAsia="Arial Unicode MS" w:hAnsiTheme="minorHAnsi" w:cs="Arial Unicode MS"/>
          <w:i/>
          <w:iCs/>
        </w:rPr>
        <w:t>Note:</w:t>
      </w:r>
      <w:r w:rsidRPr="00D96273">
        <w:rPr>
          <w:rFonts w:ascii="Arial Unicode MS" w:eastAsia="Arial Unicode MS" w:hAnsi="Arial Unicode MS" w:cs="Arial Unicode MS"/>
          <w:i/>
          <w:iCs/>
        </w:rPr>
        <w:t xml:space="preserve"> “</w:t>
      </w:r>
      <w:r w:rsidRPr="00D96273">
        <w:rPr>
          <w:rFonts w:asciiTheme="minorHAnsi" w:hAnsiTheme="minorHAnsi"/>
          <w:sz w:val="18"/>
          <w:szCs w:val="18"/>
        </w:rPr>
        <w:t>˽</w:t>
      </w:r>
      <w:r w:rsidRPr="00D96273" w:rsidDel="000E4331">
        <w:rPr>
          <w:rFonts w:ascii="Arial Unicode MS" w:eastAsia="Arial Unicode MS" w:hAnsi="Arial Unicode MS" w:cs="Arial Unicode MS"/>
          <w:i/>
          <w:iCs/>
        </w:rPr>
        <w:t xml:space="preserve"> </w:t>
      </w:r>
      <w:r w:rsidRPr="00D96273">
        <w:rPr>
          <w:rFonts w:ascii="Arial Unicode MS" w:eastAsia="Arial Unicode MS" w:hAnsi="Arial Unicode MS" w:cs="Arial Unicode MS"/>
          <w:i/>
          <w:iCs/>
        </w:rPr>
        <w:t xml:space="preserve">“ </w:t>
      </w:r>
      <w:r w:rsidRPr="00D96273">
        <w:rPr>
          <w:rFonts w:asciiTheme="minorHAnsi" w:eastAsia="Arial Unicode MS" w:hAnsiTheme="minorHAnsi" w:cs="Arial Unicode MS"/>
          <w:i/>
          <w:iCs/>
        </w:rPr>
        <w:t>= blank</w:t>
      </w:r>
    </w:p>
    <w:p w14:paraId="0497F042" w14:textId="77777777" w:rsidR="009B7AED" w:rsidRPr="00D96273" w:rsidRDefault="009B7AED" w:rsidP="00786B05">
      <w:pPr>
        <w:spacing w:before="120" w:after="120"/>
      </w:pPr>
      <w:r w:rsidRPr="00D96273">
        <w:rPr>
          <w:i/>
          <w:iCs/>
        </w:rPr>
        <w:t>continued</w:t>
      </w:r>
    </w:p>
    <w:tbl>
      <w:tblPr>
        <w:tblStyle w:val="TMGTable"/>
        <w:tblW w:w="926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1008"/>
        <w:gridCol w:w="8252"/>
      </w:tblGrid>
      <w:tr w:rsidR="009B7AED" w:rsidRPr="00307549" w14:paraId="6CEECC11" w14:textId="77777777" w:rsidTr="00264716">
        <w:trPr>
          <w:cnfStyle w:val="100000000000" w:firstRow="1" w:lastRow="0" w:firstColumn="0" w:lastColumn="0" w:oddVBand="0" w:evenVBand="0" w:oddHBand="0" w:evenHBand="0" w:firstRowFirstColumn="0" w:firstRowLastColumn="0" w:lastRowFirstColumn="0" w:lastRowLastColumn="0"/>
          <w:trHeight w:val="60"/>
        </w:trPr>
        <w:tc>
          <w:tcPr>
            <w:tcW w:w="1008" w:type="dxa"/>
          </w:tcPr>
          <w:p w14:paraId="53E8D5C3" w14:textId="77777777" w:rsidR="009B7AED" w:rsidRPr="00307549" w:rsidRDefault="009B7AED" w:rsidP="00786B05">
            <w:pPr>
              <w:pStyle w:val="TableTextDense"/>
              <w:spacing w:before="10" w:after="10" w:line="240" w:lineRule="auto"/>
              <w:rPr>
                <w:rFonts w:asciiTheme="minorHAnsi" w:hAnsiTheme="minorHAnsi" w:cstheme="minorHAnsi"/>
                <w:b w:val="0"/>
                <w:bCs w:val="0"/>
                <w:sz w:val="20"/>
                <w:szCs w:val="20"/>
              </w:rPr>
            </w:pPr>
            <w:r w:rsidRPr="00307549">
              <w:rPr>
                <w:rFonts w:asciiTheme="minorHAnsi" w:hAnsiTheme="minorHAnsi" w:cstheme="minorHAnsi"/>
                <w:sz w:val="20"/>
                <w:szCs w:val="20"/>
              </w:rPr>
              <w:t>Column Number:</w:t>
            </w:r>
          </w:p>
        </w:tc>
        <w:tc>
          <w:tcPr>
            <w:tcW w:w="8252" w:type="dxa"/>
          </w:tcPr>
          <w:p w14:paraId="265D861D" w14:textId="77777777" w:rsidR="009B7AED" w:rsidRPr="00307549" w:rsidRDefault="009B7AED" w:rsidP="00786B05">
            <w:pPr>
              <w:pStyle w:val="TableTextDense"/>
              <w:spacing w:before="10" w:after="10" w:line="240" w:lineRule="auto"/>
              <w:rPr>
                <w:rFonts w:asciiTheme="minorHAnsi" w:hAnsiTheme="minorHAnsi" w:cstheme="minorHAnsi"/>
                <w:b w:val="0"/>
                <w:bCs w:val="0"/>
                <w:sz w:val="20"/>
                <w:szCs w:val="20"/>
              </w:rPr>
            </w:pPr>
            <w:r w:rsidRPr="00307549">
              <w:rPr>
                <w:rFonts w:asciiTheme="minorHAnsi" w:hAnsiTheme="minorHAnsi" w:cstheme="minorHAnsi"/>
                <w:sz w:val="20"/>
                <w:szCs w:val="20"/>
              </w:rPr>
              <w:t>125-175</w:t>
            </w:r>
          </w:p>
        </w:tc>
      </w:tr>
      <w:tr w:rsidR="009B7AED" w:rsidRPr="00307549" w14:paraId="077C9666" w14:textId="77777777" w:rsidTr="00264716">
        <w:trPr>
          <w:trHeight w:val="60"/>
        </w:trPr>
        <w:tc>
          <w:tcPr>
            <w:tcW w:w="1008" w:type="dxa"/>
          </w:tcPr>
          <w:p w14:paraId="20179799" w14:textId="77777777" w:rsidR="009B7AED" w:rsidRPr="00307549" w:rsidRDefault="009B7AED" w:rsidP="00786B05">
            <w:pPr>
              <w:pStyle w:val="TableTextDense"/>
              <w:spacing w:before="10" w:after="10" w:line="240" w:lineRule="auto"/>
              <w:rPr>
                <w:rFonts w:asciiTheme="minorHAnsi" w:hAnsiTheme="minorHAnsi" w:cstheme="minorHAnsi"/>
                <w:sz w:val="20"/>
                <w:szCs w:val="20"/>
              </w:rPr>
            </w:pPr>
            <w:r w:rsidRPr="00307549">
              <w:rPr>
                <w:rFonts w:asciiTheme="minorHAnsi" w:hAnsiTheme="minorHAnsi" w:cstheme="minorHAnsi"/>
                <w:sz w:val="20"/>
                <w:szCs w:val="20"/>
              </w:rPr>
              <w:t>Content Example:</w:t>
            </w:r>
          </w:p>
        </w:tc>
        <w:tc>
          <w:tcPr>
            <w:tcW w:w="8252" w:type="dxa"/>
          </w:tcPr>
          <w:p w14:paraId="441F7FF4" w14:textId="77777777" w:rsidR="009B7AED" w:rsidRPr="00307549" w:rsidRDefault="009B7AED" w:rsidP="00786B05">
            <w:pPr>
              <w:pStyle w:val="TableTextDense"/>
              <w:spacing w:before="10" w:after="10" w:line="240" w:lineRule="auto"/>
              <w:rPr>
                <w:rFonts w:asciiTheme="minorHAnsi" w:hAnsiTheme="minorHAnsi" w:cstheme="minorHAnsi"/>
                <w:sz w:val="20"/>
                <w:szCs w:val="20"/>
              </w:rPr>
            </w:pPr>
            <w:r w:rsidRPr="00307549">
              <w:rPr>
                <w:rFonts w:asciiTheme="minorHAnsi" w:hAnsiTheme="minorHAnsi" w:cstheme="minorHAnsi"/>
                <w:sz w:val="20"/>
                <w:szCs w:val="20"/>
              </w:rPr>
              <w:t>Volunteer count on W side of Hotel Colorado ˽ ˽ ˽ ˽ ˽ ˽ ˽ ˽</w:t>
            </w:r>
          </w:p>
        </w:tc>
      </w:tr>
    </w:tbl>
    <w:p w14:paraId="51A289F7" w14:textId="77777777" w:rsidR="009B7AED" w:rsidRPr="00D96273" w:rsidRDefault="009B7AED" w:rsidP="009B7AED">
      <w:pPr>
        <w:spacing w:after="240"/>
        <w:ind w:left="1958" w:hanging="878"/>
        <w:rPr>
          <w:i/>
          <w:sz w:val="18"/>
          <w:szCs w:val="18"/>
        </w:rPr>
      </w:pPr>
    </w:p>
    <w:p w14:paraId="6393AA6F" w14:textId="77777777" w:rsidR="009B7AED" w:rsidRDefault="009B7AED" w:rsidP="009B7AED">
      <w:pPr>
        <w:keepNext/>
        <w:spacing w:before="360" w:after="120"/>
        <w:ind w:left="2534" w:hanging="1440"/>
        <w:contextualSpacing/>
        <w:rPr>
          <w:b/>
          <w:bCs/>
          <w:smallCaps/>
          <w:sz w:val="24"/>
          <w:szCs w:val="22"/>
        </w:rPr>
        <w:sectPr w:rsidR="009B7AED" w:rsidSect="000A73FE">
          <w:headerReference w:type="even" r:id="rId231"/>
          <w:headerReference w:type="default" r:id="rId232"/>
          <w:footerReference w:type="even" r:id="rId233"/>
          <w:footerReference w:type="default" r:id="rId234"/>
          <w:pgSz w:w="15840" w:h="12240" w:code="1"/>
          <w:pgMar w:top="1440" w:right="1152" w:bottom="1440" w:left="1440" w:header="720" w:footer="576" w:gutter="0"/>
          <w:pgNumType w:chapStyle="1"/>
          <w:cols w:space="720"/>
          <w:noEndnote/>
          <w:docGrid w:linePitch="272"/>
        </w:sectPr>
      </w:pPr>
    </w:p>
    <w:p w14:paraId="32FE5F22" w14:textId="225DBEFF" w:rsidR="009B7AED" w:rsidRPr="000862DB" w:rsidRDefault="009B7AED" w:rsidP="00A35EAF">
      <w:pPr>
        <w:pStyle w:val="BodyText"/>
      </w:pPr>
      <w:bookmarkStart w:id="3301" w:name="_Toc63976963"/>
      <w:r w:rsidRPr="000862DB">
        <w:lastRenderedPageBreak/>
        <w:t>The example record in</w:t>
      </w:r>
      <w:r w:rsidR="00D322F5">
        <w:t xml:space="preserve"> </w:t>
      </w:r>
      <w:r w:rsidR="00D322F5">
        <w:fldChar w:fldCharType="begin"/>
      </w:r>
      <w:r w:rsidR="00D322F5">
        <w:instrText xml:space="preserve"> REF _Ref116025465 \h </w:instrText>
      </w:r>
      <w:r w:rsidR="00D322F5">
        <w:fldChar w:fldCharType="separate"/>
      </w:r>
      <w:r w:rsidR="00C07DF9" w:rsidRPr="000862DB">
        <w:t xml:space="preserve">Table </w:t>
      </w:r>
      <w:r w:rsidR="00C07DF9">
        <w:rPr>
          <w:noProof/>
        </w:rPr>
        <w:t>4</w:t>
      </w:r>
      <w:r w:rsidR="00C07DF9">
        <w:noBreakHyphen/>
      </w:r>
      <w:r w:rsidR="00C07DF9">
        <w:rPr>
          <w:noProof/>
        </w:rPr>
        <w:t>39</w:t>
      </w:r>
      <w:r w:rsidR="00D322F5">
        <w:fldChar w:fldCharType="end"/>
      </w:r>
      <w:r w:rsidRPr="000862DB">
        <w:t xml:space="preserve"> can be decoded as follows: The micromobility station/location record is for Colorado’s (08) Garfield County (45), with a Station ID of GLWLDC. That site is on a Local Road, in an urban area (7U). The road is considered to have a northern direction (1), and the count is taken on the east side of the road (i.e., where traffic is northbound (1)), with only northbound movements occurring (1). The bikes being counted are in a shared roadway (1), and the count is not in an intersection (Field 19 = blank). Only bikes are being counted (2), and they are being counted manually (Field 12 = 1, Field 3 = H). The year for this station record is 2015. Counts at this location are not assigned to any factor groups at this time. The counter is intended for research purposes (Field 20 = R). The road to which this bike lane is attached has a 25-mph posted speed. The count site was established in 2010 and is still active. The road section where this counter is </w:t>
      </w:r>
      <w:r>
        <w:t>on a lower functional road</w:t>
      </w:r>
      <w:r w:rsidRPr="000862DB">
        <w:t xml:space="preserve">. The X/Y coordinates of the counter are 39.550600, -107.324851. The counter is not on a posted route. </w:t>
      </w:r>
      <w:r>
        <w:t>A</w:t>
      </w:r>
      <w:r w:rsidRPr="000862DB">
        <w:t xml:space="preserve"> text description of the counter’s location is provided, as is a general note about the counter.</w:t>
      </w:r>
    </w:p>
    <w:bookmarkEnd w:id="3301"/>
    <w:p w14:paraId="63946A06" w14:textId="3CD1E9E9" w:rsidR="009B7AED" w:rsidRDefault="009B7AED" w:rsidP="009B7AED">
      <w:pPr>
        <w:spacing w:before="80" w:after="80"/>
        <w:jc w:val="left"/>
      </w:pPr>
      <w:r>
        <w:t xml:space="preserve">State highway agencies can submit the </w:t>
      </w:r>
      <w:r w:rsidRPr="00D40B7A">
        <w:t xml:space="preserve">Micromobility Count Station </w:t>
      </w:r>
      <w:r>
        <w:t xml:space="preserve">data using the pipe-delimited format. The key difference between the fixed-width format and the pipe-delimited format is that with the pipe-delimited file, data elements no longer need to match the starting and ending columns. Length of data elements can be equal or shorter than the specified lengths. </w:t>
      </w:r>
      <w:r>
        <w:rPr>
          <w:rStyle w:val="Italic"/>
          <w:i w:val="0"/>
        </w:rPr>
        <w:t xml:space="preserve">The field order for the pipe-delimited format is identical to the order for the fixed-width format (see </w:t>
      </w:r>
      <w:r>
        <w:rPr>
          <w:rStyle w:val="Italic"/>
          <w:i w:val="0"/>
        </w:rPr>
        <w:fldChar w:fldCharType="begin"/>
      </w:r>
      <w:r>
        <w:rPr>
          <w:rStyle w:val="Italic"/>
          <w:i w:val="0"/>
        </w:rPr>
        <w:instrText xml:space="preserve"> REF _Ref113280228 </w:instrText>
      </w:r>
      <w:r>
        <w:rPr>
          <w:rStyle w:val="Italic"/>
          <w:i w:val="0"/>
        </w:rPr>
        <w:fldChar w:fldCharType="separate"/>
      </w:r>
      <w:r w:rsidR="00C07DF9">
        <w:t xml:space="preserve">Table </w:t>
      </w:r>
      <w:r w:rsidR="00C07DF9">
        <w:rPr>
          <w:noProof/>
        </w:rPr>
        <w:t>4</w:t>
      </w:r>
      <w:r w:rsidR="00C07DF9">
        <w:noBreakHyphen/>
      </w:r>
      <w:r w:rsidR="00C07DF9">
        <w:rPr>
          <w:noProof/>
        </w:rPr>
        <w:t>35</w:t>
      </w:r>
      <w:r>
        <w:rPr>
          <w:rStyle w:val="Italic"/>
          <w:i w:val="0"/>
        </w:rPr>
        <w:fldChar w:fldCharType="end"/>
      </w:r>
      <w:r>
        <w:rPr>
          <w:rStyle w:val="Italic"/>
          <w:i w:val="0"/>
        </w:rPr>
        <w:t xml:space="preserve">). In this format, the fields are separated by a </w:t>
      </w:r>
      <w:r>
        <w:t>pipe symbol (|) instead of beginning in specified columns. Example records in this format are provided below.</w:t>
      </w:r>
    </w:p>
    <w:p w14:paraId="4FB45DBE" w14:textId="77777777" w:rsidR="009B7AED" w:rsidRDefault="009B7AED" w:rsidP="009B7AED">
      <w:pPr>
        <w:spacing w:after="240"/>
        <w:rPr>
          <w:sz w:val="18"/>
          <w:szCs w:val="18"/>
        </w:rPr>
        <w:sectPr w:rsidR="009B7AED" w:rsidSect="003C28DA">
          <w:headerReference w:type="even" r:id="rId235"/>
          <w:headerReference w:type="default" r:id="rId236"/>
          <w:footerReference w:type="even" r:id="rId237"/>
          <w:footerReference w:type="default" r:id="rId238"/>
          <w:pgSz w:w="12240" w:h="15840" w:code="1"/>
          <w:pgMar w:top="1440" w:right="1440" w:bottom="1152" w:left="1440" w:header="720" w:footer="576" w:gutter="0"/>
          <w:pgNumType w:chapStyle="1"/>
          <w:cols w:space="720"/>
          <w:noEndnote/>
          <w:docGrid w:linePitch="272"/>
        </w:sectPr>
      </w:pPr>
    </w:p>
    <w:p w14:paraId="3B9A1F58" w14:textId="77777777" w:rsidR="009B7AED" w:rsidRPr="00A26E43" w:rsidRDefault="009B7AED" w:rsidP="00A26E43">
      <w:pPr>
        <w:spacing w:after="120"/>
        <w:rPr>
          <w:rFonts w:ascii="Cambria" w:hAnsi="Cambria"/>
          <w:b/>
          <w:sz w:val="26"/>
          <w:szCs w:val="26"/>
        </w:rPr>
      </w:pPr>
      <w:r w:rsidRPr="00A26E43">
        <w:rPr>
          <w:rFonts w:ascii="Cambria" w:hAnsi="Cambria"/>
          <w:b/>
          <w:sz w:val="26"/>
          <w:szCs w:val="26"/>
        </w:rPr>
        <w:lastRenderedPageBreak/>
        <w:t>Delimited Format Examples</w:t>
      </w:r>
    </w:p>
    <w:p w14:paraId="08A57E50" w14:textId="77777777" w:rsidR="009B7AED" w:rsidRPr="00A26E43" w:rsidRDefault="009B7AED" w:rsidP="00A26E43">
      <w:pPr>
        <w:spacing w:before="240" w:after="120"/>
        <w:rPr>
          <w:rFonts w:ascii="Cambria" w:hAnsi="Cambria"/>
          <w:b/>
          <w:sz w:val="22"/>
          <w:szCs w:val="22"/>
        </w:rPr>
      </w:pPr>
      <w:r w:rsidRPr="00A26E43">
        <w:rPr>
          <w:rFonts w:ascii="Cambria" w:hAnsi="Cambria"/>
          <w:b/>
          <w:sz w:val="22"/>
          <w:szCs w:val="22"/>
        </w:rPr>
        <w:t>Micromobility Count Station Format – Detailed</w:t>
      </w:r>
    </w:p>
    <w:p w14:paraId="4FEB7304" w14:textId="77777777" w:rsidR="009B7AED" w:rsidRPr="00DA2DD6" w:rsidRDefault="009B7AED" w:rsidP="009B7AED">
      <w:r w:rsidRPr="00DA2DD6">
        <w:t>RT|SFIPS|CFIPS|ID|FC|D|LOC|DOM|FT|INT|TOC|MOC|TS1|YR|FG1|FG2|FG3|FG4|FG5|PCP|PSL|Y</w:t>
      </w:r>
      <w:r>
        <w:t>R</w:t>
      </w:r>
      <w:r w:rsidRPr="00DA2DD6">
        <w:t>E</w:t>
      </w:r>
      <w:r>
        <w:t>ST</w:t>
      </w:r>
      <w:r w:rsidRPr="00DA2DD6">
        <w:t>|Y</w:t>
      </w:r>
      <w:r>
        <w:t>R</w:t>
      </w:r>
      <w:r w:rsidRPr="00DA2DD6">
        <w:t>D</w:t>
      </w:r>
      <w:r>
        <w:t>IS</w:t>
      </w:r>
      <w:r w:rsidRPr="00DA2DD6">
        <w:t>|LAT|LON|PRS|PSRN|STALOC|OTHER</w:t>
      </w:r>
    </w:p>
    <w:p w14:paraId="5041105D" w14:textId="77777777" w:rsidR="009B7AED" w:rsidRPr="00A26E43" w:rsidRDefault="009B7AED" w:rsidP="00A26E43">
      <w:pPr>
        <w:spacing w:before="240" w:after="120"/>
        <w:rPr>
          <w:rFonts w:ascii="Cambria" w:hAnsi="Cambria"/>
          <w:b/>
          <w:sz w:val="22"/>
          <w:szCs w:val="22"/>
        </w:rPr>
      </w:pPr>
      <w:r w:rsidRPr="00A26E43">
        <w:rPr>
          <w:rFonts w:ascii="Cambria" w:hAnsi="Cambria"/>
          <w:b/>
          <w:sz w:val="22"/>
          <w:szCs w:val="22"/>
        </w:rPr>
        <w:t>2 Lane (way) Park Trail</w:t>
      </w:r>
    </w:p>
    <w:p w14:paraId="6B1DA2C3" w14:textId="77777777" w:rsidR="009B7AED" w:rsidRPr="00145DED" w:rsidRDefault="009B7AED" w:rsidP="009B7AED">
      <w:r w:rsidRPr="00145DED">
        <w:t>L|6|59|ABC012|8|1||1|0|0|7|3|I|2020||||||P||2020||33</w:t>
      </w:r>
      <w:r>
        <w:t>.</w:t>
      </w:r>
      <w:r w:rsidRPr="00145DED">
        <w:t>587385|-117</w:t>
      </w:r>
      <w:r>
        <w:t>.</w:t>
      </w:r>
      <w:r w:rsidRPr="00145DED">
        <w:t>635002|11|12345678||OSO Creek Trail|Rancho Santa Margarita, CA</w:t>
      </w:r>
    </w:p>
    <w:p w14:paraId="6AFA1104" w14:textId="77777777" w:rsidR="009B7AED" w:rsidRPr="00145DED" w:rsidRDefault="009B7AED" w:rsidP="009B7AED">
      <w:r w:rsidRPr="00145DED">
        <w:t>L|6|59|ABC012|8|5||1|0|0|7|3|I|2020||||||P||2020||33</w:t>
      </w:r>
      <w:r>
        <w:t>.</w:t>
      </w:r>
      <w:r w:rsidRPr="00145DED">
        <w:t>587385|-117</w:t>
      </w:r>
      <w:r>
        <w:t>.</w:t>
      </w:r>
      <w:r w:rsidRPr="00145DED">
        <w:t>635002|11|12345678||OSO Creek Trail|Rancho Santa Margarita, CA</w:t>
      </w:r>
    </w:p>
    <w:p w14:paraId="3F04748A" w14:textId="77777777" w:rsidR="009B7AED" w:rsidRPr="00D96273" w:rsidRDefault="009B7AED" w:rsidP="00AC2837">
      <w:pPr>
        <w:spacing w:after="240"/>
        <w:rPr>
          <w:i/>
          <w:sz w:val="18"/>
          <w:szCs w:val="18"/>
        </w:rPr>
      </w:pPr>
    </w:p>
    <w:p w14:paraId="28F79D36" w14:textId="77777777" w:rsidR="009B7AED" w:rsidRPr="00D96273" w:rsidRDefault="009B7AED" w:rsidP="009B7AED">
      <w:pPr>
        <w:spacing w:after="240"/>
        <w:ind w:left="1958" w:hanging="878"/>
        <w:rPr>
          <w:i/>
          <w:sz w:val="18"/>
          <w:szCs w:val="18"/>
        </w:rPr>
        <w:sectPr w:rsidR="009B7AED" w:rsidRPr="00D96273" w:rsidSect="00AC2837">
          <w:headerReference w:type="even" r:id="rId239"/>
          <w:headerReference w:type="default" r:id="rId240"/>
          <w:footerReference w:type="even" r:id="rId241"/>
          <w:footerReference w:type="default" r:id="rId242"/>
          <w:pgSz w:w="15840" w:h="12240" w:code="1"/>
          <w:pgMar w:top="1440" w:right="1152" w:bottom="1440" w:left="1440" w:header="720" w:footer="576" w:gutter="0"/>
          <w:pgNumType w:chapStyle="1"/>
          <w:cols w:space="720"/>
          <w:noEndnote/>
          <w:docGrid w:linePitch="272"/>
        </w:sectPr>
      </w:pPr>
    </w:p>
    <w:p w14:paraId="3E56FA9B" w14:textId="1A190AE8" w:rsidR="009B7AED" w:rsidRPr="001546EF" w:rsidRDefault="009B7AED">
      <w:pPr>
        <w:pStyle w:val="Heading2"/>
      </w:pPr>
      <w:bookmarkStart w:id="3302" w:name="_Toc349905112"/>
      <w:bookmarkStart w:id="3303" w:name="_Toc335642259"/>
      <w:bookmarkStart w:id="3304" w:name="_Toc363656160"/>
      <w:bookmarkStart w:id="3305" w:name="_Toc450638951"/>
      <w:bookmarkStart w:id="3306" w:name="_Toc63976764"/>
      <w:bookmarkStart w:id="3307" w:name="_Toc68864961"/>
      <w:bookmarkStart w:id="3308" w:name="_Toc109301297"/>
      <w:bookmarkStart w:id="3309" w:name="_Toc109333031"/>
      <w:bookmarkStart w:id="3310" w:name="_Toc109333624"/>
      <w:bookmarkStart w:id="3311" w:name="_Toc113281121"/>
      <w:bookmarkStart w:id="3312" w:name="_Toc114474746"/>
      <w:bookmarkStart w:id="3313" w:name="_Toc118205709"/>
      <w:r w:rsidRPr="001546EF">
        <w:lastRenderedPageBreak/>
        <w:t>Micromobility Count Data Format</w:t>
      </w:r>
      <w:bookmarkEnd w:id="3302"/>
      <w:bookmarkEnd w:id="3303"/>
      <w:bookmarkEnd w:id="3304"/>
      <w:bookmarkEnd w:id="3305"/>
      <w:r w:rsidRPr="001546EF">
        <w:t xml:space="preserve"> (Fixed Width Or Pipe Delimited)</w:t>
      </w:r>
      <w:bookmarkEnd w:id="3306"/>
      <w:bookmarkEnd w:id="3307"/>
      <w:bookmarkEnd w:id="3308"/>
      <w:bookmarkEnd w:id="3309"/>
      <w:bookmarkEnd w:id="3310"/>
      <w:bookmarkEnd w:id="3311"/>
      <w:bookmarkEnd w:id="3312"/>
      <w:bookmarkEnd w:id="3313"/>
    </w:p>
    <w:p w14:paraId="29D8EBEB" w14:textId="44A487F4" w:rsidR="009B7AED" w:rsidRPr="00D96273" w:rsidRDefault="009B7AED" w:rsidP="00A35EAF">
      <w:pPr>
        <w:pStyle w:val="BodyText"/>
      </w:pPr>
      <w:r w:rsidRPr="00D96273">
        <w:t xml:space="preserve">The </w:t>
      </w:r>
      <w:r>
        <w:t xml:space="preserve">Micromobility </w:t>
      </w:r>
      <w:r w:rsidRPr="00D96273">
        <w:t xml:space="preserve">Count Record format is a variable length, fixed field record. One record is used for each calendar day for which traffic monitoring data are being submitted. Considerable flexibility is built into this record. It allows </w:t>
      </w:r>
      <w:r>
        <w:t xml:space="preserve">micromobility </w:t>
      </w:r>
      <w:r w:rsidRPr="00D96273">
        <w:t xml:space="preserve">data to be reported at a variety of time intervals. The time interval being counted can be 5, 10, 15, 20, 30, or 60 minutes, with the interval being reported as a field on each record. </w:t>
      </w:r>
      <w:fldSimple w:instr=" REF _Ref113280591 ">
        <w:r w:rsidR="00C07DF9" w:rsidRPr="00251B8F">
          <w:t xml:space="preserve">Table </w:t>
        </w:r>
        <w:r w:rsidR="00C07DF9">
          <w:rPr>
            <w:noProof/>
          </w:rPr>
          <w:t>4</w:t>
        </w:r>
        <w:r w:rsidR="00C07DF9">
          <w:noBreakHyphen/>
        </w:r>
        <w:r w:rsidR="00C07DF9">
          <w:rPr>
            <w:noProof/>
          </w:rPr>
          <w:t>40</w:t>
        </w:r>
      </w:fldSimple>
      <w:r>
        <w:t xml:space="preserve"> </w:t>
      </w:r>
      <w:r w:rsidRPr="00D96273">
        <w:t>describes all the fields used in this record.</w:t>
      </w:r>
      <w:r w:rsidR="004D4172">
        <w:t xml:space="preserve"> </w:t>
      </w:r>
      <w:r w:rsidRPr="00D96273">
        <w:t>The record is also designed so that counts of helmet use, gender, and simple age categories (child/adult) can be reported.</w:t>
      </w:r>
      <w:r w:rsidR="004D4172">
        <w:t xml:space="preserve"> </w:t>
      </w:r>
      <w:r w:rsidRPr="00D96273">
        <w:t>Where helmet use, gender, or age are reported, separate records need to be submitted for each category being counted (e.g., one record needs to be submitted for “perceived Female” and one for “perceived Male.”)</w:t>
      </w:r>
      <w:r w:rsidR="004D4172">
        <w:t xml:space="preserve"> </w:t>
      </w:r>
      <w:r w:rsidRPr="00D96273">
        <w:t xml:space="preserve">Details on how to submit gender, helmet use, and age data are provided below as part of the coding instructions for each field in the record. </w:t>
      </w:r>
    </w:p>
    <w:p w14:paraId="01DF6786" w14:textId="796419C1" w:rsidR="009B7AED" w:rsidRPr="00D96273" w:rsidRDefault="009B7AED" w:rsidP="00A35EAF">
      <w:pPr>
        <w:pStyle w:val="BodyText"/>
      </w:pPr>
      <w:r w:rsidRPr="00D96273">
        <w:t xml:space="preserve">Note that there is some duplication of coding between the </w:t>
      </w:r>
      <w:r>
        <w:t>Micromobility S</w:t>
      </w:r>
      <w:r w:rsidRPr="00D96273">
        <w:t xml:space="preserve">tation </w:t>
      </w:r>
      <w:r>
        <w:t xml:space="preserve">Description </w:t>
      </w:r>
      <w:r w:rsidRPr="00D96273">
        <w:t xml:space="preserve">record and the </w:t>
      </w:r>
      <w:r>
        <w:t>Micromobility C</w:t>
      </w:r>
      <w:r w:rsidRPr="00D96273">
        <w:t>ount record.</w:t>
      </w:r>
      <w:r w:rsidR="004D4172">
        <w:t xml:space="preserve"> </w:t>
      </w:r>
      <w:r w:rsidRPr="00D96273">
        <w:t xml:space="preserve">This is because this count record is intended for use beyond FHWA’s TMAS data system. To support such uses, key location fields were included in the count record so that users could locate the count. The expectation is that outside of TMAS a user might not have access to the associated </w:t>
      </w:r>
      <w:r>
        <w:t xml:space="preserve">Micromobility </w:t>
      </w:r>
      <w:r w:rsidRPr="00D96273">
        <w:t>Station Description Record.</w:t>
      </w:r>
      <w:r w:rsidR="004D4172">
        <w:t xml:space="preserve"> </w:t>
      </w:r>
      <w:r w:rsidRPr="00D96273">
        <w:t>In addition, within TMAS, location data are used in quality assurance checks to ensure that counts are assigned to the correct locations.</w:t>
      </w:r>
    </w:p>
    <w:p w14:paraId="7293284A" w14:textId="2AC78E6E" w:rsidR="009B7AED" w:rsidRDefault="009B7AED" w:rsidP="00A35EAF">
      <w:pPr>
        <w:pStyle w:val="BodyText"/>
      </w:pPr>
      <w:r w:rsidRPr="00D96273">
        <w:t>As with the other previous data formats, all numeric fields should be right-justified and blank filled.</w:t>
      </w:r>
      <w:r w:rsidR="004D4172">
        <w:t xml:space="preserve"> </w:t>
      </w:r>
      <w:r w:rsidRPr="00D96273">
        <w:t>All fields should be blank filled when data are not provided.</w:t>
      </w:r>
      <w:r w:rsidR="004D4172">
        <w:t xml:space="preserve"> </w:t>
      </w:r>
      <w:r w:rsidRPr="00D96273">
        <w:t>In each record’s count fields, a zero means that counting was occurring but no travel activity was observed.</w:t>
      </w:r>
      <w:r w:rsidR="004D4172">
        <w:t xml:space="preserve"> </w:t>
      </w:r>
      <w:r w:rsidRPr="00D96273">
        <w:t>A blank represents a time when data were not being collected.</w:t>
      </w:r>
    </w:p>
    <w:p w14:paraId="127D89F6" w14:textId="27BA39E7" w:rsidR="009B7AED" w:rsidRPr="00D96273" w:rsidRDefault="009B7AED" w:rsidP="000070C2">
      <w:pPr>
        <w:pStyle w:val="CallOut"/>
        <w:spacing w:after="360"/>
      </w:pPr>
      <w:r w:rsidRPr="00C36998">
        <w:t>If a more</w:t>
      </w:r>
      <w:r>
        <w:t>-</w:t>
      </w:r>
      <w:r w:rsidRPr="00C36998">
        <w:t>than</w:t>
      </w:r>
      <w:r>
        <w:t>-</w:t>
      </w:r>
      <w:r w:rsidRPr="00C36998">
        <w:t xml:space="preserve">6-digit station ID is used for the associated </w:t>
      </w:r>
      <w:r>
        <w:t xml:space="preserve">micromobility </w:t>
      </w:r>
      <w:r w:rsidRPr="00C36998">
        <w:t xml:space="preserve">station </w:t>
      </w:r>
      <w:r>
        <w:t>record</w:t>
      </w:r>
      <w:r w:rsidRPr="00C36998">
        <w:t xml:space="preserve">, </w:t>
      </w:r>
      <w:r>
        <w:t>the pipe-</w:t>
      </w:r>
      <w:r w:rsidRPr="00C36998">
        <w:t xml:space="preserve">delimited format must be used for the </w:t>
      </w:r>
      <w:r>
        <w:t xml:space="preserve">micromobility </w:t>
      </w:r>
      <w:r w:rsidRPr="00C36998">
        <w:t>data</w:t>
      </w:r>
      <w:r>
        <w:t>,</w:t>
      </w:r>
      <w:r w:rsidRPr="00C36998">
        <w:t xml:space="preserve"> and the same number of digits </w:t>
      </w:r>
      <w:r>
        <w:t xml:space="preserve">for the station ID </w:t>
      </w:r>
      <w:r w:rsidRPr="00C36998">
        <w:t xml:space="preserve">need to be provided </w:t>
      </w:r>
      <w:r>
        <w:t>on the microbility records</w:t>
      </w:r>
      <w:r w:rsidRPr="00C36998">
        <w:t>.</w:t>
      </w:r>
      <w:r w:rsidR="004D4172">
        <w:t xml:space="preserve"> </w:t>
      </w:r>
    </w:p>
    <w:p w14:paraId="42358647" w14:textId="77777777" w:rsidR="009B7AED" w:rsidRPr="00D96273" w:rsidRDefault="009B7AED" w:rsidP="00AC2837">
      <w:pPr>
        <w:pStyle w:val="Example"/>
      </w:pPr>
      <w:r w:rsidRPr="00D96273">
        <w:t xml:space="preserve">An example file naming convention for the </w:t>
      </w:r>
      <w:r>
        <w:t xml:space="preserve">Micromobility </w:t>
      </w:r>
      <w:r w:rsidRPr="00D96273">
        <w:t xml:space="preserve">Station </w:t>
      </w:r>
      <w:r>
        <w:t xml:space="preserve">Count </w:t>
      </w:r>
      <w:r w:rsidRPr="00D96273">
        <w:t>record is:</w:t>
      </w:r>
    </w:p>
    <w:p w14:paraId="1A6D2A70" w14:textId="77777777" w:rsidR="009B7AED" w:rsidRPr="00D96273" w:rsidRDefault="009B7AED" w:rsidP="000070C2">
      <w:pPr>
        <w:pStyle w:val="Example"/>
        <w:spacing w:after="360"/>
      </w:pPr>
      <w:r w:rsidRPr="00D96273">
        <w:t>ssabcxyzmmyyyy.VNM</w:t>
      </w:r>
    </w:p>
    <w:p w14:paraId="0239CAD3" w14:textId="5924E9C7" w:rsidR="009B7AED" w:rsidRDefault="009B7AED" w:rsidP="00736AF3">
      <w:pPr>
        <w:pStyle w:val="TMGTableCaption"/>
      </w:pPr>
      <w:bookmarkStart w:id="3314" w:name="_Ref113280591"/>
      <w:bookmarkStart w:id="3315" w:name="_Toc109333470"/>
      <w:bookmarkStart w:id="3316" w:name="_Toc109333798"/>
      <w:bookmarkStart w:id="3317" w:name="_Toc113282545"/>
      <w:bookmarkStart w:id="3318" w:name="_Toc114474882"/>
      <w:bookmarkStart w:id="3319" w:name="_Toc120631188"/>
      <w:r w:rsidRPr="00251B8F">
        <w:t xml:space="preserve">Table </w:t>
      </w:r>
      <w:fldSimple w:instr=" STYLEREF 1 \s ">
        <w:r w:rsidR="00C07DF9">
          <w:rPr>
            <w:noProof/>
          </w:rPr>
          <w:t>4</w:t>
        </w:r>
      </w:fldSimple>
      <w:r>
        <w:noBreakHyphen/>
      </w:r>
      <w:fldSimple w:instr=" SEQ Table \* ARABIC \s 1 ">
        <w:r w:rsidR="00C07DF9">
          <w:rPr>
            <w:noProof/>
          </w:rPr>
          <w:t>40</w:t>
        </w:r>
      </w:fldSimple>
      <w:bookmarkEnd w:id="3314"/>
      <w:r>
        <w:t>.</w:t>
      </w:r>
      <w:r w:rsidRPr="00251B8F">
        <w:t xml:space="preserve"> Micromobility Count Record</w:t>
      </w:r>
      <w:r>
        <w:t xml:space="preserve"> – Fixed-Width Format</w:t>
      </w:r>
      <w:bookmarkEnd w:id="3315"/>
      <w:bookmarkEnd w:id="3316"/>
      <w:bookmarkEnd w:id="3317"/>
      <w:bookmarkEnd w:id="3318"/>
      <w:bookmarkEnd w:id="3319"/>
    </w:p>
    <w:tbl>
      <w:tblPr>
        <w:tblStyle w:val="TableGrid"/>
        <w:tblW w:w="9360" w:type="dxa"/>
        <w:jc w:val="center"/>
        <w:tblCellMar>
          <w:left w:w="86" w:type="dxa"/>
          <w:right w:w="86" w:type="dxa"/>
        </w:tblCellMar>
        <w:tblLook w:val="04A0" w:firstRow="1" w:lastRow="0" w:firstColumn="1" w:lastColumn="0" w:noHBand="0" w:noVBand="1"/>
      </w:tblPr>
      <w:tblGrid>
        <w:gridCol w:w="975"/>
        <w:gridCol w:w="1090"/>
        <w:gridCol w:w="810"/>
        <w:gridCol w:w="4043"/>
        <w:gridCol w:w="1309"/>
        <w:gridCol w:w="1133"/>
      </w:tblGrid>
      <w:tr w:rsidR="000A73FE" w14:paraId="745F9444" w14:textId="77777777" w:rsidTr="000A73FE">
        <w:trPr>
          <w:tblHeader/>
          <w:jc w:val="center"/>
        </w:trPr>
        <w:tc>
          <w:tcPr>
            <w:tcW w:w="975" w:type="dxa"/>
            <w:tcBorders>
              <w:right w:val="single" w:sz="4" w:space="0" w:color="FFFFFF" w:themeColor="background1"/>
            </w:tcBorders>
            <w:shd w:val="clear" w:color="auto" w:fill="1F3864"/>
          </w:tcPr>
          <w:p w14:paraId="2BF85E5A" w14:textId="180674C0" w:rsidR="000A73FE" w:rsidRDefault="000A73FE" w:rsidP="000A73FE">
            <w:pPr>
              <w:pStyle w:val="TMGTableTextHeader"/>
            </w:pPr>
            <w:r w:rsidRPr="00D96273">
              <w:rPr>
                <w:rFonts w:eastAsiaTheme="minorEastAsia"/>
              </w:rPr>
              <w:t>Field</w:t>
            </w:r>
          </w:p>
        </w:tc>
        <w:tc>
          <w:tcPr>
            <w:tcW w:w="1090" w:type="dxa"/>
            <w:tcBorders>
              <w:left w:val="single" w:sz="4" w:space="0" w:color="FFFFFF" w:themeColor="background1"/>
              <w:right w:val="single" w:sz="4" w:space="0" w:color="FFFFFF" w:themeColor="background1"/>
            </w:tcBorders>
            <w:shd w:val="clear" w:color="auto" w:fill="1F3864"/>
          </w:tcPr>
          <w:p w14:paraId="7248695A" w14:textId="4CBD9828" w:rsidR="000A73FE" w:rsidRDefault="000A73FE" w:rsidP="000A73FE">
            <w:pPr>
              <w:pStyle w:val="TMGTableTextHeader"/>
              <w:rPr>
                <w:rFonts w:eastAsia="MS Mincho"/>
              </w:rPr>
            </w:pPr>
            <w:r w:rsidRPr="00D96273">
              <w:rPr>
                <w:rFonts w:eastAsiaTheme="minorEastAsia"/>
              </w:rPr>
              <w:t>Columns</w:t>
            </w:r>
          </w:p>
        </w:tc>
        <w:tc>
          <w:tcPr>
            <w:tcW w:w="810" w:type="dxa"/>
            <w:tcBorders>
              <w:left w:val="single" w:sz="4" w:space="0" w:color="FFFFFF" w:themeColor="background1"/>
              <w:right w:val="single" w:sz="4" w:space="0" w:color="FFFFFF" w:themeColor="background1"/>
            </w:tcBorders>
            <w:shd w:val="clear" w:color="auto" w:fill="1F3864"/>
          </w:tcPr>
          <w:p w14:paraId="5EFE868C" w14:textId="60D28A44" w:rsidR="000A73FE" w:rsidRDefault="000A73FE" w:rsidP="000A73FE">
            <w:pPr>
              <w:pStyle w:val="TMGTableTextHeader"/>
              <w:rPr>
                <w:rFonts w:eastAsia="MS Mincho"/>
              </w:rPr>
            </w:pPr>
            <w:r w:rsidRPr="00D96273">
              <w:rPr>
                <w:rFonts w:eastAsiaTheme="minorEastAsia"/>
              </w:rPr>
              <w:t>Width</w:t>
            </w:r>
          </w:p>
        </w:tc>
        <w:tc>
          <w:tcPr>
            <w:tcW w:w="4043" w:type="dxa"/>
            <w:tcBorders>
              <w:left w:val="single" w:sz="4" w:space="0" w:color="FFFFFF" w:themeColor="background1"/>
              <w:right w:val="single" w:sz="4" w:space="0" w:color="FFFFFF" w:themeColor="background1"/>
            </w:tcBorders>
            <w:shd w:val="clear" w:color="auto" w:fill="1F3864"/>
          </w:tcPr>
          <w:p w14:paraId="657C9594" w14:textId="4BBC04AE" w:rsidR="000A73FE" w:rsidRDefault="000A73FE" w:rsidP="000A73FE">
            <w:pPr>
              <w:pStyle w:val="TMGTableTextHeader"/>
              <w:rPr>
                <w:rFonts w:eastAsia="MS Mincho"/>
              </w:rPr>
            </w:pPr>
            <w:r w:rsidRPr="00D96273">
              <w:rPr>
                <w:rFonts w:eastAsiaTheme="minorEastAsia"/>
              </w:rPr>
              <w:t>Description</w:t>
            </w:r>
          </w:p>
        </w:tc>
        <w:tc>
          <w:tcPr>
            <w:tcW w:w="1309" w:type="dxa"/>
            <w:tcBorders>
              <w:left w:val="single" w:sz="4" w:space="0" w:color="FFFFFF" w:themeColor="background1"/>
              <w:right w:val="single" w:sz="4" w:space="0" w:color="FFFFFF" w:themeColor="background1"/>
            </w:tcBorders>
            <w:shd w:val="clear" w:color="auto" w:fill="1F3864"/>
          </w:tcPr>
          <w:p w14:paraId="77833E1B" w14:textId="03CE208D" w:rsidR="000A73FE" w:rsidRDefault="000A73FE" w:rsidP="000A73FE">
            <w:pPr>
              <w:pStyle w:val="TMGTableTextHeader"/>
              <w:rPr>
                <w:rFonts w:eastAsia="MS Mincho"/>
              </w:rPr>
            </w:pPr>
            <w:r w:rsidRPr="00D96273">
              <w:rPr>
                <w:rFonts w:eastAsiaTheme="minorEastAsia"/>
              </w:rPr>
              <w:t>Type</w:t>
            </w:r>
          </w:p>
        </w:tc>
        <w:tc>
          <w:tcPr>
            <w:tcW w:w="1133" w:type="dxa"/>
            <w:tcBorders>
              <w:left w:val="single" w:sz="4" w:space="0" w:color="FFFFFF" w:themeColor="background1"/>
            </w:tcBorders>
            <w:shd w:val="clear" w:color="auto" w:fill="1F3864"/>
          </w:tcPr>
          <w:p w14:paraId="00F28EDE" w14:textId="04ABDC5C" w:rsidR="000A73FE" w:rsidRDefault="000A73FE" w:rsidP="000A73FE">
            <w:pPr>
              <w:pStyle w:val="TMGTableTextHeader"/>
            </w:pPr>
            <w:r>
              <w:rPr>
                <w:rFonts w:eastAsiaTheme="minorEastAsia"/>
              </w:rPr>
              <w:t>Importanc</w:t>
            </w:r>
            <w:r w:rsidRPr="00D96273">
              <w:rPr>
                <w:rFonts w:eastAsiaTheme="minorEastAsia"/>
              </w:rPr>
              <w:t>e</w:t>
            </w:r>
          </w:p>
        </w:tc>
      </w:tr>
      <w:tr w:rsidR="000A73FE" w14:paraId="1972C336" w14:textId="77777777" w:rsidTr="000A73FE">
        <w:trPr>
          <w:jc w:val="center"/>
        </w:trPr>
        <w:tc>
          <w:tcPr>
            <w:tcW w:w="975" w:type="dxa"/>
          </w:tcPr>
          <w:p w14:paraId="11C7E8B2" w14:textId="7150FFD9" w:rsidR="000A73FE" w:rsidRPr="005D6955" w:rsidRDefault="000A73FE" w:rsidP="000A73FE">
            <w:pPr>
              <w:pStyle w:val="TMGTableText"/>
              <w:ind w:left="0" w:right="144"/>
              <w:jc w:val="right"/>
              <w:rPr>
                <w:b/>
                <w:bCs/>
              </w:rPr>
            </w:pPr>
            <w:r w:rsidRPr="00251B8F">
              <w:rPr>
                <w:rFonts w:eastAsiaTheme="minorEastAsia"/>
                <w:b/>
                <w:bCs/>
              </w:rPr>
              <w:t>1</w:t>
            </w:r>
          </w:p>
        </w:tc>
        <w:tc>
          <w:tcPr>
            <w:tcW w:w="1090" w:type="dxa"/>
          </w:tcPr>
          <w:p w14:paraId="3D36BA93" w14:textId="4B741334" w:rsidR="000A73FE" w:rsidRPr="004859C8" w:rsidRDefault="000A73FE" w:rsidP="000A73FE">
            <w:pPr>
              <w:pStyle w:val="TMGTableText"/>
              <w:jc w:val="center"/>
            </w:pPr>
            <w:r w:rsidRPr="00D96273">
              <w:rPr>
                <w:rFonts w:eastAsiaTheme="minorEastAsia"/>
              </w:rPr>
              <w:t>1</w:t>
            </w:r>
          </w:p>
        </w:tc>
        <w:tc>
          <w:tcPr>
            <w:tcW w:w="810" w:type="dxa"/>
          </w:tcPr>
          <w:p w14:paraId="77A05EEF" w14:textId="3F1196F8" w:rsidR="000A73FE" w:rsidRPr="004859C8" w:rsidRDefault="000A73FE" w:rsidP="000A73FE">
            <w:pPr>
              <w:pStyle w:val="TMGTableText"/>
              <w:jc w:val="center"/>
            </w:pPr>
            <w:r w:rsidRPr="00D96273">
              <w:rPr>
                <w:rFonts w:eastAsiaTheme="minorEastAsia"/>
              </w:rPr>
              <w:t>1</w:t>
            </w:r>
          </w:p>
        </w:tc>
        <w:tc>
          <w:tcPr>
            <w:tcW w:w="4043" w:type="dxa"/>
          </w:tcPr>
          <w:p w14:paraId="5E66E63E" w14:textId="20D98335" w:rsidR="000A73FE" w:rsidRPr="004859C8" w:rsidRDefault="000A73FE" w:rsidP="000A73FE">
            <w:pPr>
              <w:pStyle w:val="TMGTableText"/>
              <w:jc w:val="center"/>
            </w:pPr>
            <w:r>
              <w:rPr>
                <w:rFonts w:eastAsiaTheme="minorEastAsia"/>
              </w:rPr>
              <w:t>Record Type (RT)</w:t>
            </w:r>
          </w:p>
        </w:tc>
        <w:tc>
          <w:tcPr>
            <w:tcW w:w="1309" w:type="dxa"/>
          </w:tcPr>
          <w:p w14:paraId="2C9BB643" w14:textId="538B5D4C" w:rsidR="000A73FE" w:rsidRPr="004859C8" w:rsidRDefault="000A73FE" w:rsidP="000A73FE">
            <w:pPr>
              <w:pStyle w:val="TMGTableText"/>
              <w:jc w:val="center"/>
            </w:pPr>
            <w:r>
              <w:rPr>
                <w:rFonts w:eastAsiaTheme="minorEastAsia"/>
              </w:rPr>
              <w:t>Alphanumeric</w:t>
            </w:r>
          </w:p>
        </w:tc>
        <w:tc>
          <w:tcPr>
            <w:tcW w:w="1133" w:type="dxa"/>
          </w:tcPr>
          <w:p w14:paraId="6CABE4BB" w14:textId="24870CAB" w:rsidR="000A73FE" w:rsidRPr="00C251E9" w:rsidRDefault="000A73FE" w:rsidP="000A73FE">
            <w:pPr>
              <w:pStyle w:val="TMGTableText"/>
              <w:jc w:val="center"/>
            </w:pPr>
            <w:r>
              <w:rPr>
                <w:rFonts w:eastAsiaTheme="minorEastAsia"/>
              </w:rPr>
              <w:t>Required</w:t>
            </w:r>
          </w:p>
        </w:tc>
      </w:tr>
      <w:tr w:rsidR="000A73FE" w14:paraId="2D11C0BF" w14:textId="77777777" w:rsidTr="000A73FE">
        <w:trPr>
          <w:jc w:val="center"/>
        </w:trPr>
        <w:tc>
          <w:tcPr>
            <w:tcW w:w="975" w:type="dxa"/>
          </w:tcPr>
          <w:p w14:paraId="62B7AA09" w14:textId="6BFDD0B6" w:rsidR="000A73FE" w:rsidRPr="005D6955" w:rsidRDefault="000A73FE" w:rsidP="000A73FE">
            <w:pPr>
              <w:pStyle w:val="TMGTableText"/>
              <w:ind w:left="0" w:right="144"/>
              <w:jc w:val="right"/>
              <w:rPr>
                <w:b/>
                <w:bCs/>
              </w:rPr>
            </w:pPr>
            <w:r w:rsidRPr="00251B8F">
              <w:rPr>
                <w:rFonts w:eastAsiaTheme="minorEastAsia"/>
                <w:b/>
                <w:bCs/>
              </w:rPr>
              <w:t>2</w:t>
            </w:r>
          </w:p>
        </w:tc>
        <w:tc>
          <w:tcPr>
            <w:tcW w:w="1090" w:type="dxa"/>
          </w:tcPr>
          <w:p w14:paraId="3B02F6AF" w14:textId="033CD919" w:rsidR="000A73FE" w:rsidRPr="004859C8" w:rsidRDefault="000A73FE" w:rsidP="000A73FE">
            <w:pPr>
              <w:pStyle w:val="TMGTableText"/>
              <w:jc w:val="center"/>
            </w:pPr>
            <w:r w:rsidRPr="00D96273">
              <w:rPr>
                <w:rFonts w:eastAsiaTheme="minorEastAsia"/>
              </w:rPr>
              <w:t>2-3</w:t>
            </w:r>
          </w:p>
        </w:tc>
        <w:tc>
          <w:tcPr>
            <w:tcW w:w="810" w:type="dxa"/>
          </w:tcPr>
          <w:p w14:paraId="7BBE6220" w14:textId="506134AD" w:rsidR="000A73FE" w:rsidRPr="004859C8" w:rsidRDefault="000A73FE" w:rsidP="000A73FE">
            <w:pPr>
              <w:pStyle w:val="TMGTableText"/>
              <w:jc w:val="center"/>
            </w:pPr>
            <w:r w:rsidRPr="00D96273">
              <w:rPr>
                <w:rFonts w:eastAsiaTheme="minorEastAsia"/>
              </w:rPr>
              <w:t>2</w:t>
            </w:r>
          </w:p>
        </w:tc>
        <w:tc>
          <w:tcPr>
            <w:tcW w:w="4043" w:type="dxa"/>
          </w:tcPr>
          <w:p w14:paraId="51C75B90" w14:textId="3C2EAB37" w:rsidR="000A73FE" w:rsidRPr="004859C8" w:rsidRDefault="000A73FE" w:rsidP="000A73FE">
            <w:pPr>
              <w:pStyle w:val="TMGTableText"/>
              <w:jc w:val="center"/>
            </w:pPr>
            <w:r w:rsidRPr="00D96273">
              <w:rPr>
                <w:rFonts w:eastAsiaTheme="minorEastAsia"/>
              </w:rPr>
              <w:t>State FIPS Code</w:t>
            </w:r>
            <w:r>
              <w:rPr>
                <w:rFonts w:eastAsiaTheme="minorEastAsia"/>
              </w:rPr>
              <w:t xml:space="preserve"> (SFIPS)</w:t>
            </w:r>
          </w:p>
        </w:tc>
        <w:tc>
          <w:tcPr>
            <w:tcW w:w="1309" w:type="dxa"/>
          </w:tcPr>
          <w:p w14:paraId="6810798E" w14:textId="656B29B5" w:rsidR="000A73FE" w:rsidRPr="004859C8" w:rsidRDefault="000A73FE" w:rsidP="000A73FE">
            <w:pPr>
              <w:pStyle w:val="TMGTableText"/>
              <w:jc w:val="center"/>
            </w:pPr>
            <w:r>
              <w:rPr>
                <w:rFonts w:eastAsiaTheme="minorEastAsia"/>
              </w:rPr>
              <w:t>Integer</w:t>
            </w:r>
          </w:p>
        </w:tc>
        <w:tc>
          <w:tcPr>
            <w:tcW w:w="1133" w:type="dxa"/>
          </w:tcPr>
          <w:p w14:paraId="5B14190C" w14:textId="5B2BDE97" w:rsidR="000A73FE" w:rsidRPr="00C251E9" w:rsidRDefault="000A73FE" w:rsidP="000A73FE">
            <w:pPr>
              <w:pStyle w:val="TMGTableText"/>
              <w:jc w:val="center"/>
            </w:pPr>
            <w:r>
              <w:rPr>
                <w:rFonts w:eastAsiaTheme="minorEastAsia"/>
              </w:rPr>
              <w:t>Required</w:t>
            </w:r>
          </w:p>
        </w:tc>
      </w:tr>
      <w:tr w:rsidR="000A73FE" w14:paraId="7C3141E5" w14:textId="77777777" w:rsidTr="000A73FE">
        <w:trPr>
          <w:jc w:val="center"/>
        </w:trPr>
        <w:tc>
          <w:tcPr>
            <w:tcW w:w="975" w:type="dxa"/>
          </w:tcPr>
          <w:p w14:paraId="1D1C1BA2" w14:textId="3D073EE4" w:rsidR="000A73FE" w:rsidRPr="005D6955" w:rsidRDefault="000A73FE" w:rsidP="000A73FE">
            <w:pPr>
              <w:pStyle w:val="TMGTableText"/>
              <w:ind w:left="0" w:right="144"/>
              <w:jc w:val="right"/>
              <w:rPr>
                <w:b/>
                <w:bCs/>
              </w:rPr>
            </w:pPr>
            <w:r w:rsidRPr="00251B8F">
              <w:rPr>
                <w:rFonts w:eastAsiaTheme="minorEastAsia"/>
                <w:b/>
                <w:bCs/>
              </w:rPr>
              <w:t>3</w:t>
            </w:r>
          </w:p>
        </w:tc>
        <w:tc>
          <w:tcPr>
            <w:tcW w:w="1090" w:type="dxa"/>
          </w:tcPr>
          <w:p w14:paraId="5A5CCAD3" w14:textId="5A048A37" w:rsidR="000A73FE" w:rsidRPr="004859C8" w:rsidRDefault="000A73FE" w:rsidP="000A73FE">
            <w:pPr>
              <w:pStyle w:val="TMGTableText"/>
              <w:jc w:val="center"/>
            </w:pPr>
            <w:r w:rsidRPr="00D96273">
              <w:rPr>
                <w:rFonts w:eastAsiaTheme="minorEastAsia"/>
              </w:rPr>
              <w:t>4-6</w:t>
            </w:r>
          </w:p>
        </w:tc>
        <w:tc>
          <w:tcPr>
            <w:tcW w:w="810" w:type="dxa"/>
          </w:tcPr>
          <w:p w14:paraId="34DDEA9A" w14:textId="7B375491" w:rsidR="000A73FE" w:rsidRPr="004859C8" w:rsidRDefault="000A73FE" w:rsidP="000A73FE">
            <w:pPr>
              <w:pStyle w:val="TMGTableText"/>
              <w:jc w:val="center"/>
            </w:pPr>
            <w:r w:rsidRPr="00D96273">
              <w:rPr>
                <w:rFonts w:eastAsiaTheme="minorEastAsia"/>
              </w:rPr>
              <w:t>3</w:t>
            </w:r>
          </w:p>
        </w:tc>
        <w:tc>
          <w:tcPr>
            <w:tcW w:w="4043" w:type="dxa"/>
          </w:tcPr>
          <w:p w14:paraId="407DE9A4" w14:textId="14B430CB" w:rsidR="000A73FE" w:rsidRPr="004859C8" w:rsidRDefault="000A73FE" w:rsidP="000A73FE">
            <w:pPr>
              <w:pStyle w:val="TMGTableText"/>
              <w:jc w:val="center"/>
            </w:pPr>
            <w:r w:rsidRPr="00D96273">
              <w:rPr>
                <w:rFonts w:eastAsiaTheme="minorEastAsia"/>
              </w:rPr>
              <w:t>County FIPS Code</w:t>
            </w:r>
            <w:r>
              <w:rPr>
                <w:rFonts w:eastAsiaTheme="minorEastAsia"/>
              </w:rPr>
              <w:t xml:space="preserve"> (CFIPS)</w:t>
            </w:r>
          </w:p>
        </w:tc>
        <w:tc>
          <w:tcPr>
            <w:tcW w:w="1309" w:type="dxa"/>
          </w:tcPr>
          <w:p w14:paraId="39790E4C" w14:textId="5FC0A7CC" w:rsidR="000A73FE" w:rsidRPr="004859C8" w:rsidRDefault="000A73FE" w:rsidP="000A73FE">
            <w:pPr>
              <w:pStyle w:val="TMGTableText"/>
              <w:jc w:val="center"/>
            </w:pPr>
            <w:r>
              <w:rPr>
                <w:rFonts w:eastAsiaTheme="minorEastAsia"/>
              </w:rPr>
              <w:t>Integer</w:t>
            </w:r>
          </w:p>
        </w:tc>
        <w:tc>
          <w:tcPr>
            <w:tcW w:w="1133" w:type="dxa"/>
          </w:tcPr>
          <w:p w14:paraId="74264BA7" w14:textId="7CF224F5" w:rsidR="000A73FE" w:rsidRPr="00C251E9" w:rsidRDefault="000A73FE" w:rsidP="000A73FE">
            <w:pPr>
              <w:pStyle w:val="TMGTableText"/>
              <w:jc w:val="center"/>
            </w:pPr>
            <w:r>
              <w:rPr>
                <w:rFonts w:eastAsiaTheme="minorEastAsia"/>
              </w:rPr>
              <w:t>Required</w:t>
            </w:r>
          </w:p>
        </w:tc>
      </w:tr>
      <w:tr w:rsidR="000A73FE" w14:paraId="07A22559" w14:textId="77777777" w:rsidTr="000A73FE">
        <w:trPr>
          <w:jc w:val="center"/>
        </w:trPr>
        <w:tc>
          <w:tcPr>
            <w:tcW w:w="975" w:type="dxa"/>
          </w:tcPr>
          <w:p w14:paraId="08B9F4B1" w14:textId="7080C1C3" w:rsidR="000A73FE" w:rsidRPr="005D6955" w:rsidRDefault="000A73FE" w:rsidP="000A73FE">
            <w:pPr>
              <w:pStyle w:val="TMGTableText"/>
              <w:ind w:left="0" w:right="144"/>
              <w:jc w:val="right"/>
              <w:rPr>
                <w:b/>
                <w:bCs/>
              </w:rPr>
            </w:pPr>
            <w:r w:rsidRPr="00251B8F">
              <w:rPr>
                <w:rFonts w:eastAsiaTheme="minorEastAsia"/>
                <w:b/>
                <w:bCs/>
              </w:rPr>
              <w:t>4</w:t>
            </w:r>
          </w:p>
        </w:tc>
        <w:tc>
          <w:tcPr>
            <w:tcW w:w="1090" w:type="dxa"/>
          </w:tcPr>
          <w:p w14:paraId="60ECDF93" w14:textId="1696524C" w:rsidR="000A73FE" w:rsidRPr="004859C8" w:rsidRDefault="000A73FE" w:rsidP="000A73FE">
            <w:pPr>
              <w:pStyle w:val="TMGTableText"/>
              <w:jc w:val="center"/>
            </w:pPr>
            <w:r w:rsidRPr="00D96273">
              <w:rPr>
                <w:rFonts w:eastAsiaTheme="minorEastAsia"/>
              </w:rPr>
              <w:t>7-12</w:t>
            </w:r>
          </w:p>
        </w:tc>
        <w:tc>
          <w:tcPr>
            <w:tcW w:w="810" w:type="dxa"/>
          </w:tcPr>
          <w:p w14:paraId="7A49E9DC" w14:textId="1FDFFC36" w:rsidR="000A73FE" w:rsidRPr="004859C8" w:rsidRDefault="000A73FE" w:rsidP="000A73FE">
            <w:pPr>
              <w:pStyle w:val="TMGTableText"/>
              <w:jc w:val="center"/>
            </w:pPr>
            <w:r w:rsidRPr="00D96273">
              <w:rPr>
                <w:rFonts w:eastAsiaTheme="minorEastAsia"/>
              </w:rPr>
              <w:t>6</w:t>
            </w:r>
          </w:p>
        </w:tc>
        <w:tc>
          <w:tcPr>
            <w:tcW w:w="4043" w:type="dxa"/>
          </w:tcPr>
          <w:p w14:paraId="009D8680" w14:textId="6EDB6BD8" w:rsidR="000A73FE" w:rsidRPr="004859C8" w:rsidRDefault="000A73FE" w:rsidP="000A73FE">
            <w:pPr>
              <w:pStyle w:val="TMGTableText"/>
              <w:jc w:val="center"/>
            </w:pPr>
            <w:r w:rsidRPr="00D96273">
              <w:rPr>
                <w:rFonts w:eastAsiaTheme="minorEastAsia"/>
              </w:rPr>
              <w:t>Station ID</w:t>
            </w:r>
            <w:r>
              <w:rPr>
                <w:rFonts w:eastAsiaTheme="minorEastAsia"/>
              </w:rPr>
              <w:t xml:space="preserve"> (ID)</w:t>
            </w:r>
          </w:p>
        </w:tc>
        <w:tc>
          <w:tcPr>
            <w:tcW w:w="1309" w:type="dxa"/>
          </w:tcPr>
          <w:p w14:paraId="363D8D6E" w14:textId="72C54191" w:rsidR="000A73FE" w:rsidRPr="004859C8" w:rsidRDefault="000A73FE" w:rsidP="000A73FE">
            <w:pPr>
              <w:pStyle w:val="TMGTableText"/>
              <w:jc w:val="center"/>
            </w:pPr>
            <w:r>
              <w:rPr>
                <w:rFonts w:eastAsiaTheme="minorEastAsia"/>
              </w:rPr>
              <w:t>Alphanumeric</w:t>
            </w:r>
          </w:p>
        </w:tc>
        <w:tc>
          <w:tcPr>
            <w:tcW w:w="1133" w:type="dxa"/>
          </w:tcPr>
          <w:p w14:paraId="72677FE3" w14:textId="14713A82" w:rsidR="000A73FE" w:rsidRPr="00C251E9" w:rsidRDefault="000A73FE" w:rsidP="000A73FE">
            <w:pPr>
              <w:pStyle w:val="TMGTableText"/>
              <w:jc w:val="center"/>
            </w:pPr>
            <w:r>
              <w:rPr>
                <w:rFonts w:eastAsiaTheme="minorEastAsia"/>
              </w:rPr>
              <w:t>Required</w:t>
            </w:r>
          </w:p>
        </w:tc>
      </w:tr>
      <w:tr w:rsidR="000A73FE" w14:paraId="0FE3C57D" w14:textId="77777777" w:rsidTr="000A73FE">
        <w:trPr>
          <w:jc w:val="center"/>
        </w:trPr>
        <w:tc>
          <w:tcPr>
            <w:tcW w:w="975" w:type="dxa"/>
          </w:tcPr>
          <w:p w14:paraId="727F80CD" w14:textId="56DE572E" w:rsidR="000A73FE" w:rsidRPr="005D6955" w:rsidRDefault="000A73FE" w:rsidP="000A73FE">
            <w:pPr>
              <w:pStyle w:val="TMGTableText"/>
              <w:ind w:left="0" w:right="144"/>
              <w:jc w:val="right"/>
              <w:rPr>
                <w:b/>
                <w:bCs/>
              </w:rPr>
            </w:pPr>
            <w:r w:rsidRPr="00251B8F">
              <w:rPr>
                <w:rFonts w:eastAsiaTheme="minorEastAsia"/>
                <w:b/>
                <w:bCs/>
              </w:rPr>
              <w:t>5</w:t>
            </w:r>
          </w:p>
        </w:tc>
        <w:tc>
          <w:tcPr>
            <w:tcW w:w="1090" w:type="dxa"/>
          </w:tcPr>
          <w:p w14:paraId="207D1E87" w14:textId="2AC36444" w:rsidR="000A73FE" w:rsidRPr="004859C8" w:rsidRDefault="000A73FE" w:rsidP="000A73FE">
            <w:pPr>
              <w:pStyle w:val="TMGTableText"/>
              <w:jc w:val="center"/>
            </w:pPr>
            <w:r w:rsidRPr="00D96273">
              <w:rPr>
                <w:rFonts w:eastAsiaTheme="minorEastAsia"/>
              </w:rPr>
              <w:t>13-2</w:t>
            </w:r>
            <w:r>
              <w:rPr>
                <w:rFonts w:eastAsiaTheme="minorEastAsia"/>
              </w:rPr>
              <w:t>3</w:t>
            </w:r>
          </w:p>
        </w:tc>
        <w:tc>
          <w:tcPr>
            <w:tcW w:w="810" w:type="dxa"/>
          </w:tcPr>
          <w:p w14:paraId="7B08E3CD" w14:textId="24EA5567" w:rsidR="000A73FE" w:rsidRPr="004859C8" w:rsidRDefault="000A73FE" w:rsidP="000A73FE">
            <w:pPr>
              <w:pStyle w:val="TMGTableText"/>
              <w:jc w:val="center"/>
            </w:pPr>
            <w:r>
              <w:rPr>
                <w:rFonts w:eastAsiaTheme="minorEastAsia"/>
              </w:rPr>
              <w:t>11</w:t>
            </w:r>
          </w:p>
        </w:tc>
        <w:tc>
          <w:tcPr>
            <w:tcW w:w="4043" w:type="dxa"/>
          </w:tcPr>
          <w:p w14:paraId="1F18299C" w14:textId="4CDB1BF2" w:rsidR="000A73FE" w:rsidRPr="004859C8" w:rsidRDefault="000A73FE" w:rsidP="000A73FE">
            <w:pPr>
              <w:pStyle w:val="TMGTableText"/>
              <w:jc w:val="center"/>
            </w:pPr>
            <w:r w:rsidRPr="00D96273">
              <w:rPr>
                <w:rFonts w:eastAsiaTheme="minorEastAsia"/>
              </w:rPr>
              <w:t>Latitude</w:t>
            </w:r>
            <w:r>
              <w:rPr>
                <w:rFonts w:eastAsiaTheme="minorEastAsia"/>
              </w:rPr>
              <w:t xml:space="preserve"> (LAT)</w:t>
            </w:r>
          </w:p>
        </w:tc>
        <w:tc>
          <w:tcPr>
            <w:tcW w:w="1309" w:type="dxa"/>
          </w:tcPr>
          <w:p w14:paraId="7D00FC24" w14:textId="0CCBF05A" w:rsidR="000A73FE" w:rsidRPr="004859C8" w:rsidRDefault="000A73FE" w:rsidP="000A73FE">
            <w:pPr>
              <w:pStyle w:val="TMGTableText"/>
              <w:jc w:val="center"/>
            </w:pPr>
            <w:r>
              <w:rPr>
                <w:rFonts w:eastAsiaTheme="minorEastAsia"/>
              </w:rPr>
              <w:t>Decimal</w:t>
            </w:r>
          </w:p>
        </w:tc>
        <w:tc>
          <w:tcPr>
            <w:tcW w:w="1133" w:type="dxa"/>
          </w:tcPr>
          <w:p w14:paraId="29D5F34E" w14:textId="06D07395" w:rsidR="000A73FE" w:rsidRPr="00C251E9" w:rsidRDefault="000A73FE" w:rsidP="000A73FE">
            <w:pPr>
              <w:pStyle w:val="TMGTableText"/>
              <w:jc w:val="center"/>
            </w:pPr>
            <w:r w:rsidRPr="00D96273">
              <w:rPr>
                <w:rFonts w:eastAsiaTheme="minorEastAsia"/>
              </w:rPr>
              <w:t>O</w:t>
            </w:r>
            <w:r>
              <w:rPr>
                <w:rFonts w:eastAsiaTheme="minorEastAsia"/>
              </w:rPr>
              <w:t>ptional</w:t>
            </w:r>
          </w:p>
        </w:tc>
      </w:tr>
      <w:tr w:rsidR="000A73FE" w14:paraId="031FD919" w14:textId="77777777" w:rsidTr="000A73FE">
        <w:trPr>
          <w:jc w:val="center"/>
        </w:trPr>
        <w:tc>
          <w:tcPr>
            <w:tcW w:w="975" w:type="dxa"/>
          </w:tcPr>
          <w:p w14:paraId="301C1132" w14:textId="05EEC82A" w:rsidR="000A73FE" w:rsidRPr="005D6955" w:rsidRDefault="000A73FE" w:rsidP="000A73FE">
            <w:pPr>
              <w:pStyle w:val="TMGTableText"/>
              <w:ind w:left="0" w:right="144"/>
              <w:jc w:val="right"/>
              <w:rPr>
                <w:b/>
                <w:bCs/>
              </w:rPr>
            </w:pPr>
            <w:r w:rsidRPr="00251B8F">
              <w:rPr>
                <w:rFonts w:eastAsiaTheme="minorEastAsia"/>
                <w:b/>
                <w:bCs/>
              </w:rPr>
              <w:t>6</w:t>
            </w:r>
          </w:p>
        </w:tc>
        <w:tc>
          <w:tcPr>
            <w:tcW w:w="1090" w:type="dxa"/>
          </w:tcPr>
          <w:p w14:paraId="3FCC7B43" w14:textId="3481AD1A" w:rsidR="000A73FE" w:rsidRPr="004859C8" w:rsidRDefault="000A73FE" w:rsidP="000A73FE">
            <w:pPr>
              <w:pStyle w:val="TMGTableText"/>
              <w:jc w:val="center"/>
            </w:pPr>
            <w:r w:rsidRPr="00D96273">
              <w:rPr>
                <w:rFonts w:eastAsiaTheme="minorEastAsia"/>
              </w:rPr>
              <w:t>2</w:t>
            </w:r>
            <w:r>
              <w:rPr>
                <w:rFonts w:eastAsiaTheme="minorEastAsia"/>
              </w:rPr>
              <w:t>4</w:t>
            </w:r>
            <w:r w:rsidRPr="00D96273">
              <w:rPr>
                <w:rFonts w:eastAsiaTheme="minorEastAsia"/>
              </w:rPr>
              <w:t>-</w:t>
            </w:r>
            <w:r>
              <w:rPr>
                <w:rFonts w:eastAsiaTheme="minorEastAsia"/>
              </w:rPr>
              <w:t>34</w:t>
            </w:r>
          </w:p>
        </w:tc>
        <w:tc>
          <w:tcPr>
            <w:tcW w:w="810" w:type="dxa"/>
          </w:tcPr>
          <w:p w14:paraId="22A199D9" w14:textId="6DDAA0F9" w:rsidR="000A73FE" w:rsidRPr="004859C8" w:rsidRDefault="000A73FE" w:rsidP="000A73FE">
            <w:pPr>
              <w:pStyle w:val="TMGTableText"/>
              <w:jc w:val="center"/>
            </w:pPr>
            <w:r>
              <w:rPr>
                <w:rFonts w:eastAsiaTheme="minorEastAsia"/>
              </w:rPr>
              <w:t>11</w:t>
            </w:r>
          </w:p>
        </w:tc>
        <w:tc>
          <w:tcPr>
            <w:tcW w:w="4043" w:type="dxa"/>
          </w:tcPr>
          <w:p w14:paraId="2C97F1E0" w14:textId="775E6B30" w:rsidR="000A73FE" w:rsidRPr="004859C8" w:rsidRDefault="000A73FE" w:rsidP="000A73FE">
            <w:pPr>
              <w:pStyle w:val="TMGTableText"/>
              <w:jc w:val="center"/>
            </w:pPr>
            <w:r w:rsidRPr="00D96273">
              <w:rPr>
                <w:rFonts w:eastAsiaTheme="minorEastAsia"/>
              </w:rPr>
              <w:t>Longitude</w:t>
            </w:r>
            <w:r>
              <w:rPr>
                <w:rFonts w:eastAsiaTheme="minorEastAsia"/>
              </w:rPr>
              <w:t xml:space="preserve"> (LON)</w:t>
            </w:r>
          </w:p>
        </w:tc>
        <w:tc>
          <w:tcPr>
            <w:tcW w:w="1309" w:type="dxa"/>
          </w:tcPr>
          <w:p w14:paraId="5C26E242" w14:textId="7C42FEA7" w:rsidR="000A73FE" w:rsidRPr="004859C8" w:rsidRDefault="000A73FE" w:rsidP="000A73FE">
            <w:pPr>
              <w:pStyle w:val="TMGTableText"/>
              <w:jc w:val="center"/>
            </w:pPr>
            <w:r>
              <w:rPr>
                <w:rFonts w:eastAsiaTheme="minorEastAsia"/>
              </w:rPr>
              <w:t>Decimal</w:t>
            </w:r>
          </w:p>
        </w:tc>
        <w:tc>
          <w:tcPr>
            <w:tcW w:w="1133" w:type="dxa"/>
          </w:tcPr>
          <w:p w14:paraId="5AC2ED8B" w14:textId="3130545D" w:rsidR="000A73FE" w:rsidRPr="00C251E9" w:rsidRDefault="000A73FE" w:rsidP="000A73FE">
            <w:pPr>
              <w:pStyle w:val="TMGTableText"/>
              <w:jc w:val="center"/>
            </w:pPr>
            <w:r w:rsidRPr="00D96273">
              <w:rPr>
                <w:rFonts w:eastAsiaTheme="minorEastAsia"/>
              </w:rPr>
              <w:t>O</w:t>
            </w:r>
            <w:r>
              <w:rPr>
                <w:rFonts w:eastAsiaTheme="minorEastAsia"/>
              </w:rPr>
              <w:t>ptional</w:t>
            </w:r>
          </w:p>
        </w:tc>
      </w:tr>
      <w:tr w:rsidR="000A73FE" w14:paraId="521545E3" w14:textId="77777777" w:rsidTr="000A73FE">
        <w:trPr>
          <w:jc w:val="center"/>
        </w:trPr>
        <w:tc>
          <w:tcPr>
            <w:tcW w:w="975" w:type="dxa"/>
          </w:tcPr>
          <w:p w14:paraId="77D84143" w14:textId="26214BD4" w:rsidR="000A73FE" w:rsidRPr="005D6955" w:rsidRDefault="000A73FE" w:rsidP="000A73FE">
            <w:pPr>
              <w:pStyle w:val="TMGTableText"/>
              <w:ind w:left="0" w:right="144"/>
              <w:jc w:val="right"/>
              <w:rPr>
                <w:b/>
                <w:bCs/>
              </w:rPr>
            </w:pPr>
            <w:r w:rsidRPr="00251B8F">
              <w:rPr>
                <w:rFonts w:eastAsiaTheme="minorEastAsia"/>
                <w:b/>
                <w:bCs/>
              </w:rPr>
              <w:t>7</w:t>
            </w:r>
          </w:p>
        </w:tc>
        <w:tc>
          <w:tcPr>
            <w:tcW w:w="1090" w:type="dxa"/>
          </w:tcPr>
          <w:p w14:paraId="3E4C957D" w14:textId="6666C7E6" w:rsidR="000A73FE" w:rsidRPr="004859C8" w:rsidRDefault="000A73FE" w:rsidP="000A73FE">
            <w:pPr>
              <w:pStyle w:val="TMGTableText"/>
              <w:jc w:val="center"/>
            </w:pPr>
            <w:r w:rsidRPr="00D96273">
              <w:rPr>
                <w:rFonts w:eastAsiaTheme="minorEastAsia"/>
              </w:rPr>
              <w:t>3</w:t>
            </w:r>
            <w:r>
              <w:rPr>
                <w:rFonts w:eastAsiaTheme="minorEastAsia"/>
              </w:rPr>
              <w:t>5</w:t>
            </w:r>
          </w:p>
        </w:tc>
        <w:tc>
          <w:tcPr>
            <w:tcW w:w="810" w:type="dxa"/>
          </w:tcPr>
          <w:p w14:paraId="1B0FA76A" w14:textId="100FB220" w:rsidR="000A73FE" w:rsidRPr="004859C8" w:rsidRDefault="000A73FE" w:rsidP="000A73FE">
            <w:pPr>
              <w:pStyle w:val="TMGTableText"/>
              <w:jc w:val="center"/>
            </w:pPr>
            <w:r w:rsidRPr="00D96273">
              <w:rPr>
                <w:rFonts w:eastAsiaTheme="minorEastAsia"/>
              </w:rPr>
              <w:t>1</w:t>
            </w:r>
          </w:p>
        </w:tc>
        <w:tc>
          <w:tcPr>
            <w:tcW w:w="4043" w:type="dxa"/>
          </w:tcPr>
          <w:p w14:paraId="42966087" w14:textId="45313ADC" w:rsidR="000A73FE" w:rsidRPr="004859C8" w:rsidRDefault="000A73FE" w:rsidP="000A73FE">
            <w:pPr>
              <w:pStyle w:val="TMGTableText"/>
              <w:jc w:val="center"/>
            </w:pPr>
            <w:r w:rsidRPr="00D96273">
              <w:rPr>
                <w:rFonts w:eastAsiaTheme="minorEastAsia"/>
              </w:rPr>
              <w:t xml:space="preserve">Direction of </w:t>
            </w:r>
            <w:r>
              <w:rPr>
                <w:rFonts w:eastAsiaTheme="minorEastAsia"/>
              </w:rPr>
              <w:t>R</w:t>
            </w:r>
            <w:r w:rsidRPr="00D96273">
              <w:rPr>
                <w:rFonts w:eastAsiaTheme="minorEastAsia"/>
              </w:rPr>
              <w:t>oute</w:t>
            </w:r>
            <w:r>
              <w:rPr>
                <w:rFonts w:eastAsiaTheme="minorEastAsia"/>
              </w:rPr>
              <w:t xml:space="preserve"> (D)</w:t>
            </w:r>
          </w:p>
        </w:tc>
        <w:tc>
          <w:tcPr>
            <w:tcW w:w="1309" w:type="dxa"/>
          </w:tcPr>
          <w:p w14:paraId="1E01FEC6" w14:textId="0CABDD78" w:rsidR="000A73FE" w:rsidRPr="004859C8" w:rsidRDefault="000A73FE" w:rsidP="000A73FE">
            <w:pPr>
              <w:pStyle w:val="TMGTableText"/>
              <w:jc w:val="center"/>
            </w:pPr>
            <w:r w:rsidRPr="00C408FD">
              <w:rPr>
                <w:rFonts w:eastAsiaTheme="minorEastAsia"/>
              </w:rPr>
              <w:t>Integer</w:t>
            </w:r>
          </w:p>
        </w:tc>
        <w:tc>
          <w:tcPr>
            <w:tcW w:w="1133" w:type="dxa"/>
          </w:tcPr>
          <w:p w14:paraId="4D97C2B4" w14:textId="385C0C60" w:rsidR="000A73FE" w:rsidRPr="00C251E9" w:rsidRDefault="000A73FE" w:rsidP="000A73FE">
            <w:pPr>
              <w:pStyle w:val="TMGTableText"/>
              <w:jc w:val="center"/>
            </w:pPr>
            <w:r>
              <w:rPr>
                <w:rFonts w:eastAsiaTheme="minorEastAsia"/>
              </w:rPr>
              <w:t>Required</w:t>
            </w:r>
          </w:p>
        </w:tc>
      </w:tr>
      <w:tr w:rsidR="000A73FE" w14:paraId="7D0485C7" w14:textId="77777777" w:rsidTr="000A73FE">
        <w:trPr>
          <w:jc w:val="center"/>
        </w:trPr>
        <w:tc>
          <w:tcPr>
            <w:tcW w:w="975" w:type="dxa"/>
          </w:tcPr>
          <w:p w14:paraId="1526EEC8" w14:textId="3E53992A" w:rsidR="000A73FE" w:rsidRPr="005D6955" w:rsidRDefault="000A73FE" w:rsidP="000A73FE">
            <w:pPr>
              <w:pStyle w:val="TMGTableText"/>
              <w:ind w:left="0" w:right="144"/>
              <w:jc w:val="right"/>
              <w:rPr>
                <w:b/>
                <w:bCs/>
              </w:rPr>
            </w:pPr>
            <w:r w:rsidRPr="00251B8F">
              <w:rPr>
                <w:rFonts w:eastAsiaTheme="minorEastAsia"/>
                <w:b/>
                <w:bCs/>
              </w:rPr>
              <w:t>8</w:t>
            </w:r>
          </w:p>
        </w:tc>
        <w:tc>
          <w:tcPr>
            <w:tcW w:w="1090" w:type="dxa"/>
          </w:tcPr>
          <w:p w14:paraId="11A335EB" w14:textId="2827B561" w:rsidR="000A73FE" w:rsidRPr="004859C8" w:rsidRDefault="000A73FE" w:rsidP="000A73FE">
            <w:pPr>
              <w:pStyle w:val="TMGTableText"/>
              <w:jc w:val="center"/>
            </w:pPr>
            <w:r w:rsidRPr="00D96273">
              <w:rPr>
                <w:rFonts w:eastAsiaTheme="minorEastAsia"/>
              </w:rPr>
              <w:t>3</w:t>
            </w:r>
            <w:r>
              <w:rPr>
                <w:rFonts w:eastAsiaTheme="minorEastAsia"/>
              </w:rPr>
              <w:t>6</w:t>
            </w:r>
          </w:p>
        </w:tc>
        <w:tc>
          <w:tcPr>
            <w:tcW w:w="810" w:type="dxa"/>
          </w:tcPr>
          <w:p w14:paraId="3D5821E2" w14:textId="16660AE7" w:rsidR="000A73FE" w:rsidRPr="004859C8" w:rsidRDefault="000A73FE" w:rsidP="000A73FE">
            <w:pPr>
              <w:pStyle w:val="TMGTableText"/>
              <w:jc w:val="center"/>
            </w:pPr>
            <w:r w:rsidRPr="00D96273">
              <w:rPr>
                <w:rFonts w:eastAsiaTheme="minorEastAsia"/>
              </w:rPr>
              <w:t>1</w:t>
            </w:r>
          </w:p>
        </w:tc>
        <w:tc>
          <w:tcPr>
            <w:tcW w:w="4043" w:type="dxa"/>
          </w:tcPr>
          <w:p w14:paraId="7918A6B3" w14:textId="63BD1064" w:rsidR="000A73FE" w:rsidRPr="004859C8" w:rsidRDefault="000A73FE" w:rsidP="000A73FE">
            <w:pPr>
              <w:pStyle w:val="TMGTableText"/>
              <w:jc w:val="center"/>
            </w:pPr>
            <w:r w:rsidRPr="00D96273">
              <w:rPr>
                <w:rFonts w:eastAsiaTheme="minorEastAsia"/>
              </w:rPr>
              <w:t xml:space="preserve">Location of </w:t>
            </w:r>
            <w:r>
              <w:rPr>
                <w:rFonts w:eastAsiaTheme="minorEastAsia"/>
              </w:rPr>
              <w:t>C</w:t>
            </w:r>
            <w:r w:rsidRPr="00D96273">
              <w:rPr>
                <w:rFonts w:eastAsiaTheme="minorEastAsia"/>
              </w:rPr>
              <w:t xml:space="preserve">ount </w:t>
            </w:r>
            <w:r>
              <w:rPr>
                <w:rFonts w:eastAsiaTheme="minorEastAsia"/>
              </w:rPr>
              <w:t>R</w:t>
            </w:r>
            <w:r w:rsidRPr="00D96273">
              <w:rPr>
                <w:rFonts w:eastAsiaTheme="minorEastAsia"/>
              </w:rPr>
              <w:t xml:space="preserve">elative to </w:t>
            </w:r>
            <w:r>
              <w:rPr>
                <w:rFonts w:eastAsiaTheme="minorEastAsia"/>
              </w:rPr>
              <w:t>R</w:t>
            </w:r>
            <w:r w:rsidRPr="00D96273">
              <w:rPr>
                <w:rFonts w:eastAsiaTheme="minorEastAsia"/>
              </w:rPr>
              <w:t>oadway</w:t>
            </w:r>
            <w:r>
              <w:rPr>
                <w:rFonts w:eastAsiaTheme="minorEastAsia"/>
              </w:rPr>
              <w:t xml:space="preserve"> (LOC)</w:t>
            </w:r>
          </w:p>
        </w:tc>
        <w:tc>
          <w:tcPr>
            <w:tcW w:w="1309" w:type="dxa"/>
          </w:tcPr>
          <w:p w14:paraId="41C02BCB" w14:textId="672AA950" w:rsidR="000A73FE" w:rsidRPr="004859C8" w:rsidRDefault="000A73FE" w:rsidP="000A73FE">
            <w:pPr>
              <w:pStyle w:val="TMGTableText"/>
              <w:jc w:val="center"/>
            </w:pPr>
            <w:r w:rsidRPr="00EA08F8">
              <w:rPr>
                <w:rFonts w:eastAsiaTheme="minorEastAsia"/>
              </w:rPr>
              <w:t>Integer</w:t>
            </w:r>
          </w:p>
        </w:tc>
        <w:tc>
          <w:tcPr>
            <w:tcW w:w="1133" w:type="dxa"/>
          </w:tcPr>
          <w:p w14:paraId="045CF3E0" w14:textId="6AAE4BDC" w:rsidR="000A73FE" w:rsidRPr="00C251E9" w:rsidRDefault="000A73FE" w:rsidP="000A73FE">
            <w:pPr>
              <w:pStyle w:val="TMGTableText"/>
              <w:jc w:val="center"/>
            </w:pPr>
            <w:r>
              <w:rPr>
                <w:rFonts w:eastAsiaTheme="minorEastAsia"/>
              </w:rPr>
              <w:t>Required</w:t>
            </w:r>
          </w:p>
        </w:tc>
      </w:tr>
      <w:tr w:rsidR="000A73FE" w14:paraId="61E8787F" w14:textId="77777777" w:rsidTr="000A73FE">
        <w:trPr>
          <w:jc w:val="center"/>
        </w:trPr>
        <w:tc>
          <w:tcPr>
            <w:tcW w:w="975" w:type="dxa"/>
          </w:tcPr>
          <w:p w14:paraId="318D2658" w14:textId="3BA1230B" w:rsidR="000A73FE" w:rsidRPr="005D6955" w:rsidRDefault="000A73FE" w:rsidP="000A73FE">
            <w:pPr>
              <w:pStyle w:val="TMGTableText"/>
              <w:ind w:left="0" w:right="144"/>
              <w:jc w:val="right"/>
              <w:rPr>
                <w:b/>
                <w:bCs/>
              </w:rPr>
            </w:pPr>
            <w:r w:rsidRPr="00251B8F">
              <w:rPr>
                <w:rFonts w:eastAsiaTheme="minorEastAsia"/>
                <w:b/>
                <w:bCs/>
              </w:rPr>
              <w:t>9</w:t>
            </w:r>
          </w:p>
        </w:tc>
        <w:tc>
          <w:tcPr>
            <w:tcW w:w="1090" w:type="dxa"/>
          </w:tcPr>
          <w:p w14:paraId="0F04CBF9" w14:textId="2FCA3AF5" w:rsidR="000A73FE" w:rsidRPr="004859C8" w:rsidRDefault="000A73FE" w:rsidP="000A73FE">
            <w:pPr>
              <w:pStyle w:val="TMGTableText"/>
              <w:jc w:val="center"/>
            </w:pPr>
            <w:r w:rsidRPr="00D96273">
              <w:rPr>
                <w:rFonts w:eastAsiaTheme="minorEastAsia"/>
              </w:rPr>
              <w:t>3</w:t>
            </w:r>
            <w:r>
              <w:rPr>
                <w:rFonts w:eastAsiaTheme="minorEastAsia"/>
              </w:rPr>
              <w:t>7</w:t>
            </w:r>
          </w:p>
        </w:tc>
        <w:tc>
          <w:tcPr>
            <w:tcW w:w="810" w:type="dxa"/>
          </w:tcPr>
          <w:p w14:paraId="4611C64E" w14:textId="7C449A4C" w:rsidR="000A73FE" w:rsidRPr="004859C8" w:rsidRDefault="000A73FE" w:rsidP="000A73FE">
            <w:pPr>
              <w:pStyle w:val="TMGTableText"/>
              <w:jc w:val="center"/>
            </w:pPr>
            <w:r w:rsidRPr="00D96273">
              <w:rPr>
                <w:rFonts w:eastAsiaTheme="minorEastAsia"/>
              </w:rPr>
              <w:t>1</w:t>
            </w:r>
          </w:p>
        </w:tc>
        <w:tc>
          <w:tcPr>
            <w:tcW w:w="4043" w:type="dxa"/>
          </w:tcPr>
          <w:p w14:paraId="32F176AD" w14:textId="6EE058E2" w:rsidR="000A73FE" w:rsidRPr="004859C8" w:rsidRDefault="000A73FE" w:rsidP="000A73FE">
            <w:pPr>
              <w:pStyle w:val="TMGTableText"/>
              <w:jc w:val="center"/>
            </w:pPr>
            <w:r w:rsidRPr="00D96273">
              <w:rPr>
                <w:rFonts w:eastAsiaTheme="minorEastAsia"/>
              </w:rPr>
              <w:t xml:space="preserve">Direction of </w:t>
            </w:r>
            <w:r>
              <w:rPr>
                <w:rFonts w:eastAsiaTheme="minorEastAsia"/>
              </w:rPr>
              <w:t>M</w:t>
            </w:r>
            <w:r w:rsidRPr="00D96273">
              <w:rPr>
                <w:rFonts w:eastAsiaTheme="minorEastAsia"/>
              </w:rPr>
              <w:t>ovement</w:t>
            </w:r>
            <w:r>
              <w:rPr>
                <w:rFonts w:eastAsiaTheme="minorEastAsia"/>
              </w:rPr>
              <w:t xml:space="preserve"> (DMOV)</w:t>
            </w:r>
          </w:p>
        </w:tc>
        <w:tc>
          <w:tcPr>
            <w:tcW w:w="1309" w:type="dxa"/>
          </w:tcPr>
          <w:p w14:paraId="7462AA9A" w14:textId="2FBEB8EF" w:rsidR="000A73FE" w:rsidRPr="004859C8" w:rsidRDefault="000A73FE" w:rsidP="000A73FE">
            <w:pPr>
              <w:pStyle w:val="TMGTableText"/>
              <w:jc w:val="center"/>
            </w:pPr>
            <w:r w:rsidRPr="00EA08F8">
              <w:rPr>
                <w:rFonts w:eastAsiaTheme="minorEastAsia"/>
              </w:rPr>
              <w:t>Integer</w:t>
            </w:r>
          </w:p>
        </w:tc>
        <w:tc>
          <w:tcPr>
            <w:tcW w:w="1133" w:type="dxa"/>
          </w:tcPr>
          <w:p w14:paraId="0837DB65" w14:textId="42C972C7" w:rsidR="000A73FE" w:rsidRPr="00C251E9" w:rsidRDefault="000A73FE" w:rsidP="000A73FE">
            <w:pPr>
              <w:pStyle w:val="TMGTableText"/>
              <w:jc w:val="center"/>
            </w:pPr>
            <w:r>
              <w:rPr>
                <w:rFonts w:eastAsiaTheme="minorEastAsia"/>
              </w:rPr>
              <w:t>Required</w:t>
            </w:r>
          </w:p>
        </w:tc>
      </w:tr>
      <w:tr w:rsidR="000A73FE" w14:paraId="3785108F" w14:textId="77777777" w:rsidTr="000A73FE">
        <w:trPr>
          <w:jc w:val="center"/>
        </w:trPr>
        <w:tc>
          <w:tcPr>
            <w:tcW w:w="975" w:type="dxa"/>
          </w:tcPr>
          <w:p w14:paraId="2E6392EE" w14:textId="454520D9" w:rsidR="000A73FE" w:rsidRPr="005D6955" w:rsidRDefault="000A73FE" w:rsidP="000A73FE">
            <w:pPr>
              <w:pStyle w:val="TMGTableText"/>
              <w:ind w:left="0" w:right="144"/>
              <w:jc w:val="right"/>
              <w:rPr>
                <w:b/>
                <w:bCs/>
              </w:rPr>
            </w:pPr>
            <w:r w:rsidRPr="00251B8F">
              <w:rPr>
                <w:rFonts w:eastAsiaTheme="minorEastAsia"/>
                <w:b/>
                <w:bCs/>
              </w:rPr>
              <w:t>10</w:t>
            </w:r>
          </w:p>
        </w:tc>
        <w:tc>
          <w:tcPr>
            <w:tcW w:w="1090" w:type="dxa"/>
          </w:tcPr>
          <w:p w14:paraId="3D08726D" w14:textId="0809F589" w:rsidR="000A73FE" w:rsidRPr="004859C8" w:rsidRDefault="000A73FE" w:rsidP="000A73FE">
            <w:pPr>
              <w:pStyle w:val="TMGTableText"/>
              <w:jc w:val="center"/>
            </w:pPr>
            <w:r w:rsidRPr="00D96273">
              <w:rPr>
                <w:rFonts w:eastAsiaTheme="minorEastAsia"/>
              </w:rPr>
              <w:t>3</w:t>
            </w:r>
            <w:r>
              <w:rPr>
                <w:rFonts w:eastAsiaTheme="minorEastAsia"/>
              </w:rPr>
              <w:t>8</w:t>
            </w:r>
          </w:p>
        </w:tc>
        <w:tc>
          <w:tcPr>
            <w:tcW w:w="810" w:type="dxa"/>
          </w:tcPr>
          <w:p w14:paraId="081AA1C2" w14:textId="011D2DF0" w:rsidR="000A73FE" w:rsidRPr="004859C8" w:rsidRDefault="000A73FE" w:rsidP="000A73FE">
            <w:pPr>
              <w:pStyle w:val="TMGTableText"/>
              <w:jc w:val="center"/>
            </w:pPr>
            <w:r w:rsidRPr="00D96273">
              <w:rPr>
                <w:rFonts w:eastAsiaTheme="minorEastAsia"/>
              </w:rPr>
              <w:t>1</w:t>
            </w:r>
          </w:p>
        </w:tc>
        <w:tc>
          <w:tcPr>
            <w:tcW w:w="4043" w:type="dxa"/>
          </w:tcPr>
          <w:p w14:paraId="00BC4102" w14:textId="57780742" w:rsidR="000A73FE" w:rsidRPr="004859C8" w:rsidRDefault="000A73FE" w:rsidP="000A73FE">
            <w:pPr>
              <w:pStyle w:val="TMGTableText"/>
              <w:jc w:val="center"/>
            </w:pPr>
            <w:r w:rsidRPr="00D96273">
              <w:rPr>
                <w:rFonts w:eastAsiaTheme="minorEastAsia"/>
              </w:rPr>
              <w:t>Facility type</w:t>
            </w:r>
            <w:r>
              <w:rPr>
                <w:rFonts w:eastAsiaTheme="minorEastAsia"/>
              </w:rPr>
              <w:t xml:space="preserve"> (FT)</w:t>
            </w:r>
          </w:p>
        </w:tc>
        <w:tc>
          <w:tcPr>
            <w:tcW w:w="1309" w:type="dxa"/>
          </w:tcPr>
          <w:p w14:paraId="51169FAD" w14:textId="32BB5C39" w:rsidR="000A73FE" w:rsidRPr="004859C8" w:rsidRDefault="000A73FE" w:rsidP="000A73FE">
            <w:pPr>
              <w:pStyle w:val="TMGTableText"/>
              <w:jc w:val="center"/>
            </w:pPr>
            <w:r w:rsidRPr="00EA08F8">
              <w:rPr>
                <w:rFonts w:eastAsiaTheme="minorEastAsia"/>
              </w:rPr>
              <w:t>Integer</w:t>
            </w:r>
          </w:p>
        </w:tc>
        <w:tc>
          <w:tcPr>
            <w:tcW w:w="1133" w:type="dxa"/>
          </w:tcPr>
          <w:p w14:paraId="6BF8814B" w14:textId="58CDD591" w:rsidR="000A73FE" w:rsidRPr="00C251E9" w:rsidRDefault="000A73FE" w:rsidP="000A73FE">
            <w:pPr>
              <w:pStyle w:val="TMGTableText"/>
              <w:jc w:val="center"/>
            </w:pPr>
            <w:r>
              <w:rPr>
                <w:rFonts w:eastAsiaTheme="minorEastAsia"/>
              </w:rPr>
              <w:t>Required</w:t>
            </w:r>
          </w:p>
        </w:tc>
      </w:tr>
      <w:tr w:rsidR="000A73FE" w14:paraId="66846C24" w14:textId="77777777" w:rsidTr="000A73FE">
        <w:trPr>
          <w:jc w:val="center"/>
        </w:trPr>
        <w:tc>
          <w:tcPr>
            <w:tcW w:w="975" w:type="dxa"/>
          </w:tcPr>
          <w:p w14:paraId="06D91099" w14:textId="75E665D3" w:rsidR="000A73FE" w:rsidRPr="005D6955" w:rsidRDefault="000A73FE" w:rsidP="000A73FE">
            <w:pPr>
              <w:pStyle w:val="TMGTableText"/>
              <w:ind w:left="0" w:right="144"/>
              <w:jc w:val="right"/>
              <w:rPr>
                <w:b/>
                <w:bCs/>
              </w:rPr>
            </w:pPr>
            <w:r w:rsidRPr="00251B8F">
              <w:rPr>
                <w:rFonts w:eastAsiaTheme="minorEastAsia"/>
                <w:b/>
                <w:bCs/>
              </w:rPr>
              <w:t>1</w:t>
            </w:r>
            <w:r>
              <w:rPr>
                <w:rFonts w:eastAsiaTheme="minorEastAsia"/>
                <w:b/>
                <w:bCs/>
              </w:rPr>
              <w:t>1</w:t>
            </w:r>
          </w:p>
        </w:tc>
        <w:tc>
          <w:tcPr>
            <w:tcW w:w="1090" w:type="dxa"/>
          </w:tcPr>
          <w:p w14:paraId="505E7E78" w14:textId="22DD346F" w:rsidR="000A73FE" w:rsidRPr="004859C8" w:rsidRDefault="000A73FE" w:rsidP="000A73FE">
            <w:pPr>
              <w:pStyle w:val="TMGTableText"/>
              <w:jc w:val="center"/>
            </w:pPr>
            <w:r w:rsidRPr="00D96273">
              <w:rPr>
                <w:rFonts w:eastAsiaTheme="minorEastAsia"/>
              </w:rPr>
              <w:t>3</w:t>
            </w:r>
            <w:r>
              <w:rPr>
                <w:rFonts w:eastAsiaTheme="minorEastAsia"/>
              </w:rPr>
              <w:t>9</w:t>
            </w:r>
          </w:p>
        </w:tc>
        <w:tc>
          <w:tcPr>
            <w:tcW w:w="810" w:type="dxa"/>
          </w:tcPr>
          <w:p w14:paraId="5426A6F9" w14:textId="1B315C92" w:rsidR="000A73FE" w:rsidRPr="004859C8" w:rsidRDefault="000A73FE" w:rsidP="000A73FE">
            <w:pPr>
              <w:pStyle w:val="TMGTableText"/>
              <w:jc w:val="center"/>
            </w:pPr>
            <w:r w:rsidRPr="00D96273">
              <w:rPr>
                <w:rFonts w:eastAsiaTheme="minorEastAsia"/>
              </w:rPr>
              <w:t>1</w:t>
            </w:r>
          </w:p>
        </w:tc>
        <w:tc>
          <w:tcPr>
            <w:tcW w:w="4043" w:type="dxa"/>
          </w:tcPr>
          <w:p w14:paraId="69E06F14" w14:textId="4FB90323" w:rsidR="000A73FE" w:rsidRPr="004859C8" w:rsidRDefault="000A73FE" w:rsidP="000A73FE">
            <w:pPr>
              <w:pStyle w:val="TMGTableText"/>
              <w:jc w:val="center"/>
            </w:pPr>
            <w:r w:rsidRPr="00D96273">
              <w:rPr>
                <w:rFonts w:eastAsiaTheme="minorEastAsia"/>
              </w:rPr>
              <w:t>Type of count (e.g., bike/pedestrian/both)</w:t>
            </w:r>
            <w:r>
              <w:rPr>
                <w:rFonts w:eastAsiaTheme="minorEastAsia"/>
              </w:rPr>
              <w:t xml:space="preserve"> (TOC)</w:t>
            </w:r>
          </w:p>
        </w:tc>
        <w:tc>
          <w:tcPr>
            <w:tcW w:w="1309" w:type="dxa"/>
          </w:tcPr>
          <w:p w14:paraId="62123D30" w14:textId="07BA351A" w:rsidR="000A73FE" w:rsidRPr="004859C8" w:rsidRDefault="000A73FE" w:rsidP="000A73FE">
            <w:pPr>
              <w:pStyle w:val="TMGTableText"/>
              <w:jc w:val="center"/>
            </w:pPr>
            <w:r w:rsidRPr="00EA08F8">
              <w:rPr>
                <w:rFonts w:eastAsiaTheme="minorEastAsia"/>
              </w:rPr>
              <w:t>Integer</w:t>
            </w:r>
          </w:p>
        </w:tc>
        <w:tc>
          <w:tcPr>
            <w:tcW w:w="1133" w:type="dxa"/>
          </w:tcPr>
          <w:p w14:paraId="70C23BFE" w14:textId="0D93E2B1" w:rsidR="000A73FE" w:rsidRPr="00C251E9" w:rsidRDefault="000A73FE" w:rsidP="000A73FE">
            <w:pPr>
              <w:pStyle w:val="TMGTableText"/>
              <w:jc w:val="center"/>
            </w:pPr>
            <w:r>
              <w:rPr>
                <w:rFonts w:eastAsiaTheme="minorEastAsia"/>
              </w:rPr>
              <w:t>Required</w:t>
            </w:r>
          </w:p>
        </w:tc>
      </w:tr>
      <w:tr w:rsidR="000A73FE" w14:paraId="7562120A" w14:textId="77777777" w:rsidTr="000A73FE">
        <w:trPr>
          <w:jc w:val="center"/>
        </w:trPr>
        <w:tc>
          <w:tcPr>
            <w:tcW w:w="975" w:type="dxa"/>
          </w:tcPr>
          <w:p w14:paraId="01359E70" w14:textId="7D6C5546" w:rsidR="000A73FE" w:rsidRPr="005D6955" w:rsidRDefault="000A73FE" w:rsidP="000A73FE">
            <w:pPr>
              <w:pStyle w:val="TMGTableText"/>
              <w:ind w:left="0" w:right="144"/>
              <w:jc w:val="right"/>
              <w:rPr>
                <w:b/>
                <w:bCs/>
              </w:rPr>
            </w:pPr>
            <w:r w:rsidRPr="00251B8F">
              <w:rPr>
                <w:rFonts w:eastAsiaTheme="minorEastAsia"/>
                <w:b/>
                <w:bCs/>
              </w:rPr>
              <w:t>1</w:t>
            </w:r>
            <w:r>
              <w:rPr>
                <w:rFonts w:eastAsiaTheme="minorEastAsia"/>
                <w:b/>
                <w:bCs/>
              </w:rPr>
              <w:t>2</w:t>
            </w:r>
          </w:p>
        </w:tc>
        <w:tc>
          <w:tcPr>
            <w:tcW w:w="1090" w:type="dxa"/>
          </w:tcPr>
          <w:p w14:paraId="010BDDBF" w14:textId="40104861" w:rsidR="000A73FE" w:rsidRPr="004859C8" w:rsidRDefault="000A73FE" w:rsidP="000A73FE">
            <w:pPr>
              <w:pStyle w:val="TMGTableText"/>
              <w:jc w:val="center"/>
            </w:pPr>
            <w:r>
              <w:rPr>
                <w:rFonts w:eastAsiaTheme="minorEastAsia"/>
              </w:rPr>
              <w:t>40</w:t>
            </w:r>
          </w:p>
        </w:tc>
        <w:tc>
          <w:tcPr>
            <w:tcW w:w="810" w:type="dxa"/>
          </w:tcPr>
          <w:p w14:paraId="3F469E90" w14:textId="4BB58515" w:rsidR="000A73FE" w:rsidRPr="004859C8" w:rsidRDefault="000A73FE" w:rsidP="000A73FE">
            <w:pPr>
              <w:pStyle w:val="TMGTableText"/>
              <w:jc w:val="center"/>
            </w:pPr>
            <w:r w:rsidRPr="00D96273">
              <w:rPr>
                <w:rFonts w:eastAsiaTheme="minorEastAsia"/>
              </w:rPr>
              <w:t>1</w:t>
            </w:r>
          </w:p>
        </w:tc>
        <w:tc>
          <w:tcPr>
            <w:tcW w:w="4043" w:type="dxa"/>
          </w:tcPr>
          <w:p w14:paraId="133DC5CE" w14:textId="0DBF5A49" w:rsidR="000A73FE" w:rsidRPr="004859C8" w:rsidRDefault="000A73FE" w:rsidP="000A73FE">
            <w:pPr>
              <w:pStyle w:val="TMGTableText"/>
              <w:jc w:val="center"/>
            </w:pPr>
            <w:r w:rsidRPr="00D96273">
              <w:rPr>
                <w:rFonts w:eastAsiaTheme="minorEastAsia"/>
              </w:rPr>
              <w:t>Helmet Use</w:t>
            </w:r>
            <w:r>
              <w:rPr>
                <w:rFonts w:eastAsiaTheme="minorEastAsia"/>
              </w:rPr>
              <w:t xml:space="preserve"> (HELM)</w:t>
            </w:r>
          </w:p>
        </w:tc>
        <w:tc>
          <w:tcPr>
            <w:tcW w:w="1309" w:type="dxa"/>
          </w:tcPr>
          <w:p w14:paraId="43DA1FA4" w14:textId="00F76C54" w:rsidR="000A73FE" w:rsidRPr="004859C8" w:rsidRDefault="000A73FE" w:rsidP="000A73FE">
            <w:pPr>
              <w:pStyle w:val="TMGTableText"/>
              <w:jc w:val="center"/>
            </w:pPr>
            <w:r>
              <w:rPr>
                <w:rFonts w:eastAsiaTheme="minorEastAsia"/>
              </w:rPr>
              <w:t>Alphanumeric</w:t>
            </w:r>
          </w:p>
        </w:tc>
        <w:tc>
          <w:tcPr>
            <w:tcW w:w="1133" w:type="dxa"/>
          </w:tcPr>
          <w:p w14:paraId="21FCAC13" w14:textId="2F0382C5" w:rsidR="000A73FE" w:rsidRPr="00C251E9" w:rsidRDefault="000A73FE" w:rsidP="000A73FE">
            <w:pPr>
              <w:pStyle w:val="TMGTableText"/>
              <w:jc w:val="center"/>
            </w:pPr>
            <w:r w:rsidRPr="00D96273">
              <w:rPr>
                <w:rFonts w:eastAsiaTheme="minorEastAsia"/>
              </w:rPr>
              <w:t>O</w:t>
            </w:r>
            <w:r>
              <w:rPr>
                <w:rFonts w:eastAsiaTheme="minorEastAsia"/>
              </w:rPr>
              <w:t>ptional</w:t>
            </w:r>
          </w:p>
        </w:tc>
      </w:tr>
      <w:tr w:rsidR="000A73FE" w14:paraId="105D3DD1" w14:textId="77777777" w:rsidTr="000A73FE">
        <w:trPr>
          <w:jc w:val="center"/>
        </w:trPr>
        <w:tc>
          <w:tcPr>
            <w:tcW w:w="975" w:type="dxa"/>
          </w:tcPr>
          <w:p w14:paraId="4E5B123A" w14:textId="34BC9882" w:rsidR="000A73FE" w:rsidRPr="005D6955" w:rsidRDefault="000A73FE" w:rsidP="000A73FE">
            <w:pPr>
              <w:pStyle w:val="TMGTableText"/>
              <w:ind w:left="0" w:right="144"/>
              <w:jc w:val="right"/>
              <w:rPr>
                <w:b/>
                <w:bCs/>
              </w:rPr>
            </w:pPr>
            <w:r w:rsidRPr="00251B8F">
              <w:rPr>
                <w:rFonts w:eastAsiaTheme="minorEastAsia"/>
                <w:b/>
                <w:bCs/>
              </w:rPr>
              <w:t>1</w:t>
            </w:r>
            <w:r>
              <w:rPr>
                <w:rFonts w:eastAsiaTheme="minorEastAsia"/>
                <w:b/>
                <w:bCs/>
              </w:rPr>
              <w:t>3</w:t>
            </w:r>
          </w:p>
        </w:tc>
        <w:tc>
          <w:tcPr>
            <w:tcW w:w="1090" w:type="dxa"/>
          </w:tcPr>
          <w:p w14:paraId="16D71A02" w14:textId="42338982" w:rsidR="000A73FE" w:rsidRPr="004859C8" w:rsidRDefault="000A73FE" w:rsidP="000A73FE">
            <w:pPr>
              <w:pStyle w:val="TMGTableText"/>
              <w:jc w:val="center"/>
            </w:pPr>
            <w:r>
              <w:rPr>
                <w:rFonts w:eastAsiaTheme="minorEastAsia"/>
              </w:rPr>
              <w:t>41</w:t>
            </w:r>
          </w:p>
        </w:tc>
        <w:tc>
          <w:tcPr>
            <w:tcW w:w="810" w:type="dxa"/>
          </w:tcPr>
          <w:p w14:paraId="550D7785" w14:textId="4E2F0CFD" w:rsidR="000A73FE" w:rsidRPr="004859C8" w:rsidRDefault="000A73FE" w:rsidP="000A73FE">
            <w:pPr>
              <w:pStyle w:val="TMGTableText"/>
              <w:jc w:val="center"/>
            </w:pPr>
            <w:r w:rsidRPr="00D96273">
              <w:rPr>
                <w:rFonts w:eastAsiaTheme="minorEastAsia"/>
              </w:rPr>
              <w:t>1</w:t>
            </w:r>
          </w:p>
        </w:tc>
        <w:tc>
          <w:tcPr>
            <w:tcW w:w="4043" w:type="dxa"/>
          </w:tcPr>
          <w:p w14:paraId="00AF1D62" w14:textId="7E123673" w:rsidR="000A73FE" w:rsidRPr="004859C8" w:rsidRDefault="000A73FE" w:rsidP="000A73FE">
            <w:pPr>
              <w:pStyle w:val="TMGTableText"/>
              <w:jc w:val="center"/>
            </w:pPr>
            <w:r w:rsidRPr="00D96273">
              <w:rPr>
                <w:rFonts w:eastAsiaTheme="minorEastAsia"/>
              </w:rPr>
              <w:t>Gender</w:t>
            </w:r>
            <w:r>
              <w:rPr>
                <w:rFonts w:eastAsiaTheme="minorEastAsia"/>
              </w:rPr>
              <w:t xml:space="preserve"> (GEN)</w:t>
            </w:r>
          </w:p>
        </w:tc>
        <w:tc>
          <w:tcPr>
            <w:tcW w:w="1309" w:type="dxa"/>
          </w:tcPr>
          <w:p w14:paraId="5906F9F0" w14:textId="1BBFD33D" w:rsidR="000A73FE" w:rsidRPr="004859C8" w:rsidRDefault="000A73FE" w:rsidP="000A73FE">
            <w:pPr>
              <w:pStyle w:val="TMGTableText"/>
              <w:jc w:val="center"/>
            </w:pPr>
            <w:r>
              <w:rPr>
                <w:rFonts w:eastAsiaTheme="minorEastAsia"/>
              </w:rPr>
              <w:t>Alphanumeric</w:t>
            </w:r>
          </w:p>
        </w:tc>
        <w:tc>
          <w:tcPr>
            <w:tcW w:w="1133" w:type="dxa"/>
          </w:tcPr>
          <w:p w14:paraId="7BAF5503" w14:textId="29178F92" w:rsidR="000A73FE" w:rsidRPr="00C251E9" w:rsidRDefault="000A73FE" w:rsidP="000A73FE">
            <w:pPr>
              <w:pStyle w:val="TMGTableText"/>
              <w:jc w:val="center"/>
            </w:pPr>
            <w:r w:rsidRPr="00D96273">
              <w:rPr>
                <w:rFonts w:eastAsiaTheme="minorEastAsia"/>
              </w:rPr>
              <w:t>O</w:t>
            </w:r>
            <w:r>
              <w:rPr>
                <w:rFonts w:eastAsiaTheme="minorEastAsia"/>
              </w:rPr>
              <w:t>ptional</w:t>
            </w:r>
          </w:p>
        </w:tc>
      </w:tr>
      <w:tr w:rsidR="000A73FE" w14:paraId="2BD437A7" w14:textId="77777777" w:rsidTr="000A73FE">
        <w:trPr>
          <w:jc w:val="center"/>
        </w:trPr>
        <w:tc>
          <w:tcPr>
            <w:tcW w:w="975" w:type="dxa"/>
          </w:tcPr>
          <w:p w14:paraId="641939CA" w14:textId="07EBA7AA" w:rsidR="000A73FE" w:rsidRPr="005D6955" w:rsidRDefault="000A73FE" w:rsidP="000A73FE">
            <w:pPr>
              <w:pStyle w:val="TMGTableText"/>
              <w:ind w:left="0" w:right="144"/>
              <w:jc w:val="right"/>
              <w:rPr>
                <w:b/>
                <w:bCs/>
              </w:rPr>
            </w:pPr>
            <w:r w:rsidRPr="00251B8F">
              <w:rPr>
                <w:rFonts w:eastAsiaTheme="minorEastAsia"/>
                <w:b/>
                <w:bCs/>
              </w:rPr>
              <w:t>1</w:t>
            </w:r>
            <w:r>
              <w:rPr>
                <w:rFonts w:eastAsiaTheme="minorEastAsia"/>
                <w:b/>
                <w:bCs/>
              </w:rPr>
              <w:t>4</w:t>
            </w:r>
          </w:p>
        </w:tc>
        <w:tc>
          <w:tcPr>
            <w:tcW w:w="1090" w:type="dxa"/>
          </w:tcPr>
          <w:p w14:paraId="36CAE36F" w14:textId="768BCD24" w:rsidR="000A73FE" w:rsidRPr="004859C8" w:rsidRDefault="000A73FE" w:rsidP="000A73FE">
            <w:pPr>
              <w:pStyle w:val="TMGTableText"/>
              <w:jc w:val="center"/>
            </w:pPr>
            <w:r>
              <w:rPr>
                <w:rFonts w:eastAsiaTheme="minorEastAsia"/>
              </w:rPr>
              <w:t>42</w:t>
            </w:r>
          </w:p>
        </w:tc>
        <w:tc>
          <w:tcPr>
            <w:tcW w:w="810" w:type="dxa"/>
          </w:tcPr>
          <w:p w14:paraId="2083E621" w14:textId="6C49DA9B" w:rsidR="000A73FE" w:rsidRPr="004859C8" w:rsidRDefault="000A73FE" w:rsidP="000A73FE">
            <w:pPr>
              <w:pStyle w:val="TMGTableText"/>
              <w:jc w:val="center"/>
            </w:pPr>
            <w:r w:rsidRPr="00D96273">
              <w:rPr>
                <w:rFonts w:eastAsiaTheme="minorEastAsia"/>
              </w:rPr>
              <w:t>1</w:t>
            </w:r>
          </w:p>
        </w:tc>
        <w:tc>
          <w:tcPr>
            <w:tcW w:w="4043" w:type="dxa"/>
          </w:tcPr>
          <w:p w14:paraId="7F203A6E" w14:textId="68546850" w:rsidR="000A73FE" w:rsidRPr="004859C8" w:rsidRDefault="000A73FE" w:rsidP="000A73FE">
            <w:pPr>
              <w:pStyle w:val="TMGTableText"/>
              <w:jc w:val="center"/>
            </w:pPr>
            <w:r w:rsidRPr="00D96273">
              <w:rPr>
                <w:rFonts w:eastAsiaTheme="minorEastAsia"/>
              </w:rPr>
              <w:t>Age</w:t>
            </w:r>
            <w:r>
              <w:rPr>
                <w:rFonts w:eastAsiaTheme="minorEastAsia"/>
              </w:rPr>
              <w:t xml:space="preserve"> (AGE)</w:t>
            </w:r>
          </w:p>
        </w:tc>
        <w:tc>
          <w:tcPr>
            <w:tcW w:w="1309" w:type="dxa"/>
          </w:tcPr>
          <w:p w14:paraId="126E81E1" w14:textId="0932B695" w:rsidR="000A73FE" w:rsidRPr="004859C8" w:rsidRDefault="000A73FE" w:rsidP="000A73FE">
            <w:pPr>
              <w:pStyle w:val="TMGTableText"/>
              <w:jc w:val="center"/>
            </w:pPr>
            <w:r w:rsidRPr="009F35D2">
              <w:rPr>
                <w:rFonts w:eastAsiaTheme="minorEastAsia"/>
              </w:rPr>
              <w:t>Alphanumeric</w:t>
            </w:r>
          </w:p>
        </w:tc>
        <w:tc>
          <w:tcPr>
            <w:tcW w:w="1133" w:type="dxa"/>
          </w:tcPr>
          <w:p w14:paraId="34794837" w14:textId="79932CB8" w:rsidR="000A73FE" w:rsidRPr="00C251E9" w:rsidRDefault="000A73FE" w:rsidP="000A73FE">
            <w:pPr>
              <w:pStyle w:val="TMGTableText"/>
              <w:jc w:val="center"/>
            </w:pPr>
            <w:r w:rsidRPr="00D96273">
              <w:rPr>
                <w:rFonts w:eastAsiaTheme="minorEastAsia"/>
              </w:rPr>
              <w:t>O</w:t>
            </w:r>
            <w:r>
              <w:rPr>
                <w:rFonts w:eastAsiaTheme="minorEastAsia"/>
              </w:rPr>
              <w:t>ptional</w:t>
            </w:r>
          </w:p>
        </w:tc>
      </w:tr>
      <w:tr w:rsidR="000A73FE" w14:paraId="075E9705" w14:textId="77777777" w:rsidTr="000A73FE">
        <w:trPr>
          <w:jc w:val="center"/>
        </w:trPr>
        <w:tc>
          <w:tcPr>
            <w:tcW w:w="975" w:type="dxa"/>
          </w:tcPr>
          <w:p w14:paraId="0767DB10" w14:textId="1E2790B2" w:rsidR="000A73FE" w:rsidRPr="005D6955" w:rsidRDefault="000A73FE" w:rsidP="000A73FE">
            <w:pPr>
              <w:pStyle w:val="TMGTableText"/>
              <w:ind w:left="0" w:right="144"/>
              <w:jc w:val="right"/>
              <w:rPr>
                <w:b/>
                <w:bCs/>
              </w:rPr>
            </w:pPr>
            <w:r w:rsidRPr="00251B8F">
              <w:rPr>
                <w:rFonts w:eastAsiaTheme="minorEastAsia"/>
                <w:b/>
                <w:bCs/>
              </w:rPr>
              <w:lastRenderedPageBreak/>
              <w:t>1</w:t>
            </w:r>
            <w:r>
              <w:rPr>
                <w:rFonts w:eastAsiaTheme="minorEastAsia"/>
                <w:b/>
                <w:bCs/>
              </w:rPr>
              <w:t>5</w:t>
            </w:r>
          </w:p>
        </w:tc>
        <w:tc>
          <w:tcPr>
            <w:tcW w:w="1090" w:type="dxa"/>
          </w:tcPr>
          <w:p w14:paraId="364B9CAD" w14:textId="6EE6CE42" w:rsidR="000A73FE" w:rsidRPr="004859C8" w:rsidRDefault="000A73FE" w:rsidP="000A73FE">
            <w:pPr>
              <w:pStyle w:val="TMGTableText"/>
              <w:jc w:val="center"/>
            </w:pPr>
            <w:r>
              <w:rPr>
                <w:rFonts w:eastAsiaTheme="minorEastAsia"/>
              </w:rPr>
              <w:t>43</w:t>
            </w:r>
          </w:p>
        </w:tc>
        <w:tc>
          <w:tcPr>
            <w:tcW w:w="810" w:type="dxa"/>
          </w:tcPr>
          <w:p w14:paraId="0DC6649B" w14:textId="2783B2C3" w:rsidR="000A73FE" w:rsidRPr="004859C8" w:rsidRDefault="000A73FE" w:rsidP="000A73FE">
            <w:pPr>
              <w:pStyle w:val="TMGTableText"/>
              <w:jc w:val="center"/>
            </w:pPr>
            <w:r w:rsidRPr="00D96273">
              <w:rPr>
                <w:rFonts w:eastAsiaTheme="minorEastAsia"/>
              </w:rPr>
              <w:t>1</w:t>
            </w:r>
          </w:p>
        </w:tc>
        <w:tc>
          <w:tcPr>
            <w:tcW w:w="4043" w:type="dxa"/>
          </w:tcPr>
          <w:p w14:paraId="0F0E33ED" w14:textId="026DB531" w:rsidR="000A73FE" w:rsidRPr="004859C8" w:rsidRDefault="000A73FE" w:rsidP="000A73FE">
            <w:pPr>
              <w:pStyle w:val="TMGTableText"/>
              <w:jc w:val="center"/>
            </w:pPr>
            <w:r w:rsidRPr="00D96273">
              <w:rPr>
                <w:rFonts w:eastAsiaTheme="minorEastAsia"/>
              </w:rPr>
              <w:t xml:space="preserve">Type of </w:t>
            </w:r>
            <w:r>
              <w:rPr>
                <w:rFonts w:eastAsiaTheme="minorEastAsia"/>
              </w:rPr>
              <w:t>S</w:t>
            </w:r>
            <w:r w:rsidRPr="00D96273">
              <w:rPr>
                <w:rFonts w:eastAsiaTheme="minorEastAsia"/>
              </w:rPr>
              <w:t>ensor</w:t>
            </w:r>
            <w:r>
              <w:rPr>
                <w:rFonts w:eastAsiaTheme="minorEastAsia"/>
              </w:rPr>
              <w:t xml:space="preserve"> (TS1)</w:t>
            </w:r>
          </w:p>
        </w:tc>
        <w:tc>
          <w:tcPr>
            <w:tcW w:w="1309" w:type="dxa"/>
          </w:tcPr>
          <w:p w14:paraId="2EEAC59E" w14:textId="45CCBDD1" w:rsidR="000A73FE" w:rsidRPr="004859C8" w:rsidRDefault="000A73FE" w:rsidP="000A73FE">
            <w:pPr>
              <w:pStyle w:val="TMGTableText"/>
              <w:jc w:val="center"/>
            </w:pPr>
            <w:r w:rsidRPr="009F35D2">
              <w:rPr>
                <w:rFonts w:eastAsiaTheme="minorEastAsia"/>
              </w:rPr>
              <w:t>Alphanumeric</w:t>
            </w:r>
          </w:p>
        </w:tc>
        <w:tc>
          <w:tcPr>
            <w:tcW w:w="1133" w:type="dxa"/>
          </w:tcPr>
          <w:p w14:paraId="7FAC12EA" w14:textId="5A9ACA6D" w:rsidR="000A73FE" w:rsidRPr="00C251E9" w:rsidRDefault="000A73FE" w:rsidP="000A73FE">
            <w:pPr>
              <w:pStyle w:val="TMGTableText"/>
              <w:jc w:val="center"/>
            </w:pPr>
            <w:r>
              <w:rPr>
                <w:rFonts w:eastAsiaTheme="minorEastAsia"/>
              </w:rPr>
              <w:t>Required</w:t>
            </w:r>
          </w:p>
        </w:tc>
      </w:tr>
      <w:tr w:rsidR="000A73FE" w14:paraId="773F7F4B" w14:textId="77777777" w:rsidTr="000A73FE">
        <w:trPr>
          <w:jc w:val="center"/>
        </w:trPr>
        <w:tc>
          <w:tcPr>
            <w:tcW w:w="975" w:type="dxa"/>
          </w:tcPr>
          <w:p w14:paraId="52D43F9B" w14:textId="37B70368" w:rsidR="000A73FE" w:rsidRPr="005D6955" w:rsidRDefault="000A73FE" w:rsidP="000A73FE">
            <w:pPr>
              <w:pStyle w:val="TMGTableText"/>
              <w:ind w:left="0" w:right="144"/>
              <w:jc w:val="right"/>
              <w:rPr>
                <w:b/>
                <w:bCs/>
              </w:rPr>
            </w:pPr>
            <w:r w:rsidRPr="00251B8F">
              <w:rPr>
                <w:rFonts w:eastAsiaTheme="minorEastAsia"/>
                <w:b/>
                <w:bCs/>
              </w:rPr>
              <w:t>1</w:t>
            </w:r>
            <w:r>
              <w:rPr>
                <w:rFonts w:eastAsiaTheme="minorEastAsia"/>
                <w:b/>
                <w:bCs/>
              </w:rPr>
              <w:t>6</w:t>
            </w:r>
          </w:p>
        </w:tc>
        <w:tc>
          <w:tcPr>
            <w:tcW w:w="1090" w:type="dxa"/>
          </w:tcPr>
          <w:p w14:paraId="3398FE44" w14:textId="030A8786" w:rsidR="000A73FE" w:rsidRPr="004859C8" w:rsidRDefault="000A73FE" w:rsidP="000A73FE">
            <w:pPr>
              <w:pStyle w:val="TMGTableText"/>
              <w:jc w:val="center"/>
            </w:pPr>
            <w:r>
              <w:rPr>
                <w:rFonts w:eastAsiaTheme="minorEastAsia"/>
              </w:rPr>
              <w:t>44</w:t>
            </w:r>
          </w:p>
        </w:tc>
        <w:tc>
          <w:tcPr>
            <w:tcW w:w="810" w:type="dxa"/>
          </w:tcPr>
          <w:p w14:paraId="0F5F5232" w14:textId="45FDD1E2" w:rsidR="000A73FE" w:rsidRPr="004859C8" w:rsidRDefault="000A73FE" w:rsidP="000A73FE">
            <w:pPr>
              <w:pStyle w:val="TMGTableText"/>
              <w:jc w:val="center"/>
            </w:pPr>
            <w:r w:rsidRPr="00D96273">
              <w:rPr>
                <w:rFonts w:eastAsiaTheme="minorEastAsia"/>
              </w:rPr>
              <w:t>1</w:t>
            </w:r>
          </w:p>
        </w:tc>
        <w:tc>
          <w:tcPr>
            <w:tcW w:w="4043" w:type="dxa"/>
          </w:tcPr>
          <w:p w14:paraId="56E0F352" w14:textId="35699968" w:rsidR="000A73FE" w:rsidRPr="004859C8" w:rsidRDefault="000A73FE" w:rsidP="000A73FE">
            <w:pPr>
              <w:pStyle w:val="TMGTableText"/>
              <w:jc w:val="center"/>
            </w:pPr>
            <w:r w:rsidRPr="00D96273">
              <w:rPr>
                <w:rFonts w:eastAsiaTheme="minorEastAsia"/>
              </w:rPr>
              <w:t>Precipitation (yes/no)</w:t>
            </w:r>
            <w:r>
              <w:rPr>
                <w:rFonts w:eastAsiaTheme="minorEastAsia"/>
              </w:rPr>
              <w:t xml:space="preserve"> (PREC)</w:t>
            </w:r>
          </w:p>
        </w:tc>
        <w:tc>
          <w:tcPr>
            <w:tcW w:w="1309" w:type="dxa"/>
          </w:tcPr>
          <w:p w14:paraId="0EE3829C" w14:textId="2F2EEE25" w:rsidR="000A73FE" w:rsidRPr="004859C8" w:rsidRDefault="000A73FE" w:rsidP="000A73FE">
            <w:pPr>
              <w:pStyle w:val="TMGTableText"/>
              <w:jc w:val="center"/>
            </w:pPr>
            <w:r w:rsidRPr="00EA08F8">
              <w:rPr>
                <w:rFonts w:eastAsiaTheme="minorEastAsia"/>
              </w:rPr>
              <w:t>Integer</w:t>
            </w:r>
          </w:p>
        </w:tc>
        <w:tc>
          <w:tcPr>
            <w:tcW w:w="1133" w:type="dxa"/>
          </w:tcPr>
          <w:p w14:paraId="49164AC7" w14:textId="3672C03B" w:rsidR="000A73FE" w:rsidRPr="00C251E9" w:rsidRDefault="000A73FE" w:rsidP="000A73FE">
            <w:pPr>
              <w:pStyle w:val="TMGTableText"/>
              <w:jc w:val="center"/>
            </w:pPr>
            <w:r w:rsidRPr="00D96273">
              <w:rPr>
                <w:rFonts w:eastAsiaTheme="minorEastAsia"/>
              </w:rPr>
              <w:t>O</w:t>
            </w:r>
            <w:r>
              <w:rPr>
                <w:rFonts w:eastAsiaTheme="minorEastAsia"/>
              </w:rPr>
              <w:t>ptional</w:t>
            </w:r>
          </w:p>
        </w:tc>
      </w:tr>
      <w:tr w:rsidR="000A73FE" w14:paraId="3758ED97" w14:textId="77777777" w:rsidTr="000A73FE">
        <w:trPr>
          <w:jc w:val="center"/>
        </w:trPr>
        <w:tc>
          <w:tcPr>
            <w:tcW w:w="975" w:type="dxa"/>
          </w:tcPr>
          <w:p w14:paraId="5A0359A1" w14:textId="6B457983" w:rsidR="000A73FE" w:rsidRPr="005D6955" w:rsidRDefault="000A73FE" w:rsidP="000A73FE">
            <w:pPr>
              <w:pStyle w:val="TMGTableText"/>
              <w:ind w:left="0" w:right="144"/>
              <w:jc w:val="right"/>
              <w:rPr>
                <w:b/>
                <w:bCs/>
              </w:rPr>
            </w:pPr>
            <w:r w:rsidRPr="00251B8F">
              <w:rPr>
                <w:rFonts w:eastAsiaTheme="minorEastAsia"/>
                <w:b/>
                <w:bCs/>
              </w:rPr>
              <w:t>1</w:t>
            </w:r>
            <w:r>
              <w:rPr>
                <w:rFonts w:eastAsiaTheme="minorEastAsia"/>
                <w:b/>
                <w:bCs/>
              </w:rPr>
              <w:t>7</w:t>
            </w:r>
          </w:p>
        </w:tc>
        <w:tc>
          <w:tcPr>
            <w:tcW w:w="1090" w:type="dxa"/>
          </w:tcPr>
          <w:p w14:paraId="4D925938" w14:textId="63538DE0" w:rsidR="000A73FE" w:rsidRPr="004859C8" w:rsidRDefault="000A73FE" w:rsidP="000A73FE">
            <w:pPr>
              <w:pStyle w:val="TMGTableText"/>
              <w:jc w:val="center"/>
            </w:pPr>
            <w:r w:rsidRPr="00D96273">
              <w:rPr>
                <w:rFonts w:eastAsiaTheme="minorEastAsia"/>
              </w:rPr>
              <w:t>4</w:t>
            </w:r>
            <w:r>
              <w:rPr>
                <w:rFonts w:eastAsiaTheme="minorEastAsia"/>
              </w:rPr>
              <w:t>5</w:t>
            </w:r>
            <w:r w:rsidRPr="00D96273">
              <w:rPr>
                <w:rFonts w:eastAsiaTheme="minorEastAsia"/>
              </w:rPr>
              <w:t>-4</w:t>
            </w:r>
            <w:r>
              <w:rPr>
                <w:rFonts w:eastAsiaTheme="minorEastAsia"/>
              </w:rPr>
              <w:t>7</w:t>
            </w:r>
          </w:p>
        </w:tc>
        <w:tc>
          <w:tcPr>
            <w:tcW w:w="810" w:type="dxa"/>
          </w:tcPr>
          <w:p w14:paraId="02758A1F" w14:textId="1776AACF" w:rsidR="000A73FE" w:rsidRPr="004859C8" w:rsidRDefault="000A73FE" w:rsidP="000A73FE">
            <w:pPr>
              <w:pStyle w:val="TMGTableText"/>
              <w:jc w:val="center"/>
            </w:pPr>
            <w:r w:rsidRPr="00D96273">
              <w:rPr>
                <w:rFonts w:eastAsiaTheme="minorEastAsia"/>
              </w:rPr>
              <w:t>3</w:t>
            </w:r>
          </w:p>
        </w:tc>
        <w:tc>
          <w:tcPr>
            <w:tcW w:w="4043" w:type="dxa"/>
          </w:tcPr>
          <w:p w14:paraId="72407364" w14:textId="3E839846" w:rsidR="000A73FE" w:rsidRPr="004859C8" w:rsidRDefault="000A73FE" w:rsidP="000A73FE">
            <w:pPr>
              <w:pStyle w:val="TMGTableText"/>
              <w:jc w:val="center"/>
            </w:pPr>
            <w:r w:rsidRPr="00D96273">
              <w:rPr>
                <w:rFonts w:eastAsiaTheme="minorEastAsia"/>
              </w:rPr>
              <w:t xml:space="preserve">High </w:t>
            </w:r>
            <w:r>
              <w:rPr>
                <w:rFonts w:eastAsiaTheme="minorEastAsia"/>
              </w:rPr>
              <w:t>T</w:t>
            </w:r>
            <w:r w:rsidRPr="00D96273">
              <w:rPr>
                <w:rFonts w:eastAsiaTheme="minorEastAsia"/>
              </w:rPr>
              <w:t>emperature</w:t>
            </w:r>
            <w:r>
              <w:rPr>
                <w:rFonts w:eastAsiaTheme="minorEastAsia"/>
              </w:rPr>
              <w:t xml:space="preserve"> (HIGHT)</w:t>
            </w:r>
          </w:p>
        </w:tc>
        <w:tc>
          <w:tcPr>
            <w:tcW w:w="1309" w:type="dxa"/>
          </w:tcPr>
          <w:p w14:paraId="2D97C302" w14:textId="59757D6F" w:rsidR="000A73FE" w:rsidRPr="004859C8" w:rsidRDefault="000A73FE" w:rsidP="000A73FE">
            <w:pPr>
              <w:pStyle w:val="TMGTableText"/>
              <w:jc w:val="center"/>
            </w:pPr>
            <w:r w:rsidRPr="00C2762D">
              <w:rPr>
                <w:rFonts w:eastAsiaTheme="minorEastAsia"/>
              </w:rPr>
              <w:t>Integer</w:t>
            </w:r>
          </w:p>
        </w:tc>
        <w:tc>
          <w:tcPr>
            <w:tcW w:w="1133" w:type="dxa"/>
          </w:tcPr>
          <w:p w14:paraId="32210210" w14:textId="0B59FA85" w:rsidR="000A73FE" w:rsidRPr="00C251E9" w:rsidRDefault="000A73FE" w:rsidP="000A73FE">
            <w:pPr>
              <w:pStyle w:val="TMGTableText"/>
              <w:jc w:val="center"/>
            </w:pPr>
            <w:r w:rsidRPr="00D96273">
              <w:rPr>
                <w:rFonts w:eastAsiaTheme="minorEastAsia"/>
              </w:rPr>
              <w:t>O</w:t>
            </w:r>
            <w:r>
              <w:rPr>
                <w:rFonts w:eastAsiaTheme="minorEastAsia"/>
              </w:rPr>
              <w:t>ptional</w:t>
            </w:r>
          </w:p>
        </w:tc>
      </w:tr>
      <w:tr w:rsidR="000A73FE" w14:paraId="13784445" w14:textId="77777777" w:rsidTr="000A73FE">
        <w:trPr>
          <w:jc w:val="center"/>
        </w:trPr>
        <w:tc>
          <w:tcPr>
            <w:tcW w:w="975" w:type="dxa"/>
          </w:tcPr>
          <w:p w14:paraId="699F8229" w14:textId="15EC8913" w:rsidR="000A73FE" w:rsidRPr="005D6955" w:rsidRDefault="000A73FE" w:rsidP="000A73FE">
            <w:pPr>
              <w:pStyle w:val="TMGTableText"/>
              <w:ind w:left="0" w:right="144"/>
              <w:jc w:val="right"/>
              <w:rPr>
                <w:b/>
                <w:bCs/>
              </w:rPr>
            </w:pPr>
            <w:r w:rsidRPr="00251B8F">
              <w:rPr>
                <w:rFonts w:eastAsiaTheme="minorEastAsia"/>
                <w:b/>
                <w:bCs/>
              </w:rPr>
              <w:t>1</w:t>
            </w:r>
            <w:r>
              <w:rPr>
                <w:rFonts w:eastAsiaTheme="minorEastAsia"/>
                <w:b/>
                <w:bCs/>
              </w:rPr>
              <w:t>8</w:t>
            </w:r>
          </w:p>
        </w:tc>
        <w:tc>
          <w:tcPr>
            <w:tcW w:w="1090" w:type="dxa"/>
          </w:tcPr>
          <w:p w14:paraId="2751439A" w14:textId="2E535FB1" w:rsidR="000A73FE" w:rsidRPr="004859C8" w:rsidRDefault="000A73FE" w:rsidP="000A73FE">
            <w:pPr>
              <w:pStyle w:val="TMGTableText"/>
              <w:jc w:val="center"/>
            </w:pPr>
            <w:r>
              <w:rPr>
                <w:rFonts w:eastAsiaTheme="minorEastAsia"/>
              </w:rPr>
              <w:t>48</w:t>
            </w:r>
            <w:r w:rsidRPr="00D96273">
              <w:rPr>
                <w:rFonts w:eastAsiaTheme="minorEastAsia"/>
              </w:rPr>
              <w:t>-</w:t>
            </w:r>
            <w:r>
              <w:rPr>
                <w:rFonts w:eastAsiaTheme="minorEastAsia"/>
              </w:rPr>
              <w:t>50</w:t>
            </w:r>
          </w:p>
        </w:tc>
        <w:tc>
          <w:tcPr>
            <w:tcW w:w="810" w:type="dxa"/>
          </w:tcPr>
          <w:p w14:paraId="739B2337" w14:textId="4F8ACF35" w:rsidR="000A73FE" w:rsidRPr="004859C8" w:rsidRDefault="000A73FE" w:rsidP="000A73FE">
            <w:pPr>
              <w:pStyle w:val="TMGTableText"/>
              <w:jc w:val="center"/>
            </w:pPr>
            <w:r w:rsidRPr="00D96273">
              <w:rPr>
                <w:rFonts w:eastAsiaTheme="minorEastAsia"/>
              </w:rPr>
              <w:t>3</w:t>
            </w:r>
          </w:p>
        </w:tc>
        <w:tc>
          <w:tcPr>
            <w:tcW w:w="4043" w:type="dxa"/>
          </w:tcPr>
          <w:p w14:paraId="21A2DEA2" w14:textId="1B3C1027" w:rsidR="000A73FE" w:rsidRPr="004859C8" w:rsidRDefault="000A73FE" w:rsidP="000A73FE">
            <w:pPr>
              <w:pStyle w:val="TMGTableText"/>
              <w:jc w:val="center"/>
            </w:pPr>
            <w:r w:rsidRPr="00D96273">
              <w:rPr>
                <w:rFonts w:eastAsiaTheme="minorEastAsia"/>
              </w:rPr>
              <w:t xml:space="preserve">Low </w:t>
            </w:r>
            <w:r>
              <w:rPr>
                <w:rFonts w:eastAsiaTheme="minorEastAsia"/>
              </w:rPr>
              <w:t>T</w:t>
            </w:r>
            <w:r w:rsidRPr="00D96273">
              <w:rPr>
                <w:rFonts w:eastAsiaTheme="minorEastAsia"/>
              </w:rPr>
              <w:t>emperature</w:t>
            </w:r>
            <w:r>
              <w:rPr>
                <w:rFonts w:eastAsiaTheme="minorEastAsia"/>
              </w:rPr>
              <w:t xml:space="preserve"> (LOWT)</w:t>
            </w:r>
          </w:p>
        </w:tc>
        <w:tc>
          <w:tcPr>
            <w:tcW w:w="1309" w:type="dxa"/>
          </w:tcPr>
          <w:p w14:paraId="0043A4D4" w14:textId="6A447139" w:rsidR="000A73FE" w:rsidRPr="004859C8" w:rsidRDefault="000A73FE" w:rsidP="000A73FE">
            <w:pPr>
              <w:pStyle w:val="TMGTableText"/>
              <w:jc w:val="center"/>
            </w:pPr>
            <w:r w:rsidRPr="00C2762D">
              <w:rPr>
                <w:rFonts w:eastAsiaTheme="minorEastAsia"/>
              </w:rPr>
              <w:t>Integer</w:t>
            </w:r>
          </w:p>
        </w:tc>
        <w:tc>
          <w:tcPr>
            <w:tcW w:w="1133" w:type="dxa"/>
          </w:tcPr>
          <w:p w14:paraId="3E17006E" w14:textId="5EB8755E" w:rsidR="000A73FE" w:rsidRPr="00C251E9" w:rsidRDefault="000A73FE" w:rsidP="000A73FE">
            <w:pPr>
              <w:pStyle w:val="TMGTableText"/>
              <w:jc w:val="center"/>
            </w:pPr>
            <w:r w:rsidRPr="00D96273">
              <w:rPr>
                <w:rFonts w:eastAsiaTheme="minorEastAsia"/>
              </w:rPr>
              <w:t>O</w:t>
            </w:r>
            <w:r>
              <w:rPr>
                <w:rFonts w:eastAsiaTheme="minorEastAsia"/>
              </w:rPr>
              <w:t>ptional</w:t>
            </w:r>
          </w:p>
        </w:tc>
      </w:tr>
      <w:tr w:rsidR="000A73FE" w14:paraId="040587F3" w14:textId="77777777" w:rsidTr="000A73FE">
        <w:trPr>
          <w:jc w:val="center"/>
        </w:trPr>
        <w:tc>
          <w:tcPr>
            <w:tcW w:w="975" w:type="dxa"/>
          </w:tcPr>
          <w:p w14:paraId="07DFD7CC" w14:textId="657B72EF" w:rsidR="000A73FE" w:rsidRPr="005D6955" w:rsidRDefault="000A73FE" w:rsidP="000A73FE">
            <w:pPr>
              <w:pStyle w:val="TMGTableText"/>
              <w:ind w:left="0" w:right="144"/>
              <w:jc w:val="right"/>
              <w:rPr>
                <w:b/>
                <w:bCs/>
              </w:rPr>
            </w:pPr>
            <w:r>
              <w:rPr>
                <w:rFonts w:eastAsiaTheme="minorEastAsia"/>
                <w:b/>
                <w:bCs/>
              </w:rPr>
              <w:t>19</w:t>
            </w:r>
          </w:p>
        </w:tc>
        <w:tc>
          <w:tcPr>
            <w:tcW w:w="1090" w:type="dxa"/>
          </w:tcPr>
          <w:p w14:paraId="31666096" w14:textId="4BF52838" w:rsidR="000A73FE" w:rsidRPr="004859C8" w:rsidRDefault="000A73FE" w:rsidP="000A73FE">
            <w:pPr>
              <w:pStyle w:val="TMGTableText"/>
              <w:jc w:val="center"/>
            </w:pPr>
            <w:r>
              <w:rPr>
                <w:rFonts w:eastAsiaTheme="minorEastAsia"/>
              </w:rPr>
              <w:t>51</w:t>
            </w:r>
            <w:r w:rsidRPr="00D96273">
              <w:rPr>
                <w:rFonts w:eastAsiaTheme="minorEastAsia"/>
              </w:rPr>
              <w:t>-</w:t>
            </w:r>
            <w:r>
              <w:rPr>
                <w:rFonts w:eastAsiaTheme="minorEastAsia"/>
              </w:rPr>
              <w:t>54</w:t>
            </w:r>
          </w:p>
        </w:tc>
        <w:tc>
          <w:tcPr>
            <w:tcW w:w="810" w:type="dxa"/>
          </w:tcPr>
          <w:p w14:paraId="3F942C2A" w14:textId="1714CDAE" w:rsidR="000A73FE" w:rsidRPr="004859C8" w:rsidRDefault="000A73FE" w:rsidP="000A73FE">
            <w:pPr>
              <w:pStyle w:val="TMGTableText"/>
              <w:jc w:val="center"/>
            </w:pPr>
            <w:r w:rsidRPr="00D96273">
              <w:rPr>
                <w:rFonts w:eastAsiaTheme="minorEastAsia"/>
              </w:rPr>
              <w:t>4</w:t>
            </w:r>
          </w:p>
        </w:tc>
        <w:tc>
          <w:tcPr>
            <w:tcW w:w="4043" w:type="dxa"/>
          </w:tcPr>
          <w:p w14:paraId="326F20A6" w14:textId="14233DD1" w:rsidR="000A73FE" w:rsidRPr="004859C8" w:rsidRDefault="000A73FE" w:rsidP="000A73FE">
            <w:pPr>
              <w:pStyle w:val="TMGTableText"/>
              <w:jc w:val="center"/>
            </w:pPr>
            <w:r w:rsidRPr="00D96273">
              <w:rPr>
                <w:rFonts w:eastAsiaTheme="minorEastAsia"/>
              </w:rPr>
              <w:t xml:space="preserve">Year of </w:t>
            </w:r>
            <w:r>
              <w:rPr>
                <w:rFonts w:eastAsiaTheme="minorEastAsia"/>
              </w:rPr>
              <w:t>C</w:t>
            </w:r>
            <w:r w:rsidRPr="00D96273">
              <w:rPr>
                <w:rFonts w:eastAsiaTheme="minorEastAsia"/>
              </w:rPr>
              <w:t>ount</w:t>
            </w:r>
            <w:r>
              <w:rPr>
                <w:rFonts w:eastAsiaTheme="minorEastAsia"/>
              </w:rPr>
              <w:t xml:space="preserve"> (YR)</w:t>
            </w:r>
          </w:p>
        </w:tc>
        <w:tc>
          <w:tcPr>
            <w:tcW w:w="1309" w:type="dxa"/>
          </w:tcPr>
          <w:p w14:paraId="6C444E87" w14:textId="270737D8" w:rsidR="000A73FE" w:rsidRPr="004859C8" w:rsidRDefault="000A73FE" w:rsidP="000A73FE">
            <w:pPr>
              <w:pStyle w:val="TMGTableText"/>
              <w:jc w:val="center"/>
            </w:pPr>
            <w:r w:rsidRPr="00C2762D">
              <w:rPr>
                <w:rFonts w:eastAsiaTheme="minorEastAsia"/>
              </w:rPr>
              <w:t>Integer</w:t>
            </w:r>
          </w:p>
        </w:tc>
        <w:tc>
          <w:tcPr>
            <w:tcW w:w="1133" w:type="dxa"/>
          </w:tcPr>
          <w:p w14:paraId="13858329" w14:textId="5AF626CB" w:rsidR="000A73FE" w:rsidRPr="00C251E9" w:rsidRDefault="000A73FE" w:rsidP="000A73FE">
            <w:pPr>
              <w:pStyle w:val="TMGTableText"/>
              <w:jc w:val="center"/>
            </w:pPr>
            <w:r>
              <w:rPr>
                <w:rFonts w:eastAsiaTheme="minorEastAsia"/>
              </w:rPr>
              <w:t>Required</w:t>
            </w:r>
          </w:p>
        </w:tc>
      </w:tr>
      <w:tr w:rsidR="000A73FE" w14:paraId="6E562FF9" w14:textId="77777777" w:rsidTr="000A73FE">
        <w:trPr>
          <w:jc w:val="center"/>
        </w:trPr>
        <w:tc>
          <w:tcPr>
            <w:tcW w:w="975" w:type="dxa"/>
          </w:tcPr>
          <w:p w14:paraId="633D36C3" w14:textId="303B24F8" w:rsidR="000A73FE" w:rsidRPr="005D6955" w:rsidRDefault="000A73FE" w:rsidP="000A73FE">
            <w:pPr>
              <w:pStyle w:val="TMGTableText"/>
              <w:ind w:left="0" w:right="144"/>
              <w:jc w:val="right"/>
              <w:rPr>
                <w:b/>
                <w:bCs/>
              </w:rPr>
            </w:pPr>
            <w:r w:rsidRPr="00251B8F">
              <w:rPr>
                <w:rFonts w:eastAsiaTheme="minorEastAsia"/>
                <w:b/>
                <w:bCs/>
              </w:rPr>
              <w:t>2</w:t>
            </w:r>
            <w:r>
              <w:rPr>
                <w:rFonts w:eastAsiaTheme="minorEastAsia"/>
                <w:b/>
                <w:bCs/>
              </w:rPr>
              <w:t>0</w:t>
            </w:r>
          </w:p>
        </w:tc>
        <w:tc>
          <w:tcPr>
            <w:tcW w:w="1090" w:type="dxa"/>
          </w:tcPr>
          <w:p w14:paraId="3E6ACD9A" w14:textId="68061529" w:rsidR="000A73FE" w:rsidRPr="004859C8" w:rsidRDefault="000A73FE" w:rsidP="000A73FE">
            <w:pPr>
              <w:pStyle w:val="TMGTableText"/>
              <w:jc w:val="center"/>
            </w:pPr>
            <w:r w:rsidRPr="00D96273">
              <w:rPr>
                <w:rFonts w:eastAsiaTheme="minorEastAsia"/>
              </w:rPr>
              <w:t>5</w:t>
            </w:r>
            <w:r>
              <w:rPr>
                <w:rFonts w:eastAsiaTheme="minorEastAsia"/>
              </w:rPr>
              <w:t>5</w:t>
            </w:r>
            <w:r w:rsidRPr="00D96273">
              <w:rPr>
                <w:rFonts w:eastAsiaTheme="minorEastAsia"/>
              </w:rPr>
              <w:t>-5</w:t>
            </w:r>
            <w:r>
              <w:rPr>
                <w:rFonts w:eastAsiaTheme="minorEastAsia"/>
              </w:rPr>
              <w:t>6</w:t>
            </w:r>
          </w:p>
        </w:tc>
        <w:tc>
          <w:tcPr>
            <w:tcW w:w="810" w:type="dxa"/>
          </w:tcPr>
          <w:p w14:paraId="225E62F7" w14:textId="4C66A248" w:rsidR="000A73FE" w:rsidRPr="004859C8" w:rsidRDefault="000A73FE" w:rsidP="000A73FE">
            <w:pPr>
              <w:pStyle w:val="TMGTableText"/>
              <w:jc w:val="center"/>
            </w:pPr>
            <w:r w:rsidRPr="00D96273">
              <w:rPr>
                <w:rFonts w:eastAsiaTheme="minorEastAsia"/>
              </w:rPr>
              <w:t>2</w:t>
            </w:r>
          </w:p>
        </w:tc>
        <w:tc>
          <w:tcPr>
            <w:tcW w:w="4043" w:type="dxa"/>
          </w:tcPr>
          <w:p w14:paraId="1A07654A" w14:textId="186C7C93" w:rsidR="000A73FE" w:rsidRPr="004859C8" w:rsidRDefault="000A73FE" w:rsidP="000A73FE">
            <w:pPr>
              <w:pStyle w:val="TMGTableText"/>
              <w:jc w:val="center"/>
            </w:pPr>
            <w:r w:rsidRPr="00D96273">
              <w:rPr>
                <w:rFonts w:eastAsiaTheme="minorEastAsia"/>
              </w:rPr>
              <w:t xml:space="preserve">Month of Year of </w:t>
            </w:r>
            <w:r>
              <w:rPr>
                <w:rFonts w:eastAsiaTheme="minorEastAsia"/>
              </w:rPr>
              <w:t>C</w:t>
            </w:r>
            <w:r w:rsidRPr="00D96273">
              <w:rPr>
                <w:rFonts w:eastAsiaTheme="minorEastAsia"/>
              </w:rPr>
              <w:t>ount</w:t>
            </w:r>
            <w:r>
              <w:rPr>
                <w:rFonts w:eastAsiaTheme="minorEastAsia"/>
              </w:rPr>
              <w:t xml:space="preserve"> (MOY)</w:t>
            </w:r>
          </w:p>
        </w:tc>
        <w:tc>
          <w:tcPr>
            <w:tcW w:w="1309" w:type="dxa"/>
          </w:tcPr>
          <w:p w14:paraId="28C58D45" w14:textId="14F3D3C5" w:rsidR="000A73FE" w:rsidRPr="004859C8" w:rsidRDefault="000A73FE" w:rsidP="000A73FE">
            <w:pPr>
              <w:pStyle w:val="TMGTableText"/>
              <w:jc w:val="center"/>
            </w:pPr>
            <w:r w:rsidRPr="00C2762D">
              <w:rPr>
                <w:rFonts w:eastAsiaTheme="minorEastAsia"/>
              </w:rPr>
              <w:t>Integer</w:t>
            </w:r>
          </w:p>
        </w:tc>
        <w:tc>
          <w:tcPr>
            <w:tcW w:w="1133" w:type="dxa"/>
          </w:tcPr>
          <w:p w14:paraId="3DC94B2F" w14:textId="690FE12A" w:rsidR="000A73FE" w:rsidRPr="00C251E9" w:rsidRDefault="000A73FE" w:rsidP="000A73FE">
            <w:pPr>
              <w:pStyle w:val="TMGTableText"/>
              <w:jc w:val="center"/>
            </w:pPr>
            <w:r>
              <w:rPr>
                <w:rFonts w:eastAsiaTheme="minorEastAsia"/>
              </w:rPr>
              <w:t>Required</w:t>
            </w:r>
          </w:p>
        </w:tc>
      </w:tr>
      <w:tr w:rsidR="000A73FE" w14:paraId="4B860447" w14:textId="77777777" w:rsidTr="000A73FE">
        <w:trPr>
          <w:jc w:val="center"/>
        </w:trPr>
        <w:tc>
          <w:tcPr>
            <w:tcW w:w="975" w:type="dxa"/>
          </w:tcPr>
          <w:p w14:paraId="7B7B64DB" w14:textId="195FD093" w:rsidR="000A73FE" w:rsidRPr="005D6955" w:rsidRDefault="000A73FE" w:rsidP="000A73FE">
            <w:pPr>
              <w:pStyle w:val="TMGTableText"/>
              <w:ind w:left="0" w:right="144"/>
              <w:jc w:val="right"/>
              <w:rPr>
                <w:b/>
                <w:bCs/>
              </w:rPr>
            </w:pPr>
            <w:r w:rsidRPr="00251B8F">
              <w:rPr>
                <w:rFonts w:eastAsiaTheme="minorEastAsia"/>
                <w:b/>
                <w:bCs/>
              </w:rPr>
              <w:t>2</w:t>
            </w:r>
            <w:r>
              <w:rPr>
                <w:rFonts w:eastAsiaTheme="minorEastAsia"/>
                <w:b/>
                <w:bCs/>
              </w:rPr>
              <w:t>1</w:t>
            </w:r>
          </w:p>
        </w:tc>
        <w:tc>
          <w:tcPr>
            <w:tcW w:w="1090" w:type="dxa"/>
          </w:tcPr>
          <w:p w14:paraId="47D91A12" w14:textId="0BD1640F" w:rsidR="000A73FE" w:rsidRPr="004859C8" w:rsidRDefault="000A73FE" w:rsidP="000A73FE">
            <w:pPr>
              <w:pStyle w:val="TMGTableText"/>
              <w:jc w:val="center"/>
            </w:pPr>
            <w:r w:rsidRPr="00D96273">
              <w:rPr>
                <w:rFonts w:eastAsiaTheme="minorEastAsia"/>
              </w:rPr>
              <w:t>5</w:t>
            </w:r>
            <w:r>
              <w:rPr>
                <w:rFonts w:eastAsiaTheme="minorEastAsia"/>
              </w:rPr>
              <w:t>7</w:t>
            </w:r>
            <w:r w:rsidRPr="00D96273">
              <w:rPr>
                <w:rFonts w:eastAsiaTheme="minorEastAsia"/>
              </w:rPr>
              <w:t>-5</w:t>
            </w:r>
            <w:r>
              <w:rPr>
                <w:rFonts w:eastAsiaTheme="minorEastAsia"/>
              </w:rPr>
              <w:t>8</w:t>
            </w:r>
          </w:p>
        </w:tc>
        <w:tc>
          <w:tcPr>
            <w:tcW w:w="810" w:type="dxa"/>
          </w:tcPr>
          <w:p w14:paraId="6ECA0FC2" w14:textId="7AF83FF4" w:rsidR="000A73FE" w:rsidRPr="004859C8" w:rsidRDefault="000A73FE" w:rsidP="000A73FE">
            <w:pPr>
              <w:pStyle w:val="TMGTableText"/>
              <w:jc w:val="center"/>
            </w:pPr>
            <w:r w:rsidRPr="00D96273">
              <w:rPr>
                <w:rFonts w:eastAsiaTheme="minorEastAsia"/>
              </w:rPr>
              <w:t>2</w:t>
            </w:r>
          </w:p>
        </w:tc>
        <w:tc>
          <w:tcPr>
            <w:tcW w:w="4043" w:type="dxa"/>
          </w:tcPr>
          <w:p w14:paraId="58CB82E8" w14:textId="20BA6FCD" w:rsidR="000A73FE" w:rsidRPr="004859C8" w:rsidRDefault="000A73FE" w:rsidP="000A73FE">
            <w:pPr>
              <w:pStyle w:val="TMGTableText"/>
              <w:jc w:val="center"/>
            </w:pPr>
            <w:r w:rsidRPr="00D96273">
              <w:rPr>
                <w:rFonts w:eastAsiaTheme="minorEastAsia"/>
              </w:rPr>
              <w:t xml:space="preserve">Day of Month of </w:t>
            </w:r>
            <w:r>
              <w:rPr>
                <w:rFonts w:eastAsiaTheme="minorEastAsia"/>
              </w:rPr>
              <w:t>C</w:t>
            </w:r>
            <w:r w:rsidRPr="00D96273">
              <w:rPr>
                <w:rFonts w:eastAsiaTheme="minorEastAsia"/>
              </w:rPr>
              <w:t>ount</w:t>
            </w:r>
            <w:r>
              <w:rPr>
                <w:rFonts w:eastAsiaTheme="minorEastAsia"/>
              </w:rPr>
              <w:t xml:space="preserve"> (DOM)</w:t>
            </w:r>
          </w:p>
        </w:tc>
        <w:tc>
          <w:tcPr>
            <w:tcW w:w="1309" w:type="dxa"/>
          </w:tcPr>
          <w:p w14:paraId="1269DAD2" w14:textId="2B5FBE33" w:rsidR="000A73FE" w:rsidRPr="004859C8" w:rsidRDefault="000A73FE" w:rsidP="000A73FE">
            <w:pPr>
              <w:pStyle w:val="TMGTableText"/>
              <w:jc w:val="center"/>
            </w:pPr>
            <w:r w:rsidRPr="00C2762D">
              <w:rPr>
                <w:rFonts w:eastAsiaTheme="minorEastAsia"/>
              </w:rPr>
              <w:t>Integer</w:t>
            </w:r>
          </w:p>
        </w:tc>
        <w:tc>
          <w:tcPr>
            <w:tcW w:w="1133" w:type="dxa"/>
          </w:tcPr>
          <w:p w14:paraId="01FC6A48" w14:textId="1310833F" w:rsidR="000A73FE" w:rsidRPr="00C251E9" w:rsidRDefault="000A73FE" w:rsidP="000A73FE">
            <w:pPr>
              <w:pStyle w:val="TMGTableText"/>
              <w:jc w:val="center"/>
            </w:pPr>
            <w:r>
              <w:rPr>
                <w:rFonts w:eastAsiaTheme="minorEastAsia"/>
              </w:rPr>
              <w:t>Required</w:t>
            </w:r>
          </w:p>
        </w:tc>
      </w:tr>
      <w:tr w:rsidR="000A73FE" w14:paraId="3680FB7C" w14:textId="77777777" w:rsidTr="000A73FE">
        <w:trPr>
          <w:jc w:val="center"/>
        </w:trPr>
        <w:tc>
          <w:tcPr>
            <w:tcW w:w="975" w:type="dxa"/>
          </w:tcPr>
          <w:p w14:paraId="6F5EF381" w14:textId="7B87BDC2" w:rsidR="000A73FE" w:rsidRPr="005D6955" w:rsidRDefault="000A73FE" w:rsidP="000A73FE">
            <w:pPr>
              <w:pStyle w:val="TMGTableText"/>
              <w:ind w:left="0" w:right="144"/>
              <w:jc w:val="right"/>
              <w:rPr>
                <w:b/>
                <w:bCs/>
              </w:rPr>
            </w:pPr>
            <w:r w:rsidRPr="00251B8F">
              <w:rPr>
                <w:rFonts w:eastAsiaTheme="minorEastAsia"/>
                <w:b/>
                <w:bCs/>
              </w:rPr>
              <w:t>2</w:t>
            </w:r>
            <w:r>
              <w:rPr>
                <w:rFonts w:eastAsiaTheme="minorEastAsia"/>
                <w:b/>
                <w:bCs/>
              </w:rPr>
              <w:t>2</w:t>
            </w:r>
          </w:p>
        </w:tc>
        <w:tc>
          <w:tcPr>
            <w:tcW w:w="1090" w:type="dxa"/>
          </w:tcPr>
          <w:p w14:paraId="28B0994C" w14:textId="2187AC52" w:rsidR="000A73FE" w:rsidRPr="004859C8" w:rsidRDefault="000A73FE" w:rsidP="000A73FE">
            <w:pPr>
              <w:pStyle w:val="TMGTableText"/>
              <w:jc w:val="center"/>
            </w:pPr>
            <w:r w:rsidRPr="00D96273">
              <w:rPr>
                <w:rFonts w:eastAsiaTheme="minorEastAsia"/>
              </w:rPr>
              <w:t>5</w:t>
            </w:r>
            <w:r>
              <w:rPr>
                <w:rFonts w:eastAsiaTheme="minorEastAsia"/>
              </w:rPr>
              <w:t>9</w:t>
            </w:r>
            <w:r w:rsidRPr="00D96273">
              <w:rPr>
                <w:rFonts w:eastAsiaTheme="minorEastAsia"/>
              </w:rPr>
              <w:t>-</w:t>
            </w:r>
            <w:r>
              <w:rPr>
                <w:rFonts w:eastAsiaTheme="minorEastAsia"/>
              </w:rPr>
              <w:t>62</w:t>
            </w:r>
          </w:p>
        </w:tc>
        <w:tc>
          <w:tcPr>
            <w:tcW w:w="810" w:type="dxa"/>
          </w:tcPr>
          <w:p w14:paraId="19F5AEC9" w14:textId="6CEA8E8B" w:rsidR="000A73FE" w:rsidRPr="004859C8" w:rsidRDefault="000A73FE" w:rsidP="000A73FE">
            <w:pPr>
              <w:pStyle w:val="TMGTableText"/>
              <w:jc w:val="center"/>
            </w:pPr>
            <w:r w:rsidRPr="00D96273">
              <w:rPr>
                <w:rFonts w:eastAsiaTheme="minorEastAsia"/>
              </w:rPr>
              <w:t>4</w:t>
            </w:r>
          </w:p>
        </w:tc>
        <w:tc>
          <w:tcPr>
            <w:tcW w:w="4043" w:type="dxa"/>
          </w:tcPr>
          <w:p w14:paraId="013F1503" w14:textId="7D6B52A5" w:rsidR="000A73FE" w:rsidRPr="004859C8" w:rsidRDefault="000A73FE" w:rsidP="000A73FE">
            <w:pPr>
              <w:pStyle w:val="TMGTableText"/>
              <w:jc w:val="center"/>
            </w:pPr>
            <w:r w:rsidRPr="00D96273">
              <w:rPr>
                <w:rFonts w:eastAsiaTheme="minorEastAsia"/>
              </w:rPr>
              <w:t>Count start time for this record</w:t>
            </w:r>
            <w:r>
              <w:rPr>
                <w:rFonts w:eastAsiaTheme="minorEastAsia"/>
              </w:rPr>
              <w:t xml:space="preserve"> (CST)</w:t>
            </w:r>
          </w:p>
        </w:tc>
        <w:tc>
          <w:tcPr>
            <w:tcW w:w="1309" w:type="dxa"/>
          </w:tcPr>
          <w:p w14:paraId="6C15CC35" w14:textId="194E705E" w:rsidR="000A73FE" w:rsidRPr="004859C8" w:rsidRDefault="000A73FE" w:rsidP="000A73FE">
            <w:pPr>
              <w:pStyle w:val="TMGTableText"/>
              <w:jc w:val="center"/>
            </w:pPr>
            <w:r w:rsidRPr="00C2762D">
              <w:rPr>
                <w:rFonts w:eastAsiaTheme="minorEastAsia"/>
              </w:rPr>
              <w:t>Integer</w:t>
            </w:r>
          </w:p>
        </w:tc>
        <w:tc>
          <w:tcPr>
            <w:tcW w:w="1133" w:type="dxa"/>
          </w:tcPr>
          <w:p w14:paraId="1B480F55" w14:textId="71397354" w:rsidR="000A73FE" w:rsidRPr="00C251E9" w:rsidRDefault="000A73FE" w:rsidP="000A73FE">
            <w:pPr>
              <w:pStyle w:val="TMGTableText"/>
              <w:jc w:val="center"/>
            </w:pPr>
            <w:r>
              <w:rPr>
                <w:rFonts w:eastAsiaTheme="minorEastAsia"/>
              </w:rPr>
              <w:t>Required</w:t>
            </w:r>
          </w:p>
        </w:tc>
      </w:tr>
      <w:tr w:rsidR="000A73FE" w14:paraId="42E36A1C" w14:textId="77777777" w:rsidTr="000A73FE">
        <w:trPr>
          <w:jc w:val="center"/>
        </w:trPr>
        <w:tc>
          <w:tcPr>
            <w:tcW w:w="975" w:type="dxa"/>
          </w:tcPr>
          <w:p w14:paraId="0D3C8217" w14:textId="440A4BA9" w:rsidR="000A73FE" w:rsidRPr="005D6955" w:rsidRDefault="000A73FE" w:rsidP="000A73FE">
            <w:pPr>
              <w:pStyle w:val="TMGTableText"/>
              <w:ind w:left="0" w:right="144"/>
              <w:jc w:val="right"/>
              <w:rPr>
                <w:b/>
                <w:bCs/>
              </w:rPr>
            </w:pPr>
            <w:r w:rsidRPr="00251B8F">
              <w:rPr>
                <w:rFonts w:eastAsiaTheme="minorEastAsia"/>
                <w:b/>
                <w:bCs/>
              </w:rPr>
              <w:t>2</w:t>
            </w:r>
            <w:r>
              <w:rPr>
                <w:rFonts w:eastAsiaTheme="minorEastAsia"/>
                <w:b/>
                <w:bCs/>
              </w:rPr>
              <w:t>3</w:t>
            </w:r>
          </w:p>
        </w:tc>
        <w:tc>
          <w:tcPr>
            <w:tcW w:w="1090" w:type="dxa"/>
          </w:tcPr>
          <w:p w14:paraId="65576F1D" w14:textId="5A056CD5" w:rsidR="000A73FE" w:rsidRPr="004859C8" w:rsidRDefault="000A73FE" w:rsidP="000A73FE">
            <w:pPr>
              <w:pStyle w:val="TMGTableText"/>
              <w:jc w:val="center"/>
            </w:pPr>
            <w:r>
              <w:rPr>
                <w:rFonts w:eastAsiaTheme="minorEastAsia"/>
              </w:rPr>
              <w:t>63</w:t>
            </w:r>
            <w:r w:rsidRPr="00D96273">
              <w:rPr>
                <w:rFonts w:eastAsiaTheme="minorEastAsia"/>
              </w:rPr>
              <w:t>-6</w:t>
            </w:r>
            <w:r>
              <w:rPr>
                <w:rFonts w:eastAsiaTheme="minorEastAsia"/>
              </w:rPr>
              <w:t>5</w:t>
            </w:r>
          </w:p>
        </w:tc>
        <w:tc>
          <w:tcPr>
            <w:tcW w:w="810" w:type="dxa"/>
          </w:tcPr>
          <w:p w14:paraId="664EA5AB" w14:textId="1D2D0A70" w:rsidR="000A73FE" w:rsidRPr="004859C8" w:rsidRDefault="000A73FE" w:rsidP="000A73FE">
            <w:pPr>
              <w:pStyle w:val="TMGTableText"/>
              <w:jc w:val="center"/>
            </w:pPr>
            <w:r w:rsidRPr="00D96273">
              <w:rPr>
                <w:rFonts w:eastAsiaTheme="minorEastAsia"/>
              </w:rPr>
              <w:t>3</w:t>
            </w:r>
          </w:p>
        </w:tc>
        <w:tc>
          <w:tcPr>
            <w:tcW w:w="4043" w:type="dxa"/>
          </w:tcPr>
          <w:p w14:paraId="72366DCE" w14:textId="63F6231B" w:rsidR="000A73FE" w:rsidRPr="004859C8" w:rsidRDefault="000A73FE" w:rsidP="000A73FE">
            <w:pPr>
              <w:pStyle w:val="TMGTableText"/>
              <w:jc w:val="center"/>
            </w:pPr>
            <w:r w:rsidRPr="00D96273">
              <w:rPr>
                <w:rFonts w:eastAsiaTheme="minorEastAsia"/>
              </w:rPr>
              <w:t>Count interval being reported</w:t>
            </w:r>
            <w:r>
              <w:rPr>
                <w:rFonts w:eastAsiaTheme="minorEastAsia"/>
              </w:rPr>
              <w:t xml:space="preserve"> (CSI)</w:t>
            </w:r>
          </w:p>
        </w:tc>
        <w:tc>
          <w:tcPr>
            <w:tcW w:w="1309" w:type="dxa"/>
          </w:tcPr>
          <w:p w14:paraId="2D1F6C20" w14:textId="74ADBA64" w:rsidR="000A73FE" w:rsidRPr="004859C8" w:rsidRDefault="000A73FE" w:rsidP="000A73FE">
            <w:pPr>
              <w:pStyle w:val="TMGTableText"/>
              <w:jc w:val="center"/>
            </w:pPr>
            <w:r w:rsidRPr="00C2762D">
              <w:rPr>
                <w:rFonts w:eastAsiaTheme="minorEastAsia"/>
              </w:rPr>
              <w:t>Integer</w:t>
            </w:r>
          </w:p>
        </w:tc>
        <w:tc>
          <w:tcPr>
            <w:tcW w:w="1133" w:type="dxa"/>
          </w:tcPr>
          <w:p w14:paraId="2983DDDF" w14:textId="47D48AA2" w:rsidR="000A73FE" w:rsidRPr="00C251E9" w:rsidRDefault="000A73FE" w:rsidP="000A73FE">
            <w:pPr>
              <w:pStyle w:val="TMGTableText"/>
              <w:jc w:val="center"/>
            </w:pPr>
            <w:r>
              <w:rPr>
                <w:rFonts w:eastAsiaTheme="minorEastAsia"/>
              </w:rPr>
              <w:t>Required</w:t>
            </w:r>
          </w:p>
        </w:tc>
      </w:tr>
      <w:tr w:rsidR="000A73FE" w14:paraId="1BE67B13" w14:textId="77777777" w:rsidTr="000A73FE">
        <w:trPr>
          <w:jc w:val="center"/>
        </w:trPr>
        <w:tc>
          <w:tcPr>
            <w:tcW w:w="975" w:type="dxa"/>
          </w:tcPr>
          <w:p w14:paraId="7C128C84" w14:textId="3FD74FE1" w:rsidR="000A73FE" w:rsidRPr="005D6955" w:rsidRDefault="000A73FE" w:rsidP="000A73FE">
            <w:pPr>
              <w:pStyle w:val="TMGTableText"/>
              <w:ind w:left="0" w:right="144"/>
              <w:jc w:val="right"/>
              <w:rPr>
                <w:b/>
                <w:bCs/>
              </w:rPr>
            </w:pPr>
            <w:r w:rsidRPr="00251B8F">
              <w:rPr>
                <w:rFonts w:eastAsiaTheme="minorEastAsia"/>
                <w:b/>
                <w:bCs/>
              </w:rPr>
              <w:t>2</w:t>
            </w:r>
            <w:r>
              <w:rPr>
                <w:rFonts w:eastAsiaTheme="minorEastAsia"/>
                <w:b/>
                <w:bCs/>
              </w:rPr>
              <w:t>4</w:t>
            </w:r>
          </w:p>
        </w:tc>
        <w:tc>
          <w:tcPr>
            <w:tcW w:w="1090" w:type="dxa"/>
          </w:tcPr>
          <w:p w14:paraId="6EA5AE31" w14:textId="42203B36" w:rsidR="000A73FE" w:rsidRPr="004859C8" w:rsidRDefault="000A73FE" w:rsidP="000A73FE">
            <w:pPr>
              <w:pStyle w:val="TMGTableText"/>
              <w:jc w:val="center"/>
            </w:pPr>
            <w:r w:rsidRPr="00D96273">
              <w:rPr>
                <w:rFonts w:eastAsiaTheme="minorEastAsia"/>
              </w:rPr>
              <w:t>6</w:t>
            </w:r>
            <w:r>
              <w:rPr>
                <w:rFonts w:eastAsiaTheme="minorEastAsia"/>
              </w:rPr>
              <w:t>6</w:t>
            </w:r>
            <w:r w:rsidRPr="00D96273">
              <w:rPr>
                <w:rFonts w:eastAsiaTheme="minorEastAsia"/>
              </w:rPr>
              <w:t>-</w:t>
            </w:r>
            <w:r>
              <w:rPr>
                <w:rFonts w:eastAsiaTheme="minorEastAsia"/>
              </w:rPr>
              <w:t>70</w:t>
            </w:r>
          </w:p>
        </w:tc>
        <w:tc>
          <w:tcPr>
            <w:tcW w:w="810" w:type="dxa"/>
          </w:tcPr>
          <w:p w14:paraId="651892F2" w14:textId="698C639A" w:rsidR="000A73FE" w:rsidRPr="004859C8" w:rsidRDefault="000A73FE" w:rsidP="000A73FE">
            <w:pPr>
              <w:pStyle w:val="TMGTableText"/>
              <w:jc w:val="center"/>
            </w:pPr>
            <w:r w:rsidRPr="00D96273">
              <w:rPr>
                <w:rFonts w:eastAsiaTheme="minorEastAsia"/>
              </w:rPr>
              <w:t>5</w:t>
            </w:r>
          </w:p>
        </w:tc>
        <w:tc>
          <w:tcPr>
            <w:tcW w:w="4043" w:type="dxa"/>
          </w:tcPr>
          <w:p w14:paraId="7ACA4592" w14:textId="49D5F4BE" w:rsidR="000A73FE" w:rsidRPr="004859C8" w:rsidRDefault="000A73FE" w:rsidP="000A73FE">
            <w:pPr>
              <w:pStyle w:val="TMGTableText"/>
              <w:jc w:val="center"/>
            </w:pPr>
            <w:r w:rsidRPr="00D96273">
              <w:rPr>
                <w:rFonts w:eastAsiaTheme="minorEastAsia"/>
              </w:rPr>
              <w:t>Count for interval 1</w:t>
            </w:r>
            <w:r>
              <w:rPr>
                <w:rFonts w:eastAsiaTheme="minorEastAsia"/>
              </w:rPr>
              <w:t xml:space="preserve"> (CI1)</w:t>
            </w:r>
          </w:p>
        </w:tc>
        <w:tc>
          <w:tcPr>
            <w:tcW w:w="1309" w:type="dxa"/>
          </w:tcPr>
          <w:p w14:paraId="3CDBF550" w14:textId="301B0925" w:rsidR="000A73FE" w:rsidRPr="004859C8" w:rsidRDefault="000A73FE" w:rsidP="000A73FE">
            <w:pPr>
              <w:pStyle w:val="TMGTableText"/>
              <w:jc w:val="center"/>
            </w:pPr>
            <w:r w:rsidRPr="00C2762D">
              <w:rPr>
                <w:rFonts w:eastAsiaTheme="minorEastAsia"/>
              </w:rPr>
              <w:t>Integer</w:t>
            </w:r>
          </w:p>
        </w:tc>
        <w:tc>
          <w:tcPr>
            <w:tcW w:w="1133" w:type="dxa"/>
          </w:tcPr>
          <w:p w14:paraId="5D5EE0E4" w14:textId="183AAE67" w:rsidR="000A73FE" w:rsidRPr="00C251E9" w:rsidRDefault="000A73FE" w:rsidP="000A73FE">
            <w:pPr>
              <w:pStyle w:val="TMGTableText"/>
              <w:jc w:val="center"/>
            </w:pPr>
            <w:r>
              <w:rPr>
                <w:rFonts w:eastAsiaTheme="minorEastAsia"/>
              </w:rPr>
              <w:t>Required</w:t>
            </w:r>
          </w:p>
        </w:tc>
      </w:tr>
      <w:tr w:rsidR="000A73FE" w14:paraId="20B62C71" w14:textId="77777777" w:rsidTr="000A73FE">
        <w:trPr>
          <w:jc w:val="center"/>
        </w:trPr>
        <w:tc>
          <w:tcPr>
            <w:tcW w:w="975" w:type="dxa"/>
          </w:tcPr>
          <w:p w14:paraId="740C3F1F" w14:textId="1E4176B8" w:rsidR="000A73FE" w:rsidRPr="005D6955" w:rsidRDefault="000A73FE" w:rsidP="000A73FE">
            <w:pPr>
              <w:pStyle w:val="TMGTableText"/>
              <w:ind w:left="0" w:right="144"/>
              <w:jc w:val="right"/>
              <w:rPr>
                <w:b/>
                <w:bCs/>
              </w:rPr>
            </w:pPr>
            <w:r w:rsidRPr="00251B8F">
              <w:rPr>
                <w:rFonts w:eastAsiaTheme="minorEastAsia"/>
                <w:b/>
                <w:bCs/>
              </w:rPr>
              <w:t>2</w:t>
            </w:r>
            <w:r>
              <w:rPr>
                <w:rFonts w:eastAsiaTheme="minorEastAsia"/>
                <w:b/>
                <w:bCs/>
              </w:rPr>
              <w:t>5</w:t>
            </w:r>
          </w:p>
        </w:tc>
        <w:tc>
          <w:tcPr>
            <w:tcW w:w="1090" w:type="dxa"/>
          </w:tcPr>
          <w:p w14:paraId="14DE8372" w14:textId="50742764" w:rsidR="000A73FE" w:rsidRPr="004859C8" w:rsidRDefault="000A73FE" w:rsidP="000A73FE">
            <w:pPr>
              <w:pStyle w:val="TMGTableText"/>
              <w:jc w:val="center"/>
            </w:pPr>
            <w:r>
              <w:rPr>
                <w:rFonts w:eastAsiaTheme="minorEastAsia"/>
              </w:rPr>
              <w:t>71</w:t>
            </w:r>
            <w:r w:rsidRPr="00D96273">
              <w:rPr>
                <w:rFonts w:eastAsiaTheme="minorEastAsia"/>
              </w:rPr>
              <w:t>-7</w:t>
            </w:r>
            <w:r>
              <w:rPr>
                <w:rFonts w:eastAsiaTheme="minorEastAsia"/>
              </w:rPr>
              <w:t>5</w:t>
            </w:r>
          </w:p>
        </w:tc>
        <w:tc>
          <w:tcPr>
            <w:tcW w:w="810" w:type="dxa"/>
          </w:tcPr>
          <w:p w14:paraId="37657791" w14:textId="13180A29" w:rsidR="000A73FE" w:rsidRPr="004859C8" w:rsidRDefault="000A73FE" w:rsidP="000A73FE">
            <w:pPr>
              <w:pStyle w:val="TMGTableText"/>
              <w:jc w:val="center"/>
            </w:pPr>
            <w:r w:rsidRPr="00D96273">
              <w:rPr>
                <w:rFonts w:eastAsiaTheme="minorEastAsia"/>
              </w:rPr>
              <w:t>5</w:t>
            </w:r>
          </w:p>
        </w:tc>
        <w:tc>
          <w:tcPr>
            <w:tcW w:w="4043" w:type="dxa"/>
          </w:tcPr>
          <w:p w14:paraId="4AA8D6A2" w14:textId="1C4A90C7" w:rsidR="000A73FE" w:rsidRPr="004859C8" w:rsidRDefault="000A73FE" w:rsidP="000A73FE">
            <w:pPr>
              <w:pStyle w:val="TMGTableText"/>
              <w:jc w:val="center"/>
            </w:pPr>
            <w:r w:rsidRPr="00D96273">
              <w:rPr>
                <w:rFonts w:eastAsiaTheme="minorEastAsia"/>
              </w:rPr>
              <w:t>Count for interval 2</w:t>
            </w:r>
            <w:r>
              <w:rPr>
                <w:rFonts w:eastAsiaTheme="minorEastAsia"/>
              </w:rPr>
              <w:t xml:space="preserve"> (CI2)</w:t>
            </w:r>
          </w:p>
        </w:tc>
        <w:tc>
          <w:tcPr>
            <w:tcW w:w="1309" w:type="dxa"/>
          </w:tcPr>
          <w:p w14:paraId="4A3EE057" w14:textId="73A0D983" w:rsidR="000A73FE" w:rsidRPr="004859C8" w:rsidRDefault="000A73FE" w:rsidP="000A73FE">
            <w:pPr>
              <w:pStyle w:val="TMGTableText"/>
              <w:jc w:val="center"/>
            </w:pPr>
            <w:r w:rsidRPr="00C2762D">
              <w:rPr>
                <w:rFonts w:eastAsiaTheme="minorEastAsia"/>
              </w:rPr>
              <w:t>Integer</w:t>
            </w:r>
          </w:p>
        </w:tc>
        <w:tc>
          <w:tcPr>
            <w:tcW w:w="1133" w:type="dxa"/>
          </w:tcPr>
          <w:p w14:paraId="69313B20" w14:textId="7CC571C5" w:rsidR="000A73FE" w:rsidRPr="00C251E9" w:rsidRDefault="000A73FE" w:rsidP="000A73FE">
            <w:pPr>
              <w:pStyle w:val="TMGTableText"/>
              <w:jc w:val="center"/>
            </w:pPr>
            <w:r>
              <w:t>Req.</w:t>
            </w:r>
            <w:r w:rsidRPr="00D96273">
              <w:t>/</w:t>
            </w:r>
            <w:r w:rsidRPr="00D96273">
              <w:rPr>
                <w:rFonts w:eastAsiaTheme="minorEastAsia"/>
              </w:rPr>
              <w:t>O</w:t>
            </w:r>
            <w:r>
              <w:rPr>
                <w:rFonts w:eastAsiaTheme="minorEastAsia"/>
              </w:rPr>
              <w:t>pt.</w:t>
            </w:r>
          </w:p>
        </w:tc>
      </w:tr>
      <w:tr w:rsidR="000A73FE" w14:paraId="5748BBA2" w14:textId="77777777" w:rsidTr="000A73FE">
        <w:trPr>
          <w:jc w:val="center"/>
        </w:trPr>
        <w:tc>
          <w:tcPr>
            <w:tcW w:w="975" w:type="dxa"/>
          </w:tcPr>
          <w:p w14:paraId="07D3C186" w14:textId="6EA5FACA" w:rsidR="000A73FE" w:rsidRPr="005D6955" w:rsidRDefault="000A73FE" w:rsidP="000A73FE">
            <w:pPr>
              <w:pStyle w:val="TMGTableText"/>
              <w:ind w:left="0" w:right="144"/>
              <w:jc w:val="right"/>
              <w:rPr>
                <w:rFonts w:eastAsiaTheme="minorEastAsia"/>
                <w:b/>
                <w:bCs/>
              </w:rPr>
            </w:pPr>
            <w:r w:rsidRPr="00251B8F">
              <w:rPr>
                <w:rFonts w:eastAsiaTheme="minorEastAsia"/>
                <w:b/>
                <w:bCs/>
              </w:rPr>
              <w:t>2</w:t>
            </w:r>
            <w:r>
              <w:rPr>
                <w:rFonts w:eastAsiaTheme="minorEastAsia"/>
                <w:b/>
                <w:bCs/>
              </w:rPr>
              <w:t xml:space="preserve">6 </w:t>
            </w:r>
            <w:r w:rsidRPr="00251B8F">
              <w:rPr>
                <w:rFonts w:eastAsiaTheme="minorEastAsia"/>
                <w:b/>
                <w:bCs/>
              </w:rPr>
              <w:t>- 312</w:t>
            </w:r>
          </w:p>
        </w:tc>
        <w:tc>
          <w:tcPr>
            <w:tcW w:w="1090" w:type="dxa"/>
          </w:tcPr>
          <w:p w14:paraId="61B3D651" w14:textId="24656135" w:rsidR="000A73FE" w:rsidRPr="004859C8" w:rsidRDefault="000A73FE" w:rsidP="000A73FE">
            <w:pPr>
              <w:pStyle w:val="TMGTableText"/>
              <w:jc w:val="center"/>
            </w:pPr>
            <w:r w:rsidRPr="00D96273">
              <w:rPr>
                <w:rFonts w:eastAsiaTheme="minorEastAsia"/>
              </w:rPr>
              <w:t>7</w:t>
            </w:r>
            <w:r>
              <w:rPr>
                <w:rFonts w:eastAsiaTheme="minorEastAsia"/>
              </w:rPr>
              <w:t>6</w:t>
            </w:r>
            <w:r w:rsidRPr="00D96273">
              <w:rPr>
                <w:rFonts w:eastAsiaTheme="minorEastAsia"/>
              </w:rPr>
              <w:t>-150</w:t>
            </w:r>
            <w:r>
              <w:rPr>
                <w:rFonts w:eastAsiaTheme="minorEastAsia"/>
              </w:rPr>
              <w:t>5</w:t>
            </w:r>
          </w:p>
        </w:tc>
        <w:tc>
          <w:tcPr>
            <w:tcW w:w="810" w:type="dxa"/>
          </w:tcPr>
          <w:p w14:paraId="4B31DACF" w14:textId="3076DB46" w:rsidR="000A73FE" w:rsidRPr="004859C8" w:rsidRDefault="000A73FE" w:rsidP="000A73FE">
            <w:pPr>
              <w:pStyle w:val="TMGTableText"/>
              <w:jc w:val="center"/>
            </w:pPr>
          </w:p>
        </w:tc>
        <w:tc>
          <w:tcPr>
            <w:tcW w:w="4043" w:type="dxa"/>
          </w:tcPr>
          <w:p w14:paraId="604F0625" w14:textId="77777777" w:rsidR="000A73FE" w:rsidRPr="00D96273" w:rsidRDefault="000A73FE" w:rsidP="000A73FE">
            <w:pPr>
              <w:pStyle w:val="TMGTableText"/>
              <w:jc w:val="center"/>
              <w:rPr>
                <w:rFonts w:eastAsiaTheme="minorEastAsia"/>
              </w:rPr>
            </w:pPr>
            <w:r w:rsidRPr="00D96273">
              <w:rPr>
                <w:rFonts w:eastAsiaTheme="minorEastAsia"/>
              </w:rPr>
              <w:t>Count intervals 3 – 288 (fields 27 to 312) are used only if the day to which this record pertains contains that many reporting time periods.</w:t>
            </w:r>
            <w:r>
              <w:rPr>
                <w:rFonts w:eastAsiaTheme="minorEastAsia"/>
              </w:rPr>
              <w:t xml:space="preserve"> (CI3..CI288)</w:t>
            </w:r>
          </w:p>
          <w:p w14:paraId="52AB95C1" w14:textId="77777777" w:rsidR="000A73FE" w:rsidRPr="00D96273" w:rsidRDefault="000A73FE" w:rsidP="000A73FE">
            <w:pPr>
              <w:pStyle w:val="TMGTableText"/>
              <w:jc w:val="center"/>
              <w:rPr>
                <w:rFonts w:eastAsiaTheme="minorEastAsia"/>
              </w:rPr>
            </w:pPr>
            <w:r w:rsidRPr="00D96273">
              <w:rPr>
                <w:rFonts w:eastAsiaTheme="minorEastAsia"/>
              </w:rPr>
              <w:t>Only report those periods for which data were collected.</w:t>
            </w:r>
          </w:p>
          <w:p w14:paraId="1B9CDE90" w14:textId="5E95A819" w:rsidR="000A73FE" w:rsidRPr="00D96273" w:rsidRDefault="000A73FE" w:rsidP="000A73FE">
            <w:pPr>
              <w:pStyle w:val="TMGTableText"/>
              <w:jc w:val="center"/>
              <w:rPr>
                <w:rFonts w:eastAsiaTheme="minorEastAsia"/>
              </w:rPr>
            </w:pPr>
            <w:r w:rsidRPr="00D96273">
              <w:rPr>
                <w:rFonts w:eastAsiaTheme="minorEastAsia"/>
              </w:rPr>
              <w:t>Up to 288 reporting periods are needed if 5-minute intervals are used.</w:t>
            </w:r>
          </w:p>
          <w:p w14:paraId="6C12FECB" w14:textId="77777777" w:rsidR="000A73FE" w:rsidRPr="00D96273" w:rsidRDefault="000A73FE" w:rsidP="000A73FE">
            <w:pPr>
              <w:pStyle w:val="TMGTableText"/>
              <w:jc w:val="center"/>
              <w:rPr>
                <w:rFonts w:eastAsiaTheme="minorEastAsia"/>
              </w:rPr>
            </w:pPr>
            <w:r w:rsidRPr="00D96273">
              <w:rPr>
                <w:rFonts w:eastAsiaTheme="minorEastAsia"/>
              </w:rPr>
              <w:t>Up to 144 periods are needed for 10-minute intervals.</w:t>
            </w:r>
          </w:p>
          <w:p w14:paraId="2FC5B2B3" w14:textId="77777777" w:rsidR="000A73FE" w:rsidRPr="00D96273" w:rsidRDefault="000A73FE" w:rsidP="000A73FE">
            <w:pPr>
              <w:pStyle w:val="TMGTableText"/>
              <w:jc w:val="center"/>
              <w:rPr>
                <w:rFonts w:eastAsiaTheme="minorEastAsia"/>
              </w:rPr>
            </w:pPr>
            <w:r w:rsidRPr="00D96273">
              <w:rPr>
                <w:rFonts w:eastAsiaTheme="minorEastAsia"/>
              </w:rPr>
              <w:t>Up to 96 periods are needed for 15-minute intervals</w:t>
            </w:r>
          </w:p>
          <w:p w14:paraId="4E6547BB" w14:textId="77777777" w:rsidR="000A73FE" w:rsidRPr="00D96273" w:rsidRDefault="000A73FE" w:rsidP="000A73FE">
            <w:pPr>
              <w:pStyle w:val="TMGTableText"/>
              <w:jc w:val="center"/>
              <w:rPr>
                <w:rFonts w:eastAsiaTheme="minorEastAsia"/>
              </w:rPr>
            </w:pPr>
            <w:r w:rsidRPr="00D96273">
              <w:rPr>
                <w:rFonts w:eastAsiaTheme="minorEastAsia"/>
              </w:rPr>
              <w:t>Up to 72 periods are needed for 20-minute intervals</w:t>
            </w:r>
          </w:p>
          <w:p w14:paraId="1E7DAE72" w14:textId="77777777" w:rsidR="000A73FE" w:rsidRPr="00D96273" w:rsidRDefault="000A73FE" w:rsidP="000A73FE">
            <w:pPr>
              <w:pStyle w:val="TMGTableText"/>
              <w:jc w:val="center"/>
              <w:rPr>
                <w:rFonts w:eastAsiaTheme="minorEastAsia"/>
              </w:rPr>
            </w:pPr>
            <w:r w:rsidRPr="00D96273">
              <w:rPr>
                <w:rFonts w:eastAsiaTheme="minorEastAsia"/>
              </w:rPr>
              <w:t>Up to 48 periods are needed for 30-minute intervals</w:t>
            </w:r>
          </w:p>
          <w:p w14:paraId="52A41AEE" w14:textId="569A1943" w:rsidR="000A73FE" w:rsidRPr="004859C8" w:rsidRDefault="000A73FE" w:rsidP="000A73FE">
            <w:pPr>
              <w:pStyle w:val="TMGTableText"/>
              <w:jc w:val="center"/>
            </w:pPr>
            <w:r w:rsidRPr="00D96273">
              <w:rPr>
                <w:rFonts w:eastAsiaTheme="minorEastAsia"/>
              </w:rPr>
              <w:t>Up to 24 periods are needed for 60-minute intervals</w:t>
            </w:r>
          </w:p>
        </w:tc>
        <w:tc>
          <w:tcPr>
            <w:tcW w:w="1309" w:type="dxa"/>
          </w:tcPr>
          <w:p w14:paraId="7CA9ED3B" w14:textId="70C814F9" w:rsidR="000A73FE" w:rsidRPr="004859C8" w:rsidRDefault="000A73FE" w:rsidP="000A73FE">
            <w:pPr>
              <w:pStyle w:val="TMGTableText"/>
              <w:jc w:val="center"/>
            </w:pPr>
            <w:r w:rsidRPr="00C2762D">
              <w:rPr>
                <w:rFonts w:eastAsiaTheme="minorEastAsia"/>
              </w:rPr>
              <w:t>Integer</w:t>
            </w:r>
          </w:p>
        </w:tc>
        <w:tc>
          <w:tcPr>
            <w:tcW w:w="1133" w:type="dxa"/>
          </w:tcPr>
          <w:p w14:paraId="1DFEE94C" w14:textId="46D99B67" w:rsidR="000A73FE" w:rsidRPr="00C251E9" w:rsidRDefault="000A73FE" w:rsidP="000A73FE">
            <w:pPr>
              <w:pStyle w:val="TMGTableText"/>
              <w:jc w:val="center"/>
            </w:pPr>
            <w:r>
              <w:rPr>
                <w:rFonts w:eastAsiaTheme="minorEastAsia"/>
              </w:rPr>
              <w:t>Req.</w:t>
            </w:r>
            <w:r w:rsidRPr="00D96273">
              <w:rPr>
                <w:rFonts w:eastAsiaTheme="minorEastAsia"/>
              </w:rPr>
              <w:t>/O</w:t>
            </w:r>
            <w:r>
              <w:rPr>
                <w:rFonts w:eastAsiaTheme="minorEastAsia"/>
              </w:rPr>
              <w:t>pt.</w:t>
            </w:r>
          </w:p>
        </w:tc>
      </w:tr>
    </w:tbl>
    <w:p w14:paraId="51B4A6FB" w14:textId="77777777" w:rsidR="009B7AED" w:rsidRDefault="009B7AED" w:rsidP="000A73FE">
      <w:pPr>
        <w:pStyle w:val="Source"/>
        <w:spacing w:before="60" w:after="60"/>
        <w:ind w:left="547" w:hanging="547"/>
      </w:pPr>
      <w:r>
        <w:t>Note:</w:t>
      </w:r>
      <w:r>
        <w:tab/>
        <w:t xml:space="preserve">R=Required, O=Optional, R/O=Required/Optional, </w:t>
      </w:r>
    </w:p>
    <w:p w14:paraId="1A76C088" w14:textId="77777777" w:rsidR="009B7AED" w:rsidRDefault="009B7AED" w:rsidP="000A73FE">
      <w:pPr>
        <w:pStyle w:val="Source"/>
        <w:spacing w:before="60" w:after="60"/>
        <w:ind w:left="547" w:hanging="547"/>
      </w:pPr>
      <w:r>
        <w:tab/>
        <w:t xml:space="preserve">Fields designated as </w:t>
      </w:r>
      <w:r>
        <w:rPr>
          <w:rStyle w:val="Italic"/>
          <w:iCs/>
        </w:rPr>
        <w:t>Required</w:t>
      </w:r>
      <w:r>
        <w:t xml:space="preserve"> must be reported.</w:t>
      </w:r>
    </w:p>
    <w:p w14:paraId="58C4D09C" w14:textId="77777777" w:rsidR="009B7AED" w:rsidRDefault="009B7AED" w:rsidP="000A73FE">
      <w:pPr>
        <w:pStyle w:val="Source"/>
        <w:spacing w:before="60" w:after="60"/>
        <w:ind w:left="547" w:hanging="547"/>
      </w:pPr>
      <w:r>
        <w:tab/>
        <w:t xml:space="preserve">Fields designated as </w:t>
      </w:r>
      <w:r>
        <w:rPr>
          <w:rStyle w:val="Italic"/>
          <w:iCs/>
        </w:rPr>
        <w:t>Optional</w:t>
      </w:r>
      <w:r>
        <w:t xml:space="preserve"> are not required to be reported.</w:t>
      </w:r>
    </w:p>
    <w:p w14:paraId="1183DB26" w14:textId="77777777" w:rsidR="009B7AED" w:rsidRDefault="009B7AED" w:rsidP="000A73FE">
      <w:pPr>
        <w:pStyle w:val="Source"/>
        <w:spacing w:before="60" w:after="360"/>
        <w:ind w:left="547" w:hanging="547"/>
      </w:pPr>
      <w:r>
        <w:tab/>
        <w:t xml:space="preserve">Fields designated as </w:t>
      </w:r>
      <w:r>
        <w:rPr>
          <w:rStyle w:val="Italic"/>
          <w:iCs/>
        </w:rPr>
        <w:t>Required/Optional</w:t>
      </w:r>
      <w:r>
        <w:t xml:space="preserve"> could be either required or optional based on values used for other related fields.</w:t>
      </w:r>
    </w:p>
    <w:p w14:paraId="0A7AF88E" w14:textId="77777777" w:rsidR="009B7AED" w:rsidRPr="00D96273" w:rsidRDefault="009B7AED">
      <w:pPr>
        <w:numPr>
          <w:ilvl w:val="0"/>
          <w:numId w:val="51"/>
        </w:numPr>
        <w:spacing w:after="120"/>
        <w:ind w:left="648"/>
        <w:jc w:val="left"/>
      </w:pPr>
      <w:r>
        <w:t xml:space="preserve">Micromobility </w:t>
      </w:r>
      <w:r w:rsidRPr="00D96273">
        <w:t xml:space="preserve">count record identifier (Column 1) – </w:t>
      </w:r>
      <w:r>
        <w:rPr>
          <w:i/>
          <w:iCs/>
        </w:rPr>
        <w:t>Required</w:t>
      </w:r>
    </w:p>
    <w:p w14:paraId="2A9E1875" w14:textId="77777777" w:rsidR="009B7AED" w:rsidRPr="00D96273" w:rsidRDefault="009B7AED" w:rsidP="005F7145">
      <w:pPr>
        <w:pStyle w:val="BodyText"/>
        <w:ind w:left="648"/>
      </w:pPr>
      <w:r w:rsidRPr="00D96273">
        <w:t>Code the letter “N”</w:t>
      </w:r>
    </w:p>
    <w:p w14:paraId="0E1D152D" w14:textId="77777777" w:rsidR="009B7AED" w:rsidRPr="00D96273" w:rsidRDefault="009B7AED">
      <w:pPr>
        <w:numPr>
          <w:ilvl w:val="0"/>
          <w:numId w:val="51"/>
        </w:numPr>
        <w:spacing w:after="120"/>
        <w:ind w:left="648"/>
        <w:jc w:val="left"/>
      </w:pPr>
      <w:r w:rsidRPr="00D96273">
        <w:t xml:space="preserve">State FIPS Code (Columns 2-3) – </w:t>
      </w:r>
      <w:r>
        <w:rPr>
          <w:i/>
          <w:iCs/>
        </w:rPr>
        <w:t>Required</w:t>
      </w:r>
    </w:p>
    <w:p w14:paraId="0CC21C91" w14:textId="1C475B92" w:rsidR="009B7AED" w:rsidRPr="00251B8F" w:rsidRDefault="009B7AED" w:rsidP="005F7145">
      <w:pPr>
        <w:pStyle w:val="BodyText"/>
        <w:ind w:left="648"/>
      </w:pPr>
      <w:r w:rsidRPr="00251B8F">
        <w:t>See Section 4.</w:t>
      </w:r>
      <w:r w:rsidR="00530921">
        <w:t>8</w:t>
      </w:r>
      <w:r w:rsidRPr="00251B8F">
        <w:t xml:space="preserve">, Field #2 of the Micromobility Count Station Description </w:t>
      </w:r>
      <w:r>
        <w:t>r</w:t>
      </w:r>
      <w:r w:rsidRPr="00251B8F">
        <w:t>ecord.</w:t>
      </w:r>
    </w:p>
    <w:p w14:paraId="0DCEA984" w14:textId="77777777" w:rsidR="009B7AED" w:rsidRPr="00D96273" w:rsidRDefault="009B7AED">
      <w:pPr>
        <w:numPr>
          <w:ilvl w:val="0"/>
          <w:numId w:val="51"/>
        </w:numPr>
        <w:spacing w:after="120"/>
        <w:ind w:left="648"/>
        <w:jc w:val="left"/>
      </w:pPr>
      <w:r w:rsidRPr="00D96273">
        <w:t xml:space="preserve">County FIPS Code (Columns 4-6) – </w:t>
      </w:r>
      <w:r>
        <w:rPr>
          <w:i/>
          <w:iCs/>
        </w:rPr>
        <w:t>Required</w:t>
      </w:r>
    </w:p>
    <w:p w14:paraId="4C49E154" w14:textId="6272F2E1" w:rsidR="009B7AED" w:rsidRPr="00D96273" w:rsidRDefault="009B7AED" w:rsidP="005F7145">
      <w:pPr>
        <w:pStyle w:val="BodyText"/>
        <w:ind w:left="648"/>
      </w:pPr>
      <w:r w:rsidRPr="00251B8F">
        <w:rPr>
          <w:rStyle w:val="BodyTextChar"/>
        </w:rPr>
        <w:t>See Section 4.</w:t>
      </w:r>
      <w:r w:rsidR="00530921">
        <w:rPr>
          <w:rStyle w:val="BodyTextChar"/>
        </w:rPr>
        <w:t>8</w:t>
      </w:r>
      <w:r w:rsidRPr="00251B8F">
        <w:rPr>
          <w:rStyle w:val="BodyTextChar"/>
        </w:rPr>
        <w:t xml:space="preserve">, Field #3 of the Micromobility </w:t>
      </w:r>
      <w:r>
        <w:rPr>
          <w:rStyle w:val="BodyTextChar"/>
        </w:rPr>
        <w:t>C</w:t>
      </w:r>
      <w:r w:rsidRPr="00251B8F">
        <w:rPr>
          <w:rStyle w:val="BodyTextChar"/>
        </w:rPr>
        <w:t xml:space="preserve">ount Station Description </w:t>
      </w:r>
      <w:r>
        <w:rPr>
          <w:rStyle w:val="BodyTextChar"/>
        </w:rPr>
        <w:t>r</w:t>
      </w:r>
      <w:r w:rsidRPr="00251B8F">
        <w:rPr>
          <w:rStyle w:val="BodyTextChar"/>
        </w:rPr>
        <w:t>ecord</w:t>
      </w:r>
      <w:r w:rsidRPr="00D96273">
        <w:t>.</w:t>
      </w:r>
    </w:p>
    <w:p w14:paraId="49562C15" w14:textId="77777777" w:rsidR="009B7AED" w:rsidRPr="00D96273" w:rsidRDefault="009B7AED">
      <w:pPr>
        <w:numPr>
          <w:ilvl w:val="0"/>
          <w:numId w:val="51"/>
        </w:numPr>
        <w:spacing w:after="120"/>
        <w:ind w:left="648"/>
        <w:jc w:val="left"/>
      </w:pPr>
      <w:r w:rsidRPr="00D96273">
        <w:t xml:space="preserve">Station ID (Columns 7-12) – </w:t>
      </w:r>
      <w:r>
        <w:rPr>
          <w:i/>
          <w:iCs/>
        </w:rPr>
        <w:t>Required</w:t>
      </w:r>
    </w:p>
    <w:p w14:paraId="09E5EFEF" w14:textId="74B5933E" w:rsidR="009B7AED" w:rsidRPr="00251B8F" w:rsidRDefault="009B7AED" w:rsidP="005F7145">
      <w:pPr>
        <w:pStyle w:val="BodyText"/>
        <w:ind w:left="648"/>
      </w:pPr>
      <w:r w:rsidRPr="00251B8F">
        <w:t>This field should contain an alphanumeric designation for the station where the survey data were collected. Station identification field entries should be identical in all records for a given station. See</w:t>
      </w:r>
      <w:r w:rsidR="00ED2A81">
        <w:t> </w:t>
      </w:r>
      <w:r w:rsidRPr="00251B8F">
        <w:t>Section 4.</w:t>
      </w:r>
      <w:r w:rsidR="00530921">
        <w:t>8</w:t>
      </w:r>
      <w:r w:rsidRPr="00251B8F">
        <w:t xml:space="preserve">, Field #4 of the Micromobility Count Station Description </w:t>
      </w:r>
      <w:r>
        <w:t>r</w:t>
      </w:r>
      <w:r w:rsidRPr="00251B8F">
        <w:t>ecord.</w:t>
      </w:r>
    </w:p>
    <w:p w14:paraId="5532502E" w14:textId="77777777" w:rsidR="009B7AED" w:rsidRPr="00D96273" w:rsidRDefault="009B7AED">
      <w:pPr>
        <w:numPr>
          <w:ilvl w:val="0"/>
          <w:numId w:val="51"/>
        </w:numPr>
        <w:spacing w:after="120"/>
        <w:ind w:left="648"/>
        <w:jc w:val="left"/>
      </w:pPr>
      <w:r w:rsidRPr="00D96273">
        <w:lastRenderedPageBreak/>
        <w:t>Latitude (Columns 13-2</w:t>
      </w:r>
      <w:r>
        <w:t>3</w:t>
      </w:r>
      <w:r w:rsidRPr="00D96273">
        <w:t xml:space="preserve">) – </w:t>
      </w:r>
      <w:r w:rsidRPr="00D96273">
        <w:rPr>
          <w:i/>
          <w:iCs/>
        </w:rPr>
        <w:t>Optional</w:t>
      </w:r>
    </w:p>
    <w:p w14:paraId="063AE2EF" w14:textId="3869E229" w:rsidR="009B7AED" w:rsidRPr="00D96273" w:rsidRDefault="009B7AED" w:rsidP="005F7145">
      <w:pPr>
        <w:pStyle w:val="BodyText"/>
        <w:ind w:left="648"/>
      </w:pPr>
      <w:r w:rsidRPr="00D96273">
        <w:t xml:space="preserve">This is the latitude of the station location, </w:t>
      </w:r>
      <w:r>
        <w:t>coordinates</w:t>
      </w:r>
      <w:r w:rsidRPr="00D96273">
        <w:t xml:space="preserve"> implied decimal place understood as </w:t>
      </w:r>
      <w:r>
        <w:t>XX</w:t>
      </w:r>
      <w:r w:rsidRPr="00D96273">
        <w:t xml:space="preserve">XX.XXX XXX. If it is not provided, it is presumed to be the same as the latitude in the </w:t>
      </w:r>
      <w:r>
        <w:t>Micromobility C</w:t>
      </w:r>
      <w:r w:rsidRPr="00D96273">
        <w:t xml:space="preserve">ount </w:t>
      </w:r>
      <w:r>
        <w:t>S</w:t>
      </w:r>
      <w:r w:rsidRPr="00D96273">
        <w:t xml:space="preserve">tation </w:t>
      </w:r>
      <w:r>
        <w:t>D</w:t>
      </w:r>
      <w:r w:rsidRPr="00D96273">
        <w:t>escription record.</w:t>
      </w:r>
      <w:r w:rsidR="004D4172">
        <w:t xml:space="preserve"> </w:t>
      </w:r>
      <w:r w:rsidRPr="00D96273">
        <w:t xml:space="preserve">It is possible, and acceptable, for this value to be slightly different than the latitude reported in the Station Record because individual </w:t>
      </w:r>
      <w:r>
        <w:t xml:space="preserve">micromobility </w:t>
      </w:r>
      <w:r w:rsidRPr="00D96273">
        <w:t xml:space="preserve">counts may be taken at a slightly different location (e.g., just downstream) than the location identified on the </w:t>
      </w:r>
      <w:r>
        <w:t>s</w:t>
      </w:r>
      <w:r w:rsidRPr="00D96273">
        <w:t xml:space="preserve">tation </w:t>
      </w:r>
      <w:r>
        <w:t>r</w:t>
      </w:r>
      <w:r w:rsidRPr="00D96273">
        <w:t>ecord.</w:t>
      </w:r>
    </w:p>
    <w:p w14:paraId="1C20A5B8" w14:textId="77777777" w:rsidR="009B7AED" w:rsidRPr="00D96273" w:rsidRDefault="009B7AED">
      <w:pPr>
        <w:numPr>
          <w:ilvl w:val="0"/>
          <w:numId w:val="51"/>
        </w:numPr>
        <w:spacing w:after="120"/>
        <w:ind w:left="648"/>
        <w:jc w:val="left"/>
      </w:pPr>
      <w:r w:rsidRPr="00D96273">
        <w:t>Longitude (Columns 2</w:t>
      </w:r>
      <w:r>
        <w:t>4</w:t>
      </w:r>
      <w:r w:rsidRPr="00D96273">
        <w:t>-</w:t>
      </w:r>
      <w:r>
        <w:t>34</w:t>
      </w:r>
      <w:r w:rsidRPr="00D96273">
        <w:t xml:space="preserve">) – </w:t>
      </w:r>
      <w:r w:rsidRPr="00D96273">
        <w:rPr>
          <w:i/>
          <w:iCs/>
        </w:rPr>
        <w:t>Optional</w:t>
      </w:r>
    </w:p>
    <w:p w14:paraId="2B8254D8" w14:textId="77777777" w:rsidR="009B7AED" w:rsidRPr="00D96273" w:rsidRDefault="009B7AED" w:rsidP="005F7145">
      <w:pPr>
        <w:pStyle w:val="BodyText"/>
        <w:ind w:left="648"/>
      </w:pPr>
      <w:r w:rsidRPr="00D96273">
        <w:t xml:space="preserve">This is the longitude of the station location, with the Western Hemisphere assumed, and an implied decimal place understood as </w:t>
      </w:r>
      <w:r>
        <w:t>X</w:t>
      </w:r>
      <w:r w:rsidRPr="00D96273">
        <w:t xml:space="preserve">XXX.XXX XXX. If it is not provided, it is presumed to be the same as the latitude in the station description record. It is possible, and acceptable, for this value to be slightly different than the latitude reported in the </w:t>
      </w:r>
      <w:r>
        <w:t xml:space="preserve">Micromobility </w:t>
      </w:r>
      <w:r w:rsidRPr="00D96273">
        <w:t xml:space="preserve">Count Station Description </w:t>
      </w:r>
      <w:r>
        <w:t>r</w:t>
      </w:r>
      <w:r w:rsidRPr="00D96273">
        <w:t xml:space="preserve">ecord because individual </w:t>
      </w:r>
      <w:r>
        <w:t xml:space="preserve">micromobility </w:t>
      </w:r>
      <w:r w:rsidRPr="00D96273">
        <w:t xml:space="preserve">counts may be taken at a slightly different location (e.g., just downstream) than the location identified on the </w:t>
      </w:r>
      <w:r>
        <w:t>s</w:t>
      </w:r>
      <w:r w:rsidRPr="00D96273">
        <w:t xml:space="preserve">tation </w:t>
      </w:r>
      <w:r>
        <w:t>r</w:t>
      </w:r>
      <w:r w:rsidRPr="00D96273">
        <w:t>ecord.</w:t>
      </w:r>
    </w:p>
    <w:p w14:paraId="41FDA382" w14:textId="77777777" w:rsidR="009B7AED" w:rsidRPr="00D96273" w:rsidRDefault="009B7AED">
      <w:pPr>
        <w:numPr>
          <w:ilvl w:val="0"/>
          <w:numId w:val="51"/>
        </w:numPr>
        <w:spacing w:after="120"/>
        <w:ind w:left="648"/>
        <w:jc w:val="left"/>
      </w:pPr>
      <w:r w:rsidRPr="00D96273">
        <w:t xml:space="preserve">Direction of </w:t>
      </w:r>
      <w:r>
        <w:t>R</w:t>
      </w:r>
      <w:r w:rsidRPr="00D96273">
        <w:t>oute (Column 3</w:t>
      </w:r>
      <w:r>
        <w:t>5</w:t>
      </w:r>
      <w:r w:rsidRPr="00D96273">
        <w:t xml:space="preserve">) – </w:t>
      </w:r>
      <w:r>
        <w:rPr>
          <w:i/>
          <w:iCs/>
        </w:rPr>
        <w:t>Required</w:t>
      </w:r>
    </w:p>
    <w:p w14:paraId="3A767F2E" w14:textId="2F4C5FB6" w:rsidR="009B7AED" w:rsidRPr="00251B8F" w:rsidRDefault="009B7AED" w:rsidP="005F7145">
      <w:pPr>
        <w:pStyle w:val="BodyText"/>
        <w:ind w:left="648"/>
      </w:pPr>
      <w:r w:rsidRPr="00251B8F">
        <w:t xml:space="preserve">See </w:t>
      </w:r>
      <w:fldSimple w:instr=" REF _Ref113280390 ">
        <w:r w:rsidR="00C07DF9" w:rsidRPr="00521214">
          <w:t xml:space="preserve">Table </w:t>
        </w:r>
        <w:r w:rsidR="00C07DF9">
          <w:rPr>
            <w:noProof/>
          </w:rPr>
          <w:t>4</w:t>
        </w:r>
        <w:r w:rsidR="00C07DF9">
          <w:noBreakHyphen/>
        </w:r>
        <w:r w:rsidR="00C07DF9">
          <w:rPr>
            <w:noProof/>
          </w:rPr>
          <w:t>37</w:t>
        </w:r>
      </w:fldSimple>
      <w:r>
        <w:t xml:space="preserve"> </w:t>
      </w:r>
      <w:r w:rsidRPr="00251B8F">
        <w:t>of the Micromobility Count Station Description Record.</w:t>
      </w:r>
    </w:p>
    <w:p w14:paraId="6EF9D017" w14:textId="77777777" w:rsidR="009B7AED" w:rsidRPr="00251B8F" w:rsidRDefault="009B7AED" w:rsidP="005F7145">
      <w:pPr>
        <w:pStyle w:val="BodyText"/>
        <w:ind w:left="648"/>
      </w:pPr>
      <w:r w:rsidRPr="00251B8F">
        <w:t xml:space="preserve">This is the geographic orientation of the main roadway. Note that a north/south roadway can be coded as either a </w:t>
      </w:r>
      <w:r>
        <w:t>1</w:t>
      </w:r>
      <w:r w:rsidRPr="00251B8F">
        <w:t xml:space="preserve"> or as a </w:t>
      </w:r>
      <w:r>
        <w:t>5</w:t>
      </w:r>
      <w:r w:rsidRPr="00251B8F">
        <w:t xml:space="preserve"> but the selection of the direction affects how the “Location of Count Relative to Roadway” variable (the next variable) is coded to effectively define the location and direction of the micromobility count. Direction of Route should be chosen carefully so field collectors and users of the count data can easily comprehend where and in what direction counts are collected at this station. </w:t>
      </w:r>
    </w:p>
    <w:p w14:paraId="00B0EE08" w14:textId="77777777" w:rsidR="009B7AED" w:rsidRPr="00251B8F" w:rsidRDefault="009B7AED" w:rsidP="005F7145">
      <w:pPr>
        <w:pStyle w:val="BodyText"/>
        <w:ind w:left="648"/>
      </w:pPr>
      <w:r w:rsidRPr="00251B8F">
        <w:t>Note: For a General Activity Count (Functional Class coded as “9”), Direction of Route may be coded as either “0” or “9”.</w:t>
      </w:r>
    </w:p>
    <w:p w14:paraId="1EA85D22" w14:textId="77777777" w:rsidR="009B7AED" w:rsidRPr="00D96273" w:rsidRDefault="009B7AED">
      <w:pPr>
        <w:numPr>
          <w:ilvl w:val="0"/>
          <w:numId w:val="51"/>
        </w:numPr>
        <w:spacing w:after="120"/>
        <w:ind w:left="648"/>
        <w:jc w:val="left"/>
      </w:pPr>
      <w:r w:rsidRPr="00D96273">
        <w:t>Location of Count Relative to Roadway (Column 3</w:t>
      </w:r>
      <w:r>
        <w:t>6</w:t>
      </w:r>
      <w:r w:rsidRPr="00D96273">
        <w:t xml:space="preserve">) – </w:t>
      </w:r>
      <w:r>
        <w:rPr>
          <w:i/>
          <w:iCs/>
        </w:rPr>
        <w:t>Required</w:t>
      </w:r>
    </w:p>
    <w:p w14:paraId="3C09ABFB" w14:textId="66F6226E" w:rsidR="009B7AED" w:rsidRPr="00251B8F" w:rsidRDefault="009B7AED" w:rsidP="005F7145">
      <w:pPr>
        <w:pStyle w:val="BodyText"/>
        <w:ind w:left="648"/>
      </w:pPr>
      <w:r w:rsidRPr="00251B8F">
        <w:t>See Section 4.</w:t>
      </w:r>
      <w:r w:rsidR="00530921">
        <w:t>8</w:t>
      </w:r>
      <w:r w:rsidRPr="00251B8F">
        <w:t xml:space="preserve">, Field #7 of the Micromobility Count Station Description </w:t>
      </w:r>
      <w:r>
        <w:t>r</w:t>
      </w:r>
      <w:r w:rsidRPr="00251B8F">
        <w:t>ecord.</w:t>
      </w:r>
    </w:p>
    <w:p w14:paraId="5A179E3A" w14:textId="77777777" w:rsidR="009B7AED" w:rsidRPr="00251B8F" w:rsidRDefault="009B7AED" w:rsidP="005F7145">
      <w:pPr>
        <w:pStyle w:val="BodyText"/>
        <w:ind w:left="648"/>
      </w:pPr>
      <w:r w:rsidRPr="00251B8F">
        <w:t>1 = the count is taken on the side of the road for the listed Direction of Route</w:t>
      </w:r>
    </w:p>
    <w:p w14:paraId="571DF7BA" w14:textId="77777777" w:rsidR="009B7AED" w:rsidRPr="00251B8F" w:rsidRDefault="009B7AED" w:rsidP="005F7145">
      <w:pPr>
        <w:pStyle w:val="BodyText"/>
        <w:ind w:left="648"/>
      </w:pPr>
      <w:r w:rsidRPr="00251B8F">
        <w:t>2 = the count is taken on the opposite side of the road from the listed direction (i.e., the side with on-coming traffic, given the listed Direction of Route)</w:t>
      </w:r>
    </w:p>
    <w:p w14:paraId="33B5808C" w14:textId="77777777" w:rsidR="009B7AED" w:rsidRPr="00251B8F" w:rsidRDefault="009B7AED" w:rsidP="005F7145">
      <w:pPr>
        <w:pStyle w:val="BodyText"/>
        <w:ind w:left="648"/>
      </w:pPr>
      <w:r w:rsidRPr="00251B8F">
        <w:t>3 = both sides of the road combined (appropriate for example, if counting a trail or other shared use path, or for a “General Activity Count” where Functional Class is coded as “9”)</w:t>
      </w:r>
    </w:p>
    <w:p w14:paraId="55115CDD" w14:textId="77777777" w:rsidR="009B7AED" w:rsidRPr="00251B8F" w:rsidRDefault="009B7AED" w:rsidP="005F7145">
      <w:pPr>
        <w:pStyle w:val="BodyText"/>
        <w:ind w:left="648"/>
      </w:pPr>
      <w:r w:rsidRPr="00251B8F">
        <w:t>4 = traffic moving perpendicular to the roadway (that is, crossing the street). Note: If Field 7 is set to 4 (traffic moving perpendicular to the roadway), then Field 8, “Direction of Movement” must have a value of 3, 5, or 6 (both ways, left to right, or right to left)</w:t>
      </w:r>
    </w:p>
    <w:p w14:paraId="16247A9B" w14:textId="77777777" w:rsidR="009B7AED" w:rsidRPr="00251B8F" w:rsidRDefault="009B7AED" w:rsidP="005F7145">
      <w:pPr>
        <w:pStyle w:val="BodyText"/>
        <w:ind w:left="648"/>
      </w:pPr>
      <w:r w:rsidRPr="00251B8F">
        <w:t>Example: If you code the Direction of Route as “North” and are in fact facing in that northbound direction, a “1” for this variable would indicate that you are counting on the right (eastern) side of the road; a “2” would indicate you are counting micromobility traffic on the left (western) side of the road; a “3” would indicate that you are counting all micromobility traffic, regardless of which side of the road (which would be appropriate, for example, on a trail or other shared use path). For that same facility, if Direction of Route were coded as “South” then a count performed on the eastern side of the road would be coded as a “2”, since it would be on the opposite side of the road for vehicle traveling southbound.</w:t>
      </w:r>
    </w:p>
    <w:p w14:paraId="10804A81" w14:textId="77777777" w:rsidR="009B7AED" w:rsidRPr="00D96273" w:rsidRDefault="009B7AED">
      <w:pPr>
        <w:numPr>
          <w:ilvl w:val="0"/>
          <w:numId w:val="51"/>
        </w:numPr>
        <w:spacing w:after="120"/>
        <w:ind w:left="648"/>
        <w:jc w:val="left"/>
      </w:pPr>
      <w:r w:rsidRPr="00D96273">
        <w:t>Direction of Movement (Column 3</w:t>
      </w:r>
      <w:r>
        <w:t>7</w:t>
      </w:r>
      <w:r w:rsidRPr="00D96273">
        <w:t xml:space="preserve">) – </w:t>
      </w:r>
      <w:r>
        <w:rPr>
          <w:i/>
          <w:iCs/>
        </w:rPr>
        <w:t>Required</w:t>
      </w:r>
    </w:p>
    <w:p w14:paraId="24B6E133" w14:textId="3CF14FF4" w:rsidR="009B7AED" w:rsidRPr="00251B8F" w:rsidRDefault="009B7AED" w:rsidP="005F7145">
      <w:pPr>
        <w:pStyle w:val="BodyText"/>
        <w:ind w:left="648"/>
      </w:pPr>
      <w:r w:rsidRPr="00251B8F">
        <w:t>See Section 4.</w:t>
      </w:r>
      <w:r w:rsidR="00530921">
        <w:t>8</w:t>
      </w:r>
      <w:r w:rsidRPr="00251B8F">
        <w:t xml:space="preserve">, Field #8 of the Micromobility Count Station Description </w:t>
      </w:r>
      <w:r>
        <w:t>r</w:t>
      </w:r>
      <w:r w:rsidRPr="00251B8F">
        <w:t>ecord.</w:t>
      </w:r>
    </w:p>
    <w:p w14:paraId="16EA2D0F" w14:textId="77777777" w:rsidR="009B7AED" w:rsidRPr="00251B8F" w:rsidRDefault="009B7AED" w:rsidP="005F7145">
      <w:pPr>
        <w:pStyle w:val="BodyText"/>
        <w:ind w:left="648"/>
      </w:pPr>
      <w:r w:rsidRPr="00251B8F">
        <w:t>1 = travel monitored only occurring in the Direction of Route</w:t>
      </w:r>
    </w:p>
    <w:p w14:paraId="30CF4F86" w14:textId="77777777" w:rsidR="009B7AED" w:rsidRPr="00251B8F" w:rsidRDefault="009B7AED" w:rsidP="005F7145">
      <w:pPr>
        <w:pStyle w:val="BodyText"/>
        <w:ind w:left="648"/>
      </w:pPr>
      <w:r w:rsidRPr="00251B8F">
        <w:t>2 = travel monitored only occurring opposite to the Direction of Route</w:t>
      </w:r>
    </w:p>
    <w:p w14:paraId="1C2A8E90" w14:textId="77777777" w:rsidR="009B7AED" w:rsidRPr="00251B8F" w:rsidRDefault="009B7AED" w:rsidP="005F7145">
      <w:pPr>
        <w:pStyle w:val="BodyText"/>
        <w:ind w:left="648"/>
      </w:pPr>
      <w:r w:rsidRPr="00251B8F">
        <w:t>3 = travel in both (all) directions</w:t>
      </w:r>
    </w:p>
    <w:p w14:paraId="27ABFDB6" w14:textId="77777777" w:rsidR="009B7AED" w:rsidRPr="00251B8F" w:rsidRDefault="009B7AED" w:rsidP="005F7145">
      <w:pPr>
        <w:pStyle w:val="BodyText"/>
        <w:ind w:left="648"/>
      </w:pPr>
      <w:r w:rsidRPr="00251B8F">
        <w:lastRenderedPageBreak/>
        <w:t>4 = travel at an intersection that includes all movements (e.g., the sum of movements on all four crosswalks, or all movements occurring during a pedestrian scramble (or “Barnes Dance”) phase. Note: The “Intersection” variable should also be coded as a “1” or “2” if this variable is coded as a “4”. For a “General Activity Count” that includes all movements in all directions (Functional Class coded as “9”, Direction of Route coded as “0” or “9”), code Direction of Movement as a “3” “all directions”</w:t>
      </w:r>
    </w:p>
    <w:p w14:paraId="0C30E8F7" w14:textId="77777777" w:rsidR="009B7AED" w:rsidRPr="00251B8F" w:rsidRDefault="009B7AED" w:rsidP="005F7145">
      <w:pPr>
        <w:pStyle w:val="BodyText"/>
        <w:ind w:left="648"/>
      </w:pPr>
      <w:r w:rsidRPr="00251B8F">
        <w:t>5 = Travel monitored perpendicular to Direction of Route, crossing from Left to Right (facing Direction of Route)</w:t>
      </w:r>
    </w:p>
    <w:p w14:paraId="4B6607E6" w14:textId="77777777" w:rsidR="009B7AED" w:rsidRPr="00251B8F" w:rsidRDefault="009B7AED" w:rsidP="005F7145">
      <w:pPr>
        <w:pStyle w:val="BodyText"/>
        <w:ind w:left="648"/>
      </w:pPr>
      <w:r w:rsidRPr="00251B8F">
        <w:t>6 = Travel monitored perpendicular to Direction of Route, crossing from Right to Left (facing Direction of Route)</w:t>
      </w:r>
    </w:p>
    <w:p w14:paraId="2449D6ED" w14:textId="77777777" w:rsidR="009B7AED" w:rsidRPr="00251B8F" w:rsidRDefault="009B7AED" w:rsidP="005F7145">
      <w:pPr>
        <w:pStyle w:val="BodyText"/>
        <w:ind w:left="648"/>
      </w:pPr>
      <w:r w:rsidRPr="00251B8F">
        <w:t>Note: To understand where a count is being taken (what side of the road, and which directions of movement are being counted) it is necessary to look at all three variables, Direction of Route, Location of Count Relative to Roadway, and Direction of Movement. It may also be necessary to look at the Facility Type variable immediately below.</w:t>
      </w:r>
    </w:p>
    <w:p w14:paraId="3FC709CE" w14:textId="5921460F" w:rsidR="009B7AED" w:rsidRPr="00251B8F" w:rsidRDefault="009B7AED" w:rsidP="005F7145">
      <w:pPr>
        <w:pStyle w:val="BodyText"/>
        <w:ind w:left="648"/>
      </w:pPr>
      <w:r w:rsidRPr="00251B8F">
        <w:t>Note: If this field is set to either of the perpendicular codes (“5” or “6”), then Field 7 (Location of Count Relative to Roadway) must be set to “4” (perpendicular to roadway).</w:t>
      </w:r>
      <w:r w:rsidR="004D4172">
        <w:t xml:space="preserve"> </w:t>
      </w:r>
    </w:p>
    <w:p w14:paraId="51CFF728" w14:textId="77777777" w:rsidR="009B7AED" w:rsidRPr="00D96273" w:rsidRDefault="009B7AED">
      <w:pPr>
        <w:numPr>
          <w:ilvl w:val="0"/>
          <w:numId w:val="51"/>
        </w:numPr>
        <w:spacing w:after="120"/>
        <w:ind w:left="648"/>
        <w:jc w:val="left"/>
        <w:rPr>
          <w:i/>
        </w:rPr>
      </w:pPr>
      <w:r w:rsidRPr="00D96273">
        <w:t xml:space="preserve">Facility </w:t>
      </w:r>
      <w:r>
        <w:t>T</w:t>
      </w:r>
      <w:r w:rsidRPr="00D96273">
        <w:t>ype (Column 3</w:t>
      </w:r>
      <w:r>
        <w:t>8</w:t>
      </w:r>
      <w:r w:rsidRPr="00D96273">
        <w:t xml:space="preserve">) – </w:t>
      </w:r>
      <w:r>
        <w:rPr>
          <w:i/>
        </w:rPr>
        <w:t>Required</w:t>
      </w:r>
    </w:p>
    <w:p w14:paraId="324992C6" w14:textId="43C6C749" w:rsidR="009B7AED" w:rsidRPr="00D96273" w:rsidRDefault="009B7AED" w:rsidP="005F7145">
      <w:pPr>
        <w:pStyle w:val="BodyText"/>
        <w:ind w:left="648"/>
      </w:pPr>
      <w:r w:rsidRPr="00D96273">
        <w:t xml:space="preserve">See Section </w:t>
      </w:r>
      <w:r>
        <w:t>4</w:t>
      </w:r>
      <w:r w:rsidRPr="00D96273">
        <w:t>.</w:t>
      </w:r>
      <w:r w:rsidR="00530921">
        <w:t>8</w:t>
      </w:r>
      <w:r w:rsidRPr="00D96273">
        <w:t xml:space="preserve">, Field #9 of the </w:t>
      </w:r>
      <w:r>
        <w:t xml:space="preserve">Micromobility </w:t>
      </w:r>
      <w:r w:rsidRPr="00D96273">
        <w:t xml:space="preserve">Count Station Description </w:t>
      </w:r>
      <w:r>
        <w:t>r</w:t>
      </w:r>
      <w:r w:rsidRPr="00D96273">
        <w:t>ecord.</w:t>
      </w:r>
    </w:p>
    <w:p w14:paraId="4B907638" w14:textId="77777777" w:rsidR="009B7AED" w:rsidRPr="00D96273" w:rsidRDefault="009B7AED" w:rsidP="005F7145">
      <w:pPr>
        <w:pStyle w:val="BodyText"/>
        <w:ind w:left="648"/>
      </w:pPr>
      <w:r w:rsidRPr="00D96273">
        <w:t>Indicates if the count was taken outside of the primary right-of-way:</w:t>
      </w:r>
    </w:p>
    <w:p w14:paraId="00141658" w14:textId="77777777" w:rsidR="009B7AED" w:rsidRPr="00D96273" w:rsidRDefault="009B7AED" w:rsidP="005F7145">
      <w:pPr>
        <w:pStyle w:val="BodyText"/>
        <w:ind w:left="648"/>
      </w:pPr>
      <w:r w:rsidRPr="00D96273">
        <w:t>0 = On a trail not intended for on-road motor vehicles (may accommodate snowmobiles or other off-road motorized vehicles) and not within the right of way of an adjacent road</w:t>
      </w:r>
    </w:p>
    <w:p w14:paraId="1DA9D2D6" w14:textId="77777777" w:rsidR="009B7AED" w:rsidRPr="00D96273" w:rsidRDefault="009B7AED" w:rsidP="005F7145">
      <w:pPr>
        <w:pStyle w:val="BodyText"/>
        <w:ind w:left="648"/>
      </w:pPr>
      <w:r w:rsidRPr="00D96273">
        <w:t>1 = in a shared roadway lane or shared trail right of way. (Note: Coding “1” rather than “0” for a trail would indicate the trail is potentially open to motor vehicles such as a fire road in a national forest.)</w:t>
      </w:r>
    </w:p>
    <w:p w14:paraId="170A1D4F" w14:textId="77777777" w:rsidR="009B7AED" w:rsidRPr="00D96273" w:rsidRDefault="009B7AED" w:rsidP="005F7145">
      <w:pPr>
        <w:pStyle w:val="BodyText"/>
        <w:ind w:left="648"/>
      </w:pPr>
      <w:r w:rsidRPr="00D96273">
        <w:t>2 = exclusively in a crosswalk</w:t>
      </w:r>
    </w:p>
    <w:p w14:paraId="7A131E56" w14:textId="77777777" w:rsidR="009B7AED" w:rsidRPr="00D96273" w:rsidRDefault="009B7AED" w:rsidP="005F7145">
      <w:pPr>
        <w:pStyle w:val="BodyText"/>
        <w:ind w:left="648"/>
      </w:pPr>
      <w:r w:rsidRPr="00D96273">
        <w:t>3 = on a sidewalk intended primarily or exclusively for pedestrians</w:t>
      </w:r>
    </w:p>
    <w:p w14:paraId="4A7FC3C0" w14:textId="77777777" w:rsidR="009B7AED" w:rsidRPr="00D96273" w:rsidRDefault="009B7AED" w:rsidP="005F7145">
      <w:pPr>
        <w:pStyle w:val="BodyText"/>
        <w:ind w:left="648"/>
      </w:pPr>
      <w:r w:rsidRPr="00D96273">
        <w:t>4 = in a striped (painted) bicycle lane (with no physical barrier separating adjacent motorized traffic)</w:t>
      </w:r>
    </w:p>
    <w:p w14:paraId="228575FE" w14:textId="77777777" w:rsidR="009B7AED" w:rsidRPr="00D96273" w:rsidRDefault="009B7AED" w:rsidP="005F7145">
      <w:pPr>
        <w:pStyle w:val="BodyText"/>
        <w:ind w:left="648"/>
      </w:pPr>
      <w:r w:rsidRPr="00D96273">
        <w:t xml:space="preserve">5 = on an overpass intended to allow </w:t>
      </w:r>
      <w:r>
        <w:t xml:space="preserve">micromobility </w:t>
      </w:r>
      <w:r w:rsidRPr="00D96273">
        <w:t>traffic to pass over a roadway</w:t>
      </w:r>
    </w:p>
    <w:p w14:paraId="750C518F" w14:textId="77777777" w:rsidR="009B7AED" w:rsidRPr="00D96273" w:rsidRDefault="009B7AED" w:rsidP="005F7145">
      <w:pPr>
        <w:pStyle w:val="BodyText"/>
        <w:ind w:left="648"/>
      </w:pPr>
      <w:r w:rsidRPr="00D96273">
        <w:t xml:space="preserve">6 = in an underpass intended to allow </w:t>
      </w:r>
      <w:r>
        <w:t xml:space="preserve">micromobility </w:t>
      </w:r>
      <w:r w:rsidRPr="00D96273">
        <w:t>traffic to pass under a roadway</w:t>
      </w:r>
    </w:p>
    <w:p w14:paraId="74A1D54E" w14:textId="77777777" w:rsidR="009B7AED" w:rsidRPr="00D96273" w:rsidRDefault="009B7AED" w:rsidP="005F7145">
      <w:pPr>
        <w:pStyle w:val="BodyText"/>
        <w:ind w:left="648"/>
      </w:pPr>
      <w:r w:rsidRPr="00D96273">
        <w:t>7 = in a physically separated bicycle lane (separated by curb, bollards, or other vertical element from an immediately adjacent motorized roadway lane)</w:t>
      </w:r>
    </w:p>
    <w:p w14:paraId="7F810300" w14:textId="77777777" w:rsidR="009B7AED" w:rsidRPr="00D96273" w:rsidRDefault="009B7AED" w:rsidP="005F7145">
      <w:pPr>
        <w:pStyle w:val="BodyText"/>
        <w:ind w:left="648"/>
      </w:pPr>
      <w:r w:rsidRPr="00D96273">
        <w:t>8 = on a side-path intended for bicycles or for bicycles and pedestrians, occurring in a roadway right of way or immediately adjacent to a roadway (distinguished from "3" by explicitly allowing bicycles; distinguished from "0" by being associated with a roadway; distinguished from "7" by being separated by landscaping or an unpaved area from the adjacent roadway)</w:t>
      </w:r>
    </w:p>
    <w:p w14:paraId="135D05F9" w14:textId="77777777" w:rsidR="009B7AED" w:rsidRPr="00D96273" w:rsidRDefault="009B7AED" w:rsidP="005F7145">
      <w:pPr>
        <w:pStyle w:val="BodyText"/>
        <w:ind w:left="648"/>
      </w:pPr>
      <w:r w:rsidRPr="00D96273">
        <w:t>9 = general area (for general area count, with no facility explicitly designated)</w:t>
      </w:r>
    </w:p>
    <w:p w14:paraId="72BAD561" w14:textId="0A96DC75" w:rsidR="005F7145" w:rsidRDefault="009B7AED" w:rsidP="005F7145">
      <w:pPr>
        <w:pStyle w:val="BodyText"/>
        <w:ind w:left="648"/>
      </w:pPr>
      <w:r w:rsidRPr="00D96273">
        <w:t>Note 1: If “perpendicular to traffic” (“4”) is selected in “Location of Count Relative to Roadway” variable and the “Facility Type” variable is coded as “in roadway right of way” (“1”) then the count includes ALL people crossing a roadway. If “exclusively in a crosswalk” (“2”) is indicated, then only those in the crosswalk (or directly next to the crosswalk) are being counted. This coding differentiation is designed to indicate if all pedestrians crossing a street within a given block (including jaywalkers) are being counted, or whether only pedestrians using a mark</w:t>
      </w:r>
      <w:r>
        <w:t>ed crosswalk are being counted.</w:t>
      </w:r>
    </w:p>
    <w:p w14:paraId="5894341E" w14:textId="77777777" w:rsidR="005F7145" w:rsidRDefault="005F7145">
      <w:pPr>
        <w:widowControl/>
        <w:suppressAutoHyphens w:val="0"/>
        <w:autoSpaceDE/>
        <w:autoSpaceDN/>
        <w:adjustRightInd/>
        <w:spacing w:after="160" w:line="259" w:lineRule="auto"/>
        <w:jc w:val="left"/>
        <w:textAlignment w:val="auto"/>
        <w:rPr>
          <w:color w:val="auto"/>
        </w:rPr>
      </w:pPr>
      <w:r>
        <w:br w:type="page"/>
      </w:r>
    </w:p>
    <w:p w14:paraId="0498E5B9" w14:textId="77777777" w:rsidR="009B7AED" w:rsidRPr="00D96273" w:rsidRDefault="009B7AED">
      <w:pPr>
        <w:numPr>
          <w:ilvl w:val="0"/>
          <w:numId w:val="51"/>
        </w:numPr>
        <w:spacing w:after="120"/>
        <w:ind w:left="648"/>
        <w:jc w:val="left"/>
      </w:pPr>
      <w:r w:rsidRPr="00D96273">
        <w:lastRenderedPageBreak/>
        <w:t>Type of Count (Column 3</w:t>
      </w:r>
      <w:r>
        <w:t>9</w:t>
      </w:r>
      <w:r w:rsidRPr="00D96273">
        <w:t xml:space="preserve">) – </w:t>
      </w:r>
      <w:r>
        <w:rPr>
          <w:i/>
        </w:rPr>
        <w:t>Required</w:t>
      </w:r>
    </w:p>
    <w:p w14:paraId="78B1AADE" w14:textId="77777777" w:rsidR="009B7AED" w:rsidRPr="00D96273" w:rsidRDefault="009B7AED" w:rsidP="005F7145">
      <w:pPr>
        <w:pStyle w:val="BodyText"/>
        <w:ind w:left="648"/>
      </w:pPr>
      <w:r w:rsidRPr="00D96273">
        <w:t>1 = pedestrians (only) are being counted</w:t>
      </w:r>
    </w:p>
    <w:p w14:paraId="52F4FD7C" w14:textId="77777777" w:rsidR="009B7AED" w:rsidRPr="00D96273" w:rsidRDefault="009B7AED" w:rsidP="005F7145">
      <w:pPr>
        <w:pStyle w:val="BodyText"/>
        <w:ind w:left="648"/>
      </w:pPr>
      <w:r w:rsidRPr="00D96273">
        <w:t>2 = bicycles (only) are being counted</w:t>
      </w:r>
    </w:p>
    <w:p w14:paraId="1BAD5B2F" w14:textId="77777777" w:rsidR="009B7AED" w:rsidRPr="00D96273" w:rsidRDefault="009B7AED" w:rsidP="005F7145">
      <w:pPr>
        <w:pStyle w:val="BodyText"/>
        <w:ind w:left="648"/>
      </w:pPr>
      <w:r w:rsidRPr="00D96273">
        <w:t>3 = equestrians (only) are being counted</w:t>
      </w:r>
    </w:p>
    <w:p w14:paraId="648FEB72" w14:textId="77777777" w:rsidR="009B7AED" w:rsidRPr="00D96273" w:rsidRDefault="009B7AED" w:rsidP="005F7145">
      <w:pPr>
        <w:pStyle w:val="BodyText"/>
        <w:ind w:left="648"/>
      </w:pPr>
      <w:r w:rsidRPr="00D96273">
        <w:t>4 = persons in wheelchairs</w:t>
      </w:r>
    </w:p>
    <w:p w14:paraId="727013F4" w14:textId="6A3D2724" w:rsidR="009B7AED" w:rsidRPr="00D96273" w:rsidRDefault="009B7AED" w:rsidP="005F7145">
      <w:pPr>
        <w:pStyle w:val="BodyText"/>
        <w:ind w:left="648"/>
      </w:pPr>
      <w:r w:rsidRPr="00D96273">
        <w:t>5 = persons using other pedestrian assistive devices (skates, skateboards, Segway®, hoverboards, etc.)</w:t>
      </w:r>
    </w:p>
    <w:p w14:paraId="50BA6842" w14:textId="77777777" w:rsidR="009B7AED" w:rsidRPr="00D96273" w:rsidRDefault="009B7AED" w:rsidP="005F7145">
      <w:pPr>
        <w:pStyle w:val="BodyText"/>
        <w:ind w:left="648"/>
      </w:pPr>
      <w:r w:rsidRPr="00D96273">
        <w:t>6 = motorized vehicles on a trail (e.g., snowmobiles, all-terrain vehicles, etc.)</w:t>
      </w:r>
    </w:p>
    <w:p w14:paraId="1A3E9481" w14:textId="77777777" w:rsidR="009B7AED" w:rsidRPr="00D96273" w:rsidRDefault="009B7AED" w:rsidP="005F7145">
      <w:pPr>
        <w:pStyle w:val="BodyText"/>
        <w:ind w:left="648"/>
      </w:pPr>
      <w:r w:rsidRPr="00D96273">
        <w:t>7 = all bicycles and pedestrians (sum of codes 1 and 2)</w:t>
      </w:r>
    </w:p>
    <w:p w14:paraId="6DD3DB3F" w14:textId="77777777" w:rsidR="009B7AED" w:rsidRPr="00D96273" w:rsidRDefault="009B7AED" w:rsidP="005F7145">
      <w:pPr>
        <w:pStyle w:val="BodyText"/>
        <w:ind w:left="648"/>
      </w:pPr>
      <w:r w:rsidRPr="00D96273">
        <w:t xml:space="preserve">8 = all </w:t>
      </w:r>
      <w:r>
        <w:t>micromobility t</w:t>
      </w:r>
      <w:r w:rsidRPr="00D96273">
        <w:t>raffic on the facility (sum of codes 1 through 5)</w:t>
      </w:r>
    </w:p>
    <w:p w14:paraId="738EFD8A" w14:textId="77777777" w:rsidR="009B7AED" w:rsidRPr="00D96273" w:rsidRDefault="009B7AED" w:rsidP="005F7145">
      <w:pPr>
        <w:pStyle w:val="BodyText"/>
        <w:ind w:left="648"/>
      </w:pPr>
      <w:r w:rsidRPr="00D96273">
        <w:t>9 = all traffic on a trail (sum of codes 1 through 6)</w:t>
      </w:r>
    </w:p>
    <w:p w14:paraId="4FA18880" w14:textId="7D324152" w:rsidR="009B7AED" w:rsidRPr="00D96273" w:rsidRDefault="009B7AED" w:rsidP="005F7145">
      <w:pPr>
        <w:pStyle w:val="BodyText"/>
        <w:ind w:left="648"/>
      </w:pPr>
      <w:r w:rsidRPr="00D96273">
        <w:t>0 = other animals (e.g., pack mules, deer, or migrating caribou; specify in Field 32, Other Notes</w:t>
      </w:r>
      <w:r w:rsidRPr="00D96273" w:rsidDel="0075783F">
        <w:t xml:space="preserve"> </w:t>
      </w:r>
      <w:r w:rsidRPr="00D96273">
        <w:t xml:space="preserve">of the </w:t>
      </w:r>
      <w:r>
        <w:t xml:space="preserve">Micromobility </w:t>
      </w:r>
      <w:r w:rsidRPr="00D96273">
        <w:t xml:space="preserve">Count Station Description Record) </w:t>
      </w:r>
    </w:p>
    <w:p w14:paraId="02FE6999" w14:textId="778D2036" w:rsidR="009B7AED" w:rsidRPr="00566B97" w:rsidRDefault="009B7AED" w:rsidP="005F7145">
      <w:pPr>
        <w:pStyle w:val="BodyText"/>
        <w:ind w:left="648"/>
      </w:pPr>
      <w:r w:rsidRPr="00566B97">
        <w:t>Helmet Use, Gender, and Age may optionally be reported, if any of these are present.</w:t>
      </w:r>
      <w:r w:rsidR="004D4172">
        <w:t xml:space="preserve"> </w:t>
      </w:r>
      <w:r w:rsidRPr="00566B97">
        <w:t>If one of these fields (say Helmet Use) is provided, then at least two, and optionally three, count records must be provided. In the case of Helmet Use, the required count records would be for “No helmet” and “Helmet observed,” and the optional count record would be for “Indeterminate.” The “Indeterminate” record would contain counts where the observer recorded a bicyclist but could not determine (or did not record) whether a helmet was being used (e.g., if the bicyclist had headgear but it might have been only a hat).</w:t>
      </w:r>
    </w:p>
    <w:p w14:paraId="7525D6EA" w14:textId="7DE7F07C" w:rsidR="009B7AED" w:rsidRPr="00566B97" w:rsidRDefault="009B7AED" w:rsidP="005F7145">
      <w:pPr>
        <w:pStyle w:val="BodyText"/>
        <w:ind w:left="648"/>
      </w:pPr>
      <w:r w:rsidRPr="00566B97">
        <w:t>If data on Helmet Use and Gender (Field 14) are collected simultaneously, then up to nine count records are needed for each day and direction of movement (i.e., males with helmets, males without helmets, males with indeterminate helmet use, females with helmets, females without helmets, and females with indeterminate helmet use, indeterminate gender with helmets, indeterminate gender without helmets, and indeterminate gender with indeterminate helmet use).</w:t>
      </w:r>
      <w:r w:rsidR="004D4172">
        <w:t xml:space="preserve"> </w:t>
      </w:r>
      <w:r w:rsidRPr="00566B97">
        <w:t xml:space="preserve">Likewise, If Age is also collected, then up to 27 count records are needed for each day and direction of movement to account for all possible combinations. </w:t>
      </w:r>
    </w:p>
    <w:p w14:paraId="47B2C206" w14:textId="6BBA91F9" w:rsidR="009B7AED" w:rsidRPr="00D96273" w:rsidRDefault="009B7AED">
      <w:pPr>
        <w:numPr>
          <w:ilvl w:val="0"/>
          <w:numId w:val="51"/>
        </w:numPr>
        <w:spacing w:after="120"/>
        <w:ind w:left="648"/>
        <w:jc w:val="left"/>
      </w:pPr>
      <w:r w:rsidRPr="00D96273">
        <w:t xml:space="preserve">Helmet Use (Column </w:t>
      </w:r>
      <w:r>
        <w:t>40</w:t>
      </w:r>
      <w:r w:rsidRPr="00D96273">
        <w:t xml:space="preserve">) </w:t>
      </w:r>
      <w:r w:rsidR="00ED2A81">
        <w:t>–</w:t>
      </w:r>
      <w:r w:rsidRPr="00D96273">
        <w:t xml:space="preserve"> </w:t>
      </w:r>
      <w:r w:rsidRPr="00D96273">
        <w:rPr>
          <w:i/>
          <w:iCs/>
        </w:rPr>
        <w:t>Optional</w:t>
      </w:r>
    </w:p>
    <w:p w14:paraId="2FCA4A0E" w14:textId="77777777" w:rsidR="009B7AED" w:rsidRPr="00D96273" w:rsidRDefault="009B7AED" w:rsidP="005F7145">
      <w:pPr>
        <w:pStyle w:val="BodyText"/>
        <w:ind w:left="648"/>
      </w:pPr>
      <w:r w:rsidRPr="00D96273">
        <w:t>Blank = all subjects (helmet or not)</w:t>
      </w:r>
    </w:p>
    <w:p w14:paraId="7E87C7CF" w14:textId="77777777" w:rsidR="009B7AED" w:rsidRPr="00D96273" w:rsidRDefault="009B7AED" w:rsidP="005F7145">
      <w:pPr>
        <w:pStyle w:val="BodyText"/>
        <w:ind w:left="648"/>
      </w:pPr>
      <w:r w:rsidRPr="00D96273">
        <w:t>N = No helmet</w:t>
      </w:r>
    </w:p>
    <w:p w14:paraId="3A095067" w14:textId="77777777" w:rsidR="009B7AED" w:rsidRPr="00D96273" w:rsidRDefault="009B7AED" w:rsidP="005F7145">
      <w:pPr>
        <w:pStyle w:val="BodyText"/>
        <w:ind w:left="648"/>
      </w:pPr>
      <w:r w:rsidRPr="00D96273">
        <w:t>H = Helmet observed</w:t>
      </w:r>
    </w:p>
    <w:p w14:paraId="125E512B" w14:textId="77777777" w:rsidR="009B7AED" w:rsidRPr="00D96273" w:rsidRDefault="009B7AED" w:rsidP="005F7145">
      <w:pPr>
        <w:pStyle w:val="BodyText"/>
        <w:ind w:left="648"/>
      </w:pPr>
      <w:r w:rsidRPr="00D96273">
        <w:t>I = Indeterminate (Helmet was sought for the count, but the observer did not specify)</w:t>
      </w:r>
    </w:p>
    <w:p w14:paraId="475C989E" w14:textId="1E79DC5A" w:rsidR="005F7145" w:rsidRDefault="009B7AED" w:rsidP="005F7145">
      <w:pPr>
        <w:pStyle w:val="BodyText"/>
        <w:ind w:left="648"/>
      </w:pPr>
      <w:r w:rsidRPr="00D96273">
        <w:t>Note: If helmet use is not being reported, then submit one record for each day, with all counts combined, and leave Field 13 = blank.</w:t>
      </w:r>
      <w:r w:rsidR="004D4172">
        <w:t xml:space="preserve"> </w:t>
      </w:r>
      <w:r w:rsidRPr="00D96273">
        <w:t xml:space="preserve">If data on helmet use are reported, then at least two records </w:t>
      </w:r>
      <w:r w:rsidRPr="00A332F6">
        <w:rPr>
          <w:b/>
          <w:bCs/>
        </w:rPr>
        <w:t>must</w:t>
      </w:r>
      <w:r w:rsidRPr="00D96273">
        <w:t xml:space="preserve"> be submitted for each day when counts are taken.</w:t>
      </w:r>
      <w:r w:rsidR="004D4172">
        <w:t xml:space="preserve"> </w:t>
      </w:r>
      <w:r w:rsidRPr="00D96273">
        <w:t xml:space="preserve">One record describes the volume of travelers observed using a helmet (Field 13 = H) and one record reports the volume of travelers observed not using a helmet (Field 13 = N). A third record may be submitted if some observations could not determine helmet use. </w:t>
      </w:r>
      <w:r w:rsidRPr="00D96273">
        <w:rPr>
          <w:i/>
        </w:rPr>
        <w:t>Records reporting “indeterminate helmet use” are optional when helmet use is being reported; they will be processed when they are submitted.</w:t>
      </w:r>
      <w:r w:rsidR="004D4172">
        <w:t xml:space="preserve"> </w:t>
      </w:r>
      <w:r w:rsidRPr="00D96273">
        <w:t>Zero-filled count fields in the indeterminate record indicate that helmet use could be determined for all observations in that period.</w:t>
      </w:r>
      <w:r w:rsidR="004D4172">
        <w:t xml:space="preserve"> </w:t>
      </w:r>
      <w:r w:rsidRPr="00D96273">
        <w:t>Blank count fields indicate that data collection was not occurring at that time.</w:t>
      </w:r>
    </w:p>
    <w:p w14:paraId="44073965" w14:textId="77777777" w:rsidR="005F7145" w:rsidRDefault="005F7145">
      <w:pPr>
        <w:widowControl/>
        <w:suppressAutoHyphens w:val="0"/>
        <w:autoSpaceDE/>
        <w:autoSpaceDN/>
        <w:adjustRightInd/>
        <w:spacing w:after="160" w:line="259" w:lineRule="auto"/>
        <w:jc w:val="left"/>
        <w:textAlignment w:val="auto"/>
        <w:rPr>
          <w:color w:val="auto"/>
        </w:rPr>
      </w:pPr>
      <w:r>
        <w:br w:type="page"/>
      </w:r>
    </w:p>
    <w:p w14:paraId="4657AF81" w14:textId="37B18353" w:rsidR="009B7AED" w:rsidRPr="00D96273" w:rsidRDefault="009B7AED">
      <w:pPr>
        <w:numPr>
          <w:ilvl w:val="0"/>
          <w:numId w:val="51"/>
        </w:numPr>
        <w:spacing w:after="120"/>
        <w:ind w:left="648"/>
        <w:jc w:val="left"/>
      </w:pPr>
      <w:r w:rsidRPr="00D96273">
        <w:lastRenderedPageBreak/>
        <w:t xml:space="preserve">Gender (Column </w:t>
      </w:r>
      <w:r>
        <w:t>41</w:t>
      </w:r>
      <w:r w:rsidRPr="00D96273">
        <w:t xml:space="preserve">) </w:t>
      </w:r>
      <w:r w:rsidR="00ED2A81">
        <w:t>–</w:t>
      </w:r>
      <w:r w:rsidRPr="00D96273">
        <w:t xml:space="preserve"> </w:t>
      </w:r>
      <w:r w:rsidRPr="00D96273">
        <w:rPr>
          <w:i/>
          <w:iCs/>
        </w:rPr>
        <w:t>Optional</w:t>
      </w:r>
    </w:p>
    <w:p w14:paraId="2CF4B3FE" w14:textId="77777777" w:rsidR="009B7AED" w:rsidRPr="00D96273" w:rsidRDefault="009B7AED" w:rsidP="005F7145">
      <w:pPr>
        <w:pStyle w:val="BodyText"/>
        <w:ind w:left="648"/>
      </w:pPr>
      <w:r w:rsidRPr="00D96273">
        <w:t>Blank = all genders</w:t>
      </w:r>
    </w:p>
    <w:p w14:paraId="42A9DFBB" w14:textId="77777777" w:rsidR="009B7AED" w:rsidRPr="00D96273" w:rsidRDefault="009B7AED" w:rsidP="005F7145">
      <w:pPr>
        <w:pStyle w:val="BodyText"/>
        <w:ind w:left="648"/>
      </w:pPr>
      <w:r w:rsidRPr="00D96273">
        <w:t>M = perceived Male</w:t>
      </w:r>
    </w:p>
    <w:p w14:paraId="09F8D537" w14:textId="77777777" w:rsidR="009B7AED" w:rsidRPr="00D96273" w:rsidRDefault="009B7AED" w:rsidP="005F7145">
      <w:pPr>
        <w:pStyle w:val="BodyText"/>
        <w:ind w:left="648"/>
      </w:pPr>
      <w:r w:rsidRPr="00D96273">
        <w:t>F = perceived Female</w:t>
      </w:r>
    </w:p>
    <w:p w14:paraId="2A184F03" w14:textId="77777777" w:rsidR="009B7AED" w:rsidRPr="00D96273" w:rsidRDefault="009B7AED" w:rsidP="005F7145">
      <w:pPr>
        <w:pStyle w:val="BodyText"/>
        <w:ind w:left="648"/>
      </w:pPr>
      <w:r w:rsidRPr="00D96273">
        <w:t>I = Indeterminate (Male/Female was counted, but the observer was not able to determine the gender)</w:t>
      </w:r>
    </w:p>
    <w:p w14:paraId="019BEA21" w14:textId="27770BC3" w:rsidR="009B7AED" w:rsidRPr="00D96273" w:rsidRDefault="009B7AED" w:rsidP="005F7145">
      <w:pPr>
        <w:pStyle w:val="BodyText"/>
        <w:ind w:left="648"/>
      </w:pPr>
      <w:r w:rsidRPr="00D96273">
        <w:t xml:space="preserve">Note: If gender is not being reported, then submit one record for each day, with all counts combined, and leave Field 14 blank. If data on gender are collected, then at least two records </w:t>
      </w:r>
      <w:r w:rsidRPr="00D96273">
        <w:rPr>
          <w:u w:val="single"/>
        </w:rPr>
        <w:t>must</w:t>
      </w:r>
      <w:r w:rsidRPr="00D96273">
        <w:t xml:space="preserve"> be submitted for each day counts are taken.</w:t>
      </w:r>
      <w:r w:rsidR="004D4172">
        <w:t xml:space="preserve"> </w:t>
      </w:r>
      <w:r w:rsidRPr="00D96273">
        <w:t>One record describes the volume of travelers that are perceived to be female (Field</w:t>
      </w:r>
      <w:r w:rsidR="00ED2A81">
        <w:t> </w:t>
      </w:r>
      <w:r w:rsidRPr="00D96273">
        <w:t xml:space="preserve">14 = F) and one record reports the volume of travelers that are perceived to be male (Field 14 = M). A third record must be submitted if some observers could not determine the gender of some travelers. </w:t>
      </w:r>
      <w:r w:rsidRPr="00D96273">
        <w:rPr>
          <w:i/>
        </w:rPr>
        <w:t>Records reporting “indeterminate gender” are optional when gender is being reported; they will be processed when they are submitted.</w:t>
      </w:r>
      <w:r w:rsidR="004D4172">
        <w:t xml:space="preserve"> </w:t>
      </w:r>
      <w:r w:rsidRPr="00D96273">
        <w:t>Zero-filled count fields in the indeterminate record indicate that gender could be determined for all observations in that period.</w:t>
      </w:r>
      <w:r w:rsidR="004D4172">
        <w:t xml:space="preserve"> </w:t>
      </w:r>
      <w:r w:rsidRPr="00D96273">
        <w:t>Blank count fields indicate that data collection was not occurring at that time.</w:t>
      </w:r>
    </w:p>
    <w:p w14:paraId="5571A4C4" w14:textId="640EAB3B" w:rsidR="009B7AED" w:rsidRPr="00D96273" w:rsidRDefault="009B7AED">
      <w:pPr>
        <w:numPr>
          <w:ilvl w:val="0"/>
          <w:numId w:val="51"/>
        </w:numPr>
        <w:spacing w:after="120"/>
        <w:ind w:left="648"/>
        <w:jc w:val="left"/>
      </w:pPr>
      <w:r w:rsidRPr="00D96273">
        <w:t xml:space="preserve">Age (Column </w:t>
      </w:r>
      <w:r>
        <w:t>42</w:t>
      </w:r>
      <w:r w:rsidRPr="00D96273">
        <w:t xml:space="preserve">) </w:t>
      </w:r>
      <w:r w:rsidR="00ED2A81">
        <w:t>–</w:t>
      </w:r>
      <w:r w:rsidRPr="00D96273">
        <w:t xml:space="preserve"> </w:t>
      </w:r>
      <w:r w:rsidRPr="00D96273">
        <w:rPr>
          <w:i/>
          <w:iCs/>
        </w:rPr>
        <w:t>Optional</w:t>
      </w:r>
    </w:p>
    <w:p w14:paraId="03CAD690" w14:textId="77777777" w:rsidR="009B7AED" w:rsidRPr="00D96273" w:rsidRDefault="009B7AED" w:rsidP="005F7145">
      <w:pPr>
        <w:pStyle w:val="BodyText"/>
        <w:ind w:left="648"/>
      </w:pPr>
      <w:r w:rsidRPr="00D96273">
        <w:t>Blank = all ages</w:t>
      </w:r>
    </w:p>
    <w:p w14:paraId="17960BB6" w14:textId="77777777" w:rsidR="009B7AED" w:rsidRPr="00D96273" w:rsidRDefault="009B7AED" w:rsidP="005F7145">
      <w:pPr>
        <w:pStyle w:val="BodyText"/>
        <w:ind w:left="648"/>
      </w:pPr>
      <w:r w:rsidRPr="00D96273">
        <w:t>C = Child (pre-teen)</w:t>
      </w:r>
    </w:p>
    <w:p w14:paraId="724BFDD6" w14:textId="77777777" w:rsidR="009B7AED" w:rsidRPr="00D96273" w:rsidRDefault="009B7AED" w:rsidP="005F7145">
      <w:pPr>
        <w:pStyle w:val="BodyText"/>
        <w:ind w:left="648"/>
      </w:pPr>
      <w:r w:rsidRPr="00D96273">
        <w:t>A = Adult (teen or older)</w:t>
      </w:r>
    </w:p>
    <w:p w14:paraId="6855E7D6" w14:textId="77777777" w:rsidR="009B7AED" w:rsidRPr="00D96273" w:rsidRDefault="009B7AED" w:rsidP="005F7145">
      <w:pPr>
        <w:pStyle w:val="BodyText"/>
        <w:ind w:left="648"/>
      </w:pPr>
      <w:r w:rsidRPr="00D96273">
        <w:t>I = Indeterminate (Age was counted, but the observer could not determine the appropriate age category of one or more individuals)</w:t>
      </w:r>
    </w:p>
    <w:p w14:paraId="42ABE890" w14:textId="33015980" w:rsidR="009B7AED" w:rsidRPr="00D96273" w:rsidRDefault="009B7AED" w:rsidP="005F7145">
      <w:pPr>
        <w:pStyle w:val="BodyText"/>
        <w:ind w:left="648"/>
      </w:pPr>
      <w:r w:rsidRPr="00D96273">
        <w:t xml:space="preserve">Note: If age is not being reported, then submit one record for each day, with all counts combined, and leave Field 15 blank. If data on age are collected, then at least two records </w:t>
      </w:r>
      <w:r w:rsidRPr="00D96273">
        <w:rPr>
          <w:u w:val="single"/>
        </w:rPr>
        <w:t>must</w:t>
      </w:r>
      <w:r w:rsidRPr="00D96273">
        <w:t xml:space="preserve"> be submitted for each day counts are taken.</w:t>
      </w:r>
      <w:r w:rsidR="004D4172">
        <w:t xml:space="preserve"> </w:t>
      </w:r>
      <w:r w:rsidRPr="00D96273">
        <w:t xml:space="preserve">One record describes the volume of travelers that are perceived to be children (Field 15 = C) and one record reports the volume of travelers that are perceived to be adults (Field 15 = A). A third record must be submitted if observers could not determine the appropriate age category for some travelers. </w:t>
      </w:r>
      <w:r w:rsidRPr="00D96273">
        <w:rPr>
          <w:i/>
        </w:rPr>
        <w:t>Records reporting “indeterminate age” are optional when age is being reported; they will be processed when they are submitted.</w:t>
      </w:r>
      <w:r w:rsidR="004D4172">
        <w:t xml:space="preserve"> </w:t>
      </w:r>
      <w:r w:rsidRPr="00D96273">
        <w:t>Zero filled count fields in the indeterminate record indicate that gender could be determined for all observations in that period.</w:t>
      </w:r>
      <w:r w:rsidR="004D4172">
        <w:t xml:space="preserve"> </w:t>
      </w:r>
      <w:r w:rsidRPr="00D96273">
        <w:t>Blank count fields indicate that data collection was not occurring at that time.</w:t>
      </w:r>
    </w:p>
    <w:p w14:paraId="5805C4C3" w14:textId="77777777" w:rsidR="009B7AED" w:rsidRPr="00D96273" w:rsidRDefault="009B7AED">
      <w:pPr>
        <w:numPr>
          <w:ilvl w:val="0"/>
          <w:numId w:val="51"/>
        </w:numPr>
        <w:spacing w:after="120"/>
        <w:ind w:left="648"/>
        <w:jc w:val="left"/>
      </w:pPr>
      <w:r w:rsidRPr="00D96273">
        <w:t xml:space="preserve">Type of Sensor (Columns </w:t>
      </w:r>
      <w:r>
        <w:t>4</w:t>
      </w:r>
      <w:r w:rsidRPr="00D96273">
        <w:t xml:space="preserve">3) – </w:t>
      </w:r>
      <w:r>
        <w:rPr>
          <w:i/>
        </w:rPr>
        <w:t>Required</w:t>
      </w:r>
    </w:p>
    <w:p w14:paraId="705A4E9E" w14:textId="77777777" w:rsidR="009B7AED" w:rsidRPr="00251B8F" w:rsidRDefault="009B7AED" w:rsidP="005F7145">
      <w:pPr>
        <w:pStyle w:val="BodyText"/>
        <w:ind w:left="648"/>
      </w:pPr>
      <w:r w:rsidRPr="00251B8F">
        <w:t>Code for the type of sensor used for detection:</w:t>
      </w:r>
    </w:p>
    <w:p w14:paraId="5387052C" w14:textId="77777777" w:rsidR="009B7AED" w:rsidRPr="00251B8F" w:rsidRDefault="009B7AED" w:rsidP="005F7145">
      <w:pPr>
        <w:pStyle w:val="BodyText"/>
        <w:ind w:left="648"/>
      </w:pPr>
      <w:r w:rsidRPr="00251B8F">
        <w:t>H = Human observation (manual)</w:t>
      </w:r>
    </w:p>
    <w:p w14:paraId="7DDE59E6" w14:textId="77777777" w:rsidR="009B7AED" w:rsidRPr="00251B8F" w:rsidRDefault="009B7AED" w:rsidP="005F7145">
      <w:pPr>
        <w:pStyle w:val="BodyText"/>
        <w:ind w:left="648"/>
      </w:pPr>
      <w:r w:rsidRPr="00251B8F">
        <w:t>I = Infrared (passive)</w:t>
      </w:r>
    </w:p>
    <w:p w14:paraId="562BC27E" w14:textId="77777777" w:rsidR="009B7AED" w:rsidRPr="00251B8F" w:rsidRDefault="009B7AED" w:rsidP="005F7145">
      <w:pPr>
        <w:pStyle w:val="BodyText"/>
        <w:ind w:left="648"/>
      </w:pPr>
      <w:r w:rsidRPr="00251B8F">
        <w:t>2 = Active Infrared (requires a target on other side of facility being monitored)</w:t>
      </w:r>
    </w:p>
    <w:p w14:paraId="67D13204" w14:textId="77777777" w:rsidR="009B7AED" w:rsidRPr="00251B8F" w:rsidRDefault="009B7AED" w:rsidP="005F7145">
      <w:pPr>
        <w:pStyle w:val="BodyText"/>
        <w:ind w:left="648"/>
      </w:pPr>
      <w:r w:rsidRPr="00251B8F">
        <w:t>K = Laser/Lidar</w:t>
      </w:r>
    </w:p>
    <w:p w14:paraId="5F789FEA" w14:textId="77777777" w:rsidR="009B7AED" w:rsidRPr="00251B8F" w:rsidRDefault="009B7AED" w:rsidP="005F7145">
      <w:pPr>
        <w:pStyle w:val="BodyText"/>
        <w:ind w:left="648"/>
      </w:pPr>
      <w:r w:rsidRPr="00251B8F">
        <w:t>L = Inductive loop</w:t>
      </w:r>
    </w:p>
    <w:p w14:paraId="319BB365" w14:textId="0C00D2FD" w:rsidR="009B7AED" w:rsidRPr="00251B8F" w:rsidRDefault="009B7AED" w:rsidP="005F7145">
      <w:pPr>
        <w:pStyle w:val="BodyText"/>
        <w:ind w:left="648"/>
      </w:pPr>
      <w:r w:rsidRPr="00251B8F">
        <w:t>M = Magnetometer</w:t>
      </w:r>
    </w:p>
    <w:p w14:paraId="3D3DE5EF" w14:textId="77777777" w:rsidR="009B7AED" w:rsidRPr="00251B8F" w:rsidRDefault="009B7AED" w:rsidP="005F7145">
      <w:pPr>
        <w:pStyle w:val="BodyText"/>
        <w:ind w:left="648"/>
      </w:pPr>
      <w:r w:rsidRPr="00251B8F">
        <w:t>P = Piezoelectric</w:t>
      </w:r>
    </w:p>
    <w:p w14:paraId="0AAADD2A" w14:textId="77777777" w:rsidR="009B7AED" w:rsidRPr="00251B8F" w:rsidRDefault="009B7AED" w:rsidP="005F7145">
      <w:pPr>
        <w:pStyle w:val="BodyText"/>
        <w:ind w:left="648"/>
      </w:pPr>
      <w:r w:rsidRPr="00251B8F">
        <w:t xml:space="preserve">Q = Quartz piezoelectric </w:t>
      </w:r>
    </w:p>
    <w:p w14:paraId="57F357D8" w14:textId="77777777" w:rsidR="009B7AED" w:rsidRPr="00251B8F" w:rsidRDefault="009B7AED" w:rsidP="005F7145">
      <w:pPr>
        <w:pStyle w:val="BodyText"/>
        <w:ind w:left="648"/>
      </w:pPr>
      <w:r w:rsidRPr="00251B8F">
        <w:t>R = Air tube</w:t>
      </w:r>
    </w:p>
    <w:p w14:paraId="2D7DCD2A" w14:textId="77777777" w:rsidR="009B7AED" w:rsidRPr="00251B8F" w:rsidRDefault="009B7AED" w:rsidP="005F7145">
      <w:pPr>
        <w:pStyle w:val="BodyText"/>
        <w:ind w:left="648"/>
      </w:pPr>
      <w:r w:rsidRPr="00251B8F">
        <w:t>S = Sonic/acoustic</w:t>
      </w:r>
    </w:p>
    <w:p w14:paraId="4E3499FA" w14:textId="77777777" w:rsidR="009B7AED" w:rsidRPr="00251B8F" w:rsidRDefault="009B7AED" w:rsidP="005F7145">
      <w:pPr>
        <w:pStyle w:val="BodyText"/>
        <w:ind w:left="648"/>
      </w:pPr>
      <w:r w:rsidRPr="00251B8F">
        <w:t>T = Tape switch</w:t>
      </w:r>
    </w:p>
    <w:p w14:paraId="5303DDDE" w14:textId="77777777" w:rsidR="009B7AED" w:rsidRPr="00251B8F" w:rsidRDefault="009B7AED" w:rsidP="005F7145">
      <w:pPr>
        <w:pStyle w:val="BodyText"/>
        <w:ind w:left="648"/>
      </w:pPr>
      <w:r w:rsidRPr="00251B8F">
        <w:lastRenderedPageBreak/>
        <w:t>3 = other pressure sensor/mat</w:t>
      </w:r>
    </w:p>
    <w:p w14:paraId="56636384" w14:textId="77777777" w:rsidR="009B7AED" w:rsidRPr="00251B8F" w:rsidRDefault="009B7AED" w:rsidP="005F7145">
      <w:pPr>
        <w:pStyle w:val="BodyText"/>
        <w:ind w:left="648"/>
      </w:pPr>
      <w:r w:rsidRPr="00251B8F">
        <w:t>U = Ultrasonic</w:t>
      </w:r>
    </w:p>
    <w:p w14:paraId="3DED9EF0" w14:textId="77777777" w:rsidR="009B7AED" w:rsidRPr="00251B8F" w:rsidRDefault="009B7AED" w:rsidP="005F7145">
      <w:pPr>
        <w:pStyle w:val="BodyText"/>
        <w:ind w:left="648"/>
      </w:pPr>
      <w:r w:rsidRPr="00251B8F">
        <w:t>V = Video image (with automated or semi-automated conversion of images to counts)</w:t>
      </w:r>
    </w:p>
    <w:p w14:paraId="5FF72AD0" w14:textId="77777777" w:rsidR="009B7AED" w:rsidRPr="00251B8F" w:rsidRDefault="009B7AED" w:rsidP="005F7145">
      <w:pPr>
        <w:pStyle w:val="BodyText"/>
        <w:ind w:left="648"/>
      </w:pPr>
      <w:r w:rsidRPr="00251B8F">
        <w:t>1 = Video image with manual reduction of images to counts performed later</w:t>
      </w:r>
    </w:p>
    <w:p w14:paraId="28324E4C" w14:textId="77777777" w:rsidR="009B7AED" w:rsidRPr="00251B8F" w:rsidRDefault="009B7AED" w:rsidP="005F7145">
      <w:pPr>
        <w:pStyle w:val="BodyText"/>
        <w:ind w:left="648"/>
      </w:pPr>
      <w:r w:rsidRPr="00251B8F">
        <w:t>W = Microwave (radar)</w:t>
      </w:r>
    </w:p>
    <w:p w14:paraId="2CF28031" w14:textId="77777777" w:rsidR="009B7AED" w:rsidRPr="00251B8F" w:rsidRDefault="009B7AED" w:rsidP="005F7145">
      <w:pPr>
        <w:pStyle w:val="BodyText"/>
        <w:ind w:left="648"/>
      </w:pPr>
      <w:r w:rsidRPr="00251B8F">
        <w:t>X = Radio wave (radar)</w:t>
      </w:r>
    </w:p>
    <w:p w14:paraId="6E2CB5AF" w14:textId="77777777" w:rsidR="009B7AED" w:rsidRPr="00251B8F" w:rsidRDefault="009B7AED" w:rsidP="005F7145">
      <w:pPr>
        <w:pStyle w:val="BodyText"/>
        <w:ind w:left="648"/>
      </w:pPr>
      <w:r w:rsidRPr="00251B8F">
        <w:t>Z = Other</w:t>
      </w:r>
    </w:p>
    <w:p w14:paraId="4442EB44" w14:textId="127D4D3A" w:rsidR="009B7AED" w:rsidRPr="00251B8F" w:rsidRDefault="009B7AED" w:rsidP="005F7145">
      <w:pPr>
        <w:pStyle w:val="BodyText"/>
        <w:ind w:left="648"/>
      </w:pPr>
      <w:r w:rsidRPr="00251B8F">
        <w:t xml:space="preserve">Note: Unlike Section 4.9, Field #13 of the Micromobility Count Station Description Record, this field is </w:t>
      </w:r>
      <w:r>
        <w:rPr>
          <w:rStyle w:val="bolditalic"/>
        </w:rPr>
        <w:t>Required</w:t>
      </w:r>
      <w:r w:rsidRPr="00251B8F" w:rsidDel="00122DE1">
        <w:t xml:space="preserve"> </w:t>
      </w:r>
      <w:r w:rsidRPr="00251B8F">
        <w:t>and may not be left blank.</w:t>
      </w:r>
      <w:r w:rsidR="004D4172">
        <w:t xml:space="preserve"> </w:t>
      </w:r>
      <w:r w:rsidRPr="00251B8F">
        <w:t>In addition, code “9” (“Multiple sensor types”) is not allowed.</w:t>
      </w:r>
      <w:r w:rsidR="004D4172">
        <w:t xml:space="preserve"> </w:t>
      </w:r>
      <w:r w:rsidRPr="00251B8F">
        <w:t>A sensor type must be specified for each count record.</w:t>
      </w:r>
      <w:r w:rsidR="004D4172">
        <w:t xml:space="preserve"> </w:t>
      </w:r>
      <w:r w:rsidRPr="00251B8F">
        <w:t>Multiple count records collected using different types of sensors are allowed at the same station.</w:t>
      </w:r>
      <w:r w:rsidR="004D4172">
        <w:t xml:space="preserve"> </w:t>
      </w:r>
      <w:r w:rsidRPr="00251B8F">
        <w:t>For example, count records may be provided for bicyclists at the same station for both a manual count (code “H” in this field) and for an inductive loop count (code “L” in this field).</w:t>
      </w:r>
      <w:r w:rsidR="004D4172">
        <w:t xml:space="preserve"> </w:t>
      </w:r>
      <w:r w:rsidRPr="00251B8F">
        <w:t>Such counts might be generated in practice when the inductive loop is being calibrated to field conditions.</w:t>
      </w:r>
    </w:p>
    <w:p w14:paraId="564870BC" w14:textId="77777777" w:rsidR="009B7AED" w:rsidRPr="00D96273" w:rsidRDefault="009B7AED">
      <w:pPr>
        <w:numPr>
          <w:ilvl w:val="0"/>
          <w:numId w:val="51"/>
        </w:numPr>
        <w:spacing w:after="120"/>
        <w:ind w:left="648"/>
        <w:jc w:val="left"/>
      </w:pPr>
      <w:r w:rsidRPr="00D96273">
        <w:t xml:space="preserve">Precipitation (Column </w:t>
      </w:r>
      <w:r>
        <w:t>44</w:t>
      </w:r>
      <w:r w:rsidRPr="00D96273">
        <w:t xml:space="preserve">) (yes/no) – </w:t>
      </w:r>
      <w:r w:rsidRPr="00D96273">
        <w:rPr>
          <w:i/>
        </w:rPr>
        <w:t>Optional</w:t>
      </w:r>
    </w:p>
    <w:p w14:paraId="3419BEC1" w14:textId="77777777" w:rsidR="009B7AED" w:rsidRPr="00D96273" w:rsidRDefault="009B7AED" w:rsidP="005F7145">
      <w:pPr>
        <w:pStyle w:val="BodyText"/>
        <w:ind w:left="648"/>
      </w:pPr>
      <w:r w:rsidRPr="00D96273">
        <w:t>1 = measurable precipitation fell at some time during this record’s data collection at this location</w:t>
      </w:r>
      <w:r w:rsidRPr="00D96273">
        <w:tab/>
      </w:r>
    </w:p>
    <w:p w14:paraId="5AB7BF83" w14:textId="77777777" w:rsidR="009B7AED" w:rsidRPr="00D96273" w:rsidRDefault="009B7AED" w:rsidP="005F7145">
      <w:pPr>
        <w:pStyle w:val="BodyText"/>
        <w:ind w:left="648"/>
      </w:pPr>
      <w:r w:rsidRPr="00D96273">
        <w:t>2 = measurable precipitation did not fall at some time during this record’s data collection at this location</w:t>
      </w:r>
    </w:p>
    <w:p w14:paraId="563AF6C8" w14:textId="77777777" w:rsidR="009B7AED" w:rsidRPr="00D96273" w:rsidRDefault="009B7AED">
      <w:pPr>
        <w:numPr>
          <w:ilvl w:val="0"/>
          <w:numId w:val="51"/>
        </w:numPr>
        <w:spacing w:after="120"/>
        <w:ind w:left="648"/>
        <w:jc w:val="left"/>
      </w:pPr>
      <w:r w:rsidRPr="00D96273">
        <w:t xml:space="preserve">High Temperature (Columns </w:t>
      </w:r>
      <w:r w:rsidRPr="00D96273">
        <w:rPr>
          <w:rFonts w:eastAsiaTheme="minorEastAsia"/>
        </w:rPr>
        <w:t>4</w:t>
      </w:r>
      <w:r>
        <w:rPr>
          <w:rFonts w:eastAsiaTheme="minorEastAsia"/>
        </w:rPr>
        <w:t>5</w:t>
      </w:r>
      <w:r w:rsidRPr="00D96273">
        <w:rPr>
          <w:rFonts w:eastAsiaTheme="minorEastAsia"/>
        </w:rPr>
        <w:t>-4</w:t>
      </w:r>
      <w:r>
        <w:rPr>
          <w:rFonts w:eastAsiaTheme="minorEastAsia"/>
        </w:rPr>
        <w:t>7</w:t>
      </w:r>
      <w:r w:rsidRPr="00D96273">
        <w:t xml:space="preserve">) – </w:t>
      </w:r>
      <w:r w:rsidRPr="00D96273">
        <w:rPr>
          <w:i/>
        </w:rPr>
        <w:t>Optional</w:t>
      </w:r>
    </w:p>
    <w:p w14:paraId="2F1A299A" w14:textId="77777777" w:rsidR="009B7AED" w:rsidRPr="00251B8F" w:rsidRDefault="009B7AED" w:rsidP="005F7145">
      <w:pPr>
        <w:pStyle w:val="BodyText"/>
        <w:ind w:left="648"/>
      </w:pPr>
      <w:r w:rsidRPr="00251B8F">
        <w:t>Approximate high temperature for either the day (if a day or longer count), or the high temperature during the duration of the count, if the count is less than a day in duration. Expressed in Fahrenheit (whole degrees)</w:t>
      </w:r>
    </w:p>
    <w:p w14:paraId="19BAD5B6" w14:textId="77777777" w:rsidR="009B7AED" w:rsidRPr="00D96273" w:rsidRDefault="009B7AED">
      <w:pPr>
        <w:numPr>
          <w:ilvl w:val="0"/>
          <w:numId w:val="51"/>
        </w:numPr>
        <w:spacing w:after="120"/>
        <w:ind w:left="648"/>
        <w:jc w:val="left"/>
      </w:pPr>
      <w:r w:rsidRPr="00D96273">
        <w:t xml:space="preserve">Low Temperature (Columns </w:t>
      </w:r>
      <w:r w:rsidRPr="00D96273">
        <w:rPr>
          <w:rFonts w:eastAsiaTheme="minorEastAsia"/>
        </w:rPr>
        <w:t>4</w:t>
      </w:r>
      <w:r>
        <w:rPr>
          <w:rFonts w:eastAsiaTheme="minorEastAsia"/>
        </w:rPr>
        <w:t>8</w:t>
      </w:r>
      <w:r w:rsidRPr="00D96273">
        <w:rPr>
          <w:rFonts w:eastAsiaTheme="minorEastAsia"/>
        </w:rPr>
        <w:t>-</w:t>
      </w:r>
      <w:r>
        <w:rPr>
          <w:rFonts w:eastAsiaTheme="minorEastAsia"/>
        </w:rPr>
        <w:t>50</w:t>
      </w:r>
      <w:r w:rsidRPr="00D96273">
        <w:t xml:space="preserve">) – </w:t>
      </w:r>
      <w:r w:rsidRPr="00D96273">
        <w:rPr>
          <w:i/>
        </w:rPr>
        <w:t>Optional</w:t>
      </w:r>
    </w:p>
    <w:p w14:paraId="2FA555A6" w14:textId="77777777" w:rsidR="009B7AED" w:rsidRPr="00251B8F" w:rsidRDefault="009B7AED" w:rsidP="005F7145">
      <w:pPr>
        <w:pStyle w:val="BodyText"/>
        <w:ind w:left="648"/>
      </w:pPr>
      <w:r w:rsidRPr="00251B8F">
        <w:t>Approximate low temperature for either the day (if a day or longer count), or the low temperature during the duration of the count, if the count is less than a day in duration. Expressed in Fahrenheit (whole degrees)</w:t>
      </w:r>
    </w:p>
    <w:p w14:paraId="74D3936C" w14:textId="77777777" w:rsidR="009B7AED" w:rsidRPr="00D96273" w:rsidRDefault="009B7AED">
      <w:pPr>
        <w:numPr>
          <w:ilvl w:val="0"/>
          <w:numId w:val="51"/>
        </w:numPr>
        <w:spacing w:after="120"/>
        <w:ind w:left="648"/>
        <w:jc w:val="left"/>
      </w:pPr>
      <w:r w:rsidRPr="00D96273">
        <w:t xml:space="preserve">Year of count (Columns </w:t>
      </w:r>
      <w:r>
        <w:rPr>
          <w:rFonts w:eastAsiaTheme="minorEastAsia"/>
        </w:rPr>
        <w:t>51</w:t>
      </w:r>
      <w:r w:rsidRPr="00D96273">
        <w:rPr>
          <w:rFonts w:eastAsiaTheme="minorEastAsia"/>
        </w:rPr>
        <w:t>-</w:t>
      </w:r>
      <w:r>
        <w:rPr>
          <w:rFonts w:eastAsiaTheme="minorEastAsia"/>
        </w:rPr>
        <w:t>54</w:t>
      </w:r>
      <w:r w:rsidRPr="00D96273">
        <w:t xml:space="preserve">) – </w:t>
      </w:r>
      <w:r>
        <w:rPr>
          <w:i/>
        </w:rPr>
        <w:t>Required</w:t>
      </w:r>
    </w:p>
    <w:p w14:paraId="73CB996E" w14:textId="77777777" w:rsidR="009B7AED" w:rsidRPr="00D96273" w:rsidRDefault="009B7AED" w:rsidP="005F7145">
      <w:pPr>
        <w:pStyle w:val="BodyText"/>
        <w:ind w:left="648"/>
      </w:pPr>
      <w:r w:rsidRPr="00D96273">
        <w:t>Code the four digits of the year in which these data were collected</w:t>
      </w:r>
    </w:p>
    <w:p w14:paraId="64CA1342" w14:textId="77777777" w:rsidR="009B7AED" w:rsidRPr="00D96273" w:rsidRDefault="009B7AED">
      <w:pPr>
        <w:numPr>
          <w:ilvl w:val="0"/>
          <w:numId w:val="51"/>
        </w:numPr>
        <w:spacing w:after="120"/>
        <w:ind w:left="648"/>
        <w:jc w:val="left"/>
      </w:pPr>
      <w:r w:rsidRPr="00D96273">
        <w:t xml:space="preserve">Month of count (Columns </w:t>
      </w:r>
      <w:r w:rsidRPr="00D96273">
        <w:rPr>
          <w:rFonts w:eastAsiaTheme="minorEastAsia"/>
        </w:rPr>
        <w:t>5</w:t>
      </w:r>
      <w:r>
        <w:rPr>
          <w:rFonts w:eastAsiaTheme="minorEastAsia"/>
        </w:rPr>
        <w:t>5</w:t>
      </w:r>
      <w:r w:rsidRPr="00D96273">
        <w:rPr>
          <w:rFonts w:eastAsiaTheme="minorEastAsia"/>
        </w:rPr>
        <w:t>-5</w:t>
      </w:r>
      <w:r>
        <w:rPr>
          <w:rFonts w:eastAsiaTheme="minorEastAsia"/>
        </w:rPr>
        <w:t>6</w:t>
      </w:r>
      <w:r w:rsidRPr="00D96273">
        <w:t xml:space="preserve">) – </w:t>
      </w:r>
      <w:r>
        <w:rPr>
          <w:i/>
        </w:rPr>
        <w:t>Required</w:t>
      </w:r>
    </w:p>
    <w:p w14:paraId="3751C662" w14:textId="77777777" w:rsidR="009B7AED" w:rsidRPr="00251B8F" w:rsidRDefault="009B7AED" w:rsidP="005F7145">
      <w:pPr>
        <w:pStyle w:val="BodyText"/>
        <w:ind w:left="648"/>
      </w:pPr>
      <w:r w:rsidRPr="00251B8F">
        <w:t>Code the two digits for the month in which these data were collected</w:t>
      </w:r>
    </w:p>
    <w:p w14:paraId="57347DA9" w14:textId="77777777" w:rsidR="009B7AED" w:rsidRPr="00D96273" w:rsidRDefault="009B7AED">
      <w:pPr>
        <w:numPr>
          <w:ilvl w:val="0"/>
          <w:numId w:val="51"/>
        </w:numPr>
        <w:spacing w:after="120"/>
        <w:ind w:left="648"/>
        <w:jc w:val="left"/>
      </w:pPr>
      <w:r w:rsidRPr="00D96273">
        <w:t xml:space="preserve">Day of Count (Columns </w:t>
      </w:r>
      <w:r w:rsidRPr="00D96273">
        <w:rPr>
          <w:rFonts w:eastAsiaTheme="minorEastAsia"/>
        </w:rPr>
        <w:t>5</w:t>
      </w:r>
      <w:r>
        <w:rPr>
          <w:rFonts w:eastAsiaTheme="minorEastAsia"/>
        </w:rPr>
        <w:t>7</w:t>
      </w:r>
      <w:r w:rsidRPr="00D96273">
        <w:rPr>
          <w:rFonts w:eastAsiaTheme="minorEastAsia"/>
        </w:rPr>
        <w:t>-5</w:t>
      </w:r>
      <w:r>
        <w:rPr>
          <w:rFonts w:eastAsiaTheme="minorEastAsia"/>
        </w:rPr>
        <w:t>8</w:t>
      </w:r>
      <w:r w:rsidRPr="00D96273">
        <w:t xml:space="preserve">) – </w:t>
      </w:r>
      <w:r>
        <w:rPr>
          <w:i/>
        </w:rPr>
        <w:t>Required</w:t>
      </w:r>
      <w:r w:rsidRPr="00D96273">
        <w:t xml:space="preserve"> </w:t>
      </w:r>
    </w:p>
    <w:p w14:paraId="13C590FE" w14:textId="77777777" w:rsidR="009B7AED" w:rsidRPr="00251B8F" w:rsidRDefault="009B7AED" w:rsidP="005F7145">
      <w:pPr>
        <w:pStyle w:val="BodyText"/>
        <w:ind w:left="648"/>
      </w:pPr>
      <w:r w:rsidRPr="00251B8F">
        <w:t>Code the two digits for the day on which these data were collected</w:t>
      </w:r>
    </w:p>
    <w:p w14:paraId="1D581686" w14:textId="77777777" w:rsidR="009B7AED" w:rsidRPr="00D96273" w:rsidRDefault="009B7AED">
      <w:pPr>
        <w:numPr>
          <w:ilvl w:val="0"/>
          <w:numId w:val="51"/>
        </w:numPr>
        <w:spacing w:after="120"/>
        <w:ind w:left="648"/>
        <w:jc w:val="left"/>
      </w:pPr>
      <w:r w:rsidRPr="00D96273">
        <w:t xml:space="preserve">Count Start Time for this record (Columns </w:t>
      </w:r>
      <w:r w:rsidRPr="00D96273">
        <w:rPr>
          <w:rFonts w:eastAsiaTheme="minorEastAsia"/>
        </w:rPr>
        <w:t>5</w:t>
      </w:r>
      <w:r>
        <w:rPr>
          <w:rFonts w:eastAsiaTheme="minorEastAsia"/>
        </w:rPr>
        <w:t>9</w:t>
      </w:r>
      <w:r w:rsidRPr="00D96273">
        <w:rPr>
          <w:rFonts w:eastAsiaTheme="minorEastAsia"/>
        </w:rPr>
        <w:t>-</w:t>
      </w:r>
      <w:r>
        <w:rPr>
          <w:rFonts w:eastAsiaTheme="minorEastAsia"/>
        </w:rPr>
        <w:t>62</w:t>
      </w:r>
      <w:r w:rsidRPr="00D96273">
        <w:t xml:space="preserve">) – </w:t>
      </w:r>
      <w:r>
        <w:rPr>
          <w:i/>
        </w:rPr>
        <w:t>Required</w:t>
      </w:r>
    </w:p>
    <w:p w14:paraId="5764D9A3" w14:textId="1686C638" w:rsidR="009B7AED" w:rsidRPr="00D96273" w:rsidRDefault="009B7AED" w:rsidP="005F7145">
      <w:pPr>
        <w:pStyle w:val="BodyText"/>
        <w:ind w:left="648"/>
      </w:pPr>
      <w:r w:rsidRPr="00D96273">
        <w:t xml:space="preserve">Expressed in military time. </w:t>
      </w:r>
      <w:r w:rsidRPr="00A332F6">
        <w:rPr>
          <w:b/>
          <w:bCs/>
        </w:rPr>
        <w:t xml:space="preserve">The count start time must be on a </w:t>
      </w:r>
      <w:r>
        <w:rPr>
          <w:b/>
          <w:bCs/>
        </w:rPr>
        <w:t>5</w:t>
      </w:r>
      <w:r w:rsidRPr="00A332F6">
        <w:rPr>
          <w:b/>
          <w:bCs/>
        </w:rPr>
        <w:t>-minute interval</w:t>
      </w:r>
      <w:r w:rsidRPr="00D96273">
        <w:t>. For hourly records it is expected to be on the hour (e.g., 0900), and if a 15-minute count interval, it is expected to be on one of the 15-minute intervals (e.g., 0900, 0915, 0930, or 0945).</w:t>
      </w:r>
      <w:r w:rsidR="004D4172">
        <w:t xml:space="preserve"> </w:t>
      </w:r>
      <w:r w:rsidRPr="00D96273">
        <w:t xml:space="preserve">For a 5-minute interval, the count must start at a time ending in either 0 or 5 (e.g., 0900, 0905, 0950, etc.). </w:t>
      </w:r>
    </w:p>
    <w:p w14:paraId="52FE1C94" w14:textId="06D9578B" w:rsidR="005F7145" w:rsidRDefault="009B7AED" w:rsidP="005F7145">
      <w:pPr>
        <w:pStyle w:val="BodyText"/>
        <w:ind w:left="648"/>
      </w:pPr>
      <w:r w:rsidRPr="00D96273">
        <w:t xml:space="preserve">Note that this value may change from record to record. </w:t>
      </w:r>
    </w:p>
    <w:p w14:paraId="5B001C87" w14:textId="77777777" w:rsidR="005F7145" w:rsidRDefault="005F7145">
      <w:pPr>
        <w:widowControl/>
        <w:suppressAutoHyphens w:val="0"/>
        <w:autoSpaceDE/>
        <w:autoSpaceDN/>
        <w:adjustRightInd/>
        <w:spacing w:after="160" w:line="259" w:lineRule="auto"/>
        <w:jc w:val="left"/>
        <w:textAlignment w:val="auto"/>
        <w:rPr>
          <w:color w:val="auto"/>
        </w:rPr>
      </w:pPr>
      <w:r>
        <w:br w:type="page"/>
      </w:r>
    </w:p>
    <w:p w14:paraId="799B35D9" w14:textId="77777777" w:rsidR="009B7AED" w:rsidRPr="00D96273" w:rsidRDefault="009B7AED">
      <w:pPr>
        <w:numPr>
          <w:ilvl w:val="0"/>
          <w:numId w:val="51"/>
        </w:numPr>
        <w:spacing w:after="120"/>
        <w:ind w:left="648"/>
        <w:jc w:val="left"/>
      </w:pPr>
      <w:r w:rsidRPr="00D96273">
        <w:lastRenderedPageBreak/>
        <w:t xml:space="preserve">Count Interval being reported (Columns </w:t>
      </w:r>
      <w:r>
        <w:rPr>
          <w:rFonts w:eastAsiaTheme="minorEastAsia"/>
        </w:rPr>
        <w:t>63</w:t>
      </w:r>
      <w:r w:rsidRPr="00D96273">
        <w:rPr>
          <w:rFonts w:eastAsiaTheme="minorEastAsia"/>
        </w:rPr>
        <w:t>-6</w:t>
      </w:r>
      <w:r>
        <w:rPr>
          <w:rFonts w:eastAsiaTheme="minorEastAsia"/>
        </w:rPr>
        <w:t>5</w:t>
      </w:r>
      <w:r w:rsidRPr="00D96273">
        <w:t xml:space="preserve">) – </w:t>
      </w:r>
      <w:r>
        <w:rPr>
          <w:i/>
        </w:rPr>
        <w:t>Required</w:t>
      </w:r>
    </w:p>
    <w:p w14:paraId="526DCF1A" w14:textId="7C5EE50C" w:rsidR="009B7AED" w:rsidRPr="00251B8F" w:rsidRDefault="009B7AED" w:rsidP="005F7145">
      <w:pPr>
        <w:pStyle w:val="BodyText"/>
        <w:ind w:left="648"/>
      </w:pPr>
      <w:r w:rsidRPr="00251B8F">
        <w:t>The field may not be left blank.</w:t>
      </w:r>
      <w:r w:rsidR="004D4172">
        <w:t xml:space="preserve"> </w:t>
      </w:r>
      <w:r w:rsidRPr="00251B8F">
        <w:t>It must contain a value that is 05, 10, 15, 20, 30, or 60.</w:t>
      </w:r>
    </w:p>
    <w:p w14:paraId="59AEE94B" w14:textId="77777777" w:rsidR="009B7AED" w:rsidRPr="00251B8F" w:rsidRDefault="009B7AED" w:rsidP="005F7145">
      <w:pPr>
        <w:pStyle w:val="BodyText"/>
        <w:ind w:left="648"/>
      </w:pPr>
      <w:r w:rsidRPr="00251B8F">
        <w:t xml:space="preserve">Note: The remaining data items are the actual count data being submitted. They can represent 5-, 10-, 15-, 20-, 30-, or 60-minute time intervals, depending on how the record is coded. (See Field #24 - The first count interval is for the period starting at “Start Time for this Record” (Field #23)). </w:t>
      </w:r>
    </w:p>
    <w:p w14:paraId="2638BBB6" w14:textId="5F8E299F" w:rsidR="009B7AED" w:rsidRPr="00251B8F" w:rsidRDefault="009B7AED" w:rsidP="005F7145">
      <w:pPr>
        <w:pStyle w:val="BodyText"/>
        <w:ind w:left="648"/>
      </w:pPr>
      <w:r w:rsidRPr="00251B8F">
        <w:t>Note 2: Data in intervals starting on different calendar days should be submitted on different records. This</w:t>
      </w:r>
      <w:r w:rsidR="00786B05">
        <w:t> </w:t>
      </w:r>
      <w:r w:rsidRPr="00251B8F">
        <w:t xml:space="preserve">allows each record to be read independently. One entire day of data can be submitted on one record, regardless of the count interval being reported. For example, if a 48-hour count, reported at 15-minute intervals, is taken starting at 9:00 a.m. on June 1 and ending at 8:59:59 a.m. on June 3rd, three records are needed. The first record provides data from 9:00 a.m. on June 1 through 11:59:59 p.m. on June 1. The “Start Time for this Record” variable should be reported as “0900”. These count data are supplied in the count interval variable fields “Count Interval 1” through “Count Interval 60.” The second record provides all 24 hours of data for June 2nd. It requires the use of count interval variable fields “Count Interval 1” through “Count Interval 96.” The variable “Start Time for this Record” should be “0000.” The last record for reporting this 48-hour count will report data collected on June 3rd. It should also have a “Start Time for this Record” of “0000.” However, it will use only variables Count Interval 1 through Count Interval 36, implying that the count ended at 08:59:59. </w:t>
      </w:r>
    </w:p>
    <w:p w14:paraId="69860A4F" w14:textId="77777777" w:rsidR="009B7AED" w:rsidRPr="00D96273" w:rsidRDefault="009B7AED">
      <w:pPr>
        <w:numPr>
          <w:ilvl w:val="0"/>
          <w:numId w:val="51"/>
        </w:numPr>
        <w:spacing w:after="120"/>
        <w:ind w:left="648"/>
        <w:jc w:val="left"/>
      </w:pPr>
      <w:r w:rsidRPr="00D96273">
        <w:t>Count for interval 1 (Columns 6</w:t>
      </w:r>
      <w:r>
        <w:t>6</w:t>
      </w:r>
      <w:r w:rsidRPr="00D96273">
        <w:t>-</w:t>
      </w:r>
      <w:r>
        <w:t>70</w:t>
      </w:r>
      <w:r w:rsidRPr="00D96273">
        <w:t xml:space="preserve">) – </w:t>
      </w:r>
      <w:r>
        <w:rPr>
          <w:i/>
        </w:rPr>
        <w:t>Required</w:t>
      </w:r>
    </w:p>
    <w:p w14:paraId="564666B1" w14:textId="2EB9F8F6" w:rsidR="009B7AED" w:rsidRPr="00D96273" w:rsidRDefault="009B7AED" w:rsidP="005F7145">
      <w:pPr>
        <w:pStyle w:val="BodyText"/>
        <w:ind w:left="648"/>
      </w:pPr>
      <w:r w:rsidRPr="00D96273">
        <w:t>This contains the number of pedestrians, bicycles or other units counted in the first-time interval being reported. The beginning of the period reported is given by the variable “Start Time for this Record.” Right justify the integer being reported. Blank fill leading columns as needed. If no traffic was counted during this period, place a zero (0) in column 65. Blank fill columns 61 through 64.</w:t>
      </w:r>
      <w:r w:rsidR="004D4172">
        <w:t xml:space="preserve"> </w:t>
      </w:r>
      <w:r w:rsidRPr="00D96273">
        <w:t>If column 65 contains a blank, this record will be rejected as having a critical error.</w:t>
      </w:r>
    </w:p>
    <w:p w14:paraId="65DE8704" w14:textId="77777777" w:rsidR="009B7AED" w:rsidRPr="00D96273" w:rsidRDefault="009B7AED">
      <w:pPr>
        <w:numPr>
          <w:ilvl w:val="0"/>
          <w:numId w:val="51"/>
        </w:numPr>
        <w:spacing w:after="120"/>
        <w:ind w:left="648"/>
        <w:jc w:val="left"/>
      </w:pPr>
      <w:r w:rsidRPr="00D96273">
        <w:t xml:space="preserve">Count for interval </w:t>
      </w:r>
      <w:r>
        <w:t>2</w:t>
      </w:r>
      <w:r w:rsidRPr="00D96273">
        <w:t xml:space="preserve"> (Columns </w:t>
      </w:r>
      <w:r>
        <w:t>71</w:t>
      </w:r>
      <w:r w:rsidRPr="00D96273">
        <w:t>-</w:t>
      </w:r>
      <w:r>
        <w:t>75</w:t>
      </w:r>
      <w:r w:rsidRPr="00D96273">
        <w:t xml:space="preserve">) – </w:t>
      </w:r>
      <w:r>
        <w:rPr>
          <w:i/>
        </w:rPr>
        <w:t>Optiona</w:t>
      </w:r>
      <w:r w:rsidRPr="00D96273">
        <w:rPr>
          <w:i/>
        </w:rPr>
        <w:t>l</w:t>
      </w:r>
    </w:p>
    <w:p w14:paraId="24EE81D1" w14:textId="6144979B" w:rsidR="009B7AED" w:rsidRDefault="009B7AED" w:rsidP="005F7145">
      <w:pPr>
        <w:pStyle w:val="BodyText"/>
        <w:ind w:left="648"/>
      </w:pPr>
      <w:r w:rsidRPr="00D96273">
        <w:t xml:space="preserve">This contains the number of pedestrians, bicycles or other units counted in the </w:t>
      </w:r>
      <w:r>
        <w:t>second</w:t>
      </w:r>
      <w:r w:rsidRPr="00D96273">
        <w:t xml:space="preserve">-time interval being reported. The beginning of the period reported is given by the variable “Start Time for this Record.” Right justify the integer being reported. Blank fill leading columns as needed. If no traffic was counted during this period, place a zero (0) in column </w:t>
      </w:r>
      <w:r>
        <w:t>70</w:t>
      </w:r>
      <w:r w:rsidRPr="00D96273">
        <w:t>. Blank fill columns 6</w:t>
      </w:r>
      <w:r>
        <w:t>6</w:t>
      </w:r>
      <w:r w:rsidRPr="00D96273">
        <w:t xml:space="preserve"> through 6</w:t>
      </w:r>
      <w:r>
        <w:t>9</w:t>
      </w:r>
      <w:r w:rsidRPr="00D96273">
        <w:t>.</w:t>
      </w:r>
      <w:r w:rsidR="004D4172">
        <w:t xml:space="preserve"> </w:t>
      </w:r>
      <w:r w:rsidRPr="00D96273">
        <w:t xml:space="preserve">If column </w:t>
      </w:r>
      <w:r>
        <w:t>70</w:t>
      </w:r>
      <w:r w:rsidRPr="00D96273">
        <w:t xml:space="preserve"> contains a blank, this record will be rejected as having a critical error.</w:t>
      </w:r>
    </w:p>
    <w:p w14:paraId="6CF6EED6" w14:textId="7FB19CFF" w:rsidR="009B7AED" w:rsidRPr="00D96273" w:rsidRDefault="009B7AED" w:rsidP="005F7145">
      <w:pPr>
        <w:spacing w:after="120"/>
        <w:ind w:left="288"/>
        <w:jc w:val="left"/>
      </w:pPr>
      <w:r>
        <w:t>26</w:t>
      </w:r>
      <w:r w:rsidRPr="00D96273">
        <w:t xml:space="preserve"> </w:t>
      </w:r>
      <w:r>
        <w:t>–</w:t>
      </w:r>
      <w:r w:rsidRPr="00D96273">
        <w:t xml:space="preserve"> 312.</w:t>
      </w:r>
      <w:r w:rsidR="004D4172">
        <w:t xml:space="preserve"> </w:t>
      </w:r>
      <w:r w:rsidRPr="00D96273">
        <w:t xml:space="preserve">Count intervals </w:t>
      </w:r>
      <w:r>
        <w:t>3</w:t>
      </w:r>
      <w:r w:rsidRPr="00D96273">
        <w:t>-288 (Columns 7</w:t>
      </w:r>
      <w:r>
        <w:t>6</w:t>
      </w:r>
      <w:r w:rsidRPr="00D96273">
        <w:t>-</w:t>
      </w:r>
      <w:r>
        <w:t>80</w:t>
      </w:r>
      <w:r w:rsidRPr="00D96273">
        <w:t xml:space="preserve">, </w:t>
      </w:r>
      <w:r>
        <w:t>81</w:t>
      </w:r>
      <w:r w:rsidRPr="00D96273">
        <w:t>-8</w:t>
      </w:r>
      <w:r>
        <w:t xml:space="preserve">5, </w:t>
      </w:r>
      <w:r w:rsidRPr="00D96273">
        <w:t>…</w:t>
      </w:r>
      <w:r>
        <w:t>,</w:t>
      </w:r>
      <w:r w:rsidRPr="00D96273">
        <w:t xml:space="preserve"> 1496-150</w:t>
      </w:r>
      <w:r>
        <w:t>5</w:t>
      </w:r>
      <w:r w:rsidRPr="00D96273">
        <w:t xml:space="preserve">) – </w:t>
      </w:r>
      <w:r w:rsidRPr="00D96273">
        <w:rPr>
          <w:bCs/>
          <w:i/>
          <w:iCs/>
        </w:rPr>
        <w:t>Optional</w:t>
      </w:r>
    </w:p>
    <w:p w14:paraId="5835859F" w14:textId="02DE342B" w:rsidR="009B7AED" w:rsidRPr="00D96273" w:rsidRDefault="009B7AED" w:rsidP="005F7145">
      <w:pPr>
        <w:pStyle w:val="BodyText"/>
        <w:ind w:left="648"/>
      </w:pPr>
      <w:r w:rsidRPr="00D96273">
        <w:t>These variables are used as needed for the number of pedestrians, bicycles or other units counted in successive time intervals after the first. Five columns are required for each period reported for that day. All</w:t>
      </w:r>
      <w:r w:rsidR="007321A3">
        <w:t> </w:t>
      </w:r>
      <w:r w:rsidRPr="00D96273">
        <w:t>time periods from start to end of the count on that day should be reported. Right justify each reported count in the 5 columns allocated for that time interval. Blank fill any required leading columns. If no travel activity was counted (observed) during a given period, place a zero (0) in the right most column for that count interval. Blank fill the previous columns for that period.</w:t>
      </w:r>
      <w:r w:rsidR="004D4172">
        <w:t xml:space="preserve"> </w:t>
      </w:r>
      <w:r w:rsidRPr="00D96273">
        <w:t xml:space="preserve">If all columns are blank, then it is assumed that the counting process was not performed during that period. </w:t>
      </w:r>
    </w:p>
    <w:p w14:paraId="18540499" w14:textId="77777777" w:rsidR="009B7AED" w:rsidRPr="00D96273" w:rsidRDefault="009B7AED" w:rsidP="005F7145">
      <w:pPr>
        <w:pStyle w:val="BodyText"/>
        <w:ind w:left="648"/>
      </w:pPr>
      <w:r w:rsidRPr="00D96273">
        <w:t>Note: If more intervals are provided than exist between the “Start time of this record” and midnight on the same date, the extra intervals will be ignored with a caution.</w:t>
      </w:r>
    </w:p>
    <w:p w14:paraId="6A412145" w14:textId="77777777" w:rsidR="009B7AED" w:rsidRPr="00D96273" w:rsidRDefault="009B7AED" w:rsidP="009B7AED">
      <w:pPr>
        <w:keepNext/>
        <w:spacing w:after="240"/>
        <w:ind w:left="1426" w:hanging="1440"/>
        <w:contextualSpacing/>
        <w:rPr>
          <w:b/>
          <w:bCs/>
          <w:smallCaps/>
          <w:sz w:val="24"/>
          <w:szCs w:val="22"/>
        </w:rPr>
        <w:sectPr w:rsidR="009B7AED" w:rsidRPr="00D96273" w:rsidSect="003C28DA">
          <w:headerReference w:type="even" r:id="rId243"/>
          <w:headerReference w:type="default" r:id="rId244"/>
          <w:footerReference w:type="even" r:id="rId245"/>
          <w:footerReference w:type="default" r:id="rId246"/>
          <w:pgSz w:w="12240" w:h="15840" w:code="1"/>
          <w:pgMar w:top="1440" w:right="1440" w:bottom="1152" w:left="1440" w:header="720" w:footer="576" w:gutter="0"/>
          <w:pgNumType w:chapStyle="1"/>
          <w:cols w:space="720"/>
          <w:noEndnote/>
        </w:sectPr>
      </w:pPr>
    </w:p>
    <w:bookmarkStart w:id="3320" w:name="_Toc364071225"/>
    <w:bookmarkStart w:id="3321" w:name="_Toc450646957"/>
    <w:p w14:paraId="5FA63D0A" w14:textId="3E6A6E11" w:rsidR="009B7AED" w:rsidRPr="00D96273" w:rsidRDefault="009B7AED" w:rsidP="00A35EAF">
      <w:pPr>
        <w:pStyle w:val="BodyText"/>
      </w:pPr>
      <w:r>
        <w:lastRenderedPageBreak/>
        <w:fldChar w:fldCharType="begin"/>
      </w:r>
      <w:r>
        <w:instrText xml:space="preserve"> REF _Ref113280767 </w:instrText>
      </w:r>
      <w:r>
        <w:fldChar w:fldCharType="separate"/>
      </w:r>
      <w:r w:rsidR="00C07DF9">
        <w:t xml:space="preserve">Table </w:t>
      </w:r>
      <w:r w:rsidR="00C07DF9">
        <w:rPr>
          <w:noProof/>
        </w:rPr>
        <w:t>4</w:t>
      </w:r>
      <w:r w:rsidR="00C07DF9">
        <w:noBreakHyphen/>
      </w:r>
      <w:r w:rsidR="00C07DF9">
        <w:rPr>
          <w:noProof/>
        </w:rPr>
        <w:t>41</w:t>
      </w:r>
      <w:r>
        <w:fldChar w:fldCharType="end"/>
      </w:r>
      <w:r>
        <w:t xml:space="preserve"> </w:t>
      </w:r>
      <w:r w:rsidRPr="00D96273">
        <w:t xml:space="preserve">shows an example of the </w:t>
      </w:r>
      <w:r>
        <w:t xml:space="preserve">micromobility </w:t>
      </w:r>
      <w:r w:rsidRPr="00D96273">
        <w:t>count station description record.</w:t>
      </w:r>
    </w:p>
    <w:p w14:paraId="078094D5" w14:textId="31FB0F30" w:rsidR="009B7AED" w:rsidRDefault="009B7AED" w:rsidP="00736AF3">
      <w:pPr>
        <w:pStyle w:val="TMGTableCaption"/>
      </w:pPr>
      <w:bookmarkStart w:id="3322" w:name="_Ref113280767"/>
      <w:bookmarkStart w:id="3323" w:name="_Toc113282546"/>
      <w:bookmarkStart w:id="3324" w:name="_Toc114474883"/>
      <w:bookmarkStart w:id="3325" w:name="_Toc120631189"/>
      <w:bookmarkEnd w:id="3320"/>
      <w:bookmarkEnd w:id="3321"/>
      <w:r>
        <w:t xml:space="preserve">Table </w:t>
      </w:r>
      <w:fldSimple w:instr=" STYLEREF 1 \s ">
        <w:r w:rsidR="00C07DF9">
          <w:rPr>
            <w:noProof/>
          </w:rPr>
          <w:t>4</w:t>
        </w:r>
      </w:fldSimple>
      <w:r>
        <w:noBreakHyphen/>
      </w:r>
      <w:fldSimple w:instr=" SEQ Table \* ARABIC \s 1 ">
        <w:r w:rsidR="00C07DF9">
          <w:rPr>
            <w:noProof/>
          </w:rPr>
          <w:t>41</w:t>
        </w:r>
      </w:fldSimple>
      <w:bookmarkEnd w:id="3322"/>
      <w:r>
        <w:t xml:space="preserve">. </w:t>
      </w:r>
      <w:r w:rsidRPr="00C62C12">
        <w:t>Micromobility Count Record Example</w:t>
      </w:r>
      <w:r>
        <w:t xml:space="preserve"> – Fixed Width Example</w:t>
      </w:r>
      <w:bookmarkEnd w:id="3323"/>
      <w:bookmarkEnd w:id="3324"/>
      <w:bookmarkEnd w:id="3325"/>
    </w:p>
    <w:tbl>
      <w:tblPr>
        <w:tblStyle w:val="TMGTable"/>
        <w:tblW w:w="12878"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981"/>
        <w:gridCol w:w="333"/>
        <w:gridCol w:w="454"/>
        <w:gridCol w:w="441"/>
        <w:gridCol w:w="765"/>
        <w:gridCol w:w="1336"/>
        <w:gridCol w:w="1350"/>
        <w:gridCol w:w="360"/>
        <w:gridCol w:w="360"/>
        <w:gridCol w:w="360"/>
        <w:gridCol w:w="360"/>
        <w:gridCol w:w="360"/>
        <w:gridCol w:w="360"/>
        <w:gridCol w:w="900"/>
        <w:gridCol w:w="1076"/>
        <w:gridCol w:w="576"/>
        <w:gridCol w:w="576"/>
        <w:gridCol w:w="965"/>
        <w:gridCol w:w="965"/>
      </w:tblGrid>
      <w:tr w:rsidR="009B7AED" w:rsidRPr="00786B05" w14:paraId="17FF647E" w14:textId="77777777" w:rsidTr="00264716">
        <w:trPr>
          <w:cnfStyle w:val="100000000000" w:firstRow="1" w:lastRow="0" w:firstColumn="0" w:lastColumn="0" w:oddVBand="0" w:evenVBand="0" w:oddHBand="0" w:evenHBand="0" w:firstRowFirstColumn="0" w:firstRowLastColumn="0" w:lastRowFirstColumn="0" w:lastRowLastColumn="0"/>
          <w:trHeight w:val="60"/>
        </w:trPr>
        <w:tc>
          <w:tcPr>
            <w:tcW w:w="981" w:type="dxa"/>
          </w:tcPr>
          <w:p w14:paraId="6ADA6DF1" w14:textId="77777777" w:rsidR="009B7AED" w:rsidRPr="00786B05" w:rsidRDefault="009B7AED" w:rsidP="00786B05">
            <w:pPr>
              <w:pStyle w:val="TableTextDense"/>
              <w:spacing w:before="10" w:after="10" w:line="240" w:lineRule="auto"/>
              <w:rPr>
                <w:rFonts w:ascii="Calibri" w:hAnsi="Calibri" w:cs="Calibri"/>
                <w:b w:val="0"/>
                <w:bCs w:val="0"/>
                <w:sz w:val="20"/>
                <w:szCs w:val="20"/>
              </w:rPr>
            </w:pPr>
            <w:r w:rsidRPr="00786B05">
              <w:rPr>
                <w:rFonts w:ascii="Calibri" w:hAnsi="Calibri" w:cs="Calibri"/>
                <w:sz w:val="20"/>
                <w:szCs w:val="20"/>
              </w:rPr>
              <w:t>Column Number:</w:t>
            </w:r>
          </w:p>
        </w:tc>
        <w:tc>
          <w:tcPr>
            <w:tcW w:w="333" w:type="dxa"/>
          </w:tcPr>
          <w:p w14:paraId="58B8AA17" w14:textId="77777777" w:rsidR="009B7AED" w:rsidRPr="00786B05" w:rsidRDefault="009B7AED" w:rsidP="00786B05">
            <w:pPr>
              <w:pStyle w:val="TableTextDense"/>
              <w:spacing w:before="10" w:after="10" w:line="240" w:lineRule="auto"/>
              <w:jc w:val="center"/>
              <w:rPr>
                <w:rFonts w:ascii="Calibri" w:hAnsi="Calibri" w:cs="Calibri"/>
                <w:b w:val="0"/>
                <w:bCs w:val="0"/>
                <w:sz w:val="20"/>
                <w:szCs w:val="20"/>
              </w:rPr>
            </w:pPr>
            <w:r w:rsidRPr="00786B05">
              <w:rPr>
                <w:rFonts w:ascii="Calibri" w:hAnsi="Calibri" w:cs="Calibri"/>
                <w:sz w:val="20"/>
                <w:szCs w:val="20"/>
              </w:rPr>
              <w:t>1</w:t>
            </w:r>
          </w:p>
        </w:tc>
        <w:tc>
          <w:tcPr>
            <w:tcW w:w="454" w:type="dxa"/>
          </w:tcPr>
          <w:p w14:paraId="3F6211CB" w14:textId="77777777" w:rsidR="009B7AED" w:rsidRPr="00786B05" w:rsidRDefault="009B7AED" w:rsidP="00786B05">
            <w:pPr>
              <w:pStyle w:val="TableTextDense"/>
              <w:spacing w:before="10" w:after="10" w:line="240" w:lineRule="auto"/>
              <w:jc w:val="center"/>
              <w:rPr>
                <w:rFonts w:ascii="Calibri" w:hAnsi="Calibri" w:cs="Calibri"/>
                <w:b w:val="0"/>
                <w:bCs w:val="0"/>
                <w:sz w:val="20"/>
                <w:szCs w:val="20"/>
              </w:rPr>
            </w:pPr>
            <w:r w:rsidRPr="00786B05">
              <w:rPr>
                <w:rFonts w:ascii="Calibri" w:hAnsi="Calibri" w:cs="Calibri"/>
                <w:sz w:val="20"/>
                <w:szCs w:val="20"/>
              </w:rPr>
              <w:t>2-3</w:t>
            </w:r>
          </w:p>
        </w:tc>
        <w:tc>
          <w:tcPr>
            <w:tcW w:w="441" w:type="dxa"/>
          </w:tcPr>
          <w:p w14:paraId="30515FA1" w14:textId="77777777" w:rsidR="009B7AED" w:rsidRPr="00786B05" w:rsidRDefault="009B7AED" w:rsidP="00786B05">
            <w:pPr>
              <w:pStyle w:val="TableTextDense"/>
              <w:spacing w:before="10" w:after="10" w:line="240" w:lineRule="auto"/>
              <w:jc w:val="center"/>
              <w:rPr>
                <w:rFonts w:ascii="Calibri" w:hAnsi="Calibri" w:cs="Calibri"/>
                <w:b w:val="0"/>
                <w:bCs w:val="0"/>
                <w:sz w:val="20"/>
                <w:szCs w:val="20"/>
              </w:rPr>
            </w:pPr>
            <w:r w:rsidRPr="00786B05">
              <w:rPr>
                <w:rFonts w:ascii="Calibri" w:hAnsi="Calibri" w:cs="Calibri"/>
                <w:sz w:val="20"/>
                <w:szCs w:val="20"/>
              </w:rPr>
              <w:t>4-6</w:t>
            </w:r>
          </w:p>
        </w:tc>
        <w:tc>
          <w:tcPr>
            <w:tcW w:w="765" w:type="dxa"/>
          </w:tcPr>
          <w:p w14:paraId="3CCE76E2" w14:textId="77777777" w:rsidR="009B7AED" w:rsidRPr="00786B05" w:rsidRDefault="009B7AED" w:rsidP="00786B05">
            <w:pPr>
              <w:pStyle w:val="TableTextDense"/>
              <w:spacing w:before="10" w:after="10" w:line="240" w:lineRule="auto"/>
              <w:jc w:val="center"/>
              <w:rPr>
                <w:rFonts w:ascii="Calibri" w:hAnsi="Calibri" w:cs="Calibri"/>
                <w:b w:val="0"/>
                <w:bCs w:val="0"/>
                <w:sz w:val="20"/>
                <w:szCs w:val="20"/>
              </w:rPr>
            </w:pPr>
            <w:r w:rsidRPr="00786B05">
              <w:rPr>
                <w:rFonts w:ascii="Calibri" w:hAnsi="Calibri" w:cs="Calibri"/>
                <w:sz w:val="20"/>
                <w:szCs w:val="20"/>
              </w:rPr>
              <w:t>7-12</w:t>
            </w:r>
          </w:p>
        </w:tc>
        <w:tc>
          <w:tcPr>
            <w:tcW w:w="1336" w:type="dxa"/>
          </w:tcPr>
          <w:p w14:paraId="57B39C4F" w14:textId="77777777" w:rsidR="009B7AED" w:rsidRPr="00786B05" w:rsidRDefault="009B7AED" w:rsidP="00786B05">
            <w:pPr>
              <w:pStyle w:val="TableTextDense"/>
              <w:spacing w:before="10" w:after="10" w:line="240" w:lineRule="auto"/>
              <w:jc w:val="center"/>
              <w:rPr>
                <w:rFonts w:ascii="Calibri" w:hAnsi="Calibri" w:cs="Calibri"/>
                <w:b w:val="0"/>
                <w:bCs w:val="0"/>
                <w:sz w:val="20"/>
                <w:szCs w:val="20"/>
              </w:rPr>
            </w:pPr>
            <w:r w:rsidRPr="00786B05">
              <w:rPr>
                <w:rFonts w:ascii="Calibri" w:hAnsi="Calibri" w:cs="Calibri"/>
                <w:sz w:val="20"/>
                <w:szCs w:val="20"/>
              </w:rPr>
              <w:t>13-23</w:t>
            </w:r>
          </w:p>
        </w:tc>
        <w:tc>
          <w:tcPr>
            <w:tcW w:w="1350" w:type="dxa"/>
          </w:tcPr>
          <w:p w14:paraId="2080653B" w14:textId="77777777" w:rsidR="009B7AED" w:rsidRPr="00786B05" w:rsidRDefault="009B7AED" w:rsidP="00786B05">
            <w:pPr>
              <w:pStyle w:val="TableTextDense"/>
              <w:spacing w:before="10" w:after="10" w:line="240" w:lineRule="auto"/>
              <w:jc w:val="center"/>
              <w:rPr>
                <w:rFonts w:ascii="Calibri" w:hAnsi="Calibri" w:cs="Calibri"/>
                <w:b w:val="0"/>
                <w:bCs w:val="0"/>
                <w:sz w:val="20"/>
                <w:szCs w:val="20"/>
              </w:rPr>
            </w:pPr>
            <w:r w:rsidRPr="00786B05">
              <w:rPr>
                <w:rFonts w:ascii="Calibri" w:hAnsi="Calibri" w:cs="Calibri"/>
                <w:sz w:val="20"/>
                <w:szCs w:val="20"/>
              </w:rPr>
              <w:t>24-34</w:t>
            </w:r>
          </w:p>
        </w:tc>
        <w:tc>
          <w:tcPr>
            <w:tcW w:w="360" w:type="dxa"/>
          </w:tcPr>
          <w:p w14:paraId="78B85CCD" w14:textId="77777777" w:rsidR="009B7AED" w:rsidRPr="00786B05" w:rsidRDefault="009B7AED" w:rsidP="00786B05">
            <w:pPr>
              <w:pStyle w:val="TableTextDense"/>
              <w:spacing w:before="10" w:after="10" w:line="240" w:lineRule="auto"/>
              <w:jc w:val="center"/>
              <w:rPr>
                <w:rFonts w:ascii="Calibri" w:hAnsi="Calibri" w:cs="Calibri"/>
                <w:b w:val="0"/>
                <w:bCs w:val="0"/>
                <w:sz w:val="20"/>
                <w:szCs w:val="20"/>
              </w:rPr>
            </w:pPr>
            <w:r w:rsidRPr="00786B05">
              <w:rPr>
                <w:rFonts w:ascii="Calibri" w:hAnsi="Calibri" w:cs="Calibri"/>
                <w:sz w:val="20"/>
                <w:szCs w:val="20"/>
              </w:rPr>
              <w:t>35</w:t>
            </w:r>
          </w:p>
        </w:tc>
        <w:tc>
          <w:tcPr>
            <w:tcW w:w="360" w:type="dxa"/>
          </w:tcPr>
          <w:p w14:paraId="53CD128B" w14:textId="77777777" w:rsidR="009B7AED" w:rsidRPr="00786B05" w:rsidRDefault="009B7AED" w:rsidP="00786B05">
            <w:pPr>
              <w:pStyle w:val="TableTextDense"/>
              <w:spacing w:before="10" w:after="10" w:line="240" w:lineRule="auto"/>
              <w:jc w:val="center"/>
              <w:rPr>
                <w:rFonts w:ascii="Calibri" w:hAnsi="Calibri" w:cs="Calibri"/>
                <w:b w:val="0"/>
                <w:bCs w:val="0"/>
                <w:sz w:val="20"/>
                <w:szCs w:val="20"/>
              </w:rPr>
            </w:pPr>
            <w:r w:rsidRPr="00786B05">
              <w:rPr>
                <w:rFonts w:ascii="Calibri" w:hAnsi="Calibri" w:cs="Calibri"/>
                <w:sz w:val="20"/>
                <w:szCs w:val="20"/>
              </w:rPr>
              <w:t>36</w:t>
            </w:r>
          </w:p>
        </w:tc>
        <w:tc>
          <w:tcPr>
            <w:tcW w:w="360" w:type="dxa"/>
          </w:tcPr>
          <w:p w14:paraId="7D4D31E3" w14:textId="77777777" w:rsidR="009B7AED" w:rsidRPr="00786B05" w:rsidRDefault="009B7AED" w:rsidP="00786B05">
            <w:pPr>
              <w:pStyle w:val="TableTextDense"/>
              <w:spacing w:before="10" w:after="10" w:line="240" w:lineRule="auto"/>
              <w:jc w:val="center"/>
              <w:rPr>
                <w:rFonts w:ascii="Calibri" w:hAnsi="Calibri" w:cs="Calibri"/>
                <w:b w:val="0"/>
                <w:bCs w:val="0"/>
                <w:sz w:val="20"/>
                <w:szCs w:val="20"/>
              </w:rPr>
            </w:pPr>
            <w:r w:rsidRPr="00786B05">
              <w:rPr>
                <w:rFonts w:ascii="Calibri" w:hAnsi="Calibri" w:cs="Calibri"/>
                <w:sz w:val="20"/>
                <w:szCs w:val="20"/>
              </w:rPr>
              <w:t>37</w:t>
            </w:r>
          </w:p>
        </w:tc>
        <w:tc>
          <w:tcPr>
            <w:tcW w:w="360" w:type="dxa"/>
          </w:tcPr>
          <w:p w14:paraId="157FD80A" w14:textId="77777777" w:rsidR="009B7AED" w:rsidRPr="00786B05" w:rsidRDefault="009B7AED" w:rsidP="00786B05">
            <w:pPr>
              <w:pStyle w:val="TableTextDense"/>
              <w:spacing w:before="10" w:after="10" w:line="240" w:lineRule="auto"/>
              <w:jc w:val="center"/>
              <w:rPr>
                <w:rFonts w:ascii="Calibri" w:hAnsi="Calibri" w:cs="Calibri"/>
                <w:b w:val="0"/>
                <w:bCs w:val="0"/>
                <w:sz w:val="20"/>
                <w:szCs w:val="20"/>
              </w:rPr>
            </w:pPr>
            <w:r w:rsidRPr="00786B05">
              <w:rPr>
                <w:rFonts w:ascii="Calibri" w:hAnsi="Calibri" w:cs="Calibri"/>
                <w:sz w:val="20"/>
                <w:szCs w:val="20"/>
              </w:rPr>
              <w:t>38</w:t>
            </w:r>
          </w:p>
        </w:tc>
        <w:tc>
          <w:tcPr>
            <w:tcW w:w="360" w:type="dxa"/>
          </w:tcPr>
          <w:p w14:paraId="648FB3CC" w14:textId="77777777" w:rsidR="009B7AED" w:rsidRPr="00786B05" w:rsidRDefault="009B7AED" w:rsidP="00786B05">
            <w:pPr>
              <w:pStyle w:val="TableTextDense"/>
              <w:spacing w:before="10" w:after="10" w:line="240" w:lineRule="auto"/>
              <w:jc w:val="center"/>
              <w:rPr>
                <w:rFonts w:ascii="Calibri" w:hAnsi="Calibri" w:cs="Calibri"/>
                <w:b w:val="0"/>
                <w:bCs w:val="0"/>
                <w:sz w:val="20"/>
                <w:szCs w:val="20"/>
              </w:rPr>
            </w:pPr>
            <w:r w:rsidRPr="00786B05">
              <w:rPr>
                <w:rFonts w:ascii="Calibri" w:hAnsi="Calibri" w:cs="Calibri"/>
                <w:sz w:val="20"/>
                <w:szCs w:val="20"/>
              </w:rPr>
              <w:t>39</w:t>
            </w:r>
          </w:p>
        </w:tc>
        <w:tc>
          <w:tcPr>
            <w:tcW w:w="360" w:type="dxa"/>
          </w:tcPr>
          <w:p w14:paraId="77F193D7" w14:textId="77777777" w:rsidR="009B7AED" w:rsidRPr="00786B05" w:rsidRDefault="009B7AED" w:rsidP="00786B05">
            <w:pPr>
              <w:pStyle w:val="TableTextDense"/>
              <w:spacing w:before="10" w:after="10" w:line="240" w:lineRule="auto"/>
              <w:jc w:val="center"/>
              <w:rPr>
                <w:rFonts w:ascii="Calibri" w:hAnsi="Calibri" w:cs="Calibri"/>
                <w:b w:val="0"/>
                <w:bCs w:val="0"/>
                <w:sz w:val="20"/>
                <w:szCs w:val="20"/>
              </w:rPr>
            </w:pPr>
            <w:r w:rsidRPr="00786B05">
              <w:rPr>
                <w:rFonts w:ascii="Calibri" w:hAnsi="Calibri" w:cs="Calibri"/>
                <w:sz w:val="20"/>
                <w:szCs w:val="20"/>
              </w:rPr>
              <w:t>40</w:t>
            </w:r>
          </w:p>
        </w:tc>
        <w:tc>
          <w:tcPr>
            <w:tcW w:w="900" w:type="dxa"/>
          </w:tcPr>
          <w:p w14:paraId="09C18D2E" w14:textId="77777777" w:rsidR="009B7AED" w:rsidRPr="00786B05" w:rsidRDefault="009B7AED" w:rsidP="00786B05">
            <w:pPr>
              <w:pStyle w:val="TableTextDense"/>
              <w:spacing w:before="10" w:after="10" w:line="240" w:lineRule="auto"/>
              <w:jc w:val="center"/>
              <w:rPr>
                <w:rFonts w:ascii="Calibri" w:hAnsi="Calibri" w:cs="Calibri"/>
                <w:b w:val="0"/>
                <w:bCs w:val="0"/>
                <w:sz w:val="20"/>
                <w:szCs w:val="20"/>
              </w:rPr>
            </w:pPr>
            <w:r w:rsidRPr="00786B05">
              <w:rPr>
                <w:rFonts w:ascii="Calibri" w:hAnsi="Calibri" w:cs="Calibri"/>
                <w:sz w:val="20"/>
                <w:szCs w:val="20"/>
              </w:rPr>
              <w:t>41</w:t>
            </w:r>
          </w:p>
        </w:tc>
        <w:tc>
          <w:tcPr>
            <w:tcW w:w="1076" w:type="dxa"/>
          </w:tcPr>
          <w:p w14:paraId="6151CABE" w14:textId="77777777" w:rsidR="009B7AED" w:rsidRPr="00786B05" w:rsidRDefault="009B7AED" w:rsidP="00786B05">
            <w:pPr>
              <w:pStyle w:val="TableTextDense"/>
              <w:spacing w:before="10" w:after="10" w:line="240" w:lineRule="auto"/>
              <w:jc w:val="center"/>
              <w:rPr>
                <w:rFonts w:ascii="Calibri" w:hAnsi="Calibri" w:cs="Calibri"/>
                <w:b w:val="0"/>
                <w:bCs w:val="0"/>
                <w:sz w:val="20"/>
                <w:szCs w:val="20"/>
              </w:rPr>
            </w:pPr>
            <w:r w:rsidRPr="00786B05">
              <w:rPr>
                <w:rFonts w:ascii="Calibri" w:hAnsi="Calibri" w:cs="Calibri"/>
                <w:sz w:val="20"/>
                <w:szCs w:val="20"/>
              </w:rPr>
              <w:t>42</w:t>
            </w:r>
          </w:p>
        </w:tc>
        <w:tc>
          <w:tcPr>
            <w:tcW w:w="576" w:type="dxa"/>
          </w:tcPr>
          <w:p w14:paraId="19DBBB3C" w14:textId="77777777" w:rsidR="009B7AED" w:rsidRPr="00786B05" w:rsidRDefault="009B7AED" w:rsidP="00786B05">
            <w:pPr>
              <w:pStyle w:val="TableTextDense"/>
              <w:spacing w:before="10" w:after="10" w:line="240" w:lineRule="auto"/>
              <w:jc w:val="center"/>
              <w:rPr>
                <w:rFonts w:ascii="Calibri" w:hAnsi="Calibri" w:cs="Calibri"/>
                <w:b w:val="0"/>
                <w:bCs w:val="0"/>
                <w:sz w:val="20"/>
                <w:szCs w:val="20"/>
              </w:rPr>
            </w:pPr>
            <w:r w:rsidRPr="00786B05">
              <w:rPr>
                <w:rFonts w:ascii="Calibri" w:hAnsi="Calibri" w:cs="Calibri"/>
                <w:sz w:val="20"/>
                <w:szCs w:val="20"/>
              </w:rPr>
              <w:t>43</w:t>
            </w:r>
          </w:p>
        </w:tc>
        <w:tc>
          <w:tcPr>
            <w:tcW w:w="576" w:type="dxa"/>
          </w:tcPr>
          <w:p w14:paraId="1DAAA8F7" w14:textId="77777777" w:rsidR="009B7AED" w:rsidRPr="00786B05" w:rsidRDefault="009B7AED" w:rsidP="00786B05">
            <w:pPr>
              <w:pStyle w:val="TableTextDense"/>
              <w:spacing w:before="10" w:after="10" w:line="240" w:lineRule="auto"/>
              <w:jc w:val="center"/>
              <w:rPr>
                <w:rFonts w:ascii="Calibri" w:hAnsi="Calibri" w:cs="Calibri"/>
                <w:b w:val="0"/>
                <w:bCs w:val="0"/>
                <w:sz w:val="20"/>
                <w:szCs w:val="20"/>
              </w:rPr>
            </w:pPr>
            <w:r w:rsidRPr="00786B05">
              <w:rPr>
                <w:rFonts w:ascii="Calibri" w:hAnsi="Calibri" w:cs="Calibri"/>
                <w:sz w:val="20"/>
                <w:szCs w:val="20"/>
              </w:rPr>
              <w:t>44</w:t>
            </w:r>
          </w:p>
        </w:tc>
        <w:tc>
          <w:tcPr>
            <w:tcW w:w="965" w:type="dxa"/>
          </w:tcPr>
          <w:p w14:paraId="3720E01A" w14:textId="77777777" w:rsidR="009B7AED" w:rsidRPr="00786B05" w:rsidRDefault="009B7AED" w:rsidP="00786B05">
            <w:pPr>
              <w:pStyle w:val="TableTextDense"/>
              <w:spacing w:before="10" w:after="10" w:line="240" w:lineRule="auto"/>
              <w:jc w:val="center"/>
              <w:rPr>
                <w:rFonts w:ascii="Calibri" w:hAnsi="Calibri" w:cs="Calibri"/>
                <w:b w:val="0"/>
                <w:bCs w:val="0"/>
                <w:sz w:val="20"/>
                <w:szCs w:val="20"/>
              </w:rPr>
            </w:pPr>
            <w:r w:rsidRPr="00786B05">
              <w:rPr>
                <w:rFonts w:ascii="Calibri" w:hAnsi="Calibri" w:cs="Calibri"/>
                <w:sz w:val="20"/>
                <w:szCs w:val="20"/>
              </w:rPr>
              <w:t>45-47</w:t>
            </w:r>
          </w:p>
        </w:tc>
        <w:tc>
          <w:tcPr>
            <w:tcW w:w="965" w:type="dxa"/>
          </w:tcPr>
          <w:p w14:paraId="03420D28" w14:textId="77777777" w:rsidR="009B7AED" w:rsidRPr="00786B05" w:rsidRDefault="009B7AED" w:rsidP="00786B05">
            <w:pPr>
              <w:pStyle w:val="TableTextDense"/>
              <w:spacing w:before="10" w:after="10" w:line="240" w:lineRule="auto"/>
              <w:jc w:val="center"/>
              <w:rPr>
                <w:rFonts w:ascii="Calibri" w:hAnsi="Calibri" w:cs="Calibri"/>
                <w:b w:val="0"/>
                <w:bCs w:val="0"/>
                <w:sz w:val="20"/>
                <w:szCs w:val="20"/>
              </w:rPr>
            </w:pPr>
            <w:r w:rsidRPr="00786B05">
              <w:rPr>
                <w:rFonts w:ascii="Calibri" w:hAnsi="Calibri" w:cs="Calibri"/>
                <w:sz w:val="20"/>
                <w:szCs w:val="20"/>
              </w:rPr>
              <w:t>48-50</w:t>
            </w:r>
          </w:p>
        </w:tc>
      </w:tr>
      <w:tr w:rsidR="009B7AED" w:rsidRPr="00786B05" w14:paraId="29875E7C" w14:textId="77777777" w:rsidTr="00264716">
        <w:trPr>
          <w:trHeight w:val="60"/>
        </w:trPr>
        <w:tc>
          <w:tcPr>
            <w:tcW w:w="981" w:type="dxa"/>
          </w:tcPr>
          <w:p w14:paraId="3BBEE8A7" w14:textId="77777777" w:rsidR="009B7AED" w:rsidRPr="00786B05" w:rsidRDefault="009B7AED" w:rsidP="00786B05">
            <w:pPr>
              <w:pStyle w:val="TableTextDense"/>
              <w:spacing w:before="10" w:after="10" w:line="240" w:lineRule="auto"/>
              <w:rPr>
                <w:rFonts w:ascii="Calibri" w:hAnsi="Calibri" w:cs="Calibri"/>
                <w:sz w:val="20"/>
                <w:szCs w:val="20"/>
              </w:rPr>
            </w:pPr>
            <w:r w:rsidRPr="00786B05">
              <w:rPr>
                <w:rFonts w:ascii="Calibri" w:hAnsi="Calibri" w:cs="Calibri"/>
                <w:sz w:val="20"/>
                <w:szCs w:val="20"/>
              </w:rPr>
              <w:t>Content Example:</w:t>
            </w:r>
          </w:p>
        </w:tc>
        <w:tc>
          <w:tcPr>
            <w:tcW w:w="333" w:type="dxa"/>
          </w:tcPr>
          <w:p w14:paraId="25F025F6" w14:textId="77777777" w:rsidR="009B7AED" w:rsidRPr="00786B05" w:rsidRDefault="009B7AED" w:rsidP="00786B05">
            <w:pPr>
              <w:pStyle w:val="TableTextDense"/>
              <w:spacing w:before="10" w:after="10" w:line="240" w:lineRule="auto"/>
              <w:jc w:val="center"/>
              <w:rPr>
                <w:rFonts w:ascii="Calibri" w:hAnsi="Calibri" w:cs="Calibri"/>
                <w:sz w:val="20"/>
                <w:szCs w:val="20"/>
              </w:rPr>
            </w:pPr>
            <w:r w:rsidRPr="00786B05">
              <w:rPr>
                <w:rFonts w:ascii="Calibri" w:hAnsi="Calibri" w:cs="Calibri"/>
                <w:sz w:val="20"/>
                <w:szCs w:val="20"/>
              </w:rPr>
              <w:t>N</w:t>
            </w:r>
          </w:p>
        </w:tc>
        <w:tc>
          <w:tcPr>
            <w:tcW w:w="454" w:type="dxa"/>
          </w:tcPr>
          <w:p w14:paraId="08ED194D" w14:textId="77777777" w:rsidR="009B7AED" w:rsidRPr="00786B05" w:rsidRDefault="009B7AED" w:rsidP="00786B05">
            <w:pPr>
              <w:pStyle w:val="TableTextDense"/>
              <w:spacing w:before="10" w:after="10" w:line="240" w:lineRule="auto"/>
              <w:jc w:val="center"/>
              <w:rPr>
                <w:rFonts w:ascii="Calibri" w:hAnsi="Calibri" w:cs="Calibri"/>
                <w:sz w:val="20"/>
                <w:szCs w:val="20"/>
              </w:rPr>
            </w:pPr>
            <w:r w:rsidRPr="00786B05">
              <w:rPr>
                <w:rFonts w:ascii="Calibri" w:hAnsi="Calibri" w:cs="Calibri"/>
                <w:sz w:val="20"/>
                <w:szCs w:val="20"/>
              </w:rPr>
              <w:t>08</w:t>
            </w:r>
          </w:p>
        </w:tc>
        <w:tc>
          <w:tcPr>
            <w:tcW w:w="441" w:type="dxa"/>
          </w:tcPr>
          <w:p w14:paraId="0AF044AA" w14:textId="77777777" w:rsidR="009B7AED" w:rsidRPr="00786B05" w:rsidRDefault="009B7AED" w:rsidP="00786B05">
            <w:pPr>
              <w:pStyle w:val="TableTextDense"/>
              <w:spacing w:before="10" w:after="10" w:line="240" w:lineRule="auto"/>
              <w:jc w:val="center"/>
              <w:rPr>
                <w:rFonts w:ascii="Calibri" w:hAnsi="Calibri" w:cs="Calibri"/>
                <w:sz w:val="20"/>
                <w:szCs w:val="20"/>
              </w:rPr>
            </w:pPr>
            <w:r w:rsidRPr="00786B05">
              <w:rPr>
                <w:rFonts w:ascii="Calibri" w:hAnsi="Calibri" w:cs="Calibri"/>
                <w:sz w:val="20"/>
                <w:szCs w:val="20"/>
              </w:rPr>
              <w:t>045</w:t>
            </w:r>
          </w:p>
        </w:tc>
        <w:tc>
          <w:tcPr>
            <w:tcW w:w="765" w:type="dxa"/>
          </w:tcPr>
          <w:p w14:paraId="3E86EF3F" w14:textId="77777777" w:rsidR="009B7AED" w:rsidRPr="00786B05" w:rsidRDefault="009B7AED" w:rsidP="00786B05">
            <w:pPr>
              <w:pStyle w:val="TableTextDense"/>
              <w:spacing w:before="10" w:after="10" w:line="240" w:lineRule="auto"/>
              <w:jc w:val="center"/>
              <w:rPr>
                <w:rFonts w:ascii="Calibri" w:hAnsi="Calibri" w:cs="Calibri"/>
                <w:sz w:val="20"/>
                <w:szCs w:val="20"/>
              </w:rPr>
            </w:pPr>
            <w:r w:rsidRPr="00786B05">
              <w:rPr>
                <w:rFonts w:ascii="Calibri" w:hAnsi="Calibri" w:cs="Calibri"/>
                <w:sz w:val="20"/>
                <w:szCs w:val="20"/>
              </w:rPr>
              <w:t>GLWDLC</w:t>
            </w:r>
          </w:p>
        </w:tc>
        <w:tc>
          <w:tcPr>
            <w:tcW w:w="1336" w:type="dxa"/>
          </w:tcPr>
          <w:p w14:paraId="59951449" w14:textId="77777777" w:rsidR="009B7AED" w:rsidRPr="00786B05" w:rsidRDefault="009B7AED" w:rsidP="00786B05">
            <w:pPr>
              <w:pStyle w:val="TableTextDense"/>
              <w:spacing w:before="10" w:after="10" w:line="240" w:lineRule="auto"/>
              <w:jc w:val="center"/>
              <w:rPr>
                <w:rFonts w:ascii="Calibri" w:hAnsi="Calibri" w:cs="Calibri"/>
                <w:sz w:val="20"/>
                <w:szCs w:val="20"/>
              </w:rPr>
            </w:pPr>
            <w:r w:rsidRPr="00786B05">
              <w:rPr>
                <w:rFonts w:ascii="Calibri" w:hAnsi="Calibri" w:cs="Calibri"/>
                <w:sz w:val="20"/>
                <w:szCs w:val="20"/>
              </w:rPr>
              <w:t>39.55060000</w:t>
            </w:r>
          </w:p>
        </w:tc>
        <w:tc>
          <w:tcPr>
            <w:tcW w:w="1350" w:type="dxa"/>
          </w:tcPr>
          <w:p w14:paraId="47380A89" w14:textId="77777777" w:rsidR="009B7AED" w:rsidRPr="00786B05" w:rsidRDefault="009B7AED" w:rsidP="00786B05">
            <w:pPr>
              <w:pStyle w:val="TableTextDense"/>
              <w:spacing w:before="10" w:after="10" w:line="240" w:lineRule="auto"/>
              <w:jc w:val="center"/>
              <w:rPr>
                <w:rFonts w:ascii="Calibri" w:hAnsi="Calibri" w:cs="Calibri"/>
                <w:sz w:val="20"/>
                <w:szCs w:val="20"/>
              </w:rPr>
            </w:pPr>
            <w:r w:rsidRPr="00786B05">
              <w:rPr>
                <w:rFonts w:ascii="Calibri" w:hAnsi="Calibri" w:cs="Calibri"/>
                <w:sz w:val="20"/>
                <w:szCs w:val="20"/>
              </w:rPr>
              <w:t>-107.324851</w:t>
            </w:r>
          </w:p>
        </w:tc>
        <w:tc>
          <w:tcPr>
            <w:tcW w:w="360" w:type="dxa"/>
          </w:tcPr>
          <w:p w14:paraId="4BF917B0" w14:textId="77777777" w:rsidR="009B7AED" w:rsidRPr="00786B05" w:rsidRDefault="009B7AED" w:rsidP="00786B05">
            <w:pPr>
              <w:pStyle w:val="TableTextDense"/>
              <w:spacing w:before="10" w:after="10" w:line="240" w:lineRule="auto"/>
              <w:jc w:val="center"/>
              <w:rPr>
                <w:rFonts w:ascii="Calibri" w:hAnsi="Calibri" w:cs="Calibri"/>
                <w:sz w:val="20"/>
                <w:szCs w:val="20"/>
              </w:rPr>
            </w:pPr>
            <w:r w:rsidRPr="00786B05">
              <w:rPr>
                <w:rFonts w:ascii="Calibri" w:hAnsi="Calibri" w:cs="Calibri"/>
                <w:sz w:val="20"/>
                <w:szCs w:val="20"/>
              </w:rPr>
              <w:t>1</w:t>
            </w:r>
          </w:p>
        </w:tc>
        <w:tc>
          <w:tcPr>
            <w:tcW w:w="360" w:type="dxa"/>
          </w:tcPr>
          <w:p w14:paraId="2E0EA6B0" w14:textId="77777777" w:rsidR="009B7AED" w:rsidRPr="00786B05" w:rsidRDefault="009B7AED" w:rsidP="00786B05">
            <w:pPr>
              <w:pStyle w:val="TableTextDense"/>
              <w:spacing w:before="10" w:after="10" w:line="240" w:lineRule="auto"/>
              <w:jc w:val="center"/>
              <w:rPr>
                <w:rFonts w:ascii="Calibri" w:hAnsi="Calibri" w:cs="Calibri"/>
                <w:sz w:val="20"/>
                <w:szCs w:val="20"/>
              </w:rPr>
            </w:pPr>
            <w:r w:rsidRPr="00786B05">
              <w:rPr>
                <w:rFonts w:ascii="Calibri" w:hAnsi="Calibri" w:cs="Calibri"/>
                <w:sz w:val="20"/>
                <w:szCs w:val="20"/>
              </w:rPr>
              <w:t>1</w:t>
            </w:r>
          </w:p>
        </w:tc>
        <w:tc>
          <w:tcPr>
            <w:tcW w:w="360" w:type="dxa"/>
          </w:tcPr>
          <w:p w14:paraId="031D690F" w14:textId="77777777" w:rsidR="009B7AED" w:rsidRPr="00786B05" w:rsidRDefault="009B7AED" w:rsidP="00786B05">
            <w:pPr>
              <w:pStyle w:val="TableTextDense"/>
              <w:spacing w:before="10" w:after="10" w:line="240" w:lineRule="auto"/>
              <w:jc w:val="center"/>
              <w:rPr>
                <w:rFonts w:ascii="Calibri" w:hAnsi="Calibri" w:cs="Calibri"/>
                <w:sz w:val="20"/>
                <w:szCs w:val="20"/>
              </w:rPr>
            </w:pPr>
            <w:r w:rsidRPr="00786B05">
              <w:rPr>
                <w:rFonts w:ascii="Calibri" w:hAnsi="Calibri" w:cs="Calibri"/>
                <w:sz w:val="20"/>
                <w:szCs w:val="20"/>
              </w:rPr>
              <w:t>1</w:t>
            </w:r>
          </w:p>
        </w:tc>
        <w:tc>
          <w:tcPr>
            <w:tcW w:w="360" w:type="dxa"/>
          </w:tcPr>
          <w:p w14:paraId="1A5423FE" w14:textId="77777777" w:rsidR="009B7AED" w:rsidRPr="00786B05" w:rsidRDefault="009B7AED" w:rsidP="00786B05">
            <w:pPr>
              <w:pStyle w:val="TableTextDense"/>
              <w:spacing w:before="10" w:after="10" w:line="240" w:lineRule="auto"/>
              <w:jc w:val="center"/>
              <w:rPr>
                <w:rFonts w:ascii="Calibri" w:hAnsi="Calibri" w:cs="Calibri"/>
                <w:sz w:val="20"/>
                <w:szCs w:val="20"/>
              </w:rPr>
            </w:pPr>
            <w:r w:rsidRPr="00786B05">
              <w:rPr>
                <w:rFonts w:ascii="Calibri" w:hAnsi="Calibri" w:cs="Calibri"/>
                <w:sz w:val="20"/>
                <w:szCs w:val="20"/>
              </w:rPr>
              <w:t>1</w:t>
            </w:r>
          </w:p>
        </w:tc>
        <w:tc>
          <w:tcPr>
            <w:tcW w:w="360" w:type="dxa"/>
          </w:tcPr>
          <w:p w14:paraId="28F57BF4" w14:textId="77777777" w:rsidR="009B7AED" w:rsidRPr="00786B05" w:rsidRDefault="009B7AED" w:rsidP="00786B05">
            <w:pPr>
              <w:pStyle w:val="TableTextDense"/>
              <w:spacing w:before="10" w:after="10" w:line="240" w:lineRule="auto"/>
              <w:jc w:val="center"/>
              <w:rPr>
                <w:rFonts w:ascii="Calibri" w:hAnsi="Calibri" w:cs="Calibri"/>
                <w:sz w:val="20"/>
                <w:szCs w:val="20"/>
              </w:rPr>
            </w:pPr>
            <w:r w:rsidRPr="00786B05">
              <w:rPr>
                <w:rFonts w:ascii="Calibri" w:hAnsi="Calibri" w:cs="Calibri"/>
                <w:sz w:val="20"/>
                <w:szCs w:val="20"/>
              </w:rPr>
              <w:t>2</w:t>
            </w:r>
          </w:p>
        </w:tc>
        <w:tc>
          <w:tcPr>
            <w:tcW w:w="360" w:type="dxa"/>
          </w:tcPr>
          <w:p w14:paraId="6CA0FE5A" w14:textId="77777777" w:rsidR="009B7AED" w:rsidRPr="00786B05" w:rsidRDefault="009B7AED" w:rsidP="00786B05">
            <w:pPr>
              <w:pStyle w:val="TableTextDense"/>
              <w:spacing w:before="10" w:after="10" w:line="240" w:lineRule="auto"/>
              <w:jc w:val="center"/>
              <w:rPr>
                <w:rFonts w:ascii="Calibri" w:hAnsi="Calibri" w:cs="Calibri"/>
                <w:sz w:val="20"/>
                <w:szCs w:val="20"/>
              </w:rPr>
            </w:pPr>
            <w:r w:rsidRPr="00786B05">
              <w:rPr>
                <w:rFonts w:ascii="Calibri" w:hAnsi="Calibri" w:cs="Calibri"/>
                <w:sz w:val="20"/>
                <w:szCs w:val="20"/>
              </w:rPr>
              <w:t>N</w:t>
            </w:r>
          </w:p>
        </w:tc>
        <w:tc>
          <w:tcPr>
            <w:tcW w:w="900" w:type="dxa"/>
          </w:tcPr>
          <w:p w14:paraId="774AC42B" w14:textId="77777777" w:rsidR="009B7AED" w:rsidRPr="00786B05" w:rsidRDefault="009B7AED" w:rsidP="00786B05">
            <w:pPr>
              <w:pStyle w:val="TableTextDense"/>
              <w:spacing w:before="10" w:after="10" w:line="240" w:lineRule="auto"/>
              <w:jc w:val="center"/>
              <w:rPr>
                <w:rFonts w:ascii="Calibri" w:hAnsi="Calibri" w:cs="Calibri"/>
                <w:sz w:val="20"/>
                <w:szCs w:val="20"/>
              </w:rPr>
            </w:pPr>
            <w:r w:rsidRPr="00786B05">
              <w:rPr>
                <w:rFonts w:ascii="Calibri" w:hAnsi="Calibri" w:cs="Calibri"/>
                <w:sz w:val="20"/>
                <w:szCs w:val="20"/>
              </w:rPr>
              <w:t>Blank</w:t>
            </w:r>
          </w:p>
        </w:tc>
        <w:tc>
          <w:tcPr>
            <w:tcW w:w="1076" w:type="dxa"/>
          </w:tcPr>
          <w:p w14:paraId="0A54A108" w14:textId="77777777" w:rsidR="009B7AED" w:rsidRPr="00786B05" w:rsidRDefault="009B7AED" w:rsidP="00786B05">
            <w:pPr>
              <w:pStyle w:val="TableTextDense"/>
              <w:spacing w:before="10" w:after="10" w:line="240" w:lineRule="auto"/>
              <w:jc w:val="center"/>
              <w:rPr>
                <w:rFonts w:ascii="Calibri" w:hAnsi="Calibri" w:cs="Calibri"/>
                <w:sz w:val="20"/>
                <w:szCs w:val="20"/>
              </w:rPr>
            </w:pPr>
            <w:r w:rsidRPr="00786B05">
              <w:rPr>
                <w:rFonts w:ascii="Calibri" w:hAnsi="Calibri" w:cs="Calibri"/>
                <w:sz w:val="20"/>
                <w:szCs w:val="20"/>
              </w:rPr>
              <w:t>Blank</w:t>
            </w:r>
          </w:p>
        </w:tc>
        <w:tc>
          <w:tcPr>
            <w:tcW w:w="576" w:type="dxa"/>
          </w:tcPr>
          <w:p w14:paraId="6BB269AC" w14:textId="77777777" w:rsidR="009B7AED" w:rsidRPr="00786B05" w:rsidRDefault="009B7AED" w:rsidP="00786B05">
            <w:pPr>
              <w:pStyle w:val="TableTextDense"/>
              <w:spacing w:before="10" w:after="10" w:line="240" w:lineRule="auto"/>
              <w:jc w:val="center"/>
              <w:rPr>
                <w:rFonts w:ascii="Calibri" w:hAnsi="Calibri" w:cs="Calibri"/>
                <w:sz w:val="20"/>
                <w:szCs w:val="20"/>
              </w:rPr>
            </w:pPr>
            <w:r w:rsidRPr="00786B05">
              <w:rPr>
                <w:rFonts w:ascii="Calibri" w:hAnsi="Calibri" w:cs="Calibri"/>
                <w:sz w:val="20"/>
                <w:szCs w:val="20"/>
              </w:rPr>
              <w:t>H</w:t>
            </w:r>
          </w:p>
        </w:tc>
        <w:tc>
          <w:tcPr>
            <w:tcW w:w="576" w:type="dxa"/>
          </w:tcPr>
          <w:p w14:paraId="368CED69" w14:textId="77777777" w:rsidR="009B7AED" w:rsidRPr="00786B05" w:rsidRDefault="009B7AED" w:rsidP="00786B05">
            <w:pPr>
              <w:pStyle w:val="TableTextDense"/>
              <w:spacing w:before="10" w:after="10" w:line="240" w:lineRule="auto"/>
              <w:jc w:val="center"/>
              <w:rPr>
                <w:rFonts w:ascii="Calibri" w:hAnsi="Calibri" w:cs="Calibri"/>
                <w:sz w:val="20"/>
                <w:szCs w:val="20"/>
              </w:rPr>
            </w:pPr>
            <w:r w:rsidRPr="00786B05">
              <w:rPr>
                <w:rFonts w:ascii="Calibri" w:hAnsi="Calibri" w:cs="Calibri"/>
                <w:sz w:val="20"/>
                <w:szCs w:val="20"/>
              </w:rPr>
              <w:t>2</w:t>
            </w:r>
          </w:p>
        </w:tc>
        <w:tc>
          <w:tcPr>
            <w:tcW w:w="965" w:type="dxa"/>
          </w:tcPr>
          <w:p w14:paraId="577CADC9" w14:textId="77777777" w:rsidR="009B7AED" w:rsidRPr="00786B05" w:rsidRDefault="009B7AED" w:rsidP="00786B05">
            <w:pPr>
              <w:pStyle w:val="TableTextDense"/>
              <w:spacing w:before="10" w:after="10" w:line="240" w:lineRule="auto"/>
              <w:jc w:val="center"/>
              <w:rPr>
                <w:rFonts w:ascii="Calibri" w:hAnsi="Calibri" w:cs="Calibri"/>
                <w:sz w:val="20"/>
                <w:szCs w:val="20"/>
              </w:rPr>
            </w:pPr>
            <w:r w:rsidRPr="00786B05">
              <w:rPr>
                <w:rFonts w:ascii="Calibri" w:hAnsi="Calibri" w:cs="Calibri"/>
                <w:sz w:val="20"/>
                <w:szCs w:val="20"/>
              </w:rPr>
              <w:t>060</w:t>
            </w:r>
          </w:p>
        </w:tc>
        <w:tc>
          <w:tcPr>
            <w:tcW w:w="965" w:type="dxa"/>
          </w:tcPr>
          <w:p w14:paraId="6523CD49" w14:textId="77777777" w:rsidR="009B7AED" w:rsidRPr="00786B05" w:rsidRDefault="009B7AED" w:rsidP="00786B05">
            <w:pPr>
              <w:pStyle w:val="TableTextDense"/>
              <w:spacing w:before="10" w:after="10" w:line="240" w:lineRule="auto"/>
              <w:jc w:val="center"/>
              <w:rPr>
                <w:rFonts w:ascii="Calibri" w:hAnsi="Calibri" w:cs="Calibri"/>
                <w:sz w:val="20"/>
                <w:szCs w:val="20"/>
              </w:rPr>
            </w:pPr>
            <w:r w:rsidRPr="00786B05">
              <w:rPr>
                <w:rFonts w:ascii="Calibri" w:hAnsi="Calibri" w:cs="Calibri"/>
                <w:sz w:val="20"/>
                <w:szCs w:val="20"/>
              </w:rPr>
              <w:t>045</w:t>
            </w:r>
          </w:p>
        </w:tc>
      </w:tr>
    </w:tbl>
    <w:p w14:paraId="4AF91887" w14:textId="77777777" w:rsidR="009B7AED" w:rsidRPr="00D96273" w:rsidRDefault="009B7AED" w:rsidP="00786B05">
      <w:pPr>
        <w:spacing w:before="120" w:after="120"/>
        <w:rPr>
          <w:i/>
          <w:iCs/>
        </w:rPr>
      </w:pPr>
      <w:r w:rsidRPr="00D96273">
        <w:rPr>
          <w:i/>
          <w:iCs/>
        </w:rPr>
        <w:t>continued</w:t>
      </w:r>
    </w:p>
    <w:tbl>
      <w:tblPr>
        <w:tblStyle w:val="TMGTable"/>
        <w:tblW w:w="1289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1008"/>
        <w:gridCol w:w="670"/>
        <w:gridCol w:w="720"/>
        <w:gridCol w:w="720"/>
        <w:gridCol w:w="720"/>
        <w:gridCol w:w="720"/>
        <w:gridCol w:w="990"/>
        <w:gridCol w:w="990"/>
        <w:gridCol w:w="990"/>
        <w:gridCol w:w="1170"/>
        <w:gridCol w:w="1080"/>
        <w:gridCol w:w="1080"/>
        <w:gridCol w:w="810"/>
        <w:gridCol w:w="1224"/>
      </w:tblGrid>
      <w:tr w:rsidR="009B7AED" w:rsidRPr="00786B05" w14:paraId="6629B3C5" w14:textId="77777777" w:rsidTr="00264716">
        <w:trPr>
          <w:cnfStyle w:val="100000000000" w:firstRow="1" w:lastRow="0" w:firstColumn="0" w:lastColumn="0" w:oddVBand="0" w:evenVBand="0" w:oddHBand="0" w:evenHBand="0" w:firstRowFirstColumn="0" w:firstRowLastColumn="0" w:lastRowFirstColumn="0" w:lastRowLastColumn="0"/>
          <w:trHeight w:val="60"/>
        </w:trPr>
        <w:tc>
          <w:tcPr>
            <w:tcW w:w="1008" w:type="dxa"/>
          </w:tcPr>
          <w:p w14:paraId="512ED5CC" w14:textId="77777777" w:rsidR="009B7AED" w:rsidRPr="00786B05" w:rsidRDefault="009B7AED" w:rsidP="00786B05">
            <w:pPr>
              <w:pStyle w:val="TableTextDense"/>
              <w:spacing w:before="10" w:after="10" w:line="240" w:lineRule="auto"/>
              <w:contextualSpacing w:val="0"/>
              <w:rPr>
                <w:rFonts w:ascii="Calibri" w:hAnsi="Calibri" w:cs="Calibri"/>
                <w:b w:val="0"/>
                <w:bCs w:val="0"/>
                <w:sz w:val="20"/>
                <w:szCs w:val="20"/>
              </w:rPr>
            </w:pPr>
            <w:r w:rsidRPr="00786B05">
              <w:rPr>
                <w:rFonts w:ascii="Calibri" w:hAnsi="Calibri" w:cs="Calibri"/>
                <w:sz w:val="20"/>
                <w:szCs w:val="20"/>
              </w:rPr>
              <w:t>Column Number:</w:t>
            </w:r>
          </w:p>
        </w:tc>
        <w:tc>
          <w:tcPr>
            <w:tcW w:w="670" w:type="dxa"/>
          </w:tcPr>
          <w:p w14:paraId="0CCCDC63" w14:textId="77777777" w:rsidR="009B7AED" w:rsidRPr="00786B05" w:rsidRDefault="009B7AED" w:rsidP="00786B05">
            <w:pPr>
              <w:pStyle w:val="TableTextDense"/>
              <w:spacing w:before="10" w:after="10" w:line="240" w:lineRule="auto"/>
              <w:contextualSpacing w:val="0"/>
              <w:jc w:val="center"/>
              <w:rPr>
                <w:rFonts w:ascii="Calibri" w:hAnsi="Calibri" w:cs="Calibri"/>
                <w:b w:val="0"/>
                <w:bCs w:val="0"/>
                <w:sz w:val="20"/>
                <w:szCs w:val="20"/>
              </w:rPr>
            </w:pPr>
            <w:r w:rsidRPr="00786B05">
              <w:rPr>
                <w:rFonts w:ascii="Calibri" w:hAnsi="Calibri" w:cs="Calibri"/>
                <w:sz w:val="20"/>
                <w:szCs w:val="20"/>
              </w:rPr>
              <w:t>51-54</w:t>
            </w:r>
          </w:p>
        </w:tc>
        <w:tc>
          <w:tcPr>
            <w:tcW w:w="720" w:type="dxa"/>
          </w:tcPr>
          <w:p w14:paraId="2A2F7D4F" w14:textId="77777777" w:rsidR="009B7AED" w:rsidRPr="00786B05" w:rsidRDefault="009B7AED" w:rsidP="00786B05">
            <w:pPr>
              <w:pStyle w:val="TableTextDense"/>
              <w:spacing w:before="10" w:after="10" w:line="240" w:lineRule="auto"/>
              <w:contextualSpacing w:val="0"/>
              <w:jc w:val="center"/>
              <w:rPr>
                <w:rFonts w:ascii="Calibri" w:hAnsi="Calibri" w:cs="Calibri"/>
                <w:b w:val="0"/>
                <w:bCs w:val="0"/>
                <w:sz w:val="20"/>
                <w:szCs w:val="20"/>
              </w:rPr>
            </w:pPr>
            <w:r w:rsidRPr="00786B05">
              <w:rPr>
                <w:rFonts w:ascii="Calibri" w:hAnsi="Calibri" w:cs="Calibri"/>
                <w:sz w:val="20"/>
                <w:szCs w:val="20"/>
              </w:rPr>
              <w:t>55-56</w:t>
            </w:r>
          </w:p>
        </w:tc>
        <w:tc>
          <w:tcPr>
            <w:tcW w:w="720" w:type="dxa"/>
          </w:tcPr>
          <w:p w14:paraId="7AE71424" w14:textId="77777777" w:rsidR="009B7AED" w:rsidRPr="00786B05" w:rsidRDefault="009B7AED" w:rsidP="00786B05">
            <w:pPr>
              <w:pStyle w:val="TableTextDense"/>
              <w:spacing w:before="10" w:after="10" w:line="240" w:lineRule="auto"/>
              <w:contextualSpacing w:val="0"/>
              <w:jc w:val="center"/>
              <w:rPr>
                <w:rFonts w:ascii="Calibri" w:hAnsi="Calibri" w:cs="Calibri"/>
                <w:b w:val="0"/>
                <w:bCs w:val="0"/>
                <w:sz w:val="20"/>
                <w:szCs w:val="20"/>
              </w:rPr>
            </w:pPr>
            <w:r w:rsidRPr="00786B05">
              <w:rPr>
                <w:rFonts w:ascii="Calibri" w:hAnsi="Calibri" w:cs="Calibri"/>
                <w:sz w:val="20"/>
                <w:szCs w:val="20"/>
              </w:rPr>
              <w:t>57-58</w:t>
            </w:r>
          </w:p>
        </w:tc>
        <w:tc>
          <w:tcPr>
            <w:tcW w:w="720" w:type="dxa"/>
          </w:tcPr>
          <w:p w14:paraId="0DFC9E1F" w14:textId="77777777" w:rsidR="009B7AED" w:rsidRPr="00786B05" w:rsidRDefault="009B7AED" w:rsidP="00786B05">
            <w:pPr>
              <w:pStyle w:val="TableTextDense"/>
              <w:spacing w:before="10" w:after="10" w:line="240" w:lineRule="auto"/>
              <w:contextualSpacing w:val="0"/>
              <w:jc w:val="center"/>
              <w:rPr>
                <w:rFonts w:ascii="Calibri" w:hAnsi="Calibri" w:cs="Calibri"/>
                <w:b w:val="0"/>
                <w:bCs w:val="0"/>
                <w:sz w:val="20"/>
                <w:szCs w:val="20"/>
              </w:rPr>
            </w:pPr>
            <w:r w:rsidRPr="00786B05">
              <w:rPr>
                <w:rFonts w:ascii="Calibri" w:hAnsi="Calibri" w:cs="Calibri"/>
                <w:sz w:val="20"/>
                <w:szCs w:val="20"/>
              </w:rPr>
              <w:t>59-62</w:t>
            </w:r>
          </w:p>
        </w:tc>
        <w:tc>
          <w:tcPr>
            <w:tcW w:w="720" w:type="dxa"/>
          </w:tcPr>
          <w:p w14:paraId="2F4AB440" w14:textId="77777777" w:rsidR="009B7AED" w:rsidRPr="00786B05" w:rsidRDefault="009B7AED" w:rsidP="00786B05">
            <w:pPr>
              <w:pStyle w:val="TableTextDense"/>
              <w:spacing w:before="10" w:after="10" w:line="240" w:lineRule="auto"/>
              <w:contextualSpacing w:val="0"/>
              <w:jc w:val="center"/>
              <w:rPr>
                <w:rFonts w:ascii="Calibri" w:hAnsi="Calibri" w:cs="Calibri"/>
                <w:b w:val="0"/>
                <w:bCs w:val="0"/>
                <w:sz w:val="20"/>
                <w:szCs w:val="20"/>
              </w:rPr>
            </w:pPr>
            <w:r w:rsidRPr="00786B05">
              <w:rPr>
                <w:rFonts w:ascii="Calibri" w:hAnsi="Calibri" w:cs="Calibri"/>
                <w:sz w:val="20"/>
                <w:szCs w:val="20"/>
              </w:rPr>
              <w:t>63-65</w:t>
            </w:r>
          </w:p>
        </w:tc>
        <w:tc>
          <w:tcPr>
            <w:tcW w:w="990" w:type="dxa"/>
          </w:tcPr>
          <w:p w14:paraId="5FF1BC70" w14:textId="77777777" w:rsidR="009B7AED" w:rsidRPr="00786B05" w:rsidRDefault="009B7AED" w:rsidP="00786B05">
            <w:pPr>
              <w:pStyle w:val="TableTextDense"/>
              <w:spacing w:before="10" w:after="10" w:line="240" w:lineRule="auto"/>
              <w:contextualSpacing w:val="0"/>
              <w:jc w:val="center"/>
              <w:rPr>
                <w:rFonts w:ascii="Calibri" w:hAnsi="Calibri" w:cs="Calibri"/>
                <w:b w:val="0"/>
                <w:bCs w:val="0"/>
                <w:sz w:val="20"/>
                <w:szCs w:val="20"/>
              </w:rPr>
            </w:pPr>
            <w:r w:rsidRPr="00786B05">
              <w:rPr>
                <w:rFonts w:ascii="Calibri" w:hAnsi="Calibri" w:cs="Calibri"/>
                <w:sz w:val="20"/>
                <w:szCs w:val="20"/>
              </w:rPr>
              <w:t>66-70</w:t>
            </w:r>
          </w:p>
        </w:tc>
        <w:tc>
          <w:tcPr>
            <w:tcW w:w="990" w:type="dxa"/>
          </w:tcPr>
          <w:p w14:paraId="57D6EF93" w14:textId="77777777" w:rsidR="009B7AED" w:rsidRPr="00786B05" w:rsidRDefault="009B7AED" w:rsidP="00786B05">
            <w:pPr>
              <w:pStyle w:val="TableTextDense"/>
              <w:spacing w:before="10" w:after="10" w:line="240" w:lineRule="auto"/>
              <w:contextualSpacing w:val="0"/>
              <w:jc w:val="center"/>
              <w:rPr>
                <w:rFonts w:ascii="Calibri" w:hAnsi="Calibri" w:cs="Calibri"/>
                <w:b w:val="0"/>
                <w:bCs w:val="0"/>
                <w:sz w:val="20"/>
                <w:szCs w:val="20"/>
              </w:rPr>
            </w:pPr>
            <w:r w:rsidRPr="00786B05">
              <w:rPr>
                <w:rFonts w:ascii="Calibri" w:hAnsi="Calibri" w:cs="Calibri"/>
                <w:sz w:val="20"/>
                <w:szCs w:val="20"/>
              </w:rPr>
              <w:t>71-75</w:t>
            </w:r>
          </w:p>
        </w:tc>
        <w:tc>
          <w:tcPr>
            <w:tcW w:w="990" w:type="dxa"/>
          </w:tcPr>
          <w:p w14:paraId="6BB1C0E7" w14:textId="77777777" w:rsidR="009B7AED" w:rsidRPr="00786B05" w:rsidRDefault="009B7AED" w:rsidP="00786B05">
            <w:pPr>
              <w:pStyle w:val="TableTextDense"/>
              <w:spacing w:before="10" w:after="10" w:line="240" w:lineRule="auto"/>
              <w:contextualSpacing w:val="0"/>
              <w:jc w:val="center"/>
              <w:rPr>
                <w:rFonts w:ascii="Calibri" w:hAnsi="Calibri" w:cs="Calibri"/>
                <w:b w:val="0"/>
                <w:bCs w:val="0"/>
                <w:sz w:val="20"/>
                <w:szCs w:val="20"/>
              </w:rPr>
            </w:pPr>
            <w:r w:rsidRPr="00786B05">
              <w:rPr>
                <w:rFonts w:ascii="Calibri" w:hAnsi="Calibri" w:cs="Calibri"/>
                <w:sz w:val="20"/>
                <w:szCs w:val="20"/>
              </w:rPr>
              <w:t>76-80</w:t>
            </w:r>
          </w:p>
        </w:tc>
        <w:tc>
          <w:tcPr>
            <w:tcW w:w="1170" w:type="dxa"/>
          </w:tcPr>
          <w:p w14:paraId="1D424A57" w14:textId="77777777" w:rsidR="009B7AED" w:rsidRPr="00786B05" w:rsidRDefault="009B7AED" w:rsidP="00786B05">
            <w:pPr>
              <w:pStyle w:val="TableTextDense"/>
              <w:spacing w:before="10" w:after="10" w:line="240" w:lineRule="auto"/>
              <w:contextualSpacing w:val="0"/>
              <w:jc w:val="center"/>
              <w:rPr>
                <w:rFonts w:ascii="Calibri" w:hAnsi="Calibri" w:cs="Calibri"/>
                <w:b w:val="0"/>
                <w:bCs w:val="0"/>
                <w:sz w:val="20"/>
                <w:szCs w:val="20"/>
              </w:rPr>
            </w:pPr>
            <w:r w:rsidRPr="00786B05">
              <w:rPr>
                <w:rFonts w:ascii="Calibri" w:hAnsi="Calibri" w:cs="Calibri"/>
                <w:sz w:val="20"/>
                <w:szCs w:val="20"/>
              </w:rPr>
              <w:t>81-85</w:t>
            </w:r>
          </w:p>
        </w:tc>
        <w:tc>
          <w:tcPr>
            <w:tcW w:w="1080" w:type="dxa"/>
          </w:tcPr>
          <w:p w14:paraId="132ABF27" w14:textId="77777777" w:rsidR="009B7AED" w:rsidRPr="00786B05" w:rsidRDefault="009B7AED" w:rsidP="00786B05">
            <w:pPr>
              <w:pStyle w:val="TableTextDense"/>
              <w:spacing w:before="10" w:after="10" w:line="240" w:lineRule="auto"/>
              <w:contextualSpacing w:val="0"/>
              <w:jc w:val="center"/>
              <w:rPr>
                <w:rFonts w:ascii="Calibri" w:hAnsi="Calibri" w:cs="Calibri"/>
                <w:b w:val="0"/>
                <w:bCs w:val="0"/>
                <w:sz w:val="20"/>
                <w:szCs w:val="20"/>
              </w:rPr>
            </w:pPr>
            <w:r w:rsidRPr="00786B05">
              <w:rPr>
                <w:rFonts w:ascii="Calibri" w:hAnsi="Calibri" w:cs="Calibri"/>
                <w:sz w:val="20"/>
                <w:szCs w:val="20"/>
              </w:rPr>
              <w:t>86-90</w:t>
            </w:r>
          </w:p>
        </w:tc>
        <w:tc>
          <w:tcPr>
            <w:tcW w:w="1080" w:type="dxa"/>
          </w:tcPr>
          <w:p w14:paraId="69F402F2" w14:textId="77777777" w:rsidR="009B7AED" w:rsidRPr="00786B05" w:rsidRDefault="009B7AED" w:rsidP="00786B05">
            <w:pPr>
              <w:pStyle w:val="TableTextDense"/>
              <w:spacing w:before="10" w:after="10" w:line="240" w:lineRule="auto"/>
              <w:contextualSpacing w:val="0"/>
              <w:jc w:val="center"/>
              <w:rPr>
                <w:rFonts w:ascii="Calibri" w:hAnsi="Calibri" w:cs="Calibri"/>
                <w:b w:val="0"/>
                <w:bCs w:val="0"/>
                <w:sz w:val="20"/>
                <w:szCs w:val="20"/>
              </w:rPr>
            </w:pPr>
            <w:r w:rsidRPr="00786B05">
              <w:rPr>
                <w:rFonts w:ascii="Calibri" w:hAnsi="Calibri" w:cs="Calibri"/>
                <w:sz w:val="20"/>
                <w:szCs w:val="20"/>
              </w:rPr>
              <w:t>91-95</w:t>
            </w:r>
          </w:p>
        </w:tc>
        <w:tc>
          <w:tcPr>
            <w:tcW w:w="810" w:type="dxa"/>
          </w:tcPr>
          <w:p w14:paraId="5121FE91" w14:textId="77777777" w:rsidR="009B7AED" w:rsidRPr="00786B05" w:rsidRDefault="009B7AED" w:rsidP="00786B05">
            <w:pPr>
              <w:pStyle w:val="TableTextDense"/>
              <w:spacing w:before="10" w:after="10" w:line="240" w:lineRule="auto"/>
              <w:contextualSpacing w:val="0"/>
              <w:jc w:val="center"/>
              <w:rPr>
                <w:rFonts w:ascii="Calibri" w:hAnsi="Calibri" w:cs="Calibri"/>
                <w:b w:val="0"/>
                <w:bCs w:val="0"/>
                <w:sz w:val="20"/>
                <w:szCs w:val="20"/>
              </w:rPr>
            </w:pPr>
            <w:r w:rsidRPr="00786B05">
              <w:rPr>
                <w:rFonts w:ascii="Calibri" w:hAnsi="Calibri" w:cs="Calibri"/>
                <w:sz w:val="20"/>
                <w:szCs w:val="20"/>
              </w:rPr>
              <w:t>...</w:t>
            </w:r>
          </w:p>
        </w:tc>
        <w:tc>
          <w:tcPr>
            <w:tcW w:w="1224" w:type="dxa"/>
          </w:tcPr>
          <w:p w14:paraId="202FD5CC" w14:textId="77777777" w:rsidR="009B7AED" w:rsidRPr="00786B05" w:rsidRDefault="009B7AED" w:rsidP="00786B05">
            <w:pPr>
              <w:pStyle w:val="TableTextDense"/>
              <w:spacing w:before="10" w:after="10" w:line="240" w:lineRule="auto"/>
              <w:contextualSpacing w:val="0"/>
              <w:jc w:val="center"/>
              <w:rPr>
                <w:rFonts w:ascii="Calibri" w:hAnsi="Calibri" w:cs="Calibri"/>
                <w:b w:val="0"/>
                <w:bCs w:val="0"/>
                <w:sz w:val="20"/>
                <w:szCs w:val="20"/>
              </w:rPr>
            </w:pPr>
            <w:r w:rsidRPr="00786B05">
              <w:rPr>
                <w:rFonts w:ascii="Calibri" w:hAnsi="Calibri" w:cs="Calibri"/>
                <w:sz w:val="20"/>
                <w:szCs w:val="20"/>
              </w:rPr>
              <w:t>141-145</w:t>
            </w:r>
          </w:p>
        </w:tc>
      </w:tr>
      <w:tr w:rsidR="009B7AED" w:rsidRPr="00786B05" w14:paraId="197D13DD" w14:textId="77777777" w:rsidTr="00264716">
        <w:trPr>
          <w:trHeight w:val="60"/>
        </w:trPr>
        <w:tc>
          <w:tcPr>
            <w:tcW w:w="1008" w:type="dxa"/>
          </w:tcPr>
          <w:p w14:paraId="68E28367" w14:textId="77777777" w:rsidR="009B7AED" w:rsidRPr="00786B05" w:rsidRDefault="009B7AED" w:rsidP="00786B05">
            <w:pPr>
              <w:pStyle w:val="TableTextDense"/>
              <w:spacing w:before="10" w:after="10" w:line="240" w:lineRule="auto"/>
              <w:contextualSpacing w:val="0"/>
              <w:rPr>
                <w:rFonts w:ascii="Calibri" w:hAnsi="Calibri" w:cs="Calibri"/>
                <w:sz w:val="20"/>
                <w:szCs w:val="20"/>
              </w:rPr>
            </w:pPr>
            <w:r w:rsidRPr="00786B05">
              <w:rPr>
                <w:rFonts w:ascii="Calibri" w:hAnsi="Calibri" w:cs="Calibri"/>
                <w:sz w:val="20"/>
                <w:szCs w:val="20"/>
              </w:rPr>
              <w:t>Content Example:</w:t>
            </w:r>
          </w:p>
        </w:tc>
        <w:tc>
          <w:tcPr>
            <w:tcW w:w="670" w:type="dxa"/>
          </w:tcPr>
          <w:p w14:paraId="54D7E367" w14:textId="77777777" w:rsidR="009B7AED" w:rsidRPr="00786B05" w:rsidRDefault="009B7AED" w:rsidP="00786B05">
            <w:pPr>
              <w:pStyle w:val="TableTextDense"/>
              <w:spacing w:before="10" w:after="10" w:line="240" w:lineRule="auto"/>
              <w:contextualSpacing w:val="0"/>
              <w:jc w:val="center"/>
              <w:rPr>
                <w:rFonts w:ascii="Calibri" w:hAnsi="Calibri" w:cs="Calibri"/>
                <w:sz w:val="20"/>
                <w:szCs w:val="20"/>
              </w:rPr>
            </w:pPr>
            <w:r w:rsidRPr="00786B05">
              <w:rPr>
                <w:rFonts w:ascii="Calibri" w:hAnsi="Calibri" w:cs="Calibri"/>
                <w:sz w:val="20"/>
                <w:szCs w:val="20"/>
              </w:rPr>
              <w:t>2015</w:t>
            </w:r>
          </w:p>
        </w:tc>
        <w:tc>
          <w:tcPr>
            <w:tcW w:w="720" w:type="dxa"/>
          </w:tcPr>
          <w:p w14:paraId="793BD037" w14:textId="77777777" w:rsidR="009B7AED" w:rsidRPr="00786B05" w:rsidRDefault="009B7AED" w:rsidP="00786B05">
            <w:pPr>
              <w:pStyle w:val="TableTextDense"/>
              <w:spacing w:before="10" w:after="10" w:line="240" w:lineRule="auto"/>
              <w:contextualSpacing w:val="0"/>
              <w:jc w:val="center"/>
              <w:rPr>
                <w:rFonts w:ascii="Calibri" w:hAnsi="Calibri" w:cs="Calibri"/>
                <w:sz w:val="20"/>
                <w:szCs w:val="20"/>
              </w:rPr>
            </w:pPr>
            <w:r w:rsidRPr="00786B05">
              <w:rPr>
                <w:rFonts w:ascii="Calibri" w:hAnsi="Calibri" w:cs="Calibri"/>
                <w:sz w:val="20"/>
                <w:szCs w:val="20"/>
              </w:rPr>
              <w:t>04</w:t>
            </w:r>
          </w:p>
        </w:tc>
        <w:tc>
          <w:tcPr>
            <w:tcW w:w="720" w:type="dxa"/>
          </w:tcPr>
          <w:p w14:paraId="06AFBA1B" w14:textId="77777777" w:rsidR="009B7AED" w:rsidRPr="00786B05" w:rsidRDefault="009B7AED" w:rsidP="00786B05">
            <w:pPr>
              <w:pStyle w:val="TableTextDense"/>
              <w:spacing w:before="10" w:after="10" w:line="240" w:lineRule="auto"/>
              <w:contextualSpacing w:val="0"/>
              <w:jc w:val="center"/>
              <w:rPr>
                <w:rFonts w:ascii="Calibri" w:hAnsi="Calibri" w:cs="Calibri"/>
                <w:sz w:val="20"/>
                <w:szCs w:val="20"/>
              </w:rPr>
            </w:pPr>
            <w:r w:rsidRPr="00786B05">
              <w:rPr>
                <w:rFonts w:ascii="Calibri" w:hAnsi="Calibri" w:cs="Calibri"/>
                <w:sz w:val="20"/>
                <w:szCs w:val="20"/>
              </w:rPr>
              <w:t>15</w:t>
            </w:r>
          </w:p>
        </w:tc>
        <w:tc>
          <w:tcPr>
            <w:tcW w:w="720" w:type="dxa"/>
          </w:tcPr>
          <w:p w14:paraId="1E83557C" w14:textId="77777777" w:rsidR="009B7AED" w:rsidRPr="00786B05" w:rsidRDefault="009B7AED" w:rsidP="00786B05">
            <w:pPr>
              <w:pStyle w:val="TableTextDense"/>
              <w:spacing w:before="10" w:after="10" w:line="240" w:lineRule="auto"/>
              <w:contextualSpacing w:val="0"/>
              <w:jc w:val="center"/>
              <w:rPr>
                <w:rFonts w:ascii="Calibri" w:hAnsi="Calibri" w:cs="Calibri"/>
                <w:sz w:val="20"/>
                <w:szCs w:val="20"/>
              </w:rPr>
            </w:pPr>
            <w:r w:rsidRPr="00786B05">
              <w:rPr>
                <w:rFonts w:ascii="Calibri" w:hAnsi="Calibri" w:cs="Calibri"/>
                <w:sz w:val="20"/>
                <w:szCs w:val="20"/>
              </w:rPr>
              <w:t>0800</w:t>
            </w:r>
          </w:p>
        </w:tc>
        <w:tc>
          <w:tcPr>
            <w:tcW w:w="720" w:type="dxa"/>
          </w:tcPr>
          <w:p w14:paraId="2F7327F3" w14:textId="77777777" w:rsidR="009B7AED" w:rsidRPr="00786B05" w:rsidRDefault="009B7AED" w:rsidP="00786B05">
            <w:pPr>
              <w:pStyle w:val="TableTextDense"/>
              <w:spacing w:before="10" w:after="10" w:line="240" w:lineRule="auto"/>
              <w:contextualSpacing w:val="0"/>
              <w:jc w:val="center"/>
              <w:rPr>
                <w:rFonts w:ascii="Calibri" w:hAnsi="Calibri" w:cs="Calibri"/>
                <w:sz w:val="20"/>
                <w:szCs w:val="20"/>
              </w:rPr>
            </w:pPr>
            <w:r w:rsidRPr="00786B05">
              <w:rPr>
                <w:rFonts w:ascii="Calibri" w:hAnsi="Calibri" w:cs="Calibri"/>
                <w:sz w:val="20"/>
                <w:szCs w:val="20"/>
              </w:rPr>
              <w:t>60</w:t>
            </w:r>
          </w:p>
        </w:tc>
        <w:tc>
          <w:tcPr>
            <w:tcW w:w="990" w:type="dxa"/>
          </w:tcPr>
          <w:p w14:paraId="6FD06E11" w14:textId="77777777" w:rsidR="009B7AED" w:rsidRPr="00786B05" w:rsidRDefault="009B7AED" w:rsidP="00786B05">
            <w:pPr>
              <w:pStyle w:val="TableTextDense"/>
              <w:spacing w:before="10" w:after="10" w:line="240" w:lineRule="auto"/>
              <w:contextualSpacing w:val="0"/>
              <w:jc w:val="center"/>
              <w:rPr>
                <w:rFonts w:ascii="Calibri" w:hAnsi="Calibri" w:cs="Calibri"/>
                <w:sz w:val="20"/>
                <w:szCs w:val="20"/>
              </w:rPr>
            </w:pPr>
            <w:r w:rsidRPr="00786B05">
              <w:rPr>
                <w:rFonts w:ascii="Calibri" w:hAnsi="Calibri" w:cs="Calibri"/>
                <w:sz w:val="20"/>
                <w:szCs w:val="20"/>
              </w:rPr>
              <w:t>00045</w:t>
            </w:r>
          </w:p>
        </w:tc>
        <w:tc>
          <w:tcPr>
            <w:tcW w:w="990" w:type="dxa"/>
          </w:tcPr>
          <w:p w14:paraId="2A1B6562" w14:textId="77777777" w:rsidR="009B7AED" w:rsidRPr="00786B05" w:rsidRDefault="009B7AED" w:rsidP="00786B05">
            <w:pPr>
              <w:pStyle w:val="TableTextDense"/>
              <w:spacing w:before="10" w:after="10" w:line="240" w:lineRule="auto"/>
              <w:contextualSpacing w:val="0"/>
              <w:jc w:val="center"/>
              <w:rPr>
                <w:rFonts w:ascii="Calibri" w:hAnsi="Calibri" w:cs="Calibri"/>
                <w:sz w:val="20"/>
                <w:szCs w:val="20"/>
              </w:rPr>
            </w:pPr>
            <w:r w:rsidRPr="00786B05">
              <w:rPr>
                <w:rFonts w:ascii="Calibri" w:hAnsi="Calibri" w:cs="Calibri"/>
                <w:sz w:val="20"/>
                <w:szCs w:val="20"/>
              </w:rPr>
              <w:t>00030</w:t>
            </w:r>
          </w:p>
        </w:tc>
        <w:tc>
          <w:tcPr>
            <w:tcW w:w="990" w:type="dxa"/>
          </w:tcPr>
          <w:p w14:paraId="780D26F5" w14:textId="77777777" w:rsidR="009B7AED" w:rsidRPr="00786B05" w:rsidRDefault="009B7AED" w:rsidP="00786B05">
            <w:pPr>
              <w:pStyle w:val="TableTextDense"/>
              <w:spacing w:before="10" w:after="10" w:line="240" w:lineRule="auto"/>
              <w:contextualSpacing w:val="0"/>
              <w:jc w:val="center"/>
              <w:rPr>
                <w:rFonts w:ascii="Calibri" w:hAnsi="Calibri" w:cs="Calibri"/>
                <w:sz w:val="20"/>
                <w:szCs w:val="20"/>
              </w:rPr>
            </w:pPr>
            <w:r w:rsidRPr="00786B05">
              <w:rPr>
                <w:rFonts w:ascii="Calibri" w:hAnsi="Calibri" w:cs="Calibri"/>
                <w:sz w:val="20"/>
                <w:szCs w:val="20"/>
              </w:rPr>
              <w:t>00025</w:t>
            </w:r>
          </w:p>
        </w:tc>
        <w:tc>
          <w:tcPr>
            <w:tcW w:w="1170" w:type="dxa"/>
          </w:tcPr>
          <w:p w14:paraId="2B9C7459" w14:textId="77777777" w:rsidR="009B7AED" w:rsidRPr="00786B05" w:rsidRDefault="009B7AED" w:rsidP="00786B05">
            <w:pPr>
              <w:pStyle w:val="TableTextDense"/>
              <w:spacing w:before="10" w:after="10" w:line="240" w:lineRule="auto"/>
              <w:contextualSpacing w:val="0"/>
              <w:jc w:val="center"/>
              <w:rPr>
                <w:rFonts w:ascii="Calibri" w:hAnsi="Calibri" w:cs="Calibri"/>
                <w:sz w:val="20"/>
                <w:szCs w:val="20"/>
              </w:rPr>
            </w:pPr>
            <w:r w:rsidRPr="00786B05">
              <w:rPr>
                <w:rFonts w:ascii="Calibri" w:hAnsi="Calibri" w:cs="Calibri"/>
                <w:sz w:val="20"/>
                <w:szCs w:val="20"/>
              </w:rPr>
              <w:t>00000</w:t>
            </w:r>
          </w:p>
        </w:tc>
        <w:tc>
          <w:tcPr>
            <w:tcW w:w="1080" w:type="dxa"/>
          </w:tcPr>
          <w:p w14:paraId="2C28512D" w14:textId="77777777" w:rsidR="009B7AED" w:rsidRPr="00786B05" w:rsidRDefault="009B7AED" w:rsidP="00786B05">
            <w:pPr>
              <w:pStyle w:val="TableTextDense"/>
              <w:spacing w:before="10" w:after="10" w:line="240" w:lineRule="auto"/>
              <w:contextualSpacing w:val="0"/>
              <w:jc w:val="center"/>
              <w:rPr>
                <w:rFonts w:ascii="Calibri" w:hAnsi="Calibri" w:cs="Calibri"/>
                <w:sz w:val="20"/>
                <w:szCs w:val="20"/>
              </w:rPr>
            </w:pPr>
            <w:r w:rsidRPr="00786B05">
              <w:rPr>
                <w:rFonts w:ascii="Calibri" w:hAnsi="Calibri" w:cs="Calibri"/>
                <w:sz w:val="20"/>
                <w:szCs w:val="20"/>
              </w:rPr>
              <w:t>00000</w:t>
            </w:r>
          </w:p>
        </w:tc>
        <w:tc>
          <w:tcPr>
            <w:tcW w:w="1080" w:type="dxa"/>
          </w:tcPr>
          <w:p w14:paraId="21BEF2D5" w14:textId="44630528" w:rsidR="009B7AED" w:rsidRPr="00786B05" w:rsidRDefault="009B7AED" w:rsidP="00786B05">
            <w:pPr>
              <w:pStyle w:val="TableTextDense"/>
              <w:spacing w:before="10" w:after="10" w:line="240" w:lineRule="auto"/>
              <w:contextualSpacing w:val="0"/>
              <w:jc w:val="center"/>
              <w:rPr>
                <w:rFonts w:ascii="Calibri" w:hAnsi="Calibri" w:cs="Calibri"/>
                <w:sz w:val="20"/>
                <w:szCs w:val="20"/>
              </w:rPr>
            </w:pPr>
            <w:r w:rsidRPr="00786B05">
              <w:rPr>
                <w:rFonts w:ascii="Calibri" w:hAnsi="Calibri" w:cs="Calibri"/>
                <w:sz w:val="20"/>
                <w:szCs w:val="20"/>
              </w:rPr>
              <w:t>00000</w:t>
            </w:r>
          </w:p>
        </w:tc>
        <w:tc>
          <w:tcPr>
            <w:tcW w:w="810" w:type="dxa"/>
          </w:tcPr>
          <w:p w14:paraId="357693CC" w14:textId="25C9B1B1" w:rsidR="009B7AED" w:rsidRPr="00786B05" w:rsidRDefault="009B7AED" w:rsidP="00786B05">
            <w:pPr>
              <w:pStyle w:val="TableTextDense"/>
              <w:spacing w:before="10" w:after="10" w:line="240" w:lineRule="auto"/>
              <w:contextualSpacing w:val="0"/>
              <w:jc w:val="center"/>
              <w:rPr>
                <w:rFonts w:ascii="Calibri" w:hAnsi="Calibri" w:cs="Calibri"/>
                <w:sz w:val="20"/>
                <w:szCs w:val="20"/>
              </w:rPr>
            </w:pPr>
            <w:r w:rsidRPr="00786B05">
              <w:rPr>
                <w:rFonts w:ascii="Calibri" w:hAnsi="Calibri" w:cs="Calibri"/>
                <w:sz w:val="20"/>
                <w:szCs w:val="20"/>
              </w:rPr>
              <w:t>00000</w:t>
            </w:r>
          </w:p>
        </w:tc>
        <w:tc>
          <w:tcPr>
            <w:tcW w:w="1224" w:type="dxa"/>
          </w:tcPr>
          <w:p w14:paraId="2110B85A" w14:textId="77777777" w:rsidR="009B7AED" w:rsidRPr="00786B05" w:rsidRDefault="009B7AED" w:rsidP="00786B05">
            <w:pPr>
              <w:pStyle w:val="TableTextDense"/>
              <w:spacing w:before="10" w:after="10" w:line="240" w:lineRule="auto"/>
              <w:contextualSpacing w:val="0"/>
              <w:jc w:val="center"/>
              <w:rPr>
                <w:rFonts w:ascii="Calibri" w:hAnsi="Calibri" w:cs="Calibri"/>
                <w:sz w:val="20"/>
                <w:szCs w:val="20"/>
              </w:rPr>
            </w:pPr>
            <w:r w:rsidRPr="00786B05">
              <w:rPr>
                <w:rFonts w:ascii="Calibri" w:hAnsi="Calibri" w:cs="Calibri"/>
                <w:sz w:val="20"/>
                <w:szCs w:val="20"/>
              </w:rPr>
              <w:t>00000</w:t>
            </w:r>
          </w:p>
        </w:tc>
      </w:tr>
    </w:tbl>
    <w:p w14:paraId="6E6FBD7B" w14:textId="77777777" w:rsidR="009B7AED" w:rsidRDefault="009B7AED" w:rsidP="009B7AED">
      <w:pPr>
        <w:keepNext/>
        <w:spacing w:before="360" w:after="120"/>
        <w:contextualSpacing/>
        <w:rPr>
          <w:b/>
          <w:bCs/>
          <w:smallCaps/>
          <w:sz w:val="24"/>
          <w:szCs w:val="22"/>
        </w:rPr>
        <w:sectPr w:rsidR="009B7AED" w:rsidSect="00AC2837">
          <w:headerReference w:type="even" r:id="rId247"/>
          <w:headerReference w:type="default" r:id="rId248"/>
          <w:footerReference w:type="even" r:id="rId249"/>
          <w:footerReference w:type="default" r:id="rId250"/>
          <w:pgSz w:w="15840" w:h="12240" w:code="1"/>
          <w:pgMar w:top="1440" w:right="1152" w:bottom="1440" w:left="1440" w:header="720" w:footer="576" w:gutter="0"/>
          <w:pgNumType w:chapStyle="1"/>
          <w:cols w:space="720"/>
          <w:noEndnote/>
          <w:docGrid w:linePitch="272"/>
        </w:sectPr>
      </w:pPr>
    </w:p>
    <w:p w14:paraId="4FC4FA5D" w14:textId="280AA8E8" w:rsidR="009B7AED" w:rsidRDefault="009B7AED" w:rsidP="00A35EAF">
      <w:pPr>
        <w:pStyle w:val="BodyText"/>
      </w:pPr>
      <w:bookmarkStart w:id="3326" w:name="_Toc63976966"/>
      <w:r w:rsidRPr="00970386">
        <w:lastRenderedPageBreak/>
        <w:t xml:space="preserve">The example record in </w:t>
      </w:r>
      <w:fldSimple w:instr=" REF _Ref113280767 ">
        <w:r w:rsidR="00C07DF9">
          <w:t xml:space="preserve">Table </w:t>
        </w:r>
        <w:r w:rsidR="00C07DF9">
          <w:rPr>
            <w:noProof/>
          </w:rPr>
          <w:t>4</w:t>
        </w:r>
        <w:r w:rsidR="00C07DF9">
          <w:noBreakHyphen/>
        </w:r>
        <w:r w:rsidR="00C07DF9">
          <w:rPr>
            <w:noProof/>
          </w:rPr>
          <w:t>41</w:t>
        </w:r>
      </w:fldSimple>
      <w:r w:rsidRPr="00970386">
        <w:t xml:space="preserve"> can be decoded as follows: This micromobility count record (N) is for Colorado’s</w:t>
      </w:r>
      <w:r w:rsidR="00835BDC">
        <w:t> </w:t>
      </w:r>
      <w:r w:rsidRPr="00970386">
        <w:t>(08) Garfield County (45), with a Station ID of GLWDLC.</w:t>
      </w:r>
      <w:r w:rsidR="004D4172">
        <w:t xml:space="preserve"> </w:t>
      </w:r>
      <w:r w:rsidRPr="00970386">
        <w:t>The X/Y coordinates of the counter are 39.550600, -107.324851. The route is considered to have a northern direction (1), and the count is taken on the east side of the road (i.e., where traffic is northbound (1)), with only northbound movements occurring (1).</w:t>
      </w:r>
      <w:r w:rsidR="004D4172">
        <w:t xml:space="preserve"> </w:t>
      </w:r>
      <w:r w:rsidRPr="00970386">
        <w:t>The bikes being counted are in a shared roadway (1), and the count is not in an intersection (Field 11 = blank).</w:t>
      </w:r>
      <w:r w:rsidR="004D4172">
        <w:t xml:space="preserve"> </w:t>
      </w:r>
      <w:r w:rsidRPr="00970386">
        <w:t>Only bikes are being counted (2).</w:t>
      </w:r>
      <w:r w:rsidR="004D4172">
        <w:t xml:space="preserve"> </w:t>
      </w:r>
      <w:r w:rsidRPr="00970386">
        <w:t>This record includes the count of bike riders that are not wearing helmets (N), but gender and age data are not collected (columns 37 and 38 are blank).</w:t>
      </w:r>
      <w:r w:rsidR="004D4172">
        <w:t xml:space="preserve"> </w:t>
      </w:r>
      <w:r w:rsidRPr="00970386">
        <w:t>This means that a second record will need to be submitted to report the number of helmet users.</w:t>
      </w:r>
      <w:r w:rsidR="004D4172">
        <w:t xml:space="preserve"> </w:t>
      </w:r>
      <w:r w:rsidRPr="00970386">
        <w:t>Field 15, in column 39 (H), indicates that data are being collected manually (not surprising since helmet use is being collected).</w:t>
      </w:r>
      <w:r w:rsidR="004D4172">
        <w:t xml:space="preserve"> </w:t>
      </w:r>
      <w:r w:rsidRPr="00970386">
        <w:t>Rain fell during this data collection effort (2).</w:t>
      </w:r>
      <w:r w:rsidR="004D4172">
        <w:t xml:space="preserve"> </w:t>
      </w:r>
      <w:r w:rsidRPr="00970386">
        <w:t>The high temperature for the day of the count was 60 degrees Fahrenheit (a blank followed by 60), and the low was 45</w:t>
      </w:r>
      <w:r w:rsidR="005F7145">
        <w:t> </w:t>
      </w:r>
      <w:r w:rsidRPr="00970386">
        <w:t>degrees.</w:t>
      </w:r>
      <w:r w:rsidR="004D4172">
        <w:t xml:space="preserve"> </w:t>
      </w:r>
      <w:r w:rsidRPr="00970386">
        <w:t>The count was taken on April 15, 2014.</w:t>
      </w:r>
      <w:r w:rsidR="004D4172">
        <w:t xml:space="preserve"> </w:t>
      </w:r>
      <w:r w:rsidRPr="00970386">
        <w:t>The count started at 8:00 AM.</w:t>
      </w:r>
      <w:r w:rsidR="004D4172">
        <w:t xml:space="preserve"> </w:t>
      </w:r>
      <w:r w:rsidRPr="00970386">
        <w:t>The record includes hourly counts (60-minute time intervals).</w:t>
      </w:r>
      <w:r w:rsidR="004D4172">
        <w:t xml:space="preserve"> </w:t>
      </w:r>
      <w:r w:rsidRPr="00970386">
        <w:t>During the time interval between 8:00 and 8:59, 45 people were observed on bikes who were not using helmets.</w:t>
      </w:r>
      <w:r w:rsidR="004D4172">
        <w:t xml:space="preserve"> </w:t>
      </w:r>
      <w:r w:rsidRPr="00970386">
        <w:t>From 9:00 to 9:59 30 more people were observed riding without helmets.</w:t>
      </w:r>
      <w:r w:rsidR="004D4172">
        <w:t xml:space="preserve"> </w:t>
      </w:r>
      <w:r w:rsidRPr="00970386">
        <w:t>While counting continued, no riders were observed without helmets from 11:00 to 12:59 (columns 80 and 85 both contain zeros).</w:t>
      </w:r>
      <w:r w:rsidR="004D4172">
        <w:t xml:space="preserve"> </w:t>
      </w:r>
      <w:r w:rsidRPr="00970386">
        <w:t>The manual counting was then suspended for the day, so no data were collected after 1:00 PM (13:00, or columns 86 to 90, which are blank). Simply for consistency reasons, the record length is shown as 145 columns (the length of 24 hours of data reported hourly), but the record is blank after column 85, as no data were collected after 1:00 PM.</w:t>
      </w:r>
    </w:p>
    <w:p w14:paraId="440FFF28" w14:textId="6FFA3520" w:rsidR="00AC2837" w:rsidRDefault="009B7AED" w:rsidP="009B7AED">
      <w:pPr>
        <w:spacing w:before="80" w:after="80"/>
        <w:jc w:val="left"/>
      </w:pPr>
      <w:r>
        <w:t xml:space="preserve">State highway agencies can submit the </w:t>
      </w:r>
      <w:r w:rsidRPr="00D40B7A">
        <w:t xml:space="preserve">Micromobility Count </w:t>
      </w:r>
      <w:r>
        <w:t xml:space="preserve">data using the pipe-delimited format. The key difference between the fixed-width format and the pipe-delimited format is that with the pipe-delimited file, data elements no longer need to match the starting and ending columns. Length of data elements can be equal or shorter than the specified lengths. </w:t>
      </w:r>
      <w:r>
        <w:rPr>
          <w:rStyle w:val="Italic"/>
          <w:i w:val="0"/>
        </w:rPr>
        <w:t xml:space="preserve">The field order for the pipe-delimited format is identical to the order for the fixed-width format (see </w:t>
      </w:r>
      <w:r>
        <w:rPr>
          <w:rStyle w:val="Italic"/>
          <w:i w:val="0"/>
        </w:rPr>
        <w:fldChar w:fldCharType="begin"/>
      </w:r>
      <w:r>
        <w:rPr>
          <w:rStyle w:val="Italic"/>
          <w:i w:val="0"/>
        </w:rPr>
        <w:instrText xml:space="preserve"> REF _Ref113280591 </w:instrText>
      </w:r>
      <w:r>
        <w:rPr>
          <w:rStyle w:val="Italic"/>
          <w:i w:val="0"/>
        </w:rPr>
        <w:fldChar w:fldCharType="separate"/>
      </w:r>
      <w:r w:rsidR="00C07DF9" w:rsidRPr="00251B8F">
        <w:t xml:space="preserve">Table </w:t>
      </w:r>
      <w:r w:rsidR="00C07DF9">
        <w:rPr>
          <w:noProof/>
        </w:rPr>
        <w:t>4</w:t>
      </w:r>
      <w:r w:rsidR="00C07DF9">
        <w:noBreakHyphen/>
      </w:r>
      <w:r w:rsidR="00C07DF9">
        <w:rPr>
          <w:noProof/>
        </w:rPr>
        <w:t>40</w:t>
      </w:r>
      <w:r>
        <w:rPr>
          <w:rStyle w:val="Italic"/>
          <w:i w:val="0"/>
        </w:rPr>
        <w:fldChar w:fldCharType="end"/>
      </w:r>
      <w:r>
        <w:rPr>
          <w:rStyle w:val="Italic"/>
          <w:i w:val="0"/>
        </w:rPr>
        <w:t xml:space="preserve">). In this format, the fields are separated by a </w:t>
      </w:r>
      <w:r>
        <w:t>pipe symbol (|) instead of beginning in specified columns. Example records in this format are provided below.</w:t>
      </w:r>
    </w:p>
    <w:p w14:paraId="3D1245FA" w14:textId="77777777" w:rsidR="00AC2837" w:rsidRDefault="00AC2837" w:rsidP="009B7AED">
      <w:pPr>
        <w:spacing w:before="80" w:after="80"/>
        <w:jc w:val="left"/>
      </w:pPr>
    </w:p>
    <w:bookmarkEnd w:id="3326"/>
    <w:p w14:paraId="447F0B2A" w14:textId="77777777" w:rsidR="00AC2837" w:rsidRDefault="00AC2837" w:rsidP="009B7AED">
      <w:pPr>
        <w:rPr>
          <w:b/>
          <w:sz w:val="24"/>
          <w:szCs w:val="24"/>
        </w:rPr>
        <w:sectPr w:rsidR="00AC2837" w:rsidSect="003C28DA">
          <w:headerReference w:type="even" r:id="rId251"/>
          <w:headerReference w:type="default" r:id="rId252"/>
          <w:footerReference w:type="even" r:id="rId253"/>
          <w:footerReference w:type="default" r:id="rId254"/>
          <w:type w:val="continuous"/>
          <w:pgSz w:w="12240" w:h="15840" w:code="1"/>
          <w:pgMar w:top="1440" w:right="1440" w:bottom="1152" w:left="1440" w:header="720" w:footer="576" w:gutter="0"/>
          <w:pgNumType w:chapStyle="1"/>
          <w:cols w:space="720"/>
          <w:docGrid w:linePitch="360"/>
        </w:sectPr>
      </w:pPr>
    </w:p>
    <w:p w14:paraId="6CE5BB64" w14:textId="77777777" w:rsidR="009B7AED" w:rsidRPr="00A26E43" w:rsidRDefault="009B7AED" w:rsidP="00A26E43">
      <w:pPr>
        <w:spacing w:after="120"/>
        <w:rPr>
          <w:rFonts w:ascii="Cambria" w:hAnsi="Cambria"/>
          <w:b/>
          <w:sz w:val="26"/>
          <w:szCs w:val="26"/>
        </w:rPr>
      </w:pPr>
      <w:r w:rsidRPr="00A26E43">
        <w:rPr>
          <w:rFonts w:ascii="Cambria" w:hAnsi="Cambria"/>
          <w:b/>
          <w:sz w:val="26"/>
          <w:szCs w:val="26"/>
        </w:rPr>
        <w:lastRenderedPageBreak/>
        <w:t>Delimited Format Examples</w:t>
      </w:r>
    </w:p>
    <w:p w14:paraId="375FC8FD" w14:textId="77777777" w:rsidR="009B7AED" w:rsidRPr="00A26E43" w:rsidRDefault="009B7AED" w:rsidP="00A26E43">
      <w:pPr>
        <w:spacing w:before="240" w:after="120"/>
        <w:rPr>
          <w:rFonts w:ascii="Cambria" w:hAnsi="Cambria"/>
          <w:b/>
          <w:sz w:val="22"/>
          <w:szCs w:val="22"/>
        </w:rPr>
      </w:pPr>
      <w:r w:rsidRPr="00A26E43">
        <w:rPr>
          <w:rFonts w:ascii="Cambria" w:hAnsi="Cambria"/>
          <w:b/>
          <w:sz w:val="22"/>
          <w:szCs w:val="22"/>
        </w:rPr>
        <w:t>Micromobility Count Format – Detailed</w:t>
      </w:r>
    </w:p>
    <w:p w14:paraId="6CC7A92C" w14:textId="77777777" w:rsidR="009B7AED" w:rsidRPr="0059069F" w:rsidRDefault="009B7AED" w:rsidP="009B7AED">
      <w:pPr>
        <w:spacing w:before="160"/>
        <w:contextualSpacing/>
        <w:rPr>
          <w:rFonts w:asciiTheme="minorHAnsi" w:hAnsiTheme="minorHAnsi" w:cstheme="minorHAnsi"/>
        </w:rPr>
      </w:pPr>
      <w:r w:rsidRPr="0059069F">
        <w:rPr>
          <w:rFonts w:asciiTheme="minorHAnsi" w:hAnsiTheme="minorHAnsi" w:cstheme="minorHAnsi"/>
        </w:rPr>
        <w:t>RT|SFIPS|CFIPS|ID|LAT|LON|D|LOC|D</w:t>
      </w:r>
      <w:r>
        <w:rPr>
          <w:rFonts w:asciiTheme="minorHAnsi" w:hAnsiTheme="minorHAnsi" w:cstheme="minorHAnsi"/>
        </w:rPr>
        <w:t>MOV</w:t>
      </w:r>
      <w:r w:rsidRPr="0059069F">
        <w:rPr>
          <w:rFonts w:asciiTheme="minorHAnsi" w:hAnsiTheme="minorHAnsi" w:cstheme="minorHAnsi"/>
        </w:rPr>
        <w:t>|FT|TOC|HELM|GEN|AGE|TS1|PREC|HIGHT|LOWT|YR|MOY|DOM|CST|CSI|CI|CI1|CI2|CI3|CI4|…|CI48</w:t>
      </w:r>
    </w:p>
    <w:p w14:paraId="3ECCC8E5" w14:textId="77777777" w:rsidR="009B7AED" w:rsidRPr="00A26E43" w:rsidRDefault="009B7AED" w:rsidP="00A26E43">
      <w:pPr>
        <w:spacing w:before="240" w:after="120"/>
        <w:rPr>
          <w:rFonts w:ascii="Cambria" w:hAnsi="Cambria"/>
          <w:b/>
          <w:sz w:val="22"/>
          <w:szCs w:val="22"/>
        </w:rPr>
      </w:pPr>
      <w:r w:rsidRPr="00A26E43">
        <w:rPr>
          <w:rFonts w:ascii="Cambria" w:hAnsi="Cambria"/>
          <w:b/>
          <w:sz w:val="22"/>
          <w:szCs w:val="22"/>
        </w:rPr>
        <w:t>Trail/Path 30-Minute Interval Bike Count For 10 Hours for Both Directions, with Helmet, Gender, and Age (including indeterminant)</w:t>
      </w:r>
    </w:p>
    <w:p w14:paraId="321D8A6A" w14:textId="77777777" w:rsidR="009B7AED" w:rsidRPr="0059069F" w:rsidRDefault="009B7AED" w:rsidP="00AC2837">
      <w:pPr>
        <w:spacing w:before="160"/>
        <w:ind w:left="1080" w:hanging="1080"/>
        <w:contextualSpacing/>
        <w:rPr>
          <w:rFonts w:asciiTheme="minorHAnsi" w:hAnsiTheme="minorHAnsi" w:cstheme="minorHAnsi"/>
        </w:rPr>
      </w:pPr>
      <w:r w:rsidRPr="0059069F">
        <w:rPr>
          <w:rFonts w:asciiTheme="minorHAnsi" w:hAnsiTheme="minorHAnsi" w:cstheme="minorHAnsi"/>
        </w:rPr>
        <w:t>N|12|86|ABC123|25</w:t>
      </w:r>
      <w:r>
        <w:rPr>
          <w:rFonts w:asciiTheme="minorHAnsi" w:hAnsiTheme="minorHAnsi" w:cstheme="minorHAnsi"/>
        </w:rPr>
        <w:t>.</w:t>
      </w:r>
      <w:r w:rsidRPr="0059069F">
        <w:rPr>
          <w:rFonts w:asciiTheme="minorHAnsi" w:hAnsiTheme="minorHAnsi" w:cstheme="minorHAnsi"/>
        </w:rPr>
        <w:t>630471|</w:t>
      </w:r>
      <w:r>
        <w:rPr>
          <w:rFonts w:asciiTheme="minorHAnsi" w:hAnsiTheme="minorHAnsi" w:cstheme="minorHAnsi"/>
        </w:rPr>
        <w:t>-</w:t>
      </w:r>
      <w:r w:rsidRPr="0059069F">
        <w:rPr>
          <w:rFonts w:asciiTheme="minorHAnsi" w:hAnsiTheme="minorHAnsi" w:cstheme="minorHAnsi"/>
        </w:rPr>
        <w:t>80</w:t>
      </w:r>
      <w:r>
        <w:rPr>
          <w:rFonts w:asciiTheme="minorHAnsi" w:hAnsiTheme="minorHAnsi" w:cstheme="minorHAnsi"/>
        </w:rPr>
        <w:t>.</w:t>
      </w:r>
      <w:r w:rsidRPr="0059069F">
        <w:rPr>
          <w:rFonts w:asciiTheme="minorHAnsi" w:hAnsiTheme="minorHAnsi" w:cstheme="minorHAnsi"/>
        </w:rPr>
        <w:t>340739|1|1|3|1|2|N|M|C|H|2|90|85|2020|7|23|0700|30|0|0|0|0|0|0|1|0|0|0|0|0|0|1|0|0|0|1|0|0</w:t>
      </w:r>
    </w:p>
    <w:p w14:paraId="3253DF2C" w14:textId="77777777" w:rsidR="009B7AED" w:rsidRPr="0059069F" w:rsidRDefault="009B7AED" w:rsidP="00AC2837">
      <w:pPr>
        <w:spacing w:before="160"/>
        <w:ind w:left="1080" w:hanging="1080"/>
        <w:contextualSpacing/>
        <w:rPr>
          <w:rFonts w:asciiTheme="minorHAnsi" w:hAnsiTheme="minorHAnsi" w:cstheme="minorHAnsi"/>
        </w:rPr>
      </w:pPr>
      <w:r w:rsidRPr="0059069F">
        <w:rPr>
          <w:rFonts w:asciiTheme="minorHAnsi" w:hAnsiTheme="minorHAnsi" w:cstheme="minorHAnsi"/>
        </w:rPr>
        <w:t>N|12|86|ABC123|25</w:t>
      </w:r>
      <w:r>
        <w:rPr>
          <w:rFonts w:asciiTheme="minorHAnsi" w:hAnsiTheme="minorHAnsi" w:cstheme="minorHAnsi"/>
        </w:rPr>
        <w:t>.</w:t>
      </w:r>
      <w:r w:rsidRPr="0059069F">
        <w:rPr>
          <w:rFonts w:asciiTheme="minorHAnsi" w:hAnsiTheme="minorHAnsi" w:cstheme="minorHAnsi"/>
        </w:rPr>
        <w:t>630471|</w:t>
      </w:r>
      <w:r>
        <w:rPr>
          <w:rFonts w:asciiTheme="minorHAnsi" w:hAnsiTheme="minorHAnsi" w:cstheme="minorHAnsi"/>
        </w:rPr>
        <w:t>-</w:t>
      </w:r>
      <w:r w:rsidRPr="0059069F">
        <w:rPr>
          <w:rFonts w:asciiTheme="minorHAnsi" w:hAnsiTheme="minorHAnsi" w:cstheme="minorHAnsi"/>
        </w:rPr>
        <w:t>80</w:t>
      </w:r>
      <w:r>
        <w:rPr>
          <w:rFonts w:asciiTheme="minorHAnsi" w:hAnsiTheme="minorHAnsi" w:cstheme="minorHAnsi"/>
        </w:rPr>
        <w:t>.</w:t>
      </w:r>
      <w:r w:rsidRPr="0059069F">
        <w:rPr>
          <w:rFonts w:asciiTheme="minorHAnsi" w:hAnsiTheme="minorHAnsi" w:cstheme="minorHAnsi"/>
        </w:rPr>
        <w:t>340739|1|1|3|1|2|N|F|C|H|2|90|85|2020|7|23|0700|30|0|0|0|0|0|0|0|0|0|0|0|0|0|0|0|0|0|0|0|0</w:t>
      </w:r>
    </w:p>
    <w:p w14:paraId="56A56C95" w14:textId="77777777" w:rsidR="009B7AED" w:rsidRPr="0059069F" w:rsidRDefault="009B7AED" w:rsidP="00AC2837">
      <w:pPr>
        <w:spacing w:before="160"/>
        <w:ind w:left="1080" w:hanging="1080"/>
        <w:contextualSpacing/>
        <w:rPr>
          <w:rFonts w:asciiTheme="minorHAnsi" w:hAnsiTheme="minorHAnsi" w:cstheme="minorHAnsi"/>
        </w:rPr>
      </w:pPr>
      <w:r w:rsidRPr="0059069F">
        <w:rPr>
          <w:rFonts w:asciiTheme="minorHAnsi" w:hAnsiTheme="minorHAnsi" w:cstheme="minorHAnsi"/>
        </w:rPr>
        <w:t>N|12|86|ABC123|25</w:t>
      </w:r>
      <w:r>
        <w:rPr>
          <w:rFonts w:asciiTheme="minorHAnsi" w:hAnsiTheme="minorHAnsi" w:cstheme="minorHAnsi"/>
        </w:rPr>
        <w:t>.</w:t>
      </w:r>
      <w:r w:rsidRPr="0059069F">
        <w:rPr>
          <w:rFonts w:asciiTheme="minorHAnsi" w:hAnsiTheme="minorHAnsi" w:cstheme="minorHAnsi"/>
        </w:rPr>
        <w:t>630471|</w:t>
      </w:r>
      <w:r>
        <w:rPr>
          <w:rFonts w:asciiTheme="minorHAnsi" w:hAnsiTheme="minorHAnsi" w:cstheme="minorHAnsi"/>
        </w:rPr>
        <w:t>-</w:t>
      </w:r>
      <w:r w:rsidRPr="0059069F">
        <w:rPr>
          <w:rFonts w:asciiTheme="minorHAnsi" w:hAnsiTheme="minorHAnsi" w:cstheme="minorHAnsi"/>
        </w:rPr>
        <w:t>80</w:t>
      </w:r>
      <w:r>
        <w:rPr>
          <w:rFonts w:asciiTheme="minorHAnsi" w:hAnsiTheme="minorHAnsi" w:cstheme="minorHAnsi"/>
        </w:rPr>
        <w:t>.</w:t>
      </w:r>
      <w:r w:rsidRPr="0059069F">
        <w:rPr>
          <w:rFonts w:asciiTheme="minorHAnsi" w:hAnsiTheme="minorHAnsi" w:cstheme="minorHAnsi"/>
        </w:rPr>
        <w:t>340739|1|1|3|1|2|N|M|A|H|2|90|85|2020|7|23|0700|30|1|00|0|0|0|0|0|0|1|0|0|0|0|1|0|0|0|0|1|0</w:t>
      </w:r>
    </w:p>
    <w:p w14:paraId="2343628D" w14:textId="77777777" w:rsidR="009B7AED" w:rsidRPr="0059069F" w:rsidRDefault="009B7AED" w:rsidP="00AC2837">
      <w:pPr>
        <w:spacing w:before="160"/>
        <w:ind w:left="1080" w:hanging="1080"/>
        <w:contextualSpacing/>
        <w:rPr>
          <w:rFonts w:asciiTheme="minorHAnsi" w:hAnsiTheme="minorHAnsi" w:cstheme="minorHAnsi"/>
        </w:rPr>
      </w:pPr>
      <w:r w:rsidRPr="0059069F">
        <w:rPr>
          <w:rFonts w:asciiTheme="minorHAnsi" w:hAnsiTheme="minorHAnsi" w:cstheme="minorHAnsi"/>
        </w:rPr>
        <w:t>N|12|86|ABC123|25</w:t>
      </w:r>
      <w:r>
        <w:rPr>
          <w:rFonts w:asciiTheme="minorHAnsi" w:hAnsiTheme="minorHAnsi" w:cstheme="minorHAnsi"/>
        </w:rPr>
        <w:t>.</w:t>
      </w:r>
      <w:r w:rsidRPr="0059069F">
        <w:rPr>
          <w:rFonts w:asciiTheme="minorHAnsi" w:hAnsiTheme="minorHAnsi" w:cstheme="minorHAnsi"/>
        </w:rPr>
        <w:t>630471|</w:t>
      </w:r>
      <w:r>
        <w:rPr>
          <w:rFonts w:asciiTheme="minorHAnsi" w:hAnsiTheme="minorHAnsi" w:cstheme="minorHAnsi"/>
        </w:rPr>
        <w:t>-</w:t>
      </w:r>
      <w:r w:rsidRPr="0059069F">
        <w:rPr>
          <w:rFonts w:asciiTheme="minorHAnsi" w:hAnsiTheme="minorHAnsi" w:cstheme="minorHAnsi"/>
        </w:rPr>
        <w:t>80</w:t>
      </w:r>
      <w:r>
        <w:rPr>
          <w:rFonts w:asciiTheme="minorHAnsi" w:hAnsiTheme="minorHAnsi" w:cstheme="minorHAnsi"/>
        </w:rPr>
        <w:t>.</w:t>
      </w:r>
      <w:r w:rsidRPr="0059069F">
        <w:rPr>
          <w:rFonts w:asciiTheme="minorHAnsi" w:hAnsiTheme="minorHAnsi" w:cstheme="minorHAnsi"/>
        </w:rPr>
        <w:t>340739|1|1|3|1|2|N|F|A|H|2|90|85|2020|7|23|0700|30|0|0|0|0|0|0|2|0|0|0|0|0|0|0|0|0|0|0|0|0|0</w:t>
      </w:r>
    </w:p>
    <w:p w14:paraId="6B288D91" w14:textId="77777777" w:rsidR="009B7AED" w:rsidRPr="0059069F" w:rsidRDefault="009B7AED" w:rsidP="00AC2837">
      <w:pPr>
        <w:spacing w:before="160"/>
        <w:ind w:left="1080" w:hanging="1080"/>
        <w:contextualSpacing/>
        <w:rPr>
          <w:rFonts w:asciiTheme="minorHAnsi" w:hAnsiTheme="minorHAnsi" w:cstheme="minorHAnsi"/>
        </w:rPr>
      </w:pPr>
      <w:r w:rsidRPr="0059069F">
        <w:rPr>
          <w:rFonts w:asciiTheme="minorHAnsi" w:hAnsiTheme="minorHAnsi" w:cstheme="minorHAnsi"/>
        </w:rPr>
        <w:t>N|12|86|ABC123|25630471|</w:t>
      </w:r>
      <w:r>
        <w:rPr>
          <w:rFonts w:asciiTheme="minorHAnsi" w:hAnsiTheme="minorHAnsi" w:cstheme="minorHAnsi"/>
        </w:rPr>
        <w:t>-</w:t>
      </w:r>
      <w:r w:rsidRPr="0059069F">
        <w:rPr>
          <w:rFonts w:asciiTheme="minorHAnsi" w:hAnsiTheme="minorHAnsi" w:cstheme="minorHAnsi"/>
        </w:rPr>
        <w:t>80</w:t>
      </w:r>
      <w:r>
        <w:rPr>
          <w:rFonts w:asciiTheme="minorHAnsi" w:hAnsiTheme="minorHAnsi" w:cstheme="minorHAnsi"/>
        </w:rPr>
        <w:t>.</w:t>
      </w:r>
      <w:r w:rsidRPr="0059069F">
        <w:rPr>
          <w:rFonts w:asciiTheme="minorHAnsi" w:hAnsiTheme="minorHAnsi" w:cstheme="minorHAnsi"/>
        </w:rPr>
        <w:t>340739|1|1|3|1|2|N|M|I|H|2|90|85|2020|7|23|0700|30|0|0|0|0|0|0|0|0|0|1|0|0|0|0|0|0|1|0|0|0</w:t>
      </w:r>
    </w:p>
    <w:p w14:paraId="0DCBE56C" w14:textId="77777777" w:rsidR="009B7AED" w:rsidRPr="0059069F" w:rsidRDefault="009B7AED" w:rsidP="00AC2837">
      <w:pPr>
        <w:spacing w:before="160"/>
        <w:ind w:left="1080" w:hanging="1080"/>
        <w:contextualSpacing/>
        <w:rPr>
          <w:rFonts w:asciiTheme="minorHAnsi" w:hAnsiTheme="minorHAnsi" w:cstheme="minorHAnsi"/>
        </w:rPr>
      </w:pPr>
      <w:r w:rsidRPr="0059069F">
        <w:rPr>
          <w:rFonts w:asciiTheme="minorHAnsi" w:hAnsiTheme="minorHAnsi" w:cstheme="minorHAnsi"/>
        </w:rPr>
        <w:t>N|12|86|ABC123|25630471|</w:t>
      </w:r>
      <w:r>
        <w:rPr>
          <w:rFonts w:asciiTheme="minorHAnsi" w:hAnsiTheme="minorHAnsi" w:cstheme="minorHAnsi"/>
        </w:rPr>
        <w:t>-</w:t>
      </w:r>
      <w:r w:rsidRPr="0059069F">
        <w:rPr>
          <w:rFonts w:asciiTheme="minorHAnsi" w:hAnsiTheme="minorHAnsi" w:cstheme="minorHAnsi"/>
        </w:rPr>
        <w:t>80</w:t>
      </w:r>
      <w:r>
        <w:rPr>
          <w:rFonts w:asciiTheme="minorHAnsi" w:hAnsiTheme="minorHAnsi" w:cstheme="minorHAnsi"/>
        </w:rPr>
        <w:t>.</w:t>
      </w:r>
      <w:r w:rsidRPr="0059069F">
        <w:rPr>
          <w:rFonts w:asciiTheme="minorHAnsi" w:hAnsiTheme="minorHAnsi" w:cstheme="minorHAnsi"/>
        </w:rPr>
        <w:t>340739|1|1|3|1|2|N|F|I|H|2|90|85|2020|7|23|0700|30|0|0|0|0|0|0|0|0|0|0|0|0|0|0|0|0|0|0|0|0</w:t>
      </w:r>
    </w:p>
    <w:p w14:paraId="622D0985" w14:textId="77777777" w:rsidR="009B7AED" w:rsidRPr="0059069F" w:rsidRDefault="009B7AED" w:rsidP="00AC2837">
      <w:pPr>
        <w:spacing w:before="160"/>
        <w:ind w:left="1080" w:hanging="1080"/>
        <w:contextualSpacing/>
        <w:rPr>
          <w:rFonts w:asciiTheme="minorHAnsi" w:hAnsiTheme="minorHAnsi" w:cstheme="minorHAnsi"/>
        </w:rPr>
      </w:pPr>
      <w:r w:rsidRPr="0059069F">
        <w:rPr>
          <w:rFonts w:asciiTheme="minorHAnsi" w:hAnsiTheme="minorHAnsi" w:cstheme="minorHAnsi"/>
        </w:rPr>
        <w:t>N|12|86|ABC123|25630471|</w:t>
      </w:r>
      <w:r>
        <w:rPr>
          <w:rFonts w:asciiTheme="minorHAnsi" w:hAnsiTheme="minorHAnsi" w:cstheme="minorHAnsi"/>
        </w:rPr>
        <w:t>-</w:t>
      </w:r>
      <w:r w:rsidRPr="0059069F">
        <w:rPr>
          <w:rFonts w:asciiTheme="minorHAnsi" w:hAnsiTheme="minorHAnsi" w:cstheme="minorHAnsi"/>
        </w:rPr>
        <w:t>80</w:t>
      </w:r>
      <w:r>
        <w:rPr>
          <w:rFonts w:asciiTheme="minorHAnsi" w:hAnsiTheme="minorHAnsi" w:cstheme="minorHAnsi"/>
        </w:rPr>
        <w:t>.</w:t>
      </w:r>
      <w:r w:rsidRPr="0059069F">
        <w:rPr>
          <w:rFonts w:asciiTheme="minorHAnsi" w:hAnsiTheme="minorHAnsi" w:cstheme="minorHAnsi"/>
        </w:rPr>
        <w:t>340739|1|1|3|1|2|H|M|C|H|2|90|85|2020|7|23|0700|30|0|0|0|0|0|0|1|0|0|2|0|0|0|0|0|2|0|1|0|0</w:t>
      </w:r>
    </w:p>
    <w:p w14:paraId="74D31060" w14:textId="77777777" w:rsidR="009B7AED" w:rsidRPr="0059069F" w:rsidRDefault="009B7AED" w:rsidP="00AC2837">
      <w:pPr>
        <w:spacing w:before="160"/>
        <w:ind w:left="1080" w:hanging="1080"/>
        <w:contextualSpacing/>
        <w:rPr>
          <w:rFonts w:asciiTheme="minorHAnsi" w:hAnsiTheme="minorHAnsi" w:cstheme="minorHAnsi"/>
        </w:rPr>
      </w:pPr>
      <w:r w:rsidRPr="0059069F">
        <w:rPr>
          <w:rFonts w:asciiTheme="minorHAnsi" w:hAnsiTheme="minorHAnsi" w:cstheme="minorHAnsi"/>
        </w:rPr>
        <w:t>N|12|86|ABC123|25630471|</w:t>
      </w:r>
      <w:r>
        <w:rPr>
          <w:rFonts w:asciiTheme="minorHAnsi" w:hAnsiTheme="minorHAnsi" w:cstheme="minorHAnsi"/>
        </w:rPr>
        <w:t>-</w:t>
      </w:r>
      <w:r w:rsidRPr="0059069F">
        <w:rPr>
          <w:rFonts w:asciiTheme="minorHAnsi" w:hAnsiTheme="minorHAnsi" w:cstheme="minorHAnsi"/>
        </w:rPr>
        <w:t>80</w:t>
      </w:r>
      <w:r>
        <w:rPr>
          <w:rFonts w:asciiTheme="minorHAnsi" w:hAnsiTheme="minorHAnsi" w:cstheme="minorHAnsi"/>
        </w:rPr>
        <w:t>.</w:t>
      </w:r>
      <w:r w:rsidRPr="0059069F">
        <w:rPr>
          <w:rFonts w:asciiTheme="minorHAnsi" w:hAnsiTheme="minorHAnsi" w:cstheme="minorHAnsi"/>
        </w:rPr>
        <w:t>340739|1|1|3|1|2|H|F|C|H|2|90|85|2020|7|23|0700|30|0|0|0|0|0|0|0|0|0|0|0|0|0|0|2|1|0|1|0|1</w:t>
      </w:r>
    </w:p>
    <w:p w14:paraId="602823A4" w14:textId="77777777" w:rsidR="009B7AED" w:rsidRPr="0059069F" w:rsidRDefault="009B7AED" w:rsidP="00AC2837">
      <w:pPr>
        <w:spacing w:before="160"/>
        <w:ind w:left="1080" w:hanging="1080"/>
        <w:contextualSpacing/>
        <w:rPr>
          <w:rFonts w:asciiTheme="minorHAnsi" w:hAnsiTheme="minorHAnsi" w:cstheme="minorHAnsi"/>
        </w:rPr>
      </w:pPr>
      <w:r w:rsidRPr="0059069F">
        <w:rPr>
          <w:rFonts w:asciiTheme="minorHAnsi" w:hAnsiTheme="minorHAnsi" w:cstheme="minorHAnsi"/>
        </w:rPr>
        <w:t>N|12|86|ABC123|25630471|</w:t>
      </w:r>
      <w:r>
        <w:rPr>
          <w:rFonts w:asciiTheme="minorHAnsi" w:hAnsiTheme="minorHAnsi" w:cstheme="minorHAnsi"/>
        </w:rPr>
        <w:t>-</w:t>
      </w:r>
      <w:r w:rsidRPr="0059069F">
        <w:rPr>
          <w:rFonts w:asciiTheme="minorHAnsi" w:hAnsiTheme="minorHAnsi" w:cstheme="minorHAnsi"/>
        </w:rPr>
        <w:t>80</w:t>
      </w:r>
      <w:r>
        <w:rPr>
          <w:rFonts w:asciiTheme="minorHAnsi" w:hAnsiTheme="minorHAnsi" w:cstheme="minorHAnsi"/>
        </w:rPr>
        <w:t>.</w:t>
      </w:r>
      <w:r w:rsidRPr="0059069F">
        <w:rPr>
          <w:rFonts w:asciiTheme="minorHAnsi" w:hAnsiTheme="minorHAnsi" w:cstheme="minorHAnsi"/>
        </w:rPr>
        <w:t>340739|1|1|3|1|2|H|M|A|H|2|90|85|2020|7|23|0700|30|1|2|1|4|2|1|2|2|3|5|4|3|2|3|4|3|4|5|3|4</w:t>
      </w:r>
    </w:p>
    <w:p w14:paraId="7EEC32A6" w14:textId="77777777" w:rsidR="009B7AED" w:rsidRPr="0059069F" w:rsidRDefault="009B7AED" w:rsidP="00AC2837">
      <w:pPr>
        <w:spacing w:before="160"/>
        <w:ind w:left="1080" w:hanging="1080"/>
        <w:contextualSpacing/>
        <w:rPr>
          <w:rFonts w:asciiTheme="minorHAnsi" w:hAnsiTheme="minorHAnsi" w:cstheme="minorHAnsi"/>
        </w:rPr>
      </w:pPr>
      <w:r w:rsidRPr="0059069F">
        <w:rPr>
          <w:rFonts w:asciiTheme="minorHAnsi" w:hAnsiTheme="minorHAnsi" w:cstheme="minorHAnsi"/>
        </w:rPr>
        <w:t>N|12|86|ABC123|25630471|</w:t>
      </w:r>
      <w:r>
        <w:rPr>
          <w:rFonts w:asciiTheme="minorHAnsi" w:hAnsiTheme="minorHAnsi" w:cstheme="minorHAnsi"/>
        </w:rPr>
        <w:t>-</w:t>
      </w:r>
      <w:r w:rsidRPr="0059069F">
        <w:rPr>
          <w:rFonts w:asciiTheme="minorHAnsi" w:hAnsiTheme="minorHAnsi" w:cstheme="minorHAnsi"/>
        </w:rPr>
        <w:t>80</w:t>
      </w:r>
      <w:r>
        <w:rPr>
          <w:rFonts w:asciiTheme="minorHAnsi" w:hAnsiTheme="minorHAnsi" w:cstheme="minorHAnsi"/>
        </w:rPr>
        <w:t>.</w:t>
      </w:r>
      <w:r w:rsidRPr="0059069F">
        <w:rPr>
          <w:rFonts w:asciiTheme="minorHAnsi" w:hAnsiTheme="minorHAnsi" w:cstheme="minorHAnsi"/>
        </w:rPr>
        <w:t>340739|1|1|3|1|2|H|F|A|H|2|90|85|2020|7|23|0700|30|1|1|2|2|3|2|3|0|1|3|3|1|3|3|5|8|6|5|2|3</w:t>
      </w:r>
    </w:p>
    <w:p w14:paraId="466015F9" w14:textId="77777777" w:rsidR="009B7AED" w:rsidRPr="0059069F" w:rsidRDefault="009B7AED" w:rsidP="00AC2837">
      <w:pPr>
        <w:spacing w:before="160"/>
        <w:ind w:left="1080" w:hanging="1080"/>
        <w:contextualSpacing/>
        <w:rPr>
          <w:rFonts w:asciiTheme="minorHAnsi" w:hAnsiTheme="minorHAnsi" w:cstheme="minorHAnsi"/>
        </w:rPr>
      </w:pPr>
      <w:r w:rsidRPr="0059069F">
        <w:rPr>
          <w:rFonts w:asciiTheme="minorHAnsi" w:hAnsiTheme="minorHAnsi" w:cstheme="minorHAnsi"/>
        </w:rPr>
        <w:t>N|12|86|ABC123|25630471|</w:t>
      </w:r>
      <w:r>
        <w:rPr>
          <w:rFonts w:asciiTheme="minorHAnsi" w:hAnsiTheme="minorHAnsi" w:cstheme="minorHAnsi"/>
        </w:rPr>
        <w:t>-</w:t>
      </w:r>
      <w:r w:rsidRPr="0059069F">
        <w:rPr>
          <w:rFonts w:asciiTheme="minorHAnsi" w:hAnsiTheme="minorHAnsi" w:cstheme="minorHAnsi"/>
        </w:rPr>
        <w:t>80</w:t>
      </w:r>
      <w:r>
        <w:rPr>
          <w:rFonts w:asciiTheme="minorHAnsi" w:hAnsiTheme="minorHAnsi" w:cstheme="minorHAnsi"/>
        </w:rPr>
        <w:t>.</w:t>
      </w:r>
      <w:r w:rsidRPr="0059069F">
        <w:rPr>
          <w:rFonts w:asciiTheme="minorHAnsi" w:hAnsiTheme="minorHAnsi" w:cstheme="minorHAnsi"/>
        </w:rPr>
        <w:t>340739|1|1|3|1|2|H|M|I|H|2|90|85|2020|7|23|0700|30|0|0|1|0|0|0|0|0|0|0|1|0|0|0|0|0|0|0|0|0</w:t>
      </w:r>
    </w:p>
    <w:p w14:paraId="6F37BB1C" w14:textId="77777777" w:rsidR="009B7AED" w:rsidRPr="0059069F" w:rsidRDefault="009B7AED" w:rsidP="00AC2837">
      <w:pPr>
        <w:spacing w:before="160"/>
        <w:ind w:left="1080" w:hanging="1080"/>
        <w:contextualSpacing/>
        <w:rPr>
          <w:rFonts w:asciiTheme="minorHAnsi" w:hAnsiTheme="minorHAnsi" w:cstheme="minorHAnsi"/>
        </w:rPr>
      </w:pPr>
      <w:r w:rsidRPr="0059069F">
        <w:rPr>
          <w:rFonts w:asciiTheme="minorHAnsi" w:hAnsiTheme="minorHAnsi" w:cstheme="minorHAnsi"/>
        </w:rPr>
        <w:t>N|12|86|ABC123|25630471|</w:t>
      </w:r>
      <w:r>
        <w:rPr>
          <w:rFonts w:asciiTheme="minorHAnsi" w:hAnsiTheme="minorHAnsi" w:cstheme="minorHAnsi"/>
        </w:rPr>
        <w:t>-</w:t>
      </w:r>
      <w:r w:rsidRPr="0059069F">
        <w:rPr>
          <w:rFonts w:asciiTheme="minorHAnsi" w:hAnsiTheme="minorHAnsi" w:cstheme="minorHAnsi"/>
        </w:rPr>
        <w:t>80</w:t>
      </w:r>
      <w:r>
        <w:rPr>
          <w:rFonts w:asciiTheme="minorHAnsi" w:hAnsiTheme="minorHAnsi" w:cstheme="minorHAnsi"/>
        </w:rPr>
        <w:t>.</w:t>
      </w:r>
      <w:r w:rsidRPr="0059069F">
        <w:rPr>
          <w:rFonts w:asciiTheme="minorHAnsi" w:hAnsiTheme="minorHAnsi" w:cstheme="minorHAnsi"/>
        </w:rPr>
        <w:t>340739|1|1|3|1|2|H|F|I|H|2|90|85|2020|7|23|0700|30|0|0|0|1|0|0|0|0|0|0|0|0|0|0|1|0|0|0|0|0</w:t>
      </w:r>
    </w:p>
    <w:p w14:paraId="48121037" w14:textId="77777777" w:rsidR="009B7AED" w:rsidRPr="0059069F" w:rsidRDefault="009B7AED" w:rsidP="00AC2837">
      <w:pPr>
        <w:spacing w:before="160"/>
        <w:ind w:left="1080" w:hanging="1080"/>
        <w:contextualSpacing/>
        <w:rPr>
          <w:rFonts w:asciiTheme="minorHAnsi" w:hAnsiTheme="minorHAnsi" w:cstheme="minorHAnsi"/>
        </w:rPr>
      </w:pPr>
      <w:r w:rsidRPr="0059069F">
        <w:rPr>
          <w:rFonts w:asciiTheme="minorHAnsi" w:hAnsiTheme="minorHAnsi" w:cstheme="minorHAnsi"/>
        </w:rPr>
        <w:t>N|12|86|ABC123|25630471|</w:t>
      </w:r>
      <w:r>
        <w:rPr>
          <w:rFonts w:asciiTheme="minorHAnsi" w:hAnsiTheme="minorHAnsi" w:cstheme="minorHAnsi"/>
        </w:rPr>
        <w:t>-</w:t>
      </w:r>
      <w:r w:rsidRPr="0059069F">
        <w:rPr>
          <w:rFonts w:asciiTheme="minorHAnsi" w:hAnsiTheme="minorHAnsi" w:cstheme="minorHAnsi"/>
        </w:rPr>
        <w:t>80</w:t>
      </w:r>
      <w:r>
        <w:rPr>
          <w:rFonts w:asciiTheme="minorHAnsi" w:hAnsiTheme="minorHAnsi" w:cstheme="minorHAnsi"/>
        </w:rPr>
        <w:t>.</w:t>
      </w:r>
      <w:r w:rsidRPr="0059069F">
        <w:rPr>
          <w:rFonts w:asciiTheme="minorHAnsi" w:hAnsiTheme="minorHAnsi" w:cstheme="minorHAnsi"/>
        </w:rPr>
        <w:t>340739|5|1|3|1|2|N|M|C|H|2|90|85|2020|7|23|0700|30|0|0|0|1|0|0|0|1|0|0|0|0|0|1|0|0|0|0|0|0</w:t>
      </w:r>
    </w:p>
    <w:p w14:paraId="7804EF4F" w14:textId="77777777" w:rsidR="009B7AED" w:rsidRPr="0059069F" w:rsidRDefault="009B7AED" w:rsidP="00AC2837">
      <w:pPr>
        <w:spacing w:before="160"/>
        <w:ind w:left="1080" w:hanging="1080"/>
        <w:contextualSpacing/>
        <w:rPr>
          <w:rFonts w:asciiTheme="minorHAnsi" w:hAnsiTheme="minorHAnsi" w:cstheme="minorHAnsi"/>
        </w:rPr>
      </w:pPr>
      <w:r w:rsidRPr="0059069F">
        <w:rPr>
          <w:rFonts w:asciiTheme="minorHAnsi" w:hAnsiTheme="minorHAnsi" w:cstheme="minorHAnsi"/>
        </w:rPr>
        <w:t>N|12|86|ABC123|25630471|</w:t>
      </w:r>
      <w:r>
        <w:rPr>
          <w:rFonts w:asciiTheme="minorHAnsi" w:hAnsiTheme="minorHAnsi" w:cstheme="minorHAnsi"/>
        </w:rPr>
        <w:t>-</w:t>
      </w:r>
      <w:r w:rsidRPr="0059069F">
        <w:rPr>
          <w:rFonts w:asciiTheme="minorHAnsi" w:hAnsiTheme="minorHAnsi" w:cstheme="minorHAnsi"/>
        </w:rPr>
        <w:t>80</w:t>
      </w:r>
      <w:r>
        <w:rPr>
          <w:rFonts w:asciiTheme="minorHAnsi" w:hAnsiTheme="minorHAnsi" w:cstheme="minorHAnsi"/>
        </w:rPr>
        <w:t>.</w:t>
      </w:r>
      <w:r w:rsidRPr="0059069F">
        <w:rPr>
          <w:rFonts w:asciiTheme="minorHAnsi" w:hAnsiTheme="minorHAnsi" w:cstheme="minorHAnsi"/>
        </w:rPr>
        <w:t>340739|5|1|3|1|2|N|F|C|H|2|90|85|2020|7|23|0700|30|0|0|1|0|0|0|0|0|0|0|0|0|0|0|0|0|0|0|0|0</w:t>
      </w:r>
    </w:p>
    <w:p w14:paraId="705DA807" w14:textId="77777777" w:rsidR="009B7AED" w:rsidRPr="0059069F" w:rsidRDefault="009B7AED" w:rsidP="00AC2837">
      <w:pPr>
        <w:spacing w:before="160"/>
        <w:ind w:left="1080" w:hanging="1080"/>
        <w:contextualSpacing/>
        <w:rPr>
          <w:rFonts w:asciiTheme="minorHAnsi" w:hAnsiTheme="minorHAnsi" w:cstheme="minorHAnsi"/>
        </w:rPr>
      </w:pPr>
      <w:r w:rsidRPr="0059069F">
        <w:rPr>
          <w:rFonts w:asciiTheme="minorHAnsi" w:hAnsiTheme="minorHAnsi" w:cstheme="minorHAnsi"/>
        </w:rPr>
        <w:t>N|12|86|ABC123|25630471|</w:t>
      </w:r>
      <w:r>
        <w:rPr>
          <w:rFonts w:asciiTheme="minorHAnsi" w:hAnsiTheme="minorHAnsi" w:cstheme="minorHAnsi"/>
        </w:rPr>
        <w:t>-</w:t>
      </w:r>
      <w:r w:rsidRPr="0059069F">
        <w:rPr>
          <w:rFonts w:asciiTheme="minorHAnsi" w:hAnsiTheme="minorHAnsi" w:cstheme="minorHAnsi"/>
        </w:rPr>
        <w:t>80</w:t>
      </w:r>
      <w:r>
        <w:rPr>
          <w:rFonts w:asciiTheme="minorHAnsi" w:hAnsiTheme="minorHAnsi" w:cstheme="minorHAnsi"/>
        </w:rPr>
        <w:t>.</w:t>
      </w:r>
      <w:r w:rsidRPr="0059069F">
        <w:rPr>
          <w:rFonts w:asciiTheme="minorHAnsi" w:hAnsiTheme="minorHAnsi" w:cstheme="minorHAnsi"/>
        </w:rPr>
        <w:t>340739|5|1|3|1|2|N|M|A|H|2|90|85|2020|7|23|0700|30|0|1|0|0|2|0|1|0|0|0|0|0|0|0|0|0|1|0|0|0</w:t>
      </w:r>
    </w:p>
    <w:p w14:paraId="5403F7F9" w14:textId="77777777" w:rsidR="009B7AED" w:rsidRPr="0059069F" w:rsidRDefault="009B7AED" w:rsidP="00AC2837">
      <w:pPr>
        <w:spacing w:before="160"/>
        <w:ind w:left="1080" w:hanging="1080"/>
        <w:contextualSpacing/>
        <w:rPr>
          <w:rFonts w:asciiTheme="minorHAnsi" w:hAnsiTheme="minorHAnsi" w:cstheme="minorHAnsi"/>
        </w:rPr>
      </w:pPr>
      <w:r w:rsidRPr="0059069F">
        <w:rPr>
          <w:rFonts w:asciiTheme="minorHAnsi" w:hAnsiTheme="minorHAnsi" w:cstheme="minorHAnsi"/>
        </w:rPr>
        <w:t>N|12|86|ABC123|25630471|</w:t>
      </w:r>
      <w:r>
        <w:rPr>
          <w:rFonts w:asciiTheme="minorHAnsi" w:hAnsiTheme="minorHAnsi" w:cstheme="minorHAnsi"/>
        </w:rPr>
        <w:t>-</w:t>
      </w:r>
      <w:r w:rsidRPr="0059069F">
        <w:rPr>
          <w:rFonts w:asciiTheme="minorHAnsi" w:hAnsiTheme="minorHAnsi" w:cstheme="minorHAnsi"/>
        </w:rPr>
        <w:t>80</w:t>
      </w:r>
      <w:r>
        <w:rPr>
          <w:rFonts w:asciiTheme="minorHAnsi" w:hAnsiTheme="minorHAnsi" w:cstheme="minorHAnsi"/>
        </w:rPr>
        <w:t>.</w:t>
      </w:r>
      <w:r w:rsidRPr="0059069F">
        <w:rPr>
          <w:rFonts w:asciiTheme="minorHAnsi" w:hAnsiTheme="minorHAnsi" w:cstheme="minorHAnsi"/>
        </w:rPr>
        <w:t>340739|5|1|3|1|2|N|F|A|H|2|90|85|2020|7|23|0700|30|0|0|1|0|0|0|0|0|0|0|1|0|0|0|2|0|0|0|0|0</w:t>
      </w:r>
    </w:p>
    <w:p w14:paraId="374CE6CC" w14:textId="77777777" w:rsidR="009B7AED" w:rsidRPr="0059069F" w:rsidRDefault="009B7AED" w:rsidP="00AC2837">
      <w:pPr>
        <w:spacing w:before="160"/>
        <w:ind w:left="1080" w:hanging="1080"/>
        <w:contextualSpacing/>
        <w:rPr>
          <w:rFonts w:asciiTheme="minorHAnsi" w:hAnsiTheme="minorHAnsi" w:cstheme="minorHAnsi"/>
        </w:rPr>
      </w:pPr>
      <w:r w:rsidRPr="0059069F">
        <w:rPr>
          <w:rFonts w:asciiTheme="minorHAnsi" w:hAnsiTheme="minorHAnsi" w:cstheme="minorHAnsi"/>
        </w:rPr>
        <w:t>N|12|86|ABC123|25630471|</w:t>
      </w:r>
      <w:r>
        <w:rPr>
          <w:rFonts w:asciiTheme="minorHAnsi" w:hAnsiTheme="minorHAnsi" w:cstheme="minorHAnsi"/>
        </w:rPr>
        <w:t>-</w:t>
      </w:r>
      <w:r w:rsidRPr="0059069F">
        <w:rPr>
          <w:rFonts w:asciiTheme="minorHAnsi" w:hAnsiTheme="minorHAnsi" w:cstheme="minorHAnsi"/>
        </w:rPr>
        <w:t>80</w:t>
      </w:r>
      <w:r>
        <w:rPr>
          <w:rFonts w:asciiTheme="minorHAnsi" w:hAnsiTheme="minorHAnsi" w:cstheme="minorHAnsi"/>
        </w:rPr>
        <w:t>.</w:t>
      </w:r>
      <w:r w:rsidRPr="0059069F">
        <w:rPr>
          <w:rFonts w:asciiTheme="minorHAnsi" w:hAnsiTheme="minorHAnsi" w:cstheme="minorHAnsi"/>
        </w:rPr>
        <w:t>340739|5|1|3|1|2|N|M|I|H|2|90|85|2020|7|23|0700|30|0|0|0|0|0|0|0|0|0|1|0|0|0|0|0|0|0|0|0|0</w:t>
      </w:r>
    </w:p>
    <w:p w14:paraId="1C3EE3B2" w14:textId="77777777" w:rsidR="009B7AED" w:rsidRPr="0059069F" w:rsidRDefault="009B7AED" w:rsidP="00AC2837">
      <w:pPr>
        <w:spacing w:before="160"/>
        <w:ind w:left="1080" w:hanging="1080"/>
        <w:contextualSpacing/>
        <w:rPr>
          <w:rFonts w:asciiTheme="minorHAnsi" w:hAnsiTheme="minorHAnsi" w:cstheme="minorHAnsi"/>
        </w:rPr>
      </w:pPr>
      <w:r w:rsidRPr="0059069F">
        <w:rPr>
          <w:rFonts w:asciiTheme="minorHAnsi" w:hAnsiTheme="minorHAnsi" w:cstheme="minorHAnsi"/>
        </w:rPr>
        <w:t>N|12|86|ABC123|25630471|</w:t>
      </w:r>
      <w:r>
        <w:rPr>
          <w:rFonts w:asciiTheme="minorHAnsi" w:hAnsiTheme="minorHAnsi" w:cstheme="minorHAnsi"/>
        </w:rPr>
        <w:t>-</w:t>
      </w:r>
      <w:r w:rsidRPr="0059069F">
        <w:rPr>
          <w:rFonts w:asciiTheme="minorHAnsi" w:hAnsiTheme="minorHAnsi" w:cstheme="minorHAnsi"/>
        </w:rPr>
        <w:t>80</w:t>
      </w:r>
      <w:r>
        <w:rPr>
          <w:rFonts w:asciiTheme="minorHAnsi" w:hAnsiTheme="minorHAnsi" w:cstheme="minorHAnsi"/>
        </w:rPr>
        <w:t>.</w:t>
      </w:r>
      <w:r w:rsidRPr="0059069F">
        <w:rPr>
          <w:rFonts w:asciiTheme="minorHAnsi" w:hAnsiTheme="minorHAnsi" w:cstheme="minorHAnsi"/>
        </w:rPr>
        <w:t>340739|5|1|3|1|2|N|F|I|H|2|90|85|2020|7|23|0700|30|0|0|0|0|0|0|0|0|0|0|0|0|0|0|0|0|0|0|0|0</w:t>
      </w:r>
    </w:p>
    <w:p w14:paraId="33B1F75C" w14:textId="77777777" w:rsidR="009B7AED" w:rsidRPr="0059069F" w:rsidRDefault="009B7AED" w:rsidP="00AC2837">
      <w:pPr>
        <w:spacing w:before="160"/>
        <w:ind w:left="1080" w:hanging="1080"/>
        <w:contextualSpacing/>
        <w:rPr>
          <w:rFonts w:asciiTheme="minorHAnsi" w:hAnsiTheme="minorHAnsi" w:cstheme="minorHAnsi"/>
        </w:rPr>
      </w:pPr>
      <w:r w:rsidRPr="0059069F">
        <w:rPr>
          <w:rFonts w:asciiTheme="minorHAnsi" w:hAnsiTheme="minorHAnsi" w:cstheme="minorHAnsi"/>
        </w:rPr>
        <w:t>N|12|86|ABC123|25630471|</w:t>
      </w:r>
      <w:r>
        <w:rPr>
          <w:rFonts w:asciiTheme="minorHAnsi" w:hAnsiTheme="minorHAnsi" w:cstheme="minorHAnsi"/>
        </w:rPr>
        <w:t>-</w:t>
      </w:r>
      <w:r w:rsidRPr="0059069F">
        <w:rPr>
          <w:rFonts w:asciiTheme="minorHAnsi" w:hAnsiTheme="minorHAnsi" w:cstheme="minorHAnsi"/>
        </w:rPr>
        <w:t>80</w:t>
      </w:r>
      <w:r>
        <w:rPr>
          <w:rFonts w:asciiTheme="minorHAnsi" w:hAnsiTheme="minorHAnsi" w:cstheme="minorHAnsi"/>
        </w:rPr>
        <w:t>.</w:t>
      </w:r>
      <w:r w:rsidRPr="0059069F">
        <w:rPr>
          <w:rFonts w:asciiTheme="minorHAnsi" w:hAnsiTheme="minorHAnsi" w:cstheme="minorHAnsi"/>
        </w:rPr>
        <w:t>340739|5|1|3|1|2|H|M|C|H|2|90|85|2020|7|23|0700|30|0|0|1|0|1|2|0|0|0|0|0|0|0|0|0|0|0|0|0|0</w:t>
      </w:r>
    </w:p>
    <w:p w14:paraId="4D6B5A24" w14:textId="77777777" w:rsidR="009B7AED" w:rsidRPr="0059069F" w:rsidRDefault="009B7AED" w:rsidP="00AC2837">
      <w:pPr>
        <w:spacing w:before="160"/>
        <w:ind w:left="1080" w:hanging="1080"/>
        <w:contextualSpacing/>
        <w:rPr>
          <w:rFonts w:asciiTheme="minorHAnsi" w:hAnsiTheme="minorHAnsi" w:cstheme="minorHAnsi"/>
        </w:rPr>
      </w:pPr>
      <w:r w:rsidRPr="0059069F">
        <w:rPr>
          <w:rFonts w:asciiTheme="minorHAnsi" w:hAnsiTheme="minorHAnsi" w:cstheme="minorHAnsi"/>
        </w:rPr>
        <w:t>N|12|86|ABC123|25630471|</w:t>
      </w:r>
      <w:r>
        <w:rPr>
          <w:rFonts w:asciiTheme="minorHAnsi" w:hAnsiTheme="minorHAnsi" w:cstheme="minorHAnsi"/>
        </w:rPr>
        <w:t>-</w:t>
      </w:r>
      <w:r w:rsidRPr="0059069F">
        <w:rPr>
          <w:rFonts w:asciiTheme="minorHAnsi" w:hAnsiTheme="minorHAnsi" w:cstheme="minorHAnsi"/>
        </w:rPr>
        <w:t>80</w:t>
      </w:r>
      <w:r>
        <w:rPr>
          <w:rFonts w:asciiTheme="minorHAnsi" w:hAnsiTheme="minorHAnsi" w:cstheme="minorHAnsi"/>
        </w:rPr>
        <w:t>.</w:t>
      </w:r>
      <w:r w:rsidRPr="0059069F">
        <w:rPr>
          <w:rFonts w:asciiTheme="minorHAnsi" w:hAnsiTheme="minorHAnsi" w:cstheme="minorHAnsi"/>
        </w:rPr>
        <w:t>340739|5|1|3|1|2|H|F|C|H|2|90|85|2020|7|23|0700|30|0|0|0|1|2|1|0|1|0|0|0|1|0|0|0|1|0|0|0|0</w:t>
      </w:r>
    </w:p>
    <w:p w14:paraId="2A6DE920" w14:textId="77777777" w:rsidR="009B7AED" w:rsidRPr="0059069F" w:rsidRDefault="009B7AED" w:rsidP="00AC2837">
      <w:pPr>
        <w:spacing w:before="160"/>
        <w:ind w:left="1080" w:hanging="1080"/>
        <w:contextualSpacing/>
        <w:rPr>
          <w:rFonts w:asciiTheme="minorHAnsi" w:hAnsiTheme="minorHAnsi" w:cstheme="minorHAnsi"/>
        </w:rPr>
      </w:pPr>
      <w:r w:rsidRPr="0059069F">
        <w:rPr>
          <w:rFonts w:asciiTheme="minorHAnsi" w:hAnsiTheme="minorHAnsi" w:cstheme="minorHAnsi"/>
        </w:rPr>
        <w:t>N|12|86|ABC123|25630471|</w:t>
      </w:r>
      <w:r>
        <w:rPr>
          <w:rFonts w:asciiTheme="minorHAnsi" w:hAnsiTheme="minorHAnsi" w:cstheme="minorHAnsi"/>
        </w:rPr>
        <w:t>-</w:t>
      </w:r>
      <w:r w:rsidRPr="0059069F">
        <w:rPr>
          <w:rFonts w:asciiTheme="minorHAnsi" w:hAnsiTheme="minorHAnsi" w:cstheme="minorHAnsi"/>
        </w:rPr>
        <w:t>80</w:t>
      </w:r>
      <w:r>
        <w:rPr>
          <w:rFonts w:asciiTheme="minorHAnsi" w:hAnsiTheme="minorHAnsi" w:cstheme="minorHAnsi"/>
        </w:rPr>
        <w:t>.</w:t>
      </w:r>
      <w:r w:rsidRPr="0059069F">
        <w:rPr>
          <w:rFonts w:asciiTheme="minorHAnsi" w:hAnsiTheme="minorHAnsi" w:cstheme="minorHAnsi"/>
        </w:rPr>
        <w:t>340739|5|1|3|1|2|H|M|A|H|2|90|85|2020|7|23|0700|30|3|4|6|5|7|4|5|4|3|3|2|1|2|1|3|2|1|2|1|1</w:t>
      </w:r>
    </w:p>
    <w:p w14:paraId="5595467E" w14:textId="77777777" w:rsidR="009B7AED" w:rsidRPr="0059069F" w:rsidRDefault="009B7AED" w:rsidP="00AC2837">
      <w:pPr>
        <w:spacing w:before="160"/>
        <w:ind w:left="1080" w:hanging="1080"/>
        <w:contextualSpacing/>
        <w:rPr>
          <w:rFonts w:asciiTheme="minorHAnsi" w:hAnsiTheme="minorHAnsi" w:cstheme="minorHAnsi"/>
        </w:rPr>
      </w:pPr>
      <w:r w:rsidRPr="0059069F">
        <w:rPr>
          <w:rFonts w:asciiTheme="minorHAnsi" w:hAnsiTheme="minorHAnsi" w:cstheme="minorHAnsi"/>
        </w:rPr>
        <w:t>N|12|86|ABC123|25</w:t>
      </w:r>
      <w:r>
        <w:rPr>
          <w:rFonts w:asciiTheme="minorHAnsi" w:hAnsiTheme="minorHAnsi" w:cstheme="minorHAnsi"/>
        </w:rPr>
        <w:t>.</w:t>
      </w:r>
      <w:r w:rsidRPr="0059069F">
        <w:rPr>
          <w:rFonts w:asciiTheme="minorHAnsi" w:hAnsiTheme="minorHAnsi" w:cstheme="minorHAnsi"/>
        </w:rPr>
        <w:t>630471|</w:t>
      </w:r>
      <w:r>
        <w:rPr>
          <w:rFonts w:asciiTheme="minorHAnsi" w:hAnsiTheme="minorHAnsi" w:cstheme="minorHAnsi"/>
        </w:rPr>
        <w:t>-</w:t>
      </w:r>
      <w:r w:rsidRPr="0059069F">
        <w:rPr>
          <w:rFonts w:asciiTheme="minorHAnsi" w:hAnsiTheme="minorHAnsi" w:cstheme="minorHAnsi"/>
        </w:rPr>
        <w:t>80</w:t>
      </w:r>
      <w:r>
        <w:rPr>
          <w:rFonts w:asciiTheme="minorHAnsi" w:hAnsiTheme="minorHAnsi" w:cstheme="minorHAnsi"/>
        </w:rPr>
        <w:t>.</w:t>
      </w:r>
      <w:r w:rsidRPr="0059069F">
        <w:rPr>
          <w:rFonts w:asciiTheme="minorHAnsi" w:hAnsiTheme="minorHAnsi" w:cstheme="minorHAnsi"/>
        </w:rPr>
        <w:t>340739|5|1|3|1|2|H|F|A|H|2|90|85|2020|7|23|0700|30|2|3|7|4|8|6|5|3|2|1|1|2|2|0|3|3|1|0|0|1</w:t>
      </w:r>
    </w:p>
    <w:p w14:paraId="5ABE2FC1" w14:textId="77777777" w:rsidR="009B7AED" w:rsidRPr="0059069F" w:rsidRDefault="009B7AED" w:rsidP="00AC2837">
      <w:pPr>
        <w:spacing w:before="160"/>
        <w:ind w:left="1080" w:hanging="1080"/>
        <w:contextualSpacing/>
        <w:rPr>
          <w:rFonts w:asciiTheme="minorHAnsi" w:hAnsiTheme="minorHAnsi" w:cstheme="minorHAnsi"/>
        </w:rPr>
      </w:pPr>
      <w:r w:rsidRPr="0059069F">
        <w:rPr>
          <w:rFonts w:asciiTheme="minorHAnsi" w:hAnsiTheme="minorHAnsi" w:cstheme="minorHAnsi"/>
        </w:rPr>
        <w:t>N|12|86|ABC123|25</w:t>
      </w:r>
      <w:r>
        <w:rPr>
          <w:rFonts w:asciiTheme="minorHAnsi" w:hAnsiTheme="minorHAnsi" w:cstheme="minorHAnsi"/>
        </w:rPr>
        <w:t>.</w:t>
      </w:r>
      <w:r w:rsidRPr="0059069F">
        <w:rPr>
          <w:rFonts w:asciiTheme="minorHAnsi" w:hAnsiTheme="minorHAnsi" w:cstheme="minorHAnsi"/>
        </w:rPr>
        <w:t>630471|</w:t>
      </w:r>
      <w:r>
        <w:rPr>
          <w:rFonts w:asciiTheme="minorHAnsi" w:hAnsiTheme="minorHAnsi" w:cstheme="minorHAnsi"/>
        </w:rPr>
        <w:t>-</w:t>
      </w:r>
      <w:r w:rsidRPr="0059069F">
        <w:rPr>
          <w:rFonts w:asciiTheme="minorHAnsi" w:hAnsiTheme="minorHAnsi" w:cstheme="minorHAnsi"/>
        </w:rPr>
        <w:t>80</w:t>
      </w:r>
      <w:r>
        <w:rPr>
          <w:rFonts w:asciiTheme="minorHAnsi" w:hAnsiTheme="minorHAnsi" w:cstheme="minorHAnsi"/>
        </w:rPr>
        <w:t>.</w:t>
      </w:r>
      <w:r w:rsidRPr="0059069F">
        <w:rPr>
          <w:rFonts w:asciiTheme="minorHAnsi" w:hAnsiTheme="minorHAnsi" w:cstheme="minorHAnsi"/>
        </w:rPr>
        <w:t>340739|5|1|3|1|2|H|M|I|H|2|90|85|2020|7|23|0700|30|0|0|0|0|0|0|0|0|0|0|0|0|1|0|0|0|0|0|0|0</w:t>
      </w:r>
    </w:p>
    <w:p w14:paraId="35D60300" w14:textId="77777777" w:rsidR="00C16C8B" w:rsidRDefault="009B7AED" w:rsidP="00AC2837">
      <w:pPr>
        <w:spacing w:before="160"/>
        <w:ind w:left="1080" w:hanging="1080"/>
        <w:contextualSpacing/>
        <w:rPr>
          <w:rFonts w:asciiTheme="minorHAnsi" w:hAnsiTheme="minorHAnsi" w:cstheme="minorHAnsi"/>
        </w:rPr>
        <w:sectPr w:rsidR="00C16C8B" w:rsidSect="00F124B1">
          <w:headerReference w:type="even" r:id="rId255"/>
          <w:headerReference w:type="default" r:id="rId256"/>
          <w:footerReference w:type="default" r:id="rId257"/>
          <w:pgSz w:w="15840" w:h="12240" w:orient="landscape" w:code="1"/>
          <w:pgMar w:top="1440" w:right="1152" w:bottom="1440" w:left="1440" w:header="720" w:footer="576" w:gutter="0"/>
          <w:pgNumType w:chapStyle="1"/>
          <w:cols w:space="720"/>
          <w:docGrid w:linePitch="360"/>
        </w:sectPr>
      </w:pPr>
      <w:r w:rsidRPr="0059069F">
        <w:rPr>
          <w:rFonts w:asciiTheme="minorHAnsi" w:hAnsiTheme="minorHAnsi" w:cstheme="minorHAnsi"/>
        </w:rPr>
        <w:t>N|12|86|ABC123|25</w:t>
      </w:r>
      <w:r>
        <w:rPr>
          <w:rFonts w:asciiTheme="minorHAnsi" w:hAnsiTheme="minorHAnsi" w:cstheme="minorHAnsi"/>
        </w:rPr>
        <w:t>.</w:t>
      </w:r>
      <w:r w:rsidRPr="0059069F">
        <w:rPr>
          <w:rFonts w:asciiTheme="minorHAnsi" w:hAnsiTheme="minorHAnsi" w:cstheme="minorHAnsi"/>
        </w:rPr>
        <w:t>630471|</w:t>
      </w:r>
      <w:r>
        <w:rPr>
          <w:rFonts w:asciiTheme="minorHAnsi" w:hAnsiTheme="minorHAnsi" w:cstheme="minorHAnsi"/>
        </w:rPr>
        <w:t>-</w:t>
      </w:r>
      <w:r w:rsidRPr="0059069F">
        <w:rPr>
          <w:rFonts w:asciiTheme="minorHAnsi" w:hAnsiTheme="minorHAnsi" w:cstheme="minorHAnsi"/>
        </w:rPr>
        <w:t>80</w:t>
      </w:r>
      <w:r>
        <w:rPr>
          <w:rFonts w:asciiTheme="minorHAnsi" w:hAnsiTheme="minorHAnsi" w:cstheme="minorHAnsi"/>
        </w:rPr>
        <w:t>.</w:t>
      </w:r>
      <w:r w:rsidRPr="0059069F">
        <w:rPr>
          <w:rFonts w:asciiTheme="minorHAnsi" w:hAnsiTheme="minorHAnsi" w:cstheme="minorHAnsi"/>
        </w:rPr>
        <w:t>340739|5|1|3|1|2|H|F|I|H|2|90|85|2020|7|23|0700|30|0|0|1|0|0|0|0|</w:t>
      </w:r>
      <w:r>
        <w:rPr>
          <w:rFonts w:asciiTheme="minorHAnsi" w:hAnsiTheme="minorHAnsi" w:cstheme="minorHAnsi"/>
        </w:rPr>
        <w:t>0</w:t>
      </w:r>
      <w:r w:rsidRPr="0059069F">
        <w:rPr>
          <w:rFonts w:asciiTheme="minorHAnsi" w:hAnsiTheme="minorHAnsi" w:cstheme="minorHAnsi"/>
        </w:rPr>
        <w:t>|0|0|0|0|0|0|1|0|0|0|0|0</w:t>
      </w:r>
      <w:bookmarkEnd w:id="3250"/>
      <w:bookmarkEnd w:id="3251"/>
      <w:bookmarkEnd w:id="3252"/>
      <w:bookmarkEnd w:id="3253"/>
    </w:p>
    <w:p w14:paraId="50898649" w14:textId="7126F07A" w:rsidR="003F7B9F" w:rsidRPr="004C0E95" w:rsidRDefault="003F7B9F">
      <w:pPr>
        <w:pStyle w:val="Heading1"/>
      </w:pPr>
      <w:bookmarkStart w:id="3327" w:name="_Toc65752858"/>
      <w:bookmarkStart w:id="3328" w:name="_Toc68864962"/>
      <w:bookmarkStart w:id="3329" w:name="_Toc114474747"/>
      <w:bookmarkStart w:id="3330" w:name="_Toc114485836"/>
      <w:bookmarkStart w:id="3331" w:name="_Toc114488087"/>
      <w:bookmarkStart w:id="3332" w:name="_Toc118205710"/>
      <w:r w:rsidRPr="004C0E95">
        <w:lastRenderedPageBreak/>
        <w:t>Federal Data Reporting Requirements and Tools: HPMS</w:t>
      </w:r>
      <w:r w:rsidR="001636F6" w:rsidRPr="004C0E95">
        <w:t> </w:t>
      </w:r>
      <w:r w:rsidRPr="004C0E95">
        <w:t>and TMAS</w:t>
      </w:r>
      <w:bookmarkEnd w:id="3327"/>
      <w:bookmarkEnd w:id="3328"/>
      <w:bookmarkEnd w:id="3329"/>
      <w:bookmarkEnd w:id="3330"/>
      <w:bookmarkEnd w:id="3331"/>
      <w:bookmarkEnd w:id="3332"/>
    </w:p>
    <w:p w14:paraId="46F184A6" w14:textId="21877322" w:rsidR="003F7B9F" w:rsidRPr="001546EF" w:rsidRDefault="00B90166">
      <w:pPr>
        <w:pStyle w:val="Heading2"/>
      </w:pPr>
      <w:bookmarkStart w:id="3333" w:name="_Toc65752859"/>
      <w:bookmarkStart w:id="3334" w:name="_Toc68864963"/>
      <w:bookmarkStart w:id="3335" w:name="_Toc114474748"/>
      <w:bookmarkStart w:id="3336" w:name="_Toc114485837"/>
      <w:bookmarkStart w:id="3337" w:name="_Toc114488088"/>
      <w:bookmarkStart w:id="3338" w:name="_Toc118205711"/>
      <w:r w:rsidRPr="001546EF">
        <w:t>Highway Performance Monitoring System (</w:t>
      </w:r>
      <w:r w:rsidR="00AA0EF9" w:rsidRPr="001546EF">
        <w:t>HPMS</w:t>
      </w:r>
      <w:r w:rsidRPr="001546EF">
        <w:t>) Requirements For Traffic Data</w:t>
      </w:r>
      <w:bookmarkEnd w:id="3333"/>
      <w:bookmarkEnd w:id="3334"/>
      <w:bookmarkEnd w:id="3335"/>
      <w:bookmarkEnd w:id="3336"/>
      <w:bookmarkEnd w:id="3337"/>
      <w:bookmarkEnd w:id="3338"/>
    </w:p>
    <w:p w14:paraId="3A7A9DE3" w14:textId="50E852E9" w:rsidR="003F7B9F" w:rsidRDefault="003F7B9F" w:rsidP="00A35EAF">
      <w:pPr>
        <w:pStyle w:val="BodyText"/>
      </w:pPr>
      <w:r>
        <w:t xml:space="preserve">The Federal Highway Administration (FHWA) is responsible for assuring that adequate highway transportation data and systems performance information is available to support its functions and responsibilities, as well as those of the Administration and United States Congress. The Highway Performance Monitoring System (HPMS) is used for reporting these metrics. Additionally, HPMS data </w:t>
      </w:r>
      <w:r w:rsidR="00EC08B4">
        <w:t xml:space="preserve">are </w:t>
      </w:r>
      <w:r>
        <w:t xml:space="preserve">widely used throughout the transportation community, including other governmental entities, business and industry, institutions of higher learning for transportation research purposes, and the general public. HPMS data may also be used for performance measurement purposes in national, </w:t>
      </w:r>
      <w:r w:rsidR="00EC08B4">
        <w:t>S</w:t>
      </w:r>
      <w:r>
        <w:t>tate, and local transportation decision-making to analyze trade-offs among the different modes of transportation as part of the metropolitan and statewide transportation planning process.</w:t>
      </w:r>
    </w:p>
    <w:p w14:paraId="6DC45C0B" w14:textId="77777777" w:rsidR="00824C9D" w:rsidRDefault="003F7B9F" w:rsidP="00A35EAF">
      <w:pPr>
        <w:pStyle w:val="BodyText"/>
      </w:pPr>
      <w:r w:rsidRPr="00F374BF">
        <w:t xml:space="preserve">The </w:t>
      </w:r>
      <w:r w:rsidRPr="00F374BF">
        <w:rPr>
          <w:i/>
        </w:rPr>
        <w:t>HPMS Field Manual</w:t>
      </w:r>
      <w:r w:rsidRPr="00F374BF">
        <w:t xml:space="preserve"> (</w:t>
      </w:r>
      <w:r w:rsidR="00F374BF" w:rsidRPr="00F374BF">
        <w:t>FHWA</w:t>
      </w:r>
      <w:r w:rsidRPr="00F374BF">
        <w:t xml:space="preserve">) provides a comprehensive overview of the HPMS program and describes in detail the data collection and reporting requirements for HPMS. This manual includes detailed information on technical procedures, a glossary of terms, and various tables to be used as reference by those collecting and reporting HPMS data. Information related to the use of the HPMS software web application is contained in a separate document. The information provided in this edition of the </w:t>
      </w:r>
      <w:r w:rsidRPr="00F374BF">
        <w:rPr>
          <w:i/>
        </w:rPr>
        <w:t>TMG</w:t>
      </w:r>
      <w:r w:rsidRPr="00F374BF">
        <w:t xml:space="preserve"> is based on the </w:t>
      </w:r>
      <w:r w:rsidRPr="00F374BF">
        <w:rPr>
          <w:i/>
        </w:rPr>
        <w:t>HPMS Field Manual</w:t>
      </w:r>
      <w:r w:rsidRPr="00F374BF">
        <w:t xml:space="preserve"> </w:t>
      </w:r>
      <w:r w:rsidR="00F374BF" w:rsidRPr="00F374BF">
        <w:t xml:space="preserve">(FHWA) </w:t>
      </w:r>
      <w:r w:rsidRPr="00F374BF">
        <w:t xml:space="preserve">and is intended for background purposes only. </w:t>
      </w:r>
    </w:p>
    <w:p w14:paraId="210C12BA" w14:textId="57E210F0" w:rsidR="00824C9D" w:rsidRPr="00824C9D" w:rsidRDefault="00824C9D" w:rsidP="00A119E0">
      <w:pPr>
        <w:pStyle w:val="CallOut"/>
      </w:pPr>
      <w:r w:rsidRPr="00824C9D">
        <w:t xml:space="preserve">Users of this Guide are encouraged to refer to the latest revision of the </w:t>
      </w:r>
      <w:r w:rsidRPr="005E416B">
        <w:rPr>
          <w:i/>
          <w:iCs/>
        </w:rPr>
        <w:t>HPMS Field Manual</w:t>
      </w:r>
      <w:r w:rsidR="008505E4">
        <w:t>,</w:t>
      </w:r>
      <w:r w:rsidRPr="00824C9D">
        <w:t xml:space="preserve"> as traffic data requirements may have changed.</w:t>
      </w:r>
    </w:p>
    <w:p w14:paraId="7FA3D6A6" w14:textId="439D8664" w:rsidR="003F7B9F" w:rsidRPr="00963490" w:rsidRDefault="003F7B9F" w:rsidP="00A35EAF">
      <w:pPr>
        <w:pStyle w:val="BodyText"/>
      </w:pPr>
      <w:r w:rsidRPr="00963490">
        <w:t xml:space="preserve">This chapter provides guidance to </w:t>
      </w:r>
      <w:r w:rsidR="008505E4">
        <w:t>S</w:t>
      </w:r>
      <w:r w:rsidRPr="00963490">
        <w:t>tates in meeting the traffic reporting requirements of the HPMS</w:t>
      </w:r>
      <w:r>
        <w:t xml:space="preserve"> program since t</w:t>
      </w:r>
      <w:r w:rsidRPr="00963490">
        <w:t xml:space="preserve">raffic data comprise a significant portion of the </w:t>
      </w:r>
      <w:r>
        <w:t xml:space="preserve">HPMS </w:t>
      </w:r>
      <w:r w:rsidRPr="00963490">
        <w:t>data</w:t>
      </w:r>
      <w:r>
        <w:t xml:space="preserve"> submission. Although most</w:t>
      </w:r>
      <w:r w:rsidRPr="00963490">
        <w:t xml:space="preserve"> traffic monitoring program</w:t>
      </w:r>
      <w:r>
        <w:t>s</w:t>
      </w:r>
      <w:r w:rsidRPr="00963490">
        <w:t xml:space="preserve"> include the collection of volume, classification, weight, and speed data, the primary focus of the guidance in the </w:t>
      </w:r>
      <w:r w:rsidRPr="005E416B">
        <w:rPr>
          <w:i/>
          <w:iCs/>
        </w:rPr>
        <w:t>H</w:t>
      </w:r>
      <w:r w:rsidR="008505E4" w:rsidRPr="005E416B">
        <w:rPr>
          <w:i/>
          <w:iCs/>
        </w:rPr>
        <w:t xml:space="preserve">ighway </w:t>
      </w:r>
      <w:r w:rsidRPr="005E416B">
        <w:rPr>
          <w:i/>
          <w:iCs/>
        </w:rPr>
        <w:t>F</w:t>
      </w:r>
      <w:r w:rsidR="008505E4" w:rsidRPr="005E416B">
        <w:rPr>
          <w:i/>
          <w:iCs/>
        </w:rPr>
        <w:t xml:space="preserve">ield </w:t>
      </w:r>
      <w:r w:rsidRPr="005E416B">
        <w:rPr>
          <w:i/>
          <w:iCs/>
        </w:rPr>
        <w:t>M</w:t>
      </w:r>
      <w:r w:rsidR="008505E4" w:rsidRPr="005E416B">
        <w:rPr>
          <w:i/>
          <w:iCs/>
        </w:rPr>
        <w:t>anual</w:t>
      </w:r>
      <w:r>
        <w:rPr>
          <w:i/>
        </w:rPr>
        <w:t xml:space="preserve"> </w:t>
      </w:r>
      <w:r w:rsidRPr="00963490">
        <w:t>is on</w:t>
      </w:r>
      <w:r>
        <w:t xml:space="preserve"> volume and classification data.</w:t>
      </w:r>
      <w:r w:rsidR="004D4172">
        <w:t xml:space="preserve"> </w:t>
      </w:r>
      <w:r w:rsidRPr="00963490">
        <w:t xml:space="preserve">The traffic data reported in HPMS should </w:t>
      </w:r>
      <w:r>
        <w:t>match the data managed by</w:t>
      </w:r>
      <w:r w:rsidRPr="00963490">
        <w:t xml:space="preserve"> the </w:t>
      </w:r>
      <w:r w:rsidR="008505E4">
        <w:t>S</w:t>
      </w:r>
      <w:r w:rsidRPr="00963490">
        <w:t xml:space="preserve">tate’s traffic monitoring program so that information published by the </w:t>
      </w:r>
      <w:r w:rsidR="008505E4">
        <w:t>S</w:t>
      </w:r>
      <w:r w:rsidRPr="00963490">
        <w:t>tate and FHWA are as similar as po</w:t>
      </w:r>
      <w:r>
        <w:t xml:space="preserve">ssible. This goal is best achieved when HPMS traffic data </w:t>
      </w:r>
      <w:r w:rsidR="008505E4">
        <w:t>are</w:t>
      </w:r>
      <w:r w:rsidR="008505E4" w:rsidRPr="00963490">
        <w:t xml:space="preserve"> </w:t>
      </w:r>
      <w:r w:rsidRPr="00963490">
        <w:t xml:space="preserve">developed in a cooperative process among </w:t>
      </w:r>
      <w:r>
        <w:t xml:space="preserve">the </w:t>
      </w:r>
      <w:r w:rsidR="008505E4">
        <w:t>S</w:t>
      </w:r>
      <w:r w:rsidRPr="00963490">
        <w:t>tate’s HPMS, traffic monitoring, and traffic demand modeling personnel.</w:t>
      </w:r>
      <w:r w:rsidR="004D4172">
        <w:t xml:space="preserve"> </w:t>
      </w:r>
    </w:p>
    <w:p w14:paraId="4B6E8E52" w14:textId="74C67DD0" w:rsidR="003F7B9F" w:rsidRDefault="003F7B9F" w:rsidP="00A35EAF">
      <w:pPr>
        <w:pStyle w:val="BodyText"/>
      </w:pPr>
      <w:r w:rsidRPr="0014527D">
        <w:t xml:space="preserve">A limited amount of background information is provided here to offer an overview of how the HPMS is organized. The main difference </w:t>
      </w:r>
      <w:r>
        <w:t xml:space="preserve">between </w:t>
      </w:r>
      <w:r w:rsidRPr="0014527D">
        <w:t xml:space="preserve">traffic monitoring </w:t>
      </w:r>
      <w:r>
        <w:t xml:space="preserve">data collection and HPMS data submission is that HPMS-based traffic data elements, including VMT, are reported by </w:t>
      </w:r>
      <w:r w:rsidRPr="0014527D">
        <w:t xml:space="preserve">road sections to correlate with road inventory data. HPMS </w:t>
      </w:r>
      <w:r>
        <w:t xml:space="preserve">data </w:t>
      </w:r>
      <w:r w:rsidR="008505E4">
        <w:t xml:space="preserve">are </w:t>
      </w:r>
      <w:r>
        <w:t>reported by f</w:t>
      </w:r>
      <w:r w:rsidRPr="0014527D">
        <w:t xml:space="preserve">ull extent, sample panel, </w:t>
      </w:r>
      <w:r>
        <w:t xml:space="preserve">or </w:t>
      </w:r>
      <w:r w:rsidRPr="0014527D">
        <w:t>partial extent.</w:t>
      </w:r>
      <w:r w:rsidR="004D4172">
        <w:t xml:space="preserve"> </w:t>
      </w:r>
    </w:p>
    <w:p w14:paraId="6B56CEE8" w14:textId="7F75BA3B" w:rsidR="003F7B9F" w:rsidRPr="00F374BF" w:rsidRDefault="003F7B9F" w:rsidP="00A35EAF">
      <w:pPr>
        <w:pStyle w:val="BodyText"/>
        <w:rPr>
          <w:iCs/>
        </w:rPr>
      </w:pPr>
      <w:r w:rsidRPr="0014527D">
        <w:t xml:space="preserve">The following definitions </w:t>
      </w:r>
      <w:r>
        <w:t>for</w:t>
      </w:r>
      <w:r w:rsidRPr="0014527D">
        <w:t xml:space="preserve"> each of these types of </w:t>
      </w:r>
      <w:r>
        <w:t>data are</w:t>
      </w:r>
      <w:r w:rsidRPr="0014527D">
        <w:t xml:space="preserve"> from </w:t>
      </w:r>
      <w:r w:rsidRPr="00F374BF">
        <w:t xml:space="preserve">the </w:t>
      </w:r>
      <w:r w:rsidRPr="00F374BF">
        <w:rPr>
          <w:i/>
        </w:rPr>
        <w:t>HPMS Field Manual</w:t>
      </w:r>
      <w:r w:rsidR="00F374BF" w:rsidRPr="00F374BF">
        <w:rPr>
          <w:i/>
        </w:rPr>
        <w:t xml:space="preserve"> </w:t>
      </w:r>
      <w:r w:rsidR="00F374BF" w:rsidRPr="00F374BF">
        <w:rPr>
          <w:iCs/>
        </w:rPr>
        <w:t>(FHWA)</w:t>
      </w:r>
      <w:r w:rsidRPr="00F374BF">
        <w:rPr>
          <w:iCs/>
        </w:rPr>
        <w:t xml:space="preserve">. </w:t>
      </w:r>
    </w:p>
    <w:p w14:paraId="7C4C826E" w14:textId="1798CD78" w:rsidR="003F7B9F" w:rsidRPr="0014527D" w:rsidRDefault="003F7B9F" w:rsidP="00A35EAF">
      <w:pPr>
        <w:pStyle w:val="BodyText"/>
      </w:pPr>
      <w:r w:rsidRPr="00F374BF">
        <w:rPr>
          <w:b/>
        </w:rPr>
        <w:t>Full extent data</w:t>
      </w:r>
      <w:r w:rsidRPr="00F374BF">
        <w:t xml:space="preserve"> refers to a limited set of data items that are reported for an entire road system such</w:t>
      </w:r>
      <w:r w:rsidRPr="0014527D">
        <w:t xml:space="preserve"> as the National Highway Sy</w:t>
      </w:r>
      <w:r>
        <w:t>stem (NHS) or all public roads.</w:t>
      </w:r>
      <w:r w:rsidRPr="0014527D">
        <w:t xml:space="preserve"> AADT is an example of traffic data that </w:t>
      </w:r>
      <w:r>
        <w:t>should b</w:t>
      </w:r>
      <w:r w:rsidRPr="0014527D">
        <w:t>e reported on a full extent basis and reported for ramps at grade-separated interchanges.</w:t>
      </w:r>
    </w:p>
    <w:p w14:paraId="1E34A262" w14:textId="5C0F3FBF" w:rsidR="003F7B9F" w:rsidRPr="0014527D" w:rsidRDefault="003F7B9F" w:rsidP="00A35EAF">
      <w:pPr>
        <w:pStyle w:val="BodyText"/>
      </w:pPr>
      <w:r w:rsidRPr="0014527D">
        <w:rPr>
          <w:b/>
        </w:rPr>
        <w:t xml:space="preserve">Sample </w:t>
      </w:r>
      <w:r>
        <w:rPr>
          <w:b/>
        </w:rPr>
        <w:t>p</w:t>
      </w:r>
      <w:r w:rsidRPr="0014527D">
        <w:rPr>
          <w:b/>
        </w:rPr>
        <w:t>anel data</w:t>
      </w:r>
      <w:r w:rsidRPr="0014527D">
        <w:t xml:space="preserve"> consist of data items added to the </w:t>
      </w:r>
      <w:r>
        <w:t>f</w:t>
      </w:r>
      <w:r w:rsidRPr="0014527D">
        <w:t xml:space="preserve">ull </w:t>
      </w:r>
      <w:r>
        <w:t>e</w:t>
      </w:r>
      <w:r w:rsidRPr="0014527D">
        <w:t>xtent data that are reported for a select portion of t</w:t>
      </w:r>
      <w:r>
        <w:t>he total roadway system length.</w:t>
      </w:r>
      <w:r w:rsidRPr="0014527D">
        <w:t xml:space="preserve"> K-</w:t>
      </w:r>
      <w:r w:rsidR="00705974">
        <w:t>FACTOR</w:t>
      </w:r>
      <w:r w:rsidRPr="0014527D">
        <w:t xml:space="preserve"> and D-F</w:t>
      </w:r>
      <w:r w:rsidR="00705974">
        <w:t>ACTOR</w:t>
      </w:r>
      <w:r w:rsidRPr="0014527D">
        <w:t xml:space="preserve"> are examples of traffic data that </w:t>
      </w:r>
      <w:r>
        <w:t xml:space="preserve">should </w:t>
      </w:r>
      <w:r w:rsidRPr="0014527D">
        <w:t>be reported on a sample panel basis</w:t>
      </w:r>
      <w:r>
        <w:t>.</w:t>
      </w:r>
    </w:p>
    <w:p w14:paraId="64465D25" w14:textId="0B0DF763" w:rsidR="003F7B9F" w:rsidRPr="0014527D" w:rsidRDefault="003F7B9F" w:rsidP="00A35EAF">
      <w:pPr>
        <w:pStyle w:val="BodyText"/>
      </w:pPr>
      <w:r w:rsidRPr="0014527D">
        <w:rPr>
          <w:b/>
        </w:rPr>
        <w:t xml:space="preserve">Partial </w:t>
      </w:r>
      <w:r>
        <w:rPr>
          <w:b/>
        </w:rPr>
        <w:t>e</w:t>
      </w:r>
      <w:r w:rsidRPr="0014527D">
        <w:rPr>
          <w:b/>
        </w:rPr>
        <w:t>xtent data</w:t>
      </w:r>
      <w:r w:rsidRPr="0014527D">
        <w:t xml:space="preserve"> refer to those data items that are reported on a full extent basis for some functional systems and on a sample panel basis for other functional systems. </w:t>
      </w:r>
      <w:r w:rsidR="00382423">
        <w:t>AADT_SINGLE_UNIT</w:t>
      </w:r>
      <w:r w:rsidRPr="0014527D">
        <w:t xml:space="preserve"> (truck volumes</w:t>
      </w:r>
      <w:r>
        <w:t>) and AADT</w:t>
      </w:r>
      <w:r w:rsidR="00301E28">
        <w:t>_COMBINATION</w:t>
      </w:r>
      <w:r w:rsidRPr="0014527D">
        <w:t xml:space="preserve"> (truck volumes) are examples of traffic data that </w:t>
      </w:r>
      <w:r>
        <w:t xml:space="preserve">should </w:t>
      </w:r>
      <w:r w:rsidRPr="0014527D">
        <w:t>be reported on a partial extent basis</w:t>
      </w:r>
      <w:r>
        <w:t>.</w:t>
      </w:r>
      <w:r w:rsidRPr="0014527D">
        <w:t xml:space="preserve"> </w:t>
      </w:r>
    </w:p>
    <w:p w14:paraId="7A704295" w14:textId="36328D48" w:rsidR="003F7B9F" w:rsidRPr="0014527D" w:rsidRDefault="003F7B9F" w:rsidP="00A35EAF">
      <w:pPr>
        <w:pStyle w:val="BodyText"/>
      </w:pPr>
      <w:r w:rsidRPr="0014527D">
        <w:t xml:space="preserve">The </w:t>
      </w:r>
      <w:r>
        <w:t xml:space="preserve">purpose of sampling </w:t>
      </w:r>
      <w:r w:rsidRPr="0014527D">
        <w:t xml:space="preserve">is to provide a statistically valid representation of the public road network for the </w:t>
      </w:r>
      <w:r w:rsidR="008505E4">
        <w:t>S</w:t>
      </w:r>
      <w:r w:rsidRPr="0014527D">
        <w:t xml:space="preserve">tate, without imposing additional data collection burdens. Within HPMS, these samples are expanded </w:t>
      </w:r>
      <w:r>
        <w:t>for</w:t>
      </w:r>
      <w:r w:rsidRPr="0014527D">
        <w:t xml:space="preserve"> a statistically valid representation of the public road network for the </w:t>
      </w:r>
      <w:r w:rsidR="009531AC">
        <w:t>S</w:t>
      </w:r>
      <w:r w:rsidRPr="0014527D">
        <w:t>tate.</w:t>
      </w:r>
      <w:r w:rsidR="004D4172">
        <w:t xml:space="preserve"> </w:t>
      </w:r>
    </w:p>
    <w:p w14:paraId="3FB74EC8" w14:textId="008C0B55" w:rsidR="003F7B9F" w:rsidRPr="0014527D" w:rsidRDefault="003F7B9F" w:rsidP="00A35EAF">
      <w:pPr>
        <w:pStyle w:val="BodyText"/>
      </w:pPr>
      <w:r w:rsidRPr="0014527D">
        <w:lastRenderedPageBreak/>
        <w:t xml:space="preserve">The </w:t>
      </w:r>
      <w:r w:rsidR="009531AC">
        <w:t>S</w:t>
      </w:r>
      <w:r w:rsidRPr="0014527D">
        <w:t xml:space="preserve">tate’s HPMS </w:t>
      </w:r>
      <w:r>
        <w:t>program</w:t>
      </w:r>
      <w:r w:rsidRPr="0014527D">
        <w:t xml:space="preserve"> </w:t>
      </w:r>
      <w:r>
        <w:t xml:space="preserve">provides </w:t>
      </w:r>
      <w:r w:rsidRPr="0014527D">
        <w:t xml:space="preserve">the location of </w:t>
      </w:r>
      <w:r>
        <w:t>s</w:t>
      </w:r>
      <w:r w:rsidRPr="0014527D">
        <w:t xml:space="preserve">ample sections to the traffic monitoring </w:t>
      </w:r>
      <w:r>
        <w:t>program</w:t>
      </w:r>
      <w:r w:rsidRPr="0014527D">
        <w:t xml:space="preserve"> as new s</w:t>
      </w:r>
      <w:r>
        <w:t>ections</w:t>
      </w:r>
      <w:r w:rsidRPr="0014527D">
        <w:t xml:space="preserve"> are added or removed for each HPMS data collection year. The addition of </w:t>
      </w:r>
      <w:r>
        <w:t xml:space="preserve">these </w:t>
      </w:r>
      <w:r w:rsidRPr="0014527D">
        <w:t>s</w:t>
      </w:r>
      <w:r>
        <w:t>ections</w:t>
      </w:r>
      <w:r w:rsidRPr="0014527D">
        <w:t>, which may require additional traffic data collection</w:t>
      </w:r>
      <w:r>
        <w:t xml:space="preserve"> effort</w:t>
      </w:r>
      <w:r w:rsidRPr="0014527D">
        <w:t xml:space="preserve">, is determined by using the sample management process within the HPMS system. This </w:t>
      </w:r>
      <w:r>
        <w:t xml:space="preserve">iterative </w:t>
      </w:r>
      <w:r w:rsidRPr="0014527D">
        <w:t xml:space="preserve">process allows </w:t>
      </w:r>
      <w:r>
        <w:t xml:space="preserve">the </w:t>
      </w:r>
      <w:r w:rsidRPr="0014527D">
        <w:t xml:space="preserve">traffic monitoring </w:t>
      </w:r>
      <w:r>
        <w:t>program</w:t>
      </w:r>
      <w:r w:rsidRPr="0014527D">
        <w:t xml:space="preserve"> to either establish permanent count stations at those lo</w:t>
      </w:r>
      <w:r>
        <w:t>cations or take short</w:t>
      </w:r>
      <w:r w:rsidR="009531AC">
        <w:t>-</w:t>
      </w:r>
      <w:r>
        <w:t>term coverage</w:t>
      </w:r>
      <w:r w:rsidRPr="0014527D">
        <w:t xml:space="preserve"> counts at specific locations to provide count data for use with HPMS. </w:t>
      </w:r>
    </w:p>
    <w:p w14:paraId="765623D9" w14:textId="50CCFFE8" w:rsidR="003F7B9F" w:rsidRPr="0014527D" w:rsidRDefault="003F7B9F" w:rsidP="00A35EAF">
      <w:pPr>
        <w:pStyle w:val="BodyText"/>
      </w:pPr>
      <w:r w:rsidRPr="0014527D">
        <w:t>For sampling purposes</w:t>
      </w:r>
      <w:r>
        <w:t>,</w:t>
      </w:r>
      <w:r w:rsidRPr="0014527D">
        <w:t xml:space="preserve"> HPMS uses </w:t>
      </w:r>
      <w:r>
        <w:t>the Table of Potential Samples (TOPS) as the sampling frame</w:t>
      </w:r>
      <w:r w:rsidRPr="0014527D">
        <w:t>.</w:t>
      </w:r>
      <w:r w:rsidR="004D4172">
        <w:t xml:space="preserve"> </w:t>
      </w:r>
      <w:r w:rsidRPr="0014527D">
        <w:t>HPMS sample</w:t>
      </w:r>
      <w:r>
        <w:t xml:space="preserve"> sections</w:t>
      </w:r>
      <w:r w:rsidRPr="0014527D">
        <w:t xml:space="preserve"> are selected from </w:t>
      </w:r>
      <w:r>
        <w:t xml:space="preserve">the TOPS. The TOPS </w:t>
      </w:r>
      <w:r w:rsidRPr="0014527D">
        <w:t>includes all Federal-aid highways, which are highways on the NHS and all other public roads not classified as local r</w:t>
      </w:r>
      <w:r>
        <w:t xml:space="preserve">oads or rural minor collectors. </w:t>
      </w:r>
    </w:p>
    <w:p w14:paraId="61AA29D3" w14:textId="44FB01DC" w:rsidR="003F7B9F" w:rsidRDefault="003F7B9F" w:rsidP="00A35EAF">
      <w:pPr>
        <w:pStyle w:val="BodyText"/>
      </w:pPr>
      <w:r w:rsidRPr="0014527D">
        <w:t xml:space="preserve">Five critical data items are used to establish the TOPS. One of these data items is AADT. The four additional items are functional system, through lanes, </w:t>
      </w:r>
      <w:r>
        <w:t xml:space="preserve">urban code, </w:t>
      </w:r>
      <w:r w:rsidRPr="0014527D">
        <w:t>and facility type (used to identify ramps). TOPS sections are defined where the values for these five items remain unchanged (or are homogenous) for a section of road along the ful</w:t>
      </w:r>
      <w:r>
        <w:t xml:space="preserve">l extent of the road. </w:t>
      </w:r>
      <w:r w:rsidR="007F2D82">
        <w:fldChar w:fldCharType="begin"/>
      </w:r>
      <w:r w:rsidR="007F2D82">
        <w:instrText xml:space="preserve"> REF _Ref114753257 \h </w:instrText>
      </w:r>
      <w:r w:rsidR="007F2D82">
        <w:fldChar w:fldCharType="separate"/>
      </w:r>
      <w:r w:rsidR="00C07DF9" w:rsidRPr="00F252C6">
        <w:t xml:space="preserve">Figure </w:t>
      </w:r>
      <w:r w:rsidR="00C07DF9">
        <w:rPr>
          <w:noProof/>
        </w:rPr>
        <w:t>5</w:t>
      </w:r>
      <w:r w:rsidR="00C07DF9">
        <w:noBreakHyphen/>
      </w:r>
      <w:r w:rsidR="00C07DF9">
        <w:rPr>
          <w:noProof/>
        </w:rPr>
        <w:t>1</w:t>
      </w:r>
      <w:r w:rsidR="007F2D82">
        <w:fldChar w:fldCharType="end"/>
      </w:r>
      <w:r w:rsidRPr="0014527D">
        <w:t xml:space="preserve"> illustrates the TOPS sec</w:t>
      </w:r>
      <w:r>
        <w:t xml:space="preserve">tions for a given route (Route </w:t>
      </w:r>
      <w:r w:rsidRPr="0014527D">
        <w:t>AB</w:t>
      </w:r>
      <w:r>
        <w:t>C</w:t>
      </w:r>
      <w:r w:rsidRPr="0014527D">
        <w:t>) based on the five homogenous data items. The potential TOPS sections are labeled as A,</w:t>
      </w:r>
      <w:r>
        <w:t xml:space="preserve"> </w:t>
      </w:r>
      <w:r w:rsidRPr="0014527D">
        <w:t>B,</w:t>
      </w:r>
      <w:r>
        <w:t xml:space="preserve"> </w:t>
      </w:r>
      <w:r w:rsidRPr="0014527D">
        <w:t>C,</w:t>
      </w:r>
      <w:r>
        <w:t xml:space="preserve"> </w:t>
      </w:r>
      <w:r w:rsidRPr="0014527D">
        <w:t xml:space="preserve">D, and E on the bottom row of </w:t>
      </w:r>
      <w:r>
        <w:t>the figure.</w:t>
      </w:r>
    </w:p>
    <w:tbl>
      <w:tblPr>
        <w:tblStyle w:val="TableGrid"/>
        <w:tblW w:w="0" w:type="auto"/>
        <w:tblLook w:val="04A0" w:firstRow="1" w:lastRow="0" w:firstColumn="1" w:lastColumn="0" w:noHBand="0" w:noVBand="1"/>
      </w:tblPr>
      <w:tblGrid>
        <w:gridCol w:w="1697"/>
        <w:gridCol w:w="1885"/>
        <w:gridCol w:w="633"/>
        <w:gridCol w:w="2800"/>
        <w:gridCol w:w="827"/>
        <w:gridCol w:w="1508"/>
      </w:tblGrid>
      <w:tr w:rsidR="002D1CCA" w:rsidRPr="00786B05" w14:paraId="5AED897A" w14:textId="2F46DE0C" w:rsidTr="001546EF">
        <w:tc>
          <w:tcPr>
            <w:tcW w:w="1697" w:type="dxa"/>
          </w:tcPr>
          <w:p w14:paraId="773310CD" w14:textId="1DEA85A4" w:rsidR="002D1CCA" w:rsidRPr="00786B05" w:rsidRDefault="002D1CCA" w:rsidP="00276CEB">
            <w:pPr>
              <w:pStyle w:val="FigureTitle"/>
              <w:spacing w:before="20" w:after="20" w:line="240" w:lineRule="auto"/>
              <w:ind w:left="0"/>
              <w:contextualSpacing w:val="0"/>
              <w:jc w:val="center"/>
              <w:rPr>
                <w:b w:val="0"/>
                <w:bCs w:val="0"/>
                <w:sz w:val="20"/>
              </w:rPr>
            </w:pPr>
            <w:r w:rsidRPr="00786B05">
              <w:rPr>
                <w:b w:val="0"/>
                <w:bCs w:val="0"/>
                <w:sz w:val="20"/>
              </w:rPr>
              <w:t>Route ABC</w:t>
            </w:r>
          </w:p>
        </w:tc>
        <w:tc>
          <w:tcPr>
            <w:tcW w:w="7653" w:type="dxa"/>
            <w:gridSpan w:val="5"/>
            <w:shd w:val="clear" w:color="auto" w:fill="D0CECE" w:themeFill="background2" w:themeFillShade="E6"/>
          </w:tcPr>
          <w:p w14:paraId="4CC13BDD" w14:textId="77777777" w:rsidR="002D1CCA" w:rsidRPr="00786B05" w:rsidRDefault="002D1CCA" w:rsidP="00276CEB">
            <w:pPr>
              <w:pStyle w:val="FigureTitle"/>
              <w:spacing w:before="20" w:after="20" w:line="240" w:lineRule="auto"/>
              <w:ind w:left="0"/>
              <w:contextualSpacing w:val="0"/>
              <w:jc w:val="center"/>
              <w:rPr>
                <w:b w:val="0"/>
                <w:bCs w:val="0"/>
                <w:sz w:val="20"/>
              </w:rPr>
            </w:pPr>
          </w:p>
        </w:tc>
      </w:tr>
      <w:tr w:rsidR="002D1CCA" w:rsidRPr="00786B05" w14:paraId="4CE1D6CD" w14:textId="2C226E65" w:rsidTr="001546EF">
        <w:tc>
          <w:tcPr>
            <w:tcW w:w="1697" w:type="dxa"/>
          </w:tcPr>
          <w:p w14:paraId="65BFFF36" w14:textId="2A6C0865" w:rsidR="002D1CCA" w:rsidRPr="00786B05" w:rsidRDefault="002D1CCA" w:rsidP="00276CEB">
            <w:pPr>
              <w:pStyle w:val="FigureTitle"/>
              <w:spacing w:before="20" w:after="20" w:line="240" w:lineRule="auto"/>
              <w:ind w:left="0"/>
              <w:contextualSpacing w:val="0"/>
              <w:jc w:val="center"/>
              <w:rPr>
                <w:b w:val="0"/>
                <w:bCs w:val="0"/>
                <w:sz w:val="20"/>
              </w:rPr>
            </w:pPr>
            <w:r w:rsidRPr="00786B05">
              <w:rPr>
                <w:b w:val="0"/>
                <w:bCs w:val="0"/>
                <w:sz w:val="20"/>
              </w:rPr>
              <w:t>AADT</w:t>
            </w:r>
          </w:p>
        </w:tc>
        <w:tc>
          <w:tcPr>
            <w:tcW w:w="1885" w:type="dxa"/>
            <w:shd w:val="clear" w:color="auto" w:fill="F8ABFF"/>
          </w:tcPr>
          <w:p w14:paraId="11AE980E" w14:textId="675D33D4" w:rsidR="002D1CCA" w:rsidRPr="00786B05" w:rsidRDefault="002D1CCA" w:rsidP="00276CEB">
            <w:pPr>
              <w:pStyle w:val="FigureTitle"/>
              <w:spacing w:before="20" w:after="20" w:line="240" w:lineRule="auto"/>
              <w:ind w:left="0"/>
              <w:contextualSpacing w:val="0"/>
              <w:jc w:val="center"/>
              <w:rPr>
                <w:b w:val="0"/>
                <w:bCs w:val="0"/>
                <w:sz w:val="20"/>
              </w:rPr>
            </w:pPr>
            <w:r w:rsidRPr="00786B05">
              <w:rPr>
                <w:b w:val="0"/>
                <w:bCs w:val="0"/>
                <w:sz w:val="20"/>
              </w:rPr>
              <w:t>62000</w:t>
            </w:r>
          </w:p>
        </w:tc>
        <w:tc>
          <w:tcPr>
            <w:tcW w:w="633" w:type="dxa"/>
            <w:shd w:val="clear" w:color="auto" w:fill="F8ABFF"/>
          </w:tcPr>
          <w:p w14:paraId="720C17F7" w14:textId="77777777" w:rsidR="002D1CCA" w:rsidRPr="00786B05" w:rsidRDefault="002D1CCA" w:rsidP="00276CEB">
            <w:pPr>
              <w:pStyle w:val="FigureTitle"/>
              <w:spacing w:before="20" w:after="20" w:line="240" w:lineRule="auto"/>
              <w:ind w:left="0"/>
              <w:contextualSpacing w:val="0"/>
              <w:jc w:val="center"/>
              <w:rPr>
                <w:b w:val="0"/>
                <w:bCs w:val="0"/>
                <w:sz w:val="20"/>
              </w:rPr>
            </w:pPr>
          </w:p>
        </w:tc>
        <w:tc>
          <w:tcPr>
            <w:tcW w:w="2800" w:type="dxa"/>
            <w:shd w:val="clear" w:color="auto" w:fill="F8ABFF"/>
          </w:tcPr>
          <w:p w14:paraId="5500587D" w14:textId="02907D5C" w:rsidR="002D1CCA" w:rsidRPr="00786B05" w:rsidRDefault="002D1CCA" w:rsidP="00276CEB">
            <w:pPr>
              <w:pStyle w:val="FigureTitle"/>
              <w:spacing w:before="20" w:after="20" w:line="240" w:lineRule="auto"/>
              <w:ind w:left="0"/>
              <w:contextualSpacing w:val="0"/>
              <w:jc w:val="center"/>
              <w:rPr>
                <w:b w:val="0"/>
                <w:bCs w:val="0"/>
                <w:sz w:val="20"/>
              </w:rPr>
            </w:pPr>
            <w:r w:rsidRPr="00786B05">
              <w:rPr>
                <w:b w:val="0"/>
                <w:bCs w:val="0"/>
                <w:sz w:val="20"/>
              </w:rPr>
              <w:t>90000</w:t>
            </w:r>
          </w:p>
        </w:tc>
        <w:tc>
          <w:tcPr>
            <w:tcW w:w="827" w:type="dxa"/>
            <w:shd w:val="clear" w:color="auto" w:fill="F8ABFF"/>
          </w:tcPr>
          <w:p w14:paraId="094F93B2" w14:textId="77777777" w:rsidR="002D1CCA" w:rsidRPr="00786B05" w:rsidRDefault="002D1CCA" w:rsidP="00276CEB">
            <w:pPr>
              <w:pStyle w:val="FigureTitle"/>
              <w:spacing w:before="20" w:after="20" w:line="240" w:lineRule="auto"/>
              <w:ind w:left="0"/>
              <w:contextualSpacing w:val="0"/>
              <w:jc w:val="center"/>
              <w:rPr>
                <w:b w:val="0"/>
                <w:bCs w:val="0"/>
                <w:sz w:val="20"/>
              </w:rPr>
            </w:pPr>
          </w:p>
        </w:tc>
        <w:tc>
          <w:tcPr>
            <w:tcW w:w="1508" w:type="dxa"/>
            <w:shd w:val="clear" w:color="auto" w:fill="F8ABFF"/>
          </w:tcPr>
          <w:p w14:paraId="3FF1DBC1" w14:textId="0A8FA253" w:rsidR="002D1CCA" w:rsidRPr="00786B05" w:rsidRDefault="002D1CCA" w:rsidP="00276CEB">
            <w:pPr>
              <w:pStyle w:val="FigureTitle"/>
              <w:spacing w:before="20" w:after="20" w:line="240" w:lineRule="auto"/>
              <w:ind w:left="0"/>
              <w:contextualSpacing w:val="0"/>
              <w:jc w:val="center"/>
              <w:rPr>
                <w:b w:val="0"/>
                <w:bCs w:val="0"/>
                <w:sz w:val="20"/>
              </w:rPr>
            </w:pPr>
            <w:r w:rsidRPr="00786B05">
              <w:rPr>
                <w:b w:val="0"/>
                <w:bCs w:val="0"/>
                <w:sz w:val="20"/>
              </w:rPr>
              <w:t>70000</w:t>
            </w:r>
          </w:p>
        </w:tc>
      </w:tr>
      <w:tr w:rsidR="002D1CCA" w:rsidRPr="00786B05" w14:paraId="41519B1E" w14:textId="3C884465" w:rsidTr="001546EF">
        <w:tc>
          <w:tcPr>
            <w:tcW w:w="1697" w:type="dxa"/>
          </w:tcPr>
          <w:p w14:paraId="0EFA46B9" w14:textId="3B86A1DD" w:rsidR="002D1CCA" w:rsidRPr="00786B05" w:rsidRDefault="002D1CCA" w:rsidP="00276CEB">
            <w:pPr>
              <w:pStyle w:val="FigureTitle"/>
              <w:spacing w:before="20" w:after="20" w:line="240" w:lineRule="auto"/>
              <w:ind w:left="0"/>
              <w:contextualSpacing w:val="0"/>
              <w:jc w:val="center"/>
              <w:rPr>
                <w:b w:val="0"/>
                <w:bCs w:val="0"/>
                <w:sz w:val="20"/>
              </w:rPr>
            </w:pPr>
            <w:r w:rsidRPr="00786B05">
              <w:rPr>
                <w:b w:val="0"/>
                <w:bCs w:val="0"/>
                <w:sz w:val="20"/>
              </w:rPr>
              <w:t>Functional System</w:t>
            </w:r>
          </w:p>
        </w:tc>
        <w:tc>
          <w:tcPr>
            <w:tcW w:w="1885" w:type="dxa"/>
            <w:shd w:val="clear" w:color="auto" w:fill="FFC000"/>
          </w:tcPr>
          <w:p w14:paraId="3277EF4A" w14:textId="43530CD7" w:rsidR="002D1CCA" w:rsidRPr="00786B05" w:rsidRDefault="002D1CCA" w:rsidP="00276CEB">
            <w:pPr>
              <w:pStyle w:val="FigureTitle"/>
              <w:spacing w:before="20" w:after="20" w:line="240" w:lineRule="auto"/>
              <w:ind w:left="0"/>
              <w:contextualSpacing w:val="0"/>
              <w:jc w:val="center"/>
              <w:rPr>
                <w:b w:val="0"/>
                <w:bCs w:val="0"/>
                <w:sz w:val="20"/>
              </w:rPr>
            </w:pPr>
            <w:r w:rsidRPr="00786B05">
              <w:rPr>
                <w:b w:val="0"/>
                <w:bCs w:val="0"/>
                <w:sz w:val="20"/>
              </w:rPr>
              <w:t>2</w:t>
            </w:r>
          </w:p>
        </w:tc>
        <w:tc>
          <w:tcPr>
            <w:tcW w:w="633" w:type="dxa"/>
            <w:shd w:val="clear" w:color="auto" w:fill="FFC000"/>
          </w:tcPr>
          <w:p w14:paraId="3E23B9AF" w14:textId="77777777" w:rsidR="002D1CCA" w:rsidRPr="00786B05" w:rsidRDefault="002D1CCA" w:rsidP="00276CEB">
            <w:pPr>
              <w:pStyle w:val="FigureTitle"/>
              <w:spacing w:before="20" w:after="20" w:line="240" w:lineRule="auto"/>
              <w:ind w:left="0"/>
              <w:contextualSpacing w:val="0"/>
              <w:jc w:val="center"/>
              <w:rPr>
                <w:b w:val="0"/>
                <w:bCs w:val="0"/>
                <w:sz w:val="20"/>
              </w:rPr>
            </w:pPr>
          </w:p>
        </w:tc>
        <w:tc>
          <w:tcPr>
            <w:tcW w:w="2800" w:type="dxa"/>
            <w:shd w:val="clear" w:color="auto" w:fill="FFC000"/>
          </w:tcPr>
          <w:p w14:paraId="7B973335" w14:textId="49328517" w:rsidR="002D1CCA" w:rsidRPr="00786B05" w:rsidRDefault="002D1CCA" w:rsidP="00276CEB">
            <w:pPr>
              <w:pStyle w:val="FigureTitle"/>
              <w:spacing w:before="20" w:after="20" w:line="240" w:lineRule="auto"/>
              <w:ind w:left="0"/>
              <w:contextualSpacing w:val="0"/>
              <w:jc w:val="center"/>
              <w:rPr>
                <w:b w:val="0"/>
                <w:bCs w:val="0"/>
                <w:sz w:val="20"/>
              </w:rPr>
            </w:pPr>
            <w:r w:rsidRPr="00786B05">
              <w:rPr>
                <w:b w:val="0"/>
                <w:bCs w:val="0"/>
                <w:sz w:val="20"/>
              </w:rPr>
              <w:t>1</w:t>
            </w:r>
          </w:p>
        </w:tc>
        <w:tc>
          <w:tcPr>
            <w:tcW w:w="827" w:type="dxa"/>
            <w:shd w:val="clear" w:color="auto" w:fill="FFC000"/>
          </w:tcPr>
          <w:p w14:paraId="729460C7" w14:textId="77777777" w:rsidR="002D1CCA" w:rsidRPr="00786B05" w:rsidRDefault="002D1CCA" w:rsidP="00276CEB">
            <w:pPr>
              <w:pStyle w:val="FigureTitle"/>
              <w:spacing w:before="20" w:after="20" w:line="240" w:lineRule="auto"/>
              <w:ind w:left="0"/>
              <w:contextualSpacing w:val="0"/>
              <w:jc w:val="center"/>
              <w:rPr>
                <w:b w:val="0"/>
                <w:bCs w:val="0"/>
                <w:sz w:val="20"/>
              </w:rPr>
            </w:pPr>
          </w:p>
        </w:tc>
        <w:tc>
          <w:tcPr>
            <w:tcW w:w="1508" w:type="dxa"/>
            <w:shd w:val="clear" w:color="auto" w:fill="FFC000"/>
          </w:tcPr>
          <w:p w14:paraId="52B4A2E5" w14:textId="322890E8" w:rsidR="002D1CCA" w:rsidRPr="00786B05" w:rsidRDefault="002D1CCA" w:rsidP="00276CEB">
            <w:pPr>
              <w:pStyle w:val="FigureTitle"/>
              <w:spacing w:before="20" w:after="20" w:line="240" w:lineRule="auto"/>
              <w:ind w:left="0"/>
              <w:contextualSpacing w:val="0"/>
              <w:jc w:val="center"/>
              <w:rPr>
                <w:b w:val="0"/>
                <w:bCs w:val="0"/>
                <w:sz w:val="20"/>
              </w:rPr>
            </w:pPr>
            <w:r w:rsidRPr="00786B05">
              <w:rPr>
                <w:b w:val="0"/>
                <w:bCs w:val="0"/>
                <w:sz w:val="20"/>
              </w:rPr>
              <w:t>2</w:t>
            </w:r>
          </w:p>
        </w:tc>
      </w:tr>
      <w:tr w:rsidR="002D1CCA" w:rsidRPr="00786B05" w14:paraId="2B8A1983" w14:textId="76D9FA9D" w:rsidTr="001546EF">
        <w:tc>
          <w:tcPr>
            <w:tcW w:w="1697" w:type="dxa"/>
          </w:tcPr>
          <w:p w14:paraId="72B8AC3B" w14:textId="76F3110B" w:rsidR="002D1CCA" w:rsidRPr="00786B05" w:rsidRDefault="002D1CCA" w:rsidP="00276CEB">
            <w:pPr>
              <w:pStyle w:val="FigureTitle"/>
              <w:spacing w:before="20" w:after="20" w:line="240" w:lineRule="auto"/>
              <w:ind w:left="0"/>
              <w:contextualSpacing w:val="0"/>
              <w:jc w:val="center"/>
              <w:rPr>
                <w:b w:val="0"/>
                <w:bCs w:val="0"/>
                <w:sz w:val="20"/>
              </w:rPr>
            </w:pPr>
            <w:r w:rsidRPr="00786B05">
              <w:rPr>
                <w:b w:val="0"/>
                <w:bCs w:val="0"/>
                <w:sz w:val="20"/>
              </w:rPr>
              <w:t>Through Lanes</w:t>
            </w:r>
          </w:p>
        </w:tc>
        <w:tc>
          <w:tcPr>
            <w:tcW w:w="1885" w:type="dxa"/>
            <w:shd w:val="clear" w:color="auto" w:fill="F4B083" w:themeFill="accent2" w:themeFillTint="99"/>
          </w:tcPr>
          <w:p w14:paraId="31B44793" w14:textId="642060E8" w:rsidR="002D1CCA" w:rsidRPr="00786B05" w:rsidRDefault="002D1CCA" w:rsidP="00276CEB">
            <w:pPr>
              <w:pStyle w:val="FigureTitle"/>
              <w:spacing w:before="20" w:after="20" w:line="240" w:lineRule="auto"/>
              <w:ind w:left="0"/>
              <w:contextualSpacing w:val="0"/>
              <w:jc w:val="center"/>
              <w:rPr>
                <w:b w:val="0"/>
                <w:bCs w:val="0"/>
                <w:sz w:val="20"/>
              </w:rPr>
            </w:pPr>
            <w:r w:rsidRPr="00786B05">
              <w:rPr>
                <w:b w:val="0"/>
                <w:bCs w:val="0"/>
                <w:sz w:val="20"/>
              </w:rPr>
              <w:t>6</w:t>
            </w:r>
          </w:p>
        </w:tc>
        <w:tc>
          <w:tcPr>
            <w:tcW w:w="633" w:type="dxa"/>
            <w:shd w:val="clear" w:color="auto" w:fill="F4B083" w:themeFill="accent2" w:themeFillTint="99"/>
          </w:tcPr>
          <w:p w14:paraId="6C2A9ADB" w14:textId="77777777" w:rsidR="002D1CCA" w:rsidRPr="00786B05" w:rsidRDefault="002D1CCA" w:rsidP="00276CEB">
            <w:pPr>
              <w:pStyle w:val="FigureTitle"/>
              <w:spacing w:before="20" w:after="20" w:line="240" w:lineRule="auto"/>
              <w:ind w:left="0"/>
              <w:contextualSpacing w:val="0"/>
              <w:jc w:val="center"/>
              <w:rPr>
                <w:b w:val="0"/>
                <w:bCs w:val="0"/>
                <w:sz w:val="20"/>
              </w:rPr>
            </w:pPr>
          </w:p>
        </w:tc>
        <w:tc>
          <w:tcPr>
            <w:tcW w:w="2800" w:type="dxa"/>
            <w:shd w:val="clear" w:color="auto" w:fill="F4B083" w:themeFill="accent2" w:themeFillTint="99"/>
          </w:tcPr>
          <w:p w14:paraId="3983B633" w14:textId="594BEE0B" w:rsidR="002D1CCA" w:rsidRPr="00786B05" w:rsidRDefault="002D1CCA" w:rsidP="00276CEB">
            <w:pPr>
              <w:pStyle w:val="FigureTitle"/>
              <w:spacing w:before="20" w:after="20" w:line="240" w:lineRule="auto"/>
              <w:ind w:left="0"/>
              <w:contextualSpacing w:val="0"/>
              <w:jc w:val="center"/>
              <w:rPr>
                <w:b w:val="0"/>
                <w:bCs w:val="0"/>
                <w:sz w:val="20"/>
              </w:rPr>
            </w:pPr>
            <w:r w:rsidRPr="00786B05">
              <w:rPr>
                <w:b w:val="0"/>
                <w:bCs w:val="0"/>
                <w:sz w:val="20"/>
              </w:rPr>
              <w:t>8</w:t>
            </w:r>
          </w:p>
        </w:tc>
        <w:tc>
          <w:tcPr>
            <w:tcW w:w="827" w:type="dxa"/>
            <w:shd w:val="clear" w:color="auto" w:fill="F4B083" w:themeFill="accent2" w:themeFillTint="99"/>
          </w:tcPr>
          <w:p w14:paraId="0CF19913" w14:textId="77777777" w:rsidR="002D1CCA" w:rsidRPr="00786B05" w:rsidRDefault="002D1CCA" w:rsidP="00276CEB">
            <w:pPr>
              <w:pStyle w:val="FigureTitle"/>
              <w:spacing w:before="20" w:after="20" w:line="240" w:lineRule="auto"/>
              <w:ind w:left="0"/>
              <w:contextualSpacing w:val="0"/>
              <w:jc w:val="center"/>
              <w:rPr>
                <w:b w:val="0"/>
                <w:bCs w:val="0"/>
                <w:sz w:val="20"/>
              </w:rPr>
            </w:pPr>
          </w:p>
        </w:tc>
        <w:tc>
          <w:tcPr>
            <w:tcW w:w="1508" w:type="dxa"/>
            <w:shd w:val="clear" w:color="auto" w:fill="F4B083" w:themeFill="accent2" w:themeFillTint="99"/>
          </w:tcPr>
          <w:p w14:paraId="2370478E" w14:textId="50F80D10" w:rsidR="002D1CCA" w:rsidRPr="00786B05" w:rsidRDefault="002D1CCA" w:rsidP="00276CEB">
            <w:pPr>
              <w:pStyle w:val="FigureTitle"/>
              <w:spacing w:before="20" w:after="20" w:line="240" w:lineRule="auto"/>
              <w:ind w:left="0"/>
              <w:contextualSpacing w:val="0"/>
              <w:jc w:val="center"/>
              <w:rPr>
                <w:b w:val="0"/>
                <w:bCs w:val="0"/>
                <w:sz w:val="20"/>
              </w:rPr>
            </w:pPr>
            <w:r w:rsidRPr="00786B05">
              <w:rPr>
                <w:b w:val="0"/>
                <w:bCs w:val="0"/>
                <w:sz w:val="20"/>
              </w:rPr>
              <w:t>6</w:t>
            </w:r>
          </w:p>
        </w:tc>
      </w:tr>
      <w:tr w:rsidR="002D1CCA" w:rsidRPr="00786B05" w14:paraId="4F514A93" w14:textId="2575E96E" w:rsidTr="001546EF">
        <w:tc>
          <w:tcPr>
            <w:tcW w:w="1697" w:type="dxa"/>
          </w:tcPr>
          <w:p w14:paraId="6C01857D" w14:textId="4AEC13CF" w:rsidR="002D1CCA" w:rsidRPr="00786B05" w:rsidRDefault="002D1CCA" w:rsidP="00276CEB">
            <w:pPr>
              <w:pStyle w:val="FigureTitle"/>
              <w:spacing w:before="20" w:after="20" w:line="240" w:lineRule="auto"/>
              <w:ind w:left="0"/>
              <w:contextualSpacing w:val="0"/>
              <w:jc w:val="center"/>
              <w:rPr>
                <w:b w:val="0"/>
                <w:bCs w:val="0"/>
                <w:sz w:val="20"/>
              </w:rPr>
            </w:pPr>
            <w:r w:rsidRPr="00786B05">
              <w:rPr>
                <w:b w:val="0"/>
                <w:bCs w:val="0"/>
                <w:sz w:val="20"/>
              </w:rPr>
              <w:t>Urban Code</w:t>
            </w:r>
          </w:p>
        </w:tc>
        <w:tc>
          <w:tcPr>
            <w:tcW w:w="1885" w:type="dxa"/>
            <w:shd w:val="clear" w:color="auto" w:fill="AFE0C3"/>
          </w:tcPr>
          <w:p w14:paraId="116AF084" w14:textId="77777777" w:rsidR="002D1CCA" w:rsidRPr="00786B05" w:rsidRDefault="002D1CCA" w:rsidP="00276CEB">
            <w:pPr>
              <w:pStyle w:val="FigureTitle"/>
              <w:spacing w:before="20" w:after="20" w:line="240" w:lineRule="auto"/>
              <w:ind w:left="0"/>
              <w:contextualSpacing w:val="0"/>
              <w:jc w:val="center"/>
              <w:rPr>
                <w:b w:val="0"/>
                <w:bCs w:val="0"/>
                <w:sz w:val="20"/>
              </w:rPr>
            </w:pPr>
          </w:p>
        </w:tc>
        <w:tc>
          <w:tcPr>
            <w:tcW w:w="633" w:type="dxa"/>
            <w:shd w:val="clear" w:color="auto" w:fill="AFE0C3"/>
          </w:tcPr>
          <w:p w14:paraId="4E99C534" w14:textId="77777777" w:rsidR="002D1CCA" w:rsidRPr="00786B05" w:rsidRDefault="002D1CCA" w:rsidP="00276CEB">
            <w:pPr>
              <w:pStyle w:val="FigureTitle"/>
              <w:spacing w:before="20" w:after="20" w:line="240" w:lineRule="auto"/>
              <w:ind w:left="0"/>
              <w:contextualSpacing w:val="0"/>
              <w:jc w:val="center"/>
              <w:rPr>
                <w:b w:val="0"/>
                <w:bCs w:val="0"/>
                <w:sz w:val="20"/>
              </w:rPr>
            </w:pPr>
          </w:p>
        </w:tc>
        <w:tc>
          <w:tcPr>
            <w:tcW w:w="2800" w:type="dxa"/>
            <w:shd w:val="clear" w:color="auto" w:fill="AFE0C3"/>
          </w:tcPr>
          <w:p w14:paraId="7C2F4024" w14:textId="57169A06" w:rsidR="002D1CCA" w:rsidRPr="00786B05" w:rsidRDefault="002D1CCA" w:rsidP="00276CEB">
            <w:pPr>
              <w:pStyle w:val="FigureTitle"/>
              <w:spacing w:before="20" w:after="20" w:line="240" w:lineRule="auto"/>
              <w:ind w:left="0"/>
              <w:contextualSpacing w:val="0"/>
              <w:jc w:val="center"/>
              <w:rPr>
                <w:b w:val="0"/>
                <w:bCs w:val="0"/>
                <w:sz w:val="20"/>
              </w:rPr>
            </w:pPr>
            <w:r w:rsidRPr="00786B05">
              <w:rPr>
                <w:b w:val="0"/>
                <w:bCs w:val="0"/>
                <w:sz w:val="20"/>
              </w:rPr>
              <w:t>9645</w:t>
            </w:r>
          </w:p>
        </w:tc>
        <w:tc>
          <w:tcPr>
            <w:tcW w:w="827" w:type="dxa"/>
            <w:shd w:val="clear" w:color="auto" w:fill="AFE0C3"/>
          </w:tcPr>
          <w:p w14:paraId="3BBCA6A1" w14:textId="77777777" w:rsidR="002D1CCA" w:rsidRPr="00786B05" w:rsidRDefault="002D1CCA" w:rsidP="00276CEB">
            <w:pPr>
              <w:pStyle w:val="FigureTitle"/>
              <w:spacing w:before="20" w:after="20" w:line="240" w:lineRule="auto"/>
              <w:ind w:left="0"/>
              <w:contextualSpacing w:val="0"/>
              <w:jc w:val="center"/>
              <w:rPr>
                <w:b w:val="0"/>
                <w:bCs w:val="0"/>
                <w:sz w:val="20"/>
              </w:rPr>
            </w:pPr>
          </w:p>
        </w:tc>
        <w:tc>
          <w:tcPr>
            <w:tcW w:w="1508" w:type="dxa"/>
            <w:shd w:val="clear" w:color="auto" w:fill="AFE0C3"/>
          </w:tcPr>
          <w:p w14:paraId="3788E872" w14:textId="77777777" w:rsidR="002D1CCA" w:rsidRPr="00786B05" w:rsidRDefault="002D1CCA" w:rsidP="00276CEB">
            <w:pPr>
              <w:pStyle w:val="FigureTitle"/>
              <w:spacing w:before="20" w:after="20" w:line="240" w:lineRule="auto"/>
              <w:ind w:left="0"/>
              <w:contextualSpacing w:val="0"/>
              <w:jc w:val="center"/>
              <w:rPr>
                <w:b w:val="0"/>
                <w:bCs w:val="0"/>
                <w:sz w:val="20"/>
              </w:rPr>
            </w:pPr>
          </w:p>
        </w:tc>
      </w:tr>
      <w:tr w:rsidR="002D1CCA" w:rsidRPr="00786B05" w14:paraId="68E62D5C" w14:textId="1A4A1BD5" w:rsidTr="001546EF">
        <w:tc>
          <w:tcPr>
            <w:tcW w:w="1697" w:type="dxa"/>
          </w:tcPr>
          <w:p w14:paraId="7CA6CC4E" w14:textId="07136AA4" w:rsidR="002D1CCA" w:rsidRPr="00786B05" w:rsidRDefault="002D1CCA" w:rsidP="00276CEB">
            <w:pPr>
              <w:pStyle w:val="FigureTitle"/>
              <w:spacing w:before="20" w:after="20" w:line="240" w:lineRule="auto"/>
              <w:ind w:left="0"/>
              <w:contextualSpacing w:val="0"/>
              <w:jc w:val="center"/>
              <w:rPr>
                <w:b w:val="0"/>
                <w:bCs w:val="0"/>
                <w:sz w:val="20"/>
              </w:rPr>
            </w:pPr>
            <w:r w:rsidRPr="00786B05">
              <w:rPr>
                <w:b w:val="0"/>
                <w:bCs w:val="0"/>
                <w:sz w:val="20"/>
              </w:rPr>
              <w:t>Facility Type</w:t>
            </w:r>
          </w:p>
        </w:tc>
        <w:tc>
          <w:tcPr>
            <w:tcW w:w="1885" w:type="dxa"/>
            <w:shd w:val="clear" w:color="auto" w:fill="B4C6E7" w:themeFill="accent1" w:themeFillTint="66"/>
          </w:tcPr>
          <w:p w14:paraId="25F8C38C" w14:textId="77777777" w:rsidR="002D1CCA" w:rsidRPr="00786B05" w:rsidRDefault="002D1CCA" w:rsidP="00276CEB">
            <w:pPr>
              <w:pStyle w:val="FigureTitle"/>
              <w:spacing w:before="20" w:after="20" w:line="240" w:lineRule="auto"/>
              <w:ind w:left="0"/>
              <w:contextualSpacing w:val="0"/>
              <w:jc w:val="center"/>
              <w:rPr>
                <w:b w:val="0"/>
                <w:bCs w:val="0"/>
                <w:sz w:val="20"/>
              </w:rPr>
            </w:pPr>
          </w:p>
        </w:tc>
        <w:tc>
          <w:tcPr>
            <w:tcW w:w="633" w:type="dxa"/>
            <w:shd w:val="clear" w:color="auto" w:fill="B4C6E7" w:themeFill="accent1" w:themeFillTint="66"/>
          </w:tcPr>
          <w:p w14:paraId="5372AB66" w14:textId="77777777" w:rsidR="002D1CCA" w:rsidRPr="00786B05" w:rsidRDefault="002D1CCA" w:rsidP="00276CEB">
            <w:pPr>
              <w:pStyle w:val="FigureTitle"/>
              <w:spacing w:before="20" w:after="20" w:line="240" w:lineRule="auto"/>
              <w:ind w:left="0"/>
              <w:contextualSpacing w:val="0"/>
              <w:jc w:val="center"/>
              <w:rPr>
                <w:b w:val="0"/>
                <w:bCs w:val="0"/>
                <w:sz w:val="20"/>
              </w:rPr>
            </w:pPr>
          </w:p>
        </w:tc>
        <w:tc>
          <w:tcPr>
            <w:tcW w:w="2800" w:type="dxa"/>
            <w:shd w:val="clear" w:color="auto" w:fill="B4C6E7" w:themeFill="accent1" w:themeFillTint="66"/>
          </w:tcPr>
          <w:p w14:paraId="71264437" w14:textId="191FC820" w:rsidR="002D1CCA" w:rsidRPr="00786B05" w:rsidRDefault="002D1CCA" w:rsidP="00276CEB">
            <w:pPr>
              <w:pStyle w:val="FigureTitle"/>
              <w:spacing w:before="20" w:after="20" w:line="240" w:lineRule="auto"/>
              <w:ind w:left="0"/>
              <w:contextualSpacing w:val="0"/>
              <w:jc w:val="center"/>
              <w:rPr>
                <w:b w:val="0"/>
                <w:bCs w:val="0"/>
                <w:sz w:val="20"/>
              </w:rPr>
            </w:pPr>
            <w:r w:rsidRPr="00786B05">
              <w:rPr>
                <w:b w:val="0"/>
                <w:bCs w:val="0"/>
                <w:sz w:val="20"/>
              </w:rPr>
              <w:t>2</w:t>
            </w:r>
          </w:p>
        </w:tc>
        <w:tc>
          <w:tcPr>
            <w:tcW w:w="827" w:type="dxa"/>
            <w:shd w:val="clear" w:color="auto" w:fill="B4C6E7" w:themeFill="accent1" w:themeFillTint="66"/>
          </w:tcPr>
          <w:p w14:paraId="6413DBDA" w14:textId="77777777" w:rsidR="002D1CCA" w:rsidRPr="00786B05" w:rsidRDefault="002D1CCA" w:rsidP="00276CEB">
            <w:pPr>
              <w:pStyle w:val="FigureTitle"/>
              <w:spacing w:before="20" w:after="20" w:line="240" w:lineRule="auto"/>
              <w:ind w:left="0"/>
              <w:contextualSpacing w:val="0"/>
              <w:jc w:val="center"/>
              <w:rPr>
                <w:b w:val="0"/>
                <w:bCs w:val="0"/>
                <w:sz w:val="20"/>
              </w:rPr>
            </w:pPr>
          </w:p>
        </w:tc>
        <w:tc>
          <w:tcPr>
            <w:tcW w:w="1508" w:type="dxa"/>
            <w:shd w:val="clear" w:color="auto" w:fill="B4C6E7" w:themeFill="accent1" w:themeFillTint="66"/>
          </w:tcPr>
          <w:p w14:paraId="281A799F" w14:textId="77777777" w:rsidR="002D1CCA" w:rsidRPr="00786B05" w:rsidRDefault="002D1CCA" w:rsidP="00276CEB">
            <w:pPr>
              <w:pStyle w:val="FigureTitle"/>
              <w:spacing w:before="20" w:after="20" w:line="240" w:lineRule="auto"/>
              <w:ind w:left="0"/>
              <w:contextualSpacing w:val="0"/>
              <w:jc w:val="center"/>
              <w:rPr>
                <w:b w:val="0"/>
                <w:bCs w:val="0"/>
                <w:sz w:val="20"/>
              </w:rPr>
            </w:pPr>
          </w:p>
        </w:tc>
      </w:tr>
      <w:tr w:rsidR="002D1CCA" w:rsidRPr="00786B05" w14:paraId="70A7E146" w14:textId="1AB887EE" w:rsidTr="001546EF">
        <w:tc>
          <w:tcPr>
            <w:tcW w:w="1697" w:type="dxa"/>
          </w:tcPr>
          <w:p w14:paraId="6167033A" w14:textId="7C3FEA36" w:rsidR="002D1CCA" w:rsidRPr="00786B05" w:rsidRDefault="002D1CCA" w:rsidP="00276CEB">
            <w:pPr>
              <w:pStyle w:val="FigureTitle"/>
              <w:spacing w:before="20" w:after="20" w:line="240" w:lineRule="auto"/>
              <w:ind w:left="0"/>
              <w:contextualSpacing w:val="0"/>
              <w:jc w:val="center"/>
              <w:rPr>
                <w:b w:val="0"/>
                <w:bCs w:val="0"/>
                <w:sz w:val="20"/>
              </w:rPr>
            </w:pPr>
            <w:r w:rsidRPr="00786B05">
              <w:rPr>
                <w:b w:val="0"/>
                <w:bCs w:val="0"/>
                <w:sz w:val="20"/>
              </w:rPr>
              <w:t>Route ABC TOPS</w:t>
            </w:r>
          </w:p>
        </w:tc>
        <w:tc>
          <w:tcPr>
            <w:tcW w:w="1885" w:type="dxa"/>
            <w:shd w:val="clear" w:color="auto" w:fill="92D050"/>
          </w:tcPr>
          <w:p w14:paraId="47F3BBFC" w14:textId="49541FD8" w:rsidR="002D1CCA" w:rsidRPr="00786B05" w:rsidRDefault="002D1CCA" w:rsidP="00276CEB">
            <w:pPr>
              <w:pStyle w:val="FigureTitle"/>
              <w:spacing w:before="20" w:after="20" w:line="240" w:lineRule="auto"/>
              <w:ind w:left="0"/>
              <w:contextualSpacing w:val="0"/>
              <w:jc w:val="center"/>
              <w:rPr>
                <w:b w:val="0"/>
                <w:bCs w:val="0"/>
                <w:sz w:val="20"/>
              </w:rPr>
            </w:pPr>
            <w:r w:rsidRPr="00786B05">
              <w:rPr>
                <w:b w:val="0"/>
                <w:bCs w:val="0"/>
                <w:sz w:val="20"/>
              </w:rPr>
              <w:t>A</w:t>
            </w:r>
          </w:p>
        </w:tc>
        <w:tc>
          <w:tcPr>
            <w:tcW w:w="633" w:type="dxa"/>
          </w:tcPr>
          <w:p w14:paraId="6C7F8C4F" w14:textId="2ADF2C31" w:rsidR="002D1CCA" w:rsidRPr="00786B05" w:rsidRDefault="002D1CCA" w:rsidP="00276CEB">
            <w:pPr>
              <w:pStyle w:val="FigureTitle"/>
              <w:spacing w:before="20" w:after="20" w:line="240" w:lineRule="auto"/>
              <w:ind w:left="0"/>
              <w:contextualSpacing w:val="0"/>
              <w:jc w:val="center"/>
              <w:rPr>
                <w:b w:val="0"/>
                <w:bCs w:val="0"/>
                <w:sz w:val="20"/>
              </w:rPr>
            </w:pPr>
            <w:r w:rsidRPr="00786B05">
              <w:rPr>
                <w:b w:val="0"/>
                <w:bCs w:val="0"/>
                <w:sz w:val="20"/>
              </w:rPr>
              <w:t>B</w:t>
            </w:r>
          </w:p>
        </w:tc>
        <w:tc>
          <w:tcPr>
            <w:tcW w:w="2800" w:type="dxa"/>
            <w:shd w:val="clear" w:color="auto" w:fill="92D050"/>
          </w:tcPr>
          <w:p w14:paraId="7436A3C3" w14:textId="4EAF29F8" w:rsidR="002D1CCA" w:rsidRPr="00786B05" w:rsidRDefault="002D1CCA" w:rsidP="00276CEB">
            <w:pPr>
              <w:pStyle w:val="FigureTitle"/>
              <w:spacing w:before="20" w:after="20" w:line="240" w:lineRule="auto"/>
              <w:ind w:left="0"/>
              <w:contextualSpacing w:val="0"/>
              <w:jc w:val="center"/>
              <w:rPr>
                <w:b w:val="0"/>
                <w:bCs w:val="0"/>
                <w:sz w:val="20"/>
              </w:rPr>
            </w:pPr>
            <w:r w:rsidRPr="00786B05">
              <w:rPr>
                <w:b w:val="0"/>
                <w:bCs w:val="0"/>
                <w:sz w:val="20"/>
              </w:rPr>
              <w:t>C</w:t>
            </w:r>
          </w:p>
        </w:tc>
        <w:tc>
          <w:tcPr>
            <w:tcW w:w="827" w:type="dxa"/>
          </w:tcPr>
          <w:p w14:paraId="6F3573C9" w14:textId="13118511" w:rsidR="002D1CCA" w:rsidRPr="00786B05" w:rsidRDefault="002D1CCA" w:rsidP="00276CEB">
            <w:pPr>
              <w:pStyle w:val="FigureTitle"/>
              <w:spacing w:before="20" w:after="20" w:line="240" w:lineRule="auto"/>
              <w:ind w:left="0"/>
              <w:contextualSpacing w:val="0"/>
              <w:jc w:val="center"/>
              <w:rPr>
                <w:b w:val="0"/>
                <w:bCs w:val="0"/>
                <w:sz w:val="20"/>
              </w:rPr>
            </w:pPr>
            <w:r w:rsidRPr="00786B05">
              <w:rPr>
                <w:b w:val="0"/>
                <w:bCs w:val="0"/>
                <w:sz w:val="20"/>
              </w:rPr>
              <w:t>D</w:t>
            </w:r>
          </w:p>
        </w:tc>
        <w:tc>
          <w:tcPr>
            <w:tcW w:w="1508" w:type="dxa"/>
            <w:shd w:val="clear" w:color="auto" w:fill="92D050"/>
          </w:tcPr>
          <w:p w14:paraId="34436DA8" w14:textId="222A8AE2" w:rsidR="002D1CCA" w:rsidRPr="00786B05" w:rsidRDefault="002D1CCA" w:rsidP="00276CEB">
            <w:pPr>
              <w:pStyle w:val="FigureTitle"/>
              <w:spacing w:before="20" w:after="20" w:line="240" w:lineRule="auto"/>
              <w:ind w:left="0"/>
              <w:contextualSpacing w:val="0"/>
              <w:jc w:val="center"/>
              <w:rPr>
                <w:b w:val="0"/>
                <w:bCs w:val="0"/>
                <w:sz w:val="20"/>
              </w:rPr>
            </w:pPr>
            <w:r w:rsidRPr="00786B05">
              <w:rPr>
                <w:b w:val="0"/>
                <w:bCs w:val="0"/>
                <w:sz w:val="20"/>
              </w:rPr>
              <w:t>E</w:t>
            </w:r>
          </w:p>
        </w:tc>
      </w:tr>
      <w:tr w:rsidR="002D1CCA" w:rsidRPr="00786B05" w14:paraId="35DDB419" w14:textId="19D2A8B7" w:rsidTr="001546EF">
        <w:tc>
          <w:tcPr>
            <w:tcW w:w="1697" w:type="dxa"/>
          </w:tcPr>
          <w:p w14:paraId="737A32FD" w14:textId="1036EFD1" w:rsidR="002D1CCA" w:rsidRPr="00786B05" w:rsidRDefault="002D1CCA" w:rsidP="00276CEB">
            <w:pPr>
              <w:pStyle w:val="FigureTitle"/>
              <w:spacing w:before="20" w:after="20" w:line="240" w:lineRule="auto"/>
              <w:ind w:left="0"/>
              <w:contextualSpacing w:val="0"/>
              <w:jc w:val="center"/>
              <w:rPr>
                <w:b w:val="0"/>
                <w:bCs w:val="0"/>
                <w:sz w:val="20"/>
              </w:rPr>
            </w:pPr>
            <w:r w:rsidRPr="00786B05">
              <w:rPr>
                <w:b w:val="0"/>
                <w:bCs w:val="0"/>
                <w:sz w:val="20"/>
              </w:rPr>
              <w:t>Distance</w:t>
            </w:r>
          </w:p>
        </w:tc>
        <w:tc>
          <w:tcPr>
            <w:tcW w:w="1885" w:type="dxa"/>
          </w:tcPr>
          <w:p w14:paraId="3202F7CA" w14:textId="33CFA7E1" w:rsidR="002D1CCA" w:rsidRPr="00786B05" w:rsidRDefault="002D1CCA" w:rsidP="00D6698F">
            <w:pPr>
              <w:pStyle w:val="FigureTitle"/>
              <w:tabs>
                <w:tab w:val="right" w:pos="1616"/>
              </w:tabs>
              <w:spacing w:before="20" w:after="20" w:line="240" w:lineRule="auto"/>
              <w:ind w:left="0"/>
              <w:contextualSpacing w:val="0"/>
              <w:rPr>
                <w:b w:val="0"/>
                <w:bCs w:val="0"/>
                <w:sz w:val="20"/>
              </w:rPr>
            </w:pPr>
            <w:r w:rsidRPr="00786B05">
              <w:rPr>
                <w:b w:val="0"/>
                <w:bCs w:val="0"/>
                <w:sz w:val="20"/>
              </w:rPr>
              <w:t>0 mile</w:t>
            </w:r>
            <w:r w:rsidR="00D6698F">
              <w:rPr>
                <w:b w:val="0"/>
                <w:bCs w:val="0"/>
                <w:sz w:val="20"/>
              </w:rPr>
              <w:tab/>
            </w:r>
            <w:r w:rsidRPr="00786B05">
              <w:rPr>
                <w:b w:val="0"/>
                <w:bCs w:val="0"/>
                <w:sz w:val="20"/>
              </w:rPr>
              <w:t>8 Mile</w:t>
            </w:r>
          </w:p>
        </w:tc>
        <w:tc>
          <w:tcPr>
            <w:tcW w:w="633" w:type="dxa"/>
          </w:tcPr>
          <w:p w14:paraId="36E8DF2B" w14:textId="77777777" w:rsidR="002D1CCA" w:rsidRPr="00786B05" w:rsidRDefault="002D1CCA" w:rsidP="00276CEB">
            <w:pPr>
              <w:pStyle w:val="FigureTitle"/>
              <w:spacing w:before="20" w:after="20" w:line="240" w:lineRule="auto"/>
              <w:ind w:left="0"/>
              <w:contextualSpacing w:val="0"/>
              <w:jc w:val="center"/>
              <w:rPr>
                <w:b w:val="0"/>
                <w:bCs w:val="0"/>
                <w:sz w:val="20"/>
              </w:rPr>
            </w:pPr>
          </w:p>
        </w:tc>
        <w:tc>
          <w:tcPr>
            <w:tcW w:w="2800" w:type="dxa"/>
          </w:tcPr>
          <w:p w14:paraId="1EC645D9" w14:textId="720F1931" w:rsidR="002D1CCA" w:rsidRPr="00786B05" w:rsidRDefault="002D1CCA" w:rsidP="00D6698F">
            <w:pPr>
              <w:pStyle w:val="FigureTitle"/>
              <w:tabs>
                <w:tab w:val="right" w:pos="2585"/>
              </w:tabs>
              <w:spacing w:before="20" w:after="20" w:line="240" w:lineRule="auto"/>
              <w:ind w:left="0"/>
              <w:contextualSpacing w:val="0"/>
              <w:jc w:val="left"/>
              <w:rPr>
                <w:b w:val="0"/>
                <w:bCs w:val="0"/>
                <w:sz w:val="20"/>
              </w:rPr>
            </w:pPr>
            <w:r w:rsidRPr="00786B05">
              <w:rPr>
                <w:b w:val="0"/>
                <w:bCs w:val="0"/>
                <w:sz w:val="20"/>
              </w:rPr>
              <w:t>10 mile</w:t>
            </w:r>
            <w:r w:rsidR="00D6698F">
              <w:rPr>
                <w:b w:val="0"/>
                <w:bCs w:val="0"/>
                <w:sz w:val="20"/>
              </w:rPr>
              <w:tab/>
            </w:r>
            <w:r w:rsidRPr="00786B05">
              <w:rPr>
                <w:b w:val="0"/>
                <w:bCs w:val="0"/>
                <w:sz w:val="20"/>
              </w:rPr>
              <w:t>20 mile</w:t>
            </w:r>
          </w:p>
        </w:tc>
        <w:tc>
          <w:tcPr>
            <w:tcW w:w="827" w:type="dxa"/>
          </w:tcPr>
          <w:p w14:paraId="3772456A" w14:textId="2F9A75AD" w:rsidR="002D1CCA" w:rsidRPr="00786B05" w:rsidRDefault="002D1CCA" w:rsidP="00276CEB">
            <w:pPr>
              <w:pStyle w:val="FigureTitle"/>
              <w:spacing w:before="20" w:after="20" w:line="240" w:lineRule="auto"/>
              <w:ind w:left="0"/>
              <w:contextualSpacing w:val="0"/>
              <w:jc w:val="center"/>
              <w:rPr>
                <w:b w:val="0"/>
                <w:bCs w:val="0"/>
                <w:sz w:val="20"/>
              </w:rPr>
            </w:pPr>
            <w:r w:rsidRPr="00786B05">
              <w:rPr>
                <w:b w:val="0"/>
                <w:bCs w:val="0"/>
                <w:sz w:val="20"/>
              </w:rPr>
              <w:t>22 mile</w:t>
            </w:r>
          </w:p>
        </w:tc>
        <w:tc>
          <w:tcPr>
            <w:tcW w:w="1508" w:type="dxa"/>
          </w:tcPr>
          <w:p w14:paraId="419F306C" w14:textId="20893758" w:rsidR="002D1CCA" w:rsidRPr="00786B05" w:rsidRDefault="00D6698F" w:rsidP="00D6698F">
            <w:pPr>
              <w:pStyle w:val="FigureTitle"/>
              <w:tabs>
                <w:tab w:val="right" w:pos="1294"/>
              </w:tabs>
              <w:spacing w:before="20" w:after="20" w:line="240" w:lineRule="auto"/>
              <w:ind w:left="0"/>
              <w:contextualSpacing w:val="0"/>
              <w:jc w:val="center"/>
              <w:rPr>
                <w:b w:val="0"/>
                <w:bCs w:val="0"/>
                <w:sz w:val="20"/>
              </w:rPr>
            </w:pPr>
            <w:r>
              <w:rPr>
                <w:b w:val="0"/>
                <w:bCs w:val="0"/>
                <w:sz w:val="20"/>
              </w:rPr>
              <w:tab/>
            </w:r>
            <w:r w:rsidR="002D1CCA" w:rsidRPr="00786B05">
              <w:rPr>
                <w:b w:val="0"/>
                <w:bCs w:val="0"/>
                <w:sz w:val="20"/>
              </w:rPr>
              <w:t>26 mile</w:t>
            </w:r>
          </w:p>
        </w:tc>
      </w:tr>
    </w:tbl>
    <w:p w14:paraId="03624E82" w14:textId="35421326" w:rsidR="003F7B9F" w:rsidRDefault="003F7B9F" w:rsidP="00B854E1">
      <w:pPr>
        <w:pStyle w:val="Source"/>
      </w:pPr>
      <w:r>
        <w:t>Source:</w:t>
      </w:r>
      <w:r w:rsidR="0061163F">
        <w:t xml:space="preserve"> </w:t>
      </w:r>
      <w:r w:rsidR="00276CEB">
        <w:t xml:space="preserve"> </w:t>
      </w:r>
      <w:r>
        <w:t>HPMS Field Manual.</w:t>
      </w:r>
    </w:p>
    <w:p w14:paraId="094F5E4A" w14:textId="69E8646A" w:rsidR="00276CEB" w:rsidRDefault="00276CEB" w:rsidP="00276CEB">
      <w:pPr>
        <w:pStyle w:val="TMGFigureCaption"/>
      </w:pPr>
      <w:bookmarkStart w:id="3339" w:name="_Ref114753257"/>
      <w:bookmarkStart w:id="3340" w:name="_Toc114474809"/>
      <w:bookmarkStart w:id="3341" w:name="_Toc120626582"/>
      <w:r w:rsidRPr="00F252C6">
        <w:t xml:space="preserve">Figure </w:t>
      </w:r>
      <w:fldSimple w:instr=" STYLEREF 1 \s ">
        <w:r w:rsidR="00C07DF9">
          <w:rPr>
            <w:noProof/>
          </w:rPr>
          <w:t>5</w:t>
        </w:r>
      </w:fldSimple>
      <w:r>
        <w:noBreakHyphen/>
      </w:r>
      <w:fldSimple w:instr=" SEQ Figure \* ARABIC \s 1 ">
        <w:r w:rsidR="00C07DF9">
          <w:rPr>
            <w:noProof/>
          </w:rPr>
          <w:t>1</w:t>
        </w:r>
      </w:fldSimple>
      <w:bookmarkEnd w:id="3339"/>
      <w:r w:rsidR="007F2D82">
        <w:t>.</w:t>
      </w:r>
      <w:r w:rsidRPr="00F252C6">
        <w:t xml:space="preserve"> HPMS TOPS Development Process</w:t>
      </w:r>
      <w:bookmarkEnd w:id="3340"/>
      <w:bookmarkEnd w:id="3341"/>
    </w:p>
    <w:p w14:paraId="6D6A8274" w14:textId="2CA90275" w:rsidR="003F7B9F" w:rsidRPr="0014527D" w:rsidRDefault="003F7B9F" w:rsidP="00A35EAF">
      <w:pPr>
        <w:pStyle w:val="BodyText"/>
      </w:pPr>
      <w:r>
        <w:t xml:space="preserve">Out </w:t>
      </w:r>
      <w:r w:rsidRPr="0014527D">
        <w:t xml:space="preserve">of the five data elements listed above, </w:t>
      </w:r>
      <w:r w:rsidR="009531AC">
        <w:t>S</w:t>
      </w:r>
      <w:r w:rsidRPr="0014527D">
        <w:t>tates are typically organized such that the AADT comes from the traffic data program</w:t>
      </w:r>
      <w:r>
        <w:t>,</w:t>
      </w:r>
      <w:r w:rsidRPr="0014527D">
        <w:t xml:space="preserve"> and the other four data elements come from the road inventory data program. </w:t>
      </w:r>
      <w:r>
        <w:t>W</w:t>
      </w:r>
      <w:r w:rsidRPr="0014527D">
        <w:t>ork</w:t>
      </w:r>
      <w:r>
        <w:t>ing</w:t>
      </w:r>
      <w:r w:rsidRPr="0014527D">
        <w:t xml:space="preserve"> across these two programs to produce the HPMS statistics</w:t>
      </w:r>
      <w:r>
        <w:t xml:space="preserve"> is challenging. The f</w:t>
      </w:r>
      <w:r w:rsidRPr="0014527D">
        <w:t xml:space="preserve">ollowing </w:t>
      </w:r>
      <w:r>
        <w:t>is an example of this challenge.</w:t>
      </w:r>
    </w:p>
    <w:p w14:paraId="2A1B82F2" w14:textId="00048CAE" w:rsidR="003F7B9F" w:rsidRPr="00493977" w:rsidRDefault="003F7B9F" w:rsidP="00A35EAF">
      <w:pPr>
        <w:pStyle w:val="BodyText"/>
      </w:pPr>
      <w:r w:rsidRPr="00493977">
        <w:t>HPMS requires combining tabular traffic data attributes with geospatial linear referencing system attributes.</w:t>
      </w:r>
      <w:r w:rsidR="00786B05">
        <w:br/>
      </w:r>
      <w:r w:rsidRPr="00493977">
        <w:t xml:space="preserve">For example, the combination of point roadway traffic count data with the location (GIS point and linear features) provides information about where exactly along a traffic segment the original point traffic data </w:t>
      </w:r>
      <w:r>
        <w:t>are</w:t>
      </w:r>
      <w:r w:rsidRPr="00493977">
        <w:t xml:space="preserve"> </w:t>
      </w:r>
      <w:r>
        <w:t>applicable.</w:t>
      </w:r>
      <w:r w:rsidR="00786B05">
        <w:t xml:space="preserve"> </w:t>
      </w:r>
      <w:r>
        <w:t>However, State DOT</w:t>
      </w:r>
      <w:r w:rsidRPr="00493977">
        <w:t>s are sometimes technically and administratively challenged with integrating GIS line and point features.</w:t>
      </w:r>
      <w:r w:rsidR="004D4172">
        <w:t xml:space="preserve"> </w:t>
      </w:r>
    </w:p>
    <w:p w14:paraId="7C7B397B" w14:textId="6AD01406" w:rsidR="003F7B9F" w:rsidRDefault="003F7B9F" w:rsidP="00A35EAF">
      <w:pPr>
        <w:pStyle w:val="BodyText"/>
      </w:pPr>
      <w:r w:rsidRPr="00493977">
        <w:t xml:space="preserve">The AADT statistic is created by the travel monitoring program staff. In some </w:t>
      </w:r>
      <w:r w:rsidR="009531AC">
        <w:t>S</w:t>
      </w:r>
      <w:r w:rsidRPr="00493977">
        <w:t>tates, the AADT attribute is stored in the roadway inventory</w:t>
      </w:r>
      <w:r>
        <w:t>,</w:t>
      </w:r>
      <w:r w:rsidRPr="00493977">
        <w:t xml:space="preserve"> and in other </w:t>
      </w:r>
      <w:r>
        <w:t>s</w:t>
      </w:r>
      <w:r w:rsidRPr="00493977">
        <w:t>tates</w:t>
      </w:r>
      <w:r>
        <w:t>,</w:t>
      </w:r>
      <w:r w:rsidRPr="00493977">
        <w:t xml:space="preserve"> the AADT attribute is stored with the travel monitoring data. States should establish business rules to synchronize roadway inventory and traffic data to support management of these data layers.</w:t>
      </w:r>
    </w:p>
    <w:p w14:paraId="1E590D09" w14:textId="69F33C96" w:rsidR="003F7B9F" w:rsidRPr="00F374BF" w:rsidRDefault="003F7B9F" w:rsidP="00A35EAF">
      <w:pPr>
        <w:pStyle w:val="BodyText"/>
      </w:pPr>
      <w:r w:rsidRPr="00F374BF">
        <w:t xml:space="preserve">The </w:t>
      </w:r>
      <w:r w:rsidRPr="00F374BF">
        <w:rPr>
          <w:i/>
        </w:rPr>
        <w:t>HPMS Field Manual</w:t>
      </w:r>
      <w:r w:rsidRPr="00F374BF">
        <w:t xml:space="preserve"> </w:t>
      </w:r>
      <w:r w:rsidR="00F374BF" w:rsidRPr="00F374BF">
        <w:t xml:space="preserve">(FHWA) </w:t>
      </w:r>
      <w:r w:rsidRPr="00F374BF">
        <w:t>contains additional information on TOPS.</w:t>
      </w:r>
      <w:r w:rsidR="004D4172">
        <w:t xml:space="preserve"> </w:t>
      </w:r>
    </w:p>
    <w:p w14:paraId="5955D4BB" w14:textId="77777777" w:rsidR="003F7B9F" w:rsidRPr="00F374BF" w:rsidRDefault="003F7B9F" w:rsidP="00A35EAF">
      <w:pPr>
        <w:pStyle w:val="BodyText"/>
      </w:pPr>
      <w:r w:rsidRPr="00F374BF">
        <w:t>The remainder of this chapter includes the following sections:</w:t>
      </w:r>
    </w:p>
    <w:p w14:paraId="4CCEE831" w14:textId="77777777" w:rsidR="003F7B9F" w:rsidRPr="00F374BF" w:rsidRDefault="003F7B9F" w:rsidP="00A35EAF">
      <w:pPr>
        <w:pStyle w:val="BodyText"/>
      </w:pPr>
      <w:r w:rsidRPr="00F374BF">
        <w:t xml:space="preserve">5.2 HPMS Requirements – This section describes traffic data reporting requirements for HPMS. </w:t>
      </w:r>
    </w:p>
    <w:p w14:paraId="38AE8CF9" w14:textId="77777777" w:rsidR="003F7B9F" w:rsidRPr="0014527D" w:rsidRDefault="003F7B9F" w:rsidP="00A35EAF">
      <w:pPr>
        <w:pStyle w:val="BodyText"/>
      </w:pPr>
      <w:r w:rsidRPr="00F374BF">
        <w:t>5.3 Guidelines for Collecting Traffic Data to Support HPMS – This section</w:t>
      </w:r>
      <w:r w:rsidRPr="0014527D">
        <w:t xml:space="preserve"> provides guidance about how to acquire the traffic data needed to meet the HPMS requirements.</w:t>
      </w:r>
    </w:p>
    <w:p w14:paraId="1B62F8E3" w14:textId="77777777" w:rsidR="003F7B9F" w:rsidRDefault="003F7B9F" w:rsidP="00A35EAF">
      <w:pPr>
        <w:pStyle w:val="BodyText"/>
      </w:pPr>
      <w:r>
        <w:t>5</w:t>
      </w:r>
      <w:r w:rsidRPr="0014527D">
        <w:t>.4 Calculation of Data Items – This section provides guidance about how to compute the HPMS data items and includes</w:t>
      </w:r>
      <w:r>
        <w:t xml:space="preserve"> references.</w:t>
      </w:r>
    </w:p>
    <w:p w14:paraId="7E0B3C67" w14:textId="10C3FECC" w:rsidR="003F7B9F" w:rsidRPr="001546EF" w:rsidRDefault="003F7B9F">
      <w:pPr>
        <w:pStyle w:val="Heading2"/>
      </w:pPr>
      <w:bookmarkStart w:id="3342" w:name="_Toc27569658"/>
      <w:bookmarkStart w:id="3343" w:name="_Toc32394180"/>
      <w:bookmarkStart w:id="3344" w:name="_Toc32414619"/>
      <w:bookmarkStart w:id="3345" w:name="_Toc32828961"/>
      <w:bookmarkStart w:id="3346" w:name="_Toc65493880"/>
      <w:bookmarkStart w:id="3347" w:name="_Toc65493946"/>
      <w:bookmarkStart w:id="3348" w:name="_Toc65494057"/>
      <w:bookmarkStart w:id="3349" w:name="_Toc65494102"/>
      <w:bookmarkStart w:id="3350" w:name="_Toc65750526"/>
      <w:bookmarkStart w:id="3351" w:name="_Toc65752860"/>
      <w:bookmarkStart w:id="3352" w:name="_Toc68700543"/>
      <w:bookmarkStart w:id="3353" w:name="_Toc68700922"/>
      <w:bookmarkStart w:id="3354" w:name="_Toc68798837"/>
      <w:bookmarkStart w:id="3355" w:name="_Toc68799061"/>
      <w:bookmarkStart w:id="3356" w:name="_Toc68800974"/>
      <w:bookmarkStart w:id="3357" w:name="_Toc68802045"/>
      <w:bookmarkStart w:id="3358" w:name="_Toc68806433"/>
      <w:bookmarkStart w:id="3359" w:name="_Toc68806656"/>
      <w:bookmarkStart w:id="3360" w:name="_Toc68806878"/>
      <w:bookmarkStart w:id="3361" w:name="_Toc68862900"/>
      <w:bookmarkStart w:id="3362" w:name="_Toc68864670"/>
      <w:bookmarkStart w:id="3363" w:name="_Toc68864964"/>
      <w:bookmarkStart w:id="3364" w:name="_Toc68866466"/>
      <w:bookmarkStart w:id="3365" w:name="_Toc68888512"/>
      <w:bookmarkStart w:id="3366" w:name="_Toc68951045"/>
      <w:bookmarkStart w:id="3367" w:name="_Toc68951700"/>
      <w:bookmarkStart w:id="3368" w:name="_Toc68951776"/>
      <w:bookmarkStart w:id="3369" w:name="_Toc68951852"/>
      <w:bookmarkStart w:id="3370" w:name="_Toc68951928"/>
      <w:bookmarkStart w:id="3371" w:name="_Toc68952004"/>
      <w:bookmarkStart w:id="3372" w:name="_Toc69387157"/>
      <w:bookmarkStart w:id="3373" w:name="_Toc75706476"/>
      <w:bookmarkStart w:id="3374" w:name="_Toc76042227"/>
      <w:bookmarkStart w:id="3375" w:name="_Toc76042302"/>
      <w:bookmarkStart w:id="3376" w:name="_Toc76047652"/>
      <w:bookmarkStart w:id="3377" w:name="_Toc76049108"/>
      <w:bookmarkStart w:id="3378" w:name="_Toc114474749"/>
      <w:bookmarkStart w:id="3379" w:name="_Toc27569659"/>
      <w:bookmarkStart w:id="3380" w:name="_Toc32394181"/>
      <w:bookmarkStart w:id="3381" w:name="_Toc32414620"/>
      <w:bookmarkStart w:id="3382" w:name="_Toc32828962"/>
      <w:bookmarkStart w:id="3383" w:name="_Toc65493881"/>
      <w:bookmarkStart w:id="3384" w:name="_Toc65493947"/>
      <w:bookmarkStart w:id="3385" w:name="_Toc65494058"/>
      <w:bookmarkStart w:id="3386" w:name="_Toc65494103"/>
      <w:bookmarkStart w:id="3387" w:name="_Toc65750527"/>
      <w:bookmarkStart w:id="3388" w:name="_Toc65752861"/>
      <w:bookmarkStart w:id="3389" w:name="_Toc68700544"/>
      <w:bookmarkStart w:id="3390" w:name="_Toc68700923"/>
      <w:bookmarkStart w:id="3391" w:name="_Toc68798838"/>
      <w:bookmarkStart w:id="3392" w:name="_Toc68799062"/>
      <w:bookmarkStart w:id="3393" w:name="_Toc68800975"/>
      <w:bookmarkStart w:id="3394" w:name="_Toc68802046"/>
      <w:bookmarkStart w:id="3395" w:name="_Toc68806434"/>
      <w:bookmarkStart w:id="3396" w:name="_Toc68806657"/>
      <w:bookmarkStart w:id="3397" w:name="_Toc68806879"/>
      <w:bookmarkStart w:id="3398" w:name="_Toc68862901"/>
      <w:bookmarkStart w:id="3399" w:name="_Toc68864671"/>
      <w:bookmarkStart w:id="3400" w:name="_Toc68864965"/>
      <w:bookmarkStart w:id="3401" w:name="_Toc68866467"/>
      <w:bookmarkStart w:id="3402" w:name="_Toc68888513"/>
      <w:bookmarkStart w:id="3403" w:name="_Toc68951046"/>
      <w:bookmarkStart w:id="3404" w:name="_Toc68951701"/>
      <w:bookmarkStart w:id="3405" w:name="_Toc68951777"/>
      <w:bookmarkStart w:id="3406" w:name="_Toc68951853"/>
      <w:bookmarkStart w:id="3407" w:name="_Toc68951929"/>
      <w:bookmarkStart w:id="3408" w:name="_Toc68952005"/>
      <w:bookmarkStart w:id="3409" w:name="_Toc69387158"/>
      <w:bookmarkStart w:id="3410" w:name="_Toc75706477"/>
      <w:bookmarkStart w:id="3411" w:name="_Toc76042228"/>
      <w:bookmarkStart w:id="3412" w:name="_Toc76042303"/>
      <w:bookmarkStart w:id="3413" w:name="_Toc76047653"/>
      <w:bookmarkStart w:id="3414" w:name="_Toc76049109"/>
      <w:bookmarkStart w:id="3415" w:name="_Toc114474750"/>
      <w:bookmarkStart w:id="3416" w:name="_Toc27569660"/>
      <w:bookmarkStart w:id="3417" w:name="_Toc32394182"/>
      <w:bookmarkStart w:id="3418" w:name="_Toc32414621"/>
      <w:bookmarkStart w:id="3419" w:name="_Toc32828963"/>
      <w:bookmarkStart w:id="3420" w:name="_Toc65493882"/>
      <w:bookmarkStart w:id="3421" w:name="_Toc65493948"/>
      <w:bookmarkStart w:id="3422" w:name="_Toc65494059"/>
      <w:bookmarkStart w:id="3423" w:name="_Toc65494104"/>
      <w:bookmarkStart w:id="3424" w:name="_Toc65750528"/>
      <w:bookmarkStart w:id="3425" w:name="_Toc65752862"/>
      <w:bookmarkStart w:id="3426" w:name="_Toc68700545"/>
      <w:bookmarkStart w:id="3427" w:name="_Toc68700924"/>
      <w:bookmarkStart w:id="3428" w:name="_Toc68798839"/>
      <w:bookmarkStart w:id="3429" w:name="_Toc68799063"/>
      <w:bookmarkStart w:id="3430" w:name="_Toc68800976"/>
      <w:bookmarkStart w:id="3431" w:name="_Toc68802047"/>
      <w:bookmarkStart w:id="3432" w:name="_Toc68806435"/>
      <w:bookmarkStart w:id="3433" w:name="_Toc68806658"/>
      <w:bookmarkStart w:id="3434" w:name="_Toc68806880"/>
      <w:bookmarkStart w:id="3435" w:name="_Toc68862902"/>
      <w:bookmarkStart w:id="3436" w:name="_Toc68864672"/>
      <w:bookmarkStart w:id="3437" w:name="_Toc68864966"/>
      <w:bookmarkStart w:id="3438" w:name="_Toc68866468"/>
      <w:bookmarkStart w:id="3439" w:name="_Toc68888514"/>
      <w:bookmarkStart w:id="3440" w:name="_Toc68951047"/>
      <w:bookmarkStart w:id="3441" w:name="_Toc68951702"/>
      <w:bookmarkStart w:id="3442" w:name="_Toc68951778"/>
      <w:bookmarkStart w:id="3443" w:name="_Toc68951854"/>
      <w:bookmarkStart w:id="3444" w:name="_Toc68951930"/>
      <w:bookmarkStart w:id="3445" w:name="_Toc68952006"/>
      <w:bookmarkStart w:id="3446" w:name="_Toc69387159"/>
      <w:bookmarkStart w:id="3447" w:name="_Toc75706478"/>
      <w:bookmarkStart w:id="3448" w:name="_Toc76042229"/>
      <w:bookmarkStart w:id="3449" w:name="_Toc76042304"/>
      <w:bookmarkStart w:id="3450" w:name="_Toc76047654"/>
      <w:bookmarkStart w:id="3451" w:name="_Toc76049110"/>
      <w:bookmarkStart w:id="3452" w:name="_Toc114474751"/>
      <w:bookmarkStart w:id="3453" w:name="_Toc27569661"/>
      <w:bookmarkStart w:id="3454" w:name="_Toc32394183"/>
      <w:bookmarkStart w:id="3455" w:name="_Toc32414622"/>
      <w:bookmarkStart w:id="3456" w:name="_Toc32828964"/>
      <w:bookmarkStart w:id="3457" w:name="_Toc65493883"/>
      <w:bookmarkStart w:id="3458" w:name="_Toc65493949"/>
      <w:bookmarkStart w:id="3459" w:name="_Toc65494060"/>
      <w:bookmarkStart w:id="3460" w:name="_Toc65494105"/>
      <w:bookmarkStart w:id="3461" w:name="_Toc65750529"/>
      <w:bookmarkStart w:id="3462" w:name="_Toc65752863"/>
      <w:bookmarkStart w:id="3463" w:name="_Toc68700546"/>
      <w:bookmarkStart w:id="3464" w:name="_Toc68700925"/>
      <w:bookmarkStart w:id="3465" w:name="_Toc68798840"/>
      <w:bookmarkStart w:id="3466" w:name="_Toc68799064"/>
      <w:bookmarkStart w:id="3467" w:name="_Toc68800977"/>
      <w:bookmarkStart w:id="3468" w:name="_Toc68802048"/>
      <w:bookmarkStart w:id="3469" w:name="_Toc68806436"/>
      <w:bookmarkStart w:id="3470" w:name="_Toc68806659"/>
      <w:bookmarkStart w:id="3471" w:name="_Toc68806881"/>
      <w:bookmarkStart w:id="3472" w:name="_Toc68862903"/>
      <w:bookmarkStart w:id="3473" w:name="_Toc68864673"/>
      <w:bookmarkStart w:id="3474" w:name="_Toc68864967"/>
      <w:bookmarkStart w:id="3475" w:name="_Toc68866469"/>
      <w:bookmarkStart w:id="3476" w:name="_Toc68888515"/>
      <w:bookmarkStart w:id="3477" w:name="_Toc68951048"/>
      <w:bookmarkStart w:id="3478" w:name="_Toc68951703"/>
      <w:bookmarkStart w:id="3479" w:name="_Toc68951779"/>
      <w:bookmarkStart w:id="3480" w:name="_Toc68951855"/>
      <w:bookmarkStart w:id="3481" w:name="_Toc68951931"/>
      <w:bookmarkStart w:id="3482" w:name="_Toc68952007"/>
      <w:bookmarkStart w:id="3483" w:name="_Toc69387160"/>
      <w:bookmarkStart w:id="3484" w:name="_Toc75706479"/>
      <w:bookmarkStart w:id="3485" w:name="_Toc76042230"/>
      <w:bookmarkStart w:id="3486" w:name="_Toc76042305"/>
      <w:bookmarkStart w:id="3487" w:name="_Toc76047655"/>
      <w:bookmarkStart w:id="3488" w:name="_Toc76049111"/>
      <w:bookmarkStart w:id="3489" w:name="_Toc114474752"/>
      <w:bookmarkStart w:id="3490" w:name="_Toc27569662"/>
      <w:bookmarkStart w:id="3491" w:name="_Toc32394184"/>
      <w:bookmarkStart w:id="3492" w:name="_Toc32414623"/>
      <w:bookmarkStart w:id="3493" w:name="_Toc32828965"/>
      <w:bookmarkStart w:id="3494" w:name="_Toc65493884"/>
      <w:bookmarkStart w:id="3495" w:name="_Toc65493950"/>
      <w:bookmarkStart w:id="3496" w:name="_Toc65494061"/>
      <w:bookmarkStart w:id="3497" w:name="_Toc65494106"/>
      <w:bookmarkStart w:id="3498" w:name="_Toc65750530"/>
      <w:bookmarkStart w:id="3499" w:name="_Toc65752864"/>
      <w:bookmarkStart w:id="3500" w:name="_Toc68700547"/>
      <w:bookmarkStart w:id="3501" w:name="_Toc68700926"/>
      <w:bookmarkStart w:id="3502" w:name="_Toc68798841"/>
      <w:bookmarkStart w:id="3503" w:name="_Toc68799065"/>
      <w:bookmarkStart w:id="3504" w:name="_Toc68800978"/>
      <w:bookmarkStart w:id="3505" w:name="_Toc68802049"/>
      <w:bookmarkStart w:id="3506" w:name="_Toc68806437"/>
      <w:bookmarkStart w:id="3507" w:name="_Toc68806660"/>
      <w:bookmarkStart w:id="3508" w:name="_Toc68806882"/>
      <w:bookmarkStart w:id="3509" w:name="_Toc68862904"/>
      <w:bookmarkStart w:id="3510" w:name="_Toc68864674"/>
      <w:bookmarkStart w:id="3511" w:name="_Toc68864968"/>
      <w:bookmarkStart w:id="3512" w:name="_Toc68866470"/>
      <w:bookmarkStart w:id="3513" w:name="_Toc68888516"/>
      <w:bookmarkStart w:id="3514" w:name="_Toc68951049"/>
      <w:bookmarkStart w:id="3515" w:name="_Toc68951704"/>
      <w:bookmarkStart w:id="3516" w:name="_Toc68951780"/>
      <w:bookmarkStart w:id="3517" w:name="_Toc68951856"/>
      <w:bookmarkStart w:id="3518" w:name="_Toc68951932"/>
      <w:bookmarkStart w:id="3519" w:name="_Toc68952008"/>
      <w:bookmarkStart w:id="3520" w:name="_Toc69387161"/>
      <w:bookmarkStart w:id="3521" w:name="_Toc75706480"/>
      <w:bookmarkStart w:id="3522" w:name="_Toc76042231"/>
      <w:bookmarkStart w:id="3523" w:name="_Toc76042306"/>
      <w:bookmarkStart w:id="3524" w:name="_Toc76047656"/>
      <w:bookmarkStart w:id="3525" w:name="_Toc76049112"/>
      <w:bookmarkStart w:id="3526" w:name="_Toc114474753"/>
      <w:bookmarkStart w:id="3527" w:name="_Toc27569663"/>
      <w:bookmarkStart w:id="3528" w:name="_Toc32394185"/>
      <w:bookmarkStart w:id="3529" w:name="_Toc32414624"/>
      <w:bookmarkStart w:id="3530" w:name="_Toc32828966"/>
      <w:bookmarkStart w:id="3531" w:name="_Toc65493885"/>
      <w:bookmarkStart w:id="3532" w:name="_Toc65493951"/>
      <w:bookmarkStart w:id="3533" w:name="_Toc65494062"/>
      <w:bookmarkStart w:id="3534" w:name="_Toc65494107"/>
      <w:bookmarkStart w:id="3535" w:name="_Toc65750531"/>
      <w:bookmarkStart w:id="3536" w:name="_Toc65752865"/>
      <w:bookmarkStart w:id="3537" w:name="_Toc68700548"/>
      <w:bookmarkStart w:id="3538" w:name="_Toc68700927"/>
      <w:bookmarkStart w:id="3539" w:name="_Toc68798842"/>
      <w:bookmarkStart w:id="3540" w:name="_Toc68799066"/>
      <w:bookmarkStart w:id="3541" w:name="_Toc68800979"/>
      <w:bookmarkStart w:id="3542" w:name="_Toc68802050"/>
      <w:bookmarkStart w:id="3543" w:name="_Toc68806438"/>
      <w:bookmarkStart w:id="3544" w:name="_Toc68806661"/>
      <w:bookmarkStart w:id="3545" w:name="_Toc68806883"/>
      <w:bookmarkStart w:id="3546" w:name="_Toc68862905"/>
      <w:bookmarkStart w:id="3547" w:name="_Toc68864675"/>
      <w:bookmarkStart w:id="3548" w:name="_Toc68864969"/>
      <w:bookmarkStart w:id="3549" w:name="_Toc68866471"/>
      <w:bookmarkStart w:id="3550" w:name="_Toc68888517"/>
      <w:bookmarkStart w:id="3551" w:name="_Toc68951050"/>
      <w:bookmarkStart w:id="3552" w:name="_Toc68951705"/>
      <w:bookmarkStart w:id="3553" w:name="_Toc68951781"/>
      <w:bookmarkStart w:id="3554" w:name="_Toc68951857"/>
      <w:bookmarkStart w:id="3555" w:name="_Toc68951933"/>
      <w:bookmarkStart w:id="3556" w:name="_Toc68952009"/>
      <w:bookmarkStart w:id="3557" w:name="_Toc69387162"/>
      <w:bookmarkStart w:id="3558" w:name="_Toc75706481"/>
      <w:bookmarkStart w:id="3559" w:name="_Toc76042232"/>
      <w:bookmarkStart w:id="3560" w:name="_Toc76042307"/>
      <w:bookmarkStart w:id="3561" w:name="_Toc76047657"/>
      <w:bookmarkStart w:id="3562" w:name="_Toc76049113"/>
      <w:bookmarkStart w:id="3563" w:name="_Toc114474754"/>
      <w:bookmarkStart w:id="3564" w:name="_Toc349905099"/>
      <w:bookmarkStart w:id="3565" w:name="_Toc363656147"/>
      <w:bookmarkStart w:id="3566" w:name="_Toc450638938"/>
      <w:bookmarkStart w:id="3567" w:name="_Toc65752866"/>
      <w:bookmarkStart w:id="3568" w:name="_Toc68864970"/>
      <w:bookmarkStart w:id="3569" w:name="_Toc114474755"/>
      <w:bookmarkStart w:id="3570" w:name="_Toc118205712"/>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r w:rsidRPr="001546EF">
        <w:lastRenderedPageBreak/>
        <w:t>HPMS Requirements</w:t>
      </w:r>
      <w:bookmarkEnd w:id="3564"/>
      <w:bookmarkEnd w:id="3565"/>
      <w:bookmarkEnd w:id="3566"/>
      <w:bookmarkEnd w:id="3567"/>
      <w:bookmarkEnd w:id="3568"/>
      <w:bookmarkEnd w:id="3569"/>
      <w:bookmarkEnd w:id="3570"/>
    </w:p>
    <w:p w14:paraId="10192C6A" w14:textId="57CF0EC8" w:rsidR="003F7B9F" w:rsidRPr="0014527D" w:rsidRDefault="003F7B9F" w:rsidP="00A35EAF">
      <w:pPr>
        <w:pStyle w:val="BodyText"/>
      </w:pPr>
      <w:r>
        <w:t xml:space="preserve">While </w:t>
      </w:r>
      <w:r w:rsidRPr="0014527D">
        <w:t xml:space="preserve">traffic </w:t>
      </w:r>
      <w:r>
        <w:t>data are</w:t>
      </w:r>
      <w:r w:rsidRPr="0014527D">
        <w:t xml:space="preserve"> collected and reported on a full</w:t>
      </w:r>
      <w:r>
        <w:t xml:space="preserve"> </w:t>
      </w:r>
      <w:r w:rsidRPr="0014527D">
        <w:t xml:space="preserve">extent, sample, and partial extent basis for HPMS, State </w:t>
      </w:r>
      <w:r>
        <w:t>DOTs</w:t>
      </w:r>
      <w:r w:rsidRPr="0014527D">
        <w:t xml:space="preserve"> may not need to physically conduct traffic counts at all locations. In some cases, </w:t>
      </w:r>
      <w:r w:rsidR="009531AC">
        <w:t>S</w:t>
      </w:r>
      <w:r w:rsidRPr="0014527D">
        <w:t xml:space="preserve">tates may rely on local governments to collect and supply the </w:t>
      </w:r>
      <w:r>
        <w:t xml:space="preserve">traffic </w:t>
      </w:r>
      <w:r w:rsidRPr="0014527D">
        <w:t>data for use with HPMS. In other cases, procedures</w:t>
      </w:r>
      <w:r>
        <w:t xml:space="preserve"> such as ramp balancing</w:t>
      </w:r>
      <w:r w:rsidRPr="0014527D">
        <w:t xml:space="preserve"> can be used to estimate traffic volumes on roads where portable counts cannot be performed safely. </w:t>
      </w:r>
      <w:r>
        <w:t>In</w:t>
      </w:r>
      <w:r w:rsidR="00E15A61">
        <w:t> </w:t>
      </w:r>
      <w:r>
        <w:t>all cases,</w:t>
      </w:r>
      <w:r w:rsidRPr="0014527D">
        <w:t xml:space="preserve"> State</w:t>
      </w:r>
      <w:r>
        <w:t xml:space="preserve"> DOTs</w:t>
      </w:r>
      <w:r w:rsidRPr="0014527D">
        <w:t xml:space="preserve"> </w:t>
      </w:r>
      <w:r>
        <w:t>are</w:t>
      </w:r>
      <w:r w:rsidRPr="0014527D">
        <w:t xml:space="preserve"> responsible for the quality, completeness, and accuracy of all </w:t>
      </w:r>
      <w:r>
        <w:t>HPMS</w:t>
      </w:r>
      <w:r w:rsidR="0065548E">
        <w:t>-</w:t>
      </w:r>
      <w:r>
        <w:t xml:space="preserve">related </w:t>
      </w:r>
      <w:r w:rsidRPr="0014527D">
        <w:t xml:space="preserve">traffic data within their </w:t>
      </w:r>
      <w:r w:rsidR="0065548E">
        <w:t>S</w:t>
      </w:r>
      <w:r w:rsidRPr="0014527D">
        <w:t xml:space="preserve">tate boundaries. </w:t>
      </w:r>
    </w:p>
    <w:p w14:paraId="30C98EB0" w14:textId="3DC40202" w:rsidR="003F7B9F" w:rsidRDefault="003F7B9F" w:rsidP="00A35EAF">
      <w:pPr>
        <w:pStyle w:val="BodyText"/>
        <w:rPr>
          <w:rStyle w:val="EmphasisStylesforWordRTFImportedLists"/>
          <w:b w:val="0"/>
          <w:smallCaps w:val="0"/>
          <w:spacing w:val="18"/>
        </w:rPr>
      </w:pPr>
      <w:r w:rsidRPr="0014527D">
        <w:t xml:space="preserve">Specific emphasis is placed on the collection of vehicle classification data on HPMS sample sections, since </w:t>
      </w:r>
      <w:r>
        <w:t>these data are</w:t>
      </w:r>
      <w:r w:rsidRPr="0014527D">
        <w:t xml:space="preserve"> used in many </w:t>
      </w:r>
      <w:r>
        <w:t xml:space="preserve">nationally significant analyses. While not reported at the section level within the HPMS submittal, vehicle classification data on motorcycle, bus, and light truck percentages are also required by </w:t>
      </w:r>
      <w:r w:rsidR="0065548E">
        <w:t>S</w:t>
      </w:r>
      <w:r>
        <w:t>tate highway agencies in order to compute the HPMS vehicle summary table.</w:t>
      </w:r>
      <w:r w:rsidR="004D4172">
        <w:t xml:space="preserve"> </w:t>
      </w:r>
    </w:p>
    <w:p w14:paraId="3F73C7E9" w14:textId="014F2D60" w:rsidR="003F7B9F" w:rsidRDefault="003F7B9F" w:rsidP="00A35EAF">
      <w:pPr>
        <w:pStyle w:val="BodyText"/>
      </w:pPr>
      <w:r>
        <w:t xml:space="preserve">When this table is computed, </w:t>
      </w:r>
      <w:r w:rsidR="0065548E">
        <w:t>S</w:t>
      </w:r>
      <w:r>
        <w:t>tate highway agencies should account for the different monthly travel patterns of each class of vehicles when the percentage of travel is being annualized. To accurately compute the fraction of statewide VMT by class, it is also necessary to account for the functional classification and location of these counts when they will be used to estimate total VMT by vehicle class and functional classification of roadway. FHWA has provided online training on preparing HPMS Vehicle Summary Data</w:t>
      </w:r>
      <w:r w:rsidR="0065548E">
        <w:t>,</w:t>
      </w:r>
      <w:r>
        <w:t xml:space="preserve"> available through its </w:t>
      </w:r>
      <w:r w:rsidRPr="00F374BF">
        <w:t>knowledge center</w:t>
      </w:r>
      <w:r w:rsidR="00F374BF" w:rsidRPr="00F374BF">
        <w:t xml:space="preserve"> found at </w:t>
      </w:r>
      <w:hyperlink r:id="rId258" w:history="1">
        <w:r w:rsidR="00705974" w:rsidRPr="0054595A">
          <w:rPr>
            <w:rStyle w:val="Hyperlink"/>
          </w:rPr>
          <w:t>https://www.fhwa.dot.gov/policyinformation/knowledgecenter/vmt_training/</w:t>
        </w:r>
      </w:hyperlink>
      <w:r w:rsidRPr="00F374BF">
        <w:t>.</w:t>
      </w:r>
    </w:p>
    <w:p w14:paraId="57C9048B" w14:textId="3872D8AB" w:rsidR="003F7B9F" w:rsidRDefault="003F7B9F" w:rsidP="00A35EAF">
      <w:pPr>
        <w:pStyle w:val="BodyText"/>
      </w:pPr>
      <w:r w:rsidRPr="0014527D">
        <w:t>The</w:t>
      </w:r>
      <w:r>
        <w:t>se</w:t>
      </w:r>
      <w:r w:rsidRPr="0014527D">
        <w:t xml:space="preserve"> volume </w:t>
      </w:r>
      <w:r>
        <w:t xml:space="preserve">data </w:t>
      </w:r>
      <w:r w:rsidR="0065548E">
        <w:t>are</w:t>
      </w:r>
      <w:r w:rsidR="0065548E" w:rsidRPr="0014527D">
        <w:t xml:space="preserve"> </w:t>
      </w:r>
      <w:r w:rsidRPr="0014527D">
        <w:t xml:space="preserve">also used to support the assessment of the </w:t>
      </w:r>
      <w:r w:rsidR="0065548E">
        <w:t>N</w:t>
      </w:r>
      <w:r w:rsidRPr="0014527D">
        <w:t xml:space="preserve">ation’s transportation system and help to ensure a fair distribution of </w:t>
      </w:r>
      <w:r>
        <w:t>Federal</w:t>
      </w:r>
      <w:r w:rsidRPr="0014527D">
        <w:t xml:space="preserve"> funds to maintain that</w:t>
      </w:r>
      <w:r>
        <w:t xml:space="preserve"> system. </w:t>
      </w:r>
    </w:p>
    <w:p w14:paraId="55C02C99" w14:textId="77777777" w:rsidR="003F7B9F" w:rsidRPr="001546EF" w:rsidRDefault="003F7B9F">
      <w:pPr>
        <w:pStyle w:val="Heading3"/>
      </w:pPr>
      <w:bookmarkStart w:id="3571" w:name="_Toc290555976"/>
      <w:bookmarkStart w:id="3572" w:name="_Toc290988596"/>
      <w:bookmarkStart w:id="3573" w:name="_Toc65752867"/>
      <w:bookmarkStart w:id="3574" w:name="_Toc118205713"/>
      <w:r w:rsidRPr="001546EF">
        <w:t>HPMS Data Model</w:t>
      </w:r>
      <w:bookmarkEnd w:id="3571"/>
      <w:bookmarkEnd w:id="3572"/>
      <w:bookmarkEnd w:id="3573"/>
      <w:bookmarkEnd w:id="3574"/>
    </w:p>
    <w:p w14:paraId="487BDD32" w14:textId="0D939BFC" w:rsidR="003F7B9F" w:rsidRPr="0014527D" w:rsidRDefault="003F7B9F" w:rsidP="00A35EAF">
      <w:pPr>
        <w:pStyle w:val="BodyText"/>
      </w:pPr>
      <w:r>
        <w:t xml:space="preserve">The HPMS Data Model </w:t>
      </w:r>
      <w:r w:rsidRPr="0014527D">
        <w:t>is a</w:t>
      </w:r>
      <w:r>
        <w:t xml:space="preserve"> logical abstraction of the data elements contained within the HPMS and </w:t>
      </w:r>
      <w:r w:rsidRPr="0014527D">
        <w:t xml:space="preserve">includes thirteen traffic data items, seven of which are provided by the States’ traffic monitoring program. The additional six items may be provided by other areas of the agency, including operations and/or other sections of the </w:t>
      </w:r>
      <w:r>
        <w:t>s</w:t>
      </w:r>
      <w:r w:rsidRPr="0014527D">
        <w:t xml:space="preserve">tates’ planning division. The </w:t>
      </w:r>
      <w:r>
        <w:t xml:space="preserve">traffic elements listed in </w:t>
      </w:r>
      <w:r w:rsidR="00833E15">
        <w:fldChar w:fldCharType="begin"/>
      </w:r>
      <w:r w:rsidR="00833E15">
        <w:instrText xml:space="preserve"> REF _Ref114750909 \h </w:instrText>
      </w:r>
      <w:r w:rsidR="00833E15">
        <w:fldChar w:fldCharType="separate"/>
      </w:r>
      <w:r w:rsidR="00C07DF9">
        <w:t xml:space="preserve">Table </w:t>
      </w:r>
      <w:r w:rsidR="00C07DF9">
        <w:rPr>
          <w:noProof/>
        </w:rPr>
        <w:t>5</w:t>
      </w:r>
      <w:r w:rsidR="00C07DF9">
        <w:noBreakHyphen/>
      </w:r>
      <w:r w:rsidR="00C07DF9">
        <w:rPr>
          <w:noProof/>
        </w:rPr>
        <w:t>1</w:t>
      </w:r>
      <w:r w:rsidR="00833E15">
        <w:fldChar w:fldCharType="end"/>
      </w:r>
      <w:r>
        <w:t xml:space="preserve"> are defined in the HPMS data catalog.</w:t>
      </w:r>
    </w:p>
    <w:p w14:paraId="35993875" w14:textId="47199DDB" w:rsidR="00F252C6" w:rsidRDefault="00F252C6" w:rsidP="00736AF3">
      <w:pPr>
        <w:pStyle w:val="TMGTableCaption"/>
      </w:pPr>
      <w:bookmarkStart w:id="3575" w:name="_Ref114750909"/>
      <w:bookmarkStart w:id="3576" w:name="_Toc114474884"/>
      <w:bookmarkStart w:id="3577" w:name="_Toc120631190"/>
      <w:r>
        <w:t xml:space="preserve">Table </w:t>
      </w:r>
      <w:fldSimple w:instr=" STYLEREF 1 \s ">
        <w:r w:rsidR="00C07DF9">
          <w:rPr>
            <w:noProof/>
          </w:rPr>
          <w:t>5</w:t>
        </w:r>
      </w:fldSimple>
      <w:r w:rsidR="00FE5355">
        <w:noBreakHyphen/>
      </w:r>
      <w:fldSimple w:instr=" SEQ Table \* ARABIC \s 1 ">
        <w:r w:rsidR="00C07DF9">
          <w:rPr>
            <w:noProof/>
          </w:rPr>
          <w:t>1</w:t>
        </w:r>
      </w:fldSimple>
      <w:bookmarkEnd w:id="3575"/>
      <w:r w:rsidR="008B4FE0">
        <w:t>.</w:t>
      </w:r>
      <w:r>
        <w:t xml:space="preserve"> </w:t>
      </w:r>
      <w:r w:rsidRPr="00B54ABB">
        <w:t>HPMS Traffic Data Items</w:t>
      </w:r>
      <w:bookmarkEnd w:id="3576"/>
      <w:bookmarkEnd w:id="3577"/>
    </w:p>
    <w:tbl>
      <w:tblPr>
        <w:tblStyle w:val="TableGrid"/>
        <w:tblW w:w="9360" w:type="dxa"/>
        <w:jc w:val="center"/>
        <w:tblCellMar>
          <w:left w:w="86" w:type="dxa"/>
          <w:right w:w="86" w:type="dxa"/>
        </w:tblCellMar>
        <w:tblLook w:val="04A0" w:firstRow="1" w:lastRow="0" w:firstColumn="1" w:lastColumn="0" w:noHBand="0" w:noVBand="1"/>
      </w:tblPr>
      <w:tblGrid>
        <w:gridCol w:w="895"/>
        <w:gridCol w:w="2250"/>
        <w:gridCol w:w="3870"/>
        <w:gridCol w:w="2345"/>
      </w:tblGrid>
      <w:tr w:rsidR="00276CEB" w14:paraId="24C08B1A" w14:textId="77777777" w:rsidTr="00276CEB">
        <w:trPr>
          <w:jc w:val="center"/>
        </w:trPr>
        <w:tc>
          <w:tcPr>
            <w:tcW w:w="895" w:type="dxa"/>
            <w:tcBorders>
              <w:right w:val="single" w:sz="4" w:space="0" w:color="FFFFFF" w:themeColor="background1"/>
            </w:tcBorders>
            <w:shd w:val="clear" w:color="auto" w:fill="1F3864"/>
            <w:vAlign w:val="center"/>
          </w:tcPr>
          <w:p w14:paraId="1C8630AC" w14:textId="63084245" w:rsidR="00276CEB" w:rsidRDefault="00276CEB" w:rsidP="00276CEB">
            <w:pPr>
              <w:pStyle w:val="TMGTableTextHeader"/>
            </w:pPr>
            <w:r w:rsidRPr="0051590D">
              <w:rPr>
                <w:rFonts w:eastAsiaTheme="minorEastAsia"/>
              </w:rPr>
              <w:t>Item Number</w:t>
            </w:r>
          </w:p>
        </w:tc>
        <w:tc>
          <w:tcPr>
            <w:tcW w:w="2250" w:type="dxa"/>
            <w:tcBorders>
              <w:left w:val="single" w:sz="4" w:space="0" w:color="FFFFFF" w:themeColor="background1"/>
              <w:right w:val="single" w:sz="4" w:space="0" w:color="FFFFFF" w:themeColor="background1"/>
            </w:tcBorders>
            <w:shd w:val="clear" w:color="auto" w:fill="1F3864"/>
            <w:vAlign w:val="center"/>
          </w:tcPr>
          <w:p w14:paraId="6305F63F" w14:textId="4EE32BCE" w:rsidR="00276CEB" w:rsidRDefault="00276CEB" w:rsidP="00276CEB">
            <w:pPr>
              <w:pStyle w:val="TMGTableTextHeader"/>
              <w:rPr>
                <w:rFonts w:eastAsia="MS Mincho"/>
              </w:rPr>
            </w:pPr>
            <w:r w:rsidRPr="0051590D">
              <w:rPr>
                <w:rFonts w:eastAsiaTheme="minorEastAsia"/>
              </w:rPr>
              <w:t>Data Item</w:t>
            </w:r>
          </w:p>
        </w:tc>
        <w:tc>
          <w:tcPr>
            <w:tcW w:w="3870" w:type="dxa"/>
            <w:tcBorders>
              <w:left w:val="single" w:sz="4" w:space="0" w:color="FFFFFF" w:themeColor="background1"/>
              <w:right w:val="single" w:sz="4" w:space="0" w:color="FFFFFF" w:themeColor="background1"/>
            </w:tcBorders>
            <w:shd w:val="clear" w:color="auto" w:fill="1F3864"/>
            <w:vAlign w:val="center"/>
          </w:tcPr>
          <w:p w14:paraId="3E3E34D2" w14:textId="7C145666" w:rsidR="00276CEB" w:rsidRDefault="00276CEB" w:rsidP="00276CEB">
            <w:pPr>
              <w:pStyle w:val="TMGTableTextHeader"/>
              <w:rPr>
                <w:rFonts w:eastAsia="MS Mincho"/>
              </w:rPr>
            </w:pPr>
            <w:r w:rsidRPr="0051590D">
              <w:rPr>
                <w:rFonts w:eastAsiaTheme="minorEastAsia"/>
              </w:rPr>
              <w:t>Data Format</w:t>
            </w:r>
          </w:p>
        </w:tc>
        <w:tc>
          <w:tcPr>
            <w:tcW w:w="2345" w:type="dxa"/>
            <w:tcBorders>
              <w:left w:val="single" w:sz="4" w:space="0" w:color="FFFFFF" w:themeColor="background1"/>
            </w:tcBorders>
            <w:shd w:val="clear" w:color="auto" w:fill="1F3864"/>
            <w:vAlign w:val="center"/>
          </w:tcPr>
          <w:p w14:paraId="737D30A8" w14:textId="33437BB8" w:rsidR="00276CEB" w:rsidRDefault="00276CEB" w:rsidP="00276CEB">
            <w:pPr>
              <w:pStyle w:val="TMGTableTextHeader"/>
            </w:pPr>
            <w:r w:rsidRPr="0051590D">
              <w:rPr>
                <w:rFonts w:eastAsiaTheme="minorEastAsia"/>
              </w:rPr>
              <w:t>Example Value</w:t>
            </w:r>
          </w:p>
        </w:tc>
      </w:tr>
      <w:tr w:rsidR="00276CEB" w14:paraId="3444D38B" w14:textId="77777777" w:rsidTr="00481361">
        <w:trPr>
          <w:jc w:val="center"/>
        </w:trPr>
        <w:tc>
          <w:tcPr>
            <w:tcW w:w="895" w:type="dxa"/>
            <w:vAlign w:val="center"/>
          </w:tcPr>
          <w:p w14:paraId="09A537D8" w14:textId="5A6FACE6" w:rsidR="00276CEB" w:rsidRPr="00C251E9" w:rsidRDefault="00276CEB" w:rsidP="00481361">
            <w:pPr>
              <w:pStyle w:val="TMGTableText"/>
              <w:jc w:val="center"/>
              <w:rPr>
                <w:b/>
                <w:bCs/>
              </w:rPr>
            </w:pPr>
            <w:r w:rsidRPr="00F252C6">
              <w:rPr>
                <w:rFonts w:eastAsiaTheme="minorEastAsia"/>
                <w:b/>
                <w:bCs/>
              </w:rPr>
              <w:t>21</w:t>
            </w:r>
          </w:p>
        </w:tc>
        <w:tc>
          <w:tcPr>
            <w:tcW w:w="2250" w:type="dxa"/>
            <w:vAlign w:val="center"/>
          </w:tcPr>
          <w:p w14:paraId="225C1351" w14:textId="0948E107" w:rsidR="00276CEB" w:rsidRPr="004859C8" w:rsidRDefault="00276CEB" w:rsidP="00276CEB">
            <w:pPr>
              <w:pStyle w:val="TMGTableText"/>
            </w:pPr>
            <w:r w:rsidRPr="0051590D">
              <w:rPr>
                <w:rFonts w:eastAsiaTheme="minorEastAsia"/>
              </w:rPr>
              <w:t>AADT</w:t>
            </w:r>
          </w:p>
        </w:tc>
        <w:tc>
          <w:tcPr>
            <w:tcW w:w="3870" w:type="dxa"/>
            <w:vAlign w:val="center"/>
          </w:tcPr>
          <w:p w14:paraId="066ADD9F" w14:textId="4BED8B7B" w:rsidR="00276CEB" w:rsidRPr="004859C8" w:rsidRDefault="00276CEB" w:rsidP="00276CEB">
            <w:pPr>
              <w:pStyle w:val="TMGTableText"/>
            </w:pPr>
            <w:r w:rsidRPr="0051590D">
              <w:rPr>
                <w:rFonts w:eastAsiaTheme="minorEastAsia"/>
              </w:rPr>
              <w:t>Numeric</w:t>
            </w:r>
          </w:p>
        </w:tc>
        <w:tc>
          <w:tcPr>
            <w:tcW w:w="2345" w:type="dxa"/>
            <w:vAlign w:val="center"/>
          </w:tcPr>
          <w:p w14:paraId="4CC4C84B" w14:textId="730CC187" w:rsidR="00276CEB" w:rsidRPr="00C251E9" w:rsidRDefault="00276CEB" w:rsidP="00276CEB">
            <w:pPr>
              <w:pStyle w:val="TMGTableText"/>
            </w:pPr>
            <w:r w:rsidRPr="0051590D">
              <w:rPr>
                <w:rFonts w:eastAsiaTheme="minorEastAsia"/>
              </w:rPr>
              <w:t>100,000</w:t>
            </w:r>
          </w:p>
        </w:tc>
      </w:tr>
      <w:tr w:rsidR="00276CEB" w14:paraId="6719F1FB" w14:textId="77777777" w:rsidTr="00481361">
        <w:trPr>
          <w:jc w:val="center"/>
        </w:trPr>
        <w:tc>
          <w:tcPr>
            <w:tcW w:w="895" w:type="dxa"/>
            <w:vAlign w:val="center"/>
          </w:tcPr>
          <w:p w14:paraId="4F743D5C" w14:textId="4B693BB2" w:rsidR="00276CEB" w:rsidRPr="00C251E9" w:rsidRDefault="00276CEB" w:rsidP="00481361">
            <w:pPr>
              <w:pStyle w:val="TMGTableText"/>
              <w:jc w:val="center"/>
              <w:rPr>
                <w:b/>
                <w:bCs/>
              </w:rPr>
            </w:pPr>
            <w:r w:rsidRPr="00F252C6">
              <w:rPr>
                <w:rFonts w:eastAsiaTheme="minorEastAsia"/>
                <w:b/>
                <w:bCs/>
              </w:rPr>
              <w:t>22</w:t>
            </w:r>
          </w:p>
        </w:tc>
        <w:tc>
          <w:tcPr>
            <w:tcW w:w="2250" w:type="dxa"/>
            <w:vAlign w:val="center"/>
          </w:tcPr>
          <w:p w14:paraId="3962BF4D" w14:textId="1F240BFC" w:rsidR="00276CEB" w:rsidRPr="004859C8" w:rsidRDefault="00276CEB" w:rsidP="00276CEB">
            <w:pPr>
              <w:pStyle w:val="TMGTableText"/>
            </w:pPr>
            <w:r w:rsidRPr="0051590D">
              <w:rPr>
                <w:rFonts w:eastAsiaTheme="minorEastAsia"/>
              </w:rPr>
              <w:t>AADT_</w:t>
            </w:r>
            <w:r>
              <w:rPr>
                <w:rFonts w:eastAsiaTheme="minorEastAsia"/>
              </w:rPr>
              <w:t>SINGLE_UNIT</w:t>
            </w:r>
          </w:p>
        </w:tc>
        <w:tc>
          <w:tcPr>
            <w:tcW w:w="3870" w:type="dxa"/>
            <w:vAlign w:val="center"/>
          </w:tcPr>
          <w:p w14:paraId="5D218541" w14:textId="44EC80BD" w:rsidR="00276CEB" w:rsidRPr="004859C8" w:rsidRDefault="00276CEB" w:rsidP="00276CEB">
            <w:pPr>
              <w:pStyle w:val="TMGTableText"/>
            </w:pPr>
            <w:r w:rsidRPr="0051590D">
              <w:rPr>
                <w:rFonts w:eastAsiaTheme="minorEastAsia"/>
              </w:rPr>
              <w:t>Numeric</w:t>
            </w:r>
          </w:p>
        </w:tc>
        <w:tc>
          <w:tcPr>
            <w:tcW w:w="2345" w:type="dxa"/>
            <w:vAlign w:val="center"/>
          </w:tcPr>
          <w:p w14:paraId="6A01EE25" w14:textId="4013A35C" w:rsidR="00276CEB" w:rsidRPr="00C251E9" w:rsidRDefault="00276CEB" w:rsidP="00276CEB">
            <w:pPr>
              <w:pStyle w:val="TMGTableText"/>
            </w:pPr>
            <w:r w:rsidRPr="0051590D">
              <w:rPr>
                <w:rFonts w:eastAsiaTheme="minorEastAsia"/>
              </w:rPr>
              <w:t>10,000</w:t>
            </w:r>
          </w:p>
        </w:tc>
      </w:tr>
      <w:tr w:rsidR="00276CEB" w14:paraId="201D429E" w14:textId="77777777" w:rsidTr="00481361">
        <w:trPr>
          <w:jc w:val="center"/>
        </w:trPr>
        <w:tc>
          <w:tcPr>
            <w:tcW w:w="895" w:type="dxa"/>
            <w:vAlign w:val="center"/>
          </w:tcPr>
          <w:p w14:paraId="7EF32E86" w14:textId="4C6ECBF3" w:rsidR="00276CEB" w:rsidRPr="00C251E9" w:rsidRDefault="00276CEB" w:rsidP="00481361">
            <w:pPr>
              <w:pStyle w:val="TMGTableText"/>
              <w:jc w:val="center"/>
              <w:rPr>
                <w:b/>
                <w:bCs/>
              </w:rPr>
            </w:pPr>
            <w:r w:rsidRPr="00F252C6">
              <w:rPr>
                <w:rFonts w:eastAsiaTheme="minorEastAsia"/>
                <w:b/>
                <w:bCs/>
              </w:rPr>
              <w:t>23</w:t>
            </w:r>
          </w:p>
        </w:tc>
        <w:tc>
          <w:tcPr>
            <w:tcW w:w="2250" w:type="dxa"/>
            <w:vAlign w:val="center"/>
          </w:tcPr>
          <w:p w14:paraId="524CD346" w14:textId="519306B6" w:rsidR="00276CEB" w:rsidRPr="004859C8" w:rsidRDefault="00276CEB" w:rsidP="00276CEB">
            <w:pPr>
              <w:pStyle w:val="TMGTableText"/>
            </w:pPr>
            <w:r w:rsidRPr="0051590D">
              <w:rPr>
                <w:rFonts w:eastAsiaTheme="minorEastAsia"/>
              </w:rPr>
              <w:t>P</w:t>
            </w:r>
            <w:r>
              <w:rPr>
                <w:rFonts w:eastAsiaTheme="minorEastAsia"/>
              </w:rPr>
              <w:t>CT</w:t>
            </w:r>
            <w:r w:rsidRPr="0051590D">
              <w:rPr>
                <w:rFonts w:eastAsiaTheme="minorEastAsia"/>
              </w:rPr>
              <w:t>_</w:t>
            </w:r>
            <w:r>
              <w:rPr>
                <w:rFonts w:eastAsiaTheme="minorEastAsia"/>
              </w:rPr>
              <w:t>DH</w:t>
            </w:r>
            <w:r w:rsidRPr="0051590D">
              <w:rPr>
                <w:rFonts w:eastAsiaTheme="minorEastAsia"/>
              </w:rPr>
              <w:t>_</w:t>
            </w:r>
            <w:r>
              <w:rPr>
                <w:rFonts w:eastAsiaTheme="minorEastAsia"/>
              </w:rPr>
              <w:t>SINGLE_UNIT</w:t>
            </w:r>
          </w:p>
        </w:tc>
        <w:tc>
          <w:tcPr>
            <w:tcW w:w="3870" w:type="dxa"/>
            <w:vAlign w:val="center"/>
          </w:tcPr>
          <w:p w14:paraId="6852035D" w14:textId="1075615E" w:rsidR="00276CEB" w:rsidRPr="004859C8" w:rsidRDefault="00276CEB" w:rsidP="00276CEB">
            <w:pPr>
              <w:pStyle w:val="TMGTableText"/>
            </w:pPr>
            <w:r w:rsidRPr="0051590D">
              <w:rPr>
                <w:rFonts w:eastAsiaTheme="minorEastAsia"/>
              </w:rPr>
              <w:t>Decimal to nearest 0.</w:t>
            </w:r>
            <w:r>
              <w:rPr>
                <w:rFonts w:eastAsiaTheme="minorEastAsia"/>
              </w:rPr>
              <w:t>0</w:t>
            </w:r>
            <w:r w:rsidRPr="0051590D">
              <w:rPr>
                <w:rFonts w:eastAsiaTheme="minorEastAsia"/>
              </w:rPr>
              <w:t>1% (one-</w:t>
            </w:r>
            <w:r>
              <w:rPr>
                <w:rFonts w:eastAsiaTheme="minorEastAsia"/>
              </w:rPr>
              <w:t>hundredth</w:t>
            </w:r>
            <w:r w:rsidRPr="0051590D">
              <w:rPr>
                <w:rFonts w:eastAsiaTheme="minorEastAsia"/>
              </w:rPr>
              <w:t>)</w:t>
            </w:r>
          </w:p>
        </w:tc>
        <w:tc>
          <w:tcPr>
            <w:tcW w:w="2345" w:type="dxa"/>
            <w:vAlign w:val="center"/>
          </w:tcPr>
          <w:p w14:paraId="2D57E5F2" w14:textId="0225002F" w:rsidR="00276CEB" w:rsidRPr="00C251E9" w:rsidRDefault="00276CEB" w:rsidP="00276CEB">
            <w:pPr>
              <w:pStyle w:val="TMGTableText"/>
            </w:pPr>
            <w:r w:rsidRPr="0051590D">
              <w:rPr>
                <w:rFonts w:eastAsiaTheme="minorEastAsia"/>
              </w:rPr>
              <w:t>2.</w:t>
            </w:r>
            <w:r>
              <w:rPr>
                <w:rFonts w:eastAsiaTheme="minorEastAsia"/>
              </w:rPr>
              <w:t>1</w:t>
            </w:r>
            <w:r w:rsidRPr="0051590D">
              <w:rPr>
                <w:rFonts w:eastAsiaTheme="minorEastAsia"/>
              </w:rPr>
              <w:t>2</w:t>
            </w:r>
          </w:p>
        </w:tc>
      </w:tr>
      <w:tr w:rsidR="00276CEB" w14:paraId="598D5103" w14:textId="77777777" w:rsidTr="00481361">
        <w:trPr>
          <w:jc w:val="center"/>
        </w:trPr>
        <w:tc>
          <w:tcPr>
            <w:tcW w:w="895" w:type="dxa"/>
            <w:vAlign w:val="center"/>
          </w:tcPr>
          <w:p w14:paraId="72566946" w14:textId="6084C4EB" w:rsidR="00276CEB" w:rsidRPr="00C251E9" w:rsidRDefault="00276CEB" w:rsidP="00481361">
            <w:pPr>
              <w:pStyle w:val="TMGTableText"/>
              <w:jc w:val="center"/>
              <w:rPr>
                <w:b/>
                <w:bCs/>
              </w:rPr>
            </w:pPr>
            <w:r w:rsidRPr="00F252C6">
              <w:rPr>
                <w:rFonts w:eastAsiaTheme="minorEastAsia"/>
                <w:b/>
                <w:bCs/>
              </w:rPr>
              <w:t>24</w:t>
            </w:r>
          </w:p>
        </w:tc>
        <w:tc>
          <w:tcPr>
            <w:tcW w:w="2250" w:type="dxa"/>
            <w:vAlign w:val="center"/>
          </w:tcPr>
          <w:p w14:paraId="78118482" w14:textId="60834DE7" w:rsidR="00276CEB" w:rsidRPr="004859C8" w:rsidRDefault="00276CEB" w:rsidP="00276CEB">
            <w:pPr>
              <w:pStyle w:val="TMGTableText"/>
            </w:pPr>
            <w:r w:rsidRPr="0051590D">
              <w:rPr>
                <w:rFonts w:eastAsiaTheme="minorEastAsia"/>
              </w:rPr>
              <w:t>AADT_</w:t>
            </w:r>
            <w:r>
              <w:rPr>
                <w:rFonts w:eastAsiaTheme="minorEastAsia"/>
              </w:rPr>
              <w:t>COMBINATION</w:t>
            </w:r>
          </w:p>
        </w:tc>
        <w:tc>
          <w:tcPr>
            <w:tcW w:w="3870" w:type="dxa"/>
            <w:vAlign w:val="center"/>
          </w:tcPr>
          <w:p w14:paraId="53156696" w14:textId="2850824B" w:rsidR="00276CEB" w:rsidRPr="004859C8" w:rsidRDefault="00276CEB" w:rsidP="00276CEB">
            <w:pPr>
              <w:pStyle w:val="TMGTableText"/>
            </w:pPr>
            <w:r w:rsidRPr="0051590D">
              <w:rPr>
                <w:rFonts w:eastAsiaTheme="minorEastAsia"/>
              </w:rPr>
              <w:t>Numeric</w:t>
            </w:r>
          </w:p>
        </w:tc>
        <w:tc>
          <w:tcPr>
            <w:tcW w:w="2345" w:type="dxa"/>
            <w:vAlign w:val="center"/>
          </w:tcPr>
          <w:p w14:paraId="770D6FF7" w14:textId="33A335E3" w:rsidR="00276CEB" w:rsidRPr="00C251E9" w:rsidRDefault="00276CEB" w:rsidP="00276CEB">
            <w:pPr>
              <w:pStyle w:val="TMGTableText"/>
            </w:pPr>
            <w:r w:rsidRPr="0051590D">
              <w:rPr>
                <w:rFonts w:eastAsiaTheme="minorEastAsia"/>
              </w:rPr>
              <w:t>30,000</w:t>
            </w:r>
          </w:p>
        </w:tc>
      </w:tr>
      <w:tr w:rsidR="00276CEB" w14:paraId="4B95A9C0" w14:textId="77777777" w:rsidTr="00481361">
        <w:trPr>
          <w:jc w:val="center"/>
        </w:trPr>
        <w:tc>
          <w:tcPr>
            <w:tcW w:w="895" w:type="dxa"/>
            <w:vAlign w:val="center"/>
          </w:tcPr>
          <w:p w14:paraId="6F976996" w14:textId="1757199D" w:rsidR="00276CEB" w:rsidRPr="00C251E9" w:rsidRDefault="00276CEB" w:rsidP="00481361">
            <w:pPr>
              <w:pStyle w:val="TMGTableText"/>
              <w:jc w:val="center"/>
              <w:rPr>
                <w:b/>
                <w:bCs/>
              </w:rPr>
            </w:pPr>
            <w:r w:rsidRPr="00F252C6">
              <w:rPr>
                <w:rFonts w:eastAsiaTheme="minorEastAsia"/>
                <w:b/>
                <w:bCs/>
              </w:rPr>
              <w:t>25</w:t>
            </w:r>
          </w:p>
        </w:tc>
        <w:tc>
          <w:tcPr>
            <w:tcW w:w="2250" w:type="dxa"/>
            <w:vAlign w:val="center"/>
          </w:tcPr>
          <w:p w14:paraId="1EBA9E20" w14:textId="037E4ED7" w:rsidR="00276CEB" w:rsidRPr="004859C8" w:rsidRDefault="00276CEB" w:rsidP="00276CEB">
            <w:pPr>
              <w:pStyle w:val="TMGTableText"/>
            </w:pPr>
            <w:r w:rsidRPr="0051590D">
              <w:rPr>
                <w:rFonts w:eastAsiaTheme="minorEastAsia"/>
              </w:rPr>
              <w:t>P</w:t>
            </w:r>
            <w:r>
              <w:rPr>
                <w:rFonts w:eastAsiaTheme="minorEastAsia"/>
              </w:rPr>
              <w:t>CT</w:t>
            </w:r>
            <w:r w:rsidRPr="0051590D">
              <w:rPr>
                <w:rFonts w:eastAsiaTheme="minorEastAsia"/>
              </w:rPr>
              <w:t>_</w:t>
            </w:r>
            <w:r>
              <w:rPr>
                <w:rFonts w:eastAsiaTheme="minorEastAsia"/>
              </w:rPr>
              <w:t>DH</w:t>
            </w:r>
            <w:r w:rsidRPr="0051590D">
              <w:rPr>
                <w:rFonts w:eastAsiaTheme="minorEastAsia"/>
              </w:rPr>
              <w:t>_</w:t>
            </w:r>
            <w:r>
              <w:rPr>
                <w:rFonts w:eastAsiaTheme="minorEastAsia"/>
              </w:rPr>
              <w:t>COMBINATION</w:t>
            </w:r>
          </w:p>
        </w:tc>
        <w:tc>
          <w:tcPr>
            <w:tcW w:w="3870" w:type="dxa"/>
            <w:vAlign w:val="center"/>
          </w:tcPr>
          <w:p w14:paraId="7850E433" w14:textId="1FA3476E" w:rsidR="00276CEB" w:rsidRPr="004859C8" w:rsidRDefault="00276CEB" w:rsidP="00276CEB">
            <w:pPr>
              <w:pStyle w:val="TMGTableText"/>
            </w:pPr>
            <w:r w:rsidRPr="0051590D">
              <w:rPr>
                <w:rFonts w:eastAsiaTheme="minorEastAsia"/>
              </w:rPr>
              <w:t>Decimal to nearest 0.</w:t>
            </w:r>
            <w:r>
              <w:rPr>
                <w:rFonts w:eastAsiaTheme="minorEastAsia"/>
              </w:rPr>
              <w:t>0</w:t>
            </w:r>
            <w:r w:rsidRPr="0051590D">
              <w:rPr>
                <w:rFonts w:eastAsiaTheme="minorEastAsia"/>
              </w:rPr>
              <w:t>1% (one-</w:t>
            </w:r>
            <w:r>
              <w:rPr>
                <w:rFonts w:eastAsiaTheme="minorEastAsia"/>
              </w:rPr>
              <w:t>hundred</w:t>
            </w:r>
            <w:r w:rsidRPr="0051590D">
              <w:rPr>
                <w:rFonts w:eastAsiaTheme="minorEastAsia"/>
              </w:rPr>
              <w:t>th)</w:t>
            </w:r>
          </w:p>
        </w:tc>
        <w:tc>
          <w:tcPr>
            <w:tcW w:w="2345" w:type="dxa"/>
            <w:vAlign w:val="center"/>
          </w:tcPr>
          <w:p w14:paraId="524F69AB" w14:textId="55F7F8B6" w:rsidR="00276CEB" w:rsidRPr="00C251E9" w:rsidRDefault="00276CEB" w:rsidP="00276CEB">
            <w:pPr>
              <w:pStyle w:val="TMGTableText"/>
            </w:pPr>
            <w:r w:rsidRPr="0051590D">
              <w:rPr>
                <w:rFonts w:eastAsiaTheme="minorEastAsia"/>
              </w:rPr>
              <w:t>0.3</w:t>
            </w:r>
            <w:r>
              <w:rPr>
                <w:rFonts w:eastAsiaTheme="minorEastAsia"/>
              </w:rPr>
              <w:t>3</w:t>
            </w:r>
          </w:p>
        </w:tc>
      </w:tr>
      <w:tr w:rsidR="00276CEB" w14:paraId="7F33BFD4" w14:textId="77777777" w:rsidTr="00481361">
        <w:trPr>
          <w:jc w:val="center"/>
        </w:trPr>
        <w:tc>
          <w:tcPr>
            <w:tcW w:w="895" w:type="dxa"/>
            <w:vAlign w:val="center"/>
          </w:tcPr>
          <w:p w14:paraId="075D5F44" w14:textId="768C656A" w:rsidR="00276CEB" w:rsidRPr="00C251E9" w:rsidRDefault="00276CEB" w:rsidP="00481361">
            <w:pPr>
              <w:pStyle w:val="TMGTableText"/>
              <w:jc w:val="center"/>
              <w:rPr>
                <w:b/>
                <w:bCs/>
              </w:rPr>
            </w:pPr>
            <w:r w:rsidRPr="00F252C6">
              <w:rPr>
                <w:rFonts w:eastAsiaTheme="minorEastAsia"/>
                <w:b/>
                <w:bCs/>
              </w:rPr>
              <w:t>26</w:t>
            </w:r>
          </w:p>
        </w:tc>
        <w:tc>
          <w:tcPr>
            <w:tcW w:w="2250" w:type="dxa"/>
            <w:vAlign w:val="center"/>
          </w:tcPr>
          <w:p w14:paraId="241C7904" w14:textId="031B9B95" w:rsidR="00276CEB" w:rsidRPr="004859C8" w:rsidRDefault="00276CEB" w:rsidP="00276CEB">
            <w:pPr>
              <w:pStyle w:val="TMGTableText"/>
            </w:pPr>
            <w:r>
              <w:rPr>
                <w:rFonts w:eastAsiaTheme="minorEastAsia"/>
              </w:rPr>
              <w:t>K_FACTOR</w:t>
            </w:r>
          </w:p>
        </w:tc>
        <w:tc>
          <w:tcPr>
            <w:tcW w:w="3870" w:type="dxa"/>
            <w:vAlign w:val="center"/>
          </w:tcPr>
          <w:p w14:paraId="735B429A" w14:textId="552C5135" w:rsidR="00276CEB" w:rsidRPr="004859C8" w:rsidRDefault="00276CEB" w:rsidP="00276CEB">
            <w:pPr>
              <w:pStyle w:val="TMGTableText"/>
            </w:pPr>
            <w:r w:rsidRPr="0051590D">
              <w:rPr>
                <w:rFonts w:eastAsiaTheme="minorEastAsia"/>
              </w:rPr>
              <w:t>Numeric (2-digit)</w:t>
            </w:r>
          </w:p>
        </w:tc>
        <w:tc>
          <w:tcPr>
            <w:tcW w:w="2345" w:type="dxa"/>
            <w:vAlign w:val="center"/>
          </w:tcPr>
          <w:p w14:paraId="0F16F7F9" w14:textId="2034534C" w:rsidR="00276CEB" w:rsidRPr="00C251E9" w:rsidRDefault="00276CEB" w:rsidP="00276CEB">
            <w:pPr>
              <w:pStyle w:val="TMGTableText"/>
            </w:pPr>
            <w:r w:rsidRPr="0051590D">
              <w:rPr>
                <w:rFonts w:eastAsiaTheme="minorEastAsia"/>
              </w:rPr>
              <w:t>1-99 (represents 1%-99%)</w:t>
            </w:r>
          </w:p>
        </w:tc>
      </w:tr>
      <w:tr w:rsidR="00276CEB" w14:paraId="385BCACA" w14:textId="77777777" w:rsidTr="00481361">
        <w:trPr>
          <w:jc w:val="center"/>
        </w:trPr>
        <w:tc>
          <w:tcPr>
            <w:tcW w:w="895" w:type="dxa"/>
            <w:vAlign w:val="center"/>
          </w:tcPr>
          <w:p w14:paraId="5292E29F" w14:textId="126C4A74" w:rsidR="00276CEB" w:rsidRPr="00C251E9" w:rsidRDefault="00276CEB" w:rsidP="00481361">
            <w:pPr>
              <w:pStyle w:val="TMGTableText"/>
              <w:jc w:val="center"/>
              <w:rPr>
                <w:b/>
                <w:bCs/>
              </w:rPr>
            </w:pPr>
            <w:r w:rsidRPr="00F252C6">
              <w:rPr>
                <w:rFonts w:eastAsiaTheme="minorEastAsia"/>
                <w:b/>
                <w:bCs/>
              </w:rPr>
              <w:t>27</w:t>
            </w:r>
          </w:p>
        </w:tc>
        <w:tc>
          <w:tcPr>
            <w:tcW w:w="2250" w:type="dxa"/>
            <w:vAlign w:val="center"/>
          </w:tcPr>
          <w:p w14:paraId="680CDCBA" w14:textId="5F70EE53" w:rsidR="00276CEB" w:rsidRPr="004859C8" w:rsidRDefault="00276CEB" w:rsidP="00276CEB">
            <w:pPr>
              <w:pStyle w:val="TMGTableText"/>
            </w:pPr>
            <w:r>
              <w:rPr>
                <w:rFonts w:eastAsiaTheme="minorEastAsia"/>
              </w:rPr>
              <w:t>DIR_FACTOR</w:t>
            </w:r>
          </w:p>
        </w:tc>
        <w:tc>
          <w:tcPr>
            <w:tcW w:w="3870" w:type="dxa"/>
            <w:vAlign w:val="center"/>
          </w:tcPr>
          <w:p w14:paraId="507CCC26" w14:textId="0A73CA1C" w:rsidR="00276CEB" w:rsidRPr="004859C8" w:rsidRDefault="00276CEB" w:rsidP="00276CEB">
            <w:pPr>
              <w:pStyle w:val="TMGTableText"/>
            </w:pPr>
            <w:r w:rsidRPr="0051590D">
              <w:rPr>
                <w:rFonts w:eastAsiaTheme="minorEastAsia"/>
              </w:rPr>
              <w:t>Numeric (2-digit)</w:t>
            </w:r>
          </w:p>
        </w:tc>
        <w:tc>
          <w:tcPr>
            <w:tcW w:w="2345" w:type="dxa"/>
            <w:vAlign w:val="center"/>
          </w:tcPr>
          <w:p w14:paraId="5EB09BF4" w14:textId="171D537D" w:rsidR="00276CEB" w:rsidRPr="00C251E9" w:rsidRDefault="00276CEB" w:rsidP="00276CEB">
            <w:pPr>
              <w:pStyle w:val="TMGTableText"/>
            </w:pPr>
            <w:r w:rsidRPr="0051590D">
              <w:rPr>
                <w:rFonts w:eastAsiaTheme="minorEastAsia"/>
              </w:rPr>
              <w:t>1-99 (represents 1%-99%)</w:t>
            </w:r>
          </w:p>
        </w:tc>
      </w:tr>
      <w:tr w:rsidR="00276CEB" w14:paraId="4133F2DA" w14:textId="77777777" w:rsidTr="00481361">
        <w:trPr>
          <w:jc w:val="center"/>
        </w:trPr>
        <w:tc>
          <w:tcPr>
            <w:tcW w:w="895" w:type="dxa"/>
            <w:vAlign w:val="center"/>
          </w:tcPr>
          <w:p w14:paraId="10BC8248" w14:textId="5B18A88B" w:rsidR="00276CEB" w:rsidRPr="00C251E9" w:rsidRDefault="00276CEB" w:rsidP="00481361">
            <w:pPr>
              <w:pStyle w:val="TMGTableText"/>
              <w:jc w:val="center"/>
              <w:rPr>
                <w:b/>
                <w:bCs/>
              </w:rPr>
            </w:pPr>
            <w:r w:rsidRPr="00F252C6">
              <w:rPr>
                <w:rFonts w:eastAsiaTheme="minorEastAsia"/>
                <w:b/>
                <w:bCs/>
              </w:rPr>
              <w:t>28</w:t>
            </w:r>
          </w:p>
        </w:tc>
        <w:tc>
          <w:tcPr>
            <w:tcW w:w="2250" w:type="dxa"/>
            <w:vAlign w:val="center"/>
          </w:tcPr>
          <w:p w14:paraId="2ADECFB0" w14:textId="5C06B6EF" w:rsidR="00276CEB" w:rsidRPr="004859C8" w:rsidRDefault="00276CEB" w:rsidP="00276CEB">
            <w:pPr>
              <w:pStyle w:val="TMGTableText"/>
            </w:pPr>
            <w:r>
              <w:rPr>
                <w:rFonts w:eastAsiaTheme="minorEastAsia"/>
              </w:rPr>
              <w:t>FUTURE_AADT</w:t>
            </w:r>
          </w:p>
        </w:tc>
        <w:tc>
          <w:tcPr>
            <w:tcW w:w="3870" w:type="dxa"/>
            <w:vAlign w:val="center"/>
          </w:tcPr>
          <w:p w14:paraId="40D24A03" w14:textId="77777777" w:rsidR="00276CEB" w:rsidRPr="004859C8" w:rsidRDefault="00276CEB" w:rsidP="00276CEB">
            <w:pPr>
              <w:pStyle w:val="TMGTableText"/>
            </w:pPr>
          </w:p>
        </w:tc>
        <w:tc>
          <w:tcPr>
            <w:tcW w:w="2345" w:type="dxa"/>
            <w:vAlign w:val="center"/>
          </w:tcPr>
          <w:p w14:paraId="5E6E1BF8" w14:textId="77777777" w:rsidR="00276CEB" w:rsidRPr="00C251E9" w:rsidRDefault="00276CEB" w:rsidP="00276CEB">
            <w:pPr>
              <w:pStyle w:val="TMGTableText"/>
            </w:pPr>
          </w:p>
        </w:tc>
      </w:tr>
      <w:tr w:rsidR="00276CEB" w14:paraId="6E278995" w14:textId="77777777" w:rsidTr="00481361">
        <w:trPr>
          <w:jc w:val="center"/>
        </w:trPr>
        <w:tc>
          <w:tcPr>
            <w:tcW w:w="895" w:type="dxa"/>
            <w:vAlign w:val="center"/>
          </w:tcPr>
          <w:p w14:paraId="6A23F80F" w14:textId="08A4D1E2" w:rsidR="00276CEB" w:rsidRPr="00C251E9" w:rsidRDefault="00276CEB" w:rsidP="00481361">
            <w:pPr>
              <w:pStyle w:val="TMGTableText"/>
              <w:jc w:val="center"/>
              <w:rPr>
                <w:b/>
                <w:bCs/>
              </w:rPr>
            </w:pPr>
            <w:r w:rsidRPr="00F252C6">
              <w:rPr>
                <w:rFonts w:eastAsiaTheme="minorEastAsia"/>
                <w:b/>
                <w:bCs/>
              </w:rPr>
              <w:t>29</w:t>
            </w:r>
          </w:p>
        </w:tc>
        <w:tc>
          <w:tcPr>
            <w:tcW w:w="2250" w:type="dxa"/>
            <w:vAlign w:val="center"/>
          </w:tcPr>
          <w:p w14:paraId="00F04D64" w14:textId="36148386" w:rsidR="00276CEB" w:rsidRPr="004859C8" w:rsidRDefault="00276CEB" w:rsidP="00276CEB">
            <w:pPr>
              <w:pStyle w:val="TMGTableText"/>
            </w:pPr>
            <w:r>
              <w:rPr>
                <w:rFonts w:eastAsiaTheme="minorEastAsia"/>
              </w:rPr>
              <w:t>SIGNAL_TYPE</w:t>
            </w:r>
          </w:p>
        </w:tc>
        <w:tc>
          <w:tcPr>
            <w:tcW w:w="3870" w:type="dxa"/>
            <w:vAlign w:val="center"/>
          </w:tcPr>
          <w:p w14:paraId="1DD5A50F" w14:textId="77777777" w:rsidR="00276CEB" w:rsidRPr="004859C8" w:rsidRDefault="00276CEB" w:rsidP="00276CEB">
            <w:pPr>
              <w:pStyle w:val="TMGTableText"/>
            </w:pPr>
          </w:p>
        </w:tc>
        <w:tc>
          <w:tcPr>
            <w:tcW w:w="2345" w:type="dxa"/>
            <w:vAlign w:val="center"/>
          </w:tcPr>
          <w:p w14:paraId="2829FEFA" w14:textId="77777777" w:rsidR="00276CEB" w:rsidRPr="00C251E9" w:rsidRDefault="00276CEB" w:rsidP="00276CEB">
            <w:pPr>
              <w:pStyle w:val="TMGTableText"/>
            </w:pPr>
          </w:p>
        </w:tc>
      </w:tr>
      <w:tr w:rsidR="00276CEB" w14:paraId="21385F33" w14:textId="77777777" w:rsidTr="00481361">
        <w:trPr>
          <w:jc w:val="center"/>
        </w:trPr>
        <w:tc>
          <w:tcPr>
            <w:tcW w:w="895" w:type="dxa"/>
            <w:vAlign w:val="center"/>
          </w:tcPr>
          <w:p w14:paraId="1D81F5AA" w14:textId="4C067CE7" w:rsidR="00276CEB" w:rsidRPr="00C251E9" w:rsidRDefault="00276CEB" w:rsidP="00481361">
            <w:pPr>
              <w:pStyle w:val="TMGTableText"/>
              <w:jc w:val="center"/>
              <w:rPr>
                <w:b/>
                <w:bCs/>
              </w:rPr>
            </w:pPr>
            <w:r w:rsidRPr="00F252C6">
              <w:rPr>
                <w:rFonts w:eastAsiaTheme="minorEastAsia"/>
                <w:b/>
                <w:bCs/>
              </w:rPr>
              <w:t>30</w:t>
            </w:r>
          </w:p>
        </w:tc>
        <w:tc>
          <w:tcPr>
            <w:tcW w:w="2250" w:type="dxa"/>
            <w:vAlign w:val="center"/>
          </w:tcPr>
          <w:p w14:paraId="1DBA4491" w14:textId="2FF27FDD" w:rsidR="00276CEB" w:rsidRPr="004859C8" w:rsidRDefault="00276CEB" w:rsidP="00276CEB">
            <w:pPr>
              <w:pStyle w:val="TMGTableText"/>
            </w:pPr>
            <w:r>
              <w:rPr>
                <w:rFonts w:eastAsiaTheme="minorEastAsia"/>
              </w:rPr>
              <w:t>PCT_GREEN_TIME</w:t>
            </w:r>
          </w:p>
        </w:tc>
        <w:tc>
          <w:tcPr>
            <w:tcW w:w="3870" w:type="dxa"/>
            <w:vAlign w:val="center"/>
          </w:tcPr>
          <w:p w14:paraId="0DE51EEF" w14:textId="77777777" w:rsidR="00276CEB" w:rsidRPr="004859C8" w:rsidRDefault="00276CEB" w:rsidP="00276CEB">
            <w:pPr>
              <w:pStyle w:val="TMGTableText"/>
            </w:pPr>
          </w:p>
        </w:tc>
        <w:tc>
          <w:tcPr>
            <w:tcW w:w="2345" w:type="dxa"/>
            <w:vAlign w:val="center"/>
          </w:tcPr>
          <w:p w14:paraId="29E06967" w14:textId="77777777" w:rsidR="00276CEB" w:rsidRPr="00C251E9" w:rsidRDefault="00276CEB" w:rsidP="00276CEB">
            <w:pPr>
              <w:pStyle w:val="TMGTableText"/>
            </w:pPr>
          </w:p>
        </w:tc>
      </w:tr>
      <w:tr w:rsidR="00276CEB" w14:paraId="47E074A3" w14:textId="77777777" w:rsidTr="00481361">
        <w:trPr>
          <w:jc w:val="center"/>
        </w:trPr>
        <w:tc>
          <w:tcPr>
            <w:tcW w:w="895" w:type="dxa"/>
            <w:vAlign w:val="center"/>
          </w:tcPr>
          <w:p w14:paraId="142D3CE3" w14:textId="26EA0C6D" w:rsidR="00276CEB" w:rsidRPr="00C251E9" w:rsidRDefault="00276CEB" w:rsidP="00481361">
            <w:pPr>
              <w:pStyle w:val="TMGTableText"/>
              <w:jc w:val="center"/>
              <w:rPr>
                <w:b/>
                <w:bCs/>
              </w:rPr>
            </w:pPr>
            <w:r w:rsidRPr="00F252C6">
              <w:rPr>
                <w:rFonts w:eastAsiaTheme="minorEastAsia"/>
                <w:b/>
                <w:bCs/>
              </w:rPr>
              <w:t>31</w:t>
            </w:r>
          </w:p>
        </w:tc>
        <w:tc>
          <w:tcPr>
            <w:tcW w:w="2250" w:type="dxa"/>
            <w:vAlign w:val="center"/>
          </w:tcPr>
          <w:p w14:paraId="268588D0" w14:textId="7BEB80A5" w:rsidR="00276CEB" w:rsidRPr="004859C8" w:rsidRDefault="00276CEB" w:rsidP="00276CEB">
            <w:pPr>
              <w:pStyle w:val="TMGTableText"/>
            </w:pPr>
            <w:r>
              <w:rPr>
                <w:rFonts w:eastAsiaTheme="minorEastAsia"/>
              </w:rPr>
              <w:t>NUMBER_SIGNALS</w:t>
            </w:r>
          </w:p>
        </w:tc>
        <w:tc>
          <w:tcPr>
            <w:tcW w:w="3870" w:type="dxa"/>
            <w:vAlign w:val="center"/>
          </w:tcPr>
          <w:p w14:paraId="6BDE5DD0" w14:textId="77777777" w:rsidR="00276CEB" w:rsidRPr="004859C8" w:rsidRDefault="00276CEB" w:rsidP="00276CEB">
            <w:pPr>
              <w:pStyle w:val="TMGTableText"/>
            </w:pPr>
          </w:p>
        </w:tc>
        <w:tc>
          <w:tcPr>
            <w:tcW w:w="2345" w:type="dxa"/>
            <w:vAlign w:val="center"/>
          </w:tcPr>
          <w:p w14:paraId="4CC1F4FD" w14:textId="77777777" w:rsidR="00276CEB" w:rsidRPr="00C251E9" w:rsidRDefault="00276CEB" w:rsidP="00276CEB">
            <w:pPr>
              <w:pStyle w:val="TMGTableText"/>
            </w:pPr>
          </w:p>
        </w:tc>
      </w:tr>
      <w:tr w:rsidR="00276CEB" w14:paraId="0800022C" w14:textId="77777777" w:rsidTr="00481361">
        <w:trPr>
          <w:jc w:val="center"/>
        </w:trPr>
        <w:tc>
          <w:tcPr>
            <w:tcW w:w="895" w:type="dxa"/>
            <w:vAlign w:val="center"/>
          </w:tcPr>
          <w:p w14:paraId="7B1F4FD0" w14:textId="14B32BFC" w:rsidR="00276CEB" w:rsidRPr="00C251E9" w:rsidRDefault="00276CEB" w:rsidP="00481361">
            <w:pPr>
              <w:pStyle w:val="TMGTableText"/>
              <w:jc w:val="center"/>
              <w:rPr>
                <w:b/>
                <w:bCs/>
              </w:rPr>
            </w:pPr>
            <w:r w:rsidRPr="00F252C6">
              <w:rPr>
                <w:rFonts w:eastAsiaTheme="minorEastAsia"/>
                <w:b/>
                <w:bCs/>
              </w:rPr>
              <w:t>32</w:t>
            </w:r>
          </w:p>
        </w:tc>
        <w:tc>
          <w:tcPr>
            <w:tcW w:w="2250" w:type="dxa"/>
            <w:vAlign w:val="center"/>
          </w:tcPr>
          <w:p w14:paraId="7B45D64B" w14:textId="38AB27B5" w:rsidR="00276CEB" w:rsidRPr="004859C8" w:rsidRDefault="00276CEB" w:rsidP="00276CEB">
            <w:pPr>
              <w:pStyle w:val="TMGTableText"/>
            </w:pPr>
            <w:r>
              <w:rPr>
                <w:rFonts w:eastAsiaTheme="minorEastAsia"/>
              </w:rPr>
              <w:t>STOP_SIGNS</w:t>
            </w:r>
          </w:p>
        </w:tc>
        <w:tc>
          <w:tcPr>
            <w:tcW w:w="3870" w:type="dxa"/>
            <w:vAlign w:val="center"/>
          </w:tcPr>
          <w:p w14:paraId="413B05A4" w14:textId="77777777" w:rsidR="00276CEB" w:rsidRPr="004859C8" w:rsidRDefault="00276CEB" w:rsidP="00276CEB">
            <w:pPr>
              <w:pStyle w:val="TMGTableText"/>
            </w:pPr>
          </w:p>
        </w:tc>
        <w:tc>
          <w:tcPr>
            <w:tcW w:w="2345" w:type="dxa"/>
            <w:vAlign w:val="center"/>
          </w:tcPr>
          <w:p w14:paraId="10542AF0" w14:textId="77777777" w:rsidR="00276CEB" w:rsidRPr="00C251E9" w:rsidRDefault="00276CEB" w:rsidP="00276CEB">
            <w:pPr>
              <w:pStyle w:val="TMGTableText"/>
            </w:pPr>
          </w:p>
        </w:tc>
      </w:tr>
      <w:tr w:rsidR="00276CEB" w14:paraId="258F5EED" w14:textId="77777777" w:rsidTr="00481361">
        <w:trPr>
          <w:jc w:val="center"/>
        </w:trPr>
        <w:tc>
          <w:tcPr>
            <w:tcW w:w="895" w:type="dxa"/>
            <w:vAlign w:val="center"/>
          </w:tcPr>
          <w:p w14:paraId="696523A4" w14:textId="191F1755" w:rsidR="00276CEB" w:rsidRPr="00C251E9" w:rsidRDefault="00276CEB" w:rsidP="00481361">
            <w:pPr>
              <w:pStyle w:val="TMGTableText"/>
              <w:jc w:val="center"/>
              <w:rPr>
                <w:b/>
                <w:bCs/>
              </w:rPr>
            </w:pPr>
            <w:r w:rsidRPr="00F252C6">
              <w:rPr>
                <w:rFonts w:eastAsiaTheme="minorEastAsia"/>
                <w:b/>
                <w:bCs/>
              </w:rPr>
              <w:t>33</w:t>
            </w:r>
          </w:p>
        </w:tc>
        <w:tc>
          <w:tcPr>
            <w:tcW w:w="2250" w:type="dxa"/>
            <w:vAlign w:val="center"/>
          </w:tcPr>
          <w:p w14:paraId="68153546" w14:textId="58CEE3C8" w:rsidR="00276CEB" w:rsidRPr="004859C8" w:rsidRDefault="00276CEB" w:rsidP="00276CEB">
            <w:pPr>
              <w:pStyle w:val="TMGTableText"/>
            </w:pPr>
            <w:r>
              <w:rPr>
                <w:rFonts w:eastAsiaTheme="minorEastAsia"/>
              </w:rPr>
              <w:t>AT_GRADE_OTHER</w:t>
            </w:r>
          </w:p>
        </w:tc>
        <w:tc>
          <w:tcPr>
            <w:tcW w:w="3870" w:type="dxa"/>
            <w:vAlign w:val="center"/>
          </w:tcPr>
          <w:p w14:paraId="2F8A061B" w14:textId="77777777" w:rsidR="00276CEB" w:rsidRPr="004859C8" w:rsidRDefault="00276CEB" w:rsidP="00276CEB">
            <w:pPr>
              <w:pStyle w:val="TMGTableText"/>
            </w:pPr>
          </w:p>
        </w:tc>
        <w:tc>
          <w:tcPr>
            <w:tcW w:w="2345" w:type="dxa"/>
            <w:vAlign w:val="center"/>
          </w:tcPr>
          <w:p w14:paraId="5D191033" w14:textId="77777777" w:rsidR="00276CEB" w:rsidRPr="00C251E9" w:rsidRDefault="00276CEB" w:rsidP="00276CEB">
            <w:pPr>
              <w:pStyle w:val="TMGTableText"/>
            </w:pPr>
          </w:p>
        </w:tc>
      </w:tr>
    </w:tbl>
    <w:p w14:paraId="29E43EAE" w14:textId="77777777" w:rsidR="00276CEB" w:rsidRDefault="00276CEB" w:rsidP="00A35EAF">
      <w:pPr>
        <w:pStyle w:val="BodyText"/>
        <w:rPr>
          <w:b/>
        </w:rPr>
      </w:pPr>
    </w:p>
    <w:p w14:paraId="66AC3348" w14:textId="77777777" w:rsidR="00276CEB" w:rsidRDefault="00276CEB">
      <w:pPr>
        <w:widowControl/>
        <w:suppressAutoHyphens w:val="0"/>
        <w:autoSpaceDE/>
        <w:autoSpaceDN/>
        <w:adjustRightInd/>
        <w:spacing w:after="160" w:line="259" w:lineRule="auto"/>
        <w:jc w:val="left"/>
        <w:textAlignment w:val="auto"/>
        <w:rPr>
          <w:b/>
          <w:color w:val="auto"/>
        </w:rPr>
      </w:pPr>
      <w:r>
        <w:rPr>
          <w:b/>
        </w:rPr>
        <w:br w:type="page"/>
      </w:r>
    </w:p>
    <w:p w14:paraId="052163AE" w14:textId="34456E7B" w:rsidR="003F7B9F" w:rsidRPr="0014527D" w:rsidRDefault="003F7B9F" w:rsidP="00A35EAF">
      <w:pPr>
        <w:pStyle w:val="BodyText"/>
      </w:pPr>
      <w:r w:rsidRPr="0014527D">
        <w:rPr>
          <w:b/>
        </w:rPr>
        <w:lastRenderedPageBreak/>
        <w:t xml:space="preserve">AADT </w:t>
      </w:r>
      <w:r w:rsidRPr="0014527D">
        <w:t>– is the Annual Average Daily Traffic and represents all days of the reporting year for traffic on a section of road and is required for all Federal-aid highways and grade-separated interchange ramps</w:t>
      </w:r>
      <w:r w:rsidR="00561AE3">
        <w:t>.</w:t>
      </w:r>
      <w:r>
        <w:t xml:space="preserve"> </w:t>
      </w:r>
    </w:p>
    <w:p w14:paraId="6CF9C9E6" w14:textId="49DB759B" w:rsidR="003F7B9F" w:rsidRPr="0014527D" w:rsidRDefault="003F7B9F" w:rsidP="00A35EAF">
      <w:pPr>
        <w:pStyle w:val="BodyText"/>
      </w:pPr>
      <w:r w:rsidRPr="0014527D">
        <w:rPr>
          <w:b/>
        </w:rPr>
        <w:t>AADT_</w:t>
      </w:r>
      <w:r w:rsidR="00382423">
        <w:rPr>
          <w:b/>
        </w:rPr>
        <w:t>SINGLE</w:t>
      </w:r>
      <w:r w:rsidRPr="0014527D">
        <w:rPr>
          <w:b/>
        </w:rPr>
        <w:t>_U</w:t>
      </w:r>
      <w:r w:rsidR="00382423">
        <w:rPr>
          <w:b/>
        </w:rPr>
        <w:t>NIT</w:t>
      </w:r>
      <w:r w:rsidRPr="0014527D">
        <w:t xml:space="preserve"> – is the Annual Average Daily Traffic for single-unit trucks and buses and is required for all NHS and Sample Panel sections</w:t>
      </w:r>
      <w:r>
        <w:t xml:space="preserve"> (HFM 4.4)</w:t>
      </w:r>
      <w:r w:rsidRPr="0014527D">
        <w:t>. This item requires detailed vehicle classification data and includes FHWA vehicle classes 4-7</w:t>
      </w:r>
      <w:r>
        <w:t>.</w:t>
      </w:r>
    </w:p>
    <w:p w14:paraId="45C36587" w14:textId="12E3E167" w:rsidR="003F7B9F" w:rsidRPr="0014527D" w:rsidRDefault="00C22F29" w:rsidP="00A35EAF">
      <w:pPr>
        <w:pStyle w:val="BodyText"/>
      </w:pPr>
      <w:r w:rsidRPr="00F72340">
        <w:rPr>
          <w:b/>
        </w:rPr>
        <w:t>PCT_DH_</w:t>
      </w:r>
      <w:r w:rsidR="004731FA">
        <w:rPr>
          <w:b/>
        </w:rPr>
        <w:t>SINGLE_UNIT</w:t>
      </w:r>
      <w:r>
        <w:rPr>
          <w:b/>
        </w:rPr>
        <w:t xml:space="preserve"> </w:t>
      </w:r>
      <w:r>
        <w:t xml:space="preserve">– </w:t>
      </w:r>
      <w:r w:rsidR="004731FA" w:rsidRPr="004731FA">
        <w:t>Percent Design Hour Single-Unit Trucks and Buses is the Design Hour single-unit truck and bus volume as a percentage of the applicable roadway section’s Design Hour volume rounded to the nearest hundredths of a percent (0.01%). This percent shall not be rounded to the nearest whole percent or to zero percent if minimal vehicles exist. The Design Hour is considered to be the 30th largest hourly volume for a given calendar year.</w:t>
      </w:r>
      <w:r w:rsidR="00A416C4">
        <w:t xml:space="preserve"> </w:t>
      </w:r>
    </w:p>
    <w:p w14:paraId="741AD850" w14:textId="1FAA866B" w:rsidR="003F7B9F" w:rsidRPr="0014527D" w:rsidRDefault="00301E28" w:rsidP="00A35EAF">
      <w:pPr>
        <w:pStyle w:val="BodyText"/>
      </w:pPr>
      <w:r w:rsidRPr="00301E28">
        <w:rPr>
          <w:b/>
        </w:rPr>
        <w:t>AADT_COMBINATION</w:t>
      </w:r>
      <w:r w:rsidR="003F7B9F" w:rsidRPr="0014527D">
        <w:rPr>
          <w:b/>
        </w:rPr>
        <w:t xml:space="preserve"> </w:t>
      </w:r>
      <w:r w:rsidR="003F7B9F" w:rsidRPr="001636F6">
        <w:rPr>
          <w:bCs/>
        </w:rPr>
        <w:t>–</w:t>
      </w:r>
      <w:r w:rsidR="003F7B9F" w:rsidRPr="0014527D">
        <w:rPr>
          <w:b/>
        </w:rPr>
        <w:t xml:space="preserve"> </w:t>
      </w:r>
      <w:r w:rsidR="003F7B9F" w:rsidRPr="0014527D">
        <w:t>is the Annual Average Daily Traffic for Combination Trucks and must be reported for the entire NHS and all Sample Panel sections</w:t>
      </w:r>
      <w:r w:rsidR="003F7B9F">
        <w:t xml:space="preserve">. </w:t>
      </w:r>
      <w:r w:rsidR="003F7B9F" w:rsidRPr="0014527D">
        <w:t>This item requires detailed vehicle classification data and includes FHWA vehicle classes 8-13</w:t>
      </w:r>
      <w:r w:rsidR="003F7B9F">
        <w:t>.</w:t>
      </w:r>
    </w:p>
    <w:p w14:paraId="2950942E" w14:textId="4B5790A9" w:rsidR="00A416C4" w:rsidRPr="00A416C4" w:rsidRDefault="00A416C4" w:rsidP="00A35EAF">
      <w:pPr>
        <w:pStyle w:val="BodyText"/>
      </w:pPr>
      <w:r w:rsidRPr="00A416C4">
        <w:rPr>
          <w:b/>
        </w:rPr>
        <w:t>PCT_DH_</w:t>
      </w:r>
      <w:r w:rsidR="004731FA">
        <w:rPr>
          <w:b/>
        </w:rPr>
        <w:t>COMBINA</w:t>
      </w:r>
      <w:r w:rsidR="00153632">
        <w:rPr>
          <w:b/>
        </w:rPr>
        <w:t>T</w:t>
      </w:r>
      <w:r w:rsidR="004731FA">
        <w:rPr>
          <w:b/>
        </w:rPr>
        <w:t>ION</w:t>
      </w:r>
      <w:r w:rsidRPr="00A416C4">
        <w:rPr>
          <w:b/>
        </w:rPr>
        <w:t xml:space="preserve"> </w:t>
      </w:r>
      <w:r w:rsidRPr="00A416C4">
        <w:t xml:space="preserve">– </w:t>
      </w:r>
      <w:r w:rsidR="004731FA" w:rsidRPr="004731FA">
        <w:t>Percent Design Hour Combination Trucks is the Design Hour combination truck volume as a percentage of the applicable roadway section’s Design Hour volume rounded to the nearest hundredths of a percent (0.01%). This percent shall not be rounded to the nearest whole percent or to zero percent if minimal vehicles exist. The Design Hour is considered to be the 30th largest hourly volume for a given calendar year.</w:t>
      </w:r>
    </w:p>
    <w:p w14:paraId="4839866C" w14:textId="77B6394D" w:rsidR="003F7B9F" w:rsidRPr="0014527D" w:rsidRDefault="00382423" w:rsidP="00A35EAF">
      <w:pPr>
        <w:pStyle w:val="BodyText"/>
      </w:pPr>
      <w:r>
        <w:rPr>
          <w:b/>
        </w:rPr>
        <w:t>K_FACTOR</w:t>
      </w:r>
      <w:r w:rsidR="003F7B9F" w:rsidRPr="0014527D">
        <w:rPr>
          <w:b/>
        </w:rPr>
        <w:t xml:space="preserve"> </w:t>
      </w:r>
      <w:r w:rsidR="003F7B9F" w:rsidRPr="001636F6">
        <w:rPr>
          <w:bCs/>
        </w:rPr>
        <w:t>–</w:t>
      </w:r>
      <w:r w:rsidR="003F7B9F" w:rsidRPr="0014527D">
        <w:rPr>
          <w:b/>
        </w:rPr>
        <w:t xml:space="preserve"> </w:t>
      </w:r>
      <w:r w:rsidR="003F7B9F" w:rsidRPr="0014527D">
        <w:t xml:space="preserve">is the </w:t>
      </w:r>
      <w:r w:rsidR="004731FA">
        <w:t>design</w:t>
      </w:r>
      <w:r w:rsidR="003F7B9F" w:rsidRPr="0014527D">
        <w:t xml:space="preserve"> hour volume (i.e., 30</w:t>
      </w:r>
      <w:r w:rsidR="003F7B9F" w:rsidRPr="0014527D">
        <w:rPr>
          <w:vertAlign w:val="superscript"/>
        </w:rPr>
        <w:t>th</w:t>
      </w:r>
      <w:r w:rsidR="003F7B9F" w:rsidRPr="0014527D">
        <w:t xml:space="preserve"> highest hourly volume) expressed as a percentage of total AADT. This item is needed for all Sample Panel sections</w:t>
      </w:r>
      <w:r w:rsidR="003F7B9F">
        <w:t xml:space="preserve">. </w:t>
      </w:r>
      <w:r w:rsidR="003F7B9F" w:rsidRPr="0014527D">
        <w:t xml:space="preserve">It </w:t>
      </w:r>
      <w:r w:rsidR="003F7B9F">
        <w:t>is best developed from hourly ATR</w:t>
      </w:r>
      <w:r w:rsidR="003F7B9F" w:rsidRPr="0014527D">
        <w:t xml:space="preserve"> data. The different methods used for developing short</w:t>
      </w:r>
      <w:r w:rsidR="003F7B9F">
        <w:t>-term and continuous count K</w:t>
      </w:r>
      <w:r w:rsidR="003F7B9F" w:rsidRPr="0014527D">
        <w:t>-</w:t>
      </w:r>
      <w:r w:rsidR="00831960">
        <w:t>FACTOR</w:t>
      </w:r>
      <w:r w:rsidR="003F7B9F" w:rsidRPr="0014527D">
        <w:t>s are described in more detail in Chapter 3.</w:t>
      </w:r>
    </w:p>
    <w:p w14:paraId="61E6BAE5" w14:textId="1E5DB8A0" w:rsidR="003F7B9F" w:rsidRDefault="00382423" w:rsidP="00A35EAF">
      <w:pPr>
        <w:pStyle w:val="BodyText"/>
      </w:pPr>
      <w:r>
        <w:rPr>
          <w:b/>
        </w:rPr>
        <w:t>DIR_FACTOR</w:t>
      </w:r>
      <w:r w:rsidR="003F7B9F" w:rsidRPr="0014527D">
        <w:t xml:space="preserve"> – is the percent of </w:t>
      </w:r>
      <w:r w:rsidR="003907B2">
        <w:t>design</w:t>
      </w:r>
      <w:r w:rsidR="003F7B9F" w:rsidRPr="0014527D">
        <w:t xml:space="preserve"> hour volume flowing in the peak direction and is required for all Sample Panel sections</w:t>
      </w:r>
      <w:r w:rsidR="00561AE3">
        <w:t>.</w:t>
      </w:r>
    </w:p>
    <w:p w14:paraId="6B9CBEFA" w14:textId="77777777" w:rsidR="003F7B9F" w:rsidRDefault="003F7B9F" w:rsidP="00A35EAF">
      <w:pPr>
        <w:pStyle w:val="BodyText"/>
      </w:pPr>
      <w:r>
        <w:t>Section 5.4 provides additional information for calculating values for each of these elements.</w:t>
      </w:r>
    </w:p>
    <w:p w14:paraId="77576A36" w14:textId="58D57BEC" w:rsidR="003F7B9F" w:rsidRDefault="003F7B9F" w:rsidP="00A35EAF">
      <w:pPr>
        <w:pStyle w:val="BodyText"/>
        <w:rPr>
          <w:i/>
          <w:iCs/>
        </w:rPr>
      </w:pPr>
      <w:r>
        <w:t xml:space="preserve">Further guidance for items 21 through 27 can be found in </w:t>
      </w:r>
      <w:r w:rsidRPr="00C91712">
        <w:rPr>
          <w:i/>
          <w:iCs/>
        </w:rPr>
        <w:t>TMG</w:t>
      </w:r>
      <w:r>
        <w:rPr>
          <w:i/>
          <w:iCs/>
        </w:rPr>
        <w:t xml:space="preserve"> </w:t>
      </w:r>
      <w:r>
        <w:t xml:space="preserve">Chapter 3. HPMS traffic data items 28 through 33 are not collected by the </w:t>
      </w:r>
      <w:r w:rsidR="0030538F">
        <w:t>S</w:t>
      </w:r>
      <w:r>
        <w:t>tate’s traffic monitoring program.</w:t>
      </w:r>
    </w:p>
    <w:p w14:paraId="6F92A14F" w14:textId="77777777" w:rsidR="003F7B9F" w:rsidRDefault="003F7B9F" w:rsidP="00A35EAF">
      <w:pPr>
        <w:pStyle w:val="BodyText"/>
      </w:pPr>
      <w:bookmarkStart w:id="3578" w:name="_Toc290555977"/>
      <w:bookmarkStart w:id="3579" w:name="_Toc290988597"/>
      <w:r>
        <w:t>The standard HPMS reporting requirements for traffic data include the following topics, which are addressed in the subsequent paragraphs:</w:t>
      </w:r>
    </w:p>
    <w:p w14:paraId="6743521A" w14:textId="23540219" w:rsidR="003F7B9F" w:rsidRPr="00B57A20" w:rsidRDefault="003F7B9F">
      <w:pPr>
        <w:pStyle w:val="TMGBullet"/>
      </w:pPr>
      <w:r w:rsidRPr="00B57A20">
        <w:t>AADT Reporting on Mainlines and Ramps</w:t>
      </w:r>
    </w:p>
    <w:p w14:paraId="1CB199C5" w14:textId="68E144C2" w:rsidR="003F7B9F" w:rsidRPr="00B57A20" w:rsidRDefault="003F7B9F">
      <w:pPr>
        <w:pStyle w:val="TMGBullet"/>
      </w:pPr>
      <w:r w:rsidRPr="00B57A20">
        <w:t>Travel Estimates for Local Roads and Rural Minor Collectors</w:t>
      </w:r>
    </w:p>
    <w:p w14:paraId="6464EABD" w14:textId="23F85CAD" w:rsidR="003F7B9F" w:rsidRPr="00B57A20" w:rsidRDefault="003F7B9F">
      <w:pPr>
        <w:pStyle w:val="TMGBullet"/>
      </w:pPr>
      <w:r w:rsidRPr="00B57A20">
        <w:t>Rounding AADTs</w:t>
      </w:r>
    </w:p>
    <w:p w14:paraId="0E8E3C24" w14:textId="190EB6D7" w:rsidR="003F7B9F" w:rsidRPr="00B57A20" w:rsidRDefault="003F7B9F">
      <w:pPr>
        <w:pStyle w:val="TMGBullet"/>
      </w:pPr>
      <w:r w:rsidRPr="00B57A20">
        <w:t>Motorcycle Counts</w:t>
      </w:r>
    </w:p>
    <w:p w14:paraId="01A5DEA3" w14:textId="437E042D" w:rsidR="003F7B9F" w:rsidRPr="00B57A20" w:rsidRDefault="003F7B9F">
      <w:pPr>
        <w:pStyle w:val="TMGBullet"/>
      </w:pPr>
      <w:r w:rsidRPr="00B57A20">
        <w:t>Vehicle Classification Counts</w:t>
      </w:r>
    </w:p>
    <w:p w14:paraId="535AD779" w14:textId="5473042B" w:rsidR="003F7B9F" w:rsidRPr="00B57A20" w:rsidRDefault="003F7B9F">
      <w:pPr>
        <w:pStyle w:val="TMGBullet"/>
      </w:pPr>
      <w:r w:rsidRPr="00B57A20">
        <w:t>Truck AADT</w:t>
      </w:r>
    </w:p>
    <w:p w14:paraId="5F092901" w14:textId="5B73CCF2" w:rsidR="003F7B9F" w:rsidRPr="00B57A20" w:rsidRDefault="003F7B9F">
      <w:pPr>
        <w:pStyle w:val="TMGBullet"/>
      </w:pPr>
      <w:r w:rsidRPr="00B57A20">
        <w:t>Estimates of Travel by Vehicle Type</w:t>
      </w:r>
    </w:p>
    <w:p w14:paraId="7D76EDD1" w14:textId="390E64AC" w:rsidR="003F7B9F" w:rsidRPr="00B57A20" w:rsidRDefault="003F7B9F">
      <w:pPr>
        <w:pStyle w:val="TMGBullet"/>
      </w:pPr>
      <w:r w:rsidRPr="00B57A20">
        <w:t>Volume Group Assignments</w:t>
      </w:r>
    </w:p>
    <w:p w14:paraId="568E5EB0" w14:textId="7838E93B" w:rsidR="003F7B9F" w:rsidRPr="00B57A20" w:rsidRDefault="003F7B9F">
      <w:pPr>
        <w:pStyle w:val="TMGBullet"/>
      </w:pPr>
      <w:r w:rsidRPr="00B57A20">
        <w:t>Traffic Metadata</w:t>
      </w:r>
    </w:p>
    <w:p w14:paraId="2ED37834" w14:textId="6F25715F" w:rsidR="003F7B9F" w:rsidRPr="001546EF" w:rsidRDefault="003F7B9F">
      <w:pPr>
        <w:pStyle w:val="Heading3"/>
      </w:pPr>
      <w:bookmarkStart w:id="3580" w:name="_Toc65752868"/>
      <w:bookmarkStart w:id="3581" w:name="_Toc118205714"/>
      <w:r w:rsidRPr="001546EF">
        <w:t>AADT Reporting on Mainlines and Ramps</w:t>
      </w:r>
      <w:bookmarkEnd w:id="3578"/>
      <w:bookmarkEnd w:id="3579"/>
      <w:bookmarkEnd w:id="3580"/>
      <w:bookmarkEnd w:id="3581"/>
    </w:p>
    <w:p w14:paraId="01B73CCF" w14:textId="0A7B3AF5" w:rsidR="003F7B9F" w:rsidRPr="0014527D" w:rsidRDefault="003F7B9F" w:rsidP="00A35EAF">
      <w:pPr>
        <w:pStyle w:val="BodyText"/>
      </w:pPr>
      <w:bookmarkStart w:id="3582" w:name="_Toc290988598"/>
      <w:r w:rsidRPr="0014527D">
        <w:t xml:space="preserve">AADT data </w:t>
      </w:r>
      <w:r>
        <w:t>are</w:t>
      </w:r>
      <w:r w:rsidRPr="0014527D">
        <w:t xml:space="preserve"> reported in HPMS for both mainlines and ramps on </w:t>
      </w:r>
      <w:r>
        <w:t>Federal</w:t>
      </w:r>
      <w:r w:rsidRPr="0014527D">
        <w:t xml:space="preserve"> aid facilities.</w:t>
      </w:r>
      <w:r w:rsidR="004D4172">
        <w:t xml:space="preserve"> </w:t>
      </w:r>
      <w:r w:rsidRPr="0014527D">
        <w:t xml:space="preserve">The </w:t>
      </w:r>
      <w:r>
        <w:t xml:space="preserve">FHWA </w:t>
      </w:r>
      <w:r w:rsidRPr="005E416B">
        <w:rPr>
          <w:i/>
          <w:iCs/>
        </w:rPr>
        <w:t>HPMS Field Manual</w:t>
      </w:r>
      <w:r>
        <w:t xml:space="preserve"> provides the </w:t>
      </w:r>
      <w:r w:rsidRPr="0014527D">
        <w:t>following guidelines</w:t>
      </w:r>
      <w:r>
        <w:t>.</w:t>
      </w:r>
      <w:r w:rsidRPr="0014527D">
        <w:t xml:space="preserve"> </w:t>
      </w:r>
    </w:p>
    <w:p w14:paraId="6DA48379" w14:textId="10FFF869" w:rsidR="003F7B9F" w:rsidRPr="006B17BB" w:rsidRDefault="003F7B9F">
      <w:pPr>
        <w:pStyle w:val="TMGBullet"/>
        <w:contextualSpacing w:val="0"/>
      </w:pPr>
      <w:r w:rsidRPr="006B17BB">
        <w:t xml:space="preserve">Mainline counts for each NHS, interstate, principal arterial, and sample panel section should be counted at least once every </w:t>
      </w:r>
      <w:r w:rsidR="001B46A3">
        <w:t>3</w:t>
      </w:r>
      <w:r w:rsidR="001B46A3" w:rsidRPr="006B17BB">
        <w:t xml:space="preserve"> </w:t>
      </w:r>
      <w:r w:rsidRPr="006B17BB">
        <w:t>years with yearly factored values provided for the intervening years.</w:t>
      </w:r>
    </w:p>
    <w:p w14:paraId="5B54B497" w14:textId="46E9884B" w:rsidR="003F7B9F" w:rsidRPr="006B17BB" w:rsidRDefault="003F7B9F">
      <w:pPr>
        <w:pStyle w:val="TMGBullet"/>
        <w:contextualSpacing w:val="0"/>
      </w:pPr>
      <w:r w:rsidRPr="006B17BB">
        <w:t xml:space="preserve">Mainline counts for the non-principal arterial system and non-sample panel sections must be conducted at least once every </w:t>
      </w:r>
      <w:r w:rsidR="001B46A3">
        <w:t>6</w:t>
      </w:r>
      <w:r w:rsidR="001B46A3" w:rsidRPr="006B17BB">
        <w:t xml:space="preserve"> </w:t>
      </w:r>
      <w:r w:rsidRPr="006B17BB">
        <w:t>years, with yearly factored values provided for the intervening years. This recommendation is designed to ensure that the reported road volumes account for the impacts of changes in levels of economic activity that occur on land that generates the traffic on each road.</w:t>
      </w:r>
    </w:p>
    <w:p w14:paraId="5BA0EA88" w14:textId="081E8F46" w:rsidR="003F7B9F" w:rsidRPr="006B17BB" w:rsidRDefault="003F7B9F">
      <w:pPr>
        <w:pStyle w:val="TMGBullet"/>
        <w:contextualSpacing w:val="0"/>
      </w:pPr>
      <w:r w:rsidRPr="006B17BB">
        <w:lastRenderedPageBreak/>
        <w:t xml:space="preserve">Counts at grade-separated interchange ramp sections must be conducted at least once every </w:t>
      </w:r>
      <w:r w:rsidR="001B46A3">
        <w:t>6</w:t>
      </w:r>
      <w:r w:rsidR="001B46A3" w:rsidRPr="006B17BB">
        <w:t xml:space="preserve"> </w:t>
      </w:r>
      <w:r w:rsidRPr="006B17BB">
        <w:t>years with yearly factored values provided for the intervening years.</w:t>
      </w:r>
    </w:p>
    <w:p w14:paraId="47524FE7" w14:textId="34917CC8" w:rsidR="003F7B9F" w:rsidRPr="006B17BB" w:rsidRDefault="003F7B9F">
      <w:pPr>
        <w:pStyle w:val="TMGBullet"/>
        <w:contextualSpacing w:val="0"/>
      </w:pPr>
      <w:r w:rsidRPr="006B17BB">
        <w:t xml:space="preserve">All traffic data reported for HPMS should be based on a minimum of 24-hour counts for roads with volumes of greater than 5,000 AADT and 48-hour counts for roads where volumes are less than 5,000 AADT. Where volume by vehicle classification is counted, 48-hour counts are recommended. Vehicle classification data should be collected on between 25 and 30 percent of all HPMS sample sections. The 48-hour counts are particularly important for the HPMS because standard data collection periods from all States ensure similar levels of accuracy and precision for all traffic volume data in the HPMS database. Seven-day counts are the preferred method when possible. </w:t>
      </w:r>
    </w:p>
    <w:p w14:paraId="3BD02B5B" w14:textId="4C6CCBD6" w:rsidR="003F7B9F" w:rsidRPr="006B17BB" w:rsidRDefault="003F7B9F">
      <w:pPr>
        <w:pStyle w:val="TMGBullet"/>
        <w:contextualSpacing w:val="0"/>
      </w:pPr>
      <w:r w:rsidRPr="006B17BB">
        <w:t>Bi-directional AADT should be reported for two-way roads; directional AADT should be reported for one-way roads, couplets, and ramps.</w:t>
      </w:r>
      <w:r w:rsidR="004D4172">
        <w:t xml:space="preserve"> </w:t>
      </w:r>
    </w:p>
    <w:p w14:paraId="3C1C251D" w14:textId="04D4C004" w:rsidR="003F7B9F" w:rsidRPr="006B17BB" w:rsidRDefault="003F7B9F">
      <w:pPr>
        <w:pStyle w:val="TMGBullet"/>
        <w:contextualSpacing w:val="0"/>
      </w:pPr>
      <w:r w:rsidRPr="006B17BB">
        <w:t xml:space="preserve">If count volumes are available on ramps and not mainlines, use estimated AADT on mainlines. </w:t>
      </w:r>
    </w:p>
    <w:p w14:paraId="1EC8A852" w14:textId="70D702D0" w:rsidR="003F7B9F" w:rsidRPr="006B17BB" w:rsidRDefault="003F7B9F">
      <w:pPr>
        <w:pStyle w:val="TMGBullet"/>
        <w:contextualSpacing w:val="0"/>
      </w:pPr>
      <w:r w:rsidRPr="006B17BB">
        <w:t>Where continuous data are not available from traffic management systems on freeways and expressways, ramp balancing is the mechanism most commonly used to calculate volumes. Use of ramp balancing to provide AADT for mainlines is common practice by several States.</w:t>
      </w:r>
      <w:r w:rsidR="004D4172">
        <w:t xml:space="preserve"> </w:t>
      </w:r>
      <w:bookmarkStart w:id="3583" w:name="4-1"/>
      <w:bookmarkEnd w:id="3583"/>
    </w:p>
    <w:p w14:paraId="12EE2304" w14:textId="77777777" w:rsidR="003F7B9F" w:rsidRPr="006B17BB" w:rsidRDefault="003F7B9F" w:rsidP="00A35EAF">
      <w:pPr>
        <w:pStyle w:val="BodyText"/>
      </w:pPr>
      <w:r w:rsidRPr="006B17BB">
        <w:t>Four approaches can be used to conduct ramp counts where needed:</w:t>
      </w:r>
    </w:p>
    <w:p w14:paraId="54C20008" w14:textId="75FBB330" w:rsidR="003F7B9F" w:rsidRPr="006B17BB" w:rsidRDefault="003F7B9F">
      <w:pPr>
        <w:pStyle w:val="TMGBullet"/>
        <w:contextualSpacing w:val="0"/>
      </w:pPr>
      <w:r w:rsidRPr="006B17BB">
        <w:t>Plan to include ramp counts as part of the traffic monitoring efforts for the</w:t>
      </w:r>
      <w:r w:rsidR="00561AE3">
        <w:t xml:space="preserve"> S</w:t>
      </w:r>
      <w:r w:rsidRPr="006B17BB">
        <w:t>tate.</w:t>
      </w:r>
    </w:p>
    <w:p w14:paraId="318819DC" w14:textId="615C7821" w:rsidR="003F7B9F" w:rsidRPr="006B17BB" w:rsidRDefault="003F7B9F">
      <w:pPr>
        <w:pStyle w:val="TMGBullet"/>
        <w:contextualSpacing w:val="0"/>
      </w:pPr>
      <w:r w:rsidRPr="006B17BB">
        <w:t>If count volumes are available on mainlines, but not ramps, then a method for estimating ramp counts based on balancing intersection turning movements can be used. Since AADTs are normally developed first in the traffic forecasting process, the program balances these values to achieve equal flow as is normally common to daily traffic flows (Project Traffic Forecasting Handbook).</w:t>
      </w:r>
      <w:r w:rsidR="004D4172">
        <w:t xml:space="preserve"> </w:t>
      </w:r>
    </w:p>
    <w:p w14:paraId="4D54D66D" w14:textId="2DCE9EDF" w:rsidR="003F7B9F" w:rsidRPr="006B17BB" w:rsidRDefault="003F7B9F">
      <w:pPr>
        <w:pStyle w:val="TMGBullet"/>
        <w:contextualSpacing w:val="0"/>
      </w:pPr>
      <w:r w:rsidRPr="006B17BB">
        <w:t xml:space="preserve">Regional models can be used to estimate ramp volumes, assuming these ramps were validated to a set of earlier base year counts. </w:t>
      </w:r>
    </w:p>
    <w:p w14:paraId="4AB2F4B4" w14:textId="53E24B9A" w:rsidR="003F7B9F" w:rsidRPr="006B17BB" w:rsidRDefault="003F7B9F">
      <w:pPr>
        <w:pStyle w:val="TMGBullet"/>
        <w:contextualSpacing w:val="0"/>
      </w:pPr>
      <w:r w:rsidRPr="006B17BB">
        <w:t xml:space="preserve">Take all ramp counts done in the </w:t>
      </w:r>
      <w:r w:rsidR="001B46A3">
        <w:t>S</w:t>
      </w:r>
      <w:r w:rsidRPr="006B17BB">
        <w:t>tate with the same functional class and assign the average ramp count value to the non-counted ramps for each functional class. This last method is the least</w:t>
      </w:r>
      <w:r w:rsidR="001B46A3">
        <w:t>-</w:t>
      </w:r>
      <w:r w:rsidRPr="006B17BB">
        <w:t>desired approach; however, it should be used as a last resort if no other method is available.</w:t>
      </w:r>
    </w:p>
    <w:p w14:paraId="4E6286D0" w14:textId="77777777" w:rsidR="003F7B9F" w:rsidRPr="0014527D" w:rsidRDefault="003F7B9F" w:rsidP="00A35EAF">
      <w:pPr>
        <w:pStyle w:val="BodyText"/>
      </w:pPr>
      <w:r w:rsidRPr="0014527D">
        <w:t>Additionally, the following approach may be used for estimating ramp counts:</w:t>
      </w:r>
    </w:p>
    <w:p w14:paraId="34DAC935" w14:textId="0393C999" w:rsidR="003F7B9F" w:rsidRPr="006B17BB" w:rsidRDefault="003F7B9F">
      <w:pPr>
        <w:pStyle w:val="TMGBullet"/>
      </w:pPr>
      <w:r w:rsidRPr="006B17BB">
        <w:t>Interchange ramps provide access from limited access highways to other highways, both limited access and others. Since most limited access highways are generally classified as principal arterials or higher, those facilities should have AADT information available. With mainline AADT available, mathematical formulas can be used to estimate some ramp volumes instead of field counting every loop and ramp. As an example, for a typical diamond interchange where the limited access road (mainline) runs east-west, the eastbound on ramp and westbound off ramp</w:t>
      </w:r>
      <w:r w:rsidR="001B46A3">
        <w:t xml:space="preserve"> can be counted</w:t>
      </w:r>
      <w:r w:rsidRPr="006B17BB">
        <w:t xml:space="preserve"> and </w:t>
      </w:r>
      <w:r w:rsidR="001B46A3">
        <w:t>then</w:t>
      </w:r>
      <w:r w:rsidR="001B46A3" w:rsidRPr="006B17BB">
        <w:t xml:space="preserve"> </w:t>
      </w:r>
      <w:r w:rsidRPr="006B17BB">
        <w:t xml:space="preserve">mathematical equations </w:t>
      </w:r>
      <w:r w:rsidR="001B46A3">
        <w:t xml:space="preserve">can be used </w:t>
      </w:r>
      <w:r w:rsidRPr="006B17BB">
        <w:t>to estimate the remaining ramps. For diamond, trumpet, and three-legged directional type interchanges, counts would need to be taken on 2 of the 4 ramps. Cloverleaf interchanges are more complicated. Six of the eight ramps would need to be counted when only mainline AADT is known, and mathematical formulas could be used to estimate the remaining two ramps. On rural diamond interchanges, often ramp traffic can be estimated by using an origin destination approach, as the volume on a westbound off-ramp is typically equal to the eastbound on ramp volume, for example. This approach still requires that two of the four interchange ramps be counted.</w:t>
      </w:r>
    </w:p>
    <w:p w14:paraId="61F067C4" w14:textId="77777777" w:rsidR="00DE2EED" w:rsidRDefault="003F7B9F" w:rsidP="00A35EAF">
      <w:pPr>
        <w:pStyle w:val="BodyText"/>
      </w:pPr>
      <w:r w:rsidRPr="00F91D0C">
        <w:t xml:space="preserve">Refer to </w:t>
      </w:r>
      <w:r w:rsidRPr="00F35F84">
        <w:t xml:space="preserve">Appendix </w:t>
      </w:r>
      <w:r w:rsidR="00F35F84">
        <w:t>K</w:t>
      </w:r>
      <w:r w:rsidRPr="00F91D0C">
        <w:t xml:space="preserve"> for typical ramp and interchange configurations and computational examples.</w:t>
      </w:r>
    </w:p>
    <w:p w14:paraId="4865C275" w14:textId="57A99293" w:rsidR="003F7B9F" w:rsidRPr="00F91D0C" w:rsidRDefault="003F7B9F" w:rsidP="00A35EAF">
      <w:pPr>
        <w:pStyle w:val="BodyText"/>
      </w:pPr>
      <w:r w:rsidRPr="00DE2EED">
        <w:t>Travel Estimates for Local Roads and Rural Minor Collectors</w:t>
      </w:r>
      <w:r w:rsidR="00DE2EED">
        <w:t>:</w:t>
      </w:r>
    </w:p>
    <w:p w14:paraId="02E1D1EF" w14:textId="1F6900C0" w:rsidR="003F7B9F" w:rsidRPr="00F91D0C" w:rsidRDefault="003F7B9F" w:rsidP="00A35EAF">
      <w:pPr>
        <w:pStyle w:val="BodyText"/>
      </w:pPr>
      <w:r w:rsidRPr="00F91D0C">
        <w:t xml:space="preserve">Instead of reporting AADT values for local roads and rural minor collectors, VMT estimates are reported for these functional classes. These estimates should be produced by the </w:t>
      </w:r>
      <w:r w:rsidR="002A417F">
        <w:t>S</w:t>
      </w:r>
      <w:r w:rsidRPr="00F91D0C">
        <w:t xml:space="preserve">tates using a documented statistically valid procedure based on monitored traffic. The estimated VMT is summarized by </w:t>
      </w:r>
      <w:r w:rsidR="002A417F">
        <w:t>S</w:t>
      </w:r>
      <w:r w:rsidRPr="00F91D0C">
        <w:t xml:space="preserve">tates and is reported in the Statewide Summaries dataset, which is stored in the Summaries catalog of the HPMS database. </w:t>
      </w:r>
    </w:p>
    <w:p w14:paraId="2C3F5F9E" w14:textId="51F7EA9B" w:rsidR="003F7B9F" w:rsidRPr="00F91D0C" w:rsidRDefault="003F7B9F" w:rsidP="00A35EAF">
      <w:pPr>
        <w:pStyle w:val="BodyText"/>
      </w:pPr>
      <w:r w:rsidRPr="00F91D0C">
        <w:lastRenderedPageBreak/>
        <w:t xml:space="preserve">Each </w:t>
      </w:r>
      <w:r w:rsidR="002A417F">
        <w:t>S</w:t>
      </w:r>
      <w:r w:rsidRPr="00F91D0C">
        <w:t xml:space="preserve">tate is encouraged to select the best approach for collecting or estimating local road data and rural minor collectors that meets their business needs. </w:t>
      </w:r>
    </w:p>
    <w:p w14:paraId="1644072C" w14:textId="2EF02C54" w:rsidR="003F7B9F" w:rsidRPr="00F91D0C" w:rsidRDefault="003F7B9F" w:rsidP="00A35EAF">
      <w:pPr>
        <w:pStyle w:val="BodyText"/>
      </w:pPr>
      <w:r w:rsidRPr="00F91D0C">
        <w:t xml:space="preserve">The </w:t>
      </w:r>
      <w:r w:rsidRPr="00F91D0C">
        <w:rPr>
          <w:rStyle w:val="Italic"/>
        </w:rPr>
        <w:t>TMG</w:t>
      </w:r>
      <w:r w:rsidRPr="00F91D0C">
        <w:t xml:space="preserve"> does not recommend using a fixed percent of traffic growth method or using the result of calculating statewide total VMT minus highway systems VMT to produce the estimates for local roads and rural minor collectors.</w:t>
      </w:r>
    </w:p>
    <w:p w14:paraId="4AD3D423" w14:textId="77777777" w:rsidR="003F7B9F" w:rsidRPr="00F91D0C" w:rsidRDefault="003F7B9F" w:rsidP="00A35EAF">
      <w:pPr>
        <w:pStyle w:val="BodyText"/>
      </w:pPr>
      <w:r w:rsidRPr="00F91D0C">
        <w:t>Other methods can be used to estimate counts and include the following:</w:t>
      </w:r>
    </w:p>
    <w:p w14:paraId="3B7E228C" w14:textId="0D58309D" w:rsidR="003F7B9F" w:rsidRPr="006B17BB" w:rsidRDefault="003F7B9F">
      <w:pPr>
        <w:pStyle w:val="TMGBullet"/>
      </w:pPr>
      <w:r w:rsidRPr="006B17BB">
        <w:t>Count update based on site-specific growth</w:t>
      </w:r>
    </w:p>
    <w:p w14:paraId="71003AE9" w14:textId="0B4DB647" w:rsidR="003F7B9F" w:rsidRPr="006B17BB" w:rsidRDefault="003F7B9F">
      <w:pPr>
        <w:pStyle w:val="TMGBullet"/>
      </w:pPr>
      <w:r w:rsidRPr="006B17BB">
        <w:t>Count update based on route-specific growth</w:t>
      </w:r>
    </w:p>
    <w:p w14:paraId="30E0E59F" w14:textId="6C3EEC89" w:rsidR="003F7B9F" w:rsidRPr="006B17BB" w:rsidRDefault="003F7B9F">
      <w:pPr>
        <w:pStyle w:val="TMGBullet"/>
      </w:pPr>
      <w:r w:rsidRPr="006B17BB">
        <w:t>Count update based on systems growth</w:t>
      </w:r>
    </w:p>
    <w:p w14:paraId="3ED5CAAC" w14:textId="4505410D" w:rsidR="003F7B9F" w:rsidRPr="006B17BB" w:rsidRDefault="003F7B9F">
      <w:pPr>
        <w:pStyle w:val="TMGBullet"/>
      </w:pPr>
      <w:r w:rsidRPr="006B17BB">
        <w:t>Count update based on regional growth</w:t>
      </w:r>
    </w:p>
    <w:p w14:paraId="2ACCEE05" w14:textId="77777777" w:rsidR="003F7B9F" w:rsidRDefault="003F7B9F" w:rsidP="00A35EAF">
      <w:pPr>
        <w:pStyle w:val="BodyText"/>
      </w:pPr>
      <w:r>
        <w:t>The following example explains the use of these four methods to estimate current year counts based on previous year actual counts.</w:t>
      </w:r>
    </w:p>
    <w:p w14:paraId="12D3FEE0" w14:textId="1A4E7615" w:rsidR="003F7B9F" w:rsidRDefault="003F7B9F" w:rsidP="00A35EAF">
      <w:pPr>
        <w:pStyle w:val="BodyText"/>
      </w:pPr>
      <w:r>
        <w:t xml:space="preserve">In this example, a location in an urban area on a principal arterial roadway does not have a current year counted traffic volume. The AADT from the previous year was 44,500. The current year traffic can be estimated using one of the four methods or a combination of these methods. </w:t>
      </w:r>
    </w:p>
    <w:p w14:paraId="69E58EAB" w14:textId="5EC9C143" w:rsidR="003F7B9F" w:rsidRDefault="003F7B9F" w:rsidP="00A35EAF">
      <w:pPr>
        <w:pStyle w:val="BodyText"/>
      </w:pPr>
      <w:r>
        <w:t xml:space="preserve">Using the first method, a linear projection is performed based on historical data from the same site. If the growth rate is -3% per year, the current year traffic volume estimate would then be 43,165, which can be rounded to 43,000. </w:t>
      </w:r>
    </w:p>
    <w:p w14:paraId="269F3846" w14:textId="77777777" w:rsidR="003F7B9F" w:rsidRDefault="003F7B9F" w:rsidP="00A35EAF">
      <w:pPr>
        <w:pStyle w:val="BodyText"/>
      </w:pPr>
      <w:r>
        <w:t xml:space="preserve">Using the second method, it has been determined that one or more permanent sites on similar routes exhibit a growth rate of -3.7%. The current year traffic volume estimate would then be 42,854, rounded to 43,000. </w:t>
      </w:r>
    </w:p>
    <w:p w14:paraId="453E9C76" w14:textId="62AD871A" w:rsidR="003F7B9F" w:rsidRDefault="003F7B9F" w:rsidP="00A35EAF">
      <w:pPr>
        <w:pStyle w:val="BodyText"/>
      </w:pPr>
      <w:r>
        <w:t>The third approach uses the previously determined urban system growth rate of -3.6% based on all permanent counters in urban area</w:t>
      </w:r>
      <w:r w:rsidR="002A417F">
        <w:t>s</w:t>
      </w:r>
      <w:r>
        <w:t xml:space="preserve">. The current year traffic volume estimate is therefore 42,898, which is rounded to 43,000. </w:t>
      </w:r>
    </w:p>
    <w:p w14:paraId="0E053C34" w14:textId="77777777" w:rsidR="003F7B9F" w:rsidRDefault="003F7B9F" w:rsidP="00A35EAF">
      <w:pPr>
        <w:pStyle w:val="BodyText"/>
      </w:pPr>
      <w:r>
        <w:t>The fourth approach is based on a regional growth rate of -3.8% from all permanent counters in the region, yielding a current year traffic volume estimate of 42,809. This value is rounded to 43,000.</w:t>
      </w:r>
    </w:p>
    <w:p w14:paraId="79E3487D" w14:textId="4EE15B32" w:rsidR="003F7B9F" w:rsidRDefault="003F7B9F" w:rsidP="00A35EAF">
      <w:pPr>
        <w:pStyle w:val="BodyText"/>
      </w:pPr>
      <w:r>
        <w:t>In the above example, all four methods yield the same value. Use method number one first to obtain estimate counts. If site</w:t>
      </w:r>
      <w:r w:rsidR="002A417F">
        <w:t>-</w:t>
      </w:r>
      <w:r>
        <w:t xml:space="preserve">specific growth is not available, then use route-specific growth; if route-specific growth is not available, use systems growth; and finally if systems growth is not available, regional growth should be used. </w:t>
      </w:r>
    </w:p>
    <w:p w14:paraId="1F60ED0E" w14:textId="77777777" w:rsidR="003F7B9F" w:rsidRPr="001546EF" w:rsidRDefault="003F7B9F">
      <w:pPr>
        <w:pStyle w:val="Heading3"/>
      </w:pPr>
      <w:bookmarkStart w:id="3584" w:name="_Toc65752869"/>
      <w:bookmarkStart w:id="3585" w:name="_Toc118205715"/>
      <w:r w:rsidRPr="001546EF">
        <w:t>Rounding AADTs</w:t>
      </w:r>
      <w:bookmarkEnd w:id="3584"/>
      <w:bookmarkEnd w:id="3585"/>
      <w:r w:rsidRPr="001546EF">
        <w:t xml:space="preserve"> </w:t>
      </w:r>
    </w:p>
    <w:p w14:paraId="6472FF7C" w14:textId="77777777" w:rsidR="003F7B9F" w:rsidRDefault="003F7B9F" w:rsidP="00A35EAF">
      <w:pPr>
        <w:pStyle w:val="BodyText"/>
      </w:pPr>
      <w:r>
        <w:t>The following guidance should be followed regarding rounding of AADTs:</w:t>
      </w:r>
    </w:p>
    <w:p w14:paraId="2AC02A3D" w14:textId="4F14BD2C" w:rsidR="003F7B9F" w:rsidRDefault="003F7B9F" w:rsidP="00A119E0">
      <w:pPr>
        <w:pStyle w:val="CallOut"/>
      </w:pPr>
      <w:r>
        <w:t xml:space="preserve">When sufficient data are available to develop a reasonable AADT estimation from permanent continuous counters for the current year, rounding is not recommended. Rounding is allowable for estimating AADT for HPMS purposes when there is no current year data available from permanent continuous counters, as discussed in the four previous examples. </w:t>
      </w:r>
    </w:p>
    <w:p w14:paraId="2921391C" w14:textId="36746E59" w:rsidR="003F7B9F" w:rsidRDefault="003F7B9F" w:rsidP="00A35EAF">
      <w:pPr>
        <w:pStyle w:val="BodyText"/>
      </w:pPr>
      <w:r>
        <w:t xml:space="preserve">The rounding of AADTs is acceptable for HPMS purposes only following the scheme recommended by the </w:t>
      </w:r>
      <w:r>
        <w:rPr>
          <w:rStyle w:val="Italic"/>
          <w:iCs/>
        </w:rPr>
        <w:t>AASHTO Guide</w:t>
      </w:r>
      <w:r>
        <w:t xml:space="preserve">. The </w:t>
      </w:r>
      <w:r w:rsidRPr="00C91712">
        <w:rPr>
          <w:rStyle w:val="Italic"/>
          <w:iCs/>
        </w:rPr>
        <w:t>TMG</w:t>
      </w:r>
      <w:r>
        <w:t xml:space="preserve"> does not recommend this unless it is common practice for the </w:t>
      </w:r>
      <w:r w:rsidR="00755124">
        <w:t>S</w:t>
      </w:r>
      <w:r>
        <w:t xml:space="preserve">tate to round all traffic data in its traffic monitoring database and is applied to all traffic data consistently. This applies to the reporting of volume and vehicle classification data. </w:t>
      </w:r>
    </w:p>
    <w:p w14:paraId="7A989D91" w14:textId="2BBA165D" w:rsidR="003F7B9F" w:rsidRDefault="003F7B9F" w:rsidP="00A35EAF">
      <w:pPr>
        <w:pStyle w:val="BodyText"/>
      </w:pPr>
      <w:r>
        <w:t xml:space="preserve">Rounding should be performed after all adjustments to the raw count data have been made and should NOT be performed when calculating percent single-unit and combination trucks. Low volume counts (e.g., 0.2%) should not be rounded to report zero as a volume or as a percent since this will not accurately represent the presence of the minimal volumes and will also show no change in trends. A zero should only be reported when the actual count is zero. </w:t>
      </w:r>
    </w:p>
    <w:p w14:paraId="4BE1BEEF" w14:textId="40B3C138" w:rsidR="003F7B9F" w:rsidRPr="001546EF" w:rsidRDefault="003F7B9F">
      <w:pPr>
        <w:pStyle w:val="Heading3"/>
      </w:pPr>
      <w:bookmarkStart w:id="3586" w:name="_Toc65752870"/>
      <w:bookmarkStart w:id="3587" w:name="_Toc118205716"/>
      <w:r w:rsidRPr="001546EF">
        <w:lastRenderedPageBreak/>
        <w:t>Motorcycle Counts</w:t>
      </w:r>
      <w:bookmarkEnd w:id="3586"/>
      <w:bookmarkEnd w:id="3587"/>
    </w:p>
    <w:p w14:paraId="2E66A906" w14:textId="01C51F9E" w:rsidR="003F7B9F" w:rsidRDefault="003F7B9F" w:rsidP="00A35EAF">
      <w:pPr>
        <w:pStyle w:val="BodyText"/>
      </w:pPr>
      <w:r>
        <w:t xml:space="preserve">Accurate motorcycle counting may require unique procedures and equipment. More information is provided on this topic in Chapter 3. Some limitations exist regarding the use of technology in properly measuring motorcycle counts. More information on the type of equipment used for these counts is found in </w:t>
      </w:r>
      <w:r w:rsidRPr="00F35F84">
        <w:t xml:space="preserve">Appendix </w:t>
      </w:r>
      <w:r w:rsidR="00F35F84" w:rsidRPr="00F35F84">
        <w:t>D</w:t>
      </w:r>
      <w:r w:rsidRPr="00F35F84">
        <w:t>.</w:t>
      </w:r>
      <w:r>
        <w:t xml:space="preserve"> </w:t>
      </w:r>
    </w:p>
    <w:p w14:paraId="336F089F" w14:textId="5036A665" w:rsidR="003F7B9F" w:rsidRPr="001546EF" w:rsidRDefault="003F7B9F">
      <w:pPr>
        <w:pStyle w:val="Heading3"/>
      </w:pPr>
      <w:bookmarkStart w:id="3588" w:name="_Toc65752871"/>
      <w:bookmarkStart w:id="3589" w:name="_Toc118205717"/>
      <w:r w:rsidRPr="001546EF">
        <w:t>Vehicle Classification Counts</w:t>
      </w:r>
      <w:bookmarkEnd w:id="3588"/>
      <w:bookmarkEnd w:id="3589"/>
    </w:p>
    <w:p w14:paraId="45AA9381" w14:textId="20A92BD8" w:rsidR="003F7B9F" w:rsidRDefault="003F7B9F" w:rsidP="00A35EAF">
      <w:pPr>
        <w:pStyle w:val="BodyText"/>
      </w:pPr>
      <w:r>
        <w:t xml:space="preserve">Vehicle classification data </w:t>
      </w:r>
      <w:r w:rsidR="00755124">
        <w:t xml:space="preserve">are </w:t>
      </w:r>
      <w:r>
        <w:t>needed in HPMS to determine the accurate percentage of truck traffic on the roadway during peak travel hours as well as off-peak travel hours. Both truck volume (AADT_</w:t>
      </w:r>
      <w:r w:rsidR="00382423">
        <w:t>SINGLE</w:t>
      </w:r>
      <w:r>
        <w:t>_</w:t>
      </w:r>
      <w:r w:rsidR="00382423">
        <w:t>UNIT</w:t>
      </w:r>
      <w:r>
        <w:t xml:space="preserve"> and </w:t>
      </w:r>
      <w:r w:rsidR="00382423">
        <w:t>AADT_COMBINATION</w:t>
      </w:r>
      <w:r>
        <w:t xml:space="preserve">) and truck percentage data are reported for the various types of records in HPMS. </w:t>
      </w:r>
      <w:r w:rsidR="00755124">
        <w:t xml:space="preserve">These </w:t>
      </w:r>
      <w:r>
        <w:t xml:space="preserve">data </w:t>
      </w:r>
      <w:r w:rsidR="00755124">
        <w:t xml:space="preserve">are </w:t>
      </w:r>
      <w:r>
        <w:t>used to analyze the impact of truck traffic on pavement deterioration and also for reporting in summary tables in HPMS.</w:t>
      </w:r>
    </w:p>
    <w:p w14:paraId="3BE98A3D" w14:textId="3ABCC9DF" w:rsidR="003F7B9F" w:rsidRDefault="003F7B9F" w:rsidP="00A35EAF">
      <w:pPr>
        <w:pStyle w:val="BodyText"/>
      </w:pPr>
      <w:r>
        <w:t xml:space="preserve">Since classification counts are required by HPMS for many road sections, it will likely be too costly to maintain permanent traffic classifiers on all of these sections. Therefore, a combination of permanent and portable classifiers will be needed to meet the requirement. This will entail adjusting portable classification counts by the permanent classifiers as further described in </w:t>
      </w:r>
      <w:r w:rsidRPr="00C91712">
        <w:rPr>
          <w:rStyle w:val="Italic"/>
          <w:iCs/>
        </w:rPr>
        <w:t>TMG</w:t>
      </w:r>
      <w:r>
        <w:t xml:space="preserve"> Chapter 3.</w:t>
      </w:r>
    </w:p>
    <w:p w14:paraId="09691FDA" w14:textId="1503C434" w:rsidR="003F7B9F" w:rsidRPr="001546EF" w:rsidRDefault="003F7B9F">
      <w:pPr>
        <w:pStyle w:val="Heading3"/>
      </w:pPr>
      <w:bookmarkStart w:id="3590" w:name="_Toc65752872"/>
      <w:bookmarkStart w:id="3591" w:name="_Toc118205718"/>
      <w:r w:rsidRPr="001546EF">
        <w:t>Truck AADT</w:t>
      </w:r>
      <w:bookmarkEnd w:id="3590"/>
      <w:bookmarkEnd w:id="3591"/>
    </w:p>
    <w:p w14:paraId="20F7B1EF" w14:textId="208F4471" w:rsidR="003F7B9F" w:rsidRDefault="003F7B9F" w:rsidP="00A35EAF">
      <w:pPr>
        <w:pStyle w:val="BodyText"/>
      </w:pPr>
      <w:r>
        <w:t>The AADT for trucks is required for the entire NHS and all HPMS Sample Panel Sections. Two types of truck</w:t>
      </w:r>
      <w:r>
        <w:rPr>
          <w:b/>
          <w:bCs/>
          <w:smallCaps/>
          <w:sz w:val="22"/>
          <w:szCs w:val="22"/>
        </w:rPr>
        <w:t xml:space="preserve"> </w:t>
      </w:r>
      <w:r>
        <w:t xml:space="preserve">AADT are reported in HPMS: </w:t>
      </w:r>
      <w:r w:rsidR="00382423">
        <w:t>AADT_SINGLE_UNIT</w:t>
      </w:r>
      <w:r>
        <w:t xml:space="preserve"> (which is the single-unit truck and bus AADT for vehicle classes 4 through 7) and </w:t>
      </w:r>
      <w:r w:rsidR="00382423">
        <w:t>AADT_COMBINATION</w:t>
      </w:r>
      <w:r>
        <w:t xml:space="preserve"> (which is the combination truck</w:t>
      </w:r>
      <w:r>
        <w:rPr>
          <w:b/>
          <w:bCs/>
          <w:smallCaps/>
          <w:sz w:val="22"/>
          <w:szCs w:val="22"/>
        </w:rPr>
        <w:t xml:space="preserve"> </w:t>
      </w:r>
      <w:r>
        <w:t xml:space="preserve">AADT for vehicle classes 8 through 13). Appendix </w:t>
      </w:r>
      <w:r w:rsidR="00E15419">
        <w:t>A</w:t>
      </w:r>
      <w:r>
        <w:t xml:space="preserve"> provides additional information on the 13 vehicle classifications. </w:t>
      </w:r>
    </w:p>
    <w:p w14:paraId="5971D917" w14:textId="11F54FE0" w:rsidR="003F7B9F" w:rsidRDefault="003F7B9F" w:rsidP="00A35EAF">
      <w:pPr>
        <w:pStyle w:val="BodyText"/>
      </w:pPr>
      <w:r>
        <w:t>In addition to truck</w:t>
      </w:r>
      <w:r>
        <w:rPr>
          <w:b/>
          <w:bCs/>
          <w:smallCaps/>
          <w:sz w:val="22"/>
          <w:szCs w:val="22"/>
        </w:rPr>
        <w:t xml:space="preserve"> </w:t>
      </w:r>
      <w:r>
        <w:t>AADT for single and combination trucks, two additional types of truck data are required. These are the percentage of single-unit trucks and buses (P</w:t>
      </w:r>
      <w:r w:rsidR="004435CE">
        <w:t>CT_DH_SINGLE_UNIT</w:t>
      </w:r>
      <w:r>
        <w:t>) and percentage of combination trucks (P</w:t>
      </w:r>
      <w:r w:rsidR="004435CE">
        <w:t>CT_DH_COMBINATION</w:t>
      </w:r>
      <w:r>
        <w:t xml:space="preserve">) traveling on a section of road during the </w:t>
      </w:r>
      <w:r w:rsidR="004435CE">
        <w:t>design</w:t>
      </w:r>
      <w:r>
        <w:t xml:space="preserve"> hour. </w:t>
      </w:r>
    </w:p>
    <w:p w14:paraId="7FA23B31" w14:textId="0B05F502" w:rsidR="003F7B9F" w:rsidRPr="001546EF" w:rsidRDefault="003F7B9F">
      <w:pPr>
        <w:pStyle w:val="Heading3"/>
      </w:pPr>
      <w:bookmarkStart w:id="3592" w:name="_Toc65752873"/>
      <w:bookmarkStart w:id="3593" w:name="_Toc118205719"/>
      <w:r w:rsidRPr="001546EF">
        <w:t>Estimates of Travel by Vehicle Type</w:t>
      </w:r>
      <w:bookmarkEnd w:id="3592"/>
      <w:bookmarkEnd w:id="3593"/>
    </w:p>
    <w:p w14:paraId="0DC5BFF7" w14:textId="7AF84493" w:rsidR="003F7B9F" w:rsidRDefault="003F7B9F" w:rsidP="00A35EAF">
      <w:pPr>
        <w:pStyle w:val="BodyText"/>
      </w:pPr>
      <w:r>
        <w:t xml:space="preserve">Estimates of travel by vehicle type are required for HPMS and are summarized by Area Type (AT) and Functional System (FS) group. While there are seven functional systems, there are only three FS groups. The three FS groups are combined with two area types, rural and urban, for six combined AT and FS groups as shown in </w:t>
      </w:r>
      <w:r w:rsidR="00833E15">
        <w:fldChar w:fldCharType="begin"/>
      </w:r>
      <w:r w:rsidR="00833E15">
        <w:instrText xml:space="preserve"> REF _Ref114750923 \h </w:instrText>
      </w:r>
      <w:r w:rsidR="00833E15">
        <w:fldChar w:fldCharType="separate"/>
      </w:r>
      <w:r w:rsidR="00C07DF9" w:rsidRPr="00123FA6">
        <w:t xml:space="preserve">Table </w:t>
      </w:r>
      <w:r w:rsidR="00C07DF9">
        <w:rPr>
          <w:noProof/>
        </w:rPr>
        <w:t>5</w:t>
      </w:r>
      <w:r w:rsidR="00C07DF9">
        <w:noBreakHyphen/>
      </w:r>
      <w:r w:rsidR="00C07DF9">
        <w:rPr>
          <w:noProof/>
        </w:rPr>
        <w:t>2</w:t>
      </w:r>
      <w:r w:rsidR="00833E15">
        <w:fldChar w:fldCharType="end"/>
      </w:r>
      <w:r>
        <w:t>.</w:t>
      </w:r>
    </w:p>
    <w:p w14:paraId="76620F44" w14:textId="77777777" w:rsidR="003F7B9F" w:rsidRDefault="003F7B9F" w:rsidP="00A35EAF">
      <w:pPr>
        <w:pStyle w:val="BodyText"/>
      </w:pPr>
      <w:r>
        <w:t>HPMS is designed as a random sample stratified by traffic volume groups. To the extent that vehicle class counts reflect this design, they may be averaged to estimate the distribution of VMT by vehicle type. Estimating the VMT by vehicle type to meet this requirement is not necessary.</w:t>
      </w:r>
    </w:p>
    <w:p w14:paraId="2665A764" w14:textId="35620A83" w:rsidR="00123FA6" w:rsidRDefault="00123FA6" w:rsidP="00736AF3">
      <w:pPr>
        <w:pStyle w:val="TMGTableCaption"/>
      </w:pPr>
      <w:bookmarkStart w:id="3594" w:name="_Ref114750923"/>
      <w:bookmarkStart w:id="3595" w:name="_Toc114474885"/>
      <w:bookmarkStart w:id="3596" w:name="_Toc120631191"/>
      <w:r w:rsidRPr="00123FA6">
        <w:t xml:space="preserve">Table </w:t>
      </w:r>
      <w:fldSimple w:instr=" STYLEREF 1 \s ">
        <w:r w:rsidR="00C07DF9">
          <w:rPr>
            <w:noProof/>
          </w:rPr>
          <w:t>5</w:t>
        </w:r>
      </w:fldSimple>
      <w:r w:rsidR="00FE5355">
        <w:noBreakHyphen/>
      </w:r>
      <w:fldSimple w:instr=" SEQ Table \* ARABIC \s 1 ">
        <w:r w:rsidR="00C07DF9">
          <w:rPr>
            <w:noProof/>
          </w:rPr>
          <w:t>2</w:t>
        </w:r>
      </w:fldSimple>
      <w:bookmarkEnd w:id="3594"/>
      <w:r w:rsidR="008B4FE0">
        <w:t>.</w:t>
      </w:r>
      <w:r w:rsidRPr="00123FA6">
        <w:t xml:space="preserve"> Combined Area Type </w:t>
      </w:r>
      <w:r w:rsidR="00481361">
        <w:t>a</w:t>
      </w:r>
      <w:r w:rsidRPr="00123FA6">
        <w:t>nd Functional System Groups</w:t>
      </w:r>
      <w:bookmarkEnd w:id="3595"/>
      <w:bookmarkEnd w:id="3596"/>
    </w:p>
    <w:tbl>
      <w:tblPr>
        <w:tblStyle w:val="TableGrid"/>
        <w:tblW w:w="9360" w:type="dxa"/>
        <w:jc w:val="center"/>
        <w:tblCellMar>
          <w:left w:w="86" w:type="dxa"/>
          <w:right w:w="86" w:type="dxa"/>
        </w:tblCellMar>
        <w:tblLook w:val="04A0" w:firstRow="1" w:lastRow="0" w:firstColumn="1" w:lastColumn="0" w:noHBand="0" w:noVBand="1"/>
      </w:tblPr>
      <w:tblGrid>
        <w:gridCol w:w="8455"/>
        <w:gridCol w:w="905"/>
      </w:tblGrid>
      <w:tr w:rsidR="00481361" w14:paraId="2CFDC93C" w14:textId="77777777" w:rsidTr="00481361">
        <w:trPr>
          <w:jc w:val="center"/>
        </w:trPr>
        <w:tc>
          <w:tcPr>
            <w:tcW w:w="8455" w:type="dxa"/>
            <w:tcBorders>
              <w:right w:val="single" w:sz="4" w:space="0" w:color="FFFFFF" w:themeColor="background1"/>
            </w:tcBorders>
            <w:shd w:val="clear" w:color="auto" w:fill="1F3864"/>
            <w:vAlign w:val="bottom"/>
          </w:tcPr>
          <w:p w14:paraId="151487DB" w14:textId="18DFF438" w:rsidR="00481361" w:rsidRDefault="00481361" w:rsidP="00481361">
            <w:pPr>
              <w:pStyle w:val="TMGTableTextHeader"/>
            </w:pPr>
            <w:r w:rsidRPr="00123FA6">
              <w:rPr>
                <w:rFonts w:eastAsiaTheme="minorEastAsia"/>
              </w:rPr>
              <w:t>Area Type and Functional System</w:t>
            </w:r>
          </w:p>
        </w:tc>
        <w:tc>
          <w:tcPr>
            <w:tcW w:w="905" w:type="dxa"/>
            <w:tcBorders>
              <w:left w:val="single" w:sz="4" w:space="0" w:color="FFFFFF" w:themeColor="background1"/>
            </w:tcBorders>
            <w:shd w:val="clear" w:color="auto" w:fill="1F3864"/>
            <w:vAlign w:val="bottom"/>
          </w:tcPr>
          <w:p w14:paraId="0811C6A1" w14:textId="7D5FC2C9" w:rsidR="00481361" w:rsidRDefault="00481361" w:rsidP="00481361">
            <w:pPr>
              <w:pStyle w:val="TMGTableTextHeader"/>
            </w:pPr>
            <w:r w:rsidRPr="00123FA6">
              <w:rPr>
                <w:rFonts w:eastAsiaTheme="minorEastAsia"/>
              </w:rPr>
              <w:t>Group</w:t>
            </w:r>
          </w:p>
        </w:tc>
      </w:tr>
      <w:tr w:rsidR="00481361" w14:paraId="5A5B4499" w14:textId="77777777" w:rsidTr="00481361">
        <w:trPr>
          <w:jc w:val="center"/>
        </w:trPr>
        <w:tc>
          <w:tcPr>
            <w:tcW w:w="8455" w:type="dxa"/>
          </w:tcPr>
          <w:p w14:paraId="1F1DC5DC" w14:textId="7DA5EC90" w:rsidR="00481361" w:rsidRPr="00C251E9" w:rsidRDefault="00481361" w:rsidP="00481361">
            <w:pPr>
              <w:pStyle w:val="TMGTableText"/>
              <w:rPr>
                <w:b/>
                <w:bCs/>
              </w:rPr>
            </w:pPr>
            <w:r w:rsidRPr="00123FA6">
              <w:rPr>
                <w:rFonts w:eastAsiaTheme="minorEastAsia"/>
                <w:b/>
                <w:bCs/>
              </w:rPr>
              <w:t>Rural Interstate</w:t>
            </w:r>
          </w:p>
        </w:tc>
        <w:tc>
          <w:tcPr>
            <w:tcW w:w="905" w:type="dxa"/>
            <w:vAlign w:val="center"/>
          </w:tcPr>
          <w:p w14:paraId="59DBA524" w14:textId="61713A2F" w:rsidR="00481361" w:rsidRPr="00C251E9" w:rsidRDefault="00481361" w:rsidP="00481361">
            <w:pPr>
              <w:pStyle w:val="TMGTableText"/>
              <w:jc w:val="center"/>
            </w:pPr>
            <w:r w:rsidRPr="00123FA6">
              <w:rPr>
                <w:rFonts w:eastAsiaTheme="minorEastAsia"/>
              </w:rPr>
              <w:t>1</w:t>
            </w:r>
          </w:p>
        </w:tc>
      </w:tr>
      <w:tr w:rsidR="00481361" w14:paraId="343871A2" w14:textId="77777777" w:rsidTr="00481361">
        <w:trPr>
          <w:jc w:val="center"/>
        </w:trPr>
        <w:tc>
          <w:tcPr>
            <w:tcW w:w="8455" w:type="dxa"/>
          </w:tcPr>
          <w:p w14:paraId="7A637859" w14:textId="4FD2103D" w:rsidR="00481361" w:rsidRPr="00C251E9" w:rsidRDefault="00481361" w:rsidP="00481361">
            <w:pPr>
              <w:pStyle w:val="TMGTableText"/>
              <w:rPr>
                <w:b/>
                <w:bCs/>
              </w:rPr>
            </w:pPr>
            <w:r w:rsidRPr="00123FA6">
              <w:rPr>
                <w:rFonts w:eastAsiaTheme="minorEastAsia"/>
                <w:b/>
                <w:bCs/>
              </w:rPr>
              <w:t>Rural Other Arterial (includes Other Freeways and Expressways, Other Principal Arterials, and Minor Arterials)</w:t>
            </w:r>
          </w:p>
        </w:tc>
        <w:tc>
          <w:tcPr>
            <w:tcW w:w="905" w:type="dxa"/>
            <w:vAlign w:val="center"/>
          </w:tcPr>
          <w:p w14:paraId="35590C45" w14:textId="48C5D4F8" w:rsidR="00481361" w:rsidRPr="00C251E9" w:rsidRDefault="00481361" w:rsidP="00481361">
            <w:pPr>
              <w:pStyle w:val="TMGTableText"/>
              <w:jc w:val="center"/>
            </w:pPr>
            <w:r w:rsidRPr="00123FA6">
              <w:rPr>
                <w:rFonts w:eastAsiaTheme="minorEastAsia"/>
              </w:rPr>
              <w:t>2</w:t>
            </w:r>
          </w:p>
        </w:tc>
      </w:tr>
      <w:tr w:rsidR="00481361" w14:paraId="67C2EF9A" w14:textId="77777777" w:rsidTr="00481361">
        <w:trPr>
          <w:jc w:val="center"/>
        </w:trPr>
        <w:tc>
          <w:tcPr>
            <w:tcW w:w="8455" w:type="dxa"/>
          </w:tcPr>
          <w:p w14:paraId="746C2106" w14:textId="6887FBA4" w:rsidR="00481361" w:rsidRPr="00C251E9" w:rsidRDefault="00481361" w:rsidP="00481361">
            <w:pPr>
              <w:pStyle w:val="TMGTableText"/>
              <w:rPr>
                <w:b/>
                <w:bCs/>
              </w:rPr>
            </w:pPr>
            <w:r w:rsidRPr="00123FA6">
              <w:rPr>
                <w:rFonts w:eastAsiaTheme="minorEastAsia"/>
                <w:b/>
                <w:bCs/>
              </w:rPr>
              <w:t>Rural Other (includes Major Collectors, Minor Collectors, and Locals)</w:t>
            </w:r>
          </w:p>
        </w:tc>
        <w:tc>
          <w:tcPr>
            <w:tcW w:w="905" w:type="dxa"/>
            <w:vAlign w:val="center"/>
          </w:tcPr>
          <w:p w14:paraId="678155BC" w14:textId="43CDC2B5" w:rsidR="00481361" w:rsidRPr="00C251E9" w:rsidRDefault="00481361" w:rsidP="00481361">
            <w:pPr>
              <w:pStyle w:val="TMGTableText"/>
              <w:jc w:val="center"/>
            </w:pPr>
            <w:r w:rsidRPr="00123FA6">
              <w:rPr>
                <w:rFonts w:eastAsiaTheme="minorEastAsia"/>
              </w:rPr>
              <w:t>3</w:t>
            </w:r>
          </w:p>
        </w:tc>
      </w:tr>
      <w:tr w:rsidR="00481361" w14:paraId="007743D8" w14:textId="77777777" w:rsidTr="00481361">
        <w:trPr>
          <w:jc w:val="center"/>
        </w:trPr>
        <w:tc>
          <w:tcPr>
            <w:tcW w:w="8455" w:type="dxa"/>
          </w:tcPr>
          <w:p w14:paraId="3C6ECCC6" w14:textId="47B36475" w:rsidR="00481361" w:rsidRPr="00C251E9" w:rsidRDefault="00481361" w:rsidP="00481361">
            <w:pPr>
              <w:pStyle w:val="TMGTableText"/>
              <w:rPr>
                <w:b/>
                <w:bCs/>
              </w:rPr>
            </w:pPr>
            <w:r w:rsidRPr="00123FA6">
              <w:rPr>
                <w:rFonts w:eastAsiaTheme="minorEastAsia"/>
                <w:b/>
                <w:bCs/>
              </w:rPr>
              <w:t>Urban Interstate</w:t>
            </w:r>
          </w:p>
        </w:tc>
        <w:tc>
          <w:tcPr>
            <w:tcW w:w="905" w:type="dxa"/>
            <w:vAlign w:val="center"/>
          </w:tcPr>
          <w:p w14:paraId="6C5127F8" w14:textId="4821BA04" w:rsidR="00481361" w:rsidRPr="00C251E9" w:rsidRDefault="00481361" w:rsidP="00481361">
            <w:pPr>
              <w:pStyle w:val="TMGTableText"/>
              <w:jc w:val="center"/>
            </w:pPr>
            <w:r w:rsidRPr="00123FA6">
              <w:rPr>
                <w:rFonts w:eastAsiaTheme="minorEastAsia"/>
              </w:rPr>
              <w:t>4</w:t>
            </w:r>
          </w:p>
        </w:tc>
      </w:tr>
      <w:tr w:rsidR="00481361" w14:paraId="32AC3911" w14:textId="77777777" w:rsidTr="00481361">
        <w:trPr>
          <w:jc w:val="center"/>
        </w:trPr>
        <w:tc>
          <w:tcPr>
            <w:tcW w:w="8455" w:type="dxa"/>
          </w:tcPr>
          <w:p w14:paraId="7A725490" w14:textId="50E9F94E" w:rsidR="00481361" w:rsidRPr="00C251E9" w:rsidRDefault="00481361" w:rsidP="00481361">
            <w:pPr>
              <w:pStyle w:val="TMGTableText"/>
              <w:rPr>
                <w:b/>
                <w:bCs/>
              </w:rPr>
            </w:pPr>
            <w:r w:rsidRPr="00123FA6">
              <w:rPr>
                <w:rFonts w:eastAsiaTheme="minorEastAsia"/>
                <w:b/>
                <w:bCs/>
              </w:rPr>
              <w:t>Urban Other Arterial (includes Other Freeways and Expressways, Other Principal Arterials, and Minor Arterials)</w:t>
            </w:r>
          </w:p>
        </w:tc>
        <w:tc>
          <w:tcPr>
            <w:tcW w:w="905" w:type="dxa"/>
            <w:vAlign w:val="center"/>
          </w:tcPr>
          <w:p w14:paraId="7481CD41" w14:textId="3B0DF49C" w:rsidR="00481361" w:rsidRPr="00C251E9" w:rsidRDefault="00481361" w:rsidP="00481361">
            <w:pPr>
              <w:pStyle w:val="TMGTableText"/>
              <w:jc w:val="center"/>
            </w:pPr>
            <w:r w:rsidRPr="00123FA6">
              <w:rPr>
                <w:rFonts w:eastAsiaTheme="minorEastAsia"/>
              </w:rPr>
              <w:t>5</w:t>
            </w:r>
          </w:p>
        </w:tc>
      </w:tr>
      <w:tr w:rsidR="00481361" w14:paraId="085850F3" w14:textId="77777777" w:rsidTr="00481361">
        <w:trPr>
          <w:jc w:val="center"/>
        </w:trPr>
        <w:tc>
          <w:tcPr>
            <w:tcW w:w="8455" w:type="dxa"/>
            <w:vAlign w:val="center"/>
          </w:tcPr>
          <w:p w14:paraId="1748B912" w14:textId="7118E68F" w:rsidR="00481361" w:rsidRPr="00C251E9" w:rsidRDefault="00481361" w:rsidP="00481361">
            <w:pPr>
              <w:pStyle w:val="TMGTableText"/>
              <w:rPr>
                <w:b/>
                <w:bCs/>
              </w:rPr>
            </w:pPr>
            <w:r w:rsidRPr="00123FA6">
              <w:rPr>
                <w:rFonts w:eastAsiaTheme="minorEastAsia"/>
                <w:b/>
                <w:bCs/>
              </w:rPr>
              <w:t>Urban Other (includes Major Collectors, Minor Collectors, and Locals)</w:t>
            </w:r>
          </w:p>
        </w:tc>
        <w:tc>
          <w:tcPr>
            <w:tcW w:w="905" w:type="dxa"/>
            <w:vAlign w:val="center"/>
          </w:tcPr>
          <w:p w14:paraId="2A57E0D0" w14:textId="6351EF30" w:rsidR="00481361" w:rsidRPr="00C251E9" w:rsidRDefault="00481361" w:rsidP="00481361">
            <w:pPr>
              <w:pStyle w:val="TMGTableText"/>
              <w:jc w:val="center"/>
            </w:pPr>
            <w:r w:rsidRPr="00123FA6">
              <w:rPr>
                <w:rFonts w:eastAsiaTheme="minorEastAsia"/>
              </w:rPr>
              <w:t>6</w:t>
            </w:r>
          </w:p>
        </w:tc>
      </w:tr>
    </w:tbl>
    <w:p w14:paraId="2632FEAC" w14:textId="12DFC02B" w:rsidR="003F7B9F" w:rsidRDefault="003F7B9F" w:rsidP="00481361">
      <w:pPr>
        <w:pStyle w:val="BodyText"/>
        <w:spacing w:before="360"/>
      </w:pPr>
      <w:r>
        <w:t>The estimates of travel by vehicle type are reported as percent values for the type(s) of vehicles in each AT-FS group, such as percent of motorcycles (P</w:t>
      </w:r>
      <w:r w:rsidR="00AD21B4">
        <w:t>CT</w:t>
      </w:r>
      <w:r>
        <w:t xml:space="preserve"> MC), percent of passenger cars (P</w:t>
      </w:r>
      <w:r w:rsidR="00AD21B4">
        <w:t>CT</w:t>
      </w:r>
      <w:r>
        <w:t xml:space="preserve"> C</w:t>
      </w:r>
      <w:r w:rsidR="00AD21B4">
        <w:t>ARS</w:t>
      </w:r>
      <w:r>
        <w:t>), and percent of single-unit trucks (P</w:t>
      </w:r>
      <w:r w:rsidR="00AD21B4">
        <w:t>CT</w:t>
      </w:r>
      <w:r>
        <w:t xml:space="preserve"> SU T</w:t>
      </w:r>
      <w:r w:rsidR="00831960">
        <w:t>RUCKS</w:t>
      </w:r>
      <w:r>
        <w:t>).</w:t>
      </w:r>
    </w:p>
    <w:p w14:paraId="0D60CFB3" w14:textId="34B26132" w:rsidR="003F7B9F" w:rsidRDefault="003F7B9F" w:rsidP="00A35EAF">
      <w:pPr>
        <w:pStyle w:val="BodyText"/>
      </w:pPr>
      <w:r>
        <w:lastRenderedPageBreak/>
        <w:t>These estimated values are reported in the Vehicle Summaries dataset and are stored in the Summaries catalog of the HPMS database. This information can be derived from the vehicle classification and WIM programs.</w:t>
      </w:r>
    </w:p>
    <w:p w14:paraId="560CB6E1" w14:textId="3A477B3A" w:rsidR="003F7B9F" w:rsidRPr="001546EF" w:rsidRDefault="003F7B9F">
      <w:pPr>
        <w:pStyle w:val="Heading3"/>
      </w:pPr>
      <w:bookmarkStart w:id="3597" w:name="_Toc65752874"/>
      <w:bookmarkStart w:id="3598" w:name="_Toc118205720"/>
      <w:r w:rsidRPr="001546EF">
        <w:t>Volume Group Assignments</w:t>
      </w:r>
      <w:bookmarkEnd w:id="3597"/>
      <w:bookmarkEnd w:id="3598"/>
    </w:p>
    <w:p w14:paraId="40D0C010" w14:textId="539EFAFF" w:rsidR="003F7B9F" w:rsidRDefault="003F7B9F" w:rsidP="00A119E0">
      <w:pPr>
        <w:pStyle w:val="CallOut"/>
      </w:pPr>
      <w:r w:rsidRPr="0085763F">
        <w:rPr>
          <w:rStyle w:val="CallOutChar"/>
        </w:rPr>
        <w:t xml:space="preserve">The </w:t>
      </w:r>
      <w:r w:rsidR="003E1E7F">
        <w:rPr>
          <w:rStyle w:val="CallOutChar"/>
        </w:rPr>
        <w:t>S</w:t>
      </w:r>
      <w:r w:rsidRPr="0085763F">
        <w:rPr>
          <w:rStyle w:val="CallOutChar"/>
        </w:rPr>
        <w:t>tate’s comprehensive traffic count program should be used to develop traffic volume group assignments for all road sections in a program that adequately monitors both high</w:t>
      </w:r>
      <w:r w:rsidR="00042B94">
        <w:rPr>
          <w:rStyle w:val="CallOutChar"/>
        </w:rPr>
        <w:t>-</w:t>
      </w:r>
      <w:r w:rsidRPr="0085763F">
        <w:rPr>
          <w:rStyle w:val="CallOutChar"/>
        </w:rPr>
        <w:t xml:space="preserve"> and low</w:t>
      </w:r>
      <w:r w:rsidR="00042B94">
        <w:rPr>
          <w:rStyle w:val="CallOutChar"/>
        </w:rPr>
        <w:t>-</w:t>
      </w:r>
      <w:r w:rsidRPr="0085763F">
        <w:rPr>
          <w:rStyle w:val="CallOutChar"/>
        </w:rPr>
        <w:t xml:space="preserve">volume roads, including those off the </w:t>
      </w:r>
      <w:r w:rsidR="00042B94">
        <w:rPr>
          <w:rStyle w:val="CallOutChar"/>
        </w:rPr>
        <w:t>S</w:t>
      </w:r>
      <w:r w:rsidRPr="0085763F">
        <w:rPr>
          <w:rStyle w:val="CallOutChar"/>
        </w:rPr>
        <w:t>tate system.</w:t>
      </w:r>
      <w:r>
        <w:t xml:space="preserve"> </w:t>
      </w:r>
    </w:p>
    <w:p w14:paraId="2364F5FD" w14:textId="634F4585" w:rsidR="003F7B9F" w:rsidRDefault="003F7B9F" w:rsidP="00A35EAF">
      <w:pPr>
        <w:pStyle w:val="BodyText"/>
      </w:pPr>
      <w:r>
        <w:t>High</w:t>
      </w:r>
      <w:r w:rsidR="00042B94">
        <w:t>-</w:t>
      </w:r>
      <w:r>
        <w:t xml:space="preserve"> and low</w:t>
      </w:r>
      <w:r w:rsidR="00042B94">
        <w:t>-</w:t>
      </w:r>
      <w:r>
        <w:t xml:space="preserve">volume sites are specific to each </w:t>
      </w:r>
      <w:r w:rsidR="00042B94">
        <w:t>S</w:t>
      </w:r>
      <w:r>
        <w:t xml:space="preserve">tate, and engineering judgment is required to determine the values for these for each </w:t>
      </w:r>
      <w:r w:rsidR="00042B94">
        <w:t>S</w:t>
      </w:r>
      <w:r>
        <w:t>tate individually. To facilitate this process, count station locations should be selected to represent expected AADT volume group breakpoints for the volume ranges of all required samples. This may require locating count stations at one per several miles in rural areas and more closely in urban areas. If there are homogeneous traffic sections (i.e., traffic counts are same for the length of the sections) as determined by prior counts or knowledge of local traffic conditions, more than one section may be represented by a single traffic count station as long as traffic does not vary more than 10%. In this scenario, local traffic monitoring offices may know of no major traffic generators or significant enough development to cause changes in the traffic volumes within HPMS sections. This situation can result in more than one HPMS section using the same traffic count station. HPMS sections exist for reasons other than fluctuations in traffic volumes, as noted in the discussion of TOPS sections. Selection of count locations should be based on previous count experience on the section or adjacent sections, recent land use development, and the existence of uncounted sections along the route.</w:t>
      </w:r>
    </w:p>
    <w:p w14:paraId="733DAC05" w14:textId="732AFD45" w:rsidR="003F7B9F" w:rsidRPr="001546EF" w:rsidRDefault="003F7B9F">
      <w:pPr>
        <w:pStyle w:val="Heading3"/>
      </w:pPr>
      <w:bookmarkStart w:id="3599" w:name="_Toc65752875"/>
      <w:bookmarkStart w:id="3600" w:name="_Toc118205721"/>
      <w:r w:rsidRPr="001546EF">
        <w:t>Traffic Metadata</w:t>
      </w:r>
      <w:bookmarkEnd w:id="3599"/>
      <w:bookmarkEnd w:id="3600"/>
    </w:p>
    <w:p w14:paraId="1FFD361A" w14:textId="5236F494" w:rsidR="003F7B9F" w:rsidRDefault="003F7B9F" w:rsidP="00A35EAF">
      <w:pPr>
        <w:pStyle w:val="BodyText"/>
      </w:pPr>
      <w:r>
        <w:t xml:space="preserve">Metadata for traffic are also reported in HPMS and are used to further explain any variability in the collection and/or reporting of traffic, such as: whether the AADT is adjusted for DOW or for number of axles; if the traffic data are reported from the State traffic database only; or if the data are reported from the State traffic database and local governments. </w:t>
      </w:r>
    </w:p>
    <w:p w14:paraId="501147B4" w14:textId="77777777" w:rsidR="003F7B9F" w:rsidRDefault="003F7B9F" w:rsidP="00A35EAF">
      <w:pPr>
        <w:pStyle w:val="BodyText"/>
      </w:pPr>
      <w:r>
        <w:t>The metadata provide additional information about the following:</w:t>
      </w:r>
    </w:p>
    <w:p w14:paraId="41F8B070" w14:textId="693172F1" w:rsidR="003F7B9F" w:rsidRPr="006B17BB" w:rsidRDefault="003F7B9F">
      <w:pPr>
        <w:pStyle w:val="TMGBullet"/>
      </w:pPr>
      <w:r w:rsidRPr="006B17BB">
        <w:t>Traffic counts</w:t>
      </w:r>
    </w:p>
    <w:p w14:paraId="7C958FAD" w14:textId="2151BB1E" w:rsidR="003F7B9F" w:rsidRPr="006B17BB" w:rsidRDefault="003F7B9F">
      <w:pPr>
        <w:pStyle w:val="TMGBullet"/>
      </w:pPr>
      <w:r w:rsidRPr="006B17BB">
        <w:t>Vehicle classification</w:t>
      </w:r>
    </w:p>
    <w:p w14:paraId="10B5DBA2" w14:textId="4221AB46" w:rsidR="003F7B9F" w:rsidRPr="006B17BB" w:rsidRDefault="003F7B9F">
      <w:pPr>
        <w:pStyle w:val="TMGBullet"/>
      </w:pPr>
      <w:r w:rsidRPr="006B17BB">
        <w:t>Source of the travel data (state, local, etc.)</w:t>
      </w:r>
    </w:p>
    <w:p w14:paraId="2BB78C07" w14:textId="20B46902" w:rsidR="003F7B9F" w:rsidRPr="006B17BB" w:rsidRDefault="003F7B9F">
      <w:pPr>
        <w:pStyle w:val="TMGBullet"/>
      </w:pPr>
      <w:r w:rsidRPr="006B17BB">
        <w:t>Ramp traffic estimation method (i.e., ramp metering, ramp balancing, etc.)</w:t>
      </w:r>
    </w:p>
    <w:p w14:paraId="3B83A888" w14:textId="77777777" w:rsidR="003F7B9F" w:rsidRDefault="003F7B9F" w:rsidP="00A35EAF">
      <w:pPr>
        <w:pStyle w:val="BodyText"/>
      </w:pPr>
      <w:r>
        <w:t>Additional information on the reporting of traffic</w:t>
      </w:r>
      <w:r>
        <w:rPr>
          <w:spacing w:val="-4"/>
        </w:rPr>
        <w:t xml:space="preserve"> </w:t>
      </w:r>
      <w:r>
        <w:t xml:space="preserve">metadata in HPMS can be found in Chapter 3 of the </w:t>
      </w:r>
      <w:r w:rsidRPr="005E416B">
        <w:rPr>
          <w:i/>
          <w:iCs/>
        </w:rPr>
        <w:t>HPMS Field Manual</w:t>
      </w:r>
      <w:r>
        <w:t>.</w:t>
      </w:r>
    </w:p>
    <w:p w14:paraId="44E547E4" w14:textId="08E072CD" w:rsidR="003F7B9F" w:rsidRPr="001546EF" w:rsidRDefault="003F7B9F">
      <w:pPr>
        <w:pStyle w:val="Heading2"/>
      </w:pPr>
      <w:bookmarkStart w:id="3601" w:name="_Toc349905100"/>
      <w:bookmarkStart w:id="3602" w:name="_Toc363656148"/>
      <w:bookmarkStart w:id="3603" w:name="_Toc450638939"/>
      <w:bookmarkStart w:id="3604" w:name="_Toc65752876"/>
      <w:bookmarkStart w:id="3605" w:name="_Toc68864971"/>
      <w:bookmarkStart w:id="3606" w:name="_Toc114474756"/>
      <w:bookmarkStart w:id="3607" w:name="_Toc290555984"/>
      <w:bookmarkStart w:id="3608" w:name="_Toc290988612"/>
      <w:bookmarkStart w:id="3609" w:name="_Toc118205722"/>
      <w:bookmarkEnd w:id="3582"/>
      <w:r w:rsidRPr="001546EF">
        <w:t>Guidelines for Collecting Traffic Data to Support HPMS</w:t>
      </w:r>
      <w:bookmarkEnd w:id="3601"/>
      <w:bookmarkEnd w:id="3602"/>
      <w:bookmarkEnd w:id="3603"/>
      <w:bookmarkEnd w:id="3604"/>
      <w:bookmarkEnd w:id="3605"/>
      <w:bookmarkEnd w:id="3606"/>
      <w:bookmarkEnd w:id="3607"/>
      <w:bookmarkEnd w:id="3608"/>
      <w:bookmarkEnd w:id="3609"/>
    </w:p>
    <w:p w14:paraId="2B03D18B" w14:textId="50DDE45A" w:rsidR="003F7B9F" w:rsidRDefault="003F7B9F" w:rsidP="00A35EAF">
      <w:pPr>
        <w:pStyle w:val="BodyText"/>
      </w:pPr>
      <w:r>
        <w:t xml:space="preserve">The traffic data supplied for HPMS use are derived from the </w:t>
      </w:r>
      <w:r w:rsidR="00042B94">
        <w:t>S</w:t>
      </w:r>
      <w:r>
        <w:t>tate’s regular traffic monitoring program with adjustments (such as aggregating data for short/long samples or using weighted</w:t>
      </w:r>
      <w:r w:rsidR="00042B94">
        <w:t xml:space="preserve"> </w:t>
      </w:r>
      <w:r>
        <w:t>average</w:t>
      </w:r>
      <w:r w:rsidR="00042B94">
        <w:t>s</w:t>
      </w:r>
      <w:r>
        <w:t xml:space="preserve"> for HPMS sections) to meet specific HPMS requirements. Collection of HPMS-specific traffic data should be fully integrated into the normal traffic monitoring program. As stated in Chapter 3, measures should be taken to ensure the quality of all data within the traffic monitoring program.</w:t>
      </w:r>
    </w:p>
    <w:p w14:paraId="11183354" w14:textId="6B8E2C8E" w:rsidR="00F926BA" w:rsidRDefault="00F926BA" w:rsidP="00A35EAF">
      <w:pPr>
        <w:pStyle w:val="BodyText"/>
      </w:pPr>
      <w:r>
        <w:t>For HPMS reporting purposes, metadata tied with the Annual Average Daily Traffic (AADT), the Single-Unit Truck &amp; Bus (</w:t>
      </w:r>
      <w:r w:rsidR="00382423">
        <w:t>AADT_SINGLE_UNIT</w:t>
      </w:r>
      <w:r>
        <w:t>), and the Combination Truck AADT (</w:t>
      </w:r>
      <w:r w:rsidR="00382423">
        <w:t>AADT_COMBINATION</w:t>
      </w:r>
      <w:r>
        <w:t>) have the following definitions regarding data sources:</w:t>
      </w:r>
    </w:p>
    <w:p w14:paraId="7549324F" w14:textId="5B30A277" w:rsidR="00F926BA" w:rsidRDefault="00F926BA" w:rsidP="00A8371B">
      <w:pPr>
        <w:pStyle w:val="BodyText"/>
        <w:rPr>
          <w:rFonts w:asciiTheme="minorHAnsi" w:hAnsiTheme="minorHAnsi" w:cstheme="minorBidi"/>
        </w:rPr>
      </w:pPr>
      <w:r>
        <w:t>Code A:</w:t>
      </w:r>
      <w:r w:rsidR="004D4172">
        <w:t xml:space="preserve"> </w:t>
      </w:r>
      <w:r>
        <w:t>Derived directly from actual short</w:t>
      </w:r>
      <w:r w:rsidR="00B01B54">
        <w:t>-</w:t>
      </w:r>
      <w:r>
        <w:t xml:space="preserve">term or continuous counts consistent with procedures outlined in the </w:t>
      </w:r>
      <w:r w:rsidRPr="005E416B">
        <w:rPr>
          <w:i/>
          <w:iCs/>
        </w:rPr>
        <w:t>TMG</w:t>
      </w:r>
      <w:r>
        <w:t xml:space="preserve"> by a State or local government agency.</w:t>
      </w:r>
    </w:p>
    <w:p w14:paraId="123E8587" w14:textId="64E68774" w:rsidR="00F926BA" w:rsidRDefault="00F926BA" w:rsidP="00A8371B">
      <w:pPr>
        <w:pStyle w:val="BodyText"/>
      </w:pPr>
      <w:r>
        <w:t>Code B:</w:t>
      </w:r>
      <w:r w:rsidR="004D4172">
        <w:t xml:space="preserve"> </w:t>
      </w:r>
      <w:r>
        <w:t>Derived not directly from actual short</w:t>
      </w:r>
      <w:r w:rsidR="00B01B54">
        <w:t>-</w:t>
      </w:r>
      <w:r>
        <w:t>term or continuous counts (even though short</w:t>
      </w:r>
      <w:r w:rsidR="00B01B54">
        <w:t>-</w:t>
      </w:r>
      <w:r>
        <w:t>term count or continuous counts may be used for method calibration or validation data) through methods such as travel demand modeling, statistical trending analysis, or cellular data modeling by a State or local government agency.</w:t>
      </w:r>
    </w:p>
    <w:p w14:paraId="0EEC4BEA" w14:textId="1B159DBF" w:rsidR="00F926BA" w:rsidRDefault="00F926BA" w:rsidP="00A8371B">
      <w:pPr>
        <w:pStyle w:val="BodyText"/>
      </w:pPr>
      <w:r>
        <w:lastRenderedPageBreak/>
        <w:t>Code C:</w:t>
      </w:r>
      <w:r w:rsidR="004D4172">
        <w:t xml:space="preserve"> </w:t>
      </w:r>
      <w:r>
        <w:t>Derived directly from actual short</w:t>
      </w:r>
      <w:r w:rsidR="00B01B54">
        <w:t>-</w:t>
      </w:r>
      <w:r>
        <w:t xml:space="preserve">term or continuous counts consistent with procedures outlined in the </w:t>
      </w:r>
      <w:r w:rsidRPr="005E416B">
        <w:rPr>
          <w:i/>
          <w:iCs/>
        </w:rPr>
        <w:t>TMG</w:t>
      </w:r>
      <w:r>
        <w:t xml:space="preserve"> that are purchased or acquired from a private business or non-governmental entity.</w:t>
      </w:r>
    </w:p>
    <w:p w14:paraId="34C4C335" w14:textId="7A855931" w:rsidR="00F926BA" w:rsidRDefault="00F926BA" w:rsidP="00A8371B">
      <w:pPr>
        <w:pStyle w:val="BodyText"/>
      </w:pPr>
      <w:r>
        <w:t>Code D:</w:t>
      </w:r>
      <w:r w:rsidR="004D4172">
        <w:t xml:space="preserve"> </w:t>
      </w:r>
      <w:r>
        <w:t>Derived not directly from actual short</w:t>
      </w:r>
      <w:r w:rsidR="00B01B54">
        <w:t>-</w:t>
      </w:r>
      <w:r>
        <w:t>term or continuous counts (even though short</w:t>
      </w:r>
      <w:r w:rsidR="00B01B54">
        <w:t>-</w:t>
      </w:r>
      <w:r>
        <w:t>term count or continuous counts may be used for method calibration or validation data) through methods such as travel demand modeling, statistical trending analysis, or cellular data modeling purchased or acquired from a private business or non-governmental entity.</w:t>
      </w:r>
    </w:p>
    <w:p w14:paraId="37036697" w14:textId="0FEBA429" w:rsidR="00F926BA" w:rsidRDefault="00F926BA" w:rsidP="00A8371B">
      <w:pPr>
        <w:pStyle w:val="BodyText"/>
      </w:pPr>
      <w:r>
        <w:t>Code E:</w:t>
      </w:r>
      <w:r w:rsidR="004D4172">
        <w:t xml:space="preserve"> </w:t>
      </w:r>
      <w:r>
        <w:t>Other:</w:t>
      </w:r>
      <w:r w:rsidR="004D4172">
        <w:t xml:space="preserve"> </w:t>
      </w:r>
      <w:r>
        <w:t xml:space="preserve">Data </w:t>
      </w:r>
      <w:r w:rsidR="00B01B54">
        <w:t xml:space="preserve">are </w:t>
      </w:r>
      <w:r>
        <w:t>developed or acquired using a method not identified in A, B, C, or D.</w:t>
      </w:r>
    </w:p>
    <w:tbl>
      <w:tblPr>
        <w:tblStyle w:val="TableGrid"/>
        <w:tblW w:w="9360" w:type="dxa"/>
        <w:jc w:val="center"/>
        <w:tblCellMar>
          <w:left w:w="86" w:type="dxa"/>
          <w:right w:w="86" w:type="dxa"/>
        </w:tblCellMar>
        <w:tblLook w:val="04A0" w:firstRow="1" w:lastRow="0" w:firstColumn="1" w:lastColumn="0" w:noHBand="0" w:noVBand="1"/>
      </w:tblPr>
      <w:tblGrid>
        <w:gridCol w:w="715"/>
        <w:gridCol w:w="3240"/>
        <w:gridCol w:w="2880"/>
        <w:gridCol w:w="2525"/>
      </w:tblGrid>
      <w:tr w:rsidR="00481361" w14:paraId="58828993" w14:textId="77777777" w:rsidTr="00A8371B">
        <w:trPr>
          <w:jc w:val="center"/>
        </w:trPr>
        <w:tc>
          <w:tcPr>
            <w:tcW w:w="715" w:type="dxa"/>
            <w:tcBorders>
              <w:right w:val="single" w:sz="4" w:space="0" w:color="FFFFFF" w:themeColor="background1"/>
            </w:tcBorders>
            <w:shd w:val="clear" w:color="auto" w:fill="1F3864"/>
            <w:vAlign w:val="center"/>
          </w:tcPr>
          <w:p w14:paraId="042F46EB" w14:textId="28397498" w:rsidR="00481361" w:rsidRDefault="00481361" w:rsidP="00481361">
            <w:pPr>
              <w:pStyle w:val="TMGTableTextHeader"/>
            </w:pPr>
            <w:r>
              <w:t>Code</w:t>
            </w:r>
          </w:p>
        </w:tc>
        <w:tc>
          <w:tcPr>
            <w:tcW w:w="3240" w:type="dxa"/>
            <w:tcBorders>
              <w:left w:val="single" w:sz="4" w:space="0" w:color="FFFFFF" w:themeColor="background1"/>
              <w:right w:val="single" w:sz="4" w:space="0" w:color="FFFFFF" w:themeColor="background1"/>
            </w:tcBorders>
            <w:shd w:val="clear" w:color="auto" w:fill="1F3864"/>
            <w:vAlign w:val="center"/>
          </w:tcPr>
          <w:p w14:paraId="24C05C72" w14:textId="7A0F02AC" w:rsidR="00481361" w:rsidRDefault="00481361" w:rsidP="00481361">
            <w:pPr>
              <w:pStyle w:val="TMGTableTextHeader"/>
              <w:rPr>
                <w:rFonts w:eastAsia="MS Mincho"/>
              </w:rPr>
            </w:pPr>
            <w:r>
              <w:t>Source</w:t>
            </w:r>
            <w:r w:rsidR="00A8371B">
              <w:br/>
            </w:r>
            <w:r>
              <w:t xml:space="preserve">(who </w:t>
            </w:r>
            <w:r w:rsidR="00A8371B">
              <w:t>C</w:t>
            </w:r>
            <w:r>
              <w:t>onducted/</w:t>
            </w:r>
            <w:r w:rsidR="00A8371B">
              <w:t>D</w:t>
            </w:r>
            <w:r>
              <w:t>erived the</w:t>
            </w:r>
            <w:r w:rsidR="00A8371B">
              <w:t> C</w:t>
            </w:r>
            <w:r>
              <w:t>ount)</w:t>
            </w:r>
          </w:p>
        </w:tc>
        <w:tc>
          <w:tcPr>
            <w:tcW w:w="2880" w:type="dxa"/>
            <w:tcBorders>
              <w:left w:val="single" w:sz="4" w:space="0" w:color="FFFFFF" w:themeColor="background1"/>
              <w:right w:val="single" w:sz="4" w:space="0" w:color="FFFFFF" w:themeColor="background1"/>
            </w:tcBorders>
            <w:shd w:val="clear" w:color="auto" w:fill="1F3864"/>
            <w:vAlign w:val="center"/>
          </w:tcPr>
          <w:p w14:paraId="02A7484D" w14:textId="458BFED0" w:rsidR="00481361" w:rsidRDefault="00481361" w:rsidP="00481361">
            <w:pPr>
              <w:pStyle w:val="TMGTableTextHeader"/>
              <w:rPr>
                <w:rFonts w:eastAsia="MS Mincho"/>
              </w:rPr>
            </w:pPr>
            <w:r>
              <w:t>Type</w:t>
            </w:r>
            <w:r w:rsidR="00A8371B">
              <w:br/>
            </w:r>
            <w:r>
              <w:t>(Direct Input or Mechanism)</w:t>
            </w:r>
          </w:p>
        </w:tc>
        <w:tc>
          <w:tcPr>
            <w:tcW w:w="2525" w:type="dxa"/>
            <w:tcBorders>
              <w:left w:val="single" w:sz="4" w:space="0" w:color="FFFFFF" w:themeColor="background1"/>
            </w:tcBorders>
            <w:shd w:val="clear" w:color="auto" w:fill="1F3864"/>
            <w:vAlign w:val="center"/>
          </w:tcPr>
          <w:p w14:paraId="668D5F01" w14:textId="364CB0BA" w:rsidR="00481361" w:rsidRDefault="00481361" w:rsidP="00481361">
            <w:pPr>
              <w:pStyle w:val="TMGTableTextHeader"/>
            </w:pPr>
            <w:r>
              <w:t>Method</w:t>
            </w:r>
          </w:p>
        </w:tc>
      </w:tr>
      <w:tr w:rsidR="00481361" w14:paraId="04B8198E" w14:textId="77777777" w:rsidTr="00A8371B">
        <w:trPr>
          <w:jc w:val="center"/>
        </w:trPr>
        <w:tc>
          <w:tcPr>
            <w:tcW w:w="715" w:type="dxa"/>
            <w:vAlign w:val="center"/>
          </w:tcPr>
          <w:p w14:paraId="22E49F93" w14:textId="35BDFEE2" w:rsidR="00481361" w:rsidRPr="00C251E9" w:rsidRDefault="00481361" w:rsidP="00A8371B">
            <w:pPr>
              <w:pStyle w:val="TMGTableText"/>
              <w:jc w:val="center"/>
              <w:rPr>
                <w:b/>
                <w:bCs/>
              </w:rPr>
            </w:pPr>
            <w:r>
              <w:rPr>
                <w:b/>
                <w:bCs/>
              </w:rPr>
              <w:t>A</w:t>
            </w:r>
          </w:p>
        </w:tc>
        <w:tc>
          <w:tcPr>
            <w:tcW w:w="3240" w:type="dxa"/>
            <w:vAlign w:val="center"/>
          </w:tcPr>
          <w:p w14:paraId="37CA95B5" w14:textId="54E7F59F" w:rsidR="00481361" w:rsidRPr="004859C8" w:rsidRDefault="00481361" w:rsidP="00A8371B">
            <w:pPr>
              <w:pStyle w:val="TMGTableText"/>
            </w:pPr>
            <w:r>
              <w:t>State or local government agency</w:t>
            </w:r>
          </w:p>
        </w:tc>
        <w:tc>
          <w:tcPr>
            <w:tcW w:w="2880" w:type="dxa"/>
            <w:vAlign w:val="center"/>
          </w:tcPr>
          <w:p w14:paraId="71DE0948" w14:textId="61C6C693" w:rsidR="00481361" w:rsidRPr="004859C8" w:rsidRDefault="00481361" w:rsidP="00A8371B">
            <w:pPr>
              <w:pStyle w:val="TMGTableText"/>
            </w:pPr>
            <w:r>
              <w:t>Actual count</w:t>
            </w:r>
          </w:p>
        </w:tc>
        <w:tc>
          <w:tcPr>
            <w:tcW w:w="2525" w:type="dxa"/>
            <w:vAlign w:val="center"/>
          </w:tcPr>
          <w:p w14:paraId="6E1708C3" w14:textId="21BCF23C" w:rsidR="00481361" w:rsidRPr="00C251E9" w:rsidRDefault="00481361" w:rsidP="00A8371B">
            <w:pPr>
              <w:pStyle w:val="TMGTableText"/>
            </w:pPr>
            <w:r>
              <w:t xml:space="preserve">Consistent with short-term count factoring procedures outlined in the </w:t>
            </w:r>
            <w:r w:rsidRPr="005E416B">
              <w:rPr>
                <w:i/>
                <w:iCs/>
              </w:rPr>
              <w:t>TMG</w:t>
            </w:r>
          </w:p>
        </w:tc>
      </w:tr>
      <w:tr w:rsidR="00481361" w14:paraId="733F54E9" w14:textId="77777777" w:rsidTr="00A8371B">
        <w:trPr>
          <w:jc w:val="center"/>
        </w:trPr>
        <w:tc>
          <w:tcPr>
            <w:tcW w:w="715" w:type="dxa"/>
            <w:vAlign w:val="center"/>
          </w:tcPr>
          <w:p w14:paraId="25B901AD" w14:textId="68A5B2CC" w:rsidR="00481361" w:rsidRPr="00C251E9" w:rsidRDefault="00481361" w:rsidP="00A8371B">
            <w:pPr>
              <w:pStyle w:val="TMGTableText"/>
              <w:jc w:val="center"/>
              <w:rPr>
                <w:b/>
                <w:bCs/>
              </w:rPr>
            </w:pPr>
            <w:r>
              <w:rPr>
                <w:b/>
                <w:bCs/>
              </w:rPr>
              <w:t>B</w:t>
            </w:r>
          </w:p>
        </w:tc>
        <w:tc>
          <w:tcPr>
            <w:tcW w:w="3240" w:type="dxa"/>
            <w:vAlign w:val="center"/>
          </w:tcPr>
          <w:p w14:paraId="45822051" w14:textId="37C9357E" w:rsidR="00481361" w:rsidRPr="004859C8" w:rsidRDefault="00481361" w:rsidP="00A8371B">
            <w:pPr>
              <w:pStyle w:val="TMGTableText"/>
            </w:pPr>
            <w:r>
              <w:t>State or local government agency</w:t>
            </w:r>
          </w:p>
        </w:tc>
        <w:tc>
          <w:tcPr>
            <w:tcW w:w="2880" w:type="dxa"/>
            <w:vAlign w:val="center"/>
          </w:tcPr>
          <w:p w14:paraId="2C1E8E6E" w14:textId="3D160681" w:rsidR="00481361" w:rsidRPr="004859C8" w:rsidRDefault="00481361" w:rsidP="00A8371B">
            <w:pPr>
              <w:pStyle w:val="TMGTableText"/>
            </w:pPr>
            <w:r>
              <w:t>Travel demand model output, statistical trend analysis, cellular data modeling, or similar</w:t>
            </w:r>
          </w:p>
        </w:tc>
        <w:tc>
          <w:tcPr>
            <w:tcW w:w="2525" w:type="dxa"/>
            <w:vAlign w:val="center"/>
          </w:tcPr>
          <w:p w14:paraId="2B4AE4FC" w14:textId="110453A4" w:rsidR="00481361" w:rsidRPr="00C251E9" w:rsidRDefault="00481361" w:rsidP="00A8371B">
            <w:pPr>
              <w:pStyle w:val="TMGTableText"/>
            </w:pPr>
            <w:r>
              <w:t xml:space="preserve">Alternative methods not identified in the </w:t>
            </w:r>
            <w:r w:rsidRPr="005E416B">
              <w:rPr>
                <w:i/>
                <w:iCs/>
              </w:rPr>
              <w:t>TMG</w:t>
            </w:r>
          </w:p>
        </w:tc>
      </w:tr>
      <w:tr w:rsidR="00481361" w14:paraId="6973FD14" w14:textId="77777777" w:rsidTr="00A8371B">
        <w:trPr>
          <w:jc w:val="center"/>
        </w:trPr>
        <w:tc>
          <w:tcPr>
            <w:tcW w:w="715" w:type="dxa"/>
            <w:vAlign w:val="center"/>
          </w:tcPr>
          <w:p w14:paraId="5FA965C7" w14:textId="6E0966B5" w:rsidR="00481361" w:rsidRPr="00C251E9" w:rsidRDefault="00481361" w:rsidP="00A8371B">
            <w:pPr>
              <w:pStyle w:val="TMGTableText"/>
              <w:jc w:val="center"/>
              <w:rPr>
                <w:b/>
                <w:bCs/>
              </w:rPr>
            </w:pPr>
            <w:r>
              <w:rPr>
                <w:b/>
                <w:bCs/>
              </w:rPr>
              <w:t>C</w:t>
            </w:r>
          </w:p>
        </w:tc>
        <w:tc>
          <w:tcPr>
            <w:tcW w:w="3240" w:type="dxa"/>
            <w:vAlign w:val="center"/>
          </w:tcPr>
          <w:p w14:paraId="00B27C4E" w14:textId="79B62D6E" w:rsidR="00481361" w:rsidRPr="004859C8" w:rsidRDefault="00481361" w:rsidP="00A8371B">
            <w:pPr>
              <w:pStyle w:val="TMGTableText"/>
            </w:pPr>
            <w:r>
              <w:t>Private business or non-governmental agency</w:t>
            </w:r>
          </w:p>
        </w:tc>
        <w:tc>
          <w:tcPr>
            <w:tcW w:w="2880" w:type="dxa"/>
            <w:vAlign w:val="center"/>
          </w:tcPr>
          <w:p w14:paraId="5A577D39" w14:textId="5CF9C294" w:rsidR="00481361" w:rsidRPr="004859C8" w:rsidRDefault="00481361" w:rsidP="00A8371B">
            <w:pPr>
              <w:pStyle w:val="TMGTableText"/>
            </w:pPr>
            <w:r>
              <w:t>Actual count</w:t>
            </w:r>
          </w:p>
        </w:tc>
        <w:tc>
          <w:tcPr>
            <w:tcW w:w="2525" w:type="dxa"/>
            <w:vAlign w:val="center"/>
          </w:tcPr>
          <w:p w14:paraId="696BD915" w14:textId="74AA9E13" w:rsidR="00481361" w:rsidRPr="00C251E9" w:rsidRDefault="00481361" w:rsidP="00A8371B">
            <w:pPr>
              <w:pStyle w:val="TMGTableText"/>
            </w:pPr>
            <w:r>
              <w:t xml:space="preserve">Consistent with short term count factoring procedures outlined in the </w:t>
            </w:r>
            <w:r w:rsidRPr="005E416B">
              <w:rPr>
                <w:i/>
                <w:iCs/>
              </w:rPr>
              <w:t>TMG</w:t>
            </w:r>
          </w:p>
        </w:tc>
      </w:tr>
      <w:tr w:rsidR="00481361" w14:paraId="37B72F22" w14:textId="77777777" w:rsidTr="00A8371B">
        <w:trPr>
          <w:jc w:val="center"/>
        </w:trPr>
        <w:tc>
          <w:tcPr>
            <w:tcW w:w="715" w:type="dxa"/>
            <w:vAlign w:val="center"/>
          </w:tcPr>
          <w:p w14:paraId="21C0CB2C" w14:textId="507F37D6" w:rsidR="00481361" w:rsidRPr="00C251E9" w:rsidRDefault="00481361" w:rsidP="00A8371B">
            <w:pPr>
              <w:pStyle w:val="TMGTableText"/>
              <w:jc w:val="center"/>
              <w:rPr>
                <w:b/>
                <w:bCs/>
              </w:rPr>
            </w:pPr>
            <w:r>
              <w:rPr>
                <w:b/>
                <w:bCs/>
              </w:rPr>
              <w:t>D</w:t>
            </w:r>
          </w:p>
        </w:tc>
        <w:tc>
          <w:tcPr>
            <w:tcW w:w="3240" w:type="dxa"/>
            <w:vAlign w:val="center"/>
          </w:tcPr>
          <w:p w14:paraId="7C3F27D4" w14:textId="3B8DED2D" w:rsidR="00481361" w:rsidRPr="004859C8" w:rsidRDefault="00481361" w:rsidP="00A8371B">
            <w:pPr>
              <w:pStyle w:val="TMGTableText"/>
            </w:pPr>
            <w:r>
              <w:t xml:space="preserve">Private business or non-governmental agency </w:t>
            </w:r>
          </w:p>
        </w:tc>
        <w:tc>
          <w:tcPr>
            <w:tcW w:w="2880" w:type="dxa"/>
            <w:vAlign w:val="center"/>
          </w:tcPr>
          <w:p w14:paraId="1DE7EFD9" w14:textId="4ED0A86B" w:rsidR="00481361" w:rsidRPr="004859C8" w:rsidRDefault="00481361" w:rsidP="00A8371B">
            <w:pPr>
              <w:pStyle w:val="TMGTableText"/>
            </w:pPr>
            <w:r>
              <w:t>Travel demand model output, statistical trend analysis, cellular data modeling, or similar</w:t>
            </w:r>
          </w:p>
        </w:tc>
        <w:tc>
          <w:tcPr>
            <w:tcW w:w="2525" w:type="dxa"/>
            <w:vAlign w:val="center"/>
          </w:tcPr>
          <w:p w14:paraId="65E906CF" w14:textId="35D9FF3E" w:rsidR="00481361" w:rsidRPr="00C251E9" w:rsidRDefault="00481361" w:rsidP="00A8371B">
            <w:pPr>
              <w:pStyle w:val="TMGTableText"/>
            </w:pPr>
            <w:r>
              <w:t xml:space="preserve">Alternative methods not identified in the </w:t>
            </w:r>
            <w:r w:rsidRPr="005E416B">
              <w:rPr>
                <w:i/>
                <w:iCs/>
              </w:rPr>
              <w:t>TMG</w:t>
            </w:r>
          </w:p>
        </w:tc>
      </w:tr>
      <w:tr w:rsidR="00481361" w14:paraId="0A329731" w14:textId="77777777" w:rsidTr="00A8371B">
        <w:trPr>
          <w:jc w:val="center"/>
        </w:trPr>
        <w:tc>
          <w:tcPr>
            <w:tcW w:w="715" w:type="dxa"/>
            <w:vAlign w:val="center"/>
          </w:tcPr>
          <w:p w14:paraId="34C214F1" w14:textId="22636C1B" w:rsidR="00481361" w:rsidRPr="00C251E9" w:rsidRDefault="00481361" w:rsidP="00A8371B">
            <w:pPr>
              <w:pStyle w:val="TMGTableText"/>
              <w:jc w:val="center"/>
              <w:rPr>
                <w:b/>
                <w:bCs/>
              </w:rPr>
            </w:pPr>
            <w:r>
              <w:rPr>
                <w:b/>
                <w:bCs/>
              </w:rPr>
              <w:t>E</w:t>
            </w:r>
          </w:p>
        </w:tc>
        <w:tc>
          <w:tcPr>
            <w:tcW w:w="8645" w:type="dxa"/>
            <w:gridSpan w:val="3"/>
          </w:tcPr>
          <w:p w14:paraId="1A8562F8" w14:textId="5B371C67" w:rsidR="00481361" w:rsidRPr="00C251E9" w:rsidRDefault="00481361" w:rsidP="00481361">
            <w:pPr>
              <w:pStyle w:val="TMGTableText"/>
            </w:pPr>
            <w:r>
              <w:t>Data are developed or acquired using a method not identified in A, B, C, or D</w:t>
            </w:r>
          </w:p>
        </w:tc>
      </w:tr>
    </w:tbl>
    <w:p w14:paraId="4C8A818F" w14:textId="77777777" w:rsidR="003F7B9F" w:rsidRDefault="003F7B9F" w:rsidP="00481361">
      <w:pPr>
        <w:pStyle w:val="BodyText"/>
        <w:spacing w:before="360"/>
      </w:pPr>
      <w:r>
        <w:t>Several guidelines should be followed when collecting and processing traffic data to ensure that the highest quality traffic data are provided to HPMS. This section describes the following guidelines:</w:t>
      </w:r>
    </w:p>
    <w:p w14:paraId="78993066" w14:textId="0479DC73" w:rsidR="003F7B9F" w:rsidRPr="006B17BB" w:rsidRDefault="003F7B9F">
      <w:pPr>
        <w:pStyle w:val="TMGBullet"/>
      </w:pPr>
      <w:r w:rsidRPr="006B17BB">
        <w:t>Permanent (continuous) counts</w:t>
      </w:r>
    </w:p>
    <w:p w14:paraId="27E2B703" w14:textId="520AC9A5" w:rsidR="003F7B9F" w:rsidRPr="006B17BB" w:rsidRDefault="003F7B9F">
      <w:pPr>
        <w:pStyle w:val="TMGBullet"/>
      </w:pPr>
      <w:r w:rsidRPr="006B17BB">
        <w:t>Short term counts</w:t>
      </w:r>
    </w:p>
    <w:p w14:paraId="3F93AE9A" w14:textId="02E69CAE" w:rsidR="003F7B9F" w:rsidRPr="006B17BB" w:rsidRDefault="003F7B9F">
      <w:pPr>
        <w:pStyle w:val="TMGBullet"/>
      </w:pPr>
      <w:r w:rsidRPr="006B17BB">
        <w:t>Ramp counts</w:t>
      </w:r>
    </w:p>
    <w:p w14:paraId="1F9E32D9" w14:textId="57843035" w:rsidR="003F7B9F" w:rsidRPr="006B17BB" w:rsidRDefault="003F7B9F">
      <w:pPr>
        <w:pStyle w:val="TMGBullet"/>
      </w:pPr>
      <w:r w:rsidRPr="006B17BB">
        <w:t>Vehicle classification counts</w:t>
      </w:r>
    </w:p>
    <w:p w14:paraId="13116DB3" w14:textId="051DAA10" w:rsidR="003F7B9F" w:rsidRPr="006B17BB" w:rsidRDefault="003F7B9F">
      <w:pPr>
        <w:pStyle w:val="TMGBullet"/>
      </w:pPr>
      <w:r w:rsidRPr="006B17BB">
        <w:t>Equipment calibration</w:t>
      </w:r>
    </w:p>
    <w:p w14:paraId="1EAA2EB7" w14:textId="77777777" w:rsidR="003F7B9F" w:rsidRPr="001546EF" w:rsidRDefault="003F7B9F">
      <w:pPr>
        <w:pStyle w:val="Heading3"/>
      </w:pPr>
      <w:bookmarkStart w:id="3610" w:name="_Toc65752877"/>
      <w:bookmarkStart w:id="3611" w:name="_Toc118205723"/>
      <w:r w:rsidRPr="001546EF">
        <w:t>Permanent (Continuous) Counts</w:t>
      </w:r>
      <w:bookmarkEnd w:id="3610"/>
      <w:bookmarkEnd w:id="3611"/>
    </w:p>
    <w:p w14:paraId="01CEEF49" w14:textId="199C1574" w:rsidR="003F7B9F" w:rsidRDefault="003F7B9F" w:rsidP="00A35EAF">
      <w:pPr>
        <w:pStyle w:val="BodyText"/>
      </w:pPr>
      <w:r>
        <w:t>States should provide at least one continuous counter on each major (as defined by HPMS) Principal Arterial System (PAS)/NHS highway route, where possible. HPMS requires at least one</w:t>
      </w:r>
      <w:r w:rsidR="006928E8">
        <w:t xml:space="preserve"> counter</w:t>
      </w:r>
      <w:r>
        <w:t xml:space="preserve">; however, States are encouraged to use engineering judgment. </w:t>
      </w:r>
      <w:r w:rsidRPr="00F374BF">
        <w:t xml:space="preserve">The </w:t>
      </w:r>
      <w:r w:rsidRPr="00F374BF">
        <w:rPr>
          <w:rStyle w:val="Italic"/>
          <w:iCs/>
        </w:rPr>
        <w:t>HPMS Field Manual</w:t>
      </w:r>
      <w:r w:rsidRPr="00F374BF">
        <w:t xml:space="preserve"> </w:t>
      </w:r>
      <w:r w:rsidR="00F374BF" w:rsidRPr="00F374BF">
        <w:t>(FHWA</w:t>
      </w:r>
      <w:r w:rsidR="00F374BF">
        <w:t xml:space="preserve">) </w:t>
      </w:r>
      <w:r>
        <w:t>defines the NHS as a network of nationally significant highways approved by Congress in the National Highway System Designation Act of 1995. It</w:t>
      </w:r>
      <w:r w:rsidR="00E15A61">
        <w:t> </w:t>
      </w:r>
      <w:r>
        <w:t xml:space="preserve">includes the interstate system and over 117,000 miles of other roads and connectors to major intermodal terminals. Due to MAP-21 legislation, the NHS was enhanced to include many roads from the PAS. At a minimum, each continuous counter should have at least one full day of data for each day of the week for each month provided the </w:t>
      </w:r>
      <w:r w:rsidR="006928E8">
        <w:t>S</w:t>
      </w:r>
      <w:r>
        <w:t xml:space="preserve">tate has an adequate automatic editing process, with documentation of the edits performed based on historic trends. </w:t>
      </w:r>
    </w:p>
    <w:p w14:paraId="7ABE7DF6" w14:textId="2A4C879A" w:rsidR="003F7B9F" w:rsidRPr="001546EF" w:rsidRDefault="003F7B9F">
      <w:pPr>
        <w:pStyle w:val="Heading3"/>
      </w:pPr>
      <w:bookmarkStart w:id="3612" w:name="hpms"/>
      <w:bookmarkStart w:id="3613" w:name="_Toc65752878"/>
      <w:bookmarkStart w:id="3614" w:name="_Toc118205724"/>
      <w:bookmarkEnd w:id="3612"/>
      <w:r w:rsidRPr="001546EF">
        <w:t>Short</w:t>
      </w:r>
      <w:r w:rsidR="006928E8">
        <w:t>-</w:t>
      </w:r>
      <w:r w:rsidRPr="001546EF">
        <w:t>Term Counts</w:t>
      </w:r>
      <w:bookmarkEnd w:id="3613"/>
      <w:bookmarkEnd w:id="3614"/>
    </w:p>
    <w:p w14:paraId="78F33A48" w14:textId="12B81A75" w:rsidR="003F7B9F" w:rsidRDefault="003F7B9F" w:rsidP="00A35EAF">
      <w:pPr>
        <w:pStyle w:val="BodyText"/>
      </w:pPr>
      <w:r>
        <w:t>Th</w:t>
      </w:r>
      <w:r w:rsidR="006928E8">
        <w:t xml:space="preserve">e </w:t>
      </w:r>
      <w:r w:rsidR="006928E8" w:rsidRPr="005E416B">
        <w:rPr>
          <w:i/>
          <w:iCs/>
        </w:rPr>
        <w:t>TMG</w:t>
      </w:r>
      <w:r>
        <w:t xml:space="preserve"> recommends that the short</w:t>
      </w:r>
      <w:r w:rsidR="006928E8">
        <w:t>-</w:t>
      </w:r>
      <w:r>
        <w:t xml:space="preserve">term counts used for HPMS reporting purposes be fully integrated with the agency’s coverage count program. This means using the same personnel, procedure, equipment, and counting schedule used for coverage and other traffic counts. </w:t>
      </w:r>
    </w:p>
    <w:p w14:paraId="260FCCED" w14:textId="77777777" w:rsidR="003F7B9F" w:rsidRDefault="003F7B9F" w:rsidP="00A35EAF">
      <w:pPr>
        <w:pStyle w:val="BodyText"/>
      </w:pPr>
      <w:r>
        <w:t>Highway agencies should be aware of the potential for geographic and temporal bias when scheduling counts and counteract it by devising strategies to distribute counts as much as feasible.</w:t>
      </w:r>
    </w:p>
    <w:p w14:paraId="473561CF" w14:textId="3BDBC85B" w:rsidR="003F7B9F" w:rsidRDefault="003F7B9F" w:rsidP="00A35EAF">
      <w:pPr>
        <w:pStyle w:val="BodyText"/>
      </w:pPr>
      <w:r>
        <w:lastRenderedPageBreak/>
        <w:t>The HPMS sample and full extent sections are located within the traffic volume segments defined in the coverage count program. Traffic counts taken to meet the HPMS requirements are taken the same way as other short</w:t>
      </w:r>
      <w:r w:rsidR="006928E8">
        <w:t>-</w:t>
      </w:r>
      <w:r>
        <w:t xml:space="preserve">term traffic volume counts. These are described in Chapter 3. The main difference is that the HPMS has specified nationally standardized criteria for the collection and term of the counts. </w:t>
      </w:r>
      <w:r>
        <w:rPr>
          <w:rStyle w:val="Bold"/>
        </w:rPr>
        <w:t>The HPMS Coordinator should request those additional counts needed for HPMS sufficiently in advance (i.e., prior to scheduling of traffic counts for the data collection year) to allow them to be included in the regular coverage count program.</w:t>
      </w:r>
      <w:r>
        <w:t xml:space="preserve"> Whenever possible, coverage counts taken within a defined traffic count roadway section should be taken within an HPMS section. Since HPMS sections within the TOPS may change over time, this may require counts to be added or eliminated as needed for the traffic count roadway section.</w:t>
      </w:r>
    </w:p>
    <w:p w14:paraId="65F62780" w14:textId="5E655B47" w:rsidR="003F7B9F" w:rsidRDefault="003F7B9F" w:rsidP="00A35EAF">
      <w:pPr>
        <w:pStyle w:val="BodyText"/>
      </w:pPr>
      <w:r>
        <w:t xml:space="preserve">One third of the HPMS full extent (NHS/PAS) and sample sections should be included in each current year coverage sample to ensure that, at a minimum, each of these HPMS full extent/sample sections are counted once every </w:t>
      </w:r>
      <w:r w:rsidR="006928E8">
        <w:t>3</w:t>
      </w:r>
      <w:r w:rsidR="00A8371B">
        <w:t> </w:t>
      </w:r>
      <w:r>
        <w:t xml:space="preserve">years. </w:t>
      </w:r>
    </w:p>
    <w:p w14:paraId="2F564985" w14:textId="4791626B" w:rsidR="003F7B9F" w:rsidRDefault="003F7B9F" w:rsidP="00A35EAF">
      <w:pPr>
        <w:pStyle w:val="BodyText"/>
      </w:pPr>
      <w:r w:rsidRPr="00BC64AE">
        <w:t>While short</w:t>
      </w:r>
      <w:r w:rsidR="006928E8">
        <w:t>-</w:t>
      </w:r>
      <w:r>
        <w:t>term</w:t>
      </w:r>
      <w:r w:rsidRPr="00BC64AE">
        <w:t xml:space="preserve"> traffic counts can be taken for anywhere from just a few hours to more than a week, </w:t>
      </w:r>
      <w:r w:rsidR="00445795">
        <w:t xml:space="preserve">the </w:t>
      </w:r>
      <w:r w:rsidR="00445795" w:rsidRPr="005E416B">
        <w:rPr>
          <w:i/>
          <w:iCs/>
        </w:rPr>
        <w:t>TMG</w:t>
      </w:r>
      <w:r w:rsidRPr="00BC64AE">
        <w:t xml:space="preserve"> </w:t>
      </w:r>
      <w:r w:rsidRPr="00BC64AE">
        <w:rPr>
          <w:rStyle w:val="Bold"/>
        </w:rPr>
        <w:t>recommends a minimum of a 24-hour monitoring period for roads with traffic volume</w:t>
      </w:r>
      <w:r>
        <w:rPr>
          <w:rStyle w:val="Bold"/>
        </w:rPr>
        <w:t>s</w:t>
      </w:r>
      <w:r w:rsidRPr="00BC64AE">
        <w:rPr>
          <w:rStyle w:val="Bold"/>
        </w:rPr>
        <w:t xml:space="preserve"> </w:t>
      </w:r>
      <w:r>
        <w:rPr>
          <w:rStyle w:val="Bold"/>
        </w:rPr>
        <w:t xml:space="preserve">of </w:t>
      </w:r>
      <w:r w:rsidRPr="00BC64AE">
        <w:rPr>
          <w:rStyle w:val="Bold"/>
        </w:rPr>
        <w:t>greater than 5,000 AADT and a 48-hour monitoring period for lower</w:t>
      </w:r>
      <w:r w:rsidR="00445795">
        <w:rPr>
          <w:rStyle w:val="Bold"/>
        </w:rPr>
        <w:t>-</w:t>
      </w:r>
      <w:r w:rsidRPr="00BC64AE">
        <w:rPr>
          <w:rStyle w:val="Bold"/>
        </w:rPr>
        <w:t xml:space="preserve">volume roads and any effort </w:t>
      </w:r>
      <w:r>
        <w:rPr>
          <w:rStyle w:val="Bold"/>
        </w:rPr>
        <w:t xml:space="preserve">involving the </w:t>
      </w:r>
      <w:r w:rsidRPr="00BC64AE">
        <w:rPr>
          <w:rStyle w:val="Bold"/>
        </w:rPr>
        <w:t>collecti</w:t>
      </w:r>
      <w:r>
        <w:rPr>
          <w:rStyle w:val="Bold"/>
        </w:rPr>
        <w:t>on of</w:t>
      </w:r>
      <w:r w:rsidRPr="00BC64AE">
        <w:rPr>
          <w:rStyle w:val="Bold"/>
        </w:rPr>
        <w:t xml:space="preserve"> vehicle classification data. </w:t>
      </w:r>
      <w:r w:rsidRPr="00BC64AE">
        <w:t>The 48-hour minimum count duration is recommended for smaller roads and classification counts because traffic variability is high for both low</w:t>
      </w:r>
      <w:r w:rsidR="00445795">
        <w:t>-</w:t>
      </w:r>
      <w:r w:rsidRPr="00BC64AE">
        <w:t>volume roads and for most truck counts. The add</w:t>
      </w:r>
      <w:r>
        <w:t>itional</w:t>
      </w:r>
      <w:r w:rsidRPr="00BC64AE">
        <w:t xml:space="preserve"> 24</w:t>
      </w:r>
      <w:r w:rsidR="00A8371B">
        <w:t> </w:t>
      </w:r>
      <w:r w:rsidRPr="00BC64AE">
        <w:t>hour</w:t>
      </w:r>
      <w:r>
        <w:t>s</w:t>
      </w:r>
      <w:r w:rsidRPr="00BC64AE">
        <w:t xml:space="preserve"> of counting increases the statistical reliability of the AADT estimates computed from these more variable counts. This is particularly important for the HPMS because common data collection periods from all States ensure similar levels of accuracy and precision for all volume data in the HPMS database.</w:t>
      </w:r>
      <w:r w:rsidR="004D4172">
        <w:t xml:space="preserve"> </w:t>
      </w:r>
    </w:p>
    <w:p w14:paraId="1C4F3C00" w14:textId="77777777" w:rsidR="003F7B9F" w:rsidRDefault="003F7B9F" w:rsidP="00A35EAF">
      <w:pPr>
        <w:pStyle w:val="BodyText"/>
      </w:pPr>
      <w:r>
        <w:t>Where axle correction factors are needed to adjust raw counts, they should be derived from facility-specific vehicle classification data obtained on the same route or on a similar route with similar traffic in the same area. No other factors (such as equipment error factors) should be applied; only daily, seasonal, and axle correction factors should be used.</w:t>
      </w:r>
    </w:p>
    <w:p w14:paraId="26BD86D2" w14:textId="51E542F5" w:rsidR="003F7B9F" w:rsidRPr="001546EF" w:rsidRDefault="003F7B9F">
      <w:pPr>
        <w:pStyle w:val="Heading3"/>
      </w:pPr>
      <w:bookmarkStart w:id="3615" w:name="m3113"/>
      <w:bookmarkStart w:id="3616" w:name="_Toc65752879"/>
      <w:bookmarkStart w:id="3617" w:name="_Toc118205725"/>
      <w:bookmarkEnd w:id="3615"/>
      <w:r w:rsidRPr="001546EF">
        <w:t xml:space="preserve">Ramp </w:t>
      </w:r>
      <w:r w:rsidR="00CE11FD">
        <w:t>C</w:t>
      </w:r>
      <w:r w:rsidRPr="001546EF">
        <w:t>ounts</w:t>
      </w:r>
      <w:bookmarkEnd w:id="3616"/>
      <w:bookmarkEnd w:id="3617"/>
    </w:p>
    <w:p w14:paraId="4FE9F051" w14:textId="17643306" w:rsidR="003F7B9F" w:rsidRDefault="003F7B9F" w:rsidP="00A119E0">
      <w:pPr>
        <w:pStyle w:val="CallOut"/>
      </w:pPr>
      <w:r>
        <w:rPr>
          <w:rStyle w:val="Bold"/>
        </w:rPr>
        <w:t xml:space="preserve">A minimum of one count every </w:t>
      </w:r>
      <w:r w:rsidR="00445795">
        <w:rPr>
          <w:rStyle w:val="Bold"/>
        </w:rPr>
        <w:t xml:space="preserve">6 </w:t>
      </w:r>
      <w:r>
        <w:rPr>
          <w:rStyle w:val="Bold"/>
        </w:rPr>
        <w:t>years is required for ramps.</w:t>
      </w:r>
      <w:r>
        <w:t xml:space="preserve"> </w:t>
      </w:r>
    </w:p>
    <w:p w14:paraId="5CB53EF2" w14:textId="77777777" w:rsidR="003F7B9F" w:rsidRDefault="003F7B9F" w:rsidP="00A35EAF">
      <w:pPr>
        <w:pStyle w:val="BodyText"/>
      </w:pPr>
      <w:r>
        <w:t>At a minimum, 48-hour ramp counts should be adjusted with axle correction factors as needed.</w:t>
      </w:r>
    </w:p>
    <w:p w14:paraId="303CBCDB" w14:textId="77777777" w:rsidR="003F7B9F" w:rsidRDefault="003F7B9F" w:rsidP="00A35EAF">
      <w:pPr>
        <w:pStyle w:val="BodyText"/>
      </w:pPr>
      <w:r>
        <w:t>The same procedures used to develop AADTs on all HPMS sections should be used to develop ramp AADTs. States are encouraged to use adjustment factors developed based on either entrance or exit travel patterns or on the functional class of the ramp and to use this procedure consistently statewide. Good judgment and experience should be applied regarding factor use. Additional information on developing adjustment factors is found in Chapter 3. Ramp counts should be available from freeway monitoring programs that continuously monitor travel on ramps and mainline facilities.</w:t>
      </w:r>
    </w:p>
    <w:p w14:paraId="2525E977" w14:textId="7CCF9F40" w:rsidR="003F7B9F" w:rsidRDefault="003F7B9F" w:rsidP="00A35EAF">
      <w:pPr>
        <w:pStyle w:val="BodyText"/>
      </w:pPr>
      <w:r>
        <w:t xml:space="preserve">Ramp balancing programs implemented by </w:t>
      </w:r>
      <w:r w:rsidR="00445795">
        <w:t>S</w:t>
      </w:r>
      <w:r>
        <w:t>tates on ramp locations and on high</w:t>
      </w:r>
      <w:r w:rsidR="00445795">
        <w:t>-</w:t>
      </w:r>
      <w:r>
        <w:t xml:space="preserve">volume roadways could also be used to provide AADTs. If a </w:t>
      </w:r>
      <w:r w:rsidR="00445795">
        <w:t>S</w:t>
      </w:r>
      <w:r>
        <w:t>tate has a traffic modeling office, ramp traffic estimates may be computed as part of the modeling process.</w:t>
      </w:r>
    </w:p>
    <w:p w14:paraId="3A7A2DC8" w14:textId="60B7F750" w:rsidR="003F7B9F" w:rsidRPr="001546EF" w:rsidRDefault="003F7B9F">
      <w:pPr>
        <w:pStyle w:val="Heading3"/>
      </w:pPr>
      <w:bookmarkStart w:id="3618" w:name="_Toc65752880"/>
      <w:bookmarkStart w:id="3619" w:name="_Toc118205726"/>
      <w:r w:rsidRPr="001546EF">
        <w:t xml:space="preserve">Vehicle Classification </w:t>
      </w:r>
      <w:r w:rsidR="00CF3A35">
        <w:t>C</w:t>
      </w:r>
      <w:r w:rsidRPr="001546EF">
        <w:t>ounts</w:t>
      </w:r>
      <w:bookmarkEnd w:id="3618"/>
      <w:bookmarkEnd w:id="3619"/>
    </w:p>
    <w:p w14:paraId="7C3B2A4B" w14:textId="79891A5A" w:rsidR="003F7B9F" w:rsidRDefault="003F7B9F" w:rsidP="00A35EAF">
      <w:pPr>
        <w:pStyle w:val="BodyText"/>
      </w:pPr>
      <w:r>
        <w:t xml:space="preserve">Vehicle classification counts reported in HPMS should follow the guidelines outlined in Chapter 3 of </w:t>
      </w:r>
      <w:r w:rsidR="00445795">
        <w:t xml:space="preserve">the </w:t>
      </w:r>
      <w:r w:rsidRPr="00E86F48">
        <w:rPr>
          <w:i/>
          <w:iCs/>
        </w:rPr>
        <w:t>TMG</w:t>
      </w:r>
      <w:r>
        <w:t xml:space="preserve"> and the latest </w:t>
      </w:r>
      <w:r w:rsidRPr="00E86F48">
        <w:rPr>
          <w:i/>
          <w:iCs/>
        </w:rPr>
        <w:t>HPMS Field Manual</w:t>
      </w:r>
      <w:r>
        <w:t xml:space="preserve">. Counts should be performed for a minimum of 48 hours and should contain at least six vehicle classes: Motorcycles, Passenger cars, Light trucks, Buses, Single-Unit trucks, and Combination trucks. Hourly vehicle classification data by direction should be used for all the truck related data items, including </w:t>
      </w:r>
      <w:r w:rsidR="00413190">
        <w:t>PCT_DH-SINGLE_UNIT</w:t>
      </w:r>
      <w:r>
        <w:t xml:space="preserve"> (trucks) and P</w:t>
      </w:r>
      <w:r w:rsidR="00413190">
        <w:t>CT_DH_COMBINATION</w:t>
      </w:r>
      <w:r>
        <w:t xml:space="preserve"> (trucks).</w:t>
      </w:r>
    </w:p>
    <w:p w14:paraId="04D27AE2" w14:textId="1BC4E935" w:rsidR="003F7B9F" w:rsidRPr="001546EF" w:rsidRDefault="003F7B9F">
      <w:pPr>
        <w:pStyle w:val="Heading3"/>
      </w:pPr>
      <w:bookmarkStart w:id="3620" w:name="_Toc65752881"/>
      <w:bookmarkStart w:id="3621" w:name="_Toc118205727"/>
      <w:r w:rsidRPr="001546EF">
        <w:lastRenderedPageBreak/>
        <w:t>Equipment Calibration</w:t>
      </w:r>
      <w:bookmarkEnd w:id="3620"/>
      <w:bookmarkEnd w:id="3621"/>
    </w:p>
    <w:p w14:paraId="19C0D87E" w14:textId="67026ABE" w:rsidR="003F7B9F" w:rsidRDefault="003F7B9F" w:rsidP="00A35EAF">
      <w:pPr>
        <w:pStyle w:val="BodyText"/>
      </w:pPr>
      <w:r>
        <w:t xml:space="preserve">The </w:t>
      </w:r>
      <w:r w:rsidR="00445795">
        <w:t>S</w:t>
      </w:r>
      <w:r>
        <w:t xml:space="preserve">tate should ensure that data collection equipment is calibrated and tested in the field and that the results are validated for accuracy prior to use for HPMS reporting. More information on equipment calibration procedures is found in </w:t>
      </w:r>
      <w:r w:rsidRPr="005E416B">
        <w:t xml:space="preserve">Appendix </w:t>
      </w:r>
      <w:r w:rsidR="00E15419">
        <w:t>D</w:t>
      </w:r>
      <w:r>
        <w:t xml:space="preserve">. </w:t>
      </w:r>
    </w:p>
    <w:p w14:paraId="163E0995" w14:textId="645FD324" w:rsidR="003F7B9F" w:rsidRPr="001546EF" w:rsidRDefault="003F7B9F">
      <w:pPr>
        <w:pStyle w:val="Heading2"/>
      </w:pPr>
      <w:bookmarkStart w:id="3622" w:name="_Toc349905101"/>
      <w:bookmarkStart w:id="3623" w:name="_Toc363656149"/>
      <w:bookmarkStart w:id="3624" w:name="_Toc450638940"/>
      <w:bookmarkStart w:id="3625" w:name="_Toc65752882"/>
      <w:bookmarkStart w:id="3626" w:name="_Toc68864972"/>
      <w:bookmarkStart w:id="3627" w:name="_Toc114474757"/>
      <w:bookmarkStart w:id="3628" w:name="_Toc118205728"/>
      <w:r w:rsidRPr="001546EF">
        <w:t>Calculation of Data Items</w:t>
      </w:r>
      <w:bookmarkEnd w:id="3622"/>
      <w:bookmarkEnd w:id="3623"/>
      <w:bookmarkEnd w:id="3624"/>
      <w:bookmarkEnd w:id="3625"/>
      <w:bookmarkEnd w:id="3626"/>
      <w:bookmarkEnd w:id="3627"/>
      <w:bookmarkEnd w:id="3628"/>
    </w:p>
    <w:p w14:paraId="65024842" w14:textId="77777777" w:rsidR="003F7B9F" w:rsidRDefault="003F7B9F" w:rsidP="00A35EAF">
      <w:pPr>
        <w:pStyle w:val="BodyText"/>
      </w:pPr>
      <w:r>
        <w:t>The traffic data items reported for HPMS are derived from the traffic data collection activities, which are part of the State’s traffic monitoring program. These data items include the following:</w:t>
      </w:r>
    </w:p>
    <w:p w14:paraId="239AEF7C" w14:textId="6C334921" w:rsidR="003F7B9F" w:rsidRPr="00275F91" w:rsidRDefault="003F7B9F">
      <w:pPr>
        <w:pStyle w:val="TMGBullet"/>
      </w:pPr>
      <w:r w:rsidRPr="00275F91">
        <w:t>AADT</w:t>
      </w:r>
    </w:p>
    <w:p w14:paraId="09E223EB" w14:textId="5EDA30B9" w:rsidR="003F7B9F" w:rsidRPr="00275F91" w:rsidRDefault="003F7B9F">
      <w:pPr>
        <w:pStyle w:val="TMGBullet"/>
      </w:pPr>
      <w:r w:rsidRPr="00275F91">
        <w:t>AADT_</w:t>
      </w:r>
      <w:r w:rsidR="00170C33">
        <w:t>SINGLE</w:t>
      </w:r>
      <w:r w:rsidRPr="00275F91">
        <w:t>_</w:t>
      </w:r>
      <w:r w:rsidR="00170C33">
        <w:t>UNIT</w:t>
      </w:r>
    </w:p>
    <w:p w14:paraId="4388A6DE" w14:textId="738C025E" w:rsidR="003F7B9F" w:rsidRPr="00275F91" w:rsidRDefault="003F7B9F">
      <w:pPr>
        <w:pStyle w:val="TMGBullet"/>
      </w:pPr>
      <w:r w:rsidRPr="00275F91">
        <w:t>P</w:t>
      </w:r>
      <w:r w:rsidR="00A036D9">
        <w:t>CT</w:t>
      </w:r>
      <w:r w:rsidRPr="00275F91">
        <w:t>_</w:t>
      </w:r>
      <w:r w:rsidR="00A036D9">
        <w:t>DH</w:t>
      </w:r>
      <w:r w:rsidRPr="00275F91">
        <w:t>_</w:t>
      </w:r>
      <w:r w:rsidR="00413190">
        <w:t>SINGLE_UNIT</w:t>
      </w:r>
    </w:p>
    <w:p w14:paraId="6C766AD6" w14:textId="0E7D145C" w:rsidR="003F7B9F" w:rsidRPr="00275F91" w:rsidRDefault="003F7B9F">
      <w:pPr>
        <w:pStyle w:val="TMGBullet"/>
      </w:pPr>
      <w:r w:rsidRPr="00275F91">
        <w:t>AADT_C</w:t>
      </w:r>
      <w:r w:rsidR="00170C33">
        <w:t>OMBINATION</w:t>
      </w:r>
    </w:p>
    <w:p w14:paraId="15ED8BEE" w14:textId="6F82B8E1" w:rsidR="003F7B9F" w:rsidRPr="00275F91" w:rsidRDefault="003F7B9F">
      <w:pPr>
        <w:pStyle w:val="TMGBullet"/>
      </w:pPr>
      <w:r w:rsidRPr="00275F91">
        <w:t>P</w:t>
      </w:r>
      <w:r w:rsidR="00A036D9">
        <w:t>CT</w:t>
      </w:r>
      <w:r w:rsidRPr="00275F91">
        <w:t>_</w:t>
      </w:r>
      <w:r w:rsidR="00A036D9">
        <w:t>DH</w:t>
      </w:r>
      <w:r w:rsidRPr="00275F91">
        <w:t>_</w:t>
      </w:r>
      <w:r w:rsidR="00413190">
        <w:t>COMBINATION</w:t>
      </w:r>
    </w:p>
    <w:p w14:paraId="551DEA6C" w14:textId="04FB7711" w:rsidR="003F7B9F" w:rsidRPr="00275F91" w:rsidRDefault="00382423">
      <w:pPr>
        <w:pStyle w:val="TMGBullet"/>
      </w:pPr>
      <w:r>
        <w:t>K_FACTOR</w:t>
      </w:r>
    </w:p>
    <w:p w14:paraId="77B71D94" w14:textId="39F3F239" w:rsidR="003F7B9F" w:rsidRPr="00275F91" w:rsidRDefault="00382423">
      <w:pPr>
        <w:pStyle w:val="TMGBullet"/>
      </w:pPr>
      <w:r>
        <w:t>DIR_FACTOR</w:t>
      </w:r>
    </w:p>
    <w:p w14:paraId="46F6A9A1" w14:textId="3E138D3C" w:rsidR="003F7B9F" w:rsidRPr="00275F91" w:rsidRDefault="003F7B9F">
      <w:pPr>
        <w:pStyle w:val="TMGBullet"/>
      </w:pPr>
      <w:r w:rsidRPr="00275F91">
        <w:t>F</w:t>
      </w:r>
      <w:r w:rsidR="00170C33">
        <w:t>UTURE</w:t>
      </w:r>
      <w:r w:rsidR="00776EFE">
        <w:t>_</w:t>
      </w:r>
      <w:r w:rsidRPr="00275F91">
        <w:t>AADT</w:t>
      </w:r>
    </w:p>
    <w:p w14:paraId="7FD670DB" w14:textId="77777777" w:rsidR="003F7B9F" w:rsidRDefault="003F7B9F" w:rsidP="00A35EAF">
      <w:pPr>
        <w:pStyle w:val="BodyText"/>
      </w:pPr>
      <w:r>
        <w:t>The calculation methods for these data items are described in the following paragraphs.</w:t>
      </w:r>
    </w:p>
    <w:p w14:paraId="60B48CEC" w14:textId="0F1E0A45" w:rsidR="003F7B9F" w:rsidRPr="001546EF" w:rsidRDefault="003F7B9F">
      <w:pPr>
        <w:pStyle w:val="Heading3"/>
      </w:pPr>
      <w:bookmarkStart w:id="3629" w:name="_Toc65752883"/>
      <w:bookmarkStart w:id="3630" w:name="_Toc118205729"/>
      <w:r w:rsidRPr="001546EF">
        <w:t>AADT</w:t>
      </w:r>
      <w:bookmarkEnd w:id="3629"/>
      <w:bookmarkEnd w:id="3630"/>
    </w:p>
    <w:p w14:paraId="098F343F" w14:textId="61F3CB25" w:rsidR="003F7B9F" w:rsidRDefault="00445795" w:rsidP="00A35EAF">
      <w:pPr>
        <w:pStyle w:val="BodyText"/>
      </w:pPr>
      <w:r>
        <w:t>AADT</w:t>
      </w:r>
      <w:r w:rsidR="003F7B9F">
        <w:t xml:space="preserve"> calculations are defined in Chapter 3. The following </w:t>
      </w:r>
      <w:r>
        <w:t>q</w:t>
      </w:r>
      <w:r w:rsidR="003F7B9F">
        <w:t xml:space="preserve">uality </w:t>
      </w:r>
      <w:r>
        <w:t>c</w:t>
      </w:r>
      <w:r w:rsidR="003F7B9F">
        <w:t>ontrol (QC) checks on AADT data will be performed manually by FHWA staff or will be checked by the HPMS submittal software and may indicate an error with the AADT data:</w:t>
      </w:r>
    </w:p>
    <w:p w14:paraId="55D407B0" w14:textId="60C5458C" w:rsidR="003F7B9F" w:rsidRPr="007E0579" w:rsidRDefault="003F7B9F">
      <w:pPr>
        <w:pStyle w:val="TMGBullet"/>
      </w:pPr>
      <w:r w:rsidRPr="007E0579">
        <w:t>Adjacent GIS links with more than 50% change in AADT</w:t>
      </w:r>
      <w:r w:rsidR="00445795">
        <w:t>.</w:t>
      </w:r>
    </w:p>
    <w:p w14:paraId="4237CA9F" w14:textId="0B09F669" w:rsidR="003F7B9F" w:rsidRPr="007E0579" w:rsidRDefault="003F7B9F">
      <w:pPr>
        <w:pStyle w:val="TMGBullet"/>
      </w:pPr>
      <w:r w:rsidRPr="007E0579">
        <w:t>AADT is missing</w:t>
      </w:r>
      <w:r w:rsidR="00445795">
        <w:t>.</w:t>
      </w:r>
    </w:p>
    <w:p w14:paraId="71650DE0" w14:textId="183ED8DD" w:rsidR="003F7B9F" w:rsidRPr="007E0579" w:rsidRDefault="003F7B9F">
      <w:pPr>
        <w:pStyle w:val="TMGBullet"/>
      </w:pPr>
      <w:r w:rsidRPr="007E0579">
        <w:t>AADT – GIS flow check on AADT to and from major cities</w:t>
      </w:r>
      <w:r w:rsidR="00445795">
        <w:t>.</w:t>
      </w:r>
    </w:p>
    <w:p w14:paraId="4CD23B97" w14:textId="3CCF761F" w:rsidR="003F7B9F" w:rsidRPr="007E0579" w:rsidRDefault="003F7B9F">
      <w:pPr>
        <w:pStyle w:val="TMGBullet"/>
      </w:pPr>
      <w:r w:rsidRPr="007E0579">
        <w:t>AADT changes by Functional Class from year to year checked against the Travel Monitoring Analysis System (TMAS) Growth Factors report.</w:t>
      </w:r>
    </w:p>
    <w:p w14:paraId="3844FB61" w14:textId="7B7E492B" w:rsidR="003F7B9F" w:rsidRPr="001546EF" w:rsidRDefault="003F7B9F">
      <w:pPr>
        <w:pStyle w:val="Heading3"/>
      </w:pPr>
      <w:bookmarkStart w:id="3631" w:name="_Toc65752884"/>
      <w:bookmarkStart w:id="3632" w:name="_Toc118205730"/>
      <w:r w:rsidRPr="001546EF">
        <w:t>AADT</w:t>
      </w:r>
      <w:r w:rsidR="00382423">
        <w:t>_</w:t>
      </w:r>
      <w:r w:rsidR="007031E3">
        <w:t>SINGLE_UNIT</w:t>
      </w:r>
      <w:bookmarkEnd w:id="3631"/>
      <w:bookmarkEnd w:id="3632"/>
    </w:p>
    <w:p w14:paraId="496C84D1" w14:textId="2EC0C2F7" w:rsidR="003F7B9F" w:rsidRDefault="008F51D7" w:rsidP="00A35EAF">
      <w:pPr>
        <w:pStyle w:val="BodyText"/>
      </w:pPr>
      <w:r>
        <w:t>AADT</w:t>
      </w:r>
      <w:r w:rsidR="003F7B9F">
        <w:t xml:space="preserve"> for Single Unit Trucks – This value represents all single-unit truck and bus activity based on vehicle classification count data from both the </w:t>
      </w:r>
      <w:r>
        <w:t>S</w:t>
      </w:r>
      <w:r w:rsidR="003F7B9F">
        <w:t>tate’s and other agency’s traffic monitoring programs over all days of the week and all seasons of the year. Single-unit trucks are defined as vehicle classes five through seven, and buses are defined as vehicle class four</w:t>
      </w:r>
      <w:r w:rsidR="005C2591">
        <w:t xml:space="preserve"> (based on the FHWA 13 category system)</w:t>
      </w:r>
      <w:r w:rsidR="003F7B9F">
        <w:t>. AADT_</w:t>
      </w:r>
      <w:r w:rsidR="007031E3">
        <w:t>SINGLE</w:t>
      </w:r>
      <w:r w:rsidR="003F7B9F">
        <w:t>_</w:t>
      </w:r>
      <w:r w:rsidR="007031E3">
        <w:t>UNIT</w:t>
      </w:r>
      <w:r w:rsidR="003F7B9F">
        <w:t xml:space="preserve"> is reported as the volume for all single-unit activity over all days of the week and seasons of the year in terms of the </w:t>
      </w:r>
      <w:r>
        <w:t>AADT</w:t>
      </w:r>
      <w:r w:rsidR="003F7B9F">
        <w:t xml:space="preserve">. The following QC checks will be performed by the HPMS submittal software and may indicate an error with the </w:t>
      </w:r>
      <w:r w:rsidR="00382423">
        <w:t>AADT_SINGLE_UNIT</w:t>
      </w:r>
      <w:r w:rsidR="003F7B9F">
        <w:t xml:space="preserve"> data:</w:t>
      </w:r>
    </w:p>
    <w:p w14:paraId="633011D4" w14:textId="662699CF" w:rsidR="003F7B9F" w:rsidRPr="007E0579" w:rsidRDefault="007031E3">
      <w:pPr>
        <w:pStyle w:val="TMGBullet"/>
      </w:pPr>
      <w:r w:rsidRPr="007031E3">
        <w:t>AADT_SINGLE_UNIT</w:t>
      </w:r>
      <w:r w:rsidR="004D4172">
        <w:t xml:space="preserve"> </w:t>
      </w:r>
      <w:r w:rsidR="003F7B9F" w:rsidRPr="007E0579">
        <w:t>&gt; 50% of AADT</w:t>
      </w:r>
      <w:r w:rsidR="008F51D7">
        <w:t>.</w:t>
      </w:r>
    </w:p>
    <w:p w14:paraId="4628CBEE" w14:textId="71E784E5" w:rsidR="003F7B9F" w:rsidRPr="007E0579" w:rsidRDefault="007031E3">
      <w:pPr>
        <w:pStyle w:val="TMGBullet"/>
      </w:pPr>
      <w:r w:rsidRPr="007031E3">
        <w:t>AADT_SINGLE_UNIT</w:t>
      </w:r>
      <w:r w:rsidR="003F7B9F" w:rsidRPr="007E0579">
        <w:t xml:space="preserve"> + </w:t>
      </w:r>
      <w:r w:rsidR="00382423">
        <w:t>AADT_COMBINATION</w:t>
      </w:r>
      <w:r w:rsidR="003F7B9F" w:rsidRPr="007E0579">
        <w:t xml:space="preserve"> &gt; AADT</w:t>
      </w:r>
      <w:r w:rsidR="008F51D7">
        <w:t>.</w:t>
      </w:r>
    </w:p>
    <w:p w14:paraId="2624421A" w14:textId="59E23835" w:rsidR="003F7B9F" w:rsidRPr="007E0579" w:rsidRDefault="003F7B9F">
      <w:pPr>
        <w:pStyle w:val="TMGBullet"/>
      </w:pPr>
      <w:r w:rsidRPr="007E0579">
        <w:t xml:space="preserve">GIS check will be performed on </w:t>
      </w:r>
      <w:r w:rsidR="007031E3">
        <w:t>AADT_SINGLE_UNIT</w:t>
      </w:r>
      <w:r w:rsidRPr="007E0579">
        <w:t xml:space="preserve"> by area.</w:t>
      </w:r>
    </w:p>
    <w:p w14:paraId="5808B4B6" w14:textId="4D2B229A" w:rsidR="003F7B9F" w:rsidRPr="001546EF" w:rsidRDefault="003F7B9F">
      <w:pPr>
        <w:pStyle w:val="Heading3"/>
      </w:pPr>
      <w:bookmarkStart w:id="3633" w:name="_Toc65752885"/>
      <w:bookmarkStart w:id="3634" w:name="_Toc118205731"/>
      <w:r w:rsidRPr="001546EF">
        <w:t>P</w:t>
      </w:r>
      <w:r w:rsidR="00413190">
        <w:t>CT_DH_SINGLE_UNIT</w:t>
      </w:r>
      <w:bookmarkEnd w:id="3633"/>
      <w:bookmarkEnd w:id="3634"/>
    </w:p>
    <w:p w14:paraId="61099F14" w14:textId="1A3831DE" w:rsidR="003F7B9F" w:rsidRDefault="003F7B9F" w:rsidP="00A35EAF">
      <w:pPr>
        <w:pStyle w:val="BodyText"/>
      </w:pPr>
      <w:r>
        <w:t>PCT_</w:t>
      </w:r>
      <w:r w:rsidR="00413190" w:rsidRPr="00413190">
        <w:t xml:space="preserve"> DH_SINGLE_UNIT</w:t>
      </w:r>
      <w:r>
        <w:t xml:space="preserve"> is the single-unit truck and bus volume during the </w:t>
      </w:r>
      <w:r w:rsidR="00413190">
        <w:t>design</w:t>
      </w:r>
      <w:r>
        <w:t xml:space="preserve"> hour shown as the percentage of the section AADT, to the nearest </w:t>
      </w:r>
      <w:r w:rsidR="00413190">
        <w:t>hundredth</w:t>
      </w:r>
      <w:r>
        <w:t xml:space="preserve"> of a percent (0.</w:t>
      </w:r>
      <w:r w:rsidR="00413190">
        <w:t>0</w:t>
      </w:r>
      <w:r>
        <w:t xml:space="preserve">1%). For example, if the section AADT is 3,000 and the volume of single-unit trucks and buses in the </w:t>
      </w:r>
      <w:r w:rsidR="00413190">
        <w:t>design</w:t>
      </w:r>
      <w:r>
        <w:t xml:space="preserve"> hour is 65, then the P</w:t>
      </w:r>
      <w:r w:rsidR="00413190">
        <w:t>CT</w:t>
      </w:r>
      <w:r>
        <w:t>_</w:t>
      </w:r>
      <w:r w:rsidR="00413190">
        <w:t>DH</w:t>
      </w:r>
      <w:r>
        <w:t>_</w:t>
      </w:r>
      <w:r w:rsidR="00413190">
        <w:t>SINGLE_UNIT</w:t>
      </w:r>
      <w:r>
        <w:t xml:space="preserve"> data item is shown as </w:t>
      </w:r>
      <w:r w:rsidR="00413190">
        <w:t>2.17</w:t>
      </w:r>
      <w:r>
        <w:t>%. This percent should not be rounded to the nearest whole percent or to zero percent if minimal trucks and buses exist. The following QC check will be performed by the HPMS submittal software and may indicate an error with the P</w:t>
      </w:r>
      <w:r w:rsidR="00413190">
        <w:t>CT</w:t>
      </w:r>
      <w:r>
        <w:t>_</w:t>
      </w:r>
      <w:r w:rsidR="00413190">
        <w:t>DH</w:t>
      </w:r>
      <w:r>
        <w:t>_</w:t>
      </w:r>
      <w:r w:rsidR="00413190">
        <w:t>SINGLE_UNIT</w:t>
      </w:r>
      <w:r>
        <w:t xml:space="preserve"> data: </w:t>
      </w:r>
    </w:p>
    <w:p w14:paraId="4928B0DC" w14:textId="649BB8D6" w:rsidR="003F7B9F" w:rsidRDefault="003F7B9F" w:rsidP="00A35EAF">
      <w:pPr>
        <w:pStyle w:val="BodyText"/>
      </w:pPr>
      <w:r>
        <w:t>If (</w:t>
      </w:r>
      <w:r w:rsidR="00413190">
        <w:t>PCT_DH_SINGLE_UNIT</w:t>
      </w:r>
      <w:r>
        <w:t xml:space="preserve">/100) × AADT &gt; </w:t>
      </w:r>
      <w:r w:rsidR="00382423">
        <w:t>AADT_SINGLE_UNIT</w:t>
      </w:r>
      <w:r>
        <w:t>, there is an error.</w:t>
      </w:r>
    </w:p>
    <w:p w14:paraId="3915C5A8" w14:textId="3231A9A3" w:rsidR="003F7B9F" w:rsidRPr="001546EF" w:rsidRDefault="003F7B9F">
      <w:pPr>
        <w:pStyle w:val="Heading3"/>
      </w:pPr>
      <w:bookmarkStart w:id="3635" w:name="_Toc65752886"/>
      <w:bookmarkStart w:id="3636" w:name="_Toc118205732"/>
      <w:r w:rsidRPr="001546EF">
        <w:lastRenderedPageBreak/>
        <w:t>AADT_C</w:t>
      </w:r>
      <w:r w:rsidR="00DE2EED">
        <w:t>OMBINATION</w:t>
      </w:r>
      <w:bookmarkEnd w:id="3635"/>
      <w:bookmarkEnd w:id="3636"/>
    </w:p>
    <w:p w14:paraId="134CA0CA" w14:textId="450EE30D" w:rsidR="003F7B9F" w:rsidRDefault="008F51D7" w:rsidP="00A35EAF">
      <w:pPr>
        <w:pStyle w:val="BodyText"/>
      </w:pPr>
      <w:r>
        <w:t>AADT</w:t>
      </w:r>
      <w:r w:rsidR="003F7B9F">
        <w:t xml:space="preserve"> for Combination Trucks represents all combination truck activity based on vehicle classification count data from both the State’s and other agencies’ traffic monitoring programs over all days of the week and all seasons of the year. Combination trucks are defined as vehicle classes eight through thirteen. </w:t>
      </w:r>
      <w:r w:rsidR="007031E3">
        <w:t xml:space="preserve">AADT_COMBINATION </w:t>
      </w:r>
      <w:r w:rsidR="003F7B9F">
        <w:t xml:space="preserve">is reported as the volume for combination-unit truck activity over all days of the week and seasons of the year in terms of the </w:t>
      </w:r>
      <w:r>
        <w:t>AADT</w:t>
      </w:r>
      <w:r w:rsidR="003F7B9F">
        <w:t xml:space="preserve">. The following QC checks will be performed by the HPMS submittal software and may indicate an error with the </w:t>
      </w:r>
      <w:r w:rsidR="00382423">
        <w:t>AADT_COMBINATION</w:t>
      </w:r>
      <w:r w:rsidR="003F7B9F">
        <w:t xml:space="preserve"> data: </w:t>
      </w:r>
    </w:p>
    <w:p w14:paraId="7DC1284A" w14:textId="6729467B" w:rsidR="003F7B9F" w:rsidRPr="00275F91" w:rsidRDefault="007031E3">
      <w:pPr>
        <w:pStyle w:val="TMGBullet"/>
      </w:pPr>
      <w:r>
        <w:t>AADT_COMBINATION</w:t>
      </w:r>
      <w:r w:rsidRPr="00275F91">
        <w:t xml:space="preserve"> </w:t>
      </w:r>
      <w:r w:rsidR="003F7B9F" w:rsidRPr="00275F91">
        <w:t>&gt; 50% of AADT</w:t>
      </w:r>
      <w:r w:rsidR="008F51D7">
        <w:t>.</w:t>
      </w:r>
    </w:p>
    <w:p w14:paraId="7633A6F3" w14:textId="3581D7F1" w:rsidR="003F7B9F" w:rsidRDefault="003F7B9F">
      <w:pPr>
        <w:pStyle w:val="TMGBullet"/>
      </w:pPr>
      <w:r w:rsidRPr="00275F91">
        <w:t xml:space="preserve">GIS check will be performed on </w:t>
      </w:r>
      <w:r w:rsidR="007031E3">
        <w:t>AADT_COMBINATION</w:t>
      </w:r>
      <w:r w:rsidRPr="00275F91">
        <w:t xml:space="preserve"> by area.</w:t>
      </w:r>
    </w:p>
    <w:p w14:paraId="3698B316" w14:textId="51460AAC" w:rsidR="003F7B9F" w:rsidRPr="001546EF" w:rsidRDefault="003F7B9F">
      <w:pPr>
        <w:pStyle w:val="Heading3"/>
      </w:pPr>
      <w:bookmarkStart w:id="3637" w:name="_Toc65752887"/>
      <w:bookmarkStart w:id="3638" w:name="_Toc118205733"/>
      <w:r w:rsidRPr="001546EF">
        <w:t>P</w:t>
      </w:r>
      <w:bookmarkEnd w:id="3637"/>
      <w:r w:rsidR="003974EE">
        <w:t>CT_DH_COMBINATION</w:t>
      </w:r>
      <w:bookmarkEnd w:id="3638"/>
    </w:p>
    <w:p w14:paraId="1B1B21BF" w14:textId="2FB436A7" w:rsidR="003F7B9F" w:rsidRDefault="00EB1CB5" w:rsidP="00A35EAF">
      <w:pPr>
        <w:pStyle w:val="BodyText"/>
      </w:pPr>
      <w:r>
        <w:t>PCT_DH_COMBINATION</w:t>
      </w:r>
      <w:r w:rsidR="003F7B9F">
        <w:t xml:space="preserve"> is the percent of </w:t>
      </w:r>
      <w:r w:rsidR="00393A6E">
        <w:t xml:space="preserve">design </w:t>
      </w:r>
      <w:r w:rsidR="003F7B9F">
        <w:t xml:space="preserve">combination trucks during the </w:t>
      </w:r>
      <w:r>
        <w:t>design</w:t>
      </w:r>
      <w:r w:rsidR="003F7B9F">
        <w:t xml:space="preserve"> hour. The percent of peak combination trucks is the combination truck traffic volume during the </w:t>
      </w:r>
      <w:r>
        <w:t>design</w:t>
      </w:r>
      <w:r w:rsidR="003F7B9F">
        <w:t xml:space="preserve"> hour shown as the percentage of section AADT, to the nearest </w:t>
      </w:r>
      <w:r>
        <w:t>hundredth</w:t>
      </w:r>
      <w:r w:rsidR="003F7B9F">
        <w:t xml:space="preserve"> of a percent (0.</w:t>
      </w:r>
      <w:r>
        <w:t>0</w:t>
      </w:r>
      <w:r w:rsidR="003F7B9F">
        <w:t xml:space="preserve">1%). For example, if the section AADT is 5,000 and the volume of combination trucks in the </w:t>
      </w:r>
      <w:r w:rsidR="00393A6E">
        <w:t>design</w:t>
      </w:r>
      <w:r w:rsidR="003F7B9F">
        <w:t xml:space="preserve"> hour is 16</w:t>
      </w:r>
      <w:r>
        <w:t>4</w:t>
      </w:r>
      <w:r w:rsidR="003F7B9F">
        <w:t xml:space="preserve">, then the </w:t>
      </w:r>
      <w:r>
        <w:t>PCT_DH_COMBINATION</w:t>
      </w:r>
      <w:r w:rsidR="003F7B9F">
        <w:t xml:space="preserve"> trucks is shown as </w:t>
      </w:r>
      <w:r>
        <w:t>3.28</w:t>
      </w:r>
      <w:r w:rsidR="003F7B9F">
        <w:t xml:space="preserve">%. This percent should not be rounded to the nearest whole percent or to zero percent if minimal trucks exist. The following QC check will be performed by the HPMS submittal software and may indicate an error with the </w:t>
      </w:r>
      <w:r>
        <w:t>PCT_DH_COMBINATION</w:t>
      </w:r>
      <w:r w:rsidR="003F7B9F">
        <w:t xml:space="preserve"> data: </w:t>
      </w:r>
    </w:p>
    <w:p w14:paraId="7AEA4C30" w14:textId="538F8038" w:rsidR="003F7B9F" w:rsidRDefault="003F7B9F" w:rsidP="00A35EAF">
      <w:pPr>
        <w:pStyle w:val="BodyText"/>
      </w:pPr>
      <w:r>
        <w:t>If (</w:t>
      </w:r>
      <w:r w:rsidR="00EB1CB5">
        <w:t>PCT_DH_COMBINATION</w:t>
      </w:r>
      <w:r>
        <w:t>/100) &gt; AADT_</w:t>
      </w:r>
      <w:r w:rsidR="002332BA">
        <w:t>COMBINATION</w:t>
      </w:r>
      <w:r>
        <w:t>, there is an error.</w:t>
      </w:r>
    </w:p>
    <w:p w14:paraId="0979C94C" w14:textId="4336C41A" w:rsidR="003F7B9F" w:rsidRPr="001546EF" w:rsidRDefault="00382423">
      <w:pPr>
        <w:pStyle w:val="Heading3"/>
      </w:pPr>
      <w:bookmarkStart w:id="3639" w:name="_Toc118205734"/>
      <w:r>
        <w:t>K_FACTOR</w:t>
      </w:r>
      <w:bookmarkEnd w:id="3639"/>
    </w:p>
    <w:p w14:paraId="202C25D4" w14:textId="5E044023" w:rsidR="003F7B9F" w:rsidRDefault="00382423" w:rsidP="00A35EAF">
      <w:pPr>
        <w:pStyle w:val="BodyText"/>
      </w:pPr>
      <w:r>
        <w:t>K_FACTOR</w:t>
      </w:r>
      <w:r w:rsidR="003F7B9F">
        <w:t xml:space="preserve"> is the design hour volume expressed as a percent of AADT. The </w:t>
      </w:r>
      <w:r>
        <w:t>K_FACTOR</w:t>
      </w:r>
      <w:r w:rsidR="003F7B9F">
        <w:t xml:space="preserve"> conveys the design hour volume or the 30</w:t>
      </w:r>
      <w:r w:rsidR="003F7B9F">
        <w:rPr>
          <w:rStyle w:val="superscript"/>
        </w:rPr>
        <w:t>th</w:t>
      </w:r>
      <w:r w:rsidR="003F7B9F">
        <w:t xml:space="preserve"> highest hourly volume, as a percent of total AADT. The value for </w:t>
      </w:r>
      <w:r>
        <w:t>K_FACTOR</w:t>
      </w:r>
      <w:r w:rsidR="003F7B9F">
        <w:t xml:space="preserve"> is reported to the nearest percent. For example, if the traffic volume during the design hour or 30</w:t>
      </w:r>
      <w:r w:rsidR="003F7B9F">
        <w:rPr>
          <w:rStyle w:val="superscript"/>
        </w:rPr>
        <w:t>th</w:t>
      </w:r>
      <w:r w:rsidR="003F7B9F">
        <w:t xml:space="preserve"> highest hourly volume is 10% of the AADT for a section of road, then the </w:t>
      </w:r>
      <w:r>
        <w:t>K_FACTOR</w:t>
      </w:r>
      <w:r w:rsidR="003F7B9F">
        <w:t xml:space="preserve"> is reported as 10 for that section. The following QC checks will be performed by the HPMS submittal software and may indicate an error with the </w:t>
      </w:r>
      <w:r>
        <w:t>K_FACTOR</w:t>
      </w:r>
      <w:r w:rsidR="003F7B9F">
        <w:t xml:space="preserve"> data:</w:t>
      </w:r>
    </w:p>
    <w:p w14:paraId="58B3F8DA" w14:textId="475791AF" w:rsidR="003F7B9F" w:rsidRDefault="00382423">
      <w:pPr>
        <w:pStyle w:val="TMGBullet"/>
      </w:pPr>
      <w:r>
        <w:t>K_FACTOR</w:t>
      </w:r>
      <w:r w:rsidR="003F7B9F">
        <w:t>s are missing</w:t>
      </w:r>
      <w:r w:rsidR="00CB3D5C">
        <w:t>.</w:t>
      </w:r>
    </w:p>
    <w:p w14:paraId="0B5E9DF0" w14:textId="057CD1A7" w:rsidR="003F7B9F" w:rsidRDefault="003F7B9F">
      <w:pPr>
        <w:pStyle w:val="TMGBullet"/>
      </w:pPr>
      <w:r>
        <w:t xml:space="preserve">GIS check will be performed on distribution of </w:t>
      </w:r>
      <w:r w:rsidR="00382423">
        <w:t>K_FACTOR</w:t>
      </w:r>
      <w:r>
        <w:t>s by area</w:t>
      </w:r>
      <w:r w:rsidR="00CB3D5C">
        <w:t>.</w:t>
      </w:r>
    </w:p>
    <w:p w14:paraId="47DDB264" w14:textId="1DEEAA66" w:rsidR="003F7B9F" w:rsidRDefault="003F7B9F">
      <w:pPr>
        <w:pStyle w:val="TMGBullet"/>
      </w:pPr>
      <w:r>
        <w:t xml:space="preserve">GIS check will be performed on adjacent samples with related </w:t>
      </w:r>
      <w:r w:rsidR="00382423">
        <w:t>K_FACTOR</w:t>
      </w:r>
      <w:r>
        <w:t>s.</w:t>
      </w:r>
    </w:p>
    <w:p w14:paraId="1F1174A1" w14:textId="4320CE81" w:rsidR="003F7B9F" w:rsidRPr="001546EF" w:rsidRDefault="00382423">
      <w:pPr>
        <w:pStyle w:val="Heading3"/>
      </w:pPr>
      <w:bookmarkStart w:id="3640" w:name="_Toc118205735"/>
      <w:r>
        <w:t>DIR_FACTOR</w:t>
      </w:r>
      <w:bookmarkEnd w:id="3640"/>
    </w:p>
    <w:p w14:paraId="7BB41735" w14:textId="6DDDDC4E" w:rsidR="003F7B9F" w:rsidRDefault="00382423" w:rsidP="00A35EAF">
      <w:pPr>
        <w:pStyle w:val="BodyText"/>
      </w:pPr>
      <w:r>
        <w:t>DIR_FACTOR</w:t>
      </w:r>
      <w:r w:rsidR="003F7B9F">
        <w:t xml:space="preserve"> the percent of design hour volume flowing in the peak direction. The </w:t>
      </w:r>
      <w:r>
        <w:t>DIR_FACTOR</w:t>
      </w:r>
      <w:r w:rsidR="003F7B9F">
        <w:t xml:space="preserve"> is reported as the percentage of design hour volume (30</w:t>
      </w:r>
      <w:r w:rsidR="003F7B9F">
        <w:rPr>
          <w:rStyle w:val="superscript"/>
        </w:rPr>
        <w:t>th</w:t>
      </w:r>
      <w:r w:rsidR="003F7B9F">
        <w:t xml:space="preserve"> highest hour) flowing in the peak direction. For example, a </w:t>
      </w:r>
      <w:r>
        <w:t>DIR_FACTOR</w:t>
      </w:r>
      <w:r w:rsidR="003F7B9F">
        <w:t xml:space="preserve"> of </w:t>
      </w:r>
      <w:r w:rsidR="00CB3D5C">
        <w:t xml:space="preserve">60 </w:t>
      </w:r>
      <w:r w:rsidR="003F7B9F">
        <w:t xml:space="preserve">indicates that </w:t>
      </w:r>
      <w:r w:rsidR="00CB3D5C">
        <w:t xml:space="preserve">60 </w:t>
      </w:r>
      <w:r w:rsidR="003F7B9F">
        <w:t xml:space="preserve">percent of the design hour volume is flowing in the peak direction. A value of </w:t>
      </w:r>
      <w:r w:rsidR="00CB3D5C">
        <w:t>100</w:t>
      </w:r>
      <w:r w:rsidR="003F7B9F">
        <w:t xml:space="preserve"> is used for one-way facilities when reporting this value in HPMS. The following QC checks will be performed by the HPMS submittal software and may indicate an error with the </w:t>
      </w:r>
      <w:r>
        <w:t>DIR_FACTOR</w:t>
      </w:r>
      <w:r w:rsidR="003F7B9F">
        <w:t xml:space="preserve"> data:</w:t>
      </w:r>
    </w:p>
    <w:p w14:paraId="46EB3A79" w14:textId="4D19CB6F" w:rsidR="003F7B9F" w:rsidRPr="00275F91" w:rsidRDefault="00382423">
      <w:pPr>
        <w:pStyle w:val="TMGBullet"/>
      </w:pPr>
      <w:r>
        <w:t>DIR_FACTOR</w:t>
      </w:r>
      <w:r w:rsidR="003F7B9F" w:rsidRPr="00275F91">
        <w:t xml:space="preserve"> is 100% for </w:t>
      </w:r>
      <w:r w:rsidR="00BF1D08">
        <w:t>non-</w:t>
      </w:r>
      <w:r w:rsidR="003F7B9F" w:rsidRPr="00275F91">
        <w:t>one-way roads</w:t>
      </w:r>
      <w:r w:rsidR="00CB3D5C">
        <w:t>.</w:t>
      </w:r>
    </w:p>
    <w:p w14:paraId="492F154A" w14:textId="719E49D9" w:rsidR="003F7B9F" w:rsidRPr="00275F91" w:rsidRDefault="00382423">
      <w:pPr>
        <w:pStyle w:val="TMGBullet"/>
      </w:pPr>
      <w:r>
        <w:t>DIR_FACTOR</w:t>
      </w:r>
      <w:r w:rsidR="003F7B9F" w:rsidRPr="00275F91">
        <w:t>s are missing</w:t>
      </w:r>
      <w:r w:rsidR="00CB3D5C">
        <w:t>.</w:t>
      </w:r>
    </w:p>
    <w:p w14:paraId="2E508FDA" w14:textId="6083F295" w:rsidR="003F7B9F" w:rsidRPr="00275F91" w:rsidRDefault="00382423">
      <w:pPr>
        <w:pStyle w:val="TMGBullet"/>
      </w:pPr>
      <w:r>
        <w:t>DIR_FACTOR</w:t>
      </w:r>
      <w:r w:rsidR="003F7B9F" w:rsidRPr="00275F91">
        <w:t>s are over 80% for two-way roadways (Facility Type = 2)</w:t>
      </w:r>
      <w:r w:rsidR="00CB3D5C">
        <w:t>.</w:t>
      </w:r>
    </w:p>
    <w:p w14:paraId="63AB5B1C" w14:textId="40FE1592" w:rsidR="003F7B9F" w:rsidRPr="00275F91" w:rsidRDefault="003F7B9F">
      <w:pPr>
        <w:pStyle w:val="TMGBullet"/>
      </w:pPr>
      <w:r w:rsidRPr="00275F91">
        <w:t xml:space="preserve">GIS check will be performed to check distribution of </w:t>
      </w:r>
      <w:r w:rsidR="00382423">
        <w:t>DIR_FACTOR</w:t>
      </w:r>
      <w:r w:rsidRPr="00275F91">
        <w:t>s by area</w:t>
      </w:r>
      <w:r w:rsidR="00CB3D5C">
        <w:t>.</w:t>
      </w:r>
    </w:p>
    <w:p w14:paraId="68F5FC95" w14:textId="6E8E5AE7" w:rsidR="00561AE3" w:rsidRDefault="003F7B9F">
      <w:pPr>
        <w:pStyle w:val="TMGBullet"/>
      </w:pPr>
      <w:r w:rsidRPr="00275F91">
        <w:t xml:space="preserve">GIS check will be performed to check distribution of </w:t>
      </w:r>
      <w:r w:rsidR="00382423">
        <w:t>DIR_FACTOR</w:t>
      </w:r>
      <w:r w:rsidRPr="00275F91">
        <w:t>s by urban area</w:t>
      </w:r>
      <w:r w:rsidR="00CB3D5C">
        <w:t>.</w:t>
      </w:r>
    </w:p>
    <w:p w14:paraId="249FC725" w14:textId="46B5EFB7" w:rsidR="003F7B9F" w:rsidRDefault="003F7B9F">
      <w:pPr>
        <w:pStyle w:val="TMGBullet"/>
      </w:pPr>
      <w:r w:rsidRPr="00561AE3">
        <w:rPr>
          <w:rStyle w:val="TMGBulletChar"/>
          <w:rFonts w:eastAsiaTheme="minorEastAsia"/>
        </w:rPr>
        <w:t xml:space="preserve">GIS check will be performed on adjacent samples with related </w:t>
      </w:r>
      <w:r w:rsidR="00382423">
        <w:rPr>
          <w:rStyle w:val="TMGBulletChar"/>
          <w:rFonts w:eastAsiaTheme="minorEastAsia"/>
        </w:rPr>
        <w:t>DIR_FACTOR</w:t>
      </w:r>
      <w:r w:rsidRPr="00561AE3">
        <w:rPr>
          <w:rStyle w:val="TMGBulletChar"/>
          <w:rFonts w:eastAsiaTheme="minorEastAsia"/>
        </w:rPr>
        <w:t>s</w:t>
      </w:r>
      <w:r>
        <w:t>.</w:t>
      </w:r>
    </w:p>
    <w:p w14:paraId="20A7AD83" w14:textId="641D6A89" w:rsidR="003F7B9F" w:rsidRPr="001546EF" w:rsidRDefault="003F7B9F">
      <w:pPr>
        <w:pStyle w:val="Heading3"/>
      </w:pPr>
      <w:bookmarkStart w:id="3641" w:name="_Toc65752890"/>
      <w:bookmarkStart w:id="3642" w:name="_Toc118205736"/>
      <w:r w:rsidRPr="001546EF">
        <w:t>F</w:t>
      </w:r>
      <w:r w:rsidR="00705974">
        <w:t>UTURE</w:t>
      </w:r>
      <w:r w:rsidR="00776EFE">
        <w:t>_</w:t>
      </w:r>
      <w:r w:rsidRPr="001546EF">
        <w:t>AADT</w:t>
      </w:r>
      <w:bookmarkEnd w:id="3641"/>
      <w:bookmarkEnd w:id="3642"/>
    </w:p>
    <w:p w14:paraId="5BB8309D" w14:textId="55353020" w:rsidR="003F7B9F" w:rsidRDefault="003F7B9F" w:rsidP="00A35EAF">
      <w:pPr>
        <w:pStyle w:val="BodyText"/>
      </w:pPr>
      <w:r>
        <w:t>F</w:t>
      </w:r>
      <w:r w:rsidR="00705974">
        <w:t>UTURE</w:t>
      </w:r>
      <w:r w:rsidR="00776EFE">
        <w:t>_</w:t>
      </w:r>
      <w:r>
        <w:t xml:space="preserve">AADT may not be an item reported as part of a </w:t>
      </w:r>
      <w:r w:rsidR="00CB3D5C">
        <w:t>S</w:t>
      </w:r>
      <w:r>
        <w:t>tate’s traffic monitoring program</w:t>
      </w:r>
      <w:r w:rsidR="00CB3D5C">
        <w:t>,</w:t>
      </w:r>
      <w:r>
        <w:t xml:space="preserve"> although </w:t>
      </w:r>
      <w:r w:rsidR="00CB3D5C">
        <w:t xml:space="preserve">it is </w:t>
      </w:r>
      <w:r>
        <w:t xml:space="preserve">reported as a data item in HPMS. The estimates for </w:t>
      </w:r>
      <w:r w:rsidR="00705974">
        <w:t>FUTURE</w:t>
      </w:r>
      <w:r w:rsidR="00776EFE">
        <w:t>_</w:t>
      </w:r>
      <w:r>
        <w:t xml:space="preserve">AADT are usually developed from statewide modeling programs and on input provided by MPOs as appropriate. If data from statewide modeling programs are not available, then population growth or gasoline tax growth can be used to estimate traffic growth. The </w:t>
      </w:r>
      <w:r w:rsidR="00776EFE">
        <w:lastRenderedPageBreak/>
        <w:t>FUTURE_AADT</w:t>
      </w:r>
      <w:r>
        <w:t xml:space="preserve"> is a 20-year forecast AADT, which may cover a period of 18 to 25 years from the date of the HPMS data year submittal. The following QC checks will be performed by the HPMS submittal software and may indicate an error with the </w:t>
      </w:r>
      <w:r w:rsidR="00776EFE">
        <w:t>FUTURE_AADT</w:t>
      </w:r>
      <w:r>
        <w:t xml:space="preserve"> data:</w:t>
      </w:r>
    </w:p>
    <w:p w14:paraId="442DCF73" w14:textId="74841709" w:rsidR="003F7B9F" w:rsidRPr="00275F91" w:rsidRDefault="00776EFE">
      <w:pPr>
        <w:pStyle w:val="TMGBullet"/>
      </w:pPr>
      <w:r>
        <w:t>FUTURE_AADT</w:t>
      </w:r>
      <w:r w:rsidR="003F7B9F" w:rsidRPr="00275F91">
        <w:t xml:space="preserve"> is missing</w:t>
      </w:r>
      <w:r w:rsidR="00CB3D5C">
        <w:t>.</w:t>
      </w:r>
    </w:p>
    <w:p w14:paraId="2C7C5581" w14:textId="57E1130D" w:rsidR="003F7B9F" w:rsidRPr="00275F91" w:rsidRDefault="00776EFE">
      <w:pPr>
        <w:pStyle w:val="TMGBullet"/>
      </w:pPr>
      <w:r>
        <w:t>FUTURE_AADT</w:t>
      </w:r>
      <w:r w:rsidR="003F7B9F" w:rsidRPr="00275F91">
        <w:t xml:space="preserve"> &lt; AADT</w:t>
      </w:r>
      <w:r w:rsidR="00CB3D5C">
        <w:t>.</w:t>
      </w:r>
    </w:p>
    <w:p w14:paraId="38E910D4" w14:textId="70A4CA7D" w:rsidR="003F7B9F" w:rsidRPr="00275F91" w:rsidRDefault="00776EFE">
      <w:pPr>
        <w:pStyle w:val="TMGBullet"/>
      </w:pPr>
      <w:r>
        <w:t>FUTURE_AADT</w:t>
      </w:r>
      <w:r w:rsidR="003F7B9F" w:rsidRPr="00275F91">
        <w:t xml:space="preserve"> &gt; 300% of AADT.</w:t>
      </w:r>
    </w:p>
    <w:p w14:paraId="50E8BAD9" w14:textId="76FCF732" w:rsidR="003F7B9F" w:rsidRPr="001546EF" w:rsidRDefault="003F7B9F">
      <w:pPr>
        <w:pStyle w:val="Heading2"/>
      </w:pPr>
      <w:bookmarkStart w:id="3643" w:name="_Toc27556370"/>
      <w:bookmarkStart w:id="3644" w:name="_Toc27556407"/>
      <w:bookmarkStart w:id="3645" w:name="_Toc27556471"/>
      <w:bookmarkStart w:id="3646" w:name="_Toc27556521"/>
      <w:bookmarkStart w:id="3647" w:name="_Toc27556636"/>
      <w:bookmarkStart w:id="3648" w:name="_Toc27556681"/>
      <w:bookmarkStart w:id="3649" w:name="_Toc27556741"/>
      <w:bookmarkStart w:id="3650" w:name="_Toc27569690"/>
      <w:bookmarkStart w:id="3651" w:name="_Toc32394212"/>
      <w:bookmarkStart w:id="3652" w:name="_Toc32414651"/>
      <w:bookmarkStart w:id="3653" w:name="_Toc32828993"/>
      <w:bookmarkStart w:id="3654" w:name="_Toc65493911"/>
      <w:bookmarkStart w:id="3655" w:name="_Toc65493977"/>
      <w:bookmarkStart w:id="3656" w:name="_Toc65494088"/>
      <w:bookmarkStart w:id="3657" w:name="_Toc65494133"/>
      <w:bookmarkStart w:id="3658" w:name="_Toc65750557"/>
      <w:bookmarkStart w:id="3659" w:name="_Toc65752891"/>
      <w:bookmarkStart w:id="3660" w:name="_Toc68700574"/>
      <w:bookmarkStart w:id="3661" w:name="_Toc68700953"/>
      <w:bookmarkStart w:id="3662" w:name="_Toc68798868"/>
      <w:bookmarkStart w:id="3663" w:name="_Toc68799092"/>
      <w:bookmarkStart w:id="3664" w:name="_Toc68801005"/>
      <w:bookmarkStart w:id="3665" w:name="_Toc68802076"/>
      <w:bookmarkStart w:id="3666" w:name="_Toc68806464"/>
      <w:bookmarkStart w:id="3667" w:name="_Toc68806687"/>
      <w:bookmarkStart w:id="3668" w:name="_Toc68806909"/>
      <w:bookmarkStart w:id="3669" w:name="_Toc68862931"/>
      <w:bookmarkStart w:id="3670" w:name="_Toc68864701"/>
      <w:bookmarkStart w:id="3671" w:name="_Toc68864973"/>
      <w:bookmarkStart w:id="3672" w:name="_Toc68866475"/>
      <w:bookmarkStart w:id="3673" w:name="_Toc68888521"/>
      <w:bookmarkStart w:id="3674" w:name="_Toc68951054"/>
      <w:bookmarkStart w:id="3675" w:name="_Toc68951709"/>
      <w:bookmarkStart w:id="3676" w:name="_Toc68951785"/>
      <w:bookmarkStart w:id="3677" w:name="_Toc68951861"/>
      <w:bookmarkStart w:id="3678" w:name="_Toc68951937"/>
      <w:bookmarkStart w:id="3679" w:name="_Toc68952013"/>
      <w:bookmarkStart w:id="3680" w:name="_Toc69387166"/>
      <w:bookmarkStart w:id="3681" w:name="_Toc75706485"/>
      <w:bookmarkStart w:id="3682" w:name="_Toc76042236"/>
      <w:bookmarkStart w:id="3683" w:name="_Toc76042311"/>
      <w:bookmarkStart w:id="3684" w:name="_Toc76047661"/>
      <w:bookmarkStart w:id="3685" w:name="_Toc76049117"/>
      <w:bookmarkStart w:id="3686" w:name="_Toc114474758"/>
      <w:bookmarkStart w:id="3687" w:name="_Toc27556371"/>
      <w:bookmarkStart w:id="3688" w:name="_Toc27556408"/>
      <w:bookmarkStart w:id="3689" w:name="_Toc27556472"/>
      <w:bookmarkStart w:id="3690" w:name="_Toc27556522"/>
      <w:bookmarkStart w:id="3691" w:name="_Toc27556637"/>
      <w:bookmarkStart w:id="3692" w:name="_Toc27556682"/>
      <w:bookmarkStart w:id="3693" w:name="_Toc27556742"/>
      <w:bookmarkStart w:id="3694" w:name="_Toc27569691"/>
      <w:bookmarkStart w:id="3695" w:name="_Toc32394213"/>
      <w:bookmarkStart w:id="3696" w:name="_Toc32414652"/>
      <w:bookmarkStart w:id="3697" w:name="_Toc32828994"/>
      <w:bookmarkStart w:id="3698" w:name="_Toc65493912"/>
      <w:bookmarkStart w:id="3699" w:name="_Toc65493978"/>
      <w:bookmarkStart w:id="3700" w:name="_Toc65494089"/>
      <w:bookmarkStart w:id="3701" w:name="_Toc65494134"/>
      <w:bookmarkStart w:id="3702" w:name="_Toc65750558"/>
      <w:bookmarkStart w:id="3703" w:name="_Toc65752892"/>
      <w:bookmarkStart w:id="3704" w:name="_Toc68700575"/>
      <w:bookmarkStart w:id="3705" w:name="_Toc68700954"/>
      <w:bookmarkStart w:id="3706" w:name="_Toc68798869"/>
      <w:bookmarkStart w:id="3707" w:name="_Toc68799093"/>
      <w:bookmarkStart w:id="3708" w:name="_Toc68801006"/>
      <w:bookmarkStart w:id="3709" w:name="_Toc68802077"/>
      <w:bookmarkStart w:id="3710" w:name="_Toc68806465"/>
      <w:bookmarkStart w:id="3711" w:name="_Toc68806688"/>
      <w:bookmarkStart w:id="3712" w:name="_Toc68806910"/>
      <w:bookmarkStart w:id="3713" w:name="_Toc68862932"/>
      <w:bookmarkStart w:id="3714" w:name="_Toc68864702"/>
      <w:bookmarkStart w:id="3715" w:name="_Toc68864974"/>
      <w:bookmarkStart w:id="3716" w:name="_Toc68866476"/>
      <w:bookmarkStart w:id="3717" w:name="_Toc68888522"/>
      <w:bookmarkStart w:id="3718" w:name="_Toc68951055"/>
      <w:bookmarkStart w:id="3719" w:name="_Toc68951710"/>
      <w:bookmarkStart w:id="3720" w:name="_Toc68951786"/>
      <w:bookmarkStart w:id="3721" w:name="_Toc68951862"/>
      <w:bookmarkStart w:id="3722" w:name="_Toc68951938"/>
      <w:bookmarkStart w:id="3723" w:name="_Toc68952014"/>
      <w:bookmarkStart w:id="3724" w:name="_Toc69387167"/>
      <w:bookmarkStart w:id="3725" w:name="_Toc75706486"/>
      <w:bookmarkStart w:id="3726" w:name="_Toc76042237"/>
      <w:bookmarkStart w:id="3727" w:name="_Toc76042312"/>
      <w:bookmarkStart w:id="3728" w:name="_Toc76047662"/>
      <w:bookmarkStart w:id="3729" w:name="_Toc76049118"/>
      <w:bookmarkStart w:id="3730" w:name="_Toc114474759"/>
      <w:bookmarkStart w:id="3731" w:name="_Toc27556372"/>
      <w:bookmarkStart w:id="3732" w:name="_Toc27556409"/>
      <w:bookmarkStart w:id="3733" w:name="_Toc27556473"/>
      <w:bookmarkStart w:id="3734" w:name="_Toc27556523"/>
      <w:bookmarkStart w:id="3735" w:name="_Toc27556638"/>
      <w:bookmarkStart w:id="3736" w:name="_Toc27556683"/>
      <w:bookmarkStart w:id="3737" w:name="_Toc27556743"/>
      <w:bookmarkStart w:id="3738" w:name="_Toc27569692"/>
      <w:bookmarkStart w:id="3739" w:name="_Toc32394214"/>
      <w:bookmarkStart w:id="3740" w:name="_Toc32414653"/>
      <w:bookmarkStart w:id="3741" w:name="_Toc32828995"/>
      <w:bookmarkStart w:id="3742" w:name="_Toc65493913"/>
      <w:bookmarkStart w:id="3743" w:name="_Toc65493979"/>
      <w:bookmarkStart w:id="3744" w:name="_Toc65494090"/>
      <w:bookmarkStart w:id="3745" w:name="_Toc65494135"/>
      <w:bookmarkStart w:id="3746" w:name="_Toc65750559"/>
      <w:bookmarkStart w:id="3747" w:name="_Toc65752893"/>
      <w:bookmarkStart w:id="3748" w:name="_Toc68700576"/>
      <w:bookmarkStart w:id="3749" w:name="_Toc68700955"/>
      <w:bookmarkStart w:id="3750" w:name="_Toc68798870"/>
      <w:bookmarkStart w:id="3751" w:name="_Toc68799094"/>
      <w:bookmarkStart w:id="3752" w:name="_Toc68801007"/>
      <w:bookmarkStart w:id="3753" w:name="_Toc68802078"/>
      <w:bookmarkStart w:id="3754" w:name="_Toc68806466"/>
      <w:bookmarkStart w:id="3755" w:name="_Toc68806689"/>
      <w:bookmarkStart w:id="3756" w:name="_Toc68806911"/>
      <w:bookmarkStart w:id="3757" w:name="_Toc68862933"/>
      <w:bookmarkStart w:id="3758" w:name="_Toc68864703"/>
      <w:bookmarkStart w:id="3759" w:name="_Toc68864975"/>
      <w:bookmarkStart w:id="3760" w:name="_Toc68866477"/>
      <w:bookmarkStart w:id="3761" w:name="_Toc68888523"/>
      <w:bookmarkStart w:id="3762" w:name="_Toc68951056"/>
      <w:bookmarkStart w:id="3763" w:name="_Toc68951711"/>
      <w:bookmarkStart w:id="3764" w:name="_Toc68951787"/>
      <w:bookmarkStart w:id="3765" w:name="_Toc68951863"/>
      <w:bookmarkStart w:id="3766" w:name="_Toc68951939"/>
      <w:bookmarkStart w:id="3767" w:name="_Toc68952015"/>
      <w:bookmarkStart w:id="3768" w:name="_Toc69387168"/>
      <w:bookmarkStart w:id="3769" w:name="_Toc75706487"/>
      <w:bookmarkStart w:id="3770" w:name="_Toc76042238"/>
      <w:bookmarkStart w:id="3771" w:name="_Toc76042313"/>
      <w:bookmarkStart w:id="3772" w:name="_Toc76047663"/>
      <w:bookmarkStart w:id="3773" w:name="_Toc76049119"/>
      <w:bookmarkStart w:id="3774" w:name="_Toc114474760"/>
      <w:bookmarkStart w:id="3775" w:name="_Toc27556373"/>
      <w:bookmarkStart w:id="3776" w:name="_Toc27556410"/>
      <w:bookmarkStart w:id="3777" w:name="_Toc27556474"/>
      <w:bookmarkStart w:id="3778" w:name="_Toc27556524"/>
      <w:bookmarkStart w:id="3779" w:name="_Toc27556639"/>
      <w:bookmarkStart w:id="3780" w:name="_Toc27556684"/>
      <w:bookmarkStart w:id="3781" w:name="_Toc27556744"/>
      <w:bookmarkStart w:id="3782" w:name="_Toc27569693"/>
      <w:bookmarkStart w:id="3783" w:name="_Toc32394215"/>
      <w:bookmarkStart w:id="3784" w:name="_Toc32414654"/>
      <w:bookmarkStart w:id="3785" w:name="_Toc32828996"/>
      <w:bookmarkStart w:id="3786" w:name="_Toc65493914"/>
      <w:bookmarkStart w:id="3787" w:name="_Toc65493980"/>
      <w:bookmarkStart w:id="3788" w:name="_Toc65494091"/>
      <w:bookmarkStart w:id="3789" w:name="_Toc65494136"/>
      <w:bookmarkStart w:id="3790" w:name="_Toc65750560"/>
      <w:bookmarkStart w:id="3791" w:name="_Toc65752894"/>
      <w:bookmarkStart w:id="3792" w:name="_Toc68700577"/>
      <w:bookmarkStart w:id="3793" w:name="_Toc68700956"/>
      <w:bookmarkStart w:id="3794" w:name="_Toc68798871"/>
      <w:bookmarkStart w:id="3795" w:name="_Toc68799095"/>
      <w:bookmarkStart w:id="3796" w:name="_Toc68801008"/>
      <w:bookmarkStart w:id="3797" w:name="_Toc68802079"/>
      <w:bookmarkStart w:id="3798" w:name="_Toc68806467"/>
      <w:bookmarkStart w:id="3799" w:name="_Toc68806690"/>
      <w:bookmarkStart w:id="3800" w:name="_Toc68806912"/>
      <w:bookmarkStart w:id="3801" w:name="_Toc68862934"/>
      <w:bookmarkStart w:id="3802" w:name="_Toc68864704"/>
      <w:bookmarkStart w:id="3803" w:name="_Toc68864976"/>
      <w:bookmarkStart w:id="3804" w:name="_Toc68866478"/>
      <w:bookmarkStart w:id="3805" w:name="_Toc68888524"/>
      <w:bookmarkStart w:id="3806" w:name="_Toc68951057"/>
      <w:bookmarkStart w:id="3807" w:name="_Toc68951712"/>
      <w:bookmarkStart w:id="3808" w:name="_Toc68951788"/>
      <w:bookmarkStart w:id="3809" w:name="_Toc68951864"/>
      <w:bookmarkStart w:id="3810" w:name="_Toc68951940"/>
      <w:bookmarkStart w:id="3811" w:name="_Toc68952016"/>
      <w:bookmarkStart w:id="3812" w:name="_Toc69387169"/>
      <w:bookmarkStart w:id="3813" w:name="_Toc75706488"/>
      <w:bookmarkStart w:id="3814" w:name="_Toc76042239"/>
      <w:bookmarkStart w:id="3815" w:name="_Toc76042314"/>
      <w:bookmarkStart w:id="3816" w:name="_Toc76047664"/>
      <w:bookmarkStart w:id="3817" w:name="_Toc76049120"/>
      <w:bookmarkStart w:id="3818" w:name="_Toc114474761"/>
      <w:bookmarkStart w:id="3819" w:name="_Toc27556374"/>
      <w:bookmarkStart w:id="3820" w:name="_Toc27556411"/>
      <w:bookmarkStart w:id="3821" w:name="_Toc27556475"/>
      <w:bookmarkStart w:id="3822" w:name="_Toc27556525"/>
      <w:bookmarkStart w:id="3823" w:name="_Toc27556640"/>
      <w:bookmarkStart w:id="3824" w:name="_Toc27556685"/>
      <w:bookmarkStart w:id="3825" w:name="_Toc27556745"/>
      <w:bookmarkStart w:id="3826" w:name="_Toc27569694"/>
      <w:bookmarkStart w:id="3827" w:name="_Toc32394216"/>
      <w:bookmarkStart w:id="3828" w:name="_Toc32414655"/>
      <w:bookmarkStart w:id="3829" w:name="_Toc32828997"/>
      <w:bookmarkStart w:id="3830" w:name="_Toc65493915"/>
      <w:bookmarkStart w:id="3831" w:name="_Toc65493981"/>
      <w:bookmarkStart w:id="3832" w:name="_Toc65494092"/>
      <w:bookmarkStart w:id="3833" w:name="_Toc65494137"/>
      <w:bookmarkStart w:id="3834" w:name="_Toc65750561"/>
      <w:bookmarkStart w:id="3835" w:name="_Toc65752895"/>
      <w:bookmarkStart w:id="3836" w:name="_Toc68700578"/>
      <w:bookmarkStart w:id="3837" w:name="_Toc68700957"/>
      <w:bookmarkStart w:id="3838" w:name="_Toc68798872"/>
      <w:bookmarkStart w:id="3839" w:name="_Toc68799096"/>
      <w:bookmarkStart w:id="3840" w:name="_Toc68801009"/>
      <w:bookmarkStart w:id="3841" w:name="_Toc68802080"/>
      <w:bookmarkStart w:id="3842" w:name="_Toc68806468"/>
      <w:bookmarkStart w:id="3843" w:name="_Toc68806691"/>
      <w:bookmarkStart w:id="3844" w:name="_Toc68806913"/>
      <w:bookmarkStart w:id="3845" w:name="_Toc68862935"/>
      <w:bookmarkStart w:id="3846" w:name="_Toc68864705"/>
      <w:bookmarkStart w:id="3847" w:name="_Toc68864977"/>
      <w:bookmarkStart w:id="3848" w:name="_Toc68866479"/>
      <w:bookmarkStart w:id="3849" w:name="_Toc68888525"/>
      <w:bookmarkStart w:id="3850" w:name="_Toc68951058"/>
      <w:bookmarkStart w:id="3851" w:name="_Toc68951713"/>
      <w:bookmarkStart w:id="3852" w:name="_Toc68951789"/>
      <w:bookmarkStart w:id="3853" w:name="_Toc68951865"/>
      <w:bookmarkStart w:id="3854" w:name="_Toc68951941"/>
      <w:bookmarkStart w:id="3855" w:name="_Toc68952017"/>
      <w:bookmarkStart w:id="3856" w:name="_Toc69387170"/>
      <w:bookmarkStart w:id="3857" w:name="_Toc75706489"/>
      <w:bookmarkStart w:id="3858" w:name="_Toc76042240"/>
      <w:bookmarkStart w:id="3859" w:name="_Toc76042315"/>
      <w:bookmarkStart w:id="3860" w:name="_Toc76047665"/>
      <w:bookmarkStart w:id="3861" w:name="_Toc76049121"/>
      <w:bookmarkStart w:id="3862" w:name="_Toc114474762"/>
      <w:bookmarkStart w:id="3863" w:name="_Toc27556375"/>
      <w:bookmarkStart w:id="3864" w:name="_Toc27556412"/>
      <w:bookmarkStart w:id="3865" w:name="_Toc27556476"/>
      <w:bookmarkStart w:id="3866" w:name="_Toc27556526"/>
      <w:bookmarkStart w:id="3867" w:name="_Toc27556641"/>
      <w:bookmarkStart w:id="3868" w:name="_Toc27556686"/>
      <w:bookmarkStart w:id="3869" w:name="_Toc27556746"/>
      <w:bookmarkStart w:id="3870" w:name="_Toc27569695"/>
      <w:bookmarkStart w:id="3871" w:name="_Toc32394217"/>
      <w:bookmarkStart w:id="3872" w:name="_Toc32414656"/>
      <w:bookmarkStart w:id="3873" w:name="_Toc32828998"/>
      <w:bookmarkStart w:id="3874" w:name="_Toc65493916"/>
      <w:bookmarkStart w:id="3875" w:name="_Toc65493982"/>
      <w:bookmarkStart w:id="3876" w:name="_Toc65494093"/>
      <w:bookmarkStart w:id="3877" w:name="_Toc65494138"/>
      <w:bookmarkStart w:id="3878" w:name="_Toc65750562"/>
      <w:bookmarkStart w:id="3879" w:name="_Toc65752896"/>
      <w:bookmarkStart w:id="3880" w:name="_Toc68700579"/>
      <w:bookmarkStart w:id="3881" w:name="_Toc68700958"/>
      <w:bookmarkStart w:id="3882" w:name="_Toc68798873"/>
      <w:bookmarkStart w:id="3883" w:name="_Toc68799097"/>
      <w:bookmarkStart w:id="3884" w:name="_Toc68801010"/>
      <w:bookmarkStart w:id="3885" w:name="_Toc68802081"/>
      <w:bookmarkStart w:id="3886" w:name="_Toc68806469"/>
      <w:bookmarkStart w:id="3887" w:name="_Toc68806692"/>
      <w:bookmarkStart w:id="3888" w:name="_Toc68806914"/>
      <w:bookmarkStart w:id="3889" w:name="_Toc68862936"/>
      <w:bookmarkStart w:id="3890" w:name="_Toc68864706"/>
      <w:bookmarkStart w:id="3891" w:name="_Toc68864978"/>
      <w:bookmarkStart w:id="3892" w:name="_Toc68866480"/>
      <w:bookmarkStart w:id="3893" w:name="_Toc68888526"/>
      <w:bookmarkStart w:id="3894" w:name="_Toc68951059"/>
      <w:bookmarkStart w:id="3895" w:name="_Toc68951714"/>
      <w:bookmarkStart w:id="3896" w:name="_Toc68951790"/>
      <w:bookmarkStart w:id="3897" w:name="_Toc68951866"/>
      <w:bookmarkStart w:id="3898" w:name="_Toc68951942"/>
      <w:bookmarkStart w:id="3899" w:name="_Toc68952018"/>
      <w:bookmarkStart w:id="3900" w:name="_Toc69387171"/>
      <w:bookmarkStart w:id="3901" w:name="_Toc75706490"/>
      <w:bookmarkStart w:id="3902" w:name="_Toc76042241"/>
      <w:bookmarkStart w:id="3903" w:name="_Toc76042316"/>
      <w:bookmarkStart w:id="3904" w:name="_Toc76047666"/>
      <w:bookmarkStart w:id="3905" w:name="_Toc76049122"/>
      <w:bookmarkStart w:id="3906" w:name="_Toc114474763"/>
      <w:bookmarkStart w:id="3907" w:name="_Toc27556376"/>
      <w:bookmarkStart w:id="3908" w:name="_Toc27556413"/>
      <w:bookmarkStart w:id="3909" w:name="_Toc27556477"/>
      <w:bookmarkStart w:id="3910" w:name="_Toc27556527"/>
      <w:bookmarkStart w:id="3911" w:name="_Toc27556642"/>
      <w:bookmarkStart w:id="3912" w:name="_Toc27556687"/>
      <w:bookmarkStart w:id="3913" w:name="_Toc27556747"/>
      <w:bookmarkStart w:id="3914" w:name="_Toc27569696"/>
      <w:bookmarkStart w:id="3915" w:name="_Toc32394218"/>
      <w:bookmarkStart w:id="3916" w:name="_Toc32414657"/>
      <w:bookmarkStart w:id="3917" w:name="_Toc32828999"/>
      <w:bookmarkStart w:id="3918" w:name="_Toc65493917"/>
      <w:bookmarkStart w:id="3919" w:name="_Toc65493983"/>
      <w:bookmarkStart w:id="3920" w:name="_Toc65494094"/>
      <w:bookmarkStart w:id="3921" w:name="_Toc65494139"/>
      <w:bookmarkStart w:id="3922" w:name="_Toc65750563"/>
      <w:bookmarkStart w:id="3923" w:name="_Toc65752897"/>
      <w:bookmarkStart w:id="3924" w:name="_Toc68700580"/>
      <w:bookmarkStart w:id="3925" w:name="_Toc68700959"/>
      <w:bookmarkStart w:id="3926" w:name="_Toc68798874"/>
      <w:bookmarkStart w:id="3927" w:name="_Toc68799098"/>
      <w:bookmarkStart w:id="3928" w:name="_Toc68801011"/>
      <w:bookmarkStart w:id="3929" w:name="_Toc68802082"/>
      <w:bookmarkStart w:id="3930" w:name="_Toc68806470"/>
      <w:bookmarkStart w:id="3931" w:name="_Toc68806693"/>
      <w:bookmarkStart w:id="3932" w:name="_Toc68806915"/>
      <w:bookmarkStart w:id="3933" w:name="_Toc68862937"/>
      <w:bookmarkStart w:id="3934" w:name="_Toc68864707"/>
      <w:bookmarkStart w:id="3935" w:name="_Toc68864979"/>
      <w:bookmarkStart w:id="3936" w:name="_Toc68866481"/>
      <w:bookmarkStart w:id="3937" w:name="_Toc68888527"/>
      <w:bookmarkStart w:id="3938" w:name="_Toc68951060"/>
      <w:bookmarkStart w:id="3939" w:name="_Toc68951715"/>
      <w:bookmarkStart w:id="3940" w:name="_Toc68951791"/>
      <w:bookmarkStart w:id="3941" w:name="_Toc68951867"/>
      <w:bookmarkStart w:id="3942" w:name="_Toc68951943"/>
      <w:bookmarkStart w:id="3943" w:name="_Toc68952019"/>
      <w:bookmarkStart w:id="3944" w:name="_Toc69387172"/>
      <w:bookmarkStart w:id="3945" w:name="_Toc75706491"/>
      <w:bookmarkStart w:id="3946" w:name="_Toc76042242"/>
      <w:bookmarkStart w:id="3947" w:name="_Toc76042317"/>
      <w:bookmarkStart w:id="3948" w:name="_Toc76047667"/>
      <w:bookmarkStart w:id="3949" w:name="_Toc76049123"/>
      <w:bookmarkStart w:id="3950" w:name="_Toc114474764"/>
      <w:bookmarkStart w:id="3951" w:name="_Toc27556377"/>
      <w:bookmarkStart w:id="3952" w:name="_Toc27556414"/>
      <w:bookmarkStart w:id="3953" w:name="_Toc27556478"/>
      <w:bookmarkStart w:id="3954" w:name="_Toc27556528"/>
      <w:bookmarkStart w:id="3955" w:name="_Toc27556643"/>
      <w:bookmarkStart w:id="3956" w:name="_Toc27556688"/>
      <w:bookmarkStart w:id="3957" w:name="_Toc27556748"/>
      <w:bookmarkStart w:id="3958" w:name="_Toc27569697"/>
      <w:bookmarkStart w:id="3959" w:name="_Toc32394219"/>
      <w:bookmarkStart w:id="3960" w:name="_Toc32414658"/>
      <w:bookmarkStart w:id="3961" w:name="_Toc32829000"/>
      <w:bookmarkStart w:id="3962" w:name="_Toc65493918"/>
      <w:bookmarkStart w:id="3963" w:name="_Toc65493984"/>
      <w:bookmarkStart w:id="3964" w:name="_Toc65494095"/>
      <w:bookmarkStart w:id="3965" w:name="_Toc65494140"/>
      <w:bookmarkStart w:id="3966" w:name="_Toc65750564"/>
      <w:bookmarkStart w:id="3967" w:name="_Toc65752898"/>
      <w:bookmarkStart w:id="3968" w:name="_Toc68700581"/>
      <w:bookmarkStart w:id="3969" w:name="_Toc68700960"/>
      <w:bookmarkStart w:id="3970" w:name="_Toc68798875"/>
      <w:bookmarkStart w:id="3971" w:name="_Toc68799099"/>
      <w:bookmarkStart w:id="3972" w:name="_Toc68801012"/>
      <w:bookmarkStart w:id="3973" w:name="_Toc68802083"/>
      <w:bookmarkStart w:id="3974" w:name="_Toc68806471"/>
      <w:bookmarkStart w:id="3975" w:name="_Toc68806694"/>
      <w:bookmarkStart w:id="3976" w:name="_Toc68806916"/>
      <w:bookmarkStart w:id="3977" w:name="_Toc68862938"/>
      <w:bookmarkStart w:id="3978" w:name="_Toc68864708"/>
      <w:bookmarkStart w:id="3979" w:name="_Toc68864980"/>
      <w:bookmarkStart w:id="3980" w:name="_Toc68866482"/>
      <w:bookmarkStart w:id="3981" w:name="_Toc68888528"/>
      <w:bookmarkStart w:id="3982" w:name="_Toc68951061"/>
      <w:bookmarkStart w:id="3983" w:name="_Toc68951716"/>
      <w:bookmarkStart w:id="3984" w:name="_Toc68951792"/>
      <w:bookmarkStart w:id="3985" w:name="_Toc68951868"/>
      <w:bookmarkStart w:id="3986" w:name="_Toc68951944"/>
      <w:bookmarkStart w:id="3987" w:name="_Toc68952020"/>
      <w:bookmarkStart w:id="3988" w:name="_Toc69387173"/>
      <w:bookmarkStart w:id="3989" w:name="_Toc75706492"/>
      <w:bookmarkStart w:id="3990" w:name="_Toc76042243"/>
      <w:bookmarkStart w:id="3991" w:name="_Toc76042318"/>
      <w:bookmarkStart w:id="3992" w:name="_Toc76047668"/>
      <w:bookmarkStart w:id="3993" w:name="_Toc76049124"/>
      <w:bookmarkStart w:id="3994" w:name="_Toc114474765"/>
      <w:bookmarkStart w:id="3995" w:name="_Toc27556378"/>
      <w:bookmarkStart w:id="3996" w:name="_Toc27556415"/>
      <w:bookmarkStart w:id="3997" w:name="_Toc27556479"/>
      <w:bookmarkStart w:id="3998" w:name="_Toc27556529"/>
      <w:bookmarkStart w:id="3999" w:name="_Toc27556644"/>
      <w:bookmarkStart w:id="4000" w:name="_Toc27556689"/>
      <w:bookmarkStart w:id="4001" w:name="_Toc27556749"/>
      <w:bookmarkStart w:id="4002" w:name="_Toc27569698"/>
      <w:bookmarkStart w:id="4003" w:name="_Toc32394220"/>
      <w:bookmarkStart w:id="4004" w:name="_Toc32414659"/>
      <w:bookmarkStart w:id="4005" w:name="_Toc32829001"/>
      <w:bookmarkStart w:id="4006" w:name="_Toc65493919"/>
      <w:bookmarkStart w:id="4007" w:name="_Toc65493985"/>
      <w:bookmarkStart w:id="4008" w:name="_Toc65494096"/>
      <w:bookmarkStart w:id="4009" w:name="_Toc65494141"/>
      <w:bookmarkStart w:id="4010" w:name="_Toc65750565"/>
      <w:bookmarkStart w:id="4011" w:name="_Toc65752899"/>
      <w:bookmarkStart w:id="4012" w:name="_Toc68700582"/>
      <w:bookmarkStart w:id="4013" w:name="_Toc68700961"/>
      <w:bookmarkStart w:id="4014" w:name="_Toc68798876"/>
      <w:bookmarkStart w:id="4015" w:name="_Toc68799100"/>
      <w:bookmarkStart w:id="4016" w:name="_Toc68801013"/>
      <w:bookmarkStart w:id="4017" w:name="_Toc68802084"/>
      <w:bookmarkStart w:id="4018" w:name="_Toc68806472"/>
      <w:bookmarkStart w:id="4019" w:name="_Toc68806695"/>
      <w:bookmarkStart w:id="4020" w:name="_Toc68806917"/>
      <w:bookmarkStart w:id="4021" w:name="_Toc68862939"/>
      <w:bookmarkStart w:id="4022" w:name="_Toc68864709"/>
      <w:bookmarkStart w:id="4023" w:name="_Toc68864981"/>
      <w:bookmarkStart w:id="4024" w:name="_Toc68866483"/>
      <w:bookmarkStart w:id="4025" w:name="_Toc68888529"/>
      <w:bookmarkStart w:id="4026" w:name="_Toc68951062"/>
      <w:bookmarkStart w:id="4027" w:name="_Toc68951717"/>
      <w:bookmarkStart w:id="4028" w:name="_Toc68951793"/>
      <w:bookmarkStart w:id="4029" w:name="_Toc68951869"/>
      <w:bookmarkStart w:id="4030" w:name="_Toc68951945"/>
      <w:bookmarkStart w:id="4031" w:name="_Toc68952021"/>
      <w:bookmarkStart w:id="4032" w:name="_Toc69387174"/>
      <w:bookmarkStart w:id="4033" w:name="_Toc75706493"/>
      <w:bookmarkStart w:id="4034" w:name="_Toc76042244"/>
      <w:bookmarkStart w:id="4035" w:name="_Toc76042319"/>
      <w:bookmarkStart w:id="4036" w:name="_Toc76047669"/>
      <w:bookmarkStart w:id="4037" w:name="_Toc76049125"/>
      <w:bookmarkStart w:id="4038" w:name="_Toc114474766"/>
      <w:bookmarkStart w:id="4039" w:name="_Toc65752900"/>
      <w:bookmarkStart w:id="4040" w:name="_Toc68864982"/>
      <w:bookmarkStart w:id="4041" w:name="_Toc114474767"/>
      <w:bookmarkStart w:id="4042" w:name="_Toc118205737"/>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r w:rsidRPr="001546EF">
        <w:t>Traffic Monitoring and Analysis System (TMAS)</w:t>
      </w:r>
      <w:bookmarkEnd w:id="4039"/>
      <w:bookmarkEnd w:id="4040"/>
      <w:bookmarkEnd w:id="4041"/>
      <w:bookmarkEnd w:id="4042"/>
    </w:p>
    <w:p w14:paraId="0B54F47F" w14:textId="77777777" w:rsidR="003F7B9F" w:rsidRPr="009D4699" w:rsidRDefault="003F7B9F" w:rsidP="00A35EAF">
      <w:pPr>
        <w:pStyle w:val="BodyText"/>
      </w:pPr>
      <w:r w:rsidRPr="009D4699">
        <w:t>The FHWA Travel Monitoring Analysis System (TMAS) serves as the national traffic data repository and offers broad ranges of analytical functions. The current TMAS enables the production of the monthly Traffic Volume Trends (TVT) report and various outputs associated with the Vehicle Travel Information System (VTRIS). </w:t>
      </w:r>
    </w:p>
    <w:p w14:paraId="5534618F" w14:textId="0E501833" w:rsidR="003F7B9F" w:rsidRPr="009D4699" w:rsidRDefault="003F7B9F" w:rsidP="00A35EAF">
      <w:pPr>
        <w:pStyle w:val="BodyText"/>
      </w:pPr>
      <w:r w:rsidRPr="009D4699">
        <w:t xml:space="preserve">TMAS processes data from all 50 </w:t>
      </w:r>
      <w:r w:rsidR="007F7567">
        <w:t>S</w:t>
      </w:r>
      <w:r w:rsidRPr="009D4699">
        <w:t>tates and DC monthly. Currently there are over 6,000 volume, 2,800 classification</w:t>
      </w:r>
      <w:r w:rsidR="007F7567">
        <w:t>,</w:t>
      </w:r>
      <w:r w:rsidRPr="009D4699">
        <w:t xml:space="preserve"> and 600 weigh-in-motion permanent site data in TMAS. The TVT functionality estimates vehicle miles traveled by functional classification by utilizing both HPMS (yearly) and TMAS (monthly) data. TMAS provides a national consistent process and </w:t>
      </w:r>
      <w:r w:rsidR="007F7567">
        <w:t>QC</w:t>
      </w:r>
      <w:r w:rsidRPr="009D4699">
        <w:t xml:space="preserve"> approach to all TMG</w:t>
      </w:r>
      <w:r w:rsidR="007F7567">
        <w:t>-</w:t>
      </w:r>
      <w:r w:rsidRPr="009D4699">
        <w:t xml:space="preserve">formatted data. A complete list of </w:t>
      </w:r>
      <w:r w:rsidR="007F7567">
        <w:t>QC</w:t>
      </w:r>
      <w:r w:rsidRPr="009D4699">
        <w:t xml:space="preserve"> codes and QC methods for each data type is provided in </w:t>
      </w:r>
      <w:r w:rsidR="007F7567">
        <w:t>A</w:t>
      </w:r>
      <w:r w:rsidRPr="009D4699">
        <w:t>ppendix</w:t>
      </w:r>
      <w:r w:rsidR="007F7567">
        <w:t xml:space="preserve"> </w:t>
      </w:r>
      <w:r w:rsidR="00E15419">
        <w:t>M</w:t>
      </w:r>
      <w:r w:rsidRPr="009D4699">
        <w:t xml:space="preserve">. Data from other public entities other than </w:t>
      </w:r>
      <w:r w:rsidR="007F7567">
        <w:t>S</w:t>
      </w:r>
      <w:r w:rsidRPr="009D4699">
        <w:t>tate highway agencies can also be uploaded, processed, and stored with TMAS. To gain access rights to TMAS or data available from T</w:t>
      </w:r>
      <w:r>
        <w:t>M</w:t>
      </w:r>
      <w:r w:rsidRPr="009D4699">
        <w:t xml:space="preserve">AS, please contact the </w:t>
      </w:r>
      <w:r>
        <w:t>Office of Highway Policy Information</w:t>
      </w:r>
      <w:r w:rsidRPr="009D4699">
        <w:t>.</w:t>
      </w:r>
    </w:p>
    <w:p w14:paraId="558F9858" w14:textId="071D2090" w:rsidR="003F7B9F" w:rsidRPr="00DD6A68" w:rsidRDefault="003F7B9F" w:rsidP="00A35EAF">
      <w:pPr>
        <w:pStyle w:val="BodyText"/>
      </w:pPr>
      <w:r w:rsidRPr="00DD6A68">
        <w:t xml:space="preserve">The purpose of TMAS is to provide an online method for </w:t>
      </w:r>
      <w:r w:rsidR="007F7567">
        <w:t>S</w:t>
      </w:r>
      <w:r w:rsidRPr="00DD6A68">
        <w:t xml:space="preserve">tates to submit their station, volume, </w:t>
      </w:r>
      <w:r w:rsidR="0045795E" w:rsidRPr="00DD6A68">
        <w:t>classification,</w:t>
      </w:r>
      <w:r w:rsidRPr="00DD6A68">
        <w:t xml:space="preserve"> and weight data to FHWA. This section of the </w:t>
      </w:r>
      <w:r w:rsidRPr="005E416B">
        <w:rPr>
          <w:i/>
          <w:iCs/>
        </w:rPr>
        <w:t>TMG</w:t>
      </w:r>
      <w:r w:rsidRPr="00DD6A68">
        <w:t xml:space="preserve"> provides all the necessary FHWA TMAS data requirements for ensuring the highest quality traffic dataset. Developing and maintaining a quality data program is the most critical program activity that agencies perform</w:t>
      </w:r>
      <w:r w:rsidR="0043103F">
        <w:t xml:space="preserve"> and</w:t>
      </w:r>
      <w:r w:rsidRPr="00DD6A68">
        <w:t xml:space="preserve"> requires careful data evaluation and continuous data checking. Maintaining a quality data program helps agencies to provide customers with a quality dataset and helps to establish and ensure program resources are available for the data program. </w:t>
      </w:r>
    </w:p>
    <w:p w14:paraId="00D4494E" w14:textId="40089DF9" w:rsidR="003F7B9F" w:rsidRPr="00DD6A68" w:rsidRDefault="003F7B9F" w:rsidP="00A35EAF">
      <w:pPr>
        <w:pStyle w:val="BodyText"/>
      </w:pPr>
      <w:r w:rsidRPr="00DD6A68">
        <w:t xml:space="preserve">TMAS is FHWA’s data uploading, processing, validating, storing, and reporting traffic volume software system. TMAS has many customers and users organized into three categories including data providers, data users, and system administrators. The TMAS data requirements are critically important to </w:t>
      </w:r>
      <w:r w:rsidR="0043103F">
        <w:t>S</w:t>
      </w:r>
      <w:r w:rsidRPr="00DD6A68">
        <w:t>tate DOTs</w:t>
      </w:r>
      <w:r w:rsidR="0043103F">
        <w:t>,</w:t>
      </w:r>
      <w:r w:rsidRPr="00DD6A68">
        <w:t xml:space="preserve"> as well as other data providers to TMAS.</w:t>
      </w:r>
      <w:r w:rsidR="004D4172">
        <w:t xml:space="preserve"> </w:t>
      </w:r>
      <w:r w:rsidRPr="00DD6A68">
        <w:t xml:space="preserve">The most important report that TMAS supplies data to on a monthly basis is the TVT report that provides traffic volume data that </w:t>
      </w:r>
      <w:r w:rsidR="0043103F">
        <w:t>are</w:t>
      </w:r>
      <w:r w:rsidRPr="00DD6A68">
        <w:t xml:space="preserve"> summarize</w:t>
      </w:r>
      <w:r w:rsidR="0043103F">
        <w:t>d</w:t>
      </w:r>
      <w:r w:rsidRPr="00DD6A68">
        <w:t xml:space="preserve"> by geographic regional trends across the United States.</w:t>
      </w:r>
    </w:p>
    <w:p w14:paraId="6B0CE6F0" w14:textId="7CF90568" w:rsidR="003F7B9F" w:rsidRPr="00DD6A68" w:rsidRDefault="003F7B9F" w:rsidP="00A35EAF">
      <w:pPr>
        <w:pStyle w:val="BodyText"/>
      </w:pPr>
      <w:r w:rsidRPr="00DD6A68">
        <w:t>TMAS provides FHWA with a national traffic volume dataset. All traffic data currently provided from TMAS users and contributors comes from continuous counting stations that also suppl</w:t>
      </w:r>
      <w:r w:rsidR="0043103F">
        <w:t>y</w:t>
      </w:r>
      <w:r w:rsidRPr="00DD6A68">
        <w:t xml:space="preserve"> information to HPMS. Within the HPMS reporting requirements, TMAS traffic volume datasets allow for the calculation of many traffic volume statistics such as AADT), </w:t>
      </w:r>
      <w:r w:rsidR="002332BA">
        <w:t>K</w:t>
      </w:r>
      <w:r w:rsidRPr="00DD6A68">
        <w:t>-F</w:t>
      </w:r>
      <w:r w:rsidR="002332BA">
        <w:t>ACTOR</w:t>
      </w:r>
      <w:r w:rsidRPr="00DD6A68">
        <w:t xml:space="preserve"> (</w:t>
      </w:r>
      <w:r w:rsidR="00477D80">
        <w:t>design</w:t>
      </w:r>
      <w:r w:rsidRPr="00DD6A68">
        <w:t xml:space="preserve"> hour volume</w:t>
      </w:r>
      <w:r w:rsidR="0043103F">
        <w:t>)</w:t>
      </w:r>
      <w:r w:rsidRPr="00DD6A68">
        <w:t xml:space="preserve">, and </w:t>
      </w:r>
      <w:r w:rsidR="002332BA">
        <w:t>D</w:t>
      </w:r>
      <w:r w:rsidRPr="00DD6A68">
        <w:t>-F</w:t>
      </w:r>
      <w:r w:rsidR="002332BA">
        <w:t>ACTOR</w:t>
      </w:r>
      <w:r w:rsidRPr="00DD6A68">
        <w:t xml:space="preserve"> (directional distribution) traffic volume statistics. HPMS reporting allows FHWA to calculate </w:t>
      </w:r>
      <w:r w:rsidR="0043103F">
        <w:t>F</w:t>
      </w:r>
      <w:r w:rsidRPr="00DD6A68">
        <w:t xml:space="preserve">ederal highway funding formulas that allocate funds to </w:t>
      </w:r>
      <w:r w:rsidR="0043103F">
        <w:t>S</w:t>
      </w:r>
      <w:r w:rsidRPr="00DD6A68">
        <w:t>tate DOTs based on statewide traffic volumes and linear miles of roadway.</w:t>
      </w:r>
    </w:p>
    <w:p w14:paraId="69046877" w14:textId="79F3E223" w:rsidR="003F7B9F" w:rsidRPr="001546EF" w:rsidRDefault="003F7B9F">
      <w:pPr>
        <w:pStyle w:val="Heading3"/>
      </w:pPr>
      <w:bookmarkStart w:id="4043" w:name="_Toc65752901"/>
      <w:bookmarkStart w:id="4044" w:name="_Toc118205738"/>
      <w:r w:rsidRPr="001546EF">
        <w:t xml:space="preserve">TMAS </w:t>
      </w:r>
      <w:r w:rsidR="00961D1C">
        <w:t>R</w:t>
      </w:r>
      <w:r w:rsidRPr="001546EF">
        <w:t xml:space="preserve">equirements and </w:t>
      </w:r>
      <w:r w:rsidR="00961D1C">
        <w:t>F</w:t>
      </w:r>
      <w:r w:rsidRPr="001546EF">
        <w:t>eatures</w:t>
      </w:r>
      <w:bookmarkEnd w:id="4043"/>
      <w:bookmarkEnd w:id="4044"/>
      <w:r w:rsidR="004D4172">
        <w:t xml:space="preserve"> </w:t>
      </w:r>
    </w:p>
    <w:p w14:paraId="69289C88" w14:textId="48ECD32A" w:rsidR="003F7B9F" w:rsidRPr="00DD6A68" w:rsidRDefault="003F7B9F" w:rsidP="00A35EAF">
      <w:pPr>
        <w:pStyle w:val="BodyText"/>
      </w:pPr>
      <w:r w:rsidRPr="00DD6A68">
        <w:t xml:space="preserve">FHWA has developed TMAS to automatically provide feedback to the user using the most efficient and expeditious electronic methods possible. Providing feedback is critically important to ensuring the necessary collaborative communication between FHWA and the </w:t>
      </w:r>
      <w:r w:rsidR="00C712B2">
        <w:t>a</w:t>
      </w:r>
      <w:r w:rsidRPr="00DD6A68">
        <w:t>gency. For example, feedback to the data provider is automatically generated and sent to the data provider once data files are submitted and data files are processed in TMAS. The agency can print and save this feedback</w:t>
      </w:r>
      <w:r w:rsidR="00C712B2">
        <w:t>,</w:t>
      </w:r>
      <w:r w:rsidRPr="00DD6A68">
        <w:t xml:space="preserve"> helping the data provider keep track and demonstrate </w:t>
      </w:r>
      <w:r w:rsidR="00C712B2">
        <w:t>a</w:t>
      </w:r>
      <w:r w:rsidRPr="00DD6A68">
        <w:t xml:space="preserve">gency compliance with FHWA submittal requirements </w:t>
      </w:r>
      <w:r w:rsidR="00C712B2">
        <w:t xml:space="preserve">(e.g., </w:t>
      </w:r>
      <w:r w:rsidRPr="00DD6A68">
        <w:t>showing the submittal of data was completed by the 25th day of every month</w:t>
      </w:r>
      <w:r w:rsidR="00C712B2">
        <w:t>)</w:t>
      </w:r>
      <w:r w:rsidRPr="00DD6A68">
        <w:t>.</w:t>
      </w:r>
      <w:r w:rsidR="004D4172">
        <w:t xml:space="preserve"> </w:t>
      </w:r>
      <w:r w:rsidRPr="00DD6A68">
        <w:t xml:space="preserve">This feedback loop is also important for all agencies so that communication across </w:t>
      </w:r>
      <w:r w:rsidR="00C712B2">
        <w:t>F</w:t>
      </w:r>
      <w:r w:rsidRPr="00DD6A68">
        <w:t xml:space="preserve">ederal, </w:t>
      </w:r>
      <w:r w:rsidR="00C712B2">
        <w:t>S</w:t>
      </w:r>
      <w:r w:rsidRPr="00DD6A68">
        <w:t>tate</w:t>
      </w:r>
      <w:r w:rsidR="00C712B2">
        <w:t>,</w:t>
      </w:r>
      <w:r w:rsidRPr="00DD6A68">
        <w:t xml:space="preserve"> and other agencies continually occurs. TMAS historically has demonstrated that, as the TMAS features and communication tools are enhanced over time, more data </w:t>
      </w:r>
      <w:r w:rsidR="00C712B2">
        <w:t xml:space="preserve">are </w:t>
      </w:r>
      <w:r w:rsidRPr="00DD6A68">
        <w:t xml:space="preserve">submitted that </w:t>
      </w:r>
      <w:r w:rsidR="00C712B2">
        <w:t>are</w:t>
      </w:r>
      <w:r w:rsidR="00C712B2" w:rsidRPr="00DD6A68">
        <w:t xml:space="preserve"> </w:t>
      </w:r>
      <w:r w:rsidRPr="00DD6A68">
        <w:t xml:space="preserve">higher quality and pass more quality checks. </w:t>
      </w:r>
    </w:p>
    <w:p w14:paraId="5609FE8C" w14:textId="78516B7A" w:rsidR="003F7B9F" w:rsidRPr="00DD6A68" w:rsidRDefault="003F7B9F" w:rsidP="00A35EAF">
      <w:pPr>
        <w:pStyle w:val="BodyText"/>
      </w:pPr>
      <w:r w:rsidRPr="00DD6A68">
        <w:t>All data being either submitted to or extracted from TMA</w:t>
      </w:r>
      <w:r w:rsidR="00C712B2">
        <w:t>S</w:t>
      </w:r>
      <w:r w:rsidRPr="00DD6A68">
        <w:t xml:space="preserve"> requires both and FHWA approval.</w:t>
      </w:r>
      <w:r w:rsidR="004D4172">
        <w:t xml:space="preserve"> </w:t>
      </w:r>
    </w:p>
    <w:p w14:paraId="58772556" w14:textId="488E54EF" w:rsidR="003F7B9F" w:rsidRPr="00665B81" w:rsidRDefault="003F7B9F" w:rsidP="00A35EAF">
      <w:pPr>
        <w:pStyle w:val="BodyText"/>
      </w:pPr>
      <w:r>
        <w:lastRenderedPageBreak/>
        <w:t xml:space="preserve">Several reports can be generated using the TMAS system. For example, a daily volume report provides all the hours within a day of data that are loaded into the system to be displayed and formatted in a report that can be printed. Reports are organized by </w:t>
      </w:r>
      <w:r w:rsidR="00C712B2">
        <w:t>d</w:t>
      </w:r>
      <w:r>
        <w:t xml:space="preserve">aily, </w:t>
      </w:r>
      <w:r w:rsidR="00C712B2">
        <w:t>m</w:t>
      </w:r>
      <w:r>
        <w:t xml:space="preserve">onthly, or </w:t>
      </w:r>
      <w:r w:rsidR="00C712B2">
        <w:t>a</w:t>
      </w:r>
      <w:r>
        <w:t>nnual reporting and can be generated for any site that contains data that passed all TMAS system checks.</w:t>
      </w:r>
    </w:p>
    <w:p w14:paraId="6DE04455" w14:textId="77777777" w:rsidR="003F7B9F" w:rsidRPr="00ED2A81" w:rsidRDefault="003F7B9F" w:rsidP="00A35EAF">
      <w:pPr>
        <w:pStyle w:val="BodyText"/>
        <w:rPr>
          <w:rFonts w:ascii="Cambria" w:hAnsi="Cambria"/>
          <w:b/>
          <w:bCs/>
        </w:rPr>
      </w:pPr>
      <w:r w:rsidRPr="00ED2A81">
        <w:rPr>
          <w:rFonts w:ascii="Cambria" w:hAnsi="Cambria"/>
          <w:b/>
          <w:bCs/>
        </w:rPr>
        <w:t>Daily Traffic for Daily, Monthly, and Annual Volume Data</w:t>
      </w:r>
    </w:p>
    <w:p w14:paraId="4FAA66E4" w14:textId="5DC53B24" w:rsidR="003F7B9F" w:rsidRPr="00003792" w:rsidRDefault="003F7B9F" w:rsidP="00A35EAF">
      <w:pPr>
        <w:pStyle w:val="BodyText"/>
      </w:pPr>
      <w:r w:rsidRPr="00003792">
        <w:t>State DOTs collect traffic volume data and perform validation processing (quality assurance and quality checking – QA</w:t>
      </w:r>
      <w:r w:rsidR="00BD5364">
        <w:t>/</w:t>
      </w:r>
      <w:r w:rsidRPr="00003792">
        <w:t xml:space="preserve">QC) of the data from continuous counting stations. </w:t>
      </w:r>
      <w:r w:rsidR="00BD5364">
        <w:t>These</w:t>
      </w:r>
      <w:r w:rsidR="00BD5364" w:rsidRPr="00003792">
        <w:t xml:space="preserve"> </w:t>
      </w:r>
      <w:r w:rsidRPr="00003792">
        <w:t>data can be collected, stored, and processed by</w:t>
      </w:r>
      <w:r>
        <w:t xml:space="preserve"> individual</w:t>
      </w:r>
      <w:r w:rsidRPr="00003792">
        <w:t xml:space="preserve"> vehicle record recording every event of a vehicle or a total number of vehicles by hour. After performing validation processing, the data </w:t>
      </w:r>
      <w:r w:rsidR="00BD5364">
        <w:t>are</w:t>
      </w:r>
      <w:r w:rsidR="00BD5364" w:rsidRPr="00003792">
        <w:t xml:space="preserve"> </w:t>
      </w:r>
      <w:r w:rsidRPr="00003792">
        <w:t>uploaded to FHWA’s TMAS software for further evaluation, data processing, storage, and reporting.</w:t>
      </w:r>
    </w:p>
    <w:p w14:paraId="573A15F7" w14:textId="1A4C1E07" w:rsidR="003F7B9F" w:rsidRPr="00003792" w:rsidRDefault="003F7B9F" w:rsidP="00A35EAF">
      <w:pPr>
        <w:pStyle w:val="BodyText"/>
      </w:pPr>
      <w:r w:rsidRPr="00003792">
        <w:t xml:space="preserve">State DOTs upload daily traffic volume data that </w:t>
      </w:r>
      <w:r w:rsidR="00BD5364">
        <w:t>are</w:t>
      </w:r>
      <w:r w:rsidR="00BD5364" w:rsidRPr="00003792">
        <w:t xml:space="preserve"> </w:t>
      </w:r>
      <w:r w:rsidRPr="00003792">
        <w:t xml:space="preserve">then averaged to create a Monthly Average Daily Traffic (MADT) statistic. MADTs are used in the </w:t>
      </w:r>
      <w:r>
        <w:t xml:space="preserve">TVT </w:t>
      </w:r>
      <w:r w:rsidRPr="00003792">
        <w:t>report to calculate vehicle miles traveled by month.</w:t>
      </w:r>
      <w:r w:rsidR="004D4172">
        <w:t xml:space="preserve"> </w:t>
      </w:r>
      <w:r w:rsidRPr="00003792">
        <w:t xml:space="preserve">All TVT </w:t>
      </w:r>
      <w:r w:rsidR="00BD5364">
        <w:t>r</w:t>
      </w:r>
      <w:r w:rsidRPr="00003792">
        <w:t>eports are</w:t>
      </w:r>
      <w:r>
        <w:t xml:space="preserve"> organized by month of the year and are available to </w:t>
      </w:r>
      <w:r w:rsidR="00621C08">
        <w:t>S</w:t>
      </w:r>
      <w:r>
        <w:t>tat</w:t>
      </w:r>
      <w:r w:rsidR="00BD5364">
        <w:t>e</w:t>
      </w:r>
      <w:r>
        <w:t xml:space="preserve"> DOTs.</w:t>
      </w:r>
    </w:p>
    <w:p w14:paraId="6A69761A" w14:textId="5029E71E" w:rsidR="003F7B9F" w:rsidRDefault="003F7B9F" w:rsidP="00A35EAF">
      <w:pPr>
        <w:pStyle w:val="BodyText"/>
      </w:pPr>
      <w:r w:rsidRPr="00003792">
        <w:t xml:space="preserve">State DOTs collect daily and monthly traffic volume data that </w:t>
      </w:r>
      <w:r w:rsidR="00621C08">
        <w:t>are</w:t>
      </w:r>
      <w:r w:rsidR="00621C08" w:rsidRPr="00003792">
        <w:t xml:space="preserve"> </w:t>
      </w:r>
      <w:r w:rsidRPr="00003792">
        <w:t xml:space="preserve">then analyzed and processed for annual statistical calculations such as the </w:t>
      </w:r>
      <w:r w:rsidR="00621C08">
        <w:t>K</w:t>
      </w:r>
      <w:r w:rsidRPr="00003792">
        <w:t>-factor (</w:t>
      </w:r>
      <w:r w:rsidR="00477D80">
        <w:t>design</w:t>
      </w:r>
      <w:r w:rsidRPr="00003792">
        <w:t xml:space="preserve"> hour that is typically the 30</w:t>
      </w:r>
      <w:r w:rsidRPr="005E416B">
        <w:rPr>
          <w:vertAlign w:val="superscript"/>
        </w:rPr>
        <w:t>th</w:t>
      </w:r>
      <w:r w:rsidRPr="00003792">
        <w:t xml:space="preserve"> highest hourly volume of the year).</w:t>
      </w:r>
      <w:r w:rsidR="004D4172">
        <w:t xml:space="preserve"> </w:t>
      </w:r>
      <w:r w:rsidRPr="00003792">
        <w:t xml:space="preserve">Although the TVT </w:t>
      </w:r>
      <w:r w:rsidR="00621C08">
        <w:t>r</w:t>
      </w:r>
      <w:r w:rsidRPr="00003792">
        <w:t>eport does not report annual traffic volume statistics, the TVT provides all monthly traffic volume data by year.</w:t>
      </w:r>
      <w:r w:rsidR="004D4172">
        <w:t xml:space="preserve"> </w:t>
      </w:r>
    </w:p>
    <w:p w14:paraId="6AE4A753" w14:textId="77777777" w:rsidR="003F7B9F" w:rsidRPr="00ED2A81" w:rsidRDefault="003F7B9F" w:rsidP="00A35EAF">
      <w:pPr>
        <w:pStyle w:val="BodyText"/>
        <w:rPr>
          <w:rFonts w:ascii="Cambria" w:hAnsi="Cambria"/>
          <w:b/>
          <w:bCs/>
        </w:rPr>
      </w:pPr>
      <w:r w:rsidRPr="00ED2A81">
        <w:rPr>
          <w:rFonts w:ascii="Cambria" w:hAnsi="Cambria"/>
          <w:b/>
          <w:bCs/>
        </w:rPr>
        <w:t>TMAS Data for Travel Volume Trends Reporting</w:t>
      </w:r>
    </w:p>
    <w:p w14:paraId="0A97659E" w14:textId="77777777" w:rsidR="00163ED5" w:rsidRDefault="003F7B9F" w:rsidP="00A35EAF">
      <w:pPr>
        <w:pStyle w:val="BodyText"/>
      </w:pPr>
      <w:r w:rsidRPr="00E86F48">
        <w:rPr>
          <w:i/>
          <w:iCs/>
        </w:rPr>
        <w:t>Traffic Volume Trends</w:t>
      </w:r>
      <w:r w:rsidRPr="00003792">
        <w:t xml:space="preserve"> is a monthly report based on hourly traffic count data reported by the </w:t>
      </w:r>
      <w:r w:rsidR="00621C08">
        <w:t>S</w:t>
      </w:r>
      <w:r w:rsidRPr="00003792">
        <w:t xml:space="preserve">tates. These data are collected at approximately 5,000 continuous traffic counting locations nationwide and are used to estimate the percent change in traffic for the current month compared with the same month in the previous year. Estimates are re-adjusted annually to match the vehicle miles of travel from the </w:t>
      </w:r>
      <w:r w:rsidR="00621C08">
        <w:t>HPMS</w:t>
      </w:r>
      <w:r w:rsidRPr="00003792">
        <w:t xml:space="preserve"> and are continually updated with additional data. All </w:t>
      </w:r>
      <w:r w:rsidRPr="00E86F48">
        <w:rPr>
          <w:i/>
          <w:iCs/>
        </w:rPr>
        <w:t>Travel Volume Trend</w:t>
      </w:r>
      <w:r w:rsidRPr="00003792">
        <w:t xml:space="preserve"> reports can be </w:t>
      </w:r>
      <w:r>
        <w:t xml:space="preserve">accessed via </w:t>
      </w:r>
      <w:r w:rsidRPr="00003792">
        <w:t>the Office</w:t>
      </w:r>
      <w:r>
        <w:t xml:space="preserve"> of Highway Policy Information </w:t>
      </w:r>
      <w:r w:rsidR="00621C08">
        <w:t>web</w:t>
      </w:r>
      <w:r w:rsidRPr="00003792">
        <w:t>site</w:t>
      </w:r>
      <w:r>
        <w:t>.</w:t>
      </w:r>
      <w:r w:rsidRPr="00003792">
        <w:t xml:space="preserve"> </w:t>
      </w:r>
    </w:p>
    <w:p w14:paraId="4EA754F6" w14:textId="77777777" w:rsidR="00163ED5" w:rsidRDefault="00163ED5" w:rsidP="00A35EAF">
      <w:pPr>
        <w:pStyle w:val="BodyText"/>
      </w:pPr>
    </w:p>
    <w:p w14:paraId="2216B700" w14:textId="77777777" w:rsidR="00163ED5" w:rsidRPr="004C0E95" w:rsidRDefault="00163ED5">
      <w:pPr>
        <w:pStyle w:val="Heading1"/>
        <w:sectPr w:rsidR="00163ED5" w:rsidRPr="004C0E95" w:rsidSect="00835BDC">
          <w:headerReference w:type="even" r:id="rId259"/>
          <w:headerReference w:type="default" r:id="rId260"/>
          <w:footerReference w:type="even" r:id="rId261"/>
          <w:footerReference w:type="default" r:id="rId262"/>
          <w:headerReference w:type="first" r:id="rId263"/>
          <w:footerReference w:type="first" r:id="rId264"/>
          <w:pgSz w:w="12240" w:h="15840" w:code="1"/>
          <w:pgMar w:top="1440" w:right="1440" w:bottom="1152" w:left="1440" w:header="720" w:footer="576" w:gutter="0"/>
          <w:pgNumType w:start="1" w:chapStyle="1"/>
          <w:cols w:space="720"/>
          <w:titlePg/>
          <w:docGrid w:linePitch="360"/>
        </w:sectPr>
      </w:pPr>
      <w:bookmarkStart w:id="4045" w:name="_Toc54869924"/>
      <w:bookmarkStart w:id="4046" w:name="_Toc54869968"/>
      <w:bookmarkStart w:id="4047" w:name="_Toc54870250"/>
      <w:bookmarkStart w:id="4048" w:name="_Toc54870295"/>
      <w:bookmarkStart w:id="4049" w:name="_Toc54870552"/>
      <w:bookmarkStart w:id="4050" w:name="_Toc54870644"/>
      <w:bookmarkStart w:id="4051" w:name="_Toc54870714"/>
      <w:bookmarkStart w:id="4052" w:name="_Toc54870818"/>
      <w:bookmarkStart w:id="4053" w:name="_Toc54870885"/>
      <w:bookmarkStart w:id="4054" w:name="_Toc54877859"/>
      <w:bookmarkStart w:id="4055" w:name="_Toc54877890"/>
      <w:bookmarkStart w:id="4056" w:name="_Toc54878180"/>
      <w:bookmarkStart w:id="4057" w:name="_Toc54878242"/>
      <w:bookmarkStart w:id="4058" w:name="_Toc54878990"/>
      <w:bookmarkStart w:id="4059" w:name="_Toc54880160"/>
      <w:bookmarkStart w:id="4060" w:name="_Toc54881437"/>
      <w:bookmarkStart w:id="4061" w:name="_Toc54945681"/>
      <w:bookmarkStart w:id="4062" w:name="_Toc54946987"/>
      <w:bookmarkStart w:id="4063" w:name="_Toc54947956"/>
      <w:bookmarkStart w:id="4064" w:name="_Toc56080637"/>
      <w:bookmarkStart w:id="4065" w:name="_Toc56080694"/>
      <w:bookmarkStart w:id="4066" w:name="_Toc56081620"/>
      <w:bookmarkStart w:id="4067" w:name="_Toc56084795"/>
      <w:bookmarkStart w:id="4068" w:name="_Toc56086595"/>
      <w:bookmarkStart w:id="4069" w:name="_Toc56505510"/>
      <w:bookmarkStart w:id="4070" w:name="_Toc56507473"/>
      <w:bookmarkStart w:id="4071" w:name="_Toc56510121"/>
      <w:bookmarkStart w:id="4072" w:name="_Toc56512640"/>
      <w:bookmarkStart w:id="4073" w:name="_Toc56513960"/>
      <w:bookmarkStart w:id="4074" w:name="_Toc56514013"/>
      <w:bookmarkStart w:id="4075" w:name="_Toc56514104"/>
      <w:bookmarkStart w:id="4076" w:name="_Toc64567719"/>
      <w:bookmarkStart w:id="4077" w:name="_Toc64568447"/>
      <w:bookmarkStart w:id="4078" w:name="_Toc64568639"/>
      <w:bookmarkStart w:id="4079" w:name="_Toc64569150"/>
      <w:bookmarkStart w:id="4080" w:name="_Toc64569396"/>
      <w:bookmarkStart w:id="4081" w:name="_Toc64569589"/>
      <w:bookmarkStart w:id="4082" w:name="_Toc64569782"/>
      <w:bookmarkStart w:id="4083" w:name="_Toc64569974"/>
      <w:bookmarkStart w:id="4084" w:name="_Toc64570185"/>
      <w:bookmarkStart w:id="4085" w:name="_Toc64570435"/>
      <w:bookmarkStart w:id="4086" w:name="_Toc64570632"/>
      <w:bookmarkStart w:id="4087" w:name="_Toc64570829"/>
      <w:bookmarkStart w:id="4088" w:name="_Toc65494663"/>
      <w:bookmarkStart w:id="4089" w:name="_Toc65494703"/>
      <w:bookmarkStart w:id="4090" w:name="_Toc68700587"/>
      <w:bookmarkStart w:id="4091" w:name="_Toc68700965"/>
      <w:bookmarkStart w:id="4092" w:name="_Toc68798880"/>
      <w:bookmarkStart w:id="4093" w:name="_Toc68799104"/>
      <w:bookmarkStart w:id="4094" w:name="_Toc68801017"/>
      <w:bookmarkStart w:id="4095" w:name="_Toc68802088"/>
      <w:bookmarkStart w:id="4096" w:name="_Toc68806476"/>
      <w:bookmarkStart w:id="4097" w:name="_Toc68806699"/>
      <w:bookmarkStart w:id="4098" w:name="_Toc68806921"/>
      <w:bookmarkStart w:id="4099" w:name="_Toc68862943"/>
      <w:bookmarkStart w:id="4100" w:name="_Toc68864713"/>
      <w:bookmarkStart w:id="4101" w:name="_Toc68864983"/>
      <w:bookmarkStart w:id="4102" w:name="_Toc68866485"/>
      <w:bookmarkStart w:id="4103" w:name="_Toc68888531"/>
      <w:bookmarkStart w:id="4104" w:name="_Toc68951064"/>
      <w:bookmarkStart w:id="4105" w:name="_Toc68951719"/>
      <w:bookmarkStart w:id="4106" w:name="_Toc68951795"/>
      <w:bookmarkStart w:id="4107" w:name="_Toc68951871"/>
      <w:bookmarkStart w:id="4108" w:name="_Toc68951947"/>
      <w:bookmarkStart w:id="4109" w:name="_Toc68952023"/>
      <w:bookmarkStart w:id="4110" w:name="_Toc69387176"/>
      <w:bookmarkStart w:id="4111" w:name="_Toc75706495"/>
      <w:bookmarkStart w:id="4112" w:name="_Toc76042246"/>
      <w:bookmarkStart w:id="4113" w:name="_Toc76042321"/>
      <w:bookmarkStart w:id="4114" w:name="_Toc76047671"/>
      <w:bookmarkStart w:id="4115" w:name="_Toc76049127"/>
      <w:bookmarkStart w:id="4116" w:name="_Toc114474768"/>
      <w:bookmarkStart w:id="4117" w:name="_Toc114474769"/>
      <w:bookmarkStart w:id="4118" w:name="_Toc56514105"/>
      <w:bookmarkStart w:id="4119" w:name="_Toc64534778"/>
      <w:bookmarkStart w:id="4120" w:name="_Toc64567720"/>
      <w:bookmarkStart w:id="4121" w:name="_Toc6549470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p>
    <w:p w14:paraId="32432CF5" w14:textId="6E285B50" w:rsidR="004B43EC" w:rsidRPr="004C0E95" w:rsidRDefault="004B43EC">
      <w:pPr>
        <w:pStyle w:val="Heading1"/>
      </w:pPr>
      <w:bookmarkStart w:id="4122" w:name="_Toc114485838"/>
      <w:bookmarkStart w:id="4123" w:name="_Toc114488089"/>
      <w:bookmarkStart w:id="4124" w:name="_Toc118205739"/>
      <w:r w:rsidRPr="004C0E95">
        <w:lastRenderedPageBreak/>
        <w:t>Third-Party Traffic Data</w:t>
      </w:r>
      <w:bookmarkEnd w:id="4117"/>
      <w:bookmarkEnd w:id="4122"/>
      <w:bookmarkEnd w:id="4123"/>
      <w:bookmarkEnd w:id="4124"/>
    </w:p>
    <w:p w14:paraId="35921CA4" w14:textId="32C15CEA" w:rsidR="004B43EC" w:rsidRPr="00A96106" w:rsidRDefault="004B43EC" w:rsidP="00A35EAF">
      <w:pPr>
        <w:pStyle w:val="BodyText"/>
      </w:pPr>
      <w:r w:rsidRPr="00A96106">
        <w:t xml:space="preserve">Third-party traffic data refers to traffic data collected by entities without following </w:t>
      </w:r>
      <w:r w:rsidRPr="00F374BF">
        <w:t xml:space="preserve">the </w:t>
      </w:r>
      <w:bookmarkStart w:id="4125" w:name="_Hlk76106567"/>
      <w:r w:rsidR="00F374BF">
        <w:rPr>
          <w:i/>
          <w:iCs/>
        </w:rPr>
        <w:t>TMG)</w:t>
      </w:r>
      <w:r w:rsidRPr="00F374BF">
        <w:rPr>
          <w:i/>
          <w:iCs/>
        </w:rPr>
        <w:t>, AASHTO Guidelines for Traffic Data Programs</w:t>
      </w:r>
      <w:bookmarkEnd w:id="4125"/>
      <w:r w:rsidR="00F374BF" w:rsidRPr="00F374BF">
        <w:rPr>
          <w:i/>
          <w:iCs/>
        </w:rPr>
        <w:t xml:space="preserve"> </w:t>
      </w:r>
      <w:r w:rsidR="00F374BF" w:rsidRPr="00F374BF">
        <w:t>(AASHTO 2009)</w:t>
      </w:r>
      <w:r w:rsidRPr="00F374BF">
        <w:t>, and State highway agency established written procedures. Such data often rel</w:t>
      </w:r>
      <w:r w:rsidR="00621C08">
        <w:t>y</w:t>
      </w:r>
      <w:r w:rsidRPr="00F374BF">
        <w:t xml:space="preserve"> on alternative technologies, data analytics, and modeling under the name of big data and big data analytics. </w:t>
      </w:r>
      <w:bookmarkStart w:id="4126" w:name="_Hlk73957589"/>
      <w:r w:rsidRPr="00F374BF">
        <w:t>When a Federal, State</w:t>
      </w:r>
      <w:r w:rsidRPr="00A96106">
        <w:t xml:space="preserve">, or local transportation agency is planning to acquire such data for its transportation program and project development, the agency </w:t>
      </w:r>
      <w:r>
        <w:t xml:space="preserve">should </w:t>
      </w:r>
      <w:r w:rsidRPr="00A96106">
        <w:t xml:space="preserve">take a comprehensive review </w:t>
      </w:r>
      <w:bookmarkEnd w:id="4126"/>
      <w:r w:rsidRPr="00A96106">
        <w:t>on</w:t>
      </w:r>
      <w:r>
        <w:t>:</w:t>
      </w:r>
      <w:r w:rsidRPr="00A96106">
        <w:t xml:space="preserve"> (a) data needs </w:t>
      </w:r>
      <w:r>
        <w:t>with</w:t>
      </w:r>
      <w:r w:rsidRPr="00A96106">
        <w:t xml:space="preserve">in </w:t>
      </w:r>
      <w:r w:rsidR="00621C08">
        <w:t>the</w:t>
      </w:r>
      <w:r w:rsidR="00621C08" w:rsidRPr="00A96106">
        <w:t xml:space="preserve"> </w:t>
      </w:r>
      <w:r w:rsidRPr="00A96106">
        <w:t>agency</w:t>
      </w:r>
      <w:r>
        <w:t>’s</w:t>
      </w:r>
      <w:r w:rsidRPr="00A96106">
        <w:t xml:space="preserve"> different offices, (b) data quality, (c) data ownership, and (d) data cost.</w:t>
      </w:r>
    </w:p>
    <w:p w14:paraId="41617D78" w14:textId="1D43EFDF" w:rsidR="004B43EC" w:rsidRPr="001546EF" w:rsidRDefault="004B43EC">
      <w:pPr>
        <w:pStyle w:val="Heading2"/>
      </w:pPr>
      <w:bookmarkStart w:id="4127" w:name="_Toc114474770"/>
      <w:bookmarkStart w:id="4128" w:name="_Toc114485839"/>
      <w:bookmarkStart w:id="4129" w:name="_Toc114488090"/>
      <w:bookmarkStart w:id="4130" w:name="_Toc118205740"/>
      <w:r w:rsidRPr="001546EF">
        <w:t>Data Needs</w:t>
      </w:r>
      <w:bookmarkEnd w:id="4127"/>
      <w:bookmarkEnd w:id="4128"/>
      <w:bookmarkEnd w:id="4129"/>
      <w:bookmarkEnd w:id="4130"/>
    </w:p>
    <w:p w14:paraId="1AF6B7AC" w14:textId="29181419" w:rsidR="004B43EC" w:rsidRPr="00A96106" w:rsidRDefault="00621C08" w:rsidP="00A35EAF">
      <w:pPr>
        <w:pStyle w:val="BodyText"/>
      </w:pPr>
      <w:r>
        <w:t>An</w:t>
      </w:r>
      <w:r w:rsidRPr="00A96106">
        <w:t xml:space="preserve"> </w:t>
      </w:r>
      <w:r w:rsidR="004B43EC" w:rsidRPr="00A96106">
        <w:t xml:space="preserve">agency’s data needs are the drivers for collecting and acquiring traffic and travel data. Before considering acquiring any third-party data, it is critical to assess what data </w:t>
      </w:r>
      <w:r>
        <w:t>the</w:t>
      </w:r>
      <w:r w:rsidRPr="00A96106">
        <w:t xml:space="preserve"> </w:t>
      </w:r>
      <w:r w:rsidR="004B43EC" w:rsidRPr="00A96106">
        <w:t>agency currently possess</w:t>
      </w:r>
      <w:r w:rsidR="004B43EC">
        <w:t>es</w:t>
      </w:r>
      <w:r w:rsidR="004B43EC" w:rsidRPr="00A96106">
        <w:t xml:space="preserve"> and understand how such data are collected, stored, and disseminated. </w:t>
      </w:r>
      <w:r w:rsidR="00496998">
        <w:t xml:space="preserve">No further efforts regarding third-party data should occur until </w:t>
      </w:r>
      <w:r w:rsidR="004B43EC" w:rsidRPr="00A96106">
        <w:t>such an inventory is done.</w:t>
      </w:r>
    </w:p>
    <w:p w14:paraId="0842CF6C" w14:textId="74DBDEA9" w:rsidR="004B43EC" w:rsidRPr="00A96106" w:rsidRDefault="004B43EC" w:rsidP="00A35EAF">
      <w:pPr>
        <w:pStyle w:val="BodyText"/>
      </w:pPr>
      <w:r w:rsidRPr="00A96106">
        <w:t xml:space="preserve">There are three scenarios </w:t>
      </w:r>
      <w:r w:rsidR="00496998">
        <w:t>that</w:t>
      </w:r>
      <w:r w:rsidR="00496998" w:rsidRPr="00A96106">
        <w:t xml:space="preserve"> </w:t>
      </w:r>
      <w:r w:rsidRPr="00A96106">
        <w:t xml:space="preserve">may </w:t>
      </w:r>
      <w:r w:rsidR="00496998">
        <w:t xml:space="preserve">be </w:t>
      </w:r>
      <w:r w:rsidRPr="00A96106">
        <w:t>encounter</w:t>
      </w:r>
      <w:r w:rsidR="00496998">
        <w:t>ed</w:t>
      </w:r>
      <w:r w:rsidRPr="00A96106">
        <w:t xml:space="preserve"> during </w:t>
      </w:r>
      <w:r w:rsidR="00496998">
        <w:t>the</w:t>
      </w:r>
      <w:r w:rsidR="00496998" w:rsidRPr="00A96106">
        <w:t xml:space="preserve"> </w:t>
      </w:r>
      <w:r w:rsidRPr="00A96106">
        <w:t xml:space="preserve">inventory process. The first scenario is that </w:t>
      </w:r>
      <w:r w:rsidR="00496998">
        <w:t>the</w:t>
      </w:r>
      <w:r w:rsidR="00496998" w:rsidRPr="00A96106">
        <w:t xml:space="preserve"> </w:t>
      </w:r>
      <w:r w:rsidRPr="00A96106">
        <w:t xml:space="preserve">agency does not possess the needed data. The second case is that </w:t>
      </w:r>
      <w:r w:rsidR="00496998">
        <w:t>the</w:t>
      </w:r>
      <w:r w:rsidR="00496998" w:rsidRPr="00A96106">
        <w:t xml:space="preserve"> </w:t>
      </w:r>
      <w:r w:rsidRPr="00A96106">
        <w:t>agency does have the data but would like to determine whether the third-party data is a</w:t>
      </w:r>
      <w:r>
        <w:t xml:space="preserve"> more</w:t>
      </w:r>
      <w:r w:rsidRPr="00A96106">
        <w:t xml:space="preserve"> effective route for acquir</w:t>
      </w:r>
      <w:r w:rsidR="00496998">
        <w:t>ing</w:t>
      </w:r>
      <w:r w:rsidRPr="00A96106">
        <w:t xml:space="preserve"> such data. The third scenario is that </w:t>
      </w:r>
      <w:r w:rsidR="00496998">
        <w:t>the</w:t>
      </w:r>
      <w:r w:rsidR="00496998" w:rsidRPr="00A96106">
        <w:t xml:space="preserve"> </w:t>
      </w:r>
      <w:r w:rsidRPr="00A96106">
        <w:t xml:space="preserve">agency does have the data and </w:t>
      </w:r>
      <w:r w:rsidR="00496998">
        <w:t>is</w:t>
      </w:r>
      <w:r w:rsidRPr="00A96106">
        <w:t xml:space="preserve"> not planning to pursue any further with the third-party data. </w:t>
      </w:r>
    </w:p>
    <w:p w14:paraId="7E5CFA14" w14:textId="19F60CFA" w:rsidR="004B43EC" w:rsidRPr="00A96106" w:rsidRDefault="004B43EC" w:rsidP="00A35EAF">
      <w:pPr>
        <w:pStyle w:val="BodyText"/>
      </w:pPr>
      <w:r w:rsidRPr="00A96106">
        <w:t xml:space="preserve">When faced with scenarios one and two, </w:t>
      </w:r>
      <w:r w:rsidR="00496998">
        <w:t>the agency</w:t>
      </w:r>
      <w:r w:rsidR="00496998" w:rsidRPr="00A96106">
        <w:t xml:space="preserve"> </w:t>
      </w:r>
      <w:r w:rsidRPr="00A96106">
        <w:t>should coordinate with other agency units and offices (e.g.,</w:t>
      </w:r>
      <w:r w:rsidR="00E748D7">
        <w:t> </w:t>
      </w:r>
      <w:r w:rsidRPr="00A96106">
        <w:t>planning’s modeling and forecasting office, NEPA and project development offices, design offices, asset management offices, freight program offices, operations, ITS, Federal-aid office</w:t>
      </w:r>
      <w:r>
        <w:t>, construction office for maintenance of traffic decisions</w:t>
      </w:r>
      <w:r w:rsidRPr="00A96106">
        <w:t xml:space="preserve">) to refine the needs of the data regarding the exact nature of the data item. An understanding of </w:t>
      </w:r>
      <w:r>
        <w:t xml:space="preserve">the needs for each </w:t>
      </w:r>
      <w:r w:rsidRPr="00A96106">
        <w:t xml:space="preserve">unit, office, and/or program </w:t>
      </w:r>
      <w:r>
        <w:t xml:space="preserve">for </w:t>
      </w:r>
      <w:r w:rsidRPr="00A96106">
        <w:t xml:space="preserve">a specified data item and how often this data item is needed will put </w:t>
      </w:r>
      <w:r w:rsidR="00496998">
        <w:t>the</w:t>
      </w:r>
      <w:r w:rsidR="00496998" w:rsidRPr="00A96106">
        <w:t xml:space="preserve"> </w:t>
      </w:r>
      <w:r w:rsidRPr="00A96106">
        <w:t xml:space="preserve">data collection and acquisition on a solid path forward. </w:t>
      </w:r>
    </w:p>
    <w:p w14:paraId="31B6B634" w14:textId="1784C67B" w:rsidR="004B43EC" w:rsidRPr="00A96106" w:rsidRDefault="004B43EC" w:rsidP="00A35EAF">
      <w:pPr>
        <w:pStyle w:val="BodyText"/>
      </w:pPr>
      <w:r w:rsidRPr="00A96106">
        <w:t xml:space="preserve">Remember, data needs are the </w:t>
      </w:r>
      <w:r>
        <w:t xml:space="preserve">main </w:t>
      </w:r>
      <w:r w:rsidRPr="00A96106">
        <w:t xml:space="preserve">driver for all other actions. The goal of this coordination step is to ensure that only the needed data are acquired. Once the data </w:t>
      </w:r>
      <w:r>
        <w:t>are</w:t>
      </w:r>
      <w:r w:rsidRPr="00A96106">
        <w:t xml:space="preserve"> acquired, </w:t>
      </w:r>
      <w:r w:rsidR="00496998">
        <w:t>they</w:t>
      </w:r>
      <w:r w:rsidR="00496998" w:rsidRPr="00A96106">
        <w:t xml:space="preserve"> </w:t>
      </w:r>
      <w:r>
        <w:t xml:space="preserve">can and </w:t>
      </w:r>
      <w:r w:rsidRPr="00A96106">
        <w:t xml:space="preserve">will meet expectations and will be fully utilized by all </w:t>
      </w:r>
      <w:r>
        <w:t xml:space="preserve">necessary </w:t>
      </w:r>
      <w:r w:rsidRPr="00A96106">
        <w:t xml:space="preserve">offices and units, achieving the goals of acquiring </w:t>
      </w:r>
      <w:r>
        <w:t>the data properly</w:t>
      </w:r>
      <w:r w:rsidRPr="00A96106">
        <w:t xml:space="preserve"> once and using </w:t>
      </w:r>
      <w:r w:rsidR="00496998">
        <w:t>them</w:t>
      </w:r>
      <w:r w:rsidR="00496998" w:rsidRPr="00A96106">
        <w:t xml:space="preserve"> </w:t>
      </w:r>
      <w:r w:rsidRPr="00A96106">
        <w:t>multiple times by multiple users.</w:t>
      </w:r>
      <w:r w:rsidR="004D4172">
        <w:t xml:space="preserve"> </w:t>
      </w:r>
    </w:p>
    <w:p w14:paraId="4978B877" w14:textId="77777777" w:rsidR="004B43EC" w:rsidRPr="00163ED5" w:rsidRDefault="004B43EC">
      <w:pPr>
        <w:pStyle w:val="Heading2"/>
      </w:pPr>
      <w:bookmarkStart w:id="4131" w:name="_Toc114474771"/>
      <w:bookmarkStart w:id="4132" w:name="_Toc114485840"/>
      <w:bookmarkStart w:id="4133" w:name="_Toc114488091"/>
      <w:bookmarkStart w:id="4134" w:name="_Toc118205741"/>
      <w:r w:rsidRPr="00163ED5">
        <w:t xml:space="preserve">Data </w:t>
      </w:r>
      <w:r w:rsidRPr="001546EF">
        <w:t>Quality</w:t>
      </w:r>
      <w:bookmarkEnd w:id="4131"/>
      <w:bookmarkEnd w:id="4132"/>
      <w:bookmarkEnd w:id="4133"/>
      <w:bookmarkEnd w:id="4134"/>
    </w:p>
    <w:p w14:paraId="1A3FD5AE" w14:textId="51E3EF55" w:rsidR="004B43EC" w:rsidRPr="00A96106" w:rsidRDefault="004B43EC" w:rsidP="00A35EAF">
      <w:pPr>
        <w:pStyle w:val="BodyText"/>
      </w:pPr>
      <w:r w:rsidRPr="00A96106">
        <w:t xml:space="preserve">Given </w:t>
      </w:r>
      <w:r>
        <w:t xml:space="preserve">that </w:t>
      </w:r>
      <w:r w:rsidRPr="00A96106">
        <w:t xml:space="preserve">the data being considered for acquisition is out of </w:t>
      </w:r>
      <w:r w:rsidR="00496998">
        <w:t>the agency’s</w:t>
      </w:r>
      <w:r w:rsidR="00496998" w:rsidRPr="00A96106">
        <w:t xml:space="preserve"> </w:t>
      </w:r>
      <w:r w:rsidRPr="00A96106">
        <w:t xml:space="preserve">jurisdiction regarding how </w:t>
      </w:r>
      <w:r w:rsidR="00496998">
        <w:t>they are</w:t>
      </w:r>
      <w:r w:rsidRPr="00A96106">
        <w:t xml:space="preserve"> obtained, it is critical for </w:t>
      </w:r>
      <w:r>
        <w:t>the acquiring agency</w:t>
      </w:r>
      <w:r w:rsidRPr="00A96106">
        <w:t xml:space="preserve"> to understand and know the quality aspect</w:t>
      </w:r>
      <w:r>
        <w:t>s</w:t>
      </w:r>
      <w:r w:rsidRPr="00A96106">
        <w:t xml:space="preserve"> of the data. </w:t>
      </w:r>
      <w:r>
        <w:t>Both d</w:t>
      </w:r>
      <w:r w:rsidRPr="00A96106">
        <w:t>ata accuracy and biases are the two common parameters used to characterize data quality.</w:t>
      </w:r>
    </w:p>
    <w:p w14:paraId="631144D0" w14:textId="2726C6BB" w:rsidR="004B43EC" w:rsidRPr="00A96106" w:rsidRDefault="004B43EC" w:rsidP="00A35EAF">
      <w:pPr>
        <w:pStyle w:val="BodyText"/>
      </w:pPr>
      <w:r w:rsidRPr="00A96106">
        <w:t xml:space="preserve">An agency representative, </w:t>
      </w:r>
      <w:r>
        <w:t xml:space="preserve">at a minimum, </w:t>
      </w:r>
      <w:r w:rsidRPr="00A96106">
        <w:t xml:space="preserve">should </w:t>
      </w:r>
      <w:r>
        <w:t>ask</w:t>
      </w:r>
      <w:r w:rsidRPr="00A96106">
        <w:t xml:space="preserve"> the potential vendors </w:t>
      </w:r>
      <w:r>
        <w:t xml:space="preserve">about the </w:t>
      </w:r>
      <w:r w:rsidRPr="00A96106">
        <w:t>following</w:t>
      </w:r>
      <w:r>
        <w:t xml:space="preserve"> aspects </w:t>
      </w:r>
      <w:r w:rsidRPr="00A96106">
        <w:t>regarding their data quality:</w:t>
      </w:r>
    </w:p>
    <w:p w14:paraId="2889C1F2" w14:textId="77777777" w:rsidR="004B43EC" w:rsidRPr="00A96106" w:rsidRDefault="004B43EC">
      <w:pPr>
        <w:pStyle w:val="TMGBullet"/>
      </w:pPr>
      <w:r w:rsidRPr="00A96106">
        <w:t xml:space="preserve">What </w:t>
      </w:r>
      <w:r>
        <w:t xml:space="preserve">is </w:t>
      </w:r>
      <w:r w:rsidRPr="00A96106">
        <w:t>the data methodology</w:t>
      </w:r>
      <w:r>
        <w:t>?</w:t>
      </w:r>
    </w:p>
    <w:p w14:paraId="47E22759" w14:textId="77777777" w:rsidR="004B43EC" w:rsidRPr="00A96106" w:rsidRDefault="004B43EC">
      <w:pPr>
        <w:pStyle w:val="TMGBullet"/>
      </w:pPr>
      <w:r w:rsidRPr="00A96106">
        <w:t xml:space="preserve">What </w:t>
      </w:r>
      <w:r>
        <w:t xml:space="preserve">is </w:t>
      </w:r>
      <w:r w:rsidRPr="00A96106">
        <w:t>the source of benchmark (the ground truth) data</w:t>
      </w:r>
      <w:r>
        <w:t>?</w:t>
      </w:r>
    </w:p>
    <w:p w14:paraId="08DD2C9C" w14:textId="77777777" w:rsidR="006071CC" w:rsidRDefault="004B43EC">
      <w:pPr>
        <w:pStyle w:val="TMGBullet"/>
      </w:pPr>
      <w:r w:rsidRPr="00A96106">
        <w:t xml:space="preserve">How </w:t>
      </w:r>
      <w:r>
        <w:t xml:space="preserve">are </w:t>
      </w:r>
      <w:r w:rsidRPr="00A96106">
        <w:t>the data evaluated against the benchmark data</w:t>
      </w:r>
      <w:r>
        <w:t>?</w:t>
      </w:r>
      <w:r w:rsidRPr="00A96106">
        <w:t xml:space="preserve"> </w:t>
      </w:r>
    </w:p>
    <w:p w14:paraId="559709BA" w14:textId="1A7EADC5" w:rsidR="004B43EC" w:rsidRPr="00BF2F99" w:rsidRDefault="004B43EC">
      <w:pPr>
        <w:pStyle w:val="TMGBullet"/>
      </w:pPr>
      <w:r w:rsidRPr="00BF2F99">
        <w:t>What are the conclusions of the evaluation and how they will be used? Is there persistent over or under estimations comparing to benchmark data? Is there a statistically significant difference between the benchmark data and their corresponding third-party data at no lower than an 85% level of significance? What are the various percentages of differences between benchmark data and the third-party data?</w:t>
      </w:r>
    </w:p>
    <w:p w14:paraId="719008B1" w14:textId="6529B4E6" w:rsidR="004B43EC" w:rsidRPr="00A96106" w:rsidRDefault="004B43EC" w:rsidP="00A35EAF">
      <w:pPr>
        <w:pStyle w:val="BodyText"/>
      </w:pPr>
      <w:r w:rsidRPr="00A96106">
        <w:t>Additional</w:t>
      </w:r>
      <w:r w:rsidR="006071CC">
        <w:t>ly</w:t>
      </w:r>
      <w:r>
        <w:t>,</w:t>
      </w:r>
      <w:r w:rsidRPr="00A96106">
        <w:t xml:space="preserve"> more specific questions such as these listed below may also be inquired with the vendors</w:t>
      </w:r>
      <w:r>
        <w:t>:</w:t>
      </w:r>
    </w:p>
    <w:p w14:paraId="3DAA64EA" w14:textId="77777777" w:rsidR="004B43EC" w:rsidRPr="00A96106" w:rsidRDefault="004B43EC">
      <w:pPr>
        <w:pStyle w:val="TMGBullet"/>
      </w:pPr>
      <w:r w:rsidRPr="00A96106">
        <w:t xml:space="preserve">What data are </w:t>
      </w:r>
      <w:r>
        <w:t xml:space="preserve">to be </w:t>
      </w:r>
      <w:r w:rsidRPr="00A96106">
        <w:t>used to calibrate the result (e.g., permanent, portable)?</w:t>
      </w:r>
    </w:p>
    <w:p w14:paraId="4CEE2D2A" w14:textId="21F78D12" w:rsidR="004B43EC" w:rsidRPr="00A96106" w:rsidRDefault="004B43EC">
      <w:pPr>
        <w:pStyle w:val="TMGBullet"/>
      </w:pPr>
      <w:r w:rsidRPr="00A96106">
        <w:t xml:space="preserve">What </w:t>
      </w:r>
      <w:r w:rsidR="00E311C8">
        <w:t>is</w:t>
      </w:r>
      <w:r w:rsidRPr="00A96106">
        <w:t xml:space="preserve"> the </w:t>
      </w:r>
      <w:r>
        <w:t xml:space="preserve">acceptable </w:t>
      </w:r>
      <w:r w:rsidRPr="00A96106">
        <w:t>margin of errors for different</w:t>
      </w:r>
      <w:r>
        <w:t xml:space="preserve"> factor groups</w:t>
      </w:r>
      <w:r w:rsidRPr="00A96106">
        <w:t xml:space="preserve"> </w:t>
      </w:r>
      <w:r>
        <w:t xml:space="preserve">(e.g., </w:t>
      </w:r>
      <w:r w:rsidRPr="00A96106">
        <w:t xml:space="preserve">FHWA roadway functional classes 1 to 7) and area types (urban and rural)? </w:t>
      </w:r>
    </w:p>
    <w:p w14:paraId="68477B06" w14:textId="496FBC5D" w:rsidR="004B43EC" w:rsidRPr="00A96106" w:rsidRDefault="004B43EC">
      <w:pPr>
        <w:pStyle w:val="TMGBullet"/>
      </w:pPr>
      <w:r w:rsidRPr="00A96106">
        <w:t xml:space="preserve">What is the percentage median or mean error as compared with the </w:t>
      </w:r>
      <w:r>
        <w:t>benchmark data (e.g., AADT from third party vs. AADT from continuous count data)</w:t>
      </w:r>
      <w:r w:rsidRPr="00A96106">
        <w:t>?</w:t>
      </w:r>
    </w:p>
    <w:p w14:paraId="19477C0F" w14:textId="77777777" w:rsidR="004B43EC" w:rsidRDefault="004B43EC">
      <w:pPr>
        <w:pStyle w:val="TMGBullet"/>
      </w:pPr>
      <w:r w:rsidRPr="00A96106">
        <w:lastRenderedPageBreak/>
        <w:t>What are the limitations of the method?</w:t>
      </w:r>
    </w:p>
    <w:p w14:paraId="666F0DFC" w14:textId="1C8452BE" w:rsidR="004B43EC" w:rsidRPr="00A96106" w:rsidRDefault="004B43EC">
      <w:pPr>
        <w:pStyle w:val="TMGBullet"/>
      </w:pPr>
      <w:r>
        <w:t xml:space="preserve">What traffic data </w:t>
      </w:r>
      <w:r w:rsidR="00B92B6C">
        <w:t>QC</w:t>
      </w:r>
      <w:r>
        <w:t xml:space="preserve"> procedures does </w:t>
      </w:r>
      <w:r w:rsidR="00B92B6C">
        <w:t xml:space="preserve">the </w:t>
      </w:r>
      <w:r>
        <w:t>agency have in place for the t</w:t>
      </w:r>
      <w:r w:rsidRPr="000503D5">
        <w:t>hird-party data vendor to follow</w:t>
      </w:r>
      <w:r>
        <w:t>?</w:t>
      </w:r>
    </w:p>
    <w:p w14:paraId="1E4BD1FB" w14:textId="7ACB480C" w:rsidR="004B43EC" w:rsidRDefault="004B43EC" w:rsidP="00A35EAF">
      <w:pPr>
        <w:pStyle w:val="BodyText"/>
      </w:pPr>
      <w:r w:rsidRPr="00A96106">
        <w:t>In addition to inquiring about the data quality with the vendors, the agency should conduct its own data quality testing and review. Data quality testing and reviewing sh</w:t>
      </w:r>
      <w:r>
        <w:t>ould</w:t>
      </w:r>
      <w:r w:rsidRPr="00A96106">
        <w:t xml:space="preserve"> rely on sound statistical methodologies</w:t>
      </w:r>
      <w:r>
        <w:t>,</w:t>
      </w:r>
      <w:r w:rsidRPr="00A96106">
        <w:t xml:space="preserve"> be systematic</w:t>
      </w:r>
      <w:r w:rsidR="00B92B6C">
        <w:t>,</w:t>
      </w:r>
      <w:r>
        <w:t xml:space="preserve"> and follow established traffic engineering methods wherever possible</w:t>
      </w:r>
      <w:r w:rsidRPr="00A96106">
        <w:t xml:space="preserve">. </w:t>
      </w:r>
    </w:p>
    <w:p w14:paraId="29ECE25B" w14:textId="4AAB1446" w:rsidR="004B43EC" w:rsidRPr="00A96106" w:rsidRDefault="004B43EC" w:rsidP="00A35EAF">
      <w:pPr>
        <w:pStyle w:val="BodyText"/>
      </w:pPr>
      <w:r w:rsidRPr="00A96106">
        <w:t>Lastly, on the data quality front, data to be acquired from a third-party vendor s</w:t>
      </w:r>
      <w:r>
        <w:t>hould</w:t>
      </w:r>
      <w:r w:rsidRPr="00A96106">
        <w:t xml:space="preserve"> be delivered in a format compatible with </w:t>
      </w:r>
      <w:r w:rsidR="00B92B6C">
        <w:t>the</w:t>
      </w:r>
      <w:r w:rsidR="00B92B6C" w:rsidRPr="00A96106">
        <w:t xml:space="preserve"> </w:t>
      </w:r>
      <w:r w:rsidRPr="00A96106">
        <w:t xml:space="preserve">agency’s current software usages. </w:t>
      </w:r>
      <w:r w:rsidR="00B92B6C">
        <w:t>The agency</w:t>
      </w:r>
      <w:r w:rsidRPr="00A96106">
        <w:t xml:space="preserve"> should avoid allowing the third-party data vendor’s software as the only software</w:t>
      </w:r>
      <w:r>
        <w:t xml:space="preserve"> capable of </w:t>
      </w:r>
      <w:r w:rsidRPr="00A96106">
        <w:t>handling the data.</w:t>
      </w:r>
      <w:r w:rsidR="004D4172">
        <w:t xml:space="preserve"> </w:t>
      </w:r>
    </w:p>
    <w:p w14:paraId="7FB48A9B" w14:textId="77777777" w:rsidR="004B43EC" w:rsidRPr="001546EF" w:rsidRDefault="004B43EC">
      <w:pPr>
        <w:pStyle w:val="Heading2"/>
      </w:pPr>
      <w:bookmarkStart w:id="4135" w:name="_Toc114474772"/>
      <w:bookmarkStart w:id="4136" w:name="_Toc114485841"/>
      <w:bookmarkStart w:id="4137" w:name="_Toc114488092"/>
      <w:bookmarkStart w:id="4138" w:name="_Toc118205742"/>
      <w:r w:rsidRPr="001546EF">
        <w:t>Data Ownership</w:t>
      </w:r>
      <w:bookmarkEnd w:id="4135"/>
      <w:bookmarkEnd w:id="4136"/>
      <w:bookmarkEnd w:id="4137"/>
      <w:bookmarkEnd w:id="4138"/>
    </w:p>
    <w:p w14:paraId="5C84FF8A" w14:textId="186C3FDA" w:rsidR="004B43EC" w:rsidRPr="00A96106" w:rsidRDefault="004B43EC" w:rsidP="00A35EAF">
      <w:pPr>
        <w:pStyle w:val="BodyText"/>
      </w:pPr>
      <w:r w:rsidRPr="00A96106">
        <w:t xml:space="preserve">Acquiring third-party traffic data could be carried out with many different contractual specifications. </w:t>
      </w:r>
      <w:bookmarkStart w:id="4139" w:name="_Hlk73963242"/>
      <w:r w:rsidR="0091062B">
        <w:t>Agencies</w:t>
      </w:r>
      <w:r w:rsidRPr="00A96106">
        <w:t xml:space="preserve"> should be fully versed with the implications of different contractual terms which may limit </w:t>
      </w:r>
      <w:r w:rsidR="0091062B">
        <w:t>the agency’s</w:t>
      </w:r>
      <w:r w:rsidR="0091062B" w:rsidRPr="00A96106">
        <w:t xml:space="preserve"> </w:t>
      </w:r>
      <w:r w:rsidRPr="00A96106">
        <w:t>rights for the data</w:t>
      </w:r>
      <w:bookmarkEnd w:id="4139"/>
      <w:r w:rsidRPr="00A96106">
        <w:t xml:space="preserve">. Specifically, </w:t>
      </w:r>
      <w:r w:rsidR="0091062B">
        <w:t>the agency</w:t>
      </w:r>
      <w:r w:rsidR="0091062B" w:rsidRPr="00A96106">
        <w:t xml:space="preserve"> </w:t>
      </w:r>
      <w:r w:rsidRPr="00A96106">
        <w:t>should pay attention to the</w:t>
      </w:r>
      <w:r w:rsidR="0091062B">
        <w:t xml:space="preserve"> item</w:t>
      </w:r>
      <w:r w:rsidRPr="00A96106">
        <w:t>s listed below.</w:t>
      </w:r>
    </w:p>
    <w:p w14:paraId="08BCE5BE" w14:textId="77777777" w:rsidR="004B43EC" w:rsidRPr="001546EF" w:rsidRDefault="004B43EC">
      <w:pPr>
        <w:pStyle w:val="Heading3"/>
      </w:pPr>
      <w:bookmarkStart w:id="4140" w:name="_Toc118205743"/>
      <w:r w:rsidRPr="001546EF">
        <w:t>Data Storage and Possession</w:t>
      </w:r>
      <w:bookmarkEnd w:id="4140"/>
    </w:p>
    <w:p w14:paraId="408819FC" w14:textId="55105923" w:rsidR="004B43EC" w:rsidRDefault="004B43EC" w:rsidP="00A35EAF">
      <w:pPr>
        <w:pStyle w:val="BodyText"/>
      </w:pPr>
      <w:r w:rsidRPr="000C0FF1">
        <w:rPr>
          <w:bCs/>
        </w:rPr>
        <w:t xml:space="preserve">Will </w:t>
      </w:r>
      <w:r w:rsidR="0091062B">
        <w:rPr>
          <w:bCs/>
        </w:rPr>
        <w:t xml:space="preserve">the </w:t>
      </w:r>
      <w:r w:rsidRPr="000C0FF1">
        <w:rPr>
          <w:bCs/>
        </w:rPr>
        <w:t xml:space="preserve">agency have the data in </w:t>
      </w:r>
      <w:r w:rsidR="0091062B">
        <w:rPr>
          <w:bCs/>
        </w:rPr>
        <w:t>its</w:t>
      </w:r>
      <w:r>
        <w:rPr>
          <w:bCs/>
        </w:rPr>
        <w:t xml:space="preserve"> own</w:t>
      </w:r>
      <w:r w:rsidRPr="000C0FF1">
        <w:rPr>
          <w:bCs/>
        </w:rPr>
        <w:t xml:space="preserve"> system, or will the data stay in the vendor’s system?</w:t>
      </w:r>
      <w:r>
        <w:t xml:space="preserve"> Are</w:t>
      </w:r>
      <w:r w:rsidRPr="00A96106">
        <w:t xml:space="preserve"> the data going to be transferred to </w:t>
      </w:r>
      <w:r w:rsidR="0091062B">
        <w:t>the</w:t>
      </w:r>
      <w:r w:rsidR="0091062B" w:rsidRPr="00A96106">
        <w:t xml:space="preserve"> </w:t>
      </w:r>
      <w:r w:rsidRPr="00A96106">
        <w:t xml:space="preserve">agency or </w:t>
      </w:r>
      <w:r w:rsidR="0091062B">
        <w:t>the</w:t>
      </w:r>
      <w:r w:rsidR="0091062B" w:rsidRPr="00A96106">
        <w:t xml:space="preserve"> </w:t>
      </w:r>
      <w:r w:rsidRPr="00A96106">
        <w:t xml:space="preserve">agency’s designated recipient? </w:t>
      </w:r>
      <w:r>
        <w:t xml:space="preserve">How will </w:t>
      </w:r>
      <w:r w:rsidR="0091062B">
        <w:t xml:space="preserve">the </w:t>
      </w:r>
      <w:r>
        <w:t xml:space="preserve">agency </w:t>
      </w:r>
      <w:r w:rsidRPr="00B935A5">
        <w:t>integrate</w:t>
      </w:r>
      <w:r>
        <w:t xml:space="preserve"> the</w:t>
      </w:r>
      <w:r w:rsidRPr="00B935A5">
        <w:t xml:space="preserve"> third-party traffic data with </w:t>
      </w:r>
      <w:r w:rsidR="0091062B">
        <w:t>its</w:t>
      </w:r>
      <w:r w:rsidRPr="00B935A5">
        <w:t xml:space="preserve"> </w:t>
      </w:r>
      <w:r>
        <w:t xml:space="preserve">current </w:t>
      </w:r>
      <w:r w:rsidRPr="00B935A5">
        <w:t>traffic database</w:t>
      </w:r>
      <w:r>
        <w:t xml:space="preserve">? These are very important decisions </w:t>
      </w:r>
      <w:r w:rsidR="0091062B">
        <w:t xml:space="preserve">that </w:t>
      </w:r>
      <w:r>
        <w:t xml:space="preserve">need to </w:t>
      </w:r>
      <w:r w:rsidR="0091062B">
        <w:t xml:space="preserve">be </w:t>
      </w:r>
      <w:r>
        <w:t>ma</w:t>
      </w:r>
      <w:r w:rsidR="0091062B">
        <w:t>d</w:t>
      </w:r>
      <w:r>
        <w:t xml:space="preserve">e. </w:t>
      </w:r>
      <w:r w:rsidRPr="00A96106">
        <w:t xml:space="preserve">If the data </w:t>
      </w:r>
      <w:r>
        <w:t>are</w:t>
      </w:r>
      <w:r w:rsidRPr="00A96106">
        <w:t xml:space="preserve"> going to reside at the platform of the third-party data supplier, questions related to how </w:t>
      </w:r>
      <w:r w:rsidR="003852C0">
        <w:t>the</w:t>
      </w:r>
      <w:r w:rsidR="003852C0" w:rsidRPr="00A96106">
        <w:t xml:space="preserve"> </w:t>
      </w:r>
      <w:r w:rsidRPr="00A96106">
        <w:t xml:space="preserve">agency is going to access the data, how many people </w:t>
      </w:r>
      <w:r>
        <w:t xml:space="preserve">in </w:t>
      </w:r>
      <w:r w:rsidR="003852C0">
        <w:t>the</w:t>
      </w:r>
      <w:r w:rsidR="003852C0" w:rsidRPr="00A96106">
        <w:t xml:space="preserve"> </w:t>
      </w:r>
      <w:r w:rsidRPr="00A96106">
        <w:t xml:space="preserve">agency can access the data at the vendor’s platform, </w:t>
      </w:r>
      <w:r w:rsidR="00D27166">
        <w:t xml:space="preserve">and </w:t>
      </w:r>
      <w:r w:rsidRPr="00A96106">
        <w:t>how many years such data will be residing on the vendor’s platform</w:t>
      </w:r>
      <w:r>
        <w:t xml:space="preserve"> </w:t>
      </w:r>
      <w:r w:rsidRPr="00A96106">
        <w:t>sh</w:t>
      </w:r>
      <w:r>
        <w:t>ould</w:t>
      </w:r>
      <w:r w:rsidRPr="00A96106">
        <w:t xml:space="preserve"> be specified in writing. In addition, when the </w:t>
      </w:r>
      <w:r>
        <w:t xml:space="preserve">contracting </w:t>
      </w:r>
      <w:r w:rsidRPr="00A96106">
        <w:t xml:space="preserve">time expires, </w:t>
      </w:r>
      <w:r>
        <w:t xml:space="preserve">how </w:t>
      </w:r>
      <w:r w:rsidR="00D27166">
        <w:t xml:space="preserve">the </w:t>
      </w:r>
      <w:r>
        <w:t xml:space="preserve">agency retains these data </w:t>
      </w:r>
      <w:r w:rsidRPr="00A96106">
        <w:t>sh</w:t>
      </w:r>
      <w:r>
        <w:t>ould</w:t>
      </w:r>
      <w:r w:rsidRPr="00A96106">
        <w:t xml:space="preserve"> also be specified, </w:t>
      </w:r>
      <w:r>
        <w:t xml:space="preserve">thereby </w:t>
      </w:r>
      <w:r w:rsidRPr="00A96106">
        <w:t xml:space="preserve">preventing </w:t>
      </w:r>
      <w:r w:rsidR="00D27166">
        <w:t>the</w:t>
      </w:r>
      <w:r w:rsidR="00D27166" w:rsidRPr="00A96106">
        <w:t xml:space="preserve"> </w:t>
      </w:r>
      <w:r w:rsidRPr="00A96106">
        <w:t>agency from losing the data</w:t>
      </w:r>
      <w:r>
        <w:t xml:space="preserve"> due to time.</w:t>
      </w:r>
    </w:p>
    <w:p w14:paraId="4BD854BD" w14:textId="4BF6783E" w:rsidR="004B43EC" w:rsidRPr="00E311C8" w:rsidRDefault="004B43EC" w:rsidP="00A35EAF">
      <w:pPr>
        <w:pStyle w:val="BodyText"/>
      </w:pPr>
      <w:r w:rsidRPr="006071CC">
        <w:rPr>
          <w:rStyle w:val="BodyTextChar"/>
        </w:rPr>
        <w:t xml:space="preserve">If </w:t>
      </w:r>
      <w:r w:rsidR="00D27166">
        <w:rPr>
          <w:rStyle w:val="BodyTextChar"/>
        </w:rPr>
        <w:t>the</w:t>
      </w:r>
      <w:r w:rsidR="00D27166" w:rsidRPr="006071CC">
        <w:rPr>
          <w:rStyle w:val="BodyTextChar"/>
        </w:rPr>
        <w:t xml:space="preserve"> </w:t>
      </w:r>
      <w:r w:rsidRPr="006071CC">
        <w:rPr>
          <w:rStyle w:val="BodyTextChar"/>
        </w:rPr>
        <w:t xml:space="preserve">agency is going to store the acquired data on </w:t>
      </w:r>
      <w:r w:rsidR="00D27166">
        <w:rPr>
          <w:rStyle w:val="BodyTextChar"/>
        </w:rPr>
        <w:t>its</w:t>
      </w:r>
      <w:r w:rsidRPr="006071CC">
        <w:rPr>
          <w:rStyle w:val="BodyTextChar"/>
        </w:rPr>
        <w:t xml:space="preserve"> platform, make sure such data </w:t>
      </w:r>
      <w:r w:rsidR="00D27166">
        <w:rPr>
          <w:rStyle w:val="BodyTextChar"/>
        </w:rPr>
        <w:t>are</w:t>
      </w:r>
      <w:r w:rsidR="00D27166" w:rsidRPr="006071CC">
        <w:rPr>
          <w:rStyle w:val="BodyTextChar"/>
        </w:rPr>
        <w:t xml:space="preserve"> </w:t>
      </w:r>
      <w:r w:rsidRPr="006071CC">
        <w:rPr>
          <w:rStyle w:val="BodyTextChar"/>
        </w:rPr>
        <w:t xml:space="preserve">acquired in a compatible data format. This is especially true if </w:t>
      </w:r>
      <w:r w:rsidR="00D27166">
        <w:rPr>
          <w:rStyle w:val="BodyTextChar"/>
        </w:rPr>
        <w:t>the</w:t>
      </w:r>
      <w:r w:rsidRPr="006071CC">
        <w:rPr>
          <w:rStyle w:val="BodyTextChar"/>
        </w:rPr>
        <w:t xml:space="preserve"> data </w:t>
      </w:r>
      <w:r w:rsidR="00D27166">
        <w:rPr>
          <w:rStyle w:val="BodyTextChar"/>
        </w:rPr>
        <w:t xml:space="preserve">are being acquired </w:t>
      </w:r>
      <w:r w:rsidRPr="006071CC">
        <w:rPr>
          <w:rStyle w:val="BodyTextChar"/>
        </w:rPr>
        <w:t>for roadway link (segments of roadways) based data (</w:t>
      </w:r>
      <w:r w:rsidR="00E311C8" w:rsidRPr="006071CC">
        <w:rPr>
          <w:rStyle w:val="BodyTextChar"/>
        </w:rPr>
        <w:t>e.g.,</w:t>
      </w:r>
      <w:r w:rsidRPr="006071CC">
        <w:rPr>
          <w:rStyle w:val="BodyTextChar"/>
        </w:rPr>
        <w:t xml:space="preserve"> AADT for Route 100 from Major Avenue to Capitol Boulevard). These links should be compatible with </w:t>
      </w:r>
      <w:r w:rsidR="00D27166">
        <w:rPr>
          <w:rStyle w:val="BodyTextChar"/>
        </w:rPr>
        <w:t>the</w:t>
      </w:r>
      <w:r w:rsidR="00D27166" w:rsidRPr="006071CC">
        <w:rPr>
          <w:rStyle w:val="BodyTextChar"/>
        </w:rPr>
        <w:t xml:space="preserve"> </w:t>
      </w:r>
      <w:r w:rsidRPr="006071CC">
        <w:rPr>
          <w:rStyle w:val="BodyTextChar"/>
        </w:rPr>
        <w:t>agency’s roadway geospatial network. In other words, link</w:t>
      </w:r>
      <w:r w:rsidR="00D27166">
        <w:rPr>
          <w:rStyle w:val="BodyTextChar"/>
        </w:rPr>
        <w:t>-</w:t>
      </w:r>
      <w:r w:rsidRPr="006071CC">
        <w:rPr>
          <w:rStyle w:val="BodyTextChar"/>
        </w:rPr>
        <w:t xml:space="preserve">based data </w:t>
      </w:r>
      <w:r w:rsidRPr="00E311C8">
        <w:t xml:space="preserve">must be readily conflated to </w:t>
      </w:r>
      <w:r w:rsidR="00D27166">
        <w:t>the</w:t>
      </w:r>
      <w:r w:rsidR="00D27166" w:rsidRPr="00E311C8">
        <w:t xml:space="preserve"> </w:t>
      </w:r>
      <w:r w:rsidRPr="00E311C8">
        <w:t>agency’s highway network. Many agencies are finding proper conflation of datasets to be of significant concern due to possible dynamic assignment of traffic data onto incorrect segments in the host agenc</w:t>
      </w:r>
      <w:r w:rsidR="00D27166">
        <w:t>y’</w:t>
      </w:r>
      <w:r w:rsidRPr="00E311C8">
        <w:t xml:space="preserve">s network. Exercising caution and proper oversight of this element when acquiring data is most helpful to having a successful and useful product. </w:t>
      </w:r>
    </w:p>
    <w:p w14:paraId="07BC8AAC" w14:textId="77777777" w:rsidR="004B43EC" w:rsidRPr="001546EF" w:rsidRDefault="004B43EC">
      <w:pPr>
        <w:pStyle w:val="Heading3"/>
      </w:pPr>
      <w:bookmarkStart w:id="4141" w:name="_Toc118205744"/>
      <w:r w:rsidRPr="001546EF">
        <w:t>Data Rights</w:t>
      </w:r>
      <w:bookmarkEnd w:id="4141"/>
    </w:p>
    <w:p w14:paraId="672095AA" w14:textId="580E8BBB" w:rsidR="004B43EC" w:rsidRDefault="004B43EC" w:rsidP="00A35EAF">
      <w:pPr>
        <w:pStyle w:val="BodyText"/>
      </w:pPr>
      <w:r w:rsidRPr="00A96106">
        <w:t>The ownership of the acquired third-party data sh</w:t>
      </w:r>
      <w:r>
        <w:t>ould</w:t>
      </w:r>
      <w:r w:rsidRPr="00A96106">
        <w:t xml:space="preserve"> be clearly stated. With the specification of ownership, other terms </w:t>
      </w:r>
      <w:r w:rsidR="009C375D">
        <w:t>need to</w:t>
      </w:r>
      <w:r w:rsidR="009C375D" w:rsidRPr="00A96106">
        <w:t xml:space="preserve"> be specified </w:t>
      </w:r>
      <w:r w:rsidRPr="00A96106">
        <w:t>regarding the freedom of using such data</w:t>
      </w:r>
      <w:r w:rsidR="009C375D">
        <w:t xml:space="preserve"> for the agency’s purposes such as</w:t>
      </w:r>
      <w:r w:rsidRPr="00A96106">
        <w:t xml:space="preserve"> publishing, sharing, and releasing the data. </w:t>
      </w:r>
    </w:p>
    <w:p w14:paraId="5D02E035" w14:textId="2FD5564A" w:rsidR="004B43EC" w:rsidRPr="000C0FF1" w:rsidRDefault="00D27166" w:rsidP="00A35EAF">
      <w:pPr>
        <w:pStyle w:val="BodyText"/>
      </w:pPr>
      <w:r>
        <w:t>The</w:t>
      </w:r>
      <w:r w:rsidRPr="00A96106">
        <w:t xml:space="preserve"> </w:t>
      </w:r>
      <w:r w:rsidR="004B43EC" w:rsidRPr="00A96106">
        <w:t>agency sh</w:t>
      </w:r>
      <w:r w:rsidR="004B43EC">
        <w:t>ould establish the</w:t>
      </w:r>
      <w:r w:rsidR="004B43EC" w:rsidRPr="00A96106">
        <w:t xml:space="preserve"> ownership rights</w:t>
      </w:r>
      <w:r w:rsidR="004B43EC">
        <w:t xml:space="preserve"> for</w:t>
      </w:r>
      <w:r w:rsidR="004B43EC" w:rsidRPr="00A96106">
        <w:t xml:space="preserve"> </w:t>
      </w:r>
      <w:r w:rsidR="004B43EC">
        <w:t>all data to be acquired</w:t>
      </w:r>
      <w:r w:rsidR="004B43EC" w:rsidRPr="00A96106">
        <w:t xml:space="preserve"> and </w:t>
      </w:r>
      <w:r w:rsidR="004B43EC">
        <w:t>fully understand any</w:t>
      </w:r>
      <w:r w:rsidR="004B43EC" w:rsidRPr="00A96106">
        <w:t xml:space="preserve"> unlimited rights to use, share, publish, and release such data without further consent from the third-party vendor or compensation to the third-party vendor in perpetuity.</w:t>
      </w:r>
      <w:r w:rsidR="004B43EC">
        <w:t xml:space="preserve"> </w:t>
      </w:r>
      <w:r>
        <w:t xml:space="preserve">The </w:t>
      </w:r>
      <w:r w:rsidR="004B43EC">
        <w:t>agency may need to establish sharing limitations (</w:t>
      </w:r>
      <w:r w:rsidR="00E311C8">
        <w:t>i.e.,</w:t>
      </w:r>
      <w:r w:rsidR="00A8371B">
        <w:t> </w:t>
      </w:r>
      <w:r w:rsidR="004B43EC">
        <w:t xml:space="preserve">share the data with other local agencies, but not with private parties). </w:t>
      </w:r>
      <w:r w:rsidR="004B43EC" w:rsidRPr="000C0FF1">
        <w:rPr>
          <w:bCs/>
        </w:rPr>
        <w:t>The interested agency should avoid the practice of renting or leasing data from the third-party supplier.</w:t>
      </w:r>
    </w:p>
    <w:p w14:paraId="4DACF18A" w14:textId="626D26E4" w:rsidR="004B43EC" w:rsidRPr="001546EF" w:rsidRDefault="00A8371B">
      <w:pPr>
        <w:pStyle w:val="Heading3"/>
      </w:pPr>
      <w:bookmarkStart w:id="4142" w:name="_Toc118205745"/>
      <w:r>
        <w:t>V</w:t>
      </w:r>
      <w:r w:rsidR="004B43EC" w:rsidRPr="001546EF">
        <w:t>ersion Control</w:t>
      </w:r>
      <w:bookmarkEnd w:id="4142"/>
    </w:p>
    <w:p w14:paraId="7EBB0B9A" w14:textId="77777777" w:rsidR="004B43EC" w:rsidRPr="000C0FF1" w:rsidRDefault="004B43EC" w:rsidP="00A35EAF">
      <w:pPr>
        <w:pStyle w:val="BodyText"/>
      </w:pPr>
      <w:r w:rsidRPr="00A96106">
        <w:t xml:space="preserve">Version control refers to updating the same data produced earlier. Each dataset delivered should have a version specification so the agency can properly reference back to the supplier of the data in the future. </w:t>
      </w:r>
    </w:p>
    <w:p w14:paraId="68B9164B" w14:textId="77777777" w:rsidR="004B43EC" w:rsidRPr="001546EF" w:rsidRDefault="004B43EC">
      <w:pPr>
        <w:pStyle w:val="Heading2"/>
      </w:pPr>
      <w:bookmarkStart w:id="4143" w:name="_Toc114474773"/>
      <w:bookmarkStart w:id="4144" w:name="_Toc118205746"/>
      <w:r w:rsidRPr="001546EF">
        <w:lastRenderedPageBreak/>
        <w:t>Costs</w:t>
      </w:r>
      <w:bookmarkEnd w:id="4143"/>
      <w:bookmarkEnd w:id="4144"/>
    </w:p>
    <w:p w14:paraId="5131E2FD" w14:textId="77777777" w:rsidR="004B43EC" w:rsidRPr="00A96106" w:rsidRDefault="004B43EC" w:rsidP="00A35EAF">
      <w:pPr>
        <w:pStyle w:val="BodyText"/>
      </w:pPr>
      <w:r>
        <w:t>C</w:t>
      </w:r>
      <w:r w:rsidRPr="00A96106">
        <w:t>ost is a significant factor in any agency’s decision-making process regarding data acquisition. Understanding both the total cost of the vendor’s product and any ongoing expenses is key to understanding the vendor’s full cost. For example, will new software licenses be required?</w:t>
      </w:r>
      <w:r>
        <w:t xml:space="preserve"> Will the data be acquired on an a</w:t>
      </w:r>
      <w:r w:rsidRPr="00B935A5">
        <w:t xml:space="preserve">d hoc (as needed) </w:t>
      </w:r>
      <w:r>
        <w:t>or a</w:t>
      </w:r>
      <w:r w:rsidRPr="00B935A5">
        <w:t xml:space="preserve"> reoccurring</w:t>
      </w:r>
      <w:r>
        <w:t xml:space="preserve"> basis</w:t>
      </w:r>
      <w:r w:rsidRPr="00B935A5">
        <w:t xml:space="preserve"> (multiple times</w:t>
      </w:r>
      <w:r>
        <w:t xml:space="preserve">, multiple </w:t>
      </w:r>
      <w:r w:rsidRPr="00B935A5">
        <w:t>years)?</w:t>
      </w:r>
      <w:r w:rsidRPr="00A96106">
        <w:t xml:space="preserve"> What will be the cost of additional licenses if they are needed? The agency also needs to consider the costs from having agency staff or consultants assist in managing the data program. </w:t>
      </w:r>
    </w:p>
    <w:p w14:paraId="3790E06C" w14:textId="296365E0" w:rsidR="004B43EC" w:rsidRPr="00E311C8" w:rsidRDefault="004B43EC" w:rsidP="00A35EAF">
      <w:pPr>
        <w:pStyle w:val="BodyText"/>
      </w:pPr>
      <w:r w:rsidRPr="00E311C8">
        <w:t>Given the data acquired are typically well</w:t>
      </w:r>
      <w:r w:rsidR="00D27166">
        <w:t>-</w:t>
      </w:r>
      <w:r w:rsidRPr="00E311C8">
        <w:t xml:space="preserve">defined, agencies are encouraged to use a firm fixed price approach in acquiring such data. Agencies should avoid negotiation for software packages used to handle such data as part of the data acquisition package. Data delivered by the third-party should avoid the situation where only the third-party data supplier software can handle the data. </w:t>
      </w:r>
    </w:p>
    <w:p w14:paraId="7A00A75A" w14:textId="77777777" w:rsidR="004B43EC" w:rsidRPr="001546EF" w:rsidRDefault="004B43EC">
      <w:pPr>
        <w:pStyle w:val="Heading2"/>
      </w:pPr>
      <w:bookmarkStart w:id="4145" w:name="_Toc114474774"/>
      <w:bookmarkStart w:id="4146" w:name="_Toc118205747"/>
      <w:r w:rsidRPr="001546EF">
        <w:t>Summary</w:t>
      </w:r>
      <w:bookmarkEnd w:id="4145"/>
      <w:bookmarkEnd w:id="4146"/>
    </w:p>
    <w:p w14:paraId="3D8C3C57" w14:textId="63C2DC31" w:rsidR="004B43EC" w:rsidRPr="00A96106" w:rsidRDefault="004B43EC" w:rsidP="00A35EAF">
      <w:pPr>
        <w:pStyle w:val="BodyText"/>
      </w:pPr>
      <w:r w:rsidRPr="00A96106">
        <w:t xml:space="preserve">When an agency is planning to acquire third-party traffic data, considerations to </w:t>
      </w:r>
      <w:r>
        <w:t>concern</w:t>
      </w:r>
      <w:r w:rsidRPr="00A96106">
        <w:t>s and factors from four areas sh</w:t>
      </w:r>
      <w:r>
        <w:t>ould</w:t>
      </w:r>
      <w:r w:rsidRPr="00A96106">
        <w:t xml:space="preserve"> be exercised. These areas are data needs, data quality, data ownership, and data cost. Begin by clarifying the data needs. The data needs are the drivers for collecting and acquiring traffic and travel data. Then</w:t>
      </w:r>
      <w:r w:rsidR="00181F5D">
        <w:t>,</w:t>
      </w:r>
      <w:r w:rsidRPr="00A96106">
        <w:t xml:space="preserve"> it is critical for the acquiring agency to understand and know the quality aspect of the data. Next</w:t>
      </w:r>
      <w:r w:rsidR="00DE3CE8">
        <w:t>,</w:t>
      </w:r>
      <w:r w:rsidRPr="00A96106">
        <w:t xml:space="preserve"> the agency needs to be clear on the data ownership. Under data ownership, the acquiring agency needs to be fully versed with the implications of different contractual terms which may limit </w:t>
      </w:r>
      <w:r>
        <w:t xml:space="preserve">distribution </w:t>
      </w:r>
      <w:r w:rsidRPr="00A96106">
        <w:t>rights for the data. Last</w:t>
      </w:r>
      <w:r>
        <w:t>ly, but equally important,</w:t>
      </w:r>
      <w:r w:rsidRPr="00A96106">
        <w:t xml:space="preserve"> is the </w:t>
      </w:r>
      <w:r>
        <w:t>d</w:t>
      </w:r>
      <w:r w:rsidRPr="00A96106">
        <w:t xml:space="preserve">ata </w:t>
      </w:r>
      <w:r>
        <w:t>c</w:t>
      </w:r>
      <w:r w:rsidRPr="00A96106">
        <w:t xml:space="preserve">ost. Understanding both the total cost of the vendor’s product and any ongoing expenses </w:t>
      </w:r>
      <w:r>
        <w:t>are</w:t>
      </w:r>
      <w:r w:rsidRPr="00A96106">
        <w:t xml:space="preserve"> key to understanding</w:t>
      </w:r>
      <w:r>
        <w:t xml:space="preserve"> the whole agency cost</w:t>
      </w:r>
      <w:r w:rsidRPr="00A96106">
        <w:t>.</w:t>
      </w:r>
    </w:p>
    <w:p w14:paraId="38523BB3" w14:textId="77777777" w:rsidR="00CC521A" w:rsidRDefault="00CC521A" w:rsidP="00A35EAF">
      <w:pPr>
        <w:pStyle w:val="BodyText"/>
      </w:pPr>
    </w:p>
    <w:p w14:paraId="4885E049" w14:textId="77777777" w:rsidR="00663879" w:rsidRDefault="00663879" w:rsidP="00D87232">
      <w:pPr>
        <w:pStyle w:val="Heading11"/>
        <w:jc w:val="left"/>
        <w:rPr>
          <w:rFonts w:asciiTheme="minorHAnsi" w:hAnsiTheme="minorHAnsi" w:cstheme="minorHAnsi"/>
        </w:rPr>
        <w:sectPr w:rsidR="00663879" w:rsidSect="00E15A61">
          <w:headerReference w:type="even" r:id="rId265"/>
          <w:headerReference w:type="default" r:id="rId266"/>
          <w:footerReference w:type="default" r:id="rId267"/>
          <w:pgSz w:w="12240" w:h="15840" w:code="1"/>
          <w:pgMar w:top="1440" w:right="1440" w:bottom="1152" w:left="1440" w:header="720" w:footer="576" w:gutter="0"/>
          <w:pgNumType w:start="1" w:chapStyle="1"/>
          <w:cols w:space="720"/>
          <w:titlePg/>
          <w:docGrid w:linePitch="360"/>
        </w:sectPr>
      </w:pPr>
      <w:bookmarkStart w:id="4147" w:name="_Toc114474775"/>
      <w:bookmarkEnd w:id="2761"/>
      <w:bookmarkEnd w:id="2762"/>
      <w:bookmarkEnd w:id="2763"/>
      <w:bookmarkEnd w:id="2764"/>
      <w:bookmarkEnd w:id="2765"/>
      <w:bookmarkEnd w:id="2766"/>
      <w:bookmarkEnd w:id="2767"/>
      <w:bookmarkEnd w:id="4118"/>
      <w:bookmarkEnd w:id="4119"/>
      <w:bookmarkEnd w:id="4120"/>
      <w:bookmarkEnd w:id="4121"/>
    </w:p>
    <w:p w14:paraId="742C9E62" w14:textId="15AAB413" w:rsidR="00D87232" w:rsidRPr="006827E8" w:rsidRDefault="00D87232">
      <w:pPr>
        <w:pStyle w:val="Heading1"/>
      </w:pPr>
      <w:bookmarkStart w:id="4148" w:name="_Toc114474776"/>
      <w:bookmarkStart w:id="4149" w:name="_Toc118205748"/>
      <w:bookmarkEnd w:id="4147"/>
      <w:r w:rsidRPr="006827E8">
        <w:lastRenderedPageBreak/>
        <w:t>References</w:t>
      </w:r>
      <w:bookmarkEnd w:id="4148"/>
      <w:bookmarkEnd w:id="4149"/>
    </w:p>
    <w:p w14:paraId="608A34CB" w14:textId="1386D5A5" w:rsidR="00EE4FD9" w:rsidRPr="00DC7461" w:rsidRDefault="00EE4FD9" w:rsidP="005D5A6C">
      <w:pPr>
        <w:pStyle w:val="BodyText"/>
      </w:pPr>
      <w:r w:rsidRPr="00DC7461">
        <w:rPr>
          <w:rStyle w:val="Italic"/>
          <w:iCs/>
        </w:rPr>
        <w:t>AASHTO Guidelines for Traffic Data Programs</w:t>
      </w:r>
      <w:r w:rsidRPr="00DC7461">
        <w:t xml:space="preserve">. 2009. Washington: AASHTO. </w:t>
      </w:r>
    </w:p>
    <w:p w14:paraId="31183979" w14:textId="77777777" w:rsidR="00EE4FD9" w:rsidRPr="00DC7461" w:rsidRDefault="00EE4FD9" w:rsidP="005D5A6C">
      <w:pPr>
        <w:pStyle w:val="BodyText"/>
      </w:pPr>
      <w:r w:rsidRPr="00DC7461">
        <w:t xml:space="preserve">AASHTO </w:t>
      </w:r>
      <w:r w:rsidRPr="00DC7461">
        <w:rPr>
          <w:rStyle w:val="Italic"/>
          <w:iCs/>
        </w:rPr>
        <w:t>Guide for Design of Pavement of Structures</w:t>
      </w:r>
      <w:r w:rsidRPr="00DC7461">
        <w:t>.</w:t>
      </w:r>
    </w:p>
    <w:p w14:paraId="096195C0" w14:textId="3BD568D2" w:rsidR="00EE4FD9" w:rsidRPr="00DC7461" w:rsidRDefault="00EE4FD9" w:rsidP="005D5A6C">
      <w:pPr>
        <w:pStyle w:val="BodyText"/>
      </w:pPr>
      <w:r w:rsidRPr="00DC7461">
        <w:t xml:space="preserve">American Society of Testing and Materials (ASTM). </w:t>
      </w:r>
      <w:r w:rsidRPr="00DC7461">
        <w:rPr>
          <w:rStyle w:val="Italic"/>
          <w:iCs/>
        </w:rPr>
        <w:t>Standards</w:t>
      </w:r>
      <w:r w:rsidRPr="00DC7461">
        <w:t xml:space="preserve">. </w:t>
      </w:r>
      <w:hyperlink r:id="rId268" w:history="1">
        <w:r w:rsidR="00A332F6" w:rsidRPr="00DC7461">
          <w:rPr>
            <w:rStyle w:val="Hyperlink"/>
          </w:rPr>
          <w:t>http://www.astm.org/index.shtml</w:t>
        </w:r>
      </w:hyperlink>
      <w:r w:rsidRPr="00DC7461">
        <w:t>.</w:t>
      </w:r>
    </w:p>
    <w:p w14:paraId="7FBAA277" w14:textId="77777777" w:rsidR="00EE4FD9" w:rsidRPr="00DC7461" w:rsidRDefault="00EE4FD9" w:rsidP="005D5A6C">
      <w:pPr>
        <w:pStyle w:val="BodyText"/>
      </w:pPr>
      <w:r w:rsidRPr="00DC7461">
        <w:rPr>
          <w:rStyle w:val="Italic"/>
          <w:iCs/>
        </w:rPr>
        <w:t>Assessing the Value of the ADOT&amp;PF Data Programs.</w:t>
      </w:r>
      <w:r w:rsidRPr="00DC7461">
        <w:t xml:space="preserve"> 2009. White Paper.</w:t>
      </w:r>
    </w:p>
    <w:p w14:paraId="35F7A684" w14:textId="22EA8915" w:rsidR="00EE4FD9" w:rsidRPr="00DC7461" w:rsidRDefault="00EE4FD9" w:rsidP="005D5A6C">
      <w:pPr>
        <w:pStyle w:val="BodyText"/>
      </w:pPr>
      <w:r w:rsidRPr="00DC7461">
        <w:rPr>
          <w:rStyle w:val="Italic"/>
          <w:iCs/>
        </w:rPr>
        <w:t>ASTM Loop Detector Handbook</w:t>
      </w:r>
      <w:r w:rsidRPr="00DC7461">
        <w:t>.</w:t>
      </w:r>
    </w:p>
    <w:p w14:paraId="78BBF662" w14:textId="0487A60C" w:rsidR="00EE4FD9" w:rsidRPr="00DC7461" w:rsidRDefault="00EE4FD9" w:rsidP="005D5A6C">
      <w:pPr>
        <w:pStyle w:val="BodyText"/>
      </w:pPr>
      <w:r w:rsidRPr="00DC7461">
        <w:rPr>
          <w:rStyle w:val="Italic"/>
          <w:iCs/>
        </w:rPr>
        <w:t>AUSTROADS. 1998.</w:t>
      </w:r>
      <w:r w:rsidR="004D4172" w:rsidRPr="00DC7461">
        <w:rPr>
          <w:rStyle w:val="Italic"/>
          <w:iCs/>
        </w:rPr>
        <w:t xml:space="preserve"> </w:t>
      </w:r>
      <w:r w:rsidRPr="00DC7461">
        <w:rPr>
          <w:rStyle w:val="Italic"/>
          <w:iCs/>
        </w:rPr>
        <w:t>Pavement Design—A Guide to the Structural Design of Road Pavements</w:t>
      </w:r>
      <w:r w:rsidRPr="00DC7461">
        <w:t xml:space="preserve">. Traffic Design Chapter, Final Draft Working Document. </w:t>
      </w:r>
    </w:p>
    <w:p w14:paraId="5DE80509" w14:textId="77777777" w:rsidR="00EE4FD9" w:rsidRPr="00DC7461" w:rsidRDefault="00EE4FD9" w:rsidP="005D5A6C">
      <w:pPr>
        <w:pStyle w:val="BodyText"/>
      </w:pPr>
      <w:r w:rsidRPr="00DC7461">
        <w:t>Bunker, J. City of Boulder.</w:t>
      </w:r>
    </w:p>
    <w:p w14:paraId="291618CA" w14:textId="77777777" w:rsidR="00EE4FD9" w:rsidRPr="00DC7461" w:rsidRDefault="00EE4FD9" w:rsidP="005D5A6C">
      <w:pPr>
        <w:pStyle w:val="BodyText"/>
      </w:pPr>
      <w:r w:rsidRPr="00DC7461">
        <w:t>Butler, Jack. 1993. “Getting Better Truck Flows and Loads for Pavement Management, Task B Final Report: Truck Weight Case Study,” Transportation Statistics Office, Florida Department of Transportation.</w:t>
      </w:r>
    </w:p>
    <w:p w14:paraId="4FC1D426" w14:textId="77777777" w:rsidR="00EE4FD9" w:rsidRPr="00DC7461" w:rsidRDefault="00EE4FD9" w:rsidP="005D5A6C">
      <w:pPr>
        <w:pStyle w:val="BodyText"/>
      </w:pPr>
      <w:r w:rsidRPr="00DC7461">
        <w:rPr>
          <w:rStyle w:val="Italic"/>
          <w:iCs/>
        </w:rPr>
        <w:t>Caltrans Standard Plan ES-5B</w:t>
      </w:r>
      <w:r w:rsidRPr="00DC7461">
        <w:t>. 2002.</w:t>
      </w:r>
    </w:p>
    <w:p w14:paraId="59F49CAE" w14:textId="77777777" w:rsidR="00EE4FD9" w:rsidRPr="00DC7461" w:rsidRDefault="00EE4FD9" w:rsidP="005D5A6C">
      <w:pPr>
        <w:pStyle w:val="BodyText"/>
      </w:pPr>
      <w:r w:rsidRPr="00DC7461">
        <w:rPr>
          <w:rStyle w:val="Italic"/>
          <w:iCs/>
        </w:rPr>
        <w:t>Cebon, David</w:t>
      </w:r>
      <w:r w:rsidRPr="00DC7461">
        <w:t xml:space="preserve">. “Multiple-Sensor Weigh-in-Motion,” in Weigh-in-Motion of Road Vehicles Proceedings of the Final Symposium of the project WAVE, May 6-7, 1999. </w:t>
      </w:r>
    </w:p>
    <w:p w14:paraId="182BA81D" w14:textId="77777777" w:rsidR="00EE4FD9" w:rsidRPr="00DC7461" w:rsidRDefault="00EE4FD9" w:rsidP="005D5A6C">
      <w:pPr>
        <w:pStyle w:val="BodyText"/>
      </w:pPr>
      <w:r w:rsidRPr="00DC7461">
        <w:t>Cherry Creek Trail 2010 Continuous Count Data, Colorado Department of Transportation.</w:t>
      </w:r>
    </w:p>
    <w:p w14:paraId="5DDD1F66" w14:textId="77777777" w:rsidR="00EE4FD9" w:rsidRPr="00DC7461" w:rsidRDefault="00EE4FD9" w:rsidP="005D5A6C">
      <w:pPr>
        <w:pStyle w:val="BodyText"/>
      </w:pPr>
      <w:r w:rsidRPr="00DC7461">
        <w:t xml:space="preserve">Cochran, William G. 1977. </w:t>
      </w:r>
      <w:r w:rsidRPr="00DC7461">
        <w:rPr>
          <w:rStyle w:val="Italic"/>
          <w:iCs/>
        </w:rPr>
        <w:t>Sampling Techniques</w:t>
      </w:r>
      <w:r w:rsidRPr="00DC7461">
        <w:t>, Third Edition. Wiley: New York.</w:t>
      </w:r>
    </w:p>
    <w:p w14:paraId="070A751C" w14:textId="77777777" w:rsidR="00EE4FD9" w:rsidRPr="00DC7461" w:rsidRDefault="00EE4FD9" w:rsidP="005D5A6C">
      <w:pPr>
        <w:pStyle w:val="BodyText"/>
      </w:pPr>
      <w:r w:rsidRPr="00DC7461">
        <w:rPr>
          <w:rStyle w:val="Italic"/>
          <w:iCs/>
        </w:rPr>
        <w:t>Counting Motorcycles</w:t>
      </w:r>
      <w:r w:rsidRPr="00DC7461">
        <w:t xml:space="preserve">, 2010. AASHTO Standing Committee on Planning. </w:t>
      </w:r>
    </w:p>
    <w:p w14:paraId="373B599C" w14:textId="2BB477EF" w:rsidR="00EE4FD9" w:rsidRPr="00DC7461" w:rsidRDefault="00EE4FD9" w:rsidP="005D5A6C">
      <w:pPr>
        <w:pStyle w:val="BodyText"/>
      </w:pPr>
      <w:r w:rsidRPr="00DC7461">
        <w:rPr>
          <w:rStyle w:val="Italic"/>
          <w:iCs/>
        </w:rPr>
        <w:t>CycleTracks for iPhone and Android</w:t>
      </w:r>
      <w:r w:rsidRPr="00DC7461">
        <w:t xml:space="preserve">. Accessed March 12, 2012. </w:t>
      </w:r>
      <w:hyperlink r:id="rId269" w:history="1">
        <w:r w:rsidR="001A0A32" w:rsidRPr="00DC7461">
          <w:rPr>
            <w:rStyle w:val="Hyperlink"/>
          </w:rPr>
          <w:t>http://www.sfcta.org/cycletracks</w:t>
        </w:r>
      </w:hyperlink>
      <w:r w:rsidRPr="00DC7461">
        <w:t>.</w:t>
      </w:r>
    </w:p>
    <w:p w14:paraId="7AE9967A" w14:textId="077A8084" w:rsidR="00EE4FD9" w:rsidRPr="00DC7461" w:rsidRDefault="00EE4FD9" w:rsidP="005D5A6C">
      <w:pPr>
        <w:pStyle w:val="BodyText"/>
      </w:pPr>
      <w:r w:rsidRPr="00DC7461">
        <w:t xml:space="preserve">Federal Highway Administration. HPMS Community of Practice: Retrieved from: </w:t>
      </w:r>
      <w:hyperlink r:id="rId270" w:history="1">
        <w:r w:rsidR="00A332F6" w:rsidRPr="00DC7461">
          <w:rPr>
            <w:rStyle w:val="Hyperlink"/>
          </w:rPr>
          <w:t>http://knowledge.fhwa.dot.gov/cops/hcx.nsf/home?openform&amp;Group=Highway%20Performance%20Monitoring%20System%20(HPMS)</w:t>
        </w:r>
      </w:hyperlink>
      <w:r w:rsidRPr="00DC7461">
        <w:t>.</w:t>
      </w:r>
    </w:p>
    <w:p w14:paraId="6E3EBA3B" w14:textId="179E1F5A" w:rsidR="00EE4FD9" w:rsidRPr="00DC7461" w:rsidRDefault="00EE4FD9" w:rsidP="005D5A6C">
      <w:pPr>
        <w:pStyle w:val="BodyText"/>
      </w:pPr>
      <w:r w:rsidRPr="00DC7461">
        <w:t xml:space="preserve">Federal Highway Administration. Travel Monitoring Analysis System (TMAS). Request access: </w:t>
      </w:r>
      <w:hyperlink r:id="rId271" w:anchor="fieldsites" w:history="1">
        <w:r w:rsidR="001A0A32" w:rsidRPr="00DC7461">
          <w:rPr>
            <w:rStyle w:val="Hyperlink"/>
          </w:rPr>
          <w:t>http://www.fhwa.dot.gov/field.html#fieldsites</w:t>
        </w:r>
      </w:hyperlink>
      <w:r w:rsidRPr="00DC7461">
        <w:t>.</w:t>
      </w:r>
    </w:p>
    <w:p w14:paraId="777B69A2" w14:textId="41278BFE" w:rsidR="00EE4FD9" w:rsidRPr="00DC7461" w:rsidRDefault="00EE4FD9" w:rsidP="005D5A6C">
      <w:pPr>
        <w:pStyle w:val="BodyText"/>
      </w:pPr>
      <w:r w:rsidRPr="00DC7461">
        <w:t xml:space="preserve">Federal Highway Administration. Travel Monitoring Community of Practice. Retrieved from: </w:t>
      </w:r>
      <w:hyperlink r:id="rId272" w:history="1">
        <w:r w:rsidR="001A0A32" w:rsidRPr="00DC7461">
          <w:rPr>
            <w:rStyle w:val="Hyperlink"/>
          </w:rPr>
          <w:t>http://knowledge.fhwa.dot.gov/cops/hcx.nsf/home?openform&amp;Group=Travel%20Monitoring</w:t>
        </w:r>
      </w:hyperlink>
      <w:r w:rsidRPr="00DC7461">
        <w:t>.</w:t>
      </w:r>
    </w:p>
    <w:p w14:paraId="34515989" w14:textId="19A282FD" w:rsidR="001A0A32" w:rsidRPr="00DC7461" w:rsidRDefault="00BB17FC" w:rsidP="005D5A6C">
      <w:pPr>
        <w:spacing w:after="120"/>
        <w:jc w:val="left"/>
        <w:rPr>
          <w:color w:val="auto"/>
        </w:rPr>
      </w:pPr>
      <w:r w:rsidRPr="00DC7461">
        <w:t xml:space="preserve">Federal Highway Administration, 2018. </w:t>
      </w:r>
      <w:r w:rsidRPr="00DC7461">
        <w:rPr>
          <w:rStyle w:val="Italic"/>
          <w:iCs/>
        </w:rPr>
        <w:t>Traffic Data Pocket Guide</w:t>
      </w:r>
      <w:r w:rsidRPr="00DC7461">
        <w:t xml:space="preserve">, Third Edition, Vol. 1, Chapter 1. FHWA-PL-18-027. </w:t>
      </w:r>
      <w:hyperlink r:id="rId273" w:history="1">
        <w:r w:rsidR="001A0A32" w:rsidRPr="00DC7461">
          <w:rPr>
            <w:rStyle w:val="Hyperlink"/>
          </w:rPr>
          <w:t>https://www.fhwa.dot.gov/policyinformation/pubs/pl18027_traffic_data_pocket_guide.pdf</w:t>
        </w:r>
      </w:hyperlink>
    </w:p>
    <w:p w14:paraId="549063F6" w14:textId="18C07E3E" w:rsidR="00EE4FD9" w:rsidRPr="00DC7461" w:rsidRDefault="00EE4FD9" w:rsidP="005D5A6C">
      <w:pPr>
        <w:pStyle w:val="BodyText"/>
      </w:pPr>
      <w:r w:rsidRPr="00DC7461">
        <w:t xml:space="preserve">Federal Highway Administration. 2006. </w:t>
      </w:r>
      <w:r w:rsidRPr="00DC7461">
        <w:rPr>
          <w:rStyle w:val="Italic"/>
          <w:iCs/>
        </w:rPr>
        <w:t>Traffic Detector Handbook</w:t>
      </w:r>
      <w:r w:rsidRPr="00DC7461">
        <w:t xml:space="preserve">, Third Edition, Vol. 1, Chapter 1. FHWA-HRT-06-108. </w:t>
      </w:r>
      <w:hyperlink r:id="rId274" w:history="1">
        <w:r w:rsidR="001A0A32" w:rsidRPr="00DC7461">
          <w:rPr>
            <w:rStyle w:val="Hyperlink"/>
          </w:rPr>
          <w:t>http://www.fhwa.dot.gov/publications/research/operations/ITS/06108</w:t>
        </w:r>
      </w:hyperlink>
      <w:r w:rsidRPr="00DC7461">
        <w:t>.</w:t>
      </w:r>
    </w:p>
    <w:p w14:paraId="4257B4CD" w14:textId="45D56F6E" w:rsidR="00EE4FD9" w:rsidRPr="00DC7461" w:rsidRDefault="00EE4FD9" w:rsidP="005D5A6C">
      <w:pPr>
        <w:pStyle w:val="BodyText"/>
      </w:pPr>
      <w:r w:rsidRPr="00DC7461">
        <w:t xml:space="preserve">FHWA Office of Highway Policy Information, </w:t>
      </w:r>
      <w:r w:rsidRPr="00DC7461">
        <w:rPr>
          <w:i/>
        </w:rPr>
        <w:t>Highway Performance Monitoring System</w:t>
      </w:r>
      <w:r w:rsidRPr="00DC7461">
        <w:t>. Retrieved at:</w:t>
      </w:r>
      <w:r w:rsidR="004D4172" w:rsidRPr="00DC7461">
        <w:t xml:space="preserve"> </w:t>
      </w:r>
      <w:r w:rsidRPr="00DC7461">
        <w:t xml:space="preserve">website: </w:t>
      </w:r>
      <w:hyperlink r:id="rId275" w:history="1">
        <w:r w:rsidR="001A0A32" w:rsidRPr="00DC7461">
          <w:rPr>
            <w:rStyle w:val="Hyperlink"/>
          </w:rPr>
          <w:t>http://www.fhwa.dot.gov/policyinformation/hpms/faqs.cfm</w:t>
        </w:r>
      </w:hyperlink>
      <w:r w:rsidRPr="00DC7461">
        <w:t>.</w:t>
      </w:r>
    </w:p>
    <w:p w14:paraId="39BFED8C" w14:textId="44754439" w:rsidR="00EE4FD9" w:rsidRPr="00DC7461" w:rsidRDefault="004909D1" w:rsidP="005D5A6C">
      <w:pPr>
        <w:pStyle w:val="BodyText"/>
      </w:pPr>
      <w:r w:rsidRPr="00DC7461">
        <w:t xml:space="preserve">Federal Highway Administration, 1997. </w:t>
      </w:r>
      <w:r w:rsidR="00EE4FD9" w:rsidRPr="00DC7461">
        <w:t xml:space="preserve">FHWA-PL-97-018. May 1997. </w:t>
      </w:r>
      <w:r w:rsidR="00EE4FD9" w:rsidRPr="00DC7461">
        <w:rPr>
          <w:rStyle w:val="Italic"/>
          <w:iCs/>
        </w:rPr>
        <w:t>Field Test of Monitoring of Urban Vehicle Operations Using Non-Intrusive Technologies</w:t>
      </w:r>
      <w:r w:rsidR="00EE4FD9" w:rsidRPr="00DC7461">
        <w:t>, by Minnesota DOT and SRF Consulting.</w:t>
      </w:r>
    </w:p>
    <w:p w14:paraId="6027B41D" w14:textId="0529F27B" w:rsidR="001A0A32" w:rsidRPr="00DC7461" w:rsidRDefault="004909D1" w:rsidP="005D5A6C">
      <w:pPr>
        <w:spacing w:after="120"/>
        <w:jc w:val="left"/>
        <w:rPr>
          <w:color w:val="auto"/>
        </w:rPr>
      </w:pPr>
      <w:r w:rsidRPr="00DC7461">
        <w:t xml:space="preserve">Federal Highway Administration, 2018. WIM Pocket Guide. </w:t>
      </w:r>
      <w:hyperlink r:id="rId276" w:history="1">
        <w:r w:rsidR="001A0A32" w:rsidRPr="00DC7461">
          <w:rPr>
            <w:rStyle w:val="Hyperlink"/>
          </w:rPr>
          <w:t>https://www.fhwa.dot.gov/policyinformation/knowledgecenter/wim_guide/</w:t>
        </w:r>
      </w:hyperlink>
    </w:p>
    <w:p w14:paraId="1308DBDE" w14:textId="3788462A" w:rsidR="00EE4FD9" w:rsidRPr="00DC7461" w:rsidRDefault="00EE4FD9" w:rsidP="005D5A6C">
      <w:pPr>
        <w:pStyle w:val="BodyText"/>
      </w:pPr>
      <w:r w:rsidRPr="00DC7461">
        <w:t>Georgia Department of Transportation Traffic Monitoring Program V2, 2012.</w:t>
      </w:r>
    </w:p>
    <w:p w14:paraId="55E79C7A" w14:textId="77777777" w:rsidR="00EE4FD9" w:rsidRPr="00DC7461" w:rsidRDefault="00EE4FD9" w:rsidP="005D5A6C">
      <w:pPr>
        <w:pStyle w:val="BodyText"/>
      </w:pPr>
      <w:r w:rsidRPr="00DC7461">
        <w:t xml:space="preserve">Greene-Roesel et al 2008. </w:t>
      </w:r>
    </w:p>
    <w:p w14:paraId="316AE371" w14:textId="77777777" w:rsidR="00EE4FD9" w:rsidRPr="00DC7461" w:rsidRDefault="00EE4FD9" w:rsidP="005D5A6C">
      <w:pPr>
        <w:pStyle w:val="BodyText"/>
      </w:pPr>
      <w:r w:rsidRPr="00DC7461">
        <w:t>Grembek and Schneider. 2012.</w:t>
      </w:r>
    </w:p>
    <w:p w14:paraId="6CA427D6" w14:textId="77777777" w:rsidR="00EE4FD9" w:rsidRPr="00DC7461" w:rsidRDefault="00EE4FD9" w:rsidP="005D5A6C">
      <w:pPr>
        <w:pStyle w:val="BodyText"/>
      </w:pPr>
      <w:r w:rsidRPr="00DC7461">
        <w:t xml:space="preserve">Haas, R., Carter, M., Perry., E., Trombly, J., Bedsole, E., and Margiotta, R. 2009. </w:t>
      </w:r>
      <w:r w:rsidRPr="00DC7461">
        <w:rPr>
          <w:i/>
        </w:rPr>
        <w:t>iFlorida Model Deployment Final Evaluation Report</w:t>
      </w:r>
      <w:r w:rsidRPr="00DC7461">
        <w:t>. Federal Highway Administration.</w:t>
      </w:r>
    </w:p>
    <w:p w14:paraId="3EC74410" w14:textId="77777777" w:rsidR="00EE4FD9" w:rsidRPr="00DC7461" w:rsidRDefault="00EE4FD9" w:rsidP="005D5A6C">
      <w:pPr>
        <w:pStyle w:val="BodyText"/>
      </w:pPr>
      <w:r w:rsidRPr="00DC7461">
        <w:lastRenderedPageBreak/>
        <w:t xml:space="preserve">Hallenbeck, M.E., and Kim, Soon-Guam. 1993. </w:t>
      </w:r>
      <w:r w:rsidRPr="00DC7461">
        <w:rPr>
          <w:i/>
        </w:rPr>
        <w:t>Summary of Truck Loading Patterns in Washington State</w:t>
      </w:r>
      <w:r w:rsidRPr="00DC7461">
        <w:t>, Washington State Transportation Center.</w:t>
      </w:r>
    </w:p>
    <w:p w14:paraId="7D8AE9E8" w14:textId="77777777" w:rsidR="00EE4FD9" w:rsidRPr="00DC7461" w:rsidRDefault="00EE4FD9" w:rsidP="005D5A6C">
      <w:pPr>
        <w:pStyle w:val="BodyText"/>
      </w:pPr>
      <w:r w:rsidRPr="00DC7461">
        <w:t xml:space="preserve">Hallenbeck and Weinblatt. 2004. </w:t>
      </w:r>
      <w:r w:rsidRPr="00DC7461">
        <w:rPr>
          <w:rStyle w:val="Italic"/>
          <w:iCs/>
        </w:rPr>
        <w:t>NCHRP Report 509, Equipment for Collecting Traffic Load Data</w:t>
      </w:r>
      <w:r w:rsidRPr="00DC7461">
        <w:t>, Transportation Research Board.</w:t>
      </w:r>
    </w:p>
    <w:p w14:paraId="553C7027" w14:textId="2EFCB969" w:rsidR="00EE4FD9" w:rsidRPr="00DC7461" w:rsidRDefault="00EE4FD9" w:rsidP="005D5A6C">
      <w:pPr>
        <w:pStyle w:val="BodyText"/>
      </w:pPr>
      <w:r w:rsidRPr="00DC7461">
        <w:t xml:space="preserve">Hallenbeck, Rice, Cornell-Martinez, and Smith. 1997. </w:t>
      </w:r>
      <w:r w:rsidRPr="00DC7461">
        <w:rPr>
          <w:rStyle w:val="Italic"/>
          <w:iCs/>
        </w:rPr>
        <w:t>Vehicle Volume Distributions by Classification</w:t>
      </w:r>
      <w:r w:rsidRPr="00DC7461">
        <w:t>, FHWA-PL-97-025.</w:t>
      </w:r>
    </w:p>
    <w:p w14:paraId="0AA76036" w14:textId="77777777" w:rsidR="00EE4FD9" w:rsidRPr="00DC7461" w:rsidRDefault="00EE4FD9" w:rsidP="005D5A6C">
      <w:pPr>
        <w:pStyle w:val="BodyText"/>
      </w:pPr>
      <w:r w:rsidRPr="00DC7461">
        <w:t xml:space="preserve">Hallmark, S.L. and Lamptey, S. 2004. </w:t>
      </w:r>
      <w:r w:rsidRPr="00DC7461">
        <w:rPr>
          <w:i/>
        </w:rPr>
        <w:t>Evaluation of Different Methods to Calculate Heavy-Truck VMT</w:t>
      </w:r>
      <w:r w:rsidRPr="00DC7461">
        <w:t>. Midwest Transportation Consortium, Ames, IA.</w:t>
      </w:r>
    </w:p>
    <w:p w14:paraId="4329B631" w14:textId="27215CEA" w:rsidR="001A0A32" w:rsidRPr="00DC7461" w:rsidRDefault="00EE4FD9" w:rsidP="005D5A6C">
      <w:pPr>
        <w:spacing w:after="120"/>
        <w:jc w:val="left"/>
        <w:rPr>
          <w:color w:val="auto"/>
        </w:rPr>
      </w:pPr>
      <w:r w:rsidRPr="00DC7461">
        <w:rPr>
          <w:rStyle w:val="Italic"/>
          <w:iCs/>
        </w:rPr>
        <w:t>HPMS Field Manual</w:t>
      </w:r>
      <w:r w:rsidRPr="00DC7461">
        <w:t xml:space="preserve">. </w:t>
      </w:r>
      <w:r w:rsidR="00BB17FC" w:rsidRPr="00DC7461">
        <w:t>Dece</w:t>
      </w:r>
      <w:r w:rsidRPr="00DC7461">
        <w:t>mber 201</w:t>
      </w:r>
      <w:r w:rsidR="00BB17FC" w:rsidRPr="00DC7461">
        <w:t>6</w:t>
      </w:r>
      <w:r w:rsidRPr="00DC7461">
        <w:t xml:space="preserve">. </w:t>
      </w:r>
      <w:hyperlink r:id="rId277" w:history="1">
        <w:r w:rsidR="001A0A32" w:rsidRPr="00DC7461">
          <w:rPr>
            <w:rStyle w:val="Hyperlink"/>
          </w:rPr>
          <w:t>https://www.fhwa.dot.gov/policyinformation/hpms/fieldmanual/</w:t>
        </w:r>
      </w:hyperlink>
    </w:p>
    <w:p w14:paraId="675AEDE3" w14:textId="1407702F" w:rsidR="001A0A32" w:rsidRPr="00DC7461" w:rsidRDefault="00664409" w:rsidP="005D5A6C">
      <w:pPr>
        <w:spacing w:after="120"/>
        <w:jc w:val="left"/>
      </w:pPr>
      <w:r w:rsidRPr="00DC7461">
        <w:rPr>
          <w:rStyle w:val="Italic"/>
          <w:iCs/>
        </w:rPr>
        <w:t>HPMS Field Manual Errata Sheet</w:t>
      </w:r>
      <w:r w:rsidRPr="00DC7461">
        <w:t>. November 2020.</w:t>
      </w:r>
      <w:r w:rsidR="00BB17FC" w:rsidRPr="00DC7461">
        <w:t xml:space="preserve"> </w:t>
      </w:r>
      <w:hyperlink r:id="rId278" w:history="1">
        <w:r w:rsidR="001A0A32" w:rsidRPr="00DC7461">
          <w:rPr>
            <w:rStyle w:val="Hyperlink"/>
          </w:rPr>
          <w:t>https://www.fhwa.dot.gov/policyinformation/hpms/fieldmanual/page20.cfm</w:t>
        </w:r>
      </w:hyperlink>
    </w:p>
    <w:p w14:paraId="7D95EF79" w14:textId="24CAFAAE" w:rsidR="00EE4FD9" w:rsidRPr="00DC7461" w:rsidRDefault="00EE4FD9" w:rsidP="005D5A6C">
      <w:pPr>
        <w:spacing w:after="120"/>
        <w:jc w:val="left"/>
      </w:pPr>
      <w:r w:rsidRPr="00DC7461">
        <w:t xml:space="preserve">Hu, P., Wright, T., and Esteve, T. 1998. </w:t>
      </w:r>
      <w:r w:rsidRPr="00DC7461">
        <w:rPr>
          <w:rStyle w:val="Italic"/>
          <w:iCs/>
        </w:rPr>
        <w:t>Traffic Count Estimates for Short-Term Traffic Monitoring Sites: A Simulation Study</w:t>
      </w:r>
      <w:r w:rsidRPr="00DC7461">
        <w:t>. Transportation Research Record, Number 1625, pp. 26 - 34. National Research Council, Washington, D.C.</w:t>
      </w:r>
    </w:p>
    <w:p w14:paraId="7C10E319" w14:textId="19FFA7E6" w:rsidR="00EE4FD9" w:rsidRPr="00DC7461" w:rsidRDefault="00EE4FD9" w:rsidP="005D5A6C">
      <w:pPr>
        <w:pStyle w:val="BodyText"/>
      </w:pPr>
      <w:r w:rsidRPr="00DC7461">
        <w:t xml:space="preserve">Klein, L.A., Mills, M.K., and Gibson, D.R.P. 2006. </w:t>
      </w:r>
      <w:r w:rsidRPr="00DC7461">
        <w:rPr>
          <w:i/>
        </w:rPr>
        <w:t>Traffic Detector Handbook: Third Edition</w:t>
      </w:r>
      <w:r w:rsidRPr="00DC7461">
        <w:t xml:space="preserve">. Federal Highway Administration. </w:t>
      </w:r>
    </w:p>
    <w:p w14:paraId="2EE536E3" w14:textId="77777777" w:rsidR="00EE4FD9" w:rsidRPr="00DC7461" w:rsidRDefault="00EE4FD9" w:rsidP="005D5A6C">
      <w:pPr>
        <w:pStyle w:val="BodyText"/>
      </w:pPr>
      <w:r w:rsidRPr="00DC7461">
        <w:t xml:space="preserve">Kotzenmacher, Minge, and Hao. 2005. </w:t>
      </w:r>
      <w:r w:rsidRPr="00DC7461">
        <w:rPr>
          <w:rStyle w:val="Italic"/>
          <w:iCs/>
        </w:rPr>
        <w:t>Evaluation of Portable Non-Intrusive Traffic Detection System</w:t>
      </w:r>
      <w:r w:rsidRPr="00DC7461">
        <w:t>, Minnesota Department of Transportation, MN-RC-2205-37.</w:t>
      </w:r>
    </w:p>
    <w:p w14:paraId="045D33AC" w14:textId="25E49623" w:rsidR="00F61BFE" w:rsidRPr="00DC7461" w:rsidRDefault="00F61BFE" w:rsidP="005D5A6C">
      <w:pPr>
        <w:spacing w:after="120"/>
        <w:jc w:val="left"/>
        <w:rPr>
          <w:lang w:eastAsia="ja-JP"/>
        </w:rPr>
      </w:pPr>
      <w:r w:rsidRPr="00DC7461">
        <w:t>Krile, R., Feng, J., and Schroeder, J. 2015</w:t>
      </w:r>
      <w:r w:rsidR="000803B7">
        <w:t>a</w:t>
      </w:r>
      <w:r w:rsidRPr="00DC7461">
        <w:t xml:space="preserve">. </w:t>
      </w:r>
      <w:r w:rsidRPr="00DC7461">
        <w:rPr>
          <w:i/>
          <w:lang w:eastAsia="ja-JP"/>
        </w:rPr>
        <w:t>Assessing Roadway Traffic Count Duration and Frequency Impacts on Annual Average Daily Traffic Estimation: Assessing Accuracy Issues with Current Known Methods in AADT Estimation from Continuous Traffic Monitoring Data</w:t>
      </w:r>
      <w:r w:rsidRPr="00DC7461">
        <w:rPr>
          <w:lang w:eastAsia="ja-JP"/>
        </w:rPr>
        <w:t>. Federal Highway Administration. FHWA-PL-15-008.</w:t>
      </w:r>
    </w:p>
    <w:p w14:paraId="2A775F3C" w14:textId="69ACD141" w:rsidR="00EE4FD9" w:rsidRPr="00DC7461" w:rsidRDefault="00EE4FD9" w:rsidP="005D5A6C">
      <w:pPr>
        <w:spacing w:after="120"/>
        <w:jc w:val="left"/>
        <w:rPr>
          <w:lang w:eastAsia="ja-JP"/>
        </w:rPr>
      </w:pPr>
      <w:r w:rsidRPr="00DC7461">
        <w:t>Krile, R., Todt, F., and Schroeder, J. 2015</w:t>
      </w:r>
      <w:r w:rsidR="000803B7">
        <w:t>b</w:t>
      </w:r>
      <w:r w:rsidRPr="00DC7461">
        <w:t xml:space="preserve">. </w:t>
      </w:r>
      <w:r w:rsidRPr="00DC7461">
        <w:rPr>
          <w:i/>
          <w:lang w:eastAsia="ja-JP"/>
        </w:rPr>
        <w:t>Assessing Roadway Traffic Count Duration and Frequency Impacts on Annual Average Daily Traffic Estimation: Assessing Accuracy Issues Related to Short-Term Count Durations</w:t>
      </w:r>
      <w:r w:rsidRPr="00DC7461">
        <w:rPr>
          <w:lang w:eastAsia="ja-JP"/>
        </w:rPr>
        <w:t>. Federal Highway Administration. FHWA-PL-16-008.</w:t>
      </w:r>
    </w:p>
    <w:p w14:paraId="155D3D21" w14:textId="72FF960D" w:rsidR="004909D1" w:rsidRPr="00DC7461" w:rsidRDefault="004909D1" w:rsidP="005D5A6C">
      <w:pPr>
        <w:pStyle w:val="BodyText"/>
      </w:pPr>
      <w:r w:rsidRPr="00DC7461">
        <w:t xml:space="preserve">Lindsey, G., Hourdos, J., Dirks, P., Duhn, M., Qi, Y., Singer-Berk, L., and Petesch, M. 2020. </w:t>
      </w:r>
      <w:r w:rsidRPr="00DC7461">
        <w:rPr>
          <w:i/>
          <w:iCs/>
        </w:rPr>
        <w:t>Pedestrian Traffic and Safety on Four Anishinaabe Reservations Case Study,</w:t>
      </w:r>
      <w:r w:rsidRPr="00DC7461">
        <w:t xml:space="preserve"> Minnesota DOT.</w:t>
      </w:r>
      <w:r w:rsidR="004D4172" w:rsidRPr="00DC7461">
        <w:t xml:space="preserve"> </w:t>
      </w:r>
    </w:p>
    <w:p w14:paraId="408D4030" w14:textId="61445427" w:rsidR="00EE4FD9" w:rsidRPr="00DC7461" w:rsidRDefault="00EE4FD9" w:rsidP="005D5A6C">
      <w:pPr>
        <w:pStyle w:val="BodyText"/>
      </w:pPr>
      <w:r w:rsidRPr="00DC7461">
        <w:t xml:space="preserve">Lindsey, G., Chen, J., Hankey, S., and Wang, X. 2012. </w:t>
      </w:r>
      <w:r w:rsidRPr="00DC7461">
        <w:rPr>
          <w:rStyle w:val="Italic"/>
          <w:iCs/>
          <w:spacing w:val="-2"/>
        </w:rPr>
        <w:t>Adjustment Factors for Estimating Miles Traveled by Non-motorized Traffic</w:t>
      </w:r>
      <w:r w:rsidRPr="00DC7461">
        <w:t>. Unpublished manuscript prepared for submission to the Transportation Research Board 2013 Annual Meeting. Humphrey School of Public Affairs, University of Minneapolis, MN.</w:t>
      </w:r>
    </w:p>
    <w:p w14:paraId="05E43E8B" w14:textId="26E66A73" w:rsidR="00EE4FD9" w:rsidRPr="00DC7461" w:rsidRDefault="00EE4FD9" w:rsidP="005D5A6C">
      <w:pPr>
        <w:pStyle w:val="BodyText"/>
      </w:pPr>
      <w:r w:rsidRPr="00DC7461">
        <w:rPr>
          <w:rStyle w:val="Italic"/>
          <w:iCs/>
        </w:rPr>
        <w:t>Long Term Pavement Performance Program</w:t>
      </w:r>
      <w:r w:rsidRPr="00DC7461">
        <w:t xml:space="preserve">. </w:t>
      </w:r>
      <w:hyperlink r:id="rId279" w:history="1">
        <w:r w:rsidR="001A0A32" w:rsidRPr="00DC7461">
          <w:rPr>
            <w:rStyle w:val="Hyperlink"/>
          </w:rPr>
          <w:t>http://www.fhwa.dot.gov/pavement/ltpp/</w:t>
        </w:r>
      </w:hyperlink>
      <w:r w:rsidRPr="00DC7461">
        <w:t>.</w:t>
      </w:r>
    </w:p>
    <w:p w14:paraId="20400A74" w14:textId="253989AA" w:rsidR="00EE4FD9" w:rsidRPr="00DC7461" w:rsidRDefault="00EE4FD9" w:rsidP="005D5A6C">
      <w:pPr>
        <w:pStyle w:val="BodyText"/>
      </w:pPr>
      <w:r w:rsidRPr="00DC7461">
        <w:t xml:space="preserve">LTPP Customer Support Service Center. </w:t>
      </w:r>
      <w:hyperlink r:id="rId280" w:history="1">
        <w:r w:rsidR="001A0A32" w:rsidRPr="00DC7461">
          <w:rPr>
            <w:rStyle w:val="Hyperlink"/>
          </w:rPr>
          <w:t>ltppinfo@dot.gov</w:t>
        </w:r>
      </w:hyperlink>
      <w:r w:rsidRPr="00DC7461">
        <w:t>.</w:t>
      </w:r>
    </w:p>
    <w:p w14:paraId="53DDC135" w14:textId="77777777" w:rsidR="00EE4FD9" w:rsidRPr="00DC7461" w:rsidRDefault="00EE4FD9" w:rsidP="005D5A6C">
      <w:pPr>
        <w:pStyle w:val="BodyText"/>
      </w:pPr>
      <w:r w:rsidRPr="00DC7461">
        <w:t xml:space="preserve">Malinovskiy, Y., Zheng, J., and Wang, Y. 2009. </w:t>
      </w:r>
      <w:r w:rsidRPr="00DC7461">
        <w:rPr>
          <w:rStyle w:val="Italic"/>
          <w:iCs/>
        </w:rPr>
        <w:t>Model-Free Video Detection and Tracking of Pedestrians and Bicyclists</w:t>
      </w:r>
      <w:r w:rsidRPr="00DC7461">
        <w:t>. Computer-Aided Civil and Infrastructure Engineering, Volume 24.</w:t>
      </w:r>
    </w:p>
    <w:p w14:paraId="7D49E983" w14:textId="77777777" w:rsidR="00EE4FD9" w:rsidRPr="00DC7461" w:rsidRDefault="00EE4FD9" w:rsidP="005D5A6C">
      <w:pPr>
        <w:pStyle w:val="BodyText"/>
      </w:pPr>
      <w:r w:rsidRPr="00DC7461">
        <w:t>Marin County NTPP Specifications Sheet. 2009.</w:t>
      </w:r>
    </w:p>
    <w:p w14:paraId="17904FF0" w14:textId="77777777" w:rsidR="00EE4FD9" w:rsidRPr="00DC7461" w:rsidRDefault="00EE4FD9" w:rsidP="005D5A6C">
      <w:pPr>
        <w:pStyle w:val="BodyText"/>
      </w:pPr>
      <w:r w:rsidRPr="00DC7461">
        <w:rPr>
          <w:rStyle w:val="Italic"/>
          <w:iCs/>
        </w:rPr>
        <w:t>MEPDG Traffic Loading Defaults Derived from LTPP Pooled Fund Study</w:t>
      </w:r>
      <w:r w:rsidRPr="00DC7461">
        <w:t>. 2012.</w:t>
      </w:r>
    </w:p>
    <w:p w14:paraId="16575BB8" w14:textId="10F616D0" w:rsidR="00EE4FD9" w:rsidRPr="00DC7461" w:rsidRDefault="00EE4FD9" w:rsidP="005D5A6C">
      <w:pPr>
        <w:pStyle w:val="BodyText"/>
      </w:pPr>
      <w:r w:rsidRPr="00DC7461">
        <w:rPr>
          <w:rStyle w:val="Italic"/>
          <w:iCs/>
        </w:rPr>
        <w:t>National Bicycle and Pedestrian Documentation Project: Instructions</w:t>
      </w:r>
      <w:r w:rsidRPr="00DC7461">
        <w:t xml:space="preserve">. Accessed March 22, 2012: </w:t>
      </w:r>
      <w:hyperlink r:id="rId281" w:history="1">
        <w:r w:rsidR="001A0A32" w:rsidRPr="00DC7461">
          <w:rPr>
            <w:rStyle w:val="Hyperlink"/>
          </w:rPr>
          <w:t>http://bikepeddocumentation.org/downloads/</w:t>
        </w:r>
      </w:hyperlink>
      <w:r w:rsidRPr="00DC7461">
        <w:t xml:space="preserve">. </w:t>
      </w:r>
    </w:p>
    <w:p w14:paraId="306657CB" w14:textId="67B2CD1C" w:rsidR="00EE4FD9" w:rsidRPr="00DC7461" w:rsidRDefault="00EE4FD9" w:rsidP="005D5A6C">
      <w:pPr>
        <w:pStyle w:val="BodyText"/>
      </w:pPr>
      <w:r w:rsidRPr="00DC7461">
        <w:rPr>
          <w:rStyle w:val="Italic"/>
          <w:iCs/>
        </w:rPr>
        <w:t>National Bike and Pedestrian Documentation Project</w:t>
      </w:r>
      <w:r w:rsidRPr="00DC7461">
        <w:t xml:space="preserve">. Retrieved at: </w:t>
      </w:r>
      <w:hyperlink r:id="rId282" w:history="1">
        <w:r w:rsidR="001A0A32" w:rsidRPr="00DC7461">
          <w:rPr>
            <w:rStyle w:val="Hyperlink"/>
          </w:rPr>
          <w:t>http://bikepeddocumentation.org/</w:t>
        </w:r>
      </w:hyperlink>
      <w:r w:rsidRPr="00DC7461">
        <w:t>.</w:t>
      </w:r>
    </w:p>
    <w:p w14:paraId="6142D831" w14:textId="77777777" w:rsidR="00EE4FD9" w:rsidRPr="00DC7461" w:rsidRDefault="00EE4FD9" w:rsidP="005D5A6C">
      <w:pPr>
        <w:pStyle w:val="BodyText"/>
      </w:pPr>
      <w:r w:rsidRPr="00DC7461">
        <w:rPr>
          <w:rStyle w:val="Italic"/>
          <w:iCs/>
        </w:rPr>
        <w:t>National Condition and Performance Report</w:t>
      </w:r>
      <w:r w:rsidRPr="00DC7461">
        <w:t>.</w:t>
      </w:r>
    </w:p>
    <w:p w14:paraId="5C6CBAA6" w14:textId="77777777" w:rsidR="00EE4FD9" w:rsidRPr="00DC7461" w:rsidRDefault="00EE4FD9" w:rsidP="005D5A6C">
      <w:pPr>
        <w:pStyle w:val="BodyText"/>
      </w:pPr>
      <w:r w:rsidRPr="00DC7461">
        <w:t xml:space="preserve">NCHRP Project 1-37A, </w:t>
      </w:r>
      <w:r w:rsidRPr="00DC7461">
        <w:rPr>
          <w:rStyle w:val="Italic"/>
          <w:iCs/>
        </w:rPr>
        <w:t>Development of the 2002 Guide for the Design of New and Rehabilitated Pavement Structures: Phase II</w:t>
      </w:r>
      <w:r w:rsidRPr="00DC7461">
        <w:t>.</w:t>
      </w:r>
    </w:p>
    <w:p w14:paraId="52414CE4" w14:textId="77777777" w:rsidR="00EE4FD9" w:rsidRPr="00DC7461" w:rsidRDefault="00EE4FD9" w:rsidP="005D5A6C">
      <w:pPr>
        <w:pStyle w:val="BodyText"/>
      </w:pPr>
      <w:r w:rsidRPr="00DC7461">
        <w:t xml:space="preserve">NCHRP Project 1-37A, </w:t>
      </w:r>
      <w:r w:rsidRPr="00DC7461">
        <w:rPr>
          <w:rStyle w:val="Italic"/>
          <w:iCs/>
        </w:rPr>
        <w:t>Mechanistic-Empirical Pavement Design Guide</w:t>
      </w:r>
      <w:r w:rsidRPr="00DC7461">
        <w:t>.</w:t>
      </w:r>
    </w:p>
    <w:p w14:paraId="2E2FB7D2" w14:textId="77777777" w:rsidR="00EE4FD9" w:rsidRPr="00DC7461" w:rsidRDefault="00EE4FD9" w:rsidP="005D5A6C">
      <w:pPr>
        <w:pStyle w:val="BodyText"/>
      </w:pPr>
      <w:r w:rsidRPr="00DC7461">
        <w:lastRenderedPageBreak/>
        <w:t xml:space="preserve">NCHRP Report 666. 2010. </w:t>
      </w:r>
      <w:r w:rsidRPr="00DC7461">
        <w:rPr>
          <w:rStyle w:val="Italic"/>
          <w:iCs/>
        </w:rPr>
        <w:t>Target Setting Methods and Data Management to Support Performance-Based Resource Allocation by Transportation Agencies</w:t>
      </w:r>
      <w:r w:rsidRPr="00DC7461">
        <w:t>. Volume I. Transportation Research Board, Washington. D.C.</w:t>
      </w:r>
    </w:p>
    <w:p w14:paraId="2002E54B" w14:textId="77777777" w:rsidR="00CB56E2" w:rsidRPr="00DC7461" w:rsidRDefault="00EE4FD9" w:rsidP="005D5A6C">
      <w:pPr>
        <w:pStyle w:val="BodyText"/>
      </w:pPr>
      <w:r w:rsidRPr="00DC7461">
        <w:t xml:space="preserve">NCHRP Report 666. 2010. </w:t>
      </w:r>
      <w:r w:rsidRPr="00DC7461">
        <w:rPr>
          <w:rStyle w:val="Italic"/>
          <w:iCs/>
        </w:rPr>
        <w:t>Target Setting Methods and Data Management to Support Performance-Based Resource Allocation by Transportation Agencies</w:t>
      </w:r>
      <w:r w:rsidRPr="00DC7461">
        <w:t>, Volume II. Transportation Research Board, Washington. D.C.</w:t>
      </w:r>
    </w:p>
    <w:p w14:paraId="77ABC9D4" w14:textId="220E7749" w:rsidR="00EE4FD9" w:rsidRPr="00DC7461" w:rsidRDefault="00EE4FD9" w:rsidP="005D5A6C">
      <w:pPr>
        <w:pStyle w:val="BodyText"/>
      </w:pPr>
      <w:r w:rsidRPr="00DC7461">
        <w:t xml:space="preserve">NCHRP Report 797. 2014. </w:t>
      </w:r>
      <w:r w:rsidRPr="00DC7461">
        <w:rPr>
          <w:i/>
        </w:rPr>
        <w:t>Guidebook on Pedestrian and Bicycle Volume Data Collection</w:t>
      </w:r>
      <w:r w:rsidRPr="00DC7461">
        <w:t>. Transportation Research Board, Washington. D.C.</w:t>
      </w:r>
    </w:p>
    <w:p w14:paraId="69F3D2A6" w14:textId="5DB0517A" w:rsidR="00262CED" w:rsidRPr="00DC7461" w:rsidRDefault="00262CED" w:rsidP="005D5A6C">
      <w:pPr>
        <w:pStyle w:val="BodyText"/>
      </w:pPr>
      <w:r w:rsidRPr="00DC7461">
        <w:t xml:space="preserve">New York State Department of Transportation. </w:t>
      </w:r>
      <w:r w:rsidRPr="00DC7461">
        <w:rPr>
          <w:i/>
        </w:rPr>
        <w:t>History—Past and Present</w:t>
      </w:r>
      <w:r w:rsidRPr="00DC7461">
        <w:t xml:space="preserve">. Retrieved at: </w:t>
      </w:r>
      <w:hyperlink r:id="rId283" w:history="1">
        <w:r w:rsidR="001A0A32" w:rsidRPr="00DC7461">
          <w:rPr>
            <w:rStyle w:val="Hyperlink"/>
          </w:rPr>
          <w:t>https://www.dot.ny.gov/about-nysdot/history/past-present</w:t>
        </w:r>
      </w:hyperlink>
      <w:r w:rsidRPr="00DC7461">
        <w:t>.</w:t>
      </w:r>
    </w:p>
    <w:p w14:paraId="2113A4E8" w14:textId="19C9AE35" w:rsidR="00CB56E2" w:rsidRPr="00DC7461" w:rsidRDefault="00CB56E2" w:rsidP="005D5A6C">
      <w:pPr>
        <w:pStyle w:val="BodyText"/>
      </w:pPr>
      <w:r w:rsidRPr="00DC7461">
        <w:t>Nordback, K., Kothuri, S., Johnstone, D., Lindsey, G., Ryan, A., and Raw, J. 2019. “</w:t>
      </w:r>
      <w:r w:rsidRPr="00DC7461">
        <w:rPr>
          <w:i/>
          <w:iCs/>
        </w:rPr>
        <w:t>Minimizing Annual Average Daily Nonmotorized Traffic Estimation Errors: How Many Counters Are Needed per Factor Group?”</w:t>
      </w:r>
      <w:r w:rsidRPr="00DC7461">
        <w:t xml:space="preserve">, Transportation Research Record Vol. 2673(10) 295–310. </w:t>
      </w:r>
    </w:p>
    <w:p w14:paraId="146AC25A" w14:textId="403797B8" w:rsidR="00EE4FD9" w:rsidRPr="00DC7461" w:rsidRDefault="00EE4FD9" w:rsidP="005D5A6C">
      <w:pPr>
        <w:pStyle w:val="BodyText"/>
      </w:pPr>
      <w:r w:rsidRPr="00DC7461">
        <w:t xml:space="preserve">Office of Highway Policy Information. </w:t>
      </w:r>
      <w:r w:rsidRPr="00DC7461">
        <w:rPr>
          <w:i/>
        </w:rPr>
        <w:t>Highway Performance Monitoring System. State Practices Used to Report Local Area Travel</w:t>
      </w:r>
      <w:r w:rsidRPr="00DC7461">
        <w:t xml:space="preserve">. Retrieved at: </w:t>
      </w:r>
      <w:hyperlink r:id="rId284" w:history="1">
        <w:r w:rsidR="001A0A32" w:rsidRPr="00DC7461">
          <w:rPr>
            <w:rStyle w:val="Hyperlink"/>
          </w:rPr>
          <w:t>http://www.fhwa.dot.gov/ohim/statepractices.cfm</w:t>
        </w:r>
      </w:hyperlink>
      <w:r w:rsidRPr="00DC7461">
        <w:t>.</w:t>
      </w:r>
    </w:p>
    <w:p w14:paraId="7EDE1F0C" w14:textId="18F04B63" w:rsidR="001A0A32" w:rsidRPr="00DC7461" w:rsidRDefault="00EE4FD9" w:rsidP="005D5A6C">
      <w:pPr>
        <w:pStyle w:val="BodyText"/>
      </w:pPr>
      <w:r w:rsidRPr="00DC7461">
        <w:rPr>
          <w:rStyle w:val="Italic"/>
          <w:iCs/>
        </w:rPr>
        <w:t>Office of Highway Policy Information. Travel Monitoring: Travel Volume Trends (TVT) Report</w:t>
      </w:r>
      <w:r w:rsidRPr="00DC7461">
        <w:t xml:space="preserve">. Retrieved at: </w:t>
      </w:r>
      <w:hyperlink r:id="rId285" w:history="1">
        <w:r w:rsidR="001A0A32" w:rsidRPr="00DC7461">
          <w:rPr>
            <w:rStyle w:val="Hyperlink"/>
          </w:rPr>
          <w:t>http://www.fhwa.dot.gov/policyinformation/travel_monitoring/tvt.cfm</w:t>
        </w:r>
      </w:hyperlink>
    </w:p>
    <w:p w14:paraId="71E4FC10" w14:textId="7B4AAB0C" w:rsidR="00EE4FD9" w:rsidRPr="00DC7461" w:rsidRDefault="00EE4FD9" w:rsidP="005D5A6C">
      <w:pPr>
        <w:pStyle w:val="BodyText"/>
      </w:pPr>
      <w:r w:rsidRPr="00DC7461">
        <w:t xml:space="preserve">Oregon Department of Transportation. </w:t>
      </w:r>
      <w:r w:rsidRPr="00DC7461">
        <w:rPr>
          <w:i/>
        </w:rPr>
        <w:t>Truck Weight Limits</w:t>
      </w:r>
      <w:r w:rsidRPr="00DC7461">
        <w:t xml:space="preserve">. Retrieved at: </w:t>
      </w:r>
      <w:hyperlink r:id="rId286" w:history="1">
        <w:r w:rsidR="001A0A32" w:rsidRPr="00DC7461">
          <w:rPr>
            <w:rStyle w:val="Hyperlink"/>
          </w:rPr>
          <w:t>www.oregon.gov/ODOT/MCT/docs/weight_limits.pdf</w:t>
        </w:r>
      </w:hyperlink>
      <w:r w:rsidRPr="00DC7461">
        <w:t>.</w:t>
      </w:r>
    </w:p>
    <w:p w14:paraId="78A6DD2E" w14:textId="77777777" w:rsidR="00EE4FD9" w:rsidRPr="00DC7461" w:rsidRDefault="00EE4FD9" w:rsidP="005D5A6C">
      <w:pPr>
        <w:pStyle w:val="BodyText"/>
      </w:pPr>
      <w:r w:rsidRPr="00DC7461">
        <w:t xml:space="preserve">Rheault, J.F. Eco-Counter. </w:t>
      </w:r>
    </w:p>
    <w:p w14:paraId="34803927" w14:textId="77777777" w:rsidR="00EE4FD9" w:rsidRPr="00DC7461" w:rsidRDefault="00EE4FD9" w:rsidP="005D5A6C">
      <w:pPr>
        <w:pStyle w:val="BodyText"/>
      </w:pPr>
      <w:r w:rsidRPr="00DC7461">
        <w:t xml:space="preserve">Schinkel, Thomas O. 2008. </w:t>
      </w:r>
      <w:r w:rsidRPr="00DC7461">
        <w:rPr>
          <w:rStyle w:val="Italic"/>
          <w:iCs/>
        </w:rPr>
        <w:t>Mid-Atlantic Successes and Challenges</w:t>
      </w:r>
      <w:r w:rsidRPr="00DC7461">
        <w:t xml:space="preserve"> presented at NATMEC.</w:t>
      </w:r>
    </w:p>
    <w:p w14:paraId="361D685B" w14:textId="77777777" w:rsidR="00EE4FD9" w:rsidRPr="00DC7461" w:rsidRDefault="00EE4FD9" w:rsidP="005D5A6C">
      <w:pPr>
        <w:pStyle w:val="BodyText"/>
      </w:pPr>
      <w:r w:rsidRPr="00DC7461">
        <w:t xml:space="preserve">Schneider, W.H. and Tsapakis, I. 2009. Review of Traffic Monitoring Factor Groupings and the Determination of Seasonal Adjustment Factors for Cars and Trucks. Ohio Department of Transportation. </w:t>
      </w:r>
    </w:p>
    <w:p w14:paraId="21394713" w14:textId="77777777" w:rsidR="00EE4FD9" w:rsidRPr="00DC7461" w:rsidRDefault="00EE4FD9" w:rsidP="005D5A6C">
      <w:pPr>
        <w:pStyle w:val="BodyText"/>
      </w:pPr>
      <w:r w:rsidRPr="00DC7461">
        <w:t>Turner, et al., 2007.</w:t>
      </w:r>
    </w:p>
    <w:p w14:paraId="2D68597A" w14:textId="77777777" w:rsidR="00EE4FD9" w:rsidRPr="00DC7461" w:rsidRDefault="00EE4FD9" w:rsidP="005D5A6C">
      <w:pPr>
        <w:pStyle w:val="BodyText"/>
      </w:pPr>
      <w:r w:rsidRPr="00DC7461">
        <w:t>Weinblatt, Herb. 1995. Using Seasonal and Day-of-Week Factoring to Improve Estimates of Truck VMT. Transportation Research Board.</w:t>
      </w:r>
    </w:p>
    <w:p w14:paraId="173D724B" w14:textId="77777777" w:rsidR="00EE4FD9" w:rsidRPr="00DC7461" w:rsidRDefault="00EE4FD9" w:rsidP="005D5A6C">
      <w:pPr>
        <w:pStyle w:val="BodyText"/>
      </w:pPr>
      <w:r w:rsidRPr="00DC7461">
        <w:t xml:space="preserve">Wright, T., Hu, P., Young, J., and Lu, A. 1997. </w:t>
      </w:r>
      <w:r w:rsidRPr="00DC7461">
        <w:rPr>
          <w:rStyle w:val="Italic"/>
          <w:iCs/>
        </w:rPr>
        <w:t>Variability in Traffic Monitoring Data, Final Summary Report</w:t>
      </w:r>
      <w:r w:rsidRPr="00DC7461">
        <w:t>, Oak Ridge National Laboratory, U.S. Department of Energy.</w:t>
      </w:r>
    </w:p>
    <w:p w14:paraId="2B5659F9" w14:textId="14D88716" w:rsidR="00EE4FD9" w:rsidRPr="004A1CC1" w:rsidRDefault="00EE4FD9" w:rsidP="005D5A6C">
      <w:pPr>
        <w:spacing w:after="120"/>
        <w:jc w:val="left"/>
      </w:pPr>
      <w:r w:rsidRPr="00DC7461">
        <w:t xml:space="preserve">Wyman, John, Gary Braley Gary, and Robert Stevens. 1985. </w:t>
      </w:r>
      <w:r w:rsidRPr="00DC7461">
        <w:rPr>
          <w:rStyle w:val="Italic"/>
          <w:iCs/>
          <w:spacing w:val="-4"/>
        </w:rPr>
        <w:t>Field Evaluation of FHWA Vehicle Classification Categories</w:t>
      </w:r>
      <w:r w:rsidRPr="00DC7461">
        <w:t>, Maine Department of Transportation, Final Report for contract DTFH-71-80-54-ME-03 for the U.S. Department of Transportation, Federal Highway Administration, Office of Planning.</w:t>
      </w:r>
    </w:p>
    <w:p w14:paraId="0EFFE42A" w14:textId="52FA2364" w:rsidR="00D87232" w:rsidRPr="00D87232" w:rsidRDefault="00D87232" w:rsidP="00663879">
      <w:pPr>
        <w:tabs>
          <w:tab w:val="left" w:pos="1491"/>
        </w:tabs>
        <w:sectPr w:rsidR="00D87232" w:rsidRPr="00D87232" w:rsidSect="007F72AB">
          <w:headerReference w:type="even" r:id="rId287"/>
          <w:headerReference w:type="default" r:id="rId288"/>
          <w:footerReference w:type="default" r:id="rId289"/>
          <w:footerReference w:type="first" r:id="rId290"/>
          <w:pgSz w:w="12240" w:h="15840" w:code="1"/>
          <w:pgMar w:top="1440" w:right="1440" w:bottom="1152" w:left="1440" w:header="720" w:footer="576" w:gutter="0"/>
          <w:pgNumType w:start="1" w:chapStyle="1"/>
          <w:cols w:space="720"/>
          <w:titlePg/>
          <w:docGrid w:linePitch="360"/>
        </w:sectPr>
      </w:pPr>
    </w:p>
    <w:p w14:paraId="5802F1D8" w14:textId="463C5C52" w:rsidR="00B94882" w:rsidRPr="006827E8" w:rsidRDefault="009F4517">
      <w:pPr>
        <w:pStyle w:val="Heading1"/>
      </w:pPr>
      <w:bookmarkStart w:id="4150" w:name="_Toc114474777"/>
      <w:bookmarkStart w:id="4151" w:name="_Toc118205749"/>
      <w:r w:rsidRPr="006827E8">
        <w:lastRenderedPageBreak/>
        <w:t>Glossary</w:t>
      </w:r>
      <w:bookmarkEnd w:id="4150"/>
      <w:bookmarkEnd w:id="4151"/>
    </w:p>
    <w:tbl>
      <w:tblPr>
        <w:tblStyle w:val="LightList1"/>
        <w:tblW w:w="9360" w:type="dxa"/>
        <w:tblLayout w:type="fixed"/>
        <w:tblLook w:val="04A0" w:firstRow="1" w:lastRow="0" w:firstColumn="1" w:lastColumn="0" w:noHBand="0" w:noVBand="1"/>
      </w:tblPr>
      <w:tblGrid>
        <w:gridCol w:w="1435"/>
        <w:gridCol w:w="1890"/>
        <w:gridCol w:w="6035"/>
      </w:tblGrid>
      <w:tr w:rsidR="00C4646E" w:rsidRPr="00C4646E" w14:paraId="770695A7" w14:textId="77777777" w:rsidTr="00701BE1">
        <w:trPr>
          <w:cnfStyle w:val="100000000000" w:firstRow="1" w:lastRow="0" w:firstColumn="0" w:lastColumn="0" w:oddVBand="0" w:evenVBand="0" w:oddHBand="0" w:evenHBand="0" w:firstRowFirstColumn="0" w:firstRowLastColumn="0" w:lastRowFirstColumn="0" w:lastRowLastColumn="0"/>
          <w:trHeight w:val="38"/>
        </w:trPr>
        <w:tc>
          <w:tcPr>
            <w:cnfStyle w:val="001000000000" w:firstRow="0" w:lastRow="0" w:firstColumn="1" w:lastColumn="0" w:oddVBand="0" w:evenVBand="0" w:oddHBand="0" w:evenHBand="0" w:firstRowFirstColumn="0" w:firstRowLastColumn="0" w:lastRowFirstColumn="0" w:lastRowLastColumn="0"/>
            <w:tcW w:w="1435" w:type="dxa"/>
            <w:noWrap/>
          </w:tcPr>
          <w:p w14:paraId="18BE2026" w14:textId="77777777" w:rsidR="009F4517" w:rsidRPr="00C4646E" w:rsidRDefault="009F4517" w:rsidP="00292B1E">
            <w:pPr>
              <w:spacing w:before="20" w:after="20"/>
              <w:jc w:val="center"/>
              <w:rPr>
                <w:b w:val="0"/>
                <w:bCs w:val="0"/>
                <w:color w:val="FFFFFF" w:themeColor="background1"/>
              </w:rPr>
            </w:pPr>
            <w:r w:rsidRPr="00C4646E">
              <w:rPr>
                <w:color w:val="FFFFFF" w:themeColor="background1"/>
              </w:rPr>
              <w:t>Term</w:t>
            </w:r>
          </w:p>
        </w:tc>
        <w:tc>
          <w:tcPr>
            <w:tcW w:w="1890" w:type="dxa"/>
            <w:noWrap/>
          </w:tcPr>
          <w:p w14:paraId="50E42294" w14:textId="77777777" w:rsidR="009F4517" w:rsidRPr="00C4646E" w:rsidRDefault="009F4517" w:rsidP="00292B1E">
            <w:pPr>
              <w:spacing w:before="20" w:after="2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rPr>
            </w:pPr>
            <w:r w:rsidRPr="00C4646E">
              <w:rPr>
                <w:color w:val="FFFFFF" w:themeColor="background1"/>
              </w:rPr>
              <w:t>Short Definition</w:t>
            </w:r>
          </w:p>
        </w:tc>
        <w:tc>
          <w:tcPr>
            <w:tcW w:w="6035" w:type="dxa"/>
          </w:tcPr>
          <w:p w14:paraId="5B0F5A43" w14:textId="77777777" w:rsidR="009F4517" w:rsidRPr="00C4646E" w:rsidRDefault="009F4517" w:rsidP="00292B1E">
            <w:pPr>
              <w:spacing w:before="20" w:after="2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rPr>
            </w:pPr>
            <w:r w:rsidRPr="00C4646E">
              <w:rPr>
                <w:color w:val="FFFFFF" w:themeColor="background1"/>
              </w:rPr>
              <w:t>Long Definition</w:t>
            </w:r>
          </w:p>
        </w:tc>
      </w:tr>
      <w:tr w:rsidR="009F4517" w:rsidRPr="0078151A" w14:paraId="2E834173" w14:textId="77777777" w:rsidTr="00701BE1">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435" w:type="dxa"/>
            <w:noWrap/>
            <w:hideMark/>
          </w:tcPr>
          <w:p w14:paraId="154587D6" w14:textId="265C286E" w:rsidR="009F4517" w:rsidRPr="0078151A" w:rsidRDefault="009F4517" w:rsidP="00292B1E">
            <w:pPr>
              <w:spacing w:before="20" w:after="20"/>
              <w:jc w:val="left"/>
            </w:pPr>
            <w:r w:rsidRPr="0078151A">
              <w:t>AADT</w:t>
            </w:r>
          </w:p>
        </w:tc>
        <w:tc>
          <w:tcPr>
            <w:tcW w:w="1890" w:type="dxa"/>
            <w:noWrap/>
            <w:hideMark/>
          </w:tcPr>
          <w:p w14:paraId="2778C8F4"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Annual Average Daily Traffic </w:t>
            </w:r>
          </w:p>
        </w:tc>
        <w:tc>
          <w:tcPr>
            <w:tcW w:w="6035" w:type="dxa"/>
            <w:hideMark/>
          </w:tcPr>
          <w:p w14:paraId="5FC1F28F"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The total volume of vehicle traffic of a highway or road for a year divided by 365 days. It is meant to represent traffic on a typical day of the year.</w:t>
            </w:r>
          </w:p>
        </w:tc>
      </w:tr>
      <w:tr w:rsidR="009F4517" w:rsidRPr="0078151A" w14:paraId="5EB6D863" w14:textId="77777777" w:rsidTr="00701BE1">
        <w:trPr>
          <w:trHeight w:val="1275"/>
        </w:trPr>
        <w:tc>
          <w:tcPr>
            <w:cnfStyle w:val="001000000000" w:firstRow="0" w:lastRow="0" w:firstColumn="1" w:lastColumn="0" w:oddVBand="0" w:evenVBand="0" w:oddHBand="0" w:evenHBand="0" w:firstRowFirstColumn="0" w:firstRowLastColumn="0" w:lastRowFirstColumn="0" w:lastRowLastColumn="0"/>
            <w:tcW w:w="1435" w:type="dxa"/>
            <w:noWrap/>
            <w:hideMark/>
          </w:tcPr>
          <w:p w14:paraId="55CB399F" w14:textId="77777777" w:rsidR="009F4517" w:rsidRPr="0078151A" w:rsidRDefault="009F4517" w:rsidP="00292B1E">
            <w:pPr>
              <w:spacing w:before="20" w:after="20"/>
              <w:jc w:val="left"/>
            </w:pPr>
            <w:r w:rsidRPr="0078151A">
              <w:t>IR Sensor, Active</w:t>
            </w:r>
          </w:p>
        </w:tc>
        <w:tc>
          <w:tcPr>
            <w:tcW w:w="1890" w:type="dxa"/>
            <w:noWrap/>
            <w:hideMark/>
          </w:tcPr>
          <w:p w14:paraId="706E7F12" w14:textId="3887CBBE"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 xml:space="preserve">Active Infrared Sensor </w:t>
            </w:r>
          </w:p>
        </w:tc>
        <w:tc>
          <w:tcPr>
            <w:tcW w:w="6035" w:type="dxa"/>
            <w:hideMark/>
          </w:tcPr>
          <w:p w14:paraId="5A0DCE79"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Active infrared sensors use a signal transmitter on one side of the detection area and a receiver or target reflector on the other side. Active infrared sensors operate by sending a series of infrared pulses in a beam from a transmitter to a receiver. When the beam is broken for a pre-determined time, then an event or count is registered.</w:t>
            </w:r>
          </w:p>
        </w:tc>
      </w:tr>
      <w:tr w:rsidR="009F4517" w:rsidRPr="0078151A" w14:paraId="167CFEA2" w14:textId="77777777" w:rsidTr="00701BE1">
        <w:trPr>
          <w:cnfStyle w:val="000000100000" w:firstRow="0" w:lastRow="0" w:firstColumn="0" w:lastColumn="0" w:oddVBand="0" w:evenVBand="0" w:oddHBand="1" w:evenHBand="0" w:firstRowFirstColumn="0" w:firstRowLastColumn="0" w:lastRowFirstColumn="0" w:lastRowLastColumn="0"/>
          <w:trHeight w:val="765"/>
        </w:trPr>
        <w:tc>
          <w:tcPr>
            <w:cnfStyle w:val="001000000000" w:firstRow="0" w:lastRow="0" w:firstColumn="1" w:lastColumn="0" w:oddVBand="0" w:evenVBand="0" w:oddHBand="0" w:evenHBand="0" w:firstRowFirstColumn="0" w:firstRowLastColumn="0" w:lastRowFirstColumn="0" w:lastRowLastColumn="0"/>
            <w:tcW w:w="1435" w:type="dxa"/>
            <w:noWrap/>
            <w:hideMark/>
          </w:tcPr>
          <w:p w14:paraId="17AB486D" w14:textId="77777777" w:rsidR="009F4517" w:rsidRPr="0078151A" w:rsidRDefault="009F4517" w:rsidP="00292B1E">
            <w:pPr>
              <w:spacing w:before="20" w:after="20"/>
              <w:jc w:val="left"/>
            </w:pPr>
            <w:r w:rsidRPr="0078151A">
              <w:t>AADBT</w:t>
            </w:r>
          </w:p>
        </w:tc>
        <w:tc>
          <w:tcPr>
            <w:tcW w:w="1890" w:type="dxa"/>
            <w:noWrap/>
            <w:hideMark/>
          </w:tcPr>
          <w:p w14:paraId="2106466E" w14:textId="4CA01250"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Annual Average Daily Bicycle Traffic</w:t>
            </w:r>
          </w:p>
        </w:tc>
        <w:tc>
          <w:tcPr>
            <w:tcW w:w="6035" w:type="dxa"/>
            <w:noWrap/>
            <w:hideMark/>
          </w:tcPr>
          <w:p w14:paraId="08C8B2B8"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Annual Average Daily Bicycle Traffic identifies the volume of bike traffic for the average one day (24-hour period) during a data reporting year at a specific location or specific segment of road or trail.</w:t>
            </w:r>
          </w:p>
        </w:tc>
      </w:tr>
      <w:tr w:rsidR="009F4517" w:rsidRPr="0078151A" w14:paraId="1D8A940D" w14:textId="77777777" w:rsidTr="00701BE1">
        <w:trPr>
          <w:trHeight w:val="765"/>
        </w:trPr>
        <w:tc>
          <w:tcPr>
            <w:cnfStyle w:val="001000000000" w:firstRow="0" w:lastRow="0" w:firstColumn="1" w:lastColumn="0" w:oddVBand="0" w:evenVBand="0" w:oddHBand="0" w:evenHBand="0" w:firstRowFirstColumn="0" w:firstRowLastColumn="0" w:lastRowFirstColumn="0" w:lastRowLastColumn="0"/>
            <w:tcW w:w="1435" w:type="dxa"/>
            <w:noWrap/>
            <w:hideMark/>
          </w:tcPr>
          <w:p w14:paraId="6910C85F" w14:textId="77777777" w:rsidR="009F4517" w:rsidRPr="0078151A" w:rsidRDefault="009F4517" w:rsidP="00292B1E">
            <w:pPr>
              <w:spacing w:before="20" w:after="20"/>
              <w:jc w:val="left"/>
            </w:pPr>
            <w:r w:rsidRPr="0078151A">
              <w:t>AADNT</w:t>
            </w:r>
          </w:p>
        </w:tc>
        <w:tc>
          <w:tcPr>
            <w:tcW w:w="1890" w:type="dxa"/>
            <w:noWrap/>
            <w:hideMark/>
          </w:tcPr>
          <w:p w14:paraId="43E3D3EE"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Annual Average Daily Nonmotorized Traffic</w:t>
            </w:r>
          </w:p>
        </w:tc>
        <w:tc>
          <w:tcPr>
            <w:tcW w:w="6035" w:type="dxa"/>
            <w:noWrap/>
            <w:hideMark/>
          </w:tcPr>
          <w:p w14:paraId="16462F20"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Annual Average Daily Nonmotorized Traffic identifies the volume of bike, pedestrian and other nonmotorized traffic for the average one day (24-hour period) during a data reporting year at a specific location.</w:t>
            </w:r>
          </w:p>
        </w:tc>
      </w:tr>
      <w:tr w:rsidR="009F4517" w:rsidRPr="0078151A" w14:paraId="3BFF1AA5" w14:textId="77777777" w:rsidTr="00701BE1">
        <w:trPr>
          <w:cnfStyle w:val="000000100000" w:firstRow="0" w:lastRow="0" w:firstColumn="0" w:lastColumn="0" w:oddVBand="0" w:evenVBand="0" w:oddHBand="1" w:evenHBand="0" w:firstRowFirstColumn="0" w:firstRowLastColumn="0" w:lastRowFirstColumn="0" w:lastRowLastColumn="0"/>
          <w:trHeight w:val="765"/>
        </w:trPr>
        <w:tc>
          <w:tcPr>
            <w:cnfStyle w:val="001000000000" w:firstRow="0" w:lastRow="0" w:firstColumn="1" w:lastColumn="0" w:oddVBand="0" w:evenVBand="0" w:oddHBand="0" w:evenHBand="0" w:firstRowFirstColumn="0" w:firstRowLastColumn="0" w:lastRowFirstColumn="0" w:lastRowLastColumn="0"/>
            <w:tcW w:w="1435" w:type="dxa"/>
            <w:noWrap/>
            <w:hideMark/>
          </w:tcPr>
          <w:p w14:paraId="0C0B3673" w14:textId="77777777" w:rsidR="009F4517" w:rsidRPr="0078151A" w:rsidRDefault="009F4517" w:rsidP="00292B1E">
            <w:pPr>
              <w:spacing w:before="20" w:after="20"/>
              <w:jc w:val="left"/>
            </w:pPr>
            <w:r w:rsidRPr="0078151A">
              <w:t>AADPT</w:t>
            </w:r>
          </w:p>
        </w:tc>
        <w:tc>
          <w:tcPr>
            <w:tcW w:w="1890" w:type="dxa"/>
            <w:noWrap/>
            <w:hideMark/>
          </w:tcPr>
          <w:p w14:paraId="25348B62" w14:textId="33EB5C2F"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 xml:space="preserve">Annual Average Daily Pedestrian Traffic </w:t>
            </w:r>
          </w:p>
        </w:tc>
        <w:tc>
          <w:tcPr>
            <w:tcW w:w="6035" w:type="dxa"/>
            <w:noWrap/>
            <w:hideMark/>
          </w:tcPr>
          <w:p w14:paraId="6BD3EB84" w14:textId="673C37BC"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 xml:space="preserve">Annual Average Daily Pedestrian Traffic identifies the volume of pedestrians for the average one day (24-hour period) during a data reporting year at a specific location. </w:t>
            </w:r>
          </w:p>
        </w:tc>
      </w:tr>
      <w:tr w:rsidR="009F4517" w:rsidRPr="0078151A" w14:paraId="53CEEFA9" w14:textId="77777777" w:rsidTr="00701BE1">
        <w:trPr>
          <w:trHeight w:val="1275"/>
        </w:trPr>
        <w:tc>
          <w:tcPr>
            <w:cnfStyle w:val="001000000000" w:firstRow="0" w:lastRow="0" w:firstColumn="1" w:lastColumn="0" w:oddVBand="0" w:evenVBand="0" w:oddHBand="0" w:evenHBand="0" w:firstRowFirstColumn="0" w:firstRowLastColumn="0" w:lastRowFirstColumn="0" w:lastRowLastColumn="0"/>
            <w:tcW w:w="1435" w:type="dxa"/>
            <w:noWrap/>
            <w:hideMark/>
          </w:tcPr>
          <w:p w14:paraId="5FFBBF8A" w14:textId="77777777" w:rsidR="009F4517" w:rsidRPr="0078151A" w:rsidRDefault="009F4517" w:rsidP="00292B1E">
            <w:pPr>
              <w:spacing w:before="20" w:after="20"/>
              <w:jc w:val="left"/>
            </w:pPr>
            <w:r w:rsidRPr="0078151A">
              <w:t>AADTT</w:t>
            </w:r>
          </w:p>
        </w:tc>
        <w:tc>
          <w:tcPr>
            <w:tcW w:w="1890" w:type="dxa"/>
            <w:noWrap/>
            <w:hideMark/>
          </w:tcPr>
          <w:p w14:paraId="57EFED85"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Annual Average Daily Truck Traffic </w:t>
            </w:r>
          </w:p>
        </w:tc>
        <w:tc>
          <w:tcPr>
            <w:tcW w:w="6035" w:type="dxa"/>
            <w:hideMark/>
          </w:tcPr>
          <w:p w14:paraId="2A77DFBC"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The total volume of truck traffic on a highway segment for one year, divided by the number of days in the year. Computation of AADTT (by vehicle class) from a short duration count requires the application of one or more factors that account for differences in time-of-day, DOW, and seasonal truck traffic patterns.</w:t>
            </w:r>
          </w:p>
        </w:tc>
      </w:tr>
      <w:tr w:rsidR="009F4517" w:rsidRPr="0078151A" w14:paraId="6FB64238" w14:textId="77777777" w:rsidTr="00701BE1">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435" w:type="dxa"/>
            <w:noWrap/>
            <w:hideMark/>
          </w:tcPr>
          <w:p w14:paraId="07B9ED88" w14:textId="77777777" w:rsidR="009F4517" w:rsidRPr="0078151A" w:rsidRDefault="009F4517" w:rsidP="00292B1E">
            <w:pPr>
              <w:spacing w:before="20" w:after="20"/>
              <w:jc w:val="left"/>
            </w:pPr>
            <w:r w:rsidRPr="0078151A">
              <w:t>AAWDT</w:t>
            </w:r>
          </w:p>
        </w:tc>
        <w:tc>
          <w:tcPr>
            <w:tcW w:w="1890" w:type="dxa"/>
            <w:noWrap/>
            <w:hideMark/>
          </w:tcPr>
          <w:p w14:paraId="02DA3C59"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Annual Average Weekday Traffic</w:t>
            </w:r>
          </w:p>
        </w:tc>
        <w:tc>
          <w:tcPr>
            <w:tcW w:w="6035" w:type="dxa"/>
            <w:hideMark/>
          </w:tcPr>
          <w:p w14:paraId="0949CFD1"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The estimate of typical traffic during a weekday (Monday through Friday) calculated from data measured at continuous monitoring sites.</w:t>
            </w:r>
          </w:p>
        </w:tc>
      </w:tr>
      <w:tr w:rsidR="009F4517" w:rsidRPr="0078151A" w14:paraId="4B3A3ACB" w14:textId="77777777" w:rsidTr="00701BE1">
        <w:trPr>
          <w:trHeight w:val="765"/>
        </w:trPr>
        <w:tc>
          <w:tcPr>
            <w:cnfStyle w:val="001000000000" w:firstRow="0" w:lastRow="0" w:firstColumn="1" w:lastColumn="0" w:oddVBand="0" w:evenVBand="0" w:oddHBand="0" w:evenHBand="0" w:firstRowFirstColumn="0" w:firstRowLastColumn="0" w:lastRowFirstColumn="0" w:lastRowLastColumn="0"/>
            <w:tcW w:w="1435" w:type="dxa"/>
            <w:noWrap/>
            <w:hideMark/>
          </w:tcPr>
          <w:p w14:paraId="1CDE2CDC" w14:textId="77777777" w:rsidR="009F4517" w:rsidRPr="0078151A" w:rsidRDefault="009F4517" w:rsidP="00292B1E">
            <w:pPr>
              <w:spacing w:before="20" w:after="20"/>
              <w:jc w:val="left"/>
            </w:pPr>
            <w:r w:rsidRPr="0078151A">
              <w:t>AVDT</w:t>
            </w:r>
          </w:p>
        </w:tc>
        <w:tc>
          <w:tcPr>
            <w:tcW w:w="1890" w:type="dxa"/>
            <w:noWrap/>
            <w:hideMark/>
          </w:tcPr>
          <w:p w14:paraId="126BB32A"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Annual Vehicle Distance Traveled</w:t>
            </w:r>
          </w:p>
        </w:tc>
        <w:tc>
          <w:tcPr>
            <w:tcW w:w="6035" w:type="dxa"/>
            <w:noWrap/>
            <w:hideMark/>
          </w:tcPr>
          <w:p w14:paraId="48C5116C"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Annual Vehicle Distance Traveled identifies the distance traveled by vehicles over a 1-year (365-day) period. The AVDT can be grouped according to functional classification of roads and/or vehicle classification strata.</w:t>
            </w:r>
          </w:p>
        </w:tc>
      </w:tr>
      <w:tr w:rsidR="009F4517" w:rsidRPr="0078151A" w14:paraId="270A6FB4" w14:textId="77777777" w:rsidTr="00701BE1">
        <w:trPr>
          <w:cnfStyle w:val="000000100000" w:firstRow="0" w:lastRow="0" w:firstColumn="0" w:lastColumn="0" w:oddVBand="0" w:evenVBand="0" w:oddHBand="1" w:evenHBand="0" w:firstRowFirstColumn="0" w:firstRowLastColumn="0" w:lastRowFirstColumn="0" w:lastRowLastColumn="0"/>
          <w:trHeight w:val="2040"/>
        </w:trPr>
        <w:tc>
          <w:tcPr>
            <w:cnfStyle w:val="001000000000" w:firstRow="0" w:lastRow="0" w:firstColumn="1" w:lastColumn="0" w:oddVBand="0" w:evenVBand="0" w:oddHBand="0" w:evenHBand="0" w:firstRowFirstColumn="0" w:firstRowLastColumn="0" w:lastRowFirstColumn="0" w:lastRowLastColumn="0"/>
            <w:tcW w:w="1435" w:type="dxa"/>
            <w:noWrap/>
            <w:hideMark/>
          </w:tcPr>
          <w:p w14:paraId="3AF617E7" w14:textId="77777777" w:rsidR="009F4517" w:rsidRPr="0078151A" w:rsidRDefault="009F4517" w:rsidP="00292B1E">
            <w:pPr>
              <w:spacing w:before="20" w:after="20"/>
              <w:jc w:val="left"/>
            </w:pPr>
            <w:r w:rsidRPr="0078151A">
              <w:t>AVDT</w:t>
            </w:r>
          </w:p>
        </w:tc>
        <w:tc>
          <w:tcPr>
            <w:tcW w:w="1890" w:type="dxa"/>
            <w:noWrap/>
            <w:hideMark/>
          </w:tcPr>
          <w:p w14:paraId="0DFFDEC0"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Annual Vehicle Distance Traveled</w:t>
            </w:r>
          </w:p>
        </w:tc>
        <w:tc>
          <w:tcPr>
            <w:tcW w:w="6035" w:type="dxa"/>
            <w:hideMark/>
          </w:tcPr>
          <w:p w14:paraId="2C111975"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The number of miles that vehicles are driven in one year. AVDT is one of the values used in the Federal apportionment formula, and is calculated in distance units reported in HPMS for the roadway segment, usually in miles. This definition was added for accommodating distance measurements in the metric system.</w:t>
            </w:r>
            <w:r w:rsidRPr="0078151A">
              <w:rPr>
                <w:b/>
                <w:bCs/>
              </w:rPr>
              <w:t xml:space="preserve"> </w:t>
            </w:r>
            <w:r w:rsidRPr="0078151A">
              <w:t xml:space="preserve">The annual vehicle distance traveled (AVDT) is computed by multiplying the daily vehicle distance traveled (DVDT) by the number of days in the year. The HPMS software calculates the DVDT, and the AVDT is computed manually by FHWA. </w:t>
            </w:r>
          </w:p>
        </w:tc>
      </w:tr>
      <w:tr w:rsidR="009F4517" w:rsidRPr="0078151A" w14:paraId="4EC26917" w14:textId="77777777" w:rsidTr="00701BE1">
        <w:trPr>
          <w:trHeight w:val="510"/>
        </w:trPr>
        <w:tc>
          <w:tcPr>
            <w:cnfStyle w:val="001000000000" w:firstRow="0" w:lastRow="0" w:firstColumn="1" w:lastColumn="0" w:oddVBand="0" w:evenVBand="0" w:oddHBand="0" w:evenHBand="0" w:firstRowFirstColumn="0" w:firstRowLastColumn="0" w:lastRowFirstColumn="0" w:lastRowLastColumn="0"/>
            <w:tcW w:w="1435" w:type="dxa"/>
            <w:noWrap/>
          </w:tcPr>
          <w:p w14:paraId="09C20820" w14:textId="77777777" w:rsidR="009F4517" w:rsidRPr="0078151A" w:rsidRDefault="009F4517" w:rsidP="00292B1E">
            <w:pPr>
              <w:spacing w:before="20" w:after="20"/>
              <w:jc w:val="left"/>
            </w:pPr>
            <w:r>
              <w:t>AVC</w:t>
            </w:r>
          </w:p>
        </w:tc>
        <w:tc>
          <w:tcPr>
            <w:tcW w:w="1890" w:type="dxa"/>
            <w:noWrap/>
          </w:tcPr>
          <w:p w14:paraId="73BE5BA2" w14:textId="77777777" w:rsidR="009F4517" w:rsidRPr="00B9270F"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B9270F">
              <w:t>Automated Vehicle Classifier</w:t>
            </w:r>
          </w:p>
        </w:tc>
        <w:tc>
          <w:tcPr>
            <w:tcW w:w="6035" w:type="dxa"/>
            <w:noWrap/>
          </w:tcPr>
          <w:p w14:paraId="68CE55E7" w14:textId="77777777" w:rsidR="009F4517" w:rsidRPr="00B9270F"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t>A</w:t>
            </w:r>
            <w:r w:rsidRPr="00B9270F">
              <w:t xml:space="preserve"> traffic counter that in addition to traffic volume, also collects information about vehicle type and classifies vehicles using pre-programmed vehicle classification attributes.</w:t>
            </w:r>
          </w:p>
        </w:tc>
      </w:tr>
      <w:tr w:rsidR="009F4517" w:rsidRPr="0078151A" w14:paraId="3D679236" w14:textId="77777777" w:rsidTr="00701BE1">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435" w:type="dxa"/>
            <w:noWrap/>
            <w:hideMark/>
          </w:tcPr>
          <w:p w14:paraId="12A7A35D" w14:textId="77777777" w:rsidR="009F4517" w:rsidRPr="0078151A" w:rsidRDefault="009F4517" w:rsidP="00292B1E">
            <w:pPr>
              <w:spacing w:before="20" w:after="20"/>
              <w:jc w:val="left"/>
            </w:pPr>
            <w:r w:rsidRPr="0078151A">
              <w:t>ATR Site</w:t>
            </w:r>
          </w:p>
        </w:tc>
        <w:tc>
          <w:tcPr>
            <w:tcW w:w="1890" w:type="dxa"/>
            <w:noWrap/>
            <w:hideMark/>
          </w:tcPr>
          <w:p w14:paraId="4432D398"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Automatic Traffic Recorder Site</w:t>
            </w:r>
          </w:p>
        </w:tc>
        <w:tc>
          <w:tcPr>
            <w:tcW w:w="6035" w:type="dxa"/>
            <w:noWrap/>
            <w:hideMark/>
          </w:tcPr>
          <w:p w14:paraId="6CEC3985"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The location of an automated traffic recorder (permanent station) used for collecting traffic volume data; now use the term CCS.</w:t>
            </w:r>
          </w:p>
        </w:tc>
      </w:tr>
      <w:tr w:rsidR="009F4517" w:rsidRPr="0078151A" w14:paraId="6783A3BE" w14:textId="77777777" w:rsidTr="00701BE1">
        <w:trPr>
          <w:trHeight w:val="765"/>
        </w:trPr>
        <w:tc>
          <w:tcPr>
            <w:cnfStyle w:val="001000000000" w:firstRow="0" w:lastRow="0" w:firstColumn="1" w:lastColumn="0" w:oddVBand="0" w:evenVBand="0" w:oddHBand="0" w:evenHBand="0" w:firstRowFirstColumn="0" w:firstRowLastColumn="0" w:lastRowFirstColumn="0" w:lastRowLastColumn="0"/>
            <w:tcW w:w="1435" w:type="dxa"/>
            <w:noWrap/>
            <w:hideMark/>
          </w:tcPr>
          <w:p w14:paraId="279E948F" w14:textId="77777777" w:rsidR="009F4517" w:rsidRPr="0078151A" w:rsidRDefault="009F4517" w:rsidP="00292B1E">
            <w:pPr>
              <w:spacing w:before="20" w:after="20"/>
              <w:jc w:val="left"/>
            </w:pPr>
            <w:r w:rsidRPr="0078151A">
              <w:t>ADT</w:t>
            </w:r>
          </w:p>
        </w:tc>
        <w:tc>
          <w:tcPr>
            <w:tcW w:w="1890" w:type="dxa"/>
            <w:noWrap/>
            <w:hideMark/>
          </w:tcPr>
          <w:p w14:paraId="09B5F65D"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Average Daily Traffic </w:t>
            </w:r>
          </w:p>
        </w:tc>
        <w:tc>
          <w:tcPr>
            <w:tcW w:w="6035" w:type="dxa"/>
            <w:hideMark/>
          </w:tcPr>
          <w:p w14:paraId="24B8FB0B"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The total volume during a given time period (in whole days), greater than one day and less than one year, divided by the number of days in that time period. ADT is also known as raw data and unadjusted or non-factored data.</w:t>
            </w:r>
          </w:p>
        </w:tc>
      </w:tr>
      <w:tr w:rsidR="009F4517" w:rsidRPr="0078151A" w14:paraId="36FF4B0B" w14:textId="77777777" w:rsidTr="00701BE1">
        <w:trPr>
          <w:cnfStyle w:val="000000100000" w:firstRow="0" w:lastRow="0" w:firstColumn="0" w:lastColumn="0" w:oddVBand="0" w:evenVBand="0" w:oddHBand="1" w:evenHBand="0" w:firstRowFirstColumn="0" w:firstRowLastColumn="0" w:lastRowFirstColumn="0" w:lastRowLastColumn="0"/>
          <w:trHeight w:val="2550"/>
        </w:trPr>
        <w:tc>
          <w:tcPr>
            <w:cnfStyle w:val="001000000000" w:firstRow="0" w:lastRow="0" w:firstColumn="1" w:lastColumn="0" w:oddVBand="0" w:evenVBand="0" w:oddHBand="0" w:evenHBand="0" w:firstRowFirstColumn="0" w:firstRowLastColumn="0" w:lastRowFirstColumn="0" w:lastRowLastColumn="0"/>
            <w:tcW w:w="1435" w:type="dxa"/>
            <w:noWrap/>
            <w:hideMark/>
          </w:tcPr>
          <w:p w14:paraId="33419915" w14:textId="77777777" w:rsidR="009F4517" w:rsidRPr="0078151A" w:rsidRDefault="009F4517" w:rsidP="00292B1E">
            <w:pPr>
              <w:spacing w:before="20" w:after="20"/>
              <w:jc w:val="left"/>
            </w:pPr>
            <w:r w:rsidRPr="0078151A">
              <w:lastRenderedPageBreak/>
              <w:t>ACF</w:t>
            </w:r>
          </w:p>
        </w:tc>
        <w:tc>
          <w:tcPr>
            <w:tcW w:w="1890" w:type="dxa"/>
            <w:noWrap/>
            <w:hideMark/>
          </w:tcPr>
          <w:p w14:paraId="769A77C4"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Axle Correction Factors</w:t>
            </w:r>
          </w:p>
        </w:tc>
        <w:tc>
          <w:tcPr>
            <w:tcW w:w="6035" w:type="dxa"/>
            <w:hideMark/>
          </w:tcPr>
          <w:p w14:paraId="1EF1A2CD"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Factors developed to adjust axle counts into vehicle counts. Axle correction factors are developed from classification counts by dividing the total number of vehicles counted by the total number of axles on these vehicles. However, the prevalence of data collection equipment that is dependent on pneumatic tubes that count axles rather than vehicles requires adjustments by applying an axle correction factor to represent vehicles. Equipment that detects vehicles directly (such as inductive loops or vehicle classification counters) does not require axle adjustment. In general, the higher the percentage of multi-axle vehicles on a road, the more error you will introduce into the data by not using axle correction factors.</w:t>
            </w:r>
          </w:p>
        </w:tc>
      </w:tr>
      <w:tr w:rsidR="009F4517" w:rsidRPr="0078151A" w14:paraId="26A85A80" w14:textId="77777777" w:rsidTr="00701BE1">
        <w:trPr>
          <w:trHeight w:val="1020"/>
        </w:trPr>
        <w:tc>
          <w:tcPr>
            <w:cnfStyle w:val="001000000000" w:firstRow="0" w:lastRow="0" w:firstColumn="1" w:lastColumn="0" w:oddVBand="0" w:evenVBand="0" w:oddHBand="0" w:evenHBand="0" w:firstRowFirstColumn="0" w:firstRowLastColumn="0" w:lastRowFirstColumn="0" w:lastRowLastColumn="0"/>
            <w:tcW w:w="1435" w:type="dxa"/>
            <w:noWrap/>
            <w:hideMark/>
          </w:tcPr>
          <w:p w14:paraId="34E8003C" w14:textId="77777777" w:rsidR="009F4517" w:rsidRPr="0078151A" w:rsidRDefault="009F4517" w:rsidP="00292B1E">
            <w:pPr>
              <w:spacing w:before="20" w:after="20"/>
              <w:jc w:val="left"/>
            </w:pPr>
            <w:r w:rsidRPr="0078151A">
              <w:t>Axle Factor</w:t>
            </w:r>
          </w:p>
        </w:tc>
        <w:tc>
          <w:tcPr>
            <w:tcW w:w="1890" w:type="dxa"/>
            <w:noWrap/>
            <w:hideMark/>
          </w:tcPr>
          <w:p w14:paraId="435DBF36"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Axle Factor</w:t>
            </w:r>
          </w:p>
        </w:tc>
        <w:tc>
          <w:tcPr>
            <w:tcW w:w="6035" w:type="dxa"/>
            <w:noWrap/>
            <w:hideMark/>
          </w:tcPr>
          <w:p w14:paraId="7E7D440B"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Axle correction factors can be applied at either the point or system level. That is, axle correction factors can be developed either from specific vehicle classification counts at specific locations, or from a combination of vehicle classification counts averaged together to represent an entire system of roads.</w:t>
            </w:r>
          </w:p>
        </w:tc>
      </w:tr>
      <w:tr w:rsidR="009F4517" w:rsidRPr="0078151A" w14:paraId="335BAD16" w14:textId="77777777" w:rsidTr="00701BE1">
        <w:trPr>
          <w:cnfStyle w:val="000000100000" w:firstRow="0" w:lastRow="0" w:firstColumn="0" w:lastColumn="0" w:oddVBand="0" w:evenVBand="0" w:oddHBand="1" w:evenHBand="0" w:firstRowFirstColumn="0" w:firstRowLastColumn="0" w:lastRowFirstColumn="0" w:lastRowLastColumn="0"/>
          <w:trHeight w:val="765"/>
        </w:trPr>
        <w:tc>
          <w:tcPr>
            <w:cnfStyle w:val="001000000000" w:firstRow="0" w:lastRow="0" w:firstColumn="1" w:lastColumn="0" w:oddVBand="0" w:evenVBand="0" w:oddHBand="0" w:evenHBand="0" w:firstRowFirstColumn="0" w:firstRowLastColumn="0" w:lastRowFirstColumn="0" w:lastRowLastColumn="0"/>
            <w:tcW w:w="1435" w:type="dxa"/>
            <w:noWrap/>
            <w:hideMark/>
          </w:tcPr>
          <w:p w14:paraId="7EC48D59" w14:textId="77777777" w:rsidR="009F4517" w:rsidRPr="0078151A" w:rsidRDefault="009F4517" w:rsidP="00292B1E">
            <w:pPr>
              <w:spacing w:before="20" w:after="20"/>
              <w:jc w:val="left"/>
            </w:pPr>
            <w:r w:rsidRPr="0078151A">
              <w:t>Axle Spacing </w:t>
            </w:r>
          </w:p>
        </w:tc>
        <w:tc>
          <w:tcPr>
            <w:tcW w:w="1890" w:type="dxa"/>
            <w:noWrap/>
            <w:hideMark/>
          </w:tcPr>
          <w:p w14:paraId="556F814C"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Axle Spacing </w:t>
            </w:r>
          </w:p>
        </w:tc>
        <w:tc>
          <w:tcPr>
            <w:tcW w:w="6035" w:type="dxa"/>
            <w:hideMark/>
          </w:tcPr>
          <w:p w14:paraId="31C02517"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For each vehicle axle, the horizontal distance between the center of that axle and that of the preceding axle is the vehicle axle spacing (</w:t>
            </w:r>
            <w:r w:rsidRPr="0078151A">
              <w:rPr>
                <w:i/>
                <w:iCs/>
              </w:rPr>
              <w:t>ASTM E17.52, E1572-93</w:t>
            </w:r>
            <w:r w:rsidRPr="0078151A">
              <w:t>).</w:t>
            </w:r>
          </w:p>
        </w:tc>
      </w:tr>
      <w:tr w:rsidR="009F4517" w:rsidRPr="0078151A" w14:paraId="4454A369" w14:textId="77777777" w:rsidTr="00701BE1">
        <w:trPr>
          <w:trHeight w:val="765"/>
        </w:trPr>
        <w:tc>
          <w:tcPr>
            <w:cnfStyle w:val="001000000000" w:firstRow="0" w:lastRow="0" w:firstColumn="1" w:lastColumn="0" w:oddVBand="0" w:evenVBand="0" w:oddHBand="0" w:evenHBand="0" w:firstRowFirstColumn="0" w:firstRowLastColumn="0" w:lastRowFirstColumn="0" w:lastRowLastColumn="0"/>
            <w:tcW w:w="1435" w:type="dxa"/>
            <w:noWrap/>
            <w:hideMark/>
          </w:tcPr>
          <w:p w14:paraId="68B514A3" w14:textId="77777777" w:rsidR="009F4517" w:rsidRPr="0078151A" w:rsidRDefault="009F4517" w:rsidP="00292B1E">
            <w:pPr>
              <w:spacing w:before="20" w:after="20"/>
              <w:jc w:val="left"/>
            </w:pPr>
            <w:r w:rsidRPr="0078151A">
              <w:t>Axle Spacing </w:t>
            </w:r>
          </w:p>
        </w:tc>
        <w:tc>
          <w:tcPr>
            <w:tcW w:w="1890" w:type="dxa"/>
            <w:noWrap/>
            <w:hideMark/>
          </w:tcPr>
          <w:p w14:paraId="05E5A1FC"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Axle Spacing </w:t>
            </w:r>
          </w:p>
        </w:tc>
        <w:tc>
          <w:tcPr>
            <w:tcW w:w="6035" w:type="dxa"/>
            <w:hideMark/>
          </w:tcPr>
          <w:p w14:paraId="5584022F"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For each vehicle axle, the horizontal distance between the center of that axle and that of the preceding axle is the vehicle axle spacing (</w:t>
            </w:r>
            <w:r w:rsidRPr="0078151A">
              <w:rPr>
                <w:i/>
                <w:iCs/>
              </w:rPr>
              <w:t>ASTM E17.52, E1572-93</w:t>
            </w:r>
            <w:r w:rsidRPr="0078151A">
              <w:t>).</w:t>
            </w:r>
          </w:p>
        </w:tc>
      </w:tr>
      <w:tr w:rsidR="009F4517" w:rsidRPr="0078151A" w14:paraId="17B3E3CA" w14:textId="77777777" w:rsidTr="00701B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35" w:type="dxa"/>
            <w:noWrap/>
            <w:hideMark/>
          </w:tcPr>
          <w:p w14:paraId="70AEE60A" w14:textId="77777777" w:rsidR="009F4517" w:rsidRPr="0078151A" w:rsidRDefault="009F4517" w:rsidP="00292B1E">
            <w:pPr>
              <w:spacing w:before="20" w:after="20"/>
              <w:jc w:val="left"/>
            </w:pPr>
            <w:r w:rsidRPr="0078151A">
              <w:t>Axle Weight</w:t>
            </w:r>
          </w:p>
        </w:tc>
        <w:tc>
          <w:tcPr>
            <w:tcW w:w="1890" w:type="dxa"/>
            <w:noWrap/>
            <w:hideMark/>
          </w:tcPr>
          <w:p w14:paraId="00BBF26A"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Axle Weight</w:t>
            </w:r>
          </w:p>
        </w:tc>
        <w:tc>
          <w:tcPr>
            <w:tcW w:w="6035" w:type="dxa"/>
            <w:hideMark/>
          </w:tcPr>
          <w:p w14:paraId="454F8BD2"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The weight placed on the road by all wheels of one axle (Oregon DOT).</w:t>
            </w:r>
          </w:p>
        </w:tc>
      </w:tr>
      <w:tr w:rsidR="009F4517" w:rsidRPr="0078151A" w14:paraId="31B5019B" w14:textId="77777777" w:rsidTr="00701BE1">
        <w:trPr>
          <w:trHeight w:val="1020"/>
        </w:trPr>
        <w:tc>
          <w:tcPr>
            <w:cnfStyle w:val="001000000000" w:firstRow="0" w:lastRow="0" w:firstColumn="1" w:lastColumn="0" w:oddVBand="0" w:evenVBand="0" w:oddHBand="0" w:evenHBand="0" w:firstRowFirstColumn="0" w:firstRowLastColumn="0" w:lastRowFirstColumn="0" w:lastRowLastColumn="0"/>
            <w:tcW w:w="1435" w:type="dxa"/>
            <w:noWrap/>
            <w:hideMark/>
          </w:tcPr>
          <w:p w14:paraId="243CE7C6" w14:textId="77777777" w:rsidR="009F4517" w:rsidRPr="0078151A" w:rsidRDefault="009F4517" w:rsidP="00292B1E">
            <w:pPr>
              <w:spacing w:before="20" w:after="20"/>
              <w:jc w:val="left"/>
            </w:pPr>
            <w:r w:rsidRPr="0078151A">
              <w:t>Blank-Fill</w:t>
            </w:r>
          </w:p>
        </w:tc>
        <w:tc>
          <w:tcPr>
            <w:tcW w:w="1890" w:type="dxa"/>
            <w:noWrap/>
            <w:hideMark/>
          </w:tcPr>
          <w:p w14:paraId="4F946514"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Blank-Fill</w:t>
            </w:r>
          </w:p>
        </w:tc>
        <w:tc>
          <w:tcPr>
            <w:tcW w:w="6035" w:type="dxa"/>
            <w:noWrap/>
            <w:hideMark/>
          </w:tcPr>
          <w:p w14:paraId="0AF69B6B"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When the value in a field does not consume all of the columns for the field, leading blanks are to be used starting at the left of the field. For example, if a field is five columns wide, and the data value is 250, then a blank-filled representation for this field is _ _ 250.</w:t>
            </w:r>
          </w:p>
        </w:tc>
      </w:tr>
      <w:tr w:rsidR="009F4517" w:rsidRPr="0078151A" w14:paraId="69FC0E52" w14:textId="77777777" w:rsidTr="00701BE1">
        <w:trPr>
          <w:cnfStyle w:val="000000100000" w:firstRow="0" w:lastRow="0" w:firstColumn="0" w:lastColumn="0" w:oddVBand="0" w:evenVBand="0" w:oddHBand="1" w:evenHBand="0" w:firstRowFirstColumn="0" w:firstRowLastColumn="0" w:lastRowFirstColumn="0" w:lastRowLastColumn="0"/>
          <w:trHeight w:val="1275"/>
        </w:trPr>
        <w:tc>
          <w:tcPr>
            <w:cnfStyle w:val="001000000000" w:firstRow="0" w:lastRow="0" w:firstColumn="1" w:lastColumn="0" w:oddVBand="0" w:evenVBand="0" w:oddHBand="0" w:evenHBand="0" w:firstRowFirstColumn="0" w:firstRowLastColumn="0" w:lastRowFirstColumn="0" w:lastRowLastColumn="0"/>
            <w:tcW w:w="1435" w:type="dxa"/>
            <w:noWrap/>
            <w:hideMark/>
          </w:tcPr>
          <w:p w14:paraId="1BD4C2B5" w14:textId="77777777" w:rsidR="009F4517" w:rsidRPr="0078151A" w:rsidRDefault="009F4517" w:rsidP="00292B1E">
            <w:pPr>
              <w:spacing w:before="20" w:after="20"/>
              <w:jc w:val="left"/>
            </w:pPr>
            <w:r w:rsidRPr="0078151A">
              <w:t>Classification Scheme</w:t>
            </w:r>
          </w:p>
        </w:tc>
        <w:tc>
          <w:tcPr>
            <w:tcW w:w="1890" w:type="dxa"/>
            <w:noWrap/>
            <w:hideMark/>
          </w:tcPr>
          <w:p w14:paraId="4C3E4DD4"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Classification Scheme</w:t>
            </w:r>
          </w:p>
        </w:tc>
        <w:tc>
          <w:tcPr>
            <w:tcW w:w="6035" w:type="dxa"/>
            <w:hideMark/>
          </w:tcPr>
          <w:p w14:paraId="0D3CA113" w14:textId="5469B442"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A classification scheme provides detailed information about how travelers are organized within a structured naming convention.</w:t>
            </w:r>
            <w:r w:rsidR="004D4172">
              <w:t xml:space="preserve"> </w:t>
            </w:r>
            <w:r w:rsidRPr="0078151A">
              <w:t>For example, the most common classification scheme is a 15-bin structure where 15 different groups of travelers are organized.</w:t>
            </w:r>
            <w:r w:rsidR="004D4172">
              <w:t xml:space="preserve"> </w:t>
            </w:r>
            <w:r w:rsidRPr="0078151A">
              <w:t>There is an example of the 15-bin classification scheme in appendix.</w:t>
            </w:r>
          </w:p>
        </w:tc>
      </w:tr>
      <w:tr w:rsidR="009F4517" w:rsidRPr="0078151A" w14:paraId="3DE4DF72" w14:textId="77777777" w:rsidTr="00701BE1">
        <w:trPr>
          <w:trHeight w:val="765"/>
        </w:trPr>
        <w:tc>
          <w:tcPr>
            <w:cnfStyle w:val="001000000000" w:firstRow="0" w:lastRow="0" w:firstColumn="1" w:lastColumn="0" w:oddVBand="0" w:evenVBand="0" w:oddHBand="0" w:evenHBand="0" w:firstRowFirstColumn="0" w:firstRowLastColumn="0" w:lastRowFirstColumn="0" w:lastRowLastColumn="0"/>
            <w:tcW w:w="1435" w:type="dxa"/>
            <w:noWrap/>
            <w:hideMark/>
          </w:tcPr>
          <w:p w14:paraId="722AD3D1" w14:textId="77777777" w:rsidR="009F4517" w:rsidRPr="0078151A" w:rsidRDefault="009F4517" w:rsidP="00292B1E">
            <w:pPr>
              <w:spacing w:before="20" w:after="20"/>
              <w:jc w:val="left"/>
            </w:pPr>
            <w:r w:rsidRPr="0078151A">
              <w:t>Continuous Count</w:t>
            </w:r>
          </w:p>
        </w:tc>
        <w:tc>
          <w:tcPr>
            <w:tcW w:w="1890" w:type="dxa"/>
            <w:noWrap/>
            <w:hideMark/>
          </w:tcPr>
          <w:p w14:paraId="700CDFE0"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Continuous Count</w:t>
            </w:r>
          </w:p>
        </w:tc>
        <w:tc>
          <w:tcPr>
            <w:tcW w:w="6035" w:type="dxa"/>
            <w:hideMark/>
          </w:tcPr>
          <w:p w14:paraId="38F58465"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A continuous count is a volume count derived from permanently installed counters for a period of 24 hours each day over 365 days (except for leap year) for the data-reporting year.</w:t>
            </w:r>
          </w:p>
        </w:tc>
      </w:tr>
      <w:tr w:rsidR="009F4517" w:rsidRPr="0078151A" w14:paraId="544EEC3E" w14:textId="77777777" w:rsidTr="00701BE1">
        <w:trPr>
          <w:cnfStyle w:val="000000100000" w:firstRow="0" w:lastRow="0" w:firstColumn="0" w:lastColumn="0" w:oddVBand="0" w:evenVBand="0" w:oddHBand="1" w:evenHBand="0" w:firstRowFirstColumn="0" w:firstRowLastColumn="0" w:lastRowFirstColumn="0" w:lastRowLastColumn="0"/>
          <w:trHeight w:val="875"/>
        </w:trPr>
        <w:tc>
          <w:tcPr>
            <w:cnfStyle w:val="001000000000" w:firstRow="0" w:lastRow="0" w:firstColumn="1" w:lastColumn="0" w:oddVBand="0" w:evenVBand="0" w:oddHBand="0" w:evenHBand="0" w:firstRowFirstColumn="0" w:firstRowLastColumn="0" w:lastRowFirstColumn="0" w:lastRowLastColumn="0"/>
            <w:tcW w:w="1435" w:type="dxa"/>
            <w:noWrap/>
            <w:hideMark/>
          </w:tcPr>
          <w:p w14:paraId="5AEB8095" w14:textId="77777777" w:rsidR="009F4517" w:rsidRPr="0078151A" w:rsidRDefault="009F4517" w:rsidP="00292B1E">
            <w:pPr>
              <w:spacing w:before="20" w:after="20"/>
              <w:jc w:val="left"/>
            </w:pPr>
            <w:r w:rsidRPr="0078151A">
              <w:t>CCS</w:t>
            </w:r>
          </w:p>
        </w:tc>
        <w:tc>
          <w:tcPr>
            <w:tcW w:w="1890" w:type="dxa"/>
            <w:noWrap/>
            <w:hideMark/>
          </w:tcPr>
          <w:p w14:paraId="17B0C007"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Continuous Count Station</w:t>
            </w:r>
          </w:p>
        </w:tc>
        <w:tc>
          <w:tcPr>
            <w:tcW w:w="6035" w:type="dxa"/>
            <w:hideMark/>
          </w:tcPr>
          <w:p w14:paraId="72C39598" w14:textId="46C5D240" w:rsidR="009F4517" w:rsidRPr="00D0695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t>P</w:t>
            </w:r>
            <w:r w:rsidRPr="00D0695A">
              <w:t>ermanent counting site that provides 24 hours a day and 7 days a week of data for either all days of the year or at least for a seasonal collection. Different types of counters (vehicle volume counter, classifier, WIM, PMMD) could be installed at CCS.</w:t>
            </w:r>
            <w:r w:rsidR="004D4172">
              <w:t xml:space="preserve"> </w:t>
            </w:r>
          </w:p>
        </w:tc>
      </w:tr>
      <w:tr w:rsidR="009F4517" w:rsidRPr="0078151A" w14:paraId="18AE47BD" w14:textId="77777777" w:rsidTr="00701BE1">
        <w:trPr>
          <w:trHeight w:val="1275"/>
        </w:trPr>
        <w:tc>
          <w:tcPr>
            <w:cnfStyle w:val="001000000000" w:firstRow="0" w:lastRow="0" w:firstColumn="1" w:lastColumn="0" w:oddVBand="0" w:evenVBand="0" w:oddHBand="0" w:evenHBand="0" w:firstRowFirstColumn="0" w:firstRowLastColumn="0" w:lastRowFirstColumn="0" w:lastRowLastColumn="0"/>
            <w:tcW w:w="1435" w:type="dxa"/>
            <w:noWrap/>
            <w:hideMark/>
          </w:tcPr>
          <w:p w14:paraId="46019DD6" w14:textId="77777777" w:rsidR="009F4517" w:rsidRPr="0078151A" w:rsidRDefault="009F4517" w:rsidP="00292B1E">
            <w:pPr>
              <w:spacing w:before="20" w:after="20"/>
              <w:jc w:val="left"/>
            </w:pPr>
            <w:r w:rsidRPr="0078151A">
              <w:t>Continuous Data Program</w:t>
            </w:r>
          </w:p>
        </w:tc>
        <w:tc>
          <w:tcPr>
            <w:tcW w:w="1890" w:type="dxa"/>
            <w:noWrap/>
            <w:hideMark/>
          </w:tcPr>
          <w:p w14:paraId="4710F3FB"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Continuous Data Program</w:t>
            </w:r>
          </w:p>
        </w:tc>
        <w:tc>
          <w:tcPr>
            <w:tcW w:w="6035" w:type="dxa"/>
            <w:hideMark/>
          </w:tcPr>
          <w:p w14:paraId="706CCAD5"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 xml:space="preserve">Refers to the program management aspects of maintaining, storing, accessing, and reporting data from continuous counters within an overall travel monitoring program. In some States, this is referred to as Permanent Count Program. For the purposes of the TMG, the program will be referred to as the Continuous Data Program. </w:t>
            </w:r>
          </w:p>
        </w:tc>
      </w:tr>
      <w:tr w:rsidR="009F4517" w:rsidRPr="0078151A" w14:paraId="3F71A89D" w14:textId="77777777" w:rsidTr="00701BE1">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1435" w:type="dxa"/>
            <w:noWrap/>
            <w:hideMark/>
          </w:tcPr>
          <w:p w14:paraId="17B01444" w14:textId="77777777" w:rsidR="009F4517" w:rsidRPr="0078151A" w:rsidRDefault="009F4517" w:rsidP="00292B1E">
            <w:pPr>
              <w:spacing w:before="20" w:after="20"/>
              <w:jc w:val="left"/>
            </w:pPr>
            <w:r w:rsidRPr="0078151A">
              <w:t>COUNT</w:t>
            </w:r>
          </w:p>
        </w:tc>
        <w:tc>
          <w:tcPr>
            <w:tcW w:w="1890" w:type="dxa"/>
            <w:noWrap/>
            <w:hideMark/>
          </w:tcPr>
          <w:p w14:paraId="59062195"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COUNT</w:t>
            </w:r>
          </w:p>
        </w:tc>
        <w:tc>
          <w:tcPr>
            <w:tcW w:w="6035" w:type="dxa"/>
            <w:hideMark/>
          </w:tcPr>
          <w:p w14:paraId="5B4349C3"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 xml:space="preserve">Refers to how the data are collected to measure and record traffic characteristics such as vehicle volume, classification (by axle or length), speed, weight, lane occupancy or a combination of these characteristics. These characteristics are defined in more detail in other parts of the </w:t>
            </w:r>
            <w:r w:rsidRPr="0078151A">
              <w:rPr>
                <w:i/>
                <w:iCs/>
              </w:rPr>
              <w:t>TMG</w:t>
            </w:r>
            <w:r w:rsidRPr="0078151A">
              <w:t>.</w:t>
            </w:r>
          </w:p>
        </w:tc>
      </w:tr>
      <w:tr w:rsidR="009F4517" w:rsidRPr="0078151A" w14:paraId="3579F9B0" w14:textId="77777777" w:rsidTr="00701BE1">
        <w:trPr>
          <w:trHeight w:val="510"/>
        </w:trPr>
        <w:tc>
          <w:tcPr>
            <w:cnfStyle w:val="001000000000" w:firstRow="0" w:lastRow="0" w:firstColumn="1" w:lastColumn="0" w:oddVBand="0" w:evenVBand="0" w:oddHBand="0" w:evenHBand="0" w:firstRowFirstColumn="0" w:firstRowLastColumn="0" w:lastRowFirstColumn="0" w:lastRowLastColumn="0"/>
            <w:tcW w:w="1435" w:type="dxa"/>
            <w:noWrap/>
            <w:hideMark/>
          </w:tcPr>
          <w:p w14:paraId="6DFB95C7" w14:textId="77777777" w:rsidR="009F4517" w:rsidRPr="0078151A" w:rsidRDefault="009F4517" w:rsidP="00292B1E">
            <w:pPr>
              <w:spacing w:before="20" w:after="20"/>
              <w:jc w:val="left"/>
            </w:pPr>
            <w:r w:rsidRPr="0078151A">
              <w:t>Coverage Count</w:t>
            </w:r>
          </w:p>
        </w:tc>
        <w:tc>
          <w:tcPr>
            <w:tcW w:w="1890" w:type="dxa"/>
            <w:noWrap/>
            <w:hideMark/>
          </w:tcPr>
          <w:p w14:paraId="67ADEFD2"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Coverage Count</w:t>
            </w:r>
          </w:p>
        </w:tc>
        <w:tc>
          <w:tcPr>
            <w:tcW w:w="6035" w:type="dxa"/>
            <w:noWrap/>
            <w:hideMark/>
          </w:tcPr>
          <w:p w14:paraId="16D6474C"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Special temporary count taken on a 24- to 48-hour basis for a specific segment of road, usually associated with HPMS sections.</w:t>
            </w:r>
          </w:p>
        </w:tc>
      </w:tr>
      <w:tr w:rsidR="009F4517" w:rsidRPr="0078151A" w14:paraId="3802BEE7" w14:textId="77777777" w:rsidTr="00701BE1">
        <w:trPr>
          <w:cnfStyle w:val="000000100000" w:firstRow="0" w:lastRow="0" w:firstColumn="0" w:lastColumn="0" w:oddVBand="0" w:evenVBand="0" w:oddHBand="1" w:evenHBand="0" w:firstRowFirstColumn="0" w:firstRowLastColumn="0" w:lastRowFirstColumn="0" w:lastRowLastColumn="0"/>
          <w:trHeight w:val="3570"/>
        </w:trPr>
        <w:tc>
          <w:tcPr>
            <w:cnfStyle w:val="001000000000" w:firstRow="0" w:lastRow="0" w:firstColumn="1" w:lastColumn="0" w:oddVBand="0" w:evenVBand="0" w:oddHBand="0" w:evenHBand="0" w:firstRowFirstColumn="0" w:firstRowLastColumn="0" w:lastRowFirstColumn="0" w:lastRowLastColumn="0"/>
            <w:tcW w:w="1435" w:type="dxa"/>
            <w:noWrap/>
            <w:hideMark/>
          </w:tcPr>
          <w:p w14:paraId="1B7F99B5" w14:textId="77777777" w:rsidR="009F4517" w:rsidRPr="0078151A" w:rsidRDefault="009F4517" w:rsidP="00292B1E">
            <w:pPr>
              <w:spacing w:before="20" w:after="20"/>
              <w:jc w:val="left"/>
            </w:pPr>
            <w:r w:rsidRPr="0078151A">
              <w:lastRenderedPageBreak/>
              <w:t>DVDT</w:t>
            </w:r>
          </w:p>
        </w:tc>
        <w:tc>
          <w:tcPr>
            <w:tcW w:w="1890" w:type="dxa"/>
            <w:noWrap/>
            <w:hideMark/>
          </w:tcPr>
          <w:p w14:paraId="093885E8"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Daily Vehicle Distance Traveled</w:t>
            </w:r>
          </w:p>
        </w:tc>
        <w:tc>
          <w:tcPr>
            <w:tcW w:w="6035" w:type="dxa"/>
            <w:hideMark/>
          </w:tcPr>
          <w:p w14:paraId="5875BDE4" w14:textId="53A1C72F"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The DVDT is calculated by multiplying the section AADT by the section length to compute section-specific DVDT.</w:t>
            </w:r>
            <w:r w:rsidR="004D4172">
              <w:t xml:space="preserve"> </w:t>
            </w:r>
            <w:r w:rsidRPr="0078151A">
              <w:t>(A roadway section or subsection is a State-owned or off-system roadway identified by an eight-digit code. Each roadway section is defined by a beginning and ending milepost in the Roadway Characteristics Inventory (RCI)). These are then summed for an entire stratum to compute DVDT. Aggregate estimates at any stratification level (volume group, functional class, area type, statewide, or other combinations of these) can be derived by summing the DVDT of the appropriate strata. For example, to obtain estimates of rural interstate DVDT, sum the DVDT estimates for each volume group strata within the rural interstate functional system group. Estimates of DVDT or AVDT for specific HPMS vehicle classes also can be derived by multiplying DVDT strata figures by the appropriate percentages derived from the vehicle classification counts and aggregating to the strata totals as done for volume.</w:t>
            </w:r>
          </w:p>
        </w:tc>
      </w:tr>
      <w:tr w:rsidR="009F4517" w:rsidRPr="0078151A" w14:paraId="307A6CCC" w14:textId="77777777" w:rsidTr="00701BE1">
        <w:trPr>
          <w:trHeight w:val="765"/>
        </w:trPr>
        <w:tc>
          <w:tcPr>
            <w:cnfStyle w:val="001000000000" w:firstRow="0" w:lastRow="0" w:firstColumn="1" w:lastColumn="0" w:oddVBand="0" w:evenVBand="0" w:oddHBand="0" w:evenHBand="0" w:firstRowFirstColumn="0" w:firstRowLastColumn="0" w:lastRowFirstColumn="0" w:lastRowLastColumn="0"/>
            <w:tcW w:w="1435" w:type="dxa"/>
            <w:noWrap/>
            <w:hideMark/>
          </w:tcPr>
          <w:p w14:paraId="46FE49FD" w14:textId="77777777" w:rsidR="009F4517" w:rsidRPr="0078151A" w:rsidRDefault="009F4517" w:rsidP="00292B1E">
            <w:pPr>
              <w:spacing w:before="20" w:after="20"/>
              <w:jc w:val="left"/>
            </w:pPr>
            <w:r w:rsidRPr="0078151A">
              <w:t>DVMT</w:t>
            </w:r>
          </w:p>
        </w:tc>
        <w:tc>
          <w:tcPr>
            <w:tcW w:w="1890" w:type="dxa"/>
            <w:noWrap/>
            <w:hideMark/>
          </w:tcPr>
          <w:p w14:paraId="24694694"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Daily Vehicle Miles Traveled</w:t>
            </w:r>
          </w:p>
        </w:tc>
        <w:tc>
          <w:tcPr>
            <w:tcW w:w="6035" w:type="dxa"/>
            <w:noWrap/>
            <w:hideMark/>
          </w:tcPr>
          <w:p w14:paraId="75C5632B" w14:textId="006338D5"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Indicates how many vehicles have traveled over the distance of a route, for a data reporting year, when reported as an average day for a given year.</w:t>
            </w:r>
            <w:r w:rsidR="004D4172">
              <w:t xml:space="preserve"> </w:t>
            </w:r>
            <w:r w:rsidRPr="0078151A">
              <w:t>(DVMT = AADT X section length)</w:t>
            </w:r>
          </w:p>
        </w:tc>
      </w:tr>
      <w:tr w:rsidR="009F4517" w:rsidRPr="0078151A" w14:paraId="7342AE41" w14:textId="77777777" w:rsidTr="00701BE1">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1435" w:type="dxa"/>
            <w:noWrap/>
            <w:hideMark/>
          </w:tcPr>
          <w:p w14:paraId="6E558DBF" w14:textId="77777777" w:rsidR="009F4517" w:rsidRPr="0078151A" w:rsidRDefault="009F4517" w:rsidP="00292B1E">
            <w:pPr>
              <w:spacing w:before="20" w:after="20"/>
              <w:jc w:val="left"/>
            </w:pPr>
            <w:r w:rsidRPr="0078151A">
              <w:t>D-Factor (D) </w:t>
            </w:r>
          </w:p>
        </w:tc>
        <w:tc>
          <w:tcPr>
            <w:tcW w:w="1890" w:type="dxa"/>
            <w:noWrap/>
            <w:hideMark/>
          </w:tcPr>
          <w:p w14:paraId="632BBA77"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D-Factor (D) </w:t>
            </w:r>
          </w:p>
        </w:tc>
        <w:tc>
          <w:tcPr>
            <w:tcW w:w="6035" w:type="dxa"/>
            <w:hideMark/>
          </w:tcPr>
          <w:p w14:paraId="1F9D5E98"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The directional distribution factor. It is the proportion of traffic traveling in the peak direction during a selected hour, usually expressed as a percentage. For example, a road near the center of an urban area often has a D-factor near 50% with traffic volumes equal for both directions.</w:t>
            </w:r>
          </w:p>
        </w:tc>
      </w:tr>
      <w:tr w:rsidR="009F4517" w:rsidRPr="0078151A" w14:paraId="1EA31011" w14:textId="77777777" w:rsidTr="00701BE1">
        <w:trPr>
          <w:trHeight w:val="510"/>
        </w:trPr>
        <w:tc>
          <w:tcPr>
            <w:cnfStyle w:val="001000000000" w:firstRow="0" w:lastRow="0" w:firstColumn="1" w:lastColumn="0" w:oddVBand="0" w:evenVBand="0" w:oddHBand="0" w:evenHBand="0" w:firstRowFirstColumn="0" w:firstRowLastColumn="0" w:lastRowFirstColumn="0" w:lastRowLastColumn="0"/>
            <w:tcW w:w="1435" w:type="dxa"/>
            <w:noWrap/>
            <w:hideMark/>
          </w:tcPr>
          <w:p w14:paraId="5C5F00EA" w14:textId="77777777" w:rsidR="009F4517" w:rsidRPr="0078151A" w:rsidRDefault="009F4517" w:rsidP="00292B1E">
            <w:pPr>
              <w:spacing w:before="20" w:after="20"/>
              <w:jc w:val="left"/>
            </w:pPr>
            <w:r w:rsidRPr="0078151A">
              <w:t>Extent</w:t>
            </w:r>
          </w:p>
        </w:tc>
        <w:tc>
          <w:tcPr>
            <w:tcW w:w="1890" w:type="dxa"/>
            <w:noWrap/>
            <w:hideMark/>
          </w:tcPr>
          <w:p w14:paraId="43B303A6"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Extent</w:t>
            </w:r>
          </w:p>
        </w:tc>
        <w:tc>
          <w:tcPr>
            <w:tcW w:w="6035" w:type="dxa"/>
            <w:noWrap/>
            <w:hideMark/>
          </w:tcPr>
          <w:p w14:paraId="459FCDB2"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Spatial coverage for which the data are to be reported: functional system, NHS, sample, paved etc.</w:t>
            </w:r>
          </w:p>
        </w:tc>
      </w:tr>
      <w:tr w:rsidR="009F4517" w:rsidRPr="0078151A" w14:paraId="3567D189" w14:textId="77777777" w:rsidTr="00701BE1">
        <w:trPr>
          <w:cnfStyle w:val="000000100000" w:firstRow="0" w:lastRow="0" w:firstColumn="0" w:lastColumn="0" w:oddVBand="0" w:evenVBand="0" w:oddHBand="1" w:evenHBand="0" w:firstRowFirstColumn="0" w:firstRowLastColumn="0" w:lastRowFirstColumn="0" w:lastRowLastColumn="0"/>
          <w:trHeight w:val="765"/>
        </w:trPr>
        <w:tc>
          <w:tcPr>
            <w:cnfStyle w:val="001000000000" w:firstRow="0" w:lastRow="0" w:firstColumn="1" w:lastColumn="0" w:oddVBand="0" w:evenVBand="0" w:oddHBand="0" w:evenHBand="0" w:firstRowFirstColumn="0" w:firstRowLastColumn="0" w:lastRowFirstColumn="0" w:lastRowLastColumn="0"/>
            <w:tcW w:w="1435" w:type="dxa"/>
            <w:noWrap/>
            <w:hideMark/>
          </w:tcPr>
          <w:p w14:paraId="1379D000" w14:textId="77777777" w:rsidR="009F4517" w:rsidRPr="0078151A" w:rsidRDefault="009F4517" w:rsidP="00292B1E">
            <w:pPr>
              <w:spacing w:before="20" w:after="20"/>
              <w:jc w:val="left"/>
            </w:pPr>
            <w:r w:rsidRPr="0078151A">
              <w:t>Federal-Aid Highways</w:t>
            </w:r>
          </w:p>
        </w:tc>
        <w:tc>
          <w:tcPr>
            <w:tcW w:w="1890" w:type="dxa"/>
            <w:noWrap/>
            <w:hideMark/>
          </w:tcPr>
          <w:p w14:paraId="432D3E15"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Federal-Aid Highways</w:t>
            </w:r>
          </w:p>
        </w:tc>
        <w:tc>
          <w:tcPr>
            <w:tcW w:w="6035" w:type="dxa"/>
            <w:noWrap/>
            <w:hideMark/>
          </w:tcPr>
          <w:p w14:paraId="39B37A4E"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All NHS routes and other roads functionally classified as Interstate, Other Freeways and Expressways, Other Principal Arterials, Minor Arterials, Major Collectors, and Urban Minor Collectors.</w:t>
            </w:r>
          </w:p>
        </w:tc>
      </w:tr>
      <w:tr w:rsidR="009F4517" w:rsidRPr="0078151A" w14:paraId="4AE8AEC7" w14:textId="77777777" w:rsidTr="00701BE1">
        <w:trPr>
          <w:trHeight w:val="765"/>
        </w:trPr>
        <w:tc>
          <w:tcPr>
            <w:cnfStyle w:val="001000000000" w:firstRow="0" w:lastRow="0" w:firstColumn="1" w:lastColumn="0" w:oddVBand="0" w:evenVBand="0" w:oddHBand="0" w:evenHBand="0" w:firstRowFirstColumn="0" w:firstRowLastColumn="0" w:lastRowFirstColumn="0" w:lastRowLastColumn="0"/>
            <w:tcW w:w="1435" w:type="dxa"/>
            <w:noWrap/>
            <w:hideMark/>
          </w:tcPr>
          <w:p w14:paraId="7B225CA9" w14:textId="77777777" w:rsidR="009F4517" w:rsidRPr="0078151A" w:rsidRDefault="009F4517" w:rsidP="00292B1E">
            <w:pPr>
              <w:spacing w:before="20" w:after="20"/>
              <w:jc w:val="left"/>
            </w:pPr>
            <w:r w:rsidRPr="0078151A">
              <w:t>Full Extent</w:t>
            </w:r>
          </w:p>
        </w:tc>
        <w:tc>
          <w:tcPr>
            <w:tcW w:w="1890" w:type="dxa"/>
            <w:noWrap/>
            <w:hideMark/>
          </w:tcPr>
          <w:p w14:paraId="7049B794"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t>Full Extent</w:t>
            </w:r>
          </w:p>
        </w:tc>
        <w:tc>
          <w:tcPr>
            <w:tcW w:w="6035" w:type="dxa"/>
            <w:noWrap/>
            <w:hideMark/>
          </w:tcPr>
          <w:p w14:paraId="57149017"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A population comprising all sections of a functional system of public roads, which serves as a statistical universe for HPMS sampling and census data collection.</w:t>
            </w:r>
          </w:p>
        </w:tc>
      </w:tr>
      <w:tr w:rsidR="009F4517" w:rsidRPr="0078151A" w14:paraId="08761818" w14:textId="77777777" w:rsidTr="00701BE1">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435" w:type="dxa"/>
            <w:noWrap/>
            <w:hideMark/>
          </w:tcPr>
          <w:p w14:paraId="394CAF04" w14:textId="77777777" w:rsidR="009F4517" w:rsidRPr="0078151A" w:rsidRDefault="009F4517" w:rsidP="00292B1E">
            <w:pPr>
              <w:spacing w:before="20" w:after="20"/>
              <w:jc w:val="left"/>
            </w:pPr>
            <w:r w:rsidRPr="0078151A">
              <w:t>Full Extent Data</w:t>
            </w:r>
          </w:p>
        </w:tc>
        <w:tc>
          <w:tcPr>
            <w:tcW w:w="1890" w:type="dxa"/>
            <w:noWrap/>
            <w:hideMark/>
          </w:tcPr>
          <w:p w14:paraId="4DE30ADD"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t>Full Extent Data</w:t>
            </w:r>
          </w:p>
        </w:tc>
        <w:tc>
          <w:tcPr>
            <w:tcW w:w="6035" w:type="dxa"/>
            <w:noWrap/>
            <w:hideMark/>
          </w:tcPr>
          <w:p w14:paraId="1A249508"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Data that are collected in a census of a whole population, which for HPMS means data collected on all sections of a functional system of public roads.</w:t>
            </w:r>
          </w:p>
        </w:tc>
      </w:tr>
      <w:tr w:rsidR="009F4517" w:rsidRPr="0078151A" w14:paraId="57BD0ADE" w14:textId="77777777" w:rsidTr="00701BE1">
        <w:trPr>
          <w:trHeight w:val="765"/>
        </w:trPr>
        <w:tc>
          <w:tcPr>
            <w:cnfStyle w:val="001000000000" w:firstRow="0" w:lastRow="0" w:firstColumn="1" w:lastColumn="0" w:oddVBand="0" w:evenVBand="0" w:oddHBand="0" w:evenHBand="0" w:firstRowFirstColumn="0" w:firstRowLastColumn="0" w:lastRowFirstColumn="0" w:lastRowLastColumn="0"/>
            <w:tcW w:w="1435" w:type="dxa"/>
            <w:noWrap/>
            <w:hideMark/>
          </w:tcPr>
          <w:p w14:paraId="1967F071" w14:textId="77777777" w:rsidR="009F4517" w:rsidRPr="0078151A" w:rsidRDefault="009F4517" w:rsidP="00292B1E">
            <w:pPr>
              <w:spacing w:before="20" w:after="20"/>
              <w:jc w:val="left"/>
            </w:pPr>
            <w:r w:rsidRPr="0078151A">
              <w:t>Functional Systems</w:t>
            </w:r>
          </w:p>
        </w:tc>
        <w:tc>
          <w:tcPr>
            <w:tcW w:w="1890" w:type="dxa"/>
            <w:noWrap/>
            <w:hideMark/>
          </w:tcPr>
          <w:p w14:paraId="437FCDBB"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t>Functional Systems</w:t>
            </w:r>
          </w:p>
        </w:tc>
        <w:tc>
          <w:tcPr>
            <w:tcW w:w="6035" w:type="dxa"/>
            <w:noWrap/>
            <w:hideMark/>
          </w:tcPr>
          <w:p w14:paraId="19045EFF"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Functional systems result from the grouping of highways by the character of service they provide. The functional systems designated by the States in accordance with 23 CFR 470 are used in the HPMS.</w:t>
            </w:r>
          </w:p>
        </w:tc>
      </w:tr>
      <w:tr w:rsidR="009F4517" w:rsidRPr="0078151A" w14:paraId="73F8E079" w14:textId="77777777" w:rsidTr="00701B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35" w:type="dxa"/>
            <w:noWrap/>
            <w:hideMark/>
          </w:tcPr>
          <w:p w14:paraId="3D8DA84C" w14:textId="77777777" w:rsidR="009F4517" w:rsidRPr="0078151A" w:rsidRDefault="009F4517" w:rsidP="00292B1E">
            <w:pPr>
              <w:spacing w:before="20" w:after="20"/>
              <w:jc w:val="left"/>
            </w:pPr>
            <w:r w:rsidRPr="0078151A">
              <w:t>Gap</w:t>
            </w:r>
          </w:p>
        </w:tc>
        <w:tc>
          <w:tcPr>
            <w:tcW w:w="1890" w:type="dxa"/>
            <w:noWrap/>
            <w:hideMark/>
          </w:tcPr>
          <w:p w14:paraId="7E7E45F8"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Gap</w:t>
            </w:r>
          </w:p>
        </w:tc>
        <w:tc>
          <w:tcPr>
            <w:tcW w:w="6035" w:type="dxa"/>
            <w:noWrap/>
            <w:hideMark/>
          </w:tcPr>
          <w:p w14:paraId="4D4F3D8B" w14:textId="240ACFFF" w:rsidR="009F4517" w:rsidRPr="0078151A" w:rsidRDefault="00162775" w:rsidP="00292B1E">
            <w:pPr>
              <w:spacing w:before="20" w:after="20"/>
              <w:jc w:val="left"/>
              <w:cnfStyle w:val="000000100000" w:firstRow="0" w:lastRow="0" w:firstColumn="0" w:lastColumn="0" w:oddVBand="0" w:evenVBand="0" w:oddHBand="1" w:evenHBand="0" w:firstRowFirstColumn="0" w:firstRowLastColumn="0" w:lastRowFirstColumn="0" w:lastRowLastColumn="0"/>
            </w:pPr>
            <w:r>
              <w:t>T</w:t>
            </w:r>
            <w:r w:rsidRPr="00162775">
              <w:t>he distance between the back bumper of one vehicle and the start of the next vehicle.</w:t>
            </w:r>
          </w:p>
        </w:tc>
      </w:tr>
      <w:tr w:rsidR="009F4517" w:rsidRPr="0078151A" w14:paraId="2C1419F3" w14:textId="77777777" w:rsidTr="00701BE1">
        <w:trPr>
          <w:trHeight w:val="300"/>
        </w:trPr>
        <w:tc>
          <w:tcPr>
            <w:cnfStyle w:val="001000000000" w:firstRow="0" w:lastRow="0" w:firstColumn="1" w:lastColumn="0" w:oddVBand="0" w:evenVBand="0" w:oddHBand="0" w:evenHBand="0" w:firstRowFirstColumn="0" w:firstRowLastColumn="0" w:lastRowFirstColumn="0" w:lastRowLastColumn="0"/>
            <w:tcW w:w="1435" w:type="dxa"/>
            <w:noWrap/>
            <w:hideMark/>
          </w:tcPr>
          <w:p w14:paraId="7FE8940E" w14:textId="77777777" w:rsidR="009F4517" w:rsidRPr="0078151A" w:rsidRDefault="009F4517" w:rsidP="00292B1E">
            <w:pPr>
              <w:spacing w:before="20" w:after="20"/>
              <w:jc w:val="left"/>
            </w:pPr>
            <w:r w:rsidRPr="0078151A">
              <w:t>Headway</w:t>
            </w:r>
          </w:p>
        </w:tc>
        <w:tc>
          <w:tcPr>
            <w:tcW w:w="1890" w:type="dxa"/>
            <w:noWrap/>
            <w:hideMark/>
          </w:tcPr>
          <w:p w14:paraId="1884D905"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Headway</w:t>
            </w:r>
          </w:p>
        </w:tc>
        <w:tc>
          <w:tcPr>
            <w:tcW w:w="6035" w:type="dxa"/>
            <w:noWrap/>
            <w:hideMark/>
          </w:tcPr>
          <w:p w14:paraId="7922F89A" w14:textId="20DC1B83" w:rsidR="00162775" w:rsidRPr="00162775" w:rsidRDefault="00162775" w:rsidP="00162775">
            <w:pPr>
              <w:spacing w:before="20" w:after="20"/>
              <w:jc w:val="left"/>
              <w:cnfStyle w:val="000000000000" w:firstRow="0" w:lastRow="0" w:firstColumn="0" w:lastColumn="0" w:oddVBand="0" w:evenVBand="0" w:oddHBand="0" w:evenHBand="0" w:firstRowFirstColumn="0" w:firstRowLastColumn="0" w:lastRowFirstColumn="0" w:lastRowLastColumn="0"/>
            </w:pPr>
            <w:r>
              <w:t>T</w:t>
            </w:r>
            <w:r w:rsidRPr="00162775">
              <w:t>he time between the front of one vehicle and the front of the next vehicle.</w:t>
            </w:r>
          </w:p>
          <w:p w14:paraId="3B865914" w14:textId="77777777" w:rsidR="009F4517" w:rsidRPr="0078151A" w:rsidRDefault="009F4517" w:rsidP="00162775">
            <w:pPr>
              <w:spacing w:before="20" w:after="20"/>
              <w:jc w:val="left"/>
              <w:cnfStyle w:val="000000000000" w:firstRow="0" w:lastRow="0" w:firstColumn="0" w:lastColumn="0" w:oddVBand="0" w:evenVBand="0" w:oddHBand="0" w:evenHBand="0" w:firstRowFirstColumn="0" w:firstRowLastColumn="0" w:lastRowFirstColumn="0" w:lastRowLastColumn="0"/>
            </w:pPr>
          </w:p>
        </w:tc>
      </w:tr>
      <w:tr w:rsidR="009F4517" w:rsidRPr="0078151A" w14:paraId="1BCC2A2C" w14:textId="77777777" w:rsidTr="00701BE1">
        <w:trPr>
          <w:cnfStyle w:val="000000100000" w:firstRow="0" w:lastRow="0" w:firstColumn="0" w:lastColumn="0" w:oddVBand="0" w:evenVBand="0" w:oddHBand="1" w:evenHBand="0" w:firstRowFirstColumn="0" w:firstRowLastColumn="0" w:lastRowFirstColumn="0" w:lastRowLastColumn="0"/>
          <w:trHeight w:val="1785"/>
        </w:trPr>
        <w:tc>
          <w:tcPr>
            <w:cnfStyle w:val="001000000000" w:firstRow="0" w:lastRow="0" w:firstColumn="1" w:lastColumn="0" w:oddVBand="0" w:evenVBand="0" w:oddHBand="0" w:evenHBand="0" w:firstRowFirstColumn="0" w:firstRowLastColumn="0" w:lastRowFirstColumn="0" w:lastRowLastColumn="0"/>
            <w:tcW w:w="1435" w:type="dxa"/>
            <w:noWrap/>
            <w:hideMark/>
          </w:tcPr>
          <w:p w14:paraId="64DE6A7C" w14:textId="77777777" w:rsidR="009F4517" w:rsidRPr="0078151A" w:rsidRDefault="009F4517" w:rsidP="00292B1E">
            <w:pPr>
              <w:spacing w:before="20" w:after="20"/>
              <w:jc w:val="left"/>
            </w:pPr>
            <w:r w:rsidRPr="0078151A">
              <w:t xml:space="preserve">Inductance loop detectors </w:t>
            </w:r>
          </w:p>
        </w:tc>
        <w:tc>
          <w:tcPr>
            <w:tcW w:w="1890" w:type="dxa"/>
            <w:noWrap/>
            <w:hideMark/>
          </w:tcPr>
          <w:p w14:paraId="43A7F395"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 xml:space="preserve">Inductance loop detectors </w:t>
            </w:r>
          </w:p>
        </w:tc>
        <w:tc>
          <w:tcPr>
            <w:tcW w:w="6035" w:type="dxa"/>
            <w:hideMark/>
          </w:tcPr>
          <w:p w14:paraId="1D38817C"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Inductance loop detectors operate by circulating a low alternating electrical current through a formed wire coil embedded in the pavement. The alternating current creates an electromagnetic field above the formed wire coil, and a conductive object (e.g., car, truck, and bike) passing through the electromagnetic field will disrupt the field by a measurable amount. If this disruption meets predetermined criteria, then detection occurs and an object is counted by a data logger or computer controller.</w:t>
            </w:r>
          </w:p>
        </w:tc>
      </w:tr>
      <w:tr w:rsidR="009F4517" w:rsidRPr="0078151A" w14:paraId="1833C68F" w14:textId="77777777" w:rsidTr="00701BE1">
        <w:trPr>
          <w:trHeight w:val="2040"/>
        </w:trPr>
        <w:tc>
          <w:tcPr>
            <w:cnfStyle w:val="001000000000" w:firstRow="0" w:lastRow="0" w:firstColumn="1" w:lastColumn="0" w:oddVBand="0" w:evenVBand="0" w:oddHBand="0" w:evenHBand="0" w:firstRowFirstColumn="0" w:firstRowLastColumn="0" w:lastRowFirstColumn="0" w:lastRowLastColumn="0"/>
            <w:tcW w:w="1435" w:type="dxa"/>
            <w:noWrap/>
            <w:hideMark/>
          </w:tcPr>
          <w:p w14:paraId="32D9964F" w14:textId="77777777" w:rsidR="009F4517" w:rsidRPr="0078151A" w:rsidRDefault="009F4517" w:rsidP="00292B1E">
            <w:pPr>
              <w:spacing w:before="20" w:after="20"/>
              <w:jc w:val="left"/>
            </w:pPr>
            <w:r w:rsidRPr="0078151A">
              <w:lastRenderedPageBreak/>
              <w:t xml:space="preserve">Intrusive Sensor </w:t>
            </w:r>
          </w:p>
        </w:tc>
        <w:tc>
          <w:tcPr>
            <w:tcW w:w="1890" w:type="dxa"/>
            <w:noWrap/>
            <w:hideMark/>
          </w:tcPr>
          <w:p w14:paraId="606813CA"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 xml:space="preserve">Intrusive Sensor </w:t>
            </w:r>
          </w:p>
        </w:tc>
        <w:tc>
          <w:tcPr>
            <w:tcW w:w="6035" w:type="dxa"/>
            <w:hideMark/>
          </w:tcPr>
          <w:p w14:paraId="13CC1AFB"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Traditionally, most vehicle detection sensors were placed on top of or in the pavement (e.g., road tubes versus inductive loops). These sensors are commonly referred to as “intrusive” sensors. As traffic volumes have grown over time, it has become both increasingly difficult and costly to quickly and safely place sensors on or in the travel lane. Recognizing these limitations, a new generation of sensors has been developed that can be put in place and/or maintained without personnel having to enter the travel lane. These sensors are called “non-intrusive sensors.”</w:t>
            </w:r>
          </w:p>
        </w:tc>
      </w:tr>
      <w:tr w:rsidR="009F4517" w:rsidRPr="0078151A" w14:paraId="34DEDE99" w14:textId="77777777" w:rsidTr="00701BE1">
        <w:trPr>
          <w:cnfStyle w:val="000000100000" w:firstRow="0" w:lastRow="0" w:firstColumn="0" w:lastColumn="0" w:oddVBand="0" w:evenVBand="0" w:oddHBand="1" w:evenHBand="0" w:firstRowFirstColumn="0" w:firstRowLastColumn="0" w:lastRowFirstColumn="0" w:lastRowLastColumn="0"/>
          <w:trHeight w:val="1830"/>
        </w:trPr>
        <w:tc>
          <w:tcPr>
            <w:cnfStyle w:val="001000000000" w:firstRow="0" w:lastRow="0" w:firstColumn="1" w:lastColumn="0" w:oddVBand="0" w:evenVBand="0" w:oddHBand="0" w:evenHBand="0" w:firstRowFirstColumn="0" w:firstRowLastColumn="0" w:lastRowFirstColumn="0" w:lastRowLastColumn="0"/>
            <w:tcW w:w="1435" w:type="dxa"/>
            <w:noWrap/>
            <w:hideMark/>
          </w:tcPr>
          <w:p w14:paraId="7C93AAE0" w14:textId="77777777" w:rsidR="009F4517" w:rsidRPr="0078151A" w:rsidRDefault="009F4517" w:rsidP="00292B1E">
            <w:pPr>
              <w:spacing w:before="20" w:after="20"/>
              <w:jc w:val="left"/>
            </w:pPr>
            <w:r w:rsidRPr="0078151A">
              <w:t>K-Factor (K) </w:t>
            </w:r>
          </w:p>
        </w:tc>
        <w:tc>
          <w:tcPr>
            <w:tcW w:w="1890" w:type="dxa"/>
            <w:noWrap/>
            <w:hideMark/>
          </w:tcPr>
          <w:p w14:paraId="480F5B72"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K-Factor (K) </w:t>
            </w:r>
          </w:p>
        </w:tc>
        <w:tc>
          <w:tcPr>
            <w:tcW w:w="6035" w:type="dxa"/>
            <w:hideMark/>
          </w:tcPr>
          <w:p w14:paraId="1033F8DD" w14:textId="79880649"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The proportion of AADT occurring in the peak hour is referred to as the peak hour proportionality K-factor. It is the ratio of peak hour to annual average daily traffic. It is used in design engineering for determining the peak loading on a roadway design that might have similar traffic volumes. For example, by applying the K-factor to a volume, a design engineer can estimate design hour volume. The K30 is the 30</w:t>
            </w:r>
            <w:r w:rsidRPr="0078151A">
              <w:rPr>
                <w:vertAlign w:val="superscript"/>
              </w:rPr>
              <w:t>th</w:t>
            </w:r>
            <w:r w:rsidRPr="0078151A">
              <w:t xml:space="preserve"> (K100 is the 100</w:t>
            </w:r>
            <w:r w:rsidRPr="0078151A">
              <w:rPr>
                <w:vertAlign w:val="superscript"/>
              </w:rPr>
              <w:t>th</w:t>
            </w:r>
            <w:r w:rsidRPr="0078151A">
              <w:t>) highest hour divided by the annual average daily traffic.</w:t>
            </w:r>
          </w:p>
        </w:tc>
      </w:tr>
      <w:tr w:rsidR="009F4517" w:rsidRPr="0078151A" w14:paraId="456D8158" w14:textId="77777777" w:rsidTr="00701BE1">
        <w:trPr>
          <w:trHeight w:val="300"/>
        </w:trPr>
        <w:tc>
          <w:tcPr>
            <w:cnfStyle w:val="001000000000" w:firstRow="0" w:lastRow="0" w:firstColumn="1" w:lastColumn="0" w:oddVBand="0" w:evenVBand="0" w:oddHBand="0" w:evenHBand="0" w:firstRowFirstColumn="0" w:firstRowLastColumn="0" w:lastRowFirstColumn="0" w:lastRowLastColumn="0"/>
            <w:tcW w:w="1435" w:type="dxa"/>
            <w:noWrap/>
            <w:hideMark/>
          </w:tcPr>
          <w:p w14:paraId="73F06C45" w14:textId="77777777" w:rsidR="009F4517" w:rsidRPr="0078151A" w:rsidRDefault="009F4517" w:rsidP="00292B1E">
            <w:pPr>
              <w:spacing w:before="20" w:after="20"/>
              <w:jc w:val="left"/>
            </w:pPr>
            <w:r w:rsidRPr="0078151A">
              <w:t>Lane Occupancy</w:t>
            </w:r>
          </w:p>
        </w:tc>
        <w:tc>
          <w:tcPr>
            <w:tcW w:w="1890" w:type="dxa"/>
            <w:noWrap/>
            <w:hideMark/>
          </w:tcPr>
          <w:p w14:paraId="69767632"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Lane Occupancy</w:t>
            </w:r>
          </w:p>
        </w:tc>
        <w:tc>
          <w:tcPr>
            <w:tcW w:w="6035" w:type="dxa"/>
            <w:noWrap/>
            <w:hideMark/>
          </w:tcPr>
          <w:p w14:paraId="00A141FF" w14:textId="0DCA1CAC" w:rsidR="009F4517" w:rsidRPr="0078151A" w:rsidRDefault="00162775"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162775">
              <w:t>The percentage of time a vehicle occupies the detection zone. Can be used to describe congested conditions.</w:t>
            </w:r>
          </w:p>
        </w:tc>
      </w:tr>
      <w:tr w:rsidR="009F4517" w:rsidRPr="0078151A" w14:paraId="778B2627" w14:textId="77777777" w:rsidTr="00701BE1">
        <w:trPr>
          <w:cnfStyle w:val="000000100000" w:firstRow="0" w:lastRow="0" w:firstColumn="0" w:lastColumn="0" w:oddVBand="0" w:evenVBand="0" w:oddHBand="1" w:evenHBand="0" w:firstRowFirstColumn="0" w:firstRowLastColumn="0" w:lastRowFirstColumn="0" w:lastRowLastColumn="0"/>
          <w:trHeight w:val="765"/>
        </w:trPr>
        <w:tc>
          <w:tcPr>
            <w:cnfStyle w:val="001000000000" w:firstRow="0" w:lastRow="0" w:firstColumn="1" w:lastColumn="0" w:oddVBand="0" w:evenVBand="0" w:oddHBand="0" w:evenHBand="0" w:firstRowFirstColumn="0" w:firstRowLastColumn="0" w:lastRowFirstColumn="0" w:lastRowLastColumn="0"/>
            <w:tcW w:w="1435" w:type="dxa"/>
            <w:noWrap/>
            <w:hideMark/>
          </w:tcPr>
          <w:p w14:paraId="6A093D86" w14:textId="77777777" w:rsidR="009F4517" w:rsidRPr="0078151A" w:rsidRDefault="009F4517" w:rsidP="00292B1E">
            <w:pPr>
              <w:spacing w:before="20" w:after="20"/>
              <w:jc w:val="left"/>
            </w:pPr>
            <w:r w:rsidRPr="0078151A">
              <w:t>Metadata</w:t>
            </w:r>
          </w:p>
        </w:tc>
        <w:tc>
          <w:tcPr>
            <w:tcW w:w="1890" w:type="dxa"/>
            <w:noWrap/>
            <w:hideMark/>
          </w:tcPr>
          <w:p w14:paraId="7F8A33C3"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Metadata</w:t>
            </w:r>
          </w:p>
        </w:tc>
        <w:tc>
          <w:tcPr>
            <w:tcW w:w="6035" w:type="dxa"/>
            <w:noWrap/>
            <w:hideMark/>
          </w:tcPr>
          <w:p w14:paraId="73F0CA3B"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Describe how data are collected or converted for reporting; explain variations in data that do not warrant the establishment of a collection requirement (e.g., type of equipment used, sampling frequency etc.).</w:t>
            </w:r>
          </w:p>
        </w:tc>
      </w:tr>
      <w:tr w:rsidR="009F4517" w:rsidRPr="0078151A" w14:paraId="596F38CE" w14:textId="77777777" w:rsidTr="00701BE1">
        <w:trPr>
          <w:trHeight w:val="1785"/>
        </w:trPr>
        <w:tc>
          <w:tcPr>
            <w:cnfStyle w:val="001000000000" w:firstRow="0" w:lastRow="0" w:firstColumn="1" w:lastColumn="0" w:oddVBand="0" w:evenVBand="0" w:oddHBand="0" w:evenHBand="0" w:firstRowFirstColumn="0" w:firstRowLastColumn="0" w:lastRowFirstColumn="0" w:lastRowLastColumn="0"/>
            <w:tcW w:w="1435" w:type="dxa"/>
            <w:noWrap/>
            <w:hideMark/>
          </w:tcPr>
          <w:p w14:paraId="2BCE793B" w14:textId="77777777" w:rsidR="009F4517" w:rsidRPr="0078151A" w:rsidRDefault="009F4517" w:rsidP="00292B1E">
            <w:pPr>
              <w:spacing w:before="20" w:after="20"/>
              <w:jc w:val="left"/>
            </w:pPr>
            <w:r w:rsidRPr="0078151A">
              <w:t>MADT</w:t>
            </w:r>
          </w:p>
        </w:tc>
        <w:tc>
          <w:tcPr>
            <w:tcW w:w="1890" w:type="dxa"/>
            <w:noWrap/>
            <w:hideMark/>
          </w:tcPr>
          <w:p w14:paraId="2B0D88D4"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Monthly Average Daily Traffic</w:t>
            </w:r>
          </w:p>
        </w:tc>
        <w:tc>
          <w:tcPr>
            <w:tcW w:w="6035" w:type="dxa"/>
            <w:hideMark/>
          </w:tcPr>
          <w:p w14:paraId="4146EFED" w14:textId="6A339CD4"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This can be computed by adding the daily volumes during any given month and dividing by the number of days in the month. For MADT, most of the calendar month of data should be included with a minimum of at least one Monday, Tuesday, Wednesday, Thursday, Friday, Saturday</w:t>
            </w:r>
            <w:r w:rsidR="00773DFE">
              <w:t>,</w:t>
            </w:r>
            <w:r w:rsidRPr="0078151A">
              <w:t xml:space="preserve"> and Sunday.</w:t>
            </w:r>
            <w:r w:rsidR="004D4172">
              <w:t xml:space="preserve"> </w:t>
            </w:r>
            <w:r w:rsidRPr="0078151A">
              <w:t>For a CCS site that operates 365 days per year without failure, the MADT can be computed by adding the daily volumes during any given month and dividing by the number of days in the month.</w:t>
            </w:r>
          </w:p>
        </w:tc>
      </w:tr>
      <w:tr w:rsidR="009F4517" w:rsidRPr="0078151A" w14:paraId="364DF45F" w14:textId="77777777" w:rsidTr="00701B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35" w:type="dxa"/>
            <w:noWrap/>
            <w:hideMark/>
          </w:tcPr>
          <w:p w14:paraId="133497D6" w14:textId="77777777" w:rsidR="009F4517" w:rsidRPr="0078151A" w:rsidRDefault="009F4517" w:rsidP="00292B1E">
            <w:pPr>
              <w:spacing w:before="20" w:after="20"/>
              <w:jc w:val="left"/>
            </w:pPr>
            <w:r w:rsidRPr="0078151A">
              <w:t>MAWDT</w:t>
            </w:r>
          </w:p>
        </w:tc>
        <w:tc>
          <w:tcPr>
            <w:tcW w:w="1890" w:type="dxa"/>
            <w:noWrap/>
            <w:hideMark/>
          </w:tcPr>
          <w:p w14:paraId="63B19594"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Monthly Average Weekday Daily Traffic </w:t>
            </w:r>
          </w:p>
        </w:tc>
        <w:tc>
          <w:tcPr>
            <w:tcW w:w="6035" w:type="dxa"/>
            <w:hideMark/>
          </w:tcPr>
          <w:p w14:paraId="2EC42862"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The MADT for Monday through Friday are summed and then divided by five.</w:t>
            </w:r>
          </w:p>
        </w:tc>
      </w:tr>
      <w:tr w:rsidR="009F4517" w:rsidRPr="0078151A" w14:paraId="4941AEEB" w14:textId="77777777" w:rsidTr="00701BE1">
        <w:trPr>
          <w:trHeight w:val="300"/>
        </w:trPr>
        <w:tc>
          <w:tcPr>
            <w:cnfStyle w:val="001000000000" w:firstRow="0" w:lastRow="0" w:firstColumn="1" w:lastColumn="0" w:oddVBand="0" w:evenVBand="0" w:oddHBand="0" w:evenHBand="0" w:firstRowFirstColumn="0" w:firstRowLastColumn="0" w:lastRowFirstColumn="0" w:lastRowLastColumn="0"/>
            <w:tcW w:w="1435" w:type="dxa"/>
            <w:noWrap/>
            <w:hideMark/>
          </w:tcPr>
          <w:p w14:paraId="31972E05" w14:textId="77777777" w:rsidR="009F4517" w:rsidRPr="0078151A" w:rsidRDefault="009F4517" w:rsidP="00292B1E">
            <w:pPr>
              <w:spacing w:before="20" w:after="20"/>
              <w:jc w:val="left"/>
            </w:pPr>
            <w:r w:rsidRPr="0078151A">
              <w:t>MAWET</w:t>
            </w:r>
          </w:p>
        </w:tc>
        <w:tc>
          <w:tcPr>
            <w:tcW w:w="1890" w:type="dxa"/>
            <w:noWrap/>
            <w:hideMark/>
          </w:tcPr>
          <w:p w14:paraId="0FCD4C23"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Monthly Average Weekend Daily Traffic </w:t>
            </w:r>
          </w:p>
        </w:tc>
        <w:tc>
          <w:tcPr>
            <w:tcW w:w="6035" w:type="dxa"/>
            <w:hideMark/>
          </w:tcPr>
          <w:p w14:paraId="51EE97C8"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The MADT for Saturday and Sunday are summed and then divided by two.</w:t>
            </w:r>
          </w:p>
        </w:tc>
      </w:tr>
      <w:tr w:rsidR="009F4517" w:rsidRPr="0078151A" w14:paraId="757EAEAB" w14:textId="77777777" w:rsidTr="00701BE1">
        <w:trPr>
          <w:cnfStyle w:val="000000100000" w:firstRow="0" w:lastRow="0" w:firstColumn="0" w:lastColumn="0" w:oddVBand="0" w:evenVBand="0" w:oddHBand="1" w:evenHBand="0" w:firstRowFirstColumn="0" w:firstRowLastColumn="0" w:lastRowFirstColumn="0" w:lastRowLastColumn="0"/>
          <w:trHeight w:val="1785"/>
        </w:trPr>
        <w:tc>
          <w:tcPr>
            <w:cnfStyle w:val="001000000000" w:firstRow="0" w:lastRow="0" w:firstColumn="1" w:lastColumn="0" w:oddVBand="0" w:evenVBand="0" w:oddHBand="0" w:evenHBand="0" w:firstRowFirstColumn="0" w:firstRowLastColumn="0" w:lastRowFirstColumn="0" w:lastRowLastColumn="0"/>
            <w:tcW w:w="1435" w:type="dxa"/>
            <w:noWrap/>
            <w:hideMark/>
          </w:tcPr>
          <w:p w14:paraId="73776482" w14:textId="77777777" w:rsidR="009F4517" w:rsidRPr="0078151A" w:rsidRDefault="009F4517" w:rsidP="00292B1E">
            <w:pPr>
              <w:spacing w:before="20" w:after="20"/>
              <w:jc w:val="left"/>
            </w:pPr>
            <w:r w:rsidRPr="0078151A">
              <w:t>Monthly Factor</w:t>
            </w:r>
          </w:p>
        </w:tc>
        <w:tc>
          <w:tcPr>
            <w:tcW w:w="1890" w:type="dxa"/>
            <w:noWrap/>
            <w:hideMark/>
          </w:tcPr>
          <w:p w14:paraId="4657CAEF"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Monthly Factor</w:t>
            </w:r>
          </w:p>
        </w:tc>
        <w:tc>
          <w:tcPr>
            <w:tcW w:w="6035" w:type="dxa"/>
            <w:hideMark/>
          </w:tcPr>
          <w:p w14:paraId="31110878"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The monthly factor is used to correct for month of year bias in short duration counts. Directions on how to create and apply monthly factors are provided in the general discussion of factoring in Chapter 3. Those procedures are recommended for the HPMS reporting, discussed further in Chapter 5. States may choose to select alternative monthly adjustment procedures if they have performed the analytical work necessary to document the applicability of their chosen procedure.</w:t>
            </w:r>
          </w:p>
        </w:tc>
      </w:tr>
      <w:tr w:rsidR="009F4517" w:rsidRPr="0078151A" w14:paraId="73DBAC79" w14:textId="77777777" w:rsidTr="00701BE1">
        <w:trPr>
          <w:trHeight w:val="1020"/>
        </w:trPr>
        <w:tc>
          <w:tcPr>
            <w:cnfStyle w:val="001000000000" w:firstRow="0" w:lastRow="0" w:firstColumn="1" w:lastColumn="0" w:oddVBand="0" w:evenVBand="0" w:oddHBand="0" w:evenHBand="0" w:firstRowFirstColumn="0" w:firstRowLastColumn="0" w:lastRowFirstColumn="0" w:lastRowLastColumn="0"/>
            <w:tcW w:w="1435" w:type="dxa"/>
            <w:noWrap/>
            <w:hideMark/>
          </w:tcPr>
          <w:p w14:paraId="4CD3BFA4" w14:textId="77777777" w:rsidR="009F4517" w:rsidRPr="0078151A" w:rsidRDefault="009F4517" w:rsidP="00292B1E">
            <w:pPr>
              <w:spacing w:before="20" w:after="20"/>
              <w:jc w:val="left"/>
            </w:pPr>
            <w:r w:rsidRPr="0078151A">
              <w:t>NHS</w:t>
            </w:r>
          </w:p>
        </w:tc>
        <w:tc>
          <w:tcPr>
            <w:tcW w:w="1890" w:type="dxa"/>
            <w:noWrap/>
            <w:hideMark/>
          </w:tcPr>
          <w:p w14:paraId="726BCEB1"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National Highway System</w:t>
            </w:r>
          </w:p>
        </w:tc>
        <w:tc>
          <w:tcPr>
            <w:tcW w:w="6035" w:type="dxa"/>
            <w:noWrap/>
            <w:hideMark/>
          </w:tcPr>
          <w:p w14:paraId="2CE54D85"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The National Highway System is a network of nationally significant highways approved by Congress in the National Highway System Designation Act of 1995 and redefined by MAP-21. It includes the Interstate System, other roads, and connectors to major intermodal terminals.</w:t>
            </w:r>
          </w:p>
        </w:tc>
      </w:tr>
      <w:tr w:rsidR="009F4517" w:rsidRPr="0078151A" w14:paraId="6B2FA543" w14:textId="77777777" w:rsidTr="00701BE1">
        <w:trPr>
          <w:cnfStyle w:val="000000100000" w:firstRow="0" w:lastRow="0" w:firstColumn="0" w:lastColumn="0" w:oddVBand="0" w:evenVBand="0" w:oddHBand="1" w:evenHBand="0" w:firstRowFirstColumn="0" w:firstRowLastColumn="0" w:lastRowFirstColumn="0" w:lastRowLastColumn="0"/>
          <w:trHeight w:val="765"/>
        </w:trPr>
        <w:tc>
          <w:tcPr>
            <w:cnfStyle w:val="001000000000" w:firstRow="0" w:lastRow="0" w:firstColumn="1" w:lastColumn="0" w:oddVBand="0" w:evenVBand="0" w:oddHBand="0" w:evenHBand="0" w:firstRowFirstColumn="0" w:firstRowLastColumn="0" w:lastRowFirstColumn="0" w:lastRowLastColumn="0"/>
            <w:tcW w:w="1435" w:type="dxa"/>
            <w:noWrap/>
            <w:hideMark/>
          </w:tcPr>
          <w:p w14:paraId="0BE7939C" w14:textId="77777777" w:rsidR="009F4517" w:rsidRPr="0078151A" w:rsidRDefault="009F4517" w:rsidP="00292B1E">
            <w:pPr>
              <w:spacing w:before="20" w:after="20"/>
              <w:jc w:val="left"/>
            </w:pPr>
            <w:r w:rsidRPr="0078151A">
              <w:t xml:space="preserve">Non-intrusive sensors </w:t>
            </w:r>
          </w:p>
        </w:tc>
        <w:tc>
          <w:tcPr>
            <w:tcW w:w="1890" w:type="dxa"/>
            <w:noWrap/>
            <w:hideMark/>
          </w:tcPr>
          <w:p w14:paraId="4E168929"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 xml:space="preserve">Non-intrusive sensors </w:t>
            </w:r>
          </w:p>
        </w:tc>
        <w:tc>
          <w:tcPr>
            <w:tcW w:w="6035" w:type="dxa"/>
            <w:hideMark/>
          </w:tcPr>
          <w:p w14:paraId="5198BA4B"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Non-intrusive sensors can be overhead-mounted sensors and side-fired sensors. Side-fired sensors have the advantage of being mounted beside the road. This makes them easy to install, access, and maintain.</w:t>
            </w:r>
          </w:p>
        </w:tc>
      </w:tr>
      <w:tr w:rsidR="009F4517" w:rsidRPr="0078151A" w14:paraId="3288A259" w14:textId="77777777" w:rsidTr="00701BE1">
        <w:trPr>
          <w:trHeight w:val="1785"/>
        </w:trPr>
        <w:tc>
          <w:tcPr>
            <w:cnfStyle w:val="001000000000" w:firstRow="0" w:lastRow="0" w:firstColumn="1" w:lastColumn="0" w:oddVBand="0" w:evenVBand="0" w:oddHBand="0" w:evenHBand="0" w:firstRowFirstColumn="0" w:firstRowLastColumn="0" w:lastRowFirstColumn="0" w:lastRowLastColumn="0"/>
            <w:tcW w:w="1435" w:type="dxa"/>
            <w:noWrap/>
            <w:hideMark/>
          </w:tcPr>
          <w:p w14:paraId="4B7874CC" w14:textId="77777777" w:rsidR="009F4517" w:rsidRPr="0078151A" w:rsidRDefault="009F4517" w:rsidP="00292B1E">
            <w:pPr>
              <w:spacing w:before="20" w:after="20"/>
              <w:jc w:val="left"/>
            </w:pPr>
            <w:r w:rsidRPr="0078151A">
              <w:lastRenderedPageBreak/>
              <w:t>Occlusion</w:t>
            </w:r>
          </w:p>
        </w:tc>
        <w:tc>
          <w:tcPr>
            <w:tcW w:w="1890" w:type="dxa"/>
            <w:noWrap/>
            <w:hideMark/>
          </w:tcPr>
          <w:p w14:paraId="67259E8F"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Occlusion</w:t>
            </w:r>
          </w:p>
        </w:tc>
        <w:tc>
          <w:tcPr>
            <w:tcW w:w="6035" w:type="dxa"/>
            <w:hideMark/>
          </w:tcPr>
          <w:p w14:paraId="2940B5BB"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The drawback to non-intrusive side-fired sensors is that on multi-lane roadways, traffic using the roadway lanes farthest away from the sensor location can be obscured from the side-fired sensors by vehicles (and particularly trucks) traveling in the lanes closer to the sensor. This is called occlusion. Occlusion results in undercounting of total volume and can bias speed estimates if the traffic on the inside of the roadway is traveling at a different speed than traffic on the outside lanes.</w:t>
            </w:r>
          </w:p>
        </w:tc>
      </w:tr>
      <w:tr w:rsidR="009F4517" w:rsidRPr="0078151A" w14:paraId="78E1B157" w14:textId="77777777" w:rsidTr="00701BE1">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1435" w:type="dxa"/>
            <w:noWrap/>
            <w:hideMark/>
          </w:tcPr>
          <w:p w14:paraId="3F4DA60A" w14:textId="77777777" w:rsidR="009F4517" w:rsidRPr="0078151A" w:rsidRDefault="009F4517" w:rsidP="00292B1E">
            <w:pPr>
              <w:spacing w:before="20" w:after="20"/>
              <w:jc w:val="left"/>
            </w:pPr>
            <w:r w:rsidRPr="0078151A">
              <w:t>IR Sensor, Passive</w:t>
            </w:r>
          </w:p>
        </w:tc>
        <w:tc>
          <w:tcPr>
            <w:tcW w:w="1890" w:type="dxa"/>
            <w:noWrap/>
            <w:hideMark/>
          </w:tcPr>
          <w:p w14:paraId="20E7A3BA"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 xml:space="preserve">Passive Infrared Sensor </w:t>
            </w:r>
          </w:p>
        </w:tc>
        <w:tc>
          <w:tcPr>
            <w:tcW w:w="6035" w:type="dxa"/>
            <w:hideMark/>
          </w:tcPr>
          <w:p w14:paraId="7180E518"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Passive infrared sensors use a signal transmitter only on one side of the detection area and operate by identifying a changing heat differential in the detection area. If the heat differential and pattern meet pre-defined criteria, then a detection and/or count is registered.</w:t>
            </w:r>
          </w:p>
        </w:tc>
      </w:tr>
      <w:tr w:rsidR="009F4517" w:rsidRPr="0078151A" w14:paraId="07FCA2C1" w14:textId="77777777" w:rsidTr="00701BE1">
        <w:trPr>
          <w:trHeight w:val="1020"/>
        </w:trPr>
        <w:tc>
          <w:tcPr>
            <w:cnfStyle w:val="001000000000" w:firstRow="0" w:lastRow="0" w:firstColumn="1" w:lastColumn="0" w:oddVBand="0" w:evenVBand="0" w:oddHBand="0" w:evenHBand="0" w:firstRowFirstColumn="0" w:firstRowLastColumn="0" w:lastRowFirstColumn="0" w:lastRowLastColumn="0"/>
            <w:tcW w:w="1435" w:type="dxa"/>
            <w:noWrap/>
            <w:hideMark/>
          </w:tcPr>
          <w:p w14:paraId="6A0E86FA" w14:textId="77777777" w:rsidR="009F4517" w:rsidRPr="0078151A" w:rsidRDefault="009F4517" w:rsidP="00292B1E">
            <w:pPr>
              <w:spacing w:before="20" w:after="20"/>
              <w:jc w:val="left"/>
            </w:pPr>
            <w:r w:rsidRPr="0078151A">
              <w:t>Peak Hour Factor (PHF) </w:t>
            </w:r>
          </w:p>
        </w:tc>
        <w:tc>
          <w:tcPr>
            <w:tcW w:w="1890" w:type="dxa"/>
            <w:noWrap/>
            <w:hideMark/>
          </w:tcPr>
          <w:p w14:paraId="4A5D1477"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Peak Hour Factor (PHF) </w:t>
            </w:r>
          </w:p>
        </w:tc>
        <w:tc>
          <w:tcPr>
            <w:tcW w:w="6035" w:type="dxa"/>
            <w:hideMark/>
          </w:tcPr>
          <w:p w14:paraId="6FE6E56E"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The hourly volume during the maximum traffic volume hour of the day divided by 15-minute volume multiplied by four, a measure of traffic demand fluctuation within the peak hour. It represents one hour of data at the peak time.</w:t>
            </w:r>
          </w:p>
        </w:tc>
      </w:tr>
      <w:tr w:rsidR="009F4517" w:rsidRPr="0078151A" w14:paraId="61EB4130" w14:textId="77777777" w:rsidTr="00701BE1">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435" w:type="dxa"/>
            <w:noWrap/>
          </w:tcPr>
          <w:p w14:paraId="4B2B060C" w14:textId="406356DE" w:rsidR="009F4517" w:rsidRPr="0078151A" w:rsidRDefault="009F4517" w:rsidP="00292B1E">
            <w:pPr>
              <w:spacing w:before="20" w:after="20"/>
              <w:jc w:val="left"/>
            </w:pPr>
            <w:r>
              <w:t>Micromobility Detector</w:t>
            </w:r>
          </w:p>
        </w:tc>
        <w:tc>
          <w:tcPr>
            <w:tcW w:w="1890" w:type="dxa"/>
            <w:noWrap/>
          </w:tcPr>
          <w:p w14:paraId="4C93E13D" w14:textId="5FF98E4A"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t>Micromobility Detector</w:t>
            </w:r>
          </w:p>
        </w:tc>
        <w:tc>
          <w:tcPr>
            <w:tcW w:w="6035" w:type="dxa"/>
            <w:noWrap/>
          </w:tcPr>
          <w:p w14:paraId="6034BAB3"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4D3F34">
              <w:t>A traffic counter specially configured to collect pedestrian and micro mobility (bicycle, e-bike, scooter, hoverboard, etc.) travel volume counts on roads, trails, and sidewalks; also reports data into type of traveler (pedestrian, bicycle, scooter, etc.) using pre-programmed algorithms that classify micro mobility devices based on speed, axle spacing, and other distinguishing attributes.</w:t>
            </w:r>
          </w:p>
        </w:tc>
      </w:tr>
      <w:tr w:rsidR="009F4517" w:rsidRPr="0078151A" w14:paraId="23992A80" w14:textId="77777777" w:rsidTr="00701BE1">
        <w:trPr>
          <w:trHeight w:val="510"/>
        </w:trPr>
        <w:tc>
          <w:tcPr>
            <w:cnfStyle w:val="001000000000" w:firstRow="0" w:lastRow="0" w:firstColumn="1" w:lastColumn="0" w:oddVBand="0" w:evenVBand="0" w:oddHBand="0" w:evenHBand="0" w:firstRowFirstColumn="0" w:firstRowLastColumn="0" w:lastRowFirstColumn="0" w:lastRowLastColumn="0"/>
            <w:tcW w:w="1435" w:type="dxa"/>
            <w:noWrap/>
          </w:tcPr>
          <w:p w14:paraId="7D1BA1C9" w14:textId="77777777" w:rsidR="009F4517" w:rsidRPr="0078151A" w:rsidRDefault="009F4517" w:rsidP="00292B1E">
            <w:pPr>
              <w:spacing w:before="20" w:after="20"/>
              <w:jc w:val="left"/>
            </w:pPr>
            <w:r>
              <w:t>PTR</w:t>
            </w:r>
          </w:p>
        </w:tc>
        <w:tc>
          <w:tcPr>
            <w:tcW w:w="1890" w:type="dxa"/>
            <w:noWrap/>
          </w:tcPr>
          <w:p w14:paraId="281A9C39"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t>Portable Traffic Recorder or Counter</w:t>
            </w:r>
          </w:p>
        </w:tc>
        <w:tc>
          <w:tcPr>
            <w:tcW w:w="6035" w:type="dxa"/>
            <w:noWrap/>
          </w:tcPr>
          <w:p w14:paraId="1FE80875" w14:textId="77777777" w:rsidR="009F4517" w:rsidRPr="003E1488"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3E1488">
              <w:t>A vehicle counter or classifier that is portable/mobile (can be moved to different locations) and not permanently installed in the infrastructure, including sensors placed across the road.</w:t>
            </w:r>
          </w:p>
        </w:tc>
      </w:tr>
      <w:tr w:rsidR="009F4517" w:rsidRPr="0078151A" w14:paraId="12E9553D" w14:textId="77777777" w:rsidTr="00701BE1">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435" w:type="dxa"/>
            <w:noWrap/>
            <w:hideMark/>
          </w:tcPr>
          <w:p w14:paraId="11D51870" w14:textId="77777777" w:rsidR="009F4517" w:rsidRPr="0078151A" w:rsidRDefault="009F4517" w:rsidP="00292B1E">
            <w:pPr>
              <w:spacing w:before="20" w:after="20"/>
              <w:jc w:val="left"/>
            </w:pPr>
            <w:r w:rsidRPr="0078151A">
              <w:t>Sample Panel (HPMS)</w:t>
            </w:r>
          </w:p>
        </w:tc>
        <w:tc>
          <w:tcPr>
            <w:tcW w:w="1890" w:type="dxa"/>
            <w:noWrap/>
            <w:hideMark/>
          </w:tcPr>
          <w:p w14:paraId="37174925"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Sample Panel (HPMS)</w:t>
            </w:r>
          </w:p>
        </w:tc>
        <w:tc>
          <w:tcPr>
            <w:tcW w:w="6035" w:type="dxa"/>
            <w:noWrap/>
            <w:hideMark/>
          </w:tcPr>
          <w:p w14:paraId="135DDCB9"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A collection of designated roadway sections within a system of public roads that is stable over time and is used to estimate attributes for the entire system.</w:t>
            </w:r>
          </w:p>
        </w:tc>
      </w:tr>
      <w:tr w:rsidR="009F4517" w:rsidRPr="0078151A" w14:paraId="56811988" w14:textId="77777777" w:rsidTr="00701BE1">
        <w:trPr>
          <w:trHeight w:val="510"/>
        </w:trPr>
        <w:tc>
          <w:tcPr>
            <w:cnfStyle w:val="001000000000" w:firstRow="0" w:lastRow="0" w:firstColumn="1" w:lastColumn="0" w:oddVBand="0" w:evenVBand="0" w:oddHBand="0" w:evenHBand="0" w:firstRowFirstColumn="0" w:firstRowLastColumn="0" w:lastRowFirstColumn="0" w:lastRowLastColumn="0"/>
            <w:tcW w:w="1435" w:type="dxa"/>
            <w:noWrap/>
            <w:hideMark/>
          </w:tcPr>
          <w:p w14:paraId="4B216260" w14:textId="77777777" w:rsidR="009F4517" w:rsidRPr="0078151A" w:rsidRDefault="009F4517" w:rsidP="00292B1E">
            <w:pPr>
              <w:spacing w:before="20" w:after="20"/>
              <w:jc w:val="left"/>
            </w:pPr>
            <w:r w:rsidRPr="0078151A">
              <w:t>Seasonality Factor</w:t>
            </w:r>
          </w:p>
        </w:tc>
        <w:tc>
          <w:tcPr>
            <w:tcW w:w="1890" w:type="dxa"/>
            <w:noWrap/>
            <w:hideMark/>
          </w:tcPr>
          <w:p w14:paraId="5AC7C7A7"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Seasonality Factor</w:t>
            </w:r>
          </w:p>
        </w:tc>
        <w:tc>
          <w:tcPr>
            <w:tcW w:w="6035" w:type="dxa"/>
            <w:noWrap/>
            <w:hideMark/>
          </w:tcPr>
          <w:p w14:paraId="3D433626"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Seasonal (or Monthly) factors are used to correct for seasonal bias in short duration counts.</w:t>
            </w:r>
          </w:p>
        </w:tc>
      </w:tr>
      <w:tr w:rsidR="009F4517" w:rsidRPr="0078151A" w14:paraId="32C87DE0" w14:textId="77777777" w:rsidTr="00701BE1">
        <w:trPr>
          <w:cnfStyle w:val="000000100000" w:firstRow="0" w:lastRow="0" w:firstColumn="0" w:lastColumn="0" w:oddVBand="0" w:evenVBand="0" w:oddHBand="1" w:evenHBand="0" w:firstRowFirstColumn="0" w:firstRowLastColumn="0" w:lastRowFirstColumn="0" w:lastRowLastColumn="0"/>
          <w:trHeight w:val="1275"/>
        </w:trPr>
        <w:tc>
          <w:tcPr>
            <w:cnfStyle w:val="001000000000" w:firstRow="0" w:lastRow="0" w:firstColumn="1" w:lastColumn="0" w:oddVBand="0" w:evenVBand="0" w:oddHBand="0" w:evenHBand="0" w:firstRowFirstColumn="0" w:firstRowLastColumn="0" w:lastRowFirstColumn="0" w:lastRowLastColumn="0"/>
            <w:tcW w:w="1435" w:type="dxa"/>
            <w:noWrap/>
            <w:hideMark/>
          </w:tcPr>
          <w:p w14:paraId="4AF521EF" w14:textId="77777777" w:rsidR="009F4517" w:rsidRPr="0078151A" w:rsidRDefault="009F4517" w:rsidP="00292B1E">
            <w:pPr>
              <w:spacing w:before="20" w:after="20"/>
              <w:jc w:val="left"/>
            </w:pPr>
            <w:r w:rsidRPr="0078151A">
              <w:t>SDC</w:t>
            </w:r>
          </w:p>
        </w:tc>
        <w:tc>
          <w:tcPr>
            <w:tcW w:w="1890" w:type="dxa"/>
            <w:noWrap/>
            <w:hideMark/>
          </w:tcPr>
          <w:p w14:paraId="3923983B"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Short Duration Count</w:t>
            </w:r>
          </w:p>
        </w:tc>
        <w:tc>
          <w:tcPr>
            <w:tcW w:w="6035" w:type="dxa"/>
            <w:hideMark/>
          </w:tcPr>
          <w:p w14:paraId="2593D113" w14:textId="2630B191"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Counts that are collected for less than a continuous basis.</w:t>
            </w:r>
            <w:r w:rsidR="004D4172">
              <w:t xml:space="preserve"> </w:t>
            </w:r>
            <w:r w:rsidRPr="0078151A">
              <w:t>This allows the temporal data to expanded to other areas. Consequently, these could be considered as supplying spatial data. Count taken on a 24- to 48-hour basis for roadway segment-specific locations. These counts may be used in special studies.</w:t>
            </w:r>
          </w:p>
        </w:tc>
      </w:tr>
      <w:tr w:rsidR="009F4517" w:rsidRPr="0078151A" w14:paraId="32FD3E31" w14:textId="77777777" w:rsidTr="00701BE1">
        <w:trPr>
          <w:trHeight w:val="3315"/>
        </w:trPr>
        <w:tc>
          <w:tcPr>
            <w:cnfStyle w:val="001000000000" w:firstRow="0" w:lastRow="0" w:firstColumn="1" w:lastColumn="0" w:oddVBand="0" w:evenVBand="0" w:oddHBand="0" w:evenHBand="0" w:firstRowFirstColumn="0" w:firstRowLastColumn="0" w:lastRowFirstColumn="0" w:lastRowLastColumn="0"/>
            <w:tcW w:w="1435" w:type="dxa"/>
            <w:noWrap/>
            <w:hideMark/>
          </w:tcPr>
          <w:p w14:paraId="03B8487A" w14:textId="4390F6E3" w:rsidR="009F4517" w:rsidRPr="0078151A" w:rsidRDefault="009F4517" w:rsidP="00292B1E">
            <w:pPr>
              <w:spacing w:before="20" w:after="20"/>
              <w:jc w:val="left"/>
            </w:pPr>
            <w:r w:rsidRPr="0078151A">
              <w:t>Short Durati</w:t>
            </w:r>
            <w:r w:rsidR="00162775">
              <w:t>o</w:t>
            </w:r>
            <w:r w:rsidRPr="0078151A">
              <w:t>n Count Program</w:t>
            </w:r>
          </w:p>
        </w:tc>
        <w:tc>
          <w:tcPr>
            <w:tcW w:w="1890" w:type="dxa"/>
            <w:noWrap/>
            <w:hideMark/>
          </w:tcPr>
          <w:p w14:paraId="4FC12EA9" w14:textId="09ED2BC2"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Short Durati</w:t>
            </w:r>
            <w:r w:rsidR="00162775">
              <w:t>o</w:t>
            </w:r>
            <w:r w:rsidRPr="0078151A">
              <w:t>n Count Program</w:t>
            </w:r>
          </w:p>
        </w:tc>
        <w:tc>
          <w:tcPr>
            <w:tcW w:w="6035" w:type="dxa"/>
            <w:hideMark/>
          </w:tcPr>
          <w:p w14:paraId="4127E807" w14:textId="118E504F"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Refers to the non-continuous data collection program management aspects of an overall travel monitoring program. Provides the majority of the geographic diversity needed to generate traffic information on the State roadway system. Short duration counts are needed to provide more spatial/geographic count coverage (in addition to the Continuous program) for HPMS or for special traffic studies and are taken for various periods on roadway segment-specific locations. A state’s overall travel monitoring program typically includes both a short-duration count and a continuous count program. The counts within a short duration count program are taken for 48 or 72 hours, or at times as long as a week. Some States also refer to their short duration program as the “coverage count program.”</w:t>
            </w:r>
            <w:r w:rsidR="004D4172">
              <w:t xml:space="preserve"> </w:t>
            </w:r>
            <w:r w:rsidRPr="0078151A">
              <w:t xml:space="preserve">Some states include a subsection of the short duration program as Special Needs Counts. Other States refer to the short duration count program as “portable.” </w:t>
            </w:r>
          </w:p>
        </w:tc>
      </w:tr>
      <w:tr w:rsidR="009F4517" w:rsidRPr="0078151A" w14:paraId="7F409067" w14:textId="77777777" w:rsidTr="00701BE1">
        <w:trPr>
          <w:cnfStyle w:val="000000100000" w:firstRow="0" w:lastRow="0" w:firstColumn="0" w:lastColumn="0" w:oddVBand="0" w:evenVBand="0" w:oddHBand="1" w:evenHBand="0" w:firstRowFirstColumn="0" w:firstRowLastColumn="0" w:lastRowFirstColumn="0" w:lastRowLastColumn="0"/>
          <w:trHeight w:val="1172"/>
        </w:trPr>
        <w:tc>
          <w:tcPr>
            <w:cnfStyle w:val="001000000000" w:firstRow="0" w:lastRow="0" w:firstColumn="1" w:lastColumn="0" w:oddVBand="0" w:evenVBand="0" w:oddHBand="0" w:evenHBand="0" w:firstRowFirstColumn="0" w:firstRowLastColumn="0" w:lastRowFirstColumn="0" w:lastRowLastColumn="0"/>
            <w:tcW w:w="1435" w:type="dxa"/>
            <w:noWrap/>
            <w:hideMark/>
          </w:tcPr>
          <w:p w14:paraId="330398C0" w14:textId="77777777" w:rsidR="009F4517" w:rsidRPr="0078151A" w:rsidRDefault="009F4517" w:rsidP="00292B1E">
            <w:pPr>
              <w:spacing w:before="20" w:after="20"/>
              <w:jc w:val="left"/>
            </w:pPr>
            <w:r w:rsidRPr="0078151A">
              <w:lastRenderedPageBreak/>
              <w:t>Speed (Vehicle)</w:t>
            </w:r>
          </w:p>
        </w:tc>
        <w:tc>
          <w:tcPr>
            <w:tcW w:w="1890" w:type="dxa"/>
            <w:noWrap/>
            <w:hideMark/>
          </w:tcPr>
          <w:p w14:paraId="2C07CE4D"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Speed (Vehicle)</w:t>
            </w:r>
          </w:p>
        </w:tc>
        <w:tc>
          <w:tcPr>
            <w:tcW w:w="6035" w:type="dxa"/>
            <w:hideMark/>
          </w:tcPr>
          <w:p w14:paraId="14B502FE" w14:textId="1BAB9648" w:rsidR="009F4517" w:rsidRPr="002452B4"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t>O</w:t>
            </w:r>
            <w:r w:rsidRPr="002452B4">
              <w:t>bstruction caused by bicycles, pedestrians, micro mobility devices, or vehicles (and particularly trucks) traveling in the lanes closer to the side-fired or overhead-mounted sensors that prevents accurate detection of each pedestrian or vehicle in the roadway lanes located further away from the sensors, especially on multi-lane roadways facilities.</w:t>
            </w:r>
          </w:p>
        </w:tc>
      </w:tr>
      <w:tr w:rsidR="009F4517" w:rsidRPr="0078151A" w14:paraId="1DF32D8E" w14:textId="77777777" w:rsidTr="00701BE1">
        <w:trPr>
          <w:trHeight w:val="1275"/>
        </w:trPr>
        <w:tc>
          <w:tcPr>
            <w:cnfStyle w:val="001000000000" w:firstRow="0" w:lastRow="0" w:firstColumn="1" w:lastColumn="0" w:oddVBand="0" w:evenVBand="0" w:oddHBand="0" w:evenHBand="0" w:firstRowFirstColumn="0" w:firstRowLastColumn="0" w:lastRowFirstColumn="0" w:lastRowLastColumn="0"/>
            <w:tcW w:w="1435" w:type="dxa"/>
            <w:noWrap/>
            <w:hideMark/>
          </w:tcPr>
          <w:p w14:paraId="310B077A" w14:textId="77777777" w:rsidR="009F4517" w:rsidRPr="0078151A" w:rsidRDefault="009F4517" w:rsidP="00292B1E">
            <w:pPr>
              <w:spacing w:before="20" w:after="20"/>
              <w:jc w:val="left"/>
            </w:pPr>
            <w:r w:rsidRPr="0078151A">
              <w:t xml:space="preserve">System or Network Usage </w:t>
            </w:r>
          </w:p>
        </w:tc>
        <w:tc>
          <w:tcPr>
            <w:tcW w:w="1890" w:type="dxa"/>
            <w:noWrap/>
            <w:hideMark/>
          </w:tcPr>
          <w:p w14:paraId="0F2A92CA"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 xml:space="preserve">System or Network Usage </w:t>
            </w:r>
          </w:p>
        </w:tc>
        <w:tc>
          <w:tcPr>
            <w:tcW w:w="6035" w:type="dxa"/>
            <w:hideMark/>
          </w:tcPr>
          <w:p w14:paraId="6F4DFD16"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System or network usage refers to NMTM activity data that provides information about the number of NMTM travelers at or along a facility over a period of time. The collection of NMTM activity data is used for performance measures and data driven decisions making of transportation investments that can be justified by tangible benefits.</w:t>
            </w:r>
          </w:p>
        </w:tc>
      </w:tr>
      <w:tr w:rsidR="009F4517" w:rsidRPr="0078151A" w14:paraId="3A731B35" w14:textId="77777777" w:rsidTr="00701BE1">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435" w:type="dxa"/>
            <w:noWrap/>
          </w:tcPr>
          <w:p w14:paraId="2251EA28" w14:textId="77777777" w:rsidR="009F4517" w:rsidRPr="0078151A" w:rsidRDefault="009F4517" w:rsidP="00292B1E">
            <w:pPr>
              <w:spacing w:before="20" w:after="20"/>
              <w:jc w:val="left"/>
            </w:pPr>
            <w:r>
              <w:t>Traffic Counter</w:t>
            </w:r>
          </w:p>
        </w:tc>
        <w:tc>
          <w:tcPr>
            <w:tcW w:w="1890" w:type="dxa"/>
            <w:noWrap/>
          </w:tcPr>
          <w:p w14:paraId="3B90CAC9"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t>Traffic Counter</w:t>
            </w:r>
          </w:p>
        </w:tc>
        <w:tc>
          <w:tcPr>
            <w:tcW w:w="6035" w:type="dxa"/>
            <w:noWrap/>
          </w:tcPr>
          <w:p w14:paraId="3CC05B15"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816B03">
              <w:t>Any device that collects pedestrian, bicycle, micro mobility devices, and vehicular characteristics data (such as volume, classification, speed, weight). A traffic counter is placed at specific locations to record the distribution and variation flow by hour of the day, day of the week, and/or month of the year. It may be used to collect data continuously at a permanent site or at any location for shorter periods.</w:t>
            </w:r>
          </w:p>
        </w:tc>
      </w:tr>
      <w:tr w:rsidR="009F4517" w:rsidRPr="0078151A" w14:paraId="483F5215" w14:textId="77777777" w:rsidTr="00701BE1">
        <w:trPr>
          <w:trHeight w:val="510"/>
        </w:trPr>
        <w:tc>
          <w:tcPr>
            <w:cnfStyle w:val="001000000000" w:firstRow="0" w:lastRow="0" w:firstColumn="1" w:lastColumn="0" w:oddVBand="0" w:evenVBand="0" w:oddHBand="0" w:evenHBand="0" w:firstRowFirstColumn="0" w:firstRowLastColumn="0" w:lastRowFirstColumn="0" w:lastRowLastColumn="0"/>
            <w:tcW w:w="1435" w:type="dxa"/>
            <w:noWrap/>
            <w:hideMark/>
          </w:tcPr>
          <w:p w14:paraId="0A23D282" w14:textId="77777777" w:rsidR="009F4517" w:rsidRPr="0078151A" w:rsidRDefault="009F4517" w:rsidP="00292B1E">
            <w:pPr>
              <w:spacing w:before="20" w:after="20"/>
              <w:jc w:val="left"/>
            </w:pPr>
            <w:r w:rsidRPr="0078151A">
              <w:t>TOPS</w:t>
            </w:r>
          </w:p>
        </w:tc>
        <w:tc>
          <w:tcPr>
            <w:tcW w:w="1890" w:type="dxa"/>
            <w:noWrap/>
            <w:hideMark/>
          </w:tcPr>
          <w:p w14:paraId="1B4F867E"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Table of Potential Samples</w:t>
            </w:r>
          </w:p>
        </w:tc>
        <w:tc>
          <w:tcPr>
            <w:tcW w:w="6035" w:type="dxa"/>
            <w:noWrap/>
            <w:hideMark/>
          </w:tcPr>
          <w:p w14:paraId="54E74B44"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A collection of roadway sections spanning the public road network that provides the sampling frame for selection of the HPMS Sample Panel.</w:t>
            </w:r>
          </w:p>
        </w:tc>
      </w:tr>
      <w:tr w:rsidR="009F4517" w:rsidRPr="0078151A" w14:paraId="3EFEA9C4" w14:textId="77777777" w:rsidTr="00701BE1">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435" w:type="dxa"/>
            <w:noWrap/>
            <w:hideMark/>
          </w:tcPr>
          <w:p w14:paraId="79E1118B" w14:textId="77777777" w:rsidR="009F4517" w:rsidRPr="0078151A" w:rsidRDefault="009F4517" w:rsidP="00292B1E">
            <w:pPr>
              <w:spacing w:before="20" w:after="20"/>
              <w:jc w:val="left"/>
            </w:pPr>
            <w:r w:rsidRPr="0078151A">
              <w:t>TMAS</w:t>
            </w:r>
          </w:p>
        </w:tc>
        <w:tc>
          <w:tcPr>
            <w:tcW w:w="1890" w:type="dxa"/>
            <w:noWrap/>
            <w:hideMark/>
          </w:tcPr>
          <w:p w14:paraId="4A6AFA6E"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Travel Monitoring Analysis System</w:t>
            </w:r>
          </w:p>
        </w:tc>
        <w:tc>
          <w:tcPr>
            <w:tcW w:w="6035" w:type="dxa"/>
            <w:noWrap/>
            <w:hideMark/>
          </w:tcPr>
          <w:p w14:paraId="05162E66"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The FHWA-provided online software used by States, MPOs, and cities to submit data for Federal purposes.</w:t>
            </w:r>
          </w:p>
        </w:tc>
      </w:tr>
      <w:tr w:rsidR="009F4517" w:rsidRPr="0078151A" w14:paraId="03F688DC" w14:textId="77777777" w:rsidTr="00701BE1">
        <w:trPr>
          <w:trHeight w:val="1785"/>
        </w:trPr>
        <w:tc>
          <w:tcPr>
            <w:cnfStyle w:val="001000000000" w:firstRow="0" w:lastRow="0" w:firstColumn="1" w:lastColumn="0" w:oddVBand="0" w:evenVBand="0" w:oddHBand="0" w:evenHBand="0" w:firstRowFirstColumn="0" w:firstRowLastColumn="0" w:lastRowFirstColumn="0" w:lastRowLastColumn="0"/>
            <w:tcW w:w="1435" w:type="dxa"/>
            <w:noWrap/>
            <w:hideMark/>
          </w:tcPr>
          <w:p w14:paraId="4AE6BC72" w14:textId="7D9C6FF9" w:rsidR="009F4517" w:rsidRPr="0078151A" w:rsidRDefault="009F4517" w:rsidP="00292B1E">
            <w:pPr>
              <w:spacing w:before="20" w:after="20"/>
              <w:jc w:val="left"/>
            </w:pPr>
            <w:r w:rsidRPr="0078151A">
              <w:t>UPACS</w:t>
            </w:r>
            <w:r w:rsidR="004D4172">
              <w:t xml:space="preserve"> </w:t>
            </w:r>
          </w:p>
        </w:tc>
        <w:tc>
          <w:tcPr>
            <w:tcW w:w="1890" w:type="dxa"/>
            <w:noWrap/>
            <w:hideMark/>
          </w:tcPr>
          <w:p w14:paraId="10D85089" w14:textId="42A950E4"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User Profile and Access Control System</w:t>
            </w:r>
            <w:r w:rsidR="004D4172">
              <w:t xml:space="preserve"> </w:t>
            </w:r>
          </w:p>
        </w:tc>
        <w:tc>
          <w:tcPr>
            <w:tcW w:w="6035" w:type="dxa"/>
            <w:noWrap/>
            <w:hideMark/>
          </w:tcPr>
          <w:p w14:paraId="5596598E"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Federal Highway Administration’s access control for information systems. The UPACS has two major functions: it provides users with a menu of systems that they have access to and provides authorized personnel a mechanism for granting such access. The UPACS provides access control for FHWA’s applications through system-generated user IDs and user-supplied passwords and PINs, in combination with individual access profiles created for users by system owners.</w:t>
            </w:r>
          </w:p>
        </w:tc>
      </w:tr>
      <w:tr w:rsidR="009F4517" w:rsidRPr="0078151A" w14:paraId="44D9EEE6" w14:textId="77777777" w:rsidTr="00701BE1">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1435" w:type="dxa"/>
            <w:noWrap/>
            <w:hideMark/>
          </w:tcPr>
          <w:p w14:paraId="5BC2C28F" w14:textId="77777777" w:rsidR="009F4517" w:rsidRPr="0078151A" w:rsidRDefault="009F4517" w:rsidP="00292B1E">
            <w:pPr>
              <w:spacing w:before="20" w:after="20"/>
              <w:jc w:val="left"/>
            </w:pPr>
            <w:r w:rsidRPr="0078151A">
              <w:t>Vehicle</w:t>
            </w:r>
          </w:p>
        </w:tc>
        <w:tc>
          <w:tcPr>
            <w:tcW w:w="1890" w:type="dxa"/>
            <w:noWrap/>
            <w:hideMark/>
          </w:tcPr>
          <w:p w14:paraId="59AEC59C"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Vehicle</w:t>
            </w:r>
          </w:p>
        </w:tc>
        <w:tc>
          <w:tcPr>
            <w:tcW w:w="6035" w:type="dxa"/>
            <w:hideMark/>
          </w:tcPr>
          <w:p w14:paraId="20DFCD76" w14:textId="7DE9893F"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Vehicles include one powered unit and may include one or more unpowered full-trailer or semi-trailer units (</w:t>
            </w:r>
            <w:r w:rsidRPr="0078151A">
              <w:rPr>
                <w:i/>
                <w:iCs/>
              </w:rPr>
              <w:t>ASTM E17.52</w:t>
            </w:r>
            <w:r w:rsidRPr="0078151A">
              <w:t>).</w:t>
            </w:r>
            <w:r w:rsidR="004D4172">
              <w:t xml:space="preserve"> </w:t>
            </w:r>
            <w:r w:rsidRPr="0078151A">
              <w:t>Assembly of one or more units coupled for travel on a highway; vehicles include one powered unit and may include one or more unpowered full-trailer or semi-trailer units.</w:t>
            </w:r>
          </w:p>
        </w:tc>
      </w:tr>
      <w:tr w:rsidR="009F4517" w:rsidRPr="0078151A" w14:paraId="32BFAFD6" w14:textId="77777777" w:rsidTr="00701BE1">
        <w:trPr>
          <w:trHeight w:val="765"/>
        </w:trPr>
        <w:tc>
          <w:tcPr>
            <w:cnfStyle w:val="001000000000" w:firstRow="0" w:lastRow="0" w:firstColumn="1" w:lastColumn="0" w:oddVBand="0" w:evenVBand="0" w:oddHBand="0" w:evenHBand="0" w:firstRowFirstColumn="0" w:firstRowLastColumn="0" w:lastRowFirstColumn="0" w:lastRowLastColumn="0"/>
            <w:tcW w:w="1435" w:type="dxa"/>
            <w:noWrap/>
            <w:hideMark/>
          </w:tcPr>
          <w:p w14:paraId="0843B26F" w14:textId="77777777" w:rsidR="009F4517" w:rsidRPr="0078151A" w:rsidRDefault="009F4517" w:rsidP="00292B1E">
            <w:pPr>
              <w:spacing w:before="20" w:after="20"/>
              <w:jc w:val="left"/>
            </w:pPr>
            <w:r w:rsidRPr="0078151A">
              <w:t xml:space="preserve">Vehicle Axle Spacing </w:t>
            </w:r>
          </w:p>
        </w:tc>
        <w:tc>
          <w:tcPr>
            <w:tcW w:w="1890" w:type="dxa"/>
            <w:noWrap/>
            <w:hideMark/>
          </w:tcPr>
          <w:p w14:paraId="28210964"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 xml:space="preserve">Vehicle Axle Spacing </w:t>
            </w:r>
          </w:p>
        </w:tc>
        <w:tc>
          <w:tcPr>
            <w:tcW w:w="6035" w:type="dxa"/>
            <w:noWrap/>
            <w:hideMark/>
          </w:tcPr>
          <w:p w14:paraId="16721C98"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For each vehicle axle, the horizontal distance between the center of that axle and that of the preceding axle; the axle spacing for the vehicle’s front axles is assumed to be zero.</w:t>
            </w:r>
          </w:p>
        </w:tc>
      </w:tr>
      <w:tr w:rsidR="009F4517" w:rsidRPr="0078151A" w14:paraId="05324C46" w14:textId="77777777" w:rsidTr="00701BE1">
        <w:trPr>
          <w:cnfStyle w:val="000000100000" w:firstRow="0" w:lastRow="0" w:firstColumn="0" w:lastColumn="0" w:oddVBand="0" w:evenVBand="0" w:oddHBand="1" w:evenHBand="0" w:firstRowFirstColumn="0" w:firstRowLastColumn="0" w:lastRowFirstColumn="0" w:lastRowLastColumn="0"/>
          <w:trHeight w:val="765"/>
        </w:trPr>
        <w:tc>
          <w:tcPr>
            <w:cnfStyle w:val="001000000000" w:firstRow="0" w:lastRow="0" w:firstColumn="1" w:lastColumn="0" w:oddVBand="0" w:evenVBand="0" w:oddHBand="0" w:evenHBand="0" w:firstRowFirstColumn="0" w:firstRowLastColumn="0" w:lastRowFirstColumn="0" w:lastRowLastColumn="0"/>
            <w:tcW w:w="1435" w:type="dxa"/>
            <w:noWrap/>
            <w:hideMark/>
          </w:tcPr>
          <w:p w14:paraId="12BC4F4C" w14:textId="77777777" w:rsidR="009F4517" w:rsidRPr="0078151A" w:rsidRDefault="009F4517" w:rsidP="00292B1E">
            <w:pPr>
              <w:spacing w:before="20" w:after="20"/>
              <w:jc w:val="left"/>
            </w:pPr>
            <w:r w:rsidRPr="0078151A">
              <w:t>Vehicle Axle </w:t>
            </w:r>
          </w:p>
        </w:tc>
        <w:tc>
          <w:tcPr>
            <w:tcW w:w="1890" w:type="dxa"/>
            <w:noWrap/>
            <w:hideMark/>
          </w:tcPr>
          <w:p w14:paraId="5D3AC5E3"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Vehicle Axle </w:t>
            </w:r>
          </w:p>
        </w:tc>
        <w:tc>
          <w:tcPr>
            <w:tcW w:w="6035" w:type="dxa"/>
            <w:hideMark/>
          </w:tcPr>
          <w:p w14:paraId="32C686E8"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The vehicle axle is the axis oriented transversely to the nominal direction of vehicle motion and extending the full width of the vehicle about which the wheel(s) at both ends rotate (</w:t>
            </w:r>
            <w:r w:rsidRPr="0078151A">
              <w:rPr>
                <w:i/>
                <w:iCs/>
              </w:rPr>
              <w:t>ASTM E17.52, E1318-09</w:t>
            </w:r>
            <w:r w:rsidRPr="0078151A">
              <w:t>).</w:t>
            </w:r>
          </w:p>
        </w:tc>
      </w:tr>
      <w:tr w:rsidR="009F4517" w:rsidRPr="0078151A" w14:paraId="37F8218F" w14:textId="77777777" w:rsidTr="00701BE1">
        <w:trPr>
          <w:trHeight w:val="765"/>
        </w:trPr>
        <w:tc>
          <w:tcPr>
            <w:cnfStyle w:val="001000000000" w:firstRow="0" w:lastRow="0" w:firstColumn="1" w:lastColumn="0" w:oddVBand="0" w:evenVBand="0" w:oddHBand="0" w:evenHBand="0" w:firstRowFirstColumn="0" w:firstRowLastColumn="0" w:lastRowFirstColumn="0" w:lastRowLastColumn="0"/>
            <w:tcW w:w="1435" w:type="dxa"/>
            <w:noWrap/>
            <w:hideMark/>
          </w:tcPr>
          <w:p w14:paraId="4F3307FF" w14:textId="77777777" w:rsidR="009F4517" w:rsidRPr="0078151A" w:rsidRDefault="009F4517" w:rsidP="00292B1E">
            <w:pPr>
              <w:spacing w:before="20" w:after="20"/>
              <w:jc w:val="left"/>
            </w:pPr>
            <w:r w:rsidRPr="0078151A">
              <w:t>Vehicle Class</w:t>
            </w:r>
          </w:p>
        </w:tc>
        <w:tc>
          <w:tcPr>
            <w:tcW w:w="1890" w:type="dxa"/>
            <w:noWrap/>
            <w:hideMark/>
          </w:tcPr>
          <w:p w14:paraId="73C690AF"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Vehicle Class</w:t>
            </w:r>
          </w:p>
        </w:tc>
        <w:tc>
          <w:tcPr>
            <w:tcW w:w="6035" w:type="dxa"/>
            <w:noWrap/>
            <w:hideMark/>
          </w:tcPr>
          <w:p w14:paraId="23A97B9E" w14:textId="6773A0B0"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The FHWA vehicle typology separates vehicles into categories, or classes, depending on whether they carry passengers or commodities. There are 13 vehicle classes identified by FHWA</w:t>
            </w:r>
            <w:r w:rsidR="00EE4FD9">
              <w:t>.</w:t>
            </w:r>
          </w:p>
        </w:tc>
      </w:tr>
      <w:tr w:rsidR="009F4517" w:rsidRPr="0078151A" w14:paraId="4230D54D" w14:textId="77777777" w:rsidTr="00701BE1">
        <w:trPr>
          <w:cnfStyle w:val="000000100000" w:firstRow="0" w:lastRow="0" w:firstColumn="0" w:lastColumn="0" w:oddVBand="0" w:evenVBand="0" w:oddHBand="1" w:evenHBand="0" w:firstRowFirstColumn="0" w:firstRowLastColumn="0" w:lastRowFirstColumn="0" w:lastRowLastColumn="0"/>
          <w:trHeight w:val="765"/>
        </w:trPr>
        <w:tc>
          <w:tcPr>
            <w:cnfStyle w:val="001000000000" w:firstRow="0" w:lastRow="0" w:firstColumn="1" w:lastColumn="0" w:oddVBand="0" w:evenVBand="0" w:oddHBand="0" w:evenHBand="0" w:firstRowFirstColumn="0" w:firstRowLastColumn="0" w:lastRowFirstColumn="0" w:lastRowLastColumn="0"/>
            <w:tcW w:w="1435" w:type="dxa"/>
            <w:noWrap/>
            <w:hideMark/>
          </w:tcPr>
          <w:p w14:paraId="4C5B01F2" w14:textId="72662697" w:rsidR="009F4517" w:rsidRPr="0078151A" w:rsidRDefault="009F4517" w:rsidP="00292B1E">
            <w:pPr>
              <w:spacing w:before="20" w:after="20"/>
              <w:jc w:val="left"/>
            </w:pPr>
            <w:r w:rsidRPr="0078151A">
              <w:t>Vehicle Counts</w:t>
            </w:r>
          </w:p>
        </w:tc>
        <w:tc>
          <w:tcPr>
            <w:tcW w:w="1890" w:type="dxa"/>
            <w:noWrap/>
            <w:hideMark/>
          </w:tcPr>
          <w:p w14:paraId="5A667AD4" w14:textId="53E351AF"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Vehicle Counts</w:t>
            </w:r>
          </w:p>
        </w:tc>
        <w:tc>
          <w:tcPr>
            <w:tcW w:w="6035" w:type="dxa"/>
            <w:noWrap/>
            <w:hideMark/>
          </w:tcPr>
          <w:p w14:paraId="2882EFA8"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The activity of measuring and recording traffic characteristics such as vehicle volume, classification, speed, weight, or a combination of these characteristics.</w:t>
            </w:r>
          </w:p>
        </w:tc>
      </w:tr>
      <w:tr w:rsidR="009F4517" w:rsidRPr="0078151A" w14:paraId="78C986A9" w14:textId="77777777" w:rsidTr="00701BE1">
        <w:trPr>
          <w:trHeight w:val="1530"/>
        </w:trPr>
        <w:tc>
          <w:tcPr>
            <w:cnfStyle w:val="001000000000" w:firstRow="0" w:lastRow="0" w:firstColumn="1" w:lastColumn="0" w:oddVBand="0" w:evenVBand="0" w:oddHBand="0" w:evenHBand="0" w:firstRowFirstColumn="0" w:firstRowLastColumn="0" w:lastRowFirstColumn="0" w:lastRowLastColumn="0"/>
            <w:tcW w:w="1435" w:type="dxa"/>
            <w:noWrap/>
            <w:hideMark/>
          </w:tcPr>
          <w:p w14:paraId="00A304A3" w14:textId="77777777" w:rsidR="009F4517" w:rsidRPr="0078151A" w:rsidRDefault="009F4517" w:rsidP="00292B1E">
            <w:pPr>
              <w:spacing w:before="20" w:after="20"/>
              <w:jc w:val="left"/>
            </w:pPr>
            <w:r w:rsidRPr="0078151A">
              <w:lastRenderedPageBreak/>
              <w:t>VDT</w:t>
            </w:r>
          </w:p>
        </w:tc>
        <w:tc>
          <w:tcPr>
            <w:tcW w:w="1890" w:type="dxa"/>
            <w:noWrap/>
            <w:hideMark/>
          </w:tcPr>
          <w:p w14:paraId="08F59897"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Vehicle Distance Traveled </w:t>
            </w:r>
          </w:p>
        </w:tc>
        <w:tc>
          <w:tcPr>
            <w:tcW w:w="6035" w:type="dxa"/>
            <w:hideMark/>
          </w:tcPr>
          <w:p w14:paraId="50EB9540"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The distance traveled by all vehicles for a given period, usually measured in miles and reported as vehicle miles traveled (VMT) for a geographic region. There is a relationship between VDT and VMT, although each is distinctly different. While VDT is measuring a distance traveled, VMT is counting the number of vehicles traveled over a distance. Depending upon the formulas used, these numbers may be the same.</w:t>
            </w:r>
          </w:p>
        </w:tc>
      </w:tr>
      <w:tr w:rsidR="009F4517" w:rsidRPr="0078151A" w14:paraId="3C48A8C0" w14:textId="77777777" w:rsidTr="00701BE1">
        <w:trPr>
          <w:cnfStyle w:val="000000100000" w:firstRow="0" w:lastRow="0" w:firstColumn="0" w:lastColumn="0" w:oddVBand="0" w:evenVBand="0" w:oddHBand="1" w:evenHBand="0" w:firstRowFirstColumn="0" w:firstRowLastColumn="0" w:lastRowFirstColumn="0" w:lastRowLastColumn="0"/>
          <w:trHeight w:val="765"/>
        </w:trPr>
        <w:tc>
          <w:tcPr>
            <w:cnfStyle w:val="001000000000" w:firstRow="0" w:lastRow="0" w:firstColumn="1" w:lastColumn="0" w:oddVBand="0" w:evenVBand="0" w:oddHBand="0" w:evenHBand="0" w:firstRowFirstColumn="0" w:firstRowLastColumn="0" w:lastRowFirstColumn="0" w:lastRowLastColumn="0"/>
            <w:tcW w:w="1435" w:type="dxa"/>
            <w:noWrap/>
            <w:hideMark/>
          </w:tcPr>
          <w:p w14:paraId="3E2B978B" w14:textId="77777777" w:rsidR="009F4517" w:rsidRPr="0078151A" w:rsidRDefault="009F4517" w:rsidP="00292B1E">
            <w:pPr>
              <w:spacing w:before="20" w:after="20"/>
              <w:jc w:val="left"/>
            </w:pPr>
            <w:r w:rsidRPr="0078151A">
              <w:t>Vehicle Length </w:t>
            </w:r>
          </w:p>
        </w:tc>
        <w:tc>
          <w:tcPr>
            <w:tcW w:w="1890" w:type="dxa"/>
            <w:noWrap/>
            <w:hideMark/>
          </w:tcPr>
          <w:p w14:paraId="29617C13"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Vehicle Length </w:t>
            </w:r>
          </w:p>
        </w:tc>
        <w:tc>
          <w:tcPr>
            <w:tcW w:w="6035" w:type="dxa"/>
            <w:hideMark/>
          </w:tcPr>
          <w:p w14:paraId="1BE1B0CF"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This refers to the overall length of a vehicle measured from the front bumper to the rear bumper including permanent equipment that may extend beyond the rear bumper such as that used to improve aerodynamic performance.</w:t>
            </w:r>
          </w:p>
        </w:tc>
      </w:tr>
      <w:tr w:rsidR="009F4517" w:rsidRPr="0078151A" w14:paraId="637E4C04" w14:textId="77777777" w:rsidTr="00701BE1">
        <w:trPr>
          <w:trHeight w:val="2550"/>
        </w:trPr>
        <w:tc>
          <w:tcPr>
            <w:cnfStyle w:val="001000000000" w:firstRow="0" w:lastRow="0" w:firstColumn="1" w:lastColumn="0" w:oddVBand="0" w:evenVBand="0" w:oddHBand="0" w:evenHBand="0" w:firstRowFirstColumn="0" w:firstRowLastColumn="0" w:lastRowFirstColumn="0" w:lastRowLastColumn="0"/>
            <w:tcW w:w="1435" w:type="dxa"/>
            <w:noWrap/>
            <w:hideMark/>
          </w:tcPr>
          <w:p w14:paraId="77C21F98" w14:textId="77777777" w:rsidR="009F4517" w:rsidRPr="0078151A" w:rsidRDefault="009F4517" w:rsidP="00292B1E">
            <w:pPr>
              <w:spacing w:before="20" w:after="20"/>
              <w:jc w:val="left"/>
            </w:pPr>
            <w:r w:rsidRPr="0078151A">
              <w:t>VMT</w:t>
            </w:r>
          </w:p>
        </w:tc>
        <w:tc>
          <w:tcPr>
            <w:tcW w:w="1890" w:type="dxa"/>
            <w:noWrap/>
            <w:hideMark/>
          </w:tcPr>
          <w:p w14:paraId="6D42FF2E"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Vehicle Miles Traveled </w:t>
            </w:r>
          </w:p>
        </w:tc>
        <w:tc>
          <w:tcPr>
            <w:tcW w:w="6035" w:type="dxa"/>
            <w:hideMark/>
          </w:tcPr>
          <w:p w14:paraId="3E447661" w14:textId="52C196E4"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Vehicle Miles Traveled indicates how many vehicles have traveled over the distance of a route, for a data reporting year, when reported as Annual VMT</w:t>
            </w:r>
            <w:r w:rsidR="004D4172">
              <w:t xml:space="preserve"> </w:t>
            </w:r>
            <w:r w:rsidRPr="0078151A">
              <w:t>(VMT = DVMT x 365).</w:t>
            </w:r>
            <w:r w:rsidR="004D4172">
              <w:t xml:space="preserve"> </w:t>
            </w:r>
            <w:r w:rsidRPr="0078151A">
              <w:t>Indicates how many vehicles have traveled over the distance of a route or functional classification or geographic area in one day. VMT is calculated by multiplying the AADT value for each section of road by the section length (in miles) and summing all sections to obtain VMT for a complete route. VMT is not the same as daily vehicle distance traveled (DVDT), which measures the distance traveled by vehicles in a day, not how many (VMT) vehicles traveled over a given distance in a day. Depending upon the formulas used, these numbers may be the same.</w:t>
            </w:r>
          </w:p>
        </w:tc>
      </w:tr>
      <w:tr w:rsidR="009F4517" w:rsidRPr="0078151A" w14:paraId="39398464" w14:textId="77777777" w:rsidTr="00701BE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35" w:type="dxa"/>
            <w:noWrap/>
            <w:hideMark/>
          </w:tcPr>
          <w:p w14:paraId="0015CD9E" w14:textId="77777777" w:rsidR="009F4517" w:rsidRPr="0078151A" w:rsidRDefault="009F4517" w:rsidP="00292B1E">
            <w:pPr>
              <w:spacing w:before="20" w:after="20"/>
              <w:jc w:val="left"/>
            </w:pPr>
            <w:r w:rsidRPr="0078151A">
              <w:t>Vehicle Occupancy</w:t>
            </w:r>
          </w:p>
        </w:tc>
        <w:tc>
          <w:tcPr>
            <w:tcW w:w="1890" w:type="dxa"/>
            <w:noWrap/>
            <w:hideMark/>
          </w:tcPr>
          <w:p w14:paraId="5F7DDEAB"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Vehicle Occupancy</w:t>
            </w:r>
          </w:p>
        </w:tc>
        <w:tc>
          <w:tcPr>
            <w:tcW w:w="6035" w:type="dxa"/>
            <w:noWrap/>
            <w:hideMark/>
          </w:tcPr>
          <w:p w14:paraId="7AD42FC5" w14:textId="2D07D914" w:rsidR="009F4517" w:rsidRPr="0078151A" w:rsidRDefault="00162775" w:rsidP="00292B1E">
            <w:pPr>
              <w:spacing w:before="20" w:after="20"/>
              <w:jc w:val="left"/>
              <w:cnfStyle w:val="000000100000" w:firstRow="0" w:lastRow="0" w:firstColumn="0" w:lastColumn="0" w:oddVBand="0" w:evenVBand="0" w:oddHBand="1" w:evenHBand="0" w:firstRowFirstColumn="0" w:firstRowLastColumn="0" w:lastRowFirstColumn="0" w:lastRowLastColumn="0"/>
            </w:pPr>
            <w:r>
              <w:t>Number of persons inside a vehicle.</w:t>
            </w:r>
          </w:p>
        </w:tc>
      </w:tr>
      <w:tr w:rsidR="009F4517" w:rsidRPr="0078151A" w14:paraId="754E83DA" w14:textId="77777777" w:rsidTr="00701BE1">
        <w:trPr>
          <w:trHeight w:val="300"/>
        </w:trPr>
        <w:tc>
          <w:tcPr>
            <w:cnfStyle w:val="001000000000" w:firstRow="0" w:lastRow="0" w:firstColumn="1" w:lastColumn="0" w:oddVBand="0" w:evenVBand="0" w:oddHBand="0" w:evenHBand="0" w:firstRowFirstColumn="0" w:firstRowLastColumn="0" w:lastRowFirstColumn="0" w:lastRowLastColumn="0"/>
            <w:tcW w:w="1435" w:type="dxa"/>
            <w:noWrap/>
            <w:hideMark/>
          </w:tcPr>
          <w:p w14:paraId="73044E28" w14:textId="77777777" w:rsidR="009F4517" w:rsidRPr="0078151A" w:rsidRDefault="009F4517" w:rsidP="00292B1E">
            <w:pPr>
              <w:spacing w:before="20" w:after="20"/>
              <w:jc w:val="left"/>
            </w:pPr>
            <w:r w:rsidRPr="0078151A">
              <w:t>Vehicle Speed</w:t>
            </w:r>
          </w:p>
        </w:tc>
        <w:tc>
          <w:tcPr>
            <w:tcW w:w="1890" w:type="dxa"/>
            <w:noWrap/>
            <w:hideMark/>
          </w:tcPr>
          <w:p w14:paraId="07375257"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Vehicle Speed</w:t>
            </w:r>
          </w:p>
        </w:tc>
        <w:tc>
          <w:tcPr>
            <w:tcW w:w="6035" w:type="dxa"/>
            <w:noWrap/>
            <w:hideMark/>
          </w:tcPr>
          <w:p w14:paraId="705E862E"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rsidRPr="0078151A">
              <w:t>Measure of how fast a vehicle is traveling in kilometers/hour or miles/hour.</w:t>
            </w:r>
          </w:p>
        </w:tc>
      </w:tr>
      <w:tr w:rsidR="009F4517" w:rsidRPr="0078151A" w14:paraId="284D4663" w14:textId="77777777" w:rsidTr="00701BE1">
        <w:trPr>
          <w:cnfStyle w:val="000000100000" w:firstRow="0" w:lastRow="0" w:firstColumn="0" w:lastColumn="0" w:oddVBand="0" w:evenVBand="0" w:oddHBand="1" w:evenHBand="0" w:firstRowFirstColumn="0" w:firstRowLastColumn="0" w:lastRowFirstColumn="0" w:lastRowLastColumn="0"/>
          <w:trHeight w:val="765"/>
        </w:trPr>
        <w:tc>
          <w:tcPr>
            <w:cnfStyle w:val="001000000000" w:firstRow="0" w:lastRow="0" w:firstColumn="1" w:lastColumn="0" w:oddVBand="0" w:evenVBand="0" w:oddHBand="0" w:evenHBand="0" w:firstRowFirstColumn="0" w:firstRowLastColumn="0" w:lastRowFirstColumn="0" w:lastRowLastColumn="0"/>
            <w:tcW w:w="1435" w:type="dxa"/>
            <w:noWrap/>
            <w:hideMark/>
          </w:tcPr>
          <w:p w14:paraId="0C4F4466" w14:textId="472AB94D" w:rsidR="009F4517" w:rsidRPr="0078151A" w:rsidRDefault="009F4517" w:rsidP="00292B1E">
            <w:pPr>
              <w:spacing w:before="20" w:after="20"/>
              <w:jc w:val="left"/>
            </w:pPr>
            <w:r w:rsidRPr="0078151A">
              <w:t>WIM</w:t>
            </w:r>
          </w:p>
        </w:tc>
        <w:tc>
          <w:tcPr>
            <w:tcW w:w="1890" w:type="dxa"/>
            <w:noWrap/>
            <w:hideMark/>
          </w:tcPr>
          <w:p w14:paraId="57FFA511"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Weigh in Motion</w:t>
            </w:r>
          </w:p>
        </w:tc>
        <w:tc>
          <w:tcPr>
            <w:tcW w:w="6035" w:type="dxa"/>
            <w:noWrap/>
            <w:hideMark/>
          </w:tcPr>
          <w:p w14:paraId="056C56DE"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A measure of the vertical forces applied by axles to sensors in the roadway. This is used to measure the weight carried by trucks to determine the appropriate depth for pavement sections.</w:t>
            </w:r>
          </w:p>
        </w:tc>
      </w:tr>
      <w:tr w:rsidR="009F4517" w:rsidRPr="0078151A" w14:paraId="29082733" w14:textId="77777777" w:rsidTr="00701BE1">
        <w:trPr>
          <w:trHeight w:val="1020"/>
        </w:trPr>
        <w:tc>
          <w:tcPr>
            <w:cnfStyle w:val="001000000000" w:firstRow="0" w:lastRow="0" w:firstColumn="1" w:lastColumn="0" w:oddVBand="0" w:evenVBand="0" w:oddHBand="0" w:evenHBand="0" w:firstRowFirstColumn="0" w:firstRowLastColumn="0" w:lastRowFirstColumn="0" w:lastRowLastColumn="0"/>
            <w:tcW w:w="1435" w:type="dxa"/>
            <w:noWrap/>
          </w:tcPr>
          <w:p w14:paraId="76F96E45" w14:textId="4D138A80" w:rsidR="009F4517" w:rsidRPr="0078151A" w:rsidRDefault="009F4517" w:rsidP="00292B1E">
            <w:pPr>
              <w:spacing w:before="20" w:after="20"/>
              <w:jc w:val="left"/>
            </w:pPr>
            <w:r>
              <w:t>WIM System</w:t>
            </w:r>
          </w:p>
        </w:tc>
        <w:tc>
          <w:tcPr>
            <w:tcW w:w="1890" w:type="dxa"/>
            <w:noWrap/>
          </w:tcPr>
          <w:p w14:paraId="5A084639" w14:textId="77777777"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t>Weigh in Motion System</w:t>
            </w:r>
          </w:p>
        </w:tc>
        <w:tc>
          <w:tcPr>
            <w:tcW w:w="6035" w:type="dxa"/>
            <w:noWrap/>
          </w:tcPr>
          <w:p w14:paraId="0A7AEDF9" w14:textId="67C68D61" w:rsidR="009F4517" w:rsidRPr="0078151A" w:rsidRDefault="009F4517" w:rsidP="00292B1E">
            <w:pPr>
              <w:spacing w:before="20" w:after="20"/>
              <w:jc w:val="left"/>
              <w:cnfStyle w:val="000000000000" w:firstRow="0" w:lastRow="0" w:firstColumn="0" w:lastColumn="0" w:oddVBand="0" w:evenVBand="0" w:oddHBand="0" w:evenHBand="0" w:firstRowFirstColumn="0" w:firstRowLastColumn="0" w:lastRowFirstColumn="0" w:lastRowLastColumn="0"/>
            </w:pPr>
            <w:r>
              <w:t>A</w:t>
            </w:r>
            <w:r w:rsidRPr="00756126">
              <w:t xml:space="preserve"> device that measures the dynamic tire forces of a moving vehicle to estimate the wheel and axle loads and gross vehicle weight of the static vehicle. WIM system also collects information about traffic and truck volume, speeds, vehicle classification, and axle spacing.</w:t>
            </w:r>
          </w:p>
        </w:tc>
      </w:tr>
      <w:tr w:rsidR="009F4517" w:rsidRPr="0078151A" w14:paraId="674A1072" w14:textId="77777777" w:rsidTr="00701BE1">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1435" w:type="dxa"/>
            <w:noWrap/>
            <w:hideMark/>
          </w:tcPr>
          <w:p w14:paraId="4F8F628C" w14:textId="77777777" w:rsidR="009F4517" w:rsidRPr="0078151A" w:rsidRDefault="009F4517" w:rsidP="00292B1E">
            <w:pPr>
              <w:spacing w:before="20" w:after="20"/>
              <w:jc w:val="left"/>
            </w:pPr>
            <w:r w:rsidRPr="0078151A">
              <w:t>Zero-Fill</w:t>
            </w:r>
          </w:p>
        </w:tc>
        <w:tc>
          <w:tcPr>
            <w:tcW w:w="1890" w:type="dxa"/>
            <w:noWrap/>
            <w:hideMark/>
          </w:tcPr>
          <w:p w14:paraId="4AC4700C"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Zero-Fill</w:t>
            </w:r>
          </w:p>
        </w:tc>
        <w:tc>
          <w:tcPr>
            <w:tcW w:w="6035" w:type="dxa"/>
            <w:noWrap/>
            <w:hideMark/>
          </w:tcPr>
          <w:p w14:paraId="6D0B585E" w14:textId="77777777" w:rsidR="009F4517" w:rsidRPr="0078151A" w:rsidRDefault="009F4517" w:rsidP="00292B1E">
            <w:pPr>
              <w:spacing w:before="20" w:after="20"/>
              <w:jc w:val="left"/>
              <w:cnfStyle w:val="000000100000" w:firstRow="0" w:lastRow="0" w:firstColumn="0" w:lastColumn="0" w:oddVBand="0" w:evenVBand="0" w:oddHBand="1" w:evenHBand="0" w:firstRowFirstColumn="0" w:firstRowLastColumn="0" w:lastRowFirstColumn="0" w:lastRowLastColumn="0"/>
            </w:pPr>
            <w:r w:rsidRPr="0078151A">
              <w:t>When the value in a field does not consume all of the columns for the field, leading zeros are to be used starting at the left of the field. For example, if a field is five columns wide, and the data value is 250, then a zero-filled representation for this field is 00250.</w:t>
            </w:r>
          </w:p>
        </w:tc>
      </w:tr>
    </w:tbl>
    <w:p w14:paraId="3888C169" w14:textId="1DD1BB0D" w:rsidR="003E52F0" w:rsidRDefault="003E52F0" w:rsidP="00292B1E"/>
    <w:sectPr w:rsidR="003E52F0" w:rsidSect="00464453">
      <w:footerReference w:type="even" r:id="rId291"/>
      <w:footerReference w:type="default" r:id="rId292"/>
      <w:pgSz w:w="12240" w:h="15840" w:code="1"/>
      <w:pgMar w:top="1440" w:right="1440" w:bottom="1152" w:left="1440" w:header="720" w:footer="576" w:gutter="0"/>
      <w:pgNumType w:start="1" w:chapStyle="9"/>
      <w:cols w:space="720"/>
      <w:vAlign w:val="cen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2A7B13" w14:textId="77777777" w:rsidR="004312C1" w:rsidRDefault="004312C1">
      <w:r>
        <w:separator/>
      </w:r>
    </w:p>
  </w:endnote>
  <w:endnote w:type="continuationSeparator" w:id="0">
    <w:p w14:paraId="23EF2732" w14:textId="77777777" w:rsidR="004312C1" w:rsidRDefault="004312C1">
      <w:r>
        <w:continuationSeparator/>
      </w:r>
    </w:p>
  </w:endnote>
  <w:endnote w:type="continuationNotice" w:id="1">
    <w:p w14:paraId="5487D7C1" w14:textId="77777777" w:rsidR="004312C1" w:rsidRDefault="004312C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Helvetica LT Std">
    <w:altName w:val="Arial"/>
    <w:panose1 w:val="00000000000000000000"/>
    <w:charset w:val="00"/>
    <w:family w:val="roman"/>
    <w:notTrueType/>
    <w:pitch w:val="default"/>
    <w:sig w:usb0="00000003" w:usb1="00000000" w:usb2="00000000" w:usb3="00000000" w:csb0="00000001" w:csb1="00000000"/>
  </w:font>
  <w:font w:name="Helvetica LT Std Light">
    <w:altName w:val="Arial"/>
    <w:panose1 w:val="00000000000000000000"/>
    <w:charset w:val="00"/>
    <w:family w:val="swiss"/>
    <w:notTrueType/>
    <w:pitch w:val="default"/>
    <w:sig w:usb0="00000003" w:usb1="00000000" w:usb2="00000000" w:usb3="00000000" w:csb0="00000001" w:csb1="00000000"/>
  </w:font>
  <w:font w:name="Minion Pro">
    <w:altName w:val="Times New Roman"/>
    <w:panose1 w:val="00000000000000000000"/>
    <w:charset w:val="00"/>
    <w:family w:val="roman"/>
    <w:notTrueType/>
    <w:pitch w:val="variable"/>
    <w:sig w:usb0="60000287" w:usb1="00000001"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Times">
    <w:altName w:val="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rial Bold">
    <w:altName w:val="Arial"/>
    <w:panose1 w:val="020B0704020202020204"/>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Blue Highway">
    <w:altName w:val="Times New Roman"/>
    <w:charset w:val="00"/>
    <w:family w:val="auto"/>
    <w:pitch w:val="variable"/>
    <w:sig w:usb0="00000001" w:usb1="0000000A" w:usb2="00000000" w:usb3="00000000" w:csb0="00000193"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9518A5" w14:textId="3D87C300" w:rsidR="003C28DA" w:rsidRPr="003C28DA" w:rsidRDefault="00464453" w:rsidP="003C28DA">
    <w:pPr>
      <w:pStyle w:val="Footer"/>
      <w:jc w:val="center"/>
      <w:rPr>
        <w:rFonts w:ascii="Calibri" w:hAnsi="Calibri" w:cs="Calibri"/>
      </w:rPr>
    </w:pPr>
    <w:sdt>
      <w:sdtPr>
        <w:rPr>
          <w:rFonts w:ascii="Calibri" w:hAnsi="Calibri" w:cs="Calibri"/>
        </w:rPr>
        <w:id w:val="1400015786"/>
        <w:docPartObj>
          <w:docPartGallery w:val="Page Numbers (Bottom of Page)"/>
          <w:docPartUnique/>
        </w:docPartObj>
      </w:sdtPr>
      <w:sdtEndPr>
        <w:rPr>
          <w:noProof/>
        </w:rPr>
      </w:sdtEndPr>
      <w:sdtContent>
        <w:r w:rsidR="003C28DA" w:rsidRPr="004D4172">
          <w:rPr>
            <w:rFonts w:ascii="Calibri" w:hAnsi="Calibri" w:cs="Calibri"/>
          </w:rPr>
          <w:fldChar w:fldCharType="begin"/>
        </w:r>
        <w:r w:rsidR="003C28DA" w:rsidRPr="004D4172">
          <w:rPr>
            <w:rFonts w:ascii="Calibri" w:hAnsi="Calibri" w:cs="Calibri"/>
          </w:rPr>
          <w:instrText xml:space="preserve"> PAGE   \* MERGEFORMAT </w:instrText>
        </w:r>
        <w:r w:rsidR="003C28DA" w:rsidRPr="004D4172">
          <w:rPr>
            <w:rFonts w:ascii="Calibri" w:hAnsi="Calibri" w:cs="Calibri"/>
          </w:rPr>
          <w:fldChar w:fldCharType="separate"/>
        </w:r>
        <w:r w:rsidR="003C28DA">
          <w:rPr>
            <w:rFonts w:ascii="Calibri" w:hAnsi="Calibri" w:cs="Calibri"/>
          </w:rPr>
          <w:t>1</w:t>
        </w:r>
        <w:r w:rsidR="003C28DA" w:rsidRPr="004D4172">
          <w:rPr>
            <w:rFonts w:ascii="Calibri" w:hAnsi="Calibri" w:cs="Calibri"/>
            <w:noProof/>
          </w:rPr>
          <w:fldChar w:fldCharType="end"/>
        </w:r>
      </w:sdtContent>
    </w:sdt>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A12D85" w14:textId="797A8DAC" w:rsidR="000808EE" w:rsidRPr="009E43D6" w:rsidRDefault="000808EE" w:rsidP="004F6DDF">
    <w:pPr>
      <w:pStyle w:val="Footer"/>
      <w:jc w:val="center"/>
      <w:rPr>
        <w:rFonts w:ascii="Cambria" w:hAnsi="Cambria" w:cs="Calibri"/>
      </w:rPr>
    </w:pPr>
    <w:r w:rsidRPr="009E43D6">
      <w:rPr>
        <w:rFonts w:ascii="Cambria" w:hAnsi="Cambria" w:cs="Calibri"/>
      </w:rPr>
      <w:t>ES-</w:t>
    </w:r>
    <w:sdt>
      <w:sdtPr>
        <w:rPr>
          <w:rFonts w:ascii="Cambria" w:hAnsi="Cambria" w:cs="Calibri"/>
        </w:rPr>
        <w:id w:val="-981842409"/>
        <w:docPartObj>
          <w:docPartGallery w:val="Page Numbers (Bottom of Page)"/>
          <w:docPartUnique/>
        </w:docPartObj>
      </w:sdtPr>
      <w:sdtEndPr>
        <w:rPr>
          <w:noProof/>
        </w:rPr>
      </w:sdtEndPr>
      <w:sdtContent>
        <w:r w:rsidRPr="009E43D6">
          <w:rPr>
            <w:rFonts w:ascii="Cambria" w:hAnsi="Cambria" w:cs="Calibri"/>
          </w:rPr>
          <w:fldChar w:fldCharType="begin"/>
        </w:r>
        <w:r w:rsidRPr="009E43D6">
          <w:rPr>
            <w:rFonts w:ascii="Cambria" w:hAnsi="Cambria" w:cs="Calibri"/>
          </w:rPr>
          <w:instrText xml:space="preserve"> PAGE   \* MERGEFORMAT </w:instrText>
        </w:r>
        <w:r w:rsidRPr="009E43D6">
          <w:rPr>
            <w:rFonts w:ascii="Cambria" w:hAnsi="Cambria" w:cs="Calibri"/>
          </w:rPr>
          <w:fldChar w:fldCharType="separate"/>
        </w:r>
        <w:r w:rsidRPr="009E43D6">
          <w:rPr>
            <w:rFonts w:ascii="Cambria" w:hAnsi="Cambria" w:cs="Calibri"/>
          </w:rPr>
          <w:t>ii</w:t>
        </w:r>
        <w:r w:rsidRPr="009E43D6">
          <w:rPr>
            <w:rFonts w:ascii="Cambria" w:hAnsi="Cambria" w:cs="Calibri"/>
            <w:noProof/>
          </w:rPr>
          <w:fldChar w:fldCharType="end"/>
        </w:r>
      </w:sdtContent>
    </w:sdt>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D66E07" w14:textId="2020950B" w:rsidR="003C28DA" w:rsidRPr="00F53123" w:rsidRDefault="00464453" w:rsidP="003C28DA">
    <w:pPr>
      <w:pStyle w:val="Footer"/>
      <w:jc w:val="center"/>
      <w:rPr>
        <w:rFonts w:ascii="Cambria" w:hAnsi="Cambria" w:cs="Calibri"/>
      </w:rPr>
    </w:pPr>
    <w:sdt>
      <w:sdtPr>
        <w:rPr>
          <w:rFonts w:ascii="Cambria" w:hAnsi="Cambria" w:cs="Calibri"/>
        </w:rPr>
        <w:id w:val="-745031145"/>
        <w:docPartObj>
          <w:docPartGallery w:val="Page Numbers (Bottom of Page)"/>
          <w:docPartUnique/>
        </w:docPartObj>
      </w:sdtPr>
      <w:sdtEndPr>
        <w:rPr>
          <w:noProof/>
        </w:rPr>
      </w:sdtEndPr>
      <w:sdtContent>
        <w:r w:rsidR="003C28DA" w:rsidRPr="00F53123">
          <w:rPr>
            <w:rFonts w:ascii="Cambria" w:hAnsi="Cambria" w:cs="Calibri"/>
          </w:rPr>
          <w:fldChar w:fldCharType="begin"/>
        </w:r>
        <w:r w:rsidR="003C28DA" w:rsidRPr="00F53123">
          <w:rPr>
            <w:rFonts w:ascii="Cambria" w:hAnsi="Cambria" w:cs="Calibri"/>
          </w:rPr>
          <w:instrText xml:space="preserve"> PAGE   \* MERGEFORMAT </w:instrText>
        </w:r>
        <w:r w:rsidR="003C28DA" w:rsidRPr="00F53123">
          <w:rPr>
            <w:rFonts w:ascii="Cambria" w:hAnsi="Cambria" w:cs="Calibri"/>
          </w:rPr>
          <w:fldChar w:fldCharType="separate"/>
        </w:r>
        <w:r w:rsidR="003C28DA" w:rsidRPr="00F53123">
          <w:rPr>
            <w:rFonts w:ascii="Cambria" w:hAnsi="Cambria" w:cs="Calibri"/>
          </w:rPr>
          <w:t>1</w:t>
        </w:r>
        <w:r w:rsidR="003C28DA" w:rsidRPr="00F53123">
          <w:rPr>
            <w:rFonts w:ascii="Cambria" w:hAnsi="Cambria" w:cs="Calibri"/>
            <w:noProof/>
          </w:rPr>
          <w:fldChar w:fldCharType="end"/>
        </w:r>
      </w:sdtContent>
    </w:sdt>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C48770" w14:textId="0B15FB83" w:rsidR="009C337D" w:rsidRPr="009E43D6" w:rsidRDefault="00282250" w:rsidP="00282250">
    <w:pPr>
      <w:pStyle w:val="Footer"/>
      <w:jc w:val="center"/>
      <w:rPr>
        <w:rFonts w:ascii="Cambria" w:hAnsi="Cambria" w:cs="Calibri"/>
      </w:rPr>
    </w:pPr>
    <w:r w:rsidRPr="009E43D6">
      <w:rPr>
        <w:rFonts w:ascii="Cambria" w:hAnsi="Cambria" w:cs="Calibri"/>
      </w:rPr>
      <w:fldChar w:fldCharType="begin"/>
    </w:r>
    <w:r w:rsidRPr="009E43D6">
      <w:rPr>
        <w:rFonts w:ascii="Cambria" w:hAnsi="Cambria" w:cs="Calibri"/>
      </w:rPr>
      <w:instrText xml:space="preserve"> PAGE   \* MERGEFORMAT </w:instrText>
    </w:r>
    <w:r w:rsidRPr="009E43D6">
      <w:rPr>
        <w:rFonts w:ascii="Cambria" w:hAnsi="Cambria" w:cs="Calibri"/>
      </w:rPr>
      <w:fldChar w:fldCharType="separate"/>
    </w:r>
    <w:r w:rsidRPr="009E43D6">
      <w:rPr>
        <w:rFonts w:ascii="Cambria" w:hAnsi="Cambria" w:cs="Calibri"/>
        <w:noProof/>
      </w:rPr>
      <w:t>1</w:t>
    </w:r>
    <w:r w:rsidRPr="009E43D6">
      <w:rPr>
        <w:rFonts w:ascii="Cambria" w:hAnsi="Cambria" w:cs="Calibri"/>
        <w:noProof/>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0128C1" w14:textId="018FFD38" w:rsidR="003C28DA" w:rsidRPr="00F53123" w:rsidRDefault="000808EE" w:rsidP="003C28DA">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sidRPr="00F53123">
      <w:rPr>
        <w:rFonts w:ascii="Cambria" w:hAnsi="Cambria" w:cs="Calibri"/>
        <w:noProof/>
      </w:rPr>
      <w:t>1</w:t>
    </w:r>
    <w:r w:rsidRPr="00F53123">
      <w:rPr>
        <w:rFonts w:ascii="Cambria" w:hAnsi="Cambria" w:cs="Calibri"/>
        <w:noProof/>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5242C9" w14:textId="77777777" w:rsidR="003C28DA" w:rsidRPr="00F53123" w:rsidRDefault="003C28DA" w:rsidP="004D4172">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sidRPr="00F53123">
      <w:rPr>
        <w:rFonts w:ascii="Cambria" w:hAnsi="Cambria" w:cs="Calibri"/>
        <w:noProof/>
      </w:rPr>
      <w:t>1</w:t>
    </w:r>
    <w:r w:rsidRPr="00F53123">
      <w:rPr>
        <w:rFonts w:ascii="Cambria" w:hAnsi="Cambria" w:cs="Calibri"/>
        <w:noProof/>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4E08EF" w14:textId="5BC0E680" w:rsidR="00E87CD2" w:rsidRPr="00E87CD2" w:rsidRDefault="00E87CD2" w:rsidP="00E87CD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DA8DA7" w14:textId="697929EA" w:rsidR="00E87CD2" w:rsidRPr="00E87CD2" w:rsidRDefault="00E87CD2" w:rsidP="00E87CD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D34D36" w14:textId="447FF05A" w:rsidR="00E87CD2" w:rsidRPr="00E87CD2" w:rsidRDefault="00E87CD2" w:rsidP="00E87CD2">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2-37</w:t>
    </w:r>
    <w:r w:rsidRPr="00F53123">
      <w:rPr>
        <w:rFonts w:ascii="Cambria" w:hAnsi="Cambria" w:cs="Calibri"/>
        <w:noProof/>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6595D7" w14:textId="2603C3A0" w:rsidR="00201910" w:rsidRPr="00201910" w:rsidRDefault="00464453" w:rsidP="00201910">
    <w:pPr>
      <w:pStyle w:val="Footer"/>
      <w:jc w:val="center"/>
      <w:rPr>
        <w:rFonts w:ascii="Cambria" w:hAnsi="Cambria" w:cs="Calibri"/>
      </w:rPr>
    </w:pPr>
    <w:sdt>
      <w:sdtPr>
        <w:rPr>
          <w:rFonts w:ascii="Cambria" w:hAnsi="Cambria" w:cs="Calibri"/>
        </w:rPr>
        <w:id w:val="930322495"/>
        <w:docPartObj>
          <w:docPartGallery w:val="Page Numbers (Bottom of Page)"/>
          <w:docPartUnique/>
        </w:docPartObj>
      </w:sdtPr>
      <w:sdtEndPr>
        <w:rPr>
          <w:noProof/>
        </w:rPr>
      </w:sdtEndPr>
      <w:sdtContent>
        <w:r w:rsidR="00201910" w:rsidRPr="00F53123">
          <w:rPr>
            <w:rFonts w:ascii="Cambria" w:hAnsi="Cambria" w:cs="Calibri"/>
          </w:rPr>
          <w:fldChar w:fldCharType="begin"/>
        </w:r>
        <w:r w:rsidR="00201910" w:rsidRPr="00F53123">
          <w:rPr>
            <w:rFonts w:ascii="Cambria" w:hAnsi="Cambria" w:cs="Calibri"/>
          </w:rPr>
          <w:instrText xml:space="preserve"> PAGE   \* MERGEFORMAT </w:instrText>
        </w:r>
        <w:r w:rsidR="00201910" w:rsidRPr="00F53123">
          <w:rPr>
            <w:rFonts w:ascii="Cambria" w:hAnsi="Cambria" w:cs="Calibri"/>
          </w:rPr>
          <w:fldChar w:fldCharType="separate"/>
        </w:r>
        <w:r w:rsidR="00201910">
          <w:rPr>
            <w:rFonts w:ascii="Cambria" w:hAnsi="Cambria"/>
          </w:rPr>
          <w:t>2-18</w:t>
        </w:r>
        <w:r w:rsidR="00201910" w:rsidRPr="00F53123">
          <w:rPr>
            <w:rFonts w:ascii="Cambria" w:hAnsi="Cambria" w:cs="Calibri"/>
            <w:noProof/>
          </w:rPr>
          <w:fldChar w:fldCharType="end"/>
        </w:r>
      </w:sdtContent>
    </w:sdt>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8A30EE" w14:textId="26C13E21" w:rsidR="00E87CD2" w:rsidRPr="002532B3" w:rsidRDefault="00E87CD2" w:rsidP="002532B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2FA37" w14:textId="77777777" w:rsidR="00E30324" w:rsidRDefault="00E30324">
    <w:pPr>
      <w:pStyle w:val="Footer"/>
      <w:jc w:val="center"/>
    </w:pPr>
  </w:p>
  <w:p w14:paraId="5BE6035E" w14:textId="77777777" w:rsidR="00E30324" w:rsidRDefault="00E30324">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BDD530" w14:textId="5B6E5837" w:rsidR="00201910" w:rsidRPr="00201910" w:rsidRDefault="00201910" w:rsidP="00201910">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9486C0" w14:textId="308CF55B" w:rsidR="002532B3" w:rsidRPr="002532B3" w:rsidRDefault="002532B3" w:rsidP="002532B3">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2-38</w:t>
    </w:r>
    <w:r w:rsidRPr="00F53123">
      <w:rPr>
        <w:rFonts w:ascii="Cambria" w:hAnsi="Cambria" w:cs="Calibri"/>
        <w:noProof/>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63B874" w14:textId="6745268E" w:rsidR="00E87CD2" w:rsidRPr="002532B3" w:rsidRDefault="002532B3" w:rsidP="002532B3">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2-38</w:t>
    </w:r>
    <w:r w:rsidRPr="00F53123">
      <w:rPr>
        <w:rFonts w:ascii="Cambria" w:hAnsi="Cambria" w:cs="Calibri"/>
        <w:noProof/>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1CC709" w14:textId="48575725" w:rsidR="00E30324" w:rsidRPr="003B0722" w:rsidRDefault="00464453" w:rsidP="003B0722">
    <w:pPr>
      <w:pStyle w:val="Footer"/>
      <w:jc w:val="center"/>
      <w:rPr>
        <w:rFonts w:ascii="Cambria" w:hAnsi="Cambria" w:cs="Calibri"/>
      </w:rPr>
    </w:pPr>
    <w:sdt>
      <w:sdtPr>
        <w:rPr>
          <w:rFonts w:ascii="Cambria" w:hAnsi="Cambria" w:cs="Calibri"/>
        </w:rPr>
        <w:id w:val="-1112506818"/>
        <w:docPartObj>
          <w:docPartGallery w:val="Page Numbers (Bottom of Page)"/>
          <w:docPartUnique/>
        </w:docPartObj>
      </w:sdtPr>
      <w:sdtEndPr>
        <w:rPr>
          <w:noProof/>
        </w:rPr>
      </w:sdtEndPr>
      <w:sdtContent>
        <w:r w:rsidR="003B0722" w:rsidRPr="00F53123">
          <w:rPr>
            <w:rFonts w:ascii="Cambria" w:hAnsi="Cambria" w:cs="Calibri"/>
          </w:rPr>
          <w:fldChar w:fldCharType="begin"/>
        </w:r>
        <w:r w:rsidR="003B0722" w:rsidRPr="00F53123">
          <w:rPr>
            <w:rFonts w:ascii="Cambria" w:hAnsi="Cambria" w:cs="Calibri"/>
          </w:rPr>
          <w:instrText xml:space="preserve"> PAGE   \* MERGEFORMAT </w:instrText>
        </w:r>
        <w:r w:rsidR="003B0722" w:rsidRPr="00F53123">
          <w:rPr>
            <w:rFonts w:ascii="Cambria" w:hAnsi="Cambria" w:cs="Calibri"/>
          </w:rPr>
          <w:fldChar w:fldCharType="separate"/>
        </w:r>
        <w:r w:rsidR="003B0722">
          <w:rPr>
            <w:rFonts w:ascii="Cambria" w:hAnsi="Cambria" w:cs="Calibri"/>
          </w:rPr>
          <w:t>3-44</w:t>
        </w:r>
        <w:r w:rsidR="003B0722" w:rsidRPr="00F53123">
          <w:rPr>
            <w:rFonts w:ascii="Cambria" w:hAnsi="Cambria" w:cs="Calibri"/>
            <w:noProof/>
          </w:rPr>
          <w:fldChar w:fldCharType="end"/>
        </w:r>
      </w:sdtContent>
    </w:sdt>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9A0332" w14:textId="444B0389" w:rsidR="00E02F68" w:rsidRPr="00E02F68" w:rsidRDefault="00E02F68" w:rsidP="00E02F68">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3-30</w:t>
    </w:r>
    <w:r w:rsidRPr="00F53123">
      <w:rPr>
        <w:rFonts w:ascii="Cambria" w:hAnsi="Cambria" w:cs="Calibri"/>
        <w:noProof/>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8A3999" w14:textId="77777777" w:rsidR="003B0722" w:rsidRPr="003B0722" w:rsidRDefault="00464453" w:rsidP="003B0722">
    <w:pPr>
      <w:pStyle w:val="Footer"/>
      <w:jc w:val="center"/>
      <w:rPr>
        <w:rFonts w:ascii="Cambria" w:hAnsi="Cambria" w:cs="Calibri"/>
      </w:rPr>
    </w:pPr>
    <w:sdt>
      <w:sdtPr>
        <w:rPr>
          <w:rFonts w:ascii="Cambria" w:hAnsi="Cambria" w:cs="Calibri"/>
        </w:rPr>
        <w:id w:val="167611582"/>
        <w:docPartObj>
          <w:docPartGallery w:val="Page Numbers (Bottom of Page)"/>
          <w:docPartUnique/>
        </w:docPartObj>
      </w:sdtPr>
      <w:sdtEndPr>
        <w:rPr>
          <w:noProof/>
        </w:rPr>
      </w:sdtEndPr>
      <w:sdtContent>
        <w:r w:rsidR="003B0722" w:rsidRPr="00F53123">
          <w:rPr>
            <w:rFonts w:ascii="Cambria" w:hAnsi="Cambria" w:cs="Calibri"/>
          </w:rPr>
          <w:fldChar w:fldCharType="begin"/>
        </w:r>
        <w:r w:rsidR="003B0722" w:rsidRPr="00F53123">
          <w:rPr>
            <w:rFonts w:ascii="Cambria" w:hAnsi="Cambria" w:cs="Calibri"/>
          </w:rPr>
          <w:instrText xml:space="preserve"> PAGE   \* MERGEFORMAT </w:instrText>
        </w:r>
        <w:r w:rsidR="003B0722" w:rsidRPr="00F53123">
          <w:rPr>
            <w:rFonts w:ascii="Cambria" w:hAnsi="Cambria" w:cs="Calibri"/>
          </w:rPr>
          <w:fldChar w:fldCharType="separate"/>
        </w:r>
        <w:r w:rsidR="003B0722">
          <w:rPr>
            <w:rFonts w:ascii="Cambria" w:hAnsi="Cambria" w:cs="Calibri"/>
          </w:rPr>
          <w:t>3-44</w:t>
        </w:r>
        <w:r w:rsidR="003B0722" w:rsidRPr="00F53123">
          <w:rPr>
            <w:rFonts w:ascii="Cambria" w:hAnsi="Cambria" w:cs="Calibri"/>
            <w:noProof/>
          </w:rPr>
          <w:fldChar w:fldCharType="end"/>
        </w:r>
      </w:sdtContent>
    </w:sdt>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7AF44F" w14:textId="77777777" w:rsidR="0019188C" w:rsidRPr="00F53123" w:rsidRDefault="00464453" w:rsidP="003C28DA">
    <w:pPr>
      <w:pStyle w:val="Footer"/>
      <w:jc w:val="center"/>
      <w:rPr>
        <w:rFonts w:ascii="Cambria" w:hAnsi="Cambria" w:cs="Calibri"/>
      </w:rPr>
    </w:pPr>
    <w:sdt>
      <w:sdtPr>
        <w:rPr>
          <w:rFonts w:ascii="Cambria" w:hAnsi="Cambria" w:cs="Calibri"/>
        </w:rPr>
        <w:id w:val="-1444690293"/>
        <w:docPartObj>
          <w:docPartGallery w:val="Page Numbers (Bottom of Page)"/>
          <w:docPartUnique/>
        </w:docPartObj>
      </w:sdtPr>
      <w:sdtEndPr>
        <w:rPr>
          <w:noProof/>
        </w:rPr>
      </w:sdtEndPr>
      <w:sdtContent>
        <w:r w:rsidR="0019188C" w:rsidRPr="00F53123">
          <w:rPr>
            <w:rFonts w:ascii="Cambria" w:hAnsi="Cambria" w:cs="Calibri"/>
          </w:rPr>
          <w:fldChar w:fldCharType="begin"/>
        </w:r>
        <w:r w:rsidR="0019188C" w:rsidRPr="00F53123">
          <w:rPr>
            <w:rFonts w:ascii="Cambria" w:hAnsi="Cambria" w:cs="Calibri"/>
          </w:rPr>
          <w:instrText xml:space="preserve"> PAGE   \* MERGEFORMAT </w:instrText>
        </w:r>
        <w:r w:rsidR="0019188C" w:rsidRPr="00F53123">
          <w:rPr>
            <w:rFonts w:ascii="Cambria" w:hAnsi="Cambria" w:cs="Calibri"/>
          </w:rPr>
          <w:fldChar w:fldCharType="separate"/>
        </w:r>
        <w:r w:rsidR="0019188C" w:rsidRPr="00F53123">
          <w:rPr>
            <w:rFonts w:ascii="Cambria" w:hAnsi="Cambria" w:cs="Calibri"/>
          </w:rPr>
          <w:t>1</w:t>
        </w:r>
        <w:r w:rsidR="0019188C" w:rsidRPr="00F53123">
          <w:rPr>
            <w:rFonts w:ascii="Cambria" w:hAnsi="Cambria" w:cs="Calibri"/>
            <w:noProof/>
          </w:rPr>
          <w:fldChar w:fldCharType="end"/>
        </w:r>
      </w:sdtContent>
    </w:sdt>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86FEB" w14:textId="5B5B4F4B" w:rsidR="009B7AED" w:rsidRPr="00C432AD" w:rsidRDefault="00083BA6" w:rsidP="00083BA6">
    <w:pPr>
      <w:pStyle w:val="Footer"/>
      <w:jc w:val="center"/>
      <w:rPr>
        <w:rFonts w:ascii="Cambria" w:hAnsi="Cambria" w:cs="Calibri"/>
      </w:rPr>
    </w:pPr>
    <w:r w:rsidRPr="00C432AD">
      <w:rPr>
        <w:rFonts w:ascii="Cambria" w:hAnsi="Cambria" w:cs="Calibri"/>
      </w:rPr>
      <w:fldChar w:fldCharType="begin"/>
    </w:r>
    <w:r w:rsidRPr="00C432AD">
      <w:rPr>
        <w:rFonts w:ascii="Cambria" w:hAnsi="Cambria" w:cs="Calibri"/>
      </w:rPr>
      <w:instrText xml:space="preserve"> PAGE   \* MERGEFORMAT </w:instrText>
    </w:r>
    <w:r w:rsidRPr="00C432AD">
      <w:rPr>
        <w:rFonts w:ascii="Cambria" w:hAnsi="Cambria" w:cs="Calibri"/>
      </w:rPr>
      <w:fldChar w:fldCharType="separate"/>
    </w:r>
    <w:r w:rsidRPr="00C432AD">
      <w:rPr>
        <w:rFonts w:ascii="Cambria" w:hAnsi="Cambria" w:cs="Calibri"/>
        <w:noProof/>
      </w:rPr>
      <w:t>1</w:t>
    </w:r>
    <w:r w:rsidRPr="00C432AD">
      <w:rPr>
        <w:rFonts w:ascii="Cambria" w:hAnsi="Cambria" w:cs="Calibri"/>
        <w:noProof/>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579077" w14:textId="574DDC3D" w:rsidR="006428F4" w:rsidRPr="006428F4" w:rsidRDefault="006428F4" w:rsidP="006428F4">
    <w:pPr>
      <w:pStyle w:val="Foote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7887C" w14:textId="77777777" w:rsidR="002532B3" w:rsidRPr="00F53123" w:rsidRDefault="00464453" w:rsidP="003C28DA">
    <w:pPr>
      <w:pStyle w:val="Footer"/>
      <w:jc w:val="center"/>
      <w:rPr>
        <w:rFonts w:ascii="Cambria" w:hAnsi="Cambria" w:cs="Calibri"/>
      </w:rPr>
    </w:pPr>
    <w:sdt>
      <w:sdtPr>
        <w:rPr>
          <w:rFonts w:ascii="Cambria" w:hAnsi="Cambria" w:cs="Calibri"/>
        </w:rPr>
        <w:id w:val="598136266"/>
        <w:docPartObj>
          <w:docPartGallery w:val="Page Numbers (Bottom of Page)"/>
          <w:docPartUnique/>
        </w:docPartObj>
      </w:sdtPr>
      <w:sdtEndPr>
        <w:rPr>
          <w:noProof/>
        </w:rPr>
      </w:sdtEndPr>
      <w:sdtContent>
        <w:r w:rsidR="002532B3" w:rsidRPr="00F53123">
          <w:rPr>
            <w:rFonts w:ascii="Cambria" w:hAnsi="Cambria" w:cs="Calibri"/>
          </w:rPr>
          <w:fldChar w:fldCharType="begin"/>
        </w:r>
        <w:r w:rsidR="002532B3" w:rsidRPr="00F53123">
          <w:rPr>
            <w:rFonts w:ascii="Cambria" w:hAnsi="Cambria" w:cs="Calibri"/>
          </w:rPr>
          <w:instrText xml:space="preserve"> PAGE   \* MERGEFORMAT </w:instrText>
        </w:r>
        <w:r w:rsidR="002532B3" w:rsidRPr="00F53123">
          <w:rPr>
            <w:rFonts w:ascii="Cambria" w:hAnsi="Cambria" w:cs="Calibri"/>
          </w:rPr>
          <w:fldChar w:fldCharType="separate"/>
        </w:r>
        <w:r w:rsidR="002532B3" w:rsidRPr="00F53123">
          <w:rPr>
            <w:rFonts w:ascii="Cambria" w:hAnsi="Cambria" w:cs="Calibri"/>
          </w:rPr>
          <w:t>1</w:t>
        </w:r>
        <w:r w:rsidR="002532B3" w:rsidRPr="00F53123">
          <w:rPr>
            <w:rFonts w:ascii="Cambria" w:hAnsi="Cambria" w:cs="Calibri"/>
            <w:noProof/>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024EAD" w14:textId="5D8E06A9" w:rsidR="00E30324" w:rsidRPr="004D4172" w:rsidRDefault="00464453" w:rsidP="004D4172">
    <w:pPr>
      <w:pStyle w:val="Footer"/>
      <w:jc w:val="center"/>
      <w:rPr>
        <w:rFonts w:ascii="Calibri" w:hAnsi="Calibri" w:cs="Calibri"/>
      </w:rPr>
    </w:pPr>
    <w:sdt>
      <w:sdtPr>
        <w:rPr>
          <w:rFonts w:ascii="Calibri" w:hAnsi="Calibri" w:cs="Calibri"/>
        </w:rPr>
        <w:id w:val="1510875939"/>
        <w:docPartObj>
          <w:docPartGallery w:val="Page Numbers (Bottom of Page)"/>
          <w:docPartUnique/>
        </w:docPartObj>
      </w:sdtPr>
      <w:sdtEndPr>
        <w:rPr>
          <w:noProof/>
        </w:rPr>
      </w:sdtEndPr>
      <w:sdtContent>
        <w:r w:rsidR="004D4172" w:rsidRPr="004D4172">
          <w:rPr>
            <w:rFonts w:ascii="Calibri" w:hAnsi="Calibri" w:cs="Calibri"/>
          </w:rPr>
          <w:fldChar w:fldCharType="begin"/>
        </w:r>
        <w:r w:rsidR="004D4172" w:rsidRPr="004D4172">
          <w:rPr>
            <w:rFonts w:ascii="Calibri" w:hAnsi="Calibri" w:cs="Calibri"/>
          </w:rPr>
          <w:instrText xml:space="preserve"> PAGE   \* MERGEFORMAT </w:instrText>
        </w:r>
        <w:r w:rsidR="004D4172" w:rsidRPr="004D4172">
          <w:rPr>
            <w:rFonts w:ascii="Calibri" w:hAnsi="Calibri" w:cs="Calibri"/>
          </w:rPr>
          <w:fldChar w:fldCharType="separate"/>
        </w:r>
        <w:r w:rsidR="004D4172">
          <w:rPr>
            <w:rFonts w:ascii="Calibri" w:hAnsi="Calibri" w:cs="Calibri"/>
          </w:rPr>
          <w:t>1-1</w:t>
        </w:r>
        <w:r w:rsidR="004D4172" w:rsidRPr="004D4172">
          <w:rPr>
            <w:rFonts w:ascii="Calibri" w:hAnsi="Calibri" w:cs="Calibri"/>
            <w:noProof/>
          </w:rPr>
          <w:fldChar w:fldCharType="end"/>
        </w:r>
      </w:sdtContent>
    </w:sdt>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4F5B50" w14:textId="77777777" w:rsidR="006428F4" w:rsidRPr="00C432AD" w:rsidRDefault="006428F4" w:rsidP="00083BA6">
    <w:pPr>
      <w:pStyle w:val="Footer"/>
      <w:jc w:val="center"/>
      <w:rPr>
        <w:rFonts w:ascii="Cambria" w:hAnsi="Cambria" w:cs="Calibri"/>
      </w:rPr>
    </w:pPr>
    <w:r w:rsidRPr="00C432AD">
      <w:rPr>
        <w:rFonts w:ascii="Cambria" w:hAnsi="Cambria" w:cs="Calibri"/>
      </w:rPr>
      <w:fldChar w:fldCharType="begin"/>
    </w:r>
    <w:r w:rsidRPr="00C432AD">
      <w:rPr>
        <w:rFonts w:ascii="Cambria" w:hAnsi="Cambria" w:cs="Calibri"/>
      </w:rPr>
      <w:instrText xml:space="preserve"> PAGE   \* MERGEFORMAT </w:instrText>
    </w:r>
    <w:r w:rsidRPr="00C432AD">
      <w:rPr>
        <w:rFonts w:ascii="Cambria" w:hAnsi="Cambria" w:cs="Calibri"/>
      </w:rPr>
      <w:fldChar w:fldCharType="separate"/>
    </w:r>
    <w:r w:rsidRPr="00C432AD">
      <w:rPr>
        <w:rFonts w:ascii="Cambria" w:hAnsi="Cambria" w:cs="Calibri"/>
        <w:noProof/>
      </w:rPr>
      <w:t>1</w:t>
    </w:r>
    <w:r w:rsidRPr="00C432AD">
      <w:rPr>
        <w:rFonts w:ascii="Cambria" w:hAnsi="Cambria" w:cs="Calibri"/>
        <w:noProof/>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8481B5" w14:textId="5F0EA086" w:rsidR="006428F4" w:rsidRPr="006428F4" w:rsidRDefault="006428F4" w:rsidP="006428F4">
    <w:pPr>
      <w:pStyle w:val="Foote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28B886" w14:textId="56115A8E" w:rsidR="006428F4" w:rsidRPr="006428F4" w:rsidRDefault="006428F4" w:rsidP="006428F4">
    <w:pPr>
      <w:pStyle w:val="Foote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E4AD06" w14:textId="77777777" w:rsidR="006428F4" w:rsidRPr="00F53123" w:rsidRDefault="00464453" w:rsidP="003C28DA">
    <w:pPr>
      <w:pStyle w:val="Footer"/>
      <w:jc w:val="center"/>
      <w:rPr>
        <w:rFonts w:ascii="Cambria" w:hAnsi="Cambria" w:cs="Calibri"/>
      </w:rPr>
    </w:pPr>
    <w:sdt>
      <w:sdtPr>
        <w:rPr>
          <w:rFonts w:ascii="Cambria" w:hAnsi="Cambria" w:cs="Calibri"/>
        </w:rPr>
        <w:id w:val="1912813299"/>
        <w:docPartObj>
          <w:docPartGallery w:val="Page Numbers (Bottom of Page)"/>
          <w:docPartUnique/>
        </w:docPartObj>
      </w:sdtPr>
      <w:sdtEndPr>
        <w:rPr>
          <w:noProof/>
        </w:rPr>
      </w:sdtEndPr>
      <w:sdtContent>
        <w:r w:rsidR="006428F4" w:rsidRPr="00F53123">
          <w:rPr>
            <w:rFonts w:ascii="Cambria" w:hAnsi="Cambria" w:cs="Calibri"/>
          </w:rPr>
          <w:fldChar w:fldCharType="begin"/>
        </w:r>
        <w:r w:rsidR="006428F4" w:rsidRPr="00F53123">
          <w:rPr>
            <w:rFonts w:ascii="Cambria" w:hAnsi="Cambria" w:cs="Calibri"/>
          </w:rPr>
          <w:instrText xml:space="preserve"> PAGE   \* MERGEFORMAT </w:instrText>
        </w:r>
        <w:r w:rsidR="006428F4" w:rsidRPr="00F53123">
          <w:rPr>
            <w:rFonts w:ascii="Cambria" w:hAnsi="Cambria" w:cs="Calibri"/>
          </w:rPr>
          <w:fldChar w:fldCharType="separate"/>
        </w:r>
        <w:r w:rsidR="006428F4" w:rsidRPr="00F53123">
          <w:rPr>
            <w:rFonts w:ascii="Cambria" w:hAnsi="Cambria" w:cs="Calibri"/>
          </w:rPr>
          <w:t>1</w:t>
        </w:r>
        <w:r w:rsidR="006428F4" w:rsidRPr="00F53123">
          <w:rPr>
            <w:rFonts w:ascii="Cambria" w:hAnsi="Cambria" w:cs="Calibri"/>
            <w:noProof/>
          </w:rPr>
          <w:fldChar w:fldCharType="end"/>
        </w:r>
      </w:sdtContent>
    </w:sdt>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A2EEA2" w14:textId="1D6C3853" w:rsidR="006428F4" w:rsidRPr="006428F4" w:rsidRDefault="00464453" w:rsidP="006428F4">
    <w:pPr>
      <w:pStyle w:val="Footer"/>
      <w:jc w:val="center"/>
      <w:rPr>
        <w:rFonts w:ascii="Cambria" w:hAnsi="Cambria" w:cs="Calibri"/>
      </w:rPr>
    </w:pPr>
    <w:sdt>
      <w:sdtPr>
        <w:rPr>
          <w:rFonts w:ascii="Cambria" w:hAnsi="Cambria" w:cs="Calibri"/>
        </w:rPr>
        <w:id w:val="-749578705"/>
        <w:docPartObj>
          <w:docPartGallery w:val="Page Numbers (Bottom of Page)"/>
          <w:docPartUnique/>
        </w:docPartObj>
      </w:sdtPr>
      <w:sdtEndPr>
        <w:rPr>
          <w:noProof/>
        </w:rPr>
      </w:sdtEndPr>
      <w:sdtContent>
        <w:r w:rsidR="006428F4" w:rsidRPr="00F53123">
          <w:rPr>
            <w:rFonts w:ascii="Cambria" w:hAnsi="Cambria" w:cs="Calibri"/>
          </w:rPr>
          <w:fldChar w:fldCharType="begin"/>
        </w:r>
        <w:r w:rsidR="006428F4" w:rsidRPr="00F53123">
          <w:rPr>
            <w:rFonts w:ascii="Cambria" w:hAnsi="Cambria" w:cs="Calibri"/>
          </w:rPr>
          <w:instrText xml:space="preserve"> PAGE   \* MERGEFORMAT </w:instrText>
        </w:r>
        <w:r w:rsidR="006428F4" w:rsidRPr="00F53123">
          <w:rPr>
            <w:rFonts w:ascii="Cambria" w:hAnsi="Cambria" w:cs="Calibri"/>
          </w:rPr>
          <w:fldChar w:fldCharType="separate"/>
        </w:r>
        <w:r w:rsidR="006428F4">
          <w:rPr>
            <w:rFonts w:ascii="Cambria" w:hAnsi="Cambria" w:cs="Calibri"/>
          </w:rPr>
          <w:t>4-18</w:t>
        </w:r>
        <w:r w:rsidR="006428F4" w:rsidRPr="00F53123">
          <w:rPr>
            <w:rFonts w:ascii="Cambria" w:hAnsi="Cambria" w:cs="Calibri"/>
            <w:noProof/>
          </w:rPr>
          <w:fldChar w:fldCharType="end"/>
        </w:r>
      </w:sdtContent>
    </w:sdt>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D75963" w14:textId="788D3415" w:rsidR="00AC2B2A" w:rsidRPr="00AC2B2A" w:rsidRDefault="00AC2B2A" w:rsidP="00AC2B2A">
    <w:pPr>
      <w:pStyle w:val="Foote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5C8B82" w14:textId="11610453" w:rsidR="00AC2B2A" w:rsidRPr="00AC2B2A" w:rsidRDefault="00AC2B2A" w:rsidP="00AC2B2A">
    <w:pPr>
      <w:pStyle w:val="Foote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892878" w14:textId="21A05C9D" w:rsidR="00D27311" w:rsidRPr="00D27311" w:rsidRDefault="00464453" w:rsidP="00D27311">
    <w:pPr>
      <w:pStyle w:val="Footer"/>
      <w:jc w:val="center"/>
      <w:rPr>
        <w:rFonts w:ascii="Cambria" w:hAnsi="Cambria" w:cs="Calibri"/>
      </w:rPr>
    </w:pPr>
    <w:sdt>
      <w:sdtPr>
        <w:rPr>
          <w:rFonts w:ascii="Cambria" w:hAnsi="Cambria" w:cs="Calibri"/>
        </w:rPr>
        <w:id w:val="1539620200"/>
        <w:docPartObj>
          <w:docPartGallery w:val="Page Numbers (Bottom of Page)"/>
          <w:docPartUnique/>
        </w:docPartObj>
      </w:sdtPr>
      <w:sdtEndPr>
        <w:rPr>
          <w:noProof/>
        </w:rPr>
      </w:sdtEndPr>
      <w:sdtContent>
        <w:r w:rsidR="00D27311" w:rsidRPr="00F53123">
          <w:rPr>
            <w:rFonts w:ascii="Cambria" w:hAnsi="Cambria" w:cs="Calibri"/>
          </w:rPr>
          <w:fldChar w:fldCharType="begin"/>
        </w:r>
        <w:r w:rsidR="00D27311" w:rsidRPr="00F53123">
          <w:rPr>
            <w:rFonts w:ascii="Cambria" w:hAnsi="Cambria" w:cs="Calibri"/>
          </w:rPr>
          <w:instrText xml:space="preserve"> PAGE   \* MERGEFORMAT </w:instrText>
        </w:r>
        <w:r w:rsidR="00D27311" w:rsidRPr="00F53123">
          <w:rPr>
            <w:rFonts w:ascii="Cambria" w:hAnsi="Cambria" w:cs="Calibri"/>
          </w:rPr>
          <w:fldChar w:fldCharType="separate"/>
        </w:r>
        <w:r w:rsidR="00D27311">
          <w:rPr>
            <w:rFonts w:ascii="Cambria" w:hAnsi="Cambria" w:cs="Calibri"/>
          </w:rPr>
          <w:t>4-27</w:t>
        </w:r>
        <w:r w:rsidR="00D27311" w:rsidRPr="00F53123">
          <w:rPr>
            <w:rFonts w:ascii="Cambria" w:hAnsi="Cambria" w:cs="Calibri"/>
            <w:noProof/>
          </w:rPr>
          <w:fldChar w:fldCharType="end"/>
        </w:r>
      </w:sdtContent>
    </w:sdt>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EC3384" w14:textId="7D70F1AF" w:rsidR="00D27311" w:rsidRPr="00D27311" w:rsidRDefault="00464453" w:rsidP="00D27311">
    <w:pPr>
      <w:pStyle w:val="Footer"/>
      <w:jc w:val="center"/>
      <w:rPr>
        <w:rFonts w:ascii="Cambria" w:hAnsi="Cambria" w:cs="Calibri"/>
      </w:rPr>
    </w:pPr>
    <w:sdt>
      <w:sdtPr>
        <w:rPr>
          <w:rFonts w:ascii="Cambria" w:hAnsi="Cambria" w:cs="Calibri"/>
        </w:rPr>
        <w:id w:val="1963065192"/>
        <w:docPartObj>
          <w:docPartGallery w:val="Page Numbers (Bottom of Page)"/>
          <w:docPartUnique/>
        </w:docPartObj>
      </w:sdtPr>
      <w:sdtEndPr>
        <w:rPr>
          <w:noProof/>
        </w:rPr>
      </w:sdtEndPr>
      <w:sdtContent>
        <w:r w:rsidR="00D27311" w:rsidRPr="00F53123">
          <w:rPr>
            <w:rFonts w:ascii="Cambria" w:hAnsi="Cambria" w:cs="Calibri"/>
          </w:rPr>
          <w:fldChar w:fldCharType="begin"/>
        </w:r>
        <w:r w:rsidR="00D27311" w:rsidRPr="00F53123">
          <w:rPr>
            <w:rFonts w:ascii="Cambria" w:hAnsi="Cambria" w:cs="Calibri"/>
          </w:rPr>
          <w:instrText xml:space="preserve"> PAGE   \* MERGEFORMAT </w:instrText>
        </w:r>
        <w:r w:rsidR="00D27311" w:rsidRPr="00F53123">
          <w:rPr>
            <w:rFonts w:ascii="Cambria" w:hAnsi="Cambria" w:cs="Calibri"/>
          </w:rPr>
          <w:fldChar w:fldCharType="separate"/>
        </w:r>
        <w:r w:rsidR="00D27311">
          <w:rPr>
            <w:rFonts w:ascii="Cambria" w:hAnsi="Cambria" w:cs="Calibri"/>
          </w:rPr>
          <w:t>4-27</w:t>
        </w:r>
        <w:r w:rsidR="00D27311" w:rsidRPr="00F53123">
          <w:rPr>
            <w:rFonts w:ascii="Cambria" w:hAnsi="Cambria" w:cs="Calibri"/>
            <w:noProof/>
          </w:rPr>
          <w:fldChar w:fldCharType="end"/>
        </w:r>
      </w:sdtContent>
    </w:sdt>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8C1FA9" w14:textId="6665FB77" w:rsidR="008219F2" w:rsidRPr="00E912B9" w:rsidRDefault="008219F2" w:rsidP="00E912B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8C813C" w14:textId="5946CA84" w:rsidR="004F6DDF" w:rsidRPr="004D4172" w:rsidRDefault="00464453" w:rsidP="004D4172">
    <w:pPr>
      <w:pStyle w:val="Footer"/>
      <w:jc w:val="center"/>
      <w:rPr>
        <w:rFonts w:ascii="Calibri" w:hAnsi="Calibri" w:cs="Calibri"/>
      </w:rPr>
    </w:pPr>
    <w:sdt>
      <w:sdtPr>
        <w:rPr>
          <w:rFonts w:ascii="Calibri" w:hAnsi="Calibri" w:cs="Calibri"/>
        </w:rPr>
        <w:id w:val="1120334920"/>
        <w:docPartObj>
          <w:docPartGallery w:val="Page Numbers (Bottom of Page)"/>
          <w:docPartUnique/>
        </w:docPartObj>
      </w:sdtPr>
      <w:sdtEndPr>
        <w:rPr>
          <w:noProof/>
        </w:rPr>
      </w:sdtEndPr>
      <w:sdtContent/>
    </w:sdt>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0B941F" w14:textId="4E3E49B2" w:rsidR="00B71607" w:rsidRPr="00B71607" w:rsidRDefault="00B71607" w:rsidP="00B71607">
    <w:pPr>
      <w:pStyle w:val="Foote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CC0F94" w14:textId="2A78EA1F" w:rsidR="000C48E4" w:rsidRPr="000C48E4" w:rsidRDefault="00464453" w:rsidP="000C48E4">
    <w:pPr>
      <w:pStyle w:val="Footer"/>
      <w:jc w:val="center"/>
      <w:rPr>
        <w:rFonts w:ascii="Cambria" w:hAnsi="Cambria" w:cs="Calibri"/>
      </w:rPr>
    </w:pPr>
    <w:sdt>
      <w:sdtPr>
        <w:rPr>
          <w:rFonts w:ascii="Cambria" w:hAnsi="Cambria" w:cs="Calibri"/>
        </w:rPr>
        <w:id w:val="922534820"/>
        <w:docPartObj>
          <w:docPartGallery w:val="Page Numbers (Bottom of Page)"/>
          <w:docPartUnique/>
        </w:docPartObj>
      </w:sdtPr>
      <w:sdtEndPr>
        <w:rPr>
          <w:noProof/>
        </w:rPr>
      </w:sdtEndPr>
      <w:sdtContent>
        <w:r w:rsidR="000C48E4" w:rsidRPr="00F53123">
          <w:rPr>
            <w:rFonts w:ascii="Cambria" w:hAnsi="Cambria" w:cs="Calibri"/>
          </w:rPr>
          <w:fldChar w:fldCharType="begin"/>
        </w:r>
        <w:r w:rsidR="000C48E4" w:rsidRPr="00F53123">
          <w:rPr>
            <w:rFonts w:ascii="Cambria" w:hAnsi="Cambria" w:cs="Calibri"/>
          </w:rPr>
          <w:instrText xml:space="preserve"> PAGE   \* MERGEFORMAT </w:instrText>
        </w:r>
        <w:r w:rsidR="000C48E4" w:rsidRPr="00F53123">
          <w:rPr>
            <w:rFonts w:ascii="Cambria" w:hAnsi="Cambria" w:cs="Calibri"/>
          </w:rPr>
          <w:fldChar w:fldCharType="separate"/>
        </w:r>
        <w:r w:rsidR="000C48E4">
          <w:rPr>
            <w:rFonts w:ascii="Cambria" w:hAnsi="Cambria" w:cs="Calibri"/>
          </w:rPr>
          <w:t>4-44</w:t>
        </w:r>
        <w:r w:rsidR="000C48E4" w:rsidRPr="00F53123">
          <w:rPr>
            <w:rFonts w:ascii="Cambria" w:hAnsi="Cambria" w:cs="Calibri"/>
            <w:noProof/>
          </w:rPr>
          <w:fldChar w:fldCharType="end"/>
        </w:r>
      </w:sdtContent>
    </w:sdt>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59CD3E" w14:textId="5BBABFC4" w:rsidR="008219F2" w:rsidRPr="008219F2" w:rsidRDefault="00464453" w:rsidP="008219F2">
    <w:pPr>
      <w:pStyle w:val="Footer"/>
      <w:jc w:val="center"/>
      <w:rPr>
        <w:rFonts w:ascii="Cambria" w:hAnsi="Cambria" w:cs="Calibri"/>
      </w:rPr>
    </w:pPr>
    <w:sdt>
      <w:sdtPr>
        <w:rPr>
          <w:rFonts w:ascii="Cambria" w:hAnsi="Cambria" w:cs="Calibri"/>
        </w:rPr>
        <w:id w:val="29536612"/>
        <w:docPartObj>
          <w:docPartGallery w:val="Page Numbers (Bottom of Page)"/>
          <w:docPartUnique/>
        </w:docPartObj>
      </w:sdtPr>
      <w:sdtEndPr>
        <w:rPr>
          <w:noProof/>
        </w:rPr>
      </w:sdtEndPr>
      <w:sdtContent>
        <w:r w:rsidR="008219F2" w:rsidRPr="00F53123">
          <w:rPr>
            <w:rFonts w:ascii="Cambria" w:hAnsi="Cambria" w:cs="Calibri"/>
          </w:rPr>
          <w:fldChar w:fldCharType="begin"/>
        </w:r>
        <w:r w:rsidR="008219F2" w:rsidRPr="00F53123">
          <w:rPr>
            <w:rFonts w:ascii="Cambria" w:hAnsi="Cambria" w:cs="Calibri"/>
          </w:rPr>
          <w:instrText xml:space="preserve"> PAGE   \* MERGEFORMAT </w:instrText>
        </w:r>
        <w:r w:rsidR="008219F2" w:rsidRPr="00F53123">
          <w:rPr>
            <w:rFonts w:ascii="Cambria" w:hAnsi="Cambria" w:cs="Calibri"/>
          </w:rPr>
          <w:fldChar w:fldCharType="separate"/>
        </w:r>
        <w:r w:rsidR="008219F2">
          <w:rPr>
            <w:rFonts w:ascii="Cambria" w:hAnsi="Cambria" w:cs="Calibri"/>
          </w:rPr>
          <w:t>4-41</w:t>
        </w:r>
        <w:r w:rsidR="008219F2" w:rsidRPr="00F53123">
          <w:rPr>
            <w:rFonts w:ascii="Cambria" w:hAnsi="Cambria" w:cs="Calibri"/>
            <w:noProof/>
          </w:rPr>
          <w:fldChar w:fldCharType="end"/>
        </w:r>
      </w:sdtContent>
    </w:sdt>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F32059" w14:textId="6FA2C902" w:rsidR="008219F2" w:rsidRPr="008219F2" w:rsidRDefault="008219F2" w:rsidP="008219F2">
    <w:pPr>
      <w:pStyle w:val="Foote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5DE884" w14:textId="7964BD1D" w:rsidR="0026055C" w:rsidRPr="0026055C" w:rsidRDefault="0026055C" w:rsidP="0026055C">
    <w:pPr>
      <w:pStyle w:val="Footer"/>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652466" w14:textId="254572ED" w:rsidR="008219F2" w:rsidRPr="008219F2" w:rsidRDefault="008219F2" w:rsidP="008219F2">
    <w:pPr>
      <w:pStyle w:val="Footer"/>
      <w:rPr>
        <w:rFonts w:ascii="Cambria" w:hAnsi="Cambria" w:cs="Calibri"/>
      </w:rPr>
    </w:pPr>
    <w:r>
      <w:rPr>
        <w:rFonts w:ascii="Cambria" w:hAnsi="Cambria" w:cs="Calibri"/>
      </w:rPr>
      <w:tab/>
    </w:r>
    <w:sdt>
      <w:sdtPr>
        <w:rPr>
          <w:rFonts w:ascii="Cambria" w:hAnsi="Cambria" w:cs="Calibri"/>
        </w:rPr>
        <w:id w:val="1827708212"/>
        <w:docPartObj>
          <w:docPartGallery w:val="Page Numbers (Bottom of Page)"/>
          <w:docPartUnique/>
        </w:docPartObj>
      </w:sdtPr>
      <w:sdtEndPr>
        <w:rPr>
          <w:noProof/>
        </w:rPr>
      </w:sdtEndPr>
      <w:sdtContent>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4-44</w:t>
        </w:r>
        <w:r w:rsidRPr="00F53123">
          <w:rPr>
            <w:rFonts w:ascii="Cambria" w:hAnsi="Cambria" w:cs="Calibri"/>
            <w:noProof/>
          </w:rPr>
          <w:fldChar w:fldCharType="end"/>
        </w:r>
      </w:sdtContent>
    </w:sdt>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5EBE04" w14:textId="583D9026" w:rsidR="00B71607" w:rsidRPr="00B71607" w:rsidRDefault="00464453" w:rsidP="00B71607">
    <w:pPr>
      <w:pStyle w:val="Footer"/>
      <w:jc w:val="center"/>
      <w:rPr>
        <w:rFonts w:ascii="Cambria" w:hAnsi="Cambria" w:cs="Calibri"/>
      </w:rPr>
    </w:pPr>
    <w:sdt>
      <w:sdtPr>
        <w:rPr>
          <w:rFonts w:ascii="Cambria" w:hAnsi="Cambria" w:cs="Calibri"/>
        </w:rPr>
        <w:id w:val="-1084690243"/>
        <w:docPartObj>
          <w:docPartGallery w:val="Page Numbers (Bottom of Page)"/>
          <w:docPartUnique/>
        </w:docPartObj>
      </w:sdtPr>
      <w:sdtEndPr>
        <w:rPr>
          <w:noProof/>
        </w:rPr>
      </w:sdtEndPr>
      <w:sdtContent>
        <w:r w:rsidR="00B71607" w:rsidRPr="00F53123">
          <w:rPr>
            <w:rFonts w:ascii="Cambria" w:hAnsi="Cambria" w:cs="Calibri"/>
          </w:rPr>
          <w:fldChar w:fldCharType="begin"/>
        </w:r>
        <w:r w:rsidR="00B71607" w:rsidRPr="00F53123">
          <w:rPr>
            <w:rFonts w:ascii="Cambria" w:hAnsi="Cambria" w:cs="Calibri"/>
          </w:rPr>
          <w:instrText xml:space="preserve"> PAGE   \* MERGEFORMAT </w:instrText>
        </w:r>
        <w:r w:rsidR="00B71607" w:rsidRPr="00F53123">
          <w:rPr>
            <w:rFonts w:ascii="Cambria" w:hAnsi="Cambria" w:cs="Calibri"/>
          </w:rPr>
          <w:fldChar w:fldCharType="separate"/>
        </w:r>
        <w:r w:rsidR="00B71607">
          <w:rPr>
            <w:rFonts w:ascii="Cambria" w:hAnsi="Cambria" w:cs="Calibri"/>
          </w:rPr>
          <w:t>4-46</w:t>
        </w:r>
        <w:r w:rsidR="00B71607" w:rsidRPr="00F53123">
          <w:rPr>
            <w:rFonts w:ascii="Cambria" w:hAnsi="Cambria" w:cs="Calibri"/>
            <w:noProof/>
          </w:rPr>
          <w:fldChar w:fldCharType="end"/>
        </w:r>
      </w:sdtContent>
    </w:sdt>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FFC831" w14:textId="67AFE3FA" w:rsidR="004605FE" w:rsidRPr="004605FE" w:rsidRDefault="004605FE" w:rsidP="004605FE">
    <w:pPr>
      <w:pStyle w:val="Footer"/>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B76BE1" w14:textId="5BB25CCB" w:rsidR="004605FE" w:rsidRPr="004605FE" w:rsidRDefault="004605FE" w:rsidP="004605FE">
    <w:pPr>
      <w:pStyle w:val="Footer"/>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C84F6F" w14:textId="028B388A" w:rsidR="004605FE" w:rsidRPr="004605FE" w:rsidRDefault="00464453" w:rsidP="004605FE">
    <w:pPr>
      <w:pStyle w:val="Footer"/>
      <w:jc w:val="center"/>
      <w:rPr>
        <w:rFonts w:ascii="Cambria" w:hAnsi="Cambria" w:cs="Calibri"/>
      </w:rPr>
    </w:pPr>
    <w:sdt>
      <w:sdtPr>
        <w:rPr>
          <w:rFonts w:ascii="Cambria" w:hAnsi="Cambria" w:cs="Calibri"/>
        </w:rPr>
        <w:id w:val="1034240555"/>
        <w:docPartObj>
          <w:docPartGallery w:val="Page Numbers (Bottom of Page)"/>
          <w:docPartUnique/>
        </w:docPartObj>
      </w:sdtPr>
      <w:sdtEndPr>
        <w:rPr>
          <w:noProof/>
        </w:rPr>
      </w:sdtEndPr>
      <w:sdtContent>
        <w:r w:rsidR="004605FE" w:rsidRPr="00F53123">
          <w:rPr>
            <w:rFonts w:ascii="Cambria" w:hAnsi="Cambria" w:cs="Calibri"/>
          </w:rPr>
          <w:fldChar w:fldCharType="begin"/>
        </w:r>
        <w:r w:rsidR="004605FE" w:rsidRPr="00F53123">
          <w:rPr>
            <w:rFonts w:ascii="Cambria" w:hAnsi="Cambria" w:cs="Calibri"/>
          </w:rPr>
          <w:instrText xml:space="preserve"> PAGE   \* MERGEFORMAT </w:instrText>
        </w:r>
        <w:r w:rsidR="004605FE" w:rsidRPr="00F53123">
          <w:rPr>
            <w:rFonts w:ascii="Cambria" w:hAnsi="Cambria" w:cs="Calibri"/>
          </w:rPr>
          <w:fldChar w:fldCharType="separate"/>
        </w:r>
        <w:r w:rsidR="004605FE">
          <w:rPr>
            <w:rFonts w:ascii="Cambria" w:hAnsi="Cambria" w:cs="Calibri"/>
          </w:rPr>
          <w:t>4-57</w:t>
        </w:r>
        <w:r w:rsidR="004605FE" w:rsidRPr="00F53123">
          <w:rPr>
            <w:rFonts w:ascii="Cambria" w:hAnsi="Cambria" w:cs="Calibri"/>
            <w:noProof/>
          </w:rP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AC1C71" w14:textId="77777777" w:rsidR="004F6DDF" w:rsidRPr="009E43D6" w:rsidRDefault="00464453" w:rsidP="003C28DA">
    <w:pPr>
      <w:pStyle w:val="Footer"/>
      <w:jc w:val="center"/>
      <w:rPr>
        <w:rFonts w:ascii="Cambria" w:hAnsi="Cambria" w:cs="Calibri"/>
      </w:rPr>
    </w:pPr>
    <w:sdt>
      <w:sdtPr>
        <w:rPr>
          <w:rFonts w:ascii="Cambria" w:hAnsi="Cambria" w:cs="Calibri"/>
        </w:rPr>
        <w:id w:val="-111367149"/>
        <w:docPartObj>
          <w:docPartGallery w:val="Page Numbers (Bottom of Page)"/>
          <w:docPartUnique/>
        </w:docPartObj>
      </w:sdtPr>
      <w:sdtEndPr>
        <w:rPr>
          <w:noProof/>
        </w:rPr>
      </w:sdtEndPr>
      <w:sdtContent>
        <w:r w:rsidR="004F6DDF" w:rsidRPr="009E43D6">
          <w:rPr>
            <w:rFonts w:ascii="Cambria" w:hAnsi="Cambria" w:cs="Calibri"/>
          </w:rPr>
          <w:fldChar w:fldCharType="begin"/>
        </w:r>
        <w:r w:rsidR="004F6DDF" w:rsidRPr="009E43D6">
          <w:rPr>
            <w:rFonts w:ascii="Cambria" w:hAnsi="Cambria" w:cs="Calibri"/>
          </w:rPr>
          <w:instrText xml:space="preserve"> PAGE   \* MERGEFORMAT </w:instrText>
        </w:r>
        <w:r w:rsidR="004F6DDF" w:rsidRPr="009E43D6">
          <w:rPr>
            <w:rFonts w:ascii="Cambria" w:hAnsi="Cambria" w:cs="Calibri"/>
          </w:rPr>
          <w:fldChar w:fldCharType="separate"/>
        </w:r>
        <w:r w:rsidR="004F6DDF" w:rsidRPr="009E43D6">
          <w:rPr>
            <w:rFonts w:ascii="Cambria" w:hAnsi="Cambria" w:cs="Calibri"/>
          </w:rPr>
          <w:t>1</w:t>
        </w:r>
        <w:r w:rsidR="004F6DDF" w:rsidRPr="009E43D6">
          <w:rPr>
            <w:rFonts w:ascii="Cambria" w:hAnsi="Cambria" w:cs="Calibri"/>
            <w:noProof/>
          </w:rPr>
          <w:fldChar w:fldCharType="end"/>
        </w:r>
      </w:sdtContent>
    </w:sdt>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AD4298" w14:textId="39F42C3D" w:rsidR="004605FE" w:rsidRPr="004605FE" w:rsidRDefault="00464453" w:rsidP="004605FE">
    <w:pPr>
      <w:pStyle w:val="Footer"/>
      <w:jc w:val="center"/>
      <w:rPr>
        <w:rFonts w:ascii="Cambria" w:hAnsi="Cambria" w:cs="Calibri"/>
      </w:rPr>
    </w:pPr>
    <w:sdt>
      <w:sdtPr>
        <w:rPr>
          <w:rFonts w:ascii="Cambria" w:hAnsi="Cambria" w:cs="Calibri"/>
        </w:rPr>
        <w:id w:val="-1044365214"/>
        <w:docPartObj>
          <w:docPartGallery w:val="Page Numbers (Bottom of Page)"/>
          <w:docPartUnique/>
        </w:docPartObj>
      </w:sdtPr>
      <w:sdtEndPr>
        <w:rPr>
          <w:noProof/>
        </w:rPr>
      </w:sdtEndPr>
      <w:sdtContent>
        <w:r w:rsidR="004605FE" w:rsidRPr="00F53123">
          <w:rPr>
            <w:rFonts w:ascii="Cambria" w:hAnsi="Cambria" w:cs="Calibri"/>
          </w:rPr>
          <w:fldChar w:fldCharType="begin"/>
        </w:r>
        <w:r w:rsidR="004605FE" w:rsidRPr="00F53123">
          <w:rPr>
            <w:rFonts w:ascii="Cambria" w:hAnsi="Cambria" w:cs="Calibri"/>
          </w:rPr>
          <w:instrText xml:space="preserve"> PAGE   \* MERGEFORMAT </w:instrText>
        </w:r>
        <w:r w:rsidR="004605FE" w:rsidRPr="00F53123">
          <w:rPr>
            <w:rFonts w:ascii="Cambria" w:hAnsi="Cambria" w:cs="Calibri"/>
          </w:rPr>
          <w:fldChar w:fldCharType="separate"/>
        </w:r>
        <w:r w:rsidR="004605FE">
          <w:rPr>
            <w:rFonts w:ascii="Cambria" w:hAnsi="Cambria" w:cs="Calibri"/>
          </w:rPr>
          <w:t>4-57</w:t>
        </w:r>
        <w:r w:rsidR="004605FE" w:rsidRPr="00F53123">
          <w:rPr>
            <w:rFonts w:ascii="Cambria" w:hAnsi="Cambria" w:cs="Calibri"/>
            <w:noProof/>
          </w:rPr>
          <w:fldChar w:fldCharType="end"/>
        </w:r>
      </w:sdtContent>
    </w:sdt>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89A73C" w14:textId="68AA44F2" w:rsidR="00C432AD" w:rsidRPr="00C432AD" w:rsidRDefault="00C432AD" w:rsidP="00C432AD">
    <w:pPr>
      <w:pStyle w:val="Footer"/>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6BB717" w14:textId="019610A4" w:rsidR="00CE11FD" w:rsidRPr="00CE11FD" w:rsidRDefault="00CE11FD" w:rsidP="00CE11FD">
    <w:pPr>
      <w:pStyle w:val="Footer"/>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DDCA5D" w14:textId="64A9532F" w:rsidR="00C432AD" w:rsidRPr="00C432AD" w:rsidRDefault="00C432AD" w:rsidP="00C432AD">
    <w:pPr>
      <w:pStyle w:val="Footer"/>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0468FD" w14:textId="77777777" w:rsidR="00C432AD" w:rsidRPr="004605FE" w:rsidRDefault="00464453" w:rsidP="004605FE">
    <w:pPr>
      <w:pStyle w:val="Footer"/>
      <w:jc w:val="center"/>
      <w:rPr>
        <w:rFonts w:ascii="Cambria" w:hAnsi="Cambria" w:cs="Calibri"/>
      </w:rPr>
    </w:pPr>
    <w:sdt>
      <w:sdtPr>
        <w:rPr>
          <w:rFonts w:ascii="Cambria" w:hAnsi="Cambria" w:cs="Calibri"/>
        </w:rPr>
        <w:id w:val="368417696"/>
        <w:docPartObj>
          <w:docPartGallery w:val="Page Numbers (Bottom of Page)"/>
          <w:docPartUnique/>
        </w:docPartObj>
      </w:sdtPr>
      <w:sdtEndPr>
        <w:rPr>
          <w:noProof/>
        </w:rPr>
      </w:sdtEndPr>
      <w:sdtContent>
        <w:r w:rsidR="00C432AD" w:rsidRPr="00F53123">
          <w:rPr>
            <w:rFonts w:ascii="Cambria" w:hAnsi="Cambria" w:cs="Calibri"/>
          </w:rPr>
          <w:fldChar w:fldCharType="begin"/>
        </w:r>
        <w:r w:rsidR="00C432AD" w:rsidRPr="00F53123">
          <w:rPr>
            <w:rFonts w:ascii="Cambria" w:hAnsi="Cambria" w:cs="Calibri"/>
          </w:rPr>
          <w:instrText xml:space="preserve"> PAGE   \* MERGEFORMAT </w:instrText>
        </w:r>
        <w:r w:rsidR="00C432AD" w:rsidRPr="00F53123">
          <w:rPr>
            <w:rFonts w:ascii="Cambria" w:hAnsi="Cambria" w:cs="Calibri"/>
          </w:rPr>
          <w:fldChar w:fldCharType="separate"/>
        </w:r>
        <w:r w:rsidR="00C432AD">
          <w:rPr>
            <w:rFonts w:ascii="Cambria" w:hAnsi="Cambria" w:cs="Calibri"/>
          </w:rPr>
          <w:t>4-57</w:t>
        </w:r>
        <w:r w:rsidR="00C432AD" w:rsidRPr="00F53123">
          <w:rPr>
            <w:rFonts w:ascii="Cambria" w:hAnsi="Cambria" w:cs="Calibri"/>
            <w:noProof/>
          </w:rPr>
          <w:fldChar w:fldCharType="end"/>
        </w:r>
      </w:sdtContent>
    </w:sdt>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EBE90D" w14:textId="77777777" w:rsidR="00C432AD" w:rsidRPr="004605FE" w:rsidRDefault="00464453" w:rsidP="004605FE">
    <w:pPr>
      <w:pStyle w:val="Footer"/>
      <w:jc w:val="center"/>
      <w:rPr>
        <w:rFonts w:ascii="Cambria" w:hAnsi="Cambria" w:cs="Calibri"/>
      </w:rPr>
    </w:pPr>
    <w:sdt>
      <w:sdtPr>
        <w:rPr>
          <w:rFonts w:ascii="Cambria" w:hAnsi="Cambria" w:cs="Calibri"/>
        </w:rPr>
        <w:id w:val="1044647655"/>
        <w:docPartObj>
          <w:docPartGallery w:val="Page Numbers (Bottom of Page)"/>
          <w:docPartUnique/>
        </w:docPartObj>
      </w:sdtPr>
      <w:sdtEndPr>
        <w:rPr>
          <w:noProof/>
        </w:rPr>
      </w:sdtEndPr>
      <w:sdtContent>
        <w:r w:rsidR="00C432AD" w:rsidRPr="00F53123">
          <w:rPr>
            <w:rFonts w:ascii="Cambria" w:hAnsi="Cambria" w:cs="Calibri"/>
          </w:rPr>
          <w:fldChar w:fldCharType="begin"/>
        </w:r>
        <w:r w:rsidR="00C432AD" w:rsidRPr="00F53123">
          <w:rPr>
            <w:rFonts w:ascii="Cambria" w:hAnsi="Cambria" w:cs="Calibri"/>
          </w:rPr>
          <w:instrText xml:space="preserve"> PAGE   \* MERGEFORMAT </w:instrText>
        </w:r>
        <w:r w:rsidR="00C432AD" w:rsidRPr="00F53123">
          <w:rPr>
            <w:rFonts w:ascii="Cambria" w:hAnsi="Cambria" w:cs="Calibri"/>
          </w:rPr>
          <w:fldChar w:fldCharType="separate"/>
        </w:r>
        <w:r w:rsidR="00C432AD">
          <w:rPr>
            <w:rFonts w:ascii="Cambria" w:hAnsi="Cambria" w:cs="Calibri"/>
          </w:rPr>
          <w:t>4-57</w:t>
        </w:r>
        <w:r w:rsidR="00C432AD" w:rsidRPr="00F53123">
          <w:rPr>
            <w:rFonts w:ascii="Cambria" w:hAnsi="Cambria" w:cs="Calibri"/>
            <w:noProof/>
          </w:rPr>
          <w:fldChar w:fldCharType="end"/>
        </w:r>
      </w:sdtContent>
    </w:sdt>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A54929" w14:textId="5BF48754" w:rsidR="004605FE" w:rsidRPr="004605FE" w:rsidRDefault="004605FE" w:rsidP="004605FE">
    <w:pPr>
      <w:pStyle w:val="Footer"/>
    </w:pP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32FD48" w14:textId="4E2BA4AC" w:rsidR="004605FE" w:rsidRPr="004605FE" w:rsidRDefault="004605FE" w:rsidP="004605FE">
    <w:pPr>
      <w:pStyle w:val="Footer"/>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574A5D" w14:textId="77777777" w:rsidR="004B24CB" w:rsidRPr="004605FE" w:rsidRDefault="004B24CB" w:rsidP="004605FE">
    <w:pPr>
      <w:pStyle w:val="Footer"/>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2D9359" w14:textId="055E5C63" w:rsidR="004605FE" w:rsidRPr="004605FE" w:rsidRDefault="00464453" w:rsidP="004605FE">
    <w:pPr>
      <w:pStyle w:val="Footer"/>
      <w:jc w:val="center"/>
      <w:rPr>
        <w:rFonts w:ascii="Cambria" w:hAnsi="Cambria" w:cs="Calibri"/>
      </w:rPr>
    </w:pPr>
    <w:sdt>
      <w:sdtPr>
        <w:rPr>
          <w:rFonts w:ascii="Cambria" w:hAnsi="Cambria" w:cs="Calibri"/>
        </w:rPr>
        <w:id w:val="821321769"/>
        <w:docPartObj>
          <w:docPartGallery w:val="Page Numbers (Bottom of Page)"/>
          <w:docPartUnique/>
        </w:docPartObj>
      </w:sdtPr>
      <w:sdtEndPr>
        <w:rPr>
          <w:noProof/>
        </w:rPr>
      </w:sdtEndPr>
      <w:sdtContent>
        <w:r w:rsidR="004605FE" w:rsidRPr="00F53123">
          <w:rPr>
            <w:rFonts w:ascii="Cambria" w:hAnsi="Cambria" w:cs="Calibri"/>
          </w:rPr>
          <w:fldChar w:fldCharType="begin"/>
        </w:r>
        <w:r w:rsidR="004605FE" w:rsidRPr="00F53123">
          <w:rPr>
            <w:rFonts w:ascii="Cambria" w:hAnsi="Cambria" w:cs="Calibri"/>
          </w:rPr>
          <w:instrText xml:space="preserve"> PAGE   \* MERGEFORMAT </w:instrText>
        </w:r>
        <w:r w:rsidR="004605FE" w:rsidRPr="00F53123">
          <w:rPr>
            <w:rFonts w:ascii="Cambria" w:hAnsi="Cambria" w:cs="Calibri"/>
          </w:rPr>
          <w:fldChar w:fldCharType="separate"/>
        </w:r>
        <w:r w:rsidR="004605FE">
          <w:rPr>
            <w:rFonts w:ascii="Cambria" w:hAnsi="Cambria" w:cs="Calibri"/>
          </w:rPr>
          <w:t>4-70</w:t>
        </w:r>
        <w:r w:rsidR="004605FE" w:rsidRPr="00F53123">
          <w:rPr>
            <w:rFonts w:ascii="Cambria" w:hAnsi="Cambria" w:cs="Calibri"/>
            <w:noProof/>
          </w:rPr>
          <w:fldChar w:fldCharType="end"/>
        </w:r>
      </w:sdtContent>
    </w:sdt>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CE33F5" w14:textId="77777777" w:rsidR="00272CF4" w:rsidRPr="009E43D6" w:rsidRDefault="00464453" w:rsidP="004D4172">
    <w:pPr>
      <w:pStyle w:val="Footer"/>
      <w:jc w:val="center"/>
      <w:rPr>
        <w:rFonts w:ascii="Cambria" w:hAnsi="Cambria" w:cs="Calibri"/>
      </w:rPr>
    </w:pPr>
    <w:sdt>
      <w:sdtPr>
        <w:rPr>
          <w:rFonts w:ascii="Cambria" w:hAnsi="Cambria" w:cs="Calibri"/>
        </w:rPr>
        <w:id w:val="-1908982523"/>
        <w:docPartObj>
          <w:docPartGallery w:val="Page Numbers (Bottom of Page)"/>
          <w:docPartUnique/>
        </w:docPartObj>
      </w:sdtPr>
      <w:sdtEndPr>
        <w:rPr>
          <w:noProof/>
        </w:rPr>
      </w:sdtEndPr>
      <w:sdtContent>
        <w:r w:rsidR="00272CF4" w:rsidRPr="009E43D6">
          <w:rPr>
            <w:rFonts w:ascii="Cambria" w:hAnsi="Cambria" w:cs="Calibri"/>
          </w:rPr>
          <w:fldChar w:fldCharType="begin"/>
        </w:r>
        <w:r w:rsidR="00272CF4" w:rsidRPr="009E43D6">
          <w:rPr>
            <w:rFonts w:ascii="Cambria" w:hAnsi="Cambria" w:cs="Calibri"/>
          </w:rPr>
          <w:instrText xml:space="preserve"> PAGE   \* MERGEFORMAT </w:instrText>
        </w:r>
        <w:r w:rsidR="00272CF4" w:rsidRPr="009E43D6">
          <w:rPr>
            <w:rFonts w:ascii="Cambria" w:hAnsi="Cambria" w:cs="Calibri"/>
          </w:rPr>
          <w:fldChar w:fldCharType="separate"/>
        </w:r>
        <w:r w:rsidR="00272CF4" w:rsidRPr="009E43D6">
          <w:rPr>
            <w:rFonts w:ascii="Cambria" w:hAnsi="Cambria" w:cs="Calibri"/>
          </w:rPr>
          <w:t>1-1</w:t>
        </w:r>
        <w:r w:rsidR="00272CF4" w:rsidRPr="009E43D6">
          <w:rPr>
            <w:rFonts w:ascii="Cambria" w:hAnsi="Cambria" w:cs="Calibri"/>
            <w:noProof/>
          </w:rPr>
          <w:fldChar w:fldCharType="end"/>
        </w:r>
      </w:sdtContent>
    </w:sdt>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35AC13" w14:textId="14F3F4E9" w:rsidR="004605FE" w:rsidRPr="004605FE" w:rsidRDefault="00464453" w:rsidP="004605FE">
    <w:pPr>
      <w:pStyle w:val="Footer"/>
      <w:jc w:val="center"/>
      <w:rPr>
        <w:rFonts w:ascii="Cambria" w:hAnsi="Cambria" w:cs="Calibri"/>
      </w:rPr>
    </w:pPr>
    <w:sdt>
      <w:sdtPr>
        <w:rPr>
          <w:rFonts w:ascii="Cambria" w:hAnsi="Cambria" w:cs="Calibri"/>
        </w:rPr>
        <w:id w:val="-1204946516"/>
        <w:docPartObj>
          <w:docPartGallery w:val="Page Numbers (Bottom of Page)"/>
          <w:docPartUnique/>
        </w:docPartObj>
      </w:sdtPr>
      <w:sdtEndPr>
        <w:rPr>
          <w:noProof/>
        </w:rPr>
      </w:sdtEndPr>
      <w:sdtContent>
        <w:r w:rsidR="004605FE" w:rsidRPr="00F53123">
          <w:rPr>
            <w:rFonts w:ascii="Cambria" w:hAnsi="Cambria" w:cs="Calibri"/>
          </w:rPr>
          <w:fldChar w:fldCharType="begin"/>
        </w:r>
        <w:r w:rsidR="004605FE" w:rsidRPr="00F53123">
          <w:rPr>
            <w:rFonts w:ascii="Cambria" w:hAnsi="Cambria" w:cs="Calibri"/>
          </w:rPr>
          <w:instrText xml:space="preserve"> PAGE   \* MERGEFORMAT </w:instrText>
        </w:r>
        <w:r w:rsidR="004605FE" w:rsidRPr="00F53123">
          <w:rPr>
            <w:rFonts w:ascii="Cambria" w:hAnsi="Cambria" w:cs="Calibri"/>
          </w:rPr>
          <w:fldChar w:fldCharType="separate"/>
        </w:r>
        <w:r w:rsidR="004605FE">
          <w:rPr>
            <w:rFonts w:ascii="Cambria" w:hAnsi="Cambria" w:cs="Calibri"/>
          </w:rPr>
          <w:t>4-70</w:t>
        </w:r>
        <w:r w:rsidR="004605FE" w:rsidRPr="00F53123">
          <w:rPr>
            <w:rFonts w:ascii="Cambria" w:hAnsi="Cambria" w:cs="Calibri"/>
            <w:noProof/>
          </w:rPr>
          <w:fldChar w:fldCharType="end"/>
        </w:r>
      </w:sdtContent>
    </w:sdt>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51BDA1" w14:textId="0389B813" w:rsidR="00CE11FD" w:rsidRPr="00CE11FD" w:rsidRDefault="00CE11FD" w:rsidP="00CE11FD">
    <w:pPr>
      <w:pStyle w:val="Foote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B9E9DA" w14:textId="473212FA" w:rsidR="007321A3" w:rsidRPr="007321A3" w:rsidRDefault="007321A3" w:rsidP="007321A3">
    <w:pPr>
      <w:pStyle w:val="Footer"/>
    </w:pP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9B76B" w14:textId="77777777" w:rsidR="00F124B1" w:rsidRPr="004605FE" w:rsidRDefault="00464453" w:rsidP="004605FE">
    <w:pPr>
      <w:pStyle w:val="Footer"/>
      <w:jc w:val="center"/>
      <w:rPr>
        <w:rFonts w:ascii="Cambria" w:hAnsi="Cambria" w:cs="Calibri"/>
      </w:rPr>
    </w:pPr>
    <w:sdt>
      <w:sdtPr>
        <w:rPr>
          <w:rFonts w:ascii="Cambria" w:hAnsi="Cambria" w:cs="Calibri"/>
        </w:rPr>
        <w:id w:val="-22641452"/>
        <w:docPartObj>
          <w:docPartGallery w:val="Page Numbers (Bottom of Page)"/>
          <w:docPartUnique/>
        </w:docPartObj>
      </w:sdtPr>
      <w:sdtEndPr>
        <w:rPr>
          <w:noProof/>
        </w:rPr>
      </w:sdtEndPr>
      <w:sdtContent>
        <w:r w:rsidR="00F124B1" w:rsidRPr="00F53123">
          <w:rPr>
            <w:rFonts w:ascii="Cambria" w:hAnsi="Cambria" w:cs="Calibri"/>
          </w:rPr>
          <w:fldChar w:fldCharType="begin"/>
        </w:r>
        <w:r w:rsidR="00F124B1" w:rsidRPr="00F53123">
          <w:rPr>
            <w:rFonts w:ascii="Cambria" w:hAnsi="Cambria" w:cs="Calibri"/>
          </w:rPr>
          <w:instrText xml:space="preserve"> PAGE   \* MERGEFORMAT </w:instrText>
        </w:r>
        <w:r w:rsidR="00F124B1" w:rsidRPr="00F53123">
          <w:rPr>
            <w:rFonts w:ascii="Cambria" w:hAnsi="Cambria" w:cs="Calibri"/>
          </w:rPr>
          <w:fldChar w:fldCharType="separate"/>
        </w:r>
        <w:r w:rsidR="00F124B1">
          <w:rPr>
            <w:rFonts w:ascii="Cambria" w:hAnsi="Cambria" w:cs="Calibri"/>
          </w:rPr>
          <w:t>4-70</w:t>
        </w:r>
        <w:r w:rsidR="00F124B1" w:rsidRPr="00F53123">
          <w:rPr>
            <w:rFonts w:ascii="Cambria" w:hAnsi="Cambria" w:cs="Calibri"/>
            <w:noProof/>
          </w:rPr>
          <w:fldChar w:fldCharType="end"/>
        </w:r>
      </w:sdtContent>
    </w:sdt>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E58AE9" w14:textId="68220EBC" w:rsidR="00CE11FD" w:rsidRPr="00CE11FD" w:rsidRDefault="00464453" w:rsidP="00CE11FD">
    <w:pPr>
      <w:pStyle w:val="Footer"/>
      <w:jc w:val="center"/>
      <w:rPr>
        <w:rFonts w:ascii="Cambria" w:hAnsi="Cambria" w:cs="Calibri"/>
      </w:rPr>
    </w:pPr>
    <w:sdt>
      <w:sdtPr>
        <w:rPr>
          <w:rFonts w:ascii="Cambria" w:hAnsi="Cambria" w:cs="Calibri"/>
        </w:rPr>
        <w:id w:val="-449933805"/>
        <w:docPartObj>
          <w:docPartGallery w:val="Page Numbers (Bottom of Page)"/>
          <w:docPartUnique/>
        </w:docPartObj>
      </w:sdtPr>
      <w:sdtEndPr>
        <w:rPr>
          <w:noProof/>
        </w:rPr>
      </w:sdtEndPr>
      <w:sdtContent>
        <w:r w:rsidR="00CE11FD" w:rsidRPr="00F53123">
          <w:rPr>
            <w:rFonts w:ascii="Cambria" w:hAnsi="Cambria" w:cs="Calibri"/>
          </w:rPr>
          <w:fldChar w:fldCharType="begin"/>
        </w:r>
        <w:r w:rsidR="00CE11FD" w:rsidRPr="00F53123">
          <w:rPr>
            <w:rFonts w:ascii="Cambria" w:hAnsi="Cambria" w:cs="Calibri"/>
          </w:rPr>
          <w:instrText xml:space="preserve"> PAGE   \* MERGEFORMAT </w:instrText>
        </w:r>
        <w:r w:rsidR="00CE11FD" w:rsidRPr="00F53123">
          <w:rPr>
            <w:rFonts w:ascii="Cambria" w:hAnsi="Cambria" w:cs="Calibri"/>
          </w:rPr>
          <w:fldChar w:fldCharType="separate"/>
        </w:r>
        <w:r w:rsidR="00CE11FD">
          <w:rPr>
            <w:rFonts w:ascii="Cambria" w:hAnsi="Cambria" w:cs="Calibri"/>
          </w:rPr>
          <w:t>4-82</w:t>
        </w:r>
        <w:r w:rsidR="00CE11FD" w:rsidRPr="00F53123">
          <w:rPr>
            <w:rFonts w:ascii="Cambria" w:hAnsi="Cambria" w:cs="Calibri"/>
            <w:noProof/>
          </w:rPr>
          <w:fldChar w:fldCharType="end"/>
        </w:r>
      </w:sdtContent>
    </w:sdt>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DC4484" w14:textId="5554A118" w:rsidR="00CE11FD" w:rsidRPr="00CE11FD" w:rsidRDefault="00CE11FD" w:rsidP="00CE11FD">
    <w:pPr>
      <w:pStyle w:val="Footer"/>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EE0F41" w14:textId="77777777" w:rsidR="00F124B1" w:rsidRPr="007321A3" w:rsidRDefault="00F124B1" w:rsidP="007321A3">
    <w:pPr>
      <w:pStyle w:val="Footer"/>
    </w:pP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37962F" w14:textId="77777777" w:rsidR="00F124B1" w:rsidRPr="004605FE" w:rsidRDefault="00464453" w:rsidP="004605FE">
    <w:pPr>
      <w:pStyle w:val="Footer"/>
      <w:jc w:val="center"/>
      <w:rPr>
        <w:rFonts w:ascii="Cambria" w:hAnsi="Cambria" w:cs="Calibri"/>
      </w:rPr>
    </w:pPr>
    <w:sdt>
      <w:sdtPr>
        <w:rPr>
          <w:rFonts w:ascii="Cambria" w:hAnsi="Cambria" w:cs="Calibri"/>
        </w:rPr>
        <w:id w:val="1870639431"/>
        <w:docPartObj>
          <w:docPartGallery w:val="Page Numbers (Bottom of Page)"/>
          <w:docPartUnique/>
        </w:docPartObj>
      </w:sdtPr>
      <w:sdtEndPr>
        <w:rPr>
          <w:noProof/>
        </w:rPr>
      </w:sdtEndPr>
      <w:sdtContent>
        <w:r w:rsidR="00F124B1" w:rsidRPr="00F53123">
          <w:rPr>
            <w:rFonts w:ascii="Cambria" w:hAnsi="Cambria" w:cs="Calibri"/>
          </w:rPr>
          <w:fldChar w:fldCharType="begin"/>
        </w:r>
        <w:r w:rsidR="00F124B1" w:rsidRPr="00F53123">
          <w:rPr>
            <w:rFonts w:ascii="Cambria" w:hAnsi="Cambria" w:cs="Calibri"/>
          </w:rPr>
          <w:instrText xml:space="preserve"> PAGE   \* MERGEFORMAT </w:instrText>
        </w:r>
        <w:r w:rsidR="00F124B1" w:rsidRPr="00F53123">
          <w:rPr>
            <w:rFonts w:ascii="Cambria" w:hAnsi="Cambria" w:cs="Calibri"/>
          </w:rPr>
          <w:fldChar w:fldCharType="separate"/>
        </w:r>
        <w:r w:rsidR="00F124B1">
          <w:rPr>
            <w:rFonts w:ascii="Cambria" w:hAnsi="Cambria" w:cs="Calibri"/>
          </w:rPr>
          <w:t>4-70</w:t>
        </w:r>
        <w:r w:rsidR="00F124B1" w:rsidRPr="00F53123">
          <w:rPr>
            <w:rFonts w:ascii="Cambria" w:hAnsi="Cambria" w:cs="Calibri"/>
            <w:noProof/>
          </w:rPr>
          <w:fldChar w:fldCharType="end"/>
        </w:r>
      </w:sdtContent>
    </w:sdt>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DF44DE" w14:textId="06AFA447" w:rsidR="007321A3" w:rsidRPr="007321A3" w:rsidRDefault="00464453" w:rsidP="007321A3">
    <w:pPr>
      <w:pStyle w:val="Footer"/>
      <w:jc w:val="center"/>
      <w:rPr>
        <w:rFonts w:ascii="Cambria" w:hAnsi="Cambria" w:cs="Calibri"/>
      </w:rPr>
    </w:pPr>
    <w:sdt>
      <w:sdtPr>
        <w:rPr>
          <w:rFonts w:ascii="Cambria" w:hAnsi="Cambria" w:cs="Calibri"/>
        </w:rPr>
        <w:id w:val="419839126"/>
        <w:docPartObj>
          <w:docPartGallery w:val="Page Numbers (Bottom of Page)"/>
          <w:docPartUnique/>
        </w:docPartObj>
      </w:sdtPr>
      <w:sdtEndPr>
        <w:rPr>
          <w:noProof/>
        </w:rPr>
      </w:sdtEndPr>
      <w:sdtContent>
        <w:r w:rsidR="007321A3" w:rsidRPr="00F53123">
          <w:rPr>
            <w:rFonts w:ascii="Cambria" w:hAnsi="Cambria" w:cs="Calibri"/>
          </w:rPr>
          <w:fldChar w:fldCharType="begin"/>
        </w:r>
        <w:r w:rsidR="007321A3" w:rsidRPr="00F53123">
          <w:rPr>
            <w:rFonts w:ascii="Cambria" w:hAnsi="Cambria" w:cs="Calibri"/>
          </w:rPr>
          <w:instrText xml:space="preserve"> PAGE   \* MERGEFORMAT </w:instrText>
        </w:r>
        <w:r w:rsidR="007321A3" w:rsidRPr="00F53123">
          <w:rPr>
            <w:rFonts w:ascii="Cambria" w:hAnsi="Cambria" w:cs="Calibri"/>
          </w:rPr>
          <w:fldChar w:fldCharType="separate"/>
        </w:r>
        <w:r w:rsidR="007321A3">
          <w:rPr>
            <w:rFonts w:ascii="Cambria" w:hAnsi="Cambria" w:cs="Calibri"/>
          </w:rPr>
          <w:t>4-81</w:t>
        </w:r>
        <w:r w:rsidR="007321A3" w:rsidRPr="00F53123">
          <w:rPr>
            <w:rFonts w:ascii="Cambria" w:hAnsi="Cambria" w:cs="Calibri"/>
            <w:noProof/>
          </w:rPr>
          <w:fldChar w:fldCharType="end"/>
        </w:r>
      </w:sdtContent>
    </w:sdt>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986878" w14:textId="5B2051FE" w:rsidR="00835BDC" w:rsidRPr="00835BDC" w:rsidRDefault="00835BDC" w:rsidP="00835BDC">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F41276" w14:textId="1C0963D4" w:rsidR="004F6DDF" w:rsidRPr="009E43D6" w:rsidRDefault="00464453" w:rsidP="004F6DDF">
    <w:pPr>
      <w:pStyle w:val="Footer"/>
      <w:jc w:val="center"/>
      <w:rPr>
        <w:rFonts w:ascii="Cambria" w:hAnsi="Cambria" w:cs="Calibri"/>
      </w:rPr>
    </w:pPr>
    <w:sdt>
      <w:sdtPr>
        <w:rPr>
          <w:rFonts w:ascii="Cambria" w:hAnsi="Cambria" w:cs="Calibri"/>
        </w:rPr>
        <w:id w:val="1491678933"/>
        <w:docPartObj>
          <w:docPartGallery w:val="Page Numbers (Bottom of Page)"/>
          <w:docPartUnique/>
        </w:docPartObj>
      </w:sdtPr>
      <w:sdtEndPr>
        <w:rPr>
          <w:noProof/>
        </w:rPr>
      </w:sdtEndPr>
      <w:sdtContent>
        <w:r w:rsidR="004F6DDF" w:rsidRPr="009E43D6">
          <w:rPr>
            <w:rFonts w:ascii="Cambria" w:hAnsi="Cambria" w:cs="Calibri"/>
          </w:rPr>
          <w:fldChar w:fldCharType="begin"/>
        </w:r>
        <w:r w:rsidR="004F6DDF" w:rsidRPr="009E43D6">
          <w:rPr>
            <w:rFonts w:ascii="Cambria" w:hAnsi="Cambria" w:cs="Calibri"/>
          </w:rPr>
          <w:instrText xml:space="preserve"> PAGE   \* MERGEFORMAT </w:instrText>
        </w:r>
        <w:r w:rsidR="004F6DDF" w:rsidRPr="009E43D6">
          <w:rPr>
            <w:rFonts w:ascii="Cambria" w:hAnsi="Cambria" w:cs="Calibri"/>
          </w:rPr>
          <w:fldChar w:fldCharType="separate"/>
        </w:r>
        <w:r w:rsidR="004F6DDF" w:rsidRPr="009E43D6">
          <w:rPr>
            <w:rFonts w:ascii="Cambria" w:hAnsi="Cambria" w:cs="Calibri"/>
          </w:rPr>
          <w:t>ii</w:t>
        </w:r>
        <w:r w:rsidR="004F6DDF" w:rsidRPr="009E43D6">
          <w:rPr>
            <w:rFonts w:ascii="Cambria" w:hAnsi="Cambria" w:cs="Calibri"/>
            <w:noProof/>
          </w:rPr>
          <w:fldChar w:fldCharType="end"/>
        </w:r>
      </w:sdtContent>
    </w:sdt>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4B147E" w14:textId="6A84951B" w:rsidR="00097797" w:rsidRPr="00233117" w:rsidRDefault="00097797" w:rsidP="00233117">
    <w:pPr>
      <w:pStyle w:val="Footer"/>
    </w:pP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7FE9B" w14:textId="516FF8FC" w:rsidR="00097797" w:rsidRPr="00097797" w:rsidRDefault="00464453" w:rsidP="00097797">
    <w:pPr>
      <w:pStyle w:val="Footer"/>
      <w:jc w:val="center"/>
      <w:rPr>
        <w:rFonts w:ascii="Cambria" w:hAnsi="Cambria" w:cs="Calibri"/>
      </w:rPr>
    </w:pPr>
    <w:sdt>
      <w:sdtPr>
        <w:rPr>
          <w:rFonts w:ascii="Cambria" w:hAnsi="Cambria" w:cs="Calibri"/>
        </w:rPr>
        <w:id w:val="42882997"/>
        <w:docPartObj>
          <w:docPartGallery w:val="Page Numbers (Bottom of Page)"/>
          <w:docPartUnique/>
        </w:docPartObj>
      </w:sdtPr>
      <w:sdtEndPr>
        <w:rPr>
          <w:noProof/>
        </w:rPr>
      </w:sdtEndPr>
      <w:sdtContent>
        <w:r w:rsidR="00097797" w:rsidRPr="00F53123">
          <w:rPr>
            <w:rFonts w:ascii="Cambria" w:hAnsi="Cambria" w:cs="Calibri"/>
          </w:rPr>
          <w:fldChar w:fldCharType="begin"/>
        </w:r>
        <w:r w:rsidR="00097797" w:rsidRPr="00F53123">
          <w:rPr>
            <w:rFonts w:ascii="Cambria" w:hAnsi="Cambria" w:cs="Calibri"/>
          </w:rPr>
          <w:instrText xml:space="preserve"> PAGE   \* MERGEFORMAT </w:instrText>
        </w:r>
        <w:r w:rsidR="00097797" w:rsidRPr="00F53123">
          <w:rPr>
            <w:rFonts w:ascii="Cambria" w:hAnsi="Cambria" w:cs="Calibri"/>
          </w:rPr>
          <w:fldChar w:fldCharType="separate"/>
        </w:r>
        <w:r w:rsidR="00097797">
          <w:rPr>
            <w:rFonts w:ascii="Cambria" w:hAnsi="Cambria" w:cs="Calibri"/>
          </w:rPr>
          <w:t>4-93</w:t>
        </w:r>
        <w:r w:rsidR="00097797" w:rsidRPr="00F53123">
          <w:rPr>
            <w:rFonts w:ascii="Cambria" w:hAnsi="Cambria" w:cs="Calibri"/>
            <w:noProof/>
          </w:rPr>
          <w:fldChar w:fldCharType="end"/>
        </w:r>
      </w:sdtContent>
    </w:sdt>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DFBC5D" w14:textId="19BBB954" w:rsidR="00E30324" w:rsidRPr="00835BDC" w:rsidRDefault="00464453" w:rsidP="00835BDC">
    <w:pPr>
      <w:pStyle w:val="Footer"/>
      <w:jc w:val="center"/>
      <w:rPr>
        <w:rFonts w:ascii="Cambria" w:hAnsi="Cambria" w:cs="Calibri"/>
      </w:rPr>
    </w:pPr>
    <w:sdt>
      <w:sdtPr>
        <w:rPr>
          <w:rFonts w:ascii="Cambria" w:hAnsi="Cambria" w:cs="Calibri"/>
        </w:rPr>
        <w:id w:val="1558667584"/>
        <w:docPartObj>
          <w:docPartGallery w:val="Page Numbers (Bottom of Page)"/>
          <w:docPartUnique/>
        </w:docPartObj>
      </w:sdtPr>
      <w:sdtEndPr>
        <w:rPr>
          <w:noProof/>
        </w:rPr>
      </w:sdtEndPr>
      <w:sdtContent>
        <w:r w:rsidR="00835BDC" w:rsidRPr="00F53123">
          <w:rPr>
            <w:rFonts w:ascii="Cambria" w:hAnsi="Cambria" w:cs="Calibri"/>
          </w:rPr>
          <w:fldChar w:fldCharType="begin"/>
        </w:r>
        <w:r w:rsidR="00835BDC" w:rsidRPr="00F53123">
          <w:rPr>
            <w:rFonts w:ascii="Cambria" w:hAnsi="Cambria" w:cs="Calibri"/>
          </w:rPr>
          <w:instrText xml:space="preserve"> PAGE   \* MERGEFORMAT </w:instrText>
        </w:r>
        <w:r w:rsidR="00835BDC" w:rsidRPr="00F53123">
          <w:rPr>
            <w:rFonts w:ascii="Cambria" w:hAnsi="Cambria" w:cs="Calibri"/>
          </w:rPr>
          <w:fldChar w:fldCharType="separate"/>
        </w:r>
        <w:r w:rsidR="00835BDC">
          <w:rPr>
            <w:rFonts w:ascii="Cambria" w:hAnsi="Cambria"/>
          </w:rPr>
          <w:t>4-92</w:t>
        </w:r>
        <w:r w:rsidR="00835BDC" w:rsidRPr="00F53123">
          <w:rPr>
            <w:rFonts w:ascii="Cambria" w:hAnsi="Cambria" w:cs="Calibri"/>
            <w:noProof/>
          </w:rPr>
          <w:fldChar w:fldCharType="end"/>
        </w:r>
      </w:sdtContent>
    </w:sdt>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FB0BE0" w14:textId="7ACA1ADB" w:rsidR="00097797" w:rsidRPr="00097797" w:rsidRDefault="00097797" w:rsidP="00097797">
    <w:pPr>
      <w:pStyle w:val="Footer"/>
    </w:pP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74CC1C" w14:textId="78EF028D" w:rsidR="00835BDC" w:rsidRPr="00835BDC" w:rsidRDefault="00464453" w:rsidP="00835BDC">
    <w:pPr>
      <w:pStyle w:val="Footer"/>
      <w:jc w:val="center"/>
      <w:rPr>
        <w:rFonts w:ascii="Cambria" w:hAnsi="Cambria" w:cs="Calibri"/>
      </w:rPr>
    </w:pPr>
    <w:sdt>
      <w:sdtPr>
        <w:rPr>
          <w:rFonts w:ascii="Cambria" w:hAnsi="Cambria" w:cs="Calibri"/>
        </w:rPr>
        <w:id w:val="-879933072"/>
        <w:docPartObj>
          <w:docPartGallery w:val="Page Numbers (Bottom of Page)"/>
          <w:docPartUnique/>
        </w:docPartObj>
      </w:sdtPr>
      <w:sdtEndPr>
        <w:rPr>
          <w:noProof/>
        </w:rPr>
      </w:sdtEndPr>
      <w:sdtContent>
        <w:r w:rsidR="00835BDC" w:rsidRPr="00F53123">
          <w:rPr>
            <w:rFonts w:ascii="Cambria" w:hAnsi="Cambria" w:cs="Calibri"/>
          </w:rPr>
          <w:fldChar w:fldCharType="begin"/>
        </w:r>
        <w:r w:rsidR="00835BDC" w:rsidRPr="00F53123">
          <w:rPr>
            <w:rFonts w:ascii="Cambria" w:hAnsi="Cambria" w:cs="Calibri"/>
          </w:rPr>
          <w:instrText xml:space="preserve"> PAGE   \* MERGEFORMAT </w:instrText>
        </w:r>
        <w:r w:rsidR="00835BDC" w:rsidRPr="00F53123">
          <w:rPr>
            <w:rFonts w:ascii="Cambria" w:hAnsi="Cambria" w:cs="Calibri"/>
          </w:rPr>
          <w:fldChar w:fldCharType="separate"/>
        </w:r>
        <w:r w:rsidR="00835BDC">
          <w:rPr>
            <w:rFonts w:ascii="Cambria" w:hAnsi="Cambria"/>
          </w:rPr>
          <w:t>4-92</w:t>
        </w:r>
        <w:r w:rsidR="00835BDC" w:rsidRPr="00F53123">
          <w:rPr>
            <w:rFonts w:ascii="Cambria" w:hAnsi="Cambria" w:cs="Calibri"/>
            <w:noProof/>
          </w:rPr>
          <w:fldChar w:fldCharType="end"/>
        </w:r>
      </w:sdtContent>
    </w:sdt>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3891CA" w14:textId="06CD750D" w:rsidR="0019188C" w:rsidRPr="00835BDC" w:rsidRDefault="00464453" w:rsidP="00835BDC">
    <w:pPr>
      <w:pStyle w:val="Footer"/>
      <w:jc w:val="center"/>
      <w:rPr>
        <w:rFonts w:ascii="Cambria" w:hAnsi="Cambria" w:cs="Calibri"/>
      </w:rPr>
    </w:pPr>
    <w:sdt>
      <w:sdtPr>
        <w:rPr>
          <w:rFonts w:ascii="Cambria" w:hAnsi="Cambria" w:cs="Calibri"/>
        </w:rPr>
        <w:id w:val="-1313632921"/>
        <w:docPartObj>
          <w:docPartGallery w:val="Page Numbers (Bottom of Page)"/>
          <w:docPartUnique/>
        </w:docPartObj>
      </w:sdtPr>
      <w:sdtEndPr>
        <w:rPr>
          <w:noProof/>
        </w:rPr>
      </w:sdtEndPr>
      <w:sdtContent>
        <w:r w:rsidR="00835BDC" w:rsidRPr="00F53123">
          <w:rPr>
            <w:rFonts w:ascii="Cambria" w:hAnsi="Cambria" w:cs="Calibri"/>
          </w:rPr>
          <w:fldChar w:fldCharType="begin"/>
        </w:r>
        <w:r w:rsidR="00835BDC" w:rsidRPr="00F53123">
          <w:rPr>
            <w:rFonts w:ascii="Cambria" w:hAnsi="Cambria" w:cs="Calibri"/>
          </w:rPr>
          <w:instrText xml:space="preserve"> PAGE   \* MERGEFORMAT </w:instrText>
        </w:r>
        <w:r w:rsidR="00835BDC" w:rsidRPr="00F53123">
          <w:rPr>
            <w:rFonts w:ascii="Cambria" w:hAnsi="Cambria" w:cs="Calibri"/>
          </w:rPr>
          <w:fldChar w:fldCharType="separate"/>
        </w:r>
        <w:r w:rsidR="00835BDC">
          <w:rPr>
            <w:rFonts w:ascii="Cambria" w:hAnsi="Cambria"/>
          </w:rPr>
          <w:t>4-92</w:t>
        </w:r>
        <w:r w:rsidR="00835BDC" w:rsidRPr="00F53123">
          <w:rPr>
            <w:rFonts w:ascii="Cambria" w:hAnsi="Cambria" w:cs="Calibri"/>
            <w:noProof/>
          </w:rPr>
          <w:fldChar w:fldCharType="end"/>
        </w:r>
      </w:sdtContent>
    </w:sdt>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3380CF" w14:textId="77777777" w:rsidR="00F124B1" w:rsidRPr="003B0722" w:rsidRDefault="00464453" w:rsidP="003B0722">
    <w:pPr>
      <w:pStyle w:val="Footer"/>
      <w:jc w:val="center"/>
      <w:rPr>
        <w:rFonts w:ascii="Cambria" w:hAnsi="Cambria" w:cs="Calibri"/>
      </w:rPr>
    </w:pPr>
    <w:sdt>
      <w:sdtPr>
        <w:rPr>
          <w:rFonts w:ascii="Cambria" w:hAnsi="Cambria" w:cs="Calibri"/>
        </w:rPr>
        <w:id w:val="269295079"/>
        <w:docPartObj>
          <w:docPartGallery w:val="Page Numbers (Bottom of Page)"/>
          <w:docPartUnique/>
        </w:docPartObj>
      </w:sdtPr>
      <w:sdtEndPr>
        <w:rPr>
          <w:noProof/>
        </w:rPr>
      </w:sdtEndPr>
      <w:sdtContent>
        <w:r w:rsidR="00F124B1" w:rsidRPr="00F53123">
          <w:rPr>
            <w:rFonts w:ascii="Cambria" w:hAnsi="Cambria" w:cs="Calibri"/>
          </w:rPr>
          <w:fldChar w:fldCharType="begin"/>
        </w:r>
        <w:r w:rsidR="00F124B1" w:rsidRPr="00F53123">
          <w:rPr>
            <w:rFonts w:ascii="Cambria" w:hAnsi="Cambria" w:cs="Calibri"/>
          </w:rPr>
          <w:instrText xml:space="preserve"> PAGE   \* MERGEFORMAT </w:instrText>
        </w:r>
        <w:r w:rsidR="00F124B1" w:rsidRPr="00F53123">
          <w:rPr>
            <w:rFonts w:ascii="Cambria" w:hAnsi="Cambria" w:cs="Calibri"/>
          </w:rPr>
          <w:fldChar w:fldCharType="separate"/>
        </w:r>
        <w:r w:rsidR="00F124B1">
          <w:rPr>
            <w:rFonts w:ascii="Cambria" w:hAnsi="Cambria" w:cs="Calibri"/>
          </w:rPr>
          <w:t>3-44</w:t>
        </w:r>
        <w:r w:rsidR="00F124B1" w:rsidRPr="00F53123">
          <w:rPr>
            <w:rFonts w:ascii="Cambria" w:hAnsi="Cambria" w:cs="Calibri"/>
            <w:noProof/>
          </w:rPr>
          <w:fldChar w:fldCharType="end"/>
        </w:r>
      </w:sdtContent>
    </w:sdt>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32D9A1" w14:textId="52227162" w:rsidR="00163ED5" w:rsidRPr="0019188C" w:rsidRDefault="00163ED5" w:rsidP="003E5611">
    <w:pPr>
      <w:pStyle w:val="Footer"/>
      <w:jc w:val="center"/>
      <w:rPr>
        <w:rFonts w:ascii="Cambria" w:hAnsi="Cambria"/>
      </w:rPr>
    </w:pPr>
    <w:r w:rsidRPr="0019188C">
      <w:rPr>
        <w:rFonts w:ascii="Cambria" w:hAnsi="Cambria"/>
      </w:rPr>
      <w:fldChar w:fldCharType="begin"/>
    </w:r>
    <w:r w:rsidRPr="0019188C">
      <w:rPr>
        <w:rFonts w:ascii="Cambria" w:hAnsi="Cambria"/>
      </w:rPr>
      <w:instrText xml:space="preserve"> PAGE   \* MERGEFORMAT </w:instrText>
    </w:r>
    <w:r w:rsidRPr="0019188C">
      <w:rPr>
        <w:rFonts w:ascii="Cambria" w:hAnsi="Cambria"/>
      </w:rPr>
      <w:fldChar w:fldCharType="separate"/>
    </w:r>
    <w:r w:rsidRPr="0019188C">
      <w:rPr>
        <w:rFonts w:ascii="Cambria" w:hAnsi="Cambria"/>
        <w:noProof/>
      </w:rPr>
      <w:t>1</w:t>
    </w:r>
    <w:r w:rsidRPr="0019188C">
      <w:rPr>
        <w:rFonts w:ascii="Cambria" w:hAnsi="Cambria"/>
        <w:noProof/>
      </w:rPr>
      <w:fldChar w:fldCharType="end"/>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18B6FF" w14:textId="53CF6788" w:rsidR="00E30324" w:rsidRPr="0019188C" w:rsidRDefault="00E30324" w:rsidP="003E5611">
    <w:pPr>
      <w:pStyle w:val="Footer"/>
      <w:jc w:val="center"/>
      <w:rPr>
        <w:rFonts w:ascii="Cambria" w:hAnsi="Cambria"/>
      </w:rPr>
    </w:pPr>
    <w:r w:rsidRPr="0019188C">
      <w:rPr>
        <w:rFonts w:ascii="Cambria" w:hAnsi="Cambria"/>
      </w:rPr>
      <w:fldChar w:fldCharType="begin"/>
    </w:r>
    <w:r w:rsidRPr="0019188C">
      <w:rPr>
        <w:rFonts w:ascii="Cambria" w:hAnsi="Cambria"/>
      </w:rPr>
      <w:instrText xml:space="preserve"> PAGE   \* MERGEFORMAT </w:instrText>
    </w:r>
    <w:r w:rsidRPr="0019188C">
      <w:rPr>
        <w:rFonts w:ascii="Cambria" w:hAnsi="Cambria"/>
      </w:rPr>
      <w:fldChar w:fldCharType="separate"/>
    </w:r>
    <w:r w:rsidRPr="0019188C">
      <w:rPr>
        <w:rFonts w:ascii="Cambria" w:hAnsi="Cambria"/>
        <w:noProof/>
      </w:rPr>
      <w:t>3</w:t>
    </w:r>
    <w:r w:rsidRPr="0019188C">
      <w:rPr>
        <w:rFonts w:ascii="Cambria" w:hAnsi="Cambria"/>
        <w:noProof/>
      </w:rPr>
      <w:fldChar w:fldCharType="end"/>
    </w: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154B79" w14:textId="77777777" w:rsidR="007F72AB" w:rsidRPr="003B0722" w:rsidRDefault="00464453" w:rsidP="003B0722">
    <w:pPr>
      <w:pStyle w:val="Footer"/>
      <w:jc w:val="center"/>
      <w:rPr>
        <w:rFonts w:ascii="Cambria" w:hAnsi="Cambria" w:cs="Calibri"/>
      </w:rPr>
    </w:pPr>
    <w:sdt>
      <w:sdtPr>
        <w:rPr>
          <w:rFonts w:ascii="Cambria" w:hAnsi="Cambria" w:cs="Calibri"/>
        </w:rPr>
        <w:id w:val="190420888"/>
        <w:docPartObj>
          <w:docPartGallery w:val="Page Numbers (Bottom of Page)"/>
          <w:docPartUnique/>
        </w:docPartObj>
      </w:sdtPr>
      <w:sdtEndPr>
        <w:rPr>
          <w:noProof/>
        </w:rPr>
      </w:sdtEndPr>
      <w:sdtContent>
        <w:r w:rsidR="007F72AB" w:rsidRPr="00F53123">
          <w:rPr>
            <w:rFonts w:ascii="Cambria" w:hAnsi="Cambria" w:cs="Calibri"/>
          </w:rPr>
          <w:fldChar w:fldCharType="begin"/>
        </w:r>
        <w:r w:rsidR="007F72AB" w:rsidRPr="00F53123">
          <w:rPr>
            <w:rFonts w:ascii="Cambria" w:hAnsi="Cambria" w:cs="Calibri"/>
          </w:rPr>
          <w:instrText xml:space="preserve"> PAGE   \* MERGEFORMAT </w:instrText>
        </w:r>
        <w:r w:rsidR="007F72AB" w:rsidRPr="00F53123">
          <w:rPr>
            <w:rFonts w:ascii="Cambria" w:hAnsi="Cambria" w:cs="Calibri"/>
          </w:rPr>
          <w:fldChar w:fldCharType="separate"/>
        </w:r>
        <w:r w:rsidR="007F72AB">
          <w:rPr>
            <w:rFonts w:ascii="Cambria" w:hAnsi="Cambria" w:cs="Calibri"/>
          </w:rPr>
          <w:t>3-44</w:t>
        </w:r>
        <w:r w:rsidR="007F72AB" w:rsidRPr="00F53123">
          <w:rPr>
            <w:rFonts w:ascii="Cambria" w:hAnsi="Cambria" w:cs="Calibri"/>
            <w:noProof/>
          </w:rPr>
          <w:fldChar w:fldCharType="end"/>
        </w:r>
      </w:sdtContent>
    </w:sdt>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26CCC5" w14:textId="77777777" w:rsidR="004F6DDF" w:rsidRPr="00F53123" w:rsidRDefault="004F6DDF" w:rsidP="003C28DA">
    <w:pPr>
      <w:pStyle w:val="Footer"/>
      <w:jc w:val="center"/>
      <w:rPr>
        <w:rFonts w:ascii="Cambria" w:hAnsi="Cambria" w:cs="Calibri"/>
      </w:rPr>
    </w:pPr>
    <w:r w:rsidRPr="00F53123">
      <w:rPr>
        <w:rFonts w:ascii="Cambria" w:hAnsi="Cambria" w:cs="Calibri"/>
      </w:rPr>
      <w:t>ES-</w:t>
    </w:r>
    <w:sdt>
      <w:sdtPr>
        <w:rPr>
          <w:rFonts w:ascii="Cambria" w:hAnsi="Cambria" w:cs="Calibri"/>
        </w:rPr>
        <w:id w:val="1889448999"/>
        <w:docPartObj>
          <w:docPartGallery w:val="Page Numbers (Bottom of Page)"/>
          <w:docPartUnique/>
        </w:docPartObj>
      </w:sdtPr>
      <w:sdtEndPr>
        <w:rPr>
          <w:noProof/>
        </w:rPr>
      </w:sdtEndPr>
      <w:sdtContent>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sidRPr="00F53123">
          <w:rPr>
            <w:rFonts w:ascii="Cambria" w:hAnsi="Cambria" w:cs="Calibri"/>
          </w:rPr>
          <w:t>1</w:t>
        </w:r>
        <w:r w:rsidRPr="00F53123">
          <w:rPr>
            <w:rFonts w:ascii="Cambria" w:hAnsi="Cambria" w:cs="Calibri"/>
            <w:noProof/>
          </w:rPr>
          <w:fldChar w:fldCharType="end"/>
        </w:r>
      </w:sdtContent>
    </w:sdt>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A1FF0D" w14:textId="06C27B54" w:rsidR="00ED3ED1" w:rsidRPr="00ED3ED1" w:rsidRDefault="00ED3ED1" w:rsidP="00ED3ED1">
    <w:pPr>
      <w:pStyle w:val="Footer"/>
    </w:pP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BA8C82" w14:textId="77777777" w:rsidR="00EE7DC0" w:rsidRDefault="00464453" w:rsidP="00853990">
    <w:pPr>
      <w:pStyle w:val="Footer"/>
      <w:jc w:val="cen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CF2E64" w14:textId="452EF222" w:rsidR="00163ED5" w:rsidRPr="00F53123" w:rsidRDefault="003C28DA" w:rsidP="004D4172">
    <w:pPr>
      <w:pStyle w:val="Footer"/>
      <w:jc w:val="center"/>
      <w:rPr>
        <w:rFonts w:ascii="Cambria" w:hAnsi="Cambria" w:cs="Calibri"/>
      </w:rPr>
    </w:pPr>
    <w:r w:rsidRPr="00F53123">
      <w:rPr>
        <w:rFonts w:ascii="Cambria" w:hAnsi="Cambria" w:cs="Calibri"/>
      </w:rPr>
      <w:t>ES-</w:t>
    </w:r>
    <w:sdt>
      <w:sdtPr>
        <w:rPr>
          <w:rFonts w:ascii="Cambria" w:hAnsi="Cambria" w:cs="Calibri"/>
        </w:rPr>
        <w:id w:val="-1133862040"/>
        <w:docPartObj>
          <w:docPartGallery w:val="Page Numbers (Bottom of Page)"/>
          <w:docPartUnique/>
        </w:docPartObj>
      </w:sdtPr>
      <w:sdtEndPr>
        <w:rPr>
          <w:noProof/>
        </w:rPr>
      </w:sdtEndPr>
      <w:sdtContent>
        <w:r w:rsidR="00163ED5" w:rsidRPr="00F53123">
          <w:rPr>
            <w:rFonts w:ascii="Cambria" w:hAnsi="Cambria" w:cs="Calibri"/>
          </w:rPr>
          <w:fldChar w:fldCharType="begin"/>
        </w:r>
        <w:r w:rsidR="00163ED5" w:rsidRPr="00F53123">
          <w:rPr>
            <w:rFonts w:ascii="Cambria" w:hAnsi="Cambria" w:cs="Calibri"/>
          </w:rPr>
          <w:instrText xml:space="preserve"> PAGE   \* MERGEFORMAT </w:instrText>
        </w:r>
        <w:r w:rsidR="00163ED5" w:rsidRPr="00F53123">
          <w:rPr>
            <w:rFonts w:ascii="Cambria" w:hAnsi="Cambria" w:cs="Calibri"/>
          </w:rPr>
          <w:fldChar w:fldCharType="separate"/>
        </w:r>
        <w:r w:rsidR="00163ED5" w:rsidRPr="00F53123">
          <w:rPr>
            <w:rFonts w:ascii="Cambria" w:hAnsi="Cambria" w:cs="Calibri"/>
          </w:rPr>
          <w:t>1-1</w:t>
        </w:r>
        <w:r w:rsidR="00163ED5" w:rsidRPr="00F53123">
          <w:rPr>
            <w:rFonts w:ascii="Cambria" w:hAnsi="Cambria" w:cs="Calibri"/>
            <w:noProof/>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DDCE56" w14:textId="77777777" w:rsidR="004312C1" w:rsidRDefault="004312C1">
      <w:r>
        <w:separator/>
      </w:r>
    </w:p>
  </w:footnote>
  <w:footnote w:type="continuationSeparator" w:id="0">
    <w:p w14:paraId="022B3E10" w14:textId="77777777" w:rsidR="004312C1" w:rsidRDefault="004312C1">
      <w:r>
        <w:continuationSeparator/>
      </w:r>
    </w:p>
  </w:footnote>
  <w:footnote w:type="continuationNotice" w:id="1">
    <w:p w14:paraId="0FB8EEEC" w14:textId="77777777" w:rsidR="004312C1" w:rsidRDefault="004312C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FC13EA" w14:textId="490E24B8" w:rsidR="004F6DDF" w:rsidRPr="00871F71" w:rsidRDefault="004F6DDF" w:rsidP="00871F71">
    <w:pPr>
      <w:pStyle w:val="TOCHeading"/>
      <w:spacing w:before="680" w:line="240" w:lineRule="auto"/>
      <w:rPr>
        <w:rFonts w:ascii="Cambria" w:hAnsi="Cambria"/>
        <w:color w:val="auto"/>
      </w:rPr>
    </w:pPr>
    <w:r w:rsidRPr="00871F71">
      <w:rPr>
        <w:rFonts w:ascii="Cambria" w:hAnsi="Cambria"/>
        <w:color w:val="auto"/>
      </w:rPr>
      <w:t>Table of Contents (Continued)</w:t>
    </w:r>
  </w:p>
  <w:p w14:paraId="158CF768" w14:textId="1C9311D8" w:rsidR="004F6DDF" w:rsidRPr="00CD410A" w:rsidRDefault="004F6DDF" w:rsidP="004F6DDF">
    <w:pPr>
      <w:spacing w:after="120"/>
      <w:jc w:val="right"/>
      <w:rPr>
        <w:rFonts w:ascii="Cambria" w:hAnsi="Cambria"/>
      </w:rPr>
    </w:pPr>
    <w:r w:rsidRPr="00CD410A">
      <w:rPr>
        <w:rFonts w:ascii="Cambria" w:hAnsi="Cambria"/>
      </w:rPr>
      <w:t>Page</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E6D141" w14:textId="6DB95B82" w:rsidR="004F6DDF" w:rsidRPr="00F53123" w:rsidRDefault="000808EE" w:rsidP="000808EE">
    <w:pPr>
      <w:pStyle w:val="Header"/>
      <w:spacing w:before="0" w:after="0"/>
      <w:rPr>
        <w:rFonts w:ascii="Cambria" w:hAnsi="Cambria" w:cs="Calibri"/>
      </w:rPr>
    </w:pPr>
    <w:r w:rsidRPr="00F53123">
      <w:rPr>
        <w:rFonts w:ascii="Cambria" w:hAnsi="Cambria" w:cs="Calibri"/>
      </w:rPr>
      <w:t>Traffic Monitoring Guide Executive Summary</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4A7735" w14:textId="77777777" w:rsidR="000808EE" w:rsidRPr="009E43D6" w:rsidRDefault="000808EE" w:rsidP="004F6DDF">
    <w:pPr>
      <w:pStyle w:val="Header"/>
      <w:spacing w:before="0" w:after="0"/>
      <w:rPr>
        <w:rFonts w:ascii="Cambria" w:hAnsi="Cambria" w:cs="Calibri"/>
      </w:rPr>
    </w:pPr>
    <w:r w:rsidRPr="009E43D6">
      <w:rPr>
        <w:rFonts w:ascii="Cambria" w:hAnsi="Cambria" w:cs="Calibri"/>
      </w:rPr>
      <w:t>Chapter 1. Traffic Monitoring Program Introduction</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22BF4C" w14:textId="3CE5AF8E" w:rsidR="00B2059E" w:rsidRPr="00F53123" w:rsidRDefault="000808EE" w:rsidP="000808EE">
    <w:pPr>
      <w:pStyle w:val="Header"/>
      <w:spacing w:before="0" w:after="0"/>
      <w:rPr>
        <w:rFonts w:ascii="Cambria" w:hAnsi="Cambria" w:cs="Calibri"/>
      </w:rPr>
    </w:pPr>
    <w:r w:rsidRPr="00F53123">
      <w:rPr>
        <w:rFonts w:ascii="Cambria" w:hAnsi="Cambria" w:cs="Calibri"/>
      </w:rPr>
      <w:t>Chapter 1. Traffic Monitoring Program Introduction</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6E772F" w14:textId="77777777" w:rsidR="000808EE" w:rsidRDefault="000808EE">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A7EF6" w14:textId="5F053726" w:rsidR="000A0FD5" w:rsidRPr="00F53123" w:rsidRDefault="000A0FD5" w:rsidP="004F6DDF">
    <w:pPr>
      <w:pStyle w:val="Header"/>
      <w:spacing w:before="0" w:after="0"/>
      <w:rPr>
        <w:rFonts w:ascii="Cambria" w:hAnsi="Cambria" w:cs="Calibri"/>
      </w:rPr>
    </w:pPr>
    <w:r w:rsidRPr="00F53123">
      <w:rPr>
        <w:rFonts w:ascii="Cambria" w:hAnsi="Cambria" w:cs="Calibri"/>
      </w:rPr>
      <w:t>Chapter 2. Traffic Data Collection Technology and Equipment</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A448D9" w14:textId="3C4C9902" w:rsidR="000A0FD5" w:rsidRPr="00F53123" w:rsidRDefault="003A12AB" w:rsidP="000A0FD5">
    <w:pPr>
      <w:pStyle w:val="Header"/>
      <w:spacing w:before="0" w:after="0"/>
      <w:rPr>
        <w:rFonts w:ascii="Cambria" w:hAnsi="Cambria" w:cs="Calibri"/>
      </w:rPr>
    </w:pPr>
    <w:r>
      <w:rPr>
        <w:noProof/>
      </w:rPr>
      <mc:AlternateContent>
        <mc:Choice Requires="wps">
          <w:drawing>
            <wp:anchor distT="45720" distB="45720" distL="114300" distR="114300" simplePos="0" relativeHeight="251661312" behindDoc="0" locked="0" layoutInCell="1" allowOverlap="1" wp14:anchorId="7F2851CB" wp14:editId="46F8CC16">
              <wp:simplePos x="0" y="0"/>
              <wp:positionH relativeFrom="column">
                <wp:posOffset>8821420</wp:posOffset>
              </wp:positionH>
              <wp:positionV relativeFrom="paragraph">
                <wp:posOffset>-66858515</wp:posOffset>
              </wp:positionV>
              <wp:extent cx="6035040" cy="332740"/>
              <wp:effectExtent l="0" t="6350" r="0" b="0"/>
              <wp:wrapSquare wrapText="bothSides"/>
              <wp:docPr id="3586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0ACABEEB" w14:textId="2F50EFF8" w:rsidR="00BB0C9D" w:rsidRPr="00BB0C9D" w:rsidRDefault="00BB0C9D" w:rsidP="00BB0C9D">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7F2851CB" id="_x0000_t202" coordsize="21600,21600" o:spt="202" path="m,l,21600r21600,l21600,xe">
              <v:stroke joinstyle="miter"/>
              <v:path gradientshapeok="t" o:connecttype="rect"/>
            </v:shapetype>
            <v:shape id="_x0000_s1126" type="#_x0000_t202" alt="&quot;&quot;" style="position:absolute;margin-left:694.6pt;margin-top:-5264.45pt;width:475.2pt;height:26.2pt;rotation:90;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" stroked="f">
              <v:textbox>
                <w:txbxContent>
                  <w:p w14:paraId="0ACABEEB" w14:textId="2F50EFF8" w:rsidR="00BB0C9D" w:rsidRPr="00BB0C9D" w:rsidRDefault="00BB0C9D" w:rsidP="00BB0C9D">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v:textbox>
              <w10:wrap type="square"/>
            </v:shape>
          </w:pict>
        </mc:Fallback>
      </mc:AlternateContent>
    </w:r>
    <w:r w:rsidR="000A0FD5" w:rsidRPr="00F53123">
      <w:rPr>
        <w:rFonts w:ascii="Cambria" w:hAnsi="Cambria" w:cs="Calibri"/>
      </w:rPr>
      <w:t>Chapter 2. Traffic Data Collection Technology and Equipment</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984E82" w14:textId="3599DCE4" w:rsidR="00E87CD2" w:rsidRPr="00EC6846" w:rsidRDefault="007C6920" w:rsidP="00EC6846">
    <w:pPr>
      <w:pStyle w:val="Header"/>
      <w:tabs>
        <w:tab w:val="clear" w:pos="4680"/>
        <w:tab w:val="clear" w:pos="9360"/>
        <w:tab w:val="center" w:pos="6624"/>
      </w:tabs>
    </w:pPr>
    <w:r>
      <w:rPr>
        <w:noProof/>
      </w:rPr>
      <mc:AlternateContent>
        <mc:Choice Requires="wps">
          <w:drawing>
            <wp:anchor distT="45720" distB="45720" distL="114300" distR="114300" simplePos="0" relativeHeight="251666432" behindDoc="1" locked="0" layoutInCell="1" allowOverlap="1" wp14:anchorId="6803812E" wp14:editId="320C9D98">
              <wp:simplePos x="0" y="0"/>
              <wp:positionH relativeFrom="column">
                <wp:posOffset>5594873</wp:posOffset>
              </wp:positionH>
              <wp:positionV relativeFrom="paragraph">
                <wp:posOffset>3216910</wp:posOffset>
              </wp:positionV>
              <wp:extent cx="6035040" cy="332740"/>
              <wp:effectExtent l="0" t="6350" r="0" b="0"/>
              <wp:wrapNone/>
              <wp:docPr id="358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7772331E" w14:textId="77777777" w:rsidR="00EC6846" w:rsidRPr="00BB0C9D" w:rsidRDefault="00EC6846" w:rsidP="00EC6846">
                          <w:pPr>
                            <w:pStyle w:val="Header"/>
                            <w:spacing w:before="0" w:after="0"/>
                            <w:rPr>
                              <w:rFonts w:ascii="Cambria" w:hAnsi="Cambria" w:cs="Calibri"/>
                            </w:rPr>
                          </w:pPr>
                          <w:r w:rsidRPr="00F53123">
                            <w:rPr>
                              <w:rFonts w:ascii="Cambria" w:hAnsi="Cambria" w:cs="Calibri"/>
                            </w:rPr>
                            <w:t>Chapter 2. Traffic Data Collection Technology and Equipment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6803812E" id="_x0000_t202" coordsize="21600,21600" o:spt="202" path="m,l,21600r21600,l21600,xe">
              <v:stroke joinstyle="miter"/>
              <v:path gradientshapeok="t" o:connecttype="rect"/>
            </v:shapetype>
            <v:shape id="_x0000_s1127" type="#_x0000_t202" style="position:absolute;margin-left:440.55pt;margin-top:253.3pt;width:475.2pt;height:26.2pt;rotation:90;z-index:-251650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" stroked="f">
              <v:textbox>
                <w:txbxContent>
                  <w:p w14:paraId="7772331E" w14:textId="77777777" w:rsidR="00EC6846" w:rsidRPr="00BB0C9D" w:rsidRDefault="00EC6846" w:rsidP="00EC6846">
                    <w:pPr>
                      <w:pStyle w:val="Header"/>
                      <w:spacing w:before="0" w:after="0"/>
                      <w:rPr>
                        <w:rFonts w:ascii="Cambria" w:hAnsi="Cambria" w:cs="Calibri"/>
                      </w:rPr>
                    </w:pPr>
                    <w:r w:rsidRPr="00F53123">
                      <w:rPr>
                        <w:rFonts w:ascii="Cambria" w:hAnsi="Cambria" w:cs="Calibri"/>
                      </w:rPr>
                      <w:t>Chapter 2. Traffic Data Collection Technology and Equipment</w:t>
                    </w:r>
                  </w:p>
                </w:txbxContent>
              </v:textbox>
            </v:shape>
          </w:pict>
        </mc:Fallback>
      </mc:AlternateContent>
    </w:r>
    <w:r>
      <w:rPr>
        <w:noProof/>
      </w:rPr>
      <mc:AlternateContent>
        <mc:Choice Requires="wps">
          <w:drawing>
            <wp:anchor distT="45720" distB="45720" distL="114300" distR="114300" simplePos="0" relativeHeight="251667456" behindDoc="0" locked="0" layoutInCell="1" allowOverlap="1" wp14:anchorId="0F537428" wp14:editId="27C36989">
              <wp:simplePos x="0" y="0"/>
              <wp:positionH relativeFrom="column">
                <wp:posOffset>-3531870</wp:posOffset>
              </wp:positionH>
              <wp:positionV relativeFrom="paragraph">
                <wp:posOffset>3264535</wp:posOffset>
              </wp:positionV>
              <wp:extent cx="6035040" cy="332740"/>
              <wp:effectExtent l="0" t="6350" r="0" b="0"/>
              <wp:wrapSquare wrapText="bothSides"/>
              <wp:docPr id="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69A198DD" w14:textId="77777777" w:rsidR="00EC6846" w:rsidRPr="00BB0C9D" w:rsidRDefault="00EC6846" w:rsidP="00EC6846">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F537428" id="_x0000_s1128" type="#_x0000_t202" style="position:absolute;margin-left:-278.1pt;margin-top:257.05pt;width:475.2pt;height:26.2pt;rotation:90;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" stroked="f">
              <v:textbox>
                <w:txbxContent>
                  <w:p w14:paraId="69A198DD" w14:textId="77777777" w:rsidR="00EC6846" w:rsidRPr="00BB0C9D" w:rsidRDefault="00EC6846" w:rsidP="00EC6846">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v:textbox>
              <w10:wrap type="squar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568180" w14:textId="5691C577" w:rsidR="00E87CD2" w:rsidRPr="002532B3" w:rsidRDefault="002532B3" w:rsidP="002532B3">
    <w:pPr>
      <w:pStyle w:val="Header"/>
      <w:tabs>
        <w:tab w:val="clear" w:pos="4680"/>
        <w:tab w:val="clear" w:pos="9360"/>
        <w:tab w:val="center" w:pos="6624"/>
      </w:tabs>
    </w:pPr>
    <w:r>
      <w:rPr>
        <w:noProof/>
      </w:rPr>
      <mc:AlternateContent>
        <mc:Choice Requires="wps">
          <w:drawing>
            <wp:anchor distT="45720" distB="45720" distL="114300" distR="114300" simplePos="0" relativeHeight="251669504" behindDoc="1" locked="0" layoutInCell="1" allowOverlap="1" wp14:anchorId="178378FD" wp14:editId="29C543C6">
              <wp:simplePos x="0" y="0"/>
              <wp:positionH relativeFrom="column">
                <wp:posOffset>5594873</wp:posOffset>
              </wp:positionH>
              <wp:positionV relativeFrom="paragraph">
                <wp:posOffset>3216910</wp:posOffset>
              </wp:positionV>
              <wp:extent cx="6035040" cy="332740"/>
              <wp:effectExtent l="0" t="6350" r="0" b="0"/>
              <wp:wrapNone/>
              <wp:docPr id="359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7562CCD5" w14:textId="77777777" w:rsidR="002532B3" w:rsidRPr="00BB0C9D" w:rsidRDefault="002532B3" w:rsidP="002532B3">
                          <w:pPr>
                            <w:pStyle w:val="Header"/>
                            <w:spacing w:before="0" w:after="0"/>
                            <w:rPr>
                              <w:rFonts w:ascii="Cambria" w:hAnsi="Cambria" w:cs="Calibri"/>
                            </w:rPr>
                          </w:pPr>
                          <w:r w:rsidRPr="00F53123">
                            <w:rPr>
                              <w:rFonts w:ascii="Cambria" w:hAnsi="Cambria" w:cs="Calibri"/>
                            </w:rPr>
                            <w:t>Chapter 2. Traffic Data Collection Technology and Equipment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178378FD" id="_x0000_t202" coordsize="21600,21600" o:spt="202" path="m,l,21600r21600,l21600,xe">
              <v:stroke joinstyle="miter"/>
              <v:path gradientshapeok="t" o:connecttype="rect"/>
            </v:shapetype>
            <v:shape id="_x0000_s1129" type="#_x0000_t202" style="position:absolute;margin-left:440.55pt;margin-top:253.3pt;width:475.2pt;height:26.2pt;rotation:90;z-index:-251646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" stroked="f">
              <v:textbox>
                <w:txbxContent>
                  <w:p w14:paraId="7562CCD5" w14:textId="77777777" w:rsidR="002532B3" w:rsidRPr="00BB0C9D" w:rsidRDefault="002532B3" w:rsidP="002532B3">
                    <w:pPr>
                      <w:pStyle w:val="Header"/>
                      <w:spacing w:before="0" w:after="0"/>
                      <w:rPr>
                        <w:rFonts w:ascii="Cambria" w:hAnsi="Cambria" w:cs="Calibri"/>
                      </w:rPr>
                    </w:pPr>
                    <w:r w:rsidRPr="00F53123">
                      <w:rPr>
                        <w:rFonts w:ascii="Cambria" w:hAnsi="Cambria" w:cs="Calibri"/>
                      </w:rPr>
                      <w:t>Chapter 2. Traffic Data Collection Technology and Equipment</w:t>
                    </w:r>
                  </w:p>
                </w:txbxContent>
              </v:textbox>
            </v:shape>
          </w:pict>
        </mc:Fallback>
      </mc:AlternateContent>
    </w:r>
    <w:r>
      <w:rPr>
        <w:noProof/>
      </w:rPr>
      <mc:AlternateContent>
        <mc:Choice Requires="wps">
          <w:drawing>
            <wp:anchor distT="45720" distB="45720" distL="114300" distR="114300" simplePos="0" relativeHeight="251670528" behindDoc="0" locked="0" layoutInCell="1" allowOverlap="1" wp14:anchorId="0FC5CFCF" wp14:editId="32C1F99D">
              <wp:simplePos x="0" y="0"/>
              <wp:positionH relativeFrom="column">
                <wp:posOffset>-3531870</wp:posOffset>
              </wp:positionH>
              <wp:positionV relativeFrom="paragraph">
                <wp:posOffset>3264535</wp:posOffset>
              </wp:positionV>
              <wp:extent cx="6035040" cy="332740"/>
              <wp:effectExtent l="0" t="6350" r="0" b="0"/>
              <wp:wrapSquare wrapText="bothSides"/>
              <wp:docPr id="359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6A590D93" w14:textId="77777777" w:rsidR="002532B3" w:rsidRPr="00BB0C9D" w:rsidRDefault="002532B3" w:rsidP="002532B3">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FC5CFCF" id="_x0000_s1130" type="#_x0000_t202" style="position:absolute;margin-left:-278.1pt;margin-top:257.05pt;width:475.2pt;height:26.2pt;rotation:90;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" stroked="f">
              <v:textbox>
                <w:txbxContent>
                  <w:p w14:paraId="6A590D93" w14:textId="77777777" w:rsidR="002532B3" w:rsidRPr="00BB0C9D" w:rsidRDefault="002532B3" w:rsidP="002532B3">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v:textbox>
              <w10:wrap type="squar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FA160B" w14:textId="11D36437" w:rsidR="00E87CD2" w:rsidRPr="00E87CD2" w:rsidRDefault="00E87CD2" w:rsidP="00E87CD2">
    <w:pPr>
      <w:pStyle w:val="Header"/>
      <w:spacing w:before="0" w:after="0"/>
      <w:rPr>
        <w:rFonts w:ascii="Cambria" w:hAnsi="Cambria" w:cs="Calibri"/>
      </w:rPr>
    </w:pPr>
    <w:r w:rsidRPr="00F53123">
      <w:rPr>
        <w:rFonts w:ascii="Cambria" w:hAnsi="Cambria" w:cs="Calibri"/>
      </w:rPr>
      <w:t>Chapter 2. Traffic Data Collection Technology and Equipment</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128295" w14:textId="565036B0" w:rsidR="00201910" w:rsidRPr="00201910" w:rsidRDefault="00201910" w:rsidP="00201910">
    <w:pPr>
      <w:pStyle w:val="Header"/>
      <w:spacing w:before="0" w:after="0"/>
      <w:rPr>
        <w:rFonts w:ascii="Cambria" w:hAnsi="Cambria" w:cs="Calibri"/>
      </w:rPr>
    </w:pPr>
    <w:r w:rsidRPr="00F53123">
      <w:rPr>
        <w:rFonts w:ascii="Cambria" w:hAnsi="Cambria" w:cs="Calibri"/>
      </w:rPr>
      <w:t>Chapter 2. Traffic Data Collection Technology and Equipment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2DC597" w14:textId="77777777" w:rsidR="000A0FD5" w:rsidRPr="00871F71" w:rsidRDefault="000A0FD5" w:rsidP="00871F71">
    <w:pPr>
      <w:pStyle w:val="TOCHeading"/>
      <w:spacing w:before="680" w:line="240" w:lineRule="auto"/>
      <w:rPr>
        <w:rFonts w:ascii="Cambria" w:hAnsi="Cambria"/>
        <w:color w:val="auto"/>
      </w:rPr>
    </w:pPr>
    <w:r w:rsidRPr="00871F71">
      <w:rPr>
        <w:rFonts w:ascii="Cambria" w:hAnsi="Cambria"/>
        <w:color w:val="auto"/>
      </w:rPr>
      <w:t>Table of Contents (Continued)</w:t>
    </w:r>
  </w:p>
  <w:p w14:paraId="38F6A769" w14:textId="19303C3C" w:rsidR="004F6DDF" w:rsidRPr="009E43D6" w:rsidRDefault="000A0FD5" w:rsidP="000A0FD5">
    <w:pPr>
      <w:spacing w:after="120"/>
      <w:jc w:val="right"/>
      <w:rPr>
        <w:rFonts w:ascii="Cambria" w:hAnsi="Cambria"/>
      </w:rPr>
    </w:pPr>
    <w:r w:rsidRPr="009E43D6">
      <w:rPr>
        <w:rFonts w:ascii="Cambria" w:hAnsi="Cambria"/>
      </w:rPr>
      <w:t>Page</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8BADC2" w14:textId="170B4776" w:rsidR="00E87CD2" w:rsidRPr="002532B3" w:rsidRDefault="002532B3" w:rsidP="002532B3">
    <w:pPr>
      <w:pStyle w:val="Header"/>
      <w:tabs>
        <w:tab w:val="clear" w:pos="4680"/>
        <w:tab w:val="clear" w:pos="9360"/>
        <w:tab w:val="center" w:pos="6624"/>
      </w:tabs>
    </w:pPr>
    <w:r>
      <w:rPr>
        <w:noProof/>
      </w:rPr>
      <mc:AlternateContent>
        <mc:Choice Requires="wps">
          <w:drawing>
            <wp:anchor distT="45720" distB="45720" distL="114300" distR="114300" simplePos="0" relativeHeight="251675648" behindDoc="1" locked="0" layoutInCell="1" allowOverlap="1" wp14:anchorId="36CFA3D5" wp14:editId="56CCF5D9">
              <wp:simplePos x="0" y="0"/>
              <wp:positionH relativeFrom="column">
                <wp:posOffset>5594873</wp:posOffset>
              </wp:positionH>
              <wp:positionV relativeFrom="paragraph">
                <wp:posOffset>3216910</wp:posOffset>
              </wp:positionV>
              <wp:extent cx="6035040" cy="332740"/>
              <wp:effectExtent l="0" t="6350" r="0" b="0"/>
              <wp:wrapNone/>
              <wp:docPr id="2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1F42A883" w14:textId="77777777" w:rsidR="002532B3" w:rsidRPr="00BB0C9D" w:rsidRDefault="002532B3" w:rsidP="002532B3">
                          <w:pPr>
                            <w:pStyle w:val="Header"/>
                            <w:spacing w:before="0" w:after="0"/>
                            <w:rPr>
                              <w:rFonts w:ascii="Cambria" w:hAnsi="Cambria" w:cs="Calibri"/>
                            </w:rPr>
                          </w:pPr>
                          <w:r w:rsidRPr="00F53123">
                            <w:rPr>
                              <w:rFonts w:ascii="Cambria" w:hAnsi="Cambria" w:cs="Calibri"/>
                            </w:rPr>
                            <w:t>Chapter 2. Traffic Data Collection Technology and Equipment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36CFA3D5" id="_x0000_t202" coordsize="21600,21600" o:spt="202" path="m,l,21600r21600,l21600,xe">
              <v:stroke joinstyle="miter"/>
              <v:path gradientshapeok="t" o:connecttype="rect"/>
            </v:shapetype>
            <v:shape id="_x0000_s1131" type="#_x0000_t202" style="position:absolute;margin-left:440.55pt;margin-top:253.3pt;width:475.2pt;height:26.2pt;rotation:90;z-index:-251640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" stroked="f">
              <v:textbox>
                <w:txbxContent>
                  <w:p w14:paraId="1F42A883" w14:textId="77777777" w:rsidR="002532B3" w:rsidRPr="00BB0C9D" w:rsidRDefault="002532B3" w:rsidP="002532B3">
                    <w:pPr>
                      <w:pStyle w:val="Header"/>
                      <w:spacing w:before="0" w:after="0"/>
                      <w:rPr>
                        <w:rFonts w:ascii="Cambria" w:hAnsi="Cambria" w:cs="Calibri"/>
                      </w:rPr>
                    </w:pPr>
                    <w:r w:rsidRPr="00F53123">
                      <w:rPr>
                        <w:rFonts w:ascii="Cambria" w:hAnsi="Cambria" w:cs="Calibri"/>
                      </w:rPr>
                      <w:t>Chapter 2. Traffic Data Collection Technology and Equipment</w:t>
                    </w:r>
                  </w:p>
                </w:txbxContent>
              </v:textbox>
            </v:shape>
          </w:pict>
        </mc:Fallback>
      </mc:AlternateContent>
    </w:r>
    <w:r>
      <w:rPr>
        <w:noProof/>
      </w:rPr>
      <mc:AlternateContent>
        <mc:Choice Requires="wps">
          <w:drawing>
            <wp:anchor distT="45720" distB="45720" distL="114300" distR="114300" simplePos="0" relativeHeight="251676672" behindDoc="0" locked="0" layoutInCell="1" allowOverlap="1" wp14:anchorId="10006D03" wp14:editId="13654092">
              <wp:simplePos x="0" y="0"/>
              <wp:positionH relativeFrom="column">
                <wp:posOffset>-3533140</wp:posOffset>
              </wp:positionH>
              <wp:positionV relativeFrom="paragraph">
                <wp:posOffset>3256915</wp:posOffset>
              </wp:positionV>
              <wp:extent cx="6035040" cy="332740"/>
              <wp:effectExtent l="0" t="6350" r="0" b="0"/>
              <wp:wrapThrough wrapText="bothSides">
                <wp:wrapPolygon edited="0">
                  <wp:start x="-23" y="21188"/>
                  <wp:lineTo x="21523" y="21188"/>
                  <wp:lineTo x="21523" y="1402"/>
                  <wp:lineTo x="-23" y="1402"/>
                  <wp:lineTo x="-23" y="21188"/>
                </wp:wrapPolygon>
              </wp:wrapThrough>
              <wp:docPr id="2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5EDDC369" w14:textId="77777777" w:rsidR="002532B3" w:rsidRPr="00BB0C9D" w:rsidRDefault="002532B3" w:rsidP="002532B3">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0006D03" id="_x0000_s1132" type="#_x0000_t202" style="position:absolute;margin-left:-278.2pt;margin-top:256.45pt;width:475.2pt;height:26.2pt;rotation:90;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" stroked="f">
              <v:textbox>
                <w:txbxContent>
                  <w:p w14:paraId="5EDDC369" w14:textId="77777777" w:rsidR="002532B3" w:rsidRPr="00BB0C9D" w:rsidRDefault="002532B3" w:rsidP="002532B3">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v:textbox>
              <w10:wrap type="through"/>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974B5" w14:textId="3A78A323" w:rsidR="002532B3" w:rsidRPr="002532B3" w:rsidRDefault="002532B3" w:rsidP="002532B3">
    <w:pPr>
      <w:pStyle w:val="Header"/>
      <w:tabs>
        <w:tab w:val="clear" w:pos="4680"/>
        <w:tab w:val="clear" w:pos="9360"/>
        <w:tab w:val="center" w:pos="6624"/>
      </w:tabs>
    </w:pPr>
    <w:r>
      <w:rPr>
        <w:noProof/>
      </w:rPr>
      <mc:AlternateContent>
        <mc:Choice Requires="wps">
          <w:drawing>
            <wp:anchor distT="45720" distB="45720" distL="114300" distR="114300" simplePos="0" relativeHeight="251678720" behindDoc="1" locked="0" layoutInCell="1" allowOverlap="1" wp14:anchorId="1ECA1A85" wp14:editId="4A681870">
              <wp:simplePos x="0" y="0"/>
              <wp:positionH relativeFrom="column">
                <wp:posOffset>5594873</wp:posOffset>
              </wp:positionH>
              <wp:positionV relativeFrom="paragraph">
                <wp:posOffset>3216910</wp:posOffset>
              </wp:positionV>
              <wp:extent cx="6035040" cy="332740"/>
              <wp:effectExtent l="0" t="6350" r="0" b="0"/>
              <wp:wrapNone/>
              <wp:docPr id="2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6C3FC679" w14:textId="77777777" w:rsidR="002532B3" w:rsidRPr="00BB0C9D" w:rsidRDefault="002532B3" w:rsidP="002532B3">
                          <w:pPr>
                            <w:pStyle w:val="Header"/>
                            <w:spacing w:before="0" w:after="0"/>
                            <w:rPr>
                              <w:rFonts w:ascii="Cambria" w:hAnsi="Cambria" w:cs="Calibri"/>
                            </w:rPr>
                          </w:pPr>
                          <w:r w:rsidRPr="00F53123">
                            <w:rPr>
                              <w:rFonts w:ascii="Cambria" w:hAnsi="Cambria" w:cs="Calibri"/>
                            </w:rPr>
                            <w:t>Chapter 2. Traffic Data Collection Technology and Equipment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1ECA1A85" id="_x0000_t202" coordsize="21600,21600" o:spt="202" path="m,l,21600r21600,l21600,xe">
              <v:stroke joinstyle="miter"/>
              <v:path gradientshapeok="t" o:connecttype="rect"/>
            </v:shapetype>
            <v:shape id="_x0000_s1133" type="#_x0000_t202" style="position:absolute;margin-left:440.55pt;margin-top:253.3pt;width:475.2pt;height:26.2pt;rotation:90;z-index:-251637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" stroked="f">
              <v:textbox>
                <w:txbxContent>
                  <w:p w14:paraId="6C3FC679" w14:textId="77777777" w:rsidR="002532B3" w:rsidRPr="00BB0C9D" w:rsidRDefault="002532B3" w:rsidP="002532B3">
                    <w:pPr>
                      <w:pStyle w:val="Header"/>
                      <w:spacing w:before="0" w:after="0"/>
                      <w:rPr>
                        <w:rFonts w:ascii="Cambria" w:hAnsi="Cambria" w:cs="Calibri"/>
                      </w:rPr>
                    </w:pPr>
                    <w:r w:rsidRPr="00F53123">
                      <w:rPr>
                        <w:rFonts w:ascii="Cambria" w:hAnsi="Cambria" w:cs="Calibri"/>
                      </w:rPr>
                      <w:t>Chapter 2. Traffic Data Collection Technology and Equipment</w:t>
                    </w:r>
                  </w:p>
                </w:txbxContent>
              </v:textbox>
            </v:shape>
          </w:pict>
        </mc:Fallback>
      </mc:AlternateContent>
    </w:r>
    <w:r>
      <w:rPr>
        <w:noProof/>
      </w:rPr>
      <mc:AlternateContent>
        <mc:Choice Requires="wps">
          <w:drawing>
            <wp:anchor distT="45720" distB="45720" distL="114300" distR="114300" simplePos="0" relativeHeight="251679744" behindDoc="0" locked="0" layoutInCell="1" allowOverlap="1" wp14:anchorId="167E5C67" wp14:editId="08AB9B7C">
              <wp:simplePos x="0" y="0"/>
              <wp:positionH relativeFrom="column">
                <wp:posOffset>-3531870</wp:posOffset>
              </wp:positionH>
              <wp:positionV relativeFrom="paragraph">
                <wp:posOffset>3264535</wp:posOffset>
              </wp:positionV>
              <wp:extent cx="6035040" cy="332740"/>
              <wp:effectExtent l="0" t="6350" r="0" b="0"/>
              <wp:wrapSquare wrapText="bothSides"/>
              <wp:docPr id="2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65AE0BBD" w14:textId="77777777" w:rsidR="002532B3" w:rsidRPr="00BB0C9D" w:rsidRDefault="002532B3" w:rsidP="002532B3">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67E5C67" id="_x0000_s1134" type="#_x0000_t202" style="position:absolute;margin-left:-278.1pt;margin-top:257.05pt;width:475.2pt;height:26.2pt;rotation:90;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" stroked="f">
              <v:textbox>
                <w:txbxContent>
                  <w:p w14:paraId="65AE0BBD" w14:textId="77777777" w:rsidR="002532B3" w:rsidRPr="00BB0C9D" w:rsidRDefault="002532B3" w:rsidP="002532B3">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v:textbox>
              <w10:wrap type="squar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FDFDE" w14:textId="2C5753B8" w:rsidR="00E30324" w:rsidRPr="00BB182A" w:rsidRDefault="00BB182A" w:rsidP="00BB182A">
    <w:pPr>
      <w:pStyle w:val="Header"/>
      <w:spacing w:before="0" w:after="0"/>
      <w:rPr>
        <w:rFonts w:ascii="Cambria" w:hAnsi="Cambria" w:cs="Calibri"/>
      </w:rPr>
    </w:pPr>
    <w:r w:rsidRPr="00F53123">
      <w:rPr>
        <w:rFonts w:ascii="Cambria" w:hAnsi="Cambria" w:cs="Calibri"/>
      </w:rPr>
      <w:t>Chapter 2. Traffic Data Collection Technology and Equipment</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E26D0" w14:textId="3E1D49EE" w:rsidR="00E87CD2" w:rsidRPr="00E87CD2" w:rsidRDefault="00E87CD2" w:rsidP="00E87CD2">
    <w:pPr>
      <w:pStyle w:val="Header"/>
      <w:spacing w:before="0" w:after="0"/>
      <w:rPr>
        <w:rFonts w:ascii="Cambria" w:hAnsi="Cambria" w:cs="Calibri"/>
      </w:rPr>
    </w:pPr>
    <w:r w:rsidRPr="00F53123">
      <w:rPr>
        <w:rFonts w:ascii="Cambria" w:hAnsi="Cambria" w:cs="Calibri"/>
      </w:rPr>
      <w:t>Chapter 2. Traffic Data Collection Technology and Equipment</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FC00FC" w14:textId="03F08DD2" w:rsidR="00006E36" w:rsidRPr="00006E36" w:rsidRDefault="00006E36" w:rsidP="00006E36">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3.</w:t>
    </w:r>
    <w:r w:rsidRPr="00F53123">
      <w:rPr>
        <w:rFonts w:ascii="Cambria" w:hAnsi="Cambria" w:cs="Calibri"/>
      </w:rPr>
      <w:t xml:space="preserve"> </w:t>
    </w:r>
    <w:r>
      <w:rPr>
        <w:rFonts w:ascii="Cambria" w:hAnsi="Cambria" w:cs="Calibri"/>
      </w:rPr>
      <w:t xml:space="preserve">Methodologies for </w:t>
    </w:r>
    <w:r w:rsidRPr="00F53123">
      <w:rPr>
        <w:rFonts w:ascii="Cambria" w:hAnsi="Cambria" w:cs="Calibri"/>
      </w:rPr>
      <w:t xml:space="preserve">Traffic Data Collection </w:t>
    </w:r>
    <w:r>
      <w:rPr>
        <w:rFonts w:ascii="Cambria" w:hAnsi="Cambria" w:cs="Calibri"/>
      </w:rPr>
      <w:t>and Processing</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D62E28" w14:textId="46D3280D" w:rsidR="009A7C15" w:rsidRPr="00F53123" w:rsidRDefault="009A7C15" w:rsidP="000A0FD5">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3.</w:t>
    </w:r>
    <w:r w:rsidRPr="00F53123">
      <w:rPr>
        <w:rFonts w:ascii="Cambria" w:hAnsi="Cambria" w:cs="Calibri"/>
      </w:rPr>
      <w:t xml:space="preserve"> </w:t>
    </w:r>
    <w:r>
      <w:rPr>
        <w:rFonts w:ascii="Cambria" w:hAnsi="Cambria" w:cs="Calibri"/>
      </w:rPr>
      <w:t xml:space="preserve">Methodologies for </w:t>
    </w:r>
    <w:r w:rsidRPr="00F53123">
      <w:rPr>
        <w:rFonts w:ascii="Cambria" w:hAnsi="Cambria" w:cs="Calibri"/>
      </w:rPr>
      <w:t xml:space="preserve">Traffic Data Collection </w:t>
    </w:r>
    <w:r>
      <w:rPr>
        <w:rFonts w:ascii="Cambria" w:hAnsi="Cambria" w:cs="Calibri"/>
      </w:rPr>
      <w:t>and Processing</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F8D2B6" w14:textId="26906D38" w:rsidR="00271047" w:rsidRPr="00271047" w:rsidRDefault="00271047" w:rsidP="00271047">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7D44E7" w14:textId="176FA497" w:rsidR="0019188C" w:rsidRPr="00F53123" w:rsidRDefault="0019188C" w:rsidP="000A0FD5">
    <w:pPr>
      <w:pStyle w:val="Header"/>
      <w:spacing w:before="0" w:after="0"/>
      <w:rPr>
        <w:rFonts w:ascii="Cambria" w:hAnsi="Cambria" w:cs="Calibri"/>
      </w:rPr>
    </w:pPr>
    <w:r w:rsidRPr="00F53123">
      <w:rPr>
        <w:rFonts w:ascii="Cambria" w:hAnsi="Cambria" w:cs="Calibri"/>
      </w:rPr>
      <w:t xml:space="preserve">Chapter </w:t>
    </w:r>
    <w:r w:rsidR="00083BA6">
      <w:rPr>
        <w:rFonts w:ascii="Cambria" w:hAnsi="Cambria" w:cs="Calibri"/>
      </w:rPr>
      <w:t>4</w:t>
    </w:r>
    <w:r w:rsidRPr="00F53123">
      <w:rPr>
        <w:rFonts w:ascii="Cambria" w:hAnsi="Cambria" w:cs="Calibri"/>
      </w:rPr>
      <w:t xml:space="preserve">. Traffic </w:t>
    </w:r>
    <w:r w:rsidR="00083BA6">
      <w:rPr>
        <w:rFonts w:ascii="Cambria" w:hAnsi="Cambria" w:cs="Calibri"/>
      </w:rPr>
      <w:t xml:space="preserve">Monitoring </w:t>
    </w:r>
    <w:r w:rsidRPr="00F53123">
      <w:rPr>
        <w:rFonts w:ascii="Cambria" w:hAnsi="Cambria" w:cs="Calibri"/>
      </w:rPr>
      <w:t xml:space="preserve">Data </w:t>
    </w:r>
    <w:r w:rsidR="00083BA6">
      <w:rPr>
        <w:rFonts w:ascii="Cambria" w:hAnsi="Cambria" w:cs="Calibri"/>
      </w:rPr>
      <w:t>Formats</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09813E" w14:textId="658C08E4" w:rsidR="006428F4" w:rsidRPr="003216EE" w:rsidRDefault="003216EE" w:rsidP="003216EE">
    <w:pPr>
      <w:pStyle w:val="Header"/>
      <w:tabs>
        <w:tab w:val="clear" w:pos="4680"/>
        <w:tab w:val="clear" w:pos="9360"/>
        <w:tab w:val="center" w:pos="6624"/>
      </w:tabs>
    </w:pPr>
    <w:r>
      <w:rPr>
        <w:noProof/>
      </w:rPr>
      <mc:AlternateContent>
        <mc:Choice Requires="wps">
          <w:drawing>
            <wp:anchor distT="45720" distB="45720" distL="114300" distR="114300" simplePos="0" relativeHeight="251681792" behindDoc="1" locked="0" layoutInCell="1" allowOverlap="1" wp14:anchorId="6DEB02EE" wp14:editId="6BDC5527">
              <wp:simplePos x="0" y="0"/>
              <wp:positionH relativeFrom="column">
                <wp:posOffset>5594873</wp:posOffset>
              </wp:positionH>
              <wp:positionV relativeFrom="paragraph">
                <wp:posOffset>3216910</wp:posOffset>
              </wp:positionV>
              <wp:extent cx="6035040" cy="332740"/>
              <wp:effectExtent l="0" t="6350" r="0" b="0"/>
              <wp:wrapNone/>
              <wp:docPr id="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1F7E4244" w14:textId="21C23A4E" w:rsidR="003216EE" w:rsidRPr="00BB0C9D" w:rsidRDefault="00C432AD" w:rsidP="003216EE">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6DEB02EE" id="_x0000_t202" coordsize="21600,21600" o:spt="202" path="m,l,21600r21600,l21600,xe">
              <v:stroke joinstyle="miter"/>
              <v:path gradientshapeok="t" o:connecttype="rect"/>
            </v:shapetype>
            <v:shape id="_x0000_s1135" type="#_x0000_t202" style="position:absolute;margin-left:440.55pt;margin-top:253.3pt;width:475.2pt;height:26.2pt;rotation:90;z-index:-251634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" stroked="f">
              <v:textbox>
                <w:txbxContent>
                  <w:p w14:paraId="1F7E4244" w14:textId="21C23A4E" w:rsidR="003216EE" w:rsidRPr="00BB0C9D" w:rsidRDefault="00C432AD" w:rsidP="003216EE">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v:textbox>
            </v:shape>
          </w:pict>
        </mc:Fallback>
      </mc:AlternateContent>
    </w:r>
    <w:r>
      <w:rPr>
        <w:noProof/>
      </w:rPr>
      <mc:AlternateContent>
        <mc:Choice Requires="wps">
          <w:drawing>
            <wp:anchor distT="45720" distB="45720" distL="114300" distR="114300" simplePos="0" relativeHeight="251682816" behindDoc="0" locked="0" layoutInCell="1" allowOverlap="1" wp14:anchorId="7EBB9A32" wp14:editId="7E17790E">
              <wp:simplePos x="0" y="0"/>
              <wp:positionH relativeFrom="column">
                <wp:posOffset>-3533140</wp:posOffset>
              </wp:positionH>
              <wp:positionV relativeFrom="paragraph">
                <wp:posOffset>3256915</wp:posOffset>
              </wp:positionV>
              <wp:extent cx="6035040" cy="332740"/>
              <wp:effectExtent l="0" t="6350" r="0" b="0"/>
              <wp:wrapThrough wrapText="bothSides">
                <wp:wrapPolygon edited="0">
                  <wp:start x="-23" y="21188"/>
                  <wp:lineTo x="21523" y="21188"/>
                  <wp:lineTo x="21523" y="1402"/>
                  <wp:lineTo x="-23" y="1402"/>
                  <wp:lineTo x="-23" y="21188"/>
                </wp:wrapPolygon>
              </wp:wrapThrough>
              <wp:docPr id="2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49C0E512" w14:textId="77777777" w:rsidR="003216EE" w:rsidRPr="00BB0C9D" w:rsidRDefault="003216EE" w:rsidP="003216EE">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EBB9A32" id="_x0000_s1136" type="#_x0000_t202" style="position:absolute;margin-left:-278.2pt;margin-top:256.45pt;width:475.2pt;height:26.2pt;rotation:90;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" stroked="f">
              <v:textbox>
                <w:txbxContent>
                  <w:p w14:paraId="49C0E512" w14:textId="77777777" w:rsidR="003216EE" w:rsidRPr="00BB0C9D" w:rsidRDefault="003216EE" w:rsidP="003216EE">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v:textbox>
              <w10:wrap type="through"/>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64F496" w14:textId="77777777" w:rsidR="002532B3" w:rsidRPr="00271047" w:rsidRDefault="002532B3" w:rsidP="00271047">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DFED78" w14:textId="77777777" w:rsidR="00031D1D" w:rsidRPr="00871F71" w:rsidRDefault="00031D1D" w:rsidP="00871F71">
    <w:pPr>
      <w:pStyle w:val="TOCHeading"/>
      <w:spacing w:before="680" w:line="240" w:lineRule="auto"/>
      <w:rPr>
        <w:rFonts w:ascii="Cambria" w:hAnsi="Cambria"/>
        <w:color w:val="auto"/>
      </w:rPr>
    </w:pPr>
    <w:r w:rsidRPr="00871F71">
      <w:rPr>
        <w:rFonts w:ascii="Cambria" w:hAnsi="Cambria"/>
        <w:color w:val="auto"/>
      </w:rPr>
      <w:t>Table of Contents (Continued)</w:t>
    </w:r>
  </w:p>
  <w:p w14:paraId="5FA5DD33" w14:textId="7923C7BD" w:rsidR="00031D1D" w:rsidRPr="0094059C" w:rsidRDefault="00031D1D" w:rsidP="004F6DDF">
    <w:pPr>
      <w:spacing w:after="120"/>
      <w:jc w:val="right"/>
      <w:rPr>
        <w:rFonts w:ascii="Cambria" w:hAnsi="Cambria"/>
      </w:rPr>
    </w:pPr>
    <w:r w:rsidRPr="0094059C">
      <w:rPr>
        <w:rFonts w:ascii="Cambria" w:hAnsi="Cambria"/>
      </w:rPr>
      <w:t>Page</w:t>
    </w:r>
  </w:p>
  <w:p w14:paraId="6CB2922C" w14:textId="48679AA7" w:rsidR="00031D1D" w:rsidRPr="00031D1D" w:rsidRDefault="00031D1D" w:rsidP="00031D1D">
    <w:pPr>
      <w:pStyle w:val="TOCHeading"/>
      <w:spacing w:before="0" w:after="120" w:line="240" w:lineRule="auto"/>
      <w:rPr>
        <w:rFonts w:ascii="Cambria" w:hAnsi="Cambria"/>
        <w:color w:val="auto"/>
        <w:sz w:val="26"/>
        <w:szCs w:val="26"/>
      </w:rPr>
    </w:pPr>
    <w:r w:rsidRPr="00871F71">
      <w:rPr>
        <w:rFonts w:ascii="Cambria" w:hAnsi="Cambria"/>
        <w:color w:val="auto"/>
        <w:sz w:val="26"/>
        <w:szCs w:val="26"/>
      </w:rPr>
      <w:t>List of Tables</w:t>
    </w:r>
    <w:r>
      <w:rPr>
        <w:rFonts w:ascii="Cambria" w:hAnsi="Cambria"/>
        <w:color w:val="auto"/>
        <w:sz w:val="26"/>
        <w:szCs w:val="26"/>
      </w:rPr>
      <w:t xml:space="preserve"> (Continued)</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F30D10" w14:textId="77777777" w:rsidR="006428F4" w:rsidRPr="00F53123" w:rsidRDefault="006428F4" w:rsidP="000A0FD5">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6B7D71" w14:textId="6379A42F" w:rsidR="006428F4" w:rsidRPr="00C432AD" w:rsidRDefault="00C432AD" w:rsidP="00C432AD">
    <w:pPr>
      <w:pStyle w:val="Header"/>
      <w:tabs>
        <w:tab w:val="clear" w:pos="4680"/>
        <w:tab w:val="clear" w:pos="9360"/>
        <w:tab w:val="center" w:pos="6624"/>
      </w:tabs>
    </w:pPr>
    <w:r>
      <w:rPr>
        <w:noProof/>
      </w:rPr>
      <mc:AlternateContent>
        <mc:Choice Requires="wps">
          <w:drawing>
            <wp:anchor distT="45720" distB="45720" distL="114300" distR="114300" simplePos="0" relativeHeight="251684864" behindDoc="1" locked="0" layoutInCell="1" allowOverlap="1" wp14:anchorId="05EA9DED" wp14:editId="14B92DFF">
              <wp:simplePos x="0" y="0"/>
              <wp:positionH relativeFrom="column">
                <wp:posOffset>5594873</wp:posOffset>
              </wp:positionH>
              <wp:positionV relativeFrom="paragraph">
                <wp:posOffset>3216910</wp:posOffset>
              </wp:positionV>
              <wp:extent cx="6035040" cy="332740"/>
              <wp:effectExtent l="0" t="6350" r="0" b="0"/>
              <wp:wrapNone/>
              <wp:docPr id="2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10D62758" w14:textId="77777777" w:rsidR="00C432AD" w:rsidRPr="00BB0C9D" w:rsidRDefault="00C432AD" w:rsidP="00C432AD">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05EA9DED" id="_x0000_t202" coordsize="21600,21600" o:spt="202" path="m,l,21600r21600,l21600,xe">
              <v:stroke joinstyle="miter"/>
              <v:path gradientshapeok="t" o:connecttype="rect"/>
            </v:shapetype>
            <v:shape id="_x0000_s1137" type="#_x0000_t202" style="position:absolute;margin-left:440.55pt;margin-top:253.3pt;width:475.2pt;height:26.2pt;rotation:90;z-index:-251631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" stroked="f">
              <v:textbox>
                <w:txbxContent>
                  <w:p w14:paraId="10D62758" w14:textId="77777777" w:rsidR="00C432AD" w:rsidRPr="00BB0C9D" w:rsidRDefault="00C432AD" w:rsidP="00C432AD">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v:textbox>
            </v:shape>
          </w:pict>
        </mc:Fallback>
      </mc:AlternateContent>
    </w:r>
    <w:r>
      <w:rPr>
        <w:noProof/>
      </w:rPr>
      <mc:AlternateContent>
        <mc:Choice Requires="wps">
          <w:drawing>
            <wp:anchor distT="45720" distB="45720" distL="114300" distR="114300" simplePos="0" relativeHeight="251685888" behindDoc="0" locked="0" layoutInCell="1" allowOverlap="1" wp14:anchorId="1F263926" wp14:editId="186B3269">
              <wp:simplePos x="0" y="0"/>
              <wp:positionH relativeFrom="column">
                <wp:posOffset>-3533140</wp:posOffset>
              </wp:positionH>
              <wp:positionV relativeFrom="paragraph">
                <wp:posOffset>3256915</wp:posOffset>
              </wp:positionV>
              <wp:extent cx="6035040" cy="332740"/>
              <wp:effectExtent l="0" t="6350" r="0" b="0"/>
              <wp:wrapThrough wrapText="bothSides">
                <wp:wrapPolygon edited="0">
                  <wp:start x="-23" y="21188"/>
                  <wp:lineTo x="21523" y="21188"/>
                  <wp:lineTo x="21523" y="1402"/>
                  <wp:lineTo x="-23" y="1402"/>
                  <wp:lineTo x="-23" y="21188"/>
                </wp:wrapPolygon>
              </wp:wrapThrough>
              <wp:docPr id="2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3A76F6EF" w14:textId="77777777" w:rsidR="00C432AD" w:rsidRPr="00BB0C9D" w:rsidRDefault="00C432AD" w:rsidP="00C432AD">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F263926" id="_x0000_s1138" type="#_x0000_t202" style="position:absolute;margin-left:-278.2pt;margin-top:256.45pt;width:475.2pt;height:26.2pt;rotation:90;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" stroked="f">
              <v:textbox>
                <w:txbxContent>
                  <w:p w14:paraId="3A76F6EF" w14:textId="77777777" w:rsidR="00C432AD" w:rsidRPr="00BB0C9D" w:rsidRDefault="00C432AD" w:rsidP="00C432AD">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v:textbox>
              <w10:wrap type="through"/>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FF93BE" w14:textId="01E44A38" w:rsidR="006428F4" w:rsidRPr="00C432AD" w:rsidRDefault="00C432AD" w:rsidP="00C432AD">
    <w:pPr>
      <w:pStyle w:val="Header"/>
      <w:tabs>
        <w:tab w:val="clear" w:pos="4680"/>
        <w:tab w:val="clear" w:pos="9360"/>
        <w:tab w:val="center" w:pos="6624"/>
      </w:tabs>
    </w:pPr>
    <w:r>
      <w:rPr>
        <w:noProof/>
      </w:rPr>
      <mc:AlternateContent>
        <mc:Choice Requires="wps">
          <w:drawing>
            <wp:anchor distT="45720" distB="45720" distL="114300" distR="114300" simplePos="0" relativeHeight="251687936" behindDoc="1" locked="0" layoutInCell="1" allowOverlap="1" wp14:anchorId="7D8D0E8C" wp14:editId="277416C2">
              <wp:simplePos x="0" y="0"/>
              <wp:positionH relativeFrom="column">
                <wp:posOffset>5594873</wp:posOffset>
              </wp:positionH>
              <wp:positionV relativeFrom="paragraph">
                <wp:posOffset>3216910</wp:posOffset>
              </wp:positionV>
              <wp:extent cx="6035040" cy="332740"/>
              <wp:effectExtent l="0" t="6350" r="0" b="0"/>
              <wp:wrapNone/>
              <wp:docPr id="2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4C9C8833" w14:textId="77777777" w:rsidR="00C432AD" w:rsidRPr="00BB0C9D" w:rsidRDefault="00C432AD" w:rsidP="00C432AD">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7D8D0E8C" id="_x0000_t202" coordsize="21600,21600" o:spt="202" path="m,l,21600r21600,l21600,xe">
              <v:stroke joinstyle="miter"/>
              <v:path gradientshapeok="t" o:connecttype="rect"/>
            </v:shapetype>
            <v:shape id="_x0000_s1139" type="#_x0000_t202" style="position:absolute;margin-left:440.55pt;margin-top:253.3pt;width:475.2pt;height:26.2pt;rotation:90;z-index:-251628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" stroked="f">
              <v:textbox>
                <w:txbxContent>
                  <w:p w14:paraId="4C9C8833" w14:textId="77777777" w:rsidR="00C432AD" w:rsidRPr="00BB0C9D" w:rsidRDefault="00C432AD" w:rsidP="00C432AD">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v:textbox>
            </v:shape>
          </w:pict>
        </mc:Fallback>
      </mc:AlternateContent>
    </w:r>
    <w:r>
      <w:rPr>
        <w:noProof/>
      </w:rPr>
      <mc:AlternateContent>
        <mc:Choice Requires="wps">
          <w:drawing>
            <wp:anchor distT="45720" distB="45720" distL="114300" distR="114300" simplePos="0" relativeHeight="251688960" behindDoc="0" locked="0" layoutInCell="1" allowOverlap="1" wp14:anchorId="2B99DABB" wp14:editId="486911FF">
              <wp:simplePos x="0" y="0"/>
              <wp:positionH relativeFrom="column">
                <wp:posOffset>-3533140</wp:posOffset>
              </wp:positionH>
              <wp:positionV relativeFrom="paragraph">
                <wp:posOffset>3256915</wp:posOffset>
              </wp:positionV>
              <wp:extent cx="6035040" cy="332740"/>
              <wp:effectExtent l="0" t="6350" r="0" b="0"/>
              <wp:wrapThrough wrapText="bothSides">
                <wp:wrapPolygon edited="0">
                  <wp:start x="-23" y="21188"/>
                  <wp:lineTo x="21523" y="21188"/>
                  <wp:lineTo x="21523" y="1402"/>
                  <wp:lineTo x="-23" y="1402"/>
                  <wp:lineTo x="-23" y="21188"/>
                </wp:wrapPolygon>
              </wp:wrapThrough>
              <wp:docPr id="2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2AA6A04C" w14:textId="77777777" w:rsidR="00C432AD" w:rsidRPr="00BB0C9D" w:rsidRDefault="00C432AD" w:rsidP="00C432AD">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B99DABB" id="_x0000_s1140" type="#_x0000_t202" style="position:absolute;margin-left:-278.2pt;margin-top:256.45pt;width:475.2pt;height:26.2pt;rotation:90;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" stroked="f">
              <v:textbox>
                <w:txbxContent>
                  <w:p w14:paraId="2AA6A04C" w14:textId="77777777" w:rsidR="00C432AD" w:rsidRPr="00BB0C9D" w:rsidRDefault="00C432AD" w:rsidP="00C432AD">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v:textbox>
              <w10:wrap type="through"/>
            </v:shape>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1BFA6E" w14:textId="77777777" w:rsidR="006428F4" w:rsidRPr="00271047" w:rsidRDefault="006428F4" w:rsidP="00271047">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0C9B14" w14:textId="2D1F58E6" w:rsidR="006428F4" w:rsidRPr="006428F4" w:rsidRDefault="006428F4" w:rsidP="006428F4">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DADD65" w14:textId="27BD25FD" w:rsidR="00AC2B2A" w:rsidRPr="00C432AD" w:rsidRDefault="00C432AD" w:rsidP="00C432AD">
    <w:pPr>
      <w:pStyle w:val="Header"/>
      <w:tabs>
        <w:tab w:val="clear" w:pos="4680"/>
        <w:tab w:val="clear" w:pos="9360"/>
        <w:tab w:val="center" w:pos="6624"/>
      </w:tabs>
    </w:pPr>
    <w:r>
      <w:rPr>
        <w:noProof/>
      </w:rPr>
      <mc:AlternateContent>
        <mc:Choice Requires="wps">
          <w:drawing>
            <wp:anchor distT="45720" distB="45720" distL="114300" distR="114300" simplePos="0" relativeHeight="251694080" behindDoc="1" locked="0" layoutInCell="1" allowOverlap="1" wp14:anchorId="1689103D" wp14:editId="2340B7F9">
              <wp:simplePos x="0" y="0"/>
              <wp:positionH relativeFrom="column">
                <wp:posOffset>5594873</wp:posOffset>
              </wp:positionH>
              <wp:positionV relativeFrom="paragraph">
                <wp:posOffset>3216910</wp:posOffset>
              </wp:positionV>
              <wp:extent cx="6035040" cy="332740"/>
              <wp:effectExtent l="0" t="6350" r="0" b="0"/>
              <wp:wrapNone/>
              <wp:docPr id="2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3300B03A" w14:textId="77777777" w:rsidR="00C432AD" w:rsidRPr="00BB0C9D" w:rsidRDefault="00C432AD" w:rsidP="00C432AD">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1689103D" id="_x0000_t202" coordsize="21600,21600" o:spt="202" path="m,l,21600r21600,l21600,xe">
              <v:stroke joinstyle="miter"/>
              <v:path gradientshapeok="t" o:connecttype="rect"/>
            </v:shapetype>
            <v:shape id="_x0000_s1141" type="#_x0000_t202" style="position:absolute;margin-left:440.55pt;margin-top:253.3pt;width:475.2pt;height:26.2pt;rotation:90;z-index:-251622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" stroked="f">
              <v:textbox>
                <w:txbxContent>
                  <w:p w14:paraId="3300B03A" w14:textId="77777777" w:rsidR="00C432AD" w:rsidRPr="00BB0C9D" w:rsidRDefault="00C432AD" w:rsidP="00C432AD">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v:textbox>
            </v:shape>
          </w:pict>
        </mc:Fallback>
      </mc:AlternateContent>
    </w:r>
    <w:r>
      <w:rPr>
        <w:noProof/>
      </w:rPr>
      <mc:AlternateContent>
        <mc:Choice Requires="wps">
          <w:drawing>
            <wp:anchor distT="45720" distB="45720" distL="114300" distR="114300" simplePos="0" relativeHeight="251695104" behindDoc="0" locked="0" layoutInCell="1" allowOverlap="1" wp14:anchorId="04DE8DB3" wp14:editId="68EEAF04">
              <wp:simplePos x="0" y="0"/>
              <wp:positionH relativeFrom="column">
                <wp:posOffset>-3533140</wp:posOffset>
              </wp:positionH>
              <wp:positionV relativeFrom="paragraph">
                <wp:posOffset>3256915</wp:posOffset>
              </wp:positionV>
              <wp:extent cx="6035040" cy="332740"/>
              <wp:effectExtent l="0" t="6350" r="0" b="0"/>
              <wp:wrapThrough wrapText="bothSides">
                <wp:wrapPolygon edited="0">
                  <wp:start x="-23" y="21188"/>
                  <wp:lineTo x="21523" y="21188"/>
                  <wp:lineTo x="21523" y="1402"/>
                  <wp:lineTo x="-23" y="1402"/>
                  <wp:lineTo x="-23" y="21188"/>
                </wp:wrapPolygon>
              </wp:wrapThrough>
              <wp:docPr id="2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7ECB92E9" w14:textId="77777777" w:rsidR="00C432AD" w:rsidRPr="00BB0C9D" w:rsidRDefault="00C432AD" w:rsidP="00C432AD">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4DE8DB3" id="_x0000_s1142" type="#_x0000_t202" style="position:absolute;margin-left:-278.2pt;margin-top:256.45pt;width:475.2pt;height:26.2pt;rotation:90;z-index:25169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" stroked="f">
              <v:textbox>
                <w:txbxContent>
                  <w:p w14:paraId="7ECB92E9" w14:textId="77777777" w:rsidR="00C432AD" w:rsidRPr="00BB0C9D" w:rsidRDefault="00C432AD" w:rsidP="00C432AD">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v:textbox>
              <w10:wrap type="through"/>
            </v:shape>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8DB3A6" w14:textId="0BF0E152" w:rsidR="00AC2B2A" w:rsidRPr="00C432AD" w:rsidRDefault="00C432AD" w:rsidP="00C432AD">
    <w:pPr>
      <w:pStyle w:val="Header"/>
      <w:tabs>
        <w:tab w:val="clear" w:pos="4680"/>
        <w:tab w:val="clear" w:pos="9360"/>
        <w:tab w:val="center" w:pos="6624"/>
      </w:tabs>
    </w:pPr>
    <w:r>
      <w:rPr>
        <w:noProof/>
      </w:rPr>
      <mc:AlternateContent>
        <mc:Choice Requires="wps">
          <w:drawing>
            <wp:anchor distT="45720" distB="45720" distL="114300" distR="114300" simplePos="0" relativeHeight="251691008" behindDoc="1" locked="0" layoutInCell="1" allowOverlap="1" wp14:anchorId="25BDF1AB" wp14:editId="02ECF9A0">
              <wp:simplePos x="0" y="0"/>
              <wp:positionH relativeFrom="column">
                <wp:posOffset>5594873</wp:posOffset>
              </wp:positionH>
              <wp:positionV relativeFrom="paragraph">
                <wp:posOffset>3216910</wp:posOffset>
              </wp:positionV>
              <wp:extent cx="6035040" cy="332740"/>
              <wp:effectExtent l="0" t="6350" r="0" b="0"/>
              <wp:wrapNone/>
              <wp:docPr id="2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2DFFED02" w14:textId="77777777" w:rsidR="00C432AD" w:rsidRPr="00BB0C9D" w:rsidRDefault="00C432AD" w:rsidP="00C432AD">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25BDF1AB" id="_x0000_t202" coordsize="21600,21600" o:spt="202" path="m,l,21600r21600,l21600,xe">
              <v:stroke joinstyle="miter"/>
              <v:path gradientshapeok="t" o:connecttype="rect"/>
            </v:shapetype>
            <v:shape id="_x0000_s1143" type="#_x0000_t202" style="position:absolute;margin-left:440.55pt;margin-top:253.3pt;width:475.2pt;height:26.2pt;rotation:90;z-index:-251625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" stroked="f">
              <v:textbox>
                <w:txbxContent>
                  <w:p w14:paraId="2DFFED02" w14:textId="77777777" w:rsidR="00C432AD" w:rsidRPr="00BB0C9D" w:rsidRDefault="00C432AD" w:rsidP="00C432AD">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v:textbox>
            </v:shape>
          </w:pict>
        </mc:Fallback>
      </mc:AlternateContent>
    </w:r>
    <w:r>
      <w:rPr>
        <w:noProof/>
      </w:rPr>
      <mc:AlternateContent>
        <mc:Choice Requires="wps">
          <w:drawing>
            <wp:anchor distT="45720" distB="45720" distL="114300" distR="114300" simplePos="0" relativeHeight="251692032" behindDoc="0" locked="0" layoutInCell="1" allowOverlap="1" wp14:anchorId="5831340F" wp14:editId="72A7017C">
              <wp:simplePos x="0" y="0"/>
              <wp:positionH relativeFrom="column">
                <wp:posOffset>-3533140</wp:posOffset>
              </wp:positionH>
              <wp:positionV relativeFrom="paragraph">
                <wp:posOffset>3256915</wp:posOffset>
              </wp:positionV>
              <wp:extent cx="6035040" cy="332740"/>
              <wp:effectExtent l="0" t="6350" r="0" b="0"/>
              <wp:wrapThrough wrapText="bothSides">
                <wp:wrapPolygon edited="0">
                  <wp:start x="-23" y="21188"/>
                  <wp:lineTo x="21523" y="21188"/>
                  <wp:lineTo x="21523" y="1402"/>
                  <wp:lineTo x="-23" y="1402"/>
                  <wp:lineTo x="-23" y="21188"/>
                </wp:wrapPolygon>
              </wp:wrapThrough>
              <wp:docPr id="2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43E51875" w14:textId="77777777" w:rsidR="00C432AD" w:rsidRPr="00BB0C9D" w:rsidRDefault="00C432AD" w:rsidP="00C432AD">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831340F" id="_x0000_s1144" type="#_x0000_t202" style="position:absolute;margin-left:-278.2pt;margin-top:256.45pt;width:475.2pt;height:26.2pt;rotation:90;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" stroked="f">
              <v:textbox>
                <w:txbxContent>
                  <w:p w14:paraId="43E51875" w14:textId="77777777" w:rsidR="00C432AD" w:rsidRPr="00BB0C9D" w:rsidRDefault="00C432AD" w:rsidP="00C432AD">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v:textbox>
              <w10:wrap type="through"/>
            </v:shape>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049D81" w14:textId="6684BFE9" w:rsidR="00AC2B2A" w:rsidRPr="00AC2B2A" w:rsidRDefault="00AC2B2A" w:rsidP="00AC2B2A">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768BE3" w14:textId="585D4D22" w:rsidR="00AC2B2A" w:rsidRPr="00AC2B2A" w:rsidRDefault="00AC2B2A" w:rsidP="00AC2B2A">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6BD35" w14:textId="2688C9A9" w:rsidR="008219F2" w:rsidRPr="008219F2" w:rsidRDefault="008219F2" w:rsidP="008219F2">
    <w:pPr>
      <w:pStyle w:val="Header"/>
      <w:tabs>
        <w:tab w:val="clear" w:pos="4680"/>
        <w:tab w:val="clear" w:pos="9360"/>
        <w:tab w:val="center" w:pos="6624"/>
      </w:tabs>
    </w:pPr>
    <w:r>
      <w:rPr>
        <w:noProof/>
      </w:rPr>
      <mc:AlternateContent>
        <mc:Choice Requires="wps">
          <w:drawing>
            <wp:anchor distT="45720" distB="45720" distL="114300" distR="114300" simplePos="0" relativeHeight="251734016" behindDoc="1" locked="0" layoutInCell="1" allowOverlap="1" wp14:anchorId="3D0BEE98" wp14:editId="0DCD006F">
              <wp:simplePos x="0" y="0"/>
              <wp:positionH relativeFrom="column">
                <wp:posOffset>5594873</wp:posOffset>
              </wp:positionH>
              <wp:positionV relativeFrom="paragraph">
                <wp:posOffset>3216910</wp:posOffset>
              </wp:positionV>
              <wp:extent cx="6035040" cy="332740"/>
              <wp:effectExtent l="0" t="6350" r="0" b="0"/>
              <wp:wrapNone/>
              <wp:docPr id="2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07D32895" w14:textId="77777777" w:rsidR="008219F2" w:rsidRPr="00BB0C9D" w:rsidRDefault="008219F2" w:rsidP="008219F2">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3D0BEE98" id="_x0000_t202" coordsize="21600,21600" o:spt="202" path="m,l,21600r21600,l21600,xe">
              <v:stroke joinstyle="miter"/>
              <v:path gradientshapeok="t" o:connecttype="rect"/>
            </v:shapetype>
            <v:shape id="_x0000_s1145" type="#_x0000_t202" style="position:absolute;margin-left:440.55pt;margin-top:253.3pt;width:475.2pt;height:26.2pt;rotation:90;z-index:-251582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" stroked="f">
              <v:textbox>
                <w:txbxContent>
                  <w:p w14:paraId="07D32895" w14:textId="77777777" w:rsidR="008219F2" w:rsidRPr="00BB0C9D" w:rsidRDefault="008219F2" w:rsidP="008219F2">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v:textbox>
            </v:shape>
          </w:pict>
        </mc:Fallback>
      </mc:AlternateContent>
    </w:r>
    <w:r>
      <w:rPr>
        <w:noProof/>
      </w:rPr>
      <mc:AlternateContent>
        <mc:Choice Requires="wps">
          <w:drawing>
            <wp:anchor distT="45720" distB="45720" distL="114300" distR="114300" simplePos="0" relativeHeight="251735040" behindDoc="0" locked="0" layoutInCell="1" allowOverlap="1" wp14:anchorId="0C96532E" wp14:editId="7E01CFAB">
              <wp:simplePos x="0" y="0"/>
              <wp:positionH relativeFrom="column">
                <wp:posOffset>-3533140</wp:posOffset>
              </wp:positionH>
              <wp:positionV relativeFrom="paragraph">
                <wp:posOffset>3256915</wp:posOffset>
              </wp:positionV>
              <wp:extent cx="6035040" cy="332740"/>
              <wp:effectExtent l="0" t="6350" r="0" b="0"/>
              <wp:wrapThrough wrapText="bothSides">
                <wp:wrapPolygon edited="0">
                  <wp:start x="-23" y="21188"/>
                  <wp:lineTo x="21523" y="21188"/>
                  <wp:lineTo x="21523" y="1402"/>
                  <wp:lineTo x="-23" y="1402"/>
                  <wp:lineTo x="-23" y="21188"/>
                </wp:wrapPolygon>
              </wp:wrapThrough>
              <wp:docPr id="2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4AC89513" w14:textId="77777777" w:rsidR="008219F2" w:rsidRPr="00BB0C9D" w:rsidRDefault="008219F2" w:rsidP="008219F2">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C96532E" id="_x0000_s1146" type="#_x0000_t202" style="position:absolute;margin-left:-278.2pt;margin-top:256.45pt;width:475.2pt;height:26.2pt;rotation:90;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" stroked="f">
              <v:textbox>
                <w:txbxContent>
                  <w:p w14:paraId="4AC89513" w14:textId="77777777" w:rsidR="008219F2" w:rsidRPr="00BB0C9D" w:rsidRDefault="008219F2" w:rsidP="008219F2">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v:textbox>
              <w10:wrap type="through"/>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43031D" w14:textId="77777777" w:rsidR="00031D1D" w:rsidRPr="00871F71" w:rsidRDefault="00031D1D" w:rsidP="00031D1D">
    <w:pPr>
      <w:pStyle w:val="TOCHeading"/>
      <w:spacing w:before="680" w:line="240" w:lineRule="auto"/>
      <w:rPr>
        <w:rFonts w:ascii="Cambria" w:hAnsi="Cambria"/>
        <w:color w:val="auto"/>
      </w:rPr>
    </w:pPr>
    <w:r w:rsidRPr="00871F71">
      <w:rPr>
        <w:rFonts w:ascii="Cambria" w:hAnsi="Cambria"/>
        <w:color w:val="auto"/>
      </w:rPr>
      <w:t>Table of Contents (Continued)</w:t>
    </w:r>
  </w:p>
  <w:p w14:paraId="6ADB32BE" w14:textId="77777777" w:rsidR="00031D1D" w:rsidRPr="0094059C" w:rsidRDefault="00031D1D" w:rsidP="00031D1D">
    <w:pPr>
      <w:spacing w:after="120"/>
      <w:jc w:val="right"/>
      <w:rPr>
        <w:rFonts w:ascii="Cambria" w:hAnsi="Cambria"/>
      </w:rPr>
    </w:pPr>
    <w:r w:rsidRPr="0094059C">
      <w:rPr>
        <w:rFonts w:ascii="Cambria" w:hAnsi="Cambria"/>
      </w:rPr>
      <w:t>Page</w:t>
    </w:r>
  </w:p>
  <w:p w14:paraId="103DE3F1" w14:textId="28BC1E45" w:rsidR="00031D1D" w:rsidRPr="00031D1D" w:rsidRDefault="00031D1D" w:rsidP="00031D1D">
    <w:pPr>
      <w:pStyle w:val="TOCHeading"/>
      <w:spacing w:before="0" w:after="120" w:line="240" w:lineRule="auto"/>
      <w:rPr>
        <w:rFonts w:ascii="Cambria" w:hAnsi="Cambria"/>
        <w:color w:val="auto"/>
        <w:sz w:val="26"/>
        <w:szCs w:val="26"/>
      </w:rPr>
    </w:pPr>
    <w:r w:rsidRPr="00871F71">
      <w:rPr>
        <w:rFonts w:ascii="Cambria" w:hAnsi="Cambria"/>
        <w:color w:val="auto"/>
        <w:sz w:val="26"/>
        <w:szCs w:val="26"/>
      </w:rPr>
      <w:t>List of Tables</w:t>
    </w:r>
    <w:r>
      <w:rPr>
        <w:rFonts w:ascii="Cambria" w:hAnsi="Cambria"/>
        <w:color w:val="auto"/>
        <w:sz w:val="26"/>
        <w:szCs w:val="26"/>
      </w:rPr>
      <w:t xml:space="preserve"> (Continued)</w: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1B5912" w14:textId="0C45F5B6" w:rsidR="00B71607" w:rsidRPr="000C48E4" w:rsidRDefault="000C48E4" w:rsidP="000C48E4">
    <w:pPr>
      <w:pStyle w:val="Header"/>
      <w:tabs>
        <w:tab w:val="clear" w:pos="4680"/>
        <w:tab w:val="clear" w:pos="9360"/>
        <w:tab w:val="center" w:pos="6624"/>
      </w:tabs>
    </w:pPr>
    <w:r>
      <w:rPr>
        <w:noProof/>
      </w:rPr>
      <mc:AlternateContent>
        <mc:Choice Requires="wps">
          <w:drawing>
            <wp:anchor distT="45720" distB="45720" distL="114300" distR="114300" simplePos="0" relativeHeight="251755520" behindDoc="1" locked="0" layoutInCell="1" allowOverlap="1" wp14:anchorId="559FD5FA" wp14:editId="6FE0B554">
              <wp:simplePos x="0" y="0"/>
              <wp:positionH relativeFrom="column">
                <wp:posOffset>5594873</wp:posOffset>
              </wp:positionH>
              <wp:positionV relativeFrom="paragraph">
                <wp:posOffset>3216910</wp:posOffset>
              </wp:positionV>
              <wp:extent cx="6035040" cy="332740"/>
              <wp:effectExtent l="0" t="6350" r="0" b="0"/>
              <wp:wrapNone/>
              <wp:docPr id="358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6F245776" w14:textId="77777777" w:rsidR="000C48E4" w:rsidRPr="00BB0C9D" w:rsidRDefault="000C48E4" w:rsidP="000C48E4">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559FD5FA" id="_x0000_t202" coordsize="21600,21600" o:spt="202" path="m,l,21600r21600,l21600,xe">
              <v:stroke joinstyle="miter"/>
              <v:path gradientshapeok="t" o:connecttype="rect"/>
            </v:shapetype>
            <v:shape id="_x0000_s1147" type="#_x0000_t202" style="position:absolute;margin-left:440.55pt;margin-top:253.3pt;width:475.2pt;height:26.2pt;rotation:90;z-index:-251560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" stroked="f">
              <v:textbox>
                <w:txbxContent>
                  <w:p w14:paraId="6F245776" w14:textId="77777777" w:rsidR="000C48E4" w:rsidRPr="00BB0C9D" w:rsidRDefault="000C48E4" w:rsidP="000C48E4">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v:textbox>
            </v:shape>
          </w:pict>
        </mc:Fallback>
      </mc:AlternateContent>
    </w:r>
    <w:r>
      <w:rPr>
        <w:noProof/>
      </w:rPr>
      <mc:AlternateContent>
        <mc:Choice Requires="wps">
          <w:drawing>
            <wp:anchor distT="45720" distB="45720" distL="114300" distR="114300" simplePos="0" relativeHeight="251756544" behindDoc="0" locked="0" layoutInCell="1" allowOverlap="1" wp14:anchorId="1A994BBB" wp14:editId="05FB1449">
              <wp:simplePos x="0" y="0"/>
              <wp:positionH relativeFrom="column">
                <wp:posOffset>-3533140</wp:posOffset>
              </wp:positionH>
              <wp:positionV relativeFrom="paragraph">
                <wp:posOffset>3256915</wp:posOffset>
              </wp:positionV>
              <wp:extent cx="6035040" cy="332740"/>
              <wp:effectExtent l="0" t="6350" r="0" b="0"/>
              <wp:wrapThrough wrapText="bothSides">
                <wp:wrapPolygon edited="0">
                  <wp:start x="-23" y="21188"/>
                  <wp:lineTo x="21523" y="21188"/>
                  <wp:lineTo x="21523" y="1402"/>
                  <wp:lineTo x="-23" y="1402"/>
                  <wp:lineTo x="-23" y="21188"/>
                </wp:wrapPolygon>
              </wp:wrapThrough>
              <wp:docPr id="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014C04D0" w14:textId="77777777" w:rsidR="000C48E4" w:rsidRPr="00BB0C9D" w:rsidRDefault="000C48E4" w:rsidP="000C48E4">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A994BBB" id="_x0000_s1148" type="#_x0000_t202" style="position:absolute;margin-left:-278.2pt;margin-top:256.45pt;width:475.2pt;height:26.2pt;rotation:90;z-index:251756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" stroked="f">
              <v:textbox>
                <w:txbxContent>
                  <w:p w14:paraId="014C04D0" w14:textId="77777777" w:rsidR="000C48E4" w:rsidRPr="00BB0C9D" w:rsidRDefault="000C48E4" w:rsidP="000C48E4">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v:textbox>
              <w10:wrap type="through"/>
            </v:shape>
          </w:pict>
        </mc:Fallback>
      </mc:AlternateConten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C3B55D" w14:textId="76A4918B" w:rsidR="000C48E4" w:rsidRPr="000C48E4" w:rsidRDefault="000C48E4" w:rsidP="000C48E4">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A687F8" w14:textId="7AF189C4" w:rsidR="008219F2" w:rsidRPr="008219F2" w:rsidRDefault="008219F2" w:rsidP="008219F2">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2285EE" w14:textId="655B0CE2" w:rsidR="0026055C" w:rsidRPr="0026055C" w:rsidRDefault="0026055C" w:rsidP="0026055C">
    <w:pPr>
      <w:pStyle w:val="Header"/>
      <w:tabs>
        <w:tab w:val="clear" w:pos="4680"/>
        <w:tab w:val="clear" w:pos="9360"/>
        <w:tab w:val="center" w:pos="6624"/>
      </w:tabs>
    </w:pPr>
    <w:r>
      <w:rPr>
        <w:noProof/>
      </w:rPr>
      <mc:AlternateContent>
        <mc:Choice Requires="wps">
          <w:drawing>
            <wp:anchor distT="45720" distB="45720" distL="114300" distR="114300" simplePos="0" relativeHeight="251758592" behindDoc="1" locked="0" layoutInCell="1" allowOverlap="1" wp14:anchorId="349543F8" wp14:editId="5D5D55FC">
              <wp:simplePos x="0" y="0"/>
              <wp:positionH relativeFrom="column">
                <wp:posOffset>5594873</wp:posOffset>
              </wp:positionH>
              <wp:positionV relativeFrom="paragraph">
                <wp:posOffset>3216910</wp:posOffset>
              </wp:positionV>
              <wp:extent cx="6035040" cy="332740"/>
              <wp:effectExtent l="0" t="6350" r="0" b="0"/>
              <wp:wrapNone/>
              <wp:docPr id="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013F1D29" w14:textId="77777777" w:rsidR="0026055C" w:rsidRPr="00BB0C9D" w:rsidRDefault="0026055C" w:rsidP="0026055C">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349543F8" id="_x0000_t202" coordsize="21600,21600" o:spt="202" path="m,l,21600r21600,l21600,xe">
              <v:stroke joinstyle="miter"/>
              <v:path gradientshapeok="t" o:connecttype="rect"/>
            </v:shapetype>
            <v:shape id="_x0000_s1149" type="#_x0000_t202" style="position:absolute;margin-left:440.55pt;margin-top:253.3pt;width:475.2pt;height:26.2pt;rotation:90;z-index:-251557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" stroked="f">
              <v:textbox>
                <w:txbxContent>
                  <w:p w14:paraId="013F1D29" w14:textId="77777777" w:rsidR="0026055C" w:rsidRPr="00BB0C9D" w:rsidRDefault="0026055C" w:rsidP="0026055C">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v:textbox>
            </v:shape>
          </w:pict>
        </mc:Fallback>
      </mc:AlternateContent>
    </w:r>
    <w:r>
      <w:rPr>
        <w:noProof/>
      </w:rPr>
      <mc:AlternateContent>
        <mc:Choice Requires="wps">
          <w:drawing>
            <wp:anchor distT="45720" distB="45720" distL="114300" distR="114300" simplePos="0" relativeHeight="251759616" behindDoc="0" locked="0" layoutInCell="1" allowOverlap="1" wp14:anchorId="60B89D08" wp14:editId="256D18BF">
              <wp:simplePos x="0" y="0"/>
              <wp:positionH relativeFrom="column">
                <wp:posOffset>-3533140</wp:posOffset>
              </wp:positionH>
              <wp:positionV relativeFrom="paragraph">
                <wp:posOffset>3256915</wp:posOffset>
              </wp:positionV>
              <wp:extent cx="6035040" cy="332740"/>
              <wp:effectExtent l="0" t="6350" r="0" b="0"/>
              <wp:wrapThrough wrapText="bothSides">
                <wp:wrapPolygon edited="0">
                  <wp:start x="-23" y="21188"/>
                  <wp:lineTo x="21523" y="21188"/>
                  <wp:lineTo x="21523" y="1402"/>
                  <wp:lineTo x="-23" y="1402"/>
                  <wp:lineTo x="-23" y="21188"/>
                </wp:wrapPolygon>
              </wp:wrapThrough>
              <wp:docPr id="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6D4E5B39" w14:textId="77777777" w:rsidR="0026055C" w:rsidRPr="00BB0C9D" w:rsidRDefault="0026055C" w:rsidP="0026055C">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0B89D08" id="_x0000_s1150" type="#_x0000_t202" style="position:absolute;margin-left:-278.2pt;margin-top:256.45pt;width:475.2pt;height:26.2pt;rotation:90;z-index:251759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" stroked="f">
              <v:textbox>
                <w:txbxContent>
                  <w:p w14:paraId="6D4E5B39" w14:textId="77777777" w:rsidR="0026055C" w:rsidRPr="00BB0C9D" w:rsidRDefault="0026055C" w:rsidP="0026055C">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v:textbox>
              <w10:wrap type="through"/>
            </v:shape>
          </w:pict>
        </mc:Fallback>
      </mc:AlternateConten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B0DAAE" w14:textId="42AF7C7B" w:rsidR="008219F2" w:rsidRPr="008219F2" w:rsidRDefault="008219F2" w:rsidP="008219F2">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2425C7" w14:textId="2D88D236" w:rsidR="00B71607" w:rsidRPr="00B71607" w:rsidRDefault="00B71607" w:rsidP="00B71607">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AC6643" w14:textId="357FCC4F" w:rsidR="004605FE" w:rsidRPr="00C432AD" w:rsidRDefault="00C432AD" w:rsidP="00C432AD">
    <w:pPr>
      <w:pStyle w:val="Header"/>
      <w:tabs>
        <w:tab w:val="clear" w:pos="4680"/>
        <w:tab w:val="clear" w:pos="9360"/>
        <w:tab w:val="center" w:pos="6624"/>
      </w:tabs>
    </w:pPr>
    <w:r>
      <w:rPr>
        <w:noProof/>
      </w:rPr>
      <mc:AlternateContent>
        <mc:Choice Requires="wps">
          <w:drawing>
            <wp:anchor distT="45720" distB="45720" distL="114300" distR="114300" simplePos="0" relativeHeight="251700224" behindDoc="1" locked="0" layoutInCell="1" allowOverlap="1" wp14:anchorId="0C660C24" wp14:editId="41EC783A">
              <wp:simplePos x="0" y="0"/>
              <wp:positionH relativeFrom="column">
                <wp:posOffset>5594873</wp:posOffset>
              </wp:positionH>
              <wp:positionV relativeFrom="paragraph">
                <wp:posOffset>3216910</wp:posOffset>
              </wp:positionV>
              <wp:extent cx="6035040" cy="332740"/>
              <wp:effectExtent l="0" t="6350" r="0" b="0"/>
              <wp:wrapNone/>
              <wp:docPr id="2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3F49752F" w14:textId="77777777" w:rsidR="00C432AD" w:rsidRPr="00BB0C9D" w:rsidRDefault="00C432AD" w:rsidP="00C432AD">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0C660C24" id="_x0000_t202" coordsize="21600,21600" o:spt="202" path="m,l,21600r21600,l21600,xe">
              <v:stroke joinstyle="miter"/>
              <v:path gradientshapeok="t" o:connecttype="rect"/>
            </v:shapetype>
            <v:shape id="_x0000_s1151" type="#_x0000_t202" style="position:absolute;margin-left:440.55pt;margin-top:253.3pt;width:475.2pt;height:26.2pt;rotation:90;z-index:-251616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" stroked="f">
              <v:textbox>
                <w:txbxContent>
                  <w:p w14:paraId="3F49752F" w14:textId="77777777" w:rsidR="00C432AD" w:rsidRPr="00BB0C9D" w:rsidRDefault="00C432AD" w:rsidP="00C432AD">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v:textbox>
            </v:shape>
          </w:pict>
        </mc:Fallback>
      </mc:AlternateContent>
    </w:r>
    <w:r>
      <w:rPr>
        <w:noProof/>
      </w:rPr>
      <mc:AlternateContent>
        <mc:Choice Requires="wps">
          <w:drawing>
            <wp:anchor distT="45720" distB="45720" distL="114300" distR="114300" simplePos="0" relativeHeight="251701248" behindDoc="0" locked="0" layoutInCell="1" allowOverlap="1" wp14:anchorId="27CD16EC" wp14:editId="01F52B03">
              <wp:simplePos x="0" y="0"/>
              <wp:positionH relativeFrom="column">
                <wp:posOffset>-3533140</wp:posOffset>
              </wp:positionH>
              <wp:positionV relativeFrom="paragraph">
                <wp:posOffset>3256915</wp:posOffset>
              </wp:positionV>
              <wp:extent cx="6035040" cy="332740"/>
              <wp:effectExtent l="0" t="6350" r="0" b="0"/>
              <wp:wrapThrough wrapText="bothSides">
                <wp:wrapPolygon edited="0">
                  <wp:start x="-23" y="21188"/>
                  <wp:lineTo x="21523" y="21188"/>
                  <wp:lineTo x="21523" y="1402"/>
                  <wp:lineTo x="-23" y="1402"/>
                  <wp:lineTo x="-23" y="21188"/>
                </wp:wrapPolygon>
              </wp:wrapThrough>
              <wp:docPr id="2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1A3EAB7A" w14:textId="77777777" w:rsidR="00C432AD" w:rsidRPr="00BB0C9D" w:rsidRDefault="00C432AD" w:rsidP="00C432AD">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7CD16EC" id="_x0000_s1152" type="#_x0000_t202" style="position:absolute;margin-left:-278.2pt;margin-top:256.45pt;width:475.2pt;height:26.2pt;rotation:90;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" stroked="f">
              <v:textbox>
                <w:txbxContent>
                  <w:p w14:paraId="1A3EAB7A" w14:textId="77777777" w:rsidR="00C432AD" w:rsidRPr="00BB0C9D" w:rsidRDefault="00C432AD" w:rsidP="00C432AD">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v:textbox>
              <w10:wrap type="through"/>
            </v:shape>
          </w:pict>
        </mc:Fallback>
      </mc:AlternateConten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381E94" w14:textId="17E58A93" w:rsidR="004605FE" w:rsidRPr="00C432AD" w:rsidRDefault="00C432AD" w:rsidP="00C432AD">
    <w:pPr>
      <w:pStyle w:val="Header"/>
      <w:tabs>
        <w:tab w:val="clear" w:pos="4680"/>
        <w:tab w:val="clear" w:pos="9360"/>
        <w:tab w:val="center" w:pos="6624"/>
      </w:tabs>
    </w:pPr>
    <w:r>
      <w:rPr>
        <w:noProof/>
      </w:rPr>
      <mc:AlternateContent>
        <mc:Choice Requires="wps">
          <w:drawing>
            <wp:anchor distT="45720" distB="45720" distL="114300" distR="114300" simplePos="0" relativeHeight="251703296" behindDoc="1" locked="0" layoutInCell="1" allowOverlap="1" wp14:anchorId="5CC70B06" wp14:editId="5AFECF34">
              <wp:simplePos x="0" y="0"/>
              <wp:positionH relativeFrom="column">
                <wp:posOffset>5594873</wp:posOffset>
              </wp:positionH>
              <wp:positionV relativeFrom="paragraph">
                <wp:posOffset>3216910</wp:posOffset>
              </wp:positionV>
              <wp:extent cx="6035040" cy="332740"/>
              <wp:effectExtent l="0" t="6350" r="0" b="0"/>
              <wp:wrapNone/>
              <wp:docPr id="2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02CDD1B7" w14:textId="77777777" w:rsidR="00C432AD" w:rsidRPr="00BB0C9D" w:rsidRDefault="00C432AD" w:rsidP="00C432AD">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5CC70B06" id="_x0000_t202" coordsize="21600,21600" o:spt="202" path="m,l,21600r21600,l21600,xe">
              <v:stroke joinstyle="miter"/>
              <v:path gradientshapeok="t" o:connecttype="rect"/>
            </v:shapetype>
            <v:shape id="_x0000_s1153" type="#_x0000_t202" style="position:absolute;margin-left:440.55pt;margin-top:253.3pt;width:475.2pt;height:26.2pt;rotation:90;z-index:-251613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" stroked="f">
              <v:textbox>
                <w:txbxContent>
                  <w:p w14:paraId="02CDD1B7" w14:textId="77777777" w:rsidR="00C432AD" w:rsidRPr="00BB0C9D" w:rsidRDefault="00C432AD" w:rsidP="00C432AD">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v:textbox>
            </v:shape>
          </w:pict>
        </mc:Fallback>
      </mc:AlternateContent>
    </w:r>
    <w:r>
      <w:rPr>
        <w:noProof/>
      </w:rPr>
      <mc:AlternateContent>
        <mc:Choice Requires="wps">
          <w:drawing>
            <wp:anchor distT="45720" distB="45720" distL="114300" distR="114300" simplePos="0" relativeHeight="251704320" behindDoc="0" locked="0" layoutInCell="1" allowOverlap="1" wp14:anchorId="7C5FD88D" wp14:editId="04039130">
              <wp:simplePos x="0" y="0"/>
              <wp:positionH relativeFrom="column">
                <wp:posOffset>-3533140</wp:posOffset>
              </wp:positionH>
              <wp:positionV relativeFrom="paragraph">
                <wp:posOffset>3256915</wp:posOffset>
              </wp:positionV>
              <wp:extent cx="6035040" cy="332740"/>
              <wp:effectExtent l="0" t="6350" r="0" b="0"/>
              <wp:wrapThrough wrapText="bothSides">
                <wp:wrapPolygon edited="0">
                  <wp:start x="-23" y="21188"/>
                  <wp:lineTo x="21523" y="21188"/>
                  <wp:lineTo x="21523" y="1402"/>
                  <wp:lineTo x="-23" y="1402"/>
                  <wp:lineTo x="-23" y="21188"/>
                </wp:wrapPolygon>
              </wp:wrapThrough>
              <wp:docPr id="2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02CF09FC" w14:textId="77777777" w:rsidR="00C432AD" w:rsidRPr="00BB0C9D" w:rsidRDefault="00C432AD" w:rsidP="00C432AD">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C5FD88D" id="_x0000_s1154" type="#_x0000_t202" style="position:absolute;margin-left:-278.2pt;margin-top:256.45pt;width:475.2pt;height:26.2pt;rotation:90;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" stroked="f">
              <v:textbox>
                <w:txbxContent>
                  <w:p w14:paraId="02CF09FC" w14:textId="77777777" w:rsidR="00C432AD" w:rsidRPr="00BB0C9D" w:rsidRDefault="00C432AD" w:rsidP="00C432AD">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v:textbox>
              <w10:wrap type="through"/>
            </v:shape>
          </w:pict>
        </mc:Fallback>
      </mc:AlternateConten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361DED" w14:textId="127D6CFC" w:rsidR="004605FE" w:rsidRPr="004605FE" w:rsidRDefault="004605FE" w:rsidP="004605FE">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FB48EF" w14:textId="5190C44A" w:rsidR="004605FE" w:rsidRPr="004605FE" w:rsidRDefault="004605FE" w:rsidP="004605FE">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B8190D" w14:textId="77777777" w:rsidR="00031D1D" w:rsidRPr="00871F71" w:rsidRDefault="00031D1D" w:rsidP="00031D1D">
    <w:pPr>
      <w:pStyle w:val="TOCHeading"/>
      <w:spacing w:before="680" w:line="240" w:lineRule="auto"/>
      <w:rPr>
        <w:rFonts w:ascii="Cambria" w:hAnsi="Cambria"/>
        <w:color w:val="auto"/>
      </w:rPr>
    </w:pPr>
    <w:r w:rsidRPr="00871F71">
      <w:rPr>
        <w:rFonts w:ascii="Cambria" w:hAnsi="Cambria"/>
        <w:color w:val="auto"/>
      </w:rPr>
      <w:t>Table of Contents (Continued)</w:t>
    </w:r>
  </w:p>
  <w:p w14:paraId="56E4D479" w14:textId="390B6533" w:rsidR="00031D1D" w:rsidRPr="0094059C" w:rsidRDefault="00031D1D" w:rsidP="00031D1D">
    <w:pPr>
      <w:spacing w:after="120"/>
      <w:jc w:val="right"/>
      <w:rPr>
        <w:rFonts w:ascii="Cambria" w:hAnsi="Cambria"/>
      </w:rPr>
    </w:pPr>
    <w:r w:rsidRPr="0094059C">
      <w:rPr>
        <w:rFonts w:ascii="Cambria" w:hAnsi="Cambria"/>
      </w:rPr>
      <w:t>Page</w: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232294" w14:textId="384292BC" w:rsidR="00C432AD" w:rsidRPr="00C432AD" w:rsidRDefault="00C432AD" w:rsidP="00C432AD">
    <w:pPr>
      <w:pStyle w:val="Header"/>
      <w:tabs>
        <w:tab w:val="clear" w:pos="4680"/>
        <w:tab w:val="clear" w:pos="9360"/>
        <w:tab w:val="center" w:pos="6624"/>
      </w:tabs>
    </w:pPr>
    <w:r>
      <w:rPr>
        <w:noProof/>
      </w:rPr>
      <mc:AlternateContent>
        <mc:Choice Requires="wps">
          <w:drawing>
            <wp:anchor distT="45720" distB="45720" distL="114300" distR="114300" simplePos="0" relativeHeight="251709440" behindDoc="1" locked="0" layoutInCell="1" allowOverlap="1" wp14:anchorId="176483B7" wp14:editId="061DB59D">
              <wp:simplePos x="0" y="0"/>
              <wp:positionH relativeFrom="column">
                <wp:posOffset>5594873</wp:posOffset>
              </wp:positionH>
              <wp:positionV relativeFrom="paragraph">
                <wp:posOffset>3216910</wp:posOffset>
              </wp:positionV>
              <wp:extent cx="6035040" cy="332740"/>
              <wp:effectExtent l="0" t="6350" r="0" b="0"/>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334E0FB7" w14:textId="77777777" w:rsidR="00C432AD" w:rsidRPr="00BB0C9D" w:rsidRDefault="00C432AD" w:rsidP="00C432AD">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176483B7" id="_x0000_t202" coordsize="21600,21600" o:spt="202" path="m,l,21600r21600,l21600,xe">
              <v:stroke joinstyle="miter"/>
              <v:path gradientshapeok="t" o:connecttype="rect"/>
            </v:shapetype>
            <v:shape id="_x0000_s1155" type="#_x0000_t202" style="position:absolute;margin-left:440.55pt;margin-top:253.3pt;width:475.2pt;height:26.2pt;rotation:90;z-index:-251607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" stroked="f">
              <v:textbox>
                <w:txbxContent>
                  <w:p w14:paraId="334E0FB7" w14:textId="77777777" w:rsidR="00C432AD" w:rsidRPr="00BB0C9D" w:rsidRDefault="00C432AD" w:rsidP="00C432AD">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v:textbox>
            </v:shape>
          </w:pict>
        </mc:Fallback>
      </mc:AlternateContent>
    </w:r>
    <w:r>
      <w:rPr>
        <w:noProof/>
      </w:rPr>
      <mc:AlternateContent>
        <mc:Choice Requires="wps">
          <w:drawing>
            <wp:anchor distT="45720" distB="45720" distL="114300" distR="114300" simplePos="0" relativeHeight="251710464" behindDoc="0" locked="0" layoutInCell="1" allowOverlap="1" wp14:anchorId="3CCCE901" wp14:editId="1C13A235">
              <wp:simplePos x="0" y="0"/>
              <wp:positionH relativeFrom="column">
                <wp:posOffset>-3533140</wp:posOffset>
              </wp:positionH>
              <wp:positionV relativeFrom="paragraph">
                <wp:posOffset>3256915</wp:posOffset>
              </wp:positionV>
              <wp:extent cx="6035040" cy="332740"/>
              <wp:effectExtent l="0" t="6350" r="0" b="0"/>
              <wp:wrapThrough wrapText="bothSides">
                <wp:wrapPolygon edited="0">
                  <wp:start x="-23" y="21188"/>
                  <wp:lineTo x="21523" y="21188"/>
                  <wp:lineTo x="21523" y="1402"/>
                  <wp:lineTo x="-23" y="1402"/>
                  <wp:lineTo x="-23" y="21188"/>
                </wp:wrapPolygon>
              </wp:wrapThrough>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0BB804C5" w14:textId="77777777" w:rsidR="00C432AD" w:rsidRPr="00BB0C9D" w:rsidRDefault="00C432AD" w:rsidP="00C432AD">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CCCE901" id="_x0000_s1156" type="#_x0000_t202" style="position:absolute;margin-left:-278.2pt;margin-top:256.45pt;width:475.2pt;height:26.2pt;rotation:90;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" stroked="f">
              <v:textbox>
                <w:txbxContent>
                  <w:p w14:paraId="0BB804C5" w14:textId="77777777" w:rsidR="00C432AD" w:rsidRPr="00BB0C9D" w:rsidRDefault="00C432AD" w:rsidP="00C432AD">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v:textbox>
              <w10:wrap type="through"/>
            </v:shape>
          </w:pict>
        </mc:Fallback>
      </mc:AlternateConten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BCFC67" w14:textId="6A532667" w:rsidR="00CE11FD" w:rsidRPr="00CE11FD" w:rsidRDefault="00CE11FD" w:rsidP="00CE11FD">
    <w:pPr>
      <w:pStyle w:val="Header"/>
      <w:tabs>
        <w:tab w:val="clear" w:pos="4680"/>
        <w:tab w:val="clear" w:pos="9360"/>
        <w:tab w:val="center" w:pos="6624"/>
      </w:tabs>
    </w:pPr>
    <w:r>
      <w:rPr>
        <w:noProof/>
      </w:rPr>
      <mc:AlternateContent>
        <mc:Choice Requires="wps">
          <w:drawing>
            <wp:anchor distT="45720" distB="45720" distL="114300" distR="114300" simplePos="0" relativeHeight="251746304" behindDoc="1" locked="0" layoutInCell="1" allowOverlap="1" wp14:anchorId="0E4FF308" wp14:editId="2C2B2A63">
              <wp:simplePos x="0" y="0"/>
              <wp:positionH relativeFrom="column">
                <wp:posOffset>5594873</wp:posOffset>
              </wp:positionH>
              <wp:positionV relativeFrom="paragraph">
                <wp:posOffset>3216910</wp:posOffset>
              </wp:positionV>
              <wp:extent cx="6035040" cy="332740"/>
              <wp:effectExtent l="0" t="6350" r="0" b="0"/>
              <wp:wrapNone/>
              <wp:docPr id="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43FFDB3F" w14:textId="77777777" w:rsidR="00CE11FD" w:rsidRPr="00BB0C9D" w:rsidRDefault="00CE11FD" w:rsidP="00CE11FD">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0E4FF308" id="_x0000_t202" coordsize="21600,21600" o:spt="202" path="m,l,21600r21600,l21600,xe">
              <v:stroke joinstyle="miter"/>
              <v:path gradientshapeok="t" o:connecttype="rect"/>
            </v:shapetype>
            <v:shape id="_x0000_s1157" type="#_x0000_t202" style="position:absolute;margin-left:440.55pt;margin-top:253.3pt;width:475.2pt;height:26.2pt;rotation:90;z-index:-251570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" stroked="f">
              <v:textbox>
                <w:txbxContent>
                  <w:p w14:paraId="43FFDB3F" w14:textId="77777777" w:rsidR="00CE11FD" w:rsidRPr="00BB0C9D" w:rsidRDefault="00CE11FD" w:rsidP="00CE11FD">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v:textbox>
            </v:shape>
          </w:pict>
        </mc:Fallback>
      </mc:AlternateContent>
    </w:r>
    <w:r>
      <w:rPr>
        <w:noProof/>
      </w:rPr>
      <mc:AlternateContent>
        <mc:Choice Requires="wps">
          <w:drawing>
            <wp:anchor distT="45720" distB="45720" distL="114300" distR="114300" simplePos="0" relativeHeight="251747328" behindDoc="0" locked="0" layoutInCell="1" allowOverlap="1" wp14:anchorId="0F05DF73" wp14:editId="6F59FD31">
              <wp:simplePos x="0" y="0"/>
              <wp:positionH relativeFrom="column">
                <wp:posOffset>-3533140</wp:posOffset>
              </wp:positionH>
              <wp:positionV relativeFrom="paragraph">
                <wp:posOffset>3256915</wp:posOffset>
              </wp:positionV>
              <wp:extent cx="6035040" cy="332740"/>
              <wp:effectExtent l="0" t="6350" r="0" b="0"/>
              <wp:wrapThrough wrapText="bothSides">
                <wp:wrapPolygon edited="0">
                  <wp:start x="-23" y="21188"/>
                  <wp:lineTo x="21523" y="21188"/>
                  <wp:lineTo x="21523" y="1402"/>
                  <wp:lineTo x="-23" y="1402"/>
                  <wp:lineTo x="-23" y="21188"/>
                </wp:wrapPolygon>
              </wp:wrapThrough>
              <wp:docPr id="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716A683C" w14:textId="77777777" w:rsidR="00CE11FD" w:rsidRPr="00BB0C9D" w:rsidRDefault="00CE11FD" w:rsidP="00CE11FD">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F05DF73" id="_x0000_s1158" type="#_x0000_t202" style="position:absolute;margin-left:-278.2pt;margin-top:256.45pt;width:475.2pt;height:26.2pt;rotation:90;z-index:25174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" stroked="f">
              <v:textbox>
                <w:txbxContent>
                  <w:p w14:paraId="716A683C" w14:textId="77777777" w:rsidR="00CE11FD" w:rsidRPr="00BB0C9D" w:rsidRDefault="00CE11FD" w:rsidP="00CE11FD">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v:textbox>
              <w10:wrap type="through"/>
            </v:shape>
          </w:pict>
        </mc:Fallback>
      </mc:AlternateConten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F37836" w14:textId="77777777" w:rsidR="00CE11FD" w:rsidRPr="00C432AD" w:rsidRDefault="00CE11FD" w:rsidP="00C432AD">
    <w:pPr>
      <w:pStyle w:val="Header"/>
      <w:tabs>
        <w:tab w:val="clear" w:pos="4680"/>
        <w:tab w:val="clear" w:pos="9360"/>
        <w:tab w:val="center" w:pos="6624"/>
      </w:tabs>
    </w:pPr>
    <w:r>
      <w:rPr>
        <w:noProof/>
      </w:rPr>
      <mc:AlternateContent>
        <mc:Choice Requires="wps">
          <w:drawing>
            <wp:anchor distT="45720" distB="45720" distL="114300" distR="114300" simplePos="0" relativeHeight="251743232" behindDoc="1" locked="0" layoutInCell="1" allowOverlap="1" wp14:anchorId="77578C27" wp14:editId="74A89A84">
              <wp:simplePos x="0" y="0"/>
              <wp:positionH relativeFrom="column">
                <wp:posOffset>5594873</wp:posOffset>
              </wp:positionH>
              <wp:positionV relativeFrom="paragraph">
                <wp:posOffset>3216910</wp:posOffset>
              </wp:positionV>
              <wp:extent cx="6035040" cy="332740"/>
              <wp:effectExtent l="0" t="6350" r="0" b="0"/>
              <wp:wrapNone/>
              <wp:docPr id="2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6512539E" w14:textId="77777777" w:rsidR="00CE11FD" w:rsidRPr="00BB0C9D" w:rsidRDefault="00CE11FD" w:rsidP="00C432AD">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77578C27" id="_x0000_t202" coordsize="21600,21600" o:spt="202" path="m,l,21600r21600,l21600,xe">
              <v:stroke joinstyle="miter"/>
              <v:path gradientshapeok="t" o:connecttype="rect"/>
            </v:shapetype>
            <v:shape id="_x0000_s1159" type="#_x0000_t202" style="position:absolute;margin-left:440.55pt;margin-top:253.3pt;width:475.2pt;height:26.2pt;rotation:90;z-index:-251573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" stroked="f">
              <v:textbox>
                <w:txbxContent>
                  <w:p w14:paraId="6512539E" w14:textId="77777777" w:rsidR="00CE11FD" w:rsidRPr="00BB0C9D" w:rsidRDefault="00CE11FD" w:rsidP="00C432AD">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v:textbox>
            </v:shape>
          </w:pict>
        </mc:Fallback>
      </mc:AlternateContent>
    </w:r>
    <w:r>
      <w:rPr>
        <w:noProof/>
      </w:rPr>
      <mc:AlternateContent>
        <mc:Choice Requires="wps">
          <w:drawing>
            <wp:anchor distT="45720" distB="45720" distL="114300" distR="114300" simplePos="0" relativeHeight="251744256" behindDoc="0" locked="0" layoutInCell="1" allowOverlap="1" wp14:anchorId="033CBEF4" wp14:editId="4C765A00">
              <wp:simplePos x="0" y="0"/>
              <wp:positionH relativeFrom="column">
                <wp:posOffset>-3533140</wp:posOffset>
              </wp:positionH>
              <wp:positionV relativeFrom="paragraph">
                <wp:posOffset>3256915</wp:posOffset>
              </wp:positionV>
              <wp:extent cx="6035040" cy="332740"/>
              <wp:effectExtent l="0" t="6350" r="0" b="0"/>
              <wp:wrapThrough wrapText="bothSides">
                <wp:wrapPolygon edited="0">
                  <wp:start x="-23" y="21188"/>
                  <wp:lineTo x="21523" y="21188"/>
                  <wp:lineTo x="21523" y="1402"/>
                  <wp:lineTo x="-23" y="1402"/>
                  <wp:lineTo x="-23" y="21188"/>
                </wp:wrapPolygon>
              </wp:wrapThrough>
              <wp:docPr id="3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35930EDD" w14:textId="77777777" w:rsidR="00CE11FD" w:rsidRPr="00BB0C9D" w:rsidRDefault="00CE11FD" w:rsidP="00C432AD">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33CBEF4" id="_x0000_s1160" type="#_x0000_t202" style="position:absolute;margin-left:-278.2pt;margin-top:256.45pt;width:475.2pt;height:26.2pt;rotation:90;z-index:251744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" stroked="f">
              <v:textbox>
                <w:txbxContent>
                  <w:p w14:paraId="35930EDD" w14:textId="77777777" w:rsidR="00CE11FD" w:rsidRPr="00BB0C9D" w:rsidRDefault="00CE11FD" w:rsidP="00C432AD">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v:textbox>
              <w10:wrap type="through"/>
            </v:shape>
          </w:pict>
        </mc:Fallback>
      </mc:AlternateConten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87D63B" w14:textId="669F7637" w:rsidR="00C432AD" w:rsidRPr="00C432AD" w:rsidRDefault="00C432AD" w:rsidP="00C432AD">
    <w:pPr>
      <w:pStyle w:val="Header"/>
      <w:tabs>
        <w:tab w:val="clear" w:pos="4680"/>
        <w:tab w:val="clear" w:pos="9360"/>
        <w:tab w:val="center" w:pos="6624"/>
      </w:tabs>
    </w:pPr>
    <w:r>
      <w:rPr>
        <w:noProof/>
      </w:rPr>
      <mc:AlternateContent>
        <mc:Choice Requires="wps">
          <w:drawing>
            <wp:anchor distT="45720" distB="45720" distL="114300" distR="114300" simplePos="0" relativeHeight="251706368" behindDoc="1" locked="0" layoutInCell="1" allowOverlap="1" wp14:anchorId="6583BA3A" wp14:editId="098C2980">
              <wp:simplePos x="0" y="0"/>
              <wp:positionH relativeFrom="column">
                <wp:posOffset>5594873</wp:posOffset>
              </wp:positionH>
              <wp:positionV relativeFrom="paragraph">
                <wp:posOffset>3216910</wp:posOffset>
              </wp:positionV>
              <wp:extent cx="6035040" cy="332740"/>
              <wp:effectExtent l="0" t="6350" r="0" b="0"/>
              <wp:wrapNone/>
              <wp:docPr id="2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7F326F2D" w14:textId="77777777" w:rsidR="00C432AD" w:rsidRPr="00BB0C9D" w:rsidRDefault="00C432AD" w:rsidP="00C432AD">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6583BA3A" id="_x0000_t202" coordsize="21600,21600" o:spt="202" path="m,l,21600r21600,l21600,xe">
              <v:stroke joinstyle="miter"/>
              <v:path gradientshapeok="t" o:connecttype="rect"/>
            </v:shapetype>
            <v:shape id="_x0000_s1161" type="#_x0000_t202" style="position:absolute;margin-left:440.55pt;margin-top:253.3pt;width:475.2pt;height:26.2pt;rotation:90;z-index:-251610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" stroked="f">
              <v:textbox>
                <w:txbxContent>
                  <w:p w14:paraId="7F326F2D" w14:textId="77777777" w:rsidR="00C432AD" w:rsidRPr="00BB0C9D" w:rsidRDefault="00C432AD" w:rsidP="00C432AD">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v:textbox>
            </v:shape>
          </w:pict>
        </mc:Fallback>
      </mc:AlternateContent>
    </w:r>
    <w:r>
      <w:rPr>
        <w:noProof/>
      </w:rPr>
      <mc:AlternateContent>
        <mc:Choice Requires="wps">
          <w:drawing>
            <wp:anchor distT="45720" distB="45720" distL="114300" distR="114300" simplePos="0" relativeHeight="251707392" behindDoc="0" locked="0" layoutInCell="1" allowOverlap="1" wp14:anchorId="6120D297" wp14:editId="433BC272">
              <wp:simplePos x="0" y="0"/>
              <wp:positionH relativeFrom="column">
                <wp:posOffset>-3533140</wp:posOffset>
              </wp:positionH>
              <wp:positionV relativeFrom="paragraph">
                <wp:posOffset>3256915</wp:posOffset>
              </wp:positionV>
              <wp:extent cx="6035040" cy="332740"/>
              <wp:effectExtent l="0" t="6350" r="0" b="0"/>
              <wp:wrapThrough wrapText="bothSides">
                <wp:wrapPolygon edited="0">
                  <wp:start x="-23" y="21188"/>
                  <wp:lineTo x="21523" y="21188"/>
                  <wp:lineTo x="21523" y="1402"/>
                  <wp:lineTo x="-23" y="1402"/>
                  <wp:lineTo x="-23" y="21188"/>
                </wp:wrapPolygon>
              </wp:wrapThrough>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4B1F5F31" w14:textId="77777777" w:rsidR="00C432AD" w:rsidRPr="00BB0C9D" w:rsidRDefault="00C432AD" w:rsidP="00C432AD">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120D297" id="_x0000_s1162" type="#_x0000_t202" style="position:absolute;margin-left:-278.2pt;margin-top:256.45pt;width:475.2pt;height:26.2pt;rotation:90;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" stroked="f">
              <v:textbox>
                <w:txbxContent>
                  <w:p w14:paraId="4B1F5F31" w14:textId="77777777" w:rsidR="00C432AD" w:rsidRPr="00BB0C9D" w:rsidRDefault="00C432AD" w:rsidP="00C432AD">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v:textbox>
              <w10:wrap type="through"/>
            </v:shape>
          </w:pict>
        </mc:Fallback>
      </mc:AlternateConten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1FACA1" w14:textId="77777777" w:rsidR="00C432AD" w:rsidRPr="004605FE" w:rsidRDefault="00C432AD" w:rsidP="004605FE">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A78B3A" w14:textId="77777777" w:rsidR="00C432AD" w:rsidRPr="004605FE" w:rsidRDefault="00C432AD" w:rsidP="004605FE">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077E29" w14:textId="1E209876" w:rsidR="004605FE" w:rsidRPr="00F124B1" w:rsidRDefault="00F124B1" w:rsidP="00F124B1">
    <w:pPr>
      <w:pStyle w:val="Header"/>
      <w:tabs>
        <w:tab w:val="clear" w:pos="4680"/>
        <w:tab w:val="clear" w:pos="9360"/>
        <w:tab w:val="center" w:pos="6624"/>
      </w:tabs>
    </w:pPr>
    <w:r>
      <w:rPr>
        <w:noProof/>
      </w:rPr>
      <mc:AlternateContent>
        <mc:Choice Requires="wps">
          <w:drawing>
            <wp:anchor distT="45720" distB="45720" distL="114300" distR="114300" simplePos="0" relativeHeight="251715584" behindDoc="1" locked="0" layoutInCell="1" allowOverlap="1" wp14:anchorId="78C2EF2D" wp14:editId="695E7EBE">
              <wp:simplePos x="0" y="0"/>
              <wp:positionH relativeFrom="column">
                <wp:posOffset>5594873</wp:posOffset>
              </wp:positionH>
              <wp:positionV relativeFrom="paragraph">
                <wp:posOffset>3216910</wp:posOffset>
              </wp:positionV>
              <wp:extent cx="6035040" cy="332740"/>
              <wp:effectExtent l="0" t="6350" r="0" b="0"/>
              <wp:wrapNone/>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05DB8327" w14:textId="77777777" w:rsidR="00F124B1" w:rsidRPr="00BB0C9D" w:rsidRDefault="00F124B1" w:rsidP="00F124B1">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78C2EF2D" id="_x0000_t202" coordsize="21600,21600" o:spt="202" path="m,l,21600r21600,l21600,xe">
              <v:stroke joinstyle="miter"/>
              <v:path gradientshapeok="t" o:connecttype="rect"/>
            </v:shapetype>
            <v:shape id="_x0000_s1163" type="#_x0000_t202" style="position:absolute;margin-left:440.55pt;margin-top:253.3pt;width:475.2pt;height:26.2pt;rotation:90;z-index:-251600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" stroked="f">
              <v:textbox>
                <w:txbxContent>
                  <w:p w14:paraId="05DB8327" w14:textId="77777777" w:rsidR="00F124B1" w:rsidRPr="00BB0C9D" w:rsidRDefault="00F124B1" w:rsidP="00F124B1">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v:textbox>
            </v:shape>
          </w:pict>
        </mc:Fallback>
      </mc:AlternateContent>
    </w:r>
    <w:r>
      <w:rPr>
        <w:noProof/>
      </w:rPr>
      <mc:AlternateContent>
        <mc:Choice Requires="wps">
          <w:drawing>
            <wp:anchor distT="45720" distB="45720" distL="114300" distR="114300" simplePos="0" relativeHeight="251716608" behindDoc="0" locked="0" layoutInCell="1" allowOverlap="1" wp14:anchorId="6931205A" wp14:editId="1CB31B07">
              <wp:simplePos x="0" y="0"/>
              <wp:positionH relativeFrom="column">
                <wp:posOffset>-3533140</wp:posOffset>
              </wp:positionH>
              <wp:positionV relativeFrom="paragraph">
                <wp:posOffset>3256915</wp:posOffset>
              </wp:positionV>
              <wp:extent cx="6035040" cy="332740"/>
              <wp:effectExtent l="0" t="6350" r="0" b="0"/>
              <wp:wrapThrough wrapText="bothSides">
                <wp:wrapPolygon edited="0">
                  <wp:start x="-23" y="21188"/>
                  <wp:lineTo x="21523" y="21188"/>
                  <wp:lineTo x="21523" y="1402"/>
                  <wp:lineTo x="-23" y="1402"/>
                  <wp:lineTo x="-23" y="21188"/>
                </wp:wrapPolygon>
              </wp:wrapThrough>
              <wp:docPr id="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1A5805CD" w14:textId="77777777" w:rsidR="00F124B1" w:rsidRPr="00BB0C9D" w:rsidRDefault="00F124B1" w:rsidP="00F124B1">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931205A" id="_x0000_s1164" type="#_x0000_t202" style="position:absolute;margin-left:-278.2pt;margin-top:256.45pt;width:475.2pt;height:26.2pt;rotation:90;z-index:25171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" stroked="f">
              <v:textbox>
                <w:txbxContent>
                  <w:p w14:paraId="1A5805CD" w14:textId="77777777" w:rsidR="00F124B1" w:rsidRPr="00BB0C9D" w:rsidRDefault="00F124B1" w:rsidP="00F124B1">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v:textbox>
              <w10:wrap type="through"/>
            </v:shape>
          </w:pict>
        </mc:Fallback>
      </mc:AlternateConten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3DAA62" w14:textId="4E895700" w:rsidR="004605FE" w:rsidRPr="00F124B1" w:rsidRDefault="00F124B1" w:rsidP="00F124B1">
    <w:pPr>
      <w:pStyle w:val="Header"/>
      <w:tabs>
        <w:tab w:val="clear" w:pos="4680"/>
        <w:tab w:val="clear" w:pos="9360"/>
        <w:tab w:val="center" w:pos="6624"/>
      </w:tabs>
    </w:pPr>
    <w:r>
      <w:rPr>
        <w:noProof/>
      </w:rPr>
      <mc:AlternateContent>
        <mc:Choice Requires="wps">
          <w:drawing>
            <wp:anchor distT="45720" distB="45720" distL="114300" distR="114300" simplePos="0" relativeHeight="251712512" behindDoc="1" locked="0" layoutInCell="1" allowOverlap="1" wp14:anchorId="647E427A" wp14:editId="5AC92A65">
              <wp:simplePos x="0" y="0"/>
              <wp:positionH relativeFrom="column">
                <wp:posOffset>5594873</wp:posOffset>
              </wp:positionH>
              <wp:positionV relativeFrom="paragraph">
                <wp:posOffset>3216910</wp:posOffset>
              </wp:positionV>
              <wp:extent cx="6035040" cy="332740"/>
              <wp:effectExtent l="0" t="6350" r="0" b="0"/>
              <wp:wrapNone/>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42AC3D68" w14:textId="77777777" w:rsidR="00F124B1" w:rsidRPr="00BB0C9D" w:rsidRDefault="00F124B1" w:rsidP="00F124B1">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647E427A" id="_x0000_t202" coordsize="21600,21600" o:spt="202" path="m,l,21600r21600,l21600,xe">
              <v:stroke joinstyle="miter"/>
              <v:path gradientshapeok="t" o:connecttype="rect"/>
            </v:shapetype>
            <v:shape id="_x0000_s1165" type="#_x0000_t202" style="position:absolute;margin-left:440.55pt;margin-top:253.3pt;width:475.2pt;height:26.2pt;rotation:90;z-index:-251603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" stroked="f">
              <v:textbox>
                <w:txbxContent>
                  <w:p w14:paraId="42AC3D68" w14:textId="77777777" w:rsidR="00F124B1" w:rsidRPr="00BB0C9D" w:rsidRDefault="00F124B1" w:rsidP="00F124B1">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v:textbox>
            </v:shape>
          </w:pict>
        </mc:Fallback>
      </mc:AlternateContent>
    </w:r>
    <w:r>
      <w:rPr>
        <w:noProof/>
      </w:rPr>
      <mc:AlternateContent>
        <mc:Choice Requires="wps">
          <w:drawing>
            <wp:anchor distT="45720" distB="45720" distL="114300" distR="114300" simplePos="0" relativeHeight="251713536" behindDoc="0" locked="0" layoutInCell="1" allowOverlap="1" wp14:anchorId="726C49FE" wp14:editId="3F5F854B">
              <wp:simplePos x="0" y="0"/>
              <wp:positionH relativeFrom="column">
                <wp:posOffset>-3533140</wp:posOffset>
              </wp:positionH>
              <wp:positionV relativeFrom="paragraph">
                <wp:posOffset>3256915</wp:posOffset>
              </wp:positionV>
              <wp:extent cx="6035040" cy="332740"/>
              <wp:effectExtent l="0" t="6350" r="0" b="0"/>
              <wp:wrapThrough wrapText="bothSides">
                <wp:wrapPolygon edited="0">
                  <wp:start x="-23" y="21188"/>
                  <wp:lineTo x="21523" y="21188"/>
                  <wp:lineTo x="21523" y="1402"/>
                  <wp:lineTo x="-23" y="1402"/>
                  <wp:lineTo x="-23" y="21188"/>
                </wp:wrapPolygon>
              </wp:wrapThrough>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30A28FAB" w14:textId="77777777" w:rsidR="00F124B1" w:rsidRPr="00BB0C9D" w:rsidRDefault="00F124B1" w:rsidP="00F124B1">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26C49FE" id="_x0000_s1166" type="#_x0000_t202" style="position:absolute;margin-left:-278.2pt;margin-top:256.45pt;width:475.2pt;height:26.2pt;rotation:90;z-index:251713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" stroked="f">
              <v:textbox>
                <w:txbxContent>
                  <w:p w14:paraId="30A28FAB" w14:textId="77777777" w:rsidR="00F124B1" w:rsidRPr="00BB0C9D" w:rsidRDefault="00F124B1" w:rsidP="00F124B1">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v:textbox>
              <w10:wrap type="through"/>
            </v:shape>
          </w:pict>
        </mc:Fallback>
      </mc:AlternateConten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B9F4F0" w14:textId="458A5571" w:rsidR="004B24CB" w:rsidRPr="00F124B1" w:rsidRDefault="00F124B1" w:rsidP="00F124B1">
    <w:pPr>
      <w:pStyle w:val="Header"/>
      <w:tabs>
        <w:tab w:val="clear" w:pos="4680"/>
        <w:tab w:val="clear" w:pos="9360"/>
        <w:tab w:val="center" w:pos="6624"/>
      </w:tabs>
    </w:pPr>
    <w:r>
      <w:rPr>
        <w:noProof/>
      </w:rPr>
      <mc:AlternateContent>
        <mc:Choice Requires="wps">
          <w:drawing>
            <wp:anchor distT="45720" distB="45720" distL="114300" distR="114300" simplePos="0" relativeHeight="251718656" behindDoc="1" locked="0" layoutInCell="1" allowOverlap="1" wp14:anchorId="6F04A331" wp14:editId="1FF59021">
              <wp:simplePos x="0" y="0"/>
              <wp:positionH relativeFrom="column">
                <wp:posOffset>5594873</wp:posOffset>
              </wp:positionH>
              <wp:positionV relativeFrom="paragraph">
                <wp:posOffset>3216910</wp:posOffset>
              </wp:positionV>
              <wp:extent cx="6035040" cy="332740"/>
              <wp:effectExtent l="0" t="6350" r="0" b="0"/>
              <wp:wrapNone/>
              <wp:docPr id="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6385B431" w14:textId="77777777" w:rsidR="00F124B1" w:rsidRPr="00BB0C9D" w:rsidRDefault="00F124B1" w:rsidP="00F124B1">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6F04A331" id="_x0000_t202" coordsize="21600,21600" o:spt="202" path="m,l,21600r21600,l21600,xe">
              <v:stroke joinstyle="miter"/>
              <v:path gradientshapeok="t" o:connecttype="rect"/>
            </v:shapetype>
            <v:shape id="_x0000_s1167" type="#_x0000_t202" style="position:absolute;margin-left:440.55pt;margin-top:253.3pt;width:475.2pt;height:26.2pt;rotation:90;z-index:-251597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" stroked="f">
              <v:textbox>
                <w:txbxContent>
                  <w:p w14:paraId="6385B431" w14:textId="77777777" w:rsidR="00F124B1" w:rsidRPr="00BB0C9D" w:rsidRDefault="00F124B1" w:rsidP="00F124B1">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v:textbox>
            </v:shape>
          </w:pict>
        </mc:Fallback>
      </mc:AlternateContent>
    </w:r>
    <w:r>
      <w:rPr>
        <w:noProof/>
      </w:rPr>
      <mc:AlternateContent>
        <mc:Choice Requires="wps">
          <w:drawing>
            <wp:anchor distT="45720" distB="45720" distL="114300" distR="114300" simplePos="0" relativeHeight="251719680" behindDoc="0" locked="0" layoutInCell="1" allowOverlap="1" wp14:anchorId="2AA7093F" wp14:editId="651A85C2">
              <wp:simplePos x="0" y="0"/>
              <wp:positionH relativeFrom="column">
                <wp:posOffset>-3533140</wp:posOffset>
              </wp:positionH>
              <wp:positionV relativeFrom="paragraph">
                <wp:posOffset>3256915</wp:posOffset>
              </wp:positionV>
              <wp:extent cx="6035040" cy="332740"/>
              <wp:effectExtent l="0" t="6350" r="0" b="0"/>
              <wp:wrapThrough wrapText="bothSides">
                <wp:wrapPolygon edited="0">
                  <wp:start x="-23" y="21188"/>
                  <wp:lineTo x="21523" y="21188"/>
                  <wp:lineTo x="21523" y="1402"/>
                  <wp:lineTo x="-23" y="1402"/>
                  <wp:lineTo x="-23" y="21188"/>
                </wp:wrapPolygon>
              </wp:wrapThrough>
              <wp:docPr id="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193A6840" w14:textId="77777777" w:rsidR="00F124B1" w:rsidRPr="00BB0C9D" w:rsidRDefault="00F124B1" w:rsidP="00F124B1">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AA7093F" id="_x0000_s1168" type="#_x0000_t202" style="position:absolute;margin-left:-278.2pt;margin-top:256.45pt;width:475.2pt;height:26.2pt;rotation:90;z-index:251719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" stroked="f">
              <v:textbox>
                <w:txbxContent>
                  <w:p w14:paraId="193A6840" w14:textId="77777777" w:rsidR="00F124B1" w:rsidRPr="00BB0C9D" w:rsidRDefault="00F124B1" w:rsidP="00F124B1">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v:textbox>
              <w10:wrap type="through"/>
            </v:shape>
          </w:pict>
        </mc:Fallback>
      </mc:AlternateConten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4CAD05" w14:textId="33BF53F5" w:rsidR="004605FE" w:rsidRPr="004605FE" w:rsidRDefault="004605FE" w:rsidP="004605FE">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7F33D0" w14:textId="770E357F" w:rsidR="004F6DDF" w:rsidRPr="009E43D6" w:rsidRDefault="004F6DDF" w:rsidP="004F6DDF">
    <w:pPr>
      <w:pStyle w:val="Header"/>
      <w:spacing w:before="0" w:after="0"/>
      <w:rPr>
        <w:rFonts w:ascii="Cambria" w:hAnsi="Cambria" w:cs="Calibri"/>
      </w:rPr>
    </w:pPr>
    <w:r w:rsidRPr="009E43D6">
      <w:rPr>
        <w:rFonts w:ascii="Cambria" w:hAnsi="Cambria" w:cs="Calibri"/>
      </w:rPr>
      <w:t>Acronyms and Definitions</w:t>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C2C3CA" w14:textId="2239773E" w:rsidR="009B7AED" w:rsidRPr="004605FE" w:rsidRDefault="004605FE" w:rsidP="004605FE">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97BF5B" w14:textId="0F77D742" w:rsidR="00CE11FD" w:rsidRPr="00CE11FD" w:rsidRDefault="00CE11FD" w:rsidP="00CE11FD">
    <w:pPr>
      <w:pStyle w:val="Header"/>
      <w:tabs>
        <w:tab w:val="clear" w:pos="4680"/>
        <w:tab w:val="clear" w:pos="9360"/>
        <w:tab w:val="center" w:pos="6624"/>
      </w:tabs>
    </w:pPr>
    <w:r>
      <w:rPr>
        <w:noProof/>
      </w:rPr>
      <mc:AlternateContent>
        <mc:Choice Requires="wps">
          <w:drawing>
            <wp:anchor distT="45720" distB="45720" distL="114300" distR="114300" simplePos="0" relativeHeight="251749376" behindDoc="1" locked="0" layoutInCell="1" allowOverlap="1" wp14:anchorId="5E2FC068" wp14:editId="68F54952">
              <wp:simplePos x="0" y="0"/>
              <wp:positionH relativeFrom="column">
                <wp:posOffset>5594873</wp:posOffset>
              </wp:positionH>
              <wp:positionV relativeFrom="paragraph">
                <wp:posOffset>3216910</wp:posOffset>
              </wp:positionV>
              <wp:extent cx="6035040" cy="332740"/>
              <wp:effectExtent l="0" t="6350" r="0" b="0"/>
              <wp:wrapNone/>
              <wp:docPr id="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757DCBAC" w14:textId="77777777" w:rsidR="00CE11FD" w:rsidRPr="00BB0C9D" w:rsidRDefault="00CE11FD" w:rsidP="00CE11FD">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5E2FC068" id="_x0000_t202" coordsize="21600,21600" o:spt="202" path="m,l,21600r21600,l21600,xe">
              <v:stroke joinstyle="miter"/>
              <v:path gradientshapeok="t" o:connecttype="rect"/>
            </v:shapetype>
            <v:shape id="_x0000_s1169" type="#_x0000_t202" style="position:absolute;margin-left:440.55pt;margin-top:253.3pt;width:475.2pt;height:26.2pt;rotation:90;z-index:-251567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" stroked="f">
              <v:textbox>
                <w:txbxContent>
                  <w:p w14:paraId="757DCBAC" w14:textId="77777777" w:rsidR="00CE11FD" w:rsidRPr="00BB0C9D" w:rsidRDefault="00CE11FD" w:rsidP="00CE11FD">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v:textbox>
            </v:shape>
          </w:pict>
        </mc:Fallback>
      </mc:AlternateContent>
    </w:r>
    <w:r>
      <w:rPr>
        <w:noProof/>
      </w:rPr>
      <mc:AlternateContent>
        <mc:Choice Requires="wps">
          <w:drawing>
            <wp:anchor distT="45720" distB="45720" distL="114300" distR="114300" simplePos="0" relativeHeight="251750400" behindDoc="0" locked="0" layoutInCell="1" allowOverlap="1" wp14:anchorId="250AAC14" wp14:editId="25783437">
              <wp:simplePos x="0" y="0"/>
              <wp:positionH relativeFrom="column">
                <wp:posOffset>-3533140</wp:posOffset>
              </wp:positionH>
              <wp:positionV relativeFrom="paragraph">
                <wp:posOffset>3256915</wp:posOffset>
              </wp:positionV>
              <wp:extent cx="6035040" cy="332740"/>
              <wp:effectExtent l="0" t="6350" r="0" b="0"/>
              <wp:wrapThrough wrapText="bothSides">
                <wp:wrapPolygon edited="0">
                  <wp:start x="-23" y="21188"/>
                  <wp:lineTo x="21523" y="21188"/>
                  <wp:lineTo x="21523" y="1402"/>
                  <wp:lineTo x="-23" y="1402"/>
                  <wp:lineTo x="-23" y="21188"/>
                </wp:wrapPolygon>
              </wp:wrapThrough>
              <wp:docPr id="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4CEE4690" w14:textId="77777777" w:rsidR="00CE11FD" w:rsidRPr="00BB0C9D" w:rsidRDefault="00CE11FD" w:rsidP="00CE11FD">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50AAC14" id="_x0000_s1170" type="#_x0000_t202" style="position:absolute;margin-left:-278.2pt;margin-top:256.45pt;width:475.2pt;height:26.2pt;rotation:90;z-index:251750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" stroked="f">
              <v:textbox>
                <w:txbxContent>
                  <w:p w14:paraId="4CEE4690" w14:textId="77777777" w:rsidR="00CE11FD" w:rsidRPr="00BB0C9D" w:rsidRDefault="00CE11FD" w:rsidP="00CE11FD">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v:textbox>
              <w10:wrap type="through"/>
            </v:shape>
          </w:pict>
        </mc:Fallback>
      </mc:AlternateConten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689634" w14:textId="691245B8" w:rsidR="009B7AED" w:rsidRPr="00F124B1" w:rsidRDefault="00F124B1" w:rsidP="00F124B1">
    <w:pPr>
      <w:pStyle w:val="Header"/>
      <w:tabs>
        <w:tab w:val="clear" w:pos="4680"/>
        <w:tab w:val="clear" w:pos="9360"/>
        <w:tab w:val="center" w:pos="6624"/>
      </w:tabs>
    </w:pPr>
    <w:r>
      <w:rPr>
        <w:noProof/>
      </w:rPr>
      <mc:AlternateContent>
        <mc:Choice Requires="wps">
          <w:drawing>
            <wp:anchor distT="45720" distB="45720" distL="114300" distR="114300" simplePos="0" relativeHeight="251724800" behindDoc="1" locked="0" layoutInCell="1" allowOverlap="1" wp14:anchorId="4ED3F52D" wp14:editId="3471A39A">
              <wp:simplePos x="0" y="0"/>
              <wp:positionH relativeFrom="column">
                <wp:posOffset>5594873</wp:posOffset>
              </wp:positionH>
              <wp:positionV relativeFrom="paragraph">
                <wp:posOffset>3216910</wp:posOffset>
              </wp:positionV>
              <wp:extent cx="6035040" cy="332740"/>
              <wp:effectExtent l="0" t="6350" r="0" b="0"/>
              <wp:wrapNone/>
              <wp:docPr id="3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62BD1E47" w14:textId="77777777" w:rsidR="00F124B1" w:rsidRPr="00BB0C9D" w:rsidRDefault="00F124B1" w:rsidP="00F124B1">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4ED3F52D" id="_x0000_t202" coordsize="21600,21600" o:spt="202" path="m,l,21600r21600,l21600,xe">
              <v:stroke joinstyle="miter"/>
              <v:path gradientshapeok="t" o:connecttype="rect"/>
            </v:shapetype>
            <v:shape id="_x0000_s1171" type="#_x0000_t202" style="position:absolute;margin-left:440.55pt;margin-top:253.3pt;width:475.2pt;height:26.2pt;rotation:90;z-index:-251591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" stroked="f">
              <v:textbox>
                <w:txbxContent>
                  <w:p w14:paraId="62BD1E47" w14:textId="77777777" w:rsidR="00F124B1" w:rsidRPr="00BB0C9D" w:rsidRDefault="00F124B1" w:rsidP="00F124B1">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v:textbox>
            </v:shape>
          </w:pict>
        </mc:Fallback>
      </mc:AlternateContent>
    </w:r>
    <w:r>
      <w:rPr>
        <w:noProof/>
      </w:rPr>
      <mc:AlternateContent>
        <mc:Choice Requires="wps">
          <w:drawing>
            <wp:anchor distT="45720" distB="45720" distL="114300" distR="114300" simplePos="0" relativeHeight="251725824" behindDoc="0" locked="0" layoutInCell="1" allowOverlap="1" wp14:anchorId="069E2623" wp14:editId="7C29C25C">
              <wp:simplePos x="0" y="0"/>
              <wp:positionH relativeFrom="column">
                <wp:posOffset>-3533140</wp:posOffset>
              </wp:positionH>
              <wp:positionV relativeFrom="paragraph">
                <wp:posOffset>3256915</wp:posOffset>
              </wp:positionV>
              <wp:extent cx="6035040" cy="332740"/>
              <wp:effectExtent l="0" t="6350" r="0" b="0"/>
              <wp:wrapThrough wrapText="bothSides">
                <wp:wrapPolygon edited="0">
                  <wp:start x="-23" y="21188"/>
                  <wp:lineTo x="21523" y="21188"/>
                  <wp:lineTo x="21523" y="1402"/>
                  <wp:lineTo x="-23" y="1402"/>
                  <wp:lineTo x="-23" y="21188"/>
                </wp:wrapPolygon>
              </wp:wrapThrough>
              <wp:docPr id="3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78B29A71" w14:textId="77777777" w:rsidR="00F124B1" w:rsidRPr="00BB0C9D" w:rsidRDefault="00F124B1" w:rsidP="00F124B1">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69E2623" id="_x0000_s1172" type="#_x0000_t202" style="position:absolute;margin-left:-278.2pt;margin-top:256.45pt;width:475.2pt;height:26.2pt;rotation:90;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" stroked="f">
              <v:textbox>
                <w:txbxContent>
                  <w:p w14:paraId="78B29A71" w14:textId="77777777" w:rsidR="00F124B1" w:rsidRPr="00BB0C9D" w:rsidRDefault="00F124B1" w:rsidP="00F124B1">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v:textbox>
              <w10:wrap type="through"/>
            </v:shape>
          </w:pict>
        </mc:Fallback>
      </mc:AlternateContent>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879779" w14:textId="77777777" w:rsidR="00F124B1" w:rsidRPr="004605FE" w:rsidRDefault="00F124B1" w:rsidP="004605FE">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8CCB5C" w14:textId="0E2A56F3" w:rsidR="00CE11FD" w:rsidRPr="00CE11FD" w:rsidRDefault="00CE11FD" w:rsidP="00CE11FD">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E54AEC" w14:textId="4EF3301E" w:rsidR="00CE11FD" w:rsidRPr="00CE11FD" w:rsidRDefault="00CE11FD" w:rsidP="00CE11FD">
    <w:pPr>
      <w:pStyle w:val="Header"/>
      <w:tabs>
        <w:tab w:val="clear" w:pos="4680"/>
        <w:tab w:val="clear" w:pos="9360"/>
        <w:tab w:val="center" w:pos="6624"/>
      </w:tabs>
    </w:pPr>
    <w:r>
      <w:rPr>
        <w:noProof/>
      </w:rPr>
      <mc:AlternateContent>
        <mc:Choice Requires="wps">
          <w:drawing>
            <wp:anchor distT="45720" distB="45720" distL="114300" distR="114300" simplePos="0" relativeHeight="251752448" behindDoc="1" locked="0" layoutInCell="1" allowOverlap="1" wp14:anchorId="27D9DB51" wp14:editId="6BBF7D47">
              <wp:simplePos x="0" y="0"/>
              <wp:positionH relativeFrom="column">
                <wp:posOffset>5594873</wp:posOffset>
              </wp:positionH>
              <wp:positionV relativeFrom="paragraph">
                <wp:posOffset>3216910</wp:posOffset>
              </wp:positionV>
              <wp:extent cx="6035040" cy="332740"/>
              <wp:effectExtent l="0" t="6350" r="0" b="0"/>
              <wp:wrapNone/>
              <wp:docPr id="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657FC895" w14:textId="77777777" w:rsidR="00CE11FD" w:rsidRPr="00BB0C9D" w:rsidRDefault="00CE11FD" w:rsidP="00CE11FD">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27D9DB51" id="_x0000_t202" coordsize="21600,21600" o:spt="202" path="m,l,21600r21600,l21600,xe">
              <v:stroke joinstyle="miter"/>
              <v:path gradientshapeok="t" o:connecttype="rect"/>
            </v:shapetype>
            <v:shape id="_x0000_s1173" type="#_x0000_t202" style="position:absolute;margin-left:440.55pt;margin-top:253.3pt;width:475.2pt;height:26.2pt;rotation:90;z-index:-251564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" stroked="f">
              <v:textbox>
                <w:txbxContent>
                  <w:p w14:paraId="657FC895" w14:textId="77777777" w:rsidR="00CE11FD" w:rsidRPr="00BB0C9D" w:rsidRDefault="00CE11FD" w:rsidP="00CE11FD">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v:textbox>
            </v:shape>
          </w:pict>
        </mc:Fallback>
      </mc:AlternateContent>
    </w:r>
    <w:r>
      <w:rPr>
        <w:noProof/>
      </w:rPr>
      <mc:AlternateContent>
        <mc:Choice Requires="wps">
          <w:drawing>
            <wp:anchor distT="45720" distB="45720" distL="114300" distR="114300" simplePos="0" relativeHeight="251753472" behindDoc="0" locked="0" layoutInCell="1" allowOverlap="1" wp14:anchorId="2C35F83E" wp14:editId="2D812848">
              <wp:simplePos x="0" y="0"/>
              <wp:positionH relativeFrom="column">
                <wp:posOffset>-3533140</wp:posOffset>
              </wp:positionH>
              <wp:positionV relativeFrom="paragraph">
                <wp:posOffset>3256915</wp:posOffset>
              </wp:positionV>
              <wp:extent cx="6035040" cy="332740"/>
              <wp:effectExtent l="0" t="6350" r="0" b="0"/>
              <wp:wrapThrough wrapText="bothSides">
                <wp:wrapPolygon edited="0">
                  <wp:start x="-23" y="21188"/>
                  <wp:lineTo x="21523" y="21188"/>
                  <wp:lineTo x="21523" y="1402"/>
                  <wp:lineTo x="-23" y="1402"/>
                  <wp:lineTo x="-23" y="21188"/>
                </wp:wrapPolygon>
              </wp:wrapThrough>
              <wp:docPr id="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723EE33A" w14:textId="77777777" w:rsidR="00CE11FD" w:rsidRPr="00BB0C9D" w:rsidRDefault="00CE11FD" w:rsidP="00CE11FD">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C35F83E" id="_x0000_s1174" type="#_x0000_t202" style="position:absolute;margin-left:-278.2pt;margin-top:256.45pt;width:475.2pt;height:26.2pt;rotation:90;z-index:251753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" stroked="f">
              <v:textbox>
                <w:txbxContent>
                  <w:p w14:paraId="723EE33A" w14:textId="77777777" w:rsidR="00CE11FD" w:rsidRPr="00BB0C9D" w:rsidRDefault="00CE11FD" w:rsidP="00CE11FD">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v:textbox>
              <w10:wrap type="through"/>
            </v:shape>
          </w:pict>
        </mc:Fallback>
      </mc:AlternateContent>
    </w: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C90BB2" w14:textId="19C62D1B" w:rsidR="00F124B1" w:rsidRPr="00F124B1" w:rsidRDefault="00F124B1" w:rsidP="00F124B1">
    <w:pPr>
      <w:pStyle w:val="Header"/>
      <w:tabs>
        <w:tab w:val="clear" w:pos="4680"/>
        <w:tab w:val="clear" w:pos="9360"/>
        <w:tab w:val="center" w:pos="6624"/>
      </w:tabs>
    </w:pPr>
    <w:r>
      <w:rPr>
        <w:noProof/>
      </w:rPr>
      <mc:AlternateContent>
        <mc:Choice Requires="wps">
          <w:drawing>
            <wp:anchor distT="45720" distB="45720" distL="114300" distR="114300" simplePos="0" relativeHeight="251721728" behindDoc="1" locked="0" layoutInCell="1" allowOverlap="1" wp14:anchorId="1965603D" wp14:editId="6129D083">
              <wp:simplePos x="0" y="0"/>
              <wp:positionH relativeFrom="column">
                <wp:posOffset>5594873</wp:posOffset>
              </wp:positionH>
              <wp:positionV relativeFrom="paragraph">
                <wp:posOffset>3216910</wp:posOffset>
              </wp:positionV>
              <wp:extent cx="6035040" cy="332740"/>
              <wp:effectExtent l="0" t="6350" r="0" b="0"/>
              <wp:wrapNone/>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3D894E4F" w14:textId="77777777" w:rsidR="00F124B1" w:rsidRPr="00BB0C9D" w:rsidRDefault="00F124B1" w:rsidP="00F124B1">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1965603D" id="_x0000_t202" coordsize="21600,21600" o:spt="202" path="m,l,21600r21600,l21600,xe">
              <v:stroke joinstyle="miter"/>
              <v:path gradientshapeok="t" o:connecttype="rect"/>
            </v:shapetype>
            <v:shape id="_x0000_s1175" type="#_x0000_t202" style="position:absolute;margin-left:440.55pt;margin-top:253.3pt;width:475.2pt;height:26.2pt;rotation:90;z-index:-251594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" stroked="f">
              <v:textbox>
                <w:txbxContent>
                  <w:p w14:paraId="3D894E4F" w14:textId="77777777" w:rsidR="00F124B1" w:rsidRPr="00BB0C9D" w:rsidRDefault="00F124B1" w:rsidP="00F124B1">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v:textbox>
            </v:shape>
          </w:pict>
        </mc:Fallback>
      </mc:AlternateContent>
    </w:r>
    <w:r>
      <w:rPr>
        <w:noProof/>
      </w:rPr>
      <mc:AlternateContent>
        <mc:Choice Requires="wps">
          <w:drawing>
            <wp:anchor distT="45720" distB="45720" distL="114300" distR="114300" simplePos="0" relativeHeight="251722752" behindDoc="0" locked="0" layoutInCell="1" allowOverlap="1" wp14:anchorId="1C310EF4" wp14:editId="2117668F">
              <wp:simplePos x="0" y="0"/>
              <wp:positionH relativeFrom="column">
                <wp:posOffset>-3533140</wp:posOffset>
              </wp:positionH>
              <wp:positionV relativeFrom="paragraph">
                <wp:posOffset>3256915</wp:posOffset>
              </wp:positionV>
              <wp:extent cx="6035040" cy="332740"/>
              <wp:effectExtent l="0" t="6350" r="0" b="0"/>
              <wp:wrapThrough wrapText="bothSides">
                <wp:wrapPolygon edited="0">
                  <wp:start x="-23" y="21188"/>
                  <wp:lineTo x="21523" y="21188"/>
                  <wp:lineTo x="21523" y="1402"/>
                  <wp:lineTo x="-23" y="1402"/>
                  <wp:lineTo x="-23" y="21188"/>
                </wp:wrapPolygon>
              </wp:wrapThrough>
              <wp:docPr id="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7DAC38AA" w14:textId="77777777" w:rsidR="00F124B1" w:rsidRPr="00BB0C9D" w:rsidRDefault="00F124B1" w:rsidP="00F124B1">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C310EF4" id="_x0000_s1176" type="#_x0000_t202" style="position:absolute;margin-left:-278.2pt;margin-top:256.45pt;width:475.2pt;height:26.2pt;rotation:90;z-index:25172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" stroked="f">
              <v:textbox>
                <w:txbxContent>
                  <w:p w14:paraId="7DAC38AA" w14:textId="77777777" w:rsidR="00F124B1" w:rsidRPr="00BB0C9D" w:rsidRDefault="00F124B1" w:rsidP="00F124B1">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v:textbox>
              <w10:wrap type="through"/>
            </v:shape>
          </w:pict>
        </mc:Fallback>
      </mc:AlternateConten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2CB800" w14:textId="77777777" w:rsidR="00F124B1" w:rsidRPr="004605FE" w:rsidRDefault="00F124B1" w:rsidP="004605FE">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98EF94" w14:textId="111296B3" w:rsidR="009B7AED" w:rsidRPr="007321A3" w:rsidRDefault="007321A3" w:rsidP="007321A3">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76FB93" w14:textId="1BD8DB01" w:rsidR="00835BDC" w:rsidRPr="00F124B1" w:rsidRDefault="00F124B1" w:rsidP="00F124B1">
    <w:pPr>
      <w:pStyle w:val="Header"/>
      <w:tabs>
        <w:tab w:val="clear" w:pos="4680"/>
        <w:tab w:val="clear" w:pos="9360"/>
        <w:tab w:val="center" w:pos="6624"/>
      </w:tabs>
    </w:pPr>
    <w:r>
      <w:rPr>
        <w:noProof/>
      </w:rPr>
      <mc:AlternateContent>
        <mc:Choice Requires="wps">
          <w:drawing>
            <wp:anchor distT="45720" distB="45720" distL="114300" distR="114300" simplePos="0" relativeHeight="251730944" behindDoc="1" locked="0" layoutInCell="1" allowOverlap="1" wp14:anchorId="3B4D716B" wp14:editId="2504FBDA">
              <wp:simplePos x="0" y="0"/>
              <wp:positionH relativeFrom="column">
                <wp:posOffset>5594873</wp:posOffset>
              </wp:positionH>
              <wp:positionV relativeFrom="paragraph">
                <wp:posOffset>3216910</wp:posOffset>
              </wp:positionV>
              <wp:extent cx="6035040" cy="332740"/>
              <wp:effectExtent l="0" t="6350" r="0" b="0"/>
              <wp:wrapNone/>
              <wp:docPr id="3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0C5F6A71" w14:textId="77777777" w:rsidR="00F124B1" w:rsidRPr="00BB0C9D" w:rsidRDefault="00F124B1" w:rsidP="00F124B1">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3B4D716B" id="_x0000_t202" coordsize="21600,21600" o:spt="202" path="m,l,21600r21600,l21600,xe">
              <v:stroke joinstyle="miter"/>
              <v:path gradientshapeok="t" o:connecttype="rect"/>
            </v:shapetype>
            <v:shape id="_x0000_s1177" type="#_x0000_t202" style="position:absolute;margin-left:440.55pt;margin-top:253.3pt;width:475.2pt;height:26.2pt;rotation:90;z-index:-251585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" stroked="f">
              <v:textbox>
                <w:txbxContent>
                  <w:p w14:paraId="0C5F6A71" w14:textId="77777777" w:rsidR="00F124B1" w:rsidRPr="00BB0C9D" w:rsidRDefault="00F124B1" w:rsidP="00F124B1">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v:textbox>
            </v:shape>
          </w:pict>
        </mc:Fallback>
      </mc:AlternateContent>
    </w:r>
    <w:r>
      <w:rPr>
        <w:noProof/>
      </w:rPr>
      <mc:AlternateContent>
        <mc:Choice Requires="wps">
          <w:drawing>
            <wp:anchor distT="45720" distB="45720" distL="114300" distR="114300" simplePos="0" relativeHeight="251731968" behindDoc="0" locked="0" layoutInCell="1" allowOverlap="1" wp14:anchorId="4B3E95D6" wp14:editId="3B07230F">
              <wp:simplePos x="0" y="0"/>
              <wp:positionH relativeFrom="column">
                <wp:posOffset>-3533140</wp:posOffset>
              </wp:positionH>
              <wp:positionV relativeFrom="paragraph">
                <wp:posOffset>3256915</wp:posOffset>
              </wp:positionV>
              <wp:extent cx="6035040" cy="332740"/>
              <wp:effectExtent l="0" t="6350" r="0" b="0"/>
              <wp:wrapThrough wrapText="bothSides">
                <wp:wrapPolygon edited="0">
                  <wp:start x="-23" y="21188"/>
                  <wp:lineTo x="21523" y="21188"/>
                  <wp:lineTo x="21523" y="1402"/>
                  <wp:lineTo x="-23" y="1402"/>
                  <wp:lineTo x="-23" y="21188"/>
                </wp:wrapPolygon>
              </wp:wrapThrough>
              <wp:docPr id="3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17B2F103" w14:textId="77777777" w:rsidR="00F124B1" w:rsidRPr="00BB0C9D" w:rsidRDefault="00F124B1" w:rsidP="00F124B1">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B3E95D6" id="_x0000_s1178" type="#_x0000_t202" style="position:absolute;margin-left:-278.2pt;margin-top:256.45pt;width:475.2pt;height:26.2pt;rotation:90;z-index:251731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" stroked="f">
              <v:textbox>
                <w:txbxContent>
                  <w:p w14:paraId="17B2F103" w14:textId="77777777" w:rsidR="00F124B1" w:rsidRPr="00BB0C9D" w:rsidRDefault="00F124B1" w:rsidP="00F124B1">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v:textbox>
              <w10:wrap type="through"/>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213F16" w14:textId="17093D5E" w:rsidR="004F6DDF" w:rsidRPr="009E43D6" w:rsidRDefault="004F6DDF" w:rsidP="004F6DDF">
    <w:pPr>
      <w:pStyle w:val="Header"/>
      <w:spacing w:before="0" w:after="0"/>
      <w:rPr>
        <w:rFonts w:ascii="Cambria" w:hAnsi="Cambria" w:cs="Calibri"/>
      </w:rPr>
    </w:pPr>
    <w:r w:rsidRPr="009E43D6">
      <w:rPr>
        <w:rFonts w:ascii="Cambria" w:hAnsi="Cambria" w:cs="Calibri"/>
      </w:rPr>
      <w:t>Acronyms and Definitions</w:t>
    </w: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DA93DE" w14:textId="267C3A0C" w:rsidR="009B7AED" w:rsidRPr="00097797" w:rsidRDefault="00097797" w:rsidP="00097797">
    <w:pPr>
      <w:pStyle w:val="Header"/>
      <w:tabs>
        <w:tab w:val="clear" w:pos="4680"/>
        <w:tab w:val="clear" w:pos="9360"/>
        <w:tab w:val="center" w:pos="6624"/>
      </w:tabs>
    </w:pPr>
    <w:r>
      <w:rPr>
        <w:noProof/>
      </w:rPr>
      <mc:AlternateContent>
        <mc:Choice Requires="wps">
          <w:drawing>
            <wp:anchor distT="45720" distB="45720" distL="114300" distR="114300" simplePos="0" relativeHeight="251737088" behindDoc="1" locked="0" layoutInCell="1" allowOverlap="1" wp14:anchorId="29B1DB2F" wp14:editId="27326049">
              <wp:simplePos x="0" y="0"/>
              <wp:positionH relativeFrom="column">
                <wp:posOffset>5594873</wp:posOffset>
              </wp:positionH>
              <wp:positionV relativeFrom="paragraph">
                <wp:posOffset>3216910</wp:posOffset>
              </wp:positionV>
              <wp:extent cx="6035040" cy="332740"/>
              <wp:effectExtent l="0" t="6350" r="0" b="0"/>
              <wp:wrapNone/>
              <wp:docPr id="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15615CE0" w14:textId="77777777" w:rsidR="00097797" w:rsidRPr="00BB0C9D" w:rsidRDefault="00097797" w:rsidP="00097797">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29B1DB2F" id="_x0000_t202" coordsize="21600,21600" o:spt="202" path="m,l,21600r21600,l21600,xe">
              <v:stroke joinstyle="miter"/>
              <v:path gradientshapeok="t" o:connecttype="rect"/>
            </v:shapetype>
            <v:shape id="_x0000_s1179" type="#_x0000_t202" style="position:absolute;margin-left:440.55pt;margin-top:253.3pt;width:475.2pt;height:26.2pt;rotation:90;z-index:-251579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" stroked="f">
              <v:textbox>
                <w:txbxContent>
                  <w:p w14:paraId="15615CE0" w14:textId="77777777" w:rsidR="00097797" w:rsidRPr="00BB0C9D" w:rsidRDefault="00097797" w:rsidP="00097797">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v:textbox>
            </v:shape>
          </w:pict>
        </mc:Fallback>
      </mc:AlternateContent>
    </w:r>
    <w:r>
      <w:rPr>
        <w:noProof/>
      </w:rPr>
      <mc:AlternateContent>
        <mc:Choice Requires="wps">
          <w:drawing>
            <wp:anchor distT="45720" distB="45720" distL="114300" distR="114300" simplePos="0" relativeHeight="251738112" behindDoc="0" locked="0" layoutInCell="1" allowOverlap="1" wp14:anchorId="52A48B90" wp14:editId="0D8AF240">
              <wp:simplePos x="0" y="0"/>
              <wp:positionH relativeFrom="column">
                <wp:posOffset>-3533140</wp:posOffset>
              </wp:positionH>
              <wp:positionV relativeFrom="paragraph">
                <wp:posOffset>3256915</wp:posOffset>
              </wp:positionV>
              <wp:extent cx="6035040" cy="332740"/>
              <wp:effectExtent l="0" t="6350" r="0" b="0"/>
              <wp:wrapThrough wrapText="bothSides">
                <wp:wrapPolygon edited="0">
                  <wp:start x="-23" y="21188"/>
                  <wp:lineTo x="21523" y="21188"/>
                  <wp:lineTo x="21523" y="1402"/>
                  <wp:lineTo x="-23" y="1402"/>
                  <wp:lineTo x="-23" y="21188"/>
                </wp:wrapPolygon>
              </wp:wrapThrough>
              <wp:docPr id="2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5334B6EB" w14:textId="77777777" w:rsidR="00097797" w:rsidRPr="00BB0C9D" w:rsidRDefault="00097797" w:rsidP="00097797">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2A48B90" id="_x0000_s1180" type="#_x0000_t202" style="position:absolute;margin-left:-278.2pt;margin-top:256.45pt;width:475.2pt;height:26.2pt;rotation:90;z-index:251738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" stroked="f">
              <v:textbox>
                <w:txbxContent>
                  <w:p w14:paraId="5334B6EB" w14:textId="77777777" w:rsidR="00097797" w:rsidRPr="00BB0C9D" w:rsidRDefault="00097797" w:rsidP="00097797">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v:textbox>
              <w10:wrap type="through"/>
            </v:shape>
          </w:pict>
        </mc:Fallback>
      </mc:AlternateConten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4D89A0" w14:textId="61112651" w:rsidR="00097797" w:rsidRPr="00097797" w:rsidRDefault="00097797" w:rsidP="00097797">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F2007" w14:textId="731BC5A8" w:rsidR="00835BDC" w:rsidRPr="00835BDC" w:rsidRDefault="00835BDC" w:rsidP="00835BDC">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2FC921" w14:textId="735E869F" w:rsidR="00F124B1" w:rsidRPr="00F124B1" w:rsidRDefault="00F124B1" w:rsidP="00F124B1">
    <w:pPr>
      <w:pStyle w:val="Header"/>
      <w:tabs>
        <w:tab w:val="clear" w:pos="4680"/>
        <w:tab w:val="clear" w:pos="9360"/>
        <w:tab w:val="center" w:pos="6624"/>
      </w:tabs>
    </w:pPr>
    <w:r>
      <w:rPr>
        <w:noProof/>
      </w:rPr>
      <mc:AlternateContent>
        <mc:Choice Requires="wps">
          <w:drawing>
            <wp:anchor distT="45720" distB="45720" distL="114300" distR="114300" simplePos="0" relativeHeight="251727872" behindDoc="1" locked="0" layoutInCell="1" allowOverlap="1" wp14:anchorId="08AC5B69" wp14:editId="573B7C5F">
              <wp:simplePos x="0" y="0"/>
              <wp:positionH relativeFrom="column">
                <wp:posOffset>5594873</wp:posOffset>
              </wp:positionH>
              <wp:positionV relativeFrom="paragraph">
                <wp:posOffset>3216910</wp:posOffset>
              </wp:positionV>
              <wp:extent cx="6035040" cy="332740"/>
              <wp:effectExtent l="0" t="6350" r="0" b="0"/>
              <wp:wrapNone/>
              <wp:docPr id="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6A43E308" w14:textId="77777777" w:rsidR="00F124B1" w:rsidRPr="00BB0C9D" w:rsidRDefault="00F124B1" w:rsidP="00F124B1">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08AC5B69" id="_x0000_t202" coordsize="21600,21600" o:spt="202" path="m,l,21600r21600,l21600,xe">
              <v:stroke joinstyle="miter"/>
              <v:path gradientshapeok="t" o:connecttype="rect"/>
            </v:shapetype>
            <v:shape id="_x0000_s1181" type="#_x0000_t202" style="position:absolute;margin-left:440.55pt;margin-top:253.3pt;width:475.2pt;height:26.2pt;rotation:90;z-index:-251588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" stroked="f">
              <v:textbox>
                <w:txbxContent>
                  <w:p w14:paraId="6A43E308" w14:textId="77777777" w:rsidR="00F124B1" w:rsidRPr="00BB0C9D" w:rsidRDefault="00F124B1" w:rsidP="00F124B1">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v:textbox>
            </v:shape>
          </w:pict>
        </mc:Fallback>
      </mc:AlternateContent>
    </w:r>
    <w:r>
      <w:rPr>
        <w:noProof/>
      </w:rPr>
      <mc:AlternateContent>
        <mc:Choice Requires="wps">
          <w:drawing>
            <wp:anchor distT="45720" distB="45720" distL="114300" distR="114300" simplePos="0" relativeHeight="251728896" behindDoc="0" locked="0" layoutInCell="1" allowOverlap="1" wp14:anchorId="201F2F51" wp14:editId="6766F1FE">
              <wp:simplePos x="0" y="0"/>
              <wp:positionH relativeFrom="column">
                <wp:posOffset>-3533140</wp:posOffset>
              </wp:positionH>
              <wp:positionV relativeFrom="paragraph">
                <wp:posOffset>3256915</wp:posOffset>
              </wp:positionV>
              <wp:extent cx="6035040" cy="332740"/>
              <wp:effectExtent l="0" t="6350" r="0" b="0"/>
              <wp:wrapThrough wrapText="bothSides">
                <wp:wrapPolygon edited="0">
                  <wp:start x="-23" y="21188"/>
                  <wp:lineTo x="21523" y="21188"/>
                  <wp:lineTo x="21523" y="1402"/>
                  <wp:lineTo x="-23" y="1402"/>
                  <wp:lineTo x="-23" y="21188"/>
                </wp:wrapPolygon>
              </wp:wrapThrough>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75428AC1" w14:textId="77777777" w:rsidR="00F124B1" w:rsidRPr="00BB0C9D" w:rsidRDefault="00F124B1" w:rsidP="00F124B1">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01F2F51" id="_x0000_s1182" type="#_x0000_t202" style="position:absolute;margin-left:-278.2pt;margin-top:256.45pt;width:475.2pt;height:26.2pt;rotation:90;z-index:251728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" stroked="f">
              <v:textbox>
                <w:txbxContent>
                  <w:p w14:paraId="75428AC1" w14:textId="77777777" w:rsidR="00F124B1" w:rsidRPr="00BB0C9D" w:rsidRDefault="00F124B1" w:rsidP="00F124B1">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v:textbox>
              <w10:wrap type="through"/>
            </v:shape>
          </w:pict>
        </mc:Fallback>
      </mc:AlternateContent>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43D1A1" w14:textId="69616BBA" w:rsidR="00097797" w:rsidRPr="00097797" w:rsidRDefault="00097797" w:rsidP="00097797">
    <w:pPr>
      <w:pStyle w:val="Header"/>
      <w:tabs>
        <w:tab w:val="clear" w:pos="4680"/>
        <w:tab w:val="clear" w:pos="9360"/>
        <w:tab w:val="center" w:pos="6624"/>
      </w:tabs>
    </w:pPr>
    <w:r>
      <w:rPr>
        <w:noProof/>
      </w:rPr>
      <mc:AlternateContent>
        <mc:Choice Requires="wps">
          <w:drawing>
            <wp:anchor distT="45720" distB="45720" distL="114300" distR="114300" simplePos="0" relativeHeight="251740160" behindDoc="1" locked="0" layoutInCell="1" allowOverlap="1" wp14:anchorId="2F4F2890" wp14:editId="383F2DB8">
              <wp:simplePos x="0" y="0"/>
              <wp:positionH relativeFrom="column">
                <wp:posOffset>5594873</wp:posOffset>
              </wp:positionH>
              <wp:positionV relativeFrom="paragraph">
                <wp:posOffset>3216910</wp:posOffset>
              </wp:positionV>
              <wp:extent cx="6035040" cy="332740"/>
              <wp:effectExtent l="0" t="6350" r="0" b="0"/>
              <wp:wrapNone/>
              <wp:docPr id="26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59D9EB8E" w14:textId="77777777" w:rsidR="00097797" w:rsidRPr="00BB0C9D" w:rsidRDefault="00097797" w:rsidP="00097797">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2F4F2890" id="_x0000_t202" coordsize="21600,21600" o:spt="202" path="m,l,21600r21600,l21600,xe">
              <v:stroke joinstyle="miter"/>
              <v:path gradientshapeok="t" o:connecttype="rect"/>
            </v:shapetype>
            <v:shape id="_x0000_s1183" type="#_x0000_t202" alt="&quot;&quot;" style="position:absolute;margin-left:440.55pt;margin-top:253.3pt;width:475.2pt;height:26.2pt;rotation:90;z-index:-251576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" stroked="f">
              <v:textbox>
                <w:txbxContent>
                  <w:p w14:paraId="59D9EB8E" w14:textId="77777777" w:rsidR="00097797" w:rsidRPr="00BB0C9D" w:rsidRDefault="00097797" w:rsidP="00097797">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4</w:t>
                    </w:r>
                    <w:r w:rsidRPr="00F53123">
                      <w:rPr>
                        <w:rFonts w:ascii="Cambria" w:hAnsi="Cambria" w:cs="Calibri"/>
                      </w:rPr>
                      <w:t xml:space="preserve">. Traffic </w:t>
                    </w:r>
                    <w:r>
                      <w:rPr>
                        <w:rFonts w:ascii="Cambria" w:hAnsi="Cambria" w:cs="Calibri"/>
                      </w:rPr>
                      <w:t xml:space="preserve">Monitoring </w:t>
                    </w:r>
                    <w:r w:rsidRPr="00F53123">
                      <w:rPr>
                        <w:rFonts w:ascii="Cambria" w:hAnsi="Cambria" w:cs="Calibri"/>
                      </w:rPr>
                      <w:t xml:space="preserve">Data </w:t>
                    </w:r>
                    <w:r>
                      <w:rPr>
                        <w:rFonts w:ascii="Cambria" w:hAnsi="Cambria" w:cs="Calibri"/>
                      </w:rPr>
                      <w:t>Formats</w:t>
                    </w:r>
                  </w:p>
                </w:txbxContent>
              </v:textbox>
            </v:shape>
          </w:pict>
        </mc:Fallback>
      </mc:AlternateContent>
    </w:r>
    <w:r>
      <w:rPr>
        <w:noProof/>
      </w:rPr>
      <mc:AlternateContent>
        <mc:Choice Requires="wps">
          <w:drawing>
            <wp:anchor distT="45720" distB="45720" distL="114300" distR="114300" simplePos="0" relativeHeight="251741184" behindDoc="0" locked="0" layoutInCell="1" allowOverlap="1" wp14:anchorId="7F551652" wp14:editId="2CCC64AE">
              <wp:simplePos x="0" y="0"/>
              <wp:positionH relativeFrom="column">
                <wp:posOffset>-3533140</wp:posOffset>
              </wp:positionH>
              <wp:positionV relativeFrom="paragraph">
                <wp:posOffset>3256915</wp:posOffset>
              </wp:positionV>
              <wp:extent cx="6035040" cy="332740"/>
              <wp:effectExtent l="0" t="6350" r="0" b="0"/>
              <wp:wrapThrough wrapText="bothSides">
                <wp:wrapPolygon edited="0">
                  <wp:start x="-23" y="21188"/>
                  <wp:lineTo x="21523" y="21188"/>
                  <wp:lineTo x="21523" y="1402"/>
                  <wp:lineTo x="-23" y="1402"/>
                  <wp:lineTo x="-23" y="21188"/>
                </wp:wrapPolygon>
              </wp:wrapThrough>
              <wp:docPr id="26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035040" cy="332740"/>
                      </a:xfrm>
                      <a:prstGeom prst="rect">
                        <a:avLst/>
                      </a:prstGeom>
                      <a:solidFill>
                        <a:srgbClr val="FFFFFF"/>
                      </a:solidFill>
                      <a:ln w="9525">
                        <a:noFill/>
                        <a:miter lim="800000"/>
                        <a:headEnd/>
                        <a:tailEnd/>
                      </a:ln>
                    </wps:spPr>
                    <wps:txbx>
                      <w:txbxContent>
                        <w:p w14:paraId="4EBEDC34" w14:textId="77777777" w:rsidR="00097797" w:rsidRPr="00BB0C9D" w:rsidRDefault="00097797" w:rsidP="00097797">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F551652" id="_x0000_s1184" type="#_x0000_t202" alt="&quot;&quot;" style="position:absolute;margin-left:-278.2pt;margin-top:256.45pt;width:475.2pt;height:26.2pt;rotation:90;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" stroked="f">
              <v:textbox>
                <w:txbxContent>
                  <w:p w14:paraId="4EBEDC34" w14:textId="77777777" w:rsidR="00097797" w:rsidRPr="00BB0C9D" w:rsidRDefault="00097797" w:rsidP="00097797">
                    <w:pPr>
                      <w:pStyle w:val="Footer"/>
                      <w:jc w:val="center"/>
                      <w:rPr>
                        <w:rFonts w:ascii="Cambria" w:hAnsi="Cambria" w:cs="Calibri"/>
                      </w:rPr>
                    </w:pPr>
                    <w:r w:rsidRPr="00F53123">
                      <w:rPr>
                        <w:rFonts w:ascii="Cambria" w:hAnsi="Cambria" w:cs="Calibri"/>
                      </w:rPr>
                      <w:fldChar w:fldCharType="begin"/>
                    </w:r>
                    <w:r w:rsidRPr="00F53123">
                      <w:rPr>
                        <w:rFonts w:ascii="Cambria" w:hAnsi="Cambria" w:cs="Calibri"/>
                      </w:rPr>
                      <w:instrText xml:space="preserve"> PAGE   \* MERGEFORMAT </w:instrText>
                    </w:r>
                    <w:r w:rsidRPr="00F53123">
                      <w:rPr>
                        <w:rFonts w:ascii="Cambria" w:hAnsi="Cambria" w:cs="Calibri"/>
                      </w:rPr>
                      <w:fldChar w:fldCharType="separate"/>
                    </w:r>
                    <w:r>
                      <w:rPr>
                        <w:rFonts w:ascii="Cambria" w:hAnsi="Cambria" w:cs="Calibri"/>
                      </w:rPr>
                      <w:t>2-35</w:t>
                    </w:r>
                    <w:r w:rsidRPr="00F53123">
                      <w:rPr>
                        <w:rFonts w:ascii="Cambria" w:hAnsi="Cambria" w:cs="Calibri"/>
                        <w:noProof/>
                      </w:rPr>
                      <w:fldChar w:fldCharType="end"/>
                    </w:r>
                  </w:p>
                </w:txbxContent>
              </v:textbox>
              <w10:wrap type="through"/>
            </v:shape>
          </w:pict>
        </mc:Fallback>
      </mc:AlternateContent>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3DF84E" w14:textId="2E977121" w:rsidR="00835BDC" w:rsidRPr="00835BDC" w:rsidRDefault="00835BDC" w:rsidP="00835BDC">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5</w:t>
    </w:r>
    <w:r w:rsidRPr="00F53123">
      <w:rPr>
        <w:rFonts w:ascii="Cambria" w:hAnsi="Cambria" w:cs="Calibri"/>
      </w:rPr>
      <w:t xml:space="preserve">. </w:t>
    </w:r>
    <w:r>
      <w:rPr>
        <w:rFonts w:ascii="Cambria" w:hAnsi="Cambria" w:cs="Calibri"/>
      </w:rPr>
      <w:t>Federal Data Reporting Requirements and Tools: HPMS and TMAS</w:t>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BA0AE7" w14:textId="6358CAAC" w:rsidR="00835BDC" w:rsidRPr="00835BDC" w:rsidRDefault="00835BDC" w:rsidP="00835BDC">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5</w:t>
    </w:r>
    <w:r w:rsidRPr="00F53123">
      <w:rPr>
        <w:rFonts w:ascii="Cambria" w:hAnsi="Cambria" w:cs="Calibri"/>
      </w:rPr>
      <w:t xml:space="preserve">. </w:t>
    </w:r>
    <w:r>
      <w:rPr>
        <w:rFonts w:ascii="Cambria" w:hAnsi="Cambria" w:cs="Calibri"/>
      </w:rPr>
      <w:t>Federal Data Reporting Requirements and Tools: HPMS and TMAS</w: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A7C28C" w14:textId="77777777" w:rsidR="00F124B1" w:rsidRDefault="00F124B1">
    <w:pPr>
      <w:pStyle w:val="Header"/>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E0E6F0" w14:textId="10964087" w:rsidR="00E15A61" w:rsidRPr="00835BDC" w:rsidRDefault="00E15A61" w:rsidP="00835BDC">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6</w:t>
    </w:r>
    <w:r w:rsidRPr="00F53123">
      <w:rPr>
        <w:rFonts w:ascii="Cambria" w:hAnsi="Cambria" w:cs="Calibri"/>
      </w:rPr>
      <w:t xml:space="preserve">. </w:t>
    </w:r>
    <w:r>
      <w:rPr>
        <w:rFonts w:ascii="Cambria" w:hAnsi="Cambria" w:cs="Calibri"/>
      </w:rPr>
      <w:t>Third-Party Traffic Data</w:t>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F4A854" w14:textId="119D6799" w:rsidR="00E15A61" w:rsidRPr="00E15A61" w:rsidRDefault="00E15A61" w:rsidP="00E15A61">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6</w:t>
    </w:r>
    <w:r w:rsidRPr="00F53123">
      <w:rPr>
        <w:rFonts w:ascii="Cambria" w:hAnsi="Cambria" w:cs="Calibri"/>
      </w:rPr>
      <w:t xml:space="preserve">. </w:t>
    </w:r>
    <w:r>
      <w:rPr>
        <w:rFonts w:ascii="Cambria" w:hAnsi="Cambria" w:cs="Calibri"/>
      </w:rPr>
      <w:t>Third-Party Traffic Data</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591682" w14:textId="45C11C38" w:rsidR="00031D1D" w:rsidRPr="00031D1D" w:rsidRDefault="00031D1D" w:rsidP="00031D1D">
    <w:pPr>
      <w:pStyle w:val="Header"/>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6DA90" w14:textId="26E28919" w:rsidR="0019188C" w:rsidRPr="00BB182A" w:rsidRDefault="00E15A61" w:rsidP="00BB182A">
    <w:pPr>
      <w:pStyle w:val="Header"/>
      <w:spacing w:before="0" w:after="0"/>
      <w:rPr>
        <w:rFonts w:ascii="Cambria" w:hAnsi="Cambria" w:cs="Calibri"/>
      </w:rPr>
    </w:pPr>
    <w:r>
      <w:rPr>
        <w:rFonts w:ascii="Cambria" w:hAnsi="Cambria" w:cs="Calibri"/>
      </w:rPr>
      <w:t xml:space="preserve">Chapter 7. </w:t>
    </w:r>
    <w:r w:rsidR="0019188C">
      <w:rPr>
        <w:rFonts w:ascii="Cambria" w:hAnsi="Cambria" w:cs="Calibri"/>
      </w:rPr>
      <w:t>References</w:t>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567242" w14:textId="4DDB086E" w:rsidR="00E15A61" w:rsidRPr="00E15A61" w:rsidRDefault="00E15A61" w:rsidP="00E15A61">
    <w:pPr>
      <w:pStyle w:val="Header"/>
      <w:spacing w:before="0" w:after="0"/>
      <w:rPr>
        <w:rFonts w:ascii="Cambria" w:hAnsi="Cambria" w:cs="Calibri"/>
      </w:rPr>
    </w:pPr>
    <w:r w:rsidRPr="00F53123">
      <w:rPr>
        <w:rFonts w:ascii="Cambria" w:hAnsi="Cambria" w:cs="Calibri"/>
      </w:rPr>
      <w:t xml:space="preserve">Chapter </w:t>
    </w:r>
    <w:r>
      <w:rPr>
        <w:rFonts w:ascii="Cambria" w:hAnsi="Cambria" w:cs="Calibri"/>
      </w:rPr>
      <w:t>7</w:t>
    </w:r>
    <w:r w:rsidRPr="00F53123">
      <w:rPr>
        <w:rFonts w:ascii="Cambria" w:hAnsi="Cambria" w:cs="Calibri"/>
      </w:rPr>
      <w:t xml:space="preserve">. </w:t>
    </w:r>
    <w:r>
      <w:rPr>
        <w:rFonts w:ascii="Cambria" w:hAnsi="Cambria" w:cs="Calibri"/>
      </w:rPr>
      <w:t>References</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AC26A6" w14:textId="6FBB414E" w:rsidR="000808EE" w:rsidRPr="00E87CD2" w:rsidRDefault="00E87CD2" w:rsidP="00E87CD2">
    <w:pPr>
      <w:pStyle w:val="Header"/>
      <w:spacing w:before="0" w:after="0"/>
      <w:rPr>
        <w:rFonts w:ascii="Cambria" w:hAnsi="Cambria" w:cs="Calibri"/>
      </w:rPr>
    </w:pPr>
    <w:r w:rsidRPr="00F53123">
      <w:rPr>
        <w:rFonts w:ascii="Cambria" w:hAnsi="Cambria" w:cs="Calibri"/>
      </w:rPr>
      <w:t>Traffic Monitoring Guide Executive Summary</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96004"/>
    <w:multiLevelType w:val="hybridMultilevel"/>
    <w:tmpl w:val="7B9686BA"/>
    <w:lvl w:ilvl="0" w:tplc="E10C3502">
      <w:start w:val="1"/>
      <w:numFmt w:val="decimal"/>
      <w:lvlText w:val="%1."/>
      <w:lvlJc w:val="left"/>
      <w:pPr>
        <w:ind w:left="1460" w:hanging="360"/>
      </w:pPr>
      <w:rPr>
        <w:rFonts w:cs="Times New Roman"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9D204B"/>
    <w:multiLevelType w:val="multilevel"/>
    <w:tmpl w:val="980EFD54"/>
    <w:lvl w:ilvl="0">
      <w:start w:val="5"/>
      <w:numFmt w:val="decimal"/>
      <w:lvlText w:val="%1"/>
      <w:lvlJc w:val="left"/>
      <w:pPr>
        <w:ind w:left="720" w:hanging="432"/>
      </w:pPr>
      <w:rPr>
        <w:rFonts w:hint="default"/>
      </w:rPr>
    </w:lvl>
    <w:lvl w:ilvl="1">
      <w:start w:val="3"/>
      <w:numFmt w:val="decimal"/>
      <w:lvlText w:val="%1.%2"/>
      <w:lvlJc w:val="left"/>
      <w:pPr>
        <w:ind w:left="864" w:hanging="576"/>
      </w:pPr>
      <w:rPr>
        <w:rFonts w:hint="default"/>
      </w:rPr>
    </w:lvl>
    <w:lvl w:ilvl="2">
      <w:start w:val="1"/>
      <w:numFmt w:val="decimal"/>
      <w:pStyle w:val="531Heading3"/>
      <w:lvlText w:val="%1.%2.%3"/>
      <w:lvlJc w:val="left"/>
      <w:pPr>
        <w:ind w:left="1008" w:hanging="720"/>
      </w:pPr>
      <w:rPr>
        <w:rFonts w:hint="default"/>
      </w:rPr>
    </w:lvl>
    <w:lvl w:ilvl="3">
      <w:start w:val="1"/>
      <w:numFmt w:val="decimal"/>
      <w:lvlText w:val="%1.%2.%3.%4"/>
      <w:lvlJc w:val="left"/>
      <w:pPr>
        <w:ind w:left="1152" w:hanging="864"/>
      </w:pPr>
      <w:rPr>
        <w:rFonts w:hint="default"/>
      </w:rPr>
    </w:lvl>
    <w:lvl w:ilvl="4">
      <w:start w:val="1"/>
      <w:numFmt w:val="decimal"/>
      <w:lvlText w:val="%1.%2.%3.%4.%5"/>
      <w:lvlJc w:val="left"/>
      <w:pPr>
        <w:ind w:left="1296" w:hanging="1008"/>
      </w:pPr>
      <w:rPr>
        <w:rFonts w:hint="default"/>
      </w:rPr>
    </w:lvl>
    <w:lvl w:ilvl="5">
      <w:start w:val="1"/>
      <w:numFmt w:val="decimal"/>
      <w:lvlText w:val="%1.%2.%3.%4.%5.%6"/>
      <w:lvlJc w:val="left"/>
      <w:pPr>
        <w:ind w:left="1440" w:hanging="1152"/>
      </w:pPr>
      <w:rPr>
        <w:rFonts w:hint="default"/>
      </w:rPr>
    </w:lvl>
    <w:lvl w:ilvl="6">
      <w:start w:val="1"/>
      <w:numFmt w:val="decimal"/>
      <w:lvlText w:val="%1.%2.%3.%4.%5.%6.%7"/>
      <w:lvlJc w:val="left"/>
      <w:pPr>
        <w:ind w:left="1584" w:hanging="1296"/>
      </w:pPr>
      <w:rPr>
        <w:rFonts w:hint="default"/>
      </w:rPr>
    </w:lvl>
    <w:lvl w:ilvl="7">
      <w:start w:val="1"/>
      <w:numFmt w:val="decimal"/>
      <w:lvlText w:val="%1.%2.%3.%4.%5.%6.%7.%8"/>
      <w:lvlJc w:val="left"/>
      <w:pPr>
        <w:ind w:left="1728" w:hanging="1440"/>
      </w:pPr>
      <w:rPr>
        <w:rFonts w:hint="default"/>
      </w:rPr>
    </w:lvl>
    <w:lvl w:ilvl="8">
      <w:start w:val="1"/>
      <w:numFmt w:val="decimal"/>
      <w:lvlText w:val="%1.%2.%3.%4.%5.%6.%7.%8.%9"/>
      <w:lvlJc w:val="left"/>
      <w:pPr>
        <w:ind w:left="1872" w:hanging="1584"/>
      </w:pPr>
      <w:rPr>
        <w:rFonts w:hint="default"/>
      </w:rPr>
    </w:lvl>
  </w:abstractNum>
  <w:abstractNum w:abstractNumId="2" w15:restartNumberingAfterBreak="0">
    <w:nsid w:val="01FD6B3A"/>
    <w:multiLevelType w:val="multilevel"/>
    <w:tmpl w:val="01649EE2"/>
    <w:lvl w:ilvl="0">
      <w:start w:val="1"/>
      <w:numFmt w:val="decimal"/>
      <w:lvlText w:val="%1"/>
      <w:lvlJc w:val="left"/>
      <w:pPr>
        <w:ind w:left="792" w:hanging="504"/>
      </w:pPr>
      <w:rPr>
        <w:rFonts w:hint="default"/>
      </w:rPr>
    </w:lvl>
    <w:lvl w:ilvl="1">
      <w:start w:val="5"/>
      <w:numFmt w:val="decimal"/>
      <w:lvlText w:val="%1.%2"/>
      <w:lvlJc w:val="left"/>
      <w:pPr>
        <w:ind w:left="864" w:hanging="576"/>
      </w:pPr>
      <w:rPr>
        <w:rFonts w:hint="default"/>
      </w:rPr>
    </w:lvl>
    <w:lvl w:ilvl="2">
      <w:start w:val="1"/>
      <w:numFmt w:val="decimal"/>
      <w:lvlText w:val="%1.%2.%3"/>
      <w:lvlJc w:val="left"/>
      <w:pPr>
        <w:ind w:left="1008" w:hanging="720"/>
      </w:pPr>
      <w:rPr>
        <w:rFonts w:hint="default"/>
      </w:rPr>
    </w:lvl>
    <w:lvl w:ilvl="3">
      <w:start w:val="1"/>
      <w:numFmt w:val="decimal"/>
      <w:pStyle w:val="1511Heading4"/>
      <w:lvlText w:val="%1.%2.%3.%4"/>
      <w:lvlJc w:val="left"/>
      <w:pPr>
        <w:ind w:left="1152" w:hanging="864"/>
      </w:pPr>
      <w:rPr>
        <w:rFonts w:hint="default"/>
      </w:rPr>
    </w:lvl>
    <w:lvl w:ilvl="4">
      <w:start w:val="1"/>
      <w:numFmt w:val="decimal"/>
      <w:lvlText w:val="%1.%2.%3.%4.%5"/>
      <w:lvlJc w:val="left"/>
      <w:pPr>
        <w:ind w:left="1296" w:hanging="1008"/>
      </w:pPr>
      <w:rPr>
        <w:rFonts w:hint="default"/>
      </w:rPr>
    </w:lvl>
    <w:lvl w:ilvl="5">
      <w:start w:val="1"/>
      <w:numFmt w:val="decimal"/>
      <w:lvlText w:val="%1.%2.%3.%4.%5.%6"/>
      <w:lvlJc w:val="left"/>
      <w:pPr>
        <w:ind w:left="1440" w:hanging="1152"/>
      </w:pPr>
      <w:rPr>
        <w:rFonts w:hint="default"/>
      </w:rPr>
    </w:lvl>
    <w:lvl w:ilvl="6">
      <w:start w:val="1"/>
      <w:numFmt w:val="decimal"/>
      <w:lvlText w:val="%1.%2.%3.%4.%5.%6.%7"/>
      <w:lvlJc w:val="left"/>
      <w:pPr>
        <w:ind w:left="1584" w:hanging="1296"/>
      </w:pPr>
      <w:rPr>
        <w:rFonts w:hint="default"/>
      </w:rPr>
    </w:lvl>
    <w:lvl w:ilvl="7">
      <w:start w:val="1"/>
      <w:numFmt w:val="decimal"/>
      <w:lvlText w:val="%1.%2.%3.%4.%5.%6.%7.%8"/>
      <w:lvlJc w:val="left"/>
      <w:pPr>
        <w:ind w:left="1728" w:hanging="1440"/>
      </w:pPr>
      <w:rPr>
        <w:rFonts w:hint="default"/>
      </w:rPr>
    </w:lvl>
    <w:lvl w:ilvl="8">
      <w:start w:val="1"/>
      <w:numFmt w:val="decimal"/>
      <w:lvlText w:val="%1.%2.%3.%4.%5.%6.%7.%8.%9"/>
      <w:lvlJc w:val="left"/>
      <w:pPr>
        <w:ind w:left="1872" w:hanging="1584"/>
      </w:pPr>
      <w:rPr>
        <w:rFonts w:hint="default"/>
      </w:rPr>
    </w:lvl>
  </w:abstractNum>
  <w:abstractNum w:abstractNumId="3" w15:restartNumberingAfterBreak="0">
    <w:nsid w:val="03B27EEB"/>
    <w:multiLevelType w:val="hybridMultilevel"/>
    <w:tmpl w:val="4A7E57E2"/>
    <w:styleLink w:val="3"/>
    <w:lvl w:ilvl="0" w:tplc="6C5A3310">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049875B6"/>
    <w:multiLevelType w:val="multilevel"/>
    <w:tmpl w:val="73DC4D6E"/>
    <w:lvl w:ilvl="0">
      <w:start w:val="5"/>
      <w:numFmt w:val="decimal"/>
      <w:lvlText w:val="%1"/>
      <w:lvlJc w:val="left"/>
      <w:pPr>
        <w:ind w:left="720" w:hanging="432"/>
      </w:pPr>
      <w:rPr>
        <w:rFonts w:hint="default"/>
      </w:rPr>
    </w:lvl>
    <w:lvl w:ilvl="1">
      <w:start w:val="2"/>
      <w:numFmt w:val="decimal"/>
      <w:lvlText w:val="%1.%2"/>
      <w:lvlJc w:val="left"/>
      <w:pPr>
        <w:ind w:left="864" w:hanging="576"/>
      </w:pPr>
      <w:rPr>
        <w:rFonts w:hint="default"/>
      </w:rPr>
    </w:lvl>
    <w:lvl w:ilvl="2">
      <w:start w:val="1"/>
      <w:numFmt w:val="decimal"/>
      <w:pStyle w:val="521Heading3"/>
      <w:lvlText w:val="%1.%2.%3"/>
      <w:lvlJc w:val="left"/>
      <w:pPr>
        <w:ind w:left="1440" w:hanging="720"/>
      </w:pPr>
      <w:rPr>
        <w:rFonts w:hint="default"/>
      </w:rPr>
    </w:lvl>
    <w:lvl w:ilvl="3">
      <w:start w:val="1"/>
      <w:numFmt w:val="decimal"/>
      <w:lvlText w:val="%1.%2.%3.%4"/>
      <w:lvlJc w:val="left"/>
      <w:pPr>
        <w:ind w:left="1152" w:hanging="864"/>
      </w:pPr>
      <w:rPr>
        <w:rFonts w:hint="default"/>
      </w:rPr>
    </w:lvl>
    <w:lvl w:ilvl="4">
      <w:start w:val="1"/>
      <w:numFmt w:val="decimal"/>
      <w:lvlText w:val="%1.%2.%3.%4.%5"/>
      <w:lvlJc w:val="left"/>
      <w:pPr>
        <w:ind w:left="1296" w:hanging="1008"/>
      </w:pPr>
      <w:rPr>
        <w:rFonts w:hint="default"/>
      </w:rPr>
    </w:lvl>
    <w:lvl w:ilvl="5">
      <w:start w:val="1"/>
      <w:numFmt w:val="decimal"/>
      <w:lvlText w:val="%1.%2.%3.%4.%5.%6"/>
      <w:lvlJc w:val="left"/>
      <w:pPr>
        <w:ind w:left="1440" w:hanging="1152"/>
      </w:pPr>
      <w:rPr>
        <w:rFonts w:hint="default"/>
      </w:rPr>
    </w:lvl>
    <w:lvl w:ilvl="6">
      <w:start w:val="1"/>
      <w:numFmt w:val="decimal"/>
      <w:lvlText w:val="%1.%2.%3.%4.%5.%6.%7"/>
      <w:lvlJc w:val="left"/>
      <w:pPr>
        <w:ind w:left="1584" w:hanging="1296"/>
      </w:pPr>
      <w:rPr>
        <w:rFonts w:hint="default"/>
      </w:rPr>
    </w:lvl>
    <w:lvl w:ilvl="7">
      <w:start w:val="1"/>
      <w:numFmt w:val="decimal"/>
      <w:lvlText w:val="%1.%2.%3.%4.%5.%6.%7.%8"/>
      <w:lvlJc w:val="left"/>
      <w:pPr>
        <w:ind w:left="1728" w:hanging="1440"/>
      </w:pPr>
      <w:rPr>
        <w:rFonts w:hint="default"/>
      </w:rPr>
    </w:lvl>
    <w:lvl w:ilvl="8">
      <w:start w:val="1"/>
      <w:numFmt w:val="decimal"/>
      <w:lvlText w:val="%1.%2.%3.%4.%5.%6.%7.%8.%9"/>
      <w:lvlJc w:val="left"/>
      <w:pPr>
        <w:ind w:left="1872" w:hanging="1584"/>
      </w:pPr>
      <w:rPr>
        <w:rFonts w:hint="default"/>
      </w:rPr>
    </w:lvl>
  </w:abstractNum>
  <w:abstractNum w:abstractNumId="5" w15:restartNumberingAfterBreak="0">
    <w:nsid w:val="0511176C"/>
    <w:multiLevelType w:val="multilevel"/>
    <w:tmpl w:val="215E7A42"/>
    <w:lvl w:ilvl="0">
      <w:start w:val="1"/>
      <w:numFmt w:val="decimal"/>
      <w:pStyle w:val="TableListNumber"/>
      <w:lvlText w:val="%1."/>
      <w:lvlJc w:val="left"/>
      <w:pPr>
        <w:tabs>
          <w:tab w:val="num" w:pos="288"/>
        </w:tabs>
        <w:ind w:left="288" w:hanging="288"/>
      </w:pPr>
      <w:rPr>
        <w:rFonts w:cs="Times New Roman" w:hint="default"/>
      </w:rPr>
    </w:lvl>
    <w:lvl w:ilvl="1">
      <w:start w:val="1"/>
      <w:numFmt w:val="lowerLetter"/>
      <w:pStyle w:val="TableListNumber2"/>
      <w:lvlText w:val="%2."/>
      <w:lvlJc w:val="left"/>
      <w:pPr>
        <w:tabs>
          <w:tab w:val="num" w:pos="576"/>
        </w:tabs>
        <w:ind w:left="576" w:hanging="288"/>
      </w:pPr>
      <w:rPr>
        <w:rFonts w:cs="Times New Roman" w:hint="default"/>
      </w:rPr>
    </w:lvl>
    <w:lvl w:ilvl="2">
      <w:start w:val="1"/>
      <w:numFmt w:val="lowerRoman"/>
      <w:pStyle w:val="TableListNumber3"/>
      <w:lvlText w:val="%3."/>
      <w:lvlJc w:val="left"/>
      <w:pPr>
        <w:tabs>
          <w:tab w:val="num" w:pos="864"/>
        </w:tabs>
        <w:ind w:left="864" w:hanging="288"/>
      </w:pPr>
      <w:rPr>
        <w:rFonts w:cs="Times New Roman" w:hint="default"/>
      </w:rPr>
    </w:lvl>
    <w:lvl w:ilvl="3">
      <w:start w:val="1"/>
      <w:numFmt w:val="decimal"/>
      <w:lvlText w:val="(%4)"/>
      <w:lvlJc w:val="left"/>
      <w:pPr>
        <w:tabs>
          <w:tab w:val="num" w:pos="1656"/>
        </w:tabs>
        <w:ind w:left="1656" w:hanging="360"/>
      </w:pPr>
      <w:rPr>
        <w:rFonts w:cs="Times New Roman" w:hint="default"/>
      </w:rPr>
    </w:lvl>
    <w:lvl w:ilvl="4">
      <w:start w:val="1"/>
      <w:numFmt w:val="lowerLetter"/>
      <w:lvlText w:val="(%5)"/>
      <w:lvlJc w:val="left"/>
      <w:pPr>
        <w:tabs>
          <w:tab w:val="num" w:pos="2016"/>
        </w:tabs>
        <w:ind w:left="2016" w:hanging="360"/>
      </w:pPr>
      <w:rPr>
        <w:rFonts w:cs="Times New Roman" w:hint="default"/>
      </w:rPr>
    </w:lvl>
    <w:lvl w:ilvl="5">
      <w:start w:val="1"/>
      <w:numFmt w:val="lowerRoman"/>
      <w:lvlText w:val="(%6)"/>
      <w:lvlJc w:val="left"/>
      <w:pPr>
        <w:tabs>
          <w:tab w:val="num" w:pos="2376"/>
        </w:tabs>
        <w:ind w:left="2376" w:hanging="360"/>
      </w:pPr>
      <w:rPr>
        <w:rFonts w:cs="Times New Roman" w:hint="default"/>
      </w:rPr>
    </w:lvl>
    <w:lvl w:ilvl="6">
      <w:start w:val="1"/>
      <w:numFmt w:val="decimal"/>
      <w:lvlText w:val="%7."/>
      <w:lvlJc w:val="left"/>
      <w:pPr>
        <w:tabs>
          <w:tab w:val="num" w:pos="2736"/>
        </w:tabs>
        <w:ind w:left="2736" w:hanging="360"/>
      </w:pPr>
      <w:rPr>
        <w:rFonts w:cs="Times New Roman" w:hint="default"/>
      </w:rPr>
    </w:lvl>
    <w:lvl w:ilvl="7">
      <w:start w:val="1"/>
      <w:numFmt w:val="lowerLetter"/>
      <w:lvlText w:val="%8."/>
      <w:lvlJc w:val="left"/>
      <w:pPr>
        <w:tabs>
          <w:tab w:val="num" w:pos="3096"/>
        </w:tabs>
        <w:ind w:left="3096" w:hanging="360"/>
      </w:pPr>
      <w:rPr>
        <w:rFonts w:cs="Times New Roman" w:hint="default"/>
      </w:rPr>
    </w:lvl>
    <w:lvl w:ilvl="8">
      <w:start w:val="1"/>
      <w:numFmt w:val="lowerRoman"/>
      <w:lvlText w:val="%9."/>
      <w:lvlJc w:val="left"/>
      <w:pPr>
        <w:tabs>
          <w:tab w:val="num" w:pos="3456"/>
        </w:tabs>
        <w:ind w:left="3456" w:hanging="360"/>
      </w:pPr>
      <w:rPr>
        <w:rFonts w:cs="Times New Roman" w:hint="default"/>
      </w:rPr>
    </w:lvl>
  </w:abstractNum>
  <w:abstractNum w:abstractNumId="6" w15:restartNumberingAfterBreak="0">
    <w:nsid w:val="06BE6950"/>
    <w:multiLevelType w:val="hybridMultilevel"/>
    <w:tmpl w:val="5C9EA768"/>
    <w:lvl w:ilvl="0" w:tplc="0409000F">
      <w:start w:val="1"/>
      <w:numFmt w:val="decimal"/>
      <w:lvlText w:val="%1."/>
      <w:lvlJc w:val="left"/>
      <w:pPr>
        <w:ind w:left="146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72D78D8"/>
    <w:multiLevelType w:val="multilevel"/>
    <w:tmpl w:val="7BEA5F4E"/>
    <w:lvl w:ilvl="0">
      <w:start w:val="1"/>
      <w:numFmt w:val="decimal"/>
      <w:lvlText w:val="%1."/>
      <w:lvlJc w:val="left"/>
      <w:pPr>
        <w:ind w:left="360" w:hanging="360"/>
      </w:pPr>
      <w:rPr>
        <w:rFonts w:cs="Times New Roman" w:hint="default"/>
        <w:i w:val="0"/>
      </w:rPr>
    </w:lvl>
    <w:lvl w:ilvl="1">
      <w:start w:val="7"/>
      <w:numFmt w:val="decimal"/>
      <w:isLgl/>
      <w:lvlText w:val="%1.%2"/>
      <w:lvlJc w:val="left"/>
      <w:pPr>
        <w:ind w:left="1980" w:hanging="1080"/>
      </w:pPr>
      <w:rPr>
        <w:rFonts w:hint="default"/>
      </w:rPr>
    </w:lvl>
    <w:lvl w:ilvl="2">
      <w:start w:val="1"/>
      <w:numFmt w:val="decimal"/>
      <w:isLgl/>
      <w:lvlText w:val="%1.%2.%3"/>
      <w:lvlJc w:val="left"/>
      <w:pPr>
        <w:ind w:left="2880" w:hanging="1080"/>
      </w:pPr>
      <w:rPr>
        <w:rFonts w:hint="default"/>
      </w:rPr>
    </w:lvl>
    <w:lvl w:ilvl="3">
      <w:start w:val="1"/>
      <w:numFmt w:val="decimal"/>
      <w:isLgl/>
      <w:lvlText w:val="%1.%2.%3.%4"/>
      <w:lvlJc w:val="left"/>
      <w:pPr>
        <w:ind w:left="3780" w:hanging="1080"/>
      </w:pPr>
      <w:rPr>
        <w:rFonts w:hint="default"/>
      </w:rPr>
    </w:lvl>
    <w:lvl w:ilvl="4">
      <w:start w:val="1"/>
      <w:numFmt w:val="decimal"/>
      <w:isLgl/>
      <w:lvlText w:val="%1.%2.%3.%4.%5"/>
      <w:lvlJc w:val="left"/>
      <w:pPr>
        <w:ind w:left="4680" w:hanging="1080"/>
      </w:pPr>
      <w:rPr>
        <w:rFonts w:hint="default"/>
      </w:rPr>
    </w:lvl>
    <w:lvl w:ilvl="5">
      <w:start w:val="1"/>
      <w:numFmt w:val="decimal"/>
      <w:isLgl/>
      <w:lvlText w:val="%1.%2.%3.%4.%5.%6"/>
      <w:lvlJc w:val="left"/>
      <w:pPr>
        <w:ind w:left="5580" w:hanging="1080"/>
      </w:pPr>
      <w:rPr>
        <w:rFonts w:hint="default"/>
      </w:rPr>
    </w:lvl>
    <w:lvl w:ilvl="6">
      <w:start w:val="1"/>
      <w:numFmt w:val="decimal"/>
      <w:isLgl/>
      <w:lvlText w:val="%1.%2.%3.%4.%5.%6.%7"/>
      <w:lvlJc w:val="left"/>
      <w:pPr>
        <w:ind w:left="6480" w:hanging="1080"/>
      </w:pPr>
      <w:rPr>
        <w:rFonts w:hint="default"/>
      </w:rPr>
    </w:lvl>
    <w:lvl w:ilvl="7">
      <w:start w:val="1"/>
      <w:numFmt w:val="decimal"/>
      <w:isLgl/>
      <w:lvlText w:val="%1.%2.%3.%4.%5.%6.%7.%8"/>
      <w:lvlJc w:val="left"/>
      <w:pPr>
        <w:ind w:left="7740" w:hanging="1440"/>
      </w:pPr>
      <w:rPr>
        <w:rFonts w:hint="default"/>
      </w:rPr>
    </w:lvl>
    <w:lvl w:ilvl="8">
      <w:start w:val="1"/>
      <w:numFmt w:val="decimal"/>
      <w:isLgl/>
      <w:lvlText w:val="%1.%2.%3.%4.%5.%6.%7.%8.%9"/>
      <w:lvlJc w:val="left"/>
      <w:pPr>
        <w:ind w:left="8640" w:hanging="1440"/>
      </w:pPr>
      <w:rPr>
        <w:rFonts w:hint="default"/>
      </w:rPr>
    </w:lvl>
  </w:abstractNum>
  <w:abstractNum w:abstractNumId="8" w15:restartNumberingAfterBreak="0">
    <w:nsid w:val="08931543"/>
    <w:multiLevelType w:val="multilevel"/>
    <w:tmpl w:val="A3EE9234"/>
    <w:styleLink w:val="a"/>
    <w:lvl w:ilvl="0">
      <w:start w:val="1"/>
      <w:numFmt w:val="bullet"/>
      <w:pStyle w:val="ListBullet"/>
      <w:lvlText w:val=""/>
      <w:lvlJc w:val="left"/>
      <w:pPr>
        <w:tabs>
          <w:tab w:val="num" w:pos="2520"/>
        </w:tabs>
        <w:ind w:left="2520" w:hanging="360"/>
      </w:pPr>
      <w:rPr>
        <w:rFonts w:ascii="Symbol" w:hAnsi="Symbol" w:hint="default"/>
        <w:color w:val="auto"/>
      </w:rPr>
    </w:lvl>
    <w:lvl w:ilvl="1">
      <w:start w:val="1"/>
      <w:numFmt w:val="bullet"/>
      <w:lvlText w:val="–"/>
      <w:lvlJc w:val="left"/>
      <w:pPr>
        <w:tabs>
          <w:tab w:val="num" w:pos="2880"/>
        </w:tabs>
        <w:ind w:left="2880" w:hanging="360"/>
      </w:pPr>
      <w:rPr>
        <w:rFonts w:ascii="Book Antiqua" w:hAnsi="Book Antiqua" w:hint="default"/>
      </w:rPr>
    </w:lvl>
    <w:lvl w:ilvl="2">
      <w:start w:val="1"/>
      <w:numFmt w:val="bullet"/>
      <w:lvlText w:val="»"/>
      <w:lvlJc w:val="left"/>
      <w:pPr>
        <w:tabs>
          <w:tab w:val="num" w:pos="3240"/>
        </w:tabs>
        <w:ind w:left="3240" w:hanging="360"/>
      </w:pPr>
      <w:rPr>
        <w:rFonts w:ascii="Times New Roman" w:hAnsi="Times New Roman" w:cs="Times New Roman" w:hint="default"/>
      </w:rPr>
    </w:lvl>
    <w:lvl w:ilvl="3">
      <w:start w:val="1"/>
      <w:numFmt w:val="bullet"/>
      <w:lvlText w:val=""/>
      <w:lvlJc w:val="left"/>
      <w:pPr>
        <w:tabs>
          <w:tab w:val="num" w:pos="2160"/>
        </w:tabs>
        <w:ind w:left="2160" w:hanging="360"/>
      </w:pPr>
      <w:rPr>
        <w:rFonts w:ascii="Symbol" w:hAnsi="Symbol" w:hint="default"/>
      </w:rPr>
    </w:lvl>
    <w:lvl w:ilvl="4">
      <w:start w:val="1"/>
      <w:numFmt w:val="bullet"/>
      <w:lvlText w:val=""/>
      <w:lvlJc w:val="left"/>
      <w:pPr>
        <w:tabs>
          <w:tab w:val="num" w:pos="2520"/>
        </w:tabs>
        <w:ind w:left="2520" w:hanging="360"/>
      </w:pPr>
      <w:rPr>
        <w:rFonts w:ascii="Symbol" w:hAnsi="Symbol" w:hint="default"/>
      </w:rPr>
    </w:lvl>
    <w:lvl w:ilvl="5">
      <w:start w:val="1"/>
      <w:numFmt w:val="bullet"/>
      <w:lvlText w:val=""/>
      <w:lvlJc w:val="left"/>
      <w:pPr>
        <w:tabs>
          <w:tab w:val="num" w:pos="2880"/>
        </w:tabs>
        <w:ind w:left="2880" w:hanging="360"/>
      </w:pPr>
      <w:rPr>
        <w:rFonts w:ascii="Wingdings" w:hAnsi="Wingdings" w:hint="default"/>
      </w:rPr>
    </w:lvl>
    <w:lvl w:ilvl="6">
      <w:start w:val="1"/>
      <w:numFmt w:val="bullet"/>
      <w:lvlText w:val=""/>
      <w:lvlJc w:val="left"/>
      <w:pPr>
        <w:tabs>
          <w:tab w:val="num" w:pos="3240"/>
        </w:tabs>
        <w:ind w:left="3240" w:hanging="360"/>
      </w:pPr>
      <w:rPr>
        <w:rFonts w:ascii="Wingdings" w:hAnsi="Wingdings" w:hint="default"/>
      </w:rPr>
    </w:lvl>
    <w:lvl w:ilvl="7">
      <w:start w:val="1"/>
      <w:numFmt w:val="bullet"/>
      <w:lvlText w:val=""/>
      <w:lvlJc w:val="left"/>
      <w:pPr>
        <w:tabs>
          <w:tab w:val="num" w:pos="3600"/>
        </w:tabs>
        <w:ind w:left="3600" w:hanging="360"/>
      </w:pPr>
      <w:rPr>
        <w:rFonts w:ascii="Symbol" w:hAnsi="Symbol" w:hint="default"/>
      </w:rPr>
    </w:lvl>
    <w:lvl w:ilvl="8">
      <w:start w:val="1"/>
      <w:numFmt w:val="bullet"/>
      <w:lvlText w:val=""/>
      <w:lvlJc w:val="left"/>
      <w:pPr>
        <w:tabs>
          <w:tab w:val="num" w:pos="3960"/>
        </w:tabs>
        <w:ind w:left="3960" w:hanging="360"/>
      </w:pPr>
      <w:rPr>
        <w:rFonts w:ascii="Symbol" w:hAnsi="Symbol" w:hint="default"/>
      </w:rPr>
    </w:lvl>
  </w:abstractNum>
  <w:abstractNum w:abstractNumId="9" w15:restartNumberingAfterBreak="0">
    <w:nsid w:val="09EC5433"/>
    <w:multiLevelType w:val="hybridMultilevel"/>
    <w:tmpl w:val="9D126C2A"/>
    <w:lvl w:ilvl="0" w:tplc="F34C6630">
      <w:start w:val="1"/>
      <w:numFmt w:val="decimal"/>
      <w:lvlText w:val="%1."/>
      <w:lvlJc w:val="right"/>
      <w:pPr>
        <w:ind w:left="1460" w:hanging="360"/>
      </w:pPr>
      <w:rPr>
        <w:rFonts w:ascii="Calibri" w:eastAsiaTheme="minorHAnsi" w:hAnsi="Calibri" w:cs="Calibri" w:hint="default"/>
        <w:b w:val="0"/>
        <w:i w:val="0"/>
        <w:strike w:val="0"/>
        <w:dstrike w:val="0"/>
        <w:color w:val="000000"/>
        <w:sz w:val="20"/>
        <w:szCs w:val="20"/>
        <w:u w:val="none" w:color="000000"/>
        <w:vertAlign w:val="baseline"/>
      </w:rPr>
    </w:lvl>
    <w:lvl w:ilvl="1" w:tplc="FFFFFFFF" w:tentative="1">
      <w:start w:val="1"/>
      <w:numFmt w:val="lowerLetter"/>
      <w:lvlText w:val="%2."/>
      <w:lvlJc w:val="left"/>
      <w:pPr>
        <w:ind w:left="2520" w:hanging="360"/>
      </w:pPr>
      <w:rPr>
        <w:rFonts w:cs="Times New Roman"/>
      </w:rPr>
    </w:lvl>
    <w:lvl w:ilvl="2" w:tplc="FFFFFFFF" w:tentative="1">
      <w:start w:val="1"/>
      <w:numFmt w:val="lowerRoman"/>
      <w:lvlText w:val="%3."/>
      <w:lvlJc w:val="right"/>
      <w:pPr>
        <w:ind w:left="3240" w:hanging="180"/>
      </w:pPr>
      <w:rPr>
        <w:rFonts w:cs="Times New Roman"/>
      </w:rPr>
    </w:lvl>
    <w:lvl w:ilvl="3" w:tplc="FFFFFFFF" w:tentative="1">
      <w:start w:val="1"/>
      <w:numFmt w:val="decimal"/>
      <w:lvlText w:val="%4."/>
      <w:lvlJc w:val="left"/>
      <w:pPr>
        <w:ind w:left="3960" w:hanging="360"/>
      </w:pPr>
      <w:rPr>
        <w:rFonts w:cs="Times New Roman"/>
      </w:rPr>
    </w:lvl>
    <w:lvl w:ilvl="4" w:tplc="FFFFFFFF" w:tentative="1">
      <w:start w:val="1"/>
      <w:numFmt w:val="lowerLetter"/>
      <w:lvlText w:val="%5."/>
      <w:lvlJc w:val="left"/>
      <w:pPr>
        <w:ind w:left="4680" w:hanging="360"/>
      </w:pPr>
      <w:rPr>
        <w:rFonts w:cs="Times New Roman"/>
      </w:rPr>
    </w:lvl>
    <w:lvl w:ilvl="5" w:tplc="FFFFFFFF" w:tentative="1">
      <w:start w:val="1"/>
      <w:numFmt w:val="lowerRoman"/>
      <w:lvlText w:val="%6."/>
      <w:lvlJc w:val="right"/>
      <w:pPr>
        <w:ind w:left="5400" w:hanging="180"/>
      </w:pPr>
      <w:rPr>
        <w:rFonts w:cs="Times New Roman"/>
      </w:rPr>
    </w:lvl>
    <w:lvl w:ilvl="6" w:tplc="FFFFFFFF" w:tentative="1">
      <w:start w:val="1"/>
      <w:numFmt w:val="decimal"/>
      <w:lvlText w:val="%7."/>
      <w:lvlJc w:val="left"/>
      <w:pPr>
        <w:ind w:left="6120" w:hanging="360"/>
      </w:pPr>
      <w:rPr>
        <w:rFonts w:cs="Times New Roman"/>
      </w:rPr>
    </w:lvl>
    <w:lvl w:ilvl="7" w:tplc="FFFFFFFF" w:tentative="1">
      <w:start w:val="1"/>
      <w:numFmt w:val="lowerLetter"/>
      <w:lvlText w:val="%8."/>
      <w:lvlJc w:val="left"/>
      <w:pPr>
        <w:ind w:left="6840" w:hanging="360"/>
      </w:pPr>
      <w:rPr>
        <w:rFonts w:cs="Times New Roman"/>
      </w:rPr>
    </w:lvl>
    <w:lvl w:ilvl="8" w:tplc="FFFFFFFF" w:tentative="1">
      <w:start w:val="1"/>
      <w:numFmt w:val="lowerRoman"/>
      <w:lvlText w:val="%9."/>
      <w:lvlJc w:val="right"/>
      <w:pPr>
        <w:ind w:left="7560" w:hanging="180"/>
      </w:pPr>
      <w:rPr>
        <w:rFonts w:cs="Times New Roman"/>
      </w:rPr>
    </w:lvl>
  </w:abstractNum>
  <w:abstractNum w:abstractNumId="10" w15:restartNumberingAfterBreak="0">
    <w:nsid w:val="0B946E83"/>
    <w:multiLevelType w:val="hybridMultilevel"/>
    <w:tmpl w:val="FD2E8C06"/>
    <w:lvl w:ilvl="0" w:tplc="5052F3AE">
      <w:start w:val="1"/>
      <w:numFmt w:val="decimal"/>
      <w:pStyle w:val="651Heading3"/>
      <w:lvlText w:val="6.5.%1"/>
      <w:lvlJc w:val="center"/>
      <w:pPr>
        <w:ind w:left="648" w:hanging="360"/>
      </w:pPr>
      <w:rPr>
        <w:rFonts w:ascii="Cambria" w:hAnsi="Cambria" w:hint="default"/>
        <w:b w:val="0"/>
        <w:i w:val="0"/>
        <w:sz w:val="26"/>
      </w:rPr>
    </w:lvl>
    <w:lvl w:ilvl="1" w:tplc="04090019" w:tentative="1">
      <w:start w:val="1"/>
      <w:numFmt w:val="lowerLetter"/>
      <w:lvlText w:val="%2."/>
      <w:lvlJc w:val="left"/>
      <w:pPr>
        <w:ind w:left="252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 w15:restartNumberingAfterBreak="0">
    <w:nsid w:val="0BEA427A"/>
    <w:multiLevelType w:val="hybridMultilevel"/>
    <w:tmpl w:val="20FA6778"/>
    <w:lvl w:ilvl="0" w:tplc="2D68506E">
      <w:start w:val="1"/>
      <w:numFmt w:val="decimal"/>
      <w:pStyle w:val="391"/>
      <w:lvlText w:val="3.9.%1"/>
      <w:lvlJc w:val="left"/>
      <w:pPr>
        <w:ind w:left="1008" w:hanging="360"/>
      </w:pPr>
      <w:rPr>
        <w:rFonts w:hint="default"/>
      </w:r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12" w15:restartNumberingAfterBreak="0">
    <w:nsid w:val="0E545AE2"/>
    <w:multiLevelType w:val="hybridMultilevel"/>
    <w:tmpl w:val="B69CF560"/>
    <w:lvl w:ilvl="0" w:tplc="4A5652E6">
      <w:start w:val="1"/>
      <w:numFmt w:val="decimal"/>
      <w:pStyle w:val="671Heading3"/>
      <w:lvlText w:val="6.7.%1"/>
      <w:lvlJc w:val="center"/>
      <w:pPr>
        <w:ind w:left="648" w:hanging="360"/>
      </w:pPr>
      <w:rPr>
        <w:rFonts w:ascii="Cambria" w:hAnsi="Cambria" w:hint="default"/>
        <w:b w:val="0"/>
        <w:i w:val="0"/>
        <w:sz w:val="26"/>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E75608F"/>
    <w:multiLevelType w:val="multilevel"/>
    <w:tmpl w:val="D9B0C774"/>
    <w:lvl w:ilvl="0">
      <w:start w:val="3"/>
      <w:numFmt w:val="decimal"/>
      <w:lvlText w:val="%1"/>
      <w:lvlJc w:val="left"/>
      <w:pPr>
        <w:ind w:left="792" w:hanging="504"/>
      </w:pPr>
      <w:rPr>
        <w:rFonts w:hint="default"/>
      </w:rPr>
    </w:lvl>
    <w:lvl w:ilvl="1">
      <w:start w:val="2"/>
      <w:numFmt w:val="decimal"/>
      <w:lvlText w:val="%1.%2"/>
      <w:lvlJc w:val="left"/>
      <w:pPr>
        <w:ind w:left="864" w:hanging="576"/>
      </w:pPr>
      <w:rPr>
        <w:rFonts w:hint="default"/>
      </w:rPr>
    </w:lvl>
    <w:lvl w:ilvl="2">
      <w:start w:val="1"/>
      <w:numFmt w:val="decimal"/>
      <w:pStyle w:val="321Heading3"/>
      <w:lvlText w:val="%1.%2.%3"/>
      <w:lvlJc w:val="left"/>
      <w:pPr>
        <w:ind w:left="1008" w:hanging="720"/>
      </w:pPr>
      <w:rPr>
        <w:rFonts w:hint="default"/>
      </w:rPr>
    </w:lvl>
    <w:lvl w:ilvl="3">
      <w:start w:val="1"/>
      <w:numFmt w:val="decimal"/>
      <w:lvlText w:val="%1.%2.%3.%4"/>
      <w:lvlJc w:val="left"/>
      <w:pPr>
        <w:ind w:left="1152" w:hanging="864"/>
      </w:pPr>
      <w:rPr>
        <w:rFonts w:hint="default"/>
      </w:rPr>
    </w:lvl>
    <w:lvl w:ilvl="4">
      <w:start w:val="1"/>
      <w:numFmt w:val="decimal"/>
      <w:lvlText w:val="%1.%2.%3.%4.%5"/>
      <w:lvlJc w:val="left"/>
      <w:pPr>
        <w:ind w:left="1296" w:hanging="1008"/>
      </w:pPr>
      <w:rPr>
        <w:rFonts w:hint="default"/>
      </w:rPr>
    </w:lvl>
    <w:lvl w:ilvl="5">
      <w:start w:val="1"/>
      <w:numFmt w:val="decimal"/>
      <w:lvlText w:val="%1.%2.%3.%4.%5.%6"/>
      <w:lvlJc w:val="left"/>
      <w:pPr>
        <w:ind w:left="1440" w:hanging="1152"/>
      </w:pPr>
      <w:rPr>
        <w:rFonts w:hint="default"/>
      </w:rPr>
    </w:lvl>
    <w:lvl w:ilvl="6">
      <w:start w:val="1"/>
      <w:numFmt w:val="decimal"/>
      <w:lvlText w:val="%1.%2.%3.%4.%5.%6.%7"/>
      <w:lvlJc w:val="left"/>
      <w:pPr>
        <w:ind w:left="1584" w:hanging="1296"/>
      </w:pPr>
      <w:rPr>
        <w:rFonts w:hint="default"/>
      </w:rPr>
    </w:lvl>
    <w:lvl w:ilvl="7">
      <w:start w:val="1"/>
      <w:numFmt w:val="decimal"/>
      <w:lvlText w:val="%1.%2.%3.%4.%5.%6.%7.%8"/>
      <w:lvlJc w:val="left"/>
      <w:pPr>
        <w:ind w:left="1728" w:hanging="1440"/>
      </w:pPr>
      <w:rPr>
        <w:rFonts w:hint="default"/>
      </w:rPr>
    </w:lvl>
    <w:lvl w:ilvl="8">
      <w:start w:val="1"/>
      <w:numFmt w:val="decimal"/>
      <w:lvlText w:val="%1.%2.%3.%4.%5.%6.%7.%8.%9"/>
      <w:lvlJc w:val="left"/>
      <w:pPr>
        <w:ind w:left="1872" w:hanging="1584"/>
      </w:pPr>
      <w:rPr>
        <w:rFonts w:hint="default"/>
      </w:rPr>
    </w:lvl>
  </w:abstractNum>
  <w:abstractNum w:abstractNumId="14" w15:restartNumberingAfterBreak="0">
    <w:nsid w:val="0F345F04"/>
    <w:multiLevelType w:val="hybridMultilevel"/>
    <w:tmpl w:val="DCA8C02A"/>
    <w:lvl w:ilvl="0" w:tplc="C69279AC">
      <w:start w:val="1"/>
      <w:numFmt w:val="decimal"/>
      <w:pStyle w:val="3321Heading4"/>
      <w:lvlText w:val="3.3.2.%1"/>
      <w:lvlJc w:val="left"/>
      <w:pPr>
        <w:ind w:left="648" w:hanging="360"/>
      </w:pPr>
      <w:rPr>
        <w:rFonts w:asciiTheme="majorHAnsi" w:hAnsiTheme="majorHAnsi" w:hint="default"/>
        <w:b w:val="0"/>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F7B03FC"/>
    <w:multiLevelType w:val="hybridMultilevel"/>
    <w:tmpl w:val="7AD26222"/>
    <w:lvl w:ilvl="0" w:tplc="32CE71E6">
      <w:start w:val="19"/>
      <w:numFmt w:val="decimal"/>
      <w:lvlText w:val="%1."/>
      <w:lvlJc w:val="left"/>
      <w:pPr>
        <w:ind w:left="1460" w:hanging="360"/>
      </w:pPr>
      <w:rPr>
        <w:rFonts w:cs="Times New Roman"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2587BB1"/>
    <w:multiLevelType w:val="hybridMultilevel"/>
    <w:tmpl w:val="0E0C429C"/>
    <w:lvl w:ilvl="0" w:tplc="50926460">
      <w:start w:val="1"/>
      <w:numFmt w:val="decimal"/>
      <w:pStyle w:val="3931"/>
      <w:lvlText w:val="3.9.3.%1"/>
      <w:lvlJc w:val="left"/>
      <w:pPr>
        <w:ind w:left="1008" w:hanging="360"/>
      </w:pPr>
      <w:rPr>
        <w:rFonts w:asciiTheme="majorHAnsi" w:hAnsiTheme="majorHAnsi" w:hint="default"/>
        <w:b w:val="0"/>
        <w:i w:val="0"/>
        <w:sz w:val="24"/>
      </w:r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17" w15:restartNumberingAfterBreak="0">
    <w:nsid w:val="13013689"/>
    <w:multiLevelType w:val="hybridMultilevel"/>
    <w:tmpl w:val="B972E120"/>
    <w:lvl w:ilvl="0" w:tplc="23386696">
      <w:start w:val="1"/>
      <w:numFmt w:val="decimal"/>
      <w:pStyle w:val="1"/>
      <w:lvlText w:val="1.5.%1"/>
      <w:lvlJc w:val="left"/>
      <w:pPr>
        <w:ind w:left="360" w:hanging="360"/>
      </w:pPr>
      <w:rPr>
        <w:rFonts w:hint="default"/>
      </w:rPr>
    </w:lvl>
    <w:lvl w:ilvl="1" w:tplc="04090019" w:tentative="1">
      <w:start w:val="1"/>
      <w:numFmt w:val="lowerLetter"/>
      <w:lvlText w:val="%2."/>
      <w:lvlJc w:val="left"/>
      <w:pPr>
        <w:ind w:left="1080" w:hanging="360"/>
      </w:pPr>
    </w:lvl>
    <w:lvl w:ilvl="2" w:tplc="0409001B">
      <w:start w:val="1"/>
      <w:numFmt w:val="lowerRoman"/>
      <w:pStyle w:val="1"/>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13CD4F97"/>
    <w:multiLevelType w:val="hybridMultilevel"/>
    <w:tmpl w:val="40429636"/>
    <w:lvl w:ilvl="0" w:tplc="04090001">
      <w:start w:val="1"/>
      <w:numFmt w:val="bullet"/>
      <w:lvlText w:val=""/>
      <w:lvlJc w:val="left"/>
      <w:pPr>
        <w:ind w:left="2016" w:hanging="360"/>
      </w:pPr>
      <w:rPr>
        <w:rFonts w:ascii="Symbol" w:hAnsi="Symbol" w:hint="default"/>
      </w:rPr>
    </w:lvl>
    <w:lvl w:ilvl="1" w:tplc="04090003" w:tentative="1">
      <w:start w:val="1"/>
      <w:numFmt w:val="bullet"/>
      <w:lvlText w:val="o"/>
      <w:lvlJc w:val="left"/>
      <w:pPr>
        <w:ind w:left="2736" w:hanging="360"/>
      </w:pPr>
      <w:rPr>
        <w:rFonts w:ascii="Courier New" w:hAnsi="Courier New" w:cs="Courier New" w:hint="default"/>
      </w:rPr>
    </w:lvl>
    <w:lvl w:ilvl="2" w:tplc="04090005" w:tentative="1">
      <w:start w:val="1"/>
      <w:numFmt w:val="bullet"/>
      <w:lvlText w:val=""/>
      <w:lvlJc w:val="left"/>
      <w:pPr>
        <w:ind w:left="3456" w:hanging="360"/>
      </w:pPr>
      <w:rPr>
        <w:rFonts w:ascii="Wingdings" w:hAnsi="Wingdings" w:hint="default"/>
      </w:rPr>
    </w:lvl>
    <w:lvl w:ilvl="3" w:tplc="04090001" w:tentative="1">
      <w:start w:val="1"/>
      <w:numFmt w:val="bullet"/>
      <w:lvlText w:val=""/>
      <w:lvlJc w:val="left"/>
      <w:pPr>
        <w:ind w:left="4176" w:hanging="360"/>
      </w:pPr>
      <w:rPr>
        <w:rFonts w:ascii="Symbol" w:hAnsi="Symbol" w:hint="default"/>
      </w:rPr>
    </w:lvl>
    <w:lvl w:ilvl="4" w:tplc="04090003" w:tentative="1">
      <w:start w:val="1"/>
      <w:numFmt w:val="bullet"/>
      <w:lvlText w:val="o"/>
      <w:lvlJc w:val="left"/>
      <w:pPr>
        <w:ind w:left="4896" w:hanging="360"/>
      </w:pPr>
      <w:rPr>
        <w:rFonts w:ascii="Courier New" w:hAnsi="Courier New" w:cs="Courier New" w:hint="default"/>
      </w:rPr>
    </w:lvl>
    <w:lvl w:ilvl="5" w:tplc="04090005" w:tentative="1">
      <w:start w:val="1"/>
      <w:numFmt w:val="bullet"/>
      <w:lvlText w:val=""/>
      <w:lvlJc w:val="left"/>
      <w:pPr>
        <w:ind w:left="5616" w:hanging="360"/>
      </w:pPr>
      <w:rPr>
        <w:rFonts w:ascii="Wingdings" w:hAnsi="Wingdings" w:hint="default"/>
      </w:rPr>
    </w:lvl>
    <w:lvl w:ilvl="6" w:tplc="04090001" w:tentative="1">
      <w:start w:val="1"/>
      <w:numFmt w:val="bullet"/>
      <w:lvlText w:val=""/>
      <w:lvlJc w:val="left"/>
      <w:pPr>
        <w:ind w:left="6336" w:hanging="360"/>
      </w:pPr>
      <w:rPr>
        <w:rFonts w:ascii="Symbol" w:hAnsi="Symbol" w:hint="default"/>
      </w:rPr>
    </w:lvl>
    <w:lvl w:ilvl="7" w:tplc="04090003" w:tentative="1">
      <w:start w:val="1"/>
      <w:numFmt w:val="bullet"/>
      <w:lvlText w:val="o"/>
      <w:lvlJc w:val="left"/>
      <w:pPr>
        <w:ind w:left="7056" w:hanging="360"/>
      </w:pPr>
      <w:rPr>
        <w:rFonts w:ascii="Courier New" w:hAnsi="Courier New" w:cs="Courier New" w:hint="default"/>
      </w:rPr>
    </w:lvl>
    <w:lvl w:ilvl="8" w:tplc="04090005" w:tentative="1">
      <w:start w:val="1"/>
      <w:numFmt w:val="bullet"/>
      <w:lvlText w:val=""/>
      <w:lvlJc w:val="left"/>
      <w:pPr>
        <w:ind w:left="7776" w:hanging="360"/>
      </w:pPr>
      <w:rPr>
        <w:rFonts w:ascii="Wingdings" w:hAnsi="Wingdings" w:hint="default"/>
      </w:rPr>
    </w:lvl>
  </w:abstractNum>
  <w:abstractNum w:abstractNumId="19" w15:restartNumberingAfterBreak="0">
    <w:nsid w:val="14F64969"/>
    <w:multiLevelType w:val="hybridMultilevel"/>
    <w:tmpl w:val="F6E67A48"/>
    <w:lvl w:ilvl="0" w:tplc="C2BC1D1A">
      <w:start w:val="1"/>
      <w:numFmt w:val="decimal"/>
      <w:pStyle w:val="631Heading3"/>
      <w:lvlText w:val="6.3.%1"/>
      <w:lvlJc w:val="center"/>
      <w:pPr>
        <w:ind w:left="648" w:hanging="360"/>
      </w:pPr>
      <w:rPr>
        <w:rFonts w:ascii="Cambria" w:hAnsi="Cambria" w:hint="default"/>
        <w:b w:val="0"/>
        <w:i w:val="0"/>
        <w:sz w:val="26"/>
      </w:rPr>
    </w:lvl>
    <w:lvl w:ilvl="1" w:tplc="04090019" w:tentative="1">
      <w:start w:val="1"/>
      <w:numFmt w:val="lowerLetter"/>
      <w:lvlText w:val="%2."/>
      <w:lvlJc w:val="left"/>
      <w:pPr>
        <w:ind w:left="1152" w:hanging="360"/>
      </w:pPr>
    </w:lvl>
    <w:lvl w:ilvl="2" w:tplc="0409001B" w:tentative="1">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20" w15:restartNumberingAfterBreak="0">
    <w:nsid w:val="176368A0"/>
    <w:multiLevelType w:val="multilevel"/>
    <w:tmpl w:val="DF4CE3CC"/>
    <w:lvl w:ilvl="0">
      <w:start w:val="1"/>
      <w:numFmt w:val="decimal"/>
      <w:lvlText w:val="%1."/>
      <w:lvlJc w:val="left"/>
      <w:pPr>
        <w:ind w:left="360" w:hanging="360"/>
      </w:pPr>
    </w:lvl>
    <w:lvl w:ilvl="1">
      <w:start w:val="9"/>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7"/>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1" w15:restartNumberingAfterBreak="0">
    <w:nsid w:val="1A4A39B7"/>
    <w:multiLevelType w:val="hybridMultilevel"/>
    <w:tmpl w:val="FB602B58"/>
    <w:lvl w:ilvl="0" w:tplc="36329B02">
      <w:start w:val="1"/>
      <w:numFmt w:val="decimal"/>
      <w:pStyle w:val="241"/>
      <w:lvlText w:val="2.4.%1"/>
      <w:lvlJc w:val="center"/>
      <w:pPr>
        <w:ind w:left="720" w:hanging="360"/>
      </w:pPr>
      <w:rPr>
        <w:rFonts w:ascii="Calibri" w:hAnsi="Calibri" w:cs="Calibri" w:hint="default"/>
        <w:b w:val="0"/>
        <w:i w:val="0"/>
        <w:sz w:val="26"/>
      </w:rPr>
    </w:lvl>
    <w:lvl w:ilvl="1" w:tplc="04090019" w:tentative="1">
      <w:start w:val="1"/>
      <w:numFmt w:val="lowerLetter"/>
      <w:lvlText w:val="%2."/>
      <w:lvlJc w:val="left"/>
      <w:pPr>
        <w:ind w:left="1440" w:hanging="360"/>
      </w:pPr>
    </w:lvl>
    <w:lvl w:ilvl="2" w:tplc="0409001B">
      <w:start w:val="1"/>
      <w:numFmt w:val="lowerRoman"/>
      <w:pStyle w:val="241"/>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B0702DD"/>
    <w:multiLevelType w:val="multilevel"/>
    <w:tmpl w:val="578E602C"/>
    <w:lvl w:ilvl="0">
      <w:start w:val="1"/>
      <w:numFmt w:val="decimal"/>
      <w:pStyle w:val="Heading1Headings"/>
      <w:lvlText w:val="Chapter %1"/>
      <w:lvlJc w:val="left"/>
      <w:pPr>
        <w:ind w:left="360" w:hanging="360"/>
      </w:pPr>
      <w:rPr>
        <w:rFonts w:cs="Times New Roman" w:hint="default"/>
      </w:rPr>
    </w:lvl>
    <w:lvl w:ilvl="1">
      <w:start w:val="1"/>
      <w:numFmt w:val="decimal"/>
      <w:pStyle w:val="Heading2Headings"/>
      <w:lvlText w:val="%1.%2."/>
      <w:lvlJc w:val="left"/>
      <w:pPr>
        <w:ind w:left="792" w:hanging="432"/>
      </w:pPr>
      <w:rPr>
        <w:rFonts w:ascii="Calibri" w:eastAsia="Times New Roman" w:hAnsi="Calibri" w:cs="Calibri" w:hint="default"/>
        <w:b w:val="0"/>
        <w:bCs w:val="0"/>
        <w:i w:val="0"/>
        <w:iCs w:val="0"/>
        <w:caps w:val="0"/>
        <w:smallCaps w:val="0"/>
        <w:strike w:val="0"/>
        <w:dstrike w:val="0"/>
        <w:vanish w:val="0"/>
        <w:color w:val="000000"/>
        <w:spacing w:val="0"/>
        <w:w w:val="100"/>
        <w:kern w:val="0"/>
        <w:position w:val="0"/>
        <w:sz w:val="20"/>
        <w:szCs w:val="20"/>
        <w:u w:val="none" w:color="000000"/>
        <w:vertAlign w:val="baseline"/>
      </w:rPr>
    </w:lvl>
    <w:lvl w:ilvl="2">
      <w:start w:val="1"/>
      <w:numFmt w:val="decimal"/>
      <w:lvlText w:val="%1.%2.%3"/>
      <w:lvlJc w:val="left"/>
      <w:pPr>
        <w:ind w:left="1224" w:hanging="504"/>
      </w:pPr>
      <w:rPr>
        <w:rFonts w:cs="Times New Roman" w:hint="default"/>
      </w:rPr>
    </w:lvl>
    <w:lvl w:ilvl="3">
      <w:start w:val="1"/>
      <w:numFmt w:val="decimal"/>
      <w:lvlText w:val="%1.%2.%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23" w15:restartNumberingAfterBreak="0">
    <w:nsid w:val="1D0D4267"/>
    <w:multiLevelType w:val="multilevel"/>
    <w:tmpl w:val="84902F0E"/>
    <w:styleLink w:val="1-1"/>
    <w:lvl w:ilvl="0">
      <w:start w:val="1"/>
      <w:numFmt w:val="decimal"/>
      <w:lvlText w:val="%1."/>
      <w:lvlJc w:val="left"/>
      <w:pPr>
        <w:tabs>
          <w:tab w:val="num" w:pos="1800"/>
        </w:tabs>
        <w:ind w:left="1800" w:hanging="360"/>
      </w:pPr>
      <w:rPr>
        <w:rFonts w:hint="default"/>
      </w:rPr>
    </w:lvl>
    <w:lvl w:ilvl="1">
      <w:start w:val="1"/>
      <w:numFmt w:val="lowerLetter"/>
      <w:lvlText w:val="%2."/>
      <w:lvlJc w:val="left"/>
      <w:pPr>
        <w:tabs>
          <w:tab w:val="num" w:pos="2160"/>
        </w:tabs>
        <w:ind w:left="2160" w:hanging="360"/>
      </w:pPr>
      <w:rPr>
        <w:rFonts w:hint="default"/>
      </w:rPr>
    </w:lvl>
    <w:lvl w:ilvl="2">
      <w:start w:val="1"/>
      <w:numFmt w:val="lowerRoman"/>
      <w:lvlText w:val="%3."/>
      <w:lvlJc w:val="left"/>
      <w:pPr>
        <w:tabs>
          <w:tab w:val="num" w:pos="2520"/>
        </w:tabs>
        <w:ind w:left="252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4" w15:restartNumberingAfterBreak="0">
    <w:nsid w:val="1DFF7C50"/>
    <w:multiLevelType w:val="multilevel"/>
    <w:tmpl w:val="9E9EA9E4"/>
    <w:lvl w:ilvl="0">
      <w:start w:val="4"/>
      <w:numFmt w:val="decimal"/>
      <w:lvlText w:val="%1"/>
      <w:lvlJc w:val="left"/>
      <w:pPr>
        <w:ind w:left="792" w:hanging="504"/>
      </w:pPr>
      <w:rPr>
        <w:rFonts w:hint="default"/>
      </w:rPr>
    </w:lvl>
    <w:lvl w:ilvl="1">
      <w:start w:val="6"/>
      <w:numFmt w:val="decimal"/>
      <w:lvlText w:val="%1.%2"/>
      <w:lvlJc w:val="left"/>
      <w:pPr>
        <w:ind w:left="864" w:hanging="576"/>
      </w:pPr>
      <w:rPr>
        <w:rFonts w:hint="default"/>
      </w:rPr>
    </w:lvl>
    <w:lvl w:ilvl="2">
      <w:start w:val="1"/>
      <w:numFmt w:val="decimal"/>
      <w:pStyle w:val="461Heading3"/>
      <w:lvlText w:val="%1.%2.%3"/>
      <w:lvlJc w:val="left"/>
      <w:pPr>
        <w:ind w:left="1008" w:hanging="720"/>
      </w:pPr>
      <w:rPr>
        <w:rFonts w:hint="default"/>
      </w:rPr>
    </w:lvl>
    <w:lvl w:ilvl="3">
      <w:start w:val="1"/>
      <w:numFmt w:val="decimal"/>
      <w:lvlText w:val="%1.%2.%3.%4"/>
      <w:lvlJc w:val="left"/>
      <w:pPr>
        <w:ind w:left="1152" w:hanging="864"/>
      </w:pPr>
      <w:rPr>
        <w:rFonts w:hint="default"/>
      </w:rPr>
    </w:lvl>
    <w:lvl w:ilvl="4">
      <w:start w:val="1"/>
      <w:numFmt w:val="decimal"/>
      <w:lvlText w:val="%1.%2.%3.%4.%5"/>
      <w:lvlJc w:val="left"/>
      <w:pPr>
        <w:ind w:left="1296" w:hanging="1008"/>
      </w:pPr>
      <w:rPr>
        <w:rFonts w:hint="default"/>
      </w:rPr>
    </w:lvl>
    <w:lvl w:ilvl="5">
      <w:start w:val="1"/>
      <w:numFmt w:val="decimal"/>
      <w:lvlText w:val="%1.%2.%3.%4.%5.%6"/>
      <w:lvlJc w:val="left"/>
      <w:pPr>
        <w:ind w:left="1440" w:hanging="1152"/>
      </w:pPr>
      <w:rPr>
        <w:rFonts w:hint="default"/>
      </w:rPr>
    </w:lvl>
    <w:lvl w:ilvl="6">
      <w:start w:val="1"/>
      <w:numFmt w:val="decimal"/>
      <w:lvlText w:val="%1.%2.%3.%4.%5.%6.%7"/>
      <w:lvlJc w:val="left"/>
      <w:pPr>
        <w:ind w:left="1584" w:hanging="1296"/>
      </w:pPr>
      <w:rPr>
        <w:rFonts w:hint="default"/>
      </w:rPr>
    </w:lvl>
    <w:lvl w:ilvl="7">
      <w:start w:val="1"/>
      <w:numFmt w:val="decimal"/>
      <w:lvlText w:val="%1.%2.%3.%4.%5.%6.%7.%8"/>
      <w:lvlJc w:val="left"/>
      <w:pPr>
        <w:ind w:left="1728" w:hanging="1440"/>
      </w:pPr>
      <w:rPr>
        <w:rFonts w:hint="default"/>
      </w:rPr>
    </w:lvl>
    <w:lvl w:ilvl="8">
      <w:start w:val="1"/>
      <w:numFmt w:val="decimal"/>
      <w:lvlText w:val="%1.%2.%3.%4.%5.%6.%7.%8.%9"/>
      <w:lvlJc w:val="left"/>
      <w:pPr>
        <w:ind w:left="1872" w:hanging="1584"/>
      </w:pPr>
      <w:rPr>
        <w:rFonts w:hint="default"/>
      </w:rPr>
    </w:lvl>
  </w:abstractNum>
  <w:abstractNum w:abstractNumId="25" w15:restartNumberingAfterBreak="0">
    <w:nsid w:val="1E0A1D3B"/>
    <w:multiLevelType w:val="multilevel"/>
    <w:tmpl w:val="37CAA996"/>
    <w:lvl w:ilvl="0">
      <w:start w:val="3"/>
      <w:numFmt w:val="decimal"/>
      <w:lvlText w:val="%1"/>
      <w:lvlJc w:val="left"/>
      <w:pPr>
        <w:ind w:left="792" w:hanging="504"/>
      </w:pPr>
      <w:rPr>
        <w:rFonts w:hint="default"/>
      </w:rPr>
    </w:lvl>
    <w:lvl w:ilvl="1">
      <w:start w:val="6"/>
      <w:numFmt w:val="decimal"/>
      <w:lvlText w:val="%1.%2"/>
      <w:lvlJc w:val="left"/>
      <w:pPr>
        <w:ind w:left="864" w:hanging="576"/>
      </w:pPr>
      <w:rPr>
        <w:rFonts w:hint="default"/>
      </w:rPr>
    </w:lvl>
    <w:lvl w:ilvl="2">
      <w:start w:val="1"/>
      <w:numFmt w:val="decimal"/>
      <w:pStyle w:val="361Heading3"/>
      <w:lvlText w:val="%1.%2.%3"/>
      <w:lvlJc w:val="left"/>
      <w:pPr>
        <w:ind w:left="1008" w:hanging="720"/>
      </w:pPr>
      <w:rPr>
        <w:rFonts w:hint="default"/>
      </w:rPr>
    </w:lvl>
    <w:lvl w:ilvl="3">
      <w:start w:val="1"/>
      <w:numFmt w:val="decimal"/>
      <w:lvlText w:val="%1.%2.%3.%4"/>
      <w:lvlJc w:val="left"/>
      <w:pPr>
        <w:ind w:left="1152" w:hanging="864"/>
      </w:pPr>
      <w:rPr>
        <w:rFonts w:hint="default"/>
      </w:rPr>
    </w:lvl>
    <w:lvl w:ilvl="4">
      <w:start w:val="1"/>
      <w:numFmt w:val="decimal"/>
      <w:lvlText w:val="%1.%2.%3.%4.%5"/>
      <w:lvlJc w:val="left"/>
      <w:pPr>
        <w:ind w:left="1296" w:hanging="1008"/>
      </w:pPr>
      <w:rPr>
        <w:rFonts w:hint="default"/>
      </w:rPr>
    </w:lvl>
    <w:lvl w:ilvl="5">
      <w:start w:val="1"/>
      <w:numFmt w:val="decimal"/>
      <w:lvlText w:val="%1.%2.%3.%4.%5.%6"/>
      <w:lvlJc w:val="left"/>
      <w:pPr>
        <w:ind w:left="1440" w:hanging="1152"/>
      </w:pPr>
      <w:rPr>
        <w:rFonts w:hint="default"/>
      </w:rPr>
    </w:lvl>
    <w:lvl w:ilvl="6">
      <w:start w:val="1"/>
      <w:numFmt w:val="decimal"/>
      <w:lvlText w:val="%1.%2.%3.%4.%5.%6.%7"/>
      <w:lvlJc w:val="left"/>
      <w:pPr>
        <w:ind w:left="1584" w:hanging="1296"/>
      </w:pPr>
      <w:rPr>
        <w:rFonts w:hint="default"/>
      </w:rPr>
    </w:lvl>
    <w:lvl w:ilvl="7">
      <w:start w:val="1"/>
      <w:numFmt w:val="decimal"/>
      <w:lvlText w:val="%1.%2.%3.%4.%5.%6.%7.%8"/>
      <w:lvlJc w:val="left"/>
      <w:pPr>
        <w:ind w:left="1728" w:hanging="1440"/>
      </w:pPr>
      <w:rPr>
        <w:rFonts w:hint="default"/>
      </w:rPr>
    </w:lvl>
    <w:lvl w:ilvl="8">
      <w:start w:val="1"/>
      <w:numFmt w:val="decimal"/>
      <w:lvlText w:val="%1.%2.%3.%4.%5.%6.%7.%8.%9"/>
      <w:lvlJc w:val="left"/>
      <w:pPr>
        <w:ind w:left="1872" w:hanging="1584"/>
      </w:pPr>
      <w:rPr>
        <w:rFonts w:hint="default"/>
      </w:rPr>
    </w:lvl>
  </w:abstractNum>
  <w:abstractNum w:abstractNumId="26" w15:restartNumberingAfterBreak="0">
    <w:nsid w:val="1EB54BB4"/>
    <w:multiLevelType w:val="hybridMultilevel"/>
    <w:tmpl w:val="AFB648E2"/>
    <w:lvl w:ilvl="0" w:tplc="0796841A">
      <w:start w:val="1"/>
      <w:numFmt w:val="decimal"/>
      <w:lvlText w:val="%1."/>
      <w:lvlJc w:val="left"/>
      <w:pPr>
        <w:ind w:left="1460" w:hanging="360"/>
      </w:pPr>
      <w:rPr>
        <w:rFonts w:cs="Times New Roman"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EF60C90"/>
    <w:multiLevelType w:val="hybridMultilevel"/>
    <w:tmpl w:val="D932ECCA"/>
    <w:lvl w:ilvl="0" w:tplc="B3425A8C">
      <w:start w:val="1"/>
      <w:numFmt w:val="decimal"/>
      <w:pStyle w:val="211Heading3"/>
      <w:lvlText w:val="2.1.%1"/>
      <w:lvlJc w:val="center"/>
      <w:pPr>
        <w:ind w:left="648" w:hanging="360"/>
      </w:pPr>
      <w:rPr>
        <w:rFonts w:ascii="Cambria" w:hAnsi="Cambria" w:hint="default"/>
        <w:b w:val="0"/>
        <w:i w:val="0"/>
        <w:sz w:val="26"/>
      </w:rPr>
    </w:lvl>
    <w:lvl w:ilvl="1" w:tplc="04090019" w:tentative="1">
      <w:start w:val="1"/>
      <w:numFmt w:val="lowerLetter"/>
      <w:lvlText w:val="%2."/>
      <w:lvlJc w:val="left"/>
      <w:pPr>
        <w:ind w:left="1440" w:hanging="360"/>
      </w:pPr>
    </w:lvl>
    <w:lvl w:ilvl="2" w:tplc="0409001B">
      <w:start w:val="1"/>
      <w:numFmt w:val="lowerRoman"/>
      <w:pStyle w:val="211Heading3"/>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04F1FAE"/>
    <w:multiLevelType w:val="hybridMultilevel"/>
    <w:tmpl w:val="E4982E7A"/>
    <w:lvl w:ilvl="0" w:tplc="81EE3008">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29" w15:restartNumberingAfterBreak="0">
    <w:nsid w:val="20AF003A"/>
    <w:multiLevelType w:val="multilevel"/>
    <w:tmpl w:val="C1F21D8E"/>
    <w:lvl w:ilvl="0">
      <w:start w:val="1"/>
      <w:numFmt w:val="decimal"/>
      <w:lvlText w:val="%1"/>
      <w:lvlJc w:val="left"/>
      <w:pPr>
        <w:ind w:left="792" w:hanging="504"/>
      </w:pPr>
      <w:rPr>
        <w:rFonts w:hint="default"/>
      </w:rPr>
    </w:lvl>
    <w:lvl w:ilvl="1">
      <w:start w:val="4"/>
      <w:numFmt w:val="decimal"/>
      <w:lvlText w:val="%1.%2"/>
      <w:lvlJc w:val="left"/>
      <w:pPr>
        <w:ind w:left="864" w:hanging="576"/>
      </w:pPr>
      <w:rPr>
        <w:rFonts w:hint="default"/>
      </w:rPr>
    </w:lvl>
    <w:lvl w:ilvl="2">
      <w:start w:val="1"/>
      <w:numFmt w:val="decimal"/>
      <w:pStyle w:val="141"/>
      <w:lvlText w:val="%1.%2.%3"/>
      <w:lvlJc w:val="left"/>
      <w:pPr>
        <w:ind w:left="1008" w:hanging="720"/>
      </w:pPr>
      <w:rPr>
        <w:rFonts w:hint="default"/>
      </w:rPr>
    </w:lvl>
    <w:lvl w:ilvl="3">
      <w:start w:val="1"/>
      <w:numFmt w:val="decimal"/>
      <w:lvlText w:val="%1.%2.%3.%4"/>
      <w:lvlJc w:val="left"/>
      <w:pPr>
        <w:ind w:left="1152" w:hanging="864"/>
      </w:pPr>
      <w:rPr>
        <w:rFonts w:hint="default"/>
      </w:rPr>
    </w:lvl>
    <w:lvl w:ilvl="4">
      <w:start w:val="1"/>
      <w:numFmt w:val="decimal"/>
      <w:lvlText w:val="%1.%2.%3.%4.%5"/>
      <w:lvlJc w:val="left"/>
      <w:pPr>
        <w:ind w:left="1296" w:hanging="1008"/>
      </w:pPr>
      <w:rPr>
        <w:rFonts w:hint="default"/>
      </w:rPr>
    </w:lvl>
    <w:lvl w:ilvl="5">
      <w:start w:val="1"/>
      <w:numFmt w:val="decimal"/>
      <w:lvlText w:val="%1.%2.%3.%4.%5.%6"/>
      <w:lvlJc w:val="left"/>
      <w:pPr>
        <w:ind w:left="1440" w:hanging="1152"/>
      </w:pPr>
      <w:rPr>
        <w:rFonts w:hint="default"/>
      </w:rPr>
    </w:lvl>
    <w:lvl w:ilvl="6">
      <w:start w:val="1"/>
      <w:numFmt w:val="decimal"/>
      <w:lvlText w:val="%1.%2.%3.%4.%5.%6.%7"/>
      <w:lvlJc w:val="left"/>
      <w:pPr>
        <w:ind w:left="1584" w:hanging="1296"/>
      </w:pPr>
      <w:rPr>
        <w:rFonts w:hint="default"/>
      </w:rPr>
    </w:lvl>
    <w:lvl w:ilvl="7">
      <w:start w:val="1"/>
      <w:numFmt w:val="decimal"/>
      <w:lvlText w:val="%1.%2.%3.%4.%5.%6.%7.%8"/>
      <w:lvlJc w:val="left"/>
      <w:pPr>
        <w:ind w:left="1728" w:hanging="1440"/>
      </w:pPr>
      <w:rPr>
        <w:rFonts w:hint="default"/>
      </w:rPr>
    </w:lvl>
    <w:lvl w:ilvl="8">
      <w:start w:val="1"/>
      <w:numFmt w:val="decimal"/>
      <w:lvlText w:val="%1.%2.%3.%4.%5.%6.%7.%8.%9"/>
      <w:lvlJc w:val="left"/>
      <w:pPr>
        <w:ind w:left="1872" w:hanging="1584"/>
      </w:pPr>
      <w:rPr>
        <w:rFonts w:hint="default"/>
      </w:rPr>
    </w:lvl>
  </w:abstractNum>
  <w:abstractNum w:abstractNumId="30" w15:restartNumberingAfterBreak="0">
    <w:nsid w:val="21D824F9"/>
    <w:multiLevelType w:val="multilevel"/>
    <w:tmpl w:val="02000034"/>
    <w:lvl w:ilvl="0">
      <w:start w:val="1"/>
      <w:numFmt w:val="decimal"/>
      <w:lvlText w:val="%1"/>
      <w:lvlJc w:val="left"/>
      <w:pPr>
        <w:ind w:left="792" w:hanging="504"/>
      </w:pPr>
      <w:rPr>
        <w:rFonts w:hint="default"/>
      </w:rPr>
    </w:lvl>
    <w:lvl w:ilvl="1">
      <w:start w:val="5"/>
      <w:numFmt w:val="decimal"/>
      <w:lvlText w:val="%1.%2"/>
      <w:lvlJc w:val="left"/>
      <w:pPr>
        <w:ind w:left="864" w:hanging="576"/>
      </w:pPr>
      <w:rPr>
        <w:rFonts w:hint="default"/>
      </w:rPr>
    </w:lvl>
    <w:lvl w:ilvl="2">
      <w:start w:val="2"/>
      <w:numFmt w:val="decimal"/>
      <w:lvlText w:val="%1.%2.%3"/>
      <w:lvlJc w:val="left"/>
      <w:pPr>
        <w:ind w:left="1008" w:hanging="720"/>
      </w:pPr>
      <w:rPr>
        <w:rFonts w:hint="default"/>
      </w:rPr>
    </w:lvl>
    <w:lvl w:ilvl="3">
      <w:start w:val="1"/>
      <w:numFmt w:val="decimal"/>
      <w:pStyle w:val="1521Heading4"/>
      <w:lvlText w:val="%1.%2.%3.%4"/>
      <w:lvlJc w:val="left"/>
      <w:pPr>
        <w:ind w:left="1152" w:hanging="864"/>
      </w:pPr>
      <w:rPr>
        <w:rFonts w:hint="default"/>
      </w:rPr>
    </w:lvl>
    <w:lvl w:ilvl="4">
      <w:start w:val="1"/>
      <w:numFmt w:val="decimal"/>
      <w:lvlText w:val="%1.%2.%3.%4.%5"/>
      <w:lvlJc w:val="left"/>
      <w:pPr>
        <w:ind w:left="1296" w:hanging="1008"/>
      </w:pPr>
      <w:rPr>
        <w:rFonts w:hint="default"/>
      </w:rPr>
    </w:lvl>
    <w:lvl w:ilvl="5">
      <w:start w:val="1"/>
      <w:numFmt w:val="decimal"/>
      <w:lvlText w:val="%1.%2.%3.%4.%5.%6"/>
      <w:lvlJc w:val="left"/>
      <w:pPr>
        <w:ind w:left="1440" w:hanging="1152"/>
      </w:pPr>
      <w:rPr>
        <w:rFonts w:hint="default"/>
      </w:rPr>
    </w:lvl>
    <w:lvl w:ilvl="6">
      <w:start w:val="1"/>
      <w:numFmt w:val="decimal"/>
      <w:lvlText w:val="%1.%2.%3.%4.%5.%6.%7"/>
      <w:lvlJc w:val="left"/>
      <w:pPr>
        <w:ind w:left="1584" w:hanging="1296"/>
      </w:pPr>
      <w:rPr>
        <w:rFonts w:hint="default"/>
      </w:rPr>
    </w:lvl>
    <w:lvl w:ilvl="7">
      <w:start w:val="1"/>
      <w:numFmt w:val="decimal"/>
      <w:lvlText w:val="%1.%2.%3.%4.%5.%6.%7.%8"/>
      <w:lvlJc w:val="left"/>
      <w:pPr>
        <w:ind w:left="1728" w:hanging="1440"/>
      </w:pPr>
      <w:rPr>
        <w:rFonts w:hint="default"/>
      </w:rPr>
    </w:lvl>
    <w:lvl w:ilvl="8">
      <w:start w:val="1"/>
      <w:numFmt w:val="decimal"/>
      <w:lvlText w:val="%1.%2.%3.%4.%5.%6.%7.%8.%9"/>
      <w:lvlJc w:val="left"/>
      <w:pPr>
        <w:ind w:left="1872" w:hanging="1584"/>
      </w:pPr>
      <w:rPr>
        <w:rFonts w:hint="default"/>
      </w:rPr>
    </w:lvl>
  </w:abstractNum>
  <w:abstractNum w:abstractNumId="31" w15:restartNumberingAfterBreak="0">
    <w:nsid w:val="22222748"/>
    <w:multiLevelType w:val="multilevel"/>
    <w:tmpl w:val="8B326CDA"/>
    <w:lvl w:ilvl="0">
      <w:start w:val="6"/>
      <w:numFmt w:val="decimal"/>
      <w:lvlText w:val="%1"/>
      <w:lvlJc w:val="left"/>
      <w:pPr>
        <w:ind w:left="720" w:hanging="432"/>
      </w:pPr>
      <w:rPr>
        <w:rFonts w:hint="default"/>
      </w:rPr>
    </w:lvl>
    <w:lvl w:ilvl="1">
      <w:start w:val="2"/>
      <w:numFmt w:val="decimal"/>
      <w:lvlText w:val="%1.%2"/>
      <w:lvlJc w:val="left"/>
      <w:pPr>
        <w:ind w:left="864" w:hanging="576"/>
      </w:pPr>
      <w:rPr>
        <w:rFonts w:hint="default"/>
      </w:rPr>
    </w:lvl>
    <w:lvl w:ilvl="2">
      <w:start w:val="1"/>
      <w:numFmt w:val="decimal"/>
      <w:pStyle w:val="621Heading3"/>
      <w:lvlText w:val="%1.%2.%3"/>
      <w:lvlJc w:val="left"/>
      <w:pPr>
        <w:ind w:left="1008" w:hanging="720"/>
      </w:pPr>
      <w:rPr>
        <w:rFonts w:hint="default"/>
      </w:rPr>
    </w:lvl>
    <w:lvl w:ilvl="3">
      <w:start w:val="1"/>
      <w:numFmt w:val="decimal"/>
      <w:lvlText w:val="%1.%2.%3.%4"/>
      <w:lvlJc w:val="left"/>
      <w:pPr>
        <w:ind w:left="1152" w:hanging="864"/>
      </w:pPr>
      <w:rPr>
        <w:rFonts w:hint="default"/>
      </w:rPr>
    </w:lvl>
    <w:lvl w:ilvl="4">
      <w:start w:val="1"/>
      <w:numFmt w:val="decimal"/>
      <w:lvlText w:val="%1.%2.%3.%4.%5"/>
      <w:lvlJc w:val="left"/>
      <w:pPr>
        <w:ind w:left="1296" w:hanging="1008"/>
      </w:pPr>
      <w:rPr>
        <w:rFonts w:hint="default"/>
      </w:rPr>
    </w:lvl>
    <w:lvl w:ilvl="5">
      <w:start w:val="1"/>
      <w:numFmt w:val="decimal"/>
      <w:lvlText w:val="%1.%2.%3.%4.%5.%6"/>
      <w:lvlJc w:val="left"/>
      <w:pPr>
        <w:ind w:left="1440" w:hanging="1152"/>
      </w:pPr>
      <w:rPr>
        <w:rFonts w:hint="default"/>
      </w:rPr>
    </w:lvl>
    <w:lvl w:ilvl="6">
      <w:start w:val="1"/>
      <w:numFmt w:val="decimal"/>
      <w:lvlText w:val="%1.%2.%3.%4.%5.%6.%7"/>
      <w:lvlJc w:val="left"/>
      <w:pPr>
        <w:ind w:left="1584" w:hanging="1296"/>
      </w:pPr>
      <w:rPr>
        <w:rFonts w:hint="default"/>
      </w:rPr>
    </w:lvl>
    <w:lvl w:ilvl="7">
      <w:start w:val="1"/>
      <w:numFmt w:val="decimal"/>
      <w:lvlText w:val="%1.%2.%3.%4.%5.%6.%7.%8"/>
      <w:lvlJc w:val="left"/>
      <w:pPr>
        <w:ind w:left="1728" w:hanging="1440"/>
      </w:pPr>
      <w:rPr>
        <w:rFonts w:hint="default"/>
      </w:rPr>
    </w:lvl>
    <w:lvl w:ilvl="8">
      <w:start w:val="1"/>
      <w:numFmt w:val="decimal"/>
      <w:lvlText w:val="%1.%2.%3.%4.%5.%6.%7.%8.%9"/>
      <w:lvlJc w:val="left"/>
      <w:pPr>
        <w:ind w:left="1872" w:hanging="1584"/>
      </w:pPr>
      <w:rPr>
        <w:rFonts w:hint="default"/>
      </w:rPr>
    </w:lvl>
  </w:abstractNum>
  <w:abstractNum w:abstractNumId="32" w15:restartNumberingAfterBreak="0">
    <w:nsid w:val="23830EAC"/>
    <w:multiLevelType w:val="multilevel"/>
    <w:tmpl w:val="B532E8EE"/>
    <w:styleLink w:val="Style4"/>
    <w:lvl w:ilvl="0">
      <w:start w:val="1"/>
      <w:numFmt w:val="decimal"/>
      <w:lvlText w:val="Chapter %1.0"/>
      <w:lvlJc w:val="right"/>
      <w:pPr>
        <w:ind w:left="1440" w:hanging="360"/>
      </w:pPr>
      <w:rPr>
        <w:rFonts w:cs="Times New Roman" w:hint="default"/>
        <w:b w:val="0"/>
        <w:color w:val="auto"/>
      </w:rPr>
    </w:lvl>
    <w:lvl w:ilvl="1">
      <w:start w:val="1"/>
      <w:numFmt w:val="decimal"/>
      <w:lvlText w:val="%1.%2"/>
      <w:lvlJc w:val="right"/>
      <w:pPr>
        <w:ind w:left="1440" w:hanging="360"/>
      </w:pPr>
      <w:rPr>
        <w:rFonts w:cs="Times New Roman" w:hint="default"/>
        <w:b w:val="0"/>
        <w:color w:val="auto"/>
      </w:rPr>
    </w:lvl>
    <w:lvl w:ilvl="2">
      <w:start w:val="1"/>
      <w:numFmt w:val="decimal"/>
      <w:lvlText w:val="%1.%2.%3"/>
      <w:lvlJc w:val="left"/>
      <w:pPr>
        <w:ind w:left="1440"/>
      </w:pPr>
      <w:rPr>
        <w:rFonts w:cs="Times New Roman" w:hint="default"/>
        <w:b w:val="0"/>
      </w:rPr>
    </w:lvl>
    <w:lvl w:ilvl="3">
      <w:start w:val="1"/>
      <w:numFmt w:val="none"/>
      <w:suff w:val="nothing"/>
      <w:lvlText w:val=""/>
      <w:lvlJc w:val="left"/>
      <w:pPr>
        <w:ind w:left="1440"/>
      </w:pPr>
      <w:rPr>
        <w:rFonts w:cs="Times New Roman" w:hint="default"/>
      </w:rPr>
    </w:lvl>
    <w:lvl w:ilvl="4">
      <w:start w:val="1"/>
      <w:numFmt w:val="decimal"/>
      <w:lvlText w:val="%1.%2.%3.%4.%5"/>
      <w:lvlJc w:val="left"/>
      <w:pPr>
        <w:tabs>
          <w:tab w:val="num" w:pos="1368"/>
        </w:tabs>
        <w:ind w:left="1440" w:hanging="1080"/>
      </w:pPr>
      <w:rPr>
        <w:rFonts w:cs="Times New Roman" w:hint="default"/>
      </w:rPr>
    </w:lvl>
    <w:lvl w:ilvl="5">
      <w:start w:val="1"/>
      <w:numFmt w:val="upperLetter"/>
      <w:lvlRestart w:val="0"/>
      <w:lvlText w:val="Appendix %6."/>
      <w:lvlJc w:val="right"/>
      <w:pPr>
        <w:ind w:left="1440" w:hanging="360"/>
      </w:pPr>
      <w:rPr>
        <w:rFonts w:cs="Times New Roman" w:hint="default"/>
      </w:rPr>
    </w:lvl>
    <w:lvl w:ilvl="6">
      <w:start w:val="1"/>
      <w:numFmt w:val="decimal"/>
      <w:lvlText w:val="%6.%7"/>
      <w:lvlJc w:val="right"/>
      <w:pPr>
        <w:tabs>
          <w:tab w:val="num" w:pos="1440"/>
        </w:tabs>
        <w:ind w:left="1440" w:hanging="374"/>
      </w:pPr>
      <w:rPr>
        <w:rFonts w:cs="Times New Roman" w:hint="default"/>
      </w:rPr>
    </w:lvl>
    <w:lvl w:ilvl="7">
      <w:start w:val="1"/>
      <w:numFmt w:val="none"/>
      <w:suff w:val="nothing"/>
      <w:lvlText w:val=""/>
      <w:lvlJc w:val="left"/>
      <w:pPr>
        <w:ind w:left="1440"/>
      </w:pPr>
      <w:rPr>
        <w:rFonts w:cs="Times New Roman" w:hint="default"/>
      </w:rPr>
    </w:lvl>
    <w:lvl w:ilvl="8">
      <w:start w:val="1"/>
      <w:numFmt w:val="none"/>
      <w:suff w:val="nothing"/>
      <w:lvlText w:val=""/>
      <w:lvlJc w:val="left"/>
      <w:pPr>
        <w:ind w:left="1440"/>
      </w:pPr>
      <w:rPr>
        <w:rFonts w:cs="Times New Roman" w:hint="default"/>
      </w:rPr>
    </w:lvl>
  </w:abstractNum>
  <w:abstractNum w:abstractNumId="33" w15:restartNumberingAfterBreak="0">
    <w:nsid w:val="25AC66CD"/>
    <w:multiLevelType w:val="multilevel"/>
    <w:tmpl w:val="89F64C44"/>
    <w:numStyleLink w:val="Style2"/>
  </w:abstractNum>
  <w:abstractNum w:abstractNumId="34" w15:restartNumberingAfterBreak="0">
    <w:nsid w:val="265B374B"/>
    <w:multiLevelType w:val="multilevel"/>
    <w:tmpl w:val="740C4BC4"/>
    <w:lvl w:ilvl="0">
      <w:start w:val="1"/>
      <w:numFmt w:val="upperLetter"/>
      <w:pStyle w:val="ListBullet2"/>
      <w:lvlText w:val="Appendix %1."/>
      <w:lvlJc w:val="left"/>
      <w:pPr>
        <w:ind w:left="3060" w:hanging="360"/>
      </w:pPr>
      <w:rPr>
        <w:rFonts w:cs="Times New Roman" w:hint="default"/>
      </w:rPr>
    </w:lvl>
    <w:lvl w:ilvl="1">
      <w:start w:val="1"/>
      <w:numFmt w:val="decimal"/>
      <w:pStyle w:val="Heading2-AppHeadings"/>
      <w:lvlText w:val="%1.%2"/>
      <w:lvlJc w:val="left"/>
      <w:pPr>
        <w:ind w:left="3780" w:hanging="360"/>
      </w:pPr>
      <w:rPr>
        <w:rFonts w:cs="Times New Roman" w:hint="default"/>
      </w:rPr>
    </w:lvl>
    <w:lvl w:ilvl="2">
      <w:start w:val="1"/>
      <w:numFmt w:val="decimal"/>
      <w:lvlText w:val="%1.%2.%3"/>
      <w:lvlJc w:val="right"/>
      <w:pPr>
        <w:ind w:left="4500" w:hanging="180"/>
      </w:pPr>
      <w:rPr>
        <w:rFonts w:cs="Times New Roman" w:hint="default"/>
      </w:rPr>
    </w:lvl>
    <w:lvl w:ilvl="3">
      <w:start w:val="1"/>
      <w:numFmt w:val="decimal"/>
      <w:lvlText w:val="%4."/>
      <w:lvlJc w:val="left"/>
      <w:pPr>
        <w:ind w:left="5220" w:hanging="360"/>
      </w:pPr>
      <w:rPr>
        <w:rFonts w:cs="Times New Roman" w:hint="default"/>
      </w:rPr>
    </w:lvl>
    <w:lvl w:ilvl="4">
      <w:start w:val="1"/>
      <w:numFmt w:val="lowerLetter"/>
      <w:lvlText w:val="%5."/>
      <w:lvlJc w:val="left"/>
      <w:pPr>
        <w:ind w:left="5940" w:hanging="360"/>
      </w:pPr>
      <w:rPr>
        <w:rFonts w:cs="Times New Roman" w:hint="default"/>
      </w:rPr>
    </w:lvl>
    <w:lvl w:ilvl="5">
      <w:start w:val="1"/>
      <w:numFmt w:val="lowerRoman"/>
      <w:lvlText w:val="%6."/>
      <w:lvlJc w:val="right"/>
      <w:pPr>
        <w:ind w:left="6660" w:hanging="180"/>
      </w:pPr>
      <w:rPr>
        <w:rFonts w:cs="Times New Roman" w:hint="default"/>
      </w:rPr>
    </w:lvl>
    <w:lvl w:ilvl="6">
      <w:start w:val="1"/>
      <w:numFmt w:val="decimal"/>
      <w:lvlText w:val="%7."/>
      <w:lvlJc w:val="left"/>
      <w:pPr>
        <w:ind w:left="7380" w:hanging="360"/>
      </w:pPr>
      <w:rPr>
        <w:rFonts w:cs="Times New Roman" w:hint="default"/>
      </w:rPr>
    </w:lvl>
    <w:lvl w:ilvl="7">
      <w:start w:val="1"/>
      <w:numFmt w:val="lowerLetter"/>
      <w:lvlText w:val="%8."/>
      <w:lvlJc w:val="left"/>
      <w:pPr>
        <w:ind w:left="8100" w:hanging="360"/>
      </w:pPr>
      <w:rPr>
        <w:rFonts w:cs="Times New Roman" w:hint="default"/>
      </w:rPr>
    </w:lvl>
    <w:lvl w:ilvl="8">
      <w:start w:val="1"/>
      <w:numFmt w:val="lowerRoman"/>
      <w:lvlText w:val="%9."/>
      <w:lvlJc w:val="right"/>
      <w:pPr>
        <w:ind w:left="8820" w:hanging="180"/>
      </w:pPr>
      <w:rPr>
        <w:rFonts w:cs="Times New Roman" w:hint="default"/>
      </w:rPr>
    </w:lvl>
  </w:abstractNum>
  <w:abstractNum w:abstractNumId="35" w15:restartNumberingAfterBreak="0">
    <w:nsid w:val="26DC10C9"/>
    <w:multiLevelType w:val="multilevel"/>
    <w:tmpl w:val="54CEFF0C"/>
    <w:lvl w:ilvl="0">
      <w:start w:val="1"/>
      <w:numFmt w:val="decimal"/>
      <w:pStyle w:val="ListCS1"/>
      <w:lvlText w:val="%1."/>
      <w:lvlJc w:val="left"/>
      <w:pPr>
        <w:tabs>
          <w:tab w:val="num" w:pos="1800"/>
        </w:tabs>
        <w:ind w:left="1800" w:hanging="360"/>
      </w:pPr>
      <w:rPr>
        <w:rFonts w:cs="Times New Roman" w:hint="default"/>
      </w:rPr>
    </w:lvl>
    <w:lvl w:ilvl="1">
      <w:start w:val="1"/>
      <w:numFmt w:val="bullet"/>
      <w:pStyle w:val="ListCS2"/>
      <w:lvlText w:val="–"/>
      <w:lvlJc w:val="left"/>
      <w:pPr>
        <w:tabs>
          <w:tab w:val="num" w:pos="2160"/>
        </w:tabs>
        <w:ind w:left="2160" w:hanging="360"/>
      </w:pPr>
      <w:rPr>
        <w:rFonts w:ascii="Book Antiqua" w:hAnsi="Book Antiqua" w:hint="default"/>
      </w:rPr>
    </w:lvl>
    <w:lvl w:ilvl="2">
      <w:start w:val="1"/>
      <w:numFmt w:val="lowerRoman"/>
      <w:lvlText w:val="%3)"/>
      <w:lvlJc w:val="left"/>
      <w:pPr>
        <w:tabs>
          <w:tab w:val="num" w:pos="2520"/>
        </w:tabs>
        <w:ind w:left="2520" w:hanging="360"/>
      </w:pPr>
      <w:rPr>
        <w:rFonts w:cs="Times New Roman" w:hint="default"/>
      </w:rPr>
    </w:lvl>
    <w:lvl w:ilvl="3">
      <w:start w:val="1"/>
      <w:numFmt w:val="decimal"/>
      <w:lvlText w:val="(%4)"/>
      <w:lvlJc w:val="left"/>
      <w:pPr>
        <w:tabs>
          <w:tab w:val="num" w:pos="2880"/>
        </w:tabs>
        <w:ind w:left="2880" w:hanging="360"/>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left"/>
      <w:pPr>
        <w:tabs>
          <w:tab w:val="num" w:pos="3600"/>
        </w:tabs>
        <w:ind w:left="3600" w:hanging="360"/>
      </w:pPr>
      <w:rPr>
        <w:rFonts w:cs="Times New Roman" w:hint="default"/>
      </w:rPr>
    </w:lvl>
    <w:lvl w:ilvl="6">
      <w:start w:val="1"/>
      <w:numFmt w:val="decimal"/>
      <w:lvlText w:val="%7."/>
      <w:lvlJc w:val="left"/>
      <w:pPr>
        <w:tabs>
          <w:tab w:val="num" w:pos="3960"/>
        </w:tabs>
        <w:ind w:left="3960" w:hanging="360"/>
      </w:pPr>
      <w:rPr>
        <w:rFonts w:cs="Times New Roman" w:hint="default"/>
      </w:rPr>
    </w:lvl>
    <w:lvl w:ilvl="7">
      <w:start w:val="1"/>
      <w:numFmt w:val="lowerLetter"/>
      <w:lvlText w:val="%8."/>
      <w:lvlJc w:val="left"/>
      <w:pPr>
        <w:tabs>
          <w:tab w:val="num" w:pos="4320"/>
        </w:tabs>
        <w:ind w:left="4320" w:hanging="360"/>
      </w:pPr>
      <w:rPr>
        <w:rFonts w:cs="Times New Roman" w:hint="default"/>
      </w:rPr>
    </w:lvl>
    <w:lvl w:ilvl="8">
      <w:start w:val="1"/>
      <w:numFmt w:val="lowerRoman"/>
      <w:lvlText w:val="%9."/>
      <w:lvlJc w:val="left"/>
      <w:pPr>
        <w:tabs>
          <w:tab w:val="num" w:pos="4680"/>
        </w:tabs>
        <w:ind w:left="4680" w:hanging="360"/>
      </w:pPr>
      <w:rPr>
        <w:rFonts w:cs="Times New Roman" w:hint="default"/>
      </w:rPr>
    </w:lvl>
  </w:abstractNum>
  <w:abstractNum w:abstractNumId="36" w15:restartNumberingAfterBreak="0">
    <w:nsid w:val="297478FB"/>
    <w:multiLevelType w:val="multilevel"/>
    <w:tmpl w:val="1568786E"/>
    <w:lvl w:ilvl="0">
      <w:start w:val="1"/>
      <w:numFmt w:val="lowerRoman"/>
      <w:lvlText w:val="%1."/>
      <w:lvlJc w:val="right"/>
      <w:pPr>
        <w:ind w:left="720" w:hanging="360"/>
      </w:pPr>
    </w:lvl>
    <w:lvl w:ilvl="1">
      <w:start w:val="1"/>
      <w:numFmt w:val="decimal"/>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37" w15:restartNumberingAfterBreak="0">
    <w:nsid w:val="2BD534A0"/>
    <w:multiLevelType w:val="hybridMultilevel"/>
    <w:tmpl w:val="4E26828C"/>
    <w:lvl w:ilvl="0" w:tplc="FFFFFFFF">
      <w:start w:val="1"/>
      <w:numFmt w:val="decimal"/>
      <w:lvlText w:val="%1."/>
      <w:lvlJc w:val="left"/>
      <w:pPr>
        <w:ind w:left="360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2C9E627F"/>
    <w:multiLevelType w:val="hybridMultilevel"/>
    <w:tmpl w:val="343E8A48"/>
    <w:lvl w:ilvl="0" w:tplc="6CEC009C">
      <w:start w:val="1"/>
      <w:numFmt w:val="bullet"/>
      <w:pStyle w:val="TableListBulletTable"/>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1B11342"/>
    <w:multiLevelType w:val="hybridMultilevel"/>
    <w:tmpl w:val="E410E284"/>
    <w:lvl w:ilvl="0" w:tplc="FA84635A">
      <w:start w:val="19"/>
      <w:numFmt w:val="decimal"/>
      <w:lvlText w:val="%1."/>
      <w:lvlJc w:val="left"/>
      <w:pPr>
        <w:ind w:left="1460" w:hanging="360"/>
      </w:pPr>
      <w:rPr>
        <w:rFonts w:cs="Times New Roman"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32291AEA"/>
    <w:multiLevelType w:val="multilevel"/>
    <w:tmpl w:val="C0AC3B40"/>
    <w:lvl w:ilvl="0">
      <w:start w:val="5"/>
      <w:numFmt w:val="decimal"/>
      <w:lvlText w:val="%1"/>
      <w:lvlJc w:val="left"/>
      <w:pPr>
        <w:ind w:left="720" w:hanging="432"/>
      </w:pPr>
      <w:rPr>
        <w:rFonts w:hint="default"/>
      </w:rPr>
    </w:lvl>
    <w:lvl w:ilvl="1">
      <w:start w:val="5"/>
      <w:numFmt w:val="decimal"/>
      <w:lvlText w:val="%1.%2"/>
      <w:lvlJc w:val="left"/>
      <w:pPr>
        <w:ind w:left="864" w:hanging="576"/>
      </w:pPr>
      <w:rPr>
        <w:rFonts w:hint="default"/>
      </w:rPr>
    </w:lvl>
    <w:lvl w:ilvl="2">
      <w:start w:val="1"/>
      <w:numFmt w:val="decimal"/>
      <w:pStyle w:val="551Heading3"/>
      <w:lvlText w:val="%1.%2.%3"/>
      <w:lvlJc w:val="left"/>
      <w:pPr>
        <w:ind w:left="1008" w:hanging="720"/>
      </w:pPr>
      <w:rPr>
        <w:rFonts w:hint="default"/>
      </w:rPr>
    </w:lvl>
    <w:lvl w:ilvl="3">
      <w:start w:val="1"/>
      <w:numFmt w:val="decimal"/>
      <w:lvlText w:val="%1.%2.%3.%4"/>
      <w:lvlJc w:val="left"/>
      <w:pPr>
        <w:ind w:left="1152" w:hanging="864"/>
      </w:pPr>
      <w:rPr>
        <w:rFonts w:hint="default"/>
      </w:rPr>
    </w:lvl>
    <w:lvl w:ilvl="4">
      <w:start w:val="1"/>
      <w:numFmt w:val="decimal"/>
      <w:lvlText w:val="%1.%2.%3.%4.%5"/>
      <w:lvlJc w:val="left"/>
      <w:pPr>
        <w:ind w:left="1296" w:hanging="1008"/>
      </w:pPr>
      <w:rPr>
        <w:rFonts w:hint="default"/>
      </w:rPr>
    </w:lvl>
    <w:lvl w:ilvl="5">
      <w:start w:val="1"/>
      <w:numFmt w:val="decimal"/>
      <w:lvlText w:val="%1.%2.%3.%4.%5.%6"/>
      <w:lvlJc w:val="left"/>
      <w:pPr>
        <w:ind w:left="1440" w:hanging="1152"/>
      </w:pPr>
      <w:rPr>
        <w:rFonts w:hint="default"/>
      </w:rPr>
    </w:lvl>
    <w:lvl w:ilvl="6">
      <w:start w:val="1"/>
      <w:numFmt w:val="decimal"/>
      <w:lvlText w:val="%1.%2.%3.%4.%5.%6.%7"/>
      <w:lvlJc w:val="left"/>
      <w:pPr>
        <w:ind w:left="1584" w:hanging="1296"/>
      </w:pPr>
      <w:rPr>
        <w:rFonts w:hint="default"/>
      </w:rPr>
    </w:lvl>
    <w:lvl w:ilvl="7">
      <w:start w:val="1"/>
      <w:numFmt w:val="decimal"/>
      <w:lvlText w:val="%1.%2.%3.%4.%5.%6.%7.%8"/>
      <w:lvlJc w:val="left"/>
      <w:pPr>
        <w:ind w:left="1728" w:hanging="1440"/>
      </w:pPr>
      <w:rPr>
        <w:rFonts w:hint="default"/>
      </w:rPr>
    </w:lvl>
    <w:lvl w:ilvl="8">
      <w:start w:val="1"/>
      <w:numFmt w:val="decimal"/>
      <w:lvlText w:val="%1.%2.%3.%4.%5.%6.%7.%8.%9"/>
      <w:lvlJc w:val="left"/>
      <w:pPr>
        <w:ind w:left="1872" w:hanging="1584"/>
      </w:pPr>
      <w:rPr>
        <w:rFonts w:hint="default"/>
      </w:rPr>
    </w:lvl>
  </w:abstractNum>
  <w:abstractNum w:abstractNumId="41" w15:restartNumberingAfterBreak="0">
    <w:nsid w:val="343A47AD"/>
    <w:multiLevelType w:val="hybridMultilevel"/>
    <w:tmpl w:val="C914A8AA"/>
    <w:lvl w:ilvl="0" w:tplc="FE3E4DA4">
      <w:start w:val="1"/>
      <w:numFmt w:val="decimal"/>
      <w:lvlText w:val="%1."/>
      <w:lvlJc w:val="left"/>
      <w:pPr>
        <w:ind w:left="135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42" w15:restartNumberingAfterBreak="0">
    <w:nsid w:val="34444458"/>
    <w:multiLevelType w:val="multilevel"/>
    <w:tmpl w:val="C890B732"/>
    <w:lvl w:ilvl="0">
      <w:start w:val="3"/>
      <w:numFmt w:val="decimal"/>
      <w:lvlText w:val="%1"/>
      <w:lvlJc w:val="left"/>
      <w:pPr>
        <w:ind w:left="792" w:hanging="504"/>
      </w:pPr>
      <w:rPr>
        <w:rFonts w:hint="default"/>
      </w:rPr>
    </w:lvl>
    <w:lvl w:ilvl="1">
      <w:start w:val="5"/>
      <w:numFmt w:val="decimal"/>
      <w:lvlText w:val="%1.%2"/>
      <w:lvlJc w:val="left"/>
      <w:pPr>
        <w:ind w:left="864" w:hanging="576"/>
      </w:pPr>
      <w:rPr>
        <w:rFonts w:hint="default"/>
      </w:rPr>
    </w:lvl>
    <w:lvl w:ilvl="2">
      <w:start w:val="1"/>
      <w:numFmt w:val="decimal"/>
      <w:pStyle w:val="351Heading3"/>
      <w:lvlText w:val="%1.%2.%3"/>
      <w:lvlJc w:val="left"/>
      <w:pPr>
        <w:ind w:left="1008" w:hanging="720"/>
      </w:pPr>
      <w:rPr>
        <w:rFonts w:hint="default"/>
      </w:rPr>
    </w:lvl>
    <w:lvl w:ilvl="3">
      <w:start w:val="1"/>
      <w:numFmt w:val="decimal"/>
      <w:lvlText w:val="%1.%2.%3.%4"/>
      <w:lvlJc w:val="left"/>
      <w:pPr>
        <w:ind w:left="1152" w:hanging="864"/>
      </w:pPr>
      <w:rPr>
        <w:rFonts w:hint="default"/>
      </w:rPr>
    </w:lvl>
    <w:lvl w:ilvl="4">
      <w:start w:val="1"/>
      <w:numFmt w:val="decimal"/>
      <w:lvlText w:val="%1.%2.%3.%4.%5"/>
      <w:lvlJc w:val="left"/>
      <w:pPr>
        <w:ind w:left="1296" w:hanging="1008"/>
      </w:pPr>
      <w:rPr>
        <w:rFonts w:hint="default"/>
      </w:rPr>
    </w:lvl>
    <w:lvl w:ilvl="5">
      <w:start w:val="1"/>
      <w:numFmt w:val="decimal"/>
      <w:lvlText w:val="%1.%2.%3.%4.%5.%6"/>
      <w:lvlJc w:val="left"/>
      <w:pPr>
        <w:ind w:left="1440" w:hanging="1152"/>
      </w:pPr>
      <w:rPr>
        <w:rFonts w:hint="default"/>
      </w:rPr>
    </w:lvl>
    <w:lvl w:ilvl="6">
      <w:start w:val="1"/>
      <w:numFmt w:val="decimal"/>
      <w:lvlText w:val="%1.%2.%3.%4.%5.%6.%7"/>
      <w:lvlJc w:val="left"/>
      <w:pPr>
        <w:ind w:left="1584" w:hanging="1296"/>
      </w:pPr>
      <w:rPr>
        <w:rFonts w:hint="default"/>
      </w:rPr>
    </w:lvl>
    <w:lvl w:ilvl="7">
      <w:start w:val="1"/>
      <w:numFmt w:val="decimal"/>
      <w:lvlText w:val="%1.%2.%3.%4.%5.%6.%7.%8"/>
      <w:lvlJc w:val="left"/>
      <w:pPr>
        <w:ind w:left="1728" w:hanging="1440"/>
      </w:pPr>
      <w:rPr>
        <w:rFonts w:hint="default"/>
      </w:rPr>
    </w:lvl>
    <w:lvl w:ilvl="8">
      <w:start w:val="1"/>
      <w:numFmt w:val="decimal"/>
      <w:lvlText w:val="%1.%2.%3.%4.%5.%6.%7.%8.%9"/>
      <w:lvlJc w:val="left"/>
      <w:pPr>
        <w:ind w:left="1872" w:hanging="1584"/>
      </w:pPr>
      <w:rPr>
        <w:rFonts w:hint="default"/>
      </w:rPr>
    </w:lvl>
  </w:abstractNum>
  <w:abstractNum w:abstractNumId="43" w15:restartNumberingAfterBreak="0">
    <w:nsid w:val="35176E7D"/>
    <w:multiLevelType w:val="hybridMultilevel"/>
    <w:tmpl w:val="08A4E88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357F7F47"/>
    <w:multiLevelType w:val="multilevel"/>
    <w:tmpl w:val="059EC34A"/>
    <w:lvl w:ilvl="0">
      <w:start w:val="3"/>
      <w:numFmt w:val="decimal"/>
      <w:lvlText w:val="%1"/>
      <w:lvlJc w:val="left"/>
      <w:pPr>
        <w:ind w:left="792" w:hanging="504"/>
      </w:pPr>
      <w:rPr>
        <w:rFonts w:hint="default"/>
      </w:rPr>
    </w:lvl>
    <w:lvl w:ilvl="1">
      <w:start w:val="7"/>
      <w:numFmt w:val="decimal"/>
      <w:lvlText w:val="%1.%2"/>
      <w:lvlJc w:val="left"/>
      <w:pPr>
        <w:ind w:left="864" w:hanging="576"/>
      </w:pPr>
      <w:rPr>
        <w:rFonts w:hint="default"/>
      </w:rPr>
    </w:lvl>
    <w:lvl w:ilvl="2">
      <w:start w:val="1"/>
      <w:numFmt w:val="decimal"/>
      <w:pStyle w:val="371Heading3"/>
      <w:lvlText w:val="%1.%2.%3"/>
      <w:lvlJc w:val="left"/>
      <w:pPr>
        <w:ind w:left="1008" w:hanging="720"/>
      </w:pPr>
      <w:rPr>
        <w:rFonts w:hint="default"/>
      </w:rPr>
    </w:lvl>
    <w:lvl w:ilvl="3">
      <w:start w:val="1"/>
      <w:numFmt w:val="decimal"/>
      <w:lvlText w:val="%1.%2.%3.%4"/>
      <w:lvlJc w:val="left"/>
      <w:pPr>
        <w:ind w:left="1152" w:hanging="864"/>
      </w:pPr>
      <w:rPr>
        <w:rFonts w:hint="default"/>
      </w:rPr>
    </w:lvl>
    <w:lvl w:ilvl="4">
      <w:start w:val="1"/>
      <w:numFmt w:val="decimal"/>
      <w:lvlText w:val="%1.%2.%3.%4.%5"/>
      <w:lvlJc w:val="left"/>
      <w:pPr>
        <w:ind w:left="1296" w:hanging="1008"/>
      </w:pPr>
      <w:rPr>
        <w:rFonts w:hint="default"/>
      </w:rPr>
    </w:lvl>
    <w:lvl w:ilvl="5">
      <w:start w:val="1"/>
      <w:numFmt w:val="decimal"/>
      <w:lvlText w:val="%1.%2.%3.%4.%5.%6"/>
      <w:lvlJc w:val="left"/>
      <w:pPr>
        <w:ind w:left="1440" w:hanging="1152"/>
      </w:pPr>
      <w:rPr>
        <w:rFonts w:hint="default"/>
      </w:rPr>
    </w:lvl>
    <w:lvl w:ilvl="6">
      <w:start w:val="1"/>
      <w:numFmt w:val="decimal"/>
      <w:lvlText w:val="%1.%2.%3.%4.%5.%6.%7"/>
      <w:lvlJc w:val="left"/>
      <w:pPr>
        <w:ind w:left="1584" w:hanging="1296"/>
      </w:pPr>
      <w:rPr>
        <w:rFonts w:hint="default"/>
      </w:rPr>
    </w:lvl>
    <w:lvl w:ilvl="7">
      <w:start w:val="1"/>
      <w:numFmt w:val="decimal"/>
      <w:lvlText w:val="%1.%2.%3.%4.%5.%6.%7.%8"/>
      <w:lvlJc w:val="left"/>
      <w:pPr>
        <w:ind w:left="1728" w:hanging="1440"/>
      </w:pPr>
      <w:rPr>
        <w:rFonts w:hint="default"/>
      </w:rPr>
    </w:lvl>
    <w:lvl w:ilvl="8">
      <w:start w:val="1"/>
      <w:numFmt w:val="decimal"/>
      <w:lvlText w:val="%1.%2.%3.%4.%5.%6.%7.%8.%9"/>
      <w:lvlJc w:val="left"/>
      <w:pPr>
        <w:ind w:left="1872" w:hanging="1584"/>
      </w:pPr>
      <w:rPr>
        <w:rFonts w:hint="default"/>
      </w:rPr>
    </w:lvl>
  </w:abstractNum>
  <w:abstractNum w:abstractNumId="45" w15:restartNumberingAfterBreak="0">
    <w:nsid w:val="36B04BC3"/>
    <w:multiLevelType w:val="hybridMultilevel"/>
    <w:tmpl w:val="E13EB9B2"/>
    <w:lvl w:ilvl="0" w:tplc="7834CBC8">
      <w:start w:val="1"/>
      <w:numFmt w:val="decimal"/>
      <w:pStyle w:val="3821Heading4"/>
      <w:lvlText w:val="3.8.2.%1"/>
      <w:lvlJc w:val="left"/>
      <w:pPr>
        <w:ind w:left="648" w:hanging="360"/>
      </w:pPr>
      <w:rPr>
        <w:rFonts w:asciiTheme="majorHAnsi" w:hAnsiTheme="majorHAnsi" w:hint="default"/>
        <w:b w:val="0"/>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389E4798"/>
    <w:multiLevelType w:val="multilevel"/>
    <w:tmpl w:val="43C0A65A"/>
    <w:lvl w:ilvl="0">
      <w:start w:val="4"/>
      <w:numFmt w:val="decimal"/>
      <w:lvlText w:val="%1"/>
      <w:lvlJc w:val="left"/>
      <w:pPr>
        <w:ind w:left="792" w:hanging="504"/>
      </w:pPr>
      <w:rPr>
        <w:rFonts w:hint="default"/>
      </w:rPr>
    </w:lvl>
    <w:lvl w:ilvl="1">
      <w:start w:val="5"/>
      <w:numFmt w:val="decimal"/>
      <w:lvlText w:val="%1.%2"/>
      <w:lvlJc w:val="left"/>
      <w:pPr>
        <w:ind w:left="864" w:hanging="576"/>
      </w:pPr>
      <w:rPr>
        <w:rFonts w:hint="default"/>
      </w:rPr>
    </w:lvl>
    <w:lvl w:ilvl="2">
      <w:start w:val="1"/>
      <w:numFmt w:val="decimal"/>
      <w:pStyle w:val="451Heading3"/>
      <w:lvlText w:val="%1.%2.%3"/>
      <w:lvlJc w:val="left"/>
      <w:pPr>
        <w:ind w:left="1008" w:hanging="720"/>
      </w:pPr>
      <w:rPr>
        <w:rFonts w:hint="default"/>
      </w:rPr>
    </w:lvl>
    <w:lvl w:ilvl="3">
      <w:start w:val="1"/>
      <w:numFmt w:val="decimal"/>
      <w:lvlText w:val="%1.%2.%3.%4"/>
      <w:lvlJc w:val="left"/>
      <w:pPr>
        <w:ind w:left="1152" w:hanging="864"/>
      </w:pPr>
      <w:rPr>
        <w:rFonts w:hint="default"/>
      </w:rPr>
    </w:lvl>
    <w:lvl w:ilvl="4">
      <w:start w:val="1"/>
      <w:numFmt w:val="decimal"/>
      <w:lvlText w:val="%1.%2.%3.%4.%5"/>
      <w:lvlJc w:val="left"/>
      <w:pPr>
        <w:ind w:left="1296" w:hanging="1008"/>
      </w:pPr>
      <w:rPr>
        <w:rFonts w:hint="default"/>
      </w:rPr>
    </w:lvl>
    <w:lvl w:ilvl="5">
      <w:start w:val="1"/>
      <w:numFmt w:val="decimal"/>
      <w:lvlText w:val="%1.%2.%3.%4.%5.%6"/>
      <w:lvlJc w:val="left"/>
      <w:pPr>
        <w:ind w:left="1440" w:hanging="1152"/>
      </w:pPr>
      <w:rPr>
        <w:rFonts w:hint="default"/>
      </w:rPr>
    </w:lvl>
    <w:lvl w:ilvl="6">
      <w:start w:val="1"/>
      <w:numFmt w:val="decimal"/>
      <w:lvlText w:val="%1.%2.%3.%4.%5.%6.%7"/>
      <w:lvlJc w:val="left"/>
      <w:pPr>
        <w:ind w:left="1584" w:hanging="1296"/>
      </w:pPr>
      <w:rPr>
        <w:rFonts w:hint="default"/>
      </w:rPr>
    </w:lvl>
    <w:lvl w:ilvl="7">
      <w:start w:val="1"/>
      <w:numFmt w:val="decimal"/>
      <w:lvlText w:val="%1.%2.%3.%4.%5.%6.%7.%8"/>
      <w:lvlJc w:val="left"/>
      <w:pPr>
        <w:ind w:left="1728" w:hanging="1440"/>
      </w:pPr>
      <w:rPr>
        <w:rFonts w:hint="default"/>
      </w:rPr>
    </w:lvl>
    <w:lvl w:ilvl="8">
      <w:start w:val="1"/>
      <w:numFmt w:val="decimal"/>
      <w:lvlText w:val="%1.%2.%3.%4.%5.%6.%7.%8.%9"/>
      <w:lvlJc w:val="left"/>
      <w:pPr>
        <w:ind w:left="1872" w:hanging="1584"/>
      </w:pPr>
      <w:rPr>
        <w:rFonts w:hint="default"/>
      </w:rPr>
    </w:lvl>
  </w:abstractNum>
  <w:abstractNum w:abstractNumId="47" w15:restartNumberingAfterBreak="0">
    <w:nsid w:val="3A330758"/>
    <w:multiLevelType w:val="multilevel"/>
    <w:tmpl w:val="8188D720"/>
    <w:lvl w:ilvl="0">
      <w:start w:val="3"/>
      <w:numFmt w:val="decimal"/>
      <w:lvlText w:val="%1"/>
      <w:lvlJc w:val="left"/>
      <w:pPr>
        <w:ind w:left="792" w:hanging="504"/>
      </w:pPr>
      <w:rPr>
        <w:rFonts w:hint="default"/>
      </w:rPr>
    </w:lvl>
    <w:lvl w:ilvl="1">
      <w:start w:val="4"/>
      <w:numFmt w:val="decimal"/>
      <w:lvlText w:val="%1.%2"/>
      <w:lvlJc w:val="left"/>
      <w:pPr>
        <w:ind w:left="864" w:hanging="576"/>
      </w:pPr>
      <w:rPr>
        <w:rFonts w:hint="default"/>
      </w:rPr>
    </w:lvl>
    <w:lvl w:ilvl="2">
      <w:start w:val="1"/>
      <w:numFmt w:val="decimal"/>
      <w:pStyle w:val="341Heading3"/>
      <w:lvlText w:val="%1.%2.%3"/>
      <w:lvlJc w:val="left"/>
      <w:pPr>
        <w:ind w:left="1008" w:hanging="720"/>
      </w:pPr>
      <w:rPr>
        <w:rFonts w:hint="default"/>
      </w:rPr>
    </w:lvl>
    <w:lvl w:ilvl="3">
      <w:start w:val="1"/>
      <w:numFmt w:val="decimal"/>
      <w:lvlText w:val="%1.%2.%3.%4"/>
      <w:lvlJc w:val="left"/>
      <w:pPr>
        <w:ind w:left="1152" w:hanging="864"/>
      </w:pPr>
      <w:rPr>
        <w:rFonts w:hint="default"/>
      </w:rPr>
    </w:lvl>
    <w:lvl w:ilvl="4">
      <w:start w:val="1"/>
      <w:numFmt w:val="decimal"/>
      <w:lvlText w:val="%1.%2.%3.%4.%5"/>
      <w:lvlJc w:val="left"/>
      <w:pPr>
        <w:ind w:left="1296" w:hanging="1008"/>
      </w:pPr>
      <w:rPr>
        <w:rFonts w:hint="default"/>
      </w:rPr>
    </w:lvl>
    <w:lvl w:ilvl="5">
      <w:start w:val="1"/>
      <w:numFmt w:val="decimal"/>
      <w:lvlText w:val="%1.%2.%3.%4.%5.%6"/>
      <w:lvlJc w:val="left"/>
      <w:pPr>
        <w:ind w:left="1440" w:hanging="1152"/>
      </w:pPr>
      <w:rPr>
        <w:rFonts w:hint="default"/>
      </w:rPr>
    </w:lvl>
    <w:lvl w:ilvl="6">
      <w:start w:val="1"/>
      <w:numFmt w:val="decimal"/>
      <w:lvlText w:val="%1.%2.%3.%4.%5.%6.%7"/>
      <w:lvlJc w:val="left"/>
      <w:pPr>
        <w:ind w:left="1584" w:hanging="1296"/>
      </w:pPr>
      <w:rPr>
        <w:rFonts w:hint="default"/>
      </w:rPr>
    </w:lvl>
    <w:lvl w:ilvl="7">
      <w:start w:val="1"/>
      <w:numFmt w:val="decimal"/>
      <w:lvlText w:val="%1.%2.%3.%4.%5.%6.%7.%8"/>
      <w:lvlJc w:val="left"/>
      <w:pPr>
        <w:ind w:left="1728" w:hanging="1440"/>
      </w:pPr>
      <w:rPr>
        <w:rFonts w:hint="default"/>
      </w:rPr>
    </w:lvl>
    <w:lvl w:ilvl="8">
      <w:start w:val="1"/>
      <w:numFmt w:val="decimal"/>
      <w:lvlText w:val="%1.%2.%3.%4.%5.%6.%7.%8.%9"/>
      <w:lvlJc w:val="left"/>
      <w:pPr>
        <w:ind w:left="1872" w:hanging="1584"/>
      </w:pPr>
      <w:rPr>
        <w:rFonts w:hint="default"/>
      </w:rPr>
    </w:lvl>
  </w:abstractNum>
  <w:abstractNum w:abstractNumId="48" w15:restartNumberingAfterBreak="0">
    <w:nsid w:val="3AAD2BE9"/>
    <w:multiLevelType w:val="hybridMultilevel"/>
    <w:tmpl w:val="9C1A1914"/>
    <w:lvl w:ilvl="0" w:tplc="9F0ABD6C">
      <w:start w:val="1"/>
      <w:numFmt w:val="decimal"/>
      <w:pStyle w:val="3381"/>
      <w:lvlText w:val="3.3.8.%1"/>
      <w:lvlJc w:val="left"/>
      <w:pPr>
        <w:ind w:left="360" w:hanging="360"/>
      </w:pPr>
      <w:rPr>
        <w:rFonts w:asciiTheme="majorHAnsi" w:hAnsiTheme="majorHAnsi" w:hint="default"/>
        <w:b w:val="0"/>
        <w:i w:val="0"/>
        <w:sz w:val="24"/>
      </w:rPr>
    </w:lvl>
    <w:lvl w:ilvl="1" w:tplc="04090019" w:tentative="1">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15:restartNumberingAfterBreak="0">
    <w:nsid w:val="3C8B6326"/>
    <w:multiLevelType w:val="multilevel"/>
    <w:tmpl w:val="E392D608"/>
    <w:lvl w:ilvl="0">
      <w:start w:val="5"/>
      <w:numFmt w:val="decimal"/>
      <w:lvlText w:val="%1"/>
      <w:lvlJc w:val="left"/>
      <w:pPr>
        <w:ind w:left="720" w:hanging="432"/>
      </w:pPr>
      <w:rPr>
        <w:rFonts w:hint="default"/>
      </w:rPr>
    </w:lvl>
    <w:lvl w:ilvl="1">
      <w:start w:val="4"/>
      <w:numFmt w:val="decimal"/>
      <w:lvlText w:val="%1.%2"/>
      <w:lvlJc w:val="left"/>
      <w:pPr>
        <w:ind w:left="864" w:hanging="576"/>
      </w:pPr>
      <w:rPr>
        <w:rFonts w:hint="default"/>
      </w:rPr>
    </w:lvl>
    <w:lvl w:ilvl="2">
      <w:start w:val="1"/>
      <w:numFmt w:val="decimal"/>
      <w:pStyle w:val="541Heading3"/>
      <w:lvlText w:val="%1.%2.%3"/>
      <w:lvlJc w:val="left"/>
      <w:pPr>
        <w:ind w:left="1008" w:hanging="720"/>
      </w:pPr>
      <w:rPr>
        <w:rFonts w:hint="default"/>
      </w:rPr>
    </w:lvl>
    <w:lvl w:ilvl="3">
      <w:start w:val="1"/>
      <w:numFmt w:val="decimal"/>
      <w:lvlText w:val="%1.%2.%3.%4"/>
      <w:lvlJc w:val="left"/>
      <w:pPr>
        <w:ind w:left="1152" w:hanging="864"/>
      </w:pPr>
      <w:rPr>
        <w:rFonts w:hint="default"/>
      </w:rPr>
    </w:lvl>
    <w:lvl w:ilvl="4">
      <w:start w:val="1"/>
      <w:numFmt w:val="decimal"/>
      <w:lvlText w:val="%1.%2.%3.%4.%5"/>
      <w:lvlJc w:val="left"/>
      <w:pPr>
        <w:ind w:left="1296" w:hanging="1008"/>
      </w:pPr>
      <w:rPr>
        <w:rFonts w:hint="default"/>
      </w:rPr>
    </w:lvl>
    <w:lvl w:ilvl="5">
      <w:start w:val="1"/>
      <w:numFmt w:val="decimal"/>
      <w:lvlText w:val="%1.%2.%3.%4.%5.%6"/>
      <w:lvlJc w:val="left"/>
      <w:pPr>
        <w:ind w:left="1440" w:hanging="1152"/>
      </w:pPr>
      <w:rPr>
        <w:rFonts w:hint="default"/>
      </w:rPr>
    </w:lvl>
    <w:lvl w:ilvl="6">
      <w:start w:val="1"/>
      <w:numFmt w:val="decimal"/>
      <w:lvlText w:val="%1.%2.%3.%4.%5.%6.%7"/>
      <w:lvlJc w:val="left"/>
      <w:pPr>
        <w:ind w:left="1584" w:hanging="1296"/>
      </w:pPr>
      <w:rPr>
        <w:rFonts w:hint="default"/>
      </w:rPr>
    </w:lvl>
    <w:lvl w:ilvl="7">
      <w:start w:val="1"/>
      <w:numFmt w:val="decimal"/>
      <w:lvlText w:val="%1.%2.%3.%4.%5.%6.%7.%8"/>
      <w:lvlJc w:val="left"/>
      <w:pPr>
        <w:ind w:left="1728" w:hanging="1440"/>
      </w:pPr>
      <w:rPr>
        <w:rFonts w:hint="default"/>
      </w:rPr>
    </w:lvl>
    <w:lvl w:ilvl="8">
      <w:start w:val="1"/>
      <w:numFmt w:val="decimal"/>
      <w:lvlText w:val="%1.%2.%3.%4.%5.%6.%7.%8.%9"/>
      <w:lvlJc w:val="left"/>
      <w:pPr>
        <w:ind w:left="1872" w:hanging="1584"/>
      </w:pPr>
      <w:rPr>
        <w:rFonts w:hint="default"/>
      </w:rPr>
    </w:lvl>
  </w:abstractNum>
  <w:abstractNum w:abstractNumId="50" w15:restartNumberingAfterBreak="0">
    <w:nsid w:val="3E3C396E"/>
    <w:multiLevelType w:val="multilevel"/>
    <w:tmpl w:val="A5E24D3E"/>
    <w:styleLink w:val="Style1"/>
    <w:lvl w:ilvl="0">
      <w:start w:val="1"/>
      <w:numFmt w:val="upperLetter"/>
      <w:lvlText w:val="Appendix %1."/>
      <w:lvlJc w:val="left"/>
      <w:pPr>
        <w:ind w:left="3060" w:hanging="360"/>
      </w:pPr>
      <w:rPr>
        <w:rFonts w:cs="Times New Roman" w:hint="default"/>
      </w:rPr>
    </w:lvl>
    <w:lvl w:ilvl="1">
      <w:start w:val="1"/>
      <w:numFmt w:val="decimal"/>
      <w:lvlText w:val="%1.%2"/>
      <w:lvlJc w:val="left"/>
      <w:pPr>
        <w:ind w:left="3780" w:hanging="360"/>
      </w:pPr>
      <w:rPr>
        <w:rFonts w:cs="Times New Roman" w:hint="default"/>
      </w:rPr>
    </w:lvl>
    <w:lvl w:ilvl="2">
      <w:start w:val="1"/>
      <w:numFmt w:val="decimal"/>
      <w:lvlText w:val="%1.%2.%3"/>
      <w:lvlJc w:val="right"/>
      <w:pPr>
        <w:ind w:left="4500" w:hanging="180"/>
      </w:pPr>
      <w:rPr>
        <w:rFonts w:cs="Times New Roman" w:hint="default"/>
      </w:rPr>
    </w:lvl>
    <w:lvl w:ilvl="3">
      <w:start w:val="1"/>
      <w:numFmt w:val="decimal"/>
      <w:lvlText w:val="%4."/>
      <w:lvlJc w:val="left"/>
      <w:pPr>
        <w:ind w:left="5220" w:hanging="360"/>
      </w:pPr>
      <w:rPr>
        <w:rFonts w:cs="Times New Roman" w:hint="default"/>
      </w:rPr>
    </w:lvl>
    <w:lvl w:ilvl="4">
      <w:start w:val="1"/>
      <w:numFmt w:val="lowerLetter"/>
      <w:lvlText w:val="%5."/>
      <w:lvlJc w:val="left"/>
      <w:pPr>
        <w:ind w:left="5940" w:hanging="360"/>
      </w:pPr>
      <w:rPr>
        <w:rFonts w:cs="Times New Roman" w:hint="default"/>
      </w:rPr>
    </w:lvl>
    <w:lvl w:ilvl="5">
      <w:start w:val="1"/>
      <w:numFmt w:val="lowerRoman"/>
      <w:lvlText w:val="%6."/>
      <w:lvlJc w:val="right"/>
      <w:pPr>
        <w:ind w:left="6660" w:hanging="180"/>
      </w:pPr>
      <w:rPr>
        <w:rFonts w:cs="Times New Roman" w:hint="default"/>
      </w:rPr>
    </w:lvl>
    <w:lvl w:ilvl="6">
      <w:start w:val="1"/>
      <w:numFmt w:val="decimal"/>
      <w:lvlText w:val="%7."/>
      <w:lvlJc w:val="left"/>
      <w:pPr>
        <w:ind w:left="7380" w:hanging="360"/>
      </w:pPr>
      <w:rPr>
        <w:rFonts w:cs="Times New Roman" w:hint="default"/>
      </w:rPr>
    </w:lvl>
    <w:lvl w:ilvl="7">
      <w:start w:val="1"/>
      <w:numFmt w:val="lowerLetter"/>
      <w:lvlText w:val="%8."/>
      <w:lvlJc w:val="left"/>
      <w:pPr>
        <w:ind w:left="8100" w:hanging="360"/>
      </w:pPr>
      <w:rPr>
        <w:rFonts w:cs="Times New Roman" w:hint="default"/>
      </w:rPr>
    </w:lvl>
    <w:lvl w:ilvl="8">
      <w:start w:val="1"/>
      <w:numFmt w:val="lowerRoman"/>
      <w:lvlText w:val="%9."/>
      <w:lvlJc w:val="right"/>
      <w:pPr>
        <w:ind w:left="8820" w:hanging="180"/>
      </w:pPr>
      <w:rPr>
        <w:rFonts w:cs="Times New Roman" w:hint="default"/>
      </w:rPr>
    </w:lvl>
  </w:abstractNum>
  <w:abstractNum w:abstractNumId="51" w15:restartNumberingAfterBreak="0">
    <w:nsid w:val="3F044BAB"/>
    <w:multiLevelType w:val="hybridMultilevel"/>
    <w:tmpl w:val="5CCC866C"/>
    <w:lvl w:ilvl="0" w:tplc="7B1C7AF4">
      <w:start w:val="1"/>
      <w:numFmt w:val="decimal"/>
      <w:lvlText w:val="%1."/>
      <w:lvlJc w:val="left"/>
      <w:pPr>
        <w:ind w:left="1460" w:hanging="360"/>
      </w:pPr>
      <w:rPr>
        <w:rFonts w:cs="Times New Roman"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3FA97547"/>
    <w:multiLevelType w:val="multilevel"/>
    <w:tmpl w:val="899CAD3C"/>
    <w:lvl w:ilvl="0">
      <w:start w:val="1"/>
      <w:numFmt w:val="decimal"/>
      <w:lvlText w:val="%1"/>
      <w:lvlJc w:val="left"/>
      <w:pPr>
        <w:ind w:left="792" w:hanging="504"/>
      </w:pPr>
      <w:rPr>
        <w:rFonts w:hint="default"/>
      </w:rPr>
    </w:lvl>
    <w:lvl w:ilvl="1">
      <w:start w:val="3"/>
      <w:numFmt w:val="decimal"/>
      <w:lvlText w:val="%1.%2"/>
      <w:lvlJc w:val="left"/>
      <w:pPr>
        <w:ind w:left="864" w:hanging="576"/>
      </w:pPr>
      <w:rPr>
        <w:rFonts w:hint="default"/>
      </w:rPr>
    </w:lvl>
    <w:lvl w:ilvl="2">
      <w:start w:val="1"/>
      <w:numFmt w:val="decimal"/>
      <w:pStyle w:val="131"/>
      <w:lvlText w:val="%1.%2.%3"/>
      <w:lvlJc w:val="left"/>
      <w:pPr>
        <w:ind w:left="1008" w:hanging="720"/>
      </w:pPr>
      <w:rPr>
        <w:rFonts w:hint="default"/>
      </w:rPr>
    </w:lvl>
    <w:lvl w:ilvl="3">
      <w:start w:val="1"/>
      <w:numFmt w:val="decimal"/>
      <w:lvlText w:val="%1.%2.%3.%4"/>
      <w:lvlJc w:val="left"/>
      <w:pPr>
        <w:ind w:left="1152" w:hanging="864"/>
      </w:pPr>
      <w:rPr>
        <w:rFonts w:hint="default"/>
      </w:rPr>
    </w:lvl>
    <w:lvl w:ilvl="4">
      <w:start w:val="1"/>
      <w:numFmt w:val="decimal"/>
      <w:lvlText w:val="%1.%2.%3.%4.%5"/>
      <w:lvlJc w:val="left"/>
      <w:pPr>
        <w:ind w:left="1296" w:hanging="1008"/>
      </w:pPr>
      <w:rPr>
        <w:rFonts w:hint="default"/>
      </w:rPr>
    </w:lvl>
    <w:lvl w:ilvl="5">
      <w:start w:val="1"/>
      <w:numFmt w:val="decimal"/>
      <w:lvlText w:val="%1.%2.%3.%4.%5.%6"/>
      <w:lvlJc w:val="left"/>
      <w:pPr>
        <w:ind w:left="1440" w:hanging="1152"/>
      </w:pPr>
      <w:rPr>
        <w:rFonts w:hint="default"/>
      </w:rPr>
    </w:lvl>
    <w:lvl w:ilvl="6">
      <w:start w:val="1"/>
      <w:numFmt w:val="decimal"/>
      <w:lvlText w:val="%1.%2.%3.%4.%5.%6.%7"/>
      <w:lvlJc w:val="left"/>
      <w:pPr>
        <w:ind w:left="1584" w:hanging="1296"/>
      </w:pPr>
      <w:rPr>
        <w:rFonts w:hint="default"/>
      </w:rPr>
    </w:lvl>
    <w:lvl w:ilvl="7">
      <w:start w:val="1"/>
      <w:numFmt w:val="decimal"/>
      <w:lvlText w:val="%1.%2.%3.%4.%5.%6.%7.%8"/>
      <w:lvlJc w:val="left"/>
      <w:pPr>
        <w:ind w:left="1728" w:hanging="1440"/>
      </w:pPr>
      <w:rPr>
        <w:rFonts w:hint="default"/>
      </w:rPr>
    </w:lvl>
    <w:lvl w:ilvl="8">
      <w:start w:val="1"/>
      <w:numFmt w:val="decimal"/>
      <w:lvlText w:val="%1.%2.%3.%4.%5.%6.%7.%8.%9"/>
      <w:lvlJc w:val="left"/>
      <w:pPr>
        <w:ind w:left="1872" w:hanging="1584"/>
      </w:pPr>
      <w:rPr>
        <w:rFonts w:hint="default"/>
      </w:rPr>
    </w:lvl>
  </w:abstractNum>
  <w:abstractNum w:abstractNumId="53" w15:restartNumberingAfterBreak="0">
    <w:nsid w:val="4049003C"/>
    <w:multiLevelType w:val="multilevel"/>
    <w:tmpl w:val="25E07CD2"/>
    <w:styleLink w:val="1-"/>
    <w:lvl w:ilvl="0">
      <w:start w:val="1"/>
      <w:numFmt w:val="decimal"/>
      <w:lvlText w:val="%1."/>
      <w:lvlJc w:val="left"/>
      <w:pPr>
        <w:tabs>
          <w:tab w:val="num" w:pos="1800"/>
        </w:tabs>
        <w:ind w:left="1800" w:hanging="360"/>
      </w:pPr>
      <w:rPr>
        <w:rFonts w:hint="default"/>
      </w:rPr>
    </w:lvl>
    <w:lvl w:ilvl="1">
      <w:start w:val="1"/>
      <w:numFmt w:val="bullet"/>
      <w:lvlText w:val="–"/>
      <w:lvlJc w:val="left"/>
      <w:pPr>
        <w:tabs>
          <w:tab w:val="num" w:pos="2160"/>
        </w:tabs>
        <w:ind w:left="2160" w:hanging="360"/>
      </w:pPr>
      <w:rPr>
        <w:rFonts w:ascii="Book Antiqua" w:hAnsi="Book Antiqua" w:hint="default"/>
      </w:rPr>
    </w:lvl>
    <w:lvl w:ilvl="2">
      <w:start w:val="1"/>
      <w:numFmt w:val="lowerRoman"/>
      <w:lvlText w:val="%3)"/>
      <w:lvlJc w:val="left"/>
      <w:pPr>
        <w:tabs>
          <w:tab w:val="num" w:pos="2520"/>
        </w:tabs>
        <w:ind w:left="252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left"/>
      <w:pPr>
        <w:tabs>
          <w:tab w:val="num" w:pos="3600"/>
        </w:tabs>
        <w:ind w:left="3600" w:hanging="360"/>
      </w:pPr>
      <w:rPr>
        <w:rFonts w:hint="default"/>
      </w:rPr>
    </w:lvl>
    <w:lvl w:ilvl="6">
      <w:start w:val="1"/>
      <w:numFmt w:val="decimal"/>
      <w:lvlText w:val="%7."/>
      <w:lvlJc w:val="left"/>
      <w:pPr>
        <w:tabs>
          <w:tab w:val="num" w:pos="3960"/>
        </w:tabs>
        <w:ind w:left="3960" w:hanging="360"/>
      </w:pPr>
      <w:rPr>
        <w:rFonts w:hint="default"/>
      </w:rPr>
    </w:lvl>
    <w:lvl w:ilvl="7">
      <w:start w:val="1"/>
      <w:numFmt w:val="lowerLetter"/>
      <w:lvlText w:val="%8."/>
      <w:lvlJc w:val="left"/>
      <w:pPr>
        <w:tabs>
          <w:tab w:val="num" w:pos="4320"/>
        </w:tabs>
        <w:ind w:left="4320" w:hanging="360"/>
      </w:pPr>
      <w:rPr>
        <w:rFonts w:hint="default"/>
      </w:rPr>
    </w:lvl>
    <w:lvl w:ilvl="8">
      <w:start w:val="1"/>
      <w:numFmt w:val="lowerRoman"/>
      <w:lvlText w:val="%9."/>
      <w:lvlJc w:val="left"/>
      <w:pPr>
        <w:tabs>
          <w:tab w:val="num" w:pos="4680"/>
        </w:tabs>
        <w:ind w:left="4680" w:hanging="360"/>
      </w:pPr>
      <w:rPr>
        <w:rFonts w:hint="default"/>
      </w:rPr>
    </w:lvl>
  </w:abstractNum>
  <w:abstractNum w:abstractNumId="54" w15:restartNumberingAfterBreak="0">
    <w:nsid w:val="412865D1"/>
    <w:multiLevelType w:val="hybridMultilevel"/>
    <w:tmpl w:val="79D8CB8E"/>
    <w:lvl w:ilvl="0" w:tplc="D58E367C">
      <w:start w:val="1"/>
      <w:numFmt w:val="decimal"/>
      <w:lvlText w:val="%1."/>
      <w:lvlJc w:val="left"/>
      <w:pPr>
        <w:ind w:left="1460" w:hanging="360"/>
      </w:pPr>
      <w:rPr>
        <w:rFonts w:cs="Times New Roman"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42240E69"/>
    <w:multiLevelType w:val="multilevel"/>
    <w:tmpl w:val="DF4E47B6"/>
    <w:lvl w:ilvl="0">
      <w:start w:val="4"/>
      <w:numFmt w:val="decimal"/>
      <w:lvlText w:val="%1"/>
      <w:lvlJc w:val="left"/>
      <w:pPr>
        <w:ind w:left="792" w:hanging="504"/>
      </w:pPr>
      <w:rPr>
        <w:rFonts w:hint="default"/>
      </w:rPr>
    </w:lvl>
    <w:lvl w:ilvl="1">
      <w:start w:val="7"/>
      <w:numFmt w:val="decimal"/>
      <w:lvlText w:val="%1.%2"/>
      <w:lvlJc w:val="left"/>
      <w:pPr>
        <w:ind w:left="864" w:hanging="576"/>
      </w:pPr>
      <w:rPr>
        <w:rFonts w:hint="default"/>
      </w:rPr>
    </w:lvl>
    <w:lvl w:ilvl="2">
      <w:start w:val="1"/>
      <w:numFmt w:val="decimal"/>
      <w:pStyle w:val="471Heading3"/>
      <w:lvlText w:val="%1.%2.%3"/>
      <w:lvlJc w:val="left"/>
      <w:pPr>
        <w:ind w:left="1008" w:hanging="720"/>
      </w:pPr>
      <w:rPr>
        <w:rFonts w:hint="default"/>
      </w:rPr>
    </w:lvl>
    <w:lvl w:ilvl="3">
      <w:start w:val="1"/>
      <w:numFmt w:val="decimal"/>
      <w:lvlText w:val="%1.%2.%3.%4"/>
      <w:lvlJc w:val="left"/>
      <w:pPr>
        <w:ind w:left="1152" w:hanging="864"/>
      </w:pPr>
      <w:rPr>
        <w:rFonts w:hint="default"/>
      </w:rPr>
    </w:lvl>
    <w:lvl w:ilvl="4">
      <w:start w:val="1"/>
      <w:numFmt w:val="decimal"/>
      <w:lvlText w:val="%1.%2.%3.%4.%5"/>
      <w:lvlJc w:val="left"/>
      <w:pPr>
        <w:ind w:left="1296" w:hanging="1008"/>
      </w:pPr>
      <w:rPr>
        <w:rFonts w:hint="default"/>
      </w:rPr>
    </w:lvl>
    <w:lvl w:ilvl="5">
      <w:start w:val="1"/>
      <w:numFmt w:val="decimal"/>
      <w:lvlText w:val="%1.%2.%3.%4.%5.%6"/>
      <w:lvlJc w:val="left"/>
      <w:pPr>
        <w:ind w:left="1440" w:hanging="1152"/>
      </w:pPr>
      <w:rPr>
        <w:rFonts w:hint="default"/>
      </w:rPr>
    </w:lvl>
    <w:lvl w:ilvl="6">
      <w:start w:val="1"/>
      <w:numFmt w:val="decimal"/>
      <w:lvlText w:val="%1.%2.%3.%4.%5.%6.%7"/>
      <w:lvlJc w:val="left"/>
      <w:pPr>
        <w:ind w:left="1584" w:hanging="1296"/>
      </w:pPr>
      <w:rPr>
        <w:rFonts w:hint="default"/>
      </w:rPr>
    </w:lvl>
    <w:lvl w:ilvl="7">
      <w:start w:val="1"/>
      <w:numFmt w:val="decimal"/>
      <w:lvlText w:val="%1.%2.%3.%4.%5.%6.%7.%8"/>
      <w:lvlJc w:val="left"/>
      <w:pPr>
        <w:ind w:left="1728" w:hanging="1440"/>
      </w:pPr>
      <w:rPr>
        <w:rFonts w:hint="default"/>
      </w:rPr>
    </w:lvl>
    <w:lvl w:ilvl="8">
      <w:start w:val="1"/>
      <w:numFmt w:val="decimal"/>
      <w:lvlText w:val="%1.%2.%3.%4.%5.%6.%7.%8.%9"/>
      <w:lvlJc w:val="left"/>
      <w:pPr>
        <w:ind w:left="1872" w:hanging="1584"/>
      </w:pPr>
      <w:rPr>
        <w:rFonts w:hint="default"/>
      </w:rPr>
    </w:lvl>
  </w:abstractNum>
  <w:abstractNum w:abstractNumId="56" w15:restartNumberingAfterBreak="0">
    <w:nsid w:val="4256290F"/>
    <w:multiLevelType w:val="multilevel"/>
    <w:tmpl w:val="DBB65906"/>
    <w:lvl w:ilvl="0">
      <w:start w:val="1"/>
      <w:numFmt w:val="decimal"/>
      <w:lvlText w:val="%1."/>
      <w:lvlJc w:val="left"/>
      <w:pPr>
        <w:ind w:left="360" w:hanging="360"/>
      </w:pPr>
      <w:rPr>
        <w:rFonts w:cs="Times New Roman" w:hint="default"/>
      </w:rPr>
    </w:lvl>
    <w:lvl w:ilvl="1">
      <w:start w:val="1"/>
      <w:numFmt w:val="decimal"/>
      <w:pStyle w:val="Heading2-ExecSumHeadings"/>
      <w:lvlText w:val="ES.%2"/>
      <w:lvlJc w:val="left"/>
      <w:pPr>
        <w:ind w:left="432" w:hanging="432"/>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1224" w:hanging="504"/>
      </w:pPr>
      <w:rPr>
        <w:rFonts w:cs="Times New Roman" w:hint="default"/>
      </w:rPr>
    </w:lvl>
    <w:lvl w:ilvl="3">
      <w:start w:val="1"/>
      <w:numFmt w:val="decimal"/>
      <w:lvlText w:val="%1.%2.%3.%4."/>
      <w:lvlJc w:val="left"/>
      <w:pPr>
        <w:ind w:left="1728" w:hanging="648"/>
      </w:pPr>
      <w:rPr>
        <w:rFonts w:cs="Times New Roman" w:hint="default"/>
      </w:rPr>
    </w:lvl>
    <w:lvl w:ilvl="4">
      <w:start w:val="1"/>
      <w:numFmt w:val="decimal"/>
      <w:lvlText w:val="ES.%5."/>
      <w:lvlJc w:val="left"/>
      <w:pPr>
        <w:ind w:left="2232" w:hanging="792"/>
      </w:pPr>
      <w:rPr>
        <w:rFonts w:cs="Times New Roman" w:hint="default"/>
        <w:vanish/>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57" w15:restartNumberingAfterBreak="0">
    <w:nsid w:val="425E5CE5"/>
    <w:multiLevelType w:val="multilevel"/>
    <w:tmpl w:val="FC782A54"/>
    <w:lvl w:ilvl="0">
      <w:start w:val="1"/>
      <w:numFmt w:val="bullet"/>
      <w:lvlText w:val=""/>
      <w:lvlJc w:val="left"/>
      <w:pPr>
        <w:ind w:left="1512" w:hanging="360"/>
      </w:pPr>
      <w:rPr>
        <w:rFonts w:ascii="Symbol" w:hAnsi="Symbol" w:hint="default"/>
        <w:b w:val="0"/>
        <w:color w:val="auto"/>
      </w:rPr>
    </w:lvl>
    <w:lvl w:ilvl="1">
      <w:start w:val="1"/>
      <w:numFmt w:val="bullet"/>
      <w:lvlText w:val=""/>
      <w:lvlJc w:val="left"/>
      <w:pPr>
        <w:ind w:left="1512" w:hanging="360"/>
      </w:pPr>
      <w:rPr>
        <w:rFonts w:ascii="Symbol" w:hAnsi="Symbol" w:hint="default"/>
        <w:b w:val="0"/>
        <w:color w:val="auto"/>
      </w:rPr>
    </w:lvl>
    <w:lvl w:ilvl="2">
      <w:start w:val="1"/>
      <w:numFmt w:val="bullet"/>
      <w:lvlText w:val=""/>
      <w:lvlJc w:val="left"/>
      <w:pPr>
        <w:ind w:left="2052" w:firstLine="0"/>
      </w:pPr>
      <w:rPr>
        <w:rFonts w:ascii="Symbol" w:hAnsi="Symbol" w:hint="default"/>
        <w:b w:val="0"/>
      </w:rPr>
    </w:lvl>
    <w:lvl w:ilvl="3">
      <w:start w:val="1"/>
      <w:numFmt w:val="bullet"/>
      <w:lvlText w:val=""/>
      <w:lvlJc w:val="left"/>
      <w:pPr>
        <w:ind w:left="1512" w:firstLine="0"/>
      </w:pPr>
      <w:rPr>
        <w:rFonts w:ascii="Symbol" w:hAnsi="Symbol" w:hint="default"/>
      </w:rPr>
    </w:lvl>
    <w:lvl w:ilvl="4">
      <w:start w:val="1"/>
      <w:numFmt w:val="decimal"/>
      <w:lvlText w:val="%1.%2.%3.%4.%5"/>
      <w:lvlJc w:val="left"/>
      <w:pPr>
        <w:tabs>
          <w:tab w:val="num" w:pos="1440"/>
        </w:tabs>
        <w:ind w:left="1512" w:hanging="1080"/>
      </w:pPr>
      <w:rPr>
        <w:rFonts w:cs="Times New Roman" w:hint="default"/>
      </w:rPr>
    </w:lvl>
    <w:lvl w:ilvl="5">
      <w:start w:val="1"/>
      <w:numFmt w:val="upperLetter"/>
      <w:lvlRestart w:val="0"/>
      <w:lvlText w:val="%6."/>
      <w:lvlJc w:val="right"/>
      <w:pPr>
        <w:ind w:left="1512" w:hanging="360"/>
      </w:pPr>
      <w:rPr>
        <w:rFonts w:cs="Times New Roman" w:hint="default"/>
      </w:rPr>
    </w:lvl>
    <w:lvl w:ilvl="6">
      <w:start w:val="1"/>
      <w:numFmt w:val="decimal"/>
      <w:lvlText w:val="%6.%7"/>
      <w:lvlJc w:val="right"/>
      <w:pPr>
        <w:tabs>
          <w:tab w:val="num" w:pos="1512"/>
        </w:tabs>
        <w:ind w:left="1512" w:hanging="374"/>
      </w:pPr>
      <w:rPr>
        <w:rFonts w:cs="Times New Roman" w:hint="default"/>
      </w:rPr>
    </w:lvl>
    <w:lvl w:ilvl="7">
      <w:start w:val="1"/>
      <w:numFmt w:val="none"/>
      <w:suff w:val="nothing"/>
      <w:lvlText w:val=""/>
      <w:lvlJc w:val="left"/>
      <w:pPr>
        <w:ind w:left="1512" w:firstLine="0"/>
      </w:pPr>
      <w:rPr>
        <w:rFonts w:cs="Times New Roman" w:hint="default"/>
      </w:rPr>
    </w:lvl>
    <w:lvl w:ilvl="8">
      <w:start w:val="1"/>
      <w:numFmt w:val="none"/>
      <w:suff w:val="nothing"/>
      <w:lvlText w:val=""/>
      <w:lvlJc w:val="left"/>
      <w:pPr>
        <w:ind w:left="1512" w:firstLine="0"/>
      </w:pPr>
      <w:rPr>
        <w:rFonts w:cs="Times New Roman" w:hint="default"/>
      </w:rPr>
    </w:lvl>
  </w:abstractNum>
  <w:abstractNum w:abstractNumId="58" w15:restartNumberingAfterBreak="0">
    <w:nsid w:val="438754D2"/>
    <w:multiLevelType w:val="hybridMultilevel"/>
    <w:tmpl w:val="9684CF4E"/>
    <w:lvl w:ilvl="0" w:tplc="667869CC">
      <w:start w:val="1"/>
      <w:numFmt w:val="decimal"/>
      <w:lvlText w:val="%1."/>
      <w:lvlJc w:val="left"/>
      <w:pPr>
        <w:ind w:left="360" w:hanging="360"/>
      </w:pPr>
      <w:rPr>
        <w:rFonts w:ascii="Calibri" w:hAnsi="Calibri" w:cs="Calibri"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59" w15:restartNumberingAfterBreak="0">
    <w:nsid w:val="44070FC6"/>
    <w:multiLevelType w:val="hybridMultilevel"/>
    <w:tmpl w:val="4E26828C"/>
    <w:lvl w:ilvl="0" w:tplc="FFFFFFFF">
      <w:start w:val="1"/>
      <w:numFmt w:val="decimal"/>
      <w:lvlText w:val="%1."/>
      <w:lvlJc w:val="left"/>
      <w:pPr>
        <w:ind w:left="360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462F4742"/>
    <w:multiLevelType w:val="hybridMultilevel"/>
    <w:tmpl w:val="D73CDABC"/>
    <w:lvl w:ilvl="0" w:tplc="1D4AF2E2">
      <w:start w:val="1"/>
      <w:numFmt w:val="decimal"/>
      <w:lvlText w:val="%1."/>
      <w:lvlJc w:val="left"/>
      <w:pPr>
        <w:ind w:left="1460" w:hanging="360"/>
      </w:pPr>
      <w:rPr>
        <w:rFonts w:cs="Times New Roman"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4B50040C"/>
    <w:multiLevelType w:val="multilevel"/>
    <w:tmpl w:val="E9CE340C"/>
    <w:lvl w:ilvl="0">
      <w:start w:val="1"/>
      <w:numFmt w:val="lowerLetter"/>
      <w:lvlText w:val="%1."/>
      <w:lvlJc w:val="left"/>
      <w:pPr>
        <w:ind w:left="720" w:hanging="360"/>
      </w:pPr>
    </w:lvl>
    <w:lvl w:ilvl="1">
      <w:start w:val="1"/>
      <w:numFmt w:val="lowerRoman"/>
      <w:lvlText w:val="%2."/>
      <w:lvlJc w:val="left"/>
      <w:pPr>
        <w:ind w:left="1080" w:hanging="360"/>
      </w:pPr>
      <w:rPr>
        <w:rFonts w:ascii="Calibri" w:eastAsia="Times New Roman" w:hAnsi="Calibri" w:cs="Calibri"/>
      </w:r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62" w15:restartNumberingAfterBreak="0">
    <w:nsid w:val="4C87153E"/>
    <w:multiLevelType w:val="hybridMultilevel"/>
    <w:tmpl w:val="4E26828C"/>
    <w:lvl w:ilvl="0" w:tplc="0409000F">
      <w:start w:val="1"/>
      <w:numFmt w:val="decimal"/>
      <w:lvlText w:val="%1."/>
      <w:lvlJc w:val="left"/>
      <w:pPr>
        <w:ind w:left="360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4E485A0F"/>
    <w:multiLevelType w:val="hybridMultilevel"/>
    <w:tmpl w:val="D7BE0B6E"/>
    <w:lvl w:ilvl="0" w:tplc="881AC324">
      <w:start w:val="1"/>
      <w:numFmt w:val="decimal"/>
      <w:pStyle w:val="641Heading3"/>
      <w:lvlText w:val="6.4.%1"/>
      <w:lvlJc w:val="center"/>
      <w:pPr>
        <w:ind w:left="648" w:hanging="360"/>
      </w:pPr>
      <w:rPr>
        <w:rFonts w:ascii="Cambria" w:hAnsi="Cambria" w:hint="default"/>
        <w:b w:val="0"/>
        <w:i w:val="0"/>
        <w:sz w:val="26"/>
      </w:rPr>
    </w:lvl>
    <w:lvl w:ilvl="1" w:tplc="04090019" w:tentative="1">
      <w:start w:val="1"/>
      <w:numFmt w:val="lowerLetter"/>
      <w:lvlText w:val="%2."/>
      <w:lvlJc w:val="left"/>
      <w:pPr>
        <w:ind w:left="1512" w:hanging="360"/>
      </w:pPr>
    </w:lvl>
    <w:lvl w:ilvl="2" w:tplc="0409001B">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64" w15:restartNumberingAfterBreak="0">
    <w:nsid w:val="51A1639A"/>
    <w:multiLevelType w:val="multilevel"/>
    <w:tmpl w:val="072A4342"/>
    <w:lvl w:ilvl="0">
      <w:start w:val="1"/>
      <w:numFmt w:val="decimal"/>
      <w:lvlText w:val="%1"/>
      <w:lvlJc w:val="left"/>
      <w:pPr>
        <w:ind w:left="792" w:hanging="504"/>
      </w:pPr>
      <w:rPr>
        <w:rFonts w:hint="default"/>
      </w:rPr>
    </w:lvl>
    <w:lvl w:ilvl="1">
      <w:start w:val="5"/>
      <w:numFmt w:val="decimal"/>
      <w:lvlText w:val="%1.%2"/>
      <w:lvlJc w:val="left"/>
      <w:pPr>
        <w:ind w:left="864" w:hanging="576"/>
      </w:pPr>
      <w:rPr>
        <w:rFonts w:hint="default"/>
      </w:rPr>
    </w:lvl>
    <w:lvl w:ilvl="2">
      <w:start w:val="1"/>
      <w:numFmt w:val="decimal"/>
      <w:pStyle w:val="151Heading3"/>
      <w:lvlText w:val="%1.%2.%3"/>
      <w:lvlJc w:val="left"/>
      <w:pPr>
        <w:ind w:left="1008" w:hanging="720"/>
      </w:pPr>
      <w:rPr>
        <w:rFonts w:hint="default"/>
      </w:rPr>
    </w:lvl>
    <w:lvl w:ilvl="3">
      <w:start w:val="1"/>
      <w:numFmt w:val="decimal"/>
      <w:lvlText w:val="%1.%2.%3.%4"/>
      <w:lvlJc w:val="left"/>
      <w:pPr>
        <w:ind w:left="1152" w:hanging="864"/>
      </w:pPr>
      <w:rPr>
        <w:rFonts w:hint="default"/>
      </w:rPr>
    </w:lvl>
    <w:lvl w:ilvl="4">
      <w:start w:val="1"/>
      <w:numFmt w:val="decimal"/>
      <w:lvlText w:val="%1.%2.%3.%4.%5"/>
      <w:lvlJc w:val="left"/>
      <w:pPr>
        <w:ind w:left="1296" w:hanging="1008"/>
      </w:pPr>
      <w:rPr>
        <w:rFonts w:hint="default"/>
      </w:rPr>
    </w:lvl>
    <w:lvl w:ilvl="5">
      <w:start w:val="1"/>
      <w:numFmt w:val="decimal"/>
      <w:lvlText w:val="%1.%2.%3.%4.%5.%6"/>
      <w:lvlJc w:val="left"/>
      <w:pPr>
        <w:ind w:left="1440" w:hanging="1152"/>
      </w:pPr>
      <w:rPr>
        <w:rFonts w:hint="default"/>
      </w:rPr>
    </w:lvl>
    <w:lvl w:ilvl="6">
      <w:start w:val="1"/>
      <w:numFmt w:val="decimal"/>
      <w:lvlText w:val="%1.%2.%3.%4.%5.%6.%7"/>
      <w:lvlJc w:val="left"/>
      <w:pPr>
        <w:ind w:left="1584" w:hanging="1296"/>
      </w:pPr>
      <w:rPr>
        <w:rFonts w:hint="default"/>
      </w:rPr>
    </w:lvl>
    <w:lvl w:ilvl="7">
      <w:start w:val="1"/>
      <w:numFmt w:val="decimal"/>
      <w:lvlText w:val="%1.%2.%3.%4.%5.%6.%7.%8"/>
      <w:lvlJc w:val="left"/>
      <w:pPr>
        <w:ind w:left="1728" w:hanging="1440"/>
      </w:pPr>
      <w:rPr>
        <w:rFonts w:hint="default"/>
      </w:rPr>
    </w:lvl>
    <w:lvl w:ilvl="8">
      <w:start w:val="1"/>
      <w:numFmt w:val="decimal"/>
      <w:lvlText w:val="%1.%2.%3.%4.%5.%6.%7.%8.%9"/>
      <w:lvlJc w:val="left"/>
      <w:pPr>
        <w:ind w:left="1872" w:hanging="1584"/>
      </w:pPr>
      <w:rPr>
        <w:rFonts w:hint="default"/>
      </w:rPr>
    </w:lvl>
  </w:abstractNum>
  <w:abstractNum w:abstractNumId="65" w15:restartNumberingAfterBreak="0">
    <w:nsid w:val="524451B5"/>
    <w:multiLevelType w:val="hybridMultilevel"/>
    <w:tmpl w:val="ACA4A126"/>
    <w:lvl w:ilvl="0" w:tplc="D72421C6">
      <w:start w:val="1"/>
      <w:numFmt w:val="decimal"/>
      <w:pStyle w:val="221"/>
      <w:lvlText w:val="2.2.%1"/>
      <w:lvlJc w:val="center"/>
      <w:pPr>
        <w:ind w:left="360" w:hanging="360"/>
      </w:pPr>
      <w:rPr>
        <w:rFonts w:ascii="Cambria" w:hAnsi="Cambria" w:hint="default"/>
        <w:b w:val="0"/>
        <w:i w:val="0"/>
        <w:sz w:val="26"/>
      </w:rPr>
    </w:lvl>
    <w:lvl w:ilvl="1" w:tplc="04090019" w:tentative="1">
      <w:start w:val="1"/>
      <w:numFmt w:val="lowerLetter"/>
      <w:lvlText w:val="%2."/>
      <w:lvlJc w:val="left"/>
      <w:pPr>
        <w:ind w:left="1080" w:hanging="360"/>
      </w:pPr>
    </w:lvl>
    <w:lvl w:ilvl="2" w:tplc="0409001B">
      <w:start w:val="1"/>
      <w:numFmt w:val="lowerRoman"/>
      <w:pStyle w:val="221"/>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6" w15:restartNumberingAfterBreak="0">
    <w:nsid w:val="529907FB"/>
    <w:multiLevelType w:val="hybridMultilevel"/>
    <w:tmpl w:val="B3D6C5B0"/>
    <w:lvl w:ilvl="0" w:tplc="E43A2CEC">
      <w:start w:val="1"/>
      <w:numFmt w:val="decimal"/>
      <w:lvlText w:val="%1."/>
      <w:lvlJc w:val="left"/>
      <w:pPr>
        <w:ind w:left="1460" w:hanging="360"/>
      </w:pPr>
      <w:rPr>
        <w:rFonts w:cs="Times New Roman"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52EB3A29"/>
    <w:multiLevelType w:val="hybridMultilevel"/>
    <w:tmpl w:val="4E26828C"/>
    <w:lvl w:ilvl="0" w:tplc="FFFFFFFF">
      <w:start w:val="1"/>
      <w:numFmt w:val="decimal"/>
      <w:lvlText w:val="%1."/>
      <w:lvlJc w:val="left"/>
      <w:pPr>
        <w:ind w:left="360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5718027A"/>
    <w:multiLevelType w:val="hybridMultilevel"/>
    <w:tmpl w:val="0D9EA664"/>
    <w:lvl w:ilvl="0" w:tplc="9D9CD3DA">
      <w:start w:val="1"/>
      <w:numFmt w:val="decimal"/>
      <w:pStyle w:val="661Heading3"/>
      <w:lvlText w:val="6.6.%1"/>
      <w:lvlJc w:val="center"/>
      <w:pPr>
        <w:ind w:left="648" w:hanging="360"/>
      </w:pPr>
      <w:rPr>
        <w:rFonts w:ascii="Cambria" w:hAnsi="Cambria" w:hint="default"/>
        <w:b w:val="0"/>
        <w:i w:val="0"/>
        <w:sz w:val="26"/>
      </w:rPr>
    </w:lvl>
    <w:lvl w:ilvl="1" w:tplc="04090019" w:tentative="1">
      <w:start w:val="1"/>
      <w:numFmt w:val="lowerLetter"/>
      <w:lvlText w:val="%2."/>
      <w:lvlJc w:val="left"/>
      <w:pPr>
        <w:ind w:left="1152" w:hanging="360"/>
      </w:pPr>
    </w:lvl>
    <w:lvl w:ilvl="2" w:tplc="0409001B">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69" w15:restartNumberingAfterBreak="0">
    <w:nsid w:val="573D05C8"/>
    <w:multiLevelType w:val="hybridMultilevel"/>
    <w:tmpl w:val="57C472BE"/>
    <w:lvl w:ilvl="0" w:tplc="6DA243CC">
      <w:start w:val="1"/>
      <w:numFmt w:val="bullet"/>
      <w:pStyle w:val="TMGBullet"/>
      <w:lvlText w:val=""/>
      <w:lvlJc w:val="left"/>
      <w:pPr>
        <w:ind w:left="820" w:hanging="360"/>
      </w:pPr>
      <w:rPr>
        <w:rFonts w:ascii="Symbol" w:hAnsi="Symbol" w:hint="default"/>
      </w:rPr>
    </w:lvl>
    <w:lvl w:ilvl="1" w:tplc="04090003">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70" w15:restartNumberingAfterBreak="0">
    <w:nsid w:val="594461D5"/>
    <w:multiLevelType w:val="hybridMultilevel"/>
    <w:tmpl w:val="4E26828C"/>
    <w:lvl w:ilvl="0" w:tplc="FFFFFFFF">
      <w:start w:val="1"/>
      <w:numFmt w:val="decimal"/>
      <w:lvlText w:val="%1."/>
      <w:lvlJc w:val="left"/>
      <w:pPr>
        <w:ind w:left="360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 w15:restartNumberingAfterBreak="0">
    <w:nsid w:val="5D48585B"/>
    <w:multiLevelType w:val="hybridMultilevel"/>
    <w:tmpl w:val="0046D910"/>
    <w:lvl w:ilvl="0" w:tplc="50CC0F66">
      <w:start w:val="1"/>
      <w:numFmt w:val="decimal"/>
      <w:lvlText w:val="%1."/>
      <w:lvlJc w:val="left"/>
      <w:pPr>
        <w:ind w:left="1152" w:hanging="360"/>
      </w:pPr>
      <w:rPr>
        <w:rFonts w:hint="default"/>
      </w:rPr>
    </w:lvl>
    <w:lvl w:ilvl="1" w:tplc="04090019" w:tentative="1">
      <w:start w:val="1"/>
      <w:numFmt w:val="lowerLetter"/>
      <w:lvlText w:val="%2."/>
      <w:lvlJc w:val="left"/>
      <w:pPr>
        <w:ind w:left="1872" w:hanging="360"/>
      </w:pPr>
    </w:lvl>
    <w:lvl w:ilvl="2" w:tplc="0409001B" w:tentative="1">
      <w:start w:val="1"/>
      <w:numFmt w:val="lowerRoman"/>
      <w:lvlText w:val="%3."/>
      <w:lvlJc w:val="right"/>
      <w:pPr>
        <w:ind w:left="2592" w:hanging="180"/>
      </w:pPr>
    </w:lvl>
    <w:lvl w:ilvl="3" w:tplc="0409000F" w:tentative="1">
      <w:start w:val="1"/>
      <w:numFmt w:val="decimal"/>
      <w:lvlText w:val="%4."/>
      <w:lvlJc w:val="left"/>
      <w:pPr>
        <w:ind w:left="3312" w:hanging="360"/>
      </w:pPr>
    </w:lvl>
    <w:lvl w:ilvl="4" w:tplc="04090019" w:tentative="1">
      <w:start w:val="1"/>
      <w:numFmt w:val="lowerLetter"/>
      <w:lvlText w:val="%5."/>
      <w:lvlJc w:val="left"/>
      <w:pPr>
        <w:ind w:left="4032" w:hanging="360"/>
      </w:pPr>
    </w:lvl>
    <w:lvl w:ilvl="5" w:tplc="0409001B" w:tentative="1">
      <w:start w:val="1"/>
      <w:numFmt w:val="lowerRoman"/>
      <w:lvlText w:val="%6."/>
      <w:lvlJc w:val="right"/>
      <w:pPr>
        <w:ind w:left="4752" w:hanging="180"/>
      </w:pPr>
    </w:lvl>
    <w:lvl w:ilvl="6" w:tplc="0409000F" w:tentative="1">
      <w:start w:val="1"/>
      <w:numFmt w:val="decimal"/>
      <w:lvlText w:val="%7."/>
      <w:lvlJc w:val="left"/>
      <w:pPr>
        <w:ind w:left="5472" w:hanging="360"/>
      </w:pPr>
    </w:lvl>
    <w:lvl w:ilvl="7" w:tplc="04090019" w:tentative="1">
      <w:start w:val="1"/>
      <w:numFmt w:val="lowerLetter"/>
      <w:lvlText w:val="%8."/>
      <w:lvlJc w:val="left"/>
      <w:pPr>
        <w:ind w:left="6192" w:hanging="360"/>
      </w:pPr>
    </w:lvl>
    <w:lvl w:ilvl="8" w:tplc="0409001B" w:tentative="1">
      <w:start w:val="1"/>
      <w:numFmt w:val="lowerRoman"/>
      <w:lvlText w:val="%9."/>
      <w:lvlJc w:val="right"/>
      <w:pPr>
        <w:ind w:left="6912" w:hanging="180"/>
      </w:pPr>
    </w:lvl>
  </w:abstractNum>
  <w:abstractNum w:abstractNumId="72" w15:restartNumberingAfterBreak="0">
    <w:nsid w:val="5E4551F0"/>
    <w:multiLevelType w:val="hybridMultilevel"/>
    <w:tmpl w:val="E0CC6C98"/>
    <w:lvl w:ilvl="0" w:tplc="60286520">
      <w:start w:val="1"/>
      <w:numFmt w:val="bullet"/>
      <w:pStyle w:val="ListBulletIndentBulletsandNumbering"/>
      <w:lvlText w:val=""/>
      <w:lvlJc w:val="left"/>
      <w:pPr>
        <w:ind w:left="720" w:hanging="360"/>
      </w:pPr>
      <w:rPr>
        <w:rFonts w:ascii="Symbol" w:hAnsi="Symbol" w:hint="default"/>
      </w:rPr>
    </w:lvl>
    <w:lvl w:ilvl="1" w:tplc="0BBA35BC" w:tentative="1">
      <w:start w:val="1"/>
      <w:numFmt w:val="bullet"/>
      <w:lvlText w:val="o"/>
      <w:lvlJc w:val="left"/>
      <w:pPr>
        <w:ind w:left="1440" w:hanging="360"/>
      </w:pPr>
      <w:rPr>
        <w:rFonts w:ascii="Courier New" w:hAnsi="Courier New" w:hint="default"/>
      </w:rPr>
    </w:lvl>
    <w:lvl w:ilvl="2" w:tplc="D982F81E" w:tentative="1">
      <w:start w:val="1"/>
      <w:numFmt w:val="bullet"/>
      <w:lvlText w:val=""/>
      <w:lvlJc w:val="left"/>
      <w:pPr>
        <w:ind w:left="2160" w:hanging="360"/>
      </w:pPr>
      <w:rPr>
        <w:rFonts w:ascii="Wingdings" w:hAnsi="Wingdings" w:hint="default"/>
      </w:rPr>
    </w:lvl>
    <w:lvl w:ilvl="3" w:tplc="616827CA" w:tentative="1">
      <w:start w:val="1"/>
      <w:numFmt w:val="bullet"/>
      <w:lvlText w:val=""/>
      <w:lvlJc w:val="left"/>
      <w:pPr>
        <w:ind w:left="2880" w:hanging="360"/>
      </w:pPr>
      <w:rPr>
        <w:rFonts w:ascii="Symbol" w:hAnsi="Symbol" w:hint="default"/>
      </w:rPr>
    </w:lvl>
    <w:lvl w:ilvl="4" w:tplc="D92C245C" w:tentative="1">
      <w:start w:val="1"/>
      <w:numFmt w:val="bullet"/>
      <w:lvlText w:val="o"/>
      <w:lvlJc w:val="left"/>
      <w:pPr>
        <w:ind w:left="3600" w:hanging="360"/>
      </w:pPr>
      <w:rPr>
        <w:rFonts w:ascii="Courier New" w:hAnsi="Courier New" w:hint="default"/>
      </w:rPr>
    </w:lvl>
    <w:lvl w:ilvl="5" w:tplc="2C3C7D96" w:tentative="1">
      <w:start w:val="1"/>
      <w:numFmt w:val="bullet"/>
      <w:lvlText w:val=""/>
      <w:lvlJc w:val="left"/>
      <w:pPr>
        <w:ind w:left="4320" w:hanging="360"/>
      </w:pPr>
      <w:rPr>
        <w:rFonts w:ascii="Wingdings" w:hAnsi="Wingdings" w:hint="default"/>
      </w:rPr>
    </w:lvl>
    <w:lvl w:ilvl="6" w:tplc="6988EDC4" w:tentative="1">
      <w:start w:val="1"/>
      <w:numFmt w:val="bullet"/>
      <w:lvlText w:val=""/>
      <w:lvlJc w:val="left"/>
      <w:pPr>
        <w:ind w:left="5040" w:hanging="360"/>
      </w:pPr>
      <w:rPr>
        <w:rFonts w:ascii="Symbol" w:hAnsi="Symbol" w:hint="default"/>
      </w:rPr>
    </w:lvl>
    <w:lvl w:ilvl="7" w:tplc="17742AA2" w:tentative="1">
      <w:start w:val="1"/>
      <w:numFmt w:val="bullet"/>
      <w:lvlText w:val="o"/>
      <w:lvlJc w:val="left"/>
      <w:pPr>
        <w:ind w:left="5760" w:hanging="360"/>
      </w:pPr>
      <w:rPr>
        <w:rFonts w:ascii="Courier New" w:hAnsi="Courier New" w:hint="default"/>
      </w:rPr>
    </w:lvl>
    <w:lvl w:ilvl="8" w:tplc="CDFE2FF8" w:tentative="1">
      <w:start w:val="1"/>
      <w:numFmt w:val="bullet"/>
      <w:lvlText w:val=""/>
      <w:lvlJc w:val="left"/>
      <w:pPr>
        <w:ind w:left="6480" w:hanging="360"/>
      </w:pPr>
      <w:rPr>
        <w:rFonts w:ascii="Wingdings" w:hAnsi="Wingdings" w:hint="default"/>
      </w:rPr>
    </w:lvl>
  </w:abstractNum>
  <w:abstractNum w:abstractNumId="73" w15:restartNumberingAfterBreak="0">
    <w:nsid w:val="5F2B4B94"/>
    <w:multiLevelType w:val="hybridMultilevel"/>
    <w:tmpl w:val="9642E91C"/>
    <w:lvl w:ilvl="0" w:tplc="97260EB0">
      <w:start w:val="1"/>
      <w:numFmt w:val="decimal"/>
      <w:pStyle w:val="Chap3141Heading"/>
      <w:lvlText w:val="3.1.4.%1"/>
      <w:lvlJc w:val="left"/>
      <w:pPr>
        <w:ind w:left="648"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608B6DA2"/>
    <w:multiLevelType w:val="hybridMultilevel"/>
    <w:tmpl w:val="632884C6"/>
    <w:lvl w:ilvl="0" w:tplc="C78855D8">
      <w:start w:val="1"/>
      <w:numFmt w:val="decimal"/>
      <w:lvlText w:val="%1."/>
      <w:lvlJc w:val="left"/>
      <w:pPr>
        <w:ind w:left="144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5" w15:restartNumberingAfterBreak="0">
    <w:nsid w:val="65083C40"/>
    <w:multiLevelType w:val="multilevel"/>
    <w:tmpl w:val="89F64C44"/>
    <w:styleLink w:val="Style2"/>
    <w:lvl w:ilvl="0">
      <w:start w:val="1"/>
      <w:numFmt w:val="upperLetter"/>
      <w:lvlText w:val="Appendix %1."/>
      <w:lvlJc w:val="left"/>
      <w:pPr>
        <w:ind w:left="720" w:hanging="360"/>
      </w:pPr>
      <w:rPr>
        <w:rFonts w:ascii="Calibri" w:hAnsi="Calibri" w:cs="Calibri" w:hint="default"/>
        <w:b w:val="0"/>
        <w:bCs w:val="0"/>
        <w:i w:val="0"/>
        <w:iCs w:val="0"/>
        <w:caps w:val="0"/>
        <w:smallCaps w:val="0"/>
        <w:strike w:val="0"/>
        <w:dstrike w:val="0"/>
        <w:vanish w:val="0"/>
        <w:color w:val="000000"/>
        <w:spacing w:val="0"/>
        <w:w w:val="100"/>
        <w:kern w:val="0"/>
        <w:position w:val="0"/>
        <w:sz w:val="20"/>
        <w:szCs w:val="20"/>
        <w:u w:val="none" w:color="000000"/>
        <w:vertAlign w:val="baseline"/>
      </w:rPr>
    </w:lvl>
    <w:lvl w:ilvl="1">
      <w:start w:val="1"/>
      <w:numFmt w:val="lowerLetter"/>
      <w:lvlText w:val="%2."/>
      <w:lvlJc w:val="left"/>
      <w:pPr>
        <w:ind w:left="1440" w:hanging="360"/>
      </w:pPr>
      <w:rPr>
        <w:rFonts w:cs="Times New Roman" w:hint="default"/>
      </w:rPr>
    </w:lvl>
    <w:lvl w:ilvl="2">
      <w:start w:val="1"/>
      <w:numFmt w:val="lowerRoman"/>
      <w:lvlText w:val="%3."/>
      <w:lvlJc w:val="right"/>
      <w:pPr>
        <w:ind w:left="2160" w:hanging="180"/>
      </w:pPr>
      <w:rPr>
        <w:rFonts w:cs="Times New Roman" w:hint="default"/>
      </w:rPr>
    </w:lvl>
    <w:lvl w:ilvl="3">
      <w:start w:val="1"/>
      <w:numFmt w:val="decimal"/>
      <w:lvlText w:val="%4."/>
      <w:lvlJc w:val="left"/>
      <w:pPr>
        <w:ind w:left="2880" w:hanging="360"/>
      </w:pPr>
      <w:rPr>
        <w:rFonts w:cs="Times New Roman" w:hint="default"/>
      </w:rPr>
    </w:lvl>
    <w:lvl w:ilvl="4">
      <w:start w:val="1"/>
      <w:numFmt w:val="lowerLetter"/>
      <w:lvlText w:val="%5."/>
      <w:lvlJc w:val="left"/>
      <w:pPr>
        <w:ind w:left="3600" w:hanging="360"/>
      </w:pPr>
      <w:rPr>
        <w:rFonts w:cs="Times New Roman" w:hint="default"/>
      </w:rPr>
    </w:lvl>
    <w:lvl w:ilvl="5">
      <w:start w:val="1"/>
      <w:numFmt w:val="lowerRoman"/>
      <w:lvlText w:val="%6."/>
      <w:lvlJc w:val="right"/>
      <w:pPr>
        <w:ind w:left="4320" w:hanging="180"/>
      </w:pPr>
      <w:rPr>
        <w:rFonts w:cs="Times New Roman" w:hint="default"/>
      </w:rPr>
    </w:lvl>
    <w:lvl w:ilvl="6">
      <w:start w:val="1"/>
      <w:numFmt w:val="decimal"/>
      <w:lvlText w:val="%7."/>
      <w:lvlJc w:val="left"/>
      <w:pPr>
        <w:ind w:left="5040" w:hanging="360"/>
      </w:pPr>
      <w:rPr>
        <w:rFonts w:cs="Times New Roman" w:hint="default"/>
      </w:rPr>
    </w:lvl>
    <w:lvl w:ilvl="7">
      <w:start w:val="1"/>
      <w:numFmt w:val="lowerLetter"/>
      <w:lvlText w:val="%8."/>
      <w:lvlJc w:val="left"/>
      <w:pPr>
        <w:ind w:left="5760" w:hanging="360"/>
      </w:pPr>
      <w:rPr>
        <w:rFonts w:cs="Times New Roman" w:hint="default"/>
      </w:rPr>
    </w:lvl>
    <w:lvl w:ilvl="8">
      <w:start w:val="1"/>
      <w:numFmt w:val="lowerRoman"/>
      <w:lvlText w:val="%9."/>
      <w:lvlJc w:val="right"/>
      <w:pPr>
        <w:ind w:left="6480" w:hanging="180"/>
      </w:pPr>
      <w:rPr>
        <w:rFonts w:cs="Times New Roman" w:hint="default"/>
      </w:rPr>
    </w:lvl>
  </w:abstractNum>
  <w:abstractNum w:abstractNumId="76" w15:restartNumberingAfterBreak="0">
    <w:nsid w:val="65D855C4"/>
    <w:multiLevelType w:val="multilevel"/>
    <w:tmpl w:val="7B3C211E"/>
    <w:lvl w:ilvl="0">
      <w:start w:val="1"/>
      <w:numFmt w:val="decimal"/>
      <w:pStyle w:val="Heading1"/>
      <w:lvlText w:val="Chapter %1."/>
      <w:lvlJc w:val="left"/>
      <w:pPr>
        <w:tabs>
          <w:tab w:val="num" w:pos="1584"/>
        </w:tabs>
        <w:ind w:left="1584" w:hanging="1584"/>
      </w:pPr>
      <w:rPr>
        <w:rFonts w:hint="default"/>
      </w:rPr>
    </w:lvl>
    <w:lvl w:ilvl="1">
      <w:start w:val="1"/>
      <w:numFmt w:val="decimal"/>
      <w:pStyle w:val="Heading2"/>
      <w:lvlText w:val="%1.%2"/>
      <w:lvlJc w:val="left"/>
      <w:pPr>
        <w:tabs>
          <w:tab w:val="num" w:pos="720"/>
        </w:tabs>
        <w:ind w:left="720" w:hanging="720"/>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sz w:val="24"/>
        <w:szCs w:val="24"/>
      </w:rPr>
    </w:lvl>
    <w:lvl w:ilvl="4">
      <w:start w:val="1"/>
      <w:numFmt w:val="decimal"/>
      <w:pStyle w:val="Heading5"/>
      <w:lvlText w:val="%1.%2.%3.%4.%5"/>
      <w:lvlJc w:val="left"/>
      <w:pPr>
        <w:tabs>
          <w:tab w:val="num" w:pos="1008"/>
        </w:tabs>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7" w15:restartNumberingAfterBreak="0">
    <w:nsid w:val="66DC49B7"/>
    <w:multiLevelType w:val="multilevel"/>
    <w:tmpl w:val="5C56D936"/>
    <w:lvl w:ilvl="0">
      <w:start w:val="4"/>
      <w:numFmt w:val="decimal"/>
      <w:lvlText w:val="%1"/>
      <w:lvlJc w:val="left"/>
      <w:pPr>
        <w:ind w:left="792" w:hanging="504"/>
      </w:pPr>
      <w:rPr>
        <w:rFonts w:hint="default"/>
      </w:rPr>
    </w:lvl>
    <w:lvl w:ilvl="1">
      <w:start w:val="1"/>
      <w:numFmt w:val="decimal"/>
      <w:lvlText w:val="%1.%2"/>
      <w:lvlJc w:val="left"/>
      <w:pPr>
        <w:ind w:left="864" w:hanging="576"/>
      </w:pPr>
      <w:rPr>
        <w:rFonts w:hint="default"/>
      </w:rPr>
    </w:lvl>
    <w:lvl w:ilvl="2">
      <w:start w:val="1"/>
      <w:numFmt w:val="decimal"/>
      <w:pStyle w:val="411Heading3"/>
      <w:lvlText w:val="%1.%2.%3"/>
      <w:lvlJc w:val="left"/>
      <w:pPr>
        <w:ind w:left="1008" w:hanging="720"/>
      </w:pPr>
      <w:rPr>
        <w:rFonts w:hint="default"/>
      </w:rPr>
    </w:lvl>
    <w:lvl w:ilvl="3">
      <w:start w:val="1"/>
      <w:numFmt w:val="decimal"/>
      <w:lvlText w:val="%1.%2.%3.%4"/>
      <w:lvlJc w:val="left"/>
      <w:pPr>
        <w:ind w:left="1152" w:hanging="864"/>
      </w:pPr>
      <w:rPr>
        <w:rFonts w:hint="default"/>
      </w:rPr>
    </w:lvl>
    <w:lvl w:ilvl="4">
      <w:start w:val="1"/>
      <w:numFmt w:val="decimal"/>
      <w:lvlText w:val="%1.%2.%3.%4.%5"/>
      <w:lvlJc w:val="left"/>
      <w:pPr>
        <w:ind w:left="1296" w:hanging="1008"/>
      </w:pPr>
      <w:rPr>
        <w:rFonts w:hint="default"/>
      </w:rPr>
    </w:lvl>
    <w:lvl w:ilvl="5">
      <w:start w:val="1"/>
      <w:numFmt w:val="decimal"/>
      <w:lvlText w:val="%1.%2.%3.%4.%5.%6"/>
      <w:lvlJc w:val="left"/>
      <w:pPr>
        <w:ind w:left="1440" w:hanging="1152"/>
      </w:pPr>
      <w:rPr>
        <w:rFonts w:hint="default"/>
      </w:rPr>
    </w:lvl>
    <w:lvl w:ilvl="6">
      <w:start w:val="1"/>
      <w:numFmt w:val="decimal"/>
      <w:lvlText w:val="%1.%2.%3.%4.%5.%6.%7"/>
      <w:lvlJc w:val="left"/>
      <w:pPr>
        <w:ind w:left="1584" w:hanging="1296"/>
      </w:pPr>
      <w:rPr>
        <w:rFonts w:hint="default"/>
      </w:rPr>
    </w:lvl>
    <w:lvl w:ilvl="7">
      <w:start w:val="1"/>
      <w:numFmt w:val="decimal"/>
      <w:lvlText w:val="%1.%2.%3.%4.%5.%6.%7.%8"/>
      <w:lvlJc w:val="left"/>
      <w:pPr>
        <w:ind w:left="1728" w:hanging="1440"/>
      </w:pPr>
      <w:rPr>
        <w:rFonts w:hint="default"/>
      </w:rPr>
    </w:lvl>
    <w:lvl w:ilvl="8">
      <w:start w:val="1"/>
      <w:numFmt w:val="decimal"/>
      <w:lvlText w:val="%1.%2.%3.%4.%5.%6.%7.%8.%9"/>
      <w:lvlJc w:val="left"/>
      <w:pPr>
        <w:ind w:left="1872" w:hanging="1584"/>
      </w:pPr>
      <w:rPr>
        <w:rFonts w:hint="default"/>
      </w:rPr>
    </w:lvl>
  </w:abstractNum>
  <w:abstractNum w:abstractNumId="78" w15:restartNumberingAfterBreak="0">
    <w:nsid w:val="670200B7"/>
    <w:multiLevelType w:val="hybridMultilevel"/>
    <w:tmpl w:val="1802710A"/>
    <w:lvl w:ilvl="0" w:tplc="6C5A331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9" w15:restartNumberingAfterBreak="0">
    <w:nsid w:val="68293AA1"/>
    <w:multiLevelType w:val="hybridMultilevel"/>
    <w:tmpl w:val="0AFCDFF2"/>
    <w:lvl w:ilvl="0" w:tplc="EAD0EE74">
      <w:start w:val="1"/>
      <w:numFmt w:val="bullet"/>
      <w:pStyle w:val="ListBulletBulletsandNumbering"/>
      <w:lvlText w:val=""/>
      <w:lvlJc w:val="left"/>
      <w:pPr>
        <w:ind w:left="1052" w:hanging="360"/>
      </w:pPr>
      <w:rPr>
        <w:rFonts w:ascii="Symbol" w:hAnsi="Symbol" w:hint="default"/>
      </w:rPr>
    </w:lvl>
    <w:lvl w:ilvl="1" w:tplc="DA7C3F0E">
      <w:start w:val="1"/>
      <w:numFmt w:val="bullet"/>
      <w:pStyle w:val="ListBullet2BulletsandNumbering"/>
      <w:lvlText w:val="-"/>
      <w:lvlJc w:val="left"/>
      <w:pPr>
        <w:ind w:left="2212" w:hanging="360"/>
      </w:pPr>
      <w:rPr>
        <w:rFonts w:ascii="Courier New" w:hAnsi="Courier New" w:hint="default"/>
      </w:rPr>
    </w:lvl>
    <w:lvl w:ilvl="2" w:tplc="0409001B" w:tentative="1">
      <w:start w:val="1"/>
      <w:numFmt w:val="bullet"/>
      <w:lvlText w:val=""/>
      <w:lvlJc w:val="left"/>
      <w:pPr>
        <w:ind w:left="2932" w:hanging="360"/>
      </w:pPr>
      <w:rPr>
        <w:rFonts w:ascii="Wingdings" w:hAnsi="Wingdings" w:hint="default"/>
      </w:rPr>
    </w:lvl>
    <w:lvl w:ilvl="3" w:tplc="0409000F" w:tentative="1">
      <w:start w:val="1"/>
      <w:numFmt w:val="bullet"/>
      <w:lvlText w:val=""/>
      <w:lvlJc w:val="left"/>
      <w:pPr>
        <w:ind w:left="3652" w:hanging="360"/>
      </w:pPr>
      <w:rPr>
        <w:rFonts w:ascii="Symbol" w:hAnsi="Symbol" w:hint="default"/>
      </w:rPr>
    </w:lvl>
    <w:lvl w:ilvl="4" w:tplc="04090019" w:tentative="1">
      <w:start w:val="1"/>
      <w:numFmt w:val="bullet"/>
      <w:lvlText w:val="o"/>
      <w:lvlJc w:val="left"/>
      <w:pPr>
        <w:ind w:left="4372" w:hanging="360"/>
      </w:pPr>
      <w:rPr>
        <w:rFonts w:ascii="Courier New" w:hAnsi="Courier New" w:hint="default"/>
      </w:rPr>
    </w:lvl>
    <w:lvl w:ilvl="5" w:tplc="0409001B" w:tentative="1">
      <w:start w:val="1"/>
      <w:numFmt w:val="bullet"/>
      <w:lvlText w:val=""/>
      <w:lvlJc w:val="left"/>
      <w:pPr>
        <w:ind w:left="5092" w:hanging="360"/>
      </w:pPr>
      <w:rPr>
        <w:rFonts w:ascii="Wingdings" w:hAnsi="Wingdings" w:hint="default"/>
      </w:rPr>
    </w:lvl>
    <w:lvl w:ilvl="6" w:tplc="0409000F" w:tentative="1">
      <w:start w:val="1"/>
      <w:numFmt w:val="bullet"/>
      <w:lvlText w:val=""/>
      <w:lvlJc w:val="left"/>
      <w:pPr>
        <w:ind w:left="5812" w:hanging="360"/>
      </w:pPr>
      <w:rPr>
        <w:rFonts w:ascii="Symbol" w:hAnsi="Symbol" w:hint="default"/>
      </w:rPr>
    </w:lvl>
    <w:lvl w:ilvl="7" w:tplc="04090019" w:tentative="1">
      <w:start w:val="1"/>
      <w:numFmt w:val="bullet"/>
      <w:lvlText w:val="o"/>
      <w:lvlJc w:val="left"/>
      <w:pPr>
        <w:ind w:left="6532" w:hanging="360"/>
      </w:pPr>
      <w:rPr>
        <w:rFonts w:ascii="Courier New" w:hAnsi="Courier New" w:hint="default"/>
      </w:rPr>
    </w:lvl>
    <w:lvl w:ilvl="8" w:tplc="0409001B" w:tentative="1">
      <w:start w:val="1"/>
      <w:numFmt w:val="bullet"/>
      <w:lvlText w:val=""/>
      <w:lvlJc w:val="left"/>
      <w:pPr>
        <w:ind w:left="7252" w:hanging="360"/>
      </w:pPr>
      <w:rPr>
        <w:rFonts w:ascii="Wingdings" w:hAnsi="Wingdings" w:hint="default"/>
      </w:rPr>
    </w:lvl>
  </w:abstractNum>
  <w:abstractNum w:abstractNumId="80" w15:restartNumberingAfterBreak="0">
    <w:nsid w:val="6A41181A"/>
    <w:multiLevelType w:val="hybridMultilevel"/>
    <w:tmpl w:val="F55A3C6E"/>
    <w:lvl w:ilvl="0" w:tplc="2A486BCC">
      <w:start w:val="1"/>
      <w:numFmt w:val="decimal"/>
      <w:lvlText w:val="%1."/>
      <w:lvlJc w:val="left"/>
      <w:pPr>
        <w:ind w:left="1460" w:hanging="360"/>
      </w:pPr>
      <w:rPr>
        <w:rFonts w:cs="Times New Roman"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6AA7652C"/>
    <w:multiLevelType w:val="hybridMultilevel"/>
    <w:tmpl w:val="16E0DD72"/>
    <w:lvl w:ilvl="0" w:tplc="4184CF3C">
      <w:start w:val="1"/>
      <w:numFmt w:val="decimal"/>
      <w:pStyle w:val="3711Heading4"/>
      <w:lvlText w:val="3.7.1.%1"/>
      <w:lvlJc w:val="left"/>
      <w:pPr>
        <w:ind w:left="648" w:hanging="360"/>
      </w:pPr>
      <w:rPr>
        <w:rFonts w:asciiTheme="majorHAnsi" w:hAnsiTheme="majorHAnsi" w:hint="default"/>
        <w:b w:val="0"/>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6ADA701F"/>
    <w:multiLevelType w:val="hybridMultilevel"/>
    <w:tmpl w:val="5EB26DCA"/>
    <w:lvl w:ilvl="0" w:tplc="0409000F">
      <w:start w:val="1"/>
      <w:numFmt w:val="decimal"/>
      <w:lvlText w:val="%1."/>
      <w:lvlJc w:val="left"/>
      <w:pPr>
        <w:ind w:left="1460" w:hanging="360"/>
      </w:pPr>
      <w:rPr>
        <w:rFonts w:hint="default"/>
        <w:i w:val="0"/>
      </w:rPr>
    </w:lvl>
    <w:lvl w:ilvl="1" w:tplc="53509456" w:tentative="1">
      <w:start w:val="1"/>
      <w:numFmt w:val="lowerLetter"/>
      <w:lvlText w:val="%2."/>
      <w:lvlJc w:val="left"/>
      <w:pPr>
        <w:ind w:left="2520" w:hanging="360"/>
      </w:pPr>
      <w:rPr>
        <w:rFonts w:cs="Times New Roman"/>
      </w:rPr>
    </w:lvl>
    <w:lvl w:ilvl="2" w:tplc="4C3E4B30" w:tentative="1">
      <w:start w:val="1"/>
      <w:numFmt w:val="lowerRoman"/>
      <w:lvlText w:val="%3."/>
      <w:lvlJc w:val="right"/>
      <w:pPr>
        <w:ind w:left="3240" w:hanging="180"/>
      </w:pPr>
      <w:rPr>
        <w:rFonts w:cs="Times New Roman"/>
      </w:rPr>
    </w:lvl>
    <w:lvl w:ilvl="3" w:tplc="EE689382" w:tentative="1">
      <w:start w:val="1"/>
      <w:numFmt w:val="decimal"/>
      <w:lvlText w:val="%4."/>
      <w:lvlJc w:val="left"/>
      <w:pPr>
        <w:ind w:left="3960" w:hanging="360"/>
      </w:pPr>
      <w:rPr>
        <w:rFonts w:cs="Times New Roman"/>
      </w:rPr>
    </w:lvl>
    <w:lvl w:ilvl="4" w:tplc="62CC87B6" w:tentative="1">
      <w:start w:val="1"/>
      <w:numFmt w:val="lowerLetter"/>
      <w:lvlText w:val="%5."/>
      <w:lvlJc w:val="left"/>
      <w:pPr>
        <w:ind w:left="4680" w:hanging="360"/>
      </w:pPr>
      <w:rPr>
        <w:rFonts w:cs="Times New Roman"/>
      </w:rPr>
    </w:lvl>
    <w:lvl w:ilvl="5" w:tplc="C70815CE" w:tentative="1">
      <w:start w:val="1"/>
      <w:numFmt w:val="lowerRoman"/>
      <w:lvlText w:val="%6."/>
      <w:lvlJc w:val="right"/>
      <w:pPr>
        <w:ind w:left="5400" w:hanging="180"/>
      </w:pPr>
      <w:rPr>
        <w:rFonts w:cs="Times New Roman"/>
      </w:rPr>
    </w:lvl>
    <w:lvl w:ilvl="6" w:tplc="DAFEE360" w:tentative="1">
      <w:start w:val="1"/>
      <w:numFmt w:val="decimal"/>
      <w:lvlText w:val="%7."/>
      <w:lvlJc w:val="left"/>
      <w:pPr>
        <w:ind w:left="6120" w:hanging="360"/>
      </w:pPr>
      <w:rPr>
        <w:rFonts w:cs="Times New Roman"/>
      </w:rPr>
    </w:lvl>
    <w:lvl w:ilvl="7" w:tplc="87A67306" w:tentative="1">
      <w:start w:val="1"/>
      <w:numFmt w:val="lowerLetter"/>
      <w:lvlText w:val="%8."/>
      <w:lvlJc w:val="left"/>
      <w:pPr>
        <w:ind w:left="6840" w:hanging="360"/>
      </w:pPr>
      <w:rPr>
        <w:rFonts w:cs="Times New Roman"/>
      </w:rPr>
    </w:lvl>
    <w:lvl w:ilvl="8" w:tplc="082CCDDA" w:tentative="1">
      <w:start w:val="1"/>
      <w:numFmt w:val="lowerRoman"/>
      <w:lvlText w:val="%9."/>
      <w:lvlJc w:val="right"/>
      <w:pPr>
        <w:ind w:left="7560" w:hanging="180"/>
      </w:pPr>
      <w:rPr>
        <w:rFonts w:cs="Times New Roman"/>
      </w:rPr>
    </w:lvl>
  </w:abstractNum>
  <w:abstractNum w:abstractNumId="83" w15:restartNumberingAfterBreak="0">
    <w:nsid w:val="6C2A5FEB"/>
    <w:multiLevelType w:val="multilevel"/>
    <w:tmpl w:val="BB228E2A"/>
    <w:lvl w:ilvl="0">
      <w:start w:val="3"/>
      <w:numFmt w:val="decimal"/>
      <w:lvlText w:val="%1"/>
      <w:lvlJc w:val="left"/>
      <w:pPr>
        <w:ind w:left="792" w:hanging="504"/>
      </w:pPr>
      <w:rPr>
        <w:rFonts w:hint="default"/>
      </w:rPr>
    </w:lvl>
    <w:lvl w:ilvl="1">
      <w:start w:val="1"/>
      <w:numFmt w:val="decimal"/>
      <w:lvlText w:val="%1.%2"/>
      <w:lvlJc w:val="left"/>
      <w:pPr>
        <w:ind w:left="864" w:hanging="576"/>
      </w:pPr>
      <w:rPr>
        <w:rFonts w:hint="default"/>
      </w:rPr>
    </w:lvl>
    <w:lvl w:ilvl="2">
      <w:start w:val="1"/>
      <w:numFmt w:val="decimal"/>
      <w:pStyle w:val="311Heading3"/>
      <w:lvlText w:val="%1.%2.%3"/>
      <w:lvlJc w:val="left"/>
      <w:pPr>
        <w:ind w:left="1008" w:hanging="720"/>
      </w:pPr>
      <w:rPr>
        <w:rFonts w:hint="default"/>
      </w:rPr>
    </w:lvl>
    <w:lvl w:ilvl="3">
      <w:start w:val="1"/>
      <w:numFmt w:val="decimal"/>
      <w:lvlText w:val="%1.%2.%3.%4"/>
      <w:lvlJc w:val="left"/>
      <w:pPr>
        <w:ind w:left="1152" w:hanging="864"/>
      </w:pPr>
      <w:rPr>
        <w:rFonts w:hint="default"/>
      </w:rPr>
    </w:lvl>
    <w:lvl w:ilvl="4">
      <w:start w:val="1"/>
      <w:numFmt w:val="decimal"/>
      <w:lvlText w:val="%1.%2.%3.%4.%5"/>
      <w:lvlJc w:val="left"/>
      <w:pPr>
        <w:ind w:left="1296" w:hanging="1008"/>
      </w:pPr>
      <w:rPr>
        <w:rFonts w:hint="default"/>
      </w:rPr>
    </w:lvl>
    <w:lvl w:ilvl="5">
      <w:start w:val="1"/>
      <w:numFmt w:val="decimal"/>
      <w:lvlText w:val="%1.%2.%3.%4.%5.%6"/>
      <w:lvlJc w:val="left"/>
      <w:pPr>
        <w:ind w:left="1440" w:hanging="1152"/>
      </w:pPr>
      <w:rPr>
        <w:rFonts w:hint="default"/>
      </w:rPr>
    </w:lvl>
    <w:lvl w:ilvl="6">
      <w:start w:val="1"/>
      <w:numFmt w:val="decimal"/>
      <w:lvlText w:val="%1.%2.%3.%4.%5.%6.%7"/>
      <w:lvlJc w:val="left"/>
      <w:pPr>
        <w:ind w:left="1584" w:hanging="1296"/>
      </w:pPr>
      <w:rPr>
        <w:rFonts w:hint="default"/>
      </w:rPr>
    </w:lvl>
    <w:lvl w:ilvl="7">
      <w:start w:val="1"/>
      <w:numFmt w:val="decimal"/>
      <w:lvlText w:val="%1.%2.%3.%4.%5.%6.%7.%8"/>
      <w:lvlJc w:val="left"/>
      <w:pPr>
        <w:ind w:left="1728" w:hanging="1440"/>
      </w:pPr>
      <w:rPr>
        <w:rFonts w:hint="default"/>
      </w:rPr>
    </w:lvl>
    <w:lvl w:ilvl="8">
      <w:start w:val="1"/>
      <w:numFmt w:val="decimal"/>
      <w:lvlText w:val="%1.%2.%3.%4.%5.%6.%7.%8.%9"/>
      <w:lvlJc w:val="left"/>
      <w:pPr>
        <w:ind w:left="1872" w:hanging="1584"/>
      </w:pPr>
      <w:rPr>
        <w:rFonts w:hint="default"/>
      </w:rPr>
    </w:lvl>
  </w:abstractNum>
  <w:abstractNum w:abstractNumId="84" w15:restartNumberingAfterBreak="0">
    <w:nsid w:val="6D1179EA"/>
    <w:multiLevelType w:val="hybridMultilevel"/>
    <w:tmpl w:val="D5BC1D06"/>
    <w:lvl w:ilvl="0" w:tplc="AF5E1826">
      <w:start w:val="1"/>
      <w:numFmt w:val="decimal"/>
      <w:pStyle w:val="1521"/>
      <w:lvlText w:val="1.5.2.%1"/>
      <w:lvlJc w:val="left"/>
      <w:pPr>
        <w:ind w:left="360" w:hanging="360"/>
      </w:pPr>
      <w:rPr>
        <w:rFonts w:cs="Times New Roman" w:hint="default"/>
        <w:b w:val="0"/>
        <w:bCs w:val="0"/>
        <w:i w:val="0"/>
        <w:iCs w:val="0"/>
        <w:caps w:val="0"/>
        <w:smallCaps w:val="0"/>
        <w:strike w:val="0"/>
        <w:dstrike w:val="0"/>
        <w:vanish w:val="0"/>
        <w:color w:val="000000"/>
        <w:spacing w:val="0"/>
        <w:kern w:val="0"/>
        <w:position w:val="0"/>
        <w:u w:val="none"/>
        <w:effect w:val="none"/>
        <w:vertAlign w:val="baseline"/>
        <w:em w:val="none"/>
        <w14:ligatures w14:val="none"/>
        <w14:numForm w14:val="default"/>
        <w14:numSpacing w14:val="default"/>
        <w14:stylisticSets/>
        <w14:cntxtAlts w14: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start w:val="1"/>
      <w:numFmt w:val="decimal"/>
      <w:pStyle w:val="1521"/>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5" w15:restartNumberingAfterBreak="0">
    <w:nsid w:val="6E255A26"/>
    <w:multiLevelType w:val="hybridMultilevel"/>
    <w:tmpl w:val="44AA9FD2"/>
    <w:lvl w:ilvl="0" w:tplc="86061EE0">
      <w:start w:val="1"/>
      <w:numFmt w:val="decimal"/>
      <w:pStyle w:val="3611Heading4"/>
      <w:lvlText w:val="3.6.1.%1"/>
      <w:lvlJc w:val="left"/>
      <w:pPr>
        <w:ind w:left="648" w:hanging="360"/>
      </w:pPr>
      <w:rPr>
        <w:rFonts w:asciiTheme="majorHAnsi" w:hAnsiTheme="majorHAnsi" w:hint="default"/>
        <w:b w:val="0"/>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6E521516"/>
    <w:multiLevelType w:val="multilevel"/>
    <w:tmpl w:val="647427B0"/>
    <w:lvl w:ilvl="0">
      <w:start w:val="4"/>
      <w:numFmt w:val="decimal"/>
      <w:lvlText w:val="%1"/>
      <w:lvlJc w:val="left"/>
      <w:pPr>
        <w:ind w:left="2124" w:hanging="504"/>
      </w:pPr>
      <w:rPr>
        <w:rFonts w:hint="default"/>
      </w:rPr>
    </w:lvl>
    <w:lvl w:ilvl="1">
      <w:start w:val="2"/>
      <w:numFmt w:val="decimal"/>
      <w:lvlText w:val="%1.%2"/>
      <w:lvlJc w:val="left"/>
      <w:pPr>
        <w:ind w:left="2196" w:hanging="576"/>
      </w:pPr>
      <w:rPr>
        <w:rFonts w:hint="default"/>
      </w:rPr>
    </w:lvl>
    <w:lvl w:ilvl="2">
      <w:start w:val="1"/>
      <w:numFmt w:val="decimal"/>
      <w:pStyle w:val="421Heading3"/>
      <w:lvlText w:val="%1.%2.%3"/>
      <w:lvlJc w:val="left"/>
      <w:pPr>
        <w:ind w:left="2340" w:hanging="720"/>
      </w:pPr>
      <w:rPr>
        <w:rFonts w:hint="default"/>
      </w:rPr>
    </w:lvl>
    <w:lvl w:ilvl="3">
      <w:start w:val="1"/>
      <w:numFmt w:val="decimal"/>
      <w:lvlText w:val="%1.%2.%3.%4"/>
      <w:lvlJc w:val="left"/>
      <w:pPr>
        <w:ind w:left="2484" w:hanging="864"/>
      </w:pPr>
      <w:rPr>
        <w:rFonts w:hint="default"/>
      </w:rPr>
    </w:lvl>
    <w:lvl w:ilvl="4">
      <w:start w:val="1"/>
      <w:numFmt w:val="decimal"/>
      <w:lvlText w:val="%1.%2.%3.%4.%5"/>
      <w:lvlJc w:val="left"/>
      <w:pPr>
        <w:ind w:left="2628" w:hanging="1008"/>
      </w:pPr>
      <w:rPr>
        <w:rFonts w:hint="default"/>
      </w:rPr>
    </w:lvl>
    <w:lvl w:ilvl="5">
      <w:start w:val="1"/>
      <w:numFmt w:val="decimal"/>
      <w:lvlText w:val="%1.%2.%3.%4.%5.%6"/>
      <w:lvlJc w:val="left"/>
      <w:pPr>
        <w:ind w:left="2772" w:hanging="1152"/>
      </w:pPr>
      <w:rPr>
        <w:rFonts w:hint="default"/>
      </w:rPr>
    </w:lvl>
    <w:lvl w:ilvl="6">
      <w:start w:val="1"/>
      <w:numFmt w:val="decimal"/>
      <w:lvlText w:val="%1.%2.%3.%4.%5.%6.%7"/>
      <w:lvlJc w:val="left"/>
      <w:pPr>
        <w:ind w:left="2916" w:hanging="1296"/>
      </w:pPr>
      <w:rPr>
        <w:rFonts w:hint="default"/>
      </w:rPr>
    </w:lvl>
    <w:lvl w:ilvl="7">
      <w:start w:val="1"/>
      <w:numFmt w:val="decimal"/>
      <w:lvlText w:val="%1.%2.%3.%4.%5.%6.%7.%8"/>
      <w:lvlJc w:val="left"/>
      <w:pPr>
        <w:ind w:left="3060" w:hanging="1440"/>
      </w:pPr>
      <w:rPr>
        <w:rFonts w:hint="default"/>
      </w:rPr>
    </w:lvl>
    <w:lvl w:ilvl="8">
      <w:start w:val="1"/>
      <w:numFmt w:val="decimal"/>
      <w:lvlText w:val="%1.%2.%3.%4.%5.%6.%7.%8.%9"/>
      <w:lvlJc w:val="left"/>
      <w:pPr>
        <w:ind w:left="3204" w:hanging="1584"/>
      </w:pPr>
      <w:rPr>
        <w:rFonts w:hint="default"/>
      </w:rPr>
    </w:lvl>
  </w:abstractNum>
  <w:abstractNum w:abstractNumId="87" w15:restartNumberingAfterBreak="0">
    <w:nsid w:val="6EB905EE"/>
    <w:multiLevelType w:val="hybridMultilevel"/>
    <w:tmpl w:val="68921E74"/>
    <w:lvl w:ilvl="0" w:tplc="458C7D7C">
      <w:start w:val="1"/>
      <w:numFmt w:val="decimal"/>
      <w:pStyle w:val="6211Heading4"/>
      <w:lvlText w:val="6.2.1.%1"/>
      <w:lvlJc w:val="left"/>
      <w:pPr>
        <w:ind w:left="1152" w:hanging="86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6F345B48"/>
    <w:multiLevelType w:val="hybridMultilevel"/>
    <w:tmpl w:val="047C6DB8"/>
    <w:lvl w:ilvl="0" w:tplc="8AA6A4E2">
      <w:start w:val="1"/>
      <w:numFmt w:val="upperLetter"/>
      <w:pStyle w:val="ListLetterBulletsandNumbering"/>
      <w:lvlText w:val="%1."/>
      <w:lvlJc w:val="left"/>
      <w:pPr>
        <w:ind w:left="1350" w:hanging="360"/>
      </w:pPr>
      <w:rPr>
        <w:rFonts w:cs="Times New Roman" w:hint="default"/>
        <w:sz w:val="20"/>
        <w:szCs w:val="20"/>
      </w:rPr>
    </w:lvl>
    <w:lvl w:ilvl="1" w:tplc="E90AE8EA">
      <w:start w:val="1"/>
      <w:numFmt w:val="lowerLetter"/>
      <w:lvlText w:val="%2."/>
      <w:lvlJc w:val="left"/>
      <w:pPr>
        <w:ind w:left="2070" w:hanging="360"/>
      </w:pPr>
      <w:rPr>
        <w:rFonts w:cs="Times New Roman"/>
      </w:rPr>
    </w:lvl>
    <w:lvl w:ilvl="2" w:tplc="04090005">
      <w:start w:val="1"/>
      <w:numFmt w:val="lowerRoman"/>
      <w:lvlText w:val="%3."/>
      <w:lvlJc w:val="right"/>
      <w:pPr>
        <w:ind w:left="2790" w:hanging="180"/>
      </w:pPr>
      <w:rPr>
        <w:rFonts w:cs="Times New Roman"/>
      </w:rPr>
    </w:lvl>
    <w:lvl w:ilvl="3" w:tplc="04090001" w:tentative="1">
      <w:start w:val="1"/>
      <w:numFmt w:val="decimal"/>
      <w:lvlText w:val="%4."/>
      <w:lvlJc w:val="left"/>
      <w:pPr>
        <w:ind w:left="3510" w:hanging="360"/>
      </w:pPr>
      <w:rPr>
        <w:rFonts w:cs="Times New Roman"/>
      </w:rPr>
    </w:lvl>
    <w:lvl w:ilvl="4" w:tplc="04090003" w:tentative="1">
      <w:start w:val="1"/>
      <w:numFmt w:val="lowerLetter"/>
      <w:lvlText w:val="%5."/>
      <w:lvlJc w:val="left"/>
      <w:pPr>
        <w:ind w:left="4230" w:hanging="360"/>
      </w:pPr>
      <w:rPr>
        <w:rFonts w:cs="Times New Roman"/>
      </w:rPr>
    </w:lvl>
    <w:lvl w:ilvl="5" w:tplc="04090005" w:tentative="1">
      <w:start w:val="1"/>
      <w:numFmt w:val="lowerRoman"/>
      <w:lvlText w:val="%6."/>
      <w:lvlJc w:val="right"/>
      <w:pPr>
        <w:ind w:left="4950" w:hanging="180"/>
      </w:pPr>
      <w:rPr>
        <w:rFonts w:cs="Times New Roman"/>
      </w:rPr>
    </w:lvl>
    <w:lvl w:ilvl="6" w:tplc="04090001" w:tentative="1">
      <w:start w:val="1"/>
      <w:numFmt w:val="decimal"/>
      <w:lvlText w:val="%7."/>
      <w:lvlJc w:val="left"/>
      <w:pPr>
        <w:ind w:left="5670" w:hanging="360"/>
      </w:pPr>
      <w:rPr>
        <w:rFonts w:cs="Times New Roman"/>
      </w:rPr>
    </w:lvl>
    <w:lvl w:ilvl="7" w:tplc="04090003" w:tentative="1">
      <w:start w:val="1"/>
      <w:numFmt w:val="lowerLetter"/>
      <w:lvlText w:val="%8."/>
      <w:lvlJc w:val="left"/>
      <w:pPr>
        <w:ind w:left="6390" w:hanging="360"/>
      </w:pPr>
      <w:rPr>
        <w:rFonts w:cs="Times New Roman"/>
      </w:rPr>
    </w:lvl>
    <w:lvl w:ilvl="8" w:tplc="04090005" w:tentative="1">
      <w:start w:val="1"/>
      <w:numFmt w:val="lowerRoman"/>
      <w:lvlText w:val="%9."/>
      <w:lvlJc w:val="right"/>
      <w:pPr>
        <w:ind w:left="7110" w:hanging="180"/>
      </w:pPr>
      <w:rPr>
        <w:rFonts w:cs="Times New Roman"/>
      </w:rPr>
    </w:lvl>
  </w:abstractNum>
  <w:abstractNum w:abstractNumId="89" w15:restartNumberingAfterBreak="0">
    <w:nsid w:val="70C45F99"/>
    <w:multiLevelType w:val="hybridMultilevel"/>
    <w:tmpl w:val="C4C0922E"/>
    <w:lvl w:ilvl="0" w:tplc="71786F82">
      <w:start w:val="1"/>
      <w:numFmt w:val="decimal"/>
      <w:pStyle w:val="3261"/>
      <w:lvlText w:val="3.2.6.%1"/>
      <w:lvlJc w:val="left"/>
      <w:pPr>
        <w:ind w:left="360" w:hanging="360"/>
      </w:pPr>
      <w:rPr>
        <w:rFonts w:asciiTheme="majorHAnsi" w:hAnsiTheme="majorHAnsi" w:hint="default"/>
        <w:b w:val="0"/>
        <w:i w:val="0"/>
        <w:sz w:val="24"/>
      </w:rPr>
    </w:lvl>
    <w:lvl w:ilvl="1" w:tplc="04090019" w:tentative="1">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0" w15:restartNumberingAfterBreak="0">
    <w:nsid w:val="70EB3D81"/>
    <w:multiLevelType w:val="multilevel"/>
    <w:tmpl w:val="70B66754"/>
    <w:lvl w:ilvl="0">
      <w:start w:val="3"/>
      <w:numFmt w:val="decimal"/>
      <w:lvlText w:val="%1"/>
      <w:lvlJc w:val="left"/>
      <w:pPr>
        <w:ind w:left="792" w:hanging="504"/>
      </w:pPr>
      <w:rPr>
        <w:rFonts w:hint="default"/>
      </w:rPr>
    </w:lvl>
    <w:lvl w:ilvl="1">
      <w:start w:val="8"/>
      <w:numFmt w:val="decimal"/>
      <w:lvlText w:val="%1.%2"/>
      <w:lvlJc w:val="left"/>
      <w:pPr>
        <w:ind w:left="864" w:hanging="576"/>
      </w:pPr>
      <w:rPr>
        <w:rFonts w:hint="default"/>
      </w:rPr>
    </w:lvl>
    <w:lvl w:ilvl="2">
      <w:start w:val="1"/>
      <w:numFmt w:val="decimal"/>
      <w:pStyle w:val="381Heading3"/>
      <w:lvlText w:val="%1.%2.%3"/>
      <w:lvlJc w:val="left"/>
      <w:pPr>
        <w:ind w:left="1008" w:hanging="720"/>
      </w:pPr>
      <w:rPr>
        <w:rFonts w:hint="default"/>
      </w:rPr>
    </w:lvl>
    <w:lvl w:ilvl="3">
      <w:start w:val="1"/>
      <w:numFmt w:val="decimal"/>
      <w:lvlText w:val="%1.%2.%3.%4"/>
      <w:lvlJc w:val="left"/>
      <w:pPr>
        <w:ind w:left="1152" w:hanging="864"/>
      </w:pPr>
      <w:rPr>
        <w:rFonts w:hint="default"/>
      </w:rPr>
    </w:lvl>
    <w:lvl w:ilvl="4">
      <w:start w:val="1"/>
      <w:numFmt w:val="decimal"/>
      <w:lvlText w:val="%1.%2.%3.%4.%5"/>
      <w:lvlJc w:val="left"/>
      <w:pPr>
        <w:ind w:left="1296" w:hanging="1008"/>
      </w:pPr>
      <w:rPr>
        <w:rFonts w:hint="default"/>
      </w:rPr>
    </w:lvl>
    <w:lvl w:ilvl="5">
      <w:start w:val="1"/>
      <w:numFmt w:val="decimal"/>
      <w:lvlText w:val="%1.%2.%3.%4.%5.%6"/>
      <w:lvlJc w:val="left"/>
      <w:pPr>
        <w:ind w:left="1440" w:hanging="1152"/>
      </w:pPr>
      <w:rPr>
        <w:rFonts w:hint="default"/>
      </w:rPr>
    </w:lvl>
    <w:lvl w:ilvl="6">
      <w:start w:val="1"/>
      <w:numFmt w:val="decimal"/>
      <w:lvlText w:val="%1.%2.%3.%4.%5.%6.%7"/>
      <w:lvlJc w:val="left"/>
      <w:pPr>
        <w:ind w:left="1584" w:hanging="1296"/>
      </w:pPr>
      <w:rPr>
        <w:rFonts w:hint="default"/>
      </w:rPr>
    </w:lvl>
    <w:lvl w:ilvl="7">
      <w:start w:val="1"/>
      <w:numFmt w:val="decimal"/>
      <w:lvlText w:val="%1.%2.%3.%4.%5.%6.%7.%8"/>
      <w:lvlJc w:val="left"/>
      <w:pPr>
        <w:ind w:left="1728" w:hanging="1440"/>
      </w:pPr>
      <w:rPr>
        <w:rFonts w:hint="default"/>
      </w:rPr>
    </w:lvl>
    <w:lvl w:ilvl="8">
      <w:start w:val="1"/>
      <w:numFmt w:val="decimal"/>
      <w:lvlText w:val="%1.%2.%3.%4.%5.%6.%7.%8.%9"/>
      <w:lvlJc w:val="left"/>
      <w:pPr>
        <w:ind w:left="1872" w:hanging="1584"/>
      </w:pPr>
      <w:rPr>
        <w:rFonts w:hint="default"/>
      </w:rPr>
    </w:lvl>
  </w:abstractNum>
  <w:abstractNum w:abstractNumId="91" w15:restartNumberingAfterBreak="0">
    <w:nsid w:val="712B4051"/>
    <w:multiLevelType w:val="multilevel"/>
    <w:tmpl w:val="06E86B0E"/>
    <w:lvl w:ilvl="0">
      <w:start w:val="1"/>
      <w:numFmt w:val="decimal"/>
      <w:lvlText w:val="Chapter %1"/>
      <w:lvlJc w:val="right"/>
      <w:pPr>
        <w:ind w:left="1444" w:hanging="360"/>
      </w:pPr>
      <w:rPr>
        <w:rFonts w:cs="Times New Roman" w:hint="default"/>
        <w:b w:val="0"/>
        <w:color w:val="auto"/>
      </w:rPr>
    </w:lvl>
    <w:lvl w:ilvl="1">
      <w:start w:val="1"/>
      <w:numFmt w:val="decimal"/>
      <w:pStyle w:val="11Heading"/>
      <w:lvlText w:val="%1.%2"/>
      <w:lvlJc w:val="right"/>
      <w:pPr>
        <w:ind w:left="994" w:hanging="360"/>
      </w:pPr>
      <w:rPr>
        <w:b w:val="0"/>
        <w:bCs w:val="0"/>
        <w:i w:val="0"/>
        <w:iCs w:val="0"/>
        <w:caps w:val="0"/>
        <w:smallCaps w:val="0"/>
        <w:strike w:val="0"/>
        <w:dstrike w:val="0"/>
        <w:outline w:val="0"/>
        <w:shadow w:val="0"/>
        <w:emboss w:val="0"/>
        <w:imprint w:val="0"/>
        <w:noProof w:val="0"/>
        <w:vanish w:val="0"/>
        <w:spacing w:val="0"/>
        <w:kern w:val="0"/>
        <w:position w:val="0"/>
        <w:sz w:val="26"/>
        <w:szCs w:val="2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2%1..%3"/>
      <w:lvlJc w:val="left"/>
      <w:pPr>
        <w:ind w:left="4" w:firstLine="0"/>
      </w:pPr>
      <w:rPr>
        <w:rFonts w:cs="Times New Roman" w:hint="default"/>
        <w:b w:val="0"/>
      </w:rPr>
    </w:lvl>
    <w:lvl w:ilvl="3">
      <w:start w:val="1"/>
      <w:numFmt w:val="none"/>
      <w:isLgl/>
      <w:suff w:val="nothing"/>
      <w:lvlText w:val="%3"/>
      <w:lvlJc w:val="left"/>
      <w:pPr>
        <w:ind w:left="1444" w:firstLine="0"/>
      </w:pPr>
      <w:rPr>
        <w:rFonts w:cs="Times New Roman" w:hint="default"/>
      </w:rPr>
    </w:lvl>
    <w:lvl w:ilvl="4">
      <w:start w:val="1"/>
      <w:numFmt w:val="decimal"/>
      <w:lvlText w:val="%1.%2.%3.%4.%5"/>
      <w:lvlJc w:val="left"/>
      <w:pPr>
        <w:tabs>
          <w:tab w:val="num" w:pos="1372"/>
        </w:tabs>
        <w:ind w:left="1444" w:hanging="1080"/>
      </w:pPr>
      <w:rPr>
        <w:rFonts w:cs="Times New Roman" w:hint="default"/>
      </w:rPr>
    </w:lvl>
    <w:lvl w:ilvl="5">
      <w:start w:val="1"/>
      <w:numFmt w:val="upperLetter"/>
      <w:lvlRestart w:val="0"/>
      <w:lvlText w:val="%6."/>
      <w:lvlJc w:val="right"/>
      <w:pPr>
        <w:ind w:left="1444" w:hanging="360"/>
      </w:pPr>
      <w:rPr>
        <w:rFonts w:cs="Times New Roman" w:hint="default"/>
      </w:rPr>
    </w:lvl>
    <w:lvl w:ilvl="6">
      <w:start w:val="1"/>
      <w:numFmt w:val="decimal"/>
      <w:lvlText w:val="%6.%7"/>
      <w:lvlJc w:val="right"/>
      <w:pPr>
        <w:tabs>
          <w:tab w:val="num" w:pos="1444"/>
        </w:tabs>
        <w:ind w:left="1444" w:hanging="374"/>
      </w:pPr>
      <w:rPr>
        <w:rFonts w:cs="Times New Roman" w:hint="default"/>
      </w:rPr>
    </w:lvl>
    <w:lvl w:ilvl="7">
      <w:start w:val="1"/>
      <w:numFmt w:val="none"/>
      <w:suff w:val="nothing"/>
      <w:lvlText w:val=""/>
      <w:lvlJc w:val="left"/>
      <w:pPr>
        <w:ind w:left="1444" w:firstLine="0"/>
      </w:pPr>
      <w:rPr>
        <w:rFonts w:cs="Times New Roman" w:hint="default"/>
      </w:rPr>
    </w:lvl>
    <w:lvl w:ilvl="8">
      <w:start w:val="1"/>
      <w:numFmt w:val="none"/>
      <w:suff w:val="nothing"/>
      <w:lvlText w:val=""/>
      <w:lvlJc w:val="left"/>
      <w:pPr>
        <w:ind w:left="1444" w:firstLine="0"/>
      </w:pPr>
      <w:rPr>
        <w:rFonts w:cs="Times New Roman" w:hint="default"/>
      </w:rPr>
    </w:lvl>
  </w:abstractNum>
  <w:abstractNum w:abstractNumId="92" w15:restartNumberingAfterBreak="0">
    <w:nsid w:val="72E47111"/>
    <w:multiLevelType w:val="multilevel"/>
    <w:tmpl w:val="B3DC6F18"/>
    <w:lvl w:ilvl="0">
      <w:start w:val="1"/>
      <w:numFmt w:val="decimal"/>
      <w:lvlText w:val="%1."/>
      <w:lvlJc w:val="left"/>
      <w:pPr>
        <w:tabs>
          <w:tab w:val="num" w:pos="1980"/>
        </w:tabs>
        <w:ind w:left="1980" w:hanging="360"/>
      </w:pPr>
      <w:rPr>
        <w:color w:val="auto"/>
      </w:rPr>
    </w:lvl>
    <w:lvl w:ilvl="1">
      <w:start w:val="1"/>
      <w:numFmt w:val="bullet"/>
      <w:lvlText w:val="–"/>
      <w:lvlJc w:val="left"/>
      <w:pPr>
        <w:tabs>
          <w:tab w:val="num" w:pos="2340"/>
        </w:tabs>
        <w:ind w:left="2340" w:hanging="360"/>
      </w:pPr>
      <w:rPr>
        <w:rFonts w:ascii="Book Antiqua" w:hAnsi="Book Antiqua" w:hint="default"/>
      </w:rPr>
    </w:lvl>
    <w:lvl w:ilvl="2">
      <w:start w:val="1"/>
      <w:numFmt w:val="bullet"/>
      <w:lvlText w:val="»"/>
      <w:lvlJc w:val="left"/>
      <w:pPr>
        <w:tabs>
          <w:tab w:val="num" w:pos="2700"/>
        </w:tabs>
        <w:ind w:left="2700" w:hanging="360"/>
      </w:pPr>
      <w:rPr>
        <w:rFonts w:ascii="Times New Roman" w:hAnsi="Times New Roman" w:cs="Times New Roman" w:hint="default"/>
      </w:rPr>
    </w:lvl>
    <w:lvl w:ilvl="3">
      <w:start w:val="1"/>
      <w:numFmt w:val="bullet"/>
      <w:lvlText w:val=""/>
      <w:lvlJc w:val="left"/>
      <w:pPr>
        <w:tabs>
          <w:tab w:val="num" w:pos="1620"/>
        </w:tabs>
        <w:ind w:left="1620" w:hanging="360"/>
      </w:pPr>
      <w:rPr>
        <w:rFonts w:ascii="Symbol" w:hAnsi="Symbol" w:hint="default"/>
      </w:rPr>
    </w:lvl>
    <w:lvl w:ilvl="4">
      <w:start w:val="1"/>
      <w:numFmt w:val="bullet"/>
      <w:lvlText w:val=""/>
      <w:lvlJc w:val="left"/>
      <w:pPr>
        <w:tabs>
          <w:tab w:val="num" w:pos="1980"/>
        </w:tabs>
        <w:ind w:left="1980" w:hanging="360"/>
      </w:pPr>
      <w:rPr>
        <w:rFonts w:ascii="Symbol" w:hAnsi="Symbol" w:hint="default"/>
      </w:rPr>
    </w:lvl>
    <w:lvl w:ilvl="5">
      <w:start w:val="1"/>
      <w:numFmt w:val="bullet"/>
      <w:lvlText w:val=""/>
      <w:lvlJc w:val="left"/>
      <w:pPr>
        <w:tabs>
          <w:tab w:val="num" w:pos="2340"/>
        </w:tabs>
        <w:ind w:left="2340" w:hanging="360"/>
      </w:pPr>
      <w:rPr>
        <w:rFonts w:ascii="Wingdings" w:hAnsi="Wingdings" w:hint="default"/>
      </w:rPr>
    </w:lvl>
    <w:lvl w:ilvl="6">
      <w:start w:val="1"/>
      <w:numFmt w:val="bullet"/>
      <w:lvlText w:val=""/>
      <w:lvlJc w:val="left"/>
      <w:pPr>
        <w:tabs>
          <w:tab w:val="num" w:pos="2700"/>
        </w:tabs>
        <w:ind w:left="2700" w:hanging="360"/>
      </w:pPr>
      <w:rPr>
        <w:rFonts w:ascii="Wingdings" w:hAnsi="Wingdings" w:hint="default"/>
      </w:rPr>
    </w:lvl>
    <w:lvl w:ilvl="7">
      <w:start w:val="1"/>
      <w:numFmt w:val="bullet"/>
      <w:lvlText w:val=""/>
      <w:lvlJc w:val="left"/>
      <w:pPr>
        <w:tabs>
          <w:tab w:val="num" w:pos="3060"/>
        </w:tabs>
        <w:ind w:left="3060" w:hanging="360"/>
      </w:pPr>
      <w:rPr>
        <w:rFonts w:ascii="Symbol" w:hAnsi="Symbol" w:hint="default"/>
      </w:rPr>
    </w:lvl>
    <w:lvl w:ilvl="8">
      <w:start w:val="1"/>
      <w:numFmt w:val="bullet"/>
      <w:lvlText w:val=""/>
      <w:lvlJc w:val="left"/>
      <w:pPr>
        <w:tabs>
          <w:tab w:val="num" w:pos="3420"/>
        </w:tabs>
        <w:ind w:left="3420" w:hanging="360"/>
      </w:pPr>
      <w:rPr>
        <w:rFonts w:ascii="Symbol" w:hAnsi="Symbol" w:hint="default"/>
      </w:rPr>
    </w:lvl>
  </w:abstractNum>
  <w:abstractNum w:abstractNumId="93" w15:restartNumberingAfterBreak="0">
    <w:nsid w:val="72F031BA"/>
    <w:multiLevelType w:val="multilevel"/>
    <w:tmpl w:val="EB047968"/>
    <w:lvl w:ilvl="0">
      <w:start w:val="3"/>
      <w:numFmt w:val="decimal"/>
      <w:lvlText w:val="%1"/>
      <w:lvlJc w:val="left"/>
      <w:pPr>
        <w:ind w:left="792" w:hanging="504"/>
      </w:pPr>
      <w:rPr>
        <w:rFonts w:hint="default"/>
      </w:rPr>
    </w:lvl>
    <w:lvl w:ilvl="1">
      <w:start w:val="3"/>
      <w:numFmt w:val="decimal"/>
      <w:lvlText w:val="%1.%2"/>
      <w:lvlJc w:val="left"/>
      <w:pPr>
        <w:ind w:left="864" w:hanging="576"/>
      </w:pPr>
      <w:rPr>
        <w:rFonts w:hint="default"/>
      </w:rPr>
    </w:lvl>
    <w:lvl w:ilvl="2">
      <w:start w:val="1"/>
      <w:numFmt w:val="decimal"/>
      <w:pStyle w:val="331Heading3"/>
      <w:lvlText w:val="%1.%2.%3"/>
      <w:lvlJc w:val="left"/>
      <w:pPr>
        <w:ind w:left="1008" w:hanging="720"/>
      </w:pPr>
      <w:rPr>
        <w:rFonts w:hint="default"/>
      </w:rPr>
    </w:lvl>
    <w:lvl w:ilvl="3">
      <w:start w:val="1"/>
      <w:numFmt w:val="decimal"/>
      <w:lvlText w:val="%1.%2.%3.%4"/>
      <w:lvlJc w:val="left"/>
      <w:pPr>
        <w:ind w:left="1152" w:hanging="864"/>
      </w:pPr>
      <w:rPr>
        <w:rFonts w:hint="default"/>
      </w:rPr>
    </w:lvl>
    <w:lvl w:ilvl="4">
      <w:start w:val="1"/>
      <w:numFmt w:val="decimal"/>
      <w:lvlText w:val="%1.%2.%3.%4.%5"/>
      <w:lvlJc w:val="left"/>
      <w:pPr>
        <w:ind w:left="1296" w:hanging="1008"/>
      </w:pPr>
      <w:rPr>
        <w:rFonts w:hint="default"/>
      </w:rPr>
    </w:lvl>
    <w:lvl w:ilvl="5">
      <w:start w:val="1"/>
      <w:numFmt w:val="decimal"/>
      <w:lvlText w:val="%1.%2.%3.%4.%5.%6"/>
      <w:lvlJc w:val="left"/>
      <w:pPr>
        <w:ind w:left="1440" w:hanging="1152"/>
      </w:pPr>
      <w:rPr>
        <w:rFonts w:hint="default"/>
      </w:rPr>
    </w:lvl>
    <w:lvl w:ilvl="6">
      <w:start w:val="1"/>
      <w:numFmt w:val="decimal"/>
      <w:lvlText w:val="%1.%2.%3.%4.%5.%6.%7"/>
      <w:lvlJc w:val="left"/>
      <w:pPr>
        <w:ind w:left="1584" w:hanging="1296"/>
      </w:pPr>
      <w:rPr>
        <w:rFonts w:hint="default"/>
      </w:rPr>
    </w:lvl>
    <w:lvl w:ilvl="7">
      <w:start w:val="1"/>
      <w:numFmt w:val="decimal"/>
      <w:lvlText w:val="%1.%2.%3.%4.%5.%6.%7.%8"/>
      <w:lvlJc w:val="left"/>
      <w:pPr>
        <w:ind w:left="1728" w:hanging="1440"/>
      </w:pPr>
      <w:rPr>
        <w:rFonts w:hint="default"/>
      </w:rPr>
    </w:lvl>
    <w:lvl w:ilvl="8">
      <w:start w:val="1"/>
      <w:numFmt w:val="decimal"/>
      <w:lvlText w:val="%1.%2.%3.%4.%5.%6.%7.%8.%9"/>
      <w:lvlJc w:val="left"/>
      <w:pPr>
        <w:ind w:left="1872" w:hanging="1584"/>
      </w:pPr>
      <w:rPr>
        <w:rFonts w:hint="default"/>
      </w:rPr>
    </w:lvl>
  </w:abstractNum>
  <w:abstractNum w:abstractNumId="94" w15:restartNumberingAfterBreak="0">
    <w:nsid w:val="73746F88"/>
    <w:multiLevelType w:val="multilevel"/>
    <w:tmpl w:val="D8361C54"/>
    <w:lvl w:ilvl="0">
      <w:start w:val="1"/>
      <w:numFmt w:val="decimal"/>
      <w:lvlText w:val="%1"/>
      <w:lvlJc w:val="left"/>
      <w:pPr>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ascii="Arial" w:hAnsi="Arial" w:cs="Arial" w:hint="default"/>
        <w:b w:val="0"/>
        <w:bCs w:val="0"/>
        <w:color w:val="0073CF"/>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3"/>
      <w:numFmt w:val="upperLetter"/>
      <w:suff w:val="nothing"/>
      <w:lvlText w:val="Appendix %6."/>
      <w:lvlJc w:val="left"/>
      <w:pPr>
        <w:ind w:left="0" w:firstLine="0"/>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upperLetter"/>
      <w:pStyle w:val="Heading9"/>
      <w:suff w:val="nothing"/>
      <w:lvlText w:val="Appendix %9"/>
      <w:lvlJc w:val="left"/>
      <w:pPr>
        <w:ind w:left="0" w:firstLine="0"/>
      </w:pPr>
      <w:rPr>
        <w:rFonts w:hint="default"/>
      </w:rPr>
    </w:lvl>
  </w:abstractNum>
  <w:abstractNum w:abstractNumId="95" w15:restartNumberingAfterBreak="0">
    <w:nsid w:val="742C7A96"/>
    <w:multiLevelType w:val="multilevel"/>
    <w:tmpl w:val="88C692D8"/>
    <w:lvl w:ilvl="0">
      <w:start w:val="4"/>
      <w:numFmt w:val="decimal"/>
      <w:lvlText w:val="%1"/>
      <w:lvlJc w:val="left"/>
      <w:pPr>
        <w:ind w:left="792" w:hanging="504"/>
      </w:pPr>
      <w:rPr>
        <w:rFonts w:hint="default"/>
      </w:rPr>
    </w:lvl>
    <w:lvl w:ilvl="1">
      <w:start w:val="4"/>
      <w:numFmt w:val="decimal"/>
      <w:lvlText w:val="%1.%2"/>
      <w:lvlJc w:val="left"/>
      <w:pPr>
        <w:ind w:left="864" w:hanging="576"/>
      </w:pPr>
      <w:rPr>
        <w:rFonts w:hint="default"/>
      </w:rPr>
    </w:lvl>
    <w:lvl w:ilvl="2">
      <w:start w:val="1"/>
      <w:numFmt w:val="decimal"/>
      <w:pStyle w:val="441Heading3"/>
      <w:lvlText w:val="%1.%2.%3"/>
      <w:lvlJc w:val="left"/>
      <w:pPr>
        <w:ind w:left="1008" w:hanging="720"/>
      </w:pPr>
      <w:rPr>
        <w:rFonts w:hint="default"/>
      </w:rPr>
    </w:lvl>
    <w:lvl w:ilvl="3">
      <w:start w:val="1"/>
      <w:numFmt w:val="decimal"/>
      <w:lvlText w:val="%1.%2.%3.%4"/>
      <w:lvlJc w:val="left"/>
      <w:pPr>
        <w:ind w:left="1152" w:hanging="864"/>
      </w:pPr>
      <w:rPr>
        <w:rFonts w:hint="default"/>
      </w:rPr>
    </w:lvl>
    <w:lvl w:ilvl="4">
      <w:start w:val="1"/>
      <w:numFmt w:val="decimal"/>
      <w:lvlText w:val="%1.%2.%3.%4.%5"/>
      <w:lvlJc w:val="left"/>
      <w:pPr>
        <w:ind w:left="1296" w:hanging="1008"/>
      </w:pPr>
      <w:rPr>
        <w:rFonts w:hint="default"/>
      </w:rPr>
    </w:lvl>
    <w:lvl w:ilvl="5">
      <w:start w:val="1"/>
      <w:numFmt w:val="decimal"/>
      <w:lvlText w:val="%1.%2.%3.%4.%5.%6"/>
      <w:lvlJc w:val="left"/>
      <w:pPr>
        <w:ind w:left="1440" w:hanging="1152"/>
      </w:pPr>
      <w:rPr>
        <w:rFonts w:hint="default"/>
      </w:rPr>
    </w:lvl>
    <w:lvl w:ilvl="6">
      <w:start w:val="1"/>
      <w:numFmt w:val="decimal"/>
      <w:lvlText w:val="%1.%2.%3.%4.%5.%6.%7"/>
      <w:lvlJc w:val="left"/>
      <w:pPr>
        <w:ind w:left="1584" w:hanging="1296"/>
      </w:pPr>
      <w:rPr>
        <w:rFonts w:hint="default"/>
      </w:rPr>
    </w:lvl>
    <w:lvl w:ilvl="7">
      <w:start w:val="1"/>
      <w:numFmt w:val="decimal"/>
      <w:lvlText w:val="%1.%2.%3.%4.%5.%6.%7.%8"/>
      <w:lvlJc w:val="left"/>
      <w:pPr>
        <w:ind w:left="1728" w:hanging="1440"/>
      </w:pPr>
      <w:rPr>
        <w:rFonts w:hint="default"/>
      </w:rPr>
    </w:lvl>
    <w:lvl w:ilvl="8">
      <w:start w:val="1"/>
      <w:numFmt w:val="decimal"/>
      <w:lvlText w:val="%1.%2.%3.%4.%5.%6.%7.%8.%9"/>
      <w:lvlJc w:val="left"/>
      <w:pPr>
        <w:ind w:left="1872" w:hanging="1584"/>
      </w:pPr>
      <w:rPr>
        <w:rFonts w:hint="default"/>
      </w:rPr>
    </w:lvl>
  </w:abstractNum>
  <w:abstractNum w:abstractNumId="96" w15:restartNumberingAfterBreak="0">
    <w:nsid w:val="752F4D6A"/>
    <w:multiLevelType w:val="hybridMultilevel"/>
    <w:tmpl w:val="579A32A6"/>
    <w:lvl w:ilvl="0" w:tplc="A7CE1520">
      <w:start w:val="1"/>
      <w:numFmt w:val="decimal"/>
      <w:pStyle w:val="231"/>
      <w:lvlText w:val="2.3.%1"/>
      <w:lvlJc w:val="center"/>
      <w:pPr>
        <w:ind w:left="360" w:hanging="360"/>
      </w:pPr>
      <w:rPr>
        <w:rFonts w:ascii="Cambria" w:hAnsi="Cambria" w:hint="default"/>
        <w:b w:val="0"/>
        <w:i w:val="0"/>
        <w:sz w:val="26"/>
      </w:rPr>
    </w:lvl>
    <w:lvl w:ilvl="1" w:tplc="04090019" w:tentative="1">
      <w:start w:val="1"/>
      <w:numFmt w:val="lowerLetter"/>
      <w:lvlText w:val="%2."/>
      <w:lvlJc w:val="left"/>
      <w:pPr>
        <w:ind w:left="1080" w:hanging="360"/>
      </w:pPr>
    </w:lvl>
    <w:lvl w:ilvl="2" w:tplc="0409001B">
      <w:start w:val="1"/>
      <w:numFmt w:val="lowerRoman"/>
      <w:pStyle w:val="231"/>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7" w15:restartNumberingAfterBreak="0">
    <w:nsid w:val="76311849"/>
    <w:multiLevelType w:val="hybridMultilevel"/>
    <w:tmpl w:val="8A48660A"/>
    <w:lvl w:ilvl="0" w:tplc="ABB60C2E">
      <w:start w:val="1"/>
      <w:numFmt w:val="decimal"/>
      <w:pStyle w:val="6221Heading4"/>
      <w:lvlText w:val="6.2.2.%1"/>
      <w:lvlJc w:val="left"/>
      <w:pPr>
        <w:ind w:left="1872" w:hanging="1584"/>
      </w:pPr>
      <w:rPr>
        <w:rFonts w:asciiTheme="majorHAnsi" w:hAnsiTheme="majorHAnsi" w:hint="default"/>
        <w:b w:val="0"/>
        <w:i w:val="0"/>
        <w:sz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8" w15:restartNumberingAfterBreak="0">
    <w:nsid w:val="774B37B1"/>
    <w:multiLevelType w:val="multilevel"/>
    <w:tmpl w:val="02DC341A"/>
    <w:lvl w:ilvl="0">
      <w:start w:val="1"/>
      <w:numFmt w:val="bullet"/>
      <w:pStyle w:val="TableListBullet"/>
      <w:lvlText w:val=""/>
      <w:lvlJc w:val="left"/>
      <w:pPr>
        <w:tabs>
          <w:tab w:val="num" w:pos="360"/>
        </w:tabs>
        <w:ind w:left="360" w:hanging="360"/>
      </w:pPr>
      <w:rPr>
        <w:rFonts w:ascii="Symbol" w:hAnsi="Symbol" w:hint="default"/>
        <w:color w:val="auto"/>
      </w:rPr>
    </w:lvl>
    <w:lvl w:ilvl="1">
      <w:start w:val="1"/>
      <w:numFmt w:val="bullet"/>
      <w:pStyle w:val="TableListBullet2"/>
      <w:lvlText w:val="–"/>
      <w:lvlJc w:val="left"/>
      <w:pPr>
        <w:tabs>
          <w:tab w:val="num" w:pos="720"/>
        </w:tabs>
        <w:ind w:left="720" w:hanging="360"/>
      </w:pPr>
      <w:rPr>
        <w:rFonts w:ascii="Book Antiqua" w:hAnsi="Book Antiqua" w:hint="default"/>
      </w:rPr>
    </w:lvl>
    <w:lvl w:ilvl="2">
      <w:start w:val="1"/>
      <w:numFmt w:val="bullet"/>
      <w:pStyle w:val="TableListBullet3"/>
      <w:lvlText w:val="»"/>
      <w:lvlJc w:val="left"/>
      <w:pPr>
        <w:tabs>
          <w:tab w:val="num" w:pos="1080"/>
        </w:tabs>
        <w:ind w:left="1080" w:hanging="360"/>
      </w:pPr>
      <w:rPr>
        <w:rFonts w:ascii="Times New Roman" w:hAnsi="Times New Roman" w:cs="Times New Roman" w:hint="default"/>
      </w:rPr>
    </w:lvl>
    <w:lvl w:ilvl="3">
      <w:start w:val="1"/>
      <w:numFmt w:val="none"/>
      <w:suff w:val="nothing"/>
      <w:lvlText w:val=""/>
      <w:lvlJc w:val="left"/>
      <w:pPr>
        <w:ind w:left="-72" w:firstLine="0"/>
      </w:pPr>
      <w:rPr>
        <w:rFonts w:hint="default"/>
      </w:rPr>
    </w:lvl>
    <w:lvl w:ilvl="4">
      <w:start w:val="1"/>
      <w:numFmt w:val="none"/>
      <w:suff w:val="nothing"/>
      <w:lvlText w:val=""/>
      <w:lvlJc w:val="left"/>
      <w:pPr>
        <w:ind w:left="-72" w:firstLine="0"/>
      </w:pPr>
      <w:rPr>
        <w:rFonts w:hint="default"/>
      </w:rPr>
    </w:lvl>
    <w:lvl w:ilvl="5">
      <w:start w:val="1"/>
      <w:numFmt w:val="none"/>
      <w:suff w:val="nothing"/>
      <w:lvlText w:val=""/>
      <w:lvlJc w:val="left"/>
      <w:pPr>
        <w:ind w:left="-72" w:firstLine="0"/>
      </w:pPr>
      <w:rPr>
        <w:rFonts w:hint="default"/>
      </w:rPr>
    </w:lvl>
    <w:lvl w:ilvl="6">
      <w:start w:val="1"/>
      <w:numFmt w:val="none"/>
      <w:suff w:val="nothing"/>
      <w:lvlText w:val=""/>
      <w:lvlJc w:val="left"/>
      <w:pPr>
        <w:ind w:left="-72" w:firstLine="0"/>
      </w:pPr>
      <w:rPr>
        <w:rFonts w:hint="default"/>
      </w:rPr>
    </w:lvl>
    <w:lvl w:ilvl="7">
      <w:start w:val="1"/>
      <w:numFmt w:val="none"/>
      <w:suff w:val="nothing"/>
      <w:lvlText w:val=""/>
      <w:lvlJc w:val="left"/>
      <w:pPr>
        <w:ind w:left="-72" w:firstLine="0"/>
      </w:pPr>
      <w:rPr>
        <w:rFonts w:hint="default"/>
      </w:rPr>
    </w:lvl>
    <w:lvl w:ilvl="8">
      <w:start w:val="1"/>
      <w:numFmt w:val="none"/>
      <w:suff w:val="nothing"/>
      <w:lvlText w:val=""/>
      <w:lvlJc w:val="left"/>
      <w:pPr>
        <w:ind w:left="-72" w:firstLine="0"/>
      </w:pPr>
      <w:rPr>
        <w:rFonts w:hint="default"/>
      </w:rPr>
    </w:lvl>
  </w:abstractNum>
  <w:abstractNum w:abstractNumId="99" w15:restartNumberingAfterBreak="0">
    <w:nsid w:val="77C3380C"/>
    <w:multiLevelType w:val="multilevel"/>
    <w:tmpl w:val="E326DC24"/>
    <w:styleLink w:val="Style3"/>
    <w:lvl w:ilvl="0">
      <w:start w:val="1"/>
      <w:numFmt w:val="decimal"/>
      <w:lvlText w:val="Chapter %1.0"/>
      <w:lvlJc w:val="right"/>
      <w:pPr>
        <w:ind w:left="1440" w:hanging="360"/>
      </w:pPr>
      <w:rPr>
        <w:rFonts w:cs="Times New Roman" w:hint="default"/>
        <w:b w:val="0"/>
        <w:color w:val="auto"/>
      </w:rPr>
    </w:lvl>
    <w:lvl w:ilvl="1">
      <w:start w:val="1"/>
      <w:numFmt w:val="decimal"/>
      <w:lvlText w:val="%1.%2"/>
      <w:lvlJc w:val="right"/>
      <w:pPr>
        <w:ind w:left="1440" w:hanging="360"/>
      </w:pPr>
      <w:rPr>
        <w:rFonts w:cs="Times New Roman" w:hint="default"/>
        <w:b w:val="0"/>
        <w:color w:val="auto"/>
      </w:rPr>
    </w:lvl>
    <w:lvl w:ilvl="2">
      <w:start w:val="1"/>
      <w:numFmt w:val="decimal"/>
      <w:lvlText w:val="%1.%2.%3"/>
      <w:lvlJc w:val="left"/>
      <w:pPr>
        <w:ind w:left="1440"/>
      </w:pPr>
      <w:rPr>
        <w:rFonts w:cs="Times New Roman" w:hint="default"/>
        <w:b w:val="0"/>
      </w:rPr>
    </w:lvl>
    <w:lvl w:ilvl="3">
      <w:start w:val="1"/>
      <w:numFmt w:val="none"/>
      <w:suff w:val="nothing"/>
      <w:lvlText w:val=""/>
      <w:lvlJc w:val="left"/>
      <w:pPr>
        <w:ind w:left="1440"/>
      </w:pPr>
      <w:rPr>
        <w:rFonts w:cs="Times New Roman" w:hint="default"/>
      </w:rPr>
    </w:lvl>
    <w:lvl w:ilvl="4">
      <w:start w:val="1"/>
      <w:numFmt w:val="decimal"/>
      <w:lvlText w:val="%1.%2.%3.%4.%5"/>
      <w:lvlJc w:val="left"/>
      <w:pPr>
        <w:tabs>
          <w:tab w:val="num" w:pos="1368"/>
        </w:tabs>
        <w:ind w:left="1440" w:hanging="1080"/>
      </w:pPr>
      <w:rPr>
        <w:rFonts w:cs="Times New Roman" w:hint="default"/>
      </w:rPr>
    </w:lvl>
    <w:lvl w:ilvl="5">
      <w:start w:val="1"/>
      <w:numFmt w:val="upperLetter"/>
      <w:lvlRestart w:val="0"/>
      <w:lvlText w:val="Appendix %6."/>
      <w:lvlJc w:val="right"/>
      <w:pPr>
        <w:ind w:left="1440" w:hanging="360"/>
      </w:pPr>
      <w:rPr>
        <w:rFonts w:cs="Times New Roman" w:hint="default"/>
      </w:rPr>
    </w:lvl>
    <w:lvl w:ilvl="6">
      <w:start w:val="1"/>
      <w:numFmt w:val="decimal"/>
      <w:lvlText w:val="%6.%7"/>
      <w:lvlJc w:val="right"/>
      <w:pPr>
        <w:tabs>
          <w:tab w:val="num" w:pos="1440"/>
        </w:tabs>
        <w:ind w:left="1440" w:hanging="374"/>
      </w:pPr>
      <w:rPr>
        <w:rFonts w:cs="Times New Roman" w:hint="default"/>
      </w:rPr>
    </w:lvl>
    <w:lvl w:ilvl="7">
      <w:start w:val="1"/>
      <w:numFmt w:val="none"/>
      <w:suff w:val="nothing"/>
      <w:lvlText w:val=""/>
      <w:lvlJc w:val="left"/>
      <w:pPr>
        <w:ind w:left="1440"/>
      </w:pPr>
      <w:rPr>
        <w:rFonts w:cs="Times New Roman" w:hint="default"/>
      </w:rPr>
    </w:lvl>
    <w:lvl w:ilvl="8">
      <w:start w:val="1"/>
      <w:numFmt w:val="none"/>
      <w:suff w:val="nothing"/>
      <w:lvlText w:val=""/>
      <w:lvlJc w:val="left"/>
      <w:pPr>
        <w:ind w:left="1440"/>
      </w:pPr>
      <w:rPr>
        <w:rFonts w:cs="Times New Roman" w:hint="default"/>
      </w:rPr>
    </w:lvl>
  </w:abstractNum>
  <w:abstractNum w:abstractNumId="100" w15:restartNumberingAfterBreak="0">
    <w:nsid w:val="79E355B0"/>
    <w:multiLevelType w:val="hybridMultilevel"/>
    <w:tmpl w:val="3D1CA76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7A420BE9"/>
    <w:multiLevelType w:val="multilevel"/>
    <w:tmpl w:val="240E9D56"/>
    <w:lvl w:ilvl="0">
      <w:start w:val="1"/>
      <w:numFmt w:val="decimal"/>
      <w:lvlText w:val="%1."/>
      <w:lvlJc w:val="left"/>
      <w:pPr>
        <w:ind w:left="720" w:hanging="360"/>
      </w:pPr>
    </w:lvl>
    <w:lvl w:ilvl="1">
      <w:start w:val="4"/>
      <w:numFmt w:val="decimal"/>
      <w:isLgl/>
      <w:lvlText w:val="%1.%2"/>
      <w:lvlJc w:val="left"/>
      <w:pPr>
        <w:ind w:left="1080" w:hanging="720"/>
      </w:pPr>
    </w:lvl>
    <w:lvl w:ilvl="2">
      <w:start w:val="4"/>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2160" w:hanging="180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102" w15:restartNumberingAfterBreak="0">
    <w:nsid w:val="7B471FD8"/>
    <w:multiLevelType w:val="hybridMultilevel"/>
    <w:tmpl w:val="8DE05908"/>
    <w:lvl w:ilvl="0" w:tplc="A7586194">
      <w:start w:val="1"/>
      <w:numFmt w:val="decimal"/>
      <w:pStyle w:val="3251Heading4"/>
      <w:lvlText w:val="3.2.5.%1"/>
      <w:lvlJc w:val="left"/>
      <w:pPr>
        <w:ind w:left="0" w:hanging="360"/>
      </w:pPr>
      <w:rPr>
        <w:rFonts w:asciiTheme="majorHAnsi" w:hAnsiTheme="majorHAnsi" w:hint="default"/>
        <w:b w:val="0"/>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7B9D1475"/>
    <w:multiLevelType w:val="hybridMultilevel"/>
    <w:tmpl w:val="20A25966"/>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04" w15:restartNumberingAfterBreak="0">
    <w:nsid w:val="7BF42370"/>
    <w:multiLevelType w:val="multilevel"/>
    <w:tmpl w:val="04881C4E"/>
    <w:lvl w:ilvl="0">
      <w:start w:val="4"/>
      <w:numFmt w:val="decimal"/>
      <w:lvlText w:val="%1"/>
      <w:lvlJc w:val="left"/>
      <w:pPr>
        <w:ind w:left="792" w:hanging="504"/>
      </w:pPr>
      <w:rPr>
        <w:rFonts w:hint="default"/>
      </w:rPr>
    </w:lvl>
    <w:lvl w:ilvl="1">
      <w:start w:val="3"/>
      <w:numFmt w:val="decimal"/>
      <w:lvlText w:val="%1.%2"/>
      <w:lvlJc w:val="left"/>
      <w:pPr>
        <w:ind w:left="864" w:hanging="576"/>
      </w:pPr>
      <w:rPr>
        <w:rFonts w:hint="default"/>
      </w:rPr>
    </w:lvl>
    <w:lvl w:ilvl="2">
      <w:start w:val="1"/>
      <w:numFmt w:val="decimal"/>
      <w:pStyle w:val="431Heading3"/>
      <w:lvlText w:val="%1.%2.%3"/>
      <w:lvlJc w:val="left"/>
      <w:pPr>
        <w:ind w:left="1530" w:hanging="720"/>
      </w:pPr>
      <w:rPr>
        <w:rFonts w:hint="default"/>
        <w:b w:val="0"/>
        <w:bCs w:val="0"/>
      </w:rPr>
    </w:lvl>
    <w:lvl w:ilvl="3">
      <w:start w:val="1"/>
      <w:numFmt w:val="decimal"/>
      <w:lvlText w:val="%1.%2.%3.%4"/>
      <w:lvlJc w:val="left"/>
      <w:pPr>
        <w:ind w:left="1152" w:hanging="864"/>
      </w:pPr>
      <w:rPr>
        <w:rFonts w:hint="default"/>
      </w:rPr>
    </w:lvl>
    <w:lvl w:ilvl="4">
      <w:start w:val="1"/>
      <w:numFmt w:val="decimal"/>
      <w:lvlText w:val="%1.%2.%3.%4.%5"/>
      <w:lvlJc w:val="left"/>
      <w:pPr>
        <w:ind w:left="1296" w:hanging="1008"/>
      </w:pPr>
      <w:rPr>
        <w:rFonts w:hint="default"/>
      </w:rPr>
    </w:lvl>
    <w:lvl w:ilvl="5">
      <w:start w:val="1"/>
      <w:numFmt w:val="decimal"/>
      <w:lvlText w:val="%1.%2.%3.%4.%5.%6"/>
      <w:lvlJc w:val="left"/>
      <w:pPr>
        <w:ind w:left="1440" w:hanging="1152"/>
      </w:pPr>
      <w:rPr>
        <w:rFonts w:hint="default"/>
      </w:rPr>
    </w:lvl>
    <w:lvl w:ilvl="6">
      <w:start w:val="1"/>
      <w:numFmt w:val="decimal"/>
      <w:lvlText w:val="%1.%2.%3.%4.%5.%6.%7"/>
      <w:lvlJc w:val="left"/>
      <w:pPr>
        <w:ind w:left="1584" w:hanging="1296"/>
      </w:pPr>
      <w:rPr>
        <w:rFonts w:hint="default"/>
      </w:rPr>
    </w:lvl>
    <w:lvl w:ilvl="7">
      <w:start w:val="1"/>
      <w:numFmt w:val="decimal"/>
      <w:lvlText w:val="%1.%2.%3.%4.%5.%6.%7.%8"/>
      <w:lvlJc w:val="left"/>
      <w:pPr>
        <w:ind w:left="1728" w:hanging="1440"/>
      </w:pPr>
      <w:rPr>
        <w:rFonts w:hint="default"/>
      </w:rPr>
    </w:lvl>
    <w:lvl w:ilvl="8">
      <w:start w:val="1"/>
      <w:numFmt w:val="decimal"/>
      <w:lvlText w:val="%1.%2.%3.%4.%5.%6.%7.%8.%9"/>
      <w:lvlJc w:val="left"/>
      <w:pPr>
        <w:ind w:left="1872" w:hanging="1584"/>
      </w:pPr>
      <w:rPr>
        <w:rFonts w:hint="default"/>
      </w:rPr>
    </w:lvl>
  </w:abstractNum>
  <w:abstractNum w:abstractNumId="105" w15:restartNumberingAfterBreak="0">
    <w:nsid w:val="7D8D52BC"/>
    <w:multiLevelType w:val="hybridMultilevel"/>
    <w:tmpl w:val="4AF8616E"/>
    <w:lvl w:ilvl="0" w:tplc="FE3AA882">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6" w15:restartNumberingAfterBreak="0">
    <w:nsid w:val="7F593B88"/>
    <w:multiLevelType w:val="hybridMultilevel"/>
    <w:tmpl w:val="79AACCBC"/>
    <w:lvl w:ilvl="0" w:tplc="E558E8EA">
      <w:start w:val="1"/>
      <w:numFmt w:val="decimal"/>
      <w:pStyle w:val="3271"/>
      <w:lvlText w:val="3.2.7.%1"/>
      <w:lvlJc w:val="left"/>
      <w:pPr>
        <w:ind w:left="360" w:hanging="360"/>
      </w:pPr>
      <w:rPr>
        <w:rFonts w:asciiTheme="majorHAnsi" w:hAnsiTheme="majorHAnsi" w:hint="default"/>
        <w:b w:val="0"/>
        <w:i w:val="0"/>
        <w:sz w:val="24"/>
      </w:rPr>
    </w:lvl>
    <w:lvl w:ilvl="1" w:tplc="04090019" w:tentative="1">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7" w15:restartNumberingAfterBreak="0">
    <w:nsid w:val="7FED0861"/>
    <w:multiLevelType w:val="hybridMultilevel"/>
    <w:tmpl w:val="A2E243C0"/>
    <w:lvl w:ilvl="0" w:tplc="04090019">
      <w:start w:val="1"/>
      <w:numFmt w:val="lowerLetter"/>
      <w:lvlText w:val="%1."/>
      <w:lvlJc w:val="left"/>
      <w:pPr>
        <w:ind w:left="3564" w:hanging="360"/>
      </w:pPr>
      <w:rPr>
        <w:rFonts w:hint="default"/>
        <w:sz w:val="20"/>
        <w:szCs w:val="20"/>
      </w:rPr>
    </w:lvl>
    <w:lvl w:ilvl="1" w:tplc="E90AE8EA">
      <w:start w:val="1"/>
      <w:numFmt w:val="lowerLetter"/>
      <w:lvlText w:val="%2."/>
      <w:lvlJc w:val="left"/>
      <w:pPr>
        <w:ind w:left="4284" w:hanging="360"/>
      </w:pPr>
      <w:rPr>
        <w:rFonts w:cs="Times New Roman"/>
      </w:rPr>
    </w:lvl>
    <w:lvl w:ilvl="2" w:tplc="04090005">
      <w:start w:val="1"/>
      <w:numFmt w:val="lowerRoman"/>
      <w:lvlText w:val="%3."/>
      <w:lvlJc w:val="right"/>
      <w:pPr>
        <w:ind w:left="5004" w:hanging="180"/>
      </w:pPr>
      <w:rPr>
        <w:rFonts w:cs="Times New Roman"/>
      </w:rPr>
    </w:lvl>
    <w:lvl w:ilvl="3" w:tplc="04090001" w:tentative="1">
      <w:start w:val="1"/>
      <w:numFmt w:val="decimal"/>
      <w:lvlText w:val="%4."/>
      <w:lvlJc w:val="left"/>
      <w:pPr>
        <w:ind w:left="5724" w:hanging="360"/>
      </w:pPr>
      <w:rPr>
        <w:rFonts w:cs="Times New Roman"/>
      </w:rPr>
    </w:lvl>
    <w:lvl w:ilvl="4" w:tplc="04090003" w:tentative="1">
      <w:start w:val="1"/>
      <w:numFmt w:val="lowerLetter"/>
      <w:lvlText w:val="%5."/>
      <w:lvlJc w:val="left"/>
      <w:pPr>
        <w:ind w:left="6444" w:hanging="360"/>
      </w:pPr>
      <w:rPr>
        <w:rFonts w:cs="Times New Roman"/>
      </w:rPr>
    </w:lvl>
    <w:lvl w:ilvl="5" w:tplc="04090005" w:tentative="1">
      <w:start w:val="1"/>
      <w:numFmt w:val="lowerRoman"/>
      <w:lvlText w:val="%6."/>
      <w:lvlJc w:val="right"/>
      <w:pPr>
        <w:ind w:left="7164" w:hanging="180"/>
      </w:pPr>
      <w:rPr>
        <w:rFonts w:cs="Times New Roman"/>
      </w:rPr>
    </w:lvl>
    <w:lvl w:ilvl="6" w:tplc="04090001" w:tentative="1">
      <w:start w:val="1"/>
      <w:numFmt w:val="decimal"/>
      <w:lvlText w:val="%7."/>
      <w:lvlJc w:val="left"/>
      <w:pPr>
        <w:ind w:left="7884" w:hanging="360"/>
      </w:pPr>
      <w:rPr>
        <w:rFonts w:cs="Times New Roman"/>
      </w:rPr>
    </w:lvl>
    <w:lvl w:ilvl="7" w:tplc="04090003" w:tentative="1">
      <w:start w:val="1"/>
      <w:numFmt w:val="lowerLetter"/>
      <w:lvlText w:val="%8."/>
      <w:lvlJc w:val="left"/>
      <w:pPr>
        <w:ind w:left="8604" w:hanging="360"/>
      </w:pPr>
      <w:rPr>
        <w:rFonts w:cs="Times New Roman"/>
      </w:rPr>
    </w:lvl>
    <w:lvl w:ilvl="8" w:tplc="04090005" w:tentative="1">
      <w:start w:val="1"/>
      <w:numFmt w:val="lowerRoman"/>
      <w:lvlText w:val="%9."/>
      <w:lvlJc w:val="right"/>
      <w:pPr>
        <w:ind w:left="9324" w:hanging="180"/>
      </w:pPr>
      <w:rPr>
        <w:rFonts w:cs="Times New Roman"/>
      </w:rPr>
    </w:lvl>
  </w:abstractNum>
  <w:num w:numId="1">
    <w:abstractNumId w:val="79"/>
  </w:num>
  <w:num w:numId="2">
    <w:abstractNumId w:val="22"/>
  </w:num>
  <w:num w:numId="3">
    <w:abstractNumId w:val="5"/>
  </w:num>
  <w:num w:numId="4">
    <w:abstractNumId w:val="91"/>
  </w:num>
  <w:num w:numId="5">
    <w:abstractNumId w:val="38"/>
  </w:num>
  <w:num w:numId="6">
    <w:abstractNumId w:val="88"/>
  </w:num>
  <w:num w:numId="7">
    <w:abstractNumId w:val="72"/>
  </w:num>
  <w:num w:numId="8">
    <w:abstractNumId w:val="50"/>
  </w:num>
  <w:num w:numId="9">
    <w:abstractNumId w:val="75"/>
  </w:num>
  <w:num w:numId="10">
    <w:abstractNumId w:val="33"/>
    <w:lvlOverride w:ilvl="0">
      <w:lvl w:ilvl="0">
        <w:start w:val="1"/>
        <w:numFmt w:val="upperLetter"/>
        <w:pStyle w:val="Heading1-AppHeadings"/>
        <w:lvlText w:val="Appendix %1."/>
        <w:lvlJc w:val="left"/>
        <w:pPr>
          <w:ind w:left="720" w:hanging="360"/>
        </w:pPr>
        <w:rPr>
          <w:rFonts w:ascii="Calibri" w:hAnsi="Calibri" w:cs="Calibri" w:hint="default"/>
          <w:b w:val="0"/>
          <w:bCs w:val="0"/>
          <w:i w:val="0"/>
          <w:iCs w:val="0"/>
          <w:caps w:val="0"/>
          <w:smallCaps w:val="0"/>
          <w:strike w:val="0"/>
          <w:dstrike w:val="0"/>
          <w:outline w:val="0"/>
          <w:shadow w:val="0"/>
          <w:emboss w:val="0"/>
          <w:imprint w:val="0"/>
          <w:vanish w:val="0"/>
          <w:color w:val="000000"/>
          <w:spacing w:val="0"/>
          <w:w w:val="100"/>
          <w:kern w:val="0"/>
          <w:position w:val="0"/>
          <w:sz w:val="20"/>
          <w:szCs w:val="20"/>
          <w:u w:val="none" w:color="000000"/>
          <w:vertAlign w:val="baseline"/>
        </w:rPr>
      </w:lvl>
    </w:lvlOverride>
  </w:num>
  <w:num w:numId="11">
    <w:abstractNumId w:val="34"/>
  </w:num>
  <w:num w:numId="12">
    <w:abstractNumId w:val="35"/>
  </w:num>
  <w:num w:numId="13">
    <w:abstractNumId w:val="99"/>
  </w:num>
  <w:num w:numId="14">
    <w:abstractNumId w:val="32"/>
  </w:num>
  <w:num w:numId="15">
    <w:abstractNumId w:val="23"/>
  </w:num>
  <w:num w:numId="16">
    <w:abstractNumId w:val="98"/>
  </w:num>
  <w:num w:numId="17">
    <w:abstractNumId w:val="8"/>
  </w:num>
  <w:num w:numId="18">
    <w:abstractNumId w:val="53"/>
  </w:num>
  <w:num w:numId="19">
    <w:abstractNumId w:val="57"/>
  </w:num>
  <w:num w:numId="20">
    <w:abstractNumId w:val="71"/>
  </w:num>
  <w:num w:numId="21">
    <w:abstractNumId w:val="17"/>
  </w:num>
  <w:num w:numId="22">
    <w:abstractNumId w:val="84"/>
  </w:num>
  <w:num w:numId="23">
    <w:abstractNumId w:val="3"/>
  </w:num>
  <w:num w:numId="24">
    <w:abstractNumId w:val="92"/>
    <w:lvlOverride w:ilvl="0">
      <w:startOverride w:val="1"/>
    </w:lvlOverride>
    <w:lvlOverride w:ilvl="1"/>
    <w:lvlOverride w:ilvl="2"/>
    <w:lvlOverride w:ilvl="3"/>
    <w:lvlOverride w:ilvl="4"/>
    <w:lvlOverride w:ilvl="5"/>
    <w:lvlOverride w:ilvl="6"/>
    <w:lvlOverride w:ilvl="7"/>
    <w:lvlOverride w:ilvl="8"/>
  </w:num>
  <w:num w:numId="25">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1"/>
  </w:num>
  <w:num w:numId="27">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1"/>
  </w:num>
  <w:num w:numId="30">
    <w:abstractNumId w:val="65"/>
  </w:num>
  <w:num w:numId="31">
    <w:abstractNumId w:val="96"/>
  </w:num>
  <w:num w:numId="32">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01"/>
    <w:lvlOverride w:ilvl="0">
      <w:startOverride w:val="1"/>
    </w:lvlOverride>
    <w:lvlOverride w:ilvl="1">
      <w:startOverride w:val="4"/>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07"/>
  </w:num>
  <w:num w:numId="36">
    <w:abstractNumId w:val="7"/>
  </w:num>
  <w:num w:numId="37">
    <w:abstractNumId w:val="100"/>
  </w:num>
  <w:num w:numId="38">
    <w:abstractNumId w:val="78"/>
  </w:num>
  <w:num w:numId="39">
    <w:abstractNumId w:val="20"/>
  </w:num>
  <w:num w:numId="40">
    <w:abstractNumId w:val="36"/>
  </w:num>
  <w:num w:numId="41">
    <w:abstractNumId w:val="89"/>
  </w:num>
  <w:num w:numId="42">
    <w:abstractNumId w:val="106"/>
  </w:num>
  <w:num w:numId="43">
    <w:abstractNumId w:val="48"/>
  </w:num>
  <w:num w:numId="44">
    <w:abstractNumId w:val="66"/>
  </w:num>
  <w:num w:numId="45">
    <w:abstractNumId w:val="0"/>
  </w:num>
  <w:num w:numId="46">
    <w:abstractNumId w:val="60"/>
  </w:num>
  <w:num w:numId="47">
    <w:abstractNumId w:val="54"/>
  </w:num>
  <w:num w:numId="48">
    <w:abstractNumId w:val="6"/>
  </w:num>
  <w:num w:numId="49">
    <w:abstractNumId w:val="26"/>
  </w:num>
  <w:num w:numId="50">
    <w:abstractNumId w:val="80"/>
  </w:num>
  <w:num w:numId="51">
    <w:abstractNumId w:val="51"/>
  </w:num>
  <w:num w:numId="52">
    <w:abstractNumId w:val="19"/>
  </w:num>
  <w:num w:numId="53">
    <w:abstractNumId w:val="63"/>
  </w:num>
  <w:num w:numId="54">
    <w:abstractNumId w:val="10"/>
  </w:num>
  <w:num w:numId="55">
    <w:abstractNumId w:val="68"/>
  </w:num>
  <w:num w:numId="56">
    <w:abstractNumId w:val="12"/>
  </w:num>
  <w:num w:numId="57">
    <w:abstractNumId w:val="97"/>
  </w:num>
  <w:num w:numId="58">
    <w:abstractNumId w:val="69"/>
  </w:num>
  <w:num w:numId="59">
    <w:abstractNumId w:val="52"/>
  </w:num>
  <w:num w:numId="60">
    <w:abstractNumId w:val="29"/>
  </w:num>
  <w:num w:numId="61">
    <w:abstractNumId w:val="64"/>
  </w:num>
  <w:num w:numId="62">
    <w:abstractNumId w:val="2"/>
  </w:num>
  <w:num w:numId="63">
    <w:abstractNumId w:val="30"/>
  </w:num>
  <w:num w:numId="64">
    <w:abstractNumId w:val="27"/>
  </w:num>
  <w:num w:numId="65">
    <w:abstractNumId w:val="83"/>
  </w:num>
  <w:num w:numId="66">
    <w:abstractNumId w:val="73"/>
  </w:num>
  <w:num w:numId="67">
    <w:abstractNumId w:val="13"/>
  </w:num>
  <w:num w:numId="68">
    <w:abstractNumId w:val="102"/>
  </w:num>
  <w:num w:numId="69">
    <w:abstractNumId w:val="93"/>
  </w:num>
  <w:num w:numId="70">
    <w:abstractNumId w:val="14"/>
  </w:num>
  <w:num w:numId="71">
    <w:abstractNumId w:val="47"/>
  </w:num>
  <w:num w:numId="72">
    <w:abstractNumId w:val="42"/>
  </w:num>
  <w:num w:numId="73">
    <w:abstractNumId w:val="25"/>
  </w:num>
  <w:num w:numId="74">
    <w:abstractNumId w:val="85"/>
  </w:num>
  <w:num w:numId="75">
    <w:abstractNumId w:val="44"/>
  </w:num>
  <w:num w:numId="76">
    <w:abstractNumId w:val="81"/>
  </w:num>
  <w:num w:numId="77">
    <w:abstractNumId w:val="90"/>
  </w:num>
  <w:num w:numId="78">
    <w:abstractNumId w:val="45"/>
  </w:num>
  <w:num w:numId="79">
    <w:abstractNumId w:val="77"/>
  </w:num>
  <w:num w:numId="80">
    <w:abstractNumId w:val="86"/>
  </w:num>
  <w:num w:numId="81">
    <w:abstractNumId w:val="104"/>
  </w:num>
  <w:num w:numId="82">
    <w:abstractNumId w:val="95"/>
  </w:num>
  <w:num w:numId="83">
    <w:abstractNumId w:val="46"/>
  </w:num>
  <w:num w:numId="84">
    <w:abstractNumId w:val="24"/>
  </w:num>
  <w:num w:numId="85">
    <w:abstractNumId w:val="55"/>
  </w:num>
  <w:num w:numId="86">
    <w:abstractNumId w:val="43"/>
  </w:num>
  <w:num w:numId="87">
    <w:abstractNumId w:val="4"/>
  </w:num>
  <w:num w:numId="88">
    <w:abstractNumId w:val="1"/>
  </w:num>
  <w:num w:numId="89">
    <w:abstractNumId w:val="49"/>
  </w:num>
  <w:num w:numId="90">
    <w:abstractNumId w:val="40"/>
  </w:num>
  <w:num w:numId="91">
    <w:abstractNumId w:val="31"/>
  </w:num>
  <w:num w:numId="92">
    <w:abstractNumId w:val="87"/>
  </w:num>
  <w:num w:numId="93">
    <w:abstractNumId w:val="11"/>
  </w:num>
  <w:num w:numId="94">
    <w:abstractNumId w:val="16"/>
  </w:num>
  <w:num w:numId="95">
    <w:abstractNumId w:val="61"/>
  </w:num>
  <w:num w:numId="96">
    <w:abstractNumId w:val="105"/>
  </w:num>
  <w:num w:numId="97">
    <w:abstractNumId w:val="18"/>
  </w:num>
  <w:num w:numId="98">
    <w:abstractNumId w:val="15"/>
  </w:num>
  <w:num w:numId="99">
    <w:abstractNumId w:val="56"/>
  </w:num>
  <w:num w:numId="100">
    <w:abstractNumId w:val="76"/>
  </w:num>
  <w:num w:numId="101">
    <w:abstractNumId w:val="62"/>
  </w:num>
  <w:num w:numId="102">
    <w:abstractNumId w:val="59"/>
  </w:num>
  <w:num w:numId="103">
    <w:abstractNumId w:val="37"/>
  </w:num>
  <w:num w:numId="104">
    <w:abstractNumId w:val="70"/>
  </w:num>
  <w:num w:numId="105">
    <w:abstractNumId w:val="67"/>
  </w:num>
  <w:num w:numId="106">
    <w:abstractNumId w:val="39"/>
  </w:num>
  <w:num w:numId="107">
    <w:abstractNumId w:val="94"/>
  </w:num>
  <w:num w:numId="108">
    <w:abstractNumId w:val="9"/>
  </w:num>
  <w:numIdMacAtCleanup w:val="10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46060"/>
    <w:rsid w:val="00001DD8"/>
    <w:rsid w:val="000021EE"/>
    <w:rsid w:val="000043CF"/>
    <w:rsid w:val="000059F9"/>
    <w:rsid w:val="00006750"/>
    <w:rsid w:val="00006E36"/>
    <w:rsid w:val="000070C2"/>
    <w:rsid w:val="000078A2"/>
    <w:rsid w:val="00010466"/>
    <w:rsid w:val="00010934"/>
    <w:rsid w:val="00011D30"/>
    <w:rsid w:val="00013002"/>
    <w:rsid w:val="00013010"/>
    <w:rsid w:val="000136EE"/>
    <w:rsid w:val="000167B3"/>
    <w:rsid w:val="0002024E"/>
    <w:rsid w:val="00020970"/>
    <w:rsid w:val="00022E64"/>
    <w:rsid w:val="000231C5"/>
    <w:rsid w:val="00024524"/>
    <w:rsid w:val="00027185"/>
    <w:rsid w:val="000277E0"/>
    <w:rsid w:val="00030BBD"/>
    <w:rsid w:val="00031749"/>
    <w:rsid w:val="00031AC7"/>
    <w:rsid w:val="00031D1D"/>
    <w:rsid w:val="00032D26"/>
    <w:rsid w:val="00033815"/>
    <w:rsid w:val="00034522"/>
    <w:rsid w:val="00034708"/>
    <w:rsid w:val="0004090E"/>
    <w:rsid w:val="00041631"/>
    <w:rsid w:val="00042B94"/>
    <w:rsid w:val="00043458"/>
    <w:rsid w:val="0004396C"/>
    <w:rsid w:val="00044004"/>
    <w:rsid w:val="00044A91"/>
    <w:rsid w:val="00044F98"/>
    <w:rsid w:val="00046060"/>
    <w:rsid w:val="00046E6E"/>
    <w:rsid w:val="00051B79"/>
    <w:rsid w:val="0005262A"/>
    <w:rsid w:val="00052AEC"/>
    <w:rsid w:val="000538D2"/>
    <w:rsid w:val="00060690"/>
    <w:rsid w:val="00060AF4"/>
    <w:rsid w:val="000628F1"/>
    <w:rsid w:val="00065FBA"/>
    <w:rsid w:val="000673F8"/>
    <w:rsid w:val="00077486"/>
    <w:rsid w:val="00077AF4"/>
    <w:rsid w:val="000803B7"/>
    <w:rsid w:val="000806BB"/>
    <w:rsid w:val="000808EE"/>
    <w:rsid w:val="00080D0D"/>
    <w:rsid w:val="00080D85"/>
    <w:rsid w:val="000824FD"/>
    <w:rsid w:val="00083ADA"/>
    <w:rsid w:val="00083BA6"/>
    <w:rsid w:val="000844ED"/>
    <w:rsid w:val="00085689"/>
    <w:rsid w:val="00085ABA"/>
    <w:rsid w:val="0008619D"/>
    <w:rsid w:val="000862DB"/>
    <w:rsid w:val="000867E8"/>
    <w:rsid w:val="00086D3A"/>
    <w:rsid w:val="00092ACB"/>
    <w:rsid w:val="00093501"/>
    <w:rsid w:val="00093804"/>
    <w:rsid w:val="000943FD"/>
    <w:rsid w:val="00094400"/>
    <w:rsid w:val="000953E2"/>
    <w:rsid w:val="000967B2"/>
    <w:rsid w:val="00096D0E"/>
    <w:rsid w:val="00097797"/>
    <w:rsid w:val="000A0DB8"/>
    <w:rsid w:val="000A0FD5"/>
    <w:rsid w:val="000A1099"/>
    <w:rsid w:val="000A2782"/>
    <w:rsid w:val="000A6078"/>
    <w:rsid w:val="000A73FE"/>
    <w:rsid w:val="000A7B34"/>
    <w:rsid w:val="000B2CCE"/>
    <w:rsid w:val="000B3AFC"/>
    <w:rsid w:val="000B4B56"/>
    <w:rsid w:val="000B596A"/>
    <w:rsid w:val="000B7214"/>
    <w:rsid w:val="000C0B4A"/>
    <w:rsid w:val="000C1A64"/>
    <w:rsid w:val="000C2879"/>
    <w:rsid w:val="000C2BCC"/>
    <w:rsid w:val="000C35FB"/>
    <w:rsid w:val="000C48E4"/>
    <w:rsid w:val="000C4FB1"/>
    <w:rsid w:val="000C5CA0"/>
    <w:rsid w:val="000C7031"/>
    <w:rsid w:val="000D0E7F"/>
    <w:rsid w:val="000D0FDE"/>
    <w:rsid w:val="000E063B"/>
    <w:rsid w:val="000E17AC"/>
    <w:rsid w:val="000E1C61"/>
    <w:rsid w:val="000E3335"/>
    <w:rsid w:val="000E4DD2"/>
    <w:rsid w:val="000E78CD"/>
    <w:rsid w:val="000F098B"/>
    <w:rsid w:val="000F0BCF"/>
    <w:rsid w:val="000F21F6"/>
    <w:rsid w:val="000F2A7A"/>
    <w:rsid w:val="000F2DEC"/>
    <w:rsid w:val="000F37A0"/>
    <w:rsid w:val="000F42F9"/>
    <w:rsid w:val="00100749"/>
    <w:rsid w:val="001010C4"/>
    <w:rsid w:val="00101D02"/>
    <w:rsid w:val="00103670"/>
    <w:rsid w:val="0010467B"/>
    <w:rsid w:val="001105B1"/>
    <w:rsid w:val="00110D9E"/>
    <w:rsid w:val="001123AA"/>
    <w:rsid w:val="00112705"/>
    <w:rsid w:val="0011380D"/>
    <w:rsid w:val="00114556"/>
    <w:rsid w:val="001154E0"/>
    <w:rsid w:val="00116383"/>
    <w:rsid w:val="00120702"/>
    <w:rsid w:val="00120B05"/>
    <w:rsid w:val="00121C1E"/>
    <w:rsid w:val="00123177"/>
    <w:rsid w:val="00123F88"/>
    <w:rsid w:val="00123FA6"/>
    <w:rsid w:val="001243FA"/>
    <w:rsid w:val="00124974"/>
    <w:rsid w:val="00124AF1"/>
    <w:rsid w:val="001253EE"/>
    <w:rsid w:val="00126B03"/>
    <w:rsid w:val="001304FE"/>
    <w:rsid w:val="001317F3"/>
    <w:rsid w:val="001339DF"/>
    <w:rsid w:val="00134738"/>
    <w:rsid w:val="001348D5"/>
    <w:rsid w:val="00135D36"/>
    <w:rsid w:val="00135EBD"/>
    <w:rsid w:val="0013638A"/>
    <w:rsid w:val="001364EF"/>
    <w:rsid w:val="00136762"/>
    <w:rsid w:val="001439F4"/>
    <w:rsid w:val="00147AC7"/>
    <w:rsid w:val="00147D6A"/>
    <w:rsid w:val="00150355"/>
    <w:rsid w:val="00151C0B"/>
    <w:rsid w:val="00152208"/>
    <w:rsid w:val="00153632"/>
    <w:rsid w:val="001546EF"/>
    <w:rsid w:val="00155226"/>
    <w:rsid w:val="00156665"/>
    <w:rsid w:val="001575CC"/>
    <w:rsid w:val="001611B3"/>
    <w:rsid w:val="00162090"/>
    <w:rsid w:val="00162775"/>
    <w:rsid w:val="00162A2C"/>
    <w:rsid w:val="00162E41"/>
    <w:rsid w:val="0016306F"/>
    <w:rsid w:val="001636F6"/>
    <w:rsid w:val="00163851"/>
    <w:rsid w:val="00163ED5"/>
    <w:rsid w:val="001705F9"/>
    <w:rsid w:val="00170C33"/>
    <w:rsid w:val="00171388"/>
    <w:rsid w:val="00171444"/>
    <w:rsid w:val="00171679"/>
    <w:rsid w:val="00171E26"/>
    <w:rsid w:val="00171E6D"/>
    <w:rsid w:val="00172C36"/>
    <w:rsid w:val="0017327B"/>
    <w:rsid w:val="0017389B"/>
    <w:rsid w:val="0017429E"/>
    <w:rsid w:val="001753C2"/>
    <w:rsid w:val="00176519"/>
    <w:rsid w:val="00176A5D"/>
    <w:rsid w:val="00176B34"/>
    <w:rsid w:val="0018043D"/>
    <w:rsid w:val="001807FF"/>
    <w:rsid w:val="001813E8"/>
    <w:rsid w:val="00181F5D"/>
    <w:rsid w:val="00182042"/>
    <w:rsid w:val="0018204F"/>
    <w:rsid w:val="0018290C"/>
    <w:rsid w:val="00184432"/>
    <w:rsid w:val="001862BE"/>
    <w:rsid w:val="00187330"/>
    <w:rsid w:val="0019188C"/>
    <w:rsid w:val="001921DA"/>
    <w:rsid w:val="001930C0"/>
    <w:rsid w:val="00193B4A"/>
    <w:rsid w:val="00196012"/>
    <w:rsid w:val="001A00F6"/>
    <w:rsid w:val="001A0245"/>
    <w:rsid w:val="001A0A32"/>
    <w:rsid w:val="001A1B02"/>
    <w:rsid w:val="001A7C61"/>
    <w:rsid w:val="001B0532"/>
    <w:rsid w:val="001B1094"/>
    <w:rsid w:val="001B13E7"/>
    <w:rsid w:val="001B2553"/>
    <w:rsid w:val="001B2FCA"/>
    <w:rsid w:val="001B46A3"/>
    <w:rsid w:val="001B50F1"/>
    <w:rsid w:val="001B5336"/>
    <w:rsid w:val="001B61DA"/>
    <w:rsid w:val="001B6875"/>
    <w:rsid w:val="001B7382"/>
    <w:rsid w:val="001B7522"/>
    <w:rsid w:val="001B76CD"/>
    <w:rsid w:val="001C3CA1"/>
    <w:rsid w:val="001C591F"/>
    <w:rsid w:val="001C6CA6"/>
    <w:rsid w:val="001D0007"/>
    <w:rsid w:val="001D3599"/>
    <w:rsid w:val="001D561B"/>
    <w:rsid w:val="001D7031"/>
    <w:rsid w:val="001E0C8E"/>
    <w:rsid w:val="001E2FE0"/>
    <w:rsid w:val="001E6462"/>
    <w:rsid w:val="001E71DE"/>
    <w:rsid w:val="001E7C32"/>
    <w:rsid w:val="001F02A2"/>
    <w:rsid w:val="001F0F4A"/>
    <w:rsid w:val="001F1047"/>
    <w:rsid w:val="001F22EB"/>
    <w:rsid w:val="001F3A23"/>
    <w:rsid w:val="001F3EA2"/>
    <w:rsid w:val="001F53EC"/>
    <w:rsid w:val="001F5718"/>
    <w:rsid w:val="001F7E3B"/>
    <w:rsid w:val="0020008A"/>
    <w:rsid w:val="0020072B"/>
    <w:rsid w:val="00201377"/>
    <w:rsid w:val="00201511"/>
    <w:rsid w:val="00201910"/>
    <w:rsid w:val="00201CEC"/>
    <w:rsid w:val="002050F3"/>
    <w:rsid w:val="0020618F"/>
    <w:rsid w:val="00207990"/>
    <w:rsid w:val="00207FED"/>
    <w:rsid w:val="0021053F"/>
    <w:rsid w:val="0021144C"/>
    <w:rsid w:val="002126BC"/>
    <w:rsid w:val="00212A13"/>
    <w:rsid w:val="00214921"/>
    <w:rsid w:val="002168E3"/>
    <w:rsid w:val="00216D5D"/>
    <w:rsid w:val="00220AFE"/>
    <w:rsid w:val="00220FFB"/>
    <w:rsid w:val="00224EF9"/>
    <w:rsid w:val="00225223"/>
    <w:rsid w:val="002318AF"/>
    <w:rsid w:val="00233117"/>
    <w:rsid w:val="002332BA"/>
    <w:rsid w:val="0023520C"/>
    <w:rsid w:val="0023551B"/>
    <w:rsid w:val="0023726B"/>
    <w:rsid w:val="002372A2"/>
    <w:rsid w:val="00240ADB"/>
    <w:rsid w:val="00242157"/>
    <w:rsid w:val="00242F69"/>
    <w:rsid w:val="002441AE"/>
    <w:rsid w:val="00244862"/>
    <w:rsid w:val="0024555C"/>
    <w:rsid w:val="00247415"/>
    <w:rsid w:val="00251B8F"/>
    <w:rsid w:val="002522FF"/>
    <w:rsid w:val="00253041"/>
    <w:rsid w:val="002532B3"/>
    <w:rsid w:val="00253895"/>
    <w:rsid w:val="00255778"/>
    <w:rsid w:val="00255C5A"/>
    <w:rsid w:val="00256870"/>
    <w:rsid w:val="00257C18"/>
    <w:rsid w:val="0026055C"/>
    <w:rsid w:val="00260EB6"/>
    <w:rsid w:val="0026256A"/>
    <w:rsid w:val="00262CED"/>
    <w:rsid w:val="00262F43"/>
    <w:rsid w:val="00264716"/>
    <w:rsid w:val="00264846"/>
    <w:rsid w:val="002653BA"/>
    <w:rsid w:val="002658E3"/>
    <w:rsid w:val="00271047"/>
    <w:rsid w:val="00272241"/>
    <w:rsid w:val="00272A18"/>
    <w:rsid w:val="00272CF4"/>
    <w:rsid w:val="00273767"/>
    <w:rsid w:val="00275F91"/>
    <w:rsid w:val="00276CEB"/>
    <w:rsid w:val="00276D2E"/>
    <w:rsid w:val="00277580"/>
    <w:rsid w:val="00280A7A"/>
    <w:rsid w:val="002811DD"/>
    <w:rsid w:val="00282250"/>
    <w:rsid w:val="00283B5B"/>
    <w:rsid w:val="00283F68"/>
    <w:rsid w:val="002841D0"/>
    <w:rsid w:val="002848AE"/>
    <w:rsid w:val="00287ED8"/>
    <w:rsid w:val="002913D2"/>
    <w:rsid w:val="0029166C"/>
    <w:rsid w:val="00291935"/>
    <w:rsid w:val="002921E7"/>
    <w:rsid w:val="00292B1E"/>
    <w:rsid w:val="0029556D"/>
    <w:rsid w:val="00295E77"/>
    <w:rsid w:val="00296716"/>
    <w:rsid w:val="002A21CF"/>
    <w:rsid w:val="002A417F"/>
    <w:rsid w:val="002A5725"/>
    <w:rsid w:val="002A679A"/>
    <w:rsid w:val="002A6CA5"/>
    <w:rsid w:val="002B01EE"/>
    <w:rsid w:val="002B423E"/>
    <w:rsid w:val="002B4FB9"/>
    <w:rsid w:val="002B5B49"/>
    <w:rsid w:val="002B639F"/>
    <w:rsid w:val="002C1B45"/>
    <w:rsid w:val="002C2315"/>
    <w:rsid w:val="002C2E5F"/>
    <w:rsid w:val="002C5155"/>
    <w:rsid w:val="002C6128"/>
    <w:rsid w:val="002C767C"/>
    <w:rsid w:val="002D0308"/>
    <w:rsid w:val="002D0DE7"/>
    <w:rsid w:val="002D1CCA"/>
    <w:rsid w:val="002D2746"/>
    <w:rsid w:val="002D29E1"/>
    <w:rsid w:val="002D5602"/>
    <w:rsid w:val="002D57F2"/>
    <w:rsid w:val="002D5FA1"/>
    <w:rsid w:val="002D6CB4"/>
    <w:rsid w:val="002D72D9"/>
    <w:rsid w:val="002E14C0"/>
    <w:rsid w:val="002E1BE3"/>
    <w:rsid w:val="002E1E4D"/>
    <w:rsid w:val="002E21E5"/>
    <w:rsid w:val="002E4B64"/>
    <w:rsid w:val="002E4CB5"/>
    <w:rsid w:val="002E6543"/>
    <w:rsid w:val="002E7A74"/>
    <w:rsid w:val="002F02C4"/>
    <w:rsid w:val="002F0B1A"/>
    <w:rsid w:val="002F1491"/>
    <w:rsid w:val="002F27D6"/>
    <w:rsid w:val="002F3236"/>
    <w:rsid w:val="002F329F"/>
    <w:rsid w:val="002F3C52"/>
    <w:rsid w:val="002F5663"/>
    <w:rsid w:val="002F57A9"/>
    <w:rsid w:val="00300869"/>
    <w:rsid w:val="00300C59"/>
    <w:rsid w:val="00301434"/>
    <w:rsid w:val="00301E28"/>
    <w:rsid w:val="0030538F"/>
    <w:rsid w:val="00305844"/>
    <w:rsid w:val="0030638C"/>
    <w:rsid w:val="00306BF0"/>
    <w:rsid w:val="003071E3"/>
    <w:rsid w:val="00307549"/>
    <w:rsid w:val="003107C0"/>
    <w:rsid w:val="00311079"/>
    <w:rsid w:val="003111E8"/>
    <w:rsid w:val="00312DCA"/>
    <w:rsid w:val="003141F6"/>
    <w:rsid w:val="00316201"/>
    <w:rsid w:val="00316AA3"/>
    <w:rsid w:val="00316FE6"/>
    <w:rsid w:val="003216EE"/>
    <w:rsid w:val="003228C0"/>
    <w:rsid w:val="003232CF"/>
    <w:rsid w:val="00326189"/>
    <w:rsid w:val="00330E4F"/>
    <w:rsid w:val="003313B4"/>
    <w:rsid w:val="00331600"/>
    <w:rsid w:val="00331E21"/>
    <w:rsid w:val="003322B9"/>
    <w:rsid w:val="003328DA"/>
    <w:rsid w:val="0033523D"/>
    <w:rsid w:val="00335BE0"/>
    <w:rsid w:val="00335FA8"/>
    <w:rsid w:val="00336967"/>
    <w:rsid w:val="00341103"/>
    <w:rsid w:val="0034431C"/>
    <w:rsid w:val="00346E17"/>
    <w:rsid w:val="00347202"/>
    <w:rsid w:val="00347D4A"/>
    <w:rsid w:val="0035111C"/>
    <w:rsid w:val="00351122"/>
    <w:rsid w:val="00351487"/>
    <w:rsid w:val="003519FA"/>
    <w:rsid w:val="00352273"/>
    <w:rsid w:val="0035238A"/>
    <w:rsid w:val="003552EF"/>
    <w:rsid w:val="003579A1"/>
    <w:rsid w:val="0036083F"/>
    <w:rsid w:val="00360866"/>
    <w:rsid w:val="003609E1"/>
    <w:rsid w:val="00361E9A"/>
    <w:rsid w:val="003643E1"/>
    <w:rsid w:val="00364E40"/>
    <w:rsid w:val="003701CD"/>
    <w:rsid w:val="00374D21"/>
    <w:rsid w:val="003758ED"/>
    <w:rsid w:val="00376EB1"/>
    <w:rsid w:val="00380FE6"/>
    <w:rsid w:val="00382423"/>
    <w:rsid w:val="00382EC4"/>
    <w:rsid w:val="00383656"/>
    <w:rsid w:val="00383731"/>
    <w:rsid w:val="003845D7"/>
    <w:rsid w:val="003852C0"/>
    <w:rsid w:val="0038634E"/>
    <w:rsid w:val="0038667D"/>
    <w:rsid w:val="00387F2C"/>
    <w:rsid w:val="003907B2"/>
    <w:rsid w:val="003907E4"/>
    <w:rsid w:val="00391A5F"/>
    <w:rsid w:val="00393A6E"/>
    <w:rsid w:val="003966E7"/>
    <w:rsid w:val="0039748A"/>
    <w:rsid w:val="003974EE"/>
    <w:rsid w:val="00397606"/>
    <w:rsid w:val="003A12AB"/>
    <w:rsid w:val="003A15CF"/>
    <w:rsid w:val="003A70F5"/>
    <w:rsid w:val="003A7ED7"/>
    <w:rsid w:val="003B0722"/>
    <w:rsid w:val="003B2C78"/>
    <w:rsid w:val="003B4DD9"/>
    <w:rsid w:val="003B5595"/>
    <w:rsid w:val="003B6318"/>
    <w:rsid w:val="003B7409"/>
    <w:rsid w:val="003B7B2A"/>
    <w:rsid w:val="003B7D35"/>
    <w:rsid w:val="003C0FA9"/>
    <w:rsid w:val="003C1578"/>
    <w:rsid w:val="003C28DA"/>
    <w:rsid w:val="003C2C6D"/>
    <w:rsid w:val="003C5940"/>
    <w:rsid w:val="003C6227"/>
    <w:rsid w:val="003C6501"/>
    <w:rsid w:val="003C6CCB"/>
    <w:rsid w:val="003C6FDB"/>
    <w:rsid w:val="003D18A1"/>
    <w:rsid w:val="003D3208"/>
    <w:rsid w:val="003D3E93"/>
    <w:rsid w:val="003D3F68"/>
    <w:rsid w:val="003D427D"/>
    <w:rsid w:val="003D4982"/>
    <w:rsid w:val="003D4F50"/>
    <w:rsid w:val="003D6E7C"/>
    <w:rsid w:val="003D76E2"/>
    <w:rsid w:val="003D7A05"/>
    <w:rsid w:val="003E0527"/>
    <w:rsid w:val="003E0BAA"/>
    <w:rsid w:val="003E1386"/>
    <w:rsid w:val="003E1E7F"/>
    <w:rsid w:val="003E26F8"/>
    <w:rsid w:val="003E27C4"/>
    <w:rsid w:val="003E49EE"/>
    <w:rsid w:val="003E4BA2"/>
    <w:rsid w:val="003E4D1B"/>
    <w:rsid w:val="003E52F0"/>
    <w:rsid w:val="003E5501"/>
    <w:rsid w:val="003E5611"/>
    <w:rsid w:val="003E5834"/>
    <w:rsid w:val="003E79E9"/>
    <w:rsid w:val="003F0602"/>
    <w:rsid w:val="003F20F3"/>
    <w:rsid w:val="003F37CE"/>
    <w:rsid w:val="003F5EBC"/>
    <w:rsid w:val="003F7B9F"/>
    <w:rsid w:val="004006F6"/>
    <w:rsid w:val="0040133A"/>
    <w:rsid w:val="004042FB"/>
    <w:rsid w:val="004069C5"/>
    <w:rsid w:val="00407134"/>
    <w:rsid w:val="00411B1F"/>
    <w:rsid w:val="004121C4"/>
    <w:rsid w:val="00412CC0"/>
    <w:rsid w:val="00413190"/>
    <w:rsid w:val="004147BD"/>
    <w:rsid w:val="00415DB9"/>
    <w:rsid w:val="004162D0"/>
    <w:rsid w:val="004175E6"/>
    <w:rsid w:val="00420298"/>
    <w:rsid w:val="00421476"/>
    <w:rsid w:val="004217F3"/>
    <w:rsid w:val="00421AEF"/>
    <w:rsid w:val="0042213A"/>
    <w:rsid w:val="00422670"/>
    <w:rsid w:val="00423926"/>
    <w:rsid w:val="004256B9"/>
    <w:rsid w:val="00427466"/>
    <w:rsid w:val="00427B30"/>
    <w:rsid w:val="00427D5D"/>
    <w:rsid w:val="00427D69"/>
    <w:rsid w:val="00427EBB"/>
    <w:rsid w:val="00430436"/>
    <w:rsid w:val="00430584"/>
    <w:rsid w:val="0043103F"/>
    <w:rsid w:val="004312C1"/>
    <w:rsid w:val="00434156"/>
    <w:rsid w:val="0043626A"/>
    <w:rsid w:val="00441583"/>
    <w:rsid w:val="0044200C"/>
    <w:rsid w:val="00442B2B"/>
    <w:rsid w:val="00442CC1"/>
    <w:rsid w:val="004431E6"/>
    <w:rsid w:val="004432ED"/>
    <w:rsid w:val="004435CE"/>
    <w:rsid w:val="00444A81"/>
    <w:rsid w:val="00445606"/>
    <w:rsid w:val="00445795"/>
    <w:rsid w:val="00446A99"/>
    <w:rsid w:val="00450DDF"/>
    <w:rsid w:val="0045105A"/>
    <w:rsid w:val="00453953"/>
    <w:rsid w:val="004546B6"/>
    <w:rsid w:val="0045642C"/>
    <w:rsid w:val="00457059"/>
    <w:rsid w:val="00457707"/>
    <w:rsid w:val="0045795E"/>
    <w:rsid w:val="004605FE"/>
    <w:rsid w:val="004621B2"/>
    <w:rsid w:val="004622CB"/>
    <w:rsid w:val="00462AB0"/>
    <w:rsid w:val="00462E42"/>
    <w:rsid w:val="00464453"/>
    <w:rsid w:val="00466095"/>
    <w:rsid w:val="004716EC"/>
    <w:rsid w:val="00471BCA"/>
    <w:rsid w:val="00472990"/>
    <w:rsid w:val="004731E8"/>
    <w:rsid w:val="004731FA"/>
    <w:rsid w:val="00475BCC"/>
    <w:rsid w:val="00475CE7"/>
    <w:rsid w:val="0047629D"/>
    <w:rsid w:val="004764B3"/>
    <w:rsid w:val="00477953"/>
    <w:rsid w:val="00477C70"/>
    <w:rsid w:val="00477D80"/>
    <w:rsid w:val="00477FC0"/>
    <w:rsid w:val="004809A5"/>
    <w:rsid w:val="00480E52"/>
    <w:rsid w:val="00481361"/>
    <w:rsid w:val="00481F18"/>
    <w:rsid w:val="004826FD"/>
    <w:rsid w:val="00483EA2"/>
    <w:rsid w:val="00483FDF"/>
    <w:rsid w:val="004859C8"/>
    <w:rsid w:val="00486C64"/>
    <w:rsid w:val="00487C71"/>
    <w:rsid w:val="00490375"/>
    <w:rsid w:val="0049052B"/>
    <w:rsid w:val="00490545"/>
    <w:rsid w:val="004909D1"/>
    <w:rsid w:val="00491232"/>
    <w:rsid w:val="004956A2"/>
    <w:rsid w:val="00496998"/>
    <w:rsid w:val="00497B68"/>
    <w:rsid w:val="004A08E6"/>
    <w:rsid w:val="004A0EA1"/>
    <w:rsid w:val="004A1CC1"/>
    <w:rsid w:val="004A4EB3"/>
    <w:rsid w:val="004A500A"/>
    <w:rsid w:val="004A6DE0"/>
    <w:rsid w:val="004B24CB"/>
    <w:rsid w:val="004B385D"/>
    <w:rsid w:val="004B43EC"/>
    <w:rsid w:val="004B4530"/>
    <w:rsid w:val="004B62BF"/>
    <w:rsid w:val="004C02F9"/>
    <w:rsid w:val="004C0E95"/>
    <w:rsid w:val="004C22B2"/>
    <w:rsid w:val="004C48D8"/>
    <w:rsid w:val="004C5E5C"/>
    <w:rsid w:val="004C6B14"/>
    <w:rsid w:val="004C6CB1"/>
    <w:rsid w:val="004D0657"/>
    <w:rsid w:val="004D105A"/>
    <w:rsid w:val="004D12B9"/>
    <w:rsid w:val="004D12BF"/>
    <w:rsid w:val="004D16F1"/>
    <w:rsid w:val="004D1B98"/>
    <w:rsid w:val="004D4172"/>
    <w:rsid w:val="004D4D2F"/>
    <w:rsid w:val="004E1263"/>
    <w:rsid w:val="004E1C80"/>
    <w:rsid w:val="004E5E11"/>
    <w:rsid w:val="004E69D2"/>
    <w:rsid w:val="004E7AF1"/>
    <w:rsid w:val="004E7B1E"/>
    <w:rsid w:val="004F3E21"/>
    <w:rsid w:val="004F3E9F"/>
    <w:rsid w:val="004F4346"/>
    <w:rsid w:val="004F609A"/>
    <w:rsid w:val="004F6DDF"/>
    <w:rsid w:val="004F7DB0"/>
    <w:rsid w:val="00500B66"/>
    <w:rsid w:val="0050102D"/>
    <w:rsid w:val="00501134"/>
    <w:rsid w:val="0050250C"/>
    <w:rsid w:val="005030DE"/>
    <w:rsid w:val="005077F6"/>
    <w:rsid w:val="0051084B"/>
    <w:rsid w:val="00510ABA"/>
    <w:rsid w:val="0051117E"/>
    <w:rsid w:val="005148CB"/>
    <w:rsid w:val="00515D5E"/>
    <w:rsid w:val="00517F7A"/>
    <w:rsid w:val="005200C9"/>
    <w:rsid w:val="00521214"/>
    <w:rsid w:val="00521309"/>
    <w:rsid w:val="005216B1"/>
    <w:rsid w:val="00521E7A"/>
    <w:rsid w:val="00523F14"/>
    <w:rsid w:val="00525CDC"/>
    <w:rsid w:val="00530921"/>
    <w:rsid w:val="00530CF5"/>
    <w:rsid w:val="00532A4A"/>
    <w:rsid w:val="00533560"/>
    <w:rsid w:val="00533AE2"/>
    <w:rsid w:val="00534247"/>
    <w:rsid w:val="005349A3"/>
    <w:rsid w:val="00535439"/>
    <w:rsid w:val="005359BF"/>
    <w:rsid w:val="00536F22"/>
    <w:rsid w:val="00537624"/>
    <w:rsid w:val="0053788D"/>
    <w:rsid w:val="00545224"/>
    <w:rsid w:val="00545557"/>
    <w:rsid w:val="00546799"/>
    <w:rsid w:val="00546B6F"/>
    <w:rsid w:val="0054776C"/>
    <w:rsid w:val="005521F9"/>
    <w:rsid w:val="00552891"/>
    <w:rsid w:val="00552A9F"/>
    <w:rsid w:val="00554F85"/>
    <w:rsid w:val="00557B5F"/>
    <w:rsid w:val="00561667"/>
    <w:rsid w:val="00561AE3"/>
    <w:rsid w:val="00561CBC"/>
    <w:rsid w:val="005634C1"/>
    <w:rsid w:val="00563E7D"/>
    <w:rsid w:val="00564B15"/>
    <w:rsid w:val="00564C5E"/>
    <w:rsid w:val="00564F41"/>
    <w:rsid w:val="005656CD"/>
    <w:rsid w:val="00565E74"/>
    <w:rsid w:val="0056625D"/>
    <w:rsid w:val="0056715E"/>
    <w:rsid w:val="0056742D"/>
    <w:rsid w:val="00570B70"/>
    <w:rsid w:val="005720D5"/>
    <w:rsid w:val="0057441C"/>
    <w:rsid w:val="00574436"/>
    <w:rsid w:val="005778C2"/>
    <w:rsid w:val="0058143F"/>
    <w:rsid w:val="005818DC"/>
    <w:rsid w:val="0058491C"/>
    <w:rsid w:val="00587996"/>
    <w:rsid w:val="00587C2E"/>
    <w:rsid w:val="00587E0D"/>
    <w:rsid w:val="005908F6"/>
    <w:rsid w:val="0059131F"/>
    <w:rsid w:val="00591A47"/>
    <w:rsid w:val="00592724"/>
    <w:rsid w:val="00592E2D"/>
    <w:rsid w:val="00593EA3"/>
    <w:rsid w:val="0059433E"/>
    <w:rsid w:val="00594ED0"/>
    <w:rsid w:val="00595366"/>
    <w:rsid w:val="005A15D8"/>
    <w:rsid w:val="005A18C5"/>
    <w:rsid w:val="005A28C0"/>
    <w:rsid w:val="005A3D10"/>
    <w:rsid w:val="005A5014"/>
    <w:rsid w:val="005A5149"/>
    <w:rsid w:val="005A6DA6"/>
    <w:rsid w:val="005A6FB5"/>
    <w:rsid w:val="005A7423"/>
    <w:rsid w:val="005B0FF1"/>
    <w:rsid w:val="005B1E6D"/>
    <w:rsid w:val="005B289C"/>
    <w:rsid w:val="005B5732"/>
    <w:rsid w:val="005B5AF3"/>
    <w:rsid w:val="005B5E83"/>
    <w:rsid w:val="005B6BAC"/>
    <w:rsid w:val="005B7275"/>
    <w:rsid w:val="005B76E1"/>
    <w:rsid w:val="005C03A2"/>
    <w:rsid w:val="005C1100"/>
    <w:rsid w:val="005C2591"/>
    <w:rsid w:val="005C4E70"/>
    <w:rsid w:val="005C5F42"/>
    <w:rsid w:val="005C7128"/>
    <w:rsid w:val="005C71DE"/>
    <w:rsid w:val="005D1081"/>
    <w:rsid w:val="005D1636"/>
    <w:rsid w:val="005D3505"/>
    <w:rsid w:val="005D5A6C"/>
    <w:rsid w:val="005D6955"/>
    <w:rsid w:val="005E062A"/>
    <w:rsid w:val="005E1A24"/>
    <w:rsid w:val="005E1E87"/>
    <w:rsid w:val="005E265D"/>
    <w:rsid w:val="005E3014"/>
    <w:rsid w:val="005E416B"/>
    <w:rsid w:val="005E69BD"/>
    <w:rsid w:val="005E6C9B"/>
    <w:rsid w:val="005F05E0"/>
    <w:rsid w:val="005F70E2"/>
    <w:rsid w:val="005F7145"/>
    <w:rsid w:val="00600225"/>
    <w:rsid w:val="0060053A"/>
    <w:rsid w:val="00601A40"/>
    <w:rsid w:val="00602BF1"/>
    <w:rsid w:val="00603A33"/>
    <w:rsid w:val="00603A45"/>
    <w:rsid w:val="00603ADD"/>
    <w:rsid w:val="00604906"/>
    <w:rsid w:val="006071CC"/>
    <w:rsid w:val="00607566"/>
    <w:rsid w:val="0061163F"/>
    <w:rsid w:val="006125DC"/>
    <w:rsid w:val="00613A01"/>
    <w:rsid w:val="00615014"/>
    <w:rsid w:val="006177BA"/>
    <w:rsid w:val="006219FF"/>
    <w:rsid w:val="00621C08"/>
    <w:rsid w:val="006220E7"/>
    <w:rsid w:val="006234A3"/>
    <w:rsid w:val="00623662"/>
    <w:rsid w:val="00624E6D"/>
    <w:rsid w:val="00627DD7"/>
    <w:rsid w:val="00630442"/>
    <w:rsid w:val="006307A2"/>
    <w:rsid w:val="006315EB"/>
    <w:rsid w:val="00631A57"/>
    <w:rsid w:val="00633208"/>
    <w:rsid w:val="00637B43"/>
    <w:rsid w:val="00637C37"/>
    <w:rsid w:val="00640346"/>
    <w:rsid w:val="0064041C"/>
    <w:rsid w:val="00640FCD"/>
    <w:rsid w:val="006428F4"/>
    <w:rsid w:val="006436BE"/>
    <w:rsid w:val="00646A42"/>
    <w:rsid w:val="00647141"/>
    <w:rsid w:val="0064760A"/>
    <w:rsid w:val="00647627"/>
    <w:rsid w:val="00651A45"/>
    <w:rsid w:val="00651C39"/>
    <w:rsid w:val="006531FF"/>
    <w:rsid w:val="00653225"/>
    <w:rsid w:val="00654BC8"/>
    <w:rsid w:val="0065548E"/>
    <w:rsid w:val="00655834"/>
    <w:rsid w:val="00656063"/>
    <w:rsid w:val="006576B4"/>
    <w:rsid w:val="00657FF5"/>
    <w:rsid w:val="006605F5"/>
    <w:rsid w:val="006607BB"/>
    <w:rsid w:val="00661722"/>
    <w:rsid w:val="0066230D"/>
    <w:rsid w:val="0066333C"/>
    <w:rsid w:val="00663858"/>
    <w:rsid w:val="00663879"/>
    <w:rsid w:val="00664409"/>
    <w:rsid w:val="00665248"/>
    <w:rsid w:val="00665742"/>
    <w:rsid w:val="0066628F"/>
    <w:rsid w:val="006735D0"/>
    <w:rsid w:val="00674B33"/>
    <w:rsid w:val="00675B61"/>
    <w:rsid w:val="00675C0A"/>
    <w:rsid w:val="00676965"/>
    <w:rsid w:val="00677015"/>
    <w:rsid w:val="006827E8"/>
    <w:rsid w:val="006827F7"/>
    <w:rsid w:val="00685512"/>
    <w:rsid w:val="006870A5"/>
    <w:rsid w:val="00687B0E"/>
    <w:rsid w:val="00690521"/>
    <w:rsid w:val="00690DA0"/>
    <w:rsid w:val="006916EB"/>
    <w:rsid w:val="006928E8"/>
    <w:rsid w:val="00693A0D"/>
    <w:rsid w:val="0069403D"/>
    <w:rsid w:val="006962EA"/>
    <w:rsid w:val="0069790B"/>
    <w:rsid w:val="006A044D"/>
    <w:rsid w:val="006A06AC"/>
    <w:rsid w:val="006A2678"/>
    <w:rsid w:val="006A2A36"/>
    <w:rsid w:val="006A406F"/>
    <w:rsid w:val="006A5846"/>
    <w:rsid w:val="006B02A3"/>
    <w:rsid w:val="006B10FE"/>
    <w:rsid w:val="006B17BB"/>
    <w:rsid w:val="006B2358"/>
    <w:rsid w:val="006B25CF"/>
    <w:rsid w:val="006B2DA7"/>
    <w:rsid w:val="006B2DF3"/>
    <w:rsid w:val="006B30CB"/>
    <w:rsid w:val="006B679F"/>
    <w:rsid w:val="006B7131"/>
    <w:rsid w:val="006C0A3B"/>
    <w:rsid w:val="006C17FD"/>
    <w:rsid w:val="006C44D0"/>
    <w:rsid w:val="006C58AE"/>
    <w:rsid w:val="006C6416"/>
    <w:rsid w:val="006C6F07"/>
    <w:rsid w:val="006C7083"/>
    <w:rsid w:val="006C72DD"/>
    <w:rsid w:val="006D029F"/>
    <w:rsid w:val="006D189E"/>
    <w:rsid w:val="006D1DDA"/>
    <w:rsid w:val="006D26AD"/>
    <w:rsid w:val="006D27E1"/>
    <w:rsid w:val="006D35B7"/>
    <w:rsid w:val="006D389D"/>
    <w:rsid w:val="006D5042"/>
    <w:rsid w:val="006D5591"/>
    <w:rsid w:val="006D5CEC"/>
    <w:rsid w:val="006D66F6"/>
    <w:rsid w:val="006E0836"/>
    <w:rsid w:val="006E470F"/>
    <w:rsid w:val="006E75BE"/>
    <w:rsid w:val="006E7B78"/>
    <w:rsid w:val="006F079D"/>
    <w:rsid w:val="006F1CB8"/>
    <w:rsid w:val="006F4C8E"/>
    <w:rsid w:val="006F5005"/>
    <w:rsid w:val="006F50A1"/>
    <w:rsid w:val="006F623F"/>
    <w:rsid w:val="006F7145"/>
    <w:rsid w:val="006F7DDC"/>
    <w:rsid w:val="00701BE1"/>
    <w:rsid w:val="0070233B"/>
    <w:rsid w:val="007031E3"/>
    <w:rsid w:val="007046F8"/>
    <w:rsid w:val="007047D1"/>
    <w:rsid w:val="00704D1A"/>
    <w:rsid w:val="00705974"/>
    <w:rsid w:val="00706429"/>
    <w:rsid w:val="00706D4D"/>
    <w:rsid w:val="0070748B"/>
    <w:rsid w:val="00712CFA"/>
    <w:rsid w:val="0071341E"/>
    <w:rsid w:val="00715309"/>
    <w:rsid w:val="00715363"/>
    <w:rsid w:val="007157E4"/>
    <w:rsid w:val="00716FC1"/>
    <w:rsid w:val="00717829"/>
    <w:rsid w:val="00720A87"/>
    <w:rsid w:val="0072190E"/>
    <w:rsid w:val="00726FEC"/>
    <w:rsid w:val="007321A3"/>
    <w:rsid w:val="007328BE"/>
    <w:rsid w:val="00733018"/>
    <w:rsid w:val="00733E56"/>
    <w:rsid w:val="007347FA"/>
    <w:rsid w:val="00736AF3"/>
    <w:rsid w:val="00740400"/>
    <w:rsid w:val="00740995"/>
    <w:rsid w:val="00740E12"/>
    <w:rsid w:val="00741930"/>
    <w:rsid w:val="00742B6E"/>
    <w:rsid w:val="00742C62"/>
    <w:rsid w:val="007438C3"/>
    <w:rsid w:val="0074518A"/>
    <w:rsid w:val="007457D5"/>
    <w:rsid w:val="007462AB"/>
    <w:rsid w:val="00746BEF"/>
    <w:rsid w:val="00747D0C"/>
    <w:rsid w:val="00750B38"/>
    <w:rsid w:val="0075228D"/>
    <w:rsid w:val="00752A4B"/>
    <w:rsid w:val="00754169"/>
    <w:rsid w:val="00754259"/>
    <w:rsid w:val="0075508E"/>
    <w:rsid w:val="00755124"/>
    <w:rsid w:val="00755DD1"/>
    <w:rsid w:val="00756A88"/>
    <w:rsid w:val="00757D61"/>
    <w:rsid w:val="007627B9"/>
    <w:rsid w:val="00762BE8"/>
    <w:rsid w:val="00763021"/>
    <w:rsid w:val="007631E2"/>
    <w:rsid w:val="00763810"/>
    <w:rsid w:val="00765084"/>
    <w:rsid w:val="00765EA0"/>
    <w:rsid w:val="007739B7"/>
    <w:rsid w:val="00773A09"/>
    <w:rsid w:val="00773DFE"/>
    <w:rsid w:val="00775D7A"/>
    <w:rsid w:val="00776EFE"/>
    <w:rsid w:val="00777094"/>
    <w:rsid w:val="00777872"/>
    <w:rsid w:val="00780227"/>
    <w:rsid w:val="0078179F"/>
    <w:rsid w:val="007823DA"/>
    <w:rsid w:val="00782C7E"/>
    <w:rsid w:val="007864B5"/>
    <w:rsid w:val="00786B05"/>
    <w:rsid w:val="00786D11"/>
    <w:rsid w:val="00792A92"/>
    <w:rsid w:val="00794788"/>
    <w:rsid w:val="00794AA2"/>
    <w:rsid w:val="00794CDE"/>
    <w:rsid w:val="007958C1"/>
    <w:rsid w:val="00796129"/>
    <w:rsid w:val="007973EC"/>
    <w:rsid w:val="00797E56"/>
    <w:rsid w:val="007A0D5D"/>
    <w:rsid w:val="007A0ECD"/>
    <w:rsid w:val="007A1563"/>
    <w:rsid w:val="007A3E89"/>
    <w:rsid w:val="007A47A2"/>
    <w:rsid w:val="007A636B"/>
    <w:rsid w:val="007A682A"/>
    <w:rsid w:val="007A6ECE"/>
    <w:rsid w:val="007B0794"/>
    <w:rsid w:val="007B33EB"/>
    <w:rsid w:val="007B58D8"/>
    <w:rsid w:val="007C041F"/>
    <w:rsid w:val="007C1A5A"/>
    <w:rsid w:val="007C37F7"/>
    <w:rsid w:val="007C50A8"/>
    <w:rsid w:val="007C54FC"/>
    <w:rsid w:val="007C6920"/>
    <w:rsid w:val="007C6DCB"/>
    <w:rsid w:val="007C754A"/>
    <w:rsid w:val="007D0053"/>
    <w:rsid w:val="007D29D8"/>
    <w:rsid w:val="007D2A1E"/>
    <w:rsid w:val="007D38B8"/>
    <w:rsid w:val="007D4A7A"/>
    <w:rsid w:val="007D7A85"/>
    <w:rsid w:val="007D7F48"/>
    <w:rsid w:val="007E0579"/>
    <w:rsid w:val="007E0937"/>
    <w:rsid w:val="007E1BFC"/>
    <w:rsid w:val="007E2B87"/>
    <w:rsid w:val="007E333D"/>
    <w:rsid w:val="007E44F9"/>
    <w:rsid w:val="007E565B"/>
    <w:rsid w:val="007E6AF6"/>
    <w:rsid w:val="007E763C"/>
    <w:rsid w:val="007E7F29"/>
    <w:rsid w:val="007F0E98"/>
    <w:rsid w:val="007F159B"/>
    <w:rsid w:val="007F2D82"/>
    <w:rsid w:val="007F3414"/>
    <w:rsid w:val="007F478A"/>
    <w:rsid w:val="007F4A65"/>
    <w:rsid w:val="007F6A5D"/>
    <w:rsid w:val="007F72AB"/>
    <w:rsid w:val="007F7567"/>
    <w:rsid w:val="0080124A"/>
    <w:rsid w:val="00801EFA"/>
    <w:rsid w:val="00802E04"/>
    <w:rsid w:val="00804074"/>
    <w:rsid w:val="00804FB0"/>
    <w:rsid w:val="00805200"/>
    <w:rsid w:val="00805244"/>
    <w:rsid w:val="0080604E"/>
    <w:rsid w:val="008073D3"/>
    <w:rsid w:val="00807D4A"/>
    <w:rsid w:val="00811E00"/>
    <w:rsid w:val="0081246B"/>
    <w:rsid w:val="00812CDD"/>
    <w:rsid w:val="00814807"/>
    <w:rsid w:val="00815806"/>
    <w:rsid w:val="00815D09"/>
    <w:rsid w:val="008168AF"/>
    <w:rsid w:val="00817C7A"/>
    <w:rsid w:val="008219F2"/>
    <w:rsid w:val="00822872"/>
    <w:rsid w:val="00824C9D"/>
    <w:rsid w:val="00825E9E"/>
    <w:rsid w:val="00826F54"/>
    <w:rsid w:val="00831960"/>
    <w:rsid w:val="00831ED3"/>
    <w:rsid w:val="00831FAC"/>
    <w:rsid w:val="00833E15"/>
    <w:rsid w:val="00835351"/>
    <w:rsid w:val="00835BDC"/>
    <w:rsid w:val="008376C9"/>
    <w:rsid w:val="00837C2B"/>
    <w:rsid w:val="00840FEA"/>
    <w:rsid w:val="00842E9C"/>
    <w:rsid w:val="00843628"/>
    <w:rsid w:val="00843D3E"/>
    <w:rsid w:val="008444A5"/>
    <w:rsid w:val="0084457B"/>
    <w:rsid w:val="008505E4"/>
    <w:rsid w:val="00850A5B"/>
    <w:rsid w:val="00851D60"/>
    <w:rsid w:val="0085315E"/>
    <w:rsid w:val="00853301"/>
    <w:rsid w:val="00853B6B"/>
    <w:rsid w:val="0085404A"/>
    <w:rsid w:val="0085609D"/>
    <w:rsid w:val="00856B6C"/>
    <w:rsid w:val="00857B2B"/>
    <w:rsid w:val="00857FB3"/>
    <w:rsid w:val="00860009"/>
    <w:rsid w:val="008608BF"/>
    <w:rsid w:val="008645A4"/>
    <w:rsid w:val="008645FB"/>
    <w:rsid w:val="00870D6D"/>
    <w:rsid w:val="008718CB"/>
    <w:rsid w:val="00871F71"/>
    <w:rsid w:val="00872D49"/>
    <w:rsid w:val="0087338A"/>
    <w:rsid w:val="00874407"/>
    <w:rsid w:val="00875049"/>
    <w:rsid w:val="00875E62"/>
    <w:rsid w:val="00876204"/>
    <w:rsid w:val="00876D69"/>
    <w:rsid w:val="00877349"/>
    <w:rsid w:val="0088157A"/>
    <w:rsid w:val="008815FB"/>
    <w:rsid w:val="008822A4"/>
    <w:rsid w:val="00882A2A"/>
    <w:rsid w:val="008836F1"/>
    <w:rsid w:val="00884EC5"/>
    <w:rsid w:val="008853BC"/>
    <w:rsid w:val="0088553B"/>
    <w:rsid w:val="00886405"/>
    <w:rsid w:val="008865E1"/>
    <w:rsid w:val="008911FD"/>
    <w:rsid w:val="00892634"/>
    <w:rsid w:val="00892909"/>
    <w:rsid w:val="008940BC"/>
    <w:rsid w:val="00894AE9"/>
    <w:rsid w:val="00897F60"/>
    <w:rsid w:val="008A03F0"/>
    <w:rsid w:val="008A0ADC"/>
    <w:rsid w:val="008A3465"/>
    <w:rsid w:val="008A3E72"/>
    <w:rsid w:val="008A43FD"/>
    <w:rsid w:val="008A4767"/>
    <w:rsid w:val="008A763F"/>
    <w:rsid w:val="008B2D29"/>
    <w:rsid w:val="008B3440"/>
    <w:rsid w:val="008B3C22"/>
    <w:rsid w:val="008B4FE0"/>
    <w:rsid w:val="008B5590"/>
    <w:rsid w:val="008B6335"/>
    <w:rsid w:val="008B63CC"/>
    <w:rsid w:val="008B7B8B"/>
    <w:rsid w:val="008C0740"/>
    <w:rsid w:val="008C15A3"/>
    <w:rsid w:val="008C1B4B"/>
    <w:rsid w:val="008C3DC6"/>
    <w:rsid w:val="008C3FD5"/>
    <w:rsid w:val="008C6401"/>
    <w:rsid w:val="008D0014"/>
    <w:rsid w:val="008D1CC7"/>
    <w:rsid w:val="008D317E"/>
    <w:rsid w:val="008D392F"/>
    <w:rsid w:val="008D4059"/>
    <w:rsid w:val="008D44A6"/>
    <w:rsid w:val="008D5C3B"/>
    <w:rsid w:val="008E0AAB"/>
    <w:rsid w:val="008E4FAD"/>
    <w:rsid w:val="008E5504"/>
    <w:rsid w:val="008E6337"/>
    <w:rsid w:val="008F081D"/>
    <w:rsid w:val="008F143D"/>
    <w:rsid w:val="008F1F94"/>
    <w:rsid w:val="008F2E26"/>
    <w:rsid w:val="008F36C0"/>
    <w:rsid w:val="008F51D7"/>
    <w:rsid w:val="008F5372"/>
    <w:rsid w:val="008F6015"/>
    <w:rsid w:val="008F623E"/>
    <w:rsid w:val="008F64F2"/>
    <w:rsid w:val="008F76BB"/>
    <w:rsid w:val="008F7B4E"/>
    <w:rsid w:val="00900F82"/>
    <w:rsid w:val="009018D2"/>
    <w:rsid w:val="00902571"/>
    <w:rsid w:val="00903927"/>
    <w:rsid w:val="009039A8"/>
    <w:rsid w:val="00903EA2"/>
    <w:rsid w:val="00904700"/>
    <w:rsid w:val="00904AEA"/>
    <w:rsid w:val="0091062B"/>
    <w:rsid w:val="009110F4"/>
    <w:rsid w:val="00911AE2"/>
    <w:rsid w:val="00913E1C"/>
    <w:rsid w:val="0091460B"/>
    <w:rsid w:val="00914EB6"/>
    <w:rsid w:val="00915A00"/>
    <w:rsid w:val="00917D58"/>
    <w:rsid w:val="00920828"/>
    <w:rsid w:val="00921E3F"/>
    <w:rsid w:val="00924116"/>
    <w:rsid w:val="00927435"/>
    <w:rsid w:val="009275D4"/>
    <w:rsid w:val="0093014F"/>
    <w:rsid w:val="00933D01"/>
    <w:rsid w:val="00937308"/>
    <w:rsid w:val="0094059C"/>
    <w:rsid w:val="009407AE"/>
    <w:rsid w:val="00940C73"/>
    <w:rsid w:val="00941716"/>
    <w:rsid w:val="00943E16"/>
    <w:rsid w:val="00944351"/>
    <w:rsid w:val="00947A00"/>
    <w:rsid w:val="009511D2"/>
    <w:rsid w:val="00951F5E"/>
    <w:rsid w:val="009531AC"/>
    <w:rsid w:val="00953448"/>
    <w:rsid w:val="0095372C"/>
    <w:rsid w:val="00954913"/>
    <w:rsid w:val="00955879"/>
    <w:rsid w:val="00955D21"/>
    <w:rsid w:val="0095640F"/>
    <w:rsid w:val="009566D0"/>
    <w:rsid w:val="009566EF"/>
    <w:rsid w:val="00956F71"/>
    <w:rsid w:val="0096005F"/>
    <w:rsid w:val="009605AB"/>
    <w:rsid w:val="00961D1C"/>
    <w:rsid w:val="009644D1"/>
    <w:rsid w:val="009678FB"/>
    <w:rsid w:val="00970E52"/>
    <w:rsid w:val="00971B93"/>
    <w:rsid w:val="00971CD5"/>
    <w:rsid w:val="009723E7"/>
    <w:rsid w:val="00972A84"/>
    <w:rsid w:val="00973314"/>
    <w:rsid w:val="00973D01"/>
    <w:rsid w:val="00976102"/>
    <w:rsid w:val="009763E2"/>
    <w:rsid w:val="00976C97"/>
    <w:rsid w:val="0098117D"/>
    <w:rsid w:val="00981950"/>
    <w:rsid w:val="009839F2"/>
    <w:rsid w:val="00983ECF"/>
    <w:rsid w:val="0098633A"/>
    <w:rsid w:val="00986AEF"/>
    <w:rsid w:val="00991E1F"/>
    <w:rsid w:val="009930F3"/>
    <w:rsid w:val="009933DB"/>
    <w:rsid w:val="00995880"/>
    <w:rsid w:val="00995FAF"/>
    <w:rsid w:val="00996562"/>
    <w:rsid w:val="00996DCB"/>
    <w:rsid w:val="009975B6"/>
    <w:rsid w:val="00997E45"/>
    <w:rsid w:val="009A0A83"/>
    <w:rsid w:val="009A29BE"/>
    <w:rsid w:val="009A30B8"/>
    <w:rsid w:val="009A4AEB"/>
    <w:rsid w:val="009A53FC"/>
    <w:rsid w:val="009A685B"/>
    <w:rsid w:val="009A69E5"/>
    <w:rsid w:val="009A7C15"/>
    <w:rsid w:val="009B0794"/>
    <w:rsid w:val="009B1059"/>
    <w:rsid w:val="009B2632"/>
    <w:rsid w:val="009B6098"/>
    <w:rsid w:val="009B61EB"/>
    <w:rsid w:val="009B64BC"/>
    <w:rsid w:val="009B6962"/>
    <w:rsid w:val="009B7AED"/>
    <w:rsid w:val="009B7F8C"/>
    <w:rsid w:val="009C047C"/>
    <w:rsid w:val="009C085C"/>
    <w:rsid w:val="009C0CCA"/>
    <w:rsid w:val="009C0E63"/>
    <w:rsid w:val="009C10C6"/>
    <w:rsid w:val="009C2C20"/>
    <w:rsid w:val="009C337D"/>
    <w:rsid w:val="009C375D"/>
    <w:rsid w:val="009C45A0"/>
    <w:rsid w:val="009D0BE3"/>
    <w:rsid w:val="009D15FD"/>
    <w:rsid w:val="009D2910"/>
    <w:rsid w:val="009D3502"/>
    <w:rsid w:val="009D4260"/>
    <w:rsid w:val="009D55A9"/>
    <w:rsid w:val="009D6C6B"/>
    <w:rsid w:val="009D6CF7"/>
    <w:rsid w:val="009E1F29"/>
    <w:rsid w:val="009E2AF7"/>
    <w:rsid w:val="009E324F"/>
    <w:rsid w:val="009E41AA"/>
    <w:rsid w:val="009E43D6"/>
    <w:rsid w:val="009E57FD"/>
    <w:rsid w:val="009E6BEB"/>
    <w:rsid w:val="009F3CF3"/>
    <w:rsid w:val="009F4370"/>
    <w:rsid w:val="009F4517"/>
    <w:rsid w:val="009F4B96"/>
    <w:rsid w:val="009F62AB"/>
    <w:rsid w:val="009F6DFA"/>
    <w:rsid w:val="00A0026F"/>
    <w:rsid w:val="00A0199D"/>
    <w:rsid w:val="00A022A6"/>
    <w:rsid w:val="00A036D9"/>
    <w:rsid w:val="00A0496F"/>
    <w:rsid w:val="00A04C12"/>
    <w:rsid w:val="00A04C5D"/>
    <w:rsid w:val="00A05DA7"/>
    <w:rsid w:val="00A06DD7"/>
    <w:rsid w:val="00A10882"/>
    <w:rsid w:val="00A119E0"/>
    <w:rsid w:val="00A132A7"/>
    <w:rsid w:val="00A15115"/>
    <w:rsid w:val="00A16592"/>
    <w:rsid w:val="00A16947"/>
    <w:rsid w:val="00A25FC4"/>
    <w:rsid w:val="00A26E43"/>
    <w:rsid w:val="00A332F6"/>
    <w:rsid w:val="00A35EAF"/>
    <w:rsid w:val="00A3720D"/>
    <w:rsid w:val="00A3781B"/>
    <w:rsid w:val="00A401DC"/>
    <w:rsid w:val="00A414A2"/>
    <w:rsid w:val="00A416C4"/>
    <w:rsid w:val="00A44DEA"/>
    <w:rsid w:val="00A45B46"/>
    <w:rsid w:val="00A506DB"/>
    <w:rsid w:val="00A54CCB"/>
    <w:rsid w:val="00A557D7"/>
    <w:rsid w:val="00A62EE3"/>
    <w:rsid w:val="00A63350"/>
    <w:rsid w:val="00A64311"/>
    <w:rsid w:val="00A6641B"/>
    <w:rsid w:val="00A6699A"/>
    <w:rsid w:val="00A66B43"/>
    <w:rsid w:val="00A707A1"/>
    <w:rsid w:val="00A71DDA"/>
    <w:rsid w:val="00A73EB7"/>
    <w:rsid w:val="00A7473A"/>
    <w:rsid w:val="00A75603"/>
    <w:rsid w:val="00A80E6C"/>
    <w:rsid w:val="00A82460"/>
    <w:rsid w:val="00A8371B"/>
    <w:rsid w:val="00A85061"/>
    <w:rsid w:val="00A85E3B"/>
    <w:rsid w:val="00A86DB0"/>
    <w:rsid w:val="00A871E2"/>
    <w:rsid w:val="00A87927"/>
    <w:rsid w:val="00A9090A"/>
    <w:rsid w:val="00A90A60"/>
    <w:rsid w:val="00A91CAE"/>
    <w:rsid w:val="00A93082"/>
    <w:rsid w:val="00A956E2"/>
    <w:rsid w:val="00A96729"/>
    <w:rsid w:val="00A96F44"/>
    <w:rsid w:val="00A971C1"/>
    <w:rsid w:val="00AA0544"/>
    <w:rsid w:val="00AA055F"/>
    <w:rsid w:val="00AA0EF9"/>
    <w:rsid w:val="00AA1887"/>
    <w:rsid w:val="00AA2E73"/>
    <w:rsid w:val="00AA4D45"/>
    <w:rsid w:val="00AA5614"/>
    <w:rsid w:val="00AA5DAE"/>
    <w:rsid w:val="00AA6370"/>
    <w:rsid w:val="00AA66A2"/>
    <w:rsid w:val="00AA671E"/>
    <w:rsid w:val="00AA7215"/>
    <w:rsid w:val="00AA759F"/>
    <w:rsid w:val="00AB03CC"/>
    <w:rsid w:val="00AB09CE"/>
    <w:rsid w:val="00AB11AD"/>
    <w:rsid w:val="00AB1E56"/>
    <w:rsid w:val="00AB4F01"/>
    <w:rsid w:val="00AC0985"/>
    <w:rsid w:val="00AC1FB1"/>
    <w:rsid w:val="00AC24CC"/>
    <w:rsid w:val="00AC2837"/>
    <w:rsid w:val="00AC2B2A"/>
    <w:rsid w:val="00AC4328"/>
    <w:rsid w:val="00AC4ED7"/>
    <w:rsid w:val="00AC4FD0"/>
    <w:rsid w:val="00AC7409"/>
    <w:rsid w:val="00AC76EA"/>
    <w:rsid w:val="00AD1FF9"/>
    <w:rsid w:val="00AD21B4"/>
    <w:rsid w:val="00AD2732"/>
    <w:rsid w:val="00AD4D89"/>
    <w:rsid w:val="00AD55C9"/>
    <w:rsid w:val="00AD6801"/>
    <w:rsid w:val="00AD7481"/>
    <w:rsid w:val="00AE0EC4"/>
    <w:rsid w:val="00AE1A3A"/>
    <w:rsid w:val="00AE1CC0"/>
    <w:rsid w:val="00AE2A26"/>
    <w:rsid w:val="00AE2B4F"/>
    <w:rsid w:val="00AE4AAD"/>
    <w:rsid w:val="00AF1E16"/>
    <w:rsid w:val="00AF516E"/>
    <w:rsid w:val="00AF7100"/>
    <w:rsid w:val="00B01B54"/>
    <w:rsid w:val="00B0553F"/>
    <w:rsid w:val="00B0728A"/>
    <w:rsid w:val="00B0737A"/>
    <w:rsid w:val="00B119C4"/>
    <w:rsid w:val="00B12C98"/>
    <w:rsid w:val="00B1464A"/>
    <w:rsid w:val="00B14691"/>
    <w:rsid w:val="00B15FB9"/>
    <w:rsid w:val="00B1760A"/>
    <w:rsid w:val="00B2059E"/>
    <w:rsid w:val="00B21798"/>
    <w:rsid w:val="00B24B49"/>
    <w:rsid w:val="00B273D1"/>
    <w:rsid w:val="00B35A5D"/>
    <w:rsid w:val="00B35E75"/>
    <w:rsid w:val="00B36D3C"/>
    <w:rsid w:val="00B403C7"/>
    <w:rsid w:val="00B40D42"/>
    <w:rsid w:val="00B40DD4"/>
    <w:rsid w:val="00B43FDB"/>
    <w:rsid w:val="00B4567E"/>
    <w:rsid w:val="00B45D3A"/>
    <w:rsid w:val="00B4686D"/>
    <w:rsid w:val="00B469D1"/>
    <w:rsid w:val="00B506FD"/>
    <w:rsid w:val="00B52C2D"/>
    <w:rsid w:val="00B53D23"/>
    <w:rsid w:val="00B544B0"/>
    <w:rsid w:val="00B549EB"/>
    <w:rsid w:val="00B5646E"/>
    <w:rsid w:val="00B56BEE"/>
    <w:rsid w:val="00B57A20"/>
    <w:rsid w:val="00B60232"/>
    <w:rsid w:val="00B60E99"/>
    <w:rsid w:val="00B63B96"/>
    <w:rsid w:val="00B65E98"/>
    <w:rsid w:val="00B705CB"/>
    <w:rsid w:val="00B70AF4"/>
    <w:rsid w:val="00B71607"/>
    <w:rsid w:val="00B7187C"/>
    <w:rsid w:val="00B73164"/>
    <w:rsid w:val="00B739E1"/>
    <w:rsid w:val="00B74500"/>
    <w:rsid w:val="00B779F7"/>
    <w:rsid w:val="00B80543"/>
    <w:rsid w:val="00B84189"/>
    <w:rsid w:val="00B854E1"/>
    <w:rsid w:val="00B86ABE"/>
    <w:rsid w:val="00B87814"/>
    <w:rsid w:val="00B90166"/>
    <w:rsid w:val="00B90CB1"/>
    <w:rsid w:val="00B91AE6"/>
    <w:rsid w:val="00B91B0C"/>
    <w:rsid w:val="00B91F2A"/>
    <w:rsid w:val="00B92B6C"/>
    <w:rsid w:val="00B93866"/>
    <w:rsid w:val="00B939EC"/>
    <w:rsid w:val="00B94882"/>
    <w:rsid w:val="00B95C8D"/>
    <w:rsid w:val="00B9661A"/>
    <w:rsid w:val="00BA0024"/>
    <w:rsid w:val="00BA11CB"/>
    <w:rsid w:val="00BA1AD5"/>
    <w:rsid w:val="00BA4BEF"/>
    <w:rsid w:val="00BA6CEB"/>
    <w:rsid w:val="00BA6DB9"/>
    <w:rsid w:val="00BB0C9D"/>
    <w:rsid w:val="00BB140B"/>
    <w:rsid w:val="00BB17FC"/>
    <w:rsid w:val="00BB182A"/>
    <w:rsid w:val="00BB1A82"/>
    <w:rsid w:val="00BB1AC7"/>
    <w:rsid w:val="00BB3217"/>
    <w:rsid w:val="00BB3F27"/>
    <w:rsid w:val="00BC10C3"/>
    <w:rsid w:val="00BC1CC6"/>
    <w:rsid w:val="00BC2063"/>
    <w:rsid w:val="00BC2ABF"/>
    <w:rsid w:val="00BC4CF6"/>
    <w:rsid w:val="00BC5AFC"/>
    <w:rsid w:val="00BC5C55"/>
    <w:rsid w:val="00BD126D"/>
    <w:rsid w:val="00BD3375"/>
    <w:rsid w:val="00BD5364"/>
    <w:rsid w:val="00BD7964"/>
    <w:rsid w:val="00BE0294"/>
    <w:rsid w:val="00BE3DFA"/>
    <w:rsid w:val="00BE463F"/>
    <w:rsid w:val="00BE4A36"/>
    <w:rsid w:val="00BE51BB"/>
    <w:rsid w:val="00BE56C4"/>
    <w:rsid w:val="00BE5D4E"/>
    <w:rsid w:val="00BE5FBD"/>
    <w:rsid w:val="00BE6968"/>
    <w:rsid w:val="00BF0036"/>
    <w:rsid w:val="00BF0516"/>
    <w:rsid w:val="00BF0D1E"/>
    <w:rsid w:val="00BF19CC"/>
    <w:rsid w:val="00BF1D08"/>
    <w:rsid w:val="00BF2F99"/>
    <w:rsid w:val="00BF539A"/>
    <w:rsid w:val="00BF7738"/>
    <w:rsid w:val="00C00504"/>
    <w:rsid w:val="00C00888"/>
    <w:rsid w:val="00C02222"/>
    <w:rsid w:val="00C025F8"/>
    <w:rsid w:val="00C031F5"/>
    <w:rsid w:val="00C033BF"/>
    <w:rsid w:val="00C03540"/>
    <w:rsid w:val="00C07DF9"/>
    <w:rsid w:val="00C10816"/>
    <w:rsid w:val="00C1146F"/>
    <w:rsid w:val="00C12043"/>
    <w:rsid w:val="00C125B3"/>
    <w:rsid w:val="00C14323"/>
    <w:rsid w:val="00C16C8B"/>
    <w:rsid w:val="00C200AB"/>
    <w:rsid w:val="00C2069D"/>
    <w:rsid w:val="00C208C0"/>
    <w:rsid w:val="00C20BE6"/>
    <w:rsid w:val="00C21B9F"/>
    <w:rsid w:val="00C22F29"/>
    <w:rsid w:val="00C23556"/>
    <w:rsid w:val="00C237D6"/>
    <w:rsid w:val="00C2447B"/>
    <w:rsid w:val="00C251E9"/>
    <w:rsid w:val="00C25D17"/>
    <w:rsid w:val="00C27CFF"/>
    <w:rsid w:val="00C31B82"/>
    <w:rsid w:val="00C326E4"/>
    <w:rsid w:val="00C336A9"/>
    <w:rsid w:val="00C34163"/>
    <w:rsid w:val="00C34CA9"/>
    <w:rsid w:val="00C355D6"/>
    <w:rsid w:val="00C35F69"/>
    <w:rsid w:val="00C40D5F"/>
    <w:rsid w:val="00C40EBB"/>
    <w:rsid w:val="00C415F2"/>
    <w:rsid w:val="00C432AD"/>
    <w:rsid w:val="00C43CF7"/>
    <w:rsid w:val="00C454C7"/>
    <w:rsid w:val="00C45E06"/>
    <w:rsid w:val="00C4646E"/>
    <w:rsid w:val="00C465C6"/>
    <w:rsid w:val="00C46D39"/>
    <w:rsid w:val="00C46D82"/>
    <w:rsid w:val="00C51B53"/>
    <w:rsid w:val="00C5364C"/>
    <w:rsid w:val="00C53DC1"/>
    <w:rsid w:val="00C53EEE"/>
    <w:rsid w:val="00C54875"/>
    <w:rsid w:val="00C57347"/>
    <w:rsid w:val="00C6056D"/>
    <w:rsid w:val="00C61B0D"/>
    <w:rsid w:val="00C61C7A"/>
    <w:rsid w:val="00C62807"/>
    <w:rsid w:val="00C63975"/>
    <w:rsid w:val="00C64D0F"/>
    <w:rsid w:val="00C653D2"/>
    <w:rsid w:val="00C65D15"/>
    <w:rsid w:val="00C6748D"/>
    <w:rsid w:val="00C70092"/>
    <w:rsid w:val="00C70CA8"/>
    <w:rsid w:val="00C712B2"/>
    <w:rsid w:val="00C7162A"/>
    <w:rsid w:val="00C737B9"/>
    <w:rsid w:val="00C73D24"/>
    <w:rsid w:val="00C73E32"/>
    <w:rsid w:val="00C746C6"/>
    <w:rsid w:val="00C74F35"/>
    <w:rsid w:val="00C8197F"/>
    <w:rsid w:val="00C81DC3"/>
    <w:rsid w:val="00C81DF8"/>
    <w:rsid w:val="00C825E7"/>
    <w:rsid w:val="00C8261E"/>
    <w:rsid w:val="00C83824"/>
    <w:rsid w:val="00C864AE"/>
    <w:rsid w:val="00C87C42"/>
    <w:rsid w:val="00C904CF"/>
    <w:rsid w:val="00C90BBF"/>
    <w:rsid w:val="00C910B0"/>
    <w:rsid w:val="00C91F91"/>
    <w:rsid w:val="00C92BD1"/>
    <w:rsid w:val="00C93C19"/>
    <w:rsid w:val="00C96E21"/>
    <w:rsid w:val="00CA00D4"/>
    <w:rsid w:val="00CA05B2"/>
    <w:rsid w:val="00CA1269"/>
    <w:rsid w:val="00CA4A1E"/>
    <w:rsid w:val="00CA6A9F"/>
    <w:rsid w:val="00CB0F95"/>
    <w:rsid w:val="00CB2E03"/>
    <w:rsid w:val="00CB3C22"/>
    <w:rsid w:val="00CB3D5C"/>
    <w:rsid w:val="00CB56E2"/>
    <w:rsid w:val="00CB58E1"/>
    <w:rsid w:val="00CB7C90"/>
    <w:rsid w:val="00CC092B"/>
    <w:rsid w:val="00CC0D95"/>
    <w:rsid w:val="00CC0F0C"/>
    <w:rsid w:val="00CC1905"/>
    <w:rsid w:val="00CC1DE1"/>
    <w:rsid w:val="00CC1F1C"/>
    <w:rsid w:val="00CC20CD"/>
    <w:rsid w:val="00CC262E"/>
    <w:rsid w:val="00CC4913"/>
    <w:rsid w:val="00CC521A"/>
    <w:rsid w:val="00CC553D"/>
    <w:rsid w:val="00CC5D10"/>
    <w:rsid w:val="00CC5F9D"/>
    <w:rsid w:val="00CD198A"/>
    <w:rsid w:val="00CD410A"/>
    <w:rsid w:val="00CD4266"/>
    <w:rsid w:val="00CD4F88"/>
    <w:rsid w:val="00CD5290"/>
    <w:rsid w:val="00CD6721"/>
    <w:rsid w:val="00CD790D"/>
    <w:rsid w:val="00CE0496"/>
    <w:rsid w:val="00CE07E5"/>
    <w:rsid w:val="00CE11FD"/>
    <w:rsid w:val="00CE18F2"/>
    <w:rsid w:val="00CE51D9"/>
    <w:rsid w:val="00CE58C8"/>
    <w:rsid w:val="00CE6CE7"/>
    <w:rsid w:val="00CE7A9F"/>
    <w:rsid w:val="00CE7B8F"/>
    <w:rsid w:val="00CF1F82"/>
    <w:rsid w:val="00CF2189"/>
    <w:rsid w:val="00CF3A35"/>
    <w:rsid w:val="00CF5363"/>
    <w:rsid w:val="00CF5A9B"/>
    <w:rsid w:val="00CF618C"/>
    <w:rsid w:val="00CF6F60"/>
    <w:rsid w:val="00D000EE"/>
    <w:rsid w:val="00D003D1"/>
    <w:rsid w:val="00D00ACE"/>
    <w:rsid w:val="00D02258"/>
    <w:rsid w:val="00D0441D"/>
    <w:rsid w:val="00D04762"/>
    <w:rsid w:val="00D06145"/>
    <w:rsid w:val="00D06A3D"/>
    <w:rsid w:val="00D07394"/>
    <w:rsid w:val="00D1203A"/>
    <w:rsid w:val="00D128DA"/>
    <w:rsid w:val="00D15115"/>
    <w:rsid w:val="00D1690E"/>
    <w:rsid w:val="00D170BD"/>
    <w:rsid w:val="00D170DF"/>
    <w:rsid w:val="00D17547"/>
    <w:rsid w:val="00D17BF1"/>
    <w:rsid w:val="00D209D5"/>
    <w:rsid w:val="00D216BE"/>
    <w:rsid w:val="00D223EE"/>
    <w:rsid w:val="00D2299F"/>
    <w:rsid w:val="00D23A29"/>
    <w:rsid w:val="00D23B5B"/>
    <w:rsid w:val="00D245CC"/>
    <w:rsid w:val="00D25C28"/>
    <w:rsid w:val="00D26554"/>
    <w:rsid w:val="00D26FA9"/>
    <w:rsid w:val="00D27166"/>
    <w:rsid w:val="00D27311"/>
    <w:rsid w:val="00D27BBF"/>
    <w:rsid w:val="00D3145A"/>
    <w:rsid w:val="00D322F5"/>
    <w:rsid w:val="00D32CA4"/>
    <w:rsid w:val="00D3319D"/>
    <w:rsid w:val="00D334AD"/>
    <w:rsid w:val="00D341CE"/>
    <w:rsid w:val="00D35C72"/>
    <w:rsid w:val="00D35EC0"/>
    <w:rsid w:val="00D3659B"/>
    <w:rsid w:val="00D37C2A"/>
    <w:rsid w:val="00D40BB7"/>
    <w:rsid w:val="00D40C22"/>
    <w:rsid w:val="00D4282A"/>
    <w:rsid w:val="00D42A16"/>
    <w:rsid w:val="00D4616A"/>
    <w:rsid w:val="00D4736B"/>
    <w:rsid w:val="00D5090B"/>
    <w:rsid w:val="00D51972"/>
    <w:rsid w:val="00D53F9F"/>
    <w:rsid w:val="00D55505"/>
    <w:rsid w:val="00D55744"/>
    <w:rsid w:val="00D56CC1"/>
    <w:rsid w:val="00D6139F"/>
    <w:rsid w:val="00D62373"/>
    <w:rsid w:val="00D62F06"/>
    <w:rsid w:val="00D630D8"/>
    <w:rsid w:val="00D63B8C"/>
    <w:rsid w:val="00D63E62"/>
    <w:rsid w:val="00D644E1"/>
    <w:rsid w:val="00D65455"/>
    <w:rsid w:val="00D660AB"/>
    <w:rsid w:val="00D6698F"/>
    <w:rsid w:val="00D66CB3"/>
    <w:rsid w:val="00D70429"/>
    <w:rsid w:val="00D70B54"/>
    <w:rsid w:val="00D70B70"/>
    <w:rsid w:val="00D71659"/>
    <w:rsid w:val="00D72223"/>
    <w:rsid w:val="00D75375"/>
    <w:rsid w:val="00D757D0"/>
    <w:rsid w:val="00D77090"/>
    <w:rsid w:val="00D77374"/>
    <w:rsid w:val="00D80EBE"/>
    <w:rsid w:val="00D81819"/>
    <w:rsid w:val="00D82DF4"/>
    <w:rsid w:val="00D82E40"/>
    <w:rsid w:val="00D82EA4"/>
    <w:rsid w:val="00D86A1F"/>
    <w:rsid w:val="00D87232"/>
    <w:rsid w:val="00D877C6"/>
    <w:rsid w:val="00D9147B"/>
    <w:rsid w:val="00D91CD0"/>
    <w:rsid w:val="00D9485F"/>
    <w:rsid w:val="00D965FF"/>
    <w:rsid w:val="00D97897"/>
    <w:rsid w:val="00D978B4"/>
    <w:rsid w:val="00DA4121"/>
    <w:rsid w:val="00DA464F"/>
    <w:rsid w:val="00DA5B32"/>
    <w:rsid w:val="00DA5BD2"/>
    <w:rsid w:val="00DA693E"/>
    <w:rsid w:val="00DA6FBC"/>
    <w:rsid w:val="00DB1D2D"/>
    <w:rsid w:val="00DB1D4B"/>
    <w:rsid w:val="00DB1EC4"/>
    <w:rsid w:val="00DB2561"/>
    <w:rsid w:val="00DB29A2"/>
    <w:rsid w:val="00DB34ED"/>
    <w:rsid w:val="00DB3993"/>
    <w:rsid w:val="00DB43A9"/>
    <w:rsid w:val="00DB4BA5"/>
    <w:rsid w:val="00DB4F06"/>
    <w:rsid w:val="00DB56C0"/>
    <w:rsid w:val="00DB61FC"/>
    <w:rsid w:val="00DC0B7E"/>
    <w:rsid w:val="00DC0F7C"/>
    <w:rsid w:val="00DC15A0"/>
    <w:rsid w:val="00DC15CF"/>
    <w:rsid w:val="00DC23A8"/>
    <w:rsid w:val="00DC2BE9"/>
    <w:rsid w:val="00DC3036"/>
    <w:rsid w:val="00DC4F16"/>
    <w:rsid w:val="00DC50CC"/>
    <w:rsid w:val="00DC680B"/>
    <w:rsid w:val="00DC7461"/>
    <w:rsid w:val="00DD05C7"/>
    <w:rsid w:val="00DD110F"/>
    <w:rsid w:val="00DD1A54"/>
    <w:rsid w:val="00DD1B55"/>
    <w:rsid w:val="00DD2BA2"/>
    <w:rsid w:val="00DD40E3"/>
    <w:rsid w:val="00DD4C8B"/>
    <w:rsid w:val="00DD4E72"/>
    <w:rsid w:val="00DD5E7E"/>
    <w:rsid w:val="00DE2995"/>
    <w:rsid w:val="00DE2EED"/>
    <w:rsid w:val="00DE3CE8"/>
    <w:rsid w:val="00DE58E2"/>
    <w:rsid w:val="00DF2A4C"/>
    <w:rsid w:val="00DF5567"/>
    <w:rsid w:val="00DF660B"/>
    <w:rsid w:val="00DF6D36"/>
    <w:rsid w:val="00DF7C3C"/>
    <w:rsid w:val="00DF7F5A"/>
    <w:rsid w:val="00E0099B"/>
    <w:rsid w:val="00E01E8C"/>
    <w:rsid w:val="00E024B3"/>
    <w:rsid w:val="00E02BDF"/>
    <w:rsid w:val="00E02F68"/>
    <w:rsid w:val="00E03CCB"/>
    <w:rsid w:val="00E049F5"/>
    <w:rsid w:val="00E05149"/>
    <w:rsid w:val="00E056D5"/>
    <w:rsid w:val="00E061FE"/>
    <w:rsid w:val="00E0763D"/>
    <w:rsid w:val="00E102C6"/>
    <w:rsid w:val="00E1261E"/>
    <w:rsid w:val="00E15419"/>
    <w:rsid w:val="00E15A61"/>
    <w:rsid w:val="00E211D7"/>
    <w:rsid w:val="00E214D2"/>
    <w:rsid w:val="00E217C0"/>
    <w:rsid w:val="00E220E9"/>
    <w:rsid w:val="00E229BE"/>
    <w:rsid w:val="00E22DC3"/>
    <w:rsid w:val="00E245A3"/>
    <w:rsid w:val="00E26466"/>
    <w:rsid w:val="00E26A8C"/>
    <w:rsid w:val="00E26EBD"/>
    <w:rsid w:val="00E2730D"/>
    <w:rsid w:val="00E2767A"/>
    <w:rsid w:val="00E27CEC"/>
    <w:rsid w:val="00E27E9A"/>
    <w:rsid w:val="00E30324"/>
    <w:rsid w:val="00E311C8"/>
    <w:rsid w:val="00E33622"/>
    <w:rsid w:val="00E348D3"/>
    <w:rsid w:val="00E34EB1"/>
    <w:rsid w:val="00E354AB"/>
    <w:rsid w:val="00E35C2C"/>
    <w:rsid w:val="00E35DA7"/>
    <w:rsid w:val="00E35DB1"/>
    <w:rsid w:val="00E36FF3"/>
    <w:rsid w:val="00E44F87"/>
    <w:rsid w:val="00E45562"/>
    <w:rsid w:val="00E4735A"/>
    <w:rsid w:val="00E47632"/>
    <w:rsid w:val="00E47A0D"/>
    <w:rsid w:val="00E53A28"/>
    <w:rsid w:val="00E5420B"/>
    <w:rsid w:val="00E54BD3"/>
    <w:rsid w:val="00E55719"/>
    <w:rsid w:val="00E6070F"/>
    <w:rsid w:val="00E607B6"/>
    <w:rsid w:val="00E62737"/>
    <w:rsid w:val="00E63844"/>
    <w:rsid w:val="00E64981"/>
    <w:rsid w:val="00E652B1"/>
    <w:rsid w:val="00E653FE"/>
    <w:rsid w:val="00E66DAF"/>
    <w:rsid w:val="00E66F8B"/>
    <w:rsid w:val="00E702C3"/>
    <w:rsid w:val="00E70D0E"/>
    <w:rsid w:val="00E715C9"/>
    <w:rsid w:val="00E7185B"/>
    <w:rsid w:val="00E7211C"/>
    <w:rsid w:val="00E7306F"/>
    <w:rsid w:val="00E73EC1"/>
    <w:rsid w:val="00E748D7"/>
    <w:rsid w:val="00E74A43"/>
    <w:rsid w:val="00E74AFF"/>
    <w:rsid w:val="00E75EB6"/>
    <w:rsid w:val="00E779DE"/>
    <w:rsid w:val="00E77F0D"/>
    <w:rsid w:val="00E80896"/>
    <w:rsid w:val="00E80E9D"/>
    <w:rsid w:val="00E81257"/>
    <w:rsid w:val="00E8320C"/>
    <w:rsid w:val="00E8480D"/>
    <w:rsid w:val="00E86F48"/>
    <w:rsid w:val="00E87A16"/>
    <w:rsid w:val="00E87CD2"/>
    <w:rsid w:val="00E90EDB"/>
    <w:rsid w:val="00E912B9"/>
    <w:rsid w:val="00E9144E"/>
    <w:rsid w:val="00E91ADB"/>
    <w:rsid w:val="00E93918"/>
    <w:rsid w:val="00E93ABE"/>
    <w:rsid w:val="00E946EB"/>
    <w:rsid w:val="00E94BB7"/>
    <w:rsid w:val="00E95974"/>
    <w:rsid w:val="00E9649E"/>
    <w:rsid w:val="00E973C5"/>
    <w:rsid w:val="00E977A4"/>
    <w:rsid w:val="00EA31BC"/>
    <w:rsid w:val="00EA5E00"/>
    <w:rsid w:val="00EA65B1"/>
    <w:rsid w:val="00EA6D29"/>
    <w:rsid w:val="00EA74A1"/>
    <w:rsid w:val="00EA770A"/>
    <w:rsid w:val="00EB16BE"/>
    <w:rsid w:val="00EB1CB5"/>
    <w:rsid w:val="00EB6702"/>
    <w:rsid w:val="00EB7C5B"/>
    <w:rsid w:val="00EC03C5"/>
    <w:rsid w:val="00EC08B4"/>
    <w:rsid w:val="00EC0FFB"/>
    <w:rsid w:val="00EC1A2A"/>
    <w:rsid w:val="00EC2EDE"/>
    <w:rsid w:val="00EC406B"/>
    <w:rsid w:val="00EC4382"/>
    <w:rsid w:val="00EC5323"/>
    <w:rsid w:val="00EC6846"/>
    <w:rsid w:val="00EC788E"/>
    <w:rsid w:val="00EC7CE4"/>
    <w:rsid w:val="00ED01E6"/>
    <w:rsid w:val="00ED0E68"/>
    <w:rsid w:val="00ED2A81"/>
    <w:rsid w:val="00ED2D6B"/>
    <w:rsid w:val="00ED3ED1"/>
    <w:rsid w:val="00ED64CF"/>
    <w:rsid w:val="00ED65B3"/>
    <w:rsid w:val="00ED7363"/>
    <w:rsid w:val="00ED7D82"/>
    <w:rsid w:val="00EE2B89"/>
    <w:rsid w:val="00EE3C58"/>
    <w:rsid w:val="00EE407B"/>
    <w:rsid w:val="00EE4CC0"/>
    <w:rsid w:val="00EE4FD9"/>
    <w:rsid w:val="00EE628A"/>
    <w:rsid w:val="00EE6F24"/>
    <w:rsid w:val="00EF00D1"/>
    <w:rsid w:val="00EF22C3"/>
    <w:rsid w:val="00EF3C35"/>
    <w:rsid w:val="00EF4006"/>
    <w:rsid w:val="00EF6D5E"/>
    <w:rsid w:val="00F024F6"/>
    <w:rsid w:val="00F03237"/>
    <w:rsid w:val="00F03270"/>
    <w:rsid w:val="00F04570"/>
    <w:rsid w:val="00F04DAD"/>
    <w:rsid w:val="00F07C6B"/>
    <w:rsid w:val="00F07ED0"/>
    <w:rsid w:val="00F12151"/>
    <w:rsid w:val="00F124B1"/>
    <w:rsid w:val="00F127A7"/>
    <w:rsid w:val="00F14B71"/>
    <w:rsid w:val="00F15A1A"/>
    <w:rsid w:val="00F16458"/>
    <w:rsid w:val="00F202FA"/>
    <w:rsid w:val="00F20DC0"/>
    <w:rsid w:val="00F2140E"/>
    <w:rsid w:val="00F2156B"/>
    <w:rsid w:val="00F23277"/>
    <w:rsid w:val="00F251C4"/>
    <w:rsid w:val="00F252C6"/>
    <w:rsid w:val="00F27118"/>
    <w:rsid w:val="00F27C30"/>
    <w:rsid w:val="00F3083D"/>
    <w:rsid w:val="00F30A7B"/>
    <w:rsid w:val="00F30C08"/>
    <w:rsid w:val="00F30C58"/>
    <w:rsid w:val="00F30E13"/>
    <w:rsid w:val="00F316B7"/>
    <w:rsid w:val="00F32367"/>
    <w:rsid w:val="00F32768"/>
    <w:rsid w:val="00F33228"/>
    <w:rsid w:val="00F356E6"/>
    <w:rsid w:val="00F35F84"/>
    <w:rsid w:val="00F36C9B"/>
    <w:rsid w:val="00F374BF"/>
    <w:rsid w:val="00F3776C"/>
    <w:rsid w:val="00F37DC8"/>
    <w:rsid w:val="00F401C3"/>
    <w:rsid w:val="00F4085E"/>
    <w:rsid w:val="00F4120A"/>
    <w:rsid w:val="00F4126F"/>
    <w:rsid w:val="00F41F0F"/>
    <w:rsid w:val="00F43125"/>
    <w:rsid w:val="00F436C9"/>
    <w:rsid w:val="00F468E1"/>
    <w:rsid w:val="00F525B1"/>
    <w:rsid w:val="00F52C82"/>
    <w:rsid w:val="00F53123"/>
    <w:rsid w:val="00F53600"/>
    <w:rsid w:val="00F55482"/>
    <w:rsid w:val="00F558DD"/>
    <w:rsid w:val="00F55A65"/>
    <w:rsid w:val="00F55C53"/>
    <w:rsid w:val="00F56882"/>
    <w:rsid w:val="00F572B0"/>
    <w:rsid w:val="00F57CB1"/>
    <w:rsid w:val="00F60322"/>
    <w:rsid w:val="00F60C0A"/>
    <w:rsid w:val="00F61664"/>
    <w:rsid w:val="00F61BFE"/>
    <w:rsid w:val="00F62349"/>
    <w:rsid w:val="00F6292D"/>
    <w:rsid w:val="00F635E8"/>
    <w:rsid w:val="00F63D8E"/>
    <w:rsid w:val="00F6519D"/>
    <w:rsid w:val="00F65D39"/>
    <w:rsid w:val="00F65DDC"/>
    <w:rsid w:val="00F665E5"/>
    <w:rsid w:val="00F70711"/>
    <w:rsid w:val="00F709BF"/>
    <w:rsid w:val="00F72766"/>
    <w:rsid w:val="00F73B92"/>
    <w:rsid w:val="00F744C4"/>
    <w:rsid w:val="00F75BE9"/>
    <w:rsid w:val="00F7681A"/>
    <w:rsid w:val="00F810B8"/>
    <w:rsid w:val="00F81137"/>
    <w:rsid w:val="00F819DF"/>
    <w:rsid w:val="00F81E39"/>
    <w:rsid w:val="00F84861"/>
    <w:rsid w:val="00F87E8A"/>
    <w:rsid w:val="00F87F9D"/>
    <w:rsid w:val="00F901F1"/>
    <w:rsid w:val="00F926BA"/>
    <w:rsid w:val="00F96478"/>
    <w:rsid w:val="00F9650F"/>
    <w:rsid w:val="00F97539"/>
    <w:rsid w:val="00F97F9E"/>
    <w:rsid w:val="00FA0FC5"/>
    <w:rsid w:val="00FA17D2"/>
    <w:rsid w:val="00FA2032"/>
    <w:rsid w:val="00FA3CFB"/>
    <w:rsid w:val="00FA5D72"/>
    <w:rsid w:val="00FA6662"/>
    <w:rsid w:val="00FA69E4"/>
    <w:rsid w:val="00FA6CD4"/>
    <w:rsid w:val="00FB073E"/>
    <w:rsid w:val="00FB13A6"/>
    <w:rsid w:val="00FB1DB6"/>
    <w:rsid w:val="00FB770F"/>
    <w:rsid w:val="00FC056C"/>
    <w:rsid w:val="00FC0E95"/>
    <w:rsid w:val="00FC1742"/>
    <w:rsid w:val="00FC1969"/>
    <w:rsid w:val="00FC1AE5"/>
    <w:rsid w:val="00FC2889"/>
    <w:rsid w:val="00FC6703"/>
    <w:rsid w:val="00FC6AC1"/>
    <w:rsid w:val="00FD24CC"/>
    <w:rsid w:val="00FD48A6"/>
    <w:rsid w:val="00FD5599"/>
    <w:rsid w:val="00FE0B7A"/>
    <w:rsid w:val="00FE0C97"/>
    <w:rsid w:val="00FE0D29"/>
    <w:rsid w:val="00FE0E99"/>
    <w:rsid w:val="00FE16E9"/>
    <w:rsid w:val="00FE2C6F"/>
    <w:rsid w:val="00FE4660"/>
    <w:rsid w:val="00FE48E0"/>
    <w:rsid w:val="00FE4C38"/>
    <w:rsid w:val="00FE5355"/>
    <w:rsid w:val="00FF08B7"/>
    <w:rsid w:val="00FF1D13"/>
    <w:rsid w:val="00FF2ACF"/>
    <w:rsid w:val="00FF5B13"/>
    <w:rsid w:val="00FF70EE"/>
    <w:rsid w:val="00FF73E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0899CF"/>
  <w15:docId w15:val="{EC2E9E73-49AB-441F-A4DE-93EDAB2476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qFormat="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iPriority="0"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47AC7"/>
    <w:pPr>
      <w:widowControl w:val="0"/>
      <w:suppressAutoHyphens/>
      <w:autoSpaceDE w:val="0"/>
      <w:autoSpaceDN w:val="0"/>
      <w:adjustRightInd w:val="0"/>
      <w:spacing w:after="0" w:line="240" w:lineRule="auto"/>
      <w:jc w:val="both"/>
      <w:textAlignment w:val="center"/>
    </w:pPr>
    <w:rPr>
      <w:rFonts w:ascii="Calibri" w:eastAsia="Times New Roman" w:hAnsi="Calibri" w:cs="Calibri"/>
      <w:color w:val="000000"/>
      <w:sz w:val="20"/>
      <w:szCs w:val="20"/>
    </w:rPr>
  </w:style>
  <w:style w:type="paragraph" w:styleId="Heading1">
    <w:name w:val="heading 1"/>
    <w:basedOn w:val="Normal"/>
    <w:next w:val="BodyText"/>
    <w:link w:val="Heading1Char"/>
    <w:qFormat/>
    <w:rsid w:val="00AA759F"/>
    <w:pPr>
      <w:keepNext/>
      <w:widowControl/>
      <w:numPr>
        <w:numId w:val="100"/>
      </w:numPr>
      <w:suppressAutoHyphens w:val="0"/>
      <w:autoSpaceDE/>
      <w:autoSpaceDN/>
      <w:adjustRightInd/>
      <w:spacing w:after="240"/>
      <w:jc w:val="left"/>
      <w:textAlignment w:val="auto"/>
      <w:outlineLvl w:val="0"/>
    </w:pPr>
    <w:rPr>
      <w:rFonts w:ascii="Cambria" w:eastAsia="MS Gothic" w:hAnsi="Cambria" w:cs="Cambria"/>
      <w:smallCaps/>
      <w:sz w:val="32"/>
      <w:szCs w:val="32"/>
    </w:rPr>
  </w:style>
  <w:style w:type="paragraph" w:styleId="Heading2">
    <w:name w:val="heading 2"/>
    <w:basedOn w:val="Normal"/>
    <w:next w:val="BodyText"/>
    <w:link w:val="Heading2Char"/>
    <w:qFormat/>
    <w:rsid w:val="004D4172"/>
    <w:pPr>
      <w:keepNext/>
      <w:widowControl/>
      <w:numPr>
        <w:ilvl w:val="1"/>
        <w:numId w:val="100"/>
      </w:numPr>
      <w:autoSpaceDE/>
      <w:autoSpaceDN/>
      <w:adjustRightInd/>
      <w:spacing w:before="240" w:after="120"/>
      <w:jc w:val="left"/>
      <w:textAlignment w:val="auto"/>
      <w:outlineLvl w:val="1"/>
    </w:pPr>
    <w:rPr>
      <w:rFonts w:ascii="Cambria" w:hAnsi="Cambria" w:cs="Cambria"/>
      <w:caps/>
      <w:sz w:val="26"/>
      <w:szCs w:val="26"/>
    </w:rPr>
  </w:style>
  <w:style w:type="paragraph" w:styleId="Heading3">
    <w:name w:val="heading 3"/>
    <w:basedOn w:val="Normal"/>
    <w:next w:val="BodyText"/>
    <w:link w:val="Heading3Char"/>
    <w:qFormat/>
    <w:rsid w:val="009E43D6"/>
    <w:pPr>
      <w:keepNext/>
      <w:widowControl/>
      <w:numPr>
        <w:ilvl w:val="2"/>
        <w:numId w:val="100"/>
      </w:numPr>
      <w:suppressAutoHyphens w:val="0"/>
      <w:autoSpaceDE/>
      <w:autoSpaceDN/>
      <w:adjustRightInd/>
      <w:spacing w:before="240" w:after="120"/>
      <w:jc w:val="left"/>
      <w:textAlignment w:val="auto"/>
      <w:outlineLvl w:val="2"/>
    </w:pPr>
    <w:rPr>
      <w:rFonts w:ascii="Cambria" w:hAnsi="Cambria" w:cstheme="minorHAnsi"/>
      <w:bCs/>
      <w:smallCaps/>
      <w:color w:val="auto"/>
      <w:sz w:val="26"/>
      <w:szCs w:val="26"/>
    </w:rPr>
  </w:style>
  <w:style w:type="paragraph" w:styleId="Heading4">
    <w:name w:val="heading 4"/>
    <w:basedOn w:val="Normal"/>
    <w:next w:val="BodyText"/>
    <w:link w:val="Heading4Char"/>
    <w:qFormat/>
    <w:rsid w:val="009E43D6"/>
    <w:pPr>
      <w:keepNext/>
      <w:widowControl/>
      <w:numPr>
        <w:ilvl w:val="3"/>
        <w:numId w:val="100"/>
      </w:numPr>
      <w:suppressAutoHyphens w:val="0"/>
      <w:autoSpaceDE/>
      <w:autoSpaceDN/>
      <w:adjustRightInd/>
      <w:spacing w:before="240" w:after="120"/>
      <w:jc w:val="left"/>
      <w:textAlignment w:val="auto"/>
      <w:outlineLvl w:val="3"/>
    </w:pPr>
    <w:rPr>
      <w:rFonts w:ascii="Cambria" w:hAnsi="Cambria" w:cstheme="minorHAnsi"/>
      <w:bCs/>
      <w:smallCaps/>
      <w:color w:val="auto"/>
      <w:sz w:val="24"/>
      <w:szCs w:val="24"/>
    </w:rPr>
  </w:style>
  <w:style w:type="paragraph" w:styleId="Heading5">
    <w:name w:val="heading 5"/>
    <w:basedOn w:val="Heading5Headings"/>
    <w:next w:val="Normal"/>
    <w:link w:val="Heading5Char"/>
    <w:qFormat/>
    <w:rsid w:val="009C337D"/>
    <w:pPr>
      <w:numPr>
        <w:ilvl w:val="4"/>
        <w:numId w:val="100"/>
      </w:numPr>
      <w:outlineLvl w:val="4"/>
    </w:pPr>
  </w:style>
  <w:style w:type="paragraph" w:styleId="Heading6">
    <w:name w:val="heading 6"/>
    <w:basedOn w:val="Heading2-ExecSumHeadings"/>
    <w:next w:val="BodyText"/>
    <w:link w:val="Heading6Char"/>
    <w:uiPriority w:val="9"/>
    <w:qFormat/>
    <w:rsid w:val="00871F71"/>
    <w:pPr>
      <w:numPr>
        <w:ilvl w:val="0"/>
        <w:numId w:val="0"/>
      </w:numPr>
      <w:outlineLvl w:val="5"/>
    </w:pPr>
    <w:rPr>
      <w:rFonts w:ascii="Cambria" w:hAnsi="Cambria"/>
    </w:rPr>
  </w:style>
  <w:style w:type="paragraph" w:styleId="Heading7">
    <w:name w:val="heading 7"/>
    <w:basedOn w:val="Heading6"/>
    <w:next w:val="BodyText"/>
    <w:link w:val="Heading7Char"/>
    <w:uiPriority w:val="9"/>
    <w:qFormat/>
    <w:rsid w:val="00046060"/>
    <w:pPr>
      <w:numPr>
        <w:ilvl w:val="6"/>
      </w:numPr>
      <w:spacing w:before="360" w:after="0"/>
      <w:outlineLvl w:val="6"/>
    </w:pPr>
    <w:rPr>
      <w:sz w:val="28"/>
      <w:szCs w:val="28"/>
    </w:rPr>
  </w:style>
  <w:style w:type="paragraph" w:styleId="Heading8">
    <w:name w:val="heading 8"/>
    <w:basedOn w:val="Heading7"/>
    <w:next w:val="BodyText"/>
    <w:link w:val="Heading8Char"/>
    <w:uiPriority w:val="9"/>
    <w:qFormat/>
    <w:rsid w:val="00046060"/>
    <w:pPr>
      <w:numPr>
        <w:ilvl w:val="7"/>
      </w:numPr>
      <w:spacing w:before="240"/>
      <w:outlineLvl w:val="7"/>
    </w:pPr>
    <w:rPr>
      <w:sz w:val="26"/>
      <w:szCs w:val="26"/>
    </w:rPr>
  </w:style>
  <w:style w:type="paragraph" w:styleId="Heading9">
    <w:name w:val="heading 9"/>
    <w:basedOn w:val="Normal"/>
    <w:next w:val="BodyText"/>
    <w:link w:val="Heading9Char"/>
    <w:uiPriority w:val="99"/>
    <w:qFormat/>
    <w:rsid w:val="00557B5F"/>
    <w:pPr>
      <w:numPr>
        <w:ilvl w:val="8"/>
        <w:numId w:val="107"/>
      </w:numPr>
      <w:jc w:val="center"/>
      <w:outlineLvl w:val="8"/>
    </w:pPr>
    <w:rPr>
      <w:rFonts w:ascii="Cambria" w:hAnsi="Cambria"/>
      <w:b/>
      <w:bCs/>
      <w:sz w:val="56"/>
      <w:szCs w:val="7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AA759F"/>
    <w:rPr>
      <w:rFonts w:ascii="Cambria" w:eastAsia="MS Gothic" w:hAnsi="Cambria" w:cs="Cambria"/>
      <w:smallCaps/>
      <w:color w:val="000000"/>
      <w:sz w:val="32"/>
      <w:szCs w:val="32"/>
    </w:rPr>
  </w:style>
  <w:style w:type="character" w:customStyle="1" w:styleId="Heading2Char">
    <w:name w:val="Heading 2 Char"/>
    <w:basedOn w:val="DefaultParagraphFont"/>
    <w:link w:val="Heading2"/>
    <w:rsid w:val="004D4172"/>
    <w:rPr>
      <w:rFonts w:ascii="Cambria" w:eastAsia="Times New Roman" w:hAnsi="Cambria" w:cs="Cambria"/>
      <w:caps/>
      <w:color w:val="000000"/>
      <w:sz w:val="26"/>
      <w:szCs w:val="26"/>
    </w:rPr>
  </w:style>
  <w:style w:type="character" w:customStyle="1" w:styleId="Heading3Char">
    <w:name w:val="Heading 3 Char"/>
    <w:basedOn w:val="DefaultParagraphFont"/>
    <w:link w:val="Heading3"/>
    <w:rsid w:val="009E43D6"/>
    <w:rPr>
      <w:rFonts w:ascii="Cambria" w:eastAsia="Times New Roman" w:hAnsi="Cambria" w:cstheme="minorHAnsi"/>
      <w:bCs/>
      <w:smallCaps/>
      <w:sz w:val="26"/>
      <w:szCs w:val="26"/>
    </w:rPr>
  </w:style>
  <w:style w:type="character" w:customStyle="1" w:styleId="Heading4Char">
    <w:name w:val="Heading 4 Char"/>
    <w:basedOn w:val="DefaultParagraphFont"/>
    <w:link w:val="Heading4"/>
    <w:rsid w:val="009E43D6"/>
    <w:rPr>
      <w:rFonts w:ascii="Cambria" w:eastAsia="Times New Roman" w:hAnsi="Cambria" w:cstheme="minorHAnsi"/>
      <w:bCs/>
      <w:smallCaps/>
      <w:sz w:val="24"/>
      <w:szCs w:val="24"/>
    </w:rPr>
  </w:style>
  <w:style w:type="character" w:customStyle="1" w:styleId="Heading5Char">
    <w:name w:val="Heading 5 Char"/>
    <w:basedOn w:val="DefaultParagraphFont"/>
    <w:link w:val="Heading5"/>
    <w:rsid w:val="009C337D"/>
    <w:rPr>
      <w:rFonts w:ascii="Cambria" w:eastAsia="MS Gothic" w:hAnsi="Cambria" w:cs="Cambria"/>
      <w:smallCaps/>
      <w:color w:val="000000"/>
      <w:sz w:val="32"/>
      <w:szCs w:val="32"/>
    </w:rPr>
  </w:style>
  <w:style w:type="character" w:customStyle="1" w:styleId="Heading6Char">
    <w:name w:val="Heading 6 Char"/>
    <w:basedOn w:val="DefaultParagraphFont"/>
    <w:link w:val="Heading6"/>
    <w:uiPriority w:val="9"/>
    <w:rsid w:val="00871F71"/>
    <w:rPr>
      <w:rFonts w:ascii="Cambria" w:eastAsia="Times New Roman" w:hAnsi="Cambria" w:cstheme="minorHAnsi"/>
      <w:caps/>
      <w:color w:val="000000"/>
      <w:sz w:val="26"/>
      <w:szCs w:val="26"/>
    </w:rPr>
  </w:style>
  <w:style w:type="character" w:customStyle="1" w:styleId="Heading7Char">
    <w:name w:val="Heading 7 Char"/>
    <w:basedOn w:val="DefaultParagraphFont"/>
    <w:link w:val="Heading7"/>
    <w:uiPriority w:val="9"/>
    <w:rsid w:val="00046060"/>
    <w:rPr>
      <w:rFonts w:eastAsia="Times New Roman" w:cstheme="minorHAnsi"/>
      <w:caps/>
      <w:color w:val="000000"/>
      <w:sz w:val="28"/>
      <w:szCs w:val="28"/>
    </w:rPr>
  </w:style>
  <w:style w:type="character" w:customStyle="1" w:styleId="Heading8Char">
    <w:name w:val="Heading 8 Char"/>
    <w:basedOn w:val="DefaultParagraphFont"/>
    <w:link w:val="Heading8"/>
    <w:uiPriority w:val="9"/>
    <w:rsid w:val="00046060"/>
    <w:rPr>
      <w:rFonts w:eastAsia="Times New Roman" w:cstheme="minorHAnsi"/>
      <w:caps/>
      <w:color w:val="000000"/>
      <w:sz w:val="26"/>
      <w:szCs w:val="26"/>
    </w:rPr>
  </w:style>
  <w:style w:type="character" w:customStyle="1" w:styleId="Heading9Char">
    <w:name w:val="Heading 9 Char"/>
    <w:basedOn w:val="DefaultParagraphFont"/>
    <w:link w:val="Heading9"/>
    <w:uiPriority w:val="99"/>
    <w:rsid w:val="00557B5F"/>
    <w:rPr>
      <w:rFonts w:ascii="Cambria" w:eastAsia="Times New Roman" w:hAnsi="Cambria" w:cs="Calibri"/>
      <w:b/>
      <w:bCs/>
      <w:color w:val="000000"/>
      <w:sz w:val="56"/>
      <w:szCs w:val="72"/>
    </w:rPr>
  </w:style>
  <w:style w:type="paragraph" w:customStyle="1" w:styleId="Heading1-ExecSumHeadings">
    <w:name w:val="Heading 1-Exec Sum (Headings)"/>
    <w:basedOn w:val="Heading11"/>
    <w:uiPriority w:val="99"/>
    <w:rsid w:val="00374D21"/>
    <w:pPr>
      <w:jc w:val="left"/>
    </w:pPr>
    <w:rPr>
      <w:rFonts w:ascii="Arial" w:hAnsi="Arial" w:cs="Arial"/>
      <w:smallCaps w:val="0"/>
    </w:rPr>
  </w:style>
  <w:style w:type="paragraph" w:customStyle="1" w:styleId="Heading2-ExecSumHeadings">
    <w:name w:val="Heading 2-Exec Sum (Headings)"/>
    <w:basedOn w:val="Normal"/>
    <w:uiPriority w:val="99"/>
    <w:rsid w:val="007E763C"/>
    <w:pPr>
      <w:keepNext/>
      <w:numPr>
        <w:ilvl w:val="1"/>
        <w:numId w:val="99"/>
      </w:numPr>
      <w:spacing w:before="240" w:after="120"/>
      <w:jc w:val="left"/>
    </w:pPr>
    <w:rPr>
      <w:rFonts w:asciiTheme="minorHAnsi" w:hAnsiTheme="minorHAnsi" w:cstheme="minorHAnsi"/>
      <w:caps/>
      <w:sz w:val="26"/>
      <w:szCs w:val="26"/>
    </w:rPr>
  </w:style>
  <w:style w:type="paragraph" w:styleId="BodyText">
    <w:name w:val="Body Text"/>
    <w:aliases w:val="Body Text TMG"/>
    <w:basedOn w:val="Normal"/>
    <w:link w:val="BodyTextChar"/>
    <w:qFormat/>
    <w:rsid w:val="00D91CD0"/>
    <w:pPr>
      <w:widowControl/>
      <w:spacing w:after="120"/>
      <w:jc w:val="left"/>
    </w:pPr>
    <w:rPr>
      <w:color w:val="auto"/>
    </w:rPr>
  </w:style>
  <w:style w:type="character" w:customStyle="1" w:styleId="BodyTextChar">
    <w:name w:val="Body Text Char"/>
    <w:aliases w:val="Body Text TMG Char"/>
    <w:basedOn w:val="DefaultParagraphFont"/>
    <w:link w:val="BodyText"/>
    <w:rsid w:val="00D91CD0"/>
    <w:rPr>
      <w:rFonts w:ascii="Calibri" w:eastAsia="Times New Roman" w:hAnsi="Calibri" w:cs="Calibri"/>
      <w:sz w:val="20"/>
      <w:szCs w:val="20"/>
    </w:rPr>
  </w:style>
  <w:style w:type="paragraph" w:customStyle="1" w:styleId="ListBulletBulletsandNumbering">
    <w:name w:val="List Bullet (Bullets and Numbering)"/>
    <w:basedOn w:val="BodyText"/>
    <w:link w:val="ListBulletBulletsandNumberingChar"/>
    <w:uiPriority w:val="99"/>
    <w:rsid w:val="00046060"/>
    <w:pPr>
      <w:numPr>
        <w:numId w:val="1"/>
      </w:numPr>
      <w:ind w:hanging="260"/>
    </w:pPr>
  </w:style>
  <w:style w:type="paragraph" w:customStyle="1" w:styleId="ListBullet2BulletsandNumbering">
    <w:name w:val="List Bullet 2 (Bullets and Numbering)"/>
    <w:basedOn w:val="ListBulletBulletsandNumbering"/>
    <w:uiPriority w:val="99"/>
    <w:rsid w:val="00046060"/>
    <w:pPr>
      <w:numPr>
        <w:ilvl w:val="1"/>
      </w:numPr>
      <w:ind w:left="1800"/>
    </w:pPr>
  </w:style>
  <w:style w:type="character" w:customStyle="1" w:styleId="Italic">
    <w:name w:val="Italic"/>
    <w:uiPriority w:val="99"/>
    <w:rsid w:val="00046060"/>
    <w:rPr>
      <w:i/>
    </w:rPr>
  </w:style>
  <w:style w:type="character" w:customStyle="1" w:styleId="Bold">
    <w:name w:val="Bold"/>
    <w:uiPriority w:val="99"/>
    <w:rsid w:val="00046060"/>
  </w:style>
  <w:style w:type="paragraph" w:styleId="BalloonText">
    <w:name w:val="Balloon Text"/>
    <w:basedOn w:val="Normal"/>
    <w:link w:val="BalloonTextChar"/>
    <w:uiPriority w:val="99"/>
    <w:semiHidden/>
    <w:unhideWhenUsed/>
    <w:rsid w:val="00046060"/>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046060"/>
    <w:rPr>
      <w:rFonts w:ascii="Times New Roman" w:eastAsia="Times New Roman" w:hAnsi="Times New Roman" w:cs="Times New Roman"/>
      <w:color w:val="000000"/>
      <w:sz w:val="18"/>
      <w:szCs w:val="18"/>
    </w:rPr>
  </w:style>
  <w:style w:type="paragraph" w:styleId="Footer">
    <w:name w:val="footer"/>
    <w:basedOn w:val="Normal"/>
    <w:link w:val="FooterChar"/>
    <w:uiPriority w:val="99"/>
    <w:unhideWhenUsed/>
    <w:qFormat/>
    <w:rsid w:val="00046060"/>
    <w:pPr>
      <w:widowControl/>
      <w:tabs>
        <w:tab w:val="center" w:pos="4680"/>
        <w:tab w:val="right" w:pos="9360"/>
      </w:tabs>
      <w:suppressAutoHyphens w:val="0"/>
      <w:autoSpaceDE/>
      <w:autoSpaceDN/>
      <w:adjustRightInd/>
      <w:jc w:val="left"/>
      <w:textAlignment w:val="auto"/>
    </w:pPr>
    <w:rPr>
      <w:rFonts w:ascii="Arial" w:eastAsiaTheme="minorHAnsi" w:hAnsi="Arial" w:cstheme="minorBidi"/>
      <w:color w:val="auto"/>
      <w:szCs w:val="22"/>
    </w:rPr>
  </w:style>
  <w:style w:type="character" w:customStyle="1" w:styleId="FooterChar">
    <w:name w:val="Footer Char"/>
    <w:basedOn w:val="DefaultParagraphFont"/>
    <w:link w:val="Footer"/>
    <w:uiPriority w:val="99"/>
    <w:rsid w:val="00046060"/>
    <w:rPr>
      <w:rFonts w:ascii="Arial" w:hAnsi="Arial"/>
      <w:sz w:val="20"/>
    </w:rPr>
  </w:style>
  <w:style w:type="character" w:styleId="Hyperlink">
    <w:name w:val="Hyperlink"/>
    <w:basedOn w:val="DefaultParagraphFont"/>
    <w:uiPriority w:val="99"/>
    <w:unhideWhenUsed/>
    <w:rsid w:val="00046060"/>
    <w:rPr>
      <w:color w:val="0563C1" w:themeColor="hyperlink"/>
      <w:u w:val="single"/>
    </w:rPr>
  </w:style>
  <w:style w:type="paragraph" w:styleId="TOC1">
    <w:name w:val="toc 1"/>
    <w:basedOn w:val="Normal"/>
    <w:next w:val="Normal"/>
    <w:autoRedefine/>
    <w:uiPriority w:val="39"/>
    <w:unhideWhenUsed/>
    <w:qFormat/>
    <w:rsid w:val="00B21798"/>
    <w:pPr>
      <w:widowControl/>
      <w:tabs>
        <w:tab w:val="right" w:leader="dot" w:pos="9350"/>
      </w:tabs>
      <w:suppressAutoHyphens w:val="0"/>
      <w:autoSpaceDE/>
      <w:autoSpaceDN/>
      <w:adjustRightInd/>
      <w:spacing w:before="120"/>
      <w:ind w:left="936" w:right="720" w:hanging="936"/>
      <w:jc w:val="left"/>
      <w:textAlignment w:val="auto"/>
    </w:pPr>
    <w:rPr>
      <w:rFonts w:eastAsiaTheme="minorHAnsi"/>
      <w:b/>
      <w:noProof/>
      <w:color w:val="000000" w:themeColor="text1"/>
    </w:rPr>
  </w:style>
  <w:style w:type="paragraph" w:styleId="TOC2">
    <w:name w:val="toc 2"/>
    <w:basedOn w:val="Normal"/>
    <w:next w:val="Normal"/>
    <w:autoRedefine/>
    <w:uiPriority w:val="39"/>
    <w:unhideWhenUsed/>
    <w:rsid w:val="00D6698F"/>
    <w:pPr>
      <w:widowControl/>
      <w:tabs>
        <w:tab w:val="right" w:leader="dot" w:pos="9350"/>
      </w:tabs>
      <w:suppressAutoHyphens w:val="0"/>
      <w:autoSpaceDE/>
      <w:autoSpaceDN/>
      <w:adjustRightInd/>
      <w:ind w:left="1368" w:right="720" w:hanging="432"/>
      <w:jc w:val="left"/>
      <w:textAlignment w:val="auto"/>
    </w:pPr>
    <w:rPr>
      <w:rFonts w:eastAsiaTheme="minorHAnsi"/>
      <w:noProof/>
      <w:color w:val="auto"/>
      <w:szCs w:val="22"/>
    </w:rPr>
  </w:style>
  <w:style w:type="paragraph" w:styleId="Header">
    <w:name w:val="header"/>
    <w:aliases w:val="hd"/>
    <w:basedOn w:val="Normal"/>
    <w:link w:val="HeaderChar"/>
    <w:uiPriority w:val="99"/>
    <w:unhideWhenUsed/>
    <w:qFormat/>
    <w:rsid w:val="00046060"/>
    <w:pPr>
      <w:widowControl/>
      <w:tabs>
        <w:tab w:val="center" w:pos="4680"/>
        <w:tab w:val="right" w:pos="9360"/>
      </w:tabs>
      <w:suppressAutoHyphens w:val="0"/>
      <w:autoSpaceDE/>
      <w:autoSpaceDN/>
      <w:adjustRightInd/>
      <w:spacing w:before="120" w:after="120"/>
      <w:jc w:val="left"/>
      <w:textAlignment w:val="auto"/>
    </w:pPr>
    <w:rPr>
      <w:rFonts w:ascii="Arial" w:eastAsiaTheme="minorHAnsi" w:hAnsi="Arial" w:cstheme="minorBidi"/>
      <w:color w:val="auto"/>
      <w:szCs w:val="22"/>
    </w:rPr>
  </w:style>
  <w:style w:type="character" w:customStyle="1" w:styleId="HeaderChar">
    <w:name w:val="Header Char"/>
    <w:aliases w:val="hd Char"/>
    <w:basedOn w:val="DefaultParagraphFont"/>
    <w:link w:val="Header"/>
    <w:uiPriority w:val="99"/>
    <w:rsid w:val="00046060"/>
    <w:rPr>
      <w:rFonts w:ascii="Arial" w:hAnsi="Arial"/>
      <w:sz w:val="20"/>
    </w:rPr>
  </w:style>
  <w:style w:type="paragraph" w:styleId="Title">
    <w:name w:val="Title"/>
    <w:aliases w:val="Cover Title"/>
    <w:basedOn w:val="Normal"/>
    <w:next w:val="Normal"/>
    <w:link w:val="TitleChar"/>
    <w:uiPriority w:val="10"/>
    <w:qFormat/>
    <w:rsid w:val="00046060"/>
    <w:pPr>
      <w:widowControl/>
      <w:suppressAutoHyphens w:val="0"/>
      <w:autoSpaceDE/>
      <w:autoSpaceDN/>
      <w:adjustRightInd/>
      <w:jc w:val="left"/>
      <w:textAlignment w:val="auto"/>
    </w:pPr>
    <w:rPr>
      <w:rFonts w:ascii="Arial" w:eastAsiaTheme="minorHAnsi" w:hAnsi="Arial" w:cs="Arial"/>
      <w:bCs/>
      <w:color w:val="005596"/>
      <w:sz w:val="56"/>
      <w:szCs w:val="60"/>
    </w:rPr>
  </w:style>
  <w:style w:type="character" w:customStyle="1" w:styleId="TitleChar">
    <w:name w:val="Title Char"/>
    <w:aliases w:val="Cover Title Char"/>
    <w:basedOn w:val="DefaultParagraphFont"/>
    <w:link w:val="Title"/>
    <w:uiPriority w:val="10"/>
    <w:rsid w:val="00046060"/>
    <w:rPr>
      <w:rFonts w:ascii="Arial" w:hAnsi="Arial" w:cs="Arial"/>
      <w:bCs/>
      <w:color w:val="005596"/>
      <w:sz w:val="56"/>
      <w:szCs w:val="60"/>
    </w:rPr>
  </w:style>
  <w:style w:type="paragraph" w:customStyle="1" w:styleId="Title2">
    <w:name w:val="Title 2"/>
    <w:basedOn w:val="Title"/>
    <w:uiPriority w:val="99"/>
    <w:qFormat/>
    <w:rsid w:val="00046060"/>
    <w:rPr>
      <w:color w:val="000000" w:themeColor="text1"/>
      <w:sz w:val="36"/>
      <w:lang w:eastAsia="zh-TW"/>
    </w:rPr>
  </w:style>
  <w:style w:type="paragraph" w:customStyle="1" w:styleId="Title3">
    <w:name w:val="Title 3"/>
    <w:basedOn w:val="Title2"/>
    <w:uiPriority w:val="99"/>
    <w:qFormat/>
    <w:rsid w:val="00046060"/>
    <w:pPr>
      <w:spacing w:before="360"/>
    </w:pPr>
    <w:rPr>
      <w:sz w:val="28"/>
    </w:rPr>
  </w:style>
  <w:style w:type="paragraph" w:styleId="TableofFigures">
    <w:name w:val="table of figures"/>
    <w:basedOn w:val="Normal"/>
    <w:next w:val="Normal"/>
    <w:uiPriority w:val="99"/>
    <w:unhideWhenUsed/>
    <w:rsid w:val="00207990"/>
    <w:pPr>
      <w:tabs>
        <w:tab w:val="right" w:leader="dot" w:pos="9350"/>
      </w:tabs>
      <w:spacing w:after="60"/>
      <w:ind w:left="403" w:right="720" w:hanging="403"/>
      <w:jc w:val="left"/>
    </w:pPr>
    <w:rPr>
      <w:rFonts w:asciiTheme="minorHAnsi" w:hAnsiTheme="minorHAnsi"/>
      <w:noProof/>
    </w:rPr>
  </w:style>
  <w:style w:type="character" w:customStyle="1" w:styleId="A3">
    <w:name w:val="A3"/>
    <w:uiPriority w:val="99"/>
    <w:rsid w:val="00046060"/>
    <w:rPr>
      <w:rFonts w:cs="Helvetica LT Std"/>
      <w:color w:val="000000"/>
      <w:sz w:val="14"/>
      <w:szCs w:val="14"/>
    </w:rPr>
  </w:style>
  <w:style w:type="paragraph" w:customStyle="1" w:styleId="Pa0">
    <w:name w:val="Pa0"/>
    <w:basedOn w:val="Normal"/>
    <w:next w:val="Normal"/>
    <w:uiPriority w:val="99"/>
    <w:rsid w:val="00046060"/>
    <w:pPr>
      <w:widowControl/>
      <w:suppressAutoHyphens w:val="0"/>
      <w:spacing w:line="241" w:lineRule="atLeast"/>
      <w:jc w:val="left"/>
      <w:textAlignment w:val="auto"/>
    </w:pPr>
    <w:rPr>
      <w:rFonts w:ascii="Helvetica LT Std" w:eastAsiaTheme="minorHAnsi" w:hAnsi="Helvetica LT Std" w:cstheme="minorBidi"/>
      <w:color w:val="auto"/>
      <w:sz w:val="24"/>
      <w:szCs w:val="24"/>
    </w:rPr>
  </w:style>
  <w:style w:type="character" w:customStyle="1" w:styleId="A6">
    <w:name w:val="A6"/>
    <w:uiPriority w:val="99"/>
    <w:rsid w:val="00046060"/>
    <w:rPr>
      <w:rFonts w:ascii="Helvetica LT Std Light" w:hAnsi="Helvetica LT Std Light" w:cs="Helvetica LT Std Light"/>
      <w:color w:val="000000"/>
      <w:sz w:val="20"/>
      <w:szCs w:val="20"/>
    </w:rPr>
  </w:style>
  <w:style w:type="paragraph" w:customStyle="1" w:styleId="NoParagraphStyle">
    <w:name w:val="[No Paragraph Style]"/>
    <w:link w:val="NoParagraphStyleChar"/>
    <w:rsid w:val="00046060"/>
    <w:pPr>
      <w:widowControl w:val="0"/>
      <w:autoSpaceDE w:val="0"/>
      <w:autoSpaceDN w:val="0"/>
      <w:adjustRightInd w:val="0"/>
      <w:spacing w:after="0" w:line="288" w:lineRule="auto"/>
      <w:textAlignment w:val="center"/>
    </w:pPr>
    <w:rPr>
      <w:rFonts w:ascii="Minion Pro" w:eastAsia="Times New Roman" w:hAnsi="Minion Pro" w:cs="Minion Pro"/>
      <w:color w:val="000000"/>
      <w:sz w:val="24"/>
      <w:szCs w:val="24"/>
    </w:rPr>
  </w:style>
  <w:style w:type="paragraph" w:customStyle="1" w:styleId="Heading1Headings">
    <w:name w:val="Heading 1 (Headings)"/>
    <w:basedOn w:val="NoParagraphStyle"/>
    <w:uiPriority w:val="99"/>
    <w:rsid w:val="00046060"/>
    <w:pPr>
      <w:numPr>
        <w:numId w:val="2"/>
      </w:numPr>
      <w:suppressAutoHyphens/>
      <w:spacing w:before="1200" w:after="840"/>
    </w:pPr>
    <w:rPr>
      <w:rFonts w:ascii="Cambria" w:hAnsi="Cambria" w:cs="Cambria"/>
      <w:smallCaps/>
      <w:sz w:val="32"/>
      <w:szCs w:val="32"/>
    </w:rPr>
  </w:style>
  <w:style w:type="paragraph" w:customStyle="1" w:styleId="Heading1-2Headings">
    <w:name w:val="Heading 1-2 (Headings)"/>
    <w:basedOn w:val="Heading1Headings"/>
    <w:uiPriority w:val="99"/>
    <w:rsid w:val="00046060"/>
    <w:pPr>
      <w:spacing w:after="360"/>
    </w:pPr>
  </w:style>
  <w:style w:type="paragraph" w:customStyle="1" w:styleId="Heading2Headings">
    <w:name w:val="Heading 2 (Headings)"/>
    <w:basedOn w:val="NoParagraphStyle"/>
    <w:uiPriority w:val="99"/>
    <w:rsid w:val="00046060"/>
    <w:pPr>
      <w:numPr>
        <w:ilvl w:val="1"/>
        <w:numId w:val="2"/>
      </w:numPr>
      <w:tabs>
        <w:tab w:val="num" w:pos="576"/>
      </w:tabs>
      <w:suppressAutoHyphens/>
      <w:spacing w:before="200" w:after="60"/>
      <w:ind w:left="576" w:hanging="288"/>
    </w:pPr>
    <w:rPr>
      <w:rFonts w:ascii="Cambria" w:hAnsi="Cambria" w:cs="Cambria"/>
      <w:caps/>
      <w:sz w:val="28"/>
      <w:szCs w:val="28"/>
    </w:rPr>
  </w:style>
  <w:style w:type="paragraph" w:customStyle="1" w:styleId="Heading3Headings">
    <w:name w:val="Heading 3 (Headings)"/>
    <w:basedOn w:val="Heading3"/>
    <w:link w:val="Heading3HeadingsChar"/>
    <w:uiPriority w:val="99"/>
    <w:rsid w:val="00046060"/>
    <w:pPr>
      <w:numPr>
        <w:numId w:val="0"/>
      </w:numPr>
      <w:suppressAutoHyphens/>
      <w:ind w:left="1080" w:hanging="810"/>
    </w:pPr>
    <w:rPr>
      <w:b/>
      <w:smallCaps w:val="0"/>
    </w:rPr>
  </w:style>
  <w:style w:type="paragraph" w:customStyle="1" w:styleId="Heading4Headings">
    <w:name w:val="Heading 4 (Headings)"/>
    <w:basedOn w:val="NoParagraphStyle"/>
    <w:link w:val="Heading4HeadingsChar"/>
    <w:uiPriority w:val="99"/>
    <w:rsid w:val="00046060"/>
    <w:pPr>
      <w:keepNext/>
      <w:suppressAutoHyphens/>
      <w:spacing w:before="240" w:after="120" w:line="240" w:lineRule="auto"/>
      <w:ind w:left="1080"/>
    </w:pPr>
    <w:rPr>
      <w:rFonts w:ascii="Cambria" w:hAnsi="Cambria" w:cs="Cambria"/>
      <w:b/>
      <w:bCs/>
    </w:rPr>
  </w:style>
  <w:style w:type="paragraph" w:customStyle="1" w:styleId="CaptionTableTable">
    <w:name w:val="Caption Table (Table)"/>
    <w:basedOn w:val="NoParagraphStyle"/>
    <w:uiPriority w:val="99"/>
    <w:rsid w:val="00046060"/>
    <w:pPr>
      <w:keepNext/>
      <w:widowControl/>
      <w:suppressAutoHyphens/>
      <w:spacing w:before="360" w:after="120" w:line="240" w:lineRule="auto"/>
      <w:ind w:left="2534" w:hanging="1440"/>
      <w:contextualSpacing/>
    </w:pPr>
    <w:rPr>
      <w:rFonts w:ascii="Calibri" w:hAnsi="Calibri" w:cs="Calibri"/>
      <w:b/>
      <w:bCs/>
      <w:smallCaps/>
      <w:szCs w:val="22"/>
    </w:rPr>
  </w:style>
  <w:style w:type="paragraph" w:customStyle="1" w:styleId="Heading5Headings">
    <w:name w:val="Heading 5 (Headings)"/>
    <w:basedOn w:val="Heading1"/>
    <w:next w:val="BodyText"/>
    <w:uiPriority w:val="99"/>
    <w:rsid w:val="00B90CB1"/>
    <w:pPr>
      <w:numPr>
        <w:numId w:val="0"/>
      </w:numPr>
    </w:pPr>
  </w:style>
  <w:style w:type="paragraph" w:customStyle="1" w:styleId="equation">
    <w:name w:val="equation"/>
    <w:basedOn w:val="BodyText"/>
    <w:uiPriority w:val="99"/>
    <w:rsid w:val="00046060"/>
    <w:pPr>
      <w:tabs>
        <w:tab w:val="left" w:pos="1700"/>
      </w:tabs>
      <w:spacing w:after="0"/>
      <w:ind w:left="2160" w:hanging="1080"/>
    </w:pPr>
  </w:style>
  <w:style w:type="paragraph" w:customStyle="1" w:styleId="equationlast">
    <w:name w:val="equation last"/>
    <w:basedOn w:val="BodyText"/>
    <w:uiPriority w:val="99"/>
    <w:rsid w:val="00046060"/>
    <w:pPr>
      <w:tabs>
        <w:tab w:val="left" w:pos="2160"/>
        <w:tab w:val="left" w:pos="3120"/>
      </w:tabs>
      <w:ind w:left="1700" w:hanging="620"/>
    </w:pPr>
  </w:style>
  <w:style w:type="paragraph" w:customStyle="1" w:styleId="ListContinueBulletsandNumbering">
    <w:name w:val="List Continue (Bullets and Numbering)"/>
    <w:basedOn w:val="BodyText"/>
    <w:uiPriority w:val="99"/>
    <w:rsid w:val="00046060"/>
    <w:pPr>
      <w:ind w:left="1800"/>
    </w:pPr>
  </w:style>
  <w:style w:type="paragraph" w:customStyle="1" w:styleId="BulletcontinuedBulletsandNumbering">
    <w:name w:val="Bullet continued (Bullets and Numbering)"/>
    <w:basedOn w:val="ListContinueBulletsandNumbering"/>
    <w:uiPriority w:val="99"/>
    <w:rsid w:val="00046060"/>
    <w:pPr>
      <w:tabs>
        <w:tab w:val="left" w:pos="1440"/>
      </w:tabs>
      <w:ind w:left="1440"/>
    </w:pPr>
  </w:style>
  <w:style w:type="paragraph" w:customStyle="1" w:styleId="Source">
    <w:name w:val="Source"/>
    <w:basedOn w:val="BodyText"/>
    <w:link w:val="SourceChar"/>
    <w:uiPriority w:val="99"/>
    <w:qFormat/>
    <w:rsid w:val="00B854E1"/>
    <w:pPr>
      <w:spacing w:before="120"/>
    </w:pPr>
    <w:rPr>
      <w:i/>
      <w:sz w:val="18"/>
      <w:szCs w:val="18"/>
    </w:rPr>
  </w:style>
  <w:style w:type="paragraph" w:customStyle="1" w:styleId="CaptionTableLandscapeTable">
    <w:name w:val="Caption Table Landscape (Table)"/>
    <w:basedOn w:val="CaptionTableTable"/>
    <w:uiPriority w:val="99"/>
    <w:rsid w:val="00046060"/>
    <w:pPr>
      <w:spacing w:before="0" w:after="240"/>
      <w:ind w:left="1426"/>
    </w:pPr>
  </w:style>
  <w:style w:type="paragraph" w:customStyle="1" w:styleId="TableWideTable">
    <w:name w:val="Table Wide (Table)"/>
    <w:basedOn w:val="NoParagraphStyle"/>
    <w:uiPriority w:val="99"/>
    <w:rsid w:val="00046060"/>
    <w:pPr>
      <w:suppressAutoHyphens/>
      <w:spacing w:before="160" w:line="270" w:lineRule="atLeast"/>
      <w:ind w:left="446"/>
    </w:pPr>
    <w:rPr>
      <w:rFonts w:ascii="Arial Narrow" w:hAnsi="Arial Narrow" w:cs="Arial Narrow"/>
      <w:sz w:val="20"/>
      <w:szCs w:val="20"/>
    </w:rPr>
  </w:style>
  <w:style w:type="paragraph" w:customStyle="1" w:styleId="TableLandscapeTable">
    <w:name w:val="Table Landscape (Table)"/>
    <w:basedOn w:val="TableWideTable"/>
    <w:uiPriority w:val="99"/>
    <w:rsid w:val="00046060"/>
    <w:pPr>
      <w:ind w:left="0"/>
    </w:pPr>
  </w:style>
  <w:style w:type="paragraph" w:customStyle="1" w:styleId="InTableNoteTable">
    <w:name w:val="In Table Note (Table)"/>
    <w:basedOn w:val="Source"/>
    <w:uiPriority w:val="99"/>
    <w:rsid w:val="00046060"/>
    <w:pPr>
      <w:ind w:left="820" w:hanging="820"/>
    </w:pPr>
  </w:style>
  <w:style w:type="paragraph" w:customStyle="1" w:styleId="CaptionFigureFigure">
    <w:name w:val="Caption Figure (Figure)"/>
    <w:basedOn w:val="CaptionTableTable"/>
    <w:uiPriority w:val="99"/>
    <w:rsid w:val="00046060"/>
    <w:pPr>
      <w:spacing w:after="0"/>
    </w:pPr>
  </w:style>
  <w:style w:type="paragraph" w:customStyle="1" w:styleId="FigureWideFigure">
    <w:name w:val="Figure Wide (Figure)"/>
    <w:basedOn w:val="TableWideTable"/>
    <w:uiPriority w:val="99"/>
    <w:rsid w:val="00046060"/>
    <w:pPr>
      <w:ind w:left="1120"/>
    </w:pPr>
  </w:style>
  <w:style w:type="paragraph" w:customStyle="1" w:styleId="ListCS1BulletsandNumbering">
    <w:name w:val="List CS 1 (Bullets and Numbering)"/>
    <w:uiPriority w:val="99"/>
    <w:rsid w:val="00046060"/>
    <w:pPr>
      <w:suppressAutoHyphens/>
      <w:spacing w:before="80" w:after="80" w:line="240" w:lineRule="auto"/>
    </w:pPr>
    <w:rPr>
      <w:rFonts w:ascii="Calibri" w:eastAsia="Times New Roman" w:hAnsi="Calibri" w:cs="Calibri"/>
      <w:color w:val="000000"/>
      <w:sz w:val="20"/>
      <w:szCs w:val="20"/>
    </w:rPr>
  </w:style>
  <w:style w:type="paragraph" w:customStyle="1" w:styleId="SourceLandscape">
    <w:name w:val="Source Landscape"/>
    <w:basedOn w:val="Source"/>
    <w:uiPriority w:val="99"/>
    <w:rsid w:val="00046060"/>
    <w:pPr>
      <w:ind w:left="820" w:hanging="820"/>
    </w:pPr>
  </w:style>
  <w:style w:type="paragraph" w:customStyle="1" w:styleId="NoteLandscape">
    <w:name w:val="Note Landscape"/>
    <w:basedOn w:val="Source"/>
    <w:uiPriority w:val="99"/>
    <w:rsid w:val="00046060"/>
    <w:pPr>
      <w:ind w:left="340" w:hanging="340"/>
    </w:pPr>
  </w:style>
  <w:style w:type="paragraph" w:customStyle="1" w:styleId="TableNormalTable">
    <w:name w:val="Table Normal (Table)"/>
    <w:basedOn w:val="BodyText"/>
    <w:uiPriority w:val="99"/>
    <w:rsid w:val="00046060"/>
  </w:style>
  <w:style w:type="paragraph" w:customStyle="1" w:styleId="ListLetterBulletsandNumbering">
    <w:name w:val="List Letter (Bullets and Numbering)"/>
    <w:uiPriority w:val="99"/>
    <w:rsid w:val="00046060"/>
    <w:pPr>
      <w:numPr>
        <w:numId w:val="6"/>
      </w:numPr>
      <w:suppressAutoHyphens/>
      <w:spacing w:before="80" w:after="80" w:line="240" w:lineRule="auto"/>
    </w:pPr>
    <w:rPr>
      <w:rFonts w:ascii="Calibri" w:eastAsia="Times New Roman" w:hAnsi="Calibri" w:cs="Calibri"/>
      <w:color w:val="000000"/>
      <w:sz w:val="20"/>
      <w:szCs w:val="20"/>
    </w:rPr>
  </w:style>
  <w:style w:type="paragraph" w:customStyle="1" w:styleId="ListBulletIndentBulletsandNumbering">
    <w:name w:val="List Bullet Indent (Bullets and Numbering)"/>
    <w:uiPriority w:val="99"/>
    <w:rsid w:val="00046060"/>
    <w:pPr>
      <w:numPr>
        <w:numId w:val="7"/>
      </w:numPr>
      <w:spacing w:after="80" w:line="240" w:lineRule="auto"/>
      <w:ind w:left="1800"/>
    </w:pPr>
    <w:rPr>
      <w:rFonts w:ascii="Calibri" w:eastAsia="Times New Roman" w:hAnsi="Calibri" w:cs="Calibri"/>
      <w:color w:val="000000"/>
      <w:sz w:val="20"/>
      <w:szCs w:val="20"/>
    </w:rPr>
  </w:style>
  <w:style w:type="paragraph" w:customStyle="1" w:styleId="ListCS1BOLDBulletsandNumbering">
    <w:name w:val="List CS 1 BOLD (Bullets and Numbering)"/>
    <w:basedOn w:val="ListCS1BulletsandNumbering"/>
    <w:uiPriority w:val="99"/>
    <w:rsid w:val="00046060"/>
    <w:rPr>
      <w:b/>
      <w:bCs/>
    </w:rPr>
  </w:style>
  <w:style w:type="paragraph" w:customStyle="1" w:styleId="FigureLandscapeFigure">
    <w:name w:val="Figure Landscape (Figure)"/>
    <w:basedOn w:val="FigureWideFigure"/>
    <w:uiPriority w:val="99"/>
    <w:rsid w:val="00046060"/>
    <w:pPr>
      <w:ind w:left="0"/>
    </w:pPr>
  </w:style>
  <w:style w:type="paragraph" w:customStyle="1" w:styleId="CaptionTableIndentTable">
    <w:name w:val="Caption Table Indent (Table)"/>
    <w:basedOn w:val="CaptionTableTable"/>
    <w:uiPriority w:val="99"/>
    <w:rsid w:val="00046060"/>
    <w:pPr>
      <w:ind w:left="2400" w:hanging="1300"/>
    </w:pPr>
  </w:style>
  <w:style w:type="paragraph" w:customStyle="1" w:styleId="TableindentTable">
    <w:name w:val="Table indent (Table)"/>
    <w:basedOn w:val="TableNormalTable"/>
    <w:uiPriority w:val="99"/>
    <w:rsid w:val="00046060"/>
    <w:pPr>
      <w:ind w:left="1440"/>
    </w:pPr>
  </w:style>
  <w:style w:type="paragraph" w:customStyle="1" w:styleId="Sourceindent">
    <w:name w:val="Source indent"/>
    <w:basedOn w:val="Source"/>
    <w:uiPriority w:val="99"/>
    <w:rsid w:val="00046060"/>
    <w:pPr>
      <w:ind w:left="2320"/>
    </w:pPr>
  </w:style>
  <w:style w:type="paragraph" w:customStyle="1" w:styleId="BodyText-Nospace">
    <w:name w:val="Body Text - No space"/>
    <w:basedOn w:val="NoParagraphStyle"/>
    <w:uiPriority w:val="99"/>
    <w:rsid w:val="00046060"/>
    <w:pPr>
      <w:suppressAutoHyphens/>
      <w:spacing w:line="270" w:lineRule="atLeast"/>
      <w:ind w:left="1080"/>
      <w:jc w:val="both"/>
    </w:pPr>
    <w:rPr>
      <w:rFonts w:ascii="Calibri" w:hAnsi="Calibri" w:cs="Calibri"/>
      <w:sz w:val="20"/>
      <w:szCs w:val="20"/>
    </w:rPr>
  </w:style>
  <w:style w:type="paragraph" w:customStyle="1" w:styleId="BodyTextLandscape">
    <w:name w:val="Body Text Landscape"/>
    <w:basedOn w:val="NoParagraphStyle"/>
    <w:uiPriority w:val="99"/>
    <w:rsid w:val="00046060"/>
    <w:pPr>
      <w:suppressAutoHyphens/>
      <w:spacing w:before="80" w:after="80" w:line="270" w:lineRule="atLeast"/>
      <w:jc w:val="both"/>
    </w:pPr>
    <w:rPr>
      <w:rFonts w:ascii="Calibri" w:hAnsi="Calibri" w:cs="Calibri"/>
      <w:sz w:val="20"/>
      <w:szCs w:val="20"/>
    </w:rPr>
  </w:style>
  <w:style w:type="paragraph" w:customStyle="1" w:styleId="Heading1-AppHeadings">
    <w:name w:val="Heading 1- App (Headings)"/>
    <w:uiPriority w:val="99"/>
    <w:rsid w:val="00046060"/>
    <w:pPr>
      <w:numPr>
        <w:numId w:val="10"/>
      </w:numPr>
      <w:tabs>
        <w:tab w:val="num" w:pos="360"/>
      </w:tabs>
      <w:suppressAutoHyphens/>
      <w:spacing w:after="180" w:line="240" w:lineRule="auto"/>
      <w:ind w:left="0" w:firstLine="0"/>
    </w:pPr>
    <w:rPr>
      <w:rFonts w:ascii="Cambria" w:eastAsia="Times New Roman" w:hAnsi="Cambria" w:cs="Cambria"/>
      <w:smallCaps/>
      <w:color w:val="000000"/>
      <w:sz w:val="32"/>
      <w:szCs w:val="32"/>
    </w:rPr>
  </w:style>
  <w:style w:type="paragraph" w:customStyle="1" w:styleId="Heading2-AppDHeadings">
    <w:name w:val="Heading 2- App D (Headings)"/>
    <w:basedOn w:val="Heading1-AppHeadings"/>
    <w:uiPriority w:val="99"/>
    <w:rsid w:val="00046060"/>
    <w:pPr>
      <w:numPr>
        <w:numId w:val="0"/>
      </w:numPr>
    </w:pPr>
  </w:style>
  <w:style w:type="paragraph" w:customStyle="1" w:styleId="Heading3-AppHeadings">
    <w:name w:val="Heading 3 - App (Headings)"/>
    <w:basedOn w:val="Heading3Headings"/>
    <w:uiPriority w:val="99"/>
    <w:rsid w:val="00046060"/>
  </w:style>
  <w:style w:type="paragraph" w:customStyle="1" w:styleId="ListlclettersBulletsandNumbering">
    <w:name w:val="List lc letters (Bullets and Numbering)"/>
    <w:basedOn w:val="ListBulletBulletsandNumbering"/>
    <w:uiPriority w:val="99"/>
    <w:rsid w:val="00046060"/>
    <w:pPr>
      <w:numPr>
        <w:numId w:val="0"/>
      </w:numPr>
      <w:tabs>
        <w:tab w:val="num" w:pos="288"/>
      </w:tabs>
      <w:ind w:left="288" w:hanging="260"/>
    </w:pPr>
  </w:style>
  <w:style w:type="paragraph" w:customStyle="1" w:styleId="Heading2-AppEHeadings">
    <w:name w:val="Heading 2- App E (Headings)"/>
    <w:basedOn w:val="Heading2Headings"/>
    <w:uiPriority w:val="99"/>
    <w:rsid w:val="00046060"/>
    <w:pPr>
      <w:ind w:left="720" w:hanging="720"/>
    </w:pPr>
  </w:style>
  <w:style w:type="paragraph" w:customStyle="1" w:styleId="Heading2-AppFHeadings">
    <w:name w:val="Heading 2- App F (Headings)"/>
    <w:basedOn w:val="Heading2-AppEHeadings"/>
    <w:uiPriority w:val="99"/>
    <w:rsid w:val="00046060"/>
  </w:style>
  <w:style w:type="paragraph" w:customStyle="1" w:styleId="Heading2-AppGHeadings">
    <w:name w:val="Heading 2- App G (Headings)"/>
    <w:basedOn w:val="Heading2-AppEHeadings"/>
    <w:uiPriority w:val="99"/>
    <w:rsid w:val="00046060"/>
  </w:style>
  <w:style w:type="paragraph" w:customStyle="1" w:styleId="G81Headings">
    <w:name w:val="G.8.1 (Headings)"/>
    <w:basedOn w:val="Heading3-AppHeadings"/>
    <w:uiPriority w:val="99"/>
    <w:rsid w:val="00046060"/>
  </w:style>
  <w:style w:type="paragraph" w:customStyle="1" w:styleId="Heading2-AppHHeadings">
    <w:name w:val="Heading 2- App H (Headings)"/>
    <w:basedOn w:val="Heading2-AppEHeadings"/>
    <w:uiPriority w:val="99"/>
    <w:rsid w:val="00046060"/>
  </w:style>
  <w:style w:type="paragraph" w:customStyle="1" w:styleId="H41Headings">
    <w:name w:val="H.4.1 (Headings)"/>
    <w:basedOn w:val="Heading3-AppHeadings"/>
    <w:uiPriority w:val="99"/>
    <w:rsid w:val="00046060"/>
  </w:style>
  <w:style w:type="paragraph" w:customStyle="1" w:styleId="HeadingFront">
    <w:name w:val="HeadingFront"/>
    <w:basedOn w:val="NoParagraphStyle"/>
    <w:next w:val="BodyText"/>
    <w:uiPriority w:val="99"/>
    <w:qFormat/>
    <w:rsid w:val="00046060"/>
    <w:pPr>
      <w:keepNext/>
      <w:spacing w:after="480"/>
      <w:ind w:left="1440"/>
      <w:jc w:val="both"/>
    </w:pPr>
    <w:rPr>
      <w:rFonts w:ascii="Book Antiqua" w:hAnsi="Book Antiqua" w:cs="Book Antiqua"/>
      <w:b/>
      <w:bCs/>
      <w:sz w:val="22"/>
      <w:szCs w:val="22"/>
    </w:rPr>
  </w:style>
  <w:style w:type="paragraph" w:customStyle="1" w:styleId="AppJHeaderAppendix">
    <w:name w:val="App J Header (Appendix)"/>
    <w:basedOn w:val="HeadingFront"/>
    <w:uiPriority w:val="99"/>
    <w:rsid w:val="00046060"/>
    <w:pPr>
      <w:spacing w:after="0"/>
      <w:ind w:left="1080"/>
      <w:jc w:val="center"/>
    </w:pPr>
    <w:rPr>
      <w:rFonts w:ascii="Calibri" w:hAnsi="Calibri" w:cs="Calibri"/>
      <w:sz w:val="32"/>
      <w:szCs w:val="32"/>
      <w:u w:val="thick"/>
    </w:rPr>
  </w:style>
  <w:style w:type="paragraph" w:customStyle="1" w:styleId="indentAppendix">
    <w:name w:val="indent (Appendix)"/>
    <w:basedOn w:val="BulletcontinuedBulletsandNumbering"/>
    <w:uiPriority w:val="99"/>
    <w:rsid w:val="00046060"/>
    <w:pPr>
      <w:spacing w:before="43" w:after="0"/>
    </w:pPr>
  </w:style>
  <w:style w:type="paragraph" w:customStyle="1" w:styleId="indent-nospaceAppendix">
    <w:name w:val="indent - no space (Appendix)"/>
    <w:basedOn w:val="indentAppendix"/>
    <w:uiPriority w:val="99"/>
    <w:rsid w:val="00046060"/>
    <w:pPr>
      <w:spacing w:before="0"/>
    </w:pPr>
  </w:style>
  <w:style w:type="paragraph" w:customStyle="1" w:styleId="doubleindent-nospaceAppendix">
    <w:name w:val="double indent - no space (Appendix)"/>
    <w:basedOn w:val="indentAppendix"/>
    <w:uiPriority w:val="99"/>
    <w:rsid w:val="00046060"/>
    <w:pPr>
      <w:tabs>
        <w:tab w:val="clear" w:pos="1440"/>
        <w:tab w:val="left" w:pos="2240"/>
      </w:tabs>
      <w:spacing w:before="0"/>
      <w:ind w:left="2240"/>
    </w:pPr>
  </w:style>
  <w:style w:type="paragraph" w:customStyle="1" w:styleId="tripleindent-nospacecopyAppendix">
    <w:name w:val="triple indent - no space copy (Appendix)"/>
    <w:basedOn w:val="indentAppendix"/>
    <w:uiPriority w:val="99"/>
    <w:rsid w:val="00046060"/>
    <w:pPr>
      <w:tabs>
        <w:tab w:val="clear" w:pos="1440"/>
        <w:tab w:val="left" w:pos="2240"/>
      </w:tabs>
      <w:spacing w:before="0"/>
      <w:ind w:left="2880"/>
    </w:pPr>
  </w:style>
  <w:style w:type="paragraph" w:customStyle="1" w:styleId="Heading2-AppLHeadings">
    <w:name w:val="Heading 2- App L (Headings)"/>
    <w:basedOn w:val="Heading2-AppEHeadings"/>
    <w:uiPriority w:val="99"/>
    <w:rsid w:val="00046060"/>
  </w:style>
  <w:style w:type="paragraph" w:customStyle="1" w:styleId="TableLeft10pt-BoldTable">
    <w:name w:val="Table Left 10pt - Bold (Table)"/>
    <w:basedOn w:val="NoParagraphStyle"/>
    <w:uiPriority w:val="99"/>
    <w:rsid w:val="00046060"/>
    <w:pPr>
      <w:suppressAutoHyphens/>
      <w:spacing w:before="29" w:after="29"/>
    </w:pPr>
    <w:rPr>
      <w:rFonts w:ascii="Calibri" w:hAnsi="Calibri" w:cs="Calibri"/>
      <w:b/>
      <w:bCs/>
      <w:sz w:val="20"/>
      <w:szCs w:val="20"/>
    </w:rPr>
  </w:style>
  <w:style w:type="paragraph" w:customStyle="1" w:styleId="TableCenter10pt-BoldTable">
    <w:name w:val="Table Center 10pt - Bold   (Table)"/>
    <w:basedOn w:val="TableLeft10pt-BoldTable"/>
    <w:uiPriority w:val="99"/>
    <w:rsid w:val="00046060"/>
    <w:pPr>
      <w:spacing w:line="240" w:lineRule="atLeast"/>
      <w:jc w:val="center"/>
    </w:pPr>
    <w:rPr>
      <w:color w:val="FFFFFF"/>
    </w:rPr>
  </w:style>
  <w:style w:type="paragraph" w:customStyle="1" w:styleId="TableCenter10ptTable">
    <w:name w:val="Table Center 10pt (Table)"/>
    <w:basedOn w:val="NoParagraphStyle"/>
    <w:uiPriority w:val="99"/>
    <w:rsid w:val="00046060"/>
    <w:pPr>
      <w:keepNext/>
      <w:suppressAutoHyphens/>
      <w:spacing w:before="60" w:after="60"/>
      <w:jc w:val="center"/>
    </w:pPr>
    <w:rPr>
      <w:rFonts w:ascii="Calibri" w:hAnsi="Calibri" w:cs="Calibri"/>
      <w:sz w:val="20"/>
      <w:szCs w:val="20"/>
    </w:rPr>
  </w:style>
  <w:style w:type="paragraph" w:customStyle="1" w:styleId="TableListBulletTable">
    <w:name w:val="Table List Bullet (Table)"/>
    <w:basedOn w:val="TableCenter10ptTable"/>
    <w:uiPriority w:val="99"/>
    <w:rsid w:val="00046060"/>
    <w:pPr>
      <w:numPr>
        <w:numId w:val="5"/>
      </w:numPr>
      <w:spacing w:before="29" w:after="29" w:line="220" w:lineRule="atLeast"/>
      <w:ind w:left="164" w:hanging="180"/>
      <w:jc w:val="left"/>
    </w:pPr>
  </w:style>
  <w:style w:type="paragraph" w:customStyle="1" w:styleId="TableLeft10ptTable">
    <w:name w:val="Table Left 10pt (Table)"/>
    <w:basedOn w:val="TableCenter10ptTable"/>
    <w:uiPriority w:val="99"/>
    <w:rsid w:val="00046060"/>
    <w:pPr>
      <w:jc w:val="left"/>
    </w:pPr>
  </w:style>
  <w:style w:type="paragraph" w:customStyle="1" w:styleId="footnote">
    <w:name w:val="footnote"/>
    <w:basedOn w:val="Source"/>
    <w:uiPriority w:val="99"/>
    <w:rsid w:val="00046060"/>
    <w:pPr>
      <w:spacing w:line="270" w:lineRule="atLeast"/>
    </w:pPr>
  </w:style>
  <w:style w:type="paragraph" w:customStyle="1" w:styleId="TableLeft9ptTable">
    <w:name w:val="Table Left 9pt  (Table)"/>
    <w:basedOn w:val="TableLeft10ptTable"/>
    <w:uiPriority w:val="99"/>
    <w:rsid w:val="00046060"/>
    <w:pPr>
      <w:jc w:val="center"/>
    </w:pPr>
    <w:rPr>
      <w:rFonts w:eastAsiaTheme="minorEastAsia"/>
      <w:sz w:val="18"/>
      <w:szCs w:val="18"/>
    </w:rPr>
  </w:style>
  <w:style w:type="character" w:customStyle="1" w:styleId="EmphasisBodyText">
    <w:name w:val="Emphasis Body Text"/>
    <w:uiPriority w:val="99"/>
    <w:rsid w:val="00046060"/>
    <w:rPr>
      <w:rFonts w:ascii="Cambria" w:hAnsi="Cambria"/>
      <w:b/>
      <w:i/>
      <w:smallCaps/>
    </w:rPr>
  </w:style>
  <w:style w:type="character" w:customStyle="1" w:styleId="Heading5CharStylesforWordRTFImportedLists">
    <w:name w:val="Heading 5 Char (Styles for Word/RTF Imported Lists)"/>
    <w:uiPriority w:val="99"/>
    <w:rsid w:val="00046060"/>
    <w:rPr>
      <w:b/>
      <w:w w:val="100"/>
      <w:sz w:val="22"/>
    </w:rPr>
  </w:style>
  <w:style w:type="character" w:customStyle="1" w:styleId="superscript">
    <w:name w:val="superscript"/>
    <w:uiPriority w:val="99"/>
    <w:rsid w:val="00046060"/>
    <w:rPr>
      <w:vertAlign w:val="superscript"/>
    </w:rPr>
  </w:style>
  <w:style w:type="character" w:customStyle="1" w:styleId="BodyTextTitleItalStylesforWordRTFImportedLists">
    <w:name w:val="BodyTextTitleItal (Styles for Word/RTF Imported Lists)"/>
    <w:uiPriority w:val="99"/>
    <w:rsid w:val="00046060"/>
    <w:rPr>
      <w:i/>
      <w:w w:val="100"/>
    </w:rPr>
  </w:style>
  <w:style w:type="character" w:customStyle="1" w:styleId="EmphasisStylesforWordRTFImportedLists">
    <w:name w:val="Emphasis (Styles for Word/RTF Imported Lists)"/>
    <w:uiPriority w:val="99"/>
    <w:rsid w:val="00046060"/>
    <w:rPr>
      <w:b/>
      <w:smallCaps/>
      <w:color w:val="5A5A5A"/>
      <w:w w:val="100"/>
    </w:rPr>
  </w:style>
  <w:style w:type="character" w:customStyle="1" w:styleId="subscript">
    <w:name w:val="subscript"/>
    <w:uiPriority w:val="99"/>
    <w:rsid w:val="00046060"/>
    <w:rPr>
      <w:vertAlign w:val="subscript"/>
    </w:rPr>
  </w:style>
  <w:style w:type="character" w:customStyle="1" w:styleId="FootnotereferenceStylesforWordRTFImportedLists">
    <w:name w:val="Footnote reference (Styles for Word/RTF Imported Lists)"/>
    <w:uiPriority w:val="99"/>
    <w:rsid w:val="00046060"/>
    <w:rPr>
      <w:w w:val="100"/>
      <w:vertAlign w:val="superscript"/>
    </w:rPr>
  </w:style>
  <w:style w:type="character" w:customStyle="1" w:styleId="CommentReference1">
    <w:name w:val="Comment Reference1"/>
    <w:uiPriority w:val="99"/>
    <w:rsid w:val="00046060"/>
    <w:rPr>
      <w:w w:val="100"/>
      <w:sz w:val="16"/>
    </w:rPr>
  </w:style>
  <w:style w:type="character" w:customStyle="1" w:styleId="italicsubscript">
    <w:name w:val="italic &amp; subscript"/>
    <w:basedOn w:val="Italic"/>
    <w:uiPriority w:val="99"/>
    <w:rsid w:val="00046060"/>
    <w:rPr>
      <w:rFonts w:cs="Times New Roman"/>
      <w:i/>
      <w:iCs/>
      <w:vertAlign w:val="subscript"/>
    </w:rPr>
  </w:style>
  <w:style w:type="character" w:customStyle="1" w:styleId="underline">
    <w:name w:val="underline"/>
    <w:uiPriority w:val="99"/>
    <w:rsid w:val="00046060"/>
    <w:rPr>
      <w:u w:val="single"/>
    </w:rPr>
  </w:style>
  <w:style w:type="character" w:customStyle="1" w:styleId="bolditalic">
    <w:name w:val="bold italic"/>
    <w:basedOn w:val="Italic"/>
    <w:uiPriority w:val="99"/>
    <w:rsid w:val="00046060"/>
    <w:rPr>
      <w:bCs/>
      <w:i/>
      <w:iCs/>
    </w:rPr>
  </w:style>
  <w:style w:type="character" w:customStyle="1" w:styleId="FootnoteReference1">
    <w:name w:val="Footnote Reference1"/>
    <w:uiPriority w:val="99"/>
    <w:rsid w:val="00046060"/>
    <w:rPr>
      <w:w w:val="100"/>
      <w:vertAlign w:val="superscript"/>
    </w:rPr>
  </w:style>
  <w:style w:type="character" w:customStyle="1" w:styleId="regularsubscript">
    <w:name w:val="regular &amp; subscript"/>
    <w:basedOn w:val="Italic"/>
    <w:uiPriority w:val="99"/>
    <w:rsid w:val="00046060"/>
    <w:rPr>
      <w:rFonts w:cs="Times New Roman"/>
      <w:i/>
      <w:iCs/>
      <w:vertAlign w:val="subscript"/>
    </w:rPr>
  </w:style>
  <w:style w:type="character" w:customStyle="1" w:styleId="italicsuperscript">
    <w:name w:val="italic &amp; superscript"/>
    <w:basedOn w:val="Italic"/>
    <w:uiPriority w:val="99"/>
    <w:rsid w:val="00046060"/>
    <w:rPr>
      <w:rFonts w:cs="Times New Roman"/>
      <w:i/>
      <w:iCs/>
      <w:vertAlign w:val="superscript"/>
    </w:rPr>
  </w:style>
  <w:style w:type="character" w:customStyle="1" w:styleId="boldunderline">
    <w:name w:val="bold underline"/>
    <w:uiPriority w:val="99"/>
    <w:rsid w:val="00046060"/>
    <w:rPr>
      <w:b/>
      <w:u w:val="thick"/>
    </w:rPr>
  </w:style>
  <w:style w:type="character" w:customStyle="1" w:styleId="WordImportedListStyle2StylesforWordRTFImportedLists">
    <w:name w:val="Word Imported List Style2 (Styles for Word/RTF Imported Lists)"/>
    <w:uiPriority w:val="99"/>
    <w:rsid w:val="00046060"/>
    <w:rPr>
      <w:rFonts w:ascii="Symbol" w:hAnsi="Symbol"/>
      <w:color w:val="000000"/>
      <w:w w:val="100"/>
      <w:lang w:val="en-US"/>
    </w:rPr>
  </w:style>
  <w:style w:type="character" w:customStyle="1" w:styleId="WordImportedListStyle1cambriaStylesforWordRTFImportedLists">
    <w:name w:val="Word Imported List Style1 cambria (Styles for Word/RTF Imported Lists)"/>
    <w:uiPriority w:val="99"/>
    <w:rsid w:val="00046060"/>
    <w:rPr>
      <w:rFonts w:ascii="Cambria" w:hAnsi="Cambria"/>
      <w:w w:val="100"/>
      <w:lang w:val="en-US"/>
    </w:rPr>
  </w:style>
  <w:style w:type="character" w:customStyle="1" w:styleId="WordImportedListStyle1StylesforWordRTFImportedLists">
    <w:name w:val="Word Imported List Style1 (Styles for Word/RTF Imported Lists)"/>
    <w:uiPriority w:val="99"/>
    <w:rsid w:val="00046060"/>
    <w:rPr>
      <w:rFonts w:ascii="Calibri" w:hAnsi="Calibri"/>
      <w:w w:val="100"/>
      <w:lang w:val="en-US"/>
    </w:rPr>
  </w:style>
  <w:style w:type="paragraph" w:customStyle="1" w:styleId="BasicParagraph">
    <w:name w:val="[Basic Paragraph]"/>
    <w:basedOn w:val="NoParagraphStyle"/>
    <w:uiPriority w:val="99"/>
    <w:rsid w:val="00046060"/>
    <w:pPr>
      <w:widowControl/>
    </w:pPr>
  </w:style>
  <w:style w:type="paragraph" w:customStyle="1" w:styleId="IndexSectionHead">
    <w:name w:val="Index Section Head"/>
    <w:basedOn w:val="BasicParagraph"/>
    <w:uiPriority w:val="99"/>
    <w:rsid w:val="00046060"/>
    <w:pPr>
      <w:spacing w:before="540" w:after="144"/>
      <w:ind w:left="1080"/>
    </w:pPr>
    <w:rPr>
      <w:rFonts w:ascii="Calibri" w:hAnsi="Calibri" w:cs="Calibri"/>
      <w:b/>
      <w:bCs/>
    </w:rPr>
  </w:style>
  <w:style w:type="paragraph" w:customStyle="1" w:styleId="IndexLevel1">
    <w:name w:val="Index Level 1"/>
    <w:basedOn w:val="BasicParagraph"/>
    <w:uiPriority w:val="99"/>
    <w:rsid w:val="00046060"/>
    <w:pPr>
      <w:ind w:left="1640" w:hanging="560"/>
    </w:pPr>
    <w:rPr>
      <w:rFonts w:ascii="Calibri" w:hAnsi="Calibri" w:cs="Calibri"/>
      <w:sz w:val="20"/>
      <w:szCs w:val="20"/>
    </w:rPr>
  </w:style>
  <w:style w:type="paragraph" w:customStyle="1" w:styleId="TableListNumber">
    <w:name w:val="Table List Number"/>
    <w:basedOn w:val="Normal"/>
    <w:uiPriority w:val="99"/>
    <w:qFormat/>
    <w:rsid w:val="00046060"/>
    <w:pPr>
      <w:widowControl/>
      <w:numPr>
        <w:numId w:val="3"/>
      </w:numPr>
      <w:suppressAutoHyphens w:val="0"/>
      <w:autoSpaceDE/>
      <w:autoSpaceDN/>
      <w:adjustRightInd/>
      <w:spacing w:before="60" w:after="60"/>
      <w:jc w:val="left"/>
      <w:textAlignment w:val="auto"/>
    </w:pPr>
    <w:rPr>
      <w:rFonts w:ascii="Arial Narrow" w:hAnsi="Arial Narrow" w:cs="Times New Roman"/>
      <w:color w:val="auto"/>
    </w:rPr>
  </w:style>
  <w:style w:type="paragraph" w:customStyle="1" w:styleId="TableListNumber2">
    <w:name w:val="Table List Number 2"/>
    <w:basedOn w:val="TableListNumber"/>
    <w:uiPriority w:val="99"/>
    <w:qFormat/>
    <w:rsid w:val="00046060"/>
    <w:pPr>
      <w:numPr>
        <w:ilvl w:val="1"/>
      </w:numPr>
      <w:ind w:hanging="432"/>
    </w:pPr>
  </w:style>
  <w:style w:type="paragraph" w:customStyle="1" w:styleId="TableListNumber3">
    <w:name w:val="Table List Number 3"/>
    <w:basedOn w:val="TableListNumber"/>
    <w:uiPriority w:val="99"/>
    <w:qFormat/>
    <w:rsid w:val="00046060"/>
    <w:pPr>
      <w:numPr>
        <w:ilvl w:val="2"/>
      </w:numPr>
      <w:ind w:hanging="504"/>
    </w:pPr>
  </w:style>
  <w:style w:type="paragraph" w:customStyle="1" w:styleId="Heading2-AppHeadings">
    <w:name w:val="Heading 2-App (Headings)"/>
    <w:basedOn w:val="Heading2-AppDHeadings"/>
    <w:uiPriority w:val="99"/>
    <w:qFormat/>
    <w:rsid w:val="00046060"/>
    <w:pPr>
      <w:numPr>
        <w:ilvl w:val="1"/>
        <w:numId w:val="11"/>
      </w:numPr>
      <w:tabs>
        <w:tab w:val="num" w:pos="360"/>
      </w:tabs>
      <w:ind w:left="1080" w:firstLine="0"/>
    </w:pPr>
  </w:style>
  <w:style w:type="paragraph" w:customStyle="1" w:styleId="ListCS1">
    <w:name w:val="List CS 1"/>
    <w:basedOn w:val="ListNumber"/>
    <w:uiPriority w:val="99"/>
    <w:qFormat/>
    <w:rsid w:val="00046060"/>
    <w:pPr>
      <w:widowControl/>
      <w:numPr>
        <w:numId w:val="12"/>
      </w:numPr>
      <w:suppressAutoHyphens w:val="0"/>
      <w:autoSpaceDE/>
      <w:autoSpaceDN/>
      <w:adjustRightInd/>
      <w:spacing w:before="120"/>
      <w:contextualSpacing w:val="0"/>
      <w:textAlignment w:val="auto"/>
    </w:pPr>
    <w:rPr>
      <w:rFonts w:ascii="Book Antiqua" w:hAnsi="Book Antiqua" w:cs="Times New Roman"/>
      <w:color w:val="auto"/>
      <w:sz w:val="22"/>
      <w:szCs w:val="22"/>
    </w:rPr>
  </w:style>
  <w:style w:type="paragraph" w:customStyle="1" w:styleId="ListCS2">
    <w:name w:val="List CS 2"/>
    <w:basedOn w:val="ListBullet2"/>
    <w:uiPriority w:val="99"/>
    <w:qFormat/>
    <w:rsid w:val="00046060"/>
    <w:pPr>
      <w:widowControl/>
      <w:numPr>
        <w:ilvl w:val="1"/>
        <w:numId w:val="12"/>
      </w:numPr>
      <w:suppressAutoHyphens w:val="0"/>
      <w:autoSpaceDE/>
      <w:autoSpaceDN/>
      <w:adjustRightInd/>
      <w:spacing w:before="120"/>
      <w:contextualSpacing w:val="0"/>
      <w:textAlignment w:val="auto"/>
    </w:pPr>
    <w:rPr>
      <w:rFonts w:ascii="Book Antiqua" w:hAnsi="Book Antiqua" w:cs="Times New Roman"/>
      <w:color w:val="auto"/>
      <w:sz w:val="22"/>
      <w:szCs w:val="22"/>
    </w:rPr>
  </w:style>
  <w:style w:type="paragraph" w:styleId="ListNumber">
    <w:name w:val="List Number"/>
    <w:basedOn w:val="Normal"/>
    <w:uiPriority w:val="99"/>
    <w:unhideWhenUsed/>
    <w:qFormat/>
    <w:rsid w:val="00046060"/>
    <w:pPr>
      <w:tabs>
        <w:tab w:val="num" w:pos="1800"/>
      </w:tabs>
      <w:ind w:left="1800" w:hanging="360"/>
      <w:contextualSpacing/>
    </w:pPr>
  </w:style>
  <w:style w:type="paragraph" w:styleId="ListBullet2">
    <w:name w:val="List Bullet 2"/>
    <w:basedOn w:val="Normal"/>
    <w:uiPriority w:val="99"/>
    <w:unhideWhenUsed/>
    <w:qFormat/>
    <w:rsid w:val="00046060"/>
    <w:pPr>
      <w:numPr>
        <w:numId w:val="11"/>
      </w:numPr>
      <w:ind w:left="1440"/>
      <w:contextualSpacing/>
    </w:pPr>
  </w:style>
  <w:style w:type="paragraph" w:customStyle="1" w:styleId="HeaderOdd">
    <w:name w:val="HeaderOdd"/>
    <w:basedOn w:val="Header"/>
    <w:uiPriority w:val="99"/>
    <w:qFormat/>
    <w:rsid w:val="00046060"/>
    <w:pPr>
      <w:pBdr>
        <w:top w:val="single" w:sz="48" w:space="3" w:color="000000"/>
      </w:pBdr>
      <w:tabs>
        <w:tab w:val="clear" w:pos="4680"/>
        <w:tab w:val="clear" w:pos="9360"/>
      </w:tabs>
      <w:spacing w:before="0" w:after="0"/>
      <w:jc w:val="right"/>
    </w:pPr>
    <w:rPr>
      <w:rFonts w:ascii="Book Antiqua" w:eastAsia="Times New Roman" w:hAnsi="Book Antiqua" w:cs="Times New Roman"/>
      <w:i/>
      <w:sz w:val="18"/>
      <w:szCs w:val="18"/>
    </w:rPr>
  </w:style>
  <w:style w:type="paragraph" w:customStyle="1" w:styleId="HeaderEven">
    <w:name w:val="HeaderEven"/>
    <w:basedOn w:val="Header"/>
    <w:uiPriority w:val="99"/>
    <w:qFormat/>
    <w:rsid w:val="00046060"/>
    <w:pPr>
      <w:pBdr>
        <w:top w:val="single" w:sz="48" w:space="3" w:color="000000"/>
      </w:pBdr>
      <w:tabs>
        <w:tab w:val="clear" w:pos="4680"/>
        <w:tab w:val="clear" w:pos="9360"/>
      </w:tabs>
      <w:spacing w:before="0" w:after="0"/>
    </w:pPr>
    <w:rPr>
      <w:rFonts w:ascii="Book Antiqua" w:eastAsia="Times New Roman" w:hAnsi="Book Antiqua" w:cs="Times New Roman"/>
      <w:i/>
      <w:sz w:val="18"/>
      <w:szCs w:val="18"/>
    </w:rPr>
  </w:style>
  <w:style w:type="character" w:styleId="PageNumber">
    <w:name w:val="page number"/>
    <w:basedOn w:val="DefaultParagraphFont"/>
    <w:uiPriority w:val="99"/>
    <w:rsid w:val="00046060"/>
    <w:rPr>
      <w:rFonts w:cs="Times New Roman"/>
      <w:i/>
    </w:rPr>
  </w:style>
  <w:style w:type="paragraph" w:styleId="Caption">
    <w:name w:val="caption"/>
    <w:aliases w:val="Figure_FS"/>
    <w:basedOn w:val="Normal"/>
    <w:next w:val="Normal"/>
    <w:link w:val="CaptionChar"/>
    <w:unhideWhenUsed/>
    <w:qFormat/>
    <w:rsid w:val="00046060"/>
    <w:rPr>
      <w:b/>
      <w:bCs/>
    </w:rPr>
  </w:style>
  <w:style w:type="paragraph" w:styleId="TOC3">
    <w:name w:val="toc 3"/>
    <w:basedOn w:val="Normal"/>
    <w:next w:val="Normal"/>
    <w:autoRedefine/>
    <w:uiPriority w:val="39"/>
    <w:unhideWhenUsed/>
    <w:rsid w:val="000A73FE"/>
    <w:pPr>
      <w:tabs>
        <w:tab w:val="right" w:leader="dot" w:pos="9350"/>
      </w:tabs>
      <w:ind w:left="2016" w:right="720" w:hanging="648"/>
      <w:jc w:val="left"/>
    </w:pPr>
    <w:rPr>
      <w:noProof/>
    </w:rPr>
  </w:style>
  <w:style w:type="paragraph" w:styleId="TOC4">
    <w:name w:val="toc 4"/>
    <w:basedOn w:val="Normal"/>
    <w:next w:val="Normal"/>
    <w:autoRedefine/>
    <w:uiPriority w:val="39"/>
    <w:unhideWhenUsed/>
    <w:rsid w:val="00352273"/>
    <w:pPr>
      <w:widowControl/>
      <w:tabs>
        <w:tab w:val="right" w:leader="dot" w:pos="9350"/>
      </w:tabs>
      <w:suppressAutoHyphens w:val="0"/>
      <w:autoSpaceDE/>
      <w:autoSpaceDN/>
      <w:adjustRightInd/>
      <w:ind w:left="2736" w:right="720" w:hanging="720"/>
      <w:jc w:val="left"/>
      <w:textAlignment w:val="auto"/>
    </w:pPr>
    <w:rPr>
      <w:rFonts w:asciiTheme="minorHAnsi" w:eastAsiaTheme="minorEastAsia" w:hAnsiTheme="minorHAnsi" w:cstheme="minorBidi"/>
      <w:noProof/>
      <w:color w:val="auto"/>
    </w:rPr>
  </w:style>
  <w:style w:type="paragraph" w:styleId="TOC5">
    <w:name w:val="toc 5"/>
    <w:basedOn w:val="Normal"/>
    <w:next w:val="Normal"/>
    <w:autoRedefine/>
    <w:uiPriority w:val="39"/>
    <w:unhideWhenUsed/>
    <w:rsid w:val="00046060"/>
    <w:pPr>
      <w:widowControl/>
      <w:suppressAutoHyphens w:val="0"/>
      <w:autoSpaceDE/>
      <w:autoSpaceDN/>
      <w:adjustRightInd/>
      <w:spacing w:after="100" w:line="276" w:lineRule="auto"/>
      <w:ind w:left="880"/>
      <w:jc w:val="left"/>
      <w:textAlignment w:val="auto"/>
    </w:pPr>
    <w:rPr>
      <w:rFonts w:asciiTheme="minorHAnsi" w:eastAsiaTheme="minorEastAsia" w:hAnsiTheme="minorHAnsi" w:cstheme="minorBidi"/>
      <w:color w:val="auto"/>
      <w:sz w:val="22"/>
      <w:szCs w:val="22"/>
    </w:rPr>
  </w:style>
  <w:style w:type="paragraph" w:styleId="TOC6">
    <w:name w:val="toc 6"/>
    <w:basedOn w:val="Normal"/>
    <w:next w:val="Normal"/>
    <w:autoRedefine/>
    <w:uiPriority w:val="39"/>
    <w:unhideWhenUsed/>
    <w:rsid w:val="00046060"/>
    <w:pPr>
      <w:widowControl/>
      <w:suppressAutoHyphens w:val="0"/>
      <w:autoSpaceDE/>
      <w:autoSpaceDN/>
      <w:adjustRightInd/>
      <w:spacing w:after="100" w:line="276" w:lineRule="auto"/>
      <w:ind w:left="1100"/>
      <w:jc w:val="left"/>
      <w:textAlignment w:val="auto"/>
    </w:pPr>
    <w:rPr>
      <w:rFonts w:asciiTheme="minorHAnsi" w:eastAsiaTheme="minorEastAsia" w:hAnsiTheme="minorHAnsi" w:cstheme="minorBidi"/>
      <w:color w:val="auto"/>
      <w:sz w:val="22"/>
      <w:szCs w:val="22"/>
    </w:rPr>
  </w:style>
  <w:style w:type="paragraph" w:styleId="TOC7">
    <w:name w:val="toc 7"/>
    <w:basedOn w:val="Normal"/>
    <w:next w:val="Normal"/>
    <w:autoRedefine/>
    <w:uiPriority w:val="39"/>
    <w:unhideWhenUsed/>
    <w:rsid w:val="00046060"/>
    <w:pPr>
      <w:widowControl/>
      <w:suppressAutoHyphens w:val="0"/>
      <w:autoSpaceDE/>
      <w:autoSpaceDN/>
      <w:adjustRightInd/>
      <w:spacing w:after="100" w:line="276" w:lineRule="auto"/>
      <w:ind w:left="1320"/>
      <w:jc w:val="left"/>
      <w:textAlignment w:val="auto"/>
    </w:pPr>
    <w:rPr>
      <w:rFonts w:asciiTheme="minorHAnsi" w:eastAsiaTheme="minorEastAsia" w:hAnsiTheme="minorHAnsi" w:cstheme="minorBidi"/>
      <w:color w:val="auto"/>
      <w:sz w:val="22"/>
      <w:szCs w:val="22"/>
    </w:rPr>
  </w:style>
  <w:style w:type="paragraph" w:styleId="TOC8">
    <w:name w:val="toc 8"/>
    <w:basedOn w:val="Normal"/>
    <w:next w:val="Normal"/>
    <w:autoRedefine/>
    <w:uiPriority w:val="39"/>
    <w:unhideWhenUsed/>
    <w:rsid w:val="00046060"/>
    <w:pPr>
      <w:widowControl/>
      <w:suppressAutoHyphens w:val="0"/>
      <w:autoSpaceDE/>
      <w:autoSpaceDN/>
      <w:adjustRightInd/>
      <w:spacing w:after="100" w:line="276" w:lineRule="auto"/>
      <w:ind w:left="1540"/>
      <w:jc w:val="left"/>
      <w:textAlignment w:val="auto"/>
    </w:pPr>
    <w:rPr>
      <w:rFonts w:asciiTheme="minorHAnsi" w:eastAsiaTheme="minorEastAsia" w:hAnsiTheme="minorHAnsi" w:cstheme="minorBidi"/>
      <w:color w:val="auto"/>
      <w:sz w:val="22"/>
      <w:szCs w:val="22"/>
    </w:rPr>
  </w:style>
  <w:style w:type="paragraph" w:styleId="TOC9">
    <w:name w:val="toc 9"/>
    <w:basedOn w:val="Normal"/>
    <w:next w:val="Normal"/>
    <w:autoRedefine/>
    <w:uiPriority w:val="39"/>
    <w:unhideWhenUsed/>
    <w:rsid w:val="00046060"/>
    <w:pPr>
      <w:widowControl/>
      <w:suppressAutoHyphens w:val="0"/>
      <w:autoSpaceDE/>
      <w:autoSpaceDN/>
      <w:adjustRightInd/>
      <w:spacing w:after="100" w:line="276" w:lineRule="auto"/>
      <w:ind w:left="1760"/>
      <w:jc w:val="left"/>
      <w:textAlignment w:val="auto"/>
    </w:pPr>
    <w:rPr>
      <w:rFonts w:asciiTheme="minorHAnsi" w:eastAsiaTheme="minorEastAsia" w:hAnsiTheme="minorHAnsi" w:cstheme="minorBidi"/>
      <w:color w:val="auto"/>
      <w:sz w:val="22"/>
      <w:szCs w:val="22"/>
    </w:rPr>
  </w:style>
  <w:style w:type="paragraph" w:customStyle="1" w:styleId="TOC2FrontMatter">
    <w:name w:val="TOC 2 (Front Matter)"/>
    <w:basedOn w:val="NoParagraphStyle"/>
    <w:uiPriority w:val="99"/>
    <w:rsid w:val="00046060"/>
    <w:pPr>
      <w:widowControl/>
      <w:tabs>
        <w:tab w:val="right" w:leader="dot" w:pos="9360"/>
      </w:tabs>
      <w:suppressAutoHyphens/>
      <w:spacing w:before="58"/>
      <w:ind w:left="2260" w:hanging="460"/>
    </w:pPr>
    <w:rPr>
      <w:rFonts w:ascii="Calibri" w:hAnsi="Calibri" w:cs="Calibri"/>
      <w:spacing w:val="2"/>
      <w:sz w:val="20"/>
      <w:szCs w:val="20"/>
    </w:rPr>
  </w:style>
  <w:style w:type="paragraph" w:customStyle="1" w:styleId="TOC1FrontMatter">
    <w:name w:val="TOC 1 (Front Matter)"/>
    <w:basedOn w:val="TOC2FrontMatter"/>
    <w:uiPriority w:val="99"/>
    <w:rsid w:val="00046060"/>
    <w:pPr>
      <w:tabs>
        <w:tab w:val="left" w:pos="2560"/>
      </w:tabs>
      <w:spacing w:before="270"/>
      <w:ind w:left="1800" w:hanging="340"/>
    </w:pPr>
    <w:rPr>
      <w:b/>
      <w:bCs/>
    </w:rPr>
  </w:style>
  <w:style w:type="paragraph" w:customStyle="1" w:styleId="TOCHeadingFrontMatter">
    <w:name w:val="TOC Heading (Front Matter)"/>
    <w:basedOn w:val="HeadingFront"/>
    <w:next w:val="BodyText"/>
    <w:uiPriority w:val="99"/>
    <w:rsid w:val="00046060"/>
    <w:pPr>
      <w:widowControl/>
      <w:ind w:left="1460"/>
      <w:jc w:val="left"/>
    </w:pPr>
    <w:rPr>
      <w:rFonts w:ascii="Cambria" w:hAnsi="Cambria" w:cs="Cambria"/>
      <w:smallCaps/>
      <w:sz w:val="32"/>
      <w:szCs w:val="32"/>
    </w:rPr>
  </w:style>
  <w:style w:type="paragraph" w:customStyle="1" w:styleId="LoFLoTFrontMatter">
    <w:name w:val="LoF/LoT (Front Matter)"/>
    <w:basedOn w:val="TOC2FrontMatter"/>
    <w:uiPriority w:val="99"/>
    <w:rsid w:val="00046060"/>
    <w:pPr>
      <w:tabs>
        <w:tab w:val="left" w:pos="2560"/>
      </w:tabs>
      <w:ind w:left="2560" w:hanging="1100"/>
    </w:pPr>
  </w:style>
  <w:style w:type="paragraph" w:customStyle="1" w:styleId="NoticeQualityAssuranceFrontMatter">
    <w:name w:val="Notice/Quality Assurance (Front Matter)"/>
    <w:basedOn w:val="TOCHeadingFrontMatter"/>
    <w:uiPriority w:val="99"/>
    <w:rsid w:val="00046060"/>
    <w:pPr>
      <w:spacing w:before="360" w:after="90"/>
      <w:ind w:left="0"/>
      <w:jc w:val="center"/>
    </w:pPr>
    <w:rPr>
      <w:sz w:val="36"/>
      <w:szCs w:val="36"/>
    </w:rPr>
  </w:style>
  <w:style w:type="character" w:customStyle="1" w:styleId="Quote1">
    <w:name w:val="Quote1"/>
    <w:uiPriority w:val="99"/>
    <w:rsid w:val="00046060"/>
    <w:rPr>
      <w:rFonts w:ascii="Times New Roman" w:hAnsi="Times New Roman"/>
    </w:rPr>
  </w:style>
  <w:style w:type="numbering" w:customStyle="1" w:styleId="Style4">
    <w:name w:val="Style4"/>
    <w:rsid w:val="00046060"/>
    <w:pPr>
      <w:numPr>
        <w:numId w:val="14"/>
      </w:numPr>
    </w:pPr>
  </w:style>
  <w:style w:type="numbering" w:customStyle="1" w:styleId="Style1">
    <w:name w:val="Style1"/>
    <w:rsid w:val="00046060"/>
    <w:pPr>
      <w:numPr>
        <w:numId w:val="8"/>
      </w:numPr>
    </w:pPr>
  </w:style>
  <w:style w:type="numbering" w:customStyle="1" w:styleId="Style2">
    <w:name w:val="Style2"/>
    <w:rsid w:val="00046060"/>
    <w:pPr>
      <w:numPr>
        <w:numId w:val="9"/>
      </w:numPr>
    </w:pPr>
  </w:style>
  <w:style w:type="numbering" w:customStyle="1" w:styleId="Style3">
    <w:name w:val="Style3"/>
    <w:rsid w:val="00046060"/>
    <w:pPr>
      <w:numPr>
        <w:numId w:val="13"/>
      </w:numPr>
    </w:pPr>
  </w:style>
  <w:style w:type="paragraph" w:styleId="FootnoteText">
    <w:name w:val="footnote text"/>
    <w:aliases w:val="ft"/>
    <w:basedOn w:val="Normal"/>
    <w:link w:val="FootnoteTextChar"/>
    <w:uiPriority w:val="99"/>
    <w:qFormat/>
    <w:rsid w:val="00046060"/>
    <w:pPr>
      <w:widowControl/>
      <w:suppressAutoHyphens w:val="0"/>
      <w:autoSpaceDE/>
      <w:autoSpaceDN/>
      <w:adjustRightInd/>
      <w:spacing w:before="60" w:line="288" w:lineRule="auto"/>
      <w:ind w:left="360" w:hanging="360"/>
      <w:jc w:val="left"/>
      <w:textAlignment w:val="auto"/>
    </w:pPr>
    <w:rPr>
      <w:rFonts w:asciiTheme="minorHAnsi" w:eastAsiaTheme="minorEastAsia" w:hAnsiTheme="minorHAnsi" w:cstheme="minorBidi"/>
      <w:color w:val="auto"/>
      <w:sz w:val="18"/>
      <w:lang w:bidi="en-US"/>
    </w:rPr>
  </w:style>
  <w:style w:type="character" w:customStyle="1" w:styleId="FootnoteTextChar">
    <w:name w:val="Footnote Text Char"/>
    <w:aliases w:val="ft Char"/>
    <w:basedOn w:val="DefaultParagraphFont"/>
    <w:link w:val="FootnoteText"/>
    <w:uiPriority w:val="99"/>
    <w:rsid w:val="00046060"/>
    <w:rPr>
      <w:rFonts w:eastAsiaTheme="minorEastAsia"/>
      <w:sz w:val="18"/>
      <w:szCs w:val="20"/>
      <w:lang w:bidi="en-US"/>
    </w:rPr>
  </w:style>
  <w:style w:type="character" w:styleId="FootnoteReference">
    <w:name w:val="footnote reference"/>
    <w:basedOn w:val="DefaultParagraphFont"/>
    <w:uiPriority w:val="99"/>
    <w:qFormat/>
    <w:rsid w:val="00046060"/>
    <w:rPr>
      <w:vertAlign w:val="superscript"/>
    </w:rPr>
  </w:style>
  <w:style w:type="paragraph" w:customStyle="1" w:styleId="TableText">
    <w:name w:val="Table Text"/>
    <w:basedOn w:val="TableLeft9ptTable"/>
    <w:uiPriority w:val="99"/>
    <w:qFormat/>
    <w:rsid w:val="00046060"/>
    <w:pPr>
      <w:spacing w:before="0" w:after="0" w:line="240" w:lineRule="auto"/>
    </w:pPr>
  </w:style>
  <w:style w:type="paragraph" w:styleId="CommentText">
    <w:name w:val="annotation text"/>
    <w:basedOn w:val="Normal"/>
    <w:link w:val="CommentTextChar"/>
    <w:uiPriority w:val="99"/>
    <w:rsid w:val="00046060"/>
    <w:pPr>
      <w:widowControl/>
      <w:suppressAutoHyphens w:val="0"/>
      <w:autoSpaceDE/>
      <w:autoSpaceDN/>
      <w:adjustRightInd/>
      <w:spacing w:line="288" w:lineRule="auto"/>
      <w:ind w:left="2160"/>
      <w:jc w:val="left"/>
      <w:textAlignment w:val="auto"/>
    </w:pPr>
    <w:rPr>
      <w:rFonts w:asciiTheme="minorHAnsi" w:eastAsiaTheme="minorEastAsia" w:hAnsiTheme="minorHAnsi" w:cstheme="minorBidi"/>
      <w:color w:val="5A5A5A" w:themeColor="text1" w:themeTint="A5"/>
      <w:lang w:bidi="en-US"/>
    </w:rPr>
  </w:style>
  <w:style w:type="character" w:customStyle="1" w:styleId="CommentTextChar">
    <w:name w:val="Comment Text Char"/>
    <w:basedOn w:val="DefaultParagraphFont"/>
    <w:link w:val="CommentText"/>
    <w:uiPriority w:val="99"/>
    <w:rsid w:val="00046060"/>
    <w:rPr>
      <w:rFonts w:eastAsiaTheme="minorEastAsia"/>
      <w:color w:val="5A5A5A" w:themeColor="text1" w:themeTint="A5"/>
      <w:sz w:val="20"/>
      <w:szCs w:val="20"/>
      <w:lang w:bidi="en-US"/>
    </w:rPr>
  </w:style>
  <w:style w:type="table" w:styleId="TableGrid">
    <w:name w:val="Table Grid"/>
    <w:basedOn w:val="TableNormal"/>
    <w:uiPriority w:val="39"/>
    <w:rsid w:val="00046060"/>
    <w:pPr>
      <w:spacing w:line="288" w:lineRule="auto"/>
      <w:ind w:left="2160"/>
    </w:pPr>
    <w:rPr>
      <w:rFonts w:eastAsiaTheme="minorEastAsia"/>
      <w:lang w:bidi="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CommentReference">
    <w:name w:val="annotation reference"/>
    <w:basedOn w:val="DefaultParagraphFont"/>
    <w:uiPriority w:val="99"/>
    <w:rsid w:val="00046060"/>
    <w:rPr>
      <w:sz w:val="16"/>
      <w:szCs w:val="16"/>
    </w:rPr>
  </w:style>
  <w:style w:type="paragraph" w:styleId="ListNumber2">
    <w:name w:val="List Number 2"/>
    <w:basedOn w:val="ListBullet2"/>
    <w:uiPriority w:val="99"/>
    <w:qFormat/>
    <w:rsid w:val="00046060"/>
    <w:pPr>
      <w:widowControl/>
      <w:numPr>
        <w:numId w:val="0"/>
      </w:numPr>
      <w:tabs>
        <w:tab w:val="num" w:pos="2160"/>
      </w:tabs>
      <w:suppressAutoHyphens w:val="0"/>
      <w:autoSpaceDE/>
      <w:autoSpaceDN/>
      <w:adjustRightInd/>
      <w:spacing w:after="80"/>
      <w:ind w:left="2160" w:hanging="360"/>
      <w:contextualSpacing w:val="0"/>
      <w:jc w:val="left"/>
      <w:textAlignment w:val="auto"/>
    </w:pPr>
    <w:rPr>
      <w:rFonts w:asciiTheme="minorHAnsi" w:eastAsiaTheme="minorEastAsia" w:hAnsiTheme="minorHAnsi" w:cstheme="minorBidi"/>
      <w:color w:val="auto"/>
      <w:sz w:val="22"/>
      <w:lang w:bidi="en-US"/>
    </w:rPr>
  </w:style>
  <w:style w:type="paragraph" w:styleId="ListNumber3">
    <w:name w:val="List Number 3"/>
    <w:basedOn w:val="ListBullet3"/>
    <w:uiPriority w:val="99"/>
    <w:qFormat/>
    <w:rsid w:val="00046060"/>
    <w:pPr>
      <w:widowControl/>
      <w:tabs>
        <w:tab w:val="clear" w:pos="1800"/>
        <w:tab w:val="num" w:pos="2520"/>
      </w:tabs>
      <w:suppressAutoHyphens w:val="0"/>
      <w:autoSpaceDE/>
      <w:autoSpaceDN/>
      <w:adjustRightInd/>
      <w:spacing w:before="120" w:line="288" w:lineRule="auto"/>
      <w:ind w:left="2520"/>
      <w:contextualSpacing w:val="0"/>
      <w:jc w:val="left"/>
      <w:textAlignment w:val="auto"/>
    </w:pPr>
    <w:rPr>
      <w:rFonts w:asciiTheme="minorHAnsi" w:eastAsiaTheme="minorEastAsia" w:hAnsiTheme="minorHAnsi" w:cstheme="minorBidi"/>
      <w:color w:val="5A5A5A" w:themeColor="text1" w:themeTint="A5"/>
      <w:lang w:bidi="en-US"/>
    </w:rPr>
  </w:style>
  <w:style w:type="character" w:customStyle="1" w:styleId="FigureChar">
    <w:name w:val="Figure Char"/>
    <w:basedOn w:val="DefaultParagraphFont"/>
    <w:link w:val="Figure"/>
    <w:rsid w:val="00046060"/>
    <w:rPr>
      <w:rFonts w:ascii="Book Antiqua" w:hAnsi="Book Antiqua"/>
    </w:rPr>
  </w:style>
  <w:style w:type="paragraph" w:customStyle="1" w:styleId="Figure">
    <w:name w:val="Figure"/>
    <w:basedOn w:val="Normal"/>
    <w:link w:val="FigureChar"/>
    <w:qFormat/>
    <w:rsid w:val="00046060"/>
    <w:pPr>
      <w:widowControl/>
      <w:suppressAutoHyphens w:val="0"/>
      <w:autoSpaceDE/>
      <w:autoSpaceDN/>
      <w:adjustRightInd/>
      <w:spacing w:before="120" w:after="120" w:line="288" w:lineRule="auto"/>
      <w:ind w:left="2160"/>
      <w:jc w:val="left"/>
      <w:textAlignment w:val="auto"/>
    </w:pPr>
    <w:rPr>
      <w:rFonts w:ascii="Book Antiqua" w:eastAsiaTheme="minorHAnsi" w:hAnsi="Book Antiqua" w:cstheme="minorBidi"/>
      <w:color w:val="auto"/>
      <w:sz w:val="22"/>
      <w:szCs w:val="22"/>
    </w:rPr>
  </w:style>
  <w:style w:type="paragraph" w:styleId="ListBullet3">
    <w:name w:val="List Bullet 3"/>
    <w:basedOn w:val="Normal"/>
    <w:uiPriority w:val="99"/>
    <w:unhideWhenUsed/>
    <w:qFormat/>
    <w:rsid w:val="00046060"/>
    <w:pPr>
      <w:tabs>
        <w:tab w:val="num" w:pos="1800"/>
      </w:tabs>
      <w:ind w:left="1800" w:hanging="360"/>
      <w:contextualSpacing/>
    </w:pPr>
  </w:style>
  <w:style w:type="paragraph" w:customStyle="1" w:styleId="TableListBullet">
    <w:name w:val="Table List Bullet"/>
    <w:basedOn w:val="TableText"/>
    <w:uiPriority w:val="99"/>
    <w:qFormat/>
    <w:rsid w:val="00046060"/>
    <w:pPr>
      <w:numPr>
        <w:numId w:val="16"/>
      </w:numPr>
      <w:tabs>
        <w:tab w:val="clear" w:pos="360"/>
        <w:tab w:val="num" w:pos="216"/>
      </w:tabs>
      <w:ind w:left="216" w:hanging="216"/>
    </w:pPr>
  </w:style>
  <w:style w:type="paragraph" w:customStyle="1" w:styleId="TableListBullet2">
    <w:name w:val="Table List Bullet 2"/>
    <w:basedOn w:val="TableListBullet"/>
    <w:uiPriority w:val="99"/>
    <w:qFormat/>
    <w:rsid w:val="00046060"/>
    <w:pPr>
      <w:numPr>
        <w:ilvl w:val="1"/>
      </w:numPr>
      <w:tabs>
        <w:tab w:val="clear" w:pos="720"/>
        <w:tab w:val="left" w:pos="432"/>
      </w:tabs>
      <w:ind w:left="432" w:hanging="216"/>
    </w:pPr>
  </w:style>
  <w:style w:type="paragraph" w:customStyle="1" w:styleId="TableListBullet3">
    <w:name w:val="Table List Bullet 3"/>
    <w:basedOn w:val="TableListBullet"/>
    <w:uiPriority w:val="99"/>
    <w:qFormat/>
    <w:rsid w:val="00046060"/>
    <w:pPr>
      <w:numPr>
        <w:ilvl w:val="2"/>
      </w:numPr>
      <w:tabs>
        <w:tab w:val="clear" w:pos="1080"/>
        <w:tab w:val="left" w:pos="648"/>
      </w:tabs>
      <w:ind w:left="648" w:hanging="216"/>
    </w:pPr>
  </w:style>
  <w:style w:type="paragraph" w:customStyle="1" w:styleId="Footnotes">
    <w:name w:val="Footnotes"/>
    <w:basedOn w:val="FootnoteText"/>
    <w:uiPriority w:val="99"/>
    <w:rsid w:val="00046060"/>
    <w:pPr>
      <w:spacing w:before="0"/>
      <w:ind w:left="288" w:hanging="288"/>
    </w:pPr>
    <w:rPr>
      <w:rFonts w:ascii="Times" w:eastAsia="Times" w:hAnsi="Times"/>
    </w:rPr>
  </w:style>
  <w:style w:type="paragraph" w:styleId="ListBullet">
    <w:name w:val="List Bullet"/>
    <w:aliases w:val="lb"/>
    <w:basedOn w:val="Normal"/>
    <w:uiPriority w:val="99"/>
    <w:qFormat/>
    <w:rsid w:val="00046060"/>
    <w:pPr>
      <w:widowControl/>
      <w:numPr>
        <w:numId w:val="17"/>
      </w:numPr>
      <w:tabs>
        <w:tab w:val="clear" w:pos="2520"/>
        <w:tab w:val="num" w:pos="1800"/>
      </w:tabs>
      <w:suppressAutoHyphens w:val="0"/>
      <w:autoSpaceDE/>
      <w:autoSpaceDN/>
      <w:adjustRightInd/>
      <w:spacing w:before="120" w:after="120"/>
      <w:ind w:left="1800"/>
      <w:textAlignment w:val="auto"/>
    </w:pPr>
    <w:rPr>
      <w:rFonts w:asciiTheme="minorHAnsi" w:eastAsiaTheme="minorEastAsia" w:hAnsiTheme="minorHAnsi" w:cstheme="minorBidi"/>
      <w:color w:val="auto"/>
      <w:sz w:val="22"/>
      <w:lang w:bidi="en-US"/>
    </w:rPr>
  </w:style>
  <w:style w:type="numbering" w:customStyle="1" w:styleId="a">
    <w:name w:val="/– /»"/>
    <w:rsid w:val="00046060"/>
    <w:pPr>
      <w:numPr>
        <w:numId w:val="17"/>
      </w:numPr>
    </w:pPr>
  </w:style>
  <w:style w:type="paragraph" w:customStyle="1" w:styleId="TableColumnHead">
    <w:name w:val="Table Column Head"/>
    <w:basedOn w:val="Normal"/>
    <w:uiPriority w:val="99"/>
    <w:qFormat/>
    <w:rsid w:val="00046060"/>
    <w:pPr>
      <w:widowControl/>
      <w:suppressAutoHyphens w:val="0"/>
      <w:autoSpaceDE/>
      <w:autoSpaceDN/>
      <w:adjustRightInd/>
      <w:spacing w:before="60" w:after="60"/>
      <w:jc w:val="center"/>
      <w:textAlignment w:val="auto"/>
    </w:pPr>
    <w:rPr>
      <w:rFonts w:ascii="Arial Narrow" w:eastAsiaTheme="minorEastAsia" w:hAnsi="Arial Narrow" w:cstheme="minorBidi"/>
      <w:b/>
      <w:color w:val="auto"/>
      <w:lang w:bidi="en-US"/>
    </w:rPr>
  </w:style>
  <w:style w:type="paragraph" w:customStyle="1" w:styleId="SourceNote">
    <w:name w:val="Source/Note"/>
    <w:basedOn w:val="Normal"/>
    <w:uiPriority w:val="99"/>
    <w:qFormat/>
    <w:rsid w:val="00046060"/>
    <w:pPr>
      <w:widowControl/>
      <w:suppressAutoHyphens w:val="0"/>
      <w:autoSpaceDE/>
      <w:autoSpaceDN/>
      <w:adjustRightInd/>
      <w:spacing w:before="120" w:after="240" w:line="288" w:lineRule="auto"/>
      <w:ind w:left="2160" w:hanging="720"/>
      <w:jc w:val="left"/>
      <w:textAlignment w:val="auto"/>
    </w:pPr>
    <w:rPr>
      <w:rFonts w:ascii="Arial Narrow" w:eastAsiaTheme="minorEastAsia" w:hAnsi="Arial Narrow" w:cstheme="minorBidi"/>
      <w:i/>
      <w:color w:val="auto"/>
      <w:lang w:bidi="en-US"/>
    </w:rPr>
  </w:style>
  <w:style w:type="character" w:customStyle="1" w:styleId="CaptionChar">
    <w:name w:val="Caption Char"/>
    <w:aliases w:val="Figure_FS Char"/>
    <w:basedOn w:val="DefaultParagraphFont"/>
    <w:link w:val="Caption"/>
    <w:locked/>
    <w:rsid w:val="00046060"/>
    <w:rPr>
      <w:rFonts w:ascii="Calibri" w:eastAsia="Times New Roman" w:hAnsi="Calibri" w:cs="Calibri"/>
      <w:b/>
      <w:bCs/>
      <w:color w:val="000000"/>
      <w:sz w:val="20"/>
      <w:szCs w:val="20"/>
    </w:rPr>
  </w:style>
  <w:style w:type="paragraph" w:styleId="NormalWeb">
    <w:name w:val="Normal (Web)"/>
    <w:basedOn w:val="Normal"/>
    <w:uiPriority w:val="99"/>
    <w:unhideWhenUsed/>
    <w:rsid w:val="00046060"/>
    <w:pPr>
      <w:widowControl/>
      <w:suppressAutoHyphens w:val="0"/>
      <w:autoSpaceDE/>
      <w:autoSpaceDN/>
      <w:adjustRightInd/>
      <w:spacing w:before="100" w:beforeAutospacing="1" w:after="100" w:afterAutospacing="1" w:line="288" w:lineRule="auto"/>
      <w:jc w:val="left"/>
      <w:textAlignment w:val="auto"/>
    </w:pPr>
    <w:rPr>
      <w:rFonts w:ascii="Times New Roman" w:eastAsiaTheme="minorEastAsia" w:hAnsi="Times New Roman" w:cstheme="minorBidi"/>
      <w:color w:val="5A5A5A" w:themeColor="text1" w:themeTint="A5"/>
      <w:sz w:val="24"/>
      <w:szCs w:val="24"/>
      <w:lang w:bidi="en-US"/>
    </w:rPr>
  </w:style>
  <w:style w:type="paragraph" w:customStyle="1" w:styleId="Example">
    <w:name w:val="Example"/>
    <w:basedOn w:val="BodyText"/>
    <w:next w:val="BlockText"/>
    <w:uiPriority w:val="99"/>
    <w:qFormat/>
    <w:rsid w:val="00046060"/>
    <w:pPr>
      <w:keepNext/>
      <w:keepLines/>
      <w:pBdr>
        <w:top w:val="outset" w:sz="18" w:space="1" w:color="44546A" w:themeColor="text2" w:shadow="1"/>
        <w:left w:val="outset" w:sz="18" w:space="4" w:color="44546A" w:themeColor="text2" w:shadow="1"/>
        <w:bottom w:val="outset" w:sz="18" w:space="1" w:color="44546A" w:themeColor="text2" w:shadow="1"/>
        <w:right w:val="outset" w:sz="18" w:space="4" w:color="44546A" w:themeColor="text2" w:shadow="1"/>
      </w:pBdr>
      <w:tabs>
        <w:tab w:val="left" w:pos="1440"/>
      </w:tabs>
      <w:suppressAutoHyphens w:val="0"/>
      <w:autoSpaceDE/>
      <w:autoSpaceDN/>
      <w:adjustRightInd/>
      <w:spacing w:after="160" w:line="259" w:lineRule="auto"/>
      <w:textAlignment w:val="auto"/>
    </w:pPr>
    <w:rPr>
      <w:rFonts w:asciiTheme="minorHAnsi" w:eastAsiaTheme="minorEastAsia" w:hAnsiTheme="minorHAnsi" w:cstheme="minorBidi"/>
      <w:sz w:val="22"/>
      <w:szCs w:val="22"/>
      <w:lang w:bidi="en-US"/>
    </w:rPr>
  </w:style>
  <w:style w:type="paragraph" w:styleId="BlockText">
    <w:name w:val="Block Text"/>
    <w:basedOn w:val="Normal"/>
    <w:uiPriority w:val="99"/>
    <w:semiHidden/>
    <w:unhideWhenUsed/>
    <w:rsid w:val="00046060"/>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cstheme="minorBidi"/>
      <w:i/>
      <w:iCs/>
      <w:color w:val="4472C4" w:themeColor="accent1"/>
    </w:rPr>
  </w:style>
  <w:style w:type="table" w:styleId="TableClassic1">
    <w:name w:val="Table Classic 1"/>
    <w:basedOn w:val="TableNormal"/>
    <w:semiHidden/>
    <w:rsid w:val="00046060"/>
    <w:pPr>
      <w:spacing w:line="260" w:lineRule="atLeast"/>
      <w:ind w:left="2160"/>
    </w:pPr>
    <w:rPr>
      <w:rFonts w:eastAsiaTheme="minorEastAsia"/>
      <w:sz w:val="20"/>
      <w:szCs w:val="20"/>
      <w:lang w:bidi="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HeadingRunin">
    <w:name w:val="Heading Run in"/>
    <w:basedOn w:val="DefaultParagraphFont"/>
    <w:qFormat/>
    <w:rsid w:val="00046060"/>
    <w:rPr>
      <w:b/>
    </w:rPr>
  </w:style>
  <w:style w:type="paragraph" w:customStyle="1" w:styleId="Continuation">
    <w:name w:val="Continuation"/>
    <w:basedOn w:val="Normal"/>
    <w:uiPriority w:val="99"/>
    <w:qFormat/>
    <w:rsid w:val="00046060"/>
    <w:pPr>
      <w:widowControl/>
      <w:suppressAutoHyphens w:val="0"/>
      <w:autoSpaceDE/>
      <w:autoSpaceDN/>
      <w:adjustRightInd/>
      <w:spacing w:after="240"/>
      <w:jc w:val="left"/>
      <w:textAlignment w:val="auto"/>
    </w:pPr>
    <w:rPr>
      <w:rFonts w:ascii="Times" w:eastAsia="Times" w:hAnsi="Times" w:cs="Times New Roman"/>
      <w:color w:val="FF0000"/>
      <w:sz w:val="24"/>
    </w:rPr>
  </w:style>
  <w:style w:type="paragraph" w:customStyle="1" w:styleId="TitleValue">
    <w:name w:val="TitleValue"/>
    <w:basedOn w:val="Normal"/>
    <w:uiPriority w:val="99"/>
    <w:qFormat/>
    <w:rsid w:val="00046060"/>
    <w:pPr>
      <w:framePr w:hSpace="187" w:wrap="notBeside" w:hAnchor="text" w:yAlign="bottom"/>
      <w:widowControl/>
      <w:shd w:val="solid" w:color="FFFFFF" w:fill="FFFFFF"/>
      <w:suppressAutoHyphens w:val="0"/>
      <w:autoSpaceDE/>
      <w:autoSpaceDN/>
      <w:adjustRightInd/>
      <w:spacing w:line="288" w:lineRule="auto"/>
      <w:jc w:val="left"/>
      <w:textAlignment w:val="auto"/>
    </w:pPr>
    <w:rPr>
      <w:rFonts w:asciiTheme="minorHAnsi" w:eastAsiaTheme="minorEastAsia" w:hAnsiTheme="minorHAnsi" w:cstheme="minorBidi"/>
      <w:color w:val="5A5A5A" w:themeColor="text1" w:themeTint="A5"/>
      <w:kern w:val="32"/>
      <w:sz w:val="24"/>
      <w:szCs w:val="24"/>
      <w:lang w:bidi="en-US"/>
    </w:rPr>
  </w:style>
  <w:style w:type="numbering" w:customStyle="1" w:styleId="1-">
    <w:name w:val="1/-"/>
    <w:basedOn w:val="NoList"/>
    <w:rsid w:val="00046060"/>
    <w:pPr>
      <w:numPr>
        <w:numId w:val="18"/>
      </w:numPr>
    </w:pPr>
  </w:style>
  <w:style w:type="character" w:customStyle="1" w:styleId="report">
    <w:name w:val="report"/>
    <w:basedOn w:val="BodyTextChar"/>
    <w:uiPriority w:val="1"/>
    <w:qFormat/>
    <w:rsid w:val="00046060"/>
    <w:rPr>
      <w:rFonts w:ascii="Courier New" w:eastAsia="Times New Roman" w:hAnsi="Courier New" w:cs="Courier New"/>
      <w:bCs/>
      <w:color w:val="auto"/>
      <w:sz w:val="18"/>
      <w:szCs w:val="20"/>
    </w:rPr>
  </w:style>
  <w:style w:type="paragraph" w:styleId="ListContinue">
    <w:name w:val="List Continue"/>
    <w:basedOn w:val="Normal"/>
    <w:uiPriority w:val="99"/>
    <w:qFormat/>
    <w:rsid w:val="00046060"/>
    <w:pPr>
      <w:widowControl/>
      <w:suppressAutoHyphens w:val="0"/>
      <w:autoSpaceDE/>
      <w:autoSpaceDN/>
      <w:adjustRightInd/>
      <w:spacing w:before="120"/>
      <w:ind w:left="1800"/>
      <w:textAlignment w:val="auto"/>
    </w:pPr>
    <w:rPr>
      <w:rFonts w:asciiTheme="minorHAnsi" w:eastAsiaTheme="minorEastAsia" w:hAnsiTheme="minorHAnsi" w:cstheme="minorBidi"/>
      <w:color w:val="auto"/>
      <w:sz w:val="22"/>
      <w:lang w:bidi="en-US"/>
    </w:rPr>
  </w:style>
  <w:style w:type="paragraph" w:customStyle="1" w:styleId="HeadingE1">
    <w:name w:val="HeadingE 1"/>
    <w:basedOn w:val="HeadingFront"/>
    <w:next w:val="BodyText"/>
    <w:uiPriority w:val="99"/>
    <w:qFormat/>
    <w:rsid w:val="00046060"/>
    <w:pPr>
      <w:keepNext w:val="0"/>
      <w:widowControl/>
      <w:tabs>
        <w:tab w:val="left" w:pos="1800"/>
      </w:tabs>
      <w:autoSpaceDE/>
      <w:autoSpaceDN/>
      <w:adjustRightInd/>
      <w:spacing w:after="840" w:line="240" w:lineRule="auto"/>
      <w:ind w:left="0"/>
      <w:contextualSpacing/>
      <w:jc w:val="left"/>
      <w:textAlignment w:val="auto"/>
      <w:outlineLvl w:val="0"/>
    </w:pPr>
    <w:rPr>
      <w:rFonts w:asciiTheme="majorHAnsi" w:eastAsiaTheme="majorEastAsia" w:hAnsiTheme="majorHAnsi" w:cstheme="majorBidi"/>
      <w:b w:val="0"/>
      <w:bCs w:val="0"/>
      <w:smallCaps/>
      <w:color w:val="auto"/>
      <w:spacing w:val="20"/>
      <w:sz w:val="32"/>
      <w:szCs w:val="32"/>
      <w:lang w:bidi="en-US"/>
    </w:rPr>
  </w:style>
  <w:style w:type="paragraph" w:customStyle="1" w:styleId="SourceNoteL">
    <w:name w:val="Source/NoteL"/>
    <w:basedOn w:val="SourceNote"/>
    <w:uiPriority w:val="99"/>
    <w:qFormat/>
    <w:rsid w:val="00046060"/>
    <w:pPr>
      <w:ind w:left="720"/>
    </w:pPr>
  </w:style>
  <w:style w:type="paragraph" w:styleId="Revision">
    <w:name w:val="Revision"/>
    <w:hidden/>
    <w:uiPriority w:val="99"/>
    <w:semiHidden/>
    <w:rsid w:val="00046060"/>
    <w:pPr>
      <w:spacing w:after="0" w:line="240" w:lineRule="auto"/>
    </w:pPr>
    <w:rPr>
      <w:rFonts w:ascii="Calibri" w:eastAsia="Times New Roman" w:hAnsi="Calibri" w:cs="Calibri"/>
      <w:color w:val="000000"/>
      <w:sz w:val="20"/>
      <w:szCs w:val="20"/>
    </w:rPr>
  </w:style>
  <w:style w:type="paragraph" w:styleId="NoSpacing">
    <w:name w:val="No Spacing"/>
    <w:uiPriority w:val="1"/>
    <w:qFormat/>
    <w:rsid w:val="00046060"/>
    <w:pPr>
      <w:widowControl w:val="0"/>
      <w:suppressAutoHyphens/>
      <w:autoSpaceDE w:val="0"/>
      <w:autoSpaceDN w:val="0"/>
      <w:adjustRightInd w:val="0"/>
      <w:spacing w:after="0" w:line="240" w:lineRule="auto"/>
      <w:ind w:left="1080"/>
      <w:jc w:val="both"/>
      <w:textAlignment w:val="center"/>
    </w:pPr>
    <w:rPr>
      <w:rFonts w:ascii="Calibri" w:eastAsia="Times New Roman" w:hAnsi="Calibri" w:cs="Calibri"/>
      <w:color w:val="000000"/>
      <w:sz w:val="20"/>
      <w:szCs w:val="20"/>
    </w:rPr>
  </w:style>
  <w:style w:type="table" w:styleId="LightShading-Accent5">
    <w:name w:val="Light Shading Accent 5"/>
    <w:basedOn w:val="TableNormal"/>
    <w:uiPriority w:val="60"/>
    <w:rsid w:val="00046060"/>
    <w:pPr>
      <w:spacing w:after="0" w:line="240" w:lineRule="auto"/>
    </w:pPr>
    <w:rPr>
      <w:rFonts w:ascii="Calibri" w:eastAsia="Times New Roman" w:hAnsi="Calibri" w:cs="Calibri"/>
      <w:color w:val="2E74B5" w:themeColor="accent5" w:themeShade="BF"/>
      <w:sz w:val="20"/>
      <w:szCs w:val="20"/>
    </w:rPr>
    <w:tblPr>
      <w:tblStyleRowBandSize w:val="1"/>
      <w:tblStyleColBandSize w:val="1"/>
      <w:tblBorders>
        <w:top w:val="single" w:sz="8" w:space="0" w:color="5B9BD5" w:themeColor="accent5"/>
        <w:bottom w:val="single" w:sz="8" w:space="0" w:color="5B9BD5" w:themeColor="accent5"/>
      </w:tblBorders>
    </w:tblPr>
    <w:tblStylePr w:type="fir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la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left w:val="nil"/>
          <w:right w:val="nil"/>
          <w:insideH w:val="nil"/>
          <w:insideV w:val="nil"/>
        </w:tcBorders>
        <w:shd w:val="clear" w:color="auto" w:fill="D6E6F4" w:themeFill="accent5" w:themeFillTint="3F"/>
      </w:tcPr>
    </w:tblStylePr>
  </w:style>
  <w:style w:type="table" w:customStyle="1" w:styleId="TMGTable">
    <w:name w:val="TMGTable"/>
    <w:basedOn w:val="TableNormal"/>
    <w:uiPriority w:val="62"/>
    <w:rsid w:val="00046060"/>
    <w:pPr>
      <w:spacing w:after="0" w:line="240" w:lineRule="auto"/>
    </w:pPr>
    <w:rPr>
      <w:rFonts w:ascii="Courier New" w:eastAsia="Times New Roman" w:hAnsi="Courier New" w:cs="Calibri"/>
      <w:sz w:val="20"/>
      <w:szCs w:val="20"/>
    </w:rPr>
    <w:tblPr>
      <w:tblInd w:w="-36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left w:w="58" w:type="dxa"/>
        <w:right w:w="58" w:type="dxa"/>
      </w:tblCellMar>
    </w:tblPr>
    <w:tcPr>
      <w:shd w:val="clear" w:color="auto" w:fill="auto"/>
      <w:noWrap/>
      <w:vAlign w:val="center"/>
    </w:tc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DataFormatTable">
    <w:name w:val="DataFormatTable"/>
    <w:basedOn w:val="TableNormal"/>
    <w:uiPriority w:val="99"/>
    <w:qFormat/>
    <w:rsid w:val="00046060"/>
    <w:pPr>
      <w:spacing w:after="0" w:line="240" w:lineRule="auto"/>
      <w:jc w:val="center"/>
    </w:pPr>
    <w:rPr>
      <w:rFonts w:ascii="Arial Narrow" w:eastAsia="Times New Roman" w:hAnsi="Arial Narrow" w:cs="Calibri"/>
      <w:sz w:val="16"/>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paragraph" w:styleId="BodyText2">
    <w:name w:val="Body Text 2"/>
    <w:basedOn w:val="Normal"/>
    <w:link w:val="BodyText2Char"/>
    <w:uiPriority w:val="99"/>
    <w:unhideWhenUsed/>
    <w:rsid w:val="00046060"/>
    <w:pPr>
      <w:spacing w:after="120" w:line="480" w:lineRule="auto"/>
    </w:pPr>
  </w:style>
  <w:style w:type="character" w:customStyle="1" w:styleId="BodyText2Char">
    <w:name w:val="Body Text 2 Char"/>
    <w:basedOn w:val="DefaultParagraphFont"/>
    <w:link w:val="BodyText2"/>
    <w:uiPriority w:val="99"/>
    <w:rsid w:val="00046060"/>
    <w:rPr>
      <w:rFonts w:ascii="Calibri" w:eastAsia="Times New Roman" w:hAnsi="Calibri" w:cs="Calibri"/>
      <w:color w:val="000000"/>
      <w:sz w:val="20"/>
      <w:szCs w:val="20"/>
    </w:rPr>
  </w:style>
  <w:style w:type="paragraph" w:styleId="BodyText3">
    <w:name w:val="Body Text 3"/>
    <w:basedOn w:val="Normal"/>
    <w:link w:val="BodyText3Char"/>
    <w:uiPriority w:val="99"/>
    <w:unhideWhenUsed/>
    <w:rsid w:val="00046060"/>
    <w:pPr>
      <w:spacing w:after="120"/>
    </w:pPr>
    <w:rPr>
      <w:sz w:val="16"/>
      <w:szCs w:val="16"/>
    </w:rPr>
  </w:style>
  <w:style w:type="character" w:customStyle="1" w:styleId="BodyText3Char">
    <w:name w:val="Body Text 3 Char"/>
    <w:basedOn w:val="DefaultParagraphFont"/>
    <w:link w:val="BodyText3"/>
    <w:uiPriority w:val="99"/>
    <w:rsid w:val="00046060"/>
    <w:rPr>
      <w:rFonts w:ascii="Calibri" w:eastAsia="Times New Roman" w:hAnsi="Calibri" w:cs="Calibri"/>
      <w:color w:val="000000"/>
      <w:sz w:val="16"/>
      <w:szCs w:val="16"/>
    </w:rPr>
  </w:style>
  <w:style w:type="paragraph" w:styleId="BodyTextFirstIndent">
    <w:name w:val="Body Text First Indent"/>
    <w:basedOn w:val="BodyText"/>
    <w:link w:val="BodyTextFirstIndentChar"/>
    <w:uiPriority w:val="99"/>
    <w:unhideWhenUsed/>
    <w:rsid w:val="00046060"/>
    <w:pPr>
      <w:spacing w:after="160" w:line="270" w:lineRule="atLeast"/>
      <w:ind w:firstLine="360"/>
    </w:pPr>
  </w:style>
  <w:style w:type="character" w:customStyle="1" w:styleId="BodyTextFirstIndentChar">
    <w:name w:val="Body Text First Indent Char"/>
    <w:basedOn w:val="BodyTextChar"/>
    <w:link w:val="BodyTextFirstIndent"/>
    <w:uiPriority w:val="99"/>
    <w:rsid w:val="00046060"/>
    <w:rPr>
      <w:rFonts w:ascii="Calibri" w:eastAsia="Times New Roman" w:hAnsi="Calibri" w:cs="Calibri"/>
      <w:color w:val="000000"/>
      <w:sz w:val="20"/>
      <w:szCs w:val="20"/>
    </w:rPr>
  </w:style>
  <w:style w:type="table" w:customStyle="1" w:styleId="TMGTableStyle">
    <w:name w:val="TMGTableStyle"/>
    <w:basedOn w:val="TableNormal"/>
    <w:uiPriority w:val="99"/>
    <w:rsid w:val="00046060"/>
    <w:pPr>
      <w:spacing w:after="0" w:line="240" w:lineRule="auto"/>
    </w:pPr>
    <w:rPr>
      <w:rFonts w:ascii="Courier New" w:eastAsia="Times New Roman" w:hAnsi="Courier New" w:cs="Calibri"/>
      <w:spacing w:val="-4"/>
      <w:sz w:val="16"/>
      <w:szCs w:val="20"/>
    </w:rPr>
    <w:tblPr/>
  </w:style>
  <w:style w:type="table" w:customStyle="1" w:styleId="LightShading1">
    <w:name w:val="Light Shading1"/>
    <w:basedOn w:val="TableNormal"/>
    <w:uiPriority w:val="60"/>
    <w:rsid w:val="00046060"/>
    <w:pPr>
      <w:spacing w:after="0" w:line="240" w:lineRule="auto"/>
    </w:pPr>
    <w:rPr>
      <w:rFonts w:ascii="Calibri" w:eastAsia="Times New Roman" w:hAnsi="Calibri" w:cs="Calibri"/>
      <w:color w:val="000000" w:themeColor="text1" w:themeShade="BF"/>
      <w:sz w:val="20"/>
      <w:szCs w:val="20"/>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List1">
    <w:name w:val="Light List1"/>
    <w:basedOn w:val="TableNormal"/>
    <w:uiPriority w:val="61"/>
    <w:rsid w:val="00046060"/>
    <w:pPr>
      <w:spacing w:after="0" w:line="240" w:lineRule="auto"/>
    </w:pPr>
    <w:rPr>
      <w:rFonts w:ascii="Calibri" w:eastAsia="Times New Roman" w:hAnsi="Calibri" w:cs="Calibri"/>
      <w:sz w:val="20"/>
      <w:szCs w:val="20"/>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TMGTable1">
    <w:name w:val="TMGTable1"/>
    <w:basedOn w:val="TableText"/>
    <w:qFormat/>
    <w:rsid w:val="00046060"/>
    <w:rPr>
      <w:rFonts w:ascii="Courier New" w:hAnsi="Courier New" w:cs="Courier New"/>
    </w:rPr>
  </w:style>
  <w:style w:type="table" w:styleId="LightGrid-Accent5">
    <w:name w:val="Light Grid Accent 5"/>
    <w:basedOn w:val="TableNormal"/>
    <w:uiPriority w:val="62"/>
    <w:rsid w:val="00046060"/>
    <w:pPr>
      <w:spacing w:after="0" w:line="240" w:lineRule="auto"/>
    </w:pPr>
    <w:rPr>
      <w:rFonts w:ascii="Calibri" w:eastAsia="Times New Roman" w:hAnsi="Calibri" w:cs="Calibri"/>
      <w:sz w:val="20"/>
      <w:szCs w:val="20"/>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table" w:styleId="ColorfulGrid-Accent5">
    <w:name w:val="Colorful Grid Accent 5"/>
    <w:basedOn w:val="TableNormal"/>
    <w:uiPriority w:val="73"/>
    <w:rsid w:val="00046060"/>
    <w:pPr>
      <w:spacing w:after="0" w:line="240" w:lineRule="auto"/>
    </w:pPr>
    <w:rPr>
      <w:rFonts w:ascii="Calibri" w:eastAsia="Times New Roman" w:hAnsi="Calibri" w:cs="Calibri"/>
      <w:color w:val="000000" w:themeColor="text1"/>
      <w:sz w:val="20"/>
      <w:szCs w:val="20"/>
    </w:rPr>
    <w:tblPr>
      <w:tblStyleRowBandSize w:val="1"/>
      <w:tblStyleColBandSize w:val="1"/>
      <w:tblBorders>
        <w:insideH w:val="single" w:sz="4" w:space="0" w:color="FFFFFF" w:themeColor="background1"/>
      </w:tblBorders>
    </w:tblPr>
    <w:tcPr>
      <w:shd w:val="clear" w:color="auto" w:fill="DEEAF6" w:themeFill="accent5" w:themeFillTint="33"/>
    </w:tcPr>
    <w:tblStylePr w:type="firstRow">
      <w:rPr>
        <w:b/>
        <w:bCs/>
      </w:rPr>
      <w:tblPr/>
      <w:tcPr>
        <w:shd w:val="clear" w:color="auto" w:fill="BDD6EE" w:themeFill="accent5" w:themeFillTint="66"/>
      </w:tcPr>
    </w:tblStylePr>
    <w:tblStylePr w:type="lastRow">
      <w:rPr>
        <w:b/>
        <w:bCs/>
        <w:color w:val="000000" w:themeColor="text1"/>
      </w:rPr>
      <w:tblPr/>
      <w:tcPr>
        <w:shd w:val="clear" w:color="auto" w:fill="BDD6EE" w:themeFill="accent5" w:themeFillTint="66"/>
      </w:tcPr>
    </w:tblStylePr>
    <w:tblStylePr w:type="firstCol">
      <w:rPr>
        <w:color w:val="FFFFFF" w:themeColor="background1"/>
      </w:rPr>
      <w:tblPr/>
      <w:tcPr>
        <w:shd w:val="clear" w:color="auto" w:fill="2E74B5" w:themeFill="accent5" w:themeFillShade="BF"/>
      </w:tcPr>
    </w:tblStylePr>
    <w:tblStylePr w:type="lastCol">
      <w:rPr>
        <w:color w:val="FFFFFF" w:themeColor="background1"/>
      </w:rPr>
      <w:tblPr/>
      <w:tcPr>
        <w:shd w:val="clear" w:color="auto" w:fill="2E74B5" w:themeFill="accent5" w:themeFillShade="BF"/>
      </w:tcPr>
    </w:tblStylePr>
    <w:tblStylePr w:type="band1Vert">
      <w:tblPr/>
      <w:tcPr>
        <w:shd w:val="clear" w:color="auto" w:fill="ADCCEA" w:themeFill="accent5" w:themeFillTint="7F"/>
      </w:tcPr>
    </w:tblStylePr>
    <w:tblStylePr w:type="band1Horz">
      <w:tblPr/>
      <w:tcPr>
        <w:shd w:val="clear" w:color="auto" w:fill="ADCCEA" w:themeFill="accent5" w:themeFillTint="7F"/>
      </w:tcPr>
    </w:tblStylePr>
  </w:style>
  <w:style w:type="paragraph" w:styleId="DocumentMap">
    <w:name w:val="Document Map"/>
    <w:basedOn w:val="Normal"/>
    <w:link w:val="DocumentMapChar"/>
    <w:uiPriority w:val="99"/>
    <w:semiHidden/>
    <w:unhideWhenUsed/>
    <w:rsid w:val="00046060"/>
    <w:rPr>
      <w:rFonts w:ascii="Tahoma" w:hAnsi="Tahoma" w:cs="Tahoma"/>
      <w:sz w:val="16"/>
      <w:szCs w:val="16"/>
    </w:rPr>
  </w:style>
  <w:style w:type="character" w:customStyle="1" w:styleId="DocumentMapChar">
    <w:name w:val="Document Map Char"/>
    <w:basedOn w:val="DefaultParagraphFont"/>
    <w:link w:val="DocumentMap"/>
    <w:uiPriority w:val="99"/>
    <w:semiHidden/>
    <w:rsid w:val="00046060"/>
    <w:rPr>
      <w:rFonts w:ascii="Tahoma" w:eastAsia="Times New Roman" w:hAnsi="Tahoma" w:cs="Tahoma"/>
      <w:color w:val="000000"/>
      <w:sz w:val="16"/>
      <w:szCs w:val="16"/>
    </w:rPr>
  </w:style>
  <w:style w:type="paragraph" w:styleId="CommentSubject">
    <w:name w:val="annotation subject"/>
    <w:basedOn w:val="CommentText"/>
    <w:next w:val="CommentText"/>
    <w:link w:val="CommentSubjectChar"/>
    <w:uiPriority w:val="99"/>
    <w:semiHidden/>
    <w:unhideWhenUsed/>
    <w:rsid w:val="00046060"/>
    <w:pPr>
      <w:widowControl w:val="0"/>
      <w:suppressAutoHyphens/>
      <w:autoSpaceDE w:val="0"/>
      <w:autoSpaceDN w:val="0"/>
      <w:adjustRightInd w:val="0"/>
      <w:spacing w:line="240" w:lineRule="auto"/>
      <w:ind w:left="1080"/>
      <w:jc w:val="both"/>
      <w:textAlignment w:val="center"/>
    </w:pPr>
    <w:rPr>
      <w:rFonts w:ascii="Calibri" w:eastAsia="Times New Roman" w:hAnsi="Calibri" w:cs="Calibri"/>
      <w:b/>
      <w:bCs/>
      <w:color w:val="000000"/>
      <w:lang w:bidi="ar-SA"/>
    </w:rPr>
  </w:style>
  <w:style w:type="character" w:customStyle="1" w:styleId="CommentSubjectChar">
    <w:name w:val="Comment Subject Char"/>
    <w:basedOn w:val="CommentTextChar"/>
    <w:link w:val="CommentSubject"/>
    <w:uiPriority w:val="99"/>
    <w:semiHidden/>
    <w:rsid w:val="00046060"/>
    <w:rPr>
      <w:rFonts w:ascii="Calibri" w:eastAsia="Times New Roman" w:hAnsi="Calibri" w:cs="Calibri"/>
      <w:b/>
      <w:bCs/>
      <w:color w:val="000000"/>
      <w:sz w:val="20"/>
      <w:szCs w:val="20"/>
      <w:lang w:bidi="en-US"/>
    </w:rPr>
  </w:style>
  <w:style w:type="paragraph" w:styleId="Index1">
    <w:name w:val="index 1"/>
    <w:basedOn w:val="Normal"/>
    <w:next w:val="Normal"/>
    <w:autoRedefine/>
    <w:uiPriority w:val="99"/>
    <w:unhideWhenUsed/>
    <w:rsid w:val="00C454C7"/>
    <w:pPr>
      <w:tabs>
        <w:tab w:val="right" w:leader="dot" w:pos="4310"/>
        <w:tab w:val="right" w:leader="dot" w:pos="9350"/>
      </w:tabs>
      <w:ind w:left="200" w:hanging="200"/>
      <w:jc w:val="left"/>
    </w:pPr>
  </w:style>
  <w:style w:type="paragraph" w:styleId="Index4">
    <w:name w:val="index 4"/>
    <w:basedOn w:val="Normal"/>
    <w:next w:val="Normal"/>
    <w:autoRedefine/>
    <w:uiPriority w:val="99"/>
    <w:semiHidden/>
    <w:unhideWhenUsed/>
    <w:rsid w:val="00046060"/>
    <w:pPr>
      <w:ind w:left="800" w:hanging="200"/>
    </w:pPr>
  </w:style>
  <w:style w:type="character" w:styleId="Emphasis">
    <w:name w:val="Emphasis"/>
    <w:basedOn w:val="DefaultParagraphFont"/>
    <w:uiPriority w:val="20"/>
    <w:qFormat/>
    <w:rsid w:val="00046060"/>
    <w:rPr>
      <w:i/>
      <w:iCs/>
    </w:rPr>
  </w:style>
  <w:style w:type="character" w:styleId="FollowedHyperlink">
    <w:name w:val="FollowedHyperlink"/>
    <w:basedOn w:val="DefaultParagraphFont"/>
    <w:uiPriority w:val="99"/>
    <w:semiHidden/>
    <w:unhideWhenUsed/>
    <w:rsid w:val="00046060"/>
    <w:rPr>
      <w:color w:val="954F72" w:themeColor="followedHyperlink"/>
      <w:u w:val="single"/>
    </w:rPr>
  </w:style>
  <w:style w:type="paragraph" w:customStyle="1" w:styleId="StandardParagraph">
    <w:name w:val="Standard Paragraph"/>
    <w:basedOn w:val="BodyText"/>
    <w:autoRedefine/>
    <w:uiPriority w:val="99"/>
    <w:rsid w:val="00046060"/>
    <w:pPr>
      <w:suppressAutoHyphens w:val="0"/>
      <w:autoSpaceDE/>
      <w:autoSpaceDN/>
      <w:adjustRightInd/>
      <w:spacing w:before="120"/>
      <w:textAlignment w:val="auto"/>
    </w:pPr>
    <w:rPr>
      <w:rFonts w:asciiTheme="minorHAnsi" w:eastAsia="SimSun" w:hAnsiTheme="minorHAnsi" w:cs="Times New Roman"/>
      <w:sz w:val="22"/>
      <w:szCs w:val="22"/>
      <w:lang w:eastAsia="zh-CN"/>
    </w:rPr>
  </w:style>
  <w:style w:type="paragraph" w:styleId="ListParagraph">
    <w:name w:val="List Paragraph"/>
    <w:basedOn w:val="Normal"/>
    <w:uiPriority w:val="34"/>
    <w:qFormat/>
    <w:rsid w:val="00046060"/>
    <w:pPr>
      <w:ind w:left="720"/>
      <w:contextualSpacing/>
    </w:pPr>
  </w:style>
  <w:style w:type="paragraph" w:styleId="TOCHeading">
    <w:name w:val="TOC Heading"/>
    <w:basedOn w:val="Heading1"/>
    <w:next w:val="Normal"/>
    <w:uiPriority w:val="39"/>
    <w:unhideWhenUsed/>
    <w:qFormat/>
    <w:rsid w:val="002F329F"/>
    <w:pPr>
      <w:keepLines/>
      <w:numPr>
        <w:numId w:val="0"/>
      </w:numPr>
      <w:spacing w:before="240" w:after="0" w:line="259" w:lineRule="auto"/>
      <w:outlineLvl w:val="9"/>
    </w:pPr>
    <w:rPr>
      <w:rFonts w:asciiTheme="majorHAnsi" w:eastAsiaTheme="majorEastAsia" w:hAnsiTheme="majorHAnsi" w:cstheme="majorBidi"/>
      <w:smallCaps w:val="0"/>
      <w:color w:val="2F5496" w:themeColor="accent1" w:themeShade="BF"/>
    </w:rPr>
  </w:style>
  <w:style w:type="paragraph" w:customStyle="1" w:styleId="11Heading">
    <w:name w:val="1.1 Heading"/>
    <w:basedOn w:val="Heading2"/>
    <w:link w:val="11HeadingChar"/>
    <w:qFormat/>
    <w:rsid w:val="00BF19CC"/>
    <w:pPr>
      <w:numPr>
        <w:numId w:val="4"/>
      </w:numPr>
      <w:spacing w:after="100" w:afterAutospacing="1"/>
    </w:pPr>
  </w:style>
  <w:style w:type="character" w:customStyle="1" w:styleId="11HeadingChar">
    <w:name w:val="1.1 Heading Char"/>
    <w:basedOn w:val="Heading2Char"/>
    <w:link w:val="11Heading"/>
    <w:rsid w:val="00BF19CC"/>
    <w:rPr>
      <w:rFonts w:ascii="Cambria" w:eastAsia="Times New Roman" w:hAnsi="Cambria" w:cs="Cambria"/>
      <w:caps/>
      <w:color w:val="000000"/>
      <w:sz w:val="26"/>
      <w:szCs w:val="26"/>
    </w:rPr>
  </w:style>
  <w:style w:type="paragraph" w:customStyle="1" w:styleId="1511Heading4">
    <w:name w:val="1.5.1.1 Heading 4"/>
    <w:basedOn w:val="Heading4"/>
    <w:link w:val="1511Heading4Char"/>
    <w:qFormat/>
    <w:rsid w:val="00DD05C7"/>
    <w:pPr>
      <w:numPr>
        <w:numId w:val="62"/>
      </w:numPr>
    </w:pPr>
  </w:style>
  <w:style w:type="paragraph" w:customStyle="1" w:styleId="FigureCaption">
    <w:name w:val="Figure Caption"/>
    <w:basedOn w:val="Normal"/>
    <w:link w:val="FigureCaptionChar"/>
    <w:qFormat/>
    <w:rsid w:val="004764B3"/>
    <w:pPr>
      <w:keepNext/>
      <w:widowControl/>
      <w:spacing w:before="360" w:after="120"/>
      <w:contextualSpacing/>
      <w:jc w:val="left"/>
    </w:pPr>
    <w:rPr>
      <w:b/>
      <w:bCs/>
      <w:smallCaps/>
      <w:sz w:val="24"/>
      <w:szCs w:val="22"/>
    </w:rPr>
  </w:style>
  <w:style w:type="character" w:customStyle="1" w:styleId="1511Heading4Char">
    <w:name w:val="1.5.1.1 Heading 4 Char"/>
    <w:basedOn w:val="Heading4Char"/>
    <w:link w:val="1511Heading4"/>
    <w:rsid w:val="00DD05C7"/>
    <w:rPr>
      <w:rFonts w:ascii="Cambria" w:eastAsia="Times New Roman" w:hAnsi="Cambria" w:cstheme="minorHAnsi"/>
      <w:bCs/>
      <w:smallCaps/>
      <w:sz w:val="24"/>
      <w:szCs w:val="24"/>
    </w:rPr>
  </w:style>
  <w:style w:type="paragraph" w:customStyle="1" w:styleId="CallOut">
    <w:name w:val="Call Out"/>
    <w:basedOn w:val="Normal"/>
    <w:link w:val="CallOutChar"/>
    <w:qFormat/>
    <w:rsid w:val="00A119E0"/>
    <w:pPr>
      <w:widowControl/>
      <w:pBdr>
        <w:top w:val="double" w:sz="4" w:space="1" w:color="auto"/>
        <w:bottom w:val="double" w:sz="4" w:space="1" w:color="auto"/>
      </w:pBdr>
      <w:autoSpaceDE/>
      <w:autoSpaceDN/>
      <w:adjustRightInd/>
      <w:spacing w:before="120" w:after="120"/>
      <w:ind w:left="720" w:right="720"/>
      <w:jc w:val="left"/>
      <w:textAlignment w:val="auto"/>
    </w:pPr>
    <w:rPr>
      <w:rFonts w:eastAsia="MS Mincho" w:cs="Arial"/>
      <w:color w:val="000000" w:themeColor="text1"/>
    </w:rPr>
  </w:style>
  <w:style w:type="character" w:customStyle="1" w:styleId="FigureCaptionChar">
    <w:name w:val="Figure Caption Char"/>
    <w:basedOn w:val="DefaultParagraphFont"/>
    <w:link w:val="FigureCaption"/>
    <w:rsid w:val="004764B3"/>
    <w:rPr>
      <w:rFonts w:ascii="Calibri" w:eastAsia="Times New Roman" w:hAnsi="Calibri" w:cs="Calibri"/>
      <w:b/>
      <w:bCs/>
      <w:smallCaps/>
      <w:color w:val="000000"/>
      <w:sz w:val="24"/>
    </w:rPr>
  </w:style>
  <w:style w:type="character" w:customStyle="1" w:styleId="CallOutChar">
    <w:name w:val="Call Out Char"/>
    <w:basedOn w:val="DefaultParagraphFont"/>
    <w:link w:val="CallOut"/>
    <w:rsid w:val="00A119E0"/>
    <w:rPr>
      <w:rFonts w:ascii="Calibri" w:eastAsia="MS Mincho" w:hAnsi="Calibri" w:cs="Arial"/>
      <w:color w:val="000000" w:themeColor="text1"/>
      <w:sz w:val="20"/>
      <w:szCs w:val="20"/>
    </w:rPr>
  </w:style>
  <w:style w:type="paragraph" w:customStyle="1" w:styleId="1111Style5">
    <w:name w:val="1.1.1.1. Style5"/>
    <w:basedOn w:val="Heading3"/>
    <w:link w:val="1111Style5Char"/>
    <w:qFormat/>
    <w:rsid w:val="00E9144E"/>
    <w:pPr>
      <w:numPr>
        <w:ilvl w:val="0"/>
        <w:numId w:val="0"/>
      </w:numPr>
      <w:tabs>
        <w:tab w:val="num" w:pos="864"/>
      </w:tabs>
      <w:ind w:left="360" w:hanging="720"/>
    </w:pPr>
  </w:style>
  <w:style w:type="character" w:customStyle="1" w:styleId="1111Style5Char">
    <w:name w:val="1.1.1.1. Style5 Char"/>
    <w:basedOn w:val="Heading3Char"/>
    <w:link w:val="1111Style5"/>
    <w:rsid w:val="00E9144E"/>
    <w:rPr>
      <w:rFonts w:ascii="Cambria" w:eastAsia="Times New Roman" w:hAnsi="Cambria" w:cstheme="minorHAnsi"/>
      <w:bCs/>
      <w:smallCaps/>
      <w:sz w:val="26"/>
      <w:szCs w:val="26"/>
    </w:rPr>
  </w:style>
  <w:style w:type="paragraph" w:customStyle="1" w:styleId="BodyFHWA">
    <w:name w:val="Body (FHWA)"/>
    <w:basedOn w:val="Normal"/>
    <w:qFormat/>
    <w:rsid w:val="00587C2E"/>
    <w:pPr>
      <w:widowControl/>
      <w:suppressAutoHyphens w:val="0"/>
      <w:autoSpaceDE/>
      <w:autoSpaceDN/>
      <w:adjustRightInd/>
      <w:ind w:left="360"/>
      <w:jc w:val="left"/>
      <w:textAlignment w:val="auto"/>
    </w:pPr>
    <w:rPr>
      <w:rFonts w:cs="Arial"/>
      <w:color w:val="000000" w:themeColor="text1"/>
    </w:rPr>
  </w:style>
  <w:style w:type="paragraph" w:customStyle="1" w:styleId="131">
    <w:name w:val="1.3.1"/>
    <w:basedOn w:val="Heading3"/>
    <w:link w:val="131Char"/>
    <w:qFormat/>
    <w:rsid w:val="004E1C80"/>
    <w:pPr>
      <w:numPr>
        <w:numId w:val="59"/>
      </w:numPr>
    </w:pPr>
  </w:style>
  <w:style w:type="paragraph" w:customStyle="1" w:styleId="141">
    <w:name w:val="1.4.1"/>
    <w:basedOn w:val="131"/>
    <w:link w:val="141Char"/>
    <w:qFormat/>
    <w:rsid w:val="00DB4BA5"/>
    <w:pPr>
      <w:numPr>
        <w:numId w:val="60"/>
      </w:numPr>
    </w:pPr>
  </w:style>
  <w:style w:type="character" w:customStyle="1" w:styleId="131Char">
    <w:name w:val="1.3.1 Char"/>
    <w:basedOn w:val="Heading3Char"/>
    <w:link w:val="131"/>
    <w:rsid w:val="004E1C80"/>
    <w:rPr>
      <w:rFonts w:ascii="Cambria" w:eastAsia="Times New Roman" w:hAnsi="Cambria" w:cstheme="minorHAnsi"/>
      <w:bCs/>
      <w:smallCaps/>
      <w:sz w:val="26"/>
      <w:szCs w:val="26"/>
    </w:rPr>
  </w:style>
  <w:style w:type="paragraph" w:customStyle="1" w:styleId="1">
    <w:name w:val="1"/>
    <w:aliases w:val="5.1"/>
    <w:basedOn w:val="141"/>
    <w:link w:val="1Char"/>
    <w:qFormat/>
    <w:rsid w:val="004F609A"/>
    <w:pPr>
      <w:numPr>
        <w:numId w:val="21"/>
      </w:numPr>
      <w:ind w:left="720" w:hanging="1080"/>
    </w:pPr>
  </w:style>
  <w:style w:type="character" w:customStyle="1" w:styleId="141Char">
    <w:name w:val="1.4.1 Char"/>
    <w:basedOn w:val="Heading3Char"/>
    <w:link w:val="141"/>
    <w:rsid w:val="00DB4BA5"/>
    <w:rPr>
      <w:rFonts w:ascii="Cambria" w:eastAsia="Times New Roman" w:hAnsi="Cambria" w:cstheme="minorHAnsi"/>
      <w:bCs/>
      <w:smallCaps/>
      <w:sz w:val="26"/>
      <w:szCs w:val="26"/>
    </w:rPr>
  </w:style>
  <w:style w:type="paragraph" w:customStyle="1" w:styleId="1521">
    <w:name w:val="1.5.2.1"/>
    <w:basedOn w:val="1511Heading4"/>
    <w:link w:val="1521Char"/>
    <w:qFormat/>
    <w:rsid w:val="004826FD"/>
    <w:pPr>
      <w:numPr>
        <w:numId w:val="22"/>
      </w:numPr>
      <w:ind w:left="0"/>
    </w:pPr>
  </w:style>
  <w:style w:type="character" w:customStyle="1" w:styleId="1Char">
    <w:name w:val="1 Char"/>
    <w:aliases w:val="5.1 Char"/>
    <w:basedOn w:val="141Char"/>
    <w:link w:val="1"/>
    <w:rsid w:val="004F609A"/>
    <w:rPr>
      <w:rFonts w:ascii="Cambria" w:eastAsia="Times New Roman" w:hAnsi="Cambria" w:cstheme="minorHAnsi"/>
      <w:bCs/>
      <w:smallCaps/>
      <w:sz w:val="26"/>
      <w:szCs w:val="26"/>
    </w:rPr>
  </w:style>
  <w:style w:type="character" w:customStyle="1" w:styleId="1521Char">
    <w:name w:val="1.5.2.1 Char"/>
    <w:basedOn w:val="1511Heading4Char"/>
    <w:link w:val="1521"/>
    <w:rsid w:val="004826FD"/>
    <w:rPr>
      <w:rFonts w:ascii="Cambria" w:eastAsia="Times New Roman" w:hAnsi="Cambria" w:cstheme="minorHAnsi"/>
      <w:bCs/>
      <w:smallCaps/>
      <w:sz w:val="24"/>
      <w:szCs w:val="24"/>
    </w:rPr>
  </w:style>
  <w:style w:type="paragraph" w:customStyle="1" w:styleId="CoverDocTitle">
    <w:name w:val="Cover Doc Title"/>
    <w:basedOn w:val="Normal"/>
    <w:link w:val="CoverDocTitleChar"/>
    <w:qFormat/>
    <w:rsid w:val="001D3599"/>
    <w:pPr>
      <w:suppressAutoHyphens w:val="0"/>
      <w:autoSpaceDE/>
      <w:autoSpaceDN/>
      <w:spacing w:line="360" w:lineRule="atLeast"/>
      <w:ind w:left="3870"/>
      <w:textAlignment w:val="baseline"/>
    </w:pPr>
    <w:rPr>
      <w:rFonts w:ascii="Times New Roman" w:hAnsi="Times New Roman" w:cs="Times New Roman"/>
      <w:b/>
      <w:color w:val="2F5496" w:themeColor="accent1" w:themeShade="BF"/>
      <w:sz w:val="40"/>
      <w:szCs w:val="40"/>
    </w:rPr>
  </w:style>
  <w:style w:type="character" w:customStyle="1" w:styleId="CoverDocTitleChar">
    <w:name w:val="Cover Doc Title Char"/>
    <w:basedOn w:val="DefaultParagraphFont"/>
    <w:link w:val="CoverDocTitle"/>
    <w:rsid w:val="001D3599"/>
    <w:rPr>
      <w:rFonts w:ascii="Times New Roman" w:eastAsia="Times New Roman" w:hAnsi="Times New Roman" w:cs="Times New Roman"/>
      <w:b/>
      <w:color w:val="2F5496" w:themeColor="accent1" w:themeShade="BF"/>
      <w:sz w:val="40"/>
      <w:szCs w:val="40"/>
    </w:rPr>
  </w:style>
  <w:style w:type="paragraph" w:customStyle="1" w:styleId="BulletedList">
    <w:name w:val="Bulleted List"/>
    <w:basedOn w:val="Normal"/>
    <w:uiPriority w:val="99"/>
    <w:rsid w:val="008822A4"/>
    <w:pPr>
      <w:tabs>
        <w:tab w:val="left" w:pos="60"/>
      </w:tabs>
      <w:suppressAutoHyphens w:val="0"/>
      <w:spacing w:after="140" w:line="288" w:lineRule="auto"/>
      <w:ind w:left="320" w:hanging="200"/>
    </w:pPr>
    <w:rPr>
      <w:sz w:val="22"/>
      <w:szCs w:val="22"/>
    </w:rPr>
  </w:style>
  <w:style w:type="paragraph" w:styleId="List2">
    <w:name w:val="List 2"/>
    <w:basedOn w:val="Normal"/>
    <w:uiPriority w:val="99"/>
    <w:unhideWhenUsed/>
    <w:rsid w:val="008822A4"/>
    <w:pPr>
      <w:suppressAutoHyphens w:val="0"/>
      <w:autoSpaceDE/>
      <w:autoSpaceDN/>
      <w:spacing w:after="120" w:line="360" w:lineRule="atLeast"/>
      <w:ind w:left="720" w:hanging="360"/>
      <w:contextualSpacing/>
      <w:textAlignment w:val="baseline"/>
    </w:pPr>
    <w:rPr>
      <w:rFonts w:ascii="Times New Roman" w:hAnsi="Times New Roman" w:cs="Times New Roman"/>
      <w:color w:val="000000" w:themeColor="text1"/>
      <w:sz w:val="22"/>
    </w:rPr>
  </w:style>
  <w:style w:type="paragraph" w:customStyle="1" w:styleId="IndexText">
    <w:name w:val="Index Text"/>
    <w:basedOn w:val="Normal"/>
    <w:link w:val="IndexTextChar"/>
    <w:qFormat/>
    <w:rsid w:val="008822A4"/>
    <w:pPr>
      <w:suppressAutoHyphens w:val="0"/>
      <w:autoSpaceDE/>
      <w:autoSpaceDN/>
      <w:spacing w:after="120" w:line="360" w:lineRule="atLeast"/>
      <w:textAlignment w:val="baseline"/>
    </w:pPr>
    <w:rPr>
      <w:rFonts w:cs="Cambria"/>
      <w:iCs/>
      <w:color w:val="000000" w:themeColor="text1"/>
    </w:rPr>
  </w:style>
  <w:style w:type="paragraph" w:customStyle="1" w:styleId="Default">
    <w:name w:val="Default"/>
    <w:rsid w:val="008822A4"/>
    <w:pPr>
      <w:widowControl w:val="0"/>
      <w:autoSpaceDE w:val="0"/>
      <w:autoSpaceDN w:val="0"/>
      <w:adjustRightInd w:val="0"/>
      <w:spacing w:after="0" w:line="360" w:lineRule="atLeast"/>
      <w:jc w:val="both"/>
      <w:textAlignment w:val="baseline"/>
    </w:pPr>
    <w:rPr>
      <w:rFonts w:ascii="Times New Roman" w:eastAsia="Times New Roman" w:hAnsi="Times New Roman" w:cs="Times New Roman"/>
      <w:color w:val="000000"/>
      <w:sz w:val="20"/>
      <w:szCs w:val="20"/>
    </w:rPr>
  </w:style>
  <w:style w:type="character" w:customStyle="1" w:styleId="IndexTextChar">
    <w:name w:val="Index Text Char"/>
    <w:basedOn w:val="DefaultParagraphFont"/>
    <w:link w:val="IndexText"/>
    <w:rsid w:val="008822A4"/>
    <w:rPr>
      <w:rFonts w:ascii="Calibri" w:eastAsia="Times New Roman" w:hAnsi="Calibri" w:cs="Cambria"/>
      <w:iCs/>
      <w:color w:val="000000" w:themeColor="text1"/>
      <w:sz w:val="20"/>
      <w:szCs w:val="20"/>
    </w:rPr>
  </w:style>
  <w:style w:type="character" w:styleId="Strong">
    <w:name w:val="Strong"/>
    <w:basedOn w:val="DefaultParagraphFont"/>
    <w:uiPriority w:val="22"/>
    <w:qFormat/>
    <w:rsid w:val="008822A4"/>
    <w:rPr>
      <w:b/>
      <w:bCs/>
    </w:rPr>
  </w:style>
  <w:style w:type="paragraph" w:customStyle="1" w:styleId="ParagraphText">
    <w:name w:val="Paragraph Text"/>
    <w:basedOn w:val="Normal"/>
    <w:link w:val="ParagraphTextChar"/>
    <w:qFormat/>
    <w:rsid w:val="008822A4"/>
    <w:pPr>
      <w:autoSpaceDE/>
      <w:autoSpaceDN/>
      <w:spacing w:before="80" w:after="120" w:line="240" w:lineRule="atLeast"/>
      <w:textAlignment w:val="baseline"/>
    </w:pPr>
    <w:rPr>
      <w:rFonts w:cs="Arial"/>
      <w:color w:val="000000" w:themeColor="text1"/>
    </w:rPr>
  </w:style>
  <w:style w:type="table" w:styleId="MediumGrid3-Accent3">
    <w:name w:val="Medium Grid 3 Accent 3"/>
    <w:basedOn w:val="TableNormal"/>
    <w:uiPriority w:val="69"/>
    <w:rsid w:val="008822A4"/>
    <w:pPr>
      <w:spacing w:after="0" w:line="240" w:lineRule="auto"/>
    </w:pPr>
    <w:rPr>
      <w:rFonts w:eastAsiaTheme="minorEastAsia"/>
      <w:sz w:val="24"/>
      <w:szCs w:val="24"/>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paragraph" w:styleId="BodyTextIndent">
    <w:name w:val="Body Text Indent"/>
    <w:basedOn w:val="Normal"/>
    <w:link w:val="BodyTextIndentChar"/>
    <w:uiPriority w:val="99"/>
    <w:semiHidden/>
    <w:unhideWhenUsed/>
    <w:rsid w:val="008822A4"/>
    <w:pPr>
      <w:suppressAutoHyphens w:val="0"/>
      <w:autoSpaceDE/>
      <w:autoSpaceDN/>
      <w:spacing w:after="120" w:line="360" w:lineRule="atLeast"/>
      <w:ind w:left="360"/>
      <w:textAlignment w:val="baseline"/>
    </w:pPr>
    <w:rPr>
      <w:rFonts w:ascii="Times New Roman" w:hAnsi="Times New Roman" w:cs="Times New Roman"/>
      <w:color w:val="000000" w:themeColor="text1"/>
      <w:sz w:val="22"/>
    </w:rPr>
  </w:style>
  <w:style w:type="character" w:customStyle="1" w:styleId="BodyTextIndentChar">
    <w:name w:val="Body Text Indent Char"/>
    <w:basedOn w:val="DefaultParagraphFont"/>
    <w:link w:val="BodyTextIndent"/>
    <w:uiPriority w:val="99"/>
    <w:semiHidden/>
    <w:rsid w:val="008822A4"/>
    <w:rPr>
      <w:rFonts w:ascii="Times New Roman" w:eastAsia="Times New Roman" w:hAnsi="Times New Roman" w:cs="Times New Roman"/>
      <w:color w:val="000000" w:themeColor="text1"/>
      <w:szCs w:val="20"/>
    </w:rPr>
  </w:style>
  <w:style w:type="table" w:styleId="LightList-Accent1">
    <w:name w:val="Light List Accent 1"/>
    <w:basedOn w:val="TableNormal"/>
    <w:uiPriority w:val="61"/>
    <w:rsid w:val="008822A4"/>
    <w:pPr>
      <w:spacing w:after="0" w:line="240" w:lineRule="auto"/>
    </w:pPr>
    <w:rPr>
      <w:rFonts w:eastAsiaTheme="minorEastAsia"/>
      <w:sz w:val="24"/>
      <w:szCs w:val="24"/>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MediumShading1-Accent1">
    <w:name w:val="Medium Shading 1 Accent 1"/>
    <w:basedOn w:val="TableNormal"/>
    <w:uiPriority w:val="63"/>
    <w:rsid w:val="008822A4"/>
    <w:pPr>
      <w:spacing w:after="0" w:line="240" w:lineRule="auto"/>
    </w:pPr>
    <w:rPr>
      <w:rFonts w:eastAsiaTheme="minorEastAsia"/>
      <w:sz w:val="24"/>
      <w:szCs w:val="24"/>
    </w:r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0" w:after="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0" w:after="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paragraph" w:customStyle="1" w:styleId="Text">
    <w:name w:val="Text"/>
    <w:basedOn w:val="Normal"/>
    <w:qFormat/>
    <w:rsid w:val="008822A4"/>
    <w:pPr>
      <w:suppressAutoHyphens w:val="0"/>
      <w:autoSpaceDE/>
      <w:autoSpaceDN/>
      <w:spacing w:before="120" w:after="80" w:line="240" w:lineRule="atLeast"/>
      <w:textAlignment w:val="baseline"/>
    </w:pPr>
    <w:rPr>
      <w:rFonts w:asciiTheme="minorHAnsi" w:eastAsiaTheme="minorHAnsi" w:hAnsiTheme="minorHAnsi" w:cs="Times New Roman"/>
      <w:color w:val="000000" w:themeColor="text1"/>
      <w:szCs w:val="22"/>
    </w:rPr>
  </w:style>
  <w:style w:type="paragraph" w:customStyle="1" w:styleId="TableBodyText">
    <w:name w:val="Table Body Text"/>
    <w:basedOn w:val="Normal"/>
    <w:link w:val="TableBodyTextChar"/>
    <w:uiPriority w:val="3"/>
    <w:qFormat/>
    <w:rsid w:val="00EE628A"/>
    <w:pPr>
      <w:suppressAutoHyphens w:val="0"/>
      <w:autoSpaceDE/>
      <w:autoSpaceDN/>
      <w:spacing w:line="240" w:lineRule="atLeast"/>
      <w:jc w:val="left"/>
      <w:textAlignment w:val="baseline"/>
    </w:pPr>
    <w:rPr>
      <w:rFonts w:asciiTheme="minorHAnsi" w:hAnsiTheme="minorHAnsi" w:cs="Arial"/>
      <w:color w:val="000000" w:themeColor="text1"/>
      <w:szCs w:val="22"/>
    </w:rPr>
  </w:style>
  <w:style w:type="paragraph" w:customStyle="1" w:styleId="TableHead">
    <w:name w:val="Table Head"/>
    <w:basedOn w:val="TableBodyText"/>
    <w:next w:val="TableBodyText"/>
    <w:uiPriority w:val="3"/>
    <w:qFormat/>
    <w:rsid w:val="00D170BD"/>
    <w:rPr>
      <w:b/>
      <w:color w:val="FFFFFF" w:themeColor="background1"/>
      <w:spacing w:val="-4"/>
    </w:rPr>
  </w:style>
  <w:style w:type="table" w:customStyle="1" w:styleId="PlainTable31">
    <w:name w:val="Plain Table 31"/>
    <w:basedOn w:val="TableNormal"/>
    <w:uiPriority w:val="43"/>
    <w:rsid w:val="008822A4"/>
    <w:pPr>
      <w:spacing w:after="0" w:line="240" w:lineRule="auto"/>
    </w:pPr>
    <w:rPr>
      <w:rFonts w:eastAsiaTheme="minorEastAsia"/>
      <w:sz w:val="24"/>
      <w:szCs w:val="24"/>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11">
    <w:name w:val="Plain Table 11"/>
    <w:basedOn w:val="TableNormal"/>
    <w:uiPriority w:val="41"/>
    <w:rsid w:val="008822A4"/>
    <w:pPr>
      <w:spacing w:after="0" w:line="240" w:lineRule="auto"/>
    </w:pPr>
    <w:rPr>
      <w:rFonts w:eastAsiaTheme="minorEastAsia"/>
      <w:sz w:val="24"/>
      <w:szCs w:val="24"/>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2-Accent11">
    <w:name w:val="Grid Table 2 - Accent 11"/>
    <w:basedOn w:val="TableNormal"/>
    <w:uiPriority w:val="47"/>
    <w:rsid w:val="008822A4"/>
    <w:pPr>
      <w:spacing w:after="0" w:line="240" w:lineRule="auto"/>
    </w:pPr>
    <w:rPr>
      <w:rFonts w:eastAsiaTheme="minorEastAsia"/>
      <w:sz w:val="24"/>
      <w:szCs w:val="24"/>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ListTable4-Accent51">
    <w:name w:val="List Table 4 - Accent 51"/>
    <w:basedOn w:val="TableNormal"/>
    <w:uiPriority w:val="49"/>
    <w:rsid w:val="008822A4"/>
    <w:pPr>
      <w:spacing w:after="0" w:line="240" w:lineRule="auto"/>
    </w:pPr>
    <w:rPr>
      <w:rFonts w:ascii="Times New Roman" w:hAnsi="Times New Roman" w:cs="Times New Roman"/>
      <w:sz w:val="20"/>
      <w:szCs w:val="20"/>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SubtitleChar">
    <w:name w:val="Subtitle Char"/>
    <w:aliases w:val="Headings Char"/>
    <w:link w:val="Subtitle"/>
    <w:uiPriority w:val="11"/>
    <w:locked/>
    <w:rsid w:val="008822A4"/>
    <w:rPr>
      <w:rFonts w:ascii="Cambria" w:hAnsi="Cambria" w:cs="Arial Narrow"/>
      <w:bCs/>
      <w:smallCaps/>
      <w:color w:val="000000" w:themeColor="text1"/>
      <w:sz w:val="32"/>
    </w:rPr>
  </w:style>
  <w:style w:type="paragraph" w:styleId="Subtitle">
    <w:name w:val="Subtitle"/>
    <w:aliases w:val="Headings"/>
    <w:basedOn w:val="Normal"/>
    <w:next w:val="Normal"/>
    <w:link w:val="SubtitleChar"/>
    <w:uiPriority w:val="11"/>
    <w:qFormat/>
    <w:rsid w:val="008822A4"/>
    <w:pPr>
      <w:spacing w:line="288" w:lineRule="auto"/>
      <w:textAlignment w:val="baseline"/>
    </w:pPr>
    <w:rPr>
      <w:rFonts w:ascii="Cambria" w:eastAsiaTheme="minorHAnsi" w:hAnsi="Cambria" w:cs="Arial Narrow"/>
      <w:bCs/>
      <w:smallCaps/>
      <w:color w:val="000000" w:themeColor="text1"/>
      <w:sz w:val="32"/>
      <w:szCs w:val="22"/>
    </w:rPr>
  </w:style>
  <w:style w:type="character" w:customStyle="1" w:styleId="SubtitleChar1">
    <w:name w:val="Subtitle Char1"/>
    <w:basedOn w:val="DefaultParagraphFont"/>
    <w:uiPriority w:val="11"/>
    <w:rsid w:val="008822A4"/>
    <w:rPr>
      <w:rFonts w:eastAsiaTheme="minorEastAsia"/>
      <w:color w:val="5A5A5A" w:themeColor="text1" w:themeTint="A5"/>
      <w:spacing w:val="15"/>
    </w:rPr>
  </w:style>
  <w:style w:type="paragraph" w:customStyle="1" w:styleId="TMGBullet">
    <w:name w:val="TMG Bullet"/>
    <w:basedOn w:val="ListBulletBulletsandNumbering"/>
    <w:link w:val="TMGBulletChar"/>
    <w:qFormat/>
    <w:rsid w:val="0091460B"/>
    <w:pPr>
      <w:numPr>
        <w:numId w:val="58"/>
      </w:numPr>
      <w:ind w:left="288" w:hanging="288"/>
      <w:contextualSpacing/>
    </w:pPr>
  </w:style>
  <w:style w:type="paragraph" w:customStyle="1" w:styleId="FigListHeading">
    <w:name w:val="FigList Heading"/>
    <w:basedOn w:val="Normal"/>
    <w:link w:val="FigListHeadingChar"/>
    <w:qFormat/>
    <w:rsid w:val="008822A4"/>
    <w:pPr>
      <w:tabs>
        <w:tab w:val="center" w:pos="4680"/>
      </w:tabs>
      <w:suppressAutoHyphens w:val="0"/>
      <w:autoSpaceDE/>
      <w:autoSpaceDN/>
      <w:spacing w:line="360" w:lineRule="atLeast"/>
      <w:textAlignment w:val="baseline"/>
    </w:pPr>
    <w:rPr>
      <w:rFonts w:ascii="Arial" w:eastAsia="Calibri" w:hAnsi="Arial" w:cs="Arial"/>
      <w:bCs/>
      <w:color w:val="548DD4"/>
      <w:sz w:val="36"/>
      <w:szCs w:val="60"/>
      <w:lang w:eastAsia="zh-TW"/>
    </w:rPr>
  </w:style>
  <w:style w:type="paragraph" w:customStyle="1" w:styleId="TableListHead">
    <w:name w:val="TableList Head"/>
    <w:basedOn w:val="Normal"/>
    <w:link w:val="TableListHeadChar"/>
    <w:qFormat/>
    <w:rsid w:val="008822A4"/>
    <w:pPr>
      <w:suppressAutoHyphens w:val="0"/>
      <w:autoSpaceDE/>
      <w:autoSpaceDN/>
      <w:spacing w:line="360" w:lineRule="atLeast"/>
      <w:textAlignment w:val="baseline"/>
    </w:pPr>
    <w:rPr>
      <w:rFonts w:ascii="Arial" w:eastAsia="Calibri" w:hAnsi="Arial" w:cs="Arial"/>
      <w:bCs/>
      <w:color w:val="548DD4"/>
      <w:sz w:val="36"/>
      <w:szCs w:val="60"/>
      <w:lang w:eastAsia="zh-TW"/>
    </w:rPr>
  </w:style>
  <w:style w:type="character" w:customStyle="1" w:styleId="FigListHeadingChar">
    <w:name w:val="FigList Heading Char"/>
    <w:basedOn w:val="DefaultParagraphFont"/>
    <w:link w:val="FigListHeading"/>
    <w:rsid w:val="008822A4"/>
    <w:rPr>
      <w:rFonts w:ascii="Arial" w:eastAsia="Calibri" w:hAnsi="Arial" w:cs="Arial"/>
      <w:bCs/>
      <w:color w:val="548DD4"/>
      <w:sz w:val="36"/>
      <w:szCs w:val="60"/>
      <w:lang w:eastAsia="zh-TW"/>
    </w:rPr>
  </w:style>
  <w:style w:type="paragraph" w:customStyle="1" w:styleId="ESHead">
    <w:name w:val="ES Head"/>
    <w:basedOn w:val="Normal"/>
    <w:link w:val="ESHeadChar"/>
    <w:qFormat/>
    <w:rsid w:val="008822A4"/>
    <w:pPr>
      <w:spacing w:before="1200" w:after="360" w:line="288" w:lineRule="auto"/>
      <w:outlineLvl w:val="0"/>
    </w:pPr>
    <w:rPr>
      <w:rFonts w:ascii="Cambria" w:hAnsi="Cambria" w:cs="Cambria"/>
      <w:smallCaps/>
      <w:sz w:val="32"/>
      <w:szCs w:val="32"/>
    </w:rPr>
  </w:style>
  <w:style w:type="character" w:customStyle="1" w:styleId="TableListHeadChar">
    <w:name w:val="TableList Head Char"/>
    <w:basedOn w:val="DefaultParagraphFont"/>
    <w:link w:val="TableListHead"/>
    <w:rsid w:val="008822A4"/>
    <w:rPr>
      <w:rFonts w:ascii="Arial" w:eastAsia="Calibri" w:hAnsi="Arial" w:cs="Arial"/>
      <w:bCs/>
      <w:color w:val="548DD4"/>
      <w:sz w:val="36"/>
      <w:szCs w:val="60"/>
      <w:lang w:eastAsia="zh-TW"/>
    </w:rPr>
  </w:style>
  <w:style w:type="paragraph" w:customStyle="1" w:styleId="ESBookHead">
    <w:name w:val="ES Book Head"/>
    <w:basedOn w:val="Normal"/>
    <w:link w:val="ESBookHeadChar"/>
    <w:qFormat/>
    <w:rsid w:val="008822A4"/>
    <w:pPr>
      <w:spacing w:before="1200" w:after="360" w:line="288" w:lineRule="auto"/>
      <w:outlineLvl w:val="0"/>
    </w:pPr>
    <w:rPr>
      <w:rFonts w:ascii="Cambria" w:hAnsi="Cambria" w:cs="Cambria"/>
      <w:i/>
      <w:smallCaps/>
      <w:sz w:val="32"/>
      <w:szCs w:val="32"/>
    </w:rPr>
  </w:style>
  <w:style w:type="character" w:customStyle="1" w:styleId="ESHeadChar">
    <w:name w:val="ES Head Char"/>
    <w:basedOn w:val="DefaultParagraphFont"/>
    <w:link w:val="ESHead"/>
    <w:rsid w:val="008822A4"/>
    <w:rPr>
      <w:rFonts w:ascii="Cambria" w:eastAsia="Times New Roman" w:hAnsi="Cambria" w:cs="Cambria"/>
      <w:smallCaps/>
      <w:color w:val="000000"/>
      <w:sz w:val="32"/>
      <w:szCs w:val="32"/>
    </w:rPr>
  </w:style>
  <w:style w:type="character" w:styleId="BookTitle">
    <w:name w:val="Book Title"/>
    <w:basedOn w:val="DefaultParagraphFont"/>
    <w:uiPriority w:val="33"/>
    <w:qFormat/>
    <w:rsid w:val="008822A4"/>
    <w:rPr>
      <w:b w:val="0"/>
      <w:bCs/>
      <w:i/>
      <w:caps w:val="0"/>
      <w:smallCaps/>
      <w:strike w:val="0"/>
      <w:dstrike w:val="0"/>
      <w:vanish w:val="0"/>
      <w:color w:val="auto"/>
      <w:spacing w:val="5"/>
      <w:vertAlign w:val="baseline"/>
    </w:rPr>
  </w:style>
  <w:style w:type="character" w:customStyle="1" w:styleId="ESBookHeadChar">
    <w:name w:val="ES Book Head Char"/>
    <w:basedOn w:val="DefaultParagraphFont"/>
    <w:link w:val="ESBookHead"/>
    <w:rsid w:val="008822A4"/>
    <w:rPr>
      <w:rFonts w:ascii="Cambria" w:eastAsia="Times New Roman" w:hAnsi="Cambria" w:cs="Cambria"/>
      <w:i/>
      <w:smallCaps/>
      <w:color w:val="000000"/>
      <w:sz w:val="32"/>
      <w:szCs w:val="32"/>
    </w:rPr>
  </w:style>
  <w:style w:type="paragraph" w:customStyle="1" w:styleId="FigureTitle">
    <w:name w:val="Figure Title"/>
    <w:basedOn w:val="Caption"/>
    <w:link w:val="FigureTitleChar"/>
    <w:qFormat/>
    <w:rsid w:val="008822A4"/>
    <w:pPr>
      <w:keepNext/>
      <w:spacing w:before="360" w:line="360" w:lineRule="atLeast"/>
      <w:contextualSpacing/>
    </w:pPr>
    <w:rPr>
      <w:smallCaps/>
      <w:sz w:val="24"/>
    </w:rPr>
  </w:style>
  <w:style w:type="character" w:customStyle="1" w:styleId="ParagraphTextChar">
    <w:name w:val="Paragraph Text Char"/>
    <w:basedOn w:val="DefaultParagraphFont"/>
    <w:link w:val="ParagraphText"/>
    <w:rsid w:val="008822A4"/>
    <w:rPr>
      <w:rFonts w:ascii="Calibri" w:eastAsia="Times New Roman" w:hAnsi="Calibri" w:cs="Arial"/>
      <w:color w:val="000000" w:themeColor="text1"/>
      <w:sz w:val="20"/>
      <w:szCs w:val="20"/>
    </w:rPr>
  </w:style>
  <w:style w:type="character" w:customStyle="1" w:styleId="SourceChar">
    <w:name w:val="Source Char"/>
    <w:basedOn w:val="ParagraphTextChar"/>
    <w:link w:val="Source"/>
    <w:uiPriority w:val="99"/>
    <w:rsid w:val="00B854E1"/>
    <w:rPr>
      <w:rFonts w:ascii="Calibri" w:eastAsia="Times New Roman" w:hAnsi="Calibri" w:cs="Calibri"/>
      <w:i/>
      <w:color w:val="000000" w:themeColor="text1"/>
      <w:sz w:val="18"/>
      <w:szCs w:val="18"/>
    </w:rPr>
  </w:style>
  <w:style w:type="paragraph" w:customStyle="1" w:styleId="TableHeadWhite">
    <w:name w:val="Table Head White"/>
    <w:basedOn w:val="TableBodyText"/>
    <w:link w:val="TableHeadWhiteChar"/>
    <w:qFormat/>
    <w:rsid w:val="008822A4"/>
    <w:rPr>
      <w:b/>
      <w:color w:val="FFFFFF" w:themeColor="background1"/>
    </w:rPr>
  </w:style>
  <w:style w:type="character" w:customStyle="1" w:styleId="FigureTitleChar">
    <w:name w:val="Figure Title Char"/>
    <w:basedOn w:val="CaptionChar"/>
    <w:link w:val="FigureTitle"/>
    <w:rsid w:val="008822A4"/>
    <w:rPr>
      <w:rFonts w:ascii="Calibri" w:eastAsia="Times New Roman" w:hAnsi="Calibri" w:cs="Calibri"/>
      <w:b/>
      <w:bCs/>
      <w:smallCaps/>
      <w:color w:val="000000"/>
      <w:sz w:val="24"/>
      <w:szCs w:val="20"/>
    </w:rPr>
  </w:style>
  <w:style w:type="table" w:customStyle="1" w:styleId="TMGTable0">
    <w:name w:val="TMG Table"/>
    <w:basedOn w:val="TableNormal"/>
    <w:uiPriority w:val="99"/>
    <w:rsid w:val="008822A4"/>
    <w:pPr>
      <w:spacing w:after="0" w:line="240" w:lineRule="auto"/>
    </w:pPr>
    <w:rPr>
      <w:rFonts w:asciiTheme="majorHAnsi" w:eastAsiaTheme="minorEastAsia" w:hAnsiTheme="majorHAnsi"/>
      <w:sz w:val="20"/>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tcPr>
    <w:tblStylePr w:type="firstRow">
      <w:tblPr/>
      <w:tcPr>
        <w:shd w:val="clear" w:color="auto" w:fill="323E4F" w:themeFill="text2" w:themeFillShade="BF"/>
      </w:tcPr>
    </w:tblStylePr>
  </w:style>
  <w:style w:type="character" w:customStyle="1" w:styleId="TableBodyTextChar">
    <w:name w:val="Table Body Text Char"/>
    <w:basedOn w:val="DefaultParagraphFont"/>
    <w:link w:val="TableBodyText"/>
    <w:uiPriority w:val="3"/>
    <w:rsid w:val="00EE628A"/>
    <w:rPr>
      <w:rFonts w:eastAsia="Times New Roman" w:cs="Arial"/>
      <w:color w:val="000000" w:themeColor="text1"/>
      <w:sz w:val="20"/>
    </w:rPr>
  </w:style>
  <w:style w:type="character" w:customStyle="1" w:styleId="TableHeadWhiteChar">
    <w:name w:val="Table Head White Char"/>
    <w:basedOn w:val="TableBodyTextChar"/>
    <w:link w:val="TableHeadWhite"/>
    <w:rsid w:val="008822A4"/>
    <w:rPr>
      <w:rFonts w:asciiTheme="majorHAnsi" w:eastAsia="Times New Roman" w:hAnsiTheme="majorHAnsi" w:cs="Arial"/>
      <w:b/>
      <w:color w:val="FFFFFF" w:themeColor="background1"/>
      <w:sz w:val="20"/>
    </w:rPr>
  </w:style>
  <w:style w:type="character" w:customStyle="1" w:styleId="ListBulletBulletsandNumberingChar">
    <w:name w:val="List Bullet (Bullets and Numbering) Char"/>
    <w:basedOn w:val="BodyTextChar"/>
    <w:link w:val="ListBulletBulletsandNumbering"/>
    <w:uiPriority w:val="99"/>
    <w:rsid w:val="008822A4"/>
    <w:rPr>
      <w:rFonts w:ascii="Calibri" w:eastAsia="Times New Roman" w:hAnsi="Calibri" w:cs="Calibri"/>
      <w:sz w:val="20"/>
      <w:szCs w:val="20"/>
    </w:rPr>
  </w:style>
  <w:style w:type="character" w:customStyle="1" w:styleId="TMGBulletChar">
    <w:name w:val="TMG Bullet Char"/>
    <w:basedOn w:val="ListBulletBulletsandNumberingChar"/>
    <w:link w:val="TMGBullet"/>
    <w:rsid w:val="0091460B"/>
    <w:rPr>
      <w:rFonts w:ascii="Calibri" w:eastAsia="Times New Roman" w:hAnsi="Calibri" w:cs="Calibri"/>
      <w:sz w:val="20"/>
      <w:szCs w:val="20"/>
    </w:rPr>
  </w:style>
  <w:style w:type="paragraph" w:customStyle="1" w:styleId="CoverDate">
    <w:name w:val="Cover Date"/>
    <w:basedOn w:val="Heading2"/>
    <w:link w:val="CoverDateChar"/>
    <w:qFormat/>
    <w:rsid w:val="008822A4"/>
    <w:pPr>
      <w:widowControl w:val="0"/>
      <w:autoSpaceDE w:val="0"/>
      <w:autoSpaceDN w:val="0"/>
      <w:adjustRightInd w:val="0"/>
      <w:spacing w:before="0" w:line="270" w:lineRule="atLeast"/>
      <w:ind w:left="3874" w:hanging="1080"/>
      <w:textAlignment w:val="center"/>
    </w:pPr>
    <w:rPr>
      <w:color w:val="44546A" w:themeColor="text2"/>
    </w:rPr>
  </w:style>
  <w:style w:type="character" w:customStyle="1" w:styleId="CoverDateChar">
    <w:name w:val="Cover Date Char"/>
    <w:basedOn w:val="Heading2Char"/>
    <w:link w:val="CoverDate"/>
    <w:rsid w:val="008822A4"/>
    <w:rPr>
      <w:rFonts w:ascii="Cambria" w:eastAsia="Times New Roman" w:hAnsi="Cambria" w:cs="Cambria"/>
      <w:caps/>
      <w:color w:val="44546A" w:themeColor="text2"/>
      <w:sz w:val="26"/>
      <w:szCs w:val="26"/>
    </w:rPr>
  </w:style>
  <w:style w:type="paragraph" w:customStyle="1" w:styleId="CoverTaskNo">
    <w:name w:val="Cover Task No"/>
    <w:basedOn w:val="Normal"/>
    <w:link w:val="CoverTaskNoChar"/>
    <w:qFormat/>
    <w:rsid w:val="008822A4"/>
    <w:pPr>
      <w:suppressAutoHyphens w:val="0"/>
      <w:autoSpaceDE/>
      <w:autoSpaceDN/>
      <w:spacing w:after="120" w:line="360" w:lineRule="atLeast"/>
      <w:ind w:left="3870"/>
      <w:textAlignment w:val="baseline"/>
    </w:pPr>
    <w:rPr>
      <w:rFonts w:ascii="Times New Roman" w:hAnsi="Times New Roman" w:cs="Arial"/>
      <w:b/>
      <w:color w:val="2F5496" w:themeColor="accent1" w:themeShade="BF"/>
      <w:sz w:val="28"/>
      <w:szCs w:val="28"/>
    </w:rPr>
  </w:style>
  <w:style w:type="character" w:customStyle="1" w:styleId="CoverTaskNoChar">
    <w:name w:val="Cover Task No Char"/>
    <w:basedOn w:val="DefaultParagraphFont"/>
    <w:link w:val="CoverTaskNo"/>
    <w:rsid w:val="008822A4"/>
    <w:rPr>
      <w:rFonts w:ascii="Times New Roman" w:eastAsia="Times New Roman" w:hAnsi="Times New Roman" w:cs="Arial"/>
      <w:b/>
      <w:color w:val="2F5496" w:themeColor="accent1" w:themeShade="BF"/>
      <w:sz w:val="28"/>
      <w:szCs w:val="28"/>
    </w:rPr>
  </w:style>
  <w:style w:type="paragraph" w:customStyle="1" w:styleId="CallOutMSTextBox">
    <w:name w:val="Call Out MS Text Box"/>
    <w:basedOn w:val="Normal"/>
    <w:link w:val="CallOutMSTextBoxChar"/>
    <w:qFormat/>
    <w:rsid w:val="008822A4"/>
    <w:pPr>
      <w:suppressAutoHyphens w:val="0"/>
      <w:autoSpaceDE/>
      <w:autoSpaceDN/>
      <w:spacing w:after="120" w:line="360" w:lineRule="atLeast"/>
      <w:textAlignment w:val="baseline"/>
    </w:pPr>
    <w:rPr>
      <w:rFonts w:cs="Times New Roman"/>
      <w:color w:val="000000" w:themeColor="text1"/>
    </w:rPr>
  </w:style>
  <w:style w:type="character" w:customStyle="1" w:styleId="CallOutMSTextBoxChar">
    <w:name w:val="Call Out MS Text Box Char"/>
    <w:basedOn w:val="DefaultParagraphFont"/>
    <w:link w:val="CallOutMSTextBox"/>
    <w:rsid w:val="008822A4"/>
    <w:rPr>
      <w:rFonts w:ascii="Calibri" w:eastAsia="Times New Roman" w:hAnsi="Calibri" w:cs="Times New Roman"/>
      <w:color w:val="000000" w:themeColor="text1"/>
      <w:sz w:val="20"/>
      <w:szCs w:val="20"/>
    </w:rPr>
  </w:style>
  <w:style w:type="character" w:styleId="IntenseReference">
    <w:name w:val="Intense Reference"/>
    <w:basedOn w:val="DefaultParagraphFont"/>
    <w:uiPriority w:val="32"/>
    <w:qFormat/>
    <w:rsid w:val="008822A4"/>
    <w:rPr>
      <w:b/>
      <w:bCs/>
      <w:smallCaps/>
      <w:color w:val="4472C4" w:themeColor="accent1"/>
      <w:spacing w:val="5"/>
    </w:rPr>
  </w:style>
  <w:style w:type="character" w:styleId="PlaceholderText">
    <w:name w:val="Placeholder Text"/>
    <w:basedOn w:val="DefaultParagraphFont"/>
    <w:uiPriority w:val="99"/>
    <w:semiHidden/>
    <w:rsid w:val="008822A4"/>
    <w:rPr>
      <w:color w:val="808080"/>
    </w:rPr>
  </w:style>
  <w:style w:type="character" w:customStyle="1" w:styleId="UnresolvedMention1">
    <w:name w:val="Unresolved Mention1"/>
    <w:basedOn w:val="DefaultParagraphFont"/>
    <w:uiPriority w:val="99"/>
    <w:semiHidden/>
    <w:unhideWhenUsed/>
    <w:rsid w:val="008822A4"/>
    <w:rPr>
      <w:color w:val="605E5C"/>
      <w:shd w:val="clear" w:color="auto" w:fill="E1DFDD"/>
    </w:rPr>
  </w:style>
  <w:style w:type="paragraph" w:customStyle="1" w:styleId="CommentText1">
    <w:name w:val="Comment Text1"/>
    <w:basedOn w:val="Normal"/>
    <w:next w:val="CommentText"/>
    <w:uiPriority w:val="99"/>
    <w:semiHidden/>
    <w:rsid w:val="008822A4"/>
    <w:pPr>
      <w:suppressAutoHyphens w:val="0"/>
      <w:autoSpaceDE/>
      <w:autoSpaceDN/>
      <w:spacing w:line="288" w:lineRule="auto"/>
      <w:ind w:left="2160"/>
      <w:textAlignment w:val="baseline"/>
    </w:pPr>
    <w:rPr>
      <w:rFonts w:asciiTheme="minorHAnsi" w:hAnsiTheme="minorHAnsi" w:cs="Times New Roman"/>
      <w:color w:val="5A5A5A"/>
      <w:lang w:bidi="en-US"/>
    </w:rPr>
  </w:style>
  <w:style w:type="paragraph" w:customStyle="1" w:styleId="Heading11">
    <w:name w:val="Heading 11"/>
    <w:basedOn w:val="Header"/>
    <w:next w:val="BodyText"/>
    <w:qFormat/>
    <w:rsid w:val="008822A4"/>
    <w:pPr>
      <w:keepNext/>
      <w:keepLines/>
      <w:widowControl w:val="0"/>
      <w:tabs>
        <w:tab w:val="clear" w:pos="4680"/>
        <w:tab w:val="clear" w:pos="9360"/>
        <w:tab w:val="center" w:pos="4320"/>
        <w:tab w:val="right" w:pos="8640"/>
      </w:tabs>
      <w:adjustRightInd w:val="0"/>
      <w:spacing w:before="0" w:after="0" w:line="360" w:lineRule="atLeast"/>
      <w:jc w:val="both"/>
      <w:textAlignment w:val="baseline"/>
      <w:outlineLvl w:val="0"/>
    </w:pPr>
    <w:rPr>
      <w:rFonts w:ascii="Cambria" w:eastAsia="MS Gothic" w:hAnsi="Cambria" w:cs="Times New Roman"/>
      <w:bCs/>
      <w:smallCaps/>
      <w:color w:val="000000"/>
      <w:sz w:val="32"/>
      <w:szCs w:val="32"/>
    </w:rPr>
  </w:style>
  <w:style w:type="paragraph" w:customStyle="1" w:styleId="TableFS1">
    <w:name w:val="Table_FS1"/>
    <w:basedOn w:val="Normal"/>
    <w:next w:val="Normal"/>
    <w:unhideWhenUsed/>
    <w:qFormat/>
    <w:rsid w:val="008822A4"/>
    <w:pPr>
      <w:keepNext/>
      <w:keepLines/>
      <w:suppressAutoHyphens w:val="0"/>
      <w:autoSpaceDE/>
      <w:autoSpaceDN/>
      <w:spacing w:before="40" w:line="360" w:lineRule="atLeast"/>
      <w:textAlignment w:val="baseline"/>
      <w:outlineLvl w:val="4"/>
    </w:pPr>
    <w:rPr>
      <w:rFonts w:eastAsia="MS Gothic" w:cs="Times New Roman"/>
      <w:color w:val="365F91"/>
      <w:sz w:val="22"/>
    </w:rPr>
  </w:style>
  <w:style w:type="paragraph" w:customStyle="1" w:styleId="Heading61">
    <w:name w:val="Heading 61"/>
    <w:basedOn w:val="Normal"/>
    <w:next w:val="Normal"/>
    <w:uiPriority w:val="9"/>
    <w:unhideWhenUsed/>
    <w:qFormat/>
    <w:rsid w:val="008822A4"/>
    <w:pPr>
      <w:keepNext/>
      <w:keepLines/>
      <w:suppressAutoHyphens w:val="0"/>
      <w:autoSpaceDE/>
      <w:autoSpaceDN/>
      <w:spacing w:before="200" w:line="360" w:lineRule="atLeast"/>
      <w:textAlignment w:val="baseline"/>
      <w:outlineLvl w:val="5"/>
    </w:pPr>
    <w:rPr>
      <w:rFonts w:eastAsia="MS Gothic" w:cs="Times New Roman"/>
      <w:i/>
      <w:iCs/>
      <w:color w:val="243F60"/>
      <w:sz w:val="22"/>
      <w:szCs w:val="22"/>
    </w:rPr>
  </w:style>
  <w:style w:type="character" w:customStyle="1" w:styleId="Hyperlink1">
    <w:name w:val="Hyperlink1"/>
    <w:basedOn w:val="DefaultParagraphFont"/>
    <w:uiPriority w:val="99"/>
    <w:unhideWhenUsed/>
    <w:rsid w:val="008822A4"/>
    <w:rPr>
      <w:color w:val="0000FF"/>
      <w:u w:val="single"/>
    </w:rPr>
  </w:style>
  <w:style w:type="paragraph" w:customStyle="1" w:styleId="ft1">
    <w:name w:val="ft1"/>
    <w:basedOn w:val="Normal"/>
    <w:next w:val="FootnoteText"/>
    <w:uiPriority w:val="99"/>
    <w:unhideWhenUsed/>
    <w:qFormat/>
    <w:rsid w:val="008822A4"/>
    <w:pPr>
      <w:suppressAutoHyphens w:val="0"/>
      <w:autoSpaceDE/>
      <w:autoSpaceDN/>
      <w:spacing w:line="360" w:lineRule="atLeast"/>
      <w:textAlignment w:val="baseline"/>
    </w:pPr>
    <w:rPr>
      <w:rFonts w:eastAsia="Cambria" w:cs="Times New Roman"/>
      <w:color w:val="auto"/>
    </w:rPr>
  </w:style>
  <w:style w:type="table" w:customStyle="1" w:styleId="TableGrid1">
    <w:name w:val="Table Grid1"/>
    <w:basedOn w:val="TableNormal"/>
    <w:next w:val="TableGrid"/>
    <w:uiPriority w:val="39"/>
    <w:rsid w:val="008822A4"/>
    <w:pPr>
      <w:spacing w:after="0" w:line="240" w:lineRule="auto"/>
    </w:pPr>
    <w:rPr>
      <w:rFonts w:eastAsia="MS Mincho"/>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31">
    <w:name w:val="Medium Grid 3 - Accent 31"/>
    <w:basedOn w:val="TableNormal"/>
    <w:next w:val="MediumGrid3-Accent3"/>
    <w:uiPriority w:val="69"/>
    <w:rsid w:val="008822A4"/>
    <w:pPr>
      <w:spacing w:after="0" w:line="240" w:lineRule="auto"/>
    </w:pPr>
    <w:rPr>
      <w:rFonts w:eastAsia="MS Mincho"/>
      <w:sz w:val="24"/>
      <w:szCs w:val="24"/>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character" w:customStyle="1" w:styleId="FollowedHyperlink1">
    <w:name w:val="FollowedHyperlink1"/>
    <w:basedOn w:val="DefaultParagraphFont"/>
    <w:uiPriority w:val="99"/>
    <w:semiHidden/>
    <w:unhideWhenUsed/>
    <w:rsid w:val="008822A4"/>
    <w:rPr>
      <w:color w:val="800080"/>
      <w:u w:val="single"/>
    </w:rPr>
  </w:style>
  <w:style w:type="paragraph" w:customStyle="1" w:styleId="CoverTitle1">
    <w:name w:val="Cover Title1"/>
    <w:basedOn w:val="Normal"/>
    <w:next w:val="Title"/>
    <w:uiPriority w:val="10"/>
    <w:qFormat/>
    <w:rsid w:val="008822A4"/>
    <w:pPr>
      <w:tabs>
        <w:tab w:val="center" w:pos="4932"/>
      </w:tabs>
      <w:suppressAutoHyphens w:val="0"/>
      <w:autoSpaceDE/>
      <w:autoSpaceDN/>
      <w:spacing w:line="360" w:lineRule="atLeast"/>
      <w:ind w:left="3874"/>
      <w:textAlignment w:val="baseline"/>
    </w:pPr>
    <w:rPr>
      <w:rFonts w:ascii="Cambria" w:hAnsi="Cambria" w:cs="Times New Roman"/>
      <w:caps/>
      <w:color w:val="1F497D"/>
      <w:sz w:val="36"/>
      <w:szCs w:val="22"/>
    </w:rPr>
  </w:style>
  <w:style w:type="table" w:customStyle="1" w:styleId="LightList-Accent11">
    <w:name w:val="Light List - Accent 11"/>
    <w:basedOn w:val="TableNormal"/>
    <w:next w:val="LightList-Accent1"/>
    <w:uiPriority w:val="61"/>
    <w:rsid w:val="008822A4"/>
    <w:pPr>
      <w:spacing w:after="0" w:line="240" w:lineRule="auto"/>
    </w:pPr>
    <w:rPr>
      <w:rFonts w:eastAsia="MS Mincho"/>
      <w:sz w:val="24"/>
      <w:szCs w:val="24"/>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Shading1-Accent11">
    <w:name w:val="Medium Shading 1 - Accent 11"/>
    <w:basedOn w:val="TableNormal"/>
    <w:next w:val="MediumShading1-Accent1"/>
    <w:uiPriority w:val="63"/>
    <w:rsid w:val="008822A4"/>
    <w:pPr>
      <w:spacing w:after="0" w:line="240" w:lineRule="auto"/>
    </w:pPr>
    <w:rPr>
      <w:rFonts w:eastAsia="MS Mincho"/>
      <w:sz w:val="24"/>
      <w:szCs w:val="24"/>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paragraph" w:customStyle="1" w:styleId="NormalWeb1">
    <w:name w:val="Normal (Web)1"/>
    <w:basedOn w:val="Normal"/>
    <w:next w:val="NormalWeb"/>
    <w:uiPriority w:val="99"/>
    <w:unhideWhenUsed/>
    <w:rsid w:val="008822A4"/>
    <w:pPr>
      <w:suppressAutoHyphens w:val="0"/>
      <w:autoSpaceDE/>
      <w:autoSpaceDN/>
      <w:spacing w:line="360" w:lineRule="atLeast"/>
      <w:textAlignment w:val="baseline"/>
    </w:pPr>
    <w:rPr>
      <w:rFonts w:ascii="Times New Roman" w:eastAsia="Calibri" w:hAnsi="Times New Roman" w:cs="Times New Roman"/>
      <w:sz w:val="24"/>
    </w:rPr>
  </w:style>
  <w:style w:type="paragraph" w:customStyle="1" w:styleId="TOCHeading1">
    <w:name w:val="TOC Heading1"/>
    <w:basedOn w:val="Heading1"/>
    <w:next w:val="Normal"/>
    <w:uiPriority w:val="39"/>
    <w:unhideWhenUsed/>
    <w:qFormat/>
    <w:rsid w:val="008822A4"/>
    <w:pPr>
      <w:keepLines/>
      <w:widowControl w:val="0"/>
      <w:numPr>
        <w:numId w:val="0"/>
      </w:numPr>
      <w:adjustRightInd w:val="0"/>
      <w:spacing w:before="240" w:after="0" w:line="259" w:lineRule="auto"/>
      <w:jc w:val="both"/>
      <w:textAlignment w:val="baseline"/>
    </w:pPr>
    <w:rPr>
      <w:rFonts w:cs="Times New Roman"/>
      <w:bCs/>
    </w:rPr>
  </w:style>
  <w:style w:type="table" w:customStyle="1" w:styleId="PlainTable311">
    <w:name w:val="Plain Table 311"/>
    <w:basedOn w:val="TableNormal"/>
    <w:uiPriority w:val="43"/>
    <w:locked/>
    <w:rsid w:val="008822A4"/>
    <w:pPr>
      <w:spacing w:after="0" w:line="240" w:lineRule="auto"/>
    </w:pPr>
    <w:rPr>
      <w:rFonts w:eastAsia="MS Mincho"/>
      <w:sz w:val="24"/>
      <w:szCs w:val="24"/>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111">
    <w:name w:val="Plain Table 111"/>
    <w:basedOn w:val="TableNormal"/>
    <w:uiPriority w:val="41"/>
    <w:rsid w:val="008822A4"/>
    <w:pPr>
      <w:spacing w:after="0" w:line="240" w:lineRule="auto"/>
    </w:pPr>
    <w:rPr>
      <w:rFonts w:eastAsia="MS Mincho"/>
      <w:sz w:val="24"/>
      <w:szCs w:val="24"/>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2-Accent111">
    <w:name w:val="Grid Table 2 - Accent 111"/>
    <w:basedOn w:val="TableNormal"/>
    <w:uiPriority w:val="47"/>
    <w:rsid w:val="008822A4"/>
    <w:pPr>
      <w:spacing w:after="0" w:line="240" w:lineRule="auto"/>
    </w:pPr>
    <w:rPr>
      <w:rFonts w:eastAsia="MS Mincho"/>
      <w:sz w:val="24"/>
      <w:szCs w:val="24"/>
    </w:rPr>
    <w:tblPr>
      <w:tblStyleRowBandSize w:val="1"/>
      <w:tblStyleColBandSize w:val="1"/>
      <w:tblBorders>
        <w:top w:val="single" w:sz="2" w:space="0" w:color="95B3D7"/>
        <w:bottom w:val="single" w:sz="2" w:space="0" w:color="95B3D7"/>
        <w:insideH w:val="single" w:sz="2" w:space="0" w:color="95B3D7"/>
        <w:insideV w:val="single" w:sz="2" w:space="0" w:color="95B3D7"/>
      </w:tblBorders>
    </w:tblPr>
    <w:tblStylePr w:type="firstRow">
      <w:rPr>
        <w:b/>
        <w:bCs/>
      </w:rPr>
      <w:tblPr/>
      <w:tcPr>
        <w:tcBorders>
          <w:top w:val="nil"/>
          <w:bottom w:val="single" w:sz="12" w:space="0" w:color="95B3D7"/>
          <w:insideH w:val="nil"/>
          <w:insideV w:val="nil"/>
        </w:tcBorders>
        <w:shd w:val="clear" w:color="auto" w:fill="FFFFFF"/>
      </w:tcPr>
    </w:tblStylePr>
    <w:tblStylePr w:type="lastRow">
      <w:rPr>
        <w:b/>
        <w:bCs/>
      </w:rPr>
      <w:tblPr/>
      <w:tcPr>
        <w:tcBorders>
          <w:top w:val="double" w:sz="2" w:space="0" w:color="95B3D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stTable4-Accent511">
    <w:name w:val="List Table 4 - Accent 511"/>
    <w:basedOn w:val="TableNormal"/>
    <w:uiPriority w:val="49"/>
    <w:rsid w:val="008822A4"/>
    <w:pPr>
      <w:spacing w:after="0" w:line="240" w:lineRule="auto"/>
    </w:pPr>
    <w:rPr>
      <w:rFonts w:ascii="Times New Roman" w:eastAsia="Calibri" w:hAnsi="Times New Roman" w:cs="Times New Roman"/>
      <w:sz w:val="20"/>
      <w:szCs w:val="20"/>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tcBorders>
        <w:shd w:val="clear" w:color="auto" w:fill="4BACC6"/>
      </w:tcPr>
    </w:tblStylePr>
    <w:tblStylePr w:type="lastRow">
      <w:rPr>
        <w:b/>
        <w:bCs/>
      </w:rPr>
      <w:tblPr/>
      <w:tcPr>
        <w:tcBorders>
          <w:top w:val="double" w:sz="4" w:space="0" w:color="92CDDC"/>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MGTable10">
    <w:name w:val="TMG Table1"/>
    <w:basedOn w:val="TableNormal"/>
    <w:uiPriority w:val="99"/>
    <w:rsid w:val="008822A4"/>
    <w:pPr>
      <w:spacing w:after="0" w:line="240" w:lineRule="auto"/>
    </w:pPr>
    <w:rPr>
      <w:rFonts w:ascii="Calibri" w:eastAsia="MS Mincho" w:hAnsi="Calibri"/>
      <w:sz w:val="20"/>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cPr>
    <w:tblStylePr w:type="firstRow">
      <w:tblPr/>
      <w:tcPr>
        <w:shd w:val="clear" w:color="auto" w:fill="17365D"/>
      </w:tcPr>
    </w:tblStylePr>
  </w:style>
  <w:style w:type="character" w:customStyle="1" w:styleId="IntenseReference1">
    <w:name w:val="Intense Reference1"/>
    <w:basedOn w:val="DefaultParagraphFont"/>
    <w:uiPriority w:val="32"/>
    <w:qFormat/>
    <w:rsid w:val="008822A4"/>
    <w:rPr>
      <w:b/>
      <w:bCs/>
      <w:smallCaps/>
      <w:color w:val="4F81BD"/>
      <w:spacing w:val="5"/>
    </w:rPr>
  </w:style>
  <w:style w:type="paragraph" w:customStyle="1" w:styleId="ListParagraph1">
    <w:name w:val="List Paragraph1"/>
    <w:basedOn w:val="Normal"/>
    <w:next w:val="ListParagraph"/>
    <w:uiPriority w:val="34"/>
    <w:qFormat/>
    <w:rsid w:val="008822A4"/>
    <w:pPr>
      <w:suppressAutoHyphens w:val="0"/>
      <w:autoSpaceDE/>
      <w:autoSpaceDN/>
      <w:spacing w:line="259" w:lineRule="auto"/>
      <w:ind w:left="720"/>
      <w:contextualSpacing/>
      <w:textAlignment w:val="baseline"/>
    </w:pPr>
    <w:rPr>
      <w:rFonts w:eastAsia="Calibri" w:cs="Times New Roman"/>
      <w:color w:val="auto"/>
      <w:sz w:val="22"/>
      <w:szCs w:val="22"/>
    </w:rPr>
  </w:style>
  <w:style w:type="paragraph" w:customStyle="1" w:styleId="TableofFigures1">
    <w:name w:val="Table of Figures1"/>
    <w:basedOn w:val="Normal"/>
    <w:next w:val="Normal"/>
    <w:uiPriority w:val="99"/>
    <w:unhideWhenUsed/>
    <w:rsid w:val="008822A4"/>
    <w:pPr>
      <w:ind w:left="400" w:hanging="400"/>
    </w:pPr>
    <w:rPr>
      <w:smallCaps/>
    </w:rPr>
  </w:style>
  <w:style w:type="paragraph" w:customStyle="1" w:styleId="TOC71">
    <w:name w:val="TOC 71"/>
    <w:basedOn w:val="Normal"/>
    <w:next w:val="Normal"/>
    <w:autoRedefine/>
    <w:uiPriority w:val="39"/>
    <w:unhideWhenUsed/>
    <w:rsid w:val="008822A4"/>
    <w:pPr>
      <w:suppressAutoHyphens w:val="0"/>
      <w:autoSpaceDE/>
      <w:autoSpaceDN/>
      <w:spacing w:after="100" w:line="276" w:lineRule="auto"/>
      <w:ind w:left="1320"/>
      <w:textAlignment w:val="baseline"/>
    </w:pPr>
    <w:rPr>
      <w:rFonts w:eastAsia="MS Mincho" w:cs="Times New Roman"/>
      <w:color w:val="auto"/>
      <w:sz w:val="22"/>
      <w:szCs w:val="22"/>
    </w:rPr>
  </w:style>
  <w:style w:type="paragraph" w:customStyle="1" w:styleId="TOC81">
    <w:name w:val="TOC 81"/>
    <w:basedOn w:val="Normal"/>
    <w:next w:val="Normal"/>
    <w:autoRedefine/>
    <w:uiPriority w:val="39"/>
    <w:unhideWhenUsed/>
    <w:rsid w:val="008822A4"/>
    <w:pPr>
      <w:suppressAutoHyphens w:val="0"/>
      <w:autoSpaceDE/>
      <w:autoSpaceDN/>
      <w:spacing w:after="100" w:line="276" w:lineRule="auto"/>
      <w:ind w:left="1540"/>
      <w:textAlignment w:val="baseline"/>
    </w:pPr>
    <w:rPr>
      <w:rFonts w:eastAsia="MS Mincho" w:cs="Times New Roman"/>
      <w:color w:val="auto"/>
      <w:sz w:val="22"/>
      <w:szCs w:val="22"/>
    </w:rPr>
  </w:style>
  <w:style w:type="paragraph" w:customStyle="1" w:styleId="TOC91">
    <w:name w:val="TOC 91"/>
    <w:basedOn w:val="Normal"/>
    <w:next w:val="Normal"/>
    <w:autoRedefine/>
    <w:uiPriority w:val="39"/>
    <w:unhideWhenUsed/>
    <w:rsid w:val="008822A4"/>
    <w:pPr>
      <w:suppressAutoHyphens w:val="0"/>
      <w:autoSpaceDE/>
      <w:autoSpaceDN/>
      <w:spacing w:after="100" w:line="276" w:lineRule="auto"/>
      <w:ind w:left="1760"/>
      <w:textAlignment w:val="baseline"/>
    </w:pPr>
    <w:rPr>
      <w:rFonts w:eastAsia="MS Mincho" w:cs="Times New Roman"/>
      <w:color w:val="auto"/>
      <w:sz w:val="22"/>
      <w:szCs w:val="22"/>
    </w:rPr>
  </w:style>
  <w:style w:type="paragraph" w:customStyle="1" w:styleId="ListNumber21">
    <w:name w:val="List Number 21"/>
    <w:basedOn w:val="ListBullet2"/>
    <w:next w:val="ListNumber2"/>
    <w:qFormat/>
    <w:rsid w:val="008822A4"/>
    <w:pPr>
      <w:widowControl/>
      <w:numPr>
        <w:numId w:val="0"/>
      </w:numPr>
      <w:tabs>
        <w:tab w:val="num" w:pos="2160"/>
      </w:tabs>
      <w:suppressAutoHyphens w:val="0"/>
      <w:autoSpaceDE/>
      <w:autoSpaceDN/>
      <w:adjustRightInd/>
      <w:spacing w:after="80"/>
      <w:ind w:left="2160" w:hanging="360"/>
      <w:contextualSpacing w:val="0"/>
      <w:jc w:val="left"/>
      <w:textAlignment w:val="auto"/>
    </w:pPr>
    <w:rPr>
      <w:rFonts w:ascii="Cambria" w:eastAsia="MS Mincho" w:hAnsi="Cambria" w:cs="Times New Roman"/>
      <w:color w:val="auto"/>
      <w:sz w:val="22"/>
      <w:lang w:bidi="en-US"/>
    </w:rPr>
  </w:style>
  <w:style w:type="paragraph" w:customStyle="1" w:styleId="ListNumber31">
    <w:name w:val="List Number 31"/>
    <w:basedOn w:val="ListBullet3"/>
    <w:next w:val="ListNumber3"/>
    <w:qFormat/>
    <w:rsid w:val="008822A4"/>
    <w:pPr>
      <w:widowControl/>
      <w:tabs>
        <w:tab w:val="clear" w:pos="1800"/>
        <w:tab w:val="num" w:pos="2520"/>
      </w:tabs>
      <w:suppressAutoHyphens w:val="0"/>
      <w:autoSpaceDE/>
      <w:autoSpaceDN/>
      <w:adjustRightInd/>
      <w:spacing w:before="120" w:line="288" w:lineRule="auto"/>
      <w:ind w:left="2520"/>
      <w:contextualSpacing w:val="0"/>
      <w:jc w:val="left"/>
      <w:textAlignment w:val="auto"/>
    </w:pPr>
    <w:rPr>
      <w:rFonts w:ascii="Cambria" w:eastAsia="MS Mincho" w:hAnsi="Cambria" w:cs="Times New Roman"/>
      <w:color w:val="5A5A5A"/>
      <w:lang w:bidi="en-US"/>
    </w:rPr>
  </w:style>
  <w:style w:type="paragraph" w:customStyle="1" w:styleId="BlockText1">
    <w:name w:val="Block Text1"/>
    <w:basedOn w:val="Normal"/>
    <w:next w:val="BlockText"/>
    <w:uiPriority w:val="99"/>
    <w:semiHidden/>
    <w:unhideWhenUsed/>
    <w:rsid w:val="008822A4"/>
    <w:pPr>
      <w:pBdr>
        <w:top w:val="single" w:sz="2" w:space="10" w:color="4F81BD" w:shadow="1"/>
        <w:left w:val="single" w:sz="2" w:space="10" w:color="4F81BD" w:shadow="1"/>
        <w:bottom w:val="single" w:sz="2" w:space="10" w:color="4F81BD" w:shadow="1"/>
        <w:right w:val="single" w:sz="2" w:space="10" w:color="4F81BD" w:shadow="1"/>
      </w:pBdr>
      <w:ind w:left="1152" w:right="1152"/>
    </w:pPr>
    <w:rPr>
      <w:rFonts w:eastAsia="MS Mincho" w:cs="Times New Roman"/>
      <w:i/>
      <w:iCs/>
      <w:color w:val="4F81BD"/>
    </w:rPr>
  </w:style>
  <w:style w:type="table" w:customStyle="1" w:styleId="TableClassic11">
    <w:name w:val="Table Classic 11"/>
    <w:basedOn w:val="TableNormal"/>
    <w:next w:val="TableClassic1"/>
    <w:semiHidden/>
    <w:rsid w:val="008822A4"/>
    <w:pPr>
      <w:spacing w:line="260" w:lineRule="atLeast"/>
      <w:ind w:left="2160"/>
    </w:pPr>
    <w:rPr>
      <w:rFonts w:eastAsia="MS Mincho"/>
      <w:sz w:val="20"/>
      <w:szCs w:val="20"/>
      <w:lang w:bidi="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
    <w:name w:val="1/-1"/>
    <w:basedOn w:val="NoList"/>
    <w:rsid w:val="008822A4"/>
    <w:pPr>
      <w:numPr>
        <w:numId w:val="15"/>
      </w:numPr>
    </w:pPr>
  </w:style>
  <w:style w:type="paragraph" w:customStyle="1" w:styleId="ListContinue1">
    <w:name w:val="List Continue1"/>
    <w:basedOn w:val="Normal"/>
    <w:next w:val="ListContinue"/>
    <w:qFormat/>
    <w:rsid w:val="008822A4"/>
    <w:pPr>
      <w:suppressAutoHyphens w:val="0"/>
      <w:autoSpaceDE/>
      <w:autoSpaceDN/>
      <w:spacing w:before="120" w:line="360" w:lineRule="atLeast"/>
      <w:ind w:left="1800"/>
      <w:textAlignment w:val="baseline"/>
    </w:pPr>
    <w:rPr>
      <w:rFonts w:eastAsia="MS Mincho" w:cs="Times New Roman"/>
      <w:color w:val="auto"/>
      <w:sz w:val="22"/>
      <w:lang w:bidi="en-US"/>
    </w:rPr>
  </w:style>
  <w:style w:type="table" w:customStyle="1" w:styleId="LightShading-Accent51">
    <w:name w:val="Light Shading - Accent 51"/>
    <w:basedOn w:val="TableNormal"/>
    <w:next w:val="LightShading-Accent5"/>
    <w:uiPriority w:val="60"/>
    <w:rsid w:val="008822A4"/>
    <w:pPr>
      <w:spacing w:after="0" w:line="240" w:lineRule="auto"/>
    </w:pPr>
    <w:rPr>
      <w:rFonts w:ascii="Calibri" w:eastAsia="Times New Roman" w:hAnsi="Calibri" w:cs="Calibri"/>
      <w:color w:val="31849B"/>
      <w:sz w:val="20"/>
      <w:szCs w:val="20"/>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TMGTable2">
    <w:name w:val="TMGTable2"/>
    <w:basedOn w:val="TableNormal"/>
    <w:uiPriority w:val="62"/>
    <w:rsid w:val="008822A4"/>
    <w:pPr>
      <w:spacing w:after="0" w:line="240" w:lineRule="auto"/>
    </w:pPr>
    <w:rPr>
      <w:rFonts w:ascii="Courier New" w:eastAsia="Times New Roman" w:hAnsi="Courier New" w:cs="Calibri"/>
      <w:sz w:val="20"/>
      <w:szCs w:val="20"/>
    </w:rPr>
    <w:tblPr>
      <w:tblInd w:w="-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58" w:type="dxa"/>
        <w:right w:w="58" w:type="dxa"/>
      </w:tblCellMar>
    </w:tblPr>
    <w:tcPr>
      <w:shd w:val="clear" w:color="auto" w:fill="auto"/>
      <w:noWrap/>
      <w:vAlign w:val="center"/>
    </w:tcPr>
    <w:tblStylePr w:type="firstRow">
      <w:pPr>
        <w:spacing w:before="0" w:after="0" w:line="240" w:lineRule="auto"/>
      </w:pPr>
      <w:rPr>
        <w:rFonts w:ascii="Calibri" w:eastAsia="MS Gothic" w:hAnsi="Calibr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w:eastAsia="MS Gothic" w:hAnsi="Calibr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000000"/>
          <w:left w:val="single" w:sz="8" w:space="0" w:color="000000"/>
          <w:bottom w:val="single" w:sz="8" w:space="0" w:color="000000"/>
          <w:right w:val="single" w:sz="8" w:space="0" w:color="000000"/>
        </w:tcBorders>
      </w:tcPr>
    </w:tblStylePr>
  </w:style>
  <w:style w:type="table" w:customStyle="1" w:styleId="DataFormatTable1">
    <w:name w:val="DataFormatTable1"/>
    <w:basedOn w:val="TableNormal"/>
    <w:uiPriority w:val="99"/>
    <w:qFormat/>
    <w:rsid w:val="008822A4"/>
    <w:pPr>
      <w:spacing w:after="0" w:line="240" w:lineRule="auto"/>
      <w:jc w:val="center"/>
    </w:pPr>
    <w:rPr>
      <w:rFonts w:ascii="Arial Narrow" w:eastAsia="Times New Roman" w:hAnsi="Arial Narrow" w:cs="Calibri"/>
      <w:sz w:val="16"/>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table" w:customStyle="1" w:styleId="TMGTableStyle1">
    <w:name w:val="TMGTableStyle1"/>
    <w:basedOn w:val="TableNormal"/>
    <w:uiPriority w:val="99"/>
    <w:rsid w:val="008822A4"/>
    <w:pPr>
      <w:spacing w:after="0" w:line="240" w:lineRule="auto"/>
    </w:pPr>
    <w:rPr>
      <w:rFonts w:ascii="Courier New" w:eastAsia="Times New Roman" w:hAnsi="Courier New" w:cs="Calibri"/>
      <w:spacing w:val="-4"/>
      <w:sz w:val="16"/>
      <w:szCs w:val="20"/>
    </w:rPr>
    <w:tblPr/>
  </w:style>
  <w:style w:type="table" w:customStyle="1" w:styleId="LightShading11">
    <w:name w:val="Light Shading11"/>
    <w:basedOn w:val="TableNormal"/>
    <w:uiPriority w:val="60"/>
    <w:rsid w:val="008822A4"/>
    <w:pPr>
      <w:spacing w:after="0" w:line="240" w:lineRule="auto"/>
    </w:pPr>
    <w:rPr>
      <w:rFonts w:ascii="Calibri" w:eastAsia="Times New Roman" w:hAnsi="Calibri" w:cs="Calibri"/>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List11">
    <w:name w:val="Light List11"/>
    <w:basedOn w:val="TableNormal"/>
    <w:uiPriority w:val="61"/>
    <w:rsid w:val="008822A4"/>
    <w:pPr>
      <w:spacing w:after="0" w:line="240" w:lineRule="auto"/>
    </w:pPr>
    <w:rPr>
      <w:rFonts w:ascii="Calibri" w:eastAsia="Times New Roman" w:hAnsi="Calibri" w:cs="Calibri"/>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Grid-Accent51">
    <w:name w:val="Light Grid - Accent 51"/>
    <w:basedOn w:val="TableNormal"/>
    <w:next w:val="LightGrid-Accent5"/>
    <w:uiPriority w:val="62"/>
    <w:rsid w:val="008822A4"/>
    <w:pPr>
      <w:spacing w:after="0" w:line="240" w:lineRule="auto"/>
    </w:pPr>
    <w:rPr>
      <w:rFonts w:ascii="Calibri" w:eastAsia="Times New Roman" w:hAnsi="Calibri" w:cs="Calibri"/>
      <w:sz w:val="20"/>
      <w:szCs w:val="2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libri" w:eastAsia="MS Gothic" w:hAnsi="Calibri"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libri" w:eastAsia="MS Gothic" w:hAnsi="Calibri"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ColorfulGrid-Accent51">
    <w:name w:val="Colorful Grid - Accent 51"/>
    <w:basedOn w:val="TableNormal"/>
    <w:next w:val="ColorfulGrid-Accent5"/>
    <w:uiPriority w:val="73"/>
    <w:rsid w:val="008822A4"/>
    <w:pPr>
      <w:spacing w:after="0" w:line="240" w:lineRule="auto"/>
    </w:pPr>
    <w:rPr>
      <w:rFonts w:ascii="Calibri" w:eastAsia="Times New Roman" w:hAnsi="Calibri" w:cs="Calibri"/>
      <w:color w:val="000000"/>
      <w:sz w:val="20"/>
      <w:szCs w:val="20"/>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character" w:customStyle="1" w:styleId="Heading6Char1">
    <w:name w:val="Heading 6 Char1"/>
    <w:basedOn w:val="DefaultParagraphFont"/>
    <w:uiPriority w:val="9"/>
    <w:semiHidden/>
    <w:rsid w:val="008822A4"/>
    <w:rPr>
      <w:rFonts w:ascii="Calibri Light" w:eastAsia="Times New Roman" w:hAnsi="Calibri Light" w:cs="Times New Roman"/>
      <w:color w:val="1F3763"/>
    </w:rPr>
  </w:style>
  <w:style w:type="character" w:customStyle="1" w:styleId="Heading1Char1">
    <w:name w:val="Heading 1 Char1"/>
    <w:basedOn w:val="DefaultParagraphFont"/>
    <w:uiPriority w:val="9"/>
    <w:rsid w:val="008822A4"/>
    <w:rPr>
      <w:rFonts w:ascii="Calibri Light" w:eastAsia="Times New Roman" w:hAnsi="Calibri Light" w:cs="Times New Roman"/>
      <w:color w:val="2F5496"/>
      <w:sz w:val="32"/>
      <w:szCs w:val="32"/>
    </w:rPr>
  </w:style>
  <w:style w:type="character" w:customStyle="1" w:styleId="FootnoteTextChar1">
    <w:name w:val="Footnote Text Char1"/>
    <w:aliases w:val="ft Char1"/>
    <w:basedOn w:val="DefaultParagraphFont"/>
    <w:uiPriority w:val="99"/>
    <w:semiHidden/>
    <w:rsid w:val="008822A4"/>
    <w:rPr>
      <w:sz w:val="20"/>
      <w:szCs w:val="20"/>
    </w:rPr>
  </w:style>
  <w:style w:type="table" w:customStyle="1" w:styleId="MediumGrid3-Accent32">
    <w:name w:val="Medium Grid 3 - Accent 32"/>
    <w:basedOn w:val="TableNormal"/>
    <w:next w:val="MediumGrid3-Accent3"/>
    <w:uiPriority w:val="69"/>
    <w:semiHidden/>
    <w:unhideWhenUsed/>
    <w:rsid w:val="008822A4"/>
    <w:pPr>
      <w:spacing w:after="0" w:line="240" w:lineRule="auto"/>
    </w:pPr>
    <w:rPr>
      <w:rFonts w:eastAsia="Calibri"/>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8E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A5A5A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A5A5A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A5A5A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A5A5A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2D2D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2D2D2"/>
      </w:tcPr>
    </w:tblStylePr>
  </w:style>
  <w:style w:type="character" w:customStyle="1" w:styleId="TitleChar1">
    <w:name w:val="Title Char1"/>
    <w:basedOn w:val="DefaultParagraphFont"/>
    <w:uiPriority w:val="10"/>
    <w:rsid w:val="008822A4"/>
    <w:rPr>
      <w:rFonts w:ascii="Calibri Light" w:eastAsia="Times New Roman" w:hAnsi="Calibri Light" w:cs="Times New Roman"/>
      <w:spacing w:val="-10"/>
      <w:kern w:val="28"/>
      <w:sz w:val="56"/>
      <w:szCs w:val="56"/>
    </w:rPr>
  </w:style>
  <w:style w:type="table" w:customStyle="1" w:styleId="LightList-Accent12">
    <w:name w:val="Light List - Accent 12"/>
    <w:basedOn w:val="TableNormal"/>
    <w:next w:val="LightList-Accent1"/>
    <w:uiPriority w:val="61"/>
    <w:semiHidden/>
    <w:unhideWhenUsed/>
    <w:rsid w:val="008822A4"/>
    <w:pPr>
      <w:spacing w:after="0" w:line="240" w:lineRule="auto"/>
    </w:pPr>
    <w:rPr>
      <w:rFonts w:eastAsia="Calibri"/>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MediumShading1-Accent12">
    <w:name w:val="Medium Shading 1 - Accent 12"/>
    <w:basedOn w:val="TableNormal"/>
    <w:next w:val="MediumShading1-Accent1"/>
    <w:uiPriority w:val="63"/>
    <w:semiHidden/>
    <w:unhideWhenUsed/>
    <w:rsid w:val="008822A4"/>
    <w:pPr>
      <w:spacing w:after="0" w:line="240" w:lineRule="auto"/>
    </w:pPr>
    <w:rPr>
      <w:rFonts w:eastAsia="Calibri"/>
    </w:r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tblBorders>
    </w:tblPr>
    <w:tblStylePr w:type="firstRow">
      <w:pPr>
        <w:spacing w:before="0" w:after="0" w:line="240" w:lineRule="auto"/>
      </w:pPr>
      <w:rPr>
        <w:b/>
        <w:bCs/>
        <w:color w:val="FFFFFF"/>
      </w:rPr>
      <w:tblPr/>
      <w:tcPr>
        <w:tcBorders>
          <w:top w:val="single" w:sz="8" w:space="0" w:color="7295D2"/>
          <w:left w:val="single" w:sz="8" w:space="0" w:color="7295D2"/>
          <w:bottom w:val="single" w:sz="8" w:space="0" w:color="7295D2"/>
          <w:right w:val="single" w:sz="8" w:space="0" w:color="7295D2"/>
          <w:insideH w:val="nil"/>
          <w:insideV w:val="nil"/>
        </w:tcBorders>
        <w:shd w:val="clear" w:color="auto" w:fill="4472C4"/>
      </w:tcPr>
    </w:tblStylePr>
    <w:tblStylePr w:type="lastRow">
      <w:pPr>
        <w:spacing w:before="0" w:after="0" w:line="240" w:lineRule="auto"/>
      </w:pPr>
      <w:rPr>
        <w:b/>
        <w:bCs/>
      </w:rPr>
      <w:tblPr/>
      <w:tcPr>
        <w:tcBorders>
          <w:top w:val="double" w:sz="6" w:space="0" w:color="7295D2"/>
          <w:left w:val="single" w:sz="8" w:space="0" w:color="7295D2"/>
          <w:bottom w:val="single" w:sz="8" w:space="0" w:color="7295D2"/>
          <w:right w:val="single" w:sz="8" w:space="0" w:color="7295D2"/>
          <w:insideH w:val="nil"/>
          <w:insideV w:val="nil"/>
        </w:tcBorders>
      </w:tcPr>
    </w:tblStylePr>
    <w:tblStylePr w:type="firstCol">
      <w:rPr>
        <w:b/>
        <w:bCs/>
      </w:rPr>
    </w:tblStylePr>
    <w:tblStylePr w:type="lastCol">
      <w:rPr>
        <w:b/>
        <w:bCs/>
      </w:rPr>
    </w:tblStylePr>
    <w:tblStylePr w:type="band1Vert">
      <w:tblPr/>
      <w:tcPr>
        <w:shd w:val="clear" w:color="auto" w:fill="D0DBF0"/>
      </w:tcPr>
    </w:tblStylePr>
    <w:tblStylePr w:type="band1Horz">
      <w:tblPr/>
      <w:tcPr>
        <w:tcBorders>
          <w:insideH w:val="nil"/>
          <w:insideV w:val="nil"/>
        </w:tcBorders>
        <w:shd w:val="clear" w:color="auto" w:fill="D0DBF0"/>
      </w:tcPr>
    </w:tblStylePr>
    <w:tblStylePr w:type="band2Horz">
      <w:tblPr/>
      <w:tcPr>
        <w:tcBorders>
          <w:insideH w:val="nil"/>
          <w:insideV w:val="nil"/>
        </w:tcBorders>
      </w:tcPr>
    </w:tblStylePr>
  </w:style>
  <w:style w:type="character" w:customStyle="1" w:styleId="Heading5Char1">
    <w:name w:val="Heading 5 Char1"/>
    <w:aliases w:val="Table_FS Char1"/>
    <w:basedOn w:val="DefaultParagraphFont"/>
    <w:semiHidden/>
    <w:rsid w:val="008822A4"/>
    <w:rPr>
      <w:rFonts w:ascii="Calibri Light" w:eastAsia="Times New Roman" w:hAnsi="Calibri Light" w:cs="Times New Roman"/>
      <w:color w:val="2F5496"/>
    </w:rPr>
  </w:style>
  <w:style w:type="table" w:customStyle="1" w:styleId="LightShading-Accent52">
    <w:name w:val="Light Shading - Accent 52"/>
    <w:basedOn w:val="TableNormal"/>
    <w:next w:val="LightShading-Accent5"/>
    <w:uiPriority w:val="60"/>
    <w:semiHidden/>
    <w:unhideWhenUsed/>
    <w:rsid w:val="008822A4"/>
    <w:pPr>
      <w:spacing w:after="0" w:line="240" w:lineRule="auto"/>
    </w:pPr>
    <w:rPr>
      <w:rFonts w:eastAsia="Calibri"/>
      <w:color w:val="2E74B5"/>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LightGrid-Accent52">
    <w:name w:val="Light Grid - Accent 52"/>
    <w:basedOn w:val="TableNormal"/>
    <w:next w:val="LightGrid-Accent5"/>
    <w:uiPriority w:val="62"/>
    <w:semiHidden/>
    <w:unhideWhenUsed/>
    <w:rsid w:val="008822A4"/>
    <w:pPr>
      <w:spacing w:after="0" w:line="240" w:lineRule="auto"/>
    </w:pPr>
    <w:rPr>
      <w:rFonts w:eastAsia="Calibri"/>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ColorfulGrid-Accent52">
    <w:name w:val="Colorful Grid - Accent 52"/>
    <w:basedOn w:val="TableNormal"/>
    <w:next w:val="ColorfulGrid-Accent5"/>
    <w:uiPriority w:val="73"/>
    <w:semiHidden/>
    <w:unhideWhenUsed/>
    <w:rsid w:val="008822A4"/>
    <w:pPr>
      <w:spacing w:after="0" w:line="240" w:lineRule="auto"/>
    </w:pPr>
    <w:rPr>
      <w:rFonts w:eastAsia="Calibri"/>
      <w:color w:val="000000"/>
    </w:rPr>
    <w:tblPr>
      <w:tblStyleRowBandSize w:val="1"/>
      <w:tblStyleColBandSize w:val="1"/>
      <w:tblBorders>
        <w:insideH w:val="single" w:sz="4" w:space="0" w:color="FFFFFF"/>
      </w:tblBorders>
    </w:tblPr>
    <w:tcPr>
      <w:shd w:val="clear" w:color="auto" w:fill="DEEAF6"/>
    </w:tcPr>
    <w:tblStylePr w:type="firstRow">
      <w:rPr>
        <w:b/>
        <w:bCs/>
      </w:rPr>
      <w:tblPr/>
      <w:tcPr>
        <w:shd w:val="clear" w:color="auto" w:fill="BDD6EE"/>
      </w:tcPr>
    </w:tblStylePr>
    <w:tblStylePr w:type="lastRow">
      <w:rPr>
        <w:b/>
        <w:bCs/>
        <w:color w:val="000000"/>
      </w:rPr>
      <w:tblPr/>
      <w:tcPr>
        <w:shd w:val="clear" w:color="auto" w:fill="BDD6EE"/>
      </w:tcPr>
    </w:tblStylePr>
    <w:tblStylePr w:type="firstCol">
      <w:rPr>
        <w:color w:val="FFFFFF"/>
      </w:rPr>
      <w:tblPr/>
      <w:tcPr>
        <w:shd w:val="clear" w:color="auto" w:fill="2E74B5"/>
      </w:tcPr>
    </w:tblStylePr>
    <w:tblStylePr w:type="lastCol">
      <w:rPr>
        <w:color w:val="FFFFFF"/>
      </w:rPr>
      <w:tblPr/>
      <w:tcPr>
        <w:shd w:val="clear" w:color="auto" w:fill="2E74B5"/>
      </w:tcPr>
    </w:tblStylePr>
    <w:tblStylePr w:type="band1Vert">
      <w:tblPr/>
      <w:tcPr>
        <w:shd w:val="clear" w:color="auto" w:fill="ADCCEA"/>
      </w:tcPr>
    </w:tblStylePr>
    <w:tblStylePr w:type="band1Horz">
      <w:tblPr/>
      <w:tcPr>
        <w:shd w:val="clear" w:color="auto" w:fill="ADCCEA"/>
      </w:tcPr>
    </w:tblStylePr>
  </w:style>
  <w:style w:type="paragraph" w:customStyle="1" w:styleId="ydp313f8f2yiv7336283750msobodytext">
    <w:name w:val="ydp313f8f2yiv7336283750msobodytext"/>
    <w:basedOn w:val="Normal"/>
    <w:rsid w:val="008822A4"/>
    <w:pPr>
      <w:suppressAutoHyphens w:val="0"/>
      <w:autoSpaceDE/>
      <w:autoSpaceDN/>
      <w:spacing w:before="100" w:beforeAutospacing="1" w:after="100" w:afterAutospacing="1" w:line="360" w:lineRule="atLeast"/>
      <w:textAlignment w:val="baseline"/>
    </w:pPr>
    <w:rPr>
      <w:rFonts w:eastAsiaTheme="minorHAnsi"/>
      <w:color w:val="auto"/>
      <w:sz w:val="22"/>
      <w:szCs w:val="22"/>
    </w:rPr>
  </w:style>
  <w:style w:type="paragraph" w:customStyle="1" w:styleId="HeadingBold">
    <w:name w:val="Heading Bold"/>
    <w:basedOn w:val="Heading4Headings"/>
    <w:link w:val="HeadingBoldChar"/>
    <w:qFormat/>
    <w:rsid w:val="008822A4"/>
    <w:pPr>
      <w:tabs>
        <w:tab w:val="left" w:pos="180"/>
      </w:tabs>
      <w:ind w:left="0"/>
      <w:jc w:val="both"/>
    </w:pPr>
    <w:rPr>
      <w:sz w:val="20"/>
      <w:szCs w:val="20"/>
    </w:rPr>
  </w:style>
  <w:style w:type="character" w:customStyle="1" w:styleId="NoParagraphStyleChar">
    <w:name w:val="[No Paragraph Style] Char"/>
    <w:basedOn w:val="DefaultParagraphFont"/>
    <w:link w:val="NoParagraphStyle"/>
    <w:rsid w:val="008822A4"/>
    <w:rPr>
      <w:rFonts w:ascii="Minion Pro" w:eastAsia="Times New Roman" w:hAnsi="Minion Pro" w:cs="Minion Pro"/>
      <w:color w:val="000000"/>
      <w:sz w:val="24"/>
      <w:szCs w:val="24"/>
    </w:rPr>
  </w:style>
  <w:style w:type="character" w:customStyle="1" w:styleId="Heading4HeadingsChar">
    <w:name w:val="Heading 4 (Headings) Char"/>
    <w:basedOn w:val="NoParagraphStyleChar"/>
    <w:link w:val="Heading4Headings"/>
    <w:uiPriority w:val="99"/>
    <w:rsid w:val="008822A4"/>
    <w:rPr>
      <w:rFonts w:ascii="Cambria" w:eastAsia="Times New Roman" w:hAnsi="Cambria" w:cs="Cambria"/>
      <w:b/>
      <w:bCs/>
      <w:color w:val="000000"/>
      <w:sz w:val="24"/>
      <w:szCs w:val="24"/>
    </w:rPr>
  </w:style>
  <w:style w:type="character" w:customStyle="1" w:styleId="HeadingBoldChar">
    <w:name w:val="Heading Bold Char"/>
    <w:basedOn w:val="Heading4HeadingsChar"/>
    <w:link w:val="HeadingBold"/>
    <w:rsid w:val="008822A4"/>
    <w:rPr>
      <w:rFonts w:ascii="Cambria" w:eastAsia="Times New Roman" w:hAnsi="Cambria" w:cs="Cambria"/>
      <w:b/>
      <w:bCs/>
      <w:color w:val="000000"/>
      <w:sz w:val="20"/>
      <w:szCs w:val="20"/>
    </w:rPr>
  </w:style>
  <w:style w:type="character" w:customStyle="1" w:styleId="normaltextrun">
    <w:name w:val="normaltextrun"/>
    <w:basedOn w:val="DefaultParagraphFont"/>
    <w:rsid w:val="008822A4"/>
  </w:style>
  <w:style w:type="character" w:customStyle="1" w:styleId="eop">
    <w:name w:val="eop"/>
    <w:basedOn w:val="DefaultParagraphFont"/>
    <w:rsid w:val="008822A4"/>
  </w:style>
  <w:style w:type="table" w:customStyle="1" w:styleId="TableClassic12">
    <w:name w:val="Table Classic 12"/>
    <w:basedOn w:val="TableNormal"/>
    <w:next w:val="TableClassic1"/>
    <w:semiHidden/>
    <w:unhideWhenUsed/>
    <w:rsid w:val="008822A4"/>
    <w:pPr>
      <w:spacing w:line="260" w:lineRule="atLeast"/>
      <w:ind w:left="2160"/>
    </w:pPr>
    <w:rPr>
      <w:rFonts w:ascii="Calibri" w:eastAsia="Times New Roman" w:hAnsi="Calibri" w:cs="Times New Roman"/>
      <w:sz w:val="20"/>
      <w:szCs w:val="20"/>
      <w:lang w:bidi="en-US"/>
    </w:rPr>
    <w:tblPr>
      <w:tblInd w:w="0" w:type="nil"/>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2">
    <w:name w:val="Table Grid2"/>
    <w:basedOn w:val="TableNormal"/>
    <w:next w:val="TableGrid"/>
    <w:uiPriority w:val="39"/>
    <w:rsid w:val="008822A4"/>
    <w:pPr>
      <w:spacing w:line="288" w:lineRule="auto"/>
      <w:ind w:left="2160"/>
    </w:pPr>
    <w:rPr>
      <w:rFonts w:ascii="Calibri" w:eastAsia="Times New Roman" w:hAnsi="Calibri" w:cs="Times New Roman"/>
      <w:lang w:bidi="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Accent53">
    <w:name w:val="Light Shading - Accent 53"/>
    <w:basedOn w:val="TableNormal"/>
    <w:next w:val="LightShading-Accent5"/>
    <w:uiPriority w:val="60"/>
    <w:rsid w:val="008822A4"/>
    <w:pPr>
      <w:spacing w:after="0" w:line="240" w:lineRule="auto"/>
    </w:pPr>
    <w:rPr>
      <w:rFonts w:ascii="Calibri" w:eastAsia="Times New Roman" w:hAnsi="Calibri" w:cs="Calibri"/>
      <w:color w:val="2E74B5"/>
      <w:sz w:val="20"/>
      <w:szCs w:val="20"/>
    </w:rPr>
    <w:tblPr>
      <w:tblStyleRowBandSize w:val="1"/>
      <w:tblStyleColBandSize w:val="1"/>
      <w:tblInd w:w="0" w:type="nil"/>
      <w:tblBorders>
        <w:top w:val="single" w:sz="8" w:space="0" w:color="5B9BD5"/>
        <w:bottom w:val="single" w:sz="8" w:space="0" w:color="5B9BD5"/>
      </w:tblBorders>
    </w:tblPr>
    <w:tblStylePr w:type="firstRow">
      <w:pPr>
        <w:spacing w:beforeLines="0" w:before="0" w:beforeAutospacing="0" w:afterLines="0" w:after="0" w:afterAutospacing="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LightGrid-Accent53">
    <w:name w:val="Light Grid - Accent 53"/>
    <w:basedOn w:val="TableNormal"/>
    <w:next w:val="LightGrid-Accent5"/>
    <w:uiPriority w:val="62"/>
    <w:rsid w:val="008822A4"/>
    <w:pPr>
      <w:spacing w:after="0" w:line="240" w:lineRule="auto"/>
    </w:pPr>
    <w:rPr>
      <w:rFonts w:ascii="Calibri" w:eastAsia="Times New Roman" w:hAnsi="Calibri" w:cs="Calibri"/>
      <w:sz w:val="20"/>
      <w:szCs w:val="20"/>
    </w:rPr>
    <w:tblPr>
      <w:tblStyleRowBandSize w:val="1"/>
      <w:tblStyleColBandSize w:val="1"/>
      <w:tblInd w:w="0" w:type="nil"/>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ColorfulGrid-Accent53">
    <w:name w:val="Colorful Grid - Accent 53"/>
    <w:basedOn w:val="TableNormal"/>
    <w:next w:val="ColorfulGrid-Accent5"/>
    <w:uiPriority w:val="73"/>
    <w:rsid w:val="008822A4"/>
    <w:pPr>
      <w:spacing w:after="0" w:line="240" w:lineRule="auto"/>
    </w:pPr>
    <w:rPr>
      <w:rFonts w:ascii="Calibri" w:eastAsia="Times New Roman" w:hAnsi="Calibri" w:cs="Calibri"/>
      <w:color w:val="000000"/>
      <w:sz w:val="20"/>
      <w:szCs w:val="20"/>
    </w:rPr>
    <w:tblPr>
      <w:tblStyleRowBandSize w:val="1"/>
      <w:tblStyleColBandSize w:val="1"/>
      <w:tblInd w:w="0" w:type="nil"/>
      <w:tblBorders>
        <w:insideH w:val="single" w:sz="4" w:space="0" w:color="FFFFFF"/>
      </w:tblBorders>
    </w:tblPr>
    <w:tcPr>
      <w:shd w:val="clear" w:color="auto" w:fill="DEEAF6"/>
    </w:tcPr>
    <w:tblStylePr w:type="firstRow">
      <w:rPr>
        <w:b/>
        <w:bCs/>
      </w:rPr>
      <w:tblPr/>
      <w:tcPr>
        <w:shd w:val="clear" w:color="auto" w:fill="BDD6EE"/>
      </w:tcPr>
    </w:tblStylePr>
    <w:tblStylePr w:type="lastRow">
      <w:rPr>
        <w:b/>
        <w:bCs/>
        <w:color w:val="000000"/>
      </w:rPr>
      <w:tblPr/>
      <w:tcPr>
        <w:shd w:val="clear" w:color="auto" w:fill="BDD6EE"/>
      </w:tcPr>
    </w:tblStylePr>
    <w:tblStylePr w:type="firstCol">
      <w:rPr>
        <w:color w:val="FFFFFF"/>
      </w:rPr>
      <w:tblPr/>
      <w:tcPr>
        <w:shd w:val="clear" w:color="auto" w:fill="2E74B5"/>
      </w:tcPr>
    </w:tblStylePr>
    <w:tblStylePr w:type="lastCol">
      <w:rPr>
        <w:color w:val="FFFFFF"/>
      </w:rPr>
      <w:tblPr/>
      <w:tcPr>
        <w:shd w:val="clear" w:color="auto" w:fill="2E74B5"/>
      </w:tcPr>
    </w:tblStylePr>
    <w:tblStylePr w:type="band1Vert">
      <w:tblPr/>
      <w:tcPr>
        <w:shd w:val="clear" w:color="auto" w:fill="ADCCEA"/>
      </w:tcPr>
    </w:tblStylePr>
    <w:tblStylePr w:type="band1Horz">
      <w:tblPr/>
      <w:tcPr>
        <w:shd w:val="clear" w:color="auto" w:fill="ADCCEA"/>
      </w:tcPr>
    </w:tblStylePr>
  </w:style>
  <w:style w:type="table" w:customStyle="1" w:styleId="TMGTable3">
    <w:name w:val="TMGTable3"/>
    <w:basedOn w:val="TableNormal"/>
    <w:uiPriority w:val="62"/>
    <w:rsid w:val="008822A4"/>
    <w:pPr>
      <w:spacing w:after="0" w:line="240" w:lineRule="auto"/>
    </w:pPr>
    <w:rPr>
      <w:rFonts w:ascii="Courier New" w:eastAsia="Times New Roman" w:hAnsi="Courier New" w:cs="Calibri"/>
      <w:sz w:val="20"/>
      <w:szCs w:val="20"/>
    </w:rPr>
    <w:tblPr>
      <w:tblInd w:w="0" w:type="nil"/>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58" w:type="dxa"/>
        <w:right w:w="58" w:type="dxa"/>
      </w:tblCellMar>
    </w:tblPr>
    <w:tcPr>
      <w:noWrap/>
      <w:vAlign w:val="center"/>
    </w:tc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style>
  <w:style w:type="table" w:customStyle="1" w:styleId="DataFormatTable2">
    <w:name w:val="DataFormatTable2"/>
    <w:basedOn w:val="TableNormal"/>
    <w:uiPriority w:val="99"/>
    <w:qFormat/>
    <w:rsid w:val="008822A4"/>
    <w:pPr>
      <w:spacing w:after="0" w:line="240" w:lineRule="auto"/>
      <w:jc w:val="center"/>
    </w:pPr>
    <w:rPr>
      <w:rFonts w:ascii="Arial Narrow" w:eastAsia="Times New Roman" w:hAnsi="Arial Narrow" w:cs="Calibri"/>
      <w:sz w:val="16"/>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table" w:customStyle="1" w:styleId="TMGTableStyle2">
    <w:name w:val="TMGTableStyle2"/>
    <w:basedOn w:val="TableNormal"/>
    <w:uiPriority w:val="99"/>
    <w:rsid w:val="008822A4"/>
    <w:pPr>
      <w:spacing w:after="0" w:line="240" w:lineRule="auto"/>
    </w:pPr>
    <w:rPr>
      <w:rFonts w:ascii="Courier New" w:eastAsia="Times New Roman" w:hAnsi="Courier New" w:cs="Calibri"/>
      <w:spacing w:val="-4"/>
      <w:sz w:val="16"/>
      <w:szCs w:val="20"/>
    </w:rPr>
    <w:tblPr>
      <w:tblInd w:w="0" w:type="nil"/>
    </w:tblPr>
  </w:style>
  <w:style w:type="table" w:customStyle="1" w:styleId="LightShading12">
    <w:name w:val="Light Shading12"/>
    <w:basedOn w:val="TableNormal"/>
    <w:uiPriority w:val="60"/>
    <w:rsid w:val="008822A4"/>
    <w:pPr>
      <w:spacing w:after="0" w:line="240" w:lineRule="auto"/>
    </w:pPr>
    <w:rPr>
      <w:rFonts w:ascii="Calibri" w:eastAsia="Times New Roman" w:hAnsi="Calibri" w:cs="Calibri"/>
      <w:color w:val="000000"/>
      <w:sz w:val="20"/>
      <w:szCs w:val="20"/>
    </w:rPr>
    <w:tblPr>
      <w:tblStyleRowBandSize w:val="1"/>
      <w:tblStyleColBandSize w:val="1"/>
      <w:tblInd w:w="0" w:type="nil"/>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List12">
    <w:name w:val="Light List12"/>
    <w:basedOn w:val="TableNormal"/>
    <w:uiPriority w:val="61"/>
    <w:rsid w:val="008822A4"/>
    <w:pPr>
      <w:spacing w:after="0" w:line="240" w:lineRule="auto"/>
    </w:pPr>
    <w:rPr>
      <w:rFonts w:ascii="Calibri" w:eastAsia="Times New Roman" w:hAnsi="Calibri" w:cs="Calibri"/>
      <w:sz w:val="20"/>
      <w:szCs w:val="20"/>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Classic13">
    <w:name w:val="Table Classic 13"/>
    <w:basedOn w:val="TableNormal"/>
    <w:next w:val="TableClassic1"/>
    <w:semiHidden/>
    <w:unhideWhenUsed/>
    <w:rsid w:val="008822A4"/>
    <w:pPr>
      <w:spacing w:line="260" w:lineRule="atLeast"/>
      <w:ind w:left="2160"/>
    </w:pPr>
    <w:rPr>
      <w:rFonts w:ascii="Calibri" w:eastAsia="Times New Roman" w:hAnsi="Calibri" w:cs="Times New Roman"/>
      <w:sz w:val="20"/>
      <w:szCs w:val="20"/>
      <w:lang w:bidi="en-US"/>
    </w:rPr>
    <w:tblPr>
      <w:tblInd w:w="0" w:type="nil"/>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Grid3">
    <w:name w:val="Table Grid3"/>
    <w:basedOn w:val="TableNormal"/>
    <w:next w:val="TableGrid"/>
    <w:uiPriority w:val="39"/>
    <w:rsid w:val="008822A4"/>
    <w:pPr>
      <w:spacing w:line="288" w:lineRule="auto"/>
      <w:ind w:left="2160"/>
    </w:pPr>
    <w:rPr>
      <w:rFonts w:ascii="Calibri" w:eastAsia="Times New Roman" w:hAnsi="Calibri" w:cs="Times New Roman"/>
      <w:lang w:bidi="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Accent54">
    <w:name w:val="Light Shading - Accent 54"/>
    <w:basedOn w:val="TableNormal"/>
    <w:next w:val="LightShading-Accent5"/>
    <w:uiPriority w:val="60"/>
    <w:rsid w:val="008822A4"/>
    <w:pPr>
      <w:spacing w:after="0" w:line="240" w:lineRule="auto"/>
    </w:pPr>
    <w:rPr>
      <w:rFonts w:ascii="Calibri" w:eastAsia="Times New Roman" w:hAnsi="Calibri" w:cs="Calibri"/>
      <w:color w:val="2E74B5"/>
      <w:sz w:val="20"/>
      <w:szCs w:val="20"/>
    </w:rPr>
    <w:tblPr>
      <w:tblStyleRowBandSize w:val="1"/>
      <w:tblStyleColBandSize w:val="1"/>
      <w:tblInd w:w="0" w:type="nil"/>
      <w:tblBorders>
        <w:top w:val="single" w:sz="8" w:space="0" w:color="5B9BD5"/>
        <w:bottom w:val="single" w:sz="8" w:space="0" w:color="5B9BD5"/>
      </w:tblBorders>
    </w:tblPr>
    <w:tblStylePr w:type="firstRow">
      <w:pPr>
        <w:spacing w:beforeLines="0" w:before="0" w:beforeAutospacing="0" w:afterLines="0" w:after="0" w:afterAutospacing="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LightGrid-Accent54">
    <w:name w:val="Light Grid - Accent 54"/>
    <w:basedOn w:val="TableNormal"/>
    <w:next w:val="LightGrid-Accent5"/>
    <w:uiPriority w:val="62"/>
    <w:rsid w:val="008822A4"/>
    <w:pPr>
      <w:spacing w:after="0" w:line="240" w:lineRule="auto"/>
    </w:pPr>
    <w:rPr>
      <w:rFonts w:ascii="Calibri" w:eastAsia="Times New Roman" w:hAnsi="Calibri" w:cs="Calibri"/>
      <w:sz w:val="20"/>
      <w:szCs w:val="20"/>
    </w:rPr>
    <w:tblPr>
      <w:tblStyleRowBandSize w:val="1"/>
      <w:tblStyleColBandSize w:val="1"/>
      <w:tblInd w:w="0" w:type="nil"/>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ColorfulGrid-Accent54">
    <w:name w:val="Colorful Grid - Accent 54"/>
    <w:basedOn w:val="TableNormal"/>
    <w:next w:val="ColorfulGrid-Accent5"/>
    <w:uiPriority w:val="73"/>
    <w:rsid w:val="008822A4"/>
    <w:pPr>
      <w:spacing w:after="0" w:line="240" w:lineRule="auto"/>
    </w:pPr>
    <w:rPr>
      <w:rFonts w:ascii="Calibri" w:eastAsia="Times New Roman" w:hAnsi="Calibri" w:cs="Calibri"/>
      <w:color w:val="000000"/>
      <w:sz w:val="20"/>
      <w:szCs w:val="20"/>
    </w:rPr>
    <w:tblPr>
      <w:tblStyleRowBandSize w:val="1"/>
      <w:tblStyleColBandSize w:val="1"/>
      <w:tblInd w:w="0" w:type="nil"/>
      <w:tblBorders>
        <w:insideH w:val="single" w:sz="4" w:space="0" w:color="FFFFFF"/>
      </w:tblBorders>
    </w:tblPr>
    <w:tcPr>
      <w:shd w:val="clear" w:color="auto" w:fill="DEEAF6"/>
    </w:tcPr>
    <w:tblStylePr w:type="firstRow">
      <w:rPr>
        <w:b/>
        <w:bCs/>
      </w:rPr>
      <w:tblPr/>
      <w:tcPr>
        <w:shd w:val="clear" w:color="auto" w:fill="BDD6EE"/>
      </w:tcPr>
    </w:tblStylePr>
    <w:tblStylePr w:type="lastRow">
      <w:rPr>
        <w:b/>
        <w:bCs/>
        <w:color w:val="000000"/>
      </w:rPr>
      <w:tblPr/>
      <w:tcPr>
        <w:shd w:val="clear" w:color="auto" w:fill="BDD6EE"/>
      </w:tcPr>
    </w:tblStylePr>
    <w:tblStylePr w:type="firstCol">
      <w:rPr>
        <w:color w:val="FFFFFF"/>
      </w:rPr>
      <w:tblPr/>
      <w:tcPr>
        <w:shd w:val="clear" w:color="auto" w:fill="2E74B5"/>
      </w:tcPr>
    </w:tblStylePr>
    <w:tblStylePr w:type="lastCol">
      <w:rPr>
        <w:color w:val="FFFFFF"/>
      </w:rPr>
      <w:tblPr/>
      <w:tcPr>
        <w:shd w:val="clear" w:color="auto" w:fill="2E74B5"/>
      </w:tcPr>
    </w:tblStylePr>
    <w:tblStylePr w:type="band1Vert">
      <w:tblPr/>
      <w:tcPr>
        <w:shd w:val="clear" w:color="auto" w:fill="ADCCEA"/>
      </w:tcPr>
    </w:tblStylePr>
    <w:tblStylePr w:type="band1Horz">
      <w:tblPr/>
      <w:tcPr>
        <w:shd w:val="clear" w:color="auto" w:fill="ADCCEA"/>
      </w:tcPr>
    </w:tblStylePr>
  </w:style>
  <w:style w:type="table" w:customStyle="1" w:styleId="TMGTable4">
    <w:name w:val="TMGTable4"/>
    <w:basedOn w:val="TableNormal"/>
    <w:uiPriority w:val="62"/>
    <w:rsid w:val="008822A4"/>
    <w:pPr>
      <w:spacing w:after="0" w:line="240" w:lineRule="auto"/>
    </w:pPr>
    <w:rPr>
      <w:rFonts w:ascii="Courier New" w:eastAsia="Times New Roman" w:hAnsi="Courier New" w:cs="Calibri"/>
      <w:sz w:val="20"/>
      <w:szCs w:val="20"/>
    </w:rPr>
    <w:tblPr>
      <w:tblInd w:w="0" w:type="nil"/>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58" w:type="dxa"/>
        <w:right w:w="58" w:type="dxa"/>
      </w:tblCellMar>
    </w:tblPr>
    <w:tcPr>
      <w:noWrap/>
      <w:vAlign w:val="center"/>
    </w:tc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style>
  <w:style w:type="table" w:customStyle="1" w:styleId="DataFormatTable3">
    <w:name w:val="DataFormatTable3"/>
    <w:basedOn w:val="TableNormal"/>
    <w:uiPriority w:val="99"/>
    <w:qFormat/>
    <w:rsid w:val="008822A4"/>
    <w:pPr>
      <w:spacing w:after="0" w:line="240" w:lineRule="auto"/>
      <w:jc w:val="center"/>
    </w:pPr>
    <w:rPr>
      <w:rFonts w:ascii="Arial Narrow" w:eastAsia="Times New Roman" w:hAnsi="Arial Narrow" w:cs="Calibri"/>
      <w:sz w:val="16"/>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table" w:customStyle="1" w:styleId="TMGTableStyle3">
    <w:name w:val="TMGTableStyle3"/>
    <w:basedOn w:val="TableNormal"/>
    <w:uiPriority w:val="99"/>
    <w:rsid w:val="008822A4"/>
    <w:pPr>
      <w:spacing w:after="0" w:line="240" w:lineRule="auto"/>
    </w:pPr>
    <w:rPr>
      <w:rFonts w:ascii="Courier New" w:eastAsia="Times New Roman" w:hAnsi="Courier New" w:cs="Calibri"/>
      <w:spacing w:val="-4"/>
      <w:sz w:val="16"/>
      <w:szCs w:val="20"/>
    </w:rPr>
    <w:tblPr>
      <w:tblInd w:w="0" w:type="nil"/>
    </w:tblPr>
  </w:style>
  <w:style w:type="table" w:customStyle="1" w:styleId="LightShading13">
    <w:name w:val="Light Shading13"/>
    <w:basedOn w:val="TableNormal"/>
    <w:uiPriority w:val="60"/>
    <w:rsid w:val="008822A4"/>
    <w:pPr>
      <w:spacing w:after="0" w:line="240" w:lineRule="auto"/>
    </w:pPr>
    <w:rPr>
      <w:rFonts w:ascii="Calibri" w:eastAsia="Times New Roman" w:hAnsi="Calibri" w:cs="Calibri"/>
      <w:color w:val="000000"/>
      <w:sz w:val="20"/>
      <w:szCs w:val="20"/>
    </w:rPr>
    <w:tblPr>
      <w:tblStyleRowBandSize w:val="1"/>
      <w:tblStyleColBandSize w:val="1"/>
      <w:tblInd w:w="0" w:type="nil"/>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List13">
    <w:name w:val="Light List13"/>
    <w:basedOn w:val="TableNormal"/>
    <w:uiPriority w:val="61"/>
    <w:rsid w:val="008822A4"/>
    <w:pPr>
      <w:spacing w:after="0" w:line="240" w:lineRule="auto"/>
    </w:pPr>
    <w:rPr>
      <w:rFonts w:ascii="Calibri" w:eastAsia="Times New Roman" w:hAnsi="Calibri" w:cs="Calibri"/>
      <w:sz w:val="20"/>
      <w:szCs w:val="20"/>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3">
    <w:name w:val="/– /»3"/>
    <w:rsid w:val="008822A4"/>
    <w:pPr>
      <w:numPr>
        <w:numId w:val="23"/>
      </w:numPr>
    </w:pPr>
  </w:style>
  <w:style w:type="paragraph" w:customStyle="1" w:styleId="221">
    <w:name w:val="2.2.1"/>
    <w:basedOn w:val="Heading3"/>
    <w:link w:val="221Char"/>
    <w:qFormat/>
    <w:rsid w:val="00220AFE"/>
    <w:pPr>
      <w:widowControl w:val="0"/>
      <w:numPr>
        <w:numId w:val="30"/>
      </w:numPr>
      <w:suppressAutoHyphens/>
      <w:autoSpaceDE w:val="0"/>
      <w:autoSpaceDN w:val="0"/>
      <w:adjustRightInd w:val="0"/>
      <w:spacing w:line="270" w:lineRule="atLeast"/>
      <w:ind w:left="1080" w:hanging="792"/>
      <w:textAlignment w:val="center"/>
    </w:pPr>
    <w:rPr>
      <w:color w:val="000000" w:themeColor="text1"/>
    </w:rPr>
  </w:style>
  <w:style w:type="paragraph" w:customStyle="1" w:styleId="231">
    <w:name w:val="2.3..1"/>
    <w:basedOn w:val="221"/>
    <w:link w:val="231Char"/>
    <w:qFormat/>
    <w:rsid w:val="00220AFE"/>
    <w:pPr>
      <w:numPr>
        <w:numId w:val="31"/>
      </w:numPr>
      <w:ind w:left="1080" w:hanging="792"/>
    </w:pPr>
  </w:style>
  <w:style w:type="character" w:customStyle="1" w:styleId="221Char">
    <w:name w:val="2.2.1 Char"/>
    <w:basedOn w:val="Heading3Char"/>
    <w:link w:val="221"/>
    <w:rsid w:val="00220AFE"/>
    <w:rPr>
      <w:rFonts w:ascii="Cambria" w:eastAsia="Times New Roman" w:hAnsi="Cambria" w:cstheme="minorHAnsi"/>
      <w:bCs/>
      <w:smallCaps/>
      <w:color w:val="000000" w:themeColor="text1"/>
      <w:sz w:val="26"/>
      <w:szCs w:val="26"/>
    </w:rPr>
  </w:style>
  <w:style w:type="paragraph" w:customStyle="1" w:styleId="241">
    <w:name w:val="2.4.1"/>
    <w:basedOn w:val="Heading3"/>
    <w:link w:val="241Char"/>
    <w:qFormat/>
    <w:rsid w:val="00220AFE"/>
    <w:pPr>
      <w:widowControl w:val="0"/>
      <w:numPr>
        <w:numId w:val="29"/>
      </w:numPr>
      <w:suppressAutoHyphens/>
      <w:autoSpaceDE w:val="0"/>
      <w:autoSpaceDN w:val="0"/>
      <w:adjustRightInd w:val="0"/>
      <w:spacing w:line="270" w:lineRule="atLeast"/>
      <w:ind w:left="1080" w:hanging="792"/>
      <w:textAlignment w:val="center"/>
    </w:pPr>
    <w:rPr>
      <w:color w:val="000000" w:themeColor="text1"/>
    </w:rPr>
  </w:style>
  <w:style w:type="character" w:customStyle="1" w:styleId="231Char">
    <w:name w:val="2.3..1 Char"/>
    <w:basedOn w:val="221Char"/>
    <w:link w:val="231"/>
    <w:rsid w:val="00220AFE"/>
    <w:rPr>
      <w:rFonts w:ascii="Cambria" w:eastAsia="Times New Roman" w:hAnsi="Cambria" w:cstheme="minorHAnsi"/>
      <w:bCs/>
      <w:smallCaps/>
      <w:color w:val="000000" w:themeColor="text1"/>
      <w:sz w:val="26"/>
      <w:szCs w:val="26"/>
    </w:rPr>
  </w:style>
  <w:style w:type="character" w:customStyle="1" w:styleId="241Char">
    <w:name w:val="2.4.1 Char"/>
    <w:basedOn w:val="Heading3Char"/>
    <w:link w:val="241"/>
    <w:rsid w:val="00220AFE"/>
    <w:rPr>
      <w:rFonts w:ascii="Cambria" w:eastAsia="Times New Roman" w:hAnsi="Cambria" w:cstheme="minorHAnsi"/>
      <w:bCs/>
      <w:smallCaps/>
      <w:color w:val="000000" w:themeColor="text1"/>
      <w:sz w:val="26"/>
      <w:szCs w:val="26"/>
    </w:rPr>
  </w:style>
  <w:style w:type="character" w:customStyle="1" w:styleId="UnresolvedMention11">
    <w:name w:val="Unresolved Mention11"/>
    <w:basedOn w:val="DefaultParagraphFont"/>
    <w:uiPriority w:val="99"/>
    <w:semiHidden/>
    <w:unhideWhenUsed/>
    <w:rsid w:val="003F7B9F"/>
    <w:rPr>
      <w:color w:val="605E5C"/>
      <w:shd w:val="clear" w:color="auto" w:fill="E1DFDD"/>
    </w:rPr>
  </w:style>
  <w:style w:type="character" w:customStyle="1" w:styleId="ydpc2e57797txtuline">
    <w:name w:val="ydpc2e57797txtuline"/>
    <w:basedOn w:val="DefaultParagraphFont"/>
    <w:rsid w:val="003F7B9F"/>
  </w:style>
  <w:style w:type="paragraph" w:customStyle="1" w:styleId="ydp457bb223msonormal">
    <w:name w:val="ydp457bb223msonormal"/>
    <w:basedOn w:val="Normal"/>
    <w:rsid w:val="003F7B9F"/>
    <w:pPr>
      <w:widowControl/>
      <w:suppressAutoHyphens w:val="0"/>
      <w:autoSpaceDE/>
      <w:autoSpaceDN/>
      <w:adjustRightInd/>
      <w:spacing w:before="100" w:beforeAutospacing="1" w:after="100" w:afterAutospacing="1"/>
      <w:jc w:val="left"/>
      <w:textAlignment w:val="auto"/>
    </w:pPr>
    <w:rPr>
      <w:rFonts w:eastAsiaTheme="minorHAnsi"/>
      <w:color w:val="auto"/>
      <w:sz w:val="22"/>
      <w:szCs w:val="22"/>
    </w:rPr>
  </w:style>
  <w:style w:type="paragraph" w:customStyle="1" w:styleId="TableHeading">
    <w:name w:val="Table Heading"/>
    <w:basedOn w:val="Normal"/>
    <w:rsid w:val="003F7B9F"/>
    <w:pPr>
      <w:widowControl/>
      <w:suppressAutoHyphens w:val="0"/>
      <w:autoSpaceDE/>
      <w:autoSpaceDN/>
      <w:adjustRightInd/>
      <w:spacing w:before="240"/>
      <w:jc w:val="center"/>
      <w:textAlignment w:val="auto"/>
    </w:pPr>
    <w:rPr>
      <w:rFonts w:ascii="Times New Roman" w:eastAsiaTheme="minorHAnsi" w:hAnsi="Times New Roman" w:cs="Times New Roman"/>
      <w:b/>
      <w:bCs/>
      <w:color w:val="auto"/>
      <w:sz w:val="24"/>
      <w:szCs w:val="24"/>
    </w:rPr>
  </w:style>
  <w:style w:type="paragraph" w:customStyle="1" w:styleId="Chap3141Heading">
    <w:name w:val="Chap 3.1.4.1 Heading"/>
    <w:basedOn w:val="1111Style5"/>
    <w:next w:val="Heading5"/>
    <w:link w:val="Chap3141HeadingChar"/>
    <w:qFormat/>
    <w:rsid w:val="00244862"/>
    <w:pPr>
      <w:keepNext w:val="0"/>
      <w:widowControl w:val="0"/>
      <w:numPr>
        <w:numId w:val="66"/>
      </w:numPr>
      <w:suppressAutoHyphens/>
      <w:autoSpaceDE w:val="0"/>
      <w:autoSpaceDN w:val="0"/>
      <w:adjustRightInd w:val="0"/>
      <w:spacing w:before="0"/>
      <w:ind w:left="1080" w:hanging="792"/>
      <w:textAlignment w:val="center"/>
    </w:pPr>
    <w:rPr>
      <w:rFonts w:cs="Calibri"/>
      <w:bCs w:val="0"/>
      <w:color w:val="000000"/>
      <w:sz w:val="24"/>
      <w:szCs w:val="24"/>
    </w:rPr>
  </w:style>
  <w:style w:type="paragraph" w:customStyle="1" w:styleId="3261">
    <w:name w:val="3.2.6.1"/>
    <w:basedOn w:val="Chap3141Heading"/>
    <w:link w:val="3261Char"/>
    <w:qFormat/>
    <w:rsid w:val="00995FAF"/>
    <w:pPr>
      <w:numPr>
        <w:numId w:val="41"/>
      </w:numPr>
      <w:ind w:left="1080" w:hanging="792"/>
    </w:pPr>
  </w:style>
  <w:style w:type="character" w:customStyle="1" w:styleId="Chap3141HeadingChar">
    <w:name w:val="Chap 3.1.4.1 Heading Char"/>
    <w:basedOn w:val="Heading4Char"/>
    <w:link w:val="Chap3141Heading"/>
    <w:rsid w:val="00244862"/>
    <w:rPr>
      <w:rFonts w:ascii="Cambria" w:eastAsia="Times New Roman" w:hAnsi="Cambria" w:cs="Calibri"/>
      <w:bCs w:val="0"/>
      <w:smallCaps/>
      <w:color w:val="000000"/>
      <w:sz w:val="24"/>
      <w:szCs w:val="24"/>
    </w:rPr>
  </w:style>
  <w:style w:type="paragraph" w:customStyle="1" w:styleId="3271">
    <w:name w:val="3.2.7.1"/>
    <w:basedOn w:val="3261"/>
    <w:link w:val="3271Char"/>
    <w:qFormat/>
    <w:rsid w:val="00C40D5F"/>
    <w:pPr>
      <w:numPr>
        <w:numId w:val="42"/>
      </w:numPr>
      <w:ind w:left="1080" w:hanging="792"/>
    </w:pPr>
  </w:style>
  <w:style w:type="character" w:customStyle="1" w:styleId="3261Char">
    <w:name w:val="3.2.6.1 Char"/>
    <w:basedOn w:val="Chap3141HeadingChar"/>
    <w:link w:val="3261"/>
    <w:rsid w:val="00995FAF"/>
    <w:rPr>
      <w:rFonts w:ascii="Cambria" w:eastAsia="Times New Roman" w:hAnsi="Cambria" w:cs="Calibri"/>
      <w:bCs w:val="0"/>
      <w:smallCaps/>
      <w:color w:val="000000"/>
      <w:sz w:val="24"/>
      <w:szCs w:val="24"/>
    </w:rPr>
  </w:style>
  <w:style w:type="paragraph" w:customStyle="1" w:styleId="321Heading3">
    <w:name w:val="3.2.1 Heading 3"/>
    <w:basedOn w:val="311Heading3"/>
    <w:qFormat/>
    <w:rsid w:val="0058491C"/>
    <w:pPr>
      <w:numPr>
        <w:numId w:val="67"/>
      </w:numPr>
    </w:pPr>
  </w:style>
  <w:style w:type="character" w:customStyle="1" w:styleId="3271Char">
    <w:name w:val="3.2.7.1 Char"/>
    <w:basedOn w:val="3261Char"/>
    <w:link w:val="3271"/>
    <w:rsid w:val="00C40D5F"/>
    <w:rPr>
      <w:rFonts w:ascii="Cambria" w:eastAsia="Times New Roman" w:hAnsi="Cambria" w:cs="Calibri"/>
      <w:bCs w:val="0"/>
      <w:smallCaps/>
      <w:color w:val="000000"/>
      <w:sz w:val="24"/>
      <w:szCs w:val="24"/>
    </w:rPr>
  </w:style>
  <w:style w:type="paragraph" w:customStyle="1" w:styleId="3251Heading4">
    <w:name w:val="3.2.5.1 Heading 4"/>
    <w:basedOn w:val="3261"/>
    <w:link w:val="3251Heading4Char"/>
    <w:qFormat/>
    <w:rsid w:val="00AD1FF9"/>
    <w:pPr>
      <w:numPr>
        <w:numId w:val="68"/>
      </w:numPr>
      <w:ind w:left="1080" w:hanging="792"/>
    </w:pPr>
  </w:style>
  <w:style w:type="character" w:styleId="SubtleEmphasis">
    <w:name w:val="Subtle Emphasis"/>
    <w:basedOn w:val="DefaultParagraphFont"/>
    <w:uiPriority w:val="19"/>
    <w:qFormat/>
    <w:rsid w:val="00C40D5F"/>
    <w:rPr>
      <w:i/>
      <w:iCs/>
      <w:color w:val="404040" w:themeColor="text1" w:themeTint="BF"/>
    </w:rPr>
  </w:style>
  <w:style w:type="paragraph" w:customStyle="1" w:styleId="331Heading3">
    <w:name w:val="3.3.1 Heading 3"/>
    <w:basedOn w:val="321Heading3"/>
    <w:qFormat/>
    <w:rsid w:val="00DC3036"/>
    <w:pPr>
      <w:numPr>
        <w:numId w:val="69"/>
      </w:numPr>
    </w:pPr>
  </w:style>
  <w:style w:type="paragraph" w:customStyle="1" w:styleId="3321Heading4">
    <w:name w:val="3.3.2.1 Heading 4"/>
    <w:basedOn w:val="3251Heading4"/>
    <w:qFormat/>
    <w:rsid w:val="00DC3036"/>
    <w:pPr>
      <w:numPr>
        <w:numId w:val="70"/>
      </w:numPr>
      <w:ind w:left="1080" w:hanging="792"/>
    </w:pPr>
  </w:style>
  <w:style w:type="paragraph" w:customStyle="1" w:styleId="341Heading3">
    <w:name w:val="3.4.1 Heading 3"/>
    <w:basedOn w:val="331Heading3"/>
    <w:next w:val="Heading3"/>
    <w:qFormat/>
    <w:rsid w:val="00116383"/>
    <w:pPr>
      <w:numPr>
        <w:numId w:val="71"/>
      </w:numPr>
    </w:pPr>
  </w:style>
  <w:style w:type="paragraph" w:customStyle="1" w:styleId="351Heading3">
    <w:name w:val="3.5.1 Heading 3"/>
    <w:basedOn w:val="341Heading3"/>
    <w:qFormat/>
    <w:rsid w:val="000E063B"/>
    <w:pPr>
      <w:numPr>
        <w:numId w:val="72"/>
      </w:numPr>
    </w:pPr>
  </w:style>
  <w:style w:type="paragraph" w:customStyle="1" w:styleId="3381">
    <w:name w:val="3.3.8.1"/>
    <w:basedOn w:val="3271"/>
    <w:link w:val="3381Char"/>
    <w:qFormat/>
    <w:rsid w:val="00740400"/>
    <w:pPr>
      <w:numPr>
        <w:numId w:val="43"/>
      </w:numPr>
      <w:ind w:left="1080" w:hanging="792"/>
    </w:pPr>
  </w:style>
  <w:style w:type="paragraph" w:customStyle="1" w:styleId="361Heading3">
    <w:name w:val="3.6.1 Heading 3"/>
    <w:basedOn w:val="311Heading3"/>
    <w:link w:val="361Heading3Char"/>
    <w:qFormat/>
    <w:rsid w:val="005349A3"/>
    <w:pPr>
      <w:numPr>
        <w:numId w:val="73"/>
      </w:numPr>
    </w:pPr>
  </w:style>
  <w:style w:type="character" w:customStyle="1" w:styleId="3381Char">
    <w:name w:val="3.3.8.1 Char"/>
    <w:basedOn w:val="3271Char"/>
    <w:link w:val="3381"/>
    <w:rsid w:val="00740400"/>
    <w:rPr>
      <w:rFonts w:ascii="Cambria" w:eastAsia="Times New Roman" w:hAnsi="Cambria" w:cs="Calibri"/>
      <w:bCs w:val="0"/>
      <w:smallCaps/>
      <w:color w:val="000000"/>
      <w:sz w:val="24"/>
      <w:szCs w:val="24"/>
    </w:rPr>
  </w:style>
  <w:style w:type="character" w:customStyle="1" w:styleId="UnresolvedMention2">
    <w:name w:val="Unresolved Mention2"/>
    <w:basedOn w:val="DefaultParagraphFont"/>
    <w:uiPriority w:val="99"/>
    <w:semiHidden/>
    <w:unhideWhenUsed/>
    <w:rsid w:val="003F7B9F"/>
    <w:rPr>
      <w:color w:val="605E5C"/>
      <w:shd w:val="clear" w:color="auto" w:fill="E1DFDD"/>
    </w:rPr>
  </w:style>
  <w:style w:type="paragraph" w:customStyle="1" w:styleId="421Heading3">
    <w:name w:val="4.2.1 Heading 3"/>
    <w:basedOn w:val="311Heading3"/>
    <w:link w:val="421Heading3Char"/>
    <w:qFormat/>
    <w:rsid w:val="00A25FC4"/>
    <w:pPr>
      <w:numPr>
        <w:numId w:val="80"/>
      </w:numPr>
      <w:ind w:left="1080" w:hanging="792"/>
    </w:pPr>
  </w:style>
  <w:style w:type="paragraph" w:customStyle="1" w:styleId="441Heading3">
    <w:name w:val="4.4.1 Heading 3"/>
    <w:basedOn w:val="411Heading3"/>
    <w:qFormat/>
    <w:rsid w:val="009A0A83"/>
    <w:pPr>
      <w:numPr>
        <w:numId w:val="82"/>
      </w:numPr>
    </w:pPr>
  </w:style>
  <w:style w:type="character" w:customStyle="1" w:styleId="Heading3HeadingsChar">
    <w:name w:val="Heading 3 (Headings) Char"/>
    <w:basedOn w:val="Heading3Char"/>
    <w:link w:val="Heading3Headings"/>
    <w:uiPriority w:val="99"/>
    <w:rsid w:val="003F7B9F"/>
    <w:rPr>
      <w:rFonts w:ascii="Cambria" w:eastAsia="Times New Roman" w:hAnsi="Cambria" w:cs="Arial"/>
      <w:b/>
      <w:bCs/>
      <w:smallCaps w:val="0"/>
      <w:sz w:val="26"/>
      <w:szCs w:val="26"/>
    </w:rPr>
  </w:style>
  <w:style w:type="character" w:customStyle="1" w:styleId="421Heading3Char">
    <w:name w:val="4.2.1 Heading 3 Char"/>
    <w:basedOn w:val="Heading3HeadingsChar"/>
    <w:link w:val="421Heading3"/>
    <w:rsid w:val="00A25FC4"/>
    <w:rPr>
      <w:rFonts w:ascii="Cambria" w:eastAsia="Times New Roman" w:hAnsi="Cambria" w:cstheme="minorHAnsi"/>
      <w:b w:val="0"/>
      <w:bCs/>
      <w:smallCaps/>
      <w:color w:val="000000" w:themeColor="text1"/>
      <w:sz w:val="26"/>
      <w:szCs w:val="26"/>
    </w:rPr>
  </w:style>
  <w:style w:type="paragraph" w:customStyle="1" w:styleId="451Heading3">
    <w:name w:val="4.5.1 Heading 3"/>
    <w:basedOn w:val="411Heading3"/>
    <w:qFormat/>
    <w:rsid w:val="00CE6CE7"/>
    <w:pPr>
      <w:numPr>
        <w:numId w:val="83"/>
      </w:numPr>
    </w:pPr>
  </w:style>
  <w:style w:type="paragraph" w:customStyle="1" w:styleId="461Heading3">
    <w:name w:val="4.6.1 Heading 3"/>
    <w:basedOn w:val="411Heading3"/>
    <w:qFormat/>
    <w:rsid w:val="00101D02"/>
    <w:pPr>
      <w:numPr>
        <w:numId w:val="84"/>
      </w:numPr>
    </w:pPr>
  </w:style>
  <w:style w:type="paragraph" w:customStyle="1" w:styleId="471Heading3">
    <w:name w:val="4.7.1 Heading 3"/>
    <w:basedOn w:val="411Heading3"/>
    <w:link w:val="471Heading3Char"/>
    <w:qFormat/>
    <w:rsid w:val="00640FCD"/>
    <w:pPr>
      <w:numPr>
        <w:numId w:val="85"/>
      </w:numPr>
    </w:pPr>
    <w:rPr>
      <w:bCs w:val="0"/>
    </w:rPr>
  </w:style>
  <w:style w:type="character" w:customStyle="1" w:styleId="471Heading3Char">
    <w:name w:val="4.7.1 Heading 3 Char"/>
    <w:basedOn w:val="DefaultParagraphFont"/>
    <w:link w:val="471Heading3"/>
    <w:rsid w:val="00640FCD"/>
    <w:rPr>
      <w:rFonts w:ascii="Cambria" w:eastAsia="Times New Roman" w:hAnsi="Cambria" w:cstheme="minorHAnsi"/>
      <w:smallCaps/>
      <w:sz w:val="26"/>
      <w:szCs w:val="26"/>
    </w:rPr>
  </w:style>
  <w:style w:type="paragraph" w:styleId="PlainText">
    <w:name w:val="Plain Text"/>
    <w:basedOn w:val="Normal"/>
    <w:link w:val="PlainTextChar"/>
    <w:uiPriority w:val="99"/>
    <w:semiHidden/>
    <w:unhideWhenUsed/>
    <w:rsid w:val="003F7B9F"/>
    <w:pPr>
      <w:widowControl/>
      <w:suppressAutoHyphens w:val="0"/>
      <w:autoSpaceDE/>
      <w:autoSpaceDN/>
      <w:adjustRightInd/>
      <w:jc w:val="left"/>
      <w:textAlignment w:val="auto"/>
    </w:pPr>
    <w:rPr>
      <w:rFonts w:eastAsiaTheme="minorHAnsi"/>
      <w:color w:val="auto"/>
      <w:sz w:val="22"/>
      <w:szCs w:val="22"/>
    </w:rPr>
  </w:style>
  <w:style w:type="character" w:customStyle="1" w:styleId="PlainTextChar">
    <w:name w:val="Plain Text Char"/>
    <w:basedOn w:val="DefaultParagraphFont"/>
    <w:link w:val="PlainText"/>
    <w:uiPriority w:val="99"/>
    <w:semiHidden/>
    <w:rsid w:val="003F7B9F"/>
    <w:rPr>
      <w:rFonts w:ascii="Calibri" w:hAnsi="Calibri" w:cs="Calibri"/>
    </w:rPr>
  </w:style>
  <w:style w:type="paragraph" w:customStyle="1" w:styleId="yiv3327900830msonormal">
    <w:name w:val="yiv3327900830msonormal"/>
    <w:basedOn w:val="Normal"/>
    <w:rsid w:val="003F7B9F"/>
    <w:pPr>
      <w:widowControl/>
      <w:suppressAutoHyphens w:val="0"/>
      <w:autoSpaceDE/>
      <w:autoSpaceDN/>
      <w:adjustRightInd/>
      <w:spacing w:before="100" w:beforeAutospacing="1" w:after="100" w:afterAutospacing="1"/>
      <w:jc w:val="left"/>
      <w:textAlignment w:val="auto"/>
    </w:pPr>
    <w:rPr>
      <w:rFonts w:ascii="Times New Roman" w:hAnsi="Times New Roman" w:cs="Times New Roman"/>
      <w:color w:val="auto"/>
      <w:sz w:val="24"/>
      <w:szCs w:val="24"/>
    </w:rPr>
  </w:style>
  <w:style w:type="paragraph" w:customStyle="1" w:styleId="531Heading3">
    <w:name w:val="5.3.1 Heading 3"/>
    <w:basedOn w:val="411Heading3"/>
    <w:link w:val="531Heading3Char"/>
    <w:qFormat/>
    <w:rsid w:val="0056742D"/>
    <w:pPr>
      <w:numPr>
        <w:numId w:val="88"/>
      </w:numPr>
      <w:suppressAutoHyphens/>
    </w:pPr>
  </w:style>
  <w:style w:type="paragraph" w:customStyle="1" w:styleId="6211Heading4">
    <w:name w:val="6.2.1.1 Heading 4"/>
    <w:basedOn w:val="3321Heading4"/>
    <w:qFormat/>
    <w:rsid w:val="00E702C3"/>
    <w:pPr>
      <w:numPr>
        <w:numId w:val="92"/>
      </w:numPr>
      <w:ind w:left="1080" w:hanging="792"/>
    </w:pPr>
  </w:style>
  <w:style w:type="character" w:customStyle="1" w:styleId="531Heading3Char">
    <w:name w:val="5.3.1 Heading 3 Char"/>
    <w:basedOn w:val="Heading3Char"/>
    <w:link w:val="531Heading3"/>
    <w:rsid w:val="0056742D"/>
    <w:rPr>
      <w:rFonts w:ascii="Cambria" w:eastAsia="Times New Roman" w:hAnsi="Cambria" w:cstheme="minorHAnsi"/>
      <w:bCs/>
      <w:smallCaps/>
      <w:sz w:val="26"/>
      <w:szCs w:val="26"/>
    </w:rPr>
  </w:style>
  <w:style w:type="paragraph" w:customStyle="1" w:styleId="521Heading3">
    <w:name w:val="5.2.1 Heading 3"/>
    <w:basedOn w:val="411Heading3"/>
    <w:link w:val="521Heading3Char"/>
    <w:qFormat/>
    <w:rsid w:val="00D0441D"/>
    <w:pPr>
      <w:numPr>
        <w:numId w:val="87"/>
      </w:numPr>
      <w:suppressAutoHyphens/>
      <w:ind w:left="1008"/>
    </w:pPr>
  </w:style>
  <w:style w:type="character" w:customStyle="1" w:styleId="521Heading3Char">
    <w:name w:val="5.2.1 Heading 3 Char"/>
    <w:basedOn w:val="Heading3Char"/>
    <w:link w:val="521Heading3"/>
    <w:rsid w:val="00D0441D"/>
    <w:rPr>
      <w:rFonts w:ascii="Cambria" w:eastAsia="Times New Roman" w:hAnsi="Cambria" w:cstheme="minorHAnsi"/>
      <w:bCs/>
      <w:smallCaps/>
      <w:sz w:val="26"/>
      <w:szCs w:val="26"/>
    </w:rPr>
  </w:style>
  <w:style w:type="character" w:customStyle="1" w:styleId="UnresolvedMention20">
    <w:name w:val="Unresolved Mention2"/>
    <w:uiPriority w:val="99"/>
    <w:semiHidden/>
    <w:unhideWhenUsed/>
    <w:rsid w:val="003F7B9F"/>
    <w:rPr>
      <w:color w:val="605E5C"/>
      <w:shd w:val="clear" w:color="auto" w:fill="E1DFDD"/>
    </w:rPr>
  </w:style>
  <w:style w:type="paragraph" w:customStyle="1" w:styleId="631Heading3">
    <w:name w:val="6.3.1 Heading 3"/>
    <w:basedOn w:val="411Heading3"/>
    <w:next w:val="Heading3"/>
    <w:link w:val="631Heading3Char"/>
    <w:qFormat/>
    <w:rsid w:val="00E311C8"/>
    <w:pPr>
      <w:widowControl w:val="0"/>
      <w:numPr>
        <w:ilvl w:val="0"/>
        <w:numId w:val="52"/>
      </w:numPr>
      <w:suppressAutoHyphens/>
      <w:autoSpaceDE w:val="0"/>
      <w:autoSpaceDN w:val="0"/>
      <w:adjustRightInd w:val="0"/>
      <w:spacing w:line="270" w:lineRule="atLeast"/>
      <w:ind w:left="1008" w:hanging="720"/>
      <w:textAlignment w:val="center"/>
    </w:pPr>
    <w:rPr>
      <w:color w:val="000000" w:themeColor="text1"/>
    </w:rPr>
  </w:style>
  <w:style w:type="character" w:customStyle="1" w:styleId="631Heading3Char">
    <w:name w:val="6.3.1 Heading 3 Char"/>
    <w:basedOn w:val="Heading3Char"/>
    <w:link w:val="631Heading3"/>
    <w:rsid w:val="00E311C8"/>
    <w:rPr>
      <w:rFonts w:ascii="Cambria" w:eastAsia="Times New Roman" w:hAnsi="Cambria" w:cstheme="minorHAnsi"/>
      <w:bCs/>
      <w:smallCaps/>
      <w:color w:val="000000" w:themeColor="text1"/>
      <w:sz w:val="26"/>
      <w:szCs w:val="26"/>
    </w:rPr>
  </w:style>
  <w:style w:type="paragraph" w:customStyle="1" w:styleId="641Heading3">
    <w:name w:val="6.4.1 Heading 3"/>
    <w:basedOn w:val="411Heading3"/>
    <w:next w:val="Heading3"/>
    <w:link w:val="641Heading3Char"/>
    <w:qFormat/>
    <w:rsid w:val="000A6078"/>
    <w:pPr>
      <w:widowControl w:val="0"/>
      <w:numPr>
        <w:ilvl w:val="0"/>
        <w:numId w:val="53"/>
      </w:numPr>
      <w:suppressAutoHyphens/>
      <w:autoSpaceDE w:val="0"/>
      <w:autoSpaceDN w:val="0"/>
      <w:adjustRightInd w:val="0"/>
      <w:spacing w:line="270" w:lineRule="atLeast"/>
      <w:ind w:left="1080" w:hanging="792"/>
      <w:textAlignment w:val="center"/>
    </w:pPr>
    <w:rPr>
      <w:color w:val="000000" w:themeColor="text1"/>
    </w:rPr>
  </w:style>
  <w:style w:type="paragraph" w:customStyle="1" w:styleId="651Heading3">
    <w:name w:val="6.5.1 Heading 3"/>
    <w:basedOn w:val="621Heading3"/>
    <w:next w:val="Heading3"/>
    <w:link w:val="651Heading3Char"/>
    <w:qFormat/>
    <w:rsid w:val="007823DA"/>
    <w:pPr>
      <w:widowControl w:val="0"/>
      <w:numPr>
        <w:ilvl w:val="0"/>
        <w:numId w:val="54"/>
      </w:numPr>
      <w:autoSpaceDE w:val="0"/>
      <w:autoSpaceDN w:val="0"/>
      <w:adjustRightInd w:val="0"/>
      <w:spacing w:line="270" w:lineRule="atLeast"/>
      <w:ind w:left="1080" w:hanging="792"/>
      <w:textAlignment w:val="center"/>
    </w:pPr>
    <w:rPr>
      <w:color w:val="000000" w:themeColor="text1"/>
    </w:rPr>
  </w:style>
  <w:style w:type="character" w:customStyle="1" w:styleId="641Heading3Char">
    <w:name w:val="6.4.1 Heading 3 Char"/>
    <w:basedOn w:val="631Heading3Char"/>
    <w:link w:val="641Heading3"/>
    <w:rsid w:val="000A6078"/>
    <w:rPr>
      <w:rFonts w:ascii="Cambria" w:eastAsia="Times New Roman" w:hAnsi="Cambria" w:cstheme="minorHAnsi"/>
      <w:bCs/>
      <w:smallCaps/>
      <w:color w:val="000000" w:themeColor="text1"/>
      <w:sz w:val="26"/>
      <w:szCs w:val="26"/>
    </w:rPr>
  </w:style>
  <w:style w:type="paragraph" w:customStyle="1" w:styleId="661Heading3">
    <w:name w:val="6.6.1 Heading 3"/>
    <w:basedOn w:val="621Heading3"/>
    <w:next w:val="Heading3"/>
    <w:link w:val="661Heading3Char"/>
    <w:qFormat/>
    <w:rsid w:val="00500B66"/>
    <w:pPr>
      <w:widowControl w:val="0"/>
      <w:numPr>
        <w:ilvl w:val="0"/>
        <w:numId w:val="55"/>
      </w:numPr>
      <w:autoSpaceDE w:val="0"/>
      <w:autoSpaceDN w:val="0"/>
      <w:adjustRightInd w:val="0"/>
      <w:spacing w:line="270" w:lineRule="atLeast"/>
      <w:ind w:left="1080" w:hanging="792"/>
      <w:textAlignment w:val="center"/>
    </w:pPr>
    <w:rPr>
      <w:color w:val="000000" w:themeColor="text1"/>
    </w:rPr>
  </w:style>
  <w:style w:type="character" w:customStyle="1" w:styleId="651Heading3Char">
    <w:name w:val="6.5.1 Heading 3 Char"/>
    <w:basedOn w:val="Heading3Char"/>
    <w:link w:val="651Heading3"/>
    <w:rsid w:val="007823DA"/>
    <w:rPr>
      <w:rFonts w:ascii="Cambria" w:eastAsia="Times New Roman" w:hAnsi="Cambria" w:cstheme="minorHAnsi"/>
      <w:bCs/>
      <w:smallCaps/>
      <w:color w:val="000000" w:themeColor="text1"/>
      <w:sz w:val="26"/>
      <w:szCs w:val="26"/>
    </w:rPr>
  </w:style>
  <w:style w:type="paragraph" w:customStyle="1" w:styleId="671Heading3">
    <w:name w:val="6.7.1 Heading 3"/>
    <w:basedOn w:val="621Heading3"/>
    <w:next w:val="Heading3"/>
    <w:link w:val="671Heading3Char"/>
    <w:qFormat/>
    <w:rsid w:val="00500B66"/>
    <w:pPr>
      <w:numPr>
        <w:ilvl w:val="0"/>
        <w:numId w:val="56"/>
      </w:numPr>
      <w:autoSpaceDE w:val="0"/>
      <w:autoSpaceDN w:val="0"/>
      <w:spacing w:after="60"/>
      <w:ind w:left="1080" w:hanging="792"/>
      <w:textAlignment w:val="center"/>
    </w:pPr>
    <w:rPr>
      <w:color w:val="000000" w:themeColor="text1"/>
    </w:rPr>
  </w:style>
  <w:style w:type="character" w:customStyle="1" w:styleId="661Heading3Char">
    <w:name w:val="6.6.1 Heading 3 Char"/>
    <w:basedOn w:val="Heading3Char"/>
    <w:link w:val="661Heading3"/>
    <w:rsid w:val="00500B66"/>
    <w:rPr>
      <w:rFonts w:ascii="Cambria" w:eastAsia="Times New Roman" w:hAnsi="Cambria" w:cstheme="minorHAnsi"/>
      <w:bCs/>
      <w:smallCaps/>
      <w:color w:val="000000" w:themeColor="text1"/>
      <w:sz w:val="26"/>
      <w:szCs w:val="26"/>
    </w:rPr>
  </w:style>
  <w:style w:type="character" w:customStyle="1" w:styleId="671Heading3Char">
    <w:name w:val="6.7.1 Heading 3 Char"/>
    <w:basedOn w:val="DefaultParagraphFont"/>
    <w:link w:val="671Heading3"/>
    <w:rsid w:val="00500B66"/>
    <w:rPr>
      <w:rFonts w:ascii="Cambria" w:eastAsia="Times New Roman" w:hAnsi="Cambria" w:cstheme="minorHAnsi"/>
      <w:bCs/>
      <w:smallCaps/>
      <w:color w:val="000000" w:themeColor="text1"/>
      <w:sz w:val="26"/>
      <w:szCs w:val="26"/>
    </w:rPr>
  </w:style>
  <w:style w:type="character" w:customStyle="1" w:styleId="UnresolvedMention3">
    <w:name w:val="Unresolved Mention3"/>
    <w:basedOn w:val="DefaultParagraphFont"/>
    <w:uiPriority w:val="99"/>
    <w:semiHidden/>
    <w:unhideWhenUsed/>
    <w:rsid w:val="003F7B9F"/>
    <w:rPr>
      <w:color w:val="605E5C"/>
      <w:shd w:val="clear" w:color="auto" w:fill="E1DFDD"/>
    </w:rPr>
  </w:style>
  <w:style w:type="paragraph" w:customStyle="1" w:styleId="621Heading3">
    <w:name w:val="6.2.1 Heading 3"/>
    <w:basedOn w:val="551Heading3"/>
    <w:link w:val="621Heading3Char"/>
    <w:qFormat/>
    <w:rsid w:val="007046F8"/>
    <w:pPr>
      <w:numPr>
        <w:numId w:val="91"/>
      </w:numPr>
    </w:pPr>
  </w:style>
  <w:style w:type="character" w:customStyle="1" w:styleId="621Heading3Char">
    <w:name w:val="6.2.1 Heading 3 Char"/>
    <w:basedOn w:val="631Heading3Char"/>
    <w:link w:val="621Heading3"/>
    <w:rsid w:val="007046F8"/>
    <w:rPr>
      <w:rFonts w:ascii="Cambria" w:eastAsia="Times New Roman" w:hAnsi="Cambria" w:cstheme="minorHAnsi"/>
      <w:bCs/>
      <w:smallCaps/>
      <w:color w:val="000000" w:themeColor="text1"/>
      <w:sz w:val="26"/>
      <w:szCs w:val="26"/>
    </w:rPr>
  </w:style>
  <w:style w:type="paragraph" w:customStyle="1" w:styleId="6221Heading4">
    <w:name w:val="6.2.2.1 Heading 4"/>
    <w:basedOn w:val="3321Heading4"/>
    <w:link w:val="6221Heading4Char"/>
    <w:qFormat/>
    <w:rsid w:val="00E702C3"/>
    <w:pPr>
      <w:numPr>
        <w:numId w:val="57"/>
      </w:numPr>
      <w:spacing w:line="270" w:lineRule="atLeast"/>
      <w:ind w:left="1080" w:hanging="792"/>
    </w:pPr>
  </w:style>
  <w:style w:type="character" w:customStyle="1" w:styleId="6221Heading4Char">
    <w:name w:val="6.2.2.1 Heading 4 Char"/>
    <w:basedOn w:val="Heading2Char"/>
    <w:link w:val="6221Heading4"/>
    <w:rsid w:val="00E702C3"/>
    <w:rPr>
      <w:rFonts w:ascii="Cambria" w:eastAsia="Times New Roman" w:hAnsi="Cambria" w:cs="Calibri"/>
      <w:caps w:val="0"/>
      <w:smallCaps/>
      <w:color w:val="000000"/>
      <w:sz w:val="24"/>
      <w:szCs w:val="24"/>
    </w:rPr>
  </w:style>
  <w:style w:type="paragraph" w:customStyle="1" w:styleId="151Heading3">
    <w:name w:val="1.5.1 Heading 3"/>
    <w:basedOn w:val="Heading3"/>
    <w:qFormat/>
    <w:rsid w:val="00DD05C7"/>
    <w:pPr>
      <w:numPr>
        <w:numId w:val="61"/>
      </w:numPr>
    </w:pPr>
  </w:style>
  <w:style w:type="paragraph" w:customStyle="1" w:styleId="1521Heading4">
    <w:name w:val="1.5.2.1 Heading 4"/>
    <w:basedOn w:val="1511Heading4"/>
    <w:qFormat/>
    <w:rsid w:val="00CB7C90"/>
    <w:pPr>
      <w:numPr>
        <w:numId w:val="63"/>
      </w:numPr>
    </w:pPr>
  </w:style>
  <w:style w:type="paragraph" w:customStyle="1" w:styleId="211Heading3">
    <w:name w:val="2.1.1 Heading 3"/>
    <w:basedOn w:val="221"/>
    <w:link w:val="211Heading3Char"/>
    <w:qFormat/>
    <w:rsid w:val="00DB29A2"/>
    <w:pPr>
      <w:numPr>
        <w:numId w:val="64"/>
      </w:numPr>
      <w:ind w:left="1080" w:hanging="792"/>
    </w:pPr>
  </w:style>
  <w:style w:type="paragraph" w:customStyle="1" w:styleId="311Heading3">
    <w:name w:val="3.1.1 Heading 3"/>
    <w:basedOn w:val="211Heading3"/>
    <w:link w:val="311Heading3Char"/>
    <w:qFormat/>
    <w:rsid w:val="00630442"/>
    <w:pPr>
      <w:numPr>
        <w:numId w:val="65"/>
      </w:numPr>
    </w:pPr>
  </w:style>
  <w:style w:type="paragraph" w:customStyle="1" w:styleId="3611Heading4">
    <w:name w:val="3.6.1.1 Heading 4"/>
    <w:basedOn w:val="3321Heading4"/>
    <w:qFormat/>
    <w:rsid w:val="005349A3"/>
    <w:pPr>
      <w:numPr>
        <w:numId w:val="74"/>
      </w:numPr>
      <w:ind w:left="1080" w:hanging="792"/>
    </w:pPr>
    <w:rPr>
      <w:rFonts w:eastAsiaTheme="minorEastAsia"/>
    </w:rPr>
  </w:style>
  <w:style w:type="paragraph" w:customStyle="1" w:styleId="371Heading3">
    <w:name w:val="3.7.1 Heading 3"/>
    <w:basedOn w:val="361Heading3"/>
    <w:link w:val="371Heading3Char"/>
    <w:qFormat/>
    <w:rsid w:val="00C825E7"/>
    <w:pPr>
      <w:numPr>
        <w:numId w:val="75"/>
      </w:numPr>
    </w:pPr>
  </w:style>
  <w:style w:type="paragraph" w:customStyle="1" w:styleId="3711Heading4">
    <w:name w:val="3.7.1.1 Heading 4"/>
    <w:basedOn w:val="3251Heading4"/>
    <w:link w:val="3711Heading4Char"/>
    <w:qFormat/>
    <w:rsid w:val="00C825E7"/>
    <w:pPr>
      <w:numPr>
        <w:numId w:val="76"/>
      </w:numPr>
      <w:ind w:left="1080" w:hanging="792"/>
    </w:pPr>
  </w:style>
  <w:style w:type="paragraph" w:customStyle="1" w:styleId="381Heading3">
    <w:name w:val="3.8.1 Heading 3"/>
    <w:basedOn w:val="371Heading3"/>
    <w:link w:val="381Heading3Char"/>
    <w:qFormat/>
    <w:rsid w:val="00420298"/>
    <w:pPr>
      <w:numPr>
        <w:numId w:val="77"/>
      </w:numPr>
    </w:pPr>
  </w:style>
  <w:style w:type="paragraph" w:customStyle="1" w:styleId="3821Heading4">
    <w:name w:val="3.8.2.1 Heading 4"/>
    <w:basedOn w:val="3711Heading4"/>
    <w:link w:val="3821Heading4Char"/>
    <w:qFormat/>
    <w:rsid w:val="0038634E"/>
    <w:pPr>
      <w:numPr>
        <w:numId w:val="78"/>
      </w:numPr>
      <w:ind w:left="1080" w:hanging="792"/>
    </w:pPr>
  </w:style>
  <w:style w:type="paragraph" w:customStyle="1" w:styleId="411Heading3">
    <w:name w:val="4.1.1 Heading 3"/>
    <w:basedOn w:val="151Heading3"/>
    <w:qFormat/>
    <w:rsid w:val="00034522"/>
    <w:pPr>
      <w:numPr>
        <w:numId w:val="79"/>
      </w:numPr>
    </w:pPr>
  </w:style>
  <w:style w:type="paragraph" w:customStyle="1" w:styleId="431Heading3">
    <w:name w:val="4.3.1. Heading 3"/>
    <w:basedOn w:val="411Heading3"/>
    <w:qFormat/>
    <w:rsid w:val="00A25FC4"/>
    <w:pPr>
      <w:numPr>
        <w:numId w:val="81"/>
      </w:numPr>
      <w:ind w:left="1080" w:hanging="792"/>
    </w:pPr>
  </w:style>
  <w:style w:type="paragraph" w:customStyle="1" w:styleId="TableTextDense">
    <w:name w:val="Table Text Dense"/>
    <w:basedOn w:val="TableBodyText"/>
    <w:qFormat/>
    <w:rsid w:val="00546799"/>
    <w:pPr>
      <w:spacing w:line="180" w:lineRule="atLeast"/>
      <w:contextualSpacing/>
    </w:pPr>
    <w:rPr>
      <w:rFonts w:ascii="Courier New" w:eastAsiaTheme="minorEastAsia" w:hAnsi="Courier New" w:cs="Courier New"/>
      <w:sz w:val="18"/>
      <w:szCs w:val="18"/>
    </w:rPr>
  </w:style>
  <w:style w:type="paragraph" w:customStyle="1" w:styleId="541Heading3">
    <w:name w:val="5.4.1 Heading 3"/>
    <w:basedOn w:val="531Heading3"/>
    <w:qFormat/>
    <w:rsid w:val="007E0579"/>
    <w:pPr>
      <w:numPr>
        <w:numId w:val="89"/>
      </w:numPr>
    </w:pPr>
  </w:style>
  <w:style w:type="paragraph" w:customStyle="1" w:styleId="551Heading3">
    <w:name w:val="5.5.1 Heading 3"/>
    <w:basedOn w:val="541Heading3"/>
    <w:qFormat/>
    <w:rsid w:val="007E0579"/>
    <w:pPr>
      <w:numPr>
        <w:numId w:val="90"/>
      </w:numPr>
    </w:pPr>
  </w:style>
  <w:style w:type="paragraph" w:customStyle="1" w:styleId="391">
    <w:name w:val="3.9.1"/>
    <w:basedOn w:val="381Heading3"/>
    <w:link w:val="391Char"/>
    <w:qFormat/>
    <w:rsid w:val="006A406F"/>
    <w:pPr>
      <w:numPr>
        <w:ilvl w:val="0"/>
        <w:numId w:val="93"/>
      </w:numPr>
      <w:ind w:hanging="720"/>
    </w:pPr>
  </w:style>
  <w:style w:type="paragraph" w:customStyle="1" w:styleId="3931">
    <w:name w:val="3.9.3.1"/>
    <w:basedOn w:val="3821Heading4"/>
    <w:link w:val="3931Char"/>
    <w:qFormat/>
    <w:rsid w:val="00831FAC"/>
    <w:pPr>
      <w:numPr>
        <w:numId w:val="94"/>
      </w:numPr>
      <w:ind w:hanging="720"/>
    </w:pPr>
  </w:style>
  <w:style w:type="character" w:customStyle="1" w:styleId="211Heading3Char">
    <w:name w:val="2.1.1 Heading 3 Char"/>
    <w:basedOn w:val="221Char"/>
    <w:link w:val="211Heading3"/>
    <w:rsid w:val="006A406F"/>
    <w:rPr>
      <w:rFonts w:ascii="Cambria" w:eastAsia="Times New Roman" w:hAnsi="Cambria" w:cstheme="minorHAnsi"/>
      <w:bCs/>
      <w:smallCaps/>
      <w:color w:val="000000" w:themeColor="text1"/>
      <w:sz w:val="26"/>
      <w:szCs w:val="26"/>
    </w:rPr>
  </w:style>
  <w:style w:type="character" w:customStyle="1" w:styleId="311Heading3Char">
    <w:name w:val="3.1.1 Heading 3 Char"/>
    <w:basedOn w:val="211Heading3Char"/>
    <w:link w:val="311Heading3"/>
    <w:rsid w:val="006A406F"/>
    <w:rPr>
      <w:rFonts w:ascii="Cambria" w:eastAsia="Times New Roman" w:hAnsi="Cambria" w:cstheme="minorHAnsi"/>
      <w:bCs/>
      <w:smallCaps/>
      <w:color w:val="000000" w:themeColor="text1"/>
      <w:sz w:val="26"/>
      <w:szCs w:val="26"/>
    </w:rPr>
  </w:style>
  <w:style w:type="character" w:customStyle="1" w:styleId="361Heading3Char">
    <w:name w:val="3.6.1 Heading 3 Char"/>
    <w:basedOn w:val="311Heading3Char"/>
    <w:link w:val="361Heading3"/>
    <w:rsid w:val="006A406F"/>
    <w:rPr>
      <w:rFonts w:ascii="Cambria" w:eastAsia="Times New Roman" w:hAnsi="Cambria" w:cstheme="minorHAnsi"/>
      <w:bCs/>
      <w:smallCaps/>
      <w:color w:val="000000" w:themeColor="text1"/>
      <w:sz w:val="26"/>
      <w:szCs w:val="26"/>
    </w:rPr>
  </w:style>
  <w:style w:type="character" w:customStyle="1" w:styleId="371Heading3Char">
    <w:name w:val="3.7.1 Heading 3 Char"/>
    <w:basedOn w:val="361Heading3Char"/>
    <w:link w:val="371Heading3"/>
    <w:rsid w:val="006A406F"/>
    <w:rPr>
      <w:rFonts w:ascii="Cambria" w:eastAsia="Times New Roman" w:hAnsi="Cambria" w:cstheme="minorHAnsi"/>
      <w:bCs/>
      <w:smallCaps/>
      <w:color w:val="000000" w:themeColor="text1"/>
      <w:sz w:val="26"/>
      <w:szCs w:val="26"/>
    </w:rPr>
  </w:style>
  <w:style w:type="character" w:customStyle="1" w:styleId="381Heading3Char">
    <w:name w:val="3.8.1 Heading 3 Char"/>
    <w:basedOn w:val="371Heading3Char"/>
    <w:link w:val="381Heading3"/>
    <w:rsid w:val="006A406F"/>
    <w:rPr>
      <w:rFonts w:ascii="Cambria" w:eastAsia="Times New Roman" w:hAnsi="Cambria" w:cstheme="minorHAnsi"/>
      <w:bCs/>
      <w:smallCaps/>
      <w:color w:val="000000" w:themeColor="text1"/>
      <w:sz w:val="26"/>
      <w:szCs w:val="26"/>
    </w:rPr>
  </w:style>
  <w:style w:type="character" w:customStyle="1" w:styleId="391Char">
    <w:name w:val="3.9.1 Char"/>
    <w:basedOn w:val="381Heading3Char"/>
    <w:link w:val="391"/>
    <w:rsid w:val="006A406F"/>
    <w:rPr>
      <w:rFonts w:ascii="Cambria" w:eastAsia="Times New Roman" w:hAnsi="Cambria" w:cstheme="minorHAnsi"/>
      <w:bCs/>
      <w:smallCaps/>
      <w:color w:val="000000" w:themeColor="text1"/>
      <w:sz w:val="26"/>
      <w:szCs w:val="26"/>
    </w:rPr>
  </w:style>
  <w:style w:type="character" w:customStyle="1" w:styleId="3251Heading4Char">
    <w:name w:val="3.2.5.1 Heading 4 Char"/>
    <w:basedOn w:val="3261Char"/>
    <w:link w:val="3251Heading4"/>
    <w:rsid w:val="00831FAC"/>
    <w:rPr>
      <w:rFonts w:ascii="Cambria" w:eastAsia="Times New Roman" w:hAnsi="Cambria" w:cs="Calibri"/>
      <w:bCs w:val="0"/>
      <w:smallCaps/>
      <w:color w:val="000000"/>
      <w:sz w:val="24"/>
      <w:szCs w:val="24"/>
    </w:rPr>
  </w:style>
  <w:style w:type="character" w:customStyle="1" w:styleId="3711Heading4Char">
    <w:name w:val="3.7.1.1 Heading 4 Char"/>
    <w:basedOn w:val="3251Heading4Char"/>
    <w:link w:val="3711Heading4"/>
    <w:rsid w:val="00831FAC"/>
    <w:rPr>
      <w:rFonts w:ascii="Cambria" w:eastAsia="Times New Roman" w:hAnsi="Cambria" w:cs="Calibri"/>
      <w:bCs w:val="0"/>
      <w:smallCaps/>
      <w:color w:val="000000"/>
      <w:sz w:val="24"/>
      <w:szCs w:val="24"/>
    </w:rPr>
  </w:style>
  <w:style w:type="character" w:customStyle="1" w:styleId="3821Heading4Char">
    <w:name w:val="3.8.2.1 Heading 4 Char"/>
    <w:basedOn w:val="3711Heading4Char"/>
    <w:link w:val="3821Heading4"/>
    <w:rsid w:val="00831FAC"/>
    <w:rPr>
      <w:rFonts w:ascii="Cambria" w:eastAsia="Times New Roman" w:hAnsi="Cambria" w:cs="Calibri"/>
      <w:bCs w:val="0"/>
      <w:smallCaps/>
      <w:color w:val="000000"/>
      <w:sz w:val="24"/>
      <w:szCs w:val="24"/>
    </w:rPr>
  </w:style>
  <w:style w:type="character" w:customStyle="1" w:styleId="3931Char">
    <w:name w:val="3.9.3.1 Char"/>
    <w:basedOn w:val="3821Heading4Char"/>
    <w:link w:val="3931"/>
    <w:rsid w:val="00831FAC"/>
    <w:rPr>
      <w:rFonts w:ascii="Cambria" w:eastAsia="Times New Roman" w:hAnsi="Cambria" w:cs="Calibri"/>
      <w:bCs w:val="0"/>
      <w:smallCaps/>
      <w:color w:val="000000"/>
      <w:sz w:val="24"/>
      <w:szCs w:val="24"/>
    </w:rPr>
  </w:style>
  <w:style w:type="character" w:styleId="UnresolvedMention">
    <w:name w:val="Unresolved Mention"/>
    <w:basedOn w:val="DefaultParagraphFont"/>
    <w:uiPriority w:val="99"/>
    <w:semiHidden/>
    <w:unhideWhenUsed/>
    <w:rsid w:val="00656063"/>
    <w:rPr>
      <w:color w:val="605E5C"/>
      <w:shd w:val="clear" w:color="auto" w:fill="E1DFDD"/>
    </w:rPr>
  </w:style>
  <w:style w:type="character" w:customStyle="1" w:styleId="cf01">
    <w:name w:val="cf01"/>
    <w:basedOn w:val="DefaultParagraphFont"/>
    <w:rsid w:val="009B7AED"/>
    <w:rPr>
      <w:rFonts w:ascii="Segoe UI" w:hAnsi="Segoe UI" w:cs="Segoe UI" w:hint="default"/>
      <w:color w:val="595959"/>
      <w:sz w:val="18"/>
      <w:szCs w:val="18"/>
    </w:rPr>
  </w:style>
  <w:style w:type="paragraph" w:customStyle="1" w:styleId="TMGBullet2">
    <w:name w:val="TMG Bullet 2"/>
    <w:basedOn w:val="ListBullet2BulletsandNumbering"/>
    <w:qFormat/>
    <w:rsid w:val="00C6056D"/>
    <w:pPr>
      <w:ind w:left="864" w:hanging="288"/>
    </w:pPr>
  </w:style>
  <w:style w:type="paragraph" w:customStyle="1" w:styleId="TMGTableCaption">
    <w:name w:val="TMG Table Caption"/>
    <w:basedOn w:val="FigureTitle"/>
    <w:qFormat/>
    <w:rsid w:val="00442CC1"/>
    <w:pPr>
      <w:spacing w:before="240" w:after="60" w:line="240" w:lineRule="auto"/>
      <w:contextualSpacing w:val="0"/>
      <w:jc w:val="center"/>
    </w:pPr>
    <w:rPr>
      <w:smallCaps w:val="0"/>
      <w:sz w:val="22"/>
    </w:rPr>
  </w:style>
  <w:style w:type="paragraph" w:customStyle="1" w:styleId="TMGFigureCaption">
    <w:name w:val="TMG Figure Caption"/>
    <w:basedOn w:val="Caption"/>
    <w:qFormat/>
    <w:rsid w:val="007B58D8"/>
    <w:pPr>
      <w:widowControl/>
      <w:spacing w:before="120" w:after="240"/>
      <w:jc w:val="center"/>
    </w:pPr>
    <w:rPr>
      <w:sz w:val="22"/>
    </w:rPr>
  </w:style>
  <w:style w:type="paragraph" w:customStyle="1" w:styleId="TMGTableText">
    <w:name w:val="TMG Table Text"/>
    <w:qFormat/>
    <w:rsid w:val="00917D58"/>
    <w:pPr>
      <w:spacing w:before="20" w:after="20" w:line="240" w:lineRule="auto"/>
      <w:ind w:left="-1"/>
    </w:pPr>
    <w:rPr>
      <w:rFonts w:ascii="Calibri" w:eastAsia="MS Mincho" w:hAnsi="Calibri" w:cs="Calibri"/>
      <w:color w:val="000000"/>
      <w:sz w:val="20"/>
      <w:szCs w:val="20"/>
      <w:lang w:bidi="en-US"/>
    </w:rPr>
  </w:style>
  <w:style w:type="paragraph" w:customStyle="1" w:styleId="TMGTableTextHeader">
    <w:name w:val="TMG Table Text Header"/>
    <w:qFormat/>
    <w:rsid w:val="0017389B"/>
    <w:pPr>
      <w:spacing w:before="20" w:after="20" w:line="240" w:lineRule="auto"/>
      <w:ind w:left="-1"/>
      <w:jc w:val="center"/>
    </w:pPr>
    <w:rPr>
      <w:rFonts w:ascii="Calibri" w:eastAsia="Times New Roman" w:hAnsi="Calibri" w:cs="Calibri"/>
      <w:b/>
      <w:bCs/>
      <w:color w:val="FFFFFF" w:themeColor="background1"/>
      <w:sz w:val="20"/>
      <w:szCs w:val="20"/>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5558606">
      <w:bodyDiv w:val="1"/>
      <w:marLeft w:val="0"/>
      <w:marRight w:val="0"/>
      <w:marTop w:val="0"/>
      <w:marBottom w:val="0"/>
      <w:divBdr>
        <w:top w:val="none" w:sz="0" w:space="0" w:color="auto"/>
        <w:left w:val="none" w:sz="0" w:space="0" w:color="auto"/>
        <w:bottom w:val="none" w:sz="0" w:space="0" w:color="auto"/>
        <w:right w:val="none" w:sz="0" w:space="0" w:color="auto"/>
      </w:divBdr>
    </w:div>
    <w:div w:id="219827632">
      <w:bodyDiv w:val="1"/>
      <w:marLeft w:val="0"/>
      <w:marRight w:val="0"/>
      <w:marTop w:val="0"/>
      <w:marBottom w:val="0"/>
      <w:divBdr>
        <w:top w:val="none" w:sz="0" w:space="0" w:color="auto"/>
        <w:left w:val="none" w:sz="0" w:space="0" w:color="auto"/>
        <w:bottom w:val="none" w:sz="0" w:space="0" w:color="auto"/>
        <w:right w:val="none" w:sz="0" w:space="0" w:color="auto"/>
      </w:divBdr>
    </w:div>
    <w:div w:id="280231985">
      <w:bodyDiv w:val="1"/>
      <w:marLeft w:val="0"/>
      <w:marRight w:val="0"/>
      <w:marTop w:val="0"/>
      <w:marBottom w:val="0"/>
      <w:divBdr>
        <w:top w:val="none" w:sz="0" w:space="0" w:color="auto"/>
        <w:left w:val="none" w:sz="0" w:space="0" w:color="auto"/>
        <w:bottom w:val="none" w:sz="0" w:space="0" w:color="auto"/>
        <w:right w:val="none" w:sz="0" w:space="0" w:color="auto"/>
      </w:divBdr>
    </w:div>
    <w:div w:id="494415442">
      <w:bodyDiv w:val="1"/>
      <w:marLeft w:val="0"/>
      <w:marRight w:val="0"/>
      <w:marTop w:val="0"/>
      <w:marBottom w:val="0"/>
      <w:divBdr>
        <w:top w:val="none" w:sz="0" w:space="0" w:color="auto"/>
        <w:left w:val="none" w:sz="0" w:space="0" w:color="auto"/>
        <w:bottom w:val="none" w:sz="0" w:space="0" w:color="auto"/>
        <w:right w:val="none" w:sz="0" w:space="0" w:color="auto"/>
      </w:divBdr>
    </w:div>
    <w:div w:id="573512056">
      <w:bodyDiv w:val="1"/>
      <w:marLeft w:val="0"/>
      <w:marRight w:val="0"/>
      <w:marTop w:val="0"/>
      <w:marBottom w:val="0"/>
      <w:divBdr>
        <w:top w:val="none" w:sz="0" w:space="0" w:color="auto"/>
        <w:left w:val="none" w:sz="0" w:space="0" w:color="auto"/>
        <w:bottom w:val="none" w:sz="0" w:space="0" w:color="auto"/>
        <w:right w:val="none" w:sz="0" w:space="0" w:color="auto"/>
      </w:divBdr>
    </w:div>
    <w:div w:id="818379764">
      <w:bodyDiv w:val="1"/>
      <w:marLeft w:val="0"/>
      <w:marRight w:val="0"/>
      <w:marTop w:val="0"/>
      <w:marBottom w:val="0"/>
      <w:divBdr>
        <w:top w:val="none" w:sz="0" w:space="0" w:color="auto"/>
        <w:left w:val="none" w:sz="0" w:space="0" w:color="auto"/>
        <w:bottom w:val="none" w:sz="0" w:space="0" w:color="auto"/>
        <w:right w:val="none" w:sz="0" w:space="0" w:color="auto"/>
      </w:divBdr>
    </w:div>
    <w:div w:id="984823806">
      <w:bodyDiv w:val="1"/>
      <w:marLeft w:val="0"/>
      <w:marRight w:val="0"/>
      <w:marTop w:val="0"/>
      <w:marBottom w:val="0"/>
      <w:divBdr>
        <w:top w:val="none" w:sz="0" w:space="0" w:color="auto"/>
        <w:left w:val="none" w:sz="0" w:space="0" w:color="auto"/>
        <w:bottom w:val="none" w:sz="0" w:space="0" w:color="auto"/>
        <w:right w:val="none" w:sz="0" w:space="0" w:color="auto"/>
      </w:divBdr>
    </w:div>
    <w:div w:id="995378994">
      <w:bodyDiv w:val="1"/>
      <w:marLeft w:val="0"/>
      <w:marRight w:val="0"/>
      <w:marTop w:val="0"/>
      <w:marBottom w:val="0"/>
      <w:divBdr>
        <w:top w:val="none" w:sz="0" w:space="0" w:color="auto"/>
        <w:left w:val="none" w:sz="0" w:space="0" w:color="auto"/>
        <w:bottom w:val="none" w:sz="0" w:space="0" w:color="auto"/>
        <w:right w:val="none" w:sz="0" w:space="0" w:color="auto"/>
      </w:divBdr>
    </w:div>
    <w:div w:id="1091706240">
      <w:bodyDiv w:val="1"/>
      <w:marLeft w:val="0"/>
      <w:marRight w:val="0"/>
      <w:marTop w:val="0"/>
      <w:marBottom w:val="0"/>
      <w:divBdr>
        <w:top w:val="none" w:sz="0" w:space="0" w:color="auto"/>
        <w:left w:val="none" w:sz="0" w:space="0" w:color="auto"/>
        <w:bottom w:val="none" w:sz="0" w:space="0" w:color="auto"/>
        <w:right w:val="none" w:sz="0" w:space="0" w:color="auto"/>
      </w:divBdr>
    </w:div>
    <w:div w:id="1106578996">
      <w:bodyDiv w:val="1"/>
      <w:marLeft w:val="0"/>
      <w:marRight w:val="0"/>
      <w:marTop w:val="0"/>
      <w:marBottom w:val="0"/>
      <w:divBdr>
        <w:top w:val="none" w:sz="0" w:space="0" w:color="auto"/>
        <w:left w:val="none" w:sz="0" w:space="0" w:color="auto"/>
        <w:bottom w:val="none" w:sz="0" w:space="0" w:color="auto"/>
        <w:right w:val="none" w:sz="0" w:space="0" w:color="auto"/>
      </w:divBdr>
    </w:div>
    <w:div w:id="1281302353">
      <w:bodyDiv w:val="1"/>
      <w:marLeft w:val="0"/>
      <w:marRight w:val="0"/>
      <w:marTop w:val="0"/>
      <w:marBottom w:val="0"/>
      <w:divBdr>
        <w:top w:val="none" w:sz="0" w:space="0" w:color="auto"/>
        <w:left w:val="none" w:sz="0" w:space="0" w:color="auto"/>
        <w:bottom w:val="none" w:sz="0" w:space="0" w:color="auto"/>
        <w:right w:val="none" w:sz="0" w:space="0" w:color="auto"/>
      </w:divBdr>
    </w:div>
    <w:div w:id="1412313967">
      <w:bodyDiv w:val="1"/>
      <w:marLeft w:val="0"/>
      <w:marRight w:val="0"/>
      <w:marTop w:val="0"/>
      <w:marBottom w:val="0"/>
      <w:divBdr>
        <w:top w:val="none" w:sz="0" w:space="0" w:color="auto"/>
        <w:left w:val="none" w:sz="0" w:space="0" w:color="auto"/>
        <w:bottom w:val="none" w:sz="0" w:space="0" w:color="auto"/>
        <w:right w:val="none" w:sz="0" w:space="0" w:color="auto"/>
      </w:divBdr>
    </w:div>
    <w:div w:id="1806658407">
      <w:bodyDiv w:val="1"/>
      <w:marLeft w:val="0"/>
      <w:marRight w:val="0"/>
      <w:marTop w:val="0"/>
      <w:marBottom w:val="0"/>
      <w:divBdr>
        <w:top w:val="none" w:sz="0" w:space="0" w:color="auto"/>
        <w:left w:val="none" w:sz="0" w:space="0" w:color="auto"/>
        <w:bottom w:val="none" w:sz="0" w:space="0" w:color="auto"/>
        <w:right w:val="none" w:sz="0" w:space="0" w:color="auto"/>
      </w:divBdr>
    </w:div>
    <w:div w:id="1847017714">
      <w:bodyDiv w:val="1"/>
      <w:marLeft w:val="0"/>
      <w:marRight w:val="0"/>
      <w:marTop w:val="0"/>
      <w:marBottom w:val="0"/>
      <w:divBdr>
        <w:top w:val="none" w:sz="0" w:space="0" w:color="auto"/>
        <w:left w:val="none" w:sz="0" w:space="0" w:color="auto"/>
        <w:bottom w:val="none" w:sz="0" w:space="0" w:color="auto"/>
        <w:right w:val="none" w:sz="0" w:space="0" w:color="auto"/>
      </w:divBdr>
    </w:div>
    <w:div w:id="1940479214">
      <w:bodyDiv w:val="1"/>
      <w:marLeft w:val="0"/>
      <w:marRight w:val="0"/>
      <w:marTop w:val="0"/>
      <w:marBottom w:val="0"/>
      <w:divBdr>
        <w:top w:val="none" w:sz="0" w:space="0" w:color="auto"/>
        <w:left w:val="none" w:sz="0" w:space="0" w:color="auto"/>
        <w:bottom w:val="none" w:sz="0" w:space="0" w:color="auto"/>
        <w:right w:val="none" w:sz="0" w:space="0" w:color="auto"/>
      </w:divBdr>
      <w:divsChild>
        <w:div w:id="1628197749">
          <w:marLeft w:val="360"/>
          <w:marRight w:val="0"/>
          <w:marTop w:val="240"/>
          <w:marBottom w:val="240"/>
          <w:divBdr>
            <w:top w:val="none" w:sz="0" w:space="0" w:color="auto"/>
            <w:left w:val="none" w:sz="0" w:space="0" w:color="auto"/>
            <w:bottom w:val="none" w:sz="0" w:space="0" w:color="auto"/>
            <w:right w:val="none" w:sz="0" w:space="0" w:color="auto"/>
          </w:divBdr>
        </w:div>
        <w:div w:id="1229607448">
          <w:marLeft w:val="360"/>
          <w:marRight w:val="0"/>
          <w:marTop w:val="240"/>
          <w:marBottom w:val="240"/>
          <w:divBdr>
            <w:top w:val="none" w:sz="0" w:space="0" w:color="auto"/>
            <w:left w:val="none" w:sz="0" w:space="0" w:color="auto"/>
            <w:bottom w:val="none" w:sz="0" w:space="0" w:color="auto"/>
            <w:right w:val="none" w:sz="0" w:space="0" w:color="auto"/>
          </w:divBdr>
        </w:div>
        <w:div w:id="1250233874">
          <w:marLeft w:val="360"/>
          <w:marRight w:val="0"/>
          <w:marTop w:val="240"/>
          <w:marBottom w:val="240"/>
          <w:divBdr>
            <w:top w:val="none" w:sz="0" w:space="0" w:color="auto"/>
            <w:left w:val="none" w:sz="0" w:space="0" w:color="auto"/>
            <w:bottom w:val="none" w:sz="0" w:space="0" w:color="auto"/>
            <w:right w:val="none" w:sz="0" w:space="0" w:color="auto"/>
          </w:divBdr>
        </w:div>
        <w:div w:id="1121534115">
          <w:marLeft w:val="360"/>
          <w:marRight w:val="0"/>
          <w:marTop w:val="240"/>
          <w:marBottom w:val="240"/>
          <w:divBdr>
            <w:top w:val="none" w:sz="0" w:space="0" w:color="auto"/>
            <w:left w:val="none" w:sz="0" w:space="0" w:color="auto"/>
            <w:bottom w:val="none" w:sz="0" w:space="0" w:color="auto"/>
            <w:right w:val="none" w:sz="0" w:space="0" w:color="auto"/>
          </w:divBdr>
        </w:div>
        <w:div w:id="1675690217">
          <w:marLeft w:val="360"/>
          <w:marRight w:val="0"/>
          <w:marTop w:val="240"/>
          <w:marBottom w:val="240"/>
          <w:divBdr>
            <w:top w:val="none" w:sz="0" w:space="0" w:color="auto"/>
            <w:left w:val="none" w:sz="0" w:space="0" w:color="auto"/>
            <w:bottom w:val="none" w:sz="0" w:space="0" w:color="auto"/>
            <w:right w:val="none" w:sz="0" w:space="0" w:color="auto"/>
          </w:divBdr>
        </w:div>
      </w:divsChild>
    </w:div>
    <w:div w:id="19628791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1.png"/><Relationship Id="rId21" Type="http://schemas.openxmlformats.org/officeDocument/2006/relationships/footer" Target="footer7.xml"/><Relationship Id="rId42" Type="http://schemas.openxmlformats.org/officeDocument/2006/relationships/header" Target="header4.xml"/><Relationship Id="rId63" Type="http://schemas.openxmlformats.org/officeDocument/2006/relationships/image" Target="media/image2.png"/><Relationship Id="rId84" Type="http://schemas.openxmlformats.org/officeDocument/2006/relationships/image" Target="media/image7.emf"/><Relationship Id="rId138" Type="http://schemas.openxmlformats.org/officeDocument/2006/relationships/image" Target="media/image52.png"/><Relationship Id="rId159" Type="http://schemas.openxmlformats.org/officeDocument/2006/relationships/header" Target="header27.xml"/><Relationship Id="rId170" Type="http://schemas.openxmlformats.org/officeDocument/2006/relationships/footer" Target="footer31.xml"/><Relationship Id="rId191" Type="http://schemas.openxmlformats.org/officeDocument/2006/relationships/header" Target="header41.xml"/><Relationship Id="rId205" Type="http://schemas.openxmlformats.org/officeDocument/2006/relationships/footer" Target="footer48.xml"/><Relationship Id="rId226" Type="http://schemas.openxmlformats.org/officeDocument/2006/relationships/footer" Target="footer58.xml"/><Relationship Id="rId247" Type="http://schemas.openxmlformats.org/officeDocument/2006/relationships/header" Target="header69.xml"/><Relationship Id="rId107" Type="http://schemas.openxmlformats.org/officeDocument/2006/relationships/image" Target="media/image24.jpeg"/><Relationship Id="rId268" Type="http://schemas.openxmlformats.org/officeDocument/2006/relationships/hyperlink" Target="http://www.astm.org/index.shtml" TargetMode="External"/><Relationship Id="rId289" Type="http://schemas.openxmlformats.org/officeDocument/2006/relationships/footer" Target="footer78.xml"/><Relationship Id="rId11" Type="http://schemas.openxmlformats.org/officeDocument/2006/relationships/footer" Target="footer1.xml"/><Relationship Id="rId32" Type="http://schemas.openxmlformats.org/officeDocument/2006/relationships/hyperlink" Target="file:///C:/Users/patea/Documents/2022%20TMG%20Final%20Report_11.21.2022.docx" TargetMode="External"/><Relationship Id="rId53" Type="http://schemas.openxmlformats.org/officeDocument/2006/relationships/diagramLayout" Target="diagrams/layout1.xml"/><Relationship Id="rId74" Type="http://schemas.openxmlformats.org/officeDocument/2006/relationships/header" Target="header18.xml"/><Relationship Id="rId128" Type="http://schemas.openxmlformats.org/officeDocument/2006/relationships/image" Target="media/image42.jpeg"/><Relationship Id="rId149" Type="http://schemas.openxmlformats.org/officeDocument/2006/relationships/chart" Target="charts/chart5.xml"/><Relationship Id="rId5" Type="http://schemas.openxmlformats.org/officeDocument/2006/relationships/numbering" Target="numbering.xml"/><Relationship Id="rId95" Type="http://schemas.openxmlformats.org/officeDocument/2006/relationships/image" Target="media/image18.emf"/><Relationship Id="rId160" Type="http://schemas.openxmlformats.org/officeDocument/2006/relationships/footer" Target="footer26.xml"/><Relationship Id="rId181" Type="http://schemas.openxmlformats.org/officeDocument/2006/relationships/header" Target="header38.xml"/><Relationship Id="rId216" Type="http://schemas.openxmlformats.org/officeDocument/2006/relationships/footer" Target="footer53.xml"/><Relationship Id="rId237" Type="http://schemas.openxmlformats.org/officeDocument/2006/relationships/footer" Target="footer63.xml"/><Relationship Id="rId258" Type="http://schemas.openxmlformats.org/officeDocument/2006/relationships/hyperlink" Target="https://www.fhwa.dot.gov/policyinformation/knowledgecenter/vmt_training/" TargetMode="External"/><Relationship Id="rId279" Type="http://schemas.openxmlformats.org/officeDocument/2006/relationships/hyperlink" Target="http://www.fhwa.dot.gov/pavement/ltpp/" TargetMode="External"/><Relationship Id="rId22" Type="http://schemas.openxmlformats.org/officeDocument/2006/relationships/hyperlink" Target="file:///C:/Users/patea/Documents/2022%20TMG%20Final%20Report_11.21.2022.docx" TargetMode="External"/><Relationship Id="rId43" Type="http://schemas.openxmlformats.org/officeDocument/2006/relationships/header" Target="header5.xml"/><Relationship Id="rId64" Type="http://schemas.openxmlformats.org/officeDocument/2006/relationships/image" Target="media/image3.png"/><Relationship Id="rId118" Type="http://schemas.openxmlformats.org/officeDocument/2006/relationships/image" Target="media/image32.png"/><Relationship Id="rId139" Type="http://schemas.openxmlformats.org/officeDocument/2006/relationships/image" Target="media/image53.png"/><Relationship Id="rId290" Type="http://schemas.openxmlformats.org/officeDocument/2006/relationships/footer" Target="footer79.xml"/><Relationship Id="rId85" Type="http://schemas.openxmlformats.org/officeDocument/2006/relationships/image" Target="media/image8.emf"/><Relationship Id="rId150" Type="http://schemas.openxmlformats.org/officeDocument/2006/relationships/chart" Target="charts/chart6.xml"/><Relationship Id="rId171" Type="http://schemas.openxmlformats.org/officeDocument/2006/relationships/footer" Target="footer32.xml"/><Relationship Id="rId192" Type="http://schemas.openxmlformats.org/officeDocument/2006/relationships/header" Target="header42.xml"/><Relationship Id="rId206" Type="http://schemas.openxmlformats.org/officeDocument/2006/relationships/header" Target="header48.xml"/><Relationship Id="rId227" Type="http://schemas.openxmlformats.org/officeDocument/2006/relationships/header" Target="header59.xml"/><Relationship Id="rId248" Type="http://schemas.openxmlformats.org/officeDocument/2006/relationships/header" Target="header70.xml"/><Relationship Id="rId269" Type="http://schemas.openxmlformats.org/officeDocument/2006/relationships/hyperlink" Target="http://www.sfcta.org/cycletracks" TargetMode="External"/><Relationship Id="rId12" Type="http://schemas.openxmlformats.org/officeDocument/2006/relationships/footer" Target="footer2.xml"/><Relationship Id="rId33" Type="http://schemas.openxmlformats.org/officeDocument/2006/relationships/hyperlink" Target="file:///C:/Users/patea/Documents/2022%20TMG%20Final%20Report_11.21.2022.docx" TargetMode="External"/><Relationship Id="rId108" Type="http://schemas.openxmlformats.org/officeDocument/2006/relationships/chart" Target="charts/chart2.xml"/><Relationship Id="rId129" Type="http://schemas.openxmlformats.org/officeDocument/2006/relationships/image" Target="media/image43.jpeg"/><Relationship Id="rId280" Type="http://schemas.openxmlformats.org/officeDocument/2006/relationships/hyperlink" Target="mailto:ltppinfo@dot.gov" TargetMode="External"/><Relationship Id="rId54" Type="http://schemas.openxmlformats.org/officeDocument/2006/relationships/diagramQuickStyle" Target="diagrams/quickStyle1.xml"/><Relationship Id="rId75" Type="http://schemas.openxmlformats.org/officeDocument/2006/relationships/header" Target="header19.xml"/><Relationship Id="rId96" Type="http://schemas.openxmlformats.org/officeDocument/2006/relationships/image" Target="media/image19.png"/><Relationship Id="rId140" Type="http://schemas.openxmlformats.org/officeDocument/2006/relationships/image" Target="media/image54.png"/><Relationship Id="rId161" Type="http://schemas.openxmlformats.org/officeDocument/2006/relationships/footer" Target="footer27.xml"/><Relationship Id="rId182" Type="http://schemas.openxmlformats.org/officeDocument/2006/relationships/footer" Target="footer37.xml"/><Relationship Id="rId217" Type="http://schemas.openxmlformats.org/officeDocument/2006/relationships/header" Target="header54.xml"/><Relationship Id="rId6" Type="http://schemas.openxmlformats.org/officeDocument/2006/relationships/styles" Target="styles.xml"/><Relationship Id="rId238" Type="http://schemas.openxmlformats.org/officeDocument/2006/relationships/footer" Target="footer64.xml"/><Relationship Id="rId259" Type="http://schemas.openxmlformats.org/officeDocument/2006/relationships/header" Target="header75.xml"/><Relationship Id="rId23" Type="http://schemas.openxmlformats.org/officeDocument/2006/relationships/hyperlink" Target="file:///C:/Users/patea/Documents/2022%20TMG%20Final%20Report_11.21.2022.docx" TargetMode="External"/><Relationship Id="rId119" Type="http://schemas.openxmlformats.org/officeDocument/2006/relationships/image" Target="media/image33.png"/><Relationship Id="rId270" Type="http://schemas.openxmlformats.org/officeDocument/2006/relationships/hyperlink" Target="http://knowledge.fhwa.dot.gov/cops/hcx.nsf/home?openform&amp;Group=Highway%20Performance%20Monitoring%20System%20(HPMS)" TargetMode="External"/><Relationship Id="rId291" Type="http://schemas.openxmlformats.org/officeDocument/2006/relationships/footer" Target="footer80.xml"/><Relationship Id="rId44" Type="http://schemas.openxmlformats.org/officeDocument/2006/relationships/header" Target="header6.xml"/><Relationship Id="rId65" Type="http://schemas.openxmlformats.org/officeDocument/2006/relationships/image" Target="media/image4.png"/><Relationship Id="rId86" Type="http://schemas.openxmlformats.org/officeDocument/2006/relationships/image" Target="media/image9.emf"/><Relationship Id="rId130" Type="http://schemas.openxmlformats.org/officeDocument/2006/relationships/image" Target="media/image44.png"/><Relationship Id="rId151" Type="http://schemas.openxmlformats.org/officeDocument/2006/relationships/hyperlink" Target="http://en.wikipedia.org/wiki/Office_of_Management_and_Budget" TargetMode="External"/><Relationship Id="rId172" Type="http://schemas.openxmlformats.org/officeDocument/2006/relationships/header" Target="header33.xml"/><Relationship Id="rId193" Type="http://schemas.openxmlformats.org/officeDocument/2006/relationships/footer" Target="footer41.xml"/><Relationship Id="rId207" Type="http://schemas.openxmlformats.org/officeDocument/2006/relationships/header" Target="header49.xml"/><Relationship Id="rId228" Type="http://schemas.openxmlformats.org/officeDocument/2006/relationships/header" Target="header60.xml"/><Relationship Id="rId249" Type="http://schemas.openxmlformats.org/officeDocument/2006/relationships/footer" Target="footer69.xml"/><Relationship Id="rId13" Type="http://schemas.openxmlformats.org/officeDocument/2006/relationships/footer" Target="footer3.xml"/><Relationship Id="rId109" Type="http://schemas.openxmlformats.org/officeDocument/2006/relationships/hyperlink" Target="https://www.fhwa.dot.gov/policyinformation/knowledgecenter" TargetMode="External"/><Relationship Id="rId260" Type="http://schemas.openxmlformats.org/officeDocument/2006/relationships/header" Target="header76.xml"/><Relationship Id="rId281" Type="http://schemas.openxmlformats.org/officeDocument/2006/relationships/hyperlink" Target="http://bikepeddocumentation.org/downloads/" TargetMode="External"/><Relationship Id="rId34" Type="http://schemas.openxmlformats.org/officeDocument/2006/relationships/hyperlink" Target="file:///C:/Users/patea/Documents/2022%20TMG%20Final%20Report_11.21.2022.docx" TargetMode="External"/><Relationship Id="rId50" Type="http://schemas.openxmlformats.org/officeDocument/2006/relationships/footer" Target="footer9.xml"/><Relationship Id="rId55" Type="http://schemas.openxmlformats.org/officeDocument/2006/relationships/diagramColors" Target="diagrams/colors1.xml"/><Relationship Id="rId76" Type="http://schemas.openxmlformats.org/officeDocument/2006/relationships/footer" Target="footer17.xml"/><Relationship Id="rId97" Type="http://schemas.openxmlformats.org/officeDocument/2006/relationships/image" Target="media/image20.emf"/><Relationship Id="rId104" Type="http://schemas.openxmlformats.org/officeDocument/2006/relationships/footer" Target="footer22.xml"/><Relationship Id="rId120" Type="http://schemas.openxmlformats.org/officeDocument/2006/relationships/image" Target="media/image34.png"/><Relationship Id="rId125" Type="http://schemas.openxmlformats.org/officeDocument/2006/relationships/image" Target="media/image39.png"/><Relationship Id="rId141" Type="http://schemas.openxmlformats.org/officeDocument/2006/relationships/image" Target="media/image55.png"/><Relationship Id="rId146" Type="http://schemas.openxmlformats.org/officeDocument/2006/relationships/image" Target="media/image60.png"/><Relationship Id="rId167" Type="http://schemas.openxmlformats.org/officeDocument/2006/relationships/footer" Target="footer30.xml"/><Relationship Id="rId188" Type="http://schemas.openxmlformats.org/officeDocument/2006/relationships/image" Target="media/image62.jpeg"/><Relationship Id="rId7" Type="http://schemas.openxmlformats.org/officeDocument/2006/relationships/settings" Target="settings.xml"/><Relationship Id="rId71" Type="http://schemas.openxmlformats.org/officeDocument/2006/relationships/header" Target="header17.xml"/><Relationship Id="rId92" Type="http://schemas.openxmlformats.org/officeDocument/2006/relationships/image" Target="media/image15.png"/><Relationship Id="rId162" Type="http://schemas.openxmlformats.org/officeDocument/2006/relationships/header" Target="header28.xml"/><Relationship Id="rId183" Type="http://schemas.openxmlformats.org/officeDocument/2006/relationships/footer" Target="footer38.xml"/><Relationship Id="rId213" Type="http://schemas.openxmlformats.org/officeDocument/2006/relationships/footer" Target="footer52.xml"/><Relationship Id="rId218" Type="http://schemas.openxmlformats.org/officeDocument/2006/relationships/header" Target="header55.xml"/><Relationship Id="rId234" Type="http://schemas.openxmlformats.org/officeDocument/2006/relationships/footer" Target="footer62.xml"/><Relationship Id="rId239" Type="http://schemas.openxmlformats.org/officeDocument/2006/relationships/header" Target="header65.xml"/><Relationship Id="rId2" Type="http://schemas.openxmlformats.org/officeDocument/2006/relationships/customXml" Target="../customXml/item2.xml"/><Relationship Id="rId29" Type="http://schemas.openxmlformats.org/officeDocument/2006/relationships/hyperlink" Target="file:///C:/Users/patea/Documents/2022%20TMG%20Final%20Report_11.21.2022.docx" TargetMode="External"/><Relationship Id="rId250" Type="http://schemas.openxmlformats.org/officeDocument/2006/relationships/footer" Target="footer70.xml"/><Relationship Id="rId255" Type="http://schemas.openxmlformats.org/officeDocument/2006/relationships/header" Target="header73.xml"/><Relationship Id="rId271" Type="http://schemas.openxmlformats.org/officeDocument/2006/relationships/hyperlink" Target="http://www.fhwa.dot.gov/field.html" TargetMode="External"/><Relationship Id="rId276" Type="http://schemas.openxmlformats.org/officeDocument/2006/relationships/hyperlink" Target="https://www.fhwa.dot.gov/policyinformation/knowledgecenter/wim_guide/" TargetMode="External"/><Relationship Id="rId292" Type="http://schemas.openxmlformats.org/officeDocument/2006/relationships/footer" Target="footer81.xml"/><Relationship Id="rId24" Type="http://schemas.openxmlformats.org/officeDocument/2006/relationships/hyperlink" Target="file:///C:/Users/patea/Documents/2022%20TMG%20Final%20Report_11.21.2022.docx" TargetMode="External"/><Relationship Id="rId40" Type="http://schemas.openxmlformats.org/officeDocument/2006/relationships/hyperlink" Target="file:///C:/Users/patea/Documents/2022%20TMG%20Final%20Report_11.21.2022.docx" TargetMode="External"/><Relationship Id="rId45" Type="http://schemas.openxmlformats.org/officeDocument/2006/relationships/header" Target="header7.xml"/><Relationship Id="rId66" Type="http://schemas.openxmlformats.org/officeDocument/2006/relationships/image" Target="media/image40.png"/><Relationship Id="rId87" Type="http://schemas.openxmlformats.org/officeDocument/2006/relationships/image" Target="media/image10.png"/><Relationship Id="rId110" Type="http://schemas.openxmlformats.org/officeDocument/2006/relationships/image" Target="media/image25.wmf"/><Relationship Id="rId115" Type="http://schemas.openxmlformats.org/officeDocument/2006/relationships/image" Target="media/image29.png"/><Relationship Id="rId131" Type="http://schemas.openxmlformats.org/officeDocument/2006/relationships/image" Target="media/image45.jpeg"/><Relationship Id="rId136" Type="http://schemas.openxmlformats.org/officeDocument/2006/relationships/image" Target="media/image50.png"/><Relationship Id="rId157" Type="http://schemas.openxmlformats.org/officeDocument/2006/relationships/image" Target="media/image61.jpeg"/><Relationship Id="rId178" Type="http://schemas.openxmlformats.org/officeDocument/2006/relationships/footer" Target="footer35.xml"/><Relationship Id="rId61" Type="http://schemas.openxmlformats.org/officeDocument/2006/relationships/header" Target="header13.xml"/><Relationship Id="rId82" Type="http://schemas.openxmlformats.org/officeDocument/2006/relationships/image" Target="media/image5.emf"/><Relationship Id="rId152" Type="http://schemas.openxmlformats.org/officeDocument/2006/relationships/header" Target="header24.xml"/><Relationship Id="rId173" Type="http://schemas.openxmlformats.org/officeDocument/2006/relationships/header" Target="header34.xml"/><Relationship Id="rId194" Type="http://schemas.openxmlformats.org/officeDocument/2006/relationships/footer" Target="footer42.xml"/><Relationship Id="rId199" Type="http://schemas.openxmlformats.org/officeDocument/2006/relationships/header" Target="header45.xml"/><Relationship Id="rId203" Type="http://schemas.openxmlformats.org/officeDocument/2006/relationships/header" Target="header47.xml"/><Relationship Id="rId208" Type="http://schemas.openxmlformats.org/officeDocument/2006/relationships/footer" Target="footer49.xml"/><Relationship Id="rId229" Type="http://schemas.openxmlformats.org/officeDocument/2006/relationships/footer" Target="footer59.xml"/><Relationship Id="rId19" Type="http://schemas.openxmlformats.org/officeDocument/2006/relationships/footer" Target="footer5.xml"/><Relationship Id="rId224" Type="http://schemas.openxmlformats.org/officeDocument/2006/relationships/footer" Target="footer57.xml"/><Relationship Id="rId240" Type="http://schemas.openxmlformats.org/officeDocument/2006/relationships/header" Target="header66.xml"/><Relationship Id="rId245" Type="http://schemas.openxmlformats.org/officeDocument/2006/relationships/footer" Target="footer67.xml"/><Relationship Id="rId261" Type="http://schemas.openxmlformats.org/officeDocument/2006/relationships/footer" Target="footer74.xml"/><Relationship Id="rId266" Type="http://schemas.openxmlformats.org/officeDocument/2006/relationships/header" Target="header79.xml"/><Relationship Id="rId287" Type="http://schemas.openxmlformats.org/officeDocument/2006/relationships/header" Target="header80.xml"/><Relationship Id="rId14" Type="http://schemas.openxmlformats.org/officeDocument/2006/relationships/image" Target="media/image1.jpeg"/><Relationship Id="rId30" Type="http://schemas.openxmlformats.org/officeDocument/2006/relationships/hyperlink" Target="file:///C:/Users/patea/Documents/2022%20TMG%20Final%20Report_11.21.2022.docx" TargetMode="External"/><Relationship Id="rId35" Type="http://schemas.openxmlformats.org/officeDocument/2006/relationships/hyperlink" Target="file:///C:/Users/patea/Documents/2022%20TMG%20Final%20Report_11.21.2022.docx" TargetMode="External"/><Relationship Id="rId56" Type="http://schemas.microsoft.com/office/2007/relationships/diagramDrawing" Target="diagrams/drawing1.xml"/><Relationship Id="rId77" Type="http://schemas.openxmlformats.org/officeDocument/2006/relationships/footer" Target="footer18.xml"/><Relationship Id="rId100" Type="http://schemas.openxmlformats.org/officeDocument/2006/relationships/image" Target="media/image23.emf"/><Relationship Id="rId105" Type="http://schemas.openxmlformats.org/officeDocument/2006/relationships/footer" Target="footer23.xml"/><Relationship Id="rId126" Type="http://schemas.openxmlformats.org/officeDocument/2006/relationships/image" Target="media/image40.jpeg"/><Relationship Id="rId147" Type="http://schemas.openxmlformats.org/officeDocument/2006/relationships/chart" Target="charts/chart3.xml"/><Relationship Id="rId168" Type="http://schemas.openxmlformats.org/officeDocument/2006/relationships/header" Target="header31.xml"/><Relationship Id="rId282" Type="http://schemas.openxmlformats.org/officeDocument/2006/relationships/hyperlink" Target="http://bikepeddocumentation.org/" TargetMode="External"/><Relationship Id="rId8" Type="http://schemas.openxmlformats.org/officeDocument/2006/relationships/webSettings" Target="webSettings.xml"/><Relationship Id="rId51" Type="http://schemas.openxmlformats.org/officeDocument/2006/relationships/footer" Target="footer10.xml"/><Relationship Id="rId72" Type="http://schemas.openxmlformats.org/officeDocument/2006/relationships/footer" Target="footer15.xml"/><Relationship Id="rId93" Type="http://schemas.openxmlformats.org/officeDocument/2006/relationships/image" Target="media/image16.png"/><Relationship Id="rId98" Type="http://schemas.openxmlformats.org/officeDocument/2006/relationships/image" Target="media/image21.jpeg"/><Relationship Id="rId121" Type="http://schemas.openxmlformats.org/officeDocument/2006/relationships/image" Target="media/image35.png"/><Relationship Id="rId142" Type="http://schemas.openxmlformats.org/officeDocument/2006/relationships/image" Target="media/image56.png"/><Relationship Id="rId163" Type="http://schemas.openxmlformats.org/officeDocument/2006/relationships/footer" Target="footer28.xml"/><Relationship Id="rId184" Type="http://schemas.openxmlformats.org/officeDocument/2006/relationships/header" Target="header39.xml"/><Relationship Id="rId189" Type="http://schemas.openxmlformats.org/officeDocument/2006/relationships/image" Target="media/image63.jpeg"/><Relationship Id="rId219" Type="http://schemas.openxmlformats.org/officeDocument/2006/relationships/footer" Target="footer54.xml"/><Relationship Id="rId3" Type="http://schemas.openxmlformats.org/officeDocument/2006/relationships/customXml" Target="../customXml/item3.xml"/><Relationship Id="rId214" Type="http://schemas.openxmlformats.org/officeDocument/2006/relationships/header" Target="header52.xml"/><Relationship Id="rId230" Type="http://schemas.openxmlformats.org/officeDocument/2006/relationships/footer" Target="footer60.xml"/><Relationship Id="rId235" Type="http://schemas.openxmlformats.org/officeDocument/2006/relationships/header" Target="header63.xml"/><Relationship Id="rId251" Type="http://schemas.openxmlformats.org/officeDocument/2006/relationships/header" Target="header71.xml"/><Relationship Id="rId256" Type="http://schemas.openxmlformats.org/officeDocument/2006/relationships/header" Target="header74.xml"/><Relationship Id="rId277" Type="http://schemas.openxmlformats.org/officeDocument/2006/relationships/hyperlink" Target="https://www.fhwa.dot.gov/policyinformation/hpms/fieldmanual/" TargetMode="External"/><Relationship Id="rId25" Type="http://schemas.openxmlformats.org/officeDocument/2006/relationships/hyperlink" Target="file:///C:/Users/patea/Documents/2022%20TMG%20Final%20Report_11.21.2022.docx" TargetMode="External"/><Relationship Id="rId46" Type="http://schemas.openxmlformats.org/officeDocument/2006/relationships/header" Target="header8.xml"/><Relationship Id="rId67" Type="http://schemas.openxmlformats.org/officeDocument/2006/relationships/header" Target="header14.xml"/><Relationship Id="rId116" Type="http://schemas.openxmlformats.org/officeDocument/2006/relationships/image" Target="media/image30.png"/><Relationship Id="rId137" Type="http://schemas.openxmlformats.org/officeDocument/2006/relationships/image" Target="media/image51.png"/><Relationship Id="rId158" Type="http://schemas.openxmlformats.org/officeDocument/2006/relationships/header" Target="header26.xml"/><Relationship Id="rId272" Type="http://schemas.openxmlformats.org/officeDocument/2006/relationships/hyperlink" Target="http://knowledge.fhwa.dot.gov/cops/hcx.nsf/home?openform&amp;Group=Travel%20Monitoring" TargetMode="External"/><Relationship Id="rId293" Type="http://schemas.openxmlformats.org/officeDocument/2006/relationships/fontTable" Target="fontTable.xml"/><Relationship Id="rId20" Type="http://schemas.openxmlformats.org/officeDocument/2006/relationships/footer" Target="footer6.xml"/><Relationship Id="rId41" Type="http://schemas.openxmlformats.org/officeDocument/2006/relationships/header" Target="header3.xml"/><Relationship Id="rId62" Type="http://schemas.openxmlformats.org/officeDocument/2006/relationships/footer" Target="footer13.xml"/><Relationship Id="rId83" Type="http://schemas.openxmlformats.org/officeDocument/2006/relationships/image" Target="media/image6.emf"/><Relationship Id="rId88" Type="http://schemas.openxmlformats.org/officeDocument/2006/relationships/image" Target="media/image11.png"/><Relationship Id="rId111" Type="http://schemas.openxmlformats.org/officeDocument/2006/relationships/image" Target="media/image26.png"/><Relationship Id="rId132" Type="http://schemas.openxmlformats.org/officeDocument/2006/relationships/image" Target="media/image46.png"/><Relationship Id="rId153" Type="http://schemas.openxmlformats.org/officeDocument/2006/relationships/header" Target="header25.xml"/><Relationship Id="rId174" Type="http://schemas.openxmlformats.org/officeDocument/2006/relationships/footer" Target="footer33.xml"/><Relationship Id="rId179" Type="http://schemas.openxmlformats.org/officeDocument/2006/relationships/footer" Target="footer36.xml"/><Relationship Id="rId195" Type="http://schemas.openxmlformats.org/officeDocument/2006/relationships/header" Target="header43.xml"/><Relationship Id="rId209" Type="http://schemas.openxmlformats.org/officeDocument/2006/relationships/footer" Target="footer50.xml"/><Relationship Id="rId190" Type="http://schemas.openxmlformats.org/officeDocument/2006/relationships/image" Target="media/image64.jpeg"/><Relationship Id="rId204" Type="http://schemas.openxmlformats.org/officeDocument/2006/relationships/footer" Target="footer47.xml"/><Relationship Id="rId220" Type="http://schemas.openxmlformats.org/officeDocument/2006/relationships/footer" Target="footer55.xml"/><Relationship Id="rId225" Type="http://schemas.openxmlformats.org/officeDocument/2006/relationships/header" Target="header58.xml"/><Relationship Id="rId241" Type="http://schemas.openxmlformats.org/officeDocument/2006/relationships/footer" Target="footer65.xml"/><Relationship Id="rId246" Type="http://schemas.openxmlformats.org/officeDocument/2006/relationships/footer" Target="footer68.xml"/><Relationship Id="rId267" Type="http://schemas.openxmlformats.org/officeDocument/2006/relationships/footer" Target="footer77.xml"/><Relationship Id="rId288" Type="http://schemas.openxmlformats.org/officeDocument/2006/relationships/header" Target="header81.xml"/><Relationship Id="rId15" Type="http://schemas.openxmlformats.org/officeDocument/2006/relationships/footer" Target="footer4.xml"/><Relationship Id="rId36" Type="http://schemas.openxmlformats.org/officeDocument/2006/relationships/hyperlink" Target="file:///C:/Users/patea/Documents/2022%20TMG%20Final%20Report_11.21.2022.docx" TargetMode="External"/><Relationship Id="rId57" Type="http://schemas.openxmlformats.org/officeDocument/2006/relationships/header" Target="header11.xml"/><Relationship Id="rId106" Type="http://schemas.openxmlformats.org/officeDocument/2006/relationships/chart" Target="charts/chart1.xml"/><Relationship Id="rId127" Type="http://schemas.openxmlformats.org/officeDocument/2006/relationships/image" Target="media/image41.png"/><Relationship Id="rId262" Type="http://schemas.openxmlformats.org/officeDocument/2006/relationships/footer" Target="footer75.xml"/><Relationship Id="rId283" Type="http://schemas.openxmlformats.org/officeDocument/2006/relationships/hyperlink" Target="https://www.dot.ny.gov/about-nysdot/history/past-present" TargetMode="External"/><Relationship Id="rId10" Type="http://schemas.openxmlformats.org/officeDocument/2006/relationships/endnotes" Target="endnotes.xml"/><Relationship Id="rId31" Type="http://schemas.openxmlformats.org/officeDocument/2006/relationships/hyperlink" Target="file:///C:/Users/patea/Documents/2022%20TMG%20Final%20Report_11.21.2022.docx" TargetMode="External"/><Relationship Id="rId52" Type="http://schemas.openxmlformats.org/officeDocument/2006/relationships/diagramData" Target="diagrams/data1.xml"/><Relationship Id="rId73" Type="http://schemas.openxmlformats.org/officeDocument/2006/relationships/footer" Target="footer16.xml"/><Relationship Id="rId78" Type="http://schemas.openxmlformats.org/officeDocument/2006/relationships/header" Target="header20.xml"/><Relationship Id="rId94" Type="http://schemas.openxmlformats.org/officeDocument/2006/relationships/image" Target="media/image17.jpeg"/><Relationship Id="rId99" Type="http://schemas.openxmlformats.org/officeDocument/2006/relationships/image" Target="media/image22.jpeg"/><Relationship Id="rId101" Type="http://schemas.openxmlformats.org/officeDocument/2006/relationships/header" Target="header22.xml"/><Relationship Id="rId122" Type="http://schemas.openxmlformats.org/officeDocument/2006/relationships/image" Target="media/image36.png"/><Relationship Id="rId143" Type="http://schemas.openxmlformats.org/officeDocument/2006/relationships/image" Target="media/image57.png"/><Relationship Id="rId148" Type="http://schemas.openxmlformats.org/officeDocument/2006/relationships/chart" Target="charts/chart4.xml"/><Relationship Id="rId164" Type="http://schemas.openxmlformats.org/officeDocument/2006/relationships/header" Target="header29.xml"/><Relationship Id="rId169" Type="http://schemas.openxmlformats.org/officeDocument/2006/relationships/header" Target="header32.xml"/><Relationship Id="rId185" Type="http://schemas.openxmlformats.org/officeDocument/2006/relationships/header" Target="header40.xm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eader" Target="header37.xml"/><Relationship Id="rId210" Type="http://schemas.openxmlformats.org/officeDocument/2006/relationships/header" Target="header50.xml"/><Relationship Id="rId215" Type="http://schemas.openxmlformats.org/officeDocument/2006/relationships/header" Target="header53.xml"/><Relationship Id="rId236" Type="http://schemas.openxmlformats.org/officeDocument/2006/relationships/header" Target="header64.xml"/><Relationship Id="rId257" Type="http://schemas.openxmlformats.org/officeDocument/2006/relationships/footer" Target="footer73.xml"/><Relationship Id="rId278" Type="http://schemas.openxmlformats.org/officeDocument/2006/relationships/hyperlink" Target="https://www.fhwa.dot.gov/policyinformation/hpms/fieldmanual/page20.cfm" TargetMode="External"/><Relationship Id="rId26" Type="http://schemas.openxmlformats.org/officeDocument/2006/relationships/hyperlink" Target="file:///C:/Users/patea/Documents/2022%20TMG%20Final%20Report_11.21.2022.docx" TargetMode="External"/><Relationship Id="rId231" Type="http://schemas.openxmlformats.org/officeDocument/2006/relationships/header" Target="header61.xml"/><Relationship Id="rId252" Type="http://schemas.openxmlformats.org/officeDocument/2006/relationships/header" Target="header72.xml"/><Relationship Id="rId273" Type="http://schemas.openxmlformats.org/officeDocument/2006/relationships/hyperlink" Target="https://www.fhwa.dot.gov/policyinformation/pubs/pl18027_traffic_data_pocket_guide.pdf" TargetMode="External"/><Relationship Id="rId294" Type="http://schemas.openxmlformats.org/officeDocument/2006/relationships/theme" Target="theme/theme1.xml"/><Relationship Id="rId47" Type="http://schemas.openxmlformats.org/officeDocument/2006/relationships/header" Target="header9.xml"/><Relationship Id="rId68" Type="http://schemas.openxmlformats.org/officeDocument/2006/relationships/header" Target="header15.xml"/><Relationship Id="rId89" Type="http://schemas.openxmlformats.org/officeDocument/2006/relationships/image" Target="media/image12.png"/><Relationship Id="rId112" Type="http://schemas.openxmlformats.org/officeDocument/2006/relationships/image" Target="cid:57FF1A51F3E74FECA93D7B581CCF1C82" TargetMode="External"/><Relationship Id="rId133" Type="http://schemas.openxmlformats.org/officeDocument/2006/relationships/image" Target="media/image47.jpeg"/><Relationship Id="rId154" Type="http://schemas.openxmlformats.org/officeDocument/2006/relationships/footer" Target="footer24.xml"/><Relationship Id="rId175" Type="http://schemas.openxmlformats.org/officeDocument/2006/relationships/footer" Target="footer34.xml"/><Relationship Id="rId196" Type="http://schemas.openxmlformats.org/officeDocument/2006/relationships/footer" Target="footer43.xml"/><Relationship Id="rId200" Type="http://schemas.openxmlformats.org/officeDocument/2006/relationships/footer" Target="footer45.xml"/><Relationship Id="rId16" Type="http://schemas.openxmlformats.org/officeDocument/2006/relationships/hyperlink" Target="file:///C:/Users/patea/Documents/2022%20TMG%20Final%20Report_11.21.2022.docx" TargetMode="External"/><Relationship Id="rId221" Type="http://schemas.openxmlformats.org/officeDocument/2006/relationships/header" Target="header56.xml"/><Relationship Id="rId242" Type="http://schemas.openxmlformats.org/officeDocument/2006/relationships/footer" Target="footer66.xml"/><Relationship Id="rId263" Type="http://schemas.openxmlformats.org/officeDocument/2006/relationships/header" Target="header77.xml"/><Relationship Id="rId284" Type="http://schemas.openxmlformats.org/officeDocument/2006/relationships/hyperlink" Target="http://www.fhwa.dot.gov/ohim/statepractices.cfm" TargetMode="External"/><Relationship Id="rId37" Type="http://schemas.openxmlformats.org/officeDocument/2006/relationships/hyperlink" Target="file:///C:/Users/patea/Documents/2022%20TMG%20Final%20Report_11.21.2022.docx" TargetMode="External"/><Relationship Id="rId58" Type="http://schemas.openxmlformats.org/officeDocument/2006/relationships/header" Target="header12.xml"/><Relationship Id="rId79" Type="http://schemas.openxmlformats.org/officeDocument/2006/relationships/header" Target="header21.xml"/><Relationship Id="rId102" Type="http://schemas.openxmlformats.org/officeDocument/2006/relationships/header" Target="header23.xml"/><Relationship Id="rId123" Type="http://schemas.openxmlformats.org/officeDocument/2006/relationships/image" Target="media/image37.png"/><Relationship Id="rId144" Type="http://schemas.openxmlformats.org/officeDocument/2006/relationships/image" Target="media/image58.png"/><Relationship Id="rId90" Type="http://schemas.openxmlformats.org/officeDocument/2006/relationships/image" Target="media/image13.png"/><Relationship Id="rId165" Type="http://schemas.openxmlformats.org/officeDocument/2006/relationships/header" Target="header30.xml"/><Relationship Id="rId186" Type="http://schemas.openxmlformats.org/officeDocument/2006/relationships/footer" Target="footer39.xml"/><Relationship Id="rId211" Type="http://schemas.openxmlformats.org/officeDocument/2006/relationships/header" Target="header51.xml"/><Relationship Id="rId232" Type="http://schemas.openxmlformats.org/officeDocument/2006/relationships/header" Target="header62.xml"/><Relationship Id="rId253" Type="http://schemas.openxmlformats.org/officeDocument/2006/relationships/footer" Target="footer71.xml"/><Relationship Id="rId274" Type="http://schemas.openxmlformats.org/officeDocument/2006/relationships/hyperlink" Target="http://www.fhwa.dot.gov/publications/research/operations/ITS/06108" TargetMode="External"/><Relationship Id="rId27" Type="http://schemas.openxmlformats.org/officeDocument/2006/relationships/hyperlink" Target="file:///C:/Users/patea/Documents/2022%20TMG%20Final%20Report_11.21.2022.docx" TargetMode="External"/><Relationship Id="rId48" Type="http://schemas.openxmlformats.org/officeDocument/2006/relationships/header" Target="header10.xml"/><Relationship Id="rId69" Type="http://schemas.openxmlformats.org/officeDocument/2006/relationships/footer" Target="footer14.xml"/><Relationship Id="rId113" Type="http://schemas.openxmlformats.org/officeDocument/2006/relationships/image" Target="media/image27.png"/><Relationship Id="rId134" Type="http://schemas.openxmlformats.org/officeDocument/2006/relationships/image" Target="media/image48.png"/><Relationship Id="rId80" Type="http://schemas.openxmlformats.org/officeDocument/2006/relationships/footer" Target="footer19.xml"/><Relationship Id="rId155" Type="http://schemas.openxmlformats.org/officeDocument/2006/relationships/footer" Target="footer25.xml"/><Relationship Id="rId176" Type="http://schemas.openxmlformats.org/officeDocument/2006/relationships/header" Target="header35.xml"/><Relationship Id="rId197" Type="http://schemas.openxmlformats.org/officeDocument/2006/relationships/footer" Target="footer44.xml"/><Relationship Id="rId201" Type="http://schemas.openxmlformats.org/officeDocument/2006/relationships/footer" Target="footer46.xml"/><Relationship Id="rId222" Type="http://schemas.openxmlformats.org/officeDocument/2006/relationships/header" Target="header57.xml"/><Relationship Id="rId243" Type="http://schemas.openxmlformats.org/officeDocument/2006/relationships/header" Target="header67.xml"/><Relationship Id="rId264" Type="http://schemas.openxmlformats.org/officeDocument/2006/relationships/footer" Target="footer76.xml"/><Relationship Id="rId285" Type="http://schemas.openxmlformats.org/officeDocument/2006/relationships/hyperlink" Target="http://www.fhwa.dot.gov/policyinformation/travel_monitoring/tvt.cfm" TargetMode="External"/><Relationship Id="rId17" Type="http://schemas.openxmlformats.org/officeDocument/2006/relationships/header" Target="header1.xml"/><Relationship Id="rId38" Type="http://schemas.openxmlformats.org/officeDocument/2006/relationships/hyperlink" Target="file:///C:/Users/patea/Documents/2022%20TMG%20Final%20Report_11.21.2022.docx" TargetMode="External"/><Relationship Id="rId59" Type="http://schemas.openxmlformats.org/officeDocument/2006/relationships/footer" Target="footer11.xml"/><Relationship Id="rId103" Type="http://schemas.openxmlformats.org/officeDocument/2006/relationships/footer" Target="footer21.xml"/><Relationship Id="rId124" Type="http://schemas.openxmlformats.org/officeDocument/2006/relationships/image" Target="media/image38.png"/><Relationship Id="rId70" Type="http://schemas.openxmlformats.org/officeDocument/2006/relationships/header" Target="header16.xml"/><Relationship Id="rId91" Type="http://schemas.openxmlformats.org/officeDocument/2006/relationships/image" Target="media/image14.png"/><Relationship Id="rId145" Type="http://schemas.openxmlformats.org/officeDocument/2006/relationships/image" Target="media/image59.png"/><Relationship Id="rId166" Type="http://schemas.openxmlformats.org/officeDocument/2006/relationships/footer" Target="footer29.xml"/><Relationship Id="rId187" Type="http://schemas.openxmlformats.org/officeDocument/2006/relationships/footer" Target="footer40.xml"/><Relationship Id="rId1" Type="http://schemas.openxmlformats.org/officeDocument/2006/relationships/customXml" Target="../customXml/item1.xml"/><Relationship Id="rId212" Type="http://schemas.openxmlformats.org/officeDocument/2006/relationships/footer" Target="footer51.xml"/><Relationship Id="rId233" Type="http://schemas.openxmlformats.org/officeDocument/2006/relationships/footer" Target="footer61.xml"/><Relationship Id="rId254" Type="http://schemas.openxmlformats.org/officeDocument/2006/relationships/footer" Target="footer72.xml"/><Relationship Id="rId28" Type="http://schemas.openxmlformats.org/officeDocument/2006/relationships/hyperlink" Target="file:///C:/Users/patea/Documents/2022%20TMG%20Final%20Report_11.21.2022.docx" TargetMode="External"/><Relationship Id="rId49" Type="http://schemas.openxmlformats.org/officeDocument/2006/relationships/footer" Target="footer8.xml"/><Relationship Id="rId114" Type="http://schemas.openxmlformats.org/officeDocument/2006/relationships/image" Target="media/image28.png"/><Relationship Id="rId275" Type="http://schemas.openxmlformats.org/officeDocument/2006/relationships/hyperlink" Target="http://www.fhwa.dot.gov/policyinformation/hpms/faqs.cfm" TargetMode="External"/><Relationship Id="rId60" Type="http://schemas.openxmlformats.org/officeDocument/2006/relationships/footer" Target="footer12.xml"/><Relationship Id="rId81" Type="http://schemas.openxmlformats.org/officeDocument/2006/relationships/footer" Target="footer20.xml"/><Relationship Id="rId135" Type="http://schemas.openxmlformats.org/officeDocument/2006/relationships/image" Target="media/image49.png"/><Relationship Id="rId156" Type="http://schemas.openxmlformats.org/officeDocument/2006/relationships/hyperlink" Target="https://www.fhwa.dot.gov/policyinformation/" TargetMode="External"/><Relationship Id="rId177" Type="http://schemas.openxmlformats.org/officeDocument/2006/relationships/header" Target="header36.xml"/><Relationship Id="rId198" Type="http://schemas.openxmlformats.org/officeDocument/2006/relationships/header" Target="header44.xml"/><Relationship Id="rId202" Type="http://schemas.openxmlformats.org/officeDocument/2006/relationships/header" Target="header46.xml"/><Relationship Id="rId223" Type="http://schemas.openxmlformats.org/officeDocument/2006/relationships/footer" Target="footer56.xml"/><Relationship Id="rId244" Type="http://schemas.openxmlformats.org/officeDocument/2006/relationships/header" Target="header68.xml"/><Relationship Id="rId18" Type="http://schemas.openxmlformats.org/officeDocument/2006/relationships/header" Target="header2.xml"/><Relationship Id="rId39" Type="http://schemas.openxmlformats.org/officeDocument/2006/relationships/hyperlink" Target="file:///C:/Users/patea/Documents/2022%20TMG%20Final%20Report_11.21.2022.docx" TargetMode="External"/><Relationship Id="rId265" Type="http://schemas.openxmlformats.org/officeDocument/2006/relationships/header" Target="header78.xml"/><Relationship Id="rId286" Type="http://schemas.openxmlformats.org/officeDocument/2006/relationships/hyperlink" Target="http://www.oregon.gov/ODOT/MCT/docs/weight_limits.pdf"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Owner\AppData\Local\Microsoft\Windows\INetCache\Content.Outlook\RQ6I7VW6\MT%20Site%2073%20Axle%20and%20Seasonal%20Factors%202019.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2" Type="http://schemas.openxmlformats.org/officeDocument/2006/relationships/oleObject" Target="Book1" TargetMode="External"/><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3" Type="http://schemas.openxmlformats.org/officeDocument/2006/relationships/oleObject" Target="file:///D:\FHWA%20OHPI\TOPR%20TMG\TASK%202\Chapter%2003\FL%20March%20%202020%20Cls1%20Site%20570318%20Report%20all%20Hours%20of%20the%20day%20and%20DOW.xlsx" TargetMode="External"/><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oleObject" Target="file:///D:\FHWA%20OHPI\TOPR%20TMG\TASK%202\Chapter%2003\DOW_Factors_by_HPMS_Class_FL%202020%20Cls3%20Site%20120184%20Report%20all%20months.xlsx" TargetMode="External"/><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oleObject" Target="file:///D:\FHWA%20OHPI\TOPR%20TMG\TASK%202\Chapter%2003\FL%202020%20Cls3%20Site%20169941%20(FC%201R)%20Report%20all%20months.xlsx" TargetMode="External"/><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a:t>Montana Site 000073 - 2019 MOY Factors by DOW</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10445656809411373"/>
          <c:y val="0.13646063281824872"/>
          <c:w val="0.87132502591733496"/>
          <c:h val="0.5816632192499116"/>
        </c:manualLayout>
      </c:layout>
      <c:lineChart>
        <c:grouping val="standard"/>
        <c:varyColors val="0"/>
        <c:ser>
          <c:idx val="0"/>
          <c:order val="0"/>
          <c:tx>
            <c:strRef>
              <c:f>'Site 000073 MOY Factors by DOW'!$D$2</c:f>
              <c:strCache>
                <c:ptCount val="1"/>
                <c:pt idx="0">
                  <c:v>Sunday</c:v>
                </c:pt>
              </c:strCache>
            </c:strRef>
          </c:tx>
          <c:spPr>
            <a:ln w="28575" cap="rnd">
              <a:solidFill>
                <a:schemeClr val="accent1"/>
              </a:solidFill>
              <a:prstDash val="dash"/>
              <a:round/>
            </a:ln>
            <a:effectLst/>
          </c:spPr>
          <c:marker>
            <c:symbol val="circle"/>
            <c:size val="5"/>
            <c:spPr>
              <a:solidFill>
                <a:schemeClr val="accent1"/>
              </a:solidFill>
              <a:ln w="9525">
                <a:solidFill>
                  <a:schemeClr val="tx1"/>
                </a:solidFill>
              </a:ln>
              <a:effectLst/>
            </c:spPr>
          </c:marker>
          <c:cat>
            <c:strRef>
              <c:f>'Site 000073 MOY Factors by DOW'!$C$3:$C$14</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'Site 000073 MOY Factors by DOW'!$D$3:$D$14</c:f>
              <c:numCache>
                <c:formatCode>General</c:formatCode>
                <c:ptCount val="12"/>
                <c:pt idx="0">
                  <c:v>1.9159999999999999</c:v>
                </c:pt>
                <c:pt idx="1">
                  <c:v>1.819</c:v>
                </c:pt>
                <c:pt idx="2">
                  <c:v>1.72</c:v>
                </c:pt>
                <c:pt idx="3">
                  <c:v>1.841</c:v>
                </c:pt>
                <c:pt idx="4">
                  <c:v>1.109</c:v>
                </c:pt>
                <c:pt idx="5">
                  <c:v>0.85799999999999998</c:v>
                </c:pt>
                <c:pt idx="6">
                  <c:v>0.59599999999999997</c:v>
                </c:pt>
                <c:pt idx="7">
                  <c:v>0.623</c:v>
                </c:pt>
                <c:pt idx="8">
                  <c:v>0.85299999999999998</c:v>
                </c:pt>
                <c:pt idx="9">
                  <c:v>1.3029999999999999</c:v>
                </c:pt>
                <c:pt idx="10">
                  <c:v>1.718</c:v>
                </c:pt>
                <c:pt idx="11">
                  <c:v>1.6839999999999999</c:v>
                </c:pt>
              </c:numCache>
            </c:numRef>
          </c:val>
          <c:smooth val="0"/>
          <c:extLst>
            <c:ext xmlns:c16="http://schemas.microsoft.com/office/drawing/2014/chart" uri="{C3380CC4-5D6E-409C-BE32-E72D297353CC}">
              <c16:uniqueId val="{00000000-F6C4-4917-9E9D-51918CA06E9F}"/>
            </c:ext>
          </c:extLst>
        </c:ser>
        <c:ser>
          <c:idx val="1"/>
          <c:order val="1"/>
          <c:tx>
            <c:strRef>
              <c:f>'Site 000073 MOY Factors by DOW'!$E$2</c:f>
              <c:strCache>
                <c:ptCount val="1"/>
                <c:pt idx="0">
                  <c:v>Monday</c:v>
                </c:pt>
              </c:strCache>
            </c:strRef>
          </c:tx>
          <c:spPr>
            <a:ln w="28575" cap="rnd">
              <a:solidFill>
                <a:schemeClr val="accent2"/>
              </a:solidFill>
              <a:round/>
            </a:ln>
            <a:effectLst/>
          </c:spPr>
          <c:marker>
            <c:symbol val="triangle"/>
            <c:size val="5"/>
            <c:spPr>
              <a:solidFill>
                <a:schemeClr val="bg1"/>
              </a:solidFill>
              <a:ln w="9525">
                <a:solidFill>
                  <a:schemeClr val="accent2"/>
                </a:solidFill>
              </a:ln>
              <a:effectLst/>
            </c:spPr>
          </c:marker>
          <c:cat>
            <c:strRef>
              <c:f>'Site 000073 MOY Factors by DOW'!$C$3:$C$14</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'Site 000073 MOY Factors by DOW'!$E$3:$E$14</c:f>
              <c:numCache>
                <c:formatCode>General</c:formatCode>
                <c:ptCount val="12"/>
                <c:pt idx="0">
                  <c:v>1.4650000000000001</c:v>
                </c:pt>
                <c:pt idx="1">
                  <c:v>1.3979999999999999</c:v>
                </c:pt>
                <c:pt idx="2">
                  <c:v>1.411</c:v>
                </c:pt>
                <c:pt idx="3">
                  <c:v>1.3919999999999999</c:v>
                </c:pt>
                <c:pt idx="4">
                  <c:v>1.056</c:v>
                </c:pt>
                <c:pt idx="5">
                  <c:v>0.83399999999999996</c:v>
                </c:pt>
                <c:pt idx="6">
                  <c:v>0.62</c:v>
                </c:pt>
                <c:pt idx="7">
                  <c:v>0.66900000000000004</c:v>
                </c:pt>
                <c:pt idx="8">
                  <c:v>0.83099999999999996</c:v>
                </c:pt>
                <c:pt idx="9">
                  <c:v>1.103</c:v>
                </c:pt>
                <c:pt idx="10">
                  <c:v>1.2669999999999999</c:v>
                </c:pt>
                <c:pt idx="11">
                  <c:v>1.258</c:v>
                </c:pt>
              </c:numCache>
            </c:numRef>
          </c:val>
          <c:smooth val="0"/>
          <c:extLst>
            <c:ext xmlns:c16="http://schemas.microsoft.com/office/drawing/2014/chart" uri="{C3380CC4-5D6E-409C-BE32-E72D297353CC}">
              <c16:uniqueId val="{00000001-F6C4-4917-9E9D-51918CA06E9F}"/>
            </c:ext>
          </c:extLst>
        </c:ser>
        <c:ser>
          <c:idx val="2"/>
          <c:order val="2"/>
          <c:tx>
            <c:strRef>
              <c:f>'Site 000073 MOY Factors by DOW'!$F$2</c:f>
              <c:strCache>
                <c:ptCount val="1"/>
                <c:pt idx="0">
                  <c:v>Tuesday</c:v>
                </c:pt>
              </c:strCache>
            </c:strRef>
          </c:tx>
          <c:spPr>
            <a:ln w="28575" cap="rnd">
              <a:solidFill>
                <a:schemeClr val="bg1">
                  <a:lumMod val="50000"/>
                </a:schemeClr>
              </a:solidFill>
              <a:round/>
            </a:ln>
            <a:effectLst/>
          </c:spPr>
          <c:marker>
            <c:symbol val="circle"/>
            <c:size val="5"/>
            <c:spPr>
              <a:solidFill>
                <a:schemeClr val="accent3"/>
              </a:solidFill>
              <a:ln w="9525">
                <a:solidFill>
                  <a:schemeClr val="tx1"/>
                </a:solidFill>
              </a:ln>
              <a:effectLst/>
            </c:spPr>
          </c:marker>
          <c:cat>
            <c:strRef>
              <c:f>'Site 000073 MOY Factors by DOW'!$C$3:$C$14</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'Site 000073 MOY Factors by DOW'!$F$3:$F$14</c:f>
              <c:numCache>
                <c:formatCode>General</c:formatCode>
                <c:ptCount val="12"/>
                <c:pt idx="0">
                  <c:v>1.506</c:v>
                </c:pt>
                <c:pt idx="1">
                  <c:v>1.387</c:v>
                </c:pt>
                <c:pt idx="2">
                  <c:v>1.39</c:v>
                </c:pt>
                <c:pt idx="3">
                  <c:v>1.2929999999999999</c:v>
                </c:pt>
                <c:pt idx="4">
                  <c:v>1.0680000000000001</c:v>
                </c:pt>
                <c:pt idx="5">
                  <c:v>0.82599999999999996</c:v>
                </c:pt>
                <c:pt idx="6">
                  <c:v>0.65100000000000002</c:v>
                </c:pt>
                <c:pt idx="7">
                  <c:v>0.66200000000000003</c:v>
                </c:pt>
                <c:pt idx="8">
                  <c:v>0.81599999999999995</c:v>
                </c:pt>
                <c:pt idx="9">
                  <c:v>1.077</c:v>
                </c:pt>
                <c:pt idx="10">
                  <c:v>1.222</c:v>
                </c:pt>
                <c:pt idx="11">
                  <c:v>1.2949999999999999</c:v>
                </c:pt>
              </c:numCache>
            </c:numRef>
          </c:val>
          <c:smooth val="0"/>
          <c:extLst>
            <c:ext xmlns:c16="http://schemas.microsoft.com/office/drawing/2014/chart" uri="{C3380CC4-5D6E-409C-BE32-E72D297353CC}">
              <c16:uniqueId val="{00000002-F6C4-4917-9E9D-51918CA06E9F}"/>
            </c:ext>
          </c:extLst>
        </c:ser>
        <c:ser>
          <c:idx val="3"/>
          <c:order val="3"/>
          <c:tx>
            <c:strRef>
              <c:f>'Site 000073 MOY Factors by DOW'!$G$2</c:f>
              <c:strCache>
                <c:ptCount val="1"/>
                <c:pt idx="0">
                  <c:v>Wednesday</c:v>
                </c:pt>
              </c:strCache>
            </c:strRef>
          </c:tx>
          <c:spPr>
            <a:ln w="28575" cap="rnd">
              <a:solidFill>
                <a:schemeClr val="accent4"/>
              </a:solidFill>
              <a:round/>
            </a:ln>
            <a:effectLst/>
          </c:spPr>
          <c:marker>
            <c:symbol val="plus"/>
            <c:size val="5"/>
            <c:spPr>
              <a:solidFill>
                <a:schemeClr val="accent4"/>
              </a:solidFill>
              <a:ln w="9525">
                <a:solidFill>
                  <a:schemeClr val="tx1"/>
                </a:solidFill>
              </a:ln>
              <a:effectLst/>
            </c:spPr>
          </c:marker>
          <c:cat>
            <c:strRef>
              <c:f>'Site 000073 MOY Factors by DOW'!$C$3:$C$14</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'Site 000073 MOY Factors by DOW'!$G$3:$G$14</c:f>
              <c:numCache>
                <c:formatCode>General</c:formatCode>
                <c:ptCount val="12"/>
                <c:pt idx="0">
                  <c:v>1.512</c:v>
                </c:pt>
                <c:pt idx="1">
                  <c:v>1.4039999999999999</c:v>
                </c:pt>
                <c:pt idx="2">
                  <c:v>1.3520000000000001</c:v>
                </c:pt>
                <c:pt idx="3">
                  <c:v>1.4239999999999999</c:v>
                </c:pt>
                <c:pt idx="4">
                  <c:v>1.07</c:v>
                </c:pt>
                <c:pt idx="5">
                  <c:v>0.84099999999999997</c:v>
                </c:pt>
                <c:pt idx="6">
                  <c:v>0.63300000000000001</c:v>
                </c:pt>
                <c:pt idx="7">
                  <c:v>0.65200000000000002</c:v>
                </c:pt>
                <c:pt idx="8">
                  <c:v>0.80800000000000005</c:v>
                </c:pt>
                <c:pt idx="9">
                  <c:v>1.0429999999999999</c:v>
                </c:pt>
                <c:pt idx="10">
                  <c:v>1.282</c:v>
                </c:pt>
                <c:pt idx="11">
                  <c:v>1.2050000000000001</c:v>
                </c:pt>
              </c:numCache>
            </c:numRef>
          </c:val>
          <c:smooth val="0"/>
          <c:extLst>
            <c:ext xmlns:c16="http://schemas.microsoft.com/office/drawing/2014/chart" uri="{C3380CC4-5D6E-409C-BE32-E72D297353CC}">
              <c16:uniqueId val="{00000003-F6C4-4917-9E9D-51918CA06E9F}"/>
            </c:ext>
          </c:extLst>
        </c:ser>
        <c:ser>
          <c:idx val="4"/>
          <c:order val="4"/>
          <c:tx>
            <c:strRef>
              <c:f>'Site 000073 MOY Factors by DOW'!$H$2</c:f>
              <c:strCache>
                <c:ptCount val="1"/>
                <c:pt idx="0">
                  <c:v>Thursday</c:v>
                </c:pt>
              </c:strCache>
            </c:strRef>
          </c:tx>
          <c:spPr>
            <a:ln w="28575" cap="rnd">
              <a:solidFill>
                <a:schemeClr val="accent5"/>
              </a:solidFill>
              <a:round/>
            </a:ln>
            <a:effectLst/>
          </c:spPr>
          <c:marker>
            <c:symbol val="square"/>
            <c:size val="5"/>
            <c:spPr>
              <a:solidFill>
                <a:schemeClr val="accent5"/>
              </a:solidFill>
              <a:ln w="9525">
                <a:solidFill>
                  <a:schemeClr val="tx1"/>
                </a:solidFill>
              </a:ln>
              <a:effectLst/>
            </c:spPr>
          </c:marker>
          <c:cat>
            <c:strRef>
              <c:f>'Site 000073 MOY Factors by DOW'!$C$3:$C$14</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'Site 000073 MOY Factors by DOW'!$H$3:$H$14</c:f>
              <c:numCache>
                <c:formatCode>General</c:formatCode>
                <c:ptCount val="12"/>
                <c:pt idx="0">
                  <c:v>1.349</c:v>
                </c:pt>
                <c:pt idx="1">
                  <c:v>1.258</c:v>
                </c:pt>
                <c:pt idx="2">
                  <c:v>1.2889999999999999</c:v>
                </c:pt>
                <c:pt idx="3">
                  <c:v>1.3280000000000001</c:v>
                </c:pt>
                <c:pt idx="4">
                  <c:v>0.98499999999999999</c:v>
                </c:pt>
                <c:pt idx="5">
                  <c:v>0.77400000000000002</c:v>
                </c:pt>
                <c:pt idx="6">
                  <c:v>0.59399999999999997</c:v>
                </c:pt>
                <c:pt idx="7">
                  <c:v>0.63100000000000001</c:v>
                </c:pt>
                <c:pt idx="8">
                  <c:v>0.76200000000000001</c:v>
                </c:pt>
                <c:pt idx="9">
                  <c:v>0.94699999999999995</c:v>
                </c:pt>
                <c:pt idx="10">
                  <c:v>1.327</c:v>
                </c:pt>
                <c:pt idx="11">
                  <c:v>1.2250000000000001</c:v>
                </c:pt>
              </c:numCache>
            </c:numRef>
          </c:val>
          <c:smooth val="0"/>
          <c:extLst>
            <c:ext xmlns:c16="http://schemas.microsoft.com/office/drawing/2014/chart" uri="{C3380CC4-5D6E-409C-BE32-E72D297353CC}">
              <c16:uniqueId val="{00000004-F6C4-4917-9E9D-51918CA06E9F}"/>
            </c:ext>
          </c:extLst>
        </c:ser>
        <c:ser>
          <c:idx val="5"/>
          <c:order val="5"/>
          <c:tx>
            <c:strRef>
              <c:f>'Site 000073 MOY Factors by DOW'!$I$2</c:f>
              <c:strCache>
                <c:ptCount val="1"/>
                <c:pt idx="0">
                  <c:v>Friday</c:v>
                </c:pt>
              </c:strCache>
            </c:strRef>
          </c:tx>
          <c:spPr>
            <a:ln w="28575" cap="rnd">
              <a:solidFill>
                <a:schemeClr val="accent6"/>
              </a:solidFill>
              <a:round/>
            </a:ln>
            <a:effectLst/>
          </c:spPr>
          <c:marker>
            <c:symbol val="x"/>
            <c:size val="5"/>
            <c:spPr>
              <a:solidFill>
                <a:schemeClr val="accent6"/>
              </a:solidFill>
              <a:ln w="9525">
                <a:solidFill>
                  <a:schemeClr val="tx1"/>
                </a:solidFill>
              </a:ln>
              <a:effectLst/>
            </c:spPr>
          </c:marker>
          <c:cat>
            <c:strRef>
              <c:f>'Site 000073 MOY Factors by DOW'!$C$3:$C$14</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'Site 000073 MOY Factors by DOW'!$I$3:$I$14</c:f>
              <c:numCache>
                <c:formatCode>General</c:formatCode>
                <c:ptCount val="12"/>
                <c:pt idx="0">
                  <c:v>1.282</c:v>
                </c:pt>
                <c:pt idx="1">
                  <c:v>1.17</c:v>
                </c:pt>
                <c:pt idx="2">
                  <c:v>1.2529999999999999</c:v>
                </c:pt>
                <c:pt idx="3">
                  <c:v>1.268</c:v>
                </c:pt>
                <c:pt idx="4">
                  <c:v>0.88800000000000001</c:v>
                </c:pt>
                <c:pt idx="5">
                  <c:v>0.67400000000000004</c:v>
                </c:pt>
                <c:pt idx="6">
                  <c:v>0.52800000000000002</c:v>
                </c:pt>
                <c:pt idx="7">
                  <c:v>0.55800000000000005</c:v>
                </c:pt>
                <c:pt idx="8">
                  <c:v>0.67800000000000005</c:v>
                </c:pt>
                <c:pt idx="9">
                  <c:v>0.89200000000000002</c:v>
                </c:pt>
                <c:pt idx="10">
                  <c:v>1.1990000000000001</c:v>
                </c:pt>
                <c:pt idx="11">
                  <c:v>1.2889999999999999</c:v>
                </c:pt>
              </c:numCache>
            </c:numRef>
          </c:val>
          <c:smooth val="0"/>
          <c:extLst>
            <c:ext xmlns:c16="http://schemas.microsoft.com/office/drawing/2014/chart" uri="{C3380CC4-5D6E-409C-BE32-E72D297353CC}">
              <c16:uniqueId val="{00000005-F6C4-4917-9E9D-51918CA06E9F}"/>
            </c:ext>
          </c:extLst>
        </c:ser>
        <c:ser>
          <c:idx val="6"/>
          <c:order val="6"/>
          <c:tx>
            <c:strRef>
              <c:f>'Site 000073 MOY Factors by DOW'!$J$2</c:f>
              <c:strCache>
                <c:ptCount val="1"/>
                <c:pt idx="0">
                  <c:v>Saturday</c:v>
                </c:pt>
              </c:strCache>
            </c:strRef>
          </c:tx>
          <c:spPr>
            <a:ln w="28575" cap="rnd">
              <a:solidFill>
                <a:schemeClr val="accent1">
                  <a:lumMod val="60000"/>
                </a:schemeClr>
              </a:solidFill>
              <a:round/>
            </a:ln>
            <a:effectLst/>
          </c:spPr>
          <c:marker>
            <c:symbol val="square"/>
            <c:size val="5"/>
            <c:spPr>
              <a:solidFill>
                <a:schemeClr val="bg1"/>
              </a:solidFill>
              <a:ln w="9525">
                <a:solidFill>
                  <a:schemeClr val="accent1">
                    <a:lumMod val="60000"/>
                  </a:schemeClr>
                </a:solidFill>
              </a:ln>
              <a:effectLst/>
            </c:spPr>
          </c:marker>
          <c:cat>
            <c:strRef>
              <c:f>'Site 000073 MOY Factors by DOW'!$C$3:$C$14</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'Site 000073 MOY Factors by DOW'!$J$3:$J$14</c:f>
              <c:numCache>
                <c:formatCode>General</c:formatCode>
                <c:ptCount val="12"/>
                <c:pt idx="0">
                  <c:v>1.669</c:v>
                </c:pt>
                <c:pt idx="1">
                  <c:v>1.452</c:v>
                </c:pt>
                <c:pt idx="2">
                  <c:v>1.744</c:v>
                </c:pt>
                <c:pt idx="3">
                  <c:v>1.6859999999999999</c:v>
                </c:pt>
                <c:pt idx="4">
                  <c:v>0.94299999999999995</c:v>
                </c:pt>
                <c:pt idx="5">
                  <c:v>0.81699999999999995</c:v>
                </c:pt>
                <c:pt idx="6">
                  <c:v>0.58699999999999997</c:v>
                </c:pt>
                <c:pt idx="7">
                  <c:v>0.58599999999999997</c:v>
                </c:pt>
                <c:pt idx="8">
                  <c:v>0.76300000000000001</c:v>
                </c:pt>
                <c:pt idx="9">
                  <c:v>1.1599999999999999</c:v>
                </c:pt>
                <c:pt idx="10">
                  <c:v>1.516</c:v>
                </c:pt>
                <c:pt idx="11">
                  <c:v>1.5660000000000001</c:v>
                </c:pt>
              </c:numCache>
            </c:numRef>
          </c:val>
          <c:smooth val="0"/>
          <c:extLst>
            <c:ext xmlns:c16="http://schemas.microsoft.com/office/drawing/2014/chart" uri="{C3380CC4-5D6E-409C-BE32-E72D297353CC}">
              <c16:uniqueId val="{00000006-F6C4-4917-9E9D-51918CA06E9F}"/>
            </c:ext>
          </c:extLst>
        </c:ser>
        <c:dLbls>
          <c:showLegendKey val="0"/>
          <c:showVal val="0"/>
          <c:showCatName val="0"/>
          <c:showSerName val="0"/>
          <c:showPercent val="0"/>
          <c:showBubbleSize val="0"/>
        </c:dLbls>
        <c:marker val="1"/>
        <c:smooth val="0"/>
        <c:axId val="322086784"/>
        <c:axId val="322087568"/>
      </c:lineChart>
      <c:catAx>
        <c:axId val="322086784"/>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t>Month</a:t>
                </a:r>
              </a:p>
            </c:rich>
          </c:tx>
          <c:layout>
            <c:manualLayout>
              <c:xMode val="edge"/>
              <c:yMode val="edge"/>
              <c:x val="0.50303744231442671"/>
              <c:y val="0.84517970021959177"/>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22087568"/>
        <c:crosses val="autoZero"/>
        <c:auto val="1"/>
        <c:lblAlgn val="ctr"/>
        <c:lblOffset val="100"/>
        <c:noMultiLvlLbl val="0"/>
      </c:catAx>
      <c:valAx>
        <c:axId val="322087568"/>
        <c:scaling>
          <c:orientation val="minMax"/>
        </c:scaling>
        <c:delete val="0"/>
        <c:axPos val="l"/>
        <c:majorGridlines>
          <c:spPr>
            <a:ln w="9525" cap="flat" cmpd="sng" algn="ctr">
              <a:solidFill>
                <a:schemeClr val="tx1"/>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t>Monthly Factors</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22086784"/>
        <c:crosses val="autoZero"/>
        <c:crossBetween val="between"/>
      </c:valAx>
      <c:spPr>
        <a:noFill/>
        <a:ln>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Sheet1!$F$1</c:f>
              <c:strCache>
                <c:ptCount val="1"/>
                <c:pt idx="0">
                  <c:v>t/sqrt(n)</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Sheet1!$B$2:$B$20</c:f>
              <c:numCache>
                <c:formatCode>General</c:formatCode>
                <c:ptCount val="19"/>
                <c:pt idx="0">
                  <c:v>2</c:v>
                </c:pt>
                <c:pt idx="1">
                  <c:v>3</c:v>
                </c:pt>
                <c:pt idx="2">
                  <c:v>4</c:v>
                </c:pt>
                <c:pt idx="3">
                  <c:v>5</c:v>
                </c:pt>
                <c:pt idx="4">
                  <c:v>6</c:v>
                </c:pt>
                <c:pt idx="5">
                  <c:v>7</c:v>
                </c:pt>
                <c:pt idx="6">
                  <c:v>8</c:v>
                </c:pt>
                <c:pt idx="7">
                  <c:v>9</c:v>
                </c:pt>
                <c:pt idx="8">
                  <c:v>10</c:v>
                </c:pt>
                <c:pt idx="9">
                  <c:v>11</c:v>
                </c:pt>
                <c:pt idx="10">
                  <c:v>12</c:v>
                </c:pt>
                <c:pt idx="11">
                  <c:v>13</c:v>
                </c:pt>
                <c:pt idx="12">
                  <c:v>14</c:v>
                </c:pt>
                <c:pt idx="13">
                  <c:v>15</c:v>
                </c:pt>
                <c:pt idx="14">
                  <c:v>16</c:v>
                </c:pt>
                <c:pt idx="15">
                  <c:v>17</c:v>
                </c:pt>
                <c:pt idx="16">
                  <c:v>18</c:v>
                </c:pt>
                <c:pt idx="17">
                  <c:v>19</c:v>
                </c:pt>
                <c:pt idx="18">
                  <c:v>20</c:v>
                </c:pt>
              </c:numCache>
            </c:numRef>
          </c:xVal>
          <c:yVal>
            <c:numRef>
              <c:f>Sheet1!$F$2:$F$20</c:f>
              <c:numCache>
                <c:formatCode>General</c:formatCode>
                <c:ptCount val="19"/>
                <c:pt idx="0">
                  <c:v>8.987327188881018</c:v>
                </c:pt>
                <c:pt idx="1">
                  <c:v>2.4843382083229599</c:v>
                </c:pt>
                <c:pt idx="2">
                  <c:v>1.591</c:v>
                </c:pt>
                <c:pt idx="3">
                  <c:v>1.2414649411078831</c:v>
                </c:pt>
                <c:pt idx="4">
                  <c:v>1.049606354782592</c:v>
                </c:pt>
                <c:pt idx="5">
                  <c:v>0.92487906545357901</c:v>
                </c:pt>
                <c:pt idx="6">
                  <c:v>0.83615376875309244</c:v>
                </c:pt>
                <c:pt idx="7">
                  <c:v>0.76866666666666661</c:v>
                </c:pt>
                <c:pt idx="8">
                  <c:v>0.71530720673008741</c:v>
                </c:pt>
                <c:pt idx="9">
                  <c:v>0.67176727571925743</c:v>
                </c:pt>
                <c:pt idx="10">
                  <c:v>0.63537397124318329</c:v>
                </c:pt>
                <c:pt idx="11">
                  <c:v>0.60434586378738708</c:v>
                </c:pt>
                <c:pt idx="12">
                  <c:v>0.57728428253083675</c:v>
                </c:pt>
                <c:pt idx="13">
                  <c:v>0.55383661850766053</c:v>
                </c:pt>
                <c:pt idx="14">
                  <c:v>0.53274999999999995</c:v>
                </c:pt>
                <c:pt idx="15">
                  <c:v>0.51417552507702591</c:v>
                </c:pt>
                <c:pt idx="16">
                  <c:v>0.49733176943453844</c:v>
                </c:pt>
                <c:pt idx="17">
                  <c:v>0.48200245686205023</c:v>
                </c:pt>
                <c:pt idx="18">
                  <c:v>0.46800902769070596</c:v>
                </c:pt>
              </c:numCache>
            </c:numRef>
          </c:yVal>
          <c:smooth val="1"/>
          <c:extLst>
            <c:ext xmlns:c16="http://schemas.microsoft.com/office/drawing/2014/chart" uri="{C3380CC4-5D6E-409C-BE32-E72D297353CC}">
              <c16:uniqueId val="{00000000-1D01-49FD-9F3E-2C6FF3D48990}"/>
            </c:ext>
          </c:extLst>
        </c:ser>
        <c:dLbls>
          <c:showLegendKey val="0"/>
          <c:showVal val="0"/>
          <c:showCatName val="0"/>
          <c:showSerName val="0"/>
          <c:showPercent val="0"/>
          <c:showBubbleSize val="0"/>
        </c:dLbls>
        <c:axId val="322088352"/>
        <c:axId val="322087960"/>
      </c:scatterChart>
      <c:valAx>
        <c:axId val="322088352"/>
        <c:scaling>
          <c:orientation val="minMax"/>
          <c:max val="2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t>Number of sites</a:t>
                </a:r>
              </a:p>
            </c:rich>
          </c:tx>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22087960"/>
        <c:crosses val="autoZero"/>
        <c:crossBetween val="midCat"/>
        <c:majorUnit val="1"/>
      </c:valAx>
      <c:valAx>
        <c:axId val="3220879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sz="1000" b="0" i="0" u="none" strike="noStrike" baseline="0">
                    <a:effectLst/>
                  </a:rPr>
                  <a:t>t</a:t>
                </a:r>
                <a:r>
                  <a:rPr lang="en-US" sz="1000" b="0" i="0" u="none" strike="noStrike" baseline="-25000">
                    <a:effectLst/>
                  </a:rPr>
                  <a:t>0.025, 𝑛−1</a:t>
                </a:r>
                <a:r>
                  <a:rPr lang="en-US" sz="1000" b="0" i="0" u="none" strike="noStrike" baseline="0">
                    <a:effectLst/>
                  </a:rPr>
                  <a:t>* 1/√𝑛</a:t>
                </a:r>
                <a:endParaRPr lang="en-US"/>
              </a:p>
            </c:rich>
          </c:tx>
          <c:layout>
            <c:manualLayout>
              <c:xMode val="edge"/>
              <c:yMode val="edge"/>
              <c:x val="3.2448377581120944E-2"/>
              <c:y val="0.30388827732241397"/>
            </c:manualLayout>
          </c:layout>
          <c:overlay val="0"/>
          <c:spPr>
            <a:noFill/>
            <a:ln>
              <a:noFill/>
            </a:ln>
            <a:effectLst/>
          </c:sp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22088352"/>
        <c:crosses val="autoZero"/>
        <c:crossBetween val="midCat"/>
      </c:valAx>
      <c:spPr>
        <a:noFill/>
        <a:ln>
          <a:solidFill>
            <a:schemeClr val="tx1"/>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spc="0" baseline="0">
                <a:solidFill>
                  <a:sysClr val="windowText" lastClr="000000"/>
                </a:solidFill>
                <a:latin typeface="+mn-lt"/>
                <a:ea typeface="+mn-ea"/>
                <a:cs typeface="+mn-cs"/>
              </a:defRPr>
            </a:pPr>
            <a:r>
              <a:rPr lang="en-US" sz="1200" b="0" i="0" baseline="0">
                <a:effectLst/>
              </a:rPr>
              <a:t>Hourly Volume Distribution by HPMS Vehicle Classes</a:t>
            </a:r>
            <a:endParaRPr lang="en-US" sz="12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200"/>
            </a:pPr>
            <a:r>
              <a:rPr lang="en-US" sz="1200"/>
              <a:t>Station 570318, SR-8/I-10,@ANTIOCH RD, </a:t>
            </a:r>
            <a:r>
              <a:rPr lang="en-US" sz="1200" b="0" i="0" u="none" strike="noStrike" baseline="0">
                <a:effectLst/>
              </a:rPr>
              <a:t>Okaloosa County</a:t>
            </a:r>
            <a:r>
              <a:rPr lang="en-US" sz="1200"/>
              <a:t>, FL</a:t>
            </a: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9.360094261053907E-2"/>
          <c:y val="0.14982615722652987"/>
          <c:w val="0.7921020088835049"/>
          <c:h val="0.66312943706464178"/>
        </c:manualLayout>
      </c:layout>
      <c:scatterChart>
        <c:scatterStyle val="lineMarker"/>
        <c:varyColors val="0"/>
        <c:ser>
          <c:idx val="1"/>
          <c:order val="0"/>
          <c:tx>
            <c:strRef>
              <c:f>'TOD Factors'!$V$2</c:f>
              <c:strCache>
                <c:ptCount val="1"/>
                <c:pt idx="0">
                  <c:v>Motorcycle</c:v>
                </c:pt>
              </c:strCache>
            </c:strRef>
          </c:tx>
          <c:spPr>
            <a:ln w="28575" cap="rnd">
              <a:solidFill>
                <a:schemeClr val="accent2"/>
              </a:solidFill>
              <a:round/>
            </a:ln>
            <a:effectLst/>
          </c:spPr>
          <c:marker>
            <c:symbol val="triangle"/>
            <c:size val="5"/>
            <c:spPr>
              <a:solidFill>
                <a:schemeClr val="bg1"/>
              </a:solidFill>
              <a:ln w="9525">
                <a:solidFill>
                  <a:schemeClr val="accent2"/>
                </a:solidFill>
              </a:ln>
              <a:effectLst/>
            </c:spPr>
          </c:marker>
          <c:xVal>
            <c:numRef>
              <c:f>'TOD Factors'!$A$3:$A$26</c:f>
              <c:numCache>
                <c:formatCode>General</c:formatCode>
                <c:ptCount val="24"/>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numCache>
            </c:numRef>
          </c:xVal>
          <c:yVal>
            <c:numRef>
              <c:f>'TOD Factors'!$V$3:$V$26</c:f>
              <c:numCache>
                <c:formatCode>0.00</c:formatCode>
                <c:ptCount val="24"/>
                <c:pt idx="0">
                  <c:v>0.83535210091053391</c:v>
                </c:pt>
                <c:pt idx="1">
                  <c:v>0.71597336579079263</c:v>
                </c:pt>
                <c:pt idx="2">
                  <c:v>0.23866348448687352</c:v>
                </c:pt>
                <c:pt idx="3">
                  <c:v>0.23866348448687352</c:v>
                </c:pt>
                <c:pt idx="4">
                  <c:v>0.59665871121718372</c:v>
                </c:pt>
                <c:pt idx="5">
                  <c:v>1.073998496402105</c:v>
                </c:pt>
                <c:pt idx="6">
                  <c:v>4.056795131845842</c:v>
                </c:pt>
                <c:pt idx="7">
                  <c:v>4.8923679060665357</c:v>
                </c:pt>
                <c:pt idx="8">
                  <c:v>4.6533271288971623</c:v>
                </c:pt>
                <c:pt idx="9">
                  <c:v>6.3251106894370652</c:v>
                </c:pt>
                <c:pt idx="10">
                  <c:v>7.9936051159072745</c:v>
                </c:pt>
                <c:pt idx="11">
                  <c:v>6.6844919786096249</c:v>
                </c:pt>
                <c:pt idx="12">
                  <c:v>7.9936051159072745</c:v>
                </c:pt>
                <c:pt idx="13">
                  <c:v>7.2780203784570592</c:v>
                </c:pt>
                <c:pt idx="14">
                  <c:v>7.9936051159072745</c:v>
                </c:pt>
                <c:pt idx="15">
                  <c:v>9.3109869646182499</c:v>
                </c:pt>
                <c:pt idx="16">
                  <c:v>12.048192771084336</c:v>
                </c:pt>
                <c:pt idx="17">
                  <c:v>6.9204152249134951</c:v>
                </c:pt>
                <c:pt idx="18">
                  <c:v>4.1771094402673352</c:v>
                </c:pt>
                <c:pt idx="19">
                  <c:v>2.1477663230240549</c:v>
                </c:pt>
                <c:pt idx="20">
                  <c:v>0.71597336579079263</c:v>
                </c:pt>
                <c:pt idx="21">
                  <c:v>1.4320492624946299</c:v>
                </c:pt>
                <c:pt idx="22">
                  <c:v>1.1933174224343674</c:v>
                </c:pt>
                <c:pt idx="23">
                  <c:v>0.47732696897374705</c:v>
                </c:pt>
              </c:numCache>
            </c:numRef>
          </c:yVal>
          <c:smooth val="0"/>
          <c:extLst>
            <c:ext xmlns:c16="http://schemas.microsoft.com/office/drawing/2014/chart" uri="{C3380CC4-5D6E-409C-BE32-E72D297353CC}">
              <c16:uniqueId val="{00000000-91BD-48E6-80C6-FD95B043D554}"/>
            </c:ext>
          </c:extLst>
        </c:ser>
        <c:ser>
          <c:idx val="2"/>
          <c:order val="1"/>
          <c:tx>
            <c:strRef>
              <c:f>'TOD Factors'!$W$2</c:f>
              <c:strCache>
                <c:ptCount val="1"/>
                <c:pt idx="0">
                  <c:v>Passenger Vehicle</c:v>
                </c:pt>
              </c:strCache>
            </c:strRef>
          </c:tx>
          <c:spPr>
            <a:ln w="28575" cap="rnd">
              <a:solidFill>
                <a:schemeClr val="bg1">
                  <a:lumMod val="50000"/>
                </a:schemeClr>
              </a:solidFill>
              <a:round/>
            </a:ln>
            <a:effectLst/>
          </c:spPr>
          <c:marker>
            <c:symbol val="circle"/>
            <c:size val="5"/>
            <c:spPr>
              <a:solidFill>
                <a:schemeClr val="accent3"/>
              </a:solidFill>
              <a:ln w="9525">
                <a:solidFill>
                  <a:schemeClr val="tx1"/>
                </a:solidFill>
              </a:ln>
              <a:effectLst/>
            </c:spPr>
          </c:marker>
          <c:xVal>
            <c:numRef>
              <c:f>'TOD Factors'!$A$3:$A$26</c:f>
              <c:numCache>
                <c:formatCode>General</c:formatCode>
                <c:ptCount val="24"/>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numCache>
            </c:numRef>
          </c:xVal>
          <c:yVal>
            <c:numRef>
              <c:f>'TOD Factors'!$W$3:$W$26</c:f>
              <c:numCache>
                <c:formatCode>0.00</c:formatCode>
                <c:ptCount val="24"/>
                <c:pt idx="0">
                  <c:v>0.7739339060444238</c:v>
                </c:pt>
                <c:pt idx="1">
                  <c:v>0.58823529411764708</c:v>
                </c:pt>
                <c:pt idx="2">
                  <c:v>0.56277787157408965</c:v>
                </c:pt>
                <c:pt idx="3">
                  <c:v>0.59431831689052661</c:v>
                </c:pt>
                <c:pt idx="4">
                  <c:v>1.0715816545220747</c:v>
                </c:pt>
                <c:pt idx="5">
                  <c:v>2.9976019184652278</c:v>
                </c:pt>
                <c:pt idx="6">
                  <c:v>4.3878894251864855</c:v>
                </c:pt>
                <c:pt idx="7">
                  <c:v>5.8038305281485778</c:v>
                </c:pt>
                <c:pt idx="8">
                  <c:v>5.7937427578215521</c:v>
                </c:pt>
                <c:pt idx="9">
                  <c:v>5.8858151854031791</c:v>
                </c:pt>
                <c:pt idx="10">
                  <c:v>6.1804697156983934</c:v>
                </c:pt>
                <c:pt idx="11">
                  <c:v>6.3411540900443892</c:v>
                </c:pt>
                <c:pt idx="12">
                  <c:v>6.5445026178010473</c:v>
                </c:pt>
                <c:pt idx="13">
                  <c:v>6.6093853271645724</c:v>
                </c:pt>
                <c:pt idx="14">
                  <c:v>7.0274068868587491</c:v>
                </c:pt>
                <c:pt idx="15">
                  <c:v>7.8864353312302837</c:v>
                </c:pt>
                <c:pt idx="16">
                  <c:v>7.8064012490242005</c:v>
                </c:pt>
                <c:pt idx="17">
                  <c:v>6.9881201956673644</c:v>
                </c:pt>
                <c:pt idx="18">
                  <c:v>4.9751243781094523</c:v>
                </c:pt>
                <c:pt idx="19">
                  <c:v>3.6114120621162868</c:v>
                </c:pt>
                <c:pt idx="20">
                  <c:v>2.6954177897574123</c:v>
                </c:pt>
                <c:pt idx="21">
                  <c:v>2.1482277121374866</c:v>
                </c:pt>
                <c:pt idx="22">
                  <c:v>1.6090104585679808</c:v>
                </c:pt>
                <c:pt idx="23">
                  <c:v>1.1154489682097044</c:v>
                </c:pt>
              </c:numCache>
            </c:numRef>
          </c:yVal>
          <c:smooth val="0"/>
          <c:extLst>
            <c:ext xmlns:c16="http://schemas.microsoft.com/office/drawing/2014/chart" uri="{C3380CC4-5D6E-409C-BE32-E72D297353CC}">
              <c16:uniqueId val="{00000001-91BD-48E6-80C6-FD95B043D554}"/>
            </c:ext>
          </c:extLst>
        </c:ser>
        <c:ser>
          <c:idx val="3"/>
          <c:order val="2"/>
          <c:tx>
            <c:strRef>
              <c:f>'TOD Factors'!$X$2</c:f>
              <c:strCache>
                <c:ptCount val="1"/>
                <c:pt idx="0">
                  <c:v>Light Truck</c:v>
                </c:pt>
              </c:strCache>
            </c:strRef>
          </c:tx>
          <c:spPr>
            <a:ln w="28575" cap="rnd">
              <a:solidFill>
                <a:schemeClr val="accent4"/>
              </a:solidFill>
              <a:round/>
            </a:ln>
            <a:effectLst/>
          </c:spPr>
          <c:marker>
            <c:symbol val="x"/>
            <c:size val="5"/>
            <c:spPr>
              <a:solidFill>
                <a:schemeClr val="accent4"/>
              </a:solidFill>
              <a:ln w="9525">
                <a:solidFill>
                  <a:schemeClr val="tx1"/>
                </a:solidFill>
              </a:ln>
              <a:effectLst/>
            </c:spPr>
          </c:marker>
          <c:xVal>
            <c:numRef>
              <c:f>'TOD Factors'!$A$3:$A$26</c:f>
              <c:numCache>
                <c:formatCode>General</c:formatCode>
                <c:ptCount val="24"/>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numCache>
            </c:numRef>
          </c:xVal>
          <c:yVal>
            <c:numRef>
              <c:f>'TOD Factors'!$X$3:$X$26</c:f>
              <c:numCache>
                <c:formatCode>0.00</c:formatCode>
                <c:ptCount val="24"/>
                <c:pt idx="0">
                  <c:v>0.67490045218330297</c:v>
                </c:pt>
                <c:pt idx="1">
                  <c:v>0.51942655308539376</c:v>
                </c:pt>
                <c:pt idx="2">
                  <c:v>0.43950248318903007</c:v>
                </c:pt>
                <c:pt idx="3">
                  <c:v>0.61061244428161443</c:v>
                </c:pt>
                <c:pt idx="4">
                  <c:v>1.3080444735120993</c:v>
                </c:pt>
                <c:pt idx="5">
                  <c:v>3.5323207347227132</c:v>
                </c:pt>
                <c:pt idx="6">
                  <c:v>5.1255766273705792</c:v>
                </c:pt>
                <c:pt idx="7">
                  <c:v>6.0132291040288637</c:v>
                </c:pt>
                <c:pt idx="8">
                  <c:v>6.7340067340067336</c:v>
                </c:pt>
                <c:pt idx="9">
                  <c:v>6.697923643670463</c:v>
                </c:pt>
                <c:pt idx="10">
                  <c:v>6.1728395061728403</c:v>
                </c:pt>
                <c:pt idx="11">
                  <c:v>6.1804697156983934</c:v>
                </c:pt>
                <c:pt idx="12">
                  <c:v>6.2539086929330825</c:v>
                </c:pt>
                <c:pt idx="13">
                  <c:v>6.3572790845518119</c:v>
                </c:pt>
                <c:pt idx="14">
                  <c:v>6.9735006973500697</c:v>
                </c:pt>
                <c:pt idx="15">
                  <c:v>7.7579519006982149</c:v>
                </c:pt>
                <c:pt idx="16">
                  <c:v>7.8988941548183256</c:v>
                </c:pt>
                <c:pt idx="17">
                  <c:v>6.459948320413436</c:v>
                </c:pt>
                <c:pt idx="18">
                  <c:v>4.7236655644780345</c:v>
                </c:pt>
                <c:pt idx="19">
                  <c:v>3.3211557622052474</c:v>
                </c:pt>
                <c:pt idx="20">
                  <c:v>2.3562676720075402</c:v>
                </c:pt>
                <c:pt idx="21">
                  <c:v>1.7205781142463867</c:v>
                </c:pt>
                <c:pt idx="22">
                  <c:v>1.2316787781746521</c:v>
                </c:pt>
                <c:pt idx="23">
                  <c:v>0.93545369504209541</c:v>
                </c:pt>
              </c:numCache>
            </c:numRef>
          </c:yVal>
          <c:smooth val="0"/>
          <c:extLst>
            <c:ext xmlns:c16="http://schemas.microsoft.com/office/drawing/2014/chart" uri="{C3380CC4-5D6E-409C-BE32-E72D297353CC}">
              <c16:uniqueId val="{00000002-91BD-48E6-80C6-FD95B043D554}"/>
            </c:ext>
          </c:extLst>
        </c:ser>
        <c:ser>
          <c:idx val="4"/>
          <c:order val="3"/>
          <c:tx>
            <c:strRef>
              <c:f>'TOD Factors'!$Y$2</c:f>
              <c:strCache>
                <c:ptCount val="1"/>
                <c:pt idx="0">
                  <c:v>Bus</c:v>
                </c:pt>
              </c:strCache>
            </c:strRef>
          </c:tx>
          <c:spPr>
            <a:ln w="28575" cap="rnd">
              <a:solidFill>
                <a:schemeClr val="accent5"/>
              </a:solidFill>
              <a:round/>
            </a:ln>
            <a:effectLst/>
          </c:spPr>
          <c:marker>
            <c:symbol val="plus"/>
            <c:size val="5"/>
            <c:spPr>
              <a:solidFill>
                <a:schemeClr val="accent5"/>
              </a:solidFill>
              <a:ln w="9525">
                <a:solidFill>
                  <a:schemeClr val="tx1"/>
                </a:solidFill>
              </a:ln>
              <a:effectLst/>
            </c:spPr>
          </c:marker>
          <c:xVal>
            <c:numRef>
              <c:f>'TOD Factors'!$A$3:$A$26</c:f>
              <c:numCache>
                <c:formatCode>General</c:formatCode>
                <c:ptCount val="24"/>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numCache>
            </c:numRef>
          </c:xVal>
          <c:yVal>
            <c:numRef>
              <c:f>'TOD Factors'!$Y$3:$Y$26</c:f>
              <c:numCache>
                <c:formatCode>0.00</c:formatCode>
                <c:ptCount val="24"/>
                <c:pt idx="0">
                  <c:v>1.5211439002129603</c:v>
                </c:pt>
                <c:pt idx="1">
                  <c:v>1.9809825673534076</c:v>
                </c:pt>
                <c:pt idx="2">
                  <c:v>3.0066145520144318</c:v>
                </c:pt>
                <c:pt idx="3">
                  <c:v>3.2894736842105261</c:v>
                </c:pt>
                <c:pt idx="4">
                  <c:v>7.9617834394904454</c:v>
                </c:pt>
                <c:pt idx="5">
                  <c:v>4.7036688617121358</c:v>
                </c:pt>
                <c:pt idx="6">
                  <c:v>5.9772863120143453</c:v>
                </c:pt>
                <c:pt idx="7">
                  <c:v>8.2440230832646328</c:v>
                </c:pt>
                <c:pt idx="8">
                  <c:v>7.2886297376093285</c:v>
                </c:pt>
                <c:pt idx="9">
                  <c:v>7.8864353312302837</c:v>
                </c:pt>
                <c:pt idx="10">
                  <c:v>5.4466230936819171</c:v>
                </c:pt>
                <c:pt idx="11">
                  <c:v>4.4563279857397502</c:v>
                </c:pt>
                <c:pt idx="12">
                  <c:v>4.6685340802987856</c:v>
                </c:pt>
                <c:pt idx="13">
                  <c:v>3.8550501156515029</c:v>
                </c:pt>
                <c:pt idx="14">
                  <c:v>4.2444821731748732</c:v>
                </c:pt>
                <c:pt idx="15">
                  <c:v>4.9164208456243852</c:v>
                </c:pt>
                <c:pt idx="16">
                  <c:v>4.4563279857397502</c:v>
                </c:pt>
                <c:pt idx="17">
                  <c:v>3.0778701138811941</c:v>
                </c:pt>
                <c:pt idx="18">
                  <c:v>4.5269352648257124</c:v>
                </c:pt>
                <c:pt idx="19">
                  <c:v>2.1579628830384117</c:v>
                </c:pt>
                <c:pt idx="20">
                  <c:v>1.8040772145047808</c:v>
                </c:pt>
                <c:pt idx="21">
                  <c:v>1.4503263234227701</c:v>
                </c:pt>
                <c:pt idx="22">
                  <c:v>1.273398701133325</c:v>
                </c:pt>
                <c:pt idx="23">
                  <c:v>1.8040772145047808</c:v>
                </c:pt>
              </c:numCache>
            </c:numRef>
          </c:yVal>
          <c:smooth val="0"/>
          <c:extLst>
            <c:ext xmlns:c16="http://schemas.microsoft.com/office/drawing/2014/chart" uri="{C3380CC4-5D6E-409C-BE32-E72D297353CC}">
              <c16:uniqueId val="{00000003-91BD-48E6-80C6-FD95B043D554}"/>
            </c:ext>
          </c:extLst>
        </c:ser>
        <c:ser>
          <c:idx val="5"/>
          <c:order val="4"/>
          <c:tx>
            <c:strRef>
              <c:f>'TOD Factors'!$Z$2</c:f>
              <c:strCache>
                <c:ptCount val="1"/>
                <c:pt idx="0">
                  <c:v>Single Unit Truck</c:v>
                </c:pt>
              </c:strCache>
            </c:strRef>
          </c:tx>
          <c:spPr>
            <a:ln w="28575" cap="rnd">
              <a:solidFill>
                <a:schemeClr val="accent6"/>
              </a:solidFill>
              <a:round/>
            </a:ln>
            <a:effectLst/>
          </c:spPr>
          <c:marker>
            <c:symbol val="diamond"/>
            <c:size val="5"/>
            <c:spPr>
              <a:solidFill>
                <a:schemeClr val="accent6"/>
              </a:solidFill>
              <a:ln w="9525">
                <a:solidFill>
                  <a:schemeClr val="tx1"/>
                </a:solidFill>
              </a:ln>
              <a:effectLst/>
            </c:spPr>
          </c:marker>
          <c:xVal>
            <c:numRef>
              <c:f>'TOD Factors'!$A$3:$A$26</c:f>
              <c:numCache>
                <c:formatCode>General</c:formatCode>
                <c:ptCount val="24"/>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numCache>
            </c:numRef>
          </c:xVal>
          <c:yVal>
            <c:numRef>
              <c:f>'TOD Factors'!$Z$3:$Z$26</c:f>
              <c:numCache>
                <c:formatCode>0.00</c:formatCode>
                <c:ptCount val="24"/>
                <c:pt idx="0">
                  <c:v>0.70442378134685824</c:v>
                </c:pt>
                <c:pt idx="1">
                  <c:v>0.7135212272565109</c:v>
                </c:pt>
                <c:pt idx="2">
                  <c:v>0.76207895137936299</c:v>
                </c:pt>
                <c:pt idx="3">
                  <c:v>0.83801223497863075</c:v>
                </c:pt>
                <c:pt idx="4">
                  <c:v>1.9888623707239459</c:v>
                </c:pt>
                <c:pt idx="5">
                  <c:v>3.713330857779428</c:v>
                </c:pt>
                <c:pt idx="6">
                  <c:v>5.3533190578158463</c:v>
                </c:pt>
                <c:pt idx="7">
                  <c:v>6.5963060686015833</c:v>
                </c:pt>
                <c:pt idx="8">
                  <c:v>7.7579519006982149</c:v>
                </c:pt>
                <c:pt idx="9">
                  <c:v>7.8492935635792778</c:v>
                </c:pt>
                <c:pt idx="10">
                  <c:v>6.1881188118811883</c:v>
                </c:pt>
                <c:pt idx="11">
                  <c:v>5.8072009291521489</c:v>
                </c:pt>
                <c:pt idx="12">
                  <c:v>5.8858151854031791</c:v>
                </c:pt>
                <c:pt idx="13">
                  <c:v>5.9630292188431726</c:v>
                </c:pt>
                <c:pt idx="14">
                  <c:v>6.5876152832674579</c:v>
                </c:pt>
                <c:pt idx="15">
                  <c:v>6.9541029207232263</c:v>
                </c:pt>
                <c:pt idx="16">
                  <c:v>7.0571630204657732</c:v>
                </c:pt>
                <c:pt idx="17">
                  <c:v>5.9772863120143453</c:v>
                </c:pt>
                <c:pt idx="18">
                  <c:v>4.5998160073597063</c:v>
                </c:pt>
                <c:pt idx="19">
                  <c:v>3.2030749519538757</c:v>
                </c:pt>
                <c:pt idx="20">
                  <c:v>1.9278966647387701</c:v>
                </c:pt>
                <c:pt idx="21">
                  <c:v>1.4210601108426886</c:v>
                </c:pt>
                <c:pt idx="22">
                  <c:v>1.162925921618793</c:v>
                </c:pt>
                <c:pt idx="23">
                  <c:v>0.98980500841334262</c:v>
                </c:pt>
              </c:numCache>
            </c:numRef>
          </c:yVal>
          <c:smooth val="0"/>
          <c:extLst>
            <c:ext xmlns:c16="http://schemas.microsoft.com/office/drawing/2014/chart" uri="{C3380CC4-5D6E-409C-BE32-E72D297353CC}">
              <c16:uniqueId val="{00000004-91BD-48E6-80C6-FD95B043D554}"/>
            </c:ext>
          </c:extLst>
        </c:ser>
        <c:ser>
          <c:idx val="0"/>
          <c:order val="5"/>
          <c:tx>
            <c:strRef>
              <c:f>'TOD Factors'!$AA$2</c:f>
              <c:strCache>
                <c:ptCount val="1"/>
                <c:pt idx="0">
                  <c:v>Combination Unit Truck</c:v>
                </c:pt>
              </c:strCache>
            </c:strRef>
          </c:tx>
          <c:spPr>
            <a:ln w="28575" cap="rnd">
              <a:solidFill>
                <a:schemeClr val="accent1"/>
              </a:solidFill>
              <a:round/>
            </a:ln>
            <a:effectLst/>
          </c:spPr>
          <c:marker>
            <c:symbol val="circle"/>
            <c:size val="5"/>
            <c:spPr>
              <a:solidFill>
                <a:schemeClr val="accent1"/>
              </a:solidFill>
              <a:ln w="9525">
                <a:solidFill>
                  <a:schemeClr val="accent1"/>
                </a:solidFill>
                <a:prstDash val="dash"/>
              </a:ln>
              <a:effectLst/>
            </c:spPr>
          </c:marker>
          <c:xVal>
            <c:numRef>
              <c:f>'TOD Factors'!$A$3:$A$26</c:f>
              <c:numCache>
                <c:formatCode>General</c:formatCode>
                <c:ptCount val="24"/>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numCache>
            </c:numRef>
          </c:xVal>
          <c:yVal>
            <c:numRef>
              <c:f>'TOD Factors'!$AA$3:$AA$26</c:f>
              <c:numCache>
                <c:formatCode>0.00</c:formatCode>
                <c:ptCount val="24"/>
                <c:pt idx="0">
                  <c:v>1.8587360594795539</c:v>
                </c:pt>
                <c:pt idx="1">
                  <c:v>1.75561797752809</c:v>
                </c:pt>
                <c:pt idx="2">
                  <c:v>1.7525411847178409</c:v>
                </c:pt>
                <c:pt idx="3">
                  <c:v>1.8378974453225512</c:v>
                </c:pt>
                <c:pt idx="4">
                  <c:v>2.1696680407897588</c:v>
                </c:pt>
                <c:pt idx="5">
                  <c:v>3.0432136335970785</c:v>
                </c:pt>
                <c:pt idx="6">
                  <c:v>3.8759689922480618</c:v>
                </c:pt>
                <c:pt idx="7">
                  <c:v>4.5392646391284615</c:v>
                </c:pt>
                <c:pt idx="8">
                  <c:v>5.518763796909492</c:v>
                </c:pt>
                <c:pt idx="9">
                  <c:v>6.2266500622665015</c:v>
                </c:pt>
                <c:pt idx="10">
                  <c:v>6.459948320413436</c:v>
                </c:pt>
                <c:pt idx="11">
                  <c:v>6.1842918985776123</c:v>
                </c:pt>
                <c:pt idx="12">
                  <c:v>5.9952038369304557</c:v>
                </c:pt>
                <c:pt idx="13">
                  <c:v>6.2814070351758788</c:v>
                </c:pt>
                <c:pt idx="14">
                  <c:v>5.9880239520958085</c:v>
                </c:pt>
                <c:pt idx="15">
                  <c:v>5.9844404548174746</c:v>
                </c:pt>
                <c:pt idx="16">
                  <c:v>5.7306590257879657</c:v>
                </c:pt>
                <c:pt idx="17">
                  <c:v>5.2548607461902259</c:v>
                </c:pt>
                <c:pt idx="18">
                  <c:v>4.6948356807511731</c:v>
                </c:pt>
                <c:pt idx="19">
                  <c:v>3.8910505836575875</c:v>
                </c:pt>
                <c:pt idx="20">
                  <c:v>3.4083162917518748</c:v>
                </c:pt>
                <c:pt idx="21">
                  <c:v>2.8538812785388128</c:v>
                </c:pt>
                <c:pt idx="22">
                  <c:v>2.520161290322581</c:v>
                </c:pt>
                <c:pt idx="23">
                  <c:v>2.1777003484320554</c:v>
                </c:pt>
              </c:numCache>
            </c:numRef>
          </c:yVal>
          <c:smooth val="0"/>
          <c:extLst>
            <c:ext xmlns:c16="http://schemas.microsoft.com/office/drawing/2014/chart" uri="{C3380CC4-5D6E-409C-BE32-E72D297353CC}">
              <c16:uniqueId val="{00000005-91BD-48E6-80C6-FD95B043D554}"/>
            </c:ext>
          </c:extLst>
        </c:ser>
        <c:dLbls>
          <c:showLegendKey val="0"/>
          <c:showVal val="0"/>
          <c:showCatName val="0"/>
          <c:showSerName val="0"/>
          <c:showPercent val="0"/>
          <c:showBubbleSize val="0"/>
        </c:dLbls>
        <c:axId val="322096976"/>
        <c:axId val="322097368"/>
      </c:scatterChart>
      <c:valAx>
        <c:axId val="322096976"/>
        <c:scaling>
          <c:orientation val="minMax"/>
          <c:max val="23"/>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t>Hour of Day</a:t>
                </a:r>
              </a:p>
            </c:rich>
          </c:tx>
          <c:layout>
            <c:manualLayout>
              <c:xMode val="edge"/>
              <c:yMode val="edge"/>
              <c:x val="0.446947714768827"/>
              <c:y val="0.86744430085552271"/>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22097368"/>
        <c:crosses val="autoZero"/>
        <c:crossBetween val="midCat"/>
        <c:majorUnit val="1"/>
      </c:valAx>
      <c:valAx>
        <c:axId val="322097368"/>
        <c:scaling>
          <c:orientation val="minMax"/>
        </c:scaling>
        <c:delete val="0"/>
        <c:axPos val="l"/>
        <c:majorGridlines>
          <c:spPr>
            <a:ln w="9525" cap="flat" cmpd="sng" algn="ctr">
              <a:solidFill>
                <a:schemeClr val="tx1"/>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t>Percent of Daily Volume</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22096976"/>
        <c:crosses val="autoZero"/>
        <c:crossBetween val="midCat"/>
      </c:valAx>
      <c:spPr>
        <a:noFill/>
        <a:ln>
          <a:solidFill>
            <a:schemeClr val="tx1"/>
          </a:solidFill>
        </a:ln>
        <a:effectLst/>
      </c:spPr>
    </c:plotArea>
    <c:legend>
      <c:legendPos val="b"/>
      <c:layout>
        <c:manualLayout>
          <c:xMode val="edge"/>
          <c:yMode val="edge"/>
          <c:x val="1.6144571471835255E-2"/>
          <c:y val="0.91801032935399207"/>
          <c:w val="0.9711366532909349"/>
          <c:h val="8.1989691651139021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solidFill>
                <a:latin typeface="+mn-lt"/>
                <a:ea typeface="+mn-ea"/>
                <a:cs typeface="+mn-cs"/>
              </a:defRPr>
            </a:pPr>
            <a:r>
              <a:rPr lang="en-US" sz="1800" b="0" i="0" baseline="0">
                <a:effectLst/>
              </a:rPr>
              <a:t>DOW Distribution by HPMS Vehicle Classes</a:t>
            </a:r>
            <a:endParaRPr lang="en-US">
              <a:effectLst/>
            </a:endParaRPr>
          </a:p>
          <a:p>
            <a:pPr marL="0" marR="0" lvl="0" indent="0" algn="ctr" defTabSz="914400" rtl="0" eaLnBrk="1" fontAlgn="auto" latinLnBrk="0" hangingPunct="1">
              <a:lnSpc>
                <a:spcPct val="100000"/>
              </a:lnSpc>
              <a:spcBef>
                <a:spcPts val="0"/>
              </a:spcBef>
              <a:spcAft>
                <a:spcPts val="0"/>
              </a:spcAft>
              <a:buClrTx/>
              <a:buSzTx/>
              <a:buFontTx/>
              <a:buNone/>
              <a:tabLst/>
              <a:defRPr/>
            </a:pPr>
            <a:r>
              <a:rPr lang="en-US"/>
              <a:t>Station:120184, Location: SR-93/I-75, LEE CO, FL</a:t>
            </a:r>
          </a:p>
          <a:p>
            <a:pPr marL="0" marR="0" lvl="0" indent="0" algn="ctr" defTabSz="914400" rtl="0" eaLnBrk="1" fontAlgn="auto" latinLnBrk="0" hangingPunct="1">
              <a:lnSpc>
                <a:spcPct val="100000"/>
              </a:lnSpc>
              <a:spcBef>
                <a:spcPts val="0"/>
              </a:spcBef>
              <a:spcAft>
                <a:spcPts val="0"/>
              </a:spcAft>
              <a:buClrTx/>
              <a:buSzTx/>
              <a:buFontTx/>
              <a:buNone/>
              <a:tabLst/>
              <a:defRPr/>
            </a:pPr>
            <a:r>
              <a:rPr lang="en-US"/>
              <a:t>Year: 2020</a:t>
            </a:r>
          </a:p>
        </c:rich>
      </c:tx>
      <c:layout>
        <c:manualLayout>
          <c:xMode val="edge"/>
          <c:yMode val="edge"/>
          <c:x val="0.15047287615833738"/>
          <c:y val="1.9493177387914229E-2"/>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10445656809411373"/>
          <c:y val="0.21893972670456552"/>
          <c:w val="0.87132502591733496"/>
          <c:h val="0.57277610253875211"/>
        </c:manualLayout>
      </c:layout>
      <c:lineChart>
        <c:grouping val="standard"/>
        <c:varyColors val="0"/>
        <c:ser>
          <c:idx val="0"/>
          <c:order val="0"/>
          <c:tx>
            <c:strRef>
              <c:f>'DOW PCT for HPMS classes'!$D$2</c:f>
              <c:strCache>
                <c:ptCount val="1"/>
                <c:pt idx="0">
                  <c:v>Motorcycle</c:v>
                </c:pt>
              </c:strCache>
            </c:strRef>
          </c:tx>
          <c:spPr>
            <a:ln w="28575" cap="rnd">
              <a:solidFill>
                <a:srgbClr val="7030A0"/>
              </a:solidFill>
              <a:round/>
            </a:ln>
            <a:effectLst/>
          </c:spPr>
          <c:marker>
            <c:symbol val="star"/>
            <c:size val="5"/>
            <c:spPr>
              <a:noFill/>
              <a:ln w="9525">
                <a:solidFill>
                  <a:srgbClr val="7030A0"/>
                </a:solidFill>
              </a:ln>
              <a:effectLst/>
            </c:spPr>
          </c:marker>
          <c:cat>
            <c:strRef>
              <c:f>'DOW PCT for HPMS classes'!$C$3:$C$9</c:f>
              <c:strCache>
                <c:ptCount val="7"/>
                <c:pt idx="0">
                  <c:v>Mon</c:v>
                </c:pt>
                <c:pt idx="1">
                  <c:v>Tue</c:v>
                </c:pt>
                <c:pt idx="2">
                  <c:v>Wed</c:v>
                </c:pt>
                <c:pt idx="3">
                  <c:v>Thu</c:v>
                </c:pt>
                <c:pt idx="4">
                  <c:v>Fri</c:v>
                </c:pt>
                <c:pt idx="5">
                  <c:v>Sat</c:v>
                </c:pt>
                <c:pt idx="6">
                  <c:v>Sun</c:v>
                </c:pt>
              </c:strCache>
            </c:strRef>
          </c:cat>
          <c:val>
            <c:numRef>
              <c:f>'DOW PCT for HPMS classes'!$D$3:$D$9</c:f>
              <c:numCache>
                <c:formatCode>0.00</c:formatCode>
                <c:ptCount val="7"/>
                <c:pt idx="0">
                  <c:v>13.558449083388325</c:v>
                </c:pt>
                <c:pt idx="1">
                  <c:v>15.1759990986786</c:v>
                </c:pt>
                <c:pt idx="2">
                  <c:v>15.465709549178349</c:v>
                </c:pt>
                <c:pt idx="3">
                  <c:v>16.1030725402778</c:v>
                </c:pt>
                <c:pt idx="4">
                  <c:v>16.123996072813892</c:v>
                </c:pt>
                <c:pt idx="5">
                  <c:v>13.090083855080396</c:v>
                </c:pt>
                <c:pt idx="6">
                  <c:v>10.482689800582639</c:v>
                </c:pt>
              </c:numCache>
            </c:numRef>
          </c:val>
          <c:smooth val="0"/>
          <c:extLst>
            <c:ext xmlns:c16="http://schemas.microsoft.com/office/drawing/2014/chart" uri="{C3380CC4-5D6E-409C-BE32-E72D297353CC}">
              <c16:uniqueId val="{00000000-6A16-4E5C-9A54-6E83AC33DF75}"/>
            </c:ext>
          </c:extLst>
        </c:ser>
        <c:ser>
          <c:idx val="1"/>
          <c:order val="1"/>
          <c:tx>
            <c:strRef>
              <c:f>'DOW PCT for HPMS classes'!$E$2</c:f>
              <c:strCache>
                <c:ptCount val="1"/>
                <c:pt idx="0">
                  <c:v>Passenger Vehicle</c:v>
                </c:pt>
              </c:strCache>
            </c:strRef>
          </c:tx>
          <c:spPr>
            <a:ln w="28575" cap="rnd">
              <a:solidFill>
                <a:schemeClr val="accent2"/>
              </a:solidFill>
              <a:round/>
            </a:ln>
            <a:effectLst/>
          </c:spPr>
          <c:marker>
            <c:symbol val="triangle"/>
            <c:size val="5"/>
            <c:spPr>
              <a:solidFill>
                <a:schemeClr val="bg1"/>
              </a:solidFill>
              <a:ln w="9525">
                <a:solidFill>
                  <a:schemeClr val="accent2"/>
                </a:solidFill>
              </a:ln>
              <a:effectLst/>
            </c:spPr>
          </c:marker>
          <c:cat>
            <c:strRef>
              <c:f>'DOW PCT for HPMS classes'!$C$3:$C$9</c:f>
              <c:strCache>
                <c:ptCount val="7"/>
                <c:pt idx="0">
                  <c:v>Mon</c:v>
                </c:pt>
                <c:pt idx="1">
                  <c:v>Tue</c:v>
                </c:pt>
                <c:pt idx="2">
                  <c:v>Wed</c:v>
                </c:pt>
                <c:pt idx="3">
                  <c:v>Thu</c:v>
                </c:pt>
                <c:pt idx="4">
                  <c:v>Fri</c:v>
                </c:pt>
                <c:pt idx="5">
                  <c:v>Sat</c:v>
                </c:pt>
                <c:pt idx="6">
                  <c:v>Sun</c:v>
                </c:pt>
              </c:strCache>
            </c:strRef>
          </c:cat>
          <c:val>
            <c:numRef>
              <c:f>'DOW PCT for HPMS classes'!$E$3:$E$9</c:f>
              <c:numCache>
                <c:formatCode>0.00</c:formatCode>
                <c:ptCount val="7"/>
                <c:pt idx="0">
                  <c:v>13.957577855878828</c:v>
                </c:pt>
                <c:pt idx="1">
                  <c:v>13.361507209137152</c:v>
                </c:pt>
                <c:pt idx="2">
                  <c:v>14.478235639815807</c:v>
                </c:pt>
                <c:pt idx="3">
                  <c:v>15.522682639278646</c:v>
                </c:pt>
                <c:pt idx="4">
                  <c:v>16.873398923410296</c:v>
                </c:pt>
                <c:pt idx="5">
                  <c:v>13.88201811541987</c:v>
                </c:pt>
                <c:pt idx="6">
                  <c:v>11.924579617059406</c:v>
                </c:pt>
              </c:numCache>
            </c:numRef>
          </c:val>
          <c:smooth val="0"/>
          <c:extLst>
            <c:ext xmlns:c16="http://schemas.microsoft.com/office/drawing/2014/chart" uri="{C3380CC4-5D6E-409C-BE32-E72D297353CC}">
              <c16:uniqueId val="{00000001-6A16-4E5C-9A54-6E83AC33DF75}"/>
            </c:ext>
          </c:extLst>
        </c:ser>
        <c:ser>
          <c:idx val="2"/>
          <c:order val="2"/>
          <c:tx>
            <c:strRef>
              <c:f>'DOW PCT for HPMS classes'!$F$2</c:f>
              <c:strCache>
                <c:ptCount val="1"/>
                <c:pt idx="0">
                  <c:v>Light Truck</c:v>
                </c:pt>
              </c:strCache>
            </c:strRef>
          </c:tx>
          <c:spPr>
            <a:ln w="28575" cap="rnd">
              <a:solidFill>
                <a:schemeClr val="bg1">
                  <a:lumMod val="50000"/>
                </a:schemeClr>
              </a:solidFill>
              <a:round/>
            </a:ln>
            <a:effectLst/>
          </c:spPr>
          <c:marker>
            <c:symbol val="circle"/>
            <c:size val="5"/>
            <c:spPr>
              <a:solidFill>
                <a:schemeClr val="accent3"/>
              </a:solidFill>
              <a:ln w="9525">
                <a:solidFill>
                  <a:schemeClr val="tx1"/>
                </a:solidFill>
              </a:ln>
              <a:effectLst/>
            </c:spPr>
          </c:marker>
          <c:cat>
            <c:strRef>
              <c:f>'DOW PCT for HPMS classes'!$C$3:$C$9</c:f>
              <c:strCache>
                <c:ptCount val="7"/>
                <c:pt idx="0">
                  <c:v>Mon</c:v>
                </c:pt>
                <c:pt idx="1">
                  <c:v>Tue</c:v>
                </c:pt>
                <c:pt idx="2">
                  <c:v>Wed</c:v>
                </c:pt>
                <c:pt idx="3">
                  <c:v>Thu</c:v>
                </c:pt>
                <c:pt idx="4">
                  <c:v>Fri</c:v>
                </c:pt>
                <c:pt idx="5">
                  <c:v>Sat</c:v>
                </c:pt>
                <c:pt idx="6">
                  <c:v>Sun</c:v>
                </c:pt>
              </c:strCache>
            </c:strRef>
          </c:cat>
          <c:val>
            <c:numRef>
              <c:f>'DOW PCT for HPMS classes'!$F$3:$F$9</c:f>
              <c:numCache>
                <c:formatCode>0.00</c:formatCode>
                <c:ptCount val="7"/>
                <c:pt idx="0">
                  <c:v>15.02580834947636</c:v>
                </c:pt>
                <c:pt idx="1">
                  <c:v>14.960057831133847</c:v>
                </c:pt>
                <c:pt idx="2">
                  <c:v>15.86552558795932</c:v>
                </c:pt>
                <c:pt idx="3">
                  <c:v>16.705774884224226</c:v>
                </c:pt>
                <c:pt idx="4">
                  <c:v>17.303464949452145</c:v>
                </c:pt>
                <c:pt idx="5">
                  <c:v>11.424202811913554</c:v>
                </c:pt>
                <c:pt idx="6">
                  <c:v>8.7151655858405466</c:v>
                </c:pt>
              </c:numCache>
            </c:numRef>
          </c:val>
          <c:smooth val="0"/>
          <c:extLst>
            <c:ext xmlns:c16="http://schemas.microsoft.com/office/drawing/2014/chart" uri="{C3380CC4-5D6E-409C-BE32-E72D297353CC}">
              <c16:uniqueId val="{00000002-6A16-4E5C-9A54-6E83AC33DF75}"/>
            </c:ext>
          </c:extLst>
        </c:ser>
        <c:ser>
          <c:idx val="3"/>
          <c:order val="3"/>
          <c:tx>
            <c:strRef>
              <c:f>'DOW PCT for HPMS classes'!$G$2</c:f>
              <c:strCache>
                <c:ptCount val="1"/>
                <c:pt idx="0">
                  <c:v>Bus</c:v>
                </c:pt>
              </c:strCache>
            </c:strRef>
          </c:tx>
          <c:spPr>
            <a:ln w="28575" cap="rnd">
              <a:solidFill>
                <a:srgbClr val="C00000"/>
              </a:solidFill>
              <a:round/>
            </a:ln>
            <a:effectLst/>
          </c:spPr>
          <c:marker>
            <c:symbol val="plus"/>
            <c:size val="5"/>
            <c:spPr>
              <a:solidFill>
                <a:srgbClr val="C00000"/>
              </a:solidFill>
              <a:ln w="9525">
                <a:solidFill>
                  <a:schemeClr val="tx1"/>
                </a:solidFill>
              </a:ln>
              <a:effectLst/>
            </c:spPr>
          </c:marker>
          <c:cat>
            <c:strRef>
              <c:f>'DOW PCT for HPMS classes'!$C$3:$C$9</c:f>
              <c:strCache>
                <c:ptCount val="7"/>
                <c:pt idx="0">
                  <c:v>Mon</c:v>
                </c:pt>
                <c:pt idx="1">
                  <c:v>Tue</c:v>
                </c:pt>
                <c:pt idx="2">
                  <c:v>Wed</c:v>
                </c:pt>
                <c:pt idx="3">
                  <c:v>Thu</c:v>
                </c:pt>
                <c:pt idx="4">
                  <c:v>Fri</c:v>
                </c:pt>
                <c:pt idx="5">
                  <c:v>Sat</c:v>
                </c:pt>
                <c:pt idx="6">
                  <c:v>Sun</c:v>
                </c:pt>
              </c:strCache>
            </c:strRef>
          </c:cat>
          <c:val>
            <c:numRef>
              <c:f>'DOW PCT for HPMS classes'!$G$3:$G$9</c:f>
              <c:numCache>
                <c:formatCode>0.00</c:formatCode>
                <c:ptCount val="7"/>
                <c:pt idx="0">
                  <c:v>15.185801306358099</c:v>
                </c:pt>
                <c:pt idx="1">
                  <c:v>17.101303911735204</c:v>
                </c:pt>
                <c:pt idx="2">
                  <c:v>18.30613792597304</c:v>
                </c:pt>
                <c:pt idx="3">
                  <c:v>19.419233309685151</c:v>
                </c:pt>
                <c:pt idx="4">
                  <c:v>18.934853340509335</c:v>
                </c:pt>
                <c:pt idx="5">
                  <c:v>7.5372458839934433</c:v>
                </c:pt>
                <c:pt idx="6">
                  <c:v>3.5154243217457246</c:v>
                </c:pt>
              </c:numCache>
            </c:numRef>
          </c:val>
          <c:smooth val="0"/>
          <c:extLst>
            <c:ext xmlns:c16="http://schemas.microsoft.com/office/drawing/2014/chart" uri="{C3380CC4-5D6E-409C-BE32-E72D297353CC}">
              <c16:uniqueId val="{00000003-6A16-4E5C-9A54-6E83AC33DF75}"/>
            </c:ext>
          </c:extLst>
        </c:ser>
        <c:ser>
          <c:idx val="4"/>
          <c:order val="4"/>
          <c:tx>
            <c:strRef>
              <c:f>'DOW PCT for HPMS classes'!$H$2</c:f>
              <c:strCache>
                <c:ptCount val="1"/>
                <c:pt idx="0">
                  <c:v>Single Unit Truck</c:v>
                </c:pt>
              </c:strCache>
            </c:strRef>
          </c:tx>
          <c:spPr>
            <a:ln w="28575" cap="rnd">
              <a:solidFill>
                <a:schemeClr val="accent5"/>
              </a:solidFill>
              <a:round/>
            </a:ln>
            <a:effectLst/>
          </c:spPr>
          <c:marker>
            <c:symbol val="square"/>
            <c:size val="5"/>
            <c:spPr>
              <a:solidFill>
                <a:schemeClr val="accent5"/>
              </a:solidFill>
              <a:ln w="9525">
                <a:solidFill>
                  <a:schemeClr val="tx1"/>
                </a:solidFill>
              </a:ln>
              <a:effectLst/>
            </c:spPr>
          </c:marker>
          <c:cat>
            <c:strRef>
              <c:f>'DOW PCT for HPMS classes'!$C$3:$C$9</c:f>
              <c:strCache>
                <c:ptCount val="7"/>
                <c:pt idx="0">
                  <c:v>Mon</c:v>
                </c:pt>
                <c:pt idx="1">
                  <c:v>Tue</c:v>
                </c:pt>
                <c:pt idx="2">
                  <c:v>Wed</c:v>
                </c:pt>
                <c:pt idx="3">
                  <c:v>Thu</c:v>
                </c:pt>
                <c:pt idx="4">
                  <c:v>Fri</c:v>
                </c:pt>
                <c:pt idx="5">
                  <c:v>Sat</c:v>
                </c:pt>
                <c:pt idx="6">
                  <c:v>Sun</c:v>
                </c:pt>
              </c:strCache>
            </c:strRef>
          </c:cat>
          <c:val>
            <c:numRef>
              <c:f>'DOW PCT for HPMS classes'!$H$3:$H$9</c:f>
              <c:numCache>
                <c:formatCode>0.00</c:formatCode>
                <c:ptCount val="7"/>
                <c:pt idx="0">
                  <c:v>16.546939872001907</c:v>
                </c:pt>
                <c:pt idx="1">
                  <c:v>17.759558702486743</c:v>
                </c:pt>
                <c:pt idx="2">
                  <c:v>18.138533647218509</c:v>
                </c:pt>
                <c:pt idx="3">
                  <c:v>18.932588411496599</c:v>
                </c:pt>
                <c:pt idx="4">
                  <c:v>18.012696796815902</c:v>
                </c:pt>
                <c:pt idx="5">
                  <c:v>7.0543370791509759</c:v>
                </c:pt>
                <c:pt idx="6">
                  <c:v>3.555345490829362</c:v>
                </c:pt>
              </c:numCache>
            </c:numRef>
          </c:val>
          <c:smooth val="0"/>
          <c:extLst>
            <c:ext xmlns:c16="http://schemas.microsoft.com/office/drawing/2014/chart" uri="{C3380CC4-5D6E-409C-BE32-E72D297353CC}">
              <c16:uniqueId val="{00000004-6A16-4E5C-9A54-6E83AC33DF75}"/>
            </c:ext>
          </c:extLst>
        </c:ser>
        <c:ser>
          <c:idx val="5"/>
          <c:order val="5"/>
          <c:tx>
            <c:strRef>
              <c:f>'DOW PCT for HPMS classes'!$I$2</c:f>
              <c:strCache>
                <c:ptCount val="1"/>
                <c:pt idx="0">
                  <c:v>Combination Unit Truck</c:v>
                </c:pt>
              </c:strCache>
            </c:strRef>
          </c:tx>
          <c:spPr>
            <a:ln w="28575" cap="rnd">
              <a:solidFill>
                <a:schemeClr val="accent6"/>
              </a:solidFill>
              <a:round/>
            </a:ln>
            <a:effectLst/>
          </c:spPr>
          <c:marker>
            <c:symbol val="diamond"/>
            <c:size val="5"/>
            <c:spPr>
              <a:solidFill>
                <a:schemeClr val="accent6"/>
              </a:solidFill>
              <a:ln w="9525">
                <a:solidFill>
                  <a:schemeClr val="tx1"/>
                </a:solidFill>
              </a:ln>
              <a:effectLst/>
            </c:spPr>
          </c:marker>
          <c:cat>
            <c:strRef>
              <c:f>'DOW PCT for HPMS classes'!$C$3:$C$9</c:f>
              <c:strCache>
                <c:ptCount val="7"/>
                <c:pt idx="0">
                  <c:v>Mon</c:v>
                </c:pt>
                <c:pt idx="1">
                  <c:v>Tue</c:v>
                </c:pt>
                <c:pt idx="2">
                  <c:v>Wed</c:v>
                </c:pt>
                <c:pt idx="3">
                  <c:v>Thu</c:v>
                </c:pt>
                <c:pt idx="4">
                  <c:v>Fri</c:v>
                </c:pt>
                <c:pt idx="5">
                  <c:v>Sat</c:v>
                </c:pt>
                <c:pt idx="6">
                  <c:v>Sun</c:v>
                </c:pt>
              </c:strCache>
            </c:strRef>
          </c:cat>
          <c:val>
            <c:numRef>
              <c:f>'DOW PCT for HPMS classes'!$I$3:$I$9</c:f>
              <c:numCache>
                <c:formatCode>0.00</c:formatCode>
                <c:ptCount val="7"/>
                <c:pt idx="0">
                  <c:v>16.970674295937997</c:v>
                </c:pt>
                <c:pt idx="1">
                  <c:v>17.510673271193177</c:v>
                </c:pt>
                <c:pt idx="2">
                  <c:v>17.930057011816416</c:v>
                </c:pt>
                <c:pt idx="3">
                  <c:v>18.639900516665257</c:v>
                </c:pt>
                <c:pt idx="4">
                  <c:v>17.989879952529389</c:v>
                </c:pt>
                <c:pt idx="5">
                  <c:v>6.8802613376243364</c:v>
                </c:pt>
                <c:pt idx="6">
                  <c:v>4.0785536142334289</c:v>
                </c:pt>
              </c:numCache>
            </c:numRef>
          </c:val>
          <c:smooth val="0"/>
          <c:extLst>
            <c:ext xmlns:c16="http://schemas.microsoft.com/office/drawing/2014/chart" uri="{C3380CC4-5D6E-409C-BE32-E72D297353CC}">
              <c16:uniqueId val="{00000005-6A16-4E5C-9A54-6E83AC33DF75}"/>
            </c:ext>
          </c:extLst>
        </c:ser>
        <c:dLbls>
          <c:showLegendKey val="0"/>
          <c:showVal val="0"/>
          <c:showCatName val="0"/>
          <c:showSerName val="0"/>
          <c:showPercent val="0"/>
          <c:showBubbleSize val="0"/>
        </c:dLbls>
        <c:marker val="1"/>
        <c:smooth val="0"/>
        <c:axId val="322094624"/>
        <c:axId val="322095800"/>
      </c:lineChart>
      <c:catAx>
        <c:axId val="322094624"/>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t>Day of Week</a:t>
                </a:r>
              </a:p>
            </c:rich>
          </c:tx>
          <c:layout>
            <c:manualLayout>
              <c:xMode val="edge"/>
              <c:yMode val="edge"/>
              <c:x val="0.4945340537789919"/>
              <c:y val="0.85167738535607029"/>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22095800"/>
        <c:crosses val="autoZero"/>
        <c:auto val="1"/>
        <c:lblAlgn val="ctr"/>
        <c:lblOffset val="100"/>
        <c:noMultiLvlLbl val="0"/>
      </c:catAx>
      <c:valAx>
        <c:axId val="322095800"/>
        <c:scaling>
          <c:orientation val="minMax"/>
        </c:scaling>
        <c:delete val="0"/>
        <c:axPos val="l"/>
        <c:majorGridlines>
          <c:spPr>
            <a:ln w="9525" cap="flat" cmpd="sng" algn="ctr">
              <a:solidFill>
                <a:schemeClr val="tx1"/>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t>Percentage of Weekly</a:t>
                </a:r>
                <a:r>
                  <a:rPr lang="en-US" baseline="0"/>
                  <a:t> Volume</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22094624"/>
        <c:crosses val="autoZero"/>
        <c:crossBetween val="between"/>
      </c:valAx>
      <c:spPr>
        <a:noFill/>
        <a:ln>
          <a:solidFill>
            <a:schemeClr val="tx1"/>
          </a:solidFill>
        </a:ln>
        <a:effectLst/>
      </c:spPr>
    </c:plotArea>
    <c:legend>
      <c:legendPos val="b"/>
      <c:layout>
        <c:manualLayout>
          <c:xMode val="edge"/>
          <c:yMode val="edge"/>
          <c:x val="2.9396995018479834E-3"/>
          <c:y val="0.90501476058182784"/>
          <c:w val="0.99624645133644008"/>
          <c:h val="7.347981356131654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spc="0" baseline="0">
                <a:solidFill>
                  <a:sysClr val="windowText" lastClr="000000"/>
                </a:solidFill>
                <a:latin typeface="+mn-lt"/>
                <a:ea typeface="+mn-ea"/>
                <a:cs typeface="+mn-cs"/>
              </a:defRPr>
            </a:pPr>
            <a:r>
              <a:rPr lang="en-US" sz="1200" b="1" i="0" baseline="0">
                <a:effectLst/>
              </a:rPr>
              <a:t>Monthly Vehicle Volume Distribution by HPMS Vehicle Classes</a:t>
            </a:r>
            <a:endParaRPr lang="en-US" sz="1200" b="1">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200"/>
            </a:pPr>
            <a:r>
              <a:rPr lang="en-US" sz="1200"/>
              <a:t>Station 000174, County - Route Crook - 00000212, WY</a:t>
            </a: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10161380497080721"/>
          <c:y val="0.1723029379392092"/>
          <c:w val="0.7921020088835049"/>
          <c:h val="0.60884613687994882"/>
        </c:manualLayout>
      </c:layout>
      <c:lineChart>
        <c:grouping val="standard"/>
        <c:varyColors val="0"/>
        <c:ser>
          <c:idx val="1"/>
          <c:order val="1"/>
          <c:tx>
            <c:strRef>
              <c:f>'[WY MOY Factors by HPMS Class.xlsx]PCT of ann volume by HPMS class'!$E$11</c:f>
              <c:strCache>
                <c:ptCount val="1"/>
                <c:pt idx="0">
                  <c:v>Passenger Vehicle</c:v>
                </c:pt>
              </c:strCache>
            </c:strRef>
          </c:tx>
          <c:spPr>
            <a:ln w="28575" cap="rnd">
              <a:solidFill>
                <a:schemeClr val="accent2"/>
              </a:solidFill>
              <a:round/>
            </a:ln>
            <a:effectLst/>
          </c:spPr>
          <c:marker>
            <c:symbol val="triangle"/>
            <c:size val="5"/>
            <c:spPr>
              <a:solidFill>
                <a:schemeClr val="bg1"/>
              </a:solidFill>
              <a:ln w="9525">
                <a:solidFill>
                  <a:schemeClr val="accent2"/>
                </a:solidFill>
              </a:ln>
              <a:effectLst/>
            </c:spPr>
          </c:marker>
          <c:cat>
            <c:strRef>
              <c:f>'[WY MOY Factors by HPMS Class.xlsx]PCT of ann volume by HPMS class'!$C$12:$C$23</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'[WY MOY Factors by HPMS Class.xlsx]PCT of ann volume by HPMS class'!$E$12:$E$23</c:f>
              <c:numCache>
                <c:formatCode>General</c:formatCode>
                <c:ptCount val="12"/>
                <c:pt idx="0">
                  <c:v>5.1630122491886068</c:v>
                </c:pt>
                <c:pt idx="1">
                  <c:v>3.1234208359789069</c:v>
                </c:pt>
                <c:pt idx="2">
                  <c:v>4.4408499044251286</c:v>
                </c:pt>
                <c:pt idx="3">
                  <c:v>4.9043219811743244</c:v>
                </c:pt>
                <c:pt idx="4">
                  <c:v>9.4636269092331151</c:v>
                </c:pt>
                <c:pt idx="5">
                  <c:v>12.300736732375228</c:v>
                </c:pt>
                <c:pt idx="6">
                  <c:v>16.334027920995876</c:v>
                </c:pt>
                <c:pt idx="7">
                  <c:v>17.074441448225524</c:v>
                </c:pt>
                <c:pt idx="8">
                  <c:v>9.654343126588099</c:v>
                </c:pt>
                <c:pt idx="9">
                  <c:v>7.1104949491400165</c:v>
                </c:pt>
                <c:pt idx="10">
                  <c:v>5.2379898511397789</c:v>
                </c:pt>
                <c:pt idx="11">
                  <c:v>5.1927340915353808</c:v>
                </c:pt>
              </c:numCache>
            </c:numRef>
          </c:val>
          <c:smooth val="0"/>
          <c:extLst>
            <c:ext xmlns:c16="http://schemas.microsoft.com/office/drawing/2014/chart" uri="{C3380CC4-5D6E-409C-BE32-E72D297353CC}">
              <c16:uniqueId val="{00000000-0746-41D3-B41B-482B31366F04}"/>
            </c:ext>
          </c:extLst>
        </c:ser>
        <c:ser>
          <c:idx val="2"/>
          <c:order val="2"/>
          <c:tx>
            <c:strRef>
              <c:f>'[WY MOY Factors by HPMS Class.xlsx]PCT of ann volume by HPMS class'!$F$11</c:f>
              <c:strCache>
                <c:ptCount val="1"/>
                <c:pt idx="0">
                  <c:v>Light Truck</c:v>
                </c:pt>
              </c:strCache>
            </c:strRef>
          </c:tx>
          <c:spPr>
            <a:ln w="28575" cap="rnd">
              <a:solidFill>
                <a:schemeClr val="bg1">
                  <a:lumMod val="50000"/>
                </a:schemeClr>
              </a:solidFill>
              <a:round/>
            </a:ln>
            <a:effectLst/>
          </c:spPr>
          <c:marker>
            <c:symbol val="circle"/>
            <c:size val="5"/>
            <c:spPr>
              <a:solidFill>
                <a:schemeClr val="accent3"/>
              </a:solidFill>
              <a:ln w="9525">
                <a:solidFill>
                  <a:schemeClr val="tx1"/>
                </a:solidFill>
              </a:ln>
              <a:effectLst/>
            </c:spPr>
          </c:marker>
          <c:cat>
            <c:strRef>
              <c:f>'[WY MOY Factors by HPMS Class.xlsx]PCT of ann volume by HPMS class'!$C$12:$C$23</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'[WY MOY Factors by HPMS Class.xlsx]PCT of ann volume by HPMS class'!$F$12:$F$23</c:f>
              <c:numCache>
                <c:formatCode>General</c:formatCode>
                <c:ptCount val="12"/>
                <c:pt idx="0">
                  <c:v>5.133184569012724</c:v>
                </c:pt>
                <c:pt idx="1">
                  <c:v>3.9017910382717687</c:v>
                </c:pt>
                <c:pt idx="2">
                  <c:v>5.1674429113450087</c:v>
                </c:pt>
                <c:pt idx="3">
                  <c:v>5.4498423046315851</c:v>
                </c:pt>
                <c:pt idx="4">
                  <c:v>8.4915579316564074</c:v>
                </c:pt>
                <c:pt idx="5">
                  <c:v>10.563587424935944</c:v>
                </c:pt>
                <c:pt idx="6">
                  <c:v>14.14541769578752</c:v>
                </c:pt>
                <c:pt idx="7">
                  <c:v>14.56026132375024</c:v>
                </c:pt>
                <c:pt idx="8">
                  <c:v>10.055019277458321</c:v>
                </c:pt>
                <c:pt idx="9">
                  <c:v>8.7138424855432017</c:v>
                </c:pt>
                <c:pt idx="10">
                  <c:v>7.7877794606660595</c:v>
                </c:pt>
                <c:pt idx="11">
                  <c:v>6.0302735769412079</c:v>
                </c:pt>
              </c:numCache>
            </c:numRef>
          </c:val>
          <c:smooth val="0"/>
          <c:extLst>
            <c:ext xmlns:c16="http://schemas.microsoft.com/office/drawing/2014/chart" uri="{C3380CC4-5D6E-409C-BE32-E72D297353CC}">
              <c16:uniqueId val="{00000001-0746-41D3-B41B-482B31366F04}"/>
            </c:ext>
          </c:extLst>
        </c:ser>
        <c:ser>
          <c:idx val="3"/>
          <c:order val="3"/>
          <c:tx>
            <c:strRef>
              <c:f>'[WY MOY Factors by HPMS Class.xlsx]PCT of ann volume by HPMS class'!$G$11</c:f>
              <c:strCache>
                <c:ptCount val="1"/>
                <c:pt idx="0">
                  <c:v>Bus</c:v>
                </c:pt>
              </c:strCache>
            </c:strRef>
          </c:tx>
          <c:spPr>
            <a:ln w="28575" cap="rnd">
              <a:solidFill>
                <a:schemeClr val="accent4"/>
              </a:solidFill>
              <a:round/>
            </a:ln>
            <a:effectLst/>
          </c:spPr>
          <c:marker>
            <c:symbol val="x"/>
            <c:size val="5"/>
            <c:spPr>
              <a:solidFill>
                <a:schemeClr val="accent4"/>
              </a:solidFill>
              <a:ln w="9525">
                <a:solidFill>
                  <a:schemeClr val="tx1"/>
                </a:solidFill>
              </a:ln>
              <a:effectLst/>
            </c:spPr>
          </c:marker>
          <c:cat>
            <c:strRef>
              <c:f>'[WY MOY Factors by HPMS Class.xlsx]PCT of ann volume by HPMS class'!$C$12:$C$23</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'[WY MOY Factors by HPMS Class.xlsx]PCT of ann volume by HPMS class'!$G$12:$G$23</c:f>
              <c:numCache>
                <c:formatCode>General</c:formatCode>
                <c:ptCount val="12"/>
                <c:pt idx="0">
                  <c:v>3.7114004121967255</c:v>
                </c:pt>
                <c:pt idx="1">
                  <c:v>3.2660855874291381</c:v>
                </c:pt>
                <c:pt idx="2">
                  <c:v>7.377440123252927</c:v>
                </c:pt>
                <c:pt idx="3">
                  <c:v>7.236146051328407</c:v>
                </c:pt>
                <c:pt idx="4">
                  <c:v>8.7852057076948515</c:v>
                </c:pt>
                <c:pt idx="5">
                  <c:v>10.371812716659852</c:v>
                </c:pt>
                <c:pt idx="6">
                  <c:v>13.772290661538312</c:v>
                </c:pt>
                <c:pt idx="7">
                  <c:v>12.603340973103068</c:v>
                </c:pt>
                <c:pt idx="8">
                  <c:v>9.5027215730052479</c:v>
                </c:pt>
                <c:pt idx="9">
                  <c:v>8.3699241607936496</c:v>
                </c:pt>
                <c:pt idx="10">
                  <c:v>7.3133771111062318</c:v>
                </c:pt>
                <c:pt idx="11">
                  <c:v>7.6902549218916105</c:v>
                </c:pt>
              </c:numCache>
            </c:numRef>
          </c:val>
          <c:smooth val="0"/>
          <c:extLst>
            <c:ext xmlns:c16="http://schemas.microsoft.com/office/drawing/2014/chart" uri="{C3380CC4-5D6E-409C-BE32-E72D297353CC}">
              <c16:uniqueId val="{00000002-0746-41D3-B41B-482B31366F04}"/>
            </c:ext>
          </c:extLst>
        </c:ser>
        <c:ser>
          <c:idx val="4"/>
          <c:order val="4"/>
          <c:tx>
            <c:strRef>
              <c:f>'[WY MOY Factors by HPMS Class.xlsx]PCT of ann volume by HPMS class'!$H$11</c:f>
              <c:strCache>
                <c:ptCount val="1"/>
                <c:pt idx="0">
                  <c:v>Single Unit Truck</c:v>
                </c:pt>
              </c:strCache>
            </c:strRef>
          </c:tx>
          <c:spPr>
            <a:ln w="28575" cap="rnd">
              <a:solidFill>
                <a:schemeClr val="accent5"/>
              </a:solidFill>
              <a:round/>
            </a:ln>
            <a:effectLst/>
          </c:spPr>
          <c:marker>
            <c:symbol val="plus"/>
            <c:size val="5"/>
            <c:spPr>
              <a:solidFill>
                <a:schemeClr val="accent5"/>
              </a:solidFill>
              <a:ln w="9525">
                <a:solidFill>
                  <a:schemeClr val="tx1"/>
                </a:solidFill>
              </a:ln>
              <a:effectLst/>
            </c:spPr>
          </c:marker>
          <c:cat>
            <c:strRef>
              <c:f>'[WY MOY Factors by HPMS Class.xlsx]PCT of ann volume by HPMS class'!$C$12:$C$23</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'[WY MOY Factors by HPMS Class.xlsx]PCT of ann volume by HPMS class'!$H$12:$H$23</c:f>
              <c:numCache>
                <c:formatCode>General</c:formatCode>
                <c:ptCount val="12"/>
                <c:pt idx="0">
                  <c:v>2.4169840693531079</c:v>
                </c:pt>
                <c:pt idx="1">
                  <c:v>2.1156969257381504</c:v>
                </c:pt>
                <c:pt idx="2">
                  <c:v>5.5317756868112165</c:v>
                </c:pt>
                <c:pt idx="3">
                  <c:v>5.7565507325526886</c:v>
                </c:pt>
                <c:pt idx="4">
                  <c:v>8.4167805279091183</c:v>
                </c:pt>
                <c:pt idx="5">
                  <c:v>9.9718213145256698</c:v>
                </c:pt>
                <c:pt idx="6">
                  <c:v>13.52916507543239</c:v>
                </c:pt>
                <c:pt idx="7">
                  <c:v>17.209119099533094</c:v>
                </c:pt>
                <c:pt idx="8">
                  <c:v>11.388267648640195</c:v>
                </c:pt>
                <c:pt idx="9">
                  <c:v>8.7030933704996212</c:v>
                </c:pt>
                <c:pt idx="10">
                  <c:v>8.0649180129860216</c:v>
                </c:pt>
                <c:pt idx="11">
                  <c:v>6.895827536018726</c:v>
                </c:pt>
              </c:numCache>
            </c:numRef>
          </c:val>
          <c:smooth val="0"/>
          <c:extLst>
            <c:ext xmlns:c16="http://schemas.microsoft.com/office/drawing/2014/chart" uri="{C3380CC4-5D6E-409C-BE32-E72D297353CC}">
              <c16:uniqueId val="{00000003-0746-41D3-B41B-482B31366F04}"/>
            </c:ext>
          </c:extLst>
        </c:ser>
        <c:ser>
          <c:idx val="5"/>
          <c:order val="5"/>
          <c:tx>
            <c:strRef>
              <c:f>'[WY MOY Factors by HPMS Class.xlsx]PCT of ann volume by HPMS class'!$I$11</c:f>
              <c:strCache>
                <c:ptCount val="1"/>
                <c:pt idx="0">
                  <c:v>Combination Unit Truck</c:v>
                </c:pt>
              </c:strCache>
            </c:strRef>
          </c:tx>
          <c:spPr>
            <a:ln w="28575" cap="rnd">
              <a:solidFill>
                <a:schemeClr val="accent6"/>
              </a:solidFill>
              <a:round/>
            </a:ln>
            <a:effectLst/>
          </c:spPr>
          <c:marker>
            <c:symbol val="diamond"/>
            <c:size val="5"/>
            <c:spPr>
              <a:solidFill>
                <a:schemeClr val="accent6"/>
              </a:solidFill>
              <a:ln w="9525">
                <a:solidFill>
                  <a:schemeClr val="tx1"/>
                </a:solidFill>
              </a:ln>
              <a:effectLst/>
            </c:spPr>
          </c:marker>
          <c:cat>
            <c:strRef>
              <c:f>'[WY MOY Factors by HPMS Class.xlsx]PCT of ann volume by HPMS class'!$C$12:$C$23</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'[WY MOY Factors by HPMS Class.xlsx]PCT of ann volume by HPMS class'!$I$12:$I$23</c:f>
              <c:numCache>
                <c:formatCode>General</c:formatCode>
                <c:ptCount val="12"/>
                <c:pt idx="0">
                  <c:v>7.4452228906480142</c:v>
                </c:pt>
                <c:pt idx="1">
                  <c:v>5.492734344435565</c:v>
                </c:pt>
                <c:pt idx="2">
                  <c:v>7.4985094247800363</c:v>
                </c:pt>
                <c:pt idx="3">
                  <c:v>7.1169681989597118</c:v>
                </c:pt>
                <c:pt idx="4">
                  <c:v>8.2531359345646056</c:v>
                </c:pt>
                <c:pt idx="5">
                  <c:v>9.3209386694688892</c:v>
                </c:pt>
                <c:pt idx="6">
                  <c:v>10.532469768797485</c:v>
                </c:pt>
                <c:pt idx="7">
                  <c:v>9.9232801612699024</c:v>
                </c:pt>
                <c:pt idx="8">
                  <c:v>8.7093045324249285</c:v>
                </c:pt>
                <c:pt idx="9">
                  <c:v>9.5405071076810355</c:v>
                </c:pt>
                <c:pt idx="10">
                  <c:v>8.5303004635192732</c:v>
                </c:pt>
                <c:pt idx="11">
                  <c:v>7.6366285034505568</c:v>
                </c:pt>
              </c:numCache>
            </c:numRef>
          </c:val>
          <c:smooth val="0"/>
          <c:extLst>
            <c:ext xmlns:c16="http://schemas.microsoft.com/office/drawing/2014/chart" uri="{C3380CC4-5D6E-409C-BE32-E72D297353CC}">
              <c16:uniqueId val="{00000004-0746-41D3-B41B-482B31366F04}"/>
            </c:ext>
          </c:extLst>
        </c:ser>
        <c:dLbls>
          <c:showLegendKey val="0"/>
          <c:showVal val="0"/>
          <c:showCatName val="0"/>
          <c:showSerName val="0"/>
          <c:showPercent val="0"/>
          <c:showBubbleSize val="0"/>
        </c:dLbls>
        <c:marker val="1"/>
        <c:smooth val="0"/>
        <c:axId val="322095408"/>
        <c:axId val="322096192"/>
      </c:lineChart>
      <c:lineChart>
        <c:grouping val="standard"/>
        <c:varyColors val="0"/>
        <c:ser>
          <c:idx val="0"/>
          <c:order val="0"/>
          <c:tx>
            <c:strRef>
              <c:f>'[WY MOY Factors by HPMS Class.xlsx]PCT of ann volume by HPMS class'!$D$11</c:f>
              <c:strCache>
                <c:ptCount val="1"/>
                <c:pt idx="0">
                  <c:v>Motorcycle</c:v>
                </c:pt>
              </c:strCache>
            </c:strRef>
          </c:tx>
          <c:spPr>
            <a:ln w="28575" cap="rnd">
              <a:solidFill>
                <a:schemeClr val="accent1"/>
              </a:solidFill>
              <a:round/>
            </a:ln>
            <a:effectLst/>
          </c:spPr>
          <c:marker>
            <c:symbol val="circle"/>
            <c:size val="5"/>
            <c:spPr>
              <a:solidFill>
                <a:schemeClr val="accent1"/>
              </a:solidFill>
              <a:ln w="9525">
                <a:solidFill>
                  <a:schemeClr val="tx1"/>
                </a:solidFill>
                <a:prstDash val="dash"/>
              </a:ln>
              <a:effectLst/>
            </c:spPr>
          </c:marker>
          <c:cat>
            <c:strRef>
              <c:f>'[WY MOY Factors by HPMS Class.xlsx]PCT of ann volume by HPMS class'!$C$12:$C$23</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'[WY MOY Factors by HPMS Class.xlsx]PCT of ann volume by HPMS class'!$D$12:$D$23</c:f>
              <c:numCache>
                <c:formatCode>General</c:formatCode>
                <c:ptCount val="12"/>
                <c:pt idx="0">
                  <c:v>8.3776543934582712E-2</c:v>
                </c:pt>
                <c:pt idx="1">
                  <c:v>9.1520143560774744E-2</c:v>
                </c:pt>
                <c:pt idx="2">
                  <c:v>8.5036172799529394E-2</c:v>
                </c:pt>
                <c:pt idx="3">
                  <c:v>0.34088300831499724</c:v>
                </c:pt>
                <c:pt idx="4">
                  <c:v>1.3088217371733739</c:v>
                </c:pt>
                <c:pt idx="5">
                  <c:v>7.2037052344738015</c:v>
                </c:pt>
                <c:pt idx="6">
                  <c:v>16.650960383449981</c:v>
                </c:pt>
                <c:pt idx="7">
                  <c:v>70.131383530948725</c:v>
                </c:pt>
                <c:pt idx="8">
                  <c:v>3.4980429857204984</c:v>
                </c:pt>
                <c:pt idx="9">
                  <c:v>0.30637666035921024</c:v>
                </c:pt>
                <c:pt idx="10">
                  <c:v>0.16062138764008255</c:v>
                </c:pt>
                <c:pt idx="11">
                  <c:v>0.13887221162443383</c:v>
                </c:pt>
              </c:numCache>
            </c:numRef>
          </c:val>
          <c:smooth val="0"/>
          <c:extLst>
            <c:ext xmlns:c16="http://schemas.microsoft.com/office/drawing/2014/chart" uri="{C3380CC4-5D6E-409C-BE32-E72D297353CC}">
              <c16:uniqueId val="{00000005-0746-41D3-B41B-482B31366F04}"/>
            </c:ext>
          </c:extLst>
        </c:ser>
        <c:dLbls>
          <c:showLegendKey val="0"/>
          <c:showVal val="0"/>
          <c:showCatName val="0"/>
          <c:showSerName val="0"/>
          <c:showPercent val="0"/>
          <c:showBubbleSize val="0"/>
        </c:dLbls>
        <c:marker val="1"/>
        <c:smooth val="0"/>
        <c:axId val="322089920"/>
        <c:axId val="322096584"/>
      </c:lineChart>
      <c:catAx>
        <c:axId val="322095408"/>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t>Month of Year</a:t>
                </a:r>
              </a:p>
            </c:rich>
          </c:tx>
          <c:layout>
            <c:manualLayout>
              <c:xMode val="edge"/>
              <c:yMode val="edge"/>
              <c:x val="0.44748182919442764"/>
              <c:y val="0.84517961972310718"/>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22096192"/>
        <c:crosses val="autoZero"/>
        <c:auto val="1"/>
        <c:lblAlgn val="ctr"/>
        <c:lblOffset val="100"/>
        <c:noMultiLvlLbl val="0"/>
      </c:catAx>
      <c:valAx>
        <c:axId val="322096192"/>
        <c:scaling>
          <c:orientation val="minMax"/>
        </c:scaling>
        <c:delete val="0"/>
        <c:axPos val="l"/>
        <c:majorGridlines>
          <c:spPr>
            <a:ln w="9525" cap="flat" cmpd="sng" algn="ctr">
              <a:solidFill>
                <a:schemeClr val="tx1"/>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sz="1000" b="0" i="0" u="none" strike="noStrike" baseline="0">
                    <a:effectLst/>
                  </a:rPr>
                  <a:t>Percent of Annual Volume </a:t>
                </a:r>
                <a:r>
                  <a:rPr lang="en-US"/>
                  <a:t>(except</a:t>
                </a:r>
                <a:r>
                  <a:rPr lang="en-US" baseline="0"/>
                  <a:t> Motorcyles)</a:t>
                </a:r>
                <a:endParaRPr lang="en-US"/>
              </a:p>
            </c:rich>
          </c:tx>
          <c:layout>
            <c:manualLayout>
              <c:xMode val="edge"/>
              <c:yMode val="edge"/>
              <c:x val="5.1818763039235488E-3"/>
              <c:y val="0.1349832034354484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22095408"/>
        <c:crosses val="autoZero"/>
        <c:crossBetween val="between"/>
      </c:valAx>
      <c:valAx>
        <c:axId val="322096584"/>
        <c:scaling>
          <c:orientation val="minMax"/>
        </c:scaling>
        <c:delete val="0"/>
        <c:axPos val="r"/>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t>Percent of Annual Volume </a:t>
                </a:r>
                <a:r>
                  <a:rPr lang="en-US" baseline="0"/>
                  <a:t>(Motorcycles)</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22089920"/>
        <c:crosses val="max"/>
        <c:crossBetween val="between"/>
      </c:valAx>
      <c:catAx>
        <c:axId val="322089920"/>
        <c:scaling>
          <c:orientation val="minMax"/>
        </c:scaling>
        <c:delete val="1"/>
        <c:axPos val="b"/>
        <c:numFmt formatCode="General" sourceLinked="1"/>
        <c:majorTickMark val="out"/>
        <c:minorTickMark val="none"/>
        <c:tickLblPos val="nextTo"/>
        <c:crossAx val="322096584"/>
        <c:crosses val="autoZero"/>
        <c:auto val="1"/>
        <c:lblAlgn val="ctr"/>
        <c:lblOffset val="100"/>
        <c:noMultiLvlLbl val="0"/>
      </c:catAx>
      <c:spPr>
        <a:noFill/>
        <a:ln>
          <a:solidFill>
            <a:schemeClr val="tx1"/>
          </a:solidFill>
        </a:ln>
        <a:effectLst/>
      </c:spPr>
    </c:plotArea>
    <c:legend>
      <c:legendPos val="b"/>
      <c:layout>
        <c:manualLayout>
          <c:xMode val="edge"/>
          <c:yMode val="edge"/>
          <c:x val="1.0134956087219869E-2"/>
          <c:y val="0.89426138526577292"/>
          <c:w val="0.9793214024328688"/>
          <c:h val="9.7803957711392941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a:t>Montana Site 000073 - 2019</a:t>
            </a:r>
            <a:r>
              <a:rPr lang="en-US" baseline="0"/>
              <a:t> </a:t>
            </a:r>
            <a:r>
              <a:rPr lang="en-US"/>
              <a:t>ACF by</a:t>
            </a:r>
            <a:r>
              <a:rPr lang="en-US" baseline="0"/>
              <a:t> DOW</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10445656809411373"/>
          <c:y val="0.13646063281824872"/>
          <c:w val="0.87132502591733496"/>
          <c:h val="0.5816632192499116"/>
        </c:manualLayout>
      </c:layout>
      <c:lineChart>
        <c:grouping val="standard"/>
        <c:varyColors val="0"/>
        <c:ser>
          <c:idx val="0"/>
          <c:order val="0"/>
          <c:tx>
            <c:strRef>
              <c:f>'Site 000073 MOY ACF by DOW'!$D$2</c:f>
              <c:strCache>
                <c:ptCount val="1"/>
                <c:pt idx="0">
                  <c:v>Sunday</c:v>
                </c:pt>
              </c:strCache>
            </c:strRef>
          </c:tx>
          <c:spPr>
            <a:ln w="28575" cap="rnd">
              <a:solidFill>
                <a:schemeClr val="accent1"/>
              </a:solidFill>
              <a:prstDash val="dash"/>
              <a:round/>
            </a:ln>
            <a:effectLst/>
          </c:spPr>
          <c:marker>
            <c:symbol val="circle"/>
            <c:size val="5"/>
            <c:spPr>
              <a:solidFill>
                <a:schemeClr val="accent1"/>
              </a:solidFill>
              <a:ln w="9525">
                <a:solidFill>
                  <a:schemeClr val="tx1"/>
                </a:solidFill>
              </a:ln>
              <a:effectLst/>
            </c:spPr>
          </c:marker>
          <c:cat>
            <c:strRef>
              <c:f>'Site 000073 MOY ACF by DOW'!$C$3:$C$14</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'Site 000073 MOY ACF by DOW'!$D$3:$D$14</c:f>
              <c:numCache>
                <c:formatCode>General</c:formatCode>
                <c:ptCount val="12"/>
                <c:pt idx="0">
                  <c:v>0.96</c:v>
                </c:pt>
                <c:pt idx="1">
                  <c:v>0.96399999999999997</c:v>
                </c:pt>
                <c:pt idx="2">
                  <c:v>0.96599999999999997</c:v>
                </c:pt>
                <c:pt idx="3">
                  <c:v>0.96599999999999997</c:v>
                </c:pt>
                <c:pt idx="4">
                  <c:v>0.97699999999999998</c:v>
                </c:pt>
                <c:pt idx="5">
                  <c:v>0.97499999999999998</c:v>
                </c:pt>
                <c:pt idx="6">
                  <c:v>0.97899999999999998</c:v>
                </c:pt>
                <c:pt idx="7">
                  <c:v>0.97599999999999998</c:v>
                </c:pt>
                <c:pt idx="8">
                  <c:v>0.97399999999999998</c:v>
                </c:pt>
                <c:pt idx="9">
                  <c:v>0.96299999999999997</c:v>
                </c:pt>
                <c:pt idx="10">
                  <c:v>0.95799999999999996</c:v>
                </c:pt>
                <c:pt idx="11">
                  <c:v>0.95599999999999996</c:v>
                </c:pt>
              </c:numCache>
            </c:numRef>
          </c:val>
          <c:smooth val="0"/>
          <c:extLst>
            <c:ext xmlns:c16="http://schemas.microsoft.com/office/drawing/2014/chart" uri="{C3380CC4-5D6E-409C-BE32-E72D297353CC}">
              <c16:uniqueId val="{00000000-5103-49F1-9ACD-8910DBCF5B2B}"/>
            </c:ext>
          </c:extLst>
        </c:ser>
        <c:ser>
          <c:idx val="1"/>
          <c:order val="1"/>
          <c:tx>
            <c:strRef>
              <c:f>'Site 000073 MOY ACF by DOW'!$E$2</c:f>
              <c:strCache>
                <c:ptCount val="1"/>
                <c:pt idx="0">
                  <c:v>Monday</c:v>
                </c:pt>
              </c:strCache>
            </c:strRef>
          </c:tx>
          <c:spPr>
            <a:ln w="28575" cap="rnd">
              <a:solidFill>
                <a:schemeClr val="accent2"/>
              </a:solidFill>
              <a:round/>
            </a:ln>
            <a:effectLst/>
          </c:spPr>
          <c:marker>
            <c:symbol val="triangle"/>
            <c:size val="5"/>
            <c:spPr>
              <a:solidFill>
                <a:schemeClr val="bg1"/>
              </a:solidFill>
              <a:ln w="9525">
                <a:solidFill>
                  <a:schemeClr val="accent2"/>
                </a:solidFill>
              </a:ln>
              <a:effectLst/>
            </c:spPr>
          </c:marker>
          <c:cat>
            <c:strRef>
              <c:f>'Site 000073 MOY ACF by DOW'!$C$3:$C$14</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'Site 000073 MOY ACF by DOW'!$E$3:$E$14</c:f>
              <c:numCache>
                <c:formatCode>General</c:formatCode>
                <c:ptCount val="12"/>
                <c:pt idx="0">
                  <c:v>0.91</c:v>
                </c:pt>
                <c:pt idx="1">
                  <c:v>0.92</c:v>
                </c:pt>
                <c:pt idx="2">
                  <c:v>0.9</c:v>
                </c:pt>
                <c:pt idx="3">
                  <c:v>0.90500000000000003</c:v>
                </c:pt>
                <c:pt idx="4">
                  <c:v>0.93400000000000005</c:v>
                </c:pt>
                <c:pt idx="5">
                  <c:v>0.93500000000000005</c:v>
                </c:pt>
                <c:pt idx="6">
                  <c:v>0.94699999999999995</c:v>
                </c:pt>
                <c:pt idx="7">
                  <c:v>0.94499999999999995</c:v>
                </c:pt>
                <c:pt idx="8">
                  <c:v>0.94299999999999995</c:v>
                </c:pt>
                <c:pt idx="9">
                  <c:v>0.92</c:v>
                </c:pt>
                <c:pt idx="10">
                  <c:v>0.90900000000000003</c:v>
                </c:pt>
                <c:pt idx="11">
                  <c:v>0.91800000000000004</c:v>
                </c:pt>
              </c:numCache>
            </c:numRef>
          </c:val>
          <c:smooth val="0"/>
          <c:extLst>
            <c:ext xmlns:c16="http://schemas.microsoft.com/office/drawing/2014/chart" uri="{C3380CC4-5D6E-409C-BE32-E72D297353CC}">
              <c16:uniqueId val="{00000001-5103-49F1-9ACD-8910DBCF5B2B}"/>
            </c:ext>
          </c:extLst>
        </c:ser>
        <c:ser>
          <c:idx val="2"/>
          <c:order val="2"/>
          <c:tx>
            <c:strRef>
              <c:f>'Site 000073 MOY ACF by DOW'!$F$2</c:f>
              <c:strCache>
                <c:ptCount val="1"/>
                <c:pt idx="0">
                  <c:v>Tuesday</c:v>
                </c:pt>
              </c:strCache>
            </c:strRef>
          </c:tx>
          <c:spPr>
            <a:ln w="28575" cap="rnd">
              <a:solidFill>
                <a:schemeClr val="bg1">
                  <a:lumMod val="50000"/>
                </a:schemeClr>
              </a:solidFill>
              <a:round/>
            </a:ln>
            <a:effectLst/>
          </c:spPr>
          <c:marker>
            <c:symbol val="circle"/>
            <c:size val="5"/>
            <c:spPr>
              <a:solidFill>
                <a:schemeClr val="accent3"/>
              </a:solidFill>
              <a:ln w="9525">
                <a:solidFill>
                  <a:schemeClr val="tx1"/>
                </a:solidFill>
              </a:ln>
              <a:effectLst/>
            </c:spPr>
          </c:marker>
          <c:cat>
            <c:strRef>
              <c:f>'Site 000073 MOY ACF by DOW'!$C$3:$C$14</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'Site 000073 MOY ACF by DOW'!$F$3:$F$14</c:f>
              <c:numCache>
                <c:formatCode>General</c:formatCode>
                <c:ptCount val="12"/>
                <c:pt idx="0">
                  <c:v>0.90700000000000003</c:v>
                </c:pt>
                <c:pt idx="1">
                  <c:v>0.92</c:v>
                </c:pt>
                <c:pt idx="2">
                  <c:v>0.90500000000000003</c:v>
                </c:pt>
                <c:pt idx="3">
                  <c:v>0.92100000000000004</c:v>
                </c:pt>
                <c:pt idx="4">
                  <c:v>0.92800000000000005</c:v>
                </c:pt>
                <c:pt idx="5">
                  <c:v>0.93899999999999995</c:v>
                </c:pt>
                <c:pt idx="6">
                  <c:v>0.94799999999999995</c:v>
                </c:pt>
                <c:pt idx="7">
                  <c:v>0.94499999999999995</c:v>
                </c:pt>
                <c:pt idx="8">
                  <c:v>0.93400000000000005</c:v>
                </c:pt>
                <c:pt idx="9">
                  <c:v>0.92200000000000004</c:v>
                </c:pt>
                <c:pt idx="10">
                  <c:v>0.90800000000000003</c:v>
                </c:pt>
                <c:pt idx="11">
                  <c:v>0.91200000000000003</c:v>
                </c:pt>
              </c:numCache>
            </c:numRef>
          </c:val>
          <c:smooth val="0"/>
          <c:extLst>
            <c:ext xmlns:c16="http://schemas.microsoft.com/office/drawing/2014/chart" uri="{C3380CC4-5D6E-409C-BE32-E72D297353CC}">
              <c16:uniqueId val="{00000002-5103-49F1-9ACD-8910DBCF5B2B}"/>
            </c:ext>
          </c:extLst>
        </c:ser>
        <c:ser>
          <c:idx val="3"/>
          <c:order val="3"/>
          <c:tx>
            <c:strRef>
              <c:f>'Site 000073 MOY ACF by DOW'!$G$2</c:f>
              <c:strCache>
                <c:ptCount val="1"/>
                <c:pt idx="0">
                  <c:v>Wednesday</c:v>
                </c:pt>
              </c:strCache>
            </c:strRef>
          </c:tx>
          <c:spPr>
            <a:ln w="28575" cap="rnd">
              <a:solidFill>
                <a:schemeClr val="accent4"/>
              </a:solidFill>
              <a:round/>
            </a:ln>
            <a:effectLst/>
          </c:spPr>
          <c:marker>
            <c:symbol val="x"/>
            <c:size val="5"/>
            <c:spPr>
              <a:solidFill>
                <a:schemeClr val="accent4"/>
              </a:solidFill>
              <a:ln w="9525">
                <a:solidFill>
                  <a:schemeClr val="tx1"/>
                </a:solidFill>
              </a:ln>
              <a:effectLst/>
            </c:spPr>
          </c:marker>
          <c:cat>
            <c:strRef>
              <c:f>'Site 000073 MOY ACF by DOW'!$C$3:$C$14</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'Site 000073 MOY ACF by DOW'!$G$3:$G$14</c:f>
              <c:numCache>
                <c:formatCode>General</c:formatCode>
                <c:ptCount val="12"/>
                <c:pt idx="0">
                  <c:v>0.92300000000000004</c:v>
                </c:pt>
                <c:pt idx="1">
                  <c:v>0.91900000000000004</c:v>
                </c:pt>
                <c:pt idx="2">
                  <c:v>0.90100000000000002</c:v>
                </c:pt>
                <c:pt idx="3">
                  <c:v>0.92</c:v>
                </c:pt>
                <c:pt idx="4">
                  <c:v>0.92500000000000004</c:v>
                </c:pt>
                <c:pt idx="5">
                  <c:v>0.93100000000000005</c:v>
                </c:pt>
                <c:pt idx="6">
                  <c:v>0.95099999999999996</c:v>
                </c:pt>
                <c:pt idx="7">
                  <c:v>0.94299999999999995</c:v>
                </c:pt>
                <c:pt idx="8">
                  <c:v>0.93200000000000005</c:v>
                </c:pt>
                <c:pt idx="9">
                  <c:v>0.92700000000000005</c:v>
                </c:pt>
                <c:pt idx="10">
                  <c:v>0.90900000000000003</c:v>
                </c:pt>
                <c:pt idx="11">
                  <c:v>0.91700000000000004</c:v>
                </c:pt>
              </c:numCache>
            </c:numRef>
          </c:val>
          <c:smooth val="0"/>
          <c:extLst>
            <c:ext xmlns:c16="http://schemas.microsoft.com/office/drawing/2014/chart" uri="{C3380CC4-5D6E-409C-BE32-E72D297353CC}">
              <c16:uniqueId val="{00000003-5103-49F1-9ACD-8910DBCF5B2B}"/>
            </c:ext>
          </c:extLst>
        </c:ser>
        <c:ser>
          <c:idx val="4"/>
          <c:order val="4"/>
          <c:tx>
            <c:strRef>
              <c:f>'Site 000073 MOY ACF by DOW'!$H$2</c:f>
              <c:strCache>
                <c:ptCount val="1"/>
                <c:pt idx="0">
                  <c:v>Thursday</c:v>
                </c:pt>
              </c:strCache>
            </c:strRef>
          </c:tx>
          <c:spPr>
            <a:ln w="28575" cap="rnd">
              <a:solidFill>
                <a:schemeClr val="accent5"/>
              </a:solidFill>
              <a:round/>
            </a:ln>
            <a:effectLst/>
          </c:spPr>
          <c:marker>
            <c:symbol val="plus"/>
            <c:size val="5"/>
            <c:spPr>
              <a:solidFill>
                <a:schemeClr val="accent5"/>
              </a:solidFill>
              <a:ln w="9525">
                <a:solidFill>
                  <a:schemeClr val="tx1"/>
                </a:solidFill>
              </a:ln>
              <a:effectLst/>
            </c:spPr>
          </c:marker>
          <c:cat>
            <c:strRef>
              <c:f>'Site 000073 MOY ACF by DOW'!$C$3:$C$14</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'Site 000073 MOY ACF by DOW'!$H$3:$H$14</c:f>
              <c:numCache>
                <c:formatCode>General</c:formatCode>
                <c:ptCount val="12"/>
                <c:pt idx="0">
                  <c:v>0.91800000000000004</c:v>
                </c:pt>
                <c:pt idx="1">
                  <c:v>0.92800000000000005</c:v>
                </c:pt>
                <c:pt idx="2">
                  <c:v>0.90300000000000002</c:v>
                </c:pt>
                <c:pt idx="3">
                  <c:v>0.91500000000000004</c:v>
                </c:pt>
                <c:pt idx="4">
                  <c:v>0.92700000000000005</c:v>
                </c:pt>
                <c:pt idx="5">
                  <c:v>0.93300000000000005</c:v>
                </c:pt>
                <c:pt idx="6">
                  <c:v>0.94899999999999995</c:v>
                </c:pt>
                <c:pt idx="7">
                  <c:v>0.94599999999999995</c:v>
                </c:pt>
                <c:pt idx="8">
                  <c:v>0.93500000000000005</c:v>
                </c:pt>
                <c:pt idx="9">
                  <c:v>0.92300000000000004</c:v>
                </c:pt>
                <c:pt idx="10">
                  <c:v>0.92</c:v>
                </c:pt>
                <c:pt idx="11">
                  <c:v>0.92600000000000005</c:v>
                </c:pt>
              </c:numCache>
            </c:numRef>
          </c:val>
          <c:smooth val="0"/>
          <c:extLst>
            <c:ext xmlns:c16="http://schemas.microsoft.com/office/drawing/2014/chart" uri="{C3380CC4-5D6E-409C-BE32-E72D297353CC}">
              <c16:uniqueId val="{00000004-5103-49F1-9ACD-8910DBCF5B2B}"/>
            </c:ext>
          </c:extLst>
        </c:ser>
        <c:ser>
          <c:idx val="5"/>
          <c:order val="5"/>
          <c:tx>
            <c:strRef>
              <c:f>'Site 000073 MOY ACF by DOW'!$I$2</c:f>
              <c:strCache>
                <c:ptCount val="1"/>
                <c:pt idx="0">
                  <c:v>Friday</c:v>
                </c:pt>
              </c:strCache>
            </c:strRef>
          </c:tx>
          <c:spPr>
            <a:ln w="28575" cap="rnd">
              <a:solidFill>
                <a:schemeClr val="accent6"/>
              </a:solidFill>
              <a:round/>
            </a:ln>
            <a:effectLst/>
          </c:spPr>
          <c:marker>
            <c:symbol val="diamond"/>
            <c:size val="5"/>
            <c:spPr>
              <a:solidFill>
                <a:schemeClr val="accent6"/>
              </a:solidFill>
              <a:ln w="9525">
                <a:solidFill>
                  <a:schemeClr val="tx1"/>
                </a:solidFill>
              </a:ln>
              <a:effectLst/>
            </c:spPr>
          </c:marker>
          <c:cat>
            <c:strRef>
              <c:f>'Site 000073 MOY ACF by DOW'!$C$3:$C$14</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'Site 000073 MOY ACF by DOW'!$I$3:$I$14</c:f>
              <c:numCache>
                <c:formatCode>General</c:formatCode>
                <c:ptCount val="12"/>
                <c:pt idx="0">
                  <c:v>0.92600000000000005</c:v>
                </c:pt>
                <c:pt idx="1">
                  <c:v>0.93500000000000005</c:v>
                </c:pt>
                <c:pt idx="2">
                  <c:v>0.91900000000000004</c:v>
                </c:pt>
                <c:pt idx="3">
                  <c:v>0.92400000000000004</c:v>
                </c:pt>
                <c:pt idx="4">
                  <c:v>0.94199999999999995</c:v>
                </c:pt>
                <c:pt idx="5">
                  <c:v>0.94299999999999995</c:v>
                </c:pt>
                <c:pt idx="6">
                  <c:v>0.95799999999999996</c:v>
                </c:pt>
                <c:pt idx="7">
                  <c:v>0.95399999999999996</c:v>
                </c:pt>
                <c:pt idx="8">
                  <c:v>0.94399999999999995</c:v>
                </c:pt>
                <c:pt idx="9">
                  <c:v>0.93700000000000006</c:v>
                </c:pt>
                <c:pt idx="10">
                  <c:v>0.92700000000000005</c:v>
                </c:pt>
                <c:pt idx="11">
                  <c:v>0.92700000000000005</c:v>
                </c:pt>
              </c:numCache>
            </c:numRef>
          </c:val>
          <c:smooth val="0"/>
          <c:extLst>
            <c:ext xmlns:c16="http://schemas.microsoft.com/office/drawing/2014/chart" uri="{C3380CC4-5D6E-409C-BE32-E72D297353CC}">
              <c16:uniqueId val="{00000005-5103-49F1-9ACD-8910DBCF5B2B}"/>
            </c:ext>
          </c:extLst>
        </c:ser>
        <c:ser>
          <c:idx val="6"/>
          <c:order val="6"/>
          <c:tx>
            <c:strRef>
              <c:f>'Site 000073 MOY ACF by DOW'!$J$2</c:f>
              <c:strCache>
                <c:ptCount val="1"/>
                <c:pt idx="0">
                  <c:v>Saturday</c:v>
                </c:pt>
              </c:strCache>
            </c:strRef>
          </c:tx>
          <c:spPr>
            <a:ln w="28575" cap="rnd">
              <a:solidFill>
                <a:schemeClr val="accent1">
                  <a:lumMod val="60000"/>
                </a:schemeClr>
              </a:solidFill>
              <a:round/>
            </a:ln>
            <a:effectLst/>
          </c:spPr>
          <c:marker>
            <c:symbol val="square"/>
            <c:size val="5"/>
            <c:spPr>
              <a:solidFill>
                <a:schemeClr val="bg1"/>
              </a:solidFill>
              <a:ln w="9525">
                <a:solidFill>
                  <a:schemeClr val="accent1">
                    <a:lumMod val="60000"/>
                  </a:schemeClr>
                </a:solidFill>
              </a:ln>
              <a:effectLst/>
            </c:spPr>
          </c:marker>
          <c:cat>
            <c:strRef>
              <c:f>'Site 000073 MOY ACF by DOW'!$C$3:$C$14</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'Site 000073 MOY ACF by DOW'!$J$3:$J$14</c:f>
              <c:numCache>
                <c:formatCode>General</c:formatCode>
                <c:ptCount val="12"/>
                <c:pt idx="0">
                  <c:v>0.96599999999999997</c:v>
                </c:pt>
                <c:pt idx="1">
                  <c:v>0.96599999999999997</c:v>
                </c:pt>
                <c:pt idx="2">
                  <c:v>0.96799999999999997</c:v>
                </c:pt>
                <c:pt idx="3">
                  <c:v>0.96699999999999997</c:v>
                </c:pt>
                <c:pt idx="4">
                  <c:v>0.97599999999999998</c:v>
                </c:pt>
                <c:pt idx="5">
                  <c:v>0.97399999999999998</c:v>
                </c:pt>
                <c:pt idx="6">
                  <c:v>0.98</c:v>
                </c:pt>
                <c:pt idx="7">
                  <c:v>0.97899999999999998</c:v>
                </c:pt>
                <c:pt idx="8">
                  <c:v>0.97599999999999998</c:v>
                </c:pt>
                <c:pt idx="9">
                  <c:v>0.97099999999999997</c:v>
                </c:pt>
                <c:pt idx="10">
                  <c:v>0.96599999999999997</c:v>
                </c:pt>
                <c:pt idx="11">
                  <c:v>0.96</c:v>
                </c:pt>
              </c:numCache>
            </c:numRef>
          </c:val>
          <c:smooth val="0"/>
          <c:extLst>
            <c:ext xmlns:c16="http://schemas.microsoft.com/office/drawing/2014/chart" uri="{C3380CC4-5D6E-409C-BE32-E72D297353CC}">
              <c16:uniqueId val="{00000006-5103-49F1-9ACD-8910DBCF5B2B}"/>
            </c:ext>
          </c:extLst>
        </c:ser>
        <c:dLbls>
          <c:showLegendKey val="0"/>
          <c:showVal val="0"/>
          <c:showCatName val="0"/>
          <c:showSerName val="0"/>
          <c:showPercent val="0"/>
          <c:showBubbleSize val="0"/>
        </c:dLbls>
        <c:marker val="1"/>
        <c:smooth val="0"/>
        <c:axId val="322088744"/>
        <c:axId val="322084040"/>
      </c:lineChart>
      <c:catAx>
        <c:axId val="322088744"/>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t>Month</a:t>
                </a:r>
              </a:p>
            </c:rich>
          </c:tx>
          <c:layout>
            <c:manualLayout>
              <c:xMode val="edge"/>
              <c:yMode val="edge"/>
              <c:x val="0.48322238286924835"/>
              <c:y val="0.8316180641854418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22084040"/>
        <c:crosses val="autoZero"/>
        <c:auto val="1"/>
        <c:lblAlgn val="ctr"/>
        <c:lblOffset val="100"/>
        <c:noMultiLvlLbl val="0"/>
      </c:catAx>
      <c:valAx>
        <c:axId val="322084040"/>
        <c:scaling>
          <c:orientation val="minMax"/>
        </c:scaling>
        <c:delete val="0"/>
        <c:axPos val="l"/>
        <c:majorGridlines>
          <c:spPr>
            <a:ln w="9525" cap="flat" cmpd="sng" algn="ctr">
              <a:solidFill>
                <a:schemeClr val="tx1"/>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t>Axle Correction Factors</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22088744"/>
        <c:crosses val="autoZero"/>
        <c:crossBetween val="between"/>
      </c:valAx>
      <c:spPr>
        <a:noFill/>
        <a:ln>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E5D9681-C6E0-44CA-AA26-8EEB66D085B3}" type="doc">
      <dgm:prSet loTypeId="urn:microsoft.com/office/officeart/2005/8/layout/process4" loCatId="list" qsTypeId="urn:microsoft.com/office/officeart/2005/8/quickstyle/simple3" qsCatId="simple" csTypeId="urn:microsoft.com/office/officeart/2005/8/colors/accent3_5" csCatId="accent3" phldr="1"/>
      <dgm:spPr/>
      <dgm:t>
        <a:bodyPr/>
        <a:lstStyle/>
        <a:p>
          <a:endParaRPr lang="en-US"/>
        </a:p>
      </dgm:t>
    </dgm:pt>
    <dgm:pt modelId="{0636B301-2ABE-4499-8CE1-DA6F0D78BFEA}">
      <dgm:prSet phldrT="[Text]" custT="1"/>
      <dgm:spPr/>
      <dgm:t>
        <a:bodyPr/>
        <a:lstStyle/>
        <a:p>
          <a:r>
            <a:rPr lang="en-US" sz="800"/>
            <a:t>1: Review Existing Continuous Count Program</a:t>
          </a:r>
        </a:p>
      </dgm:t>
    </dgm:pt>
    <dgm:pt modelId="{2E6A07A4-A483-402F-AAB1-ECAD7DAED99D}" type="parTrans" cxnId="{D49541DA-43ED-41E6-9736-FE2629B838A9}">
      <dgm:prSet/>
      <dgm:spPr/>
      <dgm:t>
        <a:bodyPr/>
        <a:lstStyle/>
        <a:p>
          <a:endParaRPr lang="en-US"/>
        </a:p>
      </dgm:t>
    </dgm:pt>
    <dgm:pt modelId="{668766FD-E02D-406C-B9F1-B1D19F8E1EE2}" type="sibTrans" cxnId="{D49541DA-43ED-41E6-9736-FE2629B838A9}">
      <dgm:prSet/>
      <dgm:spPr/>
      <dgm:t>
        <a:bodyPr/>
        <a:lstStyle/>
        <a:p>
          <a:endParaRPr lang="en-US"/>
        </a:p>
      </dgm:t>
    </dgm:pt>
    <dgm:pt modelId="{5E0C3C73-6A53-4261-B15A-5FF21A79E799}">
      <dgm:prSet phldrT="[Text]"/>
      <dgm:spPr/>
      <dgm:t>
        <a:bodyPr/>
        <a:lstStyle/>
        <a:p>
          <a:r>
            <a:rPr lang="en-US"/>
            <a:t>Current Program: define, analyze, &amp; document current continuous program</a:t>
          </a:r>
        </a:p>
      </dgm:t>
    </dgm:pt>
    <dgm:pt modelId="{CC613962-73BF-4D15-85B6-738D283D9394}" type="parTrans" cxnId="{DC1CACAB-4C76-40A6-8CD2-DE97FEBEED8E}">
      <dgm:prSet/>
      <dgm:spPr/>
      <dgm:t>
        <a:bodyPr/>
        <a:lstStyle/>
        <a:p>
          <a:endParaRPr lang="en-US"/>
        </a:p>
      </dgm:t>
    </dgm:pt>
    <dgm:pt modelId="{2CC63086-6536-40A9-8CA6-ABAE58112D5D}" type="sibTrans" cxnId="{DC1CACAB-4C76-40A6-8CD2-DE97FEBEED8E}">
      <dgm:prSet/>
      <dgm:spPr/>
      <dgm:t>
        <a:bodyPr/>
        <a:lstStyle/>
        <a:p>
          <a:endParaRPr lang="en-US"/>
        </a:p>
      </dgm:t>
    </dgm:pt>
    <dgm:pt modelId="{9416A4E5-D207-437C-8CB5-D36C29A589B6}">
      <dgm:prSet phldrT="[Text]"/>
      <dgm:spPr/>
      <dgm:t>
        <a:bodyPr/>
        <a:lstStyle/>
        <a:p>
          <a:r>
            <a:rPr lang="en-US"/>
            <a:t>Traffic Patterns: review to determine existing and changing traffic patterns</a:t>
          </a:r>
        </a:p>
      </dgm:t>
    </dgm:pt>
    <dgm:pt modelId="{347637F8-60A7-4C49-9C40-A904A0A7A3FB}" type="parTrans" cxnId="{693E8CEA-840F-4D03-90C8-CED9A550AAE9}">
      <dgm:prSet/>
      <dgm:spPr/>
      <dgm:t>
        <a:bodyPr/>
        <a:lstStyle/>
        <a:p>
          <a:endParaRPr lang="en-US"/>
        </a:p>
      </dgm:t>
    </dgm:pt>
    <dgm:pt modelId="{059652D0-6D3F-4754-BEF9-3DA6C59F4656}" type="sibTrans" cxnId="{693E8CEA-840F-4D03-90C8-CED9A550AAE9}">
      <dgm:prSet/>
      <dgm:spPr/>
      <dgm:t>
        <a:bodyPr/>
        <a:lstStyle/>
        <a:p>
          <a:endParaRPr lang="en-US"/>
        </a:p>
      </dgm:t>
    </dgm:pt>
    <dgm:pt modelId="{6875DC89-E17F-4E26-A6C4-A6DDF338FBC7}">
      <dgm:prSet phldrT="[Text]" custT="1"/>
      <dgm:spPr/>
      <dgm:t>
        <a:bodyPr/>
        <a:lstStyle/>
        <a:p>
          <a:r>
            <a:rPr lang="en-US" sz="700"/>
            <a:t>2: Develop Inventory of Available Continuous Count Locations and Equipment</a:t>
          </a:r>
        </a:p>
      </dgm:t>
    </dgm:pt>
    <dgm:pt modelId="{197ED0EA-BB2E-4260-ADE8-937E661BA591}" type="parTrans" cxnId="{90C468A3-30BF-4853-93B4-172E8A232490}">
      <dgm:prSet/>
      <dgm:spPr/>
      <dgm:t>
        <a:bodyPr/>
        <a:lstStyle/>
        <a:p>
          <a:endParaRPr lang="en-US"/>
        </a:p>
      </dgm:t>
    </dgm:pt>
    <dgm:pt modelId="{23DDB854-644A-4400-A7F0-7FB6EFFEF007}" type="sibTrans" cxnId="{90C468A3-30BF-4853-93B4-172E8A232490}">
      <dgm:prSet/>
      <dgm:spPr/>
      <dgm:t>
        <a:bodyPr/>
        <a:lstStyle/>
        <a:p>
          <a:endParaRPr lang="en-US"/>
        </a:p>
      </dgm:t>
    </dgm:pt>
    <dgm:pt modelId="{E8E038F4-3C1C-49AF-B8F0-ED54EF106065}">
      <dgm:prSet phldrT="[Text]"/>
      <dgm:spPr/>
      <dgm:t>
        <a:bodyPr/>
        <a:lstStyle/>
        <a:p>
          <a:r>
            <a:rPr lang="en-US"/>
            <a:t>Existing Data Sources</a:t>
          </a:r>
        </a:p>
      </dgm:t>
    </dgm:pt>
    <dgm:pt modelId="{FC8A7DAB-CC63-4EB8-8ACA-3C744A7C5D8E}" type="parTrans" cxnId="{12C9D552-0091-4EF7-BC64-831DD2DBCD74}">
      <dgm:prSet/>
      <dgm:spPr/>
      <dgm:t>
        <a:bodyPr/>
        <a:lstStyle/>
        <a:p>
          <a:endParaRPr lang="en-US"/>
        </a:p>
      </dgm:t>
    </dgm:pt>
    <dgm:pt modelId="{CD8D8D60-5BB8-4536-B8B2-A63F6D6C2C05}" type="sibTrans" cxnId="{12C9D552-0091-4EF7-BC64-831DD2DBCD74}">
      <dgm:prSet/>
      <dgm:spPr/>
      <dgm:t>
        <a:bodyPr/>
        <a:lstStyle/>
        <a:p>
          <a:endParaRPr lang="en-US"/>
        </a:p>
      </dgm:t>
    </dgm:pt>
    <dgm:pt modelId="{35D1E970-A1A4-48B6-B3C8-116EB9289BC8}">
      <dgm:prSet phldrT="[Text]"/>
      <dgm:spPr/>
      <dgm:t>
        <a:bodyPr/>
        <a:lstStyle/>
        <a:p>
          <a:r>
            <a:rPr lang="en-US"/>
            <a:t>Other Sources</a:t>
          </a:r>
        </a:p>
      </dgm:t>
    </dgm:pt>
    <dgm:pt modelId="{E39FBC68-FD0A-461E-B7E0-30D94C35918C}" type="parTrans" cxnId="{22184E9D-9E43-457B-A841-C06B485FF000}">
      <dgm:prSet/>
      <dgm:spPr/>
      <dgm:t>
        <a:bodyPr/>
        <a:lstStyle/>
        <a:p>
          <a:endParaRPr lang="en-US"/>
        </a:p>
      </dgm:t>
    </dgm:pt>
    <dgm:pt modelId="{D5EAE894-1910-423D-99FC-BBB32C888CF8}" type="sibTrans" cxnId="{22184E9D-9E43-457B-A841-C06B485FF000}">
      <dgm:prSet/>
      <dgm:spPr/>
      <dgm:t>
        <a:bodyPr/>
        <a:lstStyle/>
        <a:p>
          <a:endParaRPr lang="en-US"/>
        </a:p>
      </dgm:t>
    </dgm:pt>
    <dgm:pt modelId="{A785B758-ABAB-495F-B666-7F866781DDBA}">
      <dgm:prSet phldrT="[Text]" custT="1"/>
      <dgm:spPr/>
      <dgm:t>
        <a:bodyPr/>
        <a:lstStyle/>
        <a:p>
          <a:r>
            <a:rPr lang="en-US" sz="700"/>
            <a:t>3: Determine the Traffic Patterns to be Monitored</a:t>
          </a:r>
        </a:p>
      </dgm:t>
    </dgm:pt>
    <dgm:pt modelId="{FF930085-12DD-487D-96F1-C4D6C3958AA1}" type="parTrans" cxnId="{E15969A7-69DE-4BB2-858A-E568F1251883}">
      <dgm:prSet/>
      <dgm:spPr/>
      <dgm:t>
        <a:bodyPr/>
        <a:lstStyle/>
        <a:p>
          <a:endParaRPr lang="en-US"/>
        </a:p>
      </dgm:t>
    </dgm:pt>
    <dgm:pt modelId="{4CE7753D-5EAA-4B27-9006-57A06DF6A981}" type="sibTrans" cxnId="{E15969A7-69DE-4BB2-858A-E568F1251883}">
      <dgm:prSet/>
      <dgm:spPr/>
      <dgm:t>
        <a:bodyPr/>
        <a:lstStyle/>
        <a:p>
          <a:endParaRPr lang="en-US"/>
        </a:p>
      </dgm:t>
    </dgm:pt>
    <dgm:pt modelId="{696E5218-9A65-49C9-94B9-E5E4DFD61F66}">
      <dgm:prSet phldrT="[Text]"/>
      <dgm:spPr/>
      <dgm:t>
        <a:bodyPr/>
        <a:lstStyle/>
        <a:p>
          <a:r>
            <a:rPr lang="en-US"/>
            <a:t>Time Patterns</a:t>
          </a:r>
        </a:p>
      </dgm:t>
    </dgm:pt>
    <dgm:pt modelId="{54945753-DCBC-413B-808D-CAD4426E937E}" type="parTrans" cxnId="{09126DDD-7C04-43D9-ABC5-335A11B66618}">
      <dgm:prSet/>
      <dgm:spPr/>
      <dgm:t>
        <a:bodyPr/>
        <a:lstStyle/>
        <a:p>
          <a:endParaRPr lang="en-US"/>
        </a:p>
      </dgm:t>
    </dgm:pt>
    <dgm:pt modelId="{B947D2EE-3478-4CBC-8C30-18B17963B042}" type="sibTrans" cxnId="{09126DDD-7C04-43D9-ABC5-335A11B66618}">
      <dgm:prSet/>
      <dgm:spPr/>
      <dgm:t>
        <a:bodyPr/>
        <a:lstStyle/>
        <a:p>
          <a:endParaRPr lang="en-US"/>
        </a:p>
      </dgm:t>
    </dgm:pt>
    <dgm:pt modelId="{498104D9-D0AD-495E-B6B0-396F4A4BA462}">
      <dgm:prSet phldrT="[Text]"/>
      <dgm:spPr/>
      <dgm:t>
        <a:bodyPr/>
        <a:lstStyle/>
        <a:p>
          <a:r>
            <a:rPr lang="en-US"/>
            <a:t>Monthly Factors</a:t>
          </a:r>
        </a:p>
      </dgm:t>
    </dgm:pt>
    <dgm:pt modelId="{64E1B10F-77B9-42B4-9552-9CF0130AF432}" type="parTrans" cxnId="{CE51C80A-24CD-4818-BABC-599DCC3E5A7D}">
      <dgm:prSet/>
      <dgm:spPr/>
      <dgm:t>
        <a:bodyPr/>
        <a:lstStyle/>
        <a:p>
          <a:endParaRPr lang="en-US"/>
        </a:p>
      </dgm:t>
    </dgm:pt>
    <dgm:pt modelId="{6AE6B6F5-652A-457B-8746-4081F7402A6D}" type="sibTrans" cxnId="{CE51C80A-24CD-4818-BABC-599DCC3E5A7D}">
      <dgm:prSet/>
      <dgm:spPr/>
      <dgm:t>
        <a:bodyPr/>
        <a:lstStyle/>
        <a:p>
          <a:endParaRPr lang="en-US"/>
        </a:p>
      </dgm:t>
    </dgm:pt>
    <dgm:pt modelId="{D14E5D80-3D63-4B66-A86C-1C2A11106ADD}">
      <dgm:prSet phldrT="[Text]"/>
      <dgm:spPr/>
      <dgm:t>
        <a:bodyPr/>
        <a:lstStyle/>
        <a:p>
          <a:r>
            <a:rPr lang="en-US"/>
            <a:t>Data Adjustment</a:t>
          </a:r>
        </a:p>
      </dgm:t>
    </dgm:pt>
    <dgm:pt modelId="{BE6AC0C2-C55A-4DC2-9890-377ADE5C84C5}" type="parTrans" cxnId="{763D224C-D511-4374-9105-8E44BE3C7C39}">
      <dgm:prSet/>
      <dgm:spPr/>
      <dgm:t>
        <a:bodyPr/>
        <a:lstStyle/>
        <a:p>
          <a:endParaRPr lang="en-US"/>
        </a:p>
      </dgm:t>
    </dgm:pt>
    <dgm:pt modelId="{2D2F6E60-4495-4D98-9509-5ECAEFC88461}" type="sibTrans" cxnId="{763D224C-D511-4374-9105-8E44BE3C7C39}">
      <dgm:prSet/>
      <dgm:spPr/>
      <dgm:t>
        <a:bodyPr/>
        <a:lstStyle/>
        <a:p>
          <a:endParaRPr lang="en-US"/>
        </a:p>
      </dgm:t>
    </dgm:pt>
    <dgm:pt modelId="{221B35D2-A824-45B1-B22A-8634C7C1604B}">
      <dgm:prSet phldrT="[Text]"/>
      <dgm:spPr/>
      <dgm:t>
        <a:bodyPr/>
        <a:lstStyle/>
        <a:p>
          <a:r>
            <a:rPr lang="en-US"/>
            <a:t>Quality Control: ensure formal rules and procedures are in place</a:t>
          </a:r>
        </a:p>
      </dgm:t>
    </dgm:pt>
    <dgm:pt modelId="{4C23AC1A-F278-4DCC-BF3A-9A93D2818219}" type="parTrans" cxnId="{568B26F5-AEB7-4816-96F6-41A364D9B195}">
      <dgm:prSet/>
      <dgm:spPr/>
      <dgm:t>
        <a:bodyPr/>
        <a:lstStyle/>
        <a:p>
          <a:endParaRPr lang="en-US"/>
        </a:p>
      </dgm:t>
    </dgm:pt>
    <dgm:pt modelId="{E51B2699-1379-4C8C-9EC7-DBA34D5B2C22}" type="sibTrans" cxnId="{568B26F5-AEB7-4816-96F6-41A364D9B195}">
      <dgm:prSet/>
      <dgm:spPr/>
      <dgm:t>
        <a:bodyPr/>
        <a:lstStyle/>
        <a:p>
          <a:endParaRPr lang="en-US"/>
        </a:p>
      </dgm:t>
    </dgm:pt>
    <dgm:pt modelId="{345080F2-C7A8-4974-B623-66CCB4BDD78C}">
      <dgm:prSet phldrT="[Text]"/>
      <dgm:spPr/>
      <dgm:t>
        <a:bodyPr/>
        <a:lstStyle/>
        <a:p>
          <a:r>
            <a:rPr lang="en-US"/>
            <a:t>Summary Statistics: from raw data collected by continuous count stations</a:t>
          </a:r>
        </a:p>
      </dgm:t>
    </dgm:pt>
    <dgm:pt modelId="{3B236994-6B14-476E-9346-AA1BE3E2D879}" type="parTrans" cxnId="{280B1464-D5D8-420C-955E-DE567A6CB064}">
      <dgm:prSet/>
      <dgm:spPr/>
      <dgm:t>
        <a:bodyPr/>
        <a:lstStyle/>
        <a:p>
          <a:endParaRPr lang="en-US"/>
        </a:p>
      </dgm:t>
    </dgm:pt>
    <dgm:pt modelId="{2ED3ACDC-B176-4A06-BC29-EBD2ADAC874E}" type="sibTrans" cxnId="{280B1464-D5D8-420C-955E-DE567A6CB064}">
      <dgm:prSet/>
      <dgm:spPr/>
      <dgm:t>
        <a:bodyPr/>
        <a:lstStyle/>
        <a:p>
          <a:endParaRPr lang="en-US"/>
        </a:p>
      </dgm:t>
    </dgm:pt>
    <dgm:pt modelId="{1DC97E43-C325-447F-A3FD-11160F55E327}">
      <dgm:prSet phldrT="[Text]"/>
      <dgm:spPr/>
      <dgm:t>
        <a:bodyPr/>
        <a:lstStyle/>
        <a:p>
          <a:r>
            <a:rPr lang="en-US"/>
            <a:t>Uses of Data</a:t>
          </a:r>
        </a:p>
      </dgm:t>
    </dgm:pt>
    <dgm:pt modelId="{A547F612-8218-45CE-A4C7-5800405AC117}" type="parTrans" cxnId="{B0AB2202-F46C-4CD9-A017-20E2A96B3475}">
      <dgm:prSet/>
      <dgm:spPr/>
      <dgm:t>
        <a:bodyPr/>
        <a:lstStyle/>
        <a:p>
          <a:endParaRPr lang="en-US"/>
        </a:p>
      </dgm:t>
    </dgm:pt>
    <dgm:pt modelId="{B8B2853F-20C8-4A33-AD34-2137B5A7A074}" type="sibTrans" cxnId="{B0AB2202-F46C-4CD9-A017-20E2A96B3475}">
      <dgm:prSet/>
      <dgm:spPr/>
      <dgm:t>
        <a:bodyPr/>
        <a:lstStyle/>
        <a:p>
          <a:endParaRPr lang="en-US"/>
        </a:p>
      </dgm:t>
    </dgm:pt>
    <dgm:pt modelId="{791A9A5B-EF83-4FA9-8869-9FF75799669E}">
      <dgm:prSet phldrT="[Text]"/>
      <dgm:spPr/>
      <dgm:t>
        <a:bodyPr/>
        <a:lstStyle/>
        <a:p>
          <a:r>
            <a:rPr lang="en-US"/>
            <a:t>Assignment</a:t>
          </a:r>
        </a:p>
      </dgm:t>
    </dgm:pt>
    <dgm:pt modelId="{43088FC8-CFED-49EB-82E1-46F95DCBBBB6}" type="parTrans" cxnId="{B3FDC604-6916-4CDF-84F5-4F44B14DC863}">
      <dgm:prSet/>
      <dgm:spPr/>
      <dgm:t>
        <a:bodyPr/>
        <a:lstStyle/>
        <a:p>
          <a:endParaRPr lang="en-US"/>
        </a:p>
      </dgm:t>
    </dgm:pt>
    <dgm:pt modelId="{BDC3920B-C282-4C7D-9993-95D9017359AA}" type="sibTrans" cxnId="{B3FDC604-6916-4CDF-84F5-4F44B14DC863}">
      <dgm:prSet/>
      <dgm:spPr/>
      <dgm:t>
        <a:bodyPr/>
        <a:lstStyle/>
        <a:p>
          <a:endParaRPr lang="en-US"/>
        </a:p>
      </dgm:t>
    </dgm:pt>
    <dgm:pt modelId="{725430EB-7D98-475D-BA2B-F5F95A4D1EBC}">
      <dgm:prSet phldrT="[Text]"/>
      <dgm:spPr/>
      <dgm:t>
        <a:bodyPr/>
        <a:lstStyle/>
        <a:p>
          <a:r>
            <a:rPr lang="en-US"/>
            <a:t>Hour of Day Adjustment</a:t>
          </a:r>
        </a:p>
      </dgm:t>
    </dgm:pt>
    <dgm:pt modelId="{6C753065-C676-40B1-8703-965AE08E6554}" type="parTrans" cxnId="{D4E28A22-4D0C-47C3-86AC-29EF7E222577}">
      <dgm:prSet/>
      <dgm:spPr/>
      <dgm:t>
        <a:bodyPr/>
        <a:lstStyle/>
        <a:p>
          <a:endParaRPr lang="en-US"/>
        </a:p>
      </dgm:t>
    </dgm:pt>
    <dgm:pt modelId="{3011343C-8317-4A13-BECA-55A140030012}" type="sibTrans" cxnId="{D4E28A22-4D0C-47C3-86AC-29EF7E222577}">
      <dgm:prSet/>
      <dgm:spPr/>
      <dgm:t>
        <a:bodyPr/>
        <a:lstStyle/>
        <a:p>
          <a:endParaRPr lang="en-US"/>
        </a:p>
      </dgm:t>
    </dgm:pt>
    <dgm:pt modelId="{6C135F2D-39B4-4F0E-9F59-5F0B70B1E40A}">
      <dgm:prSet phldrT="[Text]"/>
      <dgm:spPr/>
      <dgm:t>
        <a:bodyPr/>
        <a:lstStyle/>
        <a:p>
          <a:r>
            <a:rPr lang="en-US"/>
            <a:t>Day of Week Adjustment</a:t>
          </a:r>
        </a:p>
      </dgm:t>
    </dgm:pt>
    <dgm:pt modelId="{B5B9F4F9-CA96-439B-A77D-143E5C223BD2}" type="parTrans" cxnId="{BE659337-2FC1-4E83-B12C-49AAFACE80A4}">
      <dgm:prSet/>
      <dgm:spPr/>
      <dgm:t>
        <a:bodyPr/>
        <a:lstStyle/>
        <a:p>
          <a:endParaRPr lang="en-US"/>
        </a:p>
      </dgm:t>
    </dgm:pt>
    <dgm:pt modelId="{60CC6B76-D4A3-4F8C-BC73-4F4A95A306FB}" type="sibTrans" cxnId="{BE659337-2FC1-4E83-B12C-49AAFACE80A4}">
      <dgm:prSet/>
      <dgm:spPr/>
      <dgm:t>
        <a:bodyPr/>
        <a:lstStyle/>
        <a:p>
          <a:endParaRPr lang="en-US"/>
        </a:p>
      </dgm:t>
    </dgm:pt>
    <dgm:pt modelId="{8637833E-11B4-4AE7-9E9C-E4A2F40F4B2D}">
      <dgm:prSet phldrT="[Text]" custT="1"/>
      <dgm:spPr/>
      <dgm:t>
        <a:bodyPr/>
        <a:lstStyle/>
        <a:p>
          <a:r>
            <a:rPr lang="en-US" sz="700"/>
            <a:t>4: Establish Monthly Pattern Groups</a:t>
          </a:r>
        </a:p>
      </dgm:t>
    </dgm:pt>
    <dgm:pt modelId="{537C01AC-E06C-4223-AC86-1E2CAEEA099C}" type="parTrans" cxnId="{65E67D09-7788-4B77-9683-868BB98130F2}">
      <dgm:prSet/>
      <dgm:spPr/>
      <dgm:t>
        <a:bodyPr/>
        <a:lstStyle/>
        <a:p>
          <a:endParaRPr lang="en-US"/>
        </a:p>
      </dgm:t>
    </dgm:pt>
    <dgm:pt modelId="{468FAA60-5AB7-403E-92F9-A949459AD815}" type="sibTrans" cxnId="{65E67D09-7788-4B77-9683-868BB98130F2}">
      <dgm:prSet/>
      <dgm:spPr/>
      <dgm:t>
        <a:bodyPr/>
        <a:lstStyle/>
        <a:p>
          <a:endParaRPr lang="en-US"/>
        </a:p>
      </dgm:t>
    </dgm:pt>
    <dgm:pt modelId="{8AFA1C7A-EC94-40AC-B880-8FBDF8551DB1}">
      <dgm:prSet phldrT="[Text]"/>
      <dgm:spPr/>
      <dgm:t>
        <a:bodyPr/>
        <a:lstStyle/>
        <a:p>
          <a:r>
            <a:rPr lang="en-US"/>
            <a:t>Traditional Approach</a:t>
          </a:r>
        </a:p>
      </dgm:t>
    </dgm:pt>
    <dgm:pt modelId="{14E3232D-6308-4360-9EBC-91319F77135F}" type="parTrans" cxnId="{4CBA884E-51FC-48AD-AE7A-DB737BFB1E7C}">
      <dgm:prSet/>
      <dgm:spPr/>
      <dgm:t>
        <a:bodyPr/>
        <a:lstStyle/>
        <a:p>
          <a:endParaRPr lang="en-US"/>
        </a:p>
      </dgm:t>
    </dgm:pt>
    <dgm:pt modelId="{3E799B5B-3444-472F-AE16-315A4389BAB4}" type="sibTrans" cxnId="{4CBA884E-51FC-48AD-AE7A-DB737BFB1E7C}">
      <dgm:prSet/>
      <dgm:spPr/>
      <dgm:t>
        <a:bodyPr/>
        <a:lstStyle/>
        <a:p>
          <a:endParaRPr lang="en-US"/>
        </a:p>
      </dgm:t>
    </dgm:pt>
    <dgm:pt modelId="{80D2C458-211A-4CC1-B8EF-1AA3B8669620}">
      <dgm:prSet phldrT="[Text]"/>
      <dgm:spPr/>
      <dgm:t>
        <a:bodyPr/>
        <a:lstStyle/>
        <a:p>
          <a:r>
            <a:rPr lang="en-US"/>
            <a:t>Cluster Analysis</a:t>
          </a:r>
        </a:p>
      </dgm:t>
    </dgm:pt>
    <dgm:pt modelId="{431486E7-8AE2-4508-9DCC-16F62BE15BE8}" type="parTrans" cxnId="{60E06822-DBB9-47C4-9CC0-40C6A8D62E83}">
      <dgm:prSet/>
      <dgm:spPr/>
      <dgm:t>
        <a:bodyPr/>
        <a:lstStyle/>
        <a:p>
          <a:endParaRPr lang="en-US"/>
        </a:p>
      </dgm:t>
    </dgm:pt>
    <dgm:pt modelId="{73D2F59C-F7FE-4D76-A50B-2774C3796812}" type="sibTrans" cxnId="{60E06822-DBB9-47C4-9CC0-40C6A8D62E83}">
      <dgm:prSet/>
      <dgm:spPr/>
      <dgm:t>
        <a:bodyPr/>
        <a:lstStyle/>
        <a:p>
          <a:endParaRPr lang="en-US"/>
        </a:p>
      </dgm:t>
    </dgm:pt>
    <dgm:pt modelId="{E11079BA-FDB4-4285-B9F1-44EFE1C150B4}">
      <dgm:prSet phldrT="[Text]"/>
      <dgm:spPr/>
      <dgm:t>
        <a:bodyPr/>
        <a:lstStyle/>
        <a:p>
          <a:r>
            <a:rPr lang="en-US"/>
            <a:t>Volume Factor Groups</a:t>
          </a:r>
        </a:p>
      </dgm:t>
    </dgm:pt>
    <dgm:pt modelId="{381817D5-82F7-4B19-A496-FBC5E6E79597}" type="parTrans" cxnId="{EA09191D-FA3B-4C95-92D2-04389313BA85}">
      <dgm:prSet/>
      <dgm:spPr/>
      <dgm:t>
        <a:bodyPr/>
        <a:lstStyle/>
        <a:p>
          <a:endParaRPr lang="en-US"/>
        </a:p>
      </dgm:t>
    </dgm:pt>
    <dgm:pt modelId="{3DB417AE-2FA4-4B65-8960-283E76F3B344}" type="sibTrans" cxnId="{EA09191D-FA3B-4C95-92D2-04389313BA85}">
      <dgm:prSet/>
      <dgm:spPr/>
      <dgm:t>
        <a:bodyPr/>
        <a:lstStyle/>
        <a:p>
          <a:endParaRPr lang="en-US"/>
        </a:p>
      </dgm:t>
    </dgm:pt>
    <dgm:pt modelId="{B17B17DD-EF46-4D3B-BFB8-21265E81EA63}">
      <dgm:prSet phldrT="[Text]" custT="1"/>
      <dgm:spPr/>
      <dgm:t>
        <a:bodyPr/>
        <a:lstStyle/>
        <a:p>
          <a:r>
            <a:rPr lang="en-US" sz="800"/>
            <a:t>5: Determine the Appropriate Number of Continuous Count Locations </a:t>
          </a:r>
        </a:p>
      </dgm:t>
    </dgm:pt>
    <dgm:pt modelId="{6FBDC355-0C4A-424D-98C4-FFB278D3B5F0}" type="parTrans" cxnId="{26A3685F-6EDE-4FA1-9DA8-2739420CCF22}">
      <dgm:prSet/>
      <dgm:spPr/>
      <dgm:t>
        <a:bodyPr/>
        <a:lstStyle/>
        <a:p>
          <a:endParaRPr lang="en-US"/>
        </a:p>
      </dgm:t>
    </dgm:pt>
    <dgm:pt modelId="{5611454D-5A97-4A6C-8FB7-F59C507CF458}" type="sibTrans" cxnId="{26A3685F-6EDE-4FA1-9DA8-2739420CCF22}">
      <dgm:prSet/>
      <dgm:spPr/>
      <dgm:t>
        <a:bodyPr/>
        <a:lstStyle/>
        <a:p>
          <a:endParaRPr lang="en-US"/>
        </a:p>
      </dgm:t>
    </dgm:pt>
    <dgm:pt modelId="{A4CB1E70-EAD0-459C-9741-DC01B5F0B711}">
      <dgm:prSet phldrT="[Text]" custT="1"/>
      <dgm:spPr/>
      <dgm:t>
        <a:bodyPr/>
        <a:lstStyle/>
        <a:p>
          <a:r>
            <a:rPr lang="en-US" sz="800"/>
            <a:t>6: Select Specific Count Locations</a:t>
          </a:r>
        </a:p>
      </dgm:t>
    </dgm:pt>
    <dgm:pt modelId="{64CA43EB-1458-4E3A-8D6C-4EFAD8607FAF}" type="parTrans" cxnId="{332D1F01-8952-4EA1-8F74-79727661705E}">
      <dgm:prSet/>
      <dgm:spPr/>
      <dgm:t>
        <a:bodyPr/>
        <a:lstStyle/>
        <a:p>
          <a:endParaRPr lang="en-US"/>
        </a:p>
      </dgm:t>
    </dgm:pt>
    <dgm:pt modelId="{E640B264-5738-40F1-A3F8-5243E22E12F0}" type="sibTrans" cxnId="{332D1F01-8952-4EA1-8F74-79727661705E}">
      <dgm:prSet/>
      <dgm:spPr/>
      <dgm:t>
        <a:bodyPr/>
        <a:lstStyle/>
        <a:p>
          <a:endParaRPr lang="en-US"/>
        </a:p>
      </dgm:t>
    </dgm:pt>
    <dgm:pt modelId="{47C54F2D-D29B-43F2-B255-0655360AD156}">
      <dgm:prSet phldrT="[Text]" custT="1"/>
      <dgm:spPr/>
      <dgm:t>
        <a:bodyPr/>
        <a:lstStyle/>
        <a:p>
          <a:r>
            <a:rPr lang="en-US" sz="800"/>
            <a:t>7: Compute Temporal Factors</a:t>
          </a:r>
        </a:p>
      </dgm:t>
    </dgm:pt>
    <dgm:pt modelId="{08A99BC1-A7D6-4C23-99C4-4B78DA69B9CA}" type="parTrans" cxnId="{8D75A03E-7AE4-48E4-AAE8-9D1105260BFD}">
      <dgm:prSet/>
      <dgm:spPr/>
      <dgm:t>
        <a:bodyPr/>
        <a:lstStyle/>
        <a:p>
          <a:endParaRPr lang="en-US"/>
        </a:p>
      </dgm:t>
    </dgm:pt>
    <dgm:pt modelId="{557E58A6-B610-47C1-ABDB-FE19C94DB073}" type="sibTrans" cxnId="{8D75A03E-7AE4-48E4-AAE8-9D1105260BFD}">
      <dgm:prSet/>
      <dgm:spPr/>
      <dgm:t>
        <a:bodyPr/>
        <a:lstStyle/>
        <a:p>
          <a:endParaRPr lang="en-US"/>
        </a:p>
      </dgm:t>
    </dgm:pt>
    <dgm:pt modelId="{EBCD4D4F-459B-4ABC-BD16-5CE7CDB01FC4}" type="pres">
      <dgm:prSet presAssocID="{7E5D9681-C6E0-44CA-AA26-8EEB66D085B3}" presName="Name0" presStyleCnt="0">
        <dgm:presLayoutVars>
          <dgm:dir/>
          <dgm:animLvl val="lvl"/>
          <dgm:resizeHandles val="exact"/>
        </dgm:presLayoutVars>
      </dgm:prSet>
      <dgm:spPr/>
    </dgm:pt>
    <dgm:pt modelId="{D7EA4094-4785-48D1-A1E5-8030E5E4ED62}" type="pres">
      <dgm:prSet presAssocID="{47C54F2D-D29B-43F2-B255-0655360AD156}" presName="boxAndChildren" presStyleCnt="0"/>
      <dgm:spPr/>
    </dgm:pt>
    <dgm:pt modelId="{0E327F39-ACD1-45EB-B73D-1BF50BA63667}" type="pres">
      <dgm:prSet presAssocID="{47C54F2D-D29B-43F2-B255-0655360AD156}" presName="parentTextBox" presStyleLbl="node1" presStyleIdx="0" presStyleCnt="7"/>
      <dgm:spPr/>
    </dgm:pt>
    <dgm:pt modelId="{1E229726-6AB6-40DF-B077-9A179C069000}" type="pres">
      <dgm:prSet presAssocID="{E640B264-5738-40F1-A3F8-5243E22E12F0}" presName="sp" presStyleCnt="0"/>
      <dgm:spPr/>
    </dgm:pt>
    <dgm:pt modelId="{5C1F6D52-91E9-4D2B-8844-8FA1B16B7794}" type="pres">
      <dgm:prSet presAssocID="{A4CB1E70-EAD0-459C-9741-DC01B5F0B711}" presName="arrowAndChildren" presStyleCnt="0"/>
      <dgm:spPr/>
    </dgm:pt>
    <dgm:pt modelId="{509B6778-A530-430A-A800-9E6AB23C7913}" type="pres">
      <dgm:prSet presAssocID="{A4CB1E70-EAD0-459C-9741-DC01B5F0B711}" presName="parentTextArrow" presStyleLbl="node1" presStyleIdx="1" presStyleCnt="7"/>
      <dgm:spPr/>
    </dgm:pt>
    <dgm:pt modelId="{C09C5078-EE6E-4712-9215-D38108A2D192}" type="pres">
      <dgm:prSet presAssocID="{5611454D-5A97-4A6C-8FB7-F59C507CF458}" presName="sp" presStyleCnt="0"/>
      <dgm:spPr/>
    </dgm:pt>
    <dgm:pt modelId="{6E5AF2B9-CD90-4CED-8C0E-C31778EF6CEC}" type="pres">
      <dgm:prSet presAssocID="{B17B17DD-EF46-4D3B-BFB8-21265E81EA63}" presName="arrowAndChildren" presStyleCnt="0"/>
      <dgm:spPr/>
    </dgm:pt>
    <dgm:pt modelId="{6606DF2F-F4FF-4D15-A6E5-3F7AC9036D90}" type="pres">
      <dgm:prSet presAssocID="{B17B17DD-EF46-4D3B-BFB8-21265E81EA63}" presName="parentTextArrow" presStyleLbl="node1" presStyleIdx="2" presStyleCnt="7"/>
      <dgm:spPr/>
    </dgm:pt>
    <dgm:pt modelId="{003217B7-55B7-427B-969A-DFCFC827991B}" type="pres">
      <dgm:prSet presAssocID="{468FAA60-5AB7-403E-92F9-A949459AD815}" presName="sp" presStyleCnt="0"/>
      <dgm:spPr/>
    </dgm:pt>
    <dgm:pt modelId="{F18D6227-D24F-404A-9746-837AF7549F38}" type="pres">
      <dgm:prSet presAssocID="{8637833E-11B4-4AE7-9E9C-E4A2F40F4B2D}" presName="arrowAndChildren" presStyleCnt="0"/>
      <dgm:spPr/>
    </dgm:pt>
    <dgm:pt modelId="{136BDCC5-5208-4F44-A058-B962C7CD4F29}" type="pres">
      <dgm:prSet presAssocID="{8637833E-11B4-4AE7-9E9C-E4A2F40F4B2D}" presName="parentTextArrow" presStyleLbl="node1" presStyleIdx="2" presStyleCnt="7"/>
      <dgm:spPr/>
    </dgm:pt>
    <dgm:pt modelId="{1BE32D14-1AB8-40AA-89B0-F902E82327C8}" type="pres">
      <dgm:prSet presAssocID="{8637833E-11B4-4AE7-9E9C-E4A2F40F4B2D}" presName="arrow" presStyleLbl="node1" presStyleIdx="3" presStyleCnt="7"/>
      <dgm:spPr/>
    </dgm:pt>
    <dgm:pt modelId="{2C0BC129-F076-48D8-A3B7-0883B9D495FB}" type="pres">
      <dgm:prSet presAssocID="{8637833E-11B4-4AE7-9E9C-E4A2F40F4B2D}" presName="descendantArrow" presStyleCnt="0"/>
      <dgm:spPr/>
    </dgm:pt>
    <dgm:pt modelId="{951B773F-1BD3-4B48-9C62-3E9D1E126BE9}" type="pres">
      <dgm:prSet presAssocID="{8AFA1C7A-EC94-40AC-B880-8FBDF8551DB1}" presName="childTextArrow" presStyleLbl="fgAccFollowNode1" presStyleIdx="0" presStyleCnt="16">
        <dgm:presLayoutVars>
          <dgm:bulletEnabled val="1"/>
        </dgm:presLayoutVars>
      </dgm:prSet>
      <dgm:spPr/>
    </dgm:pt>
    <dgm:pt modelId="{309DEBE3-A549-4504-A8F7-ACFD2BE99C17}" type="pres">
      <dgm:prSet presAssocID="{80D2C458-211A-4CC1-B8EF-1AA3B8669620}" presName="childTextArrow" presStyleLbl="fgAccFollowNode1" presStyleIdx="1" presStyleCnt="16">
        <dgm:presLayoutVars>
          <dgm:bulletEnabled val="1"/>
        </dgm:presLayoutVars>
      </dgm:prSet>
      <dgm:spPr/>
    </dgm:pt>
    <dgm:pt modelId="{508ED4C1-19A6-47CF-9EB5-5DBACF8E456A}" type="pres">
      <dgm:prSet presAssocID="{E11079BA-FDB4-4285-B9F1-44EFE1C150B4}" presName="childTextArrow" presStyleLbl="fgAccFollowNode1" presStyleIdx="2" presStyleCnt="16">
        <dgm:presLayoutVars>
          <dgm:bulletEnabled val="1"/>
        </dgm:presLayoutVars>
      </dgm:prSet>
      <dgm:spPr/>
    </dgm:pt>
    <dgm:pt modelId="{6A5A3E4A-48E9-42F2-9E20-A2765E748314}" type="pres">
      <dgm:prSet presAssocID="{4CE7753D-5EAA-4B27-9006-57A06DF6A981}" presName="sp" presStyleCnt="0"/>
      <dgm:spPr/>
    </dgm:pt>
    <dgm:pt modelId="{6B00B6E8-107F-4F02-8B42-2EC28310A71D}" type="pres">
      <dgm:prSet presAssocID="{A785B758-ABAB-495F-B666-7F866781DDBA}" presName="arrowAndChildren" presStyleCnt="0"/>
      <dgm:spPr/>
    </dgm:pt>
    <dgm:pt modelId="{5946A949-A62C-4C3F-86E0-1B627B66C78B}" type="pres">
      <dgm:prSet presAssocID="{A785B758-ABAB-495F-B666-7F866781DDBA}" presName="parentTextArrow" presStyleLbl="node1" presStyleIdx="3" presStyleCnt="7"/>
      <dgm:spPr/>
    </dgm:pt>
    <dgm:pt modelId="{BD78CD9C-A877-4B3E-A77B-22A2814221A1}" type="pres">
      <dgm:prSet presAssocID="{A785B758-ABAB-495F-B666-7F866781DDBA}" presName="arrow" presStyleLbl="node1" presStyleIdx="4" presStyleCnt="7"/>
      <dgm:spPr/>
    </dgm:pt>
    <dgm:pt modelId="{968536BA-9931-47B1-848F-E27126363AEE}" type="pres">
      <dgm:prSet presAssocID="{A785B758-ABAB-495F-B666-7F866781DDBA}" presName="descendantArrow" presStyleCnt="0"/>
      <dgm:spPr/>
    </dgm:pt>
    <dgm:pt modelId="{40567161-7709-46D8-8854-2C63D11E19E2}" type="pres">
      <dgm:prSet presAssocID="{696E5218-9A65-49C9-94B9-E5E4DFD61F66}" presName="childTextArrow" presStyleLbl="fgAccFollowNode1" presStyleIdx="3" presStyleCnt="16">
        <dgm:presLayoutVars>
          <dgm:bulletEnabled val="1"/>
        </dgm:presLayoutVars>
      </dgm:prSet>
      <dgm:spPr/>
    </dgm:pt>
    <dgm:pt modelId="{FCF39F8F-2753-4012-8774-EC0C1E96A773}" type="pres">
      <dgm:prSet presAssocID="{498104D9-D0AD-495E-B6B0-396F4A4BA462}" presName="childTextArrow" presStyleLbl="fgAccFollowNode1" presStyleIdx="4" presStyleCnt="16">
        <dgm:presLayoutVars>
          <dgm:bulletEnabled val="1"/>
        </dgm:presLayoutVars>
      </dgm:prSet>
      <dgm:spPr/>
    </dgm:pt>
    <dgm:pt modelId="{1E0D4D85-D47B-4E28-82D6-37D227668927}" type="pres">
      <dgm:prSet presAssocID="{791A9A5B-EF83-4FA9-8869-9FF75799669E}" presName="childTextArrow" presStyleLbl="fgAccFollowNode1" presStyleIdx="5" presStyleCnt="16">
        <dgm:presLayoutVars>
          <dgm:bulletEnabled val="1"/>
        </dgm:presLayoutVars>
      </dgm:prSet>
      <dgm:spPr/>
    </dgm:pt>
    <dgm:pt modelId="{EE1A929B-DC00-4296-A7AC-B2972F04280A}" type="pres">
      <dgm:prSet presAssocID="{725430EB-7D98-475D-BA2B-F5F95A4D1EBC}" presName="childTextArrow" presStyleLbl="fgAccFollowNode1" presStyleIdx="6" presStyleCnt="16">
        <dgm:presLayoutVars>
          <dgm:bulletEnabled val="1"/>
        </dgm:presLayoutVars>
      </dgm:prSet>
      <dgm:spPr/>
    </dgm:pt>
    <dgm:pt modelId="{91E6CAD5-DB65-471E-9F99-D1ACD948713B}" type="pres">
      <dgm:prSet presAssocID="{6C135F2D-39B4-4F0E-9F59-5F0B70B1E40A}" presName="childTextArrow" presStyleLbl="fgAccFollowNode1" presStyleIdx="7" presStyleCnt="16">
        <dgm:presLayoutVars>
          <dgm:bulletEnabled val="1"/>
        </dgm:presLayoutVars>
      </dgm:prSet>
      <dgm:spPr/>
    </dgm:pt>
    <dgm:pt modelId="{F06A93E3-4B18-4682-BFDC-EE2CDE0C8112}" type="pres">
      <dgm:prSet presAssocID="{23DDB854-644A-4400-A7F0-7FB6EFFEF007}" presName="sp" presStyleCnt="0"/>
      <dgm:spPr/>
    </dgm:pt>
    <dgm:pt modelId="{F111C0BF-5291-486D-8CD2-269A5D73897C}" type="pres">
      <dgm:prSet presAssocID="{6875DC89-E17F-4E26-A6C4-A6DDF338FBC7}" presName="arrowAndChildren" presStyleCnt="0"/>
      <dgm:spPr/>
    </dgm:pt>
    <dgm:pt modelId="{AB82DD86-7312-48C1-8BA5-383BFBD5B320}" type="pres">
      <dgm:prSet presAssocID="{6875DC89-E17F-4E26-A6C4-A6DDF338FBC7}" presName="parentTextArrow" presStyleLbl="node1" presStyleIdx="4" presStyleCnt="7"/>
      <dgm:spPr/>
    </dgm:pt>
    <dgm:pt modelId="{5D76E339-0271-4940-8EFE-0A91279930B2}" type="pres">
      <dgm:prSet presAssocID="{6875DC89-E17F-4E26-A6C4-A6DDF338FBC7}" presName="arrow" presStyleLbl="node1" presStyleIdx="5" presStyleCnt="7"/>
      <dgm:spPr/>
    </dgm:pt>
    <dgm:pt modelId="{4CDBF90C-02F3-4A4D-B5BB-633500F80DA7}" type="pres">
      <dgm:prSet presAssocID="{6875DC89-E17F-4E26-A6C4-A6DDF338FBC7}" presName="descendantArrow" presStyleCnt="0"/>
      <dgm:spPr/>
    </dgm:pt>
    <dgm:pt modelId="{918BBC84-7671-472D-A079-3B139C30F410}" type="pres">
      <dgm:prSet presAssocID="{E8E038F4-3C1C-49AF-B8F0-ED54EF106065}" presName="childTextArrow" presStyleLbl="fgAccFollowNode1" presStyleIdx="8" presStyleCnt="16">
        <dgm:presLayoutVars>
          <dgm:bulletEnabled val="1"/>
        </dgm:presLayoutVars>
      </dgm:prSet>
      <dgm:spPr/>
    </dgm:pt>
    <dgm:pt modelId="{9B1625AD-8629-4785-B0FE-E73DE2E063AC}" type="pres">
      <dgm:prSet presAssocID="{35D1E970-A1A4-48B6-B3C8-116EB9289BC8}" presName="childTextArrow" presStyleLbl="fgAccFollowNode1" presStyleIdx="9" presStyleCnt="16">
        <dgm:presLayoutVars>
          <dgm:bulletEnabled val="1"/>
        </dgm:presLayoutVars>
      </dgm:prSet>
      <dgm:spPr/>
    </dgm:pt>
    <dgm:pt modelId="{01CE9866-2E32-493F-BC05-457DCF06A2C4}" type="pres">
      <dgm:prSet presAssocID="{1DC97E43-C325-447F-A3FD-11160F55E327}" presName="childTextArrow" presStyleLbl="fgAccFollowNode1" presStyleIdx="10" presStyleCnt="16">
        <dgm:presLayoutVars>
          <dgm:bulletEnabled val="1"/>
        </dgm:presLayoutVars>
      </dgm:prSet>
      <dgm:spPr/>
    </dgm:pt>
    <dgm:pt modelId="{FD95C96A-813B-43FD-87C8-0C09C85AD408}" type="pres">
      <dgm:prSet presAssocID="{668766FD-E02D-406C-B9F1-B1D19F8E1EE2}" presName="sp" presStyleCnt="0"/>
      <dgm:spPr/>
    </dgm:pt>
    <dgm:pt modelId="{6347624B-8FEC-4FB0-9614-686AD848CD4C}" type="pres">
      <dgm:prSet presAssocID="{0636B301-2ABE-4499-8CE1-DA6F0D78BFEA}" presName="arrowAndChildren" presStyleCnt="0"/>
      <dgm:spPr/>
    </dgm:pt>
    <dgm:pt modelId="{E63EEB37-FFEB-4BDA-BEC8-CD67559A8435}" type="pres">
      <dgm:prSet presAssocID="{0636B301-2ABE-4499-8CE1-DA6F0D78BFEA}" presName="parentTextArrow" presStyleLbl="node1" presStyleIdx="5" presStyleCnt="7"/>
      <dgm:spPr/>
    </dgm:pt>
    <dgm:pt modelId="{D7543578-77EE-4920-96D2-8DD311AB1078}" type="pres">
      <dgm:prSet presAssocID="{0636B301-2ABE-4499-8CE1-DA6F0D78BFEA}" presName="arrow" presStyleLbl="node1" presStyleIdx="6" presStyleCnt="7"/>
      <dgm:spPr/>
    </dgm:pt>
    <dgm:pt modelId="{4218CAD3-867B-4C7D-B6D9-1C34942238FA}" type="pres">
      <dgm:prSet presAssocID="{0636B301-2ABE-4499-8CE1-DA6F0D78BFEA}" presName="descendantArrow" presStyleCnt="0"/>
      <dgm:spPr/>
    </dgm:pt>
    <dgm:pt modelId="{21ABCD6A-50C2-46F8-8A4D-1240040539E5}" type="pres">
      <dgm:prSet presAssocID="{5E0C3C73-6A53-4261-B15A-5FF21A79E799}" presName="childTextArrow" presStyleLbl="fgAccFollowNode1" presStyleIdx="11" presStyleCnt="16">
        <dgm:presLayoutVars>
          <dgm:bulletEnabled val="1"/>
        </dgm:presLayoutVars>
      </dgm:prSet>
      <dgm:spPr/>
    </dgm:pt>
    <dgm:pt modelId="{C7F1FDCE-BEFD-4B62-A8CA-F602231BE10A}" type="pres">
      <dgm:prSet presAssocID="{9416A4E5-D207-437C-8CB5-D36C29A589B6}" presName="childTextArrow" presStyleLbl="fgAccFollowNode1" presStyleIdx="12" presStyleCnt="16">
        <dgm:presLayoutVars>
          <dgm:bulletEnabled val="1"/>
        </dgm:presLayoutVars>
      </dgm:prSet>
      <dgm:spPr/>
    </dgm:pt>
    <dgm:pt modelId="{A19DE8E8-54C5-4454-A008-8C08E7895C27}" type="pres">
      <dgm:prSet presAssocID="{D14E5D80-3D63-4B66-A86C-1C2A11106ADD}" presName="childTextArrow" presStyleLbl="fgAccFollowNode1" presStyleIdx="13" presStyleCnt="16">
        <dgm:presLayoutVars>
          <dgm:bulletEnabled val="1"/>
        </dgm:presLayoutVars>
      </dgm:prSet>
      <dgm:spPr/>
    </dgm:pt>
    <dgm:pt modelId="{ACAC04B3-B011-43E5-BC10-67F5EE56A14A}" type="pres">
      <dgm:prSet presAssocID="{221B35D2-A824-45B1-B22A-8634C7C1604B}" presName="childTextArrow" presStyleLbl="fgAccFollowNode1" presStyleIdx="14" presStyleCnt="16">
        <dgm:presLayoutVars>
          <dgm:bulletEnabled val="1"/>
        </dgm:presLayoutVars>
      </dgm:prSet>
      <dgm:spPr/>
    </dgm:pt>
    <dgm:pt modelId="{9D1B3429-9681-41A4-A1C3-FAD7092228D3}" type="pres">
      <dgm:prSet presAssocID="{345080F2-C7A8-4974-B623-66CCB4BDD78C}" presName="childTextArrow" presStyleLbl="fgAccFollowNode1" presStyleIdx="15" presStyleCnt="16">
        <dgm:presLayoutVars>
          <dgm:bulletEnabled val="1"/>
        </dgm:presLayoutVars>
      </dgm:prSet>
      <dgm:spPr/>
    </dgm:pt>
  </dgm:ptLst>
  <dgm:cxnLst>
    <dgm:cxn modelId="{332D1F01-8952-4EA1-8F74-79727661705E}" srcId="{7E5D9681-C6E0-44CA-AA26-8EEB66D085B3}" destId="{A4CB1E70-EAD0-459C-9741-DC01B5F0B711}" srcOrd="5" destOrd="0" parTransId="{64CA43EB-1458-4E3A-8D6C-4EFAD8607FAF}" sibTransId="{E640B264-5738-40F1-A3F8-5243E22E12F0}"/>
    <dgm:cxn modelId="{B0AB2202-F46C-4CD9-A017-20E2A96B3475}" srcId="{6875DC89-E17F-4E26-A6C4-A6DDF338FBC7}" destId="{1DC97E43-C325-447F-A3FD-11160F55E327}" srcOrd="2" destOrd="0" parTransId="{A547F612-8218-45CE-A4C7-5800405AC117}" sibTransId="{B8B2853F-20C8-4A33-AD34-2137B5A7A074}"/>
    <dgm:cxn modelId="{01988D04-EDF9-4049-8F6B-E98B0494ED10}" type="presOf" srcId="{9416A4E5-D207-437C-8CB5-D36C29A589B6}" destId="{C7F1FDCE-BEFD-4B62-A8CA-F602231BE10A}" srcOrd="0" destOrd="0" presId="urn:microsoft.com/office/officeart/2005/8/layout/process4"/>
    <dgm:cxn modelId="{B3FDC604-6916-4CDF-84F5-4F44B14DC863}" srcId="{A785B758-ABAB-495F-B666-7F866781DDBA}" destId="{791A9A5B-EF83-4FA9-8869-9FF75799669E}" srcOrd="2" destOrd="0" parTransId="{43088FC8-CFED-49EB-82E1-46F95DCBBBB6}" sibTransId="{BDC3920B-C282-4C7D-9993-95D9017359AA}"/>
    <dgm:cxn modelId="{65E67D09-7788-4B77-9683-868BB98130F2}" srcId="{7E5D9681-C6E0-44CA-AA26-8EEB66D085B3}" destId="{8637833E-11B4-4AE7-9E9C-E4A2F40F4B2D}" srcOrd="3" destOrd="0" parTransId="{537C01AC-E06C-4223-AC86-1E2CAEEA099C}" sibTransId="{468FAA60-5AB7-403E-92F9-A949459AD815}"/>
    <dgm:cxn modelId="{CE51C80A-24CD-4818-BABC-599DCC3E5A7D}" srcId="{A785B758-ABAB-495F-B666-7F866781DDBA}" destId="{498104D9-D0AD-495E-B6B0-396F4A4BA462}" srcOrd="1" destOrd="0" parTransId="{64E1B10F-77B9-42B4-9552-9CF0130AF432}" sibTransId="{6AE6B6F5-652A-457B-8746-4081F7402A6D}"/>
    <dgm:cxn modelId="{2FFA8D18-BBEA-409F-B2E0-51988FC6C02E}" type="presOf" srcId="{498104D9-D0AD-495E-B6B0-396F4A4BA462}" destId="{FCF39F8F-2753-4012-8774-EC0C1E96A773}" srcOrd="0" destOrd="0" presId="urn:microsoft.com/office/officeart/2005/8/layout/process4"/>
    <dgm:cxn modelId="{3D3CE218-4A48-4FE9-B5A8-4786D182E4F5}" type="presOf" srcId="{0636B301-2ABE-4499-8CE1-DA6F0D78BFEA}" destId="{E63EEB37-FFEB-4BDA-BEC8-CD67559A8435}" srcOrd="0" destOrd="0" presId="urn:microsoft.com/office/officeart/2005/8/layout/process4"/>
    <dgm:cxn modelId="{62B9301B-EB7D-4200-ACFD-DA408E4097C0}" type="presOf" srcId="{6875DC89-E17F-4E26-A6C4-A6DDF338FBC7}" destId="{5D76E339-0271-4940-8EFE-0A91279930B2}" srcOrd="1" destOrd="0" presId="urn:microsoft.com/office/officeart/2005/8/layout/process4"/>
    <dgm:cxn modelId="{1892B41B-F5D8-4E78-B244-F0FC882A2600}" type="presOf" srcId="{A785B758-ABAB-495F-B666-7F866781DDBA}" destId="{5946A949-A62C-4C3F-86E0-1B627B66C78B}" srcOrd="0" destOrd="0" presId="urn:microsoft.com/office/officeart/2005/8/layout/process4"/>
    <dgm:cxn modelId="{EA09191D-FA3B-4C95-92D2-04389313BA85}" srcId="{8637833E-11B4-4AE7-9E9C-E4A2F40F4B2D}" destId="{E11079BA-FDB4-4285-B9F1-44EFE1C150B4}" srcOrd="2" destOrd="0" parTransId="{381817D5-82F7-4B19-A496-FBC5E6E79597}" sibTransId="{3DB417AE-2FA4-4B65-8960-283E76F3B344}"/>
    <dgm:cxn modelId="{60E06822-DBB9-47C4-9CC0-40C6A8D62E83}" srcId="{8637833E-11B4-4AE7-9E9C-E4A2F40F4B2D}" destId="{80D2C458-211A-4CC1-B8EF-1AA3B8669620}" srcOrd="1" destOrd="0" parTransId="{431486E7-8AE2-4508-9DCC-16F62BE15BE8}" sibTransId="{73D2F59C-F7FE-4D76-A50B-2774C3796812}"/>
    <dgm:cxn modelId="{D4E28A22-4D0C-47C3-86AC-29EF7E222577}" srcId="{A785B758-ABAB-495F-B666-7F866781DDBA}" destId="{725430EB-7D98-475D-BA2B-F5F95A4D1EBC}" srcOrd="3" destOrd="0" parTransId="{6C753065-C676-40B1-8703-965AE08E6554}" sibTransId="{3011343C-8317-4A13-BECA-55A140030012}"/>
    <dgm:cxn modelId="{2D977328-AEE2-425E-996C-5BEB283024D1}" type="presOf" srcId="{345080F2-C7A8-4974-B623-66CCB4BDD78C}" destId="{9D1B3429-9681-41A4-A1C3-FAD7092228D3}" srcOrd="0" destOrd="0" presId="urn:microsoft.com/office/officeart/2005/8/layout/process4"/>
    <dgm:cxn modelId="{5DDAFC30-F2EC-4B03-B7B3-84DB23E7A175}" type="presOf" srcId="{E8E038F4-3C1C-49AF-B8F0-ED54EF106065}" destId="{918BBC84-7671-472D-A079-3B139C30F410}" srcOrd="0" destOrd="0" presId="urn:microsoft.com/office/officeart/2005/8/layout/process4"/>
    <dgm:cxn modelId="{BE659337-2FC1-4E83-B12C-49AAFACE80A4}" srcId="{A785B758-ABAB-495F-B666-7F866781DDBA}" destId="{6C135F2D-39B4-4F0E-9F59-5F0B70B1E40A}" srcOrd="4" destOrd="0" parTransId="{B5B9F4F9-CA96-439B-A77D-143E5C223BD2}" sibTransId="{60CC6B76-D4A3-4F8C-BC73-4F4A95A306FB}"/>
    <dgm:cxn modelId="{8D75A03E-7AE4-48E4-AAE8-9D1105260BFD}" srcId="{7E5D9681-C6E0-44CA-AA26-8EEB66D085B3}" destId="{47C54F2D-D29B-43F2-B255-0655360AD156}" srcOrd="6" destOrd="0" parTransId="{08A99BC1-A7D6-4C23-99C4-4B78DA69B9CA}" sibTransId="{557E58A6-B610-47C1-ABDB-FE19C94DB073}"/>
    <dgm:cxn modelId="{F7AD7A5D-02CB-416A-B6D0-4C4D362BE5F4}" type="presOf" srcId="{E11079BA-FDB4-4285-B9F1-44EFE1C150B4}" destId="{508ED4C1-19A6-47CF-9EB5-5DBACF8E456A}" srcOrd="0" destOrd="0" presId="urn:microsoft.com/office/officeart/2005/8/layout/process4"/>
    <dgm:cxn modelId="{26A3685F-6EDE-4FA1-9DA8-2739420CCF22}" srcId="{7E5D9681-C6E0-44CA-AA26-8EEB66D085B3}" destId="{B17B17DD-EF46-4D3B-BFB8-21265E81EA63}" srcOrd="4" destOrd="0" parTransId="{6FBDC355-0C4A-424D-98C4-FFB278D3B5F0}" sibTransId="{5611454D-5A97-4A6C-8FB7-F59C507CF458}"/>
    <dgm:cxn modelId="{280B1464-D5D8-420C-955E-DE567A6CB064}" srcId="{0636B301-2ABE-4499-8CE1-DA6F0D78BFEA}" destId="{345080F2-C7A8-4974-B623-66CCB4BDD78C}" srcOrd="4" destOrd="0" parTransId="{3B236994-6B14-476E-9346-AA1BE3E2D879}" sibTransId="{2ED3ACDC-B176-4A06-BC29-EBD2ADAC874E}"/>
    <dgm:cxn modelId="{0747CC67-8C31-4A19-BF8B-DC686A1C1529}" type="presOf" srcId="{47C54F2D-D29B-43F2-B255-0655360AD156}" destId="{0E327F39-ACD1-45EB-B73D-1BF50BA63667}" srcOrd="0" destOrd="0" presId="urn:microsoft.com/office/officeart/2005/8/layout/process4"/>
    <dgm:cxn modelId="{763D224C-D511-4374-9105-8E44BE3C7C39}" srcId="{0636B301-2ABE-4499-8CE1-DA6F0D78BFEA}" destId="{D14E5D80-3D63-4B66-A86C-1C2A11106ADD}" srcOrd="2" destOrd="0" parTransId="{BE6AC0C2-C55A-4DC2-9890-377ADE5C84C5}" sibTransId="{2D2F6E60-4495-4D98-9509-5ECAEFC88461}"/>
    <dgm:cxn modelId="{E93C106E-B820-4629-BEF2-AC7AB6C297FD}" type="presOf" srcId="{B17B17DD-EF46-4D3B-BFB8-21265E81EA63}" destId="{6606DF2F-F4FF-4D15-A6E5-3F7AC9036D90}" srcOrd="0" destOrd="0" presId="urn:microsoft.com/office/officeart/2005/8/layout/process4"/>
    <dgm:cxn modelId="{4CBA884E-51FC-48AD-AE7A-DB737BFB1E7C}" srcId="{8637833E-11B4-4AE7-9E9C-E4A2F40F4B2D}" destId="{8AFA1C7A-EC94-40AC-B880-8FBDF8551DB1}" srcOrd="0" destOrd="0" parTransId="{14E3232D-6308-4360-9EBC-91319F77135F}" sibTransId="{3E799B5B-3444-472F-AE16-315A4389BAB4}"/>
    <dgm:cxn modelId="{559D1071-FD38-407B-962C-DD4F1A6D4FA6}" type="presOf" srcId="{80D2C458-211A-4CC1-B8EF-1AA3B8669620}" destId="{309DEBE3-A549-4504-A8F7-ACFD2BE99C17}" srcOrd="0" destOrd="0" presId="urn:microsoft.com/office/officeart/2005/8/layout/process4"/>
    <dgm:cxn modelId="{12C9D552-0091-4EF7-BC64-831DD2DBCD74}" srcId="{6875DC89-E17F-4E26-A6C4-A6DDF338FBC7}" destId="{E8E038F4-3C1C-49AF-B8F0-ED54EF106065}" srcOrd="0" destOrd="0" parTransId="{FC8A7DAB-CC63-4EB8-8ACA-3C744A7C5D8E}" sibTransId="{CD8D8D60-5BB8-4536-B8B2-A63F6D6C2C05}"/>
    <dgm:cxn modelId="{0B146F53-8218-442A-B4F6-6ECB70D037D4}" type="presOf" srcId="{8637833E-11B4-4AE7-9E9C-E4A2F40F4B2D}" destId="{136BDCC5-5208-4F44-A058-B962C7CD4F29}" srcOrd="0" destOrd="0" presId="urn:microsoft.com/office/officeart/2005/8/layout/process4"/>
    <dgm:cxn modelId="{75CF1179-4091-4682-A8D0-6BE82E720C46}" type="presOf" srcId="{35D1E970-A1A4-48B6-B3C8-116EB9289BC8}" destId="{9B1625AD-8629-4785-B0FE-E73DE2E063AC}" srcOrd="0" destOrd="0" presId="urn:microsoft.com/office/officeart/2005/8/layout/process4"/>
    <dgm:cxn modelId="{F3AEE859-0B6A-4B96-8738-421666EC7AF7}" type="presOf" srcId="{D14E5D80-3D63-4B66-A86C-1C2A11106ADD}" destId="{A19DE8E8-54C5-4454-A008-8C08E7895C27}" srcOrd="0" destOrd="0" presId="urn:microsoft.com/office/officeart/2005/8/layout/process4"/>
    <dgm:cxn modelId="{E1590183-A0AD-4BCB-8E28-05A677F640C7}" type="presOf" srcId="{696E5218-9A65-49C9-94B9-E5E4DFD61F66}" destId="{40567161-7709-46D8-8854-2C63D11E19E2}" srcOrd="0" destOrd="0" presId="urn:microsoft.com/office/officeart/2005/8/layout/process4"/>
    <dgm:cxn modelId="{5C943484-6526-4C17-91A0-8BFFB39A440D}" type="presOf" srcId="{221B35D2-A824-45B1-B22A-8634C7C1604B}" destId="{ACAC04B3-B011-43E5-BC10-67F5EE56A14A}" srcOrd="0" destOrd="0" presId="urn:microsoft.com/office/officeart/2005/8/layout/process4"/>
    <dgm:cxn modelId="{6AA0528C-8826-4A4C-9E96-78060A70E05C}" type="presOf" srcId="{5E0C3C73-6A53-4261-B15A-5FF21A79E799}" destId="{21ABCD6A-50C2-46F8-8A4D-1240040539E5}" srcOrd="0" destOrd="0" presId="urn:microsoft.com/office/officeart/2005/8/layout/process4"/>
    <dgm:cxn modelId="{DC056C95-7A33-4514-8673-F1C9A5CF3D65}" type="presOf" srcId="{8637833E-11B4-4AE7-9E9C-E4A2F40F4B2D}" destId="{1BE32D14-1AB8-40AA-89B0-F902E82327C8}" srcOrd="1" destOrd="0" presId="urn:microsoft.com/office/officeart/2005/8/layout/process4"/>
    <dgm:cxn modelId="{22184E9D-9E43-457B-A841-C06B485FF000}" srcId="{6875DC89-E17F-4E26-A6C4-A6DDF338FBC7}" destId="{35D1E970-A1A4-48B6-B3C8-116EB9289BC8}" srcOrd="1" destOrd="0" parTransId="{E39FBC68-FD0A-461E-B7E0-30D94C35918C}" sibTransId="{D5EAE894-1910-423D-99FC-BBB32C888CF8}"/>
    <dgm:cxn modelId="{90C468A3-30BF-4853-93B4-172E8A232490}" srcId="{7E5D9681-C6E0-44CA-AA26-8EEB66D085B3}" destId="{6875DC89-E17F-4E26-A6C4-A6DDF338FBC7}" srcOrd="1" destOrd="0" parTransId="{197ED0EA-BB2E-4260-ADE8-937E661BA591}" sibTransId="{23DDB854-644A-4400-A7F0-7FB6EFFEF007}"/>
    <dgm:cxn modelId="{E15969A7-69DE-4BB2-858A-E568F1251883}" srcId="{7E5D9681-C6E0-44CA-AA26-8EEB66D085B3}" destId="{A785B758-ABAB-495F-B666-7F866781DDBA}" srcOrd="2" destOrd="0" parTransId="{FF930085-12DD-487D-96F1-C4D6C3958AA1}" sibTransId="{4CE7753D-5EAA-4B27-9006-57A06DF6A981}"/>
    <dgm:cxn modelId="{DC1CACAB-4C76-40A6-8CD2-DE97FEBEED8E}" srcId="{0636B301-2ABE-4499-8CE1-DA6F0D78BFEA}" destId="{5E0C3C73-6A53-4261-B15A-5FF21A79E799}" srcOrd="0" destOrd="0" parTransId="{CC613962-73BF-4D15-85B6-738D283D9394}" sibTransId="{2CC63086-6536-40A9-8CA6-ABAE58112D5D}"/>
    <dgm:cxn modelId="{F65D05AC-B262-4947-AE49-E726008A76B4}" type="presOf" srcId="{A4CB1E70-EAD0-459C-9741-DC01B5F0B711}" destId="{509B6778-A530-430A-A800-9E6AB23C7913}" srcOrd="0" destOrd="0" presId="urn:microsoft.com/office/officeart/2005/8/layout/process4"/>
    <dgm:cxn modelId="{BE77ABB8-53E3-4CE3-905B-DFDC290175EB}" type="presOf" srcId="{7E5D9681-C6E0-44CA-AA26-8EEB66D085B3}" destId="{EBCD4D4F-459B-4ABC-BD16-5CE7CDB01FC4}" srcOrd="0" destOrd="0" presId="urn:microsoft.com/office/officeart/2005/8/layout/process4"/>
    <dgm:cxn modelId="{552317C6-CE6B-4C59-967A-C11ADFA8249B}" type="presOf" srcId="{8AFA1C7A-EC94-40AC-B880-8FBDF8551DB1}" destId="{951B773F-1BD3-4B48-9C62-3E9D1E126BE9}" srcOrd="0" destOrd="0" presId="urn:microsoft.com/office/officeart/2005/8/layout/process4"/>
    <dgm:cxn modelId="{3C5EEAC6-7B46-456B-AE37-C4BA6FCB312F}" type="presOf" srcId="{791A9A5B-EF83-4FA9-8869-9FF75799669E}" destId="{1E0D4D85-D47B-4E28-82D6-37D227668927}" srcOrd="0" destOrd="0" presId="urn:microsoft.com/office/officeart/2005/8/layout/process4"/>
    <dgm:cxn modelId="{4F6A78CC-9E53-4972-A953-DA3675644C57}" type="presOf" srcId="{725430EB-7D98-475D-BA2B-F5F95A4D1EBC}" destId="{EE1A929B-DC00-4296-A7AC-B2972F04280A}" srcOrd="0" destOrd="0" presId="urn:microsoft.com/office/officeart/2005/8/layout/process4"/>
    <dgm:cxn modelId="{91D9C0D1-3FA1-4A9F-8F3A-A8F3D4236A29}" type="presOf" srcId="{1DC97E43-C325-447F-A3FD-11160F55E327}" destId="{01CE9866-2E32-493F-BC05-457DCF06A2C4}" srcOrd="0" destOrd="0" presId="urn:microsoft.com/office/officeart/2005/8/layout/process4"/>
    <dgm:cxn modelId="{3CA1F5D2-A9A6-4E18-85F3-7E734FB38877}" type="presOf" srcId="{A785B758-ABAB-495F-B666-7F866781DDBA}" destId="{BD78CD9C-A877-4B3E-A77B-22A2814221A1}" srcOrd="1" destOrd="0" presId="urn:microsoft.com/office/officeart/2005/8/layout/process4"/>
    <dgm:cxn modelId="{D49541DA-43ED-41E6-9736-FE2629B838A9}" srcId="{7E5D9681-C6E0-44CA-AA26-8EEB66D085B3}" destId="{0636B301-2ABE-4499-8CE1-DA6F0D78BFEA}" srcOrd="0" destOrd="0" parTransId="{2E6A07A4-A483-402F-AAB1-ECAD7DAED99D}" sibTransId="{668766FD-E02D-406C-B9F1-B1D19F8E1EE2}"/>
    <dgm:cxn modelId="{5EE3BDDA-889C-4379-AF6D-89ADD671D2EE}" type="presOf" srcId="{0636B301-2ABE-4499-8CE1-DA6F0D78BFEA}" destId="{D7543578-77EE-4920-96D2-8DD311AB1078}" srcOrd="1" destOrd="0" presId="urn:microsoft.com/office/officeart/2005/8/layout/process4"/>
    <dgm:cxn modelId="{09126DDD-7C04-43D9-ABC5-335A11B66618}" srcId="{A785B758-ABAB-495F-B666-7F866781DDBA}" destId="{696E5218-9A65-49C9-94B9-E5E4DFD61F66}" srcOrd="0" destOrd="0" parTransId="{54945753-DCBC-413B-808D-CAD4426E937E}" sibTransId="{B947D2EE-3478-4CBC-8C30-18B17963B042}"/>
    <dgm:cxn modelId="{693E8CEA-840F-4D03-90C8-CED9A550AAE9}" srcId="{0636B301-2ABE-4499-8CE1-DA6F0D78BFEA}" destId="{9416A4E5-D207-437C-8CB5-D36C29A589B6}" srcOrd="1" destOrd="0" parTransId="{347637F8-60A7-4C49-9C40-A904A0A7A3FB}" sibTransId="{059652D0-6D3F-4754-BEF9-3DA6C59F4656}"/>
    <dgm:cxn modelId="{568B26F5-AEB7-4816-96F6-41A364D9B195}" srcId="{0636B301-2ABE-4499-8CE1-DA6F0D78BFEA}" destId="{221B35D2-A824-45B1-B22A-8634C7C1604B}" srcOrd="3" destOrd="0" parTransId="{4C23AC1A-F278-4DCC-BF3A-9A93D2818219}" sibTransId="{E51B2699-1379-4C8C-9EC7-DBA34D5B2C22}"/>
    <dgm:cxn modelId="{278532F5-0B90-4898-916E-8161314C650C}" type="presOf" srcId="{6C135F2D-39B4-4F0E-9F59-5F0B70B1E40A}" destId="{91E6CAD5-DB65-471E-9F99-D1ACD948713B}" srcOrd="0" destOrd="0" presId="urn:microsoft.com/office/officeart/2005/8/layout/process4"/>
    <dgm:cxn modelId="{47A713F7-4935-4AEC-A5BC-32F60BF181CF}" type="presOf" srcId="{6875DC89-E17F-4E26-A6C4-A6DDF338FBC7}" destId="{AB82DD86-7312-48C1-8BA5-383BFBD5B320}" srcOrd="0" destOrd="0" presId="urn:microsoft.com/office/officeart/2005/8/layout/process4"/>
    <dgm:cxn modelId="{47B82A4F-0B04-47D6-851F-9982B5015B0E}" type="presParOf" srcId="{EBCD4D4F-459B-4ABC-BD16-5CE7CDB01FC4}" destId="{D7EA4094-4785-48D1-A1E5-8030E5E4ED62}" srcOrd="0" destOrd="0" presId="urn:microsoft.com/office/officeart/2005/8/layout/process4"/>
    <dgm:cxn modelId="{FFB9329F-8B06-4892-802C-7076A1BA6F69}" type="presParOf" srcId="{D7EA4094-4785-48D1-A1E5-8030E5E4ED62}" destId="{0E327F39-ACD1-45EB-B73D-1BF50BA63667}" srcOrd="0" destOrd="0" presId="urn:microsoft.com/office/officeart/2005/8/layout/process4"/>
    <dgm:cxn modelId="{A2C778DA-95DA-4B20-9DAB-FE288210846A}" type="presParOf" srcId="{EBCD4D4F-459B-4ABC-BD16-5CE7CDB01FC4}" destId="{1E229726-6AB6-40DF-B077-9A179C069000}" srcOrd="1" destOrd="0" presId="urn:microsoft.com/office/officeart/2005/8/layout/process4"/>
    <dgm:cxn modelId="{0AAEFDE2-A19D-4E9E-8CB7-709B2CBCB87A}" type="presParOf" srcId="{EBCD4D4F-459B-4ABC-BD16-5CE7CDB01FC4}" destId="{5C1F6D52-91E9-4D2B-8844-8FA1B16B7794}" srcOrd="2" destOrd="0" presId="urn:microsoft.com/office/officeart/2005/8/layout/process4"/>
    <dgm:cxn modelId="{D33D284B-F382-487E-9000-4FC28BE852D5}" type="presParOf" srcId="{5C1F6D52-91E9-4D2B-8844-8FA1B16B7794}" destId="{509B6778-A530-430A-A800-9E6AB23C7913}" srcOrd="0" destOrd="0" presId="urn:microsoft.com/office/officeart/2005/8/layout/process4"/>
    <dgm:cxn modelId="{B41EBE9A-79DF-44EF-996F-317795B17B16}" type="presParOf" srcId="{EBCD4D4F-459B-4ABC-BD16-5CE7CDB01FC4}" destId="{C09C5078-EE6E-4712-9215-D38108A2D192}" srcOrd="3" destOrd="0" presId="urn:microsoft.com/office/officeart/2005/8/layout/process4"/>
    <dgm:cxn modelId="{0C26DA3E-F681-477D-ABB3-7C721255DF55}" type="presParOf" srcId="{EBCD4D4F-459B-4ABC-BD16-5CE7CDB01FC4}" destId="{6E5AF2B9-CD90-4CED-8C0E-C31778EF6CEC}" srcOrd="4" destOrd="0" presId="urn:microsoft.com/office/officeart/2005/8/layout/process4"/>
    <dgm:cxn modelId="{C85190E2-8073-49F6-8F56-914D48BF707F}" type="presParOf" srcId="{6E5AF2B9-CD90-4CED-8C0E-C31778EF6CEC}" destId="{6606DF2F-F4FF-4D15-A6E5-3F7AC9036D90}" srcOrd="0" destOrd="0" presId="urn:microsoft.com/office/officeart/2005/8/layout/process4"/>
    <dgm:cxn modelId="{A0BB685E-974E-4147-BFA9-A1EF40F77D9A}" type="presParOf" srcId="{EBCD4D4F-459B-4ABC-BD16-5CE7CDB01FC4}" destId="{003217B7-55B7-427B-969A-DFCFC827991B}" srcOrd="5" destOrd="0" presId="urn:microsoft.com/office/officeart/2005/8/layout/process4"/>
    <dgm:cxn modelId="{DD6C3EAB-F4FA-4F5B-BECB-466EBB81C65E}" type="presParOf" srcId="{EBCD4D4F-459B-4ABC-BD16-5CE7CDB01FC4}" destId="{F18D6227-D24F-404A-9746-837AF7549F38}" srcOrd="6" destOrd="0" presId="urn:microsoft.com/office/officeart/2005/8/layout/process4"/>
    <dgm:cxn modelId="{04516BDF-6562-484D-A6D4-231A176FC338}" type="presParOf" srcId="{F18D6227-D24F-404A-9746-837AF7549F38}" destId="{136BDCC5-5208-4F44-A058-B962C7CD4F29}" srcOrd="0" destOrd="0" presId="urn:microsoft.com/office/officeart/2005/8/layout/process4"/>
    <dgm:cxn modelId="{64201378-9313-4727-BE40-5DCCC2076640}" type="presParOf" srcId="{F18D6227-D24F-404A-9746-837AF7549F38}" destId="{1BE32D14-1AB8-40AA-89B0-F902E82327C8}" srcOrd="1" destOrd="0" presId="urn:microsoft.com/office/officeart/2005/8/layout/process4"/>
    <dgm:cxn modelId="{533CBD00-B26D-4E30-A0E0-38D39BA6FA22}" type="presParOf" srcId="{F18D6227-D24F-404A-9746-837AF7549F38}" destId="{2C0BC129-F076-48D8-A3B7-0883B9D495FB}" srcOrd="2" destOrd="0" presId="urn:microsoft.com/office/officeart/2005/8/layout/process4"/>
    <dgm:cxn modelId="{9AD6EBB8-FA18-487D-8D87-1A64327BA98A}" type="presParOf" srcId="{2C0BC129-F076-48D8-A3B7-0883B9D495FB}" destId="{951B773F-1BD3-4B48-9C62-3E9D1E126BE9}" srcOrd="0" destOrd="0" presId="urn:microsoft.com/office/officeart/2005/8/layout/process4"/>
    <dgm:cxn modelId="{575AF981-83FD-4E36-B9C8-CCBAE386C899}" type="presParOf" srcId="{2C0BC129-F076-48D8-A3B7-0883B9D495FB}" destId="{309DEBE3-A549-4504-A8F7-ACFD2BE99C17}" srcOrd="1" destOrd="0" presId="urn:microsoft.com/office/officeart/2005/8/layout/process4"/>
    <dgm:cxn modelId="{A2DCA4B3-A9C2-463C-9FF3-92882A6C4156}" type="presParOf" srcId="{2C0BC129-F076-48D8-A3B7-0883B9D495FB}" destId="{508ED4C1-19A6-47CF-9EB5-5DBACF8E456A}" srcOrd="2" destOrd="0" presId="urn:microsoft.com/office/officeart/2005/8/layout/process4"/>
    <dgm:cxn modelId="{7A5F47D9-743B-4BD5-BD3D-79B6D4794E67}" type="presParOf" srcId="{EBCD4D4F-459B-4ABC-BD16-5CE7CDB01FC4}" destId="{6A5A3E4A-48E9-42F2-9E20-A2765E748314}" srcOrd="7" destOrd="0" presId="urn:microsoft.com/office/officeart/2005/8/layout/process4"/>
    <dgm:cxn modelId="{E1B62EC2-7D4E-4B58-88BE-9B12A6833081}" type="presParOf" srcId="{EBCD4D4F-459B-4ABC-BD16-5CE7CDB01FC4}" destId="{6B00B6E8-107F-4F02-8B42-2EC28310A71D}" srcOrd="8" destOrd="0" presId="urn:microsoft.com/office/officeart/2005/8/layout/process4"/>
    <dgm:cxn modelId="{082C2613-463D-4D35-A318-9E0BC64D90CB}" type="presParOf" srcId="{6B00B6E8-107F-4F02-8B42-2EC28310A71D}" destId="{5946A949-A62C-4C3F-86E0-1B627B66C78B}" srcOrd="0" destOrd="0" presId="urn:microsoft.com/office/officeart/2005/8/layout/process4"/>
    <dgm:cxn modelId="{D5472428-1EE2-4724-96EA-21EED7962E72}" type="presParOf" srcId="{6B00B6E8-107F-4F02-8B42-2EC28310A71D}" destId="{BD78CD9C-A877-4B3E-A77B-22A2814221A1}" srcOrd="1" destOrd="0" presId="urn:microsoft.com/office/officeart/2005/8/layout/process4"/>
    <dgm:cxn modelId="{1E80C5D4-5E87-4D69-AA14-662E0D8BF8DC}" type="presParOf" srcId="{6B00B6E8-107F-4F02-8B42-2EC28310A71D}" destId="{968536BA-9931-47B1-848F-E27126363AEE}" srcOrd="2" destOrd="0" presId="urn:microsoft.com/office/officeart/2005/8/layout/process4"/>
    <dgm:cxn modelId="{325A6937-F2F6-4690-AE46-54D28E72AC89}" type="presParOf" srcId="{968536BA-9931-47B1-848F-E27126363AEE}" destId="{40567161-7709-46D8-8854-2C63D11E19E2}" srcOrd="0" destOrd="0" presId="urn:microsoft.com/office/officeart/2005/8/layout/process4"/>
    <dgm:cxn modelId="{E32C625F-FCF9-4C87-93F9-E46443CB1986}" type="presParOf" srcId="{968536BA-9931-47B1-848F-E27126363AEE}" destId="{FCF39F8F-2753-4012-8774-EC0C1E96A773}" srcOrd="1" destOrd="0" presId="urn:microsoft.com/office/officeart/2005/8/layout/process4"/>
    <dgm:cxn modelId="{91D2F97A-BA2D-4B77-AF87-C213A48FF1FC}" type="presParOf" srcId="{968536BA-9931-47B1-848F-E27126363AEE}" destId="{1E0D4D85-D47B-4E28-82D6-37D227668927}" srcOrd="2" destOrd="0" presId="urn:microsoft.com/office/officeart/2005/8/layout/process4"/>
    <dgm:cxn modelId="{219A3889-312D-450C-87E3-E6412458D3E3}" type="presParOf" srcId="{968536BA-9931-47B1-848F-E27126363AEE}" destId="{EE1A929B-DC00-4296-A7AC-B2972F04280A}" srcOrd="3" destOrd="0" presId="urn:microsoft.com/office/officeart/2005/8/layout/process4"/>
    <dgm:cxn modelId="{9B828640-7625-4355-9D55-B982DD621DC1}" type="presParOf" srcId="{968536BA-9931-47B1-848F-E27126363AEE}" destId="{91E6CAD5-DB65-471E-9F99-D1ACD948713B}" srcOrd="4" destOrd="0" presId="urn:microsoft.com/office/officeart/2005/8/layout/process4"/>
    <dgm:cxn modelId="{AEFBE5BE-0772-4879-B4D4-C83694869C20}" type="presParOf" srcId="{EBCD4D4F-459B-4ABC-BD16-5CE7CDB01FC4}" destId="{F06A93E3-4B18-4682-BFDC-EE2CDE0C8112}" srcOrd="9" destOrd="0" presId="urn:microsoft.com/office/officeart/2005/8/layout/process4"/>
    <dgm:cxn modelId="{B904EF14-3D56-4576-83BF-A3C600652A17}" type="presParOf" srcId="{EBCD4D4F-459B-4ABC-BD16-5CE7CDB01FC4}" destId="{F111C0BF-5291-486D-8CD2-269A5D73897C}" srcOrd="10" destOrd="0" presId="urn:microsoft.com/office/officeart/2005/8/layout/process4"/>
    <dgm:cxn modelId="{781887C5-8E5C-4DB1-93A3-7E23D3748B30}" type="presParOf" srcId="{F111C0BF-5291-486D-8CD2-269A5D73897C}" destId="{AB82DD86-7312-48C1-8BA5-383BFBD5B320}" srcOrd="0" destOrd="0" presId="urn:microsoft.com/office/officeart/2005/8/layout/process4"/>
    <dgm:cxn modelId="{370B8F95-490D-4404-B6B7-B7AE1DC2AF62}" type="presParOf" srcId="{F111C0BF-5291-486D-8CD2-269A5D73897C}" destId="{5D76E339-0271-4940-8EFE-0A91279930B2}" srcOrd="1" destOrd="0" presId="urn:microsoft.com/office/officeart/2005/8/layout/process4"/>
    <dgm:cxn modelId="{10458D21-8260-4A36-B323-3107C5213535}" type="presParOf" srcId="{F111C0BF-5291-486D-8CD2-269A5D73897C}" destId="{4CDBF90C-02F3-4A4D-B5BB-633500F80DA7}" srcOrd="2" destOrd="0" presId="urn:microsoft.com/office/officeart/2005/8/layout/process4"/>
    <dgm:cxn modelId="{D7F5D509-2DB5-433B-BAD8-355D1FE868A8}" type="presParOf" srcId="{4CDBF90C-02F3-4A4D-B5BB-633500F80DA7}" destId="{918BBC84-7671-472D-A079-3B139C30F410}" srcOrd="0" destOrd="0" presId="urn:microsoft.com/office/officeart/2005/8/layout/process4"/>
    <dgm:cxn modelId="{835DC216-09D0-443C-9941-F93C93CCEF1E}" type="presParOf" srcId="{4CDBF90C-02F3-4A4D-B5BB-633500F80DA7}" destId="{9B1625AD-8629-4785-B0FE-E73DE2E063AC}" srcOrd="1" destOrd="0" presId="urn:microsoft.com/office/officeart/2005/8/layout/process4"/>
    <dgm:cxn modelId="{6F5B86D5-AA62-4CE0-8641-BAC13F473D87}" type="presParOf" srcId="{4CDBF90C-02F3-4A4D-B5BB-633500F80DA7}" destId="{01CE9866-2E32-493F-BC05-457DCF06A2C4}" srcOrd="2" destOrd="0" presId="urn:microsoft.com/office/officeart/2005/8/layout/process4"/>
    <dgm:cxn modelId="{22099920-4F7F-4A30-AEE5-40F46078D09A}" type="presParOf" srcId="{EBCD4D4F-459B-4ABC-BD16-5CE7CDB01FC4}" destId="{FD95C96A-813B-43FD-87C8-0C09C85AD408}" srcOrd="11" destOrd="0" presId="urn:microsoft.com/office/officeart/2005/8/layout/process4"/>
    <dgm:cxn modelId="{0A9CD74F-A8C8-43E4-A129-050061BFA877}" type="presParOf" srcId="{EBCD4D4F-459B-4ABC-BD16-5CE7CDB01FC4}" destId="{6347624B-8FEC-4FB0-9614-686AD848CD4C}" srcOrd="12" destOrd="0" presId="urn:microsoft.com/office/officeart/2005/8/layout/process4"/>
    <dgm:cxn modelId="{A30C997C-5906-4F9F-B989-1AC6CCB79AB3}" type="presParOf" srcId="{6347624B-8FEC-4FB0-9614-686AD848CD4C}" destId="{E63EEB37-FFEB-4BDA-BEC8-CD67559A8435}" srcOrd="0" destOrd="0" presId="urn:microsoft.com/office/officeart/2005/8/layout/process4"/>
    <dgm:cxn modelId="{FE3BFB41-FC16-4290-B90F-44D5D1DCA6C3}" type="presParOf" srcId="{6347624B-8FEC-4FB0-9614-686AD848CD4C}" destId="{D7543578-77EE-4920-96D2-8DD311AB1078}" srcOrd="1" destOrd="0" presId="urn:microsoft.com/office/officeart/2005/8/layout/process4"/>
    <dgm:cxn modelId="{4677E46F-F950-484D-A311-4D151221485C}" type="presParOf" srcId="{6347624B-8FEC-4FB0-9614-686AD848CD4C}" destId="{4218CAD3-867B-4C7D-B6D9-1C34942238FA}" srcOrd="2" destOrd="0" presId="urn:microsoft.com/office/officeart/2005/8/layout/process4"/>
    <dgm:cxn modelId="{5DEEE560-18AD-47AE-84CA-E5928B41FBE6}" type="presParOf" srcId="{4218CAD3-867B-4C7D-B6D9-1C34942238FA}" destId="{21ABCD6A-50C2-46F8-8A4D-1240040539E5}" srcOrd="0" destOrd="0" presId="urn:microsoft.com/office/officeart/2005/8/layout/process4"/>
    <dgm:cxn modelId="{1A10B97B-1FBB-4A3F-A4F7-F8C453498821}" type="presParOf" srcId="{4218CAD3-867B-4C7D-B6D9-1C34942238FA}" destId="{C7F1FDCE-BEFD-4B62-A8CA-F602231BE10A}" srcOrd="1" destOrd="0" presId="urn:microsoft.com/office/officeart/2005/8/layout/process4"/>
    <dgm:cxn modelId="{79C5BEFC-4948-48A1-9C6D-F723089C3F74}" type="presParOf" srcId="{4218CAD3-867B-4C7D-B6D9-1C34942238FA}" destId="{A19DE8E8-54C5-4454-A008-8C08E7895C27}" srcOrd="2" destOrd="0" presId="urn:microsoft.com/office/officeart/2005/8/layout/process4"/>
    <dgm:cxn modelId="{1A2104C7-505F-4A6B-8D93-ED13A3FA3A79}" type="presParOf" srcId="{4218CAD3-867B-4C7D-B6D9-1C34942238FA}" destId="{ACAC04B3-B011-43E5-BC10-67F5EE56A14A}" srcOrd="3" destOrd="0" presId="urn:microsoft.com/office/officeart/2005/8/layout/process4"/>
    <dgm:cxn modelId="{3F86D546-469A-4120-B1CE-BAEF238C1372}" type="presParOf" srcId="{4218CAD3-867B-4C7D-B6D9-1C34942238FA}" destId="{9D1B3429-9681-41A4-A1C3-FAD7092228D3}" srcOrd="4" destOrd="0" presId="urn:microsoft.com/office/officeart/2005/8/layout/process4"/>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E327F39-ACD1-45EB-B73D-1BF50BA63667}">
      <dsp:nvSpPr>
        <dsp:cNvPr id="0" name=""/>
        <dsp:cNvSpPr/>
      </dsp:nvSpPr>
      <dsp:spPr>
        <a:xfrm>
          <a:off x="0" y="2884638"/>
          <a:ext cx="5486400" cy="315664"/>
        </a:xfrm>
        <a:prstGeom prst="rect">
          <a:avLst/>
        </a:prstGeom>
        <a:gradFill rotWithShape="0">
          <a:gsLst>
            <a:gs pos="0">
              <a:schemeClr val="accent3">
                <a:alpha val="90000"/>
                <a:hueOff val="0"/>
                <a:satOff val="0"/>
                <a:lumOff val="0"/>
                <a:alphaOff val="0"/>
                <a:lumMod val="110000"/>
                <a:satMod val="105000"/>
                <a:tint val="67000"/>
              </a:schemeClr>
            </a:gs>
            <a:gs pos="50000">
              <a:schemeClr val="accent3">
                <a:alpha val="90000"/>
                <a:hueOff val="0"/>
                <a:satOff val="0"/>
                <a:lumOff val="0"/>
                <a:alphaOff val="0"/>
                <a:lumMod val="105000"/>
                <a:satMod val="103000"/>
                <a:tint val="73000"/>
              </a:schemeClr>
            </a:gs>
            <a:gs pos="100000">
              <a:schemeClr val="accent3">
                <a:alpha val="9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US" sz="800" kern="1200"/>
            <a:t>7: Compute Temporal Factors</a:t>
          </a:r>
        </a:p>
      </dsp:txBody>
      <dsp:txXfrm>
        <a:off x="0" y="2884638"/>
        <a:ext cx="5486400" cy="315664"/>
      </dsp:txXfrm>
    </dsp:sp>
    <dsp:sp modelId="{509B6778-A530-430A-A800-9E6AB23C7913}">
      <dsp:nvSpPr>
        <dsp:cNvPr id="0" name=""/>
        <dsp:cNvSpPr/>
      </dsp:nvSpPr>
      <dsp:spPr>
        <a:xfrm rot="10800000">
          <a:off x="0" y="2403881"/>
          <a:ext cx="5486400" cy="485491"/>
        </a:xfrm>
        <a:prstGeom prst="upArrowCallout">
          <a:avLst/>
        </a:prstGeom>
        <a:gradFill rotWithShape="0">
          <a:gsLst>
            <a:gs pos="0">
              <a:schemeClr val="accent3">
                <a:alpha val="90000"/>
                <a:hueOff val="0"/>
                <a:satOff val="0"/>
                <a:lumOff val="0"/>
                <a:alphaOff val="-6667"/>
                <a:lumMod val="110000"/>
                <a:satMod val="105000"/>
                <a:tint val="67000"/>
              </a:schemeClr>
            </a:gs>
            <a:gs pos="50000">
              <a:schemeClr val="accent3">
                <a:alpha val="90000"/>
                <a:hueOff val="0"/>
                <a:satOff val="0"/>
                <a:lumOff val="0"/>
                <a:alphaOff val="-6667"/>
                <a:lumMod val="105000"/>
                <a:satMod val="103000"/>
                <a:tint val="73000"/>
              </a:schemeClr>
            </a:gs>
            <a:gs pos="100000">
              <a:schemeClr val="accent3">
                <a:alpha val="90000"/>
                <a:hueOff val="0"/>
                <a:satOff val="0"/>
                <a:lumOff val="0"/>
                <a:alphaOff val="-6667"/>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US" sz="800" kern="1200"/>
            <a:t>6: Select Specific Count Locations</a:t>
          </a:r>
        </a:p>
      </dsp:txBody>
      <dsp:txXfrm rot="10800000">
        <a:off x="0" y="2403881"/>
        <a:ext cx="5486400" cy="315457"/>
      </dsp:txXfrm>
    </dsp:sp>
    <dsp:sp modelId="{6606DF2F-F4FF-4D15-A6E5-3F7AC9036D90}">
      <dsp:nvSpPr>
        <dsp:cNvPr id="0" name=""/>
        <dsp:cNvSpPr/>
      </dsp:nvSpPr>
      <dsp:spPr>
        <a:xfrm rot="10800000">
          <a:off x="0" y="1923124"/>
          <a:ext cx="5486400" cy="485491"/>
        </a:xfrm>
        <a:prstGeom prst="upArrowCallout">
          <a:avLst/>
        </a:prstGeom>
        <a:gradFill rotWithShape="0">
          <a:gsLst>
            <a:gs pos="0">
              <a:schemeClr val="accent3">
                <a:alpha val="90000"/>
                <a:hueOff val="0"/>
                <a:satOff val="0"/>
                <a:lumOff val="0"/>
                <a:alphaOff val="-13333"/>
                <a:lumMod val="110000"/>
                <a:satMod val="105000"/>
                <a:tint val="67000"/>
              </a:schemeClr>
            </a:gs>
            <a:gs pos="50000">
              <a:schemeClr val="accent3">
                <a:alpha val="90000"/>
                <a:hueOff val="0"/>
                <a:satOff val="0"/>
                <a:lumOff val="0"/>
                <a:alphaOff val="-13333"/>
                <a:lumMod val="105000"/>
                <a:satMod val="103000"/>
                <a:tint val="73000"/>
              </a:schemeClr>
            </a:gs>
            <a:gs pos="100000">
              <a:schemeClr val="accent3">
                <a:alpha val="90000"/>
                <a:hueOff val="0"/>
                <a:satOff val="0"/>
                <a:lumOff val="0"/>
                <a:alphaOff val="-13333"/>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US" sz="800" kern="1200"/>
            <a:t>5: Determine the Appropriate Number of Continuous Count Locations </a:t>
          </a:r>
        </a:p>
      </dsp:txBody>
      <dsp:txXfrm rot="10800000">
        <a:off x="0" y="1923124"/>
        <a:ext cx="5486400" cy="315457"/>
      </dsp:txXfrm>
    </dsp:sp>
    <dsp:sp modelId="{1BE32D14-1AB8-40AA-89B0-F902E82327C8}">
      <dsp:nvSpPr>
        <dsp:cNvPr id="0" name=""/>
        <dsp:cNvSpPr/>
      </dsp:nvSpPr>
      <dsp:spPr>
        <a:xfrm rot="10800000">
          <a:off x="0" y="1442367"/>
          <a:ext cx="5486400" cy="485491"/>
        </a:xfrm>
        <a:prstGeom prst="upArrowCallout">
          <a:avLst/>
        </a:prstGeom>
        <a:gradFill rotWithShape="0">
          <a:gsLst>
            <a:gs pos="0">
              <a:schemeClr val="accent3">
                <a:alpha val="90000"/>
                <a:hueOff val="0"/>
                <a:satOff val="0"/>
                <a:lumOff val="0"/>
                <a:alphaOff val="-20000"/>
                <a:lumMod val="110000"/>
                <a:satMod val="105000"/>
                <a:tint val="67000"/>
              </a:schemeClr>
            </a:gs>
            <a:gs pos="50000">
              <a:schemeClr val="accent3">
                <a:alpha val="90000"/>
                <a:hueOff val="0"/>
                <a:satOff val="0"/>
                <a:lumOff val="0"/>
                <a:alphaOff val="-20000"/>
                <a:lumMod val="105000"/>
                <a:satMod val="103000"/>
                <a:tint val="73000"/>
              </a:schemeClr>
            </a:gs>
            <a:gs pos="100000">
              <a:schemeClr val="accent3">
                <a:alpha val="90000"/>
                <a:hueOff val="0"/>
                <a:satOff val="0"/>
                <a:lumOff val="0"/>
                <a:alphaOff val="-2000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9784" tIns="49784" rIns="49784" bIns="49784" numCol="1" spcCol="1270" anchor="ctr" anchorCtr="0">
          <a:noAutofit/>
        </a:bodyPr>
        <a:lstStyle/>
        <a:p>
          <a:pPr marL="0" lvl="0" indent="0" algn="ctr" defTabSz="311150">
            <a:lnSpc>
              <a:spcPct val="90000"/>
            </a:lnSpc>
            <a:spcBef>
              <a:spcPct val="0"/>
            </a:spcBef>
            <a:spcAft>
              <a:spcPct val="35000"/>
            </a:spcAft>
            <a:buNone/>
          </a:pPr>
          <a:r>
            <a:rPr lang="en-US" sz="700" kern="1200"/>
            <a:t>4: Establish Monthly Pattern Groups</a:t>
          </a:r>
        </a:p>
      </dsp:txBody>
      <dsp:txXfrm rot="-10800000">
        <a:off x="0" y="1442367"/>
        <a:ext cx="5486400" cy="170407"/>
      </dsp:txXfrm>
    </dsp:sp>
    <dsp:sp modelId="{951B773F-1BD3-4B48-9C62-3E9D1E126BE9}">
      <dsp:nvSpPr>
        <dsp:cNvPr id="0" name=""/>
        <dsp:cNvSpPr/>
      </dsp:nvSpPr>
      <dsp:spPr>
        <a:xfrm>
          <a:off x="2678" y="1612775"/>
          <a:ext cx="1827014" cy="145162"/>
        </a:xfrm>
        <a:prstGeom prst="rect">
          <a:avLst/>
        </a:prstGeom>
        <a:solidFill>
          <a:schemeClr val="accent3">
            <a:alpha val="90000"/>
            <a:tint val="40000"/>
            <a:hueOff val="0"/>
            <a:satOff val="0"/>
            <a:lumOff val="0"/>
            <a:alphaOff val="0"/>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5560" tIns="6350" rIns="35560" bIns="6350" numCol="1" spcCol="1270" anchor="ctr" anchorCtr="0">
          <a:noAutofit/>
        </a:bodyPr>
        <a:lstStyle/>
        <a:p>
          <a:pPr marL="0" lvl="0" indent="0" algn="ctr" defTabSz="222250">
            <a:lnSpc>
              <a:spcPct val="90000"/>
            </a:lnSpc>
            <a:spcBef>
              <a:spcPct val="0"/>
            </a:spcBef>
            <a:spcAft>
              <a:spcPct val="35000"/>
            </a:spcAft>
            <a:buNone/>
          </a:pPr>
          <a:r>
            <a:rPr lang="en-US" sz="500" kern="1200"/>
            <a:t>Traditional Approach</a:t>
          </a:r>
        </a:p>
      </dsp:txBody>
      <dsp:txXfrm>
        <a:off x="2678" y="1612775"/>
        <a:ext cx="1827014" cy="145162"/>
      </dsp:txXfrm>
    </dsp:sp>
    <dsp:sp modelId="{309DEBE3-A549-4504-A8F7-ACFD2BE99C17}">
      <dsp:nvSpPr>
        <dsp:cNvPr id="0" name=""/>
        <dsp:cNvSpPr/>
      </dsp:nvSpPr>
      <dsp:spPr>
        <a:xfrm>
          <a:off x="1829692" y="1612775"/>
          <a:ext cx="1827014" cy="145162"/>
        </a:xfrm>
        <a:prstGeom prst="rect">
          <a:avLst/>
        </a:prstGeom>
        <a:solidFill>
          <a:schemeClr val="accent3">
            <a:alpha val="90000"/>
            <a:tint val="40000"/>
            <a:hueOff val="0"/>
            <a:satOff val="0"/>
            <a:lumOff val="0"/>
            <a:alphaOff val="-2667"/>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5560" tIns="6350" rIns="35560" bIns="6350" numCol="1" spcCol="1270" anchor="ctr" anchorCtr="0">
          <a:noAutofit/>
        </a:bodyPr>
        <a:lstStyle/>
        <a:p>
          <a:pPr marL="0" lvl="0" indent="0" algn="ctr" defTabSz="222250">
            <a:lnSpc>
              <a:spcPct val="90000"/>
            </a:lnSpc>
            <a:spcBef>
              <a:spcPct val="0"/>
            </a:spcBef>
            <a:spcAft>
              <a:spcPct val="35000"/>
            </a:spcAft>
            <a:buNone/>
          </a:pPr>
          <a:r>
            <a:rPr lang="en-US" sz="500" kern="1200"/>
            <a:t>Cluster Analysis</a:t>
          </a:r>
        </a:p>
      </dsp:txBody>
      <dsp:txXfrm>
        <a:off x="1829692" y="1612775"/>
        <a:ext cx="1827014" cy="145162"/>
      </dsp:txXfrm>
    </dsp:sp>
    <dsp:sp modelId="{508ED4C1-19A6-47CF-9EB5-5DBACF8E456A}">
      <dsp:nvSpPr>
        <dsp:cNvPr id="0" name=""/>
        <dsp:cNvSpPr/>
      </dsp:nvSpPr>
      <dsp:spPr>
        <a:xfrm>
          <a:off x="3656707" y="1612775"/>
          <a:ext cx="1827014" cy="145162"/>
        </a:xfrm>
        <a:prstGeom prst="rect">
          <a:avLst/>
        </a:prstGeom>
        <a:solidFill>
          <a:schemeClr val="accent3">
            <a:alpha val="90000"/>
            <a:tint val="40000"/>
            <a:hueOff val="0"/>
            <a:satOff val="0"/>
            <a:lumOff val="0"/>
            <a:alphaOff val="-5333"/>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5560" tIns="6350" rIns="35560" bIns="6350" numCol="1" spcCol="1270" anchor="ctr" anchorCtr="0">
          <a:noAutofit/>
        </a:bodyPr>
        <a:lstStyle/>
        <a:p>
          <a:pPr marL="0" lvl="0" indent="0" algn="ctr" defTabSz="222250">
            <a:lnSpc>
              <a:spcPct val="90000"/>
            </a:lnSpc>
            <a:spcBef>
              <a:spcPct val="0"/>
            </a:spcBef>
            <a:spcAft>
              <a:spcPct val="35000"/>
            </a:spcAft>
            <a:buNone/>
          </a:pPr>
          <a:r>
            <a:rPr lang="en-US" sz="500" kern="1200"/>
            <a:t>Volume Factor Groups</a:t>
          </a:r>
        </a:p>
      </dsp:txBody>
      <dsp:txXfrm>
        <a:off x="3656707" y="1612775"/>
        <a:ext cx="1827014" cy="145162"/>
      </dsp:txXfrm>
    </dsp:sp>
    <dsp:sp modelId="{BD78CD9C-A877-4B3E-A77B-22A2814221A1}">
      <dsp:nvSpPr>
        <dsp:cNvPr id="0" name=""/>
        <dsp:cNvSpPr/>
      </dsp:nvSpPr>
      <dsp:spPr>
        <a:xfrm rot="10800000">
          <a:off x="0" y="961610"/>
          <a:ext cx="5486400" cy="485491"/>
        </a:xfrm>
        <a:prstGeom prst="upArrowCallout">
          <a:avLst/>
        </a:prstGeom>
        <a:gradFill rotWithShape="0">
          <a:gsLst>
            <a:gs pos="0">
              <a:schemeClr val="accent3">
                <a:alpha val="90000"/>
                <a:hueOff val="0"/>
                <a:satOff val="0"/>
                <a:lumOff val="0"/>
                <a:alphaOff val="-26667"/>
                <a:lumMod val="110000"/>
                <a:satMod val="105000"/>
                <a:tint val="67000"/>
              </a:schemeClr>
            </a:gs>
            <a:gs pos="50000">
              <a:schemeClr val="accent3">
                <a:alpha val="90000"/>
                <a:hueOff val="0"/>
                <a:satOff val="0"/>
                <a:lumOff val="0"/>
                <a:alphaOff val="-26667"/>
                <a:lumMod val="105000"/>
                <a:satMod val="103000"/>
                <a:tint val="73000"/>
              </a:schemeClr>
            </a:gs>
            <a:gs pos="100000">
              <a:schemeClr val="accent3">
                <a:alpha val="90000"/>
                <a:hueOff val="0"/>
                <a:satOff val="0"/>
                <a:lumOff val="0"/>
                <a:alphaOff val="-26667"/>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9784" tIns="49784" rIns="49784" bIns="49784" numCol="1" spcCol="1270" anchor="ctr" anchorCtr="0">
          <a:noAutofit/>
        </a:bodyPr>
        <a:lstStyle/>
        <a:p>
          <a:pPr marL="0" lvl="0" indent="0" algn="ctr" defTabSz="311150">
            <a:lnSpc>
              <a:spcPct val="90000"/>
            </a:lnSpc>
            <a:spcBef>
              <a:spcPct val="0"/>
            </a:spcBef>
            <a:spcAft>
              <a:spcPct val="35000"/>
            </a:spcAft>
            <a:buNone/>
          </a:pPr>
          <a:r>
            <a:rPr lang="en-US" sz="700" kern="1200"/>
            <a:t>3: Determine the Traffic Patterns to be Monitored</a:t>
          </a:r>
        </a:p>
      </dsp:txBody>
      <dsp:txXfrm rot="-10800000">
        <a:off x="0" y="961610"/>
        <a:ext cx="5486400" cy="170407"/>
      </dsp:txXfrm>
    </dsp:sp>
    <dsp:sp modelId="{40567161-7709-46D8-8854-2C63D11E19E2}">
      <dsp:nvSpPr>
        <dsp:cNvPr id="0" name=""/>
        <dsp:cNvSpPr/>
      </dsp:nvSpPr>
      <dsp:spPr>
        <a:xfrm>
          <a:off x="669" y="1132018"/>
          <a:ext cx="1097012" cy="145162"/>
        </a:xfrm>
        <a:prstGeom prst="rect">
          <a:avLst/>
        </a:prstGeom>
        <a:solidFill>
          <a:schemeClr val="accent3">
            <a:alpha val="90000"/>
            <a:tint val="40000"/>
            <a:hueOff val="0"/>
            <a:satOff val="0"/>
            <a:lumOff val="0"/>
            <a:alphaOff val="-8000"/>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5560" tIns="6350" rIns="35560" bIns="6350" numCol="1" spcCol="1270" anchor="ctr" anchorCtr="0">
          <a:noAutofit/>
        </a:bodyPr>
        <a:lstStyle/>
        <a:p>
          <a:pPr marL="0" lvl="0" indent="0" algn="ctr" defTabSz="222250">
            <a:lnSpc>
              <a:spcPct val="90000"/>
            </a:lnSpc>
            <a:spcBef>
              <a:spcPct val="0"/>
            </a:spcBef>
            <a:spcAft>
              <a:spcPct val="35000"/>
            </a:spcAft>
            <a:buNone/>
          </a:pPr>
          <a:r>
            <a:rPr lang="en-US" sz="500" kern="1200"/>
            <a:t>Time Patterns</a:t>
          </a:r>
        </a:p>
      </dsp:txBody>
      <dsp:txXfrm>
        <a:off x="669" y="1132018"/>
        <a:ext cx="1097012" cy="145162"/>
      </dsp:txXfrm>
    </dsp:sp>
    <dsp:sp modelId="{FCF39F8F-2753-4012-8774-EC0C1E96A773}">
      <dsp:nvSpPr>
        <dsp:cNvPr id="0" name=""/>
        <dsp:cNvSpPr/>
      </dsp:nvSpPr>
      <dsp:spPr>
        <a:xfrm>
          <a:off x="1097681" y="1132018"/>
          <a:ext cx="1097012" cy="145162"/>
        </a:xfrm>
        <a:prstGeom prst="rect">
          <a:avLst/>
        </a:prstGeom>
        <a:solidFill>
          <a:schemeClr val="accent3">
            <a:alpha val="90000"/>
            <a:tint val="40000"/>
            <a:hueOff val="0"/>
            <a:satOff val="0"/>
            <a:lumOff val="0"/>
            <a:alphaOff val="-10667"/>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5560" tIns="6350" rIns="35560" bIns="6350" numCol="1" spcCol="1270" anchor="ctr" anchorCtr="0">
          <a:noAutofit/>
        </a:bodyPr>
        <a:lstStyle/>
        <a:p>
          <a:pPr marL="0" lvl="0" indent="0" algn="ctr" defTabSz="222250">
            <a:lnSpc>
              <a:spcPct val="90000"/>
            </a:lnSpc>
            <a:spcBef>
              <a:spcPct val="0"/>
            </a:spcBef>
            <a:spcAft>
              <a:spcPct val="35000"/>
            </a:spcAft>
            <a:buNone/>
          </a:pPr>
          <a:r>
            <a:rPr lang="en-US" sz="500" kern="1200"/>
            <a:t>Monthly Factors</a:t>
          </a:r>
        </a:p>
      </dsp:txBody>
      <dsp:txXfrm>
        <a:off x="1097681" y="1132018"/>
        <a:ext cx="1097012" cy="145162"/>
      </dsp:txXfrm>
    </dsp:sp>
    <dsp:sp modelId="{1E0D4D85-D47B-4E28-82D6-37D227668927}">
      <dsp:nvSpPr>
        <dsp:cNvPr id="0" name=""/>
        <dsp:cNvSpPr/>
      </dsp:nvSpPr>
      <dsp:spPr>
        <a:xfrm>
          <a:off x="2194693" y="1132018"/>
          <a:ext cx="1097012" cy="145162"/>
        </a:xfrm>
        <a:prstGeom prst="rect">
          <a:avLst/>
        </a:prstGeom>
        <a:solidFill>
          <a:schemeClr val="accent3">
            <a:alpha val="90000"/>
            <a:tint val="40000"/>
            <a:hueOff val="0"/>
            <a:satOff val="0"/>
            <a:lumOff val="0"/>
            <a:alphaOff val="-13333"/>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5560" tIns="6350" rIns="35560" bIns="6350" numCol="1" spcCol="1270" anchor="ctr" anchorCtr="0">
          <a:noAutofit/>
        </a:bodyPr>
        <a:lstStyle/>
        <a:p>
          <a:pPr marL="0" lvl="0" indent="0" algn="ctr" defTabSz="222250">
            <a:lnSpc>
              <a:spcPct val="90000"/>
            </a:lnSpc>
            <a:spcBef>
              <a:spcPct val="0"/>
            </a:spcBef>
            <a:spcAft>
              <a:spcPct val="35000"/>
            </a:spcAft>
            <a:buNone/>
          </a:pPr>
          <a:r>
            <a:rPr lang="en-US" sz="500" kern="1200"/>
            <a:t>Assignment</a:t>
          </a:r>
        </a:p>
      </dsp:txBody>
      <dsp:txXfrm>
        <a:off x="2194693" y="1132018"/>
        <a:ext cx="1097012" cy="145162"/>
      </dsp:txXfrm>
    </dsp:sp>
    <dsp:sp modelId="{EE1A929B-DC00-4296-A7AC-B2972F04280A}">
      <dsp:nvSpPr>
        <dsp:cNvPr id="0" name=""/>
        <dsp:cNvSpPr/>
      </dsp:nvSpPr>
      <dsp:spPr>
        <a:xfrm>
          <a:off x="3291706" y="1132018"/>
          <a:ext cx="1097012" cy="145162"/>
        </a:xfrm>
        <a:prstGeom prst="rect">
          <a:avLst/>
        </a:prstGeom>
        <a:solidFill>
          <a:schemeClr val="accent3">
            <a:alpha val="90000"/>
            <a:tint val="40000"/>
            <a:hueOff val="0"/>
            <a:satOff val="0"/>
            <a:lumOff val="0"/>
            <a:alphaOff val="-16000"/>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5560" tIns="6350" rIns="35560" bIns="6350" numCol="1" spcCol="1270" anchor="ctr" anchorCtr="0">
          <a:noAutofit/>
        </a:bodyPr>
        <a:lstStyle/>
        <a:p>
          <a:pPr marL="0" lvl="0" indent="0" algn="ctr" defTabSz="222250">
            <a:lnSpc>
              <a:spcPct val="90000"/>
            </a:lnSpc>
            <a:spcBef>
              <a:spcPct val="0"/>
            </a:spcBef>
            <a:spcAft>
              <a:spcPct val="35000"/>
            </a:spcAft>
            <a:buNone/>
          </a:pPr>
          <a:r>
            <a:rPr lang="en-US" sz="500" kern="1200"/>
            <a:t>Hour of Day Adjustment</a:t>
          </a:r>
        </a:p>
      </dsp:txBody>
      <dsp:txXfrm>
        <a:off x="3291706" y="1132018"/>
        <a:ext cx="1097012" cy="145162"/>
      </dsp:txXfrm>
    </dsp:sp>
    <dsp:sp modelId="{91E6CAD5-DB65-471E-9F99-D1ACD948713B}">
      <dsp:nvSpPr>
        <dsp:cNvPr id="0" name=""/>
        <dsp:cNvSpPr/>
      </dsp:nvSpPr>
      <dsp:spPr>
        <a:xfrm>
          <a:off x="4388718" y="1132018"/>
          <a:ext cx="1097012" cy="145162"/>
        </a:xfrm>
        <a:prstGeom prst="rect">
          <a:avLst/>
        </a:prstGeom>
        <a:solidFill>
          <a:schemeClr val="accent3">
            <a:alpha val="90000"/>
            <a:tint val="40000"/>
            <a:hueOff val="0"/>
            <a:satOff val="0"/>
            <a:lumOff val="0"/>
            <a:alphaOff val="-18667"/>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5560" tIns="6350" rIns="35560" bIns="6350" numCol="1" spcCol="1270" anchor="ctr" anchorCtr="0">
          <a:noAutofit/>
        </a:bodyPr>
        <a:lstStyle/>
        <a:p>
          <a:pPr marL="0" lvl="0" indent="0" algn="ctr" defTabSz="222250">
            <a:lnSpc>
              <a:spcPct val="90000"/>
            </a:lnSpc>
            <a:spcBef>
              <a:spcPct val="0"/>
            </a:spcBef>
            <a:spcAft>
              <a:spcPct val="35000"/>
            </a:spcAft>
            <a:buNone/>
          </a:pPr>
          <a:r>
            <a:rPr lang="en-US" sz="500" kern="1200"/>
            <a:t>Day of Week Adjustment</a:t>
          </a:r>
        </a:p>
      </dsp:txBody>
      <dsp:txXfrm>
        <a:off x="4388718" y="1132018"/>
        <a:ext cx="1097012" cy="145162"/>
      </dsp:txXfrm>
    </dsp:sp>
    <dsp:sp modelId="{5D76E339-0271-4940-8EFE-0A91279930B2}">
      <dsp:nvSpPr>
        <dsp:cNvPr id="0" name=""/>
        <dsp:cNvSpPr/>
      </dsp:nvSpPr>
      <dsp:spPr>
        <a:xfrm rot="10800000">
          <a:off x="0" y="480853"/>
          <a:ext cx="5486400" cy="485491"/>
        </a:xfrm>
        <a:prstGeom prst="upArrowCallout">
          <a:avLst/>
        </a:prstGeom>
        <a:gradFill rotWithShape="0">
          <a:gsLst>
            <a:gs pos="0">
              <a:schemeClr val="accent3">
                <a:alpha val="90000"/>
                <a:hueOff val="0"/>
                <a:satOff val="0"/>
                <a:lumOff val="0"/>
                <a:alphaOff val="-33333"/>
                <a:lumMod val="110000"/>
                <a:satMod val="105000"/>
                <a:tint val="67000"/>
              </a:schemeClr>
            </a:gs>
            <a:gs pos="50000">
              <a:schemeClr val="accent3">
                <a:alpha val="90000"/>
                <a:hueOff val="0"/>
                <a:satOff val="0"/>
                <a:lumOff val="0"/>
                <a:alphaOff val="-33333"/>
                <a:lumMod val="105000"/>
                <a:satMod val="103000"/>
                <a:tint val="73000"/>
              </a:schemeClr>
            </a:gs>
            <a:gs pos="100000">
              <a:schemeClr val="accent3">
                <a:alpha val="90000"/>
                <a:hueOff val="0"/>
                <a:satOff val="0"/>
                <a:lumOff val="0"/>
                <a:alphaOff val="-33333"/>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9784" tIns="49784" rIns="49784" bIns="49784" numCol="1" spcCol="1270" anchor="ctr" anchorCtr="0">
          <a:noAutofit/>
        </a:bodyPr>
        <a:lstStyle/>
        <a:p>
          <a:pPr marL="0" lvl="0" indent="0" algn="ctr" defTabSz="311150">
            <a:lnSpc>
              <a:spcPct val="90000"/>
            </a:lnSpc>
            <a:spcBef>
              <a:spcPct val="0"/>
            </a:spcBef>
            <a:spcAft>
              <a:spcPct val="35000"/>
            </a:spcAft>
            <a:buNone/>
          </a:pPr>
          <a:r>
            <a:rPr lang="en-US" sz="700" kern="1200"/>
            <a:t>2: Develop Inventory of Available Continuous Count Locations and Equipment</a:t>
          </a:r>
        </a:p>
      </dsp:txBody>
      <dsp:txXfrm rot="-10800000">
        <a:off x="0" y="480853"/>
        <a:ext cx="5486400" cy="170407"/>
      </dsp:txXfrm>
    </dsp:sp>
    <dsp:sp modelId="{918BBC84-7671-472D-A079-3B139C30F410}">
      <dsp:nvSpPr>
        <dsp:cNvPr id="0" name=""/>
        <dsp:cNvSpPr/>
      </dsp:nvSpPr>
      <dsp:spPr>
        <a:xfrm>
          <a:off x="2678" y="651261"/>
          <a:ext cx="1827014" cy="145162"/>
        </a:xfrm>
        <a:prstGeom prst="rect">
          <a:avLst/>
        </a:prstGeom>
        <a:solidFill>
          <a:schemeClr val="accent3">
            <a:alpha val="90000"/>
            <a:tint val="40000"/>
            <a:hueOff val="0"/>
            <a:satOff val="0"/>
            <a:lumOff val="0"/>
            <a:alphaOff val="-21333"/>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5560" tIns="6350" rIns="35560" bIns="6350" numCol="1" spcCol="1270" anchor="ctr" anchorCtr="0">
          <a:noAutofit/>
        </a:bodyPr>
        <a:lstStyle/>
        <a:p>
          <a:pPr marL="0" lvl="0" indent="0" algn="ctr" defTabSz="222250">
            <a:lnSpc>
              <a:spcPct val="90000"/>
            </a:lnSpc>
            <a:spcBef>
              <a:spcPct val="0"/>
            </a:spcBef>
            <a:spcAft>
              <a:spcPct val="35000"/>
            </a:spcAft>
            <a:buNone/>
          </a:pPr>
          <a:r>
            <a:rPr lang="en-US" sz="500" kern="1200"/>
            <a:t>Existing Data Sources</a:t>
          </a:r>
        </a:p>
      </dsp:txBody>
      <dsp:txXfrm>
        <a:off x="2678" y="651261"/>
        <a:ext cx="1827014" cy="145162"/>
      </dsp:txXfrm>
    </dsp:sp>
    <dsp:sp modelId="{9B1625AD-8629-4785-B0FE-E73DE2E063AC}">
      <dsp:nvSpPr>
        <dsp:cNvPr id="0" name=""/>
        <dsp:cNvSpPr/>
      </dsp:nvSpPr>
      <dsp:spPr>
        <a:xfrm>
          <a:off x="1829692" y="651261"/>
          <a:ext cx="1827014" cy="145162"/>
        </a:xfrm>
        <a:prstGeom prst="rect">
          <a:avLst/>
        </a:prstGeom>
        <a:solidFill>
          <a:schemeClr val="accent3">
            <a:alpha val="90000"/>
            <a:tint val="40000"/>
            <a:hueOff val="0"/>
            <a:satOff val="0"/>
            <a:lumOff val="0"/>
            <a:alphaOff val="-24000"/>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5560" tIns="6350" rIns="35560" bIns="6350" numCol="1" spcCol="1270" anchor="ctr" anchorCtr="0">
          <a:noAutofit/>
        </a:bodyPr>
        <a:lstStyle/>
        <a:p>
          <a:pPr marL="0" lvl="0" indent="0" algn="ctr" defTabSz="222250">
            <a:lnSpc>
              <a:spcPct val="90000"/>
            </a:lnSpc>
            <a:spcBef>
              <a:spcPct val="0"/>
            </a:spcBef>
            <a:spcAft>
              <a:spcPct val="35000"/>
            </a:spcAft>
            <a:buNone/>
          </a:pPr>
          <a:r>
            <a:rPr lang="en-US" sz="500" kern="1200"/>
            <a:t>Other Sources</a:t>
          </a:r>
        </a:p>
      </dsp:txBody>
      <dsp:txXfrm>
        <a:off x="1829692" y="651261"/>
        <a:ext cx="1827014" cy="145162"/>
      </dsp:txXfrm>
    </dsp:sp>
    <dsp:sp modelId="{01CE9866-2E32-493F-BC05-457DCF06A2C4}">
      <dsp:nvSpPr>
        <dsp:cNvPr id="0" name=""/>
        <dsp:cNvSpPr/>
      </dsp:nvSpPr>
      <dsp:spPr>
        <a:xfrm>
          <a:off x="3656707" y="651261"/>
          <a:ext cx="1827014" cy="145162"/>
        </a:xfrm>
        <a:prstGeom prst="rect">
          <a:avLst/>
        </a:prstGeom>
        <a:solidFill>
          <a:schemeClr val="accent3">
            <a:alpha val="90000"/>
            <a:tint val="40000"/>
            <a:hueOff val="0"/>
            <a:satOff val="0"/>
            <a:lumOff val="0"/>
            <a:alphaOff val="-26667"/>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5560" tIns="6350" rIns="35560" bIns="6350" numCol="1" spcCol="1270" anchor="ctr" anchorCtr="0">
          <a:noAutofit/>
        </a:bodyPr>
        <a:lstStyle/>
        <a:p>
          <a:pPr marL="0" lvl="0" indent="0" algn="ctr" defTabSz="222250">
            <a:lnSpc>
              <a:spcPct val="90000"/>
            </a:lnSpc>
            <a:spcBef>
              <a:spcPct val="0"/>
            </a:spcBef>
            <a:spcAft>
              <a:spcPct val="35000"/>
            </a:spcAft>
            <a:buNone/>
          </a:pPr>
          <a:r>
            <a:rPr lang="en-US" sz="500" kern="1200"/>
            <a:t>Uses of Data</a:t>
          </a:r>
        </a:p>
      </dsp:txBody>
      <dsp:txXfrm>
        <a:off x="3656707" y="651261"/>
        <a:ext cx="1827014" cy="145162"/>
      </dsp:txXfrm>
    </dsp:sp>
    <dsp:sp modelId="{D7543578-77EE-4920-96D2-8DD311AB1078}">
      <dsp:nvSpPr>
        <dsp:cNvPr id="0" name=""/>
        <dsp:cNvSpPr/>
      </dsp:nvSpPr>
      <dsp:spPr>
        <a:xfrm rot="10800000">
          <a:off x="0" y="96"/>
          <a:ext cx="5486400" cy="485491"/>
        </a:xfrm>
        <a:prstGeom prst="upArrowCallout">
          <a:avLst/>
        </a:prstGeom>
        <a:gradFill rotWithShape="0">
          <a:gsLst>
            <a:gs pos="0">
              <a:schemeClr val="accent3">
                <a:alpha val="90000"/>
                <a:hueOff val="0"/>
                <a:satOff val="0"/>
                <a:lumOff val="0"/>
                <a:alphaOff val="-40000"/>
                <a:lumMod val="110000"/>
                <a:satMod val="105000"/>
                <a:tint val="67000"/>
              </a:schemeClr>
            </a:gs>
            <a:gs pos="50000">
              <a:schemeClr val="accent3">
                <a:alpha val="90000"/>
                <a:hueOff val="0"/>
                <a:satOff val="0"/>
                <a:lumOff val="0"/>
                <a:alphaOff val="-40000"/>
                <a:lumMod val="105000"/>
                <a:satMod val="103000"/>
                <a:tint val="73000"/>
              </a:schemeClr>
            </a:gs>
            <a:gs pos="100000">
              <a:schemeClr val="accent3">
                <a:alpha val="90000"/>
                <a:hueOff val="0"/>
                <a:satOff val="0"/>
                <a:lumOff val="0"/>
                <a:alphaOff val="-4000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US" sz="800" kern="1200"/>
            <a:t>1: Review Existing Continuous Count Program</a:t>
          </a:r>
        </a:p>
      </dsp:txBody>
      <dsp:txXfrm rot="-10800000">
        <a:off x="0" y="96"/>
        <a:ext cx="5486400" cy="170407"/>
      </dsp:txXfrm>
    </dsp:sp>
    <dsp:sp modelId="{21ABCD6A-50C2-46F8-8A4D-1240040539E5}">
      <dsp:nvSpPr>
        <dsp:cNvPr id="0" name=""/>
        <dsp:cNvSpPr/>
      </dsp:nvSpPr>
      <dsp:spPr>
        <a:xfrm>
          <a:off x="669" y="170504"/>
          <a:ext cx="1097012" cy="145162"/>
        </a:xfrm>
        <a:prstGeom prst="rect">
          <a:avLst/>
        </a:prstGeom>
        <a:solidFill>
          <a:schemeClr val="accent3">
            <a:alpha val="90000"/>
            <a:tint val="40000"/>
            <a:hueOff val="0"/>
            <a:satOff val="0"/>
            <a:lumOff val="0"/>
            <a:alphaOff val="-29333"/>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5560" tIns="6350" rIns="35560" bIns="6350" numCol="1" spcCol="1270" anchor="ctr" anchorCtr="0">
          <a:noAutofit/>
        </a:bodyPr>
        <a:lstStyle/>
        <a:p>
          <a:pPr marL="0" lvl="0" indent="0" algn="ctr" defTabSz="222250">
            <a:lnSpc>
              <a:spcPct val="90000"/>
            </a:lnSpc>
            <a:spcBef>
              <a:spcPct val="0"/>
            </a:spcBef>
            <a:spcAft>
              <a:spcPct val="35000"/>
            </a:spcAft>
            <a:buNone/>
          </a:pPr>
          <a:r>
            <a:rPr lang="en-US" sz="500" kern="1200"/>
            <a:t>Current Program: define, analyze, &amp; document current continuous program</a:t>
          </a:r>
        </a:p>
      </dsp:txBody>
      <dsp:txXfrm>
        <a:off x="669" y="170504"/>
        <a:ext cx="1097012" cy="145162"/>
      </dsp:txXfrm>
    </dsp:sp>
    <dsp:sp modelId="{C7F1FDCE-BEFD-4B62-A8CA-F602231BE10A}">
      <dsp:nvSpPr>
        <dsp:cNvPr id="0" name=""/>
        <dsp:cNvSpPr/>
      </dsp:nvSpPr>
      <dsp:spPr>
        <a:xfrm>
          <a:off x="1097681" y="170504"/>
          <a:ext cx="1097012" cy="145162"/>
        </a:xfrm>
        <a:prstGeom prst="rect">
          <a:avLst/>
        </a:prstGeom>
        <a:solidFill>
          <a:schemeClr val="accent3">
            <a:alpha val="90000"/>
            <a:tint val="40000"/>
            <a:hueOff val="0"/>
            <a:satOff val="0"/>
            <a:lumOff val="0"/>
            <a:alphaOff val="-32000"/>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5560" tIns="6350" rIns="35560" bIns="6350" numCol="1" spcCol="1270" anchor="ctr" anchorCtr="0">
          <a:noAutofit/>
        </a:bodyPr>
        <a:lstStyle/>
        <a:p>
          <a:pPr marL="0" lvl="0" indent="0" algn="ctr" defTabSz="222250">
            <a:lnSpc>
              <a:spcPct val="90000"/>
            </a:lnSpc>
            <a:spcBef>
              <a:spcPct val="0"/>
            </a:spcBef>
            <a:spcAft>
              <a:spcPct val="35000"/>
            </a:spcAft>
            <a:buNone/>
          </a:pPr>
          <a:r>
            <a:rPr lang="en-US" sz="500" kern="1200"/>
            <a:t>Traffic Patterns: review to determine existing and changing traffic patterns</a:t>
          </a:r>
        </a:p>
      </dsp:txBody>
      <dsp:txXfrm>
        <a:off x="1097681" y="170504"/>
        <a:ext cx="1097012" cy="145162"/>
      </dsp:txXfrm>
    </dsp:sp>
    <dsp:sp modelId="{A19DE8E8-54C5-4454-A008-8C08E7895C27}">
      <dsp:nvSpPr>
        <dsp:cNvPr id="0" name=""/>
        <dsp:cNvSpPr/>
      </dsp:nvSpPr>
      <dsp:spPr>
        <a:xfrm>
          <a:off x="2194693" y="170504"/>
          <a:ext cx="1097012" cy="145162"/>
        </a:xfrm>
        <a:prstGeom prst="rect">
          <a:avLst/>
        </a:prstGeom>
        <a:solidFill>
          <a:schemeClr val="accent3">
            <a:alpha val="90000"/>
            <a:tint val="40000"/>
            <a:hueOff val="0"/>
            <a:satOff val="0"/>
            <a:lumOff val="0"/>
            <a:alphaOff val="-34667"/>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5560" tIns="6350" rIns="35560" bIns="6350" numCol="1" spcCol="1270" anchor="ctr" anchorCtr="0">
          <a:noAutofit/>
        </a:bodyPr>
        <a:lstStyle/>
        <a:p>
          <a:pPr marL="0" lvl="0" indent="0" algn="ctr" defTabSz="222250">
            <a:lnSpc>
              <a:spcPct val="90000"/>
            </a:lnSpc>
            <a:spcBef>
              <a:spcPct val="0"/>
            </a:spcBef>
            <a:spcAft>
              <a:spcPct val="35000"/>
            </a:spcAft>
            <a:buNone/>
          </a:pPr>
          <a:r>
            <a:rPr lang="en-US" sz="500" kern="1200"/>
            <a:t>Data Adjustment</a:t>
          </a:r>
        </a:p>
      </dsp:txBody>
      <dsp:txXfrm>
        <a:off x="2194693" y="170504"/>
        <a:ext cx="1097012" cy="145162"/>
      </dsp:txXfrm>
    </dsp:sp>
    <dsp:sp modelId="{ACAC04B3-B011-43E5-BC10-67F5EE56A14A}">
      <dsp:nvSpPr>
        <dsp:cNvPr id="0" name=""/>
        <dsp:cNvSpPr/>
      </dsp:nvSpPr>
      <dsp:spPr>
        <a:xfrm>
          <a:off x="3291706" y="170504"/>
          <a:ext cx="1097012" cy="145162"/>
        </a:xfrm>
        <a:prstGeom prst="rect">
          <a:avLst/>
        </a:prstGeom>
        <a:solidFill>
          <a:schemeClr val="accent3">
            <a:alpha val="90000"/>
            <a:tint val="40000"/>
            <a:hueOff val="0"/>
            <a:satOff val="0"/>
            <a:lumOff val="0"/>
            <a:alphaOff val="-37333"/>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5560" tIns="6350" rIns="35560" bIns="6350" numCol="1" spcCol="1270" anchor="ctr" anchorCtr="0">
          <a:noAutofit/>
        </a:bodyPr>
        <a:lstStyle/>
        <a:p>
          <a:pPr marL="0" lvl="0" indent="0" algn="ctr" defTabSz="222250">
            <a:lnSpc>
              <a:spcPct val="90000"/>
            </a:lnSpc>
            <a:spcBef>
              <a:spcPct val="0"/>
            </a:spcBef>
            <a:spcAft>
              <a:spcPct val="35000"/>
            </a:spcAft>
            <a:buNone/>
          </a:pPr>
          <a:r>
            <a:rPr lang="en-US" sz="500" kern="1200"/>
            <a:t>Quality Control: ensure formal rules and procedures are in place</a:t>
          </a:r>
        </a:p>
      </dsp:txBody>
      <dsp:txXfrm>
        <a:off x="3291706" y="170504"/>
        <a:ext cx="1097012" cy="145162"/>
      </dsp:txXfrm>
    </dsp:sp>
    <dsp:sp modelId="{9D1B3429-9681-41A4-A1C3-FAD7092228D3}">
      <dsp:nvSpPr>
        <dsp:cNvPr id="0" name=""/>
        <dsp:cNvSpPr/>
      </dsp:nvSpPr>
      <dsp:spPr>
        <a:xfrm>
          <a:off x="4388718" y="170504"/>
          <a:ext cx="1097012" cy="145162"/>
        </a:xfrm>
        <a:prstGeom prst="rect">
          <a:avLst/>
        </a:prstGeom>
        <a:solidFill>
          <a:schemeClr val="accent3">
            <a:alpha val="90000"/>
            <a:tint val="40000"/>
            <a:hueOff val="0"/>
            <a:satOff val="0"/>
            <a:lumOff val="0"/>
            <a:alphaOff val="-40000"/>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35560" tIns="6350" rIns="35560" bIns="6350" numCol="1" spcCol="1270" anchor="ctr" anchorCtr="0">
          <a:noAutofit/>
        </a:bodyPr>
        <a:lstStyle/>
        <a:p>
          <a:pPr marL="0" lvl="0" indent="0" algn="ctr" defTabSz="222250">
            <a:lnSpc>
              <a:spcPct val="90000"/>
            </a:lnSpc>
            <a:spcBef>
              <a:spcPct val="0"/>
            </a:spcBef>
            <a:spcAft>
              <a:spcPct val="35000"/>
            </a:spcAft>
            <a:buNone/>
          </a:pPr>
          <a:r>
            <a:rPr lang="en-US" sz="500" kern="1200"/>
            <a:t>Summary Statistics: from raw data collected by continuous count stations</a:t>
          </a:r>
        </a:p>
      </dsp:txBody>
      <dsp:txXfrm>
        <a:off x="4388718" y="170504"/>
        <a:ext cx="1097012" cy="145162"/>
      </dsp:txXfrm>
    </dsp:sp>
  </dsp:spTree>
</dsp:drawing>
</file>

<file path=word/diagrams/layout1.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EE95F47562D614468831F30BC713B854" ma:contentTypeVersion="" ma:contentTypeDescription="Create a new document." ma:contentTypeScope="" ma:versionID="af9f791ee93cfc767a444f3384ec0ef9">
  <xsd:schema xmlns:xsd="http://www.w3.org/2001/XMLSchema" xmlns:xs="http://www.w3.org/2001/XMLSchema" xmlns:p="http://schemas.microsoft.com/office/2006/metadata/properties" xmlns:ns2="37a2c7fa-04b4-453e-b53e-9397e4846e9f" targetNamespace="http://schemas.microsoft.com/office/2006/metadata/properties" ma:root="true" ma:fieldsID="6e9ca629193c1fd73a888fb186c11415" ns2:_="">
    <xsd:import namespace="37a2c7fa-04b4-453e-b53e-9397e4846e9f"/>
    <xsd:element name="properties">
      <xsd:complexType>
        <xsd:sequence>
          <xsd:element name="documentManagement">
            <xsd:complexType>
              <xsd:all>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7a2c7fa-04b4-453e-b53e-9397e4846e9f"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081D39-9650-46EB-880D-07181732D190}">
  <ds:schemaRefs>
    <ds:schemaRef ds:uri="http://schemas.microsoft.com/sharepoint/v3/contenttype/forms"/>
  </ds:schemaRefs>
</ds:datastoreItem>
</file>

<file path=customXml/itemProps2.xml><?xml version="1.0" encoding="utf-8"?>
<ds:datastoreItem xmlns:ds="http://schemas.openxmlformats.org/officeDocument/2006/customXml" ds:itemID="{FCBC5313-6B29-4B2B-BDD5-3E30BE82F3B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7a2c7fa-04b4-453e-b53e-9397e4846e9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C1D6914-E0EC-4738-A3D5-0EF40B3D9BA9}">
  <ds:schemaRefs>
    <ds:schemaRef ds:uri="http://purl.org/dc/terms/"/>
    <ds:schemaRef ds:uri="http://schemas.openxmlformats.org/package/2006/metadata/core-properties"/>
    <ds:schemaRef ds:uri="http://schemas.microsoft.com/office/2006/documentManagement/types"/>
    <ds:schemaRef ds:uri="http://purl.org/dc/dcmitype/"/>
    <ds:schemaRef ds:uri="http://schemas.microsoft.com/office/infopath/2007/PartnerControls"/>
    <ds:schemaRef ds:uri="http://purl.org/dc/elements/1.1/"/>
    <ds:schemaRef ds:uri="http://schemas.microsoft.com/office/2006/metadata/properties"/>
    <ds:schemaRef ds:uri="37a2c7fa-04b4-453e-b53e-9397e4846e9f"/>
    <ds:schemaRef ds:uri="http://www.w3.org/XML/1998/namespace"/>
  </ds:schemaRefs>
</ds:datastoreItem>
</file>

<file path=customXml/itemProps4.xml><?xml version="1.0" encoding="utf-8"?>
<ds:datastoreItem xmlns:ds="http://schemas.openxmlformats.org/officeDocument/2006/customXml" ds:itemID="{E55FA308-5BFA-4B10-83EC-3A6F7ABF09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285</Pages>
  <Words>122045</Words>
  <Characters>695657</Characters>
  <Application>Microsoft Office Word</Application>
  <DocSecurity>0</DocSecurity>
  <Lines>5797</Lines>
  <Paragraphs>1632</Paragraphs>
  <ScaleCrop>false</ScaleCrop>
  <HeadingPairs>
    <vt:vector size="2" baseType="variant">
      <vt:variant>
        <vt:lpstr>Title</vt:lpstr>
      </vt:variant>
      <vt:variant>
        <vt:i4>1</vt:i4>
      </vt:variant>
    </vt:vector>
  </HeadingPairs>
  <TitlesOfParts>
    <vt:vector size="1" baseType="lpstr">
      <vt:lpstr>2021 Traffic Monitoring Guide</vt:lpstr>
    </vt:vector>
  </TitlesOfParts>
  <Manager/>
  <Company/>
  <LinksUpToDate>false</LinksUpToDate>
  <CharactersWithSpaces>816070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2022 Traffic Monitoring Guide</dc:title>
  <dc:subject/>
  <dc:creator>FHWA</dc:creator>
  <cp:keywords/>
  <dc:description/>
  <cp:lastModifiedBy>Cribbs, Michelle (FHWA)</cp:lastModifiedBy>
  <cp:revision>3</cp:revision>
  <cp:lastPrinted>2022-10-07T14:38:00Z</cp:lastPrinted>
  <dcterms:created xsi:type="dcterms:W3CDTF">2023-01-13T13:59:00Z</dcterms:created>
  <dcterms:modified xsi:type="dcterms:W3CDTF">2023-01-17T13:49:00Z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0x010100EE95F47562D614468831F30BC713B854</vt:lpwstr>
  </property>
</Properties>
</file>